
<file path=[Content_Types].xml><?xml version="1.0" encoding="utf-8"?>
<Types xmlns="http://schemas.openxmlformats.org/package/2006/content-types">
  <Default Extension="xml" ContentType="application/xml"/>
  <Default Extension="png" ContentType="image/png"/>
  <Default Extension="emf" ContentType="image/x-e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jc w:val="right"/>
        <w:rPr>
          <w:rFonts w:hint="eastAsia" w:ascii="宋体" w:hAnsi="宋体" w:eastAsia="宋体" w:cs="宋体"/>
          <w:bCs/>
          <w:lang w:val="en-US" w:eastAsia="zh-CN"/>
        </w:rPr>
      </w:pPr>
      <w:bookmarkStart w:id="0" w:name="_Hlk531335122"/>
      <w:bookmarkEnd w:id="0"/>
      <w:r>
        <w:rPr>
          <w:rFonts w:hint="eastAsia" w:ascii="宋体" w:hAnsi="宋体" w:eastAsia="宋体" w:cs="宋体"/>
          <w:b/>
          <w:lang w:val="en-US"/>
        </w:rPr>
        <w:t xml:space="preserve">                                                                        </w:t>
      </w:r>
      <w:r>
        <w:rPr>
          <w:rFonts w:hint="eastAsia" w:ascii="宋体" w:hAnsi="宋体" w:eastAsia="宋体" w:cs="宋体"/>
          <w:b/>
        </w:rPr>
        <w:t>编号</w:t>
      </w:r>
      <w:r>
        <w:rPr>
          <w:rFonts w:hint="eastAsia" w:ascii="宋体" w:hAnsi="宋体" w:eastAsia="宋体" w:cs="宋体"/>
          <w:b/>
          <w:color w:val="auto"/>
        </w:rPr>
        <w:t>：AYDS-AS【2019】</w:t>
      </w:r>
      <w:r>
        <w:rPr>
          <w:rFonts w:hint="eastAsia" w:ascii="宋体" w:hAnsi="宋体" w:eastAsia="宋体" w:cs="宋体"/>
          <w:b/>
          <w:color w:val="auto"/>
          <w:lang w:val="en-US" w:eastAsia="zh-CN"/>
        </w:rPr>
        <w:t>-052</w:t>
      </w:r>
    </w:p>
    <w:p>
      <w:pPr>
        <w:pStyle w:val="6"/>
        <w:jc w:val="center"/>
        <w:rPr>
          <w:rFonts w:hint="eastAsia" w:ascii="宋体" w:hAnsi="宋体" w:eastAsia="宋体" w:cs="宋体"/>
          <w:b/>
        </w:rPr>
      </w:pPr>
    </w:p>
    <w:p>
      <w:pPr>
        <w:pStyle w:val="6"/>
        <w:rPr>
          <w:rFonts w:hint="eastAsia" w:ascii="宋体" w:hAnsi="宋体" w:eastAsia="宋体" w:cs="宋体"/>
          <w:b/>
          <w:sz w:val="20"/>
        </w:rPr>
      </w:pPr>
    </w:p>
    <w:p>
      <w:pPr>
        <w:pStyle w:val="6"/>
        <w:spacing w:before="6"/>
        <w:rPr>
          <w:rFonts w:hint="eastAsia" w:ascii="宋体" w:hAnsi="宋体" w:eastAsia="宋体" w:cs="宋体"/>
          <w:b/>
          <w:sz w:val="17"/>
        </w:rPr>
      </w:pPr>
    </w:p>
    <w:p>
      <w:pPr>
        <w:pStyle w:val="6"/>
        <w:spacing w:before="6"/>
        <w:rPr>
          <w:rFonts w:hint="eastAsia" w:ascii="宋体" w:hAnsi="宋体" w:eastAsia="宋体" w:cs="宋体"/>
          <w:b/>
          <w:sz w:val="17"/>
        </w:rPr>
      </w:pPr>
    </w:p>
    <w:p>
      <w:pPr>
        <w:spacing w:line="360" w:lineRule="auto"/>
        <w:ind w:firstLine="210"/>
        <w:jc w:val="center"/>
        <w:rPr>
          <w:rFonts w:hint="eastAsia" w:ascii="宋体" w:hAnsi="宋体" w:eastAsia="宋体" w:cs="宋体"/>
          <w:b/>
          <w:sz w:val="36"/>
          <w:szCs w:val="36"/>
        </w:rPr>
      </w:pPr>
      <w:r>
        <w:rPr>
          <w:rFonts w:hint="eastAsia" w:ascii="宋体" w:hAnsi="宋体" w:eastAsia="宋体" w:cs="宋体"/>
          <w:b/>
          <w:sz w:val="44"/>
          <w:szCs w:val="44"/>
          <w:lang w:eastAsia="zh-CN"/>
        </w:rPr>
        <w:t>中国石化销售股份有限公司广东东莞寮步横坑加油站</w:t>
      </w:r>
      <w:r>
        <w:rPr>
          <w:rFonts w:hint="eastAsia" w:ascii="宋体" w:hAnsi="宋体" w:eastAsia="宋体" w:cs="宋体"/>
          <w:b/>
          <w:sz w:val="44"/>
          <w:szCs w:val="44"/>
        </w:rPr>
        <w:t>改建项目</w:t>
      </w:r>
    </w:p>
    <w:p>
      <w:pPr>
        <w:spacing w:line="360" w:lineRule="auto"/>
        <w:ind w:firstLine="210"/>
        <w:jc w:val="center"/>
        <w:rPr>
          <w:rFonts w:hint="eastAsia" w:ascii="宋体" w:hAnsi="宋体" w:eastAsia="宋体" w:cs="宋体"/>
          <w:b/>
          <w:sz w:val="52"/>
          <w:szCs w:val="52"/>
        </w:rPr>
      </w:pPr>
      <w:r>
        <w:rPr>
          <w:rFonts w:hint="eastAsia" w:ascii="宋体" w:hAnsi="宋体" w:eastAsia="宋体" w:cs="宋体"/>
          <w:b/>
          <w:sz w:val="52"/>
          <w:szCs w:val="52"/>
        </w:rPr>
        <w:t>安全设施竣工验收评价报告</w:t>
      </w:r>
    </w:p>
    <w:p>
      <w:pPr>
        <w:pStyle w:val="6"/>
        <w:rPr>
          <w:rFonts w:hint="eastAsia" w:ascii="宋体" w:hAnsi="宋体" w:eastAsia="宋体" w:cs="宋体"/>
          <w:b/>
          <w:sz w:val="52"/>
        </w:rPr>
      </w:pPr>
    </w:p>
    <w:p>
      <w:pPr>
        <w:pStyle w:val="6"/>
        <w:rPr>
          <w:rFonts w:hint="eastAsia" w:ascii="宋体" w:hAnsi="宋体" w:eastAsia="宋体" w:cs="宋体"/>
          <w:b/>
          <w:sz w:val="52"/>
        </w:rPr>
      </w:pPr>
    </w:p>
    <w:p>
      <w:pPr>
        <w:pStyle w:val="6"/>
        <w:rPr>
          <w:rFonts w:hint="eastAsia" w:ascii="宋体" w:hAnsi="宋体" w:eastAsia="宋体" w:cs="宋体"/>
          <w:b/>
          <w:sz w:val="48"/>
        </w:rPr>
      </w:pPr>
    </w:p>
    <w:p>
      <w:pPr>
        <w:spacing w:line="360" w:lineRule="auto"/>
        <w:ind w:left="2244" w:leftChars="290" w:hanging="1606" w:hangingChars="500"/>
        <w:rPr>
          <w:rFonts w:hint="eastAsia" w:ascii="宋体" w:hAnsi="宋体" w:eastAsia="宋体" w:cs="宋体"/>
          <w:b/>
          <w:bCs/>
          <w:sz w:val="32"/>
          <w:szCs w:val="32"/>
        </w:rPr>
      </w:pPr>
      <w:r>
        <w:rPr>
          <w:rFonts w:hint="eastAsia" w:ascii="宋体" w:hAnsi="宋体" w:eastAsia="宋体" w:cs="宋体"/>
          <w:b/>
          <w:bCs/>
          <w:sz w:val="32"/>
          <w:szCs w:val="32"/>
        </w:rPr>
        <w:t>建设单位：</w:t>
      </w:r>
      <w:r>
        <w:rPr>
          <w:rFonts w:hint="eastAsia" w:ascii="宋体" w:hAnsi="宋体" w:eastAsia="宋体" w:cs="宋体"/>
          <w:b/>
          <w:bCs/>
          <w:sz w:val="32"/>
          <w:szCs w:val="32"/>
          <w:lang w:eastAsia="zh-CN"/>
        </w:rPr>
        <w:t>中国石化销售股份有限公司广东东莞寮步横坑加油站</w:t>
      </w:r>
    </w:p>
    <w:p>
      <w:pPr>
        <w:spacing w:line="360" w:lineRule="auto"/>
        <w:ind w:firstLine="643" w:firstLineChars="200"/>
        <w:rPr>
          <w:rFonts w:hint="eastAsia" w:ascii="宋体" w:hAnsi="宋体" w:eastAsia="宋体" w:cs="宋体"/>
          <w:b/>
          <w:bCs/>
          <w:sz w:val="32"/>
          <w:szCs w:val="32"/>
          <w:lang w:val="en-US" w:eastAsia="zh-CN"/>
        </w:rPr>
      </w:pPr>
      <w:r>
        <w:rPr>
          <w:rFonts w:hint="eastAsia" w:ascii="宋体" w:hAnsi="宋体" w:eastAsia="宋体" w:cs="宋体"/>
          <w:b/>
          <w:bCs/>
          <w:sz w:val="32"/>
          <w:szCs w:val="32"/>
        </w:rPr>
        <w:t>建设单位负责人：</w:t>
      </w:r>
      <w:r>
        <w:rPr>
          <w:rFonts w:hint="eastAsia" w:ascii="宋体" w:hAnsi="宋体" w:eastAsia="宋体" w:cs="宋体"/>
          <w:b/>
          <w:bCs/>
          <w:sz w:val="32"/>
          <w:szCs w:val="32"/>
          <w:lang w:eastAsia="zh-CN"/>
        </w:rPr>
        <w:t>江泽彬</w:t>
      </w:r>
    </w:p>
    <w:p>
      <w:pPr>
        <w:spacing w:line="360" w:lineRule="auto"/>
        <w:ind w:left="2887" w:leftChars="290" w:hanging="2249" w:hangingChars="700"/>
        <w:rPr>
          <w:rFonts w:hint="eastAsia" w:ascii="宋体" w:hAnsi="宋体" w:eastAsia="宋体" w:cs="宋体"/>
          <w:b/>
          <w:bCs/>
          <w:sz w:val="32"/>
          <w:szCs w:val="32"/>
          <w:lang w:val="en-US" w:eastAsia="zh-CN"/>
        </w:rPr>
      </w:pPr>
      <w:r>
        <w:rPr>
          <w:rFonts w:hint="eastAsia" w:ascii="宋体" w:hAnsi="宋体" w:eastAsia="宋体" w:cs="宋体"/>
          <w:b/>
          <w:bCs/>
          <w:sz w:val="32"/>
          <w:szCs w:val="32"/>
        </w:rPr>
        <w:t>建设项目单位：</w:t>
      </w:r>
      <w:r>
        <w:rPr>
          <w:rFonts w:hint="eastAsia" w:ascii="宋体" w:hAnsi="宋体" w:eastAsia="宋体" w:cs="宋体"/>
          <w:b/>
          <w:bCs/>
          <w:sz w:val="32"/>
          <w:szCs w:val="32"/>
          <w:lang w:eastAsia="zh-CN"/>
        </w:rPr>
        <w:t>中国石化销售股份有限公司广东东莞寮步横坑加油站</w:t>
      </w:r>
    </w:p>
    <w:p>
      <w:pPr>
        <w:spacing w:line="360" w:lineRule="auto"/>
        <w:ind w:firstLine="643" w:firstLineChars="200"/>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单位主要负责人：容超平</w:t>
      </w:r>
    </w:p>
    <w:p>
      <w:pPr>
        <w:spacing w:line="360" w:lineRule="auto"/>
        <w:ind w:firstLine="643" w:firstLineChars="200"/>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建设项目单位联系人：</w:t>
      </w:r>
      <w:r>
        <w:rPr>
          <w:rFonts w:hint="eastAsia" w:ascii="宋体" w:hAnsi="宋体" w:eastAsia="宋体" w:cs="宋体"/>
          <w:b/>
          <w:bCs/>
          <w:sz w:val="32"/>
          <w:szCs w:val="32"/>
          <w:lang w:eastAsia="zh-CN"/>
        </w:rPr>
        <w:t>张振荣</w:t>
      </w:r>
    </w:p>
    <w:p>
      <w:pPr>
        <w:spacing w:line="360" w:lineRule="auto"/>
        <w:ind w:firstLine="643" w:firstLineChars="200"/>
        <w:rPr>
          <w:rFonts w:hint="eastAsia" w:ascii="宋体" w:hAnsi="宋体" w:eastAsia="宋体" w:cs="宋体"/>
          <w:b/>
          <w:bCs/>
          <w:sz w:val="32"/>
          <w:szCs w:val="32"/>
          <w:highlight w:val="yellow"/>
          <w:lang w:val="en-US" w:eastAsia="zh-CN"/>
        </w:rPr>
      </w:pPr>
      <w:r>
        <w:rPr>
          <w:rFonts w:hint="eastAsia" w:ascii="宋体" w:hAnsi="宋体" w:eastAsia="宋体" w:cs="宋体"/>
          <w:b/>
          <w:bCs/>
          <w:sz w:val="32"/>
          <w:szCs w:val="32"/>
          <w:lang w:val="en-US" w:eastAsia="zh-CN"/>
        </w:rPr>
        <w:t>建设项目单位联系电话：</w:t>
      </w:r>
      <w:r>
        <w:rPr>
          <w:rFonts w:hint="eastAsia" w:ascii="宋体" w:hAnsi="宋体" w:eastAsia="宋体" w:cs="宋体"/>
          <w:b/>
          <w:bCs/>
          <w:sz w:val="32"/>
          <w:szCs w:val="32"/>
          <w:highlight w:val="none"/>
          <w:lang w:val="en-US" w:eastAsia="zh-CN"/>
        </w:rPr>
        <w:t>13829128383</w:t>
      </w:r>
    </w:p>
    <w:p>
      <w:pPr>
        <w:pStyle w:val="6"/>
        <w:spacing w:before="5"/>
        <w:rPr>
          <w:rFonts w:hint="eastAsia" w:ascii="宋体" w:hAnsi="宋体" w:eastAsia="宋体" w:cs="宋体"/>
          <w:b/>
          <w:sz w:val="37"/>
        </w:rPr>
      </w:pPr>
    </w:p>
    <w:p>
      <w:pPr>
        <w:pStyle w:val="6"/>
        <w:spacing w:before="5"/>
        <w:rPr>
          <w:rFonts w:hint="eastAsia" w:ascii="宋体" w:hAnsi="宋体" w:eastAsia="宋体" w:cs="宋体"/>
          <w:b/>
          <w:sz w:val="37"/>
        </w:rPr>
      </w:pPr>
    </w:p>
    <w:p>
      <w:pPr>
        <w:pStyle w:val="6"/>
        <w:spacing w:before="5"/>
        <w:rPr>
          <w:rFonts w:hint="eastAsia" w:ascii="宋体" w:hAnsi="宋体" w:eastAsia="宋体" w:cs="宋体"/>
          <w:b/>
          <w:sz w:val="37"/>
        </w:rPr>
      </w:pPr>
    </w:p>
    <w:p>
      <w:pPr>
        <w:ind w:right="276"/>
        <w:jc w:val="center"/>
        <w:rPr>
          <w:rFonts w:hint="eastAsia" w:ascii="宋体" w:hAnsi="宋体" w:eastAsia="宋体" w:cs="宋体"/>
          <w:b/>
          <w:color w:val="auto"/>
          <w:sz w:val="32"/>
          <w:szCs w:val="32"/>
        </w:rPr>
      </w:pPr>
      <w:r>
        <w:rPr>
          <w:rFonts w:hint="eastAsia" w:ascii="宋体" w:hAnsi="宋体" w:eastAsia="宋体" w:cs="宋体"/>
          <w:b/>
          <w:sz w:val="32"/>
          <w:szCs w:val="32"/>
        </w:rPr>
        <w:t>201</w:t>
      </w:r>
      <w:r>
        <w:rPr>
          <w:rFonts w:hint="eastAsia" w:ascii="宋体" w:hAnsi="宋体" w:eastAsia="宋体" w:cs="宋体"/>
          <w:b/>
          <w:sz w:val="32"/>
          <w:szCs w:val="32"/>
          <w:lang w:val="en-US"/>
        </w:rPr>
        <w:t>9</w:t>
      </w:r>
      <w:r>
        <w:rPr>
          <w:rFonts w:hint="eastAsia" w:ascii="宋体" w:hAnsi="宋体" w:eastAsia="宋体" w:cs="宋体"/>
          <w:b/>
          <w:color w:val="auto"/>
          <w:sz w:val="32"/>
          <w:szCs w:val="32"/>
        </w:rPr>
        <w:t>年</w:t>
      </w:r>
      <w:r>
        <w:rPr>
          <w:rFonts w:hint="eastAsia" w:ascii="宋体" w:hAnsi="宋体" w:eastAsia="宋体" w:cs="宋体"/>
          <w:b/>
          <w:color w:val="auto"/>
          <w:sz w:val="32"/>
          <w:szCs w:val="32"/>
          <w:lang w:val="en-US" w:eastAsia="zh-CN"/>
        </w:rPr>
        <w:t>12</w:t>
      </w:r>
      <w:r>
        <w:rPr>
          <w:rFonts w:hint="eastAsia" w:ascii="宋体" w:hAnsi="宋体" w:eastAsia="宋体" w:cs="宋体"/>
          <w:b/>
          <w:color w:val="auto"/>
          <w:sz w:val="32"/>
          <w:szCs w:val="32"/>
        </w:rPr>
        <w:t>月</w:t>
      </w:r>
      <w:r>
        <w:rPr>
          <w:rFonts w:hint="eastAsia" w:ascii="宋体" w:hAnsi="宋体" w:eastAsia="宋体" w:cs="宋体"/>
          <w:b/>
          <w:color w:val="auto"/>
          <w:sz w:val="32"/>
          <w:szCs w:val="32"/>
          <w:lang w:val="en-US" w:eastAsia="zh-CN"/>
        </w:rPr>
        <w:t>25</w:t>
      </w:r>
      <w:r>
        <w:rPr>
          <w:rFonts w:hint="eastAsia" w:ascii="宋体" w:hAnsi="宋体" w:eastAsia="宋体" w:cs="宋体"/>
          <w:b/>
          <w:color w:val="auto"/>
          <w:sz w:val="32"/>
          <w:szCs w:val="32"/>
        </w:rPr>
        <w:t>日</w:t>
      </w:r>
    </w:p>
    <w:p>
      <w:pPr>
        <w:ind w:right="276"/>
        <w:jc w:val="center"/>
        <w:rPr>
          <w:rFonts w:hint="eastAsia" w:ascii="宋体" w:hAnsi="宋体" w:eastAsia="宋体" w:cs="宋体"/>
          <w:b/>
          <w:sz w:val="32"/>
          <w:szCs w:val="32"/>
        </w:rPr>
      </w:pPr>
      <w:r>
        <w:rPr>
          <w:rFonts w:hint="eastAsia" w:ascii="宋体" w:hAnsi="宋体" w:eastAsia="宋体" w:cs="宋体"/>
          <w:b/>
          <w:sz w:val="32"/>
          <w:szCs w:val="32"/>
        </w:rPr>
        <w:t>（建设单位公章）</w:t>
      </w:r>
    </w:p>
    <w:p>
      <w:pPr>
        <w:spacing w:before="240"/>
        <w:ind w:right="274"/>
        <w:jc w:val="center"/>
        <w:rPr>
          <w:rFonts w:hint="eastAsia" w:ascii="宋体" w:hAnsi="宋体" w:eastAsia="宋体" w:cs="宋体"/>
          <w:b/>
          <w:sz w:val="32"/>
          <w:szCs w:val="32"/>
        </w:rPr>
      </w:pPr>
    </w:p>
    <w:p>
      <w:pPr>
        <w:jc w:val="center"/>
        <w:rPr>
          <w:rFonts w:hint="eastAsia" w:ascii="宋体" w:hAnsi="宋体" w:eastAsia="宋体" w:cs="宋体"/>
          <w:bCs/>
          <w:sz w:val="32"/>
          <w:szCs w:val="32"/>
        </w:rPr>
        <w:sectPr>
          <w:headerReference r:id="rId3" w:type="default"/>
          <w:pgSz w:w="11910" w:h="16840"/>
          <w:pgMar w:top="1417" w:right="1134" w:bottom="1134" w:left="1587" w:header="720" w:footer="720" w:gutter="0"/>
          <w:pgNumType w:fmt="decimal"/>
          <w:cols w:space="0" w:num="1"/>
        </w:sectPr>
      </w:pPr>
    </w:p>
    <w:p>
      <w:pPr>
        <w:rPr>
          <w:rFonts w:hint="eastAsia" w:ascii="宋体" w:hAnsi="宋体" w:eastAsia="宋体" w:cs="宋体"/>
          <w:b/>
          <w:sz w:val="32"/>
          <w:szCs w:val="32"/>
        </w:rPr>
      </w:pPr>
    </w:p>
    <w:p>
      <w:pPr>
        <w:rPr>
          <w:rFonts w:hint="eastAsia" w:ascii="宋体" w:hAnsi="宋体" w:eastAsia="宋体" w:cs="宋体"/>
          <w:b/>
          <w:sz w:val="32"/>
          <w:szCs w:val="32"/>
        </w:rPr>
      </w:pPr>
    </w:p>
    <w:p>
      <w:pPr>
        <w:spacing w:line="360" w:lineRule="auto"/>
        <w:jc w:val="center"/>
        <w:rPr>
          <w:rFonts w:hint="eastAsia" w:ascii="宋体" w:hAnsi="宋体" w:eastAsia="宋体" w:cs="宋体"/>
          <w:b/>
          <w:sz w:val="32"/>
          <w:szCs w:val="32"/>
        </w:rPr>
      </w:pPr>
    </w:p>
    <w:p>
      <w:pPr>
        <w:spacing w:line="360" w:lineRule="auto"/>
        <w:jc w:val="center"/>
        <w:rPr>
          <w:rFonts w:hint="eastAsia" w:ascii="宋体" w:hAnsi="宋体" w:eastAsia="宋体" w:cs="宋体"/>
          <w:b/>
          <w:sz w:val="44"/>
          <w:szCs w:val="44"/>
        </w:rPr>
      </w:pPr>
      <w:r>
        <w:rPr>
          <w:rFonts w:hint="eastAsia" w:ascii="宋体" w:hAnsi="宋体" w:eastAsia="宋体" w:cs="宋体"/>
          <w:b/>
          <w:sz w:val="32"/>
          <w:szCs w:val="32"/>
          <w:lang w:eastAsia="zh-CN"/>
        </w:rPr>
        <w:t>中国石化销售股份有限公司广东东莞寮步横坑加油站</w:t>
      </w:r>
      <w:r>
        <w:rPr>
          <w:rFonts w:hint="eastAsia" w:ascii="宋体" w:hAnsi="宋体" w:eastAsia="宋体" w:cs="宋体"/>
          <w:b/>
          <w:sz w:val="32"/>
          <w:szCs w:val="32"/>
        </w:rPr>
        <w:t>改建项目</w:t>
      </w:r>
    </w:p>
    <w:p>
      <w:pPr>
        <w:spacing w:line="360" w:lineRule="auto"/>
        <w:jc w:val="center"/>
        <w:rPr>
          <w:rFonts w:hint="eastAsia" w:ascii="宋体" w:hAnsi="宋体" w:eastAsia="宋体" w:cs="宋体"/>
          <w:bCs/>
          <w:sz w:val="52"/>
          <w:szCs w:val="52"/>
        </w:rPr>
      </w:pPr>
      <w:r>
        <w:rPr>
          <w:rFonts w:hint="eastAsia" w:ascii="宋体" w:hAnsi="宋体" w:eastAsia="宋体" w:cs="宋体"/>
          <w:b/>
          <w:sz w:val="44"/>
          <w:szCs w:val="44"/>
        </w:rPr>
        <w:t>安全设施竣工验收评价报告</w:t>
      </w:r>
    </w:p>
    <w:p>
      <w:pPr>
        <w:pStyle w:val="6"/>
        <w:rPr>
          <w:rFonts w:hint="eastAsia" w:ascii="宋体" w:hAnsi="宋体" w:eastAsia="宋体" w:cs="宋体"/>
          <w:b/>
          <w:sz w:val="44"/>
        </w:rPr>
      </w:pPr>
    </w:p>
    <w:p>
      <w:pPr>
        <w:pStyle w:val="6"/>
        <w:rPr>
          <w:rFonts w:hint="eastAsia" w:ascii="宋体" w:hAnsi="宋体" w:eastAsia="宋体" w:cs="宋体"/>
          <w:b/>
          <w:sz w:val="44"/>
        </w:rPr>
      </w:pPr>
    </w:p>
    <w:p>
      <w:pPr>
        <w:pStyle w:val="6"/>
        <w:rPr>
          <w:rFonts w:hint="eastAsia" w:ascii="宋体" w:hAnsi="宋体" w:eastAsia="宋体" w:cs="宋体"/>
          <w:b/>
          <w:sz w:val="44"/>
        </w:rPr>
      </w:pPr>
    </w:p>
    <w:p>
      <w:pPr>
        <w:pStyle w:val="6"/>
        <w:rPr>
          <w:rFonts w:hint="eastAsia" w:ascii="宋体" w:hAnsi="宋体" w:eastAsia="宋体" w:cs="宋体"/>
          <w:b/>
          <w:sz w:val="44"/>
        </w:rPr>
      </w:pPr>
    </w:p>
    <w:p>
      <w:pPr>
        <w:pStyle w:val="6"/>
        <w:rPr>
          <w:rFonts w:hint="eastAsia" w:ascii="宋体" w:hAnsi="宋体" w:eastAsia="宋体" w:cs="宋体"/>
          <w:b/>
          <w:sz w:val="44"/>
        </w:rPr>
      </w:pPr>
    </w:p>
    <w:p>
      <w:pPr>
        <w:pStyle w:val="6"/>
        <w:rPr>
          <w:rFonts w:hint="eastAsia" w:ascii="宋体" w:hAnsi="宋体" w:eastAsia="宋体" w:cs="宋体"/>
          <w:b/>
          <w:sz w:val="44"/>
        </w:rPr>
      </w:pPr>
    </w:p>
    <w:p>
      <w:pPr>
        <w:pStyle w:val="6"/>
        <w:spacing w:before="7"/>
        <w:rPr>
          <w:rFonts w:hint="eastAsia" w:ascii="宋体" w:hAnsi="宋体" w:eastAsia="宋体" w:cs="宋体"/>
          <w:b/>
          <w:sz w:val="50"/>
        </w:rPr>
      </w:pPr>
    </w:p>
    <w:p>
      <w:pPr>
        <w:spacing w:line="360" w:lineRule="auto"/>
        <w:ind w:firstLine="1680" w:firstLineChars="600"/>
        <w:jc w:val="both"/>
        <w:rPr>
          <w:rFonts w:hint="eastAsia" w:ascii="宋体" w:hAnsi="宋体" w:eastAsia="宋体" w:cs="宋体"/>
          <w:bCs/>
          <w:sz w:val="28"/>
          <w:szCs w:val="28"/>
          <w:highlight w:val="yellow"/>
        </w:rPr>
      </w:pPr>
      <w:r>
        <w:rPr>
          <w:rFonts w:hint="eastAsia" w:ascii="宋体" w:hAnsi="宋体" w:eastAsia="宋体" w:cs="宋体"/>
          <w:bCs/>
          <w:sz w:val="28"/>
          <w:szCs w:val="28"/>
        </w:rPr>
        <w:t>评价机构名称：广东安源鼎盛检测评价技术服务有限公司</w:t>
      </w:r>
    </w:p>
    <w:p>
      <w:pPr>
        <w:spacing w:line="360" w:lineRule="auto"/>
        <w:ind w:firstLine="1680" w:firstLineChars="600"/>
        <w:jc w:val="both"/>
        <w:rPr>
          <w:rFonts w:hint="eastAsia" w:ascii="宋体" w:hAnsi="宋体" w:eastAsia="宋体" w:cs="宋体"/>
          <w:bCs/>
          <w:sz w:val="28"/>
          <w:szCs w:val="28"/>
        </w:rPr>
      </w:pPr>
      <w:r>
        <w:rPr>
          <w:rFonts w:hint="eastAsia" w:ascii="宋体" w:hAnsi="宋体" w:eastAsia="宋体" w:cs="宋体"/>
          <w:bCs/>
          <w:sz w:val="28"/>
          <w:szCs w:val="28"/>
        </w:rPr>
        <w:t>资质证书编号：APJ-（粤）-333</w:t>
      </w:r>
    </w:p>
    <w:p>
      <w:pPr>
        <w:spacing w:line="360" w:lineRule="auto"/>
        <w:ind w:firstLine="1680" w:firstLineChars="600"/>
        <w:jc w:val="both"/>
        <w:rPr>
          <w:rFonts w:hint="eastAsia" w:ascii="宋体" w:hAnsi="宋体" w:eastAsia="宋体" w:cs="宋体"/>
          <w:bCs/>
          <w:sz w:val="28"/>
          <w:szCs w:val="28"/>
        </w:rPr>
      </w:pPr>
      <w:r>
        <w:rPr>
          <w:rFonts w:hint="eastAsia" w:ascii="宋体" w:hAnsi="宋体" w:eastAsia="宋体" w:cs="宋体"/>
          <w:bCs/>
          <w:sz w:val="28"/>
          <w:szCs w:val="28"/>
        </w:rPr>
        <w:t>法定代表人：鲍玉朴</w:t>
      </w:r>
    </w:p>
    <w:p>
      <w:pPr>
        <w:spacing w:line="360" w:lineRule="auto"/>
        <w:ind w:firstLine="1680" w:firstLineChars="600"/>
        <w:jc w:val="both"/>
        <w:rPr>
          <w:rFonts w:hint="eastAsia" w:ascii="宋体" w:hAnsi="宋体" w:eastAsia="宋体" w:cs="宋体"/>
          <w:bCs/>
          <w:sz w:val="28"/>
          <w:szCs w:val="28"/>
          <w:lang w:eastAsia="zh-CN"/>
        </w:rPr>
      </w:pPr>
      <w:r>
        <w:rPr>
          <w:rFonts w:hint="eastAsia" w:ascii="宋体" w:hAnsi="宋体" w:eastAsia="宋体" w:cs="宋体"/>
          <w:bCs/>
          <w:sz w:val="28"/>
          <w:szCs w:val="28"/>
        </w:rPr>
        <w:t>审核定稿人：</w:t>
      </w:r>
      <w:r>
        <w:rPr>
          <w:rFonts w:hint="eastAsia" w:ascii="宋体" w:hAnsi="宋体" w:eastAsia="宋体" w:cs="宋体"/>
          <w:bCs/>
          <w:sz w:val="28"/>
          <w:szCs w:val="28"/>
          <w:lang w:eastAsia="zh-CN"/>
        </w:rPr>
        <w:t>孙红军</w:t>
      </w:r>
    </w:p>
    <w:p>
      <w:pPr>
        <w:spacing w:line="360" w:lineRule="auto"/>
        <w:ind w:firstLine="1680" w:firstLineChars="600"/>
        <w:jc w:val="both"/>
        <w:rPr>
          <w:rFonts w:hint="eastAsia" w:ascii="宋体" w:hAnsi="宋体" w:eastAsia="宋体" w:cs="宋体"/>
          <w:bCs/>
          <w:sz w:val="28"/>
          <w:szCs w:val="28"/>
        </w:rPr>
      </w:pPr>
      <w:r>
        <w:rPr>
          <w:rFonts w:hint="eastAsia" w:ascii="宋体" w:hAnsi="宋体" w:eastAsia="宋体" w:cs="宋体"/>
          <w:bCs/>
          <w:sz w:val="28"/>
          <w:szCs w:val="28"/>
        </w:rPr>
        <w:t>评价负责人：彭书萍</w:t>
      </w:r>
    </w:p>
    <w:p>
      <w:pPr>
        <w:spacing w:line="360" w:lineRule="auto"/>
        <w:ind w:firstLine="1680" w:firstLineChars="600"/>
        <w:jc w:val="both"/>
        <w:rPr>
          <w:rFonts w:hint="eastAsia" w:ascii="宋体" w:hAnsi="宋体" w:eastAsia="宋体" w:cs="宋体"/>
          <w:b/>
          <w:sz w:val="32"/>
          <w:lang w:val="en-US"/>
        </w:rPr>
      </w:pPr>
      <w:r>
        <w:rPr>
          <w:rFonts w:hint="eastAsia" w:ascii="宋体" w:hAnsi="宋体" w:eastAsia="宋体" w:cs="宋体"/>
          <w:bCs/>
          <w:sz w:val="28"/>
          <w:szCs w:val="28"/>
        </w:rPr>
        <w:t>评价机构联系电话：</w:t>
      </w:r>
      <w:r>
        <w:rPr>
          <w:rFonts w:hint="eastAsia" w:ascii="宋体" w:hAnsi="宋体" w:eastAsia="宋体" w:cs="宋体"/>
          <w:bCs/>
          <w:sz w:val="28"/>
          <w:szCs w:val="28"/>
          <w:lang w:val="en-US"/>
        </w:rPr>
        <w:t>0769-22869222</w:t>
      </w:r>
    </w:p>
    <w:p>
      <w:pPr>
        <w:pStyle w:val="6"/>
        <w:spacing w:before="5"/>
        <w:rPr>
          <w:rFonts w:hint="eastAsia" w:ascii="宋体" w:hAnsi="宋体" w:eastAsia="宋体" w:cs="宋体"/>
          <w:b/>
          <w:sz w:val="41"/>
        </w:rPr>
      </w:pPr>
    </w:p>
    <w:p>
      <w:pPr>
        <w:pStyle w:val="6"/>
        <w:spacing w:before="5"/>
        <w:rPr>
          <w:rFonts w:hint="eastAsia" w:ascii="宋体" w:hAnsi="宋体" w:eastAsia="宋体" w:cs="宋体"/>
          <w:b/>
          <w:sz w:val="32"/>
          <w:szCs w:val="32"/>
        </w:rPr>
      </w:pPr>
    </w:p>
    <w:p>
      <w:pPr>
        <w:pStyle w:val="6"/>
        <w:spacing w:before="5"/>
        <w:rPr>
          <w:rFonts w:hint="eastAsia" w:ascii="宋体" w:hAnsi="宋体" w:eastAsia="宋体" w:cs="宋体"/>
          <w:b/>
          <w:sz w:val="32"/>
          <w:szCs w:val="32"/>
        </w:rPr>
      </w:pPr>
    </w:p>
    <w:p>
      <w:pPr>
        <w:pStyle w:val="6"/>
        <w:spacing w:before="5"/>
        <w:rPr>
          <w:rFonts w:hint="eastAsia" w:ascii="宋体" w:hAnsi="宋体" w:eastAsia="宋体" w:cs="宋体"/>
          <w:b/>
          <w:sz w:val="32"/>
          <w:szCs w:val="32"/>
        </w:rPr>
      </w:pPr>
    </w:p>
    <w:p>
      <w:pPr>
        <w:pStyle w:val="6"/>
        <w:spacing w:before="9"/>
        <w:rPr>
          <w:rFonts w:hint="eastAsia" w:ascii="宋体" w:hAnsi="宋体" w:eastAsia="宋体" w:cs="宋体"/>
          <w:b/>
          <w:sz w:val="32"/>
          <w:szCs w:val="32"/>
        </w:rPr>
      </w:pPr>
    </w:p>
    <w:p>
      <w:pPr>
        <w:spacing w:line="360" w:lineRule="auto"/>
        <w:ind w:right="272"/>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201</w:t>
      </w:r>
      <w:r>
        <w:rPr>
          <w:rFonts w:hint="eastAsia" w:ascii="宋体" w:hAnsi="宋体" w:eastAsia="宋体" w:cs="宋体"/>
          <w:b/>
          <w:color w:val="auto"/>
          <w:sz w:val="24"/>
          <w:szCs w:val="24"/>
          <w:lang w:val="en-US"/>
        </w:rPr>
        <w:t>9</w:t>
      </w:r>
      <w:r>
        <w:rPr>
          <w:rFonts w:hint="eastAsia" w:ascii="宋体" w:hAnsi="宋体" w:eastAsia="宋体" w:cs="宋体"/>
          <w:b/>
          <w:color w:val="auto"/>
          <w:sz w:val="24"/>
          <w:szCs w:val="24"/>
        </w:rPr>
        <w:t>年</w:t>
      </w:r>
      <w:r>
        <w:rPr>
          <w:rFonts w:hint="eastAsia" w:ascii="宋体" w:hAnsi="宋体" w:eastAsia="宋体" w:cs="宋体"/>
          <w:b/>
          <w:color w:val="auto"/>
          <w:sz w:val="24"/>
          <w:szCs w:val="24"/>
          <w:lang w:val="en-US" w:eastAsia="zh-CN"/>
        </w:rPr>
        <w:t>12</w:t>
      </w:r>
      <w:r>
        <w:rPr>
          <w:rFonts w:hint="eastAsia" w:ascii="宋体" w:hAnsi="宋体" w:eastAsia="宋体" w:cs="宋体"/>
          <w:b/>
          <w:color w:val="auto"/>
          <w:sz w:val="24"/>
          <w:szCs w:val="24"/>
        </w:rPr>
        <w:t>月</w:t>
      </w:r>
      <w:r>
        <w:rPr>
          <w:rFonts w:hint="eastAsia" w:ascii="宋体" w:hAnsi="宋体" w:eastAsia="宋体" w:cs="宋体"/>
          <w:b/>
          <w:color w:val="auto"/>
          <w:sz w:val="24"/>
          <w:szCs w:val="24"/>
          <w:lang w:val="en-US" w:eastAsia="zh-CN"/>
        </w:rPr>
        <w:t>25</w:t>
      </w:r>
      <w:r>
        <w:rPr>
          <w:rFonts w:hint="eastAsia" w:ascii="宋体" w:hAnsi="宋体" w:eastAsia="宋体" w:cs="宋体"/>
          <w:b/>
          <w:color w:val="auto"/>
          <w:sz w:val="24"/>
          <w:szCs w:val="24"/>
        </w:rPr>
        <w:t>日</w:t>
      </w:r>
    </w:p>
    <w:p>
      <w:pPr>
        <w:spacing w:line="360" w:lineRule="auto"/>
        <w:ind w:right="272"/>
        <w:jc w:val="center"/>
        <w:rPr>
          <w:rFonts w:hint="eastAsia" w:ascii="宋体" w:hAnsi="宋体" w:eastAsia="宋体" w:cs="宋体"/>
          <w:b/>
          <w:sz w:val="24"/>
          <w:szCs w:val="24"/>
        </w:rPr>
      </w:pPr>
      <w:r>
        <w:rPr>
          <w:rFonts w:hint="eastAsia" w:ascii="宋体" w:hAnsi="宋体" w:eastAsia="宋体" w:cs="宋体"/>
          <w:b/>
          <w:sz w:val="24"/>
          <w:szCs w:val="24"/>
        </w:rPr>
        <w:t>（安全评价机构公章）</w:t>
      </w:r>
    </w:p>
    <w:p>
      <w:pPr>
        <w:ind w:right="272"/>
        <w:jc w:val="center"/>
        <w:rPr>
          <w:rFonts w:hint="eastAsia" w:ascii="宋体" w:hAnsi="宋体" w:eastAsia="宋体" w:cs="宋体"/>
          <w:b/>
          <w:sz w:val="32"/>
          <w:szCs w:val="32"/>
        </w:rPr>
      </w:pPr>
    </w:p>
    <w:p>
      <w:pPr>
        <w:rPr>
          <w:rFonts w:hint="eastAsia" w:ascii="宋体" w:hAnsi="宋体" w:eastAsia="宋体" w:cs="宋体"/>
          <w:sz w:val="32"/>
          <w:szCs w:val="32"/>
        </w:rPr>
      </w:pPr>
      <w:r>
        <w:rPr>
          <w:rFonts w:hint="eastAsia" w:ascii="宋体" w:hAnsi="宋体" w:eastAsia="宋体" w:cs="宋体"/>
          <w:sz w:val="32"/>
          <w:szCs w:val="32"/>
        </w:rPr>
        <w:br w:type="page"/>
      </w:r>
    </w:p>
    <w:p>
      <w:pPr>
        <w:jc w:val="center"/>
        <w:rPr>
          <w:rFonts w:hint="eastAsia" w:ascii="宋体" w:hAnsi="宋体" w:eastAsia="宋体" w:cs="宋体"/>
          <w:sz w:val="32"/>
          <w:szCs w:val="32"/>
        </w:rPr>
        <w:sectPr>
          <w:pgSz w:w="11910" w:h="16840"/>
          <w:pgMar w:top="1417" w:right="1134" w:bottom="1134" w:left="1587" w:header="720" w:footer="720" w:gutter="0"/>
          <w:pgNumType w:fmt="decimal"/>
          <w:cols w:space="0" w:num="1"/>
        </w:sectPr>
      </w:pPr>
    </w:p>
    <w:p>
      <w:pPr>
        <w:spacing w:line="360" w:lineRule="auto"/>
        <w:jc w:val="center"/>
        <w:rPr>
          <w:rFonts w:hint="eastAsia" w:ascii="宋体" w:hAnsi="宋体" w:eastAsia="宋体" w:cs="宋体"/>
          <w:bCs/>
          <w:sz w:val="44"/>
          <w:szCs w:val="44"/>
        </w:rPr>
      </w:pPr>
      <w:r>
        <w:rPr>
          <w:rFonts w:hint="eastAsia" w:ascii="宋体" w:hAnsi="宋体" w:eastAsia="宋体" w:cs="宋体"/>
          <w:b/>
          <w:sz w:val="32"/>
          <w:szCs w:val="32"/>
          <w:lang w:eastAsia="zh-CN"/>
        </w:rPr>
        <w:t>中国石化销售股份有限公司广东东莞寮步横坑加油站</w:t>
      </w:r>
      <w:r>
        <w:rPr>
          <w:rFonts w:hint="eastAsia" w:ascii="宋体" w:hAnsi="宋体" w:eastAsia="宋体" w:cs="宋体"/>
          <w:b/>
          <w:sz w:val="32"/>
          <w:szCs w:val="32"/>
        </w:rPr>
        <w:t>改建项目</w:t>
      </w:r>
    </w:p>
    <w:p>
      <w:pPr>
        <w:spacing w:line="360" w:lineRule="auto"/>
        <w:jc w:val="center"/>
        <w:rPr>
          <w:rFonts w:hint="eastAsia" w:ascii="宋体" w:hAnsi="宋体" w:eastAsia="宋体" w:cs="宋体"/>
          <w:b/>
          <w:sz w:val="32"/>
          <w:szCs w:val="32"/>
        </w:rPr>
      </w:pPr>
      <w:r>
        <w:rPr>
          <w:rFonts w:hint="eastAsia" w:ascii="宋体" w:hAnsi="宋体" w:eastAsia="宋体" w:cs="宋体"/>
          <w:b/>
          <w:sz w:val="32"/>
          <w:szCs w:val="32"/>
        </w:rPr>
        <w:t>安全设施竣工验收安全评价报告</w:t>
      </w:r>
    </w:p>
    <w:p>
      <w:pPr>
        <w:spacing w:before="120" w:beforeLines="50" w:after="120" w:afterLines="50" w:line="560" w:lineRule="exact"/>
        <w:jc w:val="center"/>
        <w:rPr>
          <w:rFonts w:hint="eastAsia" w:ascii="宋体" w:hAnsi="宋体" w:eastAsia="宋体" w:cs="宋体"/>
          <w:b/>
          <w:bCs/>
          <w:sz w:val="32"/>
          <w:szCs w:val="32"/>
        </w:rPr>
      </w:pPr>
      <w:r>
        <w:rPr>
          <w:rFonts w:hint="eastAsia" w:ascii="宋体" w:hAnsi="宋体" w:eastAsia="宋体" w:cs="宋体"/>
          <w:b/>
          <w:bCs/>
          <w:sz w:val="32"/>
          <w:szCs w:val="32"/>
        </w:rPr>
        <w:t>评价人员</w:t>
      </w:r>
    </w:p>
    <w:tbl>
      <w:tblPr>
        <w:tblStyle w:val="15"/>
        <w:tblW w:w="99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1"/>
        <w:gridCol w:w="1335"/>
        <w:gridCol w:w="2242"/>
        <w:gridCol w:w="1694"/>
        <w:gridCol w:w="1623"/>
        <w:gridCol w:w="1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1501" w:type="dxa"/>
            <w:vAlign w:val="center"/>
          </w:tcPr>
          <w:p>
            <w:pPr>
              <w:keepNext w:val="0"/>
              <w:keepLines w:val="0"/>
              <w:suppressLineNumbers w:val="0"/>
              <w:spacing w:before="0" w:beforeAutospacing="0" w:after="0" w:afterAutospacing="0" w:line="440" w:lineRule="exact"/>
              <w:ind w:left="0" w:right="0" w:firstLine="482"/>
              <w:rPr>
                <w:rFonts w:hint="eastAsia" w:ascii="宋体" w:hAnsi="宋体" w:eastAsia="宋体" w:cs="宋体"/>
                <w:bCs/>
                <w:kern w:val="2"/>
                <w:sz w:val="24"/>
              </w:rPr>
            </w:pPr>
          </w:p>
        </w:tc>
        <w:tc>
          <w:tcPr>
            <w:tcW w:w="1335" w:type="dxa"/>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
                <w:bCs/>
                <w:kern w:val="2"/>
                <w:sz w:val="24"/>
              </w:rPr>
            </w:pPr>
            <w:r>
              <w:rPr>
                <w:rFonts w:hint="eastAsia" w:ascii="宋体" w:hAnsi="宋体" w:eastAsia="宋体" w:cs="宋体"/>
                <w:b/>
                <w:bCs/>
                <w:kern w:val="2"/>
                <w:sz w:val="24"/>
              </w:rPr>
              <w:t>姓  名</w:t>
            </w:r>
          </w:p>
        </w:tc>
        <w:tc>
          <w:tcPr>
            <w:tcW w:w="2242" w:type="dxa"/>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
                <w:bCs/>
                <w:kern w:val="2"/>
                <w:sz w:val="24"/>
              </w:rPr>
            </w:pPr>
            <w:r>
              <w:rPr>
                <w:rFonts w:hint="eastAsia" w:ascii="宋体" w:hAnsi="宋体" w:eastAsia="宋体" w:cs="宋体"/>
                <w:b/>
                <w:bCs/>
                <w:kern w:val="2"/>
                <w:sz w:val="24"/>
              </w:rPr>
              <w:t>安全评价师证编号</w:t>
            </w:r>
          </w:p>
        </w:tc>
        <w:tc>
          <w:tcPr>
            <w:tcW w:w="1694" w:type="dxa"/>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
                <w:bCs/>
                <w:kern w:val="2"/>
                <w:sz w:val="24"/>
              </w:rPr>
            </w:pPr>
            <w:r>
              <w:rPr>
                <w:rFonts w:hint="eastAsia" w:ascii="宋体" w:hAnsi="宋体" w:eastAsia="宋体" w:cs="宋体"/>
                <w:b/>
                <w:bCs/>
                <w:kern w:val="2"/>
                <w:sz w:val="24"/>
              </w:rPr>
              <w:t>从业信息编号</w:t>
            </w:r>
          </w:p>
        </w:tc>
        <w:tc>
          <w:tcPr>
            <w:tcW w:w="1623" w:type="dxa"/>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
                <w:bCs/>
                <w:kern w:val="2"/>
                <w:sz w:val="24"/>
                <w:lang w:eastAsia="zh-CN"/>
              </w:rPr>
            </w:pPr>
            <w:r>
              <w:rPr>
                <w:rFonts w:hint="eastAsia" w:cs="宋体"/>
                <w:b/>
                <w:bCs/>
                <w:kern w:val="2"/>
                <w:sz w:val="24"/>
                <w:lang w:eastAsia="zh-CN"/>
              </w:rPr>
              <w:t>专业</w:t>
            </w:r>
          </w:p>
        </w:tc>
        <w:tc>
          <w:tcPr>
            <w:tcW w:w="1536" w:type="dxa"/>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
                <w:bCs/>
                <w:kern w:val="2"/>
                <w:sz w:val="24"/>
              </w:rPr>
            </w:pPr>
            <w:r>
              <w:rPr>
                <w:rFonts w:hint="eastAsia" w:ascii="宋体" w:hAnsi="宋体" w:eastAsia="宋体" w:cs="宋体"/>
                <w:b/>
                <w:bCs/>
                <w:kern w:val="2"/>
                <w:sz w:val="24"/>
              </w:rPr>
              <w:t>签  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jc w:val="center"/>
        </w:trPr>
        <w:tc>
          <w:tcPr>
            <w:tcW w:w="1501" w:type="dxa"/>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rPr>
            </w:pPr>
            <w:r>
              <w:rPr>
                <w:rFonts w:hint="eastAsia" w:ascii="宋体" w:hAnsi="宋体" w:eastAsia="宋体" w:cs="宋体"/>
                <w:bCs/>
                <w:kern w:val="2"/>
                <w:sz w:val="24"/>
              </w:rPr>
              <w:t>项目负责人</w:t>
            </w:r>
          </w:p>
        </w:tc>
        <w:tc>
          <w:tcPr>
            <w:tcW w:w="1335" w:type="dxa"/>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rPr>
            </w:pPr>
            <w:r>
              <w:rPr>
                <w:rFonts w:hint="eastAsia" w:ascii="宋体" w:hAnsi="宋体" w:eastAsia="宋体" w:cs="宋体"/>
                <w:bCs/>
                <w:kern w:val="2"/>
                <w:sz w:val="24"/>
              </w:rPr>
              <w:t>彭书萍</w:t>
            </w:r>
          </w:p>
        </w:tc>
        <w:tc>
          <w:tcPr>
            <w:tcW w:w="2242" w:type="dxa"/>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rPr>
            </w:pPr>
            <w:r>
              <w:rPr>
                <w:rFonts w:hint="eastAsia" w:ascii="宋体" w:hAnsi="宋体" w:eastAsia="宋体" w:cs="宋体"/>
                <w:bCs/>
                <w:kern w:val="2"/>
                <w:sz w:val="24"/>
              </w:rPr>
              <w:t>1800000000201047</w:t>
            </w:r>
          </w:p>
        </w:tc>
        <w:tc>
          <w:tcPr>
            <w:tcW w:w="1694" w:type="dxa"/>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rPr>
            </w:pPr>
            <w:r>
              <w:rPr>
                <w:rFonts w:hint="eastAsia" w:ascii="宋体" w:hAnsi="宋体" w:eastAsia="宋体" w:cs="宋体"/>
                <w:bCs/>
                <w:kern w:val="2"/>
                <w:sz w:val="24"/>
              </w:rPr>
              <w:t>033515</w:t>
            </w:r>
          </w:p>
        </w:tc>
        <w:tc>
          <w:tcPr>
            <w:tcW w:w="1623" w:type="dxa"/>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lang w:eastAsia="zh-CN"/>
              </w:rPr>
            </w:pPr>
            <w:r>
              <w:rPr>
                <w:rFonts w:hint="eastAsia" w:cs="宋体"/>
                <w:bCs/>
                <w:kern w:val="2"/>
                <w:sz w:val="24"/>
                <w:lang w:eastAsia="zh-CN"/>
              </w:rPr>
              <w:t>化工工艺</w:t>
            </w:r>
          </w:p>
        </w:tc>
        <w:tc>
          <w:tcPr>
            <w:tcW w:w="1536" w:type="dxa"/>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1501" w:type="dxa"/>
            <w:vMerge w:val="restart"/>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rPr>
            </w:pPr>
            <w:r>
              <w:rPr>
                <w:rFonts w:hint="eastAsia" w:ascii="宋体" w:hAnsi="宋体" w:eastAsia="宋体" w:cs="宋体"/>
                <w:bCs/>
                <w:kern w:val="2"/>
                <w:sz w:val="24"/>
              </w:rPr>
              <w:t>项目组成员</w:t>
            </w:r>
          </w:p>
        </w:tc>
        <w:tc>
          <w:tcPr>
            <w:tcW w:w="1335" w:type="dxa"/>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rPr>
            </w:pPr>
            <w:r>
              <w:rPr>
                <w:rFonts w:hint="eastAsia" w:ascii="宋体" w:hAnsi="宋体" w:eastAsia="宋体" w:cs="宋体"/>
                <w:bCs/>
                <w:kern w:val="2"/>
                <w:sz w:val="24"/>
              </w:rPr>
              <w:t>程军</w:t>
            </w:r>
          </w:p>
        </w:tc>
        <w:tc>
          <w:tcPr>
            <w:tcW w:w="2242" w:type="dxa"/>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rPr>
            </w:pPr>
            <w:r>
              <w:rPr>
                <w:rFonts w:hint="eastAsia" w:ascii="宋体" w:hAnsi="宋体" w:eastAsia="宋体" w:cs="宋体"/>
                <w:bCs/>
                <w:kern w:val="2"/>
                <w:sz w:val="24"/>
              </w:rPr>
              <w:t>1100000000200116</w:t>
            </w:r>
          </w:p>
        </w:tc>
        <w:tc>
          <w:tcPr>
            <w:tcW w:w="1694" w:type="dxa"/>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rPr>
            </w:pPr>
            <w:r>
              <w:rPr>
                <w:rFonts w:hint="eastAsia" w:ascii="宋体" w:hAnsi="宋体" w:eastAsia="宋体" w:cs="宋体"/>
                <w:bCs/>
                <w:kern w:val="2"/>
                <w:sz w:val="24"/>
              </w:rPr>
              <w:t>019388</w:t>
            </w:r>
          </w:p>
        </w:tc>
        <w:tc>
          <w:tcPr>
            <w:tcW w:w="1623" w:type="dxa"/>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lang w:eastAsia="zh-CN"/>
              </w:rPr>
            </w:pPr>
            <w:r>
              <w:rPr>
                <w:rFonts w:hint="eastAsia" w:cs="宋体"/>
                <w:bCs/>
                <w:kern w:val="2"/>
                <w:sz w:val="24"/>
                <w:lang w:eastAsia="zh-CN"/>
              </w:rPr>
              <w:t>安全</w:t>
            </w:r>
          </w:p>
        </w:tc>
        <w:tc>
          <w:tcPr>
            <w:tcW w:w="1536" w:type="dxa"/>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1501" w:type="dxa"/>
            <w:vMerge w:val="continue"/>
            <w:tcBorders/>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rPr>
            </w:pPr>
          </w:p>
        </w:tc>
        <w:tc>
          <w:tcPr>
            <w:tcW w:w="1335" w:type="dxa"/>
            <w:vAlign w:val="center"/>
          </w:tcPr>
          <w:p>
            <w:pPr>
              <w:keepNext w:val="0"/>
              <w:keepLines w:val="0"/>
              <w:suppressLineNumbers w:val="0"/>
              <w:spacing w:before="0" w:beforeAutospacing="0" w:after="0" w:afterAutospacing="0" w:line="440" w:lineRule="exact"/>
              <w:ind w:left="0" w:leftChars="0" w:right="0" w:rightChars="0"/>
              <w:jc w:val="center"/>
              <w:rPr>
                <w:rFonts w:hint="eastAsia" w:ascii="宋体" w:hAnsi="宋体" w:eastAsia="宋体" w:cs="宋体"/>
                <w:bCs/>
                <w:kern w:val="2"/>
                <w:sz w:val="24"/>
                <w:szCs w:val="22"/>
                <w:lang w:val="zh-CN" w:eastAsia="zh-CN" w:bidi="zh-CN"/>
              </w:rPr>
            </w:pPr>
            <w:r>
              <w:rPr>
                <w:rFonts w:hint="eastAsia" w:cs="宋体"/>
                <w:bCs/>
                <w:kern w:val="2"/>
                <w:sz w:val="24"/>
                <w:lang w:eastAsia="zh-CN"/>
              </w:rPr>
              <w:t>刘云飞</w:t>
            </w:r>
          </w:p>
        </w:tc>
        <w:tc>
          <w:tcPr>
            <w:tcW w:w="2242" w:type="dxa"/>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rPr>
            </w:pPr>
            <w:r>
              <w:rPr>
                <w:rFonts w:hint="eastAsia" w:ascii="宋体" w:hAnsi="宋体" w:eastAsia="宋体" w:cs="宋体"/>
                <w:bCs/>
                <w:kern w:val="2"/>
                <w:sz w:val="24"/>
              </w:rPr>
              <w:t>1700000000200140</w:t>
            </w:r>
          </w:p>
        </w:tc>
        <w:tc>
          <w:tcPr>
            <w:tcW w:w="1694" w:type="dxa"/>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rPr>
            </w:pPr>
            <w:r>
              <w:rPr>
                <w:rFonts w:hint="eastAsia" w:ascii="宋体" w:hAnsi="宋体" w:eastAsia="宋体" w:cs="宋体"/>
                <w:bCs/>
                <w:kern w:val="2"/>
                <w:sz w:val="24"/>
              </w:rPr>
              <w:t>020254</w:t>
            </w:r>
          </w:p>
        </w:tc>
        <w:tc>
          <w:tcPr>
            <w:tcW w:w="1623" w:type="dxa"/>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lang w:eastAsia="zh-CN"/>
              </w:rPr>
            </w:pPr>
            <w:r>
              <w:rPr>
                <w:rFonts w:hint="eastAsia" w:cs="宋体"/>
                <w:bCs/>
                <w:kern w:val="2"/>
                <w:sz w:val="24"/>
                <w:lang w:eastAsia="zh-CN"/>
              </w:rPr>
              <w:t>化工机械</w:t>
            </w:r>
          </w:p>
        </w:tc>
        <w:tc>
          <w:tcPr>
            <w:tcW w:w="1536" w:type="dxa"/>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501" w:type="dxa"/>
            <w:vMerge w:val="continue"/>
            <w:tcBorders/>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rPr>
            </w:pPr>
          </w:p>
        </w:tc>
        <w:tc>
          <w:tcPr>
            <w:tcW w:w="1335" w:type="dxa"/>
            <w:vAlign w:val="center"/>
          </w:tcPr>
          <w:p>
            <w:pPr>
              <w:keepNext w:val="0"/>
              <w:keepLines w:val="0"/>
              <w:suppressLineNumbers w:val="0"/>
              <w:spacing w:before="0" w:beforeAutospacing="0" w:after="0" w:afterAutospacing="0" w:line="440" w:lineRule="exact"/>
              <w:ind w:left="0" w:leftChars="0" w:right="0" w:rightChars="0"/>
              <w:jc w:val="center"/>
              <w:rPr>
                <w:rFonts w:hint="eastAsia" w:ascii="宋体" w:hAnsi="宋体" w:eastAsia="宋体" w:cs="宋体"/>
                <w:bCs/>
                <w:kern w:val="2"/>
                <w:sz w:val="24"/>
                <w:szCs w:val="22"/>
                <w:lang w:val="zh-CN" w:eastAsia="zh-CN" w:bidi="zh-CN"/>
              </w:rPr>
            </w:pPr>
            <w:r>
              <w:rPr>
                <w:rFonts w:hint="eastAsia" w:cs="宋体"/>
                <w:bCs/>
                <w:kern w:val="2"/>
                <w:sz w:val="24"/>
                <w:lang w:eastAsia="zh-CN"/>
              </w:rPr>
              <w:t>高领超</w:t>
            </w:r>
          </w:p>
        </w:tc>
        <w:tc>
          <w:tcPr>
            <w:tcW w:w="2242" w:type="dxa"/>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rPr>
            </w:pPr>
            <w:r>
              <w:rPr>
                <w:rFonts w:hint="eastAsia" w:ascii="宋体" w:hAnsi="宋体" w:eastAsia="宋体" w:cs="宋体"/>
                <w:bCs/>
                <w:kern w:val="2"/>
                <w:sz w:val="24"/>
              </w:rPr>
              <w:t>1600000000300318</w:t>
            </w:r>
          </w:p>
        </w:tc>
        <w:tc>
          <w:tcPr>
            <w:tcW w:w="1694" w:type="dxa"/>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rPr>
            </w:pPr>
            <w:r>
              <w:rPr>
                <w:rFonts w:hint="eastAsia" w:ascii="宋体" w:hAnsi="宋体" w:eastAsia="宋体" w:cs="宋体"/>
                <w:bCs/>
                <w:kern w:val="2"/>
                <w:sz w:val="24"/>
              </w:rPr>
              <w:t>031667</w:t>
            </w:r>
          </w:p>
        </w:tc>
        <w:tc>
          <w:tcPr>
            <w:tcW w:w="1623" w:type="dxa"/>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lang w:eastAsia="zh-CN"/>
              </w:rPr>
            </w:pPr>
            <w:r>
              <w:rPr>
                <w:rFonts w:hint="eastAsia" w:cs="宋体"/>
                <w:bCs/>
                <w:kern w:val="2"/>
                <w:sz w:val="24"/>
                <w:lang w:eastAsia="zh-CN"/>
              </w:rPr>
              <w:t>电气</w:t>
            </w:r>
          </w:p>
        </w:tc>
        <w:tc>
          <w:tcPr>
            <w:tcW w:w="1536" w:type="dxa"/>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1501" w:type="dxa"/>
            <w:vMerge w:val="continue"/>
            <w:tcBorders/>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rPr>
            </w:pPr>
          </w:p>
        </w:tc>
        <w:tc>
          <w:tcPr>
            <w:tcW w:w="1335" w:type="dxa"/>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lang w:eastAsia="zh-CN"/>
              </w:rPr>
            </w:pPr>
            <w:r>
              <w:rPr>
                <w:rFonts w:hint="eastAsia" w:cs="宋体"/>
                <w:bCs/>
                <w:kern w:val="2"/>
                <w:sz w:val="24"/>
                <w:lang w:eastAsia="zh-CN"/>
              </w:rPr>
              <w:t>任长江</w:t>
            </w:r>
          </w:p>
        </w:tc>
        <w:tc>
          <w:tcPr>
            <w:tcW w:w="2242" w:type="dxa"/>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rPr>
            </w:pPr>
            <w:r>
              <w:rPr>
                <w:rFonts w:hint="eastAsia" w:ascii="宋体" w:hAnsi="宋体" w:eastAsia="宋体" w:cs="宋体"/>
                <w:bCs/>
                <w:kern w:val="2"/>
                <w:sz w:val="24"/>
              </w:rPr>
              <w:t>1600000000200301</w:t>
            </w:r>
          </w:p>
        </w:tc>
        <w:tc>
          <w:tcPr>
            <w:tcW w:w="1694" w:type="dxa"/>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rPr>
            </w:pPr>
            <w:r>
              <w:rPr>
                <w:rFonts w:hint="eastAsia" w:ascii="宋体" w:hAnsi="宋体" w:eastAsia="宋体" w:cs="宋体"/>
                <w:bCs/>
                <w:kern w:val="2"/>
                <w:sz w:val="24"/>
              </w:rPr>
              <w:t>028500</w:t>
            </w:r>
          </w:p>
        </w:tc>
        <w:tc>
          <w:tcPr>
            <w:tcW w:w="1623" w:type="dxa"/>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lang w:eastAsia="zh-CN"/>
              </w:rPr>
            </w:pPr>
            <w:r>
              <w:rPr>
                <w:rFonts w:hint="eastAsia" w:cs="宋体"/>
                <w:bCs/>
                <w:kern w:val="2"/>
                <w:sz w:val="24"/>
                <w:lang w:eastAsia="zh-CN"/>
              </w:rPr>
              <w:t>自动化</w:t>
            </w:r>
          </w:p>
        </w:tc>
        <w:tc>
          <w:tcPr>
            <w:tcW w:w="1536" w:type="dxa"/>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1501" w:type="dxa"/>
            <w:vMerge w:val="continue"/>
            <w:tcBorders/>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rPr>
            </w:pPr>
          </w:p>
        </w:tc>
        <w:tc>
          <w:tcPr>
            <w:tcW w:w="1335" w:type="dxa"/>
            <w:vAlign w:val="center"/>
          </w:tcPr>
          <w:p>
            <w:pPr>
              <w:keepNext w:val="0"/>
              <w:keepLines w:val="0"/>
              <w:suppressLineNumbers w:val="0"/>
              <w:spacing w:before="0" w:beforeAutospacing="0" w:after="0" w:afterAutospacing="0" w:line="440" w:lineRule="exact"/>
              <w:ind w:left="0" w:leftChars="0" w:right="0" w:rightChars="0"/>
              <w:jc w:val="center"/>
              <w:rPr>
                <w:rFonts w:hint="eastAsia" w:ascii="宋体" w:hAnsi="宋体" w:eastAsia="宋体" w:cs="宋体"/>
                <w:bCs/>
                <w:kern w:val="2"/>
                <w:sz w:val="24"/>
                <w:szCs w:val="22"/>
                <w:lang w:val="zh-CN" w:eastAsia="zh-CN" w:bidi="zh-CN"/>
              </w:rPr>
            </w:pPr>
            <w:r>
              <w:rPr>
                <w:rFonts w:hint="eastAsia" w:ascii="宋体" w:hAnsi="宋体" w:eastAsia="宋体" w:cs="宋体"/>
                <w:bCs/>
                <w:kern w:val="2"/>
                <w:sz w:val="24"/>
              </w:rPr>
              <w:t>杨园园</w:t>
            </w:r>
          </w:p>
        </w:tc>
        <w:tc>
          <w:tcPr>
            <w:tcW w:w="2242" w:type="dxa"/>
            <w:vAlign w:val="center"/>
          </w:tcPr>
          <w:p>
            <w:pPr>
              <w:keepNext w:val="0"/>
              <w:keepLines w:val="0"/>
              <w:suppressLineNumbers w:val="0"/>
              <w:spacing w:before="0" w:beforeAutospacing="0" w:after="0" w:afterAutospacing="0" w:line="440" w:lineRule="exact"/>
              <w:ind w:left="0" w:leftChars="0" w:right="0" w:rightChars="0"/>
              <w:jc w:val="center"/>
              <w:rPr>
                <w:rFonts w:hint="eastAsia" w:ascii="宋体" w:hAnsi="宋体" w:eastAsia="宋体" w:cs="宋体"/>
                <w:bCs/>
                <w:kern w:val="2"/>
                <w:sz w:val="24"/>
                <w:szCs w:val="22"/>
                <w:lang w:val="zh-CN" w:eastAsia="zh-CN" w:bidi="zh-CN"/>
              </w:rPr>
            </w:pPr>
            <w:r>
              <w:rPr>
                <w:rFonts w:hint="eastAsia" w:ascii="宋体" w:hAnsi="宋体" w:eastAsia="宋体" w:cs="宋体"/>
                <w:bCs/>
                <w:kern w:val="2"/>
                <w:sz w:val="24"/>
              </w:rPr>
              <w:t>1500000000301948</w:t>
            </w:r>
          </w:p>
        </w:tc>
        <w:tc>
          <w:tcPr>
            <w:tcW w:w="1694" w:type="dxa"/>
            <w:vAlign w:val="center"/>
          </w:tcPr>
          <w:p>
            <w:pPr>
              <w:keepNext w:val="0"/>
              <w:keepLines w:val="0"/>
              <w:suppressLineNumbers w:val="0"/>
              <w:spacing w:before="0" w:beforeAutospacing="0" w:after="0" w:afterAutospacing="0" w:line="440" w:lineRule="exact"/>
              <w:ind w:left="0" w:leftChars="0" w:right="0" w:rightChars="0"/>
              <w:jc w:val="center"/>
              <w:rPr>
                <w:rFonts w:hint="eastAsia" w:ascii="宋体" w:hAnsi="宋体" w:eastAsia="宋体" w:cs="宋体"/>
                <w:bCs/>
                <w:kern w:val="2"/>
                <w:sz w:val="24"/>
                <w:szCs w:val="22"/>
                <w:lang w:val="zh-CN" w:eastAsia="zh-CN" w:bidi="zh-CN"/>
              </w:rPr>
            </w:pPr>
            <w:r>
              <w:rPr>
                <w:rFonts w:hint="eastAsia" w:ascii="宋体" w:hAnsi="宋体" w:eastAsia="宋体" w:cs="宋体"/>
                <w:bCs/>
                <w:kern w:val="2"/>
                <w:sz w:val="24"/>
              </w:rPr>
              <w:t>026603</w:t>
            </w:r>
          </w:p>
        </w:tc>
        <w:tc>
          <w:tcPr>
            <w:tcW w:w="1623" w:type="dxa"/>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rPr>
            </w:pPr>
            <w:r>
              <w:rPr>
                <w:rFonts w:hint="eastAsia" w:cs="宋体"/>
                <w:bCs/>
                <w:kern w:val="2"/>
                <w:sz w:val="24"/>
                <w:lang w:eastAsia="zh-CN"/>
              </w:rPr>
              <w:t>化工工艺</w:t>
            </w:r>
          </w:p>
        </w:tc>
        <w:tc>
          <w:tcPr>
            <w:tcW w:w="1536" w:type="dxa"/>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1501" w:type="dxa"/>
            <w:vMerge w:val="restart"/>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rPr>
            </w:pPr>
            <w:r>
              <w:rPr>
                <w:rFonts w:hint="eastAsia" w:ascii="宋体" w:hAnsi="宋体" w:eastAsia="宋体" w:cs="宋体"/>
                <w:bCs/>
                <w:kern w:val="2"/>
                <w:sz w:val="24"/>
              </w:rPr>
              <w:t>报告编制人</w:t>
            </w:r>
          </w:p>
        </w:tc>
        <w:tc>
          <w:tcPr>
            <w:tcW w:w="1335" w:type="dxa"/>
            <w:vAlign w:val="center"/>
          </w:tcPr>
          <w:p>
            <w:pPr>
              <w:keepNext w:val="0"/>
              <w:keepLines w:val="0"/>
              <w:suppressLineNumbers w:val="0"/>
              <w:spacing w:before="0" w:beforeAutospacing="0" w:after="0" w:afterAutospacing="0" w:line="440" w:lineRule="exact"/>
              <w:ind w:left="0" w:leftChars="0" w:right="0" w:rightChars="0"/>
              <w:jc w:val="center"/>
              <w:rPr>
                <w:rFonts w:hint="eastAsia" w:ascii="宋体" w:hAnsi="宋体" w:eastAsia="宋体" w:cs="宋体"/>
                <w:bCs/>
                <w:kern w:val="2"/>
                <w:sz w:val="24"/>
                <w:szCs w:val="22"/>
                <w:lang w:val="zh-CN" w:eastAsia="zh-CN" w:bidi="zh-CN"/>
              </w:rPr>
            </w:pPr>
            <w:r>
              <w:rPr>
                <w:rFonts w:hint="eastAsia" w:ascii="宋体" w:hAnsi="宋体" w:eastAsia="宋体" w:cs="宋体"/>
                <w:bCs/>
                <w:kern w:val="2"/>
                <w:sz w:val="24"/>
              </w:rPr>
              <w:t>彭书萍</w:t>
            </w:r>
          </w:p>
        </w:tc>
        <w:tc>
          <w:tcPr>
            <w:tcW w:w="2242" w:type="dxa"/>
            <w:vAlign w:val="center"/>
          </w:tcPr>
          <w:p>
            <w:pPr>
              <w:keepNext w:val="0"/>
              <w:keepLines w:val="0"/>
              <w:suppressLineNumbers w:val="0"/>
              <w:spacing w:before="0" w:beforeAutospacing="0" w:after="0" w:afterAutospacing="0" w:line="440" w:lineRule="exact"/>
              <w:ind w:left="0" w:leftChars="0" w:right="0" w:rightChars="0"/>
              <w:jc w:val="center"/>
              <w:rPr>
                <w:rFonts w:hint="eastAsia" w:ascii="宋体" w:hAnsi="宋体" w:eastAsia="宋体" w:cs="宋体"/>
                <w:bCs/>
                <w:kern w:val="2"/>
                <w:sz w:val="24"/>
                <w:szCs w:val="22"/>
                <w:lang w:val="zh-CN" w:eastAsia="zh-CN" w:bidi="zh-CN"/>
              </w:rPr>
            </w:pPr>
            <w:r>
              <w:rPr>
                <w:rFonts w:hint="eastAsia" w:ascii="宋体" w:hAnsi="宋体" w:eastAsia="宋体" w:cs="宋体"/>
                <w:bCs/>
                <w:kern w:val="2"/>
                <w:sz w:val="24"/>
              </w:rPr>
              <w:t>1800000000201047</w:t>
            </w:r>
          </w:p>
        </w:tc>
        <w:tc>
          <w:tcPr>
            <w:tcW w:w="1694" w:type="dxa"/>
            <w:vAlign w:val="center"/>
          </w:tcPr>
          <w:p>
            <w:pPr>
              <w:keepNext w:val="0"/>
              <w:keepLines w:val="0"/>
              <w:suppressLineNumbers w:val="0"/>
              <w:spacing w:before="0" w:beforeAutospacing="0" w:after="0" w:afterAutospacing="0" w:line="440" w:lineRule="exact"/>
              <w:ind w:left="0" w:leftChars="0" w:right="0" w:rightChars="0"/>
              <w:jc w:val="center"/>
              <w:rPr>
                <w:rFonts w:hint="eastAsia" w:ascii="宋体" w:hAnsi="宋体" w:eastAsia="宋体" w:cs="宋体"/>
                <w:bCs/>
                <w:kern w:val="2"/>
                <w:sz w:val="24"/>
                <w:szCs w:val="22"/>
                <w:lang w:val="zh-CN" w:eastAsia="zh-CN" w:bidi="zh-CN"/>
              </w:rPr>
            </w:pPr>
            <w:r>
              <w:rPr>
                <w:rFonts w:hint="eastAsia" w:ascii="宋体" w:hAnsi="宋体" w:eastAsia="宋体" w:cs="宋体"/>
                <w:bCs/>
                <w:kern w:val="2"/>
                <w:sz w:val="24"/>
              </w:rPr>
              <w:t>033515</w:t>
            </w:r>
          </w:p>
        </w:tc>
        <w:tc>
          <w:tcPr>
            <w:tcW w:w="1623" w:type="dxa"/>
            <w:vAlign w:val="center"/>
          </w:tcPr>
          <w:p>
            <w:pPr>
              <w:keepNext w:val="0"/>
              <w:keepLines w:val="0"/>
              <w:suppressLineNumbers w:val="0"/>
              <w:spacing w:before="0" w:beforeAutospacing="0" w:after="0" w:afterAutospacing="0" w:line="440" w:lineRule="exact"/>
              <w:ind w:left="0" w:leftChars="0" w:right="0" w:rightChars="0"/>
              <w:jc w:val="center"/>
              <w:rPr>
                <w:rFonts w:hint="eastAsia" w:ascii="宋体" w:hAnsi="宋体" w:eastAsia="宋体" w:cs="宋体"/>
                <w:bCs/>
                <w:kern w:val="2"/>
                <w:sz w:val="24"/>
                <w:szCs w:val="22"/>
                <w:lang w:val="zh-CN" w:eastAsia="zh-CN" w:bidi="zh-CN"/>
              </w:rPr>
            </w:pPr>
            <w:r>
              <w:rPr>
                <w:rFonts w:hint="eastAsia" w:cs="宋体"/>
                <w:bCs/>
                <w:kern w:val="2"/>
                <w:sz w:val="24"/>
                <w:lang w:eastAsia="zh-CN"/>
              </w:rPr>
              <w:t>化工工艺</w:t>
            </w:r>
          </w:p>
        </w:tc>
        <w:tc>
          <w:tcPr>
            <w:tcW w:w="1536" w:type="dxa"/>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1501" w:type="dxa"/>
            <w:vMerge w:val="continue"/>
            <w:tcBorders/>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rPr>
            </w:pPr>
          </w:p>
        </w:tc>
        <w:tc>
          <w:tcPr>
            <w:tcW w:w="1335" w:type="dxa"/>
            <w:vAlign w:val="center"/>
          </w:tcPr>
          <w:p>
            <w:pPr>
              <w:keepNext w:val="0"/>
              <w:keepLines w:val="0"/>
              <w:suppressLineNumbers w:val="0"/>
              <w:spacing w:before="0" w:beforeAutospacing="0" w:after="0" w:afterAutospacing="0" w:line="440" w:lineRule="exact"/>
              <w:ind w:left="0" w:leftChars="0" w:right="0" w:rightChars="0"/>
              <w:jc w:val="center"/>
              <w:rPr>
                <w:rFonts w:hint="eastAsia" w:ascii="宋体" w:hAnsi="宋体" w:eastAsia="宋体" w:cs="宋体"/>
                <w:bCs/>
                <w:kern w:val="2"/>
                <w:sz w:val="24"/>
                <w:szCs w:val="22"/>
                <w:lang w:val="zh-CN" w:eastAsia="zh-CN" w:bidi="zh-CN"/>
              </w:rPr>
            </w:pPr>
            <w:r>
              <w:rPr>
                <w:rFonts w:hint="eastAsia" w:ascii="宋体" w:hAnsi="宋体" w:eastAsia="宋体" w:cs="宋体"/>
                <w:bCs/>
                <w:kern w:val="2"/>
                <w:sz w:val="24"/>
              </w:rPr>
              <w:t>程军</w:t>
            </w:r>
          </w:p>
        </w:tc>
        <w:tc>
          <w:tcPr>
            <w:tcW w:w="2242" w:type="dxa"/>
            <w:vAlign w:val="center"/>
          </w:tcPr>
          <w:p>
            <w:pPr>
              <w:keepNext w:val="0"/>
              <w:keepLines w:val="0"/>
              <w:suppressLineNumbers w:val="0"/>
              <w:spacing w:before="0" w:beforeAutospacing="0" w:after="0" w:afterAutospacing="0" w:line="440" w:lineRule="exact"/>
              <w:ind w:left="0" w:leftChars="0" w:right="0" w:rightChars="0"/>
              <w:jc w:val="center"/>
              <w:rPr>
                <w:rFonts w:hint="eastAsia" w:ascii="宋体" w:hAnsi="宋体" w:eastAsia="宋体" w:cs="宋体"/>
                <w:bCs/>
                <w:kern w:val="2"/>
                <w:sz w:val="24"/>
                <w:szCs w:val="22"/>
                <w:lang w:val="zh-CN" w:eastAsia="zh-CN" w:bidi="zh-CN"/>
              </w:rPr>
            </w:pPr>
            <w:r>
              <w:rPr>
                <w:rFonts w:hint="eastAsia" w:ascii="宋体" w:hAnsi="宋体" w:eastAsia="宋体" w:cs="宋体"/>
                <w:bCs/>
                <w:kern w:val="2"/>
                <w:sz w:val="24"/>
              </w:rPr>
              <w:t>1100000000200116</w:t>
            </w:r>
          </w:p>
        </w:tc>
        <w:tc>
          <w:tcPr>
            <w:tcW w:w="1694" w:type="dxa"/>
            <w:vAlign w:val="center"/>
          </w:tcPr>
          <w:p>
            <w:pPr>
              <w:keepNext w:val="0"/>
              <w:keepLines w:val="0"/>
              <w:suppressLineNumbers w:val="0"/>
              <w:spacing w:before="0" w:beforeAutospacing="0" w:after="0" w:afterAutospacing="0" w:line="440" w:lineRule="exact"/>
              <w:ind w:left="0" w:leftChars="0" w:right="0" w:rightChars="0"/>
              <w:jc w:val="center"/>
              <w:rPr>
                <w:rFonts w:hint="eastAsia" w:ascii="宋体" w:hAnsi="宋体" w:eastAsia="宋体" w:cs="宋体"/>
                <w:bCs/>
                <w:kern w:val="2"/>
                <w:sz w:val="24"/>
                <w:szCs w:val="22"/>
                <w:lang w:val="zh-CN" w:eastAsia="zh-CN" w:bidi="zh-CN"/>
              </w:rPr>
            </w:pPr>
            <w:r>
              <w:rPr>
                <w:rFonts w:hint="eastAsia" w:ascii="宋体" w:hAnsi="宋体" w:eastAsia="宋体" w:cs="宋体"/>
                <w:bCs/>
                <w:kern w:val="2"/>
                <w:sz w:val="24"/>
              </w:rPr>
              <w:t>019388</w:t>
            </w:r>
          </w:p>
        </w:tc>
        <w:tc>
          <w:tcPr>
            <w:tcW w:w="1623" w:type="dxa"/>
            <w:vAlign w:val="center"/>
          </w:tcPr>
          <w:p>
            <w:pPr>
              <w:keepNext w:val="0"/>
              <w:keepLines w:val="0"/>
              <w:suppressLineNumbers w:val="0"/>
              <w:spacing w:before="0" w:beforeAutospacing="0" w:after="0" w:afterAutospacing="0" w:line="440" w:lineRule="exact"/>
              <w:ind w:left="0" w:leftChars="0" w:right="0" w:rightChars="0"/>
              <w:jc w:val="center"/>
              <w:rPr>
                <w:rFonts w:hint="eastAsia" w:ascii="宋体" w:hAnsi="宋体" w:eastAsia="宋体" w:cs="宋体"/>
                <w:bCs/>
                <w:kern w:val="2"/>
                <w:sz w:val="24"/>
                <w:szCs w:val="22"/>
                <w:lang w:val="zh-CN" w:eastAsia="zh-CN" w:bidi="zh-CN"/>
              </w:rPr>
            </w:pPr>
            <w:r>
              <w:rPr>
                <w:rFonts w:hint="eastAsia" w:cs="宋体"/>
                <w:bCs/>
                <w:kern w:val="2"/>
                <w:sz w:val="24"/>
                <w:lang w:eastAsia="zh-CN"/>
              </w:rPr>
              <w:t>安全</w:t>
            </w:r>
          </w:p>
        </w:tc>
        <w:tc>
          <w:tcPr>
            <w:tcW w:w="1536" w:type="dxa"/>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1501" w:type="dxa"/>
            <w:vMerge w:val="continue"/>
            <w:tcBorders/>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rPr>
            </w:pPr>
          </w:p>
        </w:tc>
        <w:tc>
          <w:tcPr>
            <w:tcW w:w="1335" w:type="dxa"/>
            <w:vAlign w:val="center"/>
          </w:tcPr>
          <w:p>
            <w:pPr>
              <w:keepNext w:val="0"/>
              <w:keepLines w:val="0"/>
              <w:suppressLineNumbers w:val="0"/>
              <w:spacing w:before="0" w:beforeAutospacing="0" w:after="0" w:afterAutospacing="0" w:line="440" w:lineRule="exact"/>
              <w:ind w:left="0" w:leftChars="0" w:right="0" w:rightChars="0"/>
              <w:jc w:val="center"/>
              <w:rPr>
                <w:rFonts w:hint="eastAsia" w:ascii="宋体" w:hAnsi="宋体" w:eastAsia="宋体" w:cs="宋体"/>
                <w:bCs/>
                <w:kern w:val="2"/>
                <w:sz w:val="24"/>
                <w:szCs w:val="22"/>
                <w:lang w:val="zh-CN" w:eastAsia="zh-CN" w:bidi="zh-CN"/>
              </w:rPr>
            </w:pPr>
            <w:r>
              <w:rPr>
                <w:rFonts w:hint="eastAsia" w:cs="宋体"/>
                <w:bCs/>
                <w:kern w:val="2"/>
                <w:sz w:val="24"/>
                <w:lang w:eastAsia="zh-CN"/>
              </w:rPr>
              <w:t>刘云飞</w:t>
            </w:r>
          </w:p>
        </w:tc>
        <w:tc>
          <w:tcPr>
            <w:tcW w:w="2242" w:type="dxa"/>
            <w:vAlign w:val="center"/>
          </w:tcPr>
          <w:p>
            <w:pPr>
              <w:keepNext w:val="0"/>
              <w:keepLines w:val="0"/>
              <w:suppressLineNumbers w:val="0"/>
              <w:spacing w:before="0" w:beforeAutospacing="0" w:after="0" w:afterAutospacing="0" w:line="440" w:lineRule="exact"/>
              <w:ind w:left="0" w:leftChars="0" w:right="0" w:rightChars="0"/>
              <w:jc w:val="center"/>
              <w:rPr>
                <w:rFonts w:hint="eastAsia" w:ascii="宋体" w:hAnsi="宋体" w:eastAsia="宋体" w:cs="宋体"/>
                <w:bCs/>
                <w:kern w:val="2"/>
                <w:sz w:val="24"/>
                <w:szCs w:val="22"/>
                <w:lang w:val="zh-CN" w:eastAsia="zh-CN" w:bidi="zh-CN"/>
              </w:rPr>
            </w:pPr>
            <w:r>
              <w:rPr>
                <w:rFonts w:hint="eastAsia" w:ascii="宋体" w:hAnsi="宋体" w:eastAsia="宋体" w:cs="宋体"/>
                <w:bCs/>
                <w:kern w:val="2"/>
                <w:sz w:val="24"/>
              </w:rPr>
              <w:t>1700000000200140</w:t>
            </w:r>
          </w:p>
        </w:tc>
        <w:tc>
          <w:tcPr>
            <w:tcW w:w="1694" w:type="dxa"/>
            <w:vAlign w:val="center"/>
          </w:tcPr>
          <w:p>
            <w:pPr>
              <w:keepNext w:val="0"/>
              <w:keepLines w:val="0"/>
              <w:suppressLineNumbers w:val="0"/>
              <w:spacing w:before="0" w:beforeAutospacing="0" w:after="0" w:afterAutospacing="0" w:line="440" w:lineRule="exact"/>
              <w:ind w:left="0" w:leftChars="0" w:right="0" w:rightChars="0"/>
              <w:jc w:val="center"/>
              <w:rPr>
                <w:rFonts w:hint="eastAsia" w:ascii="宋体" w:hAnsi="宋体" w:eastAsia="宋体" w:cs="宋体"/>
                <w:bCs/>
                <w:kern w:val="2"/>
                <w:sz w:val="24"/>
                <w:szCs w:val="22"/>
                <w:lang w:val="zh-CN" w:eastAsia="zh-CN" w:bidi="zh-CN"/>
              </w:rPr>
            </w:pPr>
            <w:r>
              <w:rPr>
                <w:rFonts w:hint="eastAsia" w:ascii="宋体" w:hAnsi="宋体" w:eastAsia="宋体" w:cs="宋体"/>
                <w:bCs/>
                <w:kern w:val="2"/>
                <w:sz w:val="24"/>
              </w:rPr>
              <w:t>020254</w:t>
            </w:r>
          </w:p>
        </w:tc>
        <w:tc>
          <w:tcPr>
            <w:tcW w:w="1623" w:type="dxa"/>
            <w:vAlign w:val="center"/>
          </w:tcPr>
          <w:p>
            <w:pPr>
              <w:keepNext w:val="0"/>
              <w:keepLines w:val="0"/>
              <w:suppressLineNumbers w:val="0"/>
              <w:spacing w:before="0" w:beforeAutospacing="0" w:after="0" w:afterAutospacing="0" w:line="440" w:lineRule="exact"/>
              <w:ind w:left="0" w:leftChars="0" w:right="0" w:rightChars="0"/>
              <w:jc w:val="center"/>
              <w:rPr>
                <w:rFonts w:hint="eastAsia" w:ascii="宋体" w:hAnsi="宋体" w:eastAsia="宋体" w:cs="宋体"/>
                <w:bCs/>
                <w:kern w:val="2"/>
                <w:sz w:val="24"/>
                <w:szCs w:val="22"/>
                <w:lang w:val="zh-CN" w:eastAsia="zh-CN" w:bidi="zh-CN"/>
              </w:rPr>
            </w:pPr>
            <w:r>
              <w:rPr>
                <w:rFonts w:hint="eastAsia" w:cs="宋体"/>
                <w:bCs/>
                <w:kern w:val="2"/>
                <w:sz w:val="24"/>
                <w:lang w:eastAsia="zh-CN"/>
              </w:rPr>
              <w:t>化工机械</w:t>
            </w:r>
          </w:p>
        </w:tc>
        <w:tc>
          <w:tcPr>
            <w:tcW w:w="1536" w:type="dxa"/>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1501" w:type="dxa"/>
            <w:vMerge w:val="continue"/>
            <w:tcBorders/>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rPr>
            </w:pPr>
          </w:p>
        </w:tc>
        <w:tc>
          <w:tcPr>
            <w:tcW w:w="1335" w:type="dxa"/>
            <w:vAlign w:val="center"/>
          </w:tcPr>
          <w:p>
            <w:pPr>
              <w:keepNext w:val="0"/>
              <w:keepLines w:val="0"/>
              <w:suppressLineNumbers w:val="0"/>
              <w:spacing w:before="0" w:beforeAutospacing="0" w:after="0" w:afterAutospacing="0" w:line="440" w:lineRule="exact"/>
              <w:ind w:left="0" w:leftChars="0" w:right="0" w:rightChars="0"/>
              <w:jc w:val="center"/>
              <w:rPr>
                <w:rFonts w:hint="eastAsia" w:ascii="宋体" w:hAnsi="宋体" w:eastAsia="宋体" w:cs="宋体"/>
                <w:bCs/>
                <w:kern w:val="2"/>
                <w:sz w:val="24"/>
                <w:szCs w:val="22"/>
                <w:lang w:val="zh-CN" w:eastAsia="zh-CN" w:bidi="zh-CN"/>
              </w:rPr>
            </w:pPr>
            <w:r>
              <w:rPr>
                <w:rFonts w:hint="eastAsia" w:cs="宋体"/>
                <w:bCs/>
                <w:kern w:val="2"/>
                <w:sz w:val="24"/>
                <w:lang w:eastAsia="zh-CN"/>
              </w:rPr>
              <w:t>高领超</w:t>
            </w:r>
          </w:p>
        </w:tc>
        <w:tc>
          <w:tcPr>
            <w:tcW w:w="2242" w:type="dxa"/>
            <w:vAlign w:val="center"/>
          </w:tcPr>
          <w:p>
            <w:pPr>
              <w:keepNext w:val="0"/>
              <w:keepLines w:val="0"/>
              <w:suppressLineNumbers w:val="0"/>
              <w:spacing w:before="0" w:beforeAutospacing="0" w:after="0" w:afterAutospacing="0" w:line="440" w:lineRule="exact"/>
              <w:ind w:left="0" w:leftChars="0" w:right="0" w:rightChars="0"/>
              <w:jc w:val="center"/>
              <w:rPr>
                <w:rFonts w:hint="eastAsia" w:ascii="宋体" w:hAnsi="宋体" w:eastAsia="宋体" w:cs="宋体"/>
                <w:bCs/>
                <w:kern w:val="2"/>
                <w:sz w:val="24"/>
                <w:szCs w:val="22"/>
                <w:lang w:val="zh-CN" w:eastAsia="zh-CN" w:bidi="zh-CN"/>
              </w:rPr>
            </w:pPr>
            <w:r>
              <w:rPr>
                <w:rFonts w:hint="eastAsia" w:ascii="宋体" w:hAnsi="宋体" w:eastAsia="宋体" w:cs="宋体"/>
                <w:bCs/>
                <w:kern w:val="2"/>
                <w:sz w:val="24"/>
              </w:rPr>
              <w:t>1600000000300318</w:t>
            </w:r>
          </w:p>
        </w:tc>
        <w:tc>
          <w:tcPr>
            <w:tcW w:w="1694" w:type="dxa"/>
            <w:vAlign w:val="center"/>
          </w:tcPr>
          <w:p>
            <w:pPr>
              <w:keepNext w:val="0"/>
              <w:keepLines w:val="0"/>
              <w:suppressLineNumbers w:val="0"/>
              <w:spacing w:before="0" w:beforeAutospacing="0" w:after="0" w:afterAutospacing="0" w:line="440" w:lineRule="exact"/>
              <w:ind w:left="0" w:leftChars="0" w:right="0" w:rightChars="0"/>
              <w:jc w:val="center"/>
              <w:rPr>
                <w:rFonts w:hint="eastAsia" w:ascii="宋体" w:hAnsi="宋体" w:eastAsia="宋体" w:cs="宋体"/>
                <w:bCs/>
                <w:kern w:val="2"/>
                <w:sz w:val="24"/>
                <w:szCs w:val="22"/>
                <w:lang w:val="zh-CN" w:eastAsia="zh-CN" w:bidi="zh-CN"/>
              </w:rPr>
            </w:pPr>
            <w:r>
              <w:rPr>
                <w:rFonts w:hint="eastAsia" w:ascii="宋体" w:hAnsi="宋体" w:eastAsia="宋体" w:cs="宋体"/>
                <w:bCs/>
                <w:kern w:val="2"/>
                <w:sz w:val="24"/>
              </w:rPr>
              <w:t>031667</w:t>
            </w:r>
          </w:p>
        </w:tc>
        <w:tc>
          <w:tcPr>
            <w:tcW w:w="1623" w:type="dxa"/>
            <w:vAlign w:val="center"/>
          </w:tcPr>
          <w:p>
            <w:pPr>
              <w:keepNext w:val="0"/>
              <w:keepLines w:val="0"/>
              <w:suppressLineNumbers w:val="0"/>
              <w:spacing w:before="0" w:beforeAutospacing="0" w:after="0" w:afterAutospacing="0" w:line="440" w:lineRule="exact"/>
              <w:ind w:left="0" w:leftChars="0" w:right="0" w:rightChars="0"/>
              <w:jc w:val="center"/>
              <w:rPr>
                <w:rFonts w:hint="eastAsia" w:ascii="宋体" w:hAnsi="宋体" w:eastAsia="宋体" w:cs="宋体"/>
                <w:bCs/>
                <w:kern w:val="2"/>
                <w:sz w:val="24"/>
                <w:szCs w:val="22"/>
                <w:lang w:val="zh-CN" w:eastAsia="zh-CN" w:bidi="zh-CN"/>
              </w:rPr>
            </w:pPr>
            <w:r>
              <w:rPr>
                <w:rFonts w:hint="eastAsia" w:cs="宋体"/>
                <w:bCs/>
                <w:kern w:val="2"/>
                <w:sz w:val="24"/>
                <w:lang w:eastAsia="zh-CN"/>
              </w:rPr>
              <w:t>电气</w:t>
            </w:r>
          </w:p>
        </w:tc>
        <w:tc>
          <w:tcPr>
            <w:tcW w:w="1536" w:type="dxa"/>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1501" w:type="dxa"/>
            <w:vMerge w:val="continue"/>
            <w:tcBorders/>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rPr>
            </w:pPr>
          </w:p>
        </w:tc>
        <w:tc>
          <w:tcPr>
            <w:tcW w:w="1335" w:type="dxa"/>
            <w:vAlign w:val="center"/>
          </w:tcPr>
          <w:p>
            <w:pPr>
              <w:keepNext w:val="0"/>
              <w:keepLines w:val="0"/>
              <w:suppressLineNumbers w:val="0"/>
              <w:spacing w:before="0" w:beforeAutospacing="0" w:after="0" w:afterAutospacing="0" w:line="440" w:lineRule="exact"/>
              <w:ind w:left="0" w:leftChars="0" w:right="0" w:rightChars="0"/>
              <w:jc w:val="center"/>
              <w:rPr>
                <w:rFonts w:hint="eastAsia" w:ascii="宋体" w:hAnsi="宋体" w:eastAsia="宋体" w:cs="宋体"/>
                <w:bCs/>
                <w:kern w:val="2"/>
                <w:sz w:val="24"/>
                <w:szCs w:val="22"/>
                <w:lang w:val="zh-CN" w:eastAsia="zh-CN" w:bidi="zh-CN"/>
              </w:rPr>
            </w:pPr>
            <w:r>
              <w:rPr>
                <w:rFonts w:hint="eastAsia" w:cs="宋体"/>
                <w:bCs/>
                <w:kern w:val="2"/>
                <w:sz w:val="24"/>
                <w:lang w:eastAsia="zh-CN"/>
              </w:rPr>
              <w:t>任长江</w:t>
            </w:r>
          </w:p>
        </w:tc>
        <w:tc>
          <w:tcPr>
            <w:tcW w:w="2242" w:type="dxa"/>
            <w:vAlign w:val="center"/>
          </w:tcPr>
          <w:p>
            <w:pPr>
              <w:keepNext w:val="0"/>
              <w:keepLines w:val="0"/>
              <w:suppressLineNumbers w:val="0"/>
              <w:spacing w:before="0" w:beforeAutospacing="0" w:after="0" w:afterAutospacing="0" w:line="440" w:lineRule="exact"/>
              <w:ind w:left="0" w:leftChars="0" w:right="0" w:rightChars="0"/>
              <w:jc w:val="center"/>
              <w:rPr>
                <w:rFonts w:hint="eastAsia" w:ascii="宋体" w:hAnsi="宋体" w:eastAsia="宋体" w:cs="宋体"/>
                <w:bCs/>
                <w:kern w:val="2"/>
                <w:sz w:val="24"/>
                <w:szCs w:val="22"/>
                <w:lang w:val="zh-CN" w:eastAsia="zh-CN" w:bidi="zh-CN"/>
              </w:rPr>
            </w:pPr>
            <w:r>
              <w:rPr>
                <w:rFonts w:hint="eastAsia" w:ascii="宋体" w:hAnsi="宋体" w:eastAsia="宋体" w:cs="宋体"/>
                <w:bCs/>
                <w:kern w:val="2"/>
                <w:sz w:val="24"/>
              </w:rPr>
              <w:t>1600000000200301</w:t>
            </w:r>
          </w:p>
        </w:tc>
        <w:tc>
          <w:tcPr>
            <w:tcW w:w="1694" w:type="dxa"/>
            <w:vAlign w:val="center"/>
          </w:tcPr>
          <w:p>
            <w:pPr>
              <w:keepNext w:val="0"/>
              <w:keepLines w:val="0"/>
              <w:suppressLineNumbers w:val="0"/>
              <w:spacing w:before="0" w:beforeAutospacing="0" w:after="0" w:afterAutospacing="0" w:line="440" w:lineRule="exact"/>
              <w:ind w:left="0" w:leftChars="0" w:right="0" w:rightChars="0"/>
              <w:jc w:val="center"/>
              <w:rPr>
                <w:rFonts w:hint="eastAsia" w:ascii="宋体" w:hAnsi="宋体" w:eastAsia="宋体" w:cs="宋体"/>
                <w:bCs/>
                <w:kern w:val="2"/>
                <w:sz w:val="24"/>
                <w:szCs w:val="22"/>
                <w:lang w:val="zh-CN" w:eastAsia="zh-CN" w:bidi="zh-CN"/>
              </w:rPr>
            </w:pPr>
            <w:r>
              <w:rPr>
                <w:rFonts w:hint="eastAsia" w:ascii="宋体" w:hAnsi="宋体" w:eastAsia="宋体" w:cs="宋体"/>
                <w:bCs/>
                <w:kern w:val="2"/>
                <w:sz w:val="24"/>
              </w:rPr>
              <w:t>028500</w:t>
            </w:r>
          </w:p>
        </w:tc>
        <w:tc>
          <w:tcPr>
            <w:tcW w:w="1623" w:type="dxa"/>
            <w:vAlign w:val="center"/>
          </w:tcPr>
          <w:p>
            <w:pPr>
              <w:keepNext w:val="0"/>
              <w:keepLines w:val="0"/>
              <w:suppressLineNumbers w:val="0"/>
              <w:spacing w:before="0" w:beforeAutospacing="0" w:after="0" w:afterAutospacing="0" w:line="440" w:lineRule="exact"/>
              <w:ind w:left="0" w:leftChars="0" w:right="0" w:rightChars="0"/>
              <w:jc w:val="center"/>
              <w:rPr>
                <w:rFonts w:hint="eastAsia" w:ascii="宋体" w:hAnsi="宋体" w:eastAsia="宋体" w:cs="宋体"/>
                <w:bCs/>
                <w:kern w:val="2"/>
                <w:sz w:val="24"/>
                <w:szCs w:val="22"/>
                <w:lang w:val="zh-CN" w:eastAsia="zh-CN" w:bidi="zh-CN"/>
              </w:rPr>
            </w:pPr>
            <w:r>
              <w:rPr>
                <w:rFonts w:hint="eastAsia" w:cs="宋体"/>
                <w:bCs/>
                <w:kern w:val="2"/>
                <w:sz w:val="24"/>
                <w:lang w:eastAsia="zh-CN"/>
              </w:rPr>
              <w:t>自动化</w:t>
            </w:r>
          </w:p>
        </w:tc>
        <w:tc>
          <w:tcPr>
            <w:tcW w:w="1536" w:type="dxa"/>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1501" w:type="dxa"/>
            <w:vMerge w:val="continue"/>
            <w:tcBorders/>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rPr>
            </w:pPr>
          </w:p>
        </w:tc>
        <w:tc>
          <w:tcPr>
            <w:tcW w:w="1335" w:type="dxa"/>
            <w:vAlign w:val="center"/>
          </w:tcPr>
          <w:p>
            <w:pPr>
              <w:keepNext w:val="0"/>
              <w:keepLines w:val="0"/>
              <w:suppressLineNumbers w:val="0"/>
              <w:spacing w:before="0" w:beforeAutospacing="0" w:after="0" w:afterAutospacing="0" w:line="440" w:lineRule="exact"/>
              <w:ind w:left="0" w:leftChars="0" w:right="0" w:rightChars="0"/>
              <w:jc w:val="center"/>
              <w:rPr>
                <w:rFonts w:hint="eastAsia" w:ascii="宋体" w:hAnsi="宋体" w:eastAsia="宋体" w:cs="宋体"/>
                <w:bCs/>
                <w:kern w:val="2"/>
                <w:sz w:val="24"/>
                <w:szCs w:val="22"/>
                <w:lang w:val="zh-CN" w:eastAsia="zh-CN" w:bidi="zh-CN"/>
              </w:rPr>
            </w:pPr>
            <w:r>
              <w:rPr>
                <w:rFonts w:hint="eastAsia" w:ascii="宋体" w:hAnsi="宋体" w:eastAsia="宋体" w:cs="宋体"/>
                <w:bCs/>
                <w:kern w:val="2"/>
                <w:sz w:val="24"/>
              </w:rPr>
              <w:t>杨园园</w:t>
            </w:r>
          </w:p>
        </w:tc>
        <w:tc>
          <w:tcPr>
            <w:tcW w:w="2242" w:type="dxa"/>
            <w:vAlign w:val="center"/>
          </w:tcPr>
          <w:p>
            <w:pPr>
              <w:keepNext w:val="0"/>
              <w:keepLines w:val="0"/>
              <w:suppressLineNumbers w:val="0"/>
              <w:spacing w:before="0" w:beforeAutospacing="0" w:after="0" w:afterAutospacing="0" w:line="440" w:lineRule="exact"/>
              <w:ind w:left="0" w:leftChars="0" w:right="0" w:rightChars="0"/>
              <w:jc w:val="center"/>
              <w:rPr>
                <w:rFonts w:hint="eastAsia" w:ascii="宋体" w:hAnsi="宋体" w:eastAsia="宋体" w:cs="宋体"/>
                <w:bCs/>
                <w:kern w:val="2"/>
                <w:sz w:val="24"/>
                <w:szCs w:val="22"/>
                <w:lang w:val="zh-CN" w:eastAsia="zh-CN" w:bidi="zh-CN"/>
              </w:rPr>
            </w:pPr>
            <w:r>
              <w:rPr>
                <w:rFonts w:hint="eastAsia" w:ascii="宋体" w:hAnsi="宋体" w:eastAsia="宋体" w:cs="宋体"/>
                <w:bCs/>
                <w:kern w:val="2"/>
                <w:sz w:val="24"/>
              </w:rPr>
              <w:t>1500000000301948</w:t>
            </w:r>
          </w:p>
        </w:tc>
        <w:tc>
          <w:tcPr>
            <w:tcW w:w="1694" w:type="dxa"/>
            <w:vAlign w:val="center"/>
          </w:tcPr>
          <w:p>
            <w:pPr>
              <w:keepNext w:val="0"/>
              <w:keepLines w:val="0"/>
              <w:suppressLineNumbers w:val="0"/>
              <w:spacing w:before="0" w:beforeAutospacing="0" w:after="0" w:afterAutospacing="0" w:line="440" w:lineRule="exact"/>
              <w:ind w:left="0" w:leftChars="0" w:right="0" w:rightChars="0"/>
              <w:jc w:val="center"/>
              <w:rPr>
                <w:rFonts w:hint="eastAsia" w:ascii="宋体" w:hAnsi="宋体" w:eastAsia="宋体" w:cs="宋体"/>
                <w:bCs/>
                <w:kern w:val="2"/>
                <w:sz w:val="24"/>
                <w:szCs w:val="22"/>
                <w:lang w:val="zh-CN" w:eastAsia="zh-CN" w:bidi="zh-CN"/>
              </w:rPr>
            </w:pPr>
            <w:r>
              <w:rPr>
                <w:rFonts w:hint="eastAsia" w:ascii="宋体" w:hAnsi="宋体" w:eastAsia="宋体" w:cs="宋体"/>
                <w:bCs/>
                <w:kern w:val="2"/>
                <w:sz w:val="24"/>
              </w:rPr>
              <w:t>026603</w:t>
            </w:r>
          </w:p>
        </w:tc>
        <w:tc>
          <w:tcPr>
            <w:tcW w:w="1623" w:type="dxa"/>
            <w:vAlign w:val="center"/>
          </w:tcPr>
          <w:p>
            <w:pPr>
              <w:keepNext w:val="0"/>
              <w:keepLines w:val="0"/>
              <w:suppressLineNumbers w:val="0"/>
              <w:spacing w:before="0" w:beforeAutospacing="0" w:after="0" w:afterAutospacing="0" w:line="440" w:lineRule="exact"/>
              <w:ind w:left="0" w:leftChars="0" w:right="0" w:rightChars="0"/>
              <w:jc w:val="center"/>
              <w:rPr>
                <w:rFonts w:hint="eastAsia" w:ascii="宋体" w:hAnsi="宋体" w:eastAsia="宋体" w:cs="宋体"/>
                <w:bCs/>
                <w:kern w:val="2"/>
                <w:sz w:val="24"/>
                <w:szCs w:val="22"/>
                <w:lang w:val="zh-CN" w:eastAsia="zh-CN" w:bidi="zh-CN"/>
              </w:rPr>
            </w:pPr>
            <w:r>
              <w:rPr>
                <w:rFonts w:hint="eastAsia" w:cs="宋体"/>
                <w:bCs/>
                <w:kern w:val="2"/>
                <w:sz w:val="24"/>
                <w:lang w:eastAsia="zh-CN"/>
              </w:rPr>
              <w:t>化工工艺</w:t>
            </w:r>
          </w:p>
        </w:tc>
        <w:tc>
          <w:tcPr>
            <w:tcW w:w="1536" w:type="dxa"/>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1501" w:type="dxa"/>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rPr>
            </w:pPr>
            <w:r>
              <w:rPr>
                <w:rFonts w:hint="eastAsia" w:ascii="宋体" w:hAnsi="宋体" w:eastAsia="宋体" w:cs="宋体"/>
                <w:bCs/>
                <w:kern w:val="2"/>
                <w:sz w:val="24"/>
              </w:rPr>
              <w:t>报告审核人</w:t>
            </w:r>
          </w:p>
        </w:tc>
        <w:tc>
          <w:tcPr>
            <w:tcW w:w="1335" w:type="dxa"/>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rPr>
            </w:pPr>
            <w:r>
              <w:rPr>
                <w:rFonts w:hint="eastAsia" w:ascii="宋体" w:hAnsi="宋体" w:eastAsia="宋体" w:cs="宋体"/>
                <w:bCs/>
                <w:kern w:val="2"/>
                <w:sz w:val="24"/>
              </w:rPr>
              <w:t>段长锋</w:t>
            </w:r>
          </w:p>
        </w:tc>
        <w:tc>
          <w:tcPr>
            <w:tcW w:w="2242" w:type="dxa"/>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rPr>
            </w:pPr>
            <w:r>
              <w:rPr>
                <w:rFonts w:hint="eastAsia" w:ascii="宋体" w:hAnsi="宋体" w:eastAsia="宋体" w:cs="宋体"/>
                <w:bCs/>
                <w:kern w:val="2"/>
                <w:sz w:val="24"/>
              </w:rPr>
              <w:t>1200000000200384</w:t>
            </w:r>
          </w:p>
        </w:tc>
        <w:tc>
          <w:tcPr>
            <w:tcW w:w="1694" w:type="dxa"/>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rPr>
            </w:pPr>
            <w:r>
              <w:rPr>
                <w:rFonts w:hint="eastAsia" w:ascii="宋体" w:hAnsi="宋体" w:eastAsia="宋体" w:cs="宋体"/>
                <w:bCs/>
                <w:kern w:val="2"/>
                <w:sz w:val="24"/>
              </w:rPr>
              <w:t>023267</w:t>
            </w:r>
          </w:p>
        </w:tc>
        <w:tc>
          <w:tcPr>
            <w:tcW w:w="1623" w:type="dxa"/>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lang w:eastAsia="zh-CN"/>
              </w:rPr>
            </w:pPr>
            <w:r>
              <w:rPr>
                <w:rFonts w:hint="eastAsia" w:cs="宋体"/>
                <w:bCs/>
                <w:kern w:val="2"/>
                <w:sz w:val="24"/>
                <w:lang w:eastAsia="zh-CN"/>
              </w:rPr>
              <w:t>安全</w:t>
            </w:r>
          </w:p>
        </w:tc>
        <w:tc>
          <w:tcPr>
            <w:tcW w:w="1536" w:type="dxa"/>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1501" w:type="dxa"/>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rPr>
            </w:pPr>
            <w:r>
              <w:rPr>
                <w:rFonts w:hint="eastAsia" w:ascii="宋体" w:hAnsi="宋体" w:eastAsia="宋体" w:cs="宋体"/>
                <w:bCs/>
                <w:kern w:val="2"/>
                <w:sz w:val="24"/>
              </w:rPr>
              <w:t>过程控制负责人</w:t>
            </w:r>
          </w:p>
        </w:tc>
        <w:tc>
          <w:tcPr>
            <w:tcW w:w="1335" w:type="dxa"/>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rPr>
            </w:pPr>
            <w:r>
              <w:rPr>
                <w:rFonts w:hint="eastAsia" w:ascii="宋体" w:hAnsi="宋体" w:eastAsia="宋体" w:cs="宋体"/>
                <w:bCs/>
                <w:kern w:val="2"/>
                <w:sz w:val="24"/>
                <w:lang w:val="en-US" w:eastAsia="zh-CN"/>
              </w:rPr>
              <w:t>乔娟</w:t>
            </w:r>
          </w:p>
        </w:tc>
        <w:tc>
          <w:tcPr>
            <w:tcW w:w="2242" w:type="dxa"/>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rPr>
            </w:pPr>
            <w:r>
              <w:rPr>
                <w:rFonts w:hint="eastAsia" w:ascii="宋体" w:hAnsi="宋体" w:eastAsia="宋体" w:cs="宋体"/>
                <w:bCs/>
                <w:kern w:val="2"/>
                <w:sz w:val="24"/>
                <w:lang w:val="en-US" w:eastAsia="zh-CN"/>
              </w:rPr>
              <w:t>1500000000200971</w:t>
            </w:r>
          </w:p>
        </w:tc>
        <w:tc>
          <w:tcPr>
            <w:tcW w:w="1694" w:type="dxa"/>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rPr>
            </w:pPr>
            <w:r>
              <w:rPr>
                <w:rFonts w:hint="eastAsia" w:ascii="宋体" w:hAnsi="宋体" w:eastAsia="宋体" w:cs="宋体"/>
                <w:bCs/>
                <w:kern w:val="2"/>
                <w:sz w:val="24"/>
                <w:lang w:val="en-US" w:eastAsia="zh-CN"/>
              </w:rPr>
              <w:t>026933</w:t>
            </w:r>
          </w:p>
        </w:tc>
        <w:tc>
          <w:tcPr>
            <w:tcW w:w="1623" w:type="dxa"/>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lang w:val="en-US" w:eastAsia="zh-CN"/>
              </w:rPr>
            </w:pPr>
            <w:r>
              <w:rPr>
                <w:rFonts w:hint="eastAsia" w:cs="宋体"/>
                <w:bCs/>
                <w:kern w:val="2"/>
                <w:sz w:val="24"/>
                <w:lang w:eastAsia="zh-CN"/>
              </w:rPr>
              <w:t>安全</w:t>
            </w:r>
          </w:p>
        </w:tc>
        <w:tc>
          <w:tcPr>
            <w:tcW w:w="1536" w:type="dxa"/>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1501" w:type="dxa"/>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rPr>
            </w:pPr>
            <w:r>
              <w:rPr>
                <w:rFonts w:hint="eastAsia" w:ascii="宋体" w:hAnsi="宋体" w:eastAsia="宋体" w:cs="宋体"/>
                <w:bCs/>
                <w:kern w:val="2"/>
                <w:sz w:val="24"/>
              </w:rPr>
              <w:t>技术负责人</w:t>
            </w:r>
          </w:p>
        </w:tc>
        <w:tc>
          <w:tcPr>
            <w:tcW w:w="1335" w:type="dxa"/>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rPr>
            </w:pPr>
            <w:r>
              <w:rPr>
                <w:rFonts w:hint="eastAsia" w:ascii="宋体" w:hAnsi="宋体" w:eastAsia="宋体" w:cs="宋体"/>
                <w:bCs/>
                <w:kern w:val="2"/>
                <w:sz w:val="24"/>
                <w:lang w:val="en-US" w:eastAsia="zh-CN"/>
              </w:rPr>
              <w:t>孙红军</w:t>
            </w:r>
          </w:p>
        </w:tc>
        <w:tc>
          <w:tcPr>
            <w:tcW w:w="2242" w:type="dxa"/>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rPr>
            </w:pPr>
            <w:r>
              <w:rPr>
                <w:rFonts w:hint="eastAsia" w:ascii="宋体" w:hAnsi="宋体" w:eastAsia="宋体" w:cs="宋体"/>
                <w:bCs/>
                <w:kern w:val="2"/>
                <w:sz w:val="24"/>
                <w:lang w:val="en-US" w:eastAsia="zh-CN"/>
              </w:rPr>
              <w:t>0800000000101932</w:t>
            </w:r>
          </w:p>
        </w:tc>
        <w:tc>
          <w:tcPr>
            <w:tcW w:w="1694" w:type="dxa"/>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rPr>
            </w:pPr>
            <w:r>
              <w:rPr>
                <w:rFonts w:hint="eastAsia" w:ascii="宋体" w:hAnsi="宋体" w:eastAsia="宋体" w:cs="宋体"/>
                <w:bCs/>
                <w:kern w:val="2"/>
                <w:sz w:val="24"/>
                <w:lang w:val="en-US" w:eastAsia="zh-CN"/>
              </w:rPr>
              <w:t>006002</w:t>
            </w:r>
          </w:p>
        </w:tc>
        <w:tc>
          <w:tcPr>
            <w:tcW w:w="1623" w:type="dxa"/>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lang w:val="en-US" w:eastAsia="zh-CN"/>
              </w:rPr>
            </w:pPr>
            <w:r>
              <w:rPr>
                <w:rFonts w:hint="eastAsia" w:cs="宋体"/>
                <w:bCs/>
                <w:kern w:val="2"/>
                <w:sz w:val="24"/>
                <w:lang w:eastAsia="zh-CN"/>
              </w:rPr>
              <w:t>安全</w:t>
            </w:r>
          </w:p>
        </w:tc>
        <w:tc>
          <w:tcPr>
            <w:tcW w:w="1536" w:type="dxa"/>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bCs/>
                <w:kern w:val="2"/>
                <w:sz w:val="24"/>
              </w:rPr>
            </w:pPr>
          </w:p>
        </w:tc>
      </w:tr>
    </w:tbl>
    <w:p>
      <w:pPr>
        <w:rPr>
          <w:rFonts w:hint="eastAsia" w:ascii="宋体" w:hAnsi="宋体" w:eastAsia="宋体" w:cs="宋体"/>
        </w:rPr>
      </w:pPr>
      <w:r>
        <w:rPr>
          <w:rFonts w:hint="eastAsia" w:ascii="宋体" w:hAnsi="宋体" w:eastAsia="宋体" w:cs="宋体"/>
        </w:rPr>
        <w:br w:type="page"/>
      </w:r>
    </w:p>
    <w:p>
      <w:pPr>
        <w:rPr>
          <w:rFonts w:hint="eastAsia" w:ascii="宋体" w:hAnsi="宋体" w:eastAsia="宋体" w:cs="宋体"/>
        </w:rPr>
      </w:pPr>
      <w:bookmarkStart w:id="1" w:name="_Toc1826"/>
      <w:bookmarkStart w:id="2" w:name="_Toc22276_WPSOffice_Level1"/>
      <w:bookmarkStart w:id="3" w:name="_Toc22912_WPSOffice_Level1"/>
      <w:bookmarkStart w:id="4" w:name="_Toc5855_WPSOffice_Level1"/>
    </w:p>
    <w:p>
      <w:pPr>
        <w:rPr>
          <w:rFonts w:hint="eastAsia" w:ascii="宋体" w:hAnsi="宋体" w:eastAsia="宋体" w:cs="宋体"/>
        </w:rPr>
      </w:pPr>
    </w:p>
    <w:p>
      <w:pPr>
        <w:bidi w:val="0"/>
        <w:jc w:val="left"/>
        <w:rPr>
          <w:rFonts w:hint="eastAsia" w:ascii="宋体" w:hAnsi="宋体" w:eastAsia="宋体" w:cs="宋体"/>
          <w:sz w:val="22"/>
          <w:szCs w:val="22"/>
          <w:lang w:val="zh-CN" w:eastAsia="zh-CN" w:bidi="zh-CN"/>
        </w:rPr>
        <w:sectPr>
          <w:footerReference r:id="rId4" w:type="default"/>
          <w:pgSz w:w="11910" w:h="16840"/>
          <w:pgMar w:top="1417" w:right="1134" w:bottom="1134" w:left="1587" w:header="720" w:footer="720" w:gutter="0"/>
          <w:pgNumType w:fmt="decimal" w:start="1"/>
          <w:cols w:space="0" w:num="1"/>
        </w:sectPr>
      </w:pPr>
    </w:p>
    <w:p>
      <w:pPr>
        <w:spacing w:line="411" w:lineRule="exact"/>
        <w:jc w:val="center"/>
        <w:rPr>
          <w:rFonts w:hint="eastAsia" w:ascii="宋体" w:hAnsi="宋体" w:eastAsia="宋体" w:cs="宋体"/>
          <w:b/>
          <w:color w:val="auto"/>
          <w:sz w:val="36"/>
        </w:rPr>
      </w:pPr>
      <w:r>
        <w:rPr>
          <w:rFonts w:hint="eastAsia" w:ascii="宋体" w:hAnsi="宋体" w:eastAsia="宋体" w:cs="宋体"/>
          <w:b/>
          <w:color w:val="auto"/>
          <w:sz w:val="36"/>
        </w:rPr>
        <w:t>前 言</w:t>
      </w:r>
    </w:p>
    <w:p>
      <w:pPr>
        <w:spacing w:line="221" w:lineRule="exact"/>
        <w:ind w:firstLine="560"/>
        <w:rPr>
          <w:rFonts w:hint="eastAsia" w:ascii="宋体" w:hAnsi="宋体" w:eastAsia="宋体" w:cs="宋体"/>
          <w:color w:val="auto"/>
        </w:rPr>
      </w:pPr>
    </w:p>
    <w:p>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jc w:val="both"/>
        <w:textAlignment w:val="auto"/>
        <w:rPr>
          <w:rFonts w:hint="eastAsia" w:ascii="宋体" w:hAnsi="宋体" w:eastAsia="宋体" w:cs="宋体"/>
          <w:color w:val="auto"/>
          <w:sz w:val="28"/>
          <w:szCs w:val="28"/>
          <w:lang w:eastAsia="zh-CN"/>
        </w:rPr>
      </w:pPr>
      <w:bookmarkStart w:id="5" w:name="OLE_LINK1"/>
      <w:r>
        <w:rPr>
          <w:rFonts w:hint="eastAsia" w:ascii="宋体" w:hAnsi="宋体" w:eastAsia="宋体" w:cs="宋体"/>
          <w:color w:val="auto"/>
          <w:sz w:val="28"/>
          <w:szCs w:val="28"/>
        </w:rPr>
        <w:t>中国石化销售有限公司</w:t>
      </w:r>
      <w:r>
        <w:rPr>
          <w:rFonts w:hint="eastAsia" w:ascii="宋体" w:hAnsi="宋体" w:eastAsia="宋体" w:cs="宋体"/>
          <w:color w:val="auto"/>
          <w:sz w:val="28"/>
          <w:szCs w:val="28"/>
          <w:lang w:eastAsia="zh-CN"/>
        </w:rPr>
        <w:t>广东东莞寮步横坑加油站</w:t>
      </w:r>
      <w:r>
        <w:rPr>
          <w:rFonts w:hint="eastAsia" w:ascii="宋体" w:hAnsi="宋体" w:eastAsia="宋体" w:cs="宋体"/>
          <w:color w:val="auto"/>
          <w:sz w:val="28"/>
          <w:szCs w:val="28"/>
        </w:rPr>
        <w:t>（以下简称“</w:t>
      </w:r>
      <w:r>
        <w:rPr>
          <w:rFonts w:hint="eastAsia" w:ascii="宋体" w:hAnsi="宋体" w:eastAsia="宋体" w:cs="宋体"/>
          <w:color w:val="auto"/>
          <w:sz w:val="28"/>
          <w:szCs w:val="28"/>
          <w:lang w:eastAsia="zh-CN"/>
        </w:rPr>
        <w:t>横坑加油站</w:t>
      </w:r>
      <w:r>
        <w:rPr>
          <w:rFonts w:hint="eastAsia" w:ascii="宋体" w:hAnsi="宋体" w:eastAsia="宋体" w:cs="宋体"/>
          <w:color w:val="auto"/>
          <w:sz w:val="28"/>
          <w:szCs w:val="28"/>
        </w:rPr>
        <w:t>”或“该加油站”）位于广东省东莞市寮步镇莞樟路寮步段192号101室，成立于2013年03月14日，属于</w:t>
      </w:r>
      <w:r>
        <w:rPr>
          <w:rFonts w:hint="eastAsia" w:ascii="宋体" w:hAnsi="宋体" w:eastAsia="宋体" w:cs="宋体"/>
          <w:color w:val="auto"/>
          <w:sz w:val="28"/>
          <w:szCs w:val="28"/>
          <w:lang w:eastAsia="zh-CN"/>
        </w:rPr>
        <w:t>有限责任公司分公司（法人独资）企业</w:t>
      </w:r>
      <w:r>
        <w:rPr>
          <w:rFonts w:hint="eastAsia" w:ascii="宋体" w:hAnsi="宋体" w:eastAsia="宋体" w:cs="宋体"/>
          <w:color w:val="auto"/>
          <w:sz w:val="28"/>
          <w:szCs w:val="28"/>
        </w:rPr>
        <w:t>，负责人：江泽彬，统一社会信用代码：914419000651009425，经营范围：零售：汽油、柴油、润滑油、沥青、燃料油、预包装食品（含冷藏冷冻食品）、特殊食品（保健食品、婴幼儿配方乳粉）、卷烟、雪茄烟、纺织、服装、日用品、五金、家用电器及电子产品、充值卡；委托代理收取水电费；票务代理服务；机动车维修（汽车清洗服务）。（依法须经批准的项目，经相关部门批准后方可开展经营活动。）</w:t>
      </w:r>
      <w:r>
        <w:rPr>
          <w:rFonts w:hint="eastAsia" w:ascii="宋体" w:hAnsi="宋体" w:eastAsia="宋体" w:cs="宋体"/>
          <w:color w:val="auto"/>
          <w:sz w:val="28"/>
          <w:szCs w:val="28"/>
          <w:lang w:eastAsia="zh-CN"/>
        </w:rPr>
        <w:t>。</w:t>
      </w:r>
    </w:p>
    <w:p>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jc w:val="both"/>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该</w:t>
      </w:r>
      <w:r>
        <w:rPr>
          <w:rFonts w:hint="eastAsia" w:ascii="宋体" w:hAnsi="宋体" w:eastAsia="宋体" w:cs="宋体"/>
          <w:color w:val="auto"/>
          <w:sz w:val="28"/>
          <w:szCs w:val="28"/>
        </w:rPr>
        <w:t>加油站于201</w:t>
      </w:r>
      <w:r>
        <w:rPr>
          <w:rFonts w:hint="eastAsia" w:ascii="宋体" w:hAnsi="宋体" w:eastAsia="宋体" w:cs="宋体"/>
          <w:color w:val="auto"/>
          <w:sz w:val="28"/>
          <w:szCs w:val="28"/>
          <w:lang w:val="en-US" w:eastAsia="zh-CN"/>
        </w:rPr>
        <w:t>7</w:t>
      </w:r>
      <w:r>
        <w:rPr>
          <w:rFonts w:hint="eastAsia" w:ascii="宋体" w:hAnsi="宋体" w:eastAsia="宋体" w:cs="宋体"/>
          <w:color w:val="auto"/>
          <w:sz w:val="28"/>
          <w:szCs w:val="28"/>
        </w:rPr>
        <w:t>年</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月</w:t>
      </w:r>
      <w:r>
        <w:rPr>
          <w:rFonts w:hint="eastAsia" w:ascii="宋体" w:hAnsi="宋体" w:eastAsia="宋体" w:cs="宋体"/>
          <w:color w:val="auto"/>
          <w:sz w:val="28"/>
          <w:szCs w:val="28"/>
          <w:lang w:val="en-US" w:eastAsia="zh-CN"/>
        </w:rPr>
        <w:t>13</w:t>
      </w:r>
      <w:r>
        <w:rPr>
          <w:rFonts w:hint="eastAsia" w:ascii="宋体" w:hAnsi="宋体" w:eastAsia="宋体" w:cs="宋体"/>
          <w:color w:val="auto"/>
          <w:sz w:val="28"/>
          <w:szCs w:val="28"/>
        </w:rPr>
        <w:t>日取得了东莞市安全生产监督管理局核发的危险化学品经营许可证，证书编号：粤东危化经字[201</w:t>
      </w:r>
      <w:r>
        <w:rPr>
          <w:rFonts w:hint="eastAsia" w:ascii="宋体" w:hAnsi="宋体" w:eastAsia="宋体" w:cs="宋体"/>
          <w:color w:val="auto"/>
          <w:sz w:val="28"/>
          <w:szCs w:val="28"/>
          <w:lang w:val="en-US" w:eastAsia="zh-CN"/>
        </w:rPr>
        <w:t>7</w:t>
      </w:r>
      <w:r>
        <w:rPr>
          <w:rFonts w:hint="eastAsia" w:ascii="宋体" w:hAnsi="宋体" w:eastAsia="宋体" w:cs="宋体"/>
          <w:color w:val="auto"/>
          <w:sz w:val="28"/>
          <w:szCs w:val="28"/>
        </w:rPr>
        <w:t>]000</w:t>
      </w:r>
      <w:r>
        <w:rPr>
          <w:rFonts w:hint="eastAsia" w:ascii="宋体" w:hAnsi="宋体" w:eastAsia="宋体" w:cs="宋体"/>
          <w:color w:val="auto"/>
          <w:sz w:val="28"/>
          <w:szCs w:val="28"/>
          <w:lang w:val="en-US" w:eastAsia="zh-CN"/>
        </w:rPr>
        <w:t>058</w:t>
      </w:r>
      <w:r>
        <w:rPr>
          <w:rFonts w:hint="eastAsia" w:ascii="宋体" w:hAnsi="宋体" w:eastAsia="宋体" w:cs="宋体"/>
          <w:color w:val="auto"/>
          <w:sz w:val="28"/>
          <w:szCs w:val="28"/>
        </w:rPr>
        <w:t>号，有效期限20</w:t>
      </w:r>
      <w:r>
        <w:rPr>
          <w:rFonts w:hint="eastAsia" w:ascii="宋体" w:hAnsi="宋体" w:eastAsia="宋体" w:cs="宋体"/>
          <w:color w:val="auto"/>
          <w:sz w:val="28"/>
          <w:szCs w:val="28"/>
          <w:lang w:val="en-US" w:eastAsia="zh-CN"/>
        </w:rPr>
        <w:t>17</w:t>
      </w:r>
      <w:r>
        <w:rPr>
          <w:rFonts w:hint="eastAsia" w:ascii="宋体" w:hAnsi="宋体" w:eastAsia="宋体" w:cs="宋体"/>
          <w:color w:val="auto"/>
          <w:sz w:val="28"/>
          <w:szCs w:val="28"/>
        </w:rPr>
        <w:t>年</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月</w:t>
      </w:r>
      <w:r>
        <w:rPr>
          <w:rFonts w:hint="eastAsia" w:ascii="宋体" w:hAnsi="宋体" w:eastAsia="宋体" w:cs="宋体"/>
          <w:color w:val="auto"/>
          <w:sz w:val="28"/>
          <w:szCs w:val="28"/>
          <w:lang w:val="en-US" w:eastAsia="zh-CN"/>
        </w:rPr>
        <w:t>13</w:t>
      </w:r>
      <w:r>
        <w:rPr>
          <w:rFonts w:hint="eastAsia" w:ascii="宋体" w:hAnsi="宋体" w:eastAsia="宋体" w:cs="宋体"/>
          <w:color w:val="auto"/>
          <w:sz w:val="28"/>
          <w:szCs w:val="28"/>
        </w:rPr>
        <w:t>日至20</w:t>
      </w:r>
      <w:r>
        <w:rPr>
          <w:rFonts w:hint="eastAsia" w:ascii="宋体" w:hAnsi="宋体" w:eastAsia="宋体" w:cs="宋体"/>
          <w:color w:val="auto"/>
          <w:sz w:val="28"/>
          <w:szCs w:val="28"/>
          <w:lang w:val="en-US" w:eastAsia="zh-CN"/>
        </w:rPr>
        <w:t>20</w:t>
      </w:r>
      <w:r>
        <w:rPr>
          <w:rFonts w:hint="eastAsia" w:ascii="宋体" w:hAnsi="宋体" w:eastAsia="宋体" w:cs="宋体"/>
          <w:color w:val="auto"/>
          <w:sz w:val="28"/>
          <w:szCs w:val="28"/>
        </w:rPr>
        <w:t>年</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月</w:t>
      </w:r>
      <w:r>
        <w:rPr>
          <w:rFonts w:hint="eastAsia" w:ascii="宋体" w:hAnsi="宋体" w:eastAsia="宋体" w:cs="宋体"/>
          <w:color w:val="auto"/>
          <w:sz w:val="28"/>
          <w:szCs w:val="28"/>
          <w:lang w:val="en-US" w:eastAsia="zh-CN"/>
        </w:rPr>
        <w:t>12</w:t>
      </w:r>
      <w:r>
        <w:rPr>
          <w:rFonts w:hint="eastAsia" w:ascii="宋体" w:hAnsi="宋体" w:eastAsia="宋体" w:cs="宋体"/>
          <w:color w:val="auto"/>
          <w:sz w:val="28"/>
          <w:szCs w:val="28"/>
        </w:rPr>
        <w:t>日。许可范围为：汽油</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1630</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、柴油</w:t>
      </w:r>
      <w:r>
        <w:rPr>
          <w:rFonts w:hint="eastAsia" w:ascii="宋体" w:hAnsi="宋体" w:eastAsia="宋体" w:cs="宋体"/>
          <w:color w:val="auto"/>
          <w:sz w:val="28"/>
          <w:szCs w:val="28"/>
          <w:lang w:eastAsia="zh-CN"/>
        </w:rPr>
        <w:t>（闭杯闪点≤</w:t>
      </w:r>
      <w:r>
        <w:rPr>
          <w:rFonts w:hint="eastAsia" w:ascii="宋体" w:hAnsi="宋体" w:eastAsia="宋体" w:cs="宋体"/>
          <w:color w:val="auto"/>
          <w:sz w:val="28"/>
          <w:szCs w:val="28"/>
          <w:lang w:val="en-US" w:eastAsia="zh-CN"/>
        </w:rPr>
        <w:t>60℃</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***（备注：二级加油站，其中汽油罐40m³×2个</w:t>
      </w:r>
      <w:r>
        <w:rPr>
          <w:rFonts w:hint="eastAsia" w:ascii="宋体" w:hAnsi="宋体" w:eastAsia="宋体" w:cs="宋体"/>
          <w:color w:val="auto"/>
          <w:sz w:val="28"/>
          <w:szCs w:val="28"/>
          <w:lang w:val="en-US" w:eastAsia="zh-CN"/>
        </w:rPr>
        <w:t>，</w:t>
      </w:r>
      <w:r>
        <w:rPr>
          <w:rFonts w:hint="eastAsia" w:ascii="宋体" w:hAnsi="宋体" w:eastAsia="宋体" w:cs="宋体"/>
          <w:color w:val="auto"/>
          <w:sz w:val="28"/>
          <w:szCs w:val="28"/>
        </w:rPr>
        <w:t>柴油罐40m³×</w:t>
      </w:r>
      <w:r>
        <w:rPr>
          <w:rFonts w:hint="eastAsia" w:ascii="宋体" w:hAnsi="宋体" w:eastAsia="宋体" w:cs="宋体"/>
          <w:color w:val="auto"/>
          <w:sz w:val="28"/>
          <w:szCs w:val="28"/>
          <w:lang w:val="en-US" w:eastAsia="zh-CN"/>
        </w:rPr>
        <w:t>2</w:t>
      </w:r>
      <w:r>
        <w:rPr>
          <w:rFonts w:hint="eastAsia" w:ascii="宋体" w:hAnsi="宋体" w:eastAsia="宋体" w:cs="宋体"/>
          <w:color w:val="auto"/>
          <w:sz w:val="28"/>
          <w:szCs w:val="28"/>
        </w:rPr>
        <w:t>个）***。根据《汽车加油加气站设计与施工规范》（GB50156－2012）（2014年局部修订版）第3.0.9条关于加油站的等级划分规定，柴油容积折半计入油罐总容积，该加油站总容积为V=2×40 m³＋</w:t>
      </w:r>
      <w:r>
        <w:rPr>
          <w:rFonts w:hint="eastAsia" w:ascii="宋体" w:hAnsi="宋体" w:eastAsia="宋体" w:cs="宋体"/>
          <w:color w:val="auto"/>
          <w:sz w:val="28"/>
          <w:szCs w:val="28"/>
          <w:lang w:val="en-US" w:eastAsia="zh-CN"/>
        </w:rPr>
        <w:t>2</w:t>
      </w:r>
      <w:r>
        <w:rPr>
          <w:rFonts w:hint="eastAsia" w:ascii="宋体" w:hAnsi="宋体" w:eastAsia="宋体" w:cs="宋体"/>
          <w:color w:val="auto"/>
          <w:sz w:val="28"/>
          <w:szCs w:val="28"/>
        </w:rPr>
        <w:t>×40 m³/2＝12</w:t>
      </w:r>
      <w:r>
        <w:rPr>
          <w:rFonts w:hint="eastAsia" w:ascii="宋体" w:hAnsi="宋体" w:eastAsia="宋体" w:cs="宋体"/>
          <w:color w:val="auto"/>
          <w:sz w:val="28"/>
          <w:szCs w:val="28"/>
          <w:lang w:val="en-US" w:eastAsia="zh-CN"/>
        </w:rPr>
        <w:t>0</w:t>
      </w:r>
      <w:r>
        <w:rPr>
          <w:rFonts w:hint="eastAsia" w:ascii="宋体" w:hAnsi="宋体" w:eastAsia="宋体" w:cs="宋体"/>
          <w:color w:val="auto"/>
          <w:sz w:val="28"/>
          <w:szCs w:val="28"/>
        </w:rPr>
        <w:t xml:space="preserve"> m³，且单罐容积汽油、柴油储罐≤50m³，总容积90m³＜V≤150 m³，因此，该加油站属于二级加油站</w:t>
      </w:r>
      <w:r>
        <w:rPr>
          <w:rFonts w:hint="eastAsia" w:ascii="宋体" w:hAnsi="宋体" w:eastAsia="宋体" w:cs="宋体"/>
          <w:color w:val="auto"/>
          <w:sz w:val="28"/>
          <w:szCs w:val="28"/>
          <w:lang w:eastAsia="zh-CN"/>
        </w:rPr>
        <w:t>。</w:t>
      </w:r>
    </w:p>
    <w:bookmarkEnd w:id="5"/>
    <w:p>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jc w:val="both"/>
        <w:textAlignment w:val="auto"/>
        <w:rPr>
          <w:rFonts w:hint="eastAsia" w:ascii="宋体" w:hAnsi="宋体" w:eastAsia="宋体" w:cs="宋体"/>
          <w:color w:val="auto"/>
          <w:spacing w:val="-7"/>
          <w:sz w:val="28"/>
          <w:szCs w:val="28"/>
          <w:highlight w:val="none"/>
          <w:lang w:val="en-US" w:eastAsia="zh-CN"/>
        </w:rPr>
      </w:pPr>
      <w:r>
        <w:rPr>
          <w:rFonts w:hint="eastAsia" w:ascii="宋体" w:hAnsi="宋体" w:eastAsia="宋体" w:cs="宋体"/>
          <w:sz w:val="28"/>
          <w:szCs w:val="28"/>
        </w:rPr>
        <w:t>由于</w:t>
      </w:r>
      <w:r>
        <w:rPr>
          <w:rFonts w:hint="eastAsia" w:ascii="宋体" w:hAnsi="宋体" w:eastAsia="宋体" w:cs="宋体"/>
          <w:sz w:val="28"/>
          <w:szCs w:val="28"/>
          <w:lang w:eastAsia="zh-CN"/>
        </w:rPr>
        <w:t>横坑加油站</w:t>
      </w:r>
      <w:r>
        <w:rPr>
          <w:rFonts w:hint="eastAsia" w:ascii="宋体" w:hAnsi="宋体" w:eastAsia="宋体" w:cs="宋体"/>
          <w:sz w:val="28"/>
          <w:szCs w:val="28"/>
        </w:rPr>
        <w:t>设立时间较早，埋地储罐及工艺管线老化、腐蚀，潜在油品泄漏风险，为消除安全隐患</w:t>
      </w:r>
      <w:r>
        <w:rPr>
          <w:rFonts w:hint="eastAsia" w:cs="宋体"/>
          <w:sz w:val="28"/>
          <w:szCs w:val="28"/>
          <w:lang w:eastAsia="zh-CN"/>
        </w:rPr>
        <w:t>，经有关部门同意，该加油站对油罐、输油管等进行更新改造，以便</w:t>
      </w:r>
      <w:r>
        <w:rPr>
          <w:rFonts w:hint="eastAsia" w:ascii="宋体" w:hAnsi="宋体" w:eastAsia="宋体" w:cs="宋体"/>
          <w:sz w:val="28"/>
          <w:szCs w:val="28"/>
        </w:rPr>
        <w:t>满足国家相关法律、</w:t>
      </w:r>
      <w:r>
        <w:rPr>
          <w:rFonts w:hint="eastAsia" w:ascii="宋体" w:hAnsi="宋体" w:eastAsia="宋体" w:cs="宋体"/>
          <w:sz w:val="28"/>
          <w:szCs w:val="28"/>
          <w:highlight w:val="none"/>
        </w:rPr>
        <w:t>法规要求，</w:t>
      </w:r>
      <w:r>
        <w:rPr>
          <w:rFonts w:hint="eastAsia" w:cs="宋体"/>
          <w:sz w:val="28"/>
          <w:szCs w:val="28"/>
          <w:highlight w:val="none"/>
          <w:lang w:eastAsia="zh-CN"/>
        </w:rPr>
        <w:t>该加油站</w:t>
      </w:r>
      <w:r>
        <w:rPr>
          <w:rFonts w:hint="eastAsia" w:ascii="宋体" w:hAnsi="宋体" w:eastAsia="宋体" w:cs="宋体"/>
          <w:color w:val="auto"/>
          <w:spacing w:val="-7"/>
          <w:sz w:val="28"/>
          <w:szCs w:val="28"/>
          <w:highlight w:val="none"/>
          <w:lang w:val="en-US" w:eastAsia="zh-CN"/>
        </w:rPr>
        <w:t>于2019年12月01日开始改造工程施工，2019年12月22日完成改造工程。</w:t>
      </w:r>
    </w:p>
    <w:p>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jc w:val="both"/>
        <w:textAlignment w:val="auto"/>
        <w:rPr>
          <w:rFonts w:hint="eastAsia" w:ascii="宋体" w:hAnsi="宋体" w:eastAsia="宋体" w:cs="宋体"/>
          <w:color w:val="auto"/>
          <w:sz w:val="28"/>
          <w:szCs w:val="28"/>
        </w:rPr>
      </w:pPr>
      <w:r>
        <w:rPr>
          <w:rFonts w:hint="eastAsia" w:ascii="宋体" w:hAnsi="宋体" w:eastAsia="宋体" w:cs="宋体"/>
          <w:color w:val="auto"/>
          <w:sz w:val="28"/>
          <w:szCs w:val="28"/>
          <w:highlight w:val="none"/>
        </w:rPr>
        <w:t>受</w:t>
      </w:r>
      <w:r>
        <w:rPr>
          <w:rFonts w:hint="eastAsia" w:ascii="宋体" w:hAnsi="宋体" w:eastAsia="宋体" w:cs="宋体"/>
          <w:color w:val="auto"/>
          <w:spacing w:val="-7"/>
          <w:sz w:val="28"/>
          <w:szCs w:val="28"/>
          <w:highlight w:val="none"/>
          <w:lang w:val="en-US" w:eastAsia="zh-CN"/>
        </w:rPr>
        <w:t>中国石化销售股份有限公司广东东莞寮步横坑加油站</w:t>
      </w:r>
      <w:r>
        <w:rPr>
          <w:rFonts w:hint="eastAsia" w:ascii="宋体" w:hAnsi="宋体" w:eastAsia="宋体" w:cs="宋体"/>
          <w:color w:val="auto"/>
          <w:sz w:val="28"/>
          <w:szCs w:val="28"/>
          <w:highlight w:val="none"/>
        </w:rPr>
        <w:t>委托，</w:t>
      </w:r>
      <w:r>
        <w:rPr>
          <w:rFonts w:hint="eastAsia" w:ascii="宋体" w:hAnsi="宋体" w:eastAsia="宋体" w:cs="宋体"/>
          <w:color w:val="auto"/>
          <w:sz w:val="28"/>
          <w:szCs w:val="28"/>
          <w:highlight w:val="none"/>
          <w:lang w:eastAsia="zh-CN"/>
        </w:rPr>
        <w:t>广东安</w:t>
      </w:r>
      <w:r>
        <w:rPr>
          <w:rFonts w:hint="eastAsia" w:ascii="宋体" w:hAnsi="宋体" w:eastAsia="宋体" w:cs="宋体"/>
          <w:color w:val="auto"/>
          <w:sz w:val="28"/>
          <w:szCs w:val="28"/>
          <w:lang w:eastAsia="zh-CN"/>
        </w:rPr>
        <w:t>源鼎盛检测评价技术服务有限公司</w:t>
      </w:r>
      <w:r>
        <w:rPr>
          <w:rFonts w:hint="eastAsia" w:ascii="宋体" w:hAnsi="宋体" w:eastAsia="宋体" w:cs="宋体"/>
          <w:color w:val="auto"/>
          <w:sz w:val="28"/>
          <w:szCs w:val="28"/>
        </w:rPr>
        <w:t>承接了该加油站</w:t>
      </w:r>
      <w:r>
        <w:rPr>
          <w:rFonts w:hint="eastAsia" w:ascii="宋体" w:hAnsi="宋体" w:eastAsia="宋体" w:cs="宋体"/>
          <w:color w:val="auto"/>
          <w:sz w:val="28"/>
          <w:szCs w:val="28"/>
          <w:lang w:eastAsia="zh-CN"/>
        </w:rPr>
        <w:t>改建后</w:t>
      </w:r>
      <w:r>
        <w:rPr>
          <w:rFonts w:hint="eastAsia" w:ascii="宋体" w:hAnsi="宋体" w:eastAsia="宋体" w:cs="宋体"/>
          <w:color w:val="auto"/>
          <w:sz w:val="28"/>
          <w:szCs w:val="28"/>
        </w:rPr>
        <w:t>的</w:t>
      </w:r>
      <w:r>
        <w:rPr>
          <w:rFonts w:hint="eastAsia" w:ascii="宋体" w:hAnsi="宋体" w:eastAsia="宋体" w:cs="宋体"/>
          <w:color w:val="auto"/>
          <w:sz w:val="28"/>
          <w:szCs w:val="28"/>
          <w:lang w:eastAsia="zh-CN"/>
        </w:rPr>
        <w:t>安全验收</w:t>
      </w:r>
      <w:r>
        <w:rPr>
          <w:rFonts w:hint="eastAsia" w:ascii="宋体" w:hAnsi="宋体" w:eastAsia="宋体" w:cs="宋体"/>
          <w:color w:val="auto"/>
          <w:sz w:val="28"/>
          <w:szCs w:val="28"/>
        </w:rPr>
        <w:t>评价任务。</w:t>
      </w:r>
    </w:p>
    <w:p>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jc w:val="both"/>
        <w:textAlignment w:val="auto"/>
        <w:rPr>
          <w:rFonts w:hint="eastAsia" w:ascii="宋体" w:hAnsi="宋体" w:eastAsia="宋体" w:cs="宋体"/>
          <w:color w:val="auto"/>
          <w:sz w:val="28"/>
          <w:szCs w:val="28"/>
        </w:rPr>
      </w:pPr>
      <w:r>
        <w:rPr>
          <w:rFonts w:hint="eastAsia" w:ascii="宋体" w:hAnsi="宋体" w:eastAsia="宋体" w:cs="宋体"/>
          <w:sz w:val="28"/>
          <w:lang w:eastAsia="zh-CN"/>
        </w:rPr>
        <w:t>为保证安全评价工作的顺利进行，广东安源鼎盛检测评价技术服务有限公司成立了评价工作组，评价组于2019年</w:t>
      </w:r>
      <w:r>
        <w:rPr>
          <w:rFonts w:hint="eastAsia" w:ascii="宋体" w:hAnsi="宋体" w:eastAsia="宋体" w:cs="宋体"/>
          <w:sz w:val="28"/>
          <w:lang w:val="en-US" w:eastAsia="zh-CN"/>
        </w:rPr>
        <w:t>1</w:t>
      </w:r>
      <w:r>
        <w:rPr>
          <w:rFonts w:hint="eastAsia" w:cs="宋体"/>
          <w:sz w:val="28"/>
          <w:lang w:val="en-US" w:eastAsia="zh-CN"/>
        </w:rPr>
        <w:t>2</w:t>
      </w:r>
      <w:r>
        <w:rPr>
          <w:rFonts w:hint="eastAsia" w:ascii="宋体" w:hAnsi="宋体" w:eastAsia="宋体" w:cs="宋体"/>
          <w:sz w:val="28"/>
          <w:lang w:eastAsia="zh-CN"/>
        </w:rPr>
        <w:t>月</w:t>
      </w:r>
      <w:r>
        <w:rPr>
          <w:rFonts w:hint="eastAsia" w:cs="宋体"/>
          <w:sz w:val="28"/>
          <w:lang w:val="en-US" w:eastAsia="zh-CN"/>
        </w:rPr>
        <w:t>23</w:t>
      </w:r>
      <w:r>
        <w:rPr>
          <w:rFonts w:hint="eastAsia" w:ascii="宋体" w:hAnsi="宋体" w:eastAsia="宋体" w:cs="宋体"/>
          <w:sz w:val="28"/>
          <w:lang w:val="en-US" w:eastAsia="zh-CN"/>
        </w:rPr>
        <w:t>日</w:t>
      </w:r>
      <w:r>
        <w:rPr>
          <w:rFonts w:hint="eastAsia" w:ascii="宋体" w:hAnsi="宋体" w:eastAsia="宋体" w:cs="宋体"/>
          <w:sz w:val="28"/>
          <w:lang w:eastAsia="zh-CN"/>
        </w:rPr>
        <w:t>深入现场进行实地调研和考察，对加油站提供的相关资料及现场情况进行了全面仔细的分析和研究，并咨询有关专家的意见，根据《危险化学品安全管理条例</w:t>
      </w:r>
      <w:r>
        <w:rPr>
          <w:rFonts w:hint="eastAsia" w:ascii="宋体" w:hAnsi="宋体" w:eastAsia="宋体" w:cs="宋体"/>
          <w:color w:val="auto"/>
          <w:sz w:val="28"/>
          <w:szCs w:val="28"/>
        </w:rPr>
        <w:t>》（国务院令</w:t>
      </w:r>
      <w:r>
        <w:rPr>
          <w:rFonts w:hint="eastAsia" w:ascii="宋体" w:hAnsi="宋体" w:eastAsia="宋体" w:cs="宋体"/>
          <w:color w:val="auto"/>
          <w:sz w:val="28"/>
          <w:szCs w:val="28"/>
          <w:lang w:val="en-US" w:eastAsia="zh-CN"/>
        </w:rPr>
        <w:t>[2011]</w:t>
      </w:r>
      <w:r>
        <w:rPr>
          <w:rFonts w:hint="eastAsia" w:ascii="宋体" w:hAnsi="宋体" w:eastAsia="宋体" w:cs="宋体"/>
          <w:color w:val="auto"/>
          <w:sz w:val="28"/>
          <w:szCs w:val="28"/>
        </w:rPr>
        <w:t>第591号，国务院令</w:t>
      </w:r>
      <w:r>
        <w:rPr>
          <w:rFonts w:hint="eastAsia" w:ascii="宋体" w:hAnsi="宋体" w:eastAsia="宋体" w:cs="宋体"/>
          <w:color w:val="auto"/>
          <w:sz w:val="28"/>
          <w:szCs w:val="28"/>
          <w:lang w:val="en-US" w:eastAsia="zh-CN"/>
        </w:rPr>
        <w:t>[2013]</w:t>
      </w:r>
      <w:r>
        <w:rPr>
          <w:rFonts w:hint="eastAsia" w:ascii="宋体" w:hAnsi="宋体" w:eastAsia="宋体" w:cs="宋体"/>
          <w:color w:val="auto"/>
          <w:sz w:val="28"/>
          <w:szCs w:val="28"/>
        </w:rPr>
        <w:t>第645号修改）</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《危险化学品建设项目安全评价细则</w:t>
      </w:r>
      <w:r>
        <w:rPr>
          <w:rFonts w:hint="eastAsia" w:ascii="宋体" w:hAnsi="宋体" w:eastAsia="宋体" w:cs="宋体"/>
          <w:color w:val="auto"/>
          <w:sz w:val="28"/>
          <w:szCs w:val="28"/>
          <w:lang w:eastAsia="zh-CN"/>
        </w:rPr>
        <w:t>（试行）</w:t>
      </w:r>
      <w:r>
        <w:rPr>
          <w:rFonts w:hint="eastAsia" w:ascii="宋体" w:hAnsi="宋体" w:eastAsia="宋体" w:cs="宋体"/>
          <w:color w:val="auto"/>
          <w:sz w:val="28"/>
          <w:szCs w:val="28"/>
        </w:rPr>
        <w:t>》</w:t>
      </w:r>
      <w:r>
        <w:rPr>
          <w:rFonts w:hint="eastAsia" w:ascii="宋体" w:hAnsi="宋体" w:eastAsia="宋体" w:cs="宋体"/>
          <w:spacing w:val="-7"/>
          <w:sz w:val="28"/>
          <w:szCs w:val="28"/>
          <w:lang w:val="en-US" w:eastAsia="zh-CN"/>
        </w:rPr>
        <w:t>（安监总危化[2007]255号）</w:t>
      </w:r>
      <w:r>
        <w:rPr>
          <w:rFonts w:hint="eastAsia" w:ascii="宋体" w:hAnsi="宋体" w:eastAsia="宋体" w:cs="宋体"/>
          <w:color w:val="auto"/>
          <w:sz w:val="28"/>
          <w:szCs w:val="28"/>
        </w:rPr>
        <w:t>等的要求，编制完成了该加油站安全</w:t>
      </w:r>
      <w:r>
        <w:rPr>
          <w:rFonts w:hint="eastAsia" w:ascii="宋体" w:hAnsi="宋体" w:eastAsia="宋体" w:cs="宋体"/>
          <w:color w:val="auto"/>
          <w:sz w:val="28"/>
          <w:szCs w:val="28"/>
          <w:lang w:eastAsia="zh-CN"/>
        </w:rPr>
        <w:t>验收</w:t>
      </w:r>
      <w:r>
        <w:rPr>
          <w:rFonts w:hint="eastAsia" w:ascii="宋体" w:hAnsi="宋体" w:eastAsia="宋体" w:cs="宋体"/>
          <w:color w:val="auto"/>
          <w:sz w:val="28"/>
          <w:szCs w:val="28"/>
        </w:rPr>
        <w:t>评价报告。在评价过程中得到了企业的大力支持和协助，在此特表谢意！</w:t>
      </w:r>
    </w:p>
    <w:p>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jc w:val="both"/>
        <w:textAlignment w:val="auto"/>
        <w:rPr>
          <w:rFonts w:hint="eastAsia" w:ascii="宋体" w:hAnsi="宋体" w:eastAsia="宋体" w:cs="宋体"/>
          <w:color w:val="auto"/>
          <w:sz w:val="28"/>
          <w:szCs w:val="28"/>
          <w:lang w:val="zh-CN" w:eastAsia="zh-CN"/>
        </w:rPr>
        <w:sectPr>
          <w:pgSz w:w="11910" w:h="16840"/>
          <w:pgMar w:top="1417" w:right="1134" w:bottom="1134" w:left="1587" w:header="720" w:footer="720" w:gutter="0"/>
          <w:pgNumType w:fmt="decimal" w:start="1"/>
          <w:cols w:space="0" w:num="1"/>
        </w:sectPr>
      </w:pPr>
      <w:r>
        <w:rPr>
          <w:rFonts w:hint="eastAsia" w:ascii="宋体" w:hAnsi="宋体" w:eastAsia="宋体" w:cs="宋体"/>
          <w:color w:val="auto"/>
          <w:sz w:val="28"/>
          <w:szCs w:val="28"/>
        </w:rPr>
        <w:t>本报</w:t>
      </w:r>
      <w:r>
        <w:rPr>
          <w:rFonts w:hint="eastAsia" w:ascii="宋体" w:hAnsi="宋体" w:eastAsia="宋体" w:cs="宋体"/>
          <w:color w:val="auto"/>
          <w:sz w:val="28"/>
          <w:szCs w:val="28"/>
          <w:lang w:val="en-US" w:eastAsia="zh-CN"/>
        </w:rPr>
        <w:t>告文件与资料由</w:t>
      </w:r>
      <w:r>
        <w:rPr>
          <w:rFonts w:hint="eastAsia" w:ascii="宋体" w:hAnsi="宋体" w:eastAsia="宋体" w:cs="宋体"/>
          <w:spacing w:val="-7"/>
          <w:sz w:val="28"/>
          <w:szCs w:val="28"/>
          <w:lang w:val="en-US" w:eastAsia="zh-CN"/>
        </w:rPr>
        <w:t>中国石化销售股份有限公司广东东莞寮步横坑加油站</w:t>
      </w:r>
      <w:r>
        <w:rPr>
          <w:rFonts w:hint="eastAsia" w:ascii="宋体" w:hAnsi="宋体" w:eastAsia="宋体" w:cs="宋体"/>
          <w:color w:val="auto"/>
          <w:sz w:val="28"/>
          <w:szCs w:val="28"/>
          <w:lang w:val="en-US" w:eastAsia="zh-CN"/>
        </w:rPr>
        <w:t>提供，该公司对所提供文件与资料内容的真实性负责。</w:t>
      </w:r>
    </w:p>
    <w:p>
      <w:pPr>
        <w:bidi w:val="0"/>
        <w:jc w:val="left"/>
        <w:rPr>
          <w:rFonts w:hint="eastAsia" w:ascii="宋体" w:hAnsi="宋体" w:eastAsia="宋体" w:cs="宋体"/>
          <w:sz w:val="22"/>
          <w:szCs w:val="22"/>
          <w:lang w:val="zh-CN" w:eastAsia="zh-CN" w:bidi="zh-CN"/>
        </w:rPr>
      </w:pPr>
    </w:p>
    <w:p>
      <w:pPr>
        <w:pStyle w:val="12"/>
        <w:tabs>
          <w:tab w:val="right" w:leader="dot" w:pos="9189"/>
        </w:tabs>
        <w:jc w:val="center"/>
        <w:rPr>
          <w:rFonts w:hint="eastAsia" w:ascii="宋体" w:hAnsi="宋体" w:eastAsia="宋体" w:cs="宋体"/>
          <w:sz w:val="21"/>
          <w:szCs w:val="21"/>
          <w:lang w:val="zh-CN" w:eastAsia="zh-CN" w:bidi="zh-CN"/>
        </w:rPr>
      </w:pPr>
      <w:r>
        <w:rPr>
          <w:rFonts w:hint="eastAsia" w:ascii="宋体" w:hAnsi="宋体" w:eastAsia="宋体" w:cs="宋体"/>
          <w:b/>
          <w:bCs/>
          <w:sz w:val="32"/>
          <w:szCs w:val="32"/>
        </w:rPr>
        <w:t>目录</w:t>
      </w:r>
      <w:r>
        <w:rPr>
          <w:rFonts w:hint="eastAsia" w:ascii="宋体" w:hAnsi="宋体" w:eastAsia="宋体" w:cs="宋体"/>
        </w:rPr>
        <w:fldChar w:fldCharType="begin"/>
      </w:r>
      <w:r>
        <w:rPr>
          <w:rFonts w:hint="eastAsia" w:ascii="宋体" w:hAnsi="宋体" w:eastAsia="宋体" w:cs="宋体"/>
        </w:rPr>
        <w:instrText xml:space="preserve">TOC \o "1-2" \h \u </w:instrText>
      </w:r>
      <w:r>
        <w:rPr>
          <w:rFonts w:hint="eastAsia" w:ascii="宋体" w:hAnsi="宋体" w:eastAsia="宋体" w:cs="宋体"/>
        </w:rPr>
        <w:fldChar w:fldCharType="separate"/>
      </w:r>
    </w:p>
    <w:p>
      <w:pPr>
        <w:pStyle w:val="10"/>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_Toc16305 </w:instrText>
      </w:r>
      <w:r>
        <w:rPr>
          <w:rFonts w:hint="eastAsia" w:ascii="宋体" w:hAnsi="宋体" w:eastAsia="宋体" w:cs="宋体"/>
        </w:rPr>
        <w:fldChar w:fldCharType="separate"/>
      </w:r>
      <w:r>
        <w:rPr>
          <w:rFonts w:hint="eastAsia" w:ascii="宋体" w:hAnsi="宋体" w:eastAsia="宋体" w:cs="宋体"/>
        </w:rPr>
        <w:t>1 安全评价工作经过</w:t>
      </w:r>
      <w:r>
        <w:tab/>
      </w:r>
      <w:r>
        <w:fldChar w:fldCharType="begin"/>
      </w:r>
      <w:r>
        <w:instrText xml:space="preserve"> PAGEREF _Toc16305 </w:instrText>
      </w:r>
      <w:r>
        <w:fldChar w:fldCharType="separate"/>
      </w:r>
      <w:r>
        <w:t>1</w:t>
      </w:r>
      <w:r>
        <w:fldChar w:fldCharType="end"/>
      </w:r>
      <w:r>
        <w:rPr>
          <w:rFonts w:hint="eastAsia" w:ascii="宋体" w:hAnsi="宋体" w:eastAsia="宋体" w:cs="宋体"/>
        </w:rPr>
        <w:fldChar w:fldCharType="end"/>
      </w:r>
    </w:p>
    <w:p>
      <w:pPr>
        <w:pStyle w:val="12"/>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_Toc23443 </w:instrText>
      </w:r>
      <w:r>
        <w:rPr>
          <w:rFonts w:hint="eastAsia" w:ascii="宋体" w:hAnsi="宋体" w:eastAsia="宋体" w:cs="宋体"/>
        </w:rPr>
        <w:fldChar w:fldCharType="separate"/>
      </w:r>
      <w:r>
        <w:rPr>
          <w:rFonts w:hint="eastAsia" w:ascii="宋体" w:hAnsi="宋体" w:eastAsia="宋体" w:cs="宋体"/>
          <w:bCs/>
        </w:rPr>
        <w:t>1.1</w:t>
      </w:r>
      <w:r>
        <w:rPr>
          <w:rFonts w:hint="eastAsia" w:ascii="宋体" w:hAnsi="宋体" w:eastAsia="宋体" w:cs="宋体"/>
          <w:bCs/>
          <w:lang w:val="en-US"/>
        </w:rPr>
        <w:t xml:space="preserve"> </w:t>
      </w:r>
      <w:r>
        <w:rPr>
          <w:rFonts w:hint="eastAsia" w:ascii="宋体" w:hAnsi="宋体" w:eastAsia="宋体" w:cs="宋体"/>
          <w:bCs/>
        </w:rPr>
        <w:t>编制说明</w:t>
      </w:r>
      <w:r>
        <w:tab/>
      </w:r>
      <w:r>
        <w:fldChar w:fldCharType="begin"/>
      </w:r>
      <w:r>
        <w:instrText xml:space="preserve"> PAGEREF _Toc23443 </w:instrText>
      </w:r>
      <w:r>
        <w:fldChar w:fldCharType="separate"/>
      </w:r>
      <w:r>
        <w:t>1</w:t>
      </w:r>
      <w:r>
        <w:fldChar w:fldCharType="end"/>
      </w:r>
      <w:r>
        <w:rPr>
          <w:rFonts w:hint="eastAsia" w:ascii="宋体" w:hAnsi="宋体" w:eastAsia="宋体" w:cs="宋体"/>
        </w:rPr>
        <w:fldChar w:fldCharType="end"/>
      </w:r>
    </w:p>
    <w:p>
      <w:pPr>
        <w:pStyle w:val="12"/>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_Toc12810 </w:instrText>
      </w:r>
      <w:r>
        <w:rPr>
          <w:rFonts w:hint="eastAsia" w:ascii="宋体" w:hAnsi="宋体" w:eastAsia="宋体" w:cs="宋体"/>
        </w:rPr>
        <w:fldChar w:fldCharType="separate"/>
      </w:r>
      <w:r>
        <w:rPr>
          <w:rFonts w:hint="eastAsia" w:ascii="宋体" w:hAnsi="宋体" w:eastAsia="宋体" w:cs="宋体"/>
          <w:szCs w:val="32"/>
        </w:rPr>
        <w:t>1.2</w:t>
      </w:r>
      <w:r>
        <w:rPr>
          <w:rFonts w:hint="eastAsia" w:ascii="宋体" w:hAnsi="宋体" w:eastAsia="宋体" w:cs="宋体"/>
          <w:szCs w:val="32"/>
          <w:lang w:val="en-US"/>
        </w:rPr>
        <w:t xml:space="preserve"> </w:t>
      </w:r>
      <w:r>
        <w:rPr>
          <w:rFonts w:hint="eastAsia" w:ascii="宋体" w:hAnsi="宋体" w:eastAsia="宋体" w:cs="宋体"/>
          <w:szCs w:val="32"/>
        </w:rPr>
        <w:t>安全评价的目的</w:t>
      </w:r>
      <w:r>
        <w:tab/>
      </w:r>
      <w:r>
        <w:fldChar w:fldCharType="begin"/>
      </w:r>
      <w:r>
        <w:instrText xml:space="preserve"> PAGEREF _Toc12810 </w:instrText>
      </w:r>
      <w:r>
        <w:fldChar w:fldCharType="separate"/>
      </w:r>
      <w:r>
        <w:t>3</w:t>
      </w:r>
      <w:r>
        <w:fldChar w:fldCharType="end"/>
      </w:r>
      <w:r>
        <w:rPr>
          <w:rFonts w:hint="eastAsia" w:ascii="宋体" w:hAnsi="宋体" w:eastAsia="宋体" w:cs="宋体"/>
        </w:rPr>
        <w:fldChar w:fldCharType="end"/>
      </w:r>
    </w:p>
    <w:p>
      <w:pPr>
        <w:pStyle w:val="12"/>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_Toc955 </w:instrText>
      </w:r>
      <w:r>
        <w:rPr>
          <w:rFonts w:hint="eastAsia" w:ascii="宋体" w:hAnsi="宋体" w:eastAsia="宋体" w:cs="宋体"/>
        </w:rPr>
        <w:fldChar w:fldCharType="separate"/>
      </w:r>
      <w:r>
        <w:rPr>
          <w:rFonts w:hint="eastAsia" w:ascii="宋体" w:hAnsi="宋体" w:eastAsia="宋体" w:cs="宋体"/>
          <w:bCs/>
        </w:rPr>
        <w:t>1.</w:t>
      </w:r>
      <w:r>
        <w:rPr>
          <w:rFonts w:hint="eastAsia" w:ascii="宋体" w:hAnsi="宋体" w:eastAsia="宋体" w:cs="宋体"/>
          <w:bCs/>
          <w:lang w:val="en-US"/>
        </w:rPr>
        <w:t xml:space="preserve">3 </w:t>
      </w:r>
      <w:r>
        <w:rPr>
          <w:rFonts w:hint="eastAsia" w:ascii="宋体" w:hAnsi="宋体" w:eastAsia="宋体" w:cs="宋体"/>
          <w:bCs/>
        </w:rPr>
        <w:t>安全评价对象及范围</w:t>
      </w:r>
      <w:r>
        <w:tab/>
      </w:r>
      <w:r>
        <w:fldChar w:fldCharType="begin"/>
      </w:r>
      <w:r>
        <w:instrText xml:space="preserve"> PAGEREF _Toc955 </w:instrText>
      </w:r>
      <w:r>
        <w:fldChar w:fldCharType="separate"/>
      </w:r>
      <w:r>
        <w:t>3</w:t>
      </w:r>
      <w:r>
        <w:fldChar w:fldCharType="end"/>
      </w:r>
      <w:r>
        <w:rPr>
          <w:rFonts w:hint="eastAsia" w:ascii="宋体" w:hAnsi="宋体" w:eastAsia="宋体" w:cs="宋体"/>
        </w:rPr>
        <w:fldChar w:fldCharType="end"/>
      </w:r>
    </w:p>
    <w:p>
      <w:pPr>
        <w:pStyle w:val="12"/>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_Toc21784 </w:instrText>
      </w:r>
      <w:r>
        <w:rPr>
          <w:rFonts w:hint="eastAsia" w:ascii="宋体" w:hAnsi="宋体" w:eastAsia="宋体" w:cs="宋体"/>
        </w:rPr>
        <w:fldChar w:fldCharType="separate"/>
      </w:r>
      <w:r>
        <w:rPr>
          <w:rFonts w:hint="eastAsia" w:ascii="宋体" w:hAnsi="宋体" w:eastAsia="宋体" w:cs="宋体"/>
          <w:bCs/>
        </w:rPr>
        <w:t>1.</w:t>
      </w:r>
      <w:r>
        <w:rPr>
          <w:rFonts w:hint="eastAsia" w:ascii="宋体" w:hAnsi="宋体" w:eastAsia="宋体" w:cs="宋体"/>
          <w:bCs/>
          <w:lang w:val="en-US"/>
        </w:rPr>
        <w:t xml:space="preserve">4 </w:t>
      </w:r>
      <w:r>
        <w:rPr>
          <w:rFonts w:hint="eastAsia" w:ascii="宋体" w:hAnsi="宋体" w:eastAsia="宋体" w:cs="宋体"/>
          <w:bCs/>
        </w:rPr>
        <w:t>安全评价程序</w:t>
      </w:r>
      <w:r>
        <w:tab/>
      </w:r>
      <w:r>
        <w:fldChar w:fldCharType="begin"/>
      </w:r>
      <w:r>
        <w:instrText xml:space="preserve"> PAGEREF _Toc21784 </w:instrText>
      </w:r>
      <w:r>
        <w:fldChar w:fldCharType="separate"/>
      </w:r>
      <w:r>
        <w:t>4</w:t>
      </w:r>
      <w:r>
        <w:fldChar w:fldCharType="end"/>
      </w:r>
      <w:r>
        <w:rPr>
          <w:rFonts w:hint="eastAsia" w:ascii="宋体" w:hAnsi="宋体" w:eastAsia="宋体" w:cs="宋体"/>
        </w:rPr>
        <w:fldChar w:fldCharType="end"/>
      </w:r>
    </w:p>
    <w:p>
      <w:pPr>
        <w:pStyle w:val="10"/>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_Toc31907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spacing w:val="78"/>
        </w:rPr>
        <w:t xml:space="preserve"> </w:t>
      </w:r>
      <w:r>
        <w:rPr>
          <w:rFonts w:hint="eastAsia" w:ascii="宋体" w:hAnsi="宋体" w:eastAsia="宋体" w:cs="宋体"/>
        </w:rPr>
        <w:t>建设项目概况</w:t>
      </w:r>
      <w:r>
        <w:tab/>
      </w:r>
      <w:r>
        <w:fldChar w:fldCharType="begin"/>
      </w:r>
      <w:r>
        <w:instrText xml:space="preserve"> PAGEREF _Toc31907 </w:instrText>
      </w:r>
      <w:r>
        <w:fldChar w:fldCharType="separate"/>
      </w:r>
      <w:r>
        <w:t>5</w:t>
      </w:r>
      <w:r>
        <w:fldChar w:fldCharType="end"/>
      </w:r>
      <w:r>
        <w:rPr>
          <w:rFonts w:hint="eastAsia" w:ascii="宋体" w:hAnsi="宋体" w:eastAsia="宋体" w:cs="宋体"/>
        </w:rPr>
        <w:fldChar w:fldCharType="end"/>
      </w:r>
    </w:p>
    <w:p>
      <w:pPr>
        <w:pStyle w:val="12"/>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_Toc9803 </w:instrText>
      </w:r>
      <w:r>
        <w:rPr>
          <w:rFonts w:hint="eastAsia" w:ascii="宋体" w:hAnsi="宋体" w:eastAsia="宋体" w:cs="宋体"/>
        </w:rPr>
        <w:fldChar w:fldCharType="separate"/>
      </w:r>
      <w:r>
        <w:rPr>
          <w:rFonts w:hint="eastAsia" w:ascii="宋体" w:hAnsi="宋体" w:eastAsia="宋体" w:cs="宋体"/>
          <w:bCs/>
          <w:lang w:val="en-US"/>
        </w:rPr>
        <w:t xml:space="preserve">2.1 </w:t>
      </w:r>
      <w:r>
        <w:rPr>
          <w:rFonts w:hint="eastAsia" w:ascii="宋体" w:hAnsi="宋体" w:eastAsia="宋体" w:cs="宋体"/>
          <w:bCs/>
        </w:rPr>
        <w:t>建设项目基本情况</w:t>
      </w:r>
      <w:r>
        <w:tab/>
      </w:r>
      <w:r>
        <w:fldChar w:fldCharType="begin"/>
      </w:r>
      <w:r>
        <w:instrText xml:space="preserve"> PAGEREF _Toc9803 </w:instrText>
      </w:r>
      <w:r>
        <w:fldChar w:fldCharType="separate"/>
      </w:r>
      <w:r>
        <w:t>5</w:t>
      </w:r>
      <w:r>
        <w:fldChar w:fldCharType="end"/>
      </w:r>
      <w:r>
        <w:rPr>
          <w:rFonts w:hint="eastAsia" w:ascii="宋体" w:hAnsi="宋体" w:eastAsia="宋体" w:cs="宋体"/>
        </w:rPr>
        <w:fldChar w:fldCharType="end"/>
      </w:r>
    </w:p>
    <w:p>
      <w:pPr>
        <w:pStyle w:val="12"/>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_Toc12014 </w:instrText>
      </w:r>
      <w:r>
        <w:rPr>
          <w:rFonts w:hint="eastAsia" w:ascii="宋体" w:hAnsi="宋体" w:eastAsia="宋体" w:cs="宋体"/>
        </w:rPr>
        <w:fldChar w:fldCharType="separate"/>
      </w:r>
      <w:r>
        <w:rPr>
          <w:rFonts w:hint="eastAsia" w:ascii="宋体" w:hAnsi="宋体" w:eastAsia="宋体" w:cs="宋体"/>
          <w:bCs/>
          <w:lang w:val="en-US"/>
        </w:rPr>
        <w:t xml:space="preserve">2.2 </w:t>
      </w:r>
      <w:r>
        <w:rPr>
          <w:rFonts w:hint="eastAsia" w:ascii="宋体" w:hAnsi="宋体" w:eastAsia="宋体" w:cs="宋体"/>
          <w:bCs/>
        </w:rPr>
        <w:t>项目所在地及周围环境状况</w:t>
      </w:r>
      <w:r>
        <w:tab/>
      </w:r>
      <w:r>
        <w:fldChar w:fldCharType="begin"/>
      </w:r>
      <w:r>
        <w:instrText xml:space="preserve"> PAGEREF _Toc12014 </w:instrText>
      </w:r>
      <w:r>
        <w:fldChar w:fldCharType="separate"/>
      </w:r>
      <w:r>
        <w:t>9</w:t>
      </w:r>
      <w:r>
        <w:fldChar w:fldCharType="end"/>
      </w:r>
      <w:r>
        <w:rPr>
          <w:rFonts w:hint="eastAsia" w:ascii="宋体" w:hAnsi="宋体" w:eastAsia="宋体" w:cs="宋体"/>
        </w:rPr>
        <w:fldChar w:fldCharType="end"/>
      </w:r>
    </w:p>
    <w:p>
      <w:pPr>
        <w:pStyle w:val="12"/>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_Toc4321 </w:instrText>
      </w:r>
      <w:r>
        <w:rPr>
          <w:rFonts w:hint="eastAsia" w:ascii="宋体" w:hAnsi="宋体" w:eastAsia="宋体" w:cs="宋体"/>
        </w:rPr>
        <w:fldChar w:fldCharType="separate"/>
      </w:r>
      <w:r>
        <w:rPr>
          <w:rFonts w:hint="eastAsia" w:ascii="宋体" w:hAnsi="宋体" w:eastAsia="宋体" w:cs="宋体"/>
          <w:bCs/>
          <w:lang w:val="en-US"/>
        </w:rPr>
        <w:t>2.3 平面布置</w:t>
      </w:r>
      <w:r>
        <w:tab/>
      </w:r>
      <w:r>
        <w:fldChar w:fldCharType="begin"/>
      </w:r>
      <w:r>
        <w:instrText xml:space="preserve"> PAGEREF _Toc4321 </w:instrText>
      </w:r>
      <w:r>
        <w:fldChar w:fldCharType="separate"/>
      </w:r>
      <w:r>
        <w:t>13</w:t>
      </w:r>
      <w:r>
        <w:fldChar w:fldCharType="end"/>
      </w:r>
      <w:r>
        <w:rPr>
          <w:rFonts w:hint="eastAsia" w:ascii="宋体" w:hAnsi="宋体" w:eastAsia="宋体" w:cs="宋体"/>
        </w:rPr>
        <w:fldChar w:fldCharType="end"/>
      </w:r>
    </w:p>
    <w:p>
      <w:pPr>
        <w:pStyle w:val="12"/>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_Toc4447 </w:instrText>
      </w:r>
      <w:r>
        <w:rPr>
          <w:rFonts w:hint="eastAsia" w:ascii="宋体" w:hAnsi="宋体" w:eastAsia="宋体" w:cs="宋体"/>
        </w:rPr>
        <w:fldChar w:fldCharType="separate"/>
      </w:r>
      <w:r>
        <w:rPr>
          <w:rFonts w:hint="eastAsia" w:ascii="宋体" w:hAnsi="宋体" w:eastAsia="宋体" w:cs="宋体"/>
          <w:bCs/>
          <w:lang w:val="en-US"/>
        </w:rPr>
        <w:t xml:space="preserve">2.4 </w:t>
      </w:r>
      <w:r>
        <w:rPr>
          <w:rFonts w:hint="eastAsia" w:ascii="宋体" w:hAnsi="宋体" w:eastAsia="宋体" w:cs="宋体"/>
          <w:bCs/>
        </w:rPr>
        <w:t>储存规模及工艺流程</w:t>
      </w:r>
      <w:r>
        <w:tab/>
      </w:r>
      <w:r>
        <w:fldChar w:fldCharType="begin"/>
      </w:r>
      <w:r>
        <w:instrText xml:space="preserve"> PAGEREF _Toc4447 </w:instrText>
      </w:r>
      <w:r>
        <w:fldChar w:fldCharType="separate"/>
      </w:r>
      <w:r>
        <w:t>14</w:t>
      </w:r>
      <w:r>
        <w:fldChar w:fldCharType="end"/>
      </w:r>
      <w:r>
        <w:rPr>
          <w:rFonts w:hint="eastAsia" w:ascii="宋体" w:hAnsi="宋体" w:eastAsia="宋体" w:cs="宋体"/>
        </w:rPr>
        <w:fldChar w:fldCharType="end"/>
      </w:r>
    </w:p>
    <w:p>
      <w:pPr>
        <w:pStyle w:val="12"/>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_Toc3859 </w:instrText>
      </w:r>
      <w:r>
        <w:rPr>
          <w:rFonts w:hint="eastAsia" w:ascii="宋体" w:hAnsi="宋体" w:eastAsia="宋体" w:cs="宋体"/>
        </w:rPr>
        <w:fldChar w:fldCharType="separate"/>
      </w:r>
      <w:r>
        <w:rPr>
          <w:rFonts w:hint="eastAsia" w:ascii="宋体" w:hAnsi="宋体" w:eastAsia="宋体" w:cs="宋体"/>
          <w:bCs/>
          <w:lang w:val="en-US"/>
        </w:rPr>
        <w:t>2.5 主要设施、设备</w:t>
      </w:r>
      <w:r>
        <w:tab/>
      </w:r>
      <w:r>
        <w:fldChar w:fldCharType="begin"/>
      </w:r>
      <w:r>
        <w:instrText xml:space="preserve"> PAGEREF _Toc3859 </w:instrText>
      </w:r>
      <w:r>
        <w:fldChar w:fldCharType="separate"/>
      </w:r>
      <w:r>
        <w:t>18</w:t>
      </w:r>
      <w:r>
        <w:fldChar w:fldCharType="end"/>
      </w:r>
      <w:r>
        <w:rPr>
          <w:rFonts w:hint="eastAsia" w:ascii="宋体" w:hAnsi="宋体" w:eastAsia="宋体" w:cs="宋体"/>
        </w:rPr>
        <w:fldChar w:fldCharType="end"/>
      </w:r>
    </w:p>
    <w:p>
      <w:pPr>
        <w:pStyle w:val="12"/>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_Toc484 </w:instrText>
      </w:r>
      <w:r>
        <w:rPr>
          <w:rFonts w:hint="eastAsia" w:ascii="宋体" w:hAnsi="宋体" w:eastAsia="宋体" w:cs="宋体"/>
        </w:rPr>
        <w:fldChar w:fldCharType="separate"/>
      </w:r>
      <w:r>
        <w:rPr>
          <w:rFonts w:hint="eastAsia" w:ascii="宋体" w:hAnsi="宋体" w:eastAsia="宋体" w:cs="宋体"/>
          <w:bCs/>
          <w:lang w:val="en-US"/>
        </w:rPr>
        <w:t>2.6 公用工程及辅助设施</w:t>
      </w:r>
      <w:r>
        <w:tab/>
      </w:r>
      <w:r>
        <w:fldChar w:fldCharType="begin"/>
      </w:r>
      <w:r>
        <w:instrText xml:space="preserve"> PAGEREF _Toc484 </w:instrText>
      </w:r>
      <w:r>
        <w:fldChar w:fldCharType="separate"/>
      </w:r>
      <w:r>
        <w:t>18</w:t>
      </w:r>
      <w:r>
        <w:fldChar w:fldCharType="end"/>
      </w:r>
      <w:r>
        <w:rPr>
          <w:rFonts w:hint="eastAsia" w:ascii="宋体" w:hAnsi="宋体" w:eastAsia="宋体" w:cs="宋体"/>
        </w:rPr>
        <w:fldChar w:fldCharType="end"/>
      </w:r>
    </w:p>
    <w:p>
      <w:pPr>
        <w:pStyle w:val="12"/>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_Toc26968 </w:instrText>
      </w:r>
      <w:r>
        <w:rPr>
          <w:rFonts w:hint="eastAsia" w:ascii="宋体" w:hAnsi="宋体" w:eastAsia="宋体" w:cs="宋体"/>
        </w:rPr>
        <w:fldChar w:fldCharType="separate"/>
      </w:r>
      <w:r>
        <w:rPr>
          <w:rFonts w:hint="eastAsia" w:ascii="宋体" w:hAnsi="宋体" w:eastAsia="宋体" w:cs="宋体"/>
          <w:bCs/>
          <w:lang w:val="en-US"/>
        </w:rPr>
        <w:t>2.7 改造工程施工情况</w:t>
      </w:r>
      <w:r>
        <w:tab/>
      </w:r>
      <w:r>
        <w:fldChar w:fldCharType="begin"/>
      </w:r>
      <w:r>
        <w:instrText xml:space="preserve"> PAGEREF _Toc26968 </w:instrText>
      </w:r>
      <w:r>
        <w:fldChar w:fldCharType="separate"/>
      </w:r>
      <w:r>
        <w:t>21</w:t>
      </w:r>
      <w:r>
        <w:fldChar w:fldCharType="end"/>
      </w:r>
      <w:r>
        <w:rPr>
          <w:rFonts w:hint="eastAsia" w:ascii="宋体" w:hAnsi="宋体" w:eastAsia="宋体" w:cs="宋体"/>
        </w:rPr>
        <w:fldChar w:fldCharType="end"/>
      </w:r>
    </w:p>
    <w:p>
      <w:pPr>
        <w:pStyle w:val="12"/>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_Toc10291 </w:instrText>
      </w:r>
      <w:r>
        <w:rPr>
          <w:rFonts w:hint="eastAsia" w:ascii="宋体" w:hAnsi="宋体" w:eastAsia="宋体" w:cs="宋体"/>
        </w:rPr>
        <w:fldChar w:fldCharType="separate"/>
      </w:r>
      <w:r>
        <w:rPr>
          <w:rFonts w:hint="eastAsia" w:ascii="宋体" w:hAnsi="宋体" w:eastAsia="宋体" w:cs="宋体"/>
          <w:bCs/>
          <w:lang w:val="en-US"/>
        </w:rPr>
        <w:t>2.8安全生产管理机构及安全管理制度</w:t>
      </w:r>
      <w:r>
        <w:tab/>
      </w:r>
      <w:r>
        <w:fldChar w:fldCharType="begin"/>
      </w:r>
      <w:r>
        <w:instrText xml:space="preserve"> PAGEREF _Toc10291 </w:instrText>
      </w:r>
      <w:r>
        <w:fldChar w:fldCharType="separate"/>
      </w:r>
      <w:r>
        <w:t>22</w:t>
      </w:r>
      <w:r>
        <w:fldChar w:fldCharType="end"/>
      </w:r>
      <w:r>
        <w:rPr>
          <w:rFonts w:hint="eastAsia" w:ascii="宋体" w:hAnsi="宋体" w:eastAsia="宋体" w:cs="宋体"/>
        </w:rPr>
        <w:fldChar w:fldCharType="end"/>
      </w:r>
    </w:p>
    <w:p>
      <w:pPr>
        <w:pStyle w:val="12"/>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_Toc11567 </w:instrText>
      </w:r>
      <w:r>
        <w:rPr>
          <w:rFonts w:hint="eastAsia" w:ascii="宋体" w:hAnsi="宋体" w:eastAsia="宋体" w:cs="宋体"/>
        </w:rPr>
        <w:fldChar w:fldCharType="separate"/>
      </w:r>
      <w:r>
        <w:rPr>
          <w:rFonts w:hint="eastAsia" w:ascii="宋体" w:hAnsi="宋体" w:eastAsia="宋体" w:cs="宋体"/>
          <w:bCs/>
          <w:lang w:val="en-US"/>
        </w:rPr>
        <w:t xml:space="preserve">2.9 </w:t>
      </w:r>
      <w:r>
        <w:rPr>
          <w:rFonts w:hint="eastAsia" w:ascii="宋体" w:hAnsi="宋体" w:eastAsia="宋体" w:cs="宋体"/>
          <w:bCs/>
          <w:lang w:val="en-US" w:eastAsia="zh-CN"/>
        </w:rPr>
        <w:t>预</w:t>
      </w:r>
      <w:r>
        <w:rPr>
          <w:rFonts w:hint="eastAsia" w:ascii="宋体" w:hAnsi="宋体" w:eastAsia="宋体" w:cs="宋体"/>
          <w:bCs/>
          <w:lang w:val="en-US"/>
        </w:rPr>
        <w:t>评价报告及安全设施设计专篇的安全对策措施落实情况</w:t>
      </w:r>
      <w:r>
        <w:tab/>
      </w:r>
      <w:r>
        <w:fldChar w:fldCharType="begin"/>
      </w:r>
      <w:r>
        <w:instrText xml:space="preserve"> PAGEREF _Toc11567 </w:instrText>
      </w:r>
      <w:r>
        <w:fldChar w:fldCharType="separate"/>
      </w:r>
      <w:r>
        <w:t>24</w:t>
      </w:r>
      <w:r>
        <w:fldChar w:fldCharType="end"/>
      </w:r>
      <w:r>
        <w:rPr>
          <w:rFonts w:hint="eastAsia" w:ascii="宋体" w:hAnsi="宋体" w:eastAsia="宋体" w:cs="宋体"/>
        </w:rPr>
        <w:fldChar w:fldCharType="end"/>
      </w:r>
    </w:p>
    <w:p>
      <w:pPr>
        <w:pStyle w:val="10"/>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_Toc13830 </w:instrText>
      </w:r>
      <w:r>
        <w:rPr>
          <w:rFonts w:hint="eastAsia" w:ascii="宋体" w:hAnsi="宋体" w:eastAsia="宋体" w:cs="宋体"/>
        </w:rPr>
        <w:fldChar w:fldCharType="separate"/>
      </w:r>
      <w:r>
        <w:rPr>
          <w:rFonts w:hint="eastAsia" w:ascii="宋体" w:hAnsi="宋体" w:eastAsia="宋体" w:cs="宋体"/>
          <w:lang w:val="en-US"/>
        </w:rPr>
        <w:t>3</w:t>
      </w:r>
      <w:r>
        <w:rPr>
          <w:rFonts w:hint="eastAsia" w:ascii="宋体" w:hAnsi="宋体" w:eastAsia="宋体" w:cs="宋体"/>
        </w:rPr>
        <w:t xml:space="preserve"> 危险、有害因素的辨识结果及依据说明</w:t>
      </w:r>
      <w:r>
        <w:tab/>
      </w:r>
      <w:r>
        <w:fldChar w:fldCharType="begin"/>
      </w:r>
      <w:r>
        <w:instrText xml:space="preserve"> PAGEREF _Toc13830 </w:instrText>
      </w:r>
      <w:r>
        <w:fldChar w:fldCharType="separate"/>
      </w:r>
      <w:r>
        <w:t>41</w:t>
      </w:r>
      <w:r>
        <w:fldChar w:fldCharType="end"/>
      </w:r>
      <w:r>
        <w:rPr>
          <w:rFonts w:hint="eastAsia" w:ascii="宋体" w:hAnsi="宋体" w:eastAsia="宋体" w:cs="宋体"/>
        </w:rPr>
        <w:fldChar w:fldCharType="end"/>
      </w:r>
    </w:p>
    <w:p>
      <w:pPr>
        <w:pStyle w:val="12"/>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_Toc32462 </w:instrText>
      </w:r>
      <w:r>
        <w:rPr>
          <w:rFonts w:hint="eastAsia" w:ascii="宋体" w:hAnsi="宋体" w:eastAsia="宋体" w:cs="宋体"/>
        </w:rPr>
        <w:fldChar w:fldCharType="separate"/>
      </w:r>
      <w:r>
        <w:rPr>
          <w:rFonts w:hint="eastAsia" w:ascii="宋体" w:hAnsi="宋体" w:eastAsia="宋体" w:cs="宋体"/>
          <w:szCs w:val="32"/>
        </w:rPr>
        <w:t>3.1</w:t>
      </w:r>
      <w:r>
        <w:rPr>
          <w:rFonts w:hint="eastAsia" w:ascii="宋体" w:hAnsi="宋体" w:eastAsia="宋体" w:cs="宋体"/>
          <w:szCs w:val="32"/>
          <w:lang w:val="en-US"/>
        </w:rPr>
        <w:t xml:space="preserve"> </w:t>
      </w:r>
      <w:r>
        <w:rPr>
          <w:rFonts w:hint="eastAsia" w:ascii="宋体" w:hAnsi="宋体" w:eastAsia="宋体" w:cs="宋体"/>
          <w:szCs w:val="32"/>
        </w:rPr>
        <w:t>相关化学品辨识结果</w:t>
      </w:r>
      <w:r>
        <w:tab/>
      </w:r>
      <w:r>
        <w:fldChar w:fldCharType="begin"/>
      </w:r>
      <w:r>
        <w:instrText xml:space="preserve"> PAGEREF _Toc32462 </w:instrText>
      </w:r>
      <w:r>
        <w:fldChar w:fldCharType="separate"/>
      </w:r>
      <w:r>
        <w:t>41</w:t>
      </w:r>
      <w:r>
        <w:fldChar w:fldCharType="end"/>
      </w:r>
      <w:r>
        <w:rPr>
          <w:rFonts w:hint="eastAsia" w:ascii="宋体" w:hAnsi="宋体" w:eastAsia="宋体" w:cs="宋体"/>
        </w:rPr>
        <w:fldChar w:fldCharType="end"/>
      </w:r>
    </w:p>
    <w:p>
      <w:pPr>
        <w:pStyle w:val="12"/>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_Toc14968 </w:instrText>
      </w:r>
      <w:r>
        <w:rPr>
          <w:rFonts w:hint="eastAsia" w:ascii="宋体" w:hAnsi="宋体" w:eastAsia="宋体" w:cs="宋体"/>
        </w:rPr>
        <w:fldChar w:fldCharType="separate"/>
      </w:r>
      <w:r>
        <w:rPr>
          <w:rFonts w:hint="eastAsia" w:ascii="宋体" w:hAnsi="宋体" w:eastAsia="宋体" w:cs="宋体"/>
          <w:szCs w:val="32"/>
        </w:rPr>
        <w:t>3.2</w:t>
      </w:r>
      <w:r>
        <w:rPr>
          <w:rFonts w:hint="eastAsia" w:ascii="宋体" w:hAnsi="宋体" w:eastAsia="宋体" w:cs="宋体"/>
          <w:szCs w:val="32"/>
          <w:lang w:val="en-US"/>
        </w:rPr>
        <w:t xml:space="preserve"> </w:t>
      </w:r>
      <w:r>
        <w:rPr>
          <w:rFonts w:hint="eastAsia" w:ascii="宋体" w:hAnsi="宋体" w:eastAsia="宋体" w:cs="宋体"/>
          <w:szCs w:val="32"/>
        </w:rPr>
        <w:t>物质固有危险有害因素的辨识结果</w:t>
      </w:r>
      <w:r>
        <w:tab/>
      </w:r>
      <w:r>
        <w:fldChar w:fldCharType="begin"/>
      </w:r>
      <w:r>
        <w:instrText xml:space="preserve"> PAGEREF _Toc14968 </w:instrText>
      </w:r>
      <w:r>
        <w:fldChar w:fldCharType="separate"/>
      </w:r>
      <w:r>
        <w:t>41</w:t>
      </w:r>
      <w:r>
        <w:fldChar w:fldCharType="end"/>
      </w:r>
      <w:r>
        <w:rPr>
          <w:rFonts w:hint="eastAsia" w:ascii="宋体" w:hAnsi="宋体" w:eastAsia="宋体" w:cs="宋体"/>
        </w:rPr>
        <w:fldChar w:fldCharType="end"/>
      </w:r>
    </w:p>
    <w:p>
      <w:pPr>
        <w:pStyle w:val="12"/>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_Toc17828 </w:instrText>
      </w:r>
      <w:r>
        <w:rPr>
          <w:rFonts w:hint="eastAsia" w:ascii="宋体" w:hAnsi="宋体" w:eastAsia="宋体" w:cs="宋体"/>
        </w:rPr>
        <w:fldChar w:fldCharType="separate"/>
      </w:r>
      <w:r>
        <w:rPr>
          <w:rFonts w:hint="eastAsia" w:ascii="宋体" w:hAnsi="宋体" w:eastAsia="宋体" w:cs="宋体"/>
          <w:szCs w:val="32"/>
        </w:rPr>
        <w:t>3.3</w:t>
      </w:r>
      <w:r>
        <w:rPr>
          <w:rFonts w:hint="eastAsia" w:ascii="宋体" w:hAnsi="宋体" w:eastAsia="宋体" w:cs="宋体"/>
          <w:szCs w:val="32"/>
          <w:lang w:val="en-US"/>
        </w:rPr>
        <w:t xml:space="preserve"> </w:t>
      </w:r>
      <w:r>
        <w:rPr>
          <w:rFonts w:hint="eastAsia" w:ascii="宋体" w:hAnsi="宋体" w:eastAsia="宋体" w:cs="宋体"/>
          <w:szCs w:val="32"/>
        </w:rPr>
        <w:t>作业场所的危险有害因素辨识结果</w:t>
      </w:r>
      <w:r>
        <w:tab/>
      </w:r>
      <w:r>
        <w:fldChar w:fldCharType="begin"/>
      </w:r>
      <w:r>
        <w:instrText xml:space="preserve"> PAGEREF _Toc17828 </w:instrText>
      </w:r>
      <w:r>
        <w:fldChar w:fldCharType="separate"/>
      </w:r>
      <w:r>
        <w:t>41</w:t>
      </w:r>
      <w:r>
        <w:fldChar w:fldCharType="end"/>
      </w:r>
      <w:r>
        <w:rPr>
          <w:rFonts w:hint="eastAsia" w:ascii="宋体" w:hAnsi="宋体" w:eastAsia="宋体" w:cs="宋体"/>
        </w:rPr>
        <w:fldChar w:fldCharType="end"/>
      </w:r>
    </w:p>
    <w:p>
      <w:pPr>
        <w:pStyle w:val="12"/>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_Toc10518 </w:instrText>
      </w:r>
      <w:r>
        <w:rPr>
          <w:rFonts w:hint="eastAsia" w:ascii="宋体" w:hAnsi="宋体" w:eastAsia="宋体" w:cs="宋体"/>
        </w:rPr>
        <w:fldChar w:fldCharType="separate"/>
      </w:r>
      <w:r>
        <w:rPr>
          <w:rFonts w:hint="eastAsia" w:ascii="宋体" w:hAnsi="宋体" w:eastAsia="宋体" w:cs="宋体"/>
          <w:szCs w:val="32"/>
        </w:rPr>
        <w:t>3.4</w:t>
      </w:r>
      <w:r>
        <w:rPr>
          <w:rFonts w:hint="eastAsia" w:ascii="宋体" w:hAnsi="宋体" w:eastAsia="宋体" w:cs="宋体"/>
          <w:szCs w:val="32"/>
          <w:lang w:val="en-US"/>
        </w:rPr>
        <w:t xml:space="preserve"> </w:t>
      </w:r>
      <w:r>
        <w:rPr>
          <w:rFonts w:hint="eastAsia" w:ascii="宋体" w:hAnsi="宋体" w:eastAsia="宋体" w:cs="宋体"/>
          <w:szCs w:val="32"/>
        </w:rPr>
        <w:t>重大危险源辨识结果</w:t>
      </w:r>
      <w:r>
        <w:tab/>
      </w:r>
      <w:r>
        <w:fldChar w:fldCharType="begin"/>
      </w:r>
      <w:r>
        <w:instrText xml:space="preserve"> PAGEREF _Toc10518 </w:instrText>
      </w:r>
      <w:r>
        <w:fldChar w:fldCharType="separate"/>
      </w:r>
      <w:r>
        <w:t>42</w:t>
      </w:r>
      <w:r>
        <w:fldChar w:fldCharType="end"/>
      </w:r>
      <w:r>
        <w:rPr>
          <w:rFonts w:hint="eastAsia" w:ascii="宋体" w:hAnsi="宋体" w:eastAsia="宋体" w:cs="宋体"/>
        </w:rPr>
        <w:fldChar w:fldCharType="end"/>
      </w:r>
    </w:p>
    <w:p>
      <w:pPr>
        <w:pStyle w:val="12"/>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_Toc29073 </w:instrText>
      </w:r>
      <w:r>
        <w:rPr>
          <w:rFonts w:hint="eastAsia" w:ascii="宋体" w:hAnsi="宋体" w:eastAsia="宋体" w:cs="宋体"/>
        </w:rPr>
        <w:fldChar w:fldCharType="separate"/>
      </w:r>
      <w:r>
        <w:rPr>
          <w:rFonts w:hint="eastAsia" w:ascii="宋体" w:hAnsi="宋体" w:eastAsia="宋体" w:cs="宋体"/>
          <w:szCs w:val="32"/>
        </w:rPr>
        <w:t>3.5</w:t>
      </w:r>
      <w:r>
        <w:rPr>
          <w:rFonts w:hint="eastAsia" w:ascii="宋体" w:hAnsi="宋体" w:eastAsia="宋体" w:cs="宋体"/>
          <w:szCs w:val="32"/>
          <w:lang w:val="en-US"/>
        </w:rPr>
        <w:t xml:space="preserve"> </w:t>
      </w:r>
      <w:r>
        <w:rPr>
          <w:rFonts w:hint="eastAsia" w:ascii="宋体" w:hAnsi="宋体" w:eastAsia="宋体" w:cs="宋体"/>
          <w:szCs w:val="32"/>
        </w:rPr>
        <w:t>爆炸危险区域的划分结果</w:t>
      </w:r>
      <w:r>
        <w:tab/>
      </w:r>
      <w:r>
        <w:fldChar w:fldCharType="begin"/>
      </w:r>
      <w:r>
        <w:instrText xml:space="preserve"> PAGEREF _Toc29073 </w:instrText>
      </w:r>
      <w:r>
        <w:fldChar w:fldCharType="separate"/>
      </w:r>
      <w:r>
        <w:t>42</w:t>
      </w:r>
      <w:r>
        <w:fldChar w:fldCharType="end"/>
      </w:r>
      <w:r>
        <w:rPr>
          <w:rFonts w:hint="eastAsia" w:ascii="宋体" w:hAnsi="宋体" w:eastAsia="宋体" w:cs="宋体"/>
        </w:rPr>
        <w:fldChar w:fldCharType="end"/>
      </w:r>
    </w:p>
    <w:p>
      <w:pPr>
        <w:pStyle w:val="12"/>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_Toc31385 </w:instrText>
      </w:r>
      <w:r>
        <w:rPr>
          <w:rFonts w:hint="eastAsia" w:ascii="宋体" w:hAnsi="宋体" w:eastAsia="宋体" w:cs="宋体"/>
        </w:rPr>
        <w:fldChar w:fldCharType="separate"/>
      </w:r>
      <w:r>
        <w:rPr>
          <w:rFonts w:hint="eastAsia" w:ascii="宋体" w:hAnsi="宋体" w:eastAsia="宋体" w:cs="宋体"/>
          <w:szCs w:val="32"/>
        </w:rPr>
        <w:t>3.6</w:t>
      </w:r>
      <w:r>
        <w:rPr>
          <w:rFonts w:hint="eastAsia" w:ascii="宋体" w:hAnsi="宋体" w:eastAsia="宋体" w:cs="宋体"/>
          <w:szCs w:val="32"/>
          <w:lang w:val="en-US"/>
        </w:rPr>
        <w:t xml:space="preserve"> </w:t>
      </w:r>
      <w:r>
        <w:rPr>
          <w:rFonts w:hint="eastAsia" w:ascii="宋体" w:hAnsi="宋体" w:eastAsia="宋体" w:cs="宋体"/>
          <w:szCs w:val="32"/>
        </w:rPr>
        <w:t>危险化工工艺辨识结果</w:t>
      </w:r>
      <w:r>
        <w:tab/>
      </w:r>
      <w:r>
        <w:fldChar w:fldCharType="begin"/>
      </w:r>
      <w:r>
        <w:instrText xml:space="preserve"> PAGEREF _Toc31385 </w:instrText>
      </w:r>
      <w:r>
        <w:fldChar w:fldCharType="separate"/>
      </w:r>
      <w:r>
        <w:t>43</w:t>
      </w:r>
      <w:r>
        <w:fldChar w:fldCharType="end"/>
      </w:r>
      <w:r>
        <w:rPr>
          <w:rFonts w:hint="eastAsia" w:ascii="宋体" w:hAnsi="宋体" w:eastAsia="宋体" w:cs="宋体"/>
        </w:rPr>
        <w:fldChar w:fldCharType="end"/>
      </w:r>
    </w:p>
    <w:p>
      <w:pPr>
        <w:pStyle w:val="12"/>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_Toc18243 </w:instrText>
      </w:r>
      <w:r>
        <w:rPr>
          <w:rFonts w:hint="eastAsia" w:ascii="宋体" w:hAnsi="宋体" w:eastAsia="宋体" w:cs="宋体"/>
        </w:rPr>
        <w:fldChar w:fldCharType="separate"/>
      </w:r>
      <w:r>
        <w:rPr>
          <w:rFonts w:hint="eastAsia" w:ascii="宋体" w:hAnsi="宋体" w:eastAsia="宋体" w:cs="宋体"/>
          <w:szCs w:val="32"/>
        </w:rPr>
        <w:t>3.7</w:t>
      </w:r>
      <w:r>
        <w:rPr>
          <w:rFonts w:hint="eastAsia" w:ascii="宋体" w:hAnsi="宋体" w:eastAsia="宋体" w:cs="宋体"/>
          <w:szCs w:val="32"/>
          <w:lang w:val="en-US"/>
        </w:rPr>
        <w:t xml:space="preserve"> </w:t>
      </w:r>
      <w:r>
        <w:rPr>
          <w:rFonts w:hint="eastAsia" w:ascii="宋体" w:hAnsi="宋体" w:eastAsia="宋体" w:cs="宋体"/>
          <w:szCs w:val="32"/>
        </w:rPr>
        <w:t>特种设备辩识结果</w:t>
      </w:r>
      <w:r>
        <w:tab/>
      </w:r>
      <w:r>
        <w:fldChar w:fldCharType="begin"/>
      </w:r>
      <w:r>
        <w:instrText xml:space="preserve"> PAGEREF _Toc18243 </w:instrText>
      </w:r>
      <w:r>
        <w:fldChar w:fldCharType="separate"/>
      </w:r>
      <w:r>
        <w:t>43</w:t>
      </w:r>
      <w:r>
        <w:fldChar w:fldCharType="end"/>
      </w:r>
      <w:r>
        <w:rPr>
          <w:rFonts w:hint="eastAsia" w:ascii="宋体" w:hAnsi="宋体" w:eastAsia="宋体" w:cs="宋体"/>
        </w:rPr>
        <w:fldChar w:fldCharType="end"/>
      </w:r>
    </w:p>
    <w:p>
      <w:pPr>
        <w:pStyle w:val="12"/>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_Toc15472 </w:instrText>
      </w:r>
      <w:r>
        <w:rPr>
          <w:rFonts w:hint="eastAsia" w:ascii="宋体" w:hAnsi="宋体" w:eastAsia="宋体" w:cs="宋体"/>
        </w:rPr>
        <w:fldChar w:fldCharType="separate"/>
      </w:r>
      <w:r>
        <w:rPr>
          <w:rFonts w:hint="eastAsia" w:ascii="宋体" w:hAnsi="宋体" w:eastAsia="宋体" w:cs="宋体"/>
          <w:szCs w:val="32"/>
        </w:rPr>
        <w:t>3.</w:t>
      </w:r>
      <w:r>
        <w:rPr>
          <w:rFonts w:hint="eastAsia" w:ascii="宋体" w:hAnsi="宋体" w:eastAsia="宋体" w:cs="宋体"/>
          <w:szCs w:val="32"/>
          <w:lang w:val="en-US" w:eastAsia="zh-CN"/>
        </w:rPr>
        <w:t>8</w:t>
      </w:r>
      <w:r>
        <w:rPr>
          <w:rFonts w:hint="eastAsia" w:ascii="宋体" w:hAnsi="宋体" w:eastAsia="宋体" w:cs="宋体"/>
          <w:szCs w:val="32"/>
          <w:lang w:val="en-US"/>
        </w:rPr>
        <w:t xml:space="preserve"> </w:t>
      </w:r>
      <w:r>
        <w:rPr>
          <w:rFonts w:hint="eastAsia" w:ascii="宋体" w:hAnsi="宋体" w:eastAsia="宋体" w:cs="宋体"/>
          <w:szCs w:val="32"/>
          <w:lang w:val="en-US" w:eastAsia="zh-CN"/>
        </w:rPr>
        <w:t>淘汰落后安全技术装备辨识结果</w:t>
      </w:r>
      <w:r>
        <w:tab/>
      </w:r>
      <w:r>
        <w:fldChar w:fldCharType="begin"/>
      </w:r>
      <w:r>
        <w:instrText xml:space="preserve"> PAGEREF _Toc15472 </w:instrText>
      </w:r>
      <w:r>
        <w:fldChar w:fldCharType="separate"/>
      </w:r>
      <w:r>
        <w:t>43</w:t>
      </w:r>
      <w:r>
        <w:fldChar w:fldCharType="end"/>
      </w:r>
      <w:r>
        <w:rPr>
          <w:rFonts w:hint="eastAsia" w:ascii="宋体" w:hAnsi="宋体" w:eastAsia="宋体" w:cs="宋体"/>
        </w:rPr>
        <w:fldChar w:fldCharType="end"/>
      </w:r>
    </w:p>
    <w:p>
      <w:pPr>
        <w:pStyle w:val="10"/>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_Toc21532 </w:instrText>
      </w:r>
      <w:r>
        <w:rPr>
          <w:rFonts w:hint="eastAsia" w:ascii="宋体" w:hAnsi="宋体" w:eastAsia="宋体" w:cs="宋体"/>
        </w:rPr>
        <w:fldChar w:fldCharType="separate"/>
      </w:r>
      <w:r>
        <w:rPr>
          <w:rFonts w:hint="eastAsia" w:ascii="宋体" w:hAnsi="宋体" w:eastAsia="宋体" w:cs="宋体"/>
        </w:rPr>
        <w:t>4 安全评价单元的划分结果及理由说明</w:t>
      </w:r>
      <w:r>
        <w:tab/>
      </w:r>
      <w:r>
        <w:fldChar w:fldCharType="begin"/>
      </w:r>
      <w:r>
        <w:instrText xml:space="preserve"> PAGEREF _Toc21532 </w:instrText>
      </w:r>
      <w:r>
        <w:fldChar w:fldCharType="separate"/>
      </w:r>
      <w:r>
        <w:t>44</w:t>
      </w:r>
      <w:r>
        <w:fldChar w:fldCharType="end"/>
      </w:r>
      <w:r>
        <w:rPr>
          <w:rFonts w:hint="eastAsia" w:ascii="宋体" w:hAnsi="宋体" w:eastAsia="宋体" w:cs="宋体"/>
        </w:rPr>
        <w:fldChar w:fldCharType="end"/>
      </w:r>
    </w:p>
    <w:p>
      <w:pPr>
        <w:pStyle w:val="12"/>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_Toc19829 </w:instrText>
      </w:r>
      <w:r>
        <w:rPr>
          <w:rFonts w:hint="eastAsia" w:ascii="宋体" w:hAnsi="宋体" w:eastAsia="宋体" w:cs="宋体"/>
        </w:rPr>
        <w:fldChar w:fldCharType="separate"/>
      </w:r>
      <w:r>
        <w:rPr>
          <w:rFonts w:hint="eastAsia" w:ascii="宋体" w:hAnsi="宋体" w:eastAsia="宋体" w:cs="宋体"/>
          <w:bCs/>
        </w:rPr>
        <w:t>4.1 评价方法的选择及理由</w:t>
      </w:r>
      <w:r>
        <w:tab/>
      </w:r>
      <w:r>
        <w:fldChar w:fldCharType="begin"/>
      </w:r>
      <w:r>
        <w:instrText xml:space="preserve"> PAGEREF _Toc19829 </w:instrText>
      </w:r>
      <w:r>
        <w:fldChar w:fldCharType="separate"/>
      </w:r>
      <w:r>
        <w:t>44</w:t>
      </w:r>
      <w:r>
        <w:fldChar w:fldCharType="end"/>
      </w:r>
      <w:r>
        <w:rPr>
          <w:rFonts w:hint="eastAsia" w:ascii="宋体" w:hAnsi="宋体" w:eastAsia="宋体" w:cs="宋体"/>
        </w:rPr>
        <w:fldChar w:fldCharType="end"/>
      </w:r>
    </w:p>
    <w:p>
      <w:pPr>
        <w:pStyle w:val="12"/>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_Toc28287 </w:instrText>
      </w:r>
      <w:r>
        <w:rPr>
          <w:rFonts w:hint="eastAsia" w:ascii="宋体" w:hAnsi="宋体" w:eastAsia="宋体" w:cs="宋体"/>
        </w:rPr>
        <w:fldChar w:fldCharType="separate"/>
      </w:r>
      <w:r>
        <w:rPr>
          <w:rFonts w:hint="eastAsia" w:ascii="宋体" w:hAnsi="宋体" w:eastAsia="宋体" w:cs="宋体"/>
          <w:bCs/>
        </w:rPr>
        <w:t>4.2 评价单元的划分及理由</w:t>
      </w:r>
      <w:r>
        <w:tab/>
      </w:r>
      <w:r>
        <w:fldChar w:fldCharType="begin"/>
      </w:r>
      <w:r>
        <w:instrText xml:space="preserve"> PAGEREF _Toc28287 </w:instrText>
      </w:r>
      <w:r>
        <w:fldChar w:fldCharType="separate"/>
      </w:r>
      <w:r>
        <w:t>44</w:t>
      </w:r>
      <w:r>
        <w:fldChar w:fldCharType="end"/>
      </w:r>
      <w:r>
        <w:rPr>
          <w:rFonts w:hint="eastAsia" w:ascii="宋体" w:hAnsi="宋体" w:eastAsia="宋体" w:cs="宋体"/>
        </w:rPr>
        <w:fldChar w:fldCharType="end"/>
      </w:r>
    </w:p>
    <w:p>
      <w:pPr>
        <w:pStyle w:val="10"/>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_Toc14735 </w:instrText>
      </w:r>
      <w:r>
        <w:rPr>
          <w:rFonts w:hint="eastAsia" w:ascii="宋体" w:hAnsi="宋体" w:eastAsia="宋体" w:cs="宋体"/>
        </w:rPr>
        <w:fldChar w:fldCharType="separate"/>
      </w:r>
      <w:r>
        <w:rPr>
          <w:rFonts w:hint="eastAsia" w:ascii="宋体" w:hAnsi="宋体" w:eastAsia="宋体" w:cs="宋体"/>
        </w:rPr>
        <w:t>5 定性、定量分析危险、有害程度的结果</w:t>
      </w:r>
      <w:r>
        <w:tab/>
      </w:r>
      <w:r>
        <w:fldChar w:fldCharType="begin"/>
      </w:r>
      <w:r>
        <w:instrText xml:space="preserve"> PAGEREF _Toc14735 </w:instrText>
      </w:r>
      <w:r>
        <w:fldChar w:fldCharType="separate"/>
      </w:r>
      <w:r>
        <w:t>46</w:t>
      </w:r>
      <w:r>
        <w:fldChar w:fldCharType="end"/>
      </w:r>
      <w:r>
        <w:rPr>
          <w:rFonts w:hint="eastAsia" w:ascii="宋体" w:hAnsi="宋体" w:eastAsia="宋体" w:cs="宋体"/>
        </w:rPr>
        <w:fldChar w:fldCharType="end"/>
      </w:r>
    </w:p>
    <w:p>
      <w:pPr>
        <w:pStyle w:val="12"/>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_Toc3466 </w:instrText>
      </w:r>
      <w:r>
        <w:rPr>
          <w:rFonts w:hint="eastAsia" w:ascii="宋体" w:hAnsi="宋体" w:eastAsia="宋体" w:cs="宋体"/>
        </w:rPr>
        <w:fldChar w:fldCharType="separate"/>
      </w:r>
      <w:r>
        <w:rPr>
          <w:rFonts w:hint="eastAsia" w:ascii="宋体" w:hAnsi="宋体" w:eastAsia="宋体" w:cs="宋体"/>
          <w:bCs/>
          <w:lang w:val="en-US"/>
        </w:rPr>
        <w:t>5</w:t>
      </w:r>
      <w:r>
        <w:rPr>
          <w:rFonts w:hint="eastAsia" w:ascii="宋体" w:hAnsi="宋体" w:eastAsia="宋体" w:cs="宋体"/>
          <w:bCs/>
        </w:rPr>
        <w:t>.1 固有危险程度分析结果</w:t>
      </w:r>
      <w:r>
        <w:tab/>
      </w:r>
      <w:r>
        <w:fldChar w:fldCharType="begin"/>
      </w:r>
      <w:r>
        <w:instrText xml:space="preserve"> PAGEREF _Toc3466 </w:instrText>
      </w:r>
      <w:r>
        <w:fldChar w:fldCharType="separate"/>
      </w:r>
      <w:r>
        <w:t>46</w:t>
      </w:r>
      <w:r>
        <w:fldChar w:fldCharType="end"/>
      </w:r>
      <w:r>
        <w:rPr>
          <w:rFonts w:hint="eastAsia" w:ascii="宋体" w:hAnsi="宋体" w:eastAsia="宋体" w:cs="宋体"/>
        </w:rPr>
        <w:fldChar w:fldCharType="end"/>
      </w:r>
    </w:p>
    <w:p>
      <w:pPr>
        <w:pStyle w:val="12"/>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_Toc29445 </w:instrText>
      </w:r>
      <w:r>
        <w:rPr>
          <w:rFonts w:hint="eastAsia" w:ascii="宋体" w:hAnsi="宋体" w:eastAsia="宋体" w:cs="宋体"/>
        </w:rPr>
        <w:fldChar w:fldCharType="separate"/>
      </w:r>
      <w:r>
        <w:rPr>
          <w:rFonts w:hint="eastAsia" w:ascii="宋体" w:hAnsi="宋体" w:eastAsia="宋体" w:cs="宋体"/>
          <w:bCs/>
        </w:rPr>
        <w:t>5.2 风险程度分析结果</w:t>
      </w:r>
      <w:r>
        <w:tab/>
      </w:r>
      <w:r>
        <w:fldChar w:fldCharType="begin"/>
      </w:r>
      <w:r>
        <w:instrText xml:space="preserve"> PAGEREF _Toc29445 </w:instrText>
      </w:r>
      <w:r>
        <w:fldChar w:fldCharType="separate"/>
      </w:r>
      <w:r>
        <w:t>46</w:t>
      </w:r>
      <w:r>
        <w:fldChar w:fldCharType="end"/>
      </w:r>
      <w:r>
        <w:rPr>
          <w:rFonts w:hint="eastAsia" w:ascii="宋体" w:hAnsi="宋体" w:eastAsia="宋体" w:cs="宋体"/>
        </w:rPr>
        <w:fldChar w:fldCharType="end"/>
      </w:r>
    </w:p>
    <w:p>
      <w:pPr>
        <w:pStyle w:val="10"/>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_Toc23420 </w:instrText>
      </w:r>
      <w:r>
        <w:rPr>
          <w:rFonts w:hint="eastAsia" w:ascii="宋体" w:hAnsi="宋体" w:eastAsia="宋体" w:cs="宋体"/>
        </w:rPr>
        <w:fldChar w:fldCharType="separate"/>
      </w:r>
      <w:r>
        <w:rPr>
          <w:rFonts w:hint="eastAsia" w:ascii="宋体" w:hAnsi="宋体" w:eastAsia="宋体" w:cs="宋体"/>
        </w:rPr>
        <w:t>6 安全条件分析结果</w:t>
      </w:r>
      <w:r>
        <w:tab/>
      </w:r>
      <w:r>
        <w:fldChar w:fldCharType="begin"/>
      </w:r>
      <w:r>
        <w:instrText xml:space="preserve"> PAGEREF _Toc23420 </w:instrText>
      </w:r>
      <w:r>
        <w:fldChar w:fldCharType="separate"/>
      </w:r>
      <w:r>
        <w:t>48</w:t>
      </w:r>
      <w:r>
        <w:fldChar w:fldCharType="end"/>
      </w:r>
      <w:r>
        <w:rPr>
          <w:rFonts w:hint="eastAsia" w:ascii="宋体" w:hAnsi="宋体" w:eastAsia="宋体" w:cs="宋体"/>
        </w:rPr>
        <w:fldChar w:fldCharType="end"/>
      </w:r>
    </w:p>
    <w:p>
      <w:pPr>
        <w:pStyle w:val="12"/>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_Toc24530 </w:instrText>
      </w:r>
      <w:r>
        <w:rPr>
          <w:rFonts w:hint="eastAsia" w:ascii="宋体" w:hAnsi="宋体" w:eastAsia="宋体" w:cs="宋体"/>
        </w:rPr>
        <w:fldChar w:fldCharType="separate"/>
      </w:r>
      <w:r>
        <w:rPr>
          <w:rFonts w:hint="eastAsia" w:ascii="宋体" w:hAnsi="宋体" w:eastAsia="宋体" w:cs="宋体"/>
          <w:bCs/>
        </w:rPr>
        <w:t>6.1 建设项目内在的危险、有害因素对周边</w:t>
      </w:r>
      <w:r>
        <w:rPr>
          <w:rFonts w:hint="eastAsia" w:ascii="宋体" w:hAnsi="宋体" w:eastAsia="宋体" w:cs="宋体"/>
          <w:bCs/>
          <w:lang w:eastAsia="zh-CN"/>
        </w:rPr>
        <w:t>环境</w:t>
      </w:r>
      <w:r>
        <w:rPr>
          <w:rFonts w:hint="eastAsia" w:ascii="宋体" w:hAnsi="宋体" w:eastAsia="宋体" w:cs="宋体"/>
          <w:bCs/>
        </w:rPr>
        <w:t>的影响分析</w:t>
      </w:r>
      <w:r>
        <w:tab/>
      </w:r>
      <w:r>
        <w:fldChar w:fldCharType="begin"/>
      </w:r>
      <w:r>
        <w:instrText xml:space="preserve"> PAGEREF _Toc24530 </w:instrText>
      </w:r>
      <w:r>
        <w:fldChar w:fldCharType="separate"/>
      </w:r>
      <w:r>
        <w:t>48</w:t>
      </w:r>
      <w:r>
        <w:fldChar w:fldCharType="end"/>
      </w:r>
      <w:r>
        <w:rPr>
          <w:rFonts w:hint="eastAsia" w:ascii="宋体" w:hAnsi="宋体" w:eastAsia="宋体" w:cs="宋体"/>
        </w:rPr>
        <w:fldChar w:fldCharType="end"/>
      </w:r>
    </w:p>
    <w:p>
      <w:pPr>
        <w:pStyle w:val="12"/>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_Toc16465 </w:instrText>
      </w:r>
      <w:r>
        <w:rPr>
          <w:rFonts w:hint="eastAsia" w:ascii="宋体" w:hAnsi="宋体" w:eastAsia="宋体" w:cs="宋体"/>
        </w:rPr>
        <w:fldChar w:fldCharType="separate"/>
      </w:r>
      <w:r>
        <w:rPr>
          <w:rFonts w:hint="eastAsia" w:ascii="宋体" w:hAnsi="宋体" w:eastAsia="宋体" w:cs="宋体"/>
          <w:bCs/>
          <w:lang w:val="en-US"/>
        </w:rPr>
        <w:t xml:space="preserve">6.2 </w:t>
      </w:r>
      <w:r>
        <w:rPr>
          <w:rFonts w:hint="eastAsia" w:ascii="宋体" w:hAnsi="宋体" w:eastAsia="宋体" w:cs="宋体"/>
          <w:bCs/>
        </w:rPr>
        <w:t>周边环境对项目的影响</w:t>
      </w:r>
      <w:r>
        <w:tab/>
      </w:r>
      <w:r>
        <w:fldChar w:fldCharType="begin"/>
      </w:r>
      <w:r>
        <w:instrText xml:space="preserve"> PAGEREF _Toc16465 </w:instrText>
      </w:r>
      <w:r>
        <w:fldChar w:fldCharType="separate"/>
      </w:r>
      <w:r>
        <w:t>48</w:t>
      </w:r>
      <w:r>
        <w:fldChar w:fldCharType="end"/>
      </w:r>
      <w:r>
        <w:rPr>
          <w:rFonts w:hint="eastAsia" w:ascii="宋体" w:hAnsi="宋体" w:eastAsia="宋体" w:cs="宋体"/>
        </w:rPr>
        <w:fldChar w:fldCharType="end"/>
      </w:r>
    </w:p>
    <w:p>
      <w:pPr>
        <w:pStyle w:val="12"/>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_Toc8767 </w:instrText>
      </w:r>
      <w:r>
        <w:rPr>
          <w:rFonts w:hint="eastAsia" w:ascii="宋体" w:hAnsi="宋体" w:eastAsia="宋体" w:cs="宋体"/>
        </w:rPr>
        <w:fldChar w:fldCharType="separate"/>
      </w:r>
      <w:r>
        <w:rPr>
          <w:rFonts w:hint="eastAsia" w:ascii="宋体" w:hAnsi="宋体" w:eastAsia="宋体" w:cs="宋体"/>
          <w:bCs/>
          <w:lang w:val="en-US"/>
        </w:rPr>
        <w:t>6.3 自然条件对项目的影响</w:t>
      </w:r>
      <w:r>
        <w:tab/>
      </w:r>
      <w:r>
        <w:fldChar w:fldCharType="begin"/>
      </w:r>
      <w:r>
        <w:instrText xml:space="preserve"> PAGEREF _Toc8767 </w:instrText>
      </w:r>
      <w:r>
        <w:fldChar w:fldCharType="separate"/>
      </w:r>
      <w:r>
        <w:t>49</w:t>
      </w:r>
      <w:r>
        <w:fldChar w:fldCharType="end"/>
      </w:r>
      <w:r>
        <w:rPr>
          <w:rFonts w:hint="eastAsia" w:ascii="宋体" w:hAnsi="宋体" w:eastAsia="宋体" w:cs="宋体"/>
        </w:rPr>
        <w:fldChar w:fldCharType="end"/>
      </w:r>
    </w:p>
    <w:p>
      <w:pPr>
        <w:pStyle w:val="12"/>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_Toc20072 </w:instrText>
      </w:r>
      <w:r>
        <w:rPr>
          <w:rFonts w:hint="eastAsia" w:ascii="宋体" w:hAnsi="宋体" w:eastAsia="宋体" w:cs="宋体"/>
        </w:rPr>
        <w:fldChar w:fldCharType="separate"/>
      </w:r>
      <w:r>
        <w:rPr>
          <w:rFonts w:hint="eastAsia" w:ascii="宋体" w:hAnsi="宋体" w:eastAsia="宋体" w:cs="宋体"/>
          <w:bCs/>
          <w:lang w:val="en-US"/>
        </w:rPr>
        <w:t>6.4 安全条件分析结果</w:t>
      </w:r>
      <w:r>
        <w:tab/>
      </w:r>
      <w:r>
        <w:fldChar w:fldCharType="begin"/>
      </w:r>
      <w:r>
        <w:instrText xml:space="preserve"> PAGEREF _Toc20072 </w:instrText>
      </w:r>
      <w:r>
        <w:fldChar w:fldCharType="separate"/>
      </w:r>
      <w:r>
        <w:t>49</w:t>
      </w:r>
      <w:r>
        <w:fldChar w:fldCharType="end"/>
      </w:r>
      <w:r>
        <w:rPr>
          <w:rFonts w:hint="eastAsia" w:ascii="宋体" w:hAnsi="宋体" w:eastAsia="宋体" w:cs="宋体"/>
        </w:rPr>
        <w:fldChar w:fldCharType="end"/>
      </w:r>
    </w:p>
    <w:p>
      <w:pPr>
        <w:pStyle w:val="10"/>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_Toc32640 </w:instrText>
      </w:r>
      <w:r>
        <w:rPr>
          <w:rFonts w:hint="eastAsia" w:ascii="宋体" w:hAnsi="宋体" w:eastAsia="宋体" w:cs="宋体"/>
        </w:rPr>
        <w:fldChar w:fldCharType="separate"/>
      </w:r>
      <w:r>
        <w:rPr>
          <w:rFonts w:hint="eastAsia" w:ascii="宋体" w:hAnsi="宋体" w:eastAsia="宋体" w:cs="宋体"/>
        </w:rPr>
        <w:t>7 安全生产条件分析结果</w:t>
      </w:r>
      <w:r>
        <w:tab/>
      </w:r>
      <w:r>
        <w:fldChar w:fldCharType="begin"/>
      </w:r>
      <w:r>
        <w:instrText xml:space="preserve"> PAGEREF _Toc32640 </w:instrText>
      </w:r>
      <w:r>
        <w:fldChar w:fldCharType="separate"/>
      </w:r>
      <w:r>
        <w:t>51</w:t>
      </w:r>
      <w:r>
        <w:fldChar w:fldCharType="end"/>
      </w:r>
      <w:r>
        <w:rPr>
          <w:rFonts w:hint="eastAsia" w:ascii="宋体" w:hAnsi="宋体" w:eastAsia="宋体" w:cs="宋体"/>
        </w:rPr>
        <w:fldChar w:fldCharType="end"/>
      </w:r>
    </w:p>
    <w:p>
      <w:pPr>
        <w:pStyle w:val="12"/>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_Toc2348 </w:instrText>
      </w:r>
      <w:r>
        <w:rPr>
          <w:rFonts w:hint="eastAsia" w:ascii="宋体" w:hAnsi="宋体" w:eastAsia="宋体" w:cs="宋体"/>
        </w:rPr>
        <w:fldChar w:fldCharType="separate"/>
      </w:r>
      <w:r>
        <w:rPr>
          <w:rFonts w:hint="eastAsia" w:ascii="宋体" w:hAnsi="宋体" w:eastAsia="宋体" w:cs="宋体"/>
          <w:bCs/>
        </w:rPr>
        <w:t>7.1 安全设施及主要安全技术措施分析结果</w:t>
      </w:r>
      <w:r>
        <w:tab/>
      </w:r>
      <w:r>
        <w:fldChar w:fldCharType="begin"/>
      </w:r>
      <w:r>
        <w:instrText xml:space="preserve"> PAGEREF _Toc2348 </w:instrText>
      </w:r>
      <w:r>
        <w:fldChar w:fldCharType="separate"/>
      </w:r>
      <w:r>
        <w:t>51</w:t>
      </w:r>
      <w:r>
        <w:fldChar w:fldCharType="end"/>
      </w:r>
      <w:r>
        <w:rPr>
          <w:rFonts w:hint="eastAsia" w:ascii="宋体" w:hAnsi="宋体" w:eastAsia="宋体" w:cs="宋体"/>
        </w:rPr>
        <w:fldChar w:fldCharType="end"/>
      </w:r>
    </w:p>
    <w:p>
      <w:pPr>
        <w:pStyle w:val="12"/>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_Toc7226 </w:instrText>
      </w:r>
      <w:r>
        <w:rPr>
          <w:rFonts w:hint="eastAsia" w:ascii="宋体" w:hAnsi="宋体" w:eastAsia="宋体" w:cs="宋体"/>
        </w:rPr>
        <w:fldChar w:fldCharType="separate"/>
      </w:r>
      <w:r>
        <w:rPr>
          <w:rFonts w:hint="eastAsia" w:ascii="宋体" w:hAnsi="宋体" w:eastAsia="宋体" w:cs="宋体"/>
          <w:bCs/>
        </w:rPr>
        <w:t>7.</w:t>
      </w:r>
      <w:r>
        <w:rPr>
          <w:rFonts w:hint="eastAsia" w:ascii="宋体" w:hAnsi="宋体" w:eastAsia="宋体" w:cs="宋体"/>
          <w:bCs/>
          <w:lang w:val="en-US"/>
        </w:rPr>
        <w:t xml:space="preserve">2 </w:t>
      </w:r>
      <w:r>
        <w:rPr>
          <w:rFonts w:hint="eastAsia" w:ascii="宋体" w:hAnsi="宋体" w:eastAsia="宋体" w:cs="宋体"/>
          <w:bCs/>
        </w:rPr>
        <w:t>可能发生的事故及后果</w:t>
      </w:r>
      <w:r>
        <w:tab/>
      </w:r>
      <w:r>
        <w:fldChar w:fldCharType="begin"/>
      </w:r>
      <w:r>
        <w:instrText xml:space="preserve"> PAGEREF _Toc7226 </w:instrText>
      </w:r>
      <w:r>
        <w:fldChar w:fldCharType="separate"/>
      </w:r>
      <w:r>
        <w:t>52</w:t>
      </w:r>
      <w:r>
        <w:fldChar w:fldCharType="end"/>
      </w:r>
      <w:r>
        <w:rPr>
          <w:rFonts w:hint="eastAsia" w:ascii="宋体" w:hAnsi="宋体" w:eastAsia="宋体" w:cs="宋体"/>
        </w:rPr>
        <w:fldChar w:fldCharType="end"/>
      </w:r>
    </w:p>
    <w:p>
      <w:pPr>
        <w:pStyle w:val="12"/>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_Toc32270 </w:instrText>
      </w:r>
      <w:r>
        <w:rPr>
          <w:rFonts w:hint="eastAsia" w:ascii="宋体" w:hAnsi="宋体" w:eastAsia="宋体" w:cs="宋体"/>
        </w:rPr>
        <w:fldChar w:fldCharType="separate"/>
      </w:r>
      <w:r>
        <w:rPr>
          <w:rFonts w:hint="eastAsia" w:ascii="宋体" w:hAnsi="宋体" w:eastAsia="宋体" w:cs="宋体"/>
          <w:bCs/>
        </w:rPr>
        <w:t>7.</w:t>
      </w:r>
      <w:r>
        <w:rPr>
          <w:rFonts w:hint="eastAsia" w:ascii="宋体" w:hAnsi="宋体" w:eastAsia="宋体" w:cs="宋体"/>
          <w:bCs/>
          <w:lang w:val="en-US"/>
        </w:rPr>
        <w:t xml:space="preserve">3 </w:t>
      </w:r>
      <w:r>
        <w:rPr>
          <w:rFonts w:hint="eastAsia" w:ascii="宋体" w:hAnsi="宋体" w:eastAsia="宋体" w:cs="宋体"/>
          <w:bCs/>
        </w:rPr>
        <w:t>事故案例分析</w:t>
      </w:r>
      <w:r>
        <w:tab/>
      </w:r>
      <w:r>
        <w:fldChar w:fldCharType="begin"/>
      </w:r>
      <w:r>
        <w:instrText xml:space="preserve"> PAGEREF _Toc32270 </w:instrText>
      </w:r>
      <w:r>
        <w:fldChar w:fldCharType="separate"/>
      </w:r>
      <w:r>
        <w:t>53</w:t>
      </w:r>
      <w:r>
        <w:fldChar w:fldCharType="end"/>
      </w:r>
      <w:r>
        <w:rPr>
          <w:rFonts w:hint="eastAsia" w:ascii="宋体" w:hAnsi="宋体" w:eastAsia="宋体" w:cs="宋体"/>
        </w:rPr>
        <w:fldChar w:fldCharType="end"/>
      </w:r>
    </w:p>
    <w:p>
      <w:pPr>
        <w:pStyle w:val="12"/>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_Toc17931 </w:instrText>
      </w:r>
      <w:r>
        <w:rPr>
          <w:rFonts w:hint="eastAsia" w:ascii="宋体" w:hAnsi="宋体" w:eastAsia="宋体" w:cs="宋体"/>
        </w:rPr>
        <w:fldChar w:fldCharType="separate"/>
      </w:r>
      <w:r>
        <w:rPr>
          <w:rFonts w:hint="eastAsia" w:ascii="宋体" w:hAnsi="宋体" w:eastAsia="宋体" w:cs="宋体"/>
          <w:bCs/>
        </w:rPr>
        <w:t>7.</w:t>
      </w:r>
      <w:r>
        <w:rPr>
          <w:rFonts w:hint="eastAsia" w:ascii="宋体" w:hAnsi="宋体" w:eastAsia="宋体" w:cs="宋体"/>
          <w:bCs/>
          <w:lang w:val="en-US"/>
        </w:rPr>
        <w:t xml:space="preserve">4 </w:t>
      </w:r>
      <w:r>
        <w:rPr>
          <w:rFonts w:hint="eastAsia" w:ascii="宋体" w:hAnsi="宋体" w:eastAsia="宋体" w:cs="宋体"/>
          <w:bCs/>
        </w:rPr>
        <w:t>事故应急措施</w:t>
      </w:r>
      <w:r>
        <w:tab/>
      </w:r>
      <w:r>
        <w:fldChar w:fldCharType="begin"/>
      </w:r>
      <w:r>
        <w:instrText xml:space="preserve"> PAGEREF _Toc17931 </w:instrText>
      </w:r>
      <w:r>
        <w:fldChar w:fldCharType="separate"/>
      </w:r>
      <w:r>
        <w:t>53</w:t>
      </w:r>
      <w:r>
        <w:fldChar w:fldCharType="end"/>
      </w:r>
      <w:r>
        <w:rPr>
          <w:rFonts w:hint="eastAsia" w:ascii="宋体" w:hAnsi="宋体" w:eastAsia="宋体" w:cs="宋体"/>
        </w:rPr>
        <w:fldChar w:fldCharType="end"/>
      </w:r>
    </w:p>
    <w:p>
      <w:pPr>
        <w:pStyle w:val="12"/>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_Toc10841 </w:instrText>
      </w:r>
      <w:r>
        <w:rPr>
          <w:rFonts w:hint="eastAsia" w:ascii="宋体" w:hAnsi="宋体" w:eastAsia="宋体" w:cs="宋体"/>
        </w:rPr>
        <w:fldChar w:fldCharType="separate"/>
      </w:r>
      <w:r>
        <w:rPr>
          <w:rFonts w:hint="eastAsia" w:ascii="宋体" w:hAnsi="宋体" w:eastAsia="宋体" w:cs="宋体"/>
          <w:bCs/>
          <w:lang w:val="en-US"/>
        </w:rPr>
        <w:t xml:space="preserve">7.5 </w:t>
      </w:r>
      <w:r>
        <w:rPr>
          <w:rFonts w:hint="eastAsia" w:ascii="宋体" w:hAnsi="宋体" w:eastAsia="宋体" w:cs="宋体"/>
          <w:bCs/>
        </w:rPr>
        <w:t>安全设施的施工、检验、检测和调试情况</w:t>
      </w:r>
      <w:r>
        <w:tab/>
      </w:r>
      <w:r>
        <w:fldChar w:fldCharType="begin"/>
      </w:r>
      <w:r>
        <w:instrText xml:space="preserve"> PAGEREF _Toc10841 </w:instrText>
      </w:r>
      <w:r>
        <w:fldChar w:fldCharType="separate"/>
      </w:r>
      <w:r>
        <w:t>55</w:t>
      </w:r>
      <w:r>
        <w:fldChar w:fldCharType="end"/>
      </w:r>
      <w:r>
        <w:rPr>
          <w:rFonts w:hint="eastAsia" w:ascii="宋体" w:hAnsi="宋体" w:eastAsia="宋体" w:cs="宋体"/>
        </w:rPr>
        <w:fldChar w:fldCharType="end"/>
      </w:r>
    </w:p>
    <w:p>
      <w:pPr>
        <w:pStyle w:val="12"/>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_Toc31378 </w:instrText>
      </w:r>
      <w:r>
        <w:rPr>
          <w:rFonts w:hint="eastAsia" w:ascii="宋体" w:hAnsi="宋体" w:eastAsia="宋体" w:cs="宋体"/>
        </w:rPr>
        <w:fldChar w:fldCharType="separate"/>
      </w:r>
      <w:r>
        <w:rPr>
          <w:rFonts w:hint="eastAsia" w:ascii="宋体" w:hAnsi="宋体" w:eastAsia="宋体" w:cs="宋体"/>
          <w:bCs/>
          <w:lang w:val="en-US"/>
        </w:rPr>
        <w:t>7.6 企业风险评级分析与结果</w:t>
      </w:r>
      <w:r>
        <w:tab/>
      </w:r>
      <w:r>
        <w:fldChar w:fldCharType="begin"/>
      </w:r>
      <w:r>
        <w:instrText xml:space="preserve"> PAGEREF _Toc31378 </w:instrText>
      </w:r>
      <w:r>
        <w:fldChar w:fldCharType="separate"/>
      </w:r>
      <w:r>
        <w:t>56</w:t>
      </w:r>
      <w:r>
        <w:fldChar w:fldCharType="end"/>
      </w:r>
      <w:r>
        <w:rPr>
          <w:rFonts w:hint="eastAsia" w:ascii="宋体" w:hAnsi="宋体" w:eastAsia="宋体" w:cs="宋体"/>
        </w:rPr>
        <w:fldChar w:fldCharType="end"/>
      </w:r>
    </w:p>
    <w:p>
      <w:pPr>
        <w:pStyle w:val="12"/>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_Toc15528 </w:instrText>
      </w:r>
      <w:r>
        <w:rPr>
          <w:rFonts w:hint="eastAsia" w:ascii="宋体" w:hAnsi="宋体" w:eastAsia="宋体" w:cs="宋体"/>
        </w:rPr>
        <w:fldChar w:fldCharType="separate"/>
      </w:r>
      <w:r>
        <w:rPr>
          <w:rFonts w:hint="eastAsia" w:ascii="宋体" w:hAnsi="宋体" w:eastAsia="宋体" w:cs="宋体"/>
          <w:bCs/>
          <w:lang w:val="en-US"/>
        </w:rPr>
        <w:t>7.7 重大生产安全事故隐患检查评价</w:t>
      </w:r>
      <w:r>
        <w:tab/>
      </w:r>
      <w:r>
        <w:fldChar w:fldCharType="begin"/>
      </w:r>
      <w:r>
        <w:instrText xml:space="preserve"> PAGEREF _Toc15528 </w:instrText>
      </w:r>
      <w:r>
        <w:fldChar w:fldCharType="separate"/>
      </w:r>
      <w:r>
        <w:t>57</w:t>
      </w:r>
      <w:r>
        <w:fldChar w:fldCharType="end"/>
      </w:r>
      <w:r>
        <w:rPr>
          <w:rFonts w:hint="eastAsia" w:ascii="宋体" w:hAnsi="宋体" w:eastAsia="宋体" w:cs="宋体"/>
        </w:rPr>
        <w:fldChar w:fldCharType="end"/>
      </w:r>
    </w:p>
    <w:p>
      <w:pPr>
        <w:pStyle w:val="10"/>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_Toc8081 </w:instrText>
      </w:r>
      <w:r>
        <w:rPr>
          <w:rFonts w:hint="eastAsia" w:ascii="宋体" w:hAnsi="宋体" w:eastAsia="宋体" w:cs="宋体"/>
        </w:rPr>
        <w:fldChar w:fldCharType="separate"/>
      </w:r>
      <w:r>
        <w:rPr>
          <w:rFonts w:hint="eastAsia" w:ascii="宋体" w:hAnsi="宋体" w:eastAsia="宋体" w:cs="宋体"/>
        </w:rPr>
        <w:t>8</w:t>
      </w:r>
      <w:r>
        <w:rPr>
          <w:rFonts w:hint="eastAsia" w:ascii="宋体" w:hAnsi="宋体" w:eastAsia="宋体" w:cs="宋体"/>
          <w:spacing w:val="78"/>
        </w:rPr>
        <w:t xml:space="preserve"> </w:t>
      </w:r>
      <w:r>
        <w:rPr>
          <w:rFonts w:hint="eastAsia" w:ascii="宋体" w:hAnsi="宋体" w:eastAsia="宋体" w:cs="宋体"/>
        </w:rPr>
        <w:t>安全对策和建议</w:t>
      </w:r>
      <w:r>
        <w:tab/>
      </w:r>
      <w:r>
        <w:fldChar w:fldCharType="begin"/>
      </w:r>
      <w:r>
        <w:instrText xml:space="preserve"> PAGEREF _Toc8081 </w:instrText>
      </w:r>
      <w:r>
        <w:fldChar w:fldCharType="separate"/>
      </w:r>
      <w:r>
        <w:t>58</w:t>
      </w:r>
      <w:r>
        <w:fldChar w:fldCharType="end"/>
      </w:r>
      <w:r>
        <w:rPr>
          <w:rFonts w:hint="eastAsia" w:ascii="宋体" w:hAnsi="宋体" w:eastAsia="宋体" w:cs="宋体"/>
        </w:rPr>
        <w:fldChar w:fldCharType="end"/>
      </w:r>
    </w:p>
    <w:p>
      <w:pPr>
        <w:pStyle w:val="12"/>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_Toc30469 </w:instrText>
      </w:r>
      <w:r>
        <w:rPr>
          <w:rFonts w:hint="eastAsia" w:ascii="宋体" w:hAnsi="宋体" w:eastAsia="宋体" w:cs="宋体"/>
        </w:rPr>
        <w:fldChar w:fldCharType="separate"/>
      </w:r>
      <w:r>
        <w:rPr>
          <w:rFonts w:hint="eastAsia" w:ascii="宋体" w:hAnsi="宋体" w:eastAsia="宋体" w:cs="宋体"/>
          <w:szCs w:val="32"/>
        </w:rPr>
        <w:t>8.</w:t>
      </w:r>
      <w:r>
        <w:rPr>
          <w:rFonts w:hint="eastAsia" w:ascii="宋体" w:hAnsi="宋体" w:eastAsia="宋体" w:cs="宋体"/>
          <w:szCs w:val="32"/>
          <w:lang w:val="en-US" w:eastAsia="zh-CN"/>
        </w:rPr>
        <w:t>1</w:t>
      </w:r>
      <w:r>
        <w:rPr>
          <w:rFonts w:hint="eastAsia" w:ascii="宋体" w:hAnsi="宋体" w:eastAsia="宋体" w:cs="宋体"/>
          <w:szCs w:val="32"/>
          <w:lang w:val="en-US"/>
        </w:rPr>
        <w:t xml:space="preserve"> </w:t>
      </w:r>
      <w:r>
        <w:rPr>
          <w:rFonts w:hint="eastAsia" w:ascii="宋体" w:hAnsi="宋体" w:eastAsia="宋体" w:cs="宋体"/>
          <w:szCs w:val="32"/>
        </w:rPr>
        <w:t>安全管理方面的对策措施</w:t>
      </w:r>
      <w:r>
        <w:tab/>
      </w:r>
      <w:r>
        <w:fldChar w:fldCharType="begin"/>
      </w:r>
      <w:r>
        <w:instrText xml:space="preserve"> PAGEREF _Toc30469 </w:instrText>
      </w:r>
      <w:r>
        <w:fldChar w:fldCharType="separate"/>
      </w:r>
      <w:r>
        <w:t>58</w:t>
      </w:r>
      <w:r>
        <w:fldChar w:fldCharType="end"/>
      </w:r>
      <w:r>
        <w:rPr>
          <w:rFonts w:hint="eastAsia" w:ascii="宋体" w:hAnsi="宋体" w:eastAsia="宋体" w:cs="宋体"/>
        </w:rPr>
        <w:fldChar w:fldCharType="end"/>
      </w:r>
    </w:p>
    <w:p>
      <w:pPr>
        <w:pStyle w:val="12"/>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_Toc15630 </w:instrText>
      </w:r>
      <w:r>
        <w:rPr>
          <w:rFonts w:hint="eastAsia" w:ascii="宋体" w:hAnsi="宋体" w:eastAsia="宋体" w:cs="宋体"/>
        </w:rPr>
        <w:fldChar w:fldCharType="separate"/>
      </w:r>
      <w:r>
        <w:rPr>
          <w:rFonts w:hint="eastAsia" w:ascii="宋体" w:hAnsi="宋体" w:eastAsia="宋体" w:cs="宋体"/>
          <w:szCs w:val="32"/>
        </w:rPr>
        <w:t>8.</w:t>
      </w:r>
      <w:r>
        <w:rPr>
          <w:rFonts w:hint="eastAsia" w:ascii="宋体" w:hAnsi="宋体" w:eastAsia="宋体" w:cs="宋体"/>
          <w:szCs w:val="32"/>
          <w:lang w:val="en-US" w:eastAsia="zh-CN"/>
        </w:rPr>
        <w:t>2</w:t>
      </w:r>
      <w:r>
        <w:rPr>
          <w:rFonts w:hint="eastAsia" w:ascii="宋体" w:hAnsi="宋体" w:eastAsia="宋体" w:cs="宋体"/>
          <w:szCs w:val="32"/>
          <w:lang w:val="en-US"/>
        </w:rPr>
        <w:t xml:space="preserve"> </w:t>
      </w:r>
      <w:r>
        <w:rPr>
          <w:rFonts w:hint="eastAsia" w:ascii="宋体" w:hAnsi="宋体" w:eastAsia="宋体" w:cs="宋体"/>
          <w:szCs w:val="32"/>
        </w:rPr>
        <w:t>场所、设施、装置、消防与电气方面的对策措施</w:t>
      </w:r>
      <w:r>
        <w:tab/>
      </w:r>
      <w:r>
        <w:fldChar w:fldCharType="begin"/>
      </w:r>
      <w:r>
        <w:instrText xml:space="preserve"> PAGEREF _Toc15630 </w:instrText>
      </w:r>
      <w:r>
        <w:fldChar w:fldCharType="separate"/>
      </w:r>
      <w:r>
        <w:t>59</w:t>
      </w:r>
      <w:r>
        <w:fldChar w:fldCharType="end"/>
      </w:r>
      <w:r>
        <w:rPr>
          <w:rFonts w:hint="eastAsia" w:ascii="宋体" w:hAnsi="宋体" w:eastAsia="宋体" w:cs="宋体"/>
        </w:rPr>
        <w:fldChar w:fldCharType="end"/>
      </w:r>
    </w:p>
    <w:p>
      <w:pPr>
        <w:pStyle w:val="12"/>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_Toc24309 </w:instrText>
      </w:r>
      <w:r>
        <w:rPr>
          <w:rFonts w:hint="eastAsia" w:ascii="宋体" w:hAnsi="宋体" w:eastAsia="宋体" w:cs="宋体"/>
        </w:rPr>
        <w:fldChar w:fldCharType="separate"/>
      </w:r>
      <w:r>
        <w:rPr>
          <w:rFonts w:hint="eastAsia" w:ascii="宋体" w:hAnsi="宋体" w:eastAsia="宋体" w:cs="宋体"/>
          <w:szCs w:val="32"/>
        </w:rPr>
        <w:t>8.</w:t>
      </w:r>
      <w:r>
        <w:rPr>
          <w:rFonts w:hint="eastAsia" w:ascii="宋体" w:hAnsi="宋体" w:eastAsia="宋体" w:cs="宋体"/>
          <w:szCs w:val="32"/>
          <w:lang w:val="en-US" w:eastAsia="zh-CN"/>
        </w:rPr>
        <w:t>3</w:t>
      </w:r>
      <w:r>
        <w:rPr>
          <w:rFonts w:hint="eastAsia" w:ascii="宋体" w:hAnsi="宋体" w:eastAsia="宋体" w:cs="宋体"/>
          <w:szCs w:val="32"/>
          <w:lang w:val="en-US"/>
        </w:rPr>
        <w:t xml:space="preserve"> </w:t>
      </w:r>
      <w:r>
        <w:rPr>
          <w:rFonts w:hint="eastAsia" w:ascii="宋体" w:hAnsi="宋体" w:eastAsia="宋体" w:cs="宋体"/>
          <w:szCs w:val="32"/>
        </w:rPr>
        <w:t>安全操作方面的对策措施</w:t>
      </w:r>
      <w:r>
        <w:tab/>
      </w:r>
      <w:r>
        <w:fldChar w:fldCharType="begin"/>
      </w:r>
      <w:r>
        <w:instrText xml:space="preserve"> PAGEREF _Toc24309 </w:instrText>
      </w:r>
      <w:r>
        <w:fldChar w:fldCharType="separate"/>
      </w:r>
      <w:r>
        <w:t>60</w:t>
      </w:r>
      <w:r>
        <w:fldChar w:fldCharType="end"/>
      </w:r>
      <w:r>
        <w:rPr>
          <w:rFonts w:hint="eastAsia" w:ascii="宋体" w:hAnsi="宋体" w:eastAsia="宋体" w:cs="宋体"/>
        </w:rPr>
        <w:fldChar w:fldCharType="end"/>
      </w:r>
    </w:p>
    <w:p>
      <w:pPr>
        <w:pStyle w:val="12"/>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_Toc20904 </w:instrText>
      </w:r>
      <w:r>
        <w:rPr>
          <w:rFonts w:hint="eastAsia" w:ascii="宋体" w:hAnsi="宋体" w:eastAsia="宋体" w:cs="宋体"/>
        </w:rPr>
        <w:fldChar w:fldCharType="separate"/>
      </w:r>
      <w:r>
        <w:rPr>
          <w:rFonts w:hint="eastAsia" w:ascii="宋体" w:hAnsi="宋体" w:eastAsia="宋体" w:cs="宋体"/>
          <w:szCs w:val="32"/>
        </w:rPr>
        <w:t>8.</w:t>
      </w:r>
      <w:r>
        <w:rPr>
          <w:rFonts w:hint="eastAsia" w:ascii="宋体" w:hAnsi="宋体" w:eastAsia="宋体" w:cs="宋体"/>
          <w:szCs w:val="32"/>
          <w:lang w:val="en-US" w:eastAsia="zh-CN"/>
        </w:rPr>
        <w:t>4</w:t>
      </w:r>
      <w:r>
        <w:rPr>
          <w:rFonts w:hint="eastAsia" w:ascii="宋体" w:hAnsi="宋体" w:eastAsia="宋体" w:cs="宋体"/>
          <w:szCs w:val="32"/>
          <w:lang w:val="en-US"/>
        </w:rPr>
        <w:t xml:space="preserve"> </w:t>
      </w:r>
      <w:r>
        <w:rPr>
          <w:rFonts w:hint="eastAsia" w:ascii="宋体" w:hAnsi="宋体" w:eastAsia="宋体" w:cs="宋体"/>
          <w:szCs w:val="32"/>
        </w:rPr>
        <w:t>重点监管的危险化学品安全对策措施</w:t>
      </w:r>
      <w:r>
        <w:tab/>
      </w:r>
      <w:r>
        <w:fldChar w:fldCharType="begin"/>
      </w:r>
      <w:r>
        <w:instrText xml:space="preserve"> PAGEREF _Toc20904 </w:instrText>
      </w:r>
      <w:r>
        <w:fldChar w:fldCharType="separate"/>
      </w:r>
      <w:r>
        <w:t>64</w:t>
      </w:r>
      <w:r>
        <w:fldChar w:fldCharType="end"/>
      </w:r>
      <w:r>
        <w:rPr>
          <w:rFonts w:hint="eastAsia" w:ascii="宋体" w:hAnsi="宋体" w:eastAsia="宋体" w:cs="宋体"/>
        </w:rPr>
        <w:fldChar w:fldCharType="end"/>
      </w:r>
    </w:p>
    <w:p>
      <w:pPr>
        <w:pStyle w:val="10"/>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_Toc4869 </w:instrText>
      </w:r>
      <w:r>
        <w:rPr>
          <w:rFonts w:hint="eastAsia" w:ascii="宋体" w:hAnsi="宋体" w:eastAsia="宋体" w:cs="宋体"/>
        </w:rPr>
        <w:fldChar w:fldCharType="separate"/>
      </w:r>
      <w:r>
        <w:rPr>
          <w:rFonts w:hint="eastAsia" w:ascii="宋体" w:hAnsi="宋体" w:eastAsia="宋体" w:cs="宋体"/>
        </w:rPr>
        <w:t>9 安全评价结论</w:t>
      </w:r>
      <w:r>
        <w:tab/>
      </w:r>
      <w:r>
        <w:fldChar w:fldCharType="begin"/>
      </w:r>
      <w:r>
        <w:instrText xml:space="preserve"> PAGEREF _Toc4869 </w:instrText>
      </w:r>
      <w:r>
        <w:fldChar w:fldCharType="separate"/>
      </w:r>
      <w:r>
        <w:t>67</w:t>
      </w:r>
      <w:r>
        <w:fldChar w:fldCharType="end"/>
      </w:r>
      <w:r>
        <w:rPr>
          <w:rFonts w:hint="eastAsia" w:ascii="宋体" w:hAnsi="宋体" w:eastAsia="宋体" w:cs="宋体"/>
        </w:rPr>
        <w:fldChar w:fldCharType="end"/>
      </w:r>
    </w:p>
    <w:p>
      <w:pPr>
        <w:pStyle w:val="10"/>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_Toc23168 </w:instrText>
      </w:r>
      <w:r>
        <w:rPr>
          <w:rFonts w:hint="eastAsia" w:ascii="宋体" w:hAnsi="宋体" w:eastAsia="宋体" w:cs="宋体"/>
        </w:rPr>
        <w:fldChar w:fldCharType="separate"/>
      </w:r>
      <w:r>
        <w:rPr>
          <w:rFonts w:hint="eastAsia" w:ascii="宋体" w:hAnsi="宋体" w:eastAsia="宋体" w:cs="宋体"/>
        </w:rPr>
        <w:t>10 与建设单位交换意见情况</w:t>
      </w:r>
      <w:r>
        <w:tab/>
      </w:r>
      <w:r>
        <w:fldChar w:fldCharType="begin"/>
      </w:r>
      <w:r>
        <w:instrText xml:space="preserve"> PAGEREF _Toc23168 </w:instrText>
      </w:r>
      <w:r>
        <w:fldChar w:fldCharType="separate"/>
      </w:r>
      <w:r>
        <w:t>69</w:t>
      </w:r>
      <w:r>
        <w:fldChar w:fldCharType="end"/>
      </w:r>
      <w:r>
        <w:rPr>
          <w:rFonts w:hint="eastAsia" w:ascii="宋体" w:hAnsi="宋体" w:eastAsia="宋体" w:cs="宋体"/>
        </w:rPr>
        <w:fldChar w:fldCharType="end"/>
      </w:r>
    </w:p>
    <w:p>
      <w:pPr>
        <w:pStyle w:val="10"/>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_Toc6540 </w:instrText>
      </w:r>
      <w:r>
        <w:rPr>
          <w:rFonts w:hint="eastAsia" w:ascii="宋体" w:hAnsi="宋体" w:eastAsia="宋体" w:cs="宋体"/>
        </w:rPr>
        <w:fldChar w:fldCharType="separate"/>
      </w:r>
      <w:r>
        <w:rPr>
          <w:rFonts w:hint="eastAsia"/>
        </w:rPr>
        <w:t>安全评价报告附件</w:t>
      </w:r>
      <w:r>
        <w:tab/>
      </w:r>
      <w:r>
        <w:fldChar w:fldCharType="begin"/>
      </w:r>
      <w:r>
        <w:instrText xml:space="preserve"> PAGEREF _Toc6540 </w:instrText>
      </w:r>
      <w:r>
        <w:fldChar w:fldCharType="separate"/>
      </w:r>
      <w:r>
        <w:t>70</w:t>
      </w:r>
      <w:r>
        <w:fldChar w:fldCharType="end"/>
      </w:r>
      <w:r>
        <w:rPr>
          <w:rFonts w:hint="eastAsia" w:ascii="宋体" w:hAnsi="宋体" w:eastAsia="宋体" w:cs="宋体"/>
        </w:rPr>
        <w:fldChar w:fldCharType="end"/>
      </w:r>
    </w:p>
    <w:p>
      <w:pPr>
        <w:pStyle w:val="10"/>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_Toc13147 </w:instrText>
      </w:r>
      <w:r>
        <w:rPr>
          <w:rFonts w:hint="eastAsia" w:ascii="宋体" w:hAnsi="宋体" w:eastAsia="宋体" w:cs="宋体"/>
        </w:rPr>
        <w:fldChar w:fldCharType="separate"/>
      </w:r>
      <w:r>
        <w:rPr>
          <w:rFonts w:hint="eastAsia" w:ascii="宋体" w:hAnsi="宋体" w:eastAsia="宋体" w:cs="宋体"/>
        </w:rPr>
        <w:t>附件1 安全评价相关图表</w:t>
      </w:r>
      <w:r>
        <w:tab/>
      </w:r>
      <w:r>
        <w:fldChar w:fldCharType="begin"/>
      </w:r>
      <w:r>
        <w:instrText xml:space="preserve"> PAGEREF _Toc13147 </w:instrText>
      </w:r>
      <w:r>
        <w:fldChar w:fldCharType="separate"/>
      </w:r>
      <w:r>
        <w:t>70</w:t>
      </w:r>
      <w:r>
        <w:fldChar w:fldCharType="end"/>
      </w:r>
      <w:r>
        <w:rPr>
          <w:rFonts w:hint="eastAsia" w:ascii="宋体" w:hAnsi="宋体" w:eastAsia="宋体" w:cs="宋体"/>
        </w:rPr>
        <w:fldChar w:fldCharType="end"/>
      </w:r>
    </w:p>
    <w:p>
      <w:pPr>
        <w:pStyle w:val="12"/>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_Toc23238 </w:instrText>
      </w:r>
      <w:r>
        <w:rPr>
          <w:rFonts w:hint="eastAsia" w:ascii="宋体" w:hAnsi="宋体" w:eastAsia="宋体" w:cs="宋体"/>
        </w:rPr>
        <w:fldChar w:fldCharType="separate"/>
      </w:r>
      <w:r>
        <w:rPr>
          <w:rFonts w:hint="eastAsia" w:ascii="宋体" w:hAnsi="宋体" w:eastAsia="宋体" w:cs="宋体"/>
        </w:rPr>
        <w:t>1.1</w:t>
      </w:r>
      <w:r>
        <w:rPr>
          <w:rFonts w:hint="eastAsia" w:ascii="宋体" w:hAnsi="宋体" w:eastAsia="宋体" w:cs="宋体"/>
          <w:lang w:val="en-US"/>
        </w:rPr>
        <w:t xml:space="preserve"> </w:t>
      </w:r>
      <w:r>
        <w:rPr>
          <w:rFonts w:hint="eastAsia" w:ascii="宋体" w:hAnsi="宋体" w:eastAsia="宋体" w:cs="宋体"/>
        </w:rPr>
        <w:t>平面布置图</w:t>
      </w:r>
      <w:r>
        <w:tab/>
      </w:r>
      <w:r>
        <w:fldChar w:fldCharType="begin"/>
      </w:r>
      <w:r>
        <w:instrText xml:space="preserve"> PAGEREF _Toc23238 </w:instrText>
      </w:r>
      <w:r>
        <w:fldChar w:fldCharType="separate"/>
      </w:r>
      <w:r>
        <w:t>70</w:t>
      </w:r>
      <w:r>
        <w:fldChar w:fldCharType="end"/>
      </w:r>
      <w:r>
        <w:rPr>
          <w:rFonts w:hint="eastAsia" w:ascii="宋体" w:hAnsi="宋体" w:eastAsia="宋体" w:cs="宋体"/>
        </w:rPr>
        <w:fldChar w:fldCharType="end"/>
      </w:r>
    </w:p>
    <w:p>
      <w:pPr>
        <w:pStyle w:val="12"/>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_Toc22765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lang w:val="en-US"/>
        </w:rPr>
        <w:t>2</w:t>
      </w:r>
      <w:r>
        <w:rPr>
          <w:rFonts w:hint="eastAsia" w:ascii="宋体" w:hAnsi="宋体" w:eastAsia="宋体" w:cs="宋体"/>
        </w:rPr>
        <w:t xml:space="preserve"> 装置爆炸危险区域划分图</w:t>
      </w:r>
      <w:r>
        <w:tab/>
      </w:r>
      <w:r>
        <w:fldChar w:fldCharType="begin"/>
      </w:r>
      <w:r>
        <w:instrText xml:space="preserve"> PAGEREF _Toc22765 </w:instrText>
      </w:r>
      <w:r>
        <w:fldChar w:fldCharType="separate"/>
      </w:r>
      <w:r>
        <w:t>70</w:t>
      </w:r>
      <w:r>
        <w:fldChar w:fldCharType="end"/>
      </w:r>
      <w:r>
        <w:rPr>
          <w:rFonts w:hint="eastAsia" w:ascii="宋体" w:hAnsi="宋体" w:eastAsia="宋体" w:cs="宋体"/>
        </w:rPr>
        <w:fldChar w:fldCharType="end"/>
      </w:r>
    </w:p>
    <w:p>
      <w:pPr>
        <w:pStyle w:val="10"/>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_Toc18544 </w:instrText>
      </w:r>
      <w:r>
        <w:rPr>
          <w:rFonts w:hint="eastAsia" w:ascii="宋体" w:hAnsi="宋体" w:eastAsia="宋体" w:cs="宋体"/>
        </w:rPr>
        <w:fldChar w:fldCharType="separate"/>
      </w:r>
      <w:r>
        <w:rPr>
          <w:rFonts w:hint="eastAsia" w:ascii="宋体" w:hAnsi="宋体" w:eastAsia="宋体" w:cs="宋体"/>
        </w:rPr>
        <w:t>附件2 安全评价方法简介</w:t>
      </w:r>
      <w:r>
        <w:tab/>
      </w:r>
      <w:r>
        <w:fldChar w:fldCharType="begin"/>
      </w:r>
      <w:r>
        <w:instrText xml:space="preserve"> PAGEREF _Toc18544 </w:instrText>
      </w:r>
      <w:r>
        <w:fldChar w:fldCharType="separate"/>
      </w:r>
      <w:r>
        <w:t>73</w:t>
      </w:r>
      <w:r>
        <w:fldChar w:fldCharType="end"/>
      </w:r>
      <w:r>
        <w:rPr>
          <w:rFonts w:hint="eastAsia" w:ascii="宋体" w:hAnsi="宋体" w:eastAsia="宋体" w:cs="宋体"/>
        </w:rPr>
        <w:fldChar w:fldCharType="end"/>
      </w:r>
    </w:p>
    <w:p>
      <w:pPr>
        <w:pStyle w:val="12"/>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_Toc9840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lang w:val="en-US"/>
        </w:rPr>
        <w:t>1</w:t>
      </w:r>
      <w:r>
        <w:rPr>
          <w:rFonts w:hint="eastAsia" w:ascii="宋体" w:hAnsi="宋体" w:eastAsia="宋体" w:cs="宋体"/>
        </w:rPr>
        <w:t xml:space="preserve"> 安全检查表</w:t>
      </w:r>
      <w:r>
        <w:tab/>
      </w:r>
      <w:r>
        <w:fldChar w:fldCharType="begin"/>
      </w:r>
      <w:r>
        <w:instrText xml:space="preserve"> PAGEREF _Toc9840 </w:instrText>
      </w:r>
      <w:r>
        <w:fldChar w:fldCharType="separate"/>
      </w:r>
      <w:r>
        <w:t>73</w:t>
      </w:r>
      <w:r>
        <w:fldChar w:fldCharType="end"/>
      </w:r>
      <w:r>
        <w:rPr>
          <w:rFonts w:hint="eastAsia" w:ascii="宋体" w:hAnsi="宋体" w:eastAsia="宋体" w:cs="宋体"/>
        </w:rPr>
        <w:fldChar w:fldCharType="end"/>
      </w:r>
    </w:p>
    <w:p>
      <w:pPr>
        <w:pStyle w:val="12"/>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_Toc1927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lang w:val="en-US"/>
        </w:rPr>
        <w:t>2</w:t>
      </w:r>
      <w:r>
        <w:rPr>
          <w:rFonts w:hint="eastAsia" w:ascii="宋体" w:hAnsi="宋体" w:eastAsia="宋体" w:cs="宋体"/>
        </w:rPr>
        <w:t xml:space="preserve"> 道化学火灾、爆炸危险指数评价</w:t>
      </w:r>
      <w:r>
        <w:tab/>
      </w:r>
      <w:r>
        <w:fldChar w:fldCharType="begin"/>
      </w:r>
      <w:r>
        <w:instrText xml:space="preserve"> PAGEREF _Toc1927 </w:instrText>
      </w:r>
      <w:r>
        <w:fldChar w:fldCharType="separate"/>
      </w:r>
      <w:r>
        <w:t>74</w:t>
      </w:r>
      <w:r>
        <w:fldChar w:fldCharType="end"/>
      </w:r>
      <w:r>
        <w:rPr>
          <w:rFonts w:hint="eastAsia" w:ascii="宋体" w:hAnsi="宋体" w:eastAsia="宋体" w:cs="宋体"/>
        </w:rPr>
        <w:fldChar w:fldCharType="end"/>
      </w:r>
    </w:p>
    <w:p>
      <w:pPr>
        <w:pStyle w:val="10"/>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_Toc12526 </w:instrText>
      </w:r>
      <w:r>
        <w:rPr>
          <w:rFonts w:hint="eastAsia" w:ascii="宋体" w:hAnsi="宋体" w:eastAsia="宋体" w:cs="宋体"/>
        </w:rPr>
        <w:fldChar w:fldCharType="separate"/>
      </w:r>
      <w:r>
        <w:rPr>
          <w:rFonts w:hint="eastAsia" w:ascii="宋体" w:hAnsi="宋体" w:eastAsia="宋体" w:cs="宋体"/>
        </w:rPr>
        <w:t>附件3</w:t>
      </w:r>
      <w:r>
        <w:rPr>
          <w:rFonts w:hint="eastAsia" w:ascii="宋体" w:hAnsi="宋体" w:eastAsia="宋体" w:cs="宋体"/>
          <w:spacing w:val="78"/>
        </w:rPr>
        <w:t xml:space="preserve"> </w:t>
      </w:r>
      <w:r>
        <w:rPr>
          <w:rFonts w:hint="eastAsia" w:ascii="宋体" w:hAnsi="宋体" w:eastAsia="宋体" w:cs="宋体"/>
        </w:rPr>
        <w:t>危险、有害因素辨识与分析过程</w:t>
      </w:r>
      <w:r>
        <w:tab/>
      </w:r>
      <w:r>
        <w:fldChar w:fldCharType="begin"/>
      </w:r>
      <w:r>
        <w:instrText xml:space="preserve"> PAGEREF _Toc12526 </w:instrText>
      </w:r>
      <w:r>
        <w:fldChar w:fldCharType="separate"/>
      </w:r>
      <w:r>
        <w:t>76</w:t>
      </w:r>
      <w:r>
        <w:fldChar w:fldCharType="end"/>
      </w:r>
      <w:r>
        <w:rPr>
          <w:rFonts w:hint="eastAsia" w:ascii="宋体" w:hAnsi="宋体" w:eastAsia="宋体" w:cs="宋体"/>
        </w:rPr>
        <w:fldChar w:fldCharType="end"/>
      </w:r>
    </w:p>
    <w:p>
      <w:pPr>
        <w:pStyle w:val="12"/>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_Toc21732 </w:instrText>
      </w:r>
      <w:r>
        <w:rPr>
          <w:rFonts w:hint="eastAsia" w:ascii="宋体" w:hAnsi="宋体" w:eastAsia="宋体" w:cs="宋体"/>
        </w:rPr>
        <w:fldChar w:fldCharType="separate"/>
      </w:r>
      <w:r>
        <w:rPr>
          <w:rFonts w:hint="eastAsia" w:ascii="宋体" w:hAnsi="宋体" w:eastAsia="宋体" w:cs="宋体"/>
          <w:bCs/>
        </w:rPr>
        <w:t>3.1 危险、有害因素辨识与分析</w:t>
      </w:r>
      <w:r>
        <w:tab/>
      </w:r>
      <w:r>
        <w:fldChar w:fldCharType="begin"/>
      </w:r>
      <w:r>
        <w:instrText xml:space="preserve"> PAGEREF _Toc21732 </w:instrText>
      </w:r>
      <w:r>
        <w:fldChar w:fldCharType="separate"/>
      </w:r>
      <w:r>
        <w:t>76</w:t>
      </w:r>
      <w:r>
        <w:fldChar w:fldCharType="end"/>
      </w:r>
      <w:r>
        <w:rPr>
          <w:rFonts w:hint="eastAsia" w:ascii="宋体" w:hAnsi="宋体" w:eastAsia="宋体" w:cs="宋体"/>
        </w:rPr>
        <w:fldChar w:fldCharType="end"/>
      </w:r>
    </w:p>
    <w:p>
      <w:pPr>
        <w:pStyle w:val="12"/>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_Toc13805 </w:instrText>
      </w:r>
      <w:r>
        <w:rPr>
          <w:rFonts w:hint="eastAsia" w:ascii="宋体" w:hAnsi="宋体" w:eastAsia="宋体" w:cs="宋体"/>
        </w:rPr>
        <w:fldChar w:fldCharType="separate"/>
      </w:r>
      <w:r>
        <w:rPr>
          <w:rFonts w:hint="eastAsia" w:ascii="宋体" w:hAnsi="宋体" w:eastAsia="宋体" w:cs="宋体"/>
          <w:bCs/>
          <w:lang w:val="en-US"/>
        </w:rPr>
        <w:t xml:space="preserve">3.2 </w:t>
      </w:r>
      <w:r>
        <w:rPr>
          <w:rFonts w:hint="eastAsia" w:ascii="宋体" w:hAnsi="宋体" w:eastAsia="宋体" w:cs="宋体"/>
          <w:bCs/>
        </w:rPr>
        <w:t>危险化学品辨识</w:t>
      </w:r>
      <w:r>
        <w:tab/>
      </w:r>
      <w:r>
        <w:fldChar w:fldCharType="begin"/>
      </w:r>
      <w:r>
        <w:instrText xml:space="preserve"> PAGEREF _Toc13805 </w:instrText>
      </w:r>
      <w:r>
        <w:fldChar w:fldCharType="separate"/>
      </w:r>
      <w:r>
        <w:t>86</w:t>
      </w:r>
      <w:r>
        <w:fldChar w:fldCharType="end"/>
      </w:r>
      <w:r>
        <w:rPr>
          <w:rFonts w:hint="eastAsia" w:ascii="宋体" w:hAnsi="宋体" w:eastAsia="宋体" w:cs="宋体"/>
        </w:rPr>
        <w:fldChar w:fldCharType="end"/>
      </w:r>
    </w:p>
    <w:p>
      <w:pPr>
        <w:pStyle w:val="12"/>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_Toc25541 </w:instrText>
      </w:r>
      <w:r>
        <w:rPr>
          <w:rFonts w:hint="eastAsia" w:ascii="宋体" w:hAnsi="宋体" w:eastAsia="宋体" w:cs="宋体"/>
        </w:rPr>
        <w:fldChar w:fldCharType="separate"/>
      </w:r>
      <w:r>
        <w:rPr>
          <w:rFonts w:hint="eastAsia" w:ascii="宋体" w:hAnsi="宋体" w:eastAsia="宋体" w:cs="宋体"/>
          <w:bCs/>
          <w:lang w:val="en-US"/>
        </w:rPr>
        <w:t>3.3 特种设备辨识</w:t>
      </w:r>
      <w:r>
        <w:tab/>
      </w:r>
      <w:r>
        <w:fldChar w:fldCharType="begin"/>
      </w:r>
      <w:r>
        <w:instrText xml:space="preserve"> PAGEREF _Toc25541 </w:instrText>
      </w:r>
      <w:r>
        <w:fldChar w:fldCharType="separate"/>
      </w:r>
      <w:r>
        <w:t>87</w:t>
      </w:r>
      <w:r>
        <w:fldChar w:fldCharType="end"/>
      </w:r>
      <w:r>
        <w:rPr>
          <w:rFonts w:hint="eastAsia" w:ascii="宋体" w:hAnsi="宋体" w:eastAsia="宋体" w:cs="宋体"/>
        </w:rPr>
        <w:fldChar w:fldCharType="end"/>
      </w:r>
    </w:p>
    <w:p>
      <w:pPr>
        <w:pStyle w:val="12"/>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_Toc86 </w:instrText>
      </w:r>
      <w:r>
        <w:rPr>
          <w:rFonts w:hint="eastAsia" w:ascii="宋体" w:hAnsi="宋体" w:eastAsia="宋体" w:cs="宋体"/>
        </w:rPr>
        <w:fldChar w:fldCharType="separate"/>
      </w:r>
      <w:r>
        <w:rPr>
          <w:rFonts w:hint="eastAsia" w:ascii="宋体" w:hAnsi="宋体" w:eastAsia="宋体" w:cs="宋体"/>
          <w:bCs/>
          <w:lang w:val="en-US"/>
        </w:rPr>
        <w:t xml:space="preserve">3.4 </w:t>
      </w:r>
      <w:r>
        <w:rPr>
          <w:rFonts w:hint="eastAsia" w:ascii="宋体" w:hAnsi="宋体" w:eastAsia="宋体" w:cs="宋体"/>
          <w:bCs/>
        </w:rPr>
        <w:t>国家明令淘汰的产品和危险工艺辨识</w:t>
      </w:r>
      <w:r>
        <w:tab/>
      </w:r>
      <w:r>
        <w:fldChar w:fldCharType="begin"/>
      </w:r>
      <w:r>
        <w:instrText xml:space="preserve"> PAGEREF _Toc86 </w:instrText>
      </w:r>
      <w:r>
        <w:fldChar w:fldCharType="separate"/>
      </w:r>
      <w:r>
        <w:t>87</w:t>
      </w:r>
      <w:r>
        <w:fldChar w:fldCharType="end"/>
      </w:r>
      <w:r>
        <w:rPr>
          <w:rFonts w:hint="eastAsia" w:ascii="宋体" w:hAnsi="宋体" w:eastAsia="宋体" w:cs="宋体"/>
        </w:rPr>
        <w:fldChar w:fldCharType="end"/>
      </w:r>
    </w:p>
    <w:p>
      <w:pPr>
        <w:pStyle w:val="12"/>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_Toc11649 </w:instrText>
      </w:r>
      <w:r>
        <w:rPr>
          <w:rFonts w:hint="eastAsia" w:ascii="宋体" w:hAnsi="宋体" w:eastAsia="宋体" w:cs="宋体"/>
        </w:rPr>
        <w:fldChar w:fldCharType="separate"/>
      </w:r>
      <w:r>
        <w:rPr>
          <w:rFonts w:hint="eastAsia" w:ascii="宋体" w:hAnsi="宋体" w:eastAsia="宋体" w:cs="宋体"/>
          <w:bCs/>
          <w:lang w:val="en-US"/>
        </w:rPr>
        <w:t>3.5 危险化学品重大危险源辨识</w:t>
      </w:r>
      <w:r>
        <w:tab/>
      </w:r>
      <w:r>
        <w:fldChar w:fldCharType="begin"/>
      </w:r>
      <w:r>
        <w:instrText xml:space="preserve"> PAGEREF _Toc11649 </w:instrText>
      </w:r>
      <w:r>
        <w:fldChar w:fldCharType="separate"/>
      </w:r>
      <w:r>
        <w:t>87</w:t>
      </w:r>
      <w:r>
        <w:fldChar w:fldCharType="end"/>
      </w:r>
      <w:r>
        <w:rPr>
          <w:rFonts w:hint="eastAsia" w:ascii="宋体" w:hAnsi="宋体" w:eastAsia="宋体" w:cs="宋体"/>
        </w:rPr>
        <w:fldChar w:fldCharType="end"/>
      </w:r>
    </w:p>
    <w:p>
      <w:pPr>
        <w:pStyle w:val="12"/>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_Toc32218 </w:instrText>
      </w:r>
      <w:r>
        <w:rPr>
          <w:rFonts w:hint="eastAsia" w:ascii="宋体" w:hAnsi="宋体" w:eastAsia="宋体" w:cs="宋体"/>
        </w:rPr>
        <w:fldChar w:fldCharType="separate"/>
      </w:r>
      <w:r>
        <w:rPr>
          <w:rFonts w:hint="eastAsia" w:ascii="宋体" w:hAnsi="宋体" w:eastAsia="宋体" w:cs="宋体"/>
        </w:rPr>
        <w:t>3.</w:t>
      </w:r>
      <w:r>
        <w:rPr>
          <w:rFonts w:hint="eastAsia" w:ascii="宋体" w:hAnsi="宋体" w:eastAsia="宋体" w:cs="宋体"/>
          <w:lang w:val="en-US"/>
        </w:rPr>
        <w:t>6</w:t>
      </w:r>
      <w:r>
        <w:rPr>
          <w:rFonts w:hint="eastAsia" w:ascii="宋体" w:hAnsi="宋体" w:eastAsia="宋体" w:cs="宋体"/>
        </w:rPr>
        <w:t xml:space="preserve"> 固有危险程度分析过程</w:t>
      </w:r>
      <w:r>
        <w:tab/>
      </w:r>
      <w:r>
        <w:fldChar w:fldCharType="begin"/>
      </w:r>
      <w:r>
        <w:instrText xml:space="preserve"> PAGEREF _Toc32218 </w:instrText>
      </w:r>
      <w:r>
        <w:fldChar w:fldCharType="separate"/>
      </w:r>
      <w:r>
        <w:t>89</w:t>
      </w:r>
      <w:r>
        <w:fldChar w:fldCharType="end"/>
      </w:r>
      <w:r>
        <w:rPr>
          <w:rFonts w:hint="eastAsia" w:ascii="宋体" w:hAnsi="宋体" w:eastAsia="宋体" w:cs="宋体"/>
        </w:rPr>
        <w:fldChar w:fldCharType="end"/>
      </w:r>
    </w:p>
    <w:p>
      <w:pPr>
        <w:pStyle w:val="12"/>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_Toc9207 </w:instrText>
      </w:r>
      <w:r>
        <w:rPr>
          <w:rFonts w:hint="eastAsia" w:ascii="宋体" w:hAnsi="宋体" w:eastAsia="宋体" w:cs="宋体"/>
        </w:rPr>
        <w:fldChar w:fldCharType="separate"/>
      </w:r>
      <w:r>
        <w:rPr>
          <w:rFonts w:hint="eastAsia" w:ascii="宋体" w:hAnsi="宋体" w:eastAsia="宋体" w:cs="宋体"/>
          <w:szCs w:val="32"/>
        </w:rPr>
        <w:t>3.</w:t>
      </w:r>
      <w:r>
        <w:rPr>
          <w:rFonts w:hint="eastAsia" w:ascii="宋体" w:hAnsi="宋体" w:eastAsia="宋体" w:cs="宋体"/>
          <w:szCs w:val="32"/>
          <w:lang w:val="en-US"/>
        </w:rPr>
        <w:t>7</w:t>
      </w:r>
      <w:r>
        <w:rPr>
          <w:rFonts w:hint="eastAsia" w:ascii="宋体" w:hAnsi="宋体" w:eastAsia="宋体" w:cs="宋体"/>
          <w:szCs w:val="32"/>
        </w:rPr>
        <w:t xml:space="preserve"> 事故案例分析</w:t>
      </w:r>
      <w:r>
        <w:tab/>
      </w:r>
      <w:r>
        <w:fldChar w:fldCharType="begin"/>
      </w:r>
      <w:r>
        <w:instrText xml:space="preserve"> PAGEREF _Toc9207 </w:instrText>
      </w:r>
      <w:r>
        <w:fldChar w:fldCharType="separate"/>
      </w:r>
      <w:r>
        <w:t>90</w:t>
      </w:r>
      <w:r>
        <w:fldChar w:fldCharType="end"/>
      </w:r>
      <w:r>
        <w:rPr>
          <w:rFonts w:hint="eastAsia" w:ascii="宋体" w:hAnsi="宋体" w:eastAsia="宋体" w:cs="宋体"/>
        </w:rPr>
        <w:fldChar w:fldCharType="end"/>
      </w:r>
    </w:p>
    <w:p>
      <w:pPr>
        <w:pStyle w:val="10"/>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_Toc20501 </w:instrText>
      </w:r>
      <w:r>
        <w:rPr>
          <w:rFonts w:hint="eastAsia" w:ascii="宋体" w:hAnsi="宋体" w:eastAsia="宋体" w:cs="宋体"/>
        </w:rPr>
        <w:fldChar w:fldCharType="separate"/>
      </w:r>
      <w:r>
        <w:rPr>
          <w:rFonts w:hint="eastAsia" w:ascii="宋体" w:hAnsi="宋体" w:eastAsia="宋体" w:cs="宋体"/>
          <w:szCs w:val="32"/>
        </w:rPr>
        <w:t>附件</w:t>
      </w:r>
      <w:r>
        <w:rPr>
          <w:rFonts w:hint="eastAsia" w:ascii="宋体" w:hAnsi="宋体" w:eastAsia="宋体" w:cs="宋体"/>
          <w:szCs w:val="32"/>
          <w:lang w:val="en-US"/>
        </w:rPr>
        <w:t>4</w:t>
      </w:r>
      <w:r>
        <w:rPr>
          <w:rFonts w:hint="eastAsia" w:ascii="宋体" w:hAnsi="宋体" w:eastAsia="宋体" w:cs="宋体"/>
          <w:szCs w:val="32"/>
        </w:rPr>
        <w:t xml:space="preserve"> 安全条件和安全生产条件的分析过程</w:t>
      </w:r>
      <w:r>
        <w:tab/>
      </w:r>
      <w:r>
        <w:fldChar w:fldCharType="begin"/>
      </w:r>
      <w:r>
        <w:instrText xml:space="preserve"> PAGEREF _Toc20501 </w:instrText>
      </w:r>
      <w:r>
        <w:fldChar w:fldCharType="separate"/>
      </w:r>
      <w:r>
        <w:t>94</w:t>
      </w:r>
      <w:r>
        <w:fldChar w:fldCharType="end"/>
      </w:r>
      <w:r>
        <w:rPr>
          <w:rFonts w:hint="eastAsia" w:ascii="宋体" w:hAnsi="宋体" w:eastAsia="宋体" w:cs="宋体"/>
        </w:rPr>
        <w:fldChar w:fldCharType="end"/>
      </w:r>
    </w:p>
    <w:p>
      <w:pPr>
        <w:pStyle w:val="12"/>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_Toc1157 </w:instrText>
      </w:r>
      <w:r>
        <w:rPr>
          <w:rFonts w:hint="eastAsia" w:ascii="宋体" w:hAnsi="宋体" w:eastAsia="宋体" w:cs="宋体"/>
        </w:rPr>
        <w:fldChar w:fldCharType="separate"/>
      </w:r>
      <w:r>
        <w:rPr>
          <w:rFonts w:hint="eastAsia" w:ascii="宋体" w:hAnsi="宋体" w:eastAsia="宋体" w:cs="宋体"/>
          <w:szCs w:val="32"/>
        </w:rPr>
        <w:t>4.1 加油站站址分析评价</w:t>
      </w:r>
      <w:r>
        <w:tab/>
      </w:r>
      <w:r>
        <w:fldChar w:fldCharType="begin"/>
      </w:r>
      <w:r>
        <w:instrText xml:space="preserve"> PAGEREF _Toc1157 </w:instrText>
      </w:r>
      <w:r>
        <w:fldChar w:fldCharType="separate"/>
      </w:r>
      <w:r>
        <w:t>94</w:t>
      </w:r>
      <w:r>
        <w:fldChar w:fldCharType="end"/>
      </w:r>
      <w:r>
        <w:rPr>
          <w:rFonts w:hint="eastAsia" w:ascii="宋体" w:hAnsi="宋体" w:eastAsia="宋体" w:cs="宋体"/>
        </w:rPr>
        <w:fldChar w:fldCharType="end"/>
      </w:r>
    </w:p>
    <w:p>
      <w:pPr>
        <w:pStyle w:val="12"/>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_Toc16455 </w:instrText>
      </w:r>
      <w:r>
        <w:rPr>
          <w:rFonts w:hint="eastAsia" w:ascii="宋体" w:hAnsi="宋体" w:eastAsia="宋体" w:cs="宋体"/>
        </w:rPr>
        <w:fldChar w:fldCharType="separate"/>
      </w:r>
      <w:r>
        <w:rPr>
          <w:rFonts w:hint="eastAsia" w:ascii="宋体" w:hAnsi="宋体" w:eastAsia="宋体" w:cs="宋体"/>
          <w:szCs w:val="32"/>
        </w:rPr>
        <w:t>4.2</w:t>
      </w:r>
      <w:r>
        <w:rPr>
          <w:rFonts w:hint="eastAsia" w:ascii="宋体" w:hAnsi="宋体" w:eastAsia="宋体" w:cs="宋体"/>
          <w:szCs w:val="32"/>
          <w:lang w:val="en-US"/>
        </w:rPr>
        <w:t xml:space="preserve"> </w:t>
      </w:r>
      <w:r>
        <w:rPr>
          <w:rFonts w:hint="eastAsia" w:ascii="宋体" w:hAnsi="宋体" w:eastAsia="宋体" w:cs="宋体"/>
          <w:szCs w:val="32"/>
        </w:rPr>
        <w:t>总平面布置评价</w:t>
      </w:r>
      <w:r>
        <w:tab/>
      </w:r>
      <w:r>
        <w:fldChar w:fldCharType="begin"/>
      </w:r>
      <w:r>
        <w:instrText xml:space="preserve"> PAGEREF _Toc16455 </w:instrText>
      </w:r>
      <w:r>
        <w:fldChar w:fldCharType="separate"/>
      </w:r>
      <w:r>
        <w:t>95</w:t>
      </w:r>
      <w:r>
        <w:fldChar w:fldCharType="end"/>
      </w:r>
      <w:r>
        <w:rPr>
          <w:rFonts w:hint="eastAsia" w:ascii="宋体" w:hAnsi="宋体" w:eastAsia="宋体" w:cs="宋体"/>
        </w:rPr>
        <w:fldChar w:fldCharType="end"/>
      </w:r>
    </w:p>
    <w:p>
      <w:pPr>
        <w:pStyle w:val="12"/>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_Toc14204 </w:instrText>
      </w:r>
      <w:r>
        <w:rPr>
          <w:rFonts w:hint="eastAsia" w:ascii="宋体" w:hAnsi="宋体" w:eastAsia="宋体" w:cs="宋体"/>
        </w:rPr>
        <w:fldChar w:fldCharType="separate"/>
      </w:r>
      <w:r>
        <w:rPr>
          <w:rFonts w:hint="eastAsia" w:ascii="宋体" w:hAnsi="宋体" w:eastAsia="宋体" w:cs="宋体"/>
          <w:spacing w:val="6"/>
          <w:szCs w:val="32"/>
        </w:rPr>
        <w:t>4.3</w:t>
      </w:r>
      <w:r>
        <w:rPr>
          <w:rFonts w:hint="eastAsia" w:ascii="宋体" w:hAnsi="宋体" w:eastAsia="宋体" w:cs="宋体"/>
          <w:spacing w:val="6"/>
          <w:szCs w:val="32"/>
          <w:lang w:val="en-US"/>
        </w:rPr>
        <w:t xml:space="preserve"> </w:t>
      </w:r>
      <w:r>
        <w:rPr>
          <w:rFonts w:hint="eastAsia" w:ascii="宋体" w:hAnsi="宋体" w:eastAsia="宋体" w:cs="宋体"/>
          <w:spacing w:val="6"/>
          <w:szCs w:val="32"/>
        </w:rPr>
        <w:t>主要设备、设施评价</w:t>
      </w:r>
      <w:r>
        <w:tab/>
      </w:r>
      <w:r>
        <w:fldChar w:fldCharType="begin"/>
      </w:r>
      <w:r>
        <w:instrText xml:space="preserve"> PAGEREF _Toc14204 </w:instrText>
      </w:r>
      <w:r>
        <w:fldChar w:fldCharType="separate"/>
      </w:r>
      <w:r>
        <w:t>96</w:t>
      </w:r>
      <w:r>
        <w:fldChar w:fldCharType="end"/>
      </w:r>
      <w:r>
        <w:rPr>
          <w:rFonts w:hint="eastAsia" w:ascii="宋体" w:hAnsi="宋体" w:eastAsia="宋体" w:cs="宋体"/>
        </w:rPr>
        <w:fldChar w:fldCharType="end"/>
      </w:r>
    </w:p>
    <w:p>
      <w:pPr>
        <w:pStyle w:val="12"/>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_Toc29021 </w:instrText>
      </w:r>
      <w:r>
        <w:rPr>
          <w:rFonts w:hint="eastAsia" w:ascii="宋体" w:hAnsi="宋体" w:eastAsia="宋体" w:cs="宋体"/>
        </w:rPr>
        <w:fldChar w:fldCharType="separate"/>
      </w:r>
      <w:r>
        <w:rPr>
          <w:rFonts w:hint="eastAsia" w:ascii="宋体" w:hAnsi="宋体" w:eastAsia="宋体" w:cs="宋体"/>
          <w:spacing w:val="6"/>
          <w:szCs w:val="32"/>
        </w:rPr>
        <w:t>4.4</w:t>
      </w:r>
      <w:r>
        <w:rPr>
          <w:rFonts w:hint="eastAsia" w:ascii="宋体" w:hAnsi="宋体" w:eastAsia="宋体" w:cs="宋体"/>
          <w:spacing w:val="6"/>
          <w:szCs w:val="32"/>
          <w:lang w:val="en-US"/>
        </w:rPr>
        <w:t xml:space="preserve"> </w:t>
      </w:r>
      <w:r>
        <w:rPr>
          <w:rFonts w:hint="eastAsia" w:ascii="宋体" w:hAnsi="宋体" w:eastAsia="宋体" w:cs="宋体"/>
          <w:spacing w:val="6"/>
          <w:szCs w:val="32"/>
        </w:rPr>
        <w:t>公用工程评价</w:t>
      </w:r>
      <w:r>
        <w:tab/>
      </w:r>
      <w:r>
        <w:fldChar w:fldCharType="begin"/>
      </w:r>
      <w:r>
        <w:instrText xml:space="preserve"> PAGEREF _Toc29021 </w:instrText>
      </w:r>
      <w:r>
        <w:fldChar w:fldCharType="separate"/>
      </w:r>
      <w:r>
        <w:t>104</w:t>
      </w:r>
      <w:r>
        <w:fldChar w:fldCharType="end"/>
      </w:r>
      <w:r>
        <w:rPr>
          <w:rFonts w:hint="eastAsia" w:ascii="宋体" w:hAnsi="宋体" w:eastAsia="宋体" w:cs="宋体"/>
        </w:rPr>
        <w:fldChar w:fldCharType="end"/>
      </w:r>
    </w:p>
    <w:p>
      <w:pPr>
        <w:pStyle w:val="12"/>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_Toc18542 </w:instrText>
      </w:r>
      <w:r>
        <w:rPr>
          <w:rFonts w:hint="eastAsia" w:ascii="宋体" w:hAnsi="宋体" w:eastAsia="宋体" w:cs="宋体"/>
        </w:rPr>
        <w:fldChar w:fldCharType="separate"/>
      </w:r>
      <w:r>
        <w:rPr>
          <w:rFonts w:hint="eastAsia" w:ascii="宋体" w:hAnsi="宋体" w:eastAsia="宋体" w:cs="宋体"/>
          <w:spacing w:val="6"/>
          <w:szCs w:val="32"/>
        </w:rPr>
        <w:t>4.5</w:t>
      </w:r>
      <w:r>
        <w:rPr>
          <w:rFonts w:hint="eastAsia" w:ascii="宋体" w:hAnsi="宋体" w:eastAsia="宋体" w:cs="宋体"/>
          <w:spacing w:val="6"/>
          <w:szCs w:val="32"/>
          <w:lang w:val="en-US"/>
        </w:rPr>
        <w:t xml:space="preserve"> </w:t>
      </w:r>
      <w:r>
        <w:rPr>
          <w:rFonts w:hint="eastAsia" w:ascii="宋体" w:hAnsi="宋体" w:eastAsia="宋体" w:cs="宋体"/>
          <w:spacing w:val="6"/>
          <w:szCs w:val="32"/>
        </w:rPr>
        <w:t>安全管理评价</w:t>
      </w:r>
      <w:r>
        <w:tab/>
      </w:r>
      <w:r>
        <w:fldChar w:fldCharType="begin"/>
      </w:r>
      <w:r>
        <w:instrText xml:space="preserve"> PAGEREF _Toc18542 </w:instrText>
      </w:r>
      <w:r>
        <w:fldChar w:fldCharType="separate"/>
      </w:r>
      <w:r>
        <w:t>108</w:t>
      </w:r>
      <w:r>
        <w:fldChar w:fldCharType="end"/>
      </w:r>
      <w:r>
        <w:rPr>
          <w:rFonts w:hint="eastAsia" w:ascii="宋体" w:hAnsi="宋体" w:eastAsia="宋体" w:cs="宋体"/>
        </w:rPr>
        <w:fldChar w:fldCharType="end"/>
      </w:r>
    </w:p>
    <w:p>
      <w:pPr>
        <w:pStyle w:val="12"/>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_Toc19345 </w:instrText>
      </w:r>
      <w:r>
        <w:rPr>
          <w:rFonts w:hint="eastAsia" w:ascii="宋体" w:hAnsi="宋体" w:eastAsia="宋体" w:cs="宋体"/>
        </w:rPr>
        <w:fldChar w:fldCharType="separate"/>
      </w:r>
      <w:r>
        <w:rPr>
          <w:rFonts w:hint="eastAsia" w:ascii="宋体" w:hAnsi="宋体" w:eastAsia="宋体" w:cs="宋体"/>
          <w:szCs w:val="32"/>
        </w:rPr>
        <w:t>4.6 “三同时”符合性评价单元</w:t>
      </w:r>
      <w:r>
        <w:tab/>
      </w:r>
      <w:r>
        <w:fldChar w:fldCharType="begin"/>
      </w:r>
      <w:r>
        <w:instrText xml:space="preserve"> PAGEREF _Toc19345 </w:instrText>
      </w:r>
      <w:r>
        <w:fldChar w:fldCharType="separate"/>
      </w:r>
      <w:r>
        <w:t>112</w:t>
      </w:r>
      <w:r>
        <w:fldChar w:fldCharType="end"/>
      </w:r>
      <w:r>
        <w:rPr>
          <w:rFonts w:hint="eastAsia" w:ascii="宋体" w:hAnsi="宋体" w:eastAsia="宋体" w:cs="宋体"/>
        </w:rPr>
        <w:fldChar w:fldCharType="end"/>
      </w:r>
    </w:p>
    <w:p>
      <w:pPr>
        <w:pStyle w:val="12"/>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_Toc9682 </w:instrText>
      </w:r>
      <w:r>
        <w:rPr>
          <w:rFonts w:hint="eastAsia" w:ascii="宋体" w:hAnsi="宋体" w:eastAsia="宋体" w:cs="宋体"/>
        </w:rPr>
        <w:fldChar w:fldCharType="separate"/>
      </w:r>
      <w:r>
        <w:rPr>
          <w:rFonts w:hint="eastAsia" w:ascii="宋体" w:hAnsi="宋体" w:eastAsia="宋体" w:cs="宋体"/>
          <w:szCs w:val="32"/>
        </w:rPr>
        <w:t>4.7</w:t>
      </w:r>
      <w:r>
        <w:rPr>
          <w:rFonts w:hint="eastAsia" w:ascii="宋体" w:hAnsi="宋体" w:eastAsia="宋体" w:cs="宋体"/>
          <w:szCs w:val="32"/>
          <w:lang w:val="en-US"/>
        </w:rPr>
        <w:t xml:space="preserve"> </w:t>
      </w:r>
      <w:r>
        <w:rPr>
          <w:rFonts w:hint="eastAsia" w:ascii="宋体" w:hAnsi="宋体" w:eastAsia="宋体" w:cs="宋体"/>
          <w:szCs w:val="32"/>
        </w:rPr>
        <w:t>重大生产安全事故隐患分析</w:t>
      </w:r>
      <w:r>
        <w:tab/>
      </w:r>
      <w:r>
        <w:fldChar w:fldCharType="begin"/>
      </w:r>
      <w:r>
        <w:instrText xml:space="preserve"> PAGEREF _Toc9682 </w:instrText>
      </w:r>
      <w:r>
        <w:fldChar w:fldCharType="separate"/>
      </w:r>
      <w:r>
        <w:t>115</w:t>
      </w:r>
      <w:r>
        <w:fldChar w:fldCharType="end"/>
      </w:r>
      <w:r>
        <w:rPr>
          <w:rFonts w:hint="eastAsia" w:ascii="宋体" w:hAnsi="宋体" w:eastAsia="宋体" w:cs="宋体"/>
        </w:rPr>
        <w:fldChar w:fldCharType="end"/>
      </w:r>
    </w:p>
    <w:p>
      <w:pPr>
        <w:pStyle w:val="12"/>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_Toc13827 </w:instrText>
      </w:r>
      <w:r>
        <w:rPr>
          <w:rFonts w:hint="eastAsia" w:ascii="宋体" w:hAnsi="宋体" w:eastAsia="宋体" w:cs="宋体"/>
        </w:rPr>
        <w:fldChar w:fldCharType="separate"/>
      </w:r>
      <w:r>
        <w:rPr>
          <w:rFonts w:hint="eastAsia" w:ascii="宋体" w:hAnsi="宋体" w:eastAsia="宋体" w:cs="宋体"/>
          <w:szCs w:val="32"/>
        </w:rPr>
        <w:t>4.8</w:t>
      </w:r>
      <w:r>
        <w:rPr>
          <w:rFonts w:hint="eastAsia" w:ascii="宋体" w:hAnsi="宋体" w:eastAsia="宋体" w:cs="宋体"/>
          <w:szCs w:val="32"/>
          <w:lang w:val="en-US"/>
        </w:rPr>
        <w:t xml:space="preserve"> </w:t>
      </w:r>
      <w:r>
        <w:rPr>
          <w:rFonts w:hint="eastAsia" w:ascii="宋体" w:hAnsi="宋体" w:eastAsia="宋体" w:cs="宋体"/>
          <w:szCs w:val="32"/>
        </w:rPr>
        <w:t>风险点危险源评价</w:t>
      </w:r>
      <w:r>
        <w:tab/>
      </w:r>
      <w:r>
        <w:fldChar w:fldCharType="begin"/>
      </w:r>
      <w:r>
        <w:instrText xml:space="preserve"> PAGEREF _Toc13827 </w:instrText>
      </w:r>
      <w:r>
        <w:fldChar w:fldCharType="separate"/>
      </w:r>
      <w:r>
        <w:t>117</w:t>
      </w:r>
      <w:r>
        <w:fldChar w:fldCharType="end"/>
      </w:r>
      <w:r>
        <w:rPr>
          <w:rFonts w:hint="eastAsia" w:ascii="宋体" w:hAnsi="宋体" w:eastAsia="宋体" w:cs="宋体"/>
        </w:rPr>
        <w:fldChar w:fldCharType="end"/>
      </w:r>
    </w:p>
    <w:p>
      <w:pPr>
        <w:pStyle w:val="12"/>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_Toc2760 </w:instrText>
      </w:r>
      <w:r>
        <w:rPr>
          <w:rFonts w:hint="eastAsia" w:ascii="宋体" w:hAnsi="宋体" w:eastAsia="宋体" w:cs="宋体"/>
        </w:rPr>
        <w:fldChar w:fldCharType="separate"/>
      </w:r>
      <w:r>
        <w:rPr>
          <w:rFonts w:hint="eastAsia" w:ascii="宋体" w:hAnsi="宋体" w:eastAsia="宋体" w:cs="宋体"/>
          <w:szCs w:val="32"/>
          <w:lang w:val="en-US"/>
        </w:rPr>
        <w:t xml:space="preserve">4.9 </w:t>
      </w:r>
      <w:r>
        <w:rPr>
          <w:rFonts w:hint="eastAsia" w:ascii="宋体" w:hAnsi="宋体" w:eastAsia="宋体" w:cs="宋体"/>
          <w:szCs w:val="32"/>
        </w:rPr>
        <w:t>道化学公司火灾，爆炸危险指数法定量分析过程</w:t>
      </w:r>
      <w:r>
        <w:tab/>
      </w:r>
      <w:r>
        <w:fldChar w:fldCharType="begin"/>
      </w:r>
      <w:r>
        <w:instrText xml:space="preserve"> PAGEREF _Toc2760 </w:instrText>
      </w:r>
      <w:r>
        <w:fldChar w:fldCharType="separate"/>
      </w:r>
      <w:r>
        <w:t>117</w:t>
      </w:r>
      <w:r>
        <w:fldChar w:fldCharType="end"/>
      </w:r>
      <w:r>
        <w:rPr>
          <w:rFonts w:hint="eastAsia" w:ascii="宋体" w:hAnsi="宋体" w:eastAsia="宋体" w:cs="宋体"/>
        </w:rPr>
        <w:fldChar w:fldCharType="end"/>
      </w:r>
    </w:p>
    <w:p>
      <w:pPr>
        <w:pStyle w:val="10"/>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_Toc5602 </w:instrText>
      </w:r>
      <w:r>
        <w:rPr>
          <w:rFonts w:hint="eastAsia" w:ascii="宋体" w:hAnsi="宋体" w:eastAsia="宋体" w:cs="宋体"/>
        </w:rPr>
        <w:fldChar w:fldCharType="separate"/>
      </w:r>
      <w:r>
        <w:rPr>
          <w:rFonts w:hint="eastAsia" w:ascii="宋体" w:hAnsi="宋体" w:eastAsia="宋体" w:cs="宋体"/>
          <w:szCs w:val="32"/>
        </w:rPr>
        <w:t>附件</w:t>
      </w:r>
      <w:r>
        <w:rPr>
          <w:rFonts w:hint="eastAsia" w:ascii="宋体" w:hAnsi="宋体" w:eastAsia="宋体" w:cs="宋体"/>
          <w:szCs w:val="32"/>
          <w:lang w:val="en-US"/>
        </w:rPr>
        <w:t>5</w:t>
      </w:r>
      <w:r>
        <w:rPr>
          <w:rFonts w:hint="eastAsia" w:ascii="宋体" w:hAnsi="宋体" w:eastAsia="宋体" w:cs="宋体"/>
          <w:szCs w:val="32"/>
        </w:rPr>
        <w:t xml:space="preserve"> 安全评价依据目录</w:t>
      </w:r>
      <w:r>
        <w:tab/>
      </w:r>
      <w:r>
        <w:fldChar w:fldCharType="begin"/>
      </w:r>
      <w:r>
        <w:instrText xml:space="preserve"> PAGEREF _Toc5602 </w:instrText>
      </w:r>
      <w:r>
        <w:fldChar w:fldCharType="separate"/>
      </w:r>
      <w:r>
        <w:t>125</w:t>
      </w:r>
      <w:r>
        <w:fldChar w:fldCharType="end"/>
      </w:r>
      <w:r>
        <w:rPr>
          <w:rFonts w:hint="eastAsia" w:ascii="宋体" w:hAnsi="宋体" w:eastAsia="宋体" w:cs="宋体"/>
        </w:rPr>
        <w:fldChar w:fldCharType="end"/>
      </w:r>
    </w:p>
    <w:p>
      <w:pPr>
        <w:pStyle w:val="10"/>
        <w:tabs>
          <w:tab w:val="right" w:leader="dot" w:pos="9189"/>
        </w:tabs>
      </w:pPr>
      <w:r>
        <w:rPr>
          <w:rFonts w:hint="eastAsia" w:ascii="宋体" w:hAnsi="宋体" w:eastAsia="宋体" w:cs="宋体"/>
        </w:rPr>
        <w:fldChar w:fldCharType="begin"/>
      </w:r>
      <w:r>
        <w:rPr>
          <w:rFonts w:hint="eastAsia" w:ascii="宋体" w:hAnsi="宋体" w:eastAsia="宋体" w:cs="宋体"/>
        </w:rPr>
        <w:instrText xml:space="preserve"> HYPERLINK \l _Toc19464 </w:instrText>
      </w:r>
      <w:r>
        <w:rPr>
          <w:rFonts w:hint="eastAsia" w:ascii="宋体" w:hAnsi="宋体" w:eastAsia="宋体" w:cs="宋体"/>
        </w:rPr>
        <w:fldChar w:fldCharType="separate"/>
      </w:r>
      <w:r>
        <w:rPr>
          <w:rFonts w:hint="eastAsia" w:ascii="宋体" w:hAnsi="宋体" w:eastAsia="宋体" w:cs="宋体"/>
        </w:rPr>
        <w:t>附</w:t>
      </w:r>
      <w:r>
        <w:rPr>
          <w:rFonts w:hint="eastAsia" w:ascii="宋体" w:hAnsi="宋体" w:eastAsia="宋体" w:cs="宋体"/>
          <w:lang w:val="en-US"/>
        </w:rPr>
        <w:t xml:space="preserve">  </w:t>
      </w:r>
      <w:r>
        <w:rPr>
          <w:rFonts w:hint="eastAsia" w:ascii="宋体" w:hAnsi="宋体" w:eastAsia="宋体" w:cs="宋体"/>
        </w:rPr>
        <w:t>录</w:t>
      </w:r>
      <w:r>
        <w:tab/>
      </w:r>
      <w:r>
        <w:fldChar w:fldCharType="begin"/>
      </w:r>
      <w:r>
        <w:instrText xml:space="preserve"> PAGEREF _Toc19464 </w:instrText>
      </w:r>
      <w:r>
        <w:fldChar w:fldCharType="separate"/>
      </w:r>
      <w:r>
        <w:t>129</w:t>
      </w:r>
      <w:r>
        <w:fldChar w:fldCharType="end"/>
      </w:r>
      <w:r>
        <w:rPr>
          <w:rFonts w:hint="eastAsia" w:ascii="宋体" w:hAnsi="宋体" w:eastAsia="宋体" w:cs="宋体"/>
        </w:rPr>
        <w:fldChar w:fldCharType="end"/>
      </w:r>
    </w:p>
    <w:p>
      <w:pPr>
        <w:tabs>
          <w:tab w:val="right" w:leader="dot" w:pos="9189"/>
        </w:tabs>
        <w:jc w:val="center"/>
        <w:rPr>
          <w:rFonts w:hint="eastAsia" w:ascii="宋体" w:hAnsi="宋体" w:eastAsia="宋体" w:cs="宋体"/>
        </w:rPr>
        <w:sectPr>
          <w:pgSz w:w="11910" w:h="16840"/>
          <w:pgMar w:top="1417" w:right="1134" w:bottom="1134" w:left="1587" w:header="720" w:footer="720" w:gutter="0"/>
          <w:pgNumType w:fmt="decimal" w:start="1"/>
          <w:cols w:space="0" w:num="1"/>
        </w:sectPr>
      </w:pPr>
      <w:r>
        <w:rPr>
          <w:rFonts w:hint="eastAsia" w:ascii="宋体" w:hAnsi="宋体" w:eastAsia="宋体" w:cs="宋体"/>
        </w:rPr>
        <w:fldChar w:fldCharType="end"/>
      </w:r>
      <w:bookmarkStart w:id="6" w:name="_Toc25368"/>
      <w:bookmarkStart w:id="7" w:name="_Toc9910"/>
      <w:bookmarkStart w:id="8" w:name="_Toc5779"/>
    </w:p>
    <w:p>
      <w:pPr>
        <w:pStyle w:val="12"/>
        <w:tabs>
          <w:tab w:val="right" w:leader="dot" w:pos="9189"/>
        </w:tabs>
        <w:jc w:val="center"/>
        <w:rPr>
          <w:rFonts w:hint="eastAsia" w:ascii="宋体" w:hAnsi="宋体" w:eastAsia="宋体" w:cs="宋体"/>
          <w:b/>
          <w:bCs/>
          <w:sz w:val="32"/>
          <w:szCs w:val="32"/>
        </w:rPr>
      </w:pPr>
      <w:r>
        <w:rPr>
          <w:rFonts w:hint="eastAsia" w:ascii="宋体" w:hAnsi="宋体" w:eastAsia="宋体" w:cs="宋体"/>
          <w:b/>
          <w:bCs/>
          <w:sz w:val="32"/>
          <w:szCs w:val="32"/>
        </w:rPr>
        <w:t>非常用的术语、符号和代号说明</w:t>
      </w:r>
      <w:bookmarkEnd w:id="1"/>
      <w:bookmarkEnd w:id="2"/>
      <w:bookmarkEnd w:id="3"/>
      <w:bookmarkEnd w:id="4"/>
      <w:bookmarkEnd w:id="6"/>
      <w:bookmarkEnd w:id="7"/>
      <w:bookmarkEnd w:id="8"/>
    </w:p>
    <w:p>
      <w:pPr>
        <w:pStyle w:val="6"/>
        <w:spacing w:before="10"/>
        <w:rPr>
          <w:rFonts w:hint="eastAsia" w:ascii="宋体" w:hAnsi="宋体" w:eastAsia="宋体" w:cs="宋体"/>
          <w:sz w:val="30"/>
        </w:rPr>
      </w:pPr>
    </w:p>
    <w:p>
      <w:pPr>
        <w:keepNext w:val="0"/>
        <w:keepLines w:val="0"/>
        <w:pageBreakBefore w:val="0"/>
        <w:widowControl w:val="0"/>
        <w:kinsoku/>
        <w:wordWrap/>
        <w:overflowPunct/>
        <w:topLinePunct w:val="0"/>
        <w:autoSpaceDE w:val="0"/>
        <w:autoSpaceDN w:val="0"/>
        <w:bidi w:val="0"/>
        <w:adjustRightInd/>
        <w:snapToGrid/>
        <w:spacing w:line="560" w:lineRule="exact"/>
        <w:ind w:firstLine="720"/>
        <w:textAlignment w:val="auto"/>
        <w:rPr>
          <w:rFonts w:hint="eastAsia" w:ascii="宋体" w:hAnsi="宋体" w:eastAsia="宋体" w:cs="宋体"/>
          <w:b/>
          <w:sz w:val="28"/>
          <w:szCs w:val="28"/>
        </w:rPr>
      </w:pPr>
      <w:bookmarkStart w:id="9" w:name="_Toc56_WPSOffice_Level1"/>
      <w:bookmarkStart w:id="10" w:name="_Toc31208_WPSOffice_Level1"/>
      <w:bookmarkStart w:id="11" w:name="_Toc12199_WPSOffice_Level1"/>
      <w:bookmarkStart w:id="12" w:name="_Toc4880_WPSOffice_Level1"/>
      <w:bookmarkStart w:id="13" w:name="_Toc24714_WPSOffice_Level1"/>
      <w:bookmarkStart w:id="14" w:name="_Toc17149_WPSOffice_Level1"/>
      <w:bookmarkStart w:id="15" w:name="_Toc6867_WPSOffice_Level1"/>
      <w:bookmarkStart w:id="16" w:name="_Toc29012_WPSOffice_Level1"/>
      <w:r>
        <w:rPr>
          <w:rFonts w:hint="eastAsia" w:ascii="宋体" w:hAnsi="宋体" w:eastAsia="宋体" w:cs="宋体"/>
          <w:b/>
          <w:sz w:val="28"/>
          <w:szCs w:val="28"/>
          <w:lang w:val="en-US"/>
        </w:rPr>
        <w:t>1</w:t>
      </w:r>
      <w:r>
        <w:rPr>
          <w:rFonts w:hint="eastAsia" w:ascii="宋体" w:hAnsi="宋体" w:eastAsia="宋体" w:cs="宋体"/>
          <w:b/>
          <w:sz w:val="28"/>
          <w:szCs w:val="28"/>
        </w:rPr>
        <w:t>）站房</w:t>
      </w:r>
      <w:bookmarkEnd w:id="9"/>
      <w:bookmarkEnd w:id="10"/>
      <w:bookmarkEnd w:id="11"/>
      <w:bookmarkEnd w:id="12"/>
      <w:bookmarkEnd w:id="13"/>
      <w:bookmarkEnd w:id="14"/>
      <w:bookmarkEnd w:id="15"/>
      <w:bookmarkEnd w:id="16"/>
    </w:p>
    <w:p>
      <w:pPr>
        <w:keepNext w:val="0"/>
        <w:keepLines w:val="0"/>
        <w:pageBreakBefore w:val="0"/>
        <w:widowControl w:val="0"/>
        <w:kinsoku/>
        <w:wordWrap/>
        <w:overflowPunct/>
        <w:topLinePunct w:val="0"/>
        <w:autoSpaceDE w:val="0"/>
        <w:autoSpaceDN w:val="0"/>
        <w:bidi w:val="0"/>
        <w:adjustRightInd/>
        <w:snapToGrid/>
        <w:spacing w:line="560" w:lineRule="exact"/>
        <w:ind w:firstLine="720"/>
        <w:textAlignment w:val="auto"/>
        <w:rPr>
          <w:rFonts w:hint="eastAsia" w:ascii="宋体" w:hAnsi="宋体" w:eastAsia="宋体" w:cs="宋体"/>
          <w:b/>
          <w:sz w:val="28"/>
          <w:szCs w:val="28"/>
        </w:rPr>
      </w:pPr>
      <w:r>
        <w:rPr>
          <w:rFonts w:hint="eastAsia" w:ascii="宋体" w:hAnsi="宋体" w:eastAsia="宋体" w:cs="宋体"/>
          <w:sz w:val="28"/>
          <w:szCs w:val="28"/>
        </w:rPr>
        <w:t>用于加油加气站管理、经营和提供其他便利性服务的建筑物。</w:t>
      </w:r>
    </w:p>
    <w:p>
      <w:pPr>
        <w:keepNext w:val="0"/>
        <w:keepLines w:val="0"/>
        <w:pageBreakBefore w:val="0"/>
        <w:widowControl w:val="0"/>
        <w:kinsoku/>
        <w:wordWrap/>
        <w:overflowPunct/>
        <w:topLinePunct w:val="0"/>
        <w:autoSpaceDE w:val="0"/>
        <w:autoSpaceDN w:val="0"/>
        <w:bidi w:val="0"/>
        <w:adjustRightInd/>
        <w:snapToGrid/>
        <w:spacing w:line="560" w:lineRule="exact"/>
        <w:ind w:firstLine="720"/>
        <w:textAlignment w:val="auto"/>
        <w:rPr>
          <w:rFonts w:hint="eastAsia" w:ascii="宋体" w:hAnsi="宋体" w:eastAsia="宋体" w:cs="宋体"/>
          <w:b/>
          <w:sz w:val="28"/>
          <w:szCs w:val="28"/>
        </w:rPr>
      </w:pPr>
      <w:bookmarkStart w:id="17" w:name="_Toc22214_WPSOffice_Level1"/>
      <w:bookmarkStart w:id="18" w:name="_Toc7036_WPSOffice_Level1"/>
      <w:bookmarkStart w:id="19" w:name="_Toc7820_WPSOffice_Level1"/>
      <w:bookmarkStart w:id="20" w:name="_Toc18845_WPSOffice_Level1"/>
      <w:bookmarkStart w:id="21" w:name="_Toc31604_WPSOffice_Level1"/>
      <w:bookmarkStart w:id="22" w:name="_Toc23356_WPSOffice_Level1"/>
      <w:bookmarkStart w:id="23" w:name="_Toc7105_WPSOffice_Level1"/>
      <w:bookmarkStart w:id="24" w:name="_Toc14304_WPSOffice_Level1"/>
      <w:r>
        <w:rPr>
          <w:rFonts w:hint="eastAsia" w:ascii="宋体" w:hAnsi="宋体" w:eastAsia="宋体" w:cs="宋体"/>
          <w:b/>
          <w:spacing w:val="-2"/>
          <w:sz w:val="28"/>
          <w:szCs w:val="28"/>
          <w:lang w:val="en-US"/>
        </w:rPr>
        <w:t>2</w:t>
      </w:r>
      <w:r>
        <w:rPr>
          <w:rFonts w:hint="eastAsia" w:ascii="宋体" w:hAnsi="宋体" w:eastAsia="宋体" w:cs="宋体"/>
          <w:b/>
          <w:spacing w:val="-2"/>
          <w:sz w:val="28"/>
          <w:szCs w:val="28"/>
        </w:rPr>
        <w:t>）加油加气作业区</w:t>
      </w:r>
      <w:bookmarkEnd w:id="17"/>
      <w:bookmarkEnd w:id="18"/>
      <w:bookmarkEnd w:id="19"/>
      <w:bookmarkEnd w:id="20"/>
      <w:bookmarkEnd w:id="21"/>
      <w:bookmarkEnd w:id="22"/>
      <w:bookmarkEnd w:id="23"/>
      <w:bookmarkEnd w:id="24"/>
    </w:p>
    <w:p>
      <w:pPr>
        <w:keepNext w:val="0"/>
        <w:keepLines w:val="0"/>
        <w:pageBreakBefore w:val="0"/>
        <w:widowControl w:val="0"/>
        <w:kinsoku/>
        <w:wordWrap/>
        <w:overflowPunct/>
        <w:topLinePunct w:val="0"/>
        <w:autoSpaceDE w:val="0"/>
        <w:autoSpaceDN w:val="0"/>
        <w:bidi w:val="0"/>
        <w:adjustRightInd/>
        <w:snapToGrid/>
        <w:spacing w:line="560" w:lineRule="exact"/>
        <w:ind w:firstLine="720"/>
        <w:textAlignment w:val="auto"/>
        <w:rPr>
          <w:rFonts w:hint="eastAsia" w:ascii="宋体" w:hAnsi="宋体" w:eastAsia="宋体" w:cs="宋体"/>
          <w:sz w:val="28"/>
          <w:szCs w:val="28"/>
        </w:rPr>
      </w:pPr>
      <w:r>
        <w:rPr>
          <w:rFonts w:hint="eastAsia" w:ascii="宋体" w:hAnsi="宋体" w:eastAsia="宋体" w:cs="宋体"/>
          <w:spacing w:val="-4"/>
          <w:sz w:val="28"/>
          <w:szCs w:val="28"/>
        </w:rPr>
        <w:t>加油加气站内布置油</w:t>
      </w:r>
      <w:r>
        <w:rPr>
          <w:rFonts w:hint="eastAsia" w:ascii="宋体" w:hAnsi="宋体" w:eastAsia="宋体" w:cs="宋体"/>
          <w:sz w:val="28"/>
          <w:szCs w:val="28"/>
        </w:rPr>
        <w:t>（</w:t>
      </w:r>
      <w:r>
        <w:rPr>
          <w:rFonts w:hint="eastAsia" w:ascii="宋体" w:hAnsi="宋体" w:eastAsia="宋体" w:cs="宋体"/>
          <w:spacing w:val="-3"/>
          <w:sz w:val="28"/>
          <w:szCs w:val="28"/>
        </w:rPr>
        <w:t>气</w:t>
      </w:r>
      <w:r>
        <w:rPr>
          <w:rFonts w:hint="eastAsia" w:ascii="宋体" w:hAnsi="宋体" w:eastAsia="宋体" w:cs="宋体"/>
          <w:spacing w:val="-8"/>
          <w:sz w:val="28"/>
          <w:szCs w:val="28"/>
        </w:rPr>
        <w:t>）</w:t>
      </w:r>
      <w:r>
        <w:rPr>
          <w:rFonts w:hint="eastAsia" w:ascii="宋体" w:hAnsi="宋体" w:eastAsia="宋体" w:cs="宋体"/>
          <w:spacing w:val="-5"/>
          <w:sz w:val="28"/>
          <w:szCs w:val="28"/>
        </w:rPr>
        <w:t>卸车设施、储油</w:t>
      </w:r>
      <w:r>
        <w:rPr>
          <w:rFonts w:hint="eastAsia" w:ascii="宋体" w:hAnsi="宋体" w:eastAsia="宋体" w:cs="宋体"/>
          <w:sz w:val="28"/>
          <w:szCs w:val="28"/>
        </w:rPr>
        <w:t>（</w:t>
      </w:r>
      <w:r>
        <w:rPr>
          <w:rFonts w:hint="eastAsia" w:ascii="宋体" w:hAnsi="宋体" w:eastAsia="宋体" w:cs="宋体"/>
          <w:spacing w:val="-2"/>
          <w:sz w:val="28"/>
          <w:szCs w:val="28"/>
        </w:rPr>
        <w:t>储气</w:t>
      </w:r>
      <w:r>
        <w:rPr>
          <w:rFonts w:hint="eastAsia" w:ascii="宋体" w:hAnsi="宋体" w:eastAsia="宋体" w:cs="宋体"/>
          <w:spacing w:val="-10"/>
          <w:sz w:val="28"/>
          <w:szCs w:val="28"/>
        </w:rPr>
        <w:t>）</w:t>
      </w:r>
      <w:r>
        <w:rPr>
          <w:rFonts w:hint="eastAsia" w:ascii="宋体" w:hAnsi="宋体" w:eastAsia="宋体" w:cs="宋体"/>
          <w:spacing w:val="-5"/>
          <w:sz w:val="28"/>
          <w:szCs w:val="28"/>
        </w:rPr>
        <w:t>设施、加油机、加</w:t>
      </w:r>
      <w:r>
        <w:rPr>
          <w:rFonts w:hint="eastAsia" w:ascii="宋体" w:hAnsi="宋体" w:eastAsia="宋体" w:cs="宋体"/>
          <w:spacing w:val="-8"/>
          <w:sz w:val="28"/>
          <w:szCs w:val="28"/>
        </w:rPr>
        <w:t>气、加</w:t>
      </w:r>
      <w:r>
        <w:rPr>
          <w:rFonts w:hint="eastAsia" w:ascii="宋体" w:hAnsi="宋体" w:eastAsia="宋体" w:cs="宋体"/>
          <w:spacing w:val="-3"/>
          <w:sz w:val="28"/>
          <w:szCs w:val="28"/>
        </w:rPr>
        <w:t>（</w:t>
      </w:r>
      <w:r>
        <w:rPr>
          <w:rFonts w:hint="eastAsia" w:ascii="宋体" w:hAnsi="宋体" w:eastAsia="宋体" w:cs="宋体"/>
          <w:sz w:val="28"/>
          <w:szCs w:val="28"/>
        </w:rPr>
        <w:t>卸</w:t>
      </w:r>
      <w:r>
        <w:rPr>
          <w:rFonts w:hint="eastAsia" w:ascii="宋体" w:hAnsi="宋体" w:eastAsia="宋体" w:cs="宋体"/>
          <w:spacing w:val="-8"/>
          <w:sz w:val="28"/>
          <w:szCs w:val="28"/>
        </w:rPr>
        <w:t>）</w:t>
      </w:r>
      <w:r>
        <w:rPr>
          <w:rFonts w:hint="eastAsia" w:ascii="宋体" w:hAnsi="宋体" w:eastAsia="宋体" w:cs="宋体"/>
          <w:spacing w:val="-4"/>
          <w:sz w:val="28"/>
          <w:szCs w:val="28"/>
        </w:rPr>
        <w:t>气柱、通气管</w:t>
      </w:r>
      <w:r>
        <w:rPr>
          <w:rFonts w:hint="eastAsia" w:ascii="宋体" w:hAnsi="宋体" w:eastAsia="宋体" w:cs="宋体"/>
          <w:sz w:val="28"/>
          <w:szCs w:val="28"/>
        </w:rPr>
        <w:t>（</w:t>
      </w:r>
      <w:r>
        <w:rPr>
          <w:rFonts w:hint="eastAsia" w:ascii="宋体" w:hAnsi="宋体" w:eastAsia="宋体" w:cs="宋体"/>
          <w:spacing w:val="-2"/>
          <w:sz w:val="28"/>
          <w:szCs w:val="28"/>
        </w:rPr>
        <w:t>放散管</w:t>
      </w:r>
      <w:r>
        <w:rPr>
          <w:rFonts w:hint="eastAsia" w:ascii="宋体" w:hAnsi="宋体" w:eastAsia="宋体" w:cs="宋体"/>
          <w:spacing w:val="-8"/>
          <w:sz w:val="28"/>
          <w:szCs w:val="28"/>
        </w:rPr>
        <w:t>）</w:t>
      </w:r>
      <w:r>
        <w:rPr>
          <w:rFonts w:hint="eastAsia" w:ascii="宋体" w:hAnsi="宋体" w:eastAsia="宋体" w:cs="宋体"/>
          <w:spacing w:val="-4"/>
          <w:sz w:val="28"/>
          <w:szCs w:val="28"/>
        </w:rPr>
        <w:t>、停车位、车载</w:t>
      </w:r>
      <w:r>
        <w:rPr>
          <w:rFonts w:hint="eastAsia" w:ascii="宋体" w:hAnsi="宋体" w:eastAsia="宋体" w:cs="宋体"/>
          <w:spacing w:val="-7"/>
          <w:sz w:val="28"/>
          <w:szCs w:val="28"/>
        </w:rPr>
        <w:t>储气瓶组拖车停车位、</w:t>
      </w:r>
      <w:r>
        <w:rPr>
          <w:rFonts w:hint="eastAsia" w:ascii="宋体" w:hAnsi="宋体" w:eastAsia="宋体" w:cs="宋体"/>
          <w:spacing w:val="-10"/>
          <w:sz w:val="28"/>
          <w:szCs w:val="28"/>
        </w:rPr>
        <w:t>LPG（LNG）</w:t>
      </w:r>
      <w:r>
        <w:rPr>
          <w:rFonts w:hint="eastAsia" w:ascii="宋体" w:hAnsi="宋体" w:eastAsia="宋体" w:cs="宋体"/>
          <w:spacing w:val="-16"/>
          <w:sz w:val="28"/>
          <w:szCs w:val="28"/>
        </w:rPr>
        <w:t>泵、</w:t>
      </w:r>
      <w:r>
        <w:rPr>
          <w:rFonts w:hint="eastAsia" w:ascii="宋体" w:hAnsi="宋体" w:eastAsia="宋体" w:cs="宋体"/>
          <w:spacing w:val="-9"/>
          <w:sz w:val="28"/>
          <w:szCs w:val="28"/>
        </w:rPr>
        <w:t>CNG（LPG）</w:t>
      </w:r>
      <w:r>
        <w:rPr>
          <w:rFonts w:hint="eastAsia" w:ascii="宋体" w:hAnsi="宋体" w:eastAsia="宋体" w:cs="宋体"/>
          <w:spacing w:val="-2"/>
          <w:sz w:val="28"/>
          <w:szCs w:val="28"/>
        </w:rPr>
        <w:t>压缩机等设备的区域。</w:t>
      </w:r>
      <w:r>
        <w:rPr>
          <w:rFonts w:hint="eastAsia" w:ascii="宋体" w:hAnsi="宋体" w:eastAsia="宋体" w:cs="宋体"/>
          <w:spacing w:val="-3"/>
          <w:sz w:val="28"/>
          <w:szCs w:val="28"/>
        </w:rPr>
        <w:t>该区域的边界线为设备爆炸危险区域边界线加</w:t>
      </w:r>
      <w:r>
        <w:rPr>
          <w:rFonts w:hint="eastAsia" w:ascii="宋体" w:hAnsi="宋体" w:eastAsia="宋体" w:cs="宋体"/>
          <w:sz w:val="28"/>
          <w:szCs w:val="28"/>
        </w:rPr>
        <w:t>3m</w:t>
      </w:r>
      <w:r>
        <w:rPr>
          <w:rFonts w:hint="eastAsia" w:ascii="宋体" w:hAnsi="宋体" w:eastAsia="宋体" w:cs="宋体"/>
          <w:spacing w:val="-2"/>
          <w:sz w:val="28"/>
          <w:szCs w:val="28"/>
        </w:rPr>
        <w:t>，对柴油设备为设备外缘</w:t>
      </w:r>
      <w:r>
        <w:rPr>
          <w:rFonts w:hint="eastAsia" w:ascii="宋体" w:hAnsi="宋体" w:eastAsia="宋体" w:cs="宋体"/>
          <w:spacing w:val="-37"/>
          <w:sz w:val="28"/>
          <w:szCs w:val="28"/>
        </w:rPr>
        <w:t xml:space="preserve">加 </w:t>
      </w:r>
      <w:r>
        <w:rPr>
          <w:rFonts w:hint="eastAsia" w:ascii="宋体" w:hAnsi="宋体" w:eastAsia="宋体" w:cs="宋体"/>
          <w:sz w:val="28"/>
          <w:szCs w:val="28"/>
        </w:rPr>
        <w:t>3m。</w:t>
      </w:r>
    </w:p>
    <w:p>
      <w:pPr>
        <w:keepNext w:val="0"/>
        <w:keepLines w:val="0"/>
        <w:pageBreakBefore w:val="0"/>
        <w:widowControl w:val="0"/>
        <w:kinsoku/>
        <w:wordWrap/>
        <w:overflowPunct/>
        <w:topLinePunct w:val="0"/>
        <w:autoSpaceDE w:val="0"/>
        <w:autoSpaceDN w:val="0"/>
        <w:bidi w:val="0"/>
        <w:adjustRightInd/>
        <w:snapToGrid/>
        <w:spacing w:line="560" w:lineRule="exact"/>
        <w:ind w:firstLine="720"/>
        <w:textAlignment w:val="auto"/>
        <w:rPr>
          <w:rFonts w:hint="eastAsia" w:ascii="宋体" w:hAnsi="宋体" w:eastAsia="宋体" w:cs="宋体"/>
          <w:b/>
          <w:sz w:val="28"/>
          <w:szCs w:val="28"/>
        </w:rPr>
      </w:pPr>
      <w:bookmarkStart w:id="25" w:name="_Toc21012_WPSOffice_Level1"/>
      <w:bookmarkStart w:id="26" w:name="_Toc8858_WPSOffice_Level1"/>
      <w:bookmarkStart w:id="27" w:name="_Toc1323_WPSOffice_Level1"/>
      <w:bookmarkStart w:id="28" w:name="_Toc13636_WPSOffice_Level1"/>
      <w:bookmarkStart w:id="29" w:name="_Toc3178_WPSOffice_Level1"/>
      <w:bookmarkStart w:id="30" w:name="_Toc13338_WPSOffice_Level1"/>
      <w:bookmarkStart w:id="31" w:name="_Toc26161_WPSOffice_Level1"/>
      <w:bookmarkStart w:id="32" w:name="_Toc28537_WPSOffice_Level1"/>
      <w:r>
        <w:rPr>
          <w:rFonts w:hint="eastAsia" w:ascii="宋体" w:hAnsi="宋体" w:eastAsia="宋体" w:cs="宋体"/>
          <w:b/>
          <w:spacing w:val="-1"/>
          <w:sz w:val="28"/>
          <w:szCs w:val="28"/>
          <w:lang w:val="en-US"/>
        </w:rPr>
        <w:t>3</w:t>
      </w:r>
      <w:r>
        <w:rPr>
          <w:rFonts w:hint="eastAsia" w:ascii="宋体" w:hAnsi="宋体" w:eastAsia="宋体" w:cs="宋体"/>
          <w:b/>
          <w:spacing w:val="-1"/>
          <w:sz w:val="28"/>
          <w:szCs w:val="28"/>
        </w:rPr>
        <w:t>）辅助服务区</w:t>
      </w:r>
      <w:bookmarkEnd w:id="25"/>
      <w:bookmarkEnd w:id="26"/>
      <w:bookmarkEnd w:id="27"/>
      <w:bookmarkEnd w:id="28"/>
      <w:bookmarkEnd w:id="29"/>
      <w:bookmarkEnd w:id="30"/>
      <w:bookmarkEnd w:id="31"/>
      <w:bookmarkEnd w:id="32"/>
    </w:p>
    <w:p>
      <w:pPr>
        <w:keepNext w:val="0"/>
        <w:keepLines w:val="0"/>
        <w:pageBreakBefore w:val="0"/>
        <w:widowControl w:val="0"/>
        <w:kinsoku/>
        <w:wordWrap/>
        <w:overflowPunct/>
        <w:topLinePunct w:val="0"/>
        <w:autoSpaceDE w:val="0"/>
        <w:autoSpaceDN w:val="0"/>
        <w:bidi w:val="0"/>
        <w:adjustRightInd/>
        <w:snapToGrid/>
        <w:spacing w:line="560" w:lineRule="exact"/>
        <w:ind w:firstLine="720"/>
        <w:textAlignment w:val="auto"/>
        <w:rPr>
          <w:rFonts w:hint="eastAsia" w:ascii="宋体" w:hAnsi="宋体" w:eastAsia="宋体" w:cs="宋体"/>
          <w:sz w:val="28"/>
          <w:szCs w:val="28"/>
        </w:rPr>
      </w:pPr>
      <w:r>
        <w:rPr>
          <w:rFonts w:hint="eastAsia" w:ascii="宋体" w:hAnsi="宋体" w:eastAsia="宋体" w:cs="宋体"/>
          <w:sz w:val="28"/>
          <w:szCs w:val="28"/>
        </w:rPr>
        <w:t>加油加气站用地红线范围内加油加气作业区以外的区域。</w:t>
      </w:r>
    </w:p>
    <w:p>
      <w:pPr>
        <w:keepNext w:val="0"/>
        <w:keepLines w:val="0"/>
        <w:pageBreakBefore w:val="0"/>
        <w:widowControl w:val="0"/>
        <w:kinsoku/>
        <w:wordWrap/>
        <w:overflowPunct/>
        <w:topLinePunct w:val="0"/>
        <w:autoSpaceDE w:val="0"/>
        <w:autoSpaceDN w:val="0"/>
        <w:bidi w:val="0"/>
        <w:adjustRightInd/>
        <w:snapToGrid/>
        <w:spacing w:line="560" w:lineRule="exact"/>
        <w:ind w:firstLine="720"/>
        <w:textAlignment w:val="auto"/>
        <w:rPr>
          <w:rFonts w:hint="eastAsia" w:ascii="宋体" w:hAnsi="宋体" w:eastAsia="宋体" w:cs="宋体"/>
          <w:b/>
          <w:sz w:val="28"/>
          <w:szCs w:val="28"/>
        </w:rPr>
      </w:pPr>
      <w:bookmarkStart w:id="33" w:name="_Toc18379_WPSOffice_Level1"/>
      <w:bookmarkStart w:id="34" w:name="_Toc13771_WPSOffice_Level1"/>
      <w:bookmarkStart w:id="35" w:name="_Toc1346_WPSOffice_Level1"/>
      <w:bookmarkStart w:id="36" w:name="_Toc26324_WPSOffice_Level1"/>
      <w:bookmarkStart w:id="37" w:name="_Toc32072_WPSOffice_Level1"/>
      <w:bookmarkStart w:id="38" w:name="_Toc24844_WPSOffice_Level1"/>
      <w:bookmarkStart w:id="39" w:name="_Toc25964_WPSOffice_Level1"/>
      <w:bookmarkStart w:id="40" w:name="_Toc25434_WPSOffice_Level1"/>
      <w:r>
        <w:rPr>
          <w:rFonts w:hint="eastAsia" w:ascii="宋体" w:hAnsi="宋体" w:eastAsia="宋体" w:cs="宋体"/>
          <w:b/>
          <w:spacing w:val="-1"/>
          <w:sz w:val="28"/>
          <w:szCs w:val="28"/>
          <w:lang w:val="en-US"/>
        </w:rPr>
        <w:t>4</w:t>
      </w:r>
      <w:r>
        <w:rPr>
          <w:rFonts w:hint="eastAsia" w:ascii="宋体" w:hAnsi="宋体" w:eastAsia="宋体" w:cs="宋体"/>
          <w:b/>
          <w:spacing w:val="-1"/>
          <w:sz w:val="28"/>
          <w:szCs w:val="28"/>
        </w:rPr>
        <w:t>）管道组成件</w:t>
      </w:r>
      <w:bookmarkEnd w:id="33"/>
      <w:bookmarkEnd w:id="34"/>
      <w:bookmarkEnd w:id="35"/>
      <w:bookmarkEnd w:id="36"/>
      <w:bookmarkEnd w:id="37"/>
      <w:bookmarkEnd w:id="38"/>
      <w:bookmarkEnd w:id="39"/>
      <w:bookmarkEnd w:id="40"/>
    </w:p>
    <w:p>
      <w:pPr>
        <w:keepNext w:val="0"/>
        <w:keepLines w:val="0"/>
        <w:pageBreakBefore w:val="0"/>
        <w:widowControl w:val="0"/>
        <w:kinsoku/>
        <w:wordWrap/>
        <w:overflowPunct/>
        <w:topLinePunct w:val="0"/>
        <w:autoSpaceDE w:val="0"/>
        <w:autoSpaceDN w:val="0"/>
        <w:bidi w:val="0"/>
        <w:adjustRightInd/>
        <w:snapToGrid/>
        <w:spacing w:line="560" w:lineRule="exact"/>
        <w:ind w:firstLine="720"/>
        <w:textAlignment w:val="auto"/>
        <w:rPr>
          <w:rFonts w:hint="eastAsia" w:ascii="宋体" w:hAnsi="宋体" w:eastAsia="宋体" w:cs="宋体"/>
          <w:sz w:val="28"/>
          <w:szCs w:val="28"/>
        </w:rPr>
      </w:pPr>
      <w:r>
        <w:rPr>
          <w:rFonts w:hint="eastAsia" w:ascii="宋体" w:hAnsi="宋体" w:eastAsia="宋体" w:cs="宋体"/>
          <w:sz w:val="28"/>
          <w:szCs w:val="28"/>
        </w:rPr>
        <w:t>用于连接或装配管道的元件（包括管子、管件、阀门、法兰、垫片、紧固件、接头、耐压软管、过滤器、阻火器等）。</w:t>
      </w:r>
    </w:p>
    <w:p>
      <w:pPr>
        <w:keepNext w:val="0"/>
        <w:keepLines w:val="0"/>
        <w:pageBreakBefore w:val="0"/>
        <w:widowControl w:val="0"/>
        <w:kinsoku/>
        <w:wordWrap/>
        <w:overflowPunct/>
        <w:topLinePunct w:val="0"/>
        <w:autoSpaceDE w:val="0"/>
        <w:autoSpaceDN w:val="0"/>
        <w:bidi w:val="0"/>
        <w:adjustRightInd/>
        <w:snapToGrid/>
        <w:spacing w:line="560" w:lineRule="exact"/>
        <w:ind w:firstLine="720"/>
        <w:textAlignment w:val="auto"/>
        <w:rPr>
          <w:rFonts w:hint="eastAsia" w:ascii="宋体" w:hAnsi="宋体" w:eastAsia="宋体" w:cs="宋体"/>
          <w:b/>
          <w:sz w:val="28"/>
          <w:szCs w:val="28"/>
        </w:rPr>
      </w:pPr>
      <w:bookmarkStart w:id="41" w:name="_Toc3801_WPSOffice_Level1"/>
      <w:bookmarkStart w:id="42" w:name="_Toc5824_WPSOffice_Level1"/>
      <w:bookmarkStart w:id="43" w:name="_Toc13651_WPSOffice_Level1"/>
      <w:bookmarkStart w:id="44" w:name="_Toc11108_WPSOffice_Level1"/>
      <w:bookmarkStart w:id="45" w:name="_Toc4884_WPSOffice_Level1"/>
      <w:bookmarkStart w:id="46" w:name="_Toc3662_WPSOffice_Level1"/>
      <w:bookmarkStart w:id="47" w:name="_Toc29777_WPSOffice_Level1"/>
      <w:bookmarkStart w:id="48" w:name="_Toc28833_WPSOffice_Level1"/>
      <w:r>
        <w:rPr>
          <w:rFonts w:hint="eastAsia" w:ascii="宋体" w:hAnsi="宋体" w:eastAsia="宋体" w:cs="宋体"/>
          <w:b/>
          <w:sz w:val="28"/>
          <w:szCs w:val="28"/>
          <w:lang w:val="en-US"/>
        </w:rPr>
        <w:t>5</w:t>
      </w:r>
      <w:r>
        <w:rPr>
          <w:rFonts w:hint="eastAsia" w:ascii="宋体" w:hAnsi="宋体" w:eastAsia="宋体" w:cs="宋体"/>
          <w:b/>
          <w:sz w:val="28"/>
          <w:szCs w:val="28"/>
        </w:rPr>
        <w:t>）埋地油罐</w:t>
      </w:r>
      <w:bookmarkEnd w:id="41"/>
      <w:bookmarkEnd w:id="42"/>
      <w:bookmarkEnd w:id="43"/>
      <w:bookmarkEnd w:id="44"/>
      <w:bookmarkEnd w:id="45"/>
      <w:bookmarkEnd w:id="46"/>
      <w:bookmarkEnd w:id="47"/>
      <w:bookmarkEnd w:id="48"/>
    </w:p>
    <w:p>
      <w:pPr>
        <w:keepNext w:val="0"/>
        <w:keepLines w:val="0"/>
        <w:pageBreakBefore w:val="0"/>
        <w:widowControl w:val="0"/>
        <w:kinsoku/>
        <w:wordWrap/>
        <w:overflowPunct/>
        <w:topLinePunct w:val="0"/>
        <w:autoSpaceDE w:val="0"/>
        <w:autoSpaceDN w:val="0"/>
        <w:bidi w:val="0"/>
        <w:adjustRightInd/>
        <w:snapToGrid/>
        <w:spacing w:line="560" w:lineRule="exact"/>
        <w:ind w:firstLine="720"/>
        <w:textAlignment w:val="auto"/>
        <w:rPr>
          <w:rFonts w:hint="eastAsia" w:ascii="宋体" w:hAnsi="宋体" w:eastAsia="宋体" w:cs="宋体"/>
          <w:sz w:val="28"/>
          <w:szCs w:val="28"/>
        </w:rPr>
      </w:pPr>
      <w:r>
        <w:rPr>
          <w:rFonts w:hint="eastAsia" w:ascii="宋体" w:hAnsi="宋体" w:eastAsia="宋体" w:cs="宋体"/>
          <w:sz w:val="28"/>
          <w:szCs w:val="28"/>
        </w:rPr>
        <w:t>罐顶低于周围 4m 范围内的地面，并采用直接覆土或罐池充沙方式埋设在地下的卧式油品储罐。</w:t>
      </w:r>
    </w:p>
    <w:p>
      <w:pPr>
        <w:keepNext w:val="0"/>
        <w:keepLines w:val="0"/>
        <w:pageBreakBefore w:val="0"/>
        <w:widowControl w:val="0"/>
        <w:kinsoku/>
        <w:wordWrap/>
        <w:overflowPunct/>
        <w:topLinePunct w:val="0"/>
        <w:autoSpaceDE w:val="0"/>
        <w:autoSpaceDN w:val="0"/>
        <w:bidi w:val="0"/>
        <w:adjustRightInd/>
        <w:snapToGrid/>
        <w:spacing w:line="560" w:lineRule="exact"/>
        <w:ind w:firstLine="720"/>
        <w:textAlignment w:val="auto"/>
        <w:rPr>
          <w:rFonts w:hint="eastAsia" w:ascii="宋体" w:hAnsi="宋体" w:eastAsia="宋体" w:cs="宋体"/>
          <w:b/>
          <w:sz w:val="28"/>
          <w:szCs w:val="28"/>
        </w:rPr>
      </w:pPr>
      <w:bookmarkStart w:id="49" w:name="_Toc18166_WPSOffice_Level1"/>
      <w:bookmarkStart w:id="50" w:name="_Toc7142_WPSOffice_Level1"/>
      <w:bookmarkStart w:id="51" w:name="_Toc10359_WPSOffice_Level1"/>
      <w:bookmarkStart w:id="52" w:name="_Toc29598_WPSOffice_Level1"/>
      <w:bookmarkStart w:id="53" w:name="_Toc32626_WPSOffice_Level1"/>
      <w:bookmarkStart w:id="54" w:name="_Toc19315_WPSOffice_Level1"/>
      <w:bookmarkStart w:id="55" w:name="_Toc7491_WPSOffice_Level1"/>
      <w:bookmarkStart w:id="56" w:name="_Toc1482_WPSOffice_Level1"/>
      <w:r>
        <w:rPr>
          <w:rFonts w:hint="eastAsia" w:ascii="宋体" w:hAnsi="宋体" w:eastAsia="宋体" w:cs="宋体"/>
          <w:b/>
          <w:sz w:val="28"/>
          <w:szCs w:val="28"/>
          <w:lang w:val="en-US"/>
        </w:rPr>
        <w:t>6)</w:t>
      </w:r>
      <w:r>
        <w:rPr>
          <w:rFonts w:hint="eastAsia" w:ascii="宋体" w:hAnsi="宋体" w:eastAsia="宋体" w:cs="宋体"/>
          <w:b/>
          <w:sz w:val="28"/>
          <w:szCs w:val="28"/>
        </w:rPr>
        <w:t>加油岛</w:t>
      </w:r>
      <w:bookmarkEnd w:id="49"/>
      <w:bookmarkEnd w:id="50"/>
      <w:bookmarkEnd w:id="51"/>
      <w:bookmarkEnd w:id="52"/>
      <w:bookmarkEnd w:id="53"/>
      <w:bookmarkEnd w:id="54"/>
      <w:bookmarkEnd w:id="55"/>
      <w:bookmarkEnd w:id="56"/>
    </w:p>
    <w:p>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用于安装加油机的平台。</w:t>
      </w:r>
    </w:p>
    <w:p>
      <w:pPr>
        <w:keepNext w:val="0"/>
        <w:keepLines w:val="0"/>
        <w:pageBreakBefore w:val="0"/>
        <w:widowControl w:val="0"/>
        <w:kinsoku/>
        <w:wordWrap/>
        <w:overflowPunct/>
        <w:topLinePunct w:val="0"/>
        <w:autoSpaceDE w:val="0"/>
        <w:autoSpaceDN w:val="0"/>
        <w:bidi w:val="0"/>
        <w:adjustRightInd/>
        <w:snapToGrid/>
        <w:spacing w:line="560" w:lineRule="exact"/>
        <w:ind w:firstLine="720"/>
        <w:textAlignment w:val="auto"/>
        <w:rPr>
          <w:rFonts w:hint="eastAsia" w:ascii="宋体" w:hAnsi="宋体" w:eastAsia="宋体" w:cs="宋体"/>
          <w:b/>
          <w:sz w:val="28"/>
          <w:szCs w:val="28"/>
        </w:rPr>
      </w:pPr>
      <w:bookmarkStart w:id="57" w:name="_Toc4549_WPSOffice_Level1"/>
      <w:bookmarkStart w:id="58" w:name="_Toc18434_WPSOffice_Level1"/>
      <w:bookmarkStart w:id="59" w:name="_Toc5379_WPSOffice_Level1"/>
      <w:bookmarkStart w:id="60" w:name="_Toc9399_WPSOffice_Level1"/>
      <w:bookmarkStart w:id="61" w:name="_Toc13375_WPSOffice_Level1"/>
      <w:bookmarkStart w:id="62" w:name="_Toc12676_WPSOffice_Level1"/>
      <w:bookmarkStart w:id="63" w:name="_Toc22495_WPSOffice_Level1"/>
      <w:bookmarkStart w:id="64" w:name="_Toc13105_WPSOffice_Level1"/>
      <w:r>
        <w:rPr>
          <w:rFonts w:hint="eastAsia" w:ascii="宋体" w:hAnsi="宋体" w:eastAsia="宋体" w:cs="宋体"/>
          <w:b/>
          <w:spacing w:val="-2"/>
          <w:sz w:val="28"/>
          <w:szCs w:val="28"/>
          <w:lang w:val="en-US"/>
        </w:rPr>
        <w:t>7)</w:t>
      </w:r>
      <w:r>
        <w:rPr>
          <w:rFonts w:hint="eastAsia" w:ascii="宋体" w:hAnsi="宋体" w:eastAsia="宋体" w:cs="宋体"/>
          <w:b/>
          <w:spacing w:val="-2"/>
          <w:sz w:val="28"/>
          <w:szCs w:val="28"/>
        </w:rPr>
        <w:t>卸油油气回收系统</w:t>
      </w:r>
      <w:bookmarkEnd w:id="57"/>
      <w:bookmarkEnd w:id="58"/>
      <w:bookmarkEnd w:id="59"/>
      <w:bookmarkEnd w:id="60"/>
      <w:bookmarkEnd w:id="61"/>
      <w:bookmarkEnd w:id="62"/>
      <w:bookmarkEnd w:id="63"/>
      <w:bookmarkEnd w:id="64"/>
    </w:p>
    <w:p>
      <w:pPr>
        <w:keepNext w:val="0"/>
        <w:keepLines w:val="0"/>
        <w:pageBreakBefore w:val="0"/>
        <w:widowControl w:val="0"/>
        <w:kinsoku/>
        <w:wordWrap/>
        <w:overflowPunct/>
        <w:topLinePunct w:val="0"/>
        <w:autoSpaceDE w:val="0"/>
        <w:autoSpaceDN w:val="0"/>
        <w:bidi w:val="0"/>
        <w:adjustRightInd/>
        <w:snapToGrid/>
        <w:spacing w:line="560" w:lineRule="exact"/>
        <w:ind w:firstLine="720"/>
        <w:textAlignment w:val="auto"/>
        <w:rPr>
          <w:rFonts w:hint="eastAsia" w:ascii="宋体" w:hAnsi="宋体" w:eastAsia="宋体" w:cs="宋体"/>
          <w:sz w:val="28"/>
          <w:szCs w:val="28"/>
        </w:rPr>
      </w:pPr>
      <w:r>
        <w:rPr>
          <w:rFonts w:hint="eastAsia" w:ascii="宋体" w:hAnsi="宋体" w:eastAsia="宋体" w:cs="宋体"/>
          <w:sz w:val="28"/>
          <w:szCs w:val="28"/>
        </w:rPr>
        <w:t>将油罐车向汽油罐卸油时产生的油气密闭回收至油罐车内的系统。</w:t>
      </w:r>
    </w:p>
    <w:p>
      <w:pPr>
        <w:keepNext w:val="0"/>
        <w:keepLines w:val="0"/>
        <w:pageBreakBefore w:val="0"/>
        <w:widowControl w:val="0"/>
        <w:kinsoku/>
        <w:wordWrap/>
        <w:overflowPunct/>
        <w:topLinePunct w:val="0"/>
        <w:autoSpaceDE w:val="0"/>
        <w:autoSpaceDN w:val="0"/>
        <w:bidi w:val="0"/>
        <w:adjustRightInd/>
        <w:snapToGrid/>
        <w:spacing w:line="560" w:lineRule="exact"/>
        <w:ind w:firstLine="720"/>
        <w:textAlignment w:val="auto"/>
        <w:rPr>
          <w:rFonts w:hint="eastAsia" w:ascii="宋体" w:hAnsi="宋体" w:eastAsia="宋体" w:cs="宋体"/>
          <w:b/>
          <w:sz w:val="28"/>
          <w:szCs w:val="28"/>
        </w:rPr>
      </w:pPr>
      <w:bookmarkStart w:id="65" w:name="_Toc15718_WPSOffice_Level1"/>
      <w:bookmarkStart w:id="66" w:name="_Toc2786_WPSOffice_Level1"/>
      <w:bookmarkStart w:id="67" w:name="_Toc18172_WPSOffice_Level1"/>
      <w:bookmarkStart w:id="68" w:name="_Toc14515_WPSOffice_Level1"/>
      <w:bookmarkStart w:id="69" w:name="_Toc14824_WPSOffice_Level1"/>
      <w:bookmarkStart w:id="70" w:name="_Toc9345_WPSOffice_Level1"/>
      <w:bookmarkStart w:id="71" w:name="_Toc29789_WPSOffice_Level1"/>
      <w:bookmarkStart w:id="72" w:name="_Toc24431_WPSOffice_Level1"/>
      <w:r>
        <w:rPr>
          <w:rFonts w:hint="eastAsia" w:ascii="宋体" w:hAnsi="宋体" w:eastAsia="宋体" w:cs="宋体"/>
          <w:b/>
          <w:spacing w:val="-2"/>
          <w:sz w:val="28"/>
          <w:szCs w:val="28"/>
          <w:lang w:val="en-US"/>
        </w:rPr>
        <w:t>8)</w:t>
      </w:r>
      <w:r>
        <w:rPr>
          <w:rFonts w:hint="eastAsia" w:ascii="宋体" w:hAnsi="宋体" w:eastAsia="宋体" w:cs="宋体"/>
          <w:b/>
          <w:spacing w:val="-2"/>
          <w:sz w:val="28"/>
          <w:szCs w:val="28"/>
        </w:rPr>
        <w:t>加油油气回收系统</w:t>
      </w:r>
      <w:bookmarkEnd w:id="65"/>
      <w:bookmarkEnd w:id="66"/>
      <w:bookmarkEnd w:id="67"/>
      <w:bookmarkEnd w:id="68"/>
      <w:bookmarkEnd w:id="69"/>
      <w:bookmarkEnd w:id="70"/>
      <w:bookmarkEnd w:id="71"/>
      <w:bookmarkEnd w:id="72"/>
    </w:p>
    <w:p>
      <w:pPr>
        <w:keepNext w:val="0"/>
        <w:keepLines w:val="0"/>
        <w:pageBreakBefore w:val="0"/>
        <w:widowControl w:val="0"/>
        <w:kinsoku/>
        <w:wordWrap/>
        <w:overflowPunct/>
        <w:topLinePunct w:val="0"/>
        <w:autoSpaceDE w:val="0"/>
        <w:autoSpaceDN w:val="0"/>
        <w:bidi w:val="0"/>
        <w:adjustRightInd/>
        <w:snapToGrid/>
        <w:spacing w:line="560" w:lineRule="exact"/>
        <w:ind w:firstLine="720"/>
        <w:textAlignment w:val="auto"/>
        <w:rPr>
          <w:rFonts w:hint="eastAsia" w:ascii="宋体" w:hAnsi="宋体" w:eastAsia="宋体" w:cs="宋体"/>
          <w:sz w:val="28"/>
          <w:szCs w:val="28"/>
        </w:rPr>
      </w:pPr>
      <w:r>
        <w:rPr>
          <w:rFonts w:hint="eastAsia" w:ascii="宋体" w:hAnsi="宋体" w:eastAsia="宋体" w:cs="宋体"/>
          <w:sz w:val="28"/>
          <w:szCs w:val="28"/>
        </w:rPr>
        <w:t>将给汽油车辆加油时产生的油气密闭回收至埋地汽油罐的系统。</w:t>
      </w:r>
    </w:p>
    <w:p>
      <w:pPr>
        <w:keepNext w:val="0"/>
        <w:keepLines w:val="0"/>
        <w:pageBreakBefore w:val="0"/>
        <w:widowControl w:val="0"/>
        <w:kinsoku/>
        <w:wordWrap/>
        <w:overflowPunct/>
        <w:topLinePunct w:val="0"/>
        <w:autoSpaceDE w:val="0"/>
        <w:autoSpaceDN w:val="0"/>
        <w:bidi w:val="0"/>
        <w:adjustRightInd/>
        <w:snapToGrid/>
        <w:spacing w:line="560" w:lineRule="exact"/>
        <w:ind w:firstLine="720"/>
        <w:textAlignment w:val="auto"/>
        <w:rPr>
          <w:rFonts w:hint="eastAsia" w:ascii="宋体" w:hAnsi="宋体" w:eastAsia="宋体" w:cs="宋体"/>
          <w:b/>
          <w:bCs/>
          <w:sz w:val="28"/>
          <w:szCs w:val="28"/>
          <w:lang w:val="en-US"/>
        </w:rPr>
      </w:pPr>
      <w:bookmarkStart w:id="73" w:name="_Toc2387_WPSOffice_Level1"/>
      <w:bookmarkStart w:id="74" w:name="_Toc2071_WPSOffice_Level1"/>
      <w:bookmarkStart w:id="75" w:name="_Toc9446_WPSOffice_Level1"/>
      <w:bookmarkStart w:id="76" w:name="_Toc9592_WPSOffice_Level1"/>
      <w:bookmarkStart w:id="77" w:name="_Toc29733_WPSOffice_Level1"/>
      <w:bookmarkStart w:id="78" w:name="_Toc80_WPSOffice_Level1"/>
      <w:bookmarkStart w:id="79" w:name="_Toc5521_WPSOffice_Level1"/>
      <w:bookmarkStart w:id="80" w:name="_Toc20506_WPSOffice_Level1"/>
      <w:r>
        <w:rPr>
          <w:rFonts w:hint="eastAsia" w:ascii="宋体" w:hAnsi="宋体" w:eastAsia="宋体" w:cs="宋体"/>
          <w:b/>
          <w:bCs/>
          <w:sz w:val="28"/>
          <w:szCs w:val="28"/>
          <w:lang w:val="en-US"/>
        </w:rPr>
        <w:t>9)安全拉断阀</w:t>
      </w:r>
      <w:bookmarkEnd w:id="73"/>
      <w:bookmarkEnd w:id="74"/>
      <w:bookmarkEnd w:id="75"/>
      <w:bookmarkEnd w:id="76"/>
      <w:bookmarkEnd w:id="77"/>
      <w:bookmarkEnd w:id="78"/>
      <w:bookmarkEnd w:id="79"/>
      <w:bookmarkEnd w:id="80"/>
    </w:p>
    <w:p>
      <w:pPr>
        <w:keepNext w:val="0"/>
        <w:keepLines w:val="0"/>
        <w:pageBreakBefore w:val="0"/>
        <w:widowControl w:val="0"/>
        <w:kinsoku/>
        <w:wordWrap/>
        <w:overflowPunct/>
        <w:topLinePunct w:val="0"/>
        <w:autoSpaceDE w:val="0"/>
        <w:autoSpaceDN w:val="0"/>
        <w:bidi w:val="0"/>
        <w:adjustRightInd/>
        <w:snapToGrid/>
        <w:spacing w:line="560" w:lineRule="exact"/>
        <w:ind w:firstLine="720"/>
        <w:textAlignment w:val="auto"/>
        <w:rPr>
          <w:rFonts w:hint="eastAsia" w:ascii="宋体" w:hAnsi="宋体" w:eastAsia="宋体" w:cs="宋体"/>
          <w:sz w:val="28"/>
          <w:szCs w:val="28"/>
          <w:shd w:val="clear" w:color="auto" w:fill="FFFFFF"/>
        </w:rPr>
      </w:pPr>
      <w:r>
        <w:rPr>
          <w:rFonts w:hint="eastAsia" w:ascii="宋体" w:hAnsi="宋体" w:eastAsia="宋体" w:cs="宋体"/>
          <w:sz w:val="28"/>
          <w:szCs w:val="28"/>
          <w:shd w:val="clear" w:color="auto" w:fill="FFFFFF"/>
        </w:rPr>
        <w:t>在一定外力作用下自动断开，断开后的两节均具有自密封功能的装置。该装置安装在加油机或加气机、加(卸)气柱的软管上，是防止软管被拉断而发生泄漏事故的专用保护装置。</w:t>
      </w:r>
    </w:p>
    <w:p>
      <w:pPr>
        <w:keepNext w:val="0"/>
        <w:keepLines w:val="0"/>
        <w:pageBreakBefore w:val="0"/>
        <w:widowControl w:val="0"/>
        <w:kinsoku/>
        <w:wordWrap/>
        <w:overflowPunct/>
        <w:topLinePunct w:val="0"/>
        <w:autoSpaceDE w:val="0"/>
        <w:autoSpaceDN w:val="0"/>
        <w:bidi w:val="0"/>
        <w:adjustRightInd/>
        <w:snapToGrid/>
        <w:spacing w:line="560" w:lineRule="exact"/>
        <w:ind w:firstLine="720"/>
        <w:textAlignment w:val="auto"/>
        <w:rPr>
          <w:rFonts w:hint="eastAsia" w:ascii="宋体" w:hAnsi="宋体" w:eastAsia="宋体" w:cs="宋体"/>
          <w:b/>
          <w:bCs/>
          <w:sz w:val="28"/>
          <w:szCs w:val="28"/>
          <w:shd w:val="clear" w:color="auto" w:fill="FFFFFF"/>
          <w:lang w:val="en-US" w:bidi="ar"/>
        </w:rPr>
      </w:pPr>
      <w:bookmarkStart w:id="81" w:name="_Toc7457_WPSOffice_Level1"/>
      <w:bookmarkStart w:id="82" w:name="_Toc22906_WPSOffice_Level1"/>
      <w:bookmarkStart w:id="83" w:name="_Toc11517_WPSOffice_Level1"/>
      <w:bookmarkStart w:id="84" w:name="_Toc29629_WPSOffice_Level1"/>
      <w:bookmarkStart w:id="85" w:name="_Toc23417_WPSOffice_Level1"/>
      <w:bookmarkStart w:id="86" w:name="_Toc28606_WPSOffice_Level1"/>
      <w:bookmarkStart w:id="87" w:name="_Toc13303_WPSOffice_Level1"/>
      <w:bookmarkStart w:id="88" w:name="_Toc7971_WPSOffice_Level1"/>
      <w:r>
        <w:rPr>
          <w:rFonts w:hint="eastAsia" w:ascii="宋体" w:hAnsi="宋体" w:eastAsia="宋体" w:cs="宋体"/>
          <w:b/>
          <w:bCs/>
          <w:sz w:val="28"/>
          <w:szCs w:val="28"/>
          <w:shd w:val="clear" w:color="auto" w:fill="FFFFFF"/>
          <w:lang w:val="en-US"/>
        </w:rPr>
        <w:t>10</w:t>
      </w:r>
      <w:r>
        <w:rPr>
          <w:rFonts w:hint="eastAsia" w:ascii="宋体" w:hAnsi="宋体" w:eastAsia="宋体" w:cs="宋体"/>
          <w:b/>
          <w:bCs/>
          <w:sz w:val="28"/>
          <w:szCs w:val="28"/>
          <w:shd w:val="clear" w:color="auto" w:fill="FFFFFF"/>
        </w:rPr>
        <w:t>）</w:t>
      </w:r>
      <w:r>
        <w:rPr>
          <w:rFonts w:hint="eastAsia" w:ascii="宋体" w:hAnsi="宋体" w:eastAsia="宋体" w:cs="宋体"/>
          <w:b/>
          <w:bCs/>
          <w:sz w:val="28"/>
          <w:szCs w:val="28"/>
          <w:shd w:val="clear" w:color="auto" w:fill="FFFFFF"/>
          <w:lang w:val="en-US" w:bidi="ar"/>
        </w:rPr>
        <w:t>双层油罐</w:t>
      </w:r>
      <w:bookmarkEnd w:id="81"/>
      <w:bookmarkEnd w:id="82"/>
      <w:bookmarkEnd w:id="83"/>
      <w:bookmarkEnd w:id="84"/>
      <w:bookmarkEnd w:id="85"/>
      <w:bookmarkEnd w:id="86"/>
      <w:bookmarkEnd w:id="87"/>
      <w:bookmarkEnd w:id="88"/>
    </w:p>
    <w:p>
      <w:pPr>
        <w:keepNext w:val="0"/>
        <w:keepLines w:val="0"/>
        <w:pageBreakBefore w:val="0"/>
        <w:widowControl w:val="0"/>
        <w:kinsoku/>
        <w:wordWrap/>
        <w:overflowPunct/>
        <w:topLinePunct w:val="0"/>
        <w:autoSpaceDE w:val="0"/>
        <w:autoSpaceDN w:val="0"/>
        <w:bidi w:val="0"/>
        <w:adjustRightInd/>
        <w:snapToGrid/>
        <w:spacing w:line="560" w:lineRule="exact"/>
        <w:ind w:firstLine="720"/>
        <w:textAlignment w:val="auto"/>
        <w:rPr>
          <w:rFonts w:hint="eastAsia" w:ascii="宋体" w:hAnsi="宋体" w:eastAsia="宋体" w:cs="宋体"/>
          <w:sz w:val="28"/>
          <w:szCs w:val="28"/>
          <w:shd w:val="clear" w:color="auto" w:fill="FFFFFF"/>
          <w:lang w:val="en-US" w:bidi="ar"/>
        </w:rPr>
      </w:pPr>
      <w:r>
        <w:rPr>
          <w:rFonts w:hint="eastAsia" w:ascii="宋体" w:hAnsi="宋体" w:eastAsia="宋体" w:cs="宋体"/>
          <w:sz w:val="28"/>
          <w:szCs w:val="28"/>
          <w:shd w:val="clear" w:color="auto" w:fill="FFFFFF"/>
          <w:lang w:val="en-US" w:bidi="ar"/>
        </w:rPr>
        <w:t>双层油罐指</w:t>
      </w:r>
      <w:r>
        <w:rPr>
          <w:rFonts w:hint="eastAsia" w:ascii="宋体" w:hAnsi="宋体" w:eastAsia="宋体" w:cs="宋体"/>
          <w:b/>
          <w:bCs/>
          <w:sz w:val="28"/>
          <w:szCs w:val="28"/>
          <w:shd w:val="clear" w:color="auto" w:fill="FFFFFF"/>
          <w:lang w:val="en-US" w:bidi="ar"/>
        </w:rPr>
        <w:t>SS储油罐、SF储油罐、FF储油罐</w:t>
      </w:r>
      <w:r>
        <w:rPr>
          <w:rFonts w:hint="eastAsia" w:ascii="宋体" w:hAnsi="宋体" w:eastAsia="宋体" w:cs="宋体"/>
          <w:sz w:val="28"/>
          <w:szCs w:val="28"/>
          <w:shd w:val="clear" w:color="auto" w:fill="FFFFFF"/>
          <w:lang w:val="en-US" w:bidi="ar"/>
        </w:rPr>
        <w:t>三种。</w:t>
      </w:r>
    </w:p>
    <w:p>
      <w:pPr>
        <w:keepNext w:val="0"/>
        <w:keepLines w:val="0"/>
        <w:pageBreakBefore w:val="0"/>
        <w:widowControl w:val="0"/>
        <w:kinsoku/>
        <w:wordWrap/>
        <w:overflowPunct/>
        <w:topLinePunct w:val="0"/>
        <w:autoSpaceDE w:val="0"/>
        <w:autoSpaceDN w:val="0"/>
        <w:bidi w:val="0"/>
        <w:adjustRightInd/>
        <w:snapToGrid/>
        <w:spacing w:line="560" w:lineRule="exact"/>
        <w:ind w:firstLine="720"/>
        <w:textAlignment w:val="auto"/>
        <w:rPr>
          <w:rFonts w:hint="eastAsia" w:ascii="宋体" w:hAnsi="宋体" w:eastAsia="宋体" w:cs="宋体"/>
          <w:sz w:val="28"/>
          <w:szCs w:val="28"/>
          <w:shd w:val="clear" w:color="auto" w:fill="FFFFFF"/>
          <w:lang w:val="en-US" w:bidi="ar"/>
        </w:rPr>
      </w:pPr>
      <w:r>
        <w:rPr>
          <w:rFonts w:hint="eastAsia" w:ascii="宋体" w:hAnsi="宋体" w:eastAsia="宋体" w:cs="宋体"/>
          <w:sz w:val="28"/>
          <w:szCs w:val="28"/>
          <w:shd w:val="clear" w:color="auto" w:fill="FFFFFF"/>
          <w:lang w:val="en-US" w:bidi="ar"/>
        </w:rPr>
        <w:t>SS为双层钢罐。</w:t>
      </w:r>
    </w:p>
    <w:p>
      <w:pPr>
        <w:keepNext w:val="0"/>
        <w:keepLines w:val="0"/>
        <w:pageBreakBefore w:val="0"/>
        <w:widowControl w:val="0"/>
        <w:kinsoku/>
        <w:wordWrap/>
        <w:overflowPunct/>
        <w:topLinePunct w:val="0"/>
        <w:autoSpaceDE w:val="0"/>
        <w:autoSpaceDN w:val="0"/>
        <w:bidi w:val="0"/>
        <w:adjustRightInd/>
        <w:snapToGrid/>
        <w:spacing w:line="560" w:lineRule="exact"/>
        <w:ind w:firstLine="720"/>
        <w:textAlignment w:val="auto"/>
        <w:rPr>
          <w:rFonts w:hint="eastAsia" w:ascii="宋体" w:hAnsi="宋体" w:eastAsia="宋体" w:cs="宋体"/>
          <w:sz w:val="28"/>
          <w:szCs w:val="28"/>
          <w:shd w:val="clear" w:color="auto" w:fill="FFFFFF"/>
          <w:lang w:val="en-US" w:bidi="ar"/>
        </w:rPr>
      </w:pPr>
      <w:r>
        <w:rPr>
          <w:rFonts w:hint="eastAsia" w:ascii="宋体" w:hAnsi="宋体" w:eastAsia="宋体" w:cs="宋体"/>
          <w:sz w:val="28"/>
          <w:szCs w:val="28"/>
          <w:shd w:val="clear" w:color="auto" w:fill="FFFFFF"/>
          <w:lang w:val="en-US" w:bidi="ar"/>
        </w:rPr>
        <w:t>SF全名为钢制强化玻璃纤维制双层结构储油容器，是在单层钢制油罐外附加一层玻璃纤维增强塑料(即玻璃钢)防渗外套，从而构成的双层结构油罐。钢制内罐与FRP外罐之间具有贯通间隙空间。</w:t>
      </w:r>
    </w:p>
    <w:p>
      <w:pPr>
        <w:keepNext w:val="0"/>
        <w:keepLines w:val="0"/>
        <w:pageBreakBefore w:val="0"/>
        <w:widowControl w:val="0"/>
        <w:kinsoku/>
        <w:wordWrap/>
        <w:overflowPunct/>
        <w:topLinePunct w:val="0"/>
        <w:autoSpaceDE w:val="0"/>
        <w:autoSpaceDN w:val="0"/>
        <w:bidi w:val="0"/>
        <w:adjustRightInd/>
        <w:snapToGrid/>
        <w:spacing w:line="560" w:lineRule="exact"/>
        <w:ind w:firstLine="720"/>
        <w:textAlignment w:val="auto"/>
        <w:rPr>
          <w:rFonts w:hint="eastAsia" w:ascii="宋体" w:hAnsi="宋体" w:eastAsia="宋体" w:cs="宋体"/>
          <w:sz w:val="28"/>
          <w:szCs w:val="28"/>
          <w:shd w:val="clear" w:color="auto" w:fill="FFFFFF"/>
          <w:lang w:val="en-US" w:bidi="ar"/>
        </w:rPr>
      </w:pPr>
      <w:r>
        <w:rPr>
          <w:rFonts w:hint="eastAsia" w:ascii="宋体" w:hAnsi="宋体" w:eastAsia="宋体" w:cs="宋体"/>
          <w:sz w:val="28"/>
          <w:szCs w:val="28"/>
          <w:shd w:val="clear" w:color="auto" w:fill="FFFFFF"/>
          <w:lang w:val="en-US" w:bidi="ar"/>
        </w:rPr>
        <w:t>FF全名为玻璃纤维增强塑料双层油罐，内外两层皆为玻璃纤维增强塑料制造而成，中间具有贯通间隙空间。</w:t>
      </w:r>
    </w:p>
    <w:p>
      <w:pPr>
        <w:keepNext w:val="0"/>
        <w:keepLines w:val="0"/>
        <w:pageBreakBefore w:val="0"/>
        <w:widowControl w:val="0"/>
        <w:kinsoku/>
        <w:wordWrap/>
        <w:overflowPunct/>
        <w:topLinePunct w:val="0"/>
        <w:autoSpaceDE w:val="0"/>
        <w:autoSpaceDN w:val="0"/>
        <w:bidi w:val="0"/>
        <w:adjustRightInd/>
        <w:snapToGrid/>
        <w:spacing w:line="560" w:lineRule="exact"/>
        <w:ind w:firstLine="720"/>
        <w:textAlignment w:val="auto"/>
        <w:rPr>
          <w:rFonts w:hint="eastAsia" w:ascii="宋体" w:hAnsi="宋体" w:eastAsia="宋体" w:cs="宋体"/>
          <w:sz w:val="28"/>
          <w:szCs w:val="28"/>
          <w:shd w:val="clear" w:color="auto" w:fill="FFFFFF"/>
          <w:lang w:val="en-US" w:bidi="ar"/>
        </w:rPr>
      </w:pPr>
      <w:r>
        <w:rPr>
          <w:rFonts w:hint="eastAsia" w:ascii="宋体" w:hAnsi="宋体" w:eastAsia="宋体" w:cs="宋体"/>
          <w:sz w:val="28"/>
          <w:szCs w:val="28"/>
          <w:shd w:val="clear" w:color="auto" w:fill="FFFFFF"/>
          <w:lang w:val="en-US" w:bidi="ar"/>
        </w:rPr>
        <w:t>双层罐有配备渗漏检测装置，能对间隙空间进行24小时全程监控。一旦内罐或外罐发生渗漏（漏水或漏油），渗漏检测装置的感应器可以监测到间隙空间底部液位时发出警报，保证油罐的安全使用。</w:t>
      </w:r>
    </w:p>
    <w:p>
      <w:pPr>
        <w:keepNext w:val="0"/>
        <w:keepLines w:val="0"/>
        <w:pageBreakBefore w:val="0"/>
        <w:widowControl w:val="0"/>
        <w:kinsoku/>
        <w:wordWrap/>
        <w:overflowPunct/>
        <w:topLinePunct w:val="0"/>
        <w:autoSpaceDE w:val="0"/>
        <w:autoSpaceDN w:val="0"/>
        <w:bidi w:val="0"/>
        <w:adjustRightInd/>
        <w:snapToGrid/>
        <w:spacing w:line="560" w:lineRule="exact"/>
        <w:ind w:firstLine="720"/>
        <w:textAlignment w:val="auto"/>
        <w:rPr>
          <w:rStyle w:val="18"/>
          <w:rFonts w:hint="eastAsia" w:ascii="宋体" w:hAnsi="宋体" w:eastAsia="宋体" w:cs="宋体"/>
          <w:bCs/>
          <w:sz w:val="28"/>
          <w:szCs w:val="28"/>
          <w:shd w:val="clear" w:color="auto" w:fill="FFFFFF"/>
        </w:rPr>
      </w:pPr>
      <w:bookmarkStart w:id="89" w:name="_Toc25602_WPSOffice_Level1"/>
      <w:bookmarkStart w:id="90" w:name="_Toc14558_WPSOffice_Level1"/>
      <w:bookmarkStart w:id="91" w:name="_Toc11166_WPSOffice_Level1"/>
      <w:bookmarkStart w:id="92" w:name="_Toc21683_WPSOffice_Level1"/>
      <w:bookmarkStart w:id="93" w:name="_Toc25525_WPSOffice_Level1"/>
      <w:bookmarkStart w:id="94" w:name="_Toc1256_WPSOffice_Level1"/>
      <w:bookmarkStart w:id="95" w:name="_Toc31185_WPSOffice_Level1"/>
      <w:bookmarkStart w:id="96" w:name="_Toc32174_WPSOffice_Level1"/>
      <w:r>
        <w:rPr>
          <w:rFonts w:hint="eastAsia" w:ascii="宋体" w:hAnsi="宋体" w:eastAsia="宋体" w:cs="宋体"/>
          <w:b/>
          <w:bCs/>
          <w:sz w:val="28"/>
          <w:szCs w:val="28"/>
          <w:shd w:val="clear" w:color="auto" w:fill="FFFFFF"/>
          <w:lang w:val="en-US" w:bidi="ar"/>
        </w:rPr>
        <w:t>11）</w:t>
      </w:r>
      <w:r>
        <w:rPr>
          <w:rStyle w:val="18"/>
          <w:rFonts w:hint="eastAsia" w:ascii="宋体" w:hAnsi="宋体" w:eastAsia="宋体" w:cs="宋体"/>
          <w:bCs/>
          <w:sz w:val="28"/>
          <w:szCs w:val="28"/>
          <w:shd w:val="clear" w:color="auto" w:fill="FFFFFF"/>
        </w:rPr>
        <w:t>双层输油管道</w:t>
      </w:r>
      <w:bookmarkEnd w:id="89"/>
      <w:bookmarkEnd w:id="90"/>
      <w:bookmarkEnd w:id="91"/>
      <w:bookmarkEnd w:id="92"/>
      <w:bookmarkEnd w:id="93"/>
      <w:bookmarkEnd w:id="94"/>
      <w:bookmarkEnd w:id="95"/>
      <w:bookmarkEnd w:id="96"/>
    </w:p>
    <w:p>
      <w:pPr>
        <w:keepNext w:val="0"/>
        <w:keepLines w:val="0"/>
        <w:pageBreakBefore w:val="0"/>
        <w:widowControl w:val="0"/>
        <w:kinsoku/>
        <w:wordWrap/>
        <w:overflowPunct/>
        <w:topLinePunct w:val="0"/>
        <w:autoSpaceDE w:val="0"/>
        <w:autoSpaceDN w:val="0"/>
        <w:bidi w:val="0"/>
        <w:adjustRightInd/>
        <w:snapToGrid/>
        <w:spacing w:line="560" w:lineRule="exact"/>
        <w:ind w:firstLine="720"/>
        <w:textAlignment w:val="auto"/>
        <w:rPr>
          <w:rFonts w:hint="eastAsia" w:ascii="宋体" w:hAnsi="宋体" w:eastAsia="宋体" w:cs="宋体"/>
          <w:sz w:val="28"/>
          <w:szCs w:val="28"/>
          <w:shd w:val="clear" w:color="auto" w:fill="FFFFFF"/>
        </w:rPr>
      </w:pPr>
      <w:r>
        <w:rPr>
          <w:rStyle w:val="18"/>
          <w:rFonts w:hint="eastAsia" w:ascii="宋体" w:hAnsi="宋体" w:eastAsia="宋体" w:cs="宋体"/>
          <w:b w:val="0"/>
          <w:sz w:val="28"/>
          <w:szCs w:val="28"/>
          <w:shd w:val="clear" w:color="auto" w:fill="FFFFFF"/>
        </w:rPr>
        <w:t>双层输油管道</w:t>
      </w:r>
      <w:r>
        <w:rPr>
          <w:rFonts w:hint="eastAsia" w:ascii="宋体" w:hAnsi="宋体" w:eastAsia="宋体" w:cs="宋体"/>
          <w:sz w:val="28"/>
          <w:szCs w:val="28"/>
          <w:shd w:val="clear" w:color="auto" w:fill="FFFFFF"/>
        </w:rPr>
        <w:t>使用的是新型复合材料，所有管线、接头、三通等部件全部在工厂预制完成,输油管道系统同样可配备渗漏监测报警装置，使得整个加油站从油罐到加油机的核心工艺流程实现了全程在线监测，为加油站的安全以及数质量管理保驾护航,输油管道的内、外管壁间的夹层间隙应能容纳和监测主管道所输送液体燃料的渗漏。夹层间隙空间保持密闭且全线贯通。</w:t>
      </w:r>
    </w:p>
    <w:p>
      <w:pPr>
        <w:spacing w:line="500" w:lineRule="exact"/>
        <w:ind w:firstLine="720"/>
        <w:rPr>
          <w:rFonts w:hint="eastAsia" w:ascii="宋体" w:hAnsi="宋体" w:eastAsia="宋体" w:cs="宋体"/>
          <w:sz w:val="28"/>
          <w:szCs w:val="28"/>
          <w:shd w:val="clear" w:color="auto" w:fill="FFFFFF"/>
        </w:rPr>
      </w:pPr>
    </w:p>
    <w:p>
      <w:pPr>
        <w:spacing w:line="500" w:lineRule="exact"/>
        <w:ind w:firstLine="720"/>
        <w:rPr>
          <w:rFonts w:hint="eastAsia" w:ascii="宋体" w:hAnsi="宋体" w:eastAsia="宋体" w:cs="宋体"/>
          <w:sz w:val="28"/>
          <w:szCs w:val="28"/>
          <w:shd w:val="clear" w:color="auto" w:fill="FFFFFF"/>
        </w:rPr>
      </w:pPr>
    </w:p>
    <w:p>
      <w:pPr>
        <w:spacing w:line="500" w:lineRule="exact"/>
        <w:ind w:firstLine="720"/>
        <w:rPr>
          <w:rFonts w:hint="eastAsia" w:ascii="宋体" w:hAnsi="宋体" w:eastAsia="宋体" w:cs="宋体"/>
          <w:sz w:val="28"/>
          <w:szCs w:val="28"/>
          <w:shd w:val="clear" w:color="auto" w:fill="FFFFFF"/>
        </w:rPr>
      </w:pPr>
    </w:p>
    <w:p>
      <w:pPr>
        <w:spacing w:line="500" w:lineRule="exact"/>
        <w:ind w:firstLine="720"/>
        <w:rPr>
          <w:rFonts w:hint="eastAsia" w:ascii="宋体" w:hAnsi="宋体" w:eastAsia="宋体" w:cs="宋体"/>
          <w:sz w:val="28"/>
          <w:szCs w:val="28"/>
          <w:shd w:val="clear" w:color="auto" w:fill="FFFFFF"/>
        </w:rPr>
        <w:sectPr>
          <w:headerReference r:id="rId5" w:type="default"/>
          <w:footerReference r:id="rId6" w:type="default"/>
          <w:pgSz w:w="11910" w:h="16840"/>
          <w:pgMar w:top="1417" w:right="1134" w:bottom="1134" w:left="1587" w:header="720" w:footer="720" w:gutter="0"/>
          <w:pgNumType w:fmt="decimal" w:start="1"/>
          <w:cols w:space="0" w:num="1"/>
        </w:sectPr>
      </w:pPr>
    </w:p>
    <w:p>
      <w:pPr>
        <w:pStyle w:val="2"/>
        <w:spacing w:before="240" w:beforeLines="100" w:after="240" w:afterLines="100"/>
        <w:ind w:firstLine="0"/>
        <w:jc w:val="center"/>
        <w:rPr>
          <w:rFonts w:hint="eastAsia" w:ascii="宋体" w:hAnsi="宋体" w:eastAsia="宋体" w:cs="宋体"/>
        </w:rPr>
      </w:pPr>
      <w:bookmarkStart w:id="97" w:name="_Toc9100"/>
      <w:bookmarkStart w:id="98" w:name="_Toc29206_WPSOffice_Level1"/>
      <w:bookmarkStart w:id="99" w:name="_Toc29963_WPSOffice_Level1"/>
      <w:bookmarkStart w:id="100" w:name="_Toc3565"/>
      <w:bookmarkStart w:id="101" w:name="_Toc16366_WPSOffice_Level1"/>
      <w:bookmarkStart w:id="102" w:name="_Toc29565_WPSOffice_Level1"/>
      <w:bookmarkStart w:id="103" w:name="_Toc16305"/>
      <w:r>
        <w:rPr>
          <w:rFonts w:hint="eastAsia" w:ascii="宋体" w:hAnsi="宋体" w:eastAsia="宋体" w:cs="宋体"/>
        </w:rPr>
        <w:t>1 安全评价工作经过</w:t>
      </w:r>
      <w:bookmarkEnd w:id="97"/>
      <w:bookmarkEnd w:id="98"/>
      <w:bookmarkEnd w:id="99"/>
      <w:bookmarkEnd w:id="100"/>
      <w:bookmarkEnd w:id="101"/>
      <w:bookmarkEnd w:id="102"/>
      <w:bookmarkEnd w:id="103"/>
    </w:p>
    <w:p>
      <w:pPr>
        <w:pStyle w:val="3"/>
        <w:jc w:val="center"/>
        <w:rPr>
          <w:rFonts w:hint="eastAsia" w:ascii="宋体" w:hAnsi="宋体" w:eastAsia="宋体" w:cs="宋体"/>
          <w:b/>
          <w:bCs/>
        </w:rPr>
      </w:pPr>
      <w:bookmarkStart w:id="104" w:name="_Toc6749"/>
      <w:bookmarkStart w:id="105" w:name="_Toc12199_WPSOffice_Level2"/>
      <w:bookmarkStart w:id="106" w:name="_Toc6867_WPSOffice_Level2"/>
      <w:bookmarkStart w:id="107" w:name="_Toc23382"/>
      <w:bookmarkStart w:id="108" w:name="_Toc23443"/>
      <w:bookmarkStart w:id="109" w:name="_Toc24714_WPSOffice_Level2"/>
      <w:r>
        <w:rPr>
          <w:rFonts w:hint="eastAsia" w:ascii="宋体" w:hAnsi="宋体" w:eastAsia="宋体" w:cs="宋体"/>
          <w:b/>
          <w:bCs/>
        </w:rPr>
        <w:t>1.1</w:t>
      </w:r>
      <w:r>
        <w:rPr>
          <w:rFonts w:hint="eastAsia" w:ascii="宋体" w:hAnsi="宋体" w:eastAsia="宋体" w:cs="宋体"/>
          <w:b/>
          <w:bCs/>
          <w:lang w:val="en-US"/>
        </w:rPr>
        <w:t xml:space="preserve"> </w:t>
      </w:r>
      <w:r>
        <w:rPr>
          <w:rFonts w:hint="eastAsia" w:ascii="宋体" w:hAnsi="宋体" w:eastAsia="宋体" w:cs="宋体"/>
          <w:b/>
          <w:bCs/>
        </w:rPr>
        <w:t>编制说明</w:t>
      </w:r>
      <w:bookmarkEnd w:id="104"/>
      <w:bookmarkEnd w:id="105"/>
      <w:bookmarkEnd w:id="106"/>
      <w:bookmarkEnd w:id="107"/>
      <w:bookmarkEnd w:id="108"/>
      <w:bookmarkEnd w:id="109"/>
    </w:p>
    <w:p>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jc w:val="both"/>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rPr>
        <w:t>中</w:t>
      </w:r>
      <w:r>
        <w:rPr>
          <w:rFonts w:hint="eastAsia" w:ascii="宋体" w:hAnsi="宋体" w:eastAsia="宋体" w:cs="宋体"/>
          <w:color w:val="auto"/>
          <w:sz w:val="28"/>
          <w:szCs w:val="28"/>
          <w:lang w:eastAsia="zh-CN"/>
        </w:rPr>
        <w:t>国石化销售有限公司广东东莞寮步横坑加油站位于广东省东莞市寮步镇莞樟路寮步段192号101室，成立于2013年03月14日，属于有限责任公司分公司（法人独资）企业，负责人：江泽彬，统一社会信用代码：914419000651009425，经营范围：零售：汽油、柴油、润滑油、沥青、燃料油、预包装食品（含冷藏冷冻食品）、特殊食品（保健食品、婴幼儿配方乳粉）、卷烟、雪茄烟、纺织、服装、日用品、五金、家用电器及电子产品、充值卡；委托代理收取水电费；票务代理服务；机动车维修（汽车清洗服务）。（依法须经批准的项目，经相关部门批准后方可开展经营活动。）。</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color w:val="auto"/>
          <w:sz w:val="28"/>
          <w:szCs w:val="28"/>
          <w:lang w:val="en-US" w:eastAsia="zh-CN"/>
        </w:rPr>
      </w:pPr>
      <w:r>
        <w:rPr>
          <w:rFonts w:hint="eastAsia" w:ascii="宋体" w:hAnsi="宋体" w:eastAsia="宋体" w:cs="宋体"/>
          <w:spacing w:val="-7"/>
          <w:sz w:val="28"/>
          <w:szCs w:val="28"/>
          <w:lang w:val="en-US" w:eastAsia="zh-CN"/>
        </w:rPr>
        <w:t>横坑加油站</w:t>
      </w:r>
      <w:r>
        <w:rPr>
          <w:rFonts w:hint="eastAsia" w:ascii="宋体" w:hAnsi="宋体" w:eastAsia="宋体" w:cs="宋体"/>
          <w:color w:val="auto"/>
          <w:sz w:val="28"/>
          <w:szCs w:val="28"/>
        </w:rPr>
        <w:t>于201</w:t>
      </w:r>
      <w:r>
        <w:rPr>
          <w:rFonts w:hint="eastAsia" w:ascii="宋体" w:hAnsi="宋体" w:eastAsia="宋体" w:cs="宋体"/>
          <w:color w:val="auto"/>
          <w:sz w:val="28"/>
          <w:szCs w:val="28"/>
          <w:lang w:val="en-US" w:eastAsia="zh-CN"/>
        </w:rPr>
        <w:t>7</w:t>
      </w:r>
      <w:r>
        <w:rPr>
          <w:rFonts w:hint="eastAsia" w:ascii="宋体" w:hAnsi="宋体" w:eastAsia="宋体" w:cs="宋体"/>
          <w:color w:val="auto"/>
          <w:sz w:val="28"/>
          <w:szCs w:val="28"/>
        </w:rPr>
        <w:t>年</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月</w:t>
      </w:r>
      <w:r>
        <w:rPr>
          <w:rFonts w:hint="eastAsia" w:ascii="宋体" w:hAnsi="宋体" w:eastAsia="宋体" w:cs="宋体"/>
          <w:color w:val="auto"/>
          <w:sz w:val="28"/>
          <w:szCs w:val="28"/>
          <w:lang w:val="en-US" w:eastAsia="zh-CN"/>
        </w:rPr>
        <w:t>13</w:t>
      </w:r>
      <w:r>
        <w:rPr>
          <w:rFonts w:hint="eastAsia" w:ascii="宋体" w:hAnsi="宋体" w:eastAsia="宋体" w:cs="宋体"/>
          <w:color w:val="auto"/>
          <w:sz w:val="28"/>
          <w:szCs w:val="28"/>
        </w:rPr>
        <w:t>日取得了东莞市安全生产监督管理局核发的危险化学品经营许可证，证书编号：粤东危化经字[201</w:t>
      </w:r>
      <w:r>
        <w:rPr>
          <w:rFonts w:hint="eastAsia" w:ascii="宋体" w:hAnsi="宋体" w:eastAsia="宋体" w:cs="宋体"/>
          <w:color w:val="auto"/>
          <w:sz w:val="28"/>
          <w:szCs w:val="28"/>
          <w:lang w:val="en-US" w:eastAsia="zh-CN"/>
        </w:rPr>
        <w:t>7</w:t>
      </w:r>
      <w:r>
        <w:rPr>
          <w:rFonts w:hint="eastAsia" w:ascii="宋体" w:hAnsi="宋体" w:eastAsia="宋体" w:cs="宋体"/>
          <w:color w:val="auto"/>
          <w:sz w:val="28"/>
          <w:szCs w:val="28"/>
        </w:rPr>
        <w:t>]000</w:t>
      </w:r>
      <w:r>
        <w:rPr>
          <w:rFonts w:hint="eastAsia" w:ascii="宋体" w:hAnsi="宋体" w:eastAsia="宋体" w:cs="宋体"/>
          <w:color w:val="auto"/>
          <w:sz w:val="28"/>
          <w:szCs w:val="28"/>
          <w:lang w:val="en-US" w:eastAsia="zh-CN"/>
        </w:rPr>
        <w:t>058</w:t>
      </w:r>
      <w:r>
        <w:rPr>
          <w:rFonts w:hint="eastAsia" w:ascii="宋体" w:hAnsi="宋体" w:eastAsia="宋体" w:cs="宋体"/>
          <w:color w:val="auto"/>
          <w:sz w:val="28"/>
          <w:szCs w:val="28"/>
        </w:rPr>
        <w:t>号，有效期限20</w:t>
      </w:r>
      <w:r>
        <w:rPr>
          <w:rFonts w:hint="eastAsia" w:ascii="宋体" w:hAnsi="宋体" w:eastAsia="宋体" w:cs="宋体"/>
          <w:color w:val="auto"/>
          <w:sz w:val="28"/>
          <w:szCs w:val="28"/>
          <w:lang w:val="en-US" w:eastAsia="zh-CN"/>
        </w:rPr>
        <w:t>17</w:t>
      </w:r>
      <w:r>
        <w:rPr>
          <w:rFonts w:hint="eastAsia" w:ascii="宋体" w:hAnsi="宋体" w:eastAsia="宋体" w:cs="宋体"/>
          <w:color w:val="auto"/>
          <w:sz w:val="28"/>
          <w:szCs w:val="28"/>
        </w:rPr>
        <w:t>年</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月</w:t>
      </w:r>
      <w:r>
        <w:rPr>
          <w:rFonts w:hint="eastAsia" w:ascii="宋体" w:hAnsi="宋体" w:eastAsia="宋体" w:cs="宋体"/>
          <w:color w:val="auto"/>
          <w:sz w:val="28"/>
          <w:szCs w:val="28"/>
          <w:lang w:val="en-US" w:eastAsia="zh-CN"/>
        </w:rPr>
        <w:t>13</w:t>
      </w:r>
      <w:r>
        <w:rPr>
          <w:rFonts w:hint="eastAsia" w:ascii="宋体" w:hAnsi="宋体" w:eastAsia="宋体" w:cs="宋体"/>
          <w:color w:val="auto"/>
          <w:sz w:val="28"/>
          <w:szCs w:val="28"/>
        </w:rPr>
        <w:t>日至20</w:t>
      </w:r>
      <w:r>
        <w:rPr>
          <w:rFonts w:hint="eastAsia" w:ascii="宋体" w:hAnsi="宋体" w:eastAsia="宋体" w:cs="宋体"/>
          <w:color w:val="auto"/>
          <w:sz w:val="28"/>
          <w:szCs w:val="28"/>
          <w:lang w:val="en-US" w:eastAsia="zh-CN"/>
        </w:rPr>
        <w:t>20</w:t>
      </w:r>
      <w:r>
        <w:rPr>
          <w:rFonts w:hint="eastAsia" w:ascii="宋体" w:hAnsi="宋体" w:eastAsia="宋体" w:cs="宋体"/>
          <w:color w:val="auto"/>
          <w:sz w:val="28"/>
          <w:szCs w:val="28"/>
        </w:rPr>
        <w:t>年</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月</w:t>
      </w:r>
      <w:r>
        <w:rPr>
          <w:rFonts w:hint="eastAsia" w:ascii="宋体" w:hAnsi="宋体" w:eastAsia="宋体" w:cs="宋体"/>
          <w:color w:val="auto"/>
          <w:sz w:val="28"/>
          <w:szCs w:val="28"/>
          <w:lang w:val="en-US" w:eastAsia="zh-CN"/>
        </w:rPr>
        <w:t>12</w:t>
      </w:r>
      <w:r>
        <w:rPr>
          <w:rFonts w:hint="eastAsia" w:ascii="宋体" w:hAnsi="宋体" w:eastAsia="宋体" w:cs="宋体"/>
          <w:color w:val="auto"/>
          <w:sz w:val="28"/>
          <w:szCs w:val="28"/>
        </w:rPr>
        <w:t>日。许可范围为：汽油</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1630</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、柴油</w:t>
      </w:r>
      <w:r>
        <w:rPr>
          <w:rFonts w:hint="eastAsia" w:ascii="宋体" w:hAnsi="宋体" w:eastAsia="宋体" w:cs="宋体"/>
          <w:color w:val="auto"/>
          <w:sz w:val="28"/>
          <w:szCs w:val="28"/>
          <w:lang w:eastAsia="zh-CN"/>
        </w:rPr>
        <w:t>（闭杯闪点≤</w:t>
      </w:r>
      <w:r>
        <w:rPr>
          <w:rFonts w:hint="eastAsia" w:ascii="宋体" w:hAnsi="宋体" w:eastAsia="宋体" w:cs="宋体"/>
          <w:color w:val="auto"/>
          <w:sz w:val="28"/>
          <w:szCs w:val="28"/>
          <w:lang w:val="en-US" w:eastAsia="zh-CN"/>
        </w:rPr>
        <w:t>60℃</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***（备注：二级加油站，其中汽油罐40m³×2个</w:t>
      </w:r>
      <w:r>
        <w:rPr>
          <w:rFonts w:hint="eastAsia" w:ascii="宋体" w:hAnsi="宋体" w:eastAsia="宋体" w:cs="宋体"/>
          <w:color w:val="auto"/>
          <w:sz w:val="28"/>
          <w:szCs w:val="28"/>
          <w:lang w:val="en-US" w:eastAsia="zh-CN"/>
        </w:rPr>
        <w:t>，</w:t>
      </w:r>
      <w:r>
        <w:rPr>
          <w:rFonts w:hint="eastAsia" w:ascii="宋体" w:hAnsi="宋体" w:eastAsia="宋体" w:cs="宋体"/>
          <w:color w:val="auto"/>
          <w:sz w:val="28"/>
          <w:szCs w:val="28"/>
        </w:rPr>
        <w:t>柴油罐40m³×</w:t>
      </w:r>
      <w:r>
        <w:rPr>
          <w:rFonts w:hint="eastAsia" w:ascii="宋体" w:hAnsi="宋体" w:eastAsia="宋体" w:cs="宋体"/>
          <w:color w:val="auto"/>
          <w:sz w:val="28"/>
          <w:szCs w:val="28"/>
          <w:lang w:val="en-US" w:eastAsia="zh-CN"/>
        </w:rPr>
        <w:t>2</w:t>
      </w:r>
      <w:r>
        <w:rPr>
          <w:rFonts w:hint="eastAsia" w:ascii="宋体" w:hAnsi="宋体" w:eastAsia="宋体" w:cs="宋体"/>
          <w:color w:val="auto"/>
          <w:sz w:val="28"/>
          <w:szCs w:val="28"/>
        </w:rPr>
        <w:t>个）***。根据《汽车加油加气站设计与施工规范》（GB50156－2012）（2014年局部修订版）第3.0.9条关于加油站的等级划分规定，柴油容积折半计入油罐总容积，该加油站总容积为V=2×40 m³＋</w:t>
      </w:r>
      <w:r>
        <w:rPr>
          <w:rFonts w:hint="eastAsia" w:ascii="宋体" w:hAnsi="宋体" w:eastAsia="宋体" w:cs="宋体"/>
          <w:color w:val="auto"/>
          <w:sz w:val="28"/>
          <w:szCs w:val="28"/>
          <w:lang w:val="en-US" w:eastAsia="zh-CN"/>
        </w:rPr>
        <w:t>2</w:t>
      </w:r>
      <w:r>
        <w:rPr>
          <w:rFonts w:hint="eastAsia" w:ascii="宋体" w:hAnsi="宋体" w:eastAsia="宋体" w:cs="宋体"/>
          <w:color w:val="auto"/>
          <w:sz w:val="28"/>
          <w:szCs w:val="28"/>
        </w:rPr>
        <w:t>×40 m³/2＝12</w:t>
      </w:r>
      <w:r>
        <w:rPr>
          <w:rFonts w:hint="eastAsia" w:ascii="宋体" w:hAnsi="宋体" w:eastAsia="宋体" w:cs="宋体"/>
          <w:color w:val="auto"/>
          <w:sz w:val="28"/>
          <w:szCs w:val="28"/>
          <w:lang w:val="en-US" w:eastAsia="zh-CN"/>
        </w:rPr>
        <w:t>0</w:t>
      </w:r>
      <w:r>
        <w:rPr>
          <w:rFonts w:hint="eastAsia" w:ascii="宋体" w:hAnsi="宋体" w:eastAsia="宋体" w:cs="宋体"/>
          <w:color w:val="auto"/>
          <w:sz w:val="28"/>
          <w:szCs w:val="28"/>
        </w:rPr>
        <w:t xml:space="preserve"> m³，且单罐容积汽油、柴油储罐≤50m³，总容积90m³＜V≤150 m³，因此，该加油站属于二级加油站</w:t>
      </w:r>
      <w:r>
        <w:rPr>
          <w:rFonts w:hint="eastAsia" w:ascii="宋体" w:hAnsi="宋体" w:eastAsia="宋体" w:cs="宋体"/>
          <w:color w:val="auto"/>
          <w:sz w:val="28"/>
          <w:szCs w:val="28"/>
          <w:lang w:val="en-US" w:eastAsia="zh-CN"/>
        </w:rPr>
        <w:t>。</w:t>
      </w:r>
    </w:p>
    <w:p>
      <w:pPr>
        <w:pStyle w:val="48"/>
        <w:keepNext w:val="0"/>
        <w:keepLines w:val="0"/>
        <w:pageBreakBefore w:val="0"/>
        <w:widowControl w:val="0"/>
        <w:numPr>
          <w:ilvl w:val="0"/>
          <w:numId w:val="0"/>
        </w:numPr>
        <w:kinsoku/>
        <w:wordWrap/>
        <w:overflowPunct/>
        <w:topLinePunct w:val="0"/>
        <w:autoSpaceDE w:val="0"/>
        <w:autoSpaceDN w:val="0"/>
        <w:bidi w:val="0"/>
        <w:adjustRightInd w:val="0"/>
        <w:spacing w:line="560" w:lineRule="exact"/>
        <w:ind w:firstLine="532" w:firstLineChars="200"/>
        <w:textAlignment w:val="auto"/>
        <w:rPr>
          <w:rFonts w:hint="eastAsia" w:ascii="宋体" w:hAnsi="宋体" w:eastAsia="宋体" w:cs="宋体"/>
          <w:sz w:val="28"/>
          <w:szCs w:val="28"/>
          <w:lang w:val="en-US" w:eastAsia="zh-CN"/>
        </w:rPr>
      </w:pPr>
      <w:r>
        <w:rPr>
          <w:rFonts w:hint="eastAsia" w:ascii="宋体" w:hAnsi="宋体" w:eastAsia="宋体" w:cs="宋体"/>
          <w:spacing w:val="-7"/>
          <w:sz w:val="28"/>
          <w:szCs w:val="28"/>
          <w:lang w:val="en-US" w:eastAsia="zh-CN"/>
        </w:rPr>
        <w:t>由于横坑加油站设立时间较早，埋地储罐及工艺管线老化、腐蚀潜在油品泄漏风险，为消除安全隐患、满足国家相关法律、法规要求，中国石化销售股份</w:t>
      </w:r>
      <w:r>
        <w:rPr>
          <w:rFonts w:hint="eastAsia" w:ascii="宋体" w:hAnsi="宋体" w:eastAsia="宋体" w:cs="宋体"/>
          <w:sz w:val="28"/>
          <w:szCs w:val="28"/>
          <w:lang w:val="en-US" w:eastAsia="zh-CN"/>
        </w:rPr>
        <w:t>有限公司广东东莞寮步横坑加油站对油站进行了改造，横坑加油站于2019年12月01日开始改造工程施工，2019年12月22日完成改造工程。主要改造工程内容：</w:t>
      </w:r>
    </w:p>
    <w:p>
      <w:pPr>
        <w:pStyle w:val="48"/>
        <w:keepNext w:val="0"/>
        <w:keepLines w:val="0"/>
        <w:pageBreakBefore w:val="0"/>
        <w:widowControl w:val="0"/>
        <w:numPr>
          <w:ilvl w:val="0"/>
          <w:numId w:val="1"/>
        </w:numPr>
        <w:kinsoku/>
        <w:wordWrap/>
        <w:overflowPunct/>
        <w:topLinePunct w:val="0"/>
        <w:autoSpaceDE w:val="0"/>
        <w:autoSpaceDN w:val="0"/>
        <w:bidi w:val="0"/>
        <w:adjustRightInd w:val="0"/>
        <w:spacing w:line="560" w:lineRule="exact"/>
        <w:ind w:firstLineChars="200"/>
        <w:textAlignment w:val="auto"/>
        <w:rPr>
          <w:rFonts w:hint="eastAsia" w:ascii="宋体" w:hAnsi="宋体" w:eastAsia="宋体" w:cs="宋体"/>
          <w:sz w:val="28"/>
          <w:szCs w:val="28"/>
        </w:rPr>
      </w:pPr>
      <w:r>
        <w:rPr>
          <w:rFonts w:hint="eastAsia" w:ascii="宋体" w:hAnsi="宋体" w:eastAsia="宋体" w:cs="宋体"/>
          <w:sz w:val="28"/>
          <w:szCs w:val="28"/>
        </w:rPr>
        <w:t>本次改造</w:t>
      </w:r>
      <w:r>
        <w:rPr>
          <w:rFonts w:hint="eastAsia" w:ascii="宋体" w:hAnsi="宋体" w:eastAsia="宋体" w:cs="宋体"/>
          <w:sz w:val="28"/>
          <w:szCs w:val="28"/>
          <w:lang w:eastAsia="zh-CN"/>
        </w:rPr>
        <w:t>在</w:t>
      </w:r>
      <w:r>
        <w:rPr>
          <w:rFonts w:hint="eastAsia" w:ascii="宋体" w:hAnsi="宋体" w:eastAsia="宋体" w:cs="宋体"/>
          <w:sz w:val="28"/>
          <w:szCs w:val="28"/>
        </w:rPr>
        <w:t>原址油罐区</w:t>
      </w:r>
      <w:r>
        <w:rPr>
          <w:rFonts w:hint="eastAsia" w:ascii="宋体" w:hAnsi="宋体" w:eastAsia="宋体" w:cs="宋体"/>
          <w:sz w:val="28"/>
          <w:szCs w:val="28"/>
          <w:lang w:eastAsia="zh-CN"/>
        </w:rPr>
        <w:t>将</w:t>
      </w:r>
      <w:r>
        <w:rPr>
          <w:rFonts w:hint="eastAsia" w:ascii="宋体" w:hAnsi="宋体" w:eastAsia="宋体" w:cs="宋体"/>
          <w:sz w:val="28"/>
          <w:szCs w:val="28"/>
        </w:rPr>
        <w:t>4个埋地油罐更换为4个新的SF双层埋地储罐。改造后为1个50m³SF双层埋地柴油罐、1个15m³SF双层埋地汽油罐、1个30m³SF双层埋地汽油罐、1个50m³SF双层埋地汽油罐，油罐总容积120m³（柴油罐容积折半计入总容积），加油站设计级别为二级</w:t>
      </w:r>
      <w:r>
        <w:rPr>
          <w:rFonts w:hint="eastAsia" w:ascii="宋体" w:hAnsi="宋体" w:eastAsia="宋体" w:cs="宋体"/>
          <w:sz w:val="28"/>
          <w:szCs w:val="28"/>
          <w:lang w:eastAsia="zh-CN"/>
        </w:rPr>
        <w:t>，保持不变</w:t>
      </w:r>
      <w:r>
        <w:rPr>
          <w:rFonts w:hint="eastAsia" w:ascii="宋体" w:hAnsi="宋体" w:eastAsia="宋体" w:cs="宋体"/>
          <w:sz w:val="28"/>
          <w:szCs w:val="28"/>
        </w:rPr>
        <w:t>。</w:t>
      </w:r>
    </w:p>
    <w:p>
      <w:pPr>
        <w:pStyle w:val="48"/>
        <w:keepNext w:val="0"/>
        <w:keepLines w:val="0"/>
        <w:pageBreakBefore w:val="0"/>
        <w:widowControl w:val="0"/>
        <w:numPr>
          <w:ilvl w:val="0"/>
          <w:numId w:val="1"/>
        </w:numPr>
        <w:kinsoku/>
        <w:wordWrap/>
        <w:overflowPunct/>
        <w:topLinePunct w:val="0"/>
        <w:autoSpaceDE w:val="0"/>
        <w:autoSpaceDN w:val="0"/>
        <w:bidi w:val="0"/>
        <w:adjustRightInd w:val="0"/>
        <w:spacing w:line="560" w:lineRule="exact"/>
        <w:ind w:firstLineChars="200"/>
        <w:textAlignment w:val="auto"/>
        <w:rPr>
          <w:rFonts w:hint="eastAsia" w:ascii="宋体" w:hAnsi="宋体" w:eastAsia="宋体" w:cs="宋体"/>
          <w:sz w:val="28"/>
          <w:szCs w:val="28"/>
        </w:rPr>
      </w:pPr>
      <w:r>
        <w:rPr>
          <w:rFonts w:hint="eastAsia" w:ascii="宋体" w:hAnsi="宋体" w:eastAsia="宋体" w:cs="宋体"/>
          <w:sz w:val="28"/>
          <w:szCs w:val="28"/>
        </w:rPr>
        <w:t>保留原有8台8枪加油机。</w:t>
      </w:r>
    </w:p>
    <w:p>
      <w:pPr>
        <w:pStyle w:val="48"/>
        <w:keepNext w:val="0"/>
        <w:keepLines w:val="0"/>
        <w:pageBreakBefore w:val="0"/>
        <w:widowControl w:val="0"/>
        <w:kinsoku/>
        <w:wordWrap/>
        <w:overflowPunct/>
        <w:topLinePunct w:val="0"/>
        <w:autoSpaceDE w:val="0"/>
        <w:autoSpaceDN w:val="0"/>
        <w:bidi w:val="0"/>
        <w:adjustRightInd w:val="0"/>
        <w:spacing w:line="560" w:lineRule="exact"/>
        <w:ind w:firstLineChars="200"/>
        <w:textAlignment w:val="auto"/>
        <w:rPr>
          <w:rFonts w:hint="eastAsia" w:ascii="宋体" w:hAnsi="宋体" w:eastAsia="宋体" w:cs="宋体"/>
          <w:sz w:val="28"/>
          <w:szCs w:val="28"/>
        </w:rPr>
      </w:pPr>
      <w:r>
        <w:rPr>
          <w:rFonts w:hint="eastAsia" w:ascii="宋体" w:hAnsi="宋体" w:eastAsia="宋体" w:cs="宋体"/>
          <w:sz w:val="28"/>
          <w:szCs w:val="28"/>
        </w:rPr>
        <w:t>（3）更换加油设备（潜油泵、液位器、渗漏在线监测仪、油气回收在线检测仪）及工艺管道（出油管、卸油管、通气管、加油及卸油油气回收管）。</w:t>
      </w:r>
    </w:p>
    <w:p>
      <w:pPr>
        <w:pStyle w:val="48"/>
        <w:keepNext w:val="0"/>
        <w:keepLines w:val="0"/>
        <w:pageBreakBefore w:val="0"/>
        <w:widowControl w:val="0"/>
        <w:kinsoku/>
        <w:wordWrap/>
        <w:overflowPunct/>
        <w:topLinePunct w:val="0"/>
        <w:autoSpaceDE w:val="0"/>
        <w:autoSpaceDN w:val="0"/>
        <w:bidi w:val="0"/>
        <w:adjustRightInd w:val="0"/>
        <w:spacing w:line="560" w:lineRule="exact"/>
        <w:ind w:firstLineChars="200"/>
        <w:textAlignment w:val="auto"/>
        <w:rPr>
          <w:rFonts w:hint="eastAsia" w:ascii="宋体" w:hAnsi="宋体" w:eastAsia="宋体" w:cs="宋体"/>
          <w:sz w:val="28"/>
          <w:szCs w:val="28"/>
        </w:rPr>
      </w:pPr>
      <w:r>
        <w:rPr>
          <w:rFonts w:hint="eastAsia" w:ascii="宋体" w:hAnsi="宋体" w:eastAsia="宋体" w:cs="宋体"/>
          <w:sz w:val="28"/>
          <w:szCs w:val="28"/>
        </w:rPr>
        <w:t>（4）更换设备控制与动力电缆。</w:t>
      </w:r>
    </w:p>
    <w:p>
      <w:pPr>
        <w:pStyle w:val="48"/>
        <w:keepNext w:val="0"/>
        <w:keepLines w:val="0"/>
        <w:pageBreakBefore w:val="0"/>
        <w:widowControl w:val="0"/>
        <w:kinsoku/>
        <w:wordWrap/>
        <w:overflowPunct/>
        <w:topLinePunct w:val="0"/>
        <w:autoSpaceDE w:val="0"/>
        <w:autoSpaceDN w:val="0"/>
        <w:bidi w:val="0"/>
        <w:adjustRightInd w:val="0"/>
        <w:spacing w:line="560" w:lineRule="exact"/>
        <w:ind w:firstLineChars="200"/>
        <w:textAlignment w:val="auto"/>
        <w:rPr>
          <w:rFonts w:hint="eastAsia" w:ascii="宋体" w:hAnsi="宋体" w:eastAsia="宋体" w:cs="宋体"/>
          <w:sz w:val="28"/>
          <w:szCs w:val="28"/>
        </w:rPr>
      </w:pPr>
      <w:r>
        <w:rPr>
          <w:rFonts w:hint="eastAsia" w:ascii="宋体" w:hAnsi="宋体" w:eastAsia="宋体" w:cs="宋体"/>
          <w:sz w:val="28"/>
          <w:szCs w:val="28"/>
        </w:rPr>
        <w:t>（5）安装应急照明、实时监控系统。</w:t>
      </w:r>
    </w:p>
    <w:p>
      <w:pPr>
        <w:pStyle w:val="48"/>
        <w:keepNext w:val="0"/>
        <w:keepLines w:val="0"/>
        <w:pageBreakBefore w:val="0"/>
        <w:widowControl w:val="0"/>
        <w:kinsoku/>
        <w:wordWrap/>
        <w:overflowPunct/>
        <w:topLinePunct w:val="0"/>
        <w:autoSpaceDE w:val="0"/>
        <w:autoSpaceDN w:val="0"/>
        <w:bidi w:val="0"/>
        <w:adjustRightInd w:val="0"/>
        <w:spacing w:line="560" w:lineRule="exact"/>
        <w:ind w:firstLineChars="200"/>
        <w:textAlignment w:val="auto"/>
        <w:rPr>
          <w:rFonts w:hint="eastAsia" w:ascii="宋体" w:hAnsi="宋体" w:eastAsia="宋体" w:cs="宋体"/>
          <w:sz w:val="28"/>
          <w:szCs w:val="28"/>
        </w:rPr>
      </w:pPr>
      <w:r>
        <w:rPr>
          <w:rFonts w:hint="eastAsia" w:ascii="宋体" w:hAnsi="宋体" w:eastAsia="宋体" w:cs="宋体"/>
          <w:sz w:val="28"/>
          <w:szCs w:val="28"/>
        </w:rPr>
        <w:t>（6）安装双层油罐和加油双层管道渗漏在线监测系统。</w:t>
      </w:r>
    </w:p>
    <w:p>
      <w:pPr>
        <w:pStyle w:val="48"/>
        <w:keepNext w:val="0"/>
        <w:keepLines w:val="0"/>
        <w:pageBreakBefore w:val="0"/>
        <w:widowControl w:val="0"/>
        <w:kinsoku/>
        <w:wordWrap/>
        <w:overflowPunct/>
        <w:topLinePunct w:val="0"/>
        <w:autoSpaceDE w:val="0"/>
        <w:autoSpaceDN w:val="0"/>
        <w:bidi w:val="0"/>
        <w:adjustRightInd w:val="0"/>
        <w:spacing w:line="560" w:lineRule="exact"/>
        <w:ind w:firstLineChars="200"/>
        <w:textAlignment w:val="auto"/>
        <w:rPr>
          <w:rFonts w:hint="eastAsia" w:ascii="宋体" w:hAnsi="宋体" w:eastAsia="宋体" w:cs="宋体"/>
          <w:sz w:val="28"/>
          <w:szCs w:val="28"/>
        </w:rPr>
      </w:pPr>
      <w:r>
        <w:rPr>
          <w:rFonts w:hint="eastAsia" w:ascii="宋体" w:hAnsi="宋体" w:eastAsia="宋体" w:cs="宋体"/>
          <w:sz w:val="28"/>
          <w:szCs w:val="28"/>
        </w:rPr>
        <w:t>土建部分改造：</w:t>
      </w:r>
    </w:p>
    <w:p>
      <w:pPr>
        <w:pStyle w:val="48"/>
        <w:keepNext w:val="0"/>
        <w:keepLines w:val="0"/>
        <w:pageBreakBefore w:val="0"/>
        <w:widowControl w:val="0"/>
        <w:numPr>
          <w:ilvl w:val="0"/>
          <w:numId w:val="2"/>
        </w:numPr>
        <w:kinsoku/>
        <w:wordWrap/>
        <w:overflowPunct/>
        <w:topLinePunct w:val="0"/>
        <w:autoSpaceDE w:val="0"/>
        <w:autoSpaceDN w:val="0"/>
        <w:bidi w:val="0"/>
        <w:adjustRightInd w:val="0"/>
        <w:spacing w:line="560" w:lineRule="exact"/>
        <w:ind w:firstLineChars="200"/>
        <w:textAlignment w:val="auto"/>
        <w:rPr>
          <w:rFonts w:hint="eastAsia" w:ascii="宋体" w:hAnsi="宋体" w:eastAsia="宋体" w:cs="宋体"/>
          <w:sz w:val="28"/>
          <w:szCs w:val="28"/>
        </w:rPr>
      </w:pPr>
      <w:r>
        <w:rPr>
          <w:rFonts w:hint="eastAsia" w:ascii="宋体" w:hAnsi="宋体" w:eastAsia="宋体" w:cs="宋体"/>
          <w:sz w:val="28"/>
          <w:szCs w:val="28"/>
        </w:rPr>
        <w:t>站区混凝土路面部分新建。</w:t>
      </w:r>
    </w:p>
    <w:p>
      <w:pPr>
        <w:pStyle w:val="48"/>
        <w:keepNext w:val="0"/>
        <w:keepLines w:val="0"/>
        <w:pageBreakBefore w:val="0"/>
        <w:widowControl w:val="0"/>
        <w:numPr>
          <w:ilvl w:val="0"/>
          <w:numId w:val="2"/>
        </w:numPr>
        <w:kinsoku/>
        <w:wordWrap/>
        <w:overflowPunct/>
        <w:topLinePunct w:val="0"/>
        <w:autoSpaceDE w:val="0"/>
        <w:autoSpaceDN w:val="0"/>
        <w:bidi w:val="0"/>
        <w:adjustRightInd w:val="0"/>
        <w:spacing w:line="560" w:lineRule="exact"/>
        <w:ind w:firstLineChars="200"/>
        <w:textAlignment w:val="auto"/>
        <w:rPr>
          <w:rFonts w:hint="eastAsia" w:ascii="宋体" w:hAnsi="宋体" w:eastAsia="宋体" w:cs="宋体"/>
          <w:sz w:val="28"/>
          <w:szCs w:val="28"/>
        </w:rPr>
      </w:pPr>
      <w:r>
        <w:rPr>
          <w:rFonts w:hint="eastAsia" w:ascii="宋体" w:hAnsi="宋体" w:eastAsia="宋体" w:cs="宋体"/>
          <w:sz w:val="28"/>
          <w:szCs w:val="28"/>
        </w:rPr>
        <w:t>密闭卸油口、2m³消防沙池、消防器材间、计量工具间等站内配套构筑物的恢复重建。</w:t>
      </w:r>
    </w:p>
    <w:p>
      <w:pPr>
        <w:pStyle w:val="48"/>
        <w:keepNext w:val="0"/>
        <w:keepLines w:val="0"/>
        <w:pageBreakBefore w:val="0"/>
        <w:widowControl w:val="0"/>
        <w:numPr>
          <w:ilvl w:val="0"/>
          <w:numId w:val="2"/>
        </w:numPr>
        <w:kinsoku/>
        <w:wordWrap/>
        <w:overflowPunct/>
        <w:topLinePunct w:val="0"/>
        <w:autoSpaceDE w:val="0"/>
        <w:autoSpaceDN w:val="0"/>
        <w:bidi w:val="0"/>
        <w:adjustRightInd w:val="0"/>
        <w:spacing w:line="560" w:lineRule="exact"/>
        <w:ind w:firstLineChars="200"/>
        <w:textAlignment w:val="auto"/>
        <w:rPr>
          <w:rFonts w:hint="eastAsia" w:ascii="宋体" w:hAnsi="宋体" w:eastAsia="宋体" w:cs="宋体"/>
          <w:sz w:val="28"/>
          <w:szCs w:val="28"/>
        </w:rPr>
      </w:pPr>
      <w:r>
        <w:rPr>
          <w:rFonts w:hint="eastAsia" w:ascii="宋体" w:hAnsi="宋体" w:eastAsia="宋体" w:cs="宋体"/>
          <w:sz w:val="28"/>
          <w:szCs w:val="28"/>
        </w:rPr>
        <w:t>站区油罐、加油设备、接地报警仪的防雷防静电恢复重建。</w:t>
      </w:r>
    </w:p>
    <w:p>
      <w:pPr>
        <w:pStyle w:val="48"/>
        <w:keepNext w:val="0"/>
        <w:keepLines w:val="0"/>
        <w:pageBreakBefore w:val="0"/>
        <w:widowControl w:val="0"/>
        <w:kinsoku/>
        <w:wordWrap/>
        <w:overflowPunct/>
        <w:topLinePunct w:val="0"/>
        <w:autoSpaceDE w:val="0"/>
        <w:autoSpaceDN w:val="0"/>
        <w:bidi w:val="0"/>
        <w:adjustRightInd w:val="0"/>
        <w:spacing w:line="560" w:lineRule="exact"/>
        <w:ind w:firstLineChars="200"/>
        <w:textAlignment w:val="auto"/>
        <w:rPr>
          <w:rFonts w:hint="eastAsia" w:ascii="宋体" w:hAnsi="宋体" w:eastAsia="宋体" w:cs="宋体"/>
          <w:sz w:val="28"/>
          <w:szCs w:val="28"/>
        </w:rPr>
      </w:pPr>
      <w:r>
        <w:rPr>
          <w:rFonts w:hint="eastAsia" w:ascii="宋体" w:hAnsi="宋体" w:eastAsia="宋体" w:cs="宋体"/>
          <w:sz w:val="28"/>
          <w:szCs w:val="28"/>
        </w:rPr>
        <w:t>横坑加油站其他建构筑物保持不变。</w:t>
      </w:r>
    </w:p>
    <w:p>
      <w:pPr>
        <w:keepNext w:val="0"/>
        <w:keepLines w:val="0"/>
        <w:pageBreakBefore w:val="0"/>
        <w:widowControl w:val="0"/>
        <w:kinsoku/>
        <w:wordWrap/>
        <w:overflowPunct/>
        <w:topLinePunct w:val="0"/>
        <w:autoSpaceDE w:val="0"/>
        <w:autoSpaceDN w:val="0"/>
        <w:bidi w:val="0"/>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根据《中华人民共和国安全生产法》(中华人民共和国主席令第13号，2014年修改)、《危险化学品安全管理条例》（国务院令</w:t>
      </w:r>
      <w:r>
        <w:rPr>
          <w:rFonts w:hint="eastAsia" w:ascii="宋体" w:hAnsi="宋体" w:eastAsia="宋体" w:cs="宋体"/>
          <w:spacing w:val="-7"/>
          <w:sz w:val="28"/>
          <w:szCs w:val="28"/>
          <w:lang w:val="en-US"/>
        </w:rPr>
        <w:t>[2011]</w:t>
      </w:r>
      <w:r>
        <w:rPr>
          <w:rFonts w:hint="eastAsia" w:ascii="宋体" w:hAnsi="宋体" w:eastAsia="宋体" w:cs="宋体"/>
          <w:spacing w:val="-7"/>
          <w:sz w:val="28"/>
          <w:szCs w:val="28"/>
        </w:rPr>
        <w:t>第591号，</w:t>
      </w:r>
      <w:r>
        <w:rPr>
          <w:rFonts w:hint="eastAsia" w:ascii="宋体" w:hAnsi="宋体" w:eastAsia="宋体" w:cs="宋体"/>
          <w:spacing w:val="-7"/>
          <w:sz w:val="28"/>
          <w:szCs w:val="28"/>
          <w:lang w:val="en-US"/>
        </w:rPr>
        <w:t>[2013]</w:t>
      </w:r>
      <w:r>
        <w:rPr>
          <w:rFonts w:hint="eastAsia" w:ascii="宋体" w:hAnsi="宋体" w:eastAsia="宋体" w:cs="宋体"/>
          <w:spacing w:val="-7"/>
          <w:sz w:val="28"/>
          <w:szCs w:val="28"/>
        </w:rPr>
        <w:t>第645号修订）、《危险化学品建设项目安全监督管理办法》（原国家安全生产监督管理总局令</w:t>
      </w:r>
      <w:r>
        <w:rPr>
          <w:rFonts w:hint="eastAsia" w:ascii="宋体" w:hAnsi="宋体" w:eastAsia="宋体" w:cs="宋体"/>
          <w:spacing w:val="-7"/>
          <w:sz w:val="28"/>
          <w:szCs w:val="28"/>
          <w:lang w:val="en-US"/>
        </w:rPr>
        <w:t>[2012]</w:t>
      </w:r>
      <w:r>
        <w:rPr>
          <w:rFonts w:hint="eastAsia" w:ascii="宋体" w:hAnsi="宋体" w:eastAsia="宋体" w:cs="宋体"/>
          <w:spacing w:val="-7"/>
          <w:sz w:val="28"/>
          <w:szCs w:val="28"/>
        </w:rPr>
        <w:t>第45号</w:t>
      </w:r>
      <w:r>
        <w:rPr>
          <w:rFonts w:hint="eastAsia" w:ascii="宋体" w:hAnsi="宋体" w:eastAsia="宋体" w:cs="宋体"/>
          <w:spacing w:val="-7"/>
          <w:sz w:val="28"/>
          <w:szCs w:val="28"/>
          <w:lang w:eastAsia="zh-CN"/>
        </w:rPr>
        <w:t>，第</w:t>
      </w:r>
      <w:r>
        <w:rPr>
          <w:rFonts w:hint="eastAsia" w:ascii="宋体" w:hAnsi="宋体" w:eastAsia="宋体" w:cs="宋体"/>
          <w:spacing w:val="-7"/>
          <w:sz w:val="28"/>
          <w:szCs w:val="28"/>
          <w:lang w:val="en-US" w:eastAsia="zh-CN"/>
        </w:rPr>
        <w:t>79号修正</w:t>
      </w:r>
      <w:r>
        <w:rPr>
          <w:rFonts w:hint="eastAsia" w:ascii="宋体" w:hAnsi="宋体" w:eastAsia="宋体" w:cs="宋体"/>
          <w:spacing w:val="-7"/>
          <w:sz w:val="28"/>
          <w:szCs w:val="28"/>
        </w:rPr>
        <w:t>）等国家有关安全生产法律法规的规定，建设项目竣工投用前，应进行安全设施竣工验收评价。</w:t>
      </w:r>
    </w:p>
    <w:p>
      <w:pPr>
        <w:keepNext w:val="0"/>
        <w:keepLines w:val="0"/>
        <w:pageBreakBefore w:val="0"/>
        <w:widowControl w:val="0"/>
        <w:kinsoku/>
        <w:wordWrap/>
        <w:overflowPunct/>
        <w:topLinePunct w:val="0"/>
        <w:autoSpaceDE w:val="0"/>
        <w:autoSpaceDN w:val="0"/>
        <w:bidi w:val="0"/>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受</w:t>
      </w:r>
      <w:r>
        <w:rPr>
          <w:rFonts w:hint="eastAsia" w:ascii="宋体" w:hAnsi="宋体" w:eastAsia="宋体" w:cs="宋体"/>
          <w:spacing w:val="-7"/>
          <w:sz w:val="28"/>
          <w:szCs w:val="28"/>
          <w:lang w:eastAsia="zh-CN"/>
        </w:rPr>
        <w:t>中国石化销售股份有限公司广东东莞寮步横坑加油站</w:t>
      </w:r>
      <w:r>
        <w:rPr>
          <w:rFonts w:hint="eastAsia" w:ascii="宋体" w:hAnsi="宋体" w:eastAsia="宋体" w:cs="宋体"/>
          <w:spacing w:val="-7"/>
          <w:sz w:val="28"/>
          <w:szCs w:val="28"/>
        </w:rPr>
        <w:t>的委托，广东安源鼎盛检测评价技术服务有限公司承接了该项目的安全设施竣工验收评价工作，并成立</w:t>
      </w:r>
      <w:r>
        <w:rPr>
          <w:rFonts w:hint="eastAsia" w:ascii="宋体" w:hAnsi="宋体" w:eastAsia="宋体" w:cs="宋体"/>
          <w:spacing w:val="-8"/>
          <w:sz w:val="28"/>
          <w:szCs w:val="28"/>
        </w:rPr>
        <w:t>项目评价组</w:t>
      </w:r>
      <w:r>
        <w:rPr>
          <w:rFonts w:hint="eastAsia" w:ascii="宋体" w:hAnsi="宋体" w:eastAsia="宋体" w:cs="宋体"/>
          <w:spacing w:val="-8"/>
          <w:sz w:val="28"/>
          <w:szCs w:val="28"/>
          <w:highlight w:val="none"/>
        </w:rPr>
        <w:t>，</w:t>
      </w:r>
      <w:r>
        <w:rPr>
          <w:rFonts w:hint="eastAsia" w:ascii="宋体" w:hAnsi="宋体" w:eastAsia="宋体" w:cs="宋体"/>
          <w:color w:val="auto"/>
          <w:spacing w:val="-8"/>
          <w:sz w:val="28"/>
          <w:szCs w:val="28"/>
          <w:highlight w:val="none"/>
        </w:rPr>
        <w:t>并于</w:t>
      </w:r>
      <w:r>
        <w:rPr>
          <w:rFonts w:hint="eastAsia" w:ascii="宋体" w:hAnsi="宋体" w:eastAsia="宋体" w:cs="宋体"/>
          <w:color w:val="auto"/>
          <w:spacing w:val="-8"/>
          <w:sz w:val="28"/>
          <w:szCs w:val="28"/>
          <w:highlight w:val="none"/>
          <w:lang w:val="en-US"/>
        </w:rPr>
        <w:t>2019年</w:t>
      </w:r>
      <w:r>
        <w:rPr>
          <w:rFonts w:hint="eastAsia" w:ascii="宋体" w:hAnsi="宋体" w:eastAsia="宋体" w:cs="宋体"/>
          <w:color w:val="auto"/>
          <w:spacing w:val="-8"/>
          <w:sz w:val="28"/>
          <w:szCs w:val="28"/>
          <w:highlight w:val="none"/>
          <w:lang w:val="en-US" w:eastAsia="zh-CN"/>
        </w:rPr>
        <w:t>12</w:t>
      </w:r>
      <w:r>
        <w:rPr>
          <w:rFonts w:hint="eastAsia" w:ascii="宋体" w:hAnsi="宋体" w:eastAsia="宋体" w:cs="宋体"/>
          <w:color w:val="auto"/>
          <w:spacing w:val="-8"/>
          <w:sz w:val="28"/>
          <w:szCs w:val="28"/>
          <w:highlight w:val="none"/>
          <w:lang w:val="en-US"/>
        </w:rPr>
        <w:t>月</w:t>
      </w:r>
      <w:r>
        <w:rPr>
          <w:rFonts w:hint="eastAsia" w:ascii="宋体" w:hAnsi="宋体" w:eastAsia="宋体" w:cs="宋体"/>
          <w:color w:val="auto"/>
          <w:spacing w:val="-8"/>
          <w:sz w:val="28"/>
          <w:szCs w:val="28"/>
          <w:highlight w:val="none"/>
          <w:lang w:val="en-US" w:eastAsia="zh-CN"/>
        </w:rPr>
        <w:t>23日</w:t>
      </w:r>
      <w:r>
        <w:rPr>
          <w:rFonts w:hint="eastAsia" w:ascii="宋体" w:hAnsi="宋体" w:eastAsia="宋体" w:cs="宋体"/>
          <w:color w:val="auto"/>
          <w:spacing w:val="-8"/>
          <w:sz w:val="28"/>
          <w:szCs w:val="28"/>
          <w:highlight w:val="none"/>
          <w:lang w:val="en-US"/>
        </w:rPr>
        <w:t>勘查油站现场</w:t>
      </w:r>
      <w:r>
        <w:rPr>
          <w:rFonts w:hint="eastAsia" w:ascii="宋体" w:hAnsi="宋体" w:eastAsia="宋体" w:cs="宋体"/>
          <w:color w:val="auto"/>
          <w:spacing w:val="-8"/>
          <w:sz w:val="28"/>
          <w:szCs w:val="28"/>
          <w:highlight w:val="none"/>
        </w:rPr>
        <w:t>。</w:t>
      </w:r>
      <w:r>
        <w:rPr>
          <w:rFonts w:hint="eastAsia" w:ascii="宋体" w:hAnsi="宋体" w:eastAsia="宋体" w:cs="宋体"/>
          <w:spacing w:val="-8"/>
          <w:sz w:val="28"/>
          <w:szCs w:val="28"/>
        </w:rPr>
        <w:t>根据勘查情况及相</w:t>
      </w:r>
      <w:r>
        <w:rPr>
          <w:rFonts w:hint="eastAsia" w:ascii="宋体" w:hAnsi="宋体" w:eastAsia="宋体" w:cs="宋体"/>
          <w:spacing w:val="-7"/>
          <w:sz w:val="28"/>
          <w:szCs w:val="28"/>
        </w:rPr>
        <w:t>关资料，评价组与建设单位共同协商确定了安全评价对象和范围。在现场实际调查研究的基础上，收集、整理安全评价所需要的各种文件、资料和数据，编制完成了该项目的安全设施竣工验收评价报告。报告完成后与建设单位进行意见交换，建设单位对评价报告的内容和结论表示认可，对提供相关资料的真实性、有效性表示认同。</w:t>
      </w:r>
    </w:p>
    <w:p>
      <w:pPr>
        <w:keepNext w:val="0"/>
        <w:keepLines w:val="0"/>
        <w:pageBreakBefore w:val="0"/>
        <w:widowControl w:val="0"/>
        <w:kinsoku/>
        <w:wordWrap/>
        <w:overflowPunct/>
        <w:topLinePunct w:val="0"/>
        <w:autoSpaceDE w:val="0"/>
        <w:autoSpaceDN w:val="0"/>
        <w:bidi w:val="0"/>
        <w:spacing w:line="560" w:lineRule="exact"/>
        <w:jc w:val="center"/>
        <w:textAlignment w:val="auto"/>
        <w:outlineLvl w:val="1"/>
        <w:rPr>
          <w:rFonts w:hint="eastAsia" w:ascii="宋体" w:hAnsi="宋体" w:eastAsia="宋体" w:cs="宋体"/>
          <w:b/>
          <w:sz w:val="32"/>
          <w:szCs w:val="32"/>
        </w:rPr>
      </w:pPr>
      <w:bookmarkStart w:id="110" w:name="_Toc1233"/>
      <w:bookmarkStart w:id="111" w:name="_Toc14304_WPSOffice_Level2"/>
      <w:bookmarkStart w:id="112" w:name="_Toc14514"/>
      <w:bookmarkStart w:id="113" w:name="_Toc12810"/>
      <w:bookmarkStart w:id="114" w:name="_Toc7105_WPSOffice_Level2"/>
      <w:bookmarkStart w:id="115" w:name="_Toc22214_WPSOffice_Level2"/>
      <w:bookmarkStart w:id="116" w:name="_Toc529176474"/>
      <w:r>
        <w:rPr>
          <w:rFonts w:hint="eastAsia" w:ascii="宋体" w:hAnsi="宋体" w:eastAsia="宋体" w:cs="宋体"/>
          <w:b/>
          <w:sz w:val="32"/>
          <w:szCs w:val="32"/>
        </w:rPr>
        <w:t>1.2</w:t>
      </w:r>
      <w:r>
        <w:rPr>
          <w:rFonts w:hint="eastAsia" w:ascii="宋体" w:hAnsi="宋体" w:eastAsia="宋体" w:cs="宋体"/>
          <w:b/>
          <w:sz w:val="32"/>
          <w:szCs w:val="32"/>
          <w:lang w:val="en-US"/>
        </w:rPr>
        <w:t xml:space="preserve"> </w:t>
      </w:r>
      <w:r>
        <w:rPr>
          <w:rFonts w:hint="eastAsia" w:ascii="宋体" w:hAnsi="宋体" w:eastAsia="宋体" w:cs="宋体"/>
          <w:b/>
          <w:sz w:val="32"/>
          <w:szCs w:val="32"/>
        </w:rPr>
        <w:t>安全评价的目的</w:t>
      </w:r>
      <w:bookmarkEnd w:id="110"/>
      <w:bookmarkEnd w:id="111"/>
      <w:bookmarkEnd w:id="112"/>
      <w:bookmarkEnd w:id="113"/>
      <w:bookmarkEnd w:id="114"/>
      <w:bookmarkEnd w:id="115"/>
      <w:bookmarkEnd w:id="116"/>
    </w:p>
    <w:p>
      <w:pPr>
        <w:keepNext w:val="0"/>
        <w:keepLines w:val="0"/>
        <w:pageBreakBefore w:val="0"/>
        <w:widowControl w:val="0"/>
        <w:kinsoku/>
        <w:wordWrap/>
        <w:overflowPunct/>
        <w:topLinePunct w:val="0"/>
        <w:autoSpaceDE w:val="0"/>
        <w:autoSpaceDN w:val="0"/>
        <w:bidi w:val="0"/>
        <w:spacing w:line="560" w:lineRule="exact"/>
        <w:ind w:firstLine="532" w:firstLineChars="200"/>
        <w:jc w:val="left"/>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贯彻“安全第一、预防为主、综合治理”的安全生产方针，运用安全系统工程的原理和方法，在项目建成试生产运行正常后，通过对改建项目的设施、设备、装置实际运行状况等的安全评价，查找该改建项目投产后存在的危险、有害因素的种类和程度，提出合理可行的安全对策措施及建议，为改建项目竣工验收提供科学依据，同时提高新建项目的本质安全程度和安全管理水平，减少和控制改建项目在生产中的危险、有害因素，降低生产安全风险，预防事故发生，保护建设单位的财产安全及人员的健康和生命安全，接受政府相关部门监管。</w:t>
      </w:r>
    </w:p>
    <w:p>
      <w:pPr>
        <w:pStyle w:val="3"/>
        <w:keepNext w:val="0"/>
        <w:keepLines w:val="0"/>
        <w:pageBreakBefore w:val="0"/>
        <w:widowControl w:val="0"/>
        <w:tabs>
          <w:tab w:val="left" w:pos="3876"/>
        </w:tabs>
        <w:kinsoku/>
        <w:wordWrap/>
        <w:overflowPunct/>
        <w:topLinePunct w:val="0"/>
        <w:autoSpaceDE w:val="0"/>
        <w:autoSpaceDN w:val="0"/>
        <w:bidi w:val="0"/>
        <w:spacing w:before="0" w:after="0" w:line="560" w:lineRule="exact"/>
        <w:ind w:left="3152" w:firstLine="0"/>
        <w:jc w:val="both"/>
        <w:textAlignment w:val="auto"/>
        <w:rPr>
          <w:rFonts w:hint="eastAsia" w:ascii="宋体" w:hAnsi="宋体" w:eastAsia="宋体" w:cs="宋体"/>
          <w:b/>
          <w:bCs/>
        </w:rPr>
      </w:pPr>
      <w:bookmarkStart w:id="117" w:name="_Toc955"/>
      <w:bookmarkStart w:id="118" w:name="_Toc26161_WPSOffice_Level2"/>
      <w:bookmarkStart w:id="119" w:name="_Toc13636_WPSOffice_Level2"/>
      <w:bookmarkStart w:id="120" w:name="_Toc3178_WPSOffice_Level2"/>
      <w:bookmarkStart w:id="121" w:name="_Toc24710"/>
      <w:bookmarkStart w:id="122" w:name="_Toc8427"/>
      <w:r>
        <w:rPr>
          <w:rFonts w:hint="eastAsia" w:ascii="宋体" w:hAnsi="宋体" w:eastAsia="宋体" w:cs="宋体"/>
          <w:b/>
          <w:bCs/>
        </w:rPr>
        <w:t>1.</w:t>
      </w:r>
      <w:r>
        <w:rPr>
          <w:rFonts w:hint="eastAsia" w:ascii="宋体" w:hAnsi="宋体" w:eastAsia="宋体" w:cs="宋体"/>
          <w:b/>
          <w:bCs/>
          <w:lang w:val="en-US"/>
        </w:rPr>
        <w:t xml:space="preserve">3 </w:t>
      </w:r>
      <w:r>
        <w:rPr>
          <w:rFonts w:hint="eastAsia" w:ascii="宋体" w:hAnsi="宋体" w:eastAsia="宋体" w:cs="宋体"/>
          <w:b/>
          <w:bCs/>
        </w:rPr>
        <w:t>安全评价对象及范围</w:t>
      </w:r>
      <w:bookmarkEnd w:id="117"/>
      <w:bookmarkEnd w:id="118"/>
      <w:bookmarkEnd w:id="119"/>
      <w:bookmarkEnd w:id="120"/>
      <w:bookmarkEnd w:id="121"/>
      <w:bookmarkEnd w:id="122"/>
    </w:p>
    <w:p>
      <w:pPr>
        <w:pStyle w:val="6"/>
        <w:keepNext w:val="0"/>
        <w:keepLines w:val="0"/>
        <w:pageBreakBefore w:val="0"/>
        <w:widowControl w:val="0"/>
        <w:kinsoku/>
        <w:wordWrap/>
        <w:overflowPunct/>
        <w:topLinePunct w:val="0"/>
        <w:autoSpaceDE w:val="0"/>
        <w:autoSpaceDN w:val="0"/>
        <w:bidi w:val="0"/>
        <w:spacing w:line="560" w:lineRule="exact"/>
        <w:ind w:firstLine="562" w:firstLineChars="200"/>
        <w:textAlignment w:val="auto"/>
        <w:rPr>
          <w:rFonts w:hint="eastAsia" w:ascii="宋体" w:hAnsi="宋体" w:eastAsia="宋体" w:cs="宋体"/>
          <w:spacing w:val="-7"/>
        </w:rPr>
      </w:pPr>
      <w:r>
        <w:rPr>
          <w:rFonts w:hint="eastAsia" w:ascii="宋体" w:hAnsi="宋体" w:eastAsia="宋体" w:cs="宋体"/>
          <w:b/>
          <w:bCs/>
        </w:rPr>
        <w:t>本次安全评价对象：</w:t>
      </w:r>
      <w:r>
        <w:rPr>
          <w:rFonts w:hint="eastAsia" w:ascii="宋体" w:hAnsi="宋体" w:eastAsia="宋体" w:cs="宋体"/>
          <w:spacing w:val="-7"/>
          <w:lang w:eastAsia="zh-CN"/>
        </w:rPr>
        <w:t>中国石化销售股份有限公司广东东莞寮步横坑加油站</w:t>
      </w:r>
      <w:r>
        <w:rPr>
          <w:rFonts w:hint="eastAsia" w:ascii="宋体" w:hAnsi="宋体" w:eastAsia="宋体" w:cs="宋体"/>
          <w:spacing w:val="-7"/>
        </w:rPr>
        <w:t>改建项目。</w:t>
      </w:r>
    </w:p>
    <w:p>
      <w:pPr>
        <w:pStyle w:val="6"/>
        <w:keepNext w:val="0"/>
        <w:keepLines w:val="0"/>
        <w:pageBreakBefore w:val="0"/>
        <w:widowControl w:val="0"/>
        <w:kinsoku/>
        <w:wordWrap/>
        <w:overflowPunct/>
        <w:topLinePunct w:val="0"/>
        <w:autoSpaceDE w:val="0"/>
        <w:autoSpaceDN w:val="0"/>
        <w:bidi w:val="0"/>
        <w:spacing w:line="560" w:lineRule="exact"/>
        <w:ind w:firstLine="562" w:firstLineChars="200"/>
        <w:textAlignment w:val="auto"/>
        <w:rPr>
          <w:rFonts w:hint="eastAsia" w:ascii="宋体" w:hAnsi="宋体" w:eastAsia="宋体" w:cs="宋体"/>
          <w:spacing w:val="-7"/>
        </w:rPr>
      </w:pPr>
      <w:r>
        <w:rPr>
          <w:rFonts w:hint="eastAsia" w:ascii="宋体" w:hAnsi="宋体" w:eastAsia="宋体" w:cs="宋体"/>
          <w:b/>
          <w:bCs/>
        </w:rPr>
        <w:t>本次安全评价的评价范围：</w:t>
      </w:r>
      <w:r>
        <w:rPr>
          <w:rFonts w:hint="eastAsia" w:ascii="宋体" w:hAnsi="宋体" w:eastAsia="宋体" w:cs="宋体"/>
          <w:spacing w:val="-7"/>
          <w:lang w:eastAsia="zh-CN"/>
        </w:rPr>
        <w:t>中国石化销售股份有限公司广东东莞寮步横坑加油站</w:t>
      </w:r>
      <w:r>
        <w:rPr>
          <w:rFonts w:hint="eastAsia" w:ascii="宋体" w:hAnsi="宋体" w:eastAsia="宋体" w:cs="宋体"/>
          <w:spacing w:val="-7"/>
        </w:rPr>
        <w:t>改建项目相关内容，主要包括</w:t>
      </w:r>
      <w:r>
        <w:rPr>
          <w:rFonts w:hint="eastAsia" w:ascii="宋体" w:hAnsi="宋体" w:eastAsia="宋体" w:cs="宋体"/>
        </w:rPr>
        <w:t>更换的埋地SF双层罐、罐区双层管、配套设施设备、工艺及该加油站的周边环境、平面布置、加油区和站房等现状安全生产条件及加油站安全管理</w:t>
      </w:r>
      <w:r>
        <w:rPr>
          <w:rFonts w:hint="eastAsia" w:ascii="宋体" w:hAnsi="宋体" w:eastAsia="宋体" w:cs="宋体"/>
          <w:spacing w:val="-7"/>
        </w:rPr>
        <w:t>。有关该加油站外部的成品油运输环节、进站加油车辆等相关内容不在本次评价的范围之内。</w:t>
      </w:r>
    </w:p>
    <w:p>
      <w:pPr>
        <w:rPr>
          <w:rFonts w:hint="eastAsia" w:ascii="宋体" w:hAnsi="宋体" w:eastAsia="宋体" w:cs="宋体"/>
          <w:b/>
          <w:bCs/>
        </w:rPr>
      </w:pPr>
      <w:bookmarkStart w:id="123" w:name="_Toc1346_WPSOffice_Level2"/>
      <w:bookmarkStart w:id="124" w:name="_Toc24844_WPSOffice_Level2"/>
      <w:r>
        <w:rPr>
          <w:rFonts w:hint="eastAsia" w:ascii="宋体" w:hAnsi="宋体" w:eastAsia="宋体" w:cs="宋体"/>
          <w:b/>
          <w:bCs/>
        </w:rPr>
        <w:br w:type="page"/>
      </w:r>
    </w:p>
    <w:p>
      <w:pPr>
        <w:pStyle w:val="3"/>
        <w:tabs>
          <w:tab w:val="left" w:pos="3876"/>
        </w:tabs>
        <w:spacing w:before="240" w:beforeLines="100" w:after="240" w:afterLines="100"/>
        <w:jc w:val="center"/>
        <w:rPr>
          <w:rFonts w:hint="eastAsia" w:ascii="宋体" w:hAnsi="宋体" w:eastAsia="宋体" w:cs="宋体"/>
          <w:b/>
          <w:bCs/>
        </w:rPr>
      </w:pPr>
      <w:bookmarkStart w:id="125" w:name="_Toc32508"/>
      <w:bookmarkStart w:id="126" w:name="_Toc25434_WPSOffice_Level2"/>
      <w:bookmarkStart w:id="127" w:name="_Toc21784"/>
      <w:bookmarkStart w:id="128" w:name="_Toc23025"/>
      <w:r>
        <w:rPr>
          <w:rFonts w:hint="eastAsia" w:ascii="宋体" w:hAnsi="宋体" w:eastAsia="宋体" w:cs="宋体"/>
          <w:b/>
          <w:bCs/>
        </w:rPr>
        <w:t>1.</w:t>
      </w:r>
      <w:r>
        <w:rPr>
          <w:rFonts w:hint="eastAsia" w:ascii="宋体" w:hAnsi="宋体" w:eastAsia="宋体" w:cs="宋体"/>
          <w:b/>
          <w:bCs/>
          <w:lang w:val="en-US"/>
        </w:rPr>
        <w:t xml:space="preserve">4 </w:t>
      </w:r>
      <w:r>
        <w:rPr>
          <w:rFonts w:hint="eastAsia" w:ascii="宋体" w:hAnsi="宋体" w:eastAsia="宋体" w:cs="宋体"/>
          <w:b/>
          <w:bCs/>
        </w:rPr>
        <w:t>安全评价程序</w:t>
      </w:r>
      <w:bookmarkEnd w:id="123"/>
      <w:bookmarkEnd w:id="124"/>
      <w:bookmarkEnd w:id="125"/>
      <w:bookmarkEnd w:id="126"/>
      <w:bookmarkEnd w:id="127"/>
      <w:bookmarkEnd w:id="128"/>
    </w:p>
    <w:p>
      <w:pPr>
        <w:pStyle w:val="6"/>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textAlignment w:val="auto"/>
        <w:rPr>
          <w:rFonts w:hint="eastAsia" w:ascii="宋体" w:hAnsi="宋体" w:eastAsia="宋体" w:cs="宋体"/>
          <w:spacing w:val="-7"/>
        </w:rPr>
      </w:pPr>
      <w:r>
        <w:rPr>
          <w:rFonts w:hint="eastAsia" w:ascii="宋体" w:hAnsi="宋体" w:eastAsia="宋体" w:cs="宋体"/>
          <w:spacing w:val="-7"/>
        </w:rPr>
        <w:t>根据《安全评价通则》（AQ8001-2007）、《危险化学品建设项目安全评价细则（试行）》（安监总危化[2007]255 号）规定，安全评价程序见图1.</w:t>
      </w:r>
      <w:r>
        <w:rPr>
          <w:rFonts w:hint="eastAsia" w:ascii="宋体" w:hAnsi="宋体" w:eastAsia="宋体" w:cs="宋体"/>
          <w:spacing w:val="-7"/>
          <w:lang w:val="en-US"/>
        </w:rPr>
        <w:t>4</w:t>
      </w:r>
      <w:r>
        <w:rPr>
          <w:rFonts w:hint="eastAsia" w:ascii="宋体" w:hAnsi="宋体" w:eastAsia="宋体" w:cs="宋体"/>
          <w:spacing w:val="-7"/>
        </w:rPr>
        <w:t>-1。</w:t>
      </w:r>
    </w:p>
    <w:p>
      <w:pPr>
        <w:pStyle w:val="6"/>
        <w:spacing w:line="500" w:lineRule="exact"/>
        <w:rPr>
          <w:rFonts w:hint="eastAsia" w:ascii="宋体" w:hAnsi="宋体" w:eastAsia="宋体" w:cs="宋体"/>
          <w:spacing w:val="-7"/>
        </w:rPr>
      </w:pPr>
    </w:p>
    <w:p>
      <w:pPr>
        <w:spacing w:line="360" w:lineRule="auto"/>
        <w:ind w:firstLine="560" w:firstLineChars="200"/>
        <w:rPr>
          <w:rFonts w:hint="eastAsia" w:ascii="宋体" w:hAnsi="宋体" w:eastAsia="宋体" w:cs="宋体"/>
          <w:sz w:val="28"/>
        </w:rPr>
      </w:pPr>
      <w:r>
        <w:rPr>
          <w:rFonts w:hint="eastAsia" w:ascii="宋体" w:hAnsi="宋体" w:eastAsia="宋体" w:cs="宋体"/>
          <w:sz w:val="28"/>
          <w:lang w:val="en-US" w:bidi="ar-SA"/>
        </w:rPr>
        <mc:AlternateContent>
          <mc:Choice Requires="wpg">
            <w:drawing>
              <wp:anchor distT="0" distB="0" distL="114300" distR="114300" simplePos="0" relativeHeight="251661312" behindDoc="0" locked="0" layoutInCell="1" allowOverlap="1">
                <wp:simplePos x="0" y="0"/>
                <wp:positionH relativeFrom="column">
                  <wp:posOffset>1998980</wp:posOffset>
                </wp:positionH>
                <wp:positionV relativeFrom="paragraph">
                  <wp:posOffset>29210</wp:posOffset>
                </wp:positionV>
                <wp:extent cx="1943100" cy="4672330"/>
                <wp:effectExtent l="4445" t="4445" r="18415" b="17145"/>
                <wp:wrapNone/>
                <wp:docPr id="697" name="组合 697"/>
                <wp:cNvGraphicFramePr/>
                <a:graphic xmlns:a="http://schemas.openxmlformats.org/drawingml/2006/main">
                  <a:graphicData uri="http://schemas.microsoft.com/office/word/2010/wordprocessingGroup">
                    <wpg:wgp>
                      <wpg:cNvGrpSpPr/>
                      <wpg:grpSpPr>
                        <a:xfrm>
                          <a:off x="0" y="0"/>
                          <a:ext cx="1943100" cy="4672330"/>
                          <a:chOff x="0" y="0"/>
                          <a:chExt cx="1943100" cy="4672345"/>
                        </a:xfrm>
                      </wpg:grpSpPr>
                      <wpg:grpSp>
                        <wpg:cNvPr id="676" name="Group 672"/>
                        <wpg:cNvGrpSpPr/>
                        <wpg:grpSpPr>
                          <a:xfrm>
                            <a:off x="0" y="0"/>
                            <a:ext cx="1828800" cy="631825"/>
                            <a:chOff x="4487" y="3786"/>
                            <a:chExt cx="2880" cy="1092"/>
                          </a:xfrm>
                        </wpg:grpSpPr>
                        <wps:wsp>
                          <wps:cNvPr id="677" name="Rectangle 673"/>
                          <wps:cNvSpPr>
                            <a:spLocks noChangeArrowheads="1"/>
                          </wps:cNvSpPr>
                          <wps:spPr bwMode="auto">
                            <a:xfrm>
                              <a:off x="4487" y="3786"/>
                              <a:ext cx="2880" cy="468"/>
                            </a:xfrm>
                            <a:prstGeom prst="rect">
                              <a:avLst/>
                            </a:prstGeom>
                            <a:solidFill>
                              <a:srgbClr val="FFFFFF"/>
                            </a:solidFill>
                            <a:ln w="9525">
                              <a:solidFill>
                                <a:srgbClr val="000000"/>
                              </a:solidFill>
                              <a:miter lim="800000"/>
                            </a:ln>
                          </wps:spPr>
                          <wps:txbx>
                            <w:txbxContent>
                              <w:p>
                                <w:pPr>
                                  <w:jc w:val="center"/>
                                  <w:rPr>
                                    <w:szCs w:val="21"/>
                                  </w:rPr>
                                </w:pPr>
                                <w:r>
                                  <w:rPr>
                                    <w:rFonts w:hint="eastAsia"/>
                                    <w:szCs w:val="21"/>
                                  </w:rPr>
                                  <w:t>前期准备</w:t>
                                </w:r>
                              </w:p>
                            </w:txbxContent>
                          </wps:txbx>
                          <wps:bodyPr rot="0" vert="horz" wrap="square" lIns="91440" tIns="45720" rIns="91440" bIns="45720" anchor="t" anchorCtr="0" upright="1">
                            <a:noAutofit/>
                          </wps:bodyPr>
                        </wps:wsp>
                        <wps:wsp>
                          <wps:cNvPr id="678" name="Line 674"/>
                          <wps:cNvCnPr>
                            <a:cxnSpLocks noChangeShapeType="1"/>
                          </wps:cNvCnPr>
                          <wps:spPr bwMode="auto">
                            <a:xfrm>
                              <a:off x="5927" y="4254"/>
                              <a:ext cx="0" cy="624"/>
                            </a:xfrm>
                            <a:prstGeom prst="line">
                              <a:avLst/>
                            </a:prstGeom>
                            <a:noFill/>
                            <a:ln w="9525">
                              <a:solidFill>
                                <a:srgbClr val="000000"/>
                              </a:solidFill>
                              <a:round/>
                              <a:tailEnd type="triangle" w="med" len="med"/>
                            </a:ln>
                          </wps:spPr>
                          <wps:bodyPr/>
                        </wps:wsp>
                      </wpg:grpSp>
                      <wpg:grpSp>
                        <wpg:cNvPr id="679" name="Group 675"/>
                        <wpg:cNvGrpSpPr/>
                        <wpg:grpSpPr>
                          <a:xfrm>
                            <a:off x="0" y="627321"/>
                            <a:ext cx="1943100" cy="662490"/>
                            <a:chOff x="4487" y="3786"/>
                            <a:chExt cx="3060" cy="1145"/>
                          </a:xfrm>
                        </wpg:grpSpPr>
                        <wps:wsp>
                          <wps:cNvPr id="680" name="Rectangle 676"/>
                          <wps:cNvSpPr>
                            <a:spLocks noChangeArrowheads="1"/>
                          </wps:cNvSpPr>
                          <wps:spPr bwMode="auto">
                            <a:xfrm>
                              <a:off x="4487" y="3786"/>
                              <a:ext cx="3060" cy="643"/>
                            </a:xfrm>
                            <a:prstGeom prst="rect">
                              <a:avLst/>
                            </a:prstGeom>
                            <a:solidFill>
                              <a:srgbClr val="FFFFFF"/>
                            </a:solidFill>
                            <a:ln w="9525">
                              <a:solidFill>
                                <a:srgbClr val="000000"/>
                              </a:solidFill>
                              <a:miter lim="800000"/>
                            </a:ln>
                          </wps:spPr>
                          <wps:txbx>
                            <w:txbxContent>
                              <w:p>
                                <w:pPr>
                                  <w:jc w:val="center"/>
                                  <w:rPr>
                                    <w:szCs w:val="21"/>
                                  </w:rPr>
                                </w:pPr>
                                <w:r>
                                  <w:rPr>
                                    <w:rFonts w:hint="eastAsia"/>
                                    <w:szCs w:val="21"/>
                                  </w:rPr>
                                  <w:t>辨识与分析危险、有害因素</w:t>
                                </w:r>
                              </w:p>
                            </w:txbxContent>
                          </wps:txbx>
                          <wps:bodyPr rot="0" vert="horz" wrap="square" lIns="91440" tIns="45720" rIns="91440" bIns="45720" anchor="t" anchorCtr="0" upright="1">
                            <a:noAutofit/>
                          </wps:bodyPr>
                        </wps:wsp>
                        <wps:wsp>
                          <wps:cNvPr id="681" name="Line 677"/>
                          <wps:cNvCnPr>
                            <a:cxnSpLocks noChangeShapeType="1"/>
                          </wps:cNvCnPr>
                          <wps:spPr bwMode="auto">
                            <a:xfrm>
                              <a:off x="5954" y="4415"/>
                              <a:ext cx="13" cy="516"/>
                            </a:xfrm>
                            <a:prstGeom prst="line">
                              <a:avLst/>
                            </a:prstGeom>
                            <a:noFill/>
                            <a:ln w="9525">
                              <a:solidFill>
                                <a:srgbClr val="000000"/>
                              </a:solidFill>
                              <a:round/>
                              <a:tailEnd type="triangle" w="med" len="med"/>
                            </a:ln>
                          </wps:spPr>
                          <wps:bodyPr/>
                        </wps:wsp>
                      </wpg:grpSp>
                      <wpg:grpSp>
                        <wpg:cNvPr id="682" name="Group 678"/>
                        <wpg:cNvGrpSpPr/>
                        <wpg:grpSpPr>
                          <a:xfrm>
                            <a:off x="0" y="1265275"/>
                            <a:ext cx="1828800" cy="631825"/>
                            <a:chOff x="4487" y="3786"/>
                            <a:chExt cx="2880" cy="1092"/>
                          </a:xfrm>
                        </wpg:grpSpPr>
                        <wps:wsp>
                          <wps:cNvPr id="683" name="Rectangle 679"/>
                          <wps:cNvSpPr>
                            <a:spLocks noChangeArrowheads="1"/>
                          </wps:cNvSpPr>
                          <wps:spPr bwMode="auto">
                            <a:xfrm>
                              <a:off x="4487" y="3786"/>
                              <a:ext cx="2880" cy="468"/>
                            </a:xfrm>
                            <a:prstGeom prst="rect">
                              <a:avLst/>
                            </a:prstGeom>
                            <a:solidFill>
                              <a:srgbClr val="FFFFFF"/>
                            </a:solidFill>
                            <a:ln w="9525">
                              <a:solidFill>
                                <a:srgbClr val="000000"/>
                              </a:solidFill>
                              <a:miter lim="800000"/>
                            </a:ln>
                          </wps:spPr>
                          <wps:txbx>
                            <w:txbxContent>
                              <w:p>
                                <w:pPr>
                                  <w:jc w:val="center"/>
                                  <w:rPr>
                                    <w:szCs w:val="21"/>
                                  </w:rPr>
                                </w:pPr>
                                <w:r>
                                  <w:rPr>
                                    <w:rFonts w:hint="eastAsia"/>
                                    <w:szCs w:val="21"/>
                                  </w:rPr>
                                  <w:t>划分评价单元</w:t>
                                </w:r>
                              </w:p>
                            </w:txbxContent>
                          </wps:txbx>
                          <wps:bodyPr rot="0" vert="horz" wrap="square" lIns="91440" tIns="45720" rIns="91440" bIns="45720" anchor="t" anchorCtr="0" upright="1">
                            <a:noAutofit/>
                          </wps:bodyPr>
                        </wps:wsp>
                        <wps:wsp>
                          <wps:cNvPr id="684" name="Line 680"/>
                          <wps:cNvCnPr>
                            <a:cxnSpLocks noChangeShapeType="1"/>
                          </wps:cNvCnPr>
                          <wps:spPr bwMode="auto">
                            <a:xfrm>
                              <a:off x="5927" y="4254"/>
                              <a:ext cx="0" cy="624"/>
                            </a:xfrm>
                            <a:prstGeom prst="line">
                              <a:avLst/>
                            </a:prstGeom>
                            <a:noFill/>
                            <a:ln w="9525">
                              <a:solidFill>
                                <a:srgbClr val="000000"/>
                              </a:solidFill>
                              <a:round/>
                              <a:tailEnd type="triangle" w="med" len="med"/>
                            </a:ln>
                          </wps:spPr>
                          <wps:bodyPr/>
                        </wps:wsp>
                      </wpg:grpSp>
                      <wpg:grpSp>
                        <wpg:cNvPr id="685" name="Group 681"/>
                        <wpg:cNvGrpSpPr/>
                        <wpg:grpSpPr>
                          <a:xfrm>
                            <a:off x="0" y="1892596"/>
                            <a:ext cx="1828800" cy="631825"/>
                            <a:chOff x="4487" y="3786"/>
                            <a:chExt cx="2880" cy="1092"/>
                          </a:xfrm>
                        </wpg:grpSpPr>
                        <wps:wsp>
                          <wps:cNvPr id="686" name="Rectangle 682"/>
                          <wps:cNvSpPr>
                            <a:spLocks noChangeArrowheads="1"/>
                          </wps:cNvSpPr>
                          <wps:spPr bwMode="auto">
                            <a:xfrm>
                              <a:off x="4487" y="3786"/>
                              <a:ext cx="2880" cy="468"/>
                            </a:xfrm>
                            <a:prstGeom prst="rect">
                              <a:avLst/>
                            </a:prstGeom>
                            <a:solidFill>
                              <a:srgbClr val="FFFFFF"/>
                            </a:solidFill>
                            <a:ln w="9525">
                              <a:solidFill>
                                <a:srgbClr val="000000"/>
                              </a:solidFill>
                              <a:miter lim="800000"/>
                            </a:ln>
                          </wps:spPr>
                          <wps:txbx>
                            <w:txbxContent>
                              <w:p>
                                <w:pPr>
                                  <w:jc w:val="center"/>
                                  <w:rPr>
                                    <w:szCs w:val="21"/>
                                  </w:rPr>
                                </w:pPr>
                                <w:r>
                                  <w:rPr>
                                    <w:rFonts w:hint="eastAsia"/>
                                    <w:szCs w:val="21"/>
                                  </w:rPr>
                                  <w:t>定性、定量评价</w:t>
                                </w:r>
                              </w:p>
                            </w:txbxContent>
                          </wps:txbx>
                          <wps:bodyPr rot="0" vert="horz" wrap="square" lIns="91440" tIns="45720" rIns="91440" bIns="45720" anchor="t" anchorCtr="0" upright="1">
                            <a:noAutofit/>
                          </wps:bodyPr>
                        </wps:wsp>
                        <wps:wsp>
                          <wps:cNvPr id="687" name="Line 683"/>
                          <wps:cNvCnPr>
                            <a:cxnSpLocks noChangeShapeType="1"/>
                          </wps:cNvCnPr>
                          <wps:spPr bwMode="auto">
                            <a:xfrm>
                              <a:off x="5927" y="4254"/>
                              <a:ext cx="0" cy="624"/>
                            </a:xfrm>
                            <a:prstGeom prst="line">
                              <a:avLst/>
                            </a:prstGeom>
                            <a:noFill/>
                            <a:ln w="9525">
                              <a:solidFill>
                                <a:srgbClr val="000000"/>
                              </a:solidFill>
                              <a:round/>
                              <a:tailEnd type="triangle" w="med" len="med"/>
                            </a:ln>
                          </wps:spPr>
                          <wps:bodyPr/>
                        </wps:wsp>
                      </wpg:grpSp>
                      <wpg:grpSp>
                        <wpg:cNvPr id="688" name="Group 684"/>
                        <wpg:cNvGrpSpPr/>
                        <wpg:grpSpPr>
                          <a:xfrm>
                            <a:off x="0" y="2530549"/>
                            <a:ext cx="1828800" cy="631825"/>
                            <a:chOff x="4487" y="3786"/>
                            <a:chExt cx="2880" cy="1092"/>
                          </a:xfrm>
                        </wpg:grpSpPr>
                        <wps:wsp>
                          <wps:cNvPr id="689" name="Rectangle 685"/>
                          <wps:cNvSpPr>
                            <a:spLocks noChangeArrowheads="1"/>
                          </wps:cNvSpPr>
                          <wps:spPr bwMode="auto">
                            <a:xfrm>
                              <a:off x="4487" y="3786"/>
                              <a:ext cx="2880" cy="468"/>
                            </a:xfrm>
                            <a:prstGeom prst="rect">
                              <a:avLst/>
                            </a:prstGeom>
                            <a:solidFill>
                              <a:srgbClr val="FFFFFF"/>
                            </a:solidFill>
                            <a:ln w="9525">
                              <a:solidFill>
                                <a:srgbClr val="000000"/>
                              </a:solidFill>
                              <a:miter lim="800000"/>
                            </a:ln>
                          </wps:spPr>
                          <wps:txbx>
                            <w:txbxContent>
                              <w:p>
                                <w:pPr>
                                  <w:jc w:val="center"/>
                                  <w:rPr>
                                    <w:szCs w:val="21"/>
                                  </w:rPr>
                                </w:pPr>
                                <w:r>
                                  <w:rPr>
                                    <w:rFonts w:hint="eastAsia"/>
                                    <w:szCs w:val="21"/>
                                  </w:rPr>
                                  <w:t>提出安全对策措施建议</w:t>
                                </w:r>
                              </w:p>
                            </w:txbxContent>
                          </wps:txbx>
                          <wps:bodyPr rot="0" vert="horz" wrap="square" lIns="91440" tIns="45720" rIns="91440" bIns="45720" anchor="t" anchorCtr="0" upright="1">
                            <a:noAutofit/>
                          </wps:bodyPr>
                        </wps:wsp>
                        <wps:wsp>
                          <wps:cNvPr id="690" name="Line 686"/>
                          <wps:cNvCnPr>
                            <a:cxnSpLocks noChangeShapeType="1"/>
                          </wps:cNvCnPr>
                          <wps:spPr bwMode="auto">
                            <a:xfrm>
                              <a:off x="5927" y="4254"/>
                              <a:ext cx="0" cy="624"/>
                            </a:xfrm>
                            <a:prstGeom prst="line">
                              <a:avLst/>
                            </a:prstGeom>
                            <a:noFill/>
                            <a:ln w="9525">
                              <a:solidFill>
                                <a:srgbClr val="000000"/>
                              </a:solidFill>
                              <a:round/>
                              <a:tailEnd type="triangle" w="med" len="med"/>
                            </a:ln>
                          </wps:spPr>
                          <wps:bodyPr/>
                        </wps:wsp>
                      </wpg:grpSp>
                      <wpg:grpSp>
                        <wpg:cNvPr id="696" name="组合 696"/>
                        <wpg:cNvGrpSpPr/>
                        <wpg:grpSpPr>
                          <a:xfrm>
                            <a:off x="0" y="3157870"/>
                            <a:ext cx="1828800" cy="1514475"/>
                            <a:chOff x="0" y="0"/>
                            <a:chExt cx="1828800" cy="1514475"/>
                          </a:xfrm>
                        </wpg:grpSpPr>
                        <wps:wsp>
                          <wps:cNvPr id="692" name="Rectangle 688"/>
                          <wps:cNvSpPr>
                            <a:spLocks noChangeArrowheads="1"/>
                          </wps:cNvSpPr>
                          <wps:spPr bwMode="auto">
                            <a:xfrm>
                              <a:off x="0" y="0"/>
                              <a:ext cx="1828800" cy="270782"/>
                            </a:xfrm>
                            <a:prstGeom prst="rect">
                              <a:avLst/>
                            </a:prstGeom>
                            <a:solidFill>
                              <a:srgbClr val="FFFFFF"/>
                            </a:solidFill>
                            <a:ln w="9525">
                              <a:solidFill>
                                <a:srgbClr val="000000"/>
                              </a:solidFill>
                              <a:miter lim="800000"/>
                            </a:ln>
                          </wps:spPr>
                          <wps:txbx>
                            <w:txbxContent>
                              <w:p>
                                <w:pPr>
                                  <w:jc w:val="center"/>
                                  <w:rPr>
                                    <w:szCs w:val="21"/>
                                  </w:rPr>
                                </w:pPr>
                                <w:r>
                                  <w:rPr>
                                    <w:rFonts w:hint="eastAsia"/>
                                    <w:szCs w:val="21"/>
                                  </w:rPr>
                                  <w:t>作出评价结论</w:t>
                                </w:r>
                              </w:p>
                            </w:txbxContent>
                          </wps:txbx>
                          <wps:bodyPr rot="0" vert="horz" wrap="square" lIns="91440" tIns="45720" rIns="91440" bIns="45720" anchor="t" anchorCtr="0" upright="1">
                            <a:noAutofit/>
                          </wps:bodyPr>
                        </wps:wsp>
                        <wps:wsp>
                          <wps:cNvPr id="693" name="Line 689"/>
                          <wps:cNvCnPr>
                            <a:cxnSpLocks noChangeShapeType="1"/>
                          </wps:cNvCnPr>
                          <wps:spPr bwMode="auto">
                            <a:xfrm>
                              <a:off x="914400" y="266700"/>
                              <a:ext cx="0" cy="361043"/>
                            </a:xfrm>
                            <a:prstGeom prst="line">
                              <a:avLst/>
                            </a:prstGeom>
                            <a:noFill/>
                            <a:ln w="9525">
                              <a:solidFill>
                                <a:srgbClr val="000000"/>
                              </a:solidFill>
                              <a:round/>
                              <a:tailEnd type="triangle" w="med" len="med"/>
                            </a:ln>
                          </wps:spPr>
                          <wps:bodyPr/>
                        </wps:wsp>
                        <wps:wsp>
                          <wps:cNvPr id="694" name="Rectangle 690"/>
                          <wps:cNvSpPr>
                            <a:spLocks noChangeArrowheads="1"/>
                          </wps:cNvSpPr>
                          <wps:spPr bwMode="auto">
                            <a:xfrm>
                              <a:off x="19050" y="628650"/>
                              <a:ext cx="1797050" cy="296545"/>
                            </a:xfrm>
                            <a:prstGeom prst="rect">
                              <a:avLst/>
                            </a:prstGeom>
                            <a:solidFill>
                              <a:srgbClr val="FFFFFF"/>
                            </a:solidFill>
                            <a:ln w="9525">
                              <a:solidFill>
                                <a:srgbClr val="000000"/>
                              </a:solidFill>
                              <a:miter lim="800000"/>
                            </a:ln>
                          </wps:spPr>
                          <wps:txbx>
                            <w:txbxContent>
                              <w:p>
                                <w:pPr>
                                  <w:jc w:val="center"/>
                                  <w:rPr>
                                    <w:szCs w:val="21"/>
                                  </w:rPr>
                                </w:pPr>
                                <w:r>
                                  <w:rPr>
                                    <w:rFonts w:hint="eastAsia"/>
                                    <w:szCs w:val="21"/>
                                  </w:rPr>
                                  <w:t>与建设单位交换意见</w:t>
                                </w:r>
                              </w:p>
                            </w:txbxContent>
                          </wps:txbx>
                          <wps:bodyPr rot="0" vert="horz" wrap="square" lIns="91440" tIns="45720" rIns="91440" bIns="45720" anchor="t" anchorCtr="0" upright="1">
                            <a:noAutofit/>
                          </wps:bodyPr>
                        </wps:wsp>
                        <wps:wsp>
                          <wps:cNvPr id="673" name="矩形 673"/>
                          <wps:cNvSpPr>
                            <a:spLocks noChangeArrowheads="1"/>
                          </wps:cNvSpPr>
                          <wps:spPr bwMode="auto">
                            <a:xfrm>
                              <a:off x="28575" y="1228725"/>
                              <a:ext cx="1797050" cy="285750"/>
                            </a:xfrm>
                            <a:prstGeom prst="rect">
                              <a:avLst/>
                            </a:prstGeom>
                            <a:solidFill>
                              <a:srgbClr val="FFFFFF"/>
                            </a:solidFill>
                            <a:ln w="9525" algn="ctr">
                              <a:solidFill>
                                <a:srgbClr val="000000"/>
                              </a:solidFill>
                              <a:miter lim="800000"/>
                            </a:ln>
                            <a:effectLst/>
                          </wps:spPr>
                          <wps:txbx>
                            <w:txbxContent>
                              <w:p>
                                <w:pPr>
                                  <w:jc w:val="center"/>
                                </w:pPr>
                                <w:r>
                                  <w:rPr>
                                    <w:rFonts w:hint="eastAsia"/>
                                  </w:rPr>
                                  <w:t>安全评价报告</w:t>
                                </w:r>
                              </w:p>
                            </w:txbxContent>
                          </wps:txbx>
                          <wps:bodyPr rot="0" vert="horz" wrap="square" lIns="91440" tIns="45720" rIns="91440" bIns="45720" anchor="t" anchorCtr="0" upright="1">
                            <a:noAutofit/>
                          </wps:bodyPr>
                        </wps:wsp>
                        <wps:wsp>
                          <wps:cNvPr id="695" name="直接箭头连接符 695"/>
                          <wps:cNvCnPr/>
                          <wps:spPr>
                            <a:xfrm>
                              <a:off x="914400" y="923925"/>
                              <a:ext cx="0" cy="315813"/>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grpSp>
                    </wpg:wgp>
                  </a:graphicData>
                </a:graphic>
              </wp:anchor>
            </w:drawing>
          </mc:Choice>
          <mc:Fallback>
            <w:pict>
              <v:group id="_x0000_s1026" o:spid="_x0000_s1026" o:spt="203" style="position:absolute;left:0pt;margin-left:157.4pt;margin-top:2.3pt;height:367.9pt;width:153pt;z-index:251661312;mso-width-relative:page;mso-height-relative:page;" coordsize="1943100,4672345" o:gfxdata="UEsDBAoAAAAAAIdO4kAAAAAAAAAAAAAAAAAEAAAAZHJzL1BLAwQUAAAACACHTuJAlVRrcdkAAAAJ&#10;AQAADwAAAGRycy9kb3ducmV2LnhtbE2PQUvDQBSE74L/YXmCN7ubNkaJeSlS1FMRbIXS2zb7moRm&#10;34bsNmn/vetJj8MMM98Uy4vtxEiDbx0jJDMFgrhypuUa4Xv7/vAMwgfNRneOCeFKHpbl7U2hc+Mm&#10;/qJxE2oRS9jnGqEJoc+l9FVDVvuZ64mjd3SD1SHKoZZm0FMst52cK5VJq1uOC43uadVQddqcLcLH&#10;pKfXRfI2rk/H1XW/ffzcrRNCvL9L1AuIQJfwF4Zf/IgOZWQ6uDMbLzqERZJG9ICQZiCin81V1AeE&#10;p1SlIMtC/n9Q/gBQSwMEFAAAAAgAh07iQLVGnEBgBgAAtS0AAA4AAABkcnMvZTJvRG9jLnhtbO1a&#10;3Y7bRBS+R+IdLN/TxP921GxV7XYrpAIVLQ8wazuxhT1jZmY3Wa654ApxjwQSAiQk4Kp3CPE0y/IY&#10;nPmznWzSbUM3lVKn0ta/45kz33znzHfO/QfLurIucspKgqe2c29sWzlOSVbi+dT+7PnpB7FtMY5w&#10;hiqC86l9mTP7wdH7791fNJPcJQWpspxa0Ahmk0UztQvOm8loxNIirxG7R5ocw80ZoTXicErno4yi&#10;BbReVyN3PA5HC0KzhpI0Zwyunqibtm6RvkqDZDYr0/yEpOd1jrlqleYV4jAkVpQNs49kb2ezPOWf&#10;zGYs51Y1tWGkXP6Fj8Dxmfg7OrqPJnOKmqJMdRfQq3RhbUw1KjF8tG3qBHFkndPyRlN1mVLCyIzf&#10;S0k9UgORFoFROOM12zym5LyRY5lPFvOmNTpM1JrVd242/fjiKbXKbGqHSWRbGNUw5dd/fnX17deW&#10;uAL2WTTzCTz2mDbPmqdUX5irMzHk5YzW4n8YjLWUlr1sLZsvuZXCRSfxPWcMRk/hnh9Grudp26cF&#10;TNCN99Li0dY3/UD0amQ+PBL9a7vTntyxsaLQGEtOkgVDemO2it04NrYKPSd25YDRpDWV78cwV2BJ&#10;L4pD8VlxzxhMvKzs7IwT2amtpoIFzDpUsf+HqmcFanIJVibgYlAVtaj6FBYjwvMqB2N5yljySYEq&#10;MQTWPCHp58zC5LiA5/KHlJJFkaMMOubIKV80vRfECYNXrbPFRyQD1KJzTuQaXAPkBmsZWHa28sNY&#10;fsKgCk0ayvjjnNSWOJjaFHovW0cXTxhXADSPyN6TqsxOy6qSJ3R+dlxR6wIB7ZzKn26d9R+rsLWY&#10;2kkAE/zyJsbyt6mJuuTAxlVZT23ADPz0QxWGJWJMJNYwm/Dl2VKuXjY5I9klWI4SxYfgDeCgIPRL&#10;21oAF05t9sU5orltVR9isH7i+L4gT3niB5ELJ7R/56x/B+EUmpra3LbU4TFXhHve0HJewJccOVxM&#10;HsKMzUppTNFB1Svdb0Cm6vYeIAoeTxHfkxILdPrCiKJHgONjrNCZLvGzNYBKxD+/bAB7K/hUrxjj&#10;34rPIHHVavbdQH4ZTQw+9UIOXXm9Xcc3wFlBv18GTkwEMiVRvAHMgVfCmWyMo7J6hDOLSyNwWsr1&#10;DSCa2nWeAXxyCDHEETwNvd8ASjXn4rawl5z0jtCV75Hcftd0nhgIGDqXnLuT6wvdyHMlILqJXPF/&#10;Icxnsu7+NrBUx+neODSc7tzi/vbB6cLBqAXT53TpifSqeYuc3tkq9KWb2b5sBk4/WE6PHQNRzek6&#10;lN0bpwOViwjN9x0dvRlOdzwVnQWOXDDb0TmQ+i77pF7oGbsGA4bUZYy3E6k7bhi40fpUHlSkHgMw&#10;b7J60ouF3iKrD5G63Fm/45F6DKTaj9QhEIHQcYjUexu/lQ3mAUbqcWAgoEkdPL3EwA4ilRMnbpBo&#10;BaX1z4dF6q1O1QvVwTF2y2Yg9UF+kZvvtyW/CC1zhdT74uAgvwjh5OBJvVXgDKlrCW4HUncDbxz4&#10;Mmzt6S+HReqtWtUnda1Y9STyQVNfXTmsL8tLtdzI5SsLbNDUXyNHuSXtA/rmKqn31cGB1N8FUofA&#10;WkOgzSdrEOzA6p4TRHGkRfONoboTQJbKKDRtqhRg2GWjO0EdkqpdjrX3ZqvGdUkIkf7RuYk2CXE3&#10;qVLI1mqD9Wlda1Z7ofUVa220shuNI7V9aE11Ixs1yOoHK6snrUaoZPW4Lw/ePa3LRLQCqRuGkcp2&#10;d1Ee3BH1JV7ojG9L/RyUuL4nemrFtx49qTzmnrJ+TjIO1OyHbhzCIagY3ew7URLJ+wIDbhIGa5nS&#10;gafeoZKOlqeuf/j16q8f91xy5MYBRCIi8nBcN45MAVfrUVeQKp41+xBTumQqi/ZTfGShag6FGimn&#10;d1KHBEtUVmLquilBFqJwS4VVQ1XSth1UK3Rff/fin29+vv7j96ufXvz79/fi+LdfoDqzv+EXvldr&#10;usq2XSGbrsvs+c7E9UD4XmVP4zudIIYMNTS1Pb5jnCJRyHVMMIaqOEJVPdeWwrjNtUdWKsrMZlCz&#10;Cz67bjIoOcNzKBh7RSCeJuKfQmuBslxV2iWBLoAD4QNxqApUlx3wCm1hnNYA5PhWdv1iyZ0gVqh3&#10;5C1loS1FTspEr1/SJHcWUM0re6Arj0W5cP8cjvvV1kf/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IIAABbQ29udGVudF9UeXBlc10ueG1sUEsB&#10;AhQACgAAAAAAh07iQAAAAAAAAAAAAAAAAAYAAAAAAAAAAAAQAAAAtAcAAF9yZWxzL1BLAQIUABQA&#10;AAAIAIdO4kCKFGY80QAAAJQBAAALAAAAAAAAAAEAIAAAANgHAABfcmVscy8ucmVsc1BLAQIUAAoA&#10;AAAAAIdO4kAAAAAAAAAAAAAAAAAEAAAAAAAAAAAAEAAAAAAAAABkcnMvUEsBAhQAFAAAAAgAh07i&#10;QJVUa3HZAAAACQEAAA8AAAAAAAAAAQAgAAAAIgAAAGRycy9kb3ducmV2LnhtbFBLAQIUABQAAAAI&#10;AIdO4kC1RpxAYAYAALUtAAAOAAAAAAAAAAEAIAAAACgBAABkcnMvZTJvRG9jLnhtbFBLBQYAAAAA&#10;BgAGAFkBAAD6CQAAAAA=&#10;">
                <o:lock v:ext="edit" aspectratio="f"/>
                <v:group id="Group 672" o:spid="_x0000_s1026" o:spt="203" style="position:absolute;left:0;top:0;height:631825;width:1828800;" coordorigin="4487,3786" coordsize="2880,1092" o:gfxdata="UEsDBAoAAAAAAIdO4kAAAAAAAAAAAAAAAAAEAAAAZHJzL1BLAwQUAAAACACHTuJA9ZMeJsAAAADc&#10;AAAADwAAAGRycy9kb3ducmV2LnhtbEWPQWvCQBSE70L/w/IKvZlNWowlzRqKtKUHEdSCeHtkn0lI&#10;9m3IbhP9926h4HGYmW+YvLiYTow0uMaygiSKQRCXVjdcKfg5fM5fQTiPrLGzTAqu5KBYPcxyzLSd&#10;eEfj3lciQNhlqKD2vs+kdGVNBl1ke+Lgne1g0Ac5VFIPOAW46eRzHKfSYMNhocae1jWV7f7XKPia&#10;cHp/ST7GTXteX0+Hxfa4SUipp8ckfgPh6eLv4f/2t1aQLlP4OxOOgFzdAFBLAwQUAAAACACHTuJA&#10;My8FnjsAAAA5AAAAFQAAAGRycy9ncm91cHNoYXBleG1sLnhtbLOxr8jNUShLLSrOzM+zVTLUM1BS&#10;SM1Lzk/JzEu3VQoNcdO1UFIoLknMS0nMyc9LtVWqTC1Wsrfj5QIAUEsDBAoAAAAAAIdO4kAAAAAA&#10;AAAAAAAAAAAGAAAAX3JlbHMvUEsDBBQAAAAIAIdO4kAJLbcE0wAAAJkBAAALAAAAX3JlbHMvLnJl&#10;bHOlkEFLAzEQhe+C/yHM3c22BxFptjeh11rBa0hms8FNJszE1f57U0RwpTcPc5h5zPceb7f/TLNa&#10;kCVSNrDpelCYHfmYg4GX09PdAyipNns7U0YDZxTYD7c3uyPOtrYnmWIR1ShZDEy1lketxU2YrHRU&#10;MDdlJE62tpWDLta92YB62/f3mn8zYFgx1cEb4IPfgjqdS3P+w07RMQmNtXOUNI1jdNeoOjC9l+fJ&#10;FnxNc2NZDlgNeJZvSS5SC9m1AX09w+afGTx95CMua/fLkXH58dWrQocvUEsDBBQAAAAIAIdO4kBU&#10;fegn/gAAAOwBAAATAAAAW0NvbnRlbnRfVHlwZXNdLnhtbJWRy07DMBBF90j8g+UtShxYIISadEGA&#10;HSAoHzCyJ4lFYlseN7R/z7iPDaJIXdoz954je7HcTKOYMZL1rpbXZSUFOu2NdX0tP1dPxZ0UlMAZ&#10;GL3DWm6R5LK5vFistgFJcNpRLYeUwr1SpAecgEof0PGk83GCxMfYqwD6C3pUN1V1q7R3CV0qUu6Q&#10;zaLFDtZjEo8bvt6bRBxJiof9YmbVEkIYrYbEpmp25helOBBKTu52aLCBrlhDqj8JeXIacMi98tNE&#10;a1C8QUwvMLGGMpGU8d8u4lz+X5ItJyp811mNZRup5dg7zkerU+199OtAAwTk/nMZzzn8kcNHjNr9&#10;VfMDUEsBAhQAFAAAAAgAh07iQFR96Cf+AAAA7AEAABMAAAAAAAAAAQAgAAAAnQIAAFtDb250ZW50&#10;X1R5cGVzXS54bWxQSwECFAAKAAAAAACHTuJAAAAAAAAAAAAAAAAABgAAAAAAAAAAABAAAAB9AQAA&#10;X3JlbHMvUEsBAhQAFAAAAAgAh07iQAkttwTTAAAAmQEAAAsAAAAAAAAAAQAgAAAAoQEAAF9yZWxz&#10;Ly5yZWxzUEsBAhQACgAAAAAAh07iQAAAAAAAAAAAAAAAAAQAAAAAAAAAAAAQAAAAAAAAAGRycy9Q&#10;SwECFAAUAAAACACHTuJA9ZMeJsAAAADcAAAADwAAAAAAAAABACAAAAAiAAAAZHJzL2Rvd25yZXYu&#10;eG1sUEsBAhQAFAAAAAgAh07iQDMvBZ47AAAAOQAAABUAAAAAAAAAAQAgAAAADwEAAGRycy9ncm91&#10;cHNoYXBleG1sLnhtbFBLBQYAAAAABgAGAGABAADMAwAAAAA=&#10;">
                  <o:lock v:ext="edit" aspectratio="f"/>
                  <v:rect id="Rectangle 673" o:spid="_x0000_s1026" o:spt="1" style="position:absolute;left:4487;top:3786;height:468;width:2880;" fillcolor="#FFFFFF" filled="t" stroked="t" coordsize="21600,21600" o:gfxdata="UEsDBAoAAAAAAIdO4kAAAAAAAAAAAAAAAAAEAAAAZHJzL1BLAwQUAAAACACHTuJAl7Rec78AAADc&#10;AAAADwAAAGRycy9kb3ducmV2LnhtbEWPwW7CMBBE70j8g7VIvREbKkFJcXJoRdUeIbn0tsTbJBCv&#10;o9hA2q+vK1XiOJqZN5ptPtpOXGnwrWMNi0SBIK6cabnWUBa7+RMIH5ANdo5Jwzd5yLPpZIupcTfe&#10;0/UQahEh7FPU0ITQp1L6qiGLPnE9cfS+3GAxRDnU0gx4i3DbyaVSK2mx5bjQYE8vDVXnw8VqOLbL&#10;En/2xZuym91j+BiL0+XzVeuH2UI9gwg0hnv4v/1uNKzWa/g7E4+AzH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e0XnO/&#10;AAAA3AAAAA8AAAAAAAAAAQAgAAAAIgAAAGRycy9kb3ducmV2LnhtbFBLAQIUABQAAAAIAIdO4kAz&#10;LwWeOwAAADkAAAAQAAAAAAAAAAEAIAAAAA4BAABkcnMvc2hhcGV4bWwueG1sUEsFBgAAAAAGAAYA&#10;WwEAALgDAAAAAA==&#10;">
                    <v:fill on="t" focussize="0,0"/>
                    <v:stroke color="#000000" miterlimit="8" joinstyle="miter"/>
                    <v:imagedata o:title=""/>
                    <o:lock v:ext="edit" aspectratio="f"/>
                    <v:textbox>
                      <w:txbxContent>
                        <w:p>
                          <w:pPr>
                            <w:jc w:val="center"/>
                            <w:rPr>
                              <w:szCs w:val="21"/>
                            </w:rPr>
                          </w:pPr>
                          <w:r>
                            <w:rPr>
                              <w:rFonts w:hint="eastAsia"/>
                              <w:szCs w:val="21"/>
                            </w:rPr>
                            <w:t>前期准备</w:t>
                          </w:r>
                        </w:p>
                      </w:txbxContent>
                    </v:textbox>
                  </v:rect>
                  <v:line id="Line 674" o:spid="_x0000_s1026" o:spt="20" style="position:absolute;left:5927;top:4254;height:624;width:0;" filled="f" stroked="t" coordsize="21600,21600" o:gfxdata="UEsDBAoAAAAAAIdO4kAAAAAAAAAAAAAAAAAEAAAAZHJzL1BLAwQUAAAACACHTuJAgGdMqL0AAADc&#10;AAAADwAAAGRycy9kb3ducmV2LnhtbEVPz2vCMBS+D/wfwhO8zbQeulKNHgaKoNuwHcPdHs1bW9a8&#10;lCTW7r9fDoMdP77fm91kejGS851lBekyAUFcW91xo+C92j/mIHxA1thbJgU/5GG3nT1ssND2zhca&#10;y9CIGMK+QAVtCEMhpa9bMuiXdiCO3Jd1BkOErpHa4T2Gm16ukiSTBjuODS0O9NxS/V3ejILLeX/K&#10;P063qXafh/S1eju/XH2u1GKeJmsQgabwL/5zH7WC7CmujWfiEZDb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AZ0yo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group>
                <v:group id="Group 675" o:spid="_x0000_s1026" o:spt="203" style="position:absolute;left:0;top:627321;height:662490;width:1943100;" coordorigin="4487,3786" coordsize="3060,1145" o:gfxdata="UEsDBAoAAAAAAIdO4kAAAAAAAAAAAAAAAAAEAAAAZHJzL1BLAwQUAAAACACHTuJAhAyKVMAAAADc&#10;AAAADwAAAGRycy9kb3ducmV2LnhtbEWPQWvCQBSE74X+h+UVetNNLNUaXUVCW3oQwaQg3h7ZZxLM&#10;vg3ZbRL/fbcg9DjMzDfMejuaRvTUudqygngagSAurK65VPCdf0zeQDiPrLGxTApu5GC7eXxYY6Lt&#10;wEfqM1+KAGGXoILK+zaR0hUVGXRT2xIH72I7gz7IrpS6wyHATSNnUTSXBmsOCxW2lFZUXLMfo+Bz&#10;wGH3Er/3++slvZ3z18NpH5NSz09xtALhafT/4Xv7SyuYL5bwdyYcAbn5BVBLAwQUAAAACACHTuJA&#10;My8FnjsAAAA5AAAAFQAAAGRycy9ncm91cHNoYXBleG1sLnhtbLOxr8jNUShLLSrOzM+zVTLUM1BS&#10;SM1Lzk/JzEu3VQoNcdO1UFIoLknMS0nMyc9LtVWqTC1Wsrfj5QIAUEsDBAoAAAAAAIdO4kAAAAAA&#10;AAAAAAAAAAAGAAAAX3JlbHMvUEsDBBQAAAAIAIdO4kAJLbcE0wAAAJkBAAALAAAAX3JlbHMvLnJl&#10;bHOlkEFLAzEQhe+C/yHM3c22BxFptjeh11rBa0hms8FNJszE1f57U0RwpTcPc5h5zPceb7f/TLNa&#10;kCVSNrDpelCYHfmYg4GX09PdAyipNns7U0YDZxTYD7c3uyPOtrYnmWIR1ShZDEy1lketxU2YrHRU&#10;MDdlJE62tpWDLta92YB62/f3mn8zYFgx1cEb4IPfgjqdS3P+w07RMQmNtXOUNI1jdNeoOjC9l+fJ&#10;FnxNc2NZDlgNeJZvSS5SC9m1AX09w+afGTx95CMua/fLkXH58dWrQocvUEsDBBQAAAAIAIdO4kBU&#10;fegn/gAAAOwBAAATAAAAW0NvbnRlbnRfVHlwZXNdLnhtbJWRy07DMBBF90j8g+UtShxYIISadEGA&#10;HSAoHzCyJ4lFYlseN7R/z7iPDaJIXdoz954je7HcTKOYMZL1rpbXZSUFOu2NdX0tP1dPxZ0UlMAZ&#10;GL3DWm6R5LK5vFistgFJcNpRLYeUwr1SpAecgEof0PGk83GCxMfYqwD6C3pUN1V1q7R3CV0qUu6Q&#10;zaLFDtZjEo8bvt6bRBxJiof9YmbVEkIYrYbEpmp25helOBBKTu52aLCBrlhDqj8JeXIacMi98tNE&#10;a1C8QUwvMLGGMpGU8d8u4lz+X5ItJyp811mNZRup5dg7zkerU+199OtAAwTk/nMZzzn8kcNHjNr9&#10;VfMDUEsBAhQAFAAAAAgAh07iQFR96Cf+AAAA7AEAABMAAAAAAAAAAQAgAAAAnQIAAFtDb250ZW50&#10;X1R5cGVzXS54bWxQSwECFAAKAAAAAACHTuJAAAAAAAAAAAAAAAAABgAAAAAAAAAAABAAAAB9AQAA&#10;X3JlbHMvUEsBAhQAFAAAAAgAh07iQAkttwTTAAAAmQEAAAsAAAAAAAAAAQAgAAAAoQEAAF9yZWxz&#10;Ly5yZWxzUEsBAhQACgAAAAAAh07iQAAAAAAAAAAAAAAAAAQAAAAAAAAAAAAQAAAAAAAAAGRycy9Q&#10;SwECFAAUAAAACACHTuJAhAyKVMAAAADcAAAADwAAAAAAAAABACAAAAAiAAAAZHJzL2Rvd25yZXYu&#10;eG1sUEsBAhQAFAAAAAgAh07iQDMvBZ47AAAAOQAAABUAAAAAAAAAAQAgAAAADwEAAGRycy9ncm91&#10;cHNoYXBleG1sLnhtbFBLBQYAAAAABgAGAGABAADMAwAAAAA=&#10;">
                  <o:lock v:ext="edit" aspectratio="f"/>
                  <v:rect id="Rectangle 676" o:spid="_x0000_s1026" o:spt="1" style="position:absolute;left:4487;top:3786;height:643;width:3060;" fillcolor="#FFFFFF" filled="t" stroked="t" coordsize="21600,21600" o:gfxdata="UEsDBAoAAAAAAIdO4kAAAAAAAAAAAAAAAAAEAAAAZHJzL1BLAwQUAAAACACHTuJALYi2ILoAAADc&#10;AAAADwAAAGRycy9kb3ducmV2LnhtbEVPPW/CMBDdkfofrKvEBjYgIUjjMLQCwQhhYTvia5I2Pkex&#10;gcCvxwMS49P7Tle9bcSVOl871jAZKxDEhTM1lxqO+Xq0AOEDssHGMWm4k4dV9jFIMTHuxnu6HkIp&#10;Ygj7BDVUIbSJlL6oyKIfu5Y4cr+usxgi7EppOrzFcNvIqVJzabHm2FBhS98VFf+Hi9VwrqdHfOzz&#10;jbLL9Szs+vzvcvrRevg5UV8gAvXhLX65t0bDfBHnxzPxCMjsC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tiLYgugAAANwA&#10;AAAPAAAAAAAAAAEAIAAAACIAAABkcnMvZG93bnJldi54bWxQSwECFAAUAAAACACHTuJAMy8FnjsA&#10;AAA5AAAAEAAAAAAAAAABACAAAAAJAQAAZHJzL3NoYXBleG1sLnhtbFBLBQYAAAAABgAGAFsBAACz&#10;AwAAAAA=&#10;">
                    <v:fill on="t" focussize="0,0"/>
                    <v:stroke color="#000000" miterlimit="8" joinstyle="miter"/>
                    <v:imagedata o:title=""/>
                    <o:lock v:ext="edit" aspectratio="f"/>
                    <v:textbox>
                      <w:txbxContent>
                        <w:p>
                          <w:pPr>
                            <w:jc w:val="center"/>
                            <w:rPr>
                              <w:szCs w:val="21"/>
                            </w:rPr>
                          </w:pPr>
                          <w:r>
                            <w:rPr>
                              <w:rFonts w:hint="eastAsia"/>
                              <w:szCs w:val="21"/>
                            </w:rPr>
                            <w:t>辨识与分析危险、有害因素</w:t>
                          </w:r>
                        </w:p>
                      </w:txbxContent>
                    </v:textbox>
                  </v:rect>
                  <v:line id="Line 677" o:spid="_x0000_s1026" o:spt="20" style="position:absolute;left:5954;top:4415;height:516;width:13;" filled="f" stroked="t" coordsize="21600,21600" o:gfxdata="UEsDBAoAAAAAAIdO4kAAAAAAAAAAAAAAAAAEAAAAZHJzL1BLAwQUAAAACACHTuJAJIiVEsAAAADc&#10;AAAADwAAAGRycy9kb3ducmV2LnhtbEWPzWrDMBCE74G+g9hCb4nsHIJxouRQSCnYackPpb0t1tY2&#10;tVZGkh337atCIMdhZr5hNrvJdGIk51vLCtJFAoK4srrlWsHlvJ9nIHxA1thZJgW/5GG3fZhtMNf2&#10;ykcaT6EWEcI+RwVNCH0upa8aMugXtieO3rd1BkOUrpba4TXCTSeXSbKSBluOCw329NxQ9XMajIJj&#10;uS+yj2KYKvf1kr6d38vDp8+UenpMkzWIQFO4h2/tV61glaXwfyYeAbn9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kiJUS&#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group>
                <v:group id="Group 678" o:spid="_x0000_s1026" o:spt="203" style="position:absolute;left:0;top:1265275;height:631825;width:1828800;" coordorigin="4487,3786" coordsize="2880,1092" o:gfxdata="UEsDBAoAAAAAAIdO4kAAAAAAAAAAAAAAAAAEAAAAZHJzL1BLAwQUAAAACACHTuJAv31oAr8AAADc&#10;AAAADwAAAGRycy9kb3ducmV2LnhtbEWPQWvCQBSE7wX/w/KE3uomlopE1yBBpYdQqAri7ZF9JsHs&#10;25BdE/Pvu4VCj8PMfMOs06dpRE+dqy0riGcRCOLC6ppLBefT/m0JwnlkjY1lUjCSg3QzeVljou3A&#10;39QffSkChF2CCirv20RKV1Rk0M1sSxy8m+0M+iC7UuoOhwA3jZxH0UIarDksVNhSVlFxPz6MgsOA&#10;w/Y93vX5/ZaN19PH1yWPSanXaRytQHh6+v/wX/tTK1gs5/B7JhwBufkB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C/fWgCvwAAANwAAAAPAAAAAAAAAAEAIAAAACIAAABkcnMvZG93bnJldi54&#10;bWxQSwECFAAUAAAACACHTuJAMy8FnjsAAAA5AAAAFQAAAAAAAAABACAAAAAOAQAAZHJzL2dyb3Vw&#10;c2hhcGV4bWwueG1sUEsFBgAAAAAGAAYAYAEAAMsDAAAAAA==&#10;">
                  <o:lock v:ext="edit" aspectratio="f"/>
                  <v:rect id="Rectangle 679" o:spid="_x0000_s1026" o:spt="1" style="position:absolute;left:4487;top:3786;height:468;width:2880;" fillcolor="#FFFFFF" filled="t" stroked="t" coordsize="21600,21600" o:gfxdata="UEsDBAoAAAAAAIdO4kAAAAAAAAAAAAAAAAAEAAAAZHJzL1BLAwQUAAAACACHTuJA3VooV74AAADc&#10;AAAADwAAAGRycy9kb3ducmV2LnhtbEWPwW7CMBBE75X4B2uReis2RIpowHAAUZUjhAu3bbwkaeN1&#10;FJsk5evrSpV6HM3MG816O9pG9NT52rGG+UyBIC6cqbnUcMkPL0sQPiAbbByThm/ysN1MntaYGTfw&#10;ifpzKEWEsM9QQxVCm0npi4os+plriaN3c53FEGVXStPhEOG2kQulUmmx5rhQYUu7ioqv891q+KgX&#10;F3yc8jdlXw9JOI755/261/p5OlcrEIHG8B/+a78bDekygd8z8QjIz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3VooV74A&#10;AADcAAAADwAAAAAAAAABACAAAAAiAAAAZHJzL2Rvd25yZXYueG1sUEsBAhQAFAAAAAgAh07iQDMv&#10;BZ47AAAAOQAAABAAAAAAAAAAAQAgAAAADQEAAGRycy9zaGFwZXhtbC54bWxQSwUGAAAAAAYABgBb&#10;AQAAtwMAAAAA&#10;">
                    <v:fill on="t" focussize="0,0"/>
                    <v:stroke color="#000000" miterlimit="8" joinstyle="miter"/>
                    <v:imagedata o:title=""/>
                    <o:lock v:ext="edit" aspectratio="f"/>
                    <v:textbox>
                      <w:txbxContent>
                        <w:p>
                          <w:pPr>
                            <w:jc w:val="center"/>
                            <w:rPr>
                              <w:szCs w:val="21"/>
                            </w:rPr>
                          </w:pPr>
                          <w:r>
                            <w:rPr>
                              <w:rFonts w:hint="eastAsia"/>
                              <w:szCs w:val="21"/>
                            </w:rPr>
                            <w:t>划分评价单元</w:t>
                          </w:r>
                        </w:p>
                      </w:txbxContent>
                    </v:textbox>
                  </v:rect>
                  <v:line id="Line 680" o:spid="_x0000_s1026" o:spt="20" style="position:absolute;left:5927;top:4254;height:624;width:0;" filled="f" stroked="t" coordsize="21600,21600" o:gfxdata="UEsDBAoAAAAAAIdO4kAAAAAAAAAAAAAAAAAEAAAAZHJzL1BLAwQUAAAACACHTuJANP82isAAAADc&#10;AAAADwAAAGRycy9kb3ducmV2LnhtbEWPT2vCQBTE74LfYXmCN92kFAmpq4eCIvinGEtpb4/saxKa&#10;fRt2V43fvisIHoeZ+Q0zX/amFRdyvrGsIJ0mIIhLqxuuFHyeVpMMhA/IGlvLpOBGHpaL4WCOubZX&#10;PtKlCJWIEPY5KqhD6HIpfVmTQT+1HXH0fq0zGKJ0ldQOrxFuWvmSJDNpsOG4UGNH7zWVf8XZKDju&#10;Vtvsa3vuS/ezTg+nj93+22dKjUdp8gYiUB+e4Ud7oxXMsle4n4lHQC7+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0/zaK&#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group>
                <v:group id="Group 681" o:spid="_x0000_s1026" o:spt="203" style="position:absolute;left:0;top:1892596;height:631825;width:1828800;" coordorigin="4487,3786" coordsize="2880,1092" o:gfxdata="UEsDBAoAAAAAAIdO4kAAAAAAAAAAAAAAAAAEAAAAZHJzL1BLAwQUAAAACACHTuJAMJTwdr4AAADc&#10;AAAADwAAAGRycy9kb3ducmV2LnhtbEWPT4vCMBTE74LfITxhb5p2F0WqqYisyx5E8A8se3s0z7a0&#10;eSlNbPXbG0HwOMzMb5jl6mZq0VHrSssK4kkEgjizuuRcwfm0Hc9BOI+ssbZMCu7kYJUOB0tMtO35&#10;QN3R5yJA2CWooPC+SaR0WUEG3cQ2xMG72NagD7LNpW6xD3BTy88omkmDJYeFAhvaFJRVx6tR8NNj&#10;v/6Kv7tdddnc/0/T/d8uJqU+RnG0AOHp5t/hV/tXK5jNp/A8E46ATB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DCU8Ha+AAAA3AAAAA8AAAAAAAAAAQAgAAAAIgAAAGRycy9kb3ducmV2Lnht&#10;bFBLAQIUABQAAAAIAIdO4kAzLwWeOwAAADkAAAAVAAAAAAAAAAEAIAAAAA0BAABkcnMvZ3JvdXBz&#10;aGFwZXhtbC54bWxQSwUGAAAAAAYABgBgAQAAygMAAAAA&#10;">
                  <o:lock v:ext="edit" aspectratio="f"/>
                  <v:rect id="Rectangle 682" o:spid="_x0000_s1026" o:spt="1" style="position:absolute;left:4487;top:3786;height:468;width:2880;" fillcolor="#FFFFFF" filled="t" stroked="t" coordsize="21600,21600" o:gfxdata="UEsDBAoAAAAAAIdO4kAAAAAAAAAAAAAAAAAEAAAAZHJzL1BLAwQUAAAACACHTuJAzS2Lz70AAADc&#10;AAAADwAAAGRycy9kb3ducmV2LnhtbEWPQYvCMBSE78L+h/AWvGmiQtGu0cMuLnrUevH2tnm2dZuX&#10;0kSt/nojCB6HmfmGmS87W4sLtb5yrGE0VCCIc2cqLjTss9VgCsIHZIO1Y9JwIw/LxUdvjqlxV97S&#10;ZRcKESHsU9RQhtCkUvq8JIt+6Bri6B1dazFE2RbStHiNcFvLsVKJtFhxXCixoe+S8v/d2Wr4q8Z7&#10;vG+zX2Vnq0nYdNnpfPjRuv85Ul8gAnXhHX6110ZDMk3geSYeAbl4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NLYvPvQAA&#10;ANwAAAAPAAAAAAAAAAEAIAAAACIAAABkcnMvZG93bnJldi54bWxQSwECFAAUAAAACACHTuJAMy8F&#10;njsAAAA5AAAAEAAAAAAAAAABACAAAAAMAQAAZHJzL3NoYXBleG1sLnhtbFBLBQYAAAAABgAGAFsB&#10;AAC2AwAAAAA=&#10;">
                    <v:fill on="t" focussize="0,0"/>
                    <v:stroke color="#000000" miterlimit="8" joinstyle="miter"/>
                    <v:imagedata o:title=""/>
                    <o:lock v:ext="edit" aspectratio="f"/>
                    <v:textbox>
                      <w:txbxContent>
                        <w:p>
                          <w:pPr>
                            <w:jc w:val="center"/>
                            <w:rPr>
                              <w:szCs w:val="21"/>
                            </w:rPr>
                          </w:pPr>
                          <w:r>
                            <w:rPr>
                              <w:rFonts w:hint="eastAsia"/>
                              <w:szCs w:val="21"/>
                            </w:rPr>
                            <w:t>定性、定量评价</w:t>
                          </w:r>
                        </w:p>
                      </w:txbxContent>
                    </v:textbox>
                  </v:rect>
                  <v:line id="Line 683" o:spid="_x0000_s1026" o:spt="20" style="position:absolute;left:5927;top:4254;height:624;width:0;" filled="f" stroked="t" coordsize="21600,21600" o:gfxdata="UEsDBAoAAAAAAIdO4kAAAAAAAAAAAAAAAAAEAAAAZHJzL1BLAwQUAAAACACHTuJAxC2o/b8AAADc&#10;AAAADwAAAGRycy9kb3ducmV2LnhtbEWPQWvCQBSE74L/YXmCN93Egw2pq4eCIqgVtZT29si+JqHZ&#10;t2F31fjvXUHwOMzMN8xs0ZlGXMj52rKCdJyAIC6srrlU8HVajjIQPiBrbCyTght5WMz7vRnm2l75&#10;QJdjKEWEsM9RQRVCm0vpi4oM+rFtiaP3Z53BEKUrpXZ4jXDTyEmSTKXBmuNChS19VFT8H89GwWG7&#10;3GTfm3NXuN9V+nnab3c/PlNqOEiTdxCBuvAKP9trrWCavcHjTDwCcn4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QtqP2/&#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group>
                <v:group id="Group 684" o:spid="_x0000_s1026" o:spt="203" style="position:absolute;left:0;top:2530549;height:631825;width:1828800;" coordorigin="4487,3786" coordsize="2880,1092" o:gfxdata="UEsDBAoAAAAAAIdO4kAAAAAAAAAAAAAAAAAEAAAAZHJzL1BLAwQUAAAACACHTuJA3pVf6LoAAADc&#10;AAAADwAAAGRycy9kb3ducmV2LnhtbEVPTYvCMBC9C/sfwix407SKIl2jLKLiQQSrIN6GZmyLzaQ0&#10;sdV/bw6Cx8f7ni+fphItNa60rCAeRiCIM6tLzhWcT5vBDITzyBory6TgRQ6Wi5/eHBNtOz5Sm/pc&#10;hBB2CSoovK8TKV1WkEE3tDVx4G62MegDbHKpG+xCuKnkKIqm0mDJoaHAmlYFZff0YRRsO+z+x/G6&#10;3d9vq9f1NDlc9jEp1f+Noz8Qnp7+K/64d1rBdBbWhjPhCMjFG1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3pVf6LoAAADcAAAADwAAAAAAAAABACAAAAAiAAAAZHJzL2Rvd25yZXYueG1sUEsB&#10;AhQAFAAAAAgAh07iQDMvBZ47AAAAOQAAABUAAAAAAAAAAQAgAAAACQEAAGRycy9ncm91cHNoYXBl&#10;eG1sLnhtbFBLBQYAAAAABgAGAGABAADGAwAAAAA=&#10;">
                  <o:lock v:ext="edit" aspectratio="f"/>
                  <v:rect id="Rectangle 685" o:spid="_x0000_s1026" o:spt="1" style="position:absolute;left:4487;top:3786;height:468;width:2880;" fillcolor="#FFFFFF" filled="t" stroked="t" coordsize="21600,21600" o:gfxdata="UEsDBAoAAAAAAIdO4kAAAAAAAAAAAAAAAAAEAAAAZHJzL1BLAwQUAAAACACHTuJAvLIfvb4AAADc&#10;AAAADwAAAGRycy9kb3ducmV2LnhtbEWPwW7CMBBE75X4B2uRemtsUgmRFMMBFFSOEC7ctvE2SYnX&#10;UWwg5evrSpV6HM3MG81yPdpO3GjwrWMNs0SBIK6cabnWcCqLlwUIH5ANdo5Jwzd5WK8mT0vMjbvz&#10;gW7HUIsIYZ+jhiaEPpfSVw1Z9InriaP36QaLIcqhlmbAe4TbTqZKzaXFluNCgz1tGqoux6vV8NGm&#10;J3wcyp2yWfEa9mP5dT1vtX6eztQbiEBj+A//td+Nhvkig98z8QjI1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LIfvb4A&#10;AADcAAAADwAAAAAAAAABACAAAAAiAAAAZHJzL2Rvd25yZXYueG1sUEsBAhQAFAAAAAgAh07iQDMv&#10;BZ47AAAAOQAAABAAAAAAAAAAAQAgAAAADQEAAGRycy9zaGFwZXhtbC54bWxQSwUGAAAAAAYABgBb&#10;AQAAtwMAAAAA&#10;">
                    <v:fill on="t" focussize="0,0"/>
                    <v:stroke color="#000000" miterlimit="8" joinstyle="miter"/>
                    <v:imagedata o:title=""/>
                    <o:lock v:ext="edit" aspectratio="f"/>
                    <v:textbox>
                      <w:txbxContent>
                        <w:p>
                          <w:pPr>
                            <w:jc w:val="center"/>
                            <w:rPr>
                              <w:szCs w:val="21"/>
                            </w:rPr>
                          </w:pPr>
                          <w:r>
                            <w:rPr>
                              <w:rFonts w:hint="eastAsia"/>
                              <w:szCs w:val="21"/>
                            </w:rPr>
                            <w:t>提出安全对策措施建议</w:t>
                          </w:r>
                        </w:p>
                      </w:txbxContent>
                    </v:textbox>
                  </v:rect>
                  <v:line id="Line 686" o:spid="_x0000_s1026" o:spt="20" style="position:absolute;left:5927;top:4254;height:624;width:0;" filled="f" stroked="t" coordsize="21600,21600" o:gfxdata="UEsDBAoAAAAAAIdO4kAAAAAAAAAAAAAAAAAEAAAAZHJzL1BLAwQUAAAACACHTuJAzh2mVL0AAADc&#10;AAAADwAAAGRycy9kb3ducmV2LnhtbEVPz2vCMBS+D/wfwhO8zbQeSleNHgaKYLehjuFuj+atLWte&#10;SpLW7r9fDoMdP77fm91kOjGS861lBekyAUFcWd1yreD9un/MQfiArLGzTAp+yMNuO3vYYKHtnc80&#10;XkItYgj7AhU0IfSFlL5qyKBf2p44cl/WGQwRulpqh/cYbjq5SpJMGmw5NjTY03ND1fdlMArO5f6U&#10;f5yGqXKfh/T1+la+3Hyu1GKeJmsQgabwL/5zH7WC7CnOj2fiEZDb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OHaZU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group>
                <v:group id="_x0000_s1026" o:spid="_x0000_s1026" o:spt="203" style="position:absolute;left:0;top:3157870;height:1514475;width:1828800;" coordsize="1828800,1514475" o:gfxdata="UEsDBAoAAAAAAIdO4kAAAAAAAAAAAAAAAAAEAAAAZHJzL1BLAwQUAAAACACHTuJARZ/43MAAAADc&#10;AAAADwAAAGRycy9kb3ducmV2LnhtbEWPQWvCQBSE70L/w/IKvZlNWgw2zRqKtKUHEdSCeHtkn0lI&#10;9m3IbhP9926h4HGYmW+YvLiYTow0uMaygiSKQRCXVjdcKfg5fM6XIJxH1thZJgVXclCsHmY5ZtpO&#10;vKNx7ysRIOwyVFB732dSurImgy6yPXHwznYw6IMcKqkHnALcdPI5jlNpsOGwUGNP65rKdv9rFHxN&#10;OL2/JB/jpj2vr6fDYnvcJKTU02MSv4HwdPH38H/7WytIX1P4OxOOgFzdAFBLAwQUAAAACACHTuJA&#10;My8FnjsAAAA5AAAAFQAAAGRycy9ncm91cHNoYXBleG1sLnhtbLOxr8jNUShLLSrOzM+zVTLUM1BS&#10;SM1Lzk/JzEu3VQoNcdO1UFIoLknMS0nMyc9LtVWqTC1Wsrfj5QIAUEsDBAoAAAAAAIdO4kAAAAAA&#10;AAAAAAAAAAAGAAAAX3JlbHMvUEsDBBQAAAAIAIdO4kAJLbcE0wAAAJkBAAALAAAAX3JlbHMvLnJl&#10;bHOlkEFLAzEQhe+C/yHM3c22BxFptjeh11rBa0hms8FNJszE1f57U0RwpTcPc5h5zPceb7f/TLNa&#10;kCVSNrDpelCYHfmYg4GX09PdAyipNns7U0YDZxTYD7c3uyPOtrYnmWIR1ShZDEy1lketxU2YrHRU&#10;MDdlJE62tpWDLta92YB62/f3mn8zYFgx1cEb4IPfgjqdS3P+w07RMQmNtXOUNI1jdNeoOjC9l+fJ&#10;FnxNc2NZDlgNeJZvSS5SC9m1AX09w+afGTx95CMua/fLkXH58dWrQocvUEsDBBQAAAAIAIdO4kBU&#10;fegn/gAAAOwBAAATAAAAW0NvbnRlbnRfVHlwZXNdLnhtbJWRy07DMBBF90j8g+UtShxYIISadEGA&#10;HSAoHzCyJ4lFYlseN7R/z7iPDaJIXdoz954je7HcTKOYMZL1rpbXZSUFOu2NdX0tP1dPxZ0UlMAZ&#10;GL3DWm6R5LK5vFistgFJcNpRLYeUwr1SpAecgEof0PGk83GCxMfYqwD6C3pUN1V1q7R3CV0qUu6Q&#10;zaLFDtZjEo8bvt6bRBxJiof9YmbVEkIYrYbEpmp25helOBBKTu52aLCBrlhDqj8JeXIacMi98tNE&#10;a1C8QUwvMLGGMpGU8d8u4lz+X5ItJyp811mNZRup5dg7zkerU+199OtAAwTk/nMZzzn8kcNHjNr9&#10;VfMDUEsBAhQAFAAAAAgAh07iQFR96Cf+AAAA7AEAABMAAAAAAAAAAQAgAAAAnQIAAFtDb250ZW50&#10;X1R5cGVzXS54bWxQSwECFAAKAAAAAACHTuJAAAAAAAAAAAAAAAAABgAAAAAAAAAAABAAAAB9AQAA&#10;X3JlbHMvUEsBAhQAFAAAAAgAh07iQAkttwTTAAAAmQEAAAsAAAAAAAAAAQAgAAAAoQEAAF9yZWxz&#10;Ly5yZWxzUEsBAhQACgAAAAAAh07iQAAAAAAAAAAAAAAAAAQAAAAAAAAAAAAQAAAAAAAAAGRycy9Q&#10;SwECFAAUAAAACACHTuJARZ/43MAAAADcAAAADwAAAAAAAAABACAAAAAiAAAAZHJzL2Rvd25yZXYu&#10;eG1sUEsBAhQAFAAAAAgAh07iQDMvBZ47AAAAOQAAABUAAAAAAAAAAQAgAAAADwEAAGRycy9ncm91&#10;cHNoYXBleG1sLnhtbFBLBQYAAAAABgAGAGABAADMAwAAAAA=&#10;">
                  <o:lock v:ext="edit" aspectratio="f"/>
                  <v:rect id="Rectangle 688" o:spid="_x0000_s1026" o:spt="1" style="position:absolute;left:0;top:0;height:270782;width:1828800;" fillcolor="#FFFFFF" filled="t" stroked="t" coordsize="21600,21600" o:gfxdata="UEsDBAoAAAAAAIdO4kAAAAAAAAAAAAAAAAAEAAAAZHJzL1BLAwQUAAAACACHTuJAN88bEb0AAADc&#10;AAAADwAAAGRycy9kb3ducmV2LnhtbEWPQYvCMBSE78L+h/AW9qaJXRDtGj3souhR68Xbs3nbVpuX&#10;0kSt/nojCB6HmfmGmc47W4sLtb5yrGE4UCCIc2cqLjTsskV/DMIHZIO1Y9JwIw/z2UdviqlxV97Q&#10;ZRsKESHsU9RQhtCkUvq8JIt+4Bri6P271mKIsi2kafEa4baWiVIjabHiuFBiQ78l5aft2Wo4VMkO&#10;75tsqexk8R3WXXY87/+0/vocqh8QgbrwDr/aK6NhNEngeSYeATl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3zxsRvQAA&#10;ANwAAAAPAAAAAAAAAAEAIAAAACIAAABkcnMvZG93bnJldi54bWxQSwECFAAUAAAACACHTuJAMy8F&#10;njsAAAA5AAAAEAAAAAAAAAABACAAAAAMAQAAZHJzL3NoYXBleG1sLnhtbFBLBQYAAAAABgAGAFsB&#10;AAC2AwAAAAA=&#10;">
                    <v:fill on="t" focussize="0,0"/>
                    <v:stroke color="#000000" miterlimit="8" joinstyle="miter"/>
                    <v:imagedata o:title=""/>
                    <o:lock v:ext="edit" aspectratio="f"/>
                    <v:textbox>
                      <w:txbxContent>
                        <w:p>
                          <w:pPr>
                            <w:jc w:val="center"/>
                            <w:rPr>
                              <w:szCs w:val="21"/>
                            </w:rPr>
                          </w:pPr>
                          <w:r>
                            <w:rPr>
                              <w:rFonts w:hint="eastAsia"/>
                              <w:szCs w:val="21"/>
                            </w:rPr>
                            <w:t>作出评价结论</w:t>
                          </w:r>
                        </w:p>
                      </w:txbxContent>
                    </v:textbox>
                  </v:rect>
                  <v:line id="Line 689" o:spid="_x0000_s1026" o:spt="20" style="position:absolute;left:914400;top:266700;height:361043;width:0;" filled="f" stroked="t" coordsize="21600,21600" o:gfxdata="UEsDBAoAAAAAAIdO4kAAAAAAAAAAAAAAAAAEAAAAZHJzL1BLAwQUAAAACACHTuJAPs84I78AAADc&#10;AAAADwAAAGRycy9kb3ducmV2LnhtbEWPQWvCQBSE7wX/w/KE3uomFSRGVw8Fi6C1qKXo7ZF9JqHZ&#10;t2F31fjvXaHgcZiZb5jpvDONuJDztWUF6SABQVxYXXOp4Ge/eMtA+ICssbFMCm7kYT7rvUwx1/bK&#10;W7rsQikihH2OCqoQ2lxKX1Rk0A9sSxy9k3UGQ5SulNrhNcJNI9+TZCQN1hwXKmzpo6Lib3c2Crbr&#10;xSr7XZ27wh0/083+e/118JlSr/00mYAI1IVn+L+91ApG4yE8zsQjIGd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7POCO/&#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rect id="Rectangle 690" o:spid="_x0000_s1026" o:spt="1" style="position:absolute;left:19050;top:628650;height:296545;width:1797050;" fillcolor="#FFFFFF" filled="t" stroked="t" coordsize="21600,21600" o:gfxdata="UEsDBAoAAAAAAIdO4kAAAAAAAAAAAAAAAAAEAAAAZHJzL1BLAwQUAAAACACHTuJA12om/r0AAADc&#10;AAAADwAAAGRycy9kb3ducmV2LnhtbEWPzW7CMBCE70h9B2srcQObH6GSYjgUgeAI4dLbNl6S0Hgd&#10;xQYCT4+RkDiOZuYbzWzR2kpcqPGlYw2DvgJBnDlTcq7hkK56XyB8QDZYOSYNN/KwmH90ZpgYd+Ud&#10;XfYhFxHCPkENRQh1IqXPCrLo+64mjt7RNRZDlE0uTYPXCLeVHCo1kRZLjgsF1vRTUPa/P1sNf+Xw&#10;gPddulZ2uhqFbZuezr9LrbufA/UNIlAb3uFXe2M0TKZjeJ6JR0DO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Xaib+vQAA&#10;ANwAAAAPAAAAAAAAAAEAIAAAACIAAABkcnMvZG93bnJldi54bWxQSwECFAAUAAAACACHTuJAMy8F&#10;njsAAAA5AAAAEAAAAAAAAAABACAAAAAMAQAAZHJzL3NoYXBleG1sLnhtbFBLBQYAAAAABgAGAFsB&#10;AAC2AwAAAAA=&#10;">
                    <v:fill on="t" focussize="0,0"/>
                    <v:stroke color="#000000" miterlimit="8" joinstyle="miter"/>
                    <v:imagedata o:title=""/>
                    <o:lock v:ext="edit" aspectratio="f"/>
                    <v:textbox>
                      <w:txbxContent>
                        <w:p>
                          <w:pPr>
                            <w:jc w:val="center"/>
                            <w:rPr>
                              <w:szCs w:val="21"/>
                            </w:rPr>
                          </w:pPr>
                          <w:r>
                            <w:rPr>
                              <w:rFonts w:hint="eastAsia"/>
                              <w:szCs w:val="21"/>
                            </w:rPr>
                            <w:t>与建设单位交换意见</w:t>
                          </w:r>
                        </w:p>
                      </w:txbxContent>
                    </v:textbox>
                  </v:rect>
                  <v:rect id="_x0000_s1026" o:spid="_x0000_s1026" o:spt="1" style="position:absolute;left:28575;top:1228725;height:285750;width:1797050;" fillcolor="#FFFFFF" filled="t" stroked="t" coordsize="21600,21600" o:gfxdata="UEsDBAoAAAAAAIdO4kAAAAAAAAAAAAAAAAAEAAAAZHJzL1BLAwQUAAAACACHTuJA6I9YcL0AAADc&#10;AAAADwAAAGRycy9kb3ducmV2LnhtbEWPzW7CMBCE70h9B2srcQMbkPgJGA6tQHCEcOG2xEuSNl5H&#10;sYHA09eVkDiOZuYbzWLV2krcqPGlYw2DvgJBnDlTcq7hmK57UxA+IBusHJOGB3lYLT86C0yMu/Oe&#10;boeQiwhhn6CGIoQ6kdJnBVn0fVcTR+/iGoshyiaXpsF7hNtKDpUaS4slx4UCa/oqKPs9XK2Gczk8&#10;4nOfbpSdrUdh16Y/19O31t3PgZqDCNSGd/jV3hoN48kI/s/EIyCX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oj1hwvQAA&#10;ANwAAAAPAAAAAAAAAAEAIAAAACIAAABkcnMvZG93bnJldi54bWxQSwECFAAUAAAACACHTuJAMy8F&#10;njsAAAA5AAAAEAAAAAAAAAABACAAAAAMAQAAZHJzL3NoYXBleG1sLnhtbFBLBQYAAAAABgAGAFsB&#10;AAC2AwAAAAA=&#10;">
                    <v:fill on="t" focussize="0,0"/>
                    <v:stroke color="#000000" miterlimit="8" joinstyle="miter"/>
                    <v:imagedata o:title=""/>
                    <o:lock v:ext="edit" aspectratio="f"/>
                    <v:textbox>
                      <w:txbxContent>
                        <w:p>
                          <w:pPr>
                            <w:jc w:val="center"/>
                          </w:pPr>
                          <w:r>
                            <w:rPr>
                              <w:rFonts w:hint="eastAsia"/>
                            </w:rPr>
                            <w:t>安全评价报告</w:t>
                          </w:r>
                        </w:p>
                      </w:txbxContent>
                    </v:textbox>
                  </v:rect>
                  <v:shape id="_x0000_s1026" o:spid="_x0000_s1026" o:spt="32" type="#_x0000_t32" style="position:absolute;left:914400;top:923925;height:315813;width:0;" filled="f" stroked="t" coordsize="21600,21600" o:gfxdata="UEsDBAoAAAAAAIdO4kAAAAAAAAAAAAAAAAAEAAAAZHJzL1BLAwQUAAAACACHTuJA8qsydb4AAADc&#10;AAAADwAAAGRycy9kb3ducmV2LnhtbEWPT2sCMRTE74V+h/CE3mpWoYuuRsGKuJcW1FI8PjbPTXDz&#10;smziv376RhA8DjPzG2Y6v7pGnKkL1rOCQT8DQVx5bblW8LNbvY9AhIissfFMCm4UYD57fZliof2F&#10;N3TexlokCIcCFZgY20LKUBlyGPq+JU7ewXcOY5JdLXWHlwR3jRxmWS4dWk4LBlv6NFQdtyenIC73&#10;N5P/Voux/d6tv3L7V5blUqm33iCbgIh0jc/wo11qBfn4A+5n0hGQs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8qsydb4A&#10;AADcAAAADwAAAAAAAAABACAAAAAiAAAAZHJzL2Rvd25yZXYueG1sUEsBAhQAFAAAAAgAh07iQDMv&#10;BZ47AAAAOQAAABAAAAAAAAAAAQAgAAAADQEAAGRycy9zaGFwZXhtbC54bWxQSwUGAAAAAAYABgBb&#10;AQAAtwMAAAAA&#10;">
                    <v:fill on="f" focussize="0,0"/>
                    <v:stroke color="#000000 [3200]" joinstyle="round" endarrow="block"/>
                    <v:imagedata o:title=""/>
                    <o:lock v:ext="edit" aspectratio="f"/>
                  </v:shape>
                </v:group>
              </v:group>
            </w:pict>
          </mc:Fallback>
        </mc:AlternateContent>
      </w:r>
    </w:p>
    <w:p>
      <w:pPr>
        <w:spacing w:line="360" w:lineRule="auto"/>
        <w:ind w:firstLine="560" w:firstLineChars="200"/>
        <w:rPr>
          <w:rFonts w:hint="eastAsia" w:ascii="宋体" w:hAnsi="宋体" w:eastAsia="宋体" w:cs="宋体"/>
          <w:sz w:val="28"/>
        </w:rPr>
      </w:pPr>
    </w:p>
    <w:p>
      <w:pPr>
        <w:spacing w:line="360" w:lineRule="auto"/>
        <w:ind w:firstLine="560" w:firstLineChars="200"/>
        <w:rPr>
          <w:rFonts w:hint="eastAsia" w:ascii="宋体" w:hAnsi="宋体" w:eastAsia="宋体" w:cs="宋体"/>
          <w:sz w:val="28"/>
        </w:rPr>
      </w:pPr>
    </w:p>
    <w:p>
      <w:pPr>
        <w:spacing w:line="360" w:lineRule="auto"/>
        <w:ind w:firstLine="560" w:firstLineChars="200"/>
        <w:rPr>
          <w:rFonts w:hint="eastAsia" w:ascii="宋体" w:hAnsi="宋体" w:eastAsia="宋体" w:cs="宋体"/>
          <w:sz w:val="28"/>
        </w:rPr>
      </w:pPr>
    </w:p>
    <w:p>
      <w:pPr>
        <w:spacing w:line="360" w:lineRule="auto"/>
        <w:ind w:firstLine="560" w:firstLineChars="200"/>
        <w:rPr>
          <w:rFonts w:hint="eastAsia" w:ascii="宋体" w:hAnsi="宋体" w:eastAsia="宋体" w:cs="宋体"/>
          <w:sz w:val="28"/>
        </w:rPr>
      </w:pPr>
    </w:p>
    <w:p>
      <w:pPr>
        <w:spacing w:line="360" w:lineRule="auto"/>
        <w:ind w:firstLine="560" w:firstLineChars="200"/>
        <w:rPr>
          <w:rFonts w:hint="eastAsia" w:ascii="宋体" w:hAnsi="宋体" w:eastAsia="宋体" w:cs="宋体"/>
          <w:sz w:val="28"/>
        </w:rPr>
      </w:pPr>
    </w:p>
    <w:p>
      <w:pPr>
        <w:spacing w:line="360" w:lineRule="auto"/>
        <w:ind w:firstLine="560" w:firstLineChars="200"/>
        <w:rPr>
          <w:rFonts w:hint="eastAsia" w:ascii="宋体" w:hAnsi="宋体" w:eastAsia="宋体" w:cs="宋体"/>
          <w:sz w:val="28"/>
        </w:rPr>
      </w:pPr>
    </w:p>
    <w:p>
      <w:pPr>
        <w:spacing w:line="360" w:lineRule="auto"/>
        <w:ind w:firstLine="560" w:firstLineChars="200"/>
        <w:rPr>
          <w:rFonts w:hint="eastAsia" w:ascii="宋体" w:hAnsi="宋体" w:eastAsia="宋体" w:cs="宋体"/>
          <w:sz w:val="28"/>
        </w:rPr>
      </w:pPr>
    </w:p>
    <w:p>
      <w:pPr>
        <w:spacing w:line="360" w:lineRule="auto"/>
        <w:ind w:firstLine="560" w:firstLineChars="200"/>
        <w:rPr>
          <w:rFonts w:hint="eastAsia" w:ascii="宋体" w:hAnsi="宋体" w:eastAsia="宋体" w:cs="宋体"/>
          <w:sz w:val="28"/>
        </w:rPr>
      </w:pPr>
    </w:p>
    <w:p>
      <w:pPr>
        <w:spacing w:line="360" w:lineRule="auto"/>
        <w:ind w:firstLine="560" w:firstLineChars="200"/>
        <w:rPr>
          <w:rFonts w:hint="eastAsia" w:ascii="宋体" w:hAnsi="宋体" w:eastAsia="宋体" w:cs="宋体"/>
          <w:sz w:val="28"/>
        </w:rPr>
      </w:pPr>
    </w:p>
    <w:p>
      <w:pPr>
        <w:spacing w:line="360" w:lineRule="auto"/>
        <w:ind w:firstLine="560" w:firstLineChars="200"/>
        <w:rPr>
          <w:rFonts w:hint="eastAsia" w:ascii="宋体" w:hAnsi="宋体" w:eastAsia="宋体" w:cs="宋体"/>
          <w:sz w:val="28"/>
        </w:rPr>
      </w:pPr>
    </w:p>
    <w:p>
      <w:pPr>
        <w:spacing w:line="360" w:lineRule="auto"/>
        <w:ind w:firstLine="110" w:firstLineChars="50"/>
        <w:jc w:val="center"/>
        <w:rPr>
          <w:rFonts w:hint="eastAsia" w:ascii="宋体" w:hAnsi="宋体" w:eastAsia="宋体" w:cs="宋体"/>
          <w:szCs w:val="21"/>
        </w:rPr>
      </w:pPr>
      <w:r>
        <w:rPr>
          <w:rFonts w:hint="eastAsia" w:ascii="宋体" w:hAnsi="宋体" w:eastAsia="宋体" w:cs="宋体"/>
          <w:szCs w:val="21"/>
        </w:rPr>
        <w:t xml:space="preserve">             </w:t>
      </w:r>
    </w:p>
    <w:p>
      <w:pPr>
        <w:spacing w:line="360" w:lineRule="auto"/>
        <w:jc w:val="both"/>
        <w:rPr>
          <w:rFonts w:hint="eastAsia" w:ascii="宋体" w:hAnsi="宋体" w:eastAsia="宋体" w:cs="宋体"/>
          <w:szCs w:val="21"/>
        </w:rPr>
      </w:pPr>
    </w:p>
    <w:p>
      <w:pPr>
        <w:pStyle w:val="6"/>
        <w:rPr>
          <w:rFonts w:hint="eastAsia" w:ascii="宋体" w:hAnsi="宋体" w:eastAsia="宋体" w:cs="宋体"/>
          <w:sz w:val="20"/>
        </w:rPr>
      </w:pPr>
    </w:p>
    <w:p>
      <w:pPr>
        <w:tabs>
          <w:tab w:val="left" w:pos="4838"/>
        </w:tabs>
        <w:spacing w:before="67"/>
        <w:rPr>
          <w:rFonts w:hint="eastAsia" w:ascii="宋体" w:hAnsi="宋体" w:eastAsia="宋体" w:cs="宋体"/>
          <w:sz w:val="25"/>
          <w:szCs w:val="28"/>
        </w:rPr>
      </w:pPr>
    </w:p>
    <w:p>
      <w:pPr>
        <w:tabs>
          <w:tab w:val="left" w:pos="4838"/>
        </w:tabs>
        <w:spacing w:before="67"/>
        <w:jc w:val="center"/>
        <w:rPr>
          <w:rFonts w:hint="eastAsia" w:ascii="宋体" w:hAnsi="宋体" w:eastAsia="宋体" w:cs="宋体"/>
          <w:spacing w:val="20"/>
          <w:w w:val="105"/>
          <w:sz w:val="29"/>
        </w:rPr>
      </w:pPr>
    </w:p>
    <w:p>
      <w:pPr>
        <w:tabs>
          <w:tab w:val="left" w:pos="4838"/>
        </w:tabs>
        <w:spacing w:before="67"/>
        <w:jc w:val="center"/>
        <w:rPr>
          <w:rFonts w:hint="eastAsia" w:ascii="宋体" w:hAnsi="宋体" w:eastAsia="宋体" w:cs="宋体"/>
          <w:sz w:val="24"/>
          <w:szCs w:val="24"/>
        </w:rPr>
      </w:pPr>
      <w:bookmarkStart w:id="129" w:name="_Toc4884_WPSOffice_Level2"/>
      <w:bookmarkStart w:id="130" w:name="_Toc5824_WPSOffice_Level2"/>
      <w:bookmarkStart w:id="131" w:name="_Toc11108_WPSOffice_Level2"/>
      <w:bookmarkStart w:id="132" w:name="_Toc3801_WPSOffice_Level2"/>
      <w:r>
        <w:rPr>
          <w:rFonts w:hint="eastAsia" w:ascii="宋体" w:hAnsi="宋体" w:eastAsia="宋体" w:cs="宋体"/>
          <w:spacing w:val="20"/>
          <w:w w:val="105"/>
          <w:sz w:val="24"/>
          <w:szCs w:val="24"/>
        </w:rPr>
        <w:t>图</w:t>
      </w:r>
      <w:r>
        <w:rPr>
          <w:rFonts w:hint="eastAsia" w:ascii="宋体" w:hAnsi="宋体" w:eastAsia="宋体" w:cs="宋体"/>
          <w:w w:val="105"/>
          <w:sz w:val="24"/>
          <w:szCs w:val="24"/>
        </w:rPr>
        <w:t>1.</w:t>
      </w:r>
      <w:r>
        <w:rPr>
          <w:rFonts w:hint="eastAsia" w:ascii="宋体" w:hAnsi="宋体" w:eastAsia="宋体" w:cs="宋体"/>
          <w:w w:val="105"/>
          <w:sz w:val="24"/>
          <w:szCs w:val="24"/>
          <w:lang w:val="en-US"/>
        </w:rPr>
        <w:t>4</w:t>
      </w:r>
      <w:r>
        <w:rPr>
          <w:rFonts w:hint="eastAsia" w:ascii="宋体" w:hAnsi="宋体" w:eastAsia="宋体" w:cs="宋体"/>
          <w:w w:val="105"/>
          <w:sz w:val="24"/>
          <w:szCs w:val="24"/>
        </w:rPr>
        <w:t>-1</w:t>
      </w:r>
      <w:r>
        <w:rPr>
          <w:rFonts w:hint="eastAsia" w:ascii="宋体" w:hAnsi="宋体" w:eastAsia="宋体" w:cs="宋体"/>
          <w:w w:val="105"/>
          <w:sz w:val="24"/>
          <w:szCs w:val="24"/>
          <w:lang w:val="en-US"/>
        </w:rPr>
        <w:t xml:space="preserve">  </w:t>
      </w:r>
      <w:r>
        <w:rPr>
          <w:rFonts w:hint="eastAsia" w:ascii="宋体" w:hAnsi="宋体" w:eastAsia="宋体" w:cs="宋体"/>
          <w:w w:val="105"/>
          <w:sz w:val="24"/>
          <w:szCs w:val="24"/>
        </w:rPr>
        <w:t>安全评价程序框图</w:t>
      </w:r>
      <w:bookmarkEnd w:id="129"/>
      <w:bookmarkEnd w:id="130"/>
      <w:bookmarkEnd w:id="131"/>
      <w:bookmarkEnd w:id="132"/>
    </w:p>
    <w:p>
      <w:pPr>
        <w:rPr>
          <w:rFonts w:hint="eastAsia" w:ascii="宋体" w:hAnsi="宋体" w:eastAsia="宋体" w:cs="宋体"/>
          <w:sz w:val="29"/>
        </w:rPr>
        <w:sectPr>
          <w:footerReference r:id="rId7" w:type="default"/>
          <w:pgSz w:w="11910" w:h="16840"/>
          <w:pgMar w:top="1417" w:right="1134" w:bottom="1134" w:left="1587" w:header="720" w:footer="720" w:gutter="0"/>
          <w:pgNumType w:fmt="decimal" w:start="1"/>
          <w:cols w:space="0" w:num="1"/>
        </w:sectPr>
      </w:pPr>
    </w:p>
    <w:p>
      <w:pPr>
        <w:pStyle w:val="2"/>
        <w:spacing w:before="240" w:beforeLines="100" w:after="240" w:afterLines="100"/>
        <w:ind w:firstLine="0"/>
        <w:jc w:val="center"/>
        <w:rPr>
          <w:rFonts w:hint="eastAsia" w:ascii="宋体" w:hAnsi="宋体" w:eastAsia="宋体" w:cs="宋体"/>
        </w:rPr>
      </w:pPr>
      <w:bookmarkStart w:id="133" w:name="_Toc2759_WPSOffice_Level1"/>
      <w:bookmarkStart w:id="134" w:name="_Toc12455_WPSOffice_Level1"/>
      <w:bookmarkStart w:id="135" w:name="_Toc31907"/>
      <w:bookmarkStart w:id="136" w:name="_Toc16912"/>
      <w:bookmarkStart w:id="137" w:name="_Toc4007_WPSOffice_Level1"/>
      <w:bookmarkStart w:id="138" w:name="_Toc18040"/>
      <w:r>
        <w:rPr>
          <w:rFonts w:hint="eastAsia" w:ascii="宋体" w:hAnsi="宋体" w:eastAsia="宋体" w:cs="宋体"/>
        </w:rPr>
        <w:t>2</w:t>
      </w:r>
      <w:r>
        <w:rPr>
          <w:rFonts w:hint="eastAsia" w:ascii="宋体" w:hAnsi="宋体" w:eastAsia="宋体" w:cs="宋体"/>
          <w:spacing w:val="78"/>
        </w:rPr>
        <w:t xml:space="preserve"> </w:t>
      </w:r>
      <w:r>
        <w:rPr>
          <w:rFonts w:hint="eastAsia" w:ascii="宋体" w:hAnsi="宋体" w:eastAsia="宋体" w:cs="宋体"/>
        </w:rPr>
        <w:t>建设项目概况</w:t>
      </w:r>
      <w:bookmarkEnd w:id="133"/>
      <w:bookmarkEnd w:id="134"/>
      <w:bookmarkEnd w:id="135"/>
      <w:bookmarkEnd w:id="136"/>
      <w:bookmarkEnd w:id="137"/>
      <w:bookmarkEnd w:id="138"/>
    </w:p>
    <w:p>
      <w:pPr>
        <w:pStyle w:val="3"/>
        <w:spacing w:before="240" w:beforeLines="100" w:after="240" w:afterLines="100"/>
        <w:ind w:firstLine="0"/>
        <w:jc w:val="center"/>
        <w:rPr>
          <w:rFonts w:hint="eastAsia" w:ascii="宋体" w:hAnsi="宋体" w:eastAsia="宋体" w:cs="宋体"/>
          <w:b/>
          <w:bCs/>
        </w:rPr>
      </w:pPr>
      <w:bookmarkStart w:id="139" w:name="_Toc6496"/>
      <w:bookmarkStart w:id="140" w:name="_Toc29777_WPSOffice_Level2"/>
      <w:bookmarkStart w:id="141" w:name="_Toc9803"/>
      <w:bookmarkStart w:id="142" w:name="_Toc29598_WPSOffice_Level2"/>
      <w:bookmarkStart w:id="143" w:name="_Toc7491_WPSOffice_Level2"/>
      <w:bookmarkStart w:id="144" w:name="_Toc24209"/>
      <w:r>
        <w:rPr>
          <w:rFonts w:hint="eastAsia" w:ascii="宋体" w:hAnsi="宋体" w:eastAsia="宋体" w:cs="宋体"/>
          <w:b/>
          <w:bCs/>
          <w:lang w:val="en-US"/>
        </w:rPr>
        <w:t xml:space="preserve">2.1 </w:t>
      </w:r>
      <w:r>
        <w:rPr>
          <w:rFonts w:hint="eastAsia" w:ascii="宋体" w:hAnsi="宋体" w:eastAsia="宋体" w:cs="宋体"/>
          <w:b/>
          <w:bCs/>
        </w:rPr>
        <w:t>建设项目基本情况</w:t>
      </w:r>
      <w:bookmarkEnd w:id="139"/>
      <w:bookmarkEnd w:id="140"/>
      <w:bookmarkEnd w:id="141"/>
      <w:bookmarkEnd w:id="142"/>
      <w:bookmarkEnd w:id="143"/>
      <w:bookmarkEnd w:id="144"/>
    </w:p>
    <w:p>
      <w:pPr>
        <w:keepNext w:val="0"/>
        <w:keepLines w:val="0"/>
        <w:pageBreakBefore w:val="0"/>
        <w:widowControl w:val="0"/>
        <w:kinsoku/>
        <w:wordWrap/>
        <w:overflowPunct/>
        <w:topLinePunct w:val="0"/>
        <w:autoSpaceDE w:val="0"/>
        <w:autoSpaceDN w:val="0"/>
        <w:bidi w:val="0"/>
        <w:spacing w:line="560" w:lineRule="exact"/>
        <w:ind w:firstLine="560" w:firstLineChars="200"/>
        <w:jc w:val="both"/>
        <w:textAlignment w:val="auto"/>
        <w:rPr>
          <w:rFonts w:hint="eastAsia" w:ascii="宋体" w:hAnsi="宋体" w:eastAsia="宋体" w:cs="宋体"/>
          <w:sz w:val="28"/>
          <w:lang w:eastAsia="zh-CN"/>
        </w:rPr>
      </w:pPr>
      <w:r>
        <w:rPr>
          <w:rFonts w:hint="eastAsia" w:ascii="宋体" w:hAnsi="宋体" w:eastAsia="宋体" w:cs="宋体"/>
          <w:sz w:val="28"/>
          <w:lang w:eastAsia="zh-CN"/>
        </w:rPr>
        <w:t>中国石化销售股份有限公司广东东莞寮步横坑加油站占地面积</w:t>
      </w:r>
      <w:r>
        <w:rPr>
          <w:rFonts w:hint="eastAsia" w:ascii="宋体" w:hAnsi="宋体" w:eastAsia="宋体" w:cs="宋体"/>
          <w:sz w:val="28"/>
          <w:lang w:val="en-US" w:eastAsia="zh-CN"/>
        </w:rPr>
        <w:t>3538.9m</w:t>
      </w:r>
      <w:r>
        <w:rPr>
          <w:rFonts w:hint="eastAsia" w:ascii="宋体" w:hAnsi="宋体" w:eastAsia="宋体" w:cs="宋体"/>
          <w:sz w:val="28"/>
          <w:vertAlign w:val="superscript"/>
          <w:lang w:val="en-US" w:eastAsia="zh-CN"/>
        </w:rPr>
        <w:t>2</w:t>
      </w:r>
      <w:r>
        <w:rPr>
          <w:rFonts w:hint="eastAsia" w:ascii="宋体" w:hAnsi="宋体" w:eastAsia="宋体" w:cs="宋体"/>
          <w:sz w:val="28"/>
          <w:vertAlign w:val="baseline"/>
          <w:lang w:val="en-US" w:eastAsia="zh-CN"/>
        </w:rPr>
        <w:t>，站内设</w:t>
      </w:r>
      <w:r>
        <w:rPr>
          <w:rFonts w:hint="eastAsia" w:ascii="宋体" w:hAnsi="宋体" w:eastAsia="宋体" w:cs="宋体"/>
          <w:sz w:val="28"/>
        </w:rPr>
        <w:t>有站房、加油区、储罐区、</w:t>
      </w:r>
      <w:r>
        <w:rPr>
          <w:rFonts w:hint="eastAsia" w:ascii="宋体" w:hAnsi="宋体" w:eastAsia="宋体" w:cs="宋体"/>
          <w:sz w:val="28"/>
          <w:lang w:eastAsia="zh-CN"/>
        </w:rPr>
        <w:t>配电房、地磅房、简易洗车区</w:t>
      </w:r>
      <w:r>
        <w:rPr>
          <w:rFonts w:hint="eastAsia" w:ascii="宋体" w:hAnsi="宋体" w:eastAsia="宋体" w:cs="宋体"/>
          <w:sz w:val="28"/>
        </w:rPr>
        <w:t>等。该站</w:t>
      </w:r>
      <w:r>
        <w:rPr>
          <w:rFonts w:hint="eastAsia" w:ascii="宋体" w:hAnsi="宋体" w:eastAsia="宋体" w:cs="宋体"/>
          <w:sz w:val="28"/>
          <w:lang w:eastAsia="zh-CN"/>
        </w:rPr>
        <w:t>于</w:t>
      </w:r>
      <w:r>
        <w:rPr>
          <w:rFonts w:hint="eastAsia" w:ascii="宋体" w:hAnsi="宋体" w:eastAsia="宋体" w:cs="宋体"/>
          <w:color w:val="auto"/>
          <w:sz w:val="28"/>
          <w:szCs w:val="28"/>
        </w:rPr>
        <w:t>201</w:t>
      </w:r>
      <w:r>
        <w:rPr>
          <w:rFonts w:hint="eastAsia" w:ascii="宋体" w:hAnsi="宋体" w:eastAsia="宋体" w:cs="宋体"/>
          <w:color w:val="auto"/>
          <w:sz w:val="28"/>
          <w:szCs w:val="28"/>
          <w:lang w:val="en-US" w:eastAsia="zh-CN"/>
        </w:rPr>
        <w:t>7</w:t>
      </w:r>
      <w:r>
        <w:rPr>
          <w:rFonts w:hint="eastAsia" w:ascii="宋体" w:hAnsi="宋体" w:eastAsia="宋体" w:cs="宋体"/>
          <w:color w:val="auto"/>
          <w:sz w:val="28"/>
          <w:szCs w:val="28"/>
        </w:rPr>
        <w:t>年</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月</w:t>
      </w:r>
      <w:r>
        <w:rPr>
          <w:rFonts w:hint="eastAsia" w:ascii="宋体" w:hAnsi="宋体" w:eastAsia="宋体" w:cs="宋体"/>
          <w:color w:val="auto"/>
          <w:sz w:val="28"/>
          <w:szCs w:val="28"/>
          <w:lang w:val="en-US" w:eastAsia="zh-CN"/>
        </w:rPr>
        <w:t>13</w:t>
      </w:r>
      <w:r>
        <w:rPr>
          <w:rFonts w:hint="eastAsia" w:ascii="宋体" w:hAnsi="宋体" w:eastAsia="宋体" w:cs="宋体"/>
          <w:color w:val="auto"/>
          <w:sz w:val="28"/>
          <w:szCs w:val="28"/>
        </w:rPr>
        <w:t>日</w:t>
      </w:r>
      <w:r>
        <w:rPr>
          <w:rFonts w:hint="eastAsia" w:ascii="宋体" w:hAnsi="宋体" w:eastAsia="宋体" w:cs="宋体"/>
          <w:sz w:val="28"/>
        </w:rPr>
        <w:t>取得东莞市安全生产监督管理局核发的《危险化学品经营许可证》（许可证号：</w:t>
      </w:r>
      <w:r>
        <w:rPr>
          <w:rFonts w:hint="eastAsia" w:ascii="宋体" w:hAnsi="宋体" w:eastAsia="宋体" w:cs="宋体"/>
          <w:color w:val="auto"/>
          <w:sz w:val="28"/>
          <w:szCs w:val="28"/>
        </w:rPr>
        <w:t>粤东危化经字[201</w:t>
      </w:r>
      <w:r>
        <w:rPr>
          <w:rFonts w:hint="eastAsia" w:ascii="宋体" w:hAnsi="宋体" w:eastAsia="宋体" w:cs="宋体"/>
          <w:color w:val="auto"/>
          <w:sz w:val="28"/>
          <w:szCs w:val="28"/>
          <w:lang w:val="en-US" w:eastAsia="zh-CN"/>
        </w:rPr>
        <w:t>7</w:t>
      </w:r>
      <w:r>
        <w:rPr>
          <w:rFonts w:hint="eastAsia" w:ascii="宋体" w:hAnsi="宋体" w:eastAsia="宋体" w:cs="宋体"/>
          <w:color w:val="auto"/>
          <w:sz w:val="28"/>
          <w:szCs w:val="28"/>
        </w:rPr>
        <w:t>]000</w:t>
      </w:r>
      <w:r>
        <w:rPr>
          <w:rFonts w:hint="eastAsia" w:ascii="宋体" w:hAnsi="宋体" w:eastAsia="宋体" w:cs="宋体"/>
          <w:color w:val="auto"/>
          <w:sz w:val="28"/>
          <w:szCs w:val="28"/>
          <w:lang w:val="en-US" w:eastAsia="zh-CN"/>
        </w:rPr>
        <w:t>058</w:t>
      </w:r>
      <w:r>
        <w:rPr>
          <w:rFonts w:hint="eastAsia" w:ascii="宋体" w:hAnsi="宋体" w:eastAsia="宋体" w:cs="宋体"/>
          <w:color w:val="auto"/>
          <w:sz w:val="28"/>
          <w:szCs w:val="28"/>
        </w:rPr>
        <w:t>号</w:t>
      </w:r>
      <w:r>
        <w:rPr>
          <w:rFonts w:hint="eastAsia" w:ascii="宋体" w:hAnsi="宋体" w:eastAsia="宋体" w:cs="宋体"/>
          <w:sz w:val="28"/>
        </w:rPr>
        <w:t>），</w:t>
      </w:r>
      <w:r>
        <w:rPr>
          <w:rFonts w:hint="eastAsia" w:ascii="宋体" w:hAnsi="宋体" w:eastAsia="宋体" w:cs="宋体"/>
          <w:color w:val="auto"/>
          <w:sz w:val="28"/>
          <w:szCs w:val="28"/>
        </w:rPr>
        <w:t>许可范围为：汽油</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1630</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、柴油</w:t>
      </w:r>
      <w:r>
        <w:rPr>
          <w:rFonts w:hint="eastAsia" w:ascii="宋体" w:hAnsi="宋体" w:eastAsia="宋体" w:cs="宋体"/>
          <w:color w:val="auto"/>
          <w:sz w:val="28"/>
          <w:szCs w:val="28"/>
          <w:lang w:eastAsia="zh-CN"/>
        </w:rPr>
        <w:t>（闭杯闪点≤</w:t>
      </w:r>
      <w:r>
        <w:rPr>
          <w:rFonts w:hint="eastAsia" w:ascii="宋体" w:hAnsi="宋体" w:eastAsia="宋体" w:cs="宋体"/>
          <w:color w:val="auto"/>
          <w:sz w:val="28"/>
          <w:szCs w:val="28"/>
          <w:lang w:val="en-US" w:eastAsia="zh-CN"/>
        </w:rPr>
        <w:t>60℃</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***（备注：二级加油站，其中汽油罐40m³×2个</w:t>
      </w:r>
      <w:r>
        <w:rPr>
          <w:rFonts w:hint="eastAsia" w:ascii="宋体" w:hAnsi="宋体" w:eastAsia="宋体" w:cs="宋体"/>
          <w:color w:val="auto"/>
          <w:sz w:val="28"/>
          <w:szCs w:val="28"/>
          <w:lang w:val="en-US" w:eastAsia="zh-CN"/>
        </w:rPr>
        <w:t>，</w:t>
      </w:r>
      <w:r>
        <w:rPr>
          <w:rFonts w:hint="eastAsia" w:ascii="宋体" w:hAnsi="宋体" w:eastAsia="宋体" w:cs="宋体"/>
          <w:color w:val="auto"/>
          <w:sz w:val="28"/>
          <w:szCs w:val="28"/>
        </w:rPr>
        <w:t>柴油罐40m³×</w:t>
      </w:r>
      <w:r>
        <w:rPr>
          <w:rFonts w:hint="eastAsia" w:ascii="宋体" w:hAnsi="宋体" w:eastAsia="宋体" w:cs="宋体"/>
          <w:color w:val="auto"/>
          <w:sz w:val="28"/>
          <w:szCs w:val="28"/>
          <w:lang w:val="en-US" w:eastAsia="zh-CN"/>
        </w:rPr>
        <w:t>2</w:t>
      </w:r>
      <w:r>
        <w:rPr>
          <w:rFonts w:hint="eastAsia" w:ascii="宋体" w:hAnsi="宋体" w:eastAsia="宋体" w:cs="宋体"/>
          <w:color w:val="auto"/>
          <w:sz w:val="28"/>
          <w:szCs w:val="28"/>
        </w:rPr>
        <w:t>个）***</w:t>
      </w:r>
      <w:r>
        <w:rPr>
          <w:rFonts w:hint="eastAsia" w:ascii="宋体" w:hAnsi="宋体" w:eastAsia="宋体" w:cs="宋体"/>
          <w:sz w:val="28"/>
        </w:rPr>
        <w:t>，有效期至</w:t>
      </w:r>
      <w:r>
        <w:rPr>
          <w:rFonts w:hint="eastAsia" w:ascii="宋体" w:hAnsi="宋体" w:eastAsia="宋体" w:cs="宋体"/>
          <w:sz w:val="28"/>
          <w:lang w:eastAsia="zh-CN"/>
        </w:rPr>
        <w:t>2020年0</w:t>
      </w:r>
      <w:r>
        <w:rPr>
          <w:rFonts w:hint="eastAsia" w:ascii="宋体" w:hAnsi="宋体" w:eastAsia="宋体" w:cs="宋体"/>
          <w:sz w:val="28"/>
          <w:lang w:val="en-US" w:eastAsia="zh-CN"/>
        </w:rPr>
        <w:t>4</w:t>
      </w:r>
      <w:r>
        <w:rPr>
          <w:rFonts w:hint="eastAsia" w:ascii="宋体" w:hAnsi="宋体" w:eastAsia="宋体" w:cs="宋体"/>
          <w:sz w:val="28"/>
          <w:lang w:eastAsia="zh-CN"/>
        </w:rPr>
        <w:t>月</w:t>
      </w:r>
      <w:r>
        <w:rPr>
          <w:rFonts w:hint="eastAsia" w:ascii="宋体" w:hAnsi="宋体" w:eastAsia="宋体" w:cs="宋体"/>
          <w:sz w:val="28"/>
          <w:lang w:val="en-US" w:eastAsia="zh-CN"/>
        </w:rPr>
        <w:t>12</w:t>
      </w:r>
      <w:r>
        <w:rPr>
          <w:rFonts w:hint="eastAsia" w:ascii="宋体" w:hAnsi="宋体" w:eastAsia="宋体" w:cs="宋体"/>
          <w:sz w:val="28"/>
          <w:lang w:eastAsia="zh-CN"/>
        </w:rPr>
        <w:t>日</w:t>
      </w:r>
      <w:r>
        <w:rPr>
          <w:rFonts w:hint="eastAsia" w:ascii="宋体" w:hAnsi="宋体" w:eastAsia="宋体" w:cs="宋体"/>
          <w:sz w:val="28"/>
        </w:rPr>
        <w:t>。因该站埋地罐区原来采用单层罐，为从本质上预防成品油泄漏风险，以满足国家法律、法规和规范要</w:t>
      </w:r>
      <w:r>
        <w:rPr>
          <w:rFonts w:hint="eastAsia" w:ascii="宋体" w:hAnsi="宋体" w:eastAsia="宋体" w:cs="宋体"/>
          <w:sz w:val="28"/>
          <w:lang w:eastAsia="zh-CN"/>
        </w:rPr>
        <w:t>求，对加油站进行了改造，改造工程内容主要如下：</w:t>
      </w:r>
    </w:p>
    <w:p>
      <w:pPr>
        <w:pStyle w:val="48"/>
        <w:keepNext w:val="0"/>
        <w:keepLines w:val="0"/>
        <w:pageBreakBefore w:val="0"/>
        <w:widowControl w:val="0"/>
        <w:numPr>
          <w:ilvl w:val="0"/>
          <w:numId w:val="0"/>
        </w:numPr>
        <w:kinsoku/>
        <w:wordWrap/>
        <w:overflowPunct/>
        <w:topLinePunct w:val="0"/>
        <w:autoSpaceDE w:val="0"/>
        <w:autoSpaceDN w:val="0"/>
        <w:bidi w:val="0"/>
        <w:adjustRightInd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1</w:t>
      </w:r>
      <w:r>
        <w:rPr>
          <w:rFonts w:hint="eastAsia" w:ascii="宋体" w:hAnsi="宋体" w:eastAsia="宋体" w:cs="宋体"/>
          <w:sz w:val="28"/>
          <w:szCs w:val="28"/>
          <w:lang w:eastAsia="zh-CN"/>
        </w:rPr>
        <w:t>）</w:t>
      </w:r>
      <w:r>
        <w:rPr>
          <w:rFonts w:hint="eastAsia" w:ascii="宋体" w:hAnsi="宋体" w:eastAsia="宋体" w:cs="宋体"/>
          <w:sz w:val="28"/>
          <w:szCs w:val="28"/>
        </w:rPr>
        <w:t>本次改造</w:t>
      </w:r>
      <w:r>
        <w:rPr>
          <w:rFonts w:hint="eastAsia" w:ascii="宋体" w:hAnsi="宋体" w:eastAsia="宋体" w:cs="宋体"/>
          <w:sz w:val="28"/>
          <w:szCs w:val="28"/>
          <w:lang w:eastAsia="zh-CN"/>
        </w:rPr>
        <w:t>在</w:t>
      </w:r>
      <w:r>
        <w:rPr>
          <w:rFonts w:hint="eastAsia" w:ascii="宋体" w:hAnsi="宋体" w:eastAsia="宋体" w:cs="宋体"/>
          <w:sz w:val="28"/>
          <w:szCs w:val="28"/>
        </w:rPr>
        <w:t>原址油罐区</w:t>
      </w:r>
      <w:r>
        <w:rPr>
          <w:rFonts w:hint="eastAsia" w:ascii="宋体" w:hAnsi="宋体" w:eastAsia="宋体" w:cs="宋体"/>
          <w:sz w:val="28"/>
          <w:szCs w:val="28"/>
          <w:lang w:eastAsia="zh-CN"/>
        </w:rPr>
        <w:t>将</w:t>
      </w:r>
      <w:r>
        <w:rPr>
          <w:rFonts w:hint="eastAsia" w:ascii="宋体" w:hAnsi="宋体" w:eastAsia="宋体" w:cs="宋体"/>
          <w:sz w:val="28"/>
          <w:szCs w:val="28"/>
        </w:rPr>
        <w:t>4个埋地油罐更换为4个新的SF双层埋地储罐。改造后为1个50m³SF双层埋地柴油罐、1个15m³SF双层埋地汽油罐、1个30m³SF双层埋地汽油罐、1个50m³SF双层埋地汽油罐，油罐总容积120m³（柴油罐容积折半计入总容积），加油站设计级别为二级</w:t>
      </w:r>
      <w:r>
        <w:rPr>
          <w:rFonts w:hint="eastAsia" w:ascii="宋体" w:hAnsi="宋体" w:eastAsia="宋体" w:cs="宋体"/>
          <w:sz w:val="28"/>
          <w:szCs w:val="28"/>
          <w:lang w:eastAsia="zh-CN"/>
        </w:rPr>
        <w:t>，保持不变</w:t>
      </w:r>
      <w:r>
        <w:rPr>
          <w:rFonts w:hint="eastAsia" w:ascii="宋体" w:hAnsi="宋体" w:eastAsia="宋体" w:cs="宋体"/>
          <w:sz w:val="28"/>
          <w:szCs w:val="28"/>
        </w:rPr>
        <w:t>。</w:t>
      </w:r>
    </w:p>
    <w:p>
      <w:pPr>
        <w:pStyle w:val="48"/>
        <w:keepNext w:val="0"/>
        <w:keepLines w:val="0"/>
        <w:pageBreakBefore w:val="0"/>
        <w:widowControl w:val="0"/>
        <w:numPr>
          <w:ilvl w:val="0"/>
          <w:numId w:val="0"/>
        </w:numPr>
        <w:kinsoku/>
        <w:wordWrap/>
        <w:overflowPunct/>
        <w:topLinePunct w:val="0"/>
        <w:autoSpaceDE w:val="0"/>
        <w:autoSpaceDN w:val="0"/>
        <w:bidi w:val="0"/>
        <w:adjustRightInd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2</w:t>
      </w:r>
      <w:r>
        <w:rPr>
          <w:rFonts w:hint="eastAsia" w:ascii="宋体" w:hAnsi="宋体" w:eastAsia="宋体" w:cs="宋体"/>
          <w:sz w:val="28"/>
          <w:szCs w:val="28"/>
          <w:lang w:eastAsia="zh-CN"/>
        </w:rPr>
        <w:t>）</w:t>
      </w:r>
      <w:r>
        <w:rPr>
          <w:rFonts w:hint="eastAsia" w:ascii="宋体" w:hAnsi="宋体" w:eastAsia="宋体" w:cs="宋体"/>
          <w:sz w:val="28"/>
          <w:szCs w:val="28"/>
        </w:rPr>
        <w:t>保留原有8台8枪加油机。</w:t>
      </w:r>
    </w:p>
    <w:p>
      <w:pPr>
        <w:pStyle w:val="48"/>
        <w:keepNext w:val="0"/>
        <w:keepLines w:val="0"/>
        <w:pageBreakBefore w:val="0"/>
        <w:widowControl w:val="0"/>
        <w:kinsoku/>
        <w:wordWrap/>
        <w:overflowPunct/>
        <w:topLinePunct w:val="0"/>
        <w:autoSpaceDE w:val="0"/>
        <w:autoSpaceDN w:val="0"/>
        <w:bidi w:val="0"/>
        <w:adjustRightInd w:val="0"/>
        <w:spacing w:line="560" w:lineRule="exact"/>
        <w:ind w:left="0" w:lef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3</w:t>
      </w:r>
      <w:r>
        <w:rPr>
          <w:rFonts w:hint="eastAsia" w:ascii="宋体" w:hAnsi="宋体" w:eastAsia="宋体" w:cs="宋体"/>
          <w:sz w:val="28"/>
          <w:szCs w:val="28"/>
          <w:lang w:eastAsia="zh-CN"/>
        </w:rPr>
        <w:t>）</w:t>
      </w:r>
      <w:r>
        <w:rPr>
          <w:rFonts w:hint="eastAsia" w:ascii="宋体" w:hAnsi="宋体" w:eastAsia="宋体" w:cs="宋体"/>
          <w:sz w:val="28"/>
          <w:szCs w:val="28"/>
        </w:rPr>
        <w:t>更换加油设备（潜油泵、液位器、渗漏在线监测仪、油气回收在线检测仪）及工艺管道（出油管、卸油管、通气管、加油及卸油油气回收管）。</w:t>
      </w:r>
    </w:p>
    <w:p>
      <w:pPr>
        <w:pStyle w:val="48"/>
        <w:keepNext w:val="0"/>
        <w:keepLines w:val="0"/>
        <w:pageBreakBefore w:val="0"/>
        <w:widowControl w:val="0"/>
        <w:kinsoku/>
        <w:wordWrap/>
        <w:overflowPunct/>
        <w:topLinePunct w:val="0"/>
        <w:autoSpaceDE w:val="0"/>
        <w:autoSpaceDN w:val="0"/>
        <w:bidi w:val="0"/>
        <w:adjustRightInd w:val="0"/>
        <w:spacing w:line="560" w:lineRule="exact"/>
        <w:ind w:firstLineChars="200"/>
        <w:textAlignment w:val="auto"/>
        <w:rPr>
          <w:rFonts w:hint="eastAsia" w:ascii="宋体" w:hAnsi="宋体" w:eastAsia="宋体" w:cs="宋体"/>
          <w:sz w:val="28"/>
          <w:szCs w:val="28"/>
        </w:rPr>
      </w:pPr>
      <w:r>
        <w:rPr>
          <w:rFonts w:hint="eastAsia" w:ascii="宋体" w:hAnsi="宋体" w:eastAsia="宋体" w:cs="宋体"/>
          <w:sz w:val="28"/>
          <w:szCs w:val="28"/>
        </w:rPr>
        <w:t>（4）更换设备控制与动力电缆。</w:t>
      </w:r>
    </w:p>
    <w:p>
      <w:pPr>
        <w:pStyle w:val="48"/>
        <w:keepNext w:val="0"/>
        <w:keepLines w:val="0"/>
        <w:pageBreakBefore w:val="0"/>
        <w:widowControl w:val="0"/>
        <w:kinsoku/>
        <w:wordWrap/>
        <w:overflowPunct/>
        <w:topLinePunct w:val="0"/>
        <w:autoSpaceDE w:val="0"/>
        <w:autoSpaceDN w:val="0"/>
        <w:bidi w:val="0"/>
        <w:adjustRightInd w:val="0"/>
        <w:spacing w:line="560" w:lineRule="exact"/>
        <w:ind w:firstLineChars="200"/>
        <w:textAlignment w:val="auto"/>
        <w:rPr>
          <w:rFonts w:hint="eastAsia" w:ascii="宋体" w:hAnsi="宋体" w:eastAsia="宋体" w:cs="宋体"/>
          <w:sz w:val="28"/>
          <w:szCs w:val="28"/>
        </w:rPr>
      </w:pPr>
      <w:r>
        <w:rPr>
          <w:rFonts w:hint="eastAsia" w:ascii="宋体" w:hAnsi="宋体" w:eastAsia="宋体" w:cs="宋体"/>
          <w:sz w:val="28"/>
          <w:szCs w:val="28"/>
        </w:rPr>
        <w:t>（5）安装应急照明、实时监控系统。</w:t>
      </w:r>
    </w:p>
    <w:p>
      <w:pPr>
        <w:pStyle w:val="48"/>
        <w:keepNext w:val="0"/>
        <w:keepLines w:val="0"/>
        <w:pageBreakBefore w:val="0"/>
        <w:widowControl w:val="0"/>
        <w:kinsoku/>
        <w:wordWrap/>
        <w:overflowPunct/>
        <w:topLinePunct w:val="0"/>
        <w:autoSpaceDE w:val="0"/>
        <w:autoSpaceDN w:val="0"/>
        <w:bidi w:val="0"/>
        <w:adjustRightInd w:val="0"/>
        <w:spacing w:line="560" w:lineRule="exact"/>
        <w:ind w:firstLineChars="200"/>
        <w:textAlignment w:val="auto"/>
        <w:rPr>
          <w:rFonts w:hint="eastAsia" w:ascii="宋体" w:hAnsi="宋体" w:eastAsia="宋体" w:cs="宋体"/>
          <w:sz w:val="28"/>
          <w:szCs w:val="28"/>
        </w:rPr>
      </w:pPr>
      <w:r>
        <w:rPr>
          <w:rFonts w:hint="eastAsia" w:ascii="宋体" w:hAnsi="宋体" w:eastAsia="宋体" w:cs="宋体"/>
          <w:sz w:val="28"/>
          <w:szCs w:val="28"/>
        </w:rPr>
        <w:t>（6）安装双层油罐和加油双层管道渗漏在线监测系统。</w:t>
      </w:r>
    </w:p>
    <w:p>
      <w:pPr>
        <w:pStyle w:val="48"/>
        <w:keepNext w:val="0"/>
        <w:keepLines w:val="0"/>
        <w:pageBreakBefore w:val="0"/>
        <w:widowControl w:val="0"/>
        <w:kinsoku/>
        <w:wordWrap/>
        <w:overflowPunct/>
        <w:topLinePunct w:val="0"/>
        <w:autoSpaceDE w:val="0"/>
        <w:autoSpaceDN w:val="0"/>
        <w:bidi w:val="0"/>
        <w:adjustRightInd w:val="0"/>
        <w:spacing w:line="560" w:lineRule="exact"/>
        <w:ind w:firstLineChars="200"/>
        <w:textAlignment w:val="auto"/>
        <w:rPr>
          <w:rFonts w:hint="eastAsia" w:ascii="宋体" w:hAnsi="宋体" w:eastAsia="宋体" w:cs="宋体"/>
          <w:sz w:val="28"/>
          <w:szCs w:val="28"/>
        </w:rPr>
      </w:pPr>
      <w:r>
        <w:rPr>
          <w:rFonts w:hint="eastAsia" w:ascii="宋体" w:hAnsi="宋体" w:eastAsia="宋体" w:cs="宋体"/>
          <w:sz w:val="28"/>
          <w:szCs w:val="28"/>
        </w:rPr>
        <w:t>土建部分改造：</w:t>
      </w:r>
    </w:p>
    <w:p>
      <w:pPr>
        <w:pStyle w:val="48"/>
        <w:keepNext w:val="0"/>
        <w:keepLines w:val="0"/>
        <w:pageBreakBefore w:val="0"/>
        <w:widowControl w:val="0"/>
        <w:kinsoku/>
        <w:wordWrap/>
        <w:overflowPunct/>
        <w:topLinePunct w:val="0"/>
        <w:autoSpaceDE w:val="0"/>
        <w:autoSpaceDN w:val="0"/>
        <w:bidi w:val="0"/>
        <w:adjustRightInd w:val="0"/>
        <w:spacing w:line="560" w:lineRule="exact"/>
        <w:ind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1</w:t>
      </w:r>
      <w:r>
        <w:rPr>
          <w:rFonts w:hint="eastAsia" w:ascii="宋体" w:hAnsi="宋体" w:eastAsia="宋体" w:cs="宋体"/>
          <w:sz w:val="28"/>
          <w:szCs w:val="28"/>
          <w:lang w:eastAsia="zh-CN"/>
        </w:rPr>
        <w:t>）</w:t>
      </w:r>
      <w:r>
        <w:rPr>
          <w:rFonts w:hint="eastAsia" w:ascii="宋体" w:hAnsi="宋体" w:eastAsia="宋体" w:cs="宋体"/>
          <w:sz w:val="28"/>
          <w:szCs w:val="28"/>
        </w:rPr>
        <w:t>站区混凝土路面部分新建。</w:t>
      </w:r>
    </w:p>
    <w:p>
      <w:pPr>
        <w:pStyle w:val="48"/>
        <w:keepNext w:val="0"/>
        <w:keepLines w:val="0"/>
        <w:pageBreakBefore w:val="0"/>
        <w:widowControl w:val="0"/>
        <w:numPr>
          <w:ilvl w:val="0"/>
          <w:numId w:val="0"/>
        </w:numPr>
        <w:kinsoku/>
        <w:wordWrap/>
        <w:overflowPunct/>
        <w:topLinePunct w:val="0"/>
        <w:autoSpaceDE w:val="0"/>
        <w:autoSpaceDN w:val="0"/>
        <w:bidi w:val="0"/>
        <w:adjustRightInd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2</w:t>
      </w:r>
      <w:r>
        <w:rPr>
          <w:rFonts w:hint="eastAsia" w:ascii="宋体" w:hAnsi="宋体" w:eastAsia="宋体" w:cs="宋体"/>
          <w:sz w:val="28"/>
          <w:szCs w:val="28"/>
          <w:lang w:eastAsia="zh-CN"/>
        </w:rPr>
        <w:t>）</w:t>
      </w:r>
      <w:r>
        <w:rPr>
          <w:rFonts w:hint="eastAsia" w:ascii="宋体" w:hAnsi="宋体" w:eastAsia="宋体" w:cs="宋体"/>
          <w:sz w:val="28"/>
          <w:szCs w:val="28"/>
        </w:rPr>
        <w:t>密闭卸油口、2m³消防沙池、消防器材间、计量工具间等站内配套构筑物的恢复重建。</w:t>
      </w:r>
    </w:p>
    <w:p>
      <w:pPr>
        <w:pStyle w:val="48"/>
        <w:keepNext w:val="0"/>
        <w:keepLines w:val="0"/>
        <w:pageBreakBefore w:val="0"/>
        <w:widowControl w:val="0"/>
        <w:numPr>
          <w:ilvl w:val="0"/>
          <w:numId w:val="0"/>
        </w:numPr>
        <w:kinsoku/>
        <w:wordWrap/>
        <w:overflowPunct/>
        <w:topLinePunct w:val="0"/>
        <w:autoSpaceDE w:val="0"/>
        <w:autoSpaceDN w:val="0"/>
        <w:bidi w:val="0"/>
        <w:adjustRightInd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3</w:t>
      </w:r>
      <w:r>
        <w:rPr>
          <w:rFonts w:hint="eastAsia" w:ascii="宋体" w:hAnsi="宋体" w:eastAsia="宋体" w:cs="宋体"/>
          <w:sz w:val="28"/>
          <w:szCs w:val="28"/>
          <w:lang w:eastAsia="zh-CN"/>
        </w:rPr>
        <w:t>）</w:t>
      </w:r>
      <w:r>
        <w:rPr>
          <w:rFonts w:hint="eastAsia" w:ascii="宋体" w:hAnsi="宋体" w:eastAsia="宋体" w:cs="宋体"/>
          <w:sz w:val="28"/>
          <w:szCs w:val="28"/>
        </w:rPr>
        <w:t>站区油罐、加油设备、接地报警仪的防雷防静电恢复重建。</w:t>
      </w:r>
    </w:p>
    <w:p>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jc w:val="both"/>
        <w:textAlignment w:val="auto"/>
        <w:rPr>
          <w:rFonts w:hint="eastAsia" w:ascii="宋体" w:hAnsi="宋体" w:eastAsia="宋体" w:cs="宋体"/>
          <w:spacing w:val="-7"/>
          <w:sz w:val="28"/>
          <w:szCs w:val="28"/>
          <w:lang w:val="en-US" w:eastAsia="zh-CN"/>
        </w:rPr>
      </w:pPr>
      <w:r>
        <w:rPr>
          <w:rFonts w:hint="eastAsia" w:ascii="宋体" w:hAnsi="宋体" w:eastAsia="宋体" w:cs="宋体"/>
          <w:sz w:val="28"/>
          <w:szCs w:val="28"/>
        </w:rPr>
        <w:t>横坑加油站其他建构筑物保持不变</w:t>
      </w:r>
      <w:r>
        <w:rPr>
          <w:rFonts w:hint="eastAsia" w:ascii="宋体" w:hAnsi="宋体" w:eastAsia="宋体" w:cs="宋体"/>
          <w:sz w:val="28"/>
          <w:szCs w:val="28"/>
          <w:lang w:eastAsia="zh-CN"/>
        </w:rPr>
        <w:t>。</w:t>
      </w:r>
    </w:p>
    <w:p>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jc w:val="both"/>
        <w:textAlignment w:val="auto"/>
        <w:rPr>
          <w:rFonts w:hint="eastAsia" w:ascii="宋体" w:hAnsi="宋体" w:eastAsia="宋体" w:cs="宋体"/>
          <w:sz w:val="28"/>
        </w:rPr>
      </w:pPr>
      <w:r>
        <w:rPr>
          <w:rFonts w:hint="eastAsia" w:ascii="宋体" w:hAnsi="宋体" w:eastAsia="宋体" w:cs="宋体"/>
          <w:sz w:val="28"/>
        </w:rPr>
        <w:t>依据《汽车加油加气站设计与施工规范》（GB50156-2012，2014年版）第3.0.9条的规定，该站属于</w:t>
      </w:r>
      <w:r>
        <w:rPr>
          <w:rFonts w:hint="eastAsia" w:ascii="宋体" w:hAnsi="宋体" w:eastAsia="宋体" w:cs="宋体"/>
          <w:sz w:val="28"/>
          <w:lang w:eastAsia="zh-CN"/>
        </w:rPr>
        <w:t>二</w:t>
      </w:r>
      <w:r>
        <w:rPr>
          <w:rFonts w:hint="eastAsia" w:ascii="宋体" w:hAnsi="宋体" w:eastAsia="宋体" w:cs="宋体"/>
          <w:sz w:val="28"/>
        </w:rPr>
        <w:t>级加油站。改造工程内容及</w:t>
      </w:r>
      <w:r>
        <w:rPr>
          <w:rFonts w:hint="eastAsia" w:ascii="宋体" w:hAnsi="宋体" w:eastAsia="宋体" w:cs="宋体"/>
          <w:sz w:val="28"/>
          <w:lang w:eastAsia="zh-CN"/>
        </w:rPr>
        <w:t>横坑加油站</w:t>
      </w:r>
      <w:r>
        <w:rPr>
          <w:rFonts w:hint="eastAsia" w:ascii="宋体" w:hAnsi="宋体" w:eastAsia="宋体" w:cs="宋体"/>
          <w:sz w:val="28"/>
        </w:rPr>
        <w:t>基本情况及见表2.1-1；表</w:t>
      </w:r>
      <w:r>
        <w:rPr>
          <w:rFonts w:hint="eastAsia" w:ascii="宋体" w:hAnsi="宋体" w:eastAsia="宋体" w:cs="宋体"/>
          <w:sz w:val="28"/>
          <w:lang w:val="en-US"/>
        </w:rPr>
        <w:t>2.1-2</w:t>
      </w:r>
      <w:r>
        <w:rPr>
          <w:rFonts w:hint="eastAsia" w:ascii="宋体" w:hAnsi="宋体" w:eastAsia="宋体" w:cs="宋体"/>
          <w:sz w:val="28"/>
        </w:rPr>
        <w:t>。</w:t>
      </w:r>
    </w:p>
    <w:p>
      <w:pPr>
        <w:pStyle w:val="6"/>
        <w:tabs>
          <w:tab w:val="left" w:pos="6494"/>
        </w:tabs>
        <w:spacing w:before="53" w:line="500" w:lineRule="exact"/>
        <w:jc w:val="center"/>
        <w:rPr>
          <w:rFonts w:hint="eastAsia" w:ascii="宋体" w:hAnsi="宋体" w:eastAsia="宋体" w:cs="宋体"/>
        </w:rPr>
      </w:pPr>
      <w:bookmarkStart w:id="145" w:name="_Toc12199_WPSOffice_Level3"/>
      <w:bookmarkStart w:id="146" w:name="_Toc4880_WPSOffice_Level3"/>
      <w:r>
        <w:rPr>
          <w:rFonts w:hint="eastAsia" w:ascii="宋体" w:hAnsi="宋体" w:eastAsia="宋体" w:cs="宋体"/>
        </w:rPr>
        <w:t>表2.1-1 改造工程基本</w:t>
      </w:r>
      <w:r>
        <w:rPr>
          <w:rFonts w:hint="eastAsia" w:ascii="宋体" w:hAnsi="宋体" w:eastAsia="宋体" w:cs="宋体"/>
          <w:spacing w:val="-3"/>
        </w:rPr>
        <w:t>情</w:t>
      </w:r>
      <w:r>
        <w:rPr>
          <w:rFonts w:hint="eastAsia" w:ascii="宋体" w:hAnsi="宋体" w:eastAsia="宋体" w:cs="宋体"/>
        </w:rPr>
        <w:t>况表</w:t>
      </w:r>
      <w:bookmarkEnd w:id="145"/>
      <w:bookmarkEnd w:id="146"/>
    </w:p>
    <w:tbl>
      <w:tblPr>
        <w:tblStyle w:val="21"/>
        <w:tblW w:w="917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97"/>
        <w:gridCol w:w="698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197" w:type="dxa"/>
            <w:vAlign w:val="center"/>
          </w:tcPr>
          <w:p>
            <w:pPr>
              <w:pStyle w:val="23"/>
              <w:ind w:left="78" w:right="69"/>
              <w:jc w:val="center"/>
              <w:rPr>
                <w:rFonts w:hint="eastAsia" w:ascii="宋体" w:hAnsi="宋体" w:eastAsia="宋体" w:cs="宋体"/>
                <w:sz w:val="21"/>
                <w:szCs w:val="21"/>
              </w:rPr>
            </w:pPr>
            <w:r>
              <w:rPr>
                <w:rFonts w:hint="eastAsia" w:ascii="宋体" w:hAnsi="宋体" w:eastAsia="宋体" w:cs="宋体"/>
                <w:sz w:val="21"/>
                <w:szCs w:val="21"/>
              </w:rPr>
              <w:t>项目名称</w:t>
            </w:r>
          </w:p>
        </w:tc>
        <w:tc>
          <w:tcPr>
            <w:tcW w:w="6982" w:type="dxa"/>
            <w:vAlign w:val="center"/>
          </w:tcPr>
          <w:p>
            <w:pPr>
              <w:pStyle w:val="23"/>
              <w:ind w:left="413" w:right="402"/>
              <w:jc w:val="center"/>
              <w:rPr>
                <w:rFonts w:hint="eastAsia" w:ascii="宋体" w:hAnsi="宋体" w:eastAsia="宋体" w:cs="宋体"/>
                <w:sz w:val="21"/>
                <w:szCs w:val="21"/>
              </w:rPr>
            </w:pPr>
            <w:r>
              <w:rPr>
                <w:rFonts w:hint="eastAsia" w:ascii="宋体" w:hAnsi="宋体" w:eastAsia="宋体" w:cs="宋体"/>
                <w:sz w:val="21"/>
                <w:szCs w:val="21"/>
                <w:lang w:eastAsia="zh-CN"/>
              </w:rPr>
              <w:t>中国石化销售股份有限公司广东东莞寮步横坑加油站</w:t>
            </w:r>
            <w:r>
              <w:rPr>
                <w:rFonts w:hint="eastAsia" w:ascii="宋体" w:hAnsi="宋体" w:eastAsia="宋体" w:cs="宋体"/>
                <w:sz w:val="21"/>
                <w:szCs w:val="21"/>
              </w:rPr>
              <w:t>改建项目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197" w:type="dxa"/>
            <w:vAlign w:val="center"/>
          </w:tcPr>
          <w:p>
            <w:pPr>
              <w:pStyle w:val="23"/>
              <w:ind w:left="78" w:right="69"/>
              <w:jc w:val="center"/>
              <w:rPr>
                <w:rFonts w:hint="eastAsia" w:ascii="宋体" w:hAnsi="宋体" w:eastAsia="宋体" w:cs="宋体"/>
                <w:sz w:val="21"/>
                <w:szCs w:val="21"/>
              </w:rPr>
            </w:pPr>
            <w:r>
              <w:rPr>
                <w:rFonts w:hint="eastAsia" w:ascii="宋体" w:hAnsi="宋体" w:eastAsia="宋体" w:cs="宋体"/>
                <w:sz w:val="21"/>
                <w:szCs w:val="21"/>
              </w:rPr>
              <w:t>建设单位</w:t>
            </w:r>
          </w:p>
        </w:tc>
        <w:tc>
          <w:tcPr>
            <w:tcW w:w="6982" w:type="dxa"/>
            <w:vAlign w:val="center"/>
          </w:tcPr>
          <w:p>
            <w:pPr>
              <w:pStyle w:val="23"/>
              <w:ind w:left="412" w:right="404"/>
              <w:jc w:val="center"/>
              <w:rPr>
                <w:rFonts w:hint="eastAsia" w:ascii="宋体" w:hAnsi="宋体" w:eastAsia="宋体" w:cs="宋体"/>
                <w:sz w:val="21"/>
                <w:szCs w:val="21"/>
              </w:rPr>
            </w:pPr>
            <w:r>
              <w:rPr>
                <w:rFonts w:hint="eastAsia" w:ascii="宋体" w:hAnsi="宋体" w:eastAsia="宋体" w:cs="宋体"/>
                <w:sz w:val="21"/>
                <w:szCs w:val="21"/>
                <w:lang w:eastAsia="zh-CN"/>
              </w:rPr>
              <w:t>中国石化销售股份有限公司广东东莞寮步横坑加油站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197" w:type="dxa"/>
            <w:vAlign w:val="center"/>
          </w:tcPr>
          <w:p>
            <w:pPr>
              <w:pStyle w:val="23"/>
              <w:ind w:left="78" w:right="69"/>
              <w:jc w:val="center"/>
              <w:rPr>
                <w:rFonts w:hint="eastAsia" w:ascii="宋体" w:hAnsi="宋体" w:eastAsia="宋体" w:cs="宋体"/>
                <w:sz w:val="21"/>
                <w:szCs w:val="21"/>
              </w:rPr>
            </w:pPr>
            <w:r>
              <w:rPr>
                <w:rFonts w:hint="eastAsia" w:ascii="宋体" w:hAnsi="宋体" w:eastAsia="宋体" w:cs="宋体"/>
                <w:sz w:val="21"/>
                <w:szCs w:val="21"/>
              </w:rPr>
              <w:t>设计单位</w:t>
            </w:r>
          </w:p>
        </w:tc>
        <w:tc>
          <w:tcPr>
            <w:tcW w:w="6982" w:type="dxa"/>
            <w:vAlign w:val="center"/>
          </w:tcPr>
          <w:p>
            <w:pPr>
              <w:pStyle w:val="23"/>
              <w:ind w:left="412" w:right="404"/>
              <w:jc w:val="center"/>
              <w:rPr>
                <w:rFonts w:hint="eastAsia" w:ascii="宋体" w:hAnsi="宋体" w:eastAsia="宋体" w:cs="宋体"/>
                <w:color w:val="FF0000"/>
                <w:sz w:val="21"/>
                <w:szCs w:val="21"/>
                <w:lang w:eastAsia="zh-CN"/>
              </w:rPr>
            </w:pPr>
            <w:r>
              <w:rPr>
                <w:rFonts w:hint="eastAsia" w:ascii="宋体" w:hAnsi="宋体" w:eastAsia="宋体" w:cs="宋体"/>
                <w:color w:val="auto"/>
                <w:sz w:val="21"/>
                <w:szCs w:val="21"/>
                <w:lang w:eastAsia="zh-CN"/>
              </w:rPr>
              <w:t>天津中德工程设计有限公司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197" w:type="dxa"/>
            <w:vAlign w:val="center"/>
          </w:tcPr>
          <w:p>
            <w:pPr>
              <w:pStyle w:val="23"/>
              <w:ind w:left="78" w:right="69"/>
              <w:jc w:val="center"/>
              <w:rPr>
                <w:rFonts w:hint="eastAsia" w:ascii="宋体" w:hAnsi="宋体" w:eastAsia="宋体" w:cs="宋体"/>
                <w:sz w:val="21"/>
                <w:szCs w:val="21"/>
              </w:rPr>
            </w:pPr>
            <w:r>
              <w:rPr>
                <w:rFonts w:hint="eastAsia" w:ascii="宋体" w:hAnsi="宋体" w:eastAsia="宋体" w:cs="宋体"/>
                <w:sz w:val="21"/>
                <w:szCs w:val="21"/>
              </w:rPr>
              <w:t>施工单位</w:t>
            </w:r>
          </w:p>
        </w:tc>
        <w:tc>
          <w:tcPr>
            <w:tcW w:w="6982" w:type="dxa"/>
            <w:vAlign w:val="center"/>
          </w:tcPr>
          <w:p>
            <w:pPr>
              <w:pStyle w:val="23"/>
              <w:ind w:left="413" w:right="404"/>
              <w:jc w:val="center"/>
              <w:rPr>
                <w:rFonts w:hint="eastAsia" w:ascii="宋体" w:hAnsi="宋体" w:eastAsia="宋体" w:cs="宋体"/>
                <w:color w:val="auto"/>
                <w:sz w:val="21"/>
                <w:szCs w:val="21"/>
                <w:highlight w:val="yellow"/>
                <w:lang w:val="en-US" w:eastAsia="zh-CN"/>
              </w:rPr>
            </w:pPr>
            <w:r>
              <w:rPr>
                <w:rFonts w:hint="eastAsia" w:ascii="宋体" w:hAnsi="宋体" w:eastAsia="宋体" w:cs="宋体"/>
                <w:color w:val="auto"/>
                <w:sz w:val="21"/>
                <w:szCs w:val="21"/>
                <w:highlight w:val="none"/>
                <w:lang w:val="en-US" w:eastAsia="zh-CN"/>
              </w:rPr>
              <w:t>广东强雄建设集团有限公司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197" w:type="dxa"/>
            <w:vAlign w:val="center"/>
          </w:tcPr>
          <w:p>
            <w:pPr>
              <w:pStyle w:val="23"/>
              <w:ind w:left="78" w:right="69"/>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监理单位</w:t>
            </w:r>
          </w:p>
        </w:tc>
        <w:tc>
          <w:tcPr>
            <w:tcW w:w="6982" w:type="dxa"/>
            <w:vAlign w:val="center"/>
          </w:tcPr>
          <w:p>
            <w:pPr>
              <w:pStyle w:val="23"/>
              <w:ind w:left="413" w:right="404"/>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深圳市恒浩建工程项目管理有限公司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jc w:val="center"/>
        </w:trPr>
        <w:tc>
          <w:tcPr>
            <w:tcW w:w="2197" w:type="dxa"/>
            <w:vAlign w:val="center"/>
          </w:tcPr>
          <w:p>
            <w:pPr>
              <w:pStyle w:val="23"/>
              <w:ind w:left="76" w:right="69"/>
              <w:jc w:val="center"/>
              <w:rPr>
                <w:rFonts w:hint="eastAsia" w:ascii="宋体" w:hAnsi="宋体" w:eastAsia="宋体" w:cs="宋体"/>
                <w:sz w:val="21"/>
                <w:szCs w:val="21"/>
              </w:rPr>
            </w:pPr>
            <w:r>
              <w:rPr>
                <w:rFonts w:hint="eastAsia" w:ascii="宋体" w:hAnsi="宋体" w:eastAsia="宋体" w:cs="宋体"/>
                <w:sz w:val="21"/>
                <w:szCs w:val="21"/>
              </w:rPr>
              <w:t>建设内容</w:t>
            </w:r>
          </w:p>
        </w:tc>
        <w:tc>
          <w:tcPr>
            <w:tcW w:w="6982" w:type="dxa"/>
            <w:vAlign w:val="center"/>
          </w:tcPr>
          <w:p>
            <w:pPr>
              <w:widowControl/>
              <w:adjustRightInd w:val="0"/>
              <w:snapToGrid w:val="0"/>
              <w:spacing w:line="360" w:lineRule="auto"/>
              <w:ind w:firstLine="420" w:firstLineChars="200"/>
              <w:rPr>
                <w:rFonts w:hint="eastAsia" w:ascii="宋体" w:hAnsi="宋体" w:eastAsia="宋体" w:cs="宋体"/>
                <w:sz w:val="21"/>
                <w:szCs w:val="21"/>
                <w:lang w:val="zh-CN" w:eastAsia="zh-CN" w:bidi="zh-CN"/>
              </w:rPr>
            </w:pPr>
            <w:r>
              <w:rPr>
                <w:rFonts w:hint="eastAsia" w:ascii="宋体" w:hAnsi="宋体" w:eastAsia="宋体" w:cs="宋体"/>
                <w:sz w:val="21"/>
                <w:szCs w:val="21"/>
                <w:lang w:val="zh-CN" w:eastAsia="zh-CN" w:bidi="zh-CN"/>
              </w:rPr>
              <w:t>工艺部分改造：</w:t>
            </w:r>
          </w:p>
          <w:p>
            <w:pPr>
              <w:adjustRightInd w:val="0"/>
              <w:snapToGrid w:val="0"/>
              <w:spacing w:line="360" w:lineRule="auto"/>
              <w:rPr>
                <w:rFonts w:hint="eastAsia" w:ascii="宋体" w:hAnsi="宋体" w:eastAsia="宋体" w:cs="宋体"/>
                <w:sz w:val="21"/>
                <w:szCs w:val="21"/>
              </w:rPr>
            </w:pPr>
            <w:r>
              <w:rPr>
                <w:rFonts w:hint="eastAsia" w:ascii="宋体" w:hAnsi="宋体" w:eastAsia="宋体" w:cs="宋体"/>
                <w:sz w:val="21"/>
                <w:szCs w:val="21"/>
              </w:rPr>
              <w:t>（1）原有加油站为二级站，本次改造将原址油罐区4个埋地油罐更换为非车行道下4个新的SF双层埋地储罐。改造后为1个50m³SF双层埋地柴油罐、1个15m³SF双层埋地汽油罐、1个30m³SF双层埋地汽油罐、1个50m³SF双层埋地汽油罐，油罐总容积120m³（柴油罐容积折半计入总容积），加油站设计级别为二级。</w:t>
            </w:r>
          </w:p>
          <w:p>
            <w:pPr>
              <w:adjustRightInd w:val="0"/>
              <w:snapToGrid w:val="0"/>
              <w:spacing w:line="360" w:lineRule="auto"/>
              <w:rPr>
                <w:rFonts w:hint="eastAsia" w:ascii="宋体" w:hAnsi="宋体" w:eastAsia="宋体" w:cs="宋体"/>
                <w:sz w:val="21"/>
                <w:szCs w:val="21"/>
              </w:rPr>
            </w:pPr>
            <w:r>
              <w:rPr>
                <w:rFonts w:hint="eastAsia" w:ascii="宋体" w:hAnsi="宋体" w:eastAsia="宋体" w:cs="宋体"/>
                <w:sz w:val="21"/>
                <w:szCs w:val="21"/>
              </w:rPr>
              <w:t>（2）保留原有8台8枪加油机。</w:t>
            </w:r>
          </w:p>
          <w:p>
            <w:pPr>
              <w:adjustRightInd w:val="0"/>
              <w:snapToGrid w:val="0"/>
              <w:spacing w:line="360" w:lineRule="auto"/>
              <w:rPr>
                <w:rFonts w:hint="eastAsia" w:ascii="宋体" w:hAnsi="宋体" w:eastAsia="宋体" w:cs="宋体"/>
                <w:sz w:val="21"/>
                <w:szCs w:val="21"/>
              </w:rPr>
            </w:pPr>
            <w:r>
              <w:rPr>
                <w:rFonts w:hint="eastAsia" w:ascii="宋体" w:hAnsi="宋体" w:eastAsia="宋体" w:cs="宋体"/>
                <w:sz w:val="21"/>
                <w:szCs w:val="21"/>
              </w:rPr>
              <w:t>（3）更换加油设备（潜油泵、液位器、渗漏在线监测仪、油气回收在线检测仪）及工艺管道（出油管、卸油管、通气管、加油及卸油油气回收管）。</w:t>
            </w:r>
          </w:p>
          <w:p>
            <w:pPr>
              <w:adjustRightInd w:val="0"/>
              <w:snapToGrid w:val="0"/>
              <w:spacing w:line="360" w:lineRule="auto"/>
              <w:rPr>
                <w:rFonts w:hint="eastAsia" w:ascii="宋体" w:hAnsi="宋体" w:eastAsia="宋体" w:cs="宋体"/>
                <w:sz w:val="21"/>
                <w:szCs w:val="21"/>
              </w:rPr>
            </w:pPr>
            <w:r>
              <w:rPr>
                <w:rFonts w:hint="eastAsia" w:ascii="宋体" w:hAnsi="宋体" w:eastAsia="宋体" w:cs="宋体"/>
                <w:sz w:val="21"/>
                <w:szCs w:val="21"/>
              </w:rPr>
              <w:t>（4）更换设备控制与动力电缆。</w:t>
            </w:r>
          </w:p>
          <w:p>
            <w:pPr>
              <w:adjustRightInd w:val="0"/>
              <w:snapToGrid w:val="0"/>
              <w:spacing w:line="360" w:lineRule="auto"/>
              <w:rPr>
                <w:rFonts w:hint="eastAsia" w:ascii="宋体" w:hAnsi="宋体" w:eastAsia="宋体" w:cs="宋体"/>
                <w:sz w:val="21"/>
                <w:szCs w:val="21"/>
              </w:rPr>
            </w:pPr>
            <w:r>
              <w:rPr>
                <w:rFonts w:hint="eastAsia" w:ascii="宋体" w:hAnsi="宋体" w:eastAsia="宋体" w:cs="宋体"/>
                <w:sz w:val="21"/>
                <w:szCs w:val="21"/>
              </w:rPr>
              <w:t>（5）安装应急照明、实时监控系统。</w:t>
            </w:r>
          </w:p>
          <w:p>
            <w:pPr>
              <w:adjustRightInd w:val="0"/>
              <w:snapToGrid w:val="0"/>
              <w:spacing w:line="360" w:lineRule="auto"/>
              <w:rPr>
                <w:rFonts w:hint="eastAsia" w:ascii="宋体" w:hAnsi="宋体" w:eastAsia="宋体" w:cs="宋体"/>
                <w:sz w:val="21"/>
                <w:szCs w:val="21"/>
              </w:rPr>
            </w:pPr>
            <w:r>
              <w:rPr>
                <w:rFonts w:hint="eastAsia" w:ascii="宋体" w:hAnsi="宋体" w:eastAsia="宋体" w:cs="宋体"/>
                <w:sz w:val="21"/>
                <w:szCs w:val="21"/>
              </w:rPr>
              <w:t>（6）安装双层油罐和加油双层管道渗漏在线监测系统。</w:t>
            </w:r>
          </w:p>
          <w:p>
            <w:pPr>
              <w:adjustRightInd w:val="0"/>
              <w:snapToGrid w:val="0"/>
              <w:spacing w:line="360" w:lineRule="auto"/>
              <w:rPr>
                <w:rFonts w:hint="eastAsia" w:ascii="宋体" w:hAnsi="宋体" w:eastAsia="宋体" w:cs="宋体"/>
                <w:sz w:val="21"/>
                <w:szCs w:val="21"/>
              </w:rPr>
            </w:pPr>
            <w:r>
              <w:rPr>
                <w:rFonts w:hint="eastAsia" w:ascii="宋体" w:hAnsi="宋体" w:eastAsia="宋体" w:cs="宋体"/>
                <w:sz w:val="21"/>
                <w:szCs w:val="21"/>
              </w:rPr>
              <w:t>土建部分改造：</w:t>
            </w:r>
          </w:p>
          <w:p>
            <w:pPr>
              <w:adjustRightInd w:val="0"/>
              <w:snapToGrid w:val="0"/>
              <w:spacing w:line="360" w:lineRule="auto"/>
              <w:rPr>
                <w:rFonts w:hint="eastAsia" w:ascii="宋体" w:hAnsi="宋体" w:eastAsia="宋体" w:cs="宋体"/>
                <w:sz w:val="21"/>
                <w:szCs w:val="21"/>
              </w:rPr>
            </w:pPr>
            <w:r>
              <w:rPr>
                <w:rFonts w:hint="eastAsia" w:ascii="宋体" w:hAnsi="宋体" w:eastAsia="宋体" w:cs="宋体"/>
                <w:sz w:val="21"/>
                <w:szCs w:val="21"/>
              </w:rPr>
              <w:t>（1）站区混凝土路面部分新建。</w:t>
            </w:r>
          </w:p>
          <w:p>
            <w:pPr>
              <w:adjustRightInd w:val="0"/>
              <w:snapToGrid w:val="0"/>
              <w:spacing w:line="360" w:lineRule="auto"/>
              <w:rPr>
                <w:rFonts w:hint="eastAsia" w:ascii="宋体" w:hAnsi="宋体" w:eastAsia="宋体" w:cs="宋体"/>
                <w:sz w:val="21"/>
                <w:szCs w:val="21"/>
              </w:rPr>
            </w:pPr>
            <w:r>
              <w:rPr>
                <w:rFonts w:hint="eastAsia" w:ascii="宋体" w:hAnsi="宋体" w:eastAsia="宋体" w:cs="宋体"/>
                <w:sz w:val="21"/>
                <w:szCs w:val="21"/>
              </w:rPr>
              <w:t>（2）密闭卸油口、2m³消防沙池、消防器材间、计量工具间等站内配套构筑物的恢复重建。</w:t>
            </w:r>
          </w:p>
          <w:p>
            <w:pPr>
              <w:adjustRightInd w:val="0"/>
              <w:snapToGrid w:val="0"/>
              <w:spacing w:line="360" w:lineRule="auto"/>
              <w:rPr>
                <w:rFonts w:hint="eastAsia" w:ascii="宋体" w:hAnsi="宋体" w:eastAsia="宋体" w:cs="宋体"/>
                <w:sz w:val="21"/>
                <w:szCs w:val="21"/>
              </w:rPr>
            </w:pPr>
            <w:r>
              <w:rPr>
                <w:rFonts w:hint="eastAsia" w:ascii="宋体" w:hAnsi="宋体" w:eastAsia="宋体" w:cs="宋体"/>
                <w:sz w:val="21"/>
                <w:szCs w:val="21"/>
              </w:rPr>
              <w:t>（3）站区油罐、加油设备、接地报警仪的防雷防静电恢复重建。</w:t>
            </w:r>
          </w:p>
          <w:p>
            <w:pPr>
              <w:widowControl/>
              <w:numPr>
                <w:ilvl w:val="0"/>
                <w:numId w:val="3"/>
              </w:numPr>
              <w:adjustRightInd w:val="0"/>
              <w:snapToGrid w:val="0"/>
              <w:spacing w:line="360" w:lineRule="auto"/>
              <w:ind w:firstLine="420" w:firstLineChars="200"/>
              <w:rPr>
                <w:rFonts w:hint="eastAsia" w:ascii="宋体" w:hAnsi="宋体" w:eastAsia="宋体" w:cs="宋体"/>
                <w:sz w:val="21"/>
                <w:szCs w:val="21"/>
                <w:lang w:val="zh-CN" w:eastAsia="zh-CN" w:bidi="zh-CN"/>
              </w:rPr>
            </w:pPr>
            <w:r>
              <w:rPr>
                <w:rFonts w:hint="eastAsia" w:ascii="宋体" w:hAnsi="宋体" w:eastAsia="宋体" w:cs="宋体"/>
                <w:sz w:val="21"/>
                <w:szCs w:val="21"/>
              </w:rPr>
              <w:t>横坑加油站其他建构筑物保持不变</w:t>
            </w:r>
            <w:r>
              <w:rPr>
                <w:rFonts w:hint="eastAsia" w:ascii="宋体" w:hAnsi="宋体" w:eastAsia="宋体" w:cs="宋体"/>
                <w:sz w:val="21"/>
                <w:szCs w:val="21"/>
                <w:lang w:val="zh-CN" w:eastAsia="zh-CN" w:bidi="zh-CN"/>
              </w:rPr>
              <w:t>。</w:t>
            </w:r>
          </w:p>
          <w:p>
            <w:pPr>
              <w:widowControl/>
              <w:numPr>
                <w:ilvl w:val="0"/>
                <w:numId w:val="3"/>
              </w:numPr>
              <w:adjustRightInd w:val="0"/>
              <w:snapToGrid w:val="0"/>
              <w:spacing w:line="360" w:lineRule="auto"/>
              <w:ind w:firstLine="420" w:firstLineChars="200"/>
              <w:rPr>
                <w:rFonts w:hint="eastAsia" w:ascii="宋体" w:hAnsi="宋体" w:eastAsia="宋体" w:cs="宋体"/>
                <w:sz w:val="21"/>
                <w:szCs w:val="21"/>
                <w:lang w:val="zh-CN" w:eastAsia="zh-CN" w:bidi="zh-CN"/>
              </w:rPr>
            </w:pPr>
            <w:r>
              <w:rPr>
                <w:rFonts w:hint="eastAsia" w:ascii="宋体" w:hAnsi="宋体" w:eastAsia="宋体" w:cs="宋体"/>
                <w:sz w:val="21"/>
                <w:szCs w:val="21"/>
                <w:lang w:val="zh-CN" w:eastAsia="zh-CN" w:bidi="zh-CN"/>
              </w:rPr>
              <w:t>站区油罐、加油设备、接地报警仪的防雷防静电恢复重建。</w:t>
            </w:r>
          </w:p>
          <w:p>
            <w:pPr>
              <w:ind w:firstLine="210" w:firstLineChars="100"/>
              <w:rPr>
                <w:rFonts w:hint="eastAsia" w:ascii="宋体" w:hAnsi="宋体" w:eastAsia="宋体" w:cs="宋体"/>
                <w:sz w:val="21"/>
                <w:szCs w:val="21"/>
                <w:lang w:val="zh-CN" w:eastAsia="zh-CN" w:bidi="zh-CN"/>
              </w:rPr>
            </w:pPr>
            <w:r>
              <w:rPr>
                <w:rFonts w:hint="eastAsia" w:ascii="宋体" w:hAnsi="宋体" w:eastAsia="宋体" w:cs="宋体"/>
                <w:sz w:val="21"/>
                <w:szCs w:val="21"/>
                <w:lang w:val="zh-CN" w:eastAsia="zh-CN" w:bidi="zh-CN"/>
              </w:rPr>
              <w:t>横坑加油站其他建构筑物保持不变。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197" w:type="dxa"/>
            <w:vAlign w:val="center"/>
          </w:tcPr>
          <w:p>
            <w:pPr>
              <w:pStyle w:val="23"/>
              <w:spacing w:before="164"/>
              <w:ind w:left="78" w:right="69"/>
              <w:jc w:val="center"/>
              <w:rPr>
                <w:rFonts w:hint="eastAsia" w:ascii="宋体" w:hAnsi="宋体" w:eastAsia="宋体" w:cs="宋体"/>
                <w:sz w:val="21"/>
                <w:szCs w:val="21"/>
              </w:rPr>
            </w:pPr>
            <w:r>
              <w:rPr>
                <w:rFonts w:hint="eastAsia" w:ascii="宋体" w:hAnsi="宋体" w:eastAsia="宋体" w:cs="宋体"/>
                <w:sz w:val="21"/>
                <w:szCs w:val="21"/>
              </w:rPr>
              <w:t>项目性质</w:t>
            </w:r>
          </w:p>
        </w:tc>
        <w:tc>
          <w:tcPr>
            <w:tcW w:w="6982" w:type="dxa"/>
            <w:vAlign w:val="center"/>
          </w:tcPr>
          <w:p>
            <w:pPr>
              <w:pStyle w:val="23"/>
              <w:ind w:left="412" w:right="404"/>
              <w:jc w:val="center"/>
              <w:rPr>
                <w:rFonts w:hint="eastAsia" w:ascii="宋体" w:hAnsi="宋体" w:eastAsia="宋体" w:cs="宋体"/>
                <w:sz w:val="21"/>
                <w:szCs w:val="21"/>
                <w:lang w:val="zh-CN" w:eastAsia="zh-CN" w:bidi="zh-CN"/>
              </w:rPr>
            </w:pPr>
            <w:r>
              <w:rPr>
                <w:rFonts w:hint="eastAsia" w:ascii="宋体" w:hAnsi="宋体" w:eastAsia="宋体" w:cs="宋体"/>
                <w:sz w:val="21"/>
                <w:szCs w:val="21"/>
                <w:lang w:val="zh-CN" w:eastAsia="zh-CN" w:bidi="zh-CN"/>
              </w:rPr>
              <w:t>改建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197" w:type="dxa"/>
            <w:vAlign w:val="center"/>
          </w:tcPr>
          <w:p>
            <w:pPr>
              <w:pStyle w:val="23"/>
              <w:ind w:left="78" w:right="69"/>
              <w:jc w:val="center"/>
              <w:rPr>
                <w:rFonts w:hint="eastAsia" w:ascii="宋体" w:hAnsi="宋体" w:eastAsia="宋体" w:cs="宋体"/>
                <w:sz w:val="21"/>
                <w:szCs w:val="21"/>
              </w:rPr>
            </w:pPr>
            <w:r>
              <w:rPr>
                <w:rFonts w:hint="eastAsia" w:ascii="宋体" w:hAnsi="宋体" w:eastAsia="宋体" w:cs="宋体"/>
                <w:sz w:val="21"/>
                <w:szCs w:val="21"/>
              </w:rPr>
              <w:t>加油站级别</w:t>
            </w:r>
          </w:p>
        </w:tc>
        <w:tc>
          <w:tcPr>
            <w:tcW w:w="6982" w:type="dxa"/>
            <w:vAlign w:val="center"/>
          </w:tcPr>
          <w:p>
            <w:pPr>
              <w:pStyle w:val="23"/>
              <w:ind w:left="413" w:right="404"/>
              <w:jc w:val="center"/>
              <w:rPr>
                <w:rFonts w:hint="eastAsia" w:ascii="宋体" w:hAnsi="宋体" w:eastAsia="宋体" w:cs="宋体"/>
                <w:sz w:val="21"/>
                <w:szCs w:val="21"/>
              </w:rPr>
            </w:pPr>
            <w:r>
              <w:rPr>
                <w:rFonts w:hint="eastAsia" w:ascii="宋体" w:hAnsi="宋体" w:eastAsia="宋体" w:cs="宋体"/>
                <w:sz w:val="21"/>
                <w:szCs w:val="21"/>
                <w:lang w:eastAsia="zh-CN"/>
              </w:rPr>
              <w:t>二</w:t>
            </w:r>
            <w:r>
              <w:rPr>
                <w:rFonts w:hint="eastAsia" w:ascii="宋体" w:hAnsi="宋体" w:eastAsia="宋体" w:cs="宋体"/>
                <w:sz w:val="21"/>
                <w:szCs w:val="21"/>
              </w:rPr>
              <w:t>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197" w:type="dxa"/>
            <w:vAlign w:val="center"/>
          </w:tcPr>
          <w:p>
            <w:pPr>
              <w:pStyle w:val="23"/>
              <w:spacing w:before="142"/>
              <w:ind w:left="78" w:right="69"/>
              <w:jc w:val="center"/>
              <w:rPr>
                <w:rFonts w:hint="eastAsia" w:ascii="宋体" w:hAnsi="宋体" w:eastAsia="宋体" w:cs="宋体"/>
                <w:sz w:val="21"/>
                <w:szCs w:val="21"/>
              </w:rPr>
            </w:pPr>
            <w:r>
              <w:rPr>
                <w:rFonts w:hint="eastAsia" w:ascii="宋体" w:hAnsi="宋体" w:eastAsia="宋体" w:cs="宋体"/>
                <w:sz w:val="21"/>
                <w:szCs w:val="21"/>
              </w:rPr>
              <w:t>占地面积</w:t>
            </w:r>
          </w:p>
        </w:tc>
        <w:tc>
          <w:tcPr>
            <w:tcW w:w="6982" w:type="dxa"/>
            <w:vAlign w:val="center"/>
          </w:tcPr>
          <w:p>
            <w:pPr>
              <w:pStyle w:val="23"/>
              <w:spacing w:before="156"/>
              <w:ind w:left="413" w:right="404"/>
              <w:jc w:val="center"/>
              <w:rPr>
                <w:rFonts w:hint="eastAsia" w:ascii="宋体" w:hAnsi="宋体" w:eastAsia="宋体" w:cs="宋体"/>
                <w:sz w:val="21"/>
                <w:szCs w:val="21"/>
              </w:rPr>
            </w:pPr>
            <w:r>
              <w:rPr>
                <w:rFonts w:hint="eastAsia" w:ascii="宋体" w:hAnsi="宋体" w:eastAsia="宋体" w:cs="宋体"/>
                <w:color w:val="auto"/>
                <w:sz w:val="21"/>
                <w:szCs w:val="21"/>
                <w:lang w:val="en-US" w:eastAsia="zh-CN"/>
              </w:rPr>
              <w:t>3538.9</w:t>
            </w:r>
            <w:r>
              <w:rPr>
                <w:rFonts w:hint="eastAsia" w:ascii="宋体" w:hAnsi="宋体" w:eastAsia="宋体" w:cs="宋体"/>
                <w:color w:val="auto"/>
                <w:sz w:val="21"/>
                <w:szCs w:val="21"/>
              </w:rPr>
              <w:t>m</w:t>
            </w:r>
            <w:r>
              <w:rPr>
                <w:rFonts w:hint="eastAsia" w:ascii="宋体" w:hAnsi="宋体" w:eastAsia="宋体" w:cs="宋体"/>
                <w:color w:val="auto"/>
                <w:sz w:val="21"/>
                <w:szCs w:val="21"/>
                <w:vertAlign w:val="superscript"/>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197" w:type="dxa"/>
            <w:vAlign w:val="center"/>
          </w:tcPr>
          <w:p>
            <w:pPr>
              <w:pStyle w:val="23"/>
              <w:spacing w:before="164"/>
              <w:ind w:left="78" w:right="69"/>
              <w:jc w:val="center"/>
              <w:rPr>
                <w:rFonts w:hint="eastAsia" w:ascii="宋体" w:hAnsi="宋体" w:eastAsia="宋体" w:cs="宋体"/>
                <w:sz w:val="21"/>
                <w:szCs w:val="21"/>
              </w:rPr>
            </w:pPr>
            <w:r>
              <w:rPr>
                <w:rFonts w:hint="eastAsia" w:ascii="宋体" w:hAnsi="宋体" w:eastAsia="宋体" w:cs="宋体"/>
                <w:sz w:val="21"/>
                <w:szCs w:val="21"/>
              </w:rPr>
              <w:t>总建筑面积</w:t>
            </w:r>
          </w:p>
        </w:tc>
        <w:tc>
          <w:tcPr>
            <w:tcW w:w="6982" w:type="dxa"/>
            <w:vAlign w:val="center"/>
          </w:tcPr>
          <w:p>
            <w:pPr>
              <w:pStyle w:val="23"/>
              <w:spacing w:before="178"/>
              <w:ind w:left="413" w:right="404"/>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197" w:type="dxa"/>
            <w:vAlign w:val="center"/>
          </w:tcPr>
          <w:p>
            <w:pPr>
              <w:pStyle w:val="23"/>
              <w:ind w:left="80" w:right="69"/>
              <w:jc w:val="center"/>
              <w:rPr>
                <w:rFonts w:hint="eastAsia" w:ascii="宋体" w:hAnsi="宋体" w:eastAsia="宋体" w:cs="宋体"/>
                <w:sz w:val="21"/>
                <w:szCs w:val="21"/>
              </w:rPr>
            </w:pPr>
            <w:r>
              <w:rPr>
                <w:rFonts w:hint="eastAsia" w:ascii="宋体" w:hAnsi="宋体" w:eastAsia="宋体" w:cs="宋体"/>
                <w:sz w:val="21"/>
                <w:szCs w:val="21"/>
              </w:rPr>
              <w:t>通知书</w:t>
            </w:r>
          </w:p>
        </w:tc>
        <w:tc>
          <w:tcPr>
            <w:tcW w:w="6982" w:type="dxa"/>
            <w:vAlign w:val="center"/>
          </w:tcPr>
          <w:p>
            <w:pPr>
              <w:pStyle w:val="23"/>
              <w:tabs>
                <w:tab w:val="left" w:pos="320"/>
              </w:tabs>
              <w:spacing w:before="78" w:line="321" w:lineRule="auto"/>
              <w:ind w:left="107" w:right="91"/>
              <w:jc w:val="center"/>
              <w:rPr>
                <w:rFonts w:hint="eastAsia" w:ascii="宋体" w:hAnsi="宋体" w:eastAsia="宋体" w:cs="宋体"/>
                <w:color w:val="auto"/>
                <w:sz w:val="21"/>
                <w:szCs w:val="21"/>
              </w:rPr>
            </w:pPr>
            <w:r>
              <w:rPr>
                <w:rFonts w:hint="eastAsia" w:ascii="宋体" w:hAnsi="宋体" w:eastAsia="宋体" w:cs="宋体"/>
                <w:color w:val="auto"/>
                <w:spacing w:val="-6"/>
                <w:sz w:val="21"/>
                <w:szCs w:val="21"/>
                <w:lang w:val="en-US"/>
              </w:rPr>
              <w:t>1）</w:t>
            </w:r>
            <w:r>
              <w:rPr>
                <w:rFonts w:hint="eastAsia" w:ascii="宋体" w:hAnsi="宋体" w:eastAsia="宋体" w:cs="宋体"/>
                <w:color w:val="auto"/>
                <w:spacing w:val="-6"/>
                <w:sz w:val="21"/>
                <w:szCs w:val="21"/>
                <w:lang w:eastAsia="zh-CN"/>
              </w:rPr>
              <w:t>东应急危化项目安条安条审字（</w:t>
            </w:r>
            <w:r>
              <w:rPr>
                <w:rFonts w:hint="eastAsia" w:ascii="宋体" w:hAnsi="宋体" w:eastAsia="宋体" w:cs="宋体"/>
                <w:color w:val="auto"/>
                <w:spacing w:val="-6"/>
                <w:sz w:val="21"/>
                <w:szCs w:val="21"/>
                <w:lang w:val="en-US" w:eastAsia="zh-CN"/>
              </w:rPr>
              <w:t>2019</w:t>
            </w:r>
            <w:r>
              <w:rPr>
                <w:rFonts w:hint="eastAsia" w:ascii="宋体" w:hAnsi="宋体" w:eastAsia="宋体" w:cs="宋体"/>
                <w:color w:val="auto"/>
                <w:spacing w:val="-6"/>
                <w:sz w:val="21"/>
                <w:szCs w:val="21"/>
                <w:lang w:eastAsia="zh-CN"/>
              </w:rPr>
              <w:t>）</w:t>
            </w:r>
            <w:r>
              <w:rPr>
                <w:rFonts w:hint="eastAsia" w:ascii="宋体" w:hAnsi="宋体" w:eastAsia="宋体" w:cs="宋体"/>
                <w:color w:val="auto"/>
                <w:spacing w:val="-6"/>
                <w:sz w:val="21"/>
                <w:szCs w:val="21"/>
                <w:lang w:val="en-US" w:eastAsia="zh-CN"/>
              </w:rPr>
              <w:t>119号</w:t>
            </w:r>
            <w:r>
              <w:rPr>
                <w:rFonts w:hint="eastAsia" w:ascii="宋体" w:hAnsi="宋体" w:eastAsia="宋体" w:cs="宋体"/>
                <w:color w:val="auto"/>
                <w:spacing w:val="-3"/>
                <w:sz w:val="21"/>
                <w:szCs w:val="21"/>
              </w:rPr>
              <w:t>；</w:t>
            </w:r>
          </w:p>
          <w:p>
            <w:pPr>
              <w:pStyle w:val="23"/>
              <w:tabs>
                <w:tab w:val="left" w:pos="321"/>
              </w:tabs>
              <w:spacing w:before="13" w:line="360" w:lineRule="exact"/>
              <w:ind w:left="107" w:right="94"/>
              <w:jc w:val="center"/>
              <w:rPr>
                <w:rFonts w:hint="eastAsia" w:ascii="宋体" w:hAnsi="宋体" w:eastAsia="宋体" w:cs="宋体"/>
                <w:color w:val="FF0000"/>
                <w:sz w:val="21"/>
                <w:szCs w:val="21"/>
                <w:lang w:val="en-US" w:eastAsia="zh-CN"/>
              </w:rPr>
            </w:pPr>
            <w:r>
              <w:rPr>
                <w:rFonts w:hint="eastAsia" w:ascii="宋体" w:hAnsi="宋体" w:eastAsia="宋体" w:cs="宋体"/>
                <w:color w:val="auto"/>
                <w:sz w:val="21"/>
                <w:szCs w:val="21"/>
                <w:lang w:val="en-US"/>
              </w:rPr>
              <w:t>2</w:t>
            </w:r>
            <w:r>
              <w:rPr>
                <w:rFonts w:hint="eastAsia" w:ascii="宋体" w:hAnsi="宋体" w:eastAsia="宋体" w:cs="宋体"/>
                <w:color w:val="auto"/>
                <w:sz w:val="21"/>
                <w:szCs w:val="21"/>
              </w:rPr>
              <w:t>）</w:t>
            </w:r>
            <w:r>
              <w:rPr>
                <w:rFonts w:hint="eastAsia" w:ascii="宋体" w:hAnsi="宋体" w:eastAsia="宋体" w:cs="宋体"/>
                <w:color w:val="auto"/>
                <w:sz w:val="21"/>
                <w:szCs w:val="21"/>
                <w:lang w:eastAsia="zh-CN"/>
              </w:rPr>
              <w:t>东应急危化项目安设审字（</w:t>
            </w:r>
            <w:r>
              <w:rPr>
                <w:rFonts w:hint="eastAsia" w:ascii="宋体" w:hAnsi="宋体" w:eastAsia="宋体" w:cs="宋体"/>
                <w:color w:val="auto"/>
                <w:sz w:val="21"/>
                <w:szCs w:val="21"/>
                <w:lang w:val="en-US" w:eastAsia="zh-CN"/>
              </w:rPr>
              <w:t>2019</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120号。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197" w:type="dxa"/>
            <w:vAlign w:val="center"/>
          </w:tcPr>
          <w:p>
            <w:pPr>
              <w:pStyle w:val="23"/>
              <w:ind w:left="81" w:right="69"/>
              <w:jc w:val="center"/>
              <w:rPr>
                <w:rFonts w:hint="eastAsia" w:ascii="宋体" w:hAnsi="宋体" w:eastAsia="宋体" w:cs="宋体"/>
                <w:sz w:val="21"/>
                <w:szCs w:val="21"/>
              </w:rPr>
            </w:pPr>
            <w:r>
              <w:rPr>
                <w:rFonts w:hint="eastAsia" w:ascii="宋体" w:hAnsi="宋体" w:eastAsia="宋体" w:cs="宋体"/>
                <w:sz w:val="21"/>
                <w:szCs w:val="21"/>
              </w:rPr>
              <w:t>土地证明资料</w:t>
            </w:r>
          </w:p>
        </w:tc>
        <w:tc>
          <w:tcPr>
            <w:tcW w:w="6982" w:type="dxa"/>
            <w:vAlign w:val="center"/>
          </w:tcPr>
          <w:p>
            <w:pPr>
              <w:pStyle w:val="23"/>
              <w:ind w:left="410" w:right="404"/>
              <w:jc w:val="center"/>
              <w:rPr>
                <w:rFonts w:hint="eastAsia" w:ascii="宋体" w:hAnsi="宋体" w:eastAsia="宋体" w:cs="宋体"/>
                <w:color w:val="FF0000"/>
                <w:sz w:val="21"/>
                <w:szCs w:val="21"/>
              </w:rPr>
            </w:pPr>
            <w:r>
              <w:rPr>
                <w:rFonts w:hint="eastAsia" w:ascii="宋体" w:hAnsi="宋体" w:eastAsia="宋体" w:cs="宋体"/>
                <w:color w:val="auto"/>
                <w:sz w:val="21"/>
                <w:szCs w:val="21"/>
                <w:lang w:eastAsia="zh-CN"/>
              </w:rPr>
              <w:t>土地使用证。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197" w:type="dxa"/>
            <w:vAlign w:val="center"/>
          </w:tcPr>
          <w:p>
            <w:pPr>
              <w:pStyle w:val="23"/>
              <w:ind w:left="78" w:leftChars="0" w:right="69" w:rightChars="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消防验收</w:t>
            </w:r>
          </w:p>
        </w:tc>
        <w:tc>
          <w:tcPr>
            <w:tcW w:w="6982" w:type="dxa"/>
            <w:vAlign w:val="center"/>
          </w:tcPr>
          <w:p>
            <w:pPr>
              <w:pStyle w:val="23"/>
              <w:ind w:left="411" w:leftChars="0" w:right="404"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改建前消防验收意见书：东公消验[2005]寮29号。</w:t>
            </w:r>
          </w:p>
          <w:p>
            <w:pPr>
              <w:pStyle w:val="23"/>
              <w:ind w:left="411" w:leftChars="0" w:right="404"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改建后的相关手续同步办理中。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197" w:type="dxa"/>
            <w:vAlign w:val="center"/>
          </w:tcPr>
          <w:p>
            <w:pPr>
              <w:pStyle w:val="23"/>
              <w:ind w:left="78" w:right="69"/>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防雷检测</w:t>
            </w:r>
          </w:p>
        </w:tc>
        <w:tc>
          <w:tcPr>
            <w:tcW w:w="6982" w:type="dxa"/>
            <w:vAlign w:val="center"/>
          </w:tcPr>
          <w:p>
            <w:pPr>
              <w:pStyle w:val="23"/>
              <w:ind w:left="411" w:right="404"/>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改建后的检测和相关手续同步办理中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197" w:type="dxa"/>
            <w:vAlign w:val="center"/>
          </w:tcPr>
          <w:p>
            <w:pPr>
              <w:pStyle w:val="23"/>
              <w:spacing w:before="176"/>
              <w:ind w:left="78" w:right="69"/>
              <w:jc w:val="center"/>
              <w:rPr>
                <w:rFonts w:hint="eastAsia" w:ascii="宋体" w:hAnsi="宋体" w:eastAsia="宋体" w:cs="宋体"/>
                <w:sz w:val="21"/>
                <w:szCs w:val="21"/>
              </w:rPr>
            </w:pPr>
            <w:r>
              <w:rPr>
                <w:rFonts w:hint="eastAsia" w:ascii="宋体" w:hAnsi="宋体" w:eastAsia="宋体" w:cs="宋体"/>
                <w:sz w:val="21"/>
                <w:szCs w:val="21"/>
              </w:rPr>
              <w:t>施工许可</w:t>
            </w:r>
          </w:p>
        </w:tc>
        <w:tc>
          <w:tcPr>
            <w:tcW w:w="6982" w:type="dxa"/>
            <w:vAlign w:val="center"/>
          </w:tcPr>
          <w:p>
            <w:pPr>
              <w:pStyle w:val="23"/>
              <w:spacing w:before="176"/>
              <w:ind w:left="9"/>
              <w:jc w:val="center"/>
              <w:rPr>
                <w:rFonts w:hint="eastAsia" w:ascii="宋体" w:hAnsi="宋体" w:eastAsia="宋体" w:cs="宋体"/>
                <w:color w:val="FF0000"/>
                <w:sz w:val="21"/>
                <w:szCs w:val="21"/>
              </w:rPr>
            </w:pPr>
            <w:r>
              <w:rPr>
                <w:rFonts w:hint="eastAsia" w:ascii="宋体" w:hAnsi="宋体" w:eastAsia="宋体" w:cs="宋体"/>
                <w:color w:val="auto"/>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197" w:type="dxa"/>
            <w:vAlign w:val="center"/>
          </w:tcPr>
          <w:p>
            <w:pPr>
              <w:pStyle w:val="23"/>
              <w:spacing w:before="145"/>
              <w:ind w:left="80" w:right="69"/>
              <w:jc w:val="center"/>
              <w:rPr>
                <w:rFonts w:hint="eastAsia" w:ascii="宋体" w:hAnsi="宋体" w:eastAsia="宋体" w:cs="宋体"/>
                <w:sz w:val="21"/>
                <w:szCs w:val="21"/>
              </w:rPr>
            </w:pPr>
            <w:r>
              <w:rPr>
                <w:rFonts w:hint="eastAsia" w:ascii="宋体" w:hAnsi="宋体" w:eastAsia="宋体" w:cs="宋体"/>
                <w:sz w:val="21"/>
                <w:szCs w:val="21"/>
              </w:rPr>
              <w:t>开工日期</w:t>
            </w:r>
          </w:p>
        </w:tc>
        <w:tc>
          <w:tcPr>
            <w:tcW w:w="6982" w:type="dxa"/>
            <w:vAlign w:val="center"/>
          </w:tcPr>
          <w:p>
            <w:pPr>
              <w:pStyle w:val="23"/>
              <w:spacing w:before="145"/>
              <w:ind w:left="413" w:right="402"/>
              <w:jc w:val="center"/>
              <w:rPr>
                <w:rFonts w:hint="eastAsia" w:ascii="宋体" w:hAnsi="宋体" w:eastAsia="宋体" w:cs="宋体"/>
                <w:color w:val="FF0000"/>
                <w:sz w:val="21"/>
                <w:szCs w:val="21"/>
                <w:highlight w:val="none"/>
                <w:lang w:val="en-US" w:eastAsia="zh-CN"/>
              </w:rPr>
            </w:pPr>
            <w:r>
              <w:rPr>
                <w:rFonts w:hint="eastAsia" w:ascii="宋体" w:hAnsi="宋体" w:eastAsia="宋体" w:cs="宋体"/>
                <w:color w:val="auto"/>
                <w:sz w:val="21"/>
                <w:szCs w:val="21"/>
                <w:highlight w:val="none"/>
                <w:lang w:val="en-US" w:eastAsia="zh-CN"/>
              </w:rPr>
              <w:t>2019年12月01日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197" w:type="dxa"/>
            <w:vAlign w:val="center"/>
          </w:tcPr>
          <w:p>
            <w:pPr>
              <w:pStyle w:val="23"/>
              <w:spacing w:before="142"/>
              <w:ind w:left="80" w:right="69"/>
              <w:jc w:val="center"/>
              <w:rPr>
                <w:rFonts w:hint="eastAsia" w:ascii="宋体" w:hAnsi="宋体" w:eastAsia="宋体" w:cs="宋体"/>
                <w:sz w:val="21"/>
                <w:szCs w:val="21"/>
              </w:rPr>
            </w:pPr>
            <w:r>
              <w:rPr>
                <w:rFonts w:hint="eastAsia" w:ascii="宋体" w:hAnsi="宋体" w:eastAsia="宋体" w:cs="宋体"/>
                <w:sz w:val="21"/>
                <w:szCs w:val="21"/>
              </w:rPr>
              <w:t>竣工日期</w:t>
            </w:r>
          </w:p>
        </w:tc>
        <w:tc>
          <w:tcPr>
            <w:tcW w:w="6982" w:type="dxa"/>
            <w:vAlign w:val="center"/>
          </w:tcPr>
          <w:p>
            <w:pPr>
              <w:pStyle w:val="23"/>
              <w:spacing w:before="142"/>
              <w:ind w:left="413" w:right="402"/>
              <w:jc w:val="center"/>
              <w:rPr>
                <w:rFonts w:hint="eastAsia" w:ascii="宋体" w:hAnsi="宋体" w:eastAsia="宋体" w:cs="宋体"/>
                <w:color w:val="FF0000"/>
                <w:sz w:val="21"/>
                <w:szCs w:val="21"/>
                <w:highlight w:val="none"/>
                <w:lang w:val="en-US" w:eastAsia="zh-CN"/>
              </w:rPr>
            </w:pPr>
            <w:r>
              <w:rPr>
                <w:rFonts w:hint="eastAsia" w:ascii="宋体" w:hAnsi="宋体" w:eastAsia="宋体" w:cs="宋体"/>
                <w:color w:val="auto"/>
                <w:sz w:val="21"/>
                <w:szCs w:val="21"/>
                <w:highlight w:val="none"/>
                <w:lang w:val="en-US" w:eastAsia="zh-CN"/>
              </w:rPr>
              <w:t>2019年12月22日</w:t>
            </w:r>
          </w:p>
        </w:tc>
      </w:tr>
    </w:tbl>
    <w:p>
      <w:pPr>
        <w:jc w:val="center"/>
        <w:rPr>
          <w:rFonts w:hint="eastAsia" w:ascii="宋体" w:hAnsi="宋体" w:eastAsia="宋体" w:cs="宋体"/>
          <w:sz w:val="21"/>
        </w:rPr>
        <w:sectPr>
          <w:pgSz w:w="11910" w:h="16840"/>
          <w:pgMar w:top="1417" w:right="1134" w:bottom="1134" w:left="1587" w:header="720" w:footer="720" w:gutter="0"/>
          <w:pgNumType w:fmt="decimal"/>
          <w:cols w:space="0" w:num="1"/>
        </w:sectPr>
      </w:pPr>
    </w:p>
    <w:p>
      <w:pPr>
        <w:pStyle w:val="6"/>
        <w:tabs>
          <w:tab w:val="left" w:pos="6424"/>
        </w:tabs>
        <w:spacing w:before="53"/>
        <w:jc w:val="center"/>
        <w:rPr>
          <w:rFonts w:hint="eastAsia" w:ascii="宋体" w:hAnsi="宋体" w:eastAsia="宋体" w:cs="宋体"/>
        </w:rPr>
      </w:pPr>
      <w:bookmarkStart w:id="147" w:name="_Hlk531011492"/>
      <w:bookmarkStart w:id="148" w:name="_Toc18845_WPSOffice_Level3"/>
      <w:bookmarkStart w:id="149" w:name="_Toc22214_WPSOffice_Level3"/>
      <w:r>
        <w:rPr>
          <w:rFonts w:hint="eastAsia" w:ascii="宋体" w:hAnsi="宋体" w:eastAsia="宋体" w:cs="宋体"/>
        </w:rPr>
        <w:t xml:space="preserve">表2.1-2 </w:t>
      </w:r>
      <w:r>
        <w:rPr>
          <w:rFonts w:hint="eastAsia" w:ascii="宋体" w:hAnsi="宋体" w:eastAsia="宋体" w:cs="宋体"/>
          <w:lang w:eastAsia="zh-CN"/>
        </w:rPr>
        <w:t>横坑加油站</w:t>
      </w:r>
      <w:r>
        <w:rPr>
          <w:rFonts w:hint="eastAsia" w:ascii="宋体" w:hAnsi="宋体" w:eastAsia="宋体" w:cs="宋体"/>
        </w:rPr>
        <w:t>基</w:t>
      </w:r>
      <w:r>
        <w:rPr>
          <w:rFonts w:hint="eastAsia" w:ascii="宋体" w:hAnsi="宋体" w:eastAsia="宋体" w:cs="宋体"/>
          <w:spacing w:val="-3"/>
        </w:rPr>
        <w:t>本情</w:t>
      </w:r>
      <w:r>
        <w:rPr>
          <w:rFonts w:hint="eastAsia" w:ascii="宋体" w:hAnsi="宋体" w:eastAsia="宋体" w:cs="宋体"/>
        </w:rPr>
        <w:t>况表</w:t>
      </w:r>
      <w:bookmarkEnd w:id="147"/>
      <w:r>
        <w:rPr>
          <w:rFonts w:hint="eastAsia" w:ascii="宋体" w:hAnsi="宋体" w:eastAsia="宋体" w:cs="宋体"/>
        </w:rPr>
        <w:t>（改造后）</w:t>
      </w:r>
      <w:bookmarkEnd w:id="148"/>
      <w:bookmarkEnd w:id="149"/>
    </w:p>
    <w:tbl>
      <w:tblPr>
        <w:tblStyle w:val="15"/>
        <w:tblW w:w="917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9"/>
        <w:gridCol w:w="777"/>
        <w:gridCol w:w="349"/>
        <w:gridCol w:w="525"/>
        <w:gridCol w:w="879"/>
        <w:gridCol w:w="1403"/>
        <w:gridCol w:w="217"/>
        <w:gridCol w:w="655"/>
        <w:gridCol w:w="787"/>
        <w:gridCol w:w="578"/>
        <w:gridCol w:w="716"/>
        <w:gridCol w:w="16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2" w:hRule="atLeast"/>
          <w:jc w:val="center"/>
        </w:trPr>
        <w:tc>
          <w:tcPr>
            <w:tcW w:w="1755" w:type="dxa"/>
            <w:gridSpan w:val="3"/>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加油站名称</w:t>
            </w:r>
          </w:p>
        </w:tc>
        <w:tc>
          <w:tcPr>
            <w:tcW w:w="4466" w:type="dxa"/>
            <w:gridSpan w:val="6"/>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lang w:eastAsia="zh-CN"/>
              </w:rPr>
            </w:pPr>
            <w:r>
              <w:rPr>
                <w:rFonts w:hint="eastAsia" w:ascii="宋体" w:hAnsi="宋体" w:eastAsia="宋体" w:cs="宋体"/>
                <w:kern w:val="2"/>
                <w:sz w:val="21"/>
                <w:szCs w:val="21"/>
                <w:lang w:eastAsia="zh-CN"/>
              </w:rPr>
              <w:t>中国石化销售股份有限公司广东东莞寮步横坑加油站</w:t>
            </w:r>
          </w:p>
        </w:tc>
        <w:tc>
          <w:tcPr>
            <w:tcW w:w="1294" w:type="dxa"/>
            <w:gridSpan w:val="2"/>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现任站长</w:t>
            </w:r>
          </w:p>
        </w:tc>
        <w:tc>
          <w:tcPr>
            <w:tcW w:w="166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FF0000"/>
                <w:kern w:val="2"/>
                <w:sz w:val="21"/>
                <w:szCs w:val="21"/>
              </w:rPr>
            </w:pPr>
            <w:r>
              <w:rPr>
                <w:rFonts w:hint="eastAsia" w:ascii="宋体" w:hAnsi="宋体" w:eastAsia="宋体" w:cs="宋体"/>
                <w:kern w:val="2"/>
                <w:sz w:val="21"/>
                <w:szCs w:val="21"/>
                <w:lang w:val="en-US" w:eastAsia="zh-CN"/>
              </w:rPr>
              <w:t>容超平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4" w:hRule="atLeast"/>
          <w:jc w:val="center"/>
        </w:trPr>
        <w:tc>
          <w:tcPr>
            <w:tcW w:w="1755" w:type="dxa"/>
            <w:gridSpan w:val="3"/>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加油站地址</w:t>
            </w:r>
          </w:p>
        </w:tc>
        <w:tc>
          <w:tcPr>
            <w:tcW w:w="4466" w:type="dxa"/>
            <w:gridSpan w:val="6"/>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lang w:eastAsia="zh-CN"/>
              </w:rPr>
            </w:pPr>
            <w:r>
              <w:rPr>
                <w:rFonts w:hint="eastAsia" w:ascii="宋体" w:hAnsi="宋体" w:eastAsia="宋体" w:cs="宋体"/>
                <w:kern w:val="2"/>
                <w:sz w:val="21"/>
                <w:szCs w:val="21"/>
                <w:lang w:eastAsia="zh-CN"/>
              </w:rPr>
              <w:t>广东省东莞市寮步横坑镇横坑金朗中路833号</w:t>
            </w:r>
          </w:p>
        </w:tc>
        <w:tc>
          <w:tcPr>
            <w:tcW w:w="1294" w:type="dxa"/>
            <w:gridSpan w:val="2"/>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联系电话</w:t>
            </w:r>
          </w:p>
        </w:tc>
        <w:tc>
          <w:tcPr>
            <w:tcW w:w="166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FF0000"/>
                <w:kern w:val="2"/>
                <w:sz w:val="21"/>
                <w:szCs w:val="21"/>
              </w:rPr>
            </w:pPr>
            <w:r>
              <w:rPr>
                <w:rFonts w:hint="eastAsia" w:ascii="宋体" w:hAnsi="宋体"/>
                <w:kern w:val="2"/>
                <w:sz w:val="21"/>
                <w:szCs w:val="21"/>
              </w:rPr>
              <w:t>18819086987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755" w:type="dxa"/>
            <w:gridSpan w:val="3"/>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加油站设计单位</w:t>
            </w:r>
          </w:p>
        </w:tc>
        <w:tc>
          <w:tcPr>
            <w:tcW w:w="4466" w:type="dxa"/>
            <w:gridSpan w:val="6"/>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eastAsia="zh-CN"/>
              </w:rPr>
              <w:t>天津中德工程设计有限公司</w:t>
            </w:r>
          </w:p>
        </w:tc>
        <w:tc>
          <w:tcPr>
            <w:tcW w:w="1294" w:type="dxa"/>
            <w:gridSpan w:val="2"/>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设计单位资质</w:t>
            </w:r>
          </w:p>
        </w:tc>
        <w:tc>
          <w:tcPr>
            <w:tcW w:w="166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化工石化医药行业（石油及化工产品储运）甲级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4" w:hRule="atLeast"/>
          <w:jc w:val="center"/>
        </w:trPr>
        <w:tc>
          <w:tcPr>
            <w:tcW w:w="1755" w:type="dxa"/>
            <w:gridSpan w:val="3"/>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highlight w:val="none"/>
              </w:rPr>
            </w:pPr>
            <w:r>
              <w:rPr>
                <w:rFonts w:hint="eastAsia" w:ascii="宋体" w:hAnsi="宋体" w:eastAsia="宋体" w:cs="宋体"/>
                <w:kern w:val="2"/>
                <w:sz w:val="21"/>
                <w:szCs w:val="21"/>
                <w:highlight w:val="none"/>
              </w:rPr>
              <w:t>加油站施工单位</w:t>
            </w:r>
          </w:p>
        </w:tc>
        <w:tc>
          <w:tcPr>
            <w:tcW w:w="4466" w:type="dxa"/>
            <w:gridSpan w:val="6"/>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广东强雄建设集团有限公司</w:t>
            </w:r>
          </w:p>
        </w:tc>
        <w:tc>
          <w:tcPr>
            <w:tcW w:w="1294" w:type="dxa"/>
            <w:gridSpan w:val="2"/>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highlight w:val="none"/>
                <w:lang w:eastAsia="zh-CN"/>
              </w:rPr>
            </w:pPr>
            <w:r>
              <w:rPr>
                <w:rFonts w:hint="eastAsia" w:ascii="宋体" w:hAnsi="宋体" w:eastAsia="宋体" w:cs="宋体"/>
                <w:color w:val="auto"/>
                <w:kern w:val="2"/>
                <w:sz w:val="21"/>
                <w:szCs w:val="21"/>
                <w:highlight w:val="none"/>
                <w:lang w:eastAsia="zh-CN"/>
              </w:rPr>
              <w:t>施工单位资质</w:t>
            </w:r>
          </w:p>
        </w:tc>
        <w:tc>
          <w:tcPr>
            <w:tcW w:w="166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highlight w:val="none"/>
                <w:lang w:eastAsia="zh-CN"/>
              </w:rPr>
            </w:pPr>
            <w:r>
              <w:rPr>
                <w:rFonts w:hint="eastAsia" w:ascii="宋体" w:hAnsi="宋体" w:eastAsia="宋体" w:cs="宋体"/>
                <w:color w:val="auto"/>
                <w:kern w:val="2"/>
                <w:sz w:val="21"/>
                <w:szCs w:val="21"/>
                <w:highlight w:val="none"/>
                <w:lang w:eastAsia="zh-CN"/>
              </w:rPr>
              <w:t>建筑施工总承包壹级；市政公用工程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4" w:hRule="atLeast"/>
          <w:jc w:val="center"/>
        </w:trPr>
        <w:tc>
          <w:tcPr>
            <w:tcW w:w="1755" w:type="dxa"/>
            <w:gridSpan w:val="3"/>
            <w:vAlign w:val="center"/>
          </w:tcPr>
          <w:p>
            <w:pPr>
              <w:pStyle w:val="23"/>
              <w:keepNext w:val="0"/>
              <w:keepLines w:val="0"/>
              <w:suppressLineNumbers w:val="0"/>
              <w:spacing w:before="0" w:beforeAutospacing="0" w:after="0" w:afterAutospacing="0"/>
              <w:ind w:left="78" w:leftChars="0" w:right="69" w:rightChars="0"/>
              <w:jc w:val="center"/>
              <w:rPr>
                <w:rFonts w:hint="eastAsia" w:ascii="宋体" w:hAnsi="宋体" w:eastAsia="宋体" w:cs="宋体"/>
                <w:kern w:val="2"/>
                <w:sz w:val="21"/>
                <w:szCs w:val="21"/>
              </w:rPr>
            </w:pPr>
            <w:r>
              <w:rPr>
                <w:rFonts w:hint="eastAsia" w:ascii="宋体" w:hAnsi="宋体" w:eastAsia="宋体" w:cs="宋体"/>
                <w:kern w:val="2"/>
                <w:sz w:val="21"/>
                <w:szCs w:val="21"/>
                <w:lang w:eastAsia="zh-CN"/>
              </w:rPr>
              <w:t>监理单位</w:t>
            </w:r>
          </w:p>
        </w:tc>
        <w:tc>
          <w:tcPr>
            <w:tcW w:w="4466" w:type="dxa"/>
            <w:gridSpan w:val="6"/>
            <w:vAlign w:val="center"/>
          </w:tcPr>
          <w:p>
            <w:pPr>
              <w:pStyle w:val="23"/>
              <w:keepNext w:val="0"/>
              <w:keepLines w:val="0"/>
              <w:suppressLineNumbers w:val="0"/>
              <w:spacing w:before="0" w:beforeAutospacing="0" w:after="0" w:afterAutospacing="0"/>
              <w:ind w:left="413" w:leftChars="0" w:right="404" w:rightChars="0"/>
              <w:jc w:val="center"/>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深圳市恒浩建工程项目管理有限公司</w:t>
            </w:r>
          </w:p>
        </w:tc>
        <w:tc>
          <w:tcPr>
            <w:tcW w:w="1294" w:type="dxa"/>
            <w:gridSpan w:val="2"/>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监理资质</w:t>
            </w:r>
          </w:p>
        </w:tc>
        <w:tc>
          <w:tcPr>
            <w:tcW w:w="166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工程监理综合资质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755" w:type="dxa"/>
            <w:gridSpan w:val="3"/>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职工人数</w:t>
            </w:r>
          </w:p>
        </w:tc>
        <w:tc>
          <w:tcPr>
            <w:tcW w:w="1404" w:type="dxa"/>
            <w:gridSpan w:val="2"/>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25</w:t>
            </w:r>
          </w:p>
        </w:tc>
        <w:tc>
          <w:tcPr>
            <w:tcW w:w="1403"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安全管理人员</w:t>
            </w:r>
          </w:p>
        </w:tc>
        <w:tc>
          <w:tcPr>
            <w:tcW w:w="1659" w:type="dxa"/>
            <w:gridSpan w:val="3"/>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val="en-US" w:eastAsia="zh-CN"/>
              </w:rPr>
              <w:t>2</w:t>
            </w:r>
          </w:p>
        </w:tc>
        <w:tc>
          <w:tcPr>
            <w:tcW w:w="1294" w:type="dxa"/>
            <w:gridSpan w:val="2"/>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持证上岗人数</w:t>
            </w:r>
          </w:p>
        </w:tc>
        <w:tc>
          <w:tcPr>
            <w:tcW w:w="166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val="en-US"/>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755" w:type="dxa"/>
            <w:gridSpan w:val="3"/>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占地面积</w:t>
            </w:r>
          </w:p>
        </w:tc>
        <w:tc>
          <w:tcPr>
            <w:tcW w:w="1404" w:type="dxa"/>
            <w:gridSpan w:val="2"/>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val="en-US" w:eastAsia="zh-CN"/>
              </w:rPr>
              <w:t>3538.9</w:t>
            </w:r>
            <w:r>
              <w:rPr>
                <w:rFonts w:hint="eastAsia" w:ascii="宋体" w:hAnsi="宋体" w:eastAsia="宋体" w:cs="宋体"/>
                <w:color w:val="auto"/>
                <w:kern w:val="2"/>
                <w:sz w:val="21"/>
                <w:szCs w:val="21"/>
              </w:rPr>
              <w:t>m</w:t>
            </w:r>
            <w:r>
              <w:rPr>
                <w:rFonts w:hint="eastAsia" w:ascii="宋体" w:hAnsi="宋体" w:eastAsia="宋体" w:cs="宋体"/>
                <w:color w:val="auto"/>
                <w:kern w:val="2"/>
                <w:sz w:val="21"/>
                <w:szCs w:val="21"/>
                <w:vertAlign w:val="superscript"/>
              </w:rPr>
              <w:t>2</w:t>
            </w:r>
          </w:p>
        </w:tc>
        <w:tc>
          <w:tcPr>
            <w:tcW w:w="1403"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总容积</w:t>
            </w:r>
          </w:p>
        </w:tc>
        <w:tc>
          <w:tcPr>
            <w:tcW w:w="1659" w:type="dxa"/>
            <w:gridSpan w:val="3"/>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vertAlign w:val="superscript"/>
              </w:rPr>
            </w:pPr>
            <w:r>
              <w:rPr>
                <w:rFonts w:hint="eastAsia" w:ascii="宋体" w:hAnsi="宋体" w:eastAsia="宋体" w:cs="宋体"/>
                <w:color w:val="auto"/>
                <w:kern w:val="2"/>
                <w:sz w:val="21"/>
                <w:szCs w:val="21"/>
                <w:lang w:val="en-US" w:eastAsia="zh-CN"/>
              </w:rPr>
              <w:t>120</w:t>
            </w:r>
            <w:r>
              <w:rPr>
                <w:rFonts w:hint="eastAsia" w:ascii="宋体" w:hAnsi="宋体" w:eastAsia="宋体" w:cs="宋体"/>
                <w:color w:val="auto"/>
                <w:kern w:val="2"/>
                <w:sz w:val="21"/>
                <w:szCs w:val="21"/>
              </w:rPr>
              <w:t>m</w:t>
            </w:r>
            <w:r>
              <w:rPr>
                <w:rFonts w:hint="eastAsia" w:ascii="宋体" w:hAnsi="宋体" w:eastAsia="宋体" w:cs="宋体"/>
                <w:color w:val="auto"/>
                <w:kern w:val="2"/>
                <w:sz w:val="21"/>
                <w:szCs w:val="21"/>
                <w:vertAlign w:val="superscript"/>
              </w:rPr>
              <w:t>3</w:t>
            </w:r>
          </w:p>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（柴油罐折半计入油罐总体积）</w:t>
            </w:r>
          </w:p>
        </w:tc>
        <w:tc>
          <w:tcPr>
            <w:tcW w:w="1294" w:type="dxa"/>
            <w:gridSpan w:val="2"/>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加油站级别</w:t>
            </w:r>
          </w:p>
        </w:tc>
        <w:tc>
          <w:tcPr>
            <w:tcW w:w="166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eastAsia="zh-CN"/>
              </w:rPr>
              <w:t>二</w:t>
            </w:r>
            <w:r>
              <w:rPr>
                <w:rFonts w:hint="eastAsia" w:ascii="宋体" w:hAnsi="宋体" w:eastAsia="宋体" w:cs="宋体"/>
                <w:color w:val="auto"/>
                <w:kern w:val="2"/>
                <w:sz w:val="21"/>
                <w:szCs w:val="21"/>
              </w:rPr>
              <w:t>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755" w:type="dxa"/>
            <w:gridSpan w:val="3"/>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FF0000"/>
                <w:kern w:val="2"/>
                <w:sz w:val="21"/>
                <w:szCs w:val="21"/>
              </w:rPr>
            </w:pPr>
            <w:r>
              <w:rPr>
                <w:rFonts w:hint="eastAsia" w:ascii="宋体" w:hAnsi="宋体" w:eastAsia="宋体" w:cs="宋体"/>
                <w:color w:val="auto"/>
                <w:kern w:val="2"/>
                <w:sz w:val="21"/>
                <w:szCs w:val="21"/>
              </w:rPr>
              <w:t>加油机数量</w:t>
            </w:r>
          </w:p>
        </w:tc>
        <w:tc>
          <w:tcPr>
            <w:tcW w:w="1404" w:type="dxa"/>
            <w:gridSpan w:val="2"/>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val="en-US" w:eastAsia="zh-CN"/>
              </w:rPr>
              <w:t>8</w:t>
            </w:r>
            <w:r>
              <w:rPr>
                <w:rFonts w:hint="eastAsia" w:ascii="宋体" w:hAnsi="宋体" w:eastAsia="宋体" w:cs="宋体"/>
                <w:color w:val="auto"/>
                <w:kern w:val="2"/>
                <w:sz w:val="21"/>
                <w:szCs w:val="21"/>
              </w:rPr>
              <w:t>台</w:t>
            </w:r>
          </w:p>
        </w:tc>
        <w:tc>
          <w:tcPr>
            <w:tcW w:w="1403"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加油枪数量</w:t>
            </w:r>
          </w:p>
        </w:tc>
        <w:tc>
          <w:tcPr>
            <w:tcW w:w="1659" w:type="dxa"/>
            <w:gridSpan w:val="3"/>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8台8枪</w:t>
            </w:r>
          </w:p>
        </w:tc>
        <w:tc>
          <w:tcPr>
            <w:tcW w:w="1294" w:type="dxa"/>
            <w:gridSpan w:val="2"/>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竣工验收时间</w:t>
            </w:r>
          </w:p>
        </w:tc>
        <w:tc>
          <w:tcPr>
            <w:tcW w:w="166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rPr>
              <w:t>2019.</w:t>
            </w:r>
            <w:r>
              <w:rPr>
                <w:rFonts w:hint="eastAsia" w:ascii="宋体" w:hAnsi="宋体" w:eastAsia="宋体" w:cs="宋体"/>
                <w:color w:val="auto"/>
                <w:kern w:val="2"/>
                <w:sz w:val="21"/>
                <w:szCs w:val="21"/>
                <w:lang w:val="en-US" w:eastAsia="zh-CN"/>
              </w:rPr>
              <w:t>12</w:t>
            </w:r>
            <w:r>
              <w:rPr>
                <w:rFonts w:hint="eastAsia" w:ascii="宋体" w:hAnsi="宋体" w:eastAsia="宋体" w:cs="宋体"/>
                <w:color w:val="auto"/>
                <w:kern w:val="2"/>
                <w:sz w:val="21"/>
                <w:szCs w:val="21"/>
                <w:lang w:val="en-US"/>
              </w:rPr>
              <w:t>.</w:t>
            </w:r>
            <w:r>
              <w:rPr>
                <w:rFonts w:hint="eastAsia" w:ascii="宋体" w:hAnsi="宋体" w:eastAsia="宋体" w:cs="宋体"/>
                <w:color w:val="auto"/>
                <w:kern w:val="2"/>
                <w:sz w:val="21"/>
                <w:szCs w:val="21"/>
                <w:lang w:val="en-US" w:eastAsia="zh-CN"/>
              </w:rPr>
              <w:t>22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jc w:val="center"/>
        </w:trPr>
        <w:tc>
          <w:tcPr>
            <w:tcW w:w="629" w:type="dxa"/>
            <w:vMerge w:val="restart"/>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FF0000"/>
                <w:kern w:val="2"/>
                <w:sz w:val="21"/>
                <w:szCs w:val="21"/>
              </w:rPr>
            </w:pPr>
            <w:r>
              <w:rPr>
                <w:rFonts w:hint="eastAsia" w:ascii="宋体" w:hAnsi="宋体" w:eastAsia="宋体" w:cs="宋体"/>
                <w:color w:val="auto"/>
                <w:kern w:val="2"/>
                <w:sz w:val="21"/>
                <w:szCs w:val="21"/>
              </w:rPr>
              <w:t>建筑物情况</w:t>
            </w:r>
          </w:p>
        </w:tc>
        <w:tc>
          <w:tcPr>
            <w:tcW w:w="1651" w:type="dxa"/>
            <w:gridSpan w:val="3"/>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名称</w:t>
            </w:r>
          </w:p>
        </w:tc>
        <w:tc>
          <w:tcPr>
            <w:tcW w:w="2282" w:type="dxa"/>
            <w:gridSpan w:val="2"/>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结构类型</w:t>
            </w:r>
          </w:p>
        </w:tc>
        <w:tc>
          <w:tcPr>
            <w:tcW w:w="1659" w:type="dxa"/>
            <w:gridSpan w:val="3"/>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耐火等级</w:t>
            </w:r>
          </w:p>
        </w:tc>
        <w:tc>
          <w:tcPr>
            <w:tcW w:w="57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层数</w:t>
            </w:r>
          </w:p>
        </w:tc>
        <w:tc>
          <w:tcPr>
            <w:tcW w:w="716"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高度（m）</w:t>
            </w:r>
          </w:p>
        </w:tc>
        <w:tc>
          <w:tcPr>
            <w:tcW w:w="166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建筑面积（m</w:t>
            </w:r>
            <w:r>
              <w:rPr>
                <w:rFonts w:hint="eastAsia" w:ascii="宋体" w:hAnsi="宋体" w:eastAsia="宋体" w:cs="宋体"/>
                <w:color w:val="auto"/>
                <w:kern w:val="2"/>
                <w:sz w:val="21"/>
                <w:szCs w:val="21"/>
                <w:vertAlign w:val="superscript"/>
              </w:rPr>
              <w:t>2</w:t>
            </w:r>
            <w:r>
              <w:rPr>
                <w:rFonts w:hint="eastAsia" w:ascii="宋体" w:hAnsi="宋体" w:eastAsia="宋体" w:cs="宋体"/>
                <w:color w:val="auto"/>
                <w:kern w:val="2"/>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6" w:hRule="atLeast"/>
          <w:jc w:val="center"/>
        </w:trPr>
        <w:tc>
          <w:tcPr>
            <w:tcW w:w="629"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FF0000"/>
                <w:kern w:val="2"/>
                <w:sz w:val="21"/>
                <w:szCs w:val="21"/>
              </w:rPr>
            </w:pPr>
          </w:p>
        </w:tc>
        <w:tc>
          <w:tcPr>
            <w:tcW w:w="1651" w:type="dxa"/>
            <w:gridSpan w:val="3"/>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lang w:val="zh-CN" w:eastAsia="zh-CN" w:bidi="zh-CN"/>
              </w:rPr>
            </w:pPr>
            <w:r>
              <w:rPr>
                <w:rFonts w:hint="eastAsia" w:ascii="宋体" w:hAnsi="宋体" w:eastAsia="宋体" w:cs="宋体"/>
                <w:kern w:val="2"/>
                <w:sz w:val="21"/>
                <w:szCs w:val="21"/>
              </w:rPr>
              <w:t>加油亭</w:t>
            </w:r>
          </w:p>
        </w:tc>
        <w:tc>
          <w:tcPr>
            <w:tcW w:w="2282" w:type="dxa"/>
            <w:gridSpan w:val="2"/>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lang w:val="zh-CN" w:eastAsia="zh-CN" w:bidi="zh-CN"/>
              </w:rPr>
            </w:pPr>
            <w:r>
              <w:rPr>
                <w:rFonts w:hint="eastAsia" w:ascii="宋体" w:hAnsi="宋体" w:eastAsia="宋体" w:cs="宋体"/>
                <w:kern w:val="2"/>
                <w:sz w:val="21"/>
                <w:szCs w:val="21"/>
              </w:rPr>
              <w:t>钢筋混凝土</w:t>
            </w:r>
          </w:p>
        </w:tc>
        <w:tc>
          <w:tcPr>
            <w:tcW w:w="1659" w:type="dxa"/>
            <w:gridSpan w:val="3"/>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lang w:val="zh-CN" w:eastAsia="zh-CN" w:bidi="zh-CN"/>
              </w:rPr>
            </w:pPr>
            <w:r>
              <w:rPr>
                <w:rFonts w:hint="eastAsia" w:ascii="宋体" w:hAnsi="宋体" w:eastAsia="宋体" w:cs="宋体"/>
                <w:kern w:val="2"/>
                <w:sz w:val="21"/>
                <w:szCs w:val="21"/>
              </w:rPr>
              <w:t>二级</w:t>
            </w:r>
          </w:p>
        </w:tc>
        <w:tc>
          <w:tcPr>
            <w:tcW w:w="57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lang w:val="zh-CN" w:eastAsia="zh-CN" w:bidi="zh-CN"/>
              </w:rPr>
            </w:pPr>
            <w:r>
              <w:rPr>
                <w:rFonts w:hint="eastAsia" w:ascii="宋体" w:hAnsi="宋体" w:eastAsia="宋体" w:cs="宋体"/>
                <w:kern w:val="2"/>
                <w:sz w:val="21"/>
                <w:szCs w:val="21"/>
              </w:rPr>
              <w:t>一层</w:t>
            </w:r>
          </w:p>
        </w:tc>
        <w:tc>
          <w:tcPr>
            <w:tcW w:w="716"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lang w:val="en-US" w:eastAsia="zh-CN" w:bidi="zh-CN"/>
              </w:rPr>
            </w:pPr>
            <w:r>
              <w:rPr>
                <w:rFonts w:hint="eastAsia" w:ascii="宋体" w:hAnsi="宋体" w:eastAsia="宋体" w:cs="宋体"/>
                <w:kern w:val="2"/>
                <w:sz w:val="21"/>
                <w:szCs w:val="21"/>
                <w:lang w:val="en-US" w:eastAsia="zh-CN"/>
              </w:rPr>
              <w:t>6.8</w:t>
            </w:r>
          </w:p>
        </w:tc>
        <w:tc>
          <w:tcPr>
            <w:tcW w:w="166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lang w:val="en-US" w:eastAsia="zh-CN" w:bidi="zh-CN"/>
              </w:rPr>
            </w:pPr>
            <w:r>
              <w:rPr>
                <w:rFonts w:hint="eastAsia" w:ascii="宋体" w:hAnsi="宋体" w:eastAsia="宋体" w:cs="宋体"/>
                <w:kern w:val="2"/>
                <w:sz w:val="21"/>
                <w:szCs w:val="21"/>
              </w:rPr>
              <w:t>1104.0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6" w:hRule="atLeast"/>
          <w:jc w:val="center"/>
        </w:trPr>
        <w:tc>
          <w:tcPr>
            <w:tcW w:w="629"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FF0000"/>
                <w:kern w:val="2"/>
                <w:sz w:val="21"/>
                <w:szCs w:val="21"/>
              </w:rPr>
            </w:pPr>
          </w:p>
        </w:tc>
        <w:tc>
          <w:tcPr>
            <w:tcW w:w="1651" w:type="dxa"/>
            <w:gridSpan w:val="3"/>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lang w:val="zh-CN" w:eastAsia="zh-CN" w:bidi="zh-CN"/>
              </w:rPr>
            </w:pPr>
            <w:r>
              <w:rPr>
                <w:rFonts w:hint="eastAsia" w:ascii="宋体" w:hAnsi="宋体" w:eastAsia="宋体" w:cs="宋体"/>
                <w:kern w:val="2"/>
                <w:sz w:val="21"/>
                <w:szCs w:val="21"/>
              </w:rPr>
              <w:t>站房</w:t>
            </w:r>
          </w:p>
        </w:tc>
        <w:tc>
          <w:tcPr>
            <w:tcW w:w="2282" w:type="dxa"/>
            <w:gridSpan w:val="2"/>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lang w:val="zh-CN" w:eastAsia="zh-CN" w:bidi="zh-CN"/>
              </w:rPr>
            </w:pPr>
            <w:r>
              <w:rPr>
                <w:rFonts w:hint="eastAsia" w:ascii="宋体" w:hAnsi="宋体" w:eastAsia="宋体" w:cs="宋体"/>
                <w:kern w:val="2"/>
                <w:sz w:val="21"/>
                <w:szCs w:val="21"/>
              </w:rPr>
              <w:t>砖混结构</w:t>
            </w:r>
          </w:p>
        </w:tc>
        <w:tc>
          <w:tcPr>
            <w:tcW w:w="1659" w:type="dxa"/>
            <w:gridSpan w:val="3"/>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lang w:val="zh-CN" w:eastAsia="zh-CN" w:bidi="zh-CN"/>
              </w:rPr>
            </w:pPr>
            <w:r>
              <w:rPr>
                <w:rFonts w:hint="eastAsia" w:ascii="宋体" w:hAnsi="宋体" w:eastAsia="宋体" w:cs="宋体"/>
                <w:kern w:val="2"/>
                <w:sz w:val="21"/>
                <w:szCs w:val="21"/>
              </w:rPr>
              <w:t>二级</w:t>
            </w:r>
          </w:p>
        </w:tc>
        <w:tc>
          <w:tcPr>
            <w:tcW w:w="57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lang w:val="zh-CN" w:eastAsia="zh-CN" w:bidi="zh-CN"/>
              </w:rPr>
            </w:pPr>
            <w:r>
              <w:rPr>
                <w:rFonts w:hint="eastAsia" w:ascii="宋体" w:hAnsi="宋体" w:eastAsia="宋体" w:cs="宋体"/>
                <w:kern w:val="2"/>
                <w:sz w:val="21"/>
                <w:szCs w:val="21"/>
                <w:lang w:eastAsia="zh-CN"/>
              </w:rPr>
              <w:t>一</w:t>
            </w:r>
            <w:r>
              <w:rPr>
                <w:rFonts w:hint="eastAsia" w:ascii="宋体" w:hAnsi="宋体" w:eastAsia="宋体" w:cs="宋体"/>
                <w:kern w:val="2"/>
                <w:sz w:val="21"/>
                <w:szCs w:val="21"/>
              </w:rPr>
              <w:t>层</w:t>
            </w:r>
          </w:p>
        </w:tc>
        <w:tc>
          <w:tcPr>
            <w:tcW w:w="716"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lang w:val="en-US" w:eastAsia="zh-CN" w:bidi="zh-CN"/>
              </w:rPr>
            </w:pPr>
            <w:r>
              <w:rPr>
                <w:rFonts w:hint="eastAsia" w:ascii="宋体" w:hAnsi="宋体" w:eastAsia="宋体" w:cs="宋体"/>
                <w:kern w:val="2"/>
                <w:sz w:val="21"/>
                <w:szCs w:val="21"/>
                <w:lang w:val="en-US" w:eastAsia="zh-CN"/>
              </w:rPr>
              <w:t>3.5</w:t>
            </w:r>
          </w:p>
        </w:tc>
        <w:tc>
          <w:tcPr>
            <w:tcW w:w="166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lang w:val="en-US" w:eastAsia="zh-CN" w:bidi="zh-CN"/>
              </w:rPr>
            </w:pPr>
            <w:r>
              <w:rPr>
                <w:rFonts w:hint="eastAsia" w:ascii="宋体" w:hAnsi="宋体" w:eastAsia="宋体" w:cs="宋体"/>
                <w:kern w:val="2"/>
                <w:sz w:val="21"/>
                <w:szCs w:val="21"/>
              </w:rPr>
              <w:t>318.0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4" w:hRule="atLeast"/>
          <w:jc w:val="center"/>
        </w:trPr>
        <w:tc>
          <w:tcPr>
            <w:tcW w:w="629"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FF0000"/>
                <w:kern w:val="2"/>
                <w:sz w:val="21"/>
                <w:szCs w:val="21"/>
              </w:rPr>
            </w:pPr>
          </w:p>
        </w:tc>
        <w:tc>
          <w:tcPr>
            <w:tcW w:w="1651" w:type="dxa"/>
            <w:gridSpan w:val="3"/>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lang w:val="zh-CN" w:eastAsia="zh-CN" w:bidi="zh-CN"/>
              </w:rPr>
            </w:pPr>
            <w:r>
              <w:rPr>
                <w:rFonts w:hint="eastAsia" w:ascii="宋体" w:hAnsi="宋体" w:eastAsia="宋体" w:cs="宋体"/>
                <w:kern w:val="2"/>
                <w:sz w:val="21"/>
                <w:szCs w:val="21"/>
                <w:lang w:eastAsia="zh-CN"/>
              </w:rPr>
              <w:t>综合</w:t>
            </w:r>
            <w:r>
              <w:rPr>
                <w:rFonts w:hint="eastAsia" w:ascii="宋体" w:hAnsi="宋体" w:eastAsia="宋体" w:cs="宋体"/>
                <w:kern w:val="2"/>
                <w:sz w:val="21"/>
                <w:szCs w:val="21"/>
              </w:rPr>
              <w:t>楼</w:t>
            </w:r>
          </w:p>
        </w:tc>
        <w:tc>
          <w:tcPr>
            <w:tcW w:w="2282" w:type="dxa"/>
            <w:gridSpan w:val="2"/>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lang w:val="zh-CN" w:eastAsia="zh-CN" w:bidi="zh-CN"/>
              </w:rPr>
            </w:pPr>
            <w:r>
              <w:rPr>
                <w:rFonts w:hint="eastAsia" w:ascii="宋体" w:hAnsi="宋体" w:eastAsia="宋体" w:cs="宋体"/>
                <w:kern w:val="2"/>
                <w:sz w:val="21"/>
                <w:szCs w:val="21"/>
              </w:rPr>
              <w:t>砖混结构</w:t>
            </w:r>
          </w:p>
        </w:tc>
        <w:tc>
          <w:tcPr>
            <w:tcW w:w="1659" w:type="dxa"/>
            <w:gridSpan w:val="3"/>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lang w:val="zh-CN" w:eastAsia="zh-CN" w:bidi="zh-CN"/>
              </w:rPr>
            </w:pPr>
            <w:r>
              <w:rPr>
                <w:rFonts w:hint="eastAsia" w:ascii="宋体" w:hAnsi="宋体" w:eastAsia="宋体" w:cs="宋体"/>
                <w:kern w:val="2"/>
                <w:sz w:val="21"/>
                <w:szCs w:val="21"/>
              </w:rPr>
              <w:t>二级</w:t>
            </w:r>
          </w:p>
        </w:tc>
        <w:tc>
          <w:tcPr>
            <w:tcW w:w="57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lang w:val="zh-CN" w:eastAsia="zh-CN" w:bidi="zh-CN"/>
              </w:rPr>
            </w:pPr>
            <w:r>
              <w:rPr>
                <w:rFonts w:hint="eastAsia" w:ascii="宋体" w:hAnsi="宋体" w:eastAsia="宋体" w:cs="宋体"/>
                <w:kern w:val="2"/>
                <w:sz w:val="21"/>
                <w:szCs w:val="21"/>
                <w:lang w:eastAsia="zh-CN"/>
              </w:rPr>
              <w:t>三</w:t>
            </w:r>
            <w:r>
              <w:rPr>
                <w:rFonts w:hint="eastAsia" w:ascii="宋体" w:hAnsi="宋体" w:eastAsia="宋体" w:cs="宋体"/>
                <w:kern w:val="2"/>
                <w:sz w:val="21"/>
                <w:szCs w:val="21"/>
              </w:rPr>
              <w:t>层</w:t>
            </w:r>
          </w:p>
        </w:tc>
        <w:tc>
          <w:tcPr>
            <w:tcW w:w="716"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lang w:val="en-US" w:eastAsia="zh-CN" w:bidi="zh-CN"/>
              </w:rPr>
            </w:pPr>
            <w:r>
              <w:rPr>
                <w:rFonts w:hint="eastAsia" w:ascii="宋体" w:hAnsi="宋体" w:eastAsia="宋体" w:cs="宋体"/>
                <w:kern w:val="2"/>
                <w:sz w:val="21"/>
                <w:szCs w:val="21"/>
                <w:lang w:val="en-US" w:eastAsia="zh-CN"/>
              </w:rPr>
              <w:t>9.5</w:t>
            </w:r>
          </w:p>
        </w:tc>
        <w:tc>
          <w:tcPr>
            <w:tcW w:w="166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lang w:val="en-US" w:eastAsia="zh-CN" w:bidi="zh-CN"/>
              </w:rPr>
            </w:pPr>
            <w:r>
              <w:rPr>
                <w:rFonts w:hint="eastAsia" w:ascii="宋体" w:hAnsi="宋体" w:eastAsia="宋体" w:cs="宋体"/>
                <w:kern w:val="2"/>
                <w:sz w:val="21"/>
                <w:szCs w:val="21"/>
              </w:rPr>
              <w:t>359.0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4" w:hRule="atLeast"/>
          <w:jc w:val="center"/>
        </w:trPr>
        <w:tc>
          <w:tcPr>
            <w:tcW w:w="629"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FF0000"/>
                <w:kern w:val="2"/>
                <w:sz w:val="21"/>
                <w:szCs w:val="21"/>
              </w:rPr>
            </w:pPr>
          </w:p>
        </w:tc>
        <w:tc>
          <w:tcPr>
            <w:tcW w:w="1651" w:type="dxa"/>
            <w:gridSpan w:val="3"/>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lang w:val="zh-CN" w:eastAsia="zh-CN" w:bidi="zh-CN"/>
              </w:rPr>
            </w:pPr>
            <w:r>
              <w:rPr>
                <w:rFonts w:hint="eastAsia" w:ascii="宋体" w:hAnsi="宋体" w:eastAsia="宋体" w:cs="宋体"/>
                <w:kern w:val="2"/>
                <w:sz w:val="21"/>
                <w:szCs w:val="21"/>
                <w:lang w:eastAsia="zh-CN"/>
              </w:rPr>
              <w:t>地磅房</w:t>
            </w:r>
          </w:p>
        </w:tc>
        <w:tc>
          <w:tcPr>
            <w:tcW w:w="2282" w:type="dxa"/>
            <w:gridSpan w:val="2"/>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lang w:val="zh-CN" w:eastAsia="zh-CN" w:bidi="zh-CN"/>
              </w:rPr>
            </w:pPr>
            <w:r>
              <w:rPr>
                <w:rFonts w:hint="eastAsia" w:ascii="宋体" w:hAnsi="宋体" w:eastAsia="宋体" w:cs="宋体"/>
                <w:kern w:val="2"/>
                <w:sz w:val="21"/>
                <w:szCs w:val="21"/>
              </w:rPr>
              <w:t>砖混结构</w:t>
            </w:r>
          </w:p>
        </w:tc>
        <w:tc>
          <w:tcPr>
            <w:tcW w:w="1659" w:type="dxa"/>
            <w:gridSpan w:val="3"/>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lang w:val="zh-CN" w:eastAsia="zh-CN" w:bidi="zh-CN"/>
              </w:rPr>
            </w:pPr>
            <w:r>
              <w:rPr>
                <w:rFonts w:hint="eastAsia" w:ascii="宋体" w:hAnsi="宋体" w:eastAsia="宋体" w:cs="宋体"/>
                <w:kern w:val="2"/>
                <w:sz w:val="21"/>
                <w:szCs w:val="21"/>
              </w:rPr>
              <w:t>二级</w:t>
            </w:r>
          </w:p>
        </w:tc>
        <w:tc>
          <w:tcPr>
            <w:tcW w:w="57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lang w:val="zh-CN" w:eastAsia="zh-CN" w:bidi="zh-CN"/>
              </w:rPr>
            </w:pPr>
            <w:r>
              <w:rPr>
                <w:rFonts w:hint="eastAsia" w:ascii="宋体" w:hAnsi="宋体" w:eastAsia="宋体" w:cs="宋体"/>
                <w:kern w:val="2"/>
                <w:sz w:val="21"/>
                <w:szCs w:val="21"/>
                <w:lang w:eastAsia="zh-CN"/>
              </w:rPr>
              <w:t>一</w:t>
            </w:r>
            <w:r>
              <w:rPr>
                <w:rFonts w:hint="eastAsia" w:ascii="宋体" w:hAnsi="宋体" w:eastAsia="宋体" w:cs="宋体"/>
                <w:kern w:val="2"/>
                <w:sz w:val="21"/>
                <w:szCs w:val="21"/>
              </w:rPr>
              <w:t>层</w:t>
            </w:r>
          </w:p>
        </w:tc>
        <w:tc>
          <w:tcPr>
            <w:tcW w:w="716"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lang w:val="en-US" w:eastAsia="zh-CN" w:bidi="zh-CN"/>
              </w:rPr>
            </w:pPr>
            <w:r>
              <w:rPr>
                <w:rFonts w:hint="eastAsia" w:ascii="宋体" w:hAnsi="宋体" w:eastAsia="宋体" w:cs="宋体"/>
                <w:kern w:val="2"/>
                <w:sz w:val="21"/>
                <w:szCs w:val="21"/>
                <w:lang w:val="en-US" w:eastAsia="zh-CN"/>
              </w:rPr>
              <w:t>3.5</w:t>
            </w:r>
          </w:p>
        </w:tc>
        <w:tc>
          <w:tcPr>
            <w:tcW w:w="1664" w:type="dxa"/>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zh-CN"/>
              </w:rPr>
            </w:pPr>
            <w:r>
              <w:rPr>
                <w:rFonts w:hint="eastAsia" w:ascii="宋体" w:hAnsi="宋体" w:eastAsia="宋体" w:cs="宋体"/>
                <w:kern w:val="2"/>
                <w:sz w:val="21"/>
                <w:szCs w:val="21"/>
                <w:lang w:val="en-US" w:eastAsia="zh-CN"/>
              </w:rPr>
              <w:t>15.8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4" w:hRule="atLeast"/>
          <w:jc w:val="center"/>
        </w:trPr>
        <w:tc>
          <w:tcPr>
            <w:tcW w:w="629"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FF0000"/>
                <w:kern w:val="2"/>
                <w:sz w:val="21"/>
                <w:szCs w:val="21"/>
              </w:rPr>
            </w:pPr>
          </w:p>
        </w:tc>
        <w:tc>
          <w:tcPr>
            <w:tcW w:w="1651" w:type="dxa"/>
            <w:gridSpan w:val="3"/>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lang w:val="zh-CN" w:eastAsia="zh-CN" w:bidi="zh-CN"/>
              </w:rPr>
            </w:pPr>
            <w:r>
              <w:rPr>
                <w:rFonts w:hint="eastAsia" w:ascii="宋体" w:hAnsi="宋体" w:eastAsia="宋体" w:cs="宋体"/>
                <w:kern w:val="2"/>
                <w:sz w:val="21"/>
                <w:szCs w:val="21"/>
                <w:lang w:eastAsia="zh-CN"/>
              </w:rPr>
              <w:t>配电房</w:t>
            </w:r>
          </w:p>
        </w:tc>
        <w:tc>
          <w:tcPr>
            <w:tcW w:w="2282" w:type="dxa"/>
            <w:gridSpan w:val="2"/>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lang w:val="zh-CN" w:eastAsia="zh-CN" w:bidi="zh-CN"/>
              </w:rPr>
            </w:pPr>
            <w:r>
              <w:rPr>
                <w:rFonts w:hint="eastAsia" w:ascii="宋体" w:hAnsi="宋体" w:eastAsia="宋体" w:cs="宋体"/>
                <w:kern w:val="2"/>
                <w:sz w:val="21"/>
                <w:szCs w:val="21"/>
              </w:rPr>
              <w:t>砖混结构</w:t>
            </w:r>
          </w:p>
        </w:tc>
        <w:tc>
          <w:tcPr>
            <w:tcW w:w="1659" w:type="dxa"/>
            <w:gridSpan w:val="3"/>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lang w:val="zh-CN" w:eastAsia="zh-CN" w:bidi="zh-CN"/>
              </w:rPr>
            </w:pPr>
            <w:r>
              <w:rPr>
                <w:rFonts w:hint="eastAsia" w:ascii="宋体" w:hAnsi="宋体" w:eastAsia="宋体" w:cs="宋体"/>
                <w:kern w:val="2"/>
                <w:sz w:val="21"/>
                <w:szCs w:val="21"/>
              </w:rPr>
              <w:t>二级</w:t>
            </w:r>
          </w:p>
        </w:tc>
        <w:tc>
          <w:tcPr>
            <w:tcW w:w="57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lang w:val="zh-CN" w:eastAsia="zh-CN" w:bidi="zh-CN"/>
              </w:rPr>
            </w:pPr>
            <w:r>
              <w:rPr>
                <w:rFonts w:hint="eastAsia" w:ascii="宋体" w:hAnsi="宋体" w:eastAsia="宋体" w:cs="宋体"/>
                <w:kern w:val="2"/>
                <w:sz w:val="21"/>
                <w:szCs w:val="21"/>
              </w:rPr>
              <w:t>一层</w:t>
            </w:r>
          </w:p>
        </w:tc>
        <w:tc>
          <w:tcPr>
            <w:tcW w:w="716"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lang w:val="en-US" w:eastAsia="zh-CN" w:bidi="zh-CN"/>
              </w:rPr>
            </w:pPr>
            <w:r>
              <w:rPr>
                <w:rFonts w:hint="eastAsia" w:ascii="宋体" w:hAnsi="宋体" w:eastAsia="宋体" w:cs="宋体"/>
                <w:kern w:val="2"/>
                <w:sz w:val="21"/>
                <w:szCs w:val="21"/>
                <w:lang w:val="en-US" w:eastAsia="zh-CN"/>
              </w:rPr>
              <w:t>3.5</w:t>
            </w:r>
          </w:p>
        </w:tc>
        <w:tc>
          <w:tcPr>
            <w:tcW w:w="1664" w:type="dxa"/>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kern w:val="2"/>
                <w:sz w:val="21"/>
                <w:szCs w:val="21"/>
                <w:lang w:val="en-US" w:eastAsia="zh-CN" w:bidi="zh-CN"/>
              </w:rPr>
            </w:pPr>
            <w:r>
              <w:rPr>
                <w:rFonts w:hint="eastAsia" w:ascii="宋体" w:hAnsi="宋体" w:eastAsia="宋体" w:cs="宋体"/>
                <w:kern w:val="2"/>
                <w:sz w:val="21"/>
                <w:szCs w:val="21"/>
                <w:lang w:val="en-US" w:eastAsia="zh-CN"/>
              </w:rPr>
              <w:t>29.0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629" w:type="dxa"/>
            <w:vMerge w:val="restart"/>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储罐情况</w:t>
            </w:r>
          </w:p>
        </w:tc>
        <w:tc>
          <w:tcPr>
            <w:tcW w:w="777"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编号</w:t>
            </w:r>
          </w:p>
        </w:tc>
        <w:tc>
          <w:tcPr>
            <w:tcW w:w="1753" w:type="dxa"/>
            <w:gridSpan w:val="3"/>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储存油品名称</w:t>
            </w:r>
          </w:p>
        </w:tc>
        <w:tc>
          <w:tcPr>
            <w:tcW w:w="3062" w:type="dxa"/>
            <w:gridSpan w:val="4"/>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单罐容积（m</w:t>
            </w:r>
            <w:r>
              <w:rPr>
                <w:rFonts w:hint="eastAsia" w:ascii="宋体" w:hAnsi="宋体" w:eastAsia="宋体" w:cs="宋体"/>
                <w:color w:val="auto"/>
                <w:kern w:val="2"/>
                <w:sz w:val="21"/>
                <w:szCs w:val="21"/>
                <w:vertAlign w:val="superscript"/>
              </w:rPr>
              <w:t>3</w:t>
            </w:r>
            <w:r>
              <w:rPr>
                <w:rFonts w:hint="eastAsia" w:ascii="宋体" w:hAnsi="宋体" w:eastAsia="宋体" w:cs="宋体"/>
                <w:color w:val="auto"/>
                <w:kern w:val="2"/>
                <w:sz w:val="21"/>
                <w:szCs w:val="21"/>
              </w:rPr>
              <w:t>）</w:t>
            </w:r>
          </w:p>
        </w:tc>
        <w:tc>
          <w:tcPr>
            <w:tcW w:w="1294" w:type="dxa"/>
            <w:gridSpan w:val="2"/>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材 质</w:t>
            </w:r>
          </w:p>
        </w:tc>
        <w:tc>
          <w:tcPr>
            <w:tcW w:w="166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形式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2" w:hRule="atLeast"/>
          <w:jc w:val="center"/>
        </w:trPr>
        <w:tc>
          <w:tcPr>
            <w:tcW w:w="629" w:type="dxa"/>
            <w:vMerge w:val="continue"/>
            <w:tcBorders>
              <w:top w:val="nil"/>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c>
          <w:tcPr>
            <w:tcW w:w="777" w:type="dxa"/>
            <w:vMerge w:val="restart"/>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w:t>
            </w:r>
          </w:p>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c>
          <w:tcPr>
            <w:tcW w:w="1753" w:type="dxa"/>
            <w:gridSpan w:val="3"/>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92#汽油</w:t>
            </w:r>
          </w:p>
        </w:tc>
        <w:tc>
          <w:tcPr>
            <w:tcW w:w="3062" w:type="dxa"/>
            <w:gridSpan w:val="4"/>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val="en-US" w:eastAsia="zh-CN"/>
              </w:rPr>
              <w:t>5</w:t>
            </w:r>
            <w:r>
              <w:rPr>
                <w:rFonts w:hint="eastAsia" w:ascii="宋体" w:hAnsi="宋体" w:eastAsia="宋体" w:cs="宋体"/>
                <w:color w:val="auto"/>
                <w:kern w:val="2"/>
                <w:sz w:val="21"/>
                <w:szCs w:val="21"/>
              </w:rPr>
              <w:t>0×1</w:t>
            </w:r>
          </w:p>
        </w:tc>
        <w:tc>
          <w:tcPr>
            <w:tcW w:w="1294" w:type="dxa"/>
            <w:gridSpan w:val="2"/>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en-US"/>
              </w:rPr>
            </w:pPr>
            <w:r>
              <w:rPr>
                <w:rFonts w:hint="eastAsia" w:ascii="宋体" w:hAnsi="宋体" w:eastAsia="宋体" w:cs="宋体"/>
                <w:color w:val="auto"/>
                <w:kern w:val="2"/>
                <w:sz w:val="21"/>
                <w:szCs w:val="21"/>
              </w:rPr>
              <w:t>S-F双层油罐</w:t>
            </w:r>
          </w:p>
        </w:tc>
        <w:tc>
          <w:tcPr>
            <w:tcW w:w="1664" w:type="dxa"/>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埋地S/F 双层罐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2" w:hRule="atLeast"/>
          <w:jc w:val="center"/>
        </w:trPr>
        <w:tc>
          <w:tcPr>
            <w:tcW w:w="629" w:type="dxa"/>
            <w:vMerge w:val="continue"/>
            <w:tcBorders>
              <w:top w:val="nil"/>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c>
          <w:tcPr>
            <w:tcW w:w="777"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c>
          <w:tcPr>
            <w:tcW w:w="1753" w:type="dxa"/>
            <w:gridSpan w:val="3"/>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95#汽油</w:t>
            </w:r>
          </w:p>
        </w:tc>
        <w:tc>
          <w:tcPr>
            <w:tcW w:w="3062" w:type="dxa"/>
            <w:gridSpan w:val="4"/>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val="en-US" w:eastAsia="zh-CN"/>
              </w:rPr>
              <w:t>3</w:t>
            </w:r>
            <w:r>
              <w:rPr>
                <w:rFonts w:hint="eastAsia" w:ascii="宋体" w:hAnsi="宋体" w:eastAsia="宋体" w:cs="宋体"/>
                <w:color w:val="auto"/>
                <w:kern w:val="2"/>
                <w:sz w:val="21"/>
                <w:szCs w:val="21"/>
              </w:rPr>
              <w:t>0×1</w:t>
            </w:r>
          </w:p>
        </w:tc>
        <w:tc>
          <w:tcPr>
            <w:tcW w:w="1294" w:type="dxa"/>
            <w:gridSpan w:val="2"/>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S-F双层油罐</w:t>
            </w:r>
          </w:p>
        </w:tc>
        <w:tc>
          <w:tcPr>
            <w:tcW w:w="1664" w:type="dxa"/>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埋地S/F 双层罐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98" w:hRule="atLeast"/>
          <w:jc w:val="center"/>
        </w:trPr>
        <w:tc>
          <w:tcPr>
            <w:tcW w:w="629" w:type="dxa"/>
            <w:vMerge w:val="continue"/>
            <w:tcBorders>
              <w:top w:val="nil"/>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c>
          <w:tcPr>
            <w:tcW w:w="777"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c>
          <w:tcPr>
            <w:tcW w:w="1753" w:type="dxa"/>
            <w:gridSpan w:val="3"/>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98#汽油</w:t>
            </w:r>
          </w:p>
        </w:tc>
        <w:tc>
          <w:tcPr>
            <w:tcW w:w="3062" w:type="dxa"/>
            <w:gridSpan w:val="4"/>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val="en-US" w:eastAsia="zh-CN"/>
              </w:rPr>
              <w:t>15</w:t>
            </w:r>
            <w:r>
              <w:rPr>
                <w:rFonts w:hint="eastAsia" w:ascii="宋体" w:hAnsi="宋体" w:eastAsia="宋体" w:cs="宋体"/>
                <w:color w:val="auto"/>
                <w:kern w:val="2"/>
                <w:sz w:val="21"/>
                <w:szCs w:val="21"/>
              </w:rPr>
              <w:t>×1</w:t>
            </w:r>
          </w:p>
        </w:tc>
        <w:tc>
          <w:tcPr>
            <w:tcW w:w="1294" w:type="dxa"/>
            <w:gridSpan w:val="2"/>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en-US"/>
              </w:rPr>
            </w:pPr>
            <w:r>
              <w:rPr>
                <w:rFonts w:hint="eastAsia" w:ascii="宋体" w:hAnsi="宋体" w:eastAsia="宋体" w:cs="宋体"/>
                <w:color w:val="auto"/>
                <w:kern w:val="2"/>
                <w:sz w:val="21"/>
                <w:szCs w:val="21"/>
              </w:rPr>
              <w:t>S-F双层油罐</w:t>
            </w:r>
          </w:p>
        </w:tc>
        <w:tc>
          <w:tcPr>
            <w:tcW w:w="1664" w:type="dxa"/>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埋地S/F 双层罐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 w:hRule="atLeast"/>
          <w:jc w:val="center"/>
        </w:trPr>
        <w:tc>
          <w:tcPr>
            <w:tcW w:w="629" w:type="dxa"/>
            <w:vMerge w:val="continue"/>
            <w:tcBorders>
              <w:top w:val="nil"/>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c>
          <w:tcPr>
            <w:tcW w:w="777"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w:t>
            </w:r>
          </w:p>
        </w:tc>
        <w:tc>
          <w:tcPr>
            <w:tcW w:w="1753" w:type="dxa"/>
            <w:gridSpan w:val="3"/>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0#柴油</w:t>
            </w:r>
          </w:p>
        </w:tc>
        <w:tc>
          <w:tcPr>
            <w:tcW w:w="3062" w:type="dxa"/>
            <w:gridSpan w:val="4"/>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val="en-US" w:eastAsia="zh-CN"/>
              </w:rPr>
              <w:t>5</w:t>
            </w:r>
            <w:r>
              <w:rPr>
                <w:rFonts w:hint="eastAsia" w:ascii="宋体" w:hAnsi="宋体" w:eastAsia="宋体" w:cs="宋体"/>
                <w:color w:val="auto"/>
                <w:kern w:val="2"/>
                <w:sz w:val="21"/>
                <w:szCs w:val="21"/>
              </w:rPr>
              <w:t>0×1</w:t>
            </w:r>
          </w:p>
        </w:tc>
        <w:tc>
          <w:tcPr>
            <w:tcW w:w="1294" w:type="dxa"/>
            <w:gridSpan w:val="2"/>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S-F双层油罐</w:t>
            </w:r>
          </w:p>
        </w:tc>
        <w:tc>
          <w:tcPr>
            <w:tcW w:w="1664" w:type="dxa"/>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埋地S/F 双层罐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406" w:type="dxa"/>
            <w:gridSpan w:val="2"/>
            <w:vMerge w:val="restart"/>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主要消防安全设施工、器具配备情况</w:t>
            </w:r>
          </w:p>
        </w:tc>
        <w:tc>
          <w:tcPr>
            <w:tcW w:w="1753" w:type="dxa"/>
            <w:gridSpan w:val="3"/>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名 称</w:t>
            </w:r>
          </w:p>
        </w:tc>
        <w:tc>
          <w:tcPr>
            <w:tcW w:w="1403"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型号、规格</w:t>
            </w:r>
          </w:p>
        </w:tc>
        <w:tc>
          <w:tcPr>
            <w:tcW w:w="872" w:type="dxa"/>
            <w:gridSpan w:val="2"/>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数量</w:t>
            </w:r>
          </w:p>
        </w:tc>
        <w:tc>
          <w:tcPr>
            <w:tcW w:w="787"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状况</w:t>
            </w:r>
          </w:p>
        </w:tc>
        <w:tc>
          <w:tcPr>
            <w:tcW w:w="2958" w:type="dxa"/>
            <w:gridSpan w:val="3"/>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406" w:type="dxa"/>
            <w:gridSpan w:val="2"/>
            <w:vMerge w:val="continue"/>
            <w:tcBorders>
              <w:top w:val="nil"/>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c>
          <w:tcPr>
            <w:tcW w:w="1753" w:type="dxa"/>
            <w:gridSpan w:val="3"/>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干粉灭火器</w:t>
            </w:r>
          </w:p>
        </w:tc>
        <w:tc>
          <w:tcPr>
            <w:tcW w:w="1403"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val="en-US" w:eastAsia="zh-CN"/>
              </w:rPr>
              <w:t>4</w:t>
            </w:r>
            <w:r>
              <w:rPr>
                <w:rFonts w:hint="eastAsia" w:ascii="宋体" w:hAnsi="宋体" w:eastAsia="宋体" w:cs="宋体"/>
                <w:color w:val="auto"/>
                <w:kern w:val="2"/>
                <w:sz w:val="21"/>
                <w:szCs w:val="21"/>
              </w:rPr>
              <w:t>kg</w:t>
            </w:r>
          </w:p>
        </w:tc>
        <w:tc>
          <w:tcPr>
            <w:tcW w:w="872" w:type="dxa"/>
            <w:gridSpan w:val="2"/>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val="en-US"/>
              </w:rPr>
              <w:t>1</w:t>
            </w:r>
            <w:r>
              <w:rPr>
                <w:rFonts w:hint="eastAsia" w:ascii="宋体" w:hAnsi="宋体" w:eastAsia="宋体" w:cs="宋体"/>
                <w:color w:val="auto"/>
                <w:kern w:val="2"/>
                <w:sz w:val="21"/>
                <w:szCs w:val="21"/>
                <w:lang w:val="en-US" w:eastAsia="zh-CN"/>
              </w:rPr>
              <w:t>0</w:t>
            </w:r>
            <w:r>
              <w:rPr>
                <w:rFonts w:hint="eastAsia" w:ascii="宋体" w:hAnsi="宋体" w:eastAsia="宋体" w:cs="宋体"/>
                <w:color w:val="auto"/>
                <w:kern w:val="2"/>
                <w:sz w:val="21"/>
                <w:szCs w:val="21"/>
              </w:rPr>
              <w:t>个</w:t>
            </w:r>
          </w:p>
        </w:tc>
        <w:tc>
          <w:tcPr>
            <w:tcW w:w="787"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良好</w:t>
            </w:r>
          </w:p>
        </w:tc>
        <w:tc>
          <w:tcPr>
            <w:tcW w:w="2958" w:type="dxa"/>
            <w:gridSpan w:val="3"/>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加油机旁、站房、配电房等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406" w:type="dxa"/>
            <w:gridSpan w:val="2"/>
            <w:vMerge w:val="continue"/>
            <w:tcBorders>
              <w:top w:val="nil"/>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c>
          <w:tcPr>
            <w:tcW w:w="1753" w:type="dxa"/>
            <w:gridSpan w:val="3"/>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干粉灭火器</w:t>
            </w:r>
          </w:p>
        </w:tc>
        <w:tc>
          <w:tcPr>
            <w:tcW w:w="1403"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en-US"/>
              </w:rPr>
            </w:pPr>
            <w:r>
              <w:rPr>
                <w:rFonts w:hint="eastAsia" w:ascii="宋体" w:hAnsi="宋体" w:eastAsia="宋体" w:cs="宋体"/>
                <w:color w:val="auto"/>
                <w:kern w:val="2"/>
                <w:sz w:val="21"/>
                <w:szCs w:val="21"/>
                <w:lang w:val="en-US"/>
              </w:rPr>
              <w:t>8kg</w:t>
            </w:r>
          </w:p>
        </w:tc>
        <w:tc>
          <w:tcPr>
            <w:tcW w:w="872" w:type="dxa"/>
            <w:gridSpan w:val="2"/>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8个</w:t>
            </w:r>
          </w:p>
        </w:tc>
        <w:tc>
          <w:tcPr>
            <w:tcW w:w="787"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良好</w:t>
            </w:r>
          </w:p>
        </w:tc>
        <w:tc>
          <w:tcPr>
            <w:tcW w:w="2958" w:type="dxa"/>
            <w:gridSpan w:val="3"/>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rPr>
              <w:t>埋地油罐区</w:t>
            </w:r>
            <w:r>
              <w:rPr>
                <w:rFonts w:hint="eastAsia" w:ascii="宋体" w:hAnsi="宋体" w:eastAsia="宋体" w:cs="宋体"/>
                <w:color w:val="auto"/>
                <w:kern w:val="2"/>
                <w:sz w:val="21"/>
                <w:szCs w:val="21"/>
                <w:lang w:eastAsia="zh-CN"/>
              </w:rPr>
              <w:t>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406" w:type="dxa"/>
            <w:gridSpan w:val="2"/>
            <w:vMerge w:val="continue"/>
            <w:tcBorders>
              <w:top w:val="nil"/>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c>
          <w:tcPr>
            <w:tcW w:w="1753" w:type="dxa"/>
            <w:gridSpan w:val="3"/>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eastAsia="zh-CN"/>
              </w:rPr>
              <w:t>手推式</w:t>
            </w:r>
            <w:r>
              <w:rPr>
                <w:rFonts w:hint="eastAsia" w:ascii="宋体" w:hAnsi="宋体" w:eastAsia="宋体" w:cs="宋体"/>
                <w:color w:val="auto"/>
                <w:kern w:val="2"/>
                <w:sz w:val="21"/>
                <w:szCs w:val="21"/>
              </w:rPr>
              <w:t>干粉灭火器</w:t>
            </w:r>
          </w:p>
        </w:tc>
        <w:tc>
          <w:tcPr>
            <w:tcW w:w="1403"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35kg</w:t>
            </w:r>
          </w:p>
        </w:tc>
        <w:tc>
          <w:tcPr>
            <w:tcW w:w="872" w:type="dxa"/>
            <w:gridSpan w:val="2"/>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val="en-US" w:eastAsia="zh-CN"/>
              </w:rPr>
              <w:t>2</w:t>
            </w:r>
            <w:r>
              <w:rPr>
                <w:rFonts w:hint="eastAsia" w:ascii="宋体" w:hAnsi="宋体" w:eastAsia="宋体" w:cs="宋体"/>
                <w:color w:val="auto"/>
                <w:kern w:val="2"/>
                <w:sz w:val="21"/>
                <w:szCs w:val="21"/>
              </w:rPr>
              <w:t>个</w:t>
            </w:r>
          </w:p>
        </w:tc>
        <w:tc>
          <w:tcPr>
            <w:tcW w:w="787"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良好</w:t>
            </w:r>
          </w:p>
        </w:tc>
        <w:tc>
          <w:tcPr>
            <w:tcW w:w="2958" w:type="dxa"/>
            <w:gridSpan w:val="3"/>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rPr>
              <w:t>埋地油罐区、</w:t>
            </w:r>
            <w:r>
              <w:rPr>
                <w:rFonts w:hint="eastAsia" w:ascii="宋体" w:hAnsi="宋体" w:eastAsia="宋体" w:cs="宋体"/>
                <w:color w:val="auto"/>
                <w:kern w:val="2"/>
                <w:sz w:val="21"/>
                <w:szCs w:val="21"/>
                <w:lang w:eastAsia="zh-CN"/>
              </w:rPr>
              <w:t>加油机旁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4" w:hRule="atLeast"/>
          <w:jc w:val="center"/>
        </w:trPr>
        <w:tc>
          <w:tcPr>
            <w:tcW w:w="1406" w:type="dxa"/>
            <w:gridSpan w:val="2"/>
            <w:vMerge w:val="continue"/>
            <w:tcBorders>
              <w:top w:val="nil"/>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c>
          <w:tcPr>
            <w:tcW w:w="1753" w:type="dxa"/>
            <w:gridSpan w:val="3"/>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灭火毯</w:t>
            </w:r>
          </w:p>
        </w:tc>
        <w:tc>
          <w:tcPr>
            <w:tcW w:w="1403"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1</w:t>
            </w:r>
            <w:r>
              <w:rPr>
                <w:rFonts w:hint="eastAsia" w:ascii="宋体" w:hAnsi="宋体" w:eastAsia="宋体" w:cs="宋体"/>
                <w:color w:val="auto"/>
                <w:kern w:val="2"/>
                <w:sz w:val="21"/>
                <w:szCs w:val="21"/>
                <w:lang w:val="en-US" w:eastAsia="zh-CN"/>
              </w:rPr>
              <w:t>.5</w:t>
            </w:r>
            <w:r>
              <w:rPr>
                <w:rFonts w:hint="eastAsia" w:ascii="宋体" w:hAnsi="宋体" w:eastAsia="宋体" w:cs="宋体"/>
                <w:color w:val="auto"/>
                <w:kern w:val="2"/>
                <w:sz w:val="21"/>
                <w:szCs w:val="21"/>
              </w:rPr>
              <w:t>m×1</w:t>
            </w:r>
            <w:r>
              <w:rPr>
                <w:rFonts w:hint="eastAsia" w:ascii="宋体" w:hAnsi="宋体" w:eastAsia="宋体" w:cs="宋体"/>
                <w:color w:val="auto"/>
                <w:kern w:val="2"/>
                <w:sz w:val="21"/>
                <w:szCs w:val="21"/>
                <w:lang w:val="en-US" w:eastAsia="zh-CN"/>
              </w:rPr>
              <w:t>.5</w:t>
            </w:r>
            <w:r>
              <w:rPr>
                <w:rFonts w:hint="eastAsia" w:ascii="宋体" w:hAnsi="宋体" w:eastAsia="宋体" w:cs="宋体"/>
                <w:color w:val="auto"/>
                <w:kern w:val="2"/>
                <w:sz w:val="21"/>
                <w:szCs w:val="21"/>
              </w:rPr>
              <w:t>m</w:t>
            </w:r>
          </w:p>
        </w:tc>
        <w:tc>
          <w:tcPr>
            <w:tcW w:w="872" w:type="dxa"/>
            <w:gridSpan w:val="2"/>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5块</w:t>
            </w:r>
          </w:p>
        </w:tc>
        <w:tc>
          <w:tcPr>
            <w:tcW w:w="787"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良好</w:t>
            </w:r>
          </w:p>
        </w:tc>
        <w:tc>
          <w:tcPr>
            <w:tcW w:w="2958" w:type="dxa"/>
            <w:gridSpan w:val="3"/>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消防器材间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406" w:type="dxa"/>
            <w:gridSpan w:val="2"/>
            <w:vMerge w:val="continue"/>
            <w:tcBorders>
              <w:top w:val="nil"/>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1753" w:type="dxa"/>
            <w:gridSpan w:val="3"/>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消防沙</w:t>
            </w:r>
          </w:p>
        </w:tc>
        <w:tc>
          <w:tcPr>
            <w:tcW w:w="1403"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val="en-US" w:eastAsia="zh-CN"/>
              </w:rPr>
              <w:t>2</w:t>
            </w:r>
            <w:r>
              <w:rPr>
                <w:rFonts w:hint="eastAsia" w:ascii="宋体" w:hAnsi="宋体" w:eastAsia="宋体" w:cs="宋体"/>
                <w:color w:val="auto"/>
                <w:kern w:val="2"/>
                <w:sz w:val="21"/>
                <w:szCs w:val="21"/>
              </w:rPr>
              <w:t>m</w:t>
            </w:r>
            <w:r>
              <w:rPr>
                <w:rFonts w:hint="eastAsia" w:ascii="宋体" w:hAnsi="宋体" w:eastAsia="宋体" w:cs="宋体"/>
                <w:color w:val="auto"/>
                <w:kern w:val="2"/>
                <w:sz w:val="21"/>
                <w:szCs w:val="21"/>
                <w:vertAlign w:val="superscript"/>
              </w:rPr>
              <w:t>3</w:t>
            </w:r>
          </w:p>
        </w:tc>
        <w:tc>
          <w:tcPr>
            <w:tcW w:w="872" w:type="dxa"/>
            <w:gridSpan w:val="2"/>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val="en-US" w:eastAsia="zh-CN"/>
              </w:rPr>
              <w:t>1</w:t>
            </w:r>
          </w:p>
        </w:tc>
        <w:tc>
          <w:tcPr>
            <w:tcW w:w="787"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良好</w:t>
            </w:r>
          </w:p>
        </w:tc>
        <w:tc>
          <w:tcPr>
            <w:tcW w:w="2958" w:type="dxa"/>
            <w:gridSpan w:val="3"/>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消防沙池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4779" w:type="dxa"/>
            <w:gridSpan w:val="7"/>
            <w:vAlign w:val="center"/>
          </w:tcPr>
          <w:p>
            <w:pPr>
              <w:keepNext w:val="0"/>
              <w:keepLines w:val="0"/>
              <w:suppressLineNumbers w:val="0"/>
              <w:spacing w:before="0" w:beforeAutospacing="0" w:after="0" w:afterAutospacing="0"/>
              <w:ind w:left="0" w:right="0" w:firstLine="210" w:firstLineChars="100"/>
              <w:jc w:val="both"/>
              <w:rPr>
                <w:rFonts w:hint="eastAsia" w:ascii="宋体" w:hAnsi="宋体" w:eastAsia="宋体" w:cs="宋体"/>
                <w:kern w:val="2"/>
                <w:sz w:val="21"/>
                <w:szCs w:val="21"/>
              </w:rPr>
            </w:pPr>
            <w:r>
              <w:rPr>
                <w:rFonts w:hint="eastAsia" w:ascii="宋体" w:hAnsi="宋体" w:eastAsia="宋体" w:cs="宋体"/>
                <w:kern w:val="2"/>
                <w:sz w:val="21"/>
                <w:szCs w:val="21"/>
              </w:rPr>
              <w:t>加油站法定代表人或负责人签字：</w:t>
            </w:r>
          </w:p>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201</w:t>
            </w:r>
            <w:r>
              <w:rPr>
                <w:rFonts w:hint="eastAsia" w:ascii="宋体" w:hAnsi="宋体" w:eastAsia="宋体" w:cs="宋体"/>
                <w:kern w:val="2"/>
                <w:sz w:val="21"/>
                <w:szCs w:val="21"/>
                <w:lang w:val="en-US"/>
              </w:rPr>
              <w:t>9</w:t>
            </w:r>
            <w:r>
              <w:rPr>
                <w:rFonts w:hint="eastAsia" w:ascii="宋体" w:hAnsi="宋体" w:eastAsia="宋体" w:cs="宋体"/>
                <w:kern w:val="2"/>
                <w:sz w:val="21"/>
                <w:szCs w:val="21"/>
              </w:rPr>
              <w:t xml:space="preserve"> 年</w:t>
            </w:r>
            <w:r>
              <w:rPr>
                <w:rFonts w:hint="eastAsia" w:ascii="宋体" w:hAnsi="宋体" w:eastAsia="宋体" w:cs="宋体"/>
                <w:kern w:val="2"/>
                <w:sz w:val="21"/>
                <w:szCs w:val="21"/>
                <w:lang w:val="en-US"/>
              </w:rPr>
              <w:t xml:space="preserve">  </w:t>
            </w:r>
            <w:r>
              <w:rPr>
                <w:rFonts w:hint="eastAsia" w:ascii="宋体" w:hAnsi="宋体" w:eastAsia="宋体" w:cs="宋体"/>
                <w:kern w:val="2"/>
                <w:sz w:val="21"/>
                <w:szCs w:val="21"/>
                <w:lang w:val="en-US" w:eastAsia="zh-CN"/>
              </w:rPr>
              <w:t xml:space="preserve">  </w:t>
            </w:r>
            <w:r>
              <w:rPr>
                <w:rFonts w:hint="eastAsia" w:ascii="宋体" w:hAnsi="宋体" w:eastAsia="宋体" w:cs="宋体"/>
                <w:kern w:val="2"/>
                <w:sz w:val="21"/>
                <w:szCs w:val="21"/>
              </w:rPr>
              <w:t>月</w:t>
            </w:r>
            <w:r>
              <w:rPr>
                <w:rFonts w:hint="eastAsia" w:ascii="宋体" w:hAnsi="宋体" w:eastAsia="宋体" w:cs="宋体"/>
                <w:kern w:val="2"/>
                <w:sz w:val="21"/>
                <w:szCs w:val="21"/>
                <w:lang w:val="en-US"/>
              </w:rPr>
              <w:t xml:space="preserve">  </w:t>
            </w:r>
            <w:r>
              <w:rPr>
                <w:rFonts w:hint="eastAsia" w:ascii="宋体" w:hAnsi="宋体" w:eastAsia="宋体" w:cs="宋体"/>
                <w:kern w:val="2"/>
                <w:sz w:val="21"/>
                <w:szCs w:val="21"/>
                <w:lang w:val="en-US" w:eastAsia="zh-CN"/>
              </w:rPr>
              <w:t xml:space="preserve">   </w:t>
            </w:r>
            <w:r>
              <w:rPr>
                <w:rFonts w:hint="eastAsia" w:ascii="宋体" w:hAnsi="宋体" w:eastAsia="宋体" w:cs="宋体"/>
                <w:kern w:val="2"/>
                <w:sz w:val="21"/>
                <w:szCs w:val="21"/>
              </w:rPr>
              <w:t>日</w:t>
            </w:r>
          </w:p>
        </w:tc>
        <w:tc>
          <w:tcPr>
            <w:tcW w:w="4400" w:type="dxa"/>
            <w:gridSpan w:val="5"/>
            <w:vAlign w:val="center"/>
          </w:tcPr>
          <w:p>
            <w:pPr>
              <w:keepNext w:val="0"/>
              <w:keepLines w:val="0"/>
              <w:suppressLineNumbers w:val="0"/>
              <w:spacing w:before="0" w:beforeAutospacing="0" w:after="0" w:afterAutospacing="0"/>
              <w:ind w:left="0" w:right="0" w:firstLine="210" w:firstLineChars="100"/>
              <w:jc w:val="both"/>
              <w:rPr>
                <w:rFonts w:hint="eastAsia" w:ascii="宋体" w:hAnsi="宋体" w:eastAsia="宋体" w:cs="宋体"/>
                <w:kern w:val="2"/>
                <w:sz w:val="21"/>
                <w:szCs w:val="21"/>
              </w:rPr>
            </w:pPr>
            <w:r>
              <w:rPr>
                <w:rFonts w:hint="eastAsia" w:ascii="宋体" w:hAnsi="宋体" w:eastAsia="宋体" w:cs="宋体"/>
                <w:kern w:val="2"/>
                <w:sz w:val="21"/>
                <w:szCs w:val="21"/>
              </w:rPr>
              <w:t>加油站（盖章）：</w:t>
            </w:r>
          </w:p>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201</w:t>
            </w:r>
            <w:r>
              <w:rPr>
                <w:rFonts w:hint="eastAsia" w:ascii="宋体" w:hAnsi="宋体" w:eastAsia="宋体" w:cs="宋体"/>
                <w:kern w:val="2"/>
                <w:sz w:val="21"/>
                <w:szCs w:val="21"/>
                <w:lang w:val="en-US"/>
              </w:rPr>
              <w:t>9</w:t>
            </w:r>
            <w:r>
              <w:rPr>
                <w:rFonts w:hint="eastAsia" w:ascii="宋体" w:hAnsi="宋体" w:eastAsia="宋体" w:cs="宋体"/>
                <w:kern w:val="2"/>
                <w:sz w:val="21"/>
                <w:szCs w:val="21"/>
              </w:rPr>
              <w:t>年</w:t>
            </w:r>
            <w:r>
              <w:rPr>
                <w:rFonts w:hint="eastAsia" w:ascii="宋体" w:hAnsi="宋体" w:eastAsia="宋体" w:cs="宋体"/>
                <w:kern w:val="2"/>
                <w:sz w:val="21"/>
                <w:szCs w:val="21"/>
                <w:lang w:val="en-US"/>
              </w:rPr>
              <w:t xml:space="preserve">  </w:t>
            </w:r>
            <w:r>
              <w:rPr>
                <w:rFonts w:hint="eastAsia" w:ascii="宋体" w:hAnsi="宋体" w:eastAsia="宋体" w:cs="宋体"/>
                <w:kern w:val="2"/>
                <w:sz w:val="21"/>
                <w:szCs w:val="21"/>
                <w:lang w:val="en-US" w:eastAsia="zh-CN"/>
              </w:rPr>
              <w:t xml:space="preserve">  </w:t>
            </w:r>
            <w:r>
              <w:rPr>
                <w:rFonts w:hint="eastAsia" w:ascii="宋体" w:hAnsi="宋体" w:eastAsia="宋体" w:cs="宋体"/>
                <w:kern w:val="2"/>
                <w:sz w:val="21"/>
                <w:szCs w:val="21"/>
              </w:rPr>
              <w:t>月</w:t>
            </w:r>
            <w:r>
              <w:rPr>
                <w:rFonts w:hint="eastAsia" w:ascii="宋体" w:hAnsi="宋体" w:eastAsia="宋体" w:cs="宋体"/>
                <w:kern w:val="2"/>
                <w:sz w:val="21"/>
                <w:szCs w:val="21"/>
                <w:lang w:val="en-US"/>
              </w:rPr>
              <w:t xml:space="preserve">  </w:t>
            </w:r>
            <w:r>
              <w:rPr>
                <w:rFonts w:hint="eastAsia" w:ascii="宋体" w:hAnsi="宋体" w:eastAsia="宋体" w:cs="宋体"/>
                <w:kern w:val="2"/>
                <w:sz w:val="21"/>
                <w:szCs w:val="21"/>
                <w:lang w:val="en-US" w:eastAsia="zh-CN"/>
              </w:rPr>
              <w:t xml:space="preserve">   </w:t>
            </w:r>
            <w:r>
              <w:rPr>
                <w:rFonts w:hint="eastAsia" w:ascii="宋体" w:hAnsi="宋体" w:eastAsia="宋体" w:cs="宋体"/>
                <w:kern w:val="2"/>
                <w:sz w:val="21"/>
                <w:szCs w:val="21"/>
              </w:rPr>
              <w:t>日</w:t>
            </w:r>
          </w:p>
        </w:tc>
      </w:tr>
    </w:tbl>
    <w:p>
      <w:pPr>
        <w:rPr>
          <w:rFonts w:hint="eastAsia" w:ascii="宋体" w:hAnsi="宋体" w:eastAsia="宋体" w:cs="宋体"/>
          <w:sz w:val="21"/>
        </w:rPr>
        <w:sectPr>
          <w:pgSz w:w="11910" w:h="16840"/>
          <w:pgMar w:top="1417" w:right="1134" w:bottom="1134" w:left="1587" w:header="720" w:footer="720" w:gutter="0"/>
          <w:pgNumType w:fmt="decimal"/>
          <w:cols w:space="0" w:num="1"/>
        </w:sectPr>
      </w:pPr>
    </w:p>
    <w:p>
      <w:pPr>
        <w:pStyle w:val="3"/>
        <w:tabs>
          <w:tab w:val="left" w:pos="426"/>
        </w:tabs>
        <w:spacing w:before="240" w:beforeLines="100" w:after="240" w:afterLines="100"/>
        <w:ind w:firstLine="0"/>
        <w:jc w:val="center"/>
        <w:rPr>
          <w:rFonts w:hint="eastAsia" w:ascii="宋体" w:hAnsi="宋体" w:eastAsia="宋体" w:cs="宋体"/>
          <w:b/>
          <w:bCs/>
        </w:rPr>
      </w:pPr>
      <w:bookmarkStart w:id="150" w:name="_Toc1482_WPSOffice_Level2"/>
      <w:bookmarkStart w:id="151" w:name="_Toc4549_WPSOffice_Level2"/>
      <w:bookmarkStart w:id="152" w:name="_Toc7974"/>
      <w:bookmarkStart w:id="153" w:name="_Toc13375_WPSOffice_Level2"/>
      <w:bookmarkStart w:id="154" w:name="_Toc11969"/>
      <w:bookmarkStart w:id="155" w:name="_Toc12014"/>
      <w:r>
        <w:rPr>
          <w:rFonts w:hint="eastAsia" w:ascii="宋体" w:hAnsi="宋体" w:eastAsia="宋体" w:cs="宋体"/>
          <w:b/>
          <w:bCs/>
          <w:lang w:val="en-US"/>
        </w:rPr>
        <w:t xml:space="preserve">2.2 </w:t>
      </w:r>
      <w:r>
        <w:rPr>
          <w:rFonts w:hint="eastAsia" w:ascii="宋体" w:hAnsi="宋体" w:eastAsia="宋体" w:cs="宋体"/>
          <w:b/>
          <w:bCs/>
        </w:rPr>
        <w:t>项目所在地及周围环境状况</w:t>
      </w:r>
      <w:bookmarkEnd w:id="150"/>
      <w:bookmarkEnd w:id="151"/>
      <w:bookmarkEnd w:id="152"/>
      <w:bookmarkEnd w:id="153"/>
      <w:bookmarkEnd w:id="154"/>
      <w:bookmarkEnd w:id="155"/>
    </w:p>
    <w:p>
      <w:pPr>
        <w:pStyle w:val="4"/>
        <w:spacing w:before="240" w:beforeLines="100" w:after="120" w:afterLines="50" w:line="240" w:lineRule="auto"/>
        <w:ind w:firstLine="562" w:firstLineChars="200"/>
        <w:rPr>
          <w:rFonts w:hint="eastAsia" w:ascii="宋体" w:hAnsi="宋体" w:eastAsia="宋体" w:cs="宋体"/>
          <w:sz w:val="28"/>
          <w:szCs w:val="28"/>
        </w:rPr>
      </w:pPr>
      <w:bookmarkStart w:id="156" w:name="_Toc26161_WPSOffice_Level3"/>
      <w:bookmarkStart w:id="157" w:name="_Toc24714_WPSOffice_Level3"/>
      <w:r>
        <w:rPr>
          <w:rFonts w:hint="eastAsia" w:ascii="宋体" w:hAnsi="宋体" w:eastAsia="宋体" w:cs="宋体"/>
          <w:sz w:val="28"/>
          <w:szCs w:val="28"/>
          <w:lang w:val="en-US"/>
        </w:rPr>
        <w:t xml:space="preserve">2.2.1 </w:t>
      </w:r>
      <w:r>
        <w:rPr>
          <w:rFonts w:hint="eastAsia" w:ascii="宋体" w:hAnsi="宋体" w:eastAsia="宋体" w:cs="宋体"/>
          <w:sz w:val="28"/>
          <w:szCs w:val="28"/>
        </w:rPr>
        <w:t>加油站地理位置及周边情况</w:t>
      </w:r>
      <w:bookmarkEnd w:id="156"/>
      <w:bookmarkEnd w:id="157"/>
    </w:p>
    <w:p>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横坑加油站位于广东省东莞市寮步镇莞樟路寮步段192号101室。加油站北面为</w:t>
      </w:r>
      <w:r>
        <w:rPr>
          <w:rFonts w:hint="eastAsia" w:ascii="宋体" w:hAnsi="宋体" w:eastAsia="宋体" w:cs="宋体"/>
          <w:sz w:val="28"/>
          <w:szCs w:val="28"/>
          <w:lang w:eastAsia="zh-CN"/>
        </w:rPr>
        <w:t>站内</w:t>
      </w:r>
      <w:r>
        <w:rPr>
          <w:rFonts w:hint="eastAsia" w:ascii="宋体" w:hAnsi="宋体" w:eastAsia="宋体" w:cs="宋体"/>
          <w:sz w:val="28"/>
          <w:szCs w:val="28"/>
        </w:rPr>
        <w:t>地磅、杆高5m的架空通信线、莞樟路（属主干路）；东面为</w:t>
      </w:r>
      <w:r>
        <w:rPr>
          <w:rFonts w:hint="eastAsia" w:ascii="宋体" w:hAnsi="宋体" w:eastAsia="宋体" w:cs="宋体"/>
          <w:sz w:val="28"/>
          <w:szCs w:val="28"/>
          <w:lang w:eastAsia="zh-CN"/>
        </w:rPr>
        <w:t>站内</w:t>
      </w:r>
      <w:r>
        <w:rPr>
          <w:rFonts w:hint="eastAsia" w:ascii="宋体" w:hAnsi="宋体" w:eastAsia="宋体" w:cs="宋体"/>
          <w:sz w:val="28"/>
          <w:szCs w:val="28"/>
        </w:rPr>
        <w:t>简易洗车区（内设有洗车机一台以及相关设备，属三类保护物）、</w:t>
      </w:r>
      <w:r>
        <w:rPr>
          <w:rFonts w:hint="eastAsia" w:ascii="宋体" w:hAnsi="宋体" w:eastAsia="宋体" w:cs="宋体"/>
          <w:sz w:val="28"/>
          <w:szCs w:val="28"/>
          <w:lang w:eastAsia="zh-CN"/>
        </w:rPr>
        <w:t>站内</w:t>
      </w:r>
      <w:r>
        <w:rPr>
          <w:rFonts w:hint="eastAsia" w:ascii="宋体" w:hAnsi="宋体" w:eastAsia="宋体" w:cs="宋体"/>
          <w:sz w:val="28"/>
          <w:szCs w:val="28"/>
        </w:rPr>
        <w:t>箱式变压器（属丙类厂房）、</w:t>
      </w:r>
      <w:r>
        <w:rPr>
          <w:rFonts w:hint="eastAsia" w:ascii="宋体" w:hAnsi="宋体" w:eastAsia="宋体" w:cs="宋体"/>
          <w:sz w:val="28"/>
          <w:szCs w:val="28"/>
          <w:lang w:eastAsia="zh-CN"/>
        </w:rPr>
        <w:t>站内</w:t>
      </w:r>
      <w:r>
        <w:rPr>
          <w:rFonts w:hint="eastAsia" w:ascii="宋体" w:hAnsi="宋体" w:eastAsia="宋体" w:cs="宋体"/>
          <w:sz w:val="28"/>
          <w:szCs w:val="28"/>
        </w:rPr>
        <w:t>地磅房（属三类保护物）、杆高12m的架空电力线、河涌；东南面为河涌、东莞市众润汽车配件有限公司（属丙类厂房）；南面为广东方振新材料精密组件有限公司厂房（属丙类厂房）、水塔、广东方振新材料精密组件有限公司简易棚①（属三类保护物）；西南面为</w:t>
      </w:r>
      <w:r>
        <w:rPr>
          <w:rFonts w:hint="eastAsia" w:ascii="宋体" w:hAnsi="宋体" w:eastAsia="宋体" w:cs="宋体"/>
          <w:sz w:val="28"/>
          <w:szCs w:val="28"/>
          <w:lang w:eastAsia="zh-CN"/>
        </w:rPr>
        <w:t>站内</w:t>
      </w:r>
      <w:r>
        <w:rPr>
          <w:rFonts w:hint="eastAsia" w:ascii="宋体" w:hAnsi="宋体" w:eastAsia="宋体" w:cs="宋体"/>
          <w:sz w:val="28"/>
          <w:szCs w:val="28"/>
        </w:rPr>
        <w:t>配电房、广东方振新材料精密组件有限公司简易棚②（属三类保护物）；西面为站内综合楼（属三类保护物）；西北面为广东方振新材料精密组件有限公司门卫室（属三类保护物）。</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lang w:eastAsia="zh-CN"/>
        </w:rPr>
        <w:t>横坑加油站</w:t>
      </w:r>
      <w:r>
        <w:rPr>
          <w:rFonts w:hint="eastAsia" w:ascii="宋体" w:hAnsi="宋体" w:eastAsia="宋体" w:cs="宋体"/>
          <w:spacing w:val="-7"/>
          <w:sz w:val="28"/>
          <w:szCs w:val="28"/>
        </w:rPr>
        <w:t>地理位置见图2.2-1</w:t>
      </w:r>
      <w:r>
        <w:rPr>
          <w:rFonts w:hint="eastAsia" w:ascii="宋体" w:hAnsi="宋体" w:eastAsia="宋体" w:cs="宋体"/>
          <w:spacing w:val="-7"/>
          <w:sz w:val="28"/>
          <w:szCs w:val="28"/>
          <w:lang w:val="en-US"/>
        </w:rPr>
        <w:t>,</w:t>
      </w:r>
      <w:r>
        <w:rPr>
          <w:rFonts w:hint="eastAsia" w:ascii="宋体" w:hAnsi="宋体" w:eastAsia="宋体" w:cs="宋体"/>
          <w:spacing w:val="-7"/>
          <w:sz w:val="28"/>
          <w:szCs w:val="28"/>
          <w:lang w:eastAsia="zh-CN"/>
        </w:rPr>
        <w:t>横坑加油站</w:t>
      </w:r>
      <w:r>
        <w:rPr>
          <w:rFonts w:hint="eastAsia" w:ascii="宋体" w:hAnsi="宋体" w:eastAsia="宋体" w:cs="宋体"/>
          <w:spacing w:val="-7"/>
          <w:sz w:val="28"/>
          <w:szCs w:val="28"/>
        </w:rPr>
        <w:t>埋地储罐、通气管、卸车点、加油机等与站</w:t>
      </w:r>
      <w:r>
        <w:rPr>
          <w:rFonts w:hint="eastAsia" w:ascii="宋体" w:hAnsi="宋体" w:eastAsia="宋体" w:cs="宋体"/>
          <w:spacing w:val="-7"/>
          <w:sz w:val="28"/>
          <w:szCs w:val="28"/>
          <w:lang w:eastAsia="zh-CN"/>
        </w:rPr>
        <w:t>内</w:t>
      </w:r>
      <w:r>
        <w:rPr>
          <w:rFonts w:hint="eastAsia" w:ascii="宋体" w:hAnsi="宋体" w:eastAsia="宋体" w:cs="宋体"/>
          <w:spacing w:val="-7"/>
          <w:sz w:val="28"/>
          <w:szCs w:val="28"/>
        </w:rPr>
        <w:t>外建、构筑物的防火间距见表2.2-1</w:t>
      </w:r>
      <w:r>
        <w:rPr>
          <w:rFonts w:hint="eastAsia" w:ascii="宋体" w:hAnsi="宋体" w:eastAsia="宋体" w:cs="宋体"/>
          <w:spacing w:val="-7"/>
          <w:sz w:val="28"/>
          <w:szCs w:val="28"/>
          <w:lang w:eastAsia="zh-CN"/>
        </w:rPr>
        <w:t>、</w:t>
      </w:r>
      <w:r>
        <w:rPr>
          <w:rFonts w:hint="eastAsia" w:ascii="宋体" w:hAnsi="宋体" w:eastAsia="宋体" w:cs="宋体"/>
          <w:spacing w:val="-7"/>
          <w:sz w:val="28"/>
          <w:szCs w:val="28"/>
          <w:lang w:val="en-US"/>
        </w:rPr>
        <w:t>2.2-2</w:t>
      </w:r>
      <w:r>
        <w:rPr>
          <w:rFonts w:hint="eastAsia" w:ascii="宋体" w:hAnsi="宋体" w:eastAsia="宋体" w:cs="宋体"/>
          <w:spacing w:val="-7"/>
          <w:sz w:val="28"/>
          <w:szCs w:val="28"/>
        </w:rPr>
        <w:t>。</w:t>
      </w:r>
    </w:p>
    <w:p>
      <w:pPr>
        <w:jc w:val="center"/>
        <w:rPr>
          <w:rFonts w:hint="eastAsia" w:ascii="宋体" w:hAnsi="宋体" w:eastAsia="宋体" w:cs="宋体"/>
        </w:rPr>
      </w:pPr>
      <w:r>
        <w:rPr>
          <w:rFonts w:hint="eastAsia" w:ascii="宋体" w:hAnsi="宋体" w:eastAsia="宋体" w:cs="宋体"/>
        </w:rPr>
        <w:drawing>
          <wp:anchor distT="0" distB="0" distL="114300" distR="114300" simplePos="0" relativeHeight="251677696" behindDoc="1" locked="0" layoutInCell="1" allowOverlap="1">
            <wp:simplePos x="0" y="0"/>
            <wp:positionH relativeFrom="column">
              <wp:posOffset>492125</wp:posOffset>
            </wp:positionH>
            <wp:positionV relativeFrom="paragraph">
              <wp:posOffset>180975</wp:posOffset>
            </wp:positionV>
            <wp:extent cx="5182870" cy="3341370"/>
            <wp:effectExtent l="0" t="0" r="17780" b="11430"/>
            <wp:wrapTight wrapText="bothSides">
              <wp:wrapPolygon>
                <wp:start x="0" y="0"/>
                <wp:lineTo x="0" y="21428"/>
                <wp:lineTo x="21515" y="21428"/>
                <wp:lineTo x="21515" y="0"/>
                <wp:lineTo x="0" y="0"/>
              </wp:wrapPolygon>
            </wp:wrapTight>
            <wp:docPr id="1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2"/>
                    <pic:cNvPicPr>
                      <a:picLocks noChangeAspect="1"/>
                    </pic:cNvPicPr>
                  </pic:nvPicPr>
                  <pic:blipFill>
                    <a:blip r:embed="rId11"/>
                    <a:stretch>
                      <a:fillRect/>
                    </a:stretch>
                  </pic:blipFill>
                  <pic:spPr>
                    <a:xfrm>
                      <a:off x="0" y="0"/>
                      <a:ext cx="5182870" cy="3341370"/>
                    </a:xfrm>
                    <a:prstGeom prst="rect">
                      <a:avLst/>
                    </a:prstGeom>
                    <a:noFill/>
                    <a:ln>
                      <a:noFill/>
                    </a:ln>
                  </pic:spPr>
                </pic:pic>
              </a:graphicData>
            </a:graphic>
          </wp:anchor>
        </w:drawing>
      </w:r>
    </w:p>
    <w:p>
      <w:pPr>
        <w:jc w:val="center"/>
        <w:rPr>
          <w:rFonts w:hint="eastAsia" w:ascii="宋体" w:hAnsi="宋体" w:eastAsia="宋体" w:cs="宋体"/>
        </w:rPr>
      </w:pPr>
    </w:p>
    <w:p>
      <w:pPr>
        <w:jc w:val="center"/>
        <w:rPr>
          <w:rFonts w:hint="eastAsia" w:ascii="宋体" w:hAnsi="宋体" w:eastAsia="宋体" w:cs="宋体"/>
        </w:rPr>
      </w:pPr>
    </w:p>
    <w:p>
      <w:pPr>
        <w:jc w:val="center"/>
        <w:rPr>
          <w:rFonts w:hint="eastAsia" w:ascii="宋体" w:hAnsi="宋体" w:eastAsia="宋体" w:cs="宋体"/>
        </w:rPr>
      </w:pPr>
    </w:p>
    <w:p>
      <w:pPr>
        <w:jc w:val="center"/>
        <w:rPr>
          <w:rFonts w:hint="eastAsia" w:ascii="宋体" w:hAnsi="宋体" w:eastAsia="宋体" w:cs="宋体"/>
        </w:rPr>
      </w:pPr>
    </w:p>
    <w:p>
      <w:pPr>
        <w:jc w:val="center"/>
        <w:rPr>
          <w:rFonts w:hint="eastAsia" w:ascii="宋体" w:hAnsi="宋体" w:eastAsia="宋体" w:cs="宋体"/>
        </w:rPr>
      </w:pPr>
    </w:p>
    <w:p>
      <w:pPr>
        <w:jc w:val="center"/>
        <w:rPr>
          <w:rFonts w:hint="eastAsia" w:ascii="宋体" w:hAnsi="宋体" w:eastAsia="宋体" w:cs="宋体"/>
        </w:rPr>
      </w:pPr>
    </w:p>
    <w:p>
      <w:pPr>
        <w:jc w:val="center"/>
        <w:rPr>
          <w:rFonts w:hint="eastAsia" w:ascii="宋体" w:hAnsi="宋体" w:eastAsia="宋体" w:cs="宋体"/>
        </w:rPr>
      </w:pPr>
    </w:p>
    <w:p>
      <w:pPr>
        <w:jc w:val="center"/>
        <w:rPr>
          <w:rFonts w:hint="eastAsia" w:ascii="宋体" w:hAnsi="宋体" w:eastAsia="宋体" w:cs="宋体"/>
        </w:rPr>
      </w:pPr>
    </w:p>
    <w:p>
      <w:pPr>
        <w:jc w:val="center"/>
        <w:rPr>
          <w:rFonts w:hint="eastAsia" w:ascii="宋体" w:hAnsi="宋体" w:eastAsia="宋体" w:cs="宋体"/>
        </w:rPr>
      </w:pPr>
    </w:p>
    <w:p>
      <w:pPr>
        <w:jc w:val="center"/>
        <w:rPr>
          <w:rFonts w:hint="eastAsia" w:ascii="宋体" w:hAnsi="宋体" w:eastAsia="宋体" w:cs="宋体"/>
        </w:rPr>
      </w:pPr>
    </w:p>
    <w:p>
      <w:pPr>
        <w:jc w:val="center"/>
        <w:rPr>
          <w:rFonts w:hint="eastAsia" w:ascii="宋体" w:hAnsi="宋体" w:eastAsia="宋体" w:cs="宋体"/>
        </w:rPr>
      </w:pPr>
    </w:p>
    <w:p>
      <w:pPr>
        <w:jc w:val="center"/>
        <w:rPr>
          <w:rFonts w:hint="eastAsia" w:ascii="宋体" w:hAnsi="宋体" w:eastAsia="宋体" w:cs="宋体"/>
        </w:rPr>
      </w:pPr>
    </w:p>
    <w:p>
      <w:pPr>
        <w:jc w:val="center"/>
        <w:rPr>
          <w:rFonts w:hint="eastAsia" w:ascii="宋体" w:hAnsi="宋体" w:eastAsia="宋体" w:cs="宋体"/>
        </w:rPr>
      </w:pPr>
    </w:p>
    <w:p>
      <w:pPr>
        <w:jc w:val="center"/>
        <w:rPr>
          <w:rFonts w:hint="eastAsia" w:ascii="宋体" w:hAnsi="宋体" w:eastAsia="宋体" w:cs="宋体"/>
        </w:rPr>
      </w:pPr>
    </w:p>
    <w:p>
      <w:pPr>
        <w:jc w:val="center"/>
        <w:rPr>
          <w:rFonts w:hint="eastAsia" w:ascii="宋体" w:hAnsi="宋体" w:eastAsia="宋体" w:cs="宋体"/>
        </w:rPr>
      </w:pPr>
    </w:p>
    <w:p>
      <w:pPr>
        <w:spacing w:line="360" w:lineRule="auto"/>
        <w:jc w:val="center"/>
        <w:rPr>
          <w:rFonts w:hint="eastAsia" w:ascii="宋体" w:hAnsi="宋体" w:eastAsia="宋体" w:cs="宋体"/>
          <w:sz w:val="28"/>
          <w:szCs w:val="28"/>
        </w:rPr>
      </w:pPr>
      <w:bookmarkStart w:id="158" w:name="_Toc32072_WPSOffice_Level3"/>
      <w:bookmarkStart w:id="159" w:name="_Toc24844_WPSOffice_Level3"/>
      <w:bookmarkStart w:id="160" w:name="_Hlk531611768"/>
    </w:p>
    <w:p>
      <w:pPr>
        <w:spacing w:line="360" w:lineRule="auto"/>
        <w:jc w:val="center"/>
        <w:rPr>
          <w:rFonts w:hint="eastAsia" w:ascii="宋体" w:hAnsi="宋体" w:eastAsia="宋体" w:cs="宋体"/>
          <w:sz w:val="28"/>
          <w:szCs w:val="28"/>
        </w:rPr>
      </w:pPr>
    </w:p>
    <w:p>
      <w:pPr>
        <w:spacing w:line="360" w:lineRule="auto"/>
        <w:jc w:val="center"/>
        <w:rPr>
          <w:rFonts w:hint="eastAsia" w:ascii="宋体" w:hAnsi="宋体" w:eastAsia="宋体" w:cs="宋体"/>
          <w:sz w:val="28"/>
          <w:szCs w:val="28"/>
        </w:rPr>
      </w:pPr>
      <w:r>
        <w:rPr>
          <w:rFonts w:hint="eastAsia" w:ascii="宋体" w:hAnsi="宋体" w:eastAsia="宋体" w:cs="宋体"/>
          <w:sz w:val="28"/>
          <w:szCs w:val="28"/>
        </w:rPr>
        <w:t xml:space="preserve">图2.2-1 </w:t>
      </w:r>
      <w:r>
        <w:rPr>
          <w:rFonts w:hint="eastAsia" w:ascii="宋体" w:hAnsi="宋体" w:eastAsia="宋体" w:cs="宋体"/>
          <w:sz w:val="28"/>
          <w:szCs w:val="28"/>
          <w:lang w:eastAsia="zh-CN"/>
        </w:rPr>
        <w:t>横坑加油站</w:t>
      </w:r>
      <w:r>
        <w:rPr>
          <w:rFonts w:hint="eastAsia" w:ascii="宋体" w:hAnsi="宋体" w:eastAsia="宋体" w:cs="宋体"/>
          <w:sz w:val="28"/>
          <w:szCs w:val="28"/>
        </w:rPr>
        <w:t>地理位置图</w:t>
      </w:r>
      <w:bookmarkEnd w:id="158"/>
      <w:bookmarkEnd w:id="159"/>
    </w:p>
    <w:bookmarkEnd w:id="160"/>
    <w:p>
      <w:pPr>
        <w:jc w:val="center"/>
        <w:rPr>
          <w:rFonts w:hint="eastAsia" w:ascii="宋体" w:hAnsi="宋体" w:eastAsia="宋体" w:cs="宋体"/>
          <w:sz w:val="21"/>
          <w:szCs w:val="21"/>
        </w:rPr>
      </w:pPr>
      <w:bookmarkStart w:id="161" w:name="_Toc4884_WPSOffice_Level3"/>
      <w:bookmarkStart w:id="162" w:name="_Toc3801_WPSOffice_Level3"/>
      <w:r>
        <w:rPr>
          <w:rFonts w:hint="eastAsia" w:ascii="宋体" w:hAnsi="宋体" w:eastAsia="宋体" w:cs="宋体"/>
          <w:szCs w:val="21"/>
        </w:rPr>
        <w:t xml:space="preserve">表2.2-1 </w:t>
      </w:r>
      <w:r>
        <w:rPr>
          <w:rFonts w:hint="eastAsia" w:ascii="宋体" w:hAnsi="宋体" w:eastAsia="宋体" w:cs="宋体"/>
          <w:szCs w:val="21"/>
          <w:lang w:eastAsia="zh-CN"/>
        </w:rPr>
        <w:t>汽</w:t>
      </w:r>
      <w:r>
        <w:rPr>
          <w:rFonts w:hint="eastAsia" w:ascii="宋体" w:hAnsi="宋体" w:eastAsia="宋体" w:cs="宋体"/>
          <w:szCs w:val="21"/>
        </w:rPr>
        <w:t>油罐、</w:t>
      </w:r>
      <w:r>
        <w:rPr>
          <w:rFonts w:hint="eastAsia" w:ascii="宋体" w:hAnsi="宋体" w:eastAsia="宋体" w:cs="宋体"/>
          <w:szCs w:val="21"/>
          <w:lang w:eastAsia="zh-CN"/>
        </w:rPr>
        <w:t>汽油</w:t>
      </w:r>
      <w:r>
        <w:rPr>
          <w:rFonts w:hint="eastAsia" w:ascii="宋体" w:hAnsi="宋体" w:eastAsia="宋体" w:cs="宋体"/>
          <w:szCs w:val="21"/>
        </w:rPr>
        <w:t>加油机及通气管口与站外建、构筑物的防火距离（</w:t>
      </w:r>
      <w:r>
        <w:rPr>
          <w:rFonts w:hint="eastAsia" w:ascii="宋体" w:hAnsi="宋体" w:eastAsia="宋体" w:cs="宋体"/>
          <w:sz w:val="21"/>
          <w:szCs w:val="21"/>
        </w:rPr>
        <w:t>单位：</w:t>
      </w:r>
      <w:r>
        <w:rPr>
          <w:rFonts w:hint="eastAsia" w:ascii="宋体" w:hAnsi="宋体" w:eastAsia="宋体" w:cs="宋体"/>
          <w:sz w:val="21"/>
          <w:szCs w:val="21"/>
          <w:lang w:val="en-US"/>
        </w:rPr>
        <w:t>m</w:t>
      </w:r>
      <w:r>
        <w:rPr>
          <w:rFonts w:hint="eastAsia" w:ascii="宋体" w:hAnsi="宋体" w:eastAsia="宋体" w:cs="宋体"/>
          <w:sz w:val="21"/>
          <w:szCs w:val="21"/>
        </w:rPr>
        <w:t>）</w:t>
      </w:r>
      <w:bookmarkEnd w:id="161"/>
      <w:bookmarkEnd w:id="162"/>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8"/>
        <w:gridCol w:w="284"/>
        <w:gridCol w:w="15"/>
        <w:gridCol w:w="2216"/>
        <w:gridCol w:w="1291"/>
        <w:gridCol w:w="885"/>
        <w:gridCol w:w="1068"/>
        <w:gridCol w:w="828"/>
        <w:gridCol w:w="1020"/>
        <w:gridCol w:w="7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153" w:type="dxa"/>
            <w:gridSpan w:val="4"/>
            <w:vMerge w:val="restart"/>
            <w:tcBorders>
              <w:top w:val="single" w:color="auto" w:sz="4" w:space="0"/>
              <w:left w:val="single" w:color="auto" w:sz="4" w:space="0"/>
              <w:bottom w:val="single" w:color="auto" w:sz="4" w:space="0"/>
              <w:right w:val="single" w:color="auto" w:sz="4" w:space="0"/>
              <w:tl2br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firstLine="2100" w:firstLineChars="1000"/>
              <w:rPr>
                <w:rFonts w:hint="eastAsia" w:ascii="宋体" w:hAnsi="宋体" w:eastAsia="宋体" w:cs="宋体"/>
                <w:b w:val="0"/>
                <w:bCs/>
                <w:kern w:val="2"/>
                <w:sz w:val="21"/>
                <w:szCs w:val="21"/>
              </w:rPr>
            </w:pPr>
            <w:r>
              <w:rPr>
                <w:rFonts w:hint="eastAsia" w:ascii="宋体" w:hAnsi="宋体" w:eastAsia="宋体" w:cs="宋体"/>
                <w:b w:val="0"/>
                <w:bCs/>
                <w:kern w:val="2"/>
                <w:sz w:val="21"/>
                <w:szCs w:val="21"/>
              </w:rPr>
              <w:t>级   别</w:t>
            </w:r>
          </w:p>
          <w:p>
            <w:pPr>
              <w:keepNext w:val="0"/>
              <w:keepLines w:val="0"/>
              <w:suppressLineNumbers w:val="0"/>
              <w:adjustRightInd w:val="0"/>
              <w:snapToGrid w:val="0"/>
              <w:spacing w:before="0" w:beforeAutospacing="0" w:after="0" w:afterAutospacing="0"/>
              <w:ind w:left="0" w:right="0" w:firstLine="420" w:firstLineChars="200"/>
              <w:rPr>
                <w:rFonts w:hint="eastAsia" w:ascii="宋体" w:hAnsi="宋体" w:eastAsia="宋体" w:cs="宋体"/>
                <w:b w:val="0"/>
                <w:bCs/>
                <w:kern w:val="2"/>
                <w:sz w:val="21"/>
                <w:szCs w:val="21"/>
              </w:rPr>
            </w:pPr>
            <w:r>
              <w:rPr>
                <w:rFonts w:hint="eastAsia" w:ascii="宋体" w:hAnsi="宋体" w:eastAsia="宋体" w:cs="宋体"/>
                <w:b w:val="0"/>
                <w:bCs/>
                <w:kern w:val="2"/>
                <w:sz w:val="21"/>
                <w:szCs w:val="21"/>
              </w:rPr>
              <w:t>项   目</w:t>
            </w:r>
          </w:p>
        </w:tc>
        <w:tc>
          <w:tcPr>
            <w:tcW w:w="2176"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埋地油罐</w:t>
            </w:r>
          </w:p>
        </w:tc>
        <w:tc>
          <w:tcPr>
            <w:tcW w:w="1896"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通气管管口</w:t>
            </w:r>
          </w:p>
        </w:tc>
        <w:tc>
          <w:tcPr>
            <w:tcW w:w="181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加油机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3153" w:type="dxa"/>
            <w:gridSpan w:val="4"/>
            <w:vMerge w:val="continue"/>
            <w:tcBorders>
              <w:top w:val="single" w:color="auto" w:sz="4" w:space="0"/>
              <w:left w:val="single" w:color="auto" w:sz="4" w:space="0"/>
              <w:bottom w:val="single" w:color="auto" w:sz="4" w:space="0"/>
              <w:right w:val="single" w:color="auto" w:sz="4" w:space="0"/>
              <w:tl2br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p>
        </w:tc>
        <w:tc>
          <w:tcPr>
            <w:tcW w:w="5890"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二级站（有卸油和加油油气回收系统）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3153" w:type="dxa"/>
            <w:gridSpan w:val="4"/>
            <w:vMerge w:val="continue"/>
            <w:tcBorders>
              <w:top w:val="single" w:color="auto" w:sz="4" w:space="0"/>
              <w:left w:val="single" w:color="auto" w:sz="4" w:space="0"/>
              <w:bottom w:val="single" w:color="auto" w:sz="4" w:space="0"/>
              <w:right w:val="single" w:color="auto" w:sz="4" w:space="0"/>
              <w:tl2br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p>
        </w:tc>
        <w:tc>
          <w:tcPr>
            <w:tcW w:w="12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标准</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lang w:eastAsia="zh-CN"/>
              </w:rPr>
            </w:pPr>
            <w:r>
              <w:rPr>
                <w:rFonts w:hint="eastAsia" w:ascii="宋体" w:hAnsi="宋体" w:eastAsia="宋体" w:cs="宋体"/>
                <w:b w:val="0"/>
                <w:bCs/>
                <w:kern w:val="2"/>
                <w:sz w:val="21"/>
                <w:szCs w:val="21"/>
                <w:lang w:eastAsia="zh-CN"/>
              </w:rPr>
              <w:t>实测</w:t>
            </w:r>
          </w:p>
        </w:tc>
        <w:tc>
          <w:tcPr>
            <w:tcW w:w="10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标准</w:t>
            </w:r>
          </w:p>
        </w:tc>
        <w:tc>
          <w:tcPr>
            <w:tcW w:w="8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lang w:eastAsia="zh-CN"/>
              </w:rPr>
              <w:t>实测</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标准</w:t>
            </w:r>
          </w:p>
        </w:tc>
        <w:tc>
          <w:tcPr>
            <w:tcW w:w="7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lang w:eastAsia="zh-CN"/>
              </w:rPr>
              <w:t>实测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3153"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重要公共建筑</w:t>
            </w:r>
          </w:p>
        </w:tc>
        <w:tc>
          <w:tcPr>
            <w:tcW w:w="12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35</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w:t>
            </w:r>
          </w:p>
        </w:tc>
        <w:tc>
          <w:tcPr>
            <w:tcW w:w="10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35</w:t>
            </w:r>
          </w:p>
        </w:tc>
        <w:tc>
          <w:tcPr>
            <w:tcW w:w="8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35</w:t>
            </w:r>
          </w:p>
        </w:tc>
        <w:tc>
          <w:tcPr>
            <w:tcW w:w="7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3153"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明火地点或散发火花地点</w:t>
            </w:r>
          </w:p>
        </w:tc>
        <w:tc>
          <w:tcPr>
            <w:tcW w:w="12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17.5</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w:t>
            </w:r>
          </w:p>
        </w:tc>
        <w:tc>
          <w:tcPr>
            <w:tcW w:w="10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12.5</w:t>
            </w:r>
          </w:p>
        </w:tc>
        <w:tc>
          <w:tcPr>
            <w:tcW w:w="8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12.5</w:t>
            </w:r>
          </w:p>
        </w:tc>
        <w:tc>
          <w:tcPr>
            <w:tcW w:w="7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937" w:type="dxa"/>
            <w:gridSpan w:val="3"/>
            <w:vMerge w:val="restart"/>
            <w:tcBorders>
              <w:top w:val="single" w:color="auto" w:sz="4" w:space="0"/>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民用建筑物保护类别</w:t>
            </w:r>
          </w:p>
        </w:tc>
        <w:tc>
          <w:tcPr>
            <w:tcW w:w="22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三类保护物</w:t>
            </w:r>
          </w:p>
          <w:p>
            <w:pPr>
              <w:keepNext w:val="0"/>
              <w:keepLines w:val="0"/>
              <w:suppressLineNumbers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 xml:space="preserve">（东面 </w:t>
            </w:r>
            <w:r>
              <w:rPr>
                <w:rFonts w:hint="eastAsia" w:ascii="宋体" w:hAnsi="宋体" w:eastAsia="宋体" w:cs="宋体"/>
                <w:b w:val="0"/>
                <w:bCs/>
                <w:kern w:val="2"/>
                <w:sz w:val="21"/>
                <w:szCs w:val="21"/>
                <w:lang w:eastAsia="zh-CN"/>
              </w:rPr>
              <w:t>站内</w:t>
            </w:r>
            <w:r>
              <w:rPr>
                <w:rFonts w:hint="eastAsia" w:ascii="宋体" w:hAnsi="宋体" w:eastAsia="宋体" w:cs="宋体"/>
                <w:b w:val="0"/>
                <w:bCs/>
                <w:kern w:val="2"/>
                <w:sz w:val="21"/>
                <w:szCs w:val="21"/>
              </w:rPr>
              <w:t>简易洗车区）</w:t>
            </w:r>
          </w:p>
        </w:tc>
        <w:tc>
          <w:tcPr>
            <w:tcW w:w="12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8.5</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15.9</w:t>
            </w:r>
          </w:p>
        </w:tc>
        <w:tc>
          <w:tcPr>
            <w:tcW w:w="10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7</w:t>
            </w:r>
          </w:p>
        </w:tc>
        <w:tc>
          <w:tcPr>
            <w:tcW w:w="8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25.9</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7</w:t>
            </w:r>
          </w:p>
        </w:tc>
        <w:tc>
          <w:tcPr>
            <w:tcW w:w="7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lang w:eastAsia="zh-CN"/>
              </w:rPr>
            </w:pPr>
            <w:r>
              <w:rPr>
                <w:rFonts w:hint="eastAsia" w:ascii="宋体" w:hAnsi="宋体" w:eastAsia="宋体" w:cs="宋体"/>
                <w:b w:val="0"/>
                <w:bCs/>
                <w:kern w:val="2"/>
                <w:sz w:val="21"/>
                <w:szCs w:val="21"/>
              </w:rPr>
              <w:t>22.</w:t>
            </w:r>
            <w:r>
              <w:rPr>
                <w:rFonts w:hint="eastAsia" w:ascii="宋体" w:hAnsi="宋体" w:eastAsia="宋体" w:cs="宋体"/>
                <w:b w:val="0"/>
                <w:bCs/>
                <w:kern w:val="2"/>
                <w:sz w:val="21"/>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937" w:type="dxa"/>
            <w:gridSpan w:val="3"/>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kern w:val="2"/>
                <w:sz w:val="21"/>
                <w:szCs w:val="21"/>
              </w:rPr>
            </w:pPr>
          </w:p>
        </w:tc>
        <w:tc>
          <w:tcPr>
            <w:tcW w:w="22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三类保护物</w:t>
            </w:r>
          </w:p>
          <w:p>
            <w:pPr>
              <w:keepNext w:val="0"/>
              <w:keepLines w:val="0"/>
              <w:suppressLineNumbers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 xml:space="preserve">（东面 </w:t>
            </w:r>
            <w:r>
              <w:rPr>
                <w:rFonts w:hint="eastAsia" w:ascii="宋体" w:hAnsi="宋体" w:eastAsia="宋体" w:cs="宋体"/>
                <w:b w:val="0"/>
                <w:bCs/>
                <w:kern w:val="2"/>
                <w:sz w:val="21"/>
                <w:szCs w:val="21"/>
                <w:lang w:eastAsia="zh-CN"/>
              </w:rPr>
              <w:t>站内</w:t>
            </w:r>
            <w:r>
              <w:rPr>
                <w:rFonts w:hint="eastAsia" w:ascii="宋体" w:hAnsi="宋体" w:eastAsia="宋体" w:cs="宋体"/>
                <w:b w:val="0"/>
                <w:bCs/>
                <w:kern w:val="2"/>
                <w:sz w:val="21"/>
                <w:szCs w:val="21"/>
              </w:rPr>
              <w:t>地磅房）</w:t>
            </w:r>
          </w:p>
        </w:tc>
        <w:tc>
          <w:tcPr>
            <w:tcW w:w="12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8.5</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lang w:eastAsia="zh-CN"/>
              </w:rPr>
            </w:pPr>
            <w:r>
              <w:rPr>
                <w:rFonts w:hint="eastAsia" w:ascii="宋体" w:hAnsi="宋体" w:eastAsia="宋体" w:cs="宋体"/>
                <w:b w:val="0"/>
                <w:bCs/>
                <w:kern w:val="2"/>
                <w:sz w:val="21"/>
                <w:szCs w:val="21"/>
              </w:rPr>
              <w:t>40.</w:t>
            </w:r>
            <w:r>
              <w:rPr>
                <w:rFonts w:hint="eastAsia" w:ascii="宋体" w:hAnsi="宋体" w:eastAsia="宋体" w:cs="宋体"/>
                <w:b w:val="0"/>
                <w:bCs/>
                <w:kern w:val="2"/>
                <w:sz w:val="21"/>
                <w:szCs w:val="21"/>
                <w:lang w:val="en-US" w:eastAsia="zh-CN"/>
              </w:rPr>
              <w:t>1</w:t>
            </w:r>
          </w:p>
        </w:tc>
        <w:tc>
          <w:tcPr>
            <w:tcW w:w="10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7</w:t>
            </w:r>
          </w:p>
        </w:tc>
        <w:tc>
          <w:tcPr>
            <w:tcW w:w="8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50.5</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7</w:t>
            </w:r>
          </w:p>
        </w:tc>
        <w:tc>
          <w:tcPr>
            <w:tcW w:w="7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lang w:eastAsia="zh-CN"/>
              </w:rPr>
            </w:pPr>
            <w:r>
              <w:rPr>
                <w:rFonts w:hint="eastAsia" w:ascii="宋体" w:hAnsi="宋体" w:eastAsia="宋体" w:cs="宋体"/>
                <w:b w:val="0"/>
                <w:bCs/>
                <w:kern w:val="2"/>
                <w:sz w:val="21"/>
                <w:szCs w:val="21"/>
              </w:rPr>
              <w:t>29.</w:t>
            </w:r>
            <w:r>
              <w:rPr>
                <w:rFonts w:hint="eastAsia" w:ascii="宋体" w:hAnsi="宋体" w:eastAsia="宋体" w:cs="宋体"/>
                <w:b w:val="0"/>
                <w:bCs/>
                <w:kern w:val="2"/>
                <w:sz w:val="21"/>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937" w:type="dxa"/>
            <w:gridSpan w:val="3"/>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kern w:val="2"/>
                <w:sz w:val="21"/>
                <w:szCs w:val="21"/>
              </w:rPr>
            </w:pPr>
          </w:p>
        </w:tc>
        <w:tc>
          <w:tcPr>
            <w:tcW w:w="22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三类保护物</w:t>
            </w:r>
          </w:p>
          <w:p>
            <w:pPr>
              <w:keepNext w:val="0"/>
              <w:keepLines w:val="0"/>
              <w:suppressLineNumbers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（南面 广东方振新材料精密组件有限公司简易棚①）</w:t>
            </w:r>
          </w:p>
        </w:tc>
        <w:tc>
          <w:tcPr>
            <w:tcW w:w="12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8.5</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lang w:eastAsia="zh-CN"/>
              </w:rPr>
            </w:pPr>
            <w:r>
              <w:rPr>
                <w:rFonts w:hint="eastAsia" w:ascii="宋体" w:hAnsi="宋体" w:eastAsia="宋体" w:cs="宋体"/>
                <w:b w:val="0"/>
                <w:bCs/>
                <w:kern w:val="2"/>
                <w:sz w:val="21"/>
                <w:szCs w:val="21"/>
              </w:rPr>
              <w:t>16.</w:t>
            </w:r>
            <w:r>
              <w:rPr>
                <w:rFonts w:hint="eastAsia" w:ascii="宋体" w:hAnsi="宋体" w:eastAsia="宋体" w:cs="宋体"/>
                <w:b w:val="0"/>
                <w:bCs/>
                <w:kern w:val="2"/>
                <w:sz w:val="21"/>
                <w:szCs w:val="21"/>
                <w:lang w:val="en-US" w:eastAsia="zh-CN"/>
              </w:rPr>
              <w:t>4</w:t>
            </w:r>
          </w:p>
        </w:tc>
        <w:tc>
          <w:tcPr>
            <w:tcW w:w="10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7</w:t>
            </w:r>
          </w:p>
        </w:tc>
        <w:tc>
          <w:tcPr>
            <w:tcW w:w="8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lang w:eastAsia="zh-CN"/>
              </w:rPr>
            </w:pPr>
            <w:r>
              <w:rPr>
                <w:rFonts w:hint="eastAsia" w:ascii="宋体" w:hAnsi="宋体" w:eastAsia="宋体" w:cs="宋体"/>
                <w:b w:val="0"/>
                <w:bCs/>
                <w:kern w:val="2"/>
                <w:sz w:val="21"/>
                <w:szCs w:val="21"/>
              </w:rPr>
              <w:t>16.</w:t>
            </w:r>
            <w:r>
              <w:rPr>
                <w:rFonts w:hint="eastAsia" w:ascii="宋体" w:hAnsi="宋体" w:eastAsia="宋体" w:cs="宋体"/>
                <w:b w:val="0"/>
                <w:bCs/>
                <w:kern w:val="2"/>
                <w:sz w:val="21"/>
                <w:szCs w:val="21"/>
                <w:lang w:val="en-US" w:eastAsia="zh-CN"/>
              </w:rPr>
              <w:t>2</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7</w:t>
            </w:r>
          </w:p>
        </w:tc>
        <w:tc>
          <w:tcPr>
            <w:tcW w:w="7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lang w:eastAsia="zh-CN"/>
              </w:rPr>
            </w:pPr>
            <w:r>
              <w:rPr>
                <w:rFonts w:hint="eastAsia" w:ascii="宋体" w:hAnsi="宋体" w:eastAsia="宋体" w:cs="宋体"/>
                <w:b w:val="0"/>
                <w:bCs/>
                <w:kern w:val="2"/>
                <w:sz w:val="21"/>
                <w:szCs w:val="21"/>
              </w:rPr>
              <w:t>41.</w:t>
            </w:r>
            <w:r>
              <w:rPr>
                <w:rFonts w:hint="eastAsia" w:ascii="宋体" w:hAnsi="宋体" w:eastAsia="宋体" w:cs="宋体"/>
                <w:b w:val="0"/>
                <w:bCs/>
                <w:kern w:val="2"/>
                <w:sz w:val="21"/>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937" w:type="dxa"/>
            <w:gridSpan w:val="3"/>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kern w:val="2"/>
                <w:sz w:val="21"/>
                <w:szCs w:val="21"/>
              </w:rPr>
            </w:pPr>
          </w:p>
        </w:tc>
        <w:tc>
          <w:tcPr>
            <w:tcW w:w="22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三类保护物</w:t>
            </w:r>
          </w:p>
          <w:p>
            <w:pPr>
              <w:keepNext w:val="0"/>
              <w:keepLines w:val="0"/>
              <w:suppressLineNumbers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（西南面 广东方振新材料精密组件有限公司简易棚②）</w:t>
            </w:r>
          </w:p>
        </w:tc>
        <w:tc>
          <w:tcPr>
            <w:tcW w:w="12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8.5</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59.1</w:t>
            </w:r>
          </w:p>
        </w:tc>
        <w:tc>
          <w:tcPr>
            <w:tcW w:w="10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7</w:t>
            </w:r>
          </w:p>
        </w:tc>
        <w:tc>
          <w:tcPr>
            <w:tcW w:w="8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63.9</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7</w:t>
            </w:r>
          </w:p>
        </w:tc>
        <w:tc>
          <w:tcPr>
            <w:tcW w:w="7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39.5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937" w:type="dxa"/>
            <w:gridSpan w:val="3"/>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kern w:val="2"/>
                <w:sz w:val="21"/>
                <w:szCs w:val="21"/>
              </w:rPr>
            </w:pPr>
          </w:p>
        </w:tc>
        <w:tc>
          <w:tcPr>
            <w:tcW w:w="22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三类保护物</w:t>
            </w:r>
          </w:p>
          <w:p>
            <w:pPr>
              <w:keepNext w:val="0"/>
              <w:keepLines w:val="0"/>
              <w:suppressLineNumbers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（西面 站内综合楼）</w:t>
            </w:r>
          </w:p>
        </w:tc>
        <w:tc>
          <w:tcPr>
            <w:tcW w:w="12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8.5</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lang w:eastAsia="zh-CN"/>
              </w:rPr>
            </w:pPr>
            <w:r>
              <w:rPr>
                <w:rFonts w:hint="eastAsia" w:ascii="宋体" w:hAnsi="宋体" w:eastAsia="宋体" w:cs="宋体"/>
                <w:b w:val="0"/>
                <w:bCs/>
                <w:kern w:val="2"/>
                <w:sz w:val="21"/>
                <w:szCs w:val="21"/>
              </w:rPr>
              <w:t>54.</w:t>
            </w:r>
            <w:r>
              <w:rPr>
                <w:rFonts w:hint="eastAsia" w:ascii="宋体" w:hAnsi="宋体" w:eastAsia="宋体" w:cs="宋体"/>
                <w:b w:val="0"/>
                <w:bCs/>
                <w:kern w:val="2"/>
                <w:sz w:val="21"/>
                <w:szCs w:val="21"/>
                <w:lang w:val="en-US" w:eastAsia="zh-CN"/>
              </w:rPr>
              <w:t>7</w:t>
            </w:r>
          </w:p>
        </w:tc>
        <w:tc>
          <w:tcPr>
            <w:tcW w:w="10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7</w:t>
            </w:r>
          </w:p>
        </w:tc>
        <w:tc>
          <w:tcPr>
            <w:tcW w:w="8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lang w:eastAsia="zh-CN"/>
              </w:rPr>
            </w:pPr>
            <w:r>
              <w:rPr>
                <w:rFonts w:hint="eastAsia" w:ascii="宋体" w:hAnsi="宋体" w:eastAsia="宋体" w:cs="宋体"/>
                <w:b w:val="0"/>
                <w:bCs/>
                <w:kern w:val="2"/>
                <w:sz w:val="21"/>
                <w:szCs w:val="21"/>
              </w:rPr>
              <w:t>59.</w:t>
            </w:r>
            <w:r>
              <w:rPr>
                <w:rFonts w:hint="eastAsia" w:ascii="宋体" w:hAnsi="宋体" w:eastAsia="宋体" w:cs="宋体"/>
                <w:b w:val="0"/>
                <w:bCs/>
                <w:kern w:val="2"/>
                <w:sz w:val="21"/>
                <w:szCs w:val="21"/>
                <w:lang w:val="en-US" w:eastAsia="zh-CN"/>
              </w:rPr>
              <w:t>9</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7</w:t>
            </w:r>
          </w:p>
        </w:tc>
        <w:tc>
          <w:tcPr>
            <w:tcW w:w="7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lang w:eastAsia="zh-CN"/>
              </w:rPr>
            </w:pPr>
            <w:r>
              <w:rPr>
                <w:rFonts w:hint="eastAsia" w:ascii="宋体" w:hAnsi="宋体" w:eastAsia="宋体" w:cs="宋体"/>
                <w:b w:val="0"/>
                <w:bCs/>
                <w:kern w:val="2"/>
                <w:sz w:val="21"/>
                <w:szCs w:val="21"/>
              </w:rPr>
              <w:t>13.</w:t>
            </w:r>
            <w:r>
              <w:rPr>
                <w:rFonts w:hint="eastAsia" w:ascii="宋体" w:hAnsi="宋体" w:eastAsia="宋体" w:cs="宋体"/>
                <w:b w:val="0"/>
                <w:bCs/>
                <w:kern w:val="2"/>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937" w:type="dxa"/>
            <w:gridSpan w:val="3"/>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kern w:val="2"/>
                <w:sz w:val="21"/>
                <w:szCs w:val="21"/>
              </w:rPr>
            </w:pPr>
          </w:p>
        </w:tc>
        <w:tc>
          <w:tcPr>
            <w:tcW w:w="22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三类保护物</w:t>
            </w:r>
          </w:p>
          <w:p>
            <w:pPr>
              <w:keepNext w:val="0"/>
              <w:keepLines w:val="0"/>
              <w:suppressLineNumbers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（西北面 广东方振新材料精密组件有限公司门卫室）</w:t>
            </w:r>
          </w:p>
        </w:tc>
        <w:tc>
          <w:tcPr>
            <w:tcW w:w="12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8.5</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94.0</w:t>
            </w:r>
          </w:p>
        </w:tc>
        <w:tc>
          <w:tcPr>
            <w:tcW w:w="10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7</w:t>
            </w:r>
          </w:p>
        </w:tc>
        <w:tc>
          <w:tcPr>
            <w:tcW w:w="8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99.9</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7</w:t>
            </w:r>
          </w:p>
        </w:tc>
        <w:tc>
          <w:tcPr>
            <w:tcW w:w="7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lang w:eastAsia="zh-CN"/>
              </w:rPr>
            </w:pPr>
            <w:r>
              <w:rPr>
                <w:rFonts w:hint="eastAsia" w:ascii="宋体" w:hAnsi="宋体" w:eastAsia="宋体" w:cs="宋体"/>
                <w:b w:val="0"/>
                <w:bCs/>
                <w:kern w:val="2"/>
                <w:sz w:val="21"/>
                <w:szCs w:val="21"/>
              </w:rPr>
              <w:t>49.</w:t>
            </w:r>
            <w:r>
              <w:rPr>
                <w:rFonts w:hint="eastAsia" w:ascii="宋体" w:hAnsi="宋体" w:eastAsia="宋体" w:cs="宋体"/>
                <w:b w:val="0"/>
                <w:bCs/>
                <w:kern w:val="2"/>
                <w:sz w:val="21"/>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3153" w:type="dxa"/>
            <w:gridSpan w:val="4"/>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丙、丁、戊类物品生产厂房、库房和丙类液体储罐以及容积不大于50m</w:t>
            </w:r>
            <w:r>
              <w:rPr>
                <w:rFonts w:hint="eastAsia" w:ascii="宋体" w:hAnsi="宋体" w:eastAsia="宋体" w:cs="宋体"/>
                <w:b w:val="0"/>
                <w:bCs/>
                <w:kern w:val="2"/>
                <w:sz w:val="21"/>
                <w:szCs w:val="21"/>
                <w:vertAlign w:val="superscript"/>
              </w:rPr>
              <w:t>3</w:t>
            </w:r>
            <w:r>
              <w:rPr>
                <w:rFonts w:hint="eastAsia" w:ascii="宋体" w:hAnsi="宋体" w:eastAsia="宋体" w:cs="宋体"/>
                <w:b w:val="0"/>
                <w:bCs/>
                <w:kern w:val="2"/>
                <w:sz w:val="21"/>
                <w:szCs w:val="21"/>
              </w:rPr>
              <w:t>的埋地甲、乙类液体储罐（东面 箱式变压器）</w:t>
            </w:r>
          </w:p>
        </w:tc>
        <w:tc>
          <w:tcPr>
            <w:tcW w:w="12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11</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31.4</w:t>
            </w:r>
          </w:p>
        </w:tc>
        <w:tc>
          <w:tcPr>
            <w:tcW w:w="10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10.5</w:t>
            </w:r>
          </w:p>
        </w:tc>
        <w:tc>
          <w:tcPr>
            <w:tcW w:w="8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41.9</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10.5</w:t>
            </w:r>
          </w:p>
        </w:tc>
        <w:tc>
          <w:tcPr>
            <w:tcW w:w="7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26.8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3153" w:type="dxa"/>
            <w:gridSpan w:val="4"/>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丙、丁、戊类物品生产厂房、库房和丙类液体储罐以及容积不大于50m</w:t>
            </w:r>
            <w:r>
              <w:rPr>
                <w:rFonts w:hint="eastAsia" w:ascii="宋体" w:hAnsi="宋体" w:eastAsia="宋体" w:cs="宋体"/>
                <w:b w:val="0"/>
                <w:bCs/>
                <w:kern w:val="2"/>
                <w:sz w:val="21"/>
                <w:szCs w:val="21"/>
                <w:vertAlign w:val="superscript"/>
              </w:rPr>
              <w:t>3</w:t>
            </w:r>
            <w:r>
              <w:rPr>
                <w:rFonts w:hint="eastAsia" w:ascii="宋体" w:hAnsi="宋体" w:eastAsia="宋体" w:cs="宋体"/>
                <w:b w:val="0"/>
                <w:bCs/>
                <w:kern w:val="2"/>
                <w:sz w:val="21"/>
                <w:szCs w:val="21"/>
              </w:rPr>
              <w:t>的埋地甲、乙类液体储罐（东南面 东莞市众润汽车配件有限公司）</w:t>
            </w:r>
          </w:p>
        </w:tc>
        <w:tc>
          <w:tcPr>
            <w:tcW w:w="12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11</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43.9</w:t>
            </w:r>
          </w:p>
        </w:tc>
        <w:tc>
          <w:tcPr>
            <w:tcW w:w="10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10.5</w:t>
            </w:r>
          </w:p>
        </w:tc>
        <w:tc>
          <w:tcPr>
            <w:tcW w:w="8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lang w:eastAsia="zh-CN"/>
              </w:rPr>
            </w:pPr>
            <w:r>
              <w:rPr>
                <w:rFonts w:hint="eastAsia" w:ascii="宋体" w:hAnsi="宋体" w:eastAsia="宋体" w:cs="宋体"/>
                <w:b w:val="0"/>
                <w:bCs/>
                <w:kern w:val="2"/>
                <w:sz w:val="21"/>
                <w:szCs w:val="21"/>
              </w:rPr>
              <w:t>47.</w:t>
            </w:r>
            <w:r>
              <w:rPr>
                <w:rFonts w:hint="eastAsia" w:ascii="宋体" w:hAnsi="宋体" w:eastAsia="宋体" w:cs="宋体"/>
                <w:b w:val="0"/>
                <w:bCs/>
                <w:kern w:val="2"/>
                <w:sz w:val="21"/>
                <w:szCs w:val="21"/>
                <w:lang w:val="en-US" w:eastAsia="zh-CN"/>
              </w:rPr>
              <w:t>2</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10.5</w:t>
            </w:r>
          </w:p>
        </w:tc>
        <w:tc>
          <w:tcPr>
            <w:tcW w:w="7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lang w:eastAsia="zh-CN"/>
              </w:rPr>
            </w:pPr>
            <w:r>
              <w:rPr>
                <w:rFonts w:hint="eastAsia" w:ascii="宋体" w:hAnsi="宋体" w:eastAsia="宋体" w:cs="宋体"/>
                <w:b w:val="0"/>
                <w:bCs/>
                <w:kern w:val="2"/>
                <w:sz w:val="21"/>
                <w:szCs w:val="21"/>
              </w:rPr>
              <w:t>62.</w:t>
            </w:r>
            <w:r>
              <w:rPr>
                <w:rFonts w:hint="eastAsia" w:ascii="宋体" w:hAnsi="宋体" w:eastAsia="宋体" w:cs="宋体"/>
                <w:b w:val="0"/>
                <w:bCs/>
                <w:kern w:val="2"/>
                <w:sz w:val="21"/>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3153" w:type="dxa"/>
            <w:gridSpan w:val="4"/>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丙、丁、戊类物品生产厂房、库房和丙类液体储罐以及容积不大于50m</w:t>
            </w:r>
            <w:r>
              <w:rPr>
                <w:rFonts w:hint="eastAsia" w:ascii="宋体" w:hAnsi="宋体" w:eastAsia="宋体" w:cs="宋体"/>
                <w:b w:val="0"/>
                <w:bCs/>
                <w:kern w:val="2"/>
                <w:sz w:val="21"/>
                <w:szCs w:val="21"/>
                <w:vertAlign w:val="superscript"/>
              </w:rPr>
              <w:t>3</w:t>
            </w:r>
            <w:r>
              <w:rPr>
                <w:rFonts w:hint="eastAsia" w:ascii="宋体" w:hAnsi="宋体" w:eastAsia="宋体" w:cs="宋体"/>
                <w:b w:val="0"/>
                <w:bCs/>
                <w:kern w:val="2"/>
                <w:sz w:val="21"/>
                <w:szCs w:val="21"/>
              </w:rPr>
              <w:t>的埋地甲、乙类液体储罐（南面 广东方振新材料精密组件有限公司厂房）</w:t>
            </w:r>
          </w:p>
        </w:tc>
        <w:tc>
          <w:tcPr>
            <w:tcW w:w="12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11</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lang w:eastAsia="zh-CN"/>
              </w:rPr>
            </w:pPr>
            <w:r>
              <w:rPr>
                <w:rFonts w:hint="eastAsia" w:ascii="宋体" w:hAnsi="宋体" w:eastAsia="宋体" w:cs="宋体"/>
                <w:b w:val="0"/>
                <w:bCs/>
                <w:kern w:val="2"/>
                <w:sz w:val="21"/>
                <w:szCs w:val="21"/>
              </w:rPr>
              <w:t>23.</w:t>
            </w:r>
            <w:r>
              <w:rPr>
                <w:rFonts w:hint="eastAsia" w:ascii="宋体" w:hAnsi="宋体" w:eastAsia="宋体" w:cs="宋体"/>
                <w:b w:val="0"/>
                <w:bCs/>
                <w:kern w:val="2"/>
                <w:sz w:val="21"/>
                <w:szCs w:val="21"/>
                <w:lang w:val="en-US" w:eastAsia="zh-CN"/>
              </w:rPr>
              <w:t>0</w:t>
            </w:r>
          </w:p>
        </w:tc>
        <w:tc>
          <w:tcPr>
            <w:tcW w:w="10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10.5</w:t>
            </w:r>
          </w:p>
        </w:tc>
        <w:tc>
          <w:tcPr>
            <w:tcW w:w="8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lang w:eastAsia="zh-CN"/>
              </w:rPr>
            </w:pPr>
            <w:r>
              <w:rPr>
                <w:rFonts w:hint="eastAsia" w:ascii="宋体" w:hAnsi="宋体" w:eastAsia="宋体" w:cs="宋体"/>
                <w:b w:val="0"/>
                <w:bCs/>
                <w:kern w:val="2"/>
                <w:sz w:val="21"/>
                <w:szCs w:val="21"/>
              </w:rPr>
              <w:t>24.</w:t>
            </w:r>
            <w:r>
              <w:rPr>
                <w:rFonts w:hint="eastAsia" w:ascii="宋体" w:hAnsi="宋体" w:eastAsia="宋体" w:cs="宋体"/>
                <w:b w:val="0"/>
                <w:bCs/>
                <w:kern w:val="2"/>
                <w:sz w:val="21"/>
                <w:szCs w:val="21"/>
                <w:lang w:val="en-US" w:eastAsia="zh-CN"/>
              </w:rPr>
              <w:t>9</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10.5</w:t>
            </w:r>
          </w:p>
        </w:tc>
        <w:tc>
          <w:tcPr>
            <w:tcW w:w="7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35.6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38" w:type="dxa"/>
            <w:tcBorders>
              <w:top w:val="single" w:color="auto" w:sz="4" w:space="0"/>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城市道路</w:t>
            </w:r>
          </w:p>
        </w:tc>
        <w:tc>
          <w:tcPr>
            <w:tcW w:w="2515"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快速路、主干路</w:t>
            </w:r>
          </w:p>
          <w:p>
            <w:pPr>
              <w:keepNext w:val="0"/>
              <w:keepLines w:val="0"/>
              <w:suppressLineNumbers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（北面 莞樟路）</w:t>
            </w:r>
          </w:p>
        </w:tc>
        <w:tc>
          <w:tcPr>
            <w:tcW w:w="12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5.5</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54.2</w:t>
            </w:r>
          </w:p>
        </w:tc>
        <w:tc>
          <w:tcPr>
            <w:tcW w:w="10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5</w:t>
            </w:r>
          </w:p>
        </w:tc>
        <w:tc>
          <w:tcPr>
            <w:tcW w:w="8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64.4</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5</w:t>
            </w:r>
          </w:p>
        </w:tc>
        <w:tc>
          <w:tcPr>
            <w:tcW w:w="7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31.2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53" w:type="dxa"/>
            <w:gridSpan w:val="4"/>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架空通信线</w:t>
            </w:r>
          </w:p>
          <w:p>
            <w:pPr>
              <w:keepNext w:val="0"/>
              <w:keepLines w:val="0"/>
              <w:suppressLineNumbers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（北面 杆高5m架空通信线）</w:t>
            </w:r>
          </w:p>
        </w:tc>
        <w:tc>
          <w:tcPr>
            <w:tcW w:w="12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5</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lang w:eastAsia="zh-CN"/>
              </w:rPr>
            </w:pPr>
            <w:r>
              <w:rPr>
                <w:rFonts w:hint="eastAsia" w:ascii="宋体" w:hAnsi="宋体" w:eastAsia="宋体" w:cs="宋体"/>
                <w:b w:val="0"/>
                <w:bCs/>
                <w:kern w:val="2"/>
                <w:sz w:val="21"/>
                <w:szCs w:val="21"/>
              </w:rPr>
              <w:t>48.</w:t>
            </w:r>
            <w:r>
              <w:rPr>
                <w:rFonts w:hint="eastAsia" w:ascii="宋体" w:hAnsi="宋体" w:eastAsia="宋体" w:cs="宋体"/>
                <w:b w:val="0"/>
                <w:bCs/>
                <w:kern w:val="2"/>
                <w:sz w:val="21"/>
                <w:szCs w:val="21"/>
                <w:lang w:val="en-US" w:eastAsia="zh-CN"/>
              </w:rPr>
              <w:t>8</w:t>
            </w:r>
          </w:p>
        </w:tc>
        <w:tc>
          <w:tcPr>
            <w:tcW w:w="10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5</w:t>
            </w:r>
          </w:p>
        </w:tc>
        <w:tc>
          <w:tcPr>
            <w:tcW w:w="8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lang w:eastAsia="zh-CN"/>
              </w:rPr>
            </w:pPr>
            <w:r>
              <w:rPr>
                <w:rFonts w:hint="eastAsia" w:ascii="宋体" w:hAnsi="宋体" w:eastAsia="宋体" w:cs="宋体"/>
                <w:b w:val="0"/>
                <w:bCs/>
                <w:kern w:val="2"/>
                <w:sz w:val="21"/>
                <w:szCs w:val="21"/>
              </w:rPr>
              <w:t>58.</w:t>
            </w:r>
            <w:r>
              <w:rPr>
                <w:rFonts w:hint="eastAsia" w:ascii="宋体" w:hAnsi="宋体" w:eastAsia="宋体" w:cs="宋体"/>
                <w:b w:val="0"/>
                <w:bCs/>
                <w:kern w:val="2"/>
                <w:sz w:val="21"/>
                <w:szCs w:val="21"/>
                <w:lang w:val="en-US" w:eastAsia="zh-CN"/>
              </w:rPr>
              <w:t>8</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5</w:t>
            </w:r>
          </w:p>
        </w:tc>
        <w:tc>
          <w:tcPr>
            <w:tcW w:w="7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lang w:eastAsia="zh-CN"/>
              </w:rPr>
            </w:pPr>
            <w:r>
              <w:rPr>
                <w:rFonts w:hint="eastAsia" w:ascii="宋体" w:hAnsi="宋体" w:eastAsia="宋体" w:cs="宋体"/>
                <w:b w:val="0"/>
                <w:bCs/>
                <w:kern w:val="2"/>
                <w:sz w:val="21"/>
                <w:szCs w:val="21"/>
              </w:rPr>
              <w:t>21.</w:t>
            </w:r>
            <w:r>
              <w:rPr>
                <w:rFonts w:hint="eastAsia" w:ascii="宋体" w:hAnsi="宋体" w:eastAsia="宋体" w:cs="宋体"/>
                <w:b w:val="0"/>
                <w:bCs/>
                <w:kern w:val="2"/>
                <w:sz w:val="21"/>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922" w:type="dxa"/>
            <w:gridSpan w:val="2"/>
            <w:tcBorders>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kern w:val="2"/>
                <w:sz w:val="21"/>
                <w:szCs w:val="21"/>
                <w:highlight w:val="none"/>
              </w:rPr>
            </w:pPr>
            <w:r>
              <w:rPr>
                <w:rFonts w:hint="eastAsia" w:ascii="宋体" w:hAnsi="宋体" w:eastAsia="宋体" w:cs="宋体"/>
                <w:b w:val="0"/>
                <w:bCs/>
                <w:kern w:val="2"/>
                <w:sz w:val="21"/>
                <w:szCs w:val="21"/>
                <w:highlight w:val="none"/>
              </w:rPr>
              <w:t>架空电力线路</w:t>
            </w:r>
          </w:p>
        </w:tc>
        <w:tc>
          <w:tcPr>
            <w:tcW w:w="2231" w:type="dxa"/>
            <w:gridSpan w:val="2"/>
            <w:tcBorders>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 w:val="0"/>
                <w:bCs/>
                <w:kern w:val="2"/>
                <w:sz w:val="21"/>
                <w:szCs w:val="21"/>
                <w:highlight w:val="none"/>
              </w:rPr>
            </w:pPr>
            <w:r>
              <w:rPr>
                <w:rFonts w:hint="eastAsia" w:ascii="宋体" w:hAnsi="宋体" w:eastAsia="宋体" w:cs="宋体"/>
                <w:b w:val="0"/>
                <w:bCs/>
                <w:kern w:val="2"/>
                <w:sz w:val="21"/>
                <w:szCs w:val="21"/>
                <w:highlight w:val="none"/>
                <w:lang w:eastAsia="zh-CN"/>
              </w:rPr>
              <w:t>无</w:t>
            </w:r>
            <w:r>
              <w:rPr>
                <w:rFonts w:hint="eastAsia" w:ascii="宋体" w:hAnsi="宋体" w:eastAsia="宋体" w:cs="宋体"/>
                <w:b w:val="0"/>
                <w:bCs/>
                <w:kern w:val="2"/>
                <w:sz w:val="21"/>
                <w:szCs w:val="21"/>
                <w:highlight w:val="none"/>
              </w:rPr>
              <w:t>绝缘层（东面 杆高12m架空电力线</w:t>
            </w:r>
          </w:p>
        </w:tc>
        <w:tc>
          <w:tcPr>
            <w:tcW w:w="12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highlight w:val="none"/>
                <w:lang w:val="en-US" w:eastAsia="zh-CN"/>
              </w:rPr>
            </w:pPr>
            <w:r>
              <w:rPr>
                <w:rFonts w:hint="eastAsia" w:ascii="宋体" w:hAnsi="宋体" w:eastAsia="宋体" w:cs="宋体"/>
                <w:b w:val="0"/>
                <w:bCs/>
                <w:kern w:val="2"/>
                <w:sz w:val="21"/>
                <w:szCs w:val="21"/>
                <w:highlight w:val="none"/>
                <w:lang w:val="en-US" w:eastAsia="zh-CN"/>
              </w:rPr>
              <w:t>12</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highlight w:val="none"/>
                <w:lang w:eastAsia="zh-CN"/>
              </w:rPr>
            </w:pPr>
            <w:r>
              <w:rPr>
                <w:rFonts w:hint="eastAsia" w:ascii="宋体" w:hAnsi="宋体" w:eastAsia="宋体" w:cs="宋体"/>
                <w:b w:val="0"/>
                <w:bCs/>
                <w:kern w:val="2"/>
                <w:sz w:val="21"/>
                <w:szCs w:val="21"/>
                <w:highlight w:val="none"/>
              </w:rPr>
              <w:t>16.</w:t>
            </w:r>
            <w:r>
              <w:rPr>
                <w:rFonts w:hint="eastAsia" w:ascii="宋体" w:hAnsi="宋体" w:eastAsia="宋体" w:cs="宋体"/>
                <w:b w:val="0"/>
                <w:bCs/>
                <w:kern w:val="2"/>
                <w:sz w:val="21"/>
                <w:szCs w:val="21"/>
                <w:highlight w:val="none"/>
                <w:lang w:val="en-US" w:eastAsia="zh-CN"/>
              </w:rPr>
              <w:t>4</w:t>
            </w:r>
          </w:p>
        </w:tc>
        <w:tc>
          <w:tcPr>
            <w:tcW w:w="10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eastAsia="宋体" w:cs="宋体"/>
                <w:b w:val="0"/>
                <w:bCs/>
                <w:kern w:val="2"/>
                <w:sz w:val="21"/>
                <w:szCs w:val="21"/>
                <w:highlight w:val="none"/>
                <w:lang w:val="en-US" w:eastAsia="zh-CN"/>
              </w:rPr>
            </w:pPr>
            <w:r>
              <w:rPr>
                <w:rFonts w:hint="eastAsia" w:cs="宋体"/>
                <w:b w:val="0"/>
                <w:bCs/>
                <w:kern w:val="2"/>
                <w:sz w:val="21"/>
                <w:szCs w:val="21"/>
                <w:highlight w:val="none"/>
                <w:lang w:val="en-US" w:eastAsia="zh-CN"/>
              </w:rPr>
              <w:t>6.5</w:t>
            </w:r>
          </w:p>
        </w:tc>
        <w:tc>
          <w:tcPr>
            <w:tcW w:w="8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highlight w:val="none"/>
              </w:rPr>
            </w:pPr>
            <w:r>
              <w:rPr>
                <w:rFonts w:hint="eastAsia" w:ascii="宋体" w:hAnsi="宋体" w:eastAsia="宋体" w:cs="宋体"/>
                <w:b w:val="0"/>
                <w:bCs/>
                <w:kern w:val="2"/>
                <w:sz w:val="21"/>
                <w:szCs w:val="21"/>
                <w:highlight w:val="none"/>
              </w:rPr>
              <w:t>19.9</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eastAsia="宋体" w:cs="宋体"/>
                <w:b w:val="0"/>
                <w:bCs/>
                <w:kern w:val="2"/>
                <w:sz w:val="21"/>
                <w:szCs w:val="21"/>
                <w:highlight w:val="none"/>
                <w:lang w:val="en-US" w:eastAsia="zh-CN"/>
              </w:rPr>
            </w:pPr>
            <w:r>
              <w:rPr>
                <w:rFonts w:hint="eastAsia" w:cs="宋体"/>
                <w:b w:val="0"/>
                <w:bCs/>
                <w:kern w:val="2"/>
                <w:sz w:val="21"/>
                <w:szCs w:val="21"/>
                <w:highlight w:val="none"/>
                <w:lang w:val="en-US" w:eastAsia="zh-CN"/>
              </w:rPr>
              <w:t>6.5</w:t>
            </w:r>
          </w:p>
        </w:tc>
        <w:tc>
          <w:tcPr>
            <w:tcW w:w="7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highlight w:val="none"/>
                <w:lang w:eastAsia="zh-CN"/>
              </w:rPr>
            </w:pPr>
            <w:r>
              <w:rPr>
                <w:rFonts w:hint="eastAsia" w:ascii="宋体" w:hAnsi="宋体" w:eastAsia="宋体" w:cs="宋体"/>
                <w:b w:val="0"/>
                <w:bCs/>
                <w:kern w:val="2"/>
                <w:sz w:val="21"/>
                <w:szCs w:val="21"/>
                <w:highlight w:val="none"/>
              </w:rPr>
              <w:t>32.</w:t>
            </w:r>
            <w:r>
              <w:rPr>
                <w:rFonts w:hint="eastAsia" w:ascii="宋体" w:hAnsi="宋体" w:eastAsia="宋体" w:cs="宋体"/>
                <w:b w:val="0"/>
                <w:bCs/>
                <w:kern w:val="2"/>
                <w:sz w:val="21"/>
                <w:szCs w:val="21"/>
                <w:highlight w:val="none"/>
                <w:lang w:val="en-US" w:eastAsia="zh-CN"/>
              </w:rPr>
              <w:t>4</w:t>
            </w:r>
          </w:p>
        </w:tc>
      </w:tr>
    </w:tbl>
    <w:p>
      <w:pPr>
        <w:adjustRightInd w:val="0"/>
        <w:snapToGrid w:val="0"/>
        <w:spacing w:line="240" w:lineRule="atLeast"/>
        <w:ind w:firstLine="440" w:firstLineChars="200"/>
        <w:jc w:val="left"/>
        <w:rPr>
          <w:rFonts w:hint="eastAsia" w:ascii="宋体" w:hAnsi="宋体" w:eastAsia="宋体" w:cs="宋体"/>
        </w:rPr>
      </w:pPr>
      <w:r>
        <w:rPr>
          <w:rFonts w:hint="eastAsia" w:ascii="宋体" w:hAnsi="宋体" w:eastAsia="宋体" w:cs="宋体"/>
        </w:rPr>
        <w:t>注：1.本表根据《汽车加油加气站设计与施工规范》（GB 50156－2012）（2014年局部修订版）表4.0.4制得。</w:t>
      </w:r>
    </w:p>
    <w:p>
      <w:pPr>
        <w:spacing w:line="360" w:lineRule="auto"/>
        <w:ind w:firstLine="440" w:firstLineChars="200"/>
        <w:jc w:val="left"/>
        <w:rPr>
          <w:rFonts w:hint="eastAsia" w:ascii="宋体" w:hAnsi="宋体" w:eastAsia="宋体" w:cs="宋体"/>
        </w:rPr>
      </w:pPr>
      <w:r>
        <w:rPr>
          <w:rFonts w:hint="eastAsia" w:ascii="宋体" w:hAnsi="宋体" w:eastAsia="宋体" w:cs="宋体"/>
          <w:lang w:val="en-US" w:eastAsia="zh-CN"/>
        </w:rPr>
        <w:t>2</w:t>
      </w:r>
      <w:r>
        <w:rPr>
          <w:rFonts w:hint="eastAsia" w:ascii="宋体" w:hAnsi="宋体" w:eastAsia="宋体" w:cs="宋体"/>
        </w:rPr>
        <w:t>.“—”表示无此类别建构筑物或符合要求。</w:t>
      </w:r>
    </w:p>
    <w:p>
      <w:pPr>
        <w:spacing w:line="500" w:lineRule="exact"/>
        <w:jc w:val="center"/>
        <w:rPr>
          <w:rFonts w:hint="eastAsia" w:ascii="宋体" w:hAnsi="宋体" w:eastAsia="宋体" w:cs="宋体"/>
          <w:sz w:val="21"/>
          <w:szCs w:val="21"/>
        </w:rPr>
      </w:pPr>
      <w:bookmarkStart w:id="163" w:name="_Toc7491_WPSOffice_Level3"/>
      <w:bookmarkStart w:id="164" w:name="_Toc7142_WPSOffice_Level3"/>
      <w:r>
        <w:rPr>
          <w:rFonts w:hint="eastAsia" w:ascii="宋体" w:hAnsi="宋体" w:eastAsia="宋体" w:cs="宋体"/>
          <w:sz w:val="21"/>
          <w:szCs w:val="21"/>
        </w:rPr>
        <w:t>表2.2-</w:t>
      </w:r>
      <w:r>
        <w:rPr>
          <w:rFonts w:hint="eastAsia" w:ascii="宋体" w:hAnsi="宋体" w:eastAsia="宋体" w:cs="宋体"/>
          <w:sz w:val="21"/>
          <w:szCs w:val="21"/>
          <w:lang w:val="en-US"/>
        </w:rPr>
        <w:t>2</w:t>
      </w:r>
      <w:r>
        <w:rPr>
          <w:rFonts w:hint="eastAsia" w:ascii="宋体" w:hAnsi="宋体" w:eastAsia="宋体" w:cs="宋体"/>
          <w:sz w:val="21"/>
          <w:szCs w:val="21"/>
        </w:rPr>
        <w:t xml:space="preserve"> </w:t>
      </w:r>
      <w:r>
        <w:rPr>
          <w:rFonts w:hint="eastAsia" w:ascii="宋体" w:hAnsi="宋体" w:eastAsia="宋体" w:cs="宋体"/>
          <w:szCs w:val="21"/>
          <w:lang w:eastAsia="zh-CN"/>
        </w:rPr>
        <w:t>柴</w:t>
      </w:r>
      <w:r>
        <w:rPr>
          <w:rFonts w:hint="eastAsia" w:ascii="宋体" w:hAnsi="宋体" w:eastAsia="宋体" w:cs="宋体"/>
          <w:szCs w:val="21"/>
        </w:rPr>
        <w:t>油罐、</w:t>
      </w:r>
      <w:r>
        <w:rPr>
          <w:rFonts w:hint="eastAsia" w:ascii="宋体" w:hAnsi="宋体" w:eastAsia="宋体" w:cs="宋体"/>
          <w:szCs w:val="21"/>
          <w:lang w:eastAsia="zh-CN"/>
        </w:rPr>
        <w:t>柴油</w:t>
      </w:r>
      <w:r>
        <w:rPr>
          <w:rFonts w:hint="eastAsia" w:ascii="宋体" w:hAnsi="宋体" w:eastAsia="宋体" w:cs="宋体"/>
          <w:szCs w:val="21"/>
        </w:rPr>
        <w:t>加油机及通气管口与站外建、构筑物的防火距离</w:t>
      </w:r>
      <w:r>
        <w:rPr>
          <w:rFonts w:hint="eastAsia" w:ascii="宋体" w:hAnsi="宋体" w:eastAsia="宋体" w:cs="宋体"/>
          <w:sz w:val="21"/>
          <w:szCs w:val="21"/>
        </w:rPr>
        <w:t>（单位：</w:t>
      </w:r>
      <w:r>
        <w:rPr>
          <w:rFonts w:hint="eastAsia" w:ascii="宋体" w:hAnsi="宋体" w:eastAsia="宋体" w:cs="宋体"/>
          <w:sz w:val="21"/>
          <w:szCs w:val="21"/>
          <w:lang w:val="en-US"/>
        </w:rPr>
        <w:t>m</w:t>
      </w:r>
      <w:r>
        <w:rPr>
          <w:rFonts w:hint="eastAsia" w:ascii="宋体" w:hAnsi="宋体" w:eastAsia="宋体" w:cs="宋体"/>
          <w:sz w:val="21"/>
          <w:szCs w:val="21"/>
        </w:rPr>
        <w:t>）</w:t>
      </w:r>
      <w:bookmarkEnd w:id="163"/>
      <w:bookmarkEnd w:id="164"/>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3"/>
        <w:gridCol w:w="284"/>
        <w:gridCol w:w="18"/>
        <w:gridCol w:w="2296"/>
        <w:gridCol w:w="1211"/>
        <w:gridCol w:w="928"/>
        <w:gridCol w:w="893"/>
        <w:gridCol w:w="999"/>
        <w:gridCol w:w="897"/>
        <w:gridCol w:w="10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3241" w:type="dxa"/>
            <w:gridSpan w:val="4"/>
            <w:vMerge w:val="restart"/>
            <w:tcBorders>
              <w:top w:val="single" w:color="auto" w:sz="4" w:space="0"/>
              <w:left w:val="single" w:color="auto" w:sz="4" w:space="0"/>
              <w:bottom w:val="single" w:color="auto" w:sz="4" w:space="0"/>
              <w:right w:val="single" w:color="auto" w:sz="4" w:space="0"/>
              <w:tl2br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firstLine="2100" w:firstLineChars="1000"/>
              <w:rPr>
                <w:rFonts w:hint="eastAsia" w:ascii="宋体" w:hAnsi="宋体" w:eastAsia="宋体" w:cs="宋体"/>
                <w:bCs/>
                <w:kern w:val="2"/>
                <w:sz w:val="21"/>
                <w:szCs w:val="21"/>
              </w:rPr>
            </w:pPr>
            <w:r>
              <w:rPr>
                <w:rFonts w:hint="eastAsia" w:ascii="宋体" w:hAnsi="宋体" w:eastAsia="宋体" w:cs="宋体"/>
                <w:bCs/>
                <w:kern w:val="2"/>
                <w:sz w:val="21"/>
                <w:szCs w:val="21"/>
              </w:rPr>
              <w:t>级   别</w:t>
            </w:r>
          </w:p>
          <w:p>
            <w:pPr>
              <w:keepNext w:val="0"/>
              <w:keepLines w:val="0"/>
              <w:suppressLineNumbers w:val="0"/>
              <w:adjustRightInd w:val="0"/>
              <w:snapToGrid w:val="0"/>
              <w:spacing w:before="0" w:beforeAutospacing="0" w:after="0" w:afterAutospacing="0"/>
              <w:ind w:left="0" w:right="0" w:firstLine="420" w:firstLineChars="200"/>
              <w:rPr>
                <w:rFonts w:hint="eastAsia" w:ascii="宋体" w:hAnsi="宋体" w:eastAsia="宋体" w:cs="宋体"/>
                <w:bCs/>
                <w:kern w:val="2"/>
                <w:sz w:val="21"/>
                <w:szCs w:val="21"/>
              </w:rPr>
            </w:pPr>
            <w:r>
              <w:rPr>
                <w:rFonts w:hint="eastAsia" w:ascii="宋体" w:hAnsi="宋体" w:eastAsia="宋体" w:cs="宋体"/>
                <w:bCs/>
                <w:kern w:val="2"/>
                <w:sz w:val="21"/>
                <w:szCs w:val="21"/>
              </w:rPr>
              <w:t>项   目</w:t>
            </w:r>
          </w:p>
        </w:tc>
        <w:tc>
          <w:tcPr>
            <w:tcW w:w="213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Cs/>
                <w:kern w:val="2"/>
                <w:sz w:val="21"/>
                <w:szCs w:val="21"/>
              </w:rPr>
            </w:pPr>
            <w:r>
              <w:rPr>
                <w:rFonts w:hint="eastAsia" w:ascii="宋体" w:hAnsi="宋体" w:eastAsia="宋体" w:cs="宋体"/>
                <w:bCs/>
                <w:kern w:val="2"/>
                <w:sz w:val="21"/>
                <w:szCs w:val="21"/>
              </w:rPr>
              <w:t>埋地油罐</w:t>
            </w:r>
          </w:p>
        </w:tc>
        <w:tc>
          <w:tcPr>
            <w:tcW w:w="1892" w:type="dxa"/>
            <w:gridSpan w:val="2"/>
            <w:vMerge w:val="restart"/>
            <w:tcBorders>
              <w:top w:val="single" w:color="auto" w:sz="4" w:space="0"/>
              <w:left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Cs/>
                <w:kern w:val="2"/>
                <w:sz w:val="21"/>
                <w:szCs w:val="21"/>
              </w:rPr>
            </w:pPr>
            <w:r>
              <w:rPr>
                <w:rFonts w:hint="eastAsia" w:ascii="宋体" w:hAnsi="宋体" w:eastAsia="宋体" w:cs="宋体"/>
                <w:bCs/>
                <w:kern w:val="2"/>
                <w:sz w:val="21"/>
                <w:szCs w:val="21"/>
              </w:rPr>
              <w:t>通气管管口</w:t>
            </w:r>
          </w:p>
        </w:tc>
        <w:tc>
          <w:tcPr>
            <w:tcW w:w="1910" w:type="dxa"/>
            <w:gridSpan w:val="2"/>
            <w:vMerge w:val="restart"/>
            <w:tcBorders>
              <w:top w:val="single" w:color="auto" w:sz="4" w:space="0"/>
              <w:left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Cs/>
                <w:kern w:val="2"/>
                <w:sz w:val="21"/>
                <w:szCs w:val="21"/>
              </w:rPr>
            </w:pPr>
            <w:r>
              <w:rPr>
                <w:rFonts w:hint="eastAsia" w:ascii="宋体" w:hAnsi="宋体" w:eastAsia="宋体" w:cs="宋体"/>
                <w:bCs/>
                <w:kern w:val="2"/>
                <w:sz w:val="21"/>
                <w:szCs w:val="21"/>
              </w:rPr>
              <w:t>加油机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3241" w:type="dxa"/>
            <w:gridSpan w:val="4"/>
            <w:vMerge w:val="continue"/>
            <w:tcBorders>
              <w:top w:val="single" w:color="auto" w:sz="4" w:space="0"/>
              <w:left w:val="single" w:color="auto" w:sz="4" w:space="0"/>
              <w:bottom w:val="single" w:color="auto" w:sz="4" w:space="0"/>
              <w:right w:val="single" w:color="auto" w:sz="4" w:space="0"/>
              <w:tl2br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Cs/>
                <w:kern w:val="2"/>
                <w:sz w:val="21"/>
                <w:szCs w:val="21"/>
              </w:rPr>
            </w:pPr>
          </w:p>
        </w:tc>
        <w:tc>
          <w:tcPr>
            <w:tcW w:w="213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eastAsia="宋体" w:cs="宋体"/>
                <w:b w:val="0"/>
                <w:bCs/>
                <w:kern w:val="2"/>
                <w:sz w:val="21"/>
                <w:szCs w:val="21"/>
                <w:lang w:val="zh-CN" w:eastAsia="zh-CN" w:bidi="zh-CN"/>
              </w:rPr>
            </w:pPr>
            <w:r>
              <w:rPr>
                <w:rFonts w:hint="eastAsia" w:ascii="宋体" w:hAnsi="宋体" w:eastAsia="宋体" w:cs="宋体"/>
                <w:b w:val="0"/>
                <w:bCs/>
                <w:kern w:val="2"/>
                <w:sz w:val="21"/>
                <w:szCs w:val="21"/>
              </w:rPr>
              <w:t>二级站</w:t>
            </w:r>
          </w:p>
        </w:tc>
        <w:tc>
          <w:tcPr>
            <w:tcW w:w="1892" w:type="dxa"/>
            <w:gridSpan w:val="2"/>
            <w:vMerge w:val="continue"/>
            <w:tcBorders>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eastAsia="宋体" w:cs="宋体"/>
                <w:b w:val="0"/>
                <w:bCs/>
                <w:kern w:val="2"/>
                <w:sz w:val="21"/>
                <w:szCs w:val="21"/>
              </w:rPr>
            </w:pPr>
          </w:p>
        </w:tc>
        <w:tc>
          <w:tcPr>
            <w:tcW w:w="1910" w:type="dxa"/>
            <w:gridSpan w:val="2"/>
            <w:vMerge w:val="continue"/>
            <w:tcBorders>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eastAsia="宋体" w:cs="宋体"/>
                <w:b w:val="0"/>
                <w:bCs/>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3241" w:type="dxa"/>
            <w:gridSpan w:val="4"/>
            <w:vMerge w:val="continue"/>
            <w:tcBorders>
              <w:top w:val="single" w:color="auto" w:sz="4" w:space="0"/>
              <w:left w:val="single" w:color="auto" w:sz="4" w:space="0"/>
              <w:bottom w:val="single" w:color="auto" w:sz="4" w:space="0"/>
              <w:right w:val="single" w:color="auto" w:sz="4" w:space="0"/>
              <w:tl2br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Cs/>
                <w:kern w:val="2"/>
                <w:sz w:val="21"/>
                <w:szCs w:val="21"/>
              </w:rPr>
            </w:pPr>
          </w:p>
        </w:tc>
        <w:tc>
          <w:tcPr>
            <w:tcW w:w="12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eastAsia="宋体" w:cs="宋体"/>
                <w:b w:val="0"/>
                <w:bCs/>
                <w:kern w:val="2"/>
                <w:sz w:val="21"/>
                <w:szCs w:val="21"/>
                <w:lang w:val="zh-CN" w:eastAsia="zh-CN" w:bidi="zh-CN"/>
              </w:rPr>
            </w:pPr>
            <w:r>
              <w:rPr>
                <w:rFonts w:hint="eastAsia" w:ascii="宋体" w:hAnsi="宋体" w:eastAsia="宋体" w:cs="宋体"/>
                <w:b w:val="0"/>
                <w:bCs/>
                <w:kern w:val="2"/>
                <w:sz w:val="21"/>
                <w:szCs w:val="21"/>
              </w:rPr>
              <w:t>标准</w:t>
            </w:r>
          </w:p>
        </w:tc>
        <w:tc>
          <w:tcPr>
            <w:tcW w:w="9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eastAsia="宋体" w:cs="宋体"/>
                <w:b w:val="0"/>
                <w:bCs/>
                <w:kern w:val="2"/>
                <w:sz w:val="21"/>
                <w:szCs w:val="21"/>
                <w:lang w:val="zh-CN" w:eastAsia="zh-CN" w:bidi="zh-CN"/>
              </w:rPr>
            </w:pPr>
            <w:r>
              <w:rPr>
                <w:rFonts w:hint="eastAsia" w:ascii="宋体" w:hAnsi="宋体" w:eastAsia="宋体" w:cs="宋体"/>
                <w:b w:val="0"/>
                <w:bCs/>
                <w:kern w:val="2"/>
                <w:sz w:val="21"/>
                <w:szCs w:val="21"/>
                <w:lang w:eastAsia="zh-CN"/>
              </w:rPr>
              <w:t>实测</w:t>
            </w:r>
          </w:p>
        </w:tc>
        <w:tc>
          <w:tcPr>
            <w:tcW w:w="8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eastAsia="宋体" w:cs="宋体"/>
                <w:b w:val="0"/>
                <w:bCs/>
                <w:kern w:val="2"/>
                <w:sz w:val="21"/>
                <w:szCs w:val="21"/>
                <w:lang w:val="zh-CN" w:eastAsia="zh-CN" w:bidi="zh-CN"/>
              </w:rPr>
            </w:pPr>
            <w:r>
              <w:rPr>
                <w:rFonts w:hint="eastAsia" w:ascii="宋体" w:hAnsi="宋体" w:eastAsia="宋体" w:cs="宋体"/>
                <w:b w:val="0"/>
                <w:bCs/>
                <w:kern w:val="2"/>
                <w:sz w:val="21"/>
                <w:szCs w:val="21"/>
              </w:rPr>
              <w:t>标准</w:t>
            </w:r>
          </w:p>
        </w:tc>
        <w:tc>
          <w:tcPr>
            <w:tcW w:w="9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eastAsia="宋体" w:cs="宋体"/>
                <w:b w:val="0"/>
                <w:bCs/>
                <w:kern w:val="2"/>
                <w:sz w:val="21"/>
                <w:szCs w:val="21"/>
                <w:lang w:val="zh-CN" w:eastAsia="zh-CN" w:bidi="zh-CN"/>
              </w:rPr>
            </w:pPr>
            <w:r>
              <w:rPr>
                <w:rFonts w:hint="eastAsia" w:ascii="宋体" w:hAnsi="宋体" w:eastAsia="宋体" w:cs="宋体"/>
                <w:b w:val="0"/>
                <w:bCs/>
                <w:kern w:val="2"/>
                <w:sz w:val="21"/>
                <w:szCs w:val="21"/>
                <w:lang w:eastAsia="zh-CN"/>
              </w:rPr>
              <w:t>实测</w:t>
            </w:r>
          </w:p>
        </w:tc>
        <w:tc>
          <w:tcPr>
            <w:tcW w:w="8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eastAsia="宋体" w:cs="宋体"/>
                <w:b w:val="0"/>
                <w:bCs/>
                <w:kern w:val="2"/>
                <w:sz w:val="21"/>
                <w:szCs w:val="21"/>
                <w:lang w:val="zh-CN" w:eastAsia="zh-CN" w:bidi="zh-CN"/>
              </w:rPr>
            </w:pPr>
            <w:r>
              <w:rPr>
                <w:rFonts w:hint="eastAsia" w:ascii="宋体" w:hAnsi="宋体" w:eastAsia="宋体" w:cs="宋体"/>
                <w:b w:val="0"/>
                <w:bCs/>
                <w:kern w:val="2"/>
                <w:sz w:val="21"/>
                <w:szCs w:val="21"/>
              </w:rPr>
              <w:t>标准</w:t>
            </w:r>
          </w:p>
        </w:tc>
        <w:tc>
          <w:tcPr>
            <w:tcW w:w="10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eastAsia="宋体" w:cs="宋体"/>
                <w:b w:val="0"/>
                <w:bCs/>
                <w:kern w:val="2"/>
                <w:sz w:val="21"/>
                <w:szCs w:val="21"/>
                <w:lang w:val="zh-CN" w:eastAsia="zh-CN" w:bidi="zh-CN"/>
              </w:rPr>
            </w:pPr>
            <w:r>
              <w:rPr>
                <w:rFonts w:hint="eastAsia" w:ascii="宋体" w:hAnsi="宋体" w:eastAsia="宋体" w:cs="宋体"/>
                <w:b w:val="0"/>
                <w:bCs/>
                <w:kern w:val="2"/>
                <w:sz w:val="21"/>
                <w:szCs w:val="21"/>
                <w:lang w:eastAsia="zh-CN"/>
              </w:rPr>
              <w:t>实测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3241"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Cs/>
                <w:kern w:val="2"/>
                <w:sz w:val="21"/>
                <w:szCs w:val="21"/>
              </w:rPr>
            </w:pPr>
            <w:r>
              <w:rPr>
                <w:rFonts w:hint="eastAsia" w:ascii="宋体" w:hAnsi="宋体" w:eastAsia="宋体" w:cs="宋体"/>
                <w:bCs/>
                <w:kern w:val="2"/>
                <w:sz w:val="21"/>
                <w:szCs w:val="21"/>
              </w:rPr>
              <w:t>重要公共建筑</w:t>
            </w:r>
          </w:p>
        </w:tc>
        <w:tc>
          <w:tcPr>
            <w:tcW w:w="12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25</w:t>
            </w:r>
          </w:p>
        </w:tc>
        <w:tc>
          <w:tcPr>
            <w:tcW w:w="9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Cs/>
                <w:kern w:val="2"/>
                <w:sz w:val="21"/>
                <w:szCs w:val="21"/>
              </w:rPr>
            </w:pPr>
            <w:r>
              <w:rPr>
                <w:rFonts w:hint="eastAsia" w:ascii="宋体" w:hAnsi="宋体" w:eastAsia="宋体" w:cs="宋体"/>
                <w:bCs/>
                <w:kern w:val="2"/>
                <w:sz w:val="21"/>
                <w:szCs w:val="21"/>
              </w:rPr>
              <w:t>—</w:t>
            </w:r>
          </w:p>
        </w:tc>
        <w:tc>
          <w:tcPr>
            <w:tcW w:w="8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25</w:t>
            </w:r>
          </w:p>
        </w:tc>
        <w:tc>
          <w:tcPr>
            <w:tcW w:w="9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Cs/>
                <w:kern w:val="2"/>
                <w:sz w:val="21"/>
                <w:szCs w:val="21"/>
              </w:rPr>
            </w:pPr>
            <w:r>
              <w:rPr>
                <w:rFonts w:hint="eastAsia" w:ascii="宋体" w:hAnsi="宋体" w:eastAsia="宋体" w:cs="宋体"/>
                <w:bCs/>
                <w:kern w:val="2"/>
                <w:sz w:val="21"/>
                <w:szCs w:val="21"/>
              </w:rPr>
              <w:t>—</w:t>
            </w:r>
          </w:p>
        </w:tc>
        <w:tc>
          <w:tcPr>
            <w:tcW w:w="8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25</w:t>
            </w:r>
          </w:p>
        </w:tc>
        <w:tc>
          <w:tcPr>
            <w:tcW w:w="10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Cs/>
                <w:kern w:val="2"/>
                <w:sz w:val="21"/>
                <w:szCs w:val="21"/>
              </w:rPr>
            </w:pPr>
            <w:r>
              <w:rPr>
                <w:rFonts w:hint="eastAsia" w:ascii="宋体" w:hAnsi="宋体" w:eastAsia="宋体" w:cs="宋体"/>
                <w:bCs/>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3241"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Cs/>
                <w:kern w:val="2"/>
                <w:sz w:val="21"/>
                <w:szCs w:val="21"/>
              </w:rPr>
            </w:pPr>
            <w:r>
              <w:rPr>
                <w:rFonts w:hint="eastAsia" w:ascii="宋体" w:hAnsi="宋体" w:eastAsia="宋体" w:cs="宋体"/>
                <w:bCs/>
                <w:kern w:val="2"/>
                <w:sz w:val="21"/>
                <w:szCs w:val="21"/>
              </w:rPr>
              <w:t>明火地点或散发火花地点</w:t>
            </w:r>
          </w:p>
        </w:tc>
        <w:tc>
          <w:tcPr>
            <w:tcW w:w="12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12.5</w:t>
            </w:r>
          </w:p>
        </w:tc>
        <w:tc>
          <w:tcPr>
            <w:tcW w:w="9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Cs/>
                <w:kern w:val="2"/>
                <w:sz w:val="21"/>
                <w:szCs w:val="21"/>
              </w:rPr>
            </w:pPr>
            <w:r>
              <w:rPr>
                <w:rFonts w:hint="eastAsia" w:ascii="宋体" w:hAnsi="宋体" w:eastAsia="宋体" w:cs="宋体"/>
                <w:bCs/>
                <w:kern w:val="2"/>
                <w:sz w:val="21"/>
                <w:szCs w:val="21"/>
              </w:rPr>
              <w:t>—</w:t>
            </w:r>
          </w:p>
        </w:tc>
        <w:tc>
          <w:tcPr>
            <w:tcW w:w="8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10</w:t>
            </w:r>
          </w:p>
        </w:tc>
        <w:tc>
          <w:tcPr>
            <w:tcW w:w="9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Cs/>
                <w:kern w:val="2"/>
                <w:sz w:val="21"/>
                <w:szCs w:val="21"/>
              </w:rPr>
            </w:pPr>
            <w:r>
              <w:rPr>
                <w:rFonts w:hint="eastAsia" w:ascii="宋体" w:hAnsi="宋体" w:eastAsia="宋体" w:cs="宋体"/>
                <w:bCs/>
                <w:kern w:val="2"/>
                <w:sz w:val="21"/>
                <w:szCs w:val="21"/>
              </w:rPr>
              <w:t>—</w:t>
            </w:r>
          </w:p>
        </w:tc>
        <w:tc>
          <w:tcPr>
            <w:tcW w:w="8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10</w:t>
            </w:r>
          </w:p>
        </w:tc>
        <w:tc>
          <w:tcPr>
            <w:tcW w:w="10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Cs/>
                <w:kern w:val="2"/>
                <w:sz w:val="21"/>
                <w:szCs w:val="21"/>
              </w:rPr>
            </w:pPr>
            <w:r>
              <w:rPr>
                <w:rFonts w:hint="eastAsia" w:ascii="宋体" w:hAnsi="宋体" w:eastAsia="宋体" w:cs="宋体"/>
                <w:bCs/>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45" w:type="dxa"/>
            <w:gridSpan w:val="3"/>
            <w:vMerge w:val="restart"/>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Cs/>
                <w:kern w:val="2"/>
                <w:sz w:val="21"/>
                <w:szCs w:val="21"/>
              </w:rPr>
            </w:pPr>
            <w:r>
              <w:rPr>
                <w:rFonts w:hint="eastAsia" w:ascii="宋体" w:hAnsi="宋体" w:eastAsia="宋体" w:cs="宋体"/>
                <w:bCs/>
                <w:kern w:val="2"/>
                <w:sz w:val="21"/>
                <w:szCs w:val="21"/>
              </w:rPr>
              <w:t>民用建筑物保护类别</w:t>
            </w:r>
          </w:p>
        </w:tc>
        <w:tc>
          <w:tcPr>
            <w:tcW w:w="22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Cs/>
                <w:kern w:val="2"/>
                <w:sz w:val="21"/>
                <w:szCs w:val="21"/>
              </w:rPr>
            </w:pPr>
            <w:r>
              <w:rPr>
                <w:rFonts w:hint="eastAsia" w:ascii="宋体" w:hAnsi="宋体" w:eastAsia="宋体" w:cs="宋体"/>
                <w:bCs/>
                <w:kern w:val="2"/>
                <w:sz w:val="21"/>
                <w:szCs w:val="21"/>
              </w:rPr>
              <w:t>三类保护物</w:t>
            </w:r>
          </w:p>
          <w:p>
            <w:pPr>
              <w:keepNext w:val="0"/>
              <w:keepLines w:val="0"/>
              <w:suppressLineNumbers w:val="0"/>
              <w:spacing w:before="0" w:beforeAutospacing="0" w:after="0" w:afterAutospacing="0"/>
              <w:ind w:left="0" w:right="0"/>
              <w:jc w:val="center"/>
              <w:rPr>
                <w:rFonts w:hint="eastAsia" w:ascii="宋体" w:hAnsi="宋体" w:eastAsia="宋体" w:cs="宋体"/>
                <w:bCs/>
                <w:kern w:val="2"/>
                <w:sz w:val="21"/>
                <w:szCs w:val="21"/>
              </w:rPr>
            </w:pPr>
            <w:r>
              <w:rPr>
                <w:rFonts w:hint="eastAsia" w:ascii="宋体" w:hAnsi="宋体" w:eastAsia="宋体" w:cs="宋体"/>
                <w:bCs/>
                <w:kern w:val="2"/>
                <w:sz w:val="21"/>
                <w:szCs w:val="21"/>
              </w:rPr>
              <w:t xml:space="preserve">（东面 </w:t>
            </w:r>
            <w:r>
              <w:rPr>
                <w:rFonts w:hint="eastAsia" w:ascii="宋体" w:hAnsi="宋体" w:eastAsia="宋体" w:cs="宋体"/>
                <w:bCs/>
                <w:kern w:val="2"/>
                <w:sz w:val="21"/>
                <w:szCs w:val="21"/>
                <w:lang w:eastAsia="zh-CN"/>
              </w:rPr>
              <w:t>站内</w:t>
            </w:r>
            <w:r>
              <w:rPr>
                <w:rFonts w:hint="eastAsia" w:ascii="宋体" w:hAnsi="宋体" w:eastAsia="宋体" w:cs="宋体"/>
                <w:bCs/>
                <w:kern w:val="2"/>
                <w:sz w:val="21"/>
                <w:szCs w:val="21"/>
              </w:rPr>
              <w:t>简易洗车区）</w:t>
            </w:r>
          </w:p>
        </w:tc>
        <w:tc>
          <w:tcPr>
            <w:tcW w:w="12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6</w:t>
            </w:r>
          </w:p>
        </w:tc>
        <w:tc>
          <w:tcPr>
            <w:tcW w:w="9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Cs/>
                <w:kern w:val="2"/>
                <w:sz w:val="21"/>
                <w:szCs w:val="21"/>
              </w:rPr>
            </w:pPr>
            <w:r>
              <w:rPr>
                <w:rFonts w:hint="eastAsia" w:ascii="宋体" w:hAnsi="宋体" w:eastAsia="宋体" w:cs="宋体"/>
                <w:bCs/>
                <w:kern w:val="2"/>
                <w:sz w:val="21"/>
                <w:szCs w:val="21"/>
              </w:rPr>
              <w:t>14.8</w:t>
            </w:r>
          </w:p>
        </w:tc>
        <w:tc>
          <w:tcPr>
            <w:tcW w:w="8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6</w:t>
            </w:r>
          </w:p>
        </w:tc>
        <w:tc>
          <w:tcPr>
            <w:tcW w:w="9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Cs/>
                <w:kern w:val="2"/>
                <w:sz w:val="21"/>
                <w:szCs w:val="21"/>
              </w:rPr>
            </w:pPr>
            <w:r>
              <w:rPr>
                <w:rFonts w:hint="eastAsia" w:ascii="宋体" w:hAnsi="宋体" w:eastAsia="宋体" w:cs="宋体"/>
                <w:bCs/>
                <w:kern w:val="2"/>
                <w:sz w:val="21"/>
                <w:szCs w:val="21"/>
              </w:rPr>
              <w:t>25.9</w:t>
            </w:r>
          </w:p>
        </w:tc>
        <w:tc>
          <w:tcPr>
            <w:tcW w:w="8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6</w:t>
            </w:r>
          </w:p>
        </w:tc>
        <w:tc>
          <w:tcPr>
            <w:tcW w:w="10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Cs/>
                <w:kern w:val="2"/>
                <w:sz w:val="21"/>
                <w:szCs w:val="21"/>
                <w:lang w:eastAsia="zh-CN"/>
              </w:rPr>
            </w:pPr>
            <w:r>
              <w:rPr>
                <w:rFonts w:hint="eastAsia" w:ascii="宋体" w:hAnsi="宋体" w:eastAsia="宋体" w:cs="宋体"/>
                <w:bCs/>
                <w:kern w:val="2"/>
                <w:sz w:val="21"/>
                <w:szCs w:val="21"/>
              </w:rPr>
              <w:t>22.</w:t>
            </w:r>
            <w:r>
              <w:rPr>
                <w:rFonts w:hint="eastAsia" w:ascii="宋体" w:hAnsi="宋体" w:eastAsia="宋体" w:cs="宋体"/>
                <w:bCs/>
                <w:kern w:val="2"/>
                <w:sz w:val="21"/>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45" w:type="dxa"/>
            <w:gridSpan w:val="3"/>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Cs/>
                <w:kern w:val="2"/>
                <w:sz w:val="21"/>
                <w:szCs w:val="21"/>
              </w:rPr>
            </w:pPr>
          </w:p>
        </w:tc>
        <w:tc>
          <w:tcPr>
            <w:tcW w:w="22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Cs/>
                <w:kern w:val="2"/>
                <w:sz w:val="21"/>
                <w:szCs w:val="21"/>
              </w:rPr>
            </w:pPr>
            <w:r>
              <w:rPr>
                <w:rFonts w:hint="eastAsia" w:ascii="宋体" w:hAnsi="宋体" w:eastAsia="宋体" w:cs="宋体"/>
                <w:bCs/>
                <w:kern w:val="2"/>
                <w:sz w:val="21"/>
                <w:szCs w:val="21"/>
              </w:rPr>
              <w:t>三类保护物</w:t>
            </w:r>
          </w:p>
          <w:p>
            <w:pPr>
              <w:keepNext w:val="0"/>
              <w:keepLines w:val="0"/>
              <w:suppressLineNumbers w:val="0"/>
              <w:spacing w:before="0" w:beforeAutospacing="0" w:after="0" w:afterAutospacing="0"/>
              <w:ind w:left="0" w:right="0"/>
              <w:jc w:val="center"/>
              <w:rPr>
                <w:rFonts w:hint="eastAsia" w:ascii="宋体" w:hAnsi="宋体" w:eastAsia="宋体" w:cs="宋体"/>
                <w:bCs/>
                <w:kern w:val="2"/>
                <w:sz w:val="21"/>
                <w:szCs w:val="21"/>
              </w:rPr>
            </w:pPr>
            <w:r>
              <w:rPr>
                <w:rFonts w:hint="eastAsia" w:ascii="宋体" w:hAnsi="宋体" w:eastAsia="宋体" w:cs="宋体"/>
                <w:bCs/>
                <w:kern w:val="2"/>
                <w:sz w:val="21"/>
                <w:szCs w:val="21"/>
              </w:rPr>
              <w:t xml:space="preserve">（东面 </w:t>
            </w:r>
            <w:r>
              <w:rPr>
                <w:rFonts w:hint="eastAsia" w:ascii="宋体" w:hAnsi="宋体" w:eastAsia="宋体" w:cs="宋体"/>
                <w:bCs/>
                <w:kern w:val="2"/>
                <w:sz w:val="21"/>
                <w:szCs w:val="21"/>
                <w:lang w:eastAsia="zh-CN"/>
              </w:rPr>
              <w:t>站内</w:t>
            </w:r>
            <w:r>
              <w:rPr>
                <w:rFonts w:hint="eastAsia" w:ascii="宋体" w:hAnsi="宋体" w:eastAsia="宋体" w:cs="宋体"/>
                <w:bCs/>
                <w:kern w:val="2"/>
                <w:sz w:val="21"/>
                <w:szCs w:val="21"/>
              </w:rPr>
              <w:t>地磅房）</w:t>
            </w:r>
          </w:p>
        </w:tc>
        <w:tc>
          <w:tcPr>
            <w:tcW w:w="12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6</w:t>
            </w:r>
          </w:p>
        </w:tc>
        <w:tc>
          <w:tcPr>
            <w:tcW w:w="9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Cs/>
                <w:kern w:val="2"/>
                <w:sz w:val="21"/>
                <w:szCs w:val="21"/>
              </w:rPr>
            </w:pPr>
            <w:r>
              <w:rPr>
                <w:rFonts w:hint="eastAsia" w:ascii="宋体" w:hAnsi="宋体" w:eastAsia="宋体" w:cs="宋体"/>
                <w:bCs/>
                <w:kern w:val="2"/>
                <w:sz w:val="21"/>
                <w:szCs w:val="21"/>
              </w:rPr>
              <w:t>39.6</w:t>
            </w:r>
          </w:p>
        </w:tc>
        <w:tc>
          <w:tcPr>
            <w:tcW w:w="8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6</w:t>
            </w:r>
          </w:p>
        </w:tc>
        <w:tc>
          <w:tcPr>
            <w:tcW w:w="9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Cs/>
                <w:kern w:val="2"/>
                <w:sz w:val="21"/>
                <w:szCs w:val="21"/>
              </w:rPr>
            </w:pPr>
            <w:r>
              <w:rPr>
                <w:rFonts w:hint="eastAsia" w:ascii="宋体" w:hAnsi="宋体" w:eastAsia="宋体" w:cs="宋体"/>
                <w:bCs/>
                <w:kern w:val="2"/>
                <w:sz w:val="21"/>
                <w:szCs w:val="21"/>
              </w:rPr>
              <w:t>50.5</w:t>
            </w:r>
          </w:p>
        </w:tc>
        <w:tc>
          <w:tcPr>
            <w:tcW w:w="8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6</w:t>
            </w:r>
          </w:p>
        </w:tc>
        <w:tc>
          <w:tcPr>
            <w:tcW w:w="10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Cs/>
                <w:kern w:val="2"/>
                <w:sz w:val="21"/>
                <w:szCs w:val="21"/>
                <w:lang w:eastAsia="zh-CN"/>
              </w:rPr>
            </w:pPr>
            <w:r>
              <w:rPr>
                <w:rFonts w:hint="eastAsia" w:ascii="宋体" w:hAnsi="宋体" w:eastAsia="宋体" w:cs="宋体"/>
                <w:bCs/>
                <w:kern w:val="2"/>
                <w:sz w:val="21"/>
                <w:szCs w:val="21"/>
              </w:rPr>
              <w:t>29.</w:t>
            </w:r>
            <w:r>
              <w:rPr>
                <w:rFonts w:hint="eastAsia" w:ascii="宋体" w:hAnsi="宋体" w:eastAsia="宋体" w:cs="宋体"/>
                <w:bCs/>
                <w:kern w:val="2"/>
                <w:sz w:val="21"/>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2" w:hRule="atLeast"/>
          <w:jc w:val="center"/>
        </w:trPr>
        <w:tc>
          <w:tcPr>
            <w:tcW w:w="945" w:type="dxa"/>
            <w:gridSpan w:val="3"/>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Cs/>
                <w:kern w:val="2"/>
                <w:sz w:val="21"/>
                <w:szCs w:val="21"/>
              </w:rPr>
            </w:pPr>
          </w:p>
        </w:tc>
        <w:tc>
          <w:tcPr>
            <w:tcW w:w="2296" w:type="dxa"/>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Cs/>
                <w:kern w:val="2"/>
                <w:sz w:val="21"/>
                <w:szCs w:val="21"/>
              </w:rPr>
            </w:pPr>
            <w:r>
              <w:rPr>
                <w:rFonts w:hint="eastAsia" w:ascii="宋体" w:hAnsi="宋体" w:eastAsia="宋体" w:cs="宋体"/>
                <w:bCs/>
                <w:kern w:val="2"/>
                <w:sz w:val="21"/>
                <w:szCs w:val="21"/>
              </w:rPr>
              <w:t>三类保护物</w:t>
            </w:r>
          </w:p>
          <w:p>
            <w:pPr>
              <w:keepNext w:val="0"/>
              <w:keepLines w:val="0"/>
              <w:suppressLineNumbers w:val="0"/>
              <w:spacing w:before="0" w:beforeAutospacing="0" w:after="0" w:afterAutospacing="0"/>
              <w:ind w:left="0" w:right="0"/>
              <w:jc w:val="center"/>
              <w:rPr>
                <w:rFonts w:hint="eastAsia" w:ascii="宋体" w:hAnsi="宋体" w:eastAsia="宋体" w:cs="宋体"/>
                <w:bCs/>
                <w:kern w:val="2"/>
                <w:sz w:val="21"/>
                <w:szCs w:val="21"/>
              </w:rPr>
            </w:pPr>
            <w:r>
              <w:rPr>
                <w:rFonts w:hint="eastAsia" w:ascii="宋体" w:hAnsi="宋体" w:eastAsia="宋体" w:cs="宋体"/>
                <w:bCs/>
                <w:kern w:val="2"/>
                <w:sz w:val="21"/>
                <w:szCs w:val="21"/>
              </w:rPr>
              <w:t>（南面 广东方振新材料精密组件有限公司简易棚①）</w:t>
            </w:r>
          </w:p>
        </w:tc>
        <w:tc>
          <w:tcPr>
            <w:tcW w:w="12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6</w:t>
            </w:r>
          </w:p>
        </w:tc>
        <w:tc>
          <w:tcPr>
            <w:tcW w:w="9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Cs/>
                <w:kern w:val="2"/>
                <w:sz w:val="21"/>
                <w:szCs w:val="21"/>
              </w:rPr>
            </w:pPr>
            <w:r>
              <w:rPr>
                <w:rFonts w:hint="eastAsia" w:ascii="宋体" w:hAnsi="宋体" w:eastAsia="宋体" w:cs="宋体"/>
                <w:bCs/>
                <w:kern w:val="2"/>
                <w:sz w:val="21"/>
                <w:szCs w:val="21"/>
              </w:rPr>
              <w:t>16.5</w:t>
            </w:r>
          </w:p>
        </w:tc>
        <w:tc>
          <w:tcPr>
            <w:tcW w:w="8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6</w:t>
            </w:r>
          </w:p>
        </w:tc>
        <w:tc>
          <w:tcPr>
            <w:tcW w:w="9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Cs/>
                <w:kern w:val="2"/>
                <w:sz w:val="21"/>
                <w:szCs w:val="21"/>
                <w:lang w:eastAsia="zh-CN"/>
              </w:rPr>
            </w:pPr>
            <w:r>
              <w:rPr>
                <w:rFonts w:hint="eastAsia" w:ascii="宋体" w:hAnsi="宋体" w:eastAsia="宋体" w:cs="宋体"/>
                <w:bCs/>
                <w:kern w:val="2"/>
                <w:sz w:val="21"/>
                <w:szCs w:val="21"/>
              </w:rPr>
              <w:t>16.</w:t>
            </w:r>
            <w:r>
              <w:rPr>
                <w:rFonts w:hint="eastAsia" w:ascii="宋体" w:hAnsi="宋体" w:eastAsia="宋体" w:cs="宋体"/>
                <w:bCs/>
                <w:kern w:val="2"/>
                <w:sz w:val="21"/>
                <w:szCs w:val="21"/>
                <w:lang w:val="en-US" w:eastAsia="zh-CN"/>
              </w:rPr>
              <w:t>2</w:t>
            </w:r>
          </w:p>
        </w:tc>
        <w:tc>
          <w:tcPr>
            <w:tcW w:w="8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6</w:t>
            </w:r>
          </w:p>
        </w:tc>
        <w:tc>
          <w:tcPr>
            <w:tcW w:w="10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Cs/>
                <w:kern w:val="2"/>
                <w:sz w:val="21"/>
                <w:szCs w:val="21"/>
                <w:lang w:eastAsia="zh-CN"/>
              </w:rPr>
            </w:pPr>
            <w:r>
              <w:rPr>
                <w:rFonts w:hint="eastAsia" w:ascii="宋体" w:hAnsi="宋体" w:eastAsia="宋体" w:cs="宋体"/>
                <w:bCs/>
                <w:kern w:val="2"/>
                <w:sz w:val="21"/>
                <w:szCs w:val="21"/>
              </w:rPr>
              <w:t>41.</w:t>
            </w:r>
            <w:r>
              <w:rPr>
                <w:rFonts w:hint="eastAsia" w:ascii="宋体" w:hAnsi="宋体" w:eastAsia="宋体" w:cs="宋体"/>
                <w:bCs/>
                <w:kern w:val="2"/>
                <w:sz w:val="21"/>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6" w:hRule="atLeast"/>
          <w:jc w:val="center"/>
        </w:trPr>
        <w:tc>
          <w:tcPr>
            <w:tcW w:w="945" w:type="dxa"/>
            <w:gridSpan w:val="3"/>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Cs/>
                <w:kern w:val="2"/>
                <w:sz w:val="21"/>
                <w:szCs w:val="21"/>
              </w:rPr>
            </w:pPr>
          </w:p>
        </w:tc>
        <w:tc>
          <w:tcPr>
            <w:tcW w:w="2296" w:type="dxa"/>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Cs/>
                <w:kern w:val="2"/>
                <w:sz w:val="21"/>
                <w:szCs w:val="21"/>
              </w:rPr>
            </w:pPr>
            <w:r>
              <w:rPr>
                <w:rFonts w:hint="eastAsia" w:ascii="宋体" w:hAnsi="宋体" w:eastAsia="宋体" w:cs="宋体"/>
                <w:bCs/>
                <w:kern w:val="2"/>
                <w:sz w:val="21"/>
                <w:szCs w:val="21"/>
              </w:rPr>
              <w:t>三类保护物</w:t>
            </w:r>
          </w:p>
          <w:p>
            <w:pPr>
              <w:keepNext w:val="0"/>
              <w:keepLines w:val="0"/>
              <w:suppressLineNumbers w:val="0"/>
              <w:spacing w:before="0" w:beforeAutospacing="0" w:after="0" w:afterAutospacing="0"/>
              <w:ind w:left="0" w:right="0"/>
              <w:jc w:val="center"/>
              <w:rPr>
                <w:rFonts w:hint="eastAsia" w:ascii="宋体" w:hAnsi="宋体" w:eastAsia="宋体" w:cs="宋体"/>
                <w:bCs/>
                <w:kern w:val="2"/>
                <w:sz w:val="21"/>
                <w:szCs w:val="21"/>
              </w:rPr>
            </w:pPr>
            <w:r>
              <w:rPr>
                <w:rFonts w:hint="eastAsia" w:ascii="宋体" w:hAnsi="宋体" w:eastAsia="宋体" w:cs="宋体"/>
                <w:bCs/>
                <w:kern w:val="2"/>
                <w:sz w:val="21"/>
                <w:szCs w:val="21"/>
              </w:rPr>
              <w:t>（西南面 广东方振新材料精密组件有限公司简易棚②）</w:t>
            </w:r>
          </w:p>
        </w:tc>
        <w:tc>
          <w:tcPr>
            <w:tcW w:w="12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6</w:t>
            </w:r>
          </w:p>
        </w:tc>
        <w:tc>
          <w:tcPr>
            <w:tcW w:w="9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Cs/>
                <w:kern w:val="2"/>
                <w:sz w:val="21"/>
                <w:szCs w:val="21"/>
              </w:rPr>
            </w:pPr>
            <w:r>
              <w:rPr>
                <w:rFonts w:hint="eastAsia" w:ascii="宋体" w:hAnsi="宋体" w:eastAsia="宋体" w:cs="宋体"/>
                <w:bCs/>
                <w:kern w:val="2"/>
                <w:sz w:val="21"/>
                <w:szCs w:val="21"/>
              </w:rPr>
              <w:t>68.2</w:t>
            </w:r>
          </w:p>
        </w:tc>
        <w:tc>
          <w:tcPr>
            <w:tcW w:w="8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6</w:t>
            </w:r>
          </w:p>
        </w:tc>
        <w:tc>
          <w:tcPr>
            <w:tcW w:w="9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Cs/>
                <w:kern w:val="2"/>
                <w:sz w:val="21"/>
                <w:szCs w:val="21"/>
              </w:rPr>
            </w:pPr>
            <w:r>
              <w:rPr>
                <w:rFonts w:hint="eastAsia" w:ascii="宋体" w:hAnsi="宋体" w:eastAsia="宋体" w:cs="宋体"/>
                <w:bCs/>
                <w:kern w:val="2"/>
                <w:sz w:val="21"/>
                <w:szCs w:val="21"/>
              </w:rPr>
              <w:t>63.9</w:t>
            </w:r>
          </w:p>
        </w:tc>
        <w:tc>
          <w:tcPr>
            <w:tcW w:w="8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6</w:t>
            </w:r>
          </w:p>
        </w:tc>
        <w:tc>
          <w:tcPr>
            <w:tcW w:w="10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Cs/>
                <w:kern w:val="2"/>
                <w:sz w:val="21"/>
                <w:szCs w:val="21"/>
              </w:rPr>
            </w:pPr>
            <w:r>
              <w:rPr>
                <w:rFonts w:hint="eastAsia" w:ascii="宋体" w:hAnsi="宋体" w:eastAsia="宋体" w:cs="宋体"/>
                <w:bCs/>
                <w:kern w:val="2"/>
                <w:sz w:val="21"/>
                <w:szCs w:val="21"/>
              </w:rPr>
              <w:t>39.5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945" w:type="dxa"/>
            <w:gridSpan w:val="3"/>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Cs/>
                <w:kern w:val="2"/>
                <w:sz w:val="21"/>
                <w:szCs w:val="21"/>
              </w:rPr>
            </w:pPr>
          </w:p>
        </w:tc>
        <w:tc>
          <w:tcPr>
            <w:tcW w:w="2296" w:type="dxa"/>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Cs/>
                <w:kern w:val="2"/>
                <w:sz w:val="21"/>
                <w:szCs w:val="21"/>
              </w:rPr>
            </w:pPr>
            <w:r>
              <w:rPr>
                <w:rFonts w:hint="eastAsia" w:ascii="宋体" w:hAnsi="宋体" w:eastAsia="宋体" w:cs="宋体"/>
                <w:bCs/>
                <w:kern w:val="2"/>
                <w:sz w:val="21"/>
                <w:szCs w:val="21"/>
              </w:rPr>
              <w:t>三类保护物</w:t>
            </w:r>
          </w:p>
          <w:p>
            <w:pPr>
              <w:keepNext w:val="0"/>
              <w:keepLines w:val="0"/>
              <w:suppressLineNumbers w:val="0"/>
              <w:spacing w:before="0" w:beforeAutospacing="0" w:after="0" w:afterAutospacing="0"/>
              <w:ind w:left="0" w:right="0"/>
              <w:jc w:val="center"/>
              <w:rPr>
                <w:rFonts w:hint="eastAsia" w:ascii="宋体" w:hAnsi="宋体" w:eastAsia="宋体" w:cs="宋体"/>
                <w:bCs/>
                <w:kern w:val="2"/>
                <w:sz w:val="21"/>
                <w:szCs w:val="21"/>
              </w:rPr>
            </w:pPr>
            <w:r>
              <w:rPr>
                <w:rFonts w:hint="eastAsia" w:ascii="宋体" w:hAnsi="宋体" w:eastAsia="宋体" w:cs="宋体"/>
                <w:bCs/>
                <w:kern w:val="2"/>
                <w:sz w:val="21"/>
                <w:szCs w:val="21"/>
              </w:rPr>
              <w:t>（西面 站内综合楼）</w:t>
            </w:r>
          </w:p>
        </w:tc>
        <w:tc>
          <w:tcPr>
            <w:tcW w:w="12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6</w:t>
            </w:r>
          </w:p>
        </w:tc>
        <w:tc>
          <w:tcPr>
            <w:tcW w:w="9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Cs/>
                <w:kern w:val="2"/>
                <w:sz w:val="21"/>
                <w:szCs w:val="21"/>
                <w:lang w:eastAsia="zh-CN"/>
              </w:rPr>
            </w:pPr>
            <w:r>
              <w:rPr>
                <w:rFonts w:hint="eastAsia" w:ascii="宋体" w:hAnsi="宋体" w:eastAsia="宋体" w:cs="宋体"/>
                <w:bCs/>
                <w:kern w:val="2"/>
                <w:sz w:val="21"/>
                <w:szCs w:val="21"/>
              </w:rPr>
              <w:t>64.</w:t>
            </w:r>
            <w:r>
              <w:rPr>
                <w:rFonts w:hint="eastAsia" w:ascii="宋体" w:hAnsi="宋体" w:eastAsia="宋体" w:cs="宋体"/>
                <w:bCs/>
                <w:kern w:val="2"/>
                <w:sz w:val="21"/>
                <w:szCs w:val="21"/>
                <w:lang w:val="en-US" w:eastAsia="zh-CN"/>
              </w:rPr>
              <w:t>1</w:t>
            </w:r>
          </w:p>
        </w:tc>
        <w:tc>
          <w:tcPr>
            <w:tcW w:w="8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6</w:t>
            </w:r>
          </w:p>
        </w:tc>
        <w:tc>
          <w:tcPr>
            <w:tcW w:w="9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Cs/>
                <w:kern w:val="2"/>
                <w:sz w:val="21"/>
                <w:szCs w:val="21"/>
                <w:lang w:eastAsia="zh-CN"/>
              </w:rPr>
            </w:pPr>
            <w:r>
              <w:rPr>
                <w:rFonts w:hint="eastAsia" w:ascii="宋体" w:hAnsi="宋体" w:eastAsia="宋体" w:cs="宋体"/>
                <w:bCs/>
                <w:kern w:val="2"/>
                <w:sz w:val="21"/>
                <w:szCs w:val="21"/>
              </w:rPr>
              <w:t>59.</w:t>
            </w:r>
            <w:r>
              <w:rPr>
                <w:rFonts w:hint="eastAsia" w:ascii="宋体" w:hAnsi="宋体" w:eastAsia="宋体" w:cs="宋体"/>
                <w:bCs/>
                <w:kern w:val="2"/>
                <w:sz w:val="21"/>
                <w:szCs w:val="21"/>
                <w:lang w:val="en-US" w:eastAsia="zh-CN"/>
              </w:rPr>
              <w:t>9</w:t>
            </w:r>
          </w:p>
        </w:tc>
        <w:tc>
          <w:tcPr>
            <w:tcW w:w="8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6</w:t>
            </w:r>
          </w:p>
        </w:tc>
        <w:tc>
          <w:tcPr>
            <w:tcW w:w="10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Cs/>
                <w:kern w:val="2"/>
                <w:sz w:val="21"/>
                <w:szCs w:val="21"/>
                <w:lang w:eastAsia="zh-CN"/>
              </w:rPr>
            </w:pPr>
            <w:r>
              <w:rPr>
                <w:rFonts w:hint="eastAsia" w:ascii="宋体" w:hAnsi="宋体" w:eastAsia="宋体" w:cs="宋体"/>
                <w:bCs/>
                <w:kern w:val="2"/>
                <w:sz w:val="21"/>
                <w:szCs w:val="21"/>
              </w:rPr>
              <w:t>13.</w:t>
            </w:r>
            <w:r>
              <w:rPr>
                <w:rFonts w:hint="eastAsia" w:ascii="宋体" w:hAnsi="宋体" w:eastAsia="宋体" w:cs="宋体"/>
                <w:bCs/>
                <w:kern w:val="2"/>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945" w:type="dxa"/>
            <w:gridSpan w:val="3"/>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Cs/>
                <w:kern w:val="2"/>
                <w:sz w:val="21"/>
                <w:szCs w:val="21"/>
              </w:rPr>
            </w:pPr>
          </w:p>
        </w:tc>
        <w:tc>
          <w:tcPr>
            <w:tcW w:w="2296" w:type="dxa"/>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Cs/>
                <w:kern w:val="2"/>
                <w:sz w:val="21"/>
                <w:szCs w:val="21"/>
              </w:rPr>
            </w:pPr>
            <w:r>
              <w:rPr>
                <w:rFonts w:hint="eastAsia" w:ascii="宋体" w:hAnsi="宋体" w:eastAsia="宋体" w:cs="宋体"/>
                <w:bCs/>
                <w:kern w:val="2"/>
                <w:sz w:val="21"/>
                <w:szCs w:val="21"/>
              </w:rPr>
              <w:t>三类保护物</w:t>
            </w:r>
          </w:p>
          <w:p>
            <w:pPr>
              <w:keepNext w:val="0"/>
              <w:keepLines w:val="0"/>
              <w:suppressLineNumbers w:val="0"/>
              <w:spacing w:before="0" w:beforeAutospacing="0" w:after="0" w:afterAutospacing="0"/>
              <w:ind w:left="0" w:right="0"/>
              <w:jc w:val="center"/>
              <w:rPr>
                <w:rFonts w:hint="eastAsia" w:ascii="宋体" w:hAnsi="宋体" w:eastAsia="宋体" w:cs="宋体"/>
                <w:bCs/>
                <w:kern w:val="2"/>
                <w:sz w:val="21"/>
                <w:szCs w:val="21"/>
              </w:rPr>
            </w:pPr>
            <w:r>
              <w:rPr>
                <w:rFonts w:hint="eastAsia" w:ascii="宋体" w:hAnsi="宋体" w:eastAsia="宋体" w:cs="宋体"/>
                <w:bCs/>
                <w:kern w:val="2"/>
                <w:sz w:val="21"/>
                <w:szCs w:val="21"/>
              </w:rPr>
              <w:t>（西北面 广东方振新材料精密组件有限公司门卫室）</w:t>
            </w:r>
          </w:p>
        </w:tc>
        <w:tc>
          <w:tcPr>
            <w:tcW w:w="12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6</w:t>
            </w:r>
          </w:p>
        </w:tc>
        <w:tc>
          <w:tcPr>
            <w:tcW w:w="9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Cs/>
                <w:kern w:val="2"/>
                <w:sz w:val="21"/>
                <w:szCs w:val="21"/>
              </w:rPr>
            </w:pPr>
            <w:r>
              <w:rPr>
                <w:rFonts w:hint="eastAsia" w:ascii="宋体" w:hAnsi="宋体" w:eastAsia="宋体" w:cs="宋体"/>
                <w:bCs/>
                <w:kern w:val="2"/>
                <w:sz w:val="21"/>
                <w:szCs w:val="21"/>
              </w:rPr>
              <w:t>103.2</w:t>
            </w:r>
          </w:p>
        </w:tc>
        <w:tc>
          <w:tcPr>
            <w:tcW w:w="8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6</w:t>
            </w:r>
          </w:p>
        </w:tc>
        <w:tc>
          <w:tcPr>
            <w:tcW w:w="9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Cs/>
                <w:kern w:val="2"/>
                <w:sz w:val="21"/>
                <w:szCs w:val="21"/>
              </w:rPr>
            </w:pPr>
            <w:r>
              <w:rPr>
                <w:rFonts w:hint="eastAsia" w:ascii="宋体" w:hAnsi="宋体" w:eastAsia="宋体" w:cs="宋体"/>
                <w:bCs/>
                <w:kern w:val="2"/>
                <w:sz w:val="21"/>
                <w:szCs w:val="21"/>
              </w:rPr>
              <w:t>99.9</w:t>
            </w:r>
          </w:p>
        </w:tc>
        <w:tc>
          <w:tcPr>
            <w:tcW w:w="8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6</w:t>
            </w:r>
          </w:p>
        </w:tc>
        <w:tc>
          <w:tcPr>
            <w:tcW w:w="10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Cs/>
                <w:kern w:val="2"/>
                <w:sz w:val="21"/>
                <w:szCs w:val="21"/>
                <w:lang w:eastAsia="zh-CN"/>
              </w:rPr>
            </w:pPr>
            <w:r>
              <w:rPr>
                <w:rFonts w:hint="eastAsia" w:ascii="宋体" w:hAnsi="宋体" w:eastAsia="宋体" w:cs="宋体"/>
                <w:bCs/>
                <w:kern w:val="2"/>
                <w:sz w:val="21"/>
                <w:szCs w:val="21"/>
              </w:rPr>
              <w:t>49.</w:t>
            </w:r>
            <w:r>
              <w:rPr>
                <w:rFonts w:hint="eastAsia" w:ascii="宋体" w:hAnsi="宋体" w:eastAsia="宋体" w:cs="宋体"/>
                <w:bCs/>
                <w:kern w:val="2"/>
                <w:sz w:val="21"/>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3241" w:type="dxa"/>
            <w:gridSpan w:val="4"/>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Cs/>
                <w:kern w:val="2"/>
                <w:sz w:val="21"/>
                <w:szCs w:val="21"/>
              </w:rPr>
            </w:pPr>
            <w:r>
              <w:rPr>
                <w:rFonts w:hint="eastAsia" w:ascii="宋体" w:hAnsi="宋体" w:eastAsia="宋体" w:cs="宋体"/>
                <w:bCs/>
                <w:kern w:val="2"/>
                <w:sz w:val="21"/>
                <w:szCs w:val="21"/>
              </w:rPr>
              <w:t>丙、丁、戊类物品生产厂房、库房和丙类液体储罐以及容积不大于50m</w:t>
            </w:r>
            <w:r>
              <w:rPr>
                <w:rFonts w:hint="eastAsia" w:ascii="宋体" w:hAnsi="宋体" w:eastAsia="宋体" w:cs="宋体"/>
                <w:bCs/>
                <w:kern w:val="2"/>
                <w:sz w:val="21"/>
                <w:szCs w:val="21"/>
                <w:vertAlign w:val="superscript"/>
              </w:rPr>
              <w:t>3</w:t>
            </w:r>
            <w:r>
              <w:rPr>
                <w:rFonts w:hint="eastAsia" w:ascii="宋体" w:hAnsi="宋体" w:eastAsia="宋体" w:cs="宋体"/>
                <w:bCs/>
                <w:kern w:val="2"/>
                <w:sz w:val="21"/>
                <w:szCs w:val="21"/>
              </w:rPr>
              <w:t>的埋地甲、乙类液体储罐（东面 箱式变压器）</w:t>
            </w:r>
          </w:p>
        </w:tc>
        <w:tc>
          <w:tcPr>
            <w:tcW w:w="12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9</w:t>
            </w:r>
          </w:p>
        </w:tc>
        <w:tc>
          <w:tcPr>
            <w:tcW w:w="9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Cs/>
                <w:kern w:val="2"/>
                <w:sz w:val="21"/>
                <w:szCs w:val="21"/>
              </w:rPr>
            </w:pPr>
            <w:r>
              <w:rPr>
                <w:rFonts w:hint="eastAsia" w:ascii="宋体" w:hAnsi="宋体" w:eastAsia="宋体" w:cs="宋体"/>
                <w:bCs/>
                <w:kern w:val="2"/>
                <w:sz w:val="21"/>
                <w:szCs w:val="21"/>
              </w:rPr>
              <w:t>30.8</w:t>
            </w:r>
          </w:p>
        </w:tc>
        <w:tc>
          <w:tcPr>
            <w:tcW w:w="8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9</w:t>
            </w:r>
          </w:p>
        </w:tc>
        <w:tc>
          <w:tcPr>
            <w:tcW w:w="9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Cs/>
                <w:kern w:val="2"/>
                <w:sz w:val="21"/>
                <w:szCs w:val="21"/>
              </w:rPr>
            </w:pPr>
            <w:r>
              <w:rPr>
                <w:rFonts w:hint="eastAsia" w:ascii="宋体" w:hAnsi="宋体" w:eastAsia="宋体" w:cs="宋体"/>
                <w:bCs/>
                <w:kern w:val="2"/>
                <w:sz w:val="21"/>
                <w:szCs w:val="21"/>
              </w:rPr>
              <w:t>41.9</w:t>
            </w:r>
          </w:p>
        </w:tc>
        <w:tc>
          <w:tcPr>
            <w:tcW w:w="8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9</w:t>
            </w:r>
          </w:p>
        </w:tc>
        <w:tc>
          <w:tcPr>
            <w:tcW w:w="10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Cs/>
                <w:kern w:val="2"/>
                <w:sz w:val="21"/>
                <w:szCs w:val="21"/>
              </w:rPr>
            </w:pPr>
            <w:r>
              <w:rPr>
                <w:rFonts w:hint="eastAsia" w:ascii="宋体" w:hAnsi="宋体" w:eastAsia="宋体" w:cs="宋体"/>
                <w:bCs/>
                <w:kern w:val="2"/>
                <w:sz w:val="21"/>
                <w:szCs w:val="21"/>
              </w:rPr>
              <w:t>26.8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3241" w:type="dxa"/>
            <w:gridSpan w:val="4"/>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Cs/>
                <w:kern w:val="2"/>
                <w:sz w:val="21"/>
                <w:szCs w:val="21"/>
              </w:rPr>
            </w:pPr>
            <w:r>
              <w:rPr>
                <w:rFonts w:hint="eastAsia" w:ascii="宋体" w:hAnsi="宋体" w:eastAsia="宋体" w:cs="宋体"/>
                <w:bCs/>
                <w:kern w:val="2"/>
                <w:sz w:val="21"/>
                <w:szCs w:val="21"/>
              </w:rPr>
              <w:t>丙、丁、戊类物品生产厂房、库房和丙类液体储罐以及容积不大于50m</w:t>
            </w:r>
            <w:r>
              <w:rPr>
                <w:rFonts w:hint="eastAsia" w:ascii="宋体" w:hAnsi="宋体" w:eastAsia="宋体" w:cs="宋体"/>
                <w:bCs/>
                <w:kern w:val="2"/>
                <w:sz w:val="21"/>
                <w:szCs w:val="21"/>
                <w:vertAlign w:val="superscript"/>
              </w:rPr>
              <w:t>3</w:t>
            </w:r>
            <w:r>
              <w:rPr>
                <w:rFonts w:hint="eastAsia" w:ascii="宋体" w:hAnsi="宋体" w:eastAsia="宋体" w:cs="宋体"/>
                <w:bCs/>
                <w:kern w:val="2"/>
                <w:sz w:val="21"/>
                <w:szCs w:val="21"/>
              </w:rPr>
              <w:t>的埋地甲、乙类液体储罐（东南面 东莞市众润汽车配件有限公司）</w:t>
            </w:r>
          </w:p>
        </w:tc>
        <w:tc>
          <w:tcPr>
            <w:tcW w:w="12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9</w:t>
            </w:r>
          </w:p>
        </w:tc>
        <w:tc>
          <w:tcPr>
            <w:tcW w:w="9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Cs/>
                <w:kern w:val="2"/>
                <w:sz w:val="21"/>
                <w:szCs w:val="21"/>
                <w:lang w:eastAsia="zh-CN"/>
              </w:rPr>
            </w:pPr>
            <w:r>
              <w:rPr>
                <w:rFonts w:hint="eastAsia" w:ascii="宋体" w:hAnsi="宋体" w:eastAsia="宋体" w:cs="宋体"/>
                <w:bCs/>
                <w:kern w:val="2"/>
                <w:sz w:val="21"/>
                <w:szCs w:val="21"/>
              </w:rPr>
              <w:t>40.</w:t>
            </w:r>
            <w:r>
              <w:rPr>
                <w:rFonts w:hint="eastAsia" w:ascii="宋体" w:hAnsi="宋体" w:eastAsia="宋体" w:cs="宋体"/>
                <w:bCs/>
                <w:kern w:val="2"/>
                <w:sz w:val="21"/>
                <w:szCs w:val="21"/>
                <w:lang w:val="en-US" w:eastAsia="zh-CN"/>
              </w:rPr>
              <w:t>6</w:t>
            </w:r>
          </w:p>
        </w:tc>
        <w:tc>
          <w:tcPr>
            <w:tcW w:w="8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9</w:t>
            </w:r>
          </w:p>
        </w:tc>
        <w:tc>
          <w:tcPr>
            <w:tcW w:w="9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Cs/>
                <w:kern w:val="2"/>
                <w:sz w:val="21"/>
                <w:szCs w:val="21"/>
                <w:lang w:eastAsia="zh-CN"/>
              </w:rPr>
            </w:pPr>
            <w:r>
              <w:rPr>
                <w:rFonts w:hint="eastAsia" w:ascii="宋体" w:hAnsi="宋体" w:eastAsia="宋体" w:cs="宋体"/>
                <w:bCs/>
                <w:kern w:val="2"/>
                <w:sz w:val="21"/>
                <w:szCs w:val="21"/>
              </w:rPr>
              <w:t>47.</w:t>
            </w:r>
            <w:r>
              <w:rPr>
                <w:rFonts w:hint="eastAsia" w:ascii="宋体" w:hAnsi="宋体" w:eastAsia="宋体" w:cs="宋体"/>
                <w:bCs/>
                <w:kern w:val="2"/>
                <w:sz w:val="21"/>
                <w:szCs w:val="21"/>
                <w:lang w:val="en-US" w:eastAsia="zh-CN"/>
              </w:rPr>
              <w:t>2</w:t>
            </w:r>
          </w:p>
        </w:tc>
        <w:tc>
          <w:tcPr>
            <w:tcW w:w="8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9</w:t>
            </w:r>
          </w:p>
        </w:tc>
        <w:tc>
          <w:tcPr>
            <w:tcW w:w="10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Cs/>
                <w:kern w:val="2"/>
                <w:sz w:val="21"/>
                <w:szCs w:val="21"/>
                <w:lang w:eastAsia="zh-CN"/>
              </w:rPr>
            </w:pPr>
            <w:r>
              <w:rPr>
                <w:rFonts w:hint="eastAsia" w:ascii="宋体" w:hAnsi="宋体" w:eastAsia="宋体" w:cs="宋体"/>
                <w:bCs/>
                <w:kern w:val="2"/>
                <w:sz w:val="21"/>
                <w:szCs w:val="21"/>
              </w:rPr>
              <w:t>62.</w:t>
            </w:r>
            <w:r>
              <w:rPr>
                <w:rFonts w:hint="eastAsia" w:ascii="宋体" w:hAnsi="宋体" w:eastAsia="宋体" w:cs="宋体"/>
                <w:bCs/>
                <w:kern w:val="2"/>
                <w:sz w:val="21"/>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3241" w:type="dxa"/>
            <w:gridSpan w:val="4"/>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Cs/>
                <w:kern w:val="2"/>
                <w:sz w:val="21"/>
                <w:szCs w:val="21"/>
              </w:rPr>
            </w:pPr>
            <w:r>
              <w:rPr>
                <w:rFonts w:hint="eastAsia" w:ascii="宋体" w:hAnsi="宋体" w:eastAsia="宋体" w:cs="宋体"/>
                <w:bCs/>
                <w:kern w:val="2"/>
                <w:sz w:val="21"/>
                <w:szCs w:val="21"/>
              </w:rPr>
              <w:t>丙、丁、戊类物品生产厂房、库房和丙类液体储罐以及容积不大于50m</w:t>
            </w:r>
            <w:r>
              <w:rPr>
                <w:rFonts w:hint="eastAsia" w:ascii="宋体" w:hAnsi="宋体" w:eastAsia="宋体" w:cs="宋体"/>
                <w:bCs/>
                <w:kern w:val="2"/>
                <w:sz w:val="21"/>
                <w:szCs w:val="21"/>
                <w:vertAlign w:val="superscript"/>
              </w:rPr>
              <w:t>3</w:t>
            </w:r>
            <w:r>
              <w:rPr>
                <w:rFonts w:hint="eastAsia" w:ascii="宋体" w:hAnsi="宋体" w:eastAsia="宋体" w:cs="宋体"/>
                <w:bCs/>
                <w:kern w:val="2"/>
                <w:sz w:val="21"/>
                <w:szCs w:val="21"/>
              </w:rPr>
              <w:t>的埋地甲、乙类液体储罐（南面 广东方振新材料精密组件有限公司厂房）</w:t>
            </w:r>
          </w:p>
        </w:tc>
        <w:tc>
          <w:tcPr>
            <w:tcW w:w="12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9</w:t>
            </w:r>
          </w:p>
        </w:tc>
        <w:tc>
          <w:tcPr>
            <w:tcW w:w="9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Cs/>
                <w:kern w:val="2"/>
                <w:sz w:val="21"/>
                <w:szCs w:val="21"/>
              </w:rPr>
            </w:pPr>
            <w:r>
              <w:rPr>
                <w:rFonts w:hint="eastAsia" w:ascii="宋体" w:hAnsi="宋体" w:eastAsia="宋体" w:cs="宋体"/>
                <w:bCs/>
                <w:kern w:val="2"/>
                <w:sz w:val="21"/>
                <w:szCs w:val="21"/>
              </w:rPr>
              <w:t>27.8</w:t>
            </w:r>
          </w:p>
        </w:tc>
        <w:tc>
          <w:tcPr>
            <w:tcW w:w="8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9</w:t>
            </w:r>
          </w:p>
        </w:tc>
        <w:tc>
          <w:tcPr>
            <w:tcW w:w="9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Cs/>
                <w:kern w:val="2"/>
                <w:sz w:val="21"/>
                <w:szCs w:val="21"/>
                <w:lang w:eastAsia="zh-CN"/>
              </w:rPr>
            </w:pPr>
            <w:r>
              <w:rPr>
                <w:rFonts w:hint="eastAsia" w:ascii="宋体" w:hAnsi="宋体" w:eastAsia="宋体" w:cs="宋体"/>
                <w:bCs/>
                <w:kern w:val="2"/>
                <w:sz w:val="21"/>
                <w:szCs w:val="21"/>
              </w:rPr>
              <w:t>24.</w:t>
            </w:r>
            <w:r>
              <w:rPr>
                <w:rFonts w:hint="eastAsia" w:ascii="宋体" w:hAnsi="宋体" w:eastAsia="宋体" w:cs="宋体"/>
                <w:bCs/>
                <w:kern w:val="2"/>
                <w:sz w:val="21"/>
                <w:szCs w:val="21"/>
                <w:lang w:val="en-US" w:eastAsia="zh-CN"/>
              </w:rPr>
              <w:t>9</w:t>
            </w:r>
          </w:p>
        </w:tc>
        <w:tc>
          <w:tcPr>
            <w:tcW w:w="8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9</w:t>
            </w:r>
          </w:p>
        </w:tc>
        <w:tc>
          <w:tcPr>
            <w:tcW w:w="10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Cs/>
                <w:kern w:val="2"/>
                <w:sz w:val="21"/>
                <w:szCs w:val="21"/>
              </w:rPr>
            </w:pPr>
            <w:r>
              <w:rPr>
                <w:rFonts w:hint="eastAsia" w:ascii="宋体" w:hAnsi="宋体" w:eastAsia="宋体" w:cs="宋体"/>
                <w:bCs/>
                <w:kern w:val="2"/>
                <w:sz w:val="21"/>
                <w:szCs w:val="21"/>
              </w:rPr>
              <w:t>35.6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643" w:type="dxa"/>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Cs/>
                <w:kern w:val="2"/>
                <w:sz w:val="21"/>
                <w:szCs w:val="21"/>
              </w:rPr>
            </w:pPr>
            <w:r>
              <w:rPr>
                <w:rFonts w:hint="eastAsia" w:ascii="宋体" w:hAnsi="宋体" w:eastAsia="宋体" w:cs="宋体"/>
                <w:bCs/>
                <w:kern w:val="2"/>
                <w:sz w:val="21"/>
                <w:szCs w:val="21"/>
              </w:rPr>
              <w:t>城市道路</w:t>
            </w:r>
          </w:p>
        </w:tc>
        <w:tc>
          <w:tcPr>
            <w:tcW w:w="2598" w:type="dxa"/>
            <w:gridSpan w:val="3"/>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Cs/>
                <w:kern w:val="2"/>
                <w:sz w:val="21"/>
                <w:szCs w:val="21"/>
              </w:rPr>
            </w:pPr>
            <w:r>
              <w:rPr>
                <w:rFonts w:hint="eastAsia" w:ascii="宋体" w:hAnsi="宋体" w:eastAsia="宋体" w:cs="宋体"/>
                <w:bCs/>
                <w:kern w:val="2"/>
                <w:sz w:val="21"/>
                <w:szCs w:val="21"/>
              </w:rPr>
              <w:t>快速路、主干路</w:t>
            </w:r>
          </w:p>
          <w:p>
            <w:pPr>
              <w:keepNext w:val="0"/>
              <w:keepLines w:val="0"/>
              <w:suppressLineNumbers w:val="0"/>
              <w:spacing w:before="0" w:beforeAutospacing="0" w:after="0" w:afterAutospacing="0"/>
              <w:ind w:left="0" w:right="0"/>
              <w:jc w:val="center"/>
              <w:rPr>
                <w:rFonts w:hint="eastAsia" w:ascii="宋体" w:hAnsi="宋体" w:eastAsia="宋体" w:cs="宋体"/>
                <w:bCs/>
                <w:kern w:val="2"/>
                <w:sz w:val="21"/>
                <w:szCs w:val="21"/>
              </w:rPr>
            </w:pPr>
            <w:r>
              <w:rPr>
                <w:rFonts w:hint="eastAsia" w:ascii="宋体" w:hAnsi="宋体" w:eastAsia="宋体" w:cs="宋体"/>
                <w:bCs/>
                <w:kern w:val="2"/>
                <w:sz w:val="21"/>
                <w:szCs w:val="21"/>
              </w:rPr>
              <w:t>（北面 莞樟路）</w:t>
            </w:r>
          </w:p>
        </w:tc>
        <w:tc>
          <w:tcPr>
            <w:tcW w:w="12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3</w:t>
            </w:r>
          </w:p>
        </w:tc>
        <w:tc>
          <w:tcPr>
            <w:tcW w:w="9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Cs/>
                <w:kern w:val="2"/>
                <w:sz w:val="21"/>
                <w:szCs w:val="21"/>
              </w:rPr>
            </w:pPr>
            <w:r>
              <w:rPr>
                <w:rFonts w:hint="eastAsia" w:ascii="宋体" w:hAnsi="宋体" w:eastAsia="宋体" w:cs="宋体"/>
                <w:bCs/>
                <w:kern w:val="2"/>
                <w:sz w:val="21"/>
                <w:szCs w:val="21"/>
              </w:rPr>
              <w:t>54.2</w:t>
            </w:r>
          </w:p>
        </w:tc>
        <w:tc>
          <w:tcPr>
            <w:tcW w:w="8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3</w:t>
            </w:r>
          </w:p>
        </w:tc>
        <w:tc>
          <w:tcPr>
            <w:tcW w:w="9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Cs/>
                <w:kern w:val="2"/>
                <w:sz w:val="21"/>
                <w:szCs w:val="21"/>
                <w:lang w:eastAsia="zh-CN"/>
              </w:rPr>
            </w:pPr>
            <w:r>
              <w:rPr>
                <w:rFonts w:hint="eastAsia" w:ascii="宋体" w:hAnsi="宋体" w:eastAsia="宋体" w:cs="宋体"/>
                <w:bCs/>
                <w:kern w:val="2"/>
                <w:sz w:val="21"/>
                <w:szCs w:val="21"/>
              </w:rPr>
              <w:t>64.</w:t>
            </w:r>
            <w:r>
              <w:rPr>
                <w:rFonts w:hint="eastAsia" w:ascii="宋体" w:hAnsi="宋体" w:eastAsia="宋体" w:cs="宋体"/>
                <w:bCs/>
                <w:kern w:val="2"/>
                <w:sz w:val="21"/>
                <w:szCs w:val="21"/>
                <w:lang w:val="en-US" w:eastAsia="zh-CN"/>
              </w:rPr>
              <w:t>4</w:t>
            </w:r>
          </w:p>
        </w:tc>
        <w:tc>
          <w:tcPr>
            <w:tcW w:w="8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3</w:t>
            </w:r>
          </w:p>
        </w:tc>
        <w:tc>
          <w:tcPr>
            <w:tcW w:w="10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Cs/>
                <w:kern w:val="2"/>
                <w:sz w:val="21"/>
                <w:szCs w:val="21"/>
              </w:rPr>
            </w:pPr>
            <w:r>
              <w:rPr>
                <w:rFonts w:hint="eastAsia" w:ascii="宋体" w:hAnsi="宋体" w:eastAsia="宋体" w:cs="宋体"/>
                <w:bCs/>
                <w:kern w:val="2"/>
                <w:sz w:val="21"/>
                <w:szCs w:val="21"/>
              </w:rPr>
              <w:t>31.2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3241" w:type="dxa"/>
            <w:gridSpan w:val="4"/>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Cs/>
                <w:kern w:val="2"/>
                <w:sz w:val="21"/>
                <w:szCs w:val="21"/>
              </w:rPr>
            </w:pPr>
            <w:r>
              <w:rPr>
                <w:rFonts w:hint="eastAsia" w:ascii="宋体" w:hAnsi="宋体" w:eastAsia="宋体" w:cs="宋体"/>
                <w:bCs/>
                <w:kern w:val="2"/>
                <w:sz w:val="21"/>
                <w:szCs w:val="21"/>
              </w:rPr>
              <w:t>架空通信线</w:t>
            </w:r>
          </w:p>
          <w:p>
            <w:pPr>
              <w:keepNext w:val="0"/>
              <w:keepLines w:val="0"/>
              <w:suppressLineNumbers w:val="0"/>
              <w:spacing w:before="0" w:beforeAutospacing="0" w:after="0" w:afterAutospacing="0"/>
              <w:ind w:left="0" w:right="0"/>
              <w:jc w:val="center"/>
              <w:rPr>
                <w:rFonts w:hint="eastAsia" w:ascii="宋体" w:hAnsi="宋体" w:eastAsia="宋体" w:cs="宋体"/>
                <w:bCs/>
                <w:kern w:val="2"/>
                <w:sz w:val="21"/>
                <w:szCs w:val="21"/>
              </w:rPr>
            </w:pPr>
            <w:r>
              <w:rPr>
                <w:rFonts w:hint="eastAsia" w:ascii="宋体" w:hAnsi="宋体" w:eastAsia="宋体" w:cs="宋体"/>
                <w:bCs/>
                <w:kern w:val="2"/>
                <w:sz w:val="21"/>
                <w:szCs w:val="21"/>
              </w:rPr>
              <w:t>（北面 杆高5m架空通信线）</w:t>
            </w:r>
          </w:p>
        </w:tc>
        <w:tc>
          <w:tcPr>
            <w:tcW w:w="12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5</w:t>
            </w:r>
          </w:p>
        </w:tc>
        <w:tc>
          <w:tcPr>
            <w:tcW w:w="9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Cs/>
                <w:kern w:val="2"/>
                <w:sz w:val="21"/>
                <w:szCs w:val="21"/>
              </w:rPr>
            </w:pPr>
            <w:r>
              <w:rPr>
                <w:rFonts w:hint="eastAsia" w:ascii="宋体" w:hAnsi="宋体" w:eastAsia="宋体" w:cs="宋体"/>
                <w:bCs/>
                <w:kern w:val="2"/>
                <w:sz w:val="21"/>
                <w:szCs w:val="21"/>
              </w:rPr>
              <w:t>49.0</w:t>
            </w:r>
          </w:p>
        </w:tc>
        <w:tc>
          <w:tcPr>
            <w:tcW w:w="8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5</w:t>
            </w:r>
          </w:p>
        </w:tc>
        <w:tc>
          <w:tcPr>
            <w:tcW w:w="9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Cs/>
                <w:kern w:val="2"/>
                <w:sz w:val="21"/>
                <w:szCs w:val="21"/>
                <w:lang w:eastAsia="zh-CN"/>
              </w:rPr>
            </w:pPr>
            <w:r>
              <w:rPr>
                <w:rFonts w:hint="eastAsia" w:ascii="宋体" w:hAnsi="宋体" w:eastAsia="宋体" w:cs="宋体"/>
                <w:bCs/>
                <w:kern w:val="2"/>
                <w:sz w:val="21"/>
                <w:szCs w:val="21"/>
              </w:rPr>
              <w:t>58.</w:t>
            </w:r>
            <w:r>
              <w:rPr>
                <w:rFonts w:hint="eastAsia" w:ascii="宋体" w:hAnsi="宋体" w:eastAsia="宋体" w:cs="宋体"/>
                <w:bCs/>
                <w:kern w:val="2"/>
                <w:sz w:val="21"/>
                <w:szCs w:val="21"/>
                <w:lang w:val="en-US" w:eastAsia="zh-CN"/>
              </w:rPr>
              <w:t>8</w:t>
            </w:r>
          </w:p>
        </w:tc>
        <w:tc>
          <w:tcPr>
            <w:tcW w:w="8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5</w:t>
            </w:r>
          </w:p>
        </w:tc>
        <w:tc>
          <w:tcPr>
            <w:tcW w:w="10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Cs/>
                <w:kern w:val="2"/>
                <w:sz w:val="21"/>
                <w:szCs w:val="21"/>
                <w:lang w:eastAsia="zh-CN"/>
              </w:rPr>
            </w:pPr>
            <w:r>
              <w:rPr>
                <w:rFonts w:hint="eastAsia" w:ascii="宋体" w:hAnsi="宋体" w:eastAsia="宋体" w:cs="宋体"/>
                <w:bCs/>
                <w:kern w:val="2"/>
                <w:sz w:val="21"/>
                <w:szCs w:val="21"/>
              </w:rPr>
              <w:t>21.</w:t>
            </w:r>
            <w:r>
              <w:rPr>
                <w:rFonts w:hint="eastAsia" w:ascii="宋体" w:hAnsi="宋体" w:eastAsia="宋体" w:cs="宋体"/>
                <w:bCs/>
                <w:kern w:val="2"/>
                <w:sz w:val="21"/>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927" w:type="dxa"/>
            <w:gridSpan w:val="2"/>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Cs/>
                <w:kern w:val="2"/>
                <w:sz w:val="21"/>
                <w:szCs w:val="21"/>
              </w:rPr>
            </w:pPr>
            <w:r>
              <w:rPr>
                <w:rFonts w:hint="eastAsia" w:ascii="宋体" w:hAnsi="宋体" w:eastAsia="宋体" w:cs="宋体"/>
                <w:bCs/>
                <w:kern w:val="2"/>
                <w:sz w:val="21"/>
                <w:szCs w:val="21"/>
              </w:rPr>
              <w:t>架空电力线路</w:t>
            </w:r>
          </w:p>
        </w:tc>
        <w:tc>
          <w:tcPr>
            <w:tcW w:w="2314" w:type="dxa"/>
            <w:gridSpan w:val="2"/>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宋体"/>
                <w:bCs/>
                <w:kern w:val="2"/>
                <w:sz w:val="21"/>
                <w:szCs w:val="21"/>
              </w:rPr>
            </w:pPr>
            <w:r>
              <w:rPr>
                <w:rFonts w:hint="eastAsia" w:ascii="宋体" w:hAnsi="宋体" w:eastAsia="宋体" w:cs="宋体"/>
                <w:bCs/>
                <w:kern w:val="2"/>
                <w:sz w:val="21"/>
                <w:szCs w:val="21"/>
                <w:lang w:eastAsia="zh-CN"/>
              </w:rPr>
              <w:t>无</w:t>
            </w:r>
            <w:r>
              <w:rPr>
                <w:rFonts w:hint="eastAsia" w:ascii="宋体" w:hAnsi="宋体" w:eastAsia="宋体" w:cs="宋体"/>
                <w:bCs/>
                <w:kern w:val="2"/>
                <w:sz w:val="21"/>
                <w:szCs w:val="21"/>
              </w:rPr>
              <w:t>绝缘层（东面 杆高12m架空电力线</w:t>
            </w:r>
          </w:p>
        </w:tc>
        <w:tc>
          <w:tcPr>
            <w:tcW w:w="12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kern w:val="2"/>
                <w:sz w:val="21"/>
                <w:szCs w:val="21"/>
              </w:rPr>
            </w:pPr>
            <w:r>
              <w:rPr>
                <w:rFonts w:hint="eastAsia" w:ascii="宋体" w:hAnsi="宋体" w:eastAsia="宋体" w:cs="宋体"/>
                <w:b w:val="0"/>
                <w:bCs/>
                <w:kern w:val="2"/>
                <w:sz w:val="21"/>
                <w:szCs w:val="21"/>
                <w:lang w:val="en-US" w:eastAsia="zh-CN"/>
              </w:rPr>
              <w:t>9</w:t>
            </w:r>
          </w:p>
        </w:tc>
        <w:tc>
          <w:tcPr>
            <w:tcW w:w="9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Cs/>
                <w:kern w:val="2"/>
                <w:sz w:val="21"/>
                <w:szCs w:val="21"/>
              </w:rPr>
            </w:pPr>
            <w:r>
              <w:rPr>
                <w:rFonts w:hint="eastAsia" w:ascii="宋体" w:hAnsi="宋体" w:eastAsia="宋体" w:cs="宋体"/>
                <w:bCs/>
                <w:kern w:val="2"/>
                <w:sz w:val="21"/>
                <w:szCs w:val="21"/>
              </w:rPr>
              <w:t>12.8</w:t>
            </w:r>
          </w:p>
        </w:tc>
        <w:tc>
          <w:tcPr>
            <w:tcW w:w="8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eastAsia="宋体" w:cs="宋体"/>
                <w:b w:val="0"/>
                <w:bCs/>
                <w:kern w:val="2"/>
                <w:sz w:val="21"/>
                <w:szCs w:val="21"/>
                <w:lang w:val="en-US" w:eastAsia="zh-CN"/>
              </w:rPr>
            </w:pPr>
            <w:r>
              <w:rPr>
                <w:rFonts w:hint="eastAsia" w:cs="宋体"/>
                <w:b w:val="0"/>
                <w:bCs/>
                <w:kern w:val="2"/>
                <w:sz w:val="21"/>
                <w:szCs w:val="21"/>
                <w:lang w:val="en-US" w:eastAsia="zh-CN"/>
              </w:rPr>
              <w:t>6.5</w:t>
            </w:r>
          </w:p>
        </w:tc>
        <w:tc>
          <w:tcPr>
            <w:tcW w:w="9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 w:val="0"/>
                <w:bCs/>
                <w:kern w:val="2"/>
                <w:sz w:val="21"/>
                <w:szCs w:val="21"/>
              </w:rPr>
            </w:pPr>
            <w:r>
              <w:rPr>
                <w:rFonts w:hint="eastAsia" w:ascii="宋体" w:hAnsi="宋体" w:eastAsia="宋体" w:cs="宋体"/>
                <w:b w:val="0"/>
                <w:bCs/>
                <w:kern w:val="2"/>
                <w:sz w:val="21"/>
                <w:szCs w:val="21"/>
              </w:rPr>
              <w:t>19.9</w:t>
            </w:r>
          </w:p>
        </w:tc>
        <w:tc>
          <w:tcPr>
            <w:tcW w:w="8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eastAsia="宋体" w:cs="宋体"/>
                <w:b w:val="0"/>
                <w:bCs/>
                <w:kern w:val="2"/>
                <w:sz w:val="21"/>
                <w:szCs w:val="21"/>
                <w:lang w:val="en-US" w:eastAsia="zh-CN"/>
              </w:rPr>
            </w:pPr>
            <w:r>
              <w:rPr>
                <w:rFonts w:hint="eastAsia" w:cs="宋体"/>
                <w:b w:val="0"/>
                <w:bCs/>
                <w:kern w:val="2"/>
                <w:sz w:val="21"/>
                <w:szCs w:val="21"/>
                <w:lang w:val="en-US" w:eastAsia="zh-CN"/>
              </w:rPr>
              <w:t>6.5</w:t>
            </w:r>
          </w:p>
        </w:tc>
        <w:tc>
          <w:tcPr>
            <w:tcW w:w="10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bCs/>
                <w:kern w:val="2"/>
                <w:sz w:val="21"/>
                <w:szCs w:val="21"/>
                <w:lang w:eastAsia="zh-CN"/>
              </w:rPr>
            </w:pPr>
            <w:r>
              <w:rPr>
                <w:rFonts w:hint="eastAsia" w:ascii="宋体" w:hAnsi="宋体" w:eastAsia="宋体" w:cs="宋体"/>
                <w:bCs/>
                <w:kern w:val="2"/>
                <w:sz w:val="21"/>
                <w:szCs w:val="21"/>
              </w:rPr>
              <w:t>32.</w:t>
            </w:r>
            <w:r>
              <w:rPr>
                <w:rFonts w:hint="eastAsia" w:ascii="宋体" w:hAnsi="宋体" w:eastAsia="宋体" w:cs="宋体"/>
                <w:bCs/>
                <w:kern w:val="2"/>
                <w:sz w:val="21"/>
                <w:szCs w:val="21"/>
                <w:lang w:val="en-US" w:eastAsia="zh-CN"/>
              </w:rPr>
              <w:t>4</w:t>
            </w:r>
          </w:p>
        </w:tc>
      </w:tr>
    </w:tbl>
    <w:p>
      <w:pPr>
        <w:adjustRightInd w:val="0"/>
        <w:snapToGrid w:val="0"/>
        <w:spacing w:line="240" w:lineRule="atLeast"/>
        <w:ind w:firstLine="440" w:firstLineChars="200"/>
        <w:rPr>
          <w:rFonts w:hint="eastAsia" w:ascii="宋体" w:hAnsi="宋体" w:eastAsia="宋体" w:cs="宋体"/>
        </w:rPr>
      </w:pPr>
      <w:r>
        <w:rPr>
          <w:rFonts w:hint="eastAsia" w:ascii="宋体" w:hAnsi="宋体" w:eastAsia="宋体" w:cs="宋体"/>
        </w:rPr>
        <w:t>注：1.本表根据《汽车加油加气站设计与施工规范》（GB 50156－2012）（2014年局部修订版）表4.0.5制得。</w:t>
      </w:r>
    </w:p>
    <w:p>
      <w:pPr>
        <w:adjustRightInd w:val="0"/>
        <w:snapToGrid w:val="0"/>
        <w:spacing w:line="240" w:lineRule="atLeast"/>
        <w:ind w:firstLine="440" w:firstLineChars="200"/>
        <w:rPr>
          <w:rFonts w:hint="eastAsia" w:ascii="宋体" w:hAnsi="宋体" w:eastAsia="宋体" w:cs="宋体"/>
        </w:rPr>
      </w:pPr>
      <w:r>
        <w:rPr>
          <w:rFonts w:hint="eastAsia" w:ascii="宋体" w:hAnsi="宋体" w:eastAsia="宋体" w:cs="宋体"/>
          <w:lang w:val="en-US" w:eastAsia="zh-CN"/>
        </w:rPr>
        <w:t>2.</w:t>
      </w:r>
      <w:r>
        <w:rPr>
          <w:rFonts w:hint="eastAsia" w:ascii="宋体" w:hAnsi="宋体" w:eastAsia="宋体" w:cs="宋体"/>
        </w:rPr>
        <w:t>“—”表示无此类别建构筑物或符合要求。</w:t>
      </w:r>
    </w:p>
    <w:p>
      <w:pPr>
        <w:pStyle w:val="6"/>
        <w:keepNext w:val="0"/>
        <w:keepLines w:val="0"/>
        <w:pageBreakBefore w:val="0"/>
        <w:widowControl w:val="0"/>
        <w:kinsoku/>
        <w:wordWrap/>
        <w:overflowPunct/>
        <w:topLinePunct w:val="0"/>
        <w:autoSpaceDE w:val="0"/>
        <w:autoSpaceDN w:val="0"/>
        <w:bidi w:val="0"/>
        <w:adjustRightInd/>
        <w:snapToGrid/>
        <w:spacing w:line="560" w:lineRule="exact"/>
        <w:ind w:firstLine="798" w:firstLineChars="300"/>
        <w:jc w:val="both"/>
        <w:textAlignment w:val="auto"/>
        <w:rPr>
          <w:rFonts w:hint="eastAsia" w:ascii="宋体" w:hAnsi="宋体" w:eastAsia="宋体" w:cs="宋体"/>
          <w:spacing w:val="-7"/>
        </w:rPr>
      </w:pPr>
      <w:r>
        <w:rPr>
          <w:rFonts w:hint="eastAsia" w:ascii="宋体" w:hAnsi="宋体" w:eastAsia="宋体" w:cs="宋体"/>
          <w:spacing w:val="-7"/>
        </w:rPr>
        <w:t>通过检查，</w:t>
      </w:r>
      <w:r>
        <w:rPr>
          <w:rFonts w:hint="eastAsia" w:ascii="宋体" w:hAnsi="宋体" w:eastAsia="宋体" w:cs="宋体"/>
          <w:spacing w:val="-7"/>
          <w:lang w:eastAsia="zh-CN"/>
        </w:rPr>
        <w:t>横坑加油站汽油罐、</w:t>
      </w:r>
      <w:r>
        <w:rPr>
          <w:rFonts w:hint="eastAsia" w:ascii="宋体" w:hAnsi="宋体" w:eastAsia="宋体" w:cs="宋体"/>
          <w:szCs w:val="21"/>
          <w:lang w:eastAsia="zh-CN"/>
        </w:rPr>
        <w:t>柴</w:t>
      </w:r>
      <w:r>
        <w:rPr>
          <w:rFonts w:hint="eastAsia" w:ascii="宋体" w:hAnsi="宋体" w:eastAsia="宋体" w:cs="宋体"/>
          <w:szCs w:val="21"/>
        </w:rPr>
        <w:t>油罐、</w:t>
      </w:r>
      <w:r>
        <w:rPr>
          <w:rFonts w:hint="eastAsia" w:ascii="宋体" w:hAnsi="宋体" w:eastAsia="宋体" w:cs="宋体"/>
          <w:szCs w:val="21"/>
          <w:lang w:eastAsia="zh-CN"/>
        </w:rPr>
        <w:t>柴油</w:t>
      </w:r>
      <w:r>
        <w:rPr>
          <w:rFonts w:hint="eastAsia" w:ascii="宋体" w:hAnsi="宋体" w:eastAsia="宋体" w:cs="宋体"/>
          <w:szCs w:val="21"/>
        </w:rPr>
        <w:t>加油机</w:t>
      </w:r>
      <w:r>
        <w:rPr>
          <w:rFonts w:hint="eastAsia" w:ascii="宋体" w:hAnsi="宋体" w:eastAsia="宋体" w:cs="宋体"/>
          <w:szCs w:val="21"/>
          <w:lang w:eastAsia="zh-CN"/>
        </w:rPr>
        <w:t>、汽油加油机</w:t>
      </w:r>
      <w:r>
        <w:rPr>
          <w:rFonts w:hint="eastAsia" w:ascii="宋体" w:hAnsi="宋体" w:eastAsia="宋体" w:cs="宋体"/>
          <w:szCs w:val="21"/>
        </w:rPr>
        <w:t>及通气管口与站</w:t>
      </w:r>
      <w:r>
        <w:rPr>
          <w:rFonts w:hint="eastAsia" w:ascii="宋体" w:hAnsi="宋体" w:eastAsia="宋体" w:cs="宋体"/>
          <w:szCs w:val="21"/>
          <w:lang w:eastAsia="zh-CN"/>
        </w:rPr>
        <w:t>内</w:t>
      </w:r>
      <w:r>
        <w:rPr>
          <w:rFonts w:hint="eastAsia" w:ascii="宋体" w:hAnsi="宋体" w:eastAsia="宋体" w:cs="宋体"/>
          <w:szCs w:val="21"/>
        </w:rPr>
        <w:t>外建、构筑物的防火距离</w:t>
      </w:r>
      <w:r>
        <w:rPr>
          <w:rFonts w:hint="eastAsia" w:ascii="宋体" w:hAnsi="宋体" w:eastAsia="宋体" w:cs="宋体"/>
          <w:spacing w:val="-7"/>
        </w:rPr>
        <w:t>满足《汽车加油加气站设计与施工规范》GB50156-2012（2014年版）规定的有关要求。</w:t>
      </w:r>
    </w:p>
    <w:p>
      <w:pPr>
        <w:pStyle w:val="4"/>
        <w:pageBreakBefore w:val="0"/>
        <w:kinsoku/>
        <w:wordWrap/>
        <w:overflowPunct/>
        <w:topLinePunct w:val="0"/>
        <w:bidi w:val="0"/>
        <w:adjustRightInd/>
        <w:snapToGrid/>
        <w:spacing w:before="120" w:after="120" w:line="560" w:lineRule="exact"/>
        <w:ind w:left="442"/>
        <w:textAlignment w:val="auto"/>
        <w:rPr>
          <w:rFonts w:hint="eastAsia" w:ascii="宋体" w:hAnsi="宋体" w:eastAsia="宋体" w:cs="宋体"/>
          <w:sz w:val="28"/>
          <w:szCs w:val="28"/>
        </w:rPr>
      </w:pPr>
      <w:bookmarkStart w:id="165" w:name="_Toc4549_WPSOffice_Level3"/>
      <w:bookmarkStart w:id="166" w:name="_Toc14304_WPSOffice_Level3"/>
      <w:r>
        <w:rPr>
          <w:rFonts w:hint="eastAsia" w:ascii="宋体" w:hAnsi="宋体" w:eastAsia="宋体" w:cs="宋体"/>
          <w:sz w:val="28"/>
          <w:szCs w:val="28"/>
          <w:lang w:val="en-US"/>
        </w:rPr>
        <w:t xml:space="preserve">2.2.2 </w:t>
      </w:r>
      <w:r>
        <w:rPr>
          <w:rFonts w:hint="eastAsia" w:ascii="宋体" w:hAnsi="宋体" w:eastAsia="宋体" w:cs="宋体"/>
          <w:sz w:val="28"/>
          <w:szCs w:val="28"/>
        </w:rPr>
        <w:t>自然条件</w:t>
      </w:r>
      <w:bookmarkEnd w:id="165"/>
      <w:bookmarkEnd w:id="166"/>
    </w:p>
    <w:p>
      <w:pPr>
        <w:keepNext w:val="0"/>
        <w:keepLines w:val="0"/>
        <w:pageBreakBefore w:val="0"/>
        <w:widowControl/>
        <w:kinsoku/>
        <w:wordWrap/>
        <w:overflowPunct/>
        <w:topLinePunct w:val="0"/>
        <w:autoSpaceDE/>
        <w:autoSpaceDN/>
        <w:bidi w:val="0"/>
        <w:adjustRightInd/>
        <w:snapToGrid/>
        <w:spacing w:line="560" w:lineRule="exact"/>
        <w:ind w:firstLine="560" w:firstLineChars="200"/>
        <w:jc w:val="both"/>
        <w:textAlignment w:val="auto"/>
        <w:outlineLvl w:val="9"/>
        <w:rPr>
          <w:rFonts w:hint="eastAsia" w:ascii="宋体" w:hAnsi="宋体" w:eastAsia="宋体" w:cs="宋体"/>
          <w:sz w:val="28"/>
        </w:rPr>
      </w:pPr>
      <w:r>
        <w:rPr>
          <w:rFonts w:hint="eastAsia" w:ascii="宋体" w:hAnsi="宋体" w:eastAsia="宋体" w:cs="宋体"/>
          <w:sz w:val="28"/>
        </w:rPr>
        <w:t>东莞市地势自西向东倾斜，低山高丘与谷地平原交错相间，分布不均，西北部和西南部多为丘陵、山地，中部、南部和西南部都是广阔肥沃的榕江冲积平原和滨海沉积平原。</w:t>
      </w:r>
    </w:p>
    <w:p>
      <w:pPr>
        <w:keepNext w:val="0"/>
        <w:keepLines w:val="0"/>
        <w:pageBreakBefore w:val="0"/>
        <w:widowControl/>
        <w:kinsoku/>
        <w:wordWrap/>
        <w:overflowPunct/>
        <w:topLinePunct w:val="0"/>
        <w:autoSpaceDE/>
        <w:autoSpaceDN/>
        <w:bidi w:val="0"/>
        <w:adjustRightInd/>
        <w:snapToGrid/>
        <w:spacing w:line="560" w:lineRule="exact"/>
        <w:ind w:firstLine="560" w:firstLineChars="200"/>
        <w:jc w:val="both"/>
        <w:textAlignment w:val="auto"/>
        <w:outlineLvl w:val="9"/>
        <w:rPr>
          <w:rFonts w:hint="eastAsia" w:ascii="宋体" w:hAnsi="宋体" w:eastAsia="宋体" w:cs="宋体"/>
          <w:sz w:val="28"/>
        </w:rPr>
      </w:pPr>
      <w:r>
        <w:rPr>
          <w:rFonts w:hint="eastAsia" w:ascii="宋体" w:hAnsi="宋体" w:eastAsia="宋体" w:cs="宋体"/>
          <w:sz w:val="28"/>
        </w:rPr>
        <w:t>1）地质条件：该项目选址位置为冲积平原地区，场地平坦、开阔，场区上部为回填土、种植土，属软弱及中软土层，中部为冲击土层，下部为残积岩，属中硬土类型，适宜一般工程的建设。场区内无不良地形、地貌。</w:t>
      </w:r>
    </w:p>
    <w:p>
      <w:pPr>
        <w:keepNext w:val="0"/>
        <w:keepLines w:val="0"/>
        <w:pageBreakBefore w:val="0"/>
        <w:widowControl/>
        <w:kinsoku/>
        <w:wordWrap/>
        <w:overflowPunct/>
        <w:topLinePunct w:val="0"/>
        <w:autoSpaceDE/>
        <w:autoSpaceDN/>
        <w:bidi w:val="0"/>
        <w:adjustRightInd/>
        <w:snapToGrid/>
        <w:spacing w:line="560" w:lineRule="exact"/>
        <w:ind w:firstLine="560" w:firstLineChars="200"/>
        <w:jc w:val="both"/>
        <w:textAlignment w:val="auto"/>
        <w:outlineLvl w:val="9"/>
        <w:rPr>
          <w:rFonts w:hint="eastAsia" w:ascii="宋体" w:hAnsi="宋体" w:eastAsia="宋体" w:cs="宋体"/>
          <w:sz w:val="28"/>
        </w:rPr>
      </w:pPr>
      <w:r>
        <w:rPr>
          <w:rFonts w:hint="eastAsia" w:ascii="宋体" w:hAnsi="宋体" w:eastAsia="宋体" w:cs="宋体"/>
          <w:sz w:val="28"/>
        </w:rPr>
        <w:t>2）抗震设防烈度：场地土质类别为III类，抗震设防烈度为6度，设计基本加速度值为0.05g，设计地震分组为第一组。</w:t>
      </w:r>
    </w:p>
    <w:p>
      <w:pPr>
        <w:keepNext w:val="0"/>
        <w:keepLines w:val="0"/>
        <w:pageBreakBefore w:val="0"/>
        <w:widowControl/>
        <w:kinsoku/>
        <w:wordWrap/>
        <w:overflowPunct/>
        <w:topLinePunct w:val="0"/>
        <w:autoSpaceDE/>
        <w:autoSpaceDN/>
        <w:bidi w:val="0"/>
        <w:adjustRightInd/>
        <w:snapToGrid/>
        <w:spacing w:line="560" w:lineRule="exact"/>
        <w:ind w:firstLine="560" w:firstLineChars="200"/>
        <w:jc w:val="both"/>
        <w:textAlignment w:val="auto"/>
        <w:outlineLvl w:val="9"/>
        <w:rPr>
          <w:rFonts w:hint="eastAsia" w:ascii="宋体" w:hAnsi="宋体" w:eastAsia="宋体" w:cs="宋体"/>
          <w:sz w:val="28"/>
        </w:rPr>
      </w:pPr>
      <w:r>
        <w:rPr>
          <w:rFonts w:hint="eastAsia" w:ascii="宋体" w:hAnsi="宋体" w:eastAsia="宋体" w:cs="宋体"/>
          <w:sz w:val="28"/>
        </w:rPr>
        <w:t>东莞市地处低纬度地区、属南亚热带季风气候，冷季受东北季风控制，暖季受西南季风影响，海陆风盛行，具有明显的海洋性气候特点。据东莞市多年气候资料统计，年均气压1011.7百帕、年均气温19.1℃，年均相对湿度79%，年均降雨1367.2mm，年均风速2.9m/s,每年2-3月份有不同程度的低湿阴雨天气，4-5月份为前汛期，常有暴雨出现，7-9月份为后汛期，常有台风侵袭，秋冬多晴好天气，但各半年海风强风较多，据东莞市气象站统计资料显示，常年主导风向以东到东北为主，频率为52%，静风频率也高，为17%，冬春夏秋主导风分别为 NE、ENE、SW、NE，NE、ENE、SW三个风向平均频率为19%、17%、4%。</w:t>
      </w:r>
    </w:p>
    <w:p>
      <w:pPr>
        <w:rPr>
          <w:rFonts w:hint="eastAsia" w:ascii="宋体" w:hAnsi="宋体" w:eastAsia="宋体" w:cs="宋体"/>
          <w:b/>
          <w:bCs/>
          <w:lang w:val="en-US"/>
        </w:rPr>
      </w:pPr>
      <w:bookmarkStart w:id="167" w:name="_Toc7439"/>
      <w:bookmarkStart w:id="168" w:name="_Toc2786_WPSOffice_Level2"/>
      <w:bookmarkStart w:id="169" w:name="_Toc24431_WPSOffice_Level2"/>
      <w:bookmarkStart w:id="170" w:name="_Toc26049"/>
      <w:bookmarkStart w:id="171" w:name="_Toc13105_WPSOffice_Level2"/>
      <w:r>
        <w:rPr>
          <w:rFonts w:hint="eastAsia" w:ascii="宋体" w:hAnsi="宋体" w:eastAsia="宋体" w:cs="宋体"/>
          <w:b/>
          <w:bCs/>
          <w:lang w:val="en-US"/>
        </w:rPr>
        <w:br w:type="page"/>
      </w:r>
    </w:p>
    <w:p>
      <w:pPr>
        <w:pStyle w:val="3"/>
        <w:tabs>
          <w:tab w:val="left" w:pos="426"/>
        </w:tabs>
        <w:spacing w:before="240" w:beforeLines="100" w:after="240" w:afterLines="100"/>
        <w:ind w:firstLine="0"/>
        <w:jc w:val="center"/>
        <w:rPr>
          <w:rFonts w:hint="eastAsia" w:ascii="宋体" w:hAnsi="宋体" w:eastAsia="宋体" w:cs="宋体"/>
          <w:b/>
          <w:bCs/>
          <w:lang w:val="en-US"/>
        </w:rPr>
      </w:pPr>
      <w:bookmarkStart w:id="172" w:name="_Toc4321"/>
      <w:r>
        <w:rPr>
          <w:rFonts w:hint="eastAsia" w:ascii="宋体" w:hAnsi="宋体" w:eastAsia="宋体" w:cs="宋体"/>
          <w:b/>
          <w:bCs/>
          <w:lang w:val="en-US"/>
        </w:rPr>
        <w:t>2.3 平面布置</w:t>
      </w:r>
      <w:bookmarkEnd w:id="167"/>
      <w:bookmarkEnd w:id="168"/>
      <w:bookmarkEnd w:id="169"/>
      <w:bookmarkEnd w:id="170"/>
      <w:bookmarkEnd w:id="171"/>
      <w:bookmarkEnd w:id="172"/>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color w:val="000000"/>
          <w:sz w:val="28"/>
          <w:szCs w:val="28"/>
          <w:highlight w:val="none"/>
          <w:lang w:eastAsia="zh-CN"/>
        </w:rPr>
        <w:t>横坑</w:t>
      </w:r>
      <w:r>
        <w:rPr>
          <w:rFonts w:hint="eastAsia" w:ascii="宋体" w:hAnsi="宋体" w:eastAsia="宋体" w:cs="宋体"/>
          <w:color w:val="000000"/>
          <w:sz w:val="28"/>
          <w:szCs w:val="28"/>
          <w:highlight w:val="none"/>
        </w:rPr>
        <w:t>加油站总占地面积</w:t>
      </w:r>
      <w:r>
        <w:rPr>
          <w:rFonts w:hint="eastAsia" w:ascii="宋体" w:hAnsi="宋体" w:eastAsia="宋体" w:cs="宋体"/>
          <w:color w:val="000000"/>
          <w:sz w:val="28"/>
          <w:szCs w:val="28"/>
          <w:highlight w:val="none"/>
          <w:lang w:val="en-US" w:eastAsia="zh-CN"/>
        </w:rPr>
        <w:t>3538.9</w:t>
      </w:r>
      <w:r>
        <w:rPr>
          <w:rFonts w:hint="eastAsia" w:ascii="宋体" w:hAnsi="宋体" w:eastAsia="宋体" w:cs="宋体"/>
          <w:color w:val="000000"/>
          <w:sz w:val="28"/>
          <w:szCs w:val="28"/>
          <w:highlight w:val="none"/>
        </w:rPr>
        <w:t>㎡，站内主要建筑物包括加油亭、站房</w:t>
      </w:r>
      <w:r>
        <w:rPr>
          <w:rFonts w:hint="eastAsia" w:ascii="宋体" w:hAnsi="宋体" w:eastAsia="宋体" w:cs="宋体"/>
          <w:color w:val="000000"/>
          <w:sz w:val="28"/>
          <w:szCs w:val="28"/>
          <w:highlight w:val="none"/>
          <w:lang w:eastAsia="zh-CN"/>
        </w:rPr>
        <w:t>、综合楼</w:t>
      </w:r>
      <w:r>
        <w:rPr>
          <w:rFonts w:hint="eastAsia" w:ascii="宋体" w:hAnsi="宋体" w:eastAsia="宋体" w:cs="宋体"/>
          <w:color w:val="000000"/>
          <w:sz w:val="28"/>
          <w:szCs w:val="28"/>
          <w:highlight w:val="none"/>
        </w:rPr>
        <w:t>等，主要设施包括</w:t>
      </w:r>
      <w:r>
        <w:rPr>
          <w:rFonts w:hint="eastAsia" w:ascii="宋体" w:hAnsi="宋体" w:eastAsia="宋体" w:cs="宋体"/>
          <w:color w:val="000000"/>
          <w:sz w:val="28"/>
          <w:szCs w:val="28"/>
          <w:highlight w:val="none"/>
          <w:lang w:val="en-US" w:eastAsia="zh-CN"/>
        </w:rPr>
        <w:t>4</w:t>
      </w:r>
      <w:r>
        <w:rPr>
          <w:rFonts w:hint="eastAsia" w:ascii="宋体" w:hAnsi="宋体" w:eastAsia="宋体" w:cs="宋体"/>
          <w:color w:val="000000"/>
          <w:sz w:val="28"/>
          <w:szCs w:val="28"/>
          <w:highlight w:val="none"/>
        </w:rPr>
        <w:t>个双层埋地罐和</w:t>
      </w:r>
      <w:r>
        <w:rPr>
          <w:rFonts w:hint="eastAsia" w:ascii="宋体" w:hAnsi="宋体" w:eastAsia="宋体" w:cs="宋体"/>
          <w:color w:val="000000"/>
          <w:sz w:val="28"/>
          <w:szCs w:val="28"/>
          <w:highlight w:val="none"/>
          <w:lang w:val="en-US" w:eastAsia="zh-CN"/>
        </w:rPr>
        <w:t>8</w:t>
      </w:r>
      <w:r>
        <w:rPr>
          <w:rFonts w:hint="eastAsia" w:ascii="宋体" w:hAnsi="宋体" w:eastAsia="宋体" w:cs="宋体"/>
          <w:color w:val="000000"/>
          <w:sz w:val="28"/>
          <w:szCs w:val="28"/>
          <w:highlight w:val="none"/>
        </w:rPr>
        <w:t>台油机</w:t>
      </w:r>
      <w:r>
        <w:rPr>
          <w:rFonts w:hint="eastAsia" w:ascii="宋体" w:hAnsi="宋体" w:eastAsia="宋体" w:cs="宋体"/>
          <w:color w:val="000000"/>
          <w:sz w:val="28"/>
          <w:szCs w:val="28"/>
          <w:highlight w:val="none"/>
          <w:lang w:eastAsia="zh-CN"/>
        </w:rPr>
        <w:t>等</w:t>
      </w:r>
      <w:r>
        <w:rPr>
          <w:rFonts w:hint="eastAsia" w:ascii="宋体" w:hAnsi="宋体" w:eastAsia="宋体" w:cs="宋体"/>
          <w:sz w:val="28"/>
          <w:szCs w:val="28"/>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rPr>
        <w:t>加油亭位于站区的中部，</w:t>
      </w:r>
      <w:r>
        <w:rPr>
          <w:rFonts w:hint="eastAsia" w:ascii="宋体" w:hAnsi="宋体" w:eastAsia="宋体" w:cs="宋体"/>
          <w:sz w:val="28"/>
        </w:rPr>
        <w:t>有效高度</w:t>
      </w:r>
      <w:r>
        <w:rPr>
          <w:rFonts w:hint="eastAsia" w:ascii="宋体" w:hAnsi="宋体" w:eastAsia="宋体" w:cs="宋体"/>
          <w:sz w:val="28"/>
          <w:lang w:val="en-US" w:eastAsia="zh-CN"/>
        </w:rPr>
        <w:t>6.8</w:t>
      </w:r>
      <w:r>
        <w:rPr>
          <w:rFonts w:hint="eastAsia" w:ascii="宋体" w:hAnsi="宋体" w:eastAsia="宋体" w:cs="宋体"/>
          <w:sz w:val="28"/>
        </w:rPr>
        <w:t>m</w:t>
      </w:r>
      <w:r>
        <w:rPr>
          <w:rFonts w:hint="eastAsia" w:ascii="宋体" w:hAnsi="宋体" w:eastAsia="宋体" w:cs="宋体"/>
          <w:sz w:val="28"/>
          <w:szCs w:val="28"/>
        </w:rPr>
        <w:t>，</w:t>
      </w:r>
      <w:r>
        <w:rPr>
          <w:rFonts w:hint="eastAsia" w:ascii="宋体" w:hAnsi="宋体" w:eastAsia="宋体" w:cs="宋体"/>
          <w:sz w:val="28"/>
          <w:szCs w:val="28"/>
          <w:lang w:eastAsia="zh-CN"/>
        </w:rPr>
        <w:t>建筑</w:t>
      </w:r>
      <w:r>
        <w:rPr>
          <w:rFonts w:hint="eastAsia" w:ascii="宋体" w:hAnsi="宋体" w:eastAsia="宋体" w:cs="宋体"/>
          <w:sz w:val="28"/>
          <w:szCs w:val="28"/>
        </w:rPr>
        <w:t>面积1104.0</w:t>
      </w:r>
      <w:r>
        <w:rPr>
          <w:rFonts w:hint="eastAsia" w:ascii="宋体" w:hAnsi="宋体" w:eastAsia="宋体" w:cs="宋体"/>
          <w:sz w:val="28"/>
          <w:szCs w:val="28"/>
          <w:lang w:val="en-US" w:eastAsia="zh-CN"/>
        </w:rPr>
        <w:t>m</w:t>
      </w:r>
      <w:r>
        <w:rPr>
          <w:rFonts w:hint="eastAsia" w:ascii="宋体" w:hAnsi="宋体" w:eastAsia="宋体" w:cs="宋体"/>
          <w:sz w:val="28"/>
          <w:szCs w:val="28"/>
          <w:vertAlign w:val="superscript"/>
          <w:lang w:val="en-US" w:eastAsia="zh-CN"/>
        </w:rPr>
        <w:t>2</w:t>
      </w:r>
      <w:r>
        <w:rPr>
          <w:rFonts w:hint="eastAsia" w:ascii="宋体" w:hAnsi="宋体" w:eastAsia="宋体" w:cs="宋体"/>
          <w:sz w:val="28"/>
          <w:szCs w:val="28"/>
        </w:rPr>
        <w:t>，设</w:t>
      </w:r>
      <w:r>
        <w:rPr>
          <w:rFonts w:hint="eastAsia" w:ascii="宋体" w:hAnsi="宋体" w:eastAsia="宋体" w:cs="宋体"/>
          <w:sz w:val="28"/>
          <w:szCs w:val="28"/>
          <w:lang w:val="en-US" w:eastAsia="zh-CN"/>
        </w:rPr>
        <w:t>8</w:t>
      </w:r>
      <w:r>
        <w:rPr>
          <w:rFonts w:hint="eastAsia" w:ascii="宋体" w:hAnsi="宋体" w:eastAsia="宋体" w:cs="宋体"/>
          <w:sz w:val="28"/>
          <w:szCs w:val="28"/>
        </w:rPr>
        <w:t>台</w:t>
      </w:r>
      <w:r>
        <w:rPr>
          <w:rFonts w:hint="eastAsia" w:ascii="宋体" w:hAnsi="宋体" w:eastAsia="宋体" w:cs="宋体"/>
          <w:sz w:val="28"/>
          <w:szCs w:val="28"/>
          <w:lang w:val="en-US" w:eastAsia="zh-CN"/>
        </w:rPr>
        <w:t>8</w:t>
      </w:r>
      <w:r>
        <w:rPr>
          <w:rFonts w:hint="eastAsia" w:ascii="宋体" w:hAnsi="宋体" w:eastAsia="宋体" w:cs="宋体"/>
          <w:sz w:val="28"/>
          <w:szCs w:val="28"/>
        </w:rPr>
        <w:t>枪加油机</w:t>
      </w:r>
      <w:r>
        <w:rPr>
          <w:rFonts w:hint="eastAsia" w:ascii="宋体" w:hAnsi="宋体" w:eastAsia="宋体" w:cs="宋体"/>
          <w:sz w:val="28"/>
          <w:szCs w:val="28"/>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站房位于加油亭的南侧，</w:t>
      </w:r>
      <w:r>
        <w:rPr>
          <w:rFonts w:hint="eastAsia" w:ascii="宋体" w:hAnsi="宋体" w:eastAsia="宋体" w:cs="宋体"/>
          <w:sz w:val="28"/>
        </w:rPr>
        <w:t>钢筋混凝土结构，</w:t>
      </w:r>
      <w:r>
        <w:rPr>
          <w:rFonts w:hint="eastAsia" w:ascii="宋体" w:hAnsi="宋体" w:eastAsia="宋体" w:cs="宋体"/>
          <w:sz w:val="28"/>
          <w:lang w:eastAsia="zh-CN"/>
        </w:rPr>
        <w:t>建筑面积约</w:t>
      </w:r>
      <w:r>
        <w:rPr>
          <w:rFonts w:hint="eastAsia" w:ascii="宋体" w:hAnsi="宋体" w:eastAsia="宋体" w:cs="宋体"/>
          <w:sz w:val="28"/>
          <w:lang w:val="en-US" w:eastAsia="zh-CN"/>
        </w:rPr>
        <w:t>318.0</w:t>
      </w:r>
      <w:r>
        <w:rPr>
          <w:rFonts w:hint="eastAsia" w:ascii="宋体" w:hAnsi="宋体" w:eastAsia="宋体" w:cs="宋体"/>
          <w:sz w:val="28"/>
          <w:szCs w:val="28"/>
          <w:lang w:val="en-US" w:eastAsia="zh-CN"/>
        </w:rPr>
        <w:t>m</w:t>
      </w:r>
      <w:r>
        <w:rPr>
          <w:rFonts w:hint="eastAsia" w:ascii="宋体" w:hAnsi="宋体" w:eastAsia="宋体" w:cs="宋体"/>
          <w:sz w:val="28"/>
          <w:szCs w:val="28"/>
          <w:vertAlign w:val="superscript"/>
          <w:lang w:val="en-US" w:eastAsia="zh-CN"/>
        </w:rPr>
        <w:t>2</w:t>
      </w:r>
      <w:r>
        <w:rPr>
          <w:rFonts w:hint="eastAsia" w:ascii="宋体" w:hAnsi="宋体" w:eastAsia="宋体" w:cs="宋体"/>
          <w:sz w:val="28"/>
          <w:szCs w:val="28"/>
        </w:rPr>
        <w:t>，</w:t>
      </w:r>
      <w:r>
        <w:rPr>
          <w:rFonts w:hint="eastAsia" w:ascii="宋体" w:hAnsi="宋体" w:eastAsia="宋体" w:cs="宋体"/>
          <w:sz w:val="28"/>
        </w:rPr>
        <w:t>内设便利店、办公室等</w:t>
      </w:r>
      <w:r>
        <w:rPr>
          <w:rFonts w:hint="eastAsia" w:ascii="宋体" w:hAnsi="宋体" w:eastAsia="宋体" w:cs="宋体"/>
          <w:sz w:val="28"/>
          <w:lang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560" w:firstLineChars="200"/>
        <w:textAlignment w:val="auto"/>
        <w:rPr>
          <w:rFonts w:hint="eastAsia" w:ascii="宋体" w:hAnsi="宋体" w:eastAsia="宋体" w:cs="宋体"/>
          <w:sz w:val="28"/>
          <w:lang w:eastAsia="zh-CN"/>
        </w:rPr>
      </w:pPr>
      <w:r>
        <w:rPr>
          <w:rFonts w:hint="eastAsia" w:ascii="宋体" w:hAnsi="宋体" w:eastAsia="宋体" w:cs="宋体"/>
          <w:sz w:val="28"/>
          <w:lang w:eastAsia="zh-CN"/>
        </w:rPr>
        <w:t>埋地油</w:t>
      </w:r>
      <w:r>
        <w:rPr>
          <w:rFonts w:hint="eastAsia" w:ascii="宋体" w:hAnsi="宋体" w:eastAsia="宋体" w:cs="宋体"/>
          <w:sz w:val="28"/>
        </w:rPr>
        <w:t>罐区</w:t>
      </w:r>
      <w:r>
        <w:rPr>
          <w:rFonts w:hint="eastAsia" w:ascii="宋体" w:hAnsi="宋体" w:eastAsia="宋体" w:cs="宋体"/>
          <w:sz w:val="28"/>
          <w:szCs w:val="28"/>
        </w:rPr>
        <w:t>位于站区的东南侧</w:t>
      </w:r>
      <w:r>
        <w:rPr>
          <w:rFonts w:hint="eastAsia" w:ascii="宋体" w:hAnsi="宋体" w:eastAsia="宋体" w:cs="宋体"/>
          <w:sz w:val="28"/>
          <w:szCs w:val="28"/>
          <w:lang w:eastAsia="zh-CN"/>
        </w:rPr>
        <w:t>，</w:t>
      </w:r>
      <w:r>
        <w:rPr>
          <w:rFonts w:hint="eastAsia" w:ascii="宋体" w:hAnsi="宋体" w:eastAsia="宋体" w:cs="宋体"/>
          <w:sz w:val="28"/>
        </w:rPr>
        <w:t>设</w:t>
      </w:r>
      <w:r>
        <w:rPr>
          <w:rFonts w:hint="eastAsia" w:ascii="宋体" w:hAnsi="宋体" w:eastAsia="宋体" w:cs="宋体"/>
          <w:sz w:val="28"/>
          <w:lang w:val="en-US" w:eastAsia="zh-CN"/>
        </w:rPr>
        <w:t>SF</w:t>
      </w:r>
      <w:r>
        <w:rPr>
          <w:rFonts w:hint="eastAsia" w:ascii="宋体" w:hAnsi="宋体" w:eastAsia="宋体" w:cs="宋体"/>
          <w:sz w:val="28"/>
        </w:rPr>
        <w:t>双层油罐</w:t>
      </w:r>
      <w:r>
        <w:rPr>
          <w:rFonts w:hint="eastAsia" w:ascii="宋体" w:hAnsi="宋体" w:eastAsia="宋体" w:cs="宋体"/>
          <w:sz w:val="28"/>
          <w:lang w:val="en-US" w:eastAsia="zh-CN"/>
        </w:rPr>
        <w:t>4</w:t>
      </w:r>
      <w:r>
        <w:rPr>
          <w:rFonts w:hint="eastAsia" w:ascii="宋体" w:hAnsi="宋体" w:eastAsia="宋体" w:cs="宋体"/>
          <w:sz w:val="28"/>
        </w:rPr>
        <w:t>个，</w:t>
      </w:r>
      <w:r>
        <w:rPr>
          <w:rFonts w:hint="eastAsia" w:ascii="宋体" w:hAnsi="宋体" w:eastAsia="宋体" w:cs="宋体"/>
          <w:sz w:val="28"/>
          <w:lang w:eastAsia="zh-CN"/>
        </w:rPr>
        <w:t>分别为</w:t>
      </w:r>
      <w:r>
        <w:rPr>
          <w:rFonts w:hint="eastAsia" w:ascii="宋体" w:hAnsi="宋体" w:eastAsia="宋体" w:cs="宋体"/>
          <w:sz w:val="28"/>
          <w:szCs w:val="28"/>
        </w:rPr>
        <w:t>1个</w:t>
      </w:r>
      <w:r>
        <w:rPr>
          <w:rFonts w:hint="eastAsia" w:ascii="宋体" w:hAnsi="宋体" w:eastAsia="宋体" w:cs="宋体"/>
          <w:sz w:val="28"/>
          <w:szCs w:val="28"/>
          <w:lang w:val="en-US" w:eastAsia="zh-CN"/>
        </w:rPr>
        <w:t>5</w:t>
      </w:r>
      <w:r>
        <w:rPr>
          <w:rFonts w:hint="eastAsia" w:ascii="宋体" w:hAnsi="宋体" w:eastAsia="宋体" w:cs="宋体"/>
          <w:sz w:val="28"/>
          <w:szCs w:val="28"/>
        </w:rPr>
        <w:t>0m³的</w:t>
      </w:r>
      <w:r>
        <w:rPr>
          <w:rFonts w:hint="eastAsia" w:ascii="宋体" w:hAnsi="宋体" w:eastAsia="宋体" w:cs="宋体"/>
          <w:sz w:val="28"/>
          <w:lang w:val="en-US" w:eastAsia="zh-CN"/>
        </w:rPr>
        <w:t>92#</w:t>
      </w:r>
      <w:r>
        <w:rPr>
          <w:rFonts w:hint="eastAsia" w:ascii="宋体" w:hAnsi="宋体" w:eastAsia="宋体" w:cs="宋体"/>
          <w:sz w:val="28"/>
          <w:lang w:eastAsia="zh-CN"/>
        </w:rPr>
        <w:t>汽</w:t>
      </w:r>
      <w:r>
        <w:rPr>
          <w:rFonts w:hint="eastAsia" w:ascii="宋体" w:hAnsi="宋体" w:eastAsia="宋体" w:cs="宋体"/>
          <w:sz w:val="28"/>
        </w:rPr>
        <w:t>油罐</w:t>
      </w:r>
      <w:r>
        <w:rPr>
          <w:rFonts w:hint="eastAsia" w:ascii="宋体" w:hAnsi="宋体" w:eastAsia="宋体" w:cs="宋体"/>
          <w:sz w:val="28"/>
          <w:lang w:eastAsia="zh-CN"/>
        </w:rPr>
        <w:t>、</w:t>
      </w:r>
      <w:r>
        <w:rPr>
          <w:rFonts w:hint="eastAsia" w:ascii="宋体" w:hAnsi="宋体" w:eastAsia="宋体" w:cs="宋体"/>
          <w:sz w:val="28"/>
          <w:szCs w:val="28"/>
        </w:rPr>
        <w:t>1个</w:t>
      </w:r>
      <w:r>
        <w:rPr>
          <w:rFonts w:hint="eastAsia" w:ascii="宋体" w:hAnsi="宋体" w:eastAsia="宋体" w:cs="宋体"/>
          <w:sz w:val="28"/>
          <w:szCs w:val="28"/>
          <w:lang w:val="en-US" w:eastAsia="zh-CN"/>
        </w:rPr>
        <w:t>3</w:t>
      </w:r>
      <w:r>
        <w:rPr>
          <w:rFonts w:hint="eastAsia" w:ascii="宋体" w:hAnsi="宋体" w:eastAsia="宋体" w:cs="宋体"/>
          <w:sz w:val="28"/>
          <w:szCs w:val="28"/>
        </w:rPr>
        <w:t>0m³的</w:t>
      </w:r>
      <w:r>
        <w:rPr>
          <w:rFonts w:hint="eastAsia" w:ascii="宋体" w:hAnsi="宋体" w:eastAsia="宋体" w:cs="宋体"/>
          <w:sz w:val="28"/>
          <w:lang w:val="en-US" w:eastAsia="zh-CN"/>
        </w:rPr>
        <w:t>95#汽油罐</w:t>
      </w:r>
      <w:r>
        <w:rPr>
          <w:rFonts w:hint="eastAsia" w:ascii="宋体" w:hAnsi="宋体" w:eastAsia="宋体" w:cs="宋体"/>
          <w:sz w:val="28"/>
          <w:lang w:eastAsia="zh-CN"/>
        </w:rPr>
        <w:t>、</w:t>
      </w:r>
      <w:r>
        <w:rPr>
          <w:rFonts w:hint="eastAsia" w:ascii="宋体" w:hAnsi="宋体" w:eastAsia="宋体" w:cs="宋体"/>
          <w:sz w:val="28"/>
          <w:szCs w:val="28"/>
        </w:rPr>
        <w:t>1个</w:t>
      </w:r>
      <w:r>
        <w:rPr>
          <w:rFonts w:hint="eastAsia" w:ascii="宋体" w:hAnsi="宋体" w:eastAsia="宋体" w:cs="宋体"/>
          <w:sz w:val="28"/>
          <w:szCs w:val="28"/>
          <w:lang w:val="en-US" w:eastAsia="zh-CN"/>
        </w:rPr>
        <w:t>15</w:t>
      </w:r>
      <w:r>
        <w:rPr>
          <w:rFonts w:hint="eastAsia" w:ascii="宋体" w:hAnsi="宋体" w:eastAsia="宋体" w:cs="宋体"/>
          <w:sz w:val="28"/>
          <w:szCs w:val="28"/>
        </w:rPr>
        <w:t>m³的</w:t>
      </w:r>
      <w:r>
        <w:rPr>
          <w:rFonts w:hint="eastAsia" w:ascii="宋体" w:hAnsi="宋体" w:eastAsia="宋体" w:cs="宋体"/>
          <w:sz w:val="28"/>
          <w:lang w:val="en-US" w:eastAsia="zh-CN"/>
        </w:rPr>
        <w:t>98#汽油罐</w:t>
      </w:r>
      <w:r>
        <w:rPr>
          <w:rFonts w:hint="eastAsia" w:ascii="宋体" w:hAnsi="宋体" w:eastAsia="宋体" w:cs="宋体"/>
          <w:sz w:val="28"/>
          <w:lang w:eastAsia="zh-CN"/>
        </w:rPr>
        <w:t>、</w:t>
      </w:r>
      <w:r>
        <w:rPr>
          <w:rFonts w:hint="eastAsia" w:ascii="宋体" w:hAnsi="宋体" w:eastAsia="宋体" w:cs="宋体"/>
          <w:sz w:val="28"/>
          <w:szCs w:val="28"/>
        </w:rPr>
        <w:t>1个</w:t>
      </w:r>
      <w:r>
        <w:rPr>
          <w:rFonts w:hint="eastAsia" w:ascii="宋体" w:hAnsi="宋体" w:eastAsia="宋体" w:cs="宋体"/>
          <w:sz w:val="28"/>
          <w:szCs w:val="28"/>
          <w:lang w:val="en-US" w:eastAsia="zh-CN"/>
        </w:rPr>
        <w:t>5</w:t>
      </w:r>
      <w:r>
        <w:rPr>
          <w:rFonts w:hint="eastAsia" w:ascii="宋体" w:hAnsi="宋体" w:eastAsia="宋体" w:cs="宋体"/>
          <w:sz w:val="28"/>
          <w:szCs w:val="28"/>
        </w:rPr>
        <w:t>0m³的</w:t>
      </w:r>
      <w:r>
        <w:rPr>
          <w:rFonts w:hint="eastAsia" w:ascii="宋体" w:hAnsi="宋体" w:eastAsia="宋体" w:cs="宋体"/>
          <w:sz w:val="28"/>
          <w:lang w:val="en-US" w:eastAsia="zh-CN"/>
        </w:rPr>
        <w:t>0#</w:t>
      </w:r>
      <w:r>
        <w:rPr>
          <w:rFonts w:hint="eastAsia" w:ascii="宋体" w:hAnsi="宋体" w:eastAsia="宋体" w:cs="宋体"/>
          <w:sz w:val="28"/>
          <w:lang w:eastAsia="zh-CN"/>
        </w:rPr>
        <w:t>柴</w:t>
      </w:r>
      <w:r>
        <w:rPr>
          <w:rFonts w:hint="eastAsia" w:ascii="宋体" w:hAnsi="宋体" w:eastAsia="宋体" w:cs="宋体"/>
          <w:sz w:val="28"/>
        </w:rPr>
        <w:t>油罐，储罐总容积</w:t>
      </w:r>
      <w:r>
        <w:rPr>
          <w:rFonts w:hint="eastAsia" w:ascii="宋体" w:hAnsi="宋体" w:eastAsia="宋体" w:cs="宋体"/>
          <w:sz w:val="28"/>
          <w:lang w:val="en-US" w:eastAsia="zh-CN"/>
        </w:rPr>
        <w:t>120</w:t>
      </w:r>
      <w:r>
        <w:rPr>
          <w:rFonts w:hint="eastAsia" w:ascii="宋体" w:hAnsi="宋体" w:eastAsia="宋体" w:cs="宋体"/>
          <w:sz w:val="28"/>
        </w:rPr>
        <w:t>m³（柴油折半计算）。</w:t>
      </w:r>
      <w:r>
        <w:rPr>
          <w:rFonts w:hint="eastAsia" w:ascii="宋体" w:hAnsi="宋体" w:eastAsia="宋体" w:cs="宋体"/>
          <w:sz w:val="28"/>
          <w:szCs w:val="28"/>
        </w:rPr>
        <w:t>每个油罐设有人孔操作井，汽油罐与柴油罐的通气管分开设置，通气管管口高于</w:t>
      </w:r>
      <w:r>
        <w:rPr>
          <w:rFonts w:hint="eastAsia" w:ascii="宋体" w:hAnsi="宋体" w:eastAsia="宋体" w:cs="宋体"/>
          <w:sz w:val="28"/>
          <w:szCs w:val="28"/>
          <w:lang w:eastAsia="zh-CN"/>
        </w:rPr>
        <w:t>地面</w:t>
      </w:r>
      <w:r>
        <w:rPr>
          <w:rFonts w:hint="eastAsia" w:ascii="宋体" w:hAnsi="宋体" w:eastAsia="宋体" w:cs="宋体"/>
          <w:sz w:val="28"/>
          <w:szCs w:val="28"/>
          <w:lang w:val="en-US" w:eastAsia="zh-CN"/>
        </w:rPr>
        <w:t>4</w:t>
      </w:r>
      <w:r>
        <w:rPr>
          <w:rFonts w:hint="eastAsia" w:ascii="宋体" w:hAnsi="宋体" w:eastAsia="宋体" w:cs="宋体"/>
          <w:sz w:val="28"/>
          <w:szCs w:val="28"/>
        </w:rPr>
        <w:t>m，管口安装阻火器，汽油通气管管口安装有呼吸阀</w:t>
      </w:r>
      <w:r>
        <w:rPr>
          <w:rFonts w:hint="eastAsia" w:ascii="宋体" w:hAnsi="宋体" w:eastAsia="宋体" w:cs="宋体"/>
          <w:sz w:val="28"/>
          <w:szCs w:val="28"/>
          <w:lang w:eastAsia="zh-CN"/>
        </w:rPr>
        <w:t>。</w:t>
      </w:r>
      <w:r>
        <w:rPr>
          <w:rFonts w:hint="eastAsia" w:ascii="宋体" w:hAnsi="宋体" w:eastAsia="宋体" w:cs="宋体"/>
          <w:sz w:val="28"/>
          <w:szCs w:val="28"/>
        </w:rPr>
        <w:t>油罐区设有密闭式卸油口，采用油气回收系统</w:t>
      </w:r>
      <w:r>
        <w:rPr>
          <w:rFonts w:hint="eastAsia" w:ascii="宋体" w:hAnsi="宋体" w:eastAsia="宋体" w:cs="宋体"/>
          <w:sz w:val="28"/>
        </w:rPr>
        <w:t>。密闭卸油口位于</w:t>
      </w:r>
      <w:r>
        <w:rPr>
          <w:rFonts w:hint="eastAsia" w:ascii="宋体" w:hAnsi="宋体" w:eastAsia="宋体" w:cs="宋体"/>
          <w:sz w:val="28"/>
          <w:lang w:eastAsia="zh-CN"/>
        </w:rPr>
        <w:t>站房东侧。</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简易洗车区、地磅房位于站区东侧</w:t>
      </w:r>
      <w:r>
        <w:rPr>
          <w:rFonts w:hint="eastAsia" w:ascii="宋体" w:hAnsi="宋体" w:eastAsia="宋体" w:cs="宋体"/>
          <w:sz w:val="28"/>
          <w:szCs w:val="28"/>
          <w:lang w:eastAsia="zh-CN"/>
        </w:rPr>
        <w:t>。</w:t>
      </w:r>
      <w:r>
        <w:rPr>
          <w:rFonts w:hint="eastAsia" w:ascii="宋体" w:hAnsi="宋体" w:eastAsia="宋体" w:cs="宋体"/>
          <w:sz w:val="28"/>
          <w:szCs w:val="28"/>
        </w:rPr>
        <w:t>配电房位于站区西南侧，配电房设置有防鼠板，应急照明灯、绝缘地胶和灭火器。配电间与油罐区、加油机、卸油口、通气管形成的爆炸危险区域的间距均大于3m。综合楼位于站区西侧。</w:t>
      </w:r>
    </w:p>
    <w:p>
      <w:pPr>
        <w:keepNext w:val="0"/>
        <w:keepLines w:val="0"/>
        <w:pageBreakBefore w:val="0"/>
        <w:widowControl w:val="0"/>
        <w:kinsoku/>
        <w:wordWrap/>
        <w:overflowPunct/>
        <w:topLinePunct w:val="0"/>
        <w:autoSpaceDE w:val="0"/>
        <w:autoSpaceDN w:val="0"/>
        <w:bidi w:val="0"/>
        <w:spacing w:line="56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加油站</w:t>
      </w:r>
      <w:r>
        <w:rPr>
          <w:rFonts w:hint="eastAsia" w:ascii="宋体" w:hAnsi="宋体" w:eastAsia="宋体" w:cs="宋体"/>
          <w:sz w:val="28"/>
          <w:szCs w:val="28"/>
          <w:lang w:eastAsia="zh-CN"/>
        </w:rPr>
        <w:t>北侧进</w:t>
      </w:r>
      <w:r>
        <w:rPr>
          <w:rFonts w:hint="eastAsia" w:ascii="宋体" w:hAnsi="宋体" w:eastAsia="宋体" w:cs="宋体"/>
          <w:sz w:val="28"/>
          <w:szCs w:val="28"/>
        </w:rPr>
        <w:t>出口开敞，</w:t>
      </w:r>
      <w:r>
        <w:rPr>
          <w:rFonts w:hint="eastAsia" w:ascii="宋体" w:hAnsi="宋体" w:eastAsia="宋体" w:cs="宋体"/>
          <w:sz w:val="28"/>
          <w:szCs w:val="28"/>
          <w:lang w:eastAsia="zh-CN"/>
        </w:rPr>
        <w:t>其余三面均</w:t>
      </w:r>
      <w:r>
        <w:rPr>
          <w:rFonts w:hint="eastAsia" w:ascii="宋体" w:hAnsi="宋体" w:eastAsia="宋体" w:cs="宋体"/>
          <w:sz w:val="28"/>
          <w:szCs w:val="28"/>
        </w:rPr>
        <w:t>设有实体围墙。站内设单车道宽</w:t>
      </w:r>
      <w:r>
        <w:rPr>
          <w:rFonts w:hint="eastAsia" w:ascii="宋体" w:hAnsi="宋体" w:eastAsia="宋体" w:cs="宋体"/>
          <w:sz w:val="28"/>
          <w:szCs w:val="28"/>
          <w:lang w:val="en-US" w:eastAsia="zh-CN"/>
        </w:rPr>
        <w:t>8.5</w:t>
      </w:r>
      <w:r>
        <w:rPr>
          <w:rFonts w:hint="eastAsia" w:ascii="宋体" w:hAnsi="宋体" w:eastAsia="宋体" w:cs="宋体"/>
          <w:sz w:val="28"/>
          <w:szCs w:val="28"/>
        </w:rPr>
        <w:t>米，双车道宽</w:t>
      </w:r>
      <w:r>
        <w:rPr>
          <w:rFonts w:hint="eastAsia" w:ascii="宋体" w:hAnsi="宋体" w:eastAsia="宋体" w:cs="宋体"/>
          <w:sz w:val="28"/>
          <w:szCs w:val="28"/>
          <w:lang w:val="en-US" w:eastAsia="zh-CN"/>
        </w:rPr>
        <w:t>10.5m</w:t>
      </w:r>
      <w:r>
        <w:rPr>
          <w:rFonts w:hint="eastAsia" w:ascii="宋体" w:hAnsi="宋体" w:eastAsia="宋体" w:cs="宋体"/>
          <w:sz w:val="28"/>
          <w:szCs w:val="28"/>
        </w:rPr>
        <w:t>。站内道路和槽车卸车停车位路面为非沥青路面。</w:t>
      </w:r>
    </w:p>
    <w:p>
      <w:pPr>
        <w:keepNext w:val="0"/>
        <w:keepLines w:val="0"/>
        <w:pageBreakBefore w:val="0"/>
        <w:widowControl w:val="0"/>
        <w:kinsoku/>
        <w:wordWrap/>
        <w:overflowPunct/>
        <w:topLinePunct w:val="0"/>
        <w:autoSpaceDE w:val="0"/>
        <w:autoSpaceDN w:val="0"/>
        <w:bidi w:val="0"/>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站内设施之间的防火间距见表2.3-1。</w:t>
      </w:r>
    </w:p>
    <w:p>
      <w:pPr>
        <w:pStyle w:val="6"/>
        <w:spacing w:before="33" w:line="500" w:lineRule="exact"/>
        <w:ind w:right="135"/>
        <w:jc w:val="center"/>
        <w:rPr>
          <w:rFonts w:hint="eastAsia" w:ascii="宋体" w:hAnsi="宋体" w:eastAsia="宋体" w:cs="宋体"/>
        </w:rPr>
      </w:pPr>
      <w:bookmarkStart w:id="173" w:name="_Toc22948_WPSOffice_Level3"/>
      <w:bookmarkStart w:id="174" w:name="_Toc29789_WPSOffice_Level3"/>
    </w:p>
    <w:p>
      <w:pPr>
        <w:pStyle w:val="6"/>
        <w:spacing w:before="33" w:line="500" w:lineRule="exact"/>
        <w:ind w:right="135"/>
        <w:jc w:val="center"/>
        <w:rPr>
          <w:rFonts w:hint="eastAsia" w:ascii="宋体" w:hAnsi="宋体" w:eastAsia="宋体" w:cs="宋体"/>
        </w:rPr>
      </w:pPr>
    </w:p>
    <w:p>
      <w:pPr>
        <w:pStyle w:val="6"/>
        <w:spacing w:before="33" w:line="500" w:lineRule="exact"/>
        <w:ind w:right="135"/>
        <w:jc w:val="center"/>
        <w:rPr>
          <w:rFonts w:hint="eastAsia" w:ascii="宋体" w:hAnsi="宋体" w:eastAsia="宋体" w:cs="宋体"/>
        </w:rPr>
      </w:pPr>
    </w:p>
    <w:p>
      <w:pPr>
        <w:pStyle w:val="6"/>
        <w:spacing w:before="33" w:line="500" w:lineRule="exact"/>
        <w:ind w:right="135"/>
        <w:jc w:val="center"/>
        <w:rPr>
          <w:rFonts w:hint="eastAsia" w:ascii="宋体" w:hAnsi="宋体" w:eastAsia="宋体" w:cs="宋体"/>
        </w:rPr>
      </w:pPr>
    </w:p>
    <w:p>
      <w:pPr>
        <w:pStyle w:val="6"/>
        <w:spacing w:before="33" w:line="500" w:lineRule="exact"/>
        <w:ind w:right="135"/>
        <w:jc w:val="center"/>
        <w:rPr>
          <w:rFonts w:hint="eastAsia" w:ascii="宋体" w:hAnsi="宋体" w:eastAsia="宋体" w:cs="宋体"/>
        </w:rPr>
      </w:pPr>
    </w:p>
    <w:p>
      <w:pPr>
        <w:pStyle w:val="6"/>
        <w:spacing w:before="33" w:line="500" w:lineRule="exact"/>
        <w:ind w:right="135"/>
        <w:jc w:val="center"/>
        <w:rPr>
          <w:rFonts w:hint="eastAsia" w:ascii="宋体" w:hAnsi="宋体" w:eastAsia="宋体" w:cs="宋体"/>
          <w:sz w:val="28"/>
          <w:szCs w:val="28"/>
        </w:rPr>
      </w:pPr>
      <w:r>
        <w:rPr>
          <w:rFonts w:hint="eastAsia" w:ascii="宋体" w:hAnsi="宋体" w:eastAsia="宋体" w:cs="宋体"/>
          <w:sz w:val="28"/>
          <w:szCs w:val="28"/>
        </w:rPr>
        <w:t>表2.3-1 站内设施之间的防火间距（m）</w:t>
      </w:r>
      <w:bookmarkEnd w:id="173"/>
      <w:bookmarkEnd w:id="174"/>
    </w:p>
    <w:tbl>
      <w:tblPr>
        <w:tblStyle w:val="15"/>
        <w:tblW w:w="9492" w:type="dxa"/>
        <w:jc w:val="center"/>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Layout w:type="fixed"/>
        <w:tblCellMar>
          <w:top w:w="0" w:type="dxa"/>
          <w:left w:w="108" w:type="dxa"/>
          <w:bottom w:w="0" w:type="dxa"/>
          <w:right w:w="108" w:type="dxa"/>
        </w:tblCellMar>
      </w:tblPr>
      <w:tblGrid>
        <w:gridCol w:w="1125"/>
        <w:gridCol w:w="843"/>
        <w:gridCol w:w="883"/>
        <w:gridCol w:w="1130"/>
        <w:gridCol w:w="1172"/>
        <w:gridCol w:w="1084"/>
        <w:gridCol w:w="1011"/>
        <w:gridCol w:w="1165"/>
        <w:gridCol w:w="1079"/>
      </w:tblGrid>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125"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b/>
                <w:bCs/>
                <w:kern w:val="2"/>
                <w:sz w:val="21"/>
                <w:szCs w:val="21"/>
              </w:rPr>
            </w:pPr>
            <w:r>
              <w:rPr>
                <w:rFonts w:hint="eastAsia" w:ascii="宋体" w:hAnsi="宋体" w:eastAsia="宋体" w:cs="宋体"/>
                <w:b/>
                <w:bCs/>
                <w:kern w:val="2"/>
                <w:sz w:val="21"/>
                <w:szCs w:val="21"/>
              </w:rPr>
              <w:t>设施名称</w:t>
            </w:r>
          </w:p>
        </w:tc>
        <w:tc>
          <w:tcPr>
            <w:tcW w:w="843"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b/>
                <w:bCs/>
                <w:kern w:val="2"/>
                <w:sz w:val="21"/>
                <w:szCs w:val="21"/>
              </w:rPr>
            </w:pPr>
            <w:r>
              <w:rPr>
                <w:rFonts w:hint="eastAsia" w:ascii="宋体" w:hAnsi="宋体" w:eastAsia="宋体" w:cs="宋体"/>
                <w:b/>
                <w:bCs/>
                <w:kern w:val="2"/>
                <w:sz w:val="21"/>
                <w:szCs w:val="21"/>
              </w:rPr>
              <w:t>汽油油罐</w:t>
            </w:r>
          </w:p>
        </w:tc>
        <w:tc>
          <w:tcPr>
            <w:tcW w:w="883"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b/>
                <w:bCs/>
                <w:kern w:val="2"/>
                <w:sz w:val="21"/>
                <w:szCs w:val="21"/>
              </w:rPr>
            </w:pPr>
            <w:r>
              <w:rPr>
                <w:rFonts w:hint="eastAsia" w:ascii="宋体" w:hAnsi="宋体" w:eastAsia="宋体" w:cs="宋体"/>
                <w:b/>
                <w:bCs/>
                <w:kern w:val="2"/>
                <w:sz w:val="21"/>
                <w:szCs w:val="21"/>
              </w:rPr>
              <w:t>柴油油罐</w:t>
            </w:r>
          </w:p>
        </w:tc>
        <w:tc>
          <w:tcPr>
            <w:tcW w:w="1130"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b/>
                <w:bCs/>
                <w:kern w:val="2"/>
                <w:sz w:val="21"/>
                <w:szCs w:val="21"/>
              </w:rPr>
            </w:pPr>
            <w:r>
              <w:rPr>
                <w:rFonts w:hint="eastAsia" w:ascii="宋体" w:hAnsi="宋体" w:eastAsia="宋体" w:cs="宋体"/>
                <w:b/>
                <w:bCs/>
                <w:kern w:val="2"/>
                <w:sz w:val="21"/>
                <w:szCs w:val="21"/>
              </w:rPr>
              <w:t>汽油通气管管口</w:t>
            </w:r>
          </w:p>
        </w:tc>
        <w:tc>
          <w:tcPr>
            <w:tcW w:w="1172"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b/>
                <w:bCs/>
                <w:kern w:val="2"/>
                <w:sz w:val="21"/>
                <w:szCs w:val="21"/>
              </w:rPr>
            </w:pPr>
            <w:r>
              <w:rPr>
                <w:rFonts w:hint="eastAsia" w:ascii="宋体" w:hAnsi="宋体" w:eastAsia="宋体" w:cs="宋体"/>
                <w:b/>
                <w:bCs/>
                <w:kern w:val="2"/>
                <w:sz w:val="21"/>
                <w:szCs w:val="21"/>
              </w:rPr>
              <w:t>柴油通气管管口</w:t>
            </w:r>
          </w:p>
        </w:tc>
        <w:tc>
          <w:tcPr>
            <w:tcW w:w="1084"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b/>
                <w:bCs/>
                <w:kern w:val="2"/>
                <w:sz w:val="21"/>
                <w:szCs w:val="21"/>
              </w:rPr>
            </w:pPr>
            <w:r>
              <w:rPr>
                <w:rFonts w:hint="eastAsia" w:ascii="宋体" w:hAnsi="宋体" w:eastAsia="宋体" w:cs="宋体"/>
                <w:b/>
                <w:bCs/>
                <w:kern w:val="2"/>
                <w:sz w:val="21"/>
                <w:szCs w:val="21"/>
              </w:rPr>
              <w:t>密闭卸油点</w:t>
            </w:r>
          </w:p>
        </w:tc>
        <w:tc>
          <w:tcPr>
            <w:tcW w:w="1011"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b/>
                <w:bCs/>
                <w:kern w:val="2"/>
                <w:sz w:val="21"/>
                <w:szCs w:val="21"/>
              </w:rPr>
            </w:pPr>
            <w:r>
              <w:rPr>
                <w:rFonts w:hint="eastAsia" w:ascii="宋体" w:hAnsi="宋体" w:eastAsia="宋体" w:cs="宋体"/>
                <w:b/>
                <w:bCs/>
                <w:kern w:val="2"/>
                <w:sz w:val="21"/>
                <w:szCs w:val="21"/>
              </w:rPr>
              <w:t>站房</w:t>
            </w:r>
          </w:p>
        </w:tc>
        <w:tc>
          <w:tcPr>
            <w:tcW w:w="1165"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b/>
                <w:bCs/>
                <w:kern w:val="2"/>
                <w:sz w:val="21"/>
                <w:szCs w:val="21"/>
              </w:rPr>
            </w:pPr>
            <w:r>
              <w:rPr>
                <w:rFonts w:hint="eastAsia" w:ascii="宋体" w:hAnsi="宋体" w:eastAsia="宋体" w:cs="宋体"/>
                <w:b/>
                <w:bCs/>
                <w:kern w:val="2"/>
                <w:sz w:val="21"/>
                <w:szCs w:val="21"/>
              </w:rPr>
              <w:t>配电房</w:t>
            </w:r>
          </w:p>
        </w:tc>
        <w:tc>
          <w:tcPr>
            <w:tcW w:w="1079"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b/>
                <w:bCs/>
                <w:kern w:val="2"/>
                <w:sz w:val="21"/>
                <w:szCs w:val="21"/>
                <w:highlight w:val="none"/>
              </w:rPr>
            </w:pPr>
            <w:r>
              <w:rPr>
                <w:rFonts w:hint="eastAsia" w:ascii="宋体" w:hAnsi="宋体" w:eastAsia="宋体" w:cs="宋体"/>
                <w:b/>
                <w:bCs/>
                <w:kern w:val="2"/>
                <w:sz w:val="21"/>
                <w:szCs w:val="21"/>
                <w:highlight w:val="none"/>
              </w:rPr>
              <w:t>站区围墙</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1125"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汽油油罐</w:t>
            </w:r>
          </w:p>
        </w:tc>
        <w:tc>
          <w:tcPr>
            <w:tcW w:w="843"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(0.5)/0.60</w:t>
            </w:r>
          </w:p>
        </w:tc>
        <w:tc>
          <w:tcPr>
            <w:tcW w:w="883"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(0.5)/0.60</w:t>
            </w:r>
          </w:p>
        </w:tc>
        <w:tc>
          <w:tcPr>
            <w:tcW w:w="1130"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1172"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1084"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1011"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(4)</w:t>
            </w:r>
          </w:p>
          <w:p>
            <w:pPr>
              <w:pStyle w:val="6"/>
              <w:keepNext w:val="0"/>
              <w:keepLines w:val="0"/>
              <w:suppressLineNumbers w:val="0"/>
              <w:spacing w:before="0" w:beforeAutospacing="0" w:after="0" w:afterAutospacing="0" w:line="300" w:lineRule="exact"/>
              <w:ind w:left="0" w:right="0" w:firstLine="210" w:firstLineChars="100"/>
              <w:jc w:val="both"/>
              <w:rPr>
                <w:rFonts w:hint="eastAsia" w:ascii="宋体" w:hAnsi="宋体" w:eastAsia="宋体" w:cs="宋体"/>
                <w:kern w:val="2"/>
                <w:sz w:val="21"/>
                <w:szCs w:val="21"/>
                <w:lang w:eastAsia="zh-CN"/>
              </w:rPr>
            </w:pPr>
            <w:r>
              <w:rPr>
                <w:rFonts w:hint="eastAsia" w:ascii="宋体" w:hAnsi="宋体" w:eastAsia="宋体" w:cs="宋体"/>
                <w:kern w:val="2"/>
                <w:sz w:val="21"/>
                <w:szCs w:val="21"/>
              </w:rPr>
              <w:t>/13.</w:t>
            </w:r>
            <w:r>
              <w:rPr>
                <w:rFonts w:hint="eastAsia" w:ascii="宋体" w:hAnsi="宋体" w:eastAsia="宋体" w:cs="宋体"/>
                <w:kern w:val="2"/>
                <w:sz w:val="21"/>
                <w:szCs w:val="21"/>
                <w:lang w:val="en-US" w:eastAsia="zh-CN"/>
              </w:rPr>
              <w:t>1</w:t>
            </w:r>
          </w:p>
        </w:tc>
        <w:tc>
          <w:tcPr>
            <w:tcW w:w="1165"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lang w:eastAsia="zh-CN"/>
              </w:rPr>
            </w:pPr>
            <w:r>
              <w:rPr>
                <w:rFonts w:hint="eastAsia" w:ascii="宋体" w:hAnsi="宋体" w:eastAsia="宋体" w:cs="宋体"/>
                <w:kern w:val="2"/>
                <w:sz w:val="21"/>
                <w:szCs w:val="21"/>
              </w:rPr>
              <w:t>（4.5）/47.</w:t>
            </w:r>
            <w:r>
              <w:rPr>
                <w:rFonts w:hint="eastAsia" w:ascii="宋体" w:hAnsi="宋体" w:eastAsia="宋体" w:cs="宋体"/>
                <w:kern w:val="2"/>
                <w:sz w:val="21"/>
                <w:szCs w:val="21"/>
                <w:lang w:val="en-US" w:eastAsia="zh-CN"/>
              </w:rPr>
              <w:t>7</w:t>
            </w:r>
          </w:p>
        </w:tc>
        <w:tc>
          <w:tcPr>
            <w:tcW w:w="1079"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highlight w:val="none"/>
              </w:rPr>
            </w:pPr>
            <w:r>
              <w:rPr>
                <w:rFonts w:hint="eastAsia" w:ascii="宋体" w:hAnsi="宋体" w:eastAsia="宋体" w:cs="宋体"/>
                <w:kern w:val="2"/>
                <w:sz w:val="21"/>
                <w:szCs w:val="21"/>
                <w:highlight w:val="none"/>
              </w:rPr>
              <w:t>(</w:t>
            </w:r>
            <w:r>
              <w:rPr>
                <w:rFonts w:hint="eastAsia" w:cs="宋体"/>
                <w:kern w:val="2"/>
                <w:sz w:val="21"/>
                <w:szCs w:val="21"/>
                <w:highlight w:val="none"/>
                <w:lang w:val="en-US" w:eastAsia="zh-CN"/>
              </w:rPr>
              <w:t>3</w:t>
            </w:r>
            <w:r>
              <w:rPr>
                <w:rFonts w:hint="eastAsia" w:ascii="宋体" w:hAnsi="宋体" w:eastAsia="宋体" w:cs="宋体"/>
                <w:kern w:val="2"/>
                <w:sz w:val="21"/>
                <w:szCs w:val="21"/>
                <w:highlight w:val="none"/>
              </w:rPr>
              <w:t>)/</w:t>
            </w:r>
          </w:p>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highlight w:val="none"/>
                <w:lang w:val="en-US" w:eastAsia="zh-CN"/>
              </w:rPr>
            </w:pPr>
            <w:r>
              <w:rPr>
                <w:rFonts w:hint="eastAsia" w:ascii="宋体" w:hAnsi="宋体" w:eastAsia="宋体" w:cs="宋体"/>
                <w:kern w:val="2"/>
                <w:sz w:val="21"/>
                <w:szCs w:val="21"/>
                <w:highlight w:val="none"/>
                <w:lang w:val="en-US" w:eastAsia="zh-CN"/>
              </w:rPr>
              <w:t>6.2</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1125"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柴油油罐</w:t>
            </w:r>
          </w:p>
        </w:tc>
        <w:tc>
          <w:tcPr>
            <w:tcW w:w="843"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(0.5)/0.60</w:t>
            </w:r>
          </w:p>
        </w:tc>
        <w:tc>
          <w:tcPr>
            <w:tcW w:w="883"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(0.5)/-</w:t>
            </w:r>
          </w:p>
        </w:tc>
        <w:tc>
          <w:tcPr>
            <w:tcW w:w="1130"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1172"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1084"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1011"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(3)</w:t>
            </w:r>
          </w:p>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lang w:eastAsia="zh-CN"/>
              </w:rPr>
            </w:pPr>
            <w:r>
              <w:rPr>
                <w:rFonts w:hint="eastAsia" w:ascii="宋体" w:hAnsi="宋体" w:eastAsia="宋体" w:cs="宋体"/>
                <w:kern w:val="2"/>
                <w:sz w:val="21"/>
                <w:szCs w:val="21"/>
              </w:rPr>
              <w:t>/22.</w:t>
            </w:r>
            <w:r>
              <w:rPr>
                <w:rFonts w:hint="eastAsia" w:ascii="宋体" w:hAnsi="宋体" w:eastAsia="宋体" w:cs="宋体"/>
                <w:kern w:val="2"/>
                <w:sz w:val="21"/>
                <w:szCs w:val="21"/>
                <w:lang w:val="en-US" w:eastAsia="zh-CN"/>
              </w:rPr>
              <w:t>5</w:t>
            </w:r>
          </w:p>
        </w:tc>
        <w:tc>
          <w:tcPr>
            <w:tcW w:w="1165"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1079"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highlight w:val="none"/>
              </w:rPr>
            </w:pPr>
            <w:r>
              <w:rPr>
                <w:rFonts w:hint="eastAsia" w:ascii="宋体" w:hAnsi="宋体" w:eastAsia="宋体" w:cs="宋体"/>
                <w:kern w:val="2"/>
                <w:sz w:val="21"/>
                <w:szCs w:val="21"/>
                <w:highlight w:val="none"/>
              </w:rPr>
              <w:t>(2)/</w:t>
            </w:r>
          </w:p>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highlight w:val="none"/>
                <w:lang w:val="en-US" w:eastAsia="zh-CN"/>
              </w:rPr>
            </w:pPr>
            <w:r>
              <w:rPr>
                <w:rFonts w:hint="eastAsia" w:ascii="宋体" w:hAnsi="宋体" w:eastAsia="宋体" w:cs="宋体"/>
                <w:kern w:val="2"/>
                <w:sz w:val="21"/>
                <w:szCs w:val="21"/>
                <w:highlight w:val="none"/>
                <w:lang w:val="en-US" w:eastAsia="zh-CN"/>
              </w:rPr>
              <w:t>6.2</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1125"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汽油通气管管口</w:t>
            </w:r>
          </w:p>
        </w:tc>
        <w:tc>
          <w:tcPr>
            <w:tcW w:w="843"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883"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1130"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1172"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1084"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(3)</w:t>
            </w:r>
          </w:p>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lang w:eastAsia="zh-CN"/>
              </w:rPr>
            </w:pPr>
            <w:r>
              <w:rPr>
                <w:rFonts w:hint="eastAsia" w:ascii="宋体" w:hAnsi="宋体" w:eastAsia="宋体" w:cs="宋体"/>
                <w:kern w:val="2"/>
                <w:sz w:val="21"/>
                <w:szCs w:val="21"/>
              </w:rPr>
              <w:t>/8.</w:t>
            </w:r>
            <w:r>
              <w:rPr>
                <w:rFonts w:hint="eastAsia" w:ascii="宋体" w:hAnsi="宋体" w:eastAsia="宋体" w:cs="宋体"/>
                <w:kern w:val="2"/>
                <w:sz w:val="21"/>
                <w:szCs w:val="21"/>
                <w:lang w:val="en-US" w:eastAsia="zh-CN"/>
              </w:rPr>
              <w:t>6</w:t>
            </w:r>
          </w:p>
        </w:tc>
        <w:tc>
          <w:tcPr>
            <w:tcW w:w="1011"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(4)</w:t>
            </w:r>
          </w:p>
          <w:p>
            <w:pPr>
              <w:pStyle w:val="6"/>
              <w:keepNext w:val="0"/>
              <w:keepLines w:val="0"/>
              <w:suppressLineNumbers w:val="0"/>
              <w:spacing w:before="0" w:beforeAutospacing="0" w:after="0" w:afterAutospacing="0" w:line="300" w:lineRule="exact"/>
              <w:ind w:left="0" w:right="0"/>
              <w:jc w:val="both"/>
              <w:rPr>
                <w:rFonts w:hint="eastAsia" w:ascii="宋体" w:hAnsi="宋体" w:eastAsia="宋体" w:cs="宋体"/>
                <w:kern w:val="2"/>
                <w:sz w:val="21"/>
                <w:szCs w:val="21"/>
                <w:lang w:eastAsia="zh-CN"/>
              </w:rPr>
            </w:pPr>
            <w:r>
              <w:rPr>
                <w:rFonts w:hint="eastAsia" w:ascii="宋体" w:hAnsi="宋体" w:eastAsia="宋体" w:cs="宋体"/>
                <w:kern w:val="2"/>
                <w:sz w:val="21"/>
                <w:szCs w:val="21"/>
              </w:rPr>
              <w:t>/18.</w:t>
            </w:r>
            <w:r>
              <w:rPr>
                <w:rFonts w:hint="eastAsia" w:ascii="宋体" w:hAnsi="宋体" w:eastAsia="宋体" w:cs="宋体"/>
                <w:kern w:val="2"/>
                <w:sz w:val="21"/>
                <w:szCs w:val="21"/>
                <w:lang w:val="en-US" w:eastAsia="zh-CN"/>
              </w:rPr>
              <w:t>4</w:t>
            </w:r>
          </w:p>
        </w:tc>
        <w:tc>
          <w:tcPr>
            <w:tcW w:w="1165"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（5）/52.9</w:t>
            </w:r>
          </w:p>
        </w:tc>
        <w:tc>
          <w:tcPr>
            <w:tcW w:w="1079"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highlight w:val="none"/>
              </w:rPr>
            </w:pPr>
            <w:r>
              <w:rPr>
                <w:rFonts w:hint="eastAsia" w:ascii="宋体" w:hAnsi="宋体" w:eastAsia="宋体" w:cs="宋体"/>
                <w:kern w:val="2"/>
                <w:sz w:val="21"/>
                <w:szCs w:val="21"/>
                <w:highlight w:val="none"/>
              </w:rPr>
              <w:t>(</w:t>
            </w:r>
            <w:r>
              <w:rPr>
                <w:rFonts w:hint="eastAsia" w:ascii="宋体" w:hAnsi="宋体" w:eastAsia="宋体" w:cs="宋体"/>
                <w:kern w:val="2"/>
                <w:sz w:val="21"/>
                <w:szCs w:val="21"/>
                <w:highlight w:val="none"/>
                <w:lang w:val="en-US" w:eastAsia="zh-CN"/>
              </w:rPr>
              <w:t>2</w:t>
            </w:r>
            <w:r>
              <w:rPr>
                <w:rFonts w:hint="eastAsia" w:ascii="宋体" w:hAnsi="宋体" w:eastAsia="宋体" w:cs="宋体"/>
                <w:kern w:val="2"/>
                <w:sz w:val="21"/>
                <w:szCs w:val="21"/>
                <w:highlight w:val="none"/>
              </w:rPr>
              <w:t>)</w:t>
            </w:r>
          </w:p>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highlight w:val="none"/>
                <w:lang w:val="en-US" w:eastAsia="zh-CN"/>
              </w:rPr>
            </w:pPr>
            <w:r>
              <w:rPr>
                <w:rFonts w:hint="eastAsia" w:ascii="宋体" w:hAnsi="宋体" w:eastAsia="宋体" w:cs="宋体"/>
                <w:kern w:val="2"/>
                <w:sz w:val="21"/>
                <w:szCs w:val="21"/>
                <w:highlight w:val="none"/>
              </w:rPr>
              <w:t>/</w:t>
            </w:r>
            <w:r>
              <w:rPr>
                <w:rFonts w:hint="eastAsia" w:ascii="宋体" w:hAnsi="宋体" w:eastAsia="宋体" w:cs="宋体"/>
                <w:kern w:val="2"/>
                <w:sz w:val="21"/>
                <w:szCs w:val="21"/>
                <w:highlight w:val="none"/>
                <w:lang w:val="en-US" w:eastAsia="zh-CN"/>
              </w:rPr>
              <w:t>2.2</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95" w:hRule="atLeast"/>
          <w:jc w:val="center"/>
        </w:trPr>
        <w:tc>
          <w:tcPr>
            <w:tcW w:w="1125"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柴油通气管管口</w:t>
            </w:r>
          </w:p>
        </w:tc>
        <w:tc>
          <w:tcPr>
            <w:tcW w:w="843"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883"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1130"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1172"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1084"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(2)</w:t>
            </w:r>
          </w:p>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lang w:eastAsia="zh-CN"/>
              </w:rPr>
            </w:pPr>
            <w:r>
              <w:rPr>
                <w:rFonts w:hint="eastAsia" w:ascii="宋体" w:hAnsi="宋体" w:eastAsia="宋体" w:cs="宋体"/>
                <w:kern w:val="2"/>
                <w:sz w:val="21"/>
                <w:szCs w:val="21"/>
              </w:rPr>
              <w:t>/8.</w:t>
            </w:r>
            <w:r>
              <w:rPr>
                <w:rFonts w:hint="eastAsia" w:ascii="宋体" w:hAnsi="宋体" w:eastAsia="宋体" w:cs="宋体"/>
                <w:kern w:val="2"/>
                <w:sz w:val="21"/>
                <w:szCs w:val="21"/>
                <w:lang w:val="en-US" w:eastAsia="zh-CN"/>
              </w:rPr>
              <w:t>6</w:t>
            </w:r>
          </w:p>
        </w:tc>
        <w:tc>
          <w:tcPr>
            <w:tcW w:w="1011"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(3.5)</w:t>
            </w:r>
          </w:p>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lang w:eastAsia="zh-CN"/>
              </w:rPr>
            </w:pPr>
            <w:r>
              <w:rPr>
                <w:rFonts w:hint="eastAsia" w:ascii="宋体" w:hAnsi="宋体" w:eastAsia="宋体" w:cs="宋体"/>
                <w:kern w:val="2"/>
                <w:sz w:val="21"/>
                <w:szCs w:val="21"/>
              </w:rPr>
              <w:t>/18.</w:t>
            </w:r>
            <w:r>
              <w:rPr>
                <w:rFonts w:hint="eastAsia" w:ascii="宋体" w:hAnsi="宋体" w:eastAsia="宋体" w:cs="宋体"/>
                <w:kern w:val="2"/>
                <w:sz w:val="21"/>
                <w:szCs w:val="21"/>
                <w:lang w:val="en-US" w:eastAsia="zh-CN"/>
              </w:rPr>
              <w:t>4</w:t>
            </w:r>
          </w:p>
        </w:tc>
        <w:tc>
          <w:tcPr>
            <w:tcW w:w="1165"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1079"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highlight w:val="none"/>
              </w:rPr>
            </w:pPr>
            <w:r>
              <w:rPr>
                <w:rFonts w:hint="eastAsia" w:ascii="宋体" w:hAnsi="宋体" w:eastAsia="宋体" w:cs="宋体"/>
                <w:kern w:val="2"/>
                <w:sz w:val="21"/>
                <w:szCs w:val="21"/>
                <w:highlight w:val="none"/>
              </w:rPr>
              <w:t>(2)</w:t>
            </w:r>
          </w:p>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highlight w:val="none"/>
                <w:lang w:val="en-US" w:eastAsia="zh-CN"/>
              </w:rPr>
            </w:pPr>
            <w:r>
              <w:rPr>
                <w:rFonts w:hint="eastAsia" w:ascii="宋体" w:hAnsi="宋体" w:eastAsia="宋体" w:cs="宋体"/>
                <w:kern w:val="2"/>
                <w:sz w:val="21"/>
                <w:szCs w:val="21"/>
                <w:highlight w:val="none"/>
              </w:rPr>
              <w:t>/</w:t>
            </w:r>
            <w:r>
              <w:rPr>
                <w:rFonts w:hint="eastAsia" w:ascii="宋体" w:hAnsi="宋体" w:eastAsia="宋体" w:cs="宋体"/>
                <w:kern w:val="2"/>
                <w:sz w:val="21"/>
                <w:szCs w:val="21"/>
                <w:highlight w:val="none"/>
                <w:lang w:val="en-US" w:eastAsia="zh-CN"/>
              </w:rPr>
              <w:t>2.2</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1225" w:hRule="atLeast"/>
          <w:jc w:val="center"/>
        </w:trPr>
        <w:tc>
          <w:tcPr>
            <w:tcW w:w="1125"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密闭卸油点</w:t>
            </w:r>
          </w:p>
        </w:tc>
        <w:tc>
          <w:tcPr>
            <w:tcW w:w="843"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883"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1130"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(3)</w:t>
            </w:r>
          </w:p>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lang w:eastAsia="zh-CN"/>
              </w:rPr>
            </w:pPr>
            <w:r>
              <w:rPr>
                <w:rFonts w:hint="eastAsia" w:ascii="宋体" w:hAnsi="宋体" w:eastAsia="宋体" w:cs="宋体"/>
                <w:kern w:val="2"/>
                <w:sz w:val="21"/>
                <w:szCs w:val="21"/>
              </w:rPr>
              <w:t>/8.</w:t>
            </w:r>
            <w:r>
              <w:rPr>
                <w:rFonts w:hint="eastAsia" w:ascii="宋体" w:hAnsi="宋体" w:eastAsia="宋体" w:cs="宋体"/>
                <w:kern w:val="2"/>
                <w:sz w:val="21"/>
                <w:szCs w:val="21"/>
                <w:lang w:val="en-US" w:eastAsia="zh-CN"/>
              </w:rPr>
              <w:t>6</w:t>
            </w:r>
          </w:p>
        </w:tc>
        <w:tc>
          <w:tcPr>
            <w:tcW w:w="1172"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(2)</w:t>
            </w:r>
          </w:p>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lang w:eastAsia="zh-CN"/>
              </w:rPr>
            </w:pPr>
            <w:r>
              <w:rPr>
                <w:rFonts w:hint="eastAsia" w:ascii="宋体" w:hAnsi="宋体" w:eastAsia="宋体" w:cs="宋体"/>
                <w:kern w:val="2"/>
                <w:sz w:val="21"/>
                <w:szCs w:val="21"/>
              </w:rPr>
              <w:t>/8.</w:t>
            </w:r>
            <w:r>
              <w:rPr>
                <w:rFonts w:hint="eastAsia" w:ascii="宋体" w:hAnsi="宋体" w:eastAsia="宋体" w:cs="宋体"/>
                <w:kern w:val="2"/>
                <w:sz w:val="21"/>
                <w:szCs w:val="21"/>
                <w:lang w:val="en-US" w:eastAsia="zh-CN"/>
              </w:rPr>
              <w:t>6</w:t>
            </w:r>
          </w:p>
        </w:tc>
        <w:tc>
          <w:tcPr>
            <w:tcW w:w="1084"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1011"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 xml:space="preserve">(5) </w:t>
            </w:r>
          </w:p>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/11.6</w:t>
            </w:r>
          </w:p>
        </w:tc>
        <w:tc>
          <w:tcPr>
            <w:tcW w:w="1165"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lang w:eastAsia="zh-CN"/>
              </w:rPr>
            </w:pPr>
            <w:r>
              <w:rPr>
                <w:rFonts w:hint="eastAsia" w:ascii="宋体" w:hAnsi="宋体" w:eastAsia="宋体" w:cs="宋体"/>
                <w:kern w:val="2"/>
                <w:sz w:val="21"/>
                <w:szCs w:val="21"/>
              </w:rPr>
              <w:t>（3.5）/46.</w:t>
            </w:r>
            <w:r>
              <w:rPr>
                <w:rFonts w:hint="eastAsia" w:ascii="宋体" w:hAnsi="宋体" w:eastAsia="宋体" w:cs="宋体"/>
                <w:kern w:val="2"/>
                <w:sz w:val="21"/>
                <w:szCs w:val="21"/>
                <w:lang w:val="en-US" w:eastAsia="zh-CN"/>
              </w:rPr>
              <w:t>7</w:t>
            </w:r>
          </w:p>
        </w:tc>
        <w:tc>
          <w:tcPr>
            <w:tcW w:w="1079"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highlight w:val="none"/>
              </w:rPr>
            </w:pPr>
            <w:r>
              <w:rPr>
                <w:rFonts w:hint="eastAsia" w:ascii="宋体" w:hAnsi="宋体" w:eastAsia="宋体" w:cs="宋体"/>
                <w:kern w:val="2"/>
                <w:sz w:val="21"/>
                <w:szCs w:val="21"/>
                <w:highlight w:val="none"/>
              </w:rPr>
              <w:t>-</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871" w:hRule="atLeast"/>
          <w:jc w:val="center"/>
        </w:trPr>
        <w:tc>
          <w:tcPr>
            <w:tcW w:w="1125"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加油机</w:t>
            </w:r>
          </w:p>
        </w:tc>
        <w:tc>
          <w:tcPr>
            <w:tcW w:w="843"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883"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1130"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1172"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1084"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1011"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(5)</w:t>
            </w:r>
          </w:p>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lang w:eastAsia="zh-CN"/>
              </w:rPr>
            </w:pPr>
            <w:r>
              <w:rPr>
                <w:rFonts w:hint="eastAsia" w:ascii="宋体" w:hAnsi="宋体" w:eastAsia="宋体" w:cs="宋体"/>
                <w:kern w:val="2"/>
                <w:sz w:val="21"/>
                <w:szCs w:val="21"/>
              </w:rPr>
              <w:t>/9.</w:t>
            </w:r>
            <w:r>
              <w:rPr>
                <w:rFonts w:hint="eastAsia" w:ascii="宋体" w:hAnsi="宋体" w:eastAsia="宋体" w:cs="宋体"/>
                <w:kern w:val="2"/>
                <w:sz w:val="21"/>
                <w:szCs w:val="21"/>
                <w:lang w:val="en-US" w:eastAsia="zh-CN"/>
              </w:rPr>
              <w:t>9</w:t>
            </w:r>
          </w:p>
        </w:tc>
        <w:tc>
          <w:tcPr>
            <w:tcW w:w="1165"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lang w:eastAsia="zh-CN"/>
              </w:rPr>
            </w:pPr>
            <w:r>
              <w:rPr>
                <w:rFonts w:hint="eastAsia" w:ascii="宋体" w:hAnsi="宋体" w:eastAsia="宋体" w:cs="宋体"/>
                <w:kern w:val="2"/>
                <w:sz w:val="21"/>
                <w:szCs w:val="21"/>
              </w:rPr>
              <w:t>（6）/22.</w:t>
            </w:r>
            <w:r>
              <w:rPr>
                <w:rFonts w:hint="eastAsia" w:ascii="宋体" w:hAnsi="宋体" w:eastAsia="宋体" w:cs="宋体"/>
                <w:kern w:val="2"/>
                <w:sz w:val="21"/>
                <w:szCs w:val="21"/>
                <w:lang w:val="en-US" w:eastAsia="zh-CN"/>
              </w:rPr>
              <w:t>3</w:t>
            </w:r>
          </w:p>
        </w:tc>
        <w:tc>
          <w:tcPr>
            <w:tcW w:w="1079" w:type="dxa"/>
            <w:noWrap w:val="0"/>
            <w:vAlign w:val="center"/>
          </w:tcPr>
          <w:p>
            <w:pPr>
              <w:pStyle w:val="6"/>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highlight w:val="none"/>
              </w:rPr>
            </w:pPr>
            <w:r>
              <w:rPr>
                <w:rFonts w:hint="eastAsia" w:ascii="宋体" w:hAnsi="宋体" w:eastAsia="宋体" w:cs="宋体"/>
                <w:kern w:val="2"/>
                <w:sz w:val="21"/>
                <w:szCs w:val="21"/>
                <w:highlight w:val="none"/>
              </w:rPr>
              <w:t>-</w:t>
            </w:r>
          </w:p>
        </w:tc>
      </w:tr>
    </w:tbl>
    <w:p>
      <w:pPr>
        <w:pStyle w:val="6"/>
        <w:spacing w:before="33" w:line="360" w:lineRule="auto"/>
        <w:ind w:right="135"/>
        <w:jc w:val="left"/>
        <w:rPr>
          <w:rFonts w:hint="eastAsia" w:ascii="宋体" w:hAnsi="宋体" w:eastAsia="宋体" w:cs="宋体"/>
          <w:b w:val="0"/>
          <w:bCs/>
          <w:sz w:val="21"/>
          <w:szCs w:val="21"/>
          <w:lang w:val="en-US" w:eastAsia="zh-CN"/>
        </w:rPr>
      </w:pPr>
      <w:r>
        <w:rPr>
          <w:rFonts w:hint="eastAsia" w:ascii="宋体" w:hAnsi="宋体" w:eastAsia="宋体" w:cs="宋体"/>
          <w:sz w:val="24"/>
          <w:szCs w:val="24"/>
          <w:lang w:val="en-US" w:eastAsia="zh-CN"/>
        </w:rPr>
        <w:t xml:space="preserve">   </w:t>
      </w:r>
      <w:r>
        <w:rPr>
          <w:rFonts w:hint="eastAsia" w:cs="宋体"/>
          <w:sz w:val="24"/>
          <w:szCs w:val="24"/>
          <w:lang w:val="en-US" w:eastAsia="zh-CN"/>
        </w:rPr>
        <w:t xml:space="preserve"> </w:t>
      </w:r>
      <w:r>
        <w:rPr>
          <w:rFonts w:hint="eastAsia" w:ascii="宋体" w:hAnsi="宋体" w:eastAsia="宋体" w:cs="宋体"/>
          <w:sz w:val="21"/>
          <w:szCs w:val="21"/>
          <w:lang w:val="en-US" w:eastAsia="zh-CN"/>
        </w:rPr>
        <w:t>注1：</w:t>
      </w:r>
      <w:r>
        <w:rPr>
          <w:rFonts w:hint="eastAsia" w:ascii="宋体" w:hAnsi="宋体" w:eastAsia="宋体" w:cs="宋体"/>
          <w:b w:val="0"/>
          <w:bCs/>
          <w:color w:val="000000"/>
          <w:spacing w:val="10"/>
          <w:sz w:val="21"/>
          <w:szCs w:val="21"/>
        </w:rPr>
        <w:t>当卸油采用油气回收系统时，汽油通气管管口与站区围墙的距离不应小于2.0</w:t>
      </w:r>
      <w:r>
        <w:rPr>
          <w:rFonts w:hint="eastAsia" w:ascii="宋体" w:hAnsi="宋体" w:eastAsia="宋体" w:cs="宋体"/>
          <w:b w:val="0"/>
          <w:bCs/>
          <w:color w:val="000000"/>
          <w:spacing w:val="10"/>
          <w:sz w:val="21"/>
          <w:szCs w:val="21"/>
          <w:lang w:val="en-US" w:eastAsia="zh-CN"/>
        </w:rPr>
        <w:t>m，本站有油气回收系统。</w:t>
      </w:r>
    </w:p>
    <w:p>
      <w:pPr>
        <w:adjustRightInd w:val="0"/>
        <w:snapToGrid w:val="0"/>
        <w:spacing w:line="360" w:lineRule="auto"/>
        <w:ind w:firstLine="420" w:firstLineChars="200"/>
        <w:rPr>
          <w:rFonts w:hint="eastAsia" w:ascii="宋体" w:hAnsi="宋体" w:eastAsia="宋体" w:cs="宋体"/>
          <w:sz w:val="21"/>
          <w:szCs w:val="21"/>
        </w:rPr>
      </w:pPr>
      <w:bookmarkStart w:id="175" w:name="_Toc7818"/>
      <w:bookmarkStart w:id="176" w:name="_Toc14515_WPSOffice_Level2"/>
      <w:bookmarkStart w:id="177" w:name="_Toc14089"/>
      <w:bookmarkStart w:id="178" w:name="_Toc20506_WPSOffice_Level2"/>
      <w:bookmarkStart w:id="179" w:name="_Toc22948_WPSOffice_Level2"/>
      <w:r>
        <w:rPr>
          <w:rFonts w:hint="eastAsia" w:ascii="宋体" w:hAnsi="宋体" w:eastAsia="宋体" w:cs="宋体"/>
          <w:sz w:val="21"/>
          <w:szCs w:val="21"/>
        </w:rPr>
        <w:t>注</w:t>
      </w:r>
      <w:r>
        <w:rPr>
          <w:rFonts w:hint="eastAsia" w:ascii="宋体" w:hAnsi="宋体" w:eastAsia="宋体" w:cs="宋体"/>
          <w:sz w:val="21"/>
          <w:szCs w:val="21"/>
          <w:lang w:val="en-US" w:eastAsia="zh-CN"/>
        </w:rPr>
        <w:t>2</w:t>
      </w:r>
      <w:r>
        <w:rPr>
          <w:rFonts w:hint="eastAsia" w:ascii="宋体" w:hAnsi="宋体" w:eastAsia="宋体" w:cs="宋体"/>
          <w:sz w:val="21"/>
          <w:szCs w:val="21"/>
          <w:lang w:eastAsia="zh-CN"/>
        </w:rPr>
        <w:t>：</w:t>
      </w:r>
      <w:r>
        <w:rPr>
          <w:rFonts w:hint="eastAsia" w:ascii="宋体" w:hAnsi="宋体" w:eastAsia="宋体" w:cs="宋体"/>
          <w:sz w:val="21"/>
          <w:szCs w:val="21"/>
        </w:rPr>
        <w:t>站房的起算点为门窗。</w:t>
      </w:r>
    </w:p>
    <w:p>
      <w:pPr>
        <w:adjustRightInd w:val="0"/>
        <w:snapToGrid w:val="0"/>
        <w:spacing w:line="360" w:lineRule="auto"/>
        <w:ind w:firstLine="420" w:firstLineChars="200"/>
        <w:rPr>
          <w:rFonts w:hint="eastAsia" w:ascii="宋体" w:hAnsi="宋体" w:eastAsia="宋体" w:cs="宋体"/>
          <w:sz w:val="21"/>
          <w:szCs w:val="21"/>
          <w:lang w:val="zh-CN" w:eastAsia="zh-CN"/>
        </w:rPr>
      </w:pPr>
      <w:r>
        <w:rPr>
          <w:rFonts w:hint="eastAsia" w:ascii="宋体" w:hAnsi="宋体" w:eastAsia="宋体" w:cs="宋体"/>
          <w:sz w:val="21"/>
          <w:szCs w:val="21"/>
          <w:lang w:val="en-US" w:eastAsia="zh-CN"/>
        </w:rPr>
        <w:t>注3：</w:t>
      </w:r>
      <w:r>
        <w:rPr>
          <w:rFonts w:hint="eastAsia" w:ascii="宋体" w:hAnsi="宋体" w:eastAsia="宋体" w:cs="宋体"/>
          <w:sz w:val="21"/>
          <w:szCs w:val="21"/>
          <w:lang w:val="zh-CN" w:eastAsia="zh-CN"/>
        </w:rPr>
        <w:t>表中“-”表示无防火间距要求，“( )”中的数字为</w:t>
      </w:r>
      <w:r>
        <w:rPr>
          <w:rFonts w:hint="eastAsia" w:ascii="宋体" w:hAnsi="宋体" w:eastAsia="宋体" w:cs="宋体"/>
          <w:sz w:val="21"/>
          <w:szCs w:val="21"/>
        </w:rPr>
        <w:t>《汽车加油加气站设计与施工规范》（GB 50156－2012）（2014年局部修订版）</w:t>
      </w:r>
      <w:r>
        <w:rPr>
          <w:rFonts w:hint="eastAsia" w:ascii="宋体" w:hAnsi="宋体" w:eastAsia="宋体" w:cs="宋体"/>
          <w:sz w:val="21"/>
          <w:szCs w:val="21"/>
          <w:lang w:val="zh-CN" w:eastAsia="zh-CN"/>
        </w:rPr>
        <w:t>标准距离。</w:t>
      </w:r>
    </w:p>
    <w:p>
      <w:pPr>
        <w:bidi w:val="0"/>
        <w:spacing w:line="360" w:lineRule="auto"/>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该加油站站内设施之间的防火间距符合标准要求。</w:t>
      </w:r>
    </w:p>
    <w:p>
      <w:pPr>
        <w:pStyle w:val="3"/>
        <w:tabs>
          <w:tab w:val="left" w:pos="3119"/>
        </w:tabs>
        <w:spacing w:before="240" w:beforeLines="100" w:after="240" w:afterLines="100"/>
        <w:ind w:firstLine="0"/>
        <w:jc w:val="center"/>
        <w:rPr>
          <w:rFonts w:hint="eastAsia" w:ascii="宋体" w:hAnsi="宋体" w:eastAsia="宋体" w:cs="宋体"/>
          <w:b/>
          <w:bCs/>
        </w:rPr>
      </w:pPr>
      <w:bookmarkStart w:id="180" w:name="_Toc4447"/>
      <w:r>
        <w:rPr>
          <w:rFonts w:hint="eastAsia" w:ascii="宋体" w:hAnsi="宋体" w:eastAsia="宋体" w:cs="宋体"/>
          <w:b/>
          <w:bCs/>
          <w:lang w:val="en-US"/>
        </w:rPr>
        <w:t xml:space="preserve">2.4 </w:t>
      </w:r>
      <w:r>
        <w:rPr>
          <w:rFonts w:hint="eastAsia" w:ascii="宋体" w:hAnsi="宋体" w:eastAsia="宋体" w:cs="宋体"/>
          <w:b/>
          <w:bCs/>
        </w:rPr>
        <w:t>储存规模及工艺流程</w:t>
      </w:r>
      <w:bookmarkEnd w:id="175"/>
      <w:bookmarkEnd w:id="176"/>
      <w:bookmarkEnd w:id="177"/>
      <w:bookmarkEnd w:id="178"/>
      <w:bookmarkEnd w:id="179"/>
      <w:bookmarkEnd w:id="180"/>
    </w:p>
    <w:p>
      <w:pPr>
        <w:pStyle w:val="4"/>
        <w:pageBreakBefore w:val="0"/>
        <w:widowControl w:val="0"/>
        <w:kinsoku/>
        <w:wordWrap/>
        <w:overflowPunct/>
        <w:topLinePunct w:val="0"/>
        <w:autoSpaceDE w:val="0"/>
        <w:autoSpaceDN w:val="0"/>
        <w:bidi w:val="0"/>
        <w:spacing w:before="20" w:after="240" w:afterLines="100" w:line="560" w:lineRule="exact"/>
        <w:ind w:firstLine="562" w:firstLineChars="200"/>
        <w:textAlignment w:val="auto"/>
        <w:rPr>
          <w:rFonts w:hint="eastAsia" w:ascii="宋体" w:hAnsi="宋体" w:eastAsia="宋体" w:cs="宋体"/>
          <w:sz w:val="28"/>
          <w:szCs w:val="28"/>
        </w:rPr>
      </w:pPr>
      <w:bookmarkStart w:id="181" w:name="_Toc3178_WPSOffice_Level3"/>
      <w:bookmarkStart w:id="182" w:name="_Toc9446_WPSOffice_Level3"/>
      <w:bookmarkStart w:id="183" w:name="_Toc7310_WPSOffice_Level3"/>
      <w:r>
        <w:rPr>
          <w:rFonts w:hint="eastAsia" w:ascii="宋体" w:hAnsi="宋体" w:eastAsia="宋体" w:cs="宋体"/>
          <w:sz w:val="28"/>
          <w:szCs w:val="28"/>
        </w:rPr>
        <w:t>2.4.1 储存规模</w:t>
      </w:r>
      <w:bookmarkEnd w:id="181"/>
      <w:bookmarkEnd w:id="182"/>
      <w:bookmarkEnd w:id="183"/>
    </w:p>
    <w:p>
      <w:pPr>
        <w:pStyle w:val="6"/>
        <w:pageBreakBefore w:val="0"/>
        <w:widowControl w:val="0"/>
        <w:kinsoku/>
        <w:wordWrap/>
        <w:overflowPunct/>
        <w:topLinePunct w:val="0"/>
        <w:autoSpaceDE w:val="0"/>
        <w:autoSpaceDN w:val="0"/>
        <w:bidi w:val="0"/>
        <w:spacing w:line="560" w:lineRule="exact"/>
        <w:ind w:firstLine="532" w:firstLineChars="200"/>
        <w:jc w:val="both"/>
        <w:textAlignment w:val="auto"/>
        <w:rPr>
          <w:rFonts w:hint="eastAsia" w:ascii="宋体" w:hAnsi="宋体" w:eastAsia="宋体" w:cs="宋体"/>
          <w:spacing w:val="-7"/>
        </w:rPr>
      </w:pPr>
      <w:r>
        <w:rPr>
          <w:rFonts w:hint="eastAsia" w:ascii="宋体" w:hAnsi="宋体" w:eastAsia="宋体" w:cs="宋体"/>
          <w:spacing w:val="-7"/>
          <w:lang w:eastAsia="zh-CN"/>
        </w:rPr>
        <w:t>横坑加油站</w:t>
      </w:r>
      <w:r>
        <w:rPr>
          <w:rFonts w:hint="eastAsia" w:ascii="宋体" w:hAnsi="宋体" w:eastAsia="宋体" w:cs="宋体"/>
          <w:spacing w:val="-7"/>
        </w:rPr>
        <w:t>共有4个埋地加油储罐，其中</w:t>
      </w:r>
      <w:r>
        <w:rPr>
          <w:rFonts w:hint="eastAsia" w:ascii="宋体" w:hAnsi="宋体" w:eastAsia="宋体" w:cs="宋体"/>
          <w:sz w:val="28"/>
          <w:szCs w:val="28"/>
        </w:rPr>
        <w:t>1个</w:t>
      </w:r>
      <w:r>
        <w:rPr>
          <w:rFonts w:hint="eastAsia" w:ascii="宋体" w:hAnsi="宋体" w:eastAsia="宋体" w:cs="宋体"/>
          <w:sz w:val="28"/>
          <w:szCs w:val="28"/>
          <w:lang w:val="en-US" w:eastAsia="zh-CN"/>
        </w:rPr>
        <w:t>5</w:t>
      </w:r>
      <w:r>
        <w:rPr>
          <w:rFonts w:hint="eastAsia" w:ascii="宋体" w:hAnsi="宋体" w:eastAsia="宋体" w:cs="宋体"/>
          <w:sz w:val="28"/>
          <w:szCs w:val="28"/>
        </w:rPr>
        <w:t>0m³的</w:t>
      </w:r>
      <w:r>
        <w:rPr>
          <w:rFonts w:hint="eastAsia" w:ascii="宋体" w:hAnsi="宋体" w:eastAsia="宋体" w:cs="宋体"/>
          <w:sz w:val="28"/>
          <w:lang w:val="en-US" w:eastAsia="zh-CN"/>
        </w:rPr>
        <w:t>92#</w:t>
      </w:r>
      <w:r>
        <w:rPr>
          <w:rFonts w:hint="eastAsia" w:ascii="宋体" w:hAnsi="宋体" w:eastAsia="宋体" w:cs="宋体"/>
          <w:sz w:val="28"/>
          <w:lang w:eastAsia="zh-CN"/>
        </w:rPr>
        <w:t>汽</w:t>
      </w:r>
      <w:r>
        <w:rPr>
          <w:rFonts w:hint="eastAsia" w:ascii="宋体" w:hAnsi="宋体" w:eastAsia="宋体" w:cs="宋体"/>
          <w:sz w:val="28"/>
        </w:rPr>
        <w:t>油罐</w:t>
      </w:r>
      <w:r>
        <w:rPr>
          <w:rFonts w:hint="eastAsia" w:ascii="宋体" w:hAnsi="宋体" w:eastAsia="宋体" w:cs="宋体"/>
          <w:sz w:val="28"/>
          <w:lang w:eastAsia="zh-CN"/>
        </w:rPr>
        <w:t>、</w:t>
      </w:r>
      <w:r>
        <w:rPr>
          <w:rFonts w:hint="eastAsia" w:ascii="宋体" w:hAnsi="宋体" w:eastAsia="宋体" w:cs="宋体"/>
          <w:sz w:val="28"/>
          <w:szCs w:val="28"/>
        </w:rPr>
        <w:t>1个</w:t>
      </w:r>
      <w:r>
        <w:rPr>
          <w:rFonts w:hint="eastAsia" w:ascii="宋体" w:hAnsi="宋体" w:eastAsia="宋体" w:cs="宋体"/>
          <w:sz w:val="28"/>
          <w:szCs w:val="28"/>
          <w:lang w:val="en-US" w:eastAsia="zh-CN"/>
        </w:rPr>
        <w:t>3</w:t>
      </w:r>
      <w:r>
        <w:rPr>
          <w:rFonts w:hint="eastAsia" w:ascii="宋体" w:hAnsi="宋体" w:eastAsia="宋体" w:cs="宋体"/>
          <w:sz w:val="28"/>
          <w:szCs w:val="28"/>
        </w:rPr>
        <w:t>0m³的</w:t>
      </w:r>
      <w:r>
        <w:rPr>
          <w:rFonts w:hint="eastAsia" w:ascii="宋体" w:hAnsi="宋体" w:eastAsia="宋体" w:cs="宋体"/>
          <w:sz w:val="28"/>
          <w:lang w:val="en-US" w:eastAsia="zh-CN"/>
        </w:rPr>
        <w:t>95#汽油罐</w:t>
      </w:r>
      <w:r>
        <w:rPr>
          <w:rFonts w:hint="eastAsia" w:ascii="宋体" w:hAnsi="宋体" w:eastAsia="宋体" w:cs="宋体"/>
          <w:sz w:val="28"/>
          <w:lang w:eastAsia="zh-CN"/>
        </w:rPr>
        <w:t>、</w:t>
      </w:r>
      <w:r>
        <w:rPr>
          <w:rFonts w:hint="eastAsia" w:ascii="宋体" w:hAnsi="宋体" w:eastAsia="宋体" w:cs="宋体"/>
          <w:sz w:val="28"/>
          <w:szCs w:val="28"/>
        </w:rPr>
        <w:t>1个</w:t>
      </w:r>
      <w:r>
        <w:rPr>
          <w:rFonts w:hint="eastAsia" w:ascii="宋体" w:hAnsi="宋体" w:eastAsia="宋体" w:cs="宋体"/>
          <w:sz w:val="28"/>
          <w:szCs w:val="28"/>
          <w:lang w:val="en-US" w:eastAsia="zh-CN"/>
        </w:rPr>
        <w:t>15</w:t>
      </w:r>
      <w:r>
        <w:rPr>
          <w:rFonts w:hint="eastAsia" w:ascii="宋体" w:hAnsi="宋体" w:eastAsia="宋体" w:cs="宋体"/>
          <w:sz w:val="28"/>
          <w:szCs w:val="28"/>
        </w:rPr>
        <w:t>m³的</w:t>
      </w:r>
      <w:r>
        <w:rPr>
          <w:rFonts w:hint="eastAsia" w:ascii="宋体" w:hAnsi="宋体" w:eastAsia="宋体" w:cs="宋体"/>
          <w:sz w:val="28"/>
          <w:lang w:val="en-US" w:eastAsia="zh-CN"/>
        </w:rPr>
        <w:t>98#汽油罐</w:t>
      </w:r>
      <w:r>
        <w:rPr>
          <w:rFonts w:hint="eastAsia" w:ascii="宋体" w:hAnsi="宋体" w:eastAsia="宋体" w:cs="宋体"/>
          <w:sz w:val="28"/>
          <w:lang w:eastAsia="zh-CN"/>
        </w:rPr>
        <w:t>、</w:t>
      </w:r>
      <w:r>
        <w:rPr>
          <w:rFonts w:hint="eastAsia" w:ascii="宋体" w:hAnsi="宋体" w:eastAsia="宋体" w:cs="宋体"/>
          <w:sz w:val="28"/>
          <w:szCs w:val="28"/>
        </w:rPr>
        <w:t>1个</w:t>
      </w:r>
      <w:r>
        <w:rPr>
          <w:rFonts w:hint="eastAsia" w:ascii="宋体" w:hAnsi="宋体" w:eastAsia="宋体" w:cs="宋体"/>
          <w:sz w:val="28"/>
          <w:szCs w:val="28"/>
          <w:lang w:val="en-US" w:eastAsia="zh-CN"/>
        </w:rPr>
        <w:t>5</w:t>
      </w:r>
      <w:r>
        <w:rPr>
          <w:rFonts w:hint="eastAsia" w:ascii="宋体" w:hAnsi="宋体" w:eastAsia="宋体" w:cs="宋体"/>
          <w:sz w:val="28"/>
          <w:szCs w:val="28"/>
        </w:rPr>
        <w:t>0m³的</w:t>
      </w:r>
      <w:r>
        <w:rPr>
          <w:rFonts w:hint="eastAsia" w:ascii="宋体" w:hAnsi="宋体" w:eastAsia="宋体" w:cs="宋体"/>
          <w:sz w:val="28"/>
          <w:lang w:val="en-US" w:eastAsia="zh-CN"/>
        </w:rPr>
        <w:t>0#</w:t>
      </w:r>
      <w:r>
        <w:rPr>
          <w:rFonts w:hint="eastAsia" w:ascii="宋体" w:hAnsi="宋体" w:eastAsia="宋体" w:cs="宋体"/>
          <w:sz w:val="28"/>
          <w:lang w:eastAsia="zh-CN"/>
        </w:rPr>
        <w:t>柴</w:t>
      </w:r>
      <w:r>
        <w:rPr>
          <w:rFonts w:hint="eastAsia" w:ascii="宋体" w:hAnsi="宋体" w:eastAsia="宋体" w:cs="宋体"/>
          <w:sz w:val="28"/>
        </w:rPr>
        <w:t>油罐</w:t>
      </w:r>
      <w:r>
        <w:rPr>
          <w:rFonts w:hint="eastAsia" w:ascii="宋体" w:hAnsi="宋体" w:eastAsia="宋体" w:cs="宋体"/>
          <w:spacing w:val="-7"/>
        </w:rPr>
        <w:t>。汽油按满罐计算（取汽油的平均密度为0.73t/m</w:t>
      </w:r>
      <w:r>
        <w:rPr>
          <w:rFonts w:hint="eastAsia" w:ascii="宋体" w:hAnsi="宋体" w:eastAsia="宋体" w:cs="宋体"/>
          <w:spacing w:val="-7"/>
          <w:vertAlign w:val="superscript"/>
        </w:rPr>
        <w:t>3</w:t>
      </w:r>
      <w:r>
        <w:rPr>
          <w:rFonts w:hint="eastAsia" w:ascii="宋体" w:hAnsi="宋体" w:eastAsia="宋体" w:cs="宋体"/>
          <w:spacing w:val="-7"/>
        </w:rPr>
        <w:t>），其最大储存量约</w:t>
      </w:r>
      <w:r>
        <w:rPr>
          <w:rFonts w:hint="eastAsia" w:ascii="宋体" w:hAnsi="宋体" w:eastAsia="宋体" w:cs="宋体"/>
          <w:spacing w:val="-7"/>
          <w:lang w:val="en-US" w:eastAsia="zh-CN"/>
        </w:rPr>
        <w:t>69.35</w:t>
      </w:r>
      <w:r>
        <w:rPr>
          <w:rFonts w:hint="eastAsia" w:ascii="宋体" w:hAnsi="宋体" w:eastAsia="宋体" w:cs="宋体"/>
          <w:spacing w:val="-7"/>
        </w:rPr>
        <w:t>t；柴油按照满罐计算（取柴油的平均密度0.8</w:t>
      </w:r>
      <w:r>
        <w:rPr>
          <w:rFonts w:hint="eastAsia" w:ascii="宋体" w:hAnsi="宋体" w:eastAsia="宋体" w:cs="宋体"/>
          <w:spacing w:val="-7"/>
          <w:lang w:val="en-US"/>
        </w:rPr>
        <w:t>4</w:t>
      </w:r>
      <w:r>
        <w:rPr>
          <w:rFonts w:hint="eastAsia" w:ascii="宋体" w:hAnsi="宋体" w:eastAsia="宋体" w:cs="宋体"/>
          <w:spacing w:val="-7"/>
        </w:rPr>
        <w:t>t/m</w:t>
      </w:r>
      <w:r>
        <w:rPr>
          <w:rFonts w:hint="eastAsia" w:ascii="宋体" w:hAnsi="宋体" w:eastAsia="宋体" w:cs="宋体"/>
          <w:spacing w:val="-7"/>
          <w:vertAlign w:val="superscript"/>
        </w:rPr>
        <w:t>3</w:t>
      </w:r>
      <w:r>
        <w:rPr>
          <w:rFonts w:hint="eastAsia" w:ascii="宋体" w:hAnsi="宋体" w:eastAsia="宋体" w:cs="宋体"/>
          <w:spacing w:val="-7"/>
        </w:rPr>
        <w:t>），其最大储存量约</w:t>
      </w:r>
      <w:r>
        <w:rPr>
          <w:rFonts w:hint="eastAsia" w:ascii="宋体" w:hAnsi="宋体" w:eastAsia="宋体" w:cs="宋体"/>
          <w:spacing w:val="-7"/>
          <w:lang w:val="en-US" w:eastAsia="zh-CN"/>
        </w:rPr>
        <w:t>42.0</w:t>
      </w:r>
      <w:r>
        <w:rPr>
          <w:rFonts w:hint="eastAsia" w:ascii="宋体" w:hAnsi="宋体" w:eastAsia="宋体" w:cs="宋体"/>
          <w:spacing w:val="-7"/>
        </w:rPr>
        <w:t>t。</w:t>
      </w:r>
    </w:p>
    <w:p>
      <w:pPr>
        <w:pStyle w:val="6"/>
        <w:pageBreakBefore w:val="0"/>
        <w:widowControl w:val="0"/>
        <w:kinsoku/>
        <w:wordWrap/>
        <w:overflowPunct/>
        <w:topLinePunct w:val="0"/>
        <w:autoSpaceDE w:val="0"/>
        <w:autoSpaceDN w:val="0"/>
        <w:bidi w:val="0"/>
        <w:spacing w:line="560" w:lineRule="exact"/>
        <w:ind w:firstLine="532" w:firstLineChars="200"/>
        <w:textAlignment w:val="auto"/>
        <w:rPr>
          <w:rFonts w:hint="eastAsia" w:ascii="宋体" w:hAnsi="宋体" w:eastAsia="宋体" w:cs="宋体"/>
          <w:spacing w:val="-7"/>
        </w:rPr>
      </w:pPr>
    </w:p>
    <w:p>
      <w:pPr>
        <w:pStyle w:val="4"/>
        <w:pageBreakBefore w:val="0"/>
        <w:widowControl w:val="0"/>
        <w:kinsoku/>
        <w:wordWrap/>
        <w:overflowPunct/>
        <w:topLinePunct w:val="0"/>
        <w:autoSpaceDE w:val="0"/>
        <w:autoSpaceDN w:val="0"/>
        <w:bidi w:val="0"/>
        <w:spacing w:before="20" w:after="240" w:afterLines="100" w:line="560" w:lineRule="exact"/>
        <w:ind w:firstLine="562" w:firstLineChars="200"/>
        <w:textAlignment w:val="auto"/>
        <w:rPr>
          <w:rFonts w:hint="eastAsia" w:ascii="宋体" w:hAnsi="宋体" w:eastAsia="宋体" w:cs="宋体"/>
          <w:sz w:val="28"/>
          <w:szCs w:val="28"/>
        </w:rPr>
      </w:pPr>
      <w:bookmarkStart w:id="184" w:name="_Toc23417_WPSOffice_Level3"/>
      <w:bookmarkStart w:id="185" w:name="_Toc17456_WPSOffice_Level3"/>
      <w:bookmarkStart w:id="186" w:name="_Toc25434_WPSOffice_Level3"/>
      <w:r>
        <w:rPr>
          <w:rFonts w:hint="eastAsia" w:ascii="宋体" w:hAnsi="宋体" w:eastAsia="宋体" w:cs="宋体"/>
          <w:sz w:val="28"/>
          <w:szCs w:val="28"/>
        </w:rPr>
        <w:t>2.4.</w:t>
      </w:r>
      <w:r>
        <w:rPr>
          <w:rFonts w:hint="eastAsia" w:ascii="宋体" w:hAnsi="宋体" w:eastAsia="宋体" w:cs="宋体"/>
          <w:sz w:val="28"/>
          <w:szCs w:val="28"/>
          <w:lang w:val="en-US"/>
        </w:rPr>
        <w:t>2</w:t>
      </w:r>
      <w:r>
        <w:rPr>
          <w:rFonts w:hint="eastAsia" w:ascii="宋体" w:hAnsi="宋体" w:eastAsia="宋体" w:cs="宋体"/>
          <w:sz w:val="28"/>
          <w:szCs w:val="28"/>
        </w:rPr>
        <w:t xml:space="preserve"> 工艺流程</w:t>
      </w:r>
      <w:bookmarkEnd w:id="184"/>
      <w:bookmarkEnd w:id="185"/>
      <w:bookmarkEnd w:id="186"/>
    </w:p>
    <w:p>
      <w:pPr>
        <w:pageBreakBefore w:val="0"/>
        <w:widowControl w:val="0"/>
        <w:kinsoku/>
        <w:wordWrap/>
        <w:overflowPunct/>
        <w:topLinePunct w:val="0"/>
        <w:autoSpaceDE w:val="0"/>
        <w:autoSpaceDN w:val="0"/>
        <w:bidi w:val="0"/>
        <w:adjustRightInd w:val="0"/>
        <w:snapToGrid w:val="0"/>
        <w:spacing w:line="560" w:lineRule="exact"/>
        <w:ind w:firstLine="560" w:firstLineChars="200"/>
        <w:jc w:val="both"/>
        <w:textAlignment w:val="auto"/>
        <w:rPr>
          <w:rFonts w:hint="eastAsia" w:ascii="宋体" w:hAnsi="宋体" w:eastAsia="宋体" w:cs="宋体"/>
          <w:sz w:val="28"/>
        </w:rPr>
      </w:pPr>
      <w:bookmarkStart w:id="187" w:name="_Hlk531000808"/>
      <w:bookmarkStart w:id="188" w:name="_Hlk531000383"/>
      <w:r>
        <w:rPr>
          <w:rFonts w:hint="eastAsia" w:ascii="宋体" w:hAnsi="宋体" w:eastAsia="宋体" w:cs="宋体"/>
          <w:sz w:val="28"/>
          <w:lang w:val="en-US" w:eastAsia="zh-CN"/>
        </w:rPr>
        <w:t xml:space="preserve">  </w:t>
      </w:r>
      <w:bookmarkEnd w:id="187"/>
      <w:r>
        <w:rPr>
          <w:rFonts w:hint="eastAsia" w:ascii="宋体" w:hAnsi="宋体" w:eastAsia="宋体" w:cs="宋体"/>
          <w:sz w:val="28"/>
        </w:rPr>
        <w:t>加油站成品油经营储存过程中包括储油工艺、加油工艺及油气回收工艺，其工艺流程如下：</w:t>
      </w:r>
    </w:p>
    <w:p>
      <w:pPr>
        <w:pageBreakBefore w:val="0"/>
        <w:widowControl w:val="0"/>
        <w:kinsoku/>
        <w:wordWrap/>
        <w:overflowPunct/>
        <w:topLinePunct w:val="0"/>
        <w:autoSpaceDE w:val="0"/>
        <w:autoSpaceDN w:val="0"/>
        <w:bidi w:val="0"/>
        <w:adjustRightInd w:val="0"/>
        <w:snapToGrid w:val="0"/>
        <w:spacing w:line="560" w:lineRule="exact"/>
        <w:ind w:firstLine="560" w:firstLineChars="200"/>
        <w:jc w:val="both"/>
        <w:textAlignment w:val="auto"/>
        <w:rPr>
          <w:rFonts w:hint="eastAsia" w:ascii="宋体" w:hAnsi="宋体" w:eastAsia="宋体" w:cs="宋体"/>
          <w:sz w:val="28"/>
        </w:rPr>
      </w:pPr>
      <w:r>
        <w:rPr>
          <w:rFonts w:hint="eastAsia" w:ascii="宋体" w:hAnsi="宋体" w:eastAsia="宋体" w:cs="宋体"/>
          <w:sz w:val="28"/>
        </w:rPr>
        <w:t>（1）储油工艺</w:t>
      </w:r>
    </w:p>
    <w:bookmarkEnd w:id="188"/>
    <w:p>
      <w:pPr>
        <w:pageBreakBefore w:val="0"/>
        <w:widowControl w:val="0"/>
        <w:kinsoku/>
        <w:wordWrap/>
        <w:overflowPunct/>
        <w:topLinePunct w:val="0"/>
        <w:autoSpaceDE w:val="0"/>
        <w:autoSpaceDN w:val="0"/>
        <w:bidi w:val="0"/>
        <w:adjustRightInd w:val="0"/>
        <w:snapToGrid w:val="0"/>
        <w:spacing w:line="560" w:lineRule="exact"/>
        <w:ind w:firstLine="560" w:firstLineChars="200"/>
        <w:jc w:val="both"/>
        <w:textAlignment w:val="auto"/>
        <w:rPr>
          <w:rFonts w:hint="eastAsia" w:ascii="宋体" w:hAnsi="宋体" w:eastAsia="宋体" w:cs="宋体"/>
          <w:sz w:val="28"/>
        </w:rPr>
      </w:pPr>
      <w:r>
        <w:rPr>
          <w:rFonts w:hint="eastAsia" w:ascii="宋体" w:hAnsi="宋体" w:eastAsia="宋体" w:cs="宋体"/>
          <w:sz w:val="28"/>
        </w:rPr>
        <w:t>配送油品的槽车到达加油站后同种类油品经密闭卸油口、输油管道卸入相应标号的埋地油罐，油罐设置有防静电接地措施。项目采用密闭卸油工艺，即油罐有专门的进油管道，向下深至罐内距罐底0.1m处，采用快速接头进行卸油，卸油工艺设置汽油卸油油气回收系统。</w:t>
      </w:r>
    </w:p>
    <w:p>
      <w:pPr>
        <w:pageBreakBefore w:val="0"/>
        <w:widowControl w:val="0"/>
        <w:kinsoku/>
        <w:wordWrap/>
        <w:overflowPunct/>
        <w:topLinePunct w:val="0"/>
        <w:autoSpaceDE w:val="0"/>
        <w:autoSpaceDN w:val="0"/>
        <w:bidi w:val="0"/>
        <w:adjustRightInd w:val="0"/>
        <w:snapToGrid w:val="0"/>
        <w:spacing w:line="560" w:lineRule="exact"/>
        <w:ind w:firstLine="560" w:firstLineChars="200"/>
        <w:jc w:val="both"/>
        <w:textAlignment w:val="auto"/>
        <w:rPr>
          <w:rFonts w:hint="eastAsia" w:ascii="宋体" w:hAnsi="宋体" w:eastAsia="宋体" w:cs="宋体"/>
          <w:sz w:val="28"/>
        </w:rPr>
      </w:pPr>
      <w:r>
        <w:rPr>
          <w:rFonts w:hint="eastAsia" w:ascii="宋体" w:hAnsi="宋体" w:eastAsia="宋体" w:cs="宋体"/>
          <w:sz w:val="28"/>
        </w:rPr>
        <w:t>（2）卸油工艺</w:t>
      </w:r>
    </w:p>
    <w:p>
      <w:pPr>
        <w:pageBreakBefore w:val="0"/>
        <w:widowControl w:val="0"/>
        <w:kinsoku/>
        <w:wordWrap/>
        <w:overflowPunct/>
        <w:topLinePunct w:val="0"/>
        <w:autoSpaceDE w:val="0"/>
        <w:autoSpaceDN w:val="0"/>
        <w:bidi w:val="0"/>
        <w:adjustRightInd w:val="0"/>
        <w:snapToGrid w:val="0"/>
        <w:spacing w:line="560" w:lineRule="exact"/>
        <w:ind w:firstLine="560" w:firstLineChars="200"/>
        <w:jc w:val="both"/>
        <w:textAlignment w:val="auto"/>
        <w:rPr>
          <w:rFonts w:hint="eastAsia" w:ascii="宋体" w:hAnsi="宋体" w:eastAsia="宋体" w:cs="宋体"/>
          <w:sz w:val="28"/>
        </w:rPr>
      </w:pPr>
      <w:r>
        <w:rPr>
          <w:rFonts w:hint="eastAsia" w:ascii="宋体" w:hAnsi="宋体" w:eastAsia="宋体" w:cs="宋体"/>
          <w:sz w:val="28"/>
        </w:rPr>
        <w:t>采用密闭卸油方式，即油罐车开到卸油台后，油罐车用静电接地夹接地，油罐车静置15分钟,使用卸油管将油罐车与卸油台内的卸油口对接，然后打开阀门通过自流方式卸油。卸汽油时油罐内排出的油气经油气回收系统回收至油罐车内。汽油卸油工艺流程图见图2.</w:t>
      </w:r>
      <w:r>
        <w:rPr>
          <w:rFonts w:hint="eastAsia" w:ascii="宋体" w:hAnsi="宋体" w:eastAsia="宋体" w:cs="宋体"/>
          <w:sz w:val="28"/>
          <w:lang w:val="en-US" w:eastAsia="zh-CN"/>
        </w:rPr>
        <w:t>4</w:t>
      </w:r>
      <w:r>
        <w:rPr>
          <w:rFonts w:hint="eastAsia" w:ascii="宋体" w:hAnsi="宋体" w:eastAsia="宋体" w:cs="宋体"/>
          <w:sz w:val="28"/>
        </w:rPr>
        <w:t>-1,柴油卸油工艺流程图见图2.</w:t>
      </w:r>
      <w:r>
        <w:rPr>
          <w:rFonts w:hint="eastAsia" w:ascii="宋体" w:hAnsi="宋体" w:eastAsia="宋体" w:cs="宋体"/>
          <w:sz w:val="28"/>
          <w:lang w:val="en-US" w:eastAsia="zh-CN"/>
        </w:rPr>
        <w:t>4</w:t>
      </w:r>
      <w:r>
        <w:rPr>
          <w:rFonts w:hint="eastAsia" w:ascii="宋体" w:hAnsi="宋体" w:eastAsia="宋体" w:cs="宋体"/>
          <w:sz w:val="28"/>
        </w:rPr>
        <w:t>-2。</w:t>
      </w:r>
    </w:p>
    <w:p>
      <w:pPr>
        <w:pageBreakBefore w:val="0"/>
        <w:widowControl w:val="0"/>
        <w:kinsoku/>
        <w:wordWrap/>
        <w:overflowPunct/>
        <w:topLinePunct w:val="0"/>
        <w:autoSpaceDE w:val="0"/>
        <w:autoSpaceDN w:val="0"/>
        <w:bidi w:val="0"/>
        <w:adjustRightInd w:val="0"/>
        <w:snapToGrid w:val="0"/>
        <w:spacing w:line="560" w:lineRule="exact"/>
        <w:textAlignment w:val="auto"/>
        <w:rPr>
          <w:rFonts w:hint="eastAsia" w:ascii="宋体" w:hAnsi="宋体" w:eastAsia="宋体" w:cs="宋体"/>
          <w:sz w:val="28"/>
        </w:rPr>
      </w:pPr>
      <w:r>
        <w:rPr>
          <w:rFonts w:hint="eastAsia" w:ascii="宋体" w:hAnsi="宋体" w:eastAsia="宋体" w:cs="宋体"/>
        </w:rPr>
        <w:drawing>
          <wp:anchor distT="0" distB="0" distL="114300" distR="114300" simplePos="0" relativeHeight="251673600" behindDoc="1" locked="0" layoutInCell="1" allowOverlap="1">
            <wp:simplePos x="0" y="0"/>
            <wp:positionH relativeFrom="column">
              <wp:posOffset>264795</wp:posOffset>
            </wp:positionH>
            <wp:positionV relativeFrom="paragraph">
              <wp:posOffset>83820</wp:posOffset>
            </wp:positionV>
            <wp:extent cx="4574540" cy="964565"/>
            <wp:effectExtent l="0" t="0" r="0" b="0"/>
            <wp:wrapTight wrapText="bothSides">
              <wp:wrapPolygon>
                <wp:start x="7016" y="1706"/>
                <wp:lineTo x="720" y="2133"/>
                <wp:lineTo x="360" y="2560"/>
                <wp:lineTo x="360" y="12798"/>
                <wp:lineTo x="4318" y="15357"/>
                <wp:lineTo x="10254" y="15357"/>
                <wp:lineTo x="10254" y="20050"/>
                <wp:lineTo x="14122" y="20050"/>
                <wp:lineTo x="14302" y="16211"/>
                <wp:lineTo x="17091" y="15357"/>
                <wp:lineTo x="21318" y="12798"/>
                <wp:lineTo x="21408" y="2560"/>
                <wp:lineTo x="20778" y="2133"/>
                <wp:lineTo x="14482" y="1706"/>
                <wp:lineTo x="7016" y="1706"/>
              </wp:wrapPolygon>
            </wp:wrapTight>
            <wp:docPr id="17" name="图片 1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398"/>
                    <pic:cNvPicPr>
                      <a:picLocks noChangeAspect="1"/>
                    </pic:cNvPicPr>
                  </pic:nvPicPr>
                  <pic:blipFill>
                    <a:blip r:embed="rId12"/>
                    <a:srcRect l="23555" t="40663" r="15202" b="39291"/>
                    <a:stretch>
                      <a:fillRect/>
                    </a:stretch>
                  </pic:blipFill>
                  <pic:spPr>
                    <a:xfrm>
                      <a:off x="0" y="0"/>
                      <a:ext cx="4574540" cy="964565"/>
                    </a:xfrm>
                    <a:prstGeom prst="rect">
                      <a:avLst/>
                    </a:prstGeom>
                    <a:noFill/>
                    <a:ln>
                      <a:noFill/>
                    </a:ln>
                  </pic:spPr>
                </pic:pic>
              </a:graphicData>
            </a:graphic>
          </wp:anchor>
        </w:drawing>
      </w:r>
    </w:p>
    <w:p>
      <w:pPr>
        <w:pageBreakBefore w:val="0"/>
        <w:widowControl w:val="0"/>
        <w:kinsoku/>
        <w:wordWrap/>
        <w:overflowPunct/>
        <w:topLinePunct w:val="0"/>
        <w:autoSpaceDE w:val="0"/>
        <w:autoSpaceDN w:val="0"/>
        <w:bidi w:val="0"/>
        <w:adjustRightInd w:val="0"/>
        <w:snapToGrid w:val="0"/>
        <w:spacing w:line="560" w:lineRule="exact"/>
        <w:textAlignment w:val="auto"/>
        <w:rPr>
          <w:rFonts w:hint="eastAsia" w:ascii="宋体" w:hAnsi="宋体" w:eastAsia="宋体" w:cs="宋体"/>
          <w:sz w:val="28"/>
        </w:rPr>
      </w:pPr>
    </w:p>
    <w:p>
      <w:pPr>
        <w:pageBreakBefore w:val="0"/>
        <w:widowControl w:val="0"/>
        <w:kinsoku/>
        <w:wordWrap/>
        <w:overflowPunct/>
        <w:topLinePunct w:val="0"/>
        <w:autoSpaceDE w:val="0"/>
        <w:autoSpaceDN w:val="0"/>
        <w:bidi w:val="0"/>
        <w:adjustRightInd w:val="0"/>
        <w:snapToGrid w:val="0"/>
        <w:spacing w:line="560" w:lineRule="exact"/>
        <w:textAlignment w:val="auto"/>
        <w:rPr>
          <w:rFonts w:hint="eastAsia" w:ascii="宋体" w:hAnsi="宋体" w:eastAsia="宋体" w:cs="宋体"/>
          <w:sz w:val="28"/>
        </w:rPr>
      </w:pPr>
    </w:p>
    <w:p>
      <w:pPr>
        <w:pageBreakBefore w:val="0"/>
        <w:widowControl w:val="0"/>
        <w:kinsoku/>
        <w:wordWrap/>
        <w:overflowPunct/>
        <w:topLinePunct w:val="0"/>
        <w:autoSpaceDE w:val="0"/>
        <w:autoSpaceDN w:val="0"/>
        <w:bidi w:val="0"/>
        <w:adjustRightInd w:val="0"/>
        <w:snapToGrid w:val="0"/>
        <w:spacing w:line="560" w:lineRule="exact"/>
        <w:jc w:val="center"/>
        <w:textAlignment w:val="auto"/>
        <w:rPr>
          <w:rFonts w:hint="eastAsia" w:ascii="宋体" w:hAnsi="宋体" w:eastAsia="宋体" w:cs="宋体"/>
        </w:rPr>
      </w:pPr>
      <w:r>
        <w:rPr>
          <w:rFonts w:hint="eastAsia" w:ascii="宋体" w:hAnsi="宋体" w:eastAsia="宋体" w:cs="宋体"/>
        </w:rPr>
        <w:t>图2.</w:t>
      </w:r>
      <w:r>
        <w:rPr>
          <w:rFonts w:hint="eastAsia" w:ascii="宋体" w:hAnsi="宋体" w:eastAsia="宋体" w:cs="宋体"/>
          <w:lang w:val="en-US" w:eastAsia="zh-CN"/>
        </w:rPr>
        <w:t>4</w:t>
      </w:r>
      <w:r>
        <w:rPr>
          <w:rFonts w:hint="eastAsia" w:ascii="宋体" w:hAnsi="宋体" w:eastAsia="宋体" w:cs="宋体"/>
        </w:rPr>
        <w:t>-1汽油卸油工艺流程</w:t>
      </w:r>
    </w:p>
    <w:p>
      <w:pPr>
        <w:pageBreakBefore w:val="0"/>
        <w:widowControl w:val="0"/>
        <w:kinsoku/>
        <w:wordWrap/>
        <w:overflowPunct/>
        <w:topLinePunct w:val="0"/>
        <w:autoSpaceDE w:val="0"/>
        <w:autoSpaceDN w:val="0"/>
        <w:bidi w:val="0"/>
        <w:adjustRightInd w:val="0"/>
        <w:snapToGrid w:val="0"/>
        <w:spacing w:line="560" w:lineRule="exact"/>
        <w:textAlignment w:val="auto"/>
        <w:rPr>
          <w:rFonts w:hint="eastAsia" w:ascii="宋体" w:hAnsi="宋体" w:eastAsia="宋体" w:cs="宋体"/>
          <w:sz w:val="28"/>
        </w:rPr>
      </w:pPr>
      <w:r>
        <w:rPr>
          <w:rFonts w:hint="eastAsia" w:ascii="宋体" w:hAnsi="宋体" w:eastAsia="宋体" w:cs="宋体"/>
          <w:sz w:val="28"/>
        </w:rPr>
        <w:drawing>
          <wp:anchor distT="0" distB="0" distL="114300" distR="114300" simplePos="0" relativeHeight="251676672" behindDoc="1" locked="0" layoutInCell="1" allowOverlap="1">
            <wp:simplePos x="0" y="0"/>
            <wp:positionH relativeFrom="column">
              <wp:posOffset>383540</wp:posOffset>
            </wp:positionH>
            <wp:positionV relativeFrom="paragraph">
              <wp:posOffset>90170</wp:posOffset>
            </wp:positionV>
            <wp:extent cx="4665980" cy="1162685"/>
            <wp:effectExtent l="0" t="0" r="1270" b="37465"/>
            <wp:wrapTight wrapText="bothSides">
              <wp:wrapPolygon>
                <wp:start x="0" y="0"/>
                <wp:lineTo x="0" y="21234"/>
                <wp:lineTo x="21518" y="21234"/>
                <wp:lineTo x="21518" y="0"/>
                <wp:lineTo x="0" y="0"/>
              </wp:wrapPolygon>
            </wp:wrapTight>
            <wp:docPr id="16" name="图片 3"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3" descr="图片2"/>
                    <pic:cNvPicPr>
                      <a:picLocks noChangeAspect="1"/>
                    </pic:cNvPicPr>
                  </pic:nvPicPr>
                  <pic:blipFill>
                    <a:blip r:embed="rId13"/>
                    <a:stretch>
                      <a:fillRect/>
                    </a:stretch>
                  </pic:blipFill>
                  <pic:spPr>
                    <a:xfrm>
                      <a:off x="0" y="0"/>
                      <a:ext cx="4665980" cy="1162685"/>
                    </a:xfrm>
                    <a:prstGeom prst="rect">
                      <a:avLst/>
                    </a:prstGeom>
                    <a:noFill/>
                    <a:ln>
                      <a:noFill/>
                    </a:ln>
                  </pic:spPr>
                </pic:pic>
              </a:graphicData>
            </a:graphic>
          </wp:anchor>
        </w:drawing>
      </w:r>
    </w:p>
    <w:p>
      <w:pPr>
        <w:pageBreakBefore w:val="0"/>
        <w:widowControl w:val="0"/>
        <w:kinsoku/>
        <w:wordWrap/>
        <w:overflowPunct/>
        <w:topLinePunct w:val="0"/>
        <w:autoSpaceDE w:val="0"/>
        <w:autoSpaceDN w:val="0"/>
        <w:bidi w:val="0"/>
        <w:adjustRightInd w:val="0"/>
        <w:snapToGrid w:val="0"/>
        <w:spacing w:line="560" w:lineRule="exact"/>
        <w:textAlignment w:val="auto"/>
        <w:rPr>
          <w:rFonts w:hint="eastAsia" w:ascii="宋体" w:hAnsi="宋体" w:eastAsia="宋体" w:cs="宋体"/>
          <w:sz w:val="28"/>
        </w:rPr>
      </w:pPr>
    </w:p>
    <w:p>
      <w:pPr>
        <w:pageBreakBefore w:val="0"/>
        <w:widowControl w:val="0"/>
        <w:kinsoku/>
        <w:wordWrap/>
        <w:overflowPunct/>
        <w:topLinePunct w:val="0"/>
        <w:autoSpaceDE w:val="0"/>
        <w:autoSpaceDN w:val="0"/>
        <w:bidi w:val="0"/>
        <w:adjustRightInd w:val="0"/>
        <w:snapToGrid w:val="0"/>
        <w:spacing w:line="560" w:lineRule="exact"/>
        <w:jc w:val="center"/>
        <w:textAlignment w:val="auto"/>
        <w:rPr>
          <w:rFonts w:hint="eastAsia" w:ascii="宋体" w:hAnsi="宋体" w:eastAsia="宋体" w:cs="宋体"/>
        </w:rPr>
      </w:pPr>
    </w:p>
    <w:p>
      <w:pPr>
        <w:pageBreakBefore w:val="0"/>
        <w:widowControl w:val="0"/>
        <w:kinsoku/>
        <w:wordWrap/>
        <w:overflowPunct/>
        <w:topLinePunct w:val="0"/>
        <w:autoSpaceDE w:val="0"/>
        <w:autoSpaceDN w:val="0"/>
        <w:bidi w:val="0"/>
        <w:adjustRightInd w:val="0"/>
        <w:snapToGrid w:val="0"/>
        <w:spacing w:line="560" w:lineRule="exact"/>
        <w:jc w:val="center"/>
        <w:textAlignment w:val="auto"/>
        <w:rPr>
          <w:rFonts w:hint="eastAsia" w:ascii="宋体" w:hAnsi="宋体" w:eastAsia="宋体" w:cs="宋体"/>
        </w:rPr>
      </w:pPr>
    </w:p>
    <w:p>
      <w:pPr>
        <w:pageBreakBefore w:val="0"/>
        <w:widowControl w:val="0"/>
        <w:kinsoku/>
        <w:wordWrap/>
        <w:overflowPunct/>
        <w:topLinePunct w:val="0"/>
        <w:autoSpaceDE w:val="0"/>
        <w:autoSpaceDN w:val="0"/>
        <w:bidi w:val="0"/>
        <w:adjustRightInd w:val="0"/>
        <w:snapToGrid w:val="0"/>
        <w:spacing w:line="560" w:lineRule="exact"/>
        <w:jc w:val="center"/>
        <w:textAlignment w:val="auto"/>
        <w:rPr>
          <w:rFonts w:hint="eastAsia" w:ascii="宋体" w:hAnsi="宋体" w:eastAsia="宋体" w:cs="宋体"/>
        </w:rPr>
      </w:pPr>
      <w:r>
        <w:rPr>
          <w:rFonts w:hint="eastAsia" w:ascii="宋体" w:hAnsi="宋体" w:eastAsia="宋体" w:cs="宋体"/>
        </w:rPr>
        <w:t>图2.</w:t>
      </w:r>
      <w:r>
        <w:rPr>
          <w:rFonts w:hint="eastAsia" w:ascii="宋体" w:hAnsi="宋体" w:eastAsia="宋体" w:cs="宋体"/>
          <w:lang w:val="en-US" w:eastAsia="zh-CN"/>
        </w:rPr>
        <w:t>4</w:t>
      </w:r>
      <w:r>
        <w:rPr>
          <w:rFonts w:hint="eastAsia" w:ascii="宋体" w:hAnsi="宋体" w:eastAsia="宋体" w:cs="宋体"/>
        </w:rPr>
        <w:t>-2柴油卸油工艺流程</w:t>
      </w:r>
    </w:p>
    <w:p>
      <w:pPr>
        <w:pageBreakBefore w:val="0"/>
        <w:widowControl w:val="0"/>
        <w:kinsoku/>
        <w:wordWrap/>
        <w:overflowPunct/>
        <w:topLinePunct w:val="0"/>
        <w:autoSpaceDE w:val="0"/>
        <w:autoSpaceDN w:val="0"/>
        <w:bidi w:val="0"/>
        <w:adjustRightInd w:val="0"/>
        <w:snapToGrid w:val="0"/>
        <w:spacing w:line="560" w:lineRule="exact"/>
        <w:ind w:firstLine="560" w:firstLineChars="200"/>
        <w:textAlignment w:val="auto"/>
        <w:rPr>
          <w:rFonts w:hint="eastAsia" w:ascii="宋体" w:hAnsi="宋体" w:eastAsia="宋体" w:cs="宋体"/>
          <w:sz w:val="28"/>
        </w:rPr>
      </w:pPr>
    </w:p>
    <w:p>
      <w:pPr>
        <w:pageBreakBefore w:val="0"/>
        <w:widowControl w:val="0"/>
        <w:kinsoku/>
        <w:wordWrap/>
        <w:overflowPunct/>
        <w:topLinePunct w:val="0"/>
        <w:autoSpaceDE w:val="0"/>
        <w:autoSpaceDN w:val="0"/>
        <w:bidi w:val="0"/>
        <w:adjustRightInd w:val="0"/>
        <w:snapToGrid w:val="0"/>
        <w:spacing w:line="560" w:lineRule="exact"/>
        <w:ind w:firstLine="560" w:firstLineChars="200"/>
        <w:textAlignment w:val="auto"/>
        <w:rPr>
          <w:rFonts w:hint="eastAsia" w:ascii="宋体" w:hAnsi="宋体" w:eastAsia="宋体" w:cs="宋体"/>
          <w:sz w:val="28"/>
        </w:rPr>
      </w:pPr>
    </w:p>
    <w:p>
      <w:pPr>
        <w:pageBreakBefore w:val="0"/>
        <w:widowControl w:val="0"/>
        <w:kinsoku/>
        <w:wordWrap/>
        <w:overflowPunct/>
        <w:topLinePunct w:val="0"/>
        <w:autoSpaceDE w:val="0"/>
        <w:autoSpaceDN w:val="0"/>
        <w:bidi w:val="0"/>
        <w:adjustRightInd w:val="0"/>
        <w:snapToGrid w:val="0"/>
        <w:spacing w:line="560" w:lineRule="exact"/>
        <w:ind w:firstLine="560" w:firstLineChars="200"/>
        <w:textAlignment w:val="auto"/>
        <w:rPr>
          <w:rFonts w:hint="eastAsia" w:ascii="宋体" w:hAnsi="宋体" w:eastAsia="宋体" w:cs="宋体"/>
          <w:sz w:val="28"/>
        </w:rPr>
      </w:pPr>
      <w:r>
        <w:rPr>
          <w:rFonts w:hint="eastAsia" w:ascii="宋体" w:hAnsi="宋体" w:eastAsia="宋体" w:cs="宋体"/>
          <w:sz w:val="28"/>
        </w:rPr>
        <w:t>（3）加油工艺</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560" w:firstLineChars="200"/>
        <w:jc w:val="both"/>
        <w:textAlignment w:val="auto"/>
        <w:rPr>
          <w:rFonts w:hint="eastAsia" w:ascii="宋体" w:hAnsi="宋体" w:eastAsia="宋体" w:cs="宋体"/>
          <w:sz w:val="28"/>
        </w:rPr>
      </w:pPr>
      <w:r>
        <w:rPr>
          <w:rFonts w:hint="eastAsia" w:ascii="宋体" w:hAnsi="宋体" w:eastAsia="宋体" w:cs="宋体"/>
          <w:sz w:val="28"/>
        </w:rPr>
        <w:t>本项目的加油机采用税控加油机，油罐加油采用潜油泵一泵供多机的加油工艺，本工艺最大的特点是油罐正压出油，技术先进、加油噪声低、工艺简单。加油工艺设置汽油油气回收系统。</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560" w:firstLineChars="200"/>
        <w:jc w:val="both"/>
        <w:textAlignment w:val="auto"/>
        <w:rPr>
          <w:rFonts w:hint="eastAsia" w:ascii="宋体" w:hAnsi="宋体" w:eastAsia="宋体" w:cs="宋体"/>
          <w:sz w:val="28"/>
        </w:rPr>
      </w:pPr>
      <w:r>
        <w:rPr>
          <w:rFonts w:hint="eastAsia" w:ascii="宋体" w:hAnsi="宋体" w:eastAsia="宋体" w:cs="宋体"/>
          <w:sz w:val="28"/>
        </w:rPr>
        <w:t>加汽油时，汽油从油罐经潜油泵、出油管输送至加油机，再经软管送至加油枪。加油枪对停泊到位的汽车油箱加油，并根据用户要求控制油量，从加油枪回收的油气经过专用的油气回收管回收到油罐内。汽油加油枪设有紧急拉断阀，当加油出现意外，加油车辆拖着加油枪行走时，可以优先从紧急拉断阀拉断，防止汽油的泄漏。</w:t>
      </w:r>
    </w:p>
    <w:p>
      <w:pPr>
        <w:adjustRightInd w:val="0"/>
        <w:snapToGrid w:val="0"/>
        <w:spacing w:line="600" w:lineRule="exact"/>
        <w:ind w:firstLine="440" w:firstLineChars="200"/>
        <w:jc w:val="both"/>
        <w:rPr>
          <w:rFonts w:hint="eastAsia" w:ascii="宋体" w:hAnsi="宋体" w:eastAsia="宋体" w:cs="宋体"/>
          <w:sz w:val="28"/>
        </w:rPr>
      </w:pPr>
      <w:r>
        <w:rPr>
          <w:rFonts w:hint="eastAsia" w:ascii="宋体" w:hAnsi="宋体" w:eastAsia="宋体" w:cs="宋体"/>
        </w:rPr>
        <w:drawing>
          <wp:anchor distT="0" distB="0" distL="114300" distR="114300" simplePos="0" relativeHeight="251674624" behindDoc="1" locked="0" layoutInCell="1" allowOverlap="1">
            <wp:simplePos x="0" y="0"/>
            <wp:positionH relativeFrom="column">
              <wp:posOffset>1104900</wp:posOffset>
            </wp:positionH>
            <wp:positionV relativeFrom="paragraph">
              <wp:posOffset>155575</wp:posOffset>
            </wp:positionV>
            <wp:extent cx="3550285" cy="1590040"/>
            <wp:effectExtent l="0" t="0" r="0" b="0"/>
            <wp:wrapTight wrapText="bothSides">
              <wp:wrapPolygon>
                <wp:start x="16110" y="776"/>
                <wp:lineTo x="927" y="1035"/>
                <wp:lineTo x="927" y="7246"/>
                <wp:lineTo x="8693" y="9058"/>
                <wp:lineTo x="17501" y="9058"/>
                <wp:lineTo x="5331" y="12681"/>
                <wp:lineTo x="1391" y="13198"/>
                <wp:lineTo x="927" y="13716"/>
                <wp:lineTo x="927" y="19150"/>
                <wp:lineTo x="2202" y="19927"/>
                <wp:lineTo x="5679" y="20444"/>
                <wp:lineTo x="14951" y="20444"/>
                <wp:lineTo x="18776" y="19927"/>
                <wp:lineTo x="20630" y="19150"/>
                <wp:lineTo x="20398" y="13457"/>
                <wp:lineTo x="19703" y="13198"/>
                <wp:lineTo x="19819" y="4917"/>
                <wp:lineTo x="19471" y="2070"/>
                <wp:lineTo x="19239" y="776"/>
                <wp:lineTo x="16110" y="776"/>
              </wp:wrapPolygon>
            </wp:wrapTight>
            <wp:docPr id="15" name="图片 1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399"/>
                    <pic:cNvPicPr>
                      <a:picLocks noChangeAspect="1"/>
                    </pic:cNvPicPr>
                  </pic:nvPicPr>
                  <pic:blipFill>
                    <a:blip r:embed="rId14"/>
                    <a:srcRect l="13745" t="14792" r="21478" b="42747"/>
                    <a:stretch>
                      <a:fillRect/>
                    </a:stretch>
                  </pic:blipFill>
                  <pic:spPr>
                    <a:xfrm>
                      <a:off x="0" y="0"/>
                      <a:ext cx="3550285" cy="1590040"/>
                    </a:xfrm>
                    <a:prstGeom prst="rect">
                      <a:avLst/>
                    </a:prstGeom>
                    <a:noFill/>
                    <a:ln>
                      <a:noFill/>
                    </a:ln>
                  </pic:spPr>
                </pic:pic>
              </a:graphicData>
            </a:graphic>
          </wp:anchor>
        </w:drawing>
      </w:r>
    </w:p>
    <w:p>
      <w:pPr>
        <w:adjustRightInd w:val="0"/>
        <w:snapToGrid w:val="0"/>
        <w:spacing w:line="600" w:lineRule="exact"/>
        <w:ind w:firstLine="560" w:firstLineChars="200"/>
        <w:jc w:val="both"/>
        <w:rPr>
          <w:rFonts w:hint="eastAsia" w:ascii="宋体" w:hAnsi="宋体" w:eastAsia="宋体" w:cs="宋体"/>
          <w:sz w:val="28"/>
        </w:rPr>
      </w:pPr>
    </w:p>
    <w:p>
      <w:pPr>
        <w:adjustRightInd w:val="0"/>
        <w:snapToGrid w:val="0"/>
        <w:spacing w:line="600" w:lineRule="exact"/>
        <w:ind w:firstLine="560" w:firstLineChars="200"/>
        <w:rPr>
          <w:rFonts w:hint="eastAsia" w:ascii="宋体" w:hAnsi="宋体" w:eastAsia="宋体" w:cs="宋体"/>
          <w:sz w:val="28"/>
        </w:rPr>
      </w:pPr>
    </w:p>
    <w:p>
      <w:pPr>
        <w:adjustRightInd w:val="0"/>
        <w:snapToGrid w:val="0"/>
        <w:spacing w:line="600" w:lineRule="exact"/>
        <w:ind w:firstLine="560" w:firstLineChars="200"/>
        <w:rPr>
          <w:rFonts w:hint="eastAsia" w:ascii="宋体" w:hAnsi="宋体" w:eastAsia="宋体" w:cs="宋体"/>
          <w:sz w:val="28"/>
        </w:rPr>
      </w:pPr>
    </w:p>
    <w:p>
      <w:pPr>
        <w:adjustRightInd w:val="0"/>
        <w:snapToGrid w:val="0"/>
        <w:spacing w:line="600" w:lineRule="exact"/>
        <w:ind w:firstLine="560" w:firstLineChars="200"/>
        <w:jc w:val="both"/>
        <w:rPr>
          <w:rFonts w:hint="eastAsia" w:ascii="宋体" w:hAnsi="宋体" w:eastAsia="宋体" w:cs="宋体"/>
          <w:sz w:val="28"/>
        </w:rPr>
      </w:pPr>
    </w:p>
    <w:p>
      <w:pPr>
        <w:adjustRightInd w:val="0"/>
        <w:snapToGrid w:val="0"/>
        <w:spacing w:line="600" w:lineRule="exact"/>
        <w:ind w:firstLine="560" w:firstLineChars="200"/>
        <w:jc w:val="both"/>
        <w:rPr>
          <w:rFonts w:hint="eastAsia" w:ascii="宋体" w:hAnsi="宋体" w:eastAsia="宋体" w:cs="宋体"/>
          <w:sz w:val="28"/>
        </w:rPr>
      </w:pPr>
      <w:r>
        <w:rPr>
          <w:rFonts w:hint="eastAsia" w:ascii="宋体" w:hAnsi="宋体" w:eastAsia="宋体" w:cs="宋体"/>
          <w:sz w:val="28"/>
        </w:rPr>
        <w:t>加柴油时，柴油从油罐经潜油泵、出油管输送至加油机，再经软管送至加油枪。加油枪对停泊到位的汽车油箱加油，并根据用户要求控制油量。柴油加油枪设有紧急拉断阀，当加油出现意外，加油车辆拖着加油枪行走时，可以优先从紧急拉断阀拉断，防止柴油的泄漏。</w:t>
      </w:r>
    </w:p>
    <w:p>
      <w:pPr>
        <w:adjustRightInd w:val="0"/>
        <w:snapToGrid w:val="0"/>
        <w:spacing w:line="600" w:lineRule="exact"/>
        <w:ind w:firstLine="560" w:firstLineChars="200"/>
        <w:jc w:val="both"/>
        <w:rPr>
          <w:rFonts w:hint="eastAsia" w:ascii="宋体" w:hAnsi="宋体" w:eastAsia="宋体" w:cs="宋体"/>
          <w:sz w:val="28"/>
        </w:rPr>
      </w:pPr>
      <w:r>
        <w:rPr>
          <w:rFonts w:hint="eastAsia" w:ascii="宋体" w:hAnsi="宋体" w:eastAsia="宋体" w:cs="宋体"/>
          <w:sz w:val="28"/>
        </w:rPr>
        <w:drawing>
          <wp:anchor distT="0" distB="0" distL="114300" distR="114300" simplePos="0" relativeHeight="251675648" behindDoc="1" locked="0" layoutInCell="1" allowOverlap="1">
            <wp:simplePos x="0" y="0"/>
            <wp:positionH relativeFrom="column">
              <wp:posOffset>1033780</wp:posOffset>
            </wp:positionH>
            <wp:positionV relativeFrom="paragraph">
              <wp:posOffset>49530</wp:posOffset>
            </wp:positionV>
            <wp:extent cx="3415030" cy="1890395"/>
            <wp:effectExtent l="0" t="0" r="13970" b="14605"/>
            <wp:wrapTight wrapText="bothSides">
              <wp:wrapPolygon>
                <wp:start x="0" y="0"/>
                <wp:lineTo x="0" y="21332"/>
                <wp:lineTo x="21447" y="21332"/>
                <wp:lineTo x="21447" y="0"/>
                <wp:lineTo x="0" y="0"/>
              </wp:wrapPolygon>
            </wp:wrapTight>
            <wp:docPr id="9" name="图片 5"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descr="图片1"/>
                    <pic:cNvPicPr>
                      <a:picLocks noChangeAspect="1"/>
                    </pic:cNvPicPr>
                  </pic:nvPicPr>
                  <pic:blipFill>
                    <a:blip r:embed="rId15"/>
                    <a:stretch>
                      <a:fillRect/>
                    </a:stretch>
                  </pic:blipFill>
                  <pic:spPr>
                    <a:xfrm>
                      <a:off x="0" y="0"/>
                      <a:ext cx="3415030" cy="1890395"/>
                    </a:xfrm>
                    <a:prstGeom prst="rect">
                      <a:avLst/>
                    </a:prstGeom>
                    <a:noFill/>
                    <a:ln>
                      <a:noFill/>
                    </a:ln>
                  </pic:spPr>
                </pic:pic>
              </a:graphicData>
            </a:graphic>
          </wp:anchor>
        </w:drawing>
      </w:r>
    </w:p>
    <w:p>
      <w:pPr>
        <w:adjustRightInd w:val="0"/>
        <w:snapToGrid w:val="0"/>
        <w:spacing w:line="600" w:lineRule="exact"/>
        <w:ind w:firstLine="560" w:firstLineChars="200"/>
        <w:rPr>
          <w:rFonts w:hint="eastAsia" w:ascii="宋体" w:hAnsi="宋体" w:eastAsia="宋体" w:cs="宋体"/>
          <w:sz w:val="28"/>
        </w:rPr>
      </w:pPr>
    </w:p>
    <w:p>
      <w:pPr>
        <w:adjustRightInd w:val="0"/>
        <w:snapToGrid w:val="0"/>
        <w:spacing w:line="600" w:lineRule="exact"/>
        <w:ind w:firstLine="560" w:firstLineChars="200"/>
        <w:rPr>
          <w:rFonts w:hint="eastAsia" w:ascii="宋体" w:hAnsi="宋体" w:eastAsia="宋体" w:cs="宋体"/>
          <w:sz w:val="28"/>
        </w:rPr>
      </w:pPr>
    </w:p>
    <w:p>
      <w:pPr>
        <w:adjustRightInd w:val="0"/>
        <w:snapToGrid w:val="0"/>
        <w:spacing w:line="600" w:lineRule="exact"/>
        <w:ind w:firstLine="560" w:firstLineChars="200"/>
        <w:rPr>
          <w:rFonts w:hint="eastAsia" w:ascii="宋体" w:hAnsi="宋体" w:eastAsia="宋体" w:cs="宋体"/>
          <w:sz w:val="28"/>
        </w:rPr>
      </w:pPr>
    </w:p>
    <w:p>
      <w:pPr>
        <w:adjustRightInd w:val="0"/>
        <w:snapToGrid w:val="0"/>
        <w:spacing w:line="600" w:lineRule="exact"/>
        <w:ind w:firstLine="560" w:firstLineChars="200"/>
        <w:rPr>
          <w:rFonts w:hint="eastAsia" w:ascii="宋体" w:hAnsi="宋体" w:eastAsia="宋体" w:cs="宋体"/>
          <w:sz w:val="28"/>
        </w:rPr>
      </w:pPr>
    </w:p>
    <w:p>
      <w:pPr>
        <w:adjustRightInd w:val="0"/>
        <w:snapToGrid w:val="0"/>
        <w:spacing w:line="600" w:lineRule="exact"/>
        <w:ind w:firstLine="560" w:firstLineChars="200"/>
        <w:rPr>
          <w:rFonts w:hint="eastAsia" w:ascii="宋体" w:hAnsi="宋体" w:eastAsia="宋体" w:cs="宋体"/>
          <w:sz w:val="28"/>
        </w:rPr>
      </w:pPr>
    </w:p>
    <w:p>
      <w:pPr>
        <w:adjustRightInd w:val="0"/>
        <w:snapToGrid w:val="0"/>
        <w:spacing w:line="600" w:lineRule="exact"/>
        <w:ind w:firstLine="560" w:firstLineChars="200"/>
        <w:rPr>
          <w:rFonts w:hint="eastAsia" w:ascii="宋体" w:hAnsi="宋体" w:eastAsia="宋体" w:cs="宋体"/>
          <w:sz w:val="28"/>
        </w:rPr>
      </w:pPr>
      <w:r>
        <w:rPr>
          <w:rFonts w:hint="eastAsia" w:ascii="宋体" w:hAnsi="宋体" w:eastAsia="宋体" w:cs="宋体"/>
          <w:sz w:val="28"/>
        </w:rPr>
        <w:t>（4）油气回收工艺</w:t>
      </w:r>
    </w:p>
    <w:p>
      <w:pPr>
        <w:adjustRightInd w:val="0"/>
        <w:snapToGrid w:val="0"/>
        <w:spacing w:line="560" w:lineRule="exact"/>
        <w:ind w:firstLine="560" w:firstLineChars="200"/>
        <w:rPr>
          <w:rFonts w:hint="eastAsia" w:ascii="宋体" w:hAnsi="宋体" w:eastAsia="宋体" w:cs="宋体"/>
          <w:sz w:val="28"/>
        </w:rPr>
      </w:pPr>
      <w:r>
        <w:rPr>
          <w:rFonts w:hint="eastAsia" w:ascii="宋体" w:hAnsi="宋体" w:eastAsia="宋体" w:cs="宋体"/>
          <w:sz w:val="28"/>
        </w:rPr>
        <w:t>1）一次油气回收工艺</w:t>
      </w:r>
    </w:p>
    <w:p>
      <w:pPr>
        <w:adjustRightInd w:val="0"/>
        <w:snapToGrid w:val="0"/>
        <w:spacing w:line="560" w:lineRule="exact"/>
        <w:ind w:firstLine="560" w:firstLineChars="200"/>
        <w:jc w:val="both"/>
        <w:rPr>
          <w:rFonts w:hint="eastAsia" w:ascii="宋体" w:hAnsi="宋体" w:eastAsia="宋体" w:cs="宋体"/>
          <w:sz w:val="28"/>
        </w:rPr>
      </w:pPr>
      <w:r>
        <w:rPr>
          <w:rFonts w:hint="eastAsia" w:ascii="宋体" w:hAnsi="宋体" w:eastAsia="宋体" w:cs="宋体"/>
          <w:sz w:val="28"/>
        </w:rPr>
        <w:t>封闭的油罐车通过密闭卸油口把油加到储油罐中，在油罐车卸油的同时，排出的油气通过专门排气口（密闭卸油油气回收系统）回收到油罐车，在此过程中形成一个密闭循环是卸油和油气回收过程。</w:t>
      </w:r>
    </w:p>
    <w:p>
      <w:pPr>
        <w:adjustRightInd w:val="0"/>
        <w:snapToGrid w:val="0"/>
        <w:spacing w:line="560" w:lineRule="exact"/>
        <w:ind w:firstLine="560" w:firstLineChars="200"/>
        <w:jc w:val="both"/>
        <w:rPr>
          <w:rFonts w:hint="eastAsia" w:ascii="宋体" w:hAnsi="宋体" w:eastAsia="宋体" w:cs="宋体"/>
          <w:sz w:val="28"/>
        </w:rPr>
      </w:pPr>
      <w:r>
        <w:rPr>
          <w:rFonts w:hint="eastAsia" w:ascii="宋体" w:hAnsi="宋体" w:eastAsia="宋体" w:cs="宋体"/>
          <w:sz w:val="28"/>
        </w:rPr>
        <w:t>2）二次油气回收</w:t>
      </w:r>
    </w:p>
    <w:p>
      <w:pPr>
        <w:adjustRightInd w:val="0"/>
        <w:snapToGrid w:val="0"/>
        <w:spacing w:line="560" w:lineRule="exact"/>
        <w:ind w:firstLine="560" w:firstLineChars="200"/>
        <w:jc w:val="both"/>
        <w:rPr>
          <w:rFonts w:hint="eastAsia" w:ascii="宋体" w:hAnsi="宋体" w:eastAsia="宋体" w:cs="宋体"/>
          <w:sz w:val="28"/>
        </w:rPr>
      </w:pPr>
      <w:r>
        <w:rPr>
          <w:rFonts w:hint="eastAsia" w:ascii="宋体" w:hAnsi="宋体" w:eastAsia="宋体" w:cs="宋体"/>
          <w:sz w:val="28"/>
        </w:rPr>
        <w:t>通过油气回收真空泵和油气回收管路将加油时产生的油气按照一定的坡度回收到低号汽油储油罐中，气液回收比（A/L＞0.90），一般工作在0.9：1-1.4:1,在此形成一个密闭循环式加油油气回收过程。</w:t>
      </w:r>
    </w:p>
    <w:p>
      <w:pPr>
        <w:spacing w:line="560" w:lineRule="exact"/>
        <w:ind w:firstLine="560" w:firstLineChars="200"/>
        <w:jc w:val="both"/>
        <w:rPr>
          <w:rFonts w:hint="eastAsia" w:ascii="宋体" w:hAnsi="宋体" w:eastAsia="宋体" w:cs="宋体"/>
          <w:sz w:val="28"/>
        </w:rPr>
      </w:pPr>
      <w:r>
        <w:rPr>
          <w:rFonts w:hint="eastAsia" w:ascii="宋体" w:hAnsi="宋体" w:eastAsia="宋体" w:cs="宋体"/>
          <w:sz w:val="28"/>
        </w:rPr>
        <w:t>3）油气回收接卸油操作规程</w:t>
      </w:r>
    </w:p>
    <w:p>
      <w:pPr>
        <w:spacing w:line="560" w:lineRule="exact"/>
        <w:ind w:firstLine="560" w:firstLineChars="200"/>
        <w:jc w:val="both"/>
        <w:rPr>
          <w:rFonts w:hint="eastAsia" w:ascii="宋体" w:hAnsi="宋体" w:eastAsia="宋体" w:cs="宋体"/>
        </w:rPr>
      </w:pPr>
      <w:r>
        <w:rPr>
          <w:rFonts w:hint="eastAsia" w:ascii="宋体" w:hAnsi="宋体" w:eastAsia="宋体" w:cs="宋体"/>
          <w:sz w:val="28"/>
        </w:rPr>
        <w:t>计量员通知加油员关闭与卸油油罐连接的加油机，暂停加油作业。油罐车司机连接卸油管和回气管，连接回气管时，首先连接油罐车端，再接加油站油罐端。计量员确认卸油管所连接的卸油口与接卸油罐对应。计量员关闭汽油油罐吸呼管卸油球阀，其位于安装PV阀（真空压力帽）通气管上，靠近PV阀端。油罐车司机首先开启油罐车回气管阀门，再由计量员依次开启加油站油罐回气管阀门、油罐卸油口阀门。油罐车司机和计量员共同确认各管线和接口连接正确、紧密，胶管自然弯曲，各处阀门启闭无误后，由油罐车司机缓慢开启油罐车卸油口阀门，卸油。卸油过程中，油罐车司机和计量员必须在场监护。重点检查各连接接口有无渗漏现象、回气管内是否有油品向油罐车方向反流或无法卸入现象。发现异常现象，依次由油罐车司机关闭油罐车卸油口阀门，计量员关闭加油站油罐卸油口、（加油站油罐回气管阀门），油罐车司机关闭油罐车回气管阀门。操作完成后，由计量员打开加油站汽油油罐通气口主球阀。共同分析故障原因，排除故障。在故障没有排除前，不得继续进行油品接卸操作。对于故障原因不明或故障无法排除的情况，及时上报，联系专业人员排除故障。确认油品卸净后，依次由油罐车司机关闭油罐车卸油口阀门，计量员关闭加油站油罐卸油口、加油站油罐回气管阀门，油罐车司机关闭油罐车回气管阀门。操作完成后，由计量员打开加油站汽油油罐呼吸管卸油球阀。油罐车司机拆卸卸油管和回气管。拆卸回气管时，首先拆除加油站油罐端（回气阀门为自动阀，未拆除前处于开启状态），再拆除油罐车端。计量员检查油气回收阀门、油罐卸油口阀门是否渗漏。</w:t>
      </w:r>
    </w:p>
    <w:p>
      <w:pPr>
        <w:pStyle w:val="3"/>
        <w:tabs>
          <w:tab w:val="left" w:pos="3119"/>
        </w:tabs>
        <w:spacing w:before="240" w:beforeLines="100" w:after="240" w:afterLines="100"/>
        <w:ind w:firstLine="0"/>
        <w:jc w:val="center"/>
        <w:rPr>
          <w:rFonts w:hint="eastAsia" w:ascii="宋体" w:hAnsi="宋体" w:eastAsia="宋体" w:cs="宋体"/>
          <w:b/>
          <w:bCs/>
          <w:lang w:val="en-US"/>
        </w:rPr>
      </w:pPr>
      <w:bookmarkStart w:id="189" w:name="_Toc3859"/>
      <w:bookmarkStart w:id="190" w:name="_Toc7310_WPSOffice_Level2"/>
      <w:bookmarkStart w:id="191" w:name="_Toc3405"/>
      <w:bookmarkStart w:id="192" w:name="_Toc14823"/>
      <w:bookmarkStart w:id="193" w:name="_Toc9592_WPSOffice_Level2"/>
      <w:bookmarkStart w:id="194" w:name="_Toc11517_WPSOffice_Level2"/>
      <w:r>
        <w:rPr>
          <w:rFonts w:hint="eastAsia" w:ascii="宋体" w:hAnsi="宋体" w:eastAsia="宋体" w:cs="宋体"/>
          <w:b/>
          <w:bCs/>
          <w:lang w:val="en-US"/>
        </w:rPr>
        <w:t>2.5 主要设施、设备</w:t>
      </w:r>
      <w:bookmarkEnd w:id="189"/>
      <w:bookmarkEnd w:id="190"/>
      <w:bookmarkEnd w:id="191"/>
      <w:bookmarkEnd w:id="192"/>
      <w:bookmarkEnd w:id="193"/>
      <w:bookmarkEnd w:id="194"/>
    </w:p>
    <w:p>
      <w:pPr>
        <w:pStyle w:val="6"/>
        <w:ind w:left="2199"/>
        <w:rPr>
          <w:rFonts w:hint="eastAsia" w:ascii="宋体" w:hAnsi="宋体" w:eastAsia="宋体" w:cs="宋体"/>
          <w:sz w:val="28"/>
          <w:szCs w:val="28"/>
        </w:rPr>
      </w:pPr>
      <w:bookmarkStart w:id="195" w:name="_Hlk531600979"/>
      <w:bookmarkStart w:id="196" w:name="_Hlk531003141"/>
      <w:r>
        <w:rPr>
          <w:rFonts w:hint="eastAsia" w:ascii="宋体" w:hAnsi="宋体" w:eastAsia="宋体" w:cs="宋体"/>
          <w:sz w:val="28"/>
          <w:szCs w:val="28"/>
        </w:rPr>
        <w:t xml:space="preserve">表2.5-1 </w:t>
      </w:r>
      <w:r>
        <w:rPr>
          <w:rFonts w:hint="eastAsia" w:ascii="宋体" w:hAnsi="宋体" w:eastAsia="宋体" w:cs="宋体"/>
          <w:sz w:val="28"/>
          <w:szCs w:val="28"/>
          <w:lang w:eastAsia="zh-CN"/>
        </w:rPr>
        <w:t>横坑加油站</w:t>
      </w:r>
      <w:r>
        <w:rPr>
          <w:rFonts w:hint="eastAsia" w:ascii="宋体" w:hAnsi="宋体" w:eastAsia="宋体" w:cs="宋体"/>
          <w:sz w:val="28"/>
          <w:szCs w:val="28"/>
        </w:rPr>
        <w:t>主要设施、设备情况表</w:t>
      </w:r>
    </w:p>
    <w:bookmarkEnd w:id="195"/>
    <w:bookmarkEnd w:id="196"/>
    <w:tbl>
      <w:tblPr>
        <w:tblStyle w:val="15"/>
        <w:tblW w:w="0" w:type="auto"/>
        <w:jc w:val="center"/>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Layout w:type="fixed"/>
        <w:tblCellMar>
          <w:top w:w="0" w:type="dxa"/>
          <w:left w:w="108" w:type="dxa"/>
          <w:bottom w:w="0" w:type="dxa"/>
          <w:right w:w="108" w:type="dxa"/>
        </w:tblCellMar>
      </w:tblPr>
      <w:tblGrid>
        <w:gridCol w:w="744"/>
        <w:gridCol w:w="1986"/>
        <w:gridCol w:w="1493"/>
        <w:gridCol w:w="2225"/>
        <w:gridCol w:w="745"/>
        <w:gridCol w:w="1967"/>
      </w:tblGrid>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434" w:hRule="exact"/>
          <w:tblHeader/>
          <w:jc w:val="center"/>
        </w:trPr>
        <w:tc>
          <w:tcPr>
            <w:tcW w:w="744"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right="0"/>
              <w:jc w:val="center"/>
              <w:textAlignment w:val="auto"/>
              <w:rPr>
                <w:rFonts w:hint="eastAsia" w:ascii="宋体" w:hAnsi="宋体" w:eastAsia="宋体" w:cs="宋体"/>
                <w:b/>
                <w:bCs/>
                <w:kern w:val="2"/>
                <w:sz w:val="21"/>
                <w:szCs w:val="21"/>
              </w:rPr>
            </w:pPr>
            <w:bookmarkStart w:id="197" w:name="_Toc14558_WPSOffice_Level2"/>
            <w:bookmarkStart w:id="198" w:name="_Toc25945"/>
            <w:bookmarkStart w:id="199" w:name="_Toc5139"/>
            <w:bookmarkStart w:id="200" w:name="_Toc17456_WPSOffice_Level2"/>
            <w:bookmarkStart w:id="201" w:name="_Toc13303_WPSOffice_Level2"/>
            <w:r>
              <w:rPr>
                <w:rFonts w:hint="eastAsia" w:ascii="宋体" w:hAnsi="宋体" w:eastAsia="宋体" w:cs="宋体"/>
                <w:b/>
                <w:bCs/>
                <w:kern w:val="2"/>
                <w:sz w:val="21"/>
                <w:szCs w:val="21"/>
              </w:rPr>
              <w:t>序号</w:t>
            </w:r>
          </w:p>
        </w:tc>
        <w:tc>
          <w:tcPr>
            <w:tcW w:w="1986"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right="0"/>
              <w:jc w:val="center"/>
              <w:textAlignment w:val="auto"/>
              <w:rPr>
                <w:rFonts w:hint="eastAsia" w:ascii="宋体" w:hAnsi="宋体" w:eastAsia="宋体" w:cs="宋体"/>
                <w:b/>
                <w:bCs/>
                <w:kern w:val="2"/>
                <w:sz w:val="21"/>
                <w:szCs w:val="21"/>
              </w:rPr>
            </w:pPr>
            <w:r>
              <w:rPr>
                <w:rFonts w:hint="eastAsia" w:ascii="宋体" w:hAnsi="宋体" w:eastAsia="宋体" w:cs="宋体"/>
                <w:b/>
                <w:bCs/>
                <w:kern w:val="2"/>
                <w:sz w:val="21"/>
                <w:szCs w:val="21"/>
              </w:rPr>
              <w:t>名称</w:t>
            </w:r>
          </w:p>
        </w:tc>
        <w:tc>
          <w:tcPr>
            <w:tcW w:w="1493"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right="0"/>
              <w:jc w:val="center"/>
              <w:textAlignment w:val="auto"/>
              <w:rPr>
                <w:rFonts w:hint="eastAsia" w:ascii="宋体" w:hAnsi="宋体" w:eastAsia="宋体" w:cs="宋体"/>
                <w:b/>
                <w:bCs/>
                <w:kern w:val="2"/>
                <w:sz w:val="21"/>
                <w:szCs w:val="21"/>
              </w:rPr>
            </w:pPr>
            <w:r>
              <w:rPr>
                <w:rFonts w:hint="eastAsia" w:ascii="宋体" w:hAnsi="宋体" w:eastAsia="宋体" w:cs="宋体"/>
                <w:b/>
                <w:bCs/>
                <w:kern w:val="2"/>
                <w:sz w:val="21"/>
                <w:szCs w:val="21"/>
              </w:rPr>
              <w:t>型号、规格</w:t>
            </w:r>
          </w:p>
        </w:tc>
        <w:tc>
          <w:tcPr>
            <w:tcW w:w="2225"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right="0"/>
              <w:jc w:val="center"/>
              <w:textAlignment w:val="auto"/>
              <w:rPr>
                <w:rFonts w:hint="eastAsia" w:ascii="宋体" w:hAnsi="宋体" w:eastAsia="宋体" w:cs="宋体"/>
                <w:b/>
                <w:bCs/>
                <w:kern w:val="2"/>
                <w:sz w:val="21"/>
                <w:szCs w:val="21"/>
              </w:rPr>
            </w:pPr>
            <w:r>
              <w:rPr>
                <w:rFonts w:hint="eastAsia" w:ascii="宋体" w:hAnsi="宋体" w:eastAsia="宋体" w:cs="宋体"/>
                <w:b/>
                <w:bCs/>
                <w:kern w:val="2"/>
                <w:sz w:val="21"/>
                <w:szCs w:val="21"/>
              </w:rPr>
              <w:t>材质</w:t>
            </w:r>
          </w:p>
        </w:tc>
        <w:tc>
          <w:tcPr>
            <w:tcW w:w="745"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right="0"/>
              <w:jc w:val="center"/>
              <w:textAlignment w:val="auto"/>
              <w:rPr>
                <w:rFonts w:hint="eastAsia" w:ascii="宋体" w:hAnsi="宋体" w:eastAsia="宋体" w:cs="宋体"/>
                <w:b/>
                <w:bCs/>
                <w:kern w:val="2"/>
                <w:sz w:val="21"/>
                <w:szCs w:val="21"/>
              </w:rPr>
            </w:pPr>
            <w:r>
              <w:rPr>
                <w:rFonts w:hint="eastAsia" w:ascii="宋体" w:hAnsi="宋体" w:eastAsia="宋体" w:cs="宋体"/>
                <w:b/>
                <w:bCs/>
                <w:kern w:val="2"/>
                <w:sz w:val="21"/>
                <w:szCs w:val="21"/>
              </w:rPr>
              <w:t>数量</w:t>
            </w:r>
          </w:p>
        </w:tc>
        <w:tc>
          <w:tcPr>
            <w:tcW w:w="1967"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right="0"/>
              <w:jc w:val="center"/>
              <w:textAlignment w:val="auto"/>
              <w:rPr>
                <w:rFonts w:hint="eastAsia" w:ascii="宋体" w:hAnsi="宋体" w:eastAsia="宋体" w:cs="宋体"/>
                <w:b/>
                <w:bCs/>
                <w:kern w:val="2"/>
                <w:sz w:val="21"/>
                <w:szCs w:val="21"/>
              </w:rPr>
            </w:pPr>
            <w:r>
              <w:rPr>
                <w:rFonts w:hint="eastAsia" w:ascii="宋体" w:hAnsi="宋体" w:eastAsia="宋体" w:cs="宋体"/>
                <w:b/>
                <w:bCs/>
                <w:kern w:val="2"/>
                <w:sz w:val="21"/>
                <w:szCs w:val="21"/>
              </w:rPr>
              <w:t>备注</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344" w:hRule="exact"/>
          <w:jc w:val="center"/>
        </w:trPr>
        <w:tc>
          <w:tcPr>
            <w:tcW w:w="744"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right="0"/>
              <w:jc w:val="center"/>
              <w:textAlignment w:val="auto"/>
              <w:rPr>
                <w:rFonts w:hint="eastAsia" w:ascii="宋体" w:hAnsi="宋体" w:eastAsia="宋体" w:cs="宋体"/>
                <w:kern w:val="2"/>
                <w:sz w:val="21"/>
                <w:szCs w:val="21"/>
              </w:rPr>
            </w:pPr>
            <w:r>
              <w:rPr>
                <w:rFonts w:hint="eastAsia" w:ascii="宋体" w:hAnsi="宋体" w:eastAsia="宋体" w:cs="宋体"/>
                <w:kern w:val="2"/>
                <w:sz w:val="21"/>
                <w:szCs w:val="21"/>
              </w:rPr>
              <w:t>1</w:t>
            </w:r>
          </w:p>
        </w:tc>
        <w:tc>
          <w:tcPr>
            <w:tcW w:w="1986"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right="0"/>
              <w:jc w:val="center"/>
              <w:textAlignment w:val="auto"/>
              <w:rPr>
                <w:rFonts w:hint="eastAsia" w:ascii="宋体" w:hAnsi="宋体" w:eastAsia="宋体" w:cs="宋体"/>
                <w:kern w:val="2"/>
                <w:sz w:val="21"/>
                <w:szCs w:val="21"/>
                <w:lang w:eastAsia="zh-CN"/>
              </w:rPr>
            </w:pPr>
            <w:r>
              <w:rPr>
                <w:rFonts w:hint="eastAsia" w:ascii="宋体" w:hAnsi="宋体" w:eastAsia="宋体" w:cs="宋体"/>
                <w:kern w:val="2"/>
                <w:sz w:val="21"/>
                <w:szCs w:val="21"/>
              </w:rPr>
              <w:t>汽油罐</w:t>
            </w:r>
            <w:r>
              <w:rPr>
                <w:rFonts w:hint="eastAsia" w:ascii="宋体" w:hAnsi="宋体" w:eastAsia="宋体" w:cs="宋体"/>
                <w:kern w:val="2"/>
                <w:sz w:val="21"/>
                <w:szCs w:val="21"/>
                <w:lang w:eastAsia="zh-CN"/>
              </w:rPr>
              <w:t>（</w:t>
            </w:r>
            <w:r>
              <w:rPr>
                <w:rFonts w:hint="eastAsia" w:ascii="宋体" w:hAnsi="宋体" w:eastAsia="宋体" w:cs="宋体"/>
                <w:kern w:val="2"/>
                <w:sz w:val="21"/>
                <w:szCs w:val="21"/>
                <w:lang w:val="en-US" w:eastAsia="zh-CN"/>
              </w:rPr>
              <w:t>92#</w:t>
            </w:r>
            <w:r>
              <w:rPr>
                <w:rFonts w:hint="eastAsia" w:ascii="宋体" w:hAnsi="宋体" w:eastAsia="宋体" w:cs="宋体"/>
                <w:kern w:val="2"/>
                <w:sz w:val="21"/>
                <w:szCs w:val="21"/>
                <w:lang w:eastAsia="zh-CN"/>
              </w:rPr>
              <w:t>）</w:t>
            </w:r>
          </w:p>
        </w:tc>
        <w:tc>
          <w:tcPr>
            <w:tcW w:w="1493"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right="0"/>
              <w:jc w:val="center"/>
              <w:textAlignment w:val="auto"/>
              <w:rPr>
                <w:rFonts w:hint="eastAsia" w:ascii="宋体" w:hAnsi="宋体" w:eastAsia="宋体" w:cs="宋体"/>
                <w:kern w:val="2"/>
                <w:sz w:val="21"/>
                <w:szCs w:val="21"/>
              </w:rPr>
            </w:pPr>
            <w:r>
              <w:rPr>
                <w:rFonts w:hint="eastAsia" w:ascii="宋体" w:hAnsi="宋体" w:eastAsia="宋体" w:cs="宋体"/>
                <w:kern w:val="2"/>
                <w:sz w:val="21"/>
                <w:szCs w:val="21"/>
                <w:lang w:val="en-US" w:eastAsia="zh-CN"/>
              </w:rPr>
              <w:t>5</w:t>
            </w:r>
            <w:r>
              <w:rPr>
                <w:rFonts w:hint="eastAsia" w:ascii="宋体" w:hAnsi="宋体" w:eastAsia="宋体" w:cs="宋体"/>
                <w:kern w:val="2"/>
                <w:sz w:val="21"/>
                <w:szCs w:val="21"/>
              </w:rPr>
              <w:t>0m</w:t>
            </w:r>
            <w:r>
              <w:rPr>
                <w:rFonts w:hint="eastAsia" w:ascii="宋体" w:hAnsi="宋体" w:eastAsia="宋体" w:cs="宋体"/>
                <w:kern w:val="2"/>
                <w:sz w:val="21"/>
                <w:szCs w:val="21"/>
                <w:vertAlign w:val="superscript"/>
              </w:rPr>
              <w:t>3</w:t>
            </w:r>
          </w:p>
        </w:tc>
        <w:tc>
          <w:tcPr>
            <w:tcW w:w="2225"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right="0"/>
              <w:jc w:val="center"/>
              <w:textAlignment w:val="auto"/>
              <w:rPr>
                <w:rFonts w:hint="eastAsia" w:ascii="宋体" w:hAnsi="宋体" w:eastAsia="宋体" w:cs="宋体"/>
                <w:kern w:val="2"/>
                <w:sz w:val="21"/>
                <w:szCs w:val="21"/>
              </w:rPr>
            </w:pPr>
            <w:r>
              <w:rPr>
                <w:rFonts w:hint="eastAsia" w:ascii="宋体" w:hAnsi="宋体" w:eastAsia="宋体" w:cs="宋体"/>
                <w:kern w:val="2"/>
                <w:sz w:val="21"/>
                <w:szCs w:val="21"/>
              </w:rPr>
              <w:t>SF双层油罐</w:t>
            </w:r>
          </w:p>
        </w:tc>
        <w:tc>
          <w:tcPr>
            <w:tcW w:w="745"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right="0"/>
              <w:jc w:val="center"/>
              <w:textAlignment w:val="auto"/>
              <w:rPr>
                <w:rFonts w:hint="eastAsia" w:ascii="宋体" w:hAnsi="宋体" w:eastAsia="宋体" w:cs="宋体"/>
                <w:kern w:val="2"/>
                <w:sz w:val="21"/>
                <w:szCs w:val="21"/>
              </w:rPr>
            </w:pPr>
            <w:r>
              <w:rPr>
                <w:rFonts w:hint="eastAsia" w:ascii="宋体" w:hAnsi="宋体" w:eastAsia="宋体" w:cs="宋体"/>
                <w:kern w:val="2"/>
                <w:sz w:val="21"/>
                <w:szCs w:val="21"/>
              </w:rPr>
              <w:t>1台</w:t>
            </w:r>
          </w:p>
        </w:tc>
        <w:tc>
          <w:tcPr>
            <w:tcW w:w="1967"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right="0"/>
              <w:jc w:val="center"/>
              <w:textAlignment w:val="auto"/>
              <w:rPr>
                <w:rFonts w:hint="eastAsia" w:ascii="宋体" w:hAnsi="宋体" w:eastAsia="宋体" w:cs="宋体"/>
                <w:kern w:val="2"/>
                <w:sz w:val="21"/>
                <w:szCs w:val="21"/>
              </w:rPr>
            </w:pPr>
            <w:r>
              <w:rPr>
                <w:rFonts w:hint="eastAsia" w:ascii="宋体" w:hAnsi="宋体" w:eastAsia="宋体" w:cs="宋体"/>
                <w:kern w:val="2"/>
                <w:sz w:val="21"/>
                <w:szCs w:val="21"/>
              </w:rPr>
              <w:t>埋地设置，SF双层</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344" w:hRule="exact"/>
          <w:jc w:val="center"/>
        </w:trPr>
        <w:tc>
          <w:tcPr>
            <w:tcW w:w="744"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right="0"/>
              <w:jc w:val="center"/>
              <w:textAlignment w:val="auto"/>
              <w:rPr>
                <w:rFonts w:hint="eastAsia" w:ascii="宋体" w:hAnsi="宋体" w:eastAsia="宋体" w:cs="宋体"/>
                <w:kern w:val="2"/>
                <w:sz w:val="21"/>
                <w:szCs w:val="21"/>
              </w:rPr>
            </w:pPr>
            <w:r>
              <w:rPr>
                <w:rFonts w:hint="eastAsia" w:ascii="宋体" w:hAnsi="宋体" w:eastAsia="宋体" w:cs="宋体"/>
                <w:kern w:val="2"/>
                <w:sz w:val="21"/>
                <w:szCs w:val="21"/>
              </w:rPr>
              <w:t>2</w:t>
            </w:r>
          </w:p>
        </w:tc>
        <w:tc>
          <w:tcPr>
            <w:tcW w:w="1986"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right="0"/>
              <w:jc w:val="center"/>
              <w:textAlignment w:val="auto"/>
              <w:rPr>
                <w:rFonts w:hint="eastAsia" w:ascii="宋体" w:hAnsi="宋体" w:eastAsia="宋体" w:cs="宋体"/>
                <w:kern w:val="2"/>
                <w:sz w:val="21"/>
                <w:szCs w:val="21"/>
              </w:rPr>
            </w:pPr>
            <w:r>
              <w:rPr>
                <w:rFonts w:hint="eastAsia" w:ascii="宋体" w:hAnsi="宋体" w:eastAsia="宋体" w:cs="宋体"/>
                <w:kern w:val="2"/>
                <w:sz w:val="21"/>
                <w:szCs w:val="21"/>
              </w:rPr>
              <w:t>汽油罐</w:t>
            </w:r>
            <w:r>
              <w:rPr>
                <w:rFonts w:hint="eastAsia" w:ascii="宋体" w:hAnsi="宋体" w:eastAsia="宋体" w:cs="宋体"/>
                <w:kern w:val="2"/>
                <w:sz w:val="21"/>
                <w:szCs w:val="21"/>
                <w:lang w:eastAsia="zh-CN"/>
              </w:rPr>
              <w:t>（</w:t>
            </w:r>
            <w:r>
              <w:rPr>
                <w:rFonts w:hint="eastAsia" w:ascii="宋体" w:hAnsi="宋体" w:eastAsia="宋体" w:cs="宋体"/>
                <w:kern w:val="2"/>
                <w:sz w:val="21"/>
                <w:szCs w:val="21"/>
                <w:lang w:val="en-US" w:eastAsia="zh-CN"/>
              </w:rPr>
              <w:t>95#</w:t>
            </w:r>
            <w:r>
              <w:rPr>
                <w:rFonts w:hint="eastAsia" w:ascii="宋体" w:hAnsi="宋体" w:eastAsia="宋体" w:cs="宋体"/>
                <w:kern w:val="2"/>
                <w:sz w:val="21"/>
                <w:szCs w:val="21"/>
                <w:lang w:eastAsia="zh-CN"/>
              </w:rPr>
              <w:t>）</w:t>
            </w:r>
          </w:p>
        </w:tc>
        <w:tc>
          <w:tcPr>
            <w:tcW w:w="1493"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right="0"/>
              <w:jc w:val="center"/>
              <w:textAlignment w:val="auto"/>
              <w:rPr>
                <w:rFonts w:hint="eastAsia" w:ascii="宋体" w:hAnsi="宋体" w:eastAsia="宋体" w:cs="宋体"/>
                <w:kern w:val="2"/>
                <w:sz w:val="21"/>
                <w:szCs w:val="21"/>
              </w:rPr>
            </w:pPr>
            <w:r>
              <w:rPr>
                <w:rFonts w:hint="eastAsia" w:ascii="宋体" w:hAnsi="宋体" w:eastAsia="宋体" w:cs="宋体"/>
                <w:kern w:val="2"/>
                <w:sz w:val="21"/>
                <w:szCs w:val="21"/>
              </w:rPr>
              <w:t>30m</w:t>
            </w:r>
            <w:r>
              <w:rPr>
                <w:rFonts w:hint="eastAsia" w:ascii="宋体" w:hAnsi="宋体" w:eastAsia="宋体" w:cs="宋体"/>
                <w:kern w:val="2"/>
                <w:sz w:val="21"/>
                <w:szCs w:val="21"/>
                <w:vertAlign w:val="superscript"/>
              </w:rPr>
              <w:t>3</w:t>
            </w:r>
          </w:p>
        </w:tc>
        <w:tc>
          <w:tcPr>
            <w:tcW w:w="2225"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right="0"/>
              <w:jc w:val="center"/>
              <w:textAlignment w:val="auto"/>
              <w:rPr>
                <w:rFonts w:hint="eastAsia" w:ascii="宋体" w:hAnsi="宋体" w:eastAsia="宋体" w:cs="宋体"/>
                <w:kern w:val="2"/>
                <w:sz w:val="21"/>
                <w:szCs w:val="21"/>
              </w:rPr>
            </w:pPr>
            <w:r>
              <w:rPr>
                <w:rFonts w:hint="eastAsia" w:ascii="宋体" w:hAnsi="宋体" w:eastAsia="宋体" w:cs="宋体"/>
                <w:kern w:val="2"/>
                <w:sz w:val="21"/>
                <w:szCs w:val="21"/>
              </w:rPr>
              <w:t>SF双层油罐</w:t>
            </w:r>
          </w:p>
        </w:tc>
        <w:tc>
          <w:tcPr>
            <w:tcW w:w="745"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right="0"/>
              <w:jc w:val="center"/>
              <w:textAlignment w:val="auto"/>
              <w:rPr>
                <w:rFonts w:hint="eastAsia" w:ascii="宋体" w:hAnsi="宋体" w:eastAsia="宋体" w:cs="宋体"/>
                <w:kern w:val="2"/>
                <w:sz w:val="21"/>
                <w:szCs w:val="21"/>
              </w:rPr>
            </w:pPr>
            <w:r>
              <w:rPr>
                <w:rFonts w:hint="eastAsia" w:ascii="宋体" w:hAnsi="宋体" w:eastAsia="宋体" w:cs="宋体"/>
                <w:kern w:val="2"/>
                <w:sz w:val="21"/>
                <w:szCs w:val="21"/>
              </w:rPr>
              <w:t>1台</w:t>
            </w:r>
          </w:p>
        </w:tc>
        <w:tc>
          <w:tcPr>
            <w:tcW w:w="1967"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right="0"/>
              <w:jc w:val="center"/>
              <w:textAlignment w:val="auto"/>
              <w:rPr>
                <w:rFonts w:hint="eastAsia" w:ascii="宋体" w:hAnsi="宋体" w:eastAsia="宋体" w:cs="宋体"/>
                <w:kern w:val="2"/>
                <w:sz w:val="21"/>
                <w:szCs w:val="21"/>
              </w:rPr>
            </w:pPr>
            <w:r>
              <w:rPr>
                <w:rFonts w:hint="eastAsia" w:ascii="宋体" w:hAnsi="宋体" w:eastAsia="宋体" w:cs="宋体"/>
                <w:kern w:val="2"/>
                <w:sz w:val="21"/>
                <w:szCs w:val="21"/>
              </w:rPr>
              <w:t>埋地设置，SF双层</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344" w:hRule="exact"/>
          <w:jc w:val="center"/>
        </w:trPr>
        <w:tc>
          <w:tcPr>
            <w:tcW w:w="744"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right="0"/>
              <w:jc w:val="center"/>
              <w:textAlignment w:val="auto"/>
              <w:rPr>
                <w:rFonts w:hint="eastAsia" w:ascii="宋体" w:hAnsi="宋体" w:eastAsia="宋体" w:cs="宋体"/>
                <w:kern w:val="2"/>
                <w:sz w:val="21"/>
                <w:szCs w:val="21"/>
              </w:rPr>
            </w:pPr>
            <w:r>
              <w:rPr>
                <w:rFonts w:hint="eastAsia" w:ascii="宋体" w:hAnsi="宋体" w:eastAsia="宋体" w:cs="宋体"/>
                <w:kern w:val="2"/>
                <w:sz w:val="21"/>
                <w:szCs w:val="21"/>
              </w:rPr>
              <w:t>3</w:t>
            </w:r>
          </w:p>
        </w:tc>
        <w:tc>
          <w:tcPr>
            <w:tcW w:w="1986"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right="0"/>
              <w:jc w:val="center"/>
              <w:textAlignment w:val="auto"/>
              <w:rPr>
                <w:rFonts w:hint="eastAsia" w:ascii="宋体" w:hAnsi="宋体" w:eastAsia="宋体" w:cs="宋体"/>
                <w:kern w:val="2"/>
                <w:sz w:val="21"/>
                <w:szCs w:val="21"/>
              </w:rPr>
            </w:pPr>
            <w:r>
              <w:rPr>
                <w:rFonts w:hint="eastAsia" w:ascii="宋体" w:hAnsi="宋体" w:eastAsia="宋体" w:cs="宋体"/>
                <w:kern w:val="2"/>
                <w:sz w:val="21"/>
                <w:szCs w:val="21"/>
              </w:rPr>
              <w:t>汽油罐</w:t>
            </w:r>
            <w:r>
              <w:rPr>
                <w:rFonts w:hint="eastAsia" w:ascii="宋体" w:hAnsi="宋体" w:eastAsia="宋体" w:cs="宋体"/>
                <w:kern w:val="2"/>
                <w:sz w:val="21"/>
                <w:szCs w:val="21"/>
                <w:lang w:eastAsia="zh-CN"/>
              </w:rPr>
              <w:t>（</w:t>
            </w:r>
            <w:r>
              <w:rPr>
                <w:rFonts w:hint="eastAsia" w:ascii="宋体" w:hAnsi="宋体" w:eastAsia="宋体" w:cs="宋体"/>
                <w:kern w:val="2"/>
                <w:sz w:val="21"/>
                <w:szCs w:val="21"/>
                <w:lang w:val="en-US" w:eastAsia="zh-CN"/>
              </w:rPr>
              <w:t>98#</w:t>
            </w:r>
            <w:r>
              <w:rPr>
                <w:rFonts w:hint="eastAsia" w:ascii="宋体" w:hAnsi="宋体" w:eastAsia="宋体" w:cs="宋体"/>
                <w:kern w:val="2"/>
                <w:sz w:val="21"/>
                <w:szCs w:val="21"/>
                <w:lang w:eastAsia="zh-CN"/>
              </w:rPr>
              <w:t>）</w:t>
            </w:r>
          </w:p>
        </w:tc>
        <w:tc>
          <w:tcPr>
            <w:tcW w:w="1493"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right="0"/>
              <w:jc w:val="center"/>
              <w:textAlignment w:val="auto"/>
              <w:rPr>
                <w:rFonts w:hint="eastAsia" w:ascii="宋体" w:hAnsi="宋体" w:eastAsia="宋体" w:cs="宋体"/>
                <w:kern w:val="2"/>
                <w:sz w:val="21"/>
                <w:szCs w:val="21"/>
              </w:rPr>
            </w:pPr>
            <w:r>
              <w:rPr>
                <w:rFonts w:hint="eastAsia" w:ascii="宋体" w:hAnsi="宋体" w:eastAsia="宋体" w:cs="宋体"/>
                <w:kern w:val="2"/>
                <w:sz w:val="21"/>
                <w:szCs w:val="21"/>
                <w:lang w:val="en-US" w:eastAsia="zh-CN"/>
              </w:rPr>
              <w:t>15</w:t>
            </w:r>
            <w:r>
              <w:rPr>
                <w:rFonts w:hint="eastAsia" w:ascii="宋体" w:hAnsi="宋体" w:eastAsia="宋体" w:cs="宋体"/>
                <w:kern w:val="2"/>
                <w:sz w:val="21"/>
                <w:szCs w:val="21"/>
              </w:rPr>
              <w:t>m</w:t>
            </w:r>
            <w:r>
              <w:rPr>
                <w:rFonts w:hint="eastAsia" w:ascii="宋体" w:hAnsi="宋体" w:eastAsia="宋体" w:cs="宋体"/>
                <w:kern w:val="2"/>
                <w:sz w:val="21"/>
                <w:szCs w:val="21"/>
                <w:vertAlign w:val="superscript"/>
              </w:rPr>
              <w:t>3</w:t>
            </w:r>
          </w:p>
        </w:tc>
        <w:tc>
          <w:tcPr>
            <w:tcW w:w="2225"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right="0"/>
              <w:jc w:val="center"/>
              <w:textAlignment w:val="auto"/>
              <w:rPr>
                <w:rFonts w:hint="eastAsia" w:ascii="宋体" w:hAnsi="宋体" w:eastAsia="宋体" w:cs="宋体"/>
                <w:kern w:val="2"/>
                <w:sz w:val="21"/>
                <w:szCs w:val="21"/>
              </w:rPr>
            </w:pPr>
            <w:r>
              <w:rPr>
                <w:rFonts w:hint="eastAsia" w:ascii="宋体" w:hAnsi="宋体" w:eastAsia="宋体" w:cs="宋体"/>
                <w:kern w:val="2"/>
                <w:sz w:val="21"/>
                <w:szCs w:val="21"/>
              </w:rPr>
              <w:t>SF双层油罐</w:t>
            </w:r>
          </w:p>
        </w:tc>
        <w:tc>
          <w:tcPr>
            <w:tcW w:w="745"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right="0"/>
              <w:jc w:val="center"/>
              <w:textAlignment w:val="auto"/>
              <w:rPr>
                <w:rFonts w:hint="eastAsia" w:ascii="宋体" w:hAnsi="宋体" w:eastAsia="宋体" w:cs="宋体"/>
                <w:kern w:val="2"/>
                <w:sz w:val="21"/>
                <w:szCs w:val="21"/>
              </w:rPr>
            </w:pPr>
            <w:r>
              <w:rPr>
                <w:rFonts w:hint="eastAsia" w:ascii="宋体" w:hAnsi="宋体" w:eastAsia="宋体" w:cs="宋体"/>
                <w:kern w:val="2"/>
                <w:sz w:val="21"/>
                <w:szCs w:val="21"/>
                <w:lang w:val="en-US" w:eastAsia="zh-CN"/>
              </w:rPr>
              <w:t>1</w:t>
            </w:r>
            <w:r>
              <w:rPr>
                <w:rFonts w:hint="eastAsia" w:ascii="宋体" w:hAnsi="宋体" w:eastAsia="宋体" w:cs="宋体"/>
                <w:kern w:val="2"/>
                <w:sz w:val="21"/>
                <w:szCs w:val="21"/>
              </w:rPr>
              <w:t>台</w:t>
            </w:r>
          </w:p>
        </w:tc>
        <w:tc>
          <w:tcPr>
            <w:tcW w:w="1967"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right="0"/>
              <w:jc w:val="center"/>
              <w:textAlignment w:val="auto"/>
              <w:rPr>
                <w:rFonts w:hint="eastAsia" w:ascii="宋体" w:hAnsi="宋体" w:eastAsia="宋体" w:cs="宋体"/>
                <w:kern w:val="2"/>
                <w:sz w:val="21"/>
                <w:szCs w:val="21"/>
              </w:rPr>
            </w:pPr>
            <w:r>
              <w:rPr>
                <w:rFonts w:hint="eastAsia" w:ascii="宋体" w:hAnsi="宋体" w:eastAsia="宋体" w:cs="宋体"/>
                <w:kern w:val="2"/>
                <w:sz w:val="21"/>
                <w:szCs w:val="21"/>
              </w:rPr>
              <w:t>埋地设置，SF双层</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310" w:hRule="exact"/>
          <w:jc w:val="center"/>
        </w:trPr>
        <w:tc>
          <w:tcPr>
            <w:tcW w:w="744"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right="0"/>
              <w:jc w:val="center"/>
              <w:textAlignment w:val="auto"/>
              <w:rPr>
                <w:rFonts w:hint="eastAsia" w:ascii="宋体" w:hAnsi="宋体" w:eastAsia="宋体" w:cs="宋体"/>
                <w:kern w:val="2"/>
                <w:sz w:val="21"/>
                <w:szCs w:val="21"/>
              </w:rPr>
            </w:pPr>
            <w:r>
              <w:rPr>
                <w:rFonts w:hint="eastAsia" w:ascii="宋体" w:hAnsi="宋体" w:eastAsia="宋体" w:cs="宋体"/>
                <w:kern w:val="2"/>
                <w:sz w:val="21"/>
                <w:szCs w:val="21"/>
              </w:rPr>
              <w:t>4</w:t>
            </w:r>
          </w:p>
        </w:tc>
        <w:tc>
          <w:tcPr>
            <w:tcW w:w="1986"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right="0"/>
              <w:jc w:val="center"/>
              <w:textAlignment w:val="auto"/>
              <w:rPr>
                <w:rFonts w:hint="eastAsia" w:ascii="宋体" w:hAnsi="宋体" w:eastAsia="宋体" w:cs="宋体"/>
                <w:kern w:val="2"/>
                <w:sz w:val="21"/>
                <w:szCs w:val="21"/>
              </w:rPr>
            </w:pPr>
            <w:r>
              <w:rPr>
                <w:rFonts w:hint="eastAsia" w:ascii="宋体" w:hAnsi="宋体" w:eastAsia="宋体" w:cs="宋体"/>
                <w:kern w:val="2"/>
                <w:sz w:val="21"/>
                <w:szCs w:val="21"/>
              </w:rPr>
              <w:t>柴油罐</w:t>
            </w:r>
          </w:p>
        </w:tc>
        <w:tc>
          <w:tcPr>
            <w:tcW w:w="1493"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right="0"/>
              <w:jc w:val="center"/>
              <w:textAlignment w:val="auto"/>
              <w:rPr>
                <w:rFonts w:hint="eastAsia" w:ascii="宋体" w:hAnsi="宋体" w:eastAsia="宋体" w:cs="宋体"/>
                <w:kern w:val="2"/>
                <w:sz w:val="21"/>
                <w:szCs w:val="21"/>
              </w:rPr>
            </w:pPr>
            <w:r>
              <w:rPr>
                <w:rFonts w:hint="eastAsia" w:ascii="宋体" w:hAnsi="宋体" w:eastAsia="宋体" w:cs="宋体"/>
                <w:kern w:val="2"/>
                <w:sz w:val="21"/>
                <w:szCs w:val="21"/>
                <w:lang w:val="en-US" w:eastAsia="zh-CN"/>
              </w:rPr>
              <w:t>5</w:t>
            </w:r>
            <w:r>
              <w:rPr>
                <w:rFonts w:hint="eastAsia" w:ascii="宋体" w:hAnsi="宋体" w:eastAsia="宋体" w:cs="宋体"/>
                <w:kern w:val="2"/>
                <w:sz w:val="21"/>
                <w:szCs w:val="21"/>
              </w:rPr>
              <w:t>0m</w:t>
            </w:r>
            <w:r>
              <w:rPr>
                <w:rFonts w:hint="eastAsia" w:ascii="宋体" w:hAnsi="宋体" w:eastAsia="宋体" w:cs="宋体"/>
                <w:kern w:val="2"/>
                <w:sz w:val="21"/>
                <w:szCs w:val="21"/>
                <w:vertAlign w:val="superscript"/>
              </w:rPr>
              <w:t>3</w:t>
            </w:r>
          </w:p>
        </w:tc>
        <w:tc>
          <w:tcPr>
            <w:tcW w:w="2225"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right="0"/>
              <w:jc w:val="center"/>
              <w:textAlignment w:val="auto"/>
              <w:rPr>
                <w:rFonts w:hint="eastAsia" w:ascii="宋体" w:hAnsi="宋体" w:eastAsia="宋体" w:cs="宋体"/>
                <w:kern w:val="2"/>
                <w:sz w:val="21"/>
                <w:szCs w:val="21"/>
              </w:rPr>
            </w:pPr>
            <w:r>
              <w:rPr>
                <w:rFonts w:hint="eastAsia" w:ascii="宋体" w:hAnsi="宋体" w:eastAsia="宋体" w:cs="宋体"/>
                <w:kern w:val="2"/>
                <w:sz w:val="21"/>
                <w:szCs w:val="21"/>
              </w:rPr>
              <w:t>SF双层油罐</w:t>
            </w:r>
          </w:p>
        </w:tc>
        <w:tc>
          <w:tcPr>
            <w:tcW w:w="745"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right="0"/>
              <w:jc w:val="center"/>
              <w:textAlignment w:val="auto"/>
              <w:rPr>
                <w:rFonts w:hint="eastAsia" w:ascii="宋体" w:hAnsi="宋体" w:eastAsia="宋体" w:cs="宋体"/>
                <w:kern w:val="2"/>
                <w:sz w:val="21"/>
                <w:szCs w:val="21"/>
              </w:rPr>
            </w:pPr>
            <w:r>
              <w:rPr>
                <w:rFonts w:hint="eastAsia" w:ascii="宋体" w:hAnsi="宋体" w:eastAsia="宋体" w:cs="宋体"/>
                <w:kern w:val="2"/>
                <w:sz w:val="21"/>
                <w:szCs w:val="21"/>
              </w:rPr>
              <w:t>1台</w:t>
            </w:r>
          </w:p>
        </w:tc>
        <w:tc>
          <w:tcPr>
            <w:tcW w:w="1967"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right="0"/>
              <w:jc w:val="center"/>
              <w:textAlignment w:val="auto"/>
              <w:rPr>
                <w:rFonts w:hint="eastAsia" w:ascii="宋体" w:hAnsi="宋体" w:eastAsia="宋体" w:cs="宋体"/>
                <w:kern w:val="2"/>
                <w:sz w:val="21"/>
                <w:szCs w:val="21"/>
              </w:rPr>
            </w:pPr>
            <w:r>
              <w:rPr>
                <w:rFonts w:hint="eastAsia" w:ascii="宋体" w:hAnsi="宋体" w:eastAsia="宋体" w:cs="宋体"/>
                <w:kern w:val="2"/>
                <w:sz w:val="21"/>
                <w:szCs w:val="21"/>
              </w:rPr>
              <w:t>埋地设置，SF双层</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318" w:hRule="exact"/>
          <w:jc w:val="center"/>
        </w:trPr>
        <w:tc>
          <w:tcPr>
            <w:tcW w:w="744"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right="0"/>
              <w:jc w:val="center"/>
              <w:textAlignment w:val="auto"/>
              <w:rPr>
                <w:rFonts w:hint="eastAsia" w:ascii="宋体" w:hAnsi="宋体" w:eastAsia="宋体" w:cs="宋体"/>
                <w:kern w:val="2"/>
                <w:sz w:val="21"/>
                <w:szCs w:val="21"/>
              </w:rPr>
            </w:pPr>
            <w:r>
              <w:rPr>
                <w:rFonts w:hint="eastAsia" w:ascii="宋体" w:hAnsi="宋体" w:eastAsia="宋体" w:cs="宋体"/>
                <w:kern w:val="2"/>
                <w:sz w:val="21"/>
                <w:szCs w:val="21"/>
              </w:rPr>
              <w:t>5</w:t>
            </w:r>
          </w:p>
        </w:tc>
        <w:tc>
          <w:tcPr>
            <w:tcW w:w="1986"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leftChars="0" w:right="0" w:rightChars="0"/>
              <w:jc w:val="center"/>
              <w:textAlignment w:val="auto"/>
              <w:rPr>
                <w:rFonts w:hint="eastAsia" w:ascii="宋体" w:hAnsi="宋体" w:eastAsia="宋体" w:cs="宋体"/>
                <w:kern w:val="2"/>
                <w:sz w:val="21"/>
                <w:szCs w:val="21"/>
                <w:lang w:val="zh-CN" w:eastAsia="zh-CN" w:bidi="zh-CN"/>
              </w:rPr>
            </w:pPr>
            <w:r>
              <w:rPr>
                <w:rFonts w:hint="eastAsia" w:ascii="宋体" w:hAnsi="宋体" w:eastAsia="宋体" w:cs="宋体"/>
                <w:kern w:val="2"/>
                <w:sz w:val="21"/>
                <w:szCs w:val="21"/>
              </w:rPr>
              <w:t>加油机</w:t>
            </w:r>
          </w:p>
        </w:tc>
        <w:tc>
          <w:tcPr>
            <w:tcW w:w="1493"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leftChars="0" w:right="0" w:rightChars="0"/>
              <w:jc w:val="center"/>
              <w:textAlignment w:val="auto"/>
              <w:rPr>
                <w:rFonts w:hint="eastAsia" w:ascii="宋体" w:hAnsi="宋体" w:eastAsia="宋体" w:cs="宋体"/>
                <w:kern w:val="2"/>
                <w:sz w:val="21"/>
                <w:szCs w:val="21"/>
                <w:lang w:val="zh-CN" w:eastAsia="zh-CN" w:bidi="zh-CN"/>
              </w:rPr>
            </w:pPr>
            <w:r>
              <w:rPr>
                <w:rFonts w:hint="eastAsia" w:ascii="宋体" w:hAnsi="宋体" w:eastAsia="宋体" w:cs="宋体"/>
                <w:kern w:val="2"/>
                <w:sz w:val="21"/>
                <w:szCs w:val="21"/>
              </w:rPr>
              <w:t>——</w:t>
            </w:r>
          </w:p>
        </w:tc>
        <w:tc>
          <w:tcPr>
            <w:tcW w:w="2225"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leftChars="0" w:right="0" w:rightChars="0"/>
              <w:jc w:val="center"/>
              <w:textAlignment w:val="auto"/>
              <w:rPr>
                <w:rFonts w:hint="eastAsia" w:ascii="宋体" w:hAnsi="宋体" w:eastAsia="宋体" w:cs="宋体"/>
                <w:kern w:val="2"/>
                <w:sz w:val="21"/>
                <w:szCs w:val="21"/>
                <w:lang w:val="zh-CN" w:eastAsia="zh-CN" w:bidi="zh-CN"/>
              </w:rPr>
            </w:pPr>
            <w:r>
              <w:rPr>
                <w:rFonts w:hint="eastAsia" w:ascii="宋体" w:hAnsi="宋体" w:eastAsia="宋体" w:cs="宋体"/>
                <w:kern w:val="2"/>
                <w:sz w:val="21"/>
                <w:szCs w:val="21"/>
              </w:rPr>
              <w:t>铝合金</w:t>
            </w:r>
          </w:p>
        </w:tc>
        <w:tc>
          <w:tcPr>
            <w:tcW w:w="745"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leftChars="0" w:right="0" w:rightChars="0"/>
              <w:jc w:val="center"/>
              <w:textAlignment w:val="auto"/>
              <w:rPr>
                <w:rFonts w:hint="eastAsia" w:ascii="宋体" w:hAnsi="宋体" w:eastAsia="宋体" w:cs="宋体"/>
                <w:kern w:val="2"/>
                <w:sz w:val="21"/>
                <w:szCs w:val="21"/>
                <w:lang w:val="zh-CN" w:eastAsia="zh-CN" w:bidi="zh-CN"/>
              </w:rPr>
            </w:pPr>
            <w:r>
              <w:rPr>
                <w:rFonts w:hint="eastAsia" w:ascii="宋体" w:hAnsi="宋体" w:eastAsia="宋体" w:cs="宋体"/>
                <w:kern w:val="2"/>
                <w:sz w:val="21"/>
                <w:szCs w:val="21"/>
                <w:lang w:val="en-US" w:eastAsia="zh-CN"/>
              </w:rPr>
              <w:t>8</w:t>
            </w:r>
            <w:r>
              <w:rPr>
                <w:rFonts w:hint="eastAsia" w:ascii="宋体" w:hAnsi="宋体" w:eastAsia="宋体" w:cs="宋体"/>
                <w:kern w:val="2"/>
                <w:sz w:val="21"/>
                <w:szCs w:val="21"/>
              </w:rPr>
              <w:t>台</w:t>
            </w:r>
          </w:p>
        </w:tc>
        <w:tc>
          <w:tcPr>
            <w:tcW w:w="1967"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leftChars="0" w:right="0" w:rightChars="0"/>
              <w:jc w:val="center"/>
              <w:textAlignment w:val="auto"/>
              <w:rPr>
                <w:rFonts w:hint="eastAsia" w:ascii="宋体" w:hAnsi="宋体" w:eastAsia="宋体" w:cs="宋体"/>
                <w:kern w:val="2"/>
                <w:sz w:val="21"/>
                <w:szCs w:val="21"/>
                <w:lang w:val="zh-CN" w:eastAsia="zh-CN" w:bidi="zh-CN"/>
              </w:rPr>
            </w:pPr>
            <w:r>
              <w:rPr>
                <w:rFonts w:hint="eastAsia" w:ascii="宋体" w:hAnsi="宋体" w:eastAsia="宋体" w:cs="宋体"/>
                <w:color w:val="000000"/>
                <w:kern w:val="2"/>
                <w:szCs w:val="21"/>
                <w:highlight w:val="none"/>
                <w:lang w:eastAsia="zh-CN"/>
              </w:rPr>
              <w:t>共</w:t>
            </w:r>
            <w:r>
              <w:rPr>
                <w:rFonts w:hint="eastAsia" w:ascii="宋体" w:hAnsi="宋体" w:eastAsia="宋体" w:cs="宋体"/>
                <w:color w:val="000000"/>
                <w:kern w:val="2"/>
                <w:szCs w:val="21"/>
                <w:highlight w:val="none"/>
              </w:rPr>
              <w:t>加油枪</w:t>
            </w:r>
            <w:r>
              <w:rPr>
                <w:rFonts w:hint="eastAsia" w:ascii="宋体" w:hAnsi="宋体" w:eastAsia="宋体" w:cs="宋体"/>
                <w:color w:val="000000"/>
                <w:kern w:val="2"/>
                <w:szCs w:val="21"/>
                <w:highlight w:val="none"/>
                <w:lang w:val="en-US" w:eastAsia="zh-CN"/>
              </w:rPr>
              <w:t>64</w:t>
            </w:r>
            <w:r>
              <w:rPr>
                <w:rFonts w:hint="eastAsia" w:ascii="宋体" w:hAnsi="宋体" w:eastAsia="宋体" w:cs="宋体"/>
                <w:color w:val="000000"/>
                <w:kern w:val="2"/>
                <w:szCs w:val="21"/>
                <w:highlight w:val="none"/>
              </w:rPr>
              <w:t>支</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318" w:hRule="exact"/>
          <w:jc w:val="center"/>
        </w:trPr>
        <w:tc>
          <w:tcPr>
            <w:tcW w:w="744"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right="0"/>
              <w:jc w:val="center"/>
              <w:textAlignment w:val="auto"/>
              <w:rPr>
                <w:rFonts w:hint="eastAsia" w:ascii="宋体" w:hAnsi="宋体" w:eastAsia="宋体" w:cs="宋体"/>
                <w:kern w:val="2"/>
                <w:sz w:val="21"/>
                <w:szCs w:val="21"/>
              </w:rPr>
            </w:pPr>
            <w:r>
              <w:rPr>
                <w:rFonts w:hint="eastAsia" w:ascii="宋体" w:hAnsi="宋体" w:eastAsia="宋体" w:cs="宋体"/>
                <w:kern w:val="2"/>
                <w:sz w:val="21"/>
                <w:szCs w:val="21"/>
              </w:rPr>
              <w:t>6</w:t>
            </w:r>
          </w:p>
        </w:tc>
        <w:tc>
          <w:tcPr>
            <w:tcW w:w="1986"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leftChars="0" w:right="0" w:rightChars="0"/>
              <w:jc w:val="center"/>
              <w:textAlignment w:val="auto"/>
              <w:rPr>
                <w:rFonts w:hint="eastAsia" w:ascii="宋体" w:hAnsi="宋体" w:eastAsia="宋体" w:cs="宋体"/>
                <w:kern w:val="2"/>
                <w:sz w:val="21"/>
                <w:szCs w:val="21"/>
                <w:lang w:val="zh-CN" w:eastAsia="zh-CN" w:bidi="zh-CN"/>
              </w:rPr>
            </w:pPr>
            <w:r>
              <w:rPr>
                <w:rFonts w:hint="eastAsia" w:ascii="宋体" w:hAnsi="宋体" w:eastAsia="宋体" w:cs="宋体"/>
                <w:kern w:val="2"/>
                <w:sz w:val="21"/>
                <w:szCs w:val="21"/>
              </w:rPr>
              <w:t>潜油泵</w:t>
            </w:r>
          </w:p>
        </w:tc>
        <w:tc>
          <w:tcPr>
            <w:tcW w:w="1493" w:type="dxa"/>
            <w:noWrap w:val="0"/>
            <w:vAlign w:val="center"/>
          </w:tcPr>
          <w:p>
            <w:pPr>
              <w:pStyle w:val="4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leftChars="0" w:right="0" w:rightChars="0"/>
              <w:textAlignment w:val="auto"/>
              <w:rPr>
                <w:rFonts w:hint="eastAsia" w:ascii="宋体" w:hAnsi="宋体" w:eastAsia="宋体" w:cs="宋体"/>
                <w:kern w:val="2"/>
                <w:sz w:val="21"/>
                <w:szCs w:val="21"/>
                <w:lang w:val="zh-CN" w:eastAsia="zh-CN" w:bidi="zh-CN"/>
              </w:rPr>
            </w:pPr>
            <w:r>
              <w:rPr>
                <w:rFonts w:hint="eastAsia" w:ascii="宋体" w:hAnsi="宋体" w:eastAsia="宋体" w:cs="宋体"/>
                <w:kern w:val="2"/>
                <w:sz w:val="21"/>
                <w:szCs w:val="21"/>
              </w:rPr>
              <w:t>——</w:t>
            </w:r>
          </w:p>
        </w:tc>
        <w:tc>
          <w:tcPr>
            <w:tcW w:w="2225" w:type="dxa"/>
            <w:noWrap w:val="0"/>
            <w:vAlign w:val="center"/>
          </w:tcPr>
          <w:p>
            <w:pPr>
              <w:pStyle w:val="49"/>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leftChars="0" w:right="0" w:rightChars="0"/>
              <w:textAlignment w:val="auto"/>
              <w:rPr>
                <w:rFonts w:hint="eastAsia" w:ascii="宋体" w:hAnsi="宋体" w:eastAsia="宋体" w:cs="宋体"/>
                <w:kern w:val="2"/>
                <w:sz w:val="21"/>
                <w:szCs w:val="21"/>
                <w:lang w:val="zh-CN" w:eastAsia="zh-CN" w:bidi="zh-CN"/>
              </w:rPr>
            </w:pPr>
            <w:r>
              <w:rPr>
                <w:rFonts w:hint="eastAsia" w:ascii="宋体" w:hAnsi="宋体" w:eastAsia="宋体" w:cs="宋体"/>
                <w:kern w:val="2"/>
                <w:sz w:val="21"/>
                <w:szCs w:val="21"/>
              </w:rPr>
              <w:t>不锈钢（防爆型电机）</w:t>
            </w:r>
          </w:p>
        </w:tc>
        <w:tc>
          <w:tcPr>
            <w:tcW w:w="745"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leftChars="0" w:right="0" w:rightChars="0"/>
              <w:jc w:val="center"/>
              <w:textAlignment w:val="auto"/>
              <w:rPr>
                <w:rFonts w:hint="eastAsia" w:ascii="宋体" w:hAnsi="宋体" w:eastAsia="宋体" w:cs="宋体"/>
                <w:kern w:val="2"/>
                <w:sz w:val="21"/>
                <w:szCs w:val="21"/>
                <w:lang w:val="zh-CN" w:eastAsia="zh-CN" w:bidi="zh-CN"/>
              </w:rPr>
            </w:pPr>
            <w:r>
              <w:rPr>
                <w:rFonts w:hint="eastAsia" w:ascii="宋体" w:hAnsi="宋体" w:eastAsia="宋体" w:cs="宋体"/>
                <w:kern w:val="2"/>
                <w:sz w:val="21"/>
                <w:szCs w:val="21"/>
              </w:rPr>
              <w:t>4台</w:t>
            </w:r>
          </w:p>
        </w:tc>
        <w:tc>
          <w:tcPr>
            <w:tcW w:w="1967"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leftChars="0" w:right="0" w:rightChars="0"/>
              <w:jc w:val="center"/>
              <w:textAlignment w:val="auto"/>
              <w:rPr>
                <w:rFonts w:hint="eastAsia" w:ascii="宋体" w:hAnsi="宋体" w:eastAsia="宋体" w:cs="宋体"/>
                <w:kern w:val="2"/>
                <w:sz w:val="21"/>
                <w:szCs w:val="21"/>
                <w:lang w:val="zh-CN" w:eastAsia="zh-CN" w:bidi="zh-CN"/>
              </w:rPr>
            </w:pPr>
            <w:r>
              <w:rPr>
                <w:rFonts w:hint="eastAsia" w:ascii="宋体" w:hAnsi="宋体" w:eastAsia="宋体" w:cs="宋体"/>
                <w:kern w:val="2"/>
                <w:sz w:val="21"/>
                <w:szCs w:val="21"/>
              </w:rPr>
              <w:t>防爆</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308" w:hRule="exact"/>
          <w:jc w:val="center"/>
        </w:trPr>
        <w:tc>
          <w:tcPr>
            <w:tcW w:w="744"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right="0"/>
              <w:jc w:val="center"/>
              <w:textAlignment w:val="auto"/>
              <w:rPr>
                <w:rFonts w:hint="eastAsia" w:ascii="宋体" w:hAnsi="宋体" w:eastAsia="宋体" w:cs="宋体"/>
                <w:kern w:val="2"/>
                <w:sz w:val="21"/>
                <w:szCs w:val="21"/>
              </w:rPr>
            </w:pPr>
            <w:r>
              <w:rPr>
                <w:rFonts w:hint="eastAsia" w:ascii="宋体" w:hAnsi="宋体" w:eastAsia="宋体" w:cs="宋体"/>
                <w:kern w:val="2"/>
                <w:sz w:val="21"/>
                <w:szCs w:val="21"/>
              </w:rPr>
              <w:t>7</w:t>
            </w:r>
          </w:p>
        </w:tc>
        <w:tc>
          <w:tcPr>
            <w:tcW w:w="1986"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leftChars="0" w:right="0" w:rightChars="0"/>
              <w:jc w:val="center"/>
              <w:textAlignment w:val="auto"/>
              <w:rPr>
                <w:rFonts w:hint="eastAsia" w:ascii="宋体" w:hAnsi="宋体" w:eastAsia="宋体" w:cs="宋体"/>
                <w:kern w:val="2"/>
                <w:sz w:val="21"/>
                <w:szCs w:val="21"/>
                <w:lang w:val="zh-CN" w:eastAsia="zh-CN" w:bidi="zh-CN"/>
              </w:rPr>
            </w:pPr>
            <w:r>
              <w:rPr>
                <w:rFonts w:hint="eastAsia" w:ascii="宋体" w:hAnsi="宋体" w:eastAsia="宋体" w:cs="宋体"/>
                <w:kern w:val="2"/>
                <w:sz w:val="21"/>
                <w:szCs w:val="21"/>
              </w:rPr>
              <w:t>静电接地报警仪</w:t>
            </w:r>
          </w:p>
        </w:tc>
        <w:tc>
          <w:tcPr>
            <w:tcW w:w="1493"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leftChars="0" w:right="0" w:rightChars="0"/>
              <w:jc w:val="center"/>
              <w:textAlignment w:val="auto"/>
              <w:rPr>
                <w:rFonts w:hint="eastAsia" w:ascii="宋体" w:hAnsi="宋体" w:eastAsia="宋体" w:cs="宋体"/>
                <w:kern w:val="2"/>
                <w:sz w:val="21"/>
                <w:szCs w:val="21"/>
                <w:lang w:val="zh-CN" w:eastAsia="zh-CN" w:bidi="zh-CN"/>
              </w:rPr>
            </w:pPr>
            <w:r>
              <w:rPr>
                <w:rFonts w:hint="eastAsia" w:ascii="宋体" w:hAnsi="宋体" w:eastAsia="宋体" w:cs="宋体"/>
                <w:kern w:val="2"/>
                <w:sz w:val="21"/>
                <w:szCs w:val="21"/>
              </w:rPr>
              <w:t>——</w:t>
            </w:r>
          </w:p>
        </w:tc>
        <w:tc>
          <w:tcPr>
            <w:tcW w:w="2225"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leftChars="0" w:right="0" w:rightChars="0"/>
              <w:jc w:val="center"/>
              <w:textAlignment w:val="auto"/>
              <w:rPr>
                <w:rFonts w:hint="eastAsia" w:ascii="宋体" w:hAnsi="宋体" w:eastAsia="宋体" w:cs="宋体"/>
                <w:kern w:val="2"/>
                <w:sz w:val="21"/>
                <w:szCs w:val="21"/>
                <w:lang w:val="zh-CN" w:eastAsia="zh-CN" w:bidi="zh-CN"/>
              </w:rPr>
            </w:pPr>
            <w:r>
              <w:rPr>
                <w:rFonts w:hint="eastAsia" w:ascii="宋体" w:hAnsi="宋体" w:eastAsia="宋体" w:cs="宋体"/>
                <w:kern w:val="2"/>
                <w:sz w:val="21"/>
                <w:szCs w:val="21"/>
              </w:rPr>
              <w:t>——</w:t>
            </w:r>
          </w:p>
        </w:tc>
        <w:tc>
          <w:tcPr>
            <w:tcW w:w="745"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leftChars="0" w:right="0" w:rightChars="0"/>
              <w:jc w:val="center"/>
              <w:textAlignment w:val="auto"/>
              <w:rPr>
                <w:rFonts w:hint="eastAsia" w:ascii="宋体" w:hAnsi="宋体" w:eastAsia="宋体" w:cs="宋体"/>
                <w:kern w:val="2"/>
                <w:sz w:val="21"/>
                <w:szCs w:val="21"/>
                <w:lang w:val="zh-CN" w:eastAsia="zh-CN" w:bidi="zh-CN"/>
              </w:rPr>
            </w:pPr>
            <w:r>
              <w:rPr>
                <w:rFonts w:hint="eastAsia" w:ascii="宋体" w:hAnsi="宋体" w:eastAsia="宋体" w:cs="宋体"/>
                <w:kern w:val="2"/>
                <w:sz w:val="21"/>
                <w:szCs w:val="21"/>
              </w:rPr>
              <w:t>1台</w:t>
            </w:r>
          </w:p>
        </w:tc>
        <w:tc>
          <w:tcPr>
            <w:tcW w:w="1967"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leftChars="0" w:right="0" w:rightChars="0"/>
              <w:jc w:val="center"/>
              <w:textAlignment w:val="auto"/>
              <w:rPr>
                <w:rFonts w:hint="eastAsia" w:ascii="宋体" w:hAnsi="宋体" w:eastAsia="宋体" w:cs="宋体"/>
                <w:kern w:val="2"/>
                <w:sz w:val="21"/>
                <w:szCs w:val="21"/>
                <w:lang w:val="zh-CN" w:eastAsia="zh-CN" w:bidi="zh-CN"/>
              </w:rPr>
            </w:pPr>
            <w:r>
              <w:rPr>
                <w:rFonts w:hint="eastAsia" w:ascii="宋体" w:hAnsi="宋体" w:eastAsia="宋体" w:cs="宋体"/>
                <w:kern w:val="2"/>
                <w:sz w:val="21"/>
                <w:szCs w:val="21"/>
              </w:rPr>
              <w:t>密闭卸油点</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290" w:hRule="exact"/>
          <w:jc w:val="center"/>
        </w:trPr>
        <w:tc>
          <w:tcPr>
            <w:tcW w:w="744"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right="0"/>
              <w:jc w:val="center"/>
              <w:textAlignment w:val="auto"/>
              <w:rPr>
                <w:rFonts w:hint="eastAsia" w:ascii="宋体" w:hAnsi="宋体" w:eastAsia="宋体" w:cs="宋体"/>
                <w:kern w:val="2"/>
                <w:sz w:val="21"/>
                <w:szCs w:val="21"/>
              </w:rPr>
            </w:pPr>
            <w:r>
              <w:rPr>
                <w:rFonts w:hint="eastAsia" w:ascii="宋体" w:hAnsi="宋体" w:eastAsia="宋体" w:cs="宋体"/>
                <w:kern w:val="2"/>
                <w:sz w:val="21"/>
                <w:szCs w:val="21"/>
              </w:rPr>
              <w:t>8</w:t>
            </w:r>
          </w:p>
        </w:tc>
        <w:tc>
          <w:tcPr>
            <w:tcW w:w="1986"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leftChars="0" w:right="0" w:rightChars="0"/>
              <w:jc w:val="center"/>
              <w:textAlignment w:val="auto"/>
              <w:rPr>
                <w:rFonts w:hint="eastAsia" w:ascii="宋体" w:hAnsi="宋体" w:eastAsia="宋体" w:cs="宋体"/>
                <w:kern w:val="2"/>
                <w:sz w:val="21"/>
                <w:szCs w:val="21"/>
                <w:lang w:val="zh-CN" w:eastAsia="zh-CN" w:bidi="zh-CN"/>
              </w:rPr>
            </w:pPr>
            <w:r>
              <w:rPr>
                <w:rFonts w:hint="eastAsia" w:ascii="宋体" w:hAnsi="宋体" w:eastAsia="宋体" w:cs="宋体"/>
                <w:kern w:val="2"/>
                <w:sz w:val="21"/>
                <w:szCs w:val="21"/>
              </w:rPr>
              <w:t>油气回收系统</w:t>
            </w:r>
          </w:p>
        </w:tc>
        <w:tc>
          <w:tcPr>
            <w:tcW w:w="1493"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leftChars="0" w:right="0" w:rightChars="0"/>
              <w:jc w:val="center"/>
              <w:textAlignment w:val="auto"/>
              <w:rPr>
                <w:rFonts w:hint="eastAsia" w:ascii="宋体" w:hAnsi="宋体" w:eastAsia="宋体" w:cs="宋体"/>
                <w:kern w:val="2"/>
                <w:sz w:val="21"/>
                <w:szCs w:val="21"/>
                <w:lang w:val="zh-CN" w:eastAsia="zh-CN" w:bidi="zh-CN"/>
              </w:rPr>
            </w:pPr>
            <w:r>
              <w:rPr>
                <w:rFonts w:hint="eastAsia" w:ascii="宋体" w:hAnsi="宋体" w:eastAsia="宋体" w:cs="宋体"/>
                <w:kern w:val="2"/>
                <w:sz w:val="21"/>
                <w:szCs w:val="21"/>
              </w:rPr>
              <w:t>——</w:t>
            </w:r>
          </w:p>
        </w:tc>
        <w:tc>
          <w:tcPr>
            <w:tcW w:w="2225"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leftChars="0" w:right="0" w:rightChars="0"/>
              <w:jc w:val="center"/>
              <w:textAlignment w:val="auto"/>
              <w:rPr>
                <w:rFonts w:hint="eastAsia" w:ascii="宋体" w:hAnsi="宋体" w:eastAsia="宋体" w:cs="宋体"/>
                <w:kern w:val="2"/>
                <w:sz w:val="21"/>
                <w:szCs w:val="21"/>
                <w:lang w:val="zh-CN" w:eastAsia="zh-CN" w:bidi="zh-CN"/>
              </w:rPr>
            </w:pPr>
            <w:r>
              <w:rPr>
                <w:rFonts w:hint="eastAsia" w:ascii="宋体" w:hAnsi="宋体" w:eastAsia="宋体" w:cs="宋体"/>
                <w:kern w:val="2"/>
                <w:sz w:val="21"/>
                <w:szCs w:val="21"/>
              </w:rPr>
              <w:t>——</w:t>
            </w:r>
          </w:p>
        </w:tc>
        <w:tc>
          <w:tcPr>
            <w:tcW w:w="745"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leftChars="0" w:right="0" w:rightChars="0"/>
              <w:jc w:val="center"/>
              <w:textAlignment w:val="auto"/>
              <w:rPr>
                <w:rFonts w:hint="eastAsia" w:ascii="宋体" w:hAnsi="宋体" w:eastAsia="宋体" w:cs="宋体"/>
                <w:kern w:val="2"/>
                <w:sz w:val="21"/>
                <w:szCs w:val="21"/>
                <w:lang w:val="zh-CN" w:eastAsia="zh-CN" w:bidi="zh-CN"/>
              </w:rPr>
            </w:pPr>
            <w:r>
              <w:rPr>
                <w:rFonts w:hint="eastAsia" w:ascii="宋体" w:hAnsi="宋体" w:eastAsia="宋体" w:cs="宋体"/>
                <w:kern w:val="2"/>
                <w:sz w:val="21"/>
                <w:szCs w:val="21"/>
              </w:rPr>
              <w:t>1套</w:t>
            </w:r>
          </w:p>
        </w:tc>
        <w:tc>
          <w:tcPr>
            <w:tcW w:w="1967"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leftChars="0" w:right="0" w:rightChars="0"/>
              <w:jc w:val="center"/>
              <w:textAlignment w:val="auto"/>
              <w:rPr>
                <w:rFonts w:hint="eastAsia" w:ascii="宋体" w:hAnsi="宋体" w:eastAsia="宋体" w:cs="宋体"/>
                <w:kern w:val="2"/>
                <w:sz w:val="21"/>
                <w:szCs w:val="21"/>
                <w:lang w:val="zh-CN" w:eastAsia="zh-CN" w:bidi="zh-CN"/>
              </w:rPr>
            </w:pP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290" w:hRule="exact"/>
          <w:jc w:val="center"/>
        </w:trPr>
        <w:tc>
          <w:tcPr>
            <w:tcW w:w="744"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right="0"/>
              <w:jc w:val="center"/>
              <w:textAlignment w:val="auto"/>
              <w:rPr>
                <w:rFonts w:hint="eastAsia" w:ascii="宋体" w:hAnsi="宋体" w:eastAsia="宋体" w:cs="宋体"/>
                <w:kern w:val="2"/>
                <w:sz w:val="21"/>
                <w:szCs w:val="21"/>
              </w:rPr>
            </w:pPr>
            <w:r>
              <w:rPr>
                <w:rFonts w:hint="eastAsia" w:ascii="宋体" w:hAnsi="宋体" w:eastAsia="宋体" w:cs="宋体"/>
                <w:kern w:val="2"/>
                <w:sz w:val="21"/>
                <w:szCs w:val="21"/>
              </w:rPr>
              <w:t>9</w:t>
            </w:r>
          </w:p>
        </w:tc>
        <w:tc>
          <w:tcPr>
            <w:tcW w:w="1986"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leftChars="0" w:right="0" w:rightChars="0"/>
              <w:jc w:val="center"/>
              <w:textAlignment w:val="auto"/>
              <w:rPr>
                <w:rFonts w:hint="eastAsia" w:ascii="宋体" w:hAnsi="宋体" w:eastAsia="宋体" w:cs="宋体"/>
                <w:kern w:val="2"/>
                <w:sz w:val="21"/>
                <w:szCs w:val="21"/>
                <w:lang w:val="zh-CN" w:eastAsia="zh-CN" w:bidi="zh-CN"/>
              </w:rPr>
            </w:pPr>
            <w:r>
              <w:rPr>
                <w:rFonts w:hint="eastAsia" w:ascii="宋体" w:hAnsi="宋体" w:eastAsia="宋体" w:cs="宋体"/>
                <w:kern w:val="2"/>
                <w:sz w:val="21"/>
                <w:szCs w:val="21"/>
              </w:rPr>
              <w:t>液位仪</w:t>
            </w:r>
          </w:p>
        </w:tc>
        <w:tc>
          <w:tcPr>
            <w:tcW w:w="1493"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leftChars="0" w:right="0" w:rightChars="0"/>
              <w:jc w:val="center"/>
              <w:textAlignment w:val="auto"/>
              <w:rPr>
                <w:rFonts w:hint="eastAsia" w:ascii="宋体" w:hAnsi="宋体" w:eastAsia="宋体" w:cs="宋体"/>
                <w:kern w:val="2"/>
                <w:sz w:val="21"/>
                <w:szCs w:val="21"/>
                <w:lang w:val="zh-CN" w:eastAsia="zh-CN" w:bidi="zh-CN"/>
              </w:rPr>
            </w:pPr>
            <w:r>
              <w:rPr>
                <w:rFonts w:hint="eastAsia" w:ascii="宋体" w:hAnsi="宋体" w:eastAsia="宋体" w:cs="宋体"/>
                <w:kern w:val="2"/>
                <w:sz w:val="21"/>
                <w:szCs w:val="21"/>
              </w:rPr>
              <w:t>——</w:t>
            </w:r>
          </w:p>
        </w:tc>
        <w:tc>
          <w:tcPr>
            <w:tcW w:w="2225"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leftChars="0" w:right="0" w:rightChars="0"/>
              <w:jc w:val="center"/>
              <w:textAlignment w:val="auto"/>
              <w:rPr>
                <w:rFonts w:hint="eastAsia" w:ascii="宋体" w:hAnsi="宋体" w:eastAsia="宋体" w:cs="宋体"/>
                <w:kern w:val="2"/>
                <w:sz w:val="21"/>
                <w:szCs w:val="21"/>
                <w:lang w:val="zh-CN" w:eastAsia="zh-CN" w:bidi="zh-CN"/>
              </w:rPr>
            </w:pPr>
            <w:r>
              <w:rPr>
                <w:rFonts w:hint="eastAsia" w:ascii="宋体" w:hAnsi="宋体" w:eastAsia="宋体" w:cs="宋体"/>
                <w:kern w:val="2"/>
                <w:sz w:val="21"/>
                <w:szCs w:val="21"/>
              </w:rPr>
              <w:t>——</w:t>
            </w:r>
          </w:p>
        </w:tc>
        <w:tc>
          <w:tcPr>
            <w:tcW w:w="745"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leftChars="0" w:right="0" w:rightChars="0"/>
              <w:jc w:val="center"/>
              <w:textAlignment w:val="auto"/>
              <w:rPr>
                <w:rFonts w:hint="eastAsia" w:ascii="宋体" w:hAnsi="宋体" w:eastAsia="宋体" w:cs="宋体"/>
                <w:kern w:val="2"/>
                <w:sz w:val="21"/>
                <w:szCs w:val="21"/>
                <w:lang w:val="zh-CN" w:eastAsia="zh-CN" w:bidi="zh-CN"/>
              </w:rPr>
            </w:pPr>
            <w:r>
              <w:rPr>
                <w:rFonts w:hint="eastAsia" w:ascii="宋体" w:hAnsi="宋体" w:eastAsia="宋体" w:cs="宋体"/>
                <w:kern w:val="2"/>
                <w:sz w:val="21"/>
                <w:szCs w:val="21"/>
              </w:rPr>
              <w:t>1套</w:t>
            </w:r>
          </w:p>
        </w:tc>
        <w:tc>
          <w:tcPr>
            <w:tcW w:w="1967"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leftChars="0" w:right="0" w:rightChars="0"/>
              <w:jc w:val="center"/>
              <w:textAlignment w:val="auto"/>
              <w:rPr>
                <w:rFonts w:hint="eastAsia" w:ascii="宋体" w:hAnsi="宋体" w:eastAsia="宋体" w:cs="宋体"/>
                <w:kern w:val="2"/>
                <w:sz w:val="21"/>
                <w:szCs w:val="21"/>
                <w:lang w:val="zh-CN" w:eastAsia="zh-CN" w:bidi="zh-CN"/>
              </w:rPr>
            </w:pP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354" w:hRule="exact"/>
          <w:jc w:val="center"/>
        </w:trPr>
        <w:tc>
          <w:tcPr>
            <w:tcW w:w="744"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right="0"/>
              <w:jc w:val="center"/>
              <w:textAlignment w:val="auto"/>
              <w:rPr>
                <w:rFonts w:hint="eastAsia" w:ascii="宋体" w:hAnsi="宋体" w:eastAsia="宋体" w:cs="宋体"/>
                <w:kern w:val="2"/>
                <w:sz w:val="21"/>
                <w:szCs w:val="21"/>
              </w:rPr>
            </w:pPr>
            <w:r>
              <w:rPr>
                <w:rFonts w:hint="eastAsia" w:ascii="宋体" w:hAnsi="宋体" w:eastAsia="宋体" w:cs="宋体"/>
                <w:kern w:val="2"/>
                <w:sz w:val="21"/>
                <w:szCs w:val="21"/>
                <w:lang w:val="en-US" w:eastAsia="zh-CN"/>
              </w:rPr>
              <w:t>10</w:t>
            </w:r>
          </w:p>
        </w:tc>
        <w:tc>
          <w:tcPr>
            <w:tcW w:w="1986"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leftChars="0" w:right="0" w:rightChars="0"/>
              <w:jc w:val="center"/>
              <w:textAlignment w:val="auto"/>
              <w:rPr>
                <w:rFonts w:hint="eastAsia" w:ascii="宋体" w:hAnsi="宋体" w:eastAsia="宋体" w:cs="宋体"/>
                <w:kern w:val="2"/>
                <w:sz w:val="21"/>
                <w:szCs w:val="21"/>
                <w:lang w:val="zh-CN" w:eastAsia="zh-CN" w:bidi="zh-CN"/>
              </w:rPr>
            </w:pPr>
            <w:r>
              <w:rPr>
                <w:rFonts w:hint="eastAsia" w:ascii="宋体" w:hAnsi="宋体" w:eastAsia="宋体" w:cs="宋体"/>
                <w:kern w:val="2"/>
                <w:sz w:val="21"/>
                <w:szCs w:val="21"/>
              </w:rPr>
              <w:t>泄漏检测仪</w:t>
            </w:r>
          </w:p>
        </w:tc>
        <w:tc>
          <w:tcPr>
            <w:tcW w:w="1493"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leftChars="0" w:right="0" w:rightChars="0"/>
              <w:jc w:val="center"/>
              <w:textAlignment w:val="auto"/>
              <w:rPr>
                <w:rFonts w:hint="eastAsia" w:ascii="宋体" w:hAnsi="宋体" w:eastAsia="宋体" w:cs="宋体"/>
                <w:kern w:val="2"/>
                <w:sz w:val="21"/>
                <w:szCs w:val="21"/>
                <w:lang w:val="zh-CN" w:eastAsia="zh-CN" w:bidi="zh-CN"/>
              </w:rPr>
            </w:pPr>
            <w:r>
              <w:rPr>
                <w:rFonts w:hint="eastAsia" w:ascii="宋体" w:hAnsi="宋体" w:eastAsia="宋体" w:cs="宋体"/>
                <w:kern w:val="2"/>
                <w:sz w:val="21"/>
                <w:szCs w:val="21"/>
              </w:rPr>
              <w:t>——</w:t>
            </w:r>
          </w:p>
        </w:tc>
        <w:tc>
          <w:tcPr>
            <w:tcW w:w="2225"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leftChars="0" w:right="0" w:rightChars="0"/>
              <w:jc w:val="center"/>
              <w:textAlignment w:val="auto"/>
              <w:rPr>
                <w:rFonts w:hint="eastAsia" w:ascii="宋体" w:hAnsi="宋体" w:eastAsia="宋体" w:cs="宋体"/>
                <w:kern w:val="2"/>
                <w:sz w:val="21"/>
                <w:szCs w:val="21"/>
                <w:lang w:val="zh-CN" w:eastAsia="zh-CN" w:bidi="zh-CN"/>
              </w:rPr>
            </w:pPr>
            <w:r>
              <w:rPr>
                <w:rFonts w:hint="eastAsia" w:ascii="宋体" w:hAnsi="宋体" w:eastAsia="宋体" w:cs="宋体"/>
                <w:kern w:val="2"/>
                <w:sz w:val="21"/>
                <w:szCs w:val="21"/>
              </w:rPr>
              <w:t>——</w:t>
            </w:r>
          </w:p>
        </w:tc>
        <w:tc>
          <w:tcPr>
            <w:tcW w:w="745"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leftChars="0" w:right="0" w:rightChars="0"/>
              <w:jc w:val="center"/>
              <w:textAlignment w:val="auto"/>
              <w:rPr>
                <w:rFonts w:hint="eastAsia" w:ascii="宋体" w:hAnsi="宋体" w:eastAsia="宋体" w:cs="宋体"/>
                <w:kern w:val="2"/>
                <w:sz w:val="21"/>
                <w:szCs w:val="21"/>
                <w:lang w:val="zh-CN" w:eastAsia="zh-CN" w:bidi="zh-CN"/>
              </w:rPr>
            </w:pPr>
            <w:r>
              <w:rPr>
                <w:rFonts w:hint="eastAsia" w:ascii="宋体" w:hAnsi="宋体" w:eastAsia="宋体" w:cs="宋体"/>
                <w:kern w:val="2"/>
                <w:sz w:val="21"/>
                <w:szCs w:val="21"/>
              </w:rPr>
              <w:t>1套</w:t>
            </w:r>
          </w:p>
        </w:tc>
        <w:tc>
          <w:tcPr>
            <w:tcW w:w="1967"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leftChars="0" w:right="0" w:rightChars="0"/>
              <w:jc w:val="center"/>
              <w:textAlignment w:val="auto"/>
              <w:rPr>
                <w:rFonts w:hint="eastAsia" w:ascii="宋体" w:hAnsi="宋体" w:eastAsia="宋体" w:cs="宋体"/>
                <w:kern w:val="2"/>
                <w:sz w:val="21"/>
                <w:szCs w:val="21"/>
                <w:lang w:val="zh-CN" w:eastAsia="zh-CN" w:bidi="zh-CN"/>
              </w:rPr>
            </w:pPr>
          </w:p>
        </w:tc>
      </w:tr>
    </w:tbl>
    <w:p>
      <w:pPr>
        <w:pStyle w:val="3"/>
        <w:tabs>
          <w:tab w:val="left" w:pos="3119"/>
        </w:tabs>
        <w:spacing w:before="240" w:beforeLines="100" w:after="240" w:afterLines="100"/>
        <w:ind w:firstLine="0"/>
        <w:jc w:val="center"/>
        <w:rPr>
          <w:rFonts w:hint="eastAsia" w:ascii="宋体" w:hAnsi="宋体" w:eastAsia="宋体" w:cs="宋体"/>
          <w:b/>
          <w:bCs/>
          <w:lang w:val="en-US"/>
        </w:rPr>
      </w:pPr>
      <w:bookmarkStart w:id="202" w:name="_Toc484"/>
      <w:r>
        <w:rPr>
          <w:rFonts w:hint="eastAsia" w:ascii="宋体" w:hAnsi="宋体" w:eastAsia="宋体" w:cs="宋体"/>
          <w:b/>
          <w:bCs/>
          <w:lang w:val="en-US"/>
        </w:rPr>
        <w:t>2.6 公用工程及辅助设施</w:t>
      </w:r>
      <w:bookmarkEnd w:id="197"/>
      <w:bookmarkEnd w:id="198"/>
      <w:bookmarkEnd w:id="199"/>
      <w:bookmarkEnd w:id="200"/>
      <w:bookmarkEnd w:id="201"/>
      <w:bookmarkEnd w:id="202"/>
    </w:p>
    <w:p>
      <w:pPr>
        <w:pStyle w:val="4"/>
        <w:spacing w:before="240" w:beforeLines="100" w:after="240" w:afterLines="100" w:line="240" w:lineRule="auto"/>
        <w:ind w:firstLine="562" w:firstLineChars="200"/>
        <w:rPr>
          <w:rFonts w:hint="eastAsia" w:ascii="宋体" w:hAnsi="宋体" w:eastAsia="宋体" w:cs="宋体"/>
          <w:sz w:val="28"/>
          <w:szCs w:val="28"/>
        </w:rPr>
      </w:pPr>
      <w:bookmarkStart w:id="203" w:name="_Toc32141_WPSOffice_Level3"/>
      <w:bookmarkStart w:id="204" w:name="_Toc29777_WPSOffice_Level3"/>
      <w:r>
        <w:rPr>
          <w:rFonts w:hint="eastAsia" w:ascii="宋体" w:hAnsi="宋体" w:eastAsia="宋体" w:cs="宋体"/>
          <w:sz w:val="28"/>
          <w:szCs w:val="28"/>
          <w:lang w:val="en-US"/>
        </w:rPr>
        <w:t xml:space="preserve">2.6.1 </w:t>
      </w:r>
      <w:r>
        <w:rPr>
          <w:rFonts w:hint="eastAsia" w:ascii="宋体" w:hAnsi="宋体" w:eastAsia="宋体" w:cs="宋体"/>
          <w:sz w:val="28"/>
          <w:szCs w:val="28"/>
        </w:rPr>
        <w:t>供配电</w:t>
      </w:r>
      <w:bookmarkEnd w:id="203"/>
      <w:bookmarkEnd w:id="204"/>
      <w:bookmarkStart w:id="205" w:name="_Toc29481_WPSOffice_Level3"/>
    </w:p>
    <w:p>
      <w:pPr>
        <w:spacing w:line="360" w:lineRule="auto"/>
        <w:ind w:firstLine="560" w:firstLineChars="200"/>
        <w:rPr>
          <w:rFonts w:hint="eastAsia" w:ascii="宋体" w:hAnsi="宋体" w:eastAsia="宋体" w:cs="宋体"/>
          <w:sz w:val="28"/>
          <w:szCs w:val="28"/>
        </w:rPr>
      </w:pPr>
      <w:bookmarkStart w:id="206" w:name="_Toc1482_WPSOffice_Level3"/>
      <w:r>
        <w:rPr>
          <w:rFonts w:hint="eastAsia" w:ascii="宋体" w:hAnsi="宋体" w:eastAsia="宋体" w:cs="宋体"/>
          <w:sz w:val="28"/>
          <w:szCs w:val="28"/>
        </w:rPr>
        <w:t>该加油站供电负荷为三级，采用380/220V外接电源供电，从当地供电所直接引入站内电房，供电方便。</w:t>
      </w:r>
    </w:p>
    <w:p>
      <w:pPr>
        <w:widowControl/>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供配电线路：加油站内动力和控制线路采用塑料阻燃电缆埋地敷设，其穿过马路和伸出地面的部分穿钢管保护；室外照明线路穿镀锌钢管埋地敷设；室内线路穿镀锌钢管沿墙明敷。所有金属外壳、金属台架和管道作保护接地。</w:t>
      </w:r>
    </w:p>
    <w:p>
      <w:pPr>
        <w:widowControl/>
        <w:spacing w:line="360" w:lineRule="auto"/>
        <w:ind w:firstLine="560" w:firstLineChars="200"/>
        <w:rPr>
          <w:rFonts w:hint="eastAsia" w:ascii="宋体" w:hAnsi="宋体" w:eastAsia="宋体" w:cs="宋体"/>
          <w:sz w:val="28"/>
          <w:szCs w:val="28"/>
        </w:rPr>
      </w:pPr>
    </w:p>
    <w:p>
      <w:pPr>
        <w:pStyle w:val="4"/>
        <w:spacing w:before="240" w:beforeLines="100" w:after="240" w:afterLines="100" w:line="240" w:lineRule="auto"/>
        <w:ind w:firstLine="562" w:firstLineChars="200"/>
        <w:rPr>
          <w:rFonts w:hint="eastAsia" w:ascii="宋体" w:hAnsi="宋体" w:eastAsia="宋体" w:cs="宋体"/>
          <w:sz w:val="28"/>
          <w:szCs w:val="28"/>
          <w:lang w:val="en-US"/>
        </w:rPr>
      </w:pPr>
      <w:r>
        <w:rPr>
          <w:rFonts w:hint="eastAsia" w:ascii="宋体" w:hAnsi="宋体" w:eastAsia="宋体" w:cs="宋体"/>
          <w:sz w:val="28"/>
          <w:szCs w:val="28"/>
          <w:lang w:val="en-US"/>
        </w:rPr>
        <w:t>2.6.2 给排水</w:t>
      </w:r>
      <w:bookmarkEnd w:id="205"/>
      <w:bookmarkEnd w:id="206"/>
    </w:p>
    <w:p>
      <w:pPr>
        <w:widowControl/>
        <w:spacing w:line="360" w:lineRule="auto"/>
        <w:ind w:firstLine="562" w:firstLineChars="200"/>
        <w:rPr>
          <w:rFonts w:hint="eastAsia" w:ascii="宋体" w:hAnsi="宋体" w:eastAsia="宋体" w:cs="宋体"/>
          <w:b/>
          <w:kern w:val="0"/>
          <w:sz w:val="28"/>
          <w:szCs w:val="28"/>
        </w:rPr>
      </w:pPr>
      <w:bookmarkStart w:id="207" w:name="_Toc32218_WPSOffice_Level3"/>
      <w:bookmarkStart w:id="208" w:name="_Toc13105_WPSOffice_Level3"/>
      <w:r>
        <w:rPr>
          <w:rFonts w:hint="eastAsia" w:ascii="宋体" w:hAnsi="宋体" w:eastAsia="宋体" w:cs="宋体"/>
          <w:b/>
          <w:kern w:val="0"/>
          <w:sz w:val="28"/>
          <w:szCs w:val="28"/>
        </w:rPr>
        <w:t>1）供水</w:t>
      </w:r>
    </w:p>
    <w:p>
      <w:pPr>
        <w:pageBreakBefore w:val="0"/>
        <w:widowControl/>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该加油站用水由市政自来水公司提供水源，通过管线引入站区，引入管上设总水表计量，能满足加油站供水、生活要求。</w:t>
      </w:r>
    </w:p>
    <w:p>
      <w:pPr>
        <w:pageBreakBefore w:val="0"/>
        <w:kinsoku/>
        <w:wordWrap/>
        <w:overflowPunct/>
        <w:topLinePunct w:val="0"/>
        <w:autoSpaceDE w:val="0"/>
        <w:autoSpaceDN w:val="0"/>
        <w:bidi w:val="0"/>
        <w:adjustRightInd/>
        <w:snapToGrid/>
        <w:spacing w:line="560" w:lineRule="exact"/>
        <w:ind w:firstLine="562" w:firstLineChars="200"/>
        <w:textAlignment w:val="auto"/>
        <w:rPr>
          <w:rFonts w:hint="eastAsia" w:ascii="宋体" w:hAnsi="宋体" w:eastAsia="宋体" w:cs="宋体"/>
          <w:b/>
          <w:sz w:val="28"/>
          <w:szCs w:val="28"/>
        </w:rPr>
      </w:pPr>
      <w:r>
        <w:rPr>
          <w:rFonts w:hint="eastAsia" w:ascii="宋体" w:hAnsi="宋体" w:eastAsia="宋体" w:cs="宋体"/>
          <w:b/>
          <w:sz w:val="28"/>
          <w:szCs w:val="28"/>
        </w:rPr>
        <w:t>2）排水</w:t>
      </w:r>
    </w:p>
    <w:p>
      <w:pPr>
        <w:pageBreakBefore w:val="0"/>
        <w:widowControl/>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szCs w:val="28"/>
        </w:rPr>
      </w:pPr>
      <w:bookmarkStart w:id="209" w:name="_Toc180221040"/>
      <w:r>
        <w:rPr>
          <w:rFonts w:hint="eastAsia" w:ascii="宋体" w:hAnsi="宋体" w:eastAsia="宋体" w:cs="宋体"/>
          <w:sz w:val="28"/>
          <w:szCs w:val="28"/>
        </w:rPr>
        <w:t>该站有少量生产污水排放，站内雨水采用散流方式排到站外，站内地面污水散排至进出口处排水沟汇集至加油站水封井，经油水处理池过滤后排出站外。</w:t>
      </w:r>
    </w:p>
    <w:bookmarkEnd w:id="209"/>
    <w:p>
      <w:pPr>
        <w:pStyle w:val="4"/>
        <w:keepNext/>
        <w:keepLines/>
        <w:pageBreakBefore w:val="0"/>
        <w:widowControl w:val="0"/>
        <w:kinsoku/>
        <w:wordWrap/>
        <w:overflowPunct/>
        <w:topLinePunct w:val="0"/>
        <w:autoSpaceDE w:val="0"/>
        <w:autoSpaceDN w:val="0"/>
        <w:bidi w:val="0"/>
        <w:adjustRightInd/>
        <w:snapToGrid/>
        <w:spacing w:before="0" w:beforeLines="50" w:after="0" w:afterLines="50" w:line="560" w:lineRule="exact"/>
        <w:ind w:firstLine="562" w:firstLineChars="200"/>
        <w:textAlignment w:val="auto"/>
        <w:rPr>
          <w:rFonts w:hint="eastAsia" w:ascii="宋体" w:hAnsi="宋体" w:eastAsia="宋体" w:cs="宋体"/>
          <w:sz w:val="28"/>
          <w:szCs w:val="28"/>
          <w:lang w:val="en-US"/>
        </w:rPr>
      </w:pPr>
      <w:r>
        <w:rPr>
          <w:rFonts w:hint="eastAsia" w:ascii="宋体" w:hAnsi="宋体" w:eastAsia="宋体" w:cs="宋体"/>
          <w:sz w:val="28"/>
          <w:szCs w:val="28"/>
          <w:lang w:val="en-US"/>
        </w:rPr>
        <w:t>2.6.3 消防设施</w:t>
      </w:r>
      <w:bookmarkEnd w:id="207"/>
      <w:bookmarkEnd w:id="208"/>
    </w:p>
    <w:p>
      <w:pPr>
        <w:pStyle w:val="6"/>
        <w:pageBreakBefore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color w:val="auto"/>
          <w:spacing w:val="-7"/>
          <w:highlight w:val="none"/>
        </w:rPr>
      </w:pPr>
      <w:r>
        <w:rPr>
          <w:rFonts w:hint="eastAsia" w:ascii="宋体" w:hAnsi="宋体" w:eastAsia="宋体" w:cs="宋体"/>
          <w:color w:val="auto"/>
          <w:spacing w:val="-7"/>
          <w:lang w:eastAsia="zh-CN"/>
        </w:rPr>
        <w:t>横坑加油站</w:t>
      </w:r>
      <w:r>
        <w:rPr>
          <w:rFonts w:hint="eastAsia" w:ascii="宋体" w:hAnsi="宋体" w:eastAsia="宋体" w:cs="宋体"/>
          <w:color w:val="auto"/>
          <w:spacing w:val="-7"/>
        </w:rPr>
        <w:t>消防设施依据《汽车加油加气站设计与施工规范》（GB50156-2012，2014 年版）和《建筑灭火器配置设计规范》（GB 50140-2005）等规范、标准的相关规定设计、</w:t>
      </w:r>
      <w:r>
        <w:rPr>
          <w:rFonts w:hint="eastAsia" w:ascii="宋体" w:hAnsi="宋体" w:eastAsia="宋体" w:cs="宋体"/>
          <w:color w:val="auto"/>
          <w:spacing w:val="-7"/>
          <w:highlight w:val="none"/>
        </w:rPr>
        <w:t>设置，站内按规范要求设置有手提式干粉灭火器、推车式干粉灭火器等灭火器材。</w:t>
      </w:r>
      <w:r>
        <w:rPr>
          <w:rFonts w:hint="eastAsia" w:ascii="宋体" w:hAnsi="宋体" w:eastAsia="宋体" w:cs="宋体"/>
          <w:color w:val="auto"/>
          <w:spacing w:val="-7"/>
          <w:sz w:val="28"/>
          <w:szCs w:val="28"/>
          <w:highlight w:val="none"/>
          <w:lang w:val="zh-CN" w:eastAsia="zh-CN"/>
        </w:rPr>
        <w:t>改建前取得消防验收意见书：东公消验[</w:t>
      </w:r>
      <w:r>
        <w:rPr>
          <w:rFonts w:hint="eastAsia" w:ascii="宋体" w:hAnsi="宋体" w:eastAsia="宋体" w:cs="宋体"/>
          <w:color w:val="auto"/>
          <w:spacing w:val="-7"/>
          <w:sz w:val="28"/>
          <w:szCs w:val="28"/>
          <w:highlight w:val="none"/>
          <w:lang w:val="en-US" w:eastAsia="zh-CN"/>
        </w:rPr>
        <w:t>2005</w:t>
      </w:r>
      <w:r>
        <w:rPr>
          <w:rFonts w:hint="eastAsia" w:ascii="宋体" w:hAnsi="宋体" w:eastAsia="宋体" w:cs="宋体"/>
          <w:color w:val="auto"/>
          <w:spacing w:val="-7"/>
          <w:sz w:val="28"/>
          <w:szCs w:val="28"/>
          <w:highlight w:val="none"/>
          <w:lang w:val="zh-CN" w:eastAsia="zh-CN"/>
        </w:rPr>
        <w:t>]</w:t>
      </w:r>
      <w:r>
        <w:rPr>
          <w:rFonts w:hint="eastAsia" w:ascii="宋体" w:hAnsi="宋体" w:eastAsia="宋体" w:cs="宋体"/>
          <w:color w:val="auto"/>
          <w:spacing w:val="-7"/>
          <w:sz w:val="28"/>
          <w:szCs w:val="28"/>
          <w:highlight w:val="none"/>
          <w:lang w:val="en-US" w:eastAsia="zh-CN"/>
        </w:rPr>
        <w:t>寮29号</w:t>
      </w:r>
      <w:r>
        <w:rPr>
          <w:rFonts w:hint="eastAsia" w:ascii="宋体" w:hAnsi="宋体" w:eastAsia="宋体" w:cs="宋体"/>
          <w:color w:val="auto"/>
          <w:spacing w:val="-7"/>
          <w:highlight w:val="none"/>
        </w:rPr>
        <w:t>。</w:t>
      </w:r>
      <w:r>
        <w:rPr>
          <w:rFonts w:hint="eastAsia" w:ascii="宋体" w:hAnsi="宋体" w:eastAsia="宋体" w:cs="宋体"/>
          <w:color w:val="auto"/>
          <w:spacing w:val="-7"/>
          <w:highlight w:val="none"/>
          <w:lang w:eastAsia="zh-CN"/>
        </w:rPr>
        <w:t>改建后的检测和相关手续同步办理中。改建后</w:t>
      </w:r>
      <w:r>
        <w:rPr>
          <w:rFonts w:hint="eastAsia" w:ascii="宋体" w:hAnsi="宋体" w:eastAsia="宋体" w:cs="宋体"/>
          <w:color w:val="auto"/>
          <w:spacing w:val="-7"/>
          <w:highlight w:val="none"/>
        </w:rPr>
        <w:t>消防设施、器材配置情况见表 2.6-1。</w:t>
      </w:r>
    </w:p>
    <w:p>
      <w:pPr>
        <w:pStyle w:val="6"/>
        <w:tabs>
          <w:tab w:val="left" w:pos="6702"/>
        </w:tabs>
        <w:spacing w:before="4" w:after="42" w:line="500" w:lineRule="exact"/>
        <w:ind w:left="2643"/>
        <w:rPr>
          <w:rFonts w:hint="eastAsia" w:ascii="宋体" w:hAnsi="宋体" w:eastAsia="宋体" w:cs="宋体"/>
          <w:color w:val="auto"/>
          <w:shd w:val="clear" w:color="auto" w:fill="auto"/>
        </w:rPr>
      </w:pPr>
      <w:r>
        <w:rPr>
          <w:rFonts w:hint="eastAsia" w:ascii="宋体" w:hAnsi="宋体" w:eastAsia="宋体" w:cs="宋体"/>
          <w:color w:val="auto"/>
          <w:shd w:val="clear" w:color="auto" w:fill="auto"/>
        </w:rPr>
        <w:t>表2.6-1 消防设</w:t>
      </w:r>
      <w:r>
        <w:rPr>
          <w:rFonts w:hint="eastAsia" w:ascii="宋体" w:hAnsi="宋体" w:eastAsia="宋体" w:cs="宋体"/>
          <w:color w:val="auto"/>
          <w:spacing w:val="-3"/>
          <w:shd w:val="clear" w:color="auto" w:fill="auto"/>
        </w:rPr>
        <w:t>施</w:t>
      </w:r>
      <w:r>
        <w:rPr>
          <w:rFonts w:hint="eastAsia" w:ascii="宋体" w:hAnsi="宋体" w:eastAsia="宋体" w:cs="宋体"/>
          <w:color w:val="auto"/>
          <w:shd w:val="clear" w:color="auto" w:fill="auto"/>
        </w:rPr>
        <w:t>、器</w:t>
      </w:r>
      <w:r>
        <w:rPr>
          <w:rFonts w:hint="eastAsia" w:ascii="宋体" w:hAnsi="宋体" w:eastAsia="宋体" w:cs="宋体"/>
          <w:color w:val="auto"/>
          <w:spacing w:val="-3"/>
          <w:shd w:val="clear" w:color="auto" w:fill="auto"/>
        </w:rPr>
        <w:t>材布</w:t>
      </w:r>
      <w:r>
        <w:rPr>
          <w:rFonts w:hint="eastAsia" w:ascii="宋体" w:hAnsi="宋体" w:eastAsia="宋体" w:cs="宋体"/>
          <w:color w:val="auto"/>
          <w:shd w:val="clear" w:color="auto" w:fill="auto"/>
        </w:rPr>
        <w:t>置情况表</w:t>
      </w:r>
    </w:p>
    <w:tbl>
      <w:tblPr>
        <w:tblStyle w:val="15"/>
        <w:tblW w:w="840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0"/>
        <w:gridCol w:w="3470"/>
        <w:gridCol w:w="1533"/>
        <w:gridCol w:w="984"/>
        <w:gridCol w:w="16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8" w:hRule="atLeast"/>
          <w:jc w:val="center"/>
        </w:trPr>
        <w:tc>
          <w:tcPr>
            <w:tcW w:w="810" w:type="dxa"/>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b/>
                <w:color w:val="auto"/>
                <w:kern w:val="2"/>
                <w:szCs w:val="21"/>
                <w:shd w:val="clear" w:color="auto" w:fill="auto"/>
              </w:rPr>
            </w:pPr>
            <w:bookmarkStart w:id="210" w:name="_Toc5737_WPSOffice_Level3"/>
            <w:r>
              <w:rPr>
                <w:rFonts w:hint="eastAsia" w:ascii="宋体" w:hAnsi="宋体" w:eastAsia="宋体" w:cs="宋体"/>
                <w:b/>
                <w:color w:val="auto"/>
                <w:kern w:val="2"/>
                <w:szCs w:val="21"/>
                <w:shd w:val="clear" w:color="auto" w:fill="auto"/>
              </w:rPr>
              <w:t>序号</w:t>
            </w:r>
          </w:p>
        </w:tc>
        <w:tc>
          <w:tcPr>
            <w:tcW w:w="3470" w:type="dxa"/>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b/>
                <w:color w:val="auto"/>
                <w:kern w:val="2"/>
                <w:szCs w:val="21"/>
                <w:shd w:val="clear" w:color="auto" w:fill="auto"/>
              </w:rPr>
            </w:pPr>
            <w:r>
              <w:rPr>
                <w:rFonts w:hint="eastAsia" w:ascii="宋体" w:hAnsi="宋体" w:eastAsia="宋体" w:cs="宋体"/>
                <w:b/>
                <w:color w:val="auto"/>
                <w:kern w:val="2"/>
                <w:szCs w:val="21"/>
                <w:shd w:val="clear" w:color="auto" w:fill="auto"/>
              </w:rPr>
              <w:t>灭火器形式</w:t>
            </w:r>
          </w:p>
        </w:tc>
        <w:tc>
          <w:tcPr>
            <w:tcW w:w="1533" w:type="dxa"/>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b/>
                <w:color w:val="auto"/>
                <w:kern w:val="2"/>
                <w:szCs w:val="21"/>
                <w:shd w:val="clear" w:color="auto" w:fill="auto"/>
              </w:rPr>
            </w:pPr>
            <w:r>
              <w:rPr>
                <w:rFonts w:hint="eastAsia" w:ascii="宋体" w:hAnsi="宋体" w:eastAsia="宋体" w:cs="宋体"/>
                <w:b/>
                <w:color w:val="auto"/>
                <w:kern w:val="2"/>
                <w:szCs w:val="21"/>
                <w:shd w:val="clear" w:color="auto" w:fill="auto"/>
              </w:rPr>
              <w:t>规格</w:t>
            </w:r>
          </w:p>
        </w:tc>
        <w:tc>
          <w:tcPr>
            <w:tcW w:w="984" w:type="dxa"/>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b/>
                <w:color w:val="auto"/>
                <w:kern w:val="2"/>
                <w:szCs w:val="21"/>
                <w:shd w:val="clear" w:color="auto" w:fill="auto"/>
              </w:rPr>
            </w:pPr>
            <w:r>
              <w:rPr>
                <w:rFonts w:hint="eastAsia" w:ascii="宋体" w:hAnsi="宋体" w:eastAsia="宋体" w:cs="宋体"/>
                <w:b/>
                <w:color w:val="auto"/>
                <w:kern w:val="2"/>
                <w:szCs w:val="21"/>
                <w:shd w:val="clear" w:color="auto" w:fill="auto"/>
              </w:rPr>
              <w:t>数量</w:t>
            </w:r>
          </w:p>
        </w:tc>
        <w:tc>
          <w:tcPr>
            <w:tcW w:w="1605" w:type="dxa"/>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b/>
                <w:color w:val="auto"/>
                <w:kern w:val="2"/>
                <w:szCs w:val="21"/>
                <w:shd w:val="clear" w:color="auto" w:fill="auto"/>
              </w:rPr>
            </w:pPr>
            <w:r>
              <w:rPr>
                <w:rFonts w:hint="eastAsia" w:ascii="宋体" w:hAnsi="宋体" w:eastAsia="宋体" w:cs="宋体"/>
                <w:b/>
                <w:color w:val="auto"/>
                <w:kern w:val="2"/>
                <w:szCs w:val="21"/>
                <w:shd w:val="clear" w:color="auto" w:fill="auto"/>
              </w:rPr>
              <w:t>配置场所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7" w:hRule="atLeast"/>
          <w:jc w:val="center"/>
        </w:trPr>
        <w:tc>
          <w:tcPr>
            <w:tcW w:w="810" w:type="dxa"/>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b/>
                <w:color w:val="auto"/>
                <w:kern w:val="2"/>
                <w:szCs w:val="21"/>
                <w:shd w:val="clear" w:color="auto" w:fill="auto"/>
              </w:rPr>
            </w:pPr>
            <w:r>
              <w:rPr>
                <w:rFonts w:hint="eastAsia" w:ascii="宋体" w:hAnsi="宋体" w:eastAsia="宋体" w:cs="宋体"/>
                <w:b/>
                <w:color w:val="auto"/>
                <w:kern w:val="2"/>
                <w:szCs w:val="21"/>
                <w:shd w:val="clear" w:color="auto" w:fill="auto"/>
              </w:rPr>
              <w:t>1</w:t>
            </w:r>
          </w:p>
        </w:tc>
        <w:tc>
          <w:tcPr>
            <w:tcW w:w="347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Cs w:val="21"/>
                <w:shd w:val="clear" w:color="auto" w:fill="auto"/>
              </w:rPr>
            </w:pPr>
            <w:r>
              <w:rPr>
                <w:rFonts w:hint="eastAsia" w:ascii="宋体" w:hAnsi="宋体" w:eastAsia="宋体" w:cs="宋体"/>
                <w:color w:val="auto"/>
                <w:kern w:val="2"/>
                <w:sz w:val="21"/>
                <w:szCs w:val="21"/>
              </w:rPr>
              <w:t>干粉灭火器</w:t>
            </w:r>
          </w:p>
        </w:tc>
        <w:tc>
          <w:tcPr>
            <w:tcW w:w="1533"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Cs w:val="21"/>
                <w:shd w:val="clear" w:color="auto" w:fill="auto"/>
              </w:rPr>
            </w:pPr>
            <w:r>
              <w:rPr>
                <w:rFonts w:hint="eastAsia" w:ascii="宋体" w:hAnsi="宋体" w:eastAsia="宋体" w:cs="宋体"/>
                <w:color w:val="auto"/>
                <w:kern w:val="2"/>
                <w:sz w:val="21"/>
                <w:szCs w:val="21"/>
                <w:lang w:val="en-US" w:eastAsia="zh-CN"/>
              </w:rPr>
              <w:t>4</w:t>
            </w:r>
            <w:r>
              <w:rPr>
                <w:rFonts w:hint="eastAsia" w:ascii="宋体" w:hAnsi="宋体" w:eastAsia="宋体" w:cs="宋体"/>
                <w:color w:val="auto"/>
                <w:kern w:val="2"/>
                <w:sz w:val="21"/>
                <w:szCs w:val="21"/>
              </w:rPr>
              <w:t>kg</w:t>
            </w:r>
          </w:p>
        </w:tc>
        <w:tc>
          <w:tcPr>
            <w:tcW w:w="98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Cs w:val="21"/>
                <w:shd w:val="clear" w:color="auto" w:fill="auto"/>
              </w:rPr>
            </w:pPr>
            <w:r>
              <w:rPr>
                <w:rFonts w:hint="eastAsia" w:ascii="宋体" w:hAnsi="宋体" w:eastAsia="宋体" w:cs="宋体"/>
                <w:color w:val="auto"/>
                <w:kern w:val="2"/>
                <w:sz w:val="21"/>
                <w:szCs w:val="21"/>
                <w:lang w:val="en-US"/>
              </w:rPr>
              <w:t>1</w:t>
            </w:r>
            <w:r>
              <w:rPr>
                <w:rFonts w:hint="eastAsia" w:ascii="宋体" w:hAnsi="宋体" w:eastAsia="宋体" w:cs="宋体"/>
                <w:color w:val="auto"/>
                <w:kern w:val="2"/>
                <w:sz w:val="21"/>
                <w:szCs w:val="21"/>
                <w:lang w:val="en-US" w:eastAsia="zh-CN"/>
              </w:rPr>
              <w:t>0</w:t>
            </w:r>
            <w:r>
              <w:rPr>
                <w:rFonts w:hint="eastAsia" w:ascii="宋体" w:hAnsi="宋体" w:eastAsia="宋体" w:cs="宋体"/>
                <w:color w:val="auto"/>
                <w:kern w:val="2"/>
                <w:sz w:val="21"/>
                <w:szCs w:val="21"/>
              </w:rPr>
              <w:t>个</w:t>
            </w:r>
          </w:p>
        </w:tc>
        <w:tc>
          <w:tcPr>
            <w:tcW w:w="1605"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Cs w:val="21"/>
                <w:shd w:val="clear" w:color="auto" w:fill="auto"/>
              </w:rPr>
            </w:pPr>
            <w:r>
              <w:rPr>
                <w:rFonts w:hint="eastAsia" w:ascii="宋体" w:hAnsi="宋体" w:eastAsia="宋体" w:cs="宋体"/>
                <w:color w:val="auto"/>
                <w:kern w:val="2"/>
                <w:sz w:val="21"/>
                <w:szCs w:val="21"/>
              </w:rPr>
              <w:t>加油机旁、站房、配电房等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8" w:hRule="atLeast"/>
          <w:jc w:val="center"/>
        </w:trPr>
        <w:tc>
          <w:tcPr>
            <w:tcW w:w="810" w:type="dxa"/>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b/>
                <w:color w:val="auto"/>
                <w:kern w:val="2"/>
                <w:szCs w:val="21"/>
                <w:shd w:val="clear" w:color="auto" w:fill="auto"/>
              </w:rPr>
            </w:pPr>
            <w:r>
              <w:rPr>
                <w:rFonts w:hint="eastAsia" w:ascii="宋体" w:hAnsi="宋体" w:eastAsia="宋体" w:cs="宋体"/>
                <w:b/>
                <w:color w:val="auto"/>
                <w:kern w:val="2"/>
                <w:szCs w:val="21"/>
                <w:shd w:val="clear" w:color="auto" w:fill="auto"/>
                <w:lang w:val="en-US"/>
              </w:rPr>
              <w:t>2</w:t>
            </w:r>
          </w:p>
        </w:tc>
        <w:tc>
          <w:tcPr>
            <w:tcW w:w="347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Cs w:val="21"/>
                <w:shd w:val="clear" w:color="auto" w:fill="auto"/>
              </w:rPr>
            </w:pPr>
            <w:r>
              <w:rPr>
                <w:rFonts w:hint="eastAsia" w:ascii="宋体" w:hAnsi="宋体" w:eastAsia="宋体" w:cs="宋体"/>
                <w:color w:val="auto"/>
                <w:kern w:val="2"/>
                <w:sz w:val="21"/>
                <w:szCs w:val="21"/>
              </w:rPr>
              <w:t>干粉灭火器</w:t>
            </w:r>
          </w:p>
        </w:tc>
        <w:tc>
          <w:tcPr>
            <w:tcW w:w="1533"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Cs w:val="21"/>
                <w:shd w:val="clear" w:color="auto" w:fill="auto"/>
              </w:rPr>
            </w:pPr>
            <w:r>
              <w:rPr>
                <w:rFonts w:hint="eastAsia" w:ascii="宋体" w:hAnsi="宋体" w:eastAsia="宋体" w:cs="宋体"/>
                <w:color w:val="auto"/>
                <w:kern w:val="2"/>
                <w:sz w:val="21"/>
                <w:szCs w:val="21"/>
                <w:lang w:val="en-US"/>
              </w:rPr>
              <w:t>8kg</w:t>
            </w:r>
          </w:p>
        </w:tc>
        <w:tc>
          <w:tcPr>
            <w:tcW w:w="98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Cs w:val="21"/>
                <w:shd w:val="clear" w:color="auto" w:fill="auto"/>
              </w:rPr>
            </w:pPr>
            <w:r>
              <w:rPr>
                <w:rFonts w:hint="eastAsia" w:ascii="宋体" w:hAnsi="宋体" w:eastAsia="宋体" w:cs="宋体"/>
                <w:color w:val="auto"/>
                <w:kern w:val="2"/>
                <w:sz w:val="21"/>
                <w:szCs w:val="21"/>
                <w:lang w:val="en-US" w:eastAsia="zh-CN"/>
              </w:rPr>
              <w:t>8个</w:t>
            </w:r>
          </w:p>
        </w:tc>
        <w:tc>
          <w:tcPr>
            <w:tcW w:w="1605"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Cs w:val="21"/>
                <w:shd w:val="clear" w:color="auto" w:fill="auto"/>
              </w:rPr>
            </w:pPr>
            <w:r>
              <w:rPr>
                <w:rFonts w:hint="eastAsia" w:ascii="宋体" w:hAnsi="宋体" w:eastAsia="宋体" w:cs="宋体"/>
                <w:color w:val="auto"/>
                <w:kern w:val="2"/>
                <w:sz w:val="21"/>
                <w:szCs w:val="21"/>
              </w:rPr>
              <w:t>埋地油罐区</w:t>
            </w:r>
            <w:r>
              <w:rPr>
                <w:rFonts w:hint="eastAsia" w:ascii="宋体" w:hAnsi="宋体" w:eastAsia="宋体" w:cs="宋体"/>
                <w:color w:val="auto"/>
                <w:kern w:val="2"/>
                <w:sz w:val="21"/>
                <w:szCs w:val="21"/>
                <w:lang w:eastAsia="zh-CN"/>
              </w:rPr>
              <w:t>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8" w:hRule="atLeast"/>
          <w:jc w:val="center"/>
        </w:trPr>
        <w:tc>
          <w:tcPr>
            <w:tcW w:w="810" w:type="dxa"/>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b/>
                <w:color w:val="auto"/>
                <w:kern w:val="2"/>
                <w:szCs w:val="21"/>
                <w:shd w:val="clear" w:color="auto" w:fill="auto"/>
              </w:rPr>
            </w:pPr>
            <w:r>
              <w:rPr>
                <w:rFonts w:hint="eastAsia" w:ascii="宋体" w:hAnsi="宋体" w:eastAsia="宋体" w:cs="宋体"/>
                <w:b/>
                <w:color w:val="auto"/>
                <w:kern w:val="2"/>
                <w:szCs w:val="21"/>
                <w:shd w:val="clear" w:color="auto" w:fill="auto"/>
                <w:lang w:val="en-US"/>
              </w:rPr>
              <w:t>3</w:t>
            </w:r>
          </w:p>
        </w:tc>
        <w:tc>
          <w:tcPr>
            <w:tcW w:w="347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Cs w:val="21"/>
                <w:shd w:val="clear" w:color="auto" w:fill="auto"/>
              </w:rPr>
            </w:pPr>
            <w:r>
              <w:rPr>
                <w:rFonts w:hint="eastAsia" w:ascii="宋体" w:hAnsi="宋体" w:eastAsia="宋体" w:cs="宋体"/>
                <w:color w:val="auto"/>
                <w:kern w:val="2"/>
                <w:sz w:val="21"/>
                <w:szCs w:val="21"/>
                <w:lang w:eastAsia="zh-CN"/>
              </w:rPr>
              <w:t>手推式</w:t>
            </w:r>
            <w:r>
              <w:rPr>
                <w:rFonts w:hint="eastAsia" w:ascii="宋体" w:hAnsi="宋体" w:eastAsia="宋体" w:cs="宋体"/>
                <w:color w:val="auto"/>
                <w:kern w:val="2"/>
                <w:sz w:val="21"/>
                <w:szCs w:val="21"/>
              </w:rPr>
              <w:t>干粉灭火器</w:t>
            </w:r>
          </w:p>
        </w:tc>
        <w:tc>
          <w:tcPr>
            <w:tcW w:w="1533"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Cs w:val="21"/>
                <w:shd w:val="clear" w:color="auto" w:fill="auto"/>
              </w:rPr>
            </w:pPr>
            <w:r>
              <w:rPr>
                <w:rFonts w:hint="eastAsia" w:ascii="宋体" w:hAnsi="宋体" w:eastAsia="宋体" w:cs="宋体"/>
                <w:color w:val="auto"/>
                <w:kern w:val="2"/>
                <w:sz w:val="21"/>
                <w:szCs w:val="21"/>
              </w:rPr>
              <w:t>35kg</w:t>
            </w:r>
          </w:p>
        </w:tc>
        <w:tc>
          <w:tcPr>
            <w:tcW w:w="98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Cs w:val="21"/>
                <w:shd w:val="clear" w:color="auto" w:fill="auto"/>
              </w:rPr>
            </w:pPr>
            <w:r>
              <w:rPr>
                <w:rFonts w:hint="eastAsia" w:ascii="宋体" w:hAnsi="宋体" w:eastAsia="宋体" w:cs="宋体"/>
                <w:color w:val="auto"/>
                <w:kern w:val="2"/>
                <w:sz w:val="21"/>
                <w:szCs w:val="21"/>
                <w:lang w:val="en-US" w:eastAsia="zh-CN"/>
              </w:rPr>
              <w:t>2</w:t>
            </w:r>
            <w:r>
              <w:rPr>
                <w:rFonts w:hint="eastAsia" w:ascii="宋体" w:hAnsi="宋体" w:eastAsia="宋体" w:cs="宋体"/>
                <w:color w:val="auto"/>
                <w:kern w:val="2"/>
                <w:sz w:val="21"/>
                <w:szCs w:val="21"/>
              </w:rPr>
              <w:t>个</w:t>
            </w:r>
          </w:p>
        </w:tc>
        <w:tc>
          <w:tcPr>
            <w:tcW w:w="1605"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Cs w:val="21"/>
                <w:shd w:val="clear" w:color="auto" w:fill="auto"/>
              </w:rPr>
            </w:pPr>
            <w:r>
              <w:rPr>
                <w:rFonts w:hint="eastAsia" w:ascii="宋体" w:hAnsi="宋体" w:eastAsia="宋体" w:cs="宋体"/>
                <w:color w:val="auto"/>
                <w:kern w:val="2"/>
                <w:sz w:val="21"/>
                <w:szCs w:val="21"/>
              </w:rPr>
              <w:t>埋地油罐区、</w:t>
            </w:r>
            <w:r>
              <w:rPr>
                <w:rFonts w:hint="eastAsia" w:ascii="宋体" w:hAnsi="宋体" w:eastAsia="宋体" w:cs="宋体"/>
                <w:color w:val="auto"/>
                <w:kern w:val="2"/>
                <w:sz w:val="21"/>
                <w:szCs w:val="21"/>
                <w:lang w:eastAsia="zh-CN"/>
              </w:rPr>
              <w:t>加油机旁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8" w:hRule="atLeast"/>
          <w:jc w:val="center"/>
        </w:trPr>
        <w:tc>
          <w:tcPr>
            <w:tcW w:w="810" w:type="dxa"/>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b/>
                <w:color w:val="auto"/>
                <w:kern w:val="2"/>
                <w:szCs w:val="21"/>
                <w:shd w:val="clear" w:color="auto" w:fill="auto"/>
              </w:rPr>
            </w:pPr>
            <w:r>
              <w:rPr>
                <w:rFonts w:hint="eastAsia" w:ascii="宋体" w:hAnsi="宋体" w:eastAsia="宋体" w:cs="宋体"/>
                <w:b/>
                <w:color w:val="auto"/>
                <w:kern w:val="2"/>
                <w:szCs w:val="21"/>
                <w:shd w:val="clear" w:color="auto" w:fill="auto"/>
                <w:lang w:val="en-US"/>
              </w:rPr>
              <w:t>4</w:t>
            </w:r>
          </w:p>
        </w:tc>
        <w:tc>
          <w:tcPr>
            <w:tcW w:w="347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Cs w:val="21"/>
                <w:shd w:val="clear" w:color="auto" w:fill="auto"/>
              </w:rPr>
            </w:pPr>
            <w:r>
              <w:rPr>
                <w:rFonts w:hint="eastAsia" w:ascii="宋体" w:hAnsi="宋体" w:eastAsia="宋体" w:cs="宋体"/>
                <w:color w:val="auto"/>
                <w:kern w:val="2"/>
                <w:sz w:val="21"/>
                <w:szCs w:val="21"/>
              </w:rPr>
              <w:t>灭火毯</w:t>
            </w:r>
          </w:p>
        </w:tc>
        <w:tc>
          <w:tcPr>
            <w:tcW w:w="1533"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Cs w:val="21"/>
                <w:shd w:val="clear" w:color="auto" w:fill="auto"/>
              </w:rPr>
            </w:pPr>
            <w:r>
              <w:rPr>
                <w:rFonts w:hint="eastAsia" w:ascii="宋体" w:hAnsi="宋体" w:eastAsia="宋体" w:cs="宋体"/>
                <w:color w:val="auto"/>
                <w:kern w:val="2"/>
                <w:sz w:val="21"/>
                <w:szCs w:val="21"/>
              </w:rPr>
              <w:t>1</w:t>
            </w:r>
            <w:r>
              <w:rPr>
                <w:rFonts w:hint="eastAsia" w:ascii="宋体" w:hAnsi="宋体" w:eastAsia="宋体" w:cs="宋体"/>
                <w:color w:val="auto"/>
                <w:kern w:val="2"/>
                <w:sz w:val="21"/>
                <w:szCs w:val="21"/>
                <w:lang w:val="en-US" w:eastAsia="zh-CN"/>
              </w:rPr>
              <w:t>.5</w:t>
            </w:r>
            <w:r>
              <w:rPr>
                <w:rFonts w:hint="eastAsia" w:ascii="宋体" w:hAnsi="宋体" w:eastAsia="宋体" w:cs="宋体"/>
                <w:color w:val="auto"/>
                <w:kern w:val="2"/>
                <w:sz w:val="21"/>
                <w:szCs w:val="21"/>
              </w:rPr>
              <w:t>m×1</w:t>
            </w:r>
            <w:r>
              <w:rPr>
                <w:rFonts w:hint="eastAsia" w:ascii="宋体" w:hAnsi="宋体" w:eastAsia="宋体" w:cs="宋体"/>
                <w:color w:val="auto"/>
                <w:kern w:val="2"/>
                <w:sz w:val="21"/>
                <w:szCs w:val="21"/>
                <w:lang w:val="en-US" w:eastAsia="zh-CN"/>
              </w:rPr>
              <w:t>.5</w:t>
            </w:r>
            <w:r>
              <w:rPr>
                <w:rFonts w:hint="eastAsia" w:ascii="宋体" w:hAnsi="宋体" w:eastAsia="宋体" w:cs="宋体"/>
                <w:color w:val="auto"/>
                <w:kern w:val="2"/>
                <w:sz w:val="21"/>
                <w:szCs w:val="21"/>
              </w:rPr>
              <w:t>m</w:t>
            </w:r>
          </w:p>
        </w:tc>
        <w:tc>
          <w:tcPr>
            <w:tcW w:w="98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Cs w:val="21"/>
                <w:shd w:val="clear" w:color="auto" w:fill="auto"/>
              </w:rPr>
            </w:pPr>
            <w:r>
              <w:rPr>
                <w:rFonts w:hint="eastAsia" w:ascii="宋体" w:hAnsi="宋体" w:eastAsia="宋体" w:cs="宋体"/>
                <w:color w:val="auto"/>
                <w:kern w:val="2"/>
                <w:sz w:val="21"/>
                <w:szCs w:val="21"/>
              </w:rPr>
              <w:t>5块</w:t>
            </w:r>
          </w:p>
        </w:tc>
        <w:tc>
          <w:tcPr>
            <w:tcW w:w="1605"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Cs w:val="21"/>
                <w:shd w:val="clear" w:color="auto" w:fill="auto"/>
              </w:rPr>
            </w:pPr>
            <w:r>
              <w:rPr>
                <w:rFonts w:hint="eastAsia" w:ascii="宋体" w:hAnsi="宋体" w:eastAsia="宋体" w:cs="宋体"/>
                <w:color w:val="auto"/>
                <w:kern w:val="2"/>
                <w:sz w:val="21"/>
                <w:szCs w:val="21"/>
              </w:rPr>
              <w:t>消防器材间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3" w:hRule="atLeast"/>
          <w:jc w:val="center"/>
        </w:trPr>
        <w:tc>
          <w:tcPr>
            <w:tcW w:w="810" w:type="dxa"/>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b/>
                <w:color w:val="auto"/>
                <w:kern w:val="2"/>
                <w:szCs w:val="21"/>
                <w:shd w:val="clear" w:color="auto" w:fill="auto"/>
              </w:rPr>
            </w:pPr>
            <w:r>
              <w:rPr>
                <w:rFonts w:hint="eastAsia" w:ascii="宋体" w:hAnsi="宋体" w:eastAsia="宋体" w:cs="宋体"/>
                <w:b/>
                <w:color w:val="auto"/>
                <w:kern w:val="2"/>
                <w:szCs w:val="21"/>
                <w:shd w:val="clear" w:color="auto" w:fill="auto"/>
                <w:lang w:val="en-US"/>
              </w:rPr>
              <w:t>5</w:t>
            </w:r>
          </w:p>
        </w:tc>
        <w:tc>
          <w:tcPr>
            <w:tcW w:w="347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Cs w:val="21"/>
                <w:shd w:val="clear" w:color="auto" w:fill="auto"/>
              </w:rPr>
            </w:pPr>
            <w:r>
              <w:rPr>
                <w:rFonts w:hint="eastAsia" w:ascii="宋体" w:hAnsi="宋体" w:eastAsia="宋体" w:cs="宋体"/>
                <w:color w:val="auto"/>
                <w:kern w:val="2"/>
                <w:sz w:val="21"/>
                <w:szCs w:val="21"/>
              </w:rPr>
              <w:t>消防沙</w:t>
            </w:r>
          </w:p>
        </w:tc>
        <w:tc>
          <w:tcPr>
            <w:tcW w:w="1533"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Cs w:val="21"/>
                <w:shd w:val="clear" w:color="auto" w:fill="auto"/>
              </w:rPr>
            </w:pPr>
            <w:r>
              <w:rPr>
                <w:rFonts w:hint="eastAsia" w:ascii="宋体" w:hAnsi="宋体" w:eastAsia="宋体" w:cs="宋体"/>
                <w:color w:val="auto"/>
                <w:kern w:val="2"/>
                <w:szCs w:val="21"/>
              </w:rPr>
              <w:t>－</w:t>
            </w:r>
          </w:p>
        </w:tc>
        <w:tc>
          <w:tcPr>
            <w:tcW w:w="98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Cs w:val="21"/>
                <w:shd w:val="clear" w:color="auto" w:fill="auto"/>
                <w:lang w:eastAsia="zh-CN"/>
              </w:rPr>
            </w:pPr>
            <w:r>
              <w:rPr>
                <w:rFonts w:hint="eastAsia" w:ascii="宋体" w:hAnsi="宋体" w:eastAsia="宋体" w:cs="宋体"/>
                <w:color w:val="auto"/>
                <w:kern w:val="2"/>
                <w:sz w:val="21"/>
                <w:szCs w:val="21"/>
                <w:lang w:val="en-US" w:eastAsia="zh-CN"/>
              </w:rPr>
              <w:t>2</w:t>
            </w:r>
            <w:r>
              <w:rPr>
                <w:rFonts w:hint="eastAsia" w:ascii="宋体" w:hAnsi="宋体" w:eastAsia="宋体" w:cs="宋体"/>
                <w:color w:val="auto"/>
                <w:kern w:val="2"/>
                <w:sz w:val="21"/>
                <w:szCs w:val="21"/>
              </w:rPr>
              <w:t>m</w:t>
            </w:r>
            <w:r>
              <w:rPr>
                <w:rFonts w:hint="eastAsia" w:ascii="宋体" w:hAnsi="宋体" w:eastAsia="宋体" w:cs="宋体"/>
                <w:color w:val="auto"/>
                <w:kern w:val="2"/>
                <w:sz w:val="21"/>
                <w:szCs w:val="21"/>
                <w:vertAlign w:val="superscript"/>
              </w:rPr>
              <w:t>3</w:t>
            </w:r>
          </w:p>
        </w:tc>
        <w:tc>
          <w:tcPr>
            <w:tcW w:w="1605"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Cs w:val="21"/>
                <w:shd w:val="clear" w:color="auto" w:fill="auto"/>
              </w:rPr>
            </w:pPr>
            <w:r>
              <w:rPr>
                <w:rFonts w:hint="eastAsia" w:ascii="宋体" w:hAnsi="宋体" w:eastAsia="宋体" w:cs="宋体"/>
                <w:color w:val="auto"/>
                <w:kern w:val="2"/>
                <w:sz w:val="21"/>
                <w:szCs w:val="21"/>
              </w:rPr>
              <w:t>消防沙池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3" w:hRule="atLeast"/>
          <w:jc w:val="center"/>
        </w:trPr>
        <w:tc>
          <w:tcPr>
            <w:tcW w:w="810" w:type="dxa"/>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b/>
                <w:color w:val="auto"/>
                <w:kern w:val="2"/>
                <w:szCs w:val="21"/>
                <w:shd w:val="clear" w:color="auto" w:fill="auto"/>
              </w:rPr>
            </w:pPr>
            <w:r>
              <w:rPr>
                <w:rFonts w:hint="eastAsia" w:ascii="宋体" w:hAnsi="宋体" w:eastAsia="宋体" w:cs="宋体"/>
                <w:b/>
                <w:color w:val="auto"/>
                <w:kern w:val="2"/>
                <w:szCs w:val="21"/>
                <w:shd w:val="clear" w:color="auto" w:fill="auto"/>
                <w:lang w:val="en-US"/>
              </w:rPr>
              <w:t>6</w:t>
            </w:r>
          </w:p>
        </w:tc>
        <w:tc>
          <w:tcPr>
            <w:tcW w:w="3470" w:type="dxa"/>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Cs w:val="21"/>
                <w:shd w:val="clear" w:color="auto" w:fill="auto"/>
              </w:rPr>
            </w:pPr>
            <w:r>
              <w:rPr>
                <w:rFonts w:hint="eastAsia" w:ascii="宋体" w:hAnsi="宋体" w:eastAsia="宋体" w:cs="宋体"/>
                <w:color w:val="auto"/>
                <w:kern w:val="2"/>
                <w:szCs w:val="21"/>
              </w:rPr>
              <w:t>消防锹</w:t>
            </w:r>
          </w:p>
        </w:tc>
        <w:tc>
          <w:tcPr>
            <w:tcW w:w="1533" w:type="dxa"/>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Cs w:val="21"/>
                <w:shd w:val="clear" w:color="auto" w:fill="auto"/>
              </w:rPr>
            </w:pPr>
            <w:r>
              <w:rPr>
                <w:rFonts w:hint="eastAsia" w:ascii="宋体" w:hAnsi="宋体" w:eastAsia="宋体" w:cs="宋体"/>
                <w:color w:val="auto"/>
                <w:kern w:val="2"/>
                <w:szCs w:val="21"/>
              </w:rPr>
              <w:t>－</w:t>
            </w:r>
          </w:p>
        </w:tc>
        <w:tc>
          <w:tcPr>
            <w:tcW w:w="984" w:type="dxa"/>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Cs w:val="21"/>
                <w:shd w:val="clear" w:color="auto" w:fill="auto"/>
              </w:rPr>
            </w:pPr>
            <w:r>
              <w:rPr>
                <w:rFonts w:hint="eastAsia" w:ascii="宋体" w:hAnsi="宋体" w:eastAsia="宋体" w:cs="宋体"/>
                <w:color w:val="auto"/>
                <w:kern w:val="2"/>
                <w:szCs w:val="21"/>
                <w:lang w:val="en-US" w:eastAsia="zh-CN"/>
              </w:rPr>
              <w:t>2</w:t>
            </w:r>
            <w:r>
              <w:rPr>
                <w:rFonts w:hint="eastAsia" w:ascii="宋体" w:hAnsi="宋体" w:eastAsia="宋体" w:cs="宋体"/>
                <w:color w:val="auto"/>
                <w:kern w:val="2"/>
                <w:szCs w:val="21"/>
              </w:rPr>
              <w:t>把</w:t>
            </w:r>
          </w:p>
        </w:tc>
        <w:tc>
          <w:tcPr>
            <w:tcW w:w="1605" w:type="dxa"/>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Cs w:val="21"/>
                <w:shd w:val="clear" w:color="auto" w:fill="auto"/>
              </w:rPr>
            </w:pPr>
            <w:r>
              <w:rPr>
                <w:rFonts w:hint="eastAsia" w:ascii="宋体" w:hAnsi="宋体" w:eastAsia="宋体" w:cs="宋体"/>
                <w:color w:val="auto"/>
                <w:kern w:val="2"/>
                <w:sz w:val="21"/>
                <w:szCs w:val="21"/>
              </w:rPr>
              <w:t>消防器材间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3" w:hRule="atLeast"/>
          <w:jc w:val="center"/>
        </w:trPr>
        <w:tc>
          <w:tcPr>
            <w:tcW w:w="810" w:type="dxa"/>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b/>
                <w:color w:val="auto"/>
                <w:kern w:val="2"/>
                <w:szCs w:val="21"/>
                <w:shd w:val="clear" w:color="auto" w:fill="auto"/>
                <w:lang w:val="en-US" w:eastAsia="zh-CN"/>
              </w:rPr>
            </w:pPr>
            <w:r>
              <w:rPr>
                <w:rFonts w:hint="eastAsia" w:ascii="宋体" w:hAnsi="宋体" w:eastAsia="宋体" w:cs="宋体"/>
                <w:b/>
                <w:color w:val="auto"/>
                <w:kern w:val="2"/>
                <w:szCs w:val="21"/>
                <w:shd w:val="clear" w:color="auto" w:fill="auto"/>
                <w:lang w:val="en-US" w:eastAsia="zh-CN"/>
              </w:rPr>
              <w:t>7</w:t>
            </w:r>
          </w:p>
        </w:tc>
        <w:tc>
          <w:tcPr>
            <w:tcW w:w="3470" w:type="dxa"/>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Cs w:val="21"/>
                <w:lang w:eastAsia="zh-CN"/>
              </w:rPr>
            </w:pPr>
            <w:r>
              <w:rPr>
                <w:rFonts w:hint="eastAsia" w:ascii="宋体" w:hAnsi="宋体" w:eastAsia="宋体" w:cs="宋体"/>
                <w:color w:val="auto"/>
                <w:kern w:val="2"/>
                <w:szCs w:val="21"/>
                <w:lang w:eastAsia="zh-CN"/>
              </w:rPr>
              <w:t>消防桶</w:t>
            </w:r>
          </w:p>
        </w:tc>
        <w:tc>
          <w:tcPr>
            <w:tcW w:w="1533" w:type="dxa"/>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Cs w:val="21"/>
                <w:lang w:eastAsia="zh-CN"/>
              </w:rPr>
            </w:pPr>
            <w:r>
              <w:rPr>
                <w:rFonts w:hint="eastAsia" w:ascii="宋体" w:hAnsi="宋体" w:eastAsia="宋体" w:cs="宋体"/>
                <w:color w:val="auto"/>
                <w:kern w:val="2"/>
                <w:szCs w:val="21"/>
              </w:rPr>
              <w:t>－</w:t>
            </w:r>
          </w:p>
        </w:tc>
        <w:tc>
          <w:tcPr>
            <w:tcW w:w="984" w:type="dxa"/>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Cs w:val="21"/>
                <w:lang w:val="en-US" w:eastAsia="zh-CN"/>
              </w:rPr>
            </w:pPr>
            <w:r>
              <w:rPr>
                <w:rFonts w:hint="eastAsia" w:ascii="宋体" w:hAnsi="宋体" w:eastAsia="宋体" w:cs="宋体"/>
                <w:color w:val="auto"/>
                <w:kern w:val="2"/>
                <w:szCs w:val="21"/>
                <w:lang w:val="en-US" w:eastAsia="zh-CN"/>
              </w:rPr>
              <w:t>5个</w:t>
            </w:r>
          </w:p>
        </w:tc>
        <w:tc>
          <w:tcPr>
            <w:tcW w:w="1605" w:type="dxa"/>
            <w:vAlign w:val="center"/>
          </w:tcPr>
          <w:p>
            <w:pPr>
              <w:keepNext w:val="0"/>
              <w:keepLines w:val="0"/>
              <w:suppressLineNumbers w:val="0"/>
              <w:spacing w:before="0" w:beforeAutospacing="0" w:after="0" w:afterAutospacing="0" w:line="36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消防器材间</w:t>
            </w:r>
          </w:p>
        </w:tc>
      </w:tr>
    </w:tbl>
    <w:p>
      <w:pPr>
        <w:pStyle w:val="4"/>
        <w:spacing w:before="240" w:beforeLines="100" w:after="240" w:afterLines="100" w:line="240" w:lineRule="auto"/>
        <w:ind w:firstLine="562" w:firstLineChars="200"/>
        <w:rPr>
          <w:rFonts w:hint="eastAsia" w:ascii="宋体" w:hAnsi="宋体" w:eastAsia="宋体" w:cs="宋体"/>
          <w:sz w:val="28"/>
          <w:szCs w:val="28"/>
          <w:lang w:val="en-US"/>
        </w:rPr>
      </w:pPr>
      <w:bookmarkStart w:id="211" w:name="_Toc14515_WPSOffice_Level3"/>
      <w:r>
        <w:rPr>
          <w:rFonts w:hint="eastAsia" w:ascii="宋体" w:hAnsi="宋体" w:eastAsia="宋体" w:cs="宋体"/>
          <w:sz w:val="28"/>
          <w:szCs w:val="28"/>
          <w:lang w:val="en-US"/>
        </w:rPr>
        <w:t>2.6.4 防雷设施</w:t>
      </w:r>
      <w:bookmarkEnd w:id="210"/>
      <w:bookmarkEnd w:id="211"/>
    </w:p>
    <w:p>
      <w:pPr>
        <w:keepNext w:val="0"/>
        <w:keepLines w:val="0"/>
        <w:pageBreakBefore w:val="0"/>
        <w:widowControl/>
        <w:kinsoku/>
        <w:wordWrap/>
        <w:overflowPunct/>
        <w:topLinePunct w:val="0"/>
        <w:autoSpaceDE w:val="0"/>
        <w:autoSpaceDN w:val="0"/>
        <w:bidi w:val="0"/>
        <w:adjustRightInd/>
        <w:snapToGrid/>
        <w:spacing w:line="560" w:lineRule="exact"/>
        <w:ind w:firstLine="560" w:firstLineChars="200"/>
        <w:jc w:val="both"/>
        <w:textAlignment w:val="auto"/>
        <w:rPr>
          <w:rFonts w:hint="eastAsia" w:ascii="宋体" w:hAnsi="宋体" w:eastAsia="宋体" w:cs="宋体"/>
          <w:sz w:val="28"/>
          <w:szCs w:val="28"/>
        </w:rPr>
      </w:pPr>
      <w:bookmarkStart w:id="212" w:name="_Toc25602_WPSOffice_Level2"/>
      <w:bookmarkStart w:id="213" w:name="_Toc29963_WPSOffice_Level2"/>
      <w:bookmarkStart w:id="214" w:name="_Toc24855"/>
      <w:bookmarkStart w:id="215" w:name="_Toc7608"/>
      <w:bookmarkStart w:id="216" w:name="_Toc2391_WPSOffice_Level2"/>
      <w:r>
        <w:rPr>
          <w:rFonts w:hint="eastAsia" w:ascii="宋体" w:hAnsi="宋体" w:eastAsia="宋体" w:cs="宋体"/>
          <w:sz w:val="28"/>
          <w:szCs w:val="28"/>
        </w:rPr>
        <w:t>按照《建筑物防雷设计规范》（GB 50057-2010），加油站改建项目范围更换SF双层埋地油罐及工艺管道部分等设备设施，属第二类防雷建筑物。本次改建不涉及到加油棚及</w:t>
      </w:r>
      <w:r>
        <w:rPr>
          <w:rFonts w:hint="eastAsia" w:ascii="宋体" w:hAnsi="宋体" w:eastAsia="宋体" w:cs="宋体"/>
          <w:sz w:val="28"/>
          <w:szCs w:val="28"/>
          <w:lang w:eastAsia="zh-CN"/>
        </w:rPr>
        <w:t>辅助用房</w:t>
      </w:r>
      <w:r>
        <w:rPr>
          <w:rFonts w:hint="eastAsia" w:ascii="宋体" w:hAnsi="宋体" w:eastAsia="宋体" w:cs="宋体"/>
          <w:sz w:val="28"/>
          <w:szCs w:val="28"/>
        </w:rPr>
        <w:t>等站内建筑物。该加油站的建筑按第二类防雷建筑物设计</w:t>
      </w:r>
      <w:r>
        <w:rPr>
          <w:rFonts w:hint="eastAsia" w:ascii="宋体" w:hAnsi="宋体" w:eastAsia="宋体" w:cs="宋体"/>
          <w:color w:val="auto"/>
          <w:sz w:val="28"/>
          <w:szCs w:val="28"/>
          <w:highlight w:val="none"/>
        </w:rPr>
        <w:t>。</w:t>
      </w:r>
    </w:p>
    <w:p>
      <w:pPr>
        <w:keepNext w:val="0"/>
        <w:keepLines w:val="0"/>
        <w:pageBreakBefore w:val="0"/>
        <w:widowControl/>
        <w:kinsoku/>
        <w:wordWrap/>
        <w:overflowPunct/>
        <w:topLinePunct w:val="0"/>
        <w:autoSpaceDE w:val="0"/>
        <w:autoSpaceDN w:val="0"/>
        <w:bidi w:val="0"/>
        <w:adjustRightInd/>
        <w:snapToGrid/>
        <w:spacing w:line="56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（1）站区新增人工接地装置，埋地油罐的罐体按规范要求与人工接地装置相连进行防雷接地后，其量油孔、阻火器等金属附件与露出地面的工艺管道进行电气连接并接地。</w:t>
      </w:r>
    </w:p>
    <w:p>
      <w:pPr>
        <w:keepNext w:val="0"/>
        <w:keepLines w:val="0"/>
        <w:pageBreakBefore w:val="0"/>
        <w:widowControl/>
        <w:kinsoku/>
        <w:wordWrap/>
        <w:overflowPunct/>
        <w:topLinePunct w:val="0"/>
        <w:autoSpaceDE w:val="0"/>
        <w:autoSpaceDN w:val="0"/>
        <w:bidi w:val="0"/>
        <w:adjustRightInd/>
        <w:snapToGrid/>
        <w:spacing w:line="56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（2）高出</w:t>
      </w:r>
      <w:r>
        <w:rPr>
          <w:rFonts w:hint="eastAsia" w:ascii="宋体" w:hAnsi="宋体" w:eastAsia="宋体" w:cs="宋体"/>
          <w:sz w:val="28"/>
          <w:szCs w:val="28"/>
          <w:lang w:eastAsia="zh-CN"/>
        </w:rPr>
        <w:t>地面</w:t>
      </w:r>
      <w:r>
        <w:rPr>
          <w:rFonts w:hint="eastAsia" w:ascii="宋体" w:hAnsi="宋体" w:eastAsia="宋体" w:cs="宋体"/>
          <w:sz w:val="28"/>
          <w:szCs w:val="28"/>
          <w:lang w:val="en-US" w:eastAsia="zh-CN"/>
        </w:rPr>
        <w:t>4米且</w:t>
      </w:r>
      <w:r>
        <w:rPr>
          <w:rFonts w:hint="eastAsia" w:ascii="宋体" w:hAnsi="宋体" w:eastAsia="宋体" w:cs="宋体"/>
          <w:sz w:val="28"/>
          <w:szCs w:val="28"/>
        </w:rPr>
        <w:t>带</w:t>
      </w:r>
      <w:r>
        <w:rPr>
          <w:rFonts w:hint="eastAsia" w:ascii="宋体" w:hAnsi="宋体" w:eastAsia="宋体" w:cs="宋体"/>
          <w:sz w:val="28"/>
          <w:szCs w:val="28"/>
          <w:lang w:eastAsia="zh-CN"/>
        </w:rPr>
        <w:t>有</w:t>
      </w:r>
      <w:r>
        <w:rPr>
          <w:rFonts w:hint="eastAsia" w:ascii="宋体" w:hAnsi="宋体" w:eastAsia="宋体" w:cs="宋体"/>
          <w:sz w:val="28"/>
          <w:szCs w:val="28"/>
        </w:rPr>
        <w:t>阻火器的通气管按规范要求与接地扁钢相连进行</w:t>
      </w:r>
      <w:r>
        <w:rPr>
          <w:rFonts w:hint="eastAsia" w:ascii="宋体" w:hAnsi="宋体" w:eastAsia="宋体" w:cs="宋体"/>
          <w:sz w:val="28"/>
          <w:szCs w:val="28"/>
          <w:lang w:eastAsia="zh-CN"/>
        </w:rPr>
        <w:t>了</w:t>
      </w:r>
      <w:r>
        <w:rPr>
          <w:rFonts w:hint="eastAsia" w:ascii="宋体" w:hAnsi="宋体" w:eastAsia="宋体" w:cs="宋体"/>
          <w:sz w:val="28"/>
          <w:szCs w:val="28"/>
        </w:rPr>
        <w:t>防雷接地。</w:t>
      </w:r>
    </w:p>
    <w:p>
      <w:pPr>
        <w:keepNext w:val="0"/>
        <w:keepLines w:val="0"/>
        <w:pageBreakBefore w:val="0"/>
        <w:widowControl/>
        <w:kinsoku/>
        <w:wordWrap/>
        <w:overflowPunct/>
        <w:topLinePunct w:val="0"/>
        <w:autoSpaceDE w:val="0"/>
        <w:autoSpaceDN w:val="0"/>
        <w:bidi w:val="0"/>
        <w:adjustRightInd/>
        <w:snapToGrid/>
        <w:spacing w:line="56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（3）防静电：</w:t>
      </w:r>
    </w:p>
    <w:p>
      <w:pPr>
        <w:keepNext w:val="0"/>
        <w:keepLines w:val="0"/>
        <w:pageBreakBefore w:val="0"/>
        <w:widowControl/>
        <w:kinsoku/>
        <w:wordWrap/>
        <w:overflowPunct/>
        <w:topLinePunct w:val="0"/>
        <w:autoSpaceDE w:val="0"/>
        <w:autoSpaceDN w:val="0"/>
        <w:bidi w:val="0"/>
        <w:adjustRightInd/>
        <w:snapToGrid/>
        <w:spacing w:line="56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1）油罐防雷接地装置兼做防静电接地装置。</w:t>
      </w:r>
    </w:p>
    <w:p>
      <w:pPr>
        <w:keepNext w:val="0"/>
        <w:keepLines w:val="0"/>
        <w:pageBreakBefore w:val="0"/>
        <w:widowControl/>
        <w:kinsoku/>
        <w:wordWrap/>
        <w:overflowPunct/>
        <w:topLinePunct w:val="0"/>
        <w:autoSpaceDE w:val="0"/>
        <w:autoSpaceDN w:val="0"/>
        <w:bidi w:val="0"/>
        <w:adjustRightInd/>
        <w:snapToGrid/>
        <w:spacing w:line="56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2）加油机、金属构架、地上或管沟敷设的油品管道的始端、末端、分支处及管道直线段每隔80~100m等位置均有接地。</w:t>
      </w:r>
    </w:p>
    <w:p>
      <w:pPr>
        <w:keepNext w:val="0"/>
        <w:keepLines w:val="0"/>
        <w:pageBreakBefore w:val="0"/>
        <w:widowControl/>
        <w:kinsoku/>
        <w:wordWrap/>
        <w:overflowPunct/>
        <w:topLinePunct w:val="0"/>
        <w:autoSpaceDE w:val="0"/>
        <w:autoSpaceDN w:val="0"/>
        <w:bidi w:val="0"/>
        <w:adjustRightInd/>
        <w:snapToGrid/>
        <w:spacing w:line="56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3）密闭卸油池设置接地端子，为槽车静电接地提供接地点。</w:t>
      </w:r>
    </w:p>
    <w:p>
      <w:pPr>
        <w:keepNext w:val="0"/>
        <w:keepLines w:val="0"/>
        <w:pageBreakBefore w:val="0"/>
        <w:widowControl/>
        <w:kinsoku/>
        <w:wordWrap/>
        <w:overflowPunct/>
        <w:topLinePunct w:val="0"/>
        <w:autoSpaceDE w:val="0"/>
        <w:autoSpaceDN w:val="0"/>
        <w:bidi w:val="0"/>
        <w:adjustRightInd/>
        <w:snapToGrid/>
        <w:spacing w:line="56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（4）站区的设备、管道、构架等主要金属物就近与人工接地装置相连。</w:t>
      </w:r>
    </w:p>
    <w:p>
      <w:pPr>
        <w:keepNext w:val="0"/>
        <w:keepLines w:val="0"/>
        <w:pageBreakBefore w:val="0"/>
        <w:widowControl/>
        <w:kinsoku/>
        <w:wordWrap/>
        <w:overflowPunct/>
        <w:topLinePunct w:val="0"/>
        <w:autoSpaceDE w:val="0"/>
        <w:autoSpaceDN w:val="0"/>
        <w:bidi w:val="0"/>
        <w:adjustRightInd/>
        <w:snapToGrid/>
        <w:spacing w:line="56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（5）平行敷设的地上管道其相互间净距小于100mm时，每隔20~30m用16mm</w:t>
      </w:r>
      <w:r>
        <w:rPr>
          <w:rFonts w:hint="eastAsia" w:ascii="宋体" w:hAnsi="宋体" w:eastAsia="宋体" w:cs="宋体"/>
          <w:sz w:val="28"/>
          <w:szCs w:val="28"/>
          <w:lang w:val="en-US" w:eastAsia="zh-CN"/>
        </w:rPr>
        <w:t>²</w:t>
      </w:r>
      <w:r>
        <w:rPr>
          <w:rFonts w:hint="eastAsia" w:ascii="宋体" w:hAnsi="宋体" w:eastAsia="宋体" w:cs="宋体"/>
          <w:sz w:val="28"/>
          <w:szCs w:val="28"/>
        </w:rPr>
        <w:t>的铜跨接线作跨接，交叉点净距小于100mm时在交叉点也要用16mm</w:t>
      </w:r>
      <w:r>
        <w:rPr>
          <w:rFonts w:hint="eastAsia" w:ascii="宋体" w:hAnsi="宋体" w:eastAsia="宋体" w:cs="宋体"/>
          <w:sz w:val="28"/>
          <w:szCs w:val="28"/>
          <w:lang w:val="en-US" w:eastAsia="zh-CN"/>
        </w:rPr>
        <w:t>²</w:t>
      </w:r>
      <w:r>
        <w:rPr>
          <w:rFonts w:hint="eastAsia" w:ascii="宋体" w:hAnsi="宋体" w:eastAsia="宋体" w:cs="宋体"/>
          <w:sz w:val="28"/>
          <w:szCs w:val="28"/>
        </w:rPr>
        <w:t>的铜跨接线作跨接；管道连接处(如阀门、法兰等)及法兰螺栓少于5个时亦用16mm</w:t>
      </w:r>
      <w:r>
        <w:rPr>
          <w:rFonts w:hint="eastAsia" w:ascii="宋体" w:hAnsi="宋体" w:eastAsia="宋体" w:cs="宋体"/>
          <w:sz w:val="28"/>
          <w:szCs w:val="28"/>
          <w:lang w:val="en-US" w:eastAsia="zh-CN"/>
        </w:rPr>
        <w:t>²</w:t>
      </w:r>
      <w:r>
        <w:rPr>
          <w:rFonts w:hint="eastAsia" w:ascii="宋体" w:hAnsi="宋体" w:eastAsia="宋体" w:cs="宋体"/>
          <w:sz w:val="28"/>
          <w:szCs w:val="28"/>
        </w:rPr>
        <w:t>的铜跨接线作跨接。</w:t>
      </w:r>
    </w:p>
    <w:p>
      <w:pPr>
        <w:keepNext w:val="0"/>
        <w:keepLines w:val="0"/>
        <w:pageBreakBefore w:val="0"/>
        <w:widowControl/>
        <w:kinsoku/>
        <w:wordWrap/>
        <w:overflowPunct/>
        <w:topLinePunct w:val="0"/>
        <w:autoSpaceDE w:val="0"/>
        <w:autoSpaceDN w:val="0"/>
        <w:bidi w:val="0"/>
        <w:adjustRightInd/>
        <w:snapToGrid/>
        <w:spacing w:line="56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（6）站房作防雷引下线的柱主筋与本次设计的人工接地装置相连，储罐接地线也与人工接地装置相连，站内防雷接地</w:t>
      </w:r>
      <w:r>
        <w:rPr>
          <w:rFonts w:hint="eastAsia" w:ascii="宋体" w:hAnsi="宋体" w:eastAsia="宋体" w:cs="宋体"/>
          <w:sz w:val="28"/>
          <w:szCs w:val="28"/>
          <w:lang w:eastAsia="zh-CN"/>
        </w:rPr>
        <w:t>，</w:t>
      </w:r>
      <w:r>
        <w:rPr>
          <w:rFonts w:hint="eastAsia" w:ascii="宋体" w:hAnsi="宋体" w:eastAsia="宋体" w:cs="宋体"/>
          <w:sz w:val="28"/>
          <w:szCs w:val="28"/>
        </w:rPr>
        <w:t>防静电接地</w:t>
      </w:r>
      <w:r>
        <w:rPr>
          <w:rFonts w:hint="eastAsia" w:ascii="宋体" w:hAnsi="宋体" w:eastAsia="宋体" w:cs="宋体"/>
          <w:sz w:val="28"/>
          <w:szCs w:val="28"/>
          <w:lang w:eastAsia="zh-CN"/>
        </w:rPr>
        <w:t>，</w:t>
      </w:r>
      <w:r>
        <w:rPr>
          <w:rFonts w:hint="eastAsia" w:ascii="宋体" w:hAnsi="宋体" w:eastAsia="宋体" w:cs="宋体"/>
          <w:sz w:val="28"/>
          <w:szCs w:val="28"/>
        </w:rPr>
        <w:t>电气设备工作接地</w:t>
      </w:r>
      <w:r>
        <w:rPr>
          <w:rFonts w:hint="eastAsia" w:ascii="宋体" w:hAnsi="宋体" w:eastAsia="宋体" w:cs="宋体"/>
          <w:sz w:val="28"/>
          <w:szCs w:val="28"/>
          <w:lang w:eastAsia="zh-CN"/>
        </w:rPr>
        <w:t>，</w:t>
      </w:r>
      <w:r>
        <w:rPr>
          <w:rFonts w:hint="eastAsia" w:ascii="宋体" w:hAnsi="宋体" w:eastAsia="宋体" w:cs="宋体"/>
          <w:sz w:val="28"/>
          <w:szCs w:val="28"/>
        </w:rPr>
        <w:t>保护接</w:t>
      </w:r>
      <w:r>
        <w:rPr>
          <w:rFonts w:hint="eastAsia" w:ascii="宋体" w:hAnsi="宋体" w:eastAsia="宋体" w:cs="宋体"/>
          <w:sz w:val="28"/>
          <w:szCs w:val="28"/>
          <w:lang w:eastAsia="zh-CN"/>
        </w:rPr>
        <w:t>地，</w:t>
      </w:r>
      <w:r>
        <w:rPr>
          <w:rFonts w:hint="eastAsia" w:ascii="宋体" w:hAnsi="宋体" w:eastAsia="宋体" w:cs="宋体"/>
          <w:sz w:val="28"/>
          <w:szCs w:val="28"/>
        </w:rPr>
        <w:t>共用接地装置</w:t>
      </w:r>
      <w:r>
        <w:rPr>
          <w:rFonts w:hint="eastAsia" w:ascii="宋体" w:hAnsi="宋体" w:eastAsia="宋体" w:cs="宋体"/>
          <w:sz w:val="28"/>
          <w:szCs w:val="28"/>
          <w:lang w:eastAsia="zh-CN"/>
        </w:rPr>
        <w:t>，</w:t>
      </w:r>
      <w:r>
        <w:rPr>
          <w:rFonts w:hint="eastAsia" w:ascii="宋体" w:hAnsi="宋体" w:eastAsia="宋体" w:cs="宋体"/>
          <w:sz w:val="28"/>
          <w:szCs w:val="28"/>
        </w:rPr>
        <w:t>在站内形成接地网，接地电阻取其中最小值为不大于4Ω。</w:t>
      </w:r>
    </w:p>
    <w:p>
      <w:pPr>
        <w:pStyle w:val="3"/>
        <w:tabs>
          <w:tab w:val="left" w:pos="3119"/>
        </w:tabs>
        <w:spacing w:before="240" w:beforeLines="100" w:after="240" w:afterLines="100"/>
        <w:ind w:firstLine="0"/>
        <w:jc w:val="center"/>
        <w:rPr>
          <w:rFonts w:hint="eastAsia" w:ascii="宋体" w:hAnsi="宋体" w:eastAsia="宋体" w:cs="宋体"/>
          <w:b/>
          <w:bCs/>
          <w:lang w:val="en-US"/>
        </w:rPr>
      </w:pPr>
      <w:bookmarkStart w:id="217" w:name="_Toc26968"/>
      <w:r>
        <w:rPr>
          <w:rFonts w:hint="eastAsia" w:ascii="宋体" w:hAnsi="宋体" w:eastAsia="宋体" w:cs="宋体"/>
          <w:b/>
          <w:bCs/>
          <w:lang w:val="en-US"/>
        </w:rPr>
        <w:t>2.7 改造工程施工情况</w:t>
      </w:r>
      <w:bookmarkEnd w:id="212"/>
      <w:bookmarkEnd w:id="213"/>
      <w:bookmarkEnd w:id="214"/>
      <w:bookmarkEnd w:id="215"/>
      <w:bookmarkEnd w:id="216"/>
      <w:bookmarkEnd w:id="217"/>
    </w:p>
    <w:p>
      <w:pPr>
        <w:pStyle w:val="4"/>
        <w:spacing w:before="240" w:beforeLines="100" w:after="240" w:afterLines="100" w:line="240" w:lineRule="auto"/>
        <w:ind w:firstLine="562" w:firstLineChars="200"/>
        <w:rPr>
          <w:rFonts w:hint="eastAsia" w:ascii="宋体" w:hAnsi="宋体" w:eastAsia="宋体" w:cs="宋体"/>
          <w:sz w:val="28"/>
          <w:szCs w:val="28"/>
          <w:lang w:val="en-US"/>
        </w:rPr>
      </w:pPr>
      <w:bookmarkStart w:id="218" w:name="_Toc29001_WPSOffice_Level3"/>
      <w:bookmarkStart w:id="219" w:name="_Toc9592_WPSOffice_Level3"/>
      <w:r>
        <w:rPr>
          <w:rFonts w:hint="eastAsia" w:ascii="宋体" w:hAnsi="宋体" w:eastAsia="宋体" w:cs="宋体"/>
          <w:sz w:val="28"/>
          <w:szCs w:val="28"/>
          <w:lang w:val="en-US"/>
        </w:rPr>
        <w:t>2.7.1 设计、施工和安全评价单位</w:t>
      </w:r>
      <w:bookmarkEnd w:id="218"/>
      <w:bookmarkEnd w:id="219"/>
    </w:p>
    <w:p>
      <w:pPr>
        <w:pStyle w:val="6"/>
        <w:spacing w:line="500" w:lineRule="exact"/>
        <w:ind w:firstLine="560" w:firstLineChars="200"/>
        <w:jc w:val="center"/>
        <w:rPr>
          <w:rFonts w:hint="eastAsia" w:ascii="宋体" w:hAnsi="宋体" w:eastAsia="宋体" w:cs="宋体"/>
          <w:lang w:val="en-US"/>
        </w:rPr>
      </w:pPr>
      <w:bookmarkStart w:id="220" w:name="_Toc26466_WPSOffice_Level3"/>
      <w:bookmarkStart w:id="221" w:name="_Toc18352_WPSOffice_Level3"/>
      <w:r>
        <w:rPr>
          <w:rFonts w:hint="eastAsia" w:ascii="宋体" w:hAnsi="宋体" w:eastAsia="宋体" w:cs="宋体"/>
        </w:rPr>
        <w:t>表</w:t>
      </w:r>
      <w:r>
        <w:rPr>
          <w:rFonts w:hint="eastAsia" w:ascii="宋体" w:hAnsi="宋体" w:eastAsia="宋体" w:cs="宋体"/>
          <w:lang w:val="en-US"/>
        </w:rPr>
        <w:t>2.7-1 改造工程设计、施工和安全评价单位</w:t>
      </w:r>
      <w:bookmarkEnd w:id="220"/>
      <w:bookmarkEnd w:id="221"/>
    </w:p>
    <w:tbl>
      <w:tblPr>
        <w:tblStyle w:val="21"/>
        <w:tblW w:w="987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47"/>
        <w:gridCol w:w="2566"/>
        <w:gridCol w:w="3183"/>
        <w:gridCol w:w="297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147" w:type="dxa"/>
            <w:vAlign w:val="center"/>
          </w:tcPr>
          <w:p>
            <w:pPr>
              <w:pStyle w:val="23"/>
              <w:ind w:left="78" w:right="69"/>
              <w:jc w:val="center"/>
              <w:rPr>
                <w:rFonts w:hint="eastAsia" w:ascii="宋体" w:hAnsi="宋体" w:eastAsia="宋体" w:cs="宋体"/>
                <w:b/>
                <w:bCs/>
                <w:sz w:val="21"/>
                <w:szCs w:val="21"/>
              </w:rPr>
            </w:pPr>
            <w:r>
              <w:rPr>
                <w:rFonts w:hint="eastAsia" w:ascii="宋体" w:hAnsi="宋体" w:eastAsia="宋体" w:cs="宋体"/>
                <w:b/>
                <w:bCs/>
                <w:sz w:val="21"/>
                <w:szCs w:val="21"/>
              </w:rPr>
              <w:t>相关单位</w:t>
            </w:r>
          </w:p>
        </w:tc>
        <w:tc>
          <w:tcPr>
            <w:tcW w:w="2566" w:type="dxa"/>
            <w:vAlign w:val="center"/>
          </w:tcPr>
          <w:p>
            <w:pPr>
              <w:pStyle w:val="23"/>
              <w:ind w:left="412" w:right="404"/>
              <w:jc w:val="center"/>
              <w:rPr>
                <w:rFonts w:hint="eastAsia" w:ascii="宋体" w:hAnsi="宋体" w:eastAsia="宋体" w:cs="宋体"/>
                <w:b/>
                <w:bCs/>
                <w:sz w:val="21"/>
                <w:szCs w:val="21"/>
              </w:rPr>
            </w:pPr>
            <w:r>
              <w:rPr>
                <w:rFonts w:hint="eastAsia" w:ascii="宋体" w:hAnsi="宋体" w:eastAsia="宋体" w:cs="宋体"/>
                <w:b/>
                <w:bCs/>
                <w:sz w:val="21"/>
                <w:szCs w:val="21"/>
              </w:rPr>
              <w:t>单位名称</w:t>
            </w:r>
          </w:p>
        </w:tc>
        <w:tc>
          <w:tcPr>
            <w:tcW w:w="3183" w:type="dxa"/>
            <w:vAlign w:val="center"/>
          </w:tcPr>
          <w:p>
            <w:pPr>
              <w:pStyle w:val="23"/>
              <w:ind w:left="412" w:right="404"/>
              <w:jc w:val="center"/>
              <w:rPr>
                <w:rFonts w:hint="eastAsia" w:ascii="宋体" w:hAnsi="宋体" w:eastAsia="宋体" w:cs="宋体"/>
                <w:b/>
                <w:bCs/>
                <w:sz w:val="21"/>
                <w:szCs w:val="21"/>
              </w:rPr>
            </w:pPr>
            <w:r>
              <w:rPr>
                <w:rFonts w:hint="eastAsia" w:ascii="宋体" w:hAnsi="宋体" w:eastAsia="宋体" w:cs="宋体"/>
                <w:b/>
                <w:bCs/>
                <w:sz w:val="21"/>
                <w:szCs w:val="21"/>
              </w:rPr>
              <w:t>资质情况</w:t>
            </w:r>
          </w:p>
        </w:tc>
        <w:tc>
          <w:tcPr>
            <w:tcW w:w="2979" w:type="dxa"/>
            <w:vAlign w:val="center"/>
          </w:tcPr>
          <w:p>
            <w:pPr>
              <w:pStyle w:val="23"/>
              <w:ind w:left="412" w:right="404"/>
              <w:jc w:val="center"/>
              <w:rPr>
                <w:rFonts w:hint="eastAsia" w:ascii="宋体" w:hAnsi="宋体" w:eastAsia="宋体" w:cs="宋体"/>
                <w:b/>
                <w:bCs/>
                <w:sz w:val="21"/>
                <w:szCs w:val="21"/>
              </w:rPr>
            </w:pPr>
            <w:r>
              <w:rPr>
                <w:rFonts w:hint="eastAsia" w:ascii="宋体" w:hAnsi="宋体" w:eastAsia="宋体" w:cs="宋体"/>
                <w:b/>
                <w:bCs/>
                <w:sz w:val="21"/>
                <w:szCs w:val="21"/>
              </w:rPr>
              <w:t>负责内容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59" w:hRule="atLeast"/>
          <w:jc w:val="center"/>
        </w:trPr>
        <w:tc>
          <w:tcPr>
            <w:tcW w:w="1147" w:type="dxa"/>
            <w:vAlign w:val="center"/>
          </w:tcPr>
          <w:p>
            <w:pPr>
              <w:pStyle w:val="23"/>
              <w:ind w:left="78" w:right="69"/>
              <w:jc w:val="center"/>
              <w:rPr>
                <w:rFonts w:hint="eastAsia" w:ascii="宋体" w:hAnsi="宋体" w:eastAsia="宋体" w:cs="宋体"/>
                <w:sz w:val="21"/>
                <w:szCs w:val="21"/>
              </w:rPr>
            </w:pPr>
            <w:r>
              <w:rPr>
                <w:rFonts w:hint="eastAsia" w:ascii="宋体" w:hAnsi="宋体" w:eastAsia="宋体" w:cs="宋体"/>
                <w:sz w:val="21"/>
                <w:szCs w:val="21"/>
              </w:rPr>
              <w:t>设计单位</w:t>
            </w:r>
          </w:p>
        </w:tc>
        <w:tc>
          <w:tcPr>
            <w:tcW w:w="2566" w:type="dxa"/>
            <w:vAlign w:val="center"/>
          </w:tcPr>
          <w:p>
            <w:pPr>
              <w:pStyle w:val="23"/>
              <w:ind w:left="412" w:leftChars="0" w:right="404" w:rightChars="0"/>
              <w:jc w:val="cente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天津中德工程设计有限公司</w:t>
            </w:r>
          </w:p>
        </w:tc>
        <w:tc>
          <w:tcPr>
            <w:tcW w:w="3183" w:type="dxa"/>
            <w:vAlign w:val="center"/>
          </w:tcPr>
          <w:p>
            <w:pPr>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化工石化医药行业（石油及化工产品储运）甲级</w:t>
            </w:r>
          </w:p>
          <w:p>
            <w:pPr>
              <w:jc w:val="center"/>
              <w:rPr>
                <w:rFonts w:hint="eastAsia" w:ascii="宋体" w:hAnsi="宋体" w:eastAsia="宋体" w:cs="宋体"/>
                <w:color w:val="auto"/>
                <w:sz w:val="21"/>
                <w:szCs w:val="21"/>
              </w:rPr>
            </w:pPr>
            <w:r>
              <w:rPr>
                <w:rFonts w:hint="eastAsia" w:ascii="宋体" w:hAnsi="宋体" w:eastAsia="宋体" w:cs="宋体"/>
                <w:color w:val="auto"/>
                <w:sz w:val="21"/>
                <w:szCs w:val="21"/>
                <w:lang w:val="en-US"/>
              </w:rPr>
              <w:t>证书编号：</w:t>
            </w:r>
            <w:r>
              <w:rPr>
                <w:rFonts w:hint="eastAsia" w:ascii="宋体" w:hAnsi="宋体" w:eastAsia="宋体" w:cs="宋体"/>
                <w:color w:val="auto"/>
                <w:sz w:val="21"/>
                <w:szCs w:val="21"/>
              </w:rPr>
              <w:t>A112002794</w:t>
            </w:r>
          </w:p>
          <w:p>
            <w:pPr>
              <w:jc w:val="center"/>
              <w:rPr>
                <w:rFonts w:hint="eastAsia" w:ascii="宋体" w:hAnsi="宋体" w:eastAsia="宋体" w:cs="宋体"/>
                <w:color w:val="auto"/>
                <w:sz w:val="21"/>
                <w:szCs w:val="21"/>
                <w:lang w:val="en-US"/>
              </w:rPr>
            </w:pPr>
            <w:r>
              <w:rPr>
                <w:rFonts w:hint="eastAsia" w:ascii="宋体" w:hAnsi="宋体" w:eastAsia="宋体" w:cs="宋体"/>
                <w:color w:val="auto"/>
                <w:sz w:val="21"/>
                <w:szCs w:val="21"/>
                <w:lang w:eastAsia="zh-CN"/>
              </w:rPr>
              <w:t>有效期至</w:t>
            </w:r>
            <w:r>
              <w:rPr>
                <w:rFonts w:hint="eastAsia" w:ascii="宋体" w:hAnsi="宋体" w:eastAsia="宋体" w:cs="宋体"/>
                <w:color w:val="auto"/>
                <w:sz w:val="21"/>
                <w:szCs w:val="21"/>
              </w:rPr>
              <w:t>2020-03-17</w:t>
            </w:r>
          </w:p>
        </w:tc>
        <w:tc>
          <w:tcPr>
            <w:tcW w:w="2979" w:type="dxa"/>
            <w:vAlign w:val="center"/>
          </w:tcPr>
          <w:p>
            <w:pPr>
              <w:jc w:val="center"/>
              <w:rPr>
                <w:rFonts w:hint="eastAsia" w:ascii="宋体" w:hAnsi="宋体" w:eastAsia="宋体" w:cs="宋体"/>
                <w:color w:val="auto"/>
                <w:sz w:val="21"/>
                <w:szCs w:val="21"/>
                <w:lang w:val="en-US"/>
              </w:rPr>
            </w:pPr>
            <w:r>
              <w:rPr>
                <w:rFonts w:hint="eastAsia" w:ascii="宋体" w:hAnsi="宋体" w:eastAsia="宋体" w:cs="宋体"/>
                <w:color w:val="auto"/>
                <w:sz w:val="21"/>
                <w:szCs w:val="21"/>
              </w:rPr>
              <w:t>负责改造工程的整体设计；罐区、管线、电气等重新设计。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13" w:hRule="atLeast"/>
          <w:jc w:val="center"/>
        </w:trPr>
        <w:tc>
          <w:tcPr>
            <w:tcW w:w="1147" w:type="dxa"/>
            <w:vAlign w:val="center"/>
          </w:tcPr>
          <w:p>
            <w:pPr>
              <w:pStyle w:val="23"/>
              <w:ind w:left="78" w:right="69"/>
              <w:jc w:val="center"/>
              <w:rPr>
                <w:rFonts w:hint="eastAsia" w:ascii="宋体" w:hAnsi="宋体" w:eastAsia="宋体" w:cs="宋体"/>
                <w:sz w:val="21"/>
                <w:szCs w:val="21"/>
              </w:rPr>
            </w:pPr>
            <w:r>
              <w:rPr>
                <w:rFonts w:hint="eastAsia" w:ascii="宋体" w:hAnsi="宋体" w:eastAsia="宋体" w:cs="宋体"/>
                <w:sz w:val="21"/>
                <w:szCs w:val="21"/>
              </w:rPr>
              <w:t>施工单位</w:t>
            </w:r>
          </w:p>
        </w:tc>
        <w:tc>
          <w:tcPr>
            <w:tcW w:w="2566" w:type="dxa"/>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广东强雄建设集团有限公司</w:t>
            </w:r>
          </w:p>
        </w:tc>
        <w:tc>
          <w:tcPr>
            <w:tcW w:w="3183" w:type="dxa"/>
            <w:vAlign w:val="center"/>
          </w:tcPr>
          <w:p>
            <w:pPr>
              <w:jc w:val="center"/>
              <w:rPr>
                <w:rFonts w:hint="eastAsia" w:ascii="宋体" w:hAnsi="宋体" w:eastAsia="宋体" w:cs="宋体"/>
                <w:color w:val="auto"/>
                <w:kern w:val="2"/>
                <w:sz w:val="21"/>
                <w:szCs w:val="21"/>
                <w:highlight w:val="none"/>
                <w:lang w:eastAsia="zh-CN"/>
              </w:rPr>
            </w:pPr>
            <w:r>
              <w:rPr>
                <w:rFonts w:hint="eastAsia" w:ascii="宋体" w:hAnsi="宋体" w:eastAsia="宋体" w:cs="宋体"/>
                <w:color w:val="auto"/>
                <w:kern w:val="2"/>
                <w:sz w:val="21"/>
                <w:szCs w:val="21"/>
                <w:highlight w:val="none"/>
                <w:lang w:eastAsia="zh-CN"/>
              </w:rPr>
              <w:t>建筑施工总承包壹级；</w:t>
            </w:r>
          </w:p>
          <w:p>
            <w:pPr>
              <w:jc w:val="center"/>
              <w:rPr>
                <w:rFonts w:hint="eastAsia" w:ascii="宋体" w:hAnsi="宋体" w:eastAsia="宋体" w:cs="宋体"/>
                <w:color w:val="auto"/>
                <w:kern w:val="2"/>
                <w:sz w:val="21"/>
                <w:szCs w:val="21"/>
                <w:highlight w:val="none"/>
                <w:lang w:eastAsia="zh-CN"/>
              </w:rPr>
            </w:pPr>
            <w:r>
              <w:rPr>
                <w:rFonts w:hint="eastAsia" w:ascii="宋体" w:hAnsi="宋体" w:eastAsia="宋体" w:cs="宋体"/>
                <w:color w:val="auto"/>
                <w:kern w:val="2"/>
                <w:sz w:val="21"/>
                <w:szCs w:val="21"/>
                <w:highlight w:val="none"/>
                <w:lang w:eastAsia="zh-CN"/>
              </w:rPr>
              <w:t>市政公用工程。</w:t>
            </w:r>
          </w:p>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证书编号：D144029461</w:t>
            </w:r>
          </w:p>
          <w:p>
            <w:pPr>
              <w:jc w:val="center"/>
              <w:rPr>
                <w:rFonts w:hint="eastAsia" w:ascii="宋体" w:hAnsi="宋体" w:eastAsia="宋体" w:cs="宋体"/>
                <w:i w:val="0"/>
                <w:caps w:val="0"/>
                <w:color w:val="auto"/>
                <w:spacing w:val="0"/>
                <w:sz w:val="21"/>
                <w:szCs w:val="21"/>
                <w:shd w:val="clear" w:fill="FFFFFF"/>
                <w:lang w:val="en-US" w:eastAsia="zh-CN"/>
              </w:rPr>
            </w:pPr>
            <w:r>
              <w:rPr>
                <w:rFonts w:hint="eastAsia" w:ascii="宋体" w:hAnsi="宋体" w:eastAsia="宋体" w:cs="宋体"/>
                <w:color w:val="auto"/>
                <w:sz w:val="21"/>
                <w:szCs w:val="21"/>
                <w:lang w:eastAsia="zh-CN"/>
              </w:rPr>
              <w:t>有效期至202</w:t>
            </w: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lang w:eastAsia="zh-CN"/>
              </w:rPr>
              <w:t>-0</w:t>
            </w: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01</w:t>
            </w:r>
          </w:p>
        </w:tc>
        <w:tc>
          <w:tcPr>
            <w:tcW w:w="2979" w:type="dxa"/>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土建施工，拆除旧罐安装新罐、开完管沟、砌管沟墙、路面整改、电缆敷设和防雷及接地安装、通气管道、输油管道安装、试压吹扫等。</w:t>
            </w:r>
          </w:p>
          <w:p>
            <w:pPr>
              <w:jc w:val="center"/>
              <w:rPr>
                <w:rFonts w:hint="eastAsia" w:ascii="宋体" w:hAnsi="宋体" w:eastAsia="宋体" w:cs="宋体"/>
                <w:color w:val="auto"/>
                <w:sz w:val="21"/>
                <w:szCs w:val="21"/>
              </w:rPr>
            </w:pPr>
            <w:r>
              <w:rPr>
                <w:rFonts w:hint="eastAsia" w:ascii="宋体" w:hAnsi="宋体" w:eastAsia="宋体" w:cs="宋体"/>
                <w:color w:val="auto"/>
                <w:sz w:val="21"/>
                <w:szCs w:val="21"/>
                <w:lang w:val="en-US"/>
              </w:rPr>
              <w:t>2019年</w:t>
            </w:r>
            <w:r>
              <w:rPr>
                <w:rFonts w:hint="eastAsia" w:ascii="宋体" w:hAnsi="宋体" w:eastAsia="宋体" w:cs="宋体"/>
                <w:color w:val="auto"/>
                <w:sz w:val="21"/>
                <w:szCs w:val="21"/>
                <w:lang w:val="en-US" w:eastAsia="zh-CN"/>
              </w:rPr>
              <w:t>12</w:t>
            </w:r>
            <w:r>
              <w:rPr>
                <w:rFonts w:hint="eastAsia" w:ascii="宋体" w:hAnsi="宋体" w:eastAsia="宋体" w:cs="宋体"/>
                <w:color w:val="auto"/>
                <w:sz w:val="21"/>
                <w:szCs w:val="21"/>
                <w:lang w:val="en-US"/>
              </w:rPr>
              <w:t>月</w:t>
            </w:r>
            <w:r>
              <w:rPr>
                <w:rFonts w:hint="eastAsia" w:ascii="宋体" w:hAnsi="宋体" w:eastAsia="宋体" w:cs="宋体"/>
                <w:color w:val="auto"/>
                <w:sz w:val="21"/>
                <w:szCs w:val="21"/>
                <w:lang w:val="en-US" w:eastAsia="zh-CN"/>
              </w:rPr>
              <w:t>22</w:t>
            </w:r>
            <w:r>
              <w:rPr>
                <w:rFonts w:hint="eastAsia" w:ascii="宋体" w:hAnsi="宋体" w:eastAsia="宋体" w:cs="宋体"/>
                <w:color w:val="auto"/>
                <w:sz w:val="21"/>
                <w:szCs w:val="21"/>
                <w:lang w:val="en-US"/>
              </w:rPr>
              <w:t>日完成施工。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1" w:hRule="atLeast"/>
          <w:jc w:val="center"/>
        </w:trPr>
        <w:tc>
          <w:tcPr>
            <w:tcW w:w="1147" w:type="dxa"/>
            <w:vAlign w:val="center"/>
          </w:tcPr>
          <w:p>
            <w:pPr>
              <w:pStyle w:val="23"/>
              <w:ind w:left="78" w:right="69"/>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监理单位</w:t>
            </w:r>
          </w:p>
        </w:tc>
        <w:tc>
          <w:tcPr>
            <w:tcW w:w="2566" w:type="dxa"/>
            <w:vAlign w:val="center"/>
          </w:tcPr>
          <w:p>
            <w:pPr>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深圳市恒浩建工程项目管理有限公司</w:t>
            </w:r>
          </w:p>
        </w:tc>
        <w:tc>
          <w:tcPr>
            <w:tcW w:w="3183" w:type="dxa"/>
            <w:vAlign w:val="center"/>
          </w:tcPr>
          <w:p>
            <w:pPr>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工程监理综合资质</w:t>
            </w:r>
          </w:p>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证书编号：E144006119</w:t>
            </w:r>
          </w:p>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eastAsia="zh-CN"/>
              </w:rPr>
              <w:t>有效期至202</w:t>
            </w: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lang w:eastAsia="zh-CN"/>
              </w:rPr>
              <w:t>-0</w:t>
            </w:r>
            <w:r>
              <w:rPr>
                <w:rFonts w:hint="eastAsia" w:ascii="宋体" w:hAnsi="宋体" w:eastAsia="宋体" w:cs="宋体"/>
                <w:color w:val="auto"/>
                <w:sz w:val="21"/>
                <w:szCs w:val="21"/>
                <w:lang w:val="en-US" w:eastAsia="zh-CN"/>
              </w:rPr>
              <w:t>6</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06</w:t>
            </w:r>
          </w:p>
        </w:tc>
        <w:tc>
          <w:tcPr>
            <w:tcW w:w="2979" w:type="dxa"/>
            <w:vAlign w:val="center"/>
          </w:tcPr>
          <w:p>
            <w:pPr>
              <w:jc w:val="center"/>
              <w:rPr>
                <w:rFonts w:hint="eastAsia" w:ascii="宋体" w:hAnsi="宋体" w:eastAsia="宋体" w:cs="宋体"/>
                <w:color w:val="auto"/>
                <w:sz w:val="21"/>
                <w:szCs w:val="21"/>
                <w:lang w:val="en-US"/>
              </w:rPr>
            </w:pPr>
            <w:r>
              <w:rPr>
                <w:rFonts w:hint="eastAsia" w:ascii="宋体" w:hAnsi="宋体" w:eastAsia="宋体" w:cs="宋体"/>
                <w:color w:val="auto"/>
                <w:sz w:val="21"/>
                <w:szCs w:val="21"/>
              </w:rPr>
              <w:t>负责改</w:t>
            </w:r>
            <w:r>
              <w:rPr>
                <w:rFonts w:hint="eastAsia" w:ascii="宋体" w:hAnsi="宋体" w:eastAsia="宋体" w:cs="宋体"/>
                <w:color w:val="auto"/>
                <w:sz w:val="21"/>
                <w:szCs w:val="21"/>
                <w:lang w:eastAsia="zh-CN"/>
              </w:rPr>
              <w:t>建</w:t>
            </w:r>
            <w:r>
              <w:rPr>
                <w:rFonts w:hint="eastAsia" w:ascii="宋体" w:hAnsi="宋体" w:eastAsia="宋体" w:cs="宋体"/>
                <w:color w:val="auto"/>
                <w:sz w:val="21"/>
                <w:szCs w:val="21"/>
              </w:rPr>
              <w:t>工程的整体</w:t>
            </w:r>
            <w:r>
              <w:rPr>
                <w:rFonts w:hint="eastAsia" w:ascii="宋体" w:hAnsi="宋体" w:eastAsia="宋体" w:cs="宋体"/>
                <w:color w:val="auto"/>
                <w:sz w:val="21"/>
                <w:szCs w:val="21"/>
                <w:lang w:eastAsia="zh-CN"/>
              </w:rPr>
              <w:t>施工质量监理</w:t>
            </w:r>
            <w:r>
              <w:rPr>
                <w:rFonts w:hint="eastAsia" w:ascii="宋体" w:hAnsi="宋体" w:eastAsia="宋体" w:cs="宋体"/>
                <w:color w:val="auto"/>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147" w:type="dxa"/>
            <w:vAlign w:val="center"/>
          </w:tcPr>
          <w:p>
            <w:pPr>
              <w:pStyle w:val="23"/>
              <w:spacing w:before="142"/>
              <w:ind w:left="78" w:right="69"/>
              <w:jc w:val="center"/>
              <w:rPr>
                <w:rFonts w:hint="eastAsia" w:ascii="宋体" w:hAnsi="宋体" w:eastAsia="宋体" w:cs="宋体"/>
                <w:sz w:val="21"/>
                <w:szCs w:val="21"/>
              </w:rPr>
            </w:pPr>
            <w:r>
              <w:rPr>
                <w:rFonts w:hint="eastAsia" w:ascii="宋体" w:hAnsi="宋体" w:eastAsia="宋体" w:cs="宋体"/>
                <w:sz w:val="21"/>
                <w:szCs w:val="21"/>
              </w:rPr>
              <w:t>安全预评价单位</w:t>
            </w:r>
          </w:p>
        </w:tc>
        <w:tc>
          <w:tcPr>
            <w:tcW w:w="2566" w:type="dxa"/>
            <w:vAlign w:val="center"/>
          </w:tcPr>
          <w:p>
            <w:pPr>
              <w:pStyle w:val="23"/>
              <w:spacing w:before="142"/>
              <w:ind w:left="410" w:leftChars="0" w:right="404" w:rightChars="0"/>
              <w:jc w:val="center"/>
              <w:rPr>
                <w:rFonts w:hint="eastAsia" w:ascii="宋体" w:hAnsi="宋体" w:eastAsia="宋体" w:cs="宋体"/>
                <w:sz w:val="21"/>
                <w:szCs w:val="21"/>
              </w:rPr>
            </w:pPr>
            <w:r>
              <w:rPr>
                <w:rFonts w:hint="eastAsia" w:ascii="宋体" w:hAnsi="宋体" w:eastAsia="宋体" w:cs="宋体"/>
              </w:rPr>
              <w:t>广州元景安全评价检测有限公司</w:t>
            </w:r>
          </w:p>
        </w:tc>
        <w:tc>
          <w:tcPr>
            <w:tcW w:w="3183" w:type="dxa"/>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lang w:val="en-US"/>
              </w:rPr>
              <w:t>资质等级：甲级</w:t>
            </w:r>
          </w:p>
        </w:tc>
        <w:tc>
          <w:tcPr>
            <w:tcW w:w="2979"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建设前安全评价</w:t>
            </w:r>
          </w:p>
        </w:tc>
      </w:tr>
    </w:tbl>
    <w:p>
      <w:pPr>
        <w:pStyle w:val="4"/>
        <w:pageBreakBefore w:val="0"/>
        <w:widowControl w:val="0"/>
        <w:kinsoku/>
        <w:wordWrap/>
        <w:overflowPunct/>
        <w:topLinePunct w:val="0"/>
        <w:autoSpaceDE w:val="0"/>
        <w:autoSpaceDN w:val="0"/>
        <w:bidi w:val="0"/>
        <w:adjustRightInd/>
        <w:snapToGrid/>
        <w:spacing w:before="240" w:beforeLines="100" w:after="240" w:afterLines="100" w:line="560" w:lineRule="exact"/>
        <w:ind w:firstLine="562" w:firstLineChars="200"/>
        <w:textAlignment w:val="auto"/>
        <w:rPr>
          <w:rFonts w:hint="eastAsia" w:ascii="宋体" w:hAnsi="宋体" w:eastAsia="宋体" w:cs="宋体"/>
          <w:sz w:val="28"/>
          <w:szCs w:val="28"/>
          <w:lang w:val="en-US"/>
        </w:rPr>
      </w:pPr>
      <w:bookmarkStart w:id="222" w:name="_Toc20820_WPSOffice_Level3"/>
      <w:bookmarkStart w:id="223" w:name="_Toc13303_WPSOffice_Level3"/>
      <w:r>
        <w:rPr>
          <w:rFonts w:hint="eastAsia" w:ascii="宋体" w:hAnsi="宋体" w:eastAsia="宋体" w:cs="宋体"/>
          <w:sz w:val="28"/>
          <w:szCs w:val="28"/>
          <w:lang w:val="en-US"/>
        </w:rPr>
        <w:t>2.7.2 施工情况简介</w:t>
      </w:r>
      <w:bookmarkEnd w:id="222"/>
      <w:bookmarkEnd w:id="223"/>
    </w:p>
    <w:p>
      <w:pPr>
        <w:pStyle w:val="6"/>
        <w:pageBreakBefore w:val="0"/>
        <w:widowControl w:val="0"/>
        <w:kinsoku/>
        <w:wordWrap/>
        <w:overflowPunct/>
        <w:topLinePunct w:val="0"/>
        <w:autoSpaceDE w:val="0"/>
        <w:autoSpaceDN w:val="0"/>
        <w:bidi w:val="0"/>
        <w:adjustRightInd/>
        <w:snapToGrid/>
        <w:spacing w:line="560" w:lineRule="exact"/>
        <w:ind w:firstLine="560" w:firstLineChars="200"/>
        <w:jc w:val="both"/>
        <w:textAlignment w:val="auto"/>
        <w:rPr>
          <w:rFonts w:hint="eastAsia" w:ascii="宋体" w:hAnsi="宋体" w:eastAsia="宋体" w:cs="宋体"/>
          <w:color w:val="auto"/>
        </w:rPr>
      </w:pPr>
      <w:r>
        <w:rPr>
          <w:rFonts w:hint="eastAsia" w:ascii="宋体" w:hAnsi="宋体" w:eastAsia="宋体" w:cs="宋体"/>
          <w:color w:val="auto"/>
        </w:rPr>
        <w:t>改造工程的施工由</w:t>
      </w:r>
      <w:r>
        <w:rPr>
          <w:rFonts w:hint="eastAsia" w:ascii="宋体" w:hAnsi="宋体" w:eastAsia="宋体" w:cs="宋体"/>
          <w:color w:val="auto"/>
          <w:sz w:val="28"/>
          <w:szCs w:val="28"/>
          <w:lang w:val="en-US" w:eastAsia="zh-CN"/>
        </w:rPr>
        <w:t>广东强雄建设集团有限公司</w:t>
      </w:r>
      <w:r>
        <w:rPr>
          <w:rFonts w:hint="eastAsia" w:ascii="宋体" w:hAnsi="宋体" w:eastAsia="宋体" w:cs="宋体"/>
          <w:color w:val="auto"/>
        </w:rPr>
        <w:t>完成，主要工程内容：拆除旧罐安装新罐、开完管沟、砌管沟墙、路面整改、电缆敷设和安装、防雷及接地安装、输油管道和通气管等安装、试压吹扫等。</w:t>
      </w:r>
    </w:p>
    <w:p>
      <w:pPr>
        <w:pStyle w:val="6"/>
        <w:pageBreakBefore w:val="0"/>
        <w:widowControl w:val="0"/>
        <w:kinsoku/>
        <w:wordWrap/>
        <w:overflowPunct/>
        <w:topLinePunct w:val="0"/>
        <w:autoSpaceDE w:val="0"/>
        <w:autoSpaceDN w:val="0"/>
        <w:bidi w:val="0"/>
        <w:adjustRightInd/>
        <w:snapToGrid/>
        <w:spacing w:line="560" w:lineRule="exact"/>
        <w:ind w:firstLine="560" w:firstLineChars="200"/>
        <w:jc w:val="both"/>
        <w:textAlignment w:val="auto"/>
        <w:rPr>
          <w:rFonts w:hint="eastAsia" w:ascii="宋体" w:hAnsi="宋体" w:eastAsia="宋体" w:cs="宋体"/>
          <w:color w:val="auto"/>
          <w:lang w:val="en-US"/>
        </w:rPr>
      </w:pPr>
      <w:r>
        <w:rPr>
          <w:rFonts w:hint="eastAsia" w:ascii="宋体" w:hAnsi="宋体" w:eastAsia="宋体" w:cs="宋体"/>
          <w:color w:val="auto"/>
        </w:rPr>
        <w:t>开工日期：</w:t>
      </w:r>
      <w:r>
        <w:rPr>
          <w:rFonts w:hint="eastAsia" w:ascii="宋体" w:hAnsi="宋体" w:eastAsia="宋体" w:cs="宋体"/>
          <w:color w:val="auto"/>
          <w:lang w:val="en-US"/>
        </w:rPr>
        <w:t>2019年</w:t>
      </w:r>
      <w:r>
        <w:rPr>
          <w:rFonts w:hint="eastAsia" w:ascii="宋体" w:hAnsi="宋体" w:eastAsia="宋体" w:cs="宋体"/>
          <w:color w:val="auto"/>
          <w:lang w:val="en-US" w:eastAsia="zh-CN"/>
        </w:rPr>
        <w:t>12</w:t>
      </w:r>
      <w:r>
        <w:rPr>
          <w:rFonts w:hint="eastAsia" w:ascii="宋体" w:hAnsi="宋体" w:eastAsia="宋体" w:cs="宋体"/>
          <w:color w:val="auto"/>
          <w:lang w:val="en-US"/>
        </w:rPr>
        <w:t>月</w:t>
      </w:r>
      <w:r>
        <w:rPr>
          <w:rFonts w:hint="eastAsia" w:ascii="宋体" w:hAnsi="宋体" w:eastAsia="宋体" w:cs="宋体"/>
          <w:color w:val="auto"/>
          <w:lang w:val="en-US" w:eastAsia="zh-CN"/>
        </w:rPr>
        <w:t>01</w:t>
      </w:r>
      <w:r>
        <w:rPr>
          <w:rFonts w:hint="eastAsia" w:ascii="宋体" w:hAnsi="宋体" w:eastAsia="宋体" w:cs="宋体"/>
          <w:color w:val="auto"/>
          <w:lang w:val="en-US"/>
        </w:rPr>
        <w:t>日；竣工日期：2019年</w:t>
      </w:r>
      <w:r>
        <w:rPr>
          <w:rFonts w:hint="eastAsia" w:ascii="宋体" w:hAnsi="宋体" w:eastAsia="宋体" w:cs="宋体"/>
          <w:color w:val="auto"/>
          <w:lang w:val="en-US" w:eastAsia="zh-CN"/>
        </w:rPr>
        <w:t>12</w:t>
      </w:r>
      <w:r>
        <w:rPr>
          <w:rFonts w:hint="eastAsia" w:ascii="宋体" w:hAnsi="宋体" w:eastAsia="宋体" w:cs="宋体"/>
          <w:color w:val="auto"/>
          <w:lang w:val="en-US"/>
        </w:rPr>
        <w:t>月</w:t>
      </w:r>
      <w:r>
        <w:rPr>
          <w:rFonts w:hint="eastAsia" w:ascii="宋体" w:hAnsi="宋体" w:eastAsia="宋体" w:cs="宋体"/>
          <w:color w:val="auto"/>
          <w:lang w:val="en-US" w:eastAsia="zh-CN"/>
        </w:rPr>
        <w:t>22</w:t>
      </w:r>
      <w:r>
        <w:rPr>
          <w:rFonts w:hint="eastAsia" w:ascii="宋体" w:hAnsi="宋体" w:eastAsia="宋体" w:cs="宋体"/>
          <w:color w:val="auto"/>
          <w:lang w:val="en-US"/>
        </w:rPr>
        <w:t>日。</w:t>
      </w:r>
    </w:p>
    <w:p>
      <w:pPr>
        <w:pStyle w:val="6"/>
        <w:pageBreakBefore w:val="0"/>
        <w:widowControl w:val="0"/>
        <w:kinsoku/>
        <w:wordWrap/>
        <w:overflowPunct/>
        <w:topLinePunct w:val="0"/>
        <w:autoSpaceDE w:val="0"/>
        <w:autoSpaceDN w:val="0"/>
        <w:bidi w:val="0"/>
        <w:adjustRightInd/>
        <w:snapToGrid/>
        <w:spacing w:line="560" w:lineRule="exact"/>
        <w:ind w:firstLine="560" w:firstLineChars="200"/>
        <w:jc w:val="both"/>
        <w:textAlignment w:val="auto"/>
        <w:rPr>
          <w:rFonts w:hint="eastAsia" w:ascii="宋体" w:hAnsi="宋体" w:eastAsia="宋体" w:cs="宋体"/>
          <w:color w:val="auto"/>
        </w:rPr>
      </w:pPr>
      <w:r>
        <w:rPr>
          <w:rFonts w:hint="eastAsia" w:ascii="宋体" w:hAnsi="宋体" w:eastAsia="宋体" w:cs="宋体"/>
          <w:color w:val="auto"/>
        </w:rPr>
        <w:t>主要隐蔽工程说明：</w:t>
      </w:r>
    </w:p>
    <w:p>
      <w:pPr>
        <w:pStyle w:val="6"/>
        <w:pageBreakBefore w:val="0"/>
        <w:widowControl w:val="0"/>
        <w:kinsoku/>
        <w:wordWrap/>
        <w:overflowPunct/>
        <w:topLinePunct w:val="0"/>
        <w:autoSpaceDE w:val="0"/>
        <w:autoSpaceDN w:val="0"/>
        <w:bidi w:val="0"/>
        <w:adjustRightInd/>
        <w:snapToGrid/>
        <w:spacing w:line="560" w:lineRule="exact"/>
        <w:ind w:firstLine="560" w:firstLineChars="200"/>
        <w:jc w:val="both"/>
        <w:textAlignment w:val="auto"/>
        <w:rPr>
          <w:rFonts w:hint="eastAsia" w:ascii="宋体" w:hAnsi="宋体" w:eastAsia="宋体" w:cs="宋体"/>
          <w:color w:val="auto"/>
        </w:rPr>
      </w:pPr>
      <w:r>
        <w:rPr>
          <w:rFonts w:hint="eastAsia" w:ascii="宋体" w:hAnsi="宋体" w:eastAsia="宋体" w:cs="宋体"/>
          <w:color w:val="auto"/>
        </w:rPr>
        <w:t>该加油站的储油罐为内钢外玻璃纤维增强塑料双层油罐（SF双层</w:t>
      </w:r>
      <w:r>
        <w:rPr>
          <w:rFonts w:hint="eastAsia" w:ascii="宋体" w:hAnsi="宋体" w:eastAsia="宋体" w:cs="宋体"/>
          <w:color w:val="auto"/>
          <w:sz w:val="28"/>
          <w:szCs w:val="28"/>
        </w:rPr>
        <w:t>罐），能满足承受外压作用下的强度要求。油罐的接合管设置符合《汽车</w:t>
      </w:r>
      <w:r>
        <w:rPr>
          <w:rFonts w:hint="eastAsia" w:ascii="宋体" w:hAnsi="宋体" w:eastAsia="宋体" w:cs="宋体"/>
          <w:color w:val="auto"/>
        </w:rPr>
        <w:t>加油加气站设计与施工规范》相关规定。</w:t>
      </w:r>
    </w:p>
    <w:p>
      <w:pPr>
        <w:pStyle w:val="6"/>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highlight w:val="none"/>
        </w:rPr>
        <w:t>该油站的埋地工艺管道均采用双层非金属管，埋地敷设于管沟内并填</w:t>
      </w:r>
      <w:r>
        <w:rPr>
          <w:rFonts w:hint="eastAsia" w:ascii="宋体" w:hAnsi="宋体" w:eastAsia="宋体" w:cs="宋体"/>
          <w:color w:val="auto"/>
          <w:sz w:val="28"/>
          <w:szCs w:val="28"/>
          <w:highlight w:val="none"/>
        </w:rPr>
        <w:t>充干净河沙，埋深≥70cm，地面采用30cm厚C30混凝土内配双层双向钢筋网保护。工艺管线无中间接头并可靠连接，使用寿命大大延长，防渗性能可靠。</w:t>
      </w:r>
    </w:p>
    <w:p>
      <w:pPr>
        <w:pStyle w:val="6"/>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油罐采取有防止地下水或雨水作用而上浮的措施。油罐罐顶覆土厚度不小于</w:t>
      </w:r>
      <w:r>
        <w:rPr>
          <w:rFonts w:hint="eastAsia" w:ascii="宋体" w:hAnsi="宋体" w:eastAsia="宋体" w:cs="宋体"/>
          <w:color w:val="auto"/>
          <w:sz w:val="28"/>
          <w:szCs w:val="28"/>
          <w:highlight w:val="none"/>
          <w:lang w:val="en-US"/>
        </w:rPr>
        <w:t>0.9</w:t>
      </w:r>
      <w:r>
        <w:rPr>
          <w:rFonts w:hint="eastAsia" w:ascii="宋体" w:hAnsi="宋体" w:eastAsia="宋体" w:cs="宋体"/>
          <w:color w:val="auto"/>
          <w:sz w:val="28"/>
          <w:szCs w:val="28"/>
          <w:highlight w:val="none"/>
        </w:rPr>
        <w:t>m，油罐周围回填干净的砂子或细土，厚度大于0.3m。油罐的进油管向下伸至罐内距罐底0.1m处；罐内潜油泵的入油口距离罐底约0.3m；油罐量油孔下部的接合管下伸至罐内距罐底0.2m处；各工艺管道均埋地敷设，埋设深度不小于0.4m；其中卸油管道坡度大于2‰，卸油油气回收管道、加油油气回收管道和油罐通气管横管坡度大于1%。</w:t>
      </w:r>
    </w:p>
    <w:p>
      <w:pPr>
        <w:pStyle w:val="6"/>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具体工程内容见</w:t>
      </w:r>
      <w:r>
        <w:rPr>
          <w:rFonts w:hint="eastAsia" w:ascii="宋体" w:hAnsi="宋体" w:eastAsia="宋体" w:cs="宋体"/>
          <w:color w:val="auto"/>
          <w:sz w:val="28"/>
          <w:szCs w:val="28"/>
          <w:lang w:val="en-US" w:eastAsia="zh-CN"/>
        </w:rPr>
        <w:t>广东强雄建设集团有限公司</w:t>
      </w:r>
      <w:r>
        <w:rPr>
          <w:rFonts w:hint="eastAsia" w:ascii="宋体" w:hAnsi="宋体" w:eastAsia="宋体" w:cs="宋体"/>
          <w:color w:val="auto"/>
          <w:sz w:val="28"/>
          <w:szCs w:val="28"/>
          <w:highlight w:val="none"/>
          <w:lang w:val="zh-CN" w:eastAsia="zh-CN"/>
        </w:rPr>
        <w:t>安全设施施工情况报告及单位工程竣工报告</w:t>
      </w:r>
      <w:r>
        <w:rPr>
          <w:rFonts w:hint="eastAsia" w:ascii="宋体" w:hAnsi="宋体" w:eastAsia="宋体" w:cs="宋体"/>
          <w:color w:val="auto"/>
          <w:sz w:val="28"/>
          <w:szCs w:val="28"/>
          <w:highlight w:val="none"/>
          <w:lang w:val="en-US" w:eastAsia="zh-CN"/>
        </w:rPr>
        <w:t>。</w:t>
      </w:r>
    </w:p>
    <w:p>
      <w:pPr>
        <w:pStyle w:val="4"/>
        <w:spacing w:before="240" w:beforeLines="100" w:after="240" w:afterLines="100" w:line="240" w:lineRule="auto"/>
        <w:ind w:firstLine="562" w:firstLineChars="200"/>
        <w:rPr>
          <w:rFonts w:hint="eastAsia" w:ascii="宋体" w:hAnsi="宋体" w:eastAsia="宋体" w:cs="宋体"/>
          <w:sz w:val="28"/>
          <w:szCs w:val="28"/>
          <w:lang w:val="en-US"/>
        </w:rPr>
      </w:pPr>
      <w:bookmarkStart w:id="224" w:name="_Toc2062_WPSOffice_Level3"/>
      <w:bookmarkStart w:id="225" w:name="_Toc25602_WPSOffice_Level3"/>
      <w:r>
        <w:rPr>
          <w:rFonts w:hint="eastAsia" w:ascii="宋体" w:hAnsi="宋体" w:eastAsia="宋体" w:cs="宋体"/>
          <w:sz w:val="28"/>
          <w:szCs w:val="28"/>
          <w:lang w:val="en-US"/>
        </w:rPr>
        <w:t>2.7.3 施工情况总结</w:t>
      </w:r>
      <w:bookmarkEnd w:id="224"/>
      <w:bookmarkEnd w:id="225"/>
    </w:p>
    <w:p>
      <w:pPr>
        <w:pStyle w:val="6"/>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rPr>
      </w:pPr>
      <w:r>
        <w:rPr>
          <w:rFonts w:hint="eastAsia" w:ascii="宋体" w:hAnsi="宋体" w:eastAsia="宋体" w:cs="宋体"/>
        </w:rPr>
        <w:t>根据相关资料及现场勘查可知，该站改造工程的设计、施工</w:t>
      </w:r>
      <w:r>
        <w:rPr>
          <w:rFonts w:hint="eastAsia" w:ascii="宋体" w:hAnsi="宋体" w:eastAsia="宋体" w:cs="宋体"/>
          <w:lang w:eastAsia="zh-CN"/>
        </w:rPr>
        <w:t>、监理</w:t>
      </w:r>
      <w:r>
        <w:rPr>
          <w:rFonts w:hint="eastAsia" w:ascii="宋体" w:hAnsi="宋体" w:eastAsia="宋体" w:cs="宋体"/>
        </w:rPr>
        <w:t>和前期安全评价均是由有资质的单位负责完成。施工情况有施工报告和验收资料、技术交底资料等，隐蔽工程也保存有相关验收资料和记录，工程竣工验收合格。</w:t>
      </w:r>
    </w:p>
    <w:p>
      <w:pPr>
        <w:pStyle w:val="3"/>
        <w:tabs>
          <w:tab w:val="left" w:pos="3119"/>
        </w:tabs>
        <w:spacing w:before="240" w:beforeLines="100" w:after="240" w:afterLines="100"/>
        <w:ind w:firstLine="0"/>
        <w:jc w:val="center"/>
        <w:rPr>
          <w:rFonts w:hint="eastAsia" w:ascii="宋体" w:hAnsi="宋体" w:eastAsia="宋体" w:cs="宋体"/>
          <w:b/>
          <w:bCs/>
          <w:lang w:val="en-US"/>
        </w:rPr>
      </w:pPr>
      <w:bookmarkStart w:id="226" w:name="_Toc2759_WPSOffice_Level2"/>
      <w:bookmarkStart w:id="227" w:name="_Toc529176486"/>
      <w:bookmarkStart w:id="228" w:name="_Toc7728_WPSOffice_Level2"/>
      <w:bookmarkStart w:id="229" w:name="_Toc10291"/>
      <w:bookmarkStart w:id="230" w:name="_Toc25835"/>
      <w:bookmarkStart w:id="231" w:name="_Toc29565_WPSOffice_Level2"/>
      <w:bookmarkStart w:id="232" w:name="_Toc8576"/>
      <w:r>
        <w:rPr>
          <w:rFonts w:hint="eastAsia" w:ascii="宋体" w:hAnsi="宋体" w:eastAsia="宋体" w:cs="宋体"/>
          <w:b/>
          <w:bCs/>
          <w:lang w:val="en-US"/>
        </w:rPr>
        <w:t>2.8安全生产管理机构及安全管理制度</w:t>
      </w:r>
      <w:bookmarkEnd w:id="226"/>
      <w:bookmarkEnd w:id="227"/>
      <w:bookmarkEnd w:id="228"/>
      <w:bookmarkEnd w:id="229"/>
      <w:bookmarkEnd w:id="230"/>
      <w:bookmarkEnd w:id="231"/>
      <w:bookmarkEnd w:id="232"/>
    </w:p>
    <w:p>
      <w:pPr>
        <w:keepNext w:val="0"/>
        <w:keepLines w:val="0"/>
        <w:pageBreakBefore w:val="0"/>
        <w:widowControl w:val="0"/>
        <w:kinsoku/>
        <w:wordWrap/>
        <w:overflowPunct/>
        <w:topLinePunct w:val="0"/>
        <w:autoSpaceDE w:val="0"/>
        <w:autoSpaceDN w:val="0"/>
        <w:bidi w:val="0"/>
        <w:spacing w:line="560" w:lineRule="exact"/>
        <w:ind w:firstLine="560" w:firstLineChars="200"/>
        <w:textAlignment w:val="auto"/>
        <w:rPr>
          <w:rFonts w:hint="eastAsia" w:ascii="宋体" w:hAnsi="宋体" w:eastAsia="宋体" w:cs="宋体"/>
          <w:sz w:val="28"/>
          <w:szCs w:val="28"/>
        </w:rPr>
      </w:pPr>
      <w:bookmarkStart w:id="233" w:name="_Toc25945_WPSOffice_Level3"/>
      <w:bookmarkStart w:id="234" w:name="_Toc23171_WPSOffice_Level3"/>
      <w:bookmarkStart w:id="235" w:name="_Toc14945_WPSOffice_Level3"/>
      <w:bookmarkStart w:id="236" w:name="_Toc29565_WPSOffice_Level3"/>
      <w:r>
        <w:rPr>
          <w:rFonts w:hint="eastAsia" w:ascii="宋体" w:hAnsi="宋体" w:eastAsia="宋体" w:cs="宋体"/>
          <w:sz w:val="28"/>
          <w:szCs w:val="28"/>
        </w:rPr>
        <w:t>1）安全生产管理机构的设置情况</w:t>
      </w:r>
      <w:bookmarkEnd w:id="233"/>
      <w:bookmarkEnd w:id="234"/>
      <w:bookmarkEnd w:id="235"/>
      <w:bookmarkEnd w:id="236"/>
    </w:p>
    <w:p>
      <w:pPr>
        <w:keepNext w:val="0"/>
        <w:keepLines w:val="0"/>
        <w:pageBreakBefore w:val="0"/>
        <w:widowControl w:val="0"/>
        <w:kinsoku/>
        <w:wordWrap/>
        <w:overflowPunct/>
        <w:topLinePunct w:val="0"/>
        <w:autoSpaceDE w:val="0"/>
        <w:autoSpaceDN w:val="0"/>
        <w:bidi w:val="0"/>
        <w:spacing w:line="560" w:lineRule="exact"/>
        <w:ind w:firstLine="532" w:firstLineChars="200"/>
        <w:textAlignment w:val="auto"/>
        <w:rPr>
          <w:rFonts w:hint="eastAsia" w:ascii="宋体" w:hAnsi="宋体" w:eastAsia="宋体" w:cs="宋体"/>
          <w:sz w:val="28"/>
          <w:szCs w:val="28"/>
        </w:rPr>
      </w:pPr>
      <w:r>
        <w:rPr>
          <w:rFonts w:hint="eastAsia" w:ascii="宋体" w:hAnsi="宋体" w:eastAsia="宋体" w:cs="宋体"/>
          <w:spacing w:val="-7"/>
          <w:sz w:val="28"/>
          <w:szCs w:val="28"/>
        </w:rPr>
        <w:t>该加油站负责人：</w:t>
      </w:r>
      <w:r>
        <w:rPr>
          <w:rFonts w:hint="eastAsia" w:ascii="宋体" w:hAnsi="宋体" w:eastAsia="宋体" w:cs="宋体"/>
          <w:color w:val="auto"/>
          <w:spacing w:val="-7"/>
          <w:sz w:val="28"/>
          <w:szCs w:val="28"/>
          <w:lang w:val="en-US" w:eastAsia="zh-CN"/>
        </w:rPr>
        <w:t>容超平</w:t>
      </w:r>
      <w:r>
        <w:rPr>
          <w:rFonts w:hint="eastAsia" w:ascii="宋体" w:hAnsi="宋体" w:eastAsia="宋体" w:cs="宋体"/>
          <w:color w:val="auto"/>
          <w:spacing w:val="-7"/>
          <w:sz w:val="28"/>
          <w:szCs w:val="28"/>
        </w:rPr>
        <w:t>为加油站</w:t>
      </w:r>
      <w:r>
        <w:rPr>
          <w:rFonts w:hint="eastAsia" w:ascii="宋体" w:hAnsi="宋体" w:eastAsia="宋体" w:cs="宋体"/>
          <w:color w:val="auto"/>
          <w:spacing w:val="-7"/>
          <w:sz w:val="28"/>
          <w:szCs w:val="28"/>
          <w:lang w:eastAsia="zh-CN"/>
        </w:rPr>
        <w:t>主要负责</w:t>
      </w:r>
      <w:r>
        <w:rPr>
          <w:rFonts w:hint="eastAsia" w:ascii="宋体" w:hAnsi="宋体" w:eastAsia="宋体" w:cs="宋体"/>
          <w:color w:val="auto"/>
          <w:spacing w:val="-7"/>
          <w:sz w:val="28"/>
          <w:szCs w:val="28"/>
        </w:rPr>
        <w:t>人。</w:t>
      </w:r>
      <w:r>
        <w:rPr>
          <w:rFonts w:hint="eastAsia" w:ascii="宋体" w:hAnsi="宋体" w:eastAsia="宋体" w:cs="宋体"/>
          <w:spacing w:val="-7"/>
          <w:sz w:val="28"/>
          <w:szCs w:val="28"/>
        </w:rPr>
        <w:t>加油站建立了以负责人为第一责任人的安全管理小组和全体员工参加的义务消防安全及应急救援组织。</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560" w:firstLineChars="200"/>
        <w:textAlignment w:val="auto"/>
        <w:rPr>
          <w:rFonts w:hint="eastAsia" w:ascii="宋体" w:hAnsi="宋体" w:eastAsia="宋体" w:cs="宋体"/>
          <w:sz w:val="28"/>
          <w:szCs w:val="28"/>
        </w:rPr>
      </w:pPr>
      <w:bookmarkStart w:id="237" w:name="_Toc32699_WPSOffice_Level3"/>
      <w:bookmarkStart w:id="238" w:name="_Toc1722_WPSOffice_Level3"/>
      <w:bookmarkStart w:id="239" w:name="_Toc27546_WPSOffice_Level3"/>
      <w:bookmarkStart w:id="240" w:name="_Toc4007_WPSOffice_Level3"/>
      <w:r>
        <w:rPr>
          <w:rFonts w:hint="eastAsia" w:ascii="宋体" w:hAnsi="宋体" w:eastAsia="宋体" w:cs="宋体"/>
          <w:sz w:val="28"/>
          <w:szCs w:val="28"/>
        </w:rPr>
        <w:t>2）该加油站设置主要负责人</w:t>
      </w:r>
      <w:r>
        <w:rPr>
          <w:rFonts w:hint="eastAsia" w:ascii="宋体" w:hAnsi="宋体" w:eastAsia="宋体" w:cs="宋体"/>
          <w:sz w:val="28"/>
          <w:szCs w:val="28"/>
          <w:lang w:val="en-US"/>
        </w:rPr>
        <w:t>1</w:t>
      </w:r>
      <w:r>
        <w:rPr>
          <w:rFonts w:hint="eastAsia" w:ascii="宋体" w:hAnsi="宋体" w:eastAsia="宋体" w:cs="宋体"/>
          <w:sz w:val="28"/>
          <w:szCs w:val="28"/>
        </w:rPr>
        <w:t>人，安全管理人员</w:t>
      </w:r>
      <w:r>
        <w:rPr>
          <w:rFonts w:hint="eastAsia" w:ascii="宋体" w:hAnsi="宋体" w:eastAsia="宋体" w:cs="宋体"/>
          <w:sz w:val="28"/>
          <w:szCs w:val="28"/>
          <w:lang w:val="en-US"/>
        </w:rPr>
        <w:t>2人</w:t>
      </w:r>
      <w:r>
        <w:rPr>
          <w:rFonts w:hint="eastAsia" w:ascii="宋体" w:hAnsi="宋体" w:eastAsia="宋体" w:cs="宋体"/>
          <w:sz w:val="28"/>
          <w:szCs w:val="28"/>
        </w:rPr>
        <w:t>。</w:t>
      </w:r>
      <w:bookmarkEnd w:id="237"/>
      <w:bookmarkEnd w:id="238"/>
      <w:bookmarkEnd w:id="239"/>
      <w:bookmarkEnd w:id="240"/>
    </w:p>
    <w:p>
      <w:pPr>
        <w:adjustRightInd w:val="0"/>
        <w:snapToGrid w:val="0"/>
        <w:spacing w:line="500" w:lineRule="exact"/>
        <w:jc w:val="center"/>
        <w:rPr>
          <w:rFonts w:hint="eastAsia" w:ascii="宋体" w:hAnsi="宋体" w:eastAsia="宋体" w:cs="宋体"/>
          <w:sz w:val="28"/>
          <w:szCs w:val="28"/>
        </w:rPr>
      </w:pPr>
    </w:p>
    <w:p>
      <w:pPr>
        <w:adjustRightInd w:val="0"/>
        <w:snapToGrid w:val="0"/>
        <w:spacing w:line="500" w:lineRule="exact"/>
        <w:jc w:val="center"/>
        <w:rPr>
          <w:rFonts w:hint="eastAsia" w:ascii="宋体" w:hAnsi="宋体" w:eastAsia="宋体" w:cs="宋体"/>
          <w:sz w:val="28"/>
          <w:szCs w:val="28"/>
        </w:rPr>
      </w:pPr>
    </w:p>
    <w:p>
      <w:pPr>
        <w:adjustRightInd w:val="0"/>
        <w:snapToGrid w:val="0"/>
        <w:spacing w:line="500" w:lineRule="exact"/>
        <w:jc w:val="center"/>
        <w:rPr>
          <w:rFonts w:hint="eastAsia" w:ascii="宋体" w:hAnsi="宋体" w:eastAsia="宋体" w:cs="宋体"/>
          <w:sz w:val="28"/>
          <w:szCs w:val="28"/>
        </w:rPr>
      </w:pPr>
      <w:r>
        <w:rPr>
          <w:rFonts w:hint="eastAsia" w:ascii="宋体" w:hAnsi="宋体" w:eastAsia="宋体" w:cs="宋体"/>
          <w:sz w:val="28"/>
          <w:szCs w:val="28"/>
        </w:rPr>
        <w:t>表2</w:t>
      </w:r>
      <w:r>
        <w:rPr>
          <w:rFonts w:hint="eastAsia" w:ascii="宋体" w:hAnsi="宋体" w:eastAsia="宋体" w:cs="宋体"/>
          <w:sz w:val="28"/>
          <w:szCs w:val="28"/>
          <w:lang w:val="en-US"/>
        </w:rPr>
        <w:t>.8</w:t>
      </w:r>
      <w:r>
        <w:rPr>
          <w:rFonts w:hint="eastAsia" w:ascii="宋体" w:hAnsi="宋体" w:eastAsia="宋体" w:cs="宋体"/>
          <w:sz w:val="28"/>
          <w:szCs w:val="28"/>
        </w:rPr>
        <w:t>-1 人员持证情况表</w:t>
      </w:r>
    </w:p>
    <w:tbl>
      <w:tblPr>
        <w:tblStyle w:val="15"/>
        <w:tblW w:w="91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2"/>
        <w:gridCol w:w="1528"/>
        <w:gridCol w:w="2804"/>
        <w:gridCol w:w="2157"/>
        <w:gridCol w:w="16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992" w:type="dxa"/>
            <w:shd w:val="clear" w:color="auto" w:fill="auto"/>
            <w:vAlign w:val="center"/>
          </w:tcPr>
          <w:p>
            <w:pPr>
              <w:pStyle w:val="11"/>
              <w:keepNext w:val="0"/>
              <w:keepLines w:val="0"/>
              <w:suppressLineNumbers w:val="0"/>
              <w:adjustRightInd w:val="0"/>
              <w:spacing w:before="0" w:beforeAutospacing="0" w:after="0" w:afterAutospacing="0"/>
              <w:ind w:left="0" w:leftChars="0" w:right="0"/>
              <w:jc w:val="center"/>
              <w:rPr>
                <w:rFonts w:hint="eastAsia" w:ascii="宋体" w:hAnsi="宋体" w:eastAsia="宋体" w:cs="宋体"/>
                <w:color w:val="auto"/>
                <w:kern w:val="2"/>
                <w:sz w:val="21"/>
                <w:szCs w:val="21"/>
                <w:lang w:val="en-US"/>
              </w:rPr>
            </w:pPr>
            <w:bookmarkStart w:id="241" w:name="_Toc206513742"/>
            <w:bookmarkStart w:id="242" w:name="_Toc206825461"/>
            <w:r>
              <w:rPr>
                <w:rFonts w:hint="eastAsia" w:ascii="宋体" w:hAnsi="宋体" w:eastAsia="宋体" w:cs="宋体"/>
                <w:color w:val="auto"/>
                <w:kern w:val="2"/>
                <w:sz w:val="21"/>
                <w:szCs w:val="21"/>
                <w:lang w:val="en-US"/>
              </w:rPr>
              <w:t>姓名</w:t>
            </w:r>
            <w:bookmarkEnd w:id="241"/>
            <w:bookmarkEnd w:id="242"/>
          </w:p>
        </w:tc>
        <w:tc>
          <w:tcPr>
            <w:tcW w:w="1528" w:type="dxa"/>
            <w:shd w:val="clear" w:color="auto" w:fill="auto"/>
            <w:vAlign w:val="center"/>
          </w:tcPr>
          <w:p>
            <w:pPr>
              <w:pStyle w:val="11"/>
              <w:keepNext w:val="0"/>
              <w:keepLines w:val="0"/>
              <w:suppressLineNumbers w:val="0"/>
              <w:adjustRightInd w:val="0"/>
              <w:spacing w:before="0" w:beforeAutospacing="0" w:after="0" w:afterAutospacing="0"/>
              <w:ind w:left="0" w:leftChars="0" w:right="0"/>
              <w:jc w:val="center"/>
              <w:rPr>
                <w:rFonts w:hint="eastAsia" w:ascii="宋体" w:hAnsi="宋体" w:eastAsia="宋体" w:cs="宋体"/>
                <w:color w:val="auto"/>
                <w:kern w:val="2"/>
                <w:sz w:val="21"/>
                <w:szCs w:val="21"/>
                <w:lang w:val="en-US"/>
              </w:rPr>
            </w:pPr>
            <w:r>
              <w:rPr>
                <w:rFonts w:hint="eastAsia" w:ascii="宋体" w:hAnsi="宋体" w:eastAsia="宋体" w:cs="宋体"/>
                <w:color w:val="auto"/>
                <w:kern w:val="2"/>
                <w:sz w:val="21"/>
                <w:szCs w:val="21"/>
                <w:lang w:val="en-US"/>
              </w:rPr>
              <w:t>资格类型</w:t>
            </w:r>
          </w:p>
        </w:tc>
        <w:tc>
          <w:tcPr>
            <w:tcW w:w="2804" w:type="dxa"/>
            <w:shd w:val="clear" w:color="auto" w:fill="auto"/>
            <w:vAlign w:val="center"/>
          </w:tcPr>
          <w:p>
            <w:pPr>
              <w:pStyle w:val="11"/>
              <w:keepNext w:val="0"/>
              <w:keepLines w:val="0"/>
              <w:suppressLineNumbers w:val="0"/>
              <w:adjustRightInd w:val="0"/>
              <w:spacing w:before="0" w:beforeAutospacing="0" w:after="0" w:afterAutospacing="0"/>
              <w:ind w:left="0" w:leftChars="0" w:right="0"/>
              <w:jc w:val="center"/>
              <w:rPr>
                <w:rFonts w:hint="eastAsia" w:ascii="宋体" w:hAnsi="宋体" w:eastAsia="宋体" w:cs="宋体"/>
                <w:color w:val="auto"/>
                <w:kern w:val="2"/>
                <w:sz w:val="21"/>
                <w:szCs w:val="21"/>
                <w:lang w:val="en-US"/>
              </w:rPr>
            </w:pPr>
            <w:r>
              <w:rPr>
                <w:rFonts w:hint="eastAsia" w:ascii="宋体" w:hAnsi="宋体" w:eastAsia="宋体" w:cs="宋体"/>
                <w:color w:val="auto"/>
                <w:kern w:val="2"/>
                <w:sz w:val="21"/>
                <w:szCs w:val="21"/>
                <w:lang w:val="en-US"/>
              </w:rPr>
              <w:t>签发机关</w:t>
            </w:r>
          </w:p>
        </w:tc>
        <w:tc>
          <w:tcPr>
            <w:tcW w:w="2157" w:type="dxa"/>
            <w:shd w:val="clear" w:color="auto" w:fill="auto"/>
            <w:vAlign w:val="center"/>
          </w:tcPr>
          <w:p>
            <w:pPr>
              <w:pStyle w:val="11"/>
              <w:keepNext w:val="0"/>
              <w:keepLines w:val="0"/>
              <w:suppressLineNumbers w:val="0"/>
              <w:adjustRightInd w:val="0"/>
              <w:spacing w:before="0" w:beforeAutospacing="0" w:after="0" w:afterAutospacing="0"/>
              <w:ind w:left="0" w:leftChars="0" w:right="0"/>
              <w:jc w:val="center"/>
              <w:rPr>
                <w:rFonts w:hint="eastAsia" w:ascii="宋体" w:hAnsi="宋体" w:eastAsia="宋体" w:cs="宋体"/>
                <w:color w:val="auto"/>
                <w:kern w:val="2"/>
                <w:sz w:val="21"/>
                <w:szCs w:val="21"/>
                <w:lang w:val="en-US"/>
              </w:rPr>
            </w:pPr>
            <w:bookmarkStart w:id="243" w:name="_Toc206825463"/>
            <w:bookmarkStart w:id="244" w:name="_Toc206513744"/>
            <w:r>
              <w:rPr>
                <w:rFonts w:hint="eastAsia" w:ascii="宋体" w:hAnsi="宋体" w:eastAsia="宋体" w:cs="宋体"/>
                <w:color w:val="auto"/>
                <w:kern w:val="2"/>
                <w:sz w:val="21"/>
                <w:szCs w:val="21"/>
                <w:lang w:val="en-US"/>
              </w:rPr>
              <w:t>证书编号</w:t>
            </w:r>
            <w:bookmarkEnd w:id="243"/>
            <w:bookmarkEnd w:id="244"/>
          </w:p>
        </w:tc>
        <w:tc>
          <w:tcPr>
            <w:tcW w:w="1639" w:type="dxa"/>
            <w:shd w:val="clear" w:color="auto" w:fill="auto"/>
            <w:vAlign w:val="center"/>
          </w:tcPr>
          <w:p>
            <w:pPr>
              <w:pStyle w:val="11"/>
              <w:keepNext w:val="0"/>
              <w:keepLines w:val="0"/>
              <w:suppressLineNumbers w:val="0"/>
              <w:adjustRightInd w:val="0"/>
              <w:spacing w:before="0" w:beforeAutospacing="0" w:after="0" w:afterAutospacing="0"/>
              <w:ind w:left="0" w:leftChars="0" w:right="0"/>
              <w:jc w:val="center"/>
              <w:rPr>
                <w:rFonts w:hint="eastAsia" w:ascii="宋体" w:hAnsi="宋体" w:eastAsia="宋体" w:cs="宋体"/>
                <w:color w:val="auto"/>
                <w:kern w:val="2"/>
                <w:sz w:val="21"/>
                <w:szCs w:val="21"/>
                <w:lang w:val="en-US"/>
              </w:rPr>
            </w:pPr>
            <w:r>
              <w:rPr>
                <w:rFonts w:hint="eastAsia" w:ascii="宋体" w:hAnsi="宋体" w:eastAsia="宋体" w:cs="宋体"/>
                <w:color w:val="auto"/>
                <w:kern w:val="2"/>
                <w:sz w:val="21"/>
                <w:szCs w:val="21"/>
                <w:lang w:val="en-US"/>
              </w:rPr>
              <w:t>有效期至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92" w:type="dxa"/>
            <w:shd w:val="clear" w:color="auto" w:fill="auto"/>
            <w:vAlign w:val="center"/>
          </w:tcPr>
          <w:p>
            <w:pPr>
              <w:pStyle w:val="11"/>
              <w:keepNext w:val="0"/>
              <w:keepLines w:val="0"/>
              <w:suppressLineNumbers w:val="0"/>
              <w:adjustRightInd w:val="0"/>
              <w:spacing w:before="0" w:beforeAutospacing="0" w:after="0" w:afterAutospacing="0"/>
              <w:ind w:left="0" w:leftChars="0" w:right="0"/>
              <w:jc w:val="center"/>
              <w:rPr>
                <w:rFonts w:hint="eastAsia" w:ascii="宋体" w:hAnsi="宋体" w:eastAsia="宋体" w:cs="宋体"/>
                <w:color w:val="auto"/>
                <w:kern w:val="2"/>
                <w:sz w:val="21"/>
                <w:szCs w:val="21"/>
                <w:lang w:val="en-US" w:eastAsia="zh-CN"/>
              </w:rPr>
            </w:pPr>
            <w:r>
              <w:rPr>
                <w:rFonts w:hint="eastAsia" w:ascii="宋体" w:hAnsi="宋体" w:eastAsia="宋体" w:cs="宋体"/>
                <w:bCs/>
                <w:color w:val="auto"/>
                <w:kern w:val="2"/>
                <w:sz w:val="21"/>
                <w:szCs w:val="21"/>
                <w:lang w:val="en-US" w:eastAsia="zh-CN"/>
              </w:rPr>
              <w:t>容超平</w:t>
            </w:r>
          </w:p>
        </w:tc>
        <w:tc>
          <w:tcPr>
            <w:tcW w:w="1528" w:type="dxa"/>
            <w:shd w:val="clear" w:color="auto" w:fill="auto"/>
            <w:vAlign w:val="center"/>
          </w:tcPr>
          <w:p>
            <w:pPr>
              <w:pStyle w:val="11"/>
              <w:keepNext w:val="0"/>
              <w:keepLines w:val="0"/>
              <w:suppressLineNumbers w:val="0"/>
              <w:adjustRightInd w:val="0"/>
              <w:spacing w:before="0" w:beforeAutospacing="0" w:after="0" w:afterAutospacing="0"/>
              <w:ind w:left="0" w:leftChars="0" w:right="0"/>
              <w:jc w:val="center"/>
              <w:rPr>
                <w:rFonts w:hint="eastAsia" w:ascii="宋体" w:hAnsi="宋体" w:eastAsia="宋体" w:cs="宋体"/>
                <w:color w:val="auto"/>
                <w:kern w:val="2"/>
                <w:sz w:val="21"/>
                <w:szCs w:val="21"/>
                <w:lang w:val="en-US"/>
              </w:rPr>
            </w:pPr>
            <w:r>
              <w:rPr>
                <w:rFonts w:hint="eastAsia" w:ascii="宋体" w:hAnsi="宋体" w:eastAsia="宋体" w:cs="宋体"/>
                <w:bCs/>
                <w:color w:val="auto"/>
                <w:kern w:val="2"/>
                <w:sz w:val="21"/>
                <w:szCs w:val="21"/>
                <w:lang w:val="en-US"/>
              </w:rPr>
              <w:t>主要负责人</w:t>
            </w:r>
          </w:p>
        </w:tc>
        <w:tc>
          <w:tcPr>
            <w:tcW w:w="2804" w:type="dxa"/>
            <w:shd w:val="clear" w:color="auto" w:fill="auto"/>
            <w:vAlign w:val="center"/>
          </w:tcPr>
          <w:p>
            <w:pPr>
              <w:pStyle w:val="11"/>
              <w:keepNext w:val="0"/>
              <w:keepLines w:val="0"/>
              <w:suppressLineNumbers w:val="0"/>
              <w:adjustRightInd w:val="0"/>
              <w:spacing w:before="0" w:beforeAutospacing="0" w:after="0" w:afterAutospacing="0"/>
              <w:ind w:left="0" w:leftChars="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东莞市应急管理局</w:t>
            </w:r>
          </w:p>
        </w:tc>
        <w:tc>
          <w:tcPr>
            <w:tcW w:w="2157" w:type="dxa"/>
            <w:shd w:val="clear" w:color="auto" w:fill="auto"/>
            <w:vAlign w:val="center"/>
          </w:tcPr>
          <w:p>
            <w:pPr>
              <w:pStyle w:val="11"/>
              <w:keepNext w:val="0"/>
              <w:keepLines w:val="0"/>
              <w:suppressLineNumbers w:val="0"/>
              <w:adjustRightInd w:val="0"/>
              <w:spacing w:before="0" w:beforeAutospacing="0" w:after="0" w:afterAutospacing="0"/>
              <w:ind w:left="0" w:leftChars="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44088319840116144X</w:t>
            </w:r>
          </w:p>
        </w:tc>
        <w:tc>
          <w:tcPr>
            <w:tcW w:w="1639" w:type="dxa"/>
            <w:shd w:val="clear" w:color="auto" w:fill="auto"/>
            <w:vAlign w:val="center"/>
          </w:tcPr>
          <w:p>
            <w:pPr>
              <w:pStyle w:val="11"/>
              <w:keepNext w:val="0"/>
              <w:keepLines w:val="0"/>
              <w:suppressLineNumbers w:val="0"/>
              <w:adjustRightInd w:val="0"/>
              <w:spacing w:before="0" w:beforeAutospacing="0" w:after="0" w:afterAutospacing="0"/>
              <w:ind w:left="0" w:leftChars="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2021.07.04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992" w:type="dxa"/>
            <w:shd w:val="clear" w:color="auto" w:fill="auto"/>
            <w:vAlign w:val="center"/>
          </w:tcPr>
          <w:p>
            <w:pPr>
              <w:pStyle w:val="11"/>
              <w:keepNext w:val="0"/>
              <w:keepLines w:val="0"/>
              <w:suppressLineNumbers w:val="0"/>
              <w:adjustRightInd w:val="0"/>
              <w:spacing w:before="0" w:beforeAutospacing="0" w:after="0" w:afterAutospacing="0"/>
              <w:ind w:left="0" w:leftChars="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王嘉</w:t>
            </w:r>
          </w:p>
        </w:tc>
        <w:tc>
          <w:tcPr>
            <w:tcW w:w="1528" w:type="dxa"/>
            <w:shd w:val="clear" w:color="auto" w:fill="auto"/>
            <w:vAlign w:val="center"/>
          </w:tcPr>
          <w:p>
            <w:pPr>
              <w:pStyle w:val="11"/>
              <w:keepNext w:val="0"/>
              <w:keepLines w:val="0"/>
              <w:suppressLineNumbers w:val="0"/>
              <w:adjustRightInd w:val="0"/>
              <w:spacing w:before="0" w:beforeAutospacing="0" w:after="0" w:afterAutospacing="0"/>
              <w:ind w:left="0" w:leftChars="0" w:right="0"/>
              <w:jc w:val="center"/>
              <w:rPr>
                <w:rFonts w:hint="eastAsia" w:ascii="宋体" w:hAnsi="宋体" w:eastAsia="宋体" w:cs="宋体"/>
                <w:bCs/>
                <w:color w:val="auto"/>
                <w:kern w:val="2"/>
                <w:sz w:val="21"/>
                <w:szCs w:val="21"/>
                <w:lang w:val="en-US"/>
              </w:rPr>
            </w:pPr>
            <w:r>
              <w:rPr>
                <w:rFonts w:hint="eastAsia" w:ascii="宋体" w:hAnsi="宋体" w:eastAsia="宋体" w:cs="宋体"/>
                <w:bCs/>
                <w:color w:val="auto"/>
                <w:kern w:val="2"/>
                <w:sz w:val="21"/>
                <w:szCs w:val="21"/>
                <w:lang w:val="en-US"/>
              </w:rPr>
              <w:t>安全生产管理人员</w:t>
            </w:r>
          </w:p>
        </w:tc>
        <w:tc>
          <w:tcPr>
            <w:tcW w:w="2804" w:type="dxa"/>
            <w:shd w:val="clear" w:color="auto" w:fill="auto"/>
            <w:vAlign w:val="center"/>
          </w:tcPr>
          <w:p>
            <w:pPr>
              <w:pStyle w:val="11"/>
              <w:keepNext w:val="0"/>
              <w:keepLines w:val="0"/>
              <w:suppressLineNumbers w:val="0"/>
              <w:adjustRightInd w:val="0"/>
              <w:spacing w:before="0" w:beforeAutospacing="0" w:after="0" w:afterAutospacing="0"/>
              <w:ind w:left="0" w:leftChars="0" w:right="0"/>
              <w:jc w:val="center"/>
              <w:rPr>
                <w:rFonts w:hint="eastAsia" w:ascii="宋体" w:hAnsi="宋体" w:eastAsia="宋体" w:cs="宋体"/>
                <w:bCs/>
                <w:color w:val="auto"/>
                <w:kern w:val="2"/>
                <w:sz w:val="21"/>
                <w:szCs w:val="21"/>
                <w:lang w:val="en-US" w:eastAsia="zh-CN"/>
              </w:rPr>
            </w:pPr>
            <w:r>
              <w:rPr>
                <w:rFonts w:hint="eastAsia" w:ascii="宋体" w:hAnsi="宋体" w:eastAsia="宋体" w:cs="宋体"/>
                <w:color w:val="auto"/>
                <w:kern w:val="2"/>
                <w:sz w:val="21"/>
                <w:szCs w:val="21"/>
                <w:lang w:val="en-US" w:eastAsia="zh-CN"/>
              </w:rPr>
              <w:t>东莞市应急管理局</w:t>
            </w:r>
          </w:p>
        </w:tc>
        <w:tc>
          <w:tcPr>
            <w:tcW w:w="2157" w:type="dxa"/>
            <w:shd w:val="clear" w:color="auto" w:fill="auto"/>
            <w:vAlign w:val="center"/>
          </w:tcPr>
          <w:p>
            <w:pPr>
              <w:pStyle w:val="11"/>
              <w:keepNext w:val="0"/>
              <w:keepLines w:val="0"/>
              <w:suppressLineNumbers w:val="0"/>
              <w:adjustRightInd w:val="0"/>
              <w:spacing w:before="0" w:beforeAutospacing="0" w:after="0" w:afterAutospacing="0"/>
              <w:ind w:left="0" w:leftChars="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342201198304130474</w:t>
            </w:r>
          </w:p>
        </w:tc>
        <w:tc>
          <w:tcPr>
            <w:tcW w:w="1639" w:type="dxa"/>
            <w:shd w:val="clear" w:color="auto" w:fill="auto"/>
            <w:vAlign w:val="center"/>
          </w:tcPr>
          <w:p>
            <w:pPr>
              <w:pStyle w:val="11"/>
              <w:keepNext w:val="0"/>
              <w:keepLines w:val="0"/>
              <w:suppressLineNumbers w:val="0"/>
              <w:adjustRightInd w:val="0"/>
              <w:spacing w:before="0" w:beforeAutospacing="0" w:after="0" w:afterAutospacing="0"/>
              <w:ind w:left="0" w:leftChars="0" w:right="0"/>
              <w:jc w:val="center"/>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2020.04.13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992" w:type="dxa"/>
            <w:shd w:val="clear" w:color="auto" w:fill="auto"/>
            <w:vAlign w:val="center"/>
          </w:tcPr>
          <w:p>
            <w:pPr>
              <w:pStyle w:val="11"/>
              <w:keepNext w:val="0"/>
              <w:keepLines w:val="0"/>
              <w:suppressLineNumbers w:val="0"/>
              <w:adjustRightInd w:val="0"/>
              <w:spacing w:before="0" w:beforeAutospacing="0" w:after="0" w:afterAutospacing="0"/>
              <w:ind w:left="0" w:leftChars="0" w:right="0"/>
              <w:jc w:val="center"/>
              <w:rPr>
                <w:rFonts w:hint="eastAsia" w:ascii="宋体" w:hAnsi="宋体" w:eastAsia="宋体" w:cs="宋体"/>
                <w:bCs/>
                <w:color w:val="auto"/>
                <w:kern w:val="2"/>
                <w:sz w:val="21"/>
                <w:szCs w:val="21"/>
                <w:lang w:val="en-US" w:eastAsia="zh-CN"/>
              </w:rPr>
            </w:pPr>
            <w:r>
              <w:rPr>
                <w:rFonts w:hint="eastAsia" w:ascii="宋体" w:hAnsi="宋体" w:eastAsia="宋体" w:cs="宋体"/>
                <w:bCs/>
                <w:color w:val="auto"/>
                <w:kern w:val="2"/>
                <w:sz w:val="21"/>
                <w:szCs w:val="21"/>
                <w:lang w:val="en-US" w:eastAsia="zh-CN"/>
              </w:rPr>
              <w:t>黄妮</w:t>
            </w:r>
          </w:p>
        </w:tc>
        <w:tc>
          <w:tcPr>
            <w:tcW w:w="1528" w:type="dxa"/>
            <w:shd w:val="clear" w:color="auto" w:fill="auto"/>
            <w:vAlign w:val="center"/>
          </w:tcPr>
          <w:p>
            <w:pPr>
              <w:pStyle w:val="11"/>
              <w:keepNext w:val="0"/>
              <w:keepLines w:val="0"/>
              <w:suppressLineNumbers w:val="0"/>
              <w:adjustRightInd w:val="0"/>
              <w:spacing w:before="0" w:beforeAutospacing="0" w:after="0" w:afterAutospacing="0"/>
              <w:ind w:left="0" w:leftChars="0" w:right="0"/>
              <w:jc w:val="center"/>
              <w:rPr>
                <w:rFonts w:hint="eastAsia" w:ascii="宋体" w:hAnsi="宋体" w:eastAsia="宋体" w:cs="宋体"/>
                <w:bCs/>
                <w:color w:val="auto"/>
                <w:kern w:val="2"/>
                <w:sz w:val="21"/>
                <w:szCs w:val="21"/>
                <w:lang w:val="en-US"/>
              </w:rPr>
            </w:pPr>
            <w:r>
              <w:rPr>
                <w:rFonts w:hint="eastAsia" w:ascii="宋体" w:hAnsi="宋体" w:eastAsia="宋体" w:cs="宋体"/>
                <w:bCs/>
                <w:color w:val="auto"/>
                <w:kern w:val="2"/>
                <w:sz w:val="21"/>
                <w:szCs w:val="21"/>
                <w:lang w:val="en-US"/>
              </w:rPr>
              <w:t>安全生产管理人员</w:t>
            </w:r>
          </w:p>
        </w:tc>
        <w:tc>
          <w:tcPr>
            <w:tcW w:w="2804" w:type="dxa"/>
            <w:shd w:val="clear" w:color="auto" w:fill="auto"/>
            <w:vAlign w:val="center"/>
          </w:tcPr>
          <w:p>
            <w:pPr>
              <w:pStyle w:val="11"/>
              <w:keepNext w:val="0"/>
              <w:keepLines w:val="0"/>
              <w:suppressLineNumbers w:val="0"/>
              <w:adjustRightInd w:val="0"/>
              <w:spacing w:before="0" w:beforeAutospacing="0" w:after="0" w:afterAutospacing="0"/>
              <w:ind w:left="0" w:leftChars="0" w:right="0"/>
              <w:jc w:val="center"/>
              <w:rPr>
                <w:rFonts w:hint="eastAsia" w:ascii="宋体" w:hAnsi="宋体" w:eastAsia="宋体" w:cs="宋体"/>
                <w:bCs/>
                <w:color w:val="auto"/>
                <w:kern w:val="2"/>
                <w:sz w:val="21"/>
                <w:szCs w:val="21"/>
                <w:lang w:val="en-US"/>
              </w:rPr>
            </w:pPr>
            <w:r>
              <w:rPr>
                <w:rFonts w:hint="eastAsia" w:ascii="宋体" w:hAnsi="宋体" w:eastAsia="宋体" w:cs="宋体"/>
                <w:color w:val="auto"/>
                <w:kern w:val="2"/>
                <w:sz w:val="21"/>
                <w:szCs w:val="21"/>
                <w:lang w:val="en-US" w:eastAsia="zh-CN"/>
              </w:rPr>
              <w:t>东莞市应急管理局</w:t>
            </w:r>
          </w:p>
        </w:tc>
        <w:tc>
          <w:tcPr>
            <w:tcW w:w="2157" w:type="dxa"/>
            <w:shd w:val="clear" w:color="auto" w:fill="auto"/>
            <w:vAlign w:val="center"/>
          </w:tcPr>
          <w:p>
            <w:pPr>
              <w:pStyle w:val="11"/>
              <w:keepNext w:val="0"/>
              <w:keepLines w:val="0"/>
              <w:suppressLineNumbers w:val="0"/>
              <w:adjustRightInd w:val="0"/>
              <w:spacing w:before="0" w:beforeAutospacing="0" w:after="0" w:afterAutospacing="0"/>
              <w:ind w:left="0" w:leftChars="0" w:right="0" w:rightChars="0"/>
              <w:jc w:val="center"/>
              <w:rPr>
                <w:rFonts w:hint="eastAsia" w:ascii="宋体" w:hAnsi="宋体" w:eastAsia="宋体" w:cs="宋体"/>
                <w:bCs/>
                <w:color w:val="auto"/>
                <w:kern w:val="2"/>
                <w:sz w:val="21"/>
                <w:szCs w:val="21"/>
                <w:lang w:val="en-US" w:eastAsia="zh-CN"/>
              </w:rPr>
            </w:pPr>
            <w:r>
              <w:rPr>
                <w:rFonts w:hint="eastAsia" w:ascii="宋体" w:hAnsi="宋体" w:eastAsia="宋体" w:cs="宋体"/>
                <w:color w:val="auto"/>
                <w:kern w:val="2"/>
                <w:sz w:val="21"/>
                <w:szCs w:val="21"/>
                <w:lang w:val="en-US" w:eastAsia="zh-CN"/>
              </w:rPr>
              <w:t>430725198610017267</w:t>
            </w:r>
          </w:p>
        </w:tc>
        <w:tc>
          <w:tcPr>
            <w:tcW w:w="1639" w:type="dxa"/>
            <w:shd w:val="clear" w:color="auto" w:fill="auto"/>
            <w:vAlign w:val="center"/>
          </w:tcPr>
          <w:p>
            <w:pPr>
              <w:pStyle w:val="11"/>
              <w:keepNext w:val="0"/>
              <w:keepLines w:val="0"/>
              <w:suppressLineNumbers w:val="0"/>
              <w:adjustRightInd w:val="0"/>
              <w:spacing w:before="0" w:beforeAutospacing="0" w:after="0" w:afterAutospacing="0"/>
              <w:ind w:left="0" w:leftChars="0" w:right="0" w:rightChars="0"/>
              <w:jc w:val="center"/>
              <w:rPr>
                <w:rFonts w:hint="eastAsia" w:ascii="宋体" w:hAnsi="宋体" w:eastAsia="宋体" w:cs="宋体"/>
                <w:bCs/>
                <w:color w:val="auto"/>
                <w:kern w:val="2"/>
                <w:sz w:val="21"/>
                <w:szCs w:val="21"/>
                <w:lang w:val="en-US" w:eastAsia="zh-CN"/>
              </w:rPr>
            </w:pPr>
            <w:r>
              <w:rPr>
                <w:rFonts w:hint="eastAsia" w:ascii="宋体" w:hAnsi="宋体" w:eastAsia="宋体" w:cs="宋体"/>
                <w:color w:val="auto"/>
                <w:kern w:val="2"/>
                <w:sz w:val="21"/>
                <w:szCs w:val="21"/>
                <w:lang w:val="en-US" w:eastAsia="zh-CN"/>
              </w:rPr>
              <w:t>2020.04.13</w:t>
            </w:r>
          </w:p>
        </w:tc>
      </w:tr>
    </w:tbl>
    <w:p>
      <w:pPr>
        <w:spacing w:line="500" w:lineRule="exact"/>
        <w:ind w:firstLine="560" w:firstLineChars="200"/>
        <w:rPr>
          <w:rFonts w:hint="eastAsia" w:ascii="宋体" w:hAnsi="宋体" w:eastAsia="宋体" w:cs="宋体"/>
          <w:sz w:val="28"/>
        </w:rPr>
      </w:pPr>
      <w:bookmarkStart w:id="245" w:name="_Hlk528255380"/>
    </w:p>
    <w:p>
      <w:pPr>
        <w:spacing w:line="500" w:lineRule="exact"/>
        <w:ind w:firstLine="560" w:firstLineChars="200"/>
        <w:rPr>
          <w:rFonts w:hint="eastAsia" w:ascii="宋体" w:hAnsi="宋体" w:eastAsia="宋体" w:cs="宋体"/>
          <w:sz w:val="28"/>
        </w:rPr>
      </w:pPr>
      <w:r>
        <w:rPr>
          <w:rFonts w:hint="eastAsia" w:ascii="宋体" w:hAnsi="宋体" w:eastAsia="宋体" w:cs="宋体"/>
          <w:sz w:val="28"/>
        </w:rPr>
        <w:t>加油站其他人员经过公司培训合格后上岗。</w:t>
      </w:r>
    </w:p>
    <w:p>
      <w:pPr>
        <w:spacing w:line="500" w:lineRule="exact"/>
        <w:ind w:firstLine="560" w:firstLineChars="200"/>
        <w:rPr>
          <w:rFonts w:hint="eastAsia" w:ascii="宋体" w:hAnsi="宋体" w:eastAsia="宋体" w:cs="宋体"/>
          <w:sz w:val="28"/>
        </w:rPr>
      </w:pPr>
    </w:p>
    <w:p>
      <w:pPr>
        <w:spacing w:line="500" w:lineRule="exact"/>
        <w:ind w:firstLine="440" w:firstLineChars="200"/>
        <w:rPr>
          <w:rFonts w:hint="eastAsia" w:ascii="宋体" w:hAnsi="宋体" w:eastAsia="宋体" w:cs="宋体"/>
          <w:sz w:val="28"/>
        </w:rPr>
      </w:pPr>
      <w:r>
        <w:rPr>
          <w:rFonts w:hint="eastAsia" w:ascii="宋体" w:hAnsi="宋体" w:eastAsia="宋体" w:cs="宋体"/>
        </w:rPr>
        <w:drawing>
          <wp:anchor distT="0" distB="0" distL="114300" distR="114300" simplePos="0" relativeHeight="251663360" behindDoc="0" locked="0" layoutInCell="1" allowOverlap="1">
            <wp:simplePos x="0" y="0"/>
            <wp:positionH relativeFrom="column">
              <wp:posOffset>993775</wp:posOffset>
            </wp:positionH>
            <wp:positionV relativeFrom="paragraph">
              <wp:posOffset>-27940</wp:posOffset>
            </wp:positionV>
            <wp:extent cx="3684905" cy="3404870"/>
            <wp:effectExtent l="0" t="0" r="10795" b="508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6"/>
                    <a:stretch>
                      <a:fillRect/>
                    </a:stretch>
                  </pic:blipFill>
                  <pic:spPr>
                    <a:xfrm>
                      <a:off x="0" y="0"/>
                      <a:ext cx="3684905" cy="3404870"/>
                    </a:xfrm>
                    <a:prstGeom prst="rect">
                      <a:avLst/>
                    </a:prstGeom>
                    <a:noFill/>
                    <a:ln>
                      <a:noFill/>
                    </a:ln>
                  </pic:spPr>
                </pic:pic>
              </a:graphicData>
            </a:graphic>
          </wp:anchor>
        </w:drawing>
      </w:r>
    </w:p>
    <w:p>
      <w:pPr>
        <w:spacing w:line="500" w:lineRule="exact"/>
        <w:ind w:firstLine="560" w:firstLineChars="200"/>
        <w:rPr>
          <w:rFonts w:hint="eastAsia" w:ascii="宋体" w:hAnsi="宋体" w:eastAsia="宋体" w:cs="宋体"/>
          <w:sz w:val="28"/>
        </w:rPr>
      </w:pPr>
    </w:p>
    <w:p>
      <w:pPr>
        <w:spacing w:line="500" w:lineRule="exact"/>
        <w:ind w:firstLine="560" w:firstLineChars="200"/>
        <w:rPr>
          <w:rFonts w:hint="eastAsia" w:ascii="宋体" w:hAnsi="宋体" w:eastAsia="宋体" w:cs="宋体"/>
          <w:sz w:val="28"/>
        </w:rPr>
      </w:pPr>
    </w:p>
    <w:p>
      <w:pPr>
        <w:spacing w:line="500" w:lineRule="exact"/>
        <w:ind w:firstLine="560" w:firstLineChars="200"/>
        <w:rPr>
          <w:rFonts w:hint="eastAsia" w:ascii="宋体" w:hAnsi="宋体" w:eastAsia="宋体" w:cs="宋体"/>
          <w:sz w:val="28"/>
        </w:rPr>
      </w:pPr>
    </w:p>
    <w:p>
      <w:pPr>
        <w:spacing w:line="500" w:lineRule="exact"/>
        <w:ind w:firstLine="560" w:firstLineChars="200"/>
        <w:rPr>
          <w:rFonts w:hint="eastAsia" w:ascii="宋体" w:hAnsi="宋体" w:eastAsia="宋体" w:cs="宋体"/>
          <w:sz w:val="28"/>
        </w:rPr>
      </w:pPr>
    </w:p>
    <w:p>
      <w:pPr>
        <w:spacing w:line="500" w:lineRule="exact"/>
        <w:ind w:firstLine="482" w:firstLineChars="200"/>
        <w:rPr>
          <w:rFonts w:hint="eastAsia" w:ascii="宋体" w:hAnsi="宋体" w:eastAsia="宋体" w:cs="宋体"/>
          <w:b/>
          <w:color w:val="auto"/>
          <w:sz w:val="24"/>
        </w:rPr>
      </w:pPr>
    </w:p>
    <w:p>
      <w:pPr>
        <w:spacing w:line="500" w:lineRule="exact"/>
        <w:ind w:firstLine="482" w:firstLineChars="200"/>
        <w:rPr>
          <w:rFonts w:hint="eastAsia" w:ascii="宋体" w:hAnsi="宋体" w:eastAsia="宋体" w:cs="宋体"/>
          <w:b/>
          <w:color w:val="auto"/>
          <w:sz w:val="24"/>
        </w:rPr>
      </w:pPr>
    </w:p>
    <w:p>
      <w:pPr>
        <w:spacing w:line="500" w:lineRule="exact"/>
        <w:ind w:firstLine="482" w:firstLineChars="200"/>
        <w:rPr>
          <w:rFonts w:hint="eastAsia" w:ascii="宋体" w:hAnsi="宋体" w:eastAsia="宋体" w:cs="宋体"/>
          <w:b/>
          <w:color w:val="auto"/>
          <w:sz w:val="24"/>
        </w:rPr>
      </w:pPr>
    </w:p>
    <w:p>
      <w:pPr>
        <w:spacing w:line="500" w:lineRule="exact"/>
        <w:ind w:firstLine="560" w:firstLineChars="200"/>
        <w:rPr>
          <w:rFonts w:hint="eastAsia" w:ascii="宋体" w:hAnsi="宋体" w:eastAsia="宋体" w:cs="宋体"/>
          <w:sz w:val="28"/>
        </w:rPr>
      </w:pPr>
    </w:p>
    <w:p>
      <w:pPr>
        <w:spacing w:line="500" w:lineRule="exact"/>
        <w:ind w:firstLine="560" w:firstLineChars="200"/>
        <w:rPr>
          <w:rFonts w:hint="eastAsia" w:ascii="宋体" w:hAnsi="宋体" w:eastAsia="宋体" w:cs="宋体"/>
          <w:sz w:val="28"/>
        </w:rPr>
      </w:pPr>
    </w:p>
    <w:p>
      <w:pPr>
        <w:spacing w:line="500" w:lineRule="exact"/>
        <w:ind w:firstLine="560" w:firstLineChars="200"/>
        <w:rPr>
          <w:rFonts w:hint="eastAsia" w:ascii="宋体" w:hAnsi="宋体" w:eastAsia="宋体" w:cs="宋体"/>
          <w:sz w:val="28"/>
        </w:rPr>
      </w:pPr>
    </w:p>
    <w:bookmarkEnd w:id="245"/>
    <w:p>
      <w:pPr>
        <w:spacing w:line="500" w:lineRule="exact"/>
        <w:ind w:firstLine="482" w:firstLineChars="200"/>
        <w:jc w:val="center"/>
        <w:rPr>
          <w:rFonts w:hint="eastAsia" w:ascii="宋体" w:hAnsi="宋体" w:eastAsia="宋体" w:cs="宋体"/>
          <w:sz w:val="28"/>
        </w:rPr>
      </w:pPr>
      <w:r>
        <w:rPr>
          <w:rFonts w:hint="eastAsia" w:ascii="宋体" w:hAnsi="宋体" w:eastAsia="宋体" w:cs="宋体"/>
          <w:b/>
          <w:color w:val="auto"/>
          <w:sz w:val="24"/>
        </w:rPr>
        <w:t>图 2</w:t>
      </w:r>
      <w:r>
        <w:rPr>
          <w:rFonts w:hint="eastAsia" w:ascii="宋体" w:hAnsi="宋体" w:eastAsia="宋体" w:cs="宋体"/>
          <w:b/>
          <w:color w:val="auto"/>
          <w:sz w:val="24"/>
          <w:lang w:val="en-US" w:eastAsia="zh-CN"/>
        </w:rPr>
        <w:t>.</w:t>
      </w:r>
      <w:r>
        <w:rPr>
          <w:rFonts w:hint="eastAsia" w:ascii="宋体" w:hAnsi="宋体" w:eastAsia="宋体" w:cs="宋体"/>
          <w:b/>
          <w:color w:val="auto"/>
          <w:sz w:val="24"/>
        </w:rPr>
        <w:t>8</w:t>
      </w:r>
      <w:r>
        <w:rPr>
          <w:rFonts w:hint="eastAsia" w:ascii="宋体" w:hAnsi="宋体" w:eastAsia="宋体" w:cs="宋体"/>
          <w:b/>
          <w:color w:val="auto"/>
          <w:sz w:val="24"/>
          <w:lang w:val="en-US" w:eastAsia="zh-CN"/>
        </w:rPr>
        <w:t xml:space="preserve">-1 </w:t>
      </w:r>
      <w:r>
        <w:rPr>
          <w:rFonts w:hint="eastAsia" w:ascii="宋体" w:hAnsi="宋体" w:eastAsia="宋体" w:cs="宋体"/>
          <w:b/>
          <w:color w:val="auto"/>
          <w:sz w:val="24"/>
        </w:rPr>
        <w:t>加油站安全管理组织网络图</w:t>
      </w:r>
    </w:p>
    <w:p>
      <w:pPr>
        <w:spacing w:line="500" w:lineRule="exact"/>
        <w:ind w:firstLine="560" w:firstLineChars="200"/>
        <w:rPr>
          <w:rFonts w:hint="eastAsia" w:ascii="宋体" w:hAnsi="宋体" w:eastAsia="宋体" w:cs="宋体"/>
          <w:sz w:val="28"/>
        </w:rPr>
      </w:pPr>
    </w:p>
    <w:p>
      <w:pPr>
        <w:spacing w:line="500" w:lineRule="exact"/>
        <w:ind w:firstLine="560" w:firstLineChars="200"/>
        <w:rPr>
          <w:rFonts w:hint="eastAsia" w:ascii="宋体" w:hAnsi="宋体" w:eastAsia="宋体" w:cs="宋体"/>
          <w:sz w:val="28"/>
        </w:rPr>
      </w:pPr>
    </w:p>
    <w:p>
      <w:pPr>
        <w:spacing w:line="500" w:lineRule="exact"/>
        <w:ind w:firstLine="560" w:firstLineChars="200"/>
        <w:rPr>
          <w:rFonts w:hint="eastAsia" w:ascii="宋体" w:hAnsi="宋体" w:eastAsia="宋体" w:cs="宋体"/>
          <w:sz w:val="28"/>
        </w:rPr>
      </w:pPr>
    </w:p>
    <w:p>
      <w:pPr>
        <w:spacing w:line="500" w:lineRule="exact"/>
        <w:ind w:firstLine="560" w:firstLineChars="200"/>
        <w:rPr>
          <w:rFonts w:hint="eastAsia" w:ascii="宋体" w:hAnsi="宋体" w:eastAsia="宋体" w:cs="宋体"/>
          <w:sz w:val="28"/>
        </w:rPr>
      </w:pPr>
    </w:p>
    <w:p>
      <w:pPr>
        <w:spacing w:line="500" w:lineRule="exact"/>
        <w:ind w:firstLine="560" w:firstLineChars="200"/>
        <w:rPr>
          <w:rFonts w:hint="eastAsia" w:ascii="宋体" w:hAnsi="宋体" w:eastAsia="宋体" w:cs="宋体"/>
          <w:sz w:val="28"/>
        </w:rPr>
      </w:pPr>
    </w:p>
    <w:p>
      <w:pPr>
        <w:spacing w:line="500" w:lineRule="exact"/>
        <w:ind w:firstLine="560" w:firstLineChars="200"/>
        <w:rPr>
          <w:rFonts w:hint="eastAsia" w:ascii="宋体" w:hAnsi="宋体" w:eastAsia="宋体" w:cs="宋体"/>
          <w:sz w:val="28"/>
        </w:rPr>
      </w:pPr>
    </w:p>
    <w:p>
      <w:pPr>
        <w:spacing w:line="500" w:lineRule="exact"/>
        <w:ind w:firstLine="560" w:firstLineChars="200"/>
        <w:rPr>
          <w:rFonts w:hint="eastAsia" w:ascii="宋体" w:hAnsi="宋体" w:eastAsia="宋体" w:cs="宋体"/>
          <w:sz w:val="28"/>
        </w:rPr>
      </w:pPr>
    </w:p>
    <w:p>
      <w:pPr>
        <w:spacing w:line="500" w:lineRule="exact"/>
        <w:ind w:firstLine="560" w:firstLineChars="200"/>
        <w:rPr>
          <w:rFonts w:hint="eastAsia" w:ascii="宋体" w:hAnsi="宋体" w:eastAsia="宋体" w:cs="宋体"/>
          <w:sz w:val="28"/>
        </w:rPr>
      </w:pPr>
    </w:p>
    <w:p>
      <w:pPr>
        <w:spacing w:line="500" w:lineRule="exact"/>
        <w:ind w:firstLine="560" w:firstLineChars="200"/>
        <w:rPr>
          <w:rFonts w:hint="eastAsia" w:ascii="宋体" w:hAnsi="宋体" w:eastAsia="宋体" w:cs="宋体"/>
          <w:sz w:val="28"/>
        </w:rPr>
      </w:pPr>
      <w:r>
        <w:rPr>
          <w:rFonts w:hint="eastAsia" w:ascii="宋体" w:hAnsi="宋体" w:eastAsia="宋体" w:cs="宋体"/>
          <w:sz w:val="28"/>
        </w:rPr>
        <w:t>（3）安全管理制度及操作规程</w:t>
      </w:r>
    </w:p>
    <w:tbl>
      <w:tblPr>
        <w:tblStyle w:val="16"/>
        <w:tblW w:w="9168" w:type="dxa"/>
        <w:tblInd w:w="1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30"/>
        <w:gridCol w:w="3684"/>
        <w:gridCol w:w="25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2" w:hRule="atLeast"/>
        </w:trPr>
        <w:tc>
          <w:tcPr>
            <w:tcW w:w="9168" w:type="dxa"/>
            <w:gridSpan w:val="3"/>
          </w:tcPr>
          <w:p>
            <w:pPr>
              <w:keepNext w:val="0"/>
              <w:keepLines w:val="0"/>
              <w:suppressLineNumbers w:val="0"/>
              <w:spacing w:before="0" w:beforeAutospacing="0" w:after="0" w:afterAutospacing="0" w:line="500" w:lineRule="exact"/>
              <w:ind w:left="0" w:right="0"/>
              <w:jc w:val="center"/>
              <w:rPr>
                <w:rFonts w:hint="eastAsia" w:ascii="宋体" w:hAnsi="宋体" w:eastAsia="宋体" w:cs="宋体"/>
                <w:kern w:val="2"/>
                <w:sz w:val="21"/>
                <w:szCs w:val="21"/>
              </w:rPr>
            </w:pPr>
            <w:r>
              <w:rPr>
                <w:rFonts w:hint="eastAsia" w:ascii="宋体" w:hAnsi="宋体" w:eastAsia="宋体" w:cs="宋体"/>
                <w:b/>
                <w:bCs/>
                <w:kern w:val="2"/>
                <w:sz w:val="21"/>
                <w:szCs w:val="21"/>
              </w:rPr>
              <w:t>安全管理制度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0" w:type="dxa"/>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spacing w:val="-7"/>
                <w:kern w:val="2"/>
                <w:sz w:val="21"/>
                <w:szCs w:val="21"/>
              </w:rPr>
              <w:t>危险化学品购销管理制度</w:t>
            </w:r>
          </w:p>
        </w:tc>
        <w:tc>
          <w:tcPr>
            <w:tcW w:w="3684" w:type="dxa"/>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spacing w:val="-7"/>
                <w:kern w:val="2"/>
                <w:sz w:val="21"/>
                <w:szCs w:val="21"/>
              </w:rPr>
              <w:t>危险化学品安全管理制度（包括防火、防爆、防中毒、防泄漏管理等内容）</w:t>
            </w:r>
          </w:p>
        </w:tc>
        <w:tc>
          <w:tcPr>
            <w:tcW w:w="2554" w:type="dxa"/>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spacing w:val="-7"/>
                <w:kern w:val="2"/>
                <w:sz w:val="21"/>
                <w:szCs w:val="21"/>
              </w:rPr>
              <w:t>安全投入保障制度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0" w:type="dxa"/>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spacing w:val="-7"/>
                <w:kern w:val="2"/>
                <w:sz w:val="21"/>
                <w:szCs w:val="21"/>
              </w:rPr>
              <w:t>安全生产奖惩制度</w:t>
            </w:r>
          </w:p>
        </w:tc>
        <w:tc>
          <w:tcPr>
            <w:tcW w:w="3684" w:type="dxa"/>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spacing w:val="-7"/>
                <w:kern w:val="2"/>
                <w:sz w:val="21"/>
                <w:szCs w:val="21"/>
              </w:rPr>
              <w:t>安全风险管理制度</w:t>
            </w:r>
          </w:p>
        </w:tc>
        <w:tc>
          <w:tcPr>
            <w:tcW w:w="2554" w:type="dxa"/>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spacing w:val="-7"/>
                <w:kern w:val="2"/>
                <w:sz w:val="21"/>
                <w:szCs w:val="21"/>
              </w:rPr>
              <w:t>应急管理制度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0" w:type="dxa"/>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spacing w:val="-7"/>
                <w:kern w:val="2"/>
                <w:sz w:val="21"/>
                <w:szCs w:val="21"/>
              </w:rPr>
              <w:t>事故管理制度</w:t>
            </w:r>
          </w:p>
        </w:tc>
        <w:tc>
          <w:tcPr>
            <w:tcW w:w="3684" w:type="dxa"/>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spacing w:val="-7"/>
                <w:kern w:val="2"/>
                <w:sz w:val="21"/>
                <w:szCs w:val="21"/>
              </w:rPr>
              <w:t>职业卫生管理制度</w:t>
            </w:r>
          </w:p>
        </w:tc>
        <w:tc>
          <w:tcPr>
            <w:tcW w:w="2554" w:type="dxa"/>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spacing w:val="-7"/>
                <w:kern w:val="2"/>
                <w:sz w:val="21"/>
                <w:szCs w:val="21"/>
              </w:rPr>
              <w:t>加油站消防安全管理制度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930" w:type="dxa"/>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spacing w:val="-7"/>
                <w:kern w:val="2"/>
                <w:sz w:val="21"/>
                <w:szCs w:val="21"/>
              </w:rPr>
              <w:t>安全检修制度</w:t>
            </w:r>
          </w:p>
        </w:tc>
        <w:tc>
          <w:tcPr>
            <w:tcW w:w="3684" w:type="dxa"/>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spacing w:val="-7"/>
                <w:kern w:val="2"/>
                <w:sz w:val="21"/>
                <w:szCs w:val="21"/>
              </w:rPr>
              <w:t>安全设施管理制度</w:t>
            </w:r>
          </w:p>
        </w:tc>
        <w:tc>
          <w:tcPr>
            <w:tcW w:w="2554" w:type="dxa"/>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spacing w:val="-7"/>
                <w:kern w:val="2"/>
                <w:sz w:val="21"/>
                <w:szCs w:val="21"/>
              </w:rPr>
              <w:t>加油站交接班制度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0" w:type="dxa"/>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spacing w:val="-7"/>
                <w:kern w:val="2"/>
                <w:sz w:val="21"/>
                <w:szCs w:val="21"/>
              </w:rPr>
              <w:t>加油站用电安全管理制度</w:t>
            </w:r>
          </w:p>
        </w:tc>
        <w:tc>
          <w:tcPr>
            <w:tcW w:w="3684" w:type="dxa"/>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spacing w:val="-7"/>
                <w:kern w:val="2"/>
                <w:sz w:val="21"/>
                <w:szCs w:val="21"/>
              </w:rPr>
              <w:t>安全管理制度</w:t>
            </w:r>
          </w:p>
        </w:tc>
        <w:tc>
          <w:tcPr>
            <w:tcW w:w="2554" w:type="dxa"/>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spacing w:val="-7"/>
                <w:kern w:val="2"/>
                <w:sz w:val="21"/>
                <w:szCs w:val="21"/>
              </w:rPr>
              <w:t>操作规程定期评审制度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0" w:type="dxa"/>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spacing w:val="-7"/>
                <w:kern w:val="2"/>
                <w:sz w:val="21"/>
                <w:szCs w:val="21"/>
              </w:rPr>
            </w:pPr>
            <w:r>
              <w:rPr>
                <w:rFonts w:hint="eastAsia" w:ascii="宋体" w:hAnsi="宋体" w:eastAsia="宋体" w:cs="宋体"/>
                <w:color w:val="auto"/>
                <w:spacing w:val="-7"/>
                <w:kern w:val="2"/>
                <w:sz w:val="21"/>
                <w:szCs w:val="21"/>
              </w:rPr>
              <w:t>进油核查登记制度</w:t>
            </w:r>
          </w:p>
        </w:tc>
        <w:tc>
          <w:tcPr>
            <w:tcW w:w="3684" w:type="dxa"/>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spacing w:val="-7"/>
                <w:kern w:val="2"/>
                <w:sz w:val="21"/>
                <w:szCs w:val="21"/>
              </w:rPr>
            </w:pPr>
            <w:r>
              <w:rPr>
                <w:rFonts w:hint="eastAsia" w:ascii="宋体" w:hAnsi="宋体" w:eastAsia="宋体" w:cs="宋体"/>
                <w:color w:val="auto"/>
                <w:spacing w:val="-7"/>
                <w:kern w:val="2"/>
                <w:sz w:val="21"/>
                <w:szCs w:val="21"/>
              </w:rPr>
              <w:t>隐患排查治理制度</w:t>
            </w:r>
          </w:p>
        </w:tc>
        <w:tc>
          <w:tcPr>
            <w:tcW w:w="2554" w:type="dxa"/>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spacing w:val="-7"/>
                <w:kern w:val="2"/>
                <w:sz w:val="21"/>
                <w:szCs w:val="21"/>
              </w:rPr>
            </w:pPr>
            <w:r>
              <w:rPr>
                <w:rFonts w:hint="eastAsia" w:ascii="宋体" w:hAnsi="宋体" w:eastAsia="宋体" w:cs="宋体"/>
                <w:color w:val="auto"/>
                <w:spacing w:val="-7"/>
                <w:kern w:val="2"/>
                <w:sz w:val="21"/>
                <w:szCs w:val="21"/>
              </w:rPr>
              <w:t>安全生产教育培训制度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68" w:type="dxa"/>
            <w:gridSpan w:val="3"/>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kern w:val="2"/>
                <w:sz w:val="21"/>
                <w:szCs w:val="21"/>
              </w:rPr>
            </w:pPr>
            <w:r>
              <w:rPr>
                <w:rFonts w:hint="eastAsia" w:ascii="宋体" w:hAnsi="宋体" w:eastAsia="宋体" w:cs="宋体"/>
                <w:b/>
                <w:bCs/>
                <w:color w:val="auto"/>
                <w:spacing w:val="-7"/>
                <w:kern w:val="2"/>
                <w:sz w:val="21"/>
                <w:szCs w:val="21"/>
              </w:rPr>
              <w:t>安全生产责任制度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930" w:type="dxa"/>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spacing w:val="-7"/>
                <w:kern w:val="2"/>
                <w:sz w:val="21"/>
                <w:szCs w:val="21"/>
              </w:rPr>
            </w:pPr>
            <w:r>
              <w:rPr>
                <w:rFonts w:hint="eastAsia" w:ascii="宋体" w:hAnsi="宋体" w:eastAsia="宋体" w:cs="宋体"/>
                <w:color w:val="auto"/>
                <w:spacing w:val="-7"/>
                <w:kern w:val="2"/>
                <w:sz w:val="21"/>
                <w:szCs w:val="21"/>
              </w:rPr>
              <w:t>加油站站长安全生产责任制</w:t>
            </w:r>
          </w:p>
        </w:tc>
        <w:tc>
          <w:tcPr>
            <w:tcW w:w="3684" w:type="dxa"/>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spacing w:val="-7"/>
                <w:kern w:val="2"/>
                <w:sz w:val="21"/>
                <w:szCs w:val="21"/>
              </w:rPr>
            </w:pPr>
            <w:r>
              <w:rPr>
                <w:rFonts w:hint="eastAsia" w:ascii="宋体" w:hAnsi="宋体" w:eastAsia="宋体" w:cs="宋体"/>
                <w:color w:val="auto"/>
                <w:spacing w:val="-7"/>
                <w:kern w:val="2"/>
                <w:sz w:val="21"/>
                <w:szCs w:val="21"/>
              </w:rPr>
              <w:t>安全管理员安全生产责任制</w:t>
            </w:r>
          </w:p>
        </w:tc>
        <w:tc>
          <w:tcPr>
            <w:tcW w:w="2554" w:type="dxa"/>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spacing w:val="-7"/>
                <w:kern w:val="2"/>
                <w:sz w:val="21"/>
                <w:szCs w:val="21"/>
              </w:rPr>
            </w:pPr>
            <w:r>
              <w:rPr>
                <w:rFonts w:hint="eastAsia" w:ascii="宋体" w:hAnsi="宋体" w:eastAsia="宋体" w:cs="宋体"/>
                <w:color w:val="auto"/>
                <w:spacing w:val="-7"/>
                <w:kern w:val="2"/>
                <w:sz w:val="21"/>
                <w:szCs w:val="21"/>
              </w:rPr>
              <w:t>计量员安全生产责任制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0" w:type="dxa"/>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spacing w:val="-7"/>
                <w:kern w:val="2"/>
                <w:sz w:val="21"/>
                <w:szCs w:val="21"/>
              </w:rPr>
            </w:pPr>
            <w:r>
              <w:rPr>
                <w:rFonts w:hint="eastAsia" w:ascii="宋体" w:hAnsi="宋体" w:eastAsia="宋体" w:cs="宋体"/>
                <w:color w:val="auto"/>
                <w:spacing w:val="-7"/>
                <w:kern w:val="2"/>
                <w:sz w:val="21"/>
                <w:szCs w:val="21"/>
              </w:rPr>
              <w:t>卸油员安全生产责任制</w:t>
            </w:r>
          </w:p>
        </w:tc>
        <w:tc>
          <w:tcPr>
            <w:tcW w:w="3684" w:type="dxa"/>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spacing w:val="-7"/>
                <w:kern w:val="2"/>
                <w:sz w:val="21"/>
                <w:szCs w:val="21"/>
              </w:rPr>
            </w:pPr>
            <w:r>
              <w:rPr>
                <w:rFonts w:hint="eastAsia" w:ascii="宋体" w:hAnsi="宋体" w:eastAsia="宋体" w:cs="宋体"/>
                <w:color w:val="auto"/>
                <w:spacing w:val="-7"/>
                <w:kern w:val="2"/>
                <w:sz w:val="21"/>
                <w:szCs w:val="21"/>
              </w:rPr>
              <w:t>加油员安全生产责任制</w:t>
            </w:r>
          </w:p>
        </w:tc>
        <w:tc>
          <w:tcPr>
            <w:tcW w:w="2554" w:type="dxa"/>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spacing w:val="-7"/>
                <w:kern w:val="2"/>
                <w:sz w:val="21"/>
                <w:szCs w:val="21"/>
              </w:rPr>
            </w:pPr>
            <w:r>
              <w:rPr>
                <w:rFonts w:hint="eastAsia" w:ascii="宋体" w:hAnsi="宋体" w:eastAsia="宋体" w:cs="宋体"/>
                <w:color w:val="auto"/>
                <w:spacing w:val="-7"/>
                <w:kern w:val="2"/>
                <w:sz w:val="21"/>
                <w:szCs w:val="21"/>
              </w:rPr>
              <w:t>收款员安全生产责任制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68" w:type="dxa"/>
            <w:gridSpan w:val="3"/>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spacing w:val="-7"/>
                <w:kern w:val="2"/>
                <w:sz w:val="21"/>
                <w:szCs w:val="21"/>
              </w:rPr>
            </w:pPr>
            <w:r>
              <w:rPr>
                <w:rFonts w:hint="eastAsia" w:ascii="宋体" w:hAnsi="宋体" w:eastAsia="宋体" w:cs="宋体"/>
                <w:b/>
                <w:bCs/>
                <w:color w:val="auto"/>
                <w:kern w:val="2"/>
                <w:sz w:val="21"/>
                <w:szCs w:val="21"/>
              </w:rPr>
              <w:t>安全操作规程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0" w:type="dxa"/>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spacing w:val="-7"/>
                <w:kern w:val="2"/>
                <w:sz w:val="21"/>
                <w:szCs w:val="21"/>
              </w:rPr>
            </w:pPr>
            <w:r>
              <w:rPr>
                <w:rFonts w:hint="eastAsia" w:ascii="宋体" w:hAnsi="宋体" w:eastAsia="宋体" w:cs="宋体"/>
                <w:color w:val="auto"/>
                <w:spacing w:val="-7"/>
                <w:kern w:val="2"/>
                <w:sz w:val="21"/>
                <w:szCs w:val="21"/>
              </w:rPr>
              <w:t>卸油作业安全操作规程</w:t>
            </w:r>
          </w:p>
        </w:tc>
        <w:tc>
          <w:tcPr>
            <w:tcW w:w="3684" w:type="dxa"/>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spacing w:val="-7"/>
                <w:kern w:val="2"/>
                <w:sz w:val="21"/>
                <w:szCs w:val="21"/>
              </w:rPr>
            </w:pPr>
            <w:r>
              <w:rPr>
                <w:rFonts w:hint="eastAsia" w:ascii="宋体" w:hAnsi="宋体" w:eastAsia="宋体" w:cs="宋体"/>
                <w:color w:val="auto"/>
                <w:spacing w:val="-7"/>
                <w:kern w:val="2"/>
                <w:sz w:val="21"/>
                <w:szCs w:val="21"/>
              </w:rPr>
              <w:t>加油作业安全操作规程</w:t>
            </w:r>
          </w:p>
        </w:tc>
        <w:tc>
          <w:tcPr>
            <w:tcW w:w="2554" w:type="dxa"/>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spacing w:val="-7"/>
                <w:kern w:val="2"/>
                <w:sz w:val="21"/>
                <w:szCs w:val="21"/>
              </w:rPr>
            </w:pPr>
            <w:r>
              <w:rPr>
                <w:rFonts w:hint="eastAsia" w:ascii="宋体" w:hAnsi="宋体" w:eastAsia="宋体" w:cs="宋体"/>
                <w:color w:val="auto"/>
                <w:spacing w:val="-7"/>
                <w:kern w:val="2"/>
                <w:sz w:val="21"/>
                <w:szCs w:val="21"/>
              </w:rPr>
              <w:t>油罐计量安全操作规程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930" w:type="dxa"/>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spacing w:val="-7"/>
                <w:kern w:val="2"/>
                <w:sz w:val="21"/>
                <w:szCs w:val="21"/>
              </w:rPr>
            </w:pPr>
            <w:r>
              <w:rPr>
                <w:rFonts w:hint="eastAsia" w:ascii="宋体" w:hAnsi="宋体" w:eastAsia="宋体" w:cs="宋体"/>
                <w:color w:val="auto"/>
                <w:spacing w:val="-7"/>
                <w:kern w:val="2"/>
                <w:sz w:val="21"/>
                <w:szCs w:val="21"/>
              </w:rPr>
              <w:t>动火作业安全规程</w:t>
            </w:r>
          </w:p>
        </w:tc>
        <w:tc>
          <w:tcPr>
            <w:tcW w:w="3684" w:type="dxa"/>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spacing w:val="-7"/>
                <w:kern w:val="2"/>
                <w:sz w:val="21"/>
                <w:szCs w:val="21"/>
              </w:rPr>
            </w:pPr>
            <w:r>
              <w:rPr>
                <w:rFonts w:hint="eastAsia" w:ascii="宋体" w:hAnsi="宋体" w:eastAsia="宋体" w:cs="宋体"/>
                <w:color w:val="auto"/>
                <w:spacing w:val="-7"/>
                <w:kern w:val="2"/>
                <w:sz w:val="21"/>
                <w:szCs w:val="21"/>
              </w:rPr>
              <w:t>电气作业安全规程</w:t>
            </w:r>
          </w:p>
        </w:tc>
        <w:tc>
          <w:tcPr>
            <w:tcW w:w="2554" w:type="dxa"/>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spacing w:val="-7"/>
                <w:kern w:val="2"/>
                <w:sz w:val="21"/>
                <w:szCs w:val="21"/>
              </w:rPr>
            </w:pPr>
            <w:r>
              <w:rPr>
                <w:rFonts w:hint="eastAsia" w:ascii="宋体" w:hAnsi="宋体" w:eastAsia="宋体" w:cs="宋体"/>
                <w:color w:val="auto"/>
                <w:spacing w:val="-7"/>
                <w:kern w:val="2"/>
                <w:sz w:val="21"/>
                <w:szCs w:val="21"/>
              </w:rPr>
              <w:t>高处作业安全操作规程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0" w:type="dxa"/>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spacing w:val="-7"/>
                <w:kern w:val="2"/>
                <w:sz w:val="21"/>
                <w:szCs w:val="21"/>
              </w:rPr>
            </w:pPr>
            <w:r>
              <w:rPr>
                <w:rFonts w:hint="eastAsia" w:ascii="宋体" w:hAnsi="宋体" w:eastAsia="宋体" w:cs="宋体"/>
                <w:color w:val="auto"/>
                <w:spacing w:val="-7"/>
                <w:kern w:val="2"/>
                <w:sz w:val="21"/>
                <w:szCs w:val="21"/>
              </w:rPr>
              <w:t>进入受限空间安全操作规程</w:t>
            </w:r>
          </w:p>
        </w:tc>
        <w:tc>
          <w:tcPr>
            <w:tcW w:w="3684" w:type="dxa"/>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spacing w:val="-7"/>
                <w:kern w:val="2"/>
                <w:sz w:val="21"/>
                <w:szCs w:val="21"/>
              </w:rPr>
            </w:pPr>
            <w:r>
              <w:rPr>
                <w:rFonts w:hint="eastAsia" w:ascii="宋体" w:hAnsi="宋体" w:eastAsia="宋体" w:cs="宋体"/>
                <w:color w:val="auto"/>
                <w:spacing w:val="-7"/>
                <w:kern w:val="2"/>
                <w:sz w:val="21"/>
                <w:szCs w:val="21"/>
              </w:rPr>
              <w:t>临时用电作业安全操作规程</w:t>
            </w:r>
          </w:p>
        </w:tc>
        <w:tc>
          <w:tcPr>
            <w:tcW w:w="2554" w:type="dxa"/>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spacing w:val="-7"/>
                <w:kern w:val="2"/>
                <w:sz w:val="21"/>
                <w:szCs w:val="21"/>
              </w:rPr>
            </w:pPr>
            <w:r>
              <w:rPr>
                <w:rFonts w:hint="eastAsia" w:ascii="宋体" w:hAnsi="宋体" w:eastAsia="宋体" w:cs="宋体"/>
                <w:color w:val="auto"/>
                <w:spacing w:val="-7"/>
                <w:kern w:val="2"/>
                <w:sz w:val="21"/>
                <w:szCs w:val="21"/>
              </w:rPr>
              <w:t>破土作业安全操作规程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0" w:type="dxa"/>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spacing w:val="-7"/>
                <w:kern w:val="2"/>
                <w:sz w:val="21"/>
                <w:szCs w:val="21"/>
              </w:rPr>
            </w:pPr>
            <w:r>
              <w:rPr>
                <w:rFonts w:hint="eastAsia" w:ascii="宋体" w:hAnsi="宋体" w:eastAsia="宋体" w:cs="宋体"/>
                <w:color w:val="auto"/>
                <w:spacing w:val="-7"/>
                <w:kern w:val="2"/>
                <w:sz w:val="21"/>
                <w:szCs w:val="21"/>
              </w:rPr>
              <w:t>抽取罐底水作业安全操作规程</w:t>
            </w:r>
          </w:p>
        </w:tc>
        <w:tc>
          <w:tcPr>
            <w:tcW w:w="3684" w:type="dxa"/>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spacing w:val="-7"/>
                <w:kern w:val="2"/>
                <w:sz w:val="21"/>
                <w:szCs w:val="21"/>
              </w:rPr>
            </w:pPr>
          </w:p>
        </w:tc>
        <w:tc>
          <w:tcPr>
            <w:tcW w:w="2554" w:type="dxa"/>
          </w:tcPr>
          <w:p>
            <w:pPr>
              <w:keepNext w:val="0"/>
              <w:keepLines w:val="0"/>
              <w:suppressLineNumbers w:val="0"/>
              <w:spacing w:before="0" w:beforeAutospacing="0" w:after="0" w:afterAutospacing="0" w:line="500" w:lineRule="exact"/>
              <w:ind w:left="0" w:right="0"/>
              <w:jc w:val="center"/>
              <w:rPr>
                <w:rFonts w:hint="eastAsia" w:ascii="宋体" w:hAnsi="宋体" w:eastAsia="宋体" w:cs="宋体"/>
                <w:color w:val="auto"/>
                <w:spacing w:val="-7"/>
                <w:kern w:val="2"/>
                <w:sz w:val="21"/>
                <w:szCs w:val="21"/>
              </w:rPr>
            </w:pPr>
          </w:p>
        </w:tc>
      </w:tr>
    </w:tbl>
    <w:p>
      <w:pPr>
        <w:spacing w:line="500" w:lineRule="exact"/>
        <w:ind w:firstLine="560" w:firstLineChars="200"/>
        <w:rPr>
          <w:rFonts w:hint="eastAsia" w:ascii="宋体" w:hAnsi="宋体" w:eastAsia="宋体" w:cs="宋体"/>
          <w:sz w:val="28"/>
        </w:rPr>
      </w:pPr>
    </w:p>
    <w:p>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 w:val="28"/>
        </w:rPr>
      </w:pPr>
      <w:r>
        <w:rPr>
          <w:rFonts w:hint="eastAsia" w:ascii="宋体" w:hAnsi="宋体" w:eastAsia="宋体" w:cs="宋体"/>
          <w:sz w:val="28"/>
        </w:rPr>
        <w:t>（</w:t>
      </w:r>
      <w:r>
        <w:rPr>
          <w:rFonts w:hint="eastAsia" w:ascii="宋体" w:hAnsi="宋体" w:eastAsia="宋体" w:cs="宋体"/>
          <w:sz w:val="28"/>
          <w:lang w:val="en-US"/>
        </w:rPr>
        <w:t>4</w:t>
      </w:r>
      <w:r>
        <w:rPr>
          <w:rFonts w:hint="eastAsia" w:ascii="宋体" w:hAnsi="宋体" w:eastAsia="宋体" w:cs="宋体"/>
          <w:sz w:val="28"/>
        </w:rPr>
        <w:t>）应急预案</w:t>
      </w:r>
    </w:p>
    <w:p>
      <w:pPr>
        <w:pStyle w:val="6"/>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color w:val="auto"/>
          <w:spacing w:val="-7"/>
        </w:rPr>
      </w:pPr>
      <w:r>
        <w:rPr>
          <w:rFonts w:hint="eastAsia" w:ascii="宋体" w:hAnsi="宋体" w:eastAsia="宋体" w:cs="宋体"/>
          <w:color w:val="auto"/>
          <w:spacing w:val="-7"/>
        </w:rPr>
        <w:t>该加油站按照《生产经营单位生产安全事故应急救援预案编制导则》（GB/T29639-2013）的要求，编制了《</w:t>
      </w:r>
      <w:r>
        <w:rPr>
          <w:rFonts w:hint="eastAsia" w:ascii="宋体" w:hAnsi="宋体" w:eastAsia="宋体" w:cs="宋体"/>
          <w:color w:val="auto"/>
          <w:spacing w:val="-7"/>
          <w:lang w:eastAsia="zh-CN"/>
        </w:rPr>
        <w:t>中国石化销售股份有限公司广东东莞寮步横坑加油站</w:t>
      </w:r>
      <w:r>
        <w:rPr>
          <w:rFonts w:hint="eastAsia" w:ascii="宋体" w:hAnsi="宋体" w:eastAsia="宋体" w:cs="宋体"/>
          <w:color w:val="auto"/>
          <w:spacing w:val="-7"/>
        </w:rPr>
        <w:t>生产安全事故应急预案》，并于201</w:t>
      </w:r>
      <w:r>
        <w:rPr>
          <w:rFonts w:hint="eastAsia" w:ascii="宋体" w:hAnsi="宋体" w:eastAsia="宋体" w:cs="宋体"/>
          <w:color w:val="auto"/>
          <w:spacing w:val="-7"/>
          <w:lang w:val="en-US" w:eastAsia="zh-CN"/>
        </w:rPr>
        <w:t>8</w:t>
      </w:r>
      <w:r>
        <w:rPr>
          <w:rFonts w:hint="eastAsia" w:ascii="宋体" w:hAnsi="宋体" w:eastAsia="宋体" w:cs="宋体"/>
          <w:color w:val="auto"/>
          <w:spacing w:val="-7"/>
        </w:rPr>
        <w:t>年</w:t>
      </w:r>
      <w:r>
        <w:rPr>
          <w:rFonts w:hint="eastAsia" w:ascii="宋体" w:hAnsi="宋体" w:eastAsia="宋体" w:cs="宋体"/>
          <w:color w:val="auto"/>
          <w:spacing w:val="-7"/>
          <w:lang w:val="en-US" w:eastAsia="zh-CN"/>
        </w:rPr>
        <w:t>7</w:t>
      </w:r>
      <w:r>
        <w:rPr>
          <w:rFonts w:hint="eastAsia" w:ascii="宋体" w:hAnsi="宋体" w:eastAsia="宋体" w:cs="宋体"/>
          <w:color w:val="auto"/>
          <w:spacing w:val="-7"/>
        </w:rPr>
        <w:t>月</w:t>
      </w:r>
      <w:r>
        <w:rPr>
          <w:rFonts w:hint="eastAsia" w:ascii="宋体" w:hAnsi="宋体" w:eastAsia="宋体" w:cs="宋体"/>
          <w:color w:val="auto"/>
          <w:spacing w:val="-7"/>
          <w:lang w:val="en-US" w:eastAsia="zh-CN"/>
        </w:rPr>
        <w:t>6</w:t>
      </w:r>
      <w:r>
        <w:rPr>
          <w:rFonts w:hint="eastAsia" w:ascii="宋体" w:hAnsi="宋体" w:eastAsia="宋体" w:cs="宋体"/>
          <w:color w:val="auto"/>
          <w:spacing w:val="-7"/>
        </w:rPr>
        <w:t>日取得</w:t>
      </w:r>
      <w:r>
        <w:rPr>
          <w:rFonts w:hint="eastAsia" w:ascii="宋体" w:hAnsi="宋体" w:eastAsia="宋体" w:cs="宋体"/>
          <w:color w:val="auto"/>
          <w:spacing w:val="-7"/>
          <w:lang w:eastAsia="zh-CN"/>
        </w:rPr>
        <w:t>东莞市安全生产监督</w:t>
      </w:r>
      <w:r>
        <w:rPr>
          <w:rFonts w:hint="eastAsia" w:ascii="宋体" w:hAnsi="宋体" w:eastAsia="宋体" w:cs="宋体"/>
          <w:color w:val="auto"/>
          <w:spacing w:val="-7"/>
        </w:rPr>
        <w:t>管理局出具的《生产经营单位生产安全事故应急预案备案登记表》，备案编号：</w:t>
      </w:r>
      <w:r>
        <w:rPr>
          <w:rFonts w:hint="eastAsia" w:ascii="宋体" w:hAnsi="宋体" w:eastAsia="宋体" w:cs="宋体"/>
          <w:color w:val="auto"/>
          <w:spacing w:val="-7"/>
          <w:lang w:val="en-US" w:eastAsia="zh-CN"/>
        </w:rPr>
        <w:t>441900-2018</w:t>
      </w:r>
      <w:r>
        <w:rPr>
          <w:rFonts w:hint="eastAsia" w:ascii="宋体" w:hAnsi="宋体" w:eastAsia="宋体" w:cs="宋体"/>
          <w:color w:val="auto"/>
          <w:spacing w:val="-7"/>
          <w:lang w:val="en-US"/>
        </w:rPr>
        <w:t>-</w:t>
      </w:r>
      <w:r>
        <w:rPr>
          <w:rFonts w:hint="eastAsia" w:ascii="宋体" w:hAnsi="宋体" w:eastAsia="宋体" w:cs="宋体"/>
          <w:color w:val="auto"/>
          <w:spacing w:val="-7"/>
          <w:lang w:val="en-US" w:eastAsia="zh-CN"/>
        </w:rPr>
        <w:t>0251</w:t>
      </w:r>
      <w:r>
        <w:rPr>
          <w:rFonts w:hint="eastAsia" w:ascii="宋体" w:hAnsi="宋体" w:eastAsia="宋体" w:cs="宋体"/>
          <w:color w:val="auto"/>
          <w:spacing w:val="-7"/>
        </w:rPr>
        <w:t>。</w:t>
      </w:r>
    </w:p>
    <w:p>
      <w:pPr>
        <w:pStyle w:val="3"/>
        <w:tabs>
          <w:tab w:val="left" w:pos="3119"/>
        </w:tabs>
        <w:spacing w:before="240" w:beforeLines="100" w:after="240" w:afterLines="100"/>
        <w:ind w:firstLine="0"/>
        <w:jc w:val="center"/>
        <w:rPr>
          <w:rFonts w:hint="eastAsia" w:ascii="宋体" w:hAnsi="宋体" w:eastAsia="宋体" w:cs="宋体"/>
          <w:b/>
          <w:bCs/>
          <w:lang w:val="en-US"/>
        </w:rPr>
      </w:pPr>
      <w:bookmarkStart w:id="246" w:name="_Toc8989"/>
      <w:bookmarkStart w:id="247" w:name="_Toc10962_WPSOffice_Level2"/>
      <w:bookmarkStart w:id="248" w:name="_Toc14452"/>
      <w:bookmarkStart w:id="249" w:name="_Toc11451"/>
      <w:bookmarkStart w:id="250" w:name="_Toc2678"/>
      <w:bookmarkStart w:id="251" w:name="_Toc15002"/>
      <w:bookmarkStart w:id="252" w:name="_Toc13729"/>
      <w:bookmarkStart w:id="253" w:name="_Toc31993"/>
      <w:bookmarkStart w:id="254" w:name="_Toc11567"/>
      <w:bookmarkStart w:id="255" w:name="_Toc17196"/>
      <w:bookmarkStart w:id="256" w:name="_Toc9640"/>
      <w:bookmarkStart w:id="257" w:name="_Toc14347"/>
      <w:bookmarkStart w:id="258" w:name="_Toc16750"/>
      <w:bookmarkStart w:id="259" w:name="_Toc26761"/>
      <w:bookmarkStart w:id="260" w:name="_Toc11368"/>
      <w:bookmarkStart w:id="261" w:name="_Toc11318"/>
      <w:bookmarkStart w:id="262" w:name="_Toc10248_WPSOffice_Level2"/>
      <w:bookmarkStart w:id="263" w:name="_Toc28517"/>
      <w:bookmarkStart w:id="264" w:name="_Toc6582"/>
      <w:bookmarkStart w:id="265" w:name="_Toc1274"/>
      <w:bookmarkStart w:id="266" w:name="_Toc306"/>
      <w:bookmarkStart w:id="267" w:name="_Toc5925"/>
      <w:bookmarkStart w:id="268" w:name="_Toc21809"/>
      <w:bookmarkStart w:id="269" w:name="_Toc27735"/>
      <w:bookmarkStart w:id="270" w:name="_Toc2199"/>
      <w:bookmarkStart w:id="271" w:name="_Toc14543"/>
      <w:bookmarkStart w:id="272" w:name="_Toc11746"/>
      <w:bookmarkStart w:id="273" w:name="_Toc8251"/>
      <w:bookmarkStart w:id="274" w:name="_Toc5360"/>
      <w:bookmarkStart w:id="275" w:name="_Toc2032"/>
      <w:bookmarkStart w:id="276" w:name="_Toc13759"/>
      <w:bookmarkStart w:id="277" w:name="_Toc27714"/>
      <w:bookmarkStart w:id="278" w:name="_Toc5911"/>
      <w:bookmarkStart w:id="279" w:name="_Toc16217"/>
      <w:bookmarkStart w:id="280" w:name="_Toc22989"/>
      <w:bookmarkStart w:id="281" w:name="_Toc9025"/>
      <w:bookmarkStart w:id="282" w:name="_Toc22935"/>
      <w:bookmarkStart w:id="283" w:name="_Toc4013"/>
      <w:bookmarkStart w:id="284" w:name="_Toc31555"/>
      <w:bookmarkStart w:id="285" w:name="_Toc20925"/>
      <w:bookmarkStart w:id="286" w:name="_Toc24454"/>
      <w:bookmarkStart w:id="287" w:name="_Toc26186"/>
      <w:bookmarkStart w:id="288" w:name="_Toc24438_WPSOffice_Level2"/>
      <w:bookmarkStart w:id="289" w:name="_Toc11566"/>
      <w:bookmarkStart w:id="290" w:name="_Toc21860"/>
      <w:bookmarkStart w:id="291" w:name="_Toc27076"/>
      <w:bookmarkStart w:id="292" w:name="_Toc13217"/>
      <w:bookmarkStart w:id="293" w:name="_Toc7751"/>
      <w:bookmarkStart w:id="294" w:name="_Toc22146"/>
      <w:bookmarkStart w:id="295" w:name="_Toc4007_WPSOffice_Level2"/>
      <w:bookmarkStart w:id="296" w:name="_Toc30004"/>
      <w:r>
        <w:rPr>
          <w:rFonts w:hint="eastAsia" w:ascii="宋体" w:hAnsi="宋体" w:eastAsia="宋体" w:cs="宋体"/>
          <w:b/>
          <w:bCs/>
          <w:lang w:val="en-US"/>
        </w:rPr>
        <w:t xml:space="preserve">2.9 </w:t>
      </w:r>
      <w:r>
        <w:rPr>
          <w:rFonts w:hint="eastAsia" w:ascii="宋体" w:hAnsi="宋体" w:eastAsia="宋体" w:cs="宋体"/>
          <w:b/>
          <w:bCs/>
          <w:lang w:val="en-US" w:eastAsia="zh-CN"/>
        </w:rPr>
        <w:t>预</w:t>
      </w:r>
      <w:r>
        <w:rPr>
          <w:rFonts w:hint="eastAsia" w:ascii="宋体" w:hAnsi="宋体" w:eastAsia="宋体" w:cs="宋体"/>
          <w:b/>
          <w:bCs/>
          <w:lang w:val="en-US"/>
        </w:rPr>
        <w:t>评价报告及安全设施设计专篇的安全对策措施落实情况</w:t>
      </w:r>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p>
    <w:p>
      <w:pPr>
        <w:pStyle w:val="6"/>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color w:val="auto"/>
          <w:spacing w:val="-7"/>
          <w:lang w:val="en-US" w:eastAsia="zh-CN"/>
        </w:rPr>
      </w:pPr>
      <w:r>
        <w:rPr>
          <w:rFonts w:hint="eastAsia" w:ascii="宋体" w:hAnsi="宋体" w:eastAsia="宋体" w:cs="宋体"/>
          <w:color w:val="auto"/>
          <w:spacing w:val="-7"/>
          <w:lang w:val="zh-CN" w:eastAsia="zh-CN"/>
        </w:rPr>
        <w:t>根据《安全验收评价导则》(AQ8003-2007)，对本项目安全预评价报告和安全设施设计专篇的安全对策措施落实情况进行评价，</w:t>
      </w:r>
      <w:r>
        <w:rPr>
          <w:rFonts w:hint="eastAsia" w:ascii="宋体" w:hAnsi="宋体" w:eastAsia="宋体" w:cs="宋体"/>
          <w:color w:val="auto"/>
          <w:spacing w:val="-7"/>
          <w:lang w:val="en-US" w:eastAsia="zh-CN"/>
        </w:rPr>
        <w:t>《中国石化销售有限公司广东东莞寮步横坑加油站改建项目安全预评价报告》（</w:t>
      </w:r>
      <w:r>
        <w:rPr>
          <w:rFonts w:hint="eastAsia" w:ascii="宋体" w:hAnsi="宋体" w:eastAsia="宋体" w:cs="宋体"/>
          <w:color w:val="auto"/>
          <w:lang w:eastAsia="zh-CN"/>
        </w:rPr>
        <w:t>GY-WH-GD-19-</w:t>
      </w:r>
      <w:r>
        <w:rPr>
          <w:rFonts w:hint="eastAsia" w:ascii="宋体" w:hAnsi="宋体" w:eastAsia="宋体" w:cs="宋体"/>
          <w:color w:val="auto"/>
          <w:lang w:val="en-US" w:eastAsia="zh-CN"/>
        </w:rPr>
        <w:t>10</w:t>
      </w:r>
      <w:r>
        <w:rPr>
          <w:rFonts w:hint="eastAsia" w:ascii="宋体" w:hAnsi="宋体" w:eastAsia="宋体" w:cs="宋体"/>
          <w:color w:val="auto"/>
          <w:lang w:eastAsia="zh-CN"/>
        </w:rPr>
        <w:t>-</w:t>
      </w:r>
      <w:r>
        <w:rPr>
          <w:rFonts w:hint="eastAsia" w:ascii="宋体" w:hAnsi="宋体" w:eastAsia="宋体" w:cs="宋体"/>
          <w:color w:val="auto"/>
          <w:lang w:val="en-US" w:eastAsia="zh-CN"/>
        </w:rPr>
        <w:t>1049</w:t>
      </w:r>
      <w:r>
        <w:rPr>
          <w:rFonts w:hint="eastAsia" w:ascii="宋体" w:hAnsi="宋体" w:eastAsia="宋体" w:cs="宋体"/>
          <w:color w:val="auto"/>
          <w:spacing w:val="-7"/>
          <w:lang w:val="en-US" w:eastAsia="zh-CN"/>
        </w:rPr>
        <w:t>），《中国石化销售有限公司广东东莞寮步横坑加油站改建项目安全设施设计专篇》设计单位为天津中德工程设计有限公司</w:t>
      </w:r>
      <w:r>
        <w:rPr>
          <w:rFonts w:hint="eastAsia" w:ascii="宋体" w:hAnsi="宋体" w:eastAsia="宋体" w:cs="宋体"/>
          <w:color w:val="auto"/>
          <w:spacing w:val="-7"/>
          <w:lang w:val="zh-CN" w:eastAsia="zh-CN"/>
        </w:rPr>
        <w:t>，设计单位联系人：</w:t>
      </w:r>
      <w:r>
        <w:rPr>
          <w:rFonts w:hint="eastAsia" w:ascii="宋体" w:hAnsi="宋体" w:eastAsia="宋体" w:cs="宋体"/>
          <w:color w:val="auto"/>
          <w:spacing w:val="-7"/>
          <w:lang w:val="en-US" w:eastAsia="zh-CN"/>
        </w:rPr>
        <w:t>曾业庞</w:t>
      </w:r>
      <w:r>
        <w:rPr>
          <w:rFonts w:hint="eastAsia" w:ascii="宋体" w:hAnsi="宋体" w:eastAsia="宋体" w:cs="宋体"/>
          <w:color w:val="auto"/>
          <w:spacing w:val="-7"/>
          <w:lang w:val="zh-CN" w:eastAsia="zh-CN"/>
        </w:rPr>
        <w:t>，负责人：</w:t>
      </w:r>
      <w:r>
        <w:rPr>
          <w:rFonts w:hint="eastAsia" w:ascii="宋体" w:hAnsi="宋体" w:eastAsia="宋体" w:cs="宋体"/>
          <w:color w:val="auto"/>
          <w:spacing w:val="-7"/>
          <w:lang w:val="en-US" w:eastAsia="zh-CN"/>
        </w:rPr>
        <w:t>王宝成</w:t>
      </w:r>
      <w:r>
        <w:rPr>
          <w:rFonts w:hint="eastAsia" w:ascii="宋体" w:hAnsi="宋体" w:eastAsia="宋体" w:cs="宋体"/>
          <w:color w:val="auto"/>
          <w:spacing w:val="-7"/>
          <w:lang w:val="zh-CN" w:eastAsia="zh-CN"/>
        </w:rPr>
        <w:t>。评价内容见表</w:t>
      </w:r>
      <w:r>
        <w:rPr>
          <w:rFonts w:hint="eastAsia" w:ascii="宋体" w:hAnsi="宋体" w:eastAsia="宋体" w:cs="宋体"/>
          <w:color w:val="auto"/>
          <w:spacing w:val="-7"/>
          <w:lang w:val="en-US" w:eastAsia="zh-CN"/>
        </w:rPr>
        <w:t>2.9-1、表2.9-2。</w:t>
      </w:r>
    </w:p>
    <w:p>
      <w:pPr>
        <w:keepNext w:val="0"/>
        <w:keepLines w:val="0"/>
        <w:pageBreakBefore w:val="0"/>
        <w:widowControl/>
        <w:suppressLineNumbers w:val="0"/>
        <w:kinsoku/>
        <w:wordWrap/>
        <w:overflowPunct/>
        <w:topLinePunct w:val="0"/>
        <w:autoSpaceDE w:val="0"/>
        <w:autoSpaceDN w:val="0"/>
        <w:bidi w:val="0"/>
        <w:adjustRightInd/>
        <w:snapToGrid/>
        <w:spacing w:before="0" w:beforeLines="50" w:after="0" w:afterLines="50" w:line="560" w:lineRule="exact"/>
        <w:jc w:val="center"/>
        <w:textAlignment w:val="auto"/>
        <w:rPr>
          <w:rFonts w:hint="eastAsia" w:ascii="宋体" w:hAnsi="宋体" w:eastAsia="宋体" w:cs="宋体"/>
          <w:sz w:val="24"/>
          <w:szCs w:val="21"/>
        </w:rPr>
      </w:pPr>
      <w:r>
        <w:rPr>
          <w:rFonts w:hint="eastAsia" w:ascii="宋体" w:hAnsi="宋体" w:eastAsia="宋体" w:cs="宋体"/>
          <w:sz w:val="24"/>
          <w:szCs w:val="21"/>
        </w:rPr>
        <w:t>表</w:t>
      </w:r>
      <w:r>
        <w:rPr>
          <w:rFonts w:hint="eastAsia" w:ascii="宋体" w:hAnsi="宋体" w:eastAsia="宋体" w:cs="宋体"/>
          <w:sz w:val="24"/>
          <w:szCs w:val="21"/>
          <w:lang w:val="en-US"/>
        </w:rPr>
        <w:t xml:space="preserve">2.9-1 </w:t>
      </w:r>
      <w:bookmarkStart w:id="297" w:name="_Hlk9157036"/>
      <w:r>
        <w:rPr>
          <w:rFonts w:hint="eastAsia" w:ascii="宋体" w:hAnsi="宋体" w:eastAsia="宋体" w:cs="宋体"/>
          <w:sz w:val="24"/>
          <w:szCs w:val="21"/>
          <w:lang w:val="en-US"/>
        </w:rPr>
        <w:t>《</w:t>
      </w:r>
      <w:r>
        <w:rPr>
          <w:rFonts w:hint="eastAsia" w:ascii="宋体" w:hAnsi="宋体" w:eastAsia="宋体" w:cs="宋体"/>
          <w:sz w:val="24"/>
          <w:szCs w:val="21"/>
          <w:lang w:val="en-US" w:eastAsia="zh-CN"/>
        </w:rPr>
        <w:t>中国石化销售有限公司广东东莞寮步横坑加油站</w:t>
      </w:r>
      <w:r>
        <w:rPr>
          <w:rFonts w:hint="eastAsia" w:ascii="宋体" w:hAnsi="宋体" w:eastAsia="宋体" w:cs="宋体"/>
          <w:sz w:val="24"/>
          <w:szCs w:val="21"/>
          <w:lang w:val="en-US"/>
        </w:rPr>
        <w:t>改建项目安全</w:t>
      </w:r>
      <w:r>
        <w:rPr>
          <w:rFonts w:hint="eastAsia" w:ascii="宋体" w:hAnsi="宋体" w:eastAsia="宋体" w:cs="宋体"/>
          <w:sz w:val="24"/>
          <w:szCs w:val="21"/>
          <w:lang w:val="en-US" w:eastAsia="zh-CN"/>
        </w:rPr>
        <w:t>预</w:t>
      </w:r>
      <w:r>
        <w:rPr>
          <w:rFonts w:hint="eastAsia" w:ascii="宋体" w:hAnsi="宋体" w:eastAsia="宋体" w:cs="宋体"/>
          <w:sz w:val="24"/>
          <w:szCs w:val="21"/>
          <w:lang w:val="en-US"/>
        </w:rPr>
        <w:t>评价报告</w:t>
      </w:r>
      <w:r>
        <w:rPr>
          <w:rFonts w:hint="eastAsia" w:ascii="宋体" w:hAnsi="宋体" w:eastAsia="宋体" w:cs="宋体"/>
          <w:bCs/>
          <w:sz w:val="28"/>
          <w:lang w:val="en-US" w:eastAsia="zh-CN"/>
        </w:rPr>
        <w:t>》</w:t>
      </w:r>
      <w:bookmarkEnd w:id="297"/>
      <w:r>
        <w:rPr>
          <w:rFonts w:hint="eastAsia" w:ascii="宋体" w:hAnsi="宋体" w:eastAsia="宋体" w:cs="宋体"/>
          <w:sz w:val="24"/>
          <w:szCs w:val="21"/>
        </w:rPr>
        <w:t>的安全对策措施落实情况表</w:t>
      </w:r>
    </w:p>
    <w:tbl>
      <w:tblPr>
        <w:tblStyle w:val="15"/>
        <w:tblW w:w="98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8"/>
        <w:gridCol w:w="4697"/>
        <w:gridCol w:w="3134"/>
        <w:gridCol w:w="13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blHeader/>
          <w:jc w:val="center"/>
        </w:trPr>
        <w:tc>
          <w:tcPr>
            <w:tcW w:w="70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b/>
                <w:kern w:val="2"/>
                <w:sz w:val="21"/>
                <w:szCs w:val="21"/>
              </w:rPr>
            </w:pPr>
            <w:r>
              <w:rPr>
                <w:rFonts w:hint="eastAsia" w:ascii="宋体" w:hAnsi="宋体" w:eastAsia="宋体" w:cs="宋体"/>
                <w:b/>
                <w:kern w:val="2"/>
                <w:sz w:val="21"/>
                <w:szCs w:val="21"/>
              </w:rPr>
              <w:t>序号</w:t>
            </w:r>
          </w:p>
        </w:tc>
        <w:tc>
          <w:tcPr>
            <w:tcW w:w="4697"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b/>
                <w:kern w:val="2"/>
                <w:sz w:val="21"/>
                <w:szCs w:val="21"/>
              </w:rPr>
            </w:pPr>
            <w:r>
              <w:rPr>
                <w:rFonts w:hint="eastAsia" w:ascii="宋体" w:hAnsi="宋体" w:eastAsia="宋体" w:cs="宋体"/>
                <w:b/>
                <w:kern w:val="2"/>
                <w:sz w:val="21"/>
                <w:szCs w:val="21"/>
              </w:rPr>
              <w:t>安全评价报告的安全对策措施</w:t>
            </w:r>
          </w:p>
        </w:tc>
        <w:tc>
          <w:tcPr>
            <w:tcW w:w="313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b/>
                <w:kern w:val="2"/>
                <w:sz w:val="21"/>
                <w:szCs w:val="21"/>
              </w:rPr>
            </w:pPr>
            <w:r>
              <w:rPr>
                <w:rFonts w:hint="eastAsia" w:ascii="宋体" w:hAnsi="宋体" w:eastAsia="宋体" w:cs="宋体"/>
                <w:b/>
                <w:kern w:val="2"/>
                <w:sz w:val="21"/>
                <w:szCs w:val="21"/>
                <w:lang w:eastAsia="zh-CN"/>
              </w:rPr>
              <w:t>现场检查</w:t>
            </w:r>
            <w:r>
              <w:rPr>
                <w:rFonts w:hint="eastAsia" w:ascii="宋体" w:hAnsi="宋体" w:eastAsia="宋体" w:cs="宋体"/>
                <w:b/>
                <w:kern w:val="2"/>
                <w:sz w:val="21"/>
                <w:szCs w:val="21"/>
              </w:rPr>
              <w:t>情况</w:t>
            </w:r>
          </w:p>
        </w:tc>
        <w:tc>
          <w:tcPr>
            <w:tcW w:w="1355"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b/>
                <w:kern w:val="2"/>
                <w:sz w:val="21"/>
                <w:szCs w:val="21"/>
                <w:lang w:eastAsia="zh-CN"/>
              </w:rPr>
            </w:pPr>
            <w:r>
              <w:rPr>
                <w:rFonts w:hint="eastAsia" w:ascii="宋体" w:hAnsi="宋体" w:eastAsia="宋体" w:cs="宋体"/>
                <w:b/>
                <w:kern w:val="2"/>
                <w:sz w:val="21"/>
                <w:szCs w:val="21"/>
                <w:lang w:eastAsia="zh-CN"/>
              </w:rPr>
              <w:t>落实情况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70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b/>
                <w:kern w:val="2"/>
                <w:sz w:val="21"/>
                <w:szCs w:val="21"/>
              </w:rPr>
            </w:pPr>
            <w:r>
              <w:rPr>
                <w:rFonts w:hint="eastAsia" w:ascii="宋体" w:hAnsi="宋体" w:eastAsia="宋体" w:cs="宋体"/>
                <w:b/>
                <w:kern w:val="2"/>
                <w:sz w:val="21"/>
                <w:szCs w:val="21"/>
              </w:rPr>
              <w:t>一</w:t>
            </w:r>
          </w:p>
        </w:tc>
        <w:tc>
          <w:tcPr>
            <w:tcW w:w="9186" w:type="dxa"/>
            <w:gridSpan w:val="3"/>
            <w:vAlign w:val="center"/>
          </w:tcPr>
          <w:p>
            <w:pPr>
              <w:keepNext w:val="0"/>
              <w:keepLines w:val="0"/>
              <w:suppressLineNumbers w:val="0"/>
              <w:spacing w:before="0" w:beforeAutospacing="0" w:after="0" w:afterAutospacing="0"/>
              <w:ind w:left="0" w:right="0"/>
              <w:rPr>
                <w:rFonts w:hint="eastAsia" w:ascii="宋体" w:hAnsi="宋体" w:eastAsia="宋体" w:cs="宋体"/>
                <w:b/>
                <w:kern w:val="2"/>
                <w:sz w:val="21"/>
                <w:szCs w:val="21"/>
              </w:rPr>
            </w:pPr>
            <w:r>
              <w:rPr>
                <w:rFonts w:hint="eastAsia" w:ascii="宋体" w:hAnsi="宋体" w:eastAsia="宋体" w:cs="宋体"/>
                <w:b/>
                <w:kern w:val="2"/>
                <w:sz w:val="21"/>
                <w:szCs w:val="21"/>
              </w:rPr>
              <w:t>建设项目的选址及总图布置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708" w:type="dxa"/>
            <w:vMerge w:val="restart"/>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lang w:val="en-US"/>
              </w:rPr>
            </w:pPr>
          </w:p>
        </w:tc>
        <w:tc>
          <w:tcPr>
            <w:tcW w:w="4697"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eastAsia="zh-CN"/>
              </w:rPr>
            </w:pPr>
            <w:r>
              <w:rPr>
                <w:rFonts w:hint="eastAsia" w:ascii="宋体" w:hAnsi="宋体" w:eastAsia="宋体" w:cs="宋体"/>
                <w:kern w:val="2"/>
                <w:sz w:val="21"/>
                <w:szCs w:val="21"/>
              </w:rPr>
              <w:t>本建设项目属于改建项目，在加油站原址及原有设施设备的基础上进行改造。建设项目区域规划与总平面布置应符合城市发展规划以及严格按照《汽车加油加气站设计与施工》（GB50156-2012，2014年版）和《建筑设计防火规范》（GB50016-2014,2018年版）的相关规定执行</w:t>
            </w:r>
            <w:r>
              <w:rPr>
                <w:rFonts w:hint="eastAsia" w:ascii="宋体" w:hAnsi="宋体" w:eastAsia="宋体" w:cs="宋体"/>
                <w:kern w:val="2"/>
                <w:sz w:val="21"/>
                <w:szCs w:val="21"/>
                <w:lang w:eastAsia="zh-CN"/>
              </w:rPr>
              <w:t>。</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eastAsia="zh-CN"/>
              </w:rPr>
            </w:pPr>
            <w:r>
              <w:rPr>
                <w:rFonts w:hint="eastAsia" w:ascii="宋体" w:hAnsi="宋体" w:eastAsia="宋体" w:cs="宋体"/>
                <w:kern w:val="2"/>
                <w:sz w:val="21"/>
                <w:szCs w:val="21"/>
              </w:rPr>
              <w:t>建设项目区域规划与总平面布置符合城市发展规划以及严格按照《汽车加油加气站设计与施工》（GB50156-2012，2014年版）和《建筑设计防火规范》（GB50016-2014,2018年版）的相关规定执行</w:t>
            </w:r>
            <w:r>
              <w:rPr>
                <w:rFonts w:hint="eastAsia" w:ascii="宋体" w:hAnsi="宋体" w:eastAsia="宋体" w:cs="宋体"/>
                <w:kern w:val="2"/>
                <w:sz w:val="21"/>
                <w:szCs w:val="21"/>
                <w:lang w:eastAsia="zh-CN"/>
              </w:rPr>
              <w:t>。</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eastAsia="zh-CN"/>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rPr>
            </w:pPr>
            <w:r>
              <w:rPr>
                <w:rFonts w:hint="eastAsia" w:ascii="宋体" w:hAnsi="宋体" w:eastAsia="宋体" w:cs="宋体"/>
                <w:kern w:val="2"/>
                <w:sz w:val="21"/>
                <w:szCs w:val="21"/>
              </w:rPr>
              <w:t>按《汽车加油加气站设计与施工》GB50156-2012，2014年版）规定，设置汽油卸油和加油油气回收系统后距离</w:t>
            </w:r>
            <w:r>
              <w:rPr>
                <w:rFonts w:hint="eastAsia" w:ascii="宋体" w:hAnsi="宋体" w:eastAsia="宋体" w:cs="宋体"/>
                <w:kern w:val="2"/>
                <w:sz w:val="21"/>
                <w:szCs w:val="21"/>
                <w:lang w:eastAsia="zh-CN"/>
              </w:rPr>
              <w:t>二</w:t>
            </w:r>
            <w:r>
              <w:rPr>
                <w:rFonts w:hint="eastAsia" w:ascii="宋体" w:hAnsi="宋体" w:eastAsia="宋体" w:cs="宋体"/>
                <w:kern w:val="2"/>
                <w:sz w:val="21"/>
                <w:szCs w:val="21"/>
              </w:rPr>
              <w:t>级加油站汽油设备</w:t>
            </w:r>
            <w:r>
              <w:rPr>
                <w:rFonts w:hint="eastAsia" w:ascii="宋体" w:hAnsi="宋体" w:eastAsia="宋体" w:cs="宋体"/>
                <w:kern w:val="2"/>
                <w:sz w:val="21"/>
                <w:szCs w:val="21"/>
                <w:lang w:val="en-US" w:eastAsia="zh-CN"/>
              </w:rPr>
              <w:t>17</w:t>
            </w:r>
            <w:r>
              <w:rPr>
                <w:rFonts w:hint="eastAsia" w:ascii="宋体" w:hAnsi="宋体" w:eastAsia="宋体" w:cs="宋体"/>
                <w:kern w:val="2"/>
                <w:sz w:val="21"/>
                <w:szCs w:val="21"/>
              </w:rPr>
              <w:t>.5m范围内不允许有明火或散发火花的地点。油站周边安全距离内没有明火点或散发火花点，但仍应加强周边环境的监视，注意周边环境的变化，确保加油站安全距离内没有明火点和改建建构筑物。</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rPr>
            </w:pPr>
            <w:r>
              <w:rPr>
                <w:rFonts w:hint="eastAsia" w:ascii="宋体" w:hAnsi="宋体" w:eastAsia="宋体" w:cs="宋体"/>
                <w:kern w:val="2"/>
                <w:sz w:val="21"/>
                <w:szCs w:val="21"/>
              </w:rPr>
              <w:t>加油站作业区内</w:t>
            </w:r>
            <w:r>
              <w:rPr>
                <w:rFonts w:hint="eastAsia" w:ascii="宋体" w:hAnsi="宋体" w:eastAsia="宋体" w:cs="宋体"/>
                <w:kern w:val="2"/>
                <w:sz w:val="21"/>
                <w:szCs w:val="21"/>
                <w:lang w:eastAsia="zh-CN"/>
              </w:rPr>
              <w:t>和周边安全距离内</w:t>
            </w:r>
            <w:r>
              <w:rPr>
                <w:rFonts w:hint="eastAsia" w:ascii="宋体" w:hAnsi="宋体" w:eastAsia="宋体" w:cs="宋体"/>
                <w:kern w:val="2"/>
                <w:sz w:val="21"/>
                <w:szCs w:val="21"/>
              </w:rPr>
              <w:t>无“明火地点”或“散发火花地点”，加油站有制定完善的动火作业管理制度及措施</w:t>
            </w:r>
            <w:r>
              <w:rPr>
                <w:rFonts w:hint="eastAsia" w:ascii="宋体" w:hAnsi="宋体" w:eastAsia="宋体" w:cs="宋体"/>
                <w:kern w:val="2"/>
                <w:sz w:val="21"/>
                <w:szCs w:val="21"/>
                <w:lang w:val="en-US"/>
              </w:rPr>
              <w:t>。</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rPr>
            </w:pPr>
            <w:r>
              <w:rPr>
                <w:rFonts w:hint="eastAsia" w:ascii="宋体" w:hAnsi="宋体" w:eastAsia="宋体" w:cs="宋体"/>
                <w:kern w:val="2"/>
                <w:sz w:val="21"/>
                <w:szCs w:val="21"/>
              </w:rPr>
              <w:t>位于加油岛端部的加油机附近应设防撞栏，其高度不应小于0.5m</w:t>
            </w:r>
            <w:r>
              <w:rPr>
                <w:rFonts w:hint="eastAsia" w:ascii="宋体" w:hAnsi="宋体" w:eastAsia="宋体" w:cs="宋体"/>
                <w:kern w:val="2"/>
                <w:sz w:val="21"/>
                <w:szCs w:val="21"/>
                <w:lang w:eastAsia="zh-CN"/>
              </w:rPr>
              <w:t>。</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rPr>
            </w:pPr>
            <w:r>
              <w:rPr>
                <w:rFonts w:hint="eastAsia" w:ascii="宋体" w:hAnsi="宋体" w:eastAsia="宋体" w:cs="宋体"/>
                <w:kern w:val="2"/>
                <w:sz w:val="21"/>
                <w:szCs w:val="21"/>
              </w:rPr>
              <w:t>防撞栏高度</w:t>
            </w:r>
            <w:r>
              <w:rPr>
                <w:rFonts w:hint="eastAsia" w:ascii="宋体" w:hAnsi="宋体" w:eastAsia="宋体" w:cs="宋体"/>
                <w:kern w:val="2"/>
                <w:sz w:val="21"/>
                <w:szCs w:val="21"/>
                <w:lang w:eastAsia="zh-CN"/>
              </w:rPr>
              <w:t>大于</w:t>
            </w:r>
            <w:r>
              <w:rPr>
                <w:rFonts w:hint="eastAsia" w:ascii="宋体" w:hAnsi="宋体" w:eastAsia="宋体" w:cs="宋体"/>
                <w:kern w:val="2"/>
                <w:sz w:val="21"/>
                <w:szCs w:val="21"/>
              </w:rPr>
              <w:t>0.5m</w:t>
            </w:r>
            <w:r>
              <w:rPr>
                <w:rFonts w:hint="eastAsia" w:ascii="宋体" w:hAnsi="宋体" w:eastAsia="宋体" w:cs="宋体"/>
                <w:kern w:val="2"/>
                <w:sz w:val="21"/>
                <w:szCs w:val="21"/>
                <w:lang w:eastAsia="zh-CN"/>
              </w:rPr>
              <w:t>。</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rPr>
            </w:pPr>
            <w:r>
              <w:rPr>
                <w:rFonts w:hint="eastAsia" w:ascii="宋体" w:hAnsi="宋体" w:eastAsia="宋体" w:cs="宋体"/>
                <w:kern w:val="2"/>
                <w:sz w:val="21"/>
                <w:szCs w:val="21"/>
              </w:rPr>
              <w:t>位于爆炸危险区域内的操作井、排水井，应采取防渗漏和防火花发生的措施。</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eastAsia="zh-CN"/>
              </w:rPr>
              <w:t>操作井、排水井有防渗漏防火花措施。</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eastAsia="zh-CN"/>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70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rPr>
            </w:pPr>
            <w:r>
              <w:rPr>
                <w:rFonts w:hint="eastAsia" w:ascii="宋体" w:hAnsi="宋体" w:eastAsia="宋体" w:cs="宋体"/>
                <w:kern w:val="2"/>
                <w:sz w:val="21"/>
                <w:szCs w:val="21"/>
              </w:rPr>
              <w:t>加油站内部分地面可种植草坪进行绿化，但不得种植油性植物。</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eastAsia="zh-CN"/>
              </w:rPr>
            </w:pPr>
            <w:r>
              <w:rPr>
                <w:rFonts w:hint="eastAsia" w:ascii="宋体" w:hAnsi="宋体" w:eastAsia="宋体" w:cs="宋体"/>
                <w:kern w:val="2"/>
                <w:sz w:val="21"/>
                <w:szCs w:val="21"/>
                <w:lang w:eastAsia="zh-CN"/>
              </w:rPr>
              <w:t>未</w:t>
            </w:r>
            <w:r>
              <w:rPr>
                <w:rFonts w:hint="eastAsia" w:ascii="宋体" w:hAnsi="宋体" w:eastAsia="宋体" w:cs="宋体"/>
                <w:kern w:val="2"/>
                <w:sz w:val="21"/>
                <w:szCs w:val="21"/>
              </w:rPr>
              <w:t>种植油性植物。</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eastAsia="zh-CN"/>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b/>
                <w:kern w:val="2"/>
                <w:sz w:val="21"/>
                <w:szCs w:val="21"/>
              </w:rPr>
            </w:pPr>
            <w:r>
              <w:rPr>
                <w:rFonts w:hint="eastAsia" w:ascii="宋体" w:hAnsi="宋体" w:eastAsia="宋体" w:cs="宋体"/>
                <w:b/>
                <w:kern w:val="2"/>
                <w:sz w:val="21"/>
                <w:szCs w:val="21"/>
              </w:rPr>
              <w:t>二</w:t>
            </w:r>
          </w:p>
        </w:tc>
        <w:tc>
          <w:tcPr>
            <w:tcW w:w="9186" w:type="dxa"/>
            <w:gridSpan w:val="3"/>
            <w:vAlign w:val="center"/>
          </w:tcPr>
          <w:p>
            <w:pPr>
              <w:keepNext w:val="0"/>
              <w:keepLines w:val="0"/>
              <w:suppressLineNumbers w:val="0"/>
              <w:spacing w:before="0" w:beforeAutospacing="0" w:after="0" w:afterAutospacing="0"/>
              <w:ind w:left="0" w:right="0"/>
              <w:rPr>
                <w:rFonts w:hint="eastAsia" w:ascii="宋体" w:hAnsi="宋体" w:eastAsia="宋体" w:cs="宋体"/>
                <w:b/>
                <w:kern w:val="2"/>
                <w:sz w:val="21"/>
                <w:szCs w:val="21"/>
              </w:rPr>
            </w:pPr>
            <w:r>
              <w:rPr>
                <w:rFonts w:hint="eastAsia" w:ascii="宋体" w:hAnsi="宋体" w:eastAsia="宋体" w:cs="宋体"/>
                <w:b/>
                <w:bCs/>
                <w:kern w:val="2"/>
                <w:sz w:val="21"/>
                <w:szCs w:val="21"/>
              </w:rPr>
              <w:t>主要技术、工艺或者装置、设备、设施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b/>
                <w:kern w:val="2"/>
                <w:sz w:val="21"/>
                <w:szCs w:val="21"/>
              </w:rPr>
            </w:pPr>
            <w:r>
              <w:rPr>
                <w:rFonts w:hint="eastAsia" w:ascii="宋体" w:hAnsi="宋体" w:eastAsia="宋体" w:cs="宋体"/>
                <w:b/>
                <w:kern w:val="2"/>
                <w:sz w:val="21"/>
                <w:szCs w:val="21"/>
              </w:rPr>
              <w:t>1</w:t>
            </w:r>
          </w:p>
        </w:tc>
        <w:tc>
          <w:tcPr>
            <w:tcW w:w="9186" w:type="dxa"/>
            <w:gridSpan w:val="3"/>
            <w:vAlign w:val="center"/>
          </w:tcPr>
          <w:p>
            <w:pPr>
              <w:keepNext w:val="0"/>
              <w:keepLines w:val="0"/>
              <w:suppressLineNumbers w:val="0"/>
              <w:spacing w:before="0" w:beforeAutospacing="0" w:after="0" w:afterAutospacing="0"/>
              <w:ind w:left="0" w:right="0"/>
              <w:rPr>
                <w:rFonts w:hint="eastAsia" w:ascii="宋体" w:hAnsi="宋体" w:eastAsia="宋体" w:cs="宋体"/>
                <w:b/>
                <w:kern w:val="2"/>
                <w:sz w:val="21"/>
                <w:szCs w:val="21"/>
              </w:rPr>
            </w:pPr>
            <w:r>
              <w:rPr>
                <w:rFonts w:hint="eastAsia" w:ascii="宋体" w:hAnsi="宋体" w:eastAsia="宋体" w:cs="宋体"/>
                <w:b/>
                <w:bCs/>
                <w:kern w:val="2"/>
                <w:sz w:val="21"/>
                <w:szCs w:val="21"/>
              </w:rPr>
              <w:t>油罐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restart"/>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p>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p>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r>
              <w:rPr>
                <w:rFonts w:hint="eastAsia" w:ascii="宋体" w:hAnsi="宋体" w:eastAsia="宋体" w:cs="宋体"/>
                <w:kern w:val="2"/>
                <w:sz w:val="21"/>
                <w:szCs w:val="21"/>
              </w:rPr>
              <w:t>除橇装式加油装置所配置的防火防爆油罐外，加油站的汽油罐和柴油罐应埋地设置，严禁设在室内或地下室内。</w:t>
            </w:r>
          </w:p>
        </w:tc>
        <w:tc>
          <w:tcPr>
            <w:tcW w:w="3134"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lang w:val="en-US"/>
              </w:rPr>
            </w:pPr>
            <w:r>
              <w:rPr>
                <w:rFonts w:hint="eastAsia" w:ascii="宋体" w:hAnsi="宋体" w:eastAsia="宋体" w:cs="宋体"/>
                <w:kern w:val="2"/>
                <w:sz w:val="21"/>
                <w:szCs w:val="21"/>
              </w:rPr>
              <w:t>加油站的汽油罐和柴油罐为埋地设置。</w:t>
            </w:r>
          </w:p>
        </w:tc>
        <w:tc>
          <w:tcPr>
            <w:tcW w:w="1355"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continue"/>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r>
              <w:rPr>
                <w:rFonts w:hint="eastAsia" w:ascii="宋体" w:hAnsi="宋体" w:eastAsia="宋体" w:cs="宋体"/>
                <w:kern w:val="2"/>
                <w:sz w:val="21"/>
                <w:szCs w:val="21"/>
              </w:rPr>
              <w:t>汽车加油站的储油罐应采用卧式油罐，油罐的设计和建造，应满足油罐在所承受外压作用下的强度要求，并应有良好的防腐蚀性能和导静电性能。钢制油罐所采用钢板标准规格其罐体厚度不应小于</w:t>
            </w:r>
            <w:r>
              <w:rPr>
                <w:rFonts w:hint="eastAsia" w:ascii="宋体" w:hAnsi="宋体" w:eastAsia="宋体" w:cs="宋体"/>
                <w:kern w:val="2"/>
                <w:sz w:val="21"/>
                <w:szCs w:val="21"/>
                <w:lang w:val="en-US" w:eastAsia="zh-CN"/>
              </w:rPr>
              <w:t>6</w:t>
            </w:r>
            <w:r>
              <w:rPr>
                <w:rFonts w:hint="eastAsia" w:ascii="宋体" w:hAnsi="宋体" w:eastAsia="宋体" w:cs="宋体"/>
                <w:kern w:val="2"/>
                <w:sz w:val="21"/>
                <w:szCs w:val="21"/>
              </w:rPr>
              <w:t>mm，封头不应小于8mm。</w:t>
            </w:r>
          </w:p>
        </w:tc>
        <w:tc>
          <w:tcPr>
            <w:tcW w:w="3134"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lang w:val="en-US"/>
              </w:rPr>
            </w:pPr>
            <w:r>
              <w:rPr>
                <w:rFonts w:hint="eastAsia" w:ascii="宋体" w:hAnsi="宋体" w:eastAsia="宋体" w:cs="宋体"/>
                <w:kern w:val="2"/>
                <w:sz w:val="21"/>
                <w:szCs w:val="21"/>
              </w:rPr>
              <w:t>根据提供的油罐产品合格证及相关资料，均为卧式油罐。</w:t>
            </w:r>
            <w:r>
              <w:rPr>
                <w:rFonts w:hint="eastAsia" w:ascii="宋体" w:hAnsi="宋体" w:eastAsia="宋体" w:cs="宋体"/>
                <w:kern w:val="2"/>
                <w:sz w:val="21"/>
                <w:szCs w:val="21"/>
                <w:lang w:eastAsia="zh-CN"/>
              </w:rPr>
              <w:t>储罐符合当前技术标准要求</w:t>
            </w:r>
            <w:r>
              <w:rPr>
                <w:rFonts w:hint="eastAsia" w:ascii="宋体" w:hAnsi="宋体" w:eastAsia="宋体" w:cs="宋体"/>
                <w:kern w:val="2"/>
                <w:sz w:val="21"/>
                <w:szCs w:val="21"/>
              </w:rPr>
              <w:t>。</w:t>
            </w:r>
          </w:p>
        </w:tc>
        <w:tc>
          <w:tcPr>
            <w:tcW w:w="1355"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continue"/>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r>
              <w:rPr>
                <w:rFonts w:hint="eastAsia" w:ascii="宋体" w:hAnsi="宋体" w:eastAsia="宋体" w:cs="宋体"/>
                <w:kern w:val="2"/>
                <w:sz w:val="21"/>
                <w:szCs w:val="21"/>
              </w:rPr>
              <w:t>油罐的外表面防腐设计应符合国家现行标准《钢质管及储罐腐蚀控制工程设计规范》SY0007的有关规定，并应采用不低于加强级的防腐绝缘保护层。</w:t>
            </w:r>
          </w:p>
        </w:tc>
        <w:tc>
          <w:tcPr>
            <w:tcW w:w="3134"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r>
              <w:rPr>
                <w:rFonts w:hint="eastAsia" w:ascii="宋体" w:hAnsi="宋体" w:eastAsia="宋体" w:cs="宋体"/>
                <w:kern w:val="2"/>
                <w:sz w:val="21"/>
                <w:szCs w:val="21"/>
              </w:rPr>
              <w:t>油罐的外表面防腐设计符合国家现行标准《钢质管及储罐腐蚀控制工程设计规范》SY0007的有关规定，并采用不低于加强级的防腐绝缘保护层。</w:t>
            </w:r>
          </w:p>
        </w:tc>
        <w:tc>
          <w:tcPr>
            <w:tcW w:w="1355"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continue"/>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r>
              <w:rPr>
                <w:rFonts w:hint="eastAsia" w:ascii="宋体" w:hAnsi="宋体" w:eastAsia="宋体" w:cs="宋体"/>
                <w:kern w:val="2"/>
                <w:sz w:val="21"/>
                <w:szCs w:val="21"/>
              </w:rPr>
              <w:t>当油罐地下水或雨水作用有上浮的可能时，应采取防止油罐上浮措施。</w:t>
            </w:r>
          </w:p>
        </w:tc>
        <w:tc>
          <w:tcPr>
            <w:tcW w:w="3134"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r>
              <w:rPr>
                <w:rFonts w:hint="eastAsia" w:ascii="宋体" w:hAnsi="宋体" w:eastAsia="宋体" w:cs="宋体"/>
                <w:kern w:val="2"/>
                <w:sz w:val="21"/>
                <w:szCs w:val="21"/>
              </w:rPr>
              <w:t>有采取浇筑混凝土基础、固定螺栓等采取抗浮措施。</w:t>
            </w:r>
          </w:p>
        </w:tc>
        <w:tc>
          <w:tcPr>
            <w:tcW w:w="1355"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continue"/>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r>
              <w:rPr>
                <w:rFonts w:hint="eastAsia" w:ascii="宋体" w:hAnsi="宋体" w:eastAsia="宋体" w:cs="宋体"/>
                <w:kern w:val="2"/>
                <w:sz w:val="21"/>
                <w:szCs w:val="21"/>
              </w:rPr>
              <w:t>油罐的各接合管，应设在油罐的顶部，其中出油接合管宜设在人孔盖上。</w:t>
            </w:r>
          </w:p>
        </w:tc>
        <w:tc>
          <w:tcPr>
            <w:tcW w:w="3134"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r>
              <w:rPr>
                <w:rFonts w:hint="eastAsia" w:ascii="宋体" w:hAnsi="宋体" w:eastAsia="宋体" w:cs="宋体"/>
                <w:kern w:val="2"/>
                <w:sz w:val="21"/>
                <w:szCs w:val="21"/>
              </w:rPr>
              <w:t>油罐的各接合管在油罐的顶部，其中出油接合管设在人孔盖上。</w:t>
            </w:r>
          </w:p>
        </w:tc>
        <w:tc>
          <w:tcPr>
            <w:tcW w:w="1355"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continue"/>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r>
              <w:rPr>
                <w:rFonts w:hint="eastAsia" w:ascii="宋体" w:hAnsi="宋体" w:eastAsia="宋体" w:cs="宋体"/>
                <w:kern w:val="2"/>
                <w:sz w:val="21"/>
                <w:szCs w:val="21"/>
              </w:rPr>
              <w:t>油罐的进油管，应向下伸至罐内距罐底50mm～100mm处。</w:t>
            </w:r>
          </w:p>
        </w:tc>
        <w:tc>
          <w:tcPr>
            <w:tcW w:w="3134"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r>
              <w:rPr>
                <w:rFonts w:hint="eastAsia" w:ascii="宋体" w:hAnsi="宋体" w:eastAsia="宋体" w:cs="宋体"/>
                <w:kern w:val="2"/>
                <w:sz w:val="21"/>
                <w:szCs w:val="21"/>
              </w:rPr>
              <w:t>油罐的进油管，向下伸至罐内距罐底50mm～100mm处。</w:t>
            </w:r>
          </w:p>
        </w:tc>
        <w:tc>
          <w:tcPr>
            <w:tcW w:w="1355"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continue"/>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r>
              <w:rPr>
                <w:rFonts w:hint="eastAsia" w:ascii="宋体" w:hAnsi="宋体" w:eastAsia="宋体" w:cs="宋体"/>
                <w:kern w:val="2"/>
                <w:sz w:val="21"/>
                <w:szCs w:val="21"/>
              </w:rPr>
              <w:t>油罐应采取卸油时的防满溢措施。油料达到油罐容量90%时，应能触动高液位报警装置；油料达到油罐容量95%时，应能自动停止油料继续进罐。高液位报警装置应位于工作人员便于觉察的地点。</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eastAsia="zh-CN"/>
              </w:rPr>
            </w:pPr>
            <w:r>
              <w:rPr>
                <w:rFonts w:hint="eastAsia" w:ascii="宋体" w:hAnsi="宋体" w:eastAsia="宋体" w:cs="宋体"/>
                <w:kern w:val="2"/>
                <w:sz w:val="21"/>
                <w:szCs w:val="21"/>
              </w:rPr>
              <w:t>油罐采取卸油时的防满溢措施</w:t>
            </w:r>
            <w:r>
              <w:rPr>
                <w:rFonts w:hint="eastAsia" w:ascii="宋体" w:hAnsi="宋体" w:eastAsia="宋体" w:cs="宋体"/>
                <w:kern w:val="2"/>
                <w:sz w:val="21"/>
                <w:szCs w:val="21"/>
                <w:lang w:eastAsia="zh-CN"/>
              </w:rPr>
              <w:t>包括</w:t>
            </w:r>
            <w:r>
              <w:rPr>
                <w:rFonts w:hint="eastAsia" w:ascii="宋体" w:hAnsi="宋体" w:eastAsia="宋体" w:cs="宋体"/>
                <w:kern w:val="2"/>
                <w:sz w:val="21"/>
                <w:szCs w:val="21"/>
                <w:lang w:val="en-US" w:eastAsia="zh-CN"/>
              </w:rPr>
              <w:t>防溢阀和高液位报警装置。</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continue"/>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r>
              <w:rPr>
                <w:rFonts w:hint="eastAsia" w:ascii="宋体" w:hAnsi="宋体" w:eastAsia="宋体" w:cs="宋体"/>
                <w:kern w:val="2"/>
                <w:sz w:val="21"/>
                <w:szCs w:val="21"/>
              </w:rPr>
              <w:t>钢制油罐应进行压力试验，试验用压力表精度不应低于2.5级，试验介质应为温度不低于5℃的洁净水，试验压力应为0.1MPa。升压至0.1MPa后，应停压10min，然后降至0.08 MPa，再停压30min，以不降压、无泄漏和无变形应为合格。压力试验后，应及时清除罐内的积水及焊渣等污物。</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eastAsia="zh-CN"/>
              </w:rPr>
            </w:pPr>
            <w:r>
              <w:rPr>
                <w:rFonts w:hint="eastAsia" w:ascii="宋体" w:hAnsi="宋体" w:eastAsia="宋体" w:cs="宋体"/>
                <w:color w:val="auto"/>
                <w:kern w:val="2"/>
                <w:sz w:val="21"/>
                <w:szCs w:val="21"/>
                <w:lang w:eastAsia="zh-CN"/>
              </w:rPr>
              <w:t>根据安全设施施工情况报告，油罐出厂前和安装后已进行试压试漏。</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eastAsia="zh-CN"/>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continue"/>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r>
              <w:rPr>
                <w:rFonts w:hint="eastAsia" w:ascii="宋体" w:hAnsi="宋体" w:eastAsia="宋体" w:cs="宋体"/>
                <w:kern w:val="2"/>
                <w:sz w:val="21"/>
                <w:szCs w:val="21"/>
              </w:rPr>
              <w:t>油罐设在</w:t>
            </w:r>
            <w:r>
              <w:rPr>
                <w:rFonts w:hint="eastAsia" w:ascii="宋体" w:hAnsi="宋体" w:eastAsia="宋体" w:cs="宋体"/>
                <w:kern w:val="2"/>
                <w:sz w:val="21"/>
                <w:szCs w:val="21"/>
                <w:lang w:eastAsia="zh-CN"/>
              </w:rPr>
              <w:t>非</w:t>
            </w:r>
            <w:r>
              <w:rPr>
                <w:rFonts w:hint="eastAsia" w:ascii="宋体" w:hAnsi="宋体" w:eastAsia="宋体" w:cs="宋体"/>
                <w:kern w:val="2"/>
                <w:sz w:val="21"/>
                <w:szCs w:val="21"/>
              </w:rPr>
              <w:t>车行道下面时，罐顶的覆土厚度不</w:t>
            </w:r>
            <w:r>
              <w:rPr>
                <w:rFonts w:hint="eastAsia" w:ascii="宋体" w:hAnsi="宋体" w:eastAsia="宋体" w:cs="宋体"/>
                <w:kern w:val="2"/>
                <w:sz w:val="21"/>
                <w:szCs w:val="21"/>
                <w:lang w:eastAsia="zh-CN"/>
              </w:rPr>
              <w:t>应</w:t>
            </w:r>
            <w:r>
              <w:rPr>
                <w:rFonts w:hint="eastAsia" w:ascii="宋体" w:hAnsi="宋体" w:eastAsia="宋体" w:cs="宋体"/>
                <w:kern w:val="2"/>
                <w:sz w:val="21"/>
                <w:szCs w:val="21"/>
              </w:rPr>
              <w:t>小于0.5m。外层为玻璃纤维增强塑料材料的油罐，其回填料应符合产品说明书的要求。</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rPr>
            </w:pPr>
            <w:r>
              <w:rPr>
                <w:rFonts w:hint="eastAsia" w:ascii="宋体" w:hAnsi="宋体" w:eastAsia="宋体" w:cs="宋体"/>
                <w:kern w:val="2"/>
                <w:sz w:val="21"/>
                <w:szCs w:val="21"/>
                <w:lang w:eastAsia="zh-CN"/>
              </w:rPr>
              <w:t>该站</w:t>
            </w:r>
            <w:r>
              <w:rPr>
                <w:rFonts w:hint="eastAsia" w:ascii="宋体" w:hAnsi="宋体" w:eastAsia="宋体" w:cs="宋体"/>
                <w:kern w:val="2"/>
                <w:sz w:val="21"/>
                <w:szCs w:val="21"/>
              </w:rPr>
              <w:t>油罐设在车行道下面，罐顶的覆土</w:t>
            </w:r>
            <w:r>
              <w:rPr>
                <w:rFonts w:hint="eastAsia" w:ascii="宋体" w:hAnsi="宋体" w:eastAsia="宋体" w:cs="宋体"/>
                <w:kern w:val="2"/>
                <w:sz w:val="21"/>
                <w:szCs w:val="21"/>
                <w:lang w:eastAsia="zh-CN"/>
              </w:rPr>
              <w:t>和</w:t>
            </w:r>
            <w:r>
              <w:rPr>
                <w:rFonts w:hint="eastAsia" w:ascii="宋体" w:hAnsi="宋体" w:eastAsia="宋体" w:cs="宋体"/>
                <w:kern w:val="2"/>
                <w:sz w:val="21"/>
                <w:szCs w:val="21"/>
              </w:rPr>
              <w:t>回填料符合要求。</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eastAsia="zh-CN"/>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continue"/>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r>
              <w:rPr>
                <w:rFonts w:hint="eastAsia" w:ascii="宋体" w:hAnsi="宋体" w:eastAsia="宋体" w:cs="宋体"/>
                <w:kern w:val="2"/>
                <w:sz w:val="21"/>
                <w:szCs w:val="21"/>
              </w:rPr>
              <w:t>汽油罐和柴油罐的通气管应分开设置，通气管管口高出地面的高度不得小于4</w:t>
            </w:r>
            <w:r>
              <w:rPr>
                <w:rFonts w:hint="eastAsia" w:ascii="宋体" w:hAnsi="宋体" w:eastAsia="宋体" w:cs="宋体"/>
                <w:kern w:val="2"/>
                <w:sz w:val="21"/>
                <w:szCs w:val="21"/>
                <w:lang w:val="en-US" w:eastAsia="zh-CN"/>
              </w:rPr>
              <w:t>m</w:t>
            </w:r>
            <w:r>
              <w:rPr>
                <w:rFonts w:hint="eastAsia" w:ascii="宋体" w:hAnsi="宋体" w:eastAsia="宋体" w:cs="宋体"/>
                <w:kern w:val="2"/>
                <w:sz w:val="21"/>
                <w:szCs w:val="21"/>
              </w:rPr>
              <w:t>。沿建构筑物墙柱敷设的通气管其管口高出建筑物顶面1.5m及以上。通气管管口应设阻火器</w:t>
            </w:r>
            <w:r>
              <w:rPr>
                <w:rFonts w:hint="eastAsia" w:ascii="宋体" w:hAnsi="宋体" w:eastAsia="宋体" w:cs="宋体"/>
                <w:kern w:val="2"/>
                <w:sz w:val="21"/>
                <w:szCs w:val="21"/>
                <w:lang w:eastAsia="zh-CN"/>
              </w:rPr>
              <w:t>。</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rPr>
            </w:pPr>
            <w:r>
              <w:rPr>
                <w:rFonts w:hint="eastAsia" w:ascii="宋体" w:hAnsi="宋体" w:eastAsia="宋体" w:cs="宋体"/>
                <w:kern w:val="2"/>
                <w:sz w:val="21"/>
                <w:szCs w:val="21"/>
              </w:rPr>
              <w:t>汽油罐和柴油罐的通气管分开设</w:t>
            </w:r>
            <w:r>
              <w:rPr>
                <w:rFonts w:hint="eastAsia" w:ascii="宋体" w:hAnsi="宋体" w:eastAsia="宋体" w:cs="宋体"/>
                <w:kern w:val="2"/>
                <w:sz w:val="21"/>
                <w:szCs w:val="21"/>
                <w:lang w:val="en-US" w:eastAsia="zh-CN"/>
              </w:rPr>
              <w:t>置</w:t>
            </w:r>
            <w:r>
              <w:rPr>
                <w:rFonts w:hint="eastAsia" w:ascii="宋体" w:hAnsi="宋体" w:eastAsia="宋体" w:cs="宋体"/>
                <w:kern w:val="2"/>
                <w:sz w:val="21"/>
                <w:szCs w:val="21"/>
              </w:rPr>
              <w:t>，通气</w:t>
            </w:r>
            <w:r>
              <w:rPr>
                <w:rFonts w:hint="eastAsia" w:ascii="宋体" w:hAnsi="宋体" w:eastAsia="宋体" w:cs="宋体"/>
                <w:kern w:val="2"/>
                <w:sz w:val="21"/>
                <w:szCs w:val="21"/>
                <w:lang w:val="en-US" w:eastAsia="zh-CN"/>
              </w:rPr>
              <w:t>管管口高出地面大于4m。</w:t>
            </w:r>
            <w:r>
              <w:rPr>
                <w:rFonts w:hint="eastAsia" w:ascii="宋体" w:hAnsi="宋体" w:eastAsia="宋体" w:cs="宋体"/>
                <w:kern w:val="2"/>
                <w:sz w:val="21"/>
                <w:szCs w:val="21"/>
              </w:rPr>
              <w:t>通气管管口设阻火器</w:t>
            </w:r>
            <w:r>
              <w:rPr>
                <w:rFonts w:hint="eastAsia" w:ascii="宋体" w:hAnsi="宋体" w:eastAsia="宋体" w:cs="宋体"/>
                <w:kern w:val="2"/>
                <w:sz w:val="21"/>
                <w:szCs w:val="21"/>
                <w:lang w:eastAsia="zh-CN"/>
              </w:rPr>
              <w:t>。</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continue"/>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r>
              <w:rPr>
                <w:rFonts w:hint="eastAsia" w:ascii="宋体" w:hAnsi="宋体" w:eastAsia="宋体" w:cs="宋体"/>
                <w:kern w:val="2"/>
                <w:sz w:val="21"/>
                <w:szCs w:val="21"/>
              </w:rPr>
              <w:t>设有油气回收系统的加油加气站，其站内油罐应设带有高液位报警功能的液位监测系统。双层油罐的液位监测系统尚应具备渗漏检测功能，其渗漏检测分辨率不宜大于0.8 L/h。</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rPr>
            </w:pPr>
            <w:r>
              <w:rPr>
                <w:rFonts w:hint="eastAsia" w:ascii="宋体" w:hAnsi="宋体" w:eastAsia="宋体" w:cs="宋体"/>
                <w:kern w:val="2"/>
                <w:sz w:val="21"/>
                <w:szCs w:val="21"/>
              </w:rPr>
              <w:t>站内油罐设带有高液位报警功能的液位监测系统。双层油罐的液位监测系统尚具备渗漏检测功能，其渗漏检测分辨率</w:t>
            </w:r>
            <w:r>
              <w:rPr>
                <w:rFonts w:hint="eastAsia" w:ascii="宋体" w:hAnsi="宋体" w:eastAsia="宋体" w:cs="宋体"/>
                <w:kern w:val="2"/>
                <w:sz w:val="21"/>
                <w:szCs w:val="21"/>
                <w:lang w:eastAsia="zh-CN"/>
              </w:rPr>
              <w:t>小</w:t>
            </w:r>
            <w:r>
              <w:rPr>
                <w:rFonts w:hint="eastAsia" w:ascii="宋体" w:hAnsi="宋体" w:eastAsia="宋体" w:cs="宋体"/>
                <w:kern w:val="2"/>
                <w:sz w:val="21"/>
                <w:szCs w:val="21"/>
              </w:rPr>
              <w:t>于0.8 L/h。</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b/>
                <w:kern w:val="2"/>
                <w:sz w:val="21"/>
                <w:szCs w:val="21"/>
                <w:lang w:val="en-US" w:eastAsia="zh-CN"/>
              </w:rPr>
            </w:pPr>
            <w:r>
              <w:rPr>
                <w:rFonts w:hint="eastAsia" w:ascii="宋体" w:hAnsi="宋体" w:eastAsia="宋体" w:cs="宋体"/>
                <w:b/>
                <w:kern w:val="2"/>
                <w:sz w:val="21"/>
                <w:szCs w:val="21"/>
                <w:lang w:val="en-US" w:eastAsia="zh-CN"/>
              </w:rPr>
              <w:t>3</w:t>
            </w:r>
          </w:p>
        </w:tc>
        <w:tc>
          <w:tcPr>
            <w:tcW w:w="9186" w:type="dxa"/>
            <w:gridSpan w:val="3"/>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rPr>
            </w:pPr>
            <w:r>
              <w:rPr>
                <w:rFonts w:hint="eastAsia" w:ascii="宋体" w:hAnsi="宋体" w:eastAsia="宋体" w:cs="宋体"/>
                <w:b/>
                <w:kern w:val="2"/>
                <w:sz w:val="21"/>
                <w:szCs w:val="21"/>
              </w:rPr>
              <w:t>油罐基础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restart"/>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r>
              <w:rPr>
                <w:rFonts w:hint="eastAsia" w:ascii="宋体" w:hAnsi="宋体" w:eastAsia="宋体" w:cs="宋体"/>
                <w:kern w:val="2"/>
                <w:sz w:val="21"/>
                <w:szCs w:val="21"/>
              </w:rPr>
              <w:t>油罐基底垫层上先做好30㎜厚砂石滤水层，再采用碎石土（碎石含量为25%）分层夯实（分层厚度为300㎜）回填，压实系数大于等于0.95。</w:t>
            </w:r>
          </w:p>
        </w:tc>
        <w:tc>
          <w:tcPr>
            <w:tcW w:w="3134"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lang w:eastAsia="zh-CN"/>
              </w:rPr>
            </w:pPr>
            <w:r>
              <w:rPr>
                <w:rFonts w:hint="eastAsia" w:ascii="宋体" w:hAnsi="宋体" w:eastAsia="宋体" w:cs="宋体"/>
                <w:kern w:val="2"/>
                <w:sz w:val="21"/>
                <w:szCs w:val="21"/>
                <w:lang w:eastAsia="zh-CN"/>
              </w:rPr>
              <w:t>回填符合要求。</w:t>
            </w:r>
          </w:p>
        </w:tc>
        <w:tc>
          <w:tcPr>
            <w:tcW w:w="1355"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lang w:eastAsia="zh-CN"/>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continue"/>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r>
              <w:rPr>
                <w:rFonts w:hint="eastAsia" w:ascii="宋体" w:hAnsi="宋体" w:eastAsia="宋体" w:cs="宋体"/>
                <w:kern w:val="2"/>
                <w:sz w:val="21"/>
                <w:szCs w:val="21"/>
              </w:rPr>
              <w:t>补充施工时注意控制好油罐基础的顶面标高，油罐两端基础顶面的高差不得大于3㎜。</w:t>
            </w:r>
          </w:p>
        </w:tc>
        <w:tc>
          <w:tcPr>
            <w:tcW w:w="3134"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r>
              <w:rPr>
                <w:rFonts w:hint="eastAsia" w:ascii="宋体" w:hAnsi="宋体" w:eastAsia="宋体" w:cs="宋体"/>
                <w:kern w:val="2"/>
                <w:sz w:val="21"/>
                <w:szCs w:val="21"/>
              </w:rPr>
              <w:t>油罐两端基础顶面的高差</w:t>
            </w:r>
            <w:r>
              <w:rPr>
                <w:rFonts w:hint="eastAsia" w:ascii="宋体" w:hAnsi="宋体" w:eastAsia="宋体" w:cs="宋体"/>
                <w:kern w:val="2"/>
                <w:sz w:val="21"/>
                <w:szCs w:val="21"/>
                <w:lang w:eastAsia="zh-CN"/>
              </w:rPr>
              <w:t>未</w:t>
            </w:r>
            <w:r>
              <w:rPr>
                <w:rFonts w:hint="eastAsia" w:ascii="宋体" w:hAnsi="宋体" w:eastAsia="宋体" w:cs="宋体"/>
                <w:kern w:val="2"/>
                <w:sz w:val="21"/>
                <w:szCs w:val="21"/>
              </w:rPr>
              <w:t>大于3</w:t>
            </w:r>
            <w:r>
              <w:rPr>
                <w:rFonts w:hint="eastAsia" w:ascii="宋体" w:hAnsi="宋体" w:eastAsia="宋体" w:cs="宋体"/>
                <w:kern w:val="2"/>
                <w:sz w:val="21"/>
                <w:szCs w:val="21"/>
                <w:lang w:val="en-US" w:eastAsia="zh-CN"/>
              </w:rPr>
              <w:t>mm</w:t>
            </w:r>
            <w:r>
              <w:rPr>
                <w:rFonts w:hint="eastAsia" w:ascii="宋体" w:hAnsi="宋体" w:eastAsia="宋体" w:cs="宋体"/>
                <w:kern w:val="2"/>
                <w:sz w:val="21"/>
                <w:szCs w:val="21"/>
              </w:rPr>
              <w:t>。</w:t>
            </w:r>
          </w:p>
        </w:tc>
        <w:tc>
          <w:tcPr>
            <w:tcW w:w="1355"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b/>
                <w:kern w:val="2"/>
                <w:sz w:val="21"/>
                <w:szCs w:val="21"/>
                <w:lang w:val="en-US" w:eastAsia="zh-CN"/>
              </w:rPr>
            </w:pPr>
            <w:r>
              <w:rPr>
                <w:rFonts w:hint="eastAsia" w:ascii="宋体" w:hAnsi="宋体" w:eastAsia="宋体" w:cs="宋体"/>
                <w:b/>
                <w:kern w:val="2"/>
                <w:sz w:val="21"/>
                <w:szCs w:val="21"/>
                <w:lang w:val="en-US" w:eastAsia="zh-CN"/>
              </w:rPr>
              <w:t>4</w:t>
            </w:r>
          </w:p>
        </w:tc>
        <w:tc>
          <w:tcPr>
            <w:tcW w:w="9186" w:type="dxa"/>
            <w:gridSpan w:val="3"/>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r>
              <w:rPr>
                <w:rFonts w:hint="eastAsia" w:ascii="宋体" w:hAnsi="宋体" w:eastAsia="宋体" w:cs="宋体"/>
                <w:b/>
                <w:kern w:val="2"/>
                <w:sz w:val="21"/>
                <w:szCs w:val="21"/>
                <w:lang w:val="en-US" w:eastAsia="zh-CN"/>
              </w:rPr>
              <w:t>罐池防渗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r>
              <w:rPr>
                <w:rFonts w:hint="eastAsia" w:ascii="宋体" w:hAnsi="宋体" w:eastAsia="宋体" w:cs="宋体"/>
                <w:kern w:val="2"/>
                <w:sz w:val="21"/>
                <w:szCs w:val="21"/>
              </w:rPr>
              <w:t>加油站按照国家有关环境保护标准，政府有关环境保护法规、法令的要求，采取防止油品渗漏的措施。</w:t>
            </w:r>
          </w:p>
        </w:tc>
        <w:tc>
          <w:tcPr>
            <w:tcW w:w="3134"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r>
              <w:rPr>
                <w:rFonts w:hint="eastAsia" w:ascii="宋体" w:hAnsi="宋体" w:eastAsia="宋体" w:cs="宋体"/>
                <w:kern w:val="2"/>
                <w:sz w:val="21"/>
                <w:szCs w:val="21"/>
              </w:rPr>
              <w:t>①采用双层油罐，双层管道。</w:t>
            </w:r>
          </w:p>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r>
              <w:rPr>
                <w:rFonts w:hint="eastAsia" w:ascii="宋体" w:hAnsi="宋体" w:eastAsia="宋体" w:cs="宋体"/>
                <w:kern w:val="2"/>
                <w:sz w:val="21"/>
                <w:szCs w:val="21"/>
              </w:rPr>
              <w:t>②双层油罐渗漏监测采用在线监测系统。</w:t>
            </w:r>
          </w:p>
          <w:p>
            <w:pPr>
              <w:keepNext w:val="0"/>
              <w:keepLines w:val="0"/>
              <w:suppressLineNumbers w:val="0"/>
              <w:spacing w:before="0" w:beforeAutospacing="0" w:after="0" w:afterAutospacing="0"/>
              <w:ind w:left="0" w:right="0"/>
              <w:rPr>
                <w:rFonts w:hint="eastAsia" w:ascii="宋体" w:hAnsi="宋体" w:eastAsia="宋体" w:cs="宋体"/>
                <w:kern w:val="2"/>
                <w:sz w:val="21"/>
                <w:szCs w:val="21"/>
                <w:lang w:val="en-US"/>
              </w:rPr>
            </w:pPr>
            <w:r>
              <w:rPr>
                <w:rFonts w:hint="eastAsia" w:ascii="宋体" w:hAnsi="宋体" w:eastAsia="宋体" w:cs="宋体"/>
                <w:kern w:val="2"/>
                <w:sz w:val="21"/>
                <w:szCs w:val="21"/>
              </w:rPr>
              <w:t>③双层油罐内壁与外壁之间满足渗漏监测要求的贯通间隙。</w:t>
            </w:r>
          </w:p>
        </w:tc>
        <w:tc>
          <w:tcPr>
            <w:tcW w:w="1355"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b/>
                <w:kern w:val="2"/>
                <w:sz w:val="21"/>
                <w:szCs w:val="21"/>
                <w:lang w:val="en-US" w:eastAsia="zh-CN"/>
              </w:rPr>
            </w:pPr>
            <w:r>
              <w:rPr>
                <w:rFonts w:hint="eastAsia" w:ascii="宋体" w:hAnsi="宋体" w:eastAsia="宋体" w:cs="宋体"/>
                <w:b/>
                <w:kern w:val="2"/>
                <w:sz w:val="21"/>
                <w:szCs w:val="21"/>
                <w:lang w:val="en-US" w:eastAsia="zh-CN"/>
              </w:rPr>
              <w:t>5</w:t>
            </w:r>
          </w:p>
        </w:tc>
        <w:tc>
          <w:tcPr>
            <w:tcW w:w="9186" w:type="dxa"/>
            <w:gridSpan w:val="3"/>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lang w:val="en-US"/>
              </w:rPr>
            </w:pPr>
            <w:r>
              <w:rPr>
                <w:rFonts w:hint="eastAsia" w:ascii="宋体" w:hAnsi="宋体" w:eastAsia="宋体" w:cs="宋体"/>
                <w:b/>
                <w:kern w:val="2"/>
                <w:sz w:val="21"/>
                <w:szCs w:val="21"/>
                <w:lang w:val="en-US" w:eastAsia="zh-CN"/>
              </w:rPr>
              <w:t>加油机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restart"/>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r>
              <w:rPr>
                <w:rFonts w:hint="eastAsia" w:ascii="宋体" w:hAnsi="宋体" w:eastAsia="宋体" w:cs="宋体"/>
                <w:kern w:val="2"/>
                <w:sz w:val="21"/>
                <w:szCs w:val="21"/>
              </w:rPr>
              <w:t>加油机不得设在室内。</w:t>
            </w:r>
          </w:p>
        </w:tc>
        <w:tc>
          <w:tcPr>
            <w:tcW w:w="3134"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lang w:eastAsia="zh-CN"/>
              </w:rPr>
            </w:pPr>
            <w:r>
              <w:rPr>
                <w:rFonts w:hint="eastAsia" w:ascii="宋体" w:hAnsi="宋体" w:eastAsia="宋体" w:cs="宋体"/>
                <w:kern w:val="2"/>
                <w:sz w:val="21"/>
                <w:szCs w:val="21"/>
                <w:lang w:eastAsia="zh-CN"/>
              </w:rPr>
              <w:t>加油机未设置在室内。</w:t>
            </w:r>
          </w:p>
        </w:tc>
        <w:tc>
          <w:tcPr>
            <w:tcW w:w="1355"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lang w:eastAsia="zh-CN"/>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continue"/>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r>
              <w:rPr>
                <w:rFonts w:hint="eastAsia" w:ascii="宋体" w:hAnsi="宋体" w:eastAsia="宋体" w:cs="宋体"/>
                <w:kern w:val="2"/>
                <w:sz w:val="21"/>
                <w:szCs w:val="21"/>
              </w:rPr>
              <w:t>加油枪应采用自封式加油枪，汽油加油枪的流量不应大于50L/min。加油软管上宜设安全拉断阀。</w:t>
            </w:r>
          </w:p>
        </w:tc>
        <w:tc>
          <w:tcPr>
            <w:tcW w:w="3134"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lang w:eastAsia="zh-CN"/>
              </w:rPr>
            </w:pPr>
            <w:r>
              <w:rPr>
                <w:rFonts w:hint="eastAsia" w:ascii="宋体" w:hAnsi="宋体" w:eastAsia="宋体" w:cs="宋体"/>
                <w:kern w:val="2"/>
                <w:sz w:val="21"/>
                <w:szCs w:val="21"/>
                <w:lang w:eastAsia="zh-CN"/>
              </w:rPr>
              <w:t>采用税控燃油加油机，设有安全拉断阀。</w:t>
            </w:r>
          </w:p>
        </w:tc>
        <w:tc>
          <w:tcPr>
            <w:tcW w:w="1355"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lang w:eastAsia="zh-CN"/>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r>
              <w:rPr>
                <w:rFonts w:hint="eastAsia" w:ascii="宋体" w:hAnsi="宋体" w:eastAsia="宋体" w:cs="宋体"/>
                <w:kern w:val="2"/>
                <w:sz w:val="21"/>
                <w:szCs w:val="21"/>
              </w:rPr>
              <w:t>位于加油岛端部的加油机附近应设防撞柱(栏)，其高度不应小于0.5m。</w:t>
            </w:r>
          </w:p>
        </w:tc>
        <w:tc>
          <w:tcPr>
            <w:tcW w:w="3134"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r>
              <w:rPr>
                <w:rFonts w:hint="eastAsia" w:ascii="宋体" w:hAnsi="宋体" w:eastAsia="宋体" w:cs="宋体"/>
                <w:kern w:val="2"/>
                <w:sz w:val="21"/>
                <w:szCs w:val="21"/>
                <w:lang w:val="en-US" w:eastAsia="zh-CN"/>
              </w:rPr>
              <w:t>油机附近设有防</w:t>
            </w:r>
            <w:r>
              <w:rPr>
                <w:rFonts w:hint="eastAsia" w:ascii="宋体" w:hAnsi="宋体" w:eastAsia="宋体" w:cs="宋体"/>
                <w:kern w:val="2"/>
                <w:sz w:val="21"/>
                <w:szCs w:val="21"/>
              </w:rPr>
              <w:t>撞栏，其高度不</w:t>
            </w:r>
            <w:r>
              <w:rPr>
                <w:rFonts w:hint="eastAsia" w:ascii="宋体" w:hAnsi="宋体" w:eastAsia="宋体" w:cs="宋体"/>
                <w:kern w:val="2"/>
                <w:sz w:val="21"/>
                <w:szCs w:val="21"/>
                <w:lang w:eastAsia="zh-CN"/>
              </w:rPr>
              <w:t>大于</w:t>
            </w:r>
            <w:r>
              <w:rPr>
                <w:rFonts w:hint="eastAsia" w:ascii="宋体" w:hAnsi="宋体" w:eastAsia="宋体" w:cs="宋体"/>
                <w:kern w:val="2"/>
                <w:sz w:val="21"/>
                <w:szCs w:val="21"/>
              </w:rPr>
              <w:t>0.5m。</w:t>
            </w:r>
          </w:p>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p>
        </w:tc>
        <w:tc>
          <w:tcPr>
            <w:tcW w:w="1355"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b/>
                <w:kern w:val="2"/>
                <w:sz w:val="21"/>
                <w:szCs w:val="21"/>
                <w:lang w:val="en-US" w:eastAsia="zh-CN"/>
              </w:rPr>
            </w:pPr>
            <w:r>
              <w:rPr>
                <w:rFonts w:hint="eastAsia" w:ascii="宋体" w:hAnsi="宋体" w:eastAsia="宋体" w:cs="宋体"/>
                <w:b/>
                <w:kern w:val="2"/>
                <w:sz w:val="21"/>
                <w:szCs w:val="21"/>
                <w:lang w:val="en-US" w:eastAsia="zh-CN"/>
              </w:rPr>
              <w:t>6</w:t>
            </w:r>
          </w:p>
        </w:tc>
        <w:tc>
          <w:tcPr>
            <w:tcW w:w="9186" w:type="dxa"/>
            <w:gridSpan w:val="3"/>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r>
              <w:rPr>
                <w:rFonts w:hint="eastAsia" w:ascii="宋体" w:hAnsi="宋体" w:eastAsia="宋体" w:cs="宋体"/>
                <w:b/>
                <w:kern w:val="2"/>
                <w:sz w:val="21"/>
                <w:szCs w:val="21"/>
                <w:lang w:val="en-US" w:eastAsia="zh-CN"/>
              </w:rPr>
              <w:t>管道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restart"/>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每个油罐应各自设置卸油管道和卸油接口。各卸油接口及油气回收接口，应有明显的标识。</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每个油罐</w:t>
            </w:r>
            <w:r>
              <w:rPr>
                <w:rFonts w:hint="eastAsia" w:ascii="宋体" w:hAnsi="宋体" w:eastAsia="宋体" w:cs="宋体"/>
                <w:color w:val="auto"/>
                <w:kern w:val="2"/>
                <w:sz w:val="21"/>
                <w:szCs w:val="21"/>
                <w:highlight w:val="none"/>
                <w:lang w:eastAsia="zh-CN"/>
              </w:rPr>
              <w:t>有</w:t>
            </w:r>
            <w:r>
              <w:rPr>
                <w:rFonts w:hint="eastAsia" w:ascii="宋体" w:hAnsi="宋体" w:eastAsia="宋体" w:cs="宋体"/>
                <w:color w:val="auto"/>
                <w:kern w:val="2"/>
                <w:sz w:val="21"/>
                <w:szCs w:val="21"/>
                <w:highlight w:val="none"/>
              </w:rPr>
              <w:t>设置卸油管道和卸油接口。各卸油接口及油气回收接口，有明显的标识。</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卸油接口应装设快速接头及密封盖。</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卸油接口</w:t>
            </w:r>
            <w:r>
              <w:rPr>
                <w:rFonts w:hint="eastAsia" w:ascii="宋体" w:hAnsi="宋体" w:eastAsia="宋体" w:cs="宋体"/>
                <w:color w:val="auto"/>
                <w:kern w:val="2"/>
                <w:sz w:val="21"/>
                <w:szCs w:val="21"/>
                <w:highlight w:val="none"/>
                <w:lang w:eastAsia="zh-CN"/>
              </w:rPr>
              <w:t>已</w:t>
            </w:r>
            <w:r>
              <w:rPr>
                <w:rFonts w:hint="eastAsia" w:ascii="宋体" w:hAnsi="宋体" w:eastAsia="宋体" w:cs="宋体"/>
                <w:color w:val="auto"/>
                <w:kern w:val="2"/>
                <w:sz w:val="21"/>
                <w:szCs w:val="21"/>
                <w:highlight w:val="none"/>
              </w:rPr>
              <w:t>装设快速接头及密封盖。</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油罐车向站内油罐卸油应采用平衡式密闭油气回收系统；各汽油罐可共用一根卸油油气回收主管，回收主管的公称直径不宜小于80mm；卸油油气回收管道的接口宜采用自闭式快速接头。采用非自闭式快速接头时，应在靠近快速接头的连接管道上装设阀门。</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eastAsia="zh-CN"/>
              </w:rPr>
              <w:t>根据安全设施施工情况报告</w:t>
            </w:r>
            <w:r>
              <w:rPr>
                <w:rFonts w:hint="eastAsia" w:ascii="宋体" w:hAnsi="宋体" w:eastAsia="宋体" w:cs="宋体"/>
                <w:color w:val="auto"/>
                <w:kern w:val="2"/>
                <w:sz w:val="21"/>
                <w:szCs w:val="21"/>
                <w:highlight w:val="none"/>
              </w:rPr>
              <w:t>油罐车向站内油罐卸油采用平衡式密闭油气回收系统；各汽油罐共用一根卸油油气回收主管，回收主管的公称直径不小于80mm；卸油油气回收管道的接口采用自闭式快速接头。</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lang w:eastAsia="zh-CN"/>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汽油加油机与油罐之间应设油气回收管道，多台汽油加油机可共用1根油气回收主管，油气回收主管的公称直径不应小于50mm。</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汽油加油机与油罐之间设油气回收管道，共用1根油气回收主管，油气回收主管的公称直径不小于50mm。</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在加油机底部与油气回收立管的连接处,应安装一个用于检测液阻和系统密闭性的丝接三通，其旁通短管上应设公称直径为25mm的球阀及丝堵。</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lang w:eastAsia="zh-CN"/>
              </w:rPr>
            </w:pPr>
            <w:r>
              <w:rPr>
                <w:rFonts w:hint="eastAsia" w:ascii="宋体" w:hAnsi="宋体" w:eastAsia="宋体" w:cs="宋体"/>
                <w:color w:val="auto"/>
                <w:kern w:val="2"/>
                <w:sz w:val="21"/>
                <w:szCs w:val="21"/>
                <w:highlight w:val="none"/>
                <w:lang w:eastAsia="zh-CN"/>
              </w:rPr>
              <w:t>已设置</w:t>
            </w:r>
            <w:r>
              <w:rPr>
                <w:rFonts w:hint="eastAsia" w:ascii="宋体" w:hAnsi="宋体" w:eastAsia="宋体" w:cs="宋体"/>
                <w:color w:val="auto"/>
                <w:kern w:val="2"/>
                <w:sz w:val="21"/>
                <w:szCs w:val="21"/>
                <w:highlight w:val="none"/>
              </w:rPr>
              <w:t>检测液阻和系统密闭性的丝接三通，其旁通短管上</w:t>
            </w:r>
            <w:r>
              <w:rPr>
                <w:rFonts w:hint="eastAsia" w:ascii="宋体" w:hAnsi="宋体" w:eastAsia="宋体" w:cs="宋体"/>
                <w:color w:val="auto"/>
                <w:kern w:val="2"/>
                <w:sz w:val="21"/>
                <w:szCs w:val="21"/>
                <w:highlight w:val="none"/>
                <w:lang w:eastAsia="zh-CN"/>
              </w:rPr>
              <w:t>已</w:t>
            </w:r>
            <w:r>
              <w:rPr>
                <w:rFonts w:hint="eastAsia" w:ascii="宋体" w:hAnsi="宋体" w:eastAsia="宋体" w:cs="宋体"/>
                <w:color w:val="auto"/>
                <w:kern w:val="2"/>
                <w:sz w:val="21"/>
                <w:szCs w:val="21"/>
                <w:highlight w:val="none"/>
              </w:rPr>
              <w:t>设公称直径为25mm的球阀及丝堵</w:t>
            </w:r>
            <w:r>
              <w:rPr>
                <w:rFonts w:hint="eastAsia" w:ascii="宋体" w:hAnsi="宋体" w:eastAsia="宋体" w:cs="宋体"/>
                <w:color w:val="auto"/>
                <w:kern w:val="2"/>
                <w:sz w:val="21"/>
                <w:szCs w:val="21"/>
                <w:highlight w:val="none"/>
                <w:lang w:eastAsia="zh-CN"/>
              </w:rPr>
              <w:t>。</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lang w:eastAsia="zh-CN"/>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油罐接合管应为金属材质。接合管应设在油罐的顶部，其中进油接合管、出油接合管或潜油泵安装口，应设在人孔盖上。进油管应伸至罐内距罐底50mm～100mm 处。进油立管的底端应为45°斜管口或T形管口。进油管管壁上不得有与油罐气相空间相通的开口。罐内潜油泵的入油口或通往自吸式加油机管道的罐内底阀，应高于罐底150mm～200mm。油罐的量油孔应设带锁的量油帽。量油孔下部的接合管宜向下伸至罐内距罐底200mm处，并应有检尺时使接合管内液位与罐内液位相一致的技术措施。油罐人孔井内的管道及设备，应保证油罐人孔盖的可拆装性。人孔盖上的接合管与引出井外管道的连接，宜采用金属软管过渡连接。</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rPr>
              <w:t>①</w:t>
            </w:r>
            <w:r>
              <w:rPr>
                <w:rFonts w:hint="eastAsia" w:ascii="宋体" w:hAnsi="宋体" w:eastAsia="宋体" w:cs="宋体"/>
                <w:color w:val="auto"/>
                <w:kern w:val="2"/>
                <w:sz w:val="21"/>
                <w:szCs w:val="21"/>
                <w:highlight w:val="none"/>
              </w:rPr>
              <w:t>本项目油罐接合管为金属材质。</w:t>
            </w:r>
            <w:r>
              <w:rPr>
                <w:rFonts w:hint="eastAsia" w:ascii="宋体" w:hAnsi="宋体" w:eastAsia="宋体" w:cs="宋体"/>
                <w:color w:val="auto"/>
                <w:kern w:val="2"/>
                <w:sz w:val="21"/>
                <w:szCs w:val="21"/>
                <w:highlight w:val="none"/>
              </w:rPr>
              <w:br w:type="textWrapping"/>
            </w:r>
            <w:r>
              <w:rPr>
                <w:rFonts w:hint="eastAsia" w:ascii="宋体" w:hAnsi="宋体" w:eastAsia="宋体" w:cs="宋体"/>
                <w:color w:val="auto"/>
                <w:kern w:val="2"/>
                <w:sz w:val="21"/>
                <w:szCs w:val="21"/>
                <w:highlight w:val="none"/>
                <w:lang w:val="en-US"/>
              </w:rPr>
              <w:t>②</w:t>
            </w:r>
            <w:r>
              <w:rPr>
                <w:rFonts w:hint="eastAsia" w:ascii="宋体" w:hAnsi="宋体" w:eastAsia="宋体" w:cs="宋体"/>
                <w:color w:val="auto"/>
                <w:kern w:val="2"/>
                <w:sz w:val="21"/>
                <w:szCs w:val="21"/>
                <w:highlight w:val="none"/>
              </w:rPr>
              <w:t>相关接合管集中设置在人孔盖和操作井内。</w:t>
            </w:r>
            <w:r>
              <w:rPr>
                <w:rFonts w:hint="eastAsia" w:ascii="宋体" w:hAnsi="宋体" w:eastAsia="宋体" w:cs="宋体"/>
                <w:color w:val="auto"/>
                <w:kern w:val="2"/>
                <w:sz w:val="21"/>
                <w:szCs w:val="21"/>
                <w:highlight w:val="none"/>
              </w:rPr>
              <w:br w:type="textWrapping"/>
            </w:r>
            <w:r>
              <w:rPr>
                <w:rFonts w:hint="eastAsia" w:ascii="宋体" w:hAnsi="宋体" w:eastAsia="宋体" w:cs="宋体"/>
                <w:color w:val="auto"/>
                <w:kern w:val="2"/>
                <w:sz w:val="21"/>
                <w:szCs w:val="21"/>
                <w:highlight w:val="none"/>
                <w:lang w:val="en-US"/>
              </w:rPr>
              <w:t>③</w:t>
            </w:r>
            <w:r>
              <w:rPr>
                <w:rFonts w:hint="eastAsia" w:ascii="宋体" w:hAnsi="宋体" w:eastAsia="宋体" w:cs="宋体"/>
                <w:color w:val="auto"/>
                <w:kern w:val="2"/>
                <w:sz w:val="21"/>
                <w:szCs w:val="21"/>
                <w:highlight w:val="none"/>
              </w:rPr>
              <w:t>进油管伸至罐内距罐底100mm处。进油立管的底端为45°T形管口。进油管管壁上无与油罐气相空间相通的开口。</w:t>
            </w:r>
            <w:r>
              <w:rPr>
                <w:rFonts w:hint="eastAsia" w:ascii="宋体" w:hAnsi="宋体" w:eastAsia="宋体" w:cs="宋体"/>
                <w:color w:val="auto"/>
                <w:kern w:val="2"/>
                <w:sz w:val="21"/>
                <w:szCs w:val="21"/>
                <w:highlight w:val="none"/>
              </w:rPr>
              <w:br w:type="textWrapping"/>
            </w:r>
            <w:r>
              <w:rPr>
                <w:rFonts w:hint="eastAsia" w:ascii="宋体" w:hAnsi="宋体" w:eastAsia="宋体" w:cs="宋体"/>
                <w:color w:val="auto"/>
                <w:kern w:val="2"/>
                <w:sz w:val="21"/>
                <w:szCs w:val="21"/>
                <w:highlight w:val="none"/>
                <w:lang w:val="en-US"/>
              </w:rPr>
              <w:t>④</w:t>
            </w:r>
            <w:r>
              <w:rPr>
                <w:rFonts w:hint="eastAsia" w:ascii="宋体" w:hAnsi="宋体" w:eastAsia="宋体" w:cs="宋体"/>
                <w:color w:val="auto"/>
                <w:kern w:val="2"/>
                <w:sz w:val="21"/>
                <w:szCs w:val="21"/>
                <w:highlight w:val="none"/>
              </w:rPr>
              <w:t>罐内潜油泵的入油口或通往自吸式加油机管道的罐内底阀，高于罐底200mm。</w:t>
            </w:r>
            <w:r>
              <w:rPr>
                <w:rFonts w:hint="eastAsia" w:ascii="宋体" w:hAnsi="宋体" w:eastAsia="宋体" w:cs="宋体"/>
                <w:color w:val="auto"/>
                <w:kern w:val="2"/>
                <w:sz w:val="21"/>
                <w:szCs w:val="21"/>
                <w:highlight w:val="none"/>
              </w:rPr>
              <w:br w:type="textWrapping"/>
            </w:r>
            <w:r>
              <w:rPr>
                <w:rFonts w:hint="eastAsia" w:ascii="宋体" w:hAnsi="宋体" w:eastAsia="宋体" w:cs="宋体"/>
                <w:color w:val="auto"/>
                <w:kern w:val="2"/>
                <w:sz w:val="21"/>
                <w:szCs w:val="21"/>
                <w:highlight w:val="none"/>
                <w:lang w:val="en-US"/>
              </w:rPr>
              <w:t>⑤</w:t>
            </w:r>
            <w:r>
              <w:rPr>
                <w:rFonts w:hint="eastAsia" w:ascii="宋体" w:hAnsi="宋体" w:eastAsia="宋体" w:cs="宋体"/>
                <w:color w:val="auto"/>
                <w:kern w:val="2"/>
                <w:sz w:val="21"/>
                <w:szCs w:val="21"/>
                <w:highlight w:val="none"/>
              </w:rPr>
              <w:t>油罐的量油孔设有带锁的量油帽。量油孔下部的接合管向下伸至罐内距罐底200mm，并有检测时使接合管内液位与罐内液位相一致的技术措施。</w:t>
            </w:r>
            <w:r>
              <w:rPr>
                <w:rFonts w:hint="eastAsia" w:ascii="宋体" w:hAnsi="宋体" w:eastAsia="宋体" w:cs="宋体"/>
                <w:color w:val="auto"/>
                <w:kern w:val="2"/>
                <w:sz w:val="21"/>
                <w:szCs w:val="21"/>
                <w:highlight w:val="none"/>
              </w:rPr>
              <w:br w:type="textWrapping"/>
            </w:r>
            <w:r>
              <w:rPr>
                <w:rFonts w:hint="eastAsia" w:ascii="宋体" w:hAnsi="宋体" w:eastAsia="宋体" w:cs="宋体"/>
                <w:color w:val="auto"/>
                <w:kern w:val="2"/>
                <w:sz w:val="21"/>
                <w:szCs w:val="21"/>
                <w:highlight w:val="none"/>
                <w:lang w:val="en-US"/>
              </w:rPr>
              <w:t>⑥</w:t>
            </w:r>
            <w:r>
              <w:rPr>
                <w:rFonts w:hint="eastAsia" w:ascii="宋体" w:hAnsi="宋体" w:eastAsia="宋体" w:cs="宋体"/>
                <w:color w:val="auto"/>
                <w:kern w:val="2"/>
                <w:sz w:val="21"/>
                <w:szCs w:val="21"/>
                <w:highlight w:val="none"/>
              </w:rPr>
              <w:t>人孔盖可拆卸。</w:t>
            </w:r>
            <w:r>
              <w:rPr>
                <w:rFonts w:hint="eastAsia" w:ascii="宋体" w:hAnsi="宋体" w:eastAsia="宋体" w:cs="宋体"/>
                <w:color w:val="auto"/>
                <w:kern w:val="2"/>
                <w:sz w:val="21"/>
                <w:szCs w:val="21"/>
                <w:highlight w:val="none"/>
              </w:rPr>
              <w:br w:type="textWrapping"/>
            </w:r>
            <w:r>
              <w:rPr>
                <w:rFonts w:hint="eastAsia" w:ascii="宋体" w:hAnsi="宋体" w:eastAsia="宋体" w:cs="宋体"/>
                <w:color w:val="auto"/>
                <w:kern w:val="2"/>
                <w:sz w:val="21"/>
                <w:szCs w:val="21"/>
                <w:highlight w:val="none"/>
                <w:lang w:val="en-US"/>
              </w:rPr>
              <w:t>⑦</w:t>
            </w:r>
            <w:r>
              <w:rPr>
                <w:rFonts w:hint="eastAsia" w:ascii="宋体" w:hAnsi="宋体" w:eastAsia="宋体" w:cs="宋体"/>
                <w:color w:val="auto"/>
                <w:kern w:val="2"/>
                <w:sz w:val="21"/>
                <w:szCs w:val="21"/>
                <w:highlight w:val="none"/>
              </w:rPr>
              <w:t>接合管与输油、卸油管线连接采用金属软管连接。</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lang w:val="en-US"/>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油罐与柴油罐的通气管应分开设置。通气管管口高出地面的高度不应小于4m。沿建（构）筑物的墙（柱）向上敷设的通气管，其管口应高出建筑物的顶面1.5m及以上。通气管管口应设置阻火器。通气管的公称直径不应小于50mm。当加油站采用油气回收系统时，汽油罐的通气管管口除应装设阻火器外，尚应装设呼吸阀。呼吸阀的工作正压宜为2kPa～3kPa，工作负压宜为1.5kPa～2kPa。</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rPr>
              <w:t>汽油罐与柴油罐的通气管分开设置。管口高出</w:t>
            </w:r>
            <w:r>
              <w:rPr>
                <w:rFonts w:hint="eastAsia" w:ascii="宋体" w:hAnsi="宋体" w:eastAsia="宋体" w:cs="宋体"/>
                <w:color w:val="auto"/>
                <w:kern w:val="2"/>
                <w:sz w:val="21"/>
                <w:szCs w:val="21"/>
                <w:highlight w:val="none"/>
                <w:lang w:val="en-US" w:eastAsia="zh-CN"/>
              </w:rPr>
              <w:t>地面4m</w:t>
            </w:r>
            <w:r>
              <w:rPr>
                <w:rFonts w:hint="eastAsia" w:ascii="宋体" w:hAnsi="宋体" w:eastAsia="宋体" w:cs="宋体"/>
                <w:color w:val="auto"/>
                <w:kern w:val="2"/>
                <w:sz w:val="21"/>
                <w:szCs w:val="21"/>
                <w:highlight w:val="none"/>
                <w:lang w:val="en-US"/>
              </w:rPr>
              <w:t>。通气管的公称直径为50mm。</w:t>
            </w:r>
            <w:r>
              <w:rPr>
                <w:rFonts w:hint="eastAsia" w:ascii="宋体" w:hAnsi="宋体" w:eastAsia="宋体" w:cs="宋体"/>
                <w:color w:val="auto"/>
                <w:kern w:val="2"/>
                <w:sz w:val="21"/>
                <w:szCs w:val="21"/>
                <w:highlight w:val="none"/>
              </w:rPr>
              <w:t>通气管管口设置阻火器</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rPr>
              <w:t>汽油罐的通气管管口装设有阻火器和呼吸阀。呼吸阀的工作正压为2kPa～3kPa，工作负压为1.5kPa～2kPa。</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lang w:val="en-US"/>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油罐通气管道和露出地面的管道，应采用符合现行国家标准《输送流体用无缝钢管》GB/T 8163的无缝钢管。其他管道应采用输送流体用无缝钢管或适于输送油品的热塑性塑料管道。所采用的热塑性塑料管道应有质量证明文件。</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油罐通气管道和露出地面的管道，采用符合现行国家标准《输送流体用无缝钢管》GB/T 8163的无缝钢管。其他管道采用热塑性塑料管道。所采用的热塑性塑料管道有质量</w:t>
            </w:r>
            <w:r>
              <w:rPr>
                <w:rFonts w:hint="eastAsia" w:ascii="宋体" w:hAnsi="宋体" w:eastAsia="宋体" w:cs="宋体"/>
                <w:color w:val="auto"/>
                <w:kern w:val="2"/>
                <w:sz w:val="21"/>
                <w:szCs w:val="21"/>
                <w:highlight w:val="none"/>
                <w:lang w:eastAsia="zh-CN"/>
              </w:rPr>
              <w:t>合格证</w:t>
            </w:r>
            <w:r>
              <w:rPr>
                <w:rFonts w:hint="eastAsia" w:ascii="宋体" w:hAnsi="宋体" w:eastAsia="宋体" w:cs="宋体"/>
                <w:color w:val="auto"/>
                <w:kern w:val="2"/>
                <w:sz w:val="21"/>
                <w:szCs w:val="21"/>
                <w:highlight w:val="none"/>
              </w:rPr>
              <w:t>。</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无缝钢管的公称壁厚不应小于4mm，埋地钢管的连接应采用焊接。热塑性塑料管道的主体结构层应为无孔隙聚乙烯材料，壁厚不应小于4mm。埋地部分的热塑性塑料管道应采用配套的专用连接管件电熔连接。导静电热塑性塑料管道导静电衬层的体电阻率应小于10</w:t>
            </w:r>
            <w:r>
              <w:rPr>
                <w:rFonts w:hint="eastAsia" w:ascii="宋体" w:hAnsi="宋体" w:eastAsia="宋体" w:cs="宋体"/>
                <w:color w:val="auto"/>
                <w:kern w:val="2"/>
                <w:sz w:val="21"/>
                <w:szCs w:val="21"/>
                <w:highlight w:val="none"/>
                <w:vertAlign w:val="superscript"/>
              </w:rPr>
              <w:t>8</w:t>
            </w:r>
            <w:r>
              <w:rPr>
                <w:rFonts w:hint="eastAsia" w:ascii="宋体" w:hAnsi="宋体" w:eastAsia="宋体" w:cs="宋体"/>
                <w:color w:val="auto"/>
                <w:kern w:val="2"/>
                <w:sz w:val="21"/>
                <w:szCs w:val="21"/>
                <w:highlight w:val="none"/>
              </w:rPr>
              <w:t>Ω·m，表面电阻率应小于10</w:t>
            </w:r>
            <w:r>
              <w:rPr>
                <w:rFonts w:hint="eastAsia" w:ascii="宋体" w:hAnsi="宋体" w:eastAsia="宋体" w:cs="宋体"/>
                <w:color w:val="auto"/>
                <w:kern w:val="2"/>
                <w:sz w:val="21"/>
                <w:szCs w:val="21"/>
                <w:highlight w:val="none"/>
                <w:vertAlign w:val="superscript"/>
              </w:rPr>
              <w:t>10</w:t>
            </w:r>
            <w:r>
              <w:rPr>
                <w:rFonts w:hint="eastAsia" w:ascii="宋体" w:hAnsi="宋体" w:eastAsia="宋体" w:cs="宋体"/>
                <w:color w:val="auto"/>
                <w:kern w:val="2"/>
                <w:sz w:val="21"/>
                <w:szCs w:val="21"/>
                <w:highlight w:val="none"/>
              </w:rPr>
              <w:t>Ω。</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无缝钢管的公称壁厚4mm，埋地钢管的连接采用焊接。热塑性塑料管道的主体结构层为无孔隙聚乙烯材料，壁厚4mm。埋地部分的热塑性塑料管道应采用配套的专用连接管件电熔连接。导静电热塑性塑料管道导静电衬层的体电阻率小于10</w:t>
            </w:r>
            <w:r>
              <w:rPr>
                <w:rFonts w:hint="eastAsia" w:ascii="宋体" w:hAnsi="宋体" w:eastAsia="宋体" w:cs="宋体"/>
                <w:color w:val="auto"/>
                <w:kern w:val="2"/>
                <w:sz w:val="21"/>
                <w:szCs w:val="21"/>
                <w:highlight w:val="none"/>
                <w:vertAlign w:val="superscript"/>
              </w:rPr>
              <w:t>8</w:t>
            </w:r>
            <w:r>
              <w:rPr>
                <w:rFonts w:hint="eastAsia" w:ascii="宋体" w:hAnsi="宋体" w:eastAsia="宋体" w:cs="宋体"/>
                <w:color w:val="auto"/>
                <w:kern w:val="2"/>
                <w:sz w:val="21"/>
                <w:szCs w:val="21"/>
                <w:highlight w:val="none"/>
              </w:rPr>
              <w:t>Ω·m，表面电阻率应小于10</w:t>
            </w:r>
            <w:r>
              <w:rPr>
                <w:rFonts w:hint="eastAsia" w:ascii="宋体" w:hAnsi="宋体" w:eastAsia="宋体" w:cs="宋体"/>
                <w:color w:val="auto"/>
                <w:kern w:val="2"/>
                <w:sz w:val="21"/>
                <w:szCs w:val="21"/>
                <w:highlight w:val="none"/>
                <w:vertAlign w:val="superscript"/>
              </w:rPr>
              <w:t>10</w:t>
            </w:r>
            <w:r>
              <w:rPr>
                <w:rFonts w:hint="eastAsia" w:ascii="宋体" w:hAnsi="宋体" w:eastAsia="宋体" w:cs="宋体"/>
                <w:color w:val="auto"/>
                <w:kern w:val="2"/>
                <w:sz w:val="21"/>
                <w:szCs w:val="21"/>
                <w:highlight w:val="none"/>
              </w:rPr>
              <w:t>Ω。</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加油站内的工艺管道除必须露出地面的以外，均应埋地敷设。当采用管沟敷设时，管沟必须用中性沙子或细土填满、填实。</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eastAsia="zh-CN"/>
              </w:rPr>
              <w:t>根据安全设施施工情况报告</w:t>
            </w:r>
            <w:r>
              <w:rPr>
                <w:rFonts w:hint="eastAsia" w:ascii="宋体" w:hAnsi="宋体" w:eastAsia="宋体" w:cs="宋体"/>
                <w:color w:val="auto"/>
                <w:kern w:val="2"/>
                <w:sz w:val="21"/>
                <w:szCs w:val="21"/>
                <w:highlight w:val="none"/>
              </w:rPr>
              <w:t>加油站内的工艺管道除必须露出地面的以外，均埋地敷设。敷设时，管沟用中性沙子</w:t>
            </w:r>
            <w:r>
              <w:rPr>
                <w:rFonts w:hint="eastAsia" w:ascii="宋体" w:hAnsi="宋体" w:eastAsia="宋体" w:cs="宋体"/>
                <w:color w:val="auto"/>
                <w:kern w:val="2"/>
                <w:sz w:val="21"/>
                <w:szCs w:val="21"/>
                <w:highlight w:val="none"/>
                <w:lang w:eastAsia="zh-CN"/>
              </w:rPr>
              <w:t>和</w:t>
            </w:r>
            <w:r>
              <w:rPr>
                <w:rFonts w:hint="eastAsia" w:ascii="宋体" w:hAnsi="宋体" w:eastAsia="宋体" w:cs="宋体"/>
                <w:color w:val="auto"/>
                <w:kern w:val="2"/>
                <w:sz w:val="21"/>
                <w:szCs w:val="21"/>
                <w:highlight w:val="none"/>
              </w:rPr>
              <w:t>细土填满、填实。</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lang w:eastAsia="zh-CN"/>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油罐车卸油时用的卸油连通软管、油气回收连通软管，应采用导静电耐油软管，其体电阻率应小于10</w:t>
            </w:r>
            <w:r>
              <w:rPr>
                <w:rFonts w:hint="eastAsia" w:ascii="宋体" w:hAnsi="宋体" w:eastAsia="宋体" w:cs="宋体"/>
                <w:color w:val="auto"/>
                <w:kern w:val="2"/>
                <w:sz w:val="21"/>
                <w:szCs w:val="21"/>
                <w:highlight w:val="none"/>
                <w:vertAlign w:val="superscript"/>
              </w:rPr>
              <w:t>8</w:t>
            </w:r>
            <w:r>
              <w:rPr>
                <w:rFonts w:hint="eastAsia" w:ascii="宋体" w:hAnsi="宋体" w:eastAsia="宋体" w:cs="宋体"/>
                <w:color w:val="auto"/>
                <w:kern w:val="2"/>
                <w:sz w:val="21"/>
                <w:szCs w:val="21"/>
                <w:highlight w:val="none"/>
              </w:rPr>
              <w:t>Ω·m，表面电阻率应小于10</w:t>
            </w:r>
            <w:r>
              <w:rPr>
                <w:rFonts w:hint="eastAsia" w:ascii="宋体" w:hAnsi="宋体" w:eastAsia="宋体" w:cs="宋体"/>
                <w:color w:val="auto"/>
                <w:kern w:val="2"/>
                <w:sz w:val="21"/>
                <w:szCs w:val="21"/>
                <w:highlight w:val="none"/>
                <w:vertAlign w:val="superscript"/>
              </w:rPr>
              <w:t>10</w:t>
            </w:r>
            <w:r>
              <w:rPr>
                <w:rFonts w:hint="eastAsia" w:ascii="宋体" w:hAnsi="宋体" w:eastAsia="宋体" w:cs="宋体"/>
                <w:color w:val="auto"/>
                <w:kern w:val="2"/>
                <w:sz w:val="21"/>
                <w:szCs w:val="21"/>
                <w:highlight w:val="none"/>
              </w:rPr>
              <w:t>Ω，或采用内附金属丝（网）的橡胶软管。</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rPr>
              <w:t>油罐车卸油时用的卸油连通软管、油气回收连通软管为导静电耐油软管，其体电阻率和表面电阻率均满足要求。</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lang w:val="en-US"/>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卸油管道、卸油油气回收管道、加油油气回收管道和油罐通气管横管，应坡向埋地油罐。卸油管道的坡度不应小于2‰，卸油油气回收管道、加油油气回收管道和油罐通气管横管的坡度，不应小于1%。</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根据</w:t>
            </w:r>
            <w:r>
              <w:rPr>
                <w:rFonts w:hint="eastAsia" w:ascii="宋体" w:hAnsi="宋体" w:eastAsia="宋体" w:cs="宋体"/>
                <w:color w:val="auto"/>
                <w:kern w:val="2"/>
                <w:sz w:val="21"/>
                <w:szCs w:val="21"/>
                <w:highlight w:val="none"/>
                <w:lang w:eastAsia="zh-CN"/>
              </w:rPr>
              <w:t>安全设施施工</w:t>
            </w:r>
            <w:r>
              <w:rPr>
                <w:rFonts w:hint="eastAsia" w:ascii="宋体" w:hAnsi="宋体" w:eastAsia="宋体" w:cs="宋体"/>
                <w:color w:val="auto"/>
                <w:kern w:val="2"/>
                <w:sz w:val="21"/>
                <w:szCs w:val="21"/>
                <w:highlight w:val="none"/>
              </w:rPr>
              <w:t>情况</w:t>
            </w:r>
            <w:r>
              <w:rPr>
                <w:rFonts w:hint="eastAsia" w:ascii="宋体" w:hAnsi="宋体" w:eastAsia="宋体" w:cs="宋体"/>
                <w:color w:val="auto"/>
                <w:kern w:val="2"/>
                <w:sz w:val="21"/>
                <w:szCs w:val="21"/>
                <w:highlight w:val="none"/>
                <w:lang w:eastAsia="zh-CN"/>
              </w:rPr>
              <w:t>报告</w:t>
            </w:r>
            <w:r>
              <w:rPr>
                <w:rFonts w:hint="eastAsia" w:ascii="宋体" w:hAnsi="宋体" w:eastAsia="宋体" w:cs="宋体"/>
                <w:color w:val="auto"/>
                <w:kern w:val="2"/>
                <w:sz w:val="21"/>
                <w:szCs w:val="21"/>
                <w:highlight w:val="none"/>
              </w:rPr>
              <w:t>，管道施工及回填符合要求。</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工艺管道不应穿过或跨越站房等与其无直接关系的建（构）筑物；与管沟、电缆沟和排水沟相交叉时，应采取相应的防护措施。</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rPr>
              <w:t>工艺管道无穿过或跨越站房等与其无直接关系的建（构）筑物，</w:t>
            </w:r>
            <w:r>
              <w:rPr>
                <w:rFonts w:hint="eastAsia" w:ascii="宋体" w:hAnsi="宋体" w:eastAsia="宋体" w:cs="宋体"/>
                <w:color w:val="auto"/>
                <w:kern w:val="2"/>
                <w:sz w:val="21"/>
                <w:szCs w:val="21"/>
                <w:highlight w:val="none"/>
              </w:rPr>
              <w:t>根据安全设施施工</w:t>
            </w:r>
            <w:r>
              <w:rPr>
                <w:rFonts w:hint="eastAsia" w:ascii="宋体" w:hAnsi="宋体" w:eastAsia="宋体" w:cs="宋体"/>
                <w:color w:val="auto"/>
                <w:kern w:val="2"/>
                <w:sz w:val="21"/>
                <w:szCs w:val="21"/>
                <w:highlight w:val="none"/>
                <w:lang w:eastAsia="zh-CN"/>
              </w:rPr>
              <w:t>报告</w:t>
            </w:r>
            <w:r>
              <w:rPr>
                <w:rFonts w:hint="eastAsia" w:ascii="宋体" w:hAnsi="宋体" w:eastAsia="宋体" w:cs="宋体"/>
                <w:color w:val="auto"/>
                <w:kern w:val="2"/>
                <w:sz w:val="21"/>
                <w:szCs w:val="21"/>
                <w:highlight w:val="none"/>
                <w:lang w:val="en-US"/>
              </w:rPr>
              <w:t>,工艺管道施工</w:t>
            </w:r>
            <w:r>
              <w:rPr>
                <w:rFonts w:hint="eastAsia" w:ascii="宋体" w:hAnsi="宋体" w:eastAsia="宋体" w:cs="宋体"/>
                <w:color w:val="auto"/>
                <w:kern w:val="2"/>
                <w:sz w:val="21"/>
                <w:szCs w:val="21"/>
                <w:highlight w:val="none"/>
              </w:rPr>
              <w:t>符合要求。</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lang w:val="en-US"/>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埋地钢质管道外表面的防腐设计，应符合现行国家标准《钢质管道外腐蚀控制规范》GB/T21447的有关规定。</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埋地钢质管道外表面的防腐设计，符合现行国家标准《钢质管道外腐蚀控制规范》GB/T21447的有关规定。</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b/>
                <w:kern w:val="2"/>
                <w:sz w:val="21"/>
                <w:szCs w:val="21"/>
                <w:lang w:val="en-US" w:eastAsia="zh-CN"/>
              </w:rPr>
            </w:pPr>
            <w:r>
              <w:rPr>
                <w:rFonts w:hint="eastAsia" w:ascii="宋体" w:hAnsi="宋体" w:eastAsia="宋体" w:cs="宋体"/>
                <w:b/>
                <w:kern w:val="2"/>
                <w:sz w:val="21"/>
                <w:szCs w:val="21"/>
                <w:lang w:val="en-US" w:eastAsia="zh-CN"/>
              </w:rPr>
              <w:t>7</w:t>
            </w:r>
          </w:p>
        </w:tc>
        <w:tc>
          <w:tcPr>
            <w:tcW w:w="9186" w:type="dxa"/>
            <w:gridSpan w:val="3"/>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rPr>
            </w:pPr>
            <w:r>
              <w:rPr>
                <w:rFonts w:hint="eastAsia" w:ascii="宋体" w:hAnsi="宋体" w:eastAsia="宋体" w:cs="宋体"/>
                <w:b/>
                <w:kern w:val="2"/>
                <w:sz w:val="21"/>
                <w:szCs w:val="21"/>
                <w:lang w:val="en-US"/>
              </w:rPr>
              <w:t>主要技术、工艺对策措施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restart"/>
            <w:vAlign w:val="center"/>
          </w:tcPr>
          <w:p>
            <w:pPr>
              <w:keepNext w:val="0"/>
              <w:keepLines w:val="0"/>
              <w:suppressLineNumbers w:val="0"/>
              <w:spacing w:before="0" w:beforeAutospacing="0" w:after="0" w:afterAutospacing="0"/>
              <w:ind w:left="0" w:right="0"/>
              <w:jc w:val="center"/>
              <w:rPr>
                <w:rFonts w:hint="eastAsia" w:ascii="宋体" w:hAnsi="宋体" w:eastAsia="宋体" w:cs="宋体"/>
                <w:b/>
                <w:kern w:val="2"/>
                <w:sz w:val="21"/>
                <w:szCs w:val="21"/>
              </w:rPr>
            </w:pPr>
          </w:p>
        </w:tc>
        <w:tc>
          <w:tcPr>
            <w:tcW w:w="4697"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油罐车卸油必须采用密闭卸油方式。</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rPr>
              <w:t>加油站卸油采用密闭方式。</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lang w:val="en-US"/>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b/>
                <w:kern w:val="2"/>
                <w:sz w:val="21"/>
                <w:szCs w:val="21"/>
              </w:rPr>
            </w:pPr>
          </w:p>
        </w:tc>
        <w:tc>
          <w:tcPr>
            <w:tcW w:w="4697"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密闭卸油管道的各操作接口处，应设快速接头及密封盖。</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rPr>
              <w:t>卸油场地有单独接地</w:t>
            </w:r>
            <w:r>
              <w:rPr>
                <w:rFonts w:hint="eastAsia" w:ascii="宋体" w:hAnsi="宋体" w:eastAsia="宋体" w:cs="宋体"/>
                <w:color w:val="auto"/>
                <w:kern w:val="2"/>
                <w:sz w:val="21"/>
                <w:szCs w:val="21"/>
                <w:highlight w:val="none"/>
                <w:lang w:val="en-US" w:eastAsia="zh-CN"/>
              </w:rPr>
              <w:t>及密封盖</w:t>
            </w:r>
            <w:r>
              <w:rPr>
                <w:rFonts w:hint="eastAsia" w:ascii="宋体" w:hAnsi="宋体" w:eastAsia="宋体" w:cs="宋体"/>
                <w:color w:val="auto"/>
                <w:kern w:val="2"/>
                <w:sz w:val="21"/>
                <w:szCs w:val="21"/>
                <w:highlight w:val="none"/>
                <w:lang w:val="en-US"/>
              </w:rPr>
              <w:t>。</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lang w:val="en-US"/>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b/>
                <w:kern w:val="2"/>
                <w:sz w:val="21"/>
                <w:szCs w:val="21"/>
              </w:rPr>
            </w:pPr>
          </w:p>
        </w:tc>
        <w:tc>
          <w:tcPr>
            <w:tcW w:w="4697"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加油站的固定工艺管道宜采用无缝钢管，埋地钢管连接与设备的接管管口及阀门的连接采用法兰外，其余均采用焊接。在对钢管有严重腐蚀作用的土壤地段直埋管道时，可选用耐油、耐土壤腐蚀、导静电的复合管材。</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加油站的固定工艺管道宜采用无缝钢管，埋地钢管连接与设备的接管管口及阀门的连接采用法兰外，其余均采用焊接。在对钢管有严重腐蚀作用的土壤地段直埋管道时，</w:t>
            </w:r>
            <w:r>
              <w:rPr>
                <w:rFonts w:hint="eastAsia" w:ascii="宋体" w:hAnsi="宋体" w:eastAsia="宋体" w:cs="宋体"/>
                <w:color w:val="auto"/>
                <w:kern w:val="2"/>
                <w:sz w:val="21"/>
                <w:szCs w:val="21"/>
                <w:highlight w:val="none"/>
                <w:lang w:val="en-US" w:eastAsia="zh-CN"/>
              </w:rPr>
              <w:t>已</w:t>
            </w:r>
            <w:r>
              <w:rPr>
                <w:rFonts w:hint="eastAsia" w:ascii="宋体" w:hAnsi="宋体" w:eastAsia="宋体" w:cs="宋体"/>
                <w:color w:val="auto"/>
                <w:kern w:val="2"/>
                <w:sz w:val="21"/>
                <w:szCs w:val="21"/>
                <w:highlight w:val="none"/>
              </w:rPr>
              <w:t>选用耐油、耐土壤腐蚀、导静电的复合管材。</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b/>
                <w:kern w:val="2"/>
                <w:sz w:val="21"/>
                <w:szCs w:val="21"/>
              </w:rPr>
            </w:pPr>
          </w:p>
        </w:tc>
        <w:tc>
          <w:tcPr>
            <w:tcW w:w="4697"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lang w:val="en-US"/>
              </w:rPr>
            </w:pPr>
            <w:r>
              <w:rPr>
                <w:rFonts w:hint="eastAsia" w:ascii="宋体" w:hAnsi="宋体" w:eastAsia="宋体" w:cs="宋体"/>
                <w:color w:val="auto"/>
                <w:kern w:val="2"/>
                <w:sz w:val="21"/>
                <w:szCs w:val="21"/>
                <w:highlight w:val="none"/>
              </w:rPr>
              <w:t>油罐的进油管卸油后，应保证管内油品自流入罐，进油管及通气管横管安装应坡向油罐，坡度大于或等于0.2%。</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lang w:eastAsia="zh-CN"/>
              </w:rPr>
            </w:pPr>
            <w:r>
              <w:rPr>
                <w:rFonts w:hint="eastAsia" w:ascii="宋体" w:hAnsi="宋体" w:eastAsia="宋体" w:cs="宋体"/>
                <w:color w:val="auto"/>
                <w:kern w:val="2"/>
                <w:sz w:val="21"/>
                <w:szCs w:val="21"/>
                <w:highlight w:val="none"/>
                <w:lang w:eastAsia="zh-CN"/>
              </w:rPr>
              <w:t>根据安全设施施工情况报告，</w:t>
            </w:r>
            <w:r>
              <w:rPr>
                <w:rFonts w:hint="eastAsia" w:ascii="宋体" w:hAnsi="宋体" w:eastAsia="宋体" w:cs="宋体"/>
                <w:color w:val="auto"/>
                <w:kern w:val="2"/>
                <w:sz w:val="21"/>
                <w:szCs w:val="21"/>
                <w:highlight w:val="none"/>
              </w:rPr>
              <w:t>进油管及通气管横管安装</w:t>
            </w:r>
            <w:r>
              <w:rPr>
                <w:rFonts w:hint="eastAsia" w:ascii="宋体" w:hAnsi="宋体" w:eastAsia="宋体" w:cs="宋体"/>
                <w:color w:val="auto"/>
                <w:kern w:val="2"/>
                <w:sz w:val="21"/>
                <w:szCs w:val="21"/>
                <w:highlight w:val="none"/>
                <w:lang w:eastAsia="zh-CN"/>
              </w:rPr>
              <w:t>符合要求。</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lang w:eastAsia="zh-CN"/>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b/>
                <w:kern w:val="2"/>
                <w:sz w:val="21"/>
                <w:szCs w:val="21"/>
              </w:rPr>
            </w:pPr>
          </w:p>
        </w:tc>
        <w:tc>
          <w:tcPr>
            <w:tcW w:w="4697"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lang w:val="en-US"/>
              </w:rPr>
            </w:pPr>
            <w:r>
              <w:rPr>
                <w:rFonts w:hint="eastAsia" w:ascii="宋体" w:hAnsi="宋体" w:eastAsia="宋体" w:cs="宋体"/>
                <w:color w:val="auto"/>
                <w:kern w:val="2"/>
                <w:sz w:val="21"/>
                <w:szCs w:val="21"/>
                <w:highlight w:val="none"/>
              </w:rPr>
              <w:t>加油站内的工艺管道应埋地敷设，且不得穿过站房等建、构筑物。当油品管道与管沟、电线沟和排水沟相交叉时，应采取相应的防渗漏措施。</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lang w:eastAsia="zh-CN"/>
              </w:rPr>
            </w:pPr>
            <w:r>
              <w:rPr>
                <w:rFonts w:hint="eastAsia" w:ascii="宋体" w:hAnsi="宋体" w:eastAsia="宋体" w:cs="宋体"/>
                <w:color w:val="auto"/>
                <w:kern w:val="2"/>
                <w:sz w:val="21"/>
                <w:szCs w:val="21"/>
                <w:highlight w:val="none"/>
                <w:lang w:eastAsia="zh-CN"/>
              </w:rPr>
              <w:t>符合要求。</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lang w:eastAsia="zh-CN"/>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b/>
                <w:kern w:val="2"/>
                <w:sz w:val="21"/>
                <w:szCs w:val="21"/>
              </w:rPr>
            </w:pPr>
          </w:p>
        </w:tc>
        <w:tc>
          <w:tcPr>
            <w:tcW w:w="4697"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lang w:val="en-US"/>
              </w:rPr>
            </w:pPr>
            <w:r>
              <w:rPr>
                <w:rFonts w:hint="eastAsia" w:ascii="宋体" w:hAnsi="宋体" w:eastAsia="宋体" w:cs="宋体"/>
                <w:color w:val="auto"/>
                <w:kern w:val="2"/>
                <w:sz w:val="21"/>
                <w:szCs w:val="21"/>
                <w:highlight w:val="none"/>
              </w:rPr>
              <w:t>油品管道系统的设计压力不应小于0.6MPa。</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油品管道系统的设计压力</w:t>
            </w:r>
            <w:r>
              <w:rPr>
                <w:rFonts w:hint="eastAsia" w:ascii="宋体" w:hAnsi="宋体" w:eastAsia="宋体" w:cs="宋体"/>
                <w:color w:val="auto"/>
                <w:kern w:val="2"/>
                <w:sz w:val="21"/>
                <w:szCs w:val="21"/>
                <w:highlight w:val="none"/>
                <w:lang w:eastAsia="zh-CN"/>
              </w:rPr>
              <w:t>为</w:t>
            </w:r>
            <w:r>
              <w:rPr>
                <w:rFonts w:hint="eastAsia" w:ascii="宋体" w:hAnsi="宋体" w:eastAsia="宋体" w:cs="宋体"/>
                <w:color w:val="auto"/>
                <w:kern w:val="2"/>
                <w:sz w:val="21"/>
                <w:szCs w:val="21"/>
                <w:highlight w:val="none"/>
              </w:rPr>
              <w:t>0.6MPa。</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b/>
                <w:kern w:val="2"/>
                <w:sz w:val="21"/>
                <w:szCs w:val="21"/>
              </w:rPr>
            </w:pPr>
          </w:p>
        </w:tc>
        <w:tc>
          <w:tcPr>
            <w:tcW w:w="4697"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lang w:val="en-US"/>
              </w:rPr>
            </w:pPr>
            <w:r>
              <w:rPr>
                <w:rFonts w:hint="eastAsia" w:ascii="宋体" w:hAnsi="宋体" w:eastAsia="宋体" w:cs="宋体"/>
                <w:color w:val="auto"/>
                <w:kern w:val="2"/>
                <w:sz w:val="21"/>
                <w:szCs w:val="21"/>
                <w:highlight w:val="none"/>
              </w:rPr>
              <w:t>油罐通气管的设置，公称直径不应小于50</w:t>
            </w:r>
            <w:r>
              <w:rPr>
                <w:rFonts w:hint="eastAsia" w:ascii="宋体" w:hAnsi="宋体" w:eastAsia="宋体" w:cs="宋体"/>
                <w:color w:val="auto"/>
                <w:kern w:val="2"/>
                <w:sz w:val="21"/>
                <w:szCs w:val="21"/>
                <w:highlight w:val="none"/>
                <w:lang w:val="en-US" w:eastAsia="zh-CN"/>
              </w:rPr>
              <w:t>m</w:t>
            </w:r>
            <w:r>
              <w:rPr>
                <w:rFonts w:hint="eastAsia" w:ascii="宋体" w:hAnsi="宋体" w:eastAsia="宋体" w:cs="宋体"/>
                <w:color w:val="auto"/>
                <w:kern w:val="2"/>
                <w:sz w:val="21"/>
                <w:szCs w:val="21"/>
                <w:highlight w:val="none"/>
              </w:rPr>
              <w:t>m，通气管管口应安装阻火器。</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lang w:eastAsia="zh-CN"/>
              </w:rPr>
            </w:pPr>
            <w:r>
              <w:rPr>
                <w:rFonts w:hint="eastAsia" w:ascii="宋体" w:hAnsi="宋体" w:eastAsia="宋体" w:cs="宋体"/>
                <w:color w:val="auto"/>
                <w:kern w:val="2"/>
                <w:sz w:val="21"/>
                <w:szCs w:val="21"/>
                <w:highlight w:val="none"/>
              </w:rPr>
              <w:t>油罐通气管的设置，公称直径50</w:t>
            </w:r>
            <w:r>
              <w:rPr>
                <w:rFonts w:hint="eastAsia" w:ascii="宋体" w:hAnsi="宋体" w:eastAsia="宋体" w:cs="宋体"/>
                <w:color w:val="auto"/>
                <w:kern w:val="2"/>
                <w:sz w:val="21"/>
                <w:szCs w:val="21"/>
                <w:highlight w:val="none"/>
                <w:lang w:val="en-US" w:eastAsia="zh-CN"/>
              </w:rPr>
              <w:t>m</w:t>
            </w:r>
            <w:r>
              <w:rPr>
                <w:rFonts w:hint="eastAsia" w:ascii="宋体" w:hAnsi="宋体" w:eastAsia="宋体" w:cs="宋体"/>
                <w:color w:val="auto"/>
                <w:kern w:val="2"/>
                <w:sz w:val="21"/>
                <w:szCs w:val="21"/>
                <w:highlight w:val="none"/>
              </w:rPr>
              <w:t>m，通气管管口安装阻火器。</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highlight w:val="none"/>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b/>
                <w:kern w:val="2"/>
                <w:sz w:val="21"/>
                <w:szCs w:val="21"/>
                <w:lang w:eastAsia="zh-CN"/>
              </w:rPr>
            </w:pPr>
            <w:r>
              <w:rPr>
                <w:rFonts w:hint="eastAsia" w:ascii="宋体" w:hAnsi="宋体" w:eastAsia="宋体" w:cs="宋体"/>
                <w:b/>
                <w:kern w:val="2"/>
                <w:sz w:val="21"/>
                <w:szCs w:val="21"/>
                <w:lang w:eastAsia="zh-CN"/>
              </w:rPr>
              <w:t>三</w:t>
            </w:r>
          </w:p>
        </w:tc>
        <w:tc>
          <w:tcPr>
            <w:tcW w:w="9186" w:type="dxa"/>
            <w:gridSpan w:val="3"/>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rPr>
            </w:pPr>
            <w:r>
              <w:rPr>
                <w:rFonts w:hint="eastAsia" w:ascii="宋体" w:hAnsi="宋体" w:eastAsia="宋体" w:cs="宋体"/>
                <w:b/>
                <w:kern w:val="2"/>
                <w:sz w:val="21"/>
                <w:szCs w:val="21"/>
              </w:rPr>
              <w:t>配套的安全设施和辅助工程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restart"/>
            <w:vAlign w:val="center"/>
          </w:tcPr>
          <w:p>
            <w:pPr>
              <w:keepNext w:val="0"/>
              <w:keepLines w:val="0"/>
              <w:suppressLineNumbers w:val="0"/>
              <w:spacing w:before="0" w:beforeAutospacing="0" w:after="0" w:afterAutospacing="0"/>
              <w:ind w:left="0" w:right="0"/>
              <w:jc w:val="center"/>
              <w:rPr>
                <w:rFonts w:hint="eastAsia" w:ascii="宋体" w:hAnsi="宋体" w:eastAsia="宋体" w:cs="宋体"/>
                <w:b/>
                <w:kern w:val="2"/>
                <w:sz w:val="21"/>
                <w:szCs w:val="21"/>
              </w:rPr>
            </w:pPr>
          </w:p>
        </w:tc>
        <w:tc>
          <w:tcPr>
            <w:tcW w:w="4697"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bCs/>
                <w:color w:val="auto"/>
                <w:kern w:val="2"/>
                <w:sz w:val="21"/>
                <w:szCs w:val="21"/>
                <w:lang w:val="en-US"/>
              </w:rPr>
            </w:pPr>
            <w:r>
              <w:rPr>
                <w:rFonts w:hint="eastAsia" w:ascii="宋体" w:hAnsi="宋体" w:eastAsia="宋体" w:cs="宋体"/>
                <w:bCs/>
                <w:color w:val="auto"/>
                <w:kern w:val="2"/>
                <w:sz w:val="21"/>
                <w:szCs w:val="21"/>
                <w:lang w:val="en-US"/>
              </w:rPr>
              <w:t>加油站灭火设施的设置，应符合下列规定：</w:t>
            </w:r>
          </w:p>
          <w:p>
            <w:pPr>
              <w:keepNext w:val="0"/>
              <w:keepLines w:val="0"/>
              <w:suppressLineNumbers w:val="0"/>
              <w:spacing w:before="0" w:beforeAutospacing="0" w:after="0" w:afterAutospacing="0"/>
              <w:ind w:left="0" w:right="0"/>
              <w:jc w:val="both"/>
              <w:rPr>
                <w:rFonts w:hint="eastAsia" w:ascii="宋体" w:hAnsi="宋体" w:eastAsia="宋体" w:cs="宋体"/>
                <w:bCs/>
                <w:color w:val="auto"/>
                <w:kern w:val="2"/>
                <w:sz w:val="21"/>
                <w:szCs w:val="21"/>
                <w:lang w:val="en-US"/>
              </w:rPr>
            </w:pPr>
            <w:r>
              <w:rPr>
                <w:rFonts w:hint="eastAsia" w:ascii="宋体" w:hAnsi="宋体" w:eastAsia="宋体" w:cs="宋体"/>
                <w:bCs/>
                <w:color w:val="auto"/>
                <w:kern w:val="2"/>
                <w:sz w:val="21"/>
                <w:szCs w:val="21"/>
                <w:lang w:val="en-US"/>
              </w:rPr>
              <w:t>每2台加油机应设置不少于2只4kg手提式干粉灭火器或1只4kg手提式干粉灭火器和1支6L泡沫灭火器；加油机不足2台按2台计算。地下储罐应设置35kg推车式干粉灭火器1个。当两种介质储罐之间的距离超过15m时，应分别设置。</w:t>
            </w:r>
          </w:p>
          <w:p>
            <w:pPr>
              <w:keepNext w:val="0"/>
              <w:keepLines w:val="0"/>
              <w:suppressLineNumbers w:val="0"/>
              <w:spacing w:before="0" w:beforeAutospacing="0" w:after="0" w:afterAutospacing="0"/>
              <w:ind w:left="0" w:right="0"/>
              <w:jc w:val="both"/>
              <w:rPr>
                <w:rFonts w:hint="eastAsia" w:ascii="宋体" w:hAnsi="宋体" w:eastAsia="宋体" w:cs="宋体"/>
                <w:bCs/>
                <w:color w:val="auto"/>
                <w:kern w:val="2"/>
                <w:sz w:val="21"/>
                <w:szCs w:val="21"/>
                <w:lang w:val="en-US"/>
              </w:rPr>
            </w:pPr>
            <w:r>
              <w:rPr>
                <w:rFonts w:hint="eastAsia" w:ascii="宋体" w:hAnsi="宋体" w:eastAsia="宋体" w:cs="宋体"/>
                <w:bCs/>
                <w:color w:val="auto"/>
                <w:kern w:val="2"/>
                <w:sz w:val="21"/>
                <w:szCs w:val="21"/>
                <w:lang w:val="en-US" w:eastAsia="zh-CN"/>
              </w:rPr>
              <w:t>二</w:t>
            </w:r>
            <w:r>
              <w:rPr>
                <w:rFonts w:hint="eastAsia" w:ascii="宋体" w:hAnsi="宋体" w:eastAsia="宋体" w:cs="宋体"/>
                <w:bCs/>
                <w:color w:val="auto"/>
                <w:kern w:val="2"/>
                <w:sz w:val="21"/>
                <w:szCs w:val="21"/>
                <w:lang w:val="en-US"/>
              </w:rPr>
              <w:t>级加油站应配置灭火毯</w:t>
            </w:r>
            <w:r>
              <w:rPr>
                <w:rFonts w:hint="eastAsia" w:ascii="宋体" w:hAnsi="宋体" w:eastAsia="宋体" w:cs="宋体"/>
                <w:bCs/>
                <w:color w:val="auto"/>
                <w:kern w:val="2"/>
                <w:sz w:val="21"/>
                <w:szCs w:val="21"/>
                <w:lang w:val="en-US" w:eastAsia="zh-CN"/>
              </w:rPr>
              <w:t>不少于5</w:t>
            </w:r>
            <w:r>
              <w:rPr>
                <w:rFonts w:hint="eastAsia" w:ascii="宋体" w:hAnsi="宋体" w:eastAsia="宋体" w:cs="宋体"/>
                <w:bCs/>
                <w:color w:val="auto"/>
                <w:kern w:val="2"/>
                <w:sz w:val="21"/>
                <w:szCs w:val="21"/>
                <w:lang w:val="en-US"/>
              </w:rPr>
              <w:t>块、沙子2m</w:t>
            </w:r>
            <w:r>
              <w:rPr>
                <w:rFonts w:hint="eastAsia" w:ascii="宋体" w:hAnsi="宋体" w:eastAsia="宋体" w:cs="宋体"/>
                <w:bCs/>
                <w:color w:val="auto"/>
                <w:kern w:val="2"/>
                <w:sz w:val="21"/>
                <w:szCs w:val="21"/>
                <w:vertAlign w:val="superscript"/>
                <w:lang w:val="en-US"/>
              </w:rPr>
              <w:t>3</w:t>
            </w:r>
            <w:r>
              <w:rPr>
                <w:rFonts w:hint="eastAsia" w:ascii="宋体" w:hAnsi="宋体" w:eastAsia="宋体" w:cs="宋体"/>
                <w:bCs/>
                <w:color w:val="auto"/>
                <w:kern w:val="2"/>
                <w:sz w:val="21"/>
                <w:szCs w:val="21"/>
                <w:lang w:val="en-US"/>
              </w:rPr>
              <w:t>。</w:t>
            </w:r>
          </w:p>
          <w:p>
            <w:pPr>
              <w:keepNext w:val="0"/>
              <w:keepLines w:val="0"/>
              <w:suppressLineNumbers w:val="0"/>
              <w:spacing w:before="0" w:beforeAutospacing="0" w:after="0" w:afterAutospacing="0"/>
              <w:ind w:left="0" w:right="0"/>
              <w:jc w:val="both"/>
              <w:rPr>
                <w:rFonts w:hint="eastAsia" w:ascii="宋体" w:hAnsi="宋体" w:eastAsia="宋体" w:cs="宋体"/>
                <w:bCs/>
                <w:color w:val="auto"/>
                <w:kern w:val="2"/>
                <w:sz w:val="21"/>
                <w:szCs w:val="21"/>
                <w:lang w:val="en-US"/>
              </w:rPr>
            </w:pPr>
            <w:r>
              <w:rPr>
                <w:rFonts w:hint="eastAsia" w:ascii="宋体" w:hAnsi="宋体" w:eastAsia="宋体" w:cs="宋体"/>
                <w:bCs/>
                <w:color w:val="auto"/>
                <w:kern w:val="2"/>
                <w:sz w:val="21"/>
                <w:szCs w:val="21"/>
                <w:lang w:val="en-US"/>
              </w:rPr>
              <w:t>其余建筑的灭火器材配置应符合现行国家标准《建筑灭火器配置设计规范》（GB50140-2005）的规定。</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该站为</w:t>
            </w:r>
            <w:r>
              <w:rPr>
                <w:rFonts w:hint="eastAsia" w:ascii="宋体" w:hAnsi="宋体" w:eastAsia="宋体" w:cs="宋体"/>
                <w:color w:val="auto"/>
                <w:kern w:val="2"/>
                <w:sz w:val="21"/>
                <w:szCs w:val="21"/>
                <w:lang w:val="en-US" w:eastAsia="zh-CN"/>
              </w:rPr>
              <w:t>二</w:t>
            </w:r>
            <w:r>
              <w:rPr>
                <w:rFonts w:hint="eastAsia" w:ascii="宋体" w:hAnsi="宋体" w:eastAsia="宋体" w:cs="宋体"/>
                <w:color w:val="auto"/>
                <w:kern w:val="2"/>
                <w:sz w:val="21"/>
                <w:szCs w:val="21"/>
                <w:lang w:eastAsia="zh-CN"/>
              </w:rPr>
              <w:t>级站，共</w:t>
            </w:r>
            <w:r>
              <w:rPr>
                <w:rFonts w:hint="eastAsia" w:ascii="宋体" w:hAnsi="宋体" w:eastAsia="宋体" w:cs="宋体"/>
                <w:color w:val="auto"/>
                <w:kern w:val="2"/>
                <w:sz w:val="21"/>
                <w:szCs w:val="21"/>
                <w:lang w:val="en-US" w:eastAsia="zh-CN"/>
              </w:rPr>
              <w:t>8台加油机，</w:t>
            </w:r>
            <w:r>
              <w:rPr>
                <w:rFonts w:hint="eastAsia" w:ascii="宋体" w:hAnsi="宋体" w:eastAsia="宋体" w:cs="宋体"/>
                <w:color w:val="auto"/>
                <w:kern w:val="2"/>
                <w:sz w:val="21"/>
                <w:szCs w:val="21"/>
                <w:lang w:eastAsia="zh-CN"/>
              </w:rPr>
              <w:t>配有</w:t>
            </w:r>
            <w:r>
              <w:rPr>
                <w:rFonts w:hint="eastAsia" w:ascii="宋体" w:hAnsi="宋体" w:eastAsia="宋体" w:cs="宋体"/>
                <w:bCs/>
                <w:color w:val="auto"/>
                <w:kern w:val="2"/>
                <w:sz w:val="21"/>
                <w:szCs w:val="21"/>
                <w:lang w:val="en-US" w:eastAsia="zh-CN"/>
              </w:rPr>
              <w:t>10</w:t>
            </w:r>
            <w:r>
              <w:rPr>
                <w:rFonts w:hint="eastAsia" w:ascii="宋体" w:hAnsi="宋体" w:eastAsia="宋体" w:cs="宋体"/>
                <w:bCs/>
                <w:color w:val="auto"/>
                <w:kern w:val="2"/>
                <w:sz w:val="21"/>
                <w:szCs w:val="21"/>
                <w:lang w:val="en-US"/>
              </w:rPr>
              <w:t>只4kg手提式干粉灭火器</w:t>
            </w:r>
            <w:r>
              <w:rPr>
                <w:rFonts w:hint="eastAsia" w:ascii="宋体" w:hAnsi="宋体" w:eastAsia="宋体" w:cs="宋体"/>
                <w:bCs/>
                <w:color w:val="auto"/>
                <w:kern w:val="2"/>
                <w:sz w:val="21"/>
                <w:szCs w:val="21"/>
                <w:lang w:val="en-US" w:eastAsia="zh-CN"/>
              </w:rPr>
              <w:t>，8</w:t>
            </w:r>
            <w:r>
              <w:rPr>
                <w:rFonts w:hint="eastAsia" w:ascii="宋体" w:hAnsi="宋体" w:eastAsia="宋体" w:cs="宋体"/>
                <w:bCs/>
                <w:color w:val="auto"/>
                <w:kern w:val="2"/>
                <w:sz w:val="21"/>
                <w:szCs w:val="21"/>
                <w:lang w:val="en-US"/>
              </w:rPr>
              <w:t>只</w:t>
            </w:r>
            <w:r>
              <w:rPr>
                <w:rFonts w:hint="eastAsia" w:ascii="宋体" w:hAnsi="宋体" w:eastAsia="宋体" w:cs="宋体"/>
                <w:bCs/>
                <w:color w:val="auto"/>
                <w:kern w:val="2"/>
                <w:sz w:val="21"/>
                <w:szCs w:val="21"/>
                <w:lang w:val="en-US" w:eastAsia="zh-CN"/>
              </w:rPr>
              <w:t>8</w:t>
            </w:r>
            <w:r>
              <w:rPr>
                <w:rFonts w:hint="eastAsia" w:ascii="宋体" w:hAnsi="宋体" w:eastAsia="宋体" w:cs="宋体"/>
                <w:bCs/>
                <w:color w:val="auto"/>
                <w:kern w:val="2"/>
                <w:sz w:val="21"/>
                <w:szCs w:val="21"/>
                <w:lang w:val="en-US"/>
              </w:rPr>
              <w:t>kg干粉灭火器</w:t>
            </w:r>
            <w:r>
              <w:rPr>
                <w:rFonts w:hint="eastAsia" w:ascii="宋体" w:hAnsi="宋体" w:eastAsia="宋体" w:cs="宋体"/>
                <w:bCs/>
                <w:color w:val="auto"/>
                <w:kern w:val="2"/>
                <w:sz w:val="21"/>
                <w:szCs w:val="21"/>
                <w:lang w:val="en-US" w:eastAsia="zh-CN"/>
              </w:rPr>
              <w:t>，储罐区配有2台</w:t>
            </w:r>
            <w:r>
              <w:rPr>
                <w:rFonts w:hint="eastAsia" w:ascii="宋体" w:hAnsi="宋体" w:eastAsia="宋体" w:cs="宋体"/>
                <w:bCs/>
                <w:color w:val="auto"/>
                <w:kern w:val="2"/>
                <w:sz w:val="21"/>
                <w:szCs w:val="21"/>
                <w:lang w:val="en-US"/>
              </w:rPr>
              <w:t>35kg推车式干粉灭火器</w:t>
            </w:r>
            <w:r>
              <w:rPr>
                <w:rFonts w:hint="eastAsia" w:ascii="宋体" w:hAnsi="宋体" w:eastAsia="宋体" w:cs="宋体"/>
                <w:bCs/>
                <w:color w:val="auto"/>
                <w:kern w:val="2"/>
                <w:sz w:val="21"/>
                <w:szCs w:val="21"/>
                <w:lang w:val="en-US" w:eastAsia="zh-CN"/>
              </w:rPr>
              <w:t>，</w:t>
            </w:r>
            <w:r>
              <w:rPr>
                <w:rFonts w:hint="eastAsia" w:ascii="宋体" w:hAnsi="宋体" w:eastAsia="宋体" w:cs="宋体"/>
                <w:bCs/>
                <w:color w:val="auto"/>
                <w:kern w:val="2"/>
                <w:sz w:val="21"/>
                <w:szCs w:val="21"/>
                <w:lang w:val="en-US"/>
              </w:rPr>
              <w:t>灭火毯</w:t>
            </w:r>
            <w:r>
              <w:rPr>
                <w:rFonts w:hint="eastAsia" w:ascii="宋体" w:hAnsi="宋体" w:eastAsia="宋体" w:cs="宋体"/>
                <w:bCs/>
                <w:color w:val="auto"/>
                <w:kern w:val="2"/>
                <w:sz w:val="21"/>
                <w:szCs w:val="21"/>
                <w:lang w:val="en-US" w:eastAsia="zh-CN"/>
              </w:rPr>
              <w:t>5</w:t>
            </w:r>
            <w:r>
              <w:rPr>
                <w:rFonts w:hint="eastAsia" w:ascii="宋体" w:hAnsi="宋体" w:eastAsia="宋体" w:cs="宋体"/>
                <w:bCs/>
                <w:color w:val="auto"/>
                <w:kern w:val="2"/>
                <w:sz w:val="21"/>
                <w:szCs w:val="21"/>
                <w:lang w:val="en-US"/>
              </w:rPr>
              <w:t>块、沙子2m</w:t>
            </w:r>
            <w:r>
              <w:rPr>
                <w:rFonts w:hint="eastAsia" w:ascii="宋体" w:hAnsi="宋体" w:eastAsia="宋体" w:cs="宋体"/>
                <w:bCs/>
                <w:color w:val="auto"/>
                <w:kern w:val="2"/>
                <w:sz w:val="21"/>
                <w:szCs w:val="21"/>
                <w:vertAlign w:val="superscript"/>
                <w:lang w:val="en-US"/>
              </w:rPr>
              <w:t>3</w:t>
            </w:r>
            <w:r>
              <w:rPr>
                <w:rFonts w:hint="eastAsia" w:ascii="宋体" w:hAnsi="宋体" w:eastAsia="宋体" w:cs="宋体"/>
                <w:bCs/>
                <w:color w:val="auto"/>
                <w:kern w:val="2"/>
                <w:sz w:val="21"/>
                <w:szCs w:val="21"/>
                <w:lang w:val="en-US"/>
              </w:rPr>
              <w:t>。</w:t>
            </w:r>
            <w:r>
              <w:rPr>
                <w:rFonts w:hint="eastAsia" w:ascii="宋体" w:hAnsi="宋体" w:eastAsia="宋体" w:cs="宋体"/>
                <w:color w:val="auto"/>
                <w:kern w:val="2"/>
                <w:sz w:val="21"/>
                <w:szCs w:val="21"/>
                <w:lang w:eastAsia="zh-CN"/>
              </w:rPr>
              <w:t>消防器材配置符合规范要求。</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eastAsia="zh-CN"/>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b/>
                <w:kern w:val="2"/>
                <w:sz w:val="21"/>
                <w:szCs w:val="21"/>
              </w:rPr>
            </w:pPr>
          </w:p>
        </w:tc>
        <w:tc>
          <w:tcPr>
            <w:tcW w:w="4697"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bCs/>
                <w:kern w:val="2"/>
                <w:sz w:val="21"/>
                <w:szCs w:val="21"/>
                <w:lang w:val="en-US"/>
              </w:rPr>
            </w:pPr>
            <w:r>
              <w:rPr>
                <w:rFonts w:hint="eastAsia" w:ascii="宋体" w:hAnsi="宋体" w:eastAsia="宋体" w:cs="宋体"/>
                <w:bCs/>
                <w:kern w:val="2"/>
                <w:sz w:val="21"/>
                <w:szCs w:val="21"/>
                <w:lang w:val="en-US"/>
              </w:rPr>
              <w:t>加油站的排水应符合下列规定：</w:t>
            </w:r>
          </w:p>
          <w:p>
            <w:pPr>
              <w:keepNext w:val="0"/>
              <w:keepLines w:val="0"/>
              <w:suppressLineNumbers w:val="0"/>
              <w:spacing w:before="0" w:beforeAutospacing="0" w:after="0" w:afterAutospacing="0"/>
              <w:ind w:left="0" w:right="0"/>
              <w:jc w:val="both"/>
              <w:rPr>
                <w:rFonts w:hint="eastAsia" w:ascii="宋体" w:hAnsi="宋体" w:eastAsia="宋体" w:cs="宋体"/>
                <w:bCs/>
                <w:kern w:val="2"/>
                <w:sz w:val="21"/>
                <w:szCs w:val="21"/>
                <w:lang w:val="en-US"/>
              </w:rPr>
            </w:pPr>
            <w:r>
              <w:rPr>
                <w:rFonts w:hint="eastAsia" w:ascii="宋体" w:hAnsi="宋体" w:eastAsia="宋体" w:cs="宋体"/>
                <w:bCs/>
                <w:kern w:val="2"/>
                <w:sz w:val="21"/>
                <w:szCs w:val="21"/>
                <w:lang w:val="en-US"/>
              </w:rPr>
              <w:t>站内地面雨水可散流排出站外。当雨水由明沟排到站外时，应在围墙内设置水封装置。排出建筑物或围墙的污水，在建筑物墙外或围墙内应分别设水封井（独立的生活污水除外）。水封井的水封高度不应小于0.25m；水封井应设沉泥段，沉泥段高度不应小于0.25m。清洗油罐的污水应集中收集处理，不应直接进入排水管道。排出站外的污水应符合国家现行有关的污水排放标准的规定。加油站不应采用暗沟排水。</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eastAsia="zh-CN"/>
              </w:rPr>
            </w:pPr>
            <w:r>
              <w:rPr>
                <w:rFonts w:hint="eastAsia" w:ascii="宋体" w:hAnsi="宋体" w:eastAsia="宋体" w:cs="宋体"/>
                <w:kern w:val="2"/>
                <w:sz w:val="21"/>
                <w:szCs w:val="21"/>
                <w:lang w:eastAsia="zh-CN"/>
              </w:rPr>
              <w:t>该站内雨水可散流至站外，油站设有水封装置，水封井符合要求。污水经处理后符合国家有关排放标准，该加油站未采用暗沟排水。</w:t>
            </w:r>
          </w:p>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eastAsia="zh-CN"/>
              </w:rPr>
            </w:pP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eastAsia="zh-CN"/>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b/>
                <w:kern w:val="2"/>
                <w:sz w:val="21"/>
                <w:szCs w:val="21"/>
              </w:rPr>
            </w:pPr>
          </w:p>
        </w:tc>
        <w:tc>
          <w:tcPr>
            <w:tcW w:w="4697"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bCs/>
                <w:kern w:val="2"/>
                <w:sz w:val="21"/>
                <w:szCs w:val="21"/>
                <w:lang w:val="en-US"/>
              </w:rPr>
            </w:pPr>
            <w:r>
              <w:rPr>
                <w:rFonts w:hint="eastAsia" w:ascii="宋体" w:hAnsi="宋体" w:eastAsia="宋体" w:cs="宋体"/>
                <w:bCs/>
                <w:kern w:val="2"/>
                <w:sz w:val="21"/>
                <w:szCs w:val="21"/>
              </w:rPr>
              <w:t>加油站的供电负荷等级可为三级，信息系统应设不间断供电电源。加油站的供电电源，宜采用380/220V外接电源。加油站的供电系统应设独立的计量装置。</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eastAsia="zh-CN"/>
              </w:rPr>
            </w:pPr>
            <w:r>
              <w:rPr>
                <w:rFonts w:hint="eastAsia" w:ascii="宋体" w:hAnsi="宋体" w:eastAsia="宋体" w:cs="宋体"/>
                <w:bCs/>
                <w:kern w:val="2"/>
                <w:sz w:val="21"/>
                <w:szCs w:val="21"/>
              </w:rPr>
              <w:t>采用380/220V外接电源。供电系统设独立的计量装置。</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bCs/>
                <w:kern w:val="2"/>
                <w:sz w:val="21"/>
                <w:szCs w:val="21"/>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b/>
                <w:kern w:val="2"/>
                <w:sz w:val="21"/>
                <w:szCs w:val="21"/>
              </w:rPr>
            </w:pPr>
          </w:p>
        </w:tc>
        <w:tc>
          <w:tcPr>
            <w:tcW w:w="4697"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bCs/>
                <w:kern w:val="2"/>
                <w:sz w:val="21"/>
                <w:szCs w:val="21"/>
                <w:lang w:val="en-US"/>
              </w:rPr>
            </w:pPr>
            <w:r>
              <w:rPr>
                <w:rFonts w:hint="eastAsia" w:ascii="宋体" w:hAnsi="宋体" w:eastAsia="宋体" w:cs="宋体"/>
                <w:bCs/>
                <w:kern w:val="2"/>
                <w:sz w:val="21"/>
                <w:szCs w:val="21"/>
              </w:rPr>
              <w:t>加油站的电力线路宜采用电缆并直埋敷设。电缆穿越行车道部分应穿钢管保护。当采用电缆沟敷设电缆时，电缆沟内必须充沙填实。电缆不得与油品管道敷设在同一沟内。</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eastAsia="zh-CN"/>
              </w:rPr>
            </w:pPr>
            <w:r>
              <w:rPr>
                <w:rFonts w:hint="eastAsia" w:ascii="宋体" w:hAnsi="宋体" w:eastAsia="宋体" w:cs="宋体"/>
                <w:bCs/>
                <w:kern w:val="2"/>
                <w:sz w:val="21"/>
                <w:szCs w:val="21"/>
              </w:rPr>
              <w:t>加油站的电力线路敷设</w:t>
            </w:r>
            <w:r>
              <w:rPr>
                <w:rFonts w:hint="eastAsia" w:ascii="宋体" w:hAnsi="宋体" w:eastAsia="宋体" w:cs="宋体"/>
                <w:bCs/>
                <w:kern w:val="2"/>
                <w:sz w:val="21"/>
                <w:szCs w:val="21"/>
                <w:lang w:eastAsia="zh-CN"/>
              </w:rPr>
              <w:t>符合标准要求</w:t>
            </w:r>
            <w:r>
              <w:rPr>
                <w:rFonts w:hint="eastAsia" w:ascii="宋体" w:hAnsi="宋体" w:eastAsia="宋体" w:cs="宋体"/>
                <w:bCs/>
                <w:kern w:val="2"/>
                <w:sz w:val="21"/>
                <w:szCs w:val="21"/>
              </w:rPr>
              <w:t>。</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bCs/>
                <w:kern w:val="2"/>
                <w:sz w:val="21"/>
                <w:szCs w:val="21"/>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b/>
                <w:kern w:val="2"/>
                <w:sz w:val="21"/>
                <w:szCs w:val="21"/>
              </w:rPr>
            </w:pPr>
          </w:p>
        </w:tc>
        <w:tc>
          <w:tcPr>
            <w:tcW w:w="4697"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bCs/>
                <w:kern w:val="2"/>
                <w:sz w:val="21"/>
                <w:szCs w:val="21"/>
                <w:lang w:val="en-US"/>
              </w:rPr>
            </w:pPr>
            <w:r>
              <w:rPr>
                <w:rFonts w:hint="eastAsia" w:ascii="宋体" w:hAnsi="宋体" w:eastAsia="宋体" w:cs="宋体"/>
                <w:bCs/>
                <w:kern w:val="2"/>
                <w:sz w:val="21"/>
                <w:szCs w:val="21"/>
              </w:rPr>
              <w:t>爆炸危险区域的电气设备和线路应采用防爆型，按现行国家标准《爆炸危险环境电力装置设计规范》（GB50058-2014）执行。</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eastAsia="zh-CN"/>
              </w:rPr>
            </w:pPr>
            <w:r>
              <w:rPr>
                <w:rFonts w:hint="eastAsia" w:ascii="宋体" w:hAnsi="宋体" w:eastAsia="宋体" w:cs="宋体"/>
                <w:bCs/>
                <w:kern w:val="2"/>
                <w:sz w:val="21"/>
                <w:szCs w:val="21"/>
              </w:rPr>
              <w:t>爆炸危险区域的电气设备和线路采用防爆型，按现行国家标准《爆炸危险环境电力装置设计规范》（GB50058-2014）执行。</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bCs/>
                <w:kern w:val="2"/>
                <w:sz w:val="21"/>
                <w:szCs w:val="21"/>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b/>
                <w:kern w:val="2"/>
                <w:sz w:val="21"/>
                <w:szCs w:val="21"/>
              </w:rPr>
            </w:pPr>
          </w:p>
        </w:tc>
        <w:tc>
          <w:tcPr>
            <w:tcW w:w="4697"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bCs/>
                <w:kern w:val="2"/>
                <w:sz w:val="21"/>
                <w:szCs w:val="21"/>
              </w:rPr>
            </w:pPr>
            <w:r>
              <w:rPr>
                <w:rFonts w:hint="eastAsia" w:ascii="宋体" w:hAnsi="宋体" w:eastAsia="宋体" w:cs="宋体"/>
                <w:bCs/>
                <w:kern w:val="2"/>
                <w:sz w:val="21"/>
                <w:szCs w:val="21"/>
              </w:rPr>
              <w:t>加油站内爆炸危险区域以外的站房、罩棚等建筑物内的照明灯具，可选用非防爆型，但罩棚下的灯具应选用防护等级不低于IP44级的节能型照明灯具。</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eastAsia="zh-CN"/>
              </w:rPr>
            </w:pPr>
            <w:r>
              <w:rPr>
                <w:rFonts w:hint="eastAsia" w:ascii="宋体" w:hAnsi="宋体" w:eastAsia="宋体" w:cs="宋体"/>
                <w:bCs/>
                <w:kern w:val="2"/>
                <w:sz w:val="21"/>
                <w:szCs w:val="21"/>
              </w:rPr>
              <w:t>罩棚下的灯具选用应选用防护等级不低于IP44级的节能型照明灯具。</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bCs/>
                <w:kern w:val="2"/>
                <w:sz w:val="21"/>
                <w:szCs w:val="21"/>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b/>
                <w:kern w:val="2"/>
                <w:sz w:val="21"/>
                <w:szCs w:val="21"/>
              </w:rPr>
            </w:pPr>
          </w:p>
        </w:tc>
        <w:tc>
          <w:tcPr>
            <w:tcW w:w="4697"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bCs/>
                <w:kern w:val="2"/>
                <w:sz w:val="21"/>
                <w:szCs w:val="21"/>
              </w:rPr>
            </w:pPr>
            <w:r>
              <w:rPr>
                <w:rFonts w:hint="eastAsia" w:ascii="宋体" w:hAnsi="宋体" w:eastAsia="宋体" w:cs="宋体"/>
                <w:bCs/>
                <w:kern w:val="2"/>
                <w:sz w:val="21"/>
                <w:szCs w:val="21"/>
              </w:rPr>
              <w:t>油罐必须进行防雷接地，接地点不应少于两处。埋地钢制油罐应与非埋地部分的工艺金属管道相互做电气连接并接地。</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eastAsia="zh-CN"/>
              </w:rPr>
            </w:pPr>
            <w:r>
              <w:rPr>
                <w:rFonts w:hint="eastAsia" w:ascii="宋体" w:hAnsi="宋体" w:eastAsia="宋体" w:cs="宋体"/>
                <w:bCs/>
                <w:kern w:val="2"/>
                <w:sz w:val="21"/>
                <w:szCs w:val="21"/>
                <w:lang w:eastAsia="zh-CN"/>
              </w:rPr>
              <w:t>根据安全设施施工情况报告，</w:t>
            </w:r>
            <w:r>
              <w:rPr>
                <w:rFonts w:hint="eastAsia" w:ascii="宋体" w:hAnsi="宋体" w:eastAsia="宋体" w:cs="宋体"/>
                <w:bCs/>
                <w:kern w:val="2"/>
                <w:sz w:val="21"/>
                <w:szCs w:val="21"/>
              </w:rPr>
              <w:t>油罐</w:t>
            </w:r>
            <w:r>
              <w:rPr>
                <w:rFonts w:hint="eastAsia" w:ascii="宋体" w:hAnsi="宋体" w:eastAsia="宋体" w:cs="宋体"/>
                <w:bCs/>
                <w:kern w:val="2"/>
                <w:sz w:val="21"/>
                <w:szCs w:val="21"/>
                <w:lang w:eastAsia="zh-CN"/>
              </w:rPr>
              <w:t>已</w:t>
            </w:r>
            <w:r>
              <w:rPr>
                <w:rFonts w:hint="eastAsia" w:ascii="宋体" w:hAnsi="宋体" w:eastAsia="宋体" w:cs="宋体"/>
                <w:bCs/>
                <w:kern w:val="2"/>
                <w:sz w:val="21"/>
                <w:szCs w:val="21"/>
              </w:rPr>
              <w:t>防雷接地，埋地钢制油罐</w:t>
            </w:r>
            <w:r>
              <w:rPr>
                <w:rFonts w:hint="eastAsia" w:ascii="宋体" w:hAnsi="宋体" w:eastAsia="宋体" w:cs="宋体"/>
                <w:bCs/>
                <w:kern w:val="2"/>
                <w:sz w:val="21"/>
                <w:szCs w:val="21"/>
                <w:lang w:eastAsia="zh-CN"/>
              </w:rPr>
              <w:t>已</w:t>
            </w:r>
            <w:r>
              <w:rPr>
                <w:rFonts w:hint="eastAsia" w:ascii="宋体" w:hAnsi="宋体" w:eastAsia="宋体" w:cs="宋体"/>
                <w:bCs/>
                <w:kern w:val="2"/>
                <w:sz w:val="21"/>
                <w:szCs w:val="21"/>
              </w:rPr>
              <w:t>与非埋地部分的工艺金属管道相互做电气连接并接地。</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bCs/>
                <w:kern w:val="2"/>
                <w:sz w:val="21"/>
                <w:szCs w:val="21"/>
                <w:lang w:eastAsia="zh-CN"/>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b/>
                <w:kern w:val="2"/>
                <w:sz w:val="21"/>
                <w:szCs w:val="21"/>
              </w:rPr>
            </w:pPr>
          </w:p>
        </w:tc>
        <w:tc>
          <w:tcPr>
            <w:tcW w:w="4697"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bCs/>
                <w:kern w:val="2"/>
                <w:sz w:val="21"/>
                <w:szCs w:val="21"/>
              </w:rPr>
            </w:pPr>
            <w:r>
              <w:rPr>
                <w:rFonts w:hint="eastAsia" w:ascii="宋体" w:hAnsi="宋体" w:eastAsia="宋体" w:cs="宋体"/>
                <w:bCs/>
                <w:kern w:val="2"/>
                <w:sz w:val="21"/>
                <w:szCs w:val="21"/>
              </w:rPr>
              <w:t>加油站的罩棚和站房顶面采用应避雷带</w:t>
            </w:r>
            <w:r>
              <w:rPr>
                <w:rFonts w:hint="eastAsia" w:ascii="宋体" w:hAnsi="宋体" w:eastAsia="宋体" w:cs="宋体"/>
                <w:bCs/>
                <w:kern w:val="2"/>
                <w:sz w:val="21"/>
                <w:szCs w:val="21"/>
                <w:lang w:eastAsia="zh-CN"/>
              </w:rPr>
              <w:t>（</w:t>
            </w:r>
            <w:r>
              <w:rPr>
                <w:rFonts w:hint="eastAsia" w:ascii="宋体" w:hAnsi="宋体" w:eastAsia="宋体" w:cs="宋体"/>
                <w:bCs/>
                <w:kern w:val="2"/>
                <w:sz w:val="21"/>
                <w:szCs w:val="21"/>
              </w:rPr>
              <w:t>网）保护，以防直击雷袭击。</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eastAsia="zh-CN"/>
              </w:rPr>
            </w:pPr>
            <w:r>
              <w:rPr>
                <w:rFonts w:hint="eastAsia" w:ascii="宋体" w:hAnsi="宋体" w:eastAsia="宋体" w:cs="宋体"/>
                <w:bCs/>
                <w:kern w:val="2"/>
                <w:sz w:val="21"/>
                <w:szCs w:val="21"/>
                <w:lang w:eastAsia="zh-CN"/>
              </w:rPr>
              <w:t>根据安全设施施工情况报告，</w:t>
            </w:r>
            <w:r>
              <w:rPr>
                <w:rFonts w:hint="eastAsia" w:ascii="宋体" w:hAnsi="宋体" w:eastAsia="宋体" w:cs="宋体"/>
                <w:bCs/>
                <w:kern w:val="2"/>
                <w:sz w:val="21"/>
                <w:szCs w:val="21"/>
              </w:rPr>
              <w:t>加油站的罩棚和站房顶面</w:t>
            </w:r>
            <w:r>
              <w:rPr>
                <w:rFonts w:hint="eastAsia" w:ascii="宋体" w:hAnsi="宋体" w:eastAsia="宋体" w:cs="宋体"/>
                <w:bCs/>
                <w:kern w:val="2"/>
                <w:sz w:val="21"/>
                <w:szCs w:val="21"/>
                <w:lang w:eastAsia="zh-CN"/>
              </w:rPr>
              <w:t>已设置符合标准的避雷设施</w:t>
            </w:r>
            <w:r>
              <w:rPr>
                <w:rFonts w:hint="eastAsia" w:ascii="宋体" w:hAnsi="宋体" w:eastAsia="宋体" w:cs="宋体"/>
                <w:bCs/>
                <w:kern w:val="2"/>
                <w:sz w:val="21"/>
                <w:szCs w:val="21"/>
              </w:rPr>
              <w:t>。</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bCs/>
                <w:kern w:val="2"/>
                <w:sz w:val="21"/>
                <w:szCs w:val="21"/>
                <w:lang w:eastAsia="zh-CN"/>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b/>
                <w:kern w:val="2"/>
                <w:sz w:val="21"/>
                <w:szCs w:val="21"/>
              </w:rPr>
            </w:pPr>
          </w:p>
        </w:tc>
        <w:tc>
          <w:tcPr>
            <w:tcW w:w="4697"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bCs/>
                <w:kern w:val="2"/>
                <w:sz w:val="21"/>
                <w:szCs w:val="21"/>
              </w:rPr>
            </w:pPr>
            <w:r>
              <w:rPr>
                <w:rFonts w:hint="eastAsia" w:ascii="宋体" w:hAnsi="宋体" w:eastAsia="宋体" w:cs="宋体"/>
                <w:bCs/>
                <w:kern w:val="2"/>
                <w:sz w:val="21"/>
                <w:szCs w:val="21"/>
              </w:rPr>
              <w:t>加油站的防雷接地、防静电接地、电气设备的工作接地、保护接地及信息系统的接地等，采用共用接地装置，其接地电阻应≤4Ω。</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eastAsia="zh-CN"/>
              </w:rPr>
            </w:pPr>
            <w:r>
              <w:rPr>
                <w:rFonts w:hint="eastAsia" w:ascii="宋体" w:hAnsi="宋体" w:eastAsia="宋体" w:cs="宋体"/>
                <w:bCs/>
                <w:kern w:val="2"/>
                <w:sz w:val="21"/>
                <w:szCs w:val="21"/>
                <w:lang w:eastAsia="zh-CN"/>
              </w:rPr>
              <w:t>根据安全设施施工情况报告，油站</w:t>
            </w:r>
            <w:r>
              <w:rPr>
                <w:rFonts w:hint="eastAsia" w:ascii="宋体" w:hAnsi="宋体" w:eastAsia="宋体" w:cs="宋体"/>
                <w:bCs/>
                <w:kern w:val="2"/>
                <w:sz w:val="21"/>
                <w:szCs w:val="21"/>
              </w:rPr>
              <w:t>采用共用接地装置，其接地电阻≤4Ω。</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bCs/>
                <w:kern w:val="2"/>
                <w:sz w:val="21"/>
                <w:szCs w:val="21"/>
                <w:lang w:eastAsia="zh-CN"/>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b/>
                <w:kern w:val="2"/>
                <w:sz w:val="21"/>
                <w:szCs w:val="21"/>
              </w:rPr>
            </w:pPr>
          </w:p>
        </w:tc>
        <w:tc>
          <w:tcPr>
            <w:tcW w:w="4697"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bCs/>
                <w:kern w:val="2"/>
                <w:sz w:val="21"/>
                <w:szCs w:val="21"/>
              </w:rPr>
            </w:pPr>
            <w:r>
              <w:rPr>
                <w:rFonts w:hint="eastAsia" w:ascii="宋体" w:hAnsi="宋体" w:eastAsia="宋体" w:cs="宋体"/>
                <w:bCs/>
                <w:kern w:val="2"/>
                <w:sz w:val="21"/>
                <w:szCs w:val="21"/>
              </w:rPr>
              <w:t>加油站的信息系统应采用铠装电缆或导线穿钢管配线。配线电缆金属外皮两端、保护钢管两端均应接地。加油站信息系统的配电线路首、末端与电子器件连接时，应装设与电子器件耐压水平相适应的过电压（电涌）保护器。</w:t>
            </w:r>
          </w:p>
          <w:p>
            <w:pPr>
              <w:keepNext w:val="0"/>
              <w:keepLines w:val="0"/>
              <w:suppressLineNumbers w:val="0"/>
              <w:spacing w:before="0" w:beforeAutospacing="0" w:after="0" w:afterAutospacing="0"/>
              <w:ind w:left="0" w:right="0"/>
              <w:jc w:val="both"/>
              <w:rPr>
                <w:rFonts w:hint="eastAsia" w:ascii="宋体" w:hAnsi="宋体" w:eastAsia="宋体" w:cs="宋体"/>
                <w:bCs/>
                <w:kern w:val="2"/>
                <w:sz w:val="21"/>
                <w:szCs w:val="21"/>
              </w:rPr>
            </w:pPr>
            <w:r>
              <w:rPr>
                <w:rFonts w:hint="eastAsia" w:ascii="宋体" w:hAnsi="宋体" w:eastAsia="宋体" w:cs="宋体"/>
                <w:bCs/>
                <w:kern w:val="2"/>
                <w:sz w:val="21"/>
                <w:szCs w:val="21"/>
              </w:rPr>
              <w:t>380/220V供配电系统宜采用TN-S系统，供电系统的电缆金属外皮或电缆金属保护管两端均应接地，在供配电系统的电源端应安装与设备耐压水平相适应的过电压（电涌）保护器。</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bCs/>
                <w:kern w:val="2"/>
                <w:sz w:val="21"/>
                <w:szCs w:val="21"/>
              </w:rPr>
            </w:pPr>
            <w:r>
              <w:rPr>
                <w:rFonts w:hint="eastAsia" w:ascii="宋体" w:hAnsi="宋体" w:eastAsia="宋体" w:cs="宋体"/>
                <w:bCs/>
                <w:kern w:val="2"/>
                <w:sz w:val="21"/>
                <w:szCs w:val="21"/>
              </w:rPr>
              <w:t>加油站的信息系统配线</w:t>
            </w:r>
            <w:r>
              <w:rPr>
                <w:rFonts w:hint="eastAsia" w:ascii="宋体" w:hAnsi="宋体" w:eastAsia="宋体" w:cs="宋体"/>
                <w:bCs/>
                <w:kern w:val="2"/>
                <w:sz w:val="21"/>
                <w:szCs w:val="21"/>
                <w:lang w:eastAsia="zh-CN"/>
              </w:rPr>
              <w:t>及保护接地等均符合要求</w:t>
            </w:r>
            <w:r>
              <w:rPr>
                <w:rFonts w:hint="eastAsia" w:ascii="宋体" w:hAnsi="宋体" w:eastAsia="宋体" w:cs="宋体"/>
                <w:bCs/>
                <w:kern w:val="2"/>
                <w:sz w:val="21"/>
                <w:szCs w:val="21"/>
              </w:rPr>
              <w:t>。</w:t>
            </w:r>
          </w:p>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eastAsia="zh-CN"/>
              </w:rPr>
            </w:pPr>
            <w:r>
              <w:rPr>
                <w:rFonts w:hint="eastAsia" w:ascii="宋体" w:hAnsi="宋体" w:eastAsia="宋体" w:cs="宋体"/>
                <w:bCs/>
                <w:kern w:val="2"/>
                <w:sz w:val="21"/>
                <w:szCs w:val="21"/>
                <w:lang w:eastAsia="zh-CN"/>
              </w:rPr>
              <w:t>油站</w:t>
            </w:r>
            <w:r>
              <w:rPr>
                <w:rFonts w:hint="eastAsia" w:ascii="宋体" w:hAnsi="宋体" w:eastAsia="宋体" w:cs="宋体"/>
                <w:bCs/>
                <w:kern w:val="2"/>
                <w:sz w:val="21"/>
                <w:szCs w:val="21"/>
              </w:rPr>
              <w:t>供配电系统采用TN-S系统，供电系统的电缆金属外皮或电缆金属保护管两端均接地，在供配电系统的电源端安装与设备耐压水平相适应的过电压（电涌）保护器。</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bCs/>
                <w:kern w:val="2"/>
                <w:sz w:val="21"/>
                <w:szCs w:val="21"/>
                <w:lang w:eastAsia="zh-CN"/>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b/>
                <w:kern w:val="2"/>
                <w:sz w:val="21"/>
                <w:szCs w:val="21"/>
              </w:rPr>
            </w:pPr>
          </w:p>
        </w:tc>
        <w:tc>
          <w:tcPr>
            <w:tcW w:w="4697"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bCs/>
                <w:kern w:val="2"/>
                <w:sz w:val="21"/>
                <w:szCs w:val="21"/>
              </w:rPr>
            </w:pPr>
            <w:r>
              <w:rPr>
                <w:rFonts w:hint="eastAsia" w:ascii="宋体" w:hAnsi="宋体" w:eastAsia="宋体" w:cs="宋体"/>
                <w:bCs/>
                <w:kern w:val="2"/>
                <w:sz w:val="21"/>
                <w:szCs w:val="21"/>
              </w:rPr>
              <w:t>地上或管沟敷设的油品管道的始、末端和分支处应设防静电和防感应雷的联合接地装置，其接地电阻不应大于30Ω。</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eastAsia="zh-CN"/>
              </w:rPr>
            </w:pPr>
            <w:r>
              <w:rPr>
                <w:rFonts w:hint="eastAsia" w:ascii="宋体" w:hAnsi="宋体" w:eastAsia="宋体" w:cs="宋体"/>
                <w:bCs/>
                <w:kern w:val="2"/>
                <w:sz w:val="21"/>
                <w:szCs w:val="21"/>
              </w:rPr>
              <w:t>管沟敷设的油品管道的始、末端和分支处设</w:t>
            </w:r>
            <w:r>
              <w:rPr>
                <w:rFonts w:hint="eastAsia" w:ascii="宋体" w:hAnsi="宋体" w:eastAsia="宋体" w:cs="宋体"/>
                <w:bCs/>
                <w:kern w:val="2"/>
                <w:sz w:val="21"/>
                <w:szCs w:val="21"/>
                <w:lang w:eastAsia="zh-CN"/>
              </w:rPr>
              <w:t>有</w:t>
            </w:r>
            <w:r>
              <w:rPr>
                <w:rFonts w:hint="eastAsia" w:ascii="宋体" w:hAnsi="宋体" w:eastAsia="宋体" w:cs="宋体"/>
                <w:bCs/>
                <w:kern w:val="2"/>
                <w:sz w:val="21"/>
                <w:szCs w:val="21"/>
              </w:rPr>
              <w:t>防静电和防感应雷的联合接地装置，其接地电阻不大于30Ω。</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bCs/>
                <w:kern w:val="2"/>
                <w:sz w:val="21"/>
                <w:szCs w:val="21"/>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b/>
                <w:kern w:val="2"/>
                <w:sz w:val="21"/>
                <w:szCs w:val="21"/>
              </w:rPr>
            </w:pPr>
          </w:p>
        </w:tc>
        <w:tc>
          <w:tcPr>
            <w:tcW w:w="4697"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bCs/>
                <w:kern w:val="2"/>
                <w:sz w:val="21"/>
                <w:szCs w:val="21"/>
              </w:rPr>
            </w:pPr>
            <w:r>
              <w:rPr>
                <w:rFonts w:hint="eastAsia" w:ascii="宋体" w:hAnsi="宋体" w:eastAsia="宋体" w:cs="宋体"/>
                <w:bCs/>
                <w:kern w:val="2"/>
                <w:sz w:val="21"/>
                <w:szCs w:val="21"/>
              </w:rPr>
              <w:t>加油站的汽油槽罐车卸车场地，应设罐车卸车时用的防静电接地装置。</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eastAsia="zh-CN"/>
              </w:rPr>
            </w:pPr>
            <w:r>
              <w:rPr>
                <w:rFonts w:hint="eastAsia" w:ascii="宋体" w:hAnsi="宋体" w:eastAsia="宋体" w:cs="宋体"/>
                <w:bCs/>
                <w:kern w:val="2"/>
                <w:sz w:val="21"/>
                <w:szCs w:val="21"/>
              </w:rPr>
              <w:t>加油站的汽油槽罐车卸车场地，设</w:t>
            </w:r>
            <w:r>
              <w:rPr>
                <w:rFonts w:hint="eastAsia" w:ascii="宋体" w:hAnsi="宋体" w:eastAsia="宋体" w:cs="宋体"/>
                <w:bCs/>
                <w:kern w:val="2"/>
                <w:sz w:val="21"/>
                <w:szCs w:val="21"/>
                <w:lang w:val="en-US" w:eastAsia="zh-CN"/>
              </w:rPr>
              <w:t>有</w:t>
            </w:r>
            <w:r>
              <w:rPr>
                <w:rFonts w:hint="eastAsia" w:ascii="宋体" w:hAnsi="宋体" w:eastAsia="宋体" w:cs="宋体"/>
                <w:bCs/>
                <w:kern w:val="2"/>
                <w:sz w:val="21"/>
                <w:szCs w:val="21"/>
              </w:rPr>
              <w:t>罐车卸车时用的防静电接地装置。</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bCs/>
                <w:kern w:val="2"/>
                <w:sz w:val="21"/>
                <w:szCs w:val="21"/>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b/>
                <w:kern w:val="2"/>
                <w:sz w:val="21"/>
                <w:szCs w:val="21"/>
              </w:rPr>
            </w:pPr>
          </w:p>
        </w:tc>
        <w:tc>
          <w:tcPr>
            <w:tcW w:w="4697"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bCs/>
                <w:kern w:val="2"/>
                <w:sz w:val="21"/>
                <w:szCs w:val="21"/>
              </w:rPr>
            </w:pPr>
            <w:r>
              <w:rPr>
                <w:rFonts w:hint="eastAsia" w:ascii="宋体" w:hAnsi="宋体" w:eastAsia="宋体" w:cs="宋体"/>
                <w:bCs/>
                <w:kern w:val="2"/>
                <w:sz w:val="21"/>
                <w:szCs w:val="21"/>
              </w:rPr>
              <w:t>加油站的油槽罐车卸车场地宜设置能检测跨接线及监视接地装置状态的静电接地仪。</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eastAsia="zh-CN"/>
              </w:rPr>
            </w:pPr>
            <w:r>
              <w:rPr>
                <w:rFonts w:hint="eastAsia" w:ascii="宋体" w:hAnsi="宋体" w:eastAsia="宋体" w:cs="宋体"/>
                <w:bCs/>
                <w:kern w:val="2"/>
                <w:sz w:val="21"/>
                <w:szCs w:val="21"/>
              </w:rPr>
              <w:t>加油站的油槽罐车卸车场地宜设置能检测跨接线及监视接地装置状态的静电接地仪。</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bCs/>
                <w:kern w:val="2"/>
                <w:sz w:val="21"/>
                <w:szCs w:val="21"/>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b/>
                <w:kern w:val="2"/>
                <w:sz w:val="21"/>
                <w:szCs w:val="21"/>
              </w:rPr>
            </w:pPr>
          </w:p>
        </w:tc>
        <w:tc>
          <w:tcPr>
            <w:tcW w:w="4697"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bCs/>
                <w:kern w:val="2"/>
                <w:sz w:val="21"/>
                <w:szCs w:val="21"/>
              </w:rPr>
            </w:pPr>
            <w:r>
              <w:rPr>
                <w:rFonts w:hint="eastAsia" w:ascii="宋体" w:hAnsi="宋体" w:eastAsia="宋体" w:cs="宋体"/>
                <w:bCs/>
                <w:kern w:val="2"/>
                <w:sz w:val="21"/>
                <w:szCs w:val="21"/>
              </w:rPr>
              <w:t>在爆炸危险区域内的油品管道上的法兰、胶管两端等连接处应用金属线跨接。当法兰的连接螺栓不少于5根时，在非腐蚀环境下，可不跨接。</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eastAsia="zh-CN"/>
              </w:rPr>
            </w:pPr>
            <w:r>
              <w:rPr>
                <w:rFonts w:hint="eastAsia" w:ascii="宋体" w:hAnsi="宋体" w:eastAsia="宋体" w:cs="宋体"/>
                <w:bCs/>
                <w:kern w:val="2"/>
                <w:sz w:val="21"/>
                <w:szCs w:val="21"/>
              </w:rPr>
              <w:t>在爆炸危险区域内的油品管道上的法兰、胶管两端等连接处</w:t>
            </w:r>
            <w:r>
              <w:rPr>
                <w:rFonts w:hint="eastAsia" w:ascii="宋体" w:hAnsi="宋体" w:eastAsia="宋体" w:cs="宋体"/>
                <w:bCs/>
                <w:kern w:val="2"/>
                <w:sz w:val="21"/>
                <w:szCs w:val="21"/>
                <w:lang w:eastAsia="zh-CN"/>
              </w:rPr>
              <w:t>已</w:t>
            </w:r>
            <w:r>
              <w:rPr>
                <w:rFonts w:hint="eastAsia" w:ascii="宋体" w:hAnsi="宋体" w:eastAsia="宋体" w:cs="宋体"/>
                <w:bCs/>
                <w:kern w:val="2"/>
                <w:sz w:val="21"/>
                <w:szCs w:val="21"/>
              </w:rPr>
              <w:t>用金属线跨接。</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bCs/>
                <w:kern w:val="2"/>
                <w:sz w:val="21"/>
                <w:szCs w:val="21"/>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b/>
                <w:kern w:val="2"/>
                <w:sz w:val="21"/>
                <w:szCs w:val="21"/>
              </w:rPr>
            </w:pPr>
          </w:p>
        </w:tc>
        <w:tc>
          <w:tcPr>
            <w:tcW w:w="4697"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bCs/>
                <w:kern w:val="2"/>
                <w:sz w:val="21"/>
                <w:szCs w:val="21"/>
                <w:lang w:eastAsia="zh-CN"/>
              </w:rPr>
            </w:pPr>
            <w:r>
              <w:rPr>
                <w:rFonts w:hint="eastAsia" w:ascii="宋体" w:hAnsi="宋体" w:eastAsia="宋体" w:cs="宋体"/>
                <w:bCs/>
                <w:kern w:val="2"/>
                <w:sz w:val="21"/>
                <w:szCs w:val="21"/>
              </w:rPr>
              <w:t>独立防静电接地装置的接地电阻不应大于100Ω。</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eastAsia="zh-CN"/>
              </w:rPr>
            </w:pPr>
            <w:r>
              <w:rPr>
                <w:rFonts w:hint="eastAsia" w:ascii="宋体" w:hAnsi="宋体" w:eastAsia="宋体" w:cs="宋体"/>
                <w:bCs/>
                <w:kern w:val="2"/>
                <w:sz w:val="21"/>
                <w:szCs w:val="21"/>
              </w:rPr>
              <w:t>独立防静电接地装置的接地电阻大于100Ω。</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bCs/>
                <w:kern w:val="2"/>
                <w:sz w:val="21"/>
                <w:szCs w:val="21"/>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b/>
                <w:kern w:val="2"/>
                <w:sz w:val="21"/>
                <w:szCs w:val="21"/>
                <w:lang w:eastAsia="zh-CN"/>
              </w:rPr>
            </w:pPr>
            <w:r>
              <w:rPr>
                <w:rFonts w:hint="eastAsia" w:ascii="宋体" w:hAnsi="宋体" w:eastAsia="宋体" w:cs="宋体"/>
                <w:b/>
                <w:kern w:val="2"/>
                <w:sz w:val="21"/>
                <w:szCs w:val="21"/>
                <w:lang w:eastAsia="zh-CN"/>
              </w:rPr>
              <w:t>四</w:t>
            </w:r>
          </w:p>
        </w:tc>
        <w:tc>
          <w:tcPr>
            <w:tcW w:w="9186" w:type="dxa"/>
            <w:gridSpan w:val="3"/>
            <w:vAlign w:val="center"/>
          </w:tcPr>
          <w:p>
            <w:pPr>
              <w:keepNext w:val="0"/>
              <w:keepLines w:val="0"/>
              <w:suppressLineNumbers w:val="0"/>
              <w:spacing w:before="0" w:beforeAutospacing="0" w:after="0" w:afterAutospacing="0"/>
              <w:ind w:left="0" w:right="0"/>
              <w:jc w:val="both"/>
              <w:rPr>
                <w:rFonts w:hint="eastAsia" w:ascii="宋体" w:hAnsi="宋体" w:eastAsia="宋体" w:cs="宋体"/>
                <w:b/>
                <w:kern w:val="2"/>
                <w:sz w:val="21"/>
                <w:szCs w:val="21"/>
              </w:rPr>
            </w:pPr>
            <w:r>
              <w:rPr>
                <w:rFonts w:hint="eastAsia" w:ascii="宋体" w:hAnsi="宋体" w:eastAsia="宋体" w:cs="宋体"/>
                <w:b/>
                <w:bCs/>
                <w:kern w:val="2"/>
                <w:sz w:val="21"/>
                <w:szCs w:val="21"/>
                <w:lang w:val="en-US" w:eastAsia="zh-CN"/>
              </w:rPr>
              <w:t>防渗改造工程应采取的安全措施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restart"/>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聘请有石油化工建设工程施工资质的单位承担本改造工程的施工，施工之前必须签订承包合同和安全施工协议，明确双方的安全责任，编制工程安全施工方案，做好工程安全施工技术交底。</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施工单位和建设单位均具有资质。</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val="en-US"/>
              </w:rPr>
            </w:pPr>
            <w:r>
              <w:rPr>
                <w:rFonts w:hint="eastAsia" w:ascii="宋体" w:hAnsi="宋体" w:eastAsia="宋体" w:cs="宋体"/>
                <w:color w:val="auto"/>
                <w:kern w:val="2"/>
                <w:sz w:val="21"/>
                <w:szCs w:val="21"/>
                <w:lang w:val="en-US" w:eastAsia="zh-CN"/>
              </w:rPr>
              <w:t>建设单位必须委托有建筑、石油化工工程监理资质的监理单位，对工程实施包括安全施工在内的全方位的工程监理，确保工程施工质量和安全。</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已聘请有相关监理资质的深圳市恒浩建工程项目管理有限公司作为监理单位确保施工质量和安全。</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val="en-US" w:eastAsia="zh-CN"/>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在防渗改造工程施工前，加油站应制订改造项目安全生产应急救援预案，筹备充足的应急救援器材，装备设施，开展应急演练，应对施工过程可能发生的事故。</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改建前油站已制定应急预案，配备充足的应急救援器材，装备设施。</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对工程改造施工过程中涉及到的罐区开挖动土、高处作业、起重作业、动焊动火、盲板封堵、受限空间作业等特殊作业，实施特殊作业提级管理。施工单位必须严格按特殊作业规范实施特殊作业申请审批制度，办理特殊作业施工许可证，安排有资质持证的特殊作业人员上岗施工。</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已制定相关施工过程中的制度。</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本次地下油罐防渗改造工程，原则上禁止采用旧罐加内衬的施工方案。</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本次项目为更换新罐。</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val="en-US"/>
              </w:rPr>
            </w:pPr>
            <w:r>
              <w:rPr>
                <w:rFonts w:hint="eastAsia" w:ascii="宋体" w:hAnsi="宋体" w:eastAsia="宋体" w:cs="宋体"/>
                <w:color w:val="auto"/>
                <w:kern w:val="2"/>
                <w:sz w:val="21"/>
                <w:szCs w:val="21"/>
                <w:lang w:val="en-US" w:eastAsia="zh-CN"/>
              </w:rPr>
              <w:t>罐区的开挖应采用湿式挖掘的方式，特别注意控制钢钎挖掘过程产生撞击火花。</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val="en-US"/>
              </w:rPr>
            </w:pPr>
            <w:r>
              <w:rPr>
                <w:rFonts w:hint="eastAsia" w:ascii="宋体" w:hAnsi="宋体" w:eastAsia="宋体" w:cs="宋体"/>
                <w:color w:val="auto"/>
                <w:kern w:val="2"/>
                <w:sz w:val="21"/>
                <w:szCs w:val="21"/>
                <w:lang w:val="en-US" w:eastAsia="zh-CN"/>
              </w:rPr>
              <w:t>罐区开挖采用湿式挖掘的方式。</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val="en-US" w:eastAsia="zh-CN"/>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旧油罐的拆解必须从螺栓紧固连接处用扳手湿式拆解；若非螺栓紧固连接，需动用气割时，一定要做好油罐油管内油气的灌水清理、置换干净，检测合格，确认不残留易燃易爆气体的情况下，在做好消防救护准备，做足防火措施后，方可动工切割。</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rPr>
              <w:t>有相应对策措施</w:t>
            </w:r>
            <w:r>
              <w:rPr>
                <w:rFonts w:hint="eastAsia" w:ascii="宋体" w:hAnsi="宋体" w:eastAsia="宋体" w:cs="宋体"/>
                <w:kern w:val="2"/>
                <w:sz w:val="21"/>
                <w:szCs w:val="21"/>
                <w:lang w:val="en-US" w:eastAsia="zh-CN"/>
              </w:rPr>
              <w:t>。</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旧罐起吊、装车，必须注意钢丝绳加垫块，防止钢丝绳和罐体滑移摩擦产生火花，旧罐装车要垫稳固定，外运交由专业回收公司处置，禁止在加油站现场对旧油罐作进一步的拆解处置、动火切割。</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旧罐起吊、装车，钢丝绳加垫块垫稳固定，外运交由专业回收公司处置，未在加油站现场对旧油罐作进一步的拆解处置、动火切割。</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旧罐和管线拆解时，要用盲板、丝堵封堵分隔，防止罐、管内残留的易燃易爆气体串联扩延引发闪爆、爆燃事故。</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作业符合要求。</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leftChars="0" w:right="0" w:rightChars="0"/>
              <w:jc w:val="both"/>
              <w:rPr>
                <w:rFonts w:hint="eastAsia" w:ascii="宋体" w:hAnsi="宋体" w:eastAsia="宋体" w:cs="宋体"/>
                <w:kern w:val="2"/>
                <w:sz w:val="21"/>
                <w:szCs w:val="21"/>
                <w:lang w:val="en-US" w:eastAsia="zh-CN" w:bidi="zh-CN"/>
              </w:rPr>
            </w:pPr>
            <w:r>
              <w:rPr>
                <w:rFonts w:hint="eastAsia" w:ascii="宋体" w:hAnsi="宋体" w:eastAsia="宋体" w:cs="宋体"/>
                <w:kern w:val="2"/>
                <w:sz w:val="21"/>
                <w:szCs w:val="21"/>
                <w:lang w:val="en-US" w:eastAsia="zh-CN"/>
              </w:rPr>
              <w:t>对旧油罐、旧输油管线进行灌水置换、清洗所产生的带汽油污水，应集中收集，外运交专业污水处理单位处理，不能随意排入城市下水道。</w:t>
            </w:r>
          </w:p>
        </w:tc>
        <w:tc>
          <w:tcPr>
            <w:tcW w:w="3134" w:type="dxa"/>
            <w:vAlign w:val="center"/>
          </w:tcPr>
          <w:p>
            <w:pPr>
              <w:keepNext w:val="0"/>
              <w:keepLines w:val="0"/>
              <w:suppressLineNumbers w:val="0"/>
              <w:spacing w:before="0" w:beforeAutospacing="0" w:after="0" w:afterAutospacing="0"/>
              <w:ind w:left="0" w:leftChars="0" w:right="0" w:rightChars="0"/>
              <w:jc w:val="both"/>
              <w:rPr>
                <w:rFonts w:hint="eastAsia" w:ascii="宋体" w:hAnsi="宋体" w:eastAsia="宋体" w:cs="宋体"/>
                <w:kern w:val="2"/>
                <w:sz w:val="21"/>
                <w:szCs w:val="21"/>
                <w:lang w:val="en-US" w:eastAsia="zh-CN" w:bidi="zh-CN"/>
              </w:rPr>
            </w:pPr>
            <w:r>
              <w:rPr>
                <w:rFonts w:hint="eastAsia" w:ascii="宋体" w:hAnsi="宋体" w:eastAsia="宋体" w:cs="宋体"/>
                <w:kern w:val="2"/>
                <w:sz w:val="21"/>
                <w:szCs w:val="21"/>
                <w:lang w:val="en-US" w:eastAsia="zh-CN"/>
              </w:rPr>
              <w:t>旧油罐、旧输油管线进行灌水置换、清洗所产生的带汽油污水，已集中收集，外运交专业污水处理单位处理。</w:t>
            </w:r>
          </w:p>
        </w:tc>
        <w:tc>
          <w:tcPr>
            <w:tcW w:w="1355" w:type="dxa"/>
            <w:vAlign w:val="center"/>
          </w:tcPr>
          <w:p>
            <w:pPr>
              <w:keepNext w:val="0"/>
              <w:keepLines w:val="0"/>
              <w:suppressLineNumbers w:val="0"/>
              <w:spacing w:before="0" w:beforeAutospacing="0" w:after="0" w:afterAutospacing="0"/>
              <w:ind w:left="0" w:leftChars="0" w:right="0" w:rightChars="0"/>
              <w:jc w:val="both"/>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leftChars="0" w:right="0" w:rightChars="0"/>
              <w:jc w:val="both"/>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必须将旧油罐、旧输油管线中的汽油、柴油和油气等易燃易爆物质清除干净，才能进行旧油罐、旧输油管线的拆解、切割等操作。</w:t>
            </w:r>
          </w:p>
        </w:tc>
        <w:tc>
          <w:tcPr>
            <w:tcW w:w="3134" w:type="dxa"/>
            <w:vAlign w:val="center"/>
          </w:tcPr>
          <w:p>
            <w:pPr>
              <w:keepNext w:val="0"/>
              <w:keepLines w:val="0"/>
              <w:suppressLineNumbers w:val="0"/>
              <w:spacing w:before="0" w:beforeAutospacing="0" w:after="0" w:afterAutospacing="0"/>
              <w:ind w:left="0" w:leftChars="0" w:right="0" w:rightChars="0"/>
              <w:jc w:val="both"/>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进行旧油罐、旧输油管线的拆解、切割等操作前已将将旧油罐、旧输油管线中的汽油、柴油和油气等易燃易爆物质清除干净。</w:t>
            </w:r>
          </w:p>
        </w:tc>
        <w:tc>
          <w:tcPr>
            <w:tcW w:w="1355" w:type="dxa"/>
            <w:vAlign w:val="center"/>
          </w:tcPr>
          <w:p>
            <w:pPr>
              <w:keepNext w:val="0"/>
              <w:keepLines w:val="0"/>
              <w:suppressLineNumbers w:val="0"/>
              <w:spacing w:before="0" w:beforeAutospacing="0" w:after="0" w:afterAutospacing="0"/>
              <w:ind w:left="0" w:leftChars="0" w:right="0" w:rightChars="0"/>
              <w:jc w:val="both"/>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9" w:hRule="atLeast"/>
          <w:jc w:val="center"/>
        </w:trPr>
        <w:tc>
          <w:tcPr>
            <w:tcW w:w="70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kern w:val="2"/>
                <w:sz w:val="21"/>
                <w:szCs w:val="21"/>
                <w:lang w:val="en-US" w:eastAsia="zh-CN"/>
              </w:rPr>
            </w:pPr>
            <w:r>
              <w:rPr>
                <w:rFonts w:hint="eastAsia" w:ascii="宋体" w:hAnsi="宋体" w:eastAsia="宋体" w:cs="宋体"/>
                <w:b/>
                <w:bCs/>
                <w:kern w:val="2"/>
                <w:sz w:val="21"/>
                <w:szCs w:val="21"/>
                <w:lang w:val="en-US" w:eastAsia="zh-CN"/>
              </w:rPr>
              <w:t>五</w:t>
            </w:r>
          </w:p>
        </w:tc>
        <w:tc>
          <w:tcPr>
            <w:tcW w:w="9186" w:type="dxa"/>
            <w:gridSpan w:val="3"/>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rPr>
            </w:pPr>
            <w:r>
              <w:rPr>
                <w:rFonts w:hint="eastAsia" w:ascii="宋体" w:hAnsi="宋体" w:eastAsia="宋体" w:cs="宋体"/>
                <w:b/>
                <w:bCs/>
                <w:kern w:val="2"/>
                <w:sz w:val="21"/>
                <w:szCs w:val="21"/>
                <w:lang w:val="en-US" w:eastAsia="zh-CN"/>
              </w:rPr>
              <w:t>事故预防和应急救援措施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708" w:type="dxa"/>
            <w:vMerge w:val="restart"/>
            <w:vAlign w:val="center"/>
          </w:tcPr>
          <w:p>
            <w:pPr>
              <w:keepNext w:val="0"/>
              <w:keepLines w:val="0"/>
              <w:suppressLineNumbers w:val="0"/>
              <w:spacing w:before="0" w:beforeAutospacing="0" w:after="0" w:afterAutospacing="0"/>
              <w:ind w:left="0" w:right="0"/>
              <w:jc w:val="center"/>
              <w:rPr>
                <w:rFonts w:hint="eastAsia" w:ascii="宋体" w:hAnsi="宋体" w:eastAsia="宋体" w:cs="宋体"/>
                <w:b/>
                <w:kern w:val="2"/>
                <w:sz w:val="21"/>
                <w:szCs w:val="21"/>
              </w:rPr>
            </w:pPr>
          </w:p>
        </w:tc>
        <w:tc>
          <w:tcPr>
            <w:tcW w:w="4697"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防止油品泄漏。</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eastAsia="zh-CN"/>
              </w:rPr>
            </w:pPr>
            <w:r>
              <w:rPr>
                <w:rFonts w:hint="eastAsia" w:ascii="宋体" w:hAnsi="宋体" w:eastAsia="宋体" w:cs="宋体"/>
                <w:color w:val="auto"/>
                <w:kern w:val="2"/>
                <w:sz w:val="21"/>
                <w:szCs w:val="21"/>
              </w:rPr>
              <w:t>罐区采用SF双层埋地油罐，</w:t>
            </w:r>
            <w:r>
              <w:rPr>
                <w:rFonts w:hint="eastAsia" w:ascii="宋体" w:hAnsi="宋体" w:eastAsia="宋体" w:cs="宋体"/>
                <w:color w:val="auto"/>
                <w:kern w:val="2"/>
                <w:sz w:val="21"/>
                <w:szCs w:val="21"/>
                <w:lang w:val="en-US"/>
              </w:rPr>
              <w:t>4个储罐均</w:t>
            </w:r>
            <w:r>
              <w:rPr>
                <w:rFonts w:hint="eastAsia" w:ascii="宋体" w:hAnsi="宋体" w:eastAsia="宋体" w:cs="宋体"/>
                <w:color w:val="auto"/>
                <w:kern w:val="2"/>
                <w:sz w:val="21"/>
                <w:szCs w:val="21"/>
              </w:rPr>
              <w:t>有设置在线测漏装置。</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b/>
                <w:kern w:val="2"/>
                <w:sz w:val="21"/>
                <w:szCs w:val="21"/>
              </w:rPr>
            </w:pPr>
          </w:p>
        </w:tc>
        <w:tc>
          <w:tcPr>
            <w:tcW w:w="4697"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加强各作业场所的通风，清理通风死角，避免油品蒸气的积聚。</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eastAsia="zh-CN"/>
              </w:rPr>
            </w:pPr>
            <w:r>
              <w:rPr>
                <w:rFonts w:hint="eastAsia" w:ascii="宋体" w:hAnsi="宋体" w:eastAsia="宋体" w:cs="宋体"/>
                <w:kern w:val="2"/>
                <w:sz w:val="21"/>
                <w:szCs w:val="21"/>
                <w:lang w:eastAsia="zh-CN"/>
              </w:rPr>
              <w:t>作业符合要求。</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eastAsia="zh-CN"/>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b/>
                <w:kern w:val="2"/>
                <w:sz w:val="21"/>
                <w:szCs w:val="21"/>
              </w:rPr>
            </w:pPr>
          </w:p>
        </w:tc>
        <w:tc>
          <w:tcPr>
            <w:tcW w:w="4697"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控制与消除火源：</w:t>
            </w:r>
          </w:p>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①严禁吸烟、携带火种、穿带钉皮鞋等进入火灾爆炸危险区域；</w:t>
            </w:r>
          </w:p>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②动火必须严格按动火手续办理动火证，并采取有效防范措施；</w:t>
            </w:r>
          </w:p>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③采用防爆型电气设备、设施；</w:t>
            </w:r>
          </w:p>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④火灾爆炸危险区域严禁使用易发生火花的工具作业；</w:t>
            </w:r>
          </w:p>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⑤按规定要求采取防静电措施，安装避雷装置，并定期检查、检测，确保完好可靠；</w:t>
            </w:r>
          </w:p>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⑥进入油罐区、卸车点等区域车辆应加装阻火器；</w:t>
            </w:r>
          </w:p>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⑦加强日常安全检查，防止外界飞火。</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eastAsia="zh-CN"/>
              </w:rPr>
            </w:pPr>
            <w:r>
              <w:rPr>
                <w:rFonts w:hint="eastAsia" w:ascii="宋体" w:hAnsi="宋体" w:eastAsia="宋体" w:cs="宋体"/>
                <w:kern w:val="2"/>
                <w:sz w:val="21"/>
                <w:szCs w:val="21"/>
                <w:lang w:eastAsia="zh-CN"/>
              </w:rPr>
              <w:t>有制定相应的规章制度和警示标识控制与消除火源。</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eastAsia="zh-CN"/>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b/>
                <w:kern w:val="2"/>
                <w:sz w:val="21"/>
                <w:szCs w:val="21"/>
              </w:rPr>
            </w:pPr>
          </w:p>
        </w:tc>
        <w:tc>
          <w:tcPr>
            <w:tcW w:w="4697"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落实安全生产责任制，贯彻执行《企业安全生产责任体系五落实五到位规定》，加强安全生产管理，杜绝违章作业。</w:t>
            </w:r>
          </w:p>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①必须落实“党政同责”要求，董事长、党组织书记、总经理对本企业安全生产工作共同承担领导责任。</w:t>
            </w:r>
          </w:p>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②必须落实安全生产“一岗双责”，所有领导班子成员对分管范围内安全生产工作承担相应职责。</w:t>
            </w:r>
          </w:p>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③必须落实安全生产组织领导机构，成立安全生产委员会，由董事长或总经理担任主任。</w:t>
            </w:r>
          </w:p>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④必须落实安全管理力量，依法设置安全生产管理机构，配齐配强注册安全工程师等专业安全管理人员。</w:t>
            </w:r>
          </w:p>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⑤必须落实安全生产报告制度，定期向董事会、业绩考核部门报告安全生产情况，并向社会公示。</w:t>
            </w:r>
          </w:p>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⑥必须做到安全责任到位、安全投入到位、安全培训到位、安全管理到位、应急救援到位。</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eastAsia="zh-CN"/>
              </w:rPr>
            </w:pPr>
            <w:r>
              <w:rPr>
                <w:rFonts w:hint="eastAsia" w:ascii="宋体" w:hAnsi="宋体" w:eastAsia="宋体" w:cs="宋体"/>
                <w:kern w:val="2"/>
                <w:sz w:val="21"/>
                <w:szCs w:val="21"/>
                <w:lang w:eastAsia="zh-CN"/>
              </w:rPr>
              <w:t>有相应制度保证落实生产责任制。</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eastAsia="zh-CN"/>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4697" w:type="dxa"/>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加强员工培训和教育，提高业务水平和安全意识，严格执行各项安全操作规程。</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eastAsia="zh-CN"/>
              </w:rPr>
            </w:pPr>
            <w:r>
              <w:rPr>
                <w:rFonts w:hint="eastAsia" w:ascii="宋体" w:hAnsi="宋体" w:eastAsia="宋体" w:cs="宋体"/>
                <w:kern w:val="2"/>
                <w:sz w:val="21"/>
                <w:szCs w:val="21"/>
                <w:lang w:eastAsia="zh-CN"/>
              </w:rPr>
              <w:t>已制定相应的规范制度。</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eastAsia="zh-CN"/>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按规范要求配置相应的灭火器材和消防设施。</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已按规范要求配置相应的灭火器材和消防设施。</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708" w:type="dxa"/>
            <w:vMerge w:val="restart"/>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为员工配备相应的个体劳保用品，如防静电工作服和鞋等；配备各种事故应急救援药械和器具，如防毒面具、洗眼冲淋装置、应急药品等。</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有配备相应的个体防护用品和各种事故应急救援药械和器具。</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在各危险场所设置相应的安全警示标志。</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有设置相应的安全警示标识。</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5"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有下列情形之一的，应急预案应当及时修订：</w:t>
            </w:r>
          </w:p>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①生产经营单位因兼并、重组、转制等导致隶属关系、经营方式、法定代表人发生变化的；</w:t>
            </w:r>
          </w:p>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②生产经营单位生产工艺和技术发生变化的；</w:t>
            </w:r>
          </w:p>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③周围环境发生变化，形成新的重大危险源的；</w:t>
            </w:r>
          </w:p>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④应急组织指挥体系或者职责已经调整的；</w:t>
            </w:r>
          </w:p>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⑤依据的法律、法规、规章和标准发生变化的；</w:t>
            </w:r>
          </w:p>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⑥应急预案演练评估报告要求修订的；</w:t>
            </w:r>
          </w:p>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⑦应急预案管理部门要求修订的。</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val="en-US" w:eastAsia="zh-CN"/>
              </w:rPr>
              <w:t>有相关制度保证应急预案及时更新。</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70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b/>
                <w:kern w:val="2"/>
                <w:sz w:val="21"/>
                <w:szCs w:val="21"/>
                <w:lang w:eastAsia="zh-CN"/>
              </w:rPr>
            </w:pPr>
            <w:r>
              <w:rPr>
                <w:rFonts w:hint="eastAsia" w:ascii="宋体" w:hAnsi="宋体" w:eastAsia="宋体" w:cs="宋体"/>
                <w:b/>
                <w:kern w:val="2"/>
                <w:sz w:val="21"/>
                <w:szCs w:val="21"/>
                <w:lang w:eastAsia="zh-CN"/>
              </w:rPr>
              <w:t>六</w:t>
            </w:r>
          </w:p>
        </w:tc>
        <w:tc>
          <w:tcPr>
            <w:tcW w:w="9186" w:type="dxa"/>
            <w:gridSpan w:val="3"/>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rPr>
            </w:pPr>
            <w:r>
              <w:rPr>
                <w:rFonts w:hint="eastAsia" w:ascii="宋体" w:hAnsi="宋体" w:eastAsia="宋体" w:cs="宋体"/>
                <w:b/>
                <w:kern w:val="2"/>
                <w:sz w:val="21"/>
                <w:szCs w:val="21"/>
              </w:rPr>
              <w:t>应急救援对策措施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5" w:hRule="atLeast"/>
          <w:jc w:val="center"/>
        </w:trPr>
        <w:tc>
          <w:tcPr>
            <w:tcW w:w="70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rPr>
            </w:pPr>
            <w:r>
              <w:rPr>
                <w:rFonts w:hint="eastAsia" w:ascii="宋体" w:hAnsi="宋体" w:eastAsia="宋体" w:cs="宋体"/>
                <w:kern w:val="2"/>
                <w:sz w:val="21"/>
                <w:szCs w:val="21"/>
                <w:lang w:val="en-US" w:eastAsia="zh-CN"/>
              </w:rPr>
              <w:t>建设单位应根据《生产经营单位生产安全事故应急预案编制导则》（GB/T 29639-2013）编制应急预案，并到当地安全生产监督管理部门备案。预案应包括预防、准备、响应、恢复等方面内容，并与区域性的事故应急预案形成呼应。应确保应急救援组织机构和应急救援器材，并定期演练。</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eastAsia="zh-CN"/>
              </w:rPr>
            </w:pPr>
            <w:r>
              <w:rPr>
                <w:rFonts w:hint="eastAsia" w:ascii="宋体" w:hAnsi="宋体" w:eastAsia="宋体" w:cs="宋体"/>
                <w:color w:val="auto"/>
                <w:kern w:val="2"/>
                <w:sz w:val="21"/>
                <w:szCs w:val="21"/>
                <w:lang w:val="en-US" w:eastAsia="zh-CN"/>
              </w:rPr>
              <w:t>改建前已根据导则编制应急预案，并取得应急预案登记表，备案编号：441900-2018-0251。改建后的应急预案备案正同步办理中。</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val="en-US" w:eastAsia="zh-CN"/>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jc w:val="center"/>
        </w:trPr>
        <w:tc>
          <w:tcPr>
            <w:tcW w:w="70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b/>
                <w:kern w:val="2"/>
                <w:sz w:val="21"/>
                <w:szCs w:val="21"/>
                <w:lang w:eastAsia="zh-CN"/>
              </w:rPr>
            </w:pPr>
            <w:r>
              <w:rPr>
                <w:rFonts w:hint="eastAsia" w:ascii="宋体" w:hAnsi="宋体" w:eastAsia="宋体" w:cs="宋体"/>
                <w:b/>
                <w:kern w:val="2"/>
                <w:sz w:val="21"/>
                <w:szCs w:val="21"/>
                <w:lang w:eastAsia="zh-CN"/>
              </w:rPr>
              <w:t>七</w:t>
            </w:r>
          </w:p>
        </w:tc>
        <w:tc>
          <w:tcPr>
            <w:tcW w:w="9186" w:type="dxa"/>
            <w:gridSpan w:val="3"/>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lang w:val="en-US"/>
              </w:rPr>
            </w:pPr>
            <w:r>
              <w:rPr>
                <w:rFonts w:hint="eastAsia" w:ascii="宋体" w:hAnsi="宋体" w:eastAsia="宋体" w:cs="宋体"/>
                <w:b/>
                <w:kern w:val="2"/>
                <w:sz w:val="21"/>
                <w:szCs w:val="21"/>
                <w:lang w:eastAsia="zh-CN"/>
              </w:rPr>
              <w:t>应采取的其它综合措施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8" w:type="dxa"/>
            <w:vMerge w:val="restart"/>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lang w:val="en-US"/>
              </w:rPr>
            </w:pPr>
            <w:r>
              <w:rPr>
                <w:rFonts w:hint="eastAsia" w:ascii="宋体" w:hAnsi="宋体" w:eastAsia="宋体" w:cs="宋体"/>
                <w:kern w:val="2"/>
                <w:sz w:val="21"/>
                <w:szCs w:val="21"/>
                <w:lang w:val="en-US"/>
              </w:rPr>
              <w:t>项目工程的设计、施工、监理以及设备设施的安装、调试均应由具有相关资质的单位承担，并对工程的设计、施工、质量负责。工程竣工后，应按相关程序进行验收，验收合格后方能投入使用。</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eastAsia="zh-CN"/>
              </w:rPr>
            </w:pPr>
            <w:r>
              <w:rPr>
                <w:rFonts w:hint="eastAsia" w:ascii="宋体" w:hAnsi="宋体" w:eastAsia="宋体" w:cs="宋体"/>
                <w:kern w:val="2"/>
                <w:sz w:val="21"/>
                <w:szCs w:val="21"/>
                <w:lang w:val="en-US"/>
              </w:rPr>
              <w:t>项目工程的设计、施工、监理以及设备设施的安装、调试均由具有相关资质的单位承担</w:t>
            </w:r>
            <w:r>
              <w:rPr>
                <w:rFonts w:hint="eastAsia" w:ascii="宋体" w:hAnsi="宋体" w:eastAsia="宋体" w:cs="宋体"/>
                <w:kern w:val="2"/>
                <w:sz w:val="21"/>
                <w:szCs w:val="21"/>
                <w:lang w:val="en-US" w:eastAsia="zh-CN"/>
              </w:rPr>
              <w:t>，竣工后正按有关程序进行验收，验收后才投入使用。</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lang w:val="en-US"/>
              </w:rPr>
            </w:pPr>
            <w:r>
              <w:rPr>
                <w:rFonts w:hint="eastAsia" w:ascii="宋体" w:hAnsi="宋体" w:eastAsia="宋体" w:cs="宋体"/>
                <w:kern w:val="2"/>
                <w:sz w:val="21"/>
                <w:szCs w:val="21"/>
                <w:lang w:val="en-US"/>
              </w:rPr>
              <w:t>承建加油站建筑工程的施工单位应具有建筑工程的相应资质。</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rPr>
            </w:pPr>
            <w:r>
              <w:rPr>
                <w:rFonts w:hint="eastAsia" w:ascii="宋体" w:hAnsi="宋体" w:eastAsia="宋体" w:cs="宋体"/>
                <w:kern w:val="2"/>
                <w:sz w:val="21"/>
                <w:szCs w:val="21"/>
                <w:lang w:val="en-US"/>
              </w:rPr>
              <w:t>承建加油站建筑工程的施工单位具有建筑工程的相应资质。</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lang w:val="en-US"/>
              </w:rPr>
            </w:pPr>
            <w:r>
              <w:rPr>
                <w:rFonts w:hint="eastAsia" w:ascii="宋体" w:hAnsi="宋体" w:eastAsia="宋体" w:cs="宋体"/>
                <w:kern w:val="2"/>
                <w:sz w:val="21"/>
                <w:szCs w:val="21"/>
                <w:lang w:val="en-US"/>
              </w:rPr>
              <w:t>承建加油站安装工程的施工单位应具有设备、管道安装工程相应的资质。</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rPr>
            </w:pPr>
            <w:r>
              <w:rPr>
                <w:rFonts w:hint="eastAsia" w:ascii="宋体" w:hAnsi="宋体" w:eastAsia="宋体" w:cs="宋体"/>
                <w:kern w:val="2"/>
                <w:sz w:val="21"/>
                <w:szCs w:val="21"/>
                <w:lang w:val="en-US"/>
              </w:rPr>
              <w:t>承建加油站安装工程的施工单位具有设备、管道安装工程相应的资质。</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9"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lang w:val="en-US"/>
              </w:rPr>
            </w:pPr>
            <w:r>
              <w:rPr>
                <w:rFonts w:hint="eastAsia" w:ascii="宋体" w:hAnsi="宋体" w:eastAsia="宋体" w:cs="宋体"/>
                <w:kern w:val="2"/>
                <w:sz w:val="21"/>
                <w:szCs w:val="21"/>
                <w:lang w:val="en-US"/>
              </w:rPr>
              <w:t>加油站工程施工应按工程设计文件及工艺设备、电气仪表的产品使用说明书进行，如需修改设计或材料代用，应有原设计单位变更设计的书面文件或经原设计单位同意的设计变更书面文件。</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eastAsia="zh-CN"/>
              </w:rPr>
            </w:pPr>
            <w:r>
              <w:rPr>
                <w:rFonts w:hint="eastAsia" w:ascii="宋体" w:hAnsi="宋体" w:eastAsia="宋体" w:cs="宋体"/>
                <w:kern w:val="2"/>
                <w:sz w:val="21"/>
                <w:szCs w:val="21"/>
                <w:lang w:val="en-US"/>
              </w:rPr>
              <w:t>加油站工程施工应按工程设计文件及工艺设备、电气仪表的产品使用说明书进行</w:t>
            </w:r>
            <w:r>
              <w:rPr>
                <w:rFonts w:hint="eastAsia" w:ascii="宋体" w:hAnsi="宋体" w:eastAsia="宋体" w:cs="宋体"/>
                <w:kern w:val="2"/>
                <w:sz w:val="21"/>
                <w:szCs w:val="21"/>
                <w:lang w:val="en-US" w:eastAsia="zh-CN"/>
              </w:rPr>
              <w:t>。</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lang w:val="en-US"/>
              </w:rPr>
            </w:pPr>
            <w:r>
              <w:rPr>
                <w:rFonts w:hint="eastAsia" w:ascii="宋体" w:hAnsi="宋体" w:eastAsia="宋体" w:cs="宋体"/>
                <w:kern w:val="2"/>
                <w:sz w:val="21"/>
                <w:szCs w:val="21"/>
                <w:lang w:val="en-US"/>
              </w:rPr>
              <w:t>施工单位应编制施工方案，并在施工前进行设计交底和技术交底。</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rPr>
            </w:pPr>
            <w:r>
              <w:rPr>
                <w:rFonts w:hint="eastAsia" w:ascii="宋体" w:hAnsi="宋体" w:eastAsia="宋体" w:cs="宋体"/>
                <w:kern w:val="2"/>
                <w:sz w:val="21"/>
                <w:szCs w:val="21"/>
                <w:lang w:val="en-US"/>
              </w:rPr>
              <w:t>施工单位</w:t>
            </w:r>
            <w:r>
              <w:rPr>
                <w:rFonts w:hint="eastAsia" w:ascii="宋体" w:hAnsi="宋体" w:eastAsia="宋体" w:cs="宋体"/>
                <w:kern w:val="2"/>
                <w:sz w:val="21"/>
                <w:szCs w:val="21"/>
                <w:lang w:val="en-US" w:eastAsia="zh-CN"/>
              </w:rPr>
              <w:t>有</w:t>
            </w:r>
            <w:r>
              <w:rPr>
                <w:rFonts w:hint="eastAsia" w:ascii="宋体" w:hAnsi="宋体" w:eastAsia="宋体" w:cs="宋体"/>
                <w:kern w:val="2"/>
                <w:sz w:val="21"/>
                <w:szCs w:val="21"/>
                <w:lang w:val="en-US"/>
              </w:rPr>
              <w:t>编制施工方案，并在施工前进行设计交底和技术交底。</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rPr>
                <w:rFonts w:hint="eastAsia" w:ascii="宋体" w:hAnsi="宋体" w:eastAsia="宋体" w:cs="宋体"/>
                <w:color w:val="auto"/>
                <w:kern w:val="2"/>
                <w:sz w:val="21"/>
                <w:szCs w:val="21"/>
                <w:lang w:val="en-US"/>
              </w:rPr>
            </w:pPr>
            <w:r>
              <w:rPr>
                <w:rFonts w:hint="eastAsia" w:ascii="宋体" w:hAnsi="宋体" w:eastAsia="宋体" w:cs="宋体"/>
                <w:color w:val="auto"/>
                <w:kern w:val="2"/>
                <w:sz w:val="21"/>
                <w:szCs w:val="21"/>
                <w:lang w:val="en-US"/>
              </w:rPr>
              <w:t>加油站施工应做好施工记录，其中隐蔽工程施工记录应有建设或监理单位代表确认签字。</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val="en-US"/>
              </w:rPr>
              <w:t>加油站施工</w:t>
            </w:r>
            <w:r>
              <w:rPr>
                <w:rFonts w:hint="eastAsia" w:ascii="宋体" w:hAnsi="宋体" w:eastAsia="宋体" w:cs="宋体"/>
                <w:color w:val="auto"/>
                <w:kern w:val="2"/>
                <w:sz w:val="21"/>
                <w:szCs w:val="21"/>
                <w:lang w:val="en-US" w:eastAsia="zh-CN"/>
              </w:rPr>
              <w:t>有安全设施</w:t>
            </w:r>
            <w:r>
              <w:rPr>
                <w:rFonts w:hint="eastAsia" w:ascii="宋体" w:hAnsi="宋体" w:eastAsia="宋体" w:cs="宋体"/>
                <w:color w:val="auto"/>
                <w:kern w:val="2"/>
                <w:sz w:val="21"/>
                <w:szCs w:val="21"/>
                <w:lang w:val="en-US"/>
              </w:rPr>
              <w:t>施工</w:t>
            </w:r>
            <w:r>
              <w:rPr>
                <w:rFonts w:hint="eastAsia" w:ascii="宋体" w:hAnsi="宋体" w:eastAsia="宋体" w:cs="宋体"/>
                <w:color w:val="auto"/>
                <w:kern w:val="2"/>
                <w:sz w:val="21"/>
                <w:szCs w:val="21"/>
                <w:lang w:val="en-US" w:eastAsia="zh-CN"/>
              </w:rPr>
              <w:t>情况报告</w:t>
            </w:r>
            <w:r>
              <w:rPr>
                <w:rFonts w:hint="eastAsia" w:ascii="宋体" w:hAnsi="宋体" w:eastAsia="宋体" w:cs="宋体"/>
                <w:color w:val="auto"/>
                <w:kern w:val="2"/>
                <w:sz w:val="21"/>
                <w:szCs w:val="21"/>
                <w:lang w:val="en-US"/>
              </w:rPr>
              <w:t>记录，</w:t>
            </w:r>
            <w:r>
              <w:rPr>
                <w:rFonts w:hint="eastAsia" w:ascii="宋体" w:hAnsi="宋体" w:eastAsia="宋体" w:cs="宋体"/>
                <w:color w:val="auto"/>
                <w:kern w:val="2"/>
                <w:sz w:val="21"/>
                <w:szCs w:val="21"/>
                <w:lang w:val="en-US" w:eastAsia="zh-CN"/>
              </w:rPr>
              <w:t>报告</w:t>
            </w:r>
            <w:r>
              <w:rPr>
                <w:rFonts w:hint="eastAsia" w:ascii="宋体" w:hAnsi="宋体" w:eastAsia="宋体" w:cs="宋体"/>
                <w:color w:val="auto"/>
                <w:kern w:val="2"/>
                <w:sz w:val="21"/>
                <w:szCs w:val="21"/>
                <w:lang w:val="en-US"/>
              </w:rPr>
              <w:t>有建设单位确认签字。</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val="en-US"/>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lang w:val="en-US"/>
              </w:rPr>
            </w:pPr>
            <w:r>
              <w:rPr>
                <w:rFonts w:hint="eastAsia" w:ascii="宋体" w:hAnsi="宋体" w:eastAsia="宋体" w:cs="宋体"/>
                <w:kern w:val="2"/>
                <w:sz w:val="21"/>
                <w:szCs w:val="21"/>
                <w:lang w:val="en-US"/>
              </w:rPr>
              <w:t>当在敷设有地下管道、线缆的地段进行土石方作业时，应采取安全施工措施。</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eastAsia="zh-CN"/>
              </w:rPr>
            </w:pPr>
            <w:r>
              <w:rPr>
                <w:rFonts w:hint="eastAsia" w:ascii="宋体" w:hAnsi="宋体" w:eastAsia="宋体" w:cs="宋体"/>
                <w:kern w:val="2"/>
                <w:sz w:val="21"/>
                <w:szCs w:val="21"/>
                <w:lang w:eastAsia="zh-CN"/>
              </w:rPr>
              <w:t>有采取安全措施。</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eastAsia="zh-CN"/>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9"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lang w:val="en-US"/>
              </w:rPr>
            </w:pPr>
            <w:r>
              <w:rPr>
                <w:rFonts w:hint="eastAsia" w:ascii="宋体" w:hAnsi="宋体" w:eastAsia="宋体" w:cs="宋体"/>
                <w:kern w:val="2"/>
                <w:sz w:val="21"/>
                <w:szCs w:val="21"/>
                <w:lang w:val="en-US"/>
              </w:rPr>
              <w:t>建设项目的安全设施应与主体工程同时设计、同时施工、同时投入生产和使用。建设项目试生产正常后，应委托有资质的机构进行安全验收评价。</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eastAsia="zh-CN"/>
              </w:rPr>
            </w:pPr>
            <w:r>
              <w:rPr>
                <w:rFonts w:hint="eastAsia" w:ascii="宋体" w:hAnsi="宋体" w:eastAsia="宋体" w:cs="宋体"/>
                <w:kern w:val="2"/>
                <w:sz w:val="21"/>
                <w:szCs w:val="21"/>
                <w:lang w:eastAsia="zh-CN"/>
              </w:rPr>
              <w:t>已委托具有安全评价乙级资质的广东安源鼎盛检测评价技术服务有限公司进行验收评价。</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eastAsia="zh-CN"/>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9"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rPr>
                <w:rFonts w:hint="eastAsia" w:ascii="宋体" w:hAnsi="宋体" w:eastAsia="宋体" w:cs="宋体"/>
                <w:color w:val="auto"/>
                <w:kern w:val="2"/>
                <w:sz w:val="21"/>
                <w:szCs w:val="21"/>
                <w:lang w:val="en-US"/>
              </w:rPr>
            </w:pPr>
            <w:r>
              <w:rPr>
                <w:rFonts w:hint="eastAsia" w:ascii="宋体" w:hAnsi="宋体" w:eastAsia="宋体" w:cs="宋体"/>
                <w:color w:val="auto"/>
                <w:kern w:val="2"/>
                <w:sz w:val="21"/>
                <w:szCs w:val="21"/>
                <w:lang w:val="en-US"/>
              </w:rPr>
              <w:t>建设项目应将防雷防静电设计报经防雷部门审核合格，方可进行施工，防雷设施竣工后应经检验检测合格，获得合格证后才能投入使用。防雷防静电设施每半年应检测一次。</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改建后的防雷相关手续正同步办理。</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eastAsia="zh-CN"/>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9"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lang w:val="en-US"/>
              </w:rPr>
            </w:pPr>
            <w:r>
              <w:rPr>
                <w:rFonts w:hint="eastAsia" w:ascii="宋体" w:hAnsi="宋体" w:eastAsia="宋体" w:cs="宋体"/>
                <w:kern w:val="2"/>
                <w:sz w:val="21"/>
                <w:szCs w:val="21"/>
                <w:lang w:val="en-US"/>
              </w:rPr>
              <w:t>为加油站运输油品的单位、运输车辆（槽罐车应设有汽油卸油回收装置）应符合国家规定，持有相应资质。</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eastAsia="zh-CN"/>
              </w:rPr>
            </w:pPr>
            <w:r>
              <w:rPr>
                <w:rFonts w:hint="eastAsia" w:ascii="宋体" w:hAnsi="宋体" w:eastAsia="宋体" w:cs="宋体"/>
                <w:kern w:val="2"/>
                <w:sz w:val="21"/>
                <w:szCs w:val="21"/>
                <w:lang w:val="en-US" w:eastAsia="zh-CN"/>
              </w:rPr>
              <w:t>运输单位和运输车辆</w:t>
            </w:r>
            <w:r>
              <w:rPr>
                <w:rFonts w:hint="eastAsia" w:ascii="宋体" w:hAnsi="宋体" w:eastAsia="宋体" w:cs="宋体"/>
                <w:kern w:val="2"/>
                <w:sz w:val="21"/>
                <w:szCs w:val="21"/>
                <w:lang w:eastAsia="zh-CN"/>
              </w:rPr>
              <w:t>有相应资质。</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9"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lang w:val="en-US"/>
              </w:rPr>
            </w:pPr>
            <w:r>
              <w:rPr>
                <w:rFonts w:hint="eastAsia" w:ascii="宋体" w:hAnsi="宋体" w:eastAsia="宋体" w:cs="宋体"/>
                <w:kern w:val="2"/>
                <w:sz w:val="21"/>
                <w:szCs w:val="21"/>
                <w:lang w:val="en-US"/>
              </w:rPr>
              <w:t>应配备充足的应急设施和应急物资（消防器材和设施、急救设施等），并保持与相关部门的联系，加强与周边单位、社区的沟通，共同做好事故预防工作和应急救援互助工作。</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eastAsia="zh-CN"/>
              </w:rPr>
            </w:pPr>
            <w:r>
              <w:rPr>
                <w:rFonts w:hint="eastAsia" w:ascii="宋体" w:hAnsi="宋体" w:eastAsia="宋体" w:cs="宋体"/>
                <w:kern w:val="2"/>
                <w:sz w:val="21"/>
                <w:szCs w:val="21"/>
                <w:lang w:val="en-US"/>
              </w:rPr>
              <w:t>配备</w:t>
            </w:r>
            <w:r>
              <w:rPr>
                <w:rFonts w:hint="eastAsia" w:ascii="宋体" w:hAnsi="宋体" w:eastAsia="宋体" w:cs="宋体"/>
                <w:kern w:val="2"/>
                <w:sz w:val="21"/>
                <w:szCs w:val="21"/>
                <w:lang w:val="en-US" w:eastAsia="zh-CN"/>
              </w:rPr>
              <w:t>有</w:t>
            </w:r>
            <w:r>
              <w:rPr>
                <w:rFonts w:hint="eastAsia" w:ascii="宋体" w:hAnsi="宋体" w:eastAsia="宋体" w:cs="宋体"/>
                <w:kern w:val="2"/>
                <w:sz w:val="21"/>
                <w:szCs w:val="21"/>
                <w:lang w:val="en-US"/>
              </w:rPr>
              <w:t>充足的应急设施和应急物资</w:t>
            </w:r>
            <w:r>
              <w:rPr>
                <w:rFonts w:hint="eastAsia" w:ascii="宋体" w:hAnsi="宋体" w:eastAsia="宋体" w:cs="宋体"/>
                <w:kern w:val="2"/>
                <w:sz w:val="21"/>
                <w:szCs w:val="21"/>
                <w:lang w:val="en-US" w:eastAsia="zh-CN"/>
              </w:rPr>
              <w:t>。</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lang w:val="en-US"/>
              </w:rPr>
            </w:pPr>
            <w:r>
              <w:rPr>
                <w:rFonts w:hint="eastAsia" w:ascii="宋体" w:hAnsi="宋体" w:eastAsia="宋体" w:cs="宋体"/>
                <w:kern w:val="2"/>
                <w:sz w:val="21"/>
                <w:szCs w:val="21"/>
                <w:lang w:val="en-US"/>
              </w:rPr>
              <w:t>加油站油罐区管理应严格执行《油气罐区防火防爆十条规定》的要求。</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eastAsia="zh-CN"/>
              </w:rPr>
            </w:pPr>
            <w:r>
              <w:rPr>
                <w:rFonts w:hint="eastAsia" w:ascii="宋体" w:hAnsi="宋体" w:eastAsia="宋体" w:cs="宋体"/>
                <w:kern w:val="2"/>
                <w:sz w:val="21"/>
                <w:szCs w:val="21"/>
                <w:lang w:eastAsia="zh-CN"/>
              </w:rPr>
              <w:t>有制定相关制度。</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eastAsia="zh-CN"/>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lang w:val="en-US"/>
              </w:rPr>
            </w:pPr>
            <w:r>
              <w:rPr>
                <w:rFonts w:hint="eastAsia" w:ascii="宋体" w:hAnsi="宋体" w:eastAsia="宋体" w:cs="宋体"/>
                <w:kern w:val="2"/>
                <w:sz w:val="21"/>
                <w:szCs w:val="21"/>
                <w:lang w:val="en-US"/>
              </w:rPr>
              <w:t>加油站作为单独储存经营油品的场所应认真贯彻落实《广东省危险化学品储存场所安全专项整治工作实施方案》(粤安监〔2016〕71号)文件的规定，依据重点整治内容的要求，加强油站的经营管理，切实提升油站的本质安全水平和安全保障能力，防范危险化学品较大以上事故发生。</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eastAsia="zh-CN"/>
              </w:rPr>
            </w:pPr>
            <w:r>
              <w:rPr>
                <w:rFonts w:hint="eastAsia" w:ascii="宋体" w:hAnsi="宋体" w:eastAsia="宋体" w:cs="宋体"/>
                <w:kern w:val="2"/>
                <w:sz w:val="21"/>
                <w:szCs w:val="21"/>
                <w:lang w:eastAsia="zh-CN"/>
              </w:rPr>
              <w:t>该油站能认真落实文件规定。</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eastAsia="zh-CN"/>
              </w:rPr>
            </w:pPr>
            <w:r>
              <w:rPr>
                <w:rFonts w:hint="eastAsia" w:ascii="宋体" w:hAnsi="宋体" w:eastAsia="宋体" w:cs="宋体"/>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9" w:hRule="atLeast"/>
          <w:jc w:val="center"/>
        </w:trPr>
        <w:tc>
          <w:tcPr>
            <w:tcW w:w="708"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4697"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lang w:val="en-US"/>
              </w:rPr>
            </w:pPr>
            <w:r>
              <w:rPr>
                <w:rFonts w:hint="eastAsia" w:ascii="宋体" w:hAnsi="宋体" w:eastAsia="宋体" w:cs="宋体"/>
                <w:kern w:val="2"/>
                <w:sz w:val="21"/>
                <w:szCs w:val="21"/>
                <w:lang w:val="en-US"/>
              </w:rPr>
              <w:t>其他未列及事项应严格执行现行法律法规、技术规范和标准。</w:t>
            </w:r>
          </w:p>
        </w:tc>
        <w:tc>
          <w:tcPr>
            <w:tcW w:w="3134"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eastAsia="zh-CN"/>
              </w:rPr>
            </w:pPr>
            <w:r>
              <w:rPr>
                <w:rFonts w:hint="eastAsia" w:ascii="宋体" w:hAnsi="宋体" w:eastAsia="宋体" w:cs="宋体"/>
                <w:kern w:val="2"/>
                <w:sz w:val="21"/>
                <w:szCs w:val="21"/>
                <w:lang w:val="en-US" w:eastAsia="zh-CN"/>
              </w:rPr>
              <w:t>已</w:t>
            </w:r>
            <w:r>
              <w:rPr>
                <w:rFonts w:hint="eastAsia" w:ascii="宋体" w:hAnsi="宋体" w:eastAsia="宋体" w:cs="宋体"/>
                <w:kern w:val="2"/>
                <w:sz w:val="21"/>
                <w:szCs w:val="21"/>
                <w:lang w:val="en-US"/>
              </w:rPr>
              <w:t>严格执行其他未列及事项现行法律法规、技术规范和标准。</w:t>
            </w:r>
          </w:p>
        </w:tc>
        <w:tc>
          <w:tcPr>
            <w:tcW w:w="135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kern w:val="2"/>
                <w:sz w:val="21"/>
                <w:szCs w:val="21"/>
                <w:lang w:val="en-US" w:eastAsia="zh-CN"/>
              </w:rPr>
            </w:pPr>
            <w:r>
              <w:rPr>
                <w:rFonts w:hint="eastAsia" w:ascii="宋体" w:hAnsi="宋体" w:eastAsia="宋体" w:cs="宋体"/>
                <w:kern w:val="2"/>
                <w:sz w:val="21"/>
                <w:szCs w:val="21"/>
                <w:lang w:eastAsia="zh-CN"/>
              </w:rPr>
              <w:t>已落实。</w:t>
            </w:r>
          </w:p>
        </w:tc>
      </w:tr>
    </w:tbl>
    <w:p>
      <w:pPr>
        <w:overflowPunct w:val="0"/>
        <w:spacing w:line="500" w:lineRule="exact"/>
        <w:ind w:firstLine="560" w:firstLineChars="200"/>
        <w:rPr>
          <w:rFonts w:hint="eastAsia" w:ascii="宋体" w:hAnsi="宋体" w:eastAsia="宋体" w:cs="宋体"/>
          <w:sz w:val="28"/>
          <w:szCs w:val="28"/>
        </w:rPr>
      </w:pPr>
    </w:p>
    <w:p>
      <w:pPr>
        <w:overflowPunct w:val="0"/>
        <w:spacing w:line="500" w:lineRule="exact"/>
        <w:ind w:firstLine="560" w:firstLineChars="200"/>
        <w:rPr>
          <w:rFonts w:hint="eastAsia" w:ascii="宋体" w:hAnsi="宋体" w:eastAsia="宋体" w:cs="宋体"/>
          <w:sz w:val="28"/>
        </w:rPr>
      </w:pPr>
      <w:r>
        <w:rPr>
          <w:rFonts w:hint="eastAsia" w:ascii="宋体" w:hAnsi="宋体" w:eastAsia="宋体" w:cs="宋体"/>
          <w:sz w:val="28"/>
          <w:szCs w:val="28"/>
        </w:rPr>
        <w:t>通过上述检查表可知，</w:t>
      </w:r>
      <w:r>
        <w:rPr>
          <w:rFonts w:hint="eastAsia" w:ascii="宋体" w:hAnsi="宋体" w:eastAsia="宋体" w:cs="宋体"/>
          <w:bCs/>
          <w:sz w:val="28"/>
          <w:lang w:val="en-US" w:eastAsia="zh-CN"/>
        </w:rPr>
        <w:t>中国石化销售股份有限公司广东东莞寮步横坑加油站</w:t>
      </w:r>
      <w:r>
        <w:rPr>
          <w:rFonts w:hint="eastAsia" w:ascii="宋体" w:hAnsi="宋体" w:eastAsia="宋体" w:cs="宋体"/>
          <w:bCs/>
          <w:sz w:val="28"/>
          <w:lang w:val="en-US"/>
        </w:rPr>
        <w:t>改建项目安全</w:t>
      </w:r>
      <w:r>
        <w:rPr>
          <w:rFonts w:hint="eastAsia" w:ascii="宋体" w:hAnsi="宋体" w:eastAsia="宋体" w:cs="宋体"/>
          <w:bCs/>
          <w:sz w:val="28"/>
          <w:lang w:val="en-US" w:eastAsia="zh-CN"/>
        </w:rPr>
        <w:t>预</w:t>
      </w:r>
      <w:r>
        <w:rPr>
          <w:rFonts w:hint="eastAsia" w:ascii="宋体" w:hAnsi="宋体" w:eastAsia="宋体" w:cs="宋体"/>
          <w:bCs/>
          <w:sz w:val="28"/>
          <w:lang w:val="en-US"/>
        </w:rPr>
        <w:t>评价报告</w:t>
      </w:r>
      <w:r>
        <w:rPr>
          <w:rFonts w:hint="eastAsia" w:ascii="宋体" w:hAnsi="宋体" w:eastAsia="宋体" w:cs="宋体"/>
          <w:sz w:val="28"/>
          <w:lang w:val="en-US"/>
        </w:rPr>
        <w:t>》</w:t>
      </w:r>
      <w:r>
        <w:rPr>
          <w:rFonts w:hint="eastAsia" w:ascii="宋体" w:hAnsi="宋体" w:eastAsia="宋体" w:cs="宋体"/>
          <w:bCs/>
          <w:sz w:val="28"/>
          <w:lang w:val="en-US" w:eastAsia="zh-CN"/>
        </w:rPr>
        <w:t>（</w:t>
      </w:r>
      <w:r>
        <w:rPr>
          <w:rFonts w:hint="eastAsia" w:ascii="宋体" w:hAnsi="宋体" w:eastAsia="宋体" w:cs="宋体"/>
          <w:sz w:val="28"/>
          <w:lang w:eastAsia="zh-CN"/>
        </w:rPr>
        <w:t>GY-WH-GD-19-</w:t>
      </w:r>
      <w:r>
        <w:rPr>
          <w:rFonts w:hint="eastAsia" w:ascii="宋体" w:hAnsi="宋体" w:eastAsia="宋体" w:cs="宋体"/>
          <w:sz w:val="28"/>
          <w:lang w:val="en-US" w:eastAsia="zh-CN"/>
        </w:rPr>
        <w:t>10</w:t>
      </w:r>
      <w:r>
        <w:rPr>
          <w:rFonts w:hint="eastAsia" w:ascii="宋体" w:hAnsi="宋体" w:eastAsia="宋体" w:cs="宋体"/>
          <w:sz w:val="28"/>
          <w:lang w:eastAsia="zh-CN"/>
        </w:rPr>
        <w:t>-</w:t>
      </w:r>
      <w:r>
        <w:rPr>
          <w:rFonts w:hint="eastAsia" w:ascii="宋体" w:hAnsi="宋体" w:eastAsia="宋体" w:cs="宋体"/>
          <w:sz w:val="28"/>
          <w:lang w:val="en-US" w:eastAsia="zh-CN"/>
        </w:rPr>
        <w:t>1049</w:t>
      </w:r>
      <w:r>
        <w:rPr>
          <w:rFonts w:hint="eastAsia" w:ascii="宋体" w:hAnsi="宋体" w:eastAsia="宋体" w:cs="宋体"/>
          <w:bCs/>
          <w:sz w:val="28"/>
          <w:lang w:val="en-US" w:eastAsia="zh-CN"/>
        </w:rPr>
        <w:t>）的</w:t>
      </w:r>
      <w:r>
        <w:rPr>
          <w:rFonts w:hint="eastAsia" w:ascii="宋体" w:hAnsi="宋体" w:eastAsia="宋体" w:cs="宋体"/>
          <w:sz w:val="28"/>
        </w:rPr>
        <w:t>安全对策措施已</w:t>
      </w:r>
      <w:r>
        <w:rPr>
          <w:rFonts w:hint="eastAsia" w:ascii="宋体" w:hAnsi="宋体" w:eastAsia="宋体" w:cs="宋体"/>
          <w:sz w:val="28"/>
          <w:lang w:eastAsia="zh-CN"/>
        </w:rPr>
        <w:t>全部</w:t>
      </w:r>
      <w:r>
        <w:rPr>
          <w:rFonts w:hint="eastAsia" w:ascii="宋体" w:hAnsi="宋体" w:eastAsia="宋体" w:cs="宋体"/>
          <w:sz w:val="28"/>
        </w:rPr>
        <w:t>落实。</w:t>
      </w:r>
    </w:p>
    <w:p>
      <w:pPr>
        <w:pStyle w:val="6"/>
        <w:spacing w:line="500" w:lineRule="exact"/>
        <w:ind w:firstLine="480" w:firstLineChars="200"/>
        <w:jc w:val="center"/>
        <w:rPr>
          <w:rFonts w:hint="eastAsia" w:ascii="宋体" w:hAnsi="宋体" w:eastAsia="宋体" w:cs="宋体"/>
          <w:sz w:val="24"/>
          <w:szCs w:val="21"/>
          <w:lang w:val="en-US" w:eastAsia="zh-CN" w:bidi="zh-CN"/>
        </w:rPr>
      </w:pPr>
      <w:r>
        <w:rPr>
          <w:rFonts w:hint="eastAsia" w:ascii="宋体" w:hAnsi="宋体" w:eastAsia="宋体" w:cs="宋体"/>
          <w:sz w:val="24"/>
          <w:szCs w:val="21"/>
          <w:lang w:val="en-US" w:eastAsia="zh-CN" w:bidi="zh-CN"/>
        </w:rPr>
        <w:t>表2.9-2 《中国石化销售股份有限公司广东东莞寮步横坑加油站改建项目安全设施设计专篇》的安全对策措施落实情况表</w:t>
      </w:r>
    </w:p>
    <w:p>
      <w:pPr>
        <w:pStyle w:val="6"/>
        <w:spacing w:line="500" w:lineRule="exact"/>
        <w:ind w:firstLine="480" w:firstLineChars="200"/>
        <w:rPr>
          <w:rFonts w:hint="eastAsia" w:ascii="宋体" w:hAnsi="宋体" w:eastAsia="宋体" w:cs="宋体"/>
          <w:sz w:val="24"/>
          <w:szCs w:val="21"/>
          <w:lang w:val="en-US" w:eastAsia="zh-CN" w:bidi="zh-CN"/>
        </w:rPr>
      </w:pPr>
    </w:p>
    <w:tbl>
      <w:tblPr>
        <w:tblStyle w:val="16"/>
        <w:tblW w:w="90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9"/>
        <w:gridCol w:w="5149"/>
        <w:gridCol w:w="1980"/>
        <w:gridCol w:w="12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blHeader/>
          <w:jc w:val="center"/>
        </w:trPr>
        <w:tc>
          <w:tcPr>
            <w:tcW w:w="729"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序号</w:t>
            </w:r>
          </w:p>
        </w:tc>
        <w:tc>
          <w:tcPr>
            <w:tcW w:w="5149"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安全防护设施</w:t>
            </w:r>
          </w:p>
        </w:tc>
        <w:tc>
          <w:tcPr>
            <w:tcW w:w="198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b/>
                <w:color w:val="auto"/>
                <w:kern w:val="2"/>
                <w:sz w:val="21"/>
                <w:szCs w:val="21"/>
              </w:rPr>
            </w:pPr>
            <w:r>
              <w:rPr>
                <w:rFonts w:hint="eastAsia" w:ascii="宋体" w:hAnsi="宋体" w:eastAsia="宋体" w:cs="宋体"/>
                <w:b/>
                <w:color w:val="auto"/>
                <w:kern w:val="2"/>
                <w:sz w:val="21"/>
                <w:szCs w:val="21"/>
              </w:rPr>
              <w:t>现场</w:t>
            </w:r>
            <w:r>
              <w:rPr>
                <w:rFonts w:hint="eastAsia" w:ascii="宋体" w:hAnsi="宋体" w:eastAsia="宋体" w:cs="宋体"/>
                <w:b/>
                <w:color w:val="auto"/>
                <w:kern w:val="2"/>
                <w:sz w:val="21"/>
                <w:szCs w:val="21"/>
                <w:lang w:eastAsia="zh-CN"/>
              </w:rPr>
              <w:t>检查</w:t>
            </w:r>
            <w:r>
              <w:rPr>
                <w:rFonts w:hint="eastAsia" w:ascii="宋体" w:hAnsi="宋体" w:eastAsia="宋体" w:cs="宋体"/>
                <w:b/>
                <w:color w:val="auto"/>
                <w:kern w:val="2"/>
                <w:sz w:val="21"/>
                <w:szCs w:val="21"/>
              </w:rPr>
              <w:t>情况</w:t>
            </w:r>
          </w:p>
        </w:tc>
        <w:tc>
          <w:tcPr>
            <w:tcW w:w="1215"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b/>
                <w:color w:val="auto"/>
                <w:kern w:val="2"/>
                <w:sz w:val="21"/>
                <w:szCs w:val="21"/>
                <w:lang w:eastAsia="zh-CN"/>
              </w:rPr>
            </w:pPr>
            <w:r>
              <w:rPr>
                <w:rFonts w:hint="eastAsia" w:ascii="宋体" w:hAnsi="宋体" w:eastAsia="宋体" w:cs="宋体"/>
                <w:b/>
                <w:color w:val="auto"/>
                <w:kern w:val="2"/>
                <w:sz w:val="21"/>
                <w:szCs w:val="21"/>
                <w:lang w:eastAsia="zh-CN"/>
              </w:rPr>
              <w:t>落实情况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5878" w:type="dxa"/>
            <w:gridSpan w:val="2"/>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b/>
                <w:bCs/>
                <w:color w:val="auto"/>
                <w:kern w:val="2"/>
                <w:sz w:val="21"/>
                <w:szCs w:val="21"/>
              </w:rPr>
            </w:pPr>
            <w:r>
              <w:rPr>
                <w:rFonts w:hint="eastAsia" w:ascii="宋体" w:hAnsi="宋体" w:eastAsia="宋体" w:cs="宋体"/>
                <w:b/>
                <w:bCs/>
                <w:color w:val="auto"/>
                <w:kern w:val="2"/>
                <w:sz w:val="21"/>
                <w:szCs w:val="21"/>
              </w:rPr>
              <w:t>一、</w:t>
            </w:r>
            <w:r>
              <w:rPr>
                <w:rFonts w:hint="eastAsia" w:ascii="宋体" w:hAnsi="宋体" w:eastAsia="宋体" w:cs="宋体"/>
                <w:b/>
                <w:color w:val="auto"/>
                <w:kern w:val="2"/>
                <w:sz w:val="21"/>
                <w:szCs w:val="21"/>
                <w:lang w:val="en-US" w:eastAsia="zh-CN"/>
              </w:rPr>
              <w:t>工艺及设备</w:t>
            </w:r>
          </w:p>
        </w:tc>
        <w:tc>
          <w:tcPr>
            <w:tcW w:w="1980" w:type="dxa"/>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b/>
                <w:bCs/>
                <w:color w:val="auto"/>
                <w:kern w:val="2"/>
                <w:sz w:val="21"/>
                <w:szCs w:val="21"/>
              </w:rPr>
            </w:pPr>
          </w:p>
        </w:tc>
        <w:tc>
          <w:tcPr>
            <w:tcW w:w="1215" w:type="dxa"/>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b/>
                <w:bCs/>
                <w:color w:val="auto"/>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729" w:type="dxa"/>
            <w:vMerge w:val="restart"/>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b/>
                <w:color w:val="auto"/>
                <w:kern w:val="2"/>
                <w:sz w:val="21"/>
                <w:szCs w:val="21"/>
                <w:lang w:val="en-US" w:eastAsia="zh-CN"/>
              </w:rPr>
            </w:pPr>
            <w:r>
              <w:rPr>
                <w:rFonts w:hint="eastAsia" w:ascii="宋体" w:hAnsi="宋体" w:eastAsia="宋体" w:cs="宋体"/>
                <w:b/>
                <w:color w:val="auto"/>
                <w:kern w:val="2"/>
                <w:sz w:val="21"/>
                <w:szCs w:val="21"/>
                <w:lang w:val="en-US" w:eastAsia="zh-CN"/>
              </w:rPr>
              <w:t>有火灾爆炸危险介质的设备安全控制措施</w:t>
            </w:r>
          </w:p>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c>
          <w:tcPr>
            <w:tcW w:w="5149"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val="en-US" w:eastAsia="zh-CN"/>
              </w:rPr>
              <w:t>本油站新增的油罐采用 S-F 双层埋地油罐，根据加油站规范 GB50156-2012(2014 年版)的要求，要求业主采购的内钢外玻璃纤维增强塑料双层油罐，油罐内罐直径为 2600mm，油罐内罐的罐体厚度不小于 6mm，封头厚度不小于 8mm，外罐的玻璃纤维增强塑料的壁厚不小于 4mm。油罐设有液位监视系统，能集中对地下油罐的液位进行监视，当油罐达到油罐容量的90%时，能触发高液位报警装置。油罐内设有卸油防溢阀，卸油时，油料达到油罐容量的 95%时，能自动停止油罐继续进罐。根据加油站规范要求，目前采用的卸油防溢阀为机械式卸油防溢阀，安装在卸油管中，达到设定液位防溢流阀自动关闭，阻止油品继续进罐。</w:t>
            </w:r>
          </w:p>
        </w:tc>
        <w:tc>
          <w:tcPr>
            <w:tcW w:w="1980"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eastAsia="zh-CN"/>
              </w:rPr>
              <w:t>新建设的油罐为</w:t>
            </w:r>
            <w:r>
              <w:rPr>
                <w:rFonts w:hint="eastAsia" w:ascii="宋体" w:hAnsi="宋体" w:eastAsia="宋体" w:cs="宋体"/>
                <w:color w:val="auto"/>
                <w:kern w:val="2"/>
                <w:sz w:val="21"/>
                <w:szCs w:val="21"/>
                <w:lang w:val="en-US" w:eastAsia="zh-CN"/>
              </w:rPr>
              <w:t>S-F双层麦迪油罐，符合GB50156-2012(2014 年版)的要求，油罐设有液位监视系统和卸油防溢阀。</w:t>
            </w:r>
          </w:p>
        </w:tc>
        <w:tc>
          <w:tcPr>
            <w:tcW w:w="121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729"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c>
          <w:tcPr>
            <w:tcW w:w="5149"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val="en-US" w:eastAsia="zh-CN"/>
              </w:rPr>
              <w:t>S-F 双层油罐设置了测漏系统。在测漏口处安装了固态识别型传感器，用于探测玻璃钢制双层罐夹层空间内的液体物质与油品泄漏。一旦双层罐内层空间出现液体物质传感器会触发报警信息至控制台， 声音报警和界面报警显示使业主迅速定位问题所在，以迅速有效的消除安全与环境隐患。</w:t>
            </w:r>
          </w:p>
        </w:tc>
        <w:tc>
          <w:tcPr>
            <w:tcW w:w="1980"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设置了测漏系统，传感器安装符合要求。</w:t>
            </w:r>
          </w:p>
        </w:tc>
        <w:tc>
          <w:tcPr>
            <w:tcW w:w="121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729"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c>
          <w:tcPr>
            <w:tcW w:w="5149"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val="en-US" w:eastAsia="zh-CN"/>
              </w:rPr>
              <w:t>卸油接头为快速密封接头，可有效防止漏油。</w:t>
            </w:r>
          </w:p>
        </w:tc>
        <w:tc>
          <w:tcPr>
            <w:tcW w:w="1980"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val="en-US" w:eastAsia="zh-CN"/>
              </w:rPr>
              <w:t>根据安全设施施工情况报告，接头为快速密封接头。</w:t>
            </w:r>
          </w:p>
        </w:tc>
        <w:tc>
          <w:tcPr>
            <w:tcW w:w="121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9"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c>
          <w:tcPr>
            <w:tcW w:w="5149"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val="en-US" w:eastAsia="zh-CN"/>
              </w:rPr>
              <w:t>本油罐采用的 S-F 双层油罐，由业主整体采购，出厂时已经设置防腐，防腐期限为 30 年。</w:t>
            </w:r>
          </w:p>
        </w:tc>
        <w:tc>
          <w:tcPr>
            <w:tcW w:w="1980"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val="en-US" w:eastAsia="zh-CN"/>
              </w:rPr>
              <w:t>该站采用 S-F 双层油罐，有产品合格证书。</w:t>
            </w:r>
          </w:p>
        </w:tc>
        <w:tc>
          <w:tcPr>
            <w:tcW w:w="121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729"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c>
          <w:tcPr>
            <w:tcW w:w="5149"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val="en-US" w:eastAsia="zh-CN"/>
              </w:rPr>
              <w:t>加油管线采用双层 PE 管道，根据规范 GB50156-2012(2014 年版)的 6.3.11 条的要求，选用的双层 PE 管道的壁厚不小于 4mm。在油罐人孔处双层管的接口处，双层 PE 管预留的检测口安装双层管线传感器，用于双层空间及双层管线的泄漏监测，可以安装在狭小的空间检测液体的存在。一旦双层管的内层空间出现液体物质传感器会触发报警信息至控制台， 声音报警和界面报警显示使业主迅速定位问题所在，以迅速有效的消除安全与环境隐患。</w:t>
            </w:r>
          </w:p>
        </w:tc>
        <w:tc>
          <w:tcPr>
            <w:tcW w:w="1980"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val="en-US" w:eastAsia="zh-CN"/>
              </w:rPr>
              <w:t>根据安全设施施工情况报告，管道为双层 PE 管道、泄漏检测安装</w:t>
            </w:r>
            <w:r>
              <w:rPr>
                <w:rFonts w:hint="eastAsia" w:ascii="宋体" w:hAnsi="宋体" w:eastAsia="宋体" w:cs="宋体"/>
                <w:color w:val="auto"/>
                <w:kern w:val="2"/>
                <w:sz w:val="21"/>
                <w:szCs w:val="21"/>
                <w:lang w:eastAsia="zh-CN"/>
              </w:rPr>
              <w:t>符合规范要求。</w:t>
            </w:r>
          </w:p>
        </w:tc>
        <w:tc>
          <w:tcPr>
            <w:tcW w:w="121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729"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c>
          <w:tcPr>
            <w:tcW w:w="5149"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val="en-US" w:eastAsia="zh-CN"/>
              </w:rPr>
              <w:t>在旧油罐拆除施工前，应将旧油罐充满水，用化油剂将旧油罐的油污清洗干净，用危险气体检测仪检测合格后，方可进行拆除工作。</w:t>
            </w:r>
          </w:p>
        </w:tc>
        <w:tc>
          <w:tcPr>
            <w:tcW w:w="1980"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施工符合要求。</w:t>
            </w:r>
          </w:p>
        </w:tc>
        <w:tc>
          <w:tcPr>
            <w:tcW w:w="121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729" w:type="dxa"/>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2"/>
              </w:rPr>
            </w:pPr>
            <w:r>
              <w:rPr>
                <w:rFonts w:hint="eastAsia" w:ascii="宋体" w:hAnsi="宋体" w:eastAsia="宋体" w:cs="宋体"/>
                <w:b/>
                <w:color w:val="auto"/>
                <w:kern w:val="2"/>
                <w:sz w:val="21"/>
                <w:szCs w:val="21"/>
                <w:lang w:val="en-US" w:eastAsia="zh-CN"/>
              </w:rPr>
              <w:t>油气回收系统过程控制</w:t>
            </w:r>
          </w:p>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c>
          <w:tcPr>
            <w:tcW w:w="5149"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val="en-US" w:eastAsia="zh-CN"/>
              </w:rPr>
              <w:t>本加油站设有卸油油气回收系统（一次油气回收系统）和分散式加油油气回收系统（二次油气回收系统）。卸油油气回收系统即汽油槽车到达油站卸油时，槽车的卸油管及气相管同时与汽油罐的进油管接口和油气回收接口连接，槽车内的汽油卸入油罐内，同时油罐内的油气回收到槽车内。分散式加油油气回收系统主要由油气回收型的加油枪、比例调节阀、反向同轴胶管、拉断阀、油气分离接头、油气回收管路、油气回收真空泵及真空泵控制器组。</w:t>
            </w:r>
          </w:p>
        </w:tc>
        <w:tc>
          <w:tcPr>
            <w:tcW w:w="1980"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val="en-US" w:eastAsia="zh-CN"/>
              </w:rPr>
              <w:t>该加油站设有卸油油气回收系统（一次油气回收系统）和加油油气回收系统（二次油气回收系统）。系统满足技术要求。</w:t>
            </w:r>
          </w:p>
        </w:tc>
        <w:tc>
          <w:tcPr>
            <w:tcW w:w="121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729" w:type="dxa"/>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2"/>
              </w:rPr>
            </w:pPr>
            <w:r>
              <w:rPr>
                <w:rFonts w:hint="eastAsia" w:ascii="宋体" w:hAnsi="宋体" w:eastAsia="宋体" w:cs="宋体"/>
                <w:b/>
                <w:color w:val="auto"/>
                <w:kern w:val="2"/>
                <w:sz w:val="21"/>
                <w:szCs w:val="21"/>
                <w:lang w:val="en-US" w:eastAsia="zh-CN"/>
              </w:rPr>
              <w:t xml:space="preserve">火灾爆炸性危险气体排放控制 </w:t>
            </w:r>
          </w:p>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c>
          <w:tcPr>
            <w:tcW w:w="5149"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 xml:space="preserve">本站加油区的加油系统设有一次油气回收系统和二次油气回收系统，汽油罐通气管的管口装有阻火器和呼吸阀，呼吸阀选型符合《汽车加油加气站设计与施工规范》GB50156-2012（2014 年版）的相关规定。通气管管口高 </w:t>
            </w:r>
          </w:p>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val="en-US" w:eastAsia="zh-CN"/>
              </w:rPr>
              <w:t>出罩棚 1.5 米及以上。</w:t>
            </w:r>
          </w:p>
        </w:tc>
        <w:tc>
          <w:tcPr>
            <w:tcW w:w="1980"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该加油站</w:t>
            </w:r>
            <w:r>
              <w:rPr>
                <w:rFonts w:hint="eastAsia" w:ascii="宋体" w:hAnsi="宋体" w:eastAsia="宋体" w:cs="宋体"/>
                <w:color w:val="auto"/>
                <w:kern w:val="2"/>
                <w:sz w:val="21"/>
                <w:szCs w:val="21"/>
                <w:lang w:val="en-US" w:eastAsia="zh-CN"/>
              </w:rPr>
              <w:t>油气回收系统管口均装有阻火器和呼吸阀，呼吸阀选型符合《汽车加油加气站设计与施工规范》GB50156-2012（2014 年版）的相关规定。通气管管口高出地面4 米。</w:t>
            </w:r>
          </w:p>
        </w:tc>
        <w:tc>
          <w:tcPr>
            <w:tcW w:w="121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729" w:type="dxa"/>
            <w:vMerge w:val="restart"/>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b/>
                <w:color w:val="auto"/>
                <w:kern w:val="2"/>
                <w:sz w:val="21"/>
                <w:szCs w:val="21"/>
                <w:lang w:val="en-US" w:eastAsia="zh-CN"/>
              </w:rPr>
            </w:pPr>
            <w:r>
              <w:rPr>
                <w:rFonts w:hint="eastAsia" w:ascii="宋体" w:hAnsi="宋体" w:eastAsia="宋体" w:cs="宋体"/>
                <w:b/>
                <w:color w:val="auto"/>
                <w:kern w:val="2"/>
                <w:sz w:val="21"/>
                <w:szCs w:val="21"/>
                <w:lang w:val="en-US" w:eastAsia="zh-CN"/>
              </w:rPr>
              <w:t>埋地油罐防渗、防漂浮设计采取的安全设施和措施</w:t>
            </w:r>
          </w:p>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en-US"/>
              </w:rPr>
            </w:pPr>
          </w:p>
        </w:tc>
        <w:tc>
          <w:tcPr>
            <w:tcW w:w="5149"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本项目油罐区的埋地油罐安装有泄漏监控装置，可及时监控油罐泄漏现象，避免油罐泄漏的化学液体向外渗透而污染土壤或地下水体。</w:t>
            </w:r>
          </w:p>
        </w:tc>
        <w:tc>
          <w:tcPr>
            <w:tcW w:w="1980"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val="en-US" w:eastAsia="zh-CN"/>
              </w:rPr>
              <w:t>有安装泄漏监控装置。</w:t>
            </w:r>
          </w:p>
        </w:tc>
        <w:tc>
          <w:tcPr>
            <w:tcW w:w="121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729"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en-US"/>
              </w:rPr>
            </w:pPr>
          </w:p>
        </w:tc>
        <w:tc>
          <w:tcPr>
            <w:tcW w:w="5149"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埋地油罐采用已做防腐蚀处理的镀锌扁钢条或地脚螺栓锚在混凝土罐池底板及混凝土基础上，混凝土基础及底板加上空罐罐体的总重量大于等于最大油罐全容积的水重量（地下水对最大油罐空载时的最大浮力）。空罐安装时如遇罐池或基础内积水，油罐必须注满水安装或排除罐池或地基内积水后再安装。</w:t>
            </w:r>
          </w:p>
        </w:tc>
        <w:tc>
          <w:tcPr>
            <w:tcW w:w="1980"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符合要求。</w:t>
            </w:r>
          </w:p>
        </w:tc>
        <w:tc>
          <w:tcPr>
            <w:tcW w:w="121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729"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en-US"/>
              </w:rPr>
            </w:pPr>
          </w:p>
        </w:tc>
        <w:tc>
          <w:tcPr>
            <w:tcW w:w="5149"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装有潜油泵的油罐人孔操作井、卸油口井、加油机底槽等可能发生油品渗漏的部位，采取相应的防渗措施。操作井密闭井盖和井座的做法经结构计算，罐池用级配碎石回填，密实度不低于 96%；油罐面板采用 14@200的双向双层钢筋网；面板砼强度 C35，厚度不少于 250mm；车道罐人孔井盖采用复合盖板，承载力需不低于 40 吨；井座采用环形钢筋加固后与油罐面板钢筋锚接，将人孔井盖受力分散至油罐面板，从而有效保护油罐。</w:t>
            </w:r>
          </w:p>
        </w:tc>
        <w:tc>
          <w:tcPr>
            <w:tcW w:w="1980"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设置符合要求。</w:t>
            </w:r>
          </w:p>
        </w:tc>
        <w:tc>
          <w:tcPr>
            <w:tcW w:w="121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9073" w:type="dxa"/>
            <w:gridSpan w:val="4"/>
            <w:vAlign w:val="center"/>
          </w:tcPr>
          <w:p>
            <w:pPr>
              <w:keepNext w:val="0"/>
              <w:keepLines w:val="0"/>
              <w:suppressLineNumbers w:val="0"/>
              <w:spacing w:before="0" w:beforeAutospacing="0" w:after="0" w:afterAutospacing="0"/>
              <w:ind w:left="0" w:right="0"/>
              <w:jc w:val="both"/>
              <w:rPr>
                <w:rFonts w:hint="eastAsia" w:ascii="宋体" w:hAnsi="宋体" w:eastAsia="宋体" w:cs="宋体"/>
                <w:b/>
                <w:bCs/>
                <w:color w:val="auto"/>
                <w:kern w:val="2"/>
                <w:sz w:val="21"/>
                <w:szCs w:val="21"/>
                <w:lang w:val="en-US" w:eastAsia="zh-CN"/>
              </w:rPr>
            </w:pPr>
            <w:r>
              <w:rPr>
                <w:rFonts w:hint="eastAsia" w:ascii="宋体" w:hAnsi="宋体" w:eastAsia="宋体" w:cs="宋体"/>
                <w:b/>
                <w:bCs/>
                <w:color w:val="auto"/>
                <w:kern w:val="2"/>
                <w:sz w:val="21"/>
                <w:szCs w:val="21"/>
                <w:lang w:val="en-US" w:eastAsia="zh-CN"/>
              </w:rPr>
              <w:t>二、总平面布置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729"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en-US"/>
              </w:rPr>
            </w:pPr>
          </w:p>
        </w:tc>
        <w:tc>
          <w:tcPr>
            <w:tcW w:w="5149"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val="en-US" w:eastAsia="zh-CN"/>
              </w:rPr>
              <w:t>加油站内设施之间的防护距离满足《汽车加油加气站设计与施工规范》 （GB50156-2012）（2014 年版）的要求。</w:t>
            </w:r>
          </w:p>
        </w:tc>
        <w:tc>
          <w:tcPr>
            <w:tcW w:w="1980"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满足规范要求。</w:t>
            </w:r>
          </w:p>
        </w:tc>
        <w:tc>
          <w:tcPr>
            <w:tcW w:w="121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9073" w:type="dxa"/>
            <w:gridSpan w:val="4"/>
            <w:vAlign w:val="center"/>
          </w:tcPr>
          <w:p>
            <w:pPr>
              <w:keepNext w:val="0"/>
              <w:keepLines w:val="0"/>
              <w:suppressLineNumbers w:val="0"/>
              <w:spacing w:before="0" w:beforeAutospacing="0" w:after="0" w:afterAutospacing="0"/>
              <w:ind w:left="0" w:right="0"/>
              <w:jc w:val="both"/>
              <w:rPr>
                <w:rFonts w:hint="eastAsia" w:ascii="宋体" w:hAnsi="宋体" w:eastAsia="宋体" w:cs="宋体"/>
                <w:b/>
                <w:bCs/>
                <w:color w:val="auto"/>
                <w:kern w:val="2"/>
                <w:sz w:val="21"/>
                <w:szCs w:val="21"/>
                <w:lang w:val="en-US" w:eastAsia="zh-CN"/>
              </w:rPr>
            </w:pPr>
            <w:r>
              <w:rPr>
                <w:rFonts w:hint="eastAsia" w:ascii="宋体" w:hAnsi="宋体" w:eastAsia="宋体" w:cs="宋体"/>
                <w:b/>
                <w:bCs/>
                <w:color w:val="auto"/>
                <w:kern w:val="2"/>
                <w:sz w:val="21"/>
                <w:szCs w:val="21"/>
                <w:lang w:val="en-US" w:eastAsia="zh-CN"/>
              </w:rPr>
              <w:t>三、消防设计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729"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en-US"/>
              </w:rPr>
            </w:pPr>
          </w:p>
        </w:tc>
        <w:tc>
          <w:tcPr>
            <w:tcW w:w="5149"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 xml:space="preserve">本加油站为三级加油站，根据《汽车加油加气站设计与施工规范》（GB50156-2012）（2014 年版）和《建筑灭火器配置设计规范》（GB50140-2005）要求，加油站应配置以下消防灭火器材：  </w:t>
            </w:r>
          </w:p>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 xml:space="preserve">(1) 每 2 台加油机设置 2 只 4Kg 手提式干粉灭火器，共 4 只。 </w:t>
            </w:r>
          </w:p>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 xml:space="preserve">(2) 站房一层办公室和营业室，设 4 只 4Kg 手提式干粉灭火器，共 8 只。 </w:t>
            </w:r>
          </w:p>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 xml:space="preserve">(3) 配电房设 4 只 4Kg 手提式干粉灭火器，共 4 只。 </w:t>
            </w:r>
          </w:p>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 xml:space="preserve">(4) 原有仓库设 2 只 4Kg 手提式干粉灭火器，共 2 只。 </w:t>
            </w:r>
          </w:p>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 xml:space="preserve">(5) 油罐区设 1 只 35Kg 推车式干粉灭火器。 </w:t>
            </w:r>
          </w:p>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val="en-US" w:eastAsia="zh-CN"/>
              </w:rPr>
              <w:t>(6) 油罐区配置灭火毯 5 块，砂子 2 m</w:t>
            </w:r>
            <w:r>
              <w:rPr>
                <w:rFonts w:hint="eastAsia" w:ascii="宋体" w:hAnsi="宋体" w:eastAsia="宋体" w:cs="宋体"/>
                <w:color w:val="auto"/>
                <w:kern w:val="2"/>
                <w:sz w:val="21"/>
                <w:szCs w:val="21"/>
                <w:vertAlign w:val="superscript"/>
                <w:lang w:val="en-US" w:eastAsia="zh-CN"/>
              </w:rPr>
              <w:t>3</w:t>
            </w:r>
            <w:r>
              <w:rPr>
                <w:rFonts w:hint="eastAsia" w:ascii="宋体" w:hAnsi="宋体" w:eastAsia="宋体" w:cs="宋体"/>
                <w:color w:val="auto"/>
                <w:kern w:val="2"/>
                <w:sz w:val="21"/>
                <w:szCs w:val="21"/>
                <w:lang w:val="en-US" w:eastAsia="zh-CN"/>
              </w:rPr>
              <w:t>。</w:t>
            </w:r>
          </w:p>
        </w:tc>
        <w:tc>
          <w:tcPr>
            <w:tcW w:w="1980"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经现场检查，灭火器材配置满足规范要求。</w:t>
            </w:r>
          </w:p>
        </w:tc>
        <w:tc>
          <w:tcPr>
            <w:tcW w:w="121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9073" w:type="dxa"/>
            <w:gridSpan w:val="4"/>
            <w:vAlign w:val="center"/>
          </w:tcPr>
          <w:p>
            <w:pPr>
              <w:keepNext w:val="0"/>
              <w:keepLines w:val="0"/>
              <w:suppressLineNumbers w:val="0"/>
              <w:spacing w:before="0" w:beforeAutospacing="0" w:after="0" w:afterAutospacing="0"/>
              <w:ind w:left="0" w:right="0"/>
              <w:jc w:val="both"/>
              <w:rPr>
                <w:rFonts w:hint="eastAsia" w:ascii="宋体" w:hAnsi="宋体" w:eastAsia="宋体" w:cs="宋体"/>
                <w:b/>
                <w:bCs/>
                <w:color w:val="auto"/>
                <w:kern w:val="2"/>
                <w:sz w:val="21"/>
                <w:szCs w:val="21"/>
                <w:lang w:val="en-US" w:eastAsia="zh-CN"/>
              </w:rPr>
            </w:pPr>
            <w:r>
              <w:rPr>
                <w:rFonts w:hint="eastAsia" w:ascii="宋体" w:hAnsi="宋体" w:eastAsia="宋体" w:cs="宋体"/>
                <w:b/>
                <w:bCs/>
                <w:color w:val="auto"/>
                <w:kern w:val="2"/>
                <w:sz w:val="21"/>
                <w:szCs w:val="21"/>
                <w:lang w:val="en-US" w:eastAsia="zh-CN"/>
              </w:rPr>
              <w:t>四、自动控制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729" w:type="dxa"/>
            <w:vMerge w:val="restart"/>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en-US"/>
              </w:rPr>
            </w:pPr>
          </w:p>
        </w:tc>
        <w:tc>
          <w:tcPr>
            <w:tcW w:w="5149"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本设计借鉴国外同类加油站的自动控制水平和考虑到国内的实际情况及本站的特定环境。主要自控设备选用了一套电脑加油管理系统。可在就地机上操作加油或在营业厅内完成自动计价、打印票据。</w:t>
            </w:r>
          </w:p>
        </w:tc>
        <w:tc>
          <w:tcPr>
            <w:tcW w:w="1980"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该油站采用了一套电脑加油管理系统。</w:t>
            </w:r>
          </w:p>
        </w:tc>
        <w:tc>
          <w:tcPr>
            <w:tcW w:w="121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729"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en-US"/>
              </w:rPr>
            </w:pPr>
          </w:p>
        </w:tc>
        <w:tc>
          <w:tcPr>
            <w:tcW w:w="5149"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液位监视系统，能集中对地下油罐的液位进行监视，实现越限报警。</w:t>
            </w:r>
          </w:p>
        </w:tc>
        <w:tc>
          <w:tcPr>
            <w:tcW w:w="1980"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安装了液位监视系统。</w:t>
            </w:r>
          </w:p>
        </w:tc>
        <w:tc>
          <w:tcPr>
            <w:tcW w:w="121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729"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en-US"/>
              </w:rPr>
            </w:pPr>
          </w:p>
        </w:tc>
        <w:tc>
          <w:tcPr>
            <w:tcW w:w="5149"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电视监控系统，能对加油现场及收银台等处进行监视，主要监控设备设在站长室及收银台。另外考虑到加油站的统一管理，收银台及办公室均设电话及网络插座。</w:t>
            </w:r>
          </w:p>
        </w:tc>
        <w:tc>
          <w:tcPr>
            <w:tcW w:w="1980"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安装了电视监控系统。</w:t>
            </w:r>
          </w:p>
        </w:tc>
        <w:tc>
          <w:tcPr>
            <w:tcW w:w="121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729"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en-US"/>
              </w:rPr>
            </w:pPr>
          </w:p>
        </w:tc>
        <w:tc>
          <w:tcPr>
            <w:tcW w:w="5149"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考虑到加油区现场是爆炸危险场所，安装在现场的一次仪表均是防爆型仪表。</w:t>
            </w:r>
          </w:p>
        </w:tc>
        <w:tc>
          <w:tcPr>
            <w:tcW w:w="1980"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val="en-US"/>
              </w:rPr>
            </w:pPr>
            <w:r>
              <w:rPr>
                <w:rFonts w:hint="eastAsia" w:ascii="宋体" w:hAnsi="宋体" w:eastAsia="宋体" w:cs="宋体"/>
                <w:color w:val="auto"/>
                <w:kern w:val="2"/>
                <w:sz w:val="21"/>
                <w:szCs w:val="21"/>
                <w:lang w:val="en-US" w:eastAsia="zh-CN"/>
              </w:rPr>
              <w:t>该油站安装在现场的一次仪表均是防爆型仪表。</w:t>
            </w:r>
          </w:p>
        </w:tc>
        <w:tc>
          <w:tcPr>
            <w:tcW w:w="121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729"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en-US"/>
              </w:rPr>
            </w:pPr>
          </w:p>
        </w:tc>
        <w:tc>
          <w:tcPr>
            <w:tcW w:w="5149"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中央电脑及辅助设备、油罐液位及电视监控系统，均为非防爆设备，安装在属非防爆区的站房内。</w:t>
            </w:r>
          </w:p>
        </w:tc>
        <w:tc>
          <w:tcPr>
            <w:tcW w:w="1980"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中央电脑及辅助设备、油罐液位及电视监控系统符合设计要求。</w:t>
            </w:r>
          </w:p>
        </w:tc>
        <w:tc>
          <w:tcPr>
            <w:tcW w:w="121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9073" w:type="dxa"/>
            <w:gridSpan w:val="4"/>
            <w:vAlign w:val="center"/>
          </w:tcPr>
          <w:p>
            <w:pPr>
              <w:keepNext w:val="0"/>
              <w:keepLines w:val="0"/>
              <w:suppressLineNumbers w:val="0"/>
              <w:spacing w:before="0" w:beforeAutospacing="0" w:after="0" w:afterAutospacing="0"/>
              <w:ind w:left="0" w:right="0"/>
              <w:jc w:val="both"/>
              <w:rPr>
                <w:rFonts w:hint="eastAsia" w:ascii="宋体" w:hAnsi="宋体" w:eastAsia="宋体" w:cs="宋体"/>
                <w:b/>
                <w:bCs/>
                <w:color w:val="auto"/>
                <w:kern w:val="2"/>
                <w:sz w:val="21"/>
                <w:szCs w:val="21"/>
                <w:lang w:val="en-US" w:eastAsia="zh-CN"/>
              </w:rPr>
            </w:pPr>
            <w:r>
              <w:rPr>
                <w:rFonts w:hint="eastAsia" w:ascii="宋体" w:hAnsi="宋体" w:eastAsia="宋体" w:cs="宋体"/>
                <w:b/>
                <w:bCs/>
                <w:color w:val="auto"/>
                <w:kern w:val="2"/>
                <w:sz w:val="21"/>
                <w:szCs w:val="21"/>
                <w:lang w:val="en-US" w:eastAsia="zh-CN"/>
              </w:rPr>
              <w:t>五、防雷防静电设计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729" w:type="dxa"/>
            <w:vMerge w:val="restart"/>
            <w:vAlign w:val="center"/>
          </w:tcPr>
          <w:p>
            <w:pPr>
              <w:keepNext w:val="0"/>
              <w:keepLines w:val="0"/>
              <w:suppressLineNumbers w:val="0"/>
              <w:spacing w:before="0" w:beforeAutospacing="0" w:after="0" w:afterAutospacing="0"/>
              <w:ind w:left="0" w:right="0"/>
              <w:jc w:val="both"/>
              <w:rPr>
                <w:rFonts w:hint="eastAsia" w:ascii="宋体" w:hAnsi="宋体" w:eastAsia="宋体" w:cs="宋体"/>
                <w:b/>
                <w:bCs/>
                <w:color w:val="auto"/>
                <w:kern w:val="2"/>
                <w:sz w:val="21"/>
                <w:szCs w:val="21"/>
                <w:lang w:val="en-US" w:eastAsia="zh-CN"/>
              </w:rPr>
            </w:pPr>
            <w:r>
              <w:rPr>
                <w:rFonts w:hint="eastAsia" w:ascii="宋体" w:hAnsi="宋体" w:eastAsia="宋体" w:cs="宋体"/>
                <w:b/>
                <w:bCs/>
                <w:color w:val="auto"/>
                <w:kern w:val="2"/>
                <w:sz w:val="21"/>
                <w:szCs w:val="21"/>
                <w:lang w:val="en-US" w:eastAsia="zh-CN"/>
              </w:rPr>
              <w:t>防雷</w:t>
            </w:r>
          </w:p>
        </w:tc>
        <w:tc>
          <w:tcPr>
            <w:tcW w:w="5149"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val="en-US" w:eastAsia="zh-CN"/>
              </w:rPr>
              <w:t>加油棚及站房为二类防雷建筑物，在屋面敷设避雷网，利用柱内对角主筋作引下线，基础内钢筋网作接地极，并与站区人工接地网相连，防雷接地电阻不大于 4 欧姆。</w:t>
            </w:r>
          </w:p>
        </w:tc>
        <w:tc>
          <w:tcPr>
            <w:tcW w:w="1980"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根据安全设施施工情况报告，施工符合设计要求。</w:t>
            </w:r>
          </w:p>
        </w:tc>
        <w:tc>
          <w:tcPr>
            <w:tcW w:w="121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729" w:type="dxa"/>
            <w:vMerge w:val="continue"/>
            <w:vAlign w:val="center"/>
          </w:tcPr>
          <w:p>
            <w:pPr>
              <w:keepNext w:val="0"/>
              <w:keepLines w:val="0"/>
              <w:suppressLineNumbers w:val="0"/>
              <w:spacing w:before="0" w:beforeAutospacing="0" w:after="0" w:afterAutospacing="0"/>
              <w:ind w:left="0" w:right="0"/>
              <w:jc w:val="both"/>
              <w:rPr>
                <w:rFonts w:hint="eastAsia" w:ascii="宋体" w:hAnsi="宋体" w:eastAsia="宋体" w:cs="宋体"/>
                <w:b/>
                <w:bCs/>
                <w:color w:val="auto"/>
                <w:kern w:val="2"/>
                <w:sz w:val="21"/>
                <w:szCs w:val="21"/>
                <w:lang w:val="en-US" w:eastAsia="zh-CN"/>
              </w:rPr>
            </w:pPr>
          </w:p>
        </w:tc>
        <w:tc>
          <w:tcPr>
            <w:tcW w:w="5149"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val="en-US" w:eastAsia="zh-CN"/>
              </w:rPr>
              <w:t>油罐通气管（上装阻火器）应可靠接地。</w:t>
            </w:r>
          </w:p>
        </w:tc>
        <w:tc>
          <w:tcPr>
            <w:tcW w:w="1980"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已接地。</w:t>
            </w:r>
          </w:p>
        </w:tc>
        <w:tc>
          <w:tcPr>
            <w:tcW w:w="121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729" w:type="dxa"/>
            <w:vMerge w:val="continue"/>
            <w:vAlign w:val="center"/>
          </w:tcPr>
          <w:p>
            <w:pPr>
              <w:keepNext w:val="0"/>
              <w:keepLines w:val="0"/>
              <w:suppressLineNumbers w:val="0"/>
              <w:spacing w:before="0" w:beforeAutospacing="0" w:after="0" w:afterAutospacing="0"/>
              <w:ind w:left="0" w:right="0"/>
              <w:jc w:val="both"/>
              <w:rPr>
                <w:rFonts w:hint="eastAsia" w:ascii="宋体" w:hAnsi="宋体" w:eastAsia="宋体" w:cs="宋体"/>
                <w:b/>
                <w:bCs/>
                <w:color w:val="auto"/>
                <w:kern w:val="2"/>
                <w:sz w:val="21"/>
                <w:szCs w:val="21"/>
                <w:lang w:val="en-US" w:eastAsia="zh-CN"/>
              </w:rPr>
            </w:pPr>
          </w:p>
        </w:tc>
        <w:tc>
          <w:tcPr>
            <w:tcW w:w="5149"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val="en-US" w:eastAsia="zh-CN"/>
              </w:rPr>
              <w:t>钢油罐须进行防雷接地，且接地点不少于两处，埋地油罐的罐体、量油孔、阻火器等金属附件与露出地面的工艺管道，应进行电气连接并接地。防雷接地电阻不大于 10 欧姆。</w:t>
            </w:r>
          </w:p>
        </w:tc>
        <w:tc>
          <w:tcPr>
            <w:tcW w:w="1980"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符合要求。</w:t>
            </w:r>
          </w:p>
        </w:tc>
        <w:tc>
          <w:tcPr>
            <w:tcW w:w="121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729" w:type="dxa"/>
            <w:vMerge w:val="continue"/>
            <w:vAlign w:val="center"/>
          </w:tcPr>
          <w:p>
            <w:pPr>
              <w:keepNext w:val="0"/>
              <w:keepLines w:val="0"/>
              <w:suppressLineNumbers w:val="0"/>
              <w:spacing w:before="0" w:beforeAutospacing="0" w:after="0" w:afterAutospacing="0"/>
              <w:ind w:left="0" w:right="0"/>
              <w:jc w:val="both"/>
              <w:rPr>
                <w:rFonts w:hint="eastAsia" w:ascii="宋体" w:hAnsi="宋体" w:eastAsia="宋体" w:cs="宋体"/>
                <w:b/>
                <w:bCs/>
                <w:color w:val="auto"/>
                <w:kern w:val="2"/>
                <w:sz w:val="21"/>
                <w:szCs w:val="21"/>
                <w:lang w:val="en-US" w:eastAsia="zh-CN"/>
              </w:rPr>
            </w:pPr>
          </w:p>
        </w:tc>
        <w:tc>
          <w:tcPr>
            <w:tcW w:w="5149"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val="en-US" w:eastAsia="zh-CN"/>
              </w:rPr>
              <w:t>凡正常不带电的电气设备金属外壳均应接地。</w:t>
            </w:r>
          </w:p>
        </w:tc>
        <w:tc>
          <w:tcPr>
            <w:tcW w:w="1980"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val="en-US" w:eastAsia="zh-CN"/>
              </w:rPr>
              <w:t>正常不带电的电气设备金属外壳</w:t>
            </w:r>
            <w:r>
              <w:rPr>
                <w:rFonts w:hint="eastAsia" w:ascii="宋体" w:hAnsi="宋体" w:eastAsia="宋体" w:cs="宋体"/>
                <w:color w:val="auto"/>
                <w:kern w:val="2"/>
                <w:sz w:val="21"/>
                <w:szCs w:val="21"/>
                <w:lang w:eastAsia="zh-CN"/>
              </w:rPr>
              <w:t>均已接地。</w:t>
            </w:r>
          </w:p>
        </w:tc>
        <w:tc>
          <w:tcPr>
            <w:tcW w:w="121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729" w:type="dxa"/>
            <w:vMerge w:val="continue"/>
            <w:vAlign w:val="center"/>
          </w:tcPr>
          <w:p>
            <w:pPr>
              <w:keepNext w:val="0"/>
              <w:keepLines w:val="0"/>
              <w:suppressLineNumbers w:val="0"/>
              <w:spacing w:before="0" w:beforeAutospacing="0" w:after="0" w:afterAutospacing="0"/>
              <w:ind w:left="0" w:right="0"/>
              <w:jc w:val="both"/>
              <w:rPr>
                <w:rFonts w:hint="eastAsia" w:ascii="宋体" w:hAnsi="宋体" w:eastAsia="宋体" w:cs="宋体"/>
                <w:b/>
                <w:bCs/>
                <w:color w:val="auto"/>
                <w:kern w:val="2"/>
                <w:sz w:val="21"/>
                <w:szCs w:val="21"/>
                <w:lang w:val="en-US" w:eastAsia="zh-CN"/>
              </w:rPr>
            </w:pPr>
          </w:p>
        </w:tc>
        <w:tc>
          <w:tcPr>
            <w:tcW w:w="5149"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val="en-US" w:eastAsia="zh-CN"/>
              </w:rPr>
              <w:t>供电系统的电缆金属外皮或电缆金属保护管两端均应接地，在电源进线端安装过电压（电涌）保护器。</w:t>
            </w:r>
          </w:p>
        </w:tc>
        <w:tc>
          <w:tcPr>
            <w:tcW w:w="1980"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有接地和过电压保护器。</w:t>
            </w:r>
          </w:p>
        </w:tc>
        <w:tc>
          <w:tcPr>
            <w:tcW w:w="121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729" w:type="dxa"/>
            <w:vMerge w:val="restart"/>
            <w:vAlign w:val="center"/>
          </w:tcPr>
          <w:p>
            <w:pPr>
              <w:keepNext w:val="0"/>
              <w:keepLines w:val="0"/>
              <w:suppressLineNumbers w:val="0"/>
              <w:spacing w:before="0" w:beforeAutospacing="0" w:after="0" w:afterAutospacing="0"/>
              <w:ind w:left="0" w:right="0"/>
              <w:jc w:val="both"/>
              <w:rPr>
                <w:rFonts w:hint="eastAsia" w:ascii="宋体" w:hAnsi="宋体" w:eastAsia="宋体" w:cs="宋体"/>
                <w:b/>
                <w:bCs/>
                <w:color w:val="auto"/>
                <w:kern w:val="2"/>
                <w:sz w:val="21"/>
                <w:szCs w:val="21"/>
                <w:lang w:val="en-US" w:eastAsia="zh-CN"/>
              </w:rPr>
            </w:pPr>
            <w:r>
              <w:rPr>
                <w:rFonts w:hint="eastAsia" w:ascii="宋体" w:hAnsi="宋体" w:eastAsia="宋体" w:cs="宋体"/>
                <w:b/>
                <w:bCs/>
                <w:color w:val="auto"/>
                <w:kern w:val="2"/>
                <w:sz w:val="21"/>
                <w:szCs w:val="21"/>
                <w:lang w:val="en-US" w:eastAsia="zh-CN"/>
              </w:rPr>
              <w:t>防雷击电磁感应</w:t>
            </w:r>
          </w:p>
          <w:p>
            <w:pPr>
              <w:keepNext w:val="0"/>
              <w:keepLines w:val="0"/>
              <w:suppressLineNumbers w:val="0"/>
              <w:spacing w:before="0" w:beforeAutospacing="0" w:after="0" w:afterAutospacing="0"/>
              <w:ind w:left="0" w:right="0"/>
              <w:jc w:val="both"/>
              <w:rPr>
                <w:rFonts w:hint="eastAsia" w:ascii="宋体" w:hAnsi="宋体" w:eastAsia="宋体" w:cs="宋体"/>
                <w:b/>
                <w:bCs/>
                <w:color w:val="auto"/>
                <w:kern w:val="2"/>
                <w:sz w:val="21"/>
                <w:szCs w:val="21"/>
                <w:lang w:val="en-US" w:eastAsia="zh-CN"/>
              </w:rPr>
            </w:pPr>
          </w:p>
        </w:tc>
        <w:tc>
          <w:tcPr>
            <w:tcW w:w="5149"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val="en-US" w:eastAsia="zh-CN"/>
              </w:rPr>
              <w:t>380/220V 供配电系统采用 TN-S 系统，供配电系统的电缆金属外皮或电缆金属保护管两端均接地，在电源进线端及不同雷电防护区安装与设备耐压水平相适应的过电压（电涌）保护器。</w:t>
            </w:r>
          </w:p>
        </w:tc>
        <w:tc>
          <w:tcPr>
            <w:tcW w:w="1980"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符合设计要求。</w:t>
            </w:r>
          </w:p>
        </w:tc>
        <w:tc>
          <w:tcPr>
            <w:tcW w:w="121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729"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en-US"/>
              </w:rPr>
            </w:pPr>
          </w:p>
        </w:tc>
        <w:tc>
          <w:tcPr>
            <w:tcW w:w="5149"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val="en-US" w:eastAsia="zh-CN"/>
              </w:rPr>
              <w:t>需保护的电子信息系统必须采取等电位连接与接地保护。</w:t>
            </w:r>
          </w:p>
        </w:tc>
        <w:tc>
          <w:tcPr>
            <w:tcW w:w="1980"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val="en-US" w:eastAsia="zh-CN"/>
              </w:rPr>
              <w:t>电子信息系统已采用等电位连接与接地保护。</w:t>
            </w:r>
          </w:p>
        </w:tc>
        <w:tc>
          <w:tcPr>
            <w:tcW w:w="121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729"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en-US"/>
              </w:rPr>
            </w:pPr>
          </w:p>
        </w:tc>
        <w:tc>
          <w:tcPr>
            <w:tcW w:w="5149"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val="en-US" w:eastAsia="zh-CN"/>
              </w:rPr>
              <w:t>加油区的信息系统的配电线路首、末端与电子器件相连处，也应装设与电子器件耐水平相适应的过电压保护器。</w:t>
            </w:r>
          </w:p>
        </w:tc>
        <w:tc>
          <w:tcPr>
            <w:tcW w:w="1980"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符合要求。</w:t>
            </w:r>
          </w:p>
        </w:tc>
        <w:tc>
          <w:tcPr>
            <w:tcW w:w="121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729" w:type="dxa"/>
            <w:vMerge w:val="restart"/>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rPr>
            </w:pPr>
            <w:r>
              <w:rPr>
                <w:rFonts w:hint="eastAsia" w:ascii="宋体" w:hAnsi="宋体" w:eastAsia="宋体" w:cs="宋体"/>
                <w:b/>
                <w:bCs/>
                <w:color w:val="auto"/>
                <w:kern w:val="2"/>
                <w:sz w:val="21"/>
                <w:szCs w:val="21"/>
                <w:lang w:val="en-US" w:eastAsia="zh-CN"/>
              </w:rPr>
              <w:t>防静电</w:t>
            </w:r>
          </w:p>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en-US"/>
              </w:rPr>
            </w:pPr>
          </w:p>
        </w:tc>
        <w:tc>
          <w:tcPr>
            <w:tcW w:w="5149"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val="en-US" w:eastAsia="zh-CN"/>
              </w:rPr>
              <w:t>钢油罐须作静电接地，钢油罐的防雷接地装置可兼作防静电接地装置。</w:t>
            </w:r>
          </w:p>
        </w:tc>
        <w:tc>
          <w:tcPr>
            <w:tcW w:w="1980"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有静电接地。</w:t>
            </w:r>
          </w:p>
        </w:tc>
        <w:tc>
          <w:tcPr>
            <w:tcW w:w="121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729"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en-US"/>
              </w:rPr>
            </w:pPr>
          </w:p>
        </w:tc>
        <w:tc>
          <w:tcPr>
            <w:tcW w:w="5149"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val="en-US" w:eastAsia="zh-CN"/>
              </w:rPr>
              <w:t>输油管线的始端、未端、分岔及管道直线段每隔 80～100 米等位置均应接地，接地电阻不大于 30 欧姆。</w:t>
            </w:r>
          </w:p>
        </w:tc>
        <w:tc>
          <w:tcPr>
            <w:tcW w:w="1980"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符合要求。</w:t>
            </w:r>
          </w:p>
        </w:tc>
        <w:tc>
          <w:tcPr>
            <w:tcW w:w="121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729"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en-US"/>
              </w:rPr>
            </w:pPr>
          </w:p>
        </w:tc>
        <w:tc>
          <w:tcPr>
            <w:tcW w:w="5149"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槽车卸油处设静电接地端子，为槽车静电接地提供接地点，接地电阻不大于 100 欧姆。</w:t>
            </w:r>
          </w:p>
        </w:tc>
        <w:tc>
          <w:tcPr>
            <w:tcW w:w="1980"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有接地端子，接地电阻符合要求。</w:t>
            </w:r>
          </w:p>
        </w:tc>
        <w:tc>
          <w:tcPr>
            <w:tcW w:w="121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729"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en-US"/>
              </w:rPr>
            </w:pPr>
          </w:p>
        </w:tc>
        <w:tc>
          <w:tcPr>
            <w:tcW w:w="5149"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输油管线上的法兰、胶管两端等连接处应用 16mm</w:t>
            </w:r>
            <w:r>
              <w:rPr>
                <w:rFonts w:hint="eastAsia" w:ascii="宋体" w:hAnsi="宋体" w:eastAsia="宋体" w:cs="宋体"/>
                <w:color w:val="auto"/>
                <w:kern w:val="2"/>
                <w:sz w:val="21"/>
                <w:szCs w:val="21"/>
                <w:vertAlign w:val="superscript"/>
                <w:lang w:val="en-US" w:eastAsia="zh-CN"/>
              </w:rPr>
              <w:t>2</w:t>
            </w:r>
            <w:r>
              <w:rPr>
                <w:rFonts w:hint="eastAsia" w:ascii="宋体" w:hAnsi="宋体" w:eastAsia="宋体" w:cs="宋体"/>
                <w:color w:val="auto"/>
                <w:kern w:val="2"/>
                <w:sz w:val="21"/>
                <w:szCs w:val="21"/>
                <w:lang w:val="en-US" w:eastAsia="zh-CN"/>
              </w:rPr>
              <w:t xml:space="preserve"> 的铜跨接线作跨接；平行敷设的管道其相互间的净距小于 100mm 时，应每隔 20～30 米用 16mm2 的铜跨接线作跨接。</w:t>
            </w:r>
          </w:p>
        </w:tc>
        <w:tc>
          <w:tcPr>
            <w:tcW w:w="1980"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符合要求。</w:t>
            </w:r>
          </w:p>
        </w:tc>
        <w:tc>
          <w:tcPr>
            <w:tcW w:w="121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729"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en-US"/>
              </w:rPr>
            </w:pPr>
          </w:p>
        </w:tc>
        <w:tc>
          <w:tcPr>
            <w:tcW w:w="5149"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在整个站区区域内设置室外人工接地网，站区内的防雷接地、防静电接地、电气设备的工作接地、保护接地及电源进线重复接地共用接地装置，接地电阻不大于 4 欧姆。</w:t>
            </w:r>
          </w:p>
        </w:tc>
        <w:tc>
          <w:tcPr>
            <w:tcW w:w="1980"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val="en-US" w:eastAsia="zh-CN"/>
              </w:rPr>
              <w:t>根据安全设施施工情况报告，接地电阻</w:t>
            </w:r>
            <w:r>
              <w:rPr>
                <w:rFonts w:hint="eastAsia" w:ascii="宋体" w:hAnsi="宋体" w:eastAsia="宋体" w:cs="宋体"/>
                <w:color w:val="auto"/>
                <w:kern w:val="2"/>
                <w:sz w:val="21"/>
                <w:szCs w:val="21"/>
                <w:lang w:eastAsia="zh-CN"/>
              </w:rPr>
              <w:t>符合要求。</w:t>
            </w:r>
          </w:p>
        </w:tc>
        <w:tc>
          <w:tcPr>
            <w:tcW w:w="121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729"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en-US"/>
              </w:rPr>
            </w:pPr>
          </w:p>
        </w:tc>
        <w:tc>
          <w:tcPr>
            <w:tcW w:w="5149"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站区内改造的设备、管道、构架等主要金属物应就近与人工接地装置相连。</w:t>
            </w:r>
          </w:p>
        </w:tc>
        <w:tc>
          <w:tcPr>
            <w:tcW w:w="1980"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符合要求。</w:t>
            </w:r>
          </w:p>
        </w:tc>
        <w:tc>
          <w:tcPr>
            <w:tcW w:w="121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9073" w:type="dxa"/>
            <w:gridSpan w:val="4"/>
            <w:vAlign w:val="center"/>
          </w:tcPr>
          <w:p>
            <w:pPr>
              <w:keepNext w:val="0"/>
              <w:keepLines w:val="0"/>
              <w:suppressLineNumbers w:val="0"/>
              <w:spacing w:before="0" w:beforeAutospacing="0" w:after="0" w:afterAutospacing="0"/>
              <w:ind w:left="0" w:right="0"/>
              <w:jc w:val="both"/>
              <w:rPr>
                <w:rFonts w:hint="eastAsia" w:ascii="宋体" w:hAnsi="宋体" w:eastAsia="宋体" w:cs="宋体"/>
                <w:b/>
                <w:bCs/>
                <w:color w:val="auto"/>
                <w:kern w:val="2"/>
                <w:sz w:val="21"/>
                <w:szCs w:val="21"/>
                <w:lang w:val="en-US" w:eastAsia="zh-CN"/>
              </w:rPr>
            </w:pPr>
            <w:r>
              <w:rPr>
                <w:rFonts w:hint="eastAsia" w:ascii="宋体" w:hAnsi="宋体" w:eastAsia="宋体" w:cs="宋体"/>
                <w:b/>
                <w:bCs/>
                <w:color w:val="auto"/>
                <w:kern w:val="2"/>
                <w:sz w:val="21"/>
                <w:szCs w:val="21"/>
                <w:lang w:val="en-US" w:eastAsia="zh-CN"/>
              </w:rPr>
              <w:t>六、爆炸危险区域划分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729"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lang w:val="en-US"/>
              </w:rPr>
            </w:pPr>
          </w:p>
        </w:tc>
        <w:tc>
          <w:tcPr>
            <w:tcW w:w="5149"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 xml:space="preserve">(1) 加油机壳体内部空间及危险区域内地坪以下的坑或沟为 1区爆炸危险场所；以加油机中心线为中心，上面半径为 1.5 米，下面半径为 3 米，高度从地坪向上至加油机顶上 0.15 米的圆台形空间为 2 区爆炸危险场所。 </w:t>
            </w:r>
          </w:p>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 xml:space="preserve">(2) 地下卧式汽油罐罐内油品表面以上的空间为 0 区爆炸危险场所；人孔（阀）井内部空间为 1 区爆炸危险场所；距人孔（阀）井外边缘 1.5 米为边界，距地坪 1 米为高度的圆柱形空间为 2 区爆炸危险场所。 </w:t>
            </w:r>
          </w:p>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 xml:space="preserve">(3) 以汽油罐通气管管口为中心，半径为 0.75 米的球形空间为 1 区爆炸危险场所；1 区以外加 1.25 米为半径的空间为 2 区爆炸危险场所。 </w:t>
            </w:r>
          </w:p>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 xml:space="preserve">(4) 以汽油罐密闭卸油口为中心，半径为 0.5 米的球形空间为 1 区爆炸危险场所；1 区以外加 1 米为半径的空间并延至地坪的空间为 2 区爆炸危险场所。 </w:t>
            </w:r>
          </w:p>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 xml:space="preserve">(5) 汽油罐车内部液体表面以上的空间为 0 区爆炸危险场所。 </w:t>
            </w:r>
          </w:p>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 xml:space="preserve">(6) 以汽油罐车通气口为中心，半径为 1.5 米的球形空间为 1 区爆炸危险场所；1 区以外加 1.5 米为半径的空间为 2 区爆炸危险场所。 </w:t>
            </w:r>
          </w:p>
          <w:p>
            <w:pPr>
              <w:keepNext w:val="0"/>
              <w:keepLines w:val="0"/>
              <w:suppressLineNumbers w:val="0"/>
              <w:spacing w:before="0" w:beforeAutospacing="0" w:after="0" w:afterAutospacing="0"/>
              <w:ind w:left="0" w:right="0"/>
              <w:jc w:val="both"/>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2"/>
                <w:sz w:val="21"/>
                <w:szCs w:val="21"/>
                <w:lang w:val="en-US" w:eastAsia="zh-CN"/>
              </w:rPr>
              <w:t>(7) 除以上爆炸危险场所以外的空间为正常区域。</w:t>
            </w:r>
          </w:p>
        </w:tc>
        <w:tc>
          <w:tcPr>
            <w:tcW w:w="1980"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eastAsia="zh-CN"/>
              </w:rPr>
              <w:t>危险区域划分符合要求。</w:t>
            </w:r>
          </w:p>
        </w:tc>
        <w:tc>
          <w:tcPr>
            <w:tcW w:w="121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9073" w:type="dxa"/>
            <w:gridSpan w:val="4"/>
            <w:vAlign w:val="center"/>
          </w:tcPr>
          <w:p>
            <w:pPr>
              <w:keepNext w:val="0"/>
              <w:keepLines w:val="0"/>
              <w:suppressLineNumbers w:val="0"/>
              <w:spacing w:before="0" w:beforeAutospacing="0" w:after="0" w:afterAutospacing="0"/>
              <w:ind w:left="0" w:right="0"/>
              <w:jc w:val="both"/>
              <w:rPr>
                <w:rFonts w:hint="eastAsia" w:ascii="宋体" w:hAnsi="宋体" w:eastAsia="宋体" w:cs="宋体"/>
                <w:b/>
                <w:bCs/>
                <w:color w:val="auto"/>
                <w:kern w:val="2"/>
                <w:sz w:val="21"/>
                <w:szCs w:val="21"/>
                <w:lang w:val="en-US" w:eastAsia="zh-CN"/>
              </w:rPr>
            </w:pPr>
            <w:r>
              <w:rPr>
                <w:rFonts w:hint="eastAsia" w:ascii="宋体" w:hAnsi="宋体" w:eastAsia="宋体" w:cs="宋体"/>
                <w:b/>
                <w:bCs/>
                <w:color w:val="auto"/>
                <w:kern w:val="2"/>
                <w:sz w:val="21"/>
                <w:szCs w:val="21"/>
                <w:lang w:val="en-US" w:eastAsia="zh-CN"/>
              </w:rPr>
              <w:t>七、安全色和安全标志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729" w:type="dxa"/>
            <w:vMerge w:val="restart"/>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color w:val="auto"/>
                <w:kern w:val="2"/>
                <w:sz w:val="21"/>
                <w:szCs w:val="21"/>
                <w:lang w:val="en-US"/>
              </w:rPr>
            </w:pPr>
          </w:p>
        </w:tc>
        <w:tc>
          <w:tcPr>
            <w:tcW w:w="5149"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根据中华人民共和国国家标准《安全色》GB2893－2008 和《安全标志及其使用导则》GB2894－2008 的规定，充分利用红（禁止、危险）、黄（警告、注意）、兰（指令、遵守）、绿（通行、安全）四种传递安全信息的安全色，使人员能够迅速发现或分辩安全标志、即时受到提醒，以防止事故、危害发生。</w:t>
            </w:r>
          </w:p>
        </w:tc>
        <w:tc>
          <w:tcPr>
            <w:tcW w:w="1980" w:type="dxa"/>
            <w:vAlign w:val="center"/>
          </w:tcPr>
          <w:p>
            <w:pPr>
              <w:keepNext w:val="0"/>
              <w:keepLines w:val="0"/>
              <w:suppressLineNumbers w:val="0"/>
              <w:spacing w:before="0" w:beforeAutospacing="0" w:after="0" w:afterAutospacing="0"/>
              <w:ind w:left="0" w:leftChars="0" w:right="0" w:rightChars="0"/>
              <w:jc w:val="both"/>
              <w:rPr>
                <w:rFonts w:hint="eastAsia" w:ascii="宋体" w:hAnsi="宋体" w:eastAsia="宋体" w:cs="宋体"/>
                <w:color w:val="auto"/>
                <w:kern w:val="2"/>
                <w:sz w:val="21"/>
                <w:szCs w:val="21"/>
                <w:lang w:val="en-US" w:eastAsia="zh-CN" w:bidi="zh-CN"/>
              </w:rPr>
            </w:pPr>
            <w:r>
              <w:rPr>
                <w:rFonts w:hint="eastAsia" w:ascii="宋体" w:hAnsi="宋体" w:eastAsia="宋体" w:cs="宋体"/>
                <w:color w:val="auto"/>
                <w:kern w:val="2"/>
                <w:sz w:val="21"/>
                <w:szCs w:val="21"/>
                <w:lang w:eastAsia="zh-CN"/>
              </w:rPr>
              <w:t>安全色使用符合要求。</w:t>
            </w:r>
          </w:p>
        </w:tc>
        <w:tc>
          <w:tcPr>
            <w:tcW w:w="121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729"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color w:val="auto"/>
                <w:kern w:val="2"/>
                <w:sz w:val="21"/>
                <w:szCs w:val="21"/>
                <w:lang w:val="en-US"/>
              </w:rPr>
            </w:pPr>
          </w:p>
        </w:tc>
        <w:tc>
          <w:tcPr>
            <w:tcW w:w="5149"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禁止标志、警告标志、指令标志、提示标志均应设在醒目、与安全有关的地方，除临时安全标志外不得设在可移动的物体上。</w:t>
            </w:r>
          </w:p>
        </w:tc>
        <w:tc>
          <w:tcPr>
            <w:tcW w:w="1980" w:type="dxa"/>
            <w:vAlign w:val="center"/>
          </w:tcPr>
          <w:p>
            <w:pPr>
              <w:keepNext w:val="0"/>
              <w:keepLines w:val="0"/>
              <w:suppressLineNumbers w:val="0"/>
              <w:spacing w:before="0" w:beforeAutospacing="0" w:after="0" w:afterAutospacing="0"/>
              <w:ind w:left="0" w:leftChars="0" w:right="0" w:rightChars="0"/>
              <w:jc w:val="both"/>
              <w:rPr>
                <w:rFonts w:hint="eastAsia" w:ascii="宋体" w:hAnsi="宋体" w:eastAsia="宋体" w:cs="宋体"/>
                <w:color w:val="auto"/>
                <w:kern w:val="2"/>
                <w:sz w:val="21"/>
                <w:szCs w:val="21"/>
                <w:lang w:val="en-US" w:eastAsia="zh-CN" w:bidi="zh-CN"/>
              </w:rPr>
            </w:pPr>
            <w:r>
              <w:rPr>
                <w:rFonts w:hint="eastAsia" w:ascii="宋体" w:hAnsi="宋体" w:eastAsia="宋体" w:cs="宋体"/>
                <w:color w:val="auto"/>
                <w:kern w:val="2"/>
                <w:sz w:val="21"/>
                <w:szCs w:val="21"/>
                <w:lang w:val="en-US" w:eastAsia="zh-CN"/>
              </w:rPr>
              <w:t>禁止标志、警告标志、指令标志、提示标志设置</w:t>
            </w:r>
            <w:r>
              <w:rPr>
                <w:rFonts w:hint="eastAsia" w:ascii="宋体" w:hAnsi="宋体" w:eastAsia="宋体" w:cs="宋体"/>
                <w:color w:val="auto"/>
                <w:kern w:val="2"/>
                <w:sz w:val="21"/>
                <w:szCs w:val="21"/>
                <w:lang w:eastAsia="zh-CN"/>
              </w:rPr>
              <w:t>符合要求。</w:t>
            </w:r>
          </w:p>
        </w:tc>
        <w:tc>
          <w:tcPr>
            <w:tcW w:w="121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9073" w:type="dxa"/>
            <w:gridSpan w:val="4"/>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rPr>
            </w:pPr>
            <w:r>
              <w:rPr>
                <w:rFonts w:hint="eastAsia" w:ascii="宋体" w:hAnsi="宋体" w:eastAsia="宋体" w:cs="宋体"/>
                <w:b/>
                <w:bCs/>
                <w:color w:val="auto"/>
                <w:kern w:val="2"/>
                <w:sz w:val="21"/>
                <w:szCs w:val="21"/>
                <w:lang w:val="en-US" w:eastAsia="zh-CN"/>
              </w:rPr>
              <w:t>八、个人防护用品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729"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color w:val="auto"/>
                <w:kern w:val="2"/>
                <w:sz w:val="21"/>
                <w:szCs w:val="21"/>
                <w:lang w:val="en-US"/>
              </w:rPr>
            </w:pPr>
          </w:p>
        </w:tc>
        <w:tc>
          <w:tcPr>
            <w:tcW w:w="5149" w:type="dxa"/>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val="en-US" w:eastAsia="zh-CN"/>
              </w:rPr>
              <w:t>业主根据须预防的危险、有害因素和危险有害作业类别配备具有相应防护功能的个人防护用品（如工作服、工作鞋、工作手套等）。</w:t>
            </w:r>
          </w:p>
        </w:tc>
        <w:tc>
          <w:tcPr>
            <w:tcW w:w="1980" w:type="dxa"/>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已配备具有相应防护功能的个人防护用品。</w:t>
            </w:r>
          </w:p>
        </w:tc>
        <w:tc>
          <w:tcPr>
            <w:tcW w:w="121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9073" w:type="dxa"/>
            <w:gridSpan w:val="4"/>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eastAsia="zh-CN"/>
              </w:rPr>
            </w:pPr>
            <w:r>
              <w:rPr>
                <w:rFonts w:hint="eastAsia" w:ascii="宋体" w:hAnsi="宋体" w:eastAsia="宋体" w:cs="宋体"/>
                <w:b/>
                <w:bCs/>
                <w:color w:val="auto"/>
                <w:kern w:val="2"/>
                <w:sz w:val="21"/>
                <w:szCs w:val="21"/>
                <w:lang w:val="en-US" w:eastAsia="zh-CN"/>
              </w:rPr>
              <w:t>九、防尘防毒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729" w:type="dxa"/>
            <w:vMerge w:val="restart"/>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color w:val="auto"/>
                <w:kern w:val="2"/>
                <w:sz w:val="21"/>
                <w:szCs w:val="21"/>
                <w:lang w:val="en-US"/>
              </w:rPr>
            </w:pPr>
          </w:p>
        </w:tc>
        <w:tc>
          <w:tcPr>
            <w:tcW w:w="5149"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val="en-US" w:eastAsia="zh-CN"/>
              </w:rPr>
              <w:t>储罐内进行检修作业时，必须先检测容器内有害物质的浓度，满足 GBZ2.1~2-2007《工作场所有害因素职业接触限值》的规定方可进入，并有人监护。</w:t>
            </w:r>
          </w:p>
        </w:tc>
        <w:tc>
          <w:tcPr>
            <w:tcW w:w="1980" w:type="dxa"/>
            <w:vAlign w:val="center"/>
          </w:tcPr>
          <w:p>
            <w:pPr>
              <w:keepNext w:val="0"/>
              <w:keepLines w:val="0"/>
              <w:suppressLineNumbers w:val="0"/>
              <w:spacing w:before="0" w:beforeAutospacing="0" w:after="0" w:afterAutospacing="0"/>
              <w:ind w:left="0" w:leftChars="0" w:right="0" w:rightChars="0"/>
              <w:jc w:val="both"/>
              <w:rPr>
                <w:rFonts w:hint="eastAsia" w:ascii="宋体" w:hAnsi="宋体" w:eastAsia="宋体" w:cs="宋体"/>
                <w:color w:val="auto"/>
                <w:kern w:val="2"/>
                <w:sz w:val="21"/>
                <w:szCs w:val="21"/>
                <w:lang w:val="en-US" w:eastAsia="zh-CN" w:bidi="zh-CN"/>
              </w:rPr>
            </w:pPr>
            <w:r>
              <w:rPr>
                <w:rFonts w:hint="eastAsia" w:ascii="宋体" w:hAnsi="宋体" w:eastAsia="宋体" w:cs="宋体"/>
                <w:color w:val="auto"/>
                <w:kern w:val="2"/>
                <w:sz w:val="21"/>
                <w:szCs w:val="21"/>
                <w:lang w:eastAsia="zh-CN"/>
              </w:rPr>
              <w:t>已制定储罐相关作业制度，保证人员安全。</w:t>
            </w:r>
          </w:p>
        </w:tc>
        <w:tc>
          <w:tcPr>
            <w:tcW w:w="121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729"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color w:val="auto"/>
                <w:kern w:val="2"/>
                <w:sz w:val="21"/>
                <w:szCs w:val="21"/>
                <w:lang w:val="en-US"/>
              </w:rPr>
            </w:pPr>
          </w:p>
        </w:tc>
        <w:tc>
          <w:tcPr>
            <w:tcW w:w="5149"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val="en-US" w:eastAsia="zh-CN"/>
              </w:rPr>
              <w:t>业主应采取安全教育、对工作人员进行定期体检，以及急性中毒及缺氧窒息抢救训练等管理措施。</w:t>
            </w:r>
          </w:p>
        </w:tc>
        <w:tc>
          <w:tcPr>
            <w:tcW w:w="1980" w:type="dxa"/>
            <w:vAlign w:val="center"/>
          </w:tcPr>
          <w:p>
            <w:pPr>
              <w:keepNext w:val="0"/>
              <w:keepLines w:val="0"/>
              <w:suppressLineNumbers w:val="0"/>
              <w:spacing w:before="0" w:beforeAutospacing="0" w:after="0" w:afterAutospacing="0"/>
              <w:ind w:left="0" w:leftChars="0" w:right="0" w:rightChars="0"/>
              <w:jc w:val="both"/>
              <w:rPr>
                <w:rFonts w:hint="eastAsia" w:ascii="宋体" w:hAnsi="宋体" w:eastAsia="宋体" w:cs="宋体"/>
                <w:color w:val="auto"/>
                <w:kern w:val="2"/>
                <w:sz w:val="21"/>
                <w:szCs w:val="21"/>
                <w:lang w:val="en-US" w:eastAsia="zh-CN" w:bidi="zh-CN"/>
              </w:rPr>
            </w:pPr>
            <w:r>
              <w:rPr>
                <w:rFonts w:hint="eastAsia" w:ascii="宋体" w:hAnsi="宋体" w:eastAsia="宋体" w:cs="宋体"/>
                <w:color w:val="auto"/>
                <w:kern w:val="2"/>
                <w:sz w:val="21"/>
                <w:szCs w:val="21"/>
                <w:lang w:eastAsia="zh-CN"/>
              </w:rPr>
              <w:t>有相关培训管理制度。</w:t>
            </w:r>
          </w:p>
        </w:tc>
        <w:tc>
          <w:tcPr>
            <w:tcW w:w="121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9073" w:type="dxa"/>
            <w:gridSpan w:val="4"/>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rPr>
            </w:pPr>
            <w:r>
              <w:rPr>
                <w:rFonts w:hint="eastAsia" w:ascii="宋体" w:hAnsi="宋体" w:eastAsia="宋体" w:cs="宋体"/>
                <w:b/>
                <w:bCs/>
                <w:color w:val="auto"/>
                <w:kern w:val="2"/>
                <w:sz w:val="21"/>
                <w:szCs w:val="21"/>
                <w:lang w:val="en-US" w:eastAsia="zh-CN"/>
              </w:rPr>
              <w:t>十、隔油水封设施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729" w:type="dxa"/>
            <w:vMerge w:val="restart"/>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color w:val="auto"/>
                <w:kern w:val="2"/>
                <w:sz w:val="21"/>
                <w:szCs w:val="21"/>
                <w:lang w:val="en-US"/>
              </w:rPr>
            </w:pPr>
          </w:p>
        </w:tc>
        <w:tc>
          <w:tcPr>
            <w:tcW w:w="5149"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val="en-US" w:eastAsia="zh-CN"/>
              </w:rPr>
              <w:t>加油区地面冲洗水经隔油池处理后才接入市政污水管网。</w:t>
            </w:r>
          </w:p>
        </w:tc>
        <w:tc>
          <w:tcPr>
            <w:tcW w:w="1980" w:type="dxa"/>
            <w:vAlign w:val="center"/>
          </w:tcPr>
          <w:p>
            <w:pPr>
              <w:keepNext w:val="0"/>
              <w:keepLines w:val="0"/>
              <w:suppressLineNumbers w:val="0"/>
              <w:spacing w:before="0" w:beforeAutospacing="0" w:after="0" w:afterAutospacing="0"/>
              <w:ind w:left="0" w:leftChars="0" w:right="0" w:rightChars="0"/>
              <w:jc w:val="both"/>
              <w:rPr>
                <w:rFonts w:hint="eastAsia" w:ascii="宋体" w:hAnsi="宋体" w:eastAsia="宋体" w:cs="宋体"/>
                <w:color w:val="auto"/>
                <w:kern w:val="2"/>
                <w:sz w:val="21"/>
                <w:szCs w:val="21"/>
                <w:lang w:val="en-US" w:eastAsia="zh-CN" w:bidi="zh-CN"/>
              </w:rPr>
            </w:pPr>
            <w:r>
              <w:rPr>
                <w:rFonts w:hint="eastAsia" w:ascii="宋体" w:hAnsi="宋体" w:eastAsia="宋体" w:cs="宋体"/>
                <w:color w:val="auto"/>
                <w:kern w:val="2"/>
                <w:sz w:val="21"/>
                <w:szCs w:val="21"/>
                <w:lang w:val="en-US" w:eastAsia="zh-CN"/>
              </w:rPr>
              <w:t>加油区地面冲洗水经隔油池处理后才接入市政污水管网。</w:t>
            </w:r>
          </w:p>
        </w:tc>
        <w:tc>
          <w:tcPr>
            <w:tcW w:w="121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729" w:type="dxa"/>
            <w:vMerge w:val="continue"/>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color w:val="auto"/>
                <w:kern w:val="2"/>
                <w:sz w:val="21"/>
                <w:szCs w:val="21"/>
                <w:lang w:val="en-US"/>
              </w:rPr>
            </w:pPr>
          </w:p>
        </w:tc>
        <w:tc>
          <w:tcPr>
            <w:tcW w:w="5149"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val="en-US" w:eastAsia="zh-CN"/>
              </w:rPr>
              <w:t>加油区污水及雨水排出站区前设置水封井，水封井的水封高度不应小于 0.25 米。</w:t>
            </w:r>
          </w:p>
        </w:tc>
        <w:tc>
          <w:tcPr>
            <w:tcW w:w="1980" w:type="dxa"/>
            <w:vAlign w:val="center"/>
          </w:tcPr>
          <w:p>
            <w:pPr>
              <w:keepNext w:val="0"/>
              <w:keepLines w:val="0"/>
              <w:suppressLineNumbers w:val="0"/>
              <w:spacing w:before="0" w:beforeAutospacing="0" w:after="0" w:afterAutospacing="0"/>
              <w:ind w:left="0" w:leftChars="0" w:right="0" w:rightChars="0"/>
              <w:jc w:val="both"/>
              <w:rPr>
                <w:rFonts w:hint="eastAsia" w:ascii="宋体" w:hAnsi="宋体" w:eastAsia="宋体" w:cs="宋体"/>
                <w:color w:val="auto"/>
                <w:kern w:val="2"/>
                <w:sz w:val="21"/>
                <w:szCs w:val="21"/>
                <w:lang w:val="en-US" w:eastAsia="zh-CN" w:bidi="zh-CN"/>
              </w:rPr>
            </w:pPr>
            <w:r>
              <w:rPr>
                <w:rFonts w:hint="eastAsia" w:ascii="宋体" w:hAnsi="宋体" w:eastAsia="宋体" w:cs="宋体"/>
                <w:color w:val="auto"/>
                <w:kern w:val="2"/>
                <w:sz w:val="21"/>
                <w:szCs w:val="21"/>
                <w:lang w:val="en-US" w:eastAsia="zh-CN"/>
              </w:rPr>
              <w:t>加油区污水及雨水排出站区前设置水封井，水封井的水封高度不小于 0.25 米。</w:t>
            </w:r>
          </w:p>
        </w:tc>
        <w:tc>
          <w:tcPr>
            <w:tcW w:w="121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9073" w:type="dxa"/>
            <w:gridSpan w:val="4"/>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2"/>
                <w:sz w:val="21"/>
                <w:szCs w:val="21"/>
                <w:lang w:eastAsia="zh-CN"/>
              </w:rPr>
            </w:pPr>
            <w:r>
              <w:rPr>
                <w:rFonts w:hint="eastAsia" w:ascii="宋体" w:hAnsi="宋体" w:eastAsia="宋体" w:cs="宋体"/>
                <w:b/>
                <w:bCs/>
                <w:color w:val="auto"/>
                <w:kern w:val="2"/>
                <w:sz w:val="21"/>
                <w:szCs w:val="21"/>
                <w:lang w:val="en-US" w:eastAsia="zh-CN"/>
              </w:rPr>
              <w:t>十一、事故预防和应急救援措施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729"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b/>
                <w:bCs/>
                <w:color w:val="auto"/>
                <w:kern w:val="2"/>
                <w:sz w:val="21"/>
                <w:szCs w:val="21"/>
                <w:lang w:val="en-US"/>
              </w:rPr>
            </w:pPr>
          </w:p>
        </w:tc>
        <w:tc>
          <w:tcPr>
            <w:tcW w:w="5149" w:type="dxa"/>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val="en-US" w:eastAsia="zh-CN"/>
              </w:rPr>
              <w:t>为保证应急救援工作及时有效，加油站需配备救援器材，包括抢救药品、器材、消防和抢险服装。</w:t>
            </w:r>
          </w:p>
        </w:tc>
        <w:tc>
          <w:tcPr>
            <w:tcW w:w="1980" w:type="dxa"/>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eastAsia="zh-CN"/>
              </w:rPr>
              <w:t>已配备相关</w:t>
            </w:r>
            <w:r>
              <w:rPr>
                <w:rFonts w:hint="eastAsia" w:ascii="宋体" w:hAnsi="宋体" w:eastAsia="宋体" w:cs="宋体"/>
                <w:color w:val="auto"/>
                <w:kern w:val="2"/>
                <w:sz w:val="21"/>
                <w:szCs w:val="21"/>
                <w:lang w:val="en-US" w:eastAsia="zh-CN"/>
              </w:rPr>
              <w:t>救援器材。</w:t>
            </w:r>
          </w:p>
        </w:tc>
        <w:tc>
          <w:tcPr>
            <w:tcW w:w="121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9073" w:type="dxa"/>
            <w:gridSpan w:val="4"/>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b/>
                <w:bCs/>
                <w:color w:val="auto"/>
                <w:kern w:val="2"/>
                <w:sz w:val="21"/>
                <w:szCs w:val="21"/>
                <w:lang w:val="en-US" w:eastAsia="zh-CN"/>
              </w:rPr>
            </w:pPr>
            <w:r>
              <w:rPr>
                <w:rFonts w:hint="eastAsia" w:ascii="宋体" w:hAnsi="宋体" w:eastAsia="宋体" w:cs="宋体"/>
                <w:b/>
                <w:bCs/>
                <w:color w:val="auto"/>
                <w:kern w:val="2"/>
                <w:sz w:val="21"/>
                <w:szCs w:val="21"/>
                <w:lang w:val="en-US" w:eastAsia="zh-CN"/>
              </w:rPr>
              <w:t>十二、安全管理机构的设置及人员配备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729"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b/>
                <w:bCs/>
                <w:color w:val="auto"/>
                <w:kern w:val="2"/>
                <w:sz w:val="21"/>
                <w:szCs w:val="21"/>
                <w:lang w:val="en-US" w:eastAsia="zh-CN"/>
              </w:rPr>
            </w:pPr>
            <w:r>
              <w:rPr>
                <w:rFonts w:hint="eastAsia" w:ascii="宋体" w:hAnsi="宋体" w:eastAsia="宋体" w:cs="宋体"/>
                <w:b/>
                <w:bCs/>
                <w:color w:val="auto"/>
                <w:kern w:val="2"/>
                <w:sz w:val="21"/>
                <w:szCs w:val="21"/>
                <w:lang w:val="en-US" w:eastAsia="zh-CN"/>
              </w:rPr>
              <w:t>安全管理机构</w:t>
            </w:r>
          </w:p>
          <w:p>
            <w:pPr>
              <w:keepNext w:val="0"/>
              <w:keepLines w:val="0"/>
              <w:suppressLineNumbers w:val="0"/>
              <w:spacing w:before="0" w:beforeAutospacing="0" w:after="0" w:afterAutospacing="0"/>
              <w:ind w:left="0" w:right="0"/>
              <w:jc w:val="both"/>
              <w:rPr>
                <w:rFonts w:hint="eastAsia" w:ascii="宋体" w:hAnsi="宋体" w:eastAsia="宋体" w:cs="宋体"/>
                <w:b/>
                <w:bCs/>
                <w:color w:val="auto"/>
                <w:kern w:val="2"/>
                <w:sz w:val="21"/>
                <w:szCs w:val="21"/>
                <w:lang w:val="en-US" w:eastAsia="zh-CN"/>
              </w:rPr>
            </w:pPr>
          </w:p>
        </w:tc>
        <w:tc>
          <w:tcPr>
            <w:tcW w:w="5149" w:type="dxa"/>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 xml:space="preserve">中国石化销售有限公司广东东莞寮步横坑加油站已成立了以主要负责人为组长的安全管理领导小组，具体如下： </w:t>
            </w:r>
          </w:p>
          <w:p>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 xml:space="preserve">组长：全面负责加油站的安全生产管理工作，安全生产直接责任人。 </w:t>
            </w:r>
          </w:p>
          <w:p>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val="en-US" w:eastAsia="zh-CN"/>
              </w:rPr>
              <w:t>组员：主管销售的安全生产工作，并监督和指导员工和销售对象严格执行《危险化学品安全管理条例》。</w:t>
            </w:r>
          </w:p>
        </w:tc>
        <w:tc>
          <w:tcPr>
            <w:tcW w:w="1980" w:type="dxa"/>
            <w:vAlign w:val="center"/>
          </w:tcPr>
          <w:p>
            <w:pPr>
              <w:keepNext w:val="0"/>
              <w:keepLines w:val="0"/>
              <w:suppressLineNumbers w:val="0"/>
              <w:spacing w:before="0" w:beforeAutospacing="0" w:after="0" w:afterAutospacing="0"/>
              <w:ind w:left="0" w:leftChars="0" w:right="0" w:rightChars="0"/>
              <w:jc w:val="both"/>
              <w:rPr>
                <w:rFonts w:hint="eastAsia" w:ascii="宋体" w:hAnsi="宋体" w:eastAsia="宋体" w:cs="宋体"/>
                <w:color w:val="auto"/>
                <w:kern w:val="2"/>
                <w:sz w:val="21"/>
                <w:szCs w:val="21"/>
                <w:lang w:val="en-US" w:eastAsia="zh-CN" w:bidi="zh-CN"/>
              </w:rPr>
            </w:pPr>
            <w:r>
              <w:rPr>
                <w:rFonts w:hint="eastAsia" w:ascii="宋体" w:hAnsi="宋体" w:eastAsia="宋体" w:cs="宋体"/>
                <w:color w:val="auto"/>
                <w:kern w:val="2"/>
                <w:sz w:val="21"/>
                <w:szCs w:val="21"/>
                <w:lang w:eastAsia="zh-CN"/>
              </w:rPr>
              <w:t>已成立</w:t>
            </w:r>
            <w:r>
              <w:rPr>
                <w:rFonts w:hint="eastAsia" w:ascii="宋体" w:hAnsi="宋体" w:eastAsia="宋体" w:cs="宋体"/>
                <w:color w:val="auto"/>
                <w:kern w:val="2"/>
                <w:sz w:val="21"/>
                <w:szCs w:val="21"/>
                <w:lang w:val="en-US" w:eastAsia="zh-CN"/>
              </w:rPr>
              <w:t>安全管理领导小组，符合设计要求。</w:t>
            </w:r>
          </w:p>
        </w:tc>
        <w:tc>
          <w:tcPr>
            <w:tcW w:w="121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729"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b/>
                <w:bCs/>
                <w:color w:val="auto"/>
                <w:kern w:val="2"/>
                <w:sz w:val="21"/>
                <w:szCs w:val="21"/>
                <w:lang w:val="en-US" w:eastAsia="zh-CN"/>
              </w:rPr>
            </w:pPr>
            <w:r>
              <w:rPr>
                <w:rFonts w:hint="eastAsia" w:ascii="宋体" w:hAnsi="宋体" w:eastAsia="宋体" w:cs="宋体"/>
                <w:b/>
                <w:bCs/>
                <w:color w:val="auto"/>
                <w:kern w:val="2"/>
                <w:sz w:val="21"/>
                <w:szCs w:val="21"/>
                <w:lang w:val="en-US" w:eastAsia="zh-CN"/>
              </w:rPr>
              <w:t>安全管理人员的配备</w:t>
            </w:r>
          </w:p>
          <w:p>
            <w:pPr>
              <w:keepNext w:val="0"/>
              <w:keepLines w:val="0"/>
              <w:suppressLineNumbers w:val="0"/>
              <w:spacing w:before="0" w:beforeAutospacing="0" w:after="0" w:afterAutospacing="0"/>
              <w:ind w:left="0" w:right="0"/>
              <w:jc w:val="both"/>
              <w:rPr>
                <w:rFonts w:hint="eastAsia" w:ascii="宋体" w:hAnsi="宋体" w:eastAsia="宋体" w:cs="宋体"/>
                <w:b/>
                <w:bCs/>
                <w:color w:val="auto"/>
                <w:kern w:val="2"/>
                <w:sz w:val="21"/>
                <w:szCs w:val="21"/>
                <w:lang w:val="en-US" w:eastAsia="zh-CN"/>
              </w:rPr>
            </w:pPr>
          </w:p>
        </w:tc>
        <w:tc>
          <w:tcPr>
            <w:tcW w:w="5149" w:type="dxa"/>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lang w:val="en-US" w:eastAsia="zh-CN"/>
              </w:rPr>
              <w:t xml:space="preserve">加油站内共有职工 10 人，其中：加油区主要负责人 1 人（兼任安全主任），安全生产管理人员 3 人，其余为财务及加油工人。加油站负责人和安全管理人员已经经过安全生产监督管理部门培训，考核合格。特种作业人员（电工）经相关职能部门专业培训，考核合格，取得操作证书，持证上岗。其它从业人员依照相关规定经安全生产教育和专业技术培训合格。中国石化销售有限公司广东东莞寮步横坑加油站制定有各类安全管理制定及事故应急救援预案，主要包括安全生产责任制、危险化学品购售管理制度、危险化学品安全管理制度、安全生产教育培训制度、安全生产会议制度、隐患排查治理制度、安全生产奖惩制度、应急管理制度、安全生产投入保障制度、安全风险管理制度、职业卫生管理制度、加油机日常维护保养、加油站值班制度、加油站设备检测、检验制度、加油站加油区及储罐区安全监控制度、防雷、防静电规定、临时用电安全管理制度、安全用火管理制度、事故管理制度、加油站加油操作规程、接卸油料操作规程、加油站计量操作规程 </w:t>
            </w:r>
          </w:p>
          <w:p>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val="en-US" w:eastAsia="zh-CN"/>
              </w:rPr>
              <w:t>发配电操作规程等。中国石化销售有限公司广东东莞寮步横坑加油站制定有生产安全事故应急预案并按规定进行了备案，同时定期举行培训和演练。</w:t>
            </w:r>
          </w:p>
        </w:tc>
        <w:tc>
          <w:tcPr>
            <w:tcW w:w="1980" w:type="dxa"/>
            <w:vAlign w:val="center"/>
          </w:tcPr>
          <w:p>
            <w:pPr>
              <w:keepNext w:val="0"/>
              <w:keepLines w:val="0"/>
              <w:suppressLineNumbers w:val="0"/>
              <w:spacing w:before="0" w:beforeAutospacing="0" w:after="0" w:afterAutospacing="0"/>
              <w:ind w:left="0" w:leftChars="0" w:right="0" w:rightChars="0"/>
              <w:jc w:val="both"/>
              <w:rPr>
                <w:rFonts w:hint="eastAsia" w:ascii="宋体" w:hAnsi="宋体" w:eastAsia="宋体" w:cs="宋体"/>
                <w:color w:val="auto"/>
                <w:kern w:val="2"/>
                <w:sz w:val="21"/>
                <w:szCs w:val="21"/>
                <w:lang w:val="en-US" w:eastAsia="zh-CN" w:bidi="zh-CN"/>
              </w:rPr>
            </w:pPr>
            <w:r>
              <w:rPr>
                <w:rFonts w:hint="eastAsia" w:ascii="宋体" w:hAnsi="宋体" w:eastAsia="宋体" w:cs="宋体"/>
                <w:color w:val="auto"/>
                <w:kern w:val="2"/>
                <w:sz w:val="21"/>
                <w:szCs w:val="21"/>
                <w:lang w:eastAsia="zh-CN"/>
              </w:rPr>
              <w:t>安管人员符合要求。</w:t>
            </w:r>
          </w:p>
        </w:tc>
        <w:tc>
          <w:tcPr>
            <w:tcW w:w="1215" w:type="dxa"/>
            <w:vAlign w:val="center"/>
          </w:tcPr>
          <w:p>
            <w:pPr>
              <w:keepNext w:val="0"/>
              <w:keepLines w:val="0"/>
              <w:suppressLineNumbers w:val="0"/>
              <w:spacing w:before="0" w:beforeAutospacing="0" w:after="0" w:afterAutospacing="0"/>
              <w:ind w:left="0" w:right="0"/>
              <w:jc w:val="both"/>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已落实。</w:t>
            </w:r>
          </w:p>
        </w:tc>
      </w:tr>
    </w:tbl>
    <w:p>
      <w:pPr>
        <w:spacing w:line="500" w:lineRule="exact"/>
        <w:ind w:firstLine="560" w:firstLineChars="200"/>
        <w:jc w:val="both"/>
        <w:rPr>
          <w:rFonts w:hint="eastAsia" w:ascii="宋体" w:hAnsi="宋体" w:eastAsia="宋体" w:cs="宋体"/>
          <w:sz w:val="28"/>
        </w:rPr>
      </w:pPr>
      <w:r>
        <w:rPr>
          <w:rFonts w:hint="eastAsia" w:ascii="宋体" w:hAnsi="宋体" w:eastAsia="宋体" w:cs="宋体"/>
          <w:color w:val="auto"/>
          <w:sz w:val="28"/>
          <w:lang w:val="en-US"/>
        </w:rPr>
        <w:t>通过上述检查表可知《</w:t>
      </w:r>
      <w:r>
        <w:rPr>
          <w:rFonts w:hint="eastAsia" w:ascii="宋体" w:hAnsi="宋体" w:eastAsia="宋体" w:cs="宋体"/>
          <w:bCs/>
          <w:color w:val="auto"/>
          <w:sz w:val="28"/>
          <w:lang w:val="en-US" w:eastAsia="zh-CN"/>
        </w:rPr>
        <w:t>中国石化销售有限公司广东东莞寮步横坑加油站</w:t>
      </w:r>
      <w:r>
        <w:rPr>
          <w:rFonts w:hint="eastAsia" w:ascii="宋体" w:hAnsi="宋体" w:eastAsia="宋体" w:cs="宋体"/>
          <w:color w:val="auto"/>
          <w:sz w:val="28"/>
          <w:lang w:val="en-US"/>
        </w:rPr>
        <w:t>改造工程安全设施设计专篇》</w:t>
      </w:r>
      <w:r>
        <w:rPr>
          <w:rFonts w:hint="eastAsia" w:ascii="宋体" w:hAnsi="宋体" w:eastAsia="宋体" w:cs="宋体"/>
          <w:color w:val="auto"/>
          <w:sz w:val="28"/>
          <w:lang w:val="en-US" w:eastAsia="zh-CN"/>
        </w:rPr>
        <w:t>提出</w:t>
      </w:r>
      <w:r>
        <w:rPr>
          <w:rFonts w:hint="eastAsia" w:ascii="宋体" w:hAnsi="宋体" w:eastAsia="宋体" w:cs="宋体"/>
          <w:color w:val="auto"/>
          <w:sz w:val="28"/>
        </w:rPr>
        <w:t>的安全对策措施已</w:t>
      </w:r>
      <w:r>
        <w:rPr>
          <w:rFonts w:hint="eastAsia" w:ascii="宋体" w:hAnsi="宋体" w:eastAsia="宋体" w:cs="宋体"/>
          <w:color w:val="auto"/>
          <w:sz w:val="28"/>
          <w:lang w:eastAsia="zh-CN"/>
        </w:rPr>
        <w:t>全部</w:t>
      </w:r>
      <w:r>
        <w:rPr>
          <w:rFonts w:hint="eastAsia" w:ascii="宋体" w:hAnsi="宋体" w:eastAsia="宋体" w:cs="宋体"/>
          <w:color w:val="auto"/>
          <w:sz w:val="28"/>
        </w:rPr>
        <w:t>落实。</w:t>
      </w:r>
    </w:p>
    <w:p>
      <w:pPr>
        <w:spacing w:line="500" w:lineRule="exact"/>
        <w:ind w:firstLine="560" w:firstLineChars="200"/>
        <w:rPr>
          <w:rFonts w:hint="eastAsia" w:ascii="宋体" w:hAnsi="宋体" w:eastAsia="宋体" w:cs="宋体"/>
          <w:sz w:val="28"/>
        </w:rPr>
      </w:pPr>
    </w:p>
    <w:p>
      <w:pPr>
        <w:rPr>
          <w:rFonts w:hint="eastAsia" w:ascii="宋体" w:hAnsi="宋体" w:eastAsia="宋体" w:cs="宋体"/>
          <w:lang w:val="en-US"/>
        </w:rPr>
      </w:pPr>
      <w:bookmarkStart w:id="298" w:name="_Toc30254"/>
      <w:bookmarkStart w:id="299" w:name="_Toc16226"/>
      <w:bookmarkStart w:id="300" w:name="_Toc28088_WPSOffice_Level1"/>
      <w:bookmarkStart w:id="301" w:name="_Toc22948_WPSOffice_Level1"/>
      <w:bookmarkStart w:id="302" w:name="_Toc7938_WPSOffice_Level1"/>
      <w:bookmarkStart w:id="303" w:name="_Toc529176488"/>
      <w:r>
        <w:rPr>
          <w:rFonts w:hint="eastAsia" w:ascii="宋体" w:hAnsi="宋体" w:eastAsia="宋体" w:cs="宋体"/>
          <w:lang w:val="en-US"/>
        </w:rPr>
        <w:br w:type="page"/>
      </w:r>
    </w:p>
    <w:p>
      <w:pPr>
        <w:pStyle w:val="2"/>
        <w:spacing w:before="240" w:beforeLines="100" w:after="240" w:afterLines="100"/>
        <w:ind w:firstLine="0"/>
        <w:jc w:val="center"/>
        <w:rPr>
          <w:rFonts w:hint="eastAsia" w:ascii="宋体" w:hAnsi="宋体" w:eastAsia="宋体" w:cs="宋体"/>
          <w:color w:val="auto"/>
        </w:rPr>
      </w:pPr>
      <w:bookmarkStart w:id="304" w:name="_Toc13830"/>
      <w:r>
        <w:rPr>
          <w:rFonts w:hint="eastAsia" w:ascii="宋体" w:hAnsi="宋体" w:eastAsia="宋体" w:cs="宋体"/>
          <w:color w:val="auto"/>
          <w:lang w:val="en-US"/>
        </w:rPr>
        <w:t>3</w:t>
      </w:r>
      <w:r>
        <w:rPr>
          <w:rFonts w:hint="eastAsia" w:ascii="宋体" w:hAnsi="宋体" w:eastAsia="宋体" w:cs="宋体"/>
          <w:color w:val="auto"/>
        </w:rPr>
        <w:t xml:space="preserve"> 危险、有害因素的辨识结果及依据说明</w:t>
      </w:r>
      <w:bookmarkEnd w:id="298"/>
      <w:bookmarkEnd w:id="299"/>
      <w:bookmarkEnd w:id="300"/>
      <w:bookmarkEnd w:id="301"/>
      <w:bookmarkEnd w:id="302"/>
      <w:bookmarkEnd w:id="303"/>
      <w:bookmarkEnd w:id="304"/>
    </w:p>
    <w:p>
      <w:pPr>
        <w:spacing w:line="360" w:lineRule="auto"/>
        <w:jc w:val="center"/>
        <w:outlineLvl w:val="1"/>
        <w:rPr>
          <w:rFonts w:hint="eastAsia" w:ascii="宋体" w:hAnsi="宋体" w:eastAsia="宋体" w:cs="宋体"/>
          <w:b/>
          <w:color w:val="auto"/>
          <w:sz w:val="32"/>
          <w:szCs w:val="32"/>
        </w:rPr>
      </w:pPr>
      <w:bookmarkStart w:id="305" w:name="_Toc7938_WPSOffice_Level2"/>
      <w:bookmarkStart w:id="306" w:name="_Toc12337"/>
      <w:bookmarkStart w:id="307" w:name="_Toc28459"/>
      <w:bookmarkStart w:id="308" w:name="_Toc28088_WPSOffice_Level2"/>
      <w:bookmarkStart w:id="309" w:name="_Toc528343540"/>
      <w:bookmarkStart w:id="310" w:name="_Toc10603_WPSOffice_Level2"/>
      <w:bookmarkStart w:id="311" w:name="_Toc529176489"/>
      <w:bookmarkStart w:id="312" w:name="_Toc32462"/>
      <w:r>
        <w:rPr>
          <w:rFonts w:hint="eastAsia" w:ascii="宋体" w:hAnsi="宋体" w:eastAsia="宋体" w:cs="宋体"/>
          <w:b/>
          <w:color w:val="auto"/>
          <w:sz w:val="32"/>
          <w:szCs w:val="32"/>
        </w:rPr>
        <w:t>3.1</w:t>
      </w:r>
      <w:r>
        <w:rPr>
          <w:rFonts w:hint="eastAsia" w:ascii="宋体" w:hAnsi="宋体" w:eastAsia="宋体" w:cs="宋体"/>
          <w:b/>
          <w:color w:val="auto"/>
          <w:sz w:val="32"/>
          <w:szCs w:val="32"/>
          <w:lang w:val="en-US"/>
        </w:rPr>
        <w:t xml:space="preserve"> </w:t>
      </w:r>
      <w:r>
        <w:rPr>
          <w:rFonts w:hint="eastAsia" w:ascii="宋体" w:hAnsi="宋体" w:eastAsia="宋体" w:cs="宋体"/>
          <w:b/>
          <w:color w:val="auto"/>
          <w:sz w:val="32"/>
          <w:szCs w:val="32"/>
        </w:rPr>
        <w:t>相关化学品辨识结果</w:t>
      </w:r>
      <w:bookmarkEnd w:id="305"/>
      <w:bookmarkEnd w:id="306"/>
      <w:bookmarkEnd w:id="307"/>
      <w:bookmarkEnd w:id="308"/>
      <w:bookmarkEnd w:id="309"/>
      <w:bookmarkEnd w:id="310"/>
      <w:bookmarkEnd w:id="311"/>
      <w:bookmarkEnd w:id="312"/>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textAlignment w:val="auto"/>
        <w:rPr>
          <w:rFonts w:hint="eastAsia" w:ascii="宋体" w:hAnsi="宋体" w:eastAsia="宋体" w:cs="宋体"/>
          <w:color w:val="FF0000"/>
          <w:sz w:val="28"/>
          <w:szCs w:val="28"/>
        </w:rPr>
      </w:pPr>
      <w:bookmarkStart w:id="313" w:name="_Hlk528173427"/>
      <w:r>
        <w:rPr>
          <w:rFonts w:hint="eastAsia" w:ascii="宋体" w:hAnsi="宋体" w:eastAsia="宋体" w:cs="宋体"/>
          <w:color w:val="auto"/>
          <w:spacing w:val="-7"/>
          <w:sz w:val="28"/>
          <w:szCs w:val="28"/>
        </w:rPr>
        <w:t>根据《危险化学品目录》（2015版）、《易制毒化学品的分类和品种目录》、《各类监控化学品名录》、《易制爆危险化学品名录》（2017年版）、《重点监管的危险化学品名录》（2013年完整版）等适用法规、标准对涉及危险化学品进行辨识，结果如下表所示：</w:t>
      </w:r>
    </w:p>
    <w:bookmarkEnd w:id="313"/>
    <w:p>
      <w:pPr>
        <w:spacing w:line="500" w:lineRule="exact"/>
        <w:jc w:val="center"/>
        <w:rPr>
          <w:rFonts w:hint="eastAsia" w:ascii="宋体" w:hAnsi="宋体" w:eastAsia="宋体" w:cs="宋体"/>
          <w:bCs/>
          <w:sz w:val="28"/>
          <w:szCs w:val="28"/>
        </w:rPr>
      </w:pPr>
      <w:bookmarkStart w:id="314" w:name="_Toc2212_WPSOffice_Level3"/>
      <w:bookmarkStart w:id="315" w:name="_Toc23623_WPSOffice_Level3"/>
      <w:r>
        <w:rPr>
          <w:rFonts w:hint="eastAsia" w:ascii="宋体" w:hAnsi="宋体" w:eastAsia="宋体" w:cs="宋体"/>
          <w:bCs/>
          <w:sz w:val="28"/>
          <w:szCs w:val="28"/>
        </w:rPr>
        <w:t>表3</w:t>
      </w:r>
      <w:r>
        <w:rPr>
          <w:rFonts w:hint="eastAsia" w:ascii="宋体" w:hAnsi="宋体" w:eastAsia="宋体" w:cs="宋体"/>
          <w:bCs/>
          <w:sz w:val="28"/>
          <w:szCs w:val="28"/>
          <w:lang w:val="en-US"/>
        </w:rPr>
        <w:t>.1</w:t>
      </w:r>
      <w:r>
        <w:rPr>
          <w:rFonts w:hint="eastAsia" w:ascii="宋体" w:hAnsi="宋体" w:eastAsia="宋体" w:cs="宋体"/>
          <w:bCs/>
          <w:sz w:val="28"/>
          <w:szCs w:val="28"/>
        </w:rPr>
        <w:t>-1 化学品辨识一览表</w:t>
      </w:r>
      <w:bookmarkEnd w:id="314"/>
      <w:bookmarkEnd w:id="315"/>
    </w:p>
    <w:tbl>
      <w:tblPr>
        <w:tblStyle w:val="15"/>
        <w:tblW w:w="917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64"/>
        <w:gridCol w:w="1138"/>
        <w:gridCol w:w="1134"/>
        <w:gridCol w:w="1173"/>
        <w:gridCol w:w="942"/>
        <w:gridCol w:w="979"/>
        <w:gridCol w:w="910"/>
        <w:gridCol w:w="1330"/>
        <w:gridCol w:w="100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6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Cs w:val="21"/>
              </w:rPr>
            </w:pPr>
            <w:r>
              <w:rPr>
                <w:rFonts w:hint="eastAsia" w:ascii="宋体" w:hAnsi="宋体" w:eastAsia="宋体" w:cs="宋体"/>
                <w:kern w:val="2"/>
                <w:szCs w:val="21"/>
              </w:rPr>
              <w:t>序号</w:t>
            </w:r>
          </w:p>
        </w:tc>
        <w:tc>
          <w:tcPr>
            <w:tcW w:w="113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Cs w:val="21"/>
              </w:rPr>
            </w:pPr>
            <w:r>
              <w:rPr>
                <w:rFonts w:hint="eastAsia" w:ascii="宋体" w:hAnsi="宋体" w:eastAsia="宋体" w:cs="宋体"/>
                <w:kern w:val="2"/>
                <w:szCs w:val="21"/>
              </w:rPr>
              <w:t>名称</w:t>
            </w:r>
          </w:p>
        </w:tc>
        <w:tc>
          <w:tcPr>
            <w:tcW w:w="113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Cs w:val="21"/>
              </w:rPr>
            </w:pPr>
            <w:r>
              <w:rPr>
                <w:rFonts w:hint="eastAsia" w:ascii="宋体" w:hAnsi="宋体" w:eastAsia="宋体" w:cs="宋体"/>
                <w:kern w:val="2"/>
                <w:szCs w:val="21"/>
              </w:rPr>
              <w:t>危险化学品目录序号</w:t>
            </w:r>
          </w:p>
        </w:tc>
        <w:tc>
          <w:tcPr>
            <w:tcW w:w="1173" w:type="dxa"/>
            <w:tcBorders>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Cs w:val="21"/>
              </w:rPr>
            </w:pPr>
            <w:r>
              <w:rPr>
                <w:rFonts w:hint="eastAsia" w:ascii="宋体" w:hAnsi="宋体" w:eastAsia="宋体" w:cs="宋体"/>
                <w:kern w:val="2"/>
                <w:szCs w:val="21"/>
              </w:rPr>
              <w:t>危险性类别</w:t>
            </w:r>
          </w:p>
        </w:tc>
        <w:tc>
          <w:tcPr>
            <w:tcW w:w="942" w:type="dxa"/>
            <w:tcBorders>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Cs w:val="21"/>
              </w:rPr>
            </w:pPr>
            <w:r>
              <w:rPr>
                <w:rFonts w:hint="eastAsia" w:ascii="宋体" w:hAnsi="宋体" w:eastAsia="宋体" w:cs="宋体"/>
                <w:kern w:val="2"/>
                <w:szCs w:val="21"/>
              </w:rPr>
              <w:t>是否</w:t>
            </w:r>
          </w:p>
          <w:p>
            <w:pPr>
              <w:keepNext w:val="0"/>
              <w:keepLines w:val="0"/>
              <w:suppressLineNumbers w:val="0"/>
              <w:spacing w:before="0" w:beforeAutospacing="0" w:after="0" w:afterAutospacing="0"/>
              <w:ind w:left="0" w:right="0"/>
              <w:jc w:val="center"/>
              <w:rPr>
                <w:rFonts w:hint="eastAsia" w:ascii="宋体" w:hAnsi="宋体" w:eastAsia="宋体" w:cs="宋体"/>
                <w:kern w:val="2"/>
                <w:szCs w:val="21"/>
              </w:rPr>
            </w:pPr>
            <w:r>
              <w:rPr>
                <w:rFonts w:hint="eastAsia" w:ascii="宋体" w:hAnsi="宋体" w:eastAsia="宋体" w:cs="宋体"/>
                <w:kern w:val="2"/>
                <w:szCs w:val="21"/>
              </w:rPr>
              <w:t>剧毒</w:t>
            </w:r>
          </w:p>
          <w:p>
            <w:pPr>
              <w:keepNext w:val="0"/>
              <w:keepLines w:val="0"/>
              <w:suppressLineNumbers w:val="0"/>
              <w:spacing w:before="0" w:beforeAutospacing="0" w:after="0" w:afterAutospacing="0"/>
              <w:ind w:left="0" w:right="0"/>
              <w:jc w:val="center"/>
              <w:rPr>
                <w:rFonts w:hint="eastAsia" w:ascii="宋体" w:hAnsi="宋体" w:eastAsia="宋体" w:cs="宋体"/>
                <w:kern w:val="2"/>
                <w:szCs w:val="21"/>
              </w:rPr>
            </w:pPr>
            <w:r>
              <w:rPr>
                <w:rFonts w:hint="eastAsia" w:ascii="宋体" w:hAnsi="宋体" w:eastAsia="宋体" w:cs="宋体"/>
                <w:kern w:val="2"/>
                <w:szCs w:val="21"/>
              </w:rPr>
              <w:t>化学品</w:t>
            </w:r>
          </w:p>
        </w:tc>
        <w:tc>
          <w:tcPr>
            <w:tcW w:w="979" w:type="dxa"/>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Cs w:val="21"/>
              </w:rPr>
            </w:pPr>
            <w:r>
              <w:rPr>
                <w:rFonts w:hint="eastAsia" w:ascii="宋体" w:hAnsi="宋体" w:eastAsia="宋体" w:cs="宋体"/>
                <w:kern w:val="2"/>
                <w:szCs w:val="21"/>
              </w:rPr>
              <w:t>是否</w:t>
            </w:r>
          </w:p>
          <w:p>
            <w:pPr>
              <w:keepNext w:val="0"/>
              <w:keepLines w:val="0"/>
              <w:suppressLineNumbers w:val="0"/>
              <w:spacing w:before="0" w:beforeAutospacing="0" w:after="0" w:afterAutospacing="0"/>
              <w:ind w:left="0" w:right="0"/>
              <w:jc w:val="center"/>
              <w:rPr>
                <w:rFonts w:hint="eastAsia" w:ascii="宋体" w:hAnsi="宋体" w:eastAsia="宋体" w:cs="宋体"/>
                <w:kern w:val="2"/>
                <w:szCs w:val="21"/>
              </w:rPr>
            </w:pPr>
            <w:r>
              <w:rPr>
                <w:rFonts w:hint="eastAsia" w:ascii="宋体" w:hAnsi="宋体" w:eastAsia="宋体" w:cs="宋体"/>
                <w:kern w:val="2"/>
                <w:szCs w:val="21"/>
              </w:rPr>
              <w:t>易制毒</w:t>
            </w:r>
          </w:p>
          <w:p>
            <w:pPr>
              <w:keepNext w:val="0"/>
              <w:keepLines w:val="0"/>
              <w:suppressLineNumbers w:val="0"/>
              <w:spacing w:before="0" w:beforeAutospacing="0" w:after="0" w:afterAutospacing="0"/>
              <w:ind w:left="0" w:right="0"/>
              <w:jc w:val="center"/>
              <w:rPr>
                <w:rFonts w:hint="eastAsia" w:ascii="宋体" w:hAnsi="宋体" w:eastAsia="宋体" w:cs="宋体"/>
                <w:kern w:val="2"/>
                <w:szCs w:val="21"/>
              </w:rPr>
            </w:pPr>
            <w:r>
              <w:rPr>
                <w:rFonts w:hint="eastAsia" w:ascii="宋体" w:hAnsi="宋体" w:eastAsia="宋体" w:cs="宋体"/>
                <w:kern w:val="2"/>
                <w:szCs w:val="21"/>
              </w:rPr>
              <w:t>化学品</w:t>
            </w:r>
          </w:p>
        </w:tc>
        <w:tc>
          <w:tcPr>
            <w:tcW w:w="910" w:type="dxa"/>
            <w:tcBorders>
              <w:lef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Cs w:val="21"/>
              </w:rPr>
            </w:pPr>
            <w:r>
              <w:rPr>
                <w:rFonts w:hint="eastAsia" w:ascii="宋体" w:hAnsi="宋体" w:eastAsia="宋体" w:cs="宋体"/>
                <w:kern w:val="2"/>
                <w:szCs w:val="21"/>
              </w:rPr>
              <w:t>是否</w:t>
            </w:r>
          </w:p>
          <w:p>
            <w:pPr>
              <w:keepNext w:val="0"/>
              <w:keepLines w:val="0"/>
              <w:suppressLineNumbers w:val="0"/>
              <w:spacing w:before="0" w:beforeAutospacing="0" w:after="0" w:afterAutospacing="0"/>
              <w:ind w:left="0" w:right="0"/>
              <w:jc w:val="center"/>
              <w:rPr>
                <w:rFonts w:hint="eastAsia" w:ascii="宋体" w:hAnsi="宋体" w:eastAsia="宋体" w:cs="宋体"/>
                <w:kern w:val="2"/>
                <w:szCs w:val="21"/>
              </w:rPr>
            </w:pPr>
            <w:r>
              <w:rPr>
                <w:rFonts w:hint="eastAsia" w:ascii="宋体" w:hAnsi="宋体" w:eastAsia="宋体" w:cs="宋体"/>
                <w:kern w:val="2"/>
                <w:szCs w:val="21"/>
              </w:rPr>
              <w:t>监控</w:t>
            </w:r>
          </w:p>
          <w:p>
            <w:pPr>
              <w:keepNext w:val="0"/>
              <w:keepLines w:val="0"/>
              <w:suppressLineNumbers w:val="0"/>
              <w:spacing w:before="0" w:beforeAutospacing="0" w:after="0" w:afterAutospacing="0"/>
              <w:ind w:left="0" w:right="0"/>
              <w:jc w:val="center"/>
              <w:rPr>
                <w:rFonts w:hint="eastAsia" w:ascii="宋体" w:hAnsi="宋体" w:eastAsia="宋体" w:cs="宋体"/>
                <w:kern w:val="2"/>
                <w:szCs w:val="21"/>
              </w:rPr>
            </w:pPr>
            <w:r>
              <w:rPr>
                <w:rFonts w:hint="eastAsia" w:ascii="宋体" w:hAnsi="宋体" w:eastAsia="宋体" w:cs="宋体"/>
                <w:kern w:val="2"/>
                <w:szCs w:val="21"/>
              </w:rPr>
              <w:t>化学品</w:t>
            </w:r>
          </w:p>
        </w:tc>
        <w:tc>
          <w:tcPr>
            <w:tcW w:w="1330" w:type="dxa"/>
            <w:tcBorders>
              <w:lef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Cs w:val="21"/>
              </w:rPr>
            </w:pPr>
            <w:r>
              <w:rPr>
                <w:rFonts w:hint="eastAsia" w:ascii="宋体" w:hAnsi="宋体" w:eastAsia="宋体" w:cs="宋体"/>
                <w:kern w:val="2"/>
                <w:szCs w:val="21"/>
              </w:rPr>
              <w:t>是否</w:t>
            </w:r>
          </w:p>
          <w:p>
            <w:pPr>
              <w:keepNext w:val="0"/>
              <w:keepLines w:val="0"/>
              <w:suppressLineNumbers w:val="0"/>
              <w:spacing w:before="0" w:beforeAutospacing="0" w:after="0" w:afterAutospacing="0"/>
              <w:ind w:left="0" w:right="0"/>
              <w:jc w:val="center"/>
              <w:rPr>
                <w:rFonts w:hint="eastAsia" w:ascii="宋体" w:hAnsi="宋体" w:eastAsia="宋体" w:cs="宋体"/>
                <w:kern w:val="2"/>
                <w:szCs w:val="21"/>
              </w:rPr>
            </w:pPr>
            <w:r>
              <w:rPr>
                <w:rFonts w:hint="eastAsia" w:ascii="宋体" w:hAnsi="宋体" w:eastAsia="宋体" w:cs="宋体"/>
                <w:kern w:val="2"/>
                <w:szCs w:val="21"/>
              </w:rPr>
              <w:t>重点监管</w:t>
            </w:r>
          </w:p>
          <w:p>
            <w:pPr>
              <w:keepNext w:val="0"/>
              <w:keepLines w:val="0"/>
              <w:suppressLineNumbers w:val="0"/>
              <w:spacing w:before="0" w:beforeAutospacing="0" w:after="0" w:afterAutospacing="0"/>
              <w:ind w:left="0" w:right="0"/>
              <w:jc w:val="center"/>
              <w:rPr>
                <w:rFonts w:hint="eastAsia" w:ascii="宋体" w:hAnsi="宋体" w:eastAsia="宋体" w:cs="宋体"/>
                <w:kern w:val="2"/>
                <w:szCs w:val="21"/>
              </w:rPr>
            </w:pPr>
            <w:r>
              <w:rPr>
                <w:rFonts w:hint="eastAsia" w:ascii="宋体" w:hAnsi="宋体" w:eastAsia="宋体" w:cs="宋体"/>
                <w:kern w:val="2"/>
                <w:szCs w:val="21"/>
              </w:rPr>
              <w:t>危险化学品</w:t>
            </w:r>
          </w:p>
        </w:tc>
        <w:tc>
          <w:tcPr>
            <w:tcW w:w="1008" w:type="dxa"/>
            <w:tcBorders>
              <w:lef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Cs w:val="21"/>
              </w:rPr>
            </w:pPr>
            <w:r>
              <w:rPr>
                <w:rFonts w:hint="eastAsia" w:ascii="宋体" w:hAnsi="宋体" w:eastAsia="宋体" w:cs="宋体"/>
                <w:kern w:val="2"/>
                <w:szCs w:val="21"/>
              </w:rPr>
              <w:t>是否</w:t>
            </w:r>
          </w:p>
          <w:p>
            <w:pPr>
              <w:keepNext w:val="0"/>
              <w:keepLines w:val="0"/>
              <w:suppressLineNumbers w:val="0"/>
              <w:spacing w:before="0" w:beforeAutospacing="0" w:after="0" w:afterAutospacing="0"/>
              <w:ind w:left="0" w:right="0"/>
              <w:jc w:val="center"/>
              <w:rPr>
                <w:rFonts w:hint="eastAsia" w:ascii="宋体" w:hAnsi="宋体" w:eastAsia="宋体" w:cs="宋体"/>
                <w:kern w:val="2"/>
                <w:szCs w:val="21"/>
              </w:rPr>
            </w:pPr>
            <w:r>
              <w:rPr>
                <w:rFonts w:hint="eastAsia" w:ascii="宋体" w:hAnsi="宋体" w:eastAsia="宋体" w:cs="宋体"/>
                <w:kern w:val="2"/>
                <w:szCs w:val="21"/>
              </w:rPr>
              <w:t>易制爆</w:t>
            </w:r>
          </w:p>
          <w:p>
            <w:pPr>
              <w:keepNext w:val="0"/>
              <w:keepLines w:val="0"/>
              <w:suppressLineNumbers w:val="0"/>
              <w:spacing w:before="0" w:beforeAutospacing="0" w:after="0" w:afterAutospacing="0"/>
              <w:ind w:left="0" w:right="0"/>
              <w:jc w:val="center"/>
              <w:rPr>
                <w:rFonts w:hint="eastAsia" w:ascii="宋体" w:hAnsi="宋体" w:eastAsia="宋体" w:cs="宋体"/>
                <w:kern w:val="2"/>
                <w:szCs w:val="21"/>
              </w:rPr>
            </w:pPr>
            <w:r>
              <w:rPr>
                <w:rFonts w:hint="eastAsia" w:ascii="宋体" w:hAnsi="宋体" w:eastAsia="宋体" w:cs="宋体"/>
                <w:kern w:val="2"/>
                <w:szCs w:val="21"/>
              </w:rPr>
              <w:t>化学品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64" w:type="dxa"/>
            <w:vAlign w:val="center"/>
          </w:tcPr>
          <w:p>
            <w:pPr>
              <w:pStyle w:val="22"/>
              <w:keepNext w:val="0"/>
              <w:keepLines w:val="0"/>
              <w:numPr>
                <w:ilvl w:val="0"/>
                <w:numId w:val="4"/>
              </w:numPr>
              <w:suppressLineNumbers w:val="0"/>
              <w:spacing w:before="0" w:beforeAutospacing="0" w:after="0" w:afterAutospacing="0"/>
              <w:ind w:right="0"/>
              <w:jc w:val="center"/>
              <w:rPr>
                <w:rFonts w:hint="eastAsia" w:ascii="宋体" w:hAnsi="宋体" w:eastAsia="宋体" w:cs="宋体"/>
                <w:kern w:val="2"/>
                <w:szCs w:val="21"/>
              </w:rPr>
            </w:pPr>
          </w:p>
        </w:tc>
        <w:tc>
          <w:tcPr>
            <w:tcW w:w="113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Cs w:val="21"/>
              </w:rPr>
            </w:pPr>
            <w:r>
              <w:rPr>
                <w:rFonts w:hint="eastAsia" w:ascii="宋体" w:hAnsi="宋体" w:eastAsia="宋体" w:cs="宋体"/>
                <w:kern w:val="2"/>
                <w:szCs w:val="21"/>
              </w:rPr>
              <w:t>汽油</w:t>
            </w:r>
          </w:p>
        </w:tc>
        <w:tc>
          <w:tcPr>
            <w:tcW w:w="113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rPr>
            </w:pPr>
            <w:r>
              <w:rPr>
                <w:rFonts w:hint="eastAsia" w:ascii="宋体" w:hAnsi="宋体" w:eastAsia="宋体" w:cs="宋体"/>
                <w:kern w:val="2"/>
              </w:rPr>
              <w:t>1630</w:t>
            </w:r>
          </w:p>
        </w:tc>
        <w:tc>
          <w:tcPr>
            <w:tcW w:w="1173"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rPr>
            </w:pPr>
            <w:r>
              <w:rPr>
                <w:rFonts w:hint="eastAsia" w:ascii="宋体" w:hAnsi="宋体" w:eastAsia="宋体" w:cs="宋体"/>
                <w:kern w:val="2"/>
              </w:rPr>
              <w:t>易燃液体，类别2</w:t>
            </w:r>
          </w:p>
        </w:tc>
        <w:tc>
          <w:tcPr>
            <w:tcW w:w="942"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Cs w:val="21"/>
              </w:rPr>
            </w:pPr>
            <w:r>
              <w:rPr>
                <w:rFonts w:hint="eastAsia" w:ascii="宋体" w:hAnsi="宋体" w:eastAsia="宋体" w:cs="宋体"/>
                <w:kern w:val="2"/>
                <w:szCs w:val="21"/>
              </w:rPr>
              <w:t>否</w:t>
            </w:r>
          </w:p>
        </w:tc>
        <w:tc>
          <w:tcPr>
            <w:tcW w:w="979"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Cs w:val="21"/>
              </w:rPr>
            </w:pPr>
            <w:r>
              <w:rPr>
                <w:rFonts w:hint="eastAsia" w:ascii="宋体" w:hAnsi="宋体" w:eastAsia="宋体" w:cs="宋体"/>
                <w:kern w:val="2"/>
                <w:szCs w:val="21"/>
              </w:rPr>
              <w:t>否</w:t>
            </w:r>
          </w:p>
        </w:tc>
        <w:tc>
          <w:tcPr>
            <w:tcW w:w="91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Cs w:val="21"/>
              </w:rPr>
            </w:pPr>
            <w:r>
              <w:rPr>
                <w:rFonts w:hint="eastAsia" w:ascii="宋体" w:hAnsi="宋体" w:eastAsia="宋体" w:cs="宋体"/>
                <w:kern w:val="2"/>
                <w:szCs w:val="21"/>
              </w:rPr>
              <w:t>否</w:t>
            </w:r>
          </w:p>
        </w:tc>
        <w:tc>
          <w:tcPr>
            <w:tcW w:w="133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Cs w:val="21"/>
              </w:rPr>
            </w:pPr>
            <w:r>
              <w:rPr>
                <w:rFonts w:hint="eastAsia" w:ascii="宋体" w:hAnsi="宋体" w:eastAsia="宋体" w:cs="宋体"/>
                <w:kern w:val="2"/>
                <w:szCs w:val="21"/>
              </w:rPr>
              <w:t>是</w:t>
            </w:r>
          </w:p>
        </w:tc>
        <w:tc>
          <w:tcPr>
            <w:tcW w:w="100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Cs w:val="21"/>
              </w:rPr>
            </w:pPr>
            <w:r>
              <w:rPr>
                <w:rFonts w:hint="eastAsia" w:ascii="宋体" w:hAnsi="宋体" w:eastAsia="宋体" w:cs="宋体"/>
                <w:kern w:val="2"/>
                <w:szCs w:val="21"/>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564" w:type="dxa"/>
            <w:vAlign w:val="center"/>
          </w:tcPr>
          <w:p>
            <w:pPr>
              <w:pStyle w:val="22"/>
              <w:keepNext w:val="0"/>
              <w:keepLines w:val="0"/>
              <w:numPr>
                <w:ilvl w:val="0"/>
                <w:numId w:val="4"/>
              </w:numPr>
              <w:suppressLineNumbers w:val="0"/>
              <w:spacing w:before="0" w:beforeAutospacing="0" w:after="0" w:afterAutospacing="0"/>
              <w:ind w:right="0"/>
              <w:jc w:val="center"/>
              <w:rPr>
                <w:rFonts w:hint="eastAsia" w:ascii="宋体" w:hAnsi="宋体" w:eastAsia="宋体" w:cs="宋体"/>
                <w:kern w:val="2"/>
                <w:szCs w:val="21"/>
              </w:rPr>
            </w:pPr>
          </w:p>
        </w:tc>
        <w:tc>
          <w:tcPr>
            <w:tcW w:w="113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Cs w:val="21"/>
              </w:rPr>
            </w:pPr>
            <w:r>
              <w:rPr>
                <w:rFonts w:hint="eastAsia" w:ascii="宋体" w:hAnsi="宋体" w:eastAsia="宋体" w:cs="宋体"/>
                <w:kern w:val="2"/>
              </w:rPr>
              <w:t>柴油[闭杯闪点≤60℃]</w:t>
            </w:r>
          </w:p>
        </w:tc>
        <w:tc>
          <w:tcPr>
            <w:tcW w:w="113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rPr>
            </w:pPr>
            <w:r>
              <w:rPr>
                <w:rFonts w:hint="eastAsia" w:ascii="宋体" w:hAnsi="宋体" w:eastAsia="宋体" w:cs="宋体"/>
                <w:kern w:val="2"/>
              </w:rPr>
              <w:t>1674</w:t>
            </w:r>
          </w:p>
        </w:tc>
        <w:tc>
          <w:tcPr>
            <w:tcW w:w="1173"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rPr>
            </w:pPr>
            <w:r>
              <w:rPr>
                <w:rFonts w:hint="eastAsia" w:ascii="宋体" w:hAnsi="宋体" w:eastAsia="宋体" w:cs="宋体"/>
                <w:kern w:val="2"/>
              </w:rPr>
              <w:t>易燃液体，类别3</w:t>
            </w:r>
          </w:p>
        </w:tc>
        <w:tc>
          <w:tcPr>
            <w:tcW w:w="942"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Cs w:val="21"/>
              </w:rPr>
            </w:pPr>
            <w:r>
              <w:rPr>
                <w:rFonts w:hint="eastAsia" w:ascii="宋体" w:hAnsi="宋体" w:eastAsia="宋体" w:cs="宋体"/>
                <w:kern w:val="2"/>
                <w:szCs w:val="21"/>
              </w:rPr>
              <w:t>否</w:t>
            </w:r>
          </w:p>
        </w:tc>
        <w:tc>
          <w:tcPr>
            <w:tcW w:w="979"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Cs w:val="21"/>
              </w:rPr>
            </w:pPr>
            <w:r>
              <w:rPr>
                <w:rFonts w:hint="eastAsia" w:ascii="宋体" w:hAnsi="宋体" w:eastAsia="宋体" w:cs="宋体"/>
                <w:kern w:val="2"/>
                <w:szCs w:val="21"/>
              </w:rPr>
              <w:t>否</w:t>
            </w:r>
          </w:p>
        </w:tc>
        <w:tc>
          <w:tcPr>
            <w:tcW w:w="91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Cs w:val="21"/>
              </w:rPr>
            </w:pPr>
            <w:r>
              <w:rPr>
                <w:rFonts w:hint="eastAsia" w:ascii="宋体" w:hAnsi="宋体" w:eastAsia="宋体" w:cs="宋体"/>
                <w:kern w:val="2"/>
                <w:szCs w:val="21"/>
              </w:rPr>
              <w:t>否</w:t>
            </w:r>
          </w:p>
        </w:tc>
        <w:tc>
          <w:tcPr>
            <w:tcW w:w="133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Cs w:val="21"/>
              </w:rPr>
            </w:pPr>
            <w:r>
              <w:rPr>
                <w:rFonts w:hint="eastAsia" w:ascii="宋体" w:hAnsi="宋体" w:eastAsia="宋体" w:cs="宋体"/>
                <w:kern w:val="2"/>
                <w:szCs w:val="21"/>
              </w:rPr>
              <w:t>否</w:t>
            </w:r>
          </w:p>
        </w:tc>
        <w:tc>
          <w:tcPr>
            <w:tcW w:w="100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Cs w:val="21"/>
              </w:rPr>
            </w:pPr>
            <w:r>
              <w:rPr>
                <w:rFonts w:hint="eastAsia" w:ascii="宋体" w:hAnsi="宋体" w:eastAsia="宋体" w:cs="宋体"/>
                <w:kern w:val="2"/>
                <w:szCs w:val="21"/>
              </w:rPr>
              <w:t>否</w:t>
            </w:r>
          </w:p>
        </w:tc>
      </w:tr>
    </w:tbl>
    <w:p>
      <w:pPr>
        <w:spacing w:before="240" w:beforeLines="100" w:after="240" w:afterLines="100"/>
        <w:jc w:val="center"/>
        <w:outlineLvl w:val="1"/>
        <w:rPr>
          <w:rFonts w:hint="eastAsia" w:ascii="宋体" w:hAnsi="宋体" w:eastAsia="宋体" w:cs="宋体"/>
          <w:b/>
          <w:sz w:val="32"/>
          <w:szCs w:val="32"/>
        </w:rPr>
      </w:pPr>
      <w:bookmarkStart w:id="316" w:name="_Toc4009_WPSOffice_Level2"/>
      <w:bookmarkStart w:id="317" w:name="_Toc14968"/>
      <w:bookmarkStart w:id="318" w:name="_Toc14935_WPSOffice_Level2"/>
      <w:bookmarkStart w:id="319" w:name="_Toc5143"/>
      <w:bookmarkStart w:id="320" w:name="_Toc529176490"/>
      <w:bookmarkStart w:id="321" w:name="_Toc1622_WPSOffice_Level2"/>
      <w:bookmarkStart w:id="322" w:name="_Toc528343541"/>
      <w:bookmarkStart w:id="323" w:name="_Toc23108"/>
      <w:r>
        <w:rPr>
          <w:rFonts w:hint="eastAsia" w:ascii="宋体" w:hAnsi="宋体" w:eastAsia="宋体" w:cs="宋体"/>
          <w:b/>
          <w:sz w:val="32"/>
          <w:szCs w:val="32"/>
        </w:rPr>
        <w:t>3.2</w:t>
      </w:r>
      <w:r>
        <w:rPr>
          <w:rFonts w:hint="eastAsia" w:ascii="宋体" w:hAnsi="宋体" w:eastAsia="宋体" w:cs="宋体"/>
          <w:b/>
          <w:sz w:val="32"/>
          <w:szCs w:val="32"/>
          <w:lang w:val="en-US"/>
        </w:rPr>
        <w:t xml:space="preserve"> </w:t>
      </w:r>
      <w:r>
        <w:rPr>
          <w:rFonts w:hint="eastAsia" w:ascii="宋体" w:hAnsi="宋体" w:eastAsia="宋体" w:cs="宋体"/>
          <w:b/>
          <w:sz w:val="32"/>
          <w:szCs w:val="32"/>
        </w:rPr>
        <w:t>物质固有危险有害因素的辨识结果</w:t>
      </w:r>
      <w:bookmarkEnd w:id="316"/>
      <w:bookmarkEnd w:id="317"/>
      <w:bookmarkEnd w:id="318"/>
      <w:bookmarkEnd w:id="319"/>
      <w:bookmarkEnd w:id="320"/>
      <w:bookmarkEnd w:id="321"/>
      <w:bookmarkEnd w:id="322"/>
      <w:bookmarkEnd w:id="323"/>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textAlignment w:val="auto"/>
        <w:rPr>
          <w:rFonts w:hint="eastAsia" w:ascii="宋体" w:hAnsi="宋体" w:eastAsia="宋体" w:cs="宋体"/>
          <w:sz w:val="28"/>
          <w:szCs w:val="28"/>
        </w:rPr>
      </w:pPr>
      <w:r>
        <w:rPr>
          <w:rFonts w:hint="eastAsia" w:ascii="宋体" w:hAnsi="宋体" w:eastAsia="宋体" w:cs="宋体"/>
          <w:spacing w:val="-7"/>
          <w:sz w:val="28"/>
          <w:szCs w:val="28"/>
        </w:rPr>
        <w:t>该加油站改建项目储存、经营的危险物质有汽油和柴油，其主要的危险有害因素为火灾、爆炸、中毒和窒息，其它的危险特性和数据见下表。</w:t>
      </w:r>
    </w:p>
    <w:p>
      <w:pPr>
        <w:spacing w:line="500" w:lineRule="exact"/>
        <w:jc w:val="center"/>
        <w:rPr>
          <w:rFonts w:hint="eastAsia" w:ascii="宋体" w:hAnsi="宋体" w:eastAsia="宋体" w:cs="宋体"/>
          <w:bCs/>
          <w:sz w:val="28"/>
          <w:szCs w:val="28"/>
        </w:rPr>
      </w:pPr>
      <w:bookmarkStart w:id="324" w:name="_Toc12912_WPSOffice_Level3"/>
      <w:bookmarkStart w:id="325" w:name="_Toc9831_WPSOffice_Level3"/>
      <w:r>
        <w:rPr>
          <w:rFonts w:hint="eastAsia" w:ascii="宋体" w:hAnsi="宋体" w:eastAsia="宋体" w:cs="宋体"/>
          <w:bCs/>
          <w:sz w:val="28"/>
          <w:szCs w:val="28"/>
        </w:rPr>
        <w:t>表3</w:t>
      </w:r>
      <w:r>
        <w:rPr>
          <w:rFonts w:hint="eastAsia" w:ascii="宋体" w:hAnsi="宋体" w:eastAsia="宋体" w:cs="宋体"/>
          <w:bCs/>
          <w:sz w:val="28"/>
          <w:szCs w:val="28"/>
          <w:lang w:val="en-US"/>
        </w:rPr>
        <w:t>.2</w:t>
      </w:r>
      <w:r>
        <w:rPr>
          <w:rFonts w:hint="eastAsia" w:ascii="宋体" w:hAnsi="宋体" w:eastAsia="宋体" w:cs="宋体"/>
          <w:bCs/>
          <w:sz w:val="28"/>
          <w:szCs w:val="28"/>
        </w:rPr>
        <w:t>-</w:t>
      </w:r>
      <w:r>
        <w:rPr>
          <w:rFonts w:hint="eastAsia" w:ascii="宋体" w:hAnsi="宋体" w:eastAsia="宋体" w:cs="宋体"/>
          <w:bCs/>
          <w:sz w:val="28"/>
          <w:szCs w:val="28"/>
          <w:lang w:val="en-US"/>
        </w:rPr>
        <w:t xml:space="preserve">1 </w:t>
      </w:r>
      <w:r>
        <w:rPr>
          <w:rFonts w:hint="eastAsia" w:ascii="宋体" w:hAnsi="宋体" w:eastAsia="宋体" w:cs="宋体"/>
          <w:bCs/>
          <w:sz w:val="28"/>
          <w:szCs w:val="28"/>
        </w:rPr>
        <w:t>危险物料理化性质及危险特性汇总表</w:t>
      </w:r>
      <w:bookmarkEnd w:id="324"/>
      <w:bookmarkEnd w:id="325"/>
    </w:p>
    <w:tbl>
      <w:tblPr>
        <w:tblStyle w:val="15"/>
        <w:tblW w:w="8930"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9"/>
        <w:gridCol w:w="1134"/>
        <w:gridCol w:w="1134"/>
        <w:gridCol w:w="1418"/>
        <w:gridCol w:w="1701"/>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59" w:type="dxa"/>
            <w:vAlign w:val="center"/>
          </w:tcPr>
          <w:p>
            <w:pPr>
              <w:keepNext w:val="0"/>
              <w:keepLines w:val="0"/>
              <w:suppressLineNumbers w:val="0"/>
              <w:spacing w:before="0" w:beforeAutospacing="0" w:after="0" w:afterAutospacing="0" w:line="280" w:lineRule="exact"/>
              <w:ind w:left="0" w:right="0"/>
              <w:jc w:val="center"/>
              <w:rPr>
                <w:rFonts w:hint="eastAsia" w:ascii="宋体" w:hAnsi="宋体" w:eastAsia="宋体" w:cs="宋体"/>
                <w:kern w:val="2"/>
                <w:szCs w:val="21"/>
              </w:rPr>
            </w:pPr>
            <w:r>
              <w:rPr>
                <w:rFonts w:hint="eastAsia" w:ascii="宋体" w:hAnsi="宋体" w:eastAsia="宋体" w:cs="宋体"/>
                <w:kern w:val="2"/>
                <w:szCs w:val="21"/>
              </w:rPr>
              <w:t>化学品名称</w:t>
            </w:r>
          </w:p>
        </w:tc>
        <w:tc>
          <w:tcPr>
            <w:tcW w:w="1134" w:type="dxa"/>
            <w:vAlign w:val="center"/>
          </w:tcPr>
          <w:p>
            <w:pPr>
              <w:keepNext w:val="0"/>
              <w:keepLines w:val="0"/>
              <w:suppressLineNumbers w:val="0"/>
              <w:spacing w:before="0" w:beforeAutospacing="0" w:after="0" w:afterAutospacing="0" w:line="280" w:lineRule="exact"/>
              <w:ind w:left="0" w:right="0"/>
              <w:jc w:val="center"/>
              <w:rPr>
                <w:rFonts w:hint="eastAsia" w:ascii="宋体" w:hAnsi="宋体" w:eastAsia="宋体" w:cs="宋体"/>
                <w:kern w:val="2"/>
                <w:szCs w:val="21"/>
              </w:rPr>
            </w:pPr>
            <w:r>
              <w:rPr>
                <w:rFonts w:hint="eastAsia" w:ascii="宋体" w:hAnsi="宋体" w:eastAsia="宋体" w:cs="宋体"/>
                <w:kern w:val="2"/>
                <w:szCs w:val="21"/>
              </w:rPr>
              <w:t>闪点</w:t>
            </w:r>
          </w:p>
          <w:p>
            <w:pPr>
              <w:keepNext w:val="0"/>
              <w:keepLines w:val="0"/>
              <w:suppressLineNumbers w:val="0"/>
              <w:spacing w:before="0" w:beforeAutospacing="0" w:after="0" w:afterAutospacing="0" w:line="280" w:lineRule="exact"/>
              <w:ind w:left="0" w:right="0"/>
              <w:jc w:val="center"/>
              <w:rPr>
                <w:rFonts w:hint="eastAsia" w:ascii="宋体" w:hAnsi="宋体" w:eastAsia="宋体" w:cs="宋体"/>
                <w:kern w:val="2"/>
                <w:szCs w:val="21"/>
              </w:rPr>
            </w:pPr>
            <w:r>
              <w:rPr>
                <w:rFonts w:hint="eastAsia" w:ascii="宋体" w:hAnsi="宋体" w:eastAsia="宋体" w:cs="宋体"/>
                <w:kern w:val="2"/>
                <w:szCs w:val="21"/>
              </w:rPr>
              <w:t>℃</w:t>
            </w:r>
          </w:p>
        </w:tc>
        <w:tc>
          <w:tcPr>
            <w:tcW w:w="1134" w:type="dxa"/>
            <w:vAlign w:val="center"/>
          </w:tcPr>
          <w:p>
            <w:pPr>
              <w:keepNext w:val="0"/>
              <w:keepLines w:val="0"/>
              <w:suppressLineNumbers w:val="0"/>
              <w:spacing w:before="0" w:beforeAutospacing="0" w:after="0" w:afterAutospacing="0" w:line="280" w:lineRule="exact"/>
              <w:ind w:left="0" w:right="0"/>
              <w:jc w:val="center"/>
              <w:rPr>
                <w:rFonts w:hint="eastAsia" w:ascii="宋体" w:hAnsi="宋体" w:eastAsia="宋体" w:cs="宋体"/>
                <w:kern w:val="2"/>
                <w:szCs w:val="21"/>
              </w:rPr>
            </w:pPr>
            <w:r>
              <w:rPr>
                <w:rFonts w:hint="eastAsia" w:ascii="宋体" w:hAnsi="宋体" w:eastAsia="宋体" w:cs="宋体"/>
                <w:kern w:val="2"/>
                <w:szCs w:val="21"/>
              </w:rPr>
              <w:t>爆炸极限</w:t>
            </w:r>
          </w:p>
          <w:p>
            <w:pPr>
              <w:keepNext w:val="0"/>
              <w:keepLines w:val="0"/>
              <w:suppressLineNumbers w:val="0"/>
              <w:spacing w:before="0" w:beforeAutospacing="0" w:after="0" w:afterAutospacing="0" w:line="280" w:lineRule="exact"/>
              <w:ind w:left="0" w:right="0"/>
              <w:jc w:val="center"/>
              <w:rPr>
                <w:rFonts w:hint="eastAsia" w:ascii="宋体" w:hAnsi="宋体" w:eastAsia="宋体" w:cs="宋体"/>
                <w:kern w:val="2"/>
                <w:szCs w:val="21"/>
              </w:rPr>
            </w:pPr>
            <w:r>
              <w:rPr>
                <w:rFonts w:hint="eastAsia" w:ascii="宋体" w:hAnsi="宋体" w:eastAsia="宋体" w:cs="宋体"/>
                <w:kern w:val="2"/>
                <w:szCs w:val="21"/>
              </w:rPr>
              <w:t>%（V）</w:t>
            </w:r>
          </w:p>
        </w:tc>
        <w:tc>
          <w:tcPr>
            <w:tcW w:w="1418" w:type="dxa"/>
            <w:vAlign w:val="center"/>
          </w:tcPr>
          <w:p>
            <w:pPr>
              <w:keepNext w:val="0"/>
              <w:keepLines w:val="0"/>
              <w:suppressLineNumbers w:val="0"/>
              <w:spacing w:before="0" w:beforeAutospacing="0" w:after="0" w:afterAutospacing="0" w:line="280" w:lineRule="exact"/>
              <w:ind w:left="0" w:right="0"/>
              <w:jc w:val="center"/>
              <w:rPr>
                <w:rFonts w:hint="eastAsia" w:ascii="宋体" w:hAnsi="宋体" w:eastAsia="宋体" w:cs="宋体"/>
                <w:kern w:val="2"/>
                <w:szCs w:val="21"/>
              </w:rPr>
            </w:pPr>
            <w:r>
              <w:rPr>
                <w:rFonts w:hint="eastAsia" w:ascii="宋体" w:hAnsi="宋体" w:eastAsia="宋体" w:cs="宋体"/>
                <w:kern w:val="2"/>
                <w:szCs w:val="21"/>
              </w:rPr>
              <w:t>火灾危险性</w:t>
            </w:r>
          </w:p>
          <w:p>
            <w:pPr>
              <w:keepNext w:val="0"/>
              <w:keepLines w:val="0"/>
              <w:suppressLineNumbers w:val="0"/>
              <w:spacing w:before="0" w:beforeAutospacing="0" w:after="0" w:afterAutospacing="0" w:line="280" w:lineRule="exact"/>
              <w:ind w:left="0" w:right="0"/>
              <w:jc w:val="center"/>
              <w:rPr>
                <w:rFonts w:hint="eastAsia" w:ascii="宋体" w:hAnsi="宋体" w:eastAsia="宋体" w:cs="宋体"/>
                <w:kern w:val="2"/>
                <w:szCs w:val="21"/>
              </w:rPr>
            </w:pPr>
            <w:r>
              <w:rPr>
                <w:rFonts w:hint="eastAsia" w:ascii="宋体" w:hAnsi="宋体" w:eastAsia="宋体" w:cs="宋体"/>
                <w:kern w:val="2"/>
                <w:szCs w:val="21"/>
              </w:rPr>
              <w:t>类别</w:t>
            </w:r>
          </w:p>
        </w:tc>
        <w:tc>
          <w:tcPr>
            <w:tcW w:w="1701" w:type="dxa"/>
            <w:vAlign w:val="center"/>
          </w:tcPr>
          <w:p>
            <w:pPr>
              <w:keepNext w:val="0"/>
              <w:keepLines w:val="0"/>
              <w:suppressLineNumbers w:val="0"/>
              <w:spacing w:before="0" w:beforeAutospacing="0" w:after="0" w:afterAutospacing="0" w:line="280" w:lineRule="exact"/>
              <w:ind w:left="0" w:right="0"/>
              <w:jc w:val="center"/>
              <w:rPr>
                <w:rFonts w:hint="eastAsia" w:ascii="宋体" w:hAnsi="宋体" w:eastAsia="宋体" w:cs="宋体"/>
                <w:kern w:val="2"/>
                <w:szCs w:val="21"/>
              </w:rPr>
            </w:pPr>
            <w:r>
              <w:rPr>
                <w:rFonts w:hint="eastAsia" w:ascii="宋体" w:hAnsi="宋体" w:eastAsia="宋体" w:cs="宋体"/>
                <w:kern w:val="2"/>
                <w:szCs w:val="21"/>
              </w:rPr>
              <w:t>短时间接触容许浓度mg/m</w:t>
            </w:r>
            <w:r>
              <w:rPr>
                <w:rFonts w:hint="eastAsia" w:ascii="宋体" w:hAnsi="宋体" w:eastAsia="宋体" w:cs="宋体"/>
                <w:kern w:val="2"/>
                <w:szCs w:val="21"/>
                <w:vertAlign w:val="superscript"/>
              </w:rPr>
              <w:t>3</w:t>
            </w:r>
          </w:p>
        </w:tc>
        <w:tc>
          <w:tcPr>
            <w:tcW w:w="1984" w:type="dxa"/>
            <w:vAlign w:val="center"/>
          </w:tcPr>
          <w:p>
            <w:pPr>
              <w:keepNext w:val="0"/>
              <w:keepLines w:val="0"/>
              <w:suppressLineNumbers w:val="0"/>
              <w:spacing w:before="0" w:beforeAutospacing="0" w:after="0" w:afterAutospacing="0" w:line="280" w:lineRule="exact"/>
              <w:ind w:left="0" w:right="0"/>
              <w:jc w:val="center"/>
              <w:rPr>
                <w:rFonts w:hint="eastAsia" w:ascii="宋体" w:hAnsi="宋体" w:eastAsia="宋体" w:cs="宋体"/>
                <w:kern w:val="2"/>
                <w:szCs w:val="21"/>
              </w:rPr>
            </w:pPr>
            <w:r>
              <w:rPr>
                <w:rFonts w:hint="eastAsia" w:ascii="宋体" w:hAnsi="宋体" w:eastAsia="宋体" w:cs="宋体"/>
                <w:kern w:val="2"/>
                <w:szCs w:val="21"/>
              </w:rPr>
              <w:t>毒物危害</w:t>
            </w:r>
          </w:p>
          <w:p>
            <w:pPr>
              <w:keepNext w:val="0"/>
              <w:keepLines w:val="0"/>
              <w:suppressLineNumbers w:val="0"/>
              <w:spacing w:before="0" w:beforeAutospacing="0" w:after="0" w:afterAutospacing="0" w:line="280" w:lineRule="exact"/>
              <w:ind w:left="0" w:right="0"/>
              <w:jc w:val="center"/>
              <w:rPr>
                <w:rFonts w:hint="eastAsia" w:ascii="宋体" w:hAnsi="宋体" w:eastAsia="宋体" w:cs="宋体"/>
                <w:kern w:val="2"/>
                <w:szCs w:val="21"/>
              </w:rPr>
            </w:pPr>
            <w:r>
              <w:rPr>
                <w:rFonts w:hint="eastAsia" w:ascii="宋体" w:hAnsi="宋体" w:eastAsia="宋体" w:cs="宋体"/>
                <w:kern w:val="2"/>
                <w:szCs w:val="21"/>
              </w:rPr>
              <w:t>程度分级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59"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Cs w:val="21"/>
              </w:rPr>
            </w:pPr>
            <w:r>
              <w:rPr>
                <w:rFonts w:hint="eastAsia" w:ascii="宋体" w:hAnsi="宋体" w:eastAsia="宋体" w:cs="宋体"/>
                <w:kern w:val="2"/>
                <w:szCs w:val="21"/>
              </w:rPr>
              <w:t>汽油</w:t>
            </w:r>
          </w:p>
        </w:tc>
        <w:tc>
          <w:tcPr>
            <w:tcW w:w="113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Cs w:val="21"/>
              </w:rPr>
            </w:pPr>
            <w:r>
              <w:rPr>
                <w:rFonts w:hint="eastAsia" w:ascii="宋体" w:hAnsi="宋体" w:eastAsia="宋体" w:cs="宋体"/>
                <w:kern w:val="2"/>
                <w:szCs w:val="21"/>
              </w:rPr>
              <w:t>＜-46</w:t>
            </w:r>
          </w:p>
        </w:tc>
        <w:tc>
          <w:tcPr>
            <w:tcW w:w="113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Cs w:val="21"/>
              </w:rPr>
            </w:pPr>
            <w:r>
              <w:rPr>
                <w:rFonts w:hint="eastAsia" w:ascii="宋体" w:hAnsi="宋体" w:eastAsia="宋体" w:cs="宋体"/>
                <w:kern w:val="2"/>
                <w:szCs w:val="21"/>
              </w:rPr>
              <w:t>1.3～6</w:t>
            </w:r>
          </w:p>
        </w:tc>
        <w:tc>
          <w:tcPr>
            <w:tcW w:w="141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Cs w:val="21"/>
              </w:rPr>
            </w:pPr>
            <w:r>
              <w:rPr>
                <w:rFonts w:hint="eastAsia" w:ascii="宋体" w:hAnsi="宋体" w:eastAsia="宋体" w:cs="宋体"/>
                <w:kern w:val="2"/>
                <w:szCs w:val="21"/>
              </w:rPr>
              <w:t>甲类</w:t>
            </w:r>
          </w:p>
        </w:tc>
        <w:tc>
          <w:tcPr>
            <w:tcW w:w="1701"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Cs w:val="21"/>
              </w:rPr>
            </w:pPr>
            <w:r>
              <w:rPr>
                <w:rFonts w:hint="eastAsia" w:ascii="宋体" w:hAnsi="宋体" w:eastAsia="宋体" w:cs="宋体"/>
                <w:kern w:val="2"/>
                <w:szCs w:val="21"/>
              </w:rPr>
              <w:t>300</w:t>
            </w:r>
          </w:p>
        </w:tc>
        <w:tc>
          <w:tcPr>
            <w:tcW w:w="198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Cs w:val="21"/>
              </w:rPr>
            </w:pPr>
            <w:r>
              <w:rPr>
                <w:rFonts w:hint="eastAsia" w:ascii="宋体" w:hAnsi="宋体" w:eastAsia="宋体" w:cs="宋体"/>
                <w:kern w:val="2"/>
                <w:szCs w:val="21"/>
              </w:rPr>
              <w:t>Ⅳ级（轻度危害）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59"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Cs w:val="21"/>
              </w:rPr>
            </w:pPr>
            <w:r>
              <w:rPr>
                <w:rFonts w:hint="eastAsia" w:ascii="宋体" w:hAnsi="宋体" w:eastAsia="宋体" w:cs="宋体"/>
                <w:kern w:val="2"/>
                <w:szCs w:val="21"/>
              </w:rPr>
              <w:t>柴油[闭杯闪点≤60℃]</w:t>
            </w:r>
          </w:p>
        </w:tc>
        <w:tc>
          <w:tcPr>
            <w:tcW w:w="113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Cs w:val="21"/>
              </w:rPr>
            </w:pPr>
            <w:r>
              <w:rPr>
                <w:rFonts w:hint="eastAsia" w:ascii="宋体" w:hAnsi="宋体" w:eastAsia="宋体" w:cs="宋体"/>
                <w:kern w:val="2"/>
                <w:szCs w:val="21"/>
              </w:rPr>
              <w:t>≤60</w:t>
            </w:r>
          </w:p>
        </w:tc>
        <w:tc>
          <w:tcPr>
            <w:tcW w:w="113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Cs w:val="21"/>
              </w:rPr>
            </w:pPr>
            <w:r>
              <w:rPr>
                <w:rFonts w:hint="eastAsia" w:ascii="宋体" w:hAnsi="宋体" w:eastAsia="宋体" w:cs="宋体"/>
                <w:kern w:val="2"/>
                <w:szCs w:val="21"/>
              </w:rPr>
              <w:t>--</w:t>
            </w:r>
          </w:p>
        </w:tc>
        <w:tc>
          <w:tcPr>
            <w:tcW w:w="141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Cs w:val="21"/>
              </w:rPr>
            </w:pPr>
            <w:r>
              <w:rPr>
                <w:rFonts w:hint="eastAsia" w:ascii="宋体" w:hAnsi="宋体" w:eastAsia="宋体" w:cs="宋体"/>
                <w:kern w:val="2"/>
                <w:szCs w:val="21"/>
              </w:rPr>
              <w:t>乙类</w:t>
            </w:r>
          </w:p>
        </w:tc>
        <w:tc>
          <w:tcPr>
            <w:tcW w:w="1701"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Cs w:val="21"/>
              </w:rPr>
            </w:pPr>
            <w:r>
              <w:rPr>
                <w:rFonts w:hint="eastAsia" w:ascii="宋体" w:hAnsi="宋体" w:eastAsia="宋体" w:cs="宋体"/>
                <w:kern w:val="2"/>
                <w:szCs w:val="21"/>
              </w:rPr>
              <w:t>--</w:t>
            </w:r>
          </w:p>
        </w:tc>
        <w:tc>
          <w:tcPr>
            <w:tcW w:w="198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Cs w:val="21"/>
              </w:rPr>
            </w:pPr>
            <w:r>
              <w:rPr>
                <w:rFonts w:hint="eastAsia" w:ascii="宋体" w:hAnsi="宋体" w:eastAsia="宋体" w:cs="宋体"/>
                <w:kern w:val="2"/>
                <w:szCs w:val="21"/>
              </w:rPr>
              <w:t>--</w:t>
            </w:r>
          </w:p>
        </w:tc>
      </w:tr>
    </w:tbl>
    <w:p>
      <w:pPr>
        <w:spacing w:before="240" w:beforeLines="100" w:after="240" w:afterLines="100"/>
        <w:jc w:val="center"/>
        <w:outlineLvl w:val="1"/>
        <w:rPr>
          <w:rFonts w:hint="eastAsia" w:ascii="宋体" w:hAnsi="宋体" w:eastAsia="宋体" w:cs="宋体"/>
          <w:b/>
          <w:sz w:val="32"/>
          <w:szCs w:val="32"/>
        </w:rPr>
      </w:pPr>
      <w:bookmarkStart w:id="326" w:name="_Toc17828"/>
      <w:bookmarkStart w:id="327" w:name="_Toc25593_WPSOffice_Level2"/>
      <w:bookmarkStart w:id="328" w:name="_Toc25989"/>
      <w:bookmarkStart w:id="329" w:name="_Toc529176491"/>
      <w:bookmarkStart w:id="330" w:name="_Toc27989_WPSOffice_Level2"/>
      <w:bookmarkStart w:id="331" w:name="_Toc4366"/>
      <w:bookmarkStart w:id="332" w:name="_Toc528343542"/>
      <w:bookmarkStart w:id="333" w:name="_Toc8174_WPSOffice_Level2"/>
      <w:r>
        <w:rPr>
          <w:rFonts w:hint="eastAsia" w:ascii="宋体" w:hAnsi="宋体" w:eastAsia="宋体" w:cs="宋体"/>
          <w:b/>
          <w:sz w:val="32"/>
          <w:szCs w:val="32"/>
        </w:rPr>
        <w:t>3.3</w:t>
      </w:r>
      <w:r>
        <w:rPr>
          <w:rFonts w:hint="eastAsia" w:ascii="宋体" w:hAnsi="宋体" w:eastAsia="宋体" w:cs="宋体"/>
          <w:b/>
          <w:sz w:val="32"/>
          <w:szCs w:val="32"/>
          <w:lang w:val="en-US"/>
        </w:rPr>
        <w:t xml:space="preserve"> </w:t>
      </w:r>
      <w:r>
        <w:rPr>
          <w:rFonts w:hint="eastAsia" w:ascii="宋体" w:hAnsi="宋体" w:eastAsia="宋体" w:cs="宋体"/>
          <w:b/>
          <w:sz w:val="32"/>
          <w:szCs w:val="32"/>
        </w:rPr>
        <w:t>作业场所的危险有害因素辨识结果</w:t>
      </w:r>
      <w:bookmarkEnd w:id="326"/>
      <w:bookmarkEnd w:id="327"/>
      <w:bookmarkEnd w:id="328"/>
      <w:bookmarkEnd w:id="329"/>
      <w:bookmarkEnd w:id="330"/>
      <w:bookmarkEnd w:id="331"/>
      <w:bookmarkEnd w:id="332"/>
      <w:bookmarkEnd w:id="333"/>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bookmarkStart w:id="334" w:name="_Hlk529174097"/>
      <w:r>
        <w:rPr>
          <w:rFonts w:hint="eastAsia" w:ascii="宋体" w:hAnsi="宋体" w:eastAsia="宋体" w:cs="宋体"/>
          <w:spacing w:val="-7"/>
          <w:sz w:val="28"/>
          <w:szCs w:val="28"/>
        </w:rPr>
        <w:t>该加油站改建项目存在的危险、有害因素主要有火灾、爆炸，其次是中毒和窒息、车辆伤害、触电、高处坠落、物体打击、坍塌等可能发生的场所如下表所示：</w:t>
      </w:r>
    </w:p>
    <w:bookmarkEnd w:id="334"/>
    <w:p>
      <w:pPr>
        <w:spacing w:line="500" w:lineRule="exact"/>
        <w:jc w:val="center"/>
        <w:rPr>
          <w:rFonts w:hint="eastAsia" w:ascii="宋体" w:hAnsi="宋体" w:eastAsia="宋体" w:cs="宋体"/>
          <w:bCs/>
          <w:sz w:val="28"/>
          <w:szCs w:val="28"/>
        </w:rPr>
      </w:pPr>
      <w:bookmarkStart w:id="335" w:name="_Toc16734_WPSOffice_Level3"/>
      <w:bookmarkStart w:id="336" w:name="_Toc14339_WPSOffice_Level3"/>
    </w:p>
    <w:p>
      <w:pPr>
        <w:spacing w:line="500" w:lineRule="exact"/>
        <w:jc w:val="center"/>
        <w:rPr>
          <w:rFonts w:hint="eastAsia" w:ascii="宋体" w:hAnsi="宋体" w:eastAsia="宋体" w:cs="宋体"/>
          <w:bCs/>
          <w:sz w:val="28"/>
          <w:szCs w:val="28"/>
        </w:rPr>
      </w:pPr>
    </w:p>
    <w:p>
      <w:pPr>
        <w:spacing w:line="500" w:lineRule="exact"/>
        <w:jc w:val="center"/>
        <w:rPr>
          <w:rFonts w:hint="eastAsia" w:ascii="宋体" w:hAnsi="宋体" w:eastAsia="宋体" w:cs="宋体"/>
          <w:bCs/>
          <w:sz w:val="28"/>
          <w:szCs w:val="28"/>
        </w:rPr>
      </w:pPr>
      <w:r>
        <w:rPr>
          <w:rFonts w:hint="eastAsia" w:ascii="宋体" w:hAnsi="宋体" w:eastAsia="宋体" w:cs="宋体"/>
          <w:bCs/>
          <w:sz w:val="28"/>
          <w:szCs w:val="28"/>
        </w:rPr>
        <w:t>表3</w:t>
      </w:r>
      <w:r>
        <w:rPr>
          <w:rFonts w:hint="eastAsia" w:ascii="宋体" w:hAnsi="宋体" w:eastAsia="宋体" w:cs="宋体"/>
          <w:bCs/>
          <w:sz w:val="28"/>
          <w:szCs w:val="28"/>
          <w:lang w:val="en-US"/>
        </w:rPr>
        <w:t>.3</w:t>
      </w:r>
      <w:r>
        <w:rPr>
          <w:rFonts w:hint="eastAsia" w:ascii="宋体" w:hAnsi="宋体" w:eastAsia="宋体" w:cs="宋体"/>
          <w:bCs/>
          <w:sz w:val="28"/>
          <w:szCs w:val="28"/>
        </w:rPr>
        <w:t>-</w:t>
      </w:r>
      <w:r>
        <w:rPr>
          <w:rFonts w:hint="eastAsia" w:ascii="宋体" w:hAnsi="宋体" w:eastAsia="宋体" w:cs="宋体"/>
          <w:bCs/>
          <w:sz w:val="28"/>
          <w:szCs w:val="28"/>
          <w:lang w:val="en-US"/>
        </w:rPr>
        <w:t xml:space="preserve">1 </w:t>
      </w:r>
      <w:r>
        <w:rPr>
          <w:rFonts w:hint="eastAsia" w:ascii="宋体" w:hAnsi="宋体" w:eastAsia="宋体" w:cs="宋体"/>
          <w:bCs/>
          <w:sz w:val="28"/>
          <w:szCs w:val="28"/>
        </w:rPr>
        <w:t>主要危险、有害因素表</w:t>
      </w:r>
      <w:bookmarkEnd w:id="335"/>
      <w:bookmarkEnd w:id="336"/>
    </w:p>
    <w:tbl>
      <w:tblPr>
        <w:tblStyle w:val="15"/>
        <w:tblW w:w="80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993"/>
        <w:gridCol w:w="850"/>
        <w:gridCol w:w="851"/>
        <w:gridCol w:w="871"/>
        <w:gridCol w:w="851"/>
        <w:gridCol w:w="850"/>
        <w:gridCol w:w="778"/>
        <w:gridCol w:w="7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186"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b/>
                <w:kern w:val="2"/>
                <w:sz w:val="21"/>
                <w:szCs w:val="21"/>
              </w:rPr>
            </w:pPr>
            <w:r>
              <w:rPr>
                <w:rFonts w:hint="eastAsia" w:ascii="宋体" w:hAnsi="宋体" w:eastAsia="宋体" w:cs="宋体"/>
                <w:b/>
                <w:kern w:val="2"/>
                <w:sz w:val="21"/>
                <w:szCs w:val="21"/>
              </w:rPr>
              <w:t>作业地点</w:t>
            </w:r>
          </w:p>
        </w:tc>
        <w:tc>
          <w:tcPr>
            <w:tcW w:w="6825" w:type="dxa"/>
            <w:gridSpan w:val="8"/>
            <w:tcBorders>
              <w:top w:val="single" w:color="auto" w:sz="4" w:space="0"/>
              <w:left w:val="single" w:color="auto" w:sz="4" w:space="0"/>
              <w:bottom w:val="single" w:color="auto" w:sz="4" w:space="0"/>
              <w:right w:val="single" w:color="auto" w:sz="4" w:space="0"/>
            </w:tcBorders>
            <w:vAlign w:val="center"/>
          </w:tcPr>
          <w:p>
            <w:pPr>
              <w:pStyle w:val="35"/>
              <w:keepNext w:val="0"/>
              <w:keepLines w:val="0"/>
              <w:widowControl w:val="0"/>
              <w:suppressLineNumbers w:val="0"/>
              <w:pBdr>
                <w:left w:val="none" w:color="auto" w:sz="0" w:space="0"/>
                <w:right w:val="none" w:color="auto" w:sz="0" w:space="0"/>
              </w:pBdr>
              <w:spacing w:before="0" w:beforeAutospacing="0" w:after="0" w:afterAutospacing="0"/>
              <w:ind w:left="0" w:right="0"/>
              <w:rPr>
                <w:rFonts w:hint="eastAsia" w:ascii="宋体" w:hAnsi="宋体" w:eastAsia="宋体" w:cs="宋体"/>
                <w:b/>
                <w:kern w:val="2"/>
                <w:sz w:val="21"/>
                <w:szCs w:val="21"/>
              </w:rPr>
            </w:pPr>
            <w:r>
              <w:rPr>
                <w:rFonts w:hint="eastAsia" w:ascii="宋体" w:hAnsi="宋体" w:eastAsia="宋体" w:cs="宋体"/>
                <w:b/>
                <w:kern w:val="2"/>
                <w:sz w:val="21"/>
                <w:szCs w:val="21"/>
              </w:rPr>
              <w:t>危险有害因素类别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186"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rPr>
                <w:rFonts w:hint="eastAsia" w:ascii="宋体" w:hAnsi="宋体" w:eastAsia="宋体" w:cs="宋体"/>
                <w:b/>
                <w:kern w:val="2"/>
                <w:sz w:val="21"/>
                <w:szCs w:val="21"/>
              </w:rPr>
            </w:pPr>
          </w:p>
        </w:tc>
        <w:tc>
          <w:tcPr>
            <w:tcW w:w="9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b/>
                <w:kern w:val="2"/>
                <w:sz w:val="21"/>
                <w:szCs w:val="21"/>
              </w:rPr>
            </w:pPr>
            <w:r>
              <w:rPr>
                <w:rFonts w:hint="eastAsia" w:ascii="宋体" w:hAnsi="宋体" w:eastAsia="宋体" w:cs="宋体"/>
                <w:b/>
                <w:kern w:val="2"/>
                <w:sz w:val="21"/>
                <w:szCs w:val="21"/>
              </w:rPr>
              <w:t>火灾、爆炸</w:t>
            </w:r>
          </w:p>
        </w:tc>
        <w:tc>
          <w:tcPr>
            <w:tcW w:w="85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b/>
                <w:kern w:val="2"/>
                <w:sz w:val="21"/>
                <w:szCs w:val="21"/>
              </w:rPr>
            </w:pPr>
            <w:r>
              <w:rPr>
                <w:rFonts w:hint="eastAsia" w:ascii="宋体" w:hAnsi="宋体" w:eastAsia="宋体" w:cs="宋体"/>
                <w:b/>
                <w:kern w:val="2"/>
                <w:sz w:val="21"/>
                <w:szCs w:val="21"/>
              </w:rPr>
              <w:t>高温危害</w:t>
            </w:r>
          </w:p>
        </w:tc>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b/>
                <w:kern w:val="2"/>
                <w:sz w:val="21"/>
                <w:szCs w:val="21"/>
              </w:rPr>
            </w:pPr>
            <w:r>
              <w:rPr>
                <w:rFonts w:hint="eastAsia" w:ascii="宋体" w:hAnsi="宋体" w:eastAsia="宋体" w:cs="宋体"/>
                <w:b/>
                <w:kern w:val="2"/>
                <w:sz w:val="21"/>
                <w:szCs w:val="21"/>
              </w:rPr>
              <w:t>中毒窒息</w:t>
            </w:r>
          </w:p>
        </w:tc>
        <w:tc>
          <w:tcPr>
            <w:tcW w:w="8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b/>
                <w:kern w:val="2"/>
                <w:sz w:val="21"/>
                <w:szCs w:val="21"/>
              </w:rPr>
            </w:pPr>
            <w:r>
              <w:rPr>
                <w:rFonts w:hint="eastAsia" w:ascii="宋体" w:hAnsi="宋体" w:eastAsia="宋体" w:cs="宋体"/>
                <w:b/>
                <w:kern w:val="2"/>
                <w:sz w:val="21"/>
                <w:szCs w:val="21"/>
              </w:rPr>
              <w:t>车辆伤害</w:t>
            </w:r>
          </w:p>
        </w:tc>
        <w:tc>
          <w:tcPr>
            <w:tcW w:w="851" w:type="dxa"/>
            <w:tcBorders>
              <w:top w:val="single" w:color="auto" w:sz="4" w:space="0"/>
              <w:left w:val="single" w:color="auto" w:sz="4" w:space="0"/>
              <w:bottom w:val="single" w:color="auto" w:sz="4" w:space="0"/>
              <w:right w:val="single" w:color="auto" w:sz="4" w:space="0"/>
            </w:tcBorders>
            <w:vAlign w:val="center"/>
          </w:tcPr>
          <w:p>
            <w:pPr>
              <w:pStyle w:val="35"/>
              <w:keepNext w:val="0"/>
              <w:keepLines w:val="0"/>
              <w:widowControl w:val="0"/>
              <w:suppressLineNumbers w:val="0"/>
              <w:pBdr>
                <w:left w:val="none" w:color="auto" w:sz="0" w:space="0"/>
                <w:right w:val="none" w:color="auto" w:sz="0" w:space="0"/>
              </w:pBdr>
              <w:spacing w:before="0" w:beforeAutospacing="0" w:after="0" w:afterAutospacing="0"/>
              <w:ind w:left="0" w:right="0"/>
              <w:rPr>
                <w:rFonts w:hint="eastAsia" w:ascii="宋体" w:hAnsi="宋体" w:eastAsia="宋体" w:cs="宋体"/>
                <w:b/>
                <w:kern w:val="2"/>
                <w:sz w:val="21"/>
                <w:szCs w:val="21"/>
              </w:rPr>
            </w:pPr>
            <w:r>
              <w:rPr>
                <w:rFonts w:hint="eastAsia" w:ascii="宋体" w:hAnsi="宋体" w:eastAsia="宋体" w:cs="宋体"/>
                <w:b/>
                <w:kern w:val="2"/>
                <w:sz w:val="21"/>
                <w:szCs w:val="21"/>
              </w:rPr>
              <w:t>触电</w:t>
            </w:r>
          </w:p>
        </w:tc>
        <w:tc>
          <w:tcPr>
            <w:tcW w:w="850" w:type="dxa"/>
            <w:tcBorders>
              <w:top w:val="single" w:color="auto" w:sz="4" w:space="0"/>
              <w:left w:val="single" w:color="auto" w:sz="4" w:space="0"/>
              <w:bottom w:val="single" w:color="auto" w:sz="4" w:space="0"/>
              <w:right w:val="single" w:color="auto" w:sz="4" w:space="0"/>
            </w:tcBorders>
            <w:vAlign w:val="center"/>
          </w:tcPr>
          <w:p>
            <w:pPr>
              <w:pStyle w:val="35"/>
              <w:keepNext w:val="0"/>
              <w:keepLines w:val="0"/>
              <w:widowControl w:val="0"/>
              <w:suppressLineNumbers w:val="0"/>
              <w:pBdr>
                <w:left w:val="none" w:color="auto" w:sz="0" w:space="0"/>
                <w:right w:val="none" w:color="auto" w:sz="0" w:space="0"/>
              </w:pBdr>
              <w:spacing w:before="0" w:beforeAutospacing="0" w:after="0" w:afterAutospacing="0"/>
              <w:ind w:left="0" w:right="0"/>
              <w:rPr>
                <w:rFonts w:hint="eastAsia" w:ascii="宋体" w:hAnsi="宋体" w:eastAsia="宋体" w:cs="宋体"/>
                <w:b/>
                <w:kern w:val="2"/>
                <w:sz w:val="21"/>
                <w:szCs w:val="21"/>
              </w:rPr>
            </w:pPr>
            <w:r>
              <w:rPr>
                <w:rFonts w:hint="eastAsia" w:ascii="宋体" w:hAnsi="宋体" w:eastAsia="宋体" w:cs="宋体"/>
                <w:b/>
                <w:kern w:val="2"/>
                <w:sz w:val="21"/>
                <w:szCs w:val="21"/>
              </w:rPr>
              <w:t>高处坠落</w:t>
            </w:r>
          </w:p>
        </w:tc>
        <w:tc>
          <w:tcPr>
            <w:tcW w:w="778" w:type="dxa"/>
            <w:tcBorders>
              <w:top w:val="single" w:color="auto" w:sz="4" w:space="0"/>
              <w:left w:val="single" w:color="auto" w:sz="4" w:space="0"/>
              <w:bottom w:val="single" w:color="auto" w:sz="4" w:space="0"/>
              <w:right w:val="single" w:color="auto" w:sz="4" w:space="0"/>
            </w:tcBorders>
            <w:vAlign w:val="center"/>
          </w:tcPr>
          <w:p>
            <w:pPr>
              <w:pStyle w:val="35"/>
              <w:keepNext w:val="0"/>
              <w:keepLines w:val="0"/>
              <w:widowControl w:val="0"/>
              <w:suppressLineNumbers w:val="0"/>
              <w:pBdr>
                <w:left w:val="none" w:color="auto" w:sz="0" w:space="0"/>
                <w:right w:val="none" w:color="auto" w:sz="0" w:space="0"/>
              </w:pBdr>
              <w:spacing w:before="0" w:beforeAutospacing="0" w:after="0" w:afterAutospacing="0"/>
              <w:ind w:left="0" w:right="0"/>
              <w:rPr>
                <w:rFonts w:hint="eastAsia" w:ascii="宋体" w:hAnsi="宋体" w:eastAsia="宋体" w:cs="宋体"/>
                <w:b/>
                <w:kern w:val="2"/>
                <w:sz w:val="21"/>
                <w:szCs w:val="21"/>
              </w:rPr>
            </w:pPr>
            <w:r>
              <w:rPr>
                <w:rFonts w:hint="eastAsia" w:ascii="宋体" w:hAnsi="宋体" w:eastAsia="宋体" w:cs="宋体"/>
                <w:b/>
                <w:kern w:val="2"/>
                <w:sz w:val="21"/>
                <w:szCs w:val="21"/>
              </w:rPr>
              <w:t>物体打击</w:t>
            </w:r>
          </w:p>
        </w:tc>
        <w:tc>
          <w:tcPr>
            <w:tcW w:w="781" w:type="dxa"/>
            <w:tcBorders>
              <w:top w:val="single" w:color="auto" w:sz="4" w:space="0"/>
              <w:left w:val="single" w:color="auto" w:sz="4" w:space="0"/>
              <w:bottom w:val="single" w:color="auto" w:sz="4" w:space="0"/>
              <w:right w:val="single" w:color="auto" w:sz="4" w:space="0"/>
            </w:tcBorders>
            <w:vAlign w:val="center"/>
          </w:tcPr>
          <w:p>
            <w:pPr>
              <w:pStyle w:val="35"/>
              <w:keepNext w:val="0"/>
              <w:keepLines w:val="0"/>
              <w:widowControl w:val="0"/>
              <w:suppressLineNumbers w:val="0"/>
              <w:pBdr>
                <w:left w:val="none" w:color="auto" w:sz="0" w:space="0"/>
                <w:right w:val="none" w:color="auto" w:sz="0" w:space="0"/>
              </w:pBdr>
              <w:spacing w:before="0" w:beforeAutospacing="0" w:after="0" w:afterAutospacing="0"/>
              <w:ind w:left="0" w:right="0"/>
              <w:rPr>
                <w:rFonts w:hint="eastAsia" w:ascii="宋体" w:hAnsi="宋体" w:eastAsia="宋体" w:cs="宋体"/>
                <w:b/>
                <w:kern w:val="2"/>
                <w:sz w:val="21"/>
                <w:szCs w:val="21"/>
              </w:rPr>
            </w:pPr>
            <w:r>
              <w:rPr>
                <w:rFonts w:hint="eastAsia" w:ascii="宋体" w:hAnsi="宋体" w:eastAsia="宋体" w:cs="宋体"/>
                <w:b/>
                <w:kern w:val="2"/>
                <w:sz w:val="21"/>
                <w:szCs w:val="21"/>
              </w:rPr>
              <w:t>坍塌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18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卸油区</w:t>
            </w:r>
          </w:p>
        </w:tc>
        <w:tc>
          <w:tcPr>
            <w:tcW w:w="9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85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8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85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77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78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18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加油区</w:t>
            </w:r>
          </w:p>
        </w:tc>
        <w:tc>
          <w:tcPr>
            <w:tcW w:w="9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85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8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85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77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78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18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油罐区</w:t>
            </w:r>
          </w:p>
        </w:tc>
        <w:tc>
          <w:tcPr>
            <w:tcW w:w="9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85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8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85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77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78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18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站房</w:t>
            </w:r>
          </w:p>
        </w:tc>
        <w:tc>
          <w:tcPr>
            <w:tcW w:w="9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85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8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85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77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78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18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电房</w:t>
            </w:r>
          </w:p>
        </w:tc>
        <w:tc>
          <w:tcPr>
            <w:tcW w:w="9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85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c>
          <w:tcPr>
            <w:tcW w:w="8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p>
        </w:tc>
        <w:tc>
          <w:tcPr>
            <w:tcW w:w="85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p>
        </w:tc>
        <w:tc>
          <w:tcPr>
            <w:tcW w:w="77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FF0000"/>
                <w:kern w:val="2"/>
                <w:sz w:val="21"/>
                <w:szCs w:val="21"/>
              </w:rPr>
            </w:pPr>
          </w:p>
        </w:tc>
        <w:tc>
          <w:tcPr>
            <w:tcW w:w="78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FF0000"/>
                <w:kern w:val="2"/>
                <w:sz w:val="21"/>
                <w:szCs w:val="21"/>
              </w:rPr>
            </w:pPr>
          </w:p>
        </w:tc>
      </w:tr>
    </w:tbl>
    <w:p>
      <w:pPr>
        <w:spacing w:before="240" w:beforeLines="100" w:after="240" w:afterLines="100"/>
        <w:jc w:val="center"/>
        <w:outlineLvl w:val="1"/>
        <w:rPr>
          <w:rFonts w:hint="eastAsia" w:ascii="宋体" w:hAnsi="宋体" w:eastAsia="宋体" w:cs="宋体"/>
          <w:b/>
          <w:sz w:val="32"/>
          <w:szCs w:val="32"/>
        </w:rPr>
      </w:pPr>
      <w:bookmarkStart w:id="337" w:name="_Toc10572_WPSOffice_Level2"/>
      <w:bookmarkStart w:id="338" w:name="_Toc3614"/>
      <w:bookmarkStart w:id="339" w:name="_Toc25048_WPSOffice_Level2"/>
      <w:bookmarkStart w:id="340" w:name="_Toc529176492"/>
      <w:bookmarkStart w:id="341" w:name="_Toc8457"/>
      <w:bookmarkStart w:id="342" w:name="_Toc10518"/>
      <w:bookmarkStart w:id="343" w:name="_Toc32141_WPSOffice_Level2"/>
      <w:r>
        <w:rPr>
          <w:rFonts w:hint="eastAsia" w:ascii="宋体" w:hAnsi="宋体" w:eastAsia="宋体" w:cs="宋体"/>
          <w:b/>
          <w:sz w:val="32"/>
          <w:szCs w:val="32"/>
        </w:rPr>
        <w:t>3.4</w:t>
      </w:r>
      <w:r>
        <w:rPr>
          <w:rFonts w:hint="eastAsia" w:ascii="宋体" w:hAnsi="宋体" w:eastAsia="宋体" w:cs="宋体"/>
          <w:b/>
          <w:sz w:val="32"/>
          <w:szCs w:val="32"/>
          <w:lang w:val="en-US"/>
        </w:rPr>
        <w:t xml:space="preserve"> </w:t>
      </w:r>
      <w:r>
        <w:rPr>
          <w:rFonts w:hint="eastAsia" w:ascii="宋体" w:hAnsi="宋体" w:eastAsia="宋体" w:cs="宋体"/>
          <w:b/>
          <w:sz w:val="32"/>
          <w:szCs w:val="32"/>
        </w:rPr>
        <w:t>重大危险源辨识结果</w:t>
      </w:r>
      <w:bookmarkEnd w:id="337"/>
      <w:bookmarkEnd w:id="338"/>
      <w:bookmarkEnd w:id="339"/>
      <w:bookmarkEnd w:id="340"/>
      <w:bookmarkEnd w:id="341"/>
      <w:bookmarkEnd w:id="342"/>
      <w:bookmarkEnd w:id="343"/>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根据《危险化学品重大危险源辨识》（GB18218-2018）的规定，对该改建项目进行重大危险源辨识，该加油站储存的危险化学品数量未构成危险化学品重大危险源。</w:t>
      </w:r>
    </w:p>
    <w:p>
      <w:pPr>
        <w:spacing w:before="240" w:beforeLines="100" w:after="240" w:afterLines="100" w:line="360" w:lineRule="auto"/>
        <w:jc w:val="center"/>
        <w:outlineLvl w:val="1"/>
        <w:rPr>
          <w:rFonts w:hint="eastAsia" w:ascii="宋体" w:hAnsi="宋体" w:eastAsia="宋体" w:cs="宋体"/>
          <w:b/>
          <w:sz w:val="32"/>
          <w:szCs w:val="32"/>
        </w:rPr>
      </w:pPr>
      <w:bookmarkStart w:id="344" w:name="_Toc29481_WPSOffice_Level2"/>
      <w:bookmarkStart w:id="345" w:name="_Toc21912"/>
      <w:bookmarkStart w:id="346" w:name="_Toc18063_WPSOffice_Level2"/>
      <w:bookmarkStart w:id="347" w:name="_Toc123_WPSOffice_Level2"/>
      <w:bookmarkStart w:id="348" w:name="_Toc10622"/>
      <w:bookmarkStart w:id="349" w:name="_Toc529176493"/>
      <w:bookmarkStart w:id="350" w:name="_Toc29073"/>
      <w:r>
        <w:rPr>
          <w:rFonts w:hint="eastAsia" w:ascii="宋体" w:hAnsi="宋体" w:eastAsia="宋体" w:cs="宋体"/>
          <w:b/>
          <w:sz w:val="32"/>
          <w:szCs w:val="32"/>
        </w:rPr>
        <w:t>3.5</w:t>
      </w:r>
      <w:r>
        <w:rPr>
          <w:rFonts w:hint="eastAsia" w:ascii="宋体" w:hAnsi="宋体" w:eastAsia="宋体" w:cs="宋体"/>
          <w:b/>
          <w:sz w:val="32"/>
          <w:szCs w:val="32"/>
          <w:lang w:val="en-US"/>
        </w:rPr>
        <w:t xml:space="preserve"> </w:t>
      </w:r>
      <w:r>
        <w:rPr>
          <w:rFonts w:hint="eastAsia" w:ascii="宋体" w:hAnsi="宋体" w:eastAsia="宋体" w:cs="宋体"/>
          <w:b/>
          <w:sz w:val="32"/>
          <w:szCs w:val="32"/>
        </w:rPr>
        <w:t>爆炸危险区域的划分结果</w:t>
      </w:r>
      <w:bookmarkEnd w:id="344"/>
      <w:bookmarkEnd w:id="345"/>
      <w:bookmarkEnd w:id="346"/>
      <w:bookmarkEnd w:id="347"/>
      <w:bookmarkEnd w:id="348"/>
      <w:bookmarkEnd w:id="349"/>
      <w:bookmarkEnd w:id="350"/>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bookmarkStart w:id="351" w:name="_Toc406658109"/>
      <w:r>
        <w:rPr>
          <w:rFonts w:hint="eastAsia" w:ascii="宋体" w:hAnsi="宋体" w:eastAsia="宋体" w:cs="宋体"/>
          <w:spacing w:val="-7"/>
          <w:sz w:val="28"/>
          <w:szCs w:val="28"/>
        </w:rPr>
        <w:t>根据《汽车加油加气站设计与施工规范》（GB50156-2012，2014年版）规定，加油站内爆炸危险区域的等级和范围划分如下：</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bookmarkStart w:id="352" w:name="_Toc7938_WPSOffice_Level3"/>
      <w:bookmarkStart w:id="353" w:name="_Toc11786_WPSOffice_Level3"/>
      <w:bookmarkStart w:id="354" w:name="_Toc9703_WPSOffice_Level3"/>
      <w:bookmarkStart w:id="355" w:name="_Toc24270_WPSOffice_Level3"/>
      <w:r>
        <w:rPr>
          <w:rFonts w:hint="eastAsia" w:ascii="宋体" w:hAnsi="宋体" w:eastAsia="宋体" w:cs="宋体"/>
          <w:spacing w:val="-7"/>
          <w:sz w:val="28"/>
          <w:szCs w:val="28"/>
        </w:rPr>
        <w:t>1）加油设施的爆炸危险区域内地坪以下的坑或沟应划分为1区。</w:t>
      </w:r>
      <w:bookmarkEnd w:id="352"/>
      <w:bookmarkEnd w:id="353"/>
      <w:bookmarkEnd w:id="354"/>
      <w:bookmarkEnd w:id="355"/>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bookmarkStart w:id="356" w:name="_Toc6722_WPSOffice_Level3"/>
      <w:bookmarkStart w:id="357" w:name="_Toc23552_WPSOffice_Level3"/>
      <w:bookmarkStart w:id="358" w:name="_Toc17252_WPSOffice_Level3"/>
      <w:bookmarkStart w:id="359" w:name="_Toc14935_WPSOffice_Level3"/>
      <w:r>
        <w:rPr>
          <w:rFonts w:hint="eastAsia" w:ascii="宋体" w:hAnsi="宋体" w:eastAsia="宋体" w:cs="宋体"/>
          <w:spacing w:val="-7"/>
          <w:sz w:val="28"/>
          <w:szCs w:val="28"/>
        </w:rPr>
        <w:t>2）埋地卧式储罐区爆炸危险区域划分如下：</w:t>
      </w:r>
      <w:bookmarkEnd w:id="356"/>
      <w:bookmarkEnd w:id="357"/>
      <w:bookmarkEnd w:id="358"/>
      <w:bookmarkEnd w:id="359"/>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①罐内部油品表面以上的空间应划分为0区。</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②人孔（阀）井内部空间、以通气管管口为中心，半径为0.75 m的球形空间和以密闭卸油口为中心，半径为0.5m的球形空间，应划分为1区；</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③距人孔（阀）井外边缘1.5m以内，自地面算起1m高的圆柱形空间、以通气管管口为中心，半径为2m的球形空间和以密闭卸油口为中心，半径为1.5m的球形并延至地面的空间，应划分为2区。</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bookmarkStart w:id="360" w:name="_Toc17048_WPSOffice_Level3"/>
      <w:bookmarkStart w:id="361" w:name="_Toc29687_WPSOffice_Level3"/>
      <w:bookmarkStart w:id="362" w:name="_Toc5454_WPSOffice_Level3"/>
      <w:bookmarkStart w:id="363" w:name="_Toc27989_WPSOffice_Level3"/>
      <w:r>
        <w:rPr>
          <w:rFonts w:hint="eastAsia" w:ascii="宋体" w:hAnsi="宋体" w:eastAsia="宋体" w:cs="宋体"/>
          <w:spacing w:val="-7"/>
          <w:sz w:val="28"/>
          <w:szCs w:val="28"/>
        </w:rPr>
        <w:t>3）油罐车和密闭卸油口的爆炸危险区域划分如下：</w:t>
      </w:r>
      <w:bookmarkEnd w:id="360"/>
      <w:bookmarkEnd w:id="361"/>
      <w:bookmarkEnd w:id="362"/>
      <w:bookmarkEnd w:id="363"/>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①油罐车内部的油品表面以上空间应划分为0区。</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②以通气口为中心，半径为1.5m的球形空间和以密闭卸油口为中心，半径为0.5m的球形空间，应划分为1区。</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③以通气口为中心，半径为3m的球形并延至地面的空间和以密闭卸油口中心，半径为1.5m的球形并延至地面的空间，应划分为2区。</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bookmarkStart w:id="364" w:name="_Toc8673_WPSOffice_Level3"/>
      <w:bookmarkStart w:id="365" w:name="_Toc23568_WPSOffice_Level3"/>
      <w:bookmarkStart w:id="366" w:name="_Toc25048_WPSOffice_Level3"/>
      <w:bookmarkStart w:id="367" w:name="_Toc7064_WPSOffice_Level3"/>
      <w:r>
        <w:rPr>
          <w:rFonts w:hint="eastAsia" w:ascii="宋体" w:hAnsi="宋体" w:eastAsia="宋体" w:cs="宋体"/>
          <w:spacing w:val="-7"/>
          <w:sz w:val="28"/>
          <w:szCs w:val="28"/>
        </w:rPr>
        <w:t>4）加油机爆炸危险区域划分如下：</w:t>
      </w:r>
      <w:bookmarkEnd w:id="364"/>
      <w:bookmarkEnd w:id="365"/>
      <w:bookmarkEnd w:id="366"/>
      <w:bookmarkEnd w:id="367"/>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①加油机壳体内部空间，应划分为1区。</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②以加油机中线为中心线，以半径为3m的地面区域为底面和以加油机顶以上0.15m，半径为1.5m的平面为顶面的圆台形空间，应划分为2区。</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具体分析过程见附件和附录：爆炸危险区域布置图。</w:t>
      </w:r>
    </w:p>
    <w:bookmarkEnd w:id="351"/>
    <w:p>
      <w:pPr>
        <w:pStyle w:val="3"/>
        <w:bidi w:val="0"/>
        <w:rPr>
          <w:rFonts w:hint="eastAsia" w:ascii="宋体" w:hAnsi="宋体" w:eastAsia="宋体" w:cs="宋体"/>
          <w:b/>
          <w:sz w:val="32"/>
          <w:szCs w:val="32"/>
        </w:rPr>
      </w:pPr>
      <w:bookmarkStart w:id="368" w:name="_Toc32218_WPSOffice_Level2"/>
      <w:bookmarkStart w:id="369" w:name="_Toc528343545"/>
      <w:bookmarkStart w:id="370" w:name="_Toc20891_WPSOffice_Level2"/>
      <w:bookmarkStart w:id="371" w:name="_Toc16336"/>
      <w:bookmarkStart w:id="372" w:name="_Toc529176494"/>
      <w:bookmarkStart w:id="373" w:name="_Toc31656_WPSOffice_Level2"/>
      <w:bookmarkStart w:id="374" w:name="_Toc6743"/>
      <w:bookmarkStart w:id="375" w:name="_Toc31385"/>
      <w:r>
        <w:rPr>
          <w:rFonts w:hint="eastAsia" w:ascii="宋体" w:hAnsi="宋体" w:eastAsia="宋体" w:cs="宋体"/>
          <w:b/>
          <w:sz w:val="32"/>
          <w:szCs w:val="32"/>
        </w:rPr>
        <w:t>3.6</w:t>
      </w:r>
      <w:r>
        <w:rPr>
          <w:rFonts w:hint="eastAsia" w:ascii="宋体" w:hAnsi="宋体" w:eastAsia="宋体" w:cs="宋体"/>
          <w:b/>
          <w:sz w:val="32"/>
          <w:szCs w:val="32"/>
          <w:lang w:val="en-US"/>
        </w:rPr>
        <w:t xml:space="preserve"> </w:t>
      </w:r>
      <w:r>
        <w:rPr>
          <w:rFonts w:hint="eastAsia" w:ascii="宋体" w:hAnsi="宋体" w:eastAsia="宋体" w:cs="宋体"/>
          <w:b/>
          <w:bCs/>
        </w:rPr>
        <w:t>国家明令淘汰的产品和</w:t>
      </w:r>
      <w:r>
        <w:rPr>
          <w:rFonts w:hint="eastAsia" w:ascii="宋体" w:hAnsi="宋体" w:eastAsia="宋体" w:cs="宋体"/>
          <w:b/>
          <w:sz w:val="32"/>
          <w:szCs w:val="32"/>
        </w:rPr>
        <w:t>危险化工工艺辨识结果</w:t>
      </w:r>
      <w:bookmarkEnd w:id="368"/>
      <w:bookmarkEnd w:id="369"/>
      <w:bookmarkEnd w:id="370"/>
      <w:bookmarkEnd w:id="371"/>
      <w:bookmarkEnd w:id="372"/>
      <w:bookmarkEnd w:id="373"/>
      <w:bookmarkEnd w:id="374"/>
      <w:bookmarkEnd w:id="375"/>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根据</w:t>
      </w:r>
      <w:r>
        <w:rPr>
          <w:rFonts w:hint="eastAsia" w:ascii="宋体" w:hAnsi="宋体" w:eastAsia="宋体" w:cs="宋体"/>
          <w:sz w:val="28"/>
          <w:szCs w:val="28"/>
        </w:rPr>
        <w:t>《产业结构调整指导目录（2016年本，修正）》（中华人民共和国国家发展和改革委员会令21号）、《广东省产业结构调整指导目录》（2007年本）及</w:t>
      </w:r>
      <w:r>
        <w:rPr>
          <w:rFonts w:hint="eastAsia" w:ascii="宋体" w:hAnsi="宋体" w:eastAsia="宋体" w:cs="宋体"/>
          <w:spacing w:val="-7"/>
          <w:sz w:val="28"/>
          <w:szCs w:val="28"/>
        </w:rPr>
        <w:t>《重点监管危险化工工艺目录（2013年完整版）》（安监总管〔2013〕3号）对建设项目涉及的</w:t>
      </w:r>
      <w:r>
        <w:rPr>
          <w:rFonts w:hint="eastAsia" w:cs="宋体"/>
          <w:spacing w:val="-7"/>
          <w:sz w:val="28"/>
          <w:szCs w:val="28"/>
          <w:lang w:eastAsia="zh-CN"/>
        </w:rPr>
        <w:t>产品和</w:t>
      </w:r>
      <w:r>
        <w:rPr>
          <w:rFonts w:hint="eastAsia" w:ascii="宋体" w:hAnsi="宋体" w:eastAsia="宋体" w:cs="宋体"/>
          <w:spacing w:val="-7"/>
          <w:sz w:val="28"/>
          <w:szCs w:val="28"/>
        </w:rPr>
        <w:t>工艺进行辨识，建设项目</w:t>
      </w:r>
      <w:r>
        <w:rPr>
          <w:rFonts w:hint="eastAsia" w:cs="宋体"/>
          <w:spacing w:val="-7"/>
          <w:sz w:val="28"/>
          <w:szCs w:val="28"/>
          <w:lang w:eastAsia="zh-CN"/>
        </w:rPr>
        <w:t>产品不属于</w:t>
      </w:r>
      <w:r>
        <w:rPr>
          <w:rFonts w:hint="eastAsia" w:ascii="宋体" w:hAnsi="宋体" w:eastAsia="宋体" w:cs="宋体"/>
          <w:sz w:val="28"/>
          <w:szCs w:val="28"/>
        </w:rPr>
        <w:t>淘汰产品</w:t>
      </w:r>
      <w:r>
        <w:rPr>
          <w:rFonts w:hint="eastAsia" w:cs="宋体"/>
          <w:sz w:val="28"/>
          <w:szCs w:val="28"/>
          <w:lang w:eastAsia="zh-CN"/>
        </w:rPr>
        <w:t>，</w:t>
      </w:r>
      <w:r>
        <w:rPr>
          <w:rFonts w:hint="eastAsia" w:ascii="宋体" w:hAnsi="宋体" w:eastAsia="宋体" w:cs="宋体"/>
          <w:spacing w:val="-7"/>
          <w:sz w:val="28"/>
          <w:szCs w:val="28"/>
        </w:rPr>
        <w:t>工艺未列入重点监管的危险化工工艺目录内。</w:t>
      </w:r>
    </w:p>
    <w:p>
      <w:pPr>
        <w:keepNext w:val="0"/>
        <w:keepLines w:val="0"/>
        <w:pageBreakBefore w:val="0"/>
        <w:widowControl w:val="0"/>
        <w:kinsoku/>
        <w:wordWrap/>
        <w:overflowPunct/>
        <w:topLinePunct w:val="0"/>
        <w:autoSpaceDE w:val="0"/>
        <w:autoSpaceDN w:val="0"/>
        <w:bidi w:val="0"/>
        <w:adjustRightInd/>
        <w:snapToGrid/>
        <w:spacing w:before="240" w:beforeLines="100" w:after="240" w:afterLines="100" w:line="560" w:lineRule="exact"/>
        <w:jc w:val="center"/>
        <w:textAlignment w:val="auto"/>
        <w:outlineLvl w:val="1"/>
        <w:rPr>
          <w:rFonts w:hint="eastAsia" w:ascii="宋体" w:hAnsi="宋体" w:eastAsia="宋体" w:cs="宋体"/>
          <w:b/>
          <w:sz w:val="32"/>
          <w:szCs w:val="32"/>
        </w:rPr>
      </w:pPr>
      <w:bookmarkStart w:id="376" w:name="_Toc5737_WPSOffice_Level2"/>
      <w:bookmarkStart w:id="377" w:name="_Toc25957_WPSOffice_Level2"/>
      <w:bookmarkStart w:id="378" w:name="_Toc17678_WPSOffice_Level2"/>
      <w:bookmarkStart w:id="379" w:name="_Toc529176495"/>
      <w:bookmarkStart w:id="380" w:name="_Toc528343546"/>
      <w:bookmarkStart w:id="381" w:name="_Toc13575"/>
      <w:bookmarkStart w:id="382" w:name="_Toc3006"/>
      <w:bookmarkStart w:id="383" w:name="_Toc18243"/>
      <w:r>
        <w:rPr>
          <w:rFonts w:hint="eastAsia" w:ascii="宋体" w:hAnsi="宋体" w:eastAsia="宋体" w:cs="宋体"/>
          <w:b/>
          <w:sz w:val="32"/>
          <w:szCs w:val="32"/>
        </w:rPr>
        <w:t>3.7</w:t>
      </w:r>
      <w:r>
        <w:rPr>
          <w:rFonts w:hint="eastAsia" w:ascii="宋体" w:hAnsi="宋体" w:eastAsia="宋体" w:cs="宋体"/>
          <w:b/>
          <w:sz w:val="32"/>
          <w:szCs w:val="32"/>
          <w:lang w:val="en-US"/>
        </w:rPr>
        <w:t xml:space="preserve"> </w:t>
      </w:r>
      <w:r>
        <w:rPr>
          <w:rFonts w:hint="eastAsia" w:ascii="宋体" w:hAnsi="宋体" w:eastAsia="宋体" w:cs="宋体"/>
          <w:b/>
          <w:sz w:val="32"/>
          <w:szCs w:val="32"/>
        </w:rPr>
        <w:t>特种设备辩识结果</w:t>
      </w:r>
      <w:bookmarkEnd w:id="376"/>
      <w:bookmarkEnd w:id="377"/>
      <w:bookmarkEnd w:id="378"/>
      <w:bookmarkEnd w:id="379"/>
      <w:bookmarkEnd w:id="380"/>
      <w:bookmarkEnd w:id="381"/>
      <w:bookmarkEnd w:id="382"/>
      <w:bookmarkEnd w:id="383"/>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根据《特种设备安全监察条例》（国务院令</w:t>
      </w:r>
      <w:r>
        <w:rPr>
          <w:rFonts w:hint="eastAsia" w:ascii="宋体" w:hAnsi="宋体" w:eastAsia="宋体" w:cs="宋体"/>
          <w:spacing w:val="-7"/>
          <w:sz w:val="28"/>
          <w:szCs w:val="28"/>
          <w:lang w:val="en-US"/>
        </w:rPr>
        <w:t>[2009]</w:t>
      </w:r>
      <w:r>
        <w:rPr>
          <w:rFonts w:hint="eastAsia" w:ascii="宋体" w:hAnsi="宋体" w:eastAsia="宋体" w:cs="宋体"/>
          <w:spacing w:val="-7"/>
          <w:sz w:val="28"/>
          <w:szCs w:val="28"/>
        </w:rPr>
        <w:t>第549号）、《特种设备目录》</w:t>
      </w:r>
      <w:r>
        <w:rPr>
          <w:rFonts w:hint="eastAsia" w:ascii="宋体" w:hAnsi="宋体" w:eastAsia="宋体" w:cs="宋体"/>
          <w:spacing w:val="-7"/>
          <w:sz w:val="28"/>
          <w:szCs w:val="28"/>
          <w:lang w:val="en-US"/>
        </w:rPr>
        <w:t>(2014版）</w:t>
      </w:r>
      <w:r>
        <w:rPr>
          <w:rFonts w:hint="eastAsia" w:ascii="宋体" w:hAnsi="宋体" w:eastAsia="宋体" w:cs="宋体"/>
          <w:spacing w:val="-7"/>
          <w:sz w:val="28"/>
          <w:szCs w:val="28"/>
        </w:rPr>
        <w:t>，对建设项目工艺流程涉及的设施、设备进行识别，建设项目不涉及特种设备。</w:t>
      </w:r>
    </w:p>
    <w:p>
      <w:pPr>
        <w:keepNext w:val="0"/>
        <w:keepLines w:val="0"/>
        <w:pageBreakBefore w:val="0"/>
        <w:widowControl w:val="0"/>
        <w:kinsoku/>
        <w:wordWrap/>
        <w:overflowPunct/>
        <w:topLinePunct w:val="0"/>
        <w:autoSpaceDE w:val="0"/>
        <w:autoSpaceDN w:val="0"/>
        <w:bidi w:val="0"/>
        <w:adjustRightInd/>
        <w:snapToGrid/>
        <w:spacing w:before="240" w:beforeLines="100" w:after="240" w:afterLines="100" w:line="560" w:lineRule="exact"/>
        <w:jc w:val="center"/>
        <w:textAlignment w:val="auto"/>
        <w:outlineLvl w:val="1"/>
        <w:rPr>
          <w:rFonts w:hint="eastAsia" w:ascii="宋体" w:hAnsi="宋体" w:eastAsia="宋体" w:cs="宋体"/>
          <w:b/>
          <w:sz w:val="32"/>
          <w:szCs w:val="32"/>
          <w:lang w:val="en-US" w:eastAsia="zh-CN"/>
        </w:rPr>
      </w:pPr>
      <w:bookmarkStart w:id="384" w:name="_Toc15472"/>
      <w:bookmarkStart w:id="385" w:name="_Toc4009_WPSOffice_Level1"/>
      <w:bookmarkStart w:id="386" w:name="_Toc24952"/>
      <w:bookmarkStart w:id="387" w:name="_Toc7310_WPSOffice_Level1"/>
      <w:bookmarkStart w:id="388" w:name="_Toc15072"/>
      <w:bookmarkStart w:id="389" w:name="_Toc14935_WPSOffice_Level1"/>
      <w:r>
        <w:rPr>
          <w:rFonts w:hint="eastAsia" w:ascii="宋体" w:hAnsi="宋体" w:eastAsia="宋体" w:cs="宋体"/>
          <w:b/>
          <w:sz w:val="32"/>
          <w:szCs w:val="32"/>
        </w:rPr>
        <w:t>3.</w:t>
      </w:r>
      <w:r>
        <w:rPr>
          <w:rFonts w:hint="eastAsia" w:ascii="宋体" w:hAnsi="宋体" w:eastAsia="宋体" w:cs="宋体"/>
          <w:b/>
          <w:sz w:val="32"/>
          <w:szCs w:val="32"/>
          <w:lang w:val="en-US" w:eastAsia="zh-CN"/>
        </w:rPr>
        <w:t>8</w:t>
      </w:r>
      <w:r>
        <w:rPr>
          <w:rFonts w:hint="eastAsia" w:ascii="宋体" w:hAnsi="宋体" w:eastAsia="宋体" w:cs="宋体"/>
          <w:b/>
          <w:sz w:val="32"/>
          <w:szCs w:val="32"/>
          <w:lang w:val="en-US"/>
        </w:rPr>
        <w:t xml:space="preserve"> </w:t>
      </w:r>
      <w:r>
        <w:rPr>
          <w:rFonts w:hint="eastAsia" w:ascii="宋体" w:hAnsi="宋体" w:eastAsia="宋体" w:cs="宋体"/>
          <w:b/>
          <w:sz w:val="32"/>
          <w:szCs w:val="32"/>
          <w:lang w:val="en-US" w:eastAsia="zh-CN"/>
        </w:rPr>
        <w:t>淘汰落后安全技术装备辨识结果</w:t>
      </w:r>
      <w:bookmarkEnd w:id="384"/>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根据</w:t>
      </w:r>
      <w:r>
        <w:rPr>
          <w:rFonts w:hint="eastAsia" w:ascii="宋体" w:hAnsi="宋体" w:eastAsia="宋体" w:cs="宋体"/>
          <w:spacing w:val="-7"/>
          <w:sz w:val="28"/>
          <w:szCs w:val="28"/>
          <w:lang w:val="en-US" w:eastAsia="zh-CN"/>
        </w:rPr>
        <w:t>《淘汰落后安全技术装备目录（2015年第一批）》（安监总科技〔2015〕75号）</w:t>
      </w:r>
      <w:r>
        <w:rPr>
          <w:rFonts w:hint="eastAsia" w:ascii="宋体" w:hAnsi="宋体" w:eastAsia="宋体" w:cs="宋体"/>
          <w:spacing w:val="-7"/>
          <w:sz w:val="28"/>
          <w:szCs w:val="28"/>
        </w:rPr>
        <w:t>对建设项目工艺流程涉及的</w:t>
      </w:r>
      <w:r>
        <w:rPr>
          <w:rFonts w:hint="eastAsia" w:ascii="宋体" w:hAnsi="宋体" w:eastAsia="宋体" w:cs="宋体"/>
          <w:spacing w:val="-7"/>
          <w:sz w:val="28"/>
          <w:szCs w:val="28"/>
          <w:lang w:eastAsia="zh-CN"/>
        </w:rPr>
        <w:t>技术</w:t>
      </w:r>
      <w:r>
        <w:rPr>
          <w:rFonts w:hint="eastAsia" w:ascii="宋体" w:hAnsi="宋体" w:eastAsia="宋体" w:cs="宋体"/>
          <w:spacing w:val="-7"/>
          <w:sz w:val="28"/>
          <w:szCs w:val="28"/>
        </w:rPr>
        <w:t>设备进行识别，建设项目不涉及</w:t>
      </w:r>
      <w:r>
        <w:rPr>
          <w:rFonts w:hint="eastAsia" w:ascii="宋体" w:hAnsi="宋体" w:eastAsia="宋体" w:cs="宋体"/>
          <w:spacing w:val="-7"/>
          <w:sz w:val="28"/>
          <w:szCs w:val="28"/>
          <w:lang w:eastAsia="zh-CN"/>
        </w:rPr>
        <w:t>淘汰落后的安全技术装备</w:t>
      </w:r>
      <w:r>
        <w:rPr>
          <w:rFonts w:hint="eastAsia" w:ascii="宋体" w:hAnsi="宋体" w:eastAsia="宋体" w:cs="宋体"/>
          <w:spacing w:val="-7"/>
          <w:sz w:val="28"/>
          <w:szCs w:val="28"/>
        </w:rPr>
        <w:t>。</w:t>
      </w:r>
    </w:p>
    <w:p>
      <w:pPr>
        <w:pStyle w:val="2"/>
        <w:keepNext w:val="0"/>
        <w:keepLines w:val="0"/>
        <w:pageBreakBefore w:val="0"/>
        <w:widowControl w:val="0"/>
        <w:kinsoku/>
        <w:wordWrap/>
        <w:overflowPunct/>
        <w:topLinePunct w:val="0"/>
        <w:autoSpaceDE w:val="0"/>
        <w:autoSpaceDN w:val="0"/>
        <w:bidi w:val="0"/>
        <w:adjustRightInd/>
        <w:snapToGrid/>
        <w:spacing w:before="240" w:beforeLines="100" w:after="240" w:afterLines="100" w:line="560" w:lineRule="exact"/>
        <w:ind w:firstLine="0"/>
        <w:jc w:val="center"/>
        <w:textAlignment w:val="auto"/>
        <w:rPr>
          <w:rFonts w:hint="eastAsia" w:ascii="宋体" w:hAnsi="宋体" w:eastAsia="宋体" w:cs="宋体"/>
        </w:rPr>
      </w:pPr>
      <w:bookmarkStart w:id="390" w:name="_Toc21532"/>
      <w:r>
        <w:rPr>
          <w:rFonts w:hint="eastAsia" w:ascii="宋体" w:hAnsi="宋体" w:eastAsia="宋体" w:cs="宋体"/>
        </w:rPr>
        <w:t>4 安全评价单元的划分结果及理由说明</w:t>
      </w:r>
      <w:bookmarkEnd w:id="385"/>
      <w:bookmarkEnd w:id="386"/>
      <w:bookmarkEnd w:id="387"/>
      <w:bookmarkEnd w:id="388"/>
      <w:bookmarkEnd w:id="389"/>
      <w:bookmarkEnd w:id="390"/>
    </w:p>
    <w:p>
      <w:pPr>
        <w:pStyle w:val="3"/>
        <w:keepNext w:val="0"/>
        <w:keepLines w:val="0"/>
        <w:pageBreakBefore w:val="0"/>
        <w:widowControl w:val="0"/>
        <w:tabs>
          <w:tab w:val="left" w:pos="4236"/>
        </w:tabs>
        <w:kinsoku/>
        <w:wordWrap/>
        <w:overflowPunct/>
        <w:topLinePunct w:val="0"/>
        <w:autoSpaceDE w:val="0"/>
        <w:autoSpaceDN w:val="0"/>
        <w:bidi w:val="0"/>
        <w:adjustRightInd/>
        <w:snapToGrid/>
        <w:spacing w:before="240" w:beforeLines="100" w:after="240" w:afterLines="100" w:line="560" w:lineRule="exact"/>
        <w:ind w:right="1280" w:firstLine="0"/>
        <w:jc w:val="center"/>
        <w:textAlignment w:val="auto"/>
        <w:rPr>
          <w:rFonts w:hint="eastAsia" w:ascii="宋体" w:hAnsi="宋体" w:eastAsia="宋体" w:cs="宋体"/>
          <w:b/>
          <w:bCs/>
        </w:rPr>
      </w:pPr>
      <w:bookmarkStart w:id="391" w:name="_Toc13701"/>
      <w:bookmarkStart w:id="392" w:name="_Toc29001_WPSOffice_Level2"/>
      <w:bookmarkStart w:id="393" w:name="_Toc15885_WPSOffice_Level2"/>
      <w:bookmarkStart w:id="394" w:name="_Toc11354_WPSOffice_Level2"/>
      <w:bookmarkStart w:id="395" w:name="_Toc16683"/>
      <w:bookmarkStart w:id="396" w:name="_Toc19829"/>
      <w:r>
        <w:rPr>
          <w:rFonts w:hint="eastAsia" w:ascii="宋体" w:hAnsi="宋体" w:eastAsia="宋体" w:cs="宋体"/>
          <w:b/>
          <w:bCs/>
        </w:rPr>
        <w:t>4.1 评价方法的选择及理由</w:t>
      </w:r>
      <w:bookmarkEnd w:id="391"/>
      <w:bookmarkEnd w:id="392"/>
      <w:bookmarkEnd w:id="393"/>
      <w:bookmarkEnd w:id="394"/>
      <w:bookmarkEnd w:id="395"/>
      <w:bookmarkEnd w:id="396"/>
    </w:p>
    <w:p>
      <w:pPr>
        <w:pStyle w:val="6"/>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textAlignment w:val="auto"/>
        <w:rPr>
          <w:rFonts w:hint="eastAsia" w:ascii="宋体" w:hAnsi="宋体" w:eastAsia="宋体" w:cs="宋体"/>
          <w:spacing w:val="-7"/>
        </w:rPr>
      </w:pPr>
      <w:r>
        <w:rPr>
          <w:rFonts w:hint="eastAsia" w:ascii="宋体" w:hAnsi="宋体" w:eastAsia="宋体" w:cs="宋体"/>
          <w:spacing w:val="-7"/>
        </w:rPr>
        <w:t>根据危险有害因素辨识结果可知，加油站经营过程中存在的危险有害因素有火灾、爆炸、中毒和窒息、车辆伤害、触电、高处坠落、</w:t>
      </w:r>
      <w:r>
        <w:rPr>
          <w:rFonts w:hint="eastAsia" w:ascii="宋体" w:hAnsi="宋体" w:eastAsia="宋体" w:cs="宋体"/>
          <w:spacing w:val="-7"/>
          <w:lang w:eastAsia="zh-CN"/>
        </w:rPr>
        <w:t>物体打击、坍塌</w:t>
      </w:r>
      <w:r>
        <w:rPr>
          <w:rFonts w:hint="eastAsia" w:ascii="宋体" w:hAnsi="宋体" w:eastAsia="宋体" w:cs="宋体"/>
          <w:spacing w:val="-7"/>
        </w:rPr>
        <w:t>等，其中，主要的危险有害因素是火灾、爆炸。</w:t>
      </w:r>
    </w:p>
    <w:p>
      <w:pPr>
        <w:pStyle w:val="6"/>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textAlignment w:val="auto"/>
        <w:rPr>
          <w:rFonts w:hint="eastAsia" w:ascii="宋体" w:hAnsi="宋体" w:eastAsia="宋体" w:cs="宋体"/>
          <w:spacing w:val="-7"/>
        </w:rPr>
      </w:pPr>
      <w:r>
        <w:rPr>
          <w:rFonts w:hint="eastAsia" w:ascii="宋体" w:hAnsi="宋体" w:eastAsia="宋体" w:cs="宋体"/>
          <w:spacing w:val="-7"/>
        </w:rPr>
        <w:t>根据安全验收评价的需要，结合加油站的特点，本报告采用道化学火灾、爆炸危险指数评价法（第七版）对</w:t>
      </w:r>
      <w:r>
        <w:rPr>
          <w:rFonts w:hint="eastAsia" w:ascii="宋体" w:hAnsi="宋体" w:eastAsia="宋体" w:cs="宋体"/>
          <w:spacing w:val="-7"/>
          <w:lang w:eastAsia="zh-CN"/>
        </w:rPr>
        <w:t>横坑加油站</w:t>
      </w:r>
      <w:r>
        <w:rPr>
          <w:rFonts w:hint="eastAsia" w:ascii="宋体" w:hAnsi="宋体" w:eastAsia="宋体" w:cs="宋体"/>
          <w:spacing w:val="-7"/>
        </w:rPr>
        <w:t>储罐区的火灾、爆炸危险性进行定量评价；采用安全检查、安全检查表等评价方法，通过检查项目各类安全生产相关证照是否齐全，审查、确认</w:t>
      </w:r>
      <w:r>
        <w:rPr>
          <w:rFonts w:hint="eastAsia" w:ascii="宋体" w:hAnsi="宋体" w:eastAsia="宋体" w:cs="宋体"/>
          <w:spacing w:val="-7"/>
          <w:lang w:eastAsia="zh-CN"/>
        </w:rPr>
        <w:t>横坑加油站</w:t>
      </w:r>
      <w:r>
        <w:rPr>
          <w:rFonts w:hint="eastAsia" w:ascii="宋体" w:hAnsi="宋体" w:eastAsia="宋体" w:cs="宋体"/>
          <w:spacing w:val="-7"/>
        </w:rPr>
        <w:t>主体工程的建设是否满足安全生产法律法规、标准、行政规章、规范的要求，检查安全设施、设备、装置是否已与主体工程同时设计、同时施工、同时投入生产和使用的情况，检查安全生产管理措施是否到位，安全生产规章制度是否健全，是否建立了事故应急救援预案等，对</w:t>
      </w:r>
      <w:r>
        <w:rPr>
          <w:rFonts w:hint="eastAsia" w:ascii="宋体" w:hAnsi="宋体" w:eastAsia="宋体" w:cs="宋体"/>
          <w:spacing w:val="-7"/>
          <w:lang w:eastAsia="zh-CN"/>
        </w:rPr>
        <w:t>横坑加油站</w:t>
      </w:r>
      <w:r>
        <w:rPr>
          <w:rFonts w:hint="eastAsia" w:ascii="宋体" w:hAnsi="宋体" w:eastAsia="宋体" w:cs="宋体"/>
          <w:spacing w:val="-7"/>
        </w:rPr>
        <w:t>是否具备安全验收条件进行分析评价。</w:t>
      </w:r>
    </w:p>
    <w:p>
      <w:pPr>
        <w:pStyle w:val="3"/>
        <w:keepNext w:val="0"/>
        <w:keepLines w:val="0"/>
        <w:pageBreakBefore w:val="0"/>
        <w:widowControl w:val="0"/>
        <w:tabs>
          <w:tab w:val="left" w:pos="4195"/>
        </w:tabs>
        <w:kinsoku/>
        <w:wordWrap/>
        <w:overflowPunct/>
        <w:topLinePunct w:val="0"/>
        <w:autoSpaceDE w:val="0"/>
        <w:autoSpaceDN w:val="0"/>
        <w:bidi w:val="0"/>
        <w:adjustRightInd/>
        <w:snapToGrid/>
        <w:spacing w:before="237" w:line="560" w:lineRule="exact"/>
        <w:ind w:right="1280" w:firstLine="0"/>
        <w:jc w:val="center"/>
        <w:textAlignment w:val="auto"/>
        <w:rPr>
          <w:rFonts w:hint="eastAsia" w:ascii="宋体" w:hAnsi="宋体" w:eastAsia="宋体" w:cs="宋体"/>
          <w:b/>
          <w:bCs/>
        </w:rPr>
      </w:pPr>
      <w:bookmarkStart w:id="397" w:name="_Toc29496_WPSOffice_Level2"/>
      <w:bookmarkStart w:id="398" w:name="_Toc5917"/>
      <w:bookmarkStart w:id="399" w:name="_Toc18352_WPSOffice_Level2"/>
      <w:bookmarkStart w:id="400" w:name="_Toc15213_WPSOffice_Level2"/>
      <w:bookmarkStart w:id="401" w:name="_Toc14134"/>
      <w:bookmarkStart w:id="402" w:name="_Toc28287"/>
      <w:r>
        <w:rPr>
          <w:rFonts w:hint="eastAsia" w:ascii="宋体" w:hAnsi="宋体" w:eastAsia="宋体" w:cs="宋体"/>
          <w:b/>
          <w:bCs/>
        </w:rPr>
        <w:t>4.2 评价单元的划分及理由</w:t>
      </w:r>
      <w:bookmarkEnd w:id="397"/>
      <w:bookmarkEnd w:id="398"/>
      <w:bookmarkEnd w:id="399"/>
      <w:bookmarkEnd w:id="400"/>
      <w:bookmarkEnd w:id="401"/>
      <w:bookmarkEnd w:id="402"/>
    </w:p>
    <w:p>
      <w:pPr>
        <w:pStyle w:val="6"/>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textAlignment w:val="auto"/>
        <w:rPr>
          <w:rFonts w:hint="eastAsia" w:ascii="宋体" w:hAnsi="宋体" w:eastAsia="宋体" w:cs="宋体"/>
          <w:spacing w:val="-7"/>
        </w:rPr>
      </w:pPr>
      <w:r>
        <w:rPr>
          <w:rFonts w:hint="eastAsia" w:ascii="宋体" w:hAnsi="宋体" w:eastAsia="宋体" w:cs="宋体"/>
          <w:spacing w:val="-7"/>
        </w:rPr>
        <w:t>评价单元是在危险、有害因素分析的基础上，根据评价目标和评价方法的需要，将系统分成若干有限、确定范围的评价单元进行评价。划分评价单元是为评价目标和评价方法服务的，要便于评价工作的进行，有利于提高评价工作的准确性。评价单元的划分，一般根据工艺流程、设备和装置的特点和特征进行划分；或根据危险、有害因素的类别、分布进行划分；可以将安全管理、外部周边情况分别划分为一个评价单元。</w:t>
      </w:r>
    </w:p>
    <w:p>
      <w:pPr>
        <w:pStyle w:val="6"/>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textAlignment w:val="auto"/>
        <w:rPr>
          <w:rFonts w:hint="eastAsia" w:ascii="宋体" w:hAnsi="宋体" w:eastAsia="宋体" w:cs="宋体"/>
          <w:spacing w:val="-7"/>
        </w:rPr>
      </w:pPr>
      <w:r>
        <w:rPr>
          <w:rFonts w:hint="eastAsia" w:ascii="宋体" w:hAnsi="宋体" w:eastAsia="宋体" w:cs="宋体"/>
          <w:spacing w:val="-7"/>
        </w:rPr>
        <w:t>根据评价方法的特点各种结合加油站的实际情况，对评价单元进行如下划分，具体见表4.2-1。</w:t>
      </w:r>
    </w:p>
    <w:p>
      <w:pPr>
        <w:jc w:val="center"/>
        <w:rPr>
          <w:rFonts w:hint="eastAsia" w:ascii="宋体" w:hAnsi="宋体" w:eastAsia="宋体" w:cs="宋体"/>
          <w:sz w:val="24"/>
          <w:szCs w:val="21"/>
        </w:rPr>
      </w:pPr>
      <w:bookmarkStart w:id="403" w:name="_Toc12598_WPSOffice_Level3"/>
      <w:bookmarkStart w:id="404" w:name="_Toc13298_WPSOffice_Level3"/>
    </w:p>
    <w:p>
      <w:pPr>
        <w:jc w:val="center"/>
        <w:rPr>
          <w:rFonts w:hint="eastAsia" w:ascii="宋体" w:hAnsi="宋体" w:eastAsia="宋体" w:cs="宋体"/>
          <w:sz w:val="24"/>
          <w:szCs w:val="21"/>
        </w:rPr>
      </w:pPr>
    </w:p>
    <w:p>
      <w:pPr>
        <w:jc w:val="center"/>
        <w:rPr>
          <w:rFonts w:hint="eastAsia" w:ascii="宋体" w:hAnsi="宋体" w:eastAsia="宋体" w:cs="宋体"/>
          <w:sz w:val="24"/>
          <w:szCs w:val="21"/>
        </w:rPr>
      </w:pPr>
    </w:p>
    <w:p>
      <w:pPr>
        <w:jc w:val="center"/>
        <w:rPr>
          <w:rFonts w:hint="eastAsia" w:ascii="宋体" w:hAnsi="宋体" w:eastAsia="宋体" w:cs="宋体"/>
          <w:sz w:val="28"/>
          <w:szCs w:val="28"/>
        </w:rPr>
      </w:pPr>
      <w:r>
        <w:rPr>
          <w:rFonts w:hint="eastAsia" w:ascii="宋体" w:hAnsi="宋体" w:eastAsia="宋体" w:cs="宋体"/>
          <w:sz w:val="28"/>
          <w:szCs w:val="28"/>
        </w:rPr>
        <w:t>表4.2-1</w:t>
      </w:r>
      <w:r>
        <w:rPr>
          <w:rFonts w:hint="eastAsia" w:ascii="宋体" w:hAnsi="宋体" w:eastAsia="宋体" w:cs="宋体"/>
          <w:sz w:val="28"/>
          <w:szCs w:val="28"/>
          <w:lang w:val="en-US"/>
        </w:rPr>
        <w:t xml:space="preserve"> </w:t>
      </w:r>
      <w:r>
        <w:rPr>
          <w:rFonts w:hint="eastAsia" w:ascii="宋体" w:hAnsi="宋体" w:eastAsia="宋体" w:cs="宋体"/>
          <w:sz w:val="28"/>
          <w:szCs w:val="28"/>
        </w:rPr>
        <w:t>评价方法和评价单元一览表</w:t>
      </w:r>
      <w:bookmarkEnd w:id="403"/>
      <w:bookmarkEnd w:id="404"/>
    </w:p>
    <w:tbl>
      <w:tblPr>
        <w:tblStyle w:val="15"/>
        <w:tblW w:w="95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808"/>
        <w:gridCol w:w="1648"/>
        <w:gridCol w:w="1557"/>
        <w:gridCol w:w="48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737" w:type="dxa"/>
            <w:vAlign w:val="center"/>
          </w:tcPr>
          <w:p>
            <w:pPr>
              <w:keepNext w:val="0"/>
              <w:keepLines w:val="0"/>
              <w:suppressLineNumbers w:val="0"/>
              <w:spacing w:before="0" w:beforeAutospacing="0" w:after="0" w:afterAutospacing="0" w:line="300" w:lineRule="atLeast"/>
              <w:ind w:left="0" w:right="0"/>
              <w:jc w:val="center"/>
              <w:rPr>
                <w:rFonts w:hint="eastAsia" w:ascii="宋体" w:hAnsi="宋体" w:eastAsia="宋体" w:cs="宋体"/>
                <w:b/>
                <w:kern w:val="2"/>
                <w:sz w:val="21"/>
                <w:szCs w:val="21"/>
              </w:rPr>
            </w:pPr>
            <w:r>
              <w:rPr>
                <w:rFonts w:hint="eastAsia" w:ascii="宋体" w:hAnsi="宋体" w:eastAsia="宋体" w:cs="宋体"/>
                <w:b/>
                <w:kern w:val="2"/>
                <w:sz w:val="21"/>
                <w:szCs w:val="21"/>
              </w:rPr>
              <w:t>序号</w:t>
            </w:r>
          </w:p>
        </w:tc>
        <w:tc>
          <w:tcPr>
            <w:tcW w:w="2456" w:type="dxa"/>
            <w:gridSpan w:val="2"/>
            <w:vAlign w:val="center"/>
          </w:tcPr>
          <w:p>
            <w:pPr>
              <w:keepNext w:val="0"/>
              <w:keepLines w:val="0"/>
              <w:suppressLineNumbers w:val="0"/>
              <w:spacing w:before="0" w:beforeAutospacing="0" w:after="0" w:afterAutospacing="0" w:line="300" w:lineRule="atLeast"/>
              <w:ind w:left="0" w:right="0"/>
              <w:jc w:val="center"/>
              <w:rPr>
                <w:rFonts w:hint="eastAsia" w:ascii="宋体" w:hAnsi="宋体" w:eastAsia="宋体" w:cs="宋体"/>
                <w:b/>
                <w:kern w:val="2"/>
                <w:sz w:val="21"/>
                <w:szCs w:val="21"/>
              </w:rPr>
            </w:pPr>
            <w:r>
              <w:rPr>
                <w:rFonts w:hint="eastAsia" w:ascii="宋体" w:hAnsi="宋体" w:eastAsia="宋体" w:cs="宋体"/>
                <w:b/>
                <w:kern w:val="2"/>
                <w:sz w:val="21"/>
                <w:szCs w:val="21"/>
              </w:rPr>
              <w:t>评价单元</w:t>
            </w:r>
          </w:p>
        </w:tc>
        <w:tc>
          <w:tcPr>
            <w:tcW w:w="1557" w:type="dxa"/>
            <w:vAlign w:val="center"/>
          </w:tcPr>
          <w:p>
            <w:pPr>
              <w:keepNext w:val="0"/>
              <w:keepLines w:val="0"/>
              <w:suppressLineNumbers w:val="0"/>
              <w:spacing w:before="0" w:beforeAutospacing="0" w:after="0" w:afterAutospacing="0" w:line="300" w:lineRule="atLeast"/>
              <w:ind w:left="0" w:right="0"/>
              <w:jc w:val="center"/>
              <w:rPr>
                <w:rFonts w:hint="eastAsia" w:ascii="宋体" w:hAnsi="宋体" w:eastAsia="宋体" w:cs="宋体"/>
                <w:b/>
                <w:kern w:val="2"/>
                <w:sz w:val="21"/>
                <w:szCs w:val="21"/>
              </w:rPr>
            </w:pPr>
            <w:r>
              <w:rPr>
                <w:rFonts w:hint="eastAsia" w:ascii="宋体" w:hAnsi="宋体" w:eastAsia="宋体" w:cs="宋体"/>
                <w:b/>
                <w:kern w:val="2"/>
                <w:sz w:val="21"/>
                <w:szCs w:val="21"/>
              </w:rPr>
              <w:t>评价方法选择</w:t>
            </w:r>
          </w:p>
        </w:tc>
        <w:tc>
          <w:tcPr>
            <w:tcW w:w="4847" w:type="dxa"/>
            <w:vAlign w:val="center"/>
          </w:tcPr>
          <w:p>
            <w:pPr>
              <w:keepNext w:val="0"/>
              <w:keepLines w:val="0"/>
              <w:suppressLineNumbers w:val="0"/>
              <w:spacing w:before="0" w:beforeAutospacing="0" w:after="0" w:afterAutospacing="0" w:line="300" w:lineRule="atLeast"/>
              <w:ind w:left="0" w:right="0"/>
              <w:jc w:val="center"/>
              <w:rPr>
                <w:rFonts w:hint="eastAsia" w:ascii="宋体" w:hAnsi="宋体" w:eastAsia="宋体" w:cs="宋体"/>
                <w:b/>
                <w:kern w:val="2"/>
                <w:sz w:val="21"/>
                <w:szCs w:val="21"/>
              </w:rPr>
            </w:pPr>
            <w:r>
              <w:rPr>
                <w:rFonts w:hint="eastAsia" w:ascii="宋体" w:hAnsi="宋体" w:eastAsia="宋体" w:cs="宋体"/>
                <w:b/>
                <w:kern w:val="2"/>
                <w:sz w:val="21"/>
                <w:szCs w:val="21"/>
              </w:rPr>
              <w:t>选择理由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737" w:type="dxa"/>
            <w:vAlign w:val="center"/>
          </w:tcPr>
          <w:p>
            <w:pPr>
              <w:keepNext w:val="0"/>
              <w:keepLines w:val="0"/>
              <w:suppressLineNumbers w:val="0"/>
              <w:spacing w:before="0" w:beforeAutospacing="0" w:after="0" w:afterAutospacing="0" w:line="300" w:lineRule="atLeas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1</w:t>
            </w:r>
          </w:p>
        </w:tc>
        <w:tc>
          <w:tcPr>
            <w:tcW w:w="2456" w:type="dxa"/>
            <w:gridSpan w:val="2"/>
            <w:vAlign w:val="center"/>
          </w:tcPr>
          <w:p>
            <w:pPr>
              <w:keepNext w:val="0"/>
              <w:keepLines w:val="0"/>
              <w:suppressLineNumbers w:val="0"/>
              <w:spacing w:before="0" w:beforeAutospacing="0" w:after="0" w:afterAutospacing="0" w:line="300" w:lineRule="atLeas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加油站选址评价单元</w:t>
            </w:r>
          </w:p>
        </w:tc>
        <w:tc>
          <w:tcPr>
            <w:tcW w:w="1557" w:type="dxa"/>
            <w:vAlign w:val="center"/>
          </w:tcPr>
          <w:p>
            <w:pPr>
              <w:keepNext w:val="0"/>
              <w:keepLines w:val="0"/>
              <w:suppressLineNumbers w:val="0"/>
              <w:spacing w:before="0" w:beforeAutospacing="0" w:after="0" w:afterAutospacing="0" w:line="300" w:lineRule="atLeas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安全检查表法</w:t>
            </w:r>
          </w:p>
        </w:tc>
        <w:tc>
          <w:tcPr>
            <w:tcW w:w="4847" w:type="dxa"/>
            <w:vAlign w:val="center"/>
          </w:tcPr>
          <w:p>
            <w:pPr>
              <w:keepNext w:val="0"/>
              <w:keepLines w:val="0"/>
              <w:suppressLineNumbers w:val="0"/>
              <w:spacing w:before="0" w:beforeAutospacing="0" w:after="0" w:afterAutospacing="0" w:line="300" w:lineRule="atLeast"/>
              <w:ind w:left="0" w:right="0"/>
              <w:rPr>
                <w:rFonts w:hint="eastAsia" w:ascii="宋体" w:hAnsi="宋体" w:eastAsia="宋体" w:cs="宋体"/>
                <w:kern w:val="2"/>
                <w:sz w:val="21"/>
                <w:szCs w:val="21"/>
              </w:rPr>
            </w:pPr>
            <w:r>
              <w:rPr>
                <w:rFonts w:hint="eastAsia" w:ascii="宋体" w:hAnsi="宋体" w:eastAsia="宋体" w:cs="宋体"/>
                <w:kern w:val="2"/>
                <w:sz w:val="21"/>
                <w:szCs w:val="21"/>
              </w:rPr>
              <w:t>依据有关法规、标准在检查表中列出了检查要求，使检查工作标准化、规范化，验证加油站外部安全条件与国家法律法规、标准规范的符合性。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0" w:hRule="atLeast"/>
          <w:jc w:val="center"/>
        </w:trPr>
        <w:tc>
          <w:tcPr>
            <w:tcW w:w="737" w:type="dxa"/>
            <w:vAlign w:val="center"/>
          </w:tcPr>
          <w:p>
            <w:pPr>
              <w:keepNext w:val="0"/>
              <w:keepLines w:val="0"/>
              <w:suppressLineNumbers w:val="0"/>
              <w:spacing w:before="0" w:beforeAutospacing="0" w:after="0" w:afterAutospacing="0" w:line="300" w:lineRule="atLeast"/>
              <w:ind w:left="0" w:right="0"/>
              <w:jc w:val="center"/>
              <w:rPr>
                <w:rFonts w:hint="eastAsia" w:ascii="宋体" w:hAnsi="宋体" w:eastAsia="宋体" w:cs="宋体"/>
                <w:snapToGrid w:val="0"/>
                <w:kern w:val="2"/>
                <w:sz w:val="21"/>
                <w:szCs w:val="21"/>
              </w:rPr>
            </w:pPr>
            <w:r>
              <w:rPr>
                <w:rFonts w:hint="eastAsia" w:ascii="宋体" w:hAnsi="宋体" w:eastAsia="宋体" w:cs="宋体"/>
                <w:snapToGrid w:val="0"/>
                <w:kern w:val="2"/>
                <w:sz w:val="21"/>
                <w:szCs w:val="21"/>
              </w:rPr>
              <w:t>2</w:t>
            </w:r>
          </w:p>
        </w:tc>
        <w:tc>
          <w:tcPr>
            <w:tcW w:w="2456" w:type="dxa"/>
            <w:gridSpan w:val="2"/>
            <w:vAlign w:val="center"/>
          </w:tcPr>
          <w:p>
            <w:pPr>
              <w:keepNext w:val="0"/>
              <w:keepLines w:val="0"/>
              <w:suppressLineNumbers w:val="0"/>
              <w:spacing w:before="0" w:beforeAutospacing="0" w:after="0" w:afterAutospacing="0" w:line="300" w:lineRule="atLeast"/>
              <w:ind w:left="0" w:right="0"/>
              <w:jc w:val="center"/>
              <w:rPr>
                <w:rFonts w:hint="eastAsia" w:ascii="宋体" w:hAnsi="宋体" w:eastAsia="宋体" w:cs="宋体"/>
                <w:kern w:val="2"/>
                <w:sz w:val="21"/>
                <w:szCs w:val="21"/>
              </w:rPr>
            </w:pPr>
            <w:r>
              <w:rPr>
                <w:rFonts w:hint="eastAsia" w:ascii="宋体" w:hAnsi="宋体" w:eastAsia="宋体" w:cs="宋体"/>
                <w:snapToGrid w:val="0"/>
                <w:kern w:val="2"/>
                <w:sz w:val="21"/>
                <w:szCs w:val="21"/>
              </w:rPr>
              <w:t>总平面布置评价单元</w:t>
            </w:r>
          </w:p>
        </w:tc>
        <w:tc>
          <w:tcPr>
            <w:tcW w:w="1557" w:type="dxa"/>
            <w:vAlign w:val="center"/>
          </w:tcPr>
          <w:p>
            <w:pPr>
              <w:keepNext w:val="0"/>
              <w:keepLines w:val="0"/>
              <w:suppressLineNumbers w:val="0"/>
              <w:spacing w:before="0" w:beforeAutospacing="0" w:after="0" w:afterAutospacing="0" w:line="300" w:lineRule="atLeas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安全检查表法</w:t>
            </w:r>
          </w:p>
        </w:tc>
        <w:tc>
          <w:tcPr>
            <w:tcW w:w="4847" w:type="dxa"/>
            <w:vAlign w:val="center"/>
          </w:tcPr>
          <w:p>
            <w:pPr>
              <w:keepNext w:val="0"/>
              <w:keepLines w:val="0"/>
              <w:suppressLineNumbers w:val="0"/>
              <w:spacing w:before="0" w:beforeAutospacing="0" w:after="0" w:afterAutospacing="0" w:line="300" w:lineRule="atLeast"/>
              <w:ind w:left="0" w:right="0"/>
              <w:rPr>
                <w:rFonts w:hint="eastAsia" w:ascii="宋体" w:hAnsi="宋体" w:eastAsia="宋体" w:cs="宋体"/>
                <w:kern w:val="2"/>
                <w:sz w:val="21"/>
                <w:szCs w:val="21"/>
              </w:rPr>
            </w:pPr>
            <w:r>
              <w:rPr>
                <w:rFonts w:hint="eastAsia" w:ascii="宋体" w:hAnsi="宋体" w:eastAsia="宋体" w:cs="宋体"/>
                <w:kern w:val="2"/>
                <w:sz w:val="21"/>
                <w:szCs w:val="21"/>
              </w:rPr>
              <w:t>依据有关法规、标准在检查表中列出了检查要求，使检查工作标准化、规范化，验证加油站站址和总平面布置与国家法律法规、标准规范的符合性。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737" w:type="dxa"/>
            <w:vMerge w:val="restart"/>
            <w:vAlign w:val="center"/>
          </w:tcPr>
          <w:p>
            <w:pPr>
              <w:keepNext w:val="0"/>
              <w:keepLines w:val="0"/>
              <w:suppressLineNumbers w:val="0"/>
              <w:spacing w:before="0" w:beforeAutospacing="0" w:after="0" w:afterAutospacing="0" w:line="300" w:lineRule="atLeas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3</w:t>
            </w:r>
          </w:p>
        </w:tc>
        <w:tc>
          <w:tcPr>
            <w:tcW w:w="808" w:type="dxa"/>
            <w:vMerge w:val="restart"/>
            <w:vAlign w:val="center"/>
          </w:tcPr>
          <w:p>
            <w:pPr>
              <w:keepNext w:val="0"/>
              <w:keepLines w:val="0"/>
              <w:suppressLineNumbers w:val="0"/>
              <w:spacing w:before="0" w:beforeAutospacing="0" w:after="0" w:afterAutospacing="0" w:line="300" w:lineRule="atLeas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主要设备、设施评价单元</w:t>
            </w:r>
          </w:p>
        </w:tc>
        <w:tc>
          <w:tcPr>
            <w:tcW w:w="1648" w:type="dxa"/>
            <w:vAlign w:val="center"/>
          </w:tcPr>
          <w:p>
            <w:pPr>
              <w:keepNext w:val="0"/>
              <w:keepLines w:val="0"/>
              <w:suppressLineNumbers w:val="0"/>
              <w:spacing w:before="0" w:beforeAutospacing="0" w:after="0" w:afterAutospacing="0" w:line="300" w:lineRule="atLeast"/>
              <w:ind w:left="0" w:right="0"/>
              <w:jc w:val="center"/>
              <w:rPr>
                <w:rFonts w:hint="eastAsia" w:ascii="宋体" w:hAnsi="宋体" w:eastAsia="宋体" w:cs="宋体"/>
                <w:snapToGrid w:val="0"/>
                <w:kern w:val="2"/>
                <w:sz w:val="21"/>
                <w:szCs w:val="21"/>
              </w:rPr>
            </w:pPr>
            <w:r>
              <w:rPr>
                <w:rFonts w:hint="eastAsia" w:ascii="宋体" w:hAnsi="宋体" w:eastAsia="宋体" w:cs="宋体"/>
                <w:snapToGrid w:val="0"/>
                <w:kern w:val="2"/>
                <w:sz w:val="21"/>
                <w:szCs w:val="21"/>
              </w:rPr>
              <w:t>油罐评价子单元</w:t>
            </w:r>
          </w:p>
        </w:tc>
        <w:tc>
          <w:tcPr>
            <w:tcW w:w="1557" w:type="dxa"/>
            <w:vAlign w:val="center"/>
          </w:tcPr>
          <w:p>
            <w:pPr>
              <w:keepNext w:val="0"/>
              <w:keepLines w:val="0"/>
              <w:suppressLineNumbers w:val="0"/>
              <w:spacing w:before="0" w:beforeAutospacing="0" w:after="0" w:afterAutospacing="0" w:line="300" w:lineRule="atLeas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安全检查表法、道（DOW）化学公司火灾、爆炸危险指数评价法</w:t>
            </w:r>
          </w:p>
        </w:tc>
        <w:tc>
          <w:tcPr>
            <w:tcW w:w="4847" w:type="dxa"/>
            <w:vAlign w:val="center"/>
          </w:tcPr>
          <w:p>
            <w:pPr>
              <w:keepNext w:val="0"/>
              <w:keepLines w:val="0"/>
              <w:suppressLineNumbers w:val="0"/>
              <w:spacing w:before="0" w:beforeAutospacing="0" w:after="0" w:afterAutospacing="0" w:line="300" w:lineRule="atLeast"/>
              <w:ind w:left="0" w:right="0"/>
              <w:rPr>
                <w:rFonts w:hint="eastAsia" w:ascii="宋体" w:hAnsi="宋体" w:eastAsia="宋体" w:cs="宋体"/>
                <w:kern w:val="2"/>
                <w:sz w:val="21"/>
                <w:szCs w:val="21"/>
              </w:rPr>
            </w:pPr>
            <w:r>
              <w:rPr>
                <w:rFonts w:hint="eastAsia" w:ascii="宋体" w:hAnsi="宋体" w:eastAsia="宋体" w:cs="宋体"/>
                <w:kern w:val="2"/>
                <w:sz w:val="21"/>
                <w:szCs w:val="21"/>
              </w:rPr>
              <w:t>依据有关法规、标准在检查表中列出了检查要求，使检查工作标准化、规范化，验证油罐安全措施与国家法律法规、标准规范的符合性。</w:t>
            </w:r>
          </w:p>
          <w:p>
            <w:pPr>
              <w:keepNext w:val="0"/>
              <w:keepLines w:val="0"/>
              <w:suppressLineNumbers w:val="0"/>
              <w:spacing w:before="0" w:beforeAutospacing="0" w:after="0" w:afterAutospacing="0" w:line="300" w:lineRule="atLeast"/>
              <w:ind w:left="0" w:right="0"/>
              <w:rPr>
                <w:rFonts w:hint="eastAsia" w:ascii="宋体" w:hAnsi="宋体" w:eastAsia="宋体" w:cs="宋体"/>
                <w:kern w:val="2"/>
                <w:sz w:val="21"/>
                <w:szCs w:val="21"/>
              </w:rPr>
            </w:pPr>
            <w:r>
              <w:rPr>
                <w:rFonts w:hint="eastAsia" w:ascii="宋体" w:hAnsi="宋体" w:eastAsia="宋体" w:cs="宋体"/>
                <w:kern w:val="2"/>
                <w:sz w:val="21"/>
                <w:szCs w:val="21"/>
              </w:rPr>
              <w:t>根据站内储油情况，运用（DOW）化学公司火灾、爆炸危险指数评价法，量化潜在火灾、爆炸和反应性事故的危险性等级，确定减轻事故严重性和总损失的有效、经济的途径。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737" w:type="dxa"/>
            <w:vMerge w:val="continue"/>
            <w:vAlign w:val="center"/>
          </w:tcPr>
          <w:p>
            <w:pPr>
              <w:keepNext w:val="0"/>
              <w:keepLines w:val="0"/>
              <w:suppressLineNumbers w:val="0"/>
              <w:spacing w:before="0" w:beforeAutospacing="0" w:after="0" w:afterAutospacing="0" w:line="300" w:lineRule="atLeast"/>
              <w:ind w:left="0" w:right="0"/>
              <w:jc w:val="center"/>
              <w:rPr>
                <w:rFonts w:hint="eastAsia" w:ascii="宋体" w:hAnsi="宋体" w:eastAsia="宋体" w:cs="宋体"/>
                <w:kern w:val="2"/>
                <w:sz w:val="21"/>
                <w:szCs w:val="21"/>
              </w:rPr>
            </w:pPr>
          </w:p>
        </w:tc>
        <w:tc>
          <w:tcPr>
            <w:tcW w:w="808" w:type="dxa"/>
            <w:vMerge w:val="continue"/>
            <w:vAlign w:val="center"/>
          </w:tcPr>
          <w:p>
            <w:pPr>
              <w:keepNext w:val="0"/>
              <w:keepLines w:val="0"/>
              <w:suppressLineNumbers w:val="0"/>
              <w:spacing w:before="0" w:beforeAutospacing="0" w:after="0" w:afterAutospacing="0" w:line="300" w:lineRule="atLeast"/>
              <w:ind w:left="0" w:right="0"/>
              <w:jc w:val="center"/>
              <w:rPr>
                <w:rFonts w:hint="eastAsia" w:ascii="宋体" w:hAnsi="宋体" w:eastAsia="宋体" w:cs="宋体"/>
                <w:kern w:val="2"/>
                <w:sz w:val="21"/>
                <w:szCs w:val="21"/>
              </w:rPr>
            </w:pPr>
          </w:p>
        </w:tc>
        <w:tc>
          <w:tcPr>
            <w:tcW w:w="1648" w:type="dxa"/>
            <w:vAlign w:val="center"/>
          </w:tcPr>
          <w:p>
            <w:pPr>
              <w:keepNext w:val="0"/>
              <w:keepLines w:val="0"/>
              <w:suppressLineNumbers w:val="0"/>
              <w:spacing w:before="0" w:beforeAutospacing="0" w:after="0" w:afterAutospacing="0" w:line="300" w:lineRule="atLeas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加油机评价子单元</w:t>
            </w:r>
          </w:p>
        </w:tc>
        <w:tc>
          <w:tcPr>
            <w:tcW w:w="1557" w:type="dxa"/>
            <w:vMerge w:val="restart"/>
            <w:vAlign w:val="center"/>
          </w:tcPr>
          <w:p>
            <w:pPr>
              <w:keepNext w:val="0"/>
              <w:keepLines w:val="0"/>
              <w:suppressLineNumbers w:val="0"/>
              <w:spacing w:before="0" w:beforeAutospacing="0" w:after="0" w:afterAutospacing="0" w:line="300" w:lineRule="atLeas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安全检查表法</w:t>
            </w:r>
          </w:p>
        </w:tc>
        <w:tc>
          <w:tcPr>
            <w:tcW w:w="4847" w:type="dxa"/>
            <w:vMerge w:val="restart"/>
            <w:vAlign w:val="center"/>
          </w:tcPr>
          <w:p>
            <w:pPr>
              <w:keepNext w:val="0"/>
              <w:keepLines w:val="0"/>
              <w:suppressLineNumbers w:val="0"/>
              <w:spacing w:before="0" w:beforeAutospacing="0" w:after="0" w:afterAutospacing="0" w:line="300" w:lineRule="atLeast"/>
              <w:ind w:left="0" w:right="0"/>
              <w:rPr>
                <w:rFonts w:hint="eastAsia" w:ascii="宋体" w:hAnsi="宋体" w:eastAsia="宋体" w:cs="宋体"/>
                <w:kern w:val="2"/>
                <w:sz w:val="21"/>
                <w:szCs w:val="21"/>
              </w:rPr>
            </w:pPr>
            <w:r>
              <w:rPr>
                <w:rFonts w:hint="eastAsia" w:ascii="宋体" w:hAnsi="宋体" w:eastAsia="宋体" w:cs="宋体"/>
                <w:kern w:val="2"/>
                <w:sz w:val="21"/>
                <w:szCs w:val="21"/>
              </w:rPr>
              <w:t>依据有关法规、标准在检查表中列出了检查要求，使检查工作标准化、规范化，验证工艺系统设置与国家法律法规、标准规范的符合性。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737" w:type="dxa"/>
            <w:vMerge w:val="continue"/>
            <w:vAlign w:val="center"/>
          </w:tcPr>
          <w:p>
            <w:pPr>
              <w:keepNext w:val="0"/>
              <w:keepLines w:val="0"/>
              <w:suppressLineNumbers w:val="0"/>
              <w:spacing w:before="0" w:beforeAutospacing="0" w:after="0" w:afterAutospacing="0" w:line="300" w:lineRule="atLeast"/>
              <w:ind w:left="0" w:right="0"/>
              <w:jc w:val="center"/>
              <w:rPr>
                <w:rFonts w:hint="eastAsia" w:ascii="宋体" w:hAnsi="宋体" w:eastAsia="宋体" w:cs="宋体"/>
                <w:kern w:val="2"/>
                <w:sz w:val="21"/>
                <w:szCs w:val="21"/>
              </w:rPr>
            </w:pPr>
          </w:p>
        </w:tc>
        <w:tc>
          <w:tcPr>
            <w:tcW w:w="808" w:type="dxa"/>
            <w:vMerge w:val="continue"/>
            <w:vAlign w:val="center"/>
          </w:tcPr>
          <w:p>
            <w:pPr>
              <w:keepNext w:val="0"/>
              <w:keepLines w:val="0"/>
              <w:suppressLineNumbers w:val="0"/>
              <w:spacing w:before="0" w:beforeAutospacing="0" w:after="0" w:afterAutospacing="0" w:line="300" w:lineRule="atLeast"/>
              <w:ind w:left="0" w:right="0"/>
              <w:jc w:val="center"/>
              <w:rPr>
                <w:rFonts w:hint="eastAsia" w:ascii="宋体" w:hAnsi="宋体" w:eastAsia="宋体" w:cs="宋体"/>
                <w:kern w:val="2"/>
                <w:sz w:val="21"/>
                <w:szCs w:val="21"/>
              </w:rPr>
            </w:pPr>
          </w:p>
        </w:tc>
        <w:tc>
          <w:tcPr>
            <w:tcW w:w="1648" w:type="dxa"/>
            <w:vAlign w:val="center"/>
          </w:tcPr>
          <w:p>
            <w:pPr>
              <w:keepNext w:val="0"/>
              <w:keepLines w:val="0"/>
              <w:suppressLineNumbers w:val="0"/>
              <w:spacing w:before="0" w:beforeAutospacing="0" w:after="0" w:afterAutospacing="0" w:line="300" w:lineRule="atLeast"/>
              <w:ind w:left="0" w:right="0"/>
              <w:jc w:val="center"/>
              <w:rPr>
                <w:rFonts w:hint="eastAsia" w:ascii="宋体" w:hAnsi="宋体" w:eastAsia="宋体" w:cs="宋体"/>
                <w:kern w:val="2"/>
                <w:sz w:val="21"/>
                <w:szCs w:val="21"/>
              </w:rPr>
            </w:pPr>
            <w:r>
              <w:rPr>
                <w:rFonts w:hint="eastAsia" w:ascii="宋体" w:hAnsi="宋体" w:eastAsia="宋体" w:cs="宋体"/>
                <w:snapToGrid w:val="0"/>
                <w:kern w:val="2"/>
                <w:sz w:val="21"/>
                <w:szCs w:val="21"/>
              </w:rPr>
              <w:t>工艺管道系统评价子单元</w:t>
            </w:r>
          </w:p>
        </w:tc>
        <w:tc>
          <w:tcPr>
            <w:tcW w:w="1557" w:type="dxa"/>
            <w:vMerge w:val="continue"/>
            <w:vAlign w:val="center"/>
          </w:tcPr>
          <w:p>
            <w:pPr>
              <w:keepNext w:val="0"/>
              <w:keepLines w:val="0"/>
              <w:suppressLineNumbers w:val="0"/>
              <w:spacing w:before="0" w:beforeAutospacing="0" w:after="0" w:afterAutospacing="0" w:line="300" w:lineRule="atLeast"/>
              <w:ind w:left="0" w:right="0"/>
              <w:jc w:val="center"/>
              <w:rPr>
                <w:rFonts w:hint="eastAsia" w:ascii="宋体" w:hAnsi="宋体" w:eastAsia="宋体" w:cs="宋体"/>
                <w:kern w:val="2"/>
                <w:sz w:val="21"/>
                <w:szCs w:val="21"/>
              </w:rPr>
            </w:pPr>
          </w:p>
        </w:tc>
        <w:tc>
          <w:tcPr>
            <w:tcW w:w="4847" w:type="dxa"/>
            <w:vMerge w:val="continue"/>
            <w:vAlign w:val="center"/>
          </w:tcPr>
          <w:p>
            <w:pPr>
              <w:keepNext w:val="0"/>
              <w:keepLines w:val="0"/>
              <w:suppressLineNumbers w:val="0"/>
              <w:spacing w:before="0" w:beforeAutospacing="0" w:after="0" w:afterAutospacing="0" w:line="300" w:lineRule="atLeast"/>
              <w:ind w:left="0" w:right="0"/>
              <w:rPr>
                <w:rFonts w:hint="eastAsia" w:ascii="宋体" w:hAnsi="宋体" w:eastAsia="宋体" w:cs="宋体"/>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737" w:type="dxa"/>
            <w:vMerge w:val="continue"/>
            <w:vAlign w:val="center"/>
          </w:tcPr>
          <w:p>
            <w:pPr>
              <w:keepNext w:val="0"/>
              <w:keepLines w:val="0"/>
              <w:suppressLineNumbers w:val="0"/>
              <w:spacing w:before="0" w:beforeAutospacing="0" w:after="0" w:afterAutospacing="0" w:line="300" w:lineRule="atLeast"/>
              <w:ind w:left="0" w:right="0"/>
              <w:jc w:val="center"/>
              <w:rPr>
                <w:rFonts w:hint="eastAsia" w:ascii="宋体" w:hAnsi="宋体" w:eastAsia="宋体" w:cs="宋体"/>
                <w:kern w:val="2"/>
                <w:sz w:val="21"/>
                <w:szCs w:val="21"/>
              </w:rPr>
            </w:pPr>
          </w:p>
        </w:tc>
        <w:tc>
          <w:tcPr>
            <w:tcW w:w="808" w:type="dxa"/>
            <w:vMerge w:val="continue"/>
            <w:vAlign w:val="center"/>
          </w:tcPr>
          <w:p>
            <w:pPr>
              <w:keepNext w:val="0"/>
              <w:keepLines w:val="0"/>
              <w:suppressLineNumbers w:val="0"/>
              <w:spacing w:before="0" w:beforeAutospacing="0" w:after="0" w:afterAutospacing="0" w:line="300" w:lineRule="atLeast"/>
              <w:ind w:left="0" w:right="0"/>
              <w:jc w:val="center"/>
              <w:rPr>
                <w:rFonts w:hint="eastAsia" w:ascii="宋体" w:hAnsi="宋体" w:eastAsia="宋体" w:cs="宋体"/>
                <w:kern w:val="2"/>
                <w:sz w:val="21"/>
                <w:szCs w:val="21"/>
              </w:rPr>
            </w:pPr>
          </w:p>
        </w:tc>
        <w:tc>
          <w:tcPr>
            <w:tcW w:w="1648" w:type="dxa"/>
            <w:vAlign w:val="center"/>
          </w:tcPr>
          <w:p>
            <w:pPr>
              <w:keepNext w:val="0"/>
              <w:keepLines w:val="0"/>
              <w:suppressLineNumbers w:val="0"/>
              <w:spacing w:before="0" w:beforeAutospacing="0" w:after="0" w:afterAutospacing="0" w:line="300" w:lineRule="atLeast"/>
              <w:ind w:left="0" w:right="0"/>
              <w:jc w:val="center"/>
              <w:rPr>
                <w:rFonts w:hint="eastAsia" w:ascii="宋体" w:hAnsi="宋体" w:eastAsia="宋体" w:cs="宋体"/>
                <w:snapToGrid w:val="0"/>
                <w:kern w:val="2"/>
                <w:sz w:val="21"/>
                <w:szCs w:val="21"/>
              </w:rPr>
            </w:pPr>
            <w:r>
              <w:rPr>
                <w:rFonts w:hint="eastAsia" w:ascii="宋体" w:hAnsi="宋体" w:eastAsia="宋体" w:cs="宋体"/>
                <w:snapToGrid w:val="0"/>
                <w:kern w:val="2"/>
                <w:sz w:val="21"/>
                <w:szCs w:val="21"/>
              </w:rPr>
              <w:t>安全设施评价子单元</w:t>
            </w:r>
          </w:p>
        </w:tc>
        <w:tc>
          <w:tcPr>
            <w:tcW w:w="1557" w:type="dxa"/>
            <w:vMerge w:val="continue"/>
            <w:vAlign w:val="center"/>
          </w:tcPr>
          <w:p>
            <w:pPr>
              <w:keepNext w:val="0"/>
              <w:keepLines w:val="0"/>
              <w:suppressLineNumbers w:val="0"/>
              <w:spacing w:before="0" w:beforeAutospacing="0" w:after="0" w:afterAutospacing="0" w:line="300" w:lineRule="atLeast"/>
              <w:ind w:left="0" w:right="0"/>
              <w:jc w:val="center"/>
              <w:rPr>
                <w:rFonts w:hint="eastAsia" w:ascii="宋体" w:hAnsi="宋体" w:eastAsia="宋体" w:cs="宋体"/>
                <w:kern w:val="2"/>
                <w:sz w:val="21"/>
                <w:szCs w:val="21"/>
              </w:rPr>
            </w:pPr>
          </w:p>
        </w:tc>
        <w:tc>
          <w:tcPr>
            <w:tcW w:w="4847" w:type="dxa"/>
            <w:vMerge w:val="continue"/>
            <w:vAlign w:val="center"/>
          </w:tcPr>
          <w:p>
            <w:pPr>
              <w:keepNext w:val="0"/>
              <w:keepLines w:val="0"/>
              <w:suppressLineNumbers w:val="0"/>
              <w:spacing w:before="0" w:beforeAutospacing="0" w:after="0" w:afterAutospacing="0" w:line="300" w:lineRule="atLeast"/>
              <w:ind w:left="0" w:right="0"/>
              <w:rPr>
                <w:rFonts w:hint="eastAsia" w:ascii="宋体" w:hAnsi="宋体" w:eastAsia="宋体" w:cs="宋体"/>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0" w:hRule="atLeast"/>
          <w:jc w:val="center"/>
        </w:trPr>
        <w:tc>
          <w:tcPr>
            <w:tcW w:w="737" w:type="dxa"/>
            <w:vMerge w:val="restart"/>
            <w:vAlign w:val="center"/>
          </w:tcPr>
          <w:p>
            <w:pPr>
              <w:keepNext w:val="0"/>
              <w:keepLines w:val="0"/>
              <w:suppressLineNumbers w:val="0"/>
              <w:spacing w:before="0" w:beforeAutospacing="0" w:after="0" w:afterAutospacing="0" w:line="300" w:lineRule="atLeast"/>
              <w:ind w:left="0" w:right="0"/>
              <w:jc w:val="center"/>
              <w:rPr>
                <w:rFonts w:hint="eastAsia" w:ascii="宋体" w:hAnsi="宋体" w:eastAsia="宋体" w:cs="宋体"/>
                <w:snapToGrid w:val="0"/>
                <w:kern w:val="2"/>
                <w:sz w:val="21"/>
                <w:szCs w:val="21"/>
              </w:rPr>
            </w:pPr>
            <w:r>
              <w:rPr>
                <w:rFonts w:hint="eastAsia" w:ascii="宋体" w:hAnsi="宋体" w:eastAsia="宋体" w:cs="宋体"/>
                <w:snapToGrid w:val="0"/>
                <w:kern w:val="2"/>
                <w:sz w:val="21"/>
                <w:szCs w:val="21"/>
              </w:rPr>
              <w:t>4</w:t>
            </w:r>
          </w:p>
        </w:tc>
        <w:tc>
          <w:tcPr>
            <w:tcW w:w="808" w:type="dxa"/>
            <w:vMerge w:val="restart"/>
            <w:vAlign w:val="center"/>
          </w:tcPr>
          <w:p>
            <w:pPr>
              <w:keepNext w:val="0"/>
              <w:keepLines w:val="0"/>
              <w:suppressLineNumbers w:val="0"/>
              <w:spacing w:before="0" w:beforeAutospacing="0" w:after="0" w:afterAutospacing="0" w:line="300" w:lineRule="atLeast"/>
              <w:ind w:left="0" w:right="0"/>
              <w:jc w:val="center"/>
              <w:rPr>
                <w:rFonts w:hint="eastAsia" w:ascii="宋体" w:hAnsi="宋体" w:eastAsia="宋体" w:cs="宋体"/>
                <w:kern w:val="2"/>
                <w:sz w:val="21"/>
                <w:szCs w:val="21"/>
              </w:rPr>
            </w:pPr>
            <w:r>
              <w:rPr>
                <w:rFonts w:hint="eastAsia" w:ascii="宋体" w:hAnsi="宋体" w:eastAsia="宋体" w:cs="宋体"/>
                <w:snapToGrid w:val="0"/>
                <w:kern w:val="2"/>
                <w:sz w:val="21"/>
                <w:szCs w:val="21"/>
              </w:rPr>
              <w:t>公用工程评价单元</w:t>
            </w:r>
          </w:p>
        </w:tc>
        <w:tc>
          <w:tcPr>
            <w:tcW w:w="1648" w:type="dxa"/>
            <w:vAlign w:val="center"/>
          </w:tcPr>
          <w:p>
            <w:pPr>
              <w:keepNext w:val="0"/>
              <w:keepLines w:val="0"/>
              <w:suppressLineNumbers w:val="0"/>
              <w:spacing w:before="0" w:beforeAutospacing="0" w:after="0" w:afterAutospacing="0" w:line="300" w:lineRule="atLeast"/>
              <w:ind w:left="0" w:right="0"/>
              <w:jc w:val="center"/>
              <w:rPr>
                <w:rFonts w:hint="eastAsia" w:ascii="宋体" w:hAnsi="宋体" w:eastAsia="宋体" w:cs="宋体"/>
                <w:snapToGrid w:val="0"/>
                <w:kern w:val="2"/>
                <w:sz w:val="21"/>
                <w:szCs w:val="21"/>
              </w:rPr>
            </w:pPr>
            <w:r>
              <w:rPr>
                <w:rFonts w:hint="eastAsia" w:ascii="宋体" w:hAnsi="宋体" w:eastAsia="宋体" w:cs="宋体"/>
                <w:snapToGrid w:val="0"/>
                <w:kern w:val="2"/>
                <w:sz w:val="21"/>
                <w:szCs w:val="21"/>
              </w:rPr>
              <w:t>电气装置评价子单元</w:t>
            </w:r>
          </w:p>
        </w:tc>
        <w:tc>
          <w:tcPr>
            <w:tcW w:w="1557" w:type="dxa"/>
            <w:vAlign w:val="center"/>
          </w:tcPr>
          <w:p>
            <w:pPr>
              <w:keepNext w:val="0"/>
              <w:keepLines w:val="0"/>
              <w:suppressLineNumbers w:val="0"/>
              <w:spacing w:before="0" w:beforeAutospacing="0" w:after="0" w:afterAutospacing="0" w:line="300" w:lineRule="atLeas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安全检查表法</w:t>
            </w:r>
          </w:p>
        </w:tc>
        <w:tc>
          <w:tcPr>
            <w:tcW w:w="4847" w:type="dxa"/>
            <w:vAlign w:val="center"/>
          </w:tcPr>
          <w:p>
            <w:pPr>
              <w:keepNext w:val="0"/>
              <w:keepLines w:val="0"/>
              <w:suppressLineNumbers w:val="0"/>
              <w:spacing w:before="0" w:beforeAutospacing="0" w:after="0" w:afterAutospacing="0" w:line="300" w:lineRule="atLeast"/>
              <w:ind w:left="0" w:right="0"/>
              <w:rPr>
                <w:rFonts w:hint="eastAsia" w:ascii="宋体" w:hAnsi="宋体" w:eastAsia="宋体" w:cs="宋体"/>
                <w:kern w:val="2"/>
                <w:sz w:val="21"/>
                <w:szCs w:val="21"/>
              </w:rPr>
            </w:pPr>
            <w:r>
              <w:rPr>
                <w:rFonts w:hint="eastAsia" w:ascii="宋体" w:hAnsi="宋体" w:eastAsia="宋体" w:cs="宋体"/>
                <w:kern w:val="2"/>
                <w:sz w:val="21"/>
                <w:szCs w:val="21"/>
              </w:rPr>
              <w:t>依据有关法规、标准在检查表中列出了检查要求，使检查工作标准化、规范化，验证</w:t>
            </w:r>
            <w:r>
              <w:rPr>
                <w:rFonts w:hint="eastAsia" w:ascii="宋体" w:hAnsi="宋体" w:eastAsia="宋体" w:cs="宋体"/>
                <w:snapToGrid w:val="0"/>
                <w:kern w:val="2"/>
                <w:sz w:val="21"/>
                <w:szCs w:val="21"/>
              </w:rPr>
              <w:t>电气及防雷防静电装置设置情况</w:t>
            </w:r>
            <w:r>
              <w:rPr>
                <w:rFonts w:hint="eastAsia" w:ascii="宋体" w:hAnsi="宋体" w:eastAsia="宋体" w:cs="宋体"/>
                <w:kern w:val="2"/>
                <w:sz w:val="21"/>
                <w:szCs w:val="21"/>
              </w:rPr>
              <w:t>与国家法律法规、标准规范的符合性。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jc w:val="center"/>
        </w:trPr>
        <w:tc>
          <w:tcPr>
            <w:tcW w:w="737" w:type="dxa"/>
            <w:vMerge w:val="continue"/>
            <w:vAlign w:val="center"/>
          </w:tcPr>
          <w:p>
            <w:pPr>
              <w:keepNext w:val="0"/>
              <w:keepLines w:val="0"/>
              <w:suppressLineNumbers w:val="0"/>
              <w:spacing w:before="0" w:beforeAutospacing="0" w:after="0" w:afterAutospacing="0" w:line="300" w:lineRule="atLeast"/>
              <w:ind w:left="0" w:right="0"/>
              <w:jc w:val="center"/>
              <w:rPr>
                <w:rFonts w:hint="eastAsia" w:ascii="宋体" w:hAnsi="宋体" w:eastAsia="宋体" w:cs="宋体"/>
                <w:kern w:val="2"/>
                <w:sz w:val="21"/>
                <w:szCs w:val="21"/>
              </w:rPr>
            </w:pPr>
          </w:p>
        </w:tc>
        <w:tc>
          <w:tcPr>
            <w:tcW w:w="808" w:type="dxa"/>
            <w:vMerge w:val="continue"/>
            <w:vAlign w:val="center"/>
          </w:tcPr>
          <w:p>
            <w:pPr>
              <w:keepNext w:val="0"/>
              <w:keepLines w:val="0"/>
              <w:suppressLineNumbers w:val="0"/>
              <w:spacing w:before="0" w:beforeAutospacing="0" w:after="0" w:afterAutospacing="0" w:line="300" w:lineRule="atLeast"/>
              <w:ind w:left="0" w:right="0"/>
              <w:jc w:val="center"/>
              <w:rPr>
                <w:rFonts w:hint="eastAsia" w:ascii="宋体" w:hAnsi="宋体" w:eastAsia="宋体" w:cs="宋体"/>
                <w:kern w:val="2"/>
                <w:sz w:val="21"/>
                <w:szCs w:val="21"/>
              </w:rPr>
            </w:pPr>
          </w:p>
        </w:tc>
        <w:tc>
          <w:tcPr>
            <w:tcW w:w="1648" w:type="dxa"/>
            <w:vAlign w:val="center"/>
          </w:tcPr>
          <w:p>
            <w:pPr>
              <w:keepNext w:val="0"/>
              <w:keepLines w:val="0"/>
              <w:suppressLineNumbers w:val="0"/>
              <w:spacing w:before="0" w:beforeAutospacing="0" w:after="0" w:afterAutospacing="0" w:line="300" w:lineRule="atLeast"/>
              <w:ind w:left="0" w:right="0"/>
              <w:jc w:val="center"/>
              <w:rPr>
                <w:rFonts w:hint="eastAsia" w:ascii="宋体" w:hAnsi="宋体" w:eastAsia="宋体" w:cs="宋体"/>
                <w:snapToGrid w:val="0"/>
                <w:kern w:val="2"/>
                <w:sz w:val="21"/>
                <w:szCs w:val="21"/>
              </w:rPr>
            </w:pPr>
            <w:r>
              <w:rPr>
                <w:rFonts w:hint="eastAsia" w:ascii="宋体" w:hAnsi="宋体" w:eastAsia="宋体" w:cs="宋体"/>
                <w:snapToGrid w:val="0"/>
                <w:kern w:val="2"/>
                <w:sz w:val="21"/>
                <w:szCs w:val="21"/>
              </w:rPr>
              <w:t>消防设施及给排水评价子单元</w:t>
            </w:r>
          </w:p>
        </w:tc>
        <w:tc>
          <w:tcPr>
            <w:tcW w:w="1557" w:type="dxa"/>
            <w:vAlign w:val="center"/>
          </w:tcPr>
          <w:p>
            <w:pPr>
              <w:keepNext w:val="0"/>
              <w:keepLines w:val="0"/>
              <w:suppressLineNumbers w:val="0"/>
              <w:spacing w:before="0" w:beforeAutospacing="0" w:after="0" w:afterAutospacing="0" w:line="300" w:lineRule="atLeas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安全检查表法</w:t>
            </w:r>
          </w:p>
        </w:tc>
        <w:tc>
          <w:tcPr>
            <w:tcW w:w="4847" w:type="dxa"/>
            <w:vAlign w:val="center"/>
          </w:tcPr>
          <w:p>
            <w:pPr>
              <w:keepNext w:val="0"/>
              <w:keepLines w:val="0"/>
              <w:suppressLineNumbers w:val="0"/>
              <w:spacing w:before="0" w:beforeAutospacing="0" w:after="0" w:afterAutospacing="0" w:line="300" w:lineRule="atLeast"/>
              <w:ind w:left="0" w:right="0"/>
              <w:rPr>
                <w:rFonts w:hint="eastAsia" w:ascii="宋体" w:hAnsi="宋体" w:eastAsia="宋体" w:cs="宋体"/>
                <w:kern w:val="2"/>
                <w:sz w:val="21"/>
                <w:szCs w:val="21"/>
              </w:rPr>
            </w:pPr>
            <w:r>
              <w:rPr>
                <w:rFonts w:hint="eastAsia" w:ascii="宋体" w:hAnsi="宋体" w:eastAsia="宋体" w:cs="宋体"/>
                <w:kern w:val="2"/>
                <w:sz w:val="21"/>
                <w:szCs w:val="21"/>
              </w:rPr>
              <w:t>依据有关法规、标准在检查表中列出了检查要求，使检查工作标准化、规范化，验证消防设施及给排水</w:t>
            </w:r>
            <w:r>
              <w:rPr>
                <w:rFonts w:hint="eastAsia" w:ascii="宋体" w:hAnsi="宋体" w:eastAsia="宋体" w:cs="宋体"/>
                <w:snapToGrid w:val="0"/>
                <w:kern w:val="2"/>
                <w:sz w:val="21"/>
                <w:szCs w:val="21"/>
              </w:rPr>
              <w:t>设置情况</w:t>
            </w:r>
            <w:r>
              <w:rPr>
                <w:rFonts w:hint="eastAsia" w:ascii="宋体" w:hAnsi="宋体" w:eastAsia="宋体" w:cs="宋体"/>
                <w:kern w:val="2"/>
                <w:sz w:val="21"/>
                <w:szCs w:val="21"/>
              </w:rPr>
              <w:t>与国家法律法规、标准规范的符合性。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9" w:hRule="atLeast"/>
          <w:jc w:val="center"/>
        </w:trPr>
        <w:tc>
          <w:tcPr>
            <w:tcW w:w="737" w:type="dxa"/>
            <w:vMerge w:val="continue"/>
            <w:vAlign w:val="center"/>
          </w:tcPr>
          <w:p>
            <w:pPr>
              <w:keepNext w:val="0"/>
              <w:keepLines w:val="0"/>
              <w:suppressLineNumbers w:val="0"/>
              <w:spacing w:before="0" w:beforeAutospacing="0" w:after="0" w:afterAutospacing="0" w:line="300" w:lineRule="atLeast"/>
              <w:ind w:left="0" w:right="0"/>
              <w:jc w:val="center"/>
              <w:rPr>
                <w:rFonts w:hint="eastAsia" w:ascii="宋体" w:hAnsi="宋体" w:eastAsia="宋体" w:cs="宋体"/>
                <w:kern w:val="2"/>
                <w:sz w:val="21"/>
                <w:szCs w:val="21"/>
              </w:rPr>
            </w:pPr>
          </w:p>
        </w:tc>
        <w:tc>
          <w:tcPr>
            <w:tcW w:w="808" w:type="dxa"/>
            <w:vMerge w:val="continue"/>
            <w:vAlign w:val="center"/>
          </w:tcPr>
          <w:p>
            <w:pPr>
              <w:keepNext w:val="0"/>
              <w:keepLines w:val="0"/>
              <w:suppressLineNumbers w:val="0"/>
              <w:spacing w:before="0" w:beforeAutospacing="0" w:after="0" w:afterAutospacing="0" w:line="300" w:lineRule="atLeast"/>
              <w:ind w:left="0" w:right="0"/>
              <w:jc w:val="center"/>
              <w:rPr>
                <w:rFonts w:hint="eastAsia" w:ascii="宋体" w:hAnsi="宋体" w:eastAsia="宋体" w:cs="宋体"/>
                <w:kern w:val="2"/>
                <w:sz w:val="21"/>
                <w:szCs w:val="21"/>
              </w:rPr>
            </w:pPr>
          </w:p>
        </w:tc>
        <w:tc>
          <w:tcPr>
            <w:tcW w:w="1648" w:type="dxa"/>
            <w:vAlign w:val="center"/>
          </w:tcPr>
          <w:p>
            <w:pPr>
              <w:keepNext w:val="0"/>
              <w:keepLines w:val="0"/>
              <w:suppressLineNumbers w:val="0"/>
              <w:spacing w:before="0" w:beforeAutospacing="0" w:after="0" w:afterAutospacing="0" w:line="300" w:lineRule="atLeast"/>
              <w:ind w:left="0" w:right="0"/>
              <w:jc w:val="center"/>
              <w:rPr>
                <w:rFonts w:hint="eastAsia" w:ascii="宋体" w:hAnsi="宋体" w:eastAsia="宋体" w:cs="宋体"/>
                <w:snapToGrid w:val="0"/>
                <w:kern w:val="2"/>
                <w:sz w:val="21"/>
                <w:szCs w:val="21"/>
              </w:rPr>
            </w:pPr>
            <w:r>
              <w:rPr>
                <w:rFonts w:hint="eastAsia" w:ascii="宋体" w:hAnsi="宋体" w:eastAsia="宋体" w:cs="宋体"/>
                <w:snapToGrid w:val="0"/>
                <w:kern w:val="2"/>
                <w:sz w:val="21"/>
                <w:szCs w:val="21"/>
              </w:rPr>
              <w:t>安防监控评价子单元</w:t>
            </w:r>
          </w:p>
        </w:tc>
        <w:tc>
          <w:tcPr>
            <w:tcW w:w="1557" w:type="dxa"/>
            <w:vAlign w:val="center"/>
          </w:tcPr>
          <w:p>
            <w:pPr>
              <w:keepNext w:val="0"/>
              <w:keepLines w:val="0"/>
              <w:suppressLineNumbers w:val="0"/>
              <w:spacing w:before="0" w:beforeAutospacing="0" w:after="0" w:afterAutospacing="0" w:line="300" w:lineRule="atLeas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安全检查表法</w:t>
            </w:r>
          </w:p>
        </w:tc>
        <w:tc>
          <w:tcPr>
            <w:tcW w:w="4847" w:type="dxa"/>
            <w:vAlign w:val="center"/>
          </w:tcPr>
          <w:p>
            <w:pPr>
              <w:keepNext w:val="0"/>
              <w:keepLines w:val="0"/>
              <w:suppressLineNumbers w:val="0"/>
              <w:spacing w:before="0" w:beforeAutospacing="0" w:after="0" w:afterAutospacing="0" w:line="300" w:lineRule="atLeast"/>
              <w:ind w:left="0" w:right="0"/>
              <w:rPr>
                <w:rFonts w:hint="eastAsia" w:ascii="宋体" w:hAnsi="宋体" w:eastAsia="宋体" w:cs="宋体"/>
                <w:kern w:val="2"/>
                <w:sz w:val="21"/>
                <w:szCs w:val="21"/>
              </w:rPr>
            </w:pPr>
            <w:r>
              <w:rPr>
                <w:rFonts w:hint="eastAsia" w:ascii="宋体" w:hAnsi="宋体" w:eastAsia="宋体" w:cs="宋体"/>
                <w:kern w:val="2"/>
                <w:sz w:val="21"/>
                <w:szCs w:val="21"/>
              </w:rPr>
              <w:t>依据有关法规、标准在检查表中列出了检查要求，使检查工作标准化、规范化，验证安防监控系统</w:t>
            </w:r>
            <w:r>
              <w:rPr>
                <w:rFonts w:hint="eastAsia" w:ascii="宋体" w:hAnsi="宋体" w:eastAsia="宋体" w:cs="宋体"/>
                <w:snapToGrid w:val="0"/>
                <w:kern w:val="2"/>
                <w:sz w:val="21"/>
                <w:szCs w:val="21"/>
              </w:rPr>
              <w:t>情况</w:t>
            </w:r>
            <w:r>
              <w:rPr>
                <w:rFonts w:hint="eastAsia" w:ascii="宋体" w:hAnsi="宋体" w:eastAsia="宋体" w:cs="宋体"/>
                <w:kern w:val="2"/>
                <w:sz w:val="21"/>
                <w:szCs w:val="21"/>
              </w:rPr>
              <w:t>与国家法律法规、标准规范的符合性。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jc w:val="center"/>
        </w:trPr>
        <w:tc>
          <w:tcPr>
            <w:tcW w:w="737" w:type="dxa"/>
            <w:vAlign w:val="center"/>
          </w:tcPr>
          <w:p>
            <w:pPr>
              <w:keepNext w:val="0"/>
              <w:keepLines w:val="0"/>
              <w:suppressLineNumbers w:val="0"/>
              <w:spacing w:before="0" w:beforeAutospacing="0" w:after="0" w:afterAutospacing="0" w:line="300" w:lineRule="atLeas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5</w:t>
            </w:r>
          </w:p>
        </w:tc>
        <w:tc>
          <w:tcPr>
            <w:tcW w:w="2456" w:type="dxa"/>
            <w:gridSpan w:val="2"/>
            <w:vAlign w:val="center"/>
          </w:tcPr>
          <w:p>
            <w:pPr>
              <w:keepNext w:val="0"/>
              <w:keepLines w:val="0"/>
              <w:suppressLineNumbers w:val="0"/>
              <w:spacing w:before="0" w:beforeAutospacing="0" w:after="0" w:afterAutospacing="0" w:line="300" w:lineRule="atLeas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安全管理</w:t>
            </w:r>
          </w:p>
          <w:p>
            <w:pPr>
              <w:keepNext w:val="0"/>
              <w:keepLines w:val="0"/>
              <w:suppressLineNumbers w:val="0"/>
              <w:spacing w:before="0" w:beforeAutospacing="0" w:after="0" w:afterAutospacing="0" w:line="300" w:lineRule="atLeas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评价单元</w:t>
            </w:r>
          </w:p>
        </w:tc>
        <w:tc>
          <w:tcPr>
            <w:tcW w:w="1557" w:type="dxa"/>
            <w:vAlign w:val="center"/>
          </w:tcPr>
          <w:p>
            <w:pPr>
              <w:keepNext w:val="0"/>
              <w:keepLines w:val="0"/>
              <w:suppressLineNumbers w:val="0"/>
              <w:spacing w:before="0" w:beforeAutospacing="0" w:after="0" w:afterAutospacing="0" w:line="300" w:lineRule="atLeas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安全检查表法</w:t>
            </w:r>
          </w:p>
        </w:tc>
        <w:tc>
          <w:tcPr>
            <w:tcW w:w="4847" w:type="dxa"/>
            <w:vAlign w:val="center"/>
          </w:tcPr>
          <w:p>
            <w:pPr>
              <w:keepNext w:val="0"/>
              <w:keepLines w:val="0"/>
              <w:suppressLineNumbers w:val="0"/>
              <w:spacing w:before="0" w:beforeAutospacing="0" w:after="0" w:afterAutospacing="0" w:line="300" w:lineRule="atLeast"/>
              <w:ind w:left="0" w:right="0"/>
              <w:rPr>
                <w:rFonts w:hint="eastAsia" w:ascii="宋体" w:hAnsi="宋体" w:eastAsia="宋体" w:cs="宋体"/>
                <w:kern w:val="2"/>
                <w:sz w:val="21"/>
                <w:szCs w:val="21"/>
              </w:rPr>
            </w:pPr>
            <w:r>
              <w:rPr>
                <w:rFonts w:hint="eastAsia" w:ascii="宋体" w:hAnsi="宋体" w:eastAsia="宋体" w:cs="宋体"/>
                <w:kern w:val="2"/>
                <w:sz w:val="21"/>
                <w:szCs w:val="21"/>
              </w:rPr>
              <w:t>依据有关法规、标准在检查表中列出了检查要求，使检查工作标准化、规范化，验证安全管理与国家法律法规、标准规范的符合性。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 w:hRule="atLeast"/>
          <w:jc w:val="center"/>
        </w:trPr>
        <w:tc>
          <w:tcPr>
            <w:tcW w:w="737" w:type="dxa"/>
            <w:vAlign w:val="center"/>
          </w:tcPr>
          <w:p>
            <w:pPr>
              <w:keepNext w:val="0"/>
              <w:keepLines w:val="0"/>
              <w:suppressLineNumbers w:val="0"/>
              <w:spacing w:before="0" w:beforeAutospacing="0" w:after="0" w:afterAutospacing="0" w:line="300" w:lineRule="atLeas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6</w:t>
            </w:r>
          </w:p>
        </w:tc>
        <w:tc>
          <w:tcPr>
            <w:tcW w:w="2456" w:type="dxa"/>
            <w:gridSpan w:val="2"/>
            <w:vAlign w:val="center"/>
          </w:tcPr>
          <w:p>
            <w:pPr>
              <w:keepNext w:val="0"/>
              <w:keepLines w:val="0"/>
              <w:suppressLineNumbers w:val="0"/>
              <w:spacing w:before="0" w:beforeAutospacing="0" w:after="0" w:afterAutospacing="0" w:line="300" w:lineRule="atLeas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“三同时”符合性评价单元</w:t>
            </w:r>
          </w:p>
        </w:tc>
        <w:tc>
          <w:tcPr>
            <w:tcW w:w="1557" w:type="dxa"/>
            <w:vAlign w:val="center"/>
          </w:tcPr>
          <w:p>
            <w:pPr>
              <w:keepNext w:val="0"/>
              <w:keepLines w:val="0"/>
              <w:suppressLineNumbers w:val="0"/>
              <w:spacing w:before="0" w:beforeAutospacing="0" w:after="0" w:afterAutospacing="0" w:line="300" w:lineRule="atLeas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安全检查表法</w:t>
            </w:r>
          </w:p>
        </w:tc>
        <w:tc>
          <w:tcPr>
            <w:tcW w:w="4847" w:type="dxa"/>
            <w:vAlign w:val="center"/>
          </w:tcPr>
          <w:p>
            <w:pPr>
              <w:keepNext w:val="0"/>
              <w:keepLines w:val="0"/>
              <w:suppressLineNumbers w:val="0"/>
              <w:spacing w:before="0" w:beforeAutospacing="0" w:after="0" w:afterAutospacing="0" w:line="300" w:lineRule="atLeast"/>
              <w:ind w:left="0" w:right="0"/>
              <w:rPr>
                <w:rFonts w:hint="eastAsia" w:ascii="宋体" w:hAnsi="宋体" w:eastAsia="宋体" w:cs="宋体"/>
                <w:kern w:val="2"/>
                <w:sz w:val="21"/>
                <w:szCs w:val="21"/>
              </w:rPr>
            </w:pPr>
            <w:r>
              <w:rPr>
                <w:rFonts w:hint="eastAsia" w:ascii="宋体" w:hAnsi="宋体" w:eastAsia="宋体" w:cs="宋体"/>
                <w:kern w:val="2"/>
                <w:sz w:val="21"/>
                <w:szCs w:val="21"/>
              </w:rPr>
              <w:t>依据有关法律法规在检查表中列出了检查要求，使检查工作标准化、规范化，验证加油站建设程序及安全设施三同时手续与国家法律、法规的符合性。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 w:hRule="atLeast"/>
          <w:jc w:val="center"/>
        </w:trPr>
        <w:tc>
          <w:tcPr>
            <w:tcW w:w="737" w:type="dxa"/>
            <w:vAlign w:val="center"/>
          </w:tcPr>
          <w:p>
            <w:pPr>
              <w:keepNext w:val="0"/>
              <w:keepLines w:val="0"/>
              <w:suppressLineNumbers w:val="0"/>
              <w:spacing w:before="0" w:beforeAutospacing="0" w:after="0" w:afterAutospacing="0" w:line="300" w:lineRule="atLeas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7</w:t>
            </w:r>
          </w:p>
        </w:tc>
        <w:tc>
          <w:tcPr>
            <w:tcW w:w="2456" w:type="dxa"/>
            <w:gridSpan w:val="2"/>
            <w:vAlign w:val="center"/>
          </w:tcPr>
          <w:p>
            <w:pPr>
              <w:keepNext w:val="0"/>
              <w:keepLines w:val="0"/>
              <w:suppressLineNumbers w:val="0"/>
              <w:spacing w:before="0" w:beforeAutospacing="0" w:after="0" w:afterAutospacing="0" w:line="300" w:lineRule="atLeast"/>
              <w:ind w:left="0" w:right="0"/>
              <w:rPr>
                <w:rFonts w:hint="eastAsia" w:ascii="宋体" w:hAnsi="宋体" w:eastAsia="宋体" w:cs="宋体"/>
                <w:kern w:val="2"/>
                <w:sz w:val="21"/>
                <w:szCs w:val="21"/>
              </w:rPr>
            </w:pPr>
            <w:r>
              <w:rPr>
                <w:rFonts w:hint="eastAsia" w:ascii="宋体" w:hAnsi="宋体" w:eastAsia="宋体" w:cs="宋体"/>
                <w:kern w:val="2"/>
                <w:sz w:val="21"/>
                <w:szCs w:val="21"/>
              </w:rPr>
              <w:t>重大生产安全事故隐患评价单元</w:t>
            </w:r>
          </w:p>
        </w:tc>
        <w:tc>
          <w:tcPr>
            <w:tcW w:w="1557" w:type="dxa"/>
            <w:vAlign w:val="center"/>
          </w:tcPr>
          <w:p>
            <w:pPr>
              <w:keepNext w:val="0"/>
              <w:keepLines w:val="0"/>
              <w:suppressLineNumbers w:val="0"/>
              <w:spacing w:before="0" w:beforeAutospacing="0" w:after="0" w:afterAutospacing="0" w:line="300" w:lineRule="atLeast"/>
              <w:ind w:left="0" w:right="0"/>
              <w:rPr>
                <w:rFonts w:hint="eastAsia" w:ascii="宋体" w:hAnsi="宋体" w:eastAsia="宋体" w:cs="宋体"/>
                <w:kern w:val="2"/>
                <w:sz w:val="21"/>
                <w:szCs w:val="21"/>
              </w:rPr>
            </w:pPr>
            <w:r>
              <w:rPr>
                <w:rFonts w:hint="eastAsia" w:ascii="宋体" w:hAnsi="宋体" w:eastAsia="宋体" w:cs="宋体"/>
                <w:kern w:val="2"/>
                <w:sz w:val="21"/>
                <w:szCs w:val="21"/>
              </w:rPr>
              <w:t>安全检查表法</w:t>
            </w:r>
          </w:p>
        </w:tc>
        <w:tc>
          <w:tcPr>
            <w:tcW w:w="4847" w:type="dxa"/>
            <w:vAlign w:val="center"/>
          </w:tcPr>
          <w:p>
            <w:pPr>
              <w:keepNext w:val="0"/>
              <w:keepLines w:val="0"/>
              <w:suppressLineNumbers w:val="0"/>
              <w:spacing w:before="0" w:beforeAutospacing="0" w:after="0" w:afterAutospacing="0" w:line="300" w:lineRule="atLeast"/>
              <w:ind w:left="0" w:right="0"/>
              <w:rPr>
                <w:rFonts w:hint="eastAsia" w:ascii="宋体" w:hAnsi="宋体" w:eastAsia="宋体" w:cs="宋体"/>
                <w:kern w:val="2"/>
                <w:sz w:val="21"/>
                <w:szCs w:val="21"/>
              </w:rPr>
            </w:pPr>
            <w:r>
              <w:rPr>
                <w:rFonts w:hint="eastAsia" w:ascii="宋体" w:hAnsi="宋体" w:eastAsia="宋体" w:cs="宋体"/>
                <w:kern w:val="2"/>
                <w:sz w:val="21"/>
                <w:szCs w:val="21"/>
              </w:rPr>
              <w:t>依据有关法规、标准在检查表中列出了检查要求，使检查工作标准化、规范化，验证该加油站是否存在化工和危险化学品生产经营单位重大生产安全事故隐患。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3" w:hRule="atLeast"/>
          <w:jc w:val="center"/>
        </w:trPr>
        <w:tc>
          <w:tcPr>
            <w:tcW w:w="737" w:type="dxa"/>
            <w:vAlign w:val="center"/>
          </w:tcPr>
          <w:p>
            <w:pPr>
              <w:keepNext w:val="0"/>
              <w:keepLines w:val="0"/>
              <w:suppressLineNumbers w:val="0"/>
              <w:spacing w:before="0" w:beforeAutospacing="0" w:after="0" w:afterAutospacing="0" w:line="300" w:lineRule="atLeas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8</w:t>
            </w:r>
          </w:p>
        </w:tc>
        <w:tc>
          <w:tcPr>
            <w:tcW w:w="2456" w:type="dxa"/>
            <w:gridSpan w:val="2"/>
            <w:vAlign w:val="center"/>
          </w:tcPr>
          <w:p>
            <w:pPr>
              <w:keepNext w:val="0"/>
              <w:keepLines w:val="0"/>
              <w:suppressLineNumbers w:val="0"/>
              <w:spacing w:before="0" w:beforeAutospacing="0" w:after="0" w:afterAutospacing="0" w:line="300" w:lineRule="atLeast"/>
              <w:ind w:left="0" w:right="0"/>
              <w:rPr>
                <w:rFonts w:hint="eastAsia" w:ascii="宋体" w:hAnsi="宋体" w:eastAsia="宋体" w:cs="宋体"/>
                <w:kern w:val="2"/>
                <w:sz w:val="21"/>
                <w:szCs w:val="21"/>
              </w:rPr>
            </w:pPr>
            <w:r>
              <w:rPr>
                <w:rFonts w:hint="eastAsia" w:ascii="宋体" w:hAnsi="宋体" w:eastAsia="宋体" w:cs="宋体"/>
                <w:kern w:val="2"/>
                <w:sz w:val="21"/>
                <w:szCs w:val="21"/>
              </w:rPr>
              <w:t>风险点危险源评价单元</w:t>
            </w:r>
          </w:p>
        </w:tc>
        <w:tc>
          <w:tcPr>
            <w:tcW w:w="1557" w:type="dxa"/>
            <w:vAlign w:val="center"/>
          </w:tcPr>
          <w:p>
            <w:pPr>
              <w:keepNext w:val="0"/>
              <w:keepLines w:val="0"/>
              <w:suppressLineNumbers w:val="0"/>
              <w:spacing w:before="0" w:beforeAutospacing="0" w:after="0" w:afterAutospacing="0" w:line="300" w:lineRule="atLeast"/>
              <w:ind w:left="0" w:right="0"/>
              <w:rPr>
                <w:rFonts w:hint="eastAsia" w:ascii="宋体" w:hAnsi="宋体" w:eastAsia="宋体" w:cs="宋体"/>
                <w:kern w:val="2"/>
                <w:sz w:val="21"/>
                <w:szCs w:val="21"/>
              </w:rPr>
            </w:pPr>
            <w:r>
              <w:rPr>
                <w:rFonts w:hint="eastAsia" w:ascii="宋体" w:hAnsi="宋体" w:eastAsia="宋体" w:cs="宋体"/>
                <w:kern w:val="2"/>
                <w:sz w:val="21"/>
                <w:szCs w:val="21"/>
              </w:rPr>
              <w:t>安全检查表法</w:t>
            </w:r>
          </w:p>
        </w:tc>
        <w:tc>
          <w:tcPr>
            <w:tcW w:w="4847" w:type="dxa"/>
            <w:vAlign w:val="center"/>
          </w:tcPr>
          <w:p>
            <w:pPr>
              <w:keepNext w:val="0"/>
              <w:keepLines w:val="0"/>
              <w:suppressLineNumbers w:val="0"/>
              <w:spacing w:before="0" w:beforeAutospacing="0" w:after="0" w:afterAutospacing="0" w:line="300" w:lineRule="atLeast"/>
              <w:ind w:left="0" w:right="0"/>
              <w:rPr>
                <w:rFonts w:hint="eastAsia" w:ascii="宋体" w:hAnsi="宋体" w:eastAsia="宋体" w:cs="宋体"/>
                <w:kern w:val="2"/>
                <w:sz w:val="21"/>
                <w:szCs w:val="21"/>
              </w:rPr>
            </w:pPr>
            <w:r>
              <w:rPr>
                <w:rFonts w:hint="eastAsia" w:ascii="宋体" w:hAnsi="宋体" w:eastAsia="宋体" w:cs="宋体"/>
                <w:kern w:val="2"/>
                <w:sz w:val="21"/>
                <w:szCs w:val="21"/>
              </w:rPr>
              <w:t>依据有关法规、标准在检查表中列出了检查要求，使检查工作标准化、规范化，分析判断该加油站安全风险评估诊断等级。</w:t>
            </w:r>
          </w:p>
        </w:tc>
      </w:tr>
    </w:tbl>
    <w:p>
      <w:pPr>
        <w:rPr>
          <w:rFonts w:hint="eastAsia" w:ascii="宋体" w:hAnsi="宋体" w:eastAsia="宋体" w:cs="宋体"/>
        </w:rPr>
      </w:pPr>
      <w:bookmarkStart w:id="405" w:name="_Toc17456_WPSOffice_Level1"/>
      <w:bookmarkStart w:id="406" w:name="_Toc23218"/>
      <w:bookmarkStart w:id="407" w:name="_Toc12057"/>
      <w:bookmarkStart w:id="408" w:name="_Toc27989_WPSOffice_Level1"/>
      <w:bookmarkStart w:id="409" w:name="_Toc25593_WPSOffice_Level1"/>
      <w:r>
        <w:rPr>
          <w:rFonts w:hint="eastAsia" w:ascii="宋体" w:hAnsi="宋体" w:eastAsia="宋体" w:cs="宋体"/>
        </w:rPr>
        <w:br w:type="page"/>
      </w:r>
    </w:p>
    <w:p>
      <w:pPr>
        <w:pStyle w:val="2"/>
        <w:spacing w:before="240" w:beforeLines="100" w:after="240" w:afterLines="100"/>
        <w:jc w:val="center"/>
        <w:rPr>
          <w:rFonts w:hint="eastAsia" w:ascii="宋体" w:hAnsi="宋体" w:eastAsia="宋体" w:cs="宋体"/>
        </w:rPr>
      </w:pPr>
      <w:bookmarkStart w:id="410" w:name="_Toc14735"/>
      <w:r>
        <w:rPr>
          <w:rFonts w:hint="eastAsia" w:ascii="宋体" w:hAnsi="宋体" w:eastAsia="宋体" w:cs="宋体"/>
        </w:rPr>
        <w:t>5 定性、定量分析危险、有害程度的结果</w:t>
      </w:r>
      <w:bookmarkEnd w:id="405"/>
      <w:bookmarkEnd w:id="406"/>
      <w:bookmarkEnd w:id="407"/>
      <w:bookmarkEnd w:id="408"/>
      <w:bookmarkEnd w:id="409"/>
      <w:bookmarkEnd w:id="410"/>
    </w:p>
    <w:p>
      <w:pPr>
        <w:pStyle w:val="3"/>
        <w:tabs>
          <w:tab w:val="left" w:pos="3756"/>
        </w:tabs>
        <w:spacing w:before="240" w:beforeLines="100" w:after="240" w:afterLines="100"/>
        <w:ind w:right="1280" w:firstLine="0"/>
        <w:jc w:val="center"/>
        <w:rPr>
          <w:rFonts w:hint="eastAsia" w:ascii="宋体" w:hAnsi="宋体" w:eastAsia="宋体" w:cs="宋体"/>
          <w:b/>
          <w:bCs/>
        </w:rPr>
      </w:pPr>
      <w:bookmarkStart w:id="411" w:name="_Toc15939"/>
      <w:bookmarkStart w:id="412" w:name="_Toc28378"/>
      <w:bookmarkStart w:id="413" w:name="_Toc20820_WPSOffice_Level2"/>
      <w:bookmarkStart w:id="414" w:name="_Toc4727_WPSOffice_Level2"/>
      <w:bookmarkStart w:id="415" w:name="_Toc9032_WPSOffice_Level2"/>
      <w:bookmarkStart w:id="416" w:name="_Toc3466"/>
      <w:r>
        <w:rPr>
          <w:rFonts w:hint="eastAsia" w:ascii="宋体" w:hAnsi="宋体" w:eastAsia="宋体" w:cs="宋体"/>
          <w:b/>
          <w:bCs/>
          <w:lang w:val="en-US"/>
        </w:rPr>
        <w:t>5</w:t>
      </w:r>
      <w:r>
        <w:rPr>
          <w:rFonts w:hint="eastAsia" w:ascii="宋体" w:hAnsi="宋体" w:eastAsia="宋体" w:cs="宋体"/>
          <w:b/>
          <w:bCs/>
        </w:rPr>
        <w:t>.1 固有危险程度分析结果</w:t>
      </w:r>
      <w:bookmarkEnd w:id="411"/>
      <w:bookmarkEnd w:id="412"/>
      <w:bookmarkEnd w:id="413"/>
      <w:bookmarkEnd w:id="414"/>
      <w:bookmarkEnd w:id="415"/>
      <w:bookmarkEnd w:id="416"/>
    </w:p>
    <w:p>
      <w:pPr>
        <w:pStyle w:val="6"/>
        <w:spacing w:before="1" w:after="20" w:line="360" w:lineRule="auto"/>
        <w:jc w:val="center"/>
        <w:rPr>
          <w:rFonts w:hint="eastAsia" w:ascii="宋体" w:hAnsi="宋体" w:eastAsia="宋体" w:cs="宋体"/>
          <w:sz w:val="28"/>
          <w:szCs w:val="28"/>
        </w:rPr>
      </w:pPr>
      <w:bookmarkStart w:id="417" w:name="_Toc25537_WPSOffice_Level3"/>
      <w:bookmarkStart w:id="418" w:name="_Toc6524_WPSOffice_Level3"/>
      <w:r>
        <w:rPr>
          <w:rFonts w:hint="eastAsia" w:ascii="宋体" w:hAnsi="宋体" w:eastAsia="宋体" w:cs="宋体"/>
          <w:sz w:val="28"/>
          <w:szCs w:val="28"/>
        </w:rPr>
        <w:t>表</w:t>
      </w:r>
      <w:r>
        <w:rPr>
          <w:rFonts w:hint="eastAsia" w:ascii="宋体" w:hAnsi="宋体" w:eastAsia="宋体" w:cs="宋体"/>
          <w:sz w:val="28"/>
          <w:szCs w:val="28"/>
          <w:lang w:val="en-US"/>
        </w:rPr>
        <w:t>5</w:t>
      </w:r>
      <w:r>
        <w:rPr>
          <w:rFonts w:hint="eastAsia" w:ascii="宋体" w:hAnsi="宋体" w:eastAsia="宋体" w:cs="宋体"/>
          <w:sz w:val="28"/>
          <w:szCs w:val="28"/>
        </w:rPr>
        <w:t xml:space="preserve">.1-1 </w:t>
      </w:r>
      <w:r>
        <w:rPr>
          <w:rFonts w:hint="eastAsia" w:ascii="宋体" w:hAnsi="宋体" w:eastAsia="宋体" w:cs="宋体"/>
          <w:sz w:val="28"/>
          <w:szCs w:val="28"/>
          <w:lang w:eastAsia="zh-CN"/>
        </w:rPr>
        <w:t>横坑加油站</w:t>
      </w:r>
      <w:r>
        <w:rPr>
          <w:rFonts w:hint="eastAsia" w:ascii="宋体" w:hAnsi="宋体" w:eastAsia="宋体" w:cs="宋体"/>
          <w:sz w:val="28"/>
          <w:szCs w:val="28"/>
        </w:rPr>
        <w:t>物料固有危险程度一览表</w:t>
      </w:r>
      <w:bookmarkEnd w:id="417"/>
      <w:bookmarkEnd w:id="418"/>
    </w:p>
    <w:tbl>
      <w:tblPr>
        <w:tblStyle w:val="21"/>
        <w:tblW w:w="9159" w:type="dxa"/>
        <w:jc w:val="center"/>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056"/>
        <w:gridCol w:w="1160"/>
        <w:gridCol w:w="1196"/>
        <w:gridCol w:w="1112"/>
        <w:gridCol w:w="2369"/>
        <w:gridCol w:w="2266"/>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25" w:hRule="atLeast"/>
          <w:jc w:val="center"/>
        </w:trPr>
        <w:tc>
          <w:tcPr>
            <w:tcW w:w="1056" w:type="dxa"/>
            <w:tcBorders>
              <w:bottom w:val="single" w:color="000000" w:sz="4" w:space="0"/>
              <w:right w:val="single" w:color="000000" w:sz="4" w:space="0"/>
            </w:tcBorders>
          </w:tcPr>
          <w:p>
            <w:pPr>
              <w:pStyle w:val="23"/>
              <w:spacing w:before="1"/>
              <w:rPr>
                <w:rFonts w:hint="eastAsia" w:ascii="宋体" w:hAnsi="宋体" w:eastAsia="宋体" w:cs="宋体"/>
                <w:sz w:val="21"/>
                <w:szCs w:val="21"/>
              </w:rPr>
            </w:pPr>
          </w:p>
          <w:p>
            <w:pPr>
              <w:pStyle w:val="23"/>
              <w:ind w:left="91" w:right="72"/>
              <w:jc w:val="center"/>
              <w:rPr>
                <w:rFonts w:hint="eastAsia" w:ascii="宋体" w:hAnsi="宋体" w:eastAsia="宋体" w:cs="宋体"/>
                <w:sz w:val="21"/>
                <w:szCs w:val="21"/>
              </w:rPr>
            </w:pPr>
            <w:r>
              <w:rPr>
                <w:rFonts w:hint="eastAsia" w:ascii="宋体" w:hAnsi="宋体" w:eastAsia="宋体" w:cs="宋体"/>
                <w:sz w:val="21"/>
                <w:szCs w:val="21"/>
              </w:rPr>
              <w:t>物质名称</w:t>
            </w:r>
          </w:p>
        </w:tc>
        <w:tc>
          <w:tcPr>
            <w:tcW w:w="1160" w:type="dxa"/>
            <w:tcBorders>
              <w:left w:val="single" w:color="000000" w:sz="4" w:space="0"/>
              <w:bottom w:val="single" w:color="000000" w:sz="4" w:space="0"/>
              <w:right w:val="single" w:color="000000" w:sz="4" w:space="0"/>
            </w:tcBorders>
          </w:tcPr>
          <w:p>
            <w:pPr>
              <w:pStyle w:val="23"/>
              <w:spacing w:before="1"/>
              <w:rPr>
                <w:rFonts w:hint="eastAsia" w:ascii="宋体" w:hAnsi="宋体" w:eastAsia="宋体" w:cs="宋体"/>
                <w:sz w:val="21"/>
                <w:szCs w:val="21"/>
              </w:rPr>
            </w:pPr>
          </w:p>
          <w:p>
            <w:pPr>
              <w:pStyle w:val="23"/>
              <w:ind w:left="153" w:right="122"/>
              <w:jc w:val="center"/>
              <w:rPr>
                <w:rFonts w:hint="eastAsia" w:ascii="宋体" w:hAnsi="宋体" w:eastAsia="宋体" w:cs="宋体"/>
                <w:sz w:val="21"/>
                <w:szCs w:val="21"/>
              </w:rPr>
            </w:pPr>
            <w:r>
              <w:rPr>
                <w:rFonts w:hint="eastAsia" w:ascii="宋体" w:hAnsi="宋体" w:eastAsia="宋体" w:cs="宋体"/>
                <w:sz w:val="21"/>
                <w:szCs w:val="21"/>
              </w:rPr>
              <w:t>所在场所</w:t>
            </w:r>
          </w:p>
        </w:tc>
        <w:tc>
          <w:tcPr>
            <w:tcW w:w="1196" w:type="dxa"/>
            <w:tcBorders>
              <w:left w:val="single" w:color="000000" w:sz="4" w:space="0"/>
              <w:bottom w:val="single" w:color="000000" w:sz="4" w:space="0"/>
              <w:right w:val="single" w:color="000000" w:sz="4" w:space="0"/>
            </w:tcBorders>
          </w:tcPr>
          <w:p>
            <w:pPr>
              <w:pStyle w:val="23"/>
              <w:spacing w:before="1"/>
              <w:rPr>
                <w:rFonts w:hint="eastAsia" w:ascii="宋体" w:hAnsi="宋体" w:eastAsia="宋体" w:cs="宋体"/>
                <w:sz w:val="21"/>
                <w:szCs w:val="21"/>
              </w:rPr>
            </w:pPr>
          </w:p>
          <w:p>
            <w:pPr>
              <w:pStyle w:val="23"/>
              <w:ind w:left="66" w:right="36"/>
              <w:jc w:val="center"/>
              <w:rPr>
                <w:rFonts w:hint="eastAsia" w:ascii="宋体" w:hAnsi="宋体" w:eastAsia="宋体" w:cs="宋体"/>
                <w:sz w:val="21"/>
                <w:szCs w:val="21"/>
              </w:rPr>
            </w:pPr>
            <w:r>
              <w:rPr>
                <w:rFonts w:hint="eastAsia" w:ascii="宋体" w:hAnsi="宋体" w:eastAsia="宋体" w:cs="宋体"/>
                <w:sz w:val="21"/>
                <w:szCs w:val="21"/>
              </w:rPr>
              <w:t>存在状况</w:t>
            </w:r>
          </w:p>
        </w:tc>
        <w:tc>
          <w:tcPr>
            <w:tcW w:w="1112" w:type="dxa"/>
            <w:tcBorders>
              <w:left w:val="single" w:color="000000" w:sz="4" w:space="0"/>
              <w:bottom w:val="single" w:color="000000" w:sz="4" w:space="0"/>
              <w:right w:val="single" w:color="000000" w:sz="4" w:space="0"/>
            </w:tcBorders>
          </w:tcPr>
          <w:p>
            <w:pPr>
              <w:pStyle w:val="23"/>
              <w:spacing w:before="180"/>
              <w:ind w:left="100" w:right="68"/>
              <w:jc w:val="center"/>
              <w:rPr>
                <w:rFonts w:hint="eastAsia" w:ascii="宋体" w:hAnsi="宋体" w:eastAsia="宋体" w:cs="宋体"/>
                <w:sz w:val="21"/>
                <w:szCs w:val="21"/>
              </w:rPr>
            </w:pPr>
            <w:r>
              <w:rPr>
                <w:rFonts w:hint="eastAsia" w:ascii="宋体" w:hAnsi="宋体" w:eastAsia="宋体" w:cs="宋体"/>
                <w:sz w:val="21"/>
                <w:szCs w:val="21"/>
              </w:rPr>
              <w:t>质量（t）</w:t>
            </w:r>
          </w:p>
        </w:tc>
        <w:tc>
          <w:tcPr>
            <w:tcW w:w="2369" w:type="dxa"/>
            <w:tcBorders>
              <w:left w:val="single" w:color="000000" w:sz="4" w:space="0"/>
              <w:bottom w:val="single" w:color="000000" w:sz="4" w:space="0"/>
              <w:right w:val="single" w:color="000000" w:sz="4" w:space="0"/>
            </w:tcBorders>
          </w:tcPr>
          <w:p>
            <w:pPr>
              <w:pStyle w:val="23"/>
              <w:spacing w:before="180"/>
              <w:ind w:left="118" w:right="-29"/>
              <w:rPr>
                <w:rFonts w:hint="eastAsia" w:ascii="宋体" w:hAnsi="宋体" w:eastAsia="宋体" w:cs="宋体"/>
                <w:sz w:val="21"/>
                <w:szCs w:val="21"/>
              </w:rPr>
            </w:pPr>
            <w:r>
              <w:rPr>
                <w:rFonts w:hint="eastAsia" w:ascii="宋体" w:hAnsi="宋体" w:eastAsia="宋体" w:cs="宋体"/>
                <w:spacing w:val="-5"/>
                <w:sz w:val="21"/>
                <w:szCs w:val="21"/>
              </w:rPr>
              <w:t>燃烧后放出的热量</w:t>
            </w:r>
            <w:r>
              <w:rPr>
                <w:rFonts w:hint="eastAsia" w:ascii="宋体" w:hAnsi="宋体" w:eastAsia="宋体" w:cs="宋体"/>
                <w:sz w:val="21"/>
                <w:szCs w:val="21"/>
              </w:rPr>
              <w:t>（kJ）</w:t>
            </w:r>
          </w:p>
        </w:tc>
        <w:tc>
          <w:tcPr>
            <w:tcW w:w="2266" w:type="dxa"/>
            <w:tcBorders>
              <w:left w:val="single" w:color="000000" w:sz="4" w:space="0"/>
              <w:bottom w:val="single" w:color="000000" w:sz="4" w:space="0"/>
            </w:tcBorders>
          </w:tcPr>
          <w:p>
            <w:pPr>
              <w:pStyle w:val="23"/>
              <w:spacing w:before="24"/>
              <w:ind w:left="112" w:right="69"/>
              <w:jc w:val="center"/>
              <w:rPr>
                <w:rFonts w:hint="eastAsia" w:ascii="宋体" w:hAnsi="宋体" w:eastAsia="宋体" w:cs="宋体"/>
                <w:sz w:val="21"/>
                <w:szCs w:val="21"/>
              </w:rPr>
            </w:pPr>
            <w:r>
              <w:rPr>
                <w:rFonts w:hint="eastAsia" w:ascii="宋体" w:hAnsi="宋体" w:eastAsia="宋体" w:cs="宋体"/>
                <w:sz w:val="21"/>
                <w:szCs w:val="21"/>
              </w:rPr>
              <w:t>地面蒸气云 TNT 当量</w:t>
            </w:r>
          </w:p>
          <w:p>
            <w:pPr>
              <w:pStyle w:val="23"/>
              <w:spacing w:before="43"/>
              <w:ind w:left="112" w:right="68"/>
              <w:jc w:val="center"/>
              <w:rPr>
                <w:rFonts w:hint="eastAsia" w:ascii="宋体" w:hAnsi="宋体" w:eastAsia="宋体" w:cs="宋体"/>
                <w:sz w:val="21"/>
                <w:szCs w:val="21"/>
              </w:rPr>
            </w:pPr>
            <w:r>
              <w:rPr>
                <w:rFonts w:hint="eastAsia" w:ascii="宋体" w:hAnsi="宋体" w:eastAsia="宋体" w:cs="宋体"/>
                <w:sz w:val="21"/>
                <w:szCs w:val="21"/>
              </w:rPr>
              <w:t>（t）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48" w:hRule="atLeast"/>
          <w:jc w:val="center"/>
        </w:trPr>
        <w:tc>
          <w:tcPr>
            <w:tcW w:w="1056" w:type="dxa"/>
            <w:tcBorders>
              <w:top w:val="single" w:color="000000" w:sz="4" w:space="0"/>
              <w:bottom w:val="single" w:color="000000" w:sz="4" w:space="0"/>
              <w:right w:val="single" w:color="000000" w:sz="4" w:space="0"/>
            </w:tcBorders>
          </w:tcPr>
          <w:p>
            <w:pPr>
              <w:pStyle w:val="23"/>
              <w:spacing w:before="92"/>
              <w:ind w:left="91" w:right="70"/>
              <w:jc w:val="center"/>
              <w:rPr>
                <w:rFonts w:hint="eastAsia" w:ascii="宋体" w:hAnsi="宋体" w:eastAsia="宋体" w:cs="宋体"/>
                <w:color w:val="auto"/>
                <w:sz w:val="21"/>
                <w:szCs w:val="21"/>
              </w:rPr>
            </w:pPr>
            <w:r>
              <w:rPr>
                <w:rFonts w:hint="eastAsia" w:ascii="宋体" w:hAnsi="宋体" w:eastAsia="宋体" w:cs="宋体"/>
                <w:color w:val="auto"/>
                <w:sz w:val="21"/>
                <w:szCs w:val="21"/>
              </w:rPr>
              <w:t>汽油</w:t>
            </w:r>
          </w:p>
        </w:tc>
        <w:tc>
          <w:tcPr>
            <w:tcW w:w="1160" w:type="dxa"/>
            <w:tcBorders>
              <w:top w:val="single" w:color="000000" w:sz="4" w:space="0"/>
              <w:left w:val="single" w:color="000000" w:sz="4" w:space="0"/>
              <w:bottom w:val="single" w:color="000000" w:sz="4" w:space="0"/>
              <w:right w:val="single" w:color="000000" w:sz="4" w:space="0"/>
            </w:tcBorders>
          </w:tcPr>
          <w:p>
            <w:pPr>
              <w:pStyle w:val="23"/>
              <w:spacing w:before="92"/>
              <w:ind w:left="153" w:right="119"/>
              <w:jc w:val="center"/>
              <w:rPr>
                <w:rFonts w:hint="eastAsia" w:ascii="宋体" w:hAnsi="宋体" w:eastAsia="宋体" w:cs="宋体"/>
                <w:color w:val="auto"/>
                <w:sz w:val="21"/>
                <w:szCs w:val="21"/>
              </w:rPr>
            </w:pPr>
            <w:r>
              <w:rPr>
                <w:rFonts w:hint="eastAsia" w:ascii="宋体" w:hAnsi="宋体" w:eastAsia="宋体" w:cs="宋体"/>
                <w:color w:val="auto"/>
                <w:sz w:val="21"/>
                <w:szCs w:val="21"/>
              </w:rPr>
              <w:t>油罐区</w:t>
            </w:r>
          </w:p>
        </w:tc>
        <w:tc>
          <w:tcPr>
            <w:tcW w:w="1196" w:type="dxa"/>
            <w:tcBorders>
              <w:top w:val="single" w:color="000000" w:sz="4" w:space="0"/>
              <w:left w:val="single" w:color="000000" w:sz="4" w:space="0"/>
              <w:bottom w:val="single" w:color="000000" w:sz="4" w:space="0"/>
              <w:right w:val="single" w:color="000000" w:sz="4" w:space="0"/>
            </w:tcBorders>
          </w:tcPr>
          <w:p>
            <w:pPr>
              <w:pStyle w:val="23"/>
              <w:spacing w:before="92"/>
              <w:ind w:left="66" w:right="36"/>
              <w:jc w:val="center"/>
              <w:rPr>
                <w:rFonts w:hint="eastAsia" w:ascii="宋体" w:hAnsi="宋体" w:eastAsia="宋体" w:cs="宋体"/>
                <w:color w:val="auto"/>
                <w:sz w:val="21"/>
                <w:szCs w:val="21"/>
              </w:rPr>
            </w:pPr>
            <w:r>
              <w:rPr>
                <w:rFonts w:hint="eastAsia" w:ascii="宋体" w:hAnsi="宋体" w:eastAsia="宋体" w:cs="宋体"/>
                <w:color w:val="auto"/>
                <w:sz w:val="21"/>
                <w:szCs w:val="21"/>
              </w:rPr>
              <w:t>常温、常压</w:t>
            </w:r>
          </w:p>
        </w:tc>
        <w:tc>
          <w:tcPr>
            <w:tcW w:w="111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69.35</w:t>
            </w:r>
          </w:p>
        </w:tc>
        <w:tc>
          <w:tcPr>
            <w:tcW w:w="236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3.19</w:t>
            </w:r>
            <w:r>
              <w:rPr>
                <w:rFonts w:hint="eastAsia" w:ascii="宋体" w:hAnsi="宋体" w:eastAsia="宋体" w:cs="宋体"/>
                <w:color w:val="auto"/>
                <w:sz w:val="21"/>
                <w:szCs w:val="21"/>
              </w:rPr>
              <w:t>×10</w:t>
            </w:r>
            <w:r>
              <w:rPr>
                <w:rFonts w:hint="eastAsia" w:ascii="宋体" w:hAnsi="宋体" w:eastAsia="宋体" w:cs="宋体"/>
                <w:color w:val="auto"/>
                <w:sz w:val="21"/>
                <w:szCs w:val="21"/>
                <w:vertAlign w:val="superscript"/>
                <w:lang w:val="en-US" w:eastAsia="zh-CN"/>
              </w:rPr>
              <w:t>9</w:t>
            </w:r>
          </w:p>
        </w:tc>
        <w:tc>
          <w:tcPr>
            <w:tcW w:w="2266" w:type="dxa"/>
            <w:tcBorders>
              <w:top w:val="single" w:color="000000" w:sz="4" w:space="0"/>
              <w:left w:val="single" w:color="000000" w:sz="4" w:space="0"/>
              <w:bottom w:val="single" w:color="000000" w:sz="4" w:space="0"/>
            </w:tcBorders>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51.04</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48" w:hRule="atLeast"/>
          <w:jc w:val="center"/>
        </w:trPr>
        <w:tc>
          <w:tcPr>
            <w:tcW w:w="1056" w:type="dxa"/>
            <w:tcBorders>
              <w:top w:val="single" w:color="000000" w:sz="4" w:space="0"/>
              <w:bottom w:val="single" w:color="000000" w:sz="4" w:space="0"/>
              <w:right w:val="single" w:color="000000" w:sz="4" w:space="0"/>
            </w:tcBorders>
          </w:tcPr>
          <w:p>
            <w:pPr>
              <w:pStyle w:val="23"/>
              <w:spacing w:before="92"/>
              <w:ind w:left="91" w:right="70"/>
              <w:jc w:val="center"/>
              <w:rPr>
                <w:rFonts w:hint="eastAsia" w:ascii="宋体" w:hAnsi="宋体" w:eastAsia="宋体" w:cs="宋体"/>
                <w:color w:val="auto"/>
                <w:sz w:val="21"/>
                <w:szCs w:val="21"/>
              </w:rPr>
            </w:pPr>
            <w:r>
              <w:rPr>
                <w:rFonts w:hint="eastAsia" w:ascii="宋体" w:hAnsi="宋体" w:eastAsia="宋体" w:cs="宋体"/>
                <w:color w:val="auto"/>
                <w:sz w:val="21"/>
                <w:szCs w:val="21"/>
              </w:rPr>
              <w:t>柴油</w:t>
            </w:r>
          </w:p>
        </w:tc>
        <w:tc>
          <w:tcPr>
            <w:tcW w:w="1160" w:type="dxa"/>
            <w:tcBorders>
              <w:top w:val="single" w:color="000000" w:sz="4" w:space="0"/>
              <w:left w:val="single" w:color="000000" w:sz="4" w:space="0"/>
              <w:bottom w:val="single" w:color="000000" w:sz="4" w:space="0"/>
              <w:right w:val="single" w:color="000000" w:sz="4" w:space="0"/>
            </w:tcBorders>
          </w:tcPr>
          <w:p>
            <w:pPr>
              <w:pStyle w:val="23"/>
              <w:spacing w:before="92"/>
              <w:ind w:left="153" w:right="119"/>
              <w:jc w:val="center"/>
              <w:rPr>
                <w:rFonts w:hint="eastAsia" w:ascii="宋体" w:hAnsi="宋体" w:eastAsia="宋体" w:cs="宋体"/>
                <w:color w:val="auto"/>
                <w:sz w:val="21"/>
                <w:szCs w:val="21"/>
              </w:rPr>
            </w:pPr>
            <w:r>
              <w:rPr>
                <w:rFonts w:hint="eastAsia" w:ascii="宋体" w:hAnsi="宋体" w:eastAsia="宋体" w:cs="宋体"/>
                <w:color w:val="auto"/>
                <w:sz w:val="21"/>
                <w:szCs w:val="21"/>
              </w:rPr>
              <w:t>油罐区</w:t>
            </w:r>
          </w:p>
        </w:tc>
        <w:tc>
          <w:tcPr>
            <w:tcW w:w="1196" w:type="dxa"/>
            <w:tcBorders>
              <w:top w:val="single" w:color="000000" w:sz="4" w:space="0"/>
              <w:left w:val="single" w:color="000000" w:sz="4" w:space="0"/>
              <w:bottom w:val="single" w:color="000000" w:sz="4" w:space="0"/>
              <w:right w:val="single" w:color="000000" w:sz="4" w:space="0"/>
            </w:tcBorders>
          </w:tcPr>
          <w:p>
            <w:pPr>
              <w:pStyle w:val="23"/>
              <w:spacing w:before="92"/>
              <w:ind w:left="66" w:right="36"/>
              <w:jc w:val="center"/>
              <w:rPr>
                <w:rFonts w:hint="eastAsia" w:ascii="宋体" w:hAnsi="宋体" w:eastAsia="宋体" w:cs="宋体"/>
                <w:color w:val="auto"/>
                <w:sz w:val="21"/>
                <w:szCs w:val="21"/>
              </w:rPr>
            </w:pPr>
            <w:r>
              <w:rPr>
                <w:rFonts w:hint="eastAsia" w:ascii="宋体" w:hAnsi="宋体" w:eastAsia="宋体" w:cs="宋体"/>
                <w:color w:val="auto"/>
                <w:sz w:val="21"/>
                <w:szCs w:val="21"/>
              </w:rPr>
              <w:t>常温、常压</w:t>
            </w:r>
          </w:p>
        </w:tc>
        <w:tc>
          <w:tcPr>
            <w:tcW w:w="111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42.0</w:t>
            </w:r>
          </w:p>
        </w:tc>
        <w:tc>
          <w:tcPr>
            <w:tcW w:w="236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1.79</w:t>
            </w:r>
            <w:r>
              <w:rPr>
                <w:rFonts w:hint="eastAsia" w:ascii="宋体" w:hAnsi="宋体" w:eastAsia="宋体" w:cs="宋体"/>
                <w:color w:val="auto"/>
                <w:sz w:val="21"/>
                <w:szCs w:val="21"/>
              </w:rPr>
              <w:t>×10</w:t>
            </w:r>
            <w:r>
              <w:rPr>
                <w:rFonts w:hint="eastAsia" w:ascii="宋体" w:hAnsi="宋体" w:eastAsia="宋体" w:cs="宋体"/>
                <w:color w:val="auto"/>
                <w:sz w:val="21"/>
                <w:szCs w:val="21"/>
                <w:vertAlign w:val="superscript"/>
                <w:lang w:val="en-US" w:eastAsia="zh-CN"/>
              </w:rPr>
              <w:t>9</w:t>
            </w:r>
          </w:p>
        </w:tc>
        <w:tc>
          <w:tcPr>
            <w:tcW w:w="2266" w:type="dxa"/>
            <w:tcBorders>
              <w:top w:val="single" w:color="000000" w:sz="4" w:space="0"/>
              <w:left w:val="single" w:color="000000" w:sz="4" w:space="0"/>
              <w:bottom w:val="single" w:color="000000" w:sz="4" w:space="0"/>
            </w:tcBorders>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28.63</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25" w:hRule="atLeast"/>
          <w:jc w:val="center"/>
        </w:trPr>
        <w:tc>
          <w:tcPr>
            <w:tcW w:w="1056" w:type="dxa"/>
            <w:tcBorders>
              <w:top w:val="single" w:color="000000" w:sz="4" w:space="0"/>
              <w:right w:val="single" w:color="000000" w:sz="4" w:space="0"/>
            </w:tcBorders>
          </w:tcPr>
          <w:p>
            <w:pPr>
              <w:pStyle w:val="23"/>
              <w:spacing w:before="178"/>
              <w:ind w:left="91" w:right="70"/>
              <w:jc w:val="center"/>
              <w:rPr>
                <w:rFonts w:hint="eastAsia" w:ascii="宋体" w:hAnsi="宋体" w:eastAsia="宋体" w:cs="宋体"/>
                <w:sz w:val="21"/>
                <w:szCs w:val="21"/>
              </w:rPr>
            </w:pPr>
            <w:r>
              <w:rPr>
                <w:rFonts w:hint="eastAsia" w:ascii="宋体" w:hAnsi="宋体" w:eastAsia="宋体" w:cs="宋体"/>
                <w:sz w:val="21"/>
                <w:szCs w:val="21"/>
              </w:rPr>
              <w:t>说明</w:t>
            </w:r>
          </w:p>
        </w:tc>
        <w:tc>
          <w:tcPr>
            <w:tcW w:w="8103" w:type="dxa"/>
            <w:gridSpan w:val="5"/>
            <w:tcBorders>
              <w:top w:val="single" w:color="000000" w:sz="4" w:space="0"/>
              <w:left w:val="single" w:color="000000" w:sz="4" w:space="0"/>
            </w:tcBorders>
          </w:tcPr>
          <w:p>
            <w:pPr>
              <w:pStyle w:val="23"/>
              <w:spacing w:before="22"/>
              <w:ind w:left="537" w:right="-29"/>
              <w:rPr>
                <w:rFonts w:hint="eastAsia" w:ascii="宋体" w:hAnsi="宋体" w:eastAsia="宋体" w:cs="宋体"/>
                <w:sz w:val="21"/>
                <w:szCs w:val="21"/>
              </w:rPr>
            </w:pPr>
            <w:r>
              <w:rPr>
                <w:rFonts w:hint="eastAsia" w:ascii="宋体" w:hAnsi="宋体" w:eastAsia="宋体" w:cs="宋体"/>
                <w:sz w:val="21"/>
                <w:szCs w:val="21"/>
              </w:rPr>
              <w:t>TNT</w:t>
            </w:r>
            <w:r>
              <w:rPr>
                <w:rFonts w:hint="eastAsia" w:ascii="宋体" w:hAnsi="宋体" w:eastAsia="宋体" w:cs="宋体"/>
                <w:spacing w:val="30"/>
                <w:sz w:val="21"/>
                <w:szCs w:val="21"/>
              </w:rPr>
              <w:t xml:space="preserve"> </w:t>
            </w:r>
            <w:r>
              <w:rPr>
                <w:rFonts w:hint="eastAsia" w:ascii="宋体" w:hAnsi="宋体" w:eastAsia="宋体" w:cs="宋体"/>
                <w:spacing w:val="-17"/>
                <w:sz w:val="21"/>
                <w:szCs w:val="21"/>
              </w:rPr>
              <w:t>当量计算采用《易燃、易爆、有毒危险品储运过程定量风险评价》</w:t>
            </w:r>
            <w:r>
              <w:rPr>
                <w:rFonts w:hint="eastAsia" w:ascii="宋体" w:hAnsi="宋体" w:eastAsia="宋体" w:cs="宋体"/>
                <w:spacing w:val="-3"/>
                <w:sz w:val="21"/>
                <w:szCs w:val="21"/>
              </w:rPr>
              <w:t>（宇德明著，</w:t>
            </w:r>
          </w:p>
          <w:p>
            <w:pPr>
              <w:pStyle w:val="23"/>
              <w:spacing w:before="43"/>
              <w:ind w:left="117"/>
              <w:rPr>
                <w:rFonts w:hint="eastAsia" w:ascii="宋体" w:hAnsi="宋体" w:eastAsia="宋体" w:cs="宋体"/>
                <w:sz w:val="21"/>
                <w:szCs w:val="21"/>
              </w:rPr>
            </w:pPr>
            <w:r>
              <w:rPr>
                <w:rFonts w:hint="eastAsia" w:ascii="宋体" w:hAnsi="宋体" w:eastAsia="宋体" w:cs="宋体"/>
                <w:sz w:val="21"/>
                <w:szCs w:val="21"/>
              </w:rPr>
              <w:t>中国铁道出版社出版）所介绍的方法和TNT 当量评估公式计算。</w:t>
            </w:r>
          </w:p>
        </w:tc>
      </w:tr>
    </w:tbl>
    <w:p>
      <w:pPr>
        <w:pStyle w:val="6"/>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rPr>
      </w:pPr>
      <w:r>
        <w:rPr>
          <w:rFonts w:hint="eastAsia" w:ascii="宋体" w:hAnsi="宋体" w:eastAsia="宋体" w:cs="宋体"/>
          <w:spacing w:val="-7"/>
        </w:rPr>
        <w:t>由以上分析结果可知：考虑到易燃液体蒸气可能与空气形成爆炸性混合物，也具有一定的爆炸危险特性，故该项目具有一定的固有危险程度。在完善相应的安全设施，加强现场安全管理以及各岗位作业人员的安全教育培训，并落实本报告中提出的安全对策措施后，能进一步降低项目各区域的固有危险度。</w:t>
      </w:r>
    </w:p>
    <w:p>
      <w:pPr>
        <w:pStyle w:val="3"/>
        <w:tabs>
          <w:tab w:val="left" w:pos="4195"/>
        </w:tabs>
        <w:spacing w:before="237"/>
        <w:ind w:right="1280" w:firstLine="0"/>
        <w:jc w:val="center"/>
        <w:rPr>
          <w:rFonts w:hint="eastAsia" w:ascii="宋体" w:hAnsi="宋体" w:eastAsia="宋体" w:cs="宋体"/>
          <w:b/>
          <w:bCs/>
        </w:rPr>
      </w:pPr>
      <w:bookmarkStart w:id="419" w:name="_Toc4722"/>
      <w:bookmarkStart w:id="420" w:name="_Toc22761"/>
      <w:bookmarkStart w:id="421" w:name="_Toc2062_WPSOffice_Level2"/>
      <w:bookmarkStart w:id="422" w:name="_Toc12364_WPSOffice_Level2"/>
      <w:bookmarkStart w:id="423" w:name="_Toc21579_WPSOffice_Level2"/>
      <w:bookmarkStart w:id="424" w:name="_Toc29445"/>
      <w:r>
        <w:rPr>
          <w:rFonts w:hint="eastAsia" w:ascii="宋体" w:hAnsi="宋体" w:eastAsia="宋体" w:cs="宋体"/>
          <w:b/>
          <w:bCs/>
        </w:rPr>
        <w:t>5.2 风险程度分析结果</w:t>
      </w:r>
      <w:bookmarkEnd w:id="419"/>
      <w:bookmarkEnd w:id="420"/>
      <w:bookmarkEnd w:id="421"/>
      <w:bookmarkEnd w:id="422"/>
      <w:bookmarkEnd w:id="423"/>
      <w:bookmarkEnd w:id="424"/>
    </w:p>
    <w:p>
      <w:pPr>
        <w:pStyle w:val="6"/>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textAlignment w:val="auto"/>
        <w:rPr>
          <w:rFonts w:hint="eastAsia" w:ascii="宋体" w:hAnsi="宋体" w:eastAsia="宋体" w:cs="宋体"/>
          <w:spacing w:val="-7"/>
        </w:rPr>
      </w:pPr>
      <w:r>
        <w:rPr>
          <w:rFonts w:hint="eastAsia" w:ascii="宋体" w:hAnsi="宋体" w:eastAsia="宋体" w:cs="宋体"/>
          <w:spacing w:val="-7"/>
          <w:lang w:eastAsia="zh-CN"/>
        </w:rPr>
        <w:t>横坑加油站</w:t>
      </w:r>
      <w:r>
        <w:rPr>
          <w:rFonts w:hint="eastAsia" w:ascii="宋体" w:hAnsi="宋体" w:eastAsia="宋体" w:cs="宋体"/>
          <w:spacing w:val="-7"/>
        </w:rPr>
        <w:t>经营的汽油属于易燃液体，其蒸汽与空气可形成爆炸性混合物。加油站可能由于设备损坏或操作失误而引起油品的泄漏，油品泄漏后，油蒸汽与空气可形成爆炸性混合物；</w:t>
      </w:r>
    </w:p>
    <w:p>
      <w:pPr>
        <w:pStyle w:val="6"/>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textAlignment w:val="auto"/>
        <w:rPr>
          <w:rFonts w:hint="eastAsia" w:ascii="宋体" w:hAnsi="宋体" w:eastAsia="宋体" w:cs="宋体"/>
          <w:spacing w:val="-7"/>
        </w:rPr>
      </w:pPr>
      <w:r>
        <w:rPr>
          <w:rFonts w:hint="eastAsia" w:ascii="宋体" w:hAnsi="宋体" w:eastAsia="宋体" w:cs="宋体"/>
          <w:spacing w:val="-7"/>
        </w:rPr>
        <w:t>当泄漏场所中汽油蒸汽与空气混合物浓度达到1.4～7.6%（体积比）时，遇到火源（0.1～0.2mJ以上的能源）会发生爆炸事故。当其浓度低于爆炸下限或高于爆炸上限时，遇到火源时只会发生燃烧，但燃烧到一定时间，由于浓度到达爆炸极限范围内，也会产生爆炸。</w:t>
      </w:r>
    </w:p>
    <w:p>
      <w:pPr>
        <w:pStyle w:val="6"/>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textAlignment w:val="auto"/>
        <w:rPr>
          <w:rFonts w:hint="eastAsia" w:ascii="宋体" w:hAnsi="宋体" w:eastAsia="宋体" w:cs="宋体"/>
          <w:spacing w:val="-7"/>
        </w:rPr>
      </w:pPr>
      <w:r>
        <w:rPr>
          <w:rFonts w:hint="eastAsia" w:ascii="宋体" w:hAnsi="宋体" w:eastAsia="宋体" w:cs="宋体"/>
          <w:spacing w:val="-7"/>
        </w:rPr>
        <w:t>因为在</w:t>
      </w:r>
      <w:r>
        <w:rPr>
          <w:rFonts w:hint="eastAsia" w:ascii="宋体" w:hAnsi="宋体" w:eastAsia="宋体" w:cs="宋体"/>
          <w:spacing w:val="-7"/>
          <w:lang w:eastAsia="zh-CN"/>
        </w:rPr>
        <w:t>横坑加油站</w:t>
      </w:r>
      <w:r>
        <w:rPr>
          <w:rFonts w:hint="eastAsia" w:ascii="宋体" w:hAnsi="宋体" w:eastAsia="宋体" w:cs="宋体"/>
          <w:spacing w:val="-7"/>
        </w:rPr>
        <w:t>内，油罐均为独立的S/F双层埋地储罐，油罐与油罐之间并不直接直接相连。危险物质较单一，工艺过程相对简单，装置相对集中。此外，在油罐之间也设置了各类预防事故设施、控制事故设施。所以，根据加油站的工艺特点以及各环节可能出现事故的严重程度，并参考国内外加油站发生事故的统计资料的基础上，</w:t>
      </w:r>
      <w:r>
        <w:rPr>
          <w:rFonts w:hint="eastAsia" w:ascii="宋体" w:hAnsi="宋体" w:eastAsia="宋体" w:cs="宋体"/>
          <w:spacing w:val="-7"/>
          <w:lang w:eastAsia="zh-CN"/>
        </w:rPr>
        <w:t>选取</w:t>
      </w:r>
      <w:r>
        <w:rPr>
          <w:rFonts w:hint="eastAsia" w:ascii="宋体" w:hAnsi="宋体" w:eastAsia="宋体" w:cs="宋体"/>
          <w:color w:val="auto"/>
        </w:rPr>
        <w:t>1个</w:t>
      </w:r>
      <w:r>
        <w:rPr>
          <w:rFonts w:hint="eastAsia" w:ascii="宋体" w:hAnsi="宋体" w:eastAsia="宋体" w:cs="宋体"/>
          <w:color w:val="auto"/>
          <w:lang w:val="en-US"/>
        </w:rPr>
        <w:t>5</w:t>
      </w:r>
      <w:r>
        <w:rPr>
          <w:rFonts w:hint="eastAsia" w:ascii="宋体" w:hAnsi="宋体" w:eastAsia="宋体" w:cs="宋体"/>
          <w:color w:val="auto"/>
        </w:rPr>
        <w:t>0m</w:t>
      </w:r>
      <w:r>
        <w:rPr>
          <w:rFonts w:hint="eastAsia" w:ascii="宋体" w:hAnsi="宋体" w:eastAsia="宋体" w:cs="宋体"/>
          <w:color w:val="auto"/>
          <w:vertAlign w:val="superscript"/>
        </w:rPr>
        <w:t>3</w:t>
      </w:r>
      <w:r>
        <w:rPr>
          <w:rFonts w:hint="eastAsia" w:ascii="宋体" w:hAnsi="宋体" w:eastAsia="宋体" w:cs="宋体"/>
          <w:color w:val="auto"/>
        </w:rPr>
        <w:t>的油罐车</w:t>
      </w:r>
      <w:r>
        <w:rPr>
          <w:rFonts w:hint="eastAsia" w:ascii="宋体" w:hAnsi="宋体" w:eastAsia="宋体" w:cs="宋体"/>
          <w:color w:val="auto"/>
          <w:lang w:eastAsia="zh-CN"/>
        </w:rPr>
        <w:t>作为评价单元，</w:t>
      </w:r>
      <w:r>
        <w:rPr>
          <w:rFonts w:hint="eastAsia" w:ascii="宋体" w:hAnsi="宋体" w:eastAsia="宋体" w:cs="宋体"/>
          <w:spacing w:val="-7"/>
        </w:rPr>
        <w:t>采用道化法（第七版）对建设项目油罐区的火灾、爆炸危险性进行评价。详细评价过程见安全评价报告附件第</w:t>
      </w:r>
      <w:r>
        <w:rPr>
          <w:rFonts w:hint="eastAsia" w:ascii="宋体" w:hAnsi="宋体" w:eastAsia="宋体" w:cs="宋体"/>
          <w:spacing w:val="-7"/>
          <w:lang w:val="en-US" w:eastAsia="zh-CN"/>
        </w:rPr>
        <w:t>4.9</w:t>
      </w:r>
      <w:r>
        <w:rPr>
          <w:rFonts w:hint="eastAsia" w:ascii="宋体" w:hAnsi="宋体" w:eastAsia="宋体" w:cs="宋体"/>
          <w:spacing w:val="-7"/>
        </w:rPr>
        <w:t>部分。</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color w:val="auto"/>
        </w:rPr>
      </w:pPr>
      <w:r>
        <w:rPr>
          <w:rFonts w:hint="eastAsia" w:ascii="宋体" w:hAnsi="宋体" w:eastAsia="宋体" w:cs="宋体"/>
          <w:spacing w:val="-7"/>
          <w:sz w:val="28"/>
          <w:szCs w:val="28"/>
        </w:rPr>
        <w:t>评价结果为：</w:t>
      </w:r>
      <w:r>
        <w:rPr>
          <w:rFonts w:hint="eastAsia" w:ascii="宋体" w:hAnsi="宋体" w:eastAsia="宋体" w:cs="宋体"/>
          <w:color w:val="auto"/>
          <w:sz w:val="28"/>
          <w:szCs w:val="28"/>
          <w:lang w:val="en-US" w:eastAsia="zh-CN"/>
        </w:rPr>
        <w:t>横坑</w:t>
      </w:r>
      <w:r>
        <w:rPr>
          <w:rFonts w:hint="eastAsia" w:ascii="宋体" w:hAnsi="宋体" w:eastAsia="宋体" w:cs="宋体"/>
          <w:color w:val="auto"/>
          <w:sz w:val="28"/>
          <w:szCs w:val="28"/>
        </w:rPr>
        <w:t>加油站储罐区汽油罐的火灾爆炸危险指数为96，火灾爆炸危险等级为“较轻”，暴露半径为24.6m，暴露区域面积为1900m</w:t>
      </w:r>
      <w:r>
        <w:rPr>
          <w:rFonts w:hint="eastAsia" w:ascii="宋体" w:hAnsi="宋体" w:eastAsia="宋体" w:cs="宋体"/>
          <w:color w:val="auto"/>
          <w:sz w:val="28"/>
          <w:szCs w:val="28"/>
          <w:vertAlign w:val="superscript"/>
        </w:rPr>
        <w:t>2</w:t>
      </w:r>
      <w:r>
        <w:rPr>
          <w:rFonts w:hint="eastAsia" w:ascii="宋体" w:hAnsi="宋体" w:eastAsia="宋体" w:cs="宋体"/>
          <w:color w:val="auto"/>
          <w:sz w:val="28"/>
          <w:szCs w:val="28"/>
        </w:rPr>
        <w:t>，一旦发生事故，暴露半径和暴露区域面积内68%的财产将可能受到破坏。经采用安全措施补偿后</w:t>
      </w:r>
      <w:r>
        <w:rPr>
          <w:rFonts w:hint="eastAsia" w:ascii="宋体" w:hAnsi="宋体" w:eastAsia="宋体" w:cs="宋体"/>
          <w:color w:val="auto"/>
          <w:sz w:val="28"/>
          <w:szCs w:val="28"/>
          <w:lang w:eastAsia="zh-CN"/>
        </w:rPr>
        <w:t>，即安全措施补偿系数为</w:t>
      </w:r>
      <w:r>
        <w:rPr>
          <w:rFonts w:hint="eastAsia" w:ascii="宋体" w:hAnsi="宋体" w:eastAsia="宋体" w:cs="宋体"/>
          <w:color w:val="auto"/>
          <w:sz w:val="28"/>
          <w:szCs w:val="28"/>
          <w:lang w:val="en-US" w:eastAsia="zh-CN"/>
        </w:rPr>
        <w:t>0.75，</w:t>
      </w:r>
      <w:r>
        <w:rPr>
          <w:rFonts w:hint="eastAsia" w:ascii="宋体" w:hAnsi="宋体" w:eastAsia="宋体" w:cs="宋体"/>
          <w:color w:val="auto"/>
          <w:sz w:val="28"/>
          <w:szCs w:val="28"/>
        </w:rPr>
        <w:t>火灾爆炸危险指数降为72，</w:t>
      </w:r>
      <w:r>
        <w:rPr>
          <w:rFonts w:hint="eastAsia" w:ascii="宋体" w:hAnsi="宋体" w:eastAsia="宋体" w:cs="宋体"/>
          <w:color w:val="auto"/>
          <w:sz w:val="28"/>
          <w:szCs w:val="28"/>
          <w:lang w:val="en-US" w:eastAsia="zh-CN"/>
        </w:rPr>
        <w:t>暴露半径缩小为18.43m,</w:t>
      </w:r>
      <w:r>
        <w:rPr>
          <w:rFonts w:hint="eastAsia" w:ascii="宋体" w:hAnsi="宋体" w:eastAsia="宋体" w:cs="宋体"/>
          <w:color w:val="auto"/>
          <w:sz w:val="28"/>
          <w:szCs w:val="28"/>
        </w:rPr>
        <w:t>暴露区域面积</w:t>
      </w:r>
      <w:r>
        <w:rPr>
          <w:rFonts w:hint="eastAsia" w:ascii="宋体" w:hAnsi="宋体" w:eastAsia="宋体" w:cs="宋体"/>
          <w:color w:val="auto"/>
          <w:sz w:val="28"/>
          <w:szCs w:val="28"/>
          <w:lang w:eastAsia="zh-CN"/>
        </w:rPr>
        <w:t>缩小</w:t>
      </w:r>
      <w:r>
        <w:rPr>
          <w:rFonts w:hint="eastAsia" w:ascii="宋体" w:hAnsi="宋体" w:eastAsia="宋体" w:cs="宋体"/>
          <w:color w:val="auto"/>
          <w:sz w:val="28"/>
          <w:szCs w:val="28"/>
        </w:rPr>
        <w:t>为1</w:t>
      </w:r>
      <w:r>
        <w:rPr>
          <w:rFonts w:hint="eastAsia" w:ascii="宋体" w:hAnsi="宋体" w:eastAsia="宋体" w:cs="宋体"/>
          <w:color w:val="auto"/>
          <w:sz w:val="28"/>
          <w:szCs w:val="28"/>
          <w:lang w:val="en-US" w:eastAsia="zh-CN"/>
        </w:rPr>
        <w:t>066.5</w:t>
      </w:r>
      <w:r>
        <w:rPr>
          <w:rFonts w:hint="eastAsia" w:ascii="宋体" w:hAnsi="宋体" w:eastAsia="宋体" w:cs="宋体"/>
          <w:color w:val="auto"/>
          <w:sz w:val="28"/>
          <w:szCs w:val="28"/>
        </w:rPr>
        <w:t>m</w:t>
      </w:r>
      <w:r>
        <w:rPr>
          <w:rFonts w:hint="eastAsia" w:ascii="宋体" w:hAnsi="宋体" w:eastAsia="宋体" w:cs="宋体"/>
          <w:color w:val="auto"/>
          <w:sz w:val="28"/>
          <w:szCs w:val="28"/>
          <w:vertAlign w:val="superscript"/>
        </w:rPr>
        <w:t>2</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暴露半径和暴露区域面积内的财产损失从</w:t>
      </w:r>
      <w:r>
        <w:rPr>
          <w:rFonts w:hint="eastAsia" w:ascii="宋体" w:hAnsi="宋体" w:eastAsia="宋体" w:cs="宋体"/>
          <w:color w:val="auto"/>
          <w:sz w:val="28"/>
          <w:szCs w:val="28"/>
        </w:rPr>
        <w:t>68%降低</w:t>
      </w:r>
      <w:r>
        <w:rPr>
          <w:rFonts w:hint="eastAsia" w:ascii="宋体" w:hAnsi="宋体" w:eastAsia="宋体" w:cs="宋体"/>
          <w:color w:val="auto"/>
          <w:sz w:val="28"/>
          <w:szCs w:val="28"/>
          <w:lang w:eastAsia="zh-CN"/>
        </w:rPr>
        <w:t>到</w:t>
      </w:r>
      <w:r>
        <w:rPr>
          <w:rFonts w:hint="eastAsia" w:ascii="宋体" w:hAnsi="宋体" w:eastAsia="宋体" w:cs="宋体"/>
          <w:color w:val="auto"/>
          <w:sz w:val="28"/>
          <w:szCs w:val="28"/>
        </w:rPr>
        <w:t>51%。</w:t>
      </w:r>
    </w:p>
    <w:p>
      <w:pPr>
        <w:pStyle w:val="6"/>
        <w:spacing w:line="500" w:lineRule="exact"/>
        <w:ind w:firstLine="532" w:firstLineChars="200"/>
        <w:rPr>
          <w:rFonts w:hint="eastAsia" w:ascii="宋体" w:hAnsi="宋体" w:eastAsia="宋体" w:cs="宋体"/>
          <w:spacing w:val="-7"/>
        </w:rPr>
      </w:pPr>
    </w:p>
    <w:p>
      <w:pPr>
        <w:rPr>
          <w:rFonts w:hint="eastAsia" w:ascii="宋体" w:hAnsi="宋体" w:eastAsia="宋体" w:cs="宋体"/>
        </w:rPr>
      </w:pPr>
    </w:p>
    <w:p>
      <w:pPr>
        <w:rPr>
          <w:rFonts w:hint="eastAsia" w:ascii="宋体" w:hAnsi="宋体" w:eastAsia="宋体" w:cs="宋体"/>
        </w:rPr>
      </w:pPr>
      <w:r>
        <w:rPr>
          <w:rFonts w:hint="eastAsia" w:ascii="宋体" w:hAnsi="宋体" w:eastAsia="宋体" w:cs="宋体"/>
        </w:rPr>
        <w:br w:type="page"/>
      </w:r>
    </w:p>
    <w:p>
      <w:pPr>
        <w:pStyle w:val="2"/>
        <w:spacing w:before="240" w:beforeLines="100" w:after="240" w:afterLines="100"/>
        <w:ind w:firstLine="0"/>
        <w:jc w:val="center"/>
        <w:rPr>
          <w:rFonts w:hint="eastAsia" w:ascii="宋体" w:hAnsi="宋体" w:eastAsia="宋体" w:cs="宋体"/>
        </w:rPr>
      </w:pPr>
      <w:bookmarkStart w:id="425" w:name="_Toc7548"/>
      <w:bookmarkStart w:id="426" w:name="_Toc7798"/>
      <w:bookmarkStart w:id="427" w:name="_Toc10572_WPSOffice_Level1"/>
      <w:bookmarkStart w:id="428" w:name="_Toc2391_WPSOffice_Level1"/>
      <w:bookmarkStart w:id="429" w:name="_Toc25048_WPSOffice_Level1"/>
      <w:bookmarkStart w:id="430" w:name="_Toc23420"/>
      <w:r>
        <w:rPr>
          <w:rFonts w:hint="eastAsia" w:ascii="宋体" w:hAnsi="宋体" w:eastAsia="宋体" w:cs="宋体"/>
        </w:rPr>
        <w:t>6 安全条件分析结果</w:t>
      </w:r>
      <w:bookmarkEnd w:id="425"/>
      <w:bookmarkEnd w:id="426"/>
      <w:bookmarkEnd w:id="427"/>
      <w:bookmarkEnd w:id="428"/>
      <w:bookmarkEnd w:id="429"/>
      <w:bookmarkEnd w:id="430"/>
    </w:p>
    <w:p>
      <w:pPr>
        <w:pStyle w:val="3"/>
        <w:tabs>
          <w:tab w:val="left" w:pos="4077"/>
        </w:tabs>
        <w:spacing w:before="240" w:beforeLines="100" w:after="240" w:afterLines="100"/>
        <w:ind w:left="1" w:leftChars="-71" w:hanging="157" w:hangingChars="49"/>
        <w:jc w:val="center"/>
        <w:rPr>
          <w:rFonts w:hint="eastAsia" w:ascii="宋体" w:hAnsi="宋体" w:eastAsia="宋体" w:cs="宋体"/>
          <w:b/>
          <w:bCs/>
        </w:rPr>
      </w:pPr>
      <w:bookmarkStart w:id="431" w:name="_Toc31906_WPSOffice_Level2"/>
      <w:bookmarkStart w:id="432" w:name="_Toc2929"/>
      <w:bookmarkStart w:id="433" w:name="_Toc14945_WPSOffice_Level2"/>
      <w:bookmarkStart w:id="434" w:name="_Toc30923_WPSOffice_Level2"/>
      <w:bookmarkStart w:id="435" w:name="_Toc4388"/>
      <w:bookmarkStart w:id="436" w:name="_Toc24530"/>
      <w:r>
        <w:rPr>
          <w:rFonts w:hint="eastAsia" w:ascii="宋体" w:hAnsi="宋体" w:eastAsia="宋体" w:cs="宋体"/>
          <w:b/>
          <w:bCs/>
        </w:rPr>
        <w:t>6.1 建设项目内在的危险、有害因素对周边</w:t>
      </w:r>
      <w:r>
        <w:rPr>
          <w:rFonts w:hint="eastAsia" w:ascii="宋体" w:hAnsi="宋体" w:eastAsia="宋体" w:cs="宋体"/>
          <w:b/>
          <w:bCs/>
          <w:lang w:eastAsia="zh-CN"/>
        </w:rPr>
        <w:t>环境</w:t>
      </w:r>
      <w:r>
        <w:rPr>
          <w:rFonts w:hint="eastAsia" w:ascii="宋体" w:hAnsi="宋体" w:eastAsia="宋体" w:cs="宋体"/>
          <w:b/>
          <w:bCs/>
        </w:rPr>
        <w:t>的影响分析</w:t>
      </w:r>
      <w:bookmarkEnd w:id="431"/>
      <w:bookmarkEnd w:id="432"/>
      <w:bookmarkEnd w:id="433"/>
      <w:bookmarkEnd w:id="434"/>
      <w:bookmarkEnd w:id="435"/>
      <w:bookmarkEnd w:id="436"/>
    </w:p>
    <w:p>
      <w:pPr>
        <w:keepNext w:val="0"/>
        <w:keepLines w:val="0"/>
        <w:pageBreakBefore w:val="0"/>
        <w:kinsoku/>
        <w:wordWrap/>
        <w:overflowPunct/>
        <w:topLinePunct w:val="0"/>
        <w:autoSpaceDE w:val="0"/>
        <w:autoSpaceDN w:val="0"/>
        <w:bidi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评价组按照《危险化学品管理条例》、《危险化学品建设项目安全监督管理办法》的相关要求，对</w:t>
      </w:r>
      <w:r>
        <w:rPr>
          <w:rFonts w:hint="eastAsia" w:ascii="宋体" w:hAnsi="宋体" w:eastAsia="宋体" w:cs="宋体"/>
          <w:sz w:val="28"/>
          <w:szCs w:val="28"/>
          <w:lang w:eastAsia="zh-CN"/>
        </w:rPr>
        <w:t>横坑</w:t>
      </w:r>
      <w:r>
        <w:rPr>
          <w:rFonts w:hint="eastAsia" w:ascii="宋体" w:hAnsi="宋体" w:eastAsia="宋体" w:cs="宋体"/>
          <w:sz w:val="28"/>
          <w:szCs w:val="28"/>
        </w:rPr>
        <w:t>加油站建设项目的安全条件进行了分析、检查，结果如下：</w:t>
      </w:r>
    </w:p>
    <w:p>
      <w:pPr>
        <w:keepNext w:val="0"/>
        <w:keepLines w:val="0"/>
        <w:pageBreakBefore w:val="0"/>
        <w:widowControl/>
        <w:kinsoku/>
        <w:wordWrap/>
        <w:overflowPunct/>
        <w:topLinePunct w:val="0"/>
        <w:autoSpaceDE w:val="0"/>
        <w:autoSpaceDN w:val="0"/>
        <w:bidi w:val="0"/>
        <w:adjustRightInd w:val="0"/>
        <w:snapToGrid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1）该加油站改建前后均为二级加油站，其选址符合《汽车加油加气站设计与施工规范》（GB50156-2012，2014年修订版）的要求。</w:t>
      </w:r>
    </w:p>
    <w:p>
      <w:pPr>
        <w:keepNext w:val="0"/>
        <w:keepLines w:val="0"/>
        <w:pageBreakBefore w:val="0"/>
        <w:kinsoku/>
        <w:wordWrap/>
        <w:overflowPunct/>
        <w:topLinePunct w:val="0"/>
        <w:autoSpaceDE w:val="0"/>
        <w:autoSpaceDN w:val="0"/>
        <w:bidi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2）该加油站改建项目与周边建、构筑物的防火间距符合《汽车加油加气站设计与施工规范》（GB50156-2012，2014年修订版）相关要求。</w:t>
      </w:r>
    </w:p>
    <w:p>
      <w:pPr>
        <w:pStyle w:val="6"/>
        <w:keepNext w:val="0"/>
        <w:keepLines w:val="0"/>
        <w:pageBreakBefore w:val="0"/>
        <w:kinsoku/>
        <w:wordWrap/>
        <w:overflowPunct/>
        <w:topLinePunct w:val="0"/>
        <w:autoSpaceDE w:val="0"/>
        <w:autoSpaceDN w:val="0"/>
        <w:bidi w:val="0"/>
        <w:spacing w:line="560" w:lineRule="exact"/>
        <w:ind w:firstLine="560" w:firstLineChars="200"/>
        <w:jc w:val="both"/>
        <w:textAlignment w:val="auto"/>
        <w:rPr>
          <w:rFonts w:hint="eastAsia" w:ascii="宋体" w:hAnsi="宋体" w:eastAsia="宋体" w:cs="宋体"/>
          <w:spacing w:val="-7"/>
        </w:rPr>
      </w:pPr>
      <w:r>
        <w:rPr>
          <w:rFonts w:hint="eastAsia" w:ascii="宋体" w:hAnsi="宋体" w:eastAsia="宋体" w:cs="宋体"/>
          <w:sz w:val="28"/>
          <w:szCs w:val="28"/>
        </w:rPr>
        <w:t>3）</w:t>
      </w:r>
      <w:r>
        <w:rPr>
          <w:rFonts w:hint="eastAsia" w:ascii="宋体" w:hAnsi="宋体" w:eastAsia="宋体" w:cs="宋体"/>
          <w:spacing w:val="-7"/>
          <w:sz w:val="28"/>
          <w:szCs w:val="28"/>
          <w:lang w:val="zh-CN" w:bidi="zh-CN"/>
        </w:rPr>
        <w:t>根据前面第</w:t>
      </w:r>
      <w:r>
        <w:rPr>
          <w:rFonts w:hint="eastAsia" w:ascii="宋体" w:hAnsi="宋体" w:eastAsia="宋体" w:cs="宋体"/>
          <w:spacing w:val="-7"/>
          <w:sz w:val="28"/>
          <w:szCs w:val="28"/>
          <w:lang w:val="en-US" w:bidi="zh-CN"/>
        </w:rPr>
        <w:t>5</w:t>
      </w:r>
      <w:r>
        <w:rPr>
          <w:rFonts w:hint="eastAsia" w:ascii="宋体" w:hAnsi="宋体" w:eastAsia="宋体" w:cs="宋体"/>
          <w:spacing w:val="-7"/>
          <w:sz w:val="28"/>
          <w:szCs w:val="28"/>
          <w:lang w:val="zh-CN" w:bidi="zh-CN"/>
        </w:rPr>
        <w:t>章建设项目的火灾、爆炸危险性评价，若油罐区的汽油罐组发生火灾、爆炸事故，</w:t>
      </w:r>
      <w:r>
        <w:rPr>
          <w:rFonts w:hint="eastAsia" w:ascii="宋体" w:hAnsi="宋体" w:eastAsia="宋体" w:cs="宋体"/>
          <w:sz w:val="28"/>
          <w:szCs w:val="28"/>
        </w:rPr>
        <w:t>汽油罐区作业单元的火灾、爆炸危险指数为96，属于“较轻”的危险程度，影响半径为24.6m。采取安全措施补偿后，汽油卸油作业单元火灾爆炸指数降为7</w:t>
      </w:r>
      <w:r>
        <w:rPr>
          <w:rFonts w:hint="eastAsia" w:ascii="宋体" w:hAnsi="宋体" w:eastAsia="宋体" w:cs="宋体"/>
          <w:sz w:val="28"/>
          <w:szCs w:val="28"/>
          <w:lang w:val="en-US" w:eastAsia="zh-CN"/>
        </w:rPr>
        <w:t>2</w:t>
      </w:r>
      <w:r>
        <w:rPr>
          <w:rFonts w:hint="eastAsia" w:ascii="宋体" w:hAnsi="宋体" w:eastAsia="宋体" w:cs="宋体"/>
          <w:sz w:val="28"/>
          <w:szCs w:val="28"/>
        </w:rPr>
        <w:t>，危险程度仍然为“较轻”，影响半径</w:t>
      </w:r>
      <w:r>
        <w:rPr>
          <w:rFonts w:hint="eastAsia" w:ascii="宋体" w:hAnsi="宋体" w:eastAsia="宋体" w:cs="宋体"/>
          <w:sz w:val="28"/>
          <w:szCs w:val="28"/>
          <w:lang w:eastAsia="zh-CN"/>
        </w:rPr>
        <w:t>降</w:t>
      </w:r>
      <w:r>
        <w:rPr>
          <w:rFonts w:hint="eastAsia" w:ascii="宋体" w:hAnsi="宋体" w:eastAsia="宋体" w:cs="宋体"/>
          <w:sz w:val="28"/>
          <w:szCs w:val="28"/>
        </w:rPr>
        <w:t>为</w:t>
      </w:r>
      <w:r>
        <w:rPr>
          <w:rFonts w:hint="eastAsia" w:ascii="宋体" w:hAnsi="宋体" w:eastAsia="宋体" w:cs="宋体"/>
          <w:sz w:val="28"/>
          <w:szCs w:val="28"/>
          <w:lang w:val="en-US" w:eastAsia="zh-CN"/>
        </w:rPr>
        <w:t>18.43</w:t>
      </w:r>
      <w:r>
        <w:rPr>
          <w:rFonts w:hint="eastAsia" w:ascii="宋体" w:hAnsi="宋体" w:eastAsia="宋体" w:cs="宋体"/>
          <w:sz w:val="28"/>
          <w:szCs w:val="28"/>
        </w:rPr>
        <w:t>m。这说明该加油站设置的安全设施在得到落实时对降低汽油罐区作业单元的危险程度是有效的。但同时也说明，如果安全措施损坏或状态不好，装置的危险等级仍会回升</w:t>
      </w:r>
      <w:r>
        <w:rPr>
          <w:rFonts w:hint="eastAsia" w:ascii="宋体" w:hAnsi="宋体" w:eastAsia="宋体" w:cs="宋体"/>
          <w:spacing w:val="-7"/>
        </w:rPr>
        <w:t>。</w:t>
      </w:r>
    </w:p>
    <w:p>
      <w:pPr>
        <w:spacing w:line="520" w:lineRule="exact"/>
        <w:ind w:firstLine="560" w:firstLineChars="200"/>
        <w:rPr>
          <w:rFonts w:hint="eastAsia" w:ascii="宋体" w:hAnsi="宋体" w:eastAsia="宋体" w:cs="宋体"/>
          <w:color w:val="000000"/>
          <w:sz w:val="28"/>
          <w:szCs w:val="28"/>
          <w:highlight w:val="none"/>
        </w:rPr>
      </w:pPr>
      <w:bookmarkStart w:id="437" w:name="_Toc391905360"/>
      <w:bookmarkStart w:id="438" w:name="_Toc339441672"/>
      <w:bookmarkStart w:id="439" w:name="_Toc339441332"/>
      <w:bookmarkStart w:id="440" w:name="_Toc391978445"/>
      <w:r>
        <w:rPr>
          <w:rFonts w:hint="eastAsia" w:ascii="宋体" w:hAnsi="宋体" w:eastAsia="宋体" w:cs="宋体"/>
          <w:color w:val="000000"/>
          <w:sz w:val="28"/>
          <w:szCs w:val="28"/>
          <w:highlight w:val="none"/>
          <w:lang w:eastAsia="zh-CN"/>
        </w:rPr>
        <w:t>综上所述，该</w:t>
      </w:r>
      <w:r>
        <w:rPr>
          <w:rFonts w:hint="eastAsia" w:ascii="宋体" w:hAnsi="宋体" w:eastAsia="宋体" w:cs="宋体"/>
          <w:color w:val="000000"/>
          <w:sz w:val="28"/>
          <w:szCs w:val="28"/>
          <w:highlight w:val="none"/>
        </w:rPr>
        <w:t>加油站对周边环境的影响在可接受范围内。</w:t>
      </w:r>
    </w:p>
    <w:bookmarkEnd w:id="437"/>
    <w:bookmarkEnd w:id="438"/>
    <w:bookmarkEnd w:id="439"/>
    <w:bookmarkEnd w:id="440"/>
    <w:p>
      <w:pPr>
        <w:pStyle w:val="3"/>
        <w:tabs>
          <w:tab w:val="left" w:pos="4077"/>
        </w:tabs>
        <w:spacing w:before="240" w:beforeLines="100" w:after="240" w:afterLines="100"/>
        <w:ind w:left="1" w:leftChars="-71" w:hanging="157" w:hangingChars="49"/>
        <w:jc w:val="center"/>
        <w:rPr>
          <w:rFonts w:hint="eastAsia" w:ascii="宋体" w:hAnsi="宋体" w:eastAsia="宋体" w:cs="宋体"/>
          <w:b/>
          <w:bCs/>
        </w:rPr>
      </w:pPr>
      <w:bookmarkStart w:id="441" w:name="_Toc4173_WPSOffice_Level2"/>
      <w:bookmarkStart w:id="442" w:name="_Toc27546_WPSOffice_Level2"/>
      <w:bookmarkStart w:id="443" w:name="_Toc694"/>
      <w:bookmarkStart w:id="444" w:name="_Toc14866_WPSOffice_Level2"/>
      <w:bookmarkStart w:id="445" w:name="_Toc9111"/>
      <w:bookmarkStart w:id="446" w:name="_Toc16465"/>
      <w:r>
        <w:rPr>
          <w:rFonts w:hint="eastAsia" w:ascii="宋体" w:hAnsi="宋体" w:eastAsia="宋体" w:cs="宋体"/>
          <w:b/>
          <w:bCs/>
          <w:lang w:val="en-US"/>
        </w:rPr>
        <w:t xml:space="preserve">6.2 </w:t>
      </w:r>
      <w:r>
        <w:rPr>
          <w:rFonts w:hint="eastAsia" w:ascii="宋体" w:hAnsi="宋体" w:eastAsia="宋体" w:cs="宋体"/>
          <w:b/>
          <w:bCs/>
        </w:rPr>
        <w:t>周边环境对项目的影响</w:t>
      </w:r>
      <w:bookmarkEnd w:id="441"/>
      <w:bookmarkEnd w:id="442"/>
      <w:bookmarkEnd w:id="443"/>
      <w:bookmarkEnd w:id="444"/>
      <w:bookmarkEnd w:id="445"/>
      <w:bookmarkEnd w:id="446"/>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本建设项目属改建项目，原已取得《营业执照》、《危险化学品经营许可证》、《成品油零售经营批准证书》等相关证照文书。建设项目位</w:t>
      </w:r>
      <w:r>
        <w:rPr>
          <w:rFonts w:hint="eastAsia" w:ascii="宋体" w:hAnsi="宋体" w:eastAsia="宋体" w:cs="宋体"/>
          <w:color w:val="auto"/>
          <w:spacing w:val="-7"/>
          <w:sz w:val="28"/>
          <w:szCs w:val="28"/>
        </w:rPr>
        <w:t>于</w:t>
      </w:r>
      <w:r>
        <w:rPr>
          <w:rFonts w:hint="eastAsia" w:ascii="宋体" w:hAnsi="宋体" w:eastAsia="宋体" w:cs="宋体"/>
          <w:sz w:val="28"/>
          <w:szCs w:val="28"/>
        </w:rPr>
        <w:t>广东省东莞市寮步镇莞樟路寮步段192号101室</w:t>
      </w:r>
      <w:r>
        <w:rPr>
          <w:rFonts w:hint="eastAsia" w:ascii="宋体" w:hAnsi="宋体" w:eastAsia="宋体" w:cs="宋体"/>
          <w:color w:val="auto"/>
          <w:spacing w:val="-7"/>
          <w:sz w:val="28"/>
          <w:szCs w:val="28"/>
        </w:rPr>
        <w:t>，加油站</w:t>
      </w:r>
      <w:r>
        <w:rPr>
          <w:rFonts w:hint="eastAsia" w:ascii="宋体" w:hAnsi="宋体" w:eastAsia="宋体" w:cs="宋体"/>
          <w:color w:val="auto"/>
          <w:spacing w:val="-7"/>
          <w:sz w:val="28"/>
          <w:szCs w:val="28"/>
          <w:lang w:eastAsia="zh-CN"/>
        </w:rPr>
        <w:t>北</w:t>
      </w:r>
      <w:r>
        <w:rPr>
          <w:rFonts w:hint="eastAsia" w:ascii="宋体" w:hAnsi="宋体" w:eastAsia="宋体" w:cs="宋体"/>
          <w:color w:val="auto"/>
          <w:spacing w:val="-7"/>
          <w:sz w:val="28"/>
          <w:szCs w:val="28"/>
        </w:rPr>
        <w:t>面为</w:t>
      </w:r>
      <w:r>
        <w:rPr>
          <w:rFonts w:hint="eastAsia" w:ascii="宋体" w:hAnsi="宋体" w:eastAsia="宋体" w:cs="宋体"/>
          <w:sz w:val="28"/>
          <w:szCs w:val="28"/>
        </w:rPr>
        <w:t>莞樟路</w:t>
      </w:r>
      <w:r>
        <w:rPr>
          <w:rFonts w:hint="eastAsia" w:ascii="宋体" w:hAnsi="宋体" w:eastAsia="宋体" w:cs="宋体"/>
          <w:color w:val="auto"/>
          <w:sz w:val="28"/>
          <w:szCs w:val="28"/>
          <w:lang w:eastAsia="zh-CN"/>
        </w:rPr>
        <w:t>（主干路）</w:t>
      </w:r>
      <w:r>
        <w:rPr>
          <w:rFonts w:hint="eastAsia" w:ascii="宋体" w:hAnsi="宋体" w:eastAsia="宋体" w:cs="宋体"/>
          <w:color w:val="auto"/>
          <w:spacing w:val="-7"/>
          <w:sz w:val="28"/>
          <w:szCs w:val="28"/>
        </w:rPr>
        <w:t>，所在地交通便利，易于消防救护和人员疏散。建设项目的汽油设备、柴油设备与站外的建构筑物均保持符合国家规范要求的</w:t>
      </w:r>
      <w:r>
        <w:rPr>
          <w:rFonts w:hint="eastAsia" w:ascii="宋体" w:hAnsi="宋体" w:eastAsia="宋体" w:cs="宋体"/>
          <w:spacing w:val="-7"/>
          <w:sz w:val="28"/>
          <w:szCs w:val="28"/>
        </w:rPr>
        <w:t>安全距离。因此，正常情况下，周边社区对建设项目的安全生产影响较小。</w:t>
      </w:r>
    </w:p>
    <w:p>
      <w:pPr>
        <w:pStyle w:val="3"/>
        <w:tabs>
          <w:tab w:val="left" w:pos="4077"/>
        </w:tabs>
        <w:spacing w:before="240" w:beforeLines="100" w:after="240" w:afterLines="100"/>
        <w:ind w:left="1" w:leftChars="-71" w:hanging="157" w:hangingChars="49"/>
        <w:jc w:val="center"/>
        <w:rPr>
          <w:rFonts w:hint="eastAsia" w:ascii="宋体" w:hAnsi="宋体" w:eastAsia="宋体" w:cs="宋体"/>
          <w:b/>
          <w:bCs/>
          <w:lang w:val="en-US"/>
        </w:rPr>
      </w:pPr>
      <w:bookmarkStart w:id="447" w:name="_Toc15600"/>
      <w:bookmarkStart w:id="448" w:name="_Toc7833_WPSOffice_Level2"/>
      <w:bookmarkStart w:id="449" w:name="_Toc23623_WPSOffice_Level2"/>
      <w:bookmarkStart w:id="450" w:name="_Toc24760"/>
      <w:bookmarkStart w:id="451" w:name="_Toc9037_WPSOffice_Level2"/>
      <w:bookmarkStart w:id="452" w:name="_Toc8767"/>
      <w:r>
        <w:rPr>
          <w:rFonts w:hint="eastAsia" w:ascii="宋体" w:hAnsi="宋体" w:eastAsia="宋体" w:cs="宋体"/>
          <w:b/>
          <w:bCs/>
          <w:lang w:val="en-US"/>
        </w:rPr>
        <w:t>6.3 自然条件对项目的影响</w:t>
      </w:r>
      <w:bookmarkEnd w:id="447"/>
      <w:bookmarkEnd w:id="448"/>
      <w:bookmarkEnd w:id="449"/>
      <w:bookmarkEnd w:id="450"/>
      <w:bookmarkEnd w:id="451"/>
      <w:bookmarkEnd w:id="452"/>
    </w:p>
    <w:p>
      <w:pPr>
        <w:pStyle w:val="6"/>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textAlignment w:val="auto"/>
        <w:rPr>
          <w:rFonts w:hint="eastAsia" w:ascii="宋体" w:hAnsi="宋体" w:eastAsia="宋体" w:cs="宋体"/>
          <w:spacing w:val="-7"/>
        </w:rPr>
      </w:pPr>
      <w:r>
        <w:rPr>
          <w:rFonts w:hint="eastAsia" w:ascii="宋体" w:hAnsi="宋体" w:eastAsia="宋体" w:cs="宋体"/>
          <w:spacing w:val="-7"/>
        </w:rPr>
        <w:t>自然条件的影响主要体现在地质、水文、气象等各种因素对建设项目工艺装置、设施的影响。</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lang w:val="zh-CN" w:eastAsia="zh-CN" w:bidi="zh-CN"/>
        </w:rPr>
      </w:pPr>
      <w:r>
        <w:rPr>
          <w:rFonts w:hint="eastAsia" w:ascii="宋体" w:hAnsi="宋体" w:eastAsia="宋体" w:cs="宋体"/>
          <w:spacing w:val="-7"/>
          <w:sz w:val="28"/>
          <w:szCs w:val="28"/>
          <w:lang w:val="zh-CN" w:eastAsia="zh-CN" w:bidi="zh-CN"/>
        </w:rPr>
        <w:t>建设项目所在地没有危险地质现象和隐伏的不良物料地质现象，没有近发的地质灾害，地震抗震设防烈度为</w:t>
      </w:r>
      <w:r>
        <w:rPr>
          <w:rFonts w:hint="eastAsia" w:ascii="宋体" w:hAnsi="宋体" w:eastAsia="宋体" w:cs="宋体"/>
          <w:spacing w:val="-7"/>
          <w:sz w:val="28"/>
          <w:szCs w:val="28"/>
          <w:lang w:val="en-US" w:eastAsia="zh-CN" w:bidi="zh-CN"/>
        </w:rPr>
        <w:t>6</w:t>
      </w:r>
      <w:r>
        <w:rPr>
          <w:rFonts w:hint="eastAsia" w:ascii="宋体" w:hAnsi="宋体" w:eastAsia="宋体" w:cs="宋体"/>
          <w:spacing w:val="-7"/>
          <w:sz w:val="28"/>
          <w:szCs w:val="28"/>
          <w:lang w:val="zh-CN" w:eastAsia="zh-CN" w:bidi="zh-CN"/>
        </w:rPr>
        <w:t>度，设计基本地震加速度值为0.</w:t>
      </w:r>
      <w:r>
        <w:rPr>
          <w:rFonts w:hint="eastAsia" w:ascii="宋体" w:hAnsi="宋体" w:eastAsia="宋体" w:cs="宋体"/>
          <w:spacing w:val="-7"/>
          <w:sz w:val="28"/>
          <w:szCs w:val="28"/>
          <w:lang w:val="en-US" w:eastAsia="zh-CN" w:bidi="zh-CN"/>
        </w:rPr>
        <w:t>05</w:t>
      </w:r>
      <w:r>
        <w:rPr>
          <w:rFonts w:hint="eastAsia" w:ascii="宋体" w:hAnsi="宋体" w:eastAsia="宋体" w:cs="宋体"/>
          <w:spacing w:val="-7"/>
          <w:sz w:val="28"/>
          <w:szCs w:val="28"/>
          <w:lang w:val="zh-CN" w:eastAsia="zh-CN" w:bidi="zh-CN"/>
        </w:rPr>
        <w:t>g，地震对油罐、加油机、加油罩棚、站房等建、构筑物和设备设施有破坏作用，项目设计考虑地基强度，并按规范进行抗震设防。</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lang w:val="zh-CN" w:eastAsia="zh-CN" w:bidi="zh-CN"/>
        </w:rPr>
      </w:pPr>
      <w:r>
        <w:rPr>
          <w:rFonts w:hint="eastAsia" w:ascii="宋体" w:hAnsi="宋体" w:eastAsia="宋体" w:cs="宋体"/>
          <w:spacing w:val="-7"/>
          <w:sz w:val="28"/>
          <w:szCs w:val="28"/>
          <w:lang w:val="zh-CN" w:eastAsia="zh-CN" w:bidi="zh-CN"/>
        </w:rPr>
        <w:t>建设项目地面排水条件良好，雨水均可及时排出站外。油罐埋地敷设，已采用钢带紧固抗浮防止油罐受地下水作用而上浮。</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lang w:val="zh-CN" w:eastAsia="zh-CN" w:bidi="zh-CN"/>
        </w:rPr>
      </w:pPr>
      <w:r>
        <w:rPr>
          <w:rFonts w:hint="eastAsia" w:ascii="宋体" w:hAnsi="宋体" w:eastAsia="宋体" w:cs="宋体"/>
          <w:spacing w:val="-7"/>
          <w:sz w:val="28"/>
          <w:szCs w:val="28"/>
          <w:lang w:val="zh-CN" w:eastAsia="zh-CN" w:bidi="zh-CN"/>
        </w:rPr>
        <w:t>建设项目地处亚热带季风气候，夏、秋季节会有热带风暴袭击，雷暴天气对加油站的安全运营会有影响，建设项目的建构筑物、储存设施均可能受到雷电、风暴的袭击。油品具有一定燃爆性，防雷措施尤其重要。如果防雷措施不当，接地不良，接地电阻超标，可能发生雷电灾害，造成设施受损、财产损失、甚至人员伤亡事故。</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lang w:val="zh-CN" w:eastAsia="zh-CN" w:bidi="zh-CN"/>
        </w:rPr>
      </w:pPr>
      <w:r>
        <w:rPr>
          <w:rFonts w:hint="eastAsia" w:ascii="宋体" w:hAnsi="宋体" w:eastAsia="宋体" w:cs="宋体"/>
          <w:spacing w:val="-7"/>
          <w:sz w:val="28"/>
          <w:szCs w:val="28"/>
          <w:lang w:val="zh-CN" w:eastAsia="zh-CN" w:bidi="zh-CN"/>
        </w:rPr>
        <w:t>雨水天气空气湿度较大，对加油站的电气设备有一定的影响，可造成电气线路绝缘性能下降、电气线路短路，容易产生电气伤害事故。</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lang w:val="zh-CN" w:eastAsia="zh-CN" w:bidi="zh-CN"/>
        </w:rPr>
      </w:pPr>
      <w:r>
        <w:rPr>
          <w:rFonts w:hint="eastAsia" w:ascii="宋体" w:hAnsi="宋体" w:eastAsia="宋体" w:cs="宋体"/>
          <w:spacing w:val="-7"/>
          <w:sz w:val="28"/>
          <w:szCs w:val="28"/>
          <w:lang w:val="zh-CN" w:eastAsia="zh-CN" w:bidi="zh-CN"/>
        </w:rPr>
        <w:t>综上所述，当地自然条件对建设项目有一定程度的影响。建设项目在进行具体施工时，应充分考虑上述分析的危险有害因素，进一步完善相应的防台风、防潮、防雷、防静电、防腐、降温等技术安全措施，最大限度地降低自然条件对加油站的影响，确保加油站安全运行。</w:t>
      </w:r>
    </w:p>
    <w:p>
      <w:pPr>
        <w:pStyle w:val="3"/>
        <w:tabs>
          <w:tab w:val="left" w:pos="4077"/>
        </w:tabs>
        <w:spacing w:before="240" w:beforeLines="100" w:after="240" w:afterLines="100"/>
        <w:ind w:left="1" w:leftChars="-71" w:hanging="157" w:hangingChars="49"/>
        <w:jc w:val="center"/>
        <w:rPr>
          <w:rFonts w:hint="eastAsia" w:ascii="宋体" w:hAnsi="宋体" w:eastAsia="宋体" w:cs="宋体"/>
          <w:b/>
          <w:bCs/>
          <w:lang w:val="en-US"/>
        </w:rPr>
      </w:pPr>
      <w:bookmarkStart w:id="453" w:name="_Toc19953_WPSOffice_Level2"/>
      <w:bookmarkStart w:id="454" w:name="_Toc28691"/>
      <w:bookmarkStart w:id="455" w:name="_Toc17365"/>
      <w:bookmarkStart w:id="456" w:name="_Toc9831_WPSOffice_Level2"/>
      <w:bookmarkStart w:id="457" w:name="_Toc29480_WPSOffice_Level2"/>
      <w:bookmarkStart w:id="458" w:name="_Toc20072"/>
      <w:r>
        <w:rPr>
          <w:rFonts w:hint="eastAsia" w:ascii="宋体" w:hAnsi="宋体" w:eastAsia="宋体" w:cs="宋体"/>
          <w:b/>
          <w:bCs/>
          <w:lang w:val="en-US"/>
        </w:rPr>
        <w:t>6.4 安全条件分析结果</w:t>
      </w:r>
      <w:bookmarkEnd w:id="453"/>
      <w:bookmarkEnd w:id="454"/>
      <w:bookmarkEnd w:id="455"/>
      <w:bookmarkEnd w:id="456"/>
      <w:bookmarkEnd w:id="457"/>
      <w:bookmarkEnd w:id="458"/>
    </w:p>
    <w:p>
      <w:pPr>
        <w:pStyle w:val="6"/>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textAlignment w:val="auto"/>
        <w:rPr>
          <w:rFonts w:hint="eastAsia" w:ascii="宋体" w:hAnsi="宋体" w:eastAsia="宋体" w:cs="宋体"/>
          <w:spacing w:val="-7"/>
        </w:rPr>
      </w:pPr>
      <w:r>
        <w:rPr>
          <w:rFonts w:hint="eastAsia" w:ascii="宋体" w:hAnsi="宋体" w:eastAsia="宋体" w:cs="宋体"/>
          <w:spacing w:val="-7"/>
        </w:rPr>
        <w:t>建设项目的工艺过程中采用密闭卸油方式，同时采用汽油卸油、加油油气回收系统，油气可以做到达标排放，对周边社区、环境影响较小。但事故状态下，对周边社区会有一些影响，应严格落实相应的安全对策措施，做好事故的预防工作，防止油品泄漏、火灾、爆炸等事故的发生。周边社区对建设项目的安全生产基本没有影响，但仍应关注周边环境情况的变化，预防周边社区发生火灾事故对建设项目造成影响。自然条件对建设项目有一定的影响，应采取相应的防范措施，确保建设项目安全运行。</w:t>
      </w:r>
    </w:p>
    <w:p>
      <w:pPr>
        <w:rPr>
          <w:rFonts w:hint="eastAsia" w:ascii="宋体" w:hAnsi="宋体" w:eastAsia="宋体" w:cs="宋体"/>
          <w:spacing w:val="-7"/>
        </w:rPr>
      </w:pPr>
      <w:r>
        <w:rPr>
          <w:rFonts w:hint="eastAsia" w:ascii="宋体" w:hAnsi="宋体" w:eastAsia="宋体" w:cs="宋体"/>
          <w:spacing w:val="-7"/>
        </w:rPr>
        <w:br w:type="page"/>
      </w:r>
    </w:p>
    <w:p>
      <w:pPr>
        <w:pStyle w:val="2"/>
        <w:spacing w:before="240" w:beforeLines="100" w:after="240" w:afterLines="100"/>
        <w:ind w:firstLine="0"/>
        <w:jc w:val="center"/>
        <w:rPr>
          <w:rFonts w:hint="eastAsia" w:ascii="宋体" w:hAnsi="宋体" w:eastAsia="宋体" w:cs="宋体"/>
        </w:rPr>
      </w:pPr>
      <w:bookmarkStart w:id="459" w:name="_Toc3420"/>
      <w:bookmarkStart w:id="460" w:name="_Toc7728_WPSOffice_Level1"/>
      <w:bookmarkStart w:id="461" w:name="_Toc16696"/>
      <w:bookmarkStart w:id="462" w:name="_Toc123_WPSOffice_Level1"/>
      <w:bookmarkStart w:id="463" w:name="_Toc18063_WPSOffice_Level1"/>
      <w:bookmarkStart w:id="464" w:name="_Toc32640"/>
      <w:r>
        <w:rPr>
          <w:rFonts w:hint="eastAsia" w:ascii="宋体" w:hAnsi="宋体" w:eastAsia="宋体" w:cs="宋体"/>
        </w:rPr>
        <w:t>7 安全生产条件分析结果</w:t>
      </w:r>
      <w:bookmarkEnd w:id="459"/>
      <w:bookmarkEnd w:id="460"/>
      <w:bookmarkEnd w:id="461"/>
      <w:bookmarkEnd w:id="462"/>
      <w:bookmarkEnd w:id="463"/>
      <w:bookmarkEnd w:id="464"/>
    </w:p>
    <w:p>
      <w:pPr>
        <w:pStyle w:val="3"/>
        <w:spacing w:before="240" w:beforeLines="100" w:after="240" w:afterLines="100"/>
        <w:jc w:val="center"/>
        <w:rPr>
          <w:rFonts w:hint="eastAsia" w:ascii="宋体" w:hAnsi="宋体" w:eastAsia="宋体" w:cs="宋体"/>
          <w:b/>
          <w:bCs/>
        </w:rPr>
      </w:pPr>
      <w:bookmarkStart w:id="465" w:name="_Toc20176_WPSOffice_Level2"/>
      <w:bookmarkStart w:id="466" w:name="_Toc22865"/>
      <w:bookmarkStart w:id="467" w:name="_Toc5594"/>
      <w:bookmarkStart w:id="468" w:name="_Toc14339_WPSOffice_Level2"/>
      <w:bookmarkStart w:id="469" w:name="_Toc26802_WPSOffice_Level2"/>
      <w:bookmarkStart w:id="470" w:name="_Toc2348"/>
      <w:r>
        <w:rPr>
          <w:rFonts w:hint="eastAsia" w:ascii="宋体" w:hAnsi="宋体" w:eastAsia="宋体" w:cs="宋体"/>
          <w:b/>
          <w:bCs/>
        </w:rPr>
        <w:t>7.1 安全设施及主要安全技术措施分析结果</w:t>
      </w:r>
      <w:bookmarkEnd w:id="465"/>
      <w:bookmarkEnd w:id="466"/>
      <w:bookmarkEnd w:id="467"/>
      <w:bookmarkEnd w:id="468"/>
      <w:bookmarkEnd w:id="469"/>
      <w:bookmarkEnd w:id="470"/>
    </w:p>
    <w:p>
      <w:pPr>
        <w:pStyle w:val="4"/>
        <w:spacing w:before="240" w:beforeLines="100" w:after="240" w:afterLines="100" w:line="240" w:lineRule="auto"/>
        <w:ind w:firstLine="562" w:firstLineChars="200"/>
        <w:rPr>
          <w:rFonts w:hint="eastAsia" w:ascii="宋体" w:hAnsi="宋体" w:eastAsia="宋体" w:cs="宋体"/>
          <w:sz w:val="28"/>
          <w:szCs w:val="28"/>
          <w:lang w:val="en-US"/>
        </w:rPr>
      </w:pPr>
      <w:bookmarkStart w:id="471" w:name="_Toc239_WPSOffice_Level3"/>
      <w:bookmarkStart w:id="472" w:name="_Toc18063_WPSOffice_Level3"/>
      <w:r>
        <w:rPr>
          <w:rFonts w:hint="eastAsia" w:ascii="宋体" w:hAnsi="宋体" w:eastAsia="宋体" w:cs="宋体"/>
          <w:sz w:val="28"/>
          <w:szCs w:val="28"/>
          <w:lang w:val="en-US"/>
        </w:rPr>
        <w:t>7.1.1 加油站现有的安全设施及措施</w:t>
      </w:r>
      <w:bookmarkEnd w:id="471"/>
      <w:bookmarkEnd w:id="472"/>
    </w:p>
    <w:p>
      <w:pPr>
        <w:jc w:val="center"/>
        <w:rPr>
          <w:rFonts w:hint="eastAsia" w:ascii="宋体" w:hAnsi="宋体" w:eastAsia="宋体" w:cs="宋体"/>
          <w:sz w:val="24"/>
          <w:szCs w:val="24"/>
          <w:lang w:val="en-US"/>
        </w:rPr>
      </w:pPr>
      <w:bookmarkStart w:id="473" w:name="_Toc7074_WPSOffice_Level3"/>
      <w:bookmarkStart w:id="474" w:name="_Toc7682_WPSOffice_Level3"/>
      <w:r>
        <w:rPr>
          <w:rFonts w:hint="eastAsia" w:ascii="宋体" w:hAnsi="宋体" w:eastAsia="宋体" w:cs="宋体"/>
          <w:sz w:val="24"/>
          <w:szCs w:val="24"/>
        </w:rPr>
        <w:t>表7</w:t>
      </w:r>
      <w:r>
        <w:rPr>
          <w:rFonts w:hint="eastAsia" w:ascii="宋体" w:hAnsi="宋体" w:eastAsia="宋体" w:cs="宋体"/>
          <w:sz w:val="24"/>
          <w:szCs w:val="24"/>
          <w:lang w:val="en-US"/>
        </w:rPr>
        <w:t>.1</w:t>
      </w:r>
      <w:r>
        <w:rPr>
          <w:rFonts w:hint="eastAsia" w:ascii="宋体" w:hAnsi="宋体" w:eastAsia="宋体" w:cs="宋体"/>
          <w:sz w:val="24"/>
          <w:szCs w:val="24"/>
        </w:rPr>
        <w:t>-1</w:t>
      </w:r>
      <w:r>
        <w:rPr>
          <w:rFonts w:hint="eastAsia" w:ascii="宋体" w:hAnsi="宋体" w:eastAsia="宋体" w:cs="宋体"/>
          <w:sz w:val="24"/>
          <w:szCs w:val="24"/>
          <w:lang w:val="en-US"/>
        </w:rPr>
        <w:t xml:space="preserve"> </w:t>
      </w:r>
      <w:r>
        <w:rPr>
          <w:rFonts w:hint="eastAsia" w:ascii="宋体" w:hAnsi="宋体" w:eastAsia="宋体" w:cs="宋体"/>
          <w:sz w:val="24"/>
          <w:szCs w:val="24"/>
          <w:lang w:eastAsia="zh-CN"/>
        </w:rPr>
        <w:t>横坑加油站</w:t>
      </w:r>
      <w:r>
        <w:rPr>
          <w:rFonts w:hint="eastAsia" w:ascii="宋体" w:hAnsi="宋体" w:eastAsia="宋体" w:cs="宋体"/>
          <w:sz w:val="24"/>
          <w:szCs w:val="24"/>
        </w:rPr>
        <w:t>安</w:t>
      </w:r>
      <w:r>
        <w:rPr>
          <w:rFonts w:hint="eastAsia" w:ascii="宋体" w:hAnsi="宋体" w:eastAsia="宋体" w:cs="宋体"/>
          <w:spacing w:val="-3"/>
          <w:sz w:val="24"/>
          <w:szCs w:val="24"/>
        </w:rPr>
        <w:t>全设</w:t>
      </w:r>
      <w:r>
        <w:rPr>
          <w:rFonts w:hint="eastAsia" w:ascii="宋体" w:hAnsi="宋体" w:eastAsia="宋体" w:cs="宋体"/>
          <w:sz w:val="24"/>
          <w:szCs w:val="24"/>
        </w:rPr>
        <w:t>施一览表</w:t>
      </w:r>
      <w:bookmarkEnd w:id="473"/>
      <w:bookmarkEnd w:id="474"/>
    </w:p>
    <w:tbl>
      <w:tblPr>
        <w:tblStyle w:val="21"/>
        <w:tblW w:w="917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53"/>
        <w:gridCol w:w="1639"/>
        <w:gridCol w:w="2532"/>
        <w:gridCol w:w="43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653" w:type="dxa"/>
            <w:vAlign w:val="center"/>
          </w:tcPr>
          <w:p>
            <w:pPr>
              <w:pStyle w:val="23"/>
              <w:ind w:left="36" w:right="27"/>
              <w:jc w:val="center"/>
              <w:rPr>
                <w:rFonts w:hint="eastAsia" w:ascii="宋体" w:hAnsi="宋体" w:eastAsia="宋体" w:cs="宋体"/>
                <w:sz w:val="21"/>
              </w:rPr>
            </w:pPr>
            <w:r>
              <w:rPr>
                <w:rFonts w:hint="eastAsia" w:ascii="宋体" w:hAnsi="宋体" w:eastAsia="宋体" w:cs="宋体"/>
                <w:sz w:val="21"/>
              </w:rPr>
              <w:t>序号</w:t>
            </w:r>
          </w:p>
        </w:tc>
        <w:tc>
          <w:tcPr>
            <w:tcW w:w="4171" w:type="dxa"/>
            <w:gridSpan w:val="2"/>
            <w:vAlign w:val="center"/>
          </w:tcPr>
          <w:p>
            <w:pPr>
              <w:pStyle w:val="23"/>
              <w:ind w:left="1841" w:right="1828"/>
              <w:jc w:val="center"/>
              <w:rPr>
                <w:rFonts w:hint="eastAsia" w:ascii="宋体" w:hAnsi="宋体" w:eastAsia="宋体" w:cs="宋体"/>
                <w:sz w:val="21"/>
              </w:rPr>
            </w:pPr>
            <w:r>
              <w:rPr>
                <w:rFonts w:hint="eastAsia" w:ascii="宋体" w:hAnsi="宋体" w:eastAsia="宋体" w:cs="宋体"/>
                <w:sz w:val="21"/>
              </w:rPr>
              <w:t>类别</w:t>
            </w:r>
          </w:p>
        </w:tc>
        <w:tc>
          <w:tcPr>
            <w:tcW w:w="4355" w:type="dxa"/>
            <w:vAlign w:val="center"/>
          </w:tcPr>
          <w:p>
            <w:pPr>
              <w:pStyle w:val="23"/>
              <w:ind w:left="1720" w:right="1710"/>
              <w:jc w:val="center"/>
              <w:rPr>
                <w:rFonts w:hint="eastAsia" w:ascii="宋体" w:hAnsi="宋体" w:eastAsia="宋体" w:cs="宋体"/>
                <w:sz w:val="21"/>
              </w:rPr>
            </w:pPr>
            <w:r>
              <w:rPr>
                <w:rFonts w:hint="eastAsia" w:ascii="宋体" w:hAnsi="宋体" w:eastAsia="宋体" w:cs="宋体"/>
                <w:sz w:val="21"/>
              </w:rPr>
              <w:t>设施名称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653" w:type="dxa"/>
            <w:vMerge w:val="restart"/>
            <w:vAlign w:val="center"/>
          </w:tcPr>
          <w:p>
            <w:pPr>
              <w:pStyle w:val="23"/>
              <w:spacing w:before="1"/>
              <w:ind w:left="9"/>
              <w:jc w:val="center"/>
              <w:rPr>
                <w:rFonts w:hint="eastAsia" w:ascii="宋体" w:hAnsi="宋体" w:eastAsia="宋体" w:cs="宋体"/>
                <w:sz w:val="21"/>
              </w:rPr>
            </w:pPr>
            <w:r>
              <w:rPr>
                <w:rFonts w:hint="eastAsia" w:ascii="宋体" w:hAnsi="宋体" w:eastAsia="宋体" w:cs="宋体"/>
                <w:sz w:val="21"/>
              </w:rPr>
              <w:t>1</w:t>
            </w:r>
          </w:p>
        </w:tc>
        <w:tc>
          <w:tcPr>
            <w:tcW w:w="1639" w:type="dxa"/>
            <w:vMerge w:val="restart"/>
            <w:vAlign w:val="center"/>
          </w:tcPr>
          <w:p>
            <w:pPr>
              <w:pStyle w:val="23"/>
              <w:ind w:left="182"/>
              <w:jc w:val="center"/>
              <w:rPr>
                <w:rFonts w:hint="eastAsia" w:ascii="宋体" w:hAnsi="宋体" w:eastAsia="宋体" w:cs="宋体"/>
                <w:sz w:val="21"/>
              </w:rPr>
            </w:pPr>
            <w:r>
              <w:rPr>
                <w:rFonts w:hint="eastAsia" w:ascii="宋体" w:hAnsi="宋体" w:eastAsia="宋体" w:cs="宋体"/>
                <w:sz w:val="21"/>
              </w:rPr>
              <w:t>预防事故措施</w:t>
            </w:r>
          </w:p>
        </w:tc>
        <w:tc>
          <w:tcPr>
            <w:tcW w:w="2532" w:type="dxa"/>
            <w:vAlign w:val="center"/>
          </w:tcPr>
          <w:p>
            <w:pPr>
              <w:pStyle w:val="23"/>
              <w:ind w:left="292" w:right="279"/>
              <w:jc w:val="center"/>
              <w:rPr>
                <w:rFonts w:hint="eastAsia" w:ascii="宋体" w:hAnsi="宋体" w:eastAsia="宋体" w:cs="宋体"/>
                <w:sz w:val="21"/>
              </w:rPr>
            </w:pPr>
            <w:r>
              <w:rPr>
                <w:rFonts w:hint="eastAsia" w:ascii="宋体" w:hAnsi="宋体" w:eastAsia="宋体" w:cs="宋体"/>
                <w:sz w:val="21"/>
              </w:rPr>
              <w:t>检测、报警设施</w:t>
            </w:r>
          </w:p>
        </w:tc>
        <w:tc>
          <w:tcPr>
            <w:tcW w:w="4355" w:type="dxa"/>
            <w:vAlign w:val="center"/>
          </w:tcPr>
          <w:p>
            <w:pPr>
              <w:pStyle w:val="23"/>
              <w:ind w:left="108"/>
              <w:jc w:val="center"/>
              <w:rPr>
                <w:rFonts w:hint="eastAsia" w:ascii="宋体" w:hAnsi="宋体" w:eastAsia="宋体" w:cs="宋体"/>
                <w:sz w:val="21"/>
              </w:rPr>
            </w:pPr>
            <w:r>
              <w:rPr>
                <w:rFonts w:hint="eastAsia" w:ascii="宋体" w:hAnsi="宋体" w:eastAsia="宋体" w:cs="宋体"/>
                <w:sz w:val="21"/>
              </w:rPr>
              <w:t>静电接地报警仪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653" w:type="dxa"/>
            <w:vMerge w:val="continue"/>
            <w:vAlign w:val="center"/>
          </w:tcPr>
          <w:p>
            <w:pPr>
              <w:pStyle w:val="23"/>
              <w:spacing w:before="1"/>
              <w:ind w:left="9"/>
              <w:jc w:val="center"/>
              <w:rPr>
                <w:rFonts w:hint="eastAsia" w:ascii="宋体" w:hAnsi="宋体" w:eastAsia="宋体" w:cs="宋体"/>
                <w:sz w:val="21"/>
              </w:rPr>
            </w:pPr>
          </w:p>
        </w:tc>
        <w:tc>
          <w:tcPr>
            <w:tcW w:w="1639" w:type="dxa"/>
            <w:vMerge w:val="continue"/>
            <w:vAlign w:val="center"/>
          </w:tcPr>
          <w:p>
            <w:pPr>
              <w:pStyle w:val="23"/>
              <w:ind w:left="182"/>
              <w:jc w:val="center"/>
              <w:rPr>
                <w:rFonts w:hint="eastAsia" w:ascii="宋体" w:hAnsi="宋体" w:eastAsia="宋体" w:cs="宋体"/>
                <w:sz w:val="21"/>
              </w:rPr>
            </w:pPr>
          </w:p>
        </w:tc>
        <w:tc>
          <w:tcPr>
            <w:tcW w:w="2532" w:type="dxa"/>
            <w:vAlign w:val="center"/>
          </w:tcPr>
          <w:p>
            <w:pPr>
              <w:pStyle w:val="23"/>
              <w:ind w:left="292" w:right="279"/>
              <w:jc w:val="center"/>
              <w:rPr>
                <w:rFonts w:hint="eastAsia" w:ascii="宋体" w:hAnsi="宋体" w:eastAsia="宋体" w:cs="宋体"/>
                <w:sz w:val="21"/>
              </w:rPr>
            </w:pPr>
            <w:r>
              <w:rPr>
                <w:rFonts w:hint="eastAsia" w:ascii="宋体" w:hAnsi="宋体" w:eastAsia="宋体" w:cs="宋体"/>
                <w:sz w:val="21"/>
              </w:rPr>
              <w:t>油罐液位报警设施</w:t>
            </w:r>
          </w:p>
        </w:tc>
        <w:tc>
          <w:tcPr>
            <w:tcW w:w="4355" w:type="dxa"/>
            <w:vAlign w:val="center"/>
          </w:tcPr>
          <w:p>
            <w:pPr>
              <w:pStyle w:val="23"/>
              <w:ind w:left="108"/>
              <w:jc w:val="center"/>
              <w:rPr>
                <w:rFonts w:hint="eastAsia" w:ascii="宋体" w:hAnsi="宋体" w:eastAsia="宋体" w:cs="宋体"/>
                <w:sz w:val="21"/>
              </w:rPr>
            </w:pPr>
            <w:r>
              <w:rPr>
                <w:rFonts w:hint="eastAsia" w:ascii="宋体" w:hAnsi="宋体" w:eastAsia="宋体" w:cs="宋体"/>
                <w:sz w:val="21"/>
              </w:rPr>
              <w:t>防溢油阀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653" w:type="dxa"/>
            <w:vMerge w:val="continue"/>
            <w:tcBorders>
              <w:top w:val="nil"/>
            </w:tcBorders>
            <w:vAlign w:val="center"/>
          </w:tcPr>
          <w:p>
            <w:pPr>
              <w:jc w:val="center"/>
              <w:rPr>
                <w:rFonts w:hint="eastAsia" w:ascii="宋体" w:hAnsi="宋体" w:eastAsia="宋体" w:cs="宋体"/>
                <w:sz w:val="2"/>
                <w:szCs w:val="2"/>
              </w:rPr>
            </w:pPr>
          </w:p>
        </w:tc>
        <w:tc>
          <w:tcPr>
            <w:tcW w:w="1639" w:type="dxa"/>
            <w:vMerge w:val="continue"/>
            <w:tcBorders>
              <w:top w:val="nil"/>
            </w:tcBorders>
            <w:vAlign w:val="center"/>
          </w:tcPr>
          <w:p>
            <w:pPr>
              <w:jc w:val="center"/>
              <w:rPr>
                <w:rFonts w:hint="eastAsia" w:ascii="宋体" w:hAnsi="宋体" w:eastAsia="宋体" w:cs="宋体"/>
                <w:sz w:val="2"/>
                <w:szCs w:val="2"/>
              </w:rPr>
            </w:pPr>
          </w:p>
        </w:tc>
        <w:tc>
          <w:tcPr>
            <w:tcW w:w="2532" w:type="dxa"/>
            <w:vAlign w:val="center"/>
          </w:tcPr>
          <w:p>
            <w:pPr>
              <w:pStyle w:val="23"/>
              <w:ind w:left="292" w:right="281"/>
              <w:jc w:val="center"/>
              <w:rPr>
                <w:rFonts w:hint="eastAsia" w:ascii="宋体" w:hAnsi="宋体" w:eastAsia="宋体" w:cs="宋体"/>
                <w:sz w:val="21"/>
              </w:rPr>
            </w:pPr>
            <w:r>
              <w:rPr>
                <w:rFonts w:hint="eastAsia" w:ascii="宋体" w:hAnsi="宋体" w:eastAsia="宋体" w:cs="宋体"/>
                <w:sz w:val="21"/>
              </w:rPr>
              <w:t>设备安全防护设施</w:t>
            </w:r>
          </w:p>
        </w:tc>
        <w:tc>
          <w:tcPr>
            <w:tcW w:w="4355" w:type="dxa"/>
            <w:vAlign w:val="center"/>
          </w:tcPr>
          <w:p>
            <w:pPr>
              <w:pStyle w:val="23"/>
              <w:spacing w:before="3" w:line="398" w:lineRule="exact"/>
              <w:ind w:left="108" w:right="-15"/>
              <w:jc w:val="center"/>
              <w:rPr>
                <w:rFonts w:hint="eastAsia" w:ascii="宋体" w:hAnsi="宋体" w:eastAsia="宋体" w:cs="宋体"/>
                <w:sz w:val="21"/>
              </w:rPr>
            </w:pPr>
            <w:r>
              <w:rPr>
                <w:rFonts w:hint="eastAsia" w:ascii="宋体" w:hAnsi="宋体" w:eastAsia="宋体" w:cs="宋体"/>
                <w:spacing w:val="-3"/>
                <w:sz w:val="21"/>
              </w:rPr>
              <w:t>防护罩、过电压</w:t>
            </w:r>
            <w:r>
              <w:rPr>
                <w:rFonts w:hint="eastAsia" w:ascii="宋体" w:hAnsi="宋体" w:eastAsia="宋体" w:cs="宋体"/>
                <w:sz w:val="21"/>
              </w:rPr>
              <w:t>（</w:t>
            </w:r>
            <w:r>
              <w:rPr>
                <w:rFonts w:hint="eastAsia" w:ascii="宋体" w:hAnsi="宋体" w:eastAsia="宋体" w:cs="宋体"/>
                <w:spacing w:val="-2"/>
                <w:sz w:val="21"/>
              </w:rPr>
              <w:t>电涌</w:t>
            </w:r>
            <w:r>
              <w:rPr>
                <w:rFonts w:hint="eastAsia" w:ascii="宋体" w:hAnsi="宋体" w:eastAsia="宋体" w:cs="宋体"/>
                <w:spacing w:val="-3"/>
                <w:sz w:val="21"/>
              </w:rPr>
              <w:t>）保护器、防雷设施、静电接地设施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653" w:type="dxa"/>
            <w:vMerge w:val="continue"/>
            <w:tcBorders>
              <w:top w:val="nil"/>
            </w:tcBorders>
            <w:vAlign w:val="center"/>
          </w:tcPr>
          <w:p>
            <w:pPr>
              <w:jc w:val="center"/>
              <w:rPr>
                <w:rFonts w:hint="eastAsia" w:ascii="宋体" w:hAnsi="宋体" w:eastAsia="宋体" w:cs="宋体"/>
                <w:sz w:val="2"/>
                <w:szCs w:val="2"/>
              </w:rPr>
            </w:pPr>
          </w:p>
        </w:tc>
        <w:tc>
          <w:tcPr>
            <w:tcW w:w="1639" w:type="dxa"/>
            <w:vMerge w:val="continue"/>
            <w:tcBorders>
              <w:top w:val="nil"/>
            </w:tcBorders>
            <w:vAlign w:val="center"/>
          </w:tcPr>
          <w:p>
            <w:pPr>
              <w:jc w:val="center"/>
              <w:rPr>
                <w:rFonts w:hint="eastAsia" w:ascii="宋体" w:hAnsi="宋体" w:eastAsia="宋体" w:cs="宋体"/>
                <w:sz w:val="2"/>
                <w:szCs w:val="2"/>
              </w:rPr>
            </w:pPr>
          </w:p>
        </w:tc>
        <w:tc>
          <w:tcPr>
            <w:tcW w:w="2532" w:type="dxa"/>
            <w:vAlign w:val="center"/>
          </w:tcPr>
          <w:p>
            <w:pPr>
              <w:pStyle w:val="23"/>
              <w:ind w:left="291" w:right="281"/>
              <w:jc w:val="center"/>
              <w:rPr>
                <w:rFonts w:hint="eastAsia" w:ascii="宋体" w:hAnsi="宋体" w:eastAsia="宋体" w:cs="宋体"/>
                <w:sz w:val="21"/>
              </w:rPr>
            </w:pPr>
            <w:r>
              <w:rPr>
                <w:rFonts w:hint="eastAsia" w:ascii="宋体" w:hAnsi="宋体" w:eastAsia="宋体" w:cs="宋体"/>
                <w:sz w:val="21"/>
              </w:rPr>
              <w:t>防爆设施</w:t>
            </w:r>
          </w:p>
        </w:tc>
        <w:tc>
          <w:tcPr>
            <w:tcW w:w="4355" w:type="dxa"/>
            <w:vAlign w:val="center"/>
          </w:tcPr>
          <w:p>
            <w:pPr>
              <w:pStyle w:val="23"/>
              <w:ind w:left="108"/>
              <w:jc w:val="center"/>
              <w:rPr>
                <w:rFonts w:hint="eastAsia" w:ascii="宋体" w:hAnsi="宋体" w:eastAsia="宋体" w:cs="宋体"/>
                <w:sz w:val="21"/>
              </w:rPr>
            </w:pPr>
            <w:r>
              <w:rPr>
                <w:rFonts w:hint="eastAsia" w:ascii="宋体" w:hAnsi="宋体" w:eastAsia="宋体" w:cs="宋体"/>
                <w:sz w:val="21"/>
              </w:rPr>
              <w:t>防爆加油机、防爆潜油泵、防爆电气设备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653" w:type="dxa"/>
            <w:vMerge w:val="continue"/>
            <w:tcBorders>
              <w:top w:val="nil"/>
            </w:tcBorders>
            <w:vAlign w:val="center"/>
          </w:tcPr>
          <w:p>
            <w:pPr>
              <w:jc w:val="center"/>
              <w:rPr>
                <w:rFonts w:hint="eastAsia" w:ascii="宋体" w:hAnsi="宋体" w:eastAsia="宋体" w:cs="宋体"/>
                <w:sz w:val="2"/>
                <w:szCs w:val="2"/>
              </w:rPr>
            </w:pPr>
          </w:p>
        </w:tc>
        <w:tc>
          <w:tcPr>
            <w:tcW w:w="1639" w:type="dxa"/>
            <w:vMerge w:val="continue"/>
            <w:tcBorders>
              <w:top w:val="nil"/>
            </w:tcBorders>
            <w:vAlign w:val="center"/>
          </w:tcPr>
          <w:p>
            <w:pPr>
              <w:jc w:val="center"/>
              <w:rPr>
                <w:rFonts w:hint="eastAsia" w:ascii="宋体" w:hAnsi="宋体" w:eastAsia="宋体" w:cs="宋体"/>
                <w:sz w:val="2"/>
                <w:szCs w:val="2"/>
              </w:rPr>
            </w:pPr>
          </w:p>
        </w:tc>
        <w:tc>
          <w:tcPr>
            <w:tcW w:w="2532" w:type="dxa"/>
            <w:vAlign w:val="center"/>
          </w:tcPr>
          <w:p>
            <w:pPr>
              <w:pStyle w:val="23"/>
              <w:ind w:left="292" w:right="281"/>
              <w:jc w:val="center"/>
              <w:rPr>
                <w:rFonts w:hint="eastAsia" w:ascii="宋体" w:hAnsi="宋体" w:eastAsia="宋体" w:cs="宋体"/>
                <w:sz w:val="21"/>
              </w:rPr>
            </w:pPr>
            <w:r>
              <w:rPr>
                <w:rFonts w:hint="eastAsia" w:ascii="宋体" w:hAnsi="宋体" w:eastAsia="宋体" w:cs="宋体"/>
                <w:sz w:val="21"/>
              </w:rPr>
              <w:t>作业场所防护设施</w:t>
            </w:r>
          </w:p>
        </w:tc>
        <w:tc>
          <w:tcPr>
            <w:tcW w:w="4355" w:type="dxa"/>
            <w:vAlign w:val="center"/>
          </w:tcPr>
          <w:p>
            <w:pPr>
              <w:pStyle w:val="23"/>
              <w:ind w:left="108"/>
              <w:jc w:val="center"/>
              <w:rPr>
                <w:rFonts w:hint="eastAsia" w:ascii="宋体" w:hAnsi="宋体" w:eastAsia="宋体" w:cs="宋体"/>
                <w:sz w:val="21"/>
              </w:rPr>
            </w:pPr>
            <w:r>
              <w:rPr>
                <w:rFonts w:hint="eastAsia" w:ascii="宋体" w:hAnsi="宋体" w:eastAsia="宋体" w:cs="宋体"/>
                <w:sz w:val="21"/>
              </w:rPr>
              <w:t>人孔井盖、卸油口盖板、加油机盖板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653" w:type="dxa"/>
            <w:vMerge w:val="continue"/>
            <w:tcBorders>
              <w:top w:val="nil"/>
            </w:tcBorders>
            <w:vAlign w:val="center"/>
          </w:tcPr>
          <w:p>
            <w:pPr>
              <w:jc w:val="center"/>
              <w:rPr>
                <w:rFonts w:hint="eastAsia" w:ascii="宋体" w:hAnsi="宋体" w:eastAsia="宋体" w:cs="宋体"/>
                <w:sz w:val="2"/>
                <w:szCs w:val="2"/>
              </w:rPr>
            </w:pPr>
          </w:p>
        </w:tc>
        <w:tc>
          <w:tcPr>
            <w:tcW w:w="1639" w:type="dxa"/>
            <w:vMerge w:val="continue"/>
            <w:tcBorders>
              <w:top w:val="nil"/>
            </w:tcBorders>
            <w:vAlign w:val="center"/>
          </w:tcPr>
          <w:p>
            <w:pPr>
              <w:jc w:val="center"/>
              <w:rPr>
                <w:rFonts w:hint="eastAsia" w:ascii="宋体" w:hAnsi="宋体" w:eastAsia="宋体" w:cs="宋体"/>
                <w:sz w:val="2"/>
                <w:szCs w:val="2"/>
              </w:rPr>
            </w:pPr>
          </w:p>
        </w:tc>
        <w:tc>
          <w:tcPr>
            <w:tcW w:w="2532" w:type="dxa"/>
            <w:vAlign w:val="center"/>
          </w:tcPr>
          <w:p>
            <w:pPr>
              <w:pStyle w:val="23"/>
              <w:ind w:left="292" w:right="279"/>
              <w:jc w:val="center"/>
              <w:rPr>
                <w:rFonts w:hint="eastAsia" w:ascii="宋体" w:hAnsi="宋体" w:eastAsia="宋体" w:cs="宋体"/>
                <w:sz w:val="21"/>
              </w:rPr>
            </w:pPr>
            <w:r>
              <w:rPr>
                <w:rFonts w:hint="eastAsia" w:ascii="宋体" w:hAnsi="宋体" w:eastAsia="宋体" w:cs="宋体"/>
                <w:sz w:val="21"/>
              </w:rPr>
              <w:t>安全警示标志</w:t>
            </w:r>
          </w:p>
        </w:tc>
        <w:tc>
          <w:tcPr>
            <w:tcW w:w="4355" w:type="dxa"/>
            <w:vAlign w:val="center"/>
          </w:tcPr>
          <w:p>
            <w:pPr>
              <w:pStyle w:val="23"/>
              <w:spacing w:before="109"/>
              <w:ind w:left="108"/>
              <w:jc w:val="center"/>
              <w:rPr>
                <w:rFonts w:hint="eastAsia" w:ascii="宋体" w:hAnsi="宋体" w:eastAsia="宋体" w:cs="宋体"/>
                <w:sz w:val="21"/>
              </w:rPr>
            </w:pPr>
            <w:r>
              <w:rPr>
                <w:rFonts w:hint="eastAsia" w:ascii="宋体" w:hAnsi="宋体" w:eastAsia="宋体" w:cs="宋体"/>
                <w:sz w:val="21"/>
              </w:rPr>
              <w:t>禁止烟火、注意安全、消防箱、紧急出口等标</w:t>
            </w:r>
          </w:p>
          <w:p>
            <w:pPr>
              <w:pStyle w:val="23"/>
              <w:spacing w:before="131"/>
              <w:ind w:left="108"/>
              <w:jc w:val="center"/>
              <w:rPr>
                <w:rFonts w:hint="eastAsia" w:ascii="宋体" w:hAnsi="宋体" w:eastAsia="宋体" w:cs="宋体"/>
                <w:sz w:val="21"/>
              </w:rPr>
            </w:pPr>
            <w:r>
              <w:rPr>
                <w:rFonts w:hint="eastAsia" w:ascii="宋体" w:hAnsi="宋体" w:eastAsia="宋体" w:cs="宋体"/>
                <w:sz w:val="21"/>
              </w:rPr>
              <w:t>志、标识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653" w:type="dxa"/>
            <w:vAlign w:val="center"/>
          </w:tcPr>
          <w:p>
            <w:pPr>
              <w:pStyle w:val="23"/>
              <w:ind w:left="9"/>
              <w:jc w:val="center"/>
              <w:rPr>
                <w:rFonts w:hint="eastAsia" w:ascii="宋体" w:hAnsi="宋体" w:eastAsia="宋体" w:cs="宋体"/>
                <w:sz w:val="21"/>
              </w:rPr>
            </w:pPr>
            <w:r>
              <w:rPr>
                <w:rFonts w:hint="eastAsia" w:ascii="宋体" w:hAnsi="宋体" w:eastAsia="宋体" w:cs="宋体"/>
                <w:sz w:val="21"/>
              </w:rPr>
              <w:t>2</w:t>
            </w:r>
          </w:p>
        </w:tc>
        <w:tc>
          <w:tcPr>
            <w:tcW w:w="1639" w:type="dxa"/>
            <w:vAlign w:val="center"/>
          </w:tcPr>
          <w:p>
            <w:pPr>
              <w:pStyle w:val="23"/>
              <w:ind w:left="182"/>
              <w:jc w:val="center"/>
              <w:rPr>
                <w:rFonts w:hint="eastAsia" w:ascii="宋体" w:hAnsi="宋体" w:eastAsia="宋体" w:cs="宋体"/>
                <w:sz w:val="21"/>
              </w:rPr>
            </w:pPr>
            <w:r>
              <w:rPr>
                <w:rFonts w:hint="eastAsia" w:ascii="宋体" w:hAnsi="宋体" w:eastAsia="宋体" w:cs="宋体"/>
                <w:sz w:val="21"/>
              </w:rPr>
              <w:t>控制事故设施</w:t>
            </w:r>
          </w:p>
        </w:tc>
        <w:tc>
          <w:tcPr>
            <w:tcW w:w="2532" w:type="dxa"/>
            <w:vAlign w:val="center"/>
          </w:tcPr>
          <w:p>
            <w:pPr>
              <w:pStyle w:val="23"/>
              <w:ind w:left="292" w:right="279"/>
              <w:jc w:val="center"/>
              <w:rPr>
                <w:rFonts w:hint="eastAsia" w:ascii="宋体" w:hAnsi="宋体" w:eastAsia="宋体" w:cs="宋体"/>
                <w:sz w:val="21"/>
              </w:rPr>
            </w:pPr>
            <w:r>
              <w:rPr>
                <w:rFonts w:hint="eastAsia" w:ascii="宋体" w:hAnsi="宋体" w:eastAsia="宋体" w:cs="宋体"/>
                <w:sz w:val="21"/>
              </w:rPr>
              <w:t>泄压和止逆设施</w:t>
            </w:r>
          </w:p>
        </w:tc>
        <w:tc>
          <w:tcPr>
            <w:tcW w:w="4355" w:type="dxa"/>
            <w:vAlign w:val="center"/>
          </w:tcPr>
          <w:p>
            <w:pPr>
              <w:pStyle w:val="23"/>
              <w:ind w:left="108"/>
              <w:jc w:val="center"/>
              <w:rPr>
                <w:rFonts w:hint="eastAsia" w:ascii="宋体" w:hAnsi="宋体" w:eastAsia="宋体" w:cs="宋体"/>
                <w:sz w:val="21"/>
              </w:rPr>
            </w:pPr>
            <w:r>
              <w:rPr>
                <w:rFonts w:hint="eastAsia" w:ascii="宋体" w:hAnsi="宋体" w:eastAsia="宋体" w:cs="宋体"/>
                <w:sz w:val="21"/>
              </w:rPr>
              <w:t>通气管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63" w:hRule="atLeast"/>
        </w:trPr>
        <w:tc>
          <w:tcPr>
            <w:tcW w:w="653" w:type="dxa"/>
            <w:vMerge w:val="restart"/>
            <w:vAlign w:val="center"/>
          </w:tcPr>
          <w:p>
            <w:pPr>
              <w:pStyle w:val="23"/>
              <w:ind w:left="9"/>
              <w:jc w:val="center"/>
              <w:rPr>
                <w:rFonts w:hint="eastAsia" w:ascii="宋体" w:hAnsi="宋体" w:eastAsia="宋体" w:cs="宋体"/>
                <w:sz w:val="21"/>
              </w:rPr>
            </w:pPr>
            <w:r>
              <w:rPr>
                <w:rFonts w:hint="eastAsia" w:ascii="宋体" w:hAnsi="宋体" w:eastAsia="宋体" w:cs="宋体"/>
                <w:sz w:val="21"/>
              </w:rPr>
              <w:t>3</w:t>
            </w:r>
          </w:p>
        </w:tc>
        <w:tc>
          <w:tcPr>
            <w:tcW w:w="1639" w:type="dxa"/>
            <w:vMerge w:val="restart"/>
            <w:vAlign w:val="center"/>
          </w:tcPr>
          <w:p>
            <w:pPr>
              <w:pStyle w:val="23"/>
              <w:spacing w:line="357" w:lineRule="auto"/>
              <w:ind w:left="287" w:right="170" w:hanging="106"/>
              <w:jc w:val="center"/>
              <w:rPr>
                <w:rFonts w:hint="eastAsia" w:ascii="宋体" w:hAnsi="宋体" w:eastAsia="宋体" w:cs="宋体"/>
                <w:sz w:val="21"/>
              </w:rPr>
            </w:pPr>
            <w:r>
              <w:rPr>
                <w:rFonts w:hint="eastAsia" w:ascii="宋体" w:hAnsi="宋体" w:eastAsia="宋体" w:cs="宋体"/>
                <w:sz w:val="21"/>
              </w:rPr>
              <w:t>减少与消除事故影响设施</w:t>
            </w:r>
          </w:p>
        </w:tc>
        <w:tc>
          <w:tcPr>
            <w:tcW w:w="2532" w:type="dxa"/>
            <w:vAlign w:val="center"/>
          </w:tcPr>
          <w:p>
            <w:pPr>
              <w:pStyle w:val="23"/>
              <w:ind w:left="292" w:right="281"/>
              <w:jc w:val="center"/>
              <w:rPr>
                <w:rFonts w:hint="eastAsia" w:ascii="宋体" w:hAnsi="宋体" w:eastAsia="宋体" w:cs="宋体"/>
                <w:sz w:val="21"/>
              </w:rPr>
            </w:pPr>
            <w:r>
              <w:rPr>
                <w:rFonts w:hint="eastAsia" w:ascii="宋体" w:hAnsi="宋体" w:eastAsia="宋体" w:cs="宋体"/>
                <w:sz w:val="21"/>
              </w:rPr>
              <w:t>防止火灾蔓延设施</w:t>
            </w:r>
          </w:p>
        </w:tc>
        <w:tc>
          <w:tcPr>
            <w:tcW w:w="4355" w:type="dxa"/>
            <w:vAlign w:val="center"/>
          </w:tcPr>
          <w:p>
            <w:pPr>
              <w:pStyle w:val="23"/>
              <w:ind w:left="108"/>
              <w:jc w:val="center"/>
              <w:rPr>
                <w:rFonts w:hint="eastAsia" w:ascii="宋体" w:hAnsi="宋体" w:eastAsia="宋体" w:cs="宋体"/>
                <w:sz w:val="21"/>
              </w:rPr>
            </w:pPr>
            <w:r>
              <w:rPr>
                <w:rFonts w:hint="eastAsia" w:ascii="宋体" w:hAnsi="宋体" w:eastAsia="宋体" w:cs="宋体"/>
                <w:sz w:val="21"/>
              </w:rPr>
              <w:t>阻火器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63" w:hRule="atLeast"/>
        </w:trPr>
        <w:tc>
          <w:tcPr>
            <w:tcW w:w="653" w:type="dxa"/>
            <w:vMerge w:val="continue"/>
            <w:tcBorders>
              <w:top w:val="nil"/>
            </w:tcBorders>
            <w:vAlign w:val="center"/>
          </w:tcPr>
          <w:p>
            <w:pPr>
              <w:jc w:val="center"/>
              <w:rPr>
                <w:rFonts w:hint="eastAsia" w:ascii="宋体" w:hAnsi="宋体" w:eastAsia="宋体" w:cs="宋体"/>
                <w:sz w:val="2"/>
                <w:szCs w:val="2"/>
              </w:rPr>
            </w:pPr>
          </w:p>
        </w:tc>
        <w:tc>
          <w:tcPr>
            <w:tcW w:w="1639" w:type="dxa"/>
            <w:vMerge w:val="continue"/>
            <w:tcBorders>
              <w:top w:val="nil"/>
            </w:tcBorders>
            <w:vAlign w:val="center"/>
          </w:tcPr>
          <w:p>
            <w:pPr>
              <w:jc w:val="center"/>
              <w:rPr>
                <w:rFonts w:hint="eastAsia" w:ascii="宋体" w:hAnsi="宋体" w:eastAsia="宋体" w:cs="宋体"/>
                <w:sz w:val="2"/>
                <w:szCs w:val="2"/>
              </w:rPr>
            </w:pPr>
          </w:p>
        </w:tc>
        <w:tc>
          <w:tcPr>
            <w:tcW w:w="2532" w:type="dxa"/>
            <w:vAlign w:val="center"/>
          </w:tcPr>
          <w:p>
            <w:pPr>
              <w:pStyle w:val="23"/>
              <w:ind w:left="291" w:right="281"/>
              <w:jc w:val="center"/>
              <w:rPr>
                <w:rFonts w:hint="eastAsia" w:ascii="宋体" w:hAnsi="宋体" w:eastAsia="宋体" w:cs="宋体"/>
                <w:sz w:val="21"/>
              </w:rPr>
            </w:pPr>
            <w:r>
              <w:rPr>
                <w:rFonts w:hint="eastAsia" w:ascii="宋体" w:hAnsi="宋体" w:eastAsia="宋体" w:cs="宋体"/>
                <w:sz w:val="21"/>
              </w:rPr>
              <w:t>灭火设施</w:t>
            </w:r>
          </w:p>
        </w:tc>
        <w:tc>
          <w:tcPr>
            <w:tcW w:w="4355" w:type="dxa"/>
            <w:vAlign w:val="center"/>
          </w:tcPr>
          <w:p>
            <w:pPr>
              <w:pStyle w:val="23"/>
              <w:ind w:left="108"/>
              <w:jc w:val="center"/>
              <w:rPr>
                <w:rFonts w:hint="eastAsia" w:ascii="宋体" w:hAnsi="宋体" w:eastAsia="宋体" w:cs="宋体"/>
                <w:sz w:val="21"/>
              </w:rPr>
            </w:pPr>
            <w:r>
              <w:rPr>
                <w:rFonts w:hint="eastAsia" w:ascii="宋体" w:hAnsi="宋体" w:eastAsia="宋体" w:cs="宋体"/>
                <w:sz w:val="21"/>
              </w:rPr>
              <w:t>灭火器、灭火毯、沙子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653" w:type="dxa"/>
            <w:vMerge w:val="continue"/>
            <w:tcBorders>
              <w:top w:val="nil"/>
            </w:tcBorders>
            <w:vAlign w:val="center"/>
          </w:tcPr>
          <w:p>
            <w:pPr>
              <w:jc w:val="center"/>
              <w:rPr>
                <w:rFonts w:hint="eastAsia" w:ascii="宋体" w:hAnsi="宋体" w:eastAsia="宋体" w:cs="宋体"/>
                <w:sz w:val="2"/>
                <w:szCs w:val="2"/>
              </w:rPr>
            </w:pPr>
          </w:p>
        </w:tc>
        <w:tc>
          <w:tcPr>
            <w:tcW w:w="1639" w:type="dxa"/>
            <w:vMerge w:val="continue"/>
            <w:tcBorders>
              <w:top w:val="nil"/>
            </w:tcBorders>
            <w:vAlign w:val="center"/>
          </w:tcPr>
          <w:p>
            <w:pPr>
              <w:jc w:val="center"/>
              <w:rPr>
                <w:rFonts w:hint="eastAsia" w:ascii="宋体" w:hAnsi="宋体" w:eastAsia="宋体" w:cs="宋体"/>
                <w:sz w:val="2"/>
                <w:szCs w:val="2"/>
              </w:rPr>
            </w:pPr>
          </w:p>
        </w:tc>
        <w:tc>
          <w:tcPr>
            <w:tcW w:w="2532" w:type="dxa"/>
            <w:vAlign w:val="center"/>
          </w:tcPr>
          <w:p>
            <w:pPr>
              <w:pStyle w:val="23"/>
              <w:ind w:left="292" w:right="281"/>
              <w:jc w:val="center"/>
              <w:rPr>
                <w:rFonts w:hint="eastAsia" w:ascii="宋体" w:hAnsi="宋体" w:eastAsia="宋体" w:cs="宋体"/>
                <w:sz w:val="21"/>
              </w:rPr>
            </w:pPr>
            <w:r>
              <w:rPr>
                <w:rFonts w:hint="eastAsia" w:ascii="宋体" w:hAnsi="宋体" w:eastAsia="宋体" w:cs="宋体"/>
                <w:sz w:val="21"/>
              </w:rPr>
              <w:t>紧急个体处置设施</w:t>
            </w:r>
          </w:p>
        </w:tc>
        <w:tc>
          <w:tcPr>
            <w:tcW w:w="4355" w:type="dxa"/>
            <w:vAlign w:val="center"/>
          </w:tcPr>
          <w:p>
            <w:pPr>
              <w:pStyle w:val="23"/>
              <w:ind w:left="108"/>
              <w:jc w:val="center"/>
              <w:rPr>
                <w:rFonts w:hint="eastAsia" w:ascii="宋体" w:hAnsi="宋体" w:eastAsia="宋体" w:cs="宋体"/>
                <w:sz w:val="21"/>
                <w:lang w:val="en-US"/>
              </w:rPr>
            </w:pPr>
            <w:r>
              <w:rPr>
                <w:rFonts w:hint="eastAsia" w:ascii="宋体" w:hAnsi="宋体" w:eastAsia="宋体" w:cs="宋体"/>
                <w:sz w:val="21"/>
              </w:rPr>
              <w:t>应急照明，防护</w:t>
            </w:r>
            <w:r>
              <w:rPr>
                <w:rFonts w:hint="eastAsia" w:ascii="宋体" w:hAnsi="宋体" w:eastAsia="宋体" w:cs="宋体"/>
                <w:sz w:val="21"/>
                <w:lang w:val="en-US"/>
              </w:rPr>
              <w:t>手套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63" w:hRule="atLeast"/>
        </w:trPr>
        <w:tc>
          <w:tcPr>
            <w:tcW w:w="653" w:type="dxa"/>
            <w:vMerge w:val="continue"/>
            <w:tcBorders>
              <w:top w:val="nil"/>
            </w:tcBorders>
            <w:vAlign w:val="center"/>
          </w:tcPr>
          <w:p>
            <w:pPr>
              <w:jc w:val="center"/>
              <w:rPr>
                <w:rFonts w:hint="eastAsia" w:ascii="宋体" w:hAnsi="宋体" w:eastAsia="宋体" w:cs="宋体"/>
                <w:sz w:val="2"/>
                <w:szCs w:val="2"/>
              </w:rPr>
            </w:pPr>
          </w:p>
        </w:tc>
        <w:tc>
          <w:tcPr>
            <w:tcW w:w="1639" w:type="dxa"/>
            <w:vMerge w:val="continue"/>
            <w:tcBorders>
              <w:top w:val="nil"/>
            </w:tcBorders>
            <w:vAlign w:val="center"/>
          </w:tcPr>
          <w:p>
            <w:pPr>
              <w:jc w:val="center"/>
              <w:rPr>
                <w:rFonts w:hint="eastAsia" w:ascii="宋体" w:hAnsi="宋体" w:eastAsia="宋体" w:cs="宋体"/>
                <w:sz w:val="2"/>
                <w:szCs w:val="2"/>
              </w:rPr>
            </w:pPr>
          </w:p>
        </w:tc>
        <w:tc>
          <w:tcPr>
            <w:tcW w:w="2532" w:type="dxa"/>
            <w:vAlign w:val="center"/>
          </w:tcPr>
          <w:p>
            <w:pPr>
              <w:pStyle w:val="23"/>
              <w:ind w:left="292" w:right="279"/>
              <w:jc w:val="center"/>
              <w:rPr>
                <w:rFonts w:hint="eastAsia" w:ascii="宋体" w:hAnsi="宋体" w:eastAsia="宋体" w:cs="宋体"/>
                <w:sz w:val="21"/>
              </w:rPr>
            </w:pPr>
            <w:r>
              <w:rPr>
                <w:rFonts w:hint="eastAsia" w:ascii="宋体" w:hAnsi="宋体" w:eastAsia="宋体" w:cs="宋体"/>
                <w:sz w:val="21"/>
              </w:rPr>
              <w:t>应急救援设施</w:t>
            </w:r>
          </w:p>
        </w:tc>
        <w:tc>
          <w:tcPr>
            <w:tcW w:w="4355" w:type="dxa"/>
            <w:vAlign w:val="center"/>
          </w:tcPr>
          <w:p>
            <w:pPr>
              <w:pStyle w:val="23"/>
              <w:ind w:left="108"/>
              <w:jc w:val="center"/>
              <w:rPr>
                <w:rFonts w:hint="eastAsia" w:ascii="宋体" w:hAnsi="宋体" w:eastAsia="宋体" w:cs="宋体"/>
                <w:sz w:val="21"/>
              </w:rPr>
            </w:pPr>
            <w:r>
              <w:rPr>
                <w:rFonts w:hint="eastAsia" w:ascii="宋体" w:hAnsi="宋体" w:eastAsia="宋体" w:cs="宋体"/>
                <w:sz w:val="21"/>
              </w:rPr>
              <w:t>堵漏设施、工具（沙子、铁锹等）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653" w:type="dxa"/>
            <w:vMerge w:val="continue"/>
            <w:tcBorders>
              <w:top w:val="nil"/>
            </w:tcBorders>
            <w:vAlign w:val="center"/>
          </w:tcPr>
          <w:p>
            <w:pPr>
              <w:jc w:val="center"/>
              <w:rPr>
                <w:rFonts w:hint="eastAsia" w:ascii="宋体" w:hAnsi="宋体" w:eastAsia="宋体" w:cs="宋体"/>
                <w:sz w:val="2"/>
                <w:szCs w:val="2"/>
              </w:rPr>
            </w:pPr>
          </w:p>
        </w:tc>
        <w:tc>
          <w:tcPr>
            <w:tcW w:w="1639" w:type="dxa"/>
            <w:vMerge w:val="continue"/>
            <w:tcBorders>
              <w:top w:val="nil"/>
            </w:tcBorders>
            <w:vAlign w:val="center"/>
          </w:tcPr>
          <w:p>
            <w:pPr>
              <w:jc w:val="center"/>
              <w:rPr>
                <w:rFonts w:hint="eastAsia" w:ascii="宋体" w:hAnsi="宋体" w:eastAsia="宋体" w:cs="宋体"/>
                <w:sz w:val="2"/>
                <w:szCs w:val="2"/>
              </w:rPr>
            </w:pPr>
          </w:p>
        </w:tc>
        <w:tc>
          <w:tcPr>
            <w:tcW w:w="2532" w:type="dxa"/>
            <w:vAlign w:val="center"/>
          </w:tcPr>
          <w:p>
            <w:pPr>
              <w:pStyle w:val="23"/>
              <w:ind w:left="292" w:right="281"/>
              <w:jc w:val="center"/>
              <w:rPr>
                <w:rFonts w:hint="eastAsia" w:ascii="宋体" w:hAnsi="宋体" w:eastAsia="宋体" w:cs="宋体"/>
                <w:sz w:val="21"/>
              </w:rPr>
            </w:pPr>
            <w:r>
              <w:rPr>
                <w:rFonts w:hint="eastAsia" w:ascii="宋体" w:hAnsi="宋体" w:eastAsia="宋体" w:cs="宋体"/>
                <w:sz w:val="21"/>
              </w:rPr>
              <w:t>劳动防护用品和装备</w:t>
            </w:r>
          </w:p>
        </w:tc>
        <w:tc>
          <w:tcPr>
            <w:tcW w:w="4355" w:type="dxa"/>
            <w:vAlign w:val="center"/>
          </w:tcPr>
          <w:p>
            <w:pPr>
              <w:pStyle w:val="23"/>
              <w:ind w:left="108"/>
              <w:jc w:val="center"/>
              <w:rPr>
                <w:rFonts w:hint="eastAsia" w:ascii="宋体" w:hAnsi="宋体" w:eastAsia="宋体" w:cs="宋体"/>
                <w:sz w:val="21"/>
              </w:rPr>
            </w:pPr>
            <w:r>
              <w:rPr>
                <w:rFonts w:hint="eastAsia" w:ascii="宋体" w:hAnsi="宋体" w:eastAsia="宋体" w:cs="宋体"/>
                <w:sz w:val="21"/>
              </w:rPr>
              <w:t>工作服、手套等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63" w:hRule="atLeast"/>
        </w:trPr>
        <w:tc>
          <w:tcPr>
            <w:tcW w:w="653" w:type="dxa"/>
            <w:vMerge w:val="continue"/>
            <w:tcBorders>
              <w:top w:val="nil"/>
            </w:tcBorders>
            <w:vAlign w:val="center"/>
          </w:tcPr>
          <w:p>
            <w:pPr>
              <w:jc w:val="center"/>
              <w:rPr>
                <w:rFonts w:hint="eastAsia" w:ascii="宋体" w:hAnsi="宋体" w:eastAsia="宋体" w:cs="宋体"/>
                <w:sz w:val="2"/>
                <w:szCs w:val="2"/>
              </w:rPr>
            </w:pPr>
          </w:p>
        </w:tc>
        <w:tc>
          <w:tcPr>
            <w:tcW w:w="1639" w:type="dxa"/>
            <w:vMerge w:val="continue"/>
            <w:tcBorders>
              <w:top w:val="nil"/>
            </w:tcBorders>
            <w:vAlign w:val="center"/>
          </w:tcPr>
          <w:p>
            <w:pPr>
              <w:jc w:val="center"/>
              <w:rPr>
                <w:rFonts w:hint="eastAsia" w:ascii="宋体" w:hAnsi="宋体" w:eastAsia="宋体" w:cs="宋体"/>
                <w:sz w:val="2"/>
                <w:szCs w:val="2"/>
              </w:rPr>
            </w:pPr>
          </w:p>
        </w:tc>
        <w:tc>
          <w:tcPr>
            <w:tcW w:w="2532" w:type="dxa"/>
            <w:vAlign w:val="center"/>
          </w:tcPr>
          <w:p>
            <w:pPr>
              <w:pStyle w:val="23"/>
              <w:ind w:left="292" w:right="279"/>
              <w:jc w:val="center"/>
              <w:rPr>
                <w:rFonts w:hint="eastAsia" w:ascii="宋体" w:hAnsi="宋体" w:eastAsia="宋体" w:cs="宋体"/>
                <w:sz w:val="21"/>
              </w:rPr>
            </w:pPr>
            <w:r>
              <w:rPr>
                <w:rFonts w:hint="eastAsia" w:ascii="宋体" w:hAnsi="宋体" w:eastAsia="宋体" w:cs="宋体"/>
                <w:sz w:val="21"/>
              </w:rPr>
              <w:t>油气回收系统</w:t>
            </w:r>
          </w:p>
        </w:tc>
        <w:tc>
          <w:tcPr>
            <w:tcW w:w="4355" w:type="dxa"/>
            <w:vAlign w:val="center"/>
          </w:tcPr>
          <w:p>
            <w:pPr>
              <w:pStyle w:val="23"/>
              <w:ind w:left="108"/>
              <w:jc w:val="center"/>
              <w:rPr>
                <w:rFonts w:hint="eastAsia" w:ascii="宋体" w:hAnsi="宋体" w:eastAsia="宋体" w:cs="宋体"/>
                <w:sz w:val="21"/>
              </w:rPr>
            </w:pPr>
            <w:r>
              <w:rPr>
                <w:rFonts w:hint="eastAsia" w:ascii="宋体" w:hAnsi="宋体" w:eastAsia="宋体" w:cs="宋体"/>
                <w:sz w:val="21"/>
              </w:rPr>
              <w:t>卸油和加油油气回收系统</w:t>
            </w:r>
          </w:p>
        </w:tc>
      </w:tr>
    </w:tbl>
    <w:p>
      <w:pPr>
        <w:pStyle w:val="4"/>
        <w:spacing w:before="240" w:beforeLines="100" w:after="240" w:afterLines="100" w:line="240" w:lineRule="auto"/>
        <w:ind w:firstLine="562" w:firstLineChars="200"/>
        <w:rPr>
          <w:rFonts w:hint="eastAsia" w:ascii="宋体" w:hAnsi="宋体" w:eastAsia="宋体" w:cs="宋体"/>
          <w:sz w:val="28"/>
          <w:szCs w:val="28"/>
          <w:lang w:val="en-US"/>
        </w:rPr>
      </w:pPr>
      <w:bookmarkStart w:id="475" w:name="_Toc527477406"/>
      <w:bookmarkStart w:id="476" w:name="_Toc20891_WPSOffice_Level3"/>
      <w:bookmarkStart w:id="477" w:name="_Toc14755_WPSOffice_Level3"/>
      <w:bookmarkStart w:id="478" w:name="_Toc528488319"/>
      <w:bookmarkStart w:id="479" w:name="_Toc480845374"/>
      <w:r>
        <w:rPr>
          <w:rFonts w:hint="eastAsia" w:ascii="宋体" w:hAnsi="宋体" w:eastAsia="宋体" w:cs="宋体"/>
          <w:sz w:val="28"/>
          <w:szCs w:val="28"/>
          <w:lang w:val="en-US"/>
        </w:rPr>
        <w:t>7.1.2 总平面布置单元评价结果</w:t>
      </w:r>
      <w:bookmarkEnd w:id="475"/>
      <w:bookmarkEnd w:id="476"/>
      <w:bookmarkEnd w:id="477"/>
      <w:bookmarkEnd w:id="478"/>
    </w:p>
    <w:p>
      <w:pPr>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根据《汽车加油加气站设计与施工规范》（GB50156-2012，2014年版）的相关规定，对站内平面布置进行分析评价可知：</w:t>
      </w:r>
    </w:p>
    <w:p>
      <w:pPr>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1）该加油站内平面布置符合《汽车加油加气站设计与施工规范》（GB50156-2012，2014年版）等标准、规范的相关规定。</w:t>
      </w:r>
    </w:p>
    <w:p>
      <w:pPr>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2）站内设施之间的防火间距符合《汽车加油加气站设计与施工规范》（GB50156-2012，2014年版）的要求。</w:t>
      </w:r>
    </w:p>
    <w:p>
      <w:pPr>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上述具体评价过程见本报告附件内容。</w:t>
      </w:r>
    </w:p>
    <w:p>
      <w:pPr>
        <w:pStyle w:val="4"/>
        <w:pageBreakBefore w:val="0"/>
        <w:widowControl w:val="0"/>
        <w:kinsoku/>
        <w:wordWrap/>
        <w:overflowPunct/>
        <w:topLinePunct w:val="0"/>
        <w:autoSpaceDE w:val="0"/>
        <w:autoSpaceDN w:val="0"/>
        <w:bidi w:val="0"/>
        <w:adjustRightInd/>
        <w:snapToGrid/>
        <w:spacing w:before="240" w:beforeLines="100" w:after="240" w:afterLines="100" w:line="560" w:lineRule="exact"/>
        <w:ind w:firstLine="562" w:firstLineChars="200"/>
        <w:textAlignment w:val="auto"/>
        <w:rPr>
          <w:rFonts w:hint="eastAsia" w:ascii="宋体" w:hAnsi="宋体" w:eastAsia="宋体" w:cs="宋体"/>
          <w:sz w:val="28"/>
          <w:szCs w:val="28"/>
          <w:lang w:val="en-US"/>
        </w:rPr>
      </w:pPr>
      <w:bookmarkStart w:id="480" w:name="_Toc23583_WPSOffice_Level3"/>
      <w:bookmarkStart w:id="481" w:name="_Toc17678_WPSOffice_Level3"/>
      <w:bookmarkStart w:id="482" w:name="_Toc528488320"/>
      <w:bookmarkStart w:id="483" w:name="_Toc527477407"/>
      <w:r>
        <w:rPr>
          <w:rFonts w:hint="eastAsia" w:ascii="宋体" w:hAnsi="宋体" w:eastAsia="宋体" w:cs="宋体"/>
          <w:sz w:val="28"/>
          <w:szCs w:val="28"/>
          <w:lang w:val="en-US"/>
        </w:rPr>
        <w:t>7.1.3 主要装置（设施）安全评价单元评价结果</w:t>
      </w:r>
      <w:bookmarkEnd w:id="480"/>
      <w:bookmarkEnd w:id="481"/>
      <w:bookmarkEnd w:id="482"/>
      <w:bookmarkEnd w:id="483"/>
    </w:p>
    <w:p>
      <w:pPr>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根据本报告附件“主要设备、设施评价”可知：</w:t>
      </w:r>
    </w:p>
    <w:p>
      <w:pPr>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该加油站改建项目油罐、工艺系统及安全设施和现有加油机、站房等均满足《汽车加油加气站设计与施工规范》（GB50156-2012，2014年版）等规范的要求。</w:t>
      </w:r>
    </w:p>
    <w:p>
      <w:pPr>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上述具体评价过程见本报告附件。</w:t>
      </w:r>
    </w:p>
    <w:p>
      <w:pPr>
        <w:pStyle w:val="4"/>
        <w:pageBreakBefore w:val="0"/>
        <w:widowControl w:val="0"/>
        <w:kinsoku/>
        <w:wordWrap/>
        <w:overflowPunct/>
        <w:topLinePunct w:val="0"/>
        <w:autoSpaceDE w:val="0"/>
        <w:autoSpaceDN w:val="0"/>
        <w:bidi w:val="0"/>
        <w:adjustRightInd/>
        <w:snapToGrid/>
        <w:spacing w:before="240" w:beforeLines="100" w:after="240" w:afterLines="100" w:line="560" w:lineRule="exact"/>
        <w:ind w:firstLine="562" w:firstLineChars="200"/>
        <w:textAlignment w:val="auto"/>
        <w:rPr>
          <w:rFonts w:hint="eastAsia" w:ascii="宋体" w:hAnsi="宋体" w:eastAsia="宋体" w:cs="宋体"/>
          <w:sz w:val="28"/>
          <w:szCs w:val="28"/>
          <w:lang w:val="en-US"/>
        </w:rPr>
      </w:pPr>
      <w:bookmarkStart w:id="484" w:name="_Toc27325_WPSOffice_Level3"/>
      <w:bookmarkStart w:id="485" w:name="_Toc528488321"/>
      <w:bookmarkStart w:id="486" w:name="_Toc11354_WPSOffice_Level3"/>
      <w:bookmarkStart w:id="487" w:name="_Toc527477408"/>
      <w:r>
        <w:rPr>
          <w:rFonts w:hint="eastAsia" w:ascii="宋体" w:hAnsi="宋体" w:eastAsia="宋体" w:cs="宋体"/>
          <w:sz w:val="28"/>
          <w:szCs w:val="28"/>
          <w:lang w:val="en-US"/>
        </w:rPr>
        <w:t>7.1.4 公用工程评价结果</w:t>
      </w:r>
      <w:bookmarkEnd w:id="484"/>
      <w:bookmarkEnd w:id="485"/>
      <w:bookmarkEnd w:id="486"/>
      <w:bookmarkEnd w:id="487"/>
    </w:p>
    <w:p>
      <w:pPr>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bookmarkStart w:id="488" w:name="_Toc194389965"/>
      <w:bookmarkStart w:id="489" w:name="_Toc208398758"/>
      <w:r>
        <w:rPr>
          <w:rFonts w:hint="eastAsia" w:ascii="宋体" w:hAnsi="宋体" w:eastAsia="宋体" w:cs="宋体"/>
          <w:spacing w:val="-7"/>
          <w:sz w:val="28"/>
          <w:szCs w:val="28"/>
        </w:rPr>
        <w:t>根据本报告附件“公用工程评价”可知：</w:t>
      </w:r>
    </w:p>
    <w:p>
      <w:pPr>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该加油站改建加油站在电气装置、消防设施及给排水和安防监控系统等方面均符合《汽车加油加气站设计与施工规范》（GB50156-2012，2014年版）及《加油加气站视频安防监控系统技术要求》（AQ/T30350-2013）等规范的要求。</w:t>
      </w:r>
    </w:p>
    <w:bookmarkEnd w:id="488"/>
    <w:bookmarkEnd w:id="489"/>
    <w:p>
      <w:pPr>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bookmarkStart w:id="490" w:name="_Toc528488322"/>
      <w:bookmarkStart w:id="491" w:name="_Toc527477409"/>
      <w:r>
        <w:rPr>
          <w:rFonts w:hint="eastAsia" w:ascii="宋体" w:hAnsi="宋体" w:eastAsia="宋体" w:cs="宋体"/>
          <w:spacing w:val="-7"/>
          <w:sz w:val="28"/>
          <w:szCs w:val="28"/>
        </w:rPr>
        <w:t>上述具体评价过程见本报告附件。</w:t>
      </w:r>
    </w:p>
    <w:p>
      <w:pPr>
        <w:pStyle w:val="4"/>
        <w:pageBreakBefore w:val="0"/>
        <w:widowControl w:val="0"/>
        <w:kinsoku/>
        <w:wordWrap/>
        <w:overflowPunct/>
        <w:topLinePunct w:val="0"/>
        <w:autoSpaceDE w:val="0"/>
        <w:autoSpaceDN w:val="0"/>
        <w:bidi w:val="0"/>
        <w:adjustRightInd/>
        <w:snapToGrid/>
        <w:spacing w:before="240" w:beforeLines="100" w:after="240" w:afterLines="100" w:line="560" w:lineRule="exact"/>
        <w:ind w:firstLine="562" w:firstLineChars="200"/>
        <w:textAlignment w:val="auto"/>
        <w:rPr>
          <w:rFonts w:hint="eastAsia" w:ascii="宋体" w:hAnsi="宋体" w:eastAsia="宋体" w:cs="宋体"/>
          <w:sz w:val="28"/>
          <w:szCs w:val="28"/>
          <w:lang w:val="en-US"/>
        </w:rPr>
      </w:pPr>
      <w:bookmarkStart w:id="492" w:name="_Toc6690_WPSOffice_Level3"/>
      <w:bookmarkStart w:id="493" w:name="_Toc29496_WPSOffice_Level3"/>
      <w:r>
        <w:rPr>
          <w:rFonts w:hint="eastAsia" w:ascii="宋体" w:hAnsi="宋体" w:eastAsia="宋体" w:cs="宋体"/>
          <w:sz w:val="28"/>
          <w:szCs w:val="28"/>
          <w:lang w:val="en-US"/>
        </w:rPr>
        <w:t>7.1.5 安全管理评价结果</w:t>
      </w:r>
      <w:bookmarkEnd w:id="490"/>
      <w:bookmarkEnd w:id="491"/>
      <w:bookmarkEnd w:id="492"/>
      <w:bookmarkEnd w:id="493"/>
    </w:p>
    <w:p>
      <w:pPr>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根据本报告附件“安全管理评价”可知：</w:t>
      </w:r>
    </w:p>
    <w:p>
      <w:pPr>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z w:val="28"/>
        </w:rPr>
      </w:pPr>
      <w:r>
        <w:rPr>
          <w:rFonts w:hint="eastAsia" w:ascii="宋体" w:hAnsi="宋体" w:eastAsia="宋体" w:cs="宋体"/>
          <w:spacing w:val="-7"/>
          <w:sz w:val="28"/>
          <w:szCs w:val="28"/>
        </w:rPr>
        <w:t>该加油站证照齐全、制订了安全管理机构、安全管理制度、安全操作规程、安全管理台帐等，符合《危险化学品经营许可证管理办法》第二章“申请经营许可证的条件”第六条至八条的内容等规范的要求。</w:t>
      </w:r>
    </w:p>
    <w:p>
      <w:pPr>
        <w:pStyle w:val="3"/>
        <w:pageBreakBefore w:val="0"/>
        <w:widowControl w:val="0"/>
        <w:kinsoku/>
        <w:wordWrap/>
        <w:overflowPunct/>
        <w:topLinePunct w:val="0"/>
        <w:autoSpaceDE w:val="0"/>
        <w:autoSpaceDN w:val="0"/>
        <w:bidi w:val="0"/>
        <w:adjustRightInd/>
        <w:snapToGrid/>
        <w:spacing w:before="240" w:beforeLines="100" w:after="240" w:afterLines="100" w:line="560" w:lineRule="exact"/>
        <w:jc w:val="center"/>
        <w:textAlignment w:val="auto"/>
        <w:rPr>
          <w:rFonts w:hint="eastAsia" w:ascii="宋体" w:hAnsi="宋体" w:eastAsia="宋体" w:cs="宋体"/>
          <w:b/>
          <w:bCs/>
        </w:rPr>
      </w:pPr>
      <w:bookmarkStart w:id="494" w:name="_Toc9703_WPSOffice_Level2"/>
      <w:bookmarkStart w:id="495" w:name="_Toc29251"/>
      <w:bookmarkStart w:id="496" w:name="_Toc28272_WPSOffice_Level2"/>
      <w:bookmarkStart w:id="497" w:name="_Toc529176504"/>
      <w:bookmarkStart w:id="498" w:name="_Toc11959"/>
      <w:bookmarkStart w:id="499" w:name="_Toc6578_WPSOffice_Level2"/>
      <w:bookmarkStart w:id="500" w:name="_Toc7226"/>
      <w:r>
        <w:rPr>
          <w:rFonts w:hint="eastAsia" w:ascii="宋体" w:hAnsi="宋体" w:eastAsia="宋体" w:cs="宋体"/>
          <w:b/>
          <w:bCs/>
        </w:rPr>
        <w:t>7.</w:t>
      </w:r>
      <w:r>
        <w:rPr>
          <w:rFonts w:hint="eastAsia" w:ascii="宋体" w:hAnsi="宋体" w:eastAsia="宋体" w:cs="宋体"/>
          <w:b/>
          <w:bCs/>
          <w:lang w:val="en-US"/>
        </w:rPr>
        <w:t xml:space="preserve">2 </w:t>
      </w:r>
      <w:r>
        <w:rPr>
          <w:rFonts w:hint="eastAsia" w:ascii="宋体" w:hAnsi="宋体" w:eastAsia="宋体" w:cs="宋体"/>
          <w:b/>
          <w:bCs/>
        </w:rPr>
        <w:t>可能发生的事故及后果</w:t>
      </w:r>
      <w:bookmarkEnd w:id="479"/>
      <w:bookmarkEnd w:id="494"/>
      <w:bookmarkEnd w:id="495"/>
      <w:bookmarkEnd w:id="496"/>
      <w:bookmarkEnd w:id="497"/>
      <w:bookmarkEnd w:id="498"/>
      <w:bookmarkEnd w:id="499"/>
      <w:bookmarkEnd w:id="500"/>
    </w:p>
    <w:p>
      <w:pPr>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该项目最有可能发生的事故是油品泄漏引起的火灾、爆炸、中毒事故。主要爆炸危险源是油罐操作井、通气管口、卸油口、加油机。严重的油品泄漏主要是发生在卸油过程中，一旦发生油品泄漏，如遇到点火源就容易引起火灾、爆炸事故。根据风险分析，一旦油罐区的油罐发生火灾爆炸，受影响的包括站内员工、加油车辆及人员等，甚至对周边构成威胁。</w:t>
      </w:r>
    </w:p>
    <w:p>
      <w:pPr>
        <w:pStyle w:val="3"/>
        <w:pageBreakBefore w:val="0"/>
        <w:widowControl w:val="0"/>
        <w:kinsoku/>
        <w:wordWrap/>
        <w:overflowPunct/>
        <w:topLinePunct w:val="0"/>
        <w:autoSpaceDE w:val="0"/>
        <w:autoSpaceDN w:val="0"/>
        <w:bidi w:val="0"/>
        <w:adjustRightInd/>
        <w:snapToGrid/>
        <w:spacing w:before="240" w:beforeLines="100" w:after="240" w:afterLines="100" w:line="560" w:lineRule="exact"/>
        <w:jc w:val="center"/>
        <w:textAlignment w:val="auto"/>
        <w:rPr>
          <w:rFonts w:hint="eastAsia" w:ascii="宋体" w:hAnsi="宋体" w:eastAsia="宋体" w:cs="宋体"/>
          <w:b/>
          <w:bCs/>
        </w:rPr>
      </w:pPr>
      <w:bookmarkStart w:id="501" w:name="_Toc528343558"/>
      <w:bookmarkStart w:id="502" w:name="_Toc523421442"/>
      <w:bookmarkStart w:id="503" w:name="_Toc20233_WPSOffice_Level2"/>
      <w:bookmarkStart w:id="504" w:name="_Toc529176505"/>
      <w:bookmarkStart w:id="505" w:name="_Toc3501"/>
      <w:bookmarkStart w:id="506" w:name="_Toc4870"/>
      <w:bookmarkStart w:id="507" w:name="_Toc31758_WPSOffice_Level2"/>
      <w:bookmarkStart w:id="508" w:name="_Toc23552_WPSOffice_Level2"/>
      <w:bookmarkStart w:id="509" w:name="_Toc32270"/>
      <w:r>
        <w:rPr>
          <w:rFonts w:hint="eastAsia" w:ascii="宋体" w:hAnsi="宋体" w:eastAsia="宋体" w:cs="宋体"/>
          <w:b/>
          <w:bCs/>
        </w:rPr>
        <w:t>7.</w:t>
      </w:r>
      <w:r>
        <w:rPr>
          <w:rFonts w:hint="eastAsia" w:ascii="宋体" w:hAnsi="宋体" w:eastAsia="宋体" w:cs="宋体"/>
          <w:b/>
          <w:bCs/>
          <w:lang w:val="en-US"/>
        </w:rPr>
        <w:t xml:space="preserve">3 </w:t>
      </w:r>
      <w:r>
        <w:rPr>
          <w:rFonts w:hint="eastAsia" w:ascii="宋体" w:hAnsi="宋体" w:eastAsia="宋体" w:cs="宋体"/>
          <w:b/>
          <w:bCs/>
        </w:rPr>
        <w:t>事故案例分析</w:t>
      </w:r>
      <w:bookmarkEnd w:id="501"/>
      <w:bookmarkEnd w:id="502"/>
      <w:bookmarkEnd w:id="503"/>
      <w:bookmarkEnd w:id="504"/>
      <w:bookmarkEnd w:id="505"/>
      <w:bookmarkEnd w:id="506"/>
      <w:bookmarkEnd w:id="507"/>
      <w:bookmarkEnd w:id="508"/>
      <w:bookmarkEnd w:id="509"/>
    </w:p>
    <w:p>
      <w:pPr>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本报告列举了个加油站的事故案例进行分析，其分析过程详见本报告附件</w:t>
      </w:r>
      <w:r>
        <w:rPr>
          <w:rFonts w:hint="eastAsia" w:ascii="宋体" w:hAnsi="宋体" w:eastAsia="宋体" w:cs="宋体"/>
          <w:spacing w:val="-7"/>
          <w:sz w:val="28"/>
          <w:szCs w:val="28"/>
          <w:lang w:val="en-US"/>
        </w:rPr>
        <w:t>3</w:t>
      </w:r>
      <w:r>
        <w:rPr>
          <w:rFonts w:hint="eastAsia" w:ascii="宋体" w:hAnsi="宋体" w:eastAsia="宋体" w:cs="宋体"/>
          <w:spacing w:val="-7"/>
          <w:sz w:val="28"/>
          <w:szCs w:val="28"/>
        </w:rPr>
        <w:t>。</w:t>
      </w:r>
    </w:p>
    <w:p>
      <w:pPr>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通过以上事故案例可知，加油站的安全工作是十分必要性的，必须引起重视。加油站内的设施设备及工艺系统必须按照有关规范的要求进行设置，同时在经营过程中应加强加油站从业人员的安全意识，加强作业人员的岗前培训及在岗员工的培训工作，加大作业现场危害因素识别及作业现场的监督力度，同时做好相应的安全监管工作等。</w:t>
      </w:r>
    </w:p>
    <w:p>
      <w:pPr>
        <w:pStyle w:val="3"/>
        <w:pageBreakBefore w:val="0"/>
        <w:widowControl w:val="0"/>
        <w:kinsoku/>
        <w:wordWrap/>
        <w:overflowPunct/>
        <w:topLinePunct w:val="0"/>
        <w:autoSpaceDE w:val="0"/>
        <w:autoSpaceDN w:val="0"/>
        <w:bidi w:val="0"/>
        <w:adjustRightInd/>
        <w:snapToGrid/>
        <w:spacing w:before="240" w:beforeLines="100" w:after="240" w:afterLines="100" w:line="560" w:lineRule="exact"/>
        <w:jc w:val="center"/>
        <w:textAlignment w:val="auto"/>
        <w:rPr>
          <w:rFonts w:hint="eastAsia" w:ascii="宋体" w:hAnsi="宋体" w:eastAsia="宋体" w:cs="宋体"/>
          <w:b/>
          <w:bCs/>
        </w:rPr>
      </w:pPr>
      <w:bookmarkStart w:id="510" w:name="_Toc7790_WPSOffice_Level2"/>
      <w:bookmarkStart w:id="511" w:name="_Toc21541_WPSOffice_Level2"/>
      <w:bookmarkStart w:id="512" w:name="_Toc480845375"/>
      <w:bookmarkStart w:id="513" w:name="_Toc17048_WPSOffice_Level2"/>
      <w:bookmarkStart w:id="514" w:name="_Toc16342"/>
      <w:bookmarkStart w:id="515" w:name="_Toc529176506"/>
      <w:bookmarkStart w:id="516" w:name="_Toc12956"/>
      <w:bookmarkStart w:id="517" w:name="_Toc17931"/>
      <w:r>
        <w:rPr>
          <w:rFonts w:hint="eastAsia" w:ascii="宋体" w:hAnsi="宋体" w:eastAsia="宋体" w:cs="宋体"/>
          <w:b/>
          <w:bCs/>
        </w:rPr>
        <w:t>7.</w:t>
      </w:r>
      <w:r>
        <w:rPr>
          <w:rFonts w:hint="eastAsia" w:ascii="宋体" w:hAnsi="宋体" w:eastAsia="宋体" w:cs="宋体"/>
          <w:b/>
          <w:bCs/>
          <w:lang w:val="en-US"/>
        </w:rPr>
        <w:t xml:space="preserve">4 </w:t>
      </w:r>
      <w:r>
        <w:rPr>
          <w:rFonts w:hint="eastAsia" w:ascii="宋体" w:hAnsi="宋体" w:eastAsia="宋体" w:cs="宋体"/>
          <w:b/>
          <w:bCs/>
        </w:rPr>
        <w:t>事故应急措施</w:t>
      </w:r>
      <w:bookmarkEnd w:id="510"/>
      <w:bookmarkEnd w:id="511"/>
      <w:bookmarkEnd w:id="512"/>
      <w:bookmarkEnd w:id="513"/>
      <w:bookmarkEnd w:id="514"/>
      <w:bookmarkEnd w:id="515"/>
      <w:bookmarkEnd w:id="516"/>
      <w:bookmarkEnd w:id="517"/>
    </w:p>
    <w:p>
      <w:pPr>
        <w:pStyle w:val="4"/>
        <w:pageBreakBefore w:val="0"/>
        <w:widowControl w:val="0"/>
        <w:kinsoku/>
        <w:wordWrap/>
        <w:overflowPunct/>
        <w:topLinePunct w:val="0"/>
        <w:autoSpaceDE w:val="0"/>
        <w:autoSpaceDN w:val="0"/>
        <w:bidi w:val="0"/>
        <w:adjustRightInd/>
        <w:snapToGrid/>
        <w:spacing w:before="240" w:beforeLines="100" w:after="240" w:afterLines="100" w:line="560" w:lineRule="exact"/>
        <w:ind w:firstLine="562" w:firstLineChars="200"/>
        <w:textAlignment w:val="auto"/>
        <w:rPr>
          <w:rFonts w:hint="eastAsia" w:ascii="宋体" w:hAnsi="宋体" w:eastAsia="宋体" w:cs="宋体"/>
          <w:sz w:val="28"/>
          <w:szCs w:val="28"/>
          <w:lang w:val="en-US"/>
        </w:rPr>
      </w:pPr>
      <w:bookmarkStart w:id="518" w:name="_Toc480845376"/>
      <w:bookmarkStart w:id="519" w:name="_Toc9032_WPSOffice_Level3"/>
      <w:bookmarkStart w:id="520" w:name="_Toc487_WPSOffice_Level3"/>
      <w:r>
        <w:rPr>
          <w:rFonts w:hint="eastAsia" w:ascii="宋体" w:hAnsi="宋体" w:eastAsia="宋体" w:cs="宋体"/>
          <w:sz w:val="28"/>
          <w:szCs w:val="28"/>
          <w:lang w:val="en-US"/>
        </w:rPr>
        <w:t>7.4.1 泄漏事故现场处置措施</w:t>
      </w:r>
      <w:bookmarkEnd w:id="518"/>
      <w:bookmarkEnd w:id="519"/>
      <w:bookmarkEnd w:id="520"/>
    </w:p>
    <w:p>
      <w:pPr>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1）应及时关闭油罐车卸油阀，切断总电源，停止营业，并向站长汇报；</w:t>
      </w:r>
    </w:p>
    <w:p>
      <w:pPr>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2）必要时，报告消防部门，以便临时封堵附近的交通道路；站长及时组织人员进行现场警戒，疏散站内人员，推出站内车辆，检查并消除附近的一切火源；制止其他车辆和人员进入加油站；</w:t>
      </w:r>
    </w:p>
    <w:p>
      <w:pPr>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3）在溢油处的上风向，布置消防器材；</w:t>
      </w:r>
    </w:p>
    <w:p>
      <w:pPr>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4）小量泄漏：用砂土、蛭石或其它惰性材料吸收。大量泄漏：构筑围堤或挖坑收容；用泡沫覆盖，降低蒸气灾害。用防爆泵转移至槽车或专用收集器内，回收或运至废物处理场所处置；</w:t>
      </w:r>
    </w:p>
    <w:p>
      <w:pPr>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5）给被油品溅泼的人员提供援助；通知毗邻单位或居民，注意危险；</w:t>
      </w:r>
    </w:p>
    <w:p>
      <w:pPr>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6）检查其他可能产生危险的区域是否有隐患存在；</w:t>
      </w:r>
    </w:p>
    <w:p>
      <w:pPr>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7）计量确定跑、冒油损失，做好记录台帐；</w:t>
      </w:r>
    </w:p>
    <w:p>
      <w:pPr>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8）检查确认无其他隐患后，可继续营业；</w:t>
      </w:r>
    </w:p>
    <w:p>
      <w:pPr>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9）分析跑、冒油原因。</w:t>
      </w:r>
    </w:p>
    <w:p>
      <w:pPr>
        <w:pStyle w:val="4"/>
        <w:pageBreakBefore w:val="0"/>
        <w:widowControl w:val="0"/>
        <w:kinsoku/>
        <w:wordWrap/>
        <w:overflowPunct/>
        <w:topLinePunct w:val="0"/>
        <w:autoSpaceDE w:val="0"/>
        <w:autoSpaceDN w:val="0"/>
        <w:bidi w:val="0"/>
        <w:adjustRightInd/>
        <w:snapToGrid/>
        <w:spacing w:before="240" w:beforeLines="100" w:after="240" w:afterLines="100" w:line="560" w:lineRule="exact"/>
        <w:ind w:firstLine="562" w:firstLineChars="200"/>
        <w:jc w:val="both"/>
        <w:textAlignment w:val="auto"/>
        <w:rPr>
          <w:rFonts w:hint="eastAsia" w:ascii="宋体" w:hAnsi="宋体" w:eastAsia="宋体" w:cs="宋体"/>
          <w:sz w:val="28"/>
          <w:szCs w:val="28"/>
          <w:lang w:val="en-US"/>
        </w:rPr>
      </w:pPr>
      <w:bookmarkStart w:id="521" w:name="_Toc4521_WPSOffice_Level3"/>
      <w:bookmarkStart w:id="522" w:name="_Toc21579_WPSOffice_Level3"/>
      <w:bookmarkStart w:id="523" w:name="_Toc480845377"/>
      <w:r>
        <w:rPr>
          <w:rFonts w:hint="eastAsia" w:ascii="宋体" w:hAnsi="宋体" w:eastAsia="宋体" w:cs="宋体"/>
          <w:sz w:val="28"/>
          <w:szCs w:val="28"/>
          <w:lang w:val="en-US"/>
        </w:rPr>
        <w:t>7.4.2 人员中毒现场处置措施</w:t>
      </w:r>
      <w:bookmarkEnd w:id="521"/>
      <w:bookmarkEnd w:id="522"/>
      <w:bookmarkEnd w:id="523"/>
    </w:p>
    <w:p>
      <w:pPr>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皮肤接触：立即脱去污染的衣着，用大量流动清水彻底冲洗。</w:t>
      </w:r>
    </w:p>
    <w:p>
      <w:pPr>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眼睛接触：立即翻开上下眼睑，用流动清水或生理盐水冲洗至少15分钟，就医。</w:t>
      </w:r>
    </w:p>
    <w:p>
      <w:pPr>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吸入：迅速脱离现场至空气新鲜处。保持呼吸道通畅。呼吸困难时给输氧。呼吸停止时，立即进行人工呼吸，就医。</w:t>
      </w:r>
    </w:p>
    <w:p>
      <w:pPr>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食入：给牛奶、蛋清、植物油等口服，洗胃，就医。</w:t>
      </w:r>
    </w:p>
    <w:p>
      <w:pPr>
        <w:pStyle w:val="4"/>
        <w:pageBreakBefore w:val="0"/>
        <w:widowControl w:val="0"/>
        <w:kinsoku/>
        <w:wordWrap/>
        <w:overflowPunct/>
        <w:topLinePunct w:val="0"/>
        <w:autoSpaceDE w:val="0"/>
        <w:autoSpaceDN w:val="0"/>
        <w:bidi w:val="0"/>
        <w:adjustRightInd/>
        <w:snapToGrid/>
        <w:spacing w:before="240" w:beforeLines="100" w:after="240" w:afterLines="100" w:line="560" w:lineRule="exact"/>
        <w:ind w:firstLine="562" w:firstLineChars="200"/>
        <w:textAlignment w:val="auto"/>
        <w:rPr>
          <w:rFonts w:hint="eastAsia" w:ascii="宋体" w:hAnsi="宋体" w:eastAsia="宋体" w:cs="宋体"/>
          <w:sz w:val="28"/>
          <w:szCs w:val="28"/>
          <w:lang w:val="en-US"/>
        </w:rPr>
      </w:pPr>
      <w:bookmarkStart w:id="524" w:name="_Toc480845378"/>
      <w:bookmarkStart w:id="525" w:name="_Toc21092_WPSOffice_Level3"/>
      <w:bookmarkStart w:id="526" w:name="_Toc30923_WPSOffice_Level3"/>
      <w:r>
        <w:rPr>
          <w:rFonts w:hint="eastAsia" w:ascii="宋体" w:hAnsi="宋体" w:eastAsia="宋体" w:cs="宋体"/>
          <w:sz w:val="28"/>
          <w:szCs w:val="28"/>
          <w:lang w:val="en-US"/>
        </w:rPr>
        <w:t>7.4.3 火灾爆炸事故现场处置措施</w:t>
      </w:r>
      <w:bookmarkEnd w:id="524"/>
      <w:bookmarkEnd w:id="525"/>
      <w:bookmarkEnd w:id="526"/>
    </w:p>
    <w:p>
      <w:pPr>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（1）初期火灾的处理</w:t>
      </w:r>
    </w:p>
    <w:p>
      <w:pPr>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1）发现火情应立即组织自救，并拨打119报警和通知站长及有关人员；</w:t>
      </w:r>
    </w:p>
    <w:p>
      <w:pPr>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2）切断电源总开关并关闭油罐阀门；</w:t>
      </w:r>
    </w:p>
    <w:p>
      <w:pPr>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3）立即使用消防器材扑救，并监视火势蔓延情况；</w:t>
      </w:r>
    </w:p>
    <w:p>
      <w:pPr>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4）禁止任何车辆、人员进入加油站，直到火灾扑灭为止；</w:t>
      </w:r>
    </w:p>
    <w:p>
      <w:pPr>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5）收银员将现金、帐薄和凭证放入保险柜；</w:t>
      </w:r>
    </w:p>
    <w:p>
      <w:pPr>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6）将有关情况上报上级主管部门。</w:t>
      </w:r>
    </w:p>
    <w:p>
      <w:pPr>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（2）较大火灾的处理</w:t>
      </w:r>
    </w:p>
    <w:p>
      <w:pPr>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1）加油站发生较大火灾，应立即拨打119报警，并通知站长和其他人员；</w:t>
      </w:r>
    </w:p>
    <w:p>
      <w:pPr>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2）切断电源总开关、关闭油罐阀门；</w:t>
      </w:r>
    </w:p>
    <w:p>
      <w:pPr>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3）用灭火器远距离控制火势；无法控制时，撤离现场；</w:t>
      </w:r>
    </w:p>
    <w:p>
      <w:pPr>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4）收银员将现金、帐薄和凭证放入保险柜锁好后撤离现场；</w:t>
      </w:r>
    </w:p>
    <w:p>
      <w:pPr>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5）禁止任何车辆、人员进入加油站；疏散人群、车辆撤离现场；</w:t>
      </w:r>
    </w:p>
    <w:p>
      <w:pPr>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6）等候、引导消防车进场灭火；</w:t>
      </w:r>
    </w:p>
    <w:p>
      <w:pPr>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7）将有关情况上报上级主管部门。</w:t>
      </w:r>
    </w:p>
    <w:p>
      <w:pPr>
        <w:pStyle w:val="4"/>
        <w:pageBreakBefore w:val="0"/>
        <w:widowControl w:val="0"/>
        <w:kinsoku/>
        <w:wordWrap/>
        <w:overflowPunct/>
        <w:topLinePunct w:val="0"/>
        <w:autoSpaceDE w:val="0"/>
        <w:autoSpaceDN w:val="0"/>
        <w:bidi w:val="0"/>
        <w:adjustRightInd/>
        <w:snapToGrid/>
        <w:spacing w:before="240" w:beforeLines="100" w:after="240" w:afterLines="100" w:line="560" w:lineRule="exact"/>
        <w:ind w:firstLine="562" w:firstLineChars="200"/>
        <w:textAlignment w:val="auto"/>
        <w:rPr>
          <w:rFonts w:hint="eastAsia" w:ascii="宋体" w:hAnsi="宋体" w:eastAsia="宋体" w:cs="宋体"/>
          <w:sz w:val="28"/>
          <w:szCs w:val="28"/>
          <w:lang w:val="en-US"/>
        </w:rPr>
      </w:pPr>
      <w:bookmarkStart w:id="527" w:name="_Toc4173_WPSOffice_Level3"/>
      <w:bookmarkStart w:id="528" w:name="_Toc12446_WPSOffice_Level3"/>
      <w:r>
        <w:rPr>
          <w:rFonts w:hint="eastAsia" w:ascii="宋体" w:hAnsi="宋体" w:eastAsia="宋体" w:cs="宋体"/>
          <w:sz w:val="28"/>
          <w:szCs w:val="28"/>
          <w:lang w:val="en-US"/>
        </w:rPr>
        <w:t>7.4.4 车辆伤害事故现场处置措施</w:t>
      </w:r>
      <w:bookmarkEnd w:id="527"/>
      <w:bookmarkEnd w:id="528"/>
    </w:p>
    <w:p>
      <w:pPr>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1）事故严重时，现场人员或应急小组组长可直接拨打120急救电话，尽快将伤者送医院治疗；</w:t>
      </w:r>
    </w:p>
    <w:p>
      <w:pPr>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2）如果有车辆压住伤者，应立即移开车辆，不要轻易移动受伤者，保持其呼吸道通畅；</w:t>
      </w:r>
    </w:p>
    <w:p>
      <w:pPr>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3）有出血时，应有效止血，包扎伤口；</w:t>
      </w:r>
    </w:p>
    <w:p>
      <w:pPr>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4）如果发生骨折，用双手稳定及承托受伤部位，限制骨折处活动并设置软垫，用绷带、夹板或替代品妥善固定伤肢；</w:t>
      </w:r>
    </w:p>
    <w:p>
      <w:pPr>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5）发生断指（肢）应立即止血，尽可能做到将断指（肢）冲洗干净，用消毒敷料袋包好，放入装有冷饮的塑料袋内，将断指（肢）与伤者立即送往医院；</w:t>
      </w:r>
    </w:p>
    <w:p>
      <w:pPr>
        <w:spacing w:line="500" w:lineRule="exact"/>
        <w:ind w:firstLine="532" w:firstLineChars="200"/>
        <w:jc w:val="both"/>
        <w:rPr>
          <w:rFonts w:hint="eastAsia" w:ascii="宋体" w:hAnsi="宋体" w:eastAsia="宋体" w:cs="宋体"/>
          <w:spacing w:val="-7"/>
          <w:sz w:val="28"/>
          <w:szCs w:val="28"/>
        </w:rPr>
      </w:pPr>
      <w:r>
        <w:rPr>
          <w:rFonts w:hint="eastAsia" w:ascii="宋体" w:hAnsi="宋体" w:eastAsia="宋体" w:cs="宋体"/>
          <w:spacing w:val="-7"/>
          <w:sz w:val="28"/>
          <w:szCs w:val="28"/>
        </w:rPr>
        <w:t>6）如果伤者出现呼吸或心跳停止，应进行心肺复苏急救；</w:t>
      </w:r>
    </w:p>
    <w:p>
      <w:pPr>
        <w:spacing w:line="500" w:lineRule="exact"/>
        <w:ind w:firstLine="532" w:firstLineChars="200"/>
        <w:jc w:val="both"/>
        <w:rPr>
          <w:rFonts w:hint="eastAsia" w:ascii="宋体" w:hAnsi="宋体" w:eastAsia="宋体" w:cs="宋体"/>
          <w:spacing w:val="-7"/>
          <w:sz w:val="28"/>
          <w:szCs w:val="28"/>
        </w:rPr>
      </w:pPr>
      <w:r>
        <w:rPr>
          <w:rFonts w:hint="eastAsia" w:ascii="宋体" w:hAnsi="宋体" w:eastAsia="宋体" w:cs="宋体"/>
          <w:spacing w:val="-7"/>
          <w:sz w:val="28"/>
          <w:szCs w:val="28"/>
        </w:rPr>
        <w:t>7）如果发现车辆有漏油，油箱破裂时，可将破裂处擦干净，涂上肥皂，用布条或胶布缠绕在油桶破裂处，并用铁丝捆紧，然后再涂上一层肥皂；漏油漏水时，可根据砂眼大小，选用相应规格的保险丝，用手锤轻轻将其砸入砂眼内，便可消除漏油、漏水现象。</w:t>
      </w:r>
    </w:p>
    <w:p>
      <w:pPr>
        <w:pStyle w:val="3"/>
        <w:spacing w:before="240" w:beforeLines="100" w:after="240" w:afterLines="100"/>
        <w:jc w:val="center"/>
        <w:rPr>
          <w:rFonts w:hint="eastAsia" w:ascii="宋体" w:hAnsi="宋体" w:eastAsia="宋体" w:cs="宋体"/>
          <w:b/>
          <w:bCs/>
        </w:rPr>
      </w:pPr>
      <w:bookmarkStart w:id="529" w:name="_Toc8319"/>
      <w:bookmarkStart w:id="530" w:name="_Toc7064_WPSOffice_Level2"/>
      <w:bookmarkStart w:id="531" w:name="_Toc18610_WPSOffice_Level2"/>
      <w:bookmarkStart w:id="532" w:name="_Toc13751_WPSOffice_Level2"/>
      <w:bookmarkStart w:id="533" w:name="_Toc14564"/>
      <w:bookmarkStart w:id="534" w:name="_Toc10841"/>
      <w:r>
        <w:rPr>
          <w:rFonts w:hint="eastAsia" w:ascii="宋体" w:hAnsi="宋体" w:eastAsia="宋体" w:cs="宋体"/>
          <w:b/>
          <w:bCs/>
          <w:lang w:val="en-US"/>
        </w:rPr>
        <w:t xml:space="preserve">7.5 </w:t>
      </w:r>
      <w:r>
        <w:rPr>
          <w:rFonts w:hint="eastAsia" w:ascii="宋体" w:hAnsi="宋体" w:eastAsia="宋体" w:cs="宋体"/>
          <w:b/>
          <w:bCs/>
        </w:rPr>
        <w:t>安全设施的施工、检验、检测和调试情况</w:t>
      </w:r>
      <w:bookmarkEnd w:id="529"/>
      <w:bookmarkEnd w:id="530"/>
      <w:bookmarkEnd w:id="531"/>
      <w:bookmarkEnd w:id="532"/>
      <w:bookmarkEnd w:id="533"/>
      <w:bookmarkEnd w:id="534"/>
    </w:p>
    <w:p>
      <w:pPr>
        <w:pStyle w:val="4"/>
        <w:pageBreakBefore w:val="0"/>
        <w:widowControl w:val="0"/>
        <w:kinsoku/>
        <w:wordWrap/>
        <w:overflowPunct/>
        <w:topLinePunct w:val="0"/>
        <w:autoSpaceDE w:val="0"/>
        <w:autoSpaceDN w:val="0"/>
        <w:bidi w:val="0"/>
        <w:adjustRightInd/>
        <w:snapToGrid/>
        <w:spacing w:before="240" w:beforeLines="100" w:after="240" w:afterLines="100" w:line="560" w:lineRule="exact"/>
        <w:ind w:firstLine="562" w:firstLineChars="200"/>
        <w:textAlignment w:val="auto"/>
        <w:rPr>
          <w:rFonts w:hint="eastAsia" w:ascii="宋体" w:hAnsi="宋体" w:eastAsia="宋体" w:cs="宋体"/>
          <w:sz w:val="28"/>
          <w:szCs w:val="28"/>
          <w:lang w:val="en-US"/>
        </w:rPr>
      </w:pPr>
      <w:bookmarkStart w:id="535" w:name="_Toc9037_WPSOffice_Level3"/>
      <w:bookmarkStart w:id="536" w:name="_Toc9053_WPSOffice_Level3"/>
      <w:r>
        <w:rPr>
          <w:rFonts w:hint="eastAsia" w:ascii="宋体" w:hAnsi="宋体" w:eastAsia="宋体" w:cs="宋体"/>
          <w:sz w:val="28"/>
          <w:szCs w:val="28"/>
          <w:lang w:val="en-US"/>
        </w:rPr>
        <w:t>7.5.1 安全设施的施工质量情况</w:t>
      </w:r>
      <w:bookmarkEnd w:id="535"/>
      <w:bookmarkEnd w:id="536"/>
    </w:p>
    <w:p>
      <w:pPr>
        <w:pStyle w:val="6"/>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rPr>
      </w:pPr>
      <w:r>
        <w:rPr>
          <w:rFonts w:hint="eastAsia" w:ascii="宋体" w:hAnsi="宋体" w:eastAsia="宋体" w:cs="宋体"/>
          <w:spacing w:val="-7"/>
          <w:lang w:eastAsia="zh-CN"/>
        </w:rPr>
        <w:t>横坑加油站</w:t>
      </w:r>
      <w:r>
        <w:rPr>
          <w:rFonts w:hint="eastAsia" w:ascii="宋体" w:hAnsi="宋体" w:eastAsia="宋体" w:cs="宋体"/>
          <w:spacing w:val="-7"/>
        </w:rPr>
        <w:t>在施工过程中能按图纸、施工规范、工程强制性标准条文施工，各隐蔽工程、关键工序均经验收合格，进场使用的材料质量证明文件基本齐全，设计变更程序合法有效，业主单位和有关</w:t>
      </w:r>
      <w:r>
        <w:rPr>
          <w:rFonts w:hint="eastAsia" w:ascii="宋体" w:hAnsi="宋体" w:eastAsia="宋体" w:cs="宋体"/>
          <w:spacing w:val="-7"/>
          <w:lang w:eastAsia="zh-CN"/>
        </w:rPr>
        <w:t>施工单位</w:t>
      </w:r>
      <w:r>
        <w:rPr>
          <w:rFonts w:hint="eastAsia" w:ascii="宋体" w:hAnsi="宋体" w:eastAsia="宋体" w:cs="宋体"/>
          <w:spacing w:val="-7"/>
        </w:rPr>
        <w:t>参加竣工验收，工程质量</w:t>
      </w:r>
      <w:r>
        <w:rPr>
          <w:rFonts w:hint="eastAsia" w:ascii="宋体" w:hAnsi="宋体" w:eastAsia="宋体" w:cs="宋体"/>
          <w:spacing w:val="-7"/>
          <w:lang w:eastAsia="zh-CN"/>
        </w:rPr>
        <w:t>符合相关要求</w:t>
      </w:r>
      <w:r>
        <w:rPr>
          <w:rFonts w:hint="eastAsia" w:ascii="宋体" w:hAnsi="宋体" w:eastAsia="宋体" w:cs="宋体"/>
          <w:spacing w:val="-7"/>
        </w:rPr>
        <w:t>。具体情况见工程竣工报告。</w:t>
      </w:r>
    </w:p>
    <w:p>
      <w:pPr>
        <w:pStyle w:val="4"/>
        <w:pageBreakBefore w:val="0"/>
        <w:widowControl w:val="0"/>
        <w:kinsoku/>
        <w:wordWrap/>
        <w:overflowPunct/>
        <w:topLinePunct w:val="0"/>
        <w:autoSpaceDE w:val="0"/>
        <w:autoSpaceDN w:val="0"/>
        <w:bidi w:val="0"/>
        <w:adjustRightInd/>
        <w:snapToGrid/>
        <w:spacing w:before="240" w:beforeLines="100" w:after="240" w:afterLines="100" w:line="560" w:lineRule="exact"/>
        <w:ind w:firstLine="562" w:firstLineChars="200"/>
        <w:textAlignment w:val="auto"/>
        <w:rPr>
          <w:rFonts w:hint="eastAsia" w:ascii="宋体" w:hAnsi="宋体" w:eastAsia="宋体" w:cs="宋体"/>
          <w:sz w:val="28"/>
          <w:szCs w:val="28"/>
          <w:lang w:val="en-US"/>
        </w:rPr>
      </w:pPr>
      <w:bookmarkStart w:id="537" w:name="_Toc5834_WPSOffice_Level3"/>
      <w:bookmarkStart w:id="538" w:name="_Toc29480_WPSOffice_Level3"/>
      <w:r>
        <w:rPr>
          <w:rFonts w:hint="eastAsia" w:ascii="宋体" w:hAnsi="宋体" w:eastAsia="宋体" w:cs="宋体"/>
          <w:sz w:val="28"/>
          <w:szCs w:val="28"/>
          <w:lang w:val="en-US"/>
        </w:rPr>
        <w:t>7.5.2 安全设施在施工前后的检验、检测情况及有效性情况</w:t>
      </w:r>
      <w:bookmarkEnd w:id="537"/>
      <w:bookmarkEnd w:id="538"/>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textAlignment w:val="auto"/>
        <w:rPr>
          <w:rFonts w:hint="eastAsia" w:ascii="宋体" w:hAnsi="宋体" w:eastAsia="宋体" w:cs="宋体"/>
          <w:b w:val="0"/>
          <w:color w:val="auto"/>
          <w:spacing w:val="-7"/>
          <w:sz w:val="28"/>
          <w:szCs w:val="28"/>
          <w:highlight w:val="yellow"/>
          <w:lang w:val="zh-CN" w:eastAsia="zh-CN" w:bidi="zh-CN"/>
        </w:rPr>
      </w:pPr>
      <w:bookmarkStart w:id="539" w:name="_Toc29377"/>
      <w:bookmarkStart w:id="540" w:name="_Toc29585"/>
      <w:r>
        <w:rPr>
          <w:rFonts w:hint="eastAsia" w:ascii="宋体" w:hAnsi="宋体" w:eastAsia="宋体" w:cs="宋体"/>
          <w:b w:val="0"/>
          <w:spacing w:val="-7"/>
          <w:sz w:val="28"/>
          <w:szCs w:val="28"/>
          <w:lang w:val="zh-CN" w:eastAsia="zh-CN" w:bidi="zh-CN"/>
        </w:rPr>
        <w:t>根据东莞市人民政府办公室关于印发东莞市加油站地下油罐防渗改造工作方案的通知》（东府办函〔2018〕119 号）的要求，该油站改建后的防雷和消防的检测和相关手续同步办理中，本报告将该加油站作合格评价。该加油站消防设施</w:t>
      </w:r>
      <w:bookmarkEnd w:id="539"/>
      <w:r>
        <w:rPr>
          <w:rFonts w:hint="eastAsia" w:ascii="宋体" w:hAnsi="宋体" w:eastAsia="宋体" w:cs="宋体"/>
          <w:b w:val="0"/>
          <w:spacing w:val="-7"/>
          <w:sz w:val="28"/>
          <w:szCs w:val="28"/>
          <w:lang w:val="zh-CN" w:eastAsia="zh-CN" w:bidi="zh-CN"/>
        </w:rPr>
        <w:t>改建前取得消防验收意见书：</w:t>
      </w:r>
      <w:r>
        <w:rPr>
          <w:rFonts w:hint="eastAsia" w:ascii="宋体" w:hAnsi="宋体" w:eastAsia="宋体" w:cs="宋体"/>
          <w:color w:val="auto"/>
          <w:sz w:val="28"/>
          <w:szCs w:val="28"/>
          <w:highlight w:val="none"/>
          <w:lang w:val="en-US" w:eastAsia="zh-CN"/>
        </w:rPr>
        <w:t>东公消验[2005]寮29号</w:t>
      </w:r>
      <w:bookmarkEnd w:id="540"/>
      <w:r>
        <w:rPr>
          <w:rFonts w:hint="eastAsia" w:ascii="宋体" w:hAnsi="宋体" w:eastAsia="宋体" w:cs="宋体"/>
          <w:color w:val="auto"/>
          <w:sz w:val="28"/>
          <w:szCs w:val="28"/>
          <w:highlight w:val="none"/>
          <w:lang w:val="en-US" w:eastAsia="zh-CN"/>
        </w:rPr>
        <w:t>。</w:t>
      </w:r>
    </w:p>
    <w:p>
      <w:pPr>
        <w:pStyle w:val="4"/>
        <w:pageBreakBefore w:val="0"/>
        <w:widowControl w:val="0"/>
        <w:kinsoku/>
        <w:wordWrap/>
        <w:overflowPunct/>
        <w:topLinePunct w:val="0"/>
        <w:autoSpaceDE w:val="0"/>
        <w:autoSpaceDN w:val="0"/>
        <w:bidi w:val="0"/>
        <w:adjustRightInd/>
        <w:snapToGrid/>
        <w:spacing w:before="240" w:beforeLines="100" w:after="240" w:afterLines="100" w:line="560" w:lineRule="exact"/>
        <w:ind w:firstLine="562" w:firstLineChars="200"/>
        <w:textAlignment w:val="auto"/>
        <w:rPr>
          <w:rFonts w:hint="eastAsia" w:ascii="宋体" w:hAnsi="宋体" w:eastAsia="宋体" w:cs="宋体"/>
          <w:sz w:val="28"/>
          <w:szCs w:val="28"/>
          <w:lang w:val="en-US"/>
        </w:rPr>
      </w:pPr>
      <w:bookmarkStart w:id="541" w:name="_Toc26802_WPSOffice_Level3"/>
      <w:bookmarkStart w:id="542" w:name="_Toc15794_WPSOffice_Level3"/>
      <w:r>
        <w:rPr>
          <w:rFonts w:hint="eastAsia" w:ascii="宋体" w:hAnsi="宋体" w:eastAsia="宋体" w:cs="宋体"/>
          <w:sz w:val="28"/>
          <w:szCs w:val="28"/>
          <w:lang w:val="en-US"/>
        </w:rPr>
        <w:t>7.5.3 安全设施使用前的调试情况</w:t>
      </w:r>
      <w:bookmarkEnd w:id="541"/>
      <w:bookmarkEnd w:id="542"/>
    </w:p>
    <w:p>
      <w:pPr>
        <w:pStyle w:val="6"/>
        <w:pageBreakBefore w:val="0"/>
        <w:widowControl w:val="0"/>
        <w:kinsoku/>
        <w:wordWrap/>
        <w:overflowPunct/>
        <w:topLinePunct w:val="0"/>
        <w:autoSpaceDE w:val="0"/>
        <w:autoSpaceDN w:val="0"/>
        <w:bidi w:val="0"/>
        <w:adjustRightInd/>
        <w:snapToGrid/>
        <w:spacing w:line="560" w:lineRule="exact"/>
        <w:ind w:firstLine="532" w:firstLineChars="200"/>
        <w:textAlignment w:val="auto"/>
        <w:rPr>
          <w:rFonts w:hint="eastAsia" w:ascii="宋体" w:hAnsi="宋体" w:eastAsia="宋体" w:cs="宋体"/>
          <w:spacing w:val="-7"/>
        </w:rPr>
      </w:pPr>
      <w:r>
        <w:rPr>
          <w:rFonts w:hint="eastAsia" w:ascii="宋体" w:hAnsi="宋体" w:eastAsia="宋体" w:cs="宋体"/>
          <w:spacing w:val="-7"/>
          <w:lang w:eastAsia="zh-CN"/>
        </w:rPr>
        <w:t>横坑加油站</w:t>
      </w:r>
      <w:r>
        <w:rPr>
          <w:rFonts w:hint="eastAsia" w:ascii="宋体" w:hAnsi="宋体" w:eastAsia="宋体" w:cs="宋体"/>
          <w:spacing w:val="-7"/>
        </w:rPr>
        <w:t>的安全设施由具备相应资质的单位进行安装和调试，静电接地报警仪、过电压（电涌）保护器、应急照明灯、相关报警设施等设备经试验、试运行正常，可投入使用。</w:t>
      </w:r>
    </w:p>
    <w:p>
      <w:pPr>
        <w:pStyle w:val="3"/>
        <w:pageBreakBefore w:val="0"/>
        <w:widowControl w:val="0"/>
        <w:kinsoku/>
        <w:wordWrap/>
        <w:overflowPunct/>
        <w:topLinePunct w:val="0"/>
        <w:autoSpaceDE w:val="0"/>
        <w:autoSpaceDN w:val="0"/>
        <w:bidi w:val="0"/>
        <w:adjustRightInd/>
        <w:snapToGrid/>
        <w:spacing w:before="240" w:beforeLines="100" w:after="240" w:afterLines="100" w:line="560" w:lineRule="exact"/>
        <w:ind w:hanging="561"/>
        <w:jc w:val="center"/>
        <w:textAlignment w:val="auto"/>
        <w:rPr>
          <w:rFonts w:hint="eastAsia" w:ascii="宋体" w:hAnsi="宋体" w:eastAsia="宋体" w:cs="宋体"/>
          <w:b/>
          <w:bCs/>
          <w:lang w:val="en-US"/>
        </w:rPr>
      </w:pPr>
      <w:bookmarkStart w:id="543" w:name="_Toc26928"/>
      <w:bookmarkStart w:id="544" w:name="_Toc3198_WPSOffice_Level2"/>
      <w:bookmarkStart w:id="545" w:name="_Toc14902"/>
      <w:bookmarkStart w:id="546" w:name="_Toc19824_WPSOffice_Level2"/>
      <w:bookmarkStart w:id="547" w:name="_Toc13298_WPSOffice_Level2"/>
      <w:bookmarkStart w:id="548" w:name="_Toc31378"/>
      <w:r>
        <w:rPr>
          <w:rFonts w:hint="eastAsia" w:ascii="宋体" w:hAnsi="宋体" w:eastAsia="宋体" w:cs="宋体"/>
          <w:b/>
          <w:bCs/>
          <w:lang w:val="en-US"/>
        </w:rPr>
        <w:t>7.6 企业风险评级分析与结果</w:t>
      </w:r>
      <w:bookmarkEnd w:id="543"/>
      <w:bookmarkEnd w:id="544"/>
      <w:bookmarkEnd w:id="545"/>
      <w:bookmarkEnd w:id="546"/>
      <w:bookmarkEnd w:id="547"/>
      <w:bookmarkEnd w:id="548"/>
    </w:p>
    <w:p>
      <w:pPr>
        <w:pStyle w:val="6"/>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rPr>
      </w:pPr>
      <w:r>
        <w:rPr>
          <w:rFonts w:hint="eastAsia" w:ascii="宋体" w:hAnsi="宋体" w:eastAsia="宋体" w:cs="宋体"/>
          <w:spacing w:val="-7"/>
        </w:rPr>
        <w:t>《广东省安全生产监督管理局关于做好危险化学品和烟花爆竹领域风险点危险源排查管控工作的通知》（粤安监[2016]121号）中分级标准原则第2点：危险化学品经营企业：原则上一级石油库，风险等级为红色； 二、三级石油库，风险等级为橙色；四、五级石油库，风险等级为黄色；加油站、零售业务的店面，风险等级为蓝色；其他危险化学品经营企业对照上述《危险度评价取值表》进行风险等级评定分类。</w:t>
      </w:r>
    </w:p>
    <w:p>
      <w:pPr>
        <w:pStyle w:val="6"/>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rPr>
      </w:pPr>
      <w:r>
        <w:rPr>
          <w:rFonts w:hint="eastAsia" w:ascii="宋体" w:hAnsi="宋体" w:eastAsia="宋体" w:cs="宋体"/>
          <w:spacing w:val="-7"/>
        </w:rPr>
        <w:t xml:space="preserve">对周边有学校、幼儿园、医院、养老院、交通、商业、文化、旅游以及住宅小区、街道等人员密集场所的危险化学品生产企业，其最终风险等级应在评估级别基础上提高一个等级，如“蓝色等级”提高为“黄色等级”。 </w:t>
      </w:r>
    </w:p>
    <w:p>
      <w:pPr>
        <w:pStyle w:val="6"/>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b/>
          <w:bCs/>
          <w:lang w:val="en-US"/>
        </w:rPr>
      </w:pPr>
      <w:r>
        <w:rPr>
          <w:rFonts w:hint="eastAsia" w:ascii="宋体" w:hAnsi="宋体" w:eastAsia="宋体" w:cs="宋体"/>
          <w:spacing w:val="-7"/>
        </w:rPr>
        <w:t>依据分级标准原则2判断，加油站风险等级为蓝色等级，</w:t>
      </w:r>
      <w:r>
        <w:rPr>
          <w:rFonts w:hint="eastAsia" w:ascii="宋体" w:hAnsi="宋体" w:eastAsia="宋体" w:cs="宋体"/>
          <w:spacing w:val="-7"/>
          <w:lang w:eastAsia="zh-CN"/>
        </w:rPr>
        <w:t>横坑加油站</w:t>
      </w:r>
      <w:r>
        <w:rPr>
          <w:rFonts w:hint="eastAsia" w:ascii="宋体" w:hAnsi="宋体" w:eastAsia="宋体" w:cs="宋体"/>
          <w:spacing w:val="-7"/>
        </w:rPr>
        <w:t>周边没有学校、幼儿园、医院、养老院、交通、商业、文化、旅游以及住宅小区、街道等人员密集场所，由此，</w:t>
      </w:r>
      <w:r>
        <w:rPr>
          <w:rFonts w:hint="eastAsia" w:ascii="宋体" w:hAnsi="宋体" w:eastAsia="宋体" w:cs="宋体"/>
          <w:spacing w:val="-7"/>
          <w:lang w:eastAsia="zh-CN"/>
        </w:rPr>
        <w:t>横坑加油站</w:t>
      </w:r>
      <w:r>
        <w:rPr>
          <w:rFonts w:hint="eastAsia" w:ascii="宋体" w:hAnsi="宋体" w:eastAsia="宋体" w:cs="宋体"/>
          <w:spacing w:val="-7"/>
        </w:rPr>
        <w:t>风险等级为蓝色等级。</w:t>
      </w:r>
      <w:bookmarkStart w:id="549" w:name="_Toc9000_WPSOffice_Level2"/>
      <w:bookmarkStart w:id="550" w:name="_Toc25537_WPSOffice_Level2"/>
    </w:p>
    <w:p>
      <w:pPr>
        <w:pStyle w:val="3"/>
        <w:pageBreakBefore w:val="0"/>
        <w:widowControl w:val="0"/>
        <w:kinsoku/>
        <w:wordWrap/>
        <w:overflowPunct/>
        <w:topLinePunct w:val="0"/>
        <w:autoSpaceDE w:val="0"/>
        <w:autoSpaceDN w:val="0"/>
        <w:bidi w:val="0"/>
        <w:adjustRightInd/>
        <w:snapToGrid/>
        <w:spacing w:before="240" w:beforeLines="100" w:after="240" w:afterLines="100" w:line="560" w:lineRule="exact"/>
        <w:ind w:hanging="561"/>
        <w:jc w:val="center"/>
        <w:textAlignment w:val="auto"/>
        <w:rPr>
          <w:rFonts w:hint="eastAsia" w:ascii="宋体" w:hAnsi="宋体" w:eastAsia="宋体" w:cs="宋体"/>
          <w:b/>
          <w:bCs/>
          <w:lang w:val="en-US"/>
        </w:rPr>
      </w:pPr>
      <w:bookmarkStart w:id="551" w:name="_Toc30741"/>
      <w:bookmarkStart w:id="552" w:name="_Toc5502_WPSOffice_Level2"/>
      <w:bookmarkStart w:id="553" w:name="_Toc5788"/>
      <w:bookmarkStart w:id="554" w:name="_Toc15528"/>
      <w:r>
        <w:rPr>
          <w:rFonts w:hint="eastAsia" w:ascii="宋体" w:hAnsi="宋体" w:eastAsia="宋体" w:cs="宋体"/>
          <w:b/>
          <w:bCs/>
          <w:lang w:val="en-US"/>
        </w:rPr>
        <w:t>7.7 重大生产安全事故隐患检查评价</w:t>
      </w:r>
      <w:bookmarkEnd w:id="549"/>
      <w:bookmarkEnd w:id="550"/>
      <w:bookmarkEnd w:id="551"/>
      <w:bookmarkEnd w:id="552"/>
      <w:bookmarkEnd w:id="553"/>
      <w:bookmarkEnd w:id="554"/>
    </w:p>
    <w:p>
      <w:pPr>
        <w:pStyle w:val="6"/>
        <w:pageBreakBefore w:val="0"/>
        <w:widowControl w:val="0"/>
        <w:kinsoku/>
        <w:wordWrap/>
        <w:overflowPunct/>
        <w:topLinePunct w:val="0"/>
        <w:autoSpaceDE w:val="0"/>
        <w:autoSpaceDN w:val="0"/>
        <w:bidi w:val="0"/>
        <w:adjustRightInd/>
        <w:snapToGrid/>
        <w:spacing w:before="265" w:line="560" w:lineRule="exact"/>
        <w:ind w:firstLine="532" w:firstLineChars="200"/>
        <w:jc w:val="both"/>
        <w:textAlignment w:val="auto"/>
        <w:rPr>
          <w:rFonts w:hint="eastAsia" w:ascii="宋体" w:hAnsi="宋体" w:eastAsia="宋体" w:cs="宋体"/>
        </w:rPr>
      </w:pPr>
      <w:r>
        <w:rPr>
          <w:rFonts w:hint="eastAsia" w:ascii="宋体" w:hAnsi="宋体" w:eastAsia="宋体" w:cs="宋体"/>
          <w:spacing w:val="-7"/>
        </w:rPr>
        <w:t>根据《国家安全监管总局关于印发〈化工和危险化学品生产经营单位重大生产安全事故隐患判定标准（试行）〉的通知》（安监总管三〔2017〕121号）规定编制安全检查表，</w:t>
      </w:r>
      <w:r>
        <w:rPr>
          <w:rFonts w:hint="eastAsia" w:ascii="宋体" w:hAnsi="宋体" w:eastAsia="宋体" w:cs="宋体"/>
          <w:spacing w:val="-7"/>
          <w:lang w:eastAsia="zh-CN"/>
        </w:rPr>
        <w:t>经检查，</w:t>
      </w:r>
      <w:r>
        <w:rPr>
          <w:rFonts w:hint="eastAsia" w:ascii="宋体" w:hAnsi="宋体" w:eastAsia="宋体" w:cs="宋体"/>
          <w:spacing w:val="-7"/>
        </w:rPr>
        <w:t>该油站不存在重大生产安全事故隐患，检查过程见附</w:t>
      </w:r>
      <w:r>
        <w:rPr>
          <w:rFonts w:hint="eastAsia" w:ascii="宋体" w:hAnsi="宋体" w:eastAsia="宋体" w:cs="宋体"/>
        </w:rPr>
        <w:t>件。</w:t>
      </w:r>
    </w:p>
    <w:p>
      <w:pPr>
        <w:pStyle w:val="6"/>
        <w:rPr>
          <w:rFonts w:hint="eastAsia" w:ascii="宋体" w:hAnsi="宋体" w:eastAsia="宋体" w:cs="宋体"/>
          <w:sz w:val="20"/>
        </w:rPr>
      </w:pPr>
    </w:p>
    <w:p>
      <w:pPr>
        <w:rPr>
          <w:rFonts w:hint="eastAsia" w:ascii="宋体" w:hAnsi="宋体" w:eastAsia="宋体" w:cs="宋体"/>
        </w:rPr>
      </w:pPr>
      <w:bookmarkStart w:id="555" w:name="_Toc10603_WPSOffice_Level1"/>
      <w:bookmarkStart w:id="556" w:name="_Toc31656_WPSOffice_Level1"/>
      <w:bookmarkStart w:id="557" w:name="_Toc21876"/>
      <w:bookmarkStart w:id="558" w:name="_Toc18870"/>
      <w:bookmarkStart w:id="559" w:name="_Toc20891_WPSOffice_Level1"/>
      <w:r>
        <w:rPr>
          <w:rFonts w:hint="eastAsia" w:ascii="宋体" w:hAnsi="宋体" w:eastAsia="宋体" w:cs="宋体"/>
        </w:rPr>
        <w:br w:type="page"/>
      </w:r>
    </w:p>
    <w:p>
      <w:pPr>
        <w:pStyle w:val="2"/>
        <w:keepNext w:val="0"/>
        <w:keepLines w:val="0"/>
        <w:pageBreakBefore w:val="0"/>
        <w:widowControl w:val="0"/>
        <w:kinsoku/>
        <w:wordWrap/>
        <w:overflowPunct/>
        <w:topLinePunct w:val="0"/>
        <w:autoSpaceDE w:val="0"/>
        <w:autoSpaceDN w:val="0"/>
        <w:bidi w:val="0"/>
        <w:adjustRightInd/>
        <w:snapToGrid/>
        <w:spacing w:before="240" w:beforeLines="100" w:after="240" w:afterLines="100" w:line="560" w:lineRule="exact"/>
        <w:jc w:val="center"/>
        <w:textAlignment w:val="auto"/>
        <w:rPr>
          <w:rFonts w:hint="eastAsia" w:ascii="宋体" w:hAnsi="宋体" w:eastAsia="宋体" w:cs="宋体"/>
        </w:rPr>
      </w:pPr>
      <w:bookmarkStart w:id="560" w:name="_Toc8081"/>
      <w:r>
        <w:rPr>
          <w:rFonts w:hint="eastAsia" w:ascii="宋体" w:hAnsi="宋体" w:eastAsia="宋体" w:cs="宋体"/>
        </w:rPr>
        <w:t>8</w:t>
      </w:r>
      <w:r>
        <w:rPr>
          <w:rFonts w:hint="eastAsia" w:ascii="宋体" w:hAnsi="宋体" w:eastAsia="宋体" w:cs="宋体"/>
          <w:spacing w:val="78"/>
        </w:rPr>
        <w:t xml:space="preserve"> </w:t>
      </w:r>
      <w:r>
        <w:rPr>
          <w:rFonts w:hint="eastAsia" w:ascii="宋体" w:hAnsi="宋体" w:eastAsia="宋体" w:cs="宋体"/>
        </w:rPr>
        <w:t>安全对策和建议</w:t>
      </w:r>
      <w:bookmarkEnd w:id="555"/>
      <w:bookmarkEnd w:id="556"/>
      <w:bookmarkEnd w:id="557"/>
      <w:bookmarkEnd w:id="558"/>
      <w:bookmarkEnd w:id="559"/>
      <w:bookmarkEnd w:id="560"/>
    </w:p>
    <w:p>
      <w:pPr>
        <w:keepNext w:val="0"/>
        <w:keepLines w:val="0"/>
        <w:pageBreakBefore w:val="0"/>
        <w:widowControl w:val="0"/>
        <w:kinsoku/>
        <w:wordWrap/>
        <w:overflowPunct/>
        <w:topLinePunct w:val="0"/>
        <w:autoSpaceDE w:val="0"/>
        <w:autoSpaceDN w:val="0"/>
        <w:bidi w:val="0"/>
        <w:adjustRightInd/>
        <w:snapToGrid/>
        <w:spacing w:before="240" w:beforeLines="100" w:after="240" w:afterLines="100" w:line="560" w:lineRule="exact"/>
        <w:jc w:val="center"/>
        <w:textAlignment w:val="auto"/>
        <w:outlineLvl w:val="1"/>
        <w:rPr>
          <w:rFonts w:hint="eastAsia" w:ascii="宋体" w:hAnsi="宋体" w:eastAsia="宋体" w:cs="宋体"/>
          <w:b/>
          <w:sz w:val="32"/>
          <w:szCs w:val="32"/>
        </w:rPr>
      </w:pPr>
      <w:bookmarkStart w:id="561" w:name="_Toc16112"/>
      <w:bookmarkStart w:id="562" w:name="_Toc529176509"/>
      <w:bookmarkStart w:id="563" w:name="_Toc32168_WPSOffice_Level2"/>
      <w:bookmarkStart w:id="564" w:name="_Toc7682_WPSOffice_Level2"/>
      <w:bookmarkStart w:id="565" w:name="_Toc19276_WPSOffice_Level2"/>
      <w:bookmarkStart w:id="566" w:name="_Toc28462"/>
      <w:bookmarkStart w:id="567" w:name="_Toc30469"/>
      <w:r>
        <w:rPr>
          <w:rFonts w:hint="eastAsia" w:ascii="宋体" w:hAnsi="宋体" w:eastAsia="宋体" w:cs="宋体"/>
          <w:b/>
          <w:sz w:val="32"/>
          <w:szCs w:val="32"/>
        </w:rPr>
        <w:t>8.</w:t>
      </w:r>
      <w:r>
        <w:rPr>
          <w:rFonts w:hint="eastAsia" w:ascii="宋体" w:hAnsi="宋体" w:eastAsia="宋体" w:cs="宋体"/>
          <w:b/>
          <w:sz w:val="32"/>
          <w:szCs w:val="32"/>
          <w:lang w:val="en-US" w:eastAsia="zh-CN"/>
        </w:rPr>
        <w:t>1</w:t>
      </w:r>
      <w:r>
        <w:rPr>
          <w:rFonts w:hint="eastAsia" w:ascii="宋体" w:hAnsi="宋体" w:eastAsia="宋体" w:cs="宋体"/>
          <w:b/>
          <w:sz w:val="32"/>
          <w:szCs w:val="32"/>
          <w:lang w:val="en-US"/>
        </w:rPr>
        <w:t xml:space="preserve"> </w:t>
      </w:r>
      <w:r>
        <w:rPr>
          <w:rFonts w:hint="eastAsia" w:ascii="宋体" w:hAnsi="宋体" w:eastAsia="宋体" w:cs="宋体"/>
          <w:b/>
          <w:sz w:val="32"/>
          <w:szCs w:val="32"/>
        </w:rPr>
        <w:t>安全管理方面的对策措施</w:t>
      </w:r>
      <w:bookmarkEnd w:id="561"/>
      <w:bookmarkEnd w:id="562"/>
      <w:bookmarkEnd w:id="563"/>
      <w:bookmarkEnd w:id="564"/>
      <w:bookmarkEnd w:id="565"/>
      <w:bookmarkEnd w:id="566"/>
      <w:bookmarkEnd w:id="567"/>
    </w:p>
    <w:p>
      <w:pPr>
        <w:keepNext w:val="0"/>
        <w:keepLines w:val="0"/>
        <w:pageBreakBefore w:val="0"/>
        <w:widowControl w:val="0"/>
        <w:kinsoku/>
        <w:wordWrap/>
        <w:overflowPunct/>
        <w:topLinePunct w:val="0"/>
        <w:autoSpaceDE w:val="0"/>
        <w:autoSpaceDN w:val="0"/>
        <w:bidi w:val="0"/>
        <w:adjustRightInd/>
        <w:snapToGrid/>
        <w:spacing w:line="560" w:lineRule="exact"/>
        <w:ind w:firstLine="399" w:firstLineChars="150"/>
        <w:textAlignment w:val="auto"/>
        <w:rPr>
          <w:rFonts w:hint="eastAsia" w:ascii="宋体" w:hAnsi="宋体" w:eastAsia="宋体" w:cs="宋体"/>
          <w:spacing w:val="-7"/>
          <w:sz w:val="28"/>
          <w:szCs w:val="28"/>
        </w:rPr>
      </w:pPr>
      <w:bookmarkStart w:id="568" w:name="_Hlk504719911"/>
      <w:r>
        <w:rPr>
          <w:rFonts w:hint="eastAsia" w:ascii="宋体" w:hAnsi="宋体" w:eastAsia="宋体" w:cs="宋体"/>
          <w:spacing w:val="-7"/>
          <w:sz w:val="28"/>
          <w:szCs w:val="28"/>
        </w:rPr>
        <w:t>1）在加油站正式恢复运行后要建立安全生产档案，认真执行安全生产操作规程，加强对站内消防设施、工艺管线、电线电缆、发配电间的定期检查、维护，定人定责做好检查记录，重视个体保护，避免职业伤害事故的发生。</w:t>
      </w:r>
    </w:p>
    <w:p>
      <w:pPr>
        <w:keepNext w:val="0"/>
        <w:keepLines w:val="0"/>
        <w:pageBreakBefore w:val="0"/>
        <w:widowControl w:val="0"/>
        <w:kinsoku/>
        <w:wordWrap/>
        <w:overflowPunct/>
        <w:topLinePunct w:val="0"/>
        <w:autoSpaceDE w:val="0"/>
        <w:autoSpaceDN w:val="0"/>
        <w:bidi w:val="0"/>
        <w:adjustRightInd/>
        <w:snapToGrid/>
        <w:spacing w:line="560" w:lineRule="exact"/>
        <w:ind w:firstLine="399" w:firstLineChars="150"/>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2）对已制定的各项安全管理制度，建议进一步抓好各项制度的落实并予以完善，定期进行灭火和防跑冒漏油预案演练，不断完善预案内容。加强人员的培训，特别要加强对新员工的安全教育，使安全管理工作时刻处于受控状态。对建筑消防设施应当定期维修保养，保证功能良好完整有效；建立健全消防安全制度，落实消防安全责任制，确保安全。</w:t>
      </w:r>
    </w:p>
    <w:p>
      <w:pPr>
        <w:keepNext w:val="0"/>
        <w:keepLines w:val="0"/>
        <w:pageBreakBefore w:val="0"/>
        <w:widowControl w:val="0"/>
        <w:kinsoku/>
        <w:wordWrap/>
        <w:overflowPunct/>
        <w:topLinePunct w:val="0"/>
        <w:autoSpaceDE w:val="0"/>
        <w:autoSpaceDN w:val="0"/>
        <w:bidi w:val="0"/>
        <w:adjustRightInd/>
        <w:snapToGrid/>
        <w:spacing w:line="560" w:lineRule="exact"/>
        <w:ind w:firstLine="399" w:firstLineChars="150"/>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3）加强站内流动人员、车辆的安全管理；站房要加强火种管理，悬挂明显的禁烟、禁火标志，杜绝安全隐患。</w:t>
      </w:r>
    </w:p>
    <w:p>
      <w:pPr>
        <w:keepNext w:val="0"/>
        <w:keepLines w:val="0"/>
        <w:pageBreakBefore w:val="0"/>
        <w:widowControl w:val="0"/>
        <w:kinsoku/>
        <w:wordWrap/>
        <w:overflowPunct/>
        <w:topLinePunct w:val="0"/>
        <w:autoSpaceDE w:val="0"/>
        <w:autoSpaceDN w:val="0"/>
        <w:bidi w:val="0"/>
        <w:adjustRightInd/>
        <w:snapToGrid/>
        <w:spacing w:line="560" w:lineRule="exact"/>
        <w:ind w:firstLine="399" w:firstLineChars="150"/>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4）落实加油站主要负责人、安全管理人员的继续教育培训工作，并取得上岗资质。特种作业人员应按照主管部门的要求定期参加复审，确保证件的有效性。</w:t>
      </w:r>
    </w:p>
    <w:p>
      <w:pPr>
        <w:keepNext w:val="0"/>
        <w:keepLines w:val="0"/>
        <w:pageBreakBefore w:val="0"/>
        <w:widowControl w:val="0"/>
        <w:kinsoku/>
        <w:wordWrap/>
        <w:overflowPunct/>
        <w:topLinePunct w:val="0"/>
        <w:autoSpaceDE w:val="0"/>
        <w:autoSpaceDN w:val="0"/>
        <w:bidi w:val="0"/>
        <w:adjustRightInd/>
        <w:snapToGrid/>
        <w:spacing w:line="560" w:lineRule="exact"/>
        <w:ind w:firstLine="399" w:firstLineChars="150"/>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5）建议加油站经营方配备注册安全工程师对加油站进行安全管理，提高加油站的管理水平。</w:t>
      </w:r>
    </w:p>
    <w:p>
      <w:pPr>
        <w:keepNext w:val="0"/>
        <w:keepLines w:val="0"/>
        <w:pageBreakBefore w:val="0"/>
        <w:widowControl w:val="0"/>
        <w:kinsoku/>
        <w:wordWrap/>
        <w:overflowPunct/>
        <w:topLinePunct w:val="0"/>
        <w:autoSpaceDE w:val="0"/>
        <w:autoSpaceDN w:val="0"/>
        <w:bidi w:val="0"/>
        <w:adjustRightInd/>
        <w:snapToGrid/>
        <w:spacing w:line="560" w:lineRule="exact"/>
        <w:ind w:firstLine="399" w:firstLineChars="150"/>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6）加强对周边单位的安全宣传，注意站区车辆的疏导，无关车辆不得停放在加油站的出、入口处。</w:t>
      </w:r>
    </w:p>
    <w:p>
      <w:pPr>
        <w:keepNext w:val="0"/>
        <w:keepLines w:val="0"/>
        <w:pageBreakBefore w:val="0"/>
        <w:widowControl w:val="0"/>
        <w:kinsoku/>
        <w:wordWrap/>
        <w:overflowPunct/>
        <w:topLinePunct w:val="0"/>
        <w:autoSpaceDE w:val="0"/>
        <w:autoSpaceDN w:val="0"/>
        <w:bidi w:val="0"/>
        <w:adjustRightInd/>
        <w:snapToGrid/>
        <w:spacing w:line="560" w:lineRule="exact"/>
        <w:ind w:firstLine="399" w:firstLineChars="150"/>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7）加强站内交通指挥，防止进站车辆发生碰撞事故，进而引发火灾爆炸，造成人员伤害和财产损失。</w:t>
      </w:r>
    </w:p>
    <w:p>
      <w:pPr>
        <w:keepNext w:val="0"/>
        <w:keepLines w:val="0"/>
        <w:pageBreakBefore w:val="0"/>
        <w:widowControl w:val="0"/>
        <w:kinsoku/>
        <w:wordWrap/>
        <w:overflowPunct/>
        <w:topLinePunct w:val="0"/>
        <w:autoSpaceDE w:val="0"/>
        <w:autoSpaceDN w:val="0"/>
        <w:bidi w:val="0"/>
        <w:adjustRightInd/>
        <w:snapToGrid/>
        <w:spacing w:line="560" w:lineRule="exact"/>
        <w:ind w:firstLine="399" w:firstLineChars="150"/>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8）加油站应设置指示进出方向、车辆加油时停放位置的明显标识。</w:t>
      </w:r>
    </w:p>
    <w:p>
      <w:pPr>
        <w:keepNext w:val="0"/>
        <w:keepLines w:val="0"/>
        <w:pageBreakBefore w:val="0"/>
        <w:widowControl w:val="0"/>
        <w:kinsoku/>
        <w:wordWrap/>
        <w:overflowPunct/>
        <w:topLinePunct w:val="0"/>
        <w:autoSpaceDE w:val="0"/>
        <w:autoSpaceDN w:val="0"/>
        <w:bidi w:val="0"/>
        <w:adjustRightInd/>
        <w:snapToGrid/>
        <w:spacing w:line="560" w:lineRule="exact"/>
        <w:ind w:firstLine="399" w:firstLineChars="150"/>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9）在加油作业区范围严禁摆放与加油作业无关的促销商品等物品和张贴、放置任何产品销售广告板，防止因堵塞通道引发安全生产事故和阻碍事故应急救援工作。</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10）在加油作业区等爆炸危险区内严禁使用手机，严禁张贴、设置“微信扫码”“摇一摇”等易误导顾客使用手机的广告、标牌等。</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11）车辆进入加油作业区加油，应由专人引导到相应加油位置停车熄火，确认安全后方可加油。</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12）加油站是使用加油机为机动车油箱加注汽油、柴油的专门场所，原则上不能销售散装汽油。对为保证正常生产、生活活动确实需要罐装或散装零售成品汽油的，认真查验和登记购买人的所在单位、姓名、居民身份证号码、地址、购买数量、用途等情况，留存购买人身份证复印件和购买证明原件并经加油站负责人签字批准才能购买，批准购买情况由加油站当天汇总书面报当地派出所备案。</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13）加油站在以后的经营过程中若存在新、改、</w:t>
      </w:r>
      <w:r>
        <w:rPr>
          <w:rFonts w:hint="eastAsia" w:ascii="宋体" w:hAnsi="宋体" w:eastAsia="宋体" w:cs="宋体"/>
          <w:spacing w:val="-7"/>
          <w:sz w:val="28"/>
          <w:szCs w:val="28"/>
          <w:lang w:eastAsia="zh-CN"/>
        </w:rPr>
        <w:t>扩</w:t>
      </w:r>
      <w:r>
        <w:rPr>
          <w:rFonts w:hint="eastAsia" w:ascii="宋体" w:hAnsi="宋体" w:eastAsia="宋体" w:cs="宋体"/>
          <w:spacing w:val="-7"/>
          <w:sz w:val="28"/>
          <w:szCs w:val="28"/>
        </w:rPr>
        <w:t>建项目，应按照国家有关规定落实相关手续。</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14）加强与周边单位的沟通，确保周边新、改、</w:t>
      </w:r>
      <w:r>
        <w:rPr>
          <w:rFonts w:hint="eastAsia" w:ascii="宋体" w:hAnsi="宋体" w:eastAsia="宋体" w:cs="宋体"/>
          <w:spacing w:val="-7"/>
          <w:sz w:val="28"/>
          <w:szCs w:val="28"/>
          <w:lang w:eastAsia="zh-CN"/>
        </w:rPr>
        <w:t>扩</w:t>
      </w:r>
      <w:r>
        <w:rPr>
          <w:rFonts w:hint="eastAsia" w:ascii="宋体" w:hAnsi="宋体" w:eastAsia="宋体" w:cs="宋体"/>
          <w:spacing w:val="-7"/>
          <w:sz w:val="28"/>
          <w:szCs w:val="28"/>
        </w:rPr>
        <w:t>建项目与加油站的安全距离符合标准要求。</w:t>
      </w:r>
    </w:p>
    <w:bookmarkEnd w:id="568"/>
    <w:p>
      <w:pPr>
        <w:keepNext w:val="0"/>
        <w:keepLines w:val="0"/>
        <w:pageBreakBefore w:val="0"/>
        <w:widowControl w:val="0"/>
        <w:kinsoku/>
        <w:wordWrap/>
        <w:overflowPunct/>
        <w:topLinePunct w:val="0"/>
        <w:autoSpaceDE w:val="0"/>
        <w:autoSpaceDN w:val="0"/>
        <w:bidi w:val="0"/>
        <w:adjustRightInd/>
        <w:snapToGrid/>
        <w:spacing w:before="240" w:beforeLines="100" w:after="240" w:afterLines="100" w:line="560" w:lineRule="exact"/>
        <w:jc w:val="center"/>
        <w:textAlignment w:val="auto"/>
        <w:outlineLvl w:val="1"/>
        <w:rPr>
          <w:rFonts w:hint="eastAsia" w:ascii="宋体" w:hAnsi="宋体" w:eastAsia="宋体" w:cs="宋体"/>
          <w:b/>
          <w:sz w:val="32"/>
          <w:szCs w:val="32"/>
        </w:rPr>
      </w:pPr>
      <w:bookmarkStart w:id="569" w:name="_Toc3073"/>
      <w:bookmarkStart w:id="570" w:name="_Toc14755_WPSOffice_Level2"/>
      <w:bookmarkStart w:id="571" w:name="_Toc6792_WPSOffice_Level2"/>
      <w:bookmarkStart w:id="572" w:name="_Toc27242_WPSOffice_Level2"/>
      <w:bookmarkStart w:id="573" w:name="_Toc32495"/>
      <w:bookmarkStart w:id="574" w:name="_Toc529176510"/>
      <w:bookmarkStart w:id="575" w:name="_Toc15630"/>
      <w:r>
        <w:rPr>
          <w:rFonts w:hint="eastAsia" w:ascii="宋体" w:hAnsi="宋体" w:eastAsia="宋体" w:cs="宋体"/>
          <w:b/>
          <w:sz w:val="32"/>
          <w:szCs w:val="32"/>
        </w:rPr>
        <w:t>8.</w:t>
      </w:r>
      <w:r>
        <w:rPr>
          <w:rFonts w:hint="eastAsia" w:ascii="宋体" w:hAnsi="宋体" w:eastAsia="宋体" w:cs="宋体"/>
          <w:b/>
          <w:sz w:val="32"/>
          <w:szCs w:val="32"/>
          <w:lang w:val="en-US" w:eastAsia="zh-CN"/>
        </w:rPr>
        <w:t>2</w:t>
      </w:r>
      <w:r>
        <w:rPr>
          <w:rFonts w:hint="eastAsia" w:ascii="宋体" w:hAnsi="宋体" w:eastAsia="宋体" w:cs="宋体"/>
          <w:b/>
          <w:sz w:val="32"/>
          <w:szCs w:val="32"/>
          <w:lang w:val="en-US"/>
        </w:rPr>
        <w:t xml:space="preserve"> </w:t>
      </w:r>
      <w:r>
        <w:rPr>
          <w:rFonts w:hint="eastAsia" w:ascii="宋体" w:hAnsi="宋体" w:eastAsia="宋体" w:cs="宋体"/>
          <w:b/>
          <w:sz w:val="32"/>
          <w:szCs w:val="32"/>
        </w:rPr>
        <w:t>场所、设施、装置、消防与电气方面的对策措施</w:t>
      </w:r>
      <w:bookmarkEnd w:id="569"/>
      <w:bookmarkEnd w:id="570"/>
      <w:bookmarkEnd w:id="571"/>
      <w:bookmarkEnd w:id="572"/>
      <w:bookmarkEnd w:id="573"/>
      <w:bookmarkEnd w:id="574"/>
      <w:bookmarkEnd w:id="575"/>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1）经营和储存场所、设施、建筑物要符合《建筑设计防火规范》（GB 50016-2014）、《汽车加油加气站设计与施工规范》（GB50156-2012,2014版）等相关国家标准、行业标准的规定，并定期进行建筑设施的防雷检测工作，保证建筑物的防雷设施正常工作。</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2）对各种消防器材和应急救援设备要定期检查，使之始终处于良好状态。</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3）定期检查电器、照明等设施，避免故障产生火花。</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4）加强对站内安全设施的维护保养，特别是高液位报警系统，确保其有效性。</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5）站房内不得存放甲、乙类易燃易爆物品；加油岛上不得放置收录音机、电扇、延长线、冷藏设备等一般电器设备及其他杂物。根据国家相关标准、规范要求配置足量的消防器材并定期检查维护，使之始终处于良好状态，并确保站内建、构筑物满足消防部门及其他相关主管部门的安全要求。</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6）加油站除在卸油口及整个油罐区域进行全面监控，并能清晰看到卸油员具体操作动作外，摄像机还应能对卸油区和油罐区周边的情况进行全面监控。</w:t>
      </w:r>
    </w:p>
    <w:p>
      <w:pPr>
        <w:keepNext w:val="0"/>
        <w:keepLines w:val="0"/>
        <w:pageBreakBefore w:val="0"/>
        <w:widowControl w:val="0"/>
        <w:kinsoku/>
        <w:wordWrap/>
        <w:overflowPunct/>
        <w:topLinePunct w:val="0"/>
        <w:autoSpaceDE w:val="0"/>
        <w:autoSpaceDN w:val="0"/>
        <w:bidi w:val="0"/>
        <w:adjustRightInd/>
        <w:snapToGrid/>
        <w:spacing w:before="240" w:beforeLines="100" w:after="240" w:afterLines="100" w:line="560" w:lineRule="exact"/>
        <w:jc w:val="center"/>
        <w:textAlignment w:val="auto"/>
        <w:outlineLvl w:val="1"/>
        <w:rPr>
          <w:rFonts w:hint="eastAsia" w:ascii="宋体" w:hAnsi="宋体" w:eastAsia="宋体" w:cs="宋体"/>
          <w:b/>
          <w:sz w:val="32"/>
          <w:szCs w:val="32"/>
        </w:rPr>
      </w:pPr>
      <w:bookmarkStart w:id="576" w:name="_Toc529176511"/>
      <w:bookmarkStart w:id="577" w:name="_Toc23583_WPSOffice_Level2"/>
      <w:bookmarkStart w:id="578" w:name="_Toc21728"/>
      <w:bookmarkStart w:id="579" w:name="_Toc21914_WPSOffice_Level2"/>
      <w:bookmarkStart w:id="580" w:name="_Toc2980_WPSOffice_Level2"/>
      <w:bookmarkStart w:id="581" w:name="_Toc24284"/>
      <w:bookmarkStart w:id="582" w:name="_Toc24309"/>
      <w:r>
        <w:rPr>
          <w:rFonts w:hint="eastAsia" w:ascii="宋体" w:hAnsi="宋体" w:eastAsia="宋体" w:cs="宋体"/>
          <w:b/>
          <w:sz w:val="32"/>
          <w:szCs w:val="32"/>
        </w:rPr>
        <w:t>8.</w:t>
      </w:r>
      <w:r>
        <w:rPr>
          <w:rFonts w:hint="eastAsia" w:ascii="宋体" w:hAnsi="宋体" w:eastAsia="宋体" w:cs="宋体"/>
          <w:b/>
          <w:sz w:val="32"/>
          <w:szCs w:val="32"/>
          <w:lang w:val="en-US" w:eastAsia="zh-CN"/>
        </w:rPr>
        <w:t>3</w:t>
      </w:r>
      <w:r>
        <w:rPr>
          <w:rFonts w:hint="eastAsia" w:ascii="宋体" w:hAnsi="宋体" w:eastAsia="宋体" w:cs="宋体"/>
          <w:b/>
          <w:sz w:val="32"/>
          <w:szCs w:val="32"/>
          <w:lang w:val="en-US"/>
        </w:rPr>
        <w:t xml:space="preserve"> </w:t>
      </w:r>
      <w:r>
        <w:rPr>
          <w:rFonts w:hint="eastAsia" w:ascii="宋体" w:hAnsi="宋体" w:eastAsia="宋体" w:cs="宋体"/>
          <w:b/>
          <w:sz w:val="32"/>
          <w:szCs w:val="32"/>
        </w:rPr>
        <w:t>安全操作方面的对策措施</w:t>
      </w:r>
      <w:bookmarkEnd w:id="576"/>
      <w:bookmarkEnd w:id="577"/>
      <w:bookmarkEnd w:id="578"/>
      <w:bookmarkEnd w:id="579"/>
      <w:bookmarkEnd w:id="580"/>
      <w:bookmarkEnd w:id="581"/>
      <w:bookmarkEnd w:id="582"/>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建议按照《加油站作业安全规范》（AQ3010-2007）中的要求进行卸油、加油、清罐、维修等作业：</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bookmarkStart w:id="583" w:name="_Toc23891_WPSOffice_Level3"/>
      <w:bookmarkStart w:id="584" w:name="_Toc19495_WPSOffice_Level3"/>
      <w:bookmarkStart w:id="585" w:name="_Toc20454_WPSOffice_Level3"/>
      <w:bookmarkStart w:id="586" w:name="_Toc2695_WPSOffice_Level3"/>
      <w:r>
        <w:rPr>
          <w:rFonts w:hint="eastAsia" w:ascii="宋体" w:hAnsi="宋体" w:eastAsia="宋体" w:cs="宋体"/>
          <w:spacing w:val="-7"/>
          <w:sz w:val="28"/>
          <w:szCs w:val="28"/>
        </w:rPr>
        <w:t>（1）卸油作业</w:t>
      </w:r>
      <w:bookmarkEnd w:id="583"/>
      <w:bookmarkEnd w:id="584"/>
      <w:bookmarkEnd w:id="585"/>
      <w:bookmarkEnd w:id="586"/>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1）基本要求</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A、应具备密闭卸油的条件；</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B、防静电接地设施完好；</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C、油罐车车辆正常，防火防静电设施完备；</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D、卸油作业所需消防器材配备齐全；</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E、雷雨期间不得进行卸油作业；</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2）卸油</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A、油罐车进、出加油站或倒车时，应由加油站人员引导、指挥；</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B、油罐车应停放于卸油专用区，熄火并拉上手剎车、于车轮处放置轮挡；并使车头向外，以利紧急事故发生时，可迅速驶离；</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C、卸油过程中，卸油人员和油罐车驾驶员不应离开作业现场，打雷时应停止卸油作业；</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D、向地下罐注油时，与该罐连接的给油设备应停止使用。卸油前应检查油罐的存油量，以防灌油时溢油。卸油作业中，严禁用量油尺计量油罐；</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E、卸油作业中，必须有专人在现场监视，并禁止车辆及非工作人员进入卸油区；</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F、检查确认油罐计量孔密闭良好；</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G、油罐车进站后，卸油人员应立即检查油罐车的安全设施是否齐全有效，油罐车的排气管应安装防火罩。检查合格后，引导油罐车进入卸油现场，应先接妥静电接地线夹头接线并确实接触；</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H、油罐车熄火并静置15min后，卸油员按工艺流程连接卸油管及油气回收管及接头，将接头结合紧密，保持卸油管自然弯曲；经计量后准备接卸；按规定在卸油位置上风处摆放干粉灭火器；</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I、卸油前，核对罐车与油罐中油品的品名、牌号是否一致，各项准备工作检查无误后，能自流卸油的不泵送卸油；</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J、油罐车驾驶员缓慢开启卸油阀卸油。卸油员集中精力监视、观察卸油管线、相关闸阀、过滤器等设备的运行情况，随时准备处理可能发生的问题；</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K、卸油时严格控制油的流速，在油面淹没进油管口200mm前，初始流速不应大于1m/s，正常卸油时流速控制在4.5m/s以内，以防产生静电；</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L、卸油完毕，油罐车驾驶员应关闭卸油阀；卸油员应先拆卸油管与油罐车连接端头，并将卸油管抬高使管内油料流入油罐内并防止溅出。盖严罐口处的卸油帽，收回静电导线。收存卸油管、油气回收管时不可拋摔，以防接头变形；</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M、卸油完毕罐车静置5min后，卸油员引导油罐车启车、离站，清理卸油现场，将消防器材放回原位；</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N、待罐内油面静止平稳后，通知加油员开机加油；</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O、卸油时若发生油料溅溢时，应立即停止卸油并立即处理；</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P、卸油时如发生交通事故、火灾事故、爆炸事故、破坏事故和伤亡事故等重大事故，应立即停止卸油作业，同时应将油罐车驶离加油站；</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Q、在卸油过程中，严禁擦洗罐车物品、按喇叭、修车等，对器具要轻拿轻放，夜间照明须使用防爆灯具；</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R、卸油口未使用时应加锁。</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bookmarkStart w:id="587" w:name="_Toc31985_WPSOffice_Level3"/>
      <w:bookmarkStart w:id="588" w:name="_Toc32168_WPSOffice_Level3"/>
      <w:bookmarkStart w:id="589" w:name="_Toc4638_WPSOffice_Level3"/>
      <w:bookmarkStart w:id="590" w:name="_Toc12395_WPSOffice_Level3"/>
      <w:r>
        <w:rPr>
          <w:rFonts w:hint="eastAsia" w:ascii="宋体" w:hAnsi="宋体" w:eastAsia="宋体" w:cs="宋体"/>
          <w:spacing w:val="-7"/>
          <w:sz w:val="28"/>
          <w:szCs w:val="28"/>
        </w:rPr>
        <w:t>（2）加油作业</w:t>
      </w:r>
      <w:bookmarkEnd w:id="587"/>
      <w:bookmarkEnd w:id="588"/>
      <w:bookmarkEnd w:id="589"/>
      <w:bookmarkEnd w:id="590"/>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1）基本要求</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A、加油机运转时，电机和泵温度应保持正常，计量器和泵的轴封应无明显泄漏，汽油加油流量不应大于50L/min；</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B、加油机机件应保持性能良好，油气分离器及过滤器应保持功能正常，排气管应畅通、无损，泵安全阀应保持压力正常。加油员在使用加油机前，应检查加油机运转是否正常及有无渗漏油品现象，并要保持加油机的整洁；</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C、加油岛上不得放置收录音机、电扇、延长线、冷藏设备等一般电器设备及其他杂物；</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D、有加油车辆进站时，加油人员应站在加油岛上以防被撞，作业人员避免穿过两车中间；</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E、客车进站加油时不得载有乘客；</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F、禁止使用绝缘性容器加注汽油等。</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2）加油</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A、车辆驶入站时，加油员应主动引导车辆进入加油位置。当进站加油车停稳，发动机熄火后，方可打开油箱盖，加油前加油机计数器回零后，启动加油机开始加油；</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B、加油作业应由加油员操作，不得由顾客自行处置；</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C、加油时应避免油料溅出，尤其机车加油时应特别注意不可溅出油料溅及高温引擎及排气管；</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D、加油时若有油料溢出，应立即擦拭，含有油污布料应妥善收存有盖容器中；</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E、加完油后，应立即将加油枪拉出，以防被拖走；</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F、加油前及加油后应保持橡皮管放置于加油机上，防止被车辆压坏；</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G、当加油、结算等程序完成后，应及时引导车辆离开加油岛；</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H、站内有人吸烟或使用移动电话时，应立即停止加油；</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bookmarkStart w:id="591" w:name="_Toc27242_WPSOffice_Level3"/>
      <w:bookmarkStart w:id="592" w:name="_Toc19053_WPSOffice_Level3"/>
      <w:bookmarkStart w:id="593" w:name="_Toc7574_WPSOffice_Level3"/>
      <w:r>
        <w:rPr>
          <w:rFonts w:hint="eastAsia" w:ascii="宋体" w:hAnsi="宋体" w:eastAsia="宋体" w:cs="宋体"/>
          <w:spacing w:val="-7"/>
          <w:sz w:val="28"/>
          <w:szCs w:val="28"/>
        </w:rPr>
        <w:t>I、摩托车加油后，应用人力将摩托车推离加油岛4.5m后，方可启动；</w:t>
      </w:r>
      <w:bookmarkEnd w:id="591"/>
      <w:bookmarkEnd w:id="592"/>
      <w:bookmarkEnd w:id="593"/>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J、加油站上空有高强闪电或雷击频繁时，应停止加油作业，采取防护措施。</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（3）清罐作业</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1）适时清洗油罐沉积物，装运不同油品应按规定进行清洗。清罐时必须按清罐安全要求进行，以防发生中毒和爆炸事故；</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2）油罐清洗，应委托具备相应资格的专业公司依相关规定作业，清洗公司专门须指定并设置现场安全主管于现场指挥监督作业；</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3）加油站地下油罐以密闭机械清洗为原则，动力机械以采取气动式为原则，若采用电气机具则应为防爆型式并实施接地；</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4）清洗油罐所用的手持工具应为无火花安全工具，和全棉清洁用具；</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5）清罐油罐处，须设置施工标识，并严禁无关人员接近；</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6）油罐清洗时应随时注意并测试油罐内、外油气浓度及采取必要安全防护措施；</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7）油罐清洗后之残渣，应依废弃物清理法规处理；</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8）油罐清洗作业期间，值班加油站经理须在现场监督清洗作业过程；</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9）油罐清洗后，值班站长应立即检查所有部件已回复正常状态；</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（4）检修作业</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1）加油机维修之前要切断电源，摘下皮带轮上的皮带。若所修的部位需要放油时，必须用容器收集燃油，防止燃油泄漏；</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2）所需工具须摆放整齐，严禁乱放乱摔；</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3）在维修加油机时，要注意不要划伤各金属零件、密封件及密封结合面，以免造成泄漏。在复装前，须将各零部件清洗干净，以免损伤部件；</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rPr>
      </w:pPr>
      <w:r>
        <w:rPr>
          <w:rFonts w:hint="eastAsia" w:ascii="宋体" w:hAnsi="宋体" w:eastAsia="宋体" w:cs="宋体"/>
          <w:spacing w:val="-7"/>
          <w:sz w:val="28"/>
          <w:szCs w:val="28"/>
        </w:rPr>
        <w:t>4）在维修电器设备之后，要仔细检查线路，防止接错；</w:t>
      </w:r>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pacing w:val="-7"/>
          <w:sz w:val="28"/>
          <w:szCs w:val="28"/>
          <w:lang w:eastAsia="zh-CN"/>
        </w:rPr>
      </w:pPr>
      <w:r>
        <w:rPr>
          <w:rFonts w:hint="eastAsia" w:ascii="宋体" w:hAnsi="宋体" w:eastAsia="宋体" w:cs="宋体"/>
          <w:spacing w:val="-7"/>
          <w:sz w:val="28"/>
          <w:szCs w:val="28"/>
        </w:rPr>
        <w:t>5）加油机、加油岛被进站车辆撞击后，应立即关闭电源进行检查，并立即通知维护人员检修</w:t>
      </w:r>
      <w:r>
        <w:rPr>
          <w:rFonts w:hint="eastAsia" w:ascii="宋体" w:hAnsi="宋体" w:eastAsia="宋体" w:cs="宋体"/>
          <w:spacing w:val="-7"/>
          <w:sz w:val="28"/>
          <w:szCs w:val="28"/>
          <w:lang w:eastAsia="zh-CN"/>
        </w:rPr>
        <w:t>。</w:t>
      </w:r>
    </w:p>
    <w:p>
      <w:pPr>
        <w:spacing w:before="240" w:beforeLines="100" w:after="240" w:afterLines="100" w:line="360" w:lineRule="auto"/>
        <w:jc w:val="center"/>
        <w:outlineLvl w:val="1"/>
        <w:rPr>
          <w:rFonts w:hint="eastAsia" w:ascii="宋体" w:hAnsi="宋体" w:eastAsia="宋体" w:cs="宋体"/>
          <w:b/>
          <w:sz w:val="32"/>
          <w:szCs w:val="32"/>
        </w:rPr>
      </w:pPr>
      <w:bookmarkStart w:id="594" w:name="_Toc936_WPSOffice_Level2"/>
      <w:bookmarkStart w:id="595" w:name="_Toc2564"/>
      <w:bookmarkStart w:id="596" w:name="_Toc27760"/>
      <w:bookmarkStart w:id="597" w:name="_Toc27325_WPSOffice_Level2"/>
      <w:bookmarkStart w:id="598" w:name="_Toc529176512"/>
      <w:bookmarkStart w:id="599" w:name="_Toc26246_WPSOffice_Level2"/>
      <w:bookmarkStart w:id="600" w:name="_Toc20904"/>
      <w:r>
        <w:rPr>
          <w:rFonts w:hint="eastAsia" w:ascii="宋体" w:hAnsi="宋体" w:eastAsia="宋体" w:cs="宋体"/>
          <w:b/>
          <w:sz w:val="32"/>
          <w:szCs w:val="32"/>
        </w:rPr>
        <w:t>8.</w:t>
      </w:r>
      <w:r>
        <w:rPr>
          <w:rFonts w:hint="eastAsia" w:ascii="宋体" w:hAnsi="宋体" w:eastAsia="宋体" w:cs="宋体"/>
          <w:b/>
          <w:sz w:val="32"/>
          <w:szCs w:val="32"/>
          <w:lang w:val="en-US" w:eastAsia="zh-CN"/>
        </w:rPr>
        <w:t>4</w:t>
      </w:r>
      <w:r>
        <w:rPr>
          <w:rFonts w:hint="eastAsia" w:ascii="宋体" w:hAnsi="宋体" w:eastAsia="宋体" w:cs="宋体"/>
          <w:b/>
          <w:sz w:val="32"/>
          <w:szCs w:val="32"/>
          <w:lang w:val="en-US"/>
        </w:rPr>
        <w:t xml:space="preserve"> </w:t>
      </w:r>
      <w:r>
        <w:rPr>
          <w:rFonts w:hint="eastAsia" w:ascii="宋体" w:hAnsi="宋体" w:eastAsia="宋体" w:cs="宋体"/>
          <w:b/>
          <w:sz w:val="32"/>
          <w:szCs w:val="32"/>
        </w:rPr>
        <w:t>重点监管的危险化学品安全对策措施</w:t>
      </w:r>
      <w:bookmarkEnd w:id="594"/>
      <w:bookmarkEnd w:id="595"/>
      <w:bookmarkEnd w:id="596"/>
      <w:bookmarkEnd w:id="597"/>
      <w:bookmarkEnd w:id="598"/>
      <w:bookmarkEnd w:id="599"/>
      <w:bookmarkEnd w:id="600"/>
    </w:p>
    <w:p>
      <w:pPr>
        <w:keepNext w:val="0"/>
        <w:keepLines w:val="0"/>
        <w:pageBreakBefore w:val="0"/>
        <w:widowControl w:val="0"/>
        <w:kinsoku/>
        <w:wordWrap/>
        <w:overflowPunct/>
        <w:topLinePunct w:val="0"/>
        <w:autoSpaceDE w:val="0"/>
        <w:autoSpaceDN w:val="0"/>
        <w:bidi w:val="0"/>
        <w:adjustRightInd/>
        <w:snapToGrid/>
        <w:spacing w:line="560" w:lineRule="exact"/>
        <w:ind w:firstLine="532" w:firstLineChars="200"/>
        <w:jc w:val="both"/>
        <w:textAlignment w:val="auto"/>
        <w:rPr>
          <w:rFonts w:hint="eastAsia" w:ascii="宋体" w:hAnsi="宋体" w:eastAsia="宋体" w:cs="宋体"/>
          <w:sz w:val="28"/>
          <w:szCs w:val="28"/>
        </w:rPr>
      </w:pPr>
      <w:r>
        <w:rPr>
          <w:rFonts w:hint="eastAsia" w:ascii="宋体" w:hAnsi="宋体" w:eastAsia="宋体" w:cs="宋体"/>
          <w:spacing w:val="-7"/>
          <w:sz w:val="28"/>
          <w:szCs w:val="28"/>
        </w:rPr>
        <w:t>加油站经营的汽油属于重点监管危险化学品，应按《国家安全监管总局办公厅关于印发首批重点监管的危险化学品安全措施和应急处置原则的通知》（安监总厅管三〔2011〕142号）的相关要求进行安全管理、应急处置。汽油的安全措施及事故应急处置原则见表</w:t>
      </w:r>
      <w:r>
        <w:rPr>
          <w:rFonts w:hint="eastAsia" w:ascii="宋体" w:hAnsi="宋体" w:eastAsia="宋体" w:cs="宋体"/>
          <w:spacing w:val="-7"/>
          <w:sz w:val="28"/>
          <w:szCs w:val="28"/>
          <w:lang w:val="en-US"/>
        </w:rPr>
        <w:t>8</w:t>
      </w:r>
      <w:r>
        <w:rPr>
          <w:rFonts w:hint="eastAsia" w:ascii="宋体" w:hAnsi="宋体" w:eastAsia="宋体" w:cs="宋体"/>
          <w:spacing w:val="-7"/>
          <w:sz w:val="28"/>
          <w:szCs w:val="28"/>
          <w:lang w:val="en-US" w:eastAsia="zh-CN"/>
        </w:rPr>
        <w:t>.4-1</w:t>
      </w:r>
      <w:r>
        <w:rPr>
          <w:rFonts w:hint="eastAsia" w:ascii="宋体" w:hAnsi="宋体" w:eastAsia="宋体" w:cs="宋体"/>
          <w:spacing w:val="-7"/>
          <w:sz w:val="28"/>
          <w:szCs w:val="28"/>
          <w:lang w:val="en-US"/>
        </w:rPr>
        <w:t xml:space="preserve"> </w:t>
      </w:r>
      <w:r>
        <w:rPr>
          <w:rFonts w:hint="eastAsia" w:ascii="宋体" w:hAnsi="宋体" w:eastAsia="宋体" w:cs="宋体"/>
          <w:spacing w:val="-7"/>
          <w:sz w:val="28"/>
          <w:szCs w:val="28"/>
        </w:rPr>
        <w:t>所示。</w:t>
      </w:r>
    </w:p>
    <w:p>
      <w:pPr>
        <w:rPr>
          <w:rFonts w:hint="eastAsia" w:ascii="宋体" w:hAnsi="宋体" w:eastAsia="宋体" w:cs="宋体"/>
        </w:rPr>
      </w:pPr>
    </w:p>
    <w:p>
      <w:pPr>
        <w:jc w:val="center"/>
        <w:rPr>
          <w:rFonts w:hint="eastAsia" w:ascii="宋体" w:hAnsi="宋体" w:eastAsia="宋体" w:cs="宋体"/>
          <w:sz w:val="24"/>
          <w:szCs w:val="24"/>
        </w:rPr>
      </w:pPr>
      <w:bookmarkStart w:id="601" w:name="_Toc867_WPSOffice_Level3"/>
      <w:bookmarkStart w:id="602" w:name="_Toc2808_WPSOffice_Level3"/>
      <w:r>
        <w:rPr>
          <w:rFonts w:hint="eastAsia" w:ascii="宋体" w:hAnsi="宋体" w:eastAsia="宋体" w:cs="宋体"/>
          <w:sz w:val="24"/>
          <w:szCs w:val="24"/>
        </w:rPr>
        <w:t>表8</w:t>
      </w:r>
      <w:r>
        <w:rPr>
          <w:rFonts w:hint="eastAsia" w:ascii="宋体" w:hAnsi="宋体" w:eastAsia="宋体" w:cs="宋体"/>
          <w:sz w:val="24"/>
          <w:szCs w:val="24"/>
          <w:lang w:val="en-US" w:eastAsia="zh-CN"/>
        </w:rPr>
        <w:t>.4-1</w:t>
      </w:r>
      <w:r>
        <w:rPr>
          <w:rFonts w:hint="eastAsia" w:ascii="宋体" w:hAnsi="宋体" w:eastAsia="宋体" w:cs="宋体"/>
          <w:sz w:val="24"/>
          <w:szCs w:val="24"/>
          <w:lang w:val="en-US"/>
        </w:rPr>
        <w:t xml:space="preserve"> </w:t>
      </w:r>
      <w:r>
        <w:rPr>
          <w:rFonts w:hint="eastAsia" w:ascii="宋体" w:hAnsi="宋体" w:eastAsia="宋体" w:cs="宋体"/>
          <w:sz w:val="24"/>
          <w:szCs w:val="24"/>
        </w:rPr>
        <w:t>重点监管危险化学品（汽油）安全措施和事故应急处置原则</w:t>
      </w:r>
      <w:bookmarkEnd w:id="601"/>
      <w:bookmarkEnd w:id="602"/>
    </w:p>
    <w:tbl>
      <w:tblPr>
        <w:tblStyle w:val="15"/>
        <w:tblW w:w="8960" w:type="dxa"/>
        <w:tblInd w:w="3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82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714" w:type="dxa"/>
            <w:tcBorders>
              <w:top w:val="single" w:color="auto" w:sz="4" w:space="0"/>
              <w:left w:val="single" w:color="auto" w:sz="4" w:space="0"/>
              <w:bottom w:val="single" w:color="auto" w:sz="4" w:space="0"/>
              <w:right w:val="single" w:color="auto" w:sz="4" w:space="0"/>
            </w:tcBorders>
            <w:vAlign w:val="center"/>
          </w:tcPr>
          <w:p>
            <w:pPr>
              <w:pStyle w:val="36"/>
              <w:keepNext w:val="0"/>
              <w:keepLines w:val="0"/>
              <w:widowControl w:val="0"/>
              <w:suppressLineNumbers w:val="0"/>
              <w:spacing w:before="0" w:beforeAutospacing="0" w:after="0" w:afterAutospacing="0" w:line="276" w:lineRule="auto"/>
              <w:ind w:left="0" w:right="0"/>
              <w:jc w:val="center"/>
              <w:rPr>
                <w:rFonts w:hint="eastAsia" w:ascii="宋体" w:hAnsi="宋体" w:eastAsia="宋体" w:cs="宋体"/>
                <w:b/>
                <w:kern w:val="2"/>
                <w:sz w:val="21"/>
                <w:szCs w:val="21"/>
              </w:rPr>
            </w:pPr>
            <w:r>
              <w:rPr>
                <w:rFonts w:hint="eastAsia" w:ascii="宋体" w:hAnsi="宋体" w:eastAsia="宋体" w:cs="宋体"/>
                <w:b/>
                <w:kern w:val="2"/>
                <w:sz w:val="21"/>
                <w:szCs w:val="21"/>
              </w:rPr>
              <w:t>特别警示</w:t>
            </w:r>
          </w:p>
        </w:tc>
        <w:tc>
          <w:tcPr>
            <w:tcW w:w="8246" w:type="dxa"/>
            <w:tcBorders>
              <w:top w:val="single" w:color="auto" w:sz="4" w:space="0"/>
              <w:left w:val="single" w:color="auto" w:sz="4" w:space="0"/>
              <w:bottom w:val="single" w:color="auto" w:sz="4" w:space="0"/>
              <w:right w:val="single" w:color="auto" w:sz="4" w:space="0"/>
            </w:tcBorders>
            <w:vAlign w:val="center"/>
          </w:tcPr>
          <w:p>
            <w:pPr>
              <w:pStyle w:val="13"/>
              <w:keepNext w:val="0"/>
              <w:keepLines w:val="0"/>
              <w:suppressLineNumbers w:val="0"/>
              <w:spacing w:before="0" w:beforeAutospacing="0" w:after="0" w:afterAutospacing="0" w:line="276" w:lineRule="auto"/>
              <w:ind w:left="0" w:right="0" w:firstLine="420" w:firstLineChars="200"/>
              <w:jc w:val="both"/>
              <w:rPr>
                <w:rStyle w:val="37"/>
                <w:rFonts w:hint="eastAsia" w:ascii="宋体" w:hAnsi="宋体" w:eastAsia="宋体" w:cs="宋体"/>
                <w:kern w:val="2"/>
                <w:sz w:val="21"/>
                <w:szCs w:val="21"/>
              </w:rPr>
            </w:pPr>
            <w:r>
              <w:rPr>
                <w:rStyle w:val="37"/>
                <w:rFonts w:hint="eastAsia" w:ascii="宋体" w:hAnsi="宋体" w:eastAsia="宋体" w:cs="宋体"/>
                <w:kern w:val="2"/>
                <w:sz w:val="21"/>
                <w:szCs w:val="21"/>
              </w:rPr>
              <w:t>高度易燃液体；不得使用直流水扑救（用水灭火无效）。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3" w:hRule="atLeast"/>
        </w:trPr>
        <w:tc>
          <w:tcPr>
            <w:tcW w:w="714" w:type="dxa"/>
            <w:vAlign w:val="center"/>
          </w:tcPr>
          <w:p>
            <w:pPr>
              <w:pStyle w:val="36"/>
              <w:keepNext w:val="0"/>
              <w:keepLines w:val="0"/>
              <w:widowControl w:val="0"/>
              <w:suppressLineNumbers w:val="0"/>
              <w:spacing w:before="0" w:beforeAutospacing="0" w:after="0" w:afterAutospacing="0" w:line="276" w:lineRule="auto"/>
              <w:ind w:left="0" w:right="0"/>
              <w:jc w:val="center"/>
              <w:rPr>
                <w:rFonts w:hint="eastAsia" w:ascii="宋体" w:hAnsi="宋体" w:eastAsia="宋体" w:cs="宋体"/>
                <w:b/>
                <w:kern w:val="2"/>
                <w:sz w:val="21"/>
                <w:szCs w:val="21"/>
              </w:rPr>
            </w:pPr>
            <w:r>
              <w:rPr>
                <w:rFonts w:hint="eastAsia" w:ascii="宋体" w:hAnsi="宋体" w:eastAsia="宋体" w:cs="宋体"/>
                <w:b/>
                <w:kern w:val="2"/>
                <w:sz w:val="21"/>
                <w:szCs w:val="21"/>
              </w:rPr>
              <w:t>理</w:t>
            </w:r>
          </w:p>
          <w:p>
            <w:pPr>
              <w:pStyle w:val="36"/>
              <w:keepNext w:val="0"/>
              <w:keepLines w:val="0"/>
              <w:widowControl w:val="0"/>
              <w:suppressLineNumbers w:val="0"/>
              <w:spacing w:before="0" w:beforeAutospacing="0" w:after="0" w:afterAutospacing="0" w:line="276" w:lineRule="auto"/>
              <w:ind w:left="0" w:right="0"/>
              <w:jc w:val="center"/>
              <w:rPr>
                <w:rFonts w:hint="eastAsia" w:ascii="宋体" w:hAnsi="宋体" w:eastAsia="宋体" w:cs="宋体"/>
                <w:b/>
                <w:kern w:val="2"/>
                <w:sz w:val="21"/>
                <w:szCs w:val="21"/>
              </w:rPr>
            </w:pPr>
            <w:r>
              <w:rPr>
                <w:rFonts w:hint="eastAsia" w:ascii="宋体" w:hAnsi="宋体" w:eastAsia="宋体" w:cs="宋体"/>
                <w:b/>
                <w:kern w:val="2"/>
                <w:sz w:val="21"/>
                <w:szCs w:val="21"/>
              </w:rPr>
              <w:t>化</w:t>
            </w:r>
          </w:p>
          <w:p>
            <w:pPr>
              <w:pStyle w:val="36"/>
              <w:keepNext w:val="0"/>
              <w:keepLines w:val="0"/>
              <w:widowControl w:val="0"/>
              <w:suppressLineNumbers w:val="0"/>
              <w:spacing w:before="0" w:beforeAutospacing="0" w:after="0" w:afterAutospacing="0" w:line="276" w:lineRule="auto"/>
              <w:ind w:left="0" w:right="0"/>
              <w:jc w:val="center"/>
              <w:rPr>
                <w:rFonts w:hint="eastAsia" w:ascii="宋体" w:hAnsi="宋体" w:eastAsia="宋体" w:cs="宋体"/>
                <w:b/>
                <w:kern w:val="2"/>
                <w:sz w:val="21"/>
                <w:szCs w:val="21"/>
              </w:rPr>
            </w:pPr>
            <w:r>
              <w:rPr>
                <w:rFonts w:hint="eastAsia" w:ascii="宋体" w:hAnsi="宋体" w:eastAsia="宋体" w:cs="宋体"/>
                <w:b/>
                <w:kern w:val="2"/>
                <w:sz w:val="21"/>
                <w:szCs w:val="21"/>
              </w:rPr>
              <w:t>特</w:t>
            </w:r>
          </w:p>
          <w:p>
            <w:pPr>
              <w:pStyle w:val="36"/>
              <w:keepNext w:val="0"/>
              <w:keepLines w:val="0"/>
              <w:widowControl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r>
              <w:rPr>
                <w:rFonts w:hint="eastAsia" w:ascii="宋体" w:hAnsi="宋体" w:eastAsia="宋体" w:cs="宋体"/>
                <w:b/>
                <w:kern w:val="2"/>
                <w:sz w:val="21"/>
                <w:szCs w:val="21"/>
              </w:rPr>
              <w:t>性</w:t>
            </w:r>
          </w:p>
        </w:tc>
        <w:tc>
          <w:tcPr>
            <w:tcW w:w="8246" w:type="dxa"/>
          </w:tcPr>
          <w:p>
            <w:pPr>
              <w:pStyle w:val="13"/>
              <w:keepNext w:val="0"/>
              <w:keepLines w:val="0"/>
              <w:suppressLineNumbers w:val="0"/>
              <w:spacing w:before="0" w:beforeAutospacing="0" w:after="0" w:afterAutospacing="0" w:line="276" w:lineRule="auto"/>
              <w:ind w:left="0" w:right="0" w:firstLine="420" w:firstLineChars="200"/>
              <w:rPr>
                <w:rStyle w:val="37"/>
                <w:rFonts w:hint="eastAsia" w:ascii="宋体" w:hAnsi="宋体" w:eastAsia="宋体" w:cs="宋体"/>
                <w:kern w:val="2"/>
                <w:sz w:val="21"/>
                <w:szCs w:val="21"/>
              </w:rPr>
            </w:pPr>
            <w:r>
              <w:rPr>
                <w:rStyle w:val="37"/>
                <w:rFonts w:hint="eastAsia" w:ascii="宋体" w:hAnsi="宋体" w:eastAsia="宋体" w:cs="宋体"/>
                <w:kern w:val="2"/>
                <w:sz w:val="21"/>
                <w:szCs w:val="21"/>
              </w:rPr>
              <w:t>无色到浅黄色的透明液体。</w:t>
            </w:r>
          </w:p>
          <w:p>
            <w:pPr>
              <w:pStyle w:val="13"/>
              <w:keepNext w:val="0"/>
              <w:keepLines w:val="0"/>
              <w:suppressLineNumbers w:val="0"/>
              <w:spacing w:before="0" w:beforeAutospacing="0" w:after="0" w:afterAutospacing="0" w:line="276" w:lineRule="auto"/>
              <w:ind w:left="0" w:right="0" w:firstLine="420" w:firstLineChars="200"/>
              <w:rPr>
                <w:rStyle w:val="37"/>
                <w:rFonts w:hint="eastAsia" w:ascii="宋体" w:hAnsi="宋体" w:eastAsia="宋体" w:cs="宋体"/>
                <w:kern w:val="2"/>
                <w:sz w:val="21"/>
                <w:szCs w:val="21"/>
                <w:lang w:val="en-US" w:eastAsia="zh-CN"/>
              </w:rPr>
            </w:pPr>
            <w:r>
              <w:rPr>
                <w:rStyle w:val="37"/>
                <w:rFonts w:hint="eastAsia" w:ascii="宋体" w:hAnsi="宋体" w:eastAsia="宋体" w:cs="宋体"/>
                <w:kern w:val="2"/>
                <w:sz w:val="21"/>
                <w:szCs w:val="21"/>
              </w:rPr>
              <w:t>依据《车用无铅汽油》(GB17930)生产的车用无铅汽油，按研究法辛烷值(RON)分为92号、93号和95号三个牌号，相对密度（水=1）0.70～0.80，相对蒸气密度（空气=1）3～4，闪点－46℃，爆炸极限1.4～7.6%（体积比），自燃温度415～530℃，最大爆炸压力0.813MPa。</w:t>
            </w:r>
          </w:p>
          <w:p>
            <w:pPr>
              <w:pStyle w:val="13"/>
              <w:keepNext w:val="0"/>
              <w:keepLines w:val="0"/>
              <w:suppressLineNumbers w:val="0"/>
              <w:spacing w:before="0" w:beforeAutospacing="0" w:after="0" w:afterAutospacing="0" w:line="276" w:lineRule="auto"/>
              <w:ind w:left="0" w:right="0" w:firstLine="420" w:firstLineChars="200"/>
              <w:rPr>
                <w:rStyle w:val="37"/>
                <w:rFonts w:hint="eastAsia" w:ascii="宋体" w:hAnsi="宋体" w:eastAsia="宋体" w:cs="宋体"/>
                <w:kern w:val="2"/>
                <w:sz w:val="21"/>
                <w:szCs w:val="21"/>
              </w:rPr>
            </w:pPr>
            <w:r>
              <w:rPr>
                <w:rStyle w:val="37"/>
                <w:rFonts w:hint="eastAsia" w:ascii="宋体" w:hAnsi="宋体" w:eastAsia="宋体" w:cs="宋体"/>
                <w:kern w:val="2"/>
                <w:sz w:val="21"/>
                <w:szCs w:val="21"/>
              </w:rPr>
              <w:t>主要用途：汽油主要用作汽油机的燃料, 可用于橡胶、制鞋、印刷、制革、颜料等行业, 也可用作机械零件的去污剂。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2" w:hRule="atLeast"/>
        </w:trPr>
        <w:tc>
          <w:tcPr>
            <w:tcW w:w="714" w:type="dxa"/>
            <w:vAlign w:val="center"/>
          </w:tcPr>
          <w:p>
            <w:pPr>
              <w:pStyle w:val="36"/>
              <w:keepNext w:val="0"/>
              <w:keepLines w:val="0"/>
              <w:widowControl w:val="0"/>
              <w:suppressLineNumbers w:val="0"/>
              <w:spacing w:before="0" w:beforeAutospacing="0" w:after="0" w:afterAutospacing="0" w:line="276" w:lineRule="auto"/>
              <w:ind w:left="0" w:right="0"/>
              <w:jc w:val="center"/>
              <w:rPr>
                <w:rFonts w:hint="eastAsia" w:ascii="宋体" w:hAnsi="宋体" w:eastAsia="宋体" w:cs="宋体"/>
                <w:b/>
                <w:kern w:val="2"/>
                <w:sz w:val="21"/>
                <w:szCs w:val="21"/>
              </w:rPr>
            </w:pPr>
            <w:r>
              <w:rPr>
                <w:rFonts w:hint="eastAsia" w:ascii="宋体" w:hAnsi="宋体" w:eastAsia="宋体" w:cs="宋体"/>
                <w:b/>
                <w:kern w:val="2"/>
                <w:sz w:val="21"/>
                <w:szCs w:val="21"/>
              </w:rPr>
              <w:t>危</w:t>
            </w:r>
          </w:p>
          <w:p>
            <w:pPr>
              <w:pStyle w:val="36"/>
              <w:keepNext w:val="0"/>
              <w:keepLines w:val="0"/>
              <w:widowControl w:val="0"/>
              <w:suppressLineNumbers w:val="0"/>
              <w:spacing w:before="0" w:beforeAutospacing="0" w:after="0" w:afterAutospacing="0" w:line="276" w:lineRule="auto"/>
              <w:ind w:left="0" w:right="0"/>
              <w:jc w:val="center"/>
              <w:rPr>
                <w:rFonts w:hint="eastAsia" w:ascii="宋体" w:hAnsi="宋体" w:eastAsia="宋体" w:cs="宋体"/>
                <w:b/>
                <w:kern w:val="2"/>
                <w:sz w:val="21"/>
                <w:szCs w:val="21"/>
              </w:rPr>
            </w:pPr>
            <w:r>
              <w:rPr>
                <w:rFonts w:hint="eastAsia" w:ascii="宋体" w:hAnsi="宋体" w:eastAsia="宋体" w:cs="宋体"/>
                <w:b/>
                <w:kern w:val="2"/>
                <w:sz w:val="21"/>
                <w:szCs w:val="21"/>
              </w:rPr>
              <w:t>害</w:t>
            </w:r>
          </w:p>
          <w:p>
            <w:pPr>
              <w:pStyle w:val="36"/>
              <w:keepNext w:val="0"/>
              <w:keepLines w:val="0"/>
              <w:widowControl w:val="0"/>
              <w:suppressLineNumbers w:val="0"/>
              <w:spacing w:before="0" w:beforeAutospacing="0" w:after="0" w:afterAutospacing="0" w:line="276" w:lineRule="auto"/>
              <w:ind w:left="0" w:right="0"/>
              <w:jc w:val="center"/>
              <w:rPr>
                <w:rFonts w:hint="eastAsia" w:ascii="宋体" w:hAnsi="宋体" w:eastAsia="宋体" w:cs="宋体"/>
                <w:b/>
                <w:kern w:val="2"/>
                <w:sz w:val="21"/>
                <w:szCs w:val="21"/>
              </w:rPr>
            </w:pPr>
            <w:r>
              <w:rPr>
                <w:rFonts w:hint="eastAsia" w:ascii="宋体" w:hAnsi="宋体" w:eastAsia="宋体" w:cs="宋体"/>
                <w:b/>
                <w:kern w:val="2"/>
                <w:sz w:val="21"/>
                <w:szCs w:val="21"/>
              </w:rPr>
              <w:t>信</w:t>
            </w:r>
          </w:p>
          <w:p>
            <w:pPr>
              <w:pStyle w:val="36"/>
              <w:keepNext w:val="0"/>
              <w:keepLines w:val="0"/>
              <w:widowControl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r>
              <w:rPr>
                <w:rFonts w:hint="eastAsia" w:ascii="宋体" w:hAnsi="宋体" w:eastAsia="宋体" w:cs="宋体"/>
                <w:b/>
                <w:kern w:val="2"/>
                <w:sz w:val="21"/>
                <w:szCs w:val="21"/>
              </w:rPr>
              <w:t>息</w:t>
            </w:r>
          </w:p>
        </w:tc>
        <w:tc>
          <w:tcPr>
            <w:tcW w:w="8246" w:type="dxa"/>
          </w:tcPr>
          <w:p>
            <w:pPr>
              <w:pStyle w:val="13"/>
              <w:keepNext w:val="0"/>
              <w:keepLines w:val="0"/>
              <w:suppressLineNumbers w:val="0"/>
              <w:spacing w:before="0" w:beforeAutospacing="0" w:after="0" w:afterAutospacing="0" w:line="276" w:lineRule="auto"/>
              <w:ind w:left="0" w:right="0" w:firstLine="420"/>
              <w:jc w:val="both"/>
              <w:rPr>
                <w:rFonts w:hint="eastAsia" w:ascii="宋体" w:hAnsi="宋体" w:eastAsia="宋体" w:cs="宋体"/>
                <w:b/>
                <w:kern w:val="2"/>
                <w:sz w:val="21"/>
                <w:szCs w:val="21"/>
              </w:rPr>
            </w:pPr>
            <w:r>
              <w:rPr>
                <w:rFonts w:hint="eastAsia" w:ascii="宋体" w:hAnsi="宋体" w:eastAsia="宋体" w:cs="宋体"/>
                <w:kern w:val="2"/>
                <w:sz w:val="21"/>
                <w:szCs w:val="21"/>
              </w:rPr>
              <w:t>【燃烧和爆炸危险性】</w:t>
            </w:r>
          </w:p>
          <w:p>
            <w:pPr>
              <w:pStyle w:val="13"/>
              <w:keepNext w:val="0"/>
              <w:keepLines w:val="0"/>
              <w:suppressLineNumbers w:val="0"/>
              <w:spacing w:before="0" w:beforeAutospacing="0" w:after="0" w:afterAutospacing="0" w:line="276" w:lineRule="auto"/>
              <w:ind w:left="0" w:right="0" w:firstLine="420" w:firstLineChars="200"/>
              <w:rPr>
                <w:rStyle w:val="37"/>
                <w:rFonts w:hint="eastAsia" w:ascii="宋体" w:hAnsi="宋体" w:eastAsia="宋体" w:cs="宋体"/>
                <w:kern w:val="2"/>
                <w:sz w:val="21"/>
                <w:szCs w:val="21"/>
              </w:rPr>
            </w:pPr>
            <w:r>
              <w:rPr>
                <w:rStyle w:val="37"/>
                <w:rFonts w:hint="eastAsia" w:ascii="宋体" w:hAnsi="宋体" w:eastAsia="宋体" w:cs="宋体"/>
                <w:kern w:val="2"/>
                <w:sz w:val="21"/>
                <w:szCs w:val="21"/>
              </w:rPr>
              <w:t>高度易燃，蒸气与空气能形成爆炸性混合物，遇明火、高热能引起燃烧爆炸。高速冲击、流动、激荡后可因产生静电火花放电引起燃烧爆炸。蒸气比空气重，能在较低处扩散到相当远的地方，遇火源会着火回燃和爆炸。</w:t>
            </w:r>
          </w:p>
          <w:p>
            <w:pPr>
              <w:pStyle w:val="13"/>
              <w:keepNext w:val="0"/>
              <w:keepLines w:val="0"/>
              <w:suppressLineNumbers w:val="0"/>
              <w:spacing w:before="0" w:beforeAutospacing="0" w:after="0" w:afterAutospacing="0" w:line="276" w:lineRule="auto"/>
              <w:ind w:left="0" w:right="0" w:firstLine="420"/>
              <w:rPr>
                <w:rStyle w:val="37"/>
                <w:rFonts w:hint="eastAsia" w:ascii="宋体" w:hAnsi="宋体" w:eastAsia="宋体" w:cs="宋体"/>
                <w:b/>
                <w:kern w:val="2"/>
                <w:sz w:val="21"/>
                <w:szCs w:val="21"/>
              </w:rPr>
            </w:pPr>
            <w:r>
              <w:rPr>
                <w:rFonts w:hint="eastAsia" w:ascii="宋体" w:hAnsi="宋体" w:eastAsia="宋体" w:cs="宋体"/>
                <w:kern w:val="2"/>
                <w:sz w:val="21"/>
                <w:szCs w:val="21"/>
              </w:rPr>
              <w:t>【健康危害】</w:t>
            </w:r>
          </w:p>
          <w:p>
            <w:pPr>
              <w:pStyle w:val="13"/>
              <w:keepNext w:val="0"/>
              <w:keepLines w:val="0"/>
              <w:suppressLineNumbers w:val="0"/>
              <w:spacing w:before="0" w:beforeAutospacing="0" w:after="0" w:afterAutospacing="0" w:line="276" w:lineRule="auto"/>
              <w:ind w:left="0" w:right="0" w:firstLine="420" w:firstLineChars="200"/>
              <w:rPr>
                <w:rStyle w:val="37"/>
                <w:rFonts w:hint="eastAsia" w:ascii="宋体" w:hAnsi="宋体" w:eastAsia="宋体" w:cs="宋体"/>
                <w:kern w:val="2"/>
                <w:sz w:val="21"/>
                <w:szCs w:val="21"/>
              </w:rPr>
            </w:pPr>
            <w:r>
              <w:rPr>
                <w:rStyle w:val="37"/>
                <w:rFonts w:hint="eastAsia" w:ascii="宋体" w:hAnsi="宋体" w:eastAsia="宋体" w:cs="宋体"/>
                <w:kern w:val="2"/>
                <w:sz w:val="21"/>
                <w:szCs w:val="21"/>
              </w:rPr>
              <w:t>汽油为麻醉性毒物，高浓度吸入出现中毒性脑病，极高浓度吸入引起意识突然丧失、反射性呼吸停止。误将汽油吸入呼吸道可引起吸入性肺炎。</w:t>
            </w:r>
          </w:p>
          <w:p>
            <w:pPr>
              <w:pStyle w:val="13"/>
              <w:keepNext w:val="0"/>
              <w:keepLines w:val="0"/>
              <w:suppressLineNumbers w:val="0"/>
              <w:spacing w:before="0" w:beforeAutospacing="0" w:after="0" w:afterAutospacing="0" w:line="276" w:lineRule="auto"/>
              <w:ind w:left="0" w:right="0" w:firstLine="420" w:firstLineChars="200"/>
              <w:rPr>
                <w:rFonts w:hint="eastAsia" w:ascii="宋体" w:hAnsi="宋体" w:eastAsia="宋体" w:cs="宋体"/>
                <w:kern w:val="2"/>
                <w:sz w:val="21"/>
                <w:szCs w:val="21"/>
              </w:rPr>
            </w:pPr>
            <w:r>
              <w:rPr>
                <w:rStyle w:val="37"/>
                <w:rFonts w:hint="eastAsia" w:ascii="宋体" w:hAnsi="宋体" w:eastAsia="宋体" w:cs="宋体"/>
                <w:kern w:val="2"/>
                <w:sz w:val="21"/>
                <w:szCs w:val="21"/>
              </w:rPr>
              <w:t>职业接触限值：PC-TWA(时间加权平均容许浓度)(mg/m</w:t>
            </w:r>
            <w:r>
              <w:rPr>
                <w:rStyle w:val="37"/>
                <w:rFonts w:hint="eastAsia" w:ascii="宋体" w:hAnsi="宋体" w:eastAsia="宋体" w:cs="宋体"/>
                <w:kern w:val="2"/>
                <w:sz w:val="21"/>
                <w:szCs w:val="21"/>
                <w:vertAlign w:val="superscript"/>
              </w:rPr>
              <w:t>3</w:t>
            </w:r>
            <w:r>
              <w:rPr>
                <w:rStyle w:val="37"/>
                <w:rFonts w:hint="eastAsia" w:ascii="宋体" w:hAnsi="宋体" w:eastAsia="宋体" w:cs="宋体"/>
                <w:kern w:val="2"/>
                <w:sz w:val="21"/>
                <w:szCs w:val="21"/>
              </w:rPr>
              <w:t>):300（汽油）。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3" w:hRule="atLeast"/>
        </w:trPr>
        <w:tc>
          <w:tcPr>
            <w:tcW w:w="714" w:type="dxa"/>
            <w:vAlign w:val="center"/>
          </w:tcPr>
          <w:p>
            <w:pPr>
              <w:pStyle w:val="36"/>
              <w:keepNext w:val="0"/>
              <w:keepLines w:val="0"/>
              <w:widowControl w:val="0"/>
              <w:suppressLineNumbers w:val="0"/>
              <w:spacing w:before="0" w:beforeAutospacing="0" w:after="0" w:afterAutospacing="0" w:line="276" w:lineRule="auto"/>
              <w:ind w:left="0" w:right="0"/>
              <w:jc w:val="center"/>
              <w:rPr>
                <w:rFonts w:hint="eastAsia" w:ascii="宋体" w:hAnsi="宋体" w:eastAsia="宋体" w:cs="宋体"/>
                <w:b/>
                <w:kern w:val="2"/>
                <w:sz w:val="21"/>
                <w:szCs w:val="21"/>
              </w:rPr>
            </w:pPr>
            <w:r>
              <w:rPr>
                <w:rFonts w:hint="eastAsia" w:ascii="宋体" w:hAnsi="宋体" w:eastAsia="宋体" w:cs="宋体"/>
                <w:b/>
                <w:kern w:val="2"/>
                <w:sz w:val="21"/>
                <w:szCs w:val="21"/>
              </w:rPr>
              <w:t>安</w:t>
            </w:r>
          </w:p>
          <w:p>
            <w:pPr>
              <w:pStyle w:val="36"/>
              <w:keepNext w:val="0"/>
              <w:keepLines w:val="0"/>
              <w:widowControl w:val="0"/>
              <w:suppressLineNumbers w:val="0"/>
              <w:spacing w:before="0" w:beforeAutospacing="0" w:after="0" w:afterAutospacing="0" w:line="276" w:lineRule="auto"/>
              <w:ind w:left="0" w:right="0"/>
              <w:jc w:val="center"/>
              <w:rPr>
                <w:rFonts w:hint="eastAsia" w:ascii="宋体" w:hAnsi="宋体" w:eastAsia="宋体" w:cs="宋体"/>
                <w:b/>
                <w:kern w:val="2"/>
                <w:sz w:val="21"/>
                <w:szCs w:val="21"/>
              </w:rPr>
            </w:pPr>
            <w:r>
              <w:rPr>
                <w:rFonts w:hint="eastAsia" w:ascii="宋体" w:hAnsi="宋体" w:eastAsia="宋体" w:cs="宋体"/>
                <w:b/>
                <w:kern w:val="2"/>
                <w:sz w:val="21"/>
                <w:szCs w:val="21"/>
              </w:rPr>
              <w:t>全</w:t>
            </w:r>
          </w:p>
          <w:p>
            <w:pPr>
              <w:pStyle w:val="36"/>
              <w:keepNext w:val="0"/>
              <w:keepLines w:val="0"/>
              <w:widowControl w:val="0"/>
              <w:suppressLineNumbers w:val="0"/>
              <w:spacing w:before="0" w:beforeAutospacing="0" w:after="0" w:afterAutospacing="0" w:line="276" w:lineRule="auto"/>
              <w:ind w:left="0" w:right="0"/>
              <w:jc w:val="center"/>
              <w:rPr>
                <w:rFonts w:hint="eastAsia" w:ascii="宋体" w:hAnsi="宋体" w:eastAsia="宋体" w:cs="宋体"/>
                <w:b/>
                <w:kern w:val="2"/>
                <w:sz w:val="21"/>
                <w:szCs w:val="21"/>
              </w:rPr>
            </w:pPr>
            <w:r>
              <w:rPr>
                <w:rFonts w:hint="eastAsia" w:ascii="宋体" w:hAnsi="宋体" w:eastAsia="宋体" w:cs="宋体"/>
                <w:b/>
                <w:kern w:val="2"/>
                <w:sz w:val="21"/>
                <w:szCs w:val="21"/>
              </w:rPr>
              <w:t>措</w:t>
            </w:r>
          </w:p>
          <w:p>
            <w:pPr>
              <w:pStyle w:val="36"/>
              <w:keepNext w:val="0"/>
              <w:keepLines w:val="0"/>
              <w:widowControl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r>
              <w:rPr>
                <w:rFonts w:hint="eastAsia" w:ascii="宋体" w:hAnsi="宋体" w:eastAsia="宋体" w:cs="宋体"/>
                <w:b/>
                <w:kern w:val="2"/>
                <w:sz w:val="21"/>
                <w:szCs w:val="21"/>
              </w:rPr>
              <w:t>施</w:t>
            </w:r>
          </w:p>
        </w:tc>
        <w:tc>
          <w:tcPr>
            <w:tcW w:w="8246" w:type="dxa"/>
          </w:tcPr>
          <w:p>
            <w:pPr>
              <w:pStyle w:val="13"/>
              <w:keepNext w:val="0"/>
              <w:keepLines w:val="0"/>
              <w:suppressLineNumbers w:val="0"/>
              <w:spacing w:before="0" w:beforeAutospacing="0" w:after="0" w:afterAutospacing="0" w:line="276" w:lineRule="auto"/>
              <w:ind w:left="0" w:right="0" w:firstLine="420"/>
              <w:jc w:val="both"/>
              <w:rPr>
                <w:rFonts w:hint="eastAsia" w:ascii="宋体" w:hAnsi="宋体" w:eastAsia="宋体" w:cs="宋体"/>
                <w:b/>
                <w:kern w:val="2"/>
                <w:sz w:val="21"/>
                <w:szCs w:val="21"/>
              </w:rPr>
            </w:pPr>
            <w:r>
              <w:rPr>
                <w:rFonts w:hint="eastAsia" w:ascii="宋体" w:hAnsi="宋体" w:eastAsia="宋体" w:cs="宋体"/>
                <w:kern w:val="2"/>
                <w:sz w:val="21"/>
                <w:szCs w:val="21"/>
              </w:rPr>
              <w:t>【一般要求】</w:t>
            </w:r>
          </w:p>
          <w:p>
            <w:pPr>
              <w:pStyle w:val="13"/>
              <w:keepNext w:val="0"/>
              <w:keepLines w:val="0"/>
              <w:suppressLineNumbers w:val="0"/>
              <w:spacing w:before="0" w:beforeAutospacing="0" w:after="0" w:afterAutospacing="0" w:line="276" w:lineRule="auto"/>
              <w:ind w:left="0" w:right="0" w:firstLine="420" w:firstLineChars="200"/>
              <w:jc w:val="both"/>
              <w:rPr>
                <w:rStyle w:val="37"/>
                <w:rFonts w:hint="eastAsia" w:ascii="宋体" w:hAnsi="宋体" w:eastAsia="宋体" w:cs="宋体"/>
                <w:kern w:val="2"/>
                <w:sz w:val="21"/>
                <w:szCs w:val="21"/>
              </w:rPr>
            </w:pPr>
            <w:r>
              <w:rPr>
                <w:rStyle w:val="37"/>
                <w:rFonts w:hint="eastAsia" w:ascii="宋体" w:hAnsi="宋体" w:eastAsia="宋体" w:cs="宋体"/>
                <w:kern w:val="2"/>
                <w:sz w:val="21"/>
                <w:szCs w:val="21"/>
              </w:rPr>
              <w:t>操作人员必须经过专门培训，严格遵守操作规程，熟练掌握操作技能，具备应急处置知识。</w:t>
            </w:r>
          </w:p>
          <w:p>
            <w:pPr>
              <w:pStyle w:val="13"/>
              <w:keepNext w:val="0"/>
              <w:keepLines w:val="0"/>
              <w:suppressLineNumbers w:val="0"/>
              <w:spacing w:before="0" w:beforeAutospacing="0" w:after="0" w:afterAutospacing="0" w:line="276" w:lineRule="auto"/>
              <w:ind w:left="0" w:right="0" w:firstLine="420" w:firstLineChars="200"/>
              <w:jc w:val="both"/>
              <w:rPr>
                <w:rStyle w:val="37"/>
                <w:rFonts w:hint="eastAsia" w:ascii="宋体" w:hAnsi="宋体" w:eastAsia="宋体" w:cs="宋体"/>
                <w:kern w:val="2"/>
                <w:sz w:val="21"/>
                <w:szCs w:val="21"/>
              </w:rPr>
            </w:pPr>
            <w:r>
              <w:rPr>
                <w:rStyle w:val="37"/>
                <w:rFonts w:hint="eastAsia" w:ascii="宋体" w:hAnsi="宋体" w:eastAsia="宋体" w:cs="宋体"/>
                <w:kern w:val="2"/>
                <w:sz w:val="21"/>
                <w:szCs w:val="21"/>
              </w:rPr>
              <w:t>密闭操作，防止泄漏，工作场所全面通风。远离火种、热源，工作场所严禁吸烟。配备易燃气体泄漏监测报警仪，使用防爆型通风系统和设备，配备两套以上重型防护服。操作人员穿防静电工作服，戴耐油橡胶手套。</w:t>
            </w:r>
          </w:p>
          <w:p>
            <w:pPr>
              <w:pStyle w:val="13"/>
              <w:keepNext w:val="0"/>
              <w:keepLines w:val="0"/>
              <w:suppressLineNumbers w:val="0"/>
              <w:spacing w:before="0" w:beforeAutospacing="0" w:after="0" w:afterAutospacing="0" w:line="276" w:lineRule="auto"/>
              <w:ind w:left="0" w:right="0" w:firstLine="420" w:firstLineChars="200"/>
              <w:jc w:val="both"/>
              <w:rPr>
                <w:rStyle w:val="37"/>
                <w:rFonts w:hint="eastAsia" w:ascii="宋体" w:hAnsi="宋体" w:eastAsia="宋体" w:cs="宋体"/>
                <w:kern w:val="2"/>
                <w:sz w:val="21"/>
                <w:szCs w:val="21"/>
              </w:rPr>
            </w:pPr>
            <w:r>
              <w:rPr>
                <w:rStyle w:val="37"/>
                <w:rFonts w:hint="eastAsia" w:ascii="宋体" w:hAnsi="宋体" w:eastAsia="宋体" w:cs="宋体"/>
                <w:kern w:val="2"/>
                <w:sz w:val="21"/>
                <w:szCs w:val="21"/>
              </w:rPr>
              <w:t>储罐等容器和设备应设置液位计、温度计，并应装有带液位、温度远传记录和报警功能的安全装置。</w:t>
            </w:r>
          </w:p>
          <w:p>
            <w:pPr>
              <w:pStyle w:val="13"/>
              <w:keepNext w:val="0"/>
              <w:keepLines w:val="0"/>
              <w:suppressLineNumbers w:val="0"/>
              <w:spacing w:before="0" w:beforeAutospacing="0" w:after="0" w:afterAutospacing="0" w:line="276" w:lineRule="auto"/>
              <w:ind w:left="0" w:right="0" w:firstLine="420" w:firstLineChars="200"/>
              <w:jc w:val="both"/>
              <w:rPr>
                <w:rStyle w:val="37"/>
                <w:rFonts w:hint="eastAsia" w:ascii="宋体" w:hAnsi="宋体" w:eastAsia="宋体" w:cs="宋体"/>
                <w:kern w:val="2"/>
                <w:sz w:val="21"/>
                <w:szCs w:val="21"/>
              </w:rPr>
            </w:pPr>
            <w:r>
              <w:rPr>
                <w:rStyle w:val="37"/>
                <w:rFonts w:hint="eastAsia" w:ascii="宋体" w:hAnsi="宋体" w:eastAsia="宋体" w:cs="宋体"/>
                <w:kern w:val="2"/>
                <w:sz w:val="21"/>
                <w:szCs w:val="21"/>
              </w:rPr>
              <w:t>避免与氧化剂接触。</w:t>
            </w:r>
          </w:p>
          <w:p>
            <w:pPr>
              <w:pStyle w:val="13"/>
              <w:keepNext w:val="0"/>
              <w:keepLines w:val="0"/>
              <w:suppressLineNumbers w:val="0"/>
              <w:spacing w:before="0" w:beforeAutospacing="0" w:after="0" w:afterAutospacing="0" w:line="276" w:lineRule="auto"/>
              <w:ind w:left="0" w:right="0" w:firstLine="420" w:firstLineChars="200"/>
              <w:jc w:val="both"/>
              <w:rPr>
                <w:rStyle w:val="37"/>
                <w:rFonts w:hint="eastAsia" w:ascii="宋体" w:hAnsi="宋体" w:eastAsia="宋体" w:cs="宋体"/>
                <w:kern w:val="2"/>
                <w:sz w:val="21"/>
                <w:szCs w:val="21"/>
              </w:rPr>
            </w:pPr>
            <w:r>
              <w:rPr>
                <w:rStyle w:val="37"/>
                <w:rFonts w:hint="eastAsia" w:ascii="宋体" w:hAnsi="宋体" w:eastAsia="宋体" w:cs="宋体"/>
                <w:kern w:val="2"/>
                <w:sz w:val="21"/>
                <w:szCs w:val="21"/>
              </w:rPr>
              <w:t>生产、储存区域应设置安全警示标志。灌装时应控制流速，且有接地装置，防止静电积聚。搬运时要轻装轻卸，防止包装及容器损坏。配备相应品种和数量的消防器材及泄漏应急处理设备。</w:t>
            </w:r>
          </w:p>
          <w:p>
            <w:pPr>
              <w:pStyle w:val="13"/>
              <w:keepNext w:val="0"/>
              <w:keepLines w:val="0"/>
              <w:suppressLineNumbers w:val="0"/>
              <w:spacing w:before="0" w:beforeAutospacing="0" w:after="0" w:afterAutospacing="0" w:line="276" w:lineRule="auto"/>
              <w:ind w:left="0" w:right="0" w:firstLine="420"/>
              <w:jc w:val="both"/>
              <w:rPr>
                <w:rFonts w:hint="eastAsia" w:ascii="宋体" w:hAnsi="宋体" w:eastAsia="宋体" w:cs="宋体"/>
                <w:b/>
                <w:kern w:val="2"/>
                <w:sz w:val="21"/>
                <w:szCs w:val="21"/>
              </w:rPr>
            </w:pPr>
            <w:r>
              <w:rPr>
                <w:rFonts w:hint="eastAsia" w:ascii="宋体" w:hAnsi="宋体" w:eastAsia="宋体" w:cs="宋体"/>
                <w:kern w:val="2"/>
                <w:sz w:val="21"/>
                <w:szCs w:val="21"/>
              </w:rPr>
              <w:t>【特殊要求】</w:t>
            </w:r>
          </w:p>
          <w:p>
            <w:pPr>
              <w:pStyle w:val="13"/>
              <w:keepNext w:val="0"/>
              <w:keepLines w:val="0"/>
              <w:suppressLineNumbers w:val="0"/>
              <w:spacing w:before="0" w:beforeAutospacing="0" w:after="0" w:afterAutospacing="0" w:line="276" w:lineRule="auto"/>
              <w:ind w:left="0" w:right="0" w:firstLine="422" w:firstLineChars="200"/>
              <w:jc w:val="both"/>
              <w:rPr>
                <w:rStyle w:val="37"/>
                <w:rFonts w:hint="eastAsia" w:ascii="宋体" w:hAnsi="宋体" w:eastAsia="宋体" w:cs="宋体"/>
                <w:kern w:val="2"/>
                <w:sz w:val="21"/>
                <w:szCs w:val="21"/>
              </w:rPr>
            </w:pPr>
            <w:r>
              <w:rPr>
                <w:rFonts w:hint="eastAsia" w:ascii="宋体" w:hAnsi="宋体" w:eastAsia="宋体" w:cs="宋体"/>
                <w:b/>
                <w:kern w:val="2"/>
                <w:sz w:val="21"/>
                <w:szCs w:val="21"/>
              </w:rPr>
              <w:t>【</w:t>
            </w:r>
            <w:r>
              <w:rPr>
                <w:rStyle w:val="37"/>
                <w:rFonts w:hint="eastAsia" w:ascii="宋体" w:hAnsi="宋体" w:eastAsia="宋体" w:cs="宋体"/>
                <w:kern w:val="2"/>
                <w:sz w:val="21"/>
                <w:szCs w:val="21"/>
              </w:rPr>
              <w:t>操作安全</w:t>
            </w:r>
            <w:r>
              <w:rPr>
                <w:rFonts w:hint="eastAsia" w:ascii="宋体" w:hAnsi="宋体" w:eastAsia="宋体" w:cs="宋体"/>
                <w:b/>
                <w:kern w:val="2"/>
                <w:sz w:val="21"/>
                <w:szCs w:val="21"/>
              </w:rPr>
              <w:t>】</w:t>
            </w:r>
          </w:p>
          <w:p>
            <w:pPr>
              <w:pStyle w:val="13"/>
              <w:keepNext w:val="0"/>
              <w:keepLines w:val="0"/>
              <w:suppressLineNumbers w:val="0"/>
              <w:spacing w:before="0" w:beforeAutospacing="0" w:after="0" w:afterAutospacing="0" w:line="276" w:lineRule="auto"/>
              <w:ind w:left="0" w:right="0" w:firstLine="420" w:firstLineChars="200"/>
              <w:jc w:val="both"/>
              <w:rPr>
                <w:rStyle w:val="37"/>
                <w:rFonts w:hint="eastAsia" w:ascii="宋体" w:hAnsi="宋体" w:eastAsia="宋体" w:cs="宋体"/>
                <w:kern w:val="2"/>
                <w:sz w:val="21"/>
                <w:szCs w:val="21"/>
              </w:rPr>
            </w:pPr>
            <w:r>
              <w:rPr>
                <w:rStyle w:val="37"/>
                <w:rFonts w:hint="eastAsia" w:ascii="宋体" w:hAnsi="宋体" w:eastAsia="宋体" w:cs="宋体"/>
                <w:kern w:val="2"/>
                <w:sz w:val="21"/>
                <w:szCs w:val="21"/>
              </w:rPr>
              <w:t>（1）油罐及贮存桶装汽油附近要严禁烟火。禁止将汽油与其他易燃物放在一起。</w:t>
            </w:r>
          </w:p>
          <w:p>
            <w:pPr>
              <w:pStyle w:val="13"/>
              <w:keepNext w:val="0"/>
              <w:keepLines w:val="0"/>
              <w:suppressLineNumbers w:val="0"/>
              <w:spacing w:before="0" w:beforeAutospacing="0" w:after="0" w:afterAutospacing="0" w:line="276" w:lineRule="auto"/>
              <w:ind w:left="0" w:right="0" w:firstLine="420" w:firstLineChars="200"/>
              <w:jc w:val="both"/>
              <w:rPr>
                <w:rStyle w:val="37"/>
                <w:rFonts w:hint="eastAsia" w:ascii="宋体" w:hAnsi="宋体" w:eastAsia="宋体" w:cs="宋体"/>
                <w:kern w:val="2"/>
                <w:sz w:val="21"/>
                <w:szCs w:val="21"/>
              </w:rPr>
            </w:pPr>
            <w:r>
              <w:rPr>
                <w:rStyle w:val="37"/>
                <w:rFonts w:hint="eastAsia" w:ascii="宋体" w:hAnsi="宋体" w:eastAsia="宋体" w:cs="宋体"/>
                <w:kern w:val="2"/>
                <w:sz w:val="21"/>
                <w:szCs w:val="21"/>
              </w:rPr>
              <w:t>（2）往油罐或油罐汽车装油时，输油管要插入油面以下或接近罐的底部，以减少油料的冲击和与空气的摩擦。沾油料的布、油棉纱头、油手套等不要放在油库、车库内，以免自燃。不要用铁器工具敲击汽油桶，特别是空汽油桶更危险。因为桶内充满汽油与空气的混合气，而且经常处于爆炸极限之内，一遇明火，就能引起爆炸。</w:t>
            </w:r>
          </w:p>
          <w:p>
            <w:pPr>
              <w:pStyle w:val="13"/>
              <w:keepNext w:val="0"/>
              <w:keepLines w:val="0"/>
              <w:suppressLineNumbers w:val="0"/>
              <w:spacing w:before="0" w:beforeAutospacing="0" w:after="0" w:afterAutospacing="0" w:line="276" w:lineRule="auto"/>
              <w:ind w:left="0" w:right="0" w:firstLine="420" w:firstLineChars="200"/>
              <w:jc w:val="both"/>
              <w:rPr>
                <w:rStyle w:val="37"/>
                <w:rFonts w:hint="eastAsia" w:ascii="宋体" w:hAnsi="宋体" w:eastAsia="宋体" w:cs="宋体"/>
                <w:kern w:val="2"/>
                <w:sz w:val="21"/>
                <w:szCs w:val="21"/>
              </w:rPr>
            </w:pPr>
            <w:r>
              <w:rPr>
                <w:rStyle w:val="37"/>
                <w:rFonts w:hint="eastAsia" w:ascii="宋体" w:hAnsi="宋体" w:eastAsia="宋体" w:cs="宋体"/>
                <w:kern w:val="2"/>
                <w:sz w:val="21"/>
                <w:szCs w:val="21"/>
              </w:rPr>
              <w:t>（3）当进行灌装汽油时，邻近的汽车、拖拉机的排气管要戴上防火帽后才能发动，存汽油地点附近严禁检修车辆。</w:t>
            </w:r>
          </w:p>
          <w:p>
            <w:pPr>
              <w:pStyle w:val="13"/>
              <w:keepNext w:val="0"/>
              <w:keepLines w:val="0"/>
              <w:suppressLineNumbers w:val="0"/>
              <w:spacing w:before="0" w:beforeAutospacing="0" w:after="0" w:afterAutospacing="0" w:line="276" w:lineRule="auto"/>
              <w:ind w:left="0" w:right="0" w:firstLine="420" w:firstLineChars="200"/>
              <w:jc w:val="both"/>
              <w:rPr>
                <w:rStyle w:val="37"/>
                <w:rFonts w:hint="eastAsia" w:ascii="宋体" w:hAnsi="宋体" w:eastAsia="宋体" w:cs="宋体"/>
                <w:kern w:val="2"/>
                <w:sz w:val="21"/>
                <w:szCs w:val="21"/>
              </w:rPr>
            </w:pPr>
            <w:r>
              <w:rPr>
                <w:rStyle w:val="37"/>
                <w:rFonts w:hint="eastAsia" w:ascii="宋体" w:hAnsi="宋体" w:eastAsia="宋体" w:cs="宋体"/>
                <w:kern w:val="2"/>
                <w:sz w:val="21"/>
                <w:szCs w:val="21"/>
              </w:rPr>
              <w:t>（4）汽油油罐和贮存汽油区的上空，不应有电线通过。油罐、库房与电线的距离要为电杆长度的1.5倍以上。</w:t>
            </w:r>
          </w:p>
          <w:p>
            <w:pPr>
              <w:pStyle w:val="13"/>
              <w:keepNext w:val="0"/>
              <w:keepLines w:val="0"/>
              <w:suppressLineNumbers w:val="0"/>
              <w:spacing w:before="0" w:beforeAutospacing="0" w:after="0" w:afterAutospacing="0" w:line="276" w:lineRule="auto"/>
              <w:ind w:left="0" w:right="0" w:firstLine="420" w:firstLineChars="200"/>
              <w:jc w:val="both"/>
              <w:rPr>
                <w:rStyle w:val="37"/>
                <w:rFonts w:hint="eastAsia" w:ascii="宋体" w:hAnsi="宋体" w:eastAsia="宋体" w:cs="宋体"/>
                <w:kern w:val="2"/>
                <w:sz w:val="21"/>
                <w:szCs w:val="21"/>
              </w:rPr>
            </w:pPr>
            <w:r>
              <w:rPr>
                <w:rStyle w:val="37"/>
                <w:rFonts w:hint="eastAsia" w:ascii="宋体" w:hAnsi="宋体" w:eastAsia="宋体" w:cs="宋体"/>
                <w:kern w:val="2"/>
                <w:sz w:val="21"/>
                <w:szCs w:val="21"/>
              </w:rPr>
              <w:t>（5）注意仓库及操作场所的通风，使油蒸气容易逸散。</w:t>
            </w:r>
          </w:p>
          <w:p>
            <w:pPr>
              <w:pStyle w:val="36"/>
              <w:keepNext w:val="0"/>
              <w:keepLines w:val="0"/>
              <w:widowControl w:val="0"/>
              <w:suppressLineNumbers w:val="0"/>
              <w:spacing w:before="0" w:beforeAutospacing="0" w:after="0" w:afterAutospacing="0" w:line="276" w:lineRule="auto"/>
              <w:ind w:left="0" w:right="0" w:firstLine="420" w:firstLineChars="200"/>
              <w:jc w:val="both"/>
              <w:rPr>
                <w:rFonts w:hint="eastAsia" w:ascii="宋体" w:hAnsi="宋体" w:eastAsia="宋体" w:cs="宋体"/>
                <w:b/>
                <w:kern w:val="2"/>
                <w:sz w:val="21"/>
                <w:szCs w:val="21"/>
              </w:rPr>
            </w:pPr>
            <w:r>
              <w:rPr>
                <w:rFonts w:hint="eastAsia" w:ascii="宋体" w:hAnsi="宋体" w:eastAsia="宋体" w:cs="宋体"/>
                <w:kern w:val="2"/>
                <w:sz w:val="21"/>
                <w:szCs w:val="21"/>
              </w:rPr>
              <w:t>【储存安全】</w:t>
            </w:r>
          </w:p>
          <w:p>
            <w:pPr>
              <w:pStyle w:val="13"/>
              <w:keepNext w:val="0"/>
              <w:keepLines w:val="0"/>
              <w:suppressLineNumbers w:val="0"/>
              <w:spacing w:before="0" w:beforeAutospacing="0" w:after="0" w:afterAutospacing="0" w:line="276" w:lineRule="auto"/>
              <w:ind w:left="0" w:right="0" w:firstLine="420" w:firstLineChars="200"/>
              <w:jc w:val="both"/>
              <w:rPr>
                <w:rStyle w:val="37"/>
                <w:rFonts w:hint="eastAsia" w:ascii="宋体" w:hAnsi="宋体" w:eastAsia="宋体" w:cs="宋体"/>
                <w:kern w:val="2"/>
                <w:sz w:val="21"/>
                <w:szCs w:val="21"/>
              </w:rPr>
            </w:pPr>
            <w:r>
              <w:rPr>
                <w:rStyle w:val="37"/>
                <w:rFonts w:hint="eastAsia" w:ascii="宋体" w:hAnsi="宋体" w:eastAsia="宋体" w:cs="宋体"/>
                <w:kern w:val="2"/>
                <w:sz w:val="21"/>
                <w:szCs w:val="21"/>
              </w:rPr>
              <w:t>（1）远离火种、热源。</w:t>
            </w:r>
          </w:p>
          <w:p>
            <w:pPr>
              <w:pStyle w:val="13"/>
              <w:keepNext w:val="0"/>
              <w:keepLines w:val="0"/>
              <w:suppressLineNumbers w:val="0"/>
              <w:spacing w:before="0" w:beforeAutospacing="0" w:after="0" w:afterAutospacing="0" w:line="276" w:lineRule="auto"/>
              <w:ind w:left="0" w:right="0" w:firstLine="420" w:firstLineChars="200"/>
              <w:jc w:val="both"/>
              <w:rPr>
                <w:rStyle w:val="37"/>
                <w:rFonts w:hint="eastAsia" w:ascii="宋体" w:hAnsi="宋体" w:eastAsia="宋体" w:cs="宋体"/>
                <w:kern w:val="2"/>
                <w:sz w:val="21"/>
                <w:szCs w:val="21"/>
              </w:rPr>
            </w:pPr>
            <w:r>
              <w:rPr>
                <w:rStyle w:val="37"/>
                <w:rFonts w:hint="eastAsia" w:ascii="宋体" w:hAnsi="宋体" w:eastAsia="宋体" w:cs="宋体"/>
                <w:kern w:val="2"/>
                <w:sz w:val="21"/>
                <w:szCs w:val="21"/>
              </w:rPr>
              <w:t>（2）应与氧化剂分开存放，切忌混储。用储罐、铁桶等容器盛装，不要用塑料桶来存放汽油。盛装时，切不可充满，要留出必要的安全空间。</w:t>
            </w:r>
          </w:p>
          <w:p>
            <w:pPr>
              <w:pStyle w:val="13"/>
              <w:keepNext w:val="0"/>
              <w:keepLines w:val="0"/>
              <w:suppressLineNumbers w:val="0"/>
              <w:spacing w:before="0" w:beforeAutospacing="0" w:after="0" w:afterAutospacing="0" w:line="276" w:lineRule="auto"/>
              <w:ind w:left="0" w:right="0" w:firstLine="420" w:firstLineChars="200"/>
              <w:jc w:val="both"/>
              <w:rPr>
                <w:rStyle w:val="37"/>
                <w:rFonts w:hint="eastAsia" w:ascii="宋体" w:hAnsi="宋体" w:eastAsia="宋体" w:cs="宋体"/>
                <w:kern w:val="2"/>
                <w:sz w:val="21"/>
                <w:szCs w:val="21"/>
              </w:rPr>
            </w:pPr>
            <w:r>
              <w:rPr>
                <w:rStyle w:val="37"/>
                <w:rFonts w:hint="eastAsia" w:ascii="宋体" w:hAnsi="宋体" w:eastAsia="宋体" w:cs="宋体"/>
                <w:kern w:val="2"/>
                <w:sz w:val="21"/>
                <w:szCs w:val="21"/>
              </w:rPr>
              <w:t>（3）采用防爆型照明、通风设施。禁止使用易产生火花的机械设备和工具。储存区应备有泄漏应急处理设备和合适的收容材料。罐储时要有防火防爆技术措施。对于1000m</w:t>
            </w:r>
            <w:r>
              <w:rPr>
                <w:rStyle w:val="37"/>
                <w:rFonts w:hint="eastAsia" w:ascii="宋体" w:hAnsi="宋体" w:eastAsia="宋体" w:cs="宋体"/>
                <w:kern w:val="2"/>
                <w:sz w:val="21"/>
                <w:szCs w:val="21"/>
                <w:vertAlign w:val="superscript"/>
              </w:rPr>
              <w:t>3</w:t>
            </w:r>
            <w:r>
              <w:rPr>
                <w:rStyle w:val="37"/>
                <w:rFonts w:hint="eastAsia" w:ascii="宋体" w:hAnsi="宋体" w:eastAsia="宋体" w:cs="宋体"/>
                <w:kern w:val="2"/>
                <w:sz w:val="21"/>
                <w:szCs w:val="21"/>
              </w:rPr>
              <w:t>及以上的储罐顶部应有泡沫灭火设施等。</w:t>
            </w:r>
          </w:p>
          <w:p>
            <w:pPr>
              <w:keepNext w:val="0"/>
              <w:keepLines w:val="0"/>
              <w:suppressLineNumbers w:val="0"/>
              <w:spacing w:before="0" w:beforeAutospacing="0" w:after="0" w:afterAutospacing="0" w:line="276" w:lineRule="auto"/>
              <w:ind w:left="0" w:right="0" w:firstLine="440" w:firstLineChars="200"/>
              <w:jc w:val="both"/>
              <w:rPr>
                <w:rFonts w:hint="eastAsia" w:ascii="宋体" w:hAnsi="宋体" w:eastAsia="宋体" w:cs="宋体"/>
                <w:b/>
                <w:kern w:val="2"/>
                <w:szCs w:val="21"/>
              </w:rPr>
            </w:pPr>
            <w:r>
              <w:rPr>
                <w:rFonts w:hint="eastAsia" w:ascii="宋体" w:hAnsi="宋体" w:eastAsia="宋体" w:cs="宋体"/>
                <w:kern w:val="2"/>
                <w:szCs w:val="21"/>
              </w:rPr>
              <w:t>【运输安全】</w:t>
            </w:r>
          </w:p>
          <w:p>
            <w:pPr>
              <w:pStyle w:val="13"/>
              <w:keepNext w:val="0"/>
              <w:keepLines w:val="0"/>
              <w:suppressLineNumbers w:val="0"/>
              <w:spacing w:before="0" w:beforeAutospacing="0" w:after="0" w:afterAutospacing="0" w:line="276" w:lineRule="auto"/>
              <w:ind w:left="0" w:right="0" w:firstLine="420" w:firstLineChars="200"/>
              <w:jc w:val="both"/>
              <w:rPr>
                <w:rStyle w:val="37"/>
                <w:rFonts w:hint="eastAsia" w:ascii="宋体" w:hAnsi="宋体" w:eastAsia="宋体" w:cs="宋体"/>
                <w:kern w:val="2"/>
                <w:sz w:val="21"/>
                <w:szCs w:val="21"/>
              </w:rPr>
            </w:pPr>
            <w:r>
              <w:rPr>
                <w:rStyle w:val="37"/>
                <w:rFonts w:hint="eastAsia" w:ascii="宋体" w:hAnsi="宋体" w:eastAsia="宋体" w:cs="宋体"/>
                <w:kern w:val="2"/>
                <w:sz w:val="21"/>
                <w:szCs w:val="21"/>
              </w:rPr>
              <w:t>（1）运输车辆应有危险货物运输标志、安装具有行驶记录功能的卫星定位装置。未经公安机关批准，运输车辆不得进入危险化学品运输车辆限制通行的区域。</w:t>
            </w:r>
          </w:p>
          <w:p>
            <w:pPr>
              <w:pStyle w:val="13"/>
              <w:keepNext w:val="0"/>
              <w:keepLines w:val="0"/>
              <w:suppressLineNumbers w:val="0"/>
              <w:spacing w:before="0" w:beforeAutospacing="0" w:after="0" w:afterAutospacing="0" w:line="276" w:lineRule="auto"/>
              <w:ind w:left="0" w:right="0" w:firstLine="420" w:firstLineChars="200"/>
              <w:jc w:val="both"/>
              <w:rPr>
                <w:rStyle w:val="37"/>
                <w:rFonts w:hint="eastAsia" w:ascii="宋体" w:hAnsi="宋体" w:eastAsia="宋体" w:cs="宋体"/>
                <w:kern w:val="2"/>
                <w:sz w:val="21"/>
                <w:szCs w:val="21"/>
              </w:rPr>
            </w:pPr>
            <w:r>
              <w:rPr>
                <w:rStyle w:val="37"/>
                <w:rFonts w:hint="eastAsia" w:ascii="宋体" w:hAnsi="宋体" w:eastAsia="宋体" w:cs="宋体"/>
                <w:kern w:val="2"/>
                <w:sz w:val="21"/>
                <w:szCs w:val="21"/>
              </w:rPr>
              <w:t>（2）汽油装于专用的槽车内运输，槽车应定期清理；用其他包装容器运输时，容器须用盖密封。运送汽油的油罐汽车，必须有导静电拖线。对有每分钟0.5m</w:t>
            </w:r>
            <w:r>
              <w:rPr>
                <w:rStyle w:val="37"/>
                <w:rFonts w:hint="eastAsia" w:ascii="宋体" w:hAnsi="宋体" w:eastAsia="宋体" w:cs="宋体"/>
                <w:kern w:val="2"/>
                <w:sz w:val="21"/>
                <w:szCs w:val="21"/>
                <w:vertAlign w:val="superscript"/>
              </w:rPr>
              <w:t>3</w:t>
            </w:r>
            <w:r>
              <w:rPr>
                <w:rStyle w:val="37"/>
                <w:rFonts w:hint="eastAsia" w:ascii="宋体" w:hAnsi="宋体" w:eastAsia="宋体" w:cs="宋体"/>
                <w:kern w:val="2"/>
                <w:sz w:val="21"/>
                <w:szCs w:val="21"/>
              </w:rPr>
              <w:t>以上的快速装卸油设备的油罐汽车，在装卸油时，除了保证铁链接地外，更要将车上油罐的接地线插入地下并不得浅于100mm。运输时运输车辆应配备相应品种和数量的消防器材。装运该物品的车辆排气管必须配备阻火装置，禁止使用易产生火花的机械设备和工具装卸。汽车槽罐内可设孔隔板以减少震荡产生静电。</w:t>
            </w:r>
          </w:p>
          <w:p>
            <w:pPr>
              <w:pStyle w:val="13"/>
              <w:keepNext w:val="0"/>
              <w:keepLines w:val="0"/>
              <w:suppressLineNumbers w:val="0"/>
              <w:spacing w:before="0" w:beforeAutospacing="0" w:after="0" w:afterAutospacing="0" w:line="276" w:lineRule="auto"/>
              <w:ind w:left="0" w:right="0" w:firstLine="420" w:firstLineChars="200"/>
              <w:jc w:val="both"/>
              <w:rPr>
                <w:rStyle w:val="37"/>
                <w:rFonts w:hint="eastAsia" w:ascii="宋体" w:hAnsi="宋体" w:eastAsia="宋体" w:cs="宋体"/>
                <w:kern w:val="2"/>
                <w:sz w:val="21"/>
                <w:szCs w:val="21"/>
              </w:rPr>
            </w:pPr>
            <w:r>
              <w:rPr>
                <w:rStyle w:val="37"/>
                <w:rFonts w:hint="eastAsia" w:ascii="宋体" w:hAnsi="宋体" w:eastAsia="宋体" w:cs="宋体"/>
                <w:kern w:val="2"/>
                <w:sz w:val="21"/>
                <w:szCs w:val="21"/>
              </w:rPr>
              <w:t>（3）严禁与氧化剂等混装混运。夏季最好早晚运输，运输途中应防曝晒、防雨淋、防高温。中途停留时应远离火种、热源、高温区及人口密集地段。</w:t>
            </w:r>
          </w:p>
          <w:p>
            <w:pPr>
              <w:pStyle w:val="13"/>
              <w:keepNext w:val="0"/>
              <w:keepLines w:val="0"/>
              <w:suppressLineNumbers w:val="0"/>
              <w:spacing w:before="0" w:beforeAutospacing="0" w:after="0" w:afterAutospacing="0" w:line="276" w:lineRule="auto"/>
              <w:ind w:left="0" w:right="0" w:firstLine="420" w:firstLineChars="200"/>
              <w:jc w:val="both"/>
              <w:rPr>
                <w:rStyle w:val="37"/>
                <w:rFonts w:hint="eastAsia" w:ascii="宋体" w:hAnsi="宋体" w:eastAsia="宋体" w:cs="宋体"/>
                <w:kern w:val="2"/>
                <w:sz w:val="21"/>
                <w:szCs w:val="21"/>
              </w:rPr>
            </w:pPr>
            <w:r>
              <w:rPr>
                <w:rStyle w:val="37"/>
                <w:rFonts w:hint="eastAsia" w:ascii="宋体" w:hAnsi="宋体" w:eastAsia="宋体" w:cs="宋体"/>
                <w:kern w:val="2"/>
                <w:sz w:val="21"/>
                <w:szCs w:val="21"/>
              </w:rPr>
              <w:t>（4）输送汽油的管道不应靠近热源敷设；管道采用地上敷设时，应在人员活动较多和易遭车辆、外来物撞击的地段，采取保护措施并设置明显的警示标志；汽油管道架空敷设时，管道应敷设在非燃烧体的支架或栈桥上。在已敷设的汽油管道下面，不得修建与汽油管道无关的建筑物和堆放易燃物品；汽油管道外壁颜色、标志应执行《工业管道的基本识别色、识别符号和安全标识》（GB 7231）的规定。</w:t>
            </w:r>
          </w:p>
          <w:p>
            <w:pPr>
              <w:pStyle w:val="13"/>
              <w:keepNext w:val="0"/>
              <w:keepLines w:val="0"/>
              <w:suppressLineNumbers w:val="0"/>
              <w:spacing w:before="0" w:beforeAutospacing="0" w:after="0" w:afterAutospacing="0" w:line="276" w:lineRule="auto"/>
              <w:ind w:left="0" w:right="0" w:firstLine="420" w:firstLineChars="200"/>
              <w:jc w:val="both"/>
              <w:rPr>
                <w:rFonts w:hint="eastAsia" w:ascii="宋体" w:hAnsi="宋体" w:eastAsia="宋体" w:cs="宋体"/>
                <w:kern w:val="2"/>
                <w:sz w:val="21"/>
                <w:szCs w:val="21"/>
              </w:rPr>
            </w:pPr>
            <w:r>
              <w:rPr>
                <w:rStyle w:val="37"/>
                <w:rFonts w:hint="eastAsia" w:ascii="宋体" w:hAnsi="宋体" w:eastAsia="宋体" w:cs="宋体"/>
                <w:kern w:val="2"/>
                <w:sz w:val="21"/>
                <w:szCs w:val="21"/>
              </w:rPr>
              <w:t>（5）输油管道地下铺设时，沿线应设置里程桩、转角桩、标志桩和测试桩，并设警示标志。运行应符合有关法律法规规定。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2" w:hRule="atLeast"/>
        </w:trPr>
        <w:tc>
          <w:tcPr>
            <w:tcW w:w="714" w:type="dxa"/>
            <w:vAlign w:val="center"/>
          </w:tcPr>
          <w:p>
            <w:pPr>
              <w:pStyle w:val="36"/>
              <w:keepNext w:val="0"/>
              <w:keepLines w:val="0"/>
              <w:widowControl w:val="0"/>
              <w:suppressLineNumbers w:val="0"/>
              <w:spacing w:before="0" w:beforeAutospacing="0" w:after="0" w:afterAutospacing="0" w:line="276" w:lineRule="auto"/>
              <w:ind w:left="0" w:right="0"/>
              <w:jc w:val="center"/>
              <w:rPr>
                <w:rFonts w:hint="eastAsia" w:ascii="宋体" w:hAnsi="宋体" w:eastAsia="宋体" w:cs="宋体"/>
                <w:b/>
                <w:kern w:val="2"/>
                <w:sz w:val="21"/>
                <w:szCs w:val="21"/>
              </w:rPr>
            </w:pPr>
            <w:r>
              <w:rPr>
                <w:rFonts w:hint="eastAsia" w:ascii="宋体" w:hAnsi="宋体" w:eastAsia="宋体" w:cs="宋体"/>
                <w:b/>
                <w:kern w:val="2"/>
                <w:sz w:val="21"/>
                <w:szCs w:val="21"/>
              </w:rPr>
              <w:t>应</w:t>
            </w:r>
          </w:p>
          <w:p>
            <w:pPr>
              <w:pStyle w:val="36"/>
              <w:keepNext w:val="0"/>
              <w:keepLines w:val="0"/>
              <w:widowControl w:val="0"/>
              <w:suppressLineNumbers w:val="0"/>
              <w:spacing w:before="0" w:beforeAutospacing="0" w:after="0" w:afterAutospacing="0" w:line="276" w:lineRule="auto"/>
              <w:ind w:left="0" w:right="0"/>
              <w:jc w:val="center"/>
              <w:rPr>
                <w:rFonts w:hint="eastAsia" w:ascii="宋体" w:hAnsi="宋体" w:eastAsia="宋体" w:cs="宋体"/>
                <w:b/>
                <w:kern w:val="2"/>
                <w:sz w:val="21"/>
                <w:szCs w:val="21"/>
              </w:rPr>
            </w:pPr>
            <w:r>
              <w:rPr>
                <w:rFonts w:hint="eastAsia" w:ascii="宋体" w:hAnsi="宋体" w:eastAsia="宋体" w:cs="宋体"/>
                <w:b/>
                <w:kern w:val="2"/>
                <w:sz w:val="21"/>
                <w:szCs w:val="21"/>
              </w:rPr>
              <w:t>急</w:t>
            </w:r>
          </w:p>
          <w:p>
            <w:pPr>
              <w:pStyle w:val="36"/>
              <w:keepNext w:val="0"/>
              <w:keepLines w:val="0"/>
              <w:widowControl w:val="0"/>
              <w:suppressLineNumbers w:val="0"/>
              <w:spacing w:before="0" w:beforeAutospacing="0" w:after="0" w:afterAutospacing="0" w:line="276" w:lineRule="auto"/>
              <w:ind w:left="0" w:right="0"/>
              <w:jc w:val="center"/>
              <w:rPr>
                <w:rFonts w:hint="eastAsia" w:ascii="宋体" w:hAnsi="宋体" w:eastAsia="宋体" w:cs="宋体"/>
                <w:b/>
                <w:kern w:val="2"/>
                <w:sz w:val="21"/>
                <w:szCs w:val="21"/>
              </w:rPr>
            </w:pPr>
            <w:r>
              <w:rPr>
                <w:rFonts w:hint="eastAsia" w:ascii="宋体" w:hAnsi="宋体" w:eastAsia="宋体" w:cs="宋体"/>
                <w:b/>
                <w:kern w:val="2"/>
                <w:sz w:val="21"/>
                <w:szCs w:val="21"/>
              </w:rPr>
              <w:t>处</w:t>
            </w:r>
          </w:p>
          <w:p>
            <w:pPr>
              <w:pStyle w:val="36"/>
              <w:keepNext w:val="0"/>
              <w:keepLines w:val="0"/>
              <w:widowControl w:val="0"/>
              <w:suppressLineNumbers w:val="0"/>
              <w:spacing w:before="0" w:beforeAutospacing="0" w:after="0" w:afterAutospacing="0" w:line="276" w:lineRule="auto"/>
              <w:ind w:left="0" w:right="0"/>
              <w:jc w:val="center"/>
              <w:rPr>
                <w:rFonts w:hint="eastAsia" w:ascii="宋体" w:hAnsi="宋体" w:eastAsia="宋体" w:cs="宋体"/>
                <w:b/>
                <w:kern w:val="2"/>
                <w:sz w:val="21"/>
                <w:szCs w:val="21"/>
              </w:rPr>
            </w:pPr>
            <w:r>
              <w:rPr>
                <w:rFonts w:hint="eastAsia" w:ascii="宋体" w:hAnsi="宋体" w:eastAsia="宋体" w:cs="宋体"/>
                <w:b/>
                <w:kern w:val="2"/>
                <w:sz w:val="21"/>
                <w:szCs w:val="21"/>
              </w:rPr>
              <w:t>置</w:t>
            </w:r>
          </w:p>
          <w:p>
            <w:pPr>
              <w:pStyle w:val="36"/>
              <w:keepNext w:val="0"/>
              <w:keepLines w:val="0"/>
              <w:widowControl w:val="0"/>
              <w:suppressLineNumbers w:val="0"/>
              <w:spacing w:before="0" w:beforeAutospacing="0" w:after="0" w:afterAutospacing="0" w:line="276" w:lineRule="auto"/>
              <w:ind w:left="0" w:right="0"/>
              <w:jc w:val="center"/>
              <w:rPr>
                <w:rFonts w:hint="eastAsia" w:ascii="宋体" w:hAnsi="宋体" w:eastAsia="宋体" w:cs="宋体"/>
                <w:b/>
                <w:kern w:val="2"/>
                <w:sz w:val="21"/>
                <w:szCs w:val="21"/>
              </w:rPr>
            </w:pPr>
            <w:r>
              <w:rPr>
                <w:rFonts w:hint="eastAsia" w:ascii="宋体" w:hAnsi="宋体" w:eastAsia="宋体" w:cs="宋体"/>
                <w:b/>
                <w:kern w:val="2"/>
                <w:sz w:val="21"/>
                <w:szCs w:val="21"/>
              </w:rPr>
              <w:t>原</w:t>
            </w:r>
          </w:p>
          <w:p>
            <w:pPr>
              <w:pStyle w:val="36"/>
              <w:keepNext w:val="0"/>
              <w:keepLines w:val="0"/>
              <w:widowControl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r>
              <w:rPr>
                <w:rFonts w:hint="eastAsia" w:ascii="宋体" w:hAnsi="宋体" w:eastAsia="宋体" w:cs="宋体"/>
                <w:b/>
                <w:kern w:val="2"/>
                <w:sz w:val="21"/>
                <w:szCs w:val="21"/>
              </w:rPr>
              <w:t>则</w:t>
            </w:r>
          </w:p>
        </w:tc>
        <w:tc>
          <w:tcPr>
            <w:tcW w:w="8246" w:type="dxa"/>
          </w:tcPr>
          <w:p>
            <w:pPr>
              <w:keepNext w:val="0"/>
              <w:keepLines w:val="0"/>
              <w:suppressLineNumbers w:val="0"/>
              <w:spacing w:before="0" w:beforeAutospacing="0" w:after="0" w:afterAutospacing="0" w:line="276" w:lineRule="auto"/>
              <w:ind w:left="0" w:right="0"/>
              <w:rPr>
                <w:rFonts w:hint="eastAsia" w:ascii="宋体" w:hAnsi="宋体" w:eastAsia="宋体" w:cs="宋体"/>
                <w:kern w:val="2"/>
                <w:szCs w:val="21"/>
              </w:rPr>
            </w:pPr>
          </w:p>
          <w:p>
            <w:pPr>
              <w:keepNext w:val="0"/>
              <w:keepLines w:val="0"/>
              <w:suppressLineNumbers w:val="0"/>
              <w:spacing w:before="0" w:beforeAutospacing="0" w:after="0" w:afterAutospacing="0" w:line="276" w:lineRule="auto"/>
              <w:ind w:left="0" w:right="0"/>
              <w:rPr>
                <w:rFonts w:hint="eastAsia" w:ascii="宋体" w:hAnsi="宋体" w:eastAsia="宋体" w:cs="宋体"/>
                <w:b/>
                <w:kern w:val="2"/>
                <w:szCs w:val="21"/>
              </w:rPr>
            </w:pPr>
            <w:r>
              <w:rPr>
                <w:rFonts w:hint="eastAsia" w:ascii="宋体" w:hAnsi="宋体" w:eastAsia="宋体" w:cs="宋体"/>
                <w:kern w:val="2"/>
                <w:szCs w:val="21"/>
              </w:rPr>
              <w:t>【急救措施】</w:t>
            </w:r>
          </w:p>
          <w:p>
            <w:pPr>
              <w:pStyle w:val="13"/>
              <w:keepNext w:val="0"/>
              <w:keepLines w:val="0"/>
              <w:suppressLineNumbers w:val="0"/>
              <w:spacing w:before="0" w:beforeAutospacing="0" w:after="0" w:afterAutospacing="0" w:line="276" w:lineRule="auto"/>
              <w:ind w:left="0" w:right="0" w:firstLine="420" w:firstLineChars="200"/>
              <w:rPr>
                <w:rStyle w:val="37"/>
                <w:rFonts w:hint="eastAsia" w:ascii="宋体" w:hAnsi="宋体" w:eastAsia="宋体" w:cs="宋体"/>
                <w:kern w:val="2"/>
                <w:sz w:val="21"/>
                <w:szCs w:val="21"/>
              </w:rPr>
            </w:pPr>
            <w:r>
              <w:rPr>
                <w:rStyle w:val="37"/>
                <w:rFonts w:hint="eastAsia" w:ascii="宋体" w:hAnsi="宋体" w:eastAsia="宋体" w:cs="宋体"/>
                <w:kern w:val="2"/>
                <w:sz w:val="21"/>
                <w:szCs w:val="21"/>
              </w:rPr>
              <w:t>吸入：迅速脱离现场至空气新鲜处。保持呼吸道通畅。如呼吸困难，给氧。如呼吸停止，立即进行人工呼吸。就医。</w:t>
            </w:r>
          </w:p>
          <w:p>
            <w:pPr>
              <w:pStyle w:val="13"/>
              <w:keepNext w:val="0"/>
              <w:keepLines w:val="0"/>
              <w:suppressLineNumbers w:val="0"/>
              <w:spacing w:before="0" w:beforeAutospacing="0" w:after="0" w:afterAutospacing="0" w:line="276" w:lineRule="auto"/>
              <w:ind w:left="0" w:right="0" w:firstLine="420" w:firstLineChars="200"/>
              <w:rPr>
                <w:rStyle w:val="37"/>
                <w:rFonts w:hint="eastAsia" w:ascii="宋体" w:hAnsi="宋体" w:eastAsia="宋体" w:cs="宋体"/>
                <w:kern w:val="2"/>
                <w:sz w:val="21"/>
                <w:szCs w:val="21"/>
              </w:rPr>
            </w:pPr>
            <w:r>
              <w:rPr>
                <w:rStyle w:val="37"/>
                <w:rFonts w:hint="eastAsia" w:ascii="宋体" w:hAnsi="宋体" w:eastAsia="宋体" w:cs="宋体"/>
                <w:kern w:val="2"/>
                <w:sz w:val="21"/>
                <w:szCs w:val="21"/>
              </w:rPr>
              <w:t>食入：给饮牛奶或用植物油洗胃和灌肠。就医。</w:t>
            </w:r>
          </w:p>
          <w:p>
            <w:pPr>
              <w:pStyle w:val="13"/>
              <w:keepNext w:val="0"/>
              <w:keepLines w:val="0"/>
              <w:suppressLineNumbers w:val="0"/>
              <w:spacing w:before="0" w:beforeAutospacing="0" w:after="0" w:afterAutospacing="0" w:line="276" w:lineRule="auto"/>
              <w:ind w:left="0" w:right="0" w:firstLine="420" w:firstLineChars="200"/>
              <w:rPr>
                <w:rStyle w:val="37"/>
                <w:rFonts w:hint="eastAsia" w:ascii="宋体" w:hAnsi="宋体" w:eastAsia="宋体" w:cs="宋体"/>
                <w:kern w:val="2"/>
                <w:sz w:val="21"/>
                <w:szCs w:val="21"/>
              </w:rPr>
            </w:pPr>
            <w:r>
              <w:rPr>
                <w:rStyle w:val="37"/>
                <w:rFonts w:hint="eastAsia" w:ascii="宋体" w:hAnsi="宋体" w:eastAsia="宋体" w:cs="宋体"/>
                <w:kern w:val="2"/>
                <w:sz w:val="21"/>
                <w:szCs w:val="21"/>
              </w:rPr>
              <w:t>皮肤接触：立即脱去污染的衣着，用肥皂水和清水彻底冲洗皮肤。就医。</w:t>
            </w:r>
          </w:p>
          <w:p>
            <w:pPr>
              <w:pStyle w:val="13"/>
              <w:keepNext w:val="0"/>
              <w:keepLines w:val="0"/>
              <w:suppressLineNumbers w:val="0"/>
              <w:spacing w:before="0" w:beforeAutospacing="0" w:after="0" w:afterAutospacing="0" w:line="276" w:lineRule="auto"/>
              <w:ind w:left="0" w:right="0" w:firstLine="420" w:firstLineChars="200"/>
              <w:rPr>
                <w:rStyle w:val="37"/>
                <w:rFonts w:hint="eastAsia" w:ascii="宋体" w:hAnsi="宋体" w:eastAsia="宋体" w:cs="宋体"/>
                <w:kern w:val="2"/>
                <w:sz w:val="21"/>
                <w:szCs w:val="21"/>
              </w:rPr>
            </w:pPr>
            <w:r>
              <w:rPr>
                <w:rStyle w:val="37"/>
                <w:rFonts w:hint="eastAsia" w:ascii="宋体" w:hAnsi="宋体" w:eastAsia="宋体" w:cs="宋体"/>
                <w:kern w:val="2"/>
                <w:sz w:val="21"/>
                <w:szCs w:val="21"/>
              </w:rPr>
              <w:t>眼睛接触：立即提起眼睑，用大量流动清水或生理盐水彻底冲洗至少15分钟。就医。</w:t>
            </w:r>
          </w:p>
          <w:p>
            <w:pPr>
              <w:keepNext w:val="0"/>
              <w:keepLines w:val="0"/>
              <w:suppressLineNumbers w:val="0"/>
              <w:spacing w:before="0" w:beforeAutospacing="0" w:after="0" w:afterAutospacing="0" w:line="276" w:lineRule="auto"/>
              <w:ind w:left="0" w:right="0"/>
              <w:rPr>
                <w:rFonts w:hint="eastAsia" w:ascii="宋体" w:hAnsi="宋体" w:eastAsia="宋体" w:cs="宋体"/>
                <w:b/>
                <w:kern w:val="2"/>
                <w:szCs w:val="21"/>
              </w:rPr>
            </w:pPr>
            <w:r>
              <w:rPr>
                <w:rFonts w:hint="eastAsia" w:ascii="宋体" w:hAnsi="宋体" w:eastAsia="宋体" w:cs="宋体"/>
                <w:kern w:val="2"/>
                <w:szCs w:val="21"/>
              </w:rPr>
              <w:t>【灭火方法】</w:t>
            </w:r>
          </w:p>
          <w:p>
            <w:pPr>
              <w:pStyle w:val="13"/>
              <w:keepNext w:val="0"/>
              <w:keepLines w:val="0"/>
              <w:suppressLineNumbers w:val="0"/>
              <w:spacing w:before="0" w:beforeAutospacing="0" w:after="0" w:afterAutospacing="0" w:line="276" w:lineRule="auto"/>
              <w:ind w:left="0" w:right="0" w:firstLine="420" w:firstLineChars="200"/>
              <w:rPr>
                <w:rStyle w:val="37"/>
                <w:rFonts w:hint="eastAsia" w:ascii="宋体" w:hAnsi="宋体" w:eastAsia="宋体" w:cs="宋体"/>
                <w:kern w:val="2"/>
                <w:sz w:val="21"/>
                <w:szCs w:val="21"/>
              </w:rPr>
            </w:pPr>
            <w:r>
              <w:rPr>
                <w:rStyle w:val="37"/>
                <w:rFonts w:hint="eastAsia" w:ascii="宋体" w:hAnsi="宋体" w:eastAsia="宋体" w:cs="宋体"/>
                <w:kern w:val="2"/>
                <w:sz w:val="21"/>
                <w:szCs w:val="21"/>
              </w:rPr>
              <w:t>喷水冷却容器，尽可能将容器从火场移至空旷处。</w:t>
            </w:r>
          </w:p>
          <w:p>
            <w:pPr>
              <w:pStyle w:val="13"/>
              <w:keepNext w:val="0"/>
              <w:keepLines w:val="0"/>
              <w:suppressLineNumbers w:val="0"/>
              <w:spacing w:before="0" w:beforeAutospacing="0" w:after="0" w:afterAutospacing="0" w:line="276" w:lineRule="auto"/>
              <w:ind w:left="0" w:right="0" w:firstLine="420" w:firstLineChars="200"/>
              <w:rPr>
                <w:rStyle w:val="37"/>
                <w:rFonts w:hint="eastAsia" w:ascii="宋体" w:hAnsi="宋体" w:eastAsia="宋体" w:cs="宋体"/>
                <w:kern w:val="2"/>
                <w:sz w:val="21"/>
                <w:szCs w:val="21"/>
              </w:rPr>
            </w:pPr>
            <w:r>
              <w:rPr>
                <w:rStyle w:val="37"/>
                <w:rFonts w:hint="eastAsia" w:ascii="宋体" w:hAnsi="宋体" w:eastAsia="宋体" w:cs="宋体"/>
                <w:kern w:val="2"/>
                <w:sz w:val="21"/>
                <w:szCs w:val="21"/>
              </w:rPr>
              <w:t>灭火剂：泡沫、干粉、二氧化碳。用水灭火无效。</w:t>
            </w:r>
          </w:p>
          <w:p>
            <w:pPr>
              <w:keepNext w:val="0"/>
              <w:keepLines w:val="0"/>
              <w:suppressLineNumbers w:val="0"/>
              <w:spacing w:before="0" w:beforeAutospacing="0" w:after="0" w:afterAutospacing="0" w:line="276" w:lineRule="auto"/>
              <w:ind w:left="0" w:right="0"/>
              <w:rPr>
                <w:rFonts w:hint="eastAsia" w:ascii="宋体" w:hAnsi="宋体" w:eastAsia="宋体" w:cs="宋体"/>
                <w:b/>
                <w:kern w:val="2"/>
                <w:szCs w:val="21"/>
              </w:rPr>
            </w:pPr>
            <w:r>
              <w:rPr>
                <w:rFonts w:hint="eastAsia" w:ascii="宋体" w:hAnsi="宋体" w:eastAsia="宋体" w:cs="宋体"/>
                <w:kern w:val="2"/>
                <w:szCs w:val="21"/>
              </w:rPr>
              <w:t>【泄漏应急处置】</w:t>
            </w:r>
          </w:p>
          <w:p>
            <w:pPr>
              <w:pStyle w:val="13"/>
              <w:keepNext w:val="0"/>
              <w:keepLines w:val="0"/>
              <w:suppressLineNumbers w:val="0"/>
              <w:spacing w:before="0" w:beforeAutospacing="0" w:after="0" w:afterAutospacing="0" w:line="276" w:lineRule="auto"/>
              <w:ind w:left="0" w:right="0" w:firstLine="420" w:firstLineChars="200"/>
              <w:rPr>
                <w:rStyle w:val="37"/>
                <w:rFonts w:hint="eastAsia" w:ascii="宋体" w:hAnsi="宋体" w:eastAsia="宋体" w:cs="宋体"/>
                <w:kern w:val="2"/>
                <w:sz w:val="21"/>
                <w:szCs w:val="21"/>
              </w:rPr>
            </w:pPr>
            <w:r>
              <w:rPr>
                <w:rStyle w:val="37"/>
                <w:rFonts w:hint="eastAsia" w:ascii="宋体" w:hAnsi="宋体" w:eastAsia="宋体" w:cs="宋体"/>
                <w:kern w:val="2"/>
                <w:sz w:val="21"/>
                <w:szCs w:val="21"/>
              </w:rPr>
              <w:t>消除所有点火源。根据液体流动和蒸气扩散的影响区域划定警戒区，无关人员从侧风、上风向撤离至安全区。建议应急处理人员戴正压自给式空气呼吸器，穿防毒、防静电服。作业时使用的所有设备应接地。禁止接触或跨越泄漏物。尽可能切断泄漏源。防止泄漏物进入水体、下水道、地下室或密闭性空间。小量泄漏：用砂土或其它不燃材料吸收。使用洁净的无火花工具收集吸收材料。大量泄漏：构筑围堤或挖坑收容。用泡沫覆盖，减少蒸发。喷水雾能减少蒸发，但不能降低泄漏物在受限制空间内的易燃性。用防爆泵转移至槽车或专用收集器内。</w:t>
            </w:r>
          </w:p>
          <w:p>
            <w:pPr>
              <w:pStyle w:val="13"/>
              <w:keepNext w:val="0"/>
              <w:keepLines w:val="0"/>
              <w:suppressLineNumbers w:val="0"/>
              <w:spacing w:before="0" w:beforeAutospacing="0" w:after="0" w:afterAutospacing="0" w:line="276" w:lineRule="auto"/>
              <w:ind w:left="0" w:right="0" w:firstLine="420" w:firstLineChars="200"/>
              <w:rPr>
                <w:rFonts w:hint="eastAsia" w:ascii="宋体" w:hAnsi="宋体" w:eastAsia="宋体" w:cs="宋体"/>
                <w:kern w:val="2"/>
                <w:sz w:val="21"/>
                <w:szCs w:val="21"/>
              </w:rPr>
            </w:pPr>
            <w:r>
              <w:rPr>
                <w:rStyle w:val="37"/>
                <w:rFonts w:hint="eastAsia" w:ascii="宋体" w:hAnsi="宋体" w:eastAsia="宋体" w:cs="宋体"/>
                <w:kern w:val="2"/>
                <w:sz w:val="21"/>
                <w:szCs w:val="21"/>
              </w:rPr>
              <w:t>作为一项紧急预防措施，泄漏隔离距离至少为50m。如果为大量泄漏，下风向的初始疏散距离应至少为300m。</w:t>
            </w:r>
          </w:p>
        </w:tc>
      </w:tr>
    </w:tbl>
    <w:p>
      <w:pPr>
        <w:rPr>
          <w:rFonts w:hint="eastAsia" w:ascii="宋体" w:hAnsi="宋体" w:eastAsia="宋体" w:cs="宋体"/>
        </w:rPr>
      </w:pPr>
    </w:p>
    <w:p>
      <w:pPr>
        <w:rPr>
          <w:rFonts w:hint="eastAsia" w:ascii="宋体" w:hAnsi="宋体" w:eastAsia="宋体" w:cs="宋体"/>
        </w:rPr>
      </w:pPr>
      <w:bookmarkStart w:id="603" w:name="_Toc25957_WPSOffice_Level1"/>
      <w:bookmarkStart w:id="604" w:name="_Toc1622_WPSOffice_Level1"/>
      <w:r>
        <w:rPr>
          <w:rFonts w:hint="eastAsia" w:ascii="宋体" w:hAnsi="宋体" w:eastAsia="宋体" w:cs="宋体"/>
        </w:rPr>
        <w:br w:type="page"/>
      </w:r>
    </w:p>
    <w:p>
      <w:pPr>
        <w:pStyle w:val="2"/>
        <w:spacing w:before="240" w:beforeLines="100" w:after="240" w:afterLines="100"/>
        <w:ind w:firstLine="0"/>
        <w:jc w:val="center"/>
        <w:rPr>
          <w:rFonts w:hint="eastAsia" w:ascii="宋体" w:hAnsi="宋体" w:eastAsia="宋体" w:cs="宋体"/>
        </w:rPr>
      </w:pPr>
      <w:bookmarkStart w:id="605" w:name="_Toc4869"/>
      <w:bookmarkStart w:id="606" w:name="_Toc26543"/>
      <w:bookmarkStart w:id="607" w:name="_Toc2695_WPSOffice_Level1"/>
      <w:bookmarkStart w:id="608" w:name="_Toc7849"/>
      <w:r>
        <w:rPr>
          <w:rFonts w:hint="eastAsia" w:ascii="宋体" w:hAnsi="宋体" w:eastAsia="宋体" w:cs="宋体"/>
        </w:rPr>
        <w:t>9 安全评价结论</w:t>
      </w:r>
      <w:bookmarkEnd w:id="603"/>
      <w:bookmarkEnd w:id="604"/>
      <w:bookmarkEnd w:id="605"/>
      <w:bookmarkEnd w:id="606"/>
      <w:bookmarkEnd w:id="607"/>
      <w:bookmarkEnd w:id="608"/>
    </w:p>
    <w:p>
      <w:pPr>
        <w:pStyle w:val="6"/>
        <w:keepNext w:val="0"/>
        <w:keepLines w:val="0"/>
        <w:pageBreakBefore w:val="0"/>
        <w:widowControl w:val="0"/>
        <w:kinsoku/>
        <w:wordWrap/>
        <w:overflowPunct/>
        <w:topLinePunct w:val="0"/>
        <w:autoSpaceDE w:val="0"/>
        <w:autoSpaceDN w:val="0"/>
        <w:bidi w:val="0"/>
        <w:adjustRightInd/>
        <w:snapToGrid/>
        <w:spacing w:line="560" w:lineRule="exact"/>
        <w:ind w:firstLine="548" w:firstLineChars="200"/>
        <w:jc w:val="both"/>
        <w:textAlignment w:val="auto"/>
        <w:rPr>
          <w:rFonts w:hint="eastAsia" w:ascii="宋体" w:hAnsi="宋体" w:eastAsia="宋体" w:cs="宋体"/>
        </w:rPr>
      </w:pPr>
      <w:r>
        <w:rPr>
          <w:rFonts w:hint="eastAsia" w:ascii="宋体" w:hAnsi="宋体" w:eastAsia="宋体" w:cs="宋体"/>
          <w:spacing w:val="-3"/>
          <w:lang w:val="en-US"/>
        </w:rPr>
        <w:t>1</w:t>
      </w:r>
      <w:r>
        <w:rPr>
          <w:rFonts w:hint="eastAsia" w:ascii="宋体" w:hAnsi="宋体" w:eastAsia="宋体" w:cs="宋体"/>
          <w:spacing w:val="-3"/>
        </w:rPr>
        <w:t>）</w:t>
      </w:r>
      <w:r>
        <w:rPr>
          <w:rFonts w:hint="eastAsia" w:ascii="宋体" w:hAnsi="宋体" w:eastAsia="宋体" w:cs="宋体"/>
          <w:lang w:eastAsia="zh-CN"/>
        </w:rPr>
        <w:t>横坑加油站</w:t>
      </w:r>
      <w:r>
        <w:rPr>
          <w:rFonts w:hint="eastAsia" w:ascii="宋体" w:hAnsi="宋体" w:eastAsia="宋体" w:cs="宋体"/>
        </w:rPr>
        <w:t>与站外建构筑物的安全间距符合要求，与周围环境的</w:t>
      </w:r>
      <w:r>
        <w:rPr>
          <w:rFonts w:hint="eastAsia" w:ascii="宋体" w:hAnsi="宋体" w:eastAsia="宋体" w:cs="宋体"/>
          <w:spacing w:val="-5"/>
        </w:rPr>
        <w:t>相互影响及自然条件对其影响的风险程度在可接受范围内，安全条件符合相关规范、标准要求。</w:t>
      </w:r>
    </w:p>
    <w:p>
      <w:pPr>
        <w:pStyle w:val="6"/>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jc w:val="both"/>
        <w:textAlignment w:val="auto"/>
        <w:rPr>
          <w:rFonts w:hint="eastAsia" w:ascii="宋体" w:hAnsi="宋体" w:eastAsia="宋体" w:cs="宋体"/>
        </w:rPr>
      </w:pPr>
      <w:r>
        <w:rPr>
          <w:rFonts w:hint="eastAsia" w:ascii="宋体" w:hAnsi="宋体" w:eastAsia="宋体" w:cs="宋体"/>
          <w:lang w:val="en-US"/>
        </w:rPr>
        <w:t>2</w:t>
      </w:r>
      <w:r>
        <w:rPr>
          <w:rFonts w:hint="eastAsia" w:ascii="宋体" w:hAnsi="宋体" w:eastAsia="宋体" w:cs="宋体"/>
        </w:rPr>
        <w:t>）</w:t>
      </w:r>
      <w:r>
        <w:rPr>
          <w:rFonts w:hint="eastAsia" w:ascii="宋体" w:hAnsi="宋体" w:eastAsia="宋体" w:cs="宋体"/>
          <w:lang w:eastAsia="zh-CN"/>
        </w:rPr>
        <w:t>横坑加油站</w:t>
      </w:r>
      <w:r>
        <w:rPr>
          <w:rFonts w:hint="eastAsia" w:ascii="宋体" w:hAnsi="宋体" w:eastAsia="宋体" w:cs="宋体"/>
        </w:rPr>
        <w:t>在站址选择、站内平面布置、加油工艺及设施、消防</w:t>
      </w:r>
      <w:r>
        <w:rPr>
          <w:rFonts w:hint="eastAsia" w:ascii="宋体" w:hAnsi="宋体" w:eastAsia="宋体" w:cs="宋体"/>
          <w:spacing w:val="-5"/>
        </w:rPr>
        <w:t>设施及给排水、电气与报警和紧急切断系统、建</w:t>
      </w:r>
      <w:r>
        <w:rPr>
          <w:rFonts w:hint="eastAsia" w:ascii="宋体" w:hAnsi="宋体" w:eastAsia="宋体" w:cs="宋体"/>
          <w:spacing w:val="-3"/>
        </w:rPr>
        <w:t>（</w:t>
      </w:r>
      <w:r>
        <w:rPr>
          <w:rFonts w:hint="eastAsia" w:ascii="宋体" w:hAnsi="宋体" w:eastAsia="宋体" w:cs="宋体"/>
        </w:rPr>
        <w:t>构</w:t>
      </w:r>
      <w:r>
        <w:rPr>
          <w:rFonts w:hint="eastAsia" w:ascii="宋体" w:hAnsi="宋体" w:eastAsia="宋体" w:cs="宋体"/>
          <w:spacing w:val="-15"/>
        </w:rPr>
        <w:t>）</w:t>
      </w:r>
      <w:r>
        <w:rPr>
          <w:rFonts w:hint="eastAsia" w:ascii="宋体" w:hAnsi="宋体" w:eastAsia="宋体" w:cs="宋体"/>
          <w:spacing w:val="-3"/>
        </w:rPr>
        <w:t>筑物、工程施</w:t>
      </w:r>
      <w:r>
        <w:rPr>
          <w:rFonts w:hint="eastAsia" w:ascii="宋体" w:hAnsi="宋体" w:eastAsia="宋体" w:cs="宋体"/>
          <w:spacing w:val="-15"/>
        </w:rPr>
        <w:t>工等方面符合《汽车加油加气站设计与施工规范》</w:t>
      </w:r>
      <w:r>
        <w:rPr>
          <w:rFonts w:hint="eastAsia" w:ascii="宋体" w:hAnsi="宋体" w:eastAsia="宋体" w:cs="宋体"/>
          <w:spacing w:val="-7"/>
        </w:rPr>
        <w:t>GB50156-2012（2014</w:t>
      </w:r>
      <w:r>
        <w:rPr>
          <w:rFonts w:hint="eastAsia" w:ascii="宋体" w:hAnsi="宋体" w:eastAsia="宋体" w:cs="宋体"/>
          <w:spacing w:val="-16"/>
        </w:rPr>
        <w:t xml:space="preserve"> 年版</w:t>
      </w:r>
      <w:r>
        <w:rPr>
          <w:rFonts w:hint="eastAsia" w:ascii="宋体" w:hAnsi="宋体" w:eastAsia="宋体" w:cs="宋体"/>
        </w:rPr>
        <w:t>）</w:t>
      </w:r>
      <w:r>
        <w:rPr>
          <w:rFonts w:hint="eastAsia" w:ascii="宋体" w:hAnsi="宋体" w:eastAsia="宋体" w:cs="宋体"/>
          <w:spacing w:val="-1"/>
        </w:rPr>
        <w:t>的要求。</w:t>
      </w:r>
    </w:p>
    <w:p>
      <w:pPr>
        <w:pStyle w:val="6"/>
        <w:keepNext w:val="0"/>
        <w:keepLines w:val="0"/>
        <w:pageBreakBefore w:val="0"/>
        <w:widowControl w:val="0"/>
        <w:kinsoku/>
        <w:wordWrap/>
        <w:overflowPunct/>
        <w:topLinePunct w:val="0"/>
        <w:autoSpaceDE w:val="0"/>
        <w:autoSpaceDN w:val="0"/>
        <w:bidi w:val="0"/>
        <w:adjustRightInd/>
        <w:snapToGrid/>
        <w:spacing w:line="560" w:lineRule="exact"/>
        <w:ind w:firstLine="528" w:firstLineChars="200"/>
        <w:jc w:val="both"/>
        <w:textAlignment w:val="auto"/>
        <w:rPr>
          <w:rFonts w:hint="eastAsia" w:ascii="宋体" w:hAnsi="宋体" w:eastAsia="宋体" w:cs="宋体"/>
        </w:rPr>
      </w:pPr>
      <w:r>
        <w:rPr>
          <w:rFonts w:hint="eastAsia" w:ascii="宋体" w:hAnsi="宋体" w:eastAsia="宋体" w:cs="宋体"/>
          <w:spacing w:val="-8"/>
          <w:lang w:val="en-US"/>
        </w:rPr>
        <w:t>3</w:t>
      </w:r>
      <w:r>
        <w:rPr>
          <w:rFonts w:hint="eastAsia" w:ascii="宋体" w:hAnsi="宋体" w:eastAsia="宋体" w:cs="宋体"/>
          <w:spacing w:val="-8"/>
        </w:rPr>
        <w:t>）</w:t>
      </w:r>
      <w:r>
        <w:rPr>
          <w:rFonts w:hint="eastAsia" w:ascii="宋体" w:hAnsi="宋体" w:eastAsia="宋体" w:cs="宋体"/>
          <w:spacing w:val="-3"/>
          <w:lang w:eastAsia="zh-CN"/>
        </w:rPr>
        <w:t>横坑加油站</w:t>
      </w:r>
      <w:r>
        <w:rPr>
          <w:rFonts w:hint="eastAsia" w:ascii="宋体" w:hAnsi="宋体" w:eastAsia="宋体" w:cs="宋体"/>
          <w:spacing w:val="-3"/>
        </w:rPr>
        <w:t>主要经营品种有汽油和柴油[闭杯闪点</w:t>
      </w:r>
      <w:r>
        <w:rPr>
          <w:rFonts w:hint="eastAsia" w:ascii="宋体" w:hAnsi="宋体" w:eastAsia="宋体" w:cs="宋体"/>
          <w:spacing w:val="-7"/>
        </w:rPr>
        <w:t>≤60</w:t>
      </w:r>
      <w:r>
        <w:rPr>
          <w:rFonts w:hint="eastAsia" w:ascii="宋体" w:hAnsi="宋体" w:eastAsia="宋体" w:cs="宋体"/>
          <w:spacing w:val="-5"/>
        </w:rPr>
        <w:t>℃]，储存</w:t>
      </w:r>
      <w:r>
        <w:rPr>
          <w:rFonts w:hint="eastAsia" w:ascii="宋体" w:hAnsi="宋体" w:eastAsia="宋体" w:cs="宋体"/>
          <w:spacing w:val="-9"/>
        </w:rPr>
        <w:t>方式采用卧式埋地双层储罐，总容积（柴油罐折半算入油罐总容积）为</w:t>
      </w:r>
      <w:r>
        <w:rPr>
          <w:rFonts w:hint="eastAsia" w:ascii="宋体" w:hAnsi="宋体" w:eastAsia="宋体" w:cs="宋体"/>
          <w:spacing w:val="-9"/>
          <w:lang w:val="en-US" w:eastAsia="zh-CN"/>
        </w:rPr>
        <w:t>120</w:t>
      </w:r>
      <w:r>
        <w:rPr>
          <w:rFonts w:hint="eastAsia" w:ascii="宋体" w:hAnsi="宋体" w:eastAsia="宋体" w:cs="宋体"/>
          <w:spacing w:val="-4"/>
        </w:rPr>
        <w:t>m</w:t>
      </w:r>
      <w:r>
        <w:rPr>
          <w:rFonts w:hint="eastAsia" w:ascii="宋体" w:hAnsi="宋体" w:eastAsia="宋体" w:cs="宋体"/>
          <w:spacing w:val="-4"/>
          <w:position w:val="14"/>
          <w:sz w:val="14"/>
        </w:rPr>
        <w:t>3</w:t>
      </w:r>
      <w:r>
        <w:rPr>
          <w:rFonts w:hint="eastAsia" w:ascii="宋体" w:hAnsi="宋体" w:eastAsia="宋体" w:cs="宋体"/>
          <w:spacing w:val="-6"/>
        </w:rPr>
        <w:t>，属</w:t>
      </w:r>
      <w:r>
        <w:rPr>
          <w:rFonts w:hint="eastAsia" w:ascii="宋体" w:hAnsi="宋体" w:eastAsia="宋体" w:cs="宋体"/>
          <w:spacing w:val="-6"/>
          <w:lang w:eastAsia="zh-CN"/>
        </w:rPr>
        <w:t>二</w:t>
      </w:r>
      <w:r>
        <w:rPr>
          <w:rFonts w:hint="eastAsia" w:ascii="宋体" w:hAnsi="宋体" w:eastAsia="宋体" w:cs="宋体"/>
          <w:spacing w:val="-6"/>
        </w:rPr>
        <w:t>级加油站。其经营、储存</w:t>
      </w:r>
      <w:r>
        <w:rPr>
          <w:rFonts w:hint="eastAsia" w:ascii="宋体" w:hAnsi="宋体" w:eastAsia="宋体" w:cs="宋体"/>
        </w:rPr>
        <w:t>过程中的危险有害因素为火灾、爆炸、中毒和窒息、车辆伤害、触电、高处坠落</w:t>
      </w:r>
      <w:r>
        <w:rPr>
          <w:rFonts w:hint="eastAsia" w:ascii="宋体" w:hAnsi="宋体" w:eastAsia="宋体" w:cs="宋体"/>
          <w:spacing w:val="-8"/>
        </w:rPr>
        <w:t>、</w:t>
      </w:r>
      <w:r>
        <w:rPr>
          <w:rFonts w:hint="eastAsia" w:ascii="宋体" w:hAnsi="宋体" w:eastAsia="宋体" w:cs="宋体"/>
          <w:spacing w:val="-7"/>
          <w:lang w:eastAsia="zh-CN"/>
        </w:rPr>
        <w:t>物体打击、坍塌、</w:t>
      </w:r>
      <w:r>
        <w:rPr>
          <w:rFonts w:hint="eastAsia" w:ascii="宋体" w:hAnsi="宋体" w:eastAsia="宋体" w:cs="宋体"/>
          <w:spacing w:val="-8"/>
        </w:rPr>
        <w:t>其他危害等，其中火灾、爆炸为该油站最主要的危险有害</w:t>
      </w:r>
      <w:r>
        <w:rPr>
          <w:rFonts w:hint="eastAsia" w:ascii="宋体" w:hAnsi="宋体" w:eastAsia="宋体" w:cs="宋体"/>
          <w:spacing w:val="-1"/>
        </w:rPr>
        <w:t>因素。</w:t>
      </w:r>
    </w:p>
    <w:p>
      <w:pPr>
        <w:pStyle w:val="6"/>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jc w:val="both"/>
        <w:textAlignment w:val="auto"/>
        <w:rPr>
          <w:rFonts w:hint="eastAsia" w:ascii="宋体" w:hAnsi="宋体" w:eastAsia="宋体" w:cs="宋体"/>
          <w:spacing w:val="-8"/>
        </w:rPr>
      </w:pPr>
      <w:r>
        <w:rPr>
          <w:rFonts w:hint="eastAsia" w:ascii="宋体" w:hAnsi="宋体" w:eastAsia="宋体" w:cs="宋体"/>
          <w:lang w:val="en-US"/>
        </w:rPr>
        <w:t>4</w:t>
      </w:r>
      <w:r>
        <w:rPr>
          <w:rFonts w:hint="eastAsia" w:ascii="宋体" w:hAnsi="宋体" w:eastAsia="宋体" w:cs="宋体"/>
        </w:rPr>
        <w:t>）依据《危险化学品重大危险源辨识》（GB18218-2018），</w:t>
      </w:r>
      <w:r>
        <w:rPr>
          <w:rFonts w:hint="eastAsia" w:ascii="宋体" w:hAnsi="宋体" w:eastAsia="宋体" w:cs="宋体"/>
          <w:spacing w:val="-20"/>
        </w:rPr>
        <w:t>对油站进行辨识，</w:t>
      </w:r>
      <w:r>
        <w:rPr>
          <w:rFonts w:hint="eastAsia" w:ascii="宋体" w:hAnsi="宋体" w:eastAsia="宋体" w:cs="宋体"/>
          <w:spacing w:val="-20"/>
          <w:lang w:eastAsia="zh-CN"/>
        </w:rPr>
        <w:t>横坑加油站</w:t>
      </w:r>
      <w:r>
        <w:rPr>
          <w:rFonts w:hint="eastAsia" w:ascii="宋体" w:hAnsi="宋体" w:eastAsia="宋体" w:cs="宋体"/>
          <w:spacing w:val="-20"/>
        </w:rPr>
        <w:t>危险化学品的数量未构成重大危险源，</w:t>
      </w:r>
      <w:r>
        <w:rPr>
          <w:rFonts w:hint="eastAsia" w:ascii="宋体" w:hAnsi="宋体" w:eastAsia="宋体" w:cs="宋体"/>
        </w:rPr>
        <w:t>根据《广东省安全生产监督管理局关于做好危险化学品和烟花爆竹领域风险点危险源排查管控工作的通知》（粤安监〔2016〕121号）进行辨识，</w:t>
      </w:r>
      <w:r>
        <w:rPr>
          <w:rFonts w:hint="eastAsia" w:ascii="宋体" w:hAnsi="宋体" w:eastAsia="宋体" w:cs="宋体"/>
          <w:lang w:eastAsia="zh-CN"/>
        </w:rPr>
        <w:t>横坑加油站</w:t>
      </w:r>
      <w:r>
        <w:rPr>
          <w:rFonts w:hint="eastAsia" w:ascii="宋体" w:hAnsi="宋体" w:eastAsia="宋体" w:cs="宋体"/>
        </w:rPr>
        <w:t>风险等级为蓝色</w:t>
      </w:r>
      <w:r>
        <w:rPr>
          <w:rFonts w:hint="eastAsia" w:ascii="宋体" w:hAnsi="宋体" w:eastAsia="宋体" w:cs="宋体"/>
          <w:spacing w:val="-8"/>
        </w:rPr>
        <w:t>等级。</w:t>
      </w:r>
    </w:p>
    <w:p>
      <w:pPr>
        <w:pStyle w:val="6"/>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jc w:val="both"/>
        <w:textAlignment w:val="auto"/>
        <w:rPr>
          <w:rFonts w:hint="eastAsia" w:ascii="宋体" w:hAnsi="宋体" w:eastAsia="宋体" w:cs="宋体"/>
        </w:rPr>
      </w:pPr>
      <w:r>
        <w:rPr>
          <w:rFonts w:hint="eastAsia" w:ascii="宋体" w:hAnsi="宋体" w:eastAsia="宋体" w:cs="宋体"/>
          <w:lang w:val="en-US"/>
        </w:rPr>
        <w:t>5）</w:t>
      </w:r>
      <w:r>
        <w:rPr>
          <w:rFonts w:hint="eastAsia" w:ascii="宋体" w:hAnsi="宋体" w:eastAsia="宋体" w:cs="宋体"/>
        </w:rPr>
        <w:t>根据《化工和危险化学品生产经营单位重大生产安全事故隐患判定标准（试行）》（安监总管三〔2017〕121号），该加油站不存在化工和危险化学品生产经营单位重大生产安全事故隐患。</w:t>
      </w:r>
    </w:p>
    <w:p>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jc w:val="both"/>
        <w:textAlignment w:val="auto"/>
        <w:rPr>
          <w:rFonts w:hint="eastAsia" w:ascii="宋体" w:hAnsi="宋体" w:eastAsia="宋体" w:cs="宋体"/>
          <w:sz w:val="28"/>
          <w:szCs w:val="28"/>
          <w:lang w:eastAsia="zh-CN"/>
        </w:rPr>
      </w:pPr>
      <w:r>
        <w:rPr>
          <w:rFonts w:hint="eastAsia" w:ascii="宋体" w:hAnsi="宋体" w:eastAsia="宋体" w:cs="宋体"/>
          <w:sz w:val="28"/>
          <w:szCs w:val="28"/>
        </w:rPr>
        <w:t>6）</w:t>
      </w:r>
      <w:r>
        <w:rPr>
          <w:rFonts w:hint="eastAsia" w:ascii="宋体" w:hAnsi="宋体" w:eastAsia="宋体" w:cs="宋体"/>
          <w:color w:val="auto"/>
          <w:sz w:val="28"/>
          <w:szCs w:val="28"/>
          <w:lang w:val="en-US" w:eastAsia="zh-CN"/>
        </w:rPr>
        <w:t>横坑</w:t>
      </w:r>
      <w:r>
        <w:rPr>
          <w:rFonts w:hint="eastAsia" w:ascii="宋体" w:hAnsi="宋体" w:eastAsia="宋体" w:cs="宋体"/>
          <w:color w:val="auto"/>
          <w:sz w:val="28"/>
          <w:szCs w:val="28"/>
        </w:rPr>
        <w:t>加油站储罐区汽油罐的火灾爆炸危险指数为96，火灾爆炸危险等级为“较轻”，暴露半径为24.6m，暴露区域面积为1900m</w:t>
      </w:r>
      <w:r>
        <w:rPr>
          <w:rFonts w:hint="eastAsia" w:ascii="宋体" w:hAnsi="宋体" w:eastAsia="宋体" w:cs="宋体"/>
          <w:color w:val="auto"/>
          <w:sz w:val="28"/>
          <w:szCs w:val="28"/>
          <w:vertAlign w:val="superscript"/>
        </w:rPr>
        <w:t>2</w:t>
      </w:r>
      <w:r>
        <w:rPr>
          <w:rFonts w:hint="eastAsia" w:ascii="宋体" w:hAnsi="宋体" w:eastAsia="宋体" w:cs="宋体"/>
          <w:color w:val="auto"/>
          <w:sz w:val="28"/>
          <w:szCs w:val="28"/>
        </w:rPr>
        <w:t>，一旦发生事故，暴露半径和暴露区域面积内68%的财产将可能受到破坏。经采用安全措施补偿后</w:t>
      </w:r>
      <w:r>
        <w:rPr>
          <w:rFonts w:hint="eastAsia" w:ascii="宋体" w:hAnsi="宋体" w:eastAsia="宋体" w:cs="宋体"/>
          <w:color w:val="auto"/>
          <w:sz w:val="28"/>
          <w:szCs w:val="28"/>
          <w:lang w:eastAsia="zh-CN"/>
        </w:rPr>
        <w:t>，安全措施补偿系数为</w:t>
      </w:r>
      <w:r>
        <w:rPr>
          <w:rFonts w:hint="eastAsia" w:ascii="宋体" w:hAnsi="宋体" w:eastAsia="宋体" w:cs="宋体"/>
          <w:color w:val="auto"/>
          <w:sz w:val="28"/>
          <w:szCs w:val="28"/>
          <w:lang w:val="en-US" w:eastAsia="zh-CN"/>
        </w:rPr>
        <w:t>0.75</w:t>
      </w:r>
      <w:r>
        <w:rPr>
          <w:rFonts w:hint="eastAsia" w:ascii="宋体" w:hAnsi="宋体" w:eastAsia="宋体" w:cs="宋体"/>
          <w:color w:val="auto"/>
          <w:sz w:val="28"/>
          <w:szCs w:val="28"/>
        </w:rPr>
        <w:t>，火灾爆炸危险指数降为72，</w:t>
      </w:r>
      <w:r>
        <w:rPr>
          <w:rFonts w:hint="eastAsia" w:ascii="宋体" w:hAnsi="宋体" w:eastAsia="宋体" w:cs="宋体"/>
          <w:color w:val="auto"/>
          <w:sz w:val="28"/>
          <w:szCs w:val="28"/>
          <w:lang w:val="en-US" w:eastAsia="zh-CN"/>
        </w:rPr>
        <w:t>暴露半径缩小为18.43m,</w:t>
      </w:r>
      <w:r>
        <w:rPr>
          <w:rFonts w:hint="eastAsia" w:ascii="宋体" w:hAnsi="宋体" w:eastAsia="宋体" w:cs="宋体"/>
          <w:color w:val="auto"/>
          <w:sz w:val="28"/>
          <w:szCs w:val="28"/>
          <w:lang w:eastAsia="zh-CN"/>
        </w:rPr>
        <w:t>暴露半径和暴露区域面积内的财产损失从</w:t>
      </w:r>
      <w:r>
        <w:rPr>
          <w:rFonts w:hint="eastAsia" w:ascii="宋体" w:hAnsi="宋体" w:eastAsia="宋体" w:cs="宋体"/>
          <w:color w:val="auto"/>
          <w:sz w:val="28"/>
          <w:szCs w:val="28"/>
        </w:rPr>
        <w:t>68%降低</w:t>
      </w:r>
      <w:r>
        <w:rPr>
          <w:rFonts w:hint="eastAsia" w:ascii="宋体" w:hAnsi="宋体" w:eastAsia="宋体" w:cs="宋体"/>
          <w:color w:val="auto"/>
          <w:sz w:val="28"/>
          <w:szCs w:val="28"/>
          <w:lang w:eastAsia="zh-CN"/>
        </w:rPr>
        <w:t>到</w:t>
      </w:r>
      <w:r>
        <w:rPr>
          <w:rFonts w:hint="eastAsia" w:ascii="宋体" w:hAnsi="宋体" w:eastAsia="宋体" w:cs="宋体"/>
          <w:color w:val="auto"/>
          <w:sz w:val="28"/>
          <w:szCs w:val="28"/>
        </w:rPr>
        <w:t>51%。即油罐区一旦发生火灾、爆炸事故，通过安全措施，一定程度上提高了加油站的安全度，降低了发生火灾爆炸的危险性和减少发生事故所造成的财产损失</w:t>
      </w:r>
      <w:r>
        <w:rPr>
          <w:rFonts w:hint="eastAsia" w:ascii="宋体" w:hAnsi="宋体" w:eastAsia="宋体" w:cs="宋体"/>
          <w:color w:val="auto"/>
          <w:sz w:val="28"/>
          <w:szCs w:val="28"/>
          <w:lang w:eastAsia="zh-CN"/>
        </w:rPr>
        <w:t>。</w:t>
      </w:r>
    </w:p>
    <w:p>
      <w:pPr>
        <w:pStyle w:val="6"/>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jc w:val="both"/>
        <w:textAlignment w:val="auto"/>
        <w:rPr>
          <w:rFonts w:hint="eastAsia" w:ascii="宋体" w:hAnsi="宋体" w:eastAsia="宋体" w:cs="宋体"/>
        </w:rPr>
      </w:pPr>
      <w:r>
        <w:rPr>
          <w:rFonts w:hint="eastAsia" w:ascii="宋体" w:hAnsi="宋体" w:eastAsia="宋体" w:cs="宋体"/>
          <w:lang w:val="en-US"/>
        </w:rPr>
        <w:t>7</w:t>
      </w:r>
      <w:r>
        <w:rPr>
          <w:rFonts w:hint="eastAsia" w:ascii="宋体" w:hAnsi="宋体" w:eastAsia="宋体" w:cs="宋体"/>
        </w:rPr>
        <w:t>）</w:t>
      </w:r>
      <w:r>
        <w:rPr>
          <w:rFonts w:hint="eastAsia" w:ascii="宋体" w:hAnsi="宋体" w:eastAsia="宋体" w:cs="宋体"/>
          <w:lang w:eastAsia="zh-CN"/>
        </w:rPr>
        <w:t>横坑加油站</w:t>
      </w:r>
      <w:r>
        <w:rPr>
          <w:rFonts w:hint="eastAsia" w:ascii="宋体" w:hAnsi="宋体" w:eastAsia="宋体" w:cs="宋体"/>
        </w:rPr>
        <w:t>的安全设施设计符合国家标准、行业标准以及省规定</w:t>
      </w:r>
      <w:r>
        <w:rPr>
          <w:rFonts w:hint="eastAsia" w:ascii="宋体" w:hAnsi="宋体" w:eastAsia="宋体" w:cs="宋体"/>
          <w:spacing w:val="-8"/>
        </w:rPr>
        <w:t>的安全生产标准和技术规范，该油站对提出的安全设施进行采纳并落实到位，且其施工符合设计要求，并经检测、调试正</w:t>
      </w:r>
      <w:r>
        <w:rPr>
          <w:rFonts w:hint="eastAsia" w:ascii="宋体" w:hAnsi="宋体" w:eastAsia="宋体" w:cs="宋体"/>
          <w:spacing w:val="-3"/>
        </w:rPr>
        <w:t>常，随时可投入使用。</w:t>
      </w:r>
    </w:p>
    <w:p>
      <w:pPr>
        <w:pStyle w:val="6"/>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jc w:val="both"/>
        <w:textAlignment w:val="auto"/>
        <w:rPr>
          <w:rFonts w:hint="eastAsia" w:ascii="宋体" w:hAnsi="宋体" w:eastAsia="宋体" w:cs="宋体"/>
        </w:rPr>
      </w:pPr>
      <w:r>
        <w:rPr>
          <w:rFonts w:hint="eastAsia" w:ascii="宋体" w:hAnsi="宋体" w:eastAsia="宋体" w:cs="宋体"/>
          <w:lang w:val="en-US"/>
        </w:rPr>
        <w:t>8</w:t>
      </w:r>
      <w:r>
        <w:rPr>
          <w:rFonts w:hint="eastAsia" w:ascii="宋体" w:hAnsi="宋体" w:eastAsia="宋体" w:cs="宋体"/>
        </w:rPr>
        <w:t>）</w:t>
      </w:r>
      <w:r>
        <w:rPr>
          <w:rFonts w:hint="eastAsia" w:ascii="宋体" w:hAnsi="宋体" w:eastAsia="宋体" w:cs="宋体"/>
          <w:lang w:eastAsia="zh-CN"/>
        </w:rPr>
        <w:t>横坑加油站</w:t>
      </w:r>
      <w:r>
        <w:rPr>
          <w:rFonts w:hint="eastAsia" w:ascii="宋体" w:hAnsi="宋体" w:eastAsia="宋体" w:cs="宋体"/>
        </w:rPr>
        <w:t>改建项目的工程竣工经设计单位、建设单位及施工单</w:t>
      </w:r>
      <w:r>
        <w:rPr>
          <w:rFonts w:hint="eastAsia" w:ascii="宋体" w:hAnsi="宋体" w:eastAsia="宋体" w:cs="宋体"/>
          <w:spacing w:val="-3"/>
        </w:rPr>
        <w:t>位三方验收合格。</w:t>
      </w:r>
    </w:p>
    <w:p>
      <w:pPr>
        <w:pStyle w:val="6"/>
        <w:keepNext w:val="0"/>
        <w:keepLines w:val="0"/>
        <w:pageBreakBefore w:val="0"/>
        <w:widowControl w:val="0"/>
        <w:kinsoku/>
        <w:wordWrap/>
        <w:overflowPunct/>
        <w:topLinePunct w:val="0"/>
        <w:autoSpaceDE w:val="0"/>
        <w:autoSpaceDN w:val="0"/>
        <w:bidi w:val="0"/>
        <w:adjustRightInd/>
        <w:snapToGrid/>
        <w:spacing w:line="560" w:lineRule="exact"/>
        <w:ind w:firstLine="552" w:firstLineChars="200"/>
        <w:jc w:val="both"/>
        <w:textAlignment w:val="auto"/>
        <w:rPr>
          <w:rFonts w:hint="eastAsia" w:ascii="宋体" w:hAnsi="宋体" w:eastAsia="宋体" w:cs="宋体"/>
        </w:rPr>
      </w:pPr>
      <w:r>
        <w:rPr>
          <w:rFonts w:hint="eastAsia" w:ascii="宋体" w:hAnsi="宋体" w:eastAsia="宋体" w:cs="宋体"/>
          <w:spacing w:val="-2"/>
          <w:lang w:val="en-US"/>
        </w:rPr>
        <w:t>9</w:t>
      </w:r>
      <w:r>
        <w:rPr>
          <w:rFonts w:hint="eastAsia" w:ascii="宋体" w:hAnsi="宋体" w:eastAsia="宋体" w:cs="宋体"/>
          <w:spacing w:val="-2"/>
        </w:rPr>
        <w:t>）</w:t>
      </w:r>
      <w:r>
        <w:rPr>
          <w:rFonts w:hint="eastAsia" w:ascii="宋体" w:hAnsi="宋体" w:eastAsia="宋体" w:cs="宋体"/>
          <w:spacing w:val="-2"/>
          <w:lang w:eastAsia="zh-CN"/>
        </w:rPr>
        <w:t>横坑加油站</w:t>
      </w:r>
      <w:r>
        <w:rPr>
          <w:rFonts w:hint="eastAsia" w:ascii="宋体" w:hAnsi="宋体" w:eastAsia="宋体" w:cs="宋体"/>
          <w:spacing w:val="-2"/>
        </w:rPr>
        <w:t>配备了主要负责人</w:t>
      </w:r>
      <w:r>
        <w:rPr>
          <w:rFonts w:hint="eastAsia" w:ascii="宋体" w:hAnsi="宋体" w:eastAsia="宋体" w:cs="宋体"/>
          <w:spacing w:val="-2"/>
          <w:lang w:val="en-US"/>
        </w:rPr>
        <w:t>1人，</w:t>
      </w:r>
      <w:r>
        <w:rPr>
          <w:rFonts w:hint="eastAsia" w:ascii="宋体" w:hAnsi="宋体" w:eastAsia="宋体" w:cs="宋体"/>
          <w:spacing w:val="-2"/>
        </w:rPr>
        <w:t>专</w:t>
      </w:r>
      <w:r>
        <w:rPr>
          <w:rFonts w:hint="eastAsia" w:ascii="宋体" w:hAnsi="宋体" w:eastAsia="宋体" w:cs="宋体"/>
          <w:spacing w:val="-6"/>
        </w:rPr>
        <w:t>职安全管理人员</w:t>
      </w:r>
      <w:r>
        <w:rPr>
          <w:rFonts w:hint="eastAsia" w:ascii="宋体" w:hAnsi="宋体" w:eastAsia="宋体" w:cs="宋体"/>
          <w:spacing w:val="-6"/>
          <w:lang w:val="en-US"/>
        </w:rPr>
        <w:t>2</w:t>
      </w:r>
      <w:r>
        <w:rPr>
          <w:rFonts w:hint="eastAsia" w:ascii="宋体" w:hAnsi="宋体" w:eastAsia="宋体" w:cs="宋体"/>
          <w:spacing w:val="-6"/>
        </w:rPr>
        <w:t>人，加油站的负责人</w:t>
      </w:r>
      <w:r>
        <w:rPr>
          <w:rFonts w:hint="eastAsia" w:ascii="宋体" w:hAnsi="宋体" w:eastAsia="宋体" w:cs="宋体"/>
        </w:rPr>
        <w:t>和安全管理人员经培训考核合格，取得有关部门核发的上岗资格证书。</w:t>
      </w:r>
    </w:p>
    <w:p>
      <w:pPr>
        <w:pStyle w:val="6"/>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jc w:val="both"/>
        <w:textAlignment w:val="auto"/>
        <w:rPr>
          <w:rFonts w:hint="eastAsia" w:ascii="宋体" w:hAnsi="宋体" w:eastAsia="宋体" w:cs="宋体"/>
          <w:spacing w:val="-3"/>
        </w:rPr>
      </w:pPr>
      <w:r>
        <w:rPr>
          <w:rFonts w:hint="eastAsia" w:ascii="宋体" w:hAnsi="宋体" w:eastAsia="宋体" w:cs="宋体"/>
          <w:lang w:val="en-US"/>
        </w:rPr>
        <w:t>10</w:t>
      </w:r>
      <w:r>
        <w:rPr>
          <w:rFonts w:hint="eastAsia" w:ascii="宋体" w:hAnsi="宋体" w:eastAsia="宋体" w:cs="宋体"/>
        </w:rPr>
        <w:t>）</w:t>
      </w:r>
      <w:r>
        <w:rPr>
          <w:rFonts w:hint="eastAsia" w:ascii="宋体" w:hAnsi="宋体" w:eastAsia="宋体" w:cs="宋体"/>
          <w:spacing w:val="-3"/>
          <w:lang w:eastAsia="zh-CN"/>
        </w:rPr>
        <w:t>横坑加油站</w:t>
      </w:r>
      <w:r>
        <w:rPr>
          <w:rFonts w:hint="eastAsia" w:ascii="宋体" w:hAnsi="宋体" w:eastAsia="宋体" w:cs="宋体"/>
          <w:spacing w:val="-3"/>
        </w:rPr>
        <w:t>在安全生产管理、应急处置方面符合相关法律法规的要求。</w:t>
      </w:r>
    </w:p>
    <w:p>
      <w:pPr>
        <w:pStyle w:val="6"/>
        <w:keepNext w:val="0"/>
        <w:keepLines w:val="0"/>
        <w:pageBreakBefore w:val="0"/>
        <w:widowControl w:val="0"/>
        <w:kinsoku/>
        <w:wordWrap/>
        <w:overflowPunct/>
        <w:topLinePunct w:val="0"/>
        <w:autoSpaceDE w:val="0"/>
        <w:autoSpaceDN w:val="0"/>
        <w:bidi w:val="0"/>
        <w:adjustRightInd/>
        <w:snapToGrid/>
        <w:spacing w:line="560" w:lineRule="exact"/>
        <w:ind w:firstLine="562" w:firstLineChars="200"/>
        <w:jc w:val="both"/>
        <w:textAlignment w:val="auto"/>
        <w:rPr>
          <w:rFonts w:hint="eastAsia" w:ascii="宋体" w:hAnsi="宋体" w:eastAsia="宋体" w:cs="宋体"/>
          <w:b/>
          <w:lang w:eastAsia="zh-CN"/>
        </w:rPr>
      </w:pPr>
      <w:r>
        <w:rPr>
          <w:rFonts w:hint="eastAsia" w:ascii="宋体" w:hAnsi="宋体" w:eastAsia="宋体" w:cs="宋体"/>
          <w:b/>
        </w:rPr>
        <w:t>总体评价结论：</w:t>
      </w:r>
      <w:r>
        <w:rPr>
          <w:rFonts w:hint="eastAsia" w:ascii="宋体" w:hAnsi="宋体" w:eastAsia="宋体" w:cs="宋体"/>
          <w:b/>
          <w:lang w:eastAsia="zh-CN"/>
        </w:rPr>
        <w:t>中国石化销售股份有限公司广东东莞寮步横坑加油站</w:t>
      </w:r>
      <w:r>
        <w:rPr>
          <w:rFonts w:hint="eastAsia" w:ascii="宋体" w:hAnsi="宋体" w:eastAsia="宋体" w:cs="宋体"/>
          <w:b/>
        </w:rPr>
        <w:t>改建项目的安全</w:t>
      </w:r>
      <w:r>
        <w:rPr>
          <w:rFonts w:hint="eastAsia" w:ascii="宋体" w:hAnsi="宋体" w:eastAsia="宋体" w:cs="宋体"/>
          <w:b/>
          <w:spacing w:val="-7"/>
        </w:rPr>
        <w:t>设施能与主体工程同时设计、同时施工、同时投入生产和使</w:t>
      </w:r>
      <w:r>
        <w:rPr>
          <w:rFonts w:hint="eastAsia" w:ascii="宋体" w:hAnsi="宋体" w:eastAsia="宋体" w:cs="宋体"/>
          <w:b/>
          <w:lang w:eastAsia="zh-CN"/>
        </w:rPr>
        <w:t>用，与之配套的安全设施符合国家有关安全生产的法律法规和标准规范，具备安全设施竣工验收的安全条件。同时，对该加油站的现状通过分析评价，其安全条件和安全生产条件符合国家有关安全生产法律、法规和技术标准的要求，具备申领危险化学品经营许可的安全条件。</w:t>
      </w:r>
    </w:p>
    <w:p>
      <w:pPr>
        <w:pStyle w:val="6"/>
        <w:spacing w:line="500" w:lineRule="atLeast"/>
        <w:ind w:firstLine="562" w:firstLineChars="200"/>
        <w:rPr>
          <w:rFonts w:hint="eastAsia" w:ascii="宋体" w:hAnsi="宋体" w:eastAsia="宋体" w:cs="宋体"/>
          <w:b/>
          <w:lang w:eastAsia="zh-CN"/>
        </w:rPr>
        <w:sectPr>
          <w:pgSz w:w="11910" w:h="16840"/>
          <w:pgMar w:top="1417" w:right="1134" w:bottom="1134" w:left="1587" w:header="720" w:footer="720" w:gutter="0"/>
          <w:pgNumType w:fmt="decimal"/>
          <w:cols w:space="0" w:num="1"/>
        </w:sectPr>
      </w:pPr>
    </w:p>
    <w:p>
      <w:pPr>
        <w:pStyle w:val="2"/>
        <w:jc w:val="center"/>
        <w:rPr>
          <w:rFonts w:hint="eastAsia" w:ascii="宋体" w:hAnsi="宋体" w:eastAsia="宋体" w:cs="宋体"/>
        </w:rPr>
      </w:pPr>
      <w:bookmarkStart w:id="609" w:name="_Toc8174_WPSOffice_Level1"/>
      <w:bookmarkStart w:id="610" w:name="_Toc12664"/>
      <w:bookmarkStart w:id="611" w:name="_Toc15885_WPSOffice_Level1"/>
      <w:bookmarkStart w:id="612" w:name="_Toc32168_WPSOffice_Level1"/>
      <w:bookmarkStart w:id="613" w:name="_Toc28404"/>
      <w:bookmarkStart w:id="614" w:name="_Toc23168"/>
      <w:r>
        <w:rPr>
          <w:rFonts w:hint="eastAsia" w:ascii="宋体" w:hAnsi="宋体" w:eastAsia="宋体" w:cs="宋体"/>
        </w:rPr>
        <w:t>10 与建设单位交换意见情况</w:t>
      </w:r>
      <w:bookmarkEnd w:id="609"/>
      <w:bookmarkEnd w:id="610"/>
      <w:bookmarkEnd w:id="611"/>
      <w:bookmarkEnd w:id="612"/>
      <w:bookmarkEnd w:id="613"/>
      <w:bookmarkEnd w:id="614"/>
    </w:p>
    <w:p>
      <w:pPr>
        <w:rPr>
          <w:rFonts w:hint="eastAsia" w:ascii="宋体" w:hAnsi="宋体" w:eastAsia="宋体" w:cs="宋体"/>
        </w:rPr>
      </w:pPr>
    </w:p>
    <w:p>
      <w:pPr>
        <w:pStyle w:val="6"/>
        <w:keepNext w:val="0"/>
        <w:keepLines w:val="0"/>
        <w:pageBreakBefore w:val="0"/>
        <w:widowControl w:val="0"/>
        <w:kinsoku/>
        <w:wordWrap/>
        <w:overflowPunct/>
        <w:topLinePunct w:val="0"/>
        <w:autoSpaceDE w:val="0"/>
        <w:autoSpaceDN w:val="0"/>
        <w:bidi w:val="0"/>
        <w:adjustRightInd/>
        <w:snapToGrid/>
        <w:spacing w:before="1" w:line="560" w:lineRule="atLeast"/>
        <w:ind w:right="-23" w:firstLine="524" w:firstLineChars="200"/>
        <w:jc w:val="both"/>
        <w:textAlignment w:val="auto"/>
        <w:rPr>
          <w:rFonts w:hint="eastAsia" w:ascii="宋体" w:hAnsi="宋体" w:eastAsia="宋体" w:cs="宋体"/>
        </w:rPr>
      </w:pPr>
      <w:r>
        <w:rPr>
          <w:rFonts w:hint="eastAsia" w:ascii="宋体" w:hAnsi="宋体" w:eastAsia="宋体" w:cs="宋体"/>
          <w:spacing w:val="-9"/>
        </w:rPr>
        <w:t>在安全评价过程中，评价组就建设项目安全评价中各个方面的情况与建</w:t>
      </w:r>
      <w:r>
        <w:rPr>
          <w:rFonts w:hint="eastAsia" w:ascii="宋体" w:hAnsi="宋体" w:eastAsia="宋体" w:cs="宋体"/>
          <w:spacing w:val="-10"/>
        </w:rPr>
        <w:t>设单位</w:t>
      </w:r>
      <w:r>
        <w:rPr>
          <w:rFonts w:hint="eastAsia" w:ascii="宋体" w:hAnsi="宋体" w:eastAsia="宋体" w:cs="宋体"/>
          <w:spacing w:val="-10"/>
          <w:lang w:eastAsia="zh-CN"/>
        </w:rPr>
        <w:t>中国石化销售股份有限公司广东东莞寮步横坑加油站</w:t>
      </w:r>
      <w:r>
        <w:rPr>
          <w:rFonts w:hint="eastAsia" w:ascii="宋体" w:hAnsi="宋体" w:eastAsia="宋体" w:cs="宋体"/>
          <w:spacing w:val="-10"/>
        </w:rPr>
        <w:t>反复、充分地交换了意见。在评价过程中，建</w:t>
      </w:r>
      <w:r>
        <w:rPr>
          <w:rFonts w:hint="eastAsia" w:ascii="宋体" w:hAnsi="宋体" w:eastAsia="宋体" w:cs="宋体"/>
          <w:spacing w:val="-6"/>
        </w:rPr>
        <w:t>设单位对评价组给予了充分的配合和支持，对评价组提出的安全对策和建议</w:t>
      </w:r>
      <w:r>
        <w:rPr>
          <w:rFonts w:hint="eastAsia" w:ascii="宋体" w:hAnsi="宋体" w:eastAsia="宋体" w:cs="宋体"/>
          <w:spacing w:val="-5"/>
        </w:rPr>
        <w:t>高度重视，并表示在经营过程中积极采纳。</w:t>
      </w:r>
    </w:p>
    <w:p>
      <w:pPr>
        <w:pStyle w:val="6"/>
        <w:keepNext w:val="0"/>
        <w:keepLines w:val="0"/>
        <w:pageBreakBefore w:val="0"/>
        <w:widowControl w:val="0"/>
        <w:kinsoku/>
        <w:wordWrap/>
        <w:overflowPunct/>
        <w:topLinePunct w:val="0"/>
        <w:autoSpaceDE w:val="0"/>
        <w:autoSpaceDN w:val="0"/>
        <w:bidi w:val="0"/>
        <w:adjustRightInd/>
        <w:snapToGrid/>
        <w:spacing w:line="560" w:lineRule="atLeast"/>
        <w:ind w:right="-23" w:firstLine="572" w:firstLineChars="200"/>
        <w:jc w:val="both"/>
        <w:textAlignment w:val="auto"/>
        <w:rPr>
          <w:rFonts w:hint="eastAsia" w:ascii="宋体" w:hAnsi="宋体" w:eastAsia="宋体" w:cs="宋体"/>
        </w:rPr>
      </w:pPr>
      <w:r>
        <w:rPr>
          <w:rFonts w:hint="eastAsia" w:ascii="宋体" w:hAnsi="宋体" w:eastAsia="宋体" w:cs="宋体"/>
          <w:spacing w:val="3"/>
        </w:rPr>
        <w:t>建设单位</w:t>
      </w:r>
      <w:r>
        <w:rPr>
          <w:rFonts w:hint="eastAsia" w:ascii="宋体" w:hAnsi="宋体" w:eastAsia="宋体" w:cs="宋体"/>
          <w:spacing w:val="-10"/>
          <w:lang w:eastAsia="zh-CN"/>
        </w:rPr>
        <w:t>中国石化销售股份有限公司广东东莞寮步横坑加油站</w:t>
      </w:r>
      <w:r>
        <w:rPr>
          <w:rFonts w:hint="eastAsia" w:ascii="宋体" w:hAnsi="宋体" w:eastAsia="宋体" w:cs="宋体"/>
          <w:spacing w:val="3"/>
        </w:rPr>
        <w:t>同意广东安源鼎盛检测评价技术服务有限公司出具</w:t>
      </w:r>
      <w:r>
        <w:rPr>
          <w:rFonts w:hint="eastAsia" w:ascii="宋体" w:hAnsi="宋体" w:eastAsia="宋体" w:cs="宋体"/>
          <w:spacing w:val="-8"/>
        </w:rPr>
        <w:t>的《</w:t>
      </w:r>
      <w:r>
        <w:rPr>
          <w:rFonts w:hint="eastAsia" w:ascii="宋体" w:hAnsi="宋体" w:eastAsia="宋体" w:cs="宋体"/>
          <w:spacing w:val="-8"/>
          <w:lang w:eastAsia="zh-CN"/>
        </w:rPr>
        <w:t>中国石化销售股份有限公司广东东莞寮步横坑加油站</w:t>
      </w:r>
      <w:r>
        <w:rPr>
          <w:rFonts w:hint="eastAsia" w:ascii="宋体" w:hAnsi="宋体" w:eastAsia="宋体" w:cs="宋体"/>
          <w:spacing w:val="-8"/>
        </w:rPr>
        <w:t>改建项目安全验收评价报告》的</w:t>
      </w:r>
      <w:r>
        <w:rPr>
          <w:rFonts w:hint="eastAsia" w:ascii="宋体" w:hAnsi="宋体" w:eastAsia="宋体" w:cs="宋体"/>
          <w:spacing w:val="-3"/>
        </w:rPr>
        <w:t>内容和结论，对评价组提出的整改意见要求及时整改，并对其提供资料的真实性负责。</w:t>
      </w:r>
    </w:p>
    <w:p>
      <w:pPr>
        <w:spacing w:line="417" w:lineRule="auto"/>
        <w:jc w:val="both"/>
        <w:rPr>
          <w:rFonts w:hint="eastAsia" w:ascii="宋体" w:hAnsi="宋体" w:eastAsia="宋体" w:cs="宋体"/>
        </w:rPr>
      </w:pPr>
    </w:p>
    <w:p>
      <w:pPr>
        <w:spacing w:line="400" w:lineRule="auto"/>
        <w:jc w:val="both"/>
        <w:rPr>
          <w:rFonts w:hint="eastAsia" w:ascii="宋体" w:hAnsi="宋体" w:eastAsia="宋体" w:cs="宋体"/>
          <w:sz w:val="28"/>
        </w:rPr>
      </w:pPr>
    </w:p>
    <w:p>
      <w:pPr>
        <w:spacing w:line="400" w:lineRule="auto"/>
        <w:jc w:val="right"/>
        <w:rPr>
          <w:rFonts w:hint="eastAsia" w:ascii="宋体" w:hAnsi="宋体" w:eastAsia="宋体" w:cs="宋体"/>
          <w:sz w:val="28"/>
          <w:lang w:eastAsia="zh-CN"/>
        </w:rPr>
      </w:pPr>
      <w:r>
        <w:rPr>
          <w:rFonts w:hint="eastAsia" w:ascii="宋体" w:hAnsi="宋体" w:eastAsia="宋体" w:cs="宋体"/>
          <w:sz w:val="28"/>
        </w:rPr>
        <w:t>建设单位：</w:t>
      </w:r>
      <w:r>
        <w:rPr>
          <w:rFonts w:hint="eastAsia" w:ascii="宋体" w:hAnsi="宋体" w:eastAsia="宋体" w:cs="宋体"/>
          <w:sz w:val="28"/>
          <w:lang w:eastAsia="zh-CN"/>
        </w:rPr>
        <w:t>中国石化销售股份有限公司广东东莞寮步横坑加油站</w:t>
      </w:r>
    </w:p>
    <w:p>
      <w:pPr>
        <w:spacing w:line="400" w:lineRule="auto"/>
        <w:jc w:val="both"/>
        <w:rPr>
          <w:rFonts w:hint="eastAsia" w:ascii="宋体" w:hAnsi="宋体" w:eastAsia="宋体" w:cs="宋体"/>
          <w:sz w:val="28"/>
        </w:rPr>
      </w:pPr>
      <w:bookmarkStart w:id="1027" w:name="_GoBack"/>
      <w:bookmarkEnd w:id="1027"/>
    </w:p>
    <w:p>
      <w:pPr>
        <w:spacing w:line="400" w:lineRule="auto"/>
        <w:jc w:val="both"/>
        <w:rPr>
          <w:rFonts w:hint="eastAsia" w:ascii="宋体" w:hAnsi="宋体" w:eastAsia="宋体" w:cs="宋体"/>
          <w:sz w:val="28"/>
        </w:rPr>
      </w:pPr>
    </w:p>
    <w:p>
      <w:pPr>
        <w:spacing w:line="400" w:lineRule="auto"/>
        <w:jc w:val="both"/>
        <w:rPr>
          <w:rFonts w:hint="eastAsia" w:ascii="宋体" w:hAnsi="宋体" w:eastAsia="宋体" w:cs="宋体"/>
          <w:sz w:val="28"/>
        </w:rPr>
      </w:pPr>
    </w:p>
    <w:p>
      <w:pPr>
        <w:spacing w:line="400" w:lineRule="auto"/>
        <w:jc w:val="right"/>
        <w:rPr>
          <w:rFonts w:hint="eastAsia" w:ascii="宋体" w:hAnsi="宋体" w:eastAsia="宋体" w:cs="宋体"/>
          <w:sz w:val="28"/>
        </w:rPr>
      </w:pPr>
      <w:r>
        <w:rPr>
          <w:rFonts w:hint="eastAsia" w:ascii="宋体" w:hAnsi="宋体" w:eastAsia="宋体" w:cs="宋体"/>
          <w:sz w:val="28"/>
        </w:rPr>
        <w:t>评价机构：广东安源鼎盛检测评价技术服务有限公司</w:t>
      </w:r>
    </w:p>
    <w:p>
      <w:pPr>
        <w:rPr>
          <w:rFonts w:hint="eastAsia" w:ascii="宋体" w:hAnsi="宋体" w:eastAsia="宋体" w:cs="宋体"/>
          <w:sz w:val="28"/>
        </w:rPr>
        <w:sectPr>
          <w:pgSz w:w="11910" w:h="16840"/>
          <w:pgMar w:top="1417" w:right="1134" w:bottom="1134" w:left="1587" w:header="720" w:footer="720" w:gutter="0"/>
          <w:pgNumType w:fmt="decimal"/>
          <w:cols w:space="0" w:num="1"/>
        </w:sectPr>
      </w:pPr>
      <w:r>
        <w:rPr>
          <w:rFonts w:hint="eastAsia" w:ascii="宋体" w:hAnsi="宋体" w:eastAsia="宋体" w:cs="宋体"/>
          <w:sz w:val="28"/>
        </w:rPr>
        <w:br w:type="page"/>
      </w:r>
    </w:p>
    <w:p>
      <w:pPr>
        <w:pStyle w:val="2"/>
        <w:bidi w:val="0"/>
        <w:jc w:val="center"/>
        <w:rPr>
          <w:rFonts w:hint="eastAsia"/>
        </w:rPr>
      </w:pPr>
      <w:bookmarkStart w:id="615" w:name="_Toc5152"/>
      <w:bookmarkStart w:id="616" w:name="_Toc27242_WPSOffice_Level1"/>
      <w:bookmarkStart w:id="617" w:name="_Toc15213_WPSOffice_Level1"/>
      <w:bookmarkStart w:id="618" w:name="_Toc27440"/>
      <w:bookmarkStart w:id="619" w:name="_Toc32141_WPSOffice_Level1"/>
      <w:bookmarkStart w:id="620" w:name="_Toc6540"/>
      <w:r>
        <w:rPr>
          <w:rFonts w:hint="eastAsia"/>
        </w:rPr>
        <w:t>安全评价报告附件</w:t>
      </w:r>
      <w:bookmarkEnd w:id="615"/>
      <w:bookmarkEnd w:id="616"/>
      <w:bookmarkEnd w:id="617"/>
      <w:bookmarkEnd w:id="618"/>
      <w:bookmarkEnd w:id="619"/>
      <w:bookmarkEnd w:id="620"/>
    </w:p>
    <w:p>
      <w:pPr>
        <w:ind w:firstLine="440" w:firstLineChars="200"/>
        <w:rPr>
          <w:rFonts w:hint="eastAsia" w:ascii="宋体" w:hAnsi="宋体" w:eastAsia="宋体" w:cs="宋体"/>
        </w:rPr>
      </w:pPr>
    </w:p>
    <w:p>
      <w:pPr>
        <w:ind w:firstLine="440" w:firstLineChars="200"/>
        <w:rPr>
          <w:rFonts w:hint="eastAsia" w:ascii="宋体" w:hAnsi="宋体" w:eastAsia="宋体" w:cs="宋体"/>
        </w:rPr>
      </w:pPr>
    </w:p>
    <w:p>
      <w:pPr>
        <w:pStyle w:val="2"/>
        <w:jc w:val="center"/>
        <w:rPr>
          <w:rFonts w:hint="eastAsia" w:ascii="宋体" w:hAnsi="宋体" w:eastAsia="宋体" w:cs="宋体"/>
        </w:rPr>
      </w:pPr>
      <w:bookmarkStart w:id="621" w:name="_Toc29481_WPSOffice_Level1"/>
      <w:bookmarkStart w:id="622" w:name="_Toc4727_WPSOffice_Level1"/>
      <w:bookmarkStart w:id="623" w:name="_Toc31354"/>
      <w:bookmarkStart w:id="624" w:name="_Toc16801"/>
      <w:bookmarkStart w:id="625" w:name="_Toc2980_WPSOffice_Level1"/>
      <w:bookmarkStart w:id="626" w:name="_Toc13147"/>
      <w:r>
        <w:rPr>
          <w:rFonts w:hint="eastAsia" w:ascii="宋体" w:hAnsi="宋体" w:eastAsia="宋体" w:cs="宋体"/>
        </w:rPr>
        <w:t>附件1 安全评价相关图表</w:t>
      </w:r>
      <w:bookmarkEnd w:id="621"/>
      <w:bookmarkEnd w:id="622"/>
      <w:bookmarkEnd w:id="623"/>
      <w:bookmarkEnd w:id="624"/>
      <w:bookmarkEnd w:id="625"/>
      <w:bookmarkEnd w:id="626"/>
    </w:p>
    <w:p>
      <w:pPr>
        <w:ind w:firstLine="560" w:firstLineChars="200"/>
        <w:jc w:val="center"/>
        <w:rPr>
          <w:rFonts w:hint="eastAsia" w:ascii="宋体" w:hAnsi="宋体" w:eastAsia="宋体" w:cs="宋体"/>
          <w:sz w:val="28"/>
          <w:szCs w:val="28"/>
        </w:rPr>
      </w:pPr>
    </w:p>
    <w:p>
      <w:pPr>
        <w:pStyle w:val="3"/>
        <w:bidi w:val="0"/>
        <w:rPr>
          <w:rFonts w:hint="eastAsia" w:ascii="宋体" w:hAnsi="宋体" w:eastAsia="宋体" w:cs="宋体"/>
        </w:rPr>
      </w:pPr>
      <w:bookmarkStart w:id="627" w:name="_Toc23238"/>
      <w:bookmarkStart w:id="628" w:name="_Toc30730_WPSOffice_Level2"/>
      <w:bookmarkStart w:id="629" w:name="_Toc6690_WPSOffice_Level2"/>
      <w:bookmarkStart w:id="630" w:name="_Toc4595_WPSOffice_Level2"/>
      <w:r>
        <w:rPr>
          <w:rFonts w:hint="eastAsia" w:ascii="宋体" w:hAnsi="宋体" w:eastAsia="宋体" w:cs="宋体"/>
        </w:rPr>
        <w:t>1.1</w:t>
      </w:r>
      <w:r>
        <w:rPr>
          <w:rFonts w:hint="eastAsia" w:ascii="宋体" w:hAnsi="宋体" w:eastAsia="宋体" w:cs="宋体"/>
          <w:lang w:val="en-US"/>
        </w:rPr>
        <w:t xml:space="preserve"> </w:t>
      </w:r>
      <w:r>
        <w:rPr>
          <w:rFonts w:hint="eastAsia" w:ascii="宋体" w:hAnsi="宋体" w:eastAsia="宋体" w:cs="宋体"/>
        </w:rPr>
        <w:t>平面布置图</w:t>
      </w:r>
      <w:bookmarkEnd w:id="627"/>
      <w:bookmarkEnd w:id="628"/>
      <w:bookmarkEnd w:id="629"/>
      <w:bookmarkEnd w:id="630"/>
    </w:p>
    <w:p>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lang w:eastAsia="zh-CN"/>
        </w:rPr>
        <w:t>横坑加油站</w:t>
      </w:r>
      <w:r>
        <w:rPr>
          <w:rFonts w:hint="eastAsia" w:ascii="宋体" w:hAnsi="宋体" w:eastAsia="宋体" w:cs="宋体"/>
          <w:sz w:val="28"/>
          <w:szCs w:val="28"/>
        </w:rPr>
        <w:t>的平面布置图见附件</w:t>
      </w:r>
      <w:r>
        <w:rPr>
          <w:rFonts w:hint="eastAsia" w:ascii="宋体" w:hAnsi="宋体" w:eastAsia="宋体" w:cs="宋体"/>
          <w:spacing w:val="-7"/>
          <w:sz w:val="28"/>
          <w:szCs w:val="28"/>
          <w:lang w:eastAsia="zh-CN"/>
        </w:rPr>
        <w:t>中国石化销售股份有限公司广东东莞寮步横坑加油站</w:t>
      </w:r>
      <w:r>
        <w:rPr>
          <w:rFonts w:hint="eastAsia" w:ascii="宋体" w:hAnsi="宋体" w:eastAsia="宋体" w:cs="宋体"/>
          <w:sz w:val="28"/>
          <w:szCs w:val="28"/>
        </w:rPr>
        <w:t>竣工图。</w:t>
      </w:r>
    </w:p>
    <w:p>
      <w:pPr>
        <w:pStyle w:val="3"/>
        <w:bidi w:val="0"/>
        <w:rPr>
          <w:rFonts w:hint="eastAsia" w:ascii="宋体" w:hAnsi="宋体" w:eastAsia="宋体" w:cs="宋体"/>
        </w:rPr>
      </w:pPr>
      <w:bookmarkStart w:id="631" w:name="_Toc487_WPSOffice_Level2"/>
      <w:bookmarkStart w:id="632" w:name="_Toc10178_WPSOffice_Level2"/>
      <w:bookmarkStart w:id="633" w:name="_Toc5783_WPSOffice_Level2"/>
      <w:bookmarkStart w:id="634" w:name="_Toc22765"/>
      <w:r>
        <w:rPr>
          <w:rFonts w:hint="eastAsia" w:ascii="宋体" w:hAnsi="宋体" w:eastAsia="宋体" w:cs="宋体"/>
        </w:rPr>
        <w:t>1.</w:t>
      </w:r>
      <w:r>
        <w:rPr>
          <w:rFonts w:hint="eastAsia" w:ascii="宋体" w:hAnsi="宋体" w:eastAsia="宋体" w:cs="宋体"/>
          <w:lang w:val="en-US"/>
        </w:rPr>
        <w:t>2</w:t>
      </w:r>
      <w:r>
        <w:rPr>
          <w:rFonts w:hint="eastAsia" w:ascii="宋体" w:hAnsi="宋体" w:eastAsia="宋体" w:cs="宋体"/>
        </w:rPr>
        <w:t xml:space="preserve"> 装置爆炸危险区域划分图</w:t>
      </w:r>
      <w:bookmarkEnd w:id="631"/>
      <w:bookmarkEnd w:id="632"/>
      <w:bookmarkEnd w:id="633"/>
      <w:bookmarkEnd w:id="634"/>
    </w:p>
    <w:p>
      <w:pPr>
        <w:keepNext w:val="0"/>
        <w:keepLines w:val="0"/>
        <w:pageBreakBefore w:val="0"/>
        <w:widowControl w:val="0"/>
        <w:kinsoku/>
        <w:wordWrap/>
        <w:overflowPunct/>
        <w:topLinePunct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根据《汽车加油加气站设计与施工规范》（GB 50156－2012）（2014年局部修订版）的规定，爆炸危险区域的等级范围划分原则如下：</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firstLine="61" w:firstLineChars="22"/>
        <w:jc w:val="both"/>
        <w:textAlignment w:val="auto"/>
        <w:rPr>
          <w:rFonts w:hint="eastAsia" w:ascii="宋体" w:hAnsi="宋体" w:eastAsia="宋体" w:cs="宋体"/>
          <w:sz w:val="28"/>
          <w:szCs w:val="28"/>
        </w:rPr>
      </w:pPr>
      <w:r>
        <w:rPr>
          <w:rFonts w:hint="eastAsia" w:ascii="宋体" w:hAnsi="宋体" w:eastAsia="宋体" w:cs="宋体"/>
          <w:sz w:val="28"/>
          <w:szCs w:val="28"/>
        </w:rPr>
        <w:t>区：连续出现或长期出现爆炸性气体混合物的环境；</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firstLine="61" w:firstLineChars="22"/>
        <w:jc w:val="both"/>
        <w:textAlignment w:val="auto"/>
        <w:rPr>
          <w:rFonts w:hint="eastAsia" w:ascii="宋体" w:hAnsi="宋体" w:eastAsia="宋体" w:cs="宋体"/>
          <w:sz w:val="28"/>
          <w:szCs w:val="28"/>
        </w:rPr>
      </w:pPr>
      <w:r>
        <w:rPr>
          <w:rFonts w:hint="eastAsia" w:ascii="宋体" w:hAnsi="宋体" w:eastAsia="宋体" w:cs="宋体"/>
          <w:sz w:val="28"/>
          <w:szCs w:val="28"/>
        </w:rPr>
        <w:t>区：在正常运行时可能出现爆炸性气体混合物的环境；</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firstLine="61" w:firstLineChars="22"/>
        <w:textAlignment w:val="auto"/>
        <w:rPr>
          <w:rFonts w:hint="eastAsia" w:ascii="宋体" w:hAnsi="宋体" w:eastAsia="宋体" w:cs="宋体"/>
          <w:sz w:val="28"/>
          <w:szCs w:val="28"/>
        </w:rPr>
      </w:pPr>
      <w:r>
        <w:rPr>
          <w:rFonts w:hint="eastAsia" w:ascii="宋体" w:hAnsi="宋体" w:eastAsia="宋体" w:cs="宋体"/>
          <w:sz w:val="28"/>
          <w:szCs w:val="28"/>
        </w:rPr>
        <w:t>区：在正常运行时不可能出现爆炸性气体混合物的环境，或即使出现也仅是短时存在的爆炸性气体混合物的环境。</w:t>
      </w:r>
    </w:p>
    <w:p>
      <w:pPr>
        <w:keepNext w:val="0"/>
        <w:keepLines w:val="0"/>
        <w:pageBreakBefore w:val="0"/>
        <w:widowControl w:val="0"/>
        <w:kinsoku/>
        <w:wordWrap/>
        <w:overflowPunct/>
        <w:topLinePunct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根据上述原则，汽油设施的爆炸危险区域内地坪以下的坑或沟应划为1区，埋地卧式汽油储罐爆炸危险区域划分如下图 C.0.3所示：</w:t>
      </w:r>
    </w:p>
    <w:p>
      <w:pPr>
        <w:keepNext w:val="0"/>
        <w:keepLines w:val="0"/>
        <w:pageBreakBefore w:val="0"/>
        <w:widowControl w:val="0"/>
        <w:kinsoku/>
        <w:wordWrap/>
        <w:overflowPunct/>
        <w:topLinePunct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埋地卧式汽油储罐爆炸危险区域划分，应符合下列规定：</w:t>
      </w:r>
    </w:p>
    <w:p>
      <w:pPr>
        <w:pStyle w:val="22"/>
        <w:keepNext w:val="0"/>
        <w:keepLines w:val="0"/>
        <w:pageBreakBefore w:val="0"/>
        <w:widowControl w:val="0"/>
        <w:numPr>
          <w:ilvl w:val="0"/>
          <w:numId w:val="6"/>
        </w:numPr>
        <w:kinsoku/>
        <w:wordWrap/>
        <w:overflowPunct/>
        <w:topLinePunct w:val="0"/>
        <w:bidi w:val="0"/>
        <w:adjustRightInd/>
        <w:snapToGri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罐内部油品表面以上的空间应划分为 0 区。</w:t>
      </w:r>
    </w:p>
    <w:p>
      <w:pPr>
        <w:pStyle w:val="22"/>
        <w:keepNext w:val="0"/>
        <w:keepLines w:val="0"/>
        <w:pageBreakBefore w:val="0"/>
        <w:widowControl w:val="0"/>
        <w:numPr>
          <w:ilvl w:val="0"/>
          <w:numId w:val="6"/>
        </w:numPr>
        <w:kinsoku/>
        <w:wordWrap/>
        <w:overflowPunct/>
        <w:topLinePunct w:val="0"/>
        <w:bidi w:val="0"/>
        <w:adjustRightInd/>
        <w:snapToGrid/>
        <w:spacing w:line="560" w:lineRule="exact"/>
        <w:textAlignment w:val="auto"/>
        <w:rPr>
          <w:rFonts w:hint="eastAsia" w:ascii="宋体" w:hAnsi="宋体" w:eastAsia="宋体" w:cs="宋体"/>
          <w:spacing w:val="-9"/>
          <w:sz w:val="28"/>
          <w:szCs w:val="28"/>
          <w:lang w:val="zh-CN" w:eastAsia="zh-CN" w:bidi="zh-CN"/>
        </w:rPr>
      </w:pPr>
      <w:r>
        <w:rPr>
          <w:rFonts w:hint="eastAsia" w:ascii="宋体" w:hAnsi="宋体" w:eastAsia="宋体" w:cs="宋体"/>
          <w:spacing w:val="-9"/>
          <w:sz w:val="28"/>
          <w:szCs w:val="28"/>
          <w:lang w:val="zh-CN" w:eastAsia="zh-CN" w:bidi="zh-CN"/>
        </w:rPr>
        <w:t>人孔（阀）井内部空间、以通气管管口为中心，半径为1.5m的球形空间和以密闭卸油口为中心，半径为0.5m的球形空间，应划分为 1区。</w:t>
      </w:r>
    </w:p>
    <w:p>
      <w:pPr>
        <w:pStyle w:val="22"/>
        <w:keepNext w:val="0"/>
        <w:keepLines w:val="0"/>
        <w:pageBreakBefore w:val="0"/>
        <w:widowControl w:val="0"/>
        <w:numPr>
          <w:ilvl w:val="0"/>
          <w:numId w:val="6"/>
        </w:numPr>
        <w:kinsoku/>
        <w:wordWrap/>
        <w:overflowPunct/>
        <w:topLinePunct w:val="0"/>
        <w:bidi w:val="0"/>
        <w:adjustRightInd/>
        <w:snapToGrid/>
        <w:spacing w:line="560" w:lineRule="exact"/>
        <w:textAlignment w:val="auto"/>
        <w:rPr>
          <w:rFonts w:hint="eastAsia" w:ascii="宋体" w:hAnsi="宋体" w:eastAsia="宋体" w:cs="宋体"/>
          <w:spacing w:val="-9"/>
          <w:sz w:val="28"/>
          <w:szCs w:val="28"/>
          <w:lang w:val="zh-CN" w:eastAsia="zh-CN" w:bidi="zh-CN"/>
        </w:rPr>
      </w:pPr>
      <w:r>
        <w:rPr>
          <w:rFonts w:hint="eastAsia" w:ascii="宋体" w:hAnsi="宋体" w:eastAsia="宋体" w:cs="宋体"/>
          <w:spacing w:val="-9"/>
          <w:sz w:val="28"/>
          <w:szCs w:val="28"/>
          <w:lang w:val="zh-CN" w:eastAsia="zh-CN" w:bidi="zh-CN"/>
        </w:rPr>
        <w:t>距人孔（阀）井外边缘 1.5m 以内，自地面算起 1m 高的圆柱形空间、以通气管管口为中心，半径为 3m(2m)的球形空间和以密闭卸油口为中心，半径为1.5m的球形并延至地面的空间，应划分为 2 区。</w:t>
      </w:r>
    </w:p>
    <w:p>
      <w:pPr>
        <w:pStyle w:val="6"/>
        <w:spacing w:before="3"/>
        <w:ind w:left="1213"/>
        <w:rPr>
          <w:rFonts w:hint="eastAsia" w:ascii="宋体" w:hAnsi="宋体" w:eastAsia="宋体" w:cs="宋体"/>
          <w:sz w:val="14"/>
        </w:rPr>
      </w:pPr>
      <w:r>
        <w:rPr>
          <w:rFonts w:hint="eastAsia" w:ascii="宋体" w:hAnsi="宋体" w:eastAsia="宋体" w:cs="宋体"/>
          <w:lang w:val="en-US" w:bidi="ar-SA"/>
        </w:rPr>
        <mc:AlternateContent>
          <mc:Choice Requires="wpg">
            <w:drawing>
              <wp:anchor distT="0" distB="0" distL="0" distR="0" simplePos="0" relativeHeight="251667456" behindDoc="0" locked="0" layoutInCell="1" allowOverlap="1">
                <wp:simplePos x="0" y="0"/>
                <wp:positionH relativeFrom="page">
                  <wp:posOffset>2263140</wp:posOffset>
                </wp:positionH>
                <wp:positionV relativeFrom="paragraph">
                  <wp:posOffset>140970</wp:posOffset>
                </wp:positionV>
                <wp:extent cx="3336290" cy="3034665"/>
                <wp:effectExtent l="3175" t="0" r="13335" b="10160"/>
                <wp:wrapTopAndBottom/>
                <wp:docPr id="3" name="组合 3"/>
                <wp:cNvGraphicFramePr/>
                <a:graphic xmlns:a="http://schemas.openxmlformats.org/drawingml/2006/main">
                  <a:graphicData uri="http://schemas.microsoft.com/office/word/2010/wordprocessingGroup">
                    <wpg:wgp>
                      <wpg:cNvGrpSpPr/>
                      <wpg:grpSpPr>
                        <a:xfrm>
                          <a:off x="0" y="0"/>
                          <a:ext cx="3336290" cy="3034665"/>
                          <a:chOff x="3564" y="222"/>
                          <a:chExt cx="5254" cy="4779"/>
                        </a:xfrm>
                      </wpg:grpSpPr>
                      <wps:wsp>
                        <wps:cNvPr id="1843" name="Freeform 3"/>
                        <wps:cNvSpPr/>
                        <wps:spPr bwMode="auto">
                          <a:xfrm>
                            <a:off x="6329" y="2188"/>
                            <a:ext cx="2" cy="318"/>
                          </a:xfrm>
                          <a:custGeom>
                            <a:avLst/>
                            <a:gdLst>
                              <a:gd name="T0" fmla="+- 0 6329 6329"/>
                              <a:gd name="T1" fmla="*/ T0 w 1"/>
                              <a:gd name="T2" fmla="+- 0 2188 2188"/>
                              <a:gd name="T3" fmla="*/ 2188 h 318"/>
                              <a:gd name="T4" fmla="+- 0 6329 6329"/>
                              <a:gd name="T5" fmla="*/ T4 w 1"/>
                              <a:gd name="T6" fmla="+- 0 2506 2188"/>
                              <a:gd name="T7" fmla="*/ 2506 h 318"/>
                              <a:gd name="T8" fmla="+- 0 6330 6329"/>
                              <a:gd name="T9" fmla="*/ T8 w 1"/>
                              <a:gd name="T10" fmla="+- 0 2506 2188"/>
                              <a:gd name="T11" fmla="*/ 2506 h 318"/>
                            </a:gdLst>
                            <a:ahLst/>
                            <a:cxnLst>
                              <a:cxn ang="0">
                                <a:pos x="T1" y="T3"/>
                              </a:cxn>
                              <a:cxn ang="0">
                                <a:pos x="T5" y="T7"/>
                              </a:cxn>
                              <a:cxn ang="0">
                                <a:pos x="T9" y="T11"/>
                              </a:cxn>
                            </a:cxnLst>
                            <a:rect l="0" t="0" r="r" b="b"/>
                            <a:pathLst>
                              <a:path w="1" h="318">
                                <a:moveTo>
                                  <a:pt x="0" y="0"/>
                                </a:moveTo>
                                <a:lnTo>
                                  <a:pt x="0" y="318"/>
                                </a:lnTo>
                                <a:lnTo>
                                  <a:pt x="1" y="318"/>
                                </a:lnTo>
                              </a:path>
                            </a:pathLst>
                          </a:custGeom>
                          <a:noFill/>
                          <a:ln w="140">
                            <a:solidFill>
                              <a:srgbClr val="000000"/>
                            </a:solidFill>
                            <a:round/>
                          </a:ln>
                        </wps:spPr>
                        <wps:bodyPr rot="0" vert="horz" wrap="square" lIns="91440" tIns="45720" rIns="91440" bIns="45720" anchor="t" anchorCtr="0" upright="1">
                          <a:noAutofit/>
                        </wps:bodyPr>
                      </wps:wsp>
                      <wps:wsp>
                        <wps:cNvPr id="1844" name="Freeform 4"/>
                        <wps:cNvSpPr/>
                        <wps:spPr bwMode="auto">
                          <a:xfrm>
                            <a:off x="6265" y="2244"/>
                            <a:ext cx="65" cy="2"/>
                          </a:xfrm>
                          <a:custGeom>
                            <a:avLst/>
                            <a:gdLst>
                              <a:gd name="T0" fmla="+- 0 6329 6265"/>
                              <a:gd name="T1" fmla="*/ T0 w 65"/>
                              <a:gd name="T2" fmla="+- 0 6265 6265"/>
                              <a:gd name="T3" fmla="*/ T2 w 65"/>
                              <a:gd name="T4" fmla="+- 0 6265 6265"/>
                              <a:gd name="T5" fmla="*/ T4 w 65"/>
                            </a:gdLst>
                            <a:ahLst/>
                            <a:cxnLst>
                              <a:cxn ang="0">
                                <a:pos x="T1" y="0"/>
                              </a:cxn>
                              <a:cxn ang="0">
                                <a:pos x="T3" y="0"/>
                              </a:cxn>
                              <a:cxn ang="0">
                                <a:pos x="T5" y="0"/>
                              </a:cxn>
                            </a:cxnLst>
                            <a:rect l="0" t="0" r="r" b="b"/>
                            <a:pathLst>
                              <a:path w="65">
                                <a:moveTo>
                                  <a:pt x="64" y="0"/>
                                </a:moveTo>
                                <a:lnTo>
                                  <a:pt x="0" y="0"/>
                                </a:lnTo>
                              </a:path>
                            </a:pathLst>
                          </a:custGeom>
                          <a:noFill/>
                          <a:ln w="171">
                            <a:solidFill>
                              <a:srgbClr val="000000"/>
                            </a:solidFill>
                            <a:round/>
                          </a:ln>
                        </wps:spPr>
                        <wps:bodyPr rot="0" vert="horz" wrap="square" lIns="91440" tIns="45720" rIns="91440" bIns="45720" anchor="t" anchorCtr="0" upright="1">
                          <a:noAutofit/>
                        </wps:bodyPr>
                      </wps:wsp>
                      <wps:wsp>
                        <wps:cNvPr id="1845" name="Freeform 5"/>
                        <wps:cNvSpPr/>
                        <wps:spPr bwMode="auto">
                          <a:xfrm>
                            <a:off x="6613" y="2188"/>
                            <a:ext cx="2" cy="318"/>
                          </a:xfrm>
                          <a:custGeom>
                            <a:avLst/>
                            <a:gdLst>
                              <a:gd name="T0" fmla="+- 0 6613 6613"/>
                              <a:gd name="T1" fmla="*/ T0 w 1"/>
                              <a:gd name="T2" fmla="+- 0 2188 2188"/>
                              <a:gd name="T3" fmla="*/ 2188 h 318"/>
                              <a:gd name="T4" fmla="+- 0 6613 6613"/>
                              <a:gd name="T5" fmla="*/ T4 w 1"/>
                              <a:gd name="T6" fmla="+- 0 2506 2188"/>
                              <a:gd name="T7" fmla="*/ 2506 h 318"/>
                              <a:gd name="T8" fmla="+- 0 6614 6613"/>
                              <a:gd name="T9" fmla="*/ T8 w 1"/>
                              <a:gd name="T10" fmla="+- 0 2506 2188"/>
                              <a:gd name="T11" fmla="*/ 2506 h 318"/>
                            </a:gdLst>
                            <a:ahLst/>
                            <a:cxnLst>
                              <a:cxn ang="0">
                                <a:pos x="T1" y="T3"/>
                              </a:cxn>
                              <a:cxn ang="0">
                                <a:pos x="T5" y="T7"/>
                              </a:cxn>
                              <a:cxn ang="0">
                                <a:pos x="T9" y="T11"/>
                              </a:cxn>
                            </a:cxnLst>
                            <a:rect l="0" t="0" r="r" b="b"/>
                            <a:pathLst>
                              <a:path w="1" h="318">
                                <a:moveTo>
                                  <a:pt x="0" y="0"/>
                                </a:moveTo>
                                <a:lnTo>
                                  <a:pt x="0" y="318"/>
                                </a:lnTo>
                                <a:lnTo>
                                  <a:pt x="1" y="318"/>
                                </a:lnTo>
                              </a:path>
                            </a:pathLst>
                          </a:custGeom>
                          <a:noFill/>
                          <a:ln w="140">
                            <a:solidFill>
                              <a:srgbClr val="000000"/>
                            </a:solidFill>
                            <a:round/>
                          </a:ln>
                        </wps:spPr>
                        <wps:bodyPr rot="0" vert="horz" wrap="square" lIns="91440" tIns="45720" rIns="91440" bIns="45720" anchor="t" anchorCtr="0" upright="1">
                          <a:noAutofit/>
                        </wps:bodyPr>
                      </wps:wsp>
                      <wps:wsp>
                        <wps:cNvPr id="1846" name="Freeform 6"/>
                        <wps:cNvSpPr/>
                        <wps:spPr bwMode="auto">
                          <a:xfrm>
                            <a:off x="6613" y="2244"/>
                            <a:ext cx="65" cy="2"/>
                          </a:xfrm>
                          <a:custGeom>
                            <a:avLst/>
                            <a:gdLst>
                              <a:gd name="T0" fmla="+- 0 6613 6613"/>
                              <a:gd name="T1" fmla="*/ T0 w 65"/>
                              <a:gd name="T2" fmla="+- 0 6678 6613"/>
                              <a:gd name="T3" fmla="*/ T2 w 65"/>
                              <a:gd name="T4" fmla="+- 0 6678 6613"/>
                              <a:gd name="T5" fmla="*/ T4 w 65"/>
                            </a:gdLst>
                            <a:ahLst/>
                            <a:cxnLst>
                              <a:cxn ang="0">
                                <a:pos x="T1" y="0"/>
                              </a:cxn>
                              <a:cxn ang="0">
                                <a:pos x="T3" y="0"/>
                              </a:cxn>
                              <a:cxn ang="0">
                                <a:pos x="T5" y="0"/>
                              </a:cxn>
                            </a:cxnLst>
                            <a:rect l="0" t="0" r="r" b="b"/>
                            <a:pathLst>
                              <a:path w="65">
                                <a:moveTo>
                                  <a:pt x="0" y="0"/>
                                </a:moveTo>
                                <a:lnTo>
                                  <a:pt x="65" y="0"/>
                                </a:lnTo>
                              </a:path>
                            </a:pathLst>
                          </a:custGeom>
                          <a:noFill/>
                          <a:ln w="171">
                            <a:solidFill>
                              <a:srgbClr val="000000"/>
                            </a:solidFill>
                            <a:round/>
                          </a:ln>
                        </wps:spPr>
                        <wps:bodyPr rot="0" vert="horz" wrap="square" lIns="91440" tIns="45720" rIns="91440" bIns="45720" anchor="t" anchorCtr="0" upright="1">
                          <a:noAutofit/>
                        </wps:bodyPr>
                      </wps:wsp>
                      <wps:wsp>
                        <wps:cNvPr id="1847" name="Freeform 7"/>
                        <wps:cNvSpPr/>
                        <wps:spPr bwMode="auto">
                          <a:xfrm>
                            <a:off x="6329" y="2244"/>
                            <a:ext cx="285" cy="2"/>
                          </a:xfrm>
                          <a:custGeom>
                            <a:avLst/>
                            <a:gdLst>
                              <a:gd name="T0" fmla="+- 0 6329 6329"/>
                              <a:gd name="T1" fmla="*/ T0 w 285"/>
                              <a:gd name="T2" fmla="+- 0 6613 6329"/>
                              <a:gd name="T3" fmla="*/ T2 w 285"/>
                              <a:gd name="T4" fmla="+- 0 6614 6329"/>
                              <a:gd name="T5" fmla="*/ T4 w 285"/>
                            </a:gdLst>
                            <a:ahLst/>
                            <a:cxnLst>
                              <a:cxn ang="0">
                                <a:pos x="T1" y="0"/>
                              </a:cxn>
                              <a:cxn ang="0">
                                <a:pos x="T3" y="0"/>
                              </a:cxn>
                              <a:cxn ang="0">
                                <a:pos x="T5" y="0"/>
                              </a:cxn>
                            </a:cxnLst>
                            <a:rect l="0" t="0" r="r" b="b"/>
                            <a:pathLst>
                              <a:path w="285">
                                <a:moveTo>
                                  <a:pt x="0" y="0"/>
                                </a:moveTo>
                                <a:lnTo>
                                  <a:pt x="284" y="0"/>
                                </a:lnTo>
                                <a:lnTo>
                                  <a:pt x="285" y="0"/>
                                </a:lnTo>
                              </a:path>
                            </a:pathLst>
                          </a:custGeom>
                          <a:noFill/>
                          <a:ln w="171">
                            <a:solidFill>
                              <a:srgbClr val="000000"/>
                            </a:solidFill>
                            <a:round/>
                          </a:ln>
                        </wps:spPr>
                        <wps:bodyPr rot="0" vert="horz" wrap="square" lIns="91440" tIns="45720" rIns="91440" bIns="45720" anchor="t" anchorCtr="0" upright="1">
                          <a:noAutofit/>
                        </wps:bodyPr>
                      </wps:wsp>
                      <wps:wsp>
                        <wps:cNvPr id="1848" name="Freeform 8"/>
                        <wps:cNvSpPr/>
                        <wps:spPr bwMode="auto">
                          <a:xfrm>
                            <a:off x="6297" y="2204"/>
                            <a:ext cx="65" cy="79"/>
                          </a:xfrm>
                          <a:custGeom>
                            <a:avLst/>
                            <a:gdLst>
                              <a:gd name="T0" fmla="+- 0 6297 6297"/>
                              <a:gd name="T1" fmla="*/ T0 w 65"/>
                              <a:gd name="T2" fmla="+- 0 2283 2205"/>
                              <a:gd name="T3" fmla="*/ 2283 h 79"/>
                              <a:gd name="T4" fmla="+- 0 6361 6297"/>
                              <a:gd name="T5" fmla="*/ T4 w 65"/>
                              <a:gd name="T6" fmla="+- 0 2205 2205"/>
                              <a:gd name="T7" fmla="*/ 2205 h 79"/>
                              <a:gd name="T8" fmla="+- 0 6362 6297"/>
                              <a:gd name="T9" fmla="*/ T8 w 65"/>
                              <a:gd name="T10" fmla="+- 0 2205 2205"/>
                              <a:gd name="T11" fmla="*/ 2205 h 79"/>
                            </a:gdLst>
                            <a:ahLst/>
                            <a:cxnLst>
                              <a:cxn ang="0">
                                <a:pos x="T1" y="T3"/>
                              </a:cxn>
                              <a:cxn ang="0">
                                <a:pos x="T5" y="T7"/>
                              </a:cxn>
                              <a:cxn ang="0">
                                <a:pos x="T9" y="T11"/>
                              </a:cxn>
                            </a:cxnLst>
                            <a:rect l="0" t="0" r="r" b="b"/>
                            <a:pathLst>
                              <a:path w="65" h="79">
                                <a:moveTo>
                                  <a:pt x="0" y="78"/>
                                </a:moveTo>
                                <a:lnTo>
                                  <a:pt x="64" y="0"/>
                                </a:lnTo>
                                <a:lnTo>
                                  <a:pt x="65" y="0"/>
                                </a:lnTo>
                              </a:path>
                            </a:pathLst>
                          </a:custGeom>
                          <a:noFill/>
                          <a:ln w="153">
                            <a:solidFill>
                              <a:srgbClr val="000000"/>
                            </a:solidFill>
                            <a:round/>
                          </a:ln>
                        </wps:spPr>
                        <wps:bodyPr rot="0" vert="horz" wrap="square" lIns="91440" tIns="45720" rIns="91440" bIns="45720" anchor="t" anchorCtr="0" upright="1">
                          <a:noAutofit/>
                        </wps:bodyPr>
                      </wps:wsp>
                      <wps:wsp>
                        <wps:cNvPr id="1849" name="Freeform 9"/>
                        <wps:cNvSpPr/>
                        <wps:spPr bwMode="auto">
                          <a:xfrm>
                            <a:off x="6581" y="2204"/>
                            <a:ext cx="65" cy="79"/>
                          </a:xfrm>
                          <a:custGeom>
                            <a:avLst/>
                            <a:gdLst>
                              <a:gd name="T0" fmla="+- 0 6645 6581"/>
                              <a:gd name="T1" fmla="*/ T0 w 65"/>
                              <a:gd name="T2" fmla="+- 0 2205 2205"/>
                              <a:gd name="T3" fmla="*/ 2205 h 79"/>
                              <a:gd name="T4" fmla="+- 0 6581 6581"/>
                              <a:gd name="T5" fmla="*/ T4 w 65"/>
                              <a:gd name="T6" fmla="+- 0 2283 2205"/>
                              <a:gd name="T7" fmla="*/ 2283 h 79"/>
                              <a:gd name="T8" fmla="+- 0 6581 6581"/>
                              <a:gd name="T9" fmla="*/ T8 w 65"/>
                              <a:gd name="T10" fmla="+- 0 2283 2205"/>
                              <a:gd name="T11" fmla="*/ 2283 h 79"/>
                            </a:gdLst>
                            <a:ahLst/>
                            <a:cxnLst>
                              <a:cxn ang="0">
                                <a:pos x="T1" y="T3"/>
                              </a:cxn>
                              <a:cxn ang="0">
                                <a:pos x="T5" y="T7"/>
                              </a:cxn>
                              <a:cxn ang="0">
                                <a:pos x="T9" y="T11"/>
                              </a:cxn>
                            </a:cxnLst>
                            <a:rect l="0" t="0" r="r" b="b"/>
                            <a:pathLst>
                              <a:path w="65" h="79">
                                <a:moveTo>
                                  <a:pt x="64" y="0"/>
                                </a:moveTo>
                                <a:lnTo>
                                  <a:pt x="0" y="78"/>
                                </a:lnTo>
                              </a:path>
                            </a:pathLst>
                          </a:custGeom>
                          <a:noFill/>
                          <a:ln w="153">
                            <a:solidFill>
                              <a:srgbClr val="000000"/>
                            </a:solidFill>
                            <a:round/>
                          </a:ln>
                        </wps:spPr>
                        <wps:bodyPr rot="0" vert="horz" wrap="square" lIns="91440" tIns="45720" rIns="91440" bIns="45720" anchor="t" anchorCtr="0" upright="1">
                          <a:noAutofit/>
                        </wps:bodyPr>
                      </wps:wsp>
                      <wps:wsp>
                        <wps:cNvPr id="1850" name="Line 10"/>
                        <wps:cNvCnPr>
                          <a:cxnSpLocks noChangeShapeType="1"/>
                        </wps:cNvCnPr>
                        <wps:spPr bwMode="auto">
                          <a:xfrm>
                            <a:off x="6329" y="2172"/>
                            <a:ext cx="1" cy="0"/>
                          </a:xfrm>
                          <a:prstGeom prst="line">
                            <a:avLst/>
                          </a:prstGeom>
                          <a:noFill/>
                          <a:ln w="171">
                            <a:solidFill>
                              <a:srgbClr val="000000"/>
                            </a:solidFill>
                            <a:round/>
                          </a:ln>
                        </wps:spPr>
                        <wps:bodyPr/>
                      </wps:wsp>
                      <wps:wsp>
                        <wps:cNvPr id="1851" name="Line 11"/>
                        <wps:cNvCnPr>
                          <a:cxnSpLocks noChangeShapeType="1"/>
                        </wps:cNvCnPr>
                        <wps:spPr bwMode="auto">
                          <a:xfrm>
                            <a:off x="6613" y="2244"/>
                            <a:ext cx="1" cy="0"/>
                          </a:xfrm>
                          <a:prstGeom prst="line">
                            <a:avLst/>
                          </a:prstGeom>
                          <a:noFill/>
                          <a:ln w="171">
                            <a:solidFill>
                              <a:srgbClr val="000000"/>
                            </a:solidFill>
                            <a:round/>
                          </a:ln>
                        </wps:spPr>
                        <wps:bodyPr/>
                      </wps:wsp>
                      <wps:wsp>
                        <wps:cNvPr id="1852" name="Line 12"/>
                        <wps:cNvCnPr>
                          <a:cxnSpLocks noChangeShapeType="1"/>
                        </wps:cNvCnPr>
                        <wps:spPr bwMode="auto">
                          <a:xfrm>
                            <a:off x="6613" y="2172"/>
                            <a:ext cx="1" cy="0"/>
                          </a:xfrm>
                          <a:prstGeom prst="line">
                            <a:avLst/>
                          </a:prstGeom>
                          <a:noFill/>
                          <a:ln w="171">
                            <a:solidFill>
                              <a:srgbClr val="000000"/>
                            </a:solidFill>
                            <a:round/>
                          </a:ln>
                        </wps:spPr>
                        <wps:bodyPr/>
                      </wps:wsp>
                      <wps:wsp>
                        <wps:cNvPr id="1853" name="Freeform 13"/>
                        <wps:cNvSpPr/>
                        <wps:spPr bwMode="auto">
                          <a:xfrm>
                            <a:off x="6150" y="1888"/>
                            <a:ext cx="41" cy="210"/>
                          </a:xfrm>
                          <a:custGeom>
                            <a:avLst/>
                            <a:gdLst>
                              <a:gd name="T0" fmla="+- 0 6151 6151"/>
                              <a:gd name="T1" fmla="*/ T0 w 41"/>
                              <a:gd name="T2" fmla="+- 0 1928 1888"/>
                              <a:gd name="T3" fmla="*/ 1928 h 210"/>
                              <a:gd name="T4" fmla="+- 0 6167 6151"/>
                              <a:gd name="T5" fmla="*/ T4 w 41"/>
                              <a:gd name="T6" fmla="+- 0 1918 1888"/>
                              <a:gd name="T7" fmla="*/ 1918 h 210"/>
                              <a:gd name="T8" fmla="+- 0 6192 6151"/>
                              <a:gd name="T9" fmla="*/ T8 w 41"/>
                              <a:gd name="T10" fmla="+- 0 1888 1888"/>
                              <a:gd name="T11" fmla="*/ 1888 h 210"/>
                              <a:gd name="T12" fmla="+- 0 6192 6151"/>
                              <a:gd name="T13" fmla="*/ T12 w 41"/>
                              <a:gd name="T14" fmla="+- 0 2098 1888"/>
                              <a:gd name="T15" fmla="*/ 2098 h 210"/>
                              <a:gd name="T16" fmla="+- 0 6192 6151"/>
                              <a:gd name="T17" fmla="*/ T16 w 41"/>
                              <a:gd name="T18" fmla="+- 0 2098 1888"/>
                              <a:gd name="T19" fmla="*/ 2098 h 210"/>
                            </a:gdLst>
                            <a:ahLst/>
                            <a:cxnLst>
                              <a:cxn ang="0">
                                <a:pos x="T1" y="T3"/>
                              </a:cxn>
                              <a:cxn ang="0">
                                <a:pos x="T5" y="T7"/>
                              </a:cxn>
                              <a:cxn ang="0">
                                <a:pos x="T9" y="T11"/>
                              </a:cxn>
                              <a:cxn ang="0">
                                <a:pos x="T13" y="T15"/>
                              </a:cxn>
                              <a:cxn ang="0">
                                <a:pos x="T17" y="T19"/>
                              </a:cxn>
                            </a:cxnLst>
                            <a:rect l="0" t="0" r="r" b="b"/>
                            <a:pathLst>
                              <a:path w="41" h="210">
                                <a:moveTo>
                                  <a:pt x="0" y="40"/>
                                </a:moveTo>
                                <a:lnTo>
                                  <a:pt x="16" y="30"/>
                                </a:lnTo>
                                <a:lnTo>
                                  <a:pt x="41" y="0"/>
                                </a:lnTo>
                                <a:lnTo>
                                  <a:pt x="41" y="210"/>
                                </a:lnTo>
                              </a:path>
                            </a:pathLst>
                          </a:custGeom>
                          <a:noFill/>
                          <a:ln w="141">
                            <a:solidFill>
                              <a:srgbClr val="000000"/>
                            </a:solidFill>
                            <a:round/>
                          </a:ln>
                        </wps:spPr>
                        <wps:bodyPr rot="0" vert="horz" wrap="square" lIns="91440" tIns="45720" rIns="91440" bIns="45720" anchor="t" anchorCtr="0" upright="1">
                          <a:noAutofit/>
                        </wps:bodyPr>
                      </wps:wsp>
                      <wps:wsp>
                        <wps:cNvPr id="1854" name="Freeform 14"/>
                        <wps:cNvSpPr/>
                        <wps:spPr bwMode="auto">
                          <a:xfrm>
                            <a:off x="6297" y="2077"/>
                            <a:ext cx="17" cy="20"/>
                          </a:xfrm>
                          <a:custGeom>
                            <a:avLst/>
                            <a:gdLst>
                              <a:gd name="T0" fmla="+- 0 6306 6298"/>
                              <a:gd name="T1" fmla="*/ T0 w 17"/>
                              <a:gd name="T2" fmla="+- 0 2078 2078"/>
                              <a:gd name="T3" fmla="*/ 2078 h 20"/>
                              <a:gd name="T4" fmla="+- 0 6298 6298"/>
                              <a:gd name="T5" fmla="*/ T4 w 17"/>
                              <a:gd name="T6" fmla="+- 0 2088 2078"/>
                              <a:gd name="T7" fmla="*/ 2088 h 20"/>
                              <a:gd name="T8" fmla="+- 0 6306 6298"/>
                              <a:gd name="T9" fmla="*/ T8 w 17"/>
                              <a:gd name="T10" fmla="+- 0 2098 2078"/>
                              <a:gd name="T11" fmla="*/ 2098 h 20"/>
                              <a:gd name="T12" fmla="+- 0 6314 6298"/>
                              <a:gd name="T13" fmla="*/ T12 w 17"/>
                              <a:gd name="T14" fmla="+- 0 2088 2078"/>
                              <a:gd name="T15" fmla="*/ 2088 h 20"/>
                              <a:gd name="T16" fmla="+- 0 6306 6298"/>
                              <a:gd name="T17" fmla="*/ T16 w 17"/>
                              <a:gd name="T18" fmla="+- 0 2078 2078"/>
                              <a:gd name="T19" fmla="*/ 2078 h 20"/>
                              <a:gd name="T20" fmla="+- 0 6306 6298"/>
                              <a:gd name="T21" fmla="*/ T20 w 17"/>
                              <a:gd name="T22" fmla="+- 0 2078 2078"/>
                              <a:gd name="T23" fmla="*/ 2078 h 20"/>
                            </a:gdLst>
                            <a:ahLst/>
                            <a:cxnLst>
                              <a:cxn ang="0">
                                <a:pos x="T1" y="T3"/>
                              </a:cxn>
                              <a:cxn ang="0">
                                <a:pos x="T5" y="T7"/>
                              </a:cxn>
                              <a:cxn ang="0">
                                <a:pos x="T9" y="T11"/>
                              </a:cxn>
                              <a:cxn ang="0">
                                <a:pos x="T13" y="T15"/>
                              </a:cxn>
                              <a:cxn ang="0">
                                <a:pos x="T17" y="T19"/>
                              </a:cxn>
                              <a:cxn ang="0">
                                <a:pos x="T21" y="T23"/>
                              </a:cxn>
                            </a:cxnLst>
                            <a:rect l="0" t="0" r="r" b="b"/>
                            <a:pathLst>
                              <a:path w="17" h="20">
                                <a:moveTo>
                                  <a:pt x="8" y="0"/>
                                </a:moveTo>
                                <a:lnTo>
                                  <a:pt x="0" y="10"/>
                                </a:lnTo>
                                <a:lnTo>
                                  <a:pt x="8" y="20"/>
                                </a:lnTo>
                                <a:lnTo>
                                  <a:pt x="16" y="10"/>
                                </a:lnTo>
                                <a:lnTo>
                                  <a:pt x="8" y="0"/>
                                </a:lnTo>
                              </a:path>
                            </a:pathLst>
                          </a:custGeom>
                          <a:noFill/>
                          <a:ln w="153">
                            <a:solidFill>
                              <a:srgbClr val="000000"/>
                            </a:solidFill>
                            <a:round/>
                          </a:ln>
                        </wps:spPr>
                        <wps:bodyPr rot="0" vert="horz" wrap="square" lIns="91440" tIns="45720" rIns="91440" bIns="45720" anchor="t" anchorCtr="0" upright="1">
                          <a:noAutofit/>
                        </wps:bodyPr>
                      </wps:wsp>
                      <pic:pic xmlns:pic="http://schemas.openxmlformats.org/drawingml/2006/picture">
                        <pic:nvPicPr>
                          <pic:cNvPr id="1855" name="Picture 1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6371" y="1887"/>
                            <a:ext cx="115" cy="210"/>
                          </a:xfrm>
                          <a:prstGeom prst="rect">
                            <a:avLst/>
                          </a:prstGeom>
                          <a:noFill/>
                        </pic:spPr>
                      </pic:pic>
                      <pic:pic xmlns:pic="http://schemas.openxmlformats.org/drawingml/2006/picture">
                        <pic:nvPicPr>
                          <pic:cNvPr id="1856" name="Picture 1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6542" y="1957"/>
                            <a:ext cx="180" cy="141"/>
                          </a:xfrm>
                          <a:prstGeom prst="rect">
                            <a:avLst/>
                          </a:prstGeom>
                          <a:noFill/>
                        </pic:spPr>
                      </pic:pic>
                      <wps:wsp>
                        <wps:cNvPr id="1857" name="Freeform 17"/>
                        <wps:cNvSpPr/>
                        <wps:spPr bwMode="auto">
                          <a:xfrm>
                            <a:off x="5415" y="1072"/>
                            <a:ext cx="1936" cy="2"/>
                          </a:xfrm>
                          <a:custGeom>
                            <a:avLst/>
                            <a:gdLst>
                              <a:gd name="T0" fmla="+- 0 5416 5416"/>
                              <a:gd name="T1" fmla="*/ T0 w 1936"/>
                              <a:gd name="T2" fmla="+- 0 7352 5416"/>
                              <a:gd name="T3" fmla="*/ T2 w 1936"/>
                              <a:gd name="T4" fmla="+- 0 7352 5416"/>
                              <a:gd name="T5" fmla="*/ T4 w 1936"/>
                            </a:gdLst>
                            <a:ahLst/>
                            <a:cxnLst>
                              <a:cxn ang="0">
                                <a:pos x="T1" y="0"/>
                              </a:cxn>
                              <a:cxn ang="0">
                                <a:pos x="T3" y="0"/>
                              </a:cxn>
                              <a:cxn ang="0">
                                <a:pos x="T5" y="0"/>
                              </a:cxn>
                            </a:cxnLst>
                            <a:rect l="0" t="0" r="r" b="b"/>
                            <a:pathLst>
                              <a:path w="1936">
                                <a:moveTo>
                                  <a:pt x="0" y="0"/>
                                </a:moveTo>
                                <a:lnTo>
                                  <a:pt x="1936" y="0"/>
                                </a:lnTo>
                              </a:path>
                            </a:pathLst>
                          </a:custGeom>
                          <a:noFill/>
                          <a:ln w="171">
                            <a:solidFill>
                              <a:srgbClr val="000000"/>
                            </a:solidFill>
                            <a:round/>
                          </a:ln>
                        </wps:spPr>
                        <wps:bodyPr rot="0" vert="horz" wrap="square" lIns="91440" tIns="45720" rIns="91440" bIns="45720" anchor="t" anchorCtr="0" upright="1">
                          <a:noAutofit/>
                        </wps:bodyPr>
                      </wps:wsp>
                      <pic:pic xmlns:pic="http://schemas.openxmlformats.org/drawingml/2006/picture">
                        <pic:nvPicPr>
                          <pic:cNvPr id="1858" name="Picture 1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5448" y="854"/>
                            <a:ext cx="101" cy="184"/>
                          </a:xfrm>
                          <a:prstGeom prst="rect">
                            <a:avLst/>
                          </a:prstGeom>
                          <a:noFill/>
                        </pic:spPr>
                      </pic:pic>
                      <wps:wsp>
                        <wps:cNvPr id="1859" name="Freeform 19"/>
                        <wps:cNvSpPr/>
                        <wps:spPr bwMode="auto">
                          <a:xfrm>
                            <a:off x="5598" y="932"/>
                            <a:ext cx="129" cy="2"/>
                          </a:xfrm>
                          <a:custGeom>
                            <a:avLst/>
                            <a:gdLst>
                              <a:gd name="T0" fmla="+- 0 5599 5599"/>
                              <a:gd name="T1" fmla="*/ T0 w 129"/>
                              <a:gd name="T2" fmla="+- 0 5727 5599"/>
                              <a:gd name="T3" fmla="*/ T2 w 129"/>
                              <a:gd name="T4" fmla="+- 0 5728 5599"/>
                              <a:gd name="T5" fmla="*/ T4 w 129"/>
                            </a:gdLst>
                            <a:ahLst/>
                            <a:cxnLst>
                              <a:cxn ang="0">
                                <a:pos x="T1" y="0"/>
                              </a:cxn>
                              <a:cxn ang="0">
                                <a:pos x="T3" y="0"/>
                              </a:cxn>
                              <a:cxn ang="0">
                                <a:pos x="T5" y="0"/>
                              </a:cxn>
                            </a:cxnLst>
                            <a:rect l="0" t="0" r="r" b="b"/>
                            <a:pathLst>
                              <a:path w="129">
                                <a:moveTo>
                                  <a:pt x="0" y="0"/>
                                </a:moveTo>
                                <a:lnTo>
                                  <a:pt x="128" y="0"/>
                                </a:lnTo>
                                <a:lnTo>
                                  <a:pt x="129" y="0"/>
                                </a:lnTo>
                              </a:path>
                            </a:pathLst>
                          </a:custGeom>
                          <a:noFill/>
                          <a:ln w="171">
                            <a:solidFill>
                              <a:srgbClr val="000000"/>
                            </a:solidFill>
                            <a:round/>
                          </a:ln>
                        </wps:spPr>
                        <wps:bodyPr rot="0" vert="horz" wrap="square" lIns="91440" tIns="45720" rIns="91440" bIns="45720" anchor="t" anchorCtr="0" upright="1">
                          <a:noAutofit/>
                        </wps:bodyPr>
                      </wps:wsp>
                      <wps:wsp>
                        <wps:cNvPr id="1860" name="Freeform 20"/>
                        <wps:cNvSpPr/>
                        <wps:spPr bwMode="auto">
                          <a:xfrm>
                            <a:off x="5598" y="985"/>
                            <a:ext cx="129" cy="2"/>
                          </a:xfrm>
                          <a:custGeom>
                            <a:avLst/>
                            <a:gdLst>
                              <a:gd name="T0" fmla="+- 0 5599 5599"/>
                              <a:gd name="T1" fmla="*/ T0 w 129"/>
                              <a:gd name="T2" fmla="+- 0 5727 5599"/>
                              <a:gd name="T3" fmla="*/ T2 w 129"/>
                              <a:gd name="T4" fmla="+- 0 5728 5599"/>
                              <a:gd name="T5" fmla="*/ T4 w 129"/>
                            </a:gdLst>
                            <a:ahLst/>
                            <a:cxnLst>
                              <a:cxn ang="0">
                                <a:pos x="T1" y="0"/>
                              </a:cxn>
                              <a:cxn ang="0">
                                <a:pos x="T3" y="0"/>
                              </a:cxn>
                              <a:cxn ang="0">
                                <a:pos x="T5" y="0"/>
                              </a:cxn>
                            </a:cxnLst>
                            <a:rect l="0" t="0" r="r" b="b"/>
                            <a:pathLst>
                              <a:path w="129">
                                <a:moveTo>
                                  <a:pt x="0" y="0"/>
                                </a:moveTo>
                                <a:lnTo>
                                  <a:pt x="128" y="0"/>
                                </a:lnTo>
                                <a:lnTo>
                                  <a:pt x="129" y="0"/>
                                </a:lnTo>
                              </a:path>
                            </a:pathLst>
                          </a:custGeom>
                          <a:noFill/>
                          <a:ln w="171">
                            <a:solidFill>
                              <a:srgbClr val="000000"/>
                            </a:solidFill>
                            <a:round/>
                          </a:ln>
                        </wps:spPr>
                        <wps:bodyPr rot="0" vert="horz" wrap="square" lIns="91440" tIns="45720" rIns="91440" bIns="45720" anchor="t" anchorCtr="0" upright="1">
                          <a:noAutofit/>
                        </wps:bodyPr>
                      </wps:wsp>
                      <wps:wsp>
                        <wps:cNvPr id="1861" name="Freeform 21"/>
                        <wps:cNvSpPr/>
                        <wps:spPr bwMode="auto">
                          <a:xfrm>
                            <a:off x="5798" y="854"/>
                            <a:ext cx="37" cy="184"/>
                          </a:xfrm>
                          <a:custGeom>
                            <a:avLst/>
                            <a:gdLst>
                              <a:gd name="T0" fmla="+- 0 5799 5799"/>
                              <a:gd name="T1" fmla="*/ T0 w 37"/>
                              <a:gd name="T2" fmla="+- 0 889 854"/>
                              <a:gd name="T3" fmla="*/ 889 h 184"/>
                              <a:gd name="T4" fmla="+- 0 5813 5799"/>
                              <a:gd name="T5" fmla="*/ T4 w 37"/>
                              <a:gd name="T6" fmla="+- 0 880 854"/>
                              <a:gd name="T7" fmla="*/ 880 h 184"/>
                              <a:gd name="T8" fmla="+- 0 5835 5799"/>
                              <a:gd name="T9" fmla="*/ T8 w 37"/>
                              <a:gd name="T10" fmla="+- 0 854 854"/>
                              <a:gd name="T11" fmla="*/ 854 h 184"/>
                              <a:gd name="T12" fmla="+- 0 5835 5799"/>
                              <a:gd name="T13" fmla="*/ T12 w 37"/>
                              <a:gd name="T14" fmla="+- 0 1038 854"/>
                              <a:gd name="T15" fmla="*/ 1038 h 184"/>
                              <a:gd name="T16" fmla="+- 0 5835 5799"/>
                              <a:gd name="T17" fmla="*/ T16 w 37"/>
                              <a:gd name="T18" fmla="+- 0 1038 854"/>
                              <a:gd name="T19" fmla="*/ 1038 h 184"/>
                            </a:gdLst>
                            <a:ahLst/>
                            <a:cxnLst>
                              <a:cxn ang="0">
                                <a:pos x="T1" y="T3"/>
                              </a:cxn>
                              <a:cxn ang="0">
                                <a:pos x="T5" y="T7"/>
                              </a:cxn>
                              <a:cxn ang="0">
                                <a:pos x="T9" y="T11"/>
                              </a:cxn>
                              <a:cxn ang="0">
                                <a:pos x="T13" y="T15"/>
                              </a:cxn>
                              <a:cxn ang="0">
                                <a:pos x="T17" y="T19"/>
                              </a:cxn>
                            </a:cxnLst>
                            <a:rect l="0" t="0" r="r" b="b"/>
                            <a:pathLst>
                              <a:path w="37" h="184">
                                <a:moveTo>
                                  <a:pt x="0" y="35"/>
                                </a:moveTo>
                                <a:lnTo>
                                  <a:pt x="14" y="26"/>
                                </a:lnTo>
                                <a:lnTo>
                                  <a:pt x="36" y="0"/>
                                </a:lnTo>
                                <a:lnTo>
                                  <a:pt x="36" y="184"/>
                                </a:lnTo>
                              </a:path>
                            </a:pathLst>
                          </a:custGeom>
                          <a:noFill/>
                          <a:ln w="141">
                            <a:solidFill>
                              <a:srgbClr val="000000"/>
                            </a:solidFill>
                            <a:round/>
                          </a:ln>
                        </wps:spPr>
                        <wps:bodyPr rot="0" vert="horz" wrap="square" lIns="91440" tIns="45720" rIns="91440" bIns="45720" anchor="t" anchorCtr="0" upright="1">
                          <a:noAutofit/>
                        </wps:bodyPr>
                      </wps:wsp>
                      <wps:wsp>
                        <wps:cNvPr id="1862" name="Freeform 22"/>
                        <wps:cNvSpPr/>
                        <wps:spPr bwMode="auto">
                          <a:xfrm>
                            <a:off x="5927" y="1020"/>
                            <a:ext cx="15" cy="18"/>
                          </a:xfrm>
                          <a:custGeom>
                            <a:avLst/>
                            <a:gdLst>
                              <a:gd name="T0" fmla="+- 0 5935 5927"/>
                              <a:gd name="T1" fmla="*/ T0 w 15"/>
                              <a:gd name="T2" fmla="+- 0 1020 1020"/>
                              <a:gd name="T3" fmla="*/ 1020 h 18"/>
                              <a:gd name="T4" fmla="+- 0 5927 5927"/>
                              <a:gd name="T5" fmla="*/ T4 w 15"/>
                              <a:gd name="T6" fmla="+- 0 1029 1020"/>
                              <a:gd name="T7" fmla="*/ 1029 h 18"/>
                              <a:gd name="T8" fmla="+- 0 5935 5927"/>
                              <a:gd name="T9" fmla="*/ T8 w 15"/>
                              <a:gd name="T10" fmla="+- 0 1038 1020"/>
                              <a:gd name="T11" fmla="*/ 1038 h 18"/>
                              <a:gd name="T12" fmla="+- 0 5942 5927"/>
                              <a:gd name="T13" fmla="*/ T12 w 15"/>
                              <a:gd name="T14" fmla="+- 0 1029 1020"/>
                              <a:gd name="T15" fmla="*/ 1029 h 18"/>
                              <a:gd name="T16" fmla="+- 0 5935 5927"/>
                              <a:gd name="T17" fmla="*/ T16 w 15"/>
                              <a:gd name="T18" fmla="+- 0 1020 1020"/>
                              <a:gd name="T19" fmla="*/ 1020 h 18"/>
                              <a:gd name="T20" fmla="+- 0 5935 5927"/>
                              <a:gd name="T21" fmla="*/ T20 w 15"/>
                              <a:gd name="T22" fmla="+- 0 1020 1020"/>
                              <a:gd name="T23" fmla="*/ 1020 h 18"/>
                            </a:gdLst>
                            <a:ahLst/>
                            <a:cxnLst>
                              <a:cxn ang="0">
                                <a:pos x="T1" y="T3"/>
                              </a:cxn>
                              <a:cxn ang="0">
                                <a:pos x="T5" y="T7"/>
                              </a:cxn>
                              <a:cxn ang="0">
                                <a:pos x="T9" y="T11"/>
                              </a:cxn>
                              <a:cxn ang="0">
                                <a:pos x="T13" y="T15"/>
                              </a:cxn>
                              <a:cxn ang="0">
                                <a:pos x="T17" y="T19"/>
                              </a:cxn>
                              <a:cxn ang="0">
                                <a:pos x="T21" y="T23"/>
                              </a:cxn>
                            </a:cxnLst>
                            <a:rect l="0" t="0" r="r" b="b"/>
                            <a:pathLst>
                              <a:path w="15" h="18">
                                <a:moveTo>
                                  <a:pt x="8" y="0"/>
                                </a:moveTo>
                                <a:lnTo>
                                  <a:pt x="0" y="9"/>
                                </a:lnTo>
                                <a:lnTo>
                                  <a:pt x="8" y="18"/>
                                </a:lnTo>
                                <a:lnTo>
                                  <a:pt x="15" y="9"/>
                                </a:lnTo>
                                <a:lnTo>
                                  <a:pt x="8" y="0"/>
                                </a:lnTo>
                              </a:path>
                            </a:pathLst>
                          </a:custGeom>
                          <a:noFill/>
                          <a:ln w="153">
                            <a:solidFill>
                              <a:srgbClr val="000000"/>
                            </a:solidFill>
                            <a:round/>
                          </a:ln>
                        </wps:spPr>
                        <wps:bodyPr rot="0" vert="horz" wrap="square" lIns="91440" tIns="45720" rIns="91440" bIns="45720" anchor="t" anchorCtr="0" upright="1">
                          <a:noAutofit/>
                        </wps:bodyPr>
                      </wps:wsp>
                      <pic:pic xmlns:pic="http://schemas.openxmlformats.org/drawingml/2006/picture">
                        <pic:nvPicPr>
                          <pic:cNvPr id="1863" name="Picture 2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5991" y="854"/>
                            <a:ext cx="101" cy="184"/>
                          </a:xfrm>
                          <a:prstGeom prst="rect">
                            <a:avLst/>
                          </a:prstGeom>
                          <a:noFill/>
                        </pic:spPr>
                      </pic:pic>
                      <pic:pic xmlns:pic="http://schemas.openxmlformats.org/drawingml/2006/picture">
                        <pic:nvPicPr>
                          <pic:cNvPr id="1864" name="Picture 2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6141" y="915"/>
                            <a:ext cx="158" cy="123"/>
                          </a:xfrm>
                          <a:prstGeom prst="rect">
                            <a:avLst/>
                          </a:prstGeom>
                          <a:noFill/>
                        </pic:spPr>
                      </pic:pic>
                      <wps:wsp>
                        <wps:cNvPr id="1865" name="Freeform 25"/>
                        <wps:cNvSpPr/>
                        <wps:spPr bwMode="auto">
                          <a:xfrm>
                            <a:off x="6356" y="819"/>
                            <a:ext cx="51" cy="280"/>
                          </a:xfrm>
                          <a:custGeom>
                            <a:avLst/>
                            <a:gdLst>
                              <a:gd name="T0" fmla="+- 0 6406 6356"/>
                              <a:gd name="T1" fmla="*/ T0 w 51"/>
                              <a:gd name="T2" fmla="+- 0 819 819"/>
                              <a:gd name="T3" fmla="*/ 819 h 280"/>
                              <a:gd name="T4" fmla="+- 0 6392 6356"/>
                              <a:gd name="T5" fmla="*/ T4 w 51"/>
                              <a:gd name="T6" fmla="+- 0 837 819"/>
                              <a:gd name="T7" fmla="*/ 837 h 280"/>
                              <a:gd name="T8" fmla="+- 0 6378 6356"/>
                              <a:gd name="T9" fmla="*/ T8 w 51"/>
                              <a:gd name="T10" fmla="+- 0 863 819"/>
                              <a:gd name="T11" fmla="*/ 863 h 280"/>
                              <a:gd name="T12" fmla="+- 0 6363 6356"/>
                              <a:gd name="T13" fmla="*/ T12 w 51"/>
                              <a:gd name="T14" fmla="+- 0 898 819"/>
                              <a:gd name="T15" fmla="*/ 898 h 280"/>
                              <a:gd name="T16" fmla="+- 0 6356 6356"/>
                              <a:gd name="T17" fmla="*/ T16 w 51"/>
                              <a:gd name="T18" fmla="+- 0 942 819"/>
                              <a:gd name="T19" fmla="*/ 942 h 280"/>
                              <a:gd name="T20" fmla="+- 0 6356 6356"/>
                              <a:gd name="T21" fmla="*/ T20 w 51"/>
                              <a:gd name="T22" fmla="+- 0 976 819"/>
                              <a:gd name="T23" fmla="*/ 976 h 280"/>
                              <a:gd name="T24" fmla="+- 0 6363 6356"/>
                              <a:gd name="T25" fmla="*/ T24 w 51"/>
                              <a:gd name="T26" fmla="+- 0 1020 819"/>
                              <a:gd name="T27" fmla="*/ 1020 h 280"/>
                              <a:gd name="T28" fmla="+- 0 6378 6356"/>
                              <a:gd name="T29" fmla="*/ T28 w 51"/>
                              <a:gd name="T30" fmla="+- 0 1055 819"/>
                              <a:gd name="T31" fmla="*/ 1055 h 280"/>
                              <a:gd name="T32" fmla="+- 0 6392 6356"/>
                              <a:gd name="T33" fmla="*/ T32 w 51"/>
                              <a:gd name="T34" fmla="+- 0 1082 819"/>
                              <a:gd name="T35" fmla="*/ 1082 h 280"/>
                              <a:gd name="T36" fmla="+- 0 6406 6356"/>
                              <a:gd name="T37" fmla="*/ T36 w 51"/>
                              <a:gd name="T38" fmla="+- 0 1099 819"/>
                              <a:gd name="T39" fmla="*/ 1099 h 280"/>
                              <a:gd name="T40" fmla="+- 0 6406 6356"/>
                              <a:gd name="T41" fmla="*/ T40 w 51"/>
                              <a:gd name="T42" fmla="+- 0 1099 819"/>
                              <a:gd name="T43" fmla="*/ 1099 h 2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51" h="280">
                                <a:moveTo>
                                  <a:pt x="50" y="0"/>
                                </a:moveTo>
                                <a:lnTo>
                                  <a:pt x="36" y="18"/>
                                </a:lnTo>
                                <a:lnTo>
                                  <a:pt x="22" y="44"/>
                                </a:lnTo>
                                <a:lnTo>
                                  <a:pt x="7" y="79"/>
                                </a:lnTo>
                                <a:lnTo>
                                  <a:pt x="0" y="123"/>
                                </a:lnTo>
                                <a:lnTo>
                                  <a:pt x="0" y="157"/>
                                </a:lnTo>
                                <a:lnTo>
                                  <a:pt x="7" y="201"/>
                                </a:lnTo>
                                <a:lnTo>
                                  <a:pt x="22" y="236"/>
                                </a:lnTo>
                                <a:lnTo>
                                  <a:pt x="36" y="263"/>
                                </a:lnTo>
                                <a:lnTo>
                                  <a:pt x="50" y="280"/>
                                </a:lnTo>
                              </a:path>
                            </a:pathLst>
                          </a:custGeom>
                          <a:noFill/>
                          <a:ln w="141">
                            <a:solidFill>
                              <a:srgbClr val="000000"/>
                            </a:solidFill>
                            <a:round/>
                          </a:ln>
                        </wps:spPr>
                        <wps:bodyPr rot="0" vert="horz" wrap="square" lIns="91440" tIns="45720" rIns="91440" bIns="45720" anchor="t" anchorCtr="0" upright="1">
                          <a:noAutofit/>
                        </wps:bodyPr>
                      </wps:wsp>
                      <pic:pic xmlns:pic="http://schemas.openxmlformats.org/drawingml/2006/picture">
                        <pic:nvPicPr>
                          <pic:cNvPr id="1866" name="Picture 2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a:xfrm>
                            <a:off x="6448" y="854"/>
                            <a:ext cx="101" cy="184"/>
                          </a:xfrm>
                          <a:prstGeom prst="rect">
                            <a:avLst/>
                          </a:prstGeom>
                          <a:noFill/>
                        </pic:spPr>
                      </pic:pic>
                      <wps:wsp>
                        <wps:cNvPr id="1867" name="Freeform 27"/>
                        <wps:cNvSpPr/>
                        <wps:spPr bwMode="auto">
                          <a:xfrm>
                            <a:off x="6599" y="1020"/>
                            <a:ext cx="15" cy="18"/>
                          </a:xfrm>
                          <a:custGeom>
                            <a:avLst/>
                            <a:gdLst>
                              <a:gd name="T0" fmla="+- 0 6606 6599"/>
                              <a:gd name="T1" fmla="*/ T0 w 15"/>
                              <a:gd name="T2" fmla="+- 0 1020 1020"/>
                              <a:gd name="T3" fmla="*/ 1020 h 18"/>
                              <a:gd name="T4" fmla="+- 0 6599 6599"/>
                              <a:gd name="T5" fmla="*/ T4 w 15"/>
                              <a:gd name="T6" fmla="+- 0 1029 1020"/>
                              <a:gd name="T7" fmla="*/ 1029 h 18"/>
                              <a:gd name="T8" fmla="+- 0 6606 6599"/>
                              <a:gd name="T9" fmla="*/ T8 w 15"/>
                              <a:gd name="T10" fmla="+- 0 1038 1020"/>
                              <a:gd name="T11" fmla="*/ 1038 h 18"/>
                              <a:gd name="T12" fmla="+- 0 6613 6599"/>
                              <a:gd name="T13" fmla="*/ T12 w 15"/>
                              <a:gd name="T14" fmla="+- 0 1029 1020"/>
                              <a:gd name="T15" fmla="*/ 1029 h 18"/>
                              <a:gd name="T16" fmla="+- 0 6606 6599"/>
                              <a:gd name="T17" fmla="*/ T16 w 15"/>
                              <a:gd name="T18" fmla="+- 0 1020 1020"/>
                              <a:gd name="T19" fmla="*/ 1020 h 18"/>
                              <a:gd name="T20" fmla="+- 0 6606 6599"/>
                              <a:gd name="T21" fmla="*/ T20 w 15"/>
                              <a:gd name="T22" fmla="+- 0 1020 1020"/>
                              <a:gd name="T23" fmla="*/ 1020 h 18"/>
                            </a:gdLst>
                            <a:ahLst/>
                            <a:cxnLst>
                              <a:cxn ang="0">
                                <a:pos x="T1" y="T3"/>
                              </a:cxn>
                              <a:cxn ang="0">
                                <a:pos x="T5" y="T7"/>
                              </a:cxn>
                              <a:cxn ang="0">
                                <a:pos x="T9" y="T11"/>
                              </a:cxn>
                              <a:cxn ang="0">
                                <a:pos x="T13" y="T15"/>
                              </a:cxn>
                              <a:cxn ang="0">
                                <a:pos x="T17" y="T19"/>
                              </a:cxn>
                              <a:cxn ang="0">
                                <a:pos x="T21" y="T23"/>
                              </a:cxn>
                            </a:cxnLst>
                            <a:rect l="0" t="0" r="r" b="b"/>
                            <a:pathLst>
                              <a:path w="15" h="18">
                                <a:moveTo>
                                  <a:pt x="7" y="0"/>
                                </a:moveTo>
                                <a:lnTo>
                                  <a:pt x="0" y="9"/>
                                </a:lnTo>
                                <a:lnTo>
                                  <a:pt x="7" y="18"/>
                                </a:lnTo>
                                <a:lnTo>
                                  <a:pt x="14" y="9"/>
                                </a:lnTo>
                                <a:lnTo>
                                  <a:pt x="7" y="0"/>
                                </a:lnTo>
                              </a:path>
                            </a:pathLst>
                          </a:custGeom>
                          <a:noFill/>
                          <a:ln w="153">
                            <a:solidFill>
                              <a:srgbClr val="000000"/>
                            </a:solidFill>
                            <a:round/>
                          </a:ln>
                        </wps:spPr>
                        <wps:bodyPr rot="0" vert="horz" wrap="square" lIns="91440" tIns="45720" rIns="91440" bIns="45720" anchor="t" anchorCtr="0" upright="1">
                          <a:noAutofit/>
                        </wps:bodyPr>
                      </wps:wsp>
                      <wps:wsp>
                        <wps:cNvPr id="1868" name="Freeform 28"/>
                        <wps:cNvSpPr/>
                        <wps:spPr bwMode="auto">
                          <a:xfrm>
                            <a:off x="6691" y="854"/>
                            <a:ext cx="72" cy="184"/>
                          </a:xfrm>
                          <a:custGeom>
                            <a:avLst/>
                            <a:gdLst>
                              <a:gd name="T0" fmla="+- 0 6764 6692"/>
                              <a:gd name="T1" fmla="*/ T0 w 72"/>
                              <a:gd name="T2" fmla="+- 0 854 854"/>
                              <a:gd name="T3" fmla="*/ 854 h 184"/>
                              <a:gd name="T4" fmla="+- 0 6692 6692"/>
                              <a:gd name="T5" fmla="*/ T4 w 72"/>
                              <a:gd name="T6" fmla="+- 0 1038 854"/>
                              <a:gd name="T7" fmla="*/ 1038 h 184"/>
                              <a:gd name="T8" fmla="+- 0 6692 6692"/>
                              <a:gd name="T9" fmla="*/ T8 w 72"/>
                              <a:gd name="T10" fmla="+- 0 1038 854"/>
                              <a:gd name="T11" fmla="*/ 1038 h 184"/>
                            </a:gdLst>
                            <a:ahLst/>
                            <a:cxnLst>
                              <a:cxn ang="0">
                                <a:pos x="T1" y="T3"/>
                              </a:cxn>
                              <a:cxn ang="0">
                                <a:pos x="T5" y="T7"/>
                              </a:cxn>
                              <a:cxn ang="0">
                                <a:pos x="T9" y="T11"/>
                              </a:cxn>
                            </a:cxnLst>
                            <a:rect l="0" t="0" r="r" b="b"/>
                            <a:pathLst>
                              <a:path w="72" h="184">
                                <a:moveTo>
                                  <a:pt x="72" y="0"/>
                                </a:moveTo>
                                <a:lnTo>
                                  <a:pt x="0" y="184"/>
                                </a:lnTo>
                              </a:path>
                            </a:pathLst>
                          </a:custGeom>
                          <a:noFill/>
                          <a:ln w="144">
                            <a:solidFill>
                              <a:srgbClr val="000000"/>
                            </a:solidFill>
                            <a:round/>
                          </a:ln>
                        </wps:spPr>
                        <wps:bodyPr rot="0" vert="horz" wrap="square" lIns="91440" tIns="45720" rIns="91440" bIns="45720" anchor="t" anchorCtr="0" upright="1">
                          <a:noAutofit/>
                        </wps:bodyPr>
                      </wps:wsp>
                      <wps:wsp>
                        <wps:cNvPr id="1869" name="Freeform 29"/>
                        <wps:cNvSpPr/>
                        <wps:spPr bwMode="auto">
                          <a:xfrm>
                            <a:off x="6663" y="854"/>
                            <a:ext cx="101" cy="2"/>
                          </a:xfrm>
                          <a:custGeom>
                            <a:avLst/>
                            <a:gdLst>
                              <a:gd name="T0" fmla="+- 0 6663 6663"/>
                              <a:gd name="T1" fmla="*/ T0 w 101"/>
                              <a:gd name="T2" fmla="+- 0 6764 6663"/>
                              <a:gd name="T3" fmla="*/ T2 w 101"/>
                              <a:gd name="T4" fmla="+- 0 6764 6663"/>
                              <a:gd name="T5" fmla="*/ T4 w 101"/>
                            </a:gdLst>
                            <a:ahLst/>
                            <a:cxnLst>
                              <a:cxn ang="0">
                                <a:pos x="T1" y="0"/>
                              </a:cxn>
                              <a:cxn ang="0">
                                <a:pos x="T3" y="0"/>
                              </a:cxn>
                              <a:cxn ang="0">
                                <a:pos x="T5" y="0"/>
                              </a:cxn>
                            </a:cxnLst>
                            <a:rect l="0" t="0" r="r" b="b"/>
                            <a:pathLst>
                              <a:path w="101">
                                <a:moveTo>
                                  <a:pt x="0" y="0"/>
                                </a:moveTo>
                                <a:lnTo>
                                  <a:pt x="101" y="0"/>
                                </a:lnTo>
                              </a:path>
                            </a:pathLst>
                          </a:custGeom>
                          <a:noFill/>
                          <a:ln w="171">
                            <a:solidFill>
                              <a:srgbClr val="000000"/>
                            </a:solidFill>
                            <a:round/>
                          </a:ln>
                        </wps:spPr>
                        <wps:bodyPr rot="0" vert="horz" wrap="square" lIns="91440" tIns="45720" rIns="91440" bIns="45720" anchor="t" anchorCtr="0" upright="1">
                          <a:noAutofit/>
                        </wps:bodyPr>
                      </wps:wsp>
                      <pic:pic xmlns:pic="http://schemas.openxmlformats.org/drawingml/2006/picture">
                        <pic:nvPicPr>
                          <pic:cNvPr id="1870" name="Picture 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6806" y="854"/>
                            <a:ext cx="101" cy="184"/>
                          </a:xfrm>
                          <a:prstGeom prst="rect">
                            <a:avLst/>
                          </a:prstGeom>
                          <a:noFill/>
                        </pic:spPr>
                      </pic:pic>
                      <pic:pic xmlns:pic="http://schemas.openxmlformats.org/drawingml/2006/picture">
                        <pic:nvPicPr>
                          <pic:cNvPr id="1871" name="Picture 3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6956" y="915"/>
                            <a:ext cx="158" cy="123"/>
                          </a:xfrm>
                          <a:prstGeom prst="rect">
                            <a:avLst/>
                          </a:prstGeom>
                          <a:noFill/>
                        </pic:spPr>
                      </pic:pic>
                      <wps:wsp>
                        <wps:cNvPr id="1872" name="Freeform 32"/>
                        <wps:cNvSpPr/>
                        <wps:spPr bwMode="auto">
                          <a:xfrm>
                            <a:off x="7163" y="819"/>
                            <a:ext cx="51" cy="280"/>
                          </a:xfrm>
                          <a:custGeom>
                            <a:avLst/>
                            <a:gdLst>
                              <a:gd name="T0" fmla="+- 0 7164 7164"/>
                              <a:gd name="T1" fmla="*/ T0 w 51"/>
                              <a:gd name="T2" fmla="+- 0 819 819"/>
                              <a:gd name="T3" fmla="*/ 819 h 280"/>
                              <a:gd name="T4" fmla="+- 0 7178 7164"/>
                              <a:gd name="T5" fmla="*/ T4 w 51"/>
                              <a:gd name="T6" fmla="+- 0 837 819"/>
                              <a:gd name="T7" fmla="*/ 837 h 280"/>
                              <a:gd name="T8" fmla="+- 0 7192 7164"/>
                              <a:gd name="T9" fmla="*/ T8 w 51"/>
                              <a:gd name="T10" fmla="+- 0 863 819"/>
                              <a:gd name="T11" fmla="*/ 863 h 280"/>
                              <a:gd name="T12" fmla="+- 0 7207 7164"/>
                              <a:gd name="T13" fmla="*/ T12 w 51"/>
                              <a:gd name="T14" fmla="+- 0 898 819"/>
                              <a:gd name="T15" fmla="*/ 898 h 280"/>
                              <a:gd name="T16" fmla="+- 0 7214 7164"/>
                              <a:gd name="T17" fmla="*/ T16 w 51"/>
                              <a:gd name="T18" fmla="+- 0 942 819"/>
                              <a:gd name="T19" fmla="*/ 942 h 280"/>
                              <a:gd name="T20" fmla="+- 0 7214 7164"/>
                              <a:gd name="T21" fmla="*/ T20 w 51"/>
                              <a:gd name="T22" fmla="+- 0 976 819"/>
                              <a:gd name="T23" fmla="*/ 976 h 280"/>
                              <a:gd name="T24" fmla="+- 0 7207 7164"/>
                              <a:gd name="T25" fmla="*/ T24 w 51"/>
                              <a:gd name="T26" fmla="+- 0 1020 819"/>
                              <a:gd name="T27" fmla="*/ 1020 h 280"/>
                              <a:gd name="T28" fmla="+- 0 7192 7164"/>
                              <a:gd name="T29" fmla="*/ T28 w 51"/>
                              <a:gd name="T30" fmla="+- 0 1055 819"/>
                              <a:gd name="T31" fmla="*/ 1055 h 280"/>
                              <a:gd name="T32" fmla="+- 0 7178 7164"/>
                              <a:gd name="T33" fmla="*/ T32 w 51"/>
                              <a:gd name="T34" fmla="+- 0 1082 819"/>
                              <a:gd name="T35" fmla="*/ 1082 h 280"/>
                              <a:gd name="T36" fmla="+- 0 7164 7164"/>
                              <a:gd name="T37" fmla="*/ T36 w 51"/>
                              <a:gd name="T38" fmla="+- 0 1099 819"/>
                              <a:gd name="T39" fmla="*/ 1099 h 280"/>
                              <a:gd name="T40" fmla="+- 0 7164 7164"/>
                              <a:gd name="T41" fmla="*/ T40 w 51"/>
                              <a:gd name="T42" fmla="+- 0 1099 819"/>
                              <a:gd name="T43" fmla="*/ 1099 h 2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51" h="280">
                                <a:moveTo>
                                  <a:pt x="0" y="0"/>
                                </a:moveTo>
                                <a:lnTo>
                                  <a:pt x="14" y="18"/>
                                </a:lnTo>
                                <a:lnTo>
                                  <a:pt x="28" y="44"/>
                                </a:lnTo>
                                <a:lnTo>
                                  <a:pt x="43" y="79"/>
                                </a:lnTo>
                                <a:lnTo>
                                  <a:pt x="50" y="123"/>
                                </a:lnTo>
                                <a:lnTo>
                                  <a:pt x="50" y="157"/>
                                </a:lnTo>
                                <a:lnTo>
                                  <a:pt x="43" y="201"/>
                                </a:lnTo>
                                <a:lnTo>
                                  <a:pt x="28" y="236"/>
                                </a:lnTo>
                                <a:lnTo>
                                  <a:pt x="14" y="263"/>
                                </a:lnTo>
                                <a:lnTo>
                                  <a:pt x="0" y="280"/>
                                </a:lnTo>
                              </a:path>
                            </a:pathLst>
                          </a:custGeom>
                          <a:noFill/>
                          <a:ln w="141">
                            <a:solidFill>
                              <a:srgbClr val="000000"/>
                            </a:solidFill>
                            <a:round/>
                          </a:ln>
                        </wps:spPr>
                        <wps:bodyPr rot="0" vert="horz" wrap="square" lIns="91440" tIns="45720" rIns="91440" bIns="45720" anchor="t" anchorCtr="0" upright="1">
                          <a:noAutofit/>
                        </wps:bodyPr>
                      </wps:wsp>
                      <wps:wsp>
                        <wps:cNvPr id="1873" name="Freeform 33"/>
                        <wps:cNvSpPr/>
                        <wps:spPr bwMode="auto">
                          <a:xfrm>
                            <a:off x="5315" y="491"/>
                            <a:ext cx="1423" cy="2"/>
                          </a:xfrm>
                          <a:custGeom>
                            <a:avLst/>
                            <a:gdLst>
                              <a:gd name="T0" fmla="+- 0 5315 5315"/>
                              <a:gd name="T1" fmla="*/ T0 w 1423"/>
                              <a:gd name="T2" fmla="+- 0 6737 5315"/>
                              <a:gd name="T3" fmla="*/ T2 w 1423"/>
                              <a:gd name="T4" fmla="+- 0 6737 5315"/>
                              <a:gd name="T5" fmla="*/ T4 w 1423"/>
                            </a:gdLst>
                            <a:ahLst/>
                            <a:cxnLst>
                              <a:cxn ang="0">
                                <a:pos x="T1" y="0"/>
                              </a:cxn>
                              <a:cxn ang="0">
                                <a:pos x="T3" y="0"/>
                              </a:cxn>
                              <a:cxn ang="0">
                                <a:pos x="T5" y="0"/>
                              </a:cxn>
                            </a:cxnLst>
                            <a:rect l="0" t="0" r="r" b="b"/>
                            <a:pathLst>
                              <a:path w="1423">
                                <a:moveTo>
                                  <a:pt x="0" y="0"/>
                                </a:moveTo>
                                <a:lnTo>
                                  <a:pt x="1422" y="0"/>
                                </a:lnTo>
                              </a:path>
                            </a:pathLst>
                          </a:custGeom>
                          <a:noFill/>
                          <a:ln w="171">
                            <a:solidFill>
                              <a:srgbClr val="000000"/>
                            </a:solidFill>
                            <a:round/>
                          </a:ln>
                        </wps:spPr>
                        <wps:bodyPr rot="0" vert="horz" wrap="square" lIns="91440" tIns="45720" rIns="91440" bIns="45720" anchor="t" anchorCtr="0" upright="1">
                          <a:noAutofit/>
                        </wps:bodyPr>
                      </wps:wsp>
                      <pic:pic xmlns:pic="http://schemas.openxmlformats.org/drawingml/2006/picture">
                        <pic:nvPicPr>
                          <pic:cNvPr id="1874" name="Picture 3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a:xfrm>
                            <a:off x="5366" y="257"/>
                            <a:ext cx="101" cy="184"/>
                          </a:xfrm>
                          <a:prstGeom prst="rect">
                            <a:avLst/>
                          </a:prstGeom>
                          <a:noFill/>
                        </pic:spPr>
                      </pic:pic>
                      <wps:wsp>
                        <wps:cNvPr id="1875" name="Freeform 35"/>
                        <wps:cNvSpPr/>
                        <wps:spPr bwMode="auto">
                          <a:xfrm>
                            <a:off x="5516" y="335"/>
                            <a:ext cx="129" cy="2"/>
                          </a:xfrm>
                          <a:custGeom>
                            <a:avLst/>
                            <a:gdLst>
                              <a:gd name="T0" fmla="+- 0 5516 5516"/>
                              <a:gd name="T1" fmla="*/ T0 w 129"/>
                              <a:gd name="T2" fmla="+- 0 5645 5516"/>
                              <a:gd name="T3" fmla="*/ T2 w 129"/>
                              <a:gd name="T4" fmla="+- 0 5645 5516"/>
                              <a:gd name="T5" fmla="*/ T4 w 129"/>
                            </a:gdLst>
                            <a:ahLst/>
                            <a:cxnLst>
                              <a:cxn ang="0">
                                <a:pos x="T1" y="0"/>
                              </a:cxn>
                              <a:cxn ang="0">
                                <a:pos x="T3" y="0"/>
                              </a:cxn>
                              <a:cxn ang="0">
                                <a:pos x="T5" y="0"/>
                              </a:cxn>
                            </a:cxnLst>
                            <a:rect l="0" t="0" r="r" b="b"/>
                            <a:pathLst>
                              <a:path w="129">
                                <a:moveTo>
                                  <a:pt x="0" y="0"/>
                                </a:moveTo>
                                <a:lnTo>
                                  <a:pt x="129" y="0"/>
                                </a:lnTo>
                              </a:path>
                            </a:pathLst>
                          </a:custGeom>
                          <a:noFill/>
                          <a:ln w="171">
                            <a:solidFill>
                              <a:srgbClr val="000000"/>
                            </a:solidFill>
                            <a:round/>
                          </a:ln>
                        </wps:spPr>
                        <wps:bodyPr rot="0" vert="horz" wrap="square" lIns="91440" tIns="45720" rIns="91440" bIns="45720" anchor="t" anchorCtr="0" upright="1">
                          <a:noAutofit/>
                        </wps:bodyPr>
                      </wps:wsp>
                      <wps:wsp>
                        <wps:cNvPr id="1876" name="Freeform 36"/>
                        <wps:cNvSpPr/>
                        <wps:spPr bwMode="auto">
                          <a:xfrm>
                            <a:off x="5516" y="388"/>
                            <a:ext cx="129" cy="2"/>
                          </a:xfrm>
                          <a:custGeom>
                            <a:avLst/>
                            <a:gdLst>
                              <a:gd name="T0" fmla="+- 0 5516 5516"/>
                              <a:gd name="T1" fmla="*/ T0 w 129"/>
                              <a:gd name="T2" fmla="+- 0 5645 5516"/>
                              <a:gd name="T3" fmla="*/ T2 w 129"/>
                              <a:gd name="T4" fmla="+- 0 5645 5516"/>
                              <a:gd name="T5" fmla="*/ T4 w 129"/>
                            </a:gdLst>
                            <a:ahLst/>
                            <a:cxnLst>
                              <a:cxn ang="0">
                                <a:pos x="T1" y="0"/>
                              </a:cxn>
                              <a:cxn ang="0">
                                <a:pos x="T3" y="0"/>
                              </a:cxn>
                              <a:cxn ang="0">
                                <a:pos x="T5" y="0"/>
                              </a:cxn>
                            </a:cxnLst>
                            <a:rect l="0" t="0" r="r" b="b"/>
                            <a:pathLst>
                              <a:path w="129">
                                <a:moveTo>
                                  <a:pt x="0" y="0"/>
                                </a:moveTo>
                                <a:lnTo>
                                  <a:pt x="129" y="0"/>
                                </a:lnTo>
                              </a:path>
                            </a:pathLst>
                          </a:custGeom>
                          <a:noFill/>
                          <a:ln w="171">
                            <a:solidFill>
                              <a:srgbClr val="000000"/>
                            </a:solidFill>
                            <a:round/>
                          </a:ln>
                        </wps:spPr>
                        <wps:bodyPr rot="0" vert="horz" wrap="square" lIns="91440" tIns="45720" rIns="91440" bIns="45720" anchor="t" anchorCtr="0" upright="1">
                          <a:noAutofit/>
                        </wps:bodyPr>
                      </wps:wsp>
                      <pic:pic xmlns:pic="http://schemas.openxmlformats.org/drawingml/2006/picture">
                        <pic:nvPicPr>
                          <pic:cNvPr id="1877" name="Picture 37"/>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5694" y="257"/>
                            <a:ext cx="101" cy="184"/>
                          </a:xfrm>
                          <a:prstGeom prst="rect">
                            <a:avLst/>
                          </a:prstGeom>
                          <a:noFill/>
                        </pic:spPr>
                      </pic:pic>
                      <wps:wsp>
                        <wps:cNvPr id="1878" name="Freeform 38"/>
                        <wps:cNvSpPr/>
                        <wps:spPr bwMode="auto">
                          <a:xfrm>
                            <a:off x="5845" y="423"/>
                            <a:ext cx="15" cy="18"/>
                          </a:xfrm>
                          <a:custGeom>
                            <a:avLst/>
                            <a:gdLst>
                              <a:gd name="T0" fmla="+- 0 5852 5845"/>
                              <a:gd name="T1" fmla="*/ T0 w 15"/>
                              <a:gd name="T2" fmla="+- 0 424 424"/>
                              <a:gd name="T3" fmla="*/ 424 h 18"/>
                              <a:gd name="T4" fmla="+- 0 5845 5845"/>
                              <a:gd name="T5" fmla="*/ T4 w 15"/>
                              <a:gd name="T6" fmla="+- 0 432 424"/>
                              <a:gd name="T7" fmla="*/ 432 h 18"/>
                              <a:gd name="T8" fmla="+- 0 5852 5845"/>
                              <a:gd name="T9" fmla="*/ T8 w 15"/>
                              <a:gd name="T10" fmla="+- 0 441 424"/>
                              <a:gd name="T11" fmla="*/ 441 h 18"/>
                              <a:gd name="T12" fmla="+- 0 5859 5845"/>
                              <a:gd name="T13" fmla="*/ T12 w 15"/>
                              <a:gd name="T14" fmla="+- 0 432 424"/>
                              <a:gd name="T15" fmla="*/ 432 h 18"/>
                              <a:gd name="T16" fmla="+- 0 5852 5845"/>
                              <a:gd name="T17" fmla="*/ T16 w 15"/>
                              <a:gd name="T18" fmla="+- 0 424 424"/>
                              <a:gd name="T19" fmla="*/ 424 h 18"/>
                              <a:gd name="T20" fmla="+- 0 5852 5845"/>
                              <a:gd name="T21" fmla="*/ T20 w 15"/>
                              <a:gd name="T22" fmla="+- 0 424 424"/>
                              <a:gd name="T23" fmla="*/ 424 h 18"/>
                            </a:gdLst>
                            <a:ahLst/>
                            <a:cxnLst>
                              <a:cxn ang="0">
                                <a:pos x="T1" y="T3"/>
                              </a:cxn>
                              <a:cxn ang="0">
                                <a:pos x="T5" y="T7"/>
                              </a:cxn>
                              <a:cxn ang="0">
                                <a:pos x="T9" y="T11"/>
                              </a:cxn>
                              <a:cxn ang="0">
                                <a:pos x="T13" y="T15"/>
                              </a:cxn>
                              <a:cxn ang="0">
                                <a:pos x="T17" y="T19"/>
                              </a:cxn>
                              <a:cxn ang="0">
                                <a:pos x="T21" y="T23"/>
                              </a:cxn>
                            </a:cxnLst>
                            <a:rect l="0" t="0" r="r" b="b"/>
                            <a:pathLst>
                              <a:path w="15" h="18">
                                <a:moveTo>
                                  <a:pt x="7" y="0"/>
                                </a:moveTo>
                                <a:lnTo>
                                  <a:pt x="0" y="8"/>
                                </a:lnTo>
                                <a:lnTo>
                                  <a:pt x="7" y="17"/>
                                </a:lnTo>
                                <a:lnTo>
                                  <a:pt x="14" y="8"/>
                                </a:lnTo>
                                <a:lnTo>
                                  <a:pt x="7" y="0"/>
                                </a:lnTo>
                              </a:path>
                            </a:pathLst>
                          </a:custGeom>
                          <a:noFill/>
                          <a:ln w="153">
                            <a:solidFill>
                              <a:srgbClr val="000000"/>
                            </a:solidFill>
                            <a:round/>
                          </a:ln>
                        </wps:spPr>
                        <wps:bodyPr rot="0" vert="horz" wrap="square" lIns="91440" tIns="45720" rIns="91440" bIns="45720" anchor="t" anchorCtr="0" upright="1">
                          <a:noAutofit/>
                        </wps:bodyPr>
                      </wps:wsp>
                      <pic:pic xmlns:pic="http://schemas.openxmlformats.org/drawingml/2006/picture">
                        <pic:nvPicPr>
                          <pic:cNvPr id="1879" name="Picture 39"/>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a:xfrm>
                            <a:off x="5909" y="257"/>
                            <a:ext cx="101" cy="184"/>
                          </a:xfrm>
                          <a:prstGeom prst="rect">
                            <a:avLst/>
                          </a:prstGeom>
                          <a:noFill/>
                        </pic:spPr>
                      </pic:pic>
                      <pic:pic xmlns:pic="http://schemas.openxmlformats.org/drawingml/2006/picture">
                        <pic:nvPicPr>
                          <pic:cNvPr id="1880" name="Picture 4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6059" y="318"/>
                            <a:ext cx="158" cy="123"/>
                          </a:xfrm>
                          <a:prstGeom prst="rect">
                            <a:avLst/>
                          </a:prstGeom>
                          <a:noFill/>
                        </pic:spPr>
                      </pic:pic>
                      <wps:wsp>
                        <wps:cNvPr id="1881" name="Freeform 41"/>
                        <wps:cNvSpPr/>
                        <wps:spPr bwMode="auto">
                          <a:xfrm>
                            <a:off x="6273" y="222"/>
                            <a:ext cx="51" cy="280"/>
                          </a:xfrm>
                          <a:custGeom>
                            <a:avLst/>
                            <a:gdLst>
                              <a:gd name="T0" fmla="+- 0 6324 6274"/>
                              <a:gd name="T1" fmla="*/ T0 w 51"/>
                              <a:gd name="T2" fmla="+- 0 222 222"/>
                              <a:gd name="T3" fmla="*/ 222 h 280"/>
                              <a:gd name="T4" fmla="+- 0 6310 6274"/>
                              <a:gd name="T5" fmla="*/ T4 w 51"/>
                              <a:gd name="T6" fmla="+- 0 240 222"/>
                              <a:gd name="T7" fmla="*/ 240 h 280"/>
                              <a:gd name="T8" fmla="+- 0 6295 6274"/>
                              <a:gd name="T9" fmla="*/ T8 w 51"/>
                              <a:gd name="T10" fmla="+- 0 266 222"/>
                              <a:gd name="T11" fmla="*/ 266 h 280"/>
                              <a:gd name="T12" fmla="+- 0 6281 6274"/>
                              <a:gd name="T13" fmla="*/ T12 w 51"/>
                              <a:gd name="T14" fmla="+- 0 301 222"/>
                              <a:gd name="T15" fmla="*/ 301 h 280"/>
                              <a:gd name="T16" fmla="+- 0 6274 6274"/>
                              <a:gd name="T17" fmla="*/ T16 w 51"/>
                              <a:gd name="T18" fmla="+- 0 345 222"/>
                              <a:gd name="T19" fmla="*/ 345 h 280"/>
                              <a:gd name="T20" fmla="+- 0 6274 6274"/>
                              <a:gd name="T21" fmla="*/ T20 w 51"/>
                              <a:gd name="T22" fmla="+- 0 380 222"/>
                              <a:gd name="T23" fmla="*/ 380 h 280"/>
                              <a:gd name="T24" fmla="+- 0 6281 6274"/>
                              <a:gd name="T25" fmla="*/ T24 w 51"/>
                              <a:gd name="T26" fmla="+- 0 424 222"/>
                              <a:gd name="T27" fmla="*/ 424 h 280"/>
                              <a:gd name="T28" fmla="+- 0 6295 6274"/>
                              <a:gd name="T29" fmla="*/ T28 w 51"/>
                              <a:gd name="T30" fmla="+- 0 459 222"/>
                              <a:gd name="T31" fmla="*/ 459 h 280"/>
                              <a:gd name="T32" fmla="+- 0 6310 6274"/>
                              <a:gd name="T33" fmla="*/ T32 w 51"/>
                              <a:gd name="T34" fmla="+- 0 485 222"/>
                              <a:gd name="T35" fmla="*/ 485 h 280"/>
                              <a:gd name="T36" fmla="+- 0 6324 6274"/>
                              <a:gd name="T37" fmla="*/ T36 w 51"/>
                              <a:gd name="T38" fmla="+- 0 502 222"/>
                              <a:gd name="T39" fmla="*/ 502 h 280"/>
                              <a:gd name="T40" fmla="+- 0 6324 6274"/>
                              <a:gd name="T41" fmla="*/ T40 w 51"/>
                              <a:gd name="T42" fmla="+- 0 502 222"/>
                              <a:gd name="T43" fmla="*/ 502 h 2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51" h="280">
                                <a:moveTo>
                                  <a:pt x="50" y="0"/>
                                </a:moveTo>
                                <a:lnTo>
                                  <a:pt x="36" y="18"/>
                                </a:lnTo>
                                <a:lnTo>
                                  <a:pt x="21" y="44"/>
                                </a:lnTo>
                                <a:lnTo>
                                  <a:pt x="7" y="79"/>
                                </a:lnTo>
                                <a:lnTo>
                                  <a:pt x="0" y="123"/>
                                </a:lnTo>
                                <a:lnTo>
                                  <a:pt x="0" y="158"/>
                                </a:lnTo>
                                <a:lnTo>
                                  <a:pt x="7" y="202"/>
                                </a:lnTo>
                                <a:lnTo>
                                  <a:pt x="21" y="237"/>
                                </a:lnTo>
                                <a:lnTo>
                                  <a:pt x="36" y="263"/>
                                </a:lnTo>
                                <a:lnTo>
                                  <a:pt x="50" y="280"/>
                                </a:lnTo>
                              </a:path>
                            </a:pathLst>
                          </a:custGeom>
                          <a:noFill/>
                          <a:ln w="141">
                            <a:solidFill>
                              <a:srgbClr val="000000"/>
                            </a:solidFill>
                            <a:round/>
                          </a:ln>
                        </wps:spPr>
                        <wps:bodyPr rot="0" vert="horz" wrap="square" lIns="91440" tIns="45720" rIns="91440" bIns="45720" anchor="t" anchorCtr="0" upright="1">
                          <a:noAutofit/>
                        </wps:bodyPr>
                      </wps:wsp>
                      <pic:pic xmlns:pic="http://schemas.openxmlformats.org/drawingml/2006/picture">
                        <pic:nvPicPr>
                          <pic:cNvPr id="1882" name="Picture 4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a:xfrm>
                            <a:off x="6366" y="257"/>
                            <a:ext cx="101" cy="184"/>
                          </a:xfrm>
                          <a:prstGeom prst="rect">
                            <a:avLst/>
                          </a:prstGeom>
                          <a:noFill/>
                        </pic:spPr>
                      </pic:pic>
                      <pic:pic xmlns:pic="http://schemas.openxmlformats.org/drawingml/2006/picture">
                        <pic:nvPicPr>
                          <pic:cNvPr id="1883" name="Picture 4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a:xfrm>
                            <a:off x="6516" y="318"/>
                            <a:ext cx="158" cy="123"/>
                          </a:xfrm>
                          <a:prstGeom prst="rect">
                            <a:avLst/>
                          </a:prstGeom>
                          <a:noFill/>
                        </pic:spPr>
                      </pic:pic>
                      <wps:wsp>
                        <wps:cNvPr id="1884" name="Freeform 44"/>
                        <wps:cNvSpPr/>
                        <wps:spPr bwMode="auto">
                          <a:xfrm>
                            <a:off x="6724" y="222"/>
                            <a:ext cx="50" cy="280"/>
                          </a:xfrm>
                          <a:custGeom>
                            <a:avLst/>
                            <a:gdLst>
                              <a:gd name="T0" fmla="+- 0 6724 6724"/>
                              <a:gd name="T1" fmla="*/ T0 w 50"/>
                              <a:gd name="T2" fmla="+- 0 222 222"/>
                              <a:gd name="T3" fmla="*/ 222 h 280"/>
                              <a:gd name="T4" fmla="+- 0 6738 6724"/>
                              <a:gd name="T5" fmla="*/ T4 w 50"/>
                              <a:gd name="T6" fmla="+- 0 240 222"/>
                              <a:gd name="T7" fmla="*/ 240 h 280"/>
                              <a:gd name="T8" fmla="+- 0 6753 6724"/>
                              <a:gd name="T9" fmla="*/ T8 w 50"/>
                              <a:gd name="T10" fmla="+- 0 266 222"/>
                              <a:gd name="T11" fmla="*/ 266 h 280"/>
                              <a:gd name="T12" fmla="+- 0 6767 6724"/>
                              <a:gd name="T13" fmla="*/ T12 w 50"/>
                              <a:gd name="T14" fmla="+- 0 301 222"/>
                              <a:gd name="T15" fmla="*/ 301 h 280"/>
                              <a:gd name="T16" fmla="+- 0 6774 6724"/>
                              <a:gd name="T17" fmla="*/ T16 w 50"/>
                              <a:gd name="T18" fmla="+- 0 345 222"/>
                              <a:gd name="T19" fmla="*/ 345 h 280"/>
                              <a:gd name="T20" fmla="+- 0 6774 6724"/>
                              <a:gd name="T21" fmla="*/ T20 w 50"/>
                              <a:gd name="T22" fmla="+- 0 380 222"/>
                              <a:gd name="T23" fmla="*/ 380 h 280"/>
                              <a:gd name="T24" fmla="+- 0 6767 6724"/>
                              <a:gd name="T25" fmla="*/ T24 w 50"/>
                              <a:gd name="T26" fmla="+- 0 424 222"/>
                              <a:gd name="T27" fmla="*/ 424 h 280"/>
                              <a:gd name="T28" fmla="+- 0 6753 6724"/>
                              <a:gd name="T29" fmla="*/ T28 w 50"/>
                              <a:gd name="T30" fmla="+- 0 459 222"/>
                              <a:gd name="T31" fmla="*/ 459 h 280"/>
                              <a:gd name="T32" fmla="+- 0 6738 6724"/>
                              <a:gd name="T33" fmla="*/ T32 w 50"/>
                              <a:gd name="T34" fmla="+- 0 485 222"/>
                              <a:gd name="T35" fmla="*/ 485 h 280"/>
                              <a:gd name="T36" fmla="+- 0 6724 6724"/>
                              <a:gd name="T37" fmla="*/ T36 w 50"/>
                              <a:gd name="T38" fmla="+- 0 502 222"/>
                              <a:gd name="T39" fmla="*/ 502 h 280"/>
                              <a:gd name="T40" fmla="+- 0 6724 6724"/>
                              <a:gd name="T41" fmla="*/ T40 w 50"/>
                              <a:gd name="T42" fmla="+- 0 502 222"/>
                              <a:gd name="T43" fmla="*/ 502 h 2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50" h="280">
                                <a:moveTo>
                                  <a:pt x="0" y="0"/>
                                </a:moveTo>
                                <a:lnTo>
                                  <a:pt x="14" y="18"/>
                                </a:lnTo>
                                <a:lnTo>
                                  <a:pt x="29" y="44"/>
                                </a:lnTo>
                                <a:lnTo>
                                  <a:pt x="43" y="79"/>
                                </a:lnTo>
                                <a:lnTo>
                                  <a:pt x="50" y="123"/>
                                </a:lnTo>
                                <a:lnTo>
                                  <a:pt x="50" y="158"/>
                                </a:lnTo>
                                <a:lnTo>
                                  <a:pt x="43" y="202"/>
                                </a:lnTo>
                                <a:lnTo>
                                  <a:pt x="29" y="237"/>
                                </a:lnTo>
                                <a:lnTo>
                                  <a:pt x="14" y="263"/>
                                </a:lnTo>
                                <a:lnTo>
                                  <a:pt x="0" y="280"/>
                                </a:lnTo>
                              </a:path>
                            </a:pathLst>
                          </a:custGeom>
                          <a:noFill/>
                          <a:ln w="141">
                            <a:solidFill>
                              <a:srgbClr val="000000"/>
                            </a:solidFill>
                            <a:round/>
                          </a:ln>
                        </wps:spPr>
                        <wps:bodyPr rot="0" vert="horz" wrap="square" lIns="91440" tIns="45720" rIns="91440" bIns="45720" anchor="t" anchorCtr="0" upright="1">
                          <a:noAutofit/>
                        </wps:bodyPr>
                      </wps:wsp>
                      <wps:wsp>
                        <wps:cNvPr id="1885" name="Rectangle 45"/>
                        <wps:cNvSpPr>
                          <a:spLocks noChangeArrowheads="1"/>
                        </wps:cNvSpPr>
                        <wps:spPr bwMode="auto">
                          <a:xfrm>
                            <a:off x="4574" y="2979"/>
                            <a:ext cx="3411" cy="21"/>
                          </a:xfrm>
                          <a:prstGeom prst="rect">
                            <a:avLst/>
                          </a:prstGeom>
                          <a:solidFill>
                            <a:srgbClr val="000000"/>
                          </a:solidFill>
                          <a:ln>
                            <a:noFill/>
                          </a:ln>
                        </wps:spPr>
                        <wps:bodyPr rot="0" vert="horz" wrap="square" lIns="91440" tIns="45720" rIns="91440" bIns="45720" anchor="t" anchorCtr="0" upright="1">
                          <a:noAutofit/>
                        </wps:bodyPr>
                      </wps:wsp>
                      <wps:wsp>
                        <wps:cNvPr id="1886" name="Rectangle 46"/>
                        <wps:cNvSpPr>
                          <a:spLocks noChangeArrowheads="1"/>
                        </wps:cNvSpPr>
                        <wps:spPr bwMode="auto">
                          <a:xfrm>
                            <a:off x="4574" y="2979"/>
                            <a:ext cx="3411" cy="21"/>
                          </a:xfrm>
                          <a:prstGeom prst="rect">
                            <a:avLst/>
                          </a:prstGeom>
                          <a:solidFill>
                            <a:srgbClr val="000000"/>
                          </a:solidFill>
                          <a:ln>
                            <a:noFill/>
                          </a:ln>
                        </wps:spPr>
                        <wps:bodyPr rot="0" vert="horz" wrap="square" lIns="91440" tIns="45720" rIns="91440" bIns="45720" anchor="t" anchorCtr="0" upright="1">
                          <a:noAutofit/>
                        </wps:bodyPr>
                      </wps:wsp>
                      <wps:wsp>
                        <wps:cNvPr id="1887" name="Rectangle 47"/>
                        <wps:cNvSpPr>
                          <a:spLocks noChangeArrowheads="1"/>
                        </wps:cNvSpPr>
                        <wps:spPr bwMode="auto">
                          <a:xfrm>
                            <a:off x="4574" y="2979"/>
                            <a:ext cx="3411" cy="21"/>
                          </a:xfrm>
                          <a:prstGeom prst="rect">
                            <a:avLst/>
                          </a:prstGeom>
                          <a:noFill/>
                          <a:ln w="171">
                            <a:solidFill>
                              <a:srgbClr val="000000"/>
                            </a:solidFill>
                            <a:miter lim="800000"/>
                          </a:ln>
                        </wps:spPr>
                        <wps:bodyPr rot="0" vert="horz" wrap="square" lIns="91440" tIns="45720" rIns="91440" bIns="45720" anchor="t" anchorCtr="0" upright="1">
                          <a:noAutofit/>
                        </wps:bodyPr>
                      </wps:wsp>
                      <pic:pic xmlns:pic="http://schemas.openxmlformats.org/drawingml/2006/picture">
                        <pic:nvPicPr>
                          <pic:cNvPr id="1888" name="Picture 48"/>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a:xfrm>
                            <a:off x="3816" y="491"/>
                            <a:ext cx="5001" cy="4510"/>
                          </a:xfrm>
                          <a:prstGeom prst="rect">
                            <a:avLst/>
                          </a:prstGeom>
                          <a:noFill/>
                        </pic:spPr>
                      </pic:pic>
                      <wps:wsp>
                        <wps:cNvPr id="1889" name="Freeform 49"/>
                        <wps:cNvSpPr/>
                        <wps:spPr bwMode="auto">
                          <a:xfrm>
                            <a:off x="5302" y="4319"/>
                            <a:ext cx="242" cy="2"/>
                          </a:xfrm>
                          <a:custGeom>
                            <a:avLst/>
                            <a:gdLst>
                              <a:gd name="T0" fmla="+- 0 5302 5302"/>
                              <a:gd name="T1" fmla="*/ T0 w 242"/>
                              <a:gd name="T2" fmla="+- 0 5544 5302"/>
                              <a:gd name="T3" fmla="*/ T2 w 242"/>
                              <a:gd name="T4" fmla="+- 0 5544 5302"/>
                              <a:gd name="T5" fmla="*/ T4 w 242"/>
                            </a:gdLst>
                            <a:ahLst/>
                            <a:cxnLst>
                              <a:cxn ang="0">
                                <a:pos x="T1" y="0"/>
                              </a:cxn>
                              <a:cxn ang="0">
                                <a:pos x="T3" y="0"/>
                              </a:cxn>
                              <a:cxn ang="0">
                                <a:pos x="T5" y="0"/>
                              </a:cxn>
                            </a:cxnLst>
                            <a:rect l="0" t="0" r="r" b="b"/>
                            <a:pathLst>
                              <a:path w="242">
                                <a:moveTo>
                                  <a:pt x="0" y="0"/>
                                </a:moveTo>
                                <a:lnTo>
                                  <a:pt x="242" y="0"/>
                                </a:lnTo>
                              </a:path>
                            </a:pathLst>
                          </a:custGeom>
                          <a:noFill/>
                          <a:ln w="171">
                            <a:solidFill>
                              <a:srgbClr val="000000"/>
                            </a:solidFill>
                            <a:round/>
                          </a:ln>
                        </wps:spPr>
                        <wps:bodyPr rot="0" vert="horz" wrap="square" lIns="91440" tIns="45720" rIns="91440" bIns="45720" anchor="t" anchorCtr="0" upright="1">
                          <a:noAutofit/>
                        </wps:bodyPr>
                      </wps:wsp>
                      <wps:wsp>
                        <wps:cNvPr id="1890" name="Freeform 50"/>
                        <wps:cNvSpPr/>
                        <wps:spPr bwMode="auto">
                          <a:xfrm>
                            <a:off x="5591" y="4319"/>
                            <a:ext cx="49" cy="2"/>
                          </a:xfrm>
                          <a:custGeom>
                            <a:avLst/>
                            <a:gdLst>
                              <a:gd name="T0" fmla="+- 0 5592 5592"/>
                              <a:gd name="T1" fmla="*/ T0 w 49"/>
                              <a:gd name="T2" fmla="+- 0 5640 5592"/>
                              <a:gd name="T3" fmla="*/ T2 w 49"/>
                              <a:gd name="T4" fmla="+- 0 5640 5592"/>
                              <a:gd name="T5" fmla="*/ T4 w 49"/>
                            </a:gdLst>
                            <a:ahLst/>
                            <a:cxnLst>
                              <a:cxn ang="0">
                                <a:pos x="T1" y="0"/>
                              </a:cxn>
                              <a:cxn ang="0">
                                <a:pos x="T3" y="0"/>
                              </a:cxn>
                              <a:cxn ang="0">
                                <a:pos x="T5" y="0"/>
                              </a:cxn>
                            </a:cxnLst>
                            <a:rect l="0" t="0" r="r" b="b"/>
                            <a:pathLst>
                              <a:path w="49">
                                <a:moveTo>
                                  <a:pt x="0" y="0"/>
                                </a:moveTo>
                                <a:lnTo>
                                  <a:pt x="48" y="0"/>
                                </a:lnTo>
                              </a:path>
                            </a:pathLst>
                          </a:custGeom>
                          <a:noFill/>
                          <a:ln w="171">
                            <a:solidFill>
                              <a:srgbClr val="000000"/>
                            </a:solidFill>
                            <a:round/>
                          </a:ln>
                        </wps:spPr>
                        <wps:bodyPr rot="0" vert="horz" wrap="square" lIns="91440" tIns="45720" rIns="91440" bIns="45720" anchor="t" anchorCtr="0" upright="1">
                          <a:noAutofit/>
                        </wps:bodyPr>
                      </wps:wsp>
                      <wps:wsp>
                        <wps:cNvPr id="1891" name="Freeform 51"/>
                        <wps:cNvSpPr/>
                        <wps:spPr bwMode="auto">
                          <a:xfrm>
                            <a:off x="5688" y="4319"/>
                            <a:ext cx="242" cy="2"/>
                          </a:xfrm>
                          <a:custGeom>
                            <a:avLst/>
                            <a:gdLst>
                              <a:gd name="T0" fmla="+- 0 5688 5688"/>
                              <a:gd name="T1" fmla="*/ T0 w 242"/>
                              <a:gd name="T2" fmla="+- 0 5929 5688"/>
                              <a:gd name="T3" fmla="*/ T2 w 242"/>
                              <a:gd name="T4" fmla="+- 0 5929 5688"/>
                              <a:gd name="T5" fmla="*/ T4 w 242"/>
                            </a:gdLst>
                            <a:ahLst/>
                            <a:cxnLst>
                              <a:cxn ang="0">
                                <a:pos x="T1" y="0"/>
                              </a:cxn>
                              <a:cxn ang="0">
                                <a:pos x="T3" y="0"/>
                              </a:cxn>
                              <a:cxn ang="0">
                                <a:pos x="T5" y="0"/>
                              </a:cxn>
                            </a:cxnLst>
                            <a:rect l="0" t="0" r="r" b="b"/>
                            <a:pathLst>
                              <a:path w="242">
                                <a:moveTo>
                                  <a:pt x="0" y="0"/>
                                </a:moveTo>
                                <a:lnTo>
                                  <a:pt x="241" y="0"/>
                                </a:lnTo>
                              </a:path>
                            </a:pathLst>
                          </a:custGeom>
                          <a:noFill/>
                          <a:ln w="171">
                            <a:solidFill>
                              <a:srgbClr val="000000"/>
                            </a:solidFill>
                            <a:round/>
                          </a:ln>
                        </wps:spPr>
                        <wps:bodyPr rot="0" vert="horz" wrap="square" lIns="91440" tIns="45720" rIns="91440" bIns="45720" anchor="t" anchorCtr="0" upright="1">
                          <a:noAutofit/>
                        </wps:bodyPr>
                      </wps:wsp>
                      <wps:wsp>
                        <wps:cNvPr id="1892" name="Freeform 52"/>
                        <wps:cNvSpPr/>
                        <wps:spPr bwMode="auto">
                          <a:xfrm>
                            <a:off x="5977" y="4319"/>
                            <a:ext cx="49" cy="2"/>
                          </a:xfrm>
                          <a:custGeom>
                            <a:avLst/>
                            <a:gdLst>
                              <a:gd name="T0" fmla="+- 0 5978 5978"/>
                              <a:gd name="T1" fmla="*/ T0 w 49"/>
                              <a:gd name="T2" fmla="+- 0 6026 5978"/>
                              <a:gd name="T3" fmla="*/ T2 w 49"/>
                              <a:gd name="T4" fmla="+- 0 6026 5978"/>
                              <a:gd name="T5" fmla="*/ T4 w 49"/>
                            </a:gdLst>
                            <a:ahLst/>
                            <a:cxnLst>
                              <a:cxn ang="0">
                                <a:pos x="T1" y="0"/>
                              </a:cxn>
                              <a:cxn ang="0">
                                <a:pos x="T3" y="0"/>
                              </a:cxn>
                              <a:cxn ang="0">
                                <a:pos x="T5" y="0"/>
                              </a:cxn>
                            </a:cxnLst>
                            <a:rect l="0" t="0" r="r" b="b"/>
                            <a:pathLst>
                              <a:path w="49">
                                <a:moveTo>
                                  <a:pt x="0" y="0"/>
                                </a:moveTo>
                                <a:lnTo>
                                  <a:pt x="48" y="0"/>
                                </a:lnTo>
                              </a:path>
                            </a:pathLst>
                          </a:custGeom>
                          <a:noFill/>
                          <a:ln w="171">
                            <a:solidFill>
                              <a:srgbClr val="000000"/>
                            </a:solidFill>
                            <a:round/>
                          </a:ln>
                        </wps:spPr>
                        <wps:bodyPr rot="0" vert="horz" wrap="square" lIns="91440" tIns="45720" rIns="91440" bIns="45720" anchor="t" anchorCtr="0" upright="1">
                          <a:noAutofit/>
                        </wps:bodyPr>
                      </wps:wsp>
                      <wps:wsp>
                        <wps:cNvPr id="1893" name="Freeform 53"/>
                        <wps:cNvSpPr/>
                        <wps:spPr bwMode="auto">
                          <a:xfrm>
                            <a:off x="6074" y="4319"/>
                            <a:ext cx="242" cy="2"/>
                          </a:xfrm>
                          <a:custGeom>
                            <a:avLst/>
                            <a:gdLst>
                              <a:gd name="T0" fmla="+- 0 6074 6074"/>
                              <a:gd name="T1" fmla="*/ T0 w 242"/>
                              <a:gd name="T2" fmla="+- 0 6315 6074"/>
                              <a:gd name="T3" fmla="*/ T2 w 242"/>
                              <a:gd name="T4" fmla="+- 0 6315 6074"/>
                              <a:gd name="T5" fmla="*/ T4 w 242"/>
                            </a:gdLst>
                            <a:ahLst/>
                            <a:cxnLst>
                              <a:cxn ang="0">
                                <a:pos x="T1" y="0"/>
                              </a:cxn>
                              <a:cxn ang="0">
                                <a:pos x="T3" y="0"/>
                              </a:cxn>
                              <a:cxn ang="0">
                                <a:pos x="T5" y="0"/>
                              </a:cxn>
                            </a:cxnLst>
                            <a:rect l="0" t="0" r="r" b="b"/>
                            <a:pathLst>
                              <a:path w="242">
                                <a:moveTo>
                                  <a:pt x="0" y="0"/>
                                </a:moveTo>
                                <a:lnTo>
                                  <a:pt x="241" y="0"/>
                                </a:lnTo>
                              </a:path>
                            </a:pathLst>
                          </a:custGeom>
                          <a:noFill/>
                          <a:ln w="171">
                            <a:solidFill>
                              <a:srgbClr val="000000"/>
                            </a:solidFill>
                            <a:round/>
                          </a:ln>
                        </wps:spPr>
                        <wps:bodyPr rot="0" vert="horz" wrap="square" lIns="91440" tIns="45720" rIns="91440" bIns="45720" anchor="t" anchorCtr="0" upright="1">
                          <a:noAutofit/>
                        </wps:bodyPr>
                      </wps:wsp>
                      <wps:wsp>
                        <wps:cNvPr id="1894" name="Freeform 54"/>
                        <wps:cNvSpPr/>
                        <wps:spPr bwMode="auto">
                          <a:xfrm>
                            <a:off x="6363" y="4319"/>
                            <a:ext cx="49" cy="2"/>
                          </a:xfrm>
                          <a:custGeom>
                            <a:avLst/>
                            <a:gdLst>
                              <a:gd name="T0" fmla="+- 0 6364 6364"/>
                              <a:gd name="T1" fmla="*/ T0 w 49"/>
                              <a:gd name="T2" fmla="+- 0 6412 6364"/>
                              <a:gd name="T3" fmla="*/ T2 w 49"/>
                              <a:gd name="T4" fmla="+- 0 6412 6364"/>
                              <a:gd name="T5" fmla="*/ T4 w 49"/>
                            </a:gdLst>
                            <a:ahLst/>
                            <a:cxnLst>
                              <a:cxn ang="0">
                                <a:pos x="T1" y="0"/>
                              </a:cxn>
                              <a:cxn ang="0">
                                <a:pos x="T3" y="0"/>
                              </a:cxn>
                              <a:cxn ang="0">
                                <a:pos x="T5" y="0"/>
                              </a:cxn>
                            </a:cxnLst>
                            <a:rect l="0" t="0" r="r" b="b"/>
                            <a:pathLst>
                              <a:path w="49">
                                <a:moveTo>
                                  <a:pt x="0" y="0"/>
                                </a:moveTo>
                                <a:lnTo>
                                  <a:pt x="48" y="0"/>
                                </a:lnTo>
                              </a:path>
                            </a:pathLst>
                          </a:custGeom>
                          <a:noFill/>
                          <a:ln w="171">
                            <a:solidFill>
                              <a:srgbClr val="000000"/>
                            </a:solidFill>
                            <a:round/>
                          </a:ln>
                        </wps:spPr>
                        <wps:bodyPr rot="0" vert="horz" wrap="square" lIns="91440" tIns="45720" rIns="91440" bIns="45720" anchor="t" anchorCtr="0" upright="1">
                          <a:noAutofit/>
                        </wps:bodyPr>
                      </wps:wsp>
                      <wps:wsp>
                        <wps:cNvPr id="1895" name="Freeform 55"/>
                        <wps:cNvSpPr/>
                        <wps:spPr bwMode="auto">
                          <a:xfrm>
                            <a:off x="6459" y="4319"/>
                            <a:ext cx="242" cy="2"/>
                          </a:xfrm>
                          <a:custGeom>
                            <a:avLst/>
                            <a:gdLst>
                              <a:gd name="T0" fmla="+- 0 6460 6460"/>
                              <a:gd name="T1" fmla="*/ T0 w 242"/>
                              <a:gd name="T2" fmla="+- 0 6701 6460"/>
                              <a:gd name="T3" fmla="*/ T2 w 242"/>
                              <a:gd name="T4" fmla="+- 0 6701 6460"/>
                              <a:gd name="T5" fmla="*/ T4 w 242"/>
                            </a:gdLst>
                            <a:ahLst/>
                            <a:cxnLst>
                              <a:cxn ang="0">
                                <a:pos x="T1" y="0"/>
                              </a:cxn>
                              <a:cxn ang="0">
                                <a:pos x="T3" y="0"/>
                              </a:cxn>
                              <a:cxn ang="0">
                                <a:pos x="T5" y="0"/>
                              </a:cxn>
                            </a:cxnLst>
                            <a:rect l="0" t="0" r="r" b="b"/>
                            <a:pathLst>
                              <a:path w="242">
                                <a:moveTo>
                                  <a:pt x="0" y="0"/>
                                </a:moveTo>
                                <a:lnTo>
                                  <a:pt x="241" y="0"/>
                                </a:lnTo>
                              </a:path>
                            </a:pathLst>
                          </a:custGeom>
                          <a:noFill/>
                          <a:ln w="171">
                            <a:solidFill>
                              <a:srgbClr val="000000"/>
                            </a:solidFill>
                            <a:round/>
                          </a:ln>
                        </wps:spPr>
                        <wps:bodyPr rot="0" vert="horz" wrap="square" lIns="91440" tIns="45720" rIns="91440" bIns="45720" anchor="t" anchorCtr="0" upright="1">
                          <a:noAutofit/>
                        </wps:bodyPr>
                      </wps:wsp>
                      <wps:wsp>
                        <wps:cNvPr id="1896" name="Freeform 56"/>
                        <wps:cNvSpPr/>
                        <wps:spPr bwMode="auto">
                          <a:xfrm>
                            <a:off x="6749" y="4319"/>
                            <a:ext cx="49" cy="2"/>
                          </a:xfrm>
                          <a:custGeom>
                            <a:avLst/>
                            <a:gdLst>
                              <a:gd name="T0" fmla="+- 0 6749 6749"/>
                              <a:gd name="T1" fmla="*/ T0 w 49"/>
                              <a:gd name="T2" fmla="+- 0 6798 6749"/>
                              <a:gd name="T3" fmla="*/ T2 w 49"/>
                              <a:gd name="T4" fmla="+- 0 6798 6749"/>
                              <a:gd name="T5" fmla="*/ T4 w 49"/>
                            </a:gdLst>
                            <a:ahLst/>
                            <a:cxnLst>
                              <a:cxn ang="0">
                                <a:pos x="T1" y="0"/>
                              </a:cxn>
                              <a:cxn ang="0">
                                <a:pos x="T3" y="0"/>
                              </a:cxn>
                              <a:cxn ang="0">
                                <a:pos x="T5" y="0"/>
                              </a:cxn>
                            </a:cxnLst>
                            <a:rect l="0" t="0" r="r" b="b"/>
                            <a:pathLst>
                              <a:path w="49">
                                <a:moveTo>
                                  <a:pt x="0" y="0"/>
                                </a:moveTo>
                                <a:lnTo>
                                  <a:pt x="49" y="0"/>
                                </a:lnTo>
                              </a:path>
                            </a:pathLst>
                          </a:custGeom>
                          <a:noFill/>
                          <a:ln w="171">
                            <a:solidFill>
                              <a:srgbClr val="000000"/>
                            </a:solidFill>
                            <a:round/>
                          </a:ln>
                        </wps:spPr>
                        <wps:bodyPr rot="0" vert="horz" wrap="square" lIns="91440" tIns="45720" rIns="91440" bIns="45720" anchor="t" anchorCtr="0" upright="1">
                          <a:noAutofit/>
                        </wps:bodyPr>
                      </wps:wsp>
                      <wps:wsp>
                        <wps:cNvPr id="1897" name="Freeform 57"/>
                        <wps:cNvSpPr/>
                        <wps:spPr bwMode="auto">
                          <a:xfrm>
                            <a:off x="6845" y="4319"/>
                            <a:ext cx="242" cy="2"/>
                          </a:xfrm>
                          <a:custGeom>
                            <a:avLst/>
                            <a:gdLst>
                              <a:gd name="T0" fmla="+- 0 6846 6846"/>
                              <a:gd name="T1" fmla="*/ T0 w 242"/>
                              <a:gd name="T2" fmla="+- 0 7087 6846"/>
                              <a:gd name="T3" fmla="*/ T2 w 242"/>
                              <a:gd name="T4" fmla="+- 0 7087 6846"/>
                              <a:gd name="T5" fmla="*/ T4 w 242"/>
                            </a:gdLst>
                            <a:ahLst/>
                            <a:cxnLst>
                              <a:cxn ang="0">
                                <a:pos x="T1" y="0"/>
                              </a:cxn>
                              <a:cxn ang="0">
                                <a:pos x="T3" y="0"/>
                              </a:cxn>
                              <a:cxn ang="0">
                                <a:pos x="T5" y="0"/>
                              </a:cxn>
                            </a:cxnLst>
                            <a:rect l="0" t="0" r="r" b="b"/>
                            <a:pathLst>
                              <a:path w="242">
                                <a:moveTo>
                                  <a:pt x="0" y="0"/>
                                </a:moveTo>
                                <a:lnTo>
                                  <a:pt x="241" y="0"/>
                                </a:lnTo>
                              </a:path>
                            </a:pathLst>
                          </a:custGeom>
                          <a:noFill/>
                          <a:ln w="171">
                            <a:solidFill>
                              <a:srgbClr val="000000"/>
                            </a:solidFill>
                            <a:round/>
                          </a:ln>
                        </wps:spPr>
                        <wps:bodyPr rot="0" vert="horz" wrap="square" lIns="91440" tIns="45720" rIns="91440" bIns="45720" anchor="t" anchorCtr="0" upright="1">
                          <a:noAutofit/>
                        </wps:bodyPr>
                      </wps:wsp>
                      <wps:wsp>
                        <wps:cNvPr id="1898" name="Freeform 58"/>
                        <wps:cNvSpPr/>
                        <wps:spPr bwMode="auto">
                          <a:xfrm>
                            <a:off x="5665" y="2383"/>
                            <a:ext cx="2" cy="318"/>
                          </a:xfrm>
                          <a:custGeom>
                            <a:avLst/>
                            <a:gdLst>
                              <a:gd name="T0" fmla="+- 0 5665 5665"/>
                              <a:gd name="T1" fmla="*/ T0 w 1"/>
                              <a:gd name="T2" fmla="+- 0 2383 2383"/>
                              <a:gd name="T3" fmla="*/ 2383 h 318"/>
                              <a:gd name="T4" fmla="+- 0 5665 5665"/>
                              <a:gd name="T5" fmla="*/ T4 w 1"/>
                              <a:gd name="T6" fmla="+- 0 2701 2383"/>
                              <a:gd name="T7" fmla="*/ 2701 h 318"/>
                              <a:gd name="T8" fmla="+- 0 5666 5665"/>
                              <a:gd name="T9" fmla="*/ T8 w 1"/>
                              <a:gd name="T10" fmla="+- 0 2701 2383"/>
                              <a:gd name="T11" fmla="*/ 2701 h 318"/>
                            </a:gdLst>
                            <a:ahLst/>
                            <a:cxnLst>
                              <a:cxn ang="0">
                                <a:pos x="T1" y="T3"/>
                              </a:cxn>
                              <a:cxn ang="0">
                                <a:pos x="T5" y="T7"/>
                              </a:cxn>
                              <a:cxn ang="0">
                                <a:pos x="T9" y="T11"/>
                              </a:cxn>
                            </a:cxnLst>
                            <a:rect l="0" t="0" r="r" b="b"/>
                            <a:pathLst>
                              <a:path w="1" h="318">
                                <a:moveTo>
                                  <a:pt x="0" y="0"/>
                                </a:moveTo>
                                <a:lnTo>
                                  <a:pt x="0" y="318"/>
                                </a:lnTo>
                                <a:lnTo>
                                  <a:pt x="1" y="318"/>
                                </a:lnTo>
                              </a:path>
                            </a:pathLst>
                          </a:custGeom>
                          <a:noFill/>
                          <a:ln w="140">
                            <a:solidFill>
                              <a:srgbClr val="000000"/>
                            </a:solidFill>
                            <a:round/>
                          </a:ln>
                        </wps:spPr>
                        <wps:bodyPr rot="0" vert="horz" wrap="square" lIns="91440" tIns="45720" rIns="91440" bIns="45720" anchor="t" anchorCtr="0" upright="1">
                          <a:noAutofit/>
                        </wps:bodyPr>
                      </wps:wsp>
                      <wps:wsp>
                        <wps:cNvPr id="1899" name="Freeform 59"/>
                        <wps:cNvSpPr/>
                        <wps:spPr bwMode="auto">
                          <a:xfrm>
                            <a:off x="5948" y="2383"/>
                            <a:ext cx="2" cy="318"/>
                          </a:xfrm>
                          <a:custGeom>
                            <a:avLst/>
                            <a:gdLst>
                              <a:gd name="T0" fmla="+- 0 5949 5949"/>
                              <a:gd name="T1" fmla="*/ T0 w 1"/>
                              <a:gd name="T2" fmla="+- 0 2383 2383"/>
                              <a:gd name="T3" fmla="*/ 2383 h 318"/>
                              <a:gd name="T4" fmla="+- 0 5949 5949"/>
                              <a:gd name="T5" fmla="*/ T4 w 1"/>
                              <a:gd name="T6" fmla="+- 0 2701 2383"/>
                              <a:gd name="T7" fmla="*/ 2701 h 318"/>
                              <a:gd name="T8" fmla="+- 0 5949 5949"/>
                              <a:gd name="T9" fmla="*/ T8 w 1"/>
                              <a:gd name="T10" fmla="+- 0 2701 2383"/>
                              <a:gd name="T11" fmla="*/ 2701 h 318"/>
                            </a:gdLst>
                            <a:ahLst/>
                            <a:cxnLst>
                              <a:cxn ang="0">
                                <a:pos x="T1" y="T3"/>
                              </a:cxn>
                              <a:cxn ang="0">
                                <a:pos x="T5" y="T7"/>
                              </a:cxn>
                              <a:cxn ang="0">
                                <a:pos x="T9" y="T11"/>
                              </a:cxn>
                            </a:cxnLst>
                            <a:rect l="0" t="0" r="r" b="b"/>
                            <a:pathLst>
                              <a:path w="1" h="318">
                                <a:moveTo>
                                  <a:pt x="0" y="0"/>
                                </a:moveTo>
                                <a:lnTo>
                                  <a:pt x="0" y="318"/>
                                </a:lnTo>
                              </a:path>
                            </a:pathLst>
                          </a:custGeom>
                          <a:noFill/>
                          <a:ln w="140">
                            <a:solidFill>
                              <a:srgbClr val="000000"/>
                            </a:solidFill>
                            <a:round/>
                          </a:ln>
                        </wps:spPr>
                        <wps:bodyPr rot="0" vert="horz" wrap="square" lIns="91440" tIns="45720" rIns="91440" bIns="45720" anchor="t" anchorCtr="0" upright="1">
                          <a:noAutofit/>
                        </wps:bodyPr>
                      </wps:wsp>
                      <wps:wsp>
                        <wps:cNvPr id="1900" name="Freeform 60"/>
                        <wps:cNvSpPr/>
                        <wps:spPr bwMode="auto">
                          <a:xfrm>
                            <a:off x="5600" y="2438"/>
                            <a:ext cx="65" cy="2"/>
                          </a:xfrm>
                          <a:custGeom>
                            <a:avLst/>
                            <a:gdLst>
                              <a:gd name="T0" fmla="+- 0 5665 5601"/>
                              <a:gd name="T1" fmla="*/ T0 w 65"/>
                              <a:gd name="T2" fmla="+- 0 5601 5601"/>
                              <a:gd name="T3" fmla="*/ T2 w 65"/>
                              <a:gd name="T4" fmla="+- 0 5601 5601"/>
                              <a:gd name="T5" fmla="*/ T4 w 65"/>
                            </a:gdLst>
                            <a:ahLst/>
                            <a:cxnLst>
                              <a:cxn ang="0">
                                <a:pos x="T1" y="0"/>
                              </a:cxn>
                              <a:cxn ang="0">
                                <a:pos x="T3" y="0"/>
                              </a:cxn>
                              <a:cxn ang="0">
                                <a:pos x="T5" y="0"/>
                              </a:cxn>
                            </a:cxnLst>
                            <a:rect l="0" t="0" r="r" b="b"/>
                            <a:pathLst>
                              <a:path w="65">
                                <a:moveTo>
                                  <a:pt x="64" y="0"/>
                                </a:moveTo>
                                <a:lnTo>
                                  <a:pt x="0" y="0"/>
                                </a:lnTo>
                              </a:path>
                            </a:pathLst>
                          </a:custGeom>
                          <a:noFill/>
                          <a:ln w="171">
                            <a:solidFill>
                              <a:srgbClr val="000000"/>
                            </a:solidFill>
                            <a:round/>
                          </a:ln>
                        </wps:spPr>
                        <wps:bodyPr rot="0" vert="horz" wrap="square" lIns="91440" tIns="45720" rIns="91440" bIns="45720" anchor="t" anchorCtr="0" upright="1">
                          <a:noAutofit/>
                        </wps:bodyPr>
                      </wps:wsp>
                      <wps:wsp>
                        <wps:cNvPr id="1901" name="Freeform 61"/>
                        <wps:cNvSpPr/>
                        <wps:spPr bwMode="auto">
                          <a:xfrm>
                            <a:off x="5948" y="2438"/>
                            <a:ext cx="65" cy="2"/>
                          </a:xfrm>
                          <a:custGeom>
                            <a:avLst/>
                            <a:gdLst>
                              <a:gd name="T0" fmla="+- 0 5949 5949"/>
                              <a:gd name="T1" fmla="*/ T0 w 65"/>
                              <a:gd name="T2" fmla="+- 0 6013 5949"/>
                              <a:gd name="T3" fmla="*/ T2 w 65"/>
                              <a:gd name="T4" fmla="+- 0 6014 5949"/>
                              <a:gd name="T5" fmla="*/ T4 w 65"/>
                            </a:gdLst>
                            <a:ahLst/>
                            <a:cxnLst>
                              <a:cxn ang="0">
                                <a:pos x="T1" y="0"/>
                              </a:cxn>
                              <a:cxn ang="0">
                                <a:pos x="T3" y="0"/>
                              </a:cxn>
                              <a:cxn ang="0">
                                <a:pos x="T5" y="0"/>
                              </a:cxn>
                            </a:cxnLst>
                            <a:rect l="0" t="0" r="r" b="b"/>
                            <a:pathLst>
                              <a:path w="65">
                                <a:moveTo>
                                  <a:pt x="0" y="0"/>
                                </a:moveTo>
                                <a:lnTo>
                                  <a:pt x="64" y="0"/>
                                </a:lnTo>
                                <a:lnTo>
                                  <a:pt x="65" y="0"/>
                                </a:lnTo>
                              </a:path>
                            </a:pathLst>
                          </a:custGeom>
                          <a:noFill/>
                          <a:ln w="171">
                            <a:solidFill>
                              <a:srgbClr val="000000"/>
                            </a:solidFill>
                            <a:round/>
                          </a:ln>
                        </wps:spPr>
                        <wps:bodyPr rot="0" vert="horz" wrap="square" lIns="91440" tIns="45720" rIns="91440" bIns="45720" anchor="t" anchorCtr="0" upright="1">
                          <a:noAutofit/>
                        </wps:bodyPr>
                      </wps:wsp>
                      <wps:wsp>
                        <wps:cNvPr id="1902" name="Freeform 62"/>
                        <wps:cNvSpPr/>
                        <wps:spPr bwMode="auto">
                          <a:xfrm>
                            <a:off x="5486" y="2082"/>
                            <a:ext cx="42" cy="210"/>
                          </a:xfrm>
                          <a:custGeom>
                            <a:avLst/>
                            <a:gdLst>
                              <a:gd name="T0" fmla="+- 0 5486 5486"/>
                              <a:gd name="T1" fmla="*/ T0 w 42"/>
                              <a:gd name="T2" fmla="+- 0 2123 2083"/>
                              <a:gd name="T3" fmla="*/ 2123 h 210"/>
                              <a:gd name="T4" fmla="+- 0 5503 5486"/>
                              <a:gd name="T5" fmla="*/ T4 w 42"/>
                              <a:gd name="T6" fmla="+- 0 2113 2083"/>
                              <a:gd name="T7" fmla="*/ 2113 h 210"/>
                              <a:gd name="T8" fmla="+- 0 5527 5486"/>
                              <a:gd name="T9" fmla="*/ T8 w 42"/>
                              <a:gd name="T10" fmla="+- 0 2083 2083"/>
                              <a:gd name="T11" fmla="*/ 2083 h 210"/>
                              <a:gd name="T12" fmla="+- 0 5527 5486"/>
                              <a:gd name="T13" fmla="*/ T12 w 42"/>
                              <a:gd name="T14" fmla="+- 0 2292 2083"/>
                              <a:gd name="T15" fmla="*/ 2292 h 210"/>
                              <a:gd name="T16" fmla="+- 0 5528 5486"/>
                              <a:gd name="T17" fmla="*/ T16 w 42"/>
                              <a:gd name="T18" fmla="+- 0 2292 2083"/>
                              <a:gd name="T19" fmla="*/ 2292 h 210"/>
                            </a:gdLst>
                            <a:ahLst/>
                            <a:cxnLst>
                              <a:cxn ang="0">
                                <a:pos x="T1" y="T3"/>
                              </a:cxn>
                              <a:cxn ang="0">
                                <a:pos x="T5" y="T7"/>
                              </a:cxn>
                              <a:cxn ang="0">
                                <a:pos x="T9" y="T11"/>
                              </a:cxn>
                              <a:cxn ang="0">
                                <a:pos x="T13" y="T15"/>
                              </a:cxn>
                              <a:cxn ang="0">
                                <a:pos x="T17" y="T19"/>
                              </a:cxn>
                            </a:cxnLst>
                            <a:rect l="0" t="0" r="r" b="b"/>
                            <a:pathLst>
                              <a:path w="42" h="210">
                                <a:moveTo>
                                  <a:pt x="0" y="40"/>
                                </a:moveTo>
                                <a:lnTo>
                                  <a:pt x="17" y="30"/>
                                </a:lnTo>
                                <a:lnTo>
                                  <a:pt x="41" y="0"/>
                                </a:lnTo>
                                <a:lnTo>
                                  <a:pt x="41" y="209"/>
                                </a:lnTo>
                                <a:lnTo>
                                  <a:pt x="42" y="209"/>
                                </a:lnTo>
                              </a:path>
                            </a:pathLst>
                          </a:custGeom>
                          <a:noFill/>
                          <a:ln w="141">
                            <a:solidFill>
                              <a:srgbClr val="000000"/>
                            </a:solidFill>
                            <a:round/>
                          </a:ln>
                        </wps:spPr>
                        <wps:bodyPr rot="0" vert="horz" wrap="square" lIns="91440" tIns="45720" rIns="91440" bIns="45720" anchor="t" anchorCtr="0" upright="1">
                          <a:noAutofit/>
                        </wps:bodyPr>
                      </wps:wsp>
                      <wps:wsp>
                        <wps:cNvPr id="1903" name="Freeform 63"/>
                        <wps:cNvSpPr/>
                        <wps:spPr bwMode="auto">
                          <a:xfrm>
                            <a:off x="5633" y="2272"/>
                            <a:ext cx="17" cy="20"/>
                          </a:xfrm>
                          <a:custGeom>
                            <a:avLst/>
                            <a:gdLst>
                              <a:gd name="T0" fmla="+- 0 5642 5634"/>
                              <a:gd name="T1" fmla="*/ T0 w 17"/>
                              <a:gd name="T2" fmla="+- 0 2272 2272"/>
                              <a:gd name="T3" fmla="*/ 2272 h 20"/>
                              <a:gd name="T4" fmla="+- 0 5634 5634"/>
                              <a:gd name="T5" fmla="*/ T4 w 17"/>
                              <a:gd name="T6" fmla="+- 0 2283 2272"/>
                              <a:gd name="T7" fmla="*/ 2283 h 20"/>
                              <a:gd name="T8" fmla="+- 0 5642 5634"/>
                              <a:gd name="T9" fmla="*/ T8 w 17"/>
                              <a:gd name="T10" fmla="+- 0 2292 2272"/>
                              <a:gd name="T11" fmla="*/ 2292 h 20"/>
                              <a:gd name="T12" fmla="+- 0 5650 5634"/>
                              <a:gd name="T13" fmla="*/ T12 w 17"/>
                              <a:gd name="T14" fmla="+- 0 2283 2272"/>
                              <a:gd name="T15" fmla="*/ 2283 h 20"/>
                              <a:gd name="T16" fmla="+- 0 5642 5634"/>
                              <a:gd name="T17" fmla="*/ T16 w 17"/>
                              <a:gd name="T18" fmla="+- 0 2272 2272"/>
                              <a:gd name="T19" fmla="*/ 2272 h 20"/>
                              <a:gd name="T20" fmla="+- 0 5642 5634"/>
                              <a:gd name="T21" fmla="*/ T20 w 17"/>
                              <a:gd name="T22" fmla="+- 0 2272 2272"/>
                              <a:gd name="T23" fmla="*/ 2272 h 20"/>
                            </a:gdLst>
                            <a:ahLst/>
                            <a:cxnLst>
                              <a:cxn ang="0">
                                <a:pos x="T1" y="T3"/>
                              </a:cxn>
                              <a:cxn ang="0">
                                <a:pos x="T5" y="T7"/>
                              </a:cxn>
                              <a:cxn ang="0">
                                <a:pos x="T9" y="T11"/>
                              </a:cxn>
                              <a:cxn ang="0">
                                <a:pos x="T13" y="T15"/>
                              </a:cxn>
                              <a:cxn ang="0">
                                <a:pos x="T17" y="T19"/>
                              </a:cxn>
                              <a:cxn ang="0">
                                <a:pos x="T21" y="T23"/>
                              </a:cxn>
                            </a:cxnLst>
                            <a:rect l="0" t="0" r="r" b="b"/>
                            <a:pathLst>
                              <a:path w="17" h="20">
                                <a:moveTo>
                                  <a:pt x="8" y="0"/>
                                </a:moveTo>
                                <a:lnTo>
                                  <a:pt x="0" y="11"/>
                                </a:lnTo>
                                <a:lnTo>
                                  <a:pt x="8" y="20"/>
                                </a:lnTo>
                                <a:lnTo>
                                  <a:pt x="16" y="11"/>
                                </a:lnTo>
                                <a:lnTo>
                                  <a:pt x="8" y="0"/>
                                </a:lnTo>
                              </a:path>
                            </a:pathLst>
                          </a:custGeom>
                          <a:noFill/>
                          <a:ln w="153">
                            <a:solidFill>
                              <a:srgbClr val="000000"/>
                            </a:solidFill>
                            <a:round/>
                          </a:ln>
                        </wps:spPr>
                        <wps:bodyPr rot="0" vert="horz" wrap="square" lIns="91440" tIns="45720" rIns="91440" bIns="45720" anchor="t" anchorCtr="0" upright="1">
                          <a:noAutofit/>
                        </wps:bodyPr>
                      </wps:wsp>
                      <pic:pic xmlns:pic="http://schemas.openxmlformats.org/drawingml/2006/picture">
                        <pic:nvPicPr>
                          <pic:cNvPr id="1904" name="Picture 64"/>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a:xfrm>
                            <a:off x="5707" y="2082"/>
                            <a:ext cx="115" cy="211"/>
                          </a:xfrm>
                          <a:prstGeom prst="rect">
                            <a:avLst/>
                          </a:prstGeom>
                          <a:noFill/>
                        </pic:spPr>
                      </pic:pic>
                      <pic:pic xmlns:pic="http://schemas.openxmlformats.org/drawingml/2006/picture">
                        <pic:nvPicPr>
                          <pic:cNvPr id="1905" name="Picture 6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a:xfrm>
                            <a:off x="5878" y="2152"/>
                            <a:ext cx="180" cy="141"/>
                          </a:xfrm>
                          <a:prstGeom prst="rect">
                            <a:avLst/>
                          </a:prstGeom>
                          <a:noFill/>
                        </pic:spPr>
                      </pic:pic>
                      <wps:wsp>
                        <wps:cNvPr id="1906" name="Freeform 66"/>
                        <wps:cNvSpPr/>
                        <wps:spPr bwMode="auto">
                          <a:xfrm>
                            <a:off x="5665" y="2438"/>
                            <a:ext cx="284" cy="2"/>
                          </a:xfrm>
                          <a:custGeom>
                            <a:avLst/>
                            <a:gdLst>
                              <a:gd name="T0" fmla="+- 0 5665 5665"/>
                              <a:gd name="T1" fmla="*/ T0 w 284"/>
                              <a:gd name="T2" fmla="+- 0 5949 5665"/>
                              <a:gd name="T3" fmla="*/ T2 w 284"/>
                              <a:gd name="T4" fmla="+- 0 5949 5665"/>
                              <a:gd name="T5" fmla="*/ T4 w 284"/>
                            </a:gdLst>
                            <a:ahLst/>
                            <a:cxnLst>
                              <a:cxn ang="0">
                                <a:pos x="T1" y="0"/>
                              </a:cxn>
                              <a:cxn ang="0">
                                <a:pos x="T3" y="0"/>
                              </a:cxn>
                              <a:cxn ang="0">
                                <a:pos x="T5" y="0"/>
                              </a:cxn>
                            </a:cxnLst>
                            <a:rect l="0" t="0" r="r" b="b"/>
                            <a:pathLst>
                              <a:path w="284">
                                <a:moveTo>
                                  <a:pt x="0" y="0"/>
                                </a:moveTo>
                                <a:lnTo>
                                  <a:pt x="284" y="0"/>
                                </a:lnTo>
                              </a:path>
                            </a:pathLst>
                          </a:custGeom>
                          <a:noFill/>
                          <a:ln w="171">
                            <a:solidFill>
                              <a:srgbClr val="000000"/>
                            </a:solidFill>
                            <a:round/>
                          </a:ln>
                        </wps:spPr>
                        <wps:bodyPr rot="0" vert="horz" wrap="square" lIns="91440" tIns="45720" rIns="91440" bIns="45720" anchor="t" anchorCtr="0" upright="1">
                          <a:noAutofit/>
                        </wps:bodyPr>
                      </wps:wsp>
                      <wps:wsp>
                        <wps:cNvPr id="1907" name="Freeform 67"/>
                        <wps:cNvSpPr/>
                        <wps:spPr bwMode="auto">
                          <a:xfrm>
                            <a:off x="5633" y="2399"/>
                            <a:ext cx="65" cy="79"/>
                          </a:xfrm>
                          <a:custGeom>
                            <a:avLst/>
                            <a:gdLst>
                              <a:gd name="T0" fmla="+- 0 5633 5633"/>
                              <a:gd name="T1" fmla="*/ T0 w 65"/>
                              <a:gd name="T2" fmla="+- 0 2478 2399"/>
                              <a:gd name="T3" fmla="*/ 2478 h 79"/>
                              <a:gd name="T4" fmla="+- 0 5697 5633"/>
                              <a:gd name="T5" fmla="*/ T4 w 65"/>
                              <a:gd name="T6" fmla="+- 0 2399 2399"/>
                              <a:gd name="T7" fmla="*/ 2399 h 79"/>
                              <a:gd name="T8" fmla="+- 0 5698 5633"/>
                              <a:gd name="T9" fmla="*/ T8 w 65"/>
                              <a:gd name="T10" fmla="+- 0 2399 2399"/>
                              <a:gd name="T11" fmla="*/ 2399 h 79"/>
                            </a:gdLst>
                            <a:ahLst/>
                            <a:cxnLst>
                              <a:cxn ang="0">
                                <a:pos x="T1" y="T3"/>
                              </a:cxn>
                              <a:cxn ang="0">
                                <a:pos x="T5" y="T7"/>
                              </a:cxn>
                              <a:cxn ang="0">
                                <a:pos x="T9" y="T11"/>
                              </a:cxn>
                            </a:cxnLst>
                            <a:rect l="0" t="0" r="r" b="b"/>
                            <a:pathLst>
                              <a:path w="65" h="79">
                                <a:moveTo>
                                  <a:pt x="0" y="79"/>
                                </a:moveTo>
                                <a:lnTo>
                                  <a:pt x="64" y="0"/>
                                </a:lnTo>
                                <a:lnTo>
                                  <a:pt x="65" y="0"/>
                                </a:lnTo>
                              </a:path>
                            </a:pathLst>
                          </a:custGeom>
                          <a:noFill/>
                          <a:ln w="153">
                            <a:solidFill>
                              <a:srgbClr val="000000"/>
                            </a:solidFill>
                            <a:round/>
                          </a:ln>
                        </wps:spPr>
                        <wps:bodyPr rot="0" vert="horz" wrap="square" lIns="91440" tIns="45720" rIns="91440" bIns="45720" anchor="t" anchorCtr="0" upright="1">
                          <a:noAutofit/>
                        </wps:bodyPr>
                      </wps:wsp>
                      <wps:wsp>
                        <wps:cNvPr id="1908" name="Freeform 68"/>
                        <wps:cNvSpPr/>
                        <wps:spPr bwMode="auto">
                          <a:xfrm>
                            <a:off x="5916" y="2399"/>
                            <a:ext cx="65" cy="79"/>
                          </a:xfrm>
                          <a:custGeom>
                            <a:avLst/>
                            <a:gdLst>
                              <a:gd name="T0" fmla="+- 0 5981 5917"/>
                              <a:gd name="T1" fmla="*/ T0 w 65"/>
                              <a:gd name="T2" fmla="+- 0 2399 2399"/>
                              <a:gd name="T3" fmla="*/ 2399 h 79"/>
                              <a:gd name="T4" fmla="+- 0 5917 5917"/>
                              <a:gd name="T5" fmla="*/ T4 w 65"/>
                              <a:gd name="T6" fmla="+- 0 2478 2399"/>
                              <a:gd name="T7" fmla="*/ 2478 h 79"/>
                              <a:gd name="T8" fmla="+- 0 5917 5917"/>
                              <a:gd name="T9" fmla="*/ T8 w 65"/>
                              <a:gd name="T10" fmla="+- 0 2478 2399"/>
                              <a:gd name="T11" fmla="*/ 2478 h 79"/>
                            </a:gdLst>
                            <a:ahLst/>
                            <a:cxnLst>
                              <a:cxn ang="0">
                                <a:pos x="T1" y="T3"/>
                              </a:cxn>
                              <a:cxn ang="0">
                                <a:pos x="T5" y="T7"/>
                              </a:cxn>
                              <a:cxn ang="0">
                                <a:pos x="T9" y="T11"/>
                              </a:cxn>
                            </a:cxnLst>
                            <a:rect l="0" t="0" r="r" b="b"/>
                            <a:pathLst>
                              <a:path w="65" h="79">
                                <a:moveTo>
                                  <a:pt x="64" y="0"/>
                                </a:moveTo>
                                <a:lnTo>
                                  <a:pt x="0" y="79"/>
                                </a:lnTo>
                              </a:path>
                            </a:pathLst>
                          </a:custGeom>
                          <a:noFill/>
                          <a:ln w="153">
                            <a:solidFill>
                              <a:srgbClr val="000000"/>
                            </a:solidFill>
                            <a:round/>
                          </a:ln>
                        </wps:spPr>
                        <wps:bodyPr rot="0" vert="horz" wrap="square" lIns="91440" tIns="45720" rIns="91440" bIns="45720" anchor="t" anchorCtr="0" upright="1">
                          <a:noAutofit/>
                        </wps:bodyPr>
                      </wps:wsp>
                      <wps:wsp>
                        <wps:cNvPr id="1909" name="Line 69"/>
                        <wps:cNvCnPr>
                          <a:cxnSpLocks noChangeShapeType="1"/>
                        </wps:cNvCnPr>
                        <wps:spPr bwMode="auto">
                          <a:xfrm>
                            <a:off x="5949" y="2439"/>
                            <a:ext cx="0" cy="0"/>
                          </a:xfrm>
                          <a:prstGeom prst="line">
                            <a:avLst/>
                          </a:prstGeom>
                          <a:noFill/>
                          <a:ln w="171">
                            <a:solidFill>
                              <a:srgbClr val="000000"/>
                            </a:solidFill>
                            <a:round/>
                          </a:ln>
                        </wps:spPr>
                        <wps:bodyPr/>
                      </wps:wsp>
                      <wps:wsp>
                        <wps:cNvPr id="1910" name="Line 70"/>
                        <wps:cNvCnPr>
                          <a:cxnSpLocks noChangeShapeType="1"/>
                        </wps:cNvCnPr>
                        <wps:spPr bwMode="auto">
                          <a:xfrm>
                            <a:off x="5949" y="2367"/>
                            <a:ext cx="0" cy="0"/>
                          </a:xfrm>
                          <a:prstGeom prst="line">
                            <a:avLst/>
                          </a:prstGeom>
                          <a:noFill/>
                          <a:ln w="171">
                            <a:solidFill>
                              <a:srgbClr val="000000"/>
                            </a:solidFill>
                            <a:round/>
                          </a:ln>
                        </wps:spPr>
                        <wps:bodyPr/>
                      </wps:wsp>
                      <wps:wsp>
                        <wps:cNvPr id="1911" name="Line 71"/>
                        <wps:cNvCnPr>
                          <a:cxnSpLocks noChangeShapeType="1"/>
                        </wps:cNvCnPr>
                        <wps:spPr bwMode="auto">
                          <a:xfrm>
                            <a:off x="5665" y="2367"/>
                            <a:ext cx="1" cy="0"/>
                          </a:xfrm>
                          <a:prstGeom prst="line">
                            <a:avLst/>
                          </a:prstGeom>
                          <a:noFill/>
                          <a:ln w="171">
                            <a:solidFill>
                              <a:srgbClr val="000000"/>
                            </a:solidFill>
                            <a:round/>
                          </a:ln>
                        </wps:spPr>
                        <wps:bodyPr/>
                      </wps:wsp>
                      <wps:wsp>
                        <wps:cNvPr id="1912" name="Freeform 72"/>
                        <wps:cNvSpPr/>
                        <wps:spPr bwMode="auto">
                          <a:xfrm>
                            <a:off x="3564" y="2062"/>
                            <a:ext cx="144" cy="188"/>
                          </a:xfrm>
                          <a:custGeom>
                            <a:avLst/>
                            <a:gdLst>
                              <a:gd name="T0" fmla="+- 0 3564 3564"/>
                              <a:gd name="T1" fmla="*/ T0 w 144"/>
                              <a:gd name="T2" fmla="+- 0 2125 2063"/>
                              <a:gd name="T3" fmla="*/ 2125 h 188"/>
                              <a:gd name="T4" fmla="+- 0 3707 3564"/>
                              <a:gd name="T5" fmla="*/ T4 w 144"/>
                              <a:gd name="T6" fmla="+- 0 2250 2063"/>
                              <a:gd name="T7" fmla="*/ 2250 h 188"/>
                              <a:gd name="T8" fmla="+- 0 3707 3564"/>
                              <a:gd name="T9" fmla="*/ T8 w 144"/>
                              <a:gd name="T10" fmla="+- 0 2063 2063"/>
                              <a:gd name="T11" fmla="*/ 2063 h 188"/>
                              <a:gd name="T12" fmla="+- 0 3707 3564"/>
                              <a:gd name="T13" fmla="*/ T12 w 144"/>
                              <a:gd name="T14" fmla="+- 0 2063 2063"/>
                              <a:gd name="T15" fmla="*/ 2063 h 188"/>
                            </a:gdLst>
                            <a:ahLst/>
                            <a:cxnLst>
                              <a:cxn ang="0">
                                <a:pos x="T1" y="T3"/>
                              </a:cxn>
                              <a:cxn ang="0">
                                <a:pos x="T5" y="T7"/>
                              </a:cxn>
                              <a:cxn ang="0">
                                <a:pos x="T9" y="T11"/>
                              </a:cxn>
                              <a:cxn ang="0">
                                <a:pos x="T13" y="T15"/>
                              </a:cxn>
                            </a:cxnLst>
                            <a:rect l="0" t="0" r="r" b="b"/>
                            <a:pathLst>
                              <a:path w="144" h="188">
                                <a:moveTo>
                                  <a:pt x="0" y="62"/>
                                </a:moveTo>
                                <a:lnTo>
                                  <a:pt x="143" y="187"/>
                                </a:lnTo>
                                <a:lnTo>
                                  <a:pt x="143" y="0"/>
                                </a:lnTo>
                              </a:path>
                            </a:pathLst>
                          </a:custGeom>
                          <a:noFill/>
                          <a:ln w="152">
                            <a:solidFill>
                              <a:srgbClr val="000000"/>
                            </a:solidFill>
                            <a:round/>
                          </a:ln>
                        </wps:spPr>
                        <wps:bodyPr rot="0" vert="horz" wrap="square" lIns="91440" tIns="45720" rIns="91440" bIns="45720" anchor="t" anchorCtr="0" upright="1">
                          <a:noAutofit/>
                        </wps:bodyPr>
                      </wps:wsp>
                      <wps:wsp>
                        <wps:cNvPr id="1913" name="Freeform 73"/>
                        <wps:cNvSpPr/>
                        <wps:spPr bwMode="auto">
                          <a:xfrm>
                            <a:off x="3564" y="2125"/>
                            <a:ext cx="215" cy="2"/>
                          </a:xfrm>
                          <a:custGeom>
                            <a:avLst/>
                            <a:gdLst>
                              <a:gd name="T0" fmla="+- 0 3564 3564"/>
                              <a:gd name="T1" fmla="*/ T0 w 215"/>
                              <a:gd name="T2" fmla="+- 0 3779 3564"/>
                              <a:gd name="T3" fmla="*/ T2 w 215"/>
                              <a:gd name="T4" fmla="+- 0 3779 3564"/>
                              <a:gd name="T5" fmla="*/ T4 w 215"/>
                            </a:gdLst>
                            <a:ahLst/>
                            <a:cxnLst>
                              <a:cxn ang="0">
                                <a:pos x="T1" y="0"/>
                              </a:cxn>
                              <a:cxn ang="0">
                                <a:pos x="T3" y="0"/>
                              </a:cxn>
                              <a:cxn ang="0">
                                <a:pos x="T5" y="0"/>
                              </a:cxn>
                            </a:cxnLst>
                            <a:rect l="0" t="0" r="r" b="b"/>
                            <a:pathLst>
                              <a:path w="215">
                                <a:moveTo>
                                  <a:pt x="0" y="0"/>
                                </a:moveTo>
                                <a:lnTo>
                                  <a:pt x="215" y="0"/>
                                </a:lnTo>
                              </a:path>
                            </a:pathLst>
                          </a:custGeom>
                          <a:noFill/>
                          <a:ln w="171">
                            <a:solidFill>
                              <a:srgbClr val="000000"/>
                            </a:solidFill>
                            <a:round/>
                          </a:ln>
                        </wps:spPr>
                        <wps:bodyPr rot="0" vert="horz" wrap="square" lIns="91440" tIns="45720" rIns="91440" bIns="45720" anchor="t" anchorCtr="0" upright="1">
                          <a:noAutofit/>
                        </wps:bodyPr>
                      </wps:wsp>
                      <pic:pic xmlns:pic="http://schemas.openxmlformats.org/drawingml/2006/picture">
                        <pic:nvPicPr>
                          <pic:cNvPr id="1914" name="Picture 74"/>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a:xfrm>
                            <a:off x="3635" y="1712"/>
                            <a:ext cx="144" cy="275"/>
                          </a:xfrm>
                          <a:prstGeom prst="rect">
                            <a:avLst/>
                          </a:prstGeom>
                          <a:noFill/>
                        </pic:spPr>
                      </pic:pic>
                      <wps:wsp>
                        <wps:cNvPr id="1915" name="Freeform 75"/>
                        <wps:cNvSpPr/>
                        <wps:spPr bwMode="auto">
                          <a:xfrm>
                            <a:off x="7996" y="2140"/>
                            <a:ext cx="129" cy="2"/>
                          </a:xfrm>
                          <a:custGeom>
                            <a:avLst/>
                            <a:gdLst>
                              <a:gd name="T0" fmla="+- 0 7996 7996"/>
                              <a:gd name="T1" fmla="*/ T0 w 129"/>
                              <a:gd name="T2" fmla="+- 0 8125 7996"/>
                              <a:gd name="T3" fmla="*/ T2 w 129"/>
                              <a:gd name="T4" fmla="+- 0 8125 7996"/>
                              <a:gd name="T5" fmla="*/ T4 w 129"/>
                            </a:gdLst>
                            <a:ahLst/>
                            <a:cxnLst>
                              <a:cxn ang="0">
                                <a:pos x="T1" y="0"/>
                              </a:cxn>
                              <a:cxn ang="0">
                                <a:pos x="T3" y="0"/>
                              </a:cxn>
                              <a:cxn ang="0">
                                <a:pos x="T5" y="0"/>
                              </a:cxn>
                            </a:cxnLst>
                            <a:rect l="0" t="0" r="r" b="b"/>
                            <a:pathLst>
                              <a:path w="129">
                                <a:moveTo>
                                  <a:pt x="0" y="0"/>
                                </a:moveTo>
                                <a:lnTo>
                                  <a:pt x="129" y="0"/>
                                </a:lnTo>
                              </a:path>
                            </a:pathLst>
                          </a:custGeom>
                          <a:noFill/>
                          <a:ln w="171">
                            <a:solidFill>
                              <a:srgbClr val="000000"/>
                            </a:solidFill>
                            <a:round/>
                          </a:ln>
                        </wps:spPr>
                        <wps:bodyPr rot="0" vert="horz" wrap="square" lIns="91440" tIns="45720" rIns="91440" bIns="45720" anchor="t" anchorCtr="0" upright="1">
                          <a:noAutofit/>
                        </wps:bodyPr>
                      </wps:wsp>
                      <wps:wsp>
                        <wps:cNvPr id="1916" name="Freeform 76"/>
                        <wps:cNvSpPr/>
                        <wps:spPr bwMode="auto">
                          <a:xfrm>
                            <a:off x="7996" y="2192"/>
                            <a:ext cx="129" cy="2"/>
                          </a:xfrm>
                          <a:custGeom>
                            <a:avLst/>
                            <a:gdLst>
                              <a:gd name="T0" fmla="+- 0 7996 7996"/>
                              <a:gd name="T1" fmla="*/ T0 w 129"/>
                              <a:gd name="T2" fmla="+- 0 8125 7996"/>
                              <a:gd name="T3" fmla="*/ T2 w 129"/>
                              <a:gd name="T4" fmla="+- 0 8125 7996"/>
                              <a:gd name="T5" fmla="*/ T4 w 129"/>
                            </a:gdLst>
                            <a:ahLst/>
                            <a:cxnLst>
                              <a:cxn ang="0">
                                <a:pos x="T1" y="0"/>
                              </a:cxn>
                              <a:cxn ang="0">
                                <a:pos x="T3" y="0"/>
                              </a:cxn>
                              <a:cxn ang="0">
                                <a:pos x="T5" y="0"/>
                              </a:cxn>
                            </a:cxnLst>
                            <a:rect l="0" t="0" r="r" b="b"/>
                            <a:pathLst>
                              <a:path w="129">
                                <a:moveTo>
                                  <a:pt x="0" y="0"/>
                                </a:moveTo>
                                <a:lnTo>
                                  <a:pt x="129" y="0"/>
                                </a:lnTo>
                              </a:path>
                            </a:pathLst>
                          </a:custGeom>
                          <a:noFill/>
                          <a:ln w="171">
                            <a:solidFill>
                              <a:srgbClr val="000000"/>
                            </a:solidFill>
                            <a:round/>
                          </a:ln>
                        </wps:spPr>
                        <wps:bodyPr rot="0" vert="horz" wrap="square" lIns="91440" tIns="45720" rIns="91440" bIns="45720" anchor="t" anchorCtr="0" upright="1">
                          <a:noAutofit/>
                        </wps:bodyPr>
                      </wps:wsp>
                      <pic:pic xmlns:pic="http://schemas.openxmlformats.org/drawingml/2006/picture">
                        <pic:nvPicPr>
                          <pic:cNvPr id="1917" name="Picture 77"/>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a:xfrm>
                            <a:off x="8175" y="2061"/>
                            <a:ext cx="101" cy="184"/>
                          </a:xfrm>
                          <a:prstGeom prst="rect">
                            <a:avLst/>
                          </a:prstGeom>
                          <a:noFill/>
                        </pic:spPr>
                      </pic:pic>
                      <wps:wsp>
                        <wps:cNvPr id="1918" name="Freeform 78"/>
                        <wps:cNvSpPr/>
                        <wps:spPr bwMode="auto">
                          <a:xfrm>
                            <a:off x="8325" y="2227"/>
                            <a:ext cx="15" cy="18"/>
                          </a:xfrm>
                          <a:custGeom>
                            <a:avLst/>
                            <a:gdLst>
                              <a:gd name="T0" fmla="+- 0 8332 8325"/>
                              <a:gd name="T1" fmla="*/ T0 w 15"/>
                              <a:gd name="T2" fmla="+- 0 2228 2228"/>
                              <a:gd name="T3" fmla="*/ 2228 h 18"/>
                              <a:gd name="T4" fmla="+- 0 8325 8325"/>
                              <a:gd name="T5" fmla="*/ T4 w 15"/>
                              <a:gd name="T6" fmla="+- 0 2236 2228"/>
                              <a:gd name="T7" fmla="*/ 2236 h 18"/>
                              <a:gd name="T8" fmla="+- 0 8332 8325"/>
                              <a:gd name="T9" fmla="*/ T8 w 15"/>
                              <a:gd name="T10" fmla="+- 0 2245 2228"/>
                              <a:gd name="T11" fmla="*/ 2245 h 18"/>
                              <a:gd name="T12" fmla="+- 0 8339 8325"/>
                              <a:gd name="T13" fmla="*/ T12 w 15"/>
                              <a:gd name="T14" fmla="+- 0 2236 2228"/>
                              <a:gd name="T15" fmla="*/ 2236 h 18"/>
                              <a:gd name="T16" fmla="+- 0 8332 8325"/>
                              <a:gd name="T17" fmla="*/ T16 w 15"/>
                              <a:gd name="T18" fmla="+- 0 2228 2228"/>
                              <a:gd name="T19" fmla="*/ 2228 h 18"/>
                              <a:gd name="T20" fmla="+- 0 8332 8325"/>
                              <a:gd name="T21" fmla="*/ T20 w 15"/>
                              <a:gd name="T22" fmla="+- 0 2228 2228"/>
                              <a:gd name="T23" fmla="*/ 2228 h 18"/>
                            </a:gdLst>
                            <a:ahLst/>
                            <a:cxnLst>
                              <a:cxn ang="0">
                                <a:pos x="T1" y="T3"/>
                              </a:cxn>
                              <a:cxn ang="0">
                                <a:pos x="T5" y="T7"/>
                              </a:cxn>
                              <a:cxn ang="0">
                                <a:pos x="T9" y="T11"/>
                              </a:cxn>
                              <a:cxn ang="0">
                                <a:pos x="T13" y="T15"/>
                              </a:cxn>
                              <a:cxn ang="0">
                                <a:pos x="T17" y="T19"/>
                              </a:cxn>
                              <a:cxn ang="0">
                                <a:pos x="T21" y="T23"/>
                              </a:cxn>
                            </a:cxnLst>
                            <a:rect l="0" t="0" r="r" b="b"/>
                            <a:pathLst>
                              <a:path w="15" h="18">
                                <a:moveTo>
                                  <a:pt x="7" y="0"/>
                                </a:moveTo>
                                <a:lnTo>
                                  <a:pt x="0" y="8"/>
                                </a:lnTo>
                                <a:lnTo>
                                  <a:pt x="7" y="17"/>
                                </a:lnTo>
                                <a:lnTo>
                                  <a:pt x="14" y="8"/>
                                </a:lnTo>
                                <a:lnTo>
                                  <a:pt x="7" y="0"/>
                                </a:lnTo>
                              </a:path>
                            </a:pathLst>
                          </a:custGeom>
                          <a:noFill/>
                          <a:ln w="153">
                            <a:solidFill>
                              <a:srgbClr val="000000"/>
                            </a:solidFill>
                            <a:round/>
                          </a:ln>
                        </wps:spPr>
                        <wps:bodyPr rot="0" vert="horz" wrap="square" lIns="91440" tIns="45720" rIns="91440" bIns="45720" anchor="t" anchorCtr="0" upright="1">
                          <a:noAutofit/>
                        </wps:bodyPr>
                      </wps:wsp>
                      <pic:pic xmlns:pic="http://schemas.openxmlformats.org/drawingml/2006/picture">
                        <pic:nvPicPr>
                          <pic:cNvPr id="1919" name="Picture 79"/>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a:xfrm>
                            <a:off x="8389" y="2061"/>
                            <a:ext cx="101" cy="184"/>
                          </a:xfrm>
                          <a:prstGeom prst="rect">
                            <a:avLst/>
                          </a:prstGeom>
                          <a:noFill/>
                        </pic:spPr>
                      </pic:pic>
                      <pic:pic xmlns:pic="http://schemas.openxmlformats.org/drawingml/2006/picture">
                        <pic:nvPicPr>
                          <pic:cNvPr id="1920" name="Picture 80"/>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a:xfrm>
                            <a:off x="8539" y="2122"/>
                            <a:ext cx="158" cy="123"/>
                          </a:xfrm>
                          <a:prstGeom prst="rect">
                            <a:avLst/>
                          </a:prstGeom>
                          <a:noFill/>
                        </pic:spPr>
                      </pic:pic>
                    </wpg:wgp>
                  </a:graphicData>
                </a:graphic>
              </wp:anchor>
            </w:drawing>
          </mc:Choice>
          <mc:Fallback>
            <w:pict>
              <v:group id="_x0000_s1026" o:spid="_x0000_s1026" o:spt="203" style="position:absolute;left:0pt;margin-left:178.2pt;margin-top:11.1pt;height:238.95pt;width:262.7pt;mso-position-horizontal-relative:page;mso-wrap-distance-bottom:0pt;mso-wrap-distance-top:0pt;z-index:251667456;mso-width-relative:page;mso-height-relative:page;" coordorigin="3564,222" coordsize="5254,4779" o:gfxdata="UEsDBAoAAAAAAIdO4kAAAAAAAAAAAAAAAAAEAAAAZHJzL1BLAwQUAAAACACHTuJAPiArfdoAAAAK&#10;AQAADwAAAGRycy9kb3ducmV2LnhtbE2PQUvDQBCF74L/YRnBm93d1JQQMylS1FMRbAXxtk2mSWh2&#10;N2S3SfvvHU96HObjve8V64vtxURj6LxD0AsFglzl6841CJ/714cMRIjG1ab3jhCuFGBd3t4UJq/9&#10;7D5o2sVGcIgLuUFoYxxyKUPVkjVh4Qdy/Dv60ZrI59jIejQzh9teJkqtpDWd44bWDLRpqTrtzhbh&#10;bTbz81K/TNvTcXP93qfvX1tNiPd3Wj2BiHSJfzD86rM6lOx08GdXB9EjLNPVI6MISZKAYCDLNG85&#10;IKRKaZBlIf9PKH8AUEsDBBQAAAAIAIdO4kCisGSidyYAAANuAQAOAAAAZHJzL2Uyb0RvYy54bWzt&#10;Xd1uIkmavV9p3yHF5ayqTf4CVrtHNa7uUUs9s6Vp7wNQGBs0GJgEl6tnNHd7sZf7Pvs8q32NPV/8&#10;ZMbPF4AzMVXGWVIZbILIkxGRJ873ExHf//7LwyL6PC0389Xyqhd/1+9F0+VkdTtf3l/1/uPmp3fD&#10;XrTZjpe348VqOb3q/Tbd9H7/w7/+y/dP68tpspqtFrfTMkIly83l0/qqN9tu15cXF5vJbPow3ny3&#10;Wk+X+PBuVT6Mt/i1vL+4LcdPqP1hcZH0+8XF06q8XZeryXSzwV8/yA97qsbykApXd3fzyfTDavL4&#10;MF1uZa3ldDHe4pY2s/l60/tBoL27m062/353t5luo8VVD3e6FT9xEbz/RD8vfvh+fHlfjtez+URB&#10;GB8Cwbmnh/F8iYtWVX0Yb8fRYzn3qnqYT8rVZnW3/W6yeriQNyJaBHcR9522+WO5elyLe7m/fLpf&#10;V42OjnJavXG1kz9//lhG89urXtqLluMHdPj//c9//u9//1eUUts8re8vUeSP5frX9cdS/eFe/ka3&#10;++WufKBX3Ej0RbTqb1WrTr9sown+mKZpkYzQ4BN8lvbTrChy2e6TGTqHvpfmRdaL8HGSJPqjH9XX&#10;8yTHZ/TdbDAY0acX+roXBK9C87TGgNzUrbRp10q/zsbrqWj8DTWBaqV4mFUN9VM5ndI4100lylXt&#10;tLncoMmiT09/Wt2iVceP25UYIU6TFWkykrceD4fy3nXDJarJYvH36q7Hl5PHzfaP05Vo+fHnXzZb&#10;OYpv8U6MwVvVkzdo9LuHBQb0v72L+hFdSvyQl7mvisW62O8uopt+9BTFbglAMSpKADWiH24xNI0s&#10;hopEoVmUSvR4MqrLoTuNyoKocl2MUGUcqkKXELeX5P2CRTXQxQgVFWJRgfYsVKlsMPcW0VnVLd4M&#10;OVSx3epBWLHZ7DYu9PW97s3xTHfw5MtS9TDeRWPi674YUuvVhp6iG1SIx+RGPLmoAqVoOAQKo3mp&#10;8IBucG9hOURvANkoLb+lIJWgWpdkS0Gyn2QTrsdbuhNCRG+jJ0w+vWiGhx8jhP76sPo8vVmJz7cO&#10;meBK9aeLpV9KjTKU05/q17WoS7aMWwrFCYq4/woe3ZXxfC1XP80XC/GALZYCdCYbfbNazG/pM0K8&#10;Ke8/XS/K6POY5hnxT7WUVQx8vryVLbhA34C/JEsQ0W4uP61ufwNjlCs5S2GOxpvZqvx7L3rCDHXV&#10;2/ztcVxOe9Hi5yXIbRRngBJtxS9ZPkjwS2l+8sn8ZLycoKqr3raHkUNvr7dyGnxcl/P7Ga4Ui15Y&#10;rt6Dqe7mxCkCn0SlfgG/SqynIFrwhJyRKqLNqFGpqUDIzybaBNOOnGMyUc/4UhMtfUATjJh70P+a&#10;os1x8GyepcuJYVMTn/nAC571i9hEW6CSiH64NZlEe5OAhfwiDsuGasKt13xGLCtrQis0ZyAhq+g5&#10;2klAuAe0+WFlZc9ZZWX9LdgHN8rRjlIi+lq7eUeXkmwDSA34ZCAfPIsoOj6xjIpnydugcMMgcvhE&#10;PFdN+aSI5QiuhZDmk6MLN1wqKuh6+wjlpMIthMqjFA/VSwq3Is7YtuqEWyXzWlNnJ9w64ba8DxIt&#10;Hm+HaIs2wq0i2uSlhVuI0Z4v3IrBkGWh5wu3UE0ey7514Qbzx9CTId2GVjKLdcLtFRiCcOA4fCK8&#10;Fk8NDcHK4+bxSTLE6Di6JUjX2yfc6MpOGccUFNzEVOUxClOVYwsKicRU5VGKqgp64dyNQbpTzho8&#10;jFSSIVrYIB/tfNKv0glF1/BLdUYj2vjbdULBLexwj/B6N+WeZAQyI1dT0g84oZwYh+2NfI4XCpeC&#10;7wjXc3jl2WImSYZpBMAeQ5nUIwrNIol+l7e/iFlUHvdIOWPW5FiNAMSistz9VIhD5Xr7i4RF5RmN&#10;PirX3R+CZbv7TVyt6PX1ePtJecHdjxESJtqBDnUF5dshRHtEjZenAm3nnNMB/5eKquJJc3hWiKam&#10;PJsPQXOn4dkig4+erteeZwOMZvNsgNEcjQdALKoGPBtgf5tnUegAng2hasKzAVgOzxq4Op5FkPhZ&#10;4Y2KjtuYyR2Fwk49Qbw0h46WFPrLfDmNoEtASIo/r5cfS5p1EZH7df3LavLXTbRcXc+QQzAVXryb&#10;39bIUZHRfesr9Mtz81gGKodHh0PAxGRT61iZjq6uS5nFEtGbq94CoMVcqzUuGUaqCEH3A/EvHDhD&#10;64kA+Clj3jnayuxD0SNWh7xoHxY6pOV5Rro+9LLzQu7vHI4bsw/F0/AV+jDunsO9GZbBPoTkcuSo&#10;jL6qfnx28klM7AwSRNKcyprT7JipRyuRhA3W0wTZNP0kziH98GOvIMWlHc1q+xzjUTKMasR1Iosp&#10;SEWhGRLvBL+b9rqjSOMC/ggGlqdIfVi25R+PYh6WqUhFIRaWY/oDPwvLk6Q+LMf0p5Zim8uSpKIU&#10;Cyy2W78IISOSrnN2Ykr/YbDZrZ/0RwFsZvOLUjw2uwvC2Mw+uIkLHpvdBWFsZh/Y2F6HlheTNZup&#10;iS4EG9zEwqeGm9mdKhWjVUVxnf8sisuvtciAwqghjww9umGXDHIMSQmFMzBjDA2AS3U57fTWr9L5&#10;TddCqYMK1VTYxu7AFemuOtfNC7tuKD3fnSvbJWpqH3l/oJzXeq6k50CE5/QwajtVpsgGh4/cS2TH&#10;YK0ZVmTEe250m6yTPgL+9MOdUU2uFoVArwL9jpkSgFhUJlXLjHgPlU3TSZ8S9RlUJkuLQhwqm6WL&#10;UFuZJC0z4j1UzkQpqJyDZU2UmvC91nLnyZQyvrhONNv+RsyTGECO4ondeTLQYmDqekgEm4y4UA4c&#10;teIiNL7MDpDTJAPN7gAxethWM3tAlOJ6E6PuIGiJNfaTwOA/cPQnZhdY0LoJXPljOHlAfUDzPZpP&#10;zr3Hme+JPmm+56d7jDZjgg4FYJQZowlYT/L6VU72sirJc+ho/aF+lYWUbpB2Q7CUjUrWgMIN8qzf&#10;vB9yPZ9c4r9aRoh33gK5/Ys38a3tI9ag/PA91bb8/HE+Ic8i/WIuksvBllIToAB9IZJKV5eT30I3&#10;zie2N/L9Zo2FRGJpkHZQvi/L1dNsOr5F6El6KO1aLuhXC8mnxXytV+bQ++OuLY3Ky+nDp+ntVa/8&#10;+VZqTOgTJcNJqYh1n/9Ihu/7/VHyh3fXef/6XdYf/Pju/SgbvBv0fxxk/WwYX8fX/ySFGmeXj5sp&#10;mmG8+LCe60Woceb1DpsFrxaiyuWjYhmqWoSkmAOAhHrXEPHsUJMIZVxO/oLGFhPiZltOtxMshRpf&#10;3mFNk/o7ClcfiGauW5YanRzD9A2twtQq0CKFZ5a4BKaumm+pWWgtaEzTqFBw1WOvv6x9vcodTOvJ&#10;qHUu97mDBS6JRLwFMDke8eYkQx1TvjPURbYrNRA9Emcz1BPRHXocydVTb36o5xmUEA31Ue4O9SGm&#10;ShrqMQxROYu/yFAnj+QpokvQDq6VJ+64oUc0z4gKqHn6np96lOKZEizhNFxDjyiuVUT0g6oz7S5L&#10;6gqlS5d2CtlSd5DmCVuXqXTFkryYqcs2NoJ1mbaGNPRUXSDkc8/EFM1G3VQrUKkXpfLUwrP+1FGV&#10;YvBgXOmCbSTjC0cYv/2lvjSJnWoehdJ35lHhTDm7eVRmlHXzqLlxSJ5l0tAbwpso+LdSjH2QtJhG&#10;kWN9BtMofDXuNNom0S3P4bykaXSUulkXtK/IMSfRfDSKcLn9axlif72DPYdir4IBW5U/h/pV2VMo&#10;qhqyVflTqKzqLcyguNMWE2jCuVxqJ45y3uAaNOy6WXb7ajbUKKCgHO6RLrqmEr7iHr14qSJtGh0d&#10;9/SqnYs67rHYIijeO+6hnX3OcDOfAirO5R7hFmnKPQOlezzBmMJRwevFpt6DAQkf/HAdA573AJfe&#10;6TsYDkdRhZfPpqIiMyQRKRVcF3JkzxA7gnCYPNnjY7JDlMNhn8NkxiepCIsJQsEIdubDNGcxYS6o&#10;g+m0ZZqPyQkQo5E4UFZ4mMqwqJzwcBAWk0bFALPbPe6nQxaZ2e6iEA/NbvswNLP5ZXiYgWY3fxCa&#10;2fw2tFZa+GQLz77xJCp0DAVV6ZENi+5U53kFZz6MM8jpRHgf0S/aqaVfpeomv6gnuuvCViHFIVVd&#10;eNMgaNolUZ3GvV7AQnbnRzNx/LkJx/kowbjEWIn7UuPXu93pENyxthXNR8T7dD1n8vPmRxkDNh3w&#10;tl+AsGLdigZcT36mX0AUInZ1L2czNQFiUZlMLX3r3rpmm6VxwRGLyiRpUYhDZZN0sK1MkpZJVB4q&#10;Z44UVM41ljVLVoTvtpY7S44yhDW4TjTbXiVR+dDstg+2GA29SgoEm8xJogq2GaWzVLWpJCofmt0B&#10;1GBsZ8ZmD4hSXG9iaFqSJzT0uSQqDxr2OjYrC0KzkqgsaN0ETlMukqNOmUSFMSzme3a6x2gzJujQ&#10;bC9DWTqZW8/x+lVO47KmiqT1h/pVueEABtc7pKZjeOq6FKrTxcMKEK9UBEghESlUMhvw7OJhUjd3&#10;8TArHjYaQT3hya7cBZVr9UTxMBpm+H+KDCpaku6MdOH+OLuRLreY6ka6OdKxF5kc6SNtHVQjPccU&#10;KDx5VRr0a06gok1pXAtPSMKGHtACh2ZIioB0tULmtIhcBF+QgWZHzBt6QIuMljHQ9fZZeP6iU1vj&#10;DmN4QDVe3r6jIli/ILGbtqJtYxQprdtkMJkmhrDvfEy2fTdMBxwm07igIiwm27hA4isW7jCYTNtC&#10;WHc+Jse6GxYpB8qy7agMi8qx7YoUBTlYjAeUAWa3+xBrk5getCw7KsMDs1ueMPHAzMaXlh0DzG58&#10;MmA5YGbbUxkWmGPXBYExdp0PzLHrRoOCA2ZZdVSGB2a3frArE2vYJ7SRPwPMbn5hSjJNRp6jyq5W&#10;9ibzPFKsThZTa50Cg59iwVV1N0jX4KBh9ahZWdzPc67RUtOnJAqxrYZcGLO2IFeklnMjpZXUfqul&#10;dhfE/SE70ODirW9TFOKh2X0QpFZyK9etltJCagaa3QVxH5EqpkNTswdEIRYanSZidmiI9WnCrqFl&#10;lDfrQ6O8aKOyEDQ6Tamqy4bWOTee7dwI+0IwOGFN3EgnLVp293pzemSpOB43KSB2F6fHSBQXemZv&#10;7TS0RXHttthdu9KHNxgqBhh5lRaL3zFkxWI4CA0ubqP269AKKuTJURGZPW4amhFwx3L7ciDXThz9&#10;Kp05slmq/T/1h/pVFpKuo7iSxPpT/WqVkmsS9lwQB8+phtV16FdZlwKfyMz4YGWqJRL4LWQ36Vr0&#10;q6xNtauaT6ra8KaLTj1/F9xTWumYuBwrXdgDZ2elF4IPOivdstLfSn52ARJ2rfQ2y5wKSpgm7icd&#10;TcT4cnHYoiAr/aAEbT8UpVWYkPJC89eAeTtdGQb74rAEiEVlyuWTx2GDbWUq5a8Rh6VTntjmYmx1&#10;7TCr+8fZzAJdxEeuLWtdlOKCnU4cNthmXz8OG4TG2Ot+qzn2uhjY9EM+rnXrWha7KKVbDeql+bK8&#10;M0mkCtseENok9yvJKuQ+mgyvLfQ7jeFwHFZq6X3q/ZA4rKxpj8CnBw/3qA0aLXn1q5S+Nib5WTPd&#10;++bjsOQzP8Gi5wL+FVcNiLyjpj77IhTWwxro42YtF4OCzsEbqVVhNYtZzhvy3ejl13UR23UTSMY1&#10;HTfBXFzbdUZwWEyeFvAx2W6zULIrHjHDm4RcXWJoL5fa9poFUXlawEfleO1DsCy3fZWSpdczvoKp&#10;ozVb0/jekSVLH4M/D+PrI2W2yryDbnvAF94esMBj5HKomCcbcyhlxmCwhFMjBOdhyOpwcdOwZ0Fx&#10;M/xwhaBHobF0oZnRSptDFRv7VZksKneN8KtySFQSu1+VR6IKFRqiOcPoJ3K3i1Z2yGFlAdN40o+k&#10;BdFonBNX6juNK+TDpXYyMbVRZt2OEafLGxqge22PpNyD9uw8koPOI1mTud5kbNiHJNw5DdQ6QU8E&#10;r3WPMdpPzRnpImZzdiN92I10f6SPVKLXuWfIkRHgKEW5qUlDpTiItVLUGWc6tZBiv0fNkMOlsoh+&#10;7JWKfqaErRSRvsGmcBiGLRXhEzh0IeHFH8RIyOEweULRx2Rb28fLkBvQmQYcJs/W9jE5tvYxM+QG&#10;2JqYhcV43RlgtkA/ZobcIIkD48r0dHyFDLkgMMbj7reY43E/ZoZcsCu/foZccPB//Qy5IFd8/Qy5&#10;ILV+/Qy5ILQuQ87I1AoGhohcIeDbHYISrJ2IiGq3w07h4tIv0WXIyUSs6OmqB97elSF3oHNFRsb2&#10;xM/Uvj97EuQoWRRduidDTp+0VXW8jsLpVysRLd6TI6euuTdJDjEFQNuXJKfihPuS5GTTdjlyV73t&#10;q9ldbYDB6VovwnPc0HrJU4pwY0xliBnaiUMZZSII+4U+aO/opktF4nriOnUgEARQhdNuxP7IdGmn&#10;kG2/FAOsleHqAuS6Lsq0j5m6bCUdrMuzYHRdb8HXTc3WwtmdqXxe7RXvvN3l9bak2GP0TeffDvBs&#10;OD7A81wlKzcv7fJvzfzbPC2ktzvxjhmg4JVYJXsW+yMPQO3uLNpmlWyeq2OGUrkFl5F+S1b3MSdR&#10;XAk7ER9yyACuvHMOzYsM8zFTlT+H+lXZU2iwKn8KlVW9hRkUd9piAsW3SZZ18+cr0uYgT5dVxOKV&#10;ptq8YhX3NGfa+7xjlatu52Ms9JB+hgPdJB2rLCezFXT4EVjlhKvicEKtq8rFcqGzi8wj+qYWL3Un&#10;3Y0vVRJKXowgt8jvd+6y3E+ET9skwufDTDm3tD9Jh+bJ6SXNmSP5toZ0XhddzpHcvm/LK2J7tjLs&#10;qoH/bj2mJqciek2QmQzqaHKgYSH5mtyDZAfmM2xZwUAyY8NUhINk58DnoVby4vL+8iknLp9lMYfJ&#10;SoGnMhwoZ+MaoMLO61zfmY1+4Kakgbai8Vb5JUON5ayEC7ZWk5VwgWFl7UcaGldYo6bAi4yPIC4m&#10;KO/3oxOUD+Ai13PdXsZ4b2U4dmvgLunA02gh/JA4/xYdCy1U9qJPV71PknJofwQ199JbitDR4D3O&#10;GjhB5uhCHSPTr+bKNYxucGiwkIptHVLTMWznN78G7pQqF9OA43sWLqzzU7ndec4wXHW6tFa5o750&#10;eX01lXvCoU6n9tpDHdtigfbOb6h35zn7Q73o53Kop3pfi9ougWIWhom0WDAN6sfkqKsKyCN5gpXN&#10;Q5g/jkcUSWsY5w09okVC+Q9kCUNGCktLNxxlEYkwy9F2I02hOnE9zxLzLDom8VSLV6GXgTWq8NZZ&#10;D6bCpSIH5FoXadxnMZnWxUG7kSbYT4/BZJp0VITFZNt0RTLKWUyeTee3k2PTJUXBgbJsOirDonKM&#10;uiIZxiysJrnWaT9mgZnNTmV4YLYxTUOKB2Y2/oG51ilMfKYbLauOyrDAHLMuCIwx6/yudMy6FId5&#10;McAss47K8MBsR0awK5vkWpO9yQEzG1/awQfsRRoa+uRlr6zXA/cizeCEYIBZW5FSGbbFvJ1IAzzR&#10;JM86G7JjzNqIlMrwwJzBHyLVJlnWeZ/nVbPxqQwLzN2FNASsSY51ABjleFajwgLWOTXI6Y9F2ocf&#10;sBIuDlKGQOgyrA/OsD7uHqSQR2j+PSnWYFsU2pNhLUOah+5BeohDKOnrPRu040m/SgeUSuZPwEa7&#10;XFDdHqTR9udTnyB7SuMcERnHOBfj5vyMc5ni2yVBmkmQ2PweooVszK8VbT3lUIcmcYa6yLw/v6He&#10;nf/E+KGqBLNz90PBonT9UMKx09QPNUCEXnCE54eCajmuHwqXigq6nvB31f4j3w8lPMhmQoCdWQDr&#10;krUwDauEivDmki4kPFpYMYMTaBhMpkNE+qE8TLZBeEQ/1CDHNloMJtMclKfieJhe0g81KAYsLM4P&#10;5QOzPSFH9UMNyA/FtBeTXQALwR18thPwqH6oEDDOD+UBe0k/VKgrOT+UD8we+Ef1Q4WGPueH8oA5&#10;Z+Ic1Q8V4gnOD+UDswf/Uf1QGPfs4Of8UD4we/AH3D3WcTiWu8ekaNcPFQLG+aE8YM5pOAFgnR9q&#10;E32hDQGkF+JGbtsDH9zu3QeVc+CmCsztKd75odw8InI0IY+IHOstFsZI4bVvpT9m/f1uKLXqfo8f&#10;6rkr/Xd7otQ197qi5A3sc0V1K/1P74k6VewcBCJtlr8gZ2+8vF9MI5lfbBgt9Bxt1r+sJn/dRMvV&#10;9QzFpu/LcvU0m45vN0jdE45M6wv0y2b9sYw+Pf1pdTu96o0ftyvxQOpMA5WQk+W0GJgcISP5hNSr&#10;GtOMgrLCzpFXaJym0GRj5MWSbnu5+mm+WGg/LTIG9Y3J7IJPq9vfcJPlSqY5fp6WeIOlH3/vRU/l&#10;eH3V2/ztcVxOe9FCuDJHcUZT8fmOJshPbzS5i9O60aQST7vRNN1s5sv7X2fj9RTcoAgEz9P8FqQy&#10;HEI6eaPJPcDo1Y+mimEoYVkkQrfYd/lhvp2W0WL+gC3F+/SvCjG92sF2Sj81TC454D7OJ9vHElOh&#10;kFnn56fuTm/3/dTpUG2v4G1SlPf1xhRZDi+eVANax7zKjEnofjnQfyqn07tV+RBlbc4xyFPEvIUp&#10;lLrb0ybkLhAazmm3hgcZ0KWwJ5OMsZs+Ds9TTVd2HIq2qzrPs4ytykyhEQcZMFXZbqNgVZ6vWlXV&#10;KhlHD8HdvgHcBWT1YWWlG8EqK10VLQ61ojul2bk+quA5i8jp2yZ+mUMBUA2OVm0xoZarx+VtJ/+f&#10;VuXtulxNdgu2EWwbh1akU98wDdGW2oTaaxvmuTpiKvNoBXR1VFbJsZczLucxhscqkidN4nFIBaeg&#10;szV5pOLX5HBKqCaPU2RNb4BScKPNGQVariOUI+1KQY/wCVZ20OPvEkqblR15gT1uTqRTcKlIXM/R&#10;IB6jMOLCoZQRjj7lqvIohanK4ZRQVR6nqKreAKnQnTZnlYRiZobO6nRKiy0oT0UreL5cWhEzf1Od&#10;MqKtcygS9OI6ZYRzMHL8cC0bj1V8dWGTStFPsMUfU5NHKn5NNqcEa/I4pdMpJlPUdpGdH97plOPt&#10;nnUqQsFD4xJKm/2yi74KivmEQrPVMS0fulQkrtdap2DhKBZpEnSnKo9S9uqUYFUep3Q6BUa3oT9C&#10;rNLplPHroxVMtC6ttEooTtUhYj6tYGo+KqukdGI3frhU8HydksU4Z5upySOVvTolVJPHKZ1OOYRR&#10;Op3y+ggFQ90llDY7kmNvb5lB5hPK0XVKVmBXCvzYyyiMuHBMnwF2UeCq8iiFqcqxfUJVeZzS6ZRO&#10;p5x8OeupzJ8q7asKJ+OYVxXpmfz5869IBFS/HZQTWAxIjpzCn0JXQoq+Lx2er1MGI1qt5NfkkYpf&#10;xOWUQE0ep8ia3oCLFjfa3EOLL5typnPQvgIHbZX5VxOKm/j3LEKptmj2HLRH1ynDrIgK/GivUwb9&#10;IVb1MVV5lLJXpwSr8jil0ymdTjlbnVLld9a0IiIpTeM+RYHnBzolSYfqKEG9U6By0qqtFzFF63TB&#10;pmlvuBRiwLie41v1hIqIj4fzUwhqVOOtV3qbpCIKzaJq48i6lC1VCBCLyqMVD5W9UDUhO4pDhYmg&#10;2s1KFGJRoV9lKbl1eIHt+7i2ghCoKhOLtD1U7hrtECx7t0AqVeFqJcduxDBCFbtT++Sou9EbCO0u&#10;LOXPDSBj6Oiq5WuL7D6MO6yyoxHSXJlJpq2fER0H068yXxBXwiPmlsINNMgExOobgttkPVCXCYhz&#10;g/sXB2YCYtC5jqZWCcYj5W2sOeLFmHYEkzDHj2+LaUOovi7ThlB1TPsamLbjUMxAzz8o9zRetREW&#10;b7kcKr3fjdUq1UhqNZPnHdUrbUnGHnONhpSFWDSzT6z6etZ21ecFpBX9cGsy1apYouHX5ErVQE0e&#10;gcqa8Gzc3yp9NKY9BsStQGmpv+Edt4+oFCvWQorgJqK4B/TGYWWl4rPKtpZwuFFOuyFoa+IKJRTI&#10;saQRdV61b96rNqJFbI4oK8SD1ZRQKlH24oQS0hm4o9qi60dPkU8DNqGASlJW3T2bUFATVo8xOrEj&#10;lNXn6c2KqOU5C74c2tE2oH6VVaF7TW7qWOcVsA4eQJd1WiVbZ0P4jkjG9IdquZY2BavUSG+RblOv&#10;G64V5XTBfUIGl3aK2LyTYIfpCIiVm7B2qJm8IwphZ0QJ3/ThOVom74PEGFge9fiwHL9bDDrkYFl+&#10;NyrEwnL8bnkyYGF51qAPy3W8oaVYXLbjjUqxwJxzOvIQMmZ/RAab3fpJgrWCXJtZxy+KUjw2uwuA&#10;DSn9TGcyWyQy2OwuCGMz+8DG1krpnsxhGVTR1IVggxt5CKQUxTT3hAS6XKnh7MfWWkujZ8SuYxjH&#10;nKaWYhneR5AErhXS1GqzOGyWKMvpyU+/ykmQXXFUH3doFUpw3NnOuoBbcKldDBibeFfliXOdd/XL&#10;w2KJBZJr7I01227XlxcXm8ls+jDefPcwn5Srzepu+91k9XCBPbDmk6nwqV4c7l0d9THk3Sm1zXKD&#10;vKCtMmkYJANnSqURKTwDeki2jmNlWGhdpPsTg3Hl3TMqsGKnYQ04MKNSIbCwQL9jQgUgFpU3ofqo&#10;bDZPEpq4GFTWhEqFOFQ2medFoK1MLpdxLK+t3PlUzFkMLHs+pVIcLnc6LXKscec60VQz6ixjH5o7&#10;nQZazJlOA03mHmccajMayLWpGBewFf2+RDTLDCRSP7KdaR19JUpxreYcfRXsTmbLYR+as+VwEJp1&#10;+JUFDZze3KN1JvN8UBbw+662lgU06mgzUl4VYLSBdDWzhkSB1A5V+FZrAf0qp3tZleQ5oNYf6ldZ&#10;SO1vdFBVGpWsoZke6I41nk8usXlYJPUA3nl6YLWeLvEpbcE03m6+W5X3F7fl+Am74j0sIAn6xQW+&#10;RVuRQVbSNmTLzx/nk49lfYar2ixv1AerSk2AAmLvMrn4hr6EFFz1Lci6+cTZyHOzxs6ftInnjr09&#10;7VoIk43k02K+po0ySfvSe3XHOPbb0T/M/UoR9GE1eXyYLrfypsvpYrydr5ab2Xy9wfHhl9OHT1Ns&#10;Clj+fItBTFfpjpMxj5PJB30wjRDyrlMkpnlUbqKqM0C0hjvq1mU0JvD/JGMdd+SMdZEXZY/Scxjr&#10;g26s16lz+gjvIbY/EGM9zl1rhU68prEew0aWZu+LjPVTRYBhW7h2Xpt1FSInTrScF7BJhpg/jh8C&#10;9sMxXsSGrrzT0KMYC6wNvyrL2Egg6JmqbFsjWJVn56mqWmlmLaF2p+dJy/uwsoBpCEZRb2uJSnca&#10;dllpXCFxSt82MbWRi902fSfZVWtEUsGlFWGlN40DV+6jdKSy5nREhuJ1xCrV4QeajpsGZHAp8jx4&#10;YRSPVny6cAIyGXbSSSrAAfcRFZpFemP6upBDK8UIgQ8GlUcrPirHfQRALCrTe0GoWVS29yIvsI6M&#10;Q+W5j3xUrvsoBMt2H5m4WjHnybwNrdmTBjgMfIyQMIdWgz9EoqcOfb95u/xU+g0PpEu0rdabjJQH&#10;p+atFyPa0RCJdyPfD/l8og1xhynfgpTmEC0AsaieT7Qh+reINkT/DtGGUDUg2hAsm2hNXB3Rfrnq&#10;OQwaIlrpSq34uI1Y7Tj0RGIVD5Hk0F/my2lUCIGphOr1kjyhwqf/q3M8kThT5Oa3NU4ekp4A6yv0&#10;y0E7EYj8PmUxO9JWeRq0gaSFreNTWwC0kAbjzzKHGI+rLkLQj3r6xyFLlMgroqY/uRP3y2/jOyI1&#10;afThQLSZ1SGn6cO0UMFIPWt2fXjoiq4RTUBmH5qJwyd4Dsn9I55Drw+BiyzM7jncuz//iML4jh6V&#10;6RPqWXzuPi0pQtqyV/qF64nN8InwxGLHbdsT29D0p4tF4oqOt9BTpDhkbbdHEXmWOXJCsBmeU5Ul&#10;SanQLMIxVG4pW5OmCL2wuDxNyuByrP8EeRUcLkuUUiEWl61Kg7g8Vcrgcu1/tBULzJalVIpF5uSP&#10;BKEx6ZgcOLsDqMF4cGYPiFIVuNchmoPZCnzOY2tnBrU1eTNozIfdGfJRx8VCKjvOpE87xgFu8tHX&#10;aQj6VaUjqHKaulvJcbmHe5d6+MKphzTy3CmkTephPYWAbiXRanGWVIFrNYq0xH7xCYSu7MwMtvM4&#10;HQxGLOebE4g8OcqvymavYFUmed1kFN2SVbWiLv2ofeMhKdxpmH/0PYToR4wbQxG2oZU3H5I6YVYH&#10;nTItqeWjymCSO4mfX1aHnF3Bc2otMTHeYzm/6v0jGb7v90fJH95d5/3rd1l/8OO796Ns8G7Q/3GQ&#10;9bNhfB1f/5OejTi7fNxMkck1XnxYz1XSDf7qJVyxCecqxUzmnD+M58te9Hm8qI0oABLrFDREcA5l&#10;ddEzuSkndFK0oMfNtpxuJzP68x2Sv9TfUbj6QGSK1clh1JXkd6FvaDZXWR3YmlpaePEAalFUT80y&#10;gXNPyBKRmzAQvIwL6C9rV0pEb5AeBmSCOfZ5WwQuiUS8BbDTeUNwn+4UKu6roRU2GI1gRoDwklgu&#10;MKnX9ccJxL5oueNMoXQpRENxPWd69G0wXNkpY0+hQzKvuKq8KZRuwqnKnkKDVXlTqKrqDUyhdKf0&#10;lNWTpNTc0gO+bwoV46abQpG+uu1hl4cJTnS/3uI3tN43u10IhQZdWmmTLGbQij4WsSLkjlYeFuOr&#10;3u8uIqHMO1rpaOXke2aSlsL/U+Rb0yoWR5kLzw5BOK+1BXLS1LJXCqm3rsyHMWS30Jd9uV2MoS/1&#10;ueixTOJ97crcz9eRJ+01VObDFD4t0XJYiCc1bDWF4gMZHqG/G+3W0Lk1TNMkEtdzpLKvzPf4thIs&#10;YcWix8QLe5jCXBQib/oeZY4GYFH5ytxD5YZG0oJFZYdGUIhDZUdGgm3lR0Y8VG5gJMkQSWIayw6M&#10;UCkOlxMXAbAR21xcXMSHZltFSRJoMTjX6pWwohQLzW7/YJvR3OCuq/Wh2R0QHGLOuloMRA4aVjma&#10;q3SD0Lh1tR40b11tYPQ762oNaK2syZNluj4zlhQujv6GZejsnxEs/lLrajGGRaCKNXIlxH1GrtSs&#10;OjqtQ1P6VZrLsiaZBYl+1h/qVx3HEk1ySE0ak6wANTbYZePNZ56dUvlW2WcftU9aOKPOTvmCU8ld&#10;1Clfc1XtMB2i/8mz+tWU7wnHOk2rtpWH1ZRQk+c31uU2Rd1Yt8Z6nqqxHkMSCSOitlUg34SxAhFk&#10;WytHjb8gL/X+8ukeYSaSVOV4PZtPPoy3Y/N3vH9aX06T1Wy1uJ2WP/w/UEsDBAoAAAAAAIdO4kAA&#10;AAAAAAAAAAAAAAAKAAAAZHJzL21lZGlhL1BLAwQUAAAACACHTuJA97MPxCECAAAcAgAAFAAAAGRy&#10;cy9tZWRpYS9pbWFnZTMucG5nARwC4/2JUE5HDQoaCgAAAA1JSERSAAAADgAAABgIBgAAAMrHzFcA&#10;AAAGYktHRAD/AP8A/6C9p5MAAAAJcEhZcwAADsQAAA7EAZUrDhsAAAG8SURBVDiNldRNiBJhGAfw&#10;vzYzelpjFREkumgw6ERfJ0EaZC9LEF6EQLyvRNDuSTx0EKLbCCI79wyELoaIF4ldg04qQ7bswS4i&#10;RES96JwaHXmfTntZmPJ94H/88XzA+/pCodAqnU5fwKM4537Lsu47jhPUNO1rrVZ7lc/nPyCTyXwm&#10;Ivwry+XypmmaR6lU6kKSJHcwGBzsBK9i2/aeqqqXiUTimxAkIrTb7WcASBhuNhs5Fov98Hsdxatk&#10;WXbj8fh3YQgAruvKwnA2m92ZTqd3haFhGCeKomx2Po7jOIFms/kcAJXL5VOJMbbf7XafenXgnPuH&#10;w+HjVqtVYoyFdV0/r9frxwBA/4uiKOtCofC+3+8fbrfbG0QEaJr2ZTKZPLgewzBeAqBKpfKGMbZ/&#10;fXTPHTnnPl3XzyKRyK/VahXaGRIRxuPxw6uuQpCIUCqV3gYCAWc+n98WgovF4lYwGPxTLBbfCUEi&#10;QrVafQ2ARqPRIyFo2/ZeNBr9mc1mP3HOfTtDIoJpmkcAqNPp5IWg67qSqqqXyWRytl6vFaGH3Ov1&#10;ngCgRqPxQghyzn25XO5jOBz+DQAk8nVYlnUPAP0FNmu2Au6CuYcAAAAASUVORK5CYIJQSwMEFAAA&#10;AAgAh07iQMi4oULFAgAAwAIAABQAAABkcnMvbWVkaWEvaW1hZ2UxLnBuZwHAAj/9iVBORw0KGgoA&#10;AAANSUhEUgAAABAAAAAcCAYAAABoMT8aAAAABmJLR0QA/wD/AP+gvaeTAAAACXBIWXMAAA7EAAAO&#10;xAGVKw4bAAACYElEQVQ4jc2TMUgbcRjF313+aJNwrcUkzUHAuUORlEQw14zS9Kx0yOKoQqSQJUQo&#10;dGmsg4NUXAJSoc2YxcVKTO3aeEMtWhycO4TexTuIJieh9S5fl14RS9vkuvTB2773+7/vgz9HRCgU&#10;Cs+XlpaeSZK0hx6USCSUlZWVJwDAAEDTtHAwGNRrtdq9XgCXxQOAqqqiKIpqv+H/BNDtdvlGo3Er&#10;HA5rrgCGYQQsy2KuG2iaFgYAtwCmqqp4GdBut4Wtra1HzWbzpjMUiUTqk5OTlYGBgW+/EEql0gwA&#10;KpfL05lMZsPv95sA6KoDgYC+sLDw4vj4+DYRwTGWl5efOkM+n+98dnb2taIo44ZhDBuGMazreqBa&#10;rabS6fQmY+wCAK2vrz/+CZBluQKAMpnMxunp6Y3L9KtuNBohWZYrHo/HqlarKSICdnZ2HuTz+VXL&#10;sjx/CjtutVrC6OjoJ0EQWkdHR3c4Iur78vV6PRKNRg+TyeT7v774O8/Pz78UBKHF9/38D6VSqbft&#10;dltw3eDs7Ow6Y+zC1Q0cxePxfdcrAMDg4ODXfwIQEed6BcuyWCgUOoFt27ybIyqKMg6A+LGxsQ9u&#10;Guzu7t7neb7LAaCDg4O70Wj0sNewbdueWCz20ev1duDz+c7n5uZe9VM/l8utAaBSqTSDbDZb5Hne&#10;3t7efthLuFgsZgFQLpdbIyLANE1/LBbbZ4xdpNPpzUqlIl/9mZ1O51q5XJ6emJh4x3Fcd2pq6o0z&#10;AyKCruuBfD6/GgwGTwCQKIpfJEmqSZJUSyQSe0NDQ00ANDIy8rlQKCyapul34N8BNNkVJX30Uy4A&#10;AAAASUVORK5CYIJQSwMEFAAAAAgAh07iQKXGDWbrAQAA5gEAABQAAABkcnMvbWVkaWEvaW1hZ2U2&#10;LnBuZwHmARn+iVBORw0KGgoAAAANSUhEUgAAAA0AAAAYCAYAAAAh8HdUAAAABmJLR0QA/wD/AP+g&#10;vaeTAAAACXBIWXMAAA7EAAAOxAGVKw4bAAABhklEQVQ4jZ2Uv2rCYBTFj1+yxKXS+gfMEt0M6BpB&#10;2i1F1/YN2mfwJfIM+gY6t8mmFOqcQNzqYqF/FOqQZMmX2+krttUQc+Bs93e5XDgHRAQigmVZw3K5&#10;/AmAAFCv13vSNG0FgCqVyodlWUMxCyLCbDa7AkCmaTq2bV9zzhkRgXPObNu+Nk3TAUDz+fySiIAk&#10;SQqGYSxUVV0HQVAU2/YdBEGxXq+/drvd5yRJCphMJrcAaDwe3x0ChEej0T0Amk6nNwXDMBa73e7M&#10;87y2LMsxjiiOY7ndbnulUumLua7bGQwGD2kAAMiyHPf7/UfXdTssiiJF13U/DRDSdd0Pw7DIAKDV&#10;ai2zQPtztN1uz9OeILzZbC4AEGq12lsWQLharb6zRqOxynKaULPZfGGSJPFTIEmSODsFEGKcc+kU&#10;gHMu5XoEkOPlDACWy2Ury2liLh+kKErk+76eBfJ9X1cUJcoVjVwh/BX3MAyVY3FXVXX9E/e/xeI4&#10;jrlfLI7jmP+K5VCFaZq2Squwb2VixToB632bAAAAAElFTkSuQmCCUEsDBBQAAAAIAIdO4kCiNNqy&#10;8gEAAO0BAAAUAAAAZHJzL21lZGlhL2ltYWdlMi5wbmcB7QES/olQTkcNChoKAAAADUlIRFIAAAAY&#10;AAAAEggGAAAAQewengAAAAZiS0dEAP8A/wD/oL2nkwAAAAlwSFlzAAAOxAAADsQBlSsOGwAAAY1J&#10;REFUOI3t1DFLQmEUBuC3+11veKMSJ83BQYmLKAgiF/zAwQjlgn+gpSVochEM/0EotDQJLi7+geBS&#10;iA6BUEQQFBbi0mLQEKJYaPl5moIIshtBky+c7Tnn3Q7i8fgpEaHb7a6l0+kjAOT1eu85503OeTMQ&#10;CLQAUCQSuWy1WgEiwiyvadodANJ1/bzdbq+Dc94cDAbLoVDoWlXV50KhsDcej5WPQ9PpdKFarW45&#10;nc6nRCLRICL0+/2VYDB4o6rqc7FYzH32QgipUqlsOxyOnmEYJmKxWNMwDJMxNqnVapsf8Ovkcrmi&#10;zWZ77fV6q8lk8kSW5bd6vb7xnc9kMod2u/0Fbrf7AQCVSqXd7zARodFoJABQKpU6BkDlcnlnljdN&#10;0wBAAEDZbPZgFiYijEajRUVRRgAon8/v/+SHw+GSoihj+Hy+zmQyYT8tEBF0XT/TNO1WCCFZ8eFw&#10;+EpyuVyPjDEBC5FlWXg8ngdJkqZWPGNMSFbgXzIvmBfMC/6hAADIyl8hIkSj0YvfeL/f33kHiteW&#10;1066PZgAAAAASUVORK5CYIJQSwMEFAAAAAgAh07iQFj5Co8pAgAAJAIAABQAAABkcnMvbWVkaWEv&#10;aW1hZ2U0LnBuZwEkAtv9iVBORw0KGgoAAAANSUhEUgAAAA0AAAAYCAYAAAAh8HdUAAAABmJLR0QA&#10;/wD/AP+gvaeTAAAACXBIWXMAAA7EAAAOxAGVKw4bAAABxElEQVQ4jc2TwYsSYRjGn+9rVcShg2KT&#10;ozh6M7t7GRCF3UKhYOYQcwj6C6KuXQIvXhX/Ag9CIeyAQqEOFMGeOpsdt2JbHIkOaoTp972dVpaF&#10;3PHWA+/xx/N+3/O8jIgQjUZ/hsPh39ls9hQ71O12H2mado7VahUEQLVa7SURwc/w2Wx2CwBUVfV2&#10;uVwW9zxP/Y+h6XR6e1/owPM8VVGUZTAY/OM4jtXpdB7P5/ObABCJRH7Ztv3asiwnFAqttpRt268A&#10;kKZp3wFQMpk8MwzjxDCMk0wmcwqA4vH4rF6vv5BSMiICABAAKpVK73u93sPNZnPjIg8hBB8MBvcr&#10;lcpbANRoNJ4TEWCapqPr+pf1en3wrzCFENw0TYdzLlzXPWRCCM4YI8YY7Xr8crlUCoXCRykl91Wb&#10;i2k2m88A+AeICJPJ5A4A2v6GHxERS6fT37hvAgBjjHRd/7oXtIX3XS+VSp1hVz5XZzwe3wVAPBAI&#10;rKWUvtZ0Xfdo6+q67uF1LovFQsnn859yudxnxGKxH8Vi8cN1NbIs65hzLkaj0RHa7fYTAFQul9/1&#10;+/0HVws7HA7vVavVN7hcWCJCq9V6mkgkzuHzNP4CUz2o+85yd5AAAAAASUVORK5CYIJQSwMEFAAA&#10;AAgAh07iQH8tTpnMAQAAxwEAABQAAABkcnMvbWVkaWEvaW1hZ2U1LnBuZwHHATj+iVBORw0KGgoA&#10;AAANSUhEUgAAABUAAAAQCAYAAAD52jQlAAAABmJLR0QA/wD/AP+gvaeTAAAACXBIWXMAAA7EAAAO&#10;xAGVKw4bAAABZ0lEQVQ4je3Mv0sCcRzG8UfvCwpKHeoYmNwRxKm4Hl8QHXWRiLbgpgjErX/D7RrE&#10;SXAThYZoLAK9NcoQRPECx5TrKCi4w0+T0eCvoNEHnu3FG+l0+p6IUC6XL/x+/2cgEPjgnLc5521Z&#10;lgcAKJvN3lqWJRIR+v3+QSqVegBA8Xi8yzlvq6pqMMYcURStZrN5DM55u1qtngGgQqFwNR6P94gI&#10;RATXdQVd10sASNf10mQyCUuSNIxEIq+NRuNkNpt55rbX6x0mEomnaDT6AkVRuowxJ5fL3TiOw+bo&#10;92VZHuTz+etMJnPn8/m+DMNQF7lKpXIOgCAIgqsoyrNt2zuLIBGhWCxeMsYcAFSv10+XOdM09wEQ&#10;gsHg+2g0ii2DRIRWq3UEgDRNq61yRARJkobeZDL5GIvFTKxYKBSyAEDTtNoqBwCiKL55PR7POvez&#10;Ta134+Ifto1uo/8d7XQ6fFM8nU7D64xt27vfA7j452vrvvYAAAAASUVORK5CYIJQSwMEFAAAAAgA&#10;h07iQI3AADoTAgAADgIAABUAAABkcnMvbWVkaWEvaW1hZ2UxMS5wbmcBDgLx/YlQTkcNChoKAAAA&#10;DUlIRFIAAAANAAAAGQgGAAAA6qyk8QAAAAZiS0dEAP8A/wD/oL2nkwAAAAlwSFlzAAAOxAAADsQB&#10;lSsOGwAAAa5JREFUOI2dlM9qWkEUxj+mG6/cFEYRrgq5brS6zyJFDS6EaUjfQ+mmEPIWIriR5j0U&#10;FbIoty268AHUdOEV8gdC6kUm3m6cnK5GsigyeuCDGTi/mY8ZzgciAhGh3W5/SafTdwAIABWLxV+Z&#10;TGYOgBzHeWy1Wl91L4gI4/H4BACVSqWfnU7n82azeUdEUEqxXq93XqlUvgOg0Wh0uoWEEIN4PP68&#10;Wq3e69PeSkppJxKJp2q1ekNEgOd5ZwCo0Whc/Q/QajablwDI87wzCCEGyWTyYb1eR3dBYRhajuM8&#10;CiEG4Jwv6/X6t12AVq1Wu47FYn9YEAS8UChMYFD5fH66XC5jTG9MIb2mxWJxbGLP930XACEaja6V&#10;UswEUkoxy7JCls1mfzPGXk3sMcZec7ncLbNt+8UE0GXb9gvbB9jeeBAkpTzaB5BSHsGyrHCf14tE&#10;In8BgHzfd02g+XyeAUAMAKbTad7Emu5jADCbzT7sBXHOg8lkUjCFOOfBdp7CMLSM5+mgyT0oI96m&#10;Ublc/tHtdi/0vymlWL/f/6TTaDgcftxCOvdSqdQ9AHJd19+Ve/8AuZYC8O1DeWwAAAAASUVORK5C&#10;YIJQSwMEFAAAAAgAh07iQAkzE0/TAQAAzgEAABQAAABkcnMvbWVkaWEvaW1hZ2U4LnBuZwHOATH+&#10;iVBORw0KGgoAAAANSUhEUgAAABUAAAAQCAYAAAD52jQlAAAABmJLR0QA/wD/AP+gvaeTAAAACXBI&#10;WXMAAA7EAAAOxAGVKw4bAAABbklEQVQ4je3Mv0sCcRzG8ec85ZarLsylxZNbCk8dQ75wk6O4XARN&#10;DoJFS2v/gauLeENDkwjeEDQ2CRqOlaCLdC4uCV2ni9SX+zTZEPkjaPSBZ3vxhmEYTSJCqVS6kiRp&#10;JsvylDHWYoy1NE0bAKBMJnPved42EaHf7x+kUqlHAKTrepcx1kqn0w/BYPBTURTXtm0TjLFWpVK5&#10;AECmadqj0WifiEBE4JyL5XL5EgBVq9Xz8Xi8F4vFXiKRyGuj0Tj2fV+Y216vd5hIJJ6j0egQ8Xi8&#10;K4oiz2azd5xzcY7m931fUFXVyeVyt4ZhNCVJmnU6naOfjohgWdYZAIIoilzX9e5kMtn6DRIRisWi&#10;FQqFPgBQrVY7XeQcx1EBEGRZnjqOoy6CRIR6vX4CgAqFwvUyR0TQNG0QSCaTT6qqDrFk4XD4DQDy&#10;+fzNMgcAiqK8BwRBWOW+t64NrF38wzbRTfS/o+12m62LXdfdXWU8z9v5AgY4+O2gT0KIAAAAAElF&#10;TkSuQmCCUEsDBBQAAAAIAIdO4kCTaiS+SQIAAEQCAAAUAAAAZHJzL21lZGlhL2ltYWdlNy5wbmcB&#10;RAK7/YlQTkcNChoKAAAADUlIRFIAAAAOAAAAGAgGAAAAysfMVwAAAAZiS0dEAP8A/wD/oL2nkwAA&#10;AAlwSFlzAAAOxAAADsQBlSsOGwAAAeRJREFUOI3NlEFrGlEQx+c9U8E1bKGnLOt6ECGwwi5ourB6&#10;6F0CvTRXqdB49CMU/Ag9uh5qr+tFkPUutDm4CgaagCCFJKTPk7isyUHcNz2UDWkO6t76hzm995sZ&#10;Zv7vEUQEwzCGs9ksq6rqNWxRLBYLBoPBOwAAQERIpVJ3lUrlGyLCvkE553Q+nx9JksS2VXspulgs&#10;3mw2m4PIIGNMAgD4/8GD56Drum/b7fbH6XR6HF7IZrOzarX61TCMISEEn8h6vf4FADCXy/0EAEwk&#10;Eo+maV6USqXvxWLxhyAID+F5p9P5EK4DJEn6DQCo6/qk2WzWlsvl6+f78jxPtCzrXNO0S0pp4DhO&#10;GREBarVaUxRFz/f9w20L933/MJ/Pj5PJ5Go0GhUI55wgIqGU8l0DYYxJhmEMFUW529tiYTQajc+E&#10;EB4ZHI/HeQBAgoi7OvxHiEhkWb6nkSgAIIRgJpP5FRl8ShC1Vc45lWX5Htbr9asow3Fd9wQAkMbj&#10;8XUQBLF9K/b7/XLoWex2u+/3qcYYO1IU5dY0zQtIp9M3mqZdrlar5C7LFQqFkSAID67rnoDjOGVK&#10;aaDr+sSyrHPP88SXJm+1Wp90XZ9QSoNer3eKiH9/Odu2z1RVvYItz0pV1Svbts/ChH8AGKjOHJFZ&#10;hscAAAAASUVORK5CYIJQSwMEFAAAAAgAh07iQEesMT5FAgAAQAIAABQAAABkcnMvbWVkaWEvaW1h&#10;Z2U5LnBuZwFAAr/9iVBORw0KGgoAAAANSUhEUgAAAA4AAAAZCAYAAAABmx/yAAAABmJLR0QA/wD/&#10;AP+gvaeTAAAACXBIWXMAAA7EAAAOxAGVKw4bAAAB4ElEQVQ4jZXUT4gScRQH8DcTNssaM4qpCBoa&#10;c4hFYQpRcsKjJCN47dAhL3Xo0DEhPCnk0YMHPSV48Bq4IXQLN7EIBrIBYbOUIipj3MU/jIP+Xpfq&#10;EOsyvwfv9Hsf+P2+PH6MIAgn4XD4A+woQgirqup1wzD2YrHY22KxWEilUi8hkUi8RkQ4r3Vdd1Yq&#10;lUeiKB5zHGf0+/24Jfi3p9Pp5WAw+FmSJJUKIiLU6/X7AIDUcLFY2AVBOGF3hbKr7Hb7UhTFj9QQ&#10;AAARGWo4m82cw+HwGjVsNBr3VqvVPlU4k8nkisfj+SHL8pElOBqNrubz+adut/snz/OnmqYdMDab&#10;zQwEAl/OCAAMw9jjOM4cj8dBlmVJJpM5LBQKxWg0+o5xuVy/0ul053+oadqBqqo3FEV5EY/H3+Ry&#10;uWd+v//rv4FdV9V13elwOGaKohyedX7uG8vl8mMAwG63e4sKLpfLfZ/P902W5SNCCGMZIiLUarUH&#10;AIDtdjtDBU3TtImieByJRN5vNpsLliEiQqvVugMA2Gw271LB7XbLSpKkhkKhT+v1+qJliIjQ6XRu&#10;AwBWq9WHVJAQwiSTyVder/f7fD6/RLXkvV7vJgBgqVR6Qv11ZLPZ5zzPn/7ZZ+twMBiEAQB/A/Qy&#10;1y/pOFCqAAAAAElFTkSuQmCCUEsDBBQAAAAIAIdO4kBspD06YgIAAF0CAAAVAAAAZHJzL21lZGlh&#10;L2ltYWdlMTAucG5nAV0Cov2JUE5HDQoaCgAAAA1JSERSAAAADgAAABkIBgAAAAGbH/IAAAAGYktH&#10;RAD/AP8A/6C9p5MAAAAJcEhZcwAADsQAAA7EAZUrDhsAAAH9SURBVDiNndRPiBJRGADwb1zGPzuG&#10;OUYRJEHYKOFB9KTTIh7CWIw5edGITl2ycxAeV/BsXjyJWJdOizQweBhsmDoVBCG1hgdDRLF9imyj&#10;I4xfJyOWspk++C7v8Xvfx+N7j0JEAABIJpNvDMPYgx0xHA6vDQaD68Vi8QgQ0VTqum4Ph8Of/H7/&#10;t8ViccE0LJVKzwAAW63WPUQEU6jX6910OByrbDb7arv2T7TZbKhUKiV7PJ75aDS6ahrW6/WHAIC1&#10;Wu3R7+s70WQyucyy7CnP86phGDbTMJ/Pv6Bpet3tdm+d3/srkiQpDQAoCMJxp9NJjsfjK6ZgLpd7&#10;CQC4TYZhzsrl8lNd1+074Ww2uyjLckqW5VS73b4jCMIxACDP8+pyuXSaHgBEhGazeR8AsFAoPLcE&#10;txfGsuypbddQ/ykymcxrQghrueJ0Or1EUdSGQkSrRSESiXy03CoAgNvtPvsvaBjGnuVWdV13sCxL&#10;bJqm7VuBqqre1jRt38YwzI/VauU0CyVJumu329cAANhoNB6Y/Qm8Xi9Jp9MShEKhz4FA4CshxLsL&#10;EUK8HMed+Hy+7/1+/wYoinJA0/Q6GAx+qVarj+fzuec8qFQqTziOO6Fpeq0oysGv1yGK4mE0Gv0A&#10;AOhyubREIvGW53k1Ho+/czqdSwDAWCz2XhTFw+2BPwE5vZoFV4px4gAAAABJRU5ErkJgglBLAwQU&#10;AAAACACHTuJAAmGnK9sBAADWAQAAFQAAAGRycy9tZWRpYS9pbWFnZTEyLnBuZwHWASn+iVBORw0K&#10;GgoAAAANSUhEUgAAABUAAAARCAYAAAAyhueAAAAABmJLR0QA/wD/AP+gvaeTAAAACXBIWXMAAA7E&#10;AAAOxAGVKw4bAAABdklEQVQ4je3Ov0sCcRjH8c+dhHWeHOGPpSUEBafivEW+coMUEQThJm5l/QPN&#10;bs7+AWI6BW0hCCJKg3Q2lKFTUBAuLv0AFVPhuLunSQjBtDHoA8/24s0DVVXrRIR8Pn8siuLQ4XB8&#10;MsY0xpjm8/leAFAsFrsajUYCEaHb7W6oqloHQMFg8JExpoXD4VubzWZ4vd7XSqWyB8aYViqVDgBQ&#10;NBq97nQ6m0QEIoKu6yvpdDoFgAqFwtFkMllVFOVeFMVhLpc7sSyLm9pWq7Xt9/ufA4HAE2RZbkqS&#10;1Jdl+WE8Hq9N0fRM0+Q9Hs9bIpG4SCaT5wCoWCwezjoiQiaTOQNAEARh5HK5Pr5/OHvxePxSkqQ+&#10;AEqlUul5rt1ubwEgcBxnVavV3XmQiJDNZk8BUCQSuTEMwzbPmabJu93udyiKcvdTkIhQq9V2AFC5&#10;XN5fZEOhUJO32+06lpzT6Rwu4/hlg7/Zf/Q/+ieijUaDLYt7vd76IjMYDKQvOCkrweKN6GcAAAAA&#10;SUVORK5CYIJQSwMEFAAAAAgAh07iQPfygMNxAgAAbAIAABUAAABkcnMvbWVkaWEvaW1hZ2UxMy5w&#10;bmcBbAKT/YlQTkcNChoKAAAADUlIRFIAAAANAAAAGQgGAAAA6qyk8QAAAAZiS0dEAP8A/wD/oL2n&#10;kwAAAAlwSFlzAAAOxAAADsQBlSsOGwAAAgxJREFUOI2Nk8uL2lAUxk+SyQyNVAn4agVXYqQts3Rh&#10;ZKyCIFQoSKB0VZh1EaEU5j8IiFCK64ArEaQgVBAGrAanmy59wAxdFdRWkaGKipEkp6sMztRHLnxw&#10;ud/5wb33fAcQERARRFG8oGl6zbLsLc/zV4ZYlr2laXotiuKFUQuICJIknQMACoJQHo/HDsNERBiN&#10;Rk5BEMoAgJIknSMiwHw+t1it1mksFqurqkptAoZUVaWi0eg3m832d7lcPoJCofAOAFCW5bNtgKF6&#10;vR4DACwWi28hHo9f+ny+n7quE/sgTdNIr9f7K5lMfiUVRTkJBoM/CIJA2LNIktQDgcD1ZDKxH8my&#10;HNlXvLkQkQAAIM0CqqoetdvtU4/HM9j5hoeqVquvAAArlcpr01Aikag5HI6xoijHpoBWqxUGAMxm&#10;sx/vErFPuq4TkUik6Xa7fy8WC8YUVKvVEgCA+Xz+/b3s7dJwOHzicrn++P3+m9VqdXIQWq/XdDgc&#10;bjEMs+h0Oi82vZ1QJpP5ZGTtobcVKJVKbwAA0+n0523+fwe9Xu+ZxWKZh0Kh74qiHB+EZrPZY47j&#10;rp1O56jf73t2Xf1ePwRBKJMkqTUajZf7fvVuk8vlPmx2/SDUbDYjFEWpqVTqy6FhRESAwWDw1Gjg&#10;dDq1mski8Dx/xTDMotvtPjcDICIQAIB2u33CcdyNmWGkKEr7Byl85nbjjCYMAAAAAElFTkSuQmCC&#10;UEsDBBQAAAAIAIdO4kDafxWB2wEAANYBAAAVAAAAZHJzL21lZGlhL2ltYWdlMTQucG5nAdYBKf6J&#10;UE5HDQoaCgAAAA1JSERSAAAAFQAAABEIBgAAADKG54AAAAAGYktHRAD/AP8A/6C9p5MAAAAJcEhZ&#10;cwAADsQAAA7EAZUrDhsAAAF2SURBVDiN7c6/SwJxGMfxj3eEdZ4c4Y+lJRwOnIrzFvnKDVJEEISb&#10;uJX1DzS73ewfIKZT0BaCIKI0SGdDGToFDuHi0g9QsVMQ754mIQTTxqAPPNuLNw80TasREXK53Kko&#10;ikOXy/XJGDMYY0YgEHgBQLFY7MY0TYGI0O12tzRNqwGgYDD4zBgzwuHwPc/zU7/f/1oulw/AGDOK&#10;xeIRAIpGo7edTmebiEBEmEwma7qupwBQPp8/GY/H66qqPoqiOMxms2e2bTtmttls7sqy3JZluQ1F&#10;URqSJPUVRXkajUYbMzQ7y7I4n8/3lkgkrpLJ5CUAKhQKx/OOiJBOpy8AEARBMD0ez8f3D+cvHo9f&#10;S5LUB0CpVEpf5Fqt1g4AgsPhsCuVyv4iSETIZDLnACgSidxNp1N+kbMsi/N6ve9QVfXhpyARoVqt&#10;7gGgUql0uMyGQqEG53Q6J1hxbrd7uIrjVg3+Zv/R/+ifiNbrdbYq7vV6m8vMYDCQvgBCLyvDWx+g&#10;GgAAAABJRU5ErkJgglBLAwQUAAAACACHTuJApZQVR0U0AQATZAEAFQAAAGRycy9tZWRpYS9pbWFn&#10;ZTE1LnBuZ1z9BzzX7fs+AL8rFaVSKhKh0pLskTKSIkJJhNCySWVntYdCsrLLSBLKzG6TvWdIyN57&#10;P8el+/t7nv/T79fre9/d+Xze47rO8ziP4zjP6/EpZbk1q1hWURS15oS8rCpFLQ3Eb03aFfiTvwnz&#10;DfifFZcU5WSpBfJ/L7OivPAndNfkNS0pau038nuJD/farRTFQZ2QPaJmF9QbbKimVrP51kRWxcoH&#10;TTGrtnNw6EQY9a7p5Uqpdfsgx3j5KZfJ0xNC/CyKJ59K/NiQsWt8xb59rm/27Nssvdy76aJBv73U&#10;752iXv7r9YSOXnExdTKdeiFoW5wlOBA7V3zQweIBw1LaO7M+797tP7R7d1RujHosi6hB4Qt2egl2&#10;miMMNFPxX1huLqVVZapLNtWwSNbiefTokZhhZxoH7R2OPJctKzRE1rcNJJlUdZ+8ejWuvShQ1Ile&#10;gmnxB3nvcgfShh0xMHjtZGZmptac7WTLcvMAfox2WG/lXSWasgs1cTpZdJz0KwIX/7Dks7kVTdlL&#10;/QJfw5GRkSKLXx9bTP/3PWzn62QZtqmESlo/evLkybezSuQb7IUvvH/Mcfjaajb8yxFdno9u7hyH&#10;w8LCLq1evVopXi+n/3+XGUjFmW2XX6MScvj6Ydv+8zRxJtvJ1ccsw1VEL0ktXY9Pa6u629BJq3r0&#10;ypUr50+f9qS7+mrHv7+DG6SZ/yUzUBPfvPZoyXLyVU07+WplGajJsRq9GYr6vVkc93QnU+vaVrYj&#10;FMf27X/Onzjx+Lqqqqrg//39a/qM0ROHnWdru2anRlo+3ncnjy9+G72I5811/31Tz7LUMs+bKrKy&#10;39LKy1XDTWviprb+97he3+YOlM/atWPH1y3/XezY7c+7VOM/81gtPoes3yLiqvF069ZJ6enqHlA8&#10;eZKeb/Q8rpOhTYlGA1+hePNmesH91Uxa/7tUSVx/N8//LoP913G5bh4eraSPpzQ196bdHDN5+aqD&#10;3BKHxb6PCY8rFcvLy8+3trZ+/d+T5mU22z624ZeMHL7jmctK8uNcFy9eHFKIVLVqz/fh+N9tXyG3&#10;bRsRGZmmm2n34eD/bhQvP6LptnYnvoB2eOB2Q6d8Vrj9yF+mKpNkDk5OztpSS/KQn4mSl969yWOb&#10;hMm1rvLIU//3feSpLW+UGaiIKol/ELKaXGnlSjz8aI17Dx7obr/H58ert5b/3xOIkLxFnl1Ly9eH&#10;a3j1slnvPD7y39fiAVp82r/4AKcmsPQimhg2bLjhf5H5Bvmy/26hezV5AKu3STrW8uHSmDWEF9dK&#10;83Lcgu57y47ibOq/p7ggguVXufrO3buMNEtvT//5/qRozb+NEK3yO3/X8I+R35/vHteIO0/35d/q&#10;xZdeYLRvfaXdeS5vcQHPO+Ee7FvpVq1K377hsffQ0NDF/92dKB6kfXiay0J2Q1WMxrLr/1Y8/bIV&#10;gXlb1/x7rI8u4h7a3Hbx8Q2+ld0enXmtRWb1/25iB24i80PE69fpu3ftWvHfImBei+couvnfU2X4&#10;itWft1VRWlo6TG1f7Kd/C4uflfyg568M2/ihZNOa2ZmxntSv/72daWzbvK3/bRP5RgqLV3SDi8uC&#10;6Y20zF6yyP937Ybk2ls/OkzEyZEt8X/f9xnP5L9FoGr7iVz71+bmhQBPz9NdaZYd2/+LItED5OEd&#10;v95RHLzrvydtvZJc+Kr/lkP68qvhOyw2FgUIK6ru2fj9+vXrnv99Mwe5+CMRERF2ujnOjev+7ZyI&#10;/lvki6VTSx0m+rMK/t0MQwQL1nAT8+zsbFxgQMDmHz9+HN/yb+/dUUMUy9v6ua8hNesqItKTf8tW&#10;NfUTXt6O2jRLQ70HF2n/vQL5xqXkKSzV02ve+vfv3ynDkhBz438RjHZ4N7kadVrOp1qxmzOLSz46&#10;zaTUkGj5357q3iZzVIWyTzwVrfYFl2zw4cOH0+R3hu1A/3LqgomJlpG5+dyvz59bomNjzVPc3IoE&#10;t24NNJx1OaN08qQr84PoseeH/ncVy3EVLrL29mm9w+0FnORTyJXY9/9Ke4TIsoOifPUPureeoyj/&#10;k+pXr1xR09LS2hf/9u1zBplbrWKx3CHbPeWj1fYda0y3bjh08cu9s+YNKRKfE/ZHma6VlJQU5eHh&#10;sSwJOljRPfaLazFILJBwwHvsyJHbdVMjHV8vX74cXoz/vg/75Vy0mitFMT9ooeVMFg9Yz8Bw7ewB&#10;Pz9Jx8n3ZRVRKmxjbtaWlhlS1/98G3iwli29rLDw3a2F+ljt1MxAEfOAzEvfXelacz30phaatyx+&#10;U/wyvHkmGdqLzvNTHbdH/hYF4m11r6Xov/LJ7vNRl9/5fPjPn0tn0s7rdnd1+YepRtNwcXG54o+8&#10;8LsV9365qIeOZukmznuRMSG7du26r66unoagNTg5dHm3TB47ufU3Cru8fJg2bfJXiCx3fXX04VVW&#10;0au/9klJ5fRQFPnGQxZNmWkkkySlppbM1mxbtXhlyUvvKsny2vb/MhYwLo9ol/PY1jcY9mHpbWkl&#10;r9sbVx27rqamZnbuXO1yQcHEWWHT6qdKJ04MdSOj2HjKR9wc7/VXsrFJIb91lJXdz54963OugIuO&#10;4qOo/v7+CQFBQbb8/Py2ewy7kFt+fXvMmBMoatF0nrz/KJVQ5x6fJrF/j2eFDK3rfBG5Vw/J6c7V&#10;r069uaKpvqbqNrte3PGl1LeysqGhW0uWpcSdT7vxa6ynxqnKRFgxXlg/3zuSknae7opaXy/5pFXs&#10;9fv3pW1eKpJT9JQ8knbqOjZxK6evD9YMLKPW09Lsozg2PI7IPPZk83XqEz/9SG5QulXXjc6fXrvX&#10;PnA22OMatsd1XueuChWrfYM1d3a4gNeiob7ewHjFC6FPl5kfJH748HMpVZ7jsmBubGx8ID0u9Wpj&#10;egslvUslZDY2u0Ti5qiRg69+Ff639uiys8laRfPjDRbBh2z7HR9dZHbH/ztLFiTsm/91zvesbU+1&#10;+cBAzkJTWWkJw7HTG4+VSQlP0pSmt5I7Cw8LKy6/tZZ6dP/+d0tT0x4ziuPAgQPGTzbzTBs1pJjP&#10;bXnQMj0xkOPWKna8Zqw4VKpZZv9mjRTTmv4XqtEbu1lsJ/obfxgYGEyRBe/q6rqx/geJnm5sh2w2&#10;8f5WM9Y056I+OU002jKOFq1e/G4XFdyzcObU1JSB126VeV99TeGCBBNPebUtLCw3P2Pb8uNfH8uq&#10;8mP5HGxvby/XTr1qv3eja9inT5+4IyMjb+jUFOblXUtITi66YWmpWFRUlFwqHIc38a2goMc3MlK/&#10;eG5mYmsXi8bZs1wmVW+rjMlnWf4tvK8anfQ0LiXgxYuNRmYDXvyXf7yLfvdu49bpOryIMCOnmt+M&#10;0muitGINamK1RX99+bKdiXrk41OV+OzZsyd4j3dCvHrLwnNDHq5jF+G4Jw0Idz8jY0YCS6t3dNTK&#10;UKeGh5vba/ny5Vx7cKltbVcsdFrV9vlwiItP35LmOBV82D4hOTste6LJIYa6ZVaXoF/qL2ioVf5b&#10;YP/+XtZg7rPYSkso47qEdv+OklDtLdMHwxcvqppc1OVLly4l/v79W5GS/nbp+v20NPsDUhcsbW1z&#10;bCcHW6SKpfb5KFycGe/zcJUNe/vx40danZp2MfctfBc+qT+4+BEPI7cz8OvTLYKbl1CaHy59t3Nq&#10;zV6Yn7FdcutkqOScogwtgaRCwR0jHSWxIYft/5Rip7DN3uMyNOwQenBRjInJLwmbSER4dOQ4WTrT&#10;bz/vvjU/g5gwbXpoIC/hndY+H18gIqPjx47dv7cQwqTvfYaJR0toGZXXEeoy/yH7Ot4fG0VdGe0s&#10;k+o8pGf/t9DfV+bVqTqkrmY8od+jXRWxnY6bVh3jZMNC5eFFTMpPeOe6S2BqcnLnh/0xAgIC+w5e&#10;+y2d9Cr0ENkz1XJrJJeMNo8VBx/aZtVwXrAg02VhvgF/K0io+UzD0+FlK9fKCtJ/zZobb8jpXM3B&#10;uGHDnQhVY3ug1XfZlj7ASDeSExJuNkWc8PK+c2fpGRla2WPHgiNPyJjXJx1UzgttmElJSdE0LA56&#10;bPLr4xCb+C68oKVf+UzwKL8/YXIZTGd8OMol82rx7VTi7SxIVADzsbKyhhhVF5mVR/zk0THcZRp4&#10;Wrfh26vCwpOkUqAnz7C312yrTquCgsLTAGFTm6LKyqTf5A7uMYhZd1dqz9qXvOC/vN7FYeFXmmXL&#10;PYY9e/bw9VVGVwxYnTcyMjo8N3FoIDPxtGXV+Nmp3jrBHqxJxZ6aeHaDzgEWsql6XFeEUtMDL3x8&#10;9BvenA6fCbhtEKUc7Bzz9u0GYwcVc8H8Ke4n0xse7tu3bydelRivX4EiIyPjnLXbmZgqs1BJJ5uE&#10;/TGvO44fdL+8fceOy1MjC+1+ek3VyVnxSAwVr5W0VS0PS+tfvux1orkm035kEhVQg8aUI7nxACHj&#10;59t9FArWbTtcW1XaLLr4hjaRNzQW6Odn2N/aanl3hYmQQ4ZejnPDZLDzpK+vb76p1+k4c/3Tgay5&#10;/F8frtNbSV3JdWdzGiuybcq0t6Ru7ddMuMIy1/CYcXe9UQi/zvsLn3dT0q9P+ieo1SSLmNXyqXEw&#10;7DHd8GpfV53aypUPd08vbfLjP3iwruHnz71f8Vw5REREyv93KVyLl6KlqnqpEldud/OBp+9yk4rX&#10;RXQ6DX94vRbfkkXOnI0A9awu0bCkRvQq4pnEklv0WwSuMEro/bzOyrh+/fpcvaqNq+4rIEbF9Dlh&#10;fe5joPVGxjI2Mzv/bd05pHFrg+qaH5OTk383b96cZmNj43/ixAnnB/PZeDWnk+KMB+lexpe4uq46&#10;gWTtvoziFxE5AAR2n5J2dHLyGg3Wfmd+3N6c8aE726FqZQ6GN+m2A9kaNQr7OKvYnuKXgszRo7y+&#10;fn6KXc0e7FJN6pZnz+zZuK+xsXGgysCh+cePXYcQe5M0Ew1qTNRtfEbFsX797e3t/y6UjEjcaJNf&#10;uWNH+AZR0VQ1p+Vdi9cjaUquRy5SdW9vU9aMLsXh7u6+RcD/nfe8tt5SslhMA8WsBpokbC0tRw47&#10;xe6h4xycnbKMWbGG5TAyuct020/GldO27q0vBgcHLQMMlY5tP33WPHXCWKcUuMFeSULZeZdkTapF&#10;cx9vYGS208y4M6DCW3J5SM999HNOi5FNpwp7Ry/LJDmATeBK3nGK4+rVqxNG7NcZGb2+/Pp1PjjG&#10;Lj5mU+T9+8f6n2idTrnaOB0BqP7RbujSnoXky7nuyRXqjFaFL/hNRyWWpWfl2PTVe87mWLLmlnKw&#10;Uo/OH+BdTiVc/PrgVbJTNqr0mx4XmQ/s29dt5uyc7f8qxwIvZWNsAYvj0s4Yn1Yxgy/36JqXUNev&#10;XbOTubvvw7nz/gEBbwV/x5hz59fvWhtdZeKbEnb4+h/ZrU6W26ScZ1dRHHiLLGH2vKjjmIQ0hJfc&#10;CpJ0SveJ64nFEmemnp3w2sVTMZ6uELkhyaxumD6Wdx92W9sNe2MTk7cNT0L6gPgNl1GPHz+u01NX&#10;3yU4OuFG8o81QQJOycUIDkvWvJwMvl0cIhEjqDhtnRQ2O9nqIRWvxJ1P4NASavjzSvb91Y48u3fn&#10;qja83UUx6HTs7xp3Rq726GloknKaHmWfqwL0DE3cH7NqzZqsNz0SeMrBYtf/3KA4jj5c2/gy5jxS&#10;FL7TZfEdBOfMDiu6uL18uoxKcJ6bfjXdNJEQu4eE8NblI3YZIrF7SkIktnJtePxW3Lp7NAP3ZbT1&#10;6LLD2Vg1HslukQ0zbizC6aFeXpejeyy7xrNlXk3uEGysqBjxjTObevt2X9mn28tcVlACiHLxY1wH&#10;SeDcM61BdmXVG7V995UChE6U0Re+Vgmdj8ye2JKwKTI5eUxw3TqPQ9PFEn/b2s7V19dLtjefOXmy&#10;0Lnour6+fgISYQHKju8AdmZve24i+ZWi4rqLlGLfXRmdSuDxEoJmjq0F/gFCmtXyB7Y9Dmg077ai&#10;Lj6jkYvcfLbx4vv3vCo30lef3HNbw/N0SFBQb+ypPa537tzZYFLhWl5Xd3DuWOyeubk5RiUlpdUo&#10;yQI6WaJwzQTlFye8U8BWBSBiF0G14yPnztr1iT33OqugUelLHkp6vK+hRqnZMgAwYzvFwa0RxypH&#10;ezssbPv9mJieHbiqV69eMQGaHTp4UH/jxo0vUAQhhZb9OVyQ0M3uMnvd+1XOZbJM53hNsFkXfpGf&#10;BBix1PrIRj3y8jqzIkc98jUvLrKoiCcZr+jr168lP68kJMRoxK/oZMFlVGADsu0veOsy05daPN1v&#10;Wh5xooC6VVtbeyXZonn+Tdx1PeepdiuKI9RpvG73dFyqdU/1EiGvYPZ7eh+vcT7V10xW28fDREtz&#10;lv7rNQmH8V9VScYVgZc+fLxBiCj6OTayhztdzmLNznVgpTpI5lzdCdjm5N+Bi0rQybDJxRO88e3R&#10;eqklVF22k4OUkyWJ4/spjidMvPPSzR/xytxpKAE8rCJK2ip2/zZxqzerv/Kdz3GeG63Oj2iYOX36&#10;tGGy+UDF/pHjbiyNUSWq2z29QwmKepWj9+/JkDC2UJjrwX5IYedz14Dfb5ZSebtDHROkayb9fu7B&#10;3x1OTT7BqpViVreT4kg0KCqfSsNG0Mm6OcZMcdxdua7pHS/fU3BkDI9lz6JolRLH1uEFI6Gg/aUE&#10;/y6BcnHVsqVL46oRZb9/51KqGc8G5H1w7975Nvajz35e0V/HLml2oXOAmWTghcV4ImUJRNaDKg44&#10;7ZiSeVFuukAGXbQTd36o87TxNynzY/7+/sap11t/2K6gZ37vw/5tamZm9yIorAbonP3htlVyduo1&#10;WCDyomqSwoQQgxX7Sl99XV9UUlRQIAimb0gHIN1wsST4K5c60Y7AculSWE7cdWwEBpSNyQbuJloC&#10;b1F1dIwGG5JLO62WQ9DBggMWuoFwh9CCWIw9LtM9/UeNSPgswRvknRlXvBZ9Avy+adOm58DlKfOd&#10;4R7Zg0NDaZ8b6juY9DuuCGj6A8gOaTDs2L790m6lgKR3R+6uWOfm5vbEy8srC5XShjexq58hPFj1&#10;1g69l9/59o+hu2l+c1Pzh8tyek4lCRrxuhnUrRf+/u2m4yp6mXZDQkddahajgR6JQwtSQB/1KeYO&#10;Ty8yC68RQzhzOFkzWZ8SdlJFxTbOnFvBwmLgypkzFbMqUnNWylZWo87RalrHS9y69/1Q3oSFevv2&#10;bTpgixJrt+uolAsSeptTSqOUAlNkmw8q72tsqlE/5DXQWRZeU7lzu34H4spaVrFrq122IXgpfH8u&#10;t3gdCyRRL4TmLMw77E6vUtSgj9fJqD7ZcK7edfjYlnaUHsOkBEk2Plb34XJus3CJ6Kr7MlzUs9LS&#10;0pEjR474kaWDxOz29KnrKE2IC+uS0tfIWY88PCyUpRxaf7gNgEbgu/jFdjrEI7vPKTvJKBNIXldX&#10;N2QLJ82qVatOfr90nctlG3DbzYLS5oMkSM0zkTrNTyNSlS4zM/PqUEpUGqmzS0V8mxcvCchlnBdr&#10;/OZA1oR6tlH7830bV8XUJxlbzsbEZ0+jVm81t+mtLbPtLH3Vo+l7dsQhRJA+HOjoQAKKyz85ejs3&#10;nMUttLtu4v6Bbf8qDZdr1Jg+dsKpb/uZM2caJxtm0vv9mh6CaPoJdoFtMt4Fpa+lneUbFlJcHHUZ&#10;+Pf6CAzWayJhayPFoKhYYGg1plLjqm+ufZqwD+wVBw5O/0CYMRS0NnsSI7SQcq3li4cigHCSjiEJ&#10;J50fQTkuCIHbIKS4R9SWMZaY11zCE5p/u7unBxGBs7KyvHj2778x0JwTnzzrhU24FvDsshLfu8yb&#10;Y93NGx4S8G/EZ3bxoucOpKkQKZer+p0D2xa3pSkJ8wWa58+bmYEVetpcM4NkOn++oRYr61eOi8tJ&#10;8w0PffdrCviw0wADR3C7IDxgmxQF8OOOF9yz53vic8arrWPXbBWhj2zNnp/uiR4dAO8QhnLp4YnI&#10;8hvmR2JJSNfRnkVwcUNW52WgVUNQsogxP6mp6b9/1y4D9qwmQH3rYn5x8ZtSUlOuUiokgB0zjUIl&#10;lR0EanTOO3WsUPPcubbNSAUm7g5VsXuM+W32Nfb3A6CFIPZflqE1a87OYteJNisL+24PCPq2j7UL&#10;PPUXBBr9nupYldHuKlMmRGDn1fkFfrwrl6mlNrTFBu3rklCMLB9GHWb/8q81ipo0BirPttlJ9EiD&#10;BEk7iI3D9Gs4QBnORGcbzpXJsfOEhfJuflKwVfSqIxPj/VO40NF2ISzCem3w5VUnz5dtPpeVr+6N&#10;YIOlfE9KnTs4KKi8Kwc3vMAW62k/1l11K2DD8eskipDqR04uNzcuLs4DKcJAKX4C7JHcoUMZhSSk&#10;l/z8+WH/gQMi4yMjikCGBTmWHe4rOWkkZwe/xmMrlSPkFuXnd6fFxvadoX4bLd2wZnOu29bUhLAw&#10;GRna28jBYyspAZPKN+zJy+9pamqmzM/PP0bCM6k/3V/tJ+b94kUnKXMATjdRDLa2ExmUtHKoZGN+&#10;ac6yf+mDbPbkiTzPHWyTt18T0FEk65+QIFBXkBS28cl3n/QNDxUUFdsbM2ybFZcd1tCoWSncwXwQ&#10;VeD83IxFq5j7z/z8BGsbG2Vb/C7BP0cO5DhO3eDLOXaFvHUxsUnssetDWNCB5dcXE4W+/tgvwCIb&#10;gNBorJijq1c/OQ9q4vrQn++lpOa37ixtoVXa+cfCfOWKFbp1GbYW9FKlVZkeK9dtE7JCGvBRiNQn&#10;uCc7O7sGWcvNWiKQ1JSoLYVQYz6NPhN1IHoqqACPYOVa1snEVy4r/+3OcuxO04EZ8D9rch60P2R3&#10;nty0MLYQtak93brngamDxKFDDbv27OkUkLYOPuGrfxZ1DRfquQngl74C3pygtdSV+dmpRAT9P0gB&#10;dT7cGkuF4xMJXKCkm0DsDJBvE/zK9wtQP93Y/ZDTtBU36LSnEL8iJxZTXWcPwZ+Aa6zOL3+WXLEF&#10;0C5cZxVdE683kYx6wsTAwLfm/cWvKxG9D6KMNHrTk6amru5KiCkwi8P37t17mZQkxAQuAuHf8abk&#10;pn/rMmkcW9uob2xw8OMZrxfhS6kbpGaZ7+FtcL2R771XMTkrJCCgPq+sjP+uvqaP7Pa98VMnk93c&#10;lMbbC/zu0kWvNVu88DWTKeYN1Xo1HUUv+Fs9Ej1WMx0Iijb91V0Vk1t+nXHXyXNx5oVl4XINW7du&#10;ZTJdEXR3xZr6sIMiYMi+FBbub25qmv+pbZFlTeI+mM46rZoOFCHgWgzWUM/Azq596TLwK23EAi/F&#10;+NPjxzLkjWg5APwm2UjeHM3zWaEO4JeG2OL4yWXubErY4u528zlajIUyHi7ncX5qMeRMmD433DfV&#10;8CegvyGV94FuR9tPL4suFlswKXum/UHObIsw/QVasflP6idv+Z3teIXWM+PmKuJ/S18d1cFb0yTZ&#10;xx17ejn1DC/QvWLiKeSVg2upPEILDS1k2w409VPShw8fVmV+cPpyGANJPtW6hJsMNq1+t+VrvPFB&#10;59nJTaPJfubHuvr7nVU0/pxSVX0e+vftxQJfHpWOjo7AoVyUGGFugAiAdv1vgoN1XgcGar9Nmfaz&#10;ukokh9HR0cxY060zeJhxuGl7oS1yII700q32ylqeRxK0J9eopa1tWHAlQVVcDkuol+AelJk82in0&#10;G1bdzyfJl1zNGurKYuW3/BHJlYp49Bk2fTef7ZI4jS1Sinq4AeSdn3MTIdhYpkVv417CFpYvPvTx&#10;3jpLUURJlMMOlPRacBY+zzSaXQUQpEMNLEY+311p8XelSXR09FVSyDc1Nf28f//+rqRCVVJdjWgo&#10;jgwPF5LCuw7wLCoq6lBzlkPqB39/zWyDO8pQMj1zclzCzu2PA1lwFjyCpaW1tVNbZ+fkZFdF1LhV&#10;EBKXDTb5I2AjV+xgED9q3OJyCJHA4Ukl9iSMhxy03EVo9WPHj/8A5e5q3TgCpMoC3eGvnb19Y7n6&#10;cVeGpcCyWp+kdrj+t54OkWLqu/rZs48JWQCQDxaZUIHPn28I12h0HS6PVOQUekkIBywMwmFb/Eex&#10;cNIQwlYpUCTL+OrVED8IBMebM1ACXgTLDHz39FlOyk8CkF+2urMeLL8NopZH4tt/pQXqgurq6jog&#10;fQl52tuQYIW9CtojSUls9GBqMdhQzwjGj6jpacyYUNY9uHMtJQ8Ke5ys+++EqUF850HsOV4jwcTE&#10;tHVmelpXlGQBh4mrl3Vakfh6itd9QvT2yVY+TraNqzrB+7zjhf6CPMac1relX5o0pPTxy+g6cStA&#10;RtqpJX2cuy34f16AYH3NsYyB7Jks8LmQr+a4UVc1O8/EnsFrmejuLv26bsVYkTnkyzPULXyi4Tae&#10;zVLIZ+2UNCGYvN1nIFg7LKO24N+mwZKva1+ZWLlbJaR29f0v+5w5Pl74fEflCym52ofLv337lpMc&#10;FvEWREEc88gTkFvVLJHf25fcKgw6aPnqlcvWxU1fQ5Ac08xQLrtLMR89EwPDM2mNLXrW3PnkIbXV&#10;DGxEEWKlnR0R8e0NoUqMmiFI+alU2qxJDzgxE9ETsDX3eiGCZPVIahdWfbosoJtxyJpINi+TO705&#10;ZhVRERFCLX4Kf0KbaagE8CPZ0yFrssZFmx1HsrOvJzE5Kc3kS0lGAYLnsEynLu6If4TDB2dn5xPg&#10;Z1xXnNZOMdsyuU/7NMj8+vJiWZJmUMgIaTBovDvHD30gOtr4CPapf5wpm6Tjx2XUNZSDw9gxa6zc&#10;Mm60K1DYVqhrocW+IvpBWVnZSqHcSOyRsmHFJA97ff1Iu893lifasd3H+p9WNOSCUGQ6HbLXpUpN&#10;j2EbwutewjDY9NqJSUk137taBdwiQCD/0QURgkKS4sjrnwYiSFhOlZN0QUn39vYK6J3lVpChhWgk&#10;n5mVZbGU8ixo56Je+ipEtqPUsrGiNz9Wh9J1KyGckSGbhQVT6KYSlV4nJloGZPdOBgWxFhAskpqS&#10;UpySmOhgYmjoRzdYs73/nprt0VVr12abQfTrbWm5noto7wKO3UlCQsJiZJkieMdcUnEk0TPOzYAX&#10;PprcKLhw2AhKolpN4glFRUtoiT/BCww1ZmYetpSh/ZieLvn2YIXWTtxkksTKRfy3QHDzWAYKL05h&#10;btcp+q9vYt+9C8lxVfe+p2Zh6MHMf4mn6P3rIyw5gqehd7nhktNR+R9XV/fl4fk8Sligv3oxSUlq&#10;xRZe9oO/P8fN+vpanYci9gY7ejdwYTvBhweg5O/fuMoH+7Wurq56Nm0Ni5DRauoZeDlrYPDhdqYX&#10;UZY+KGaxWfonkANwf2WC+OtvjoJ1NBmXcoHmlkwQLqFaZ0/aKikCFS1ZskSDlMdTY4fCw8PXDa7O&#10;NN1cLUdqzdF4ZOU3zou5VYL7xOrwhQp170qyliNqrG/cUIhaaMpysF0n8zY1ZgeoZmHt0+7sUs7I&#10;S7joNZxt8eYC61jFGJRynYa+M7EvmU02ZVBKevVYGkwxIvJBCsRWl1j9WsuWL/cFJ3rrKu7GOZtM&#10;k0fx2loIelFXEfSIV6c2ltf48WiP506V5+crXAcDqKy48/kqc+HD0fgcCCLNP/joSVF0YLZmEW5O&#10;9nFPTTwheaKzGfv0VCM2c/WvX4dV8FFlv42h0YZ2O5SAiFQlBCwUKx8IAG1McqkQEq6i6nAA8khF&#10;YlugBifUvUl1gHI+FKl4E7ZDkXHgySIz2/ry5yvyhMoMwFHpVfAzHThP27q7+Z1WcncWODnri8wP&#10;EP4bmoCT+6vP20ci4A7LocAtjg8/sczcJPy4W39ZCcshm97uAMF48QzG9TK/E0skZ2ioPD8954M6&#10;NSPCqOqWUgl2Q3/W0c8dOoJXUZb+DvVFt6/eRMIuBsfxMHVv7PPuY4+PkvRGMvBs1cmba4fyfbiX&#10;kH8bHx9XGfOZsJ+fTTsLCZO90qqqhZAUZxt+QVK9ggKXDhzxU5uplpK+uYnmheOQAfFzAbZ99WMv&#10;T+1Ry28f3gAsKnf8+HGugOV/pwICAztMqssKwVowPZZ18ZbZQEuDD1Lg78uQJETLmMQIWYNQOrcK&#10;GZVuNp+wBMzcLGx4tACVqhsz/5/dRxeUF3f+AbLz0+d+312X/WelhqBh8ezJmtr6pLCd96QvXnz1&#10;ODXVNgFsX5yfXw3P/BjT/nN8TxiWgmUKOe7l6a0QWUzzAgSWVdTjY9MClbDmHMXHP0F2rKysPD46&#10;AGSKVZnfiWcvKfNWW7165+Q16ITntW/tRRm3du1aj678P7482itMnHUJ5wCAPCqBbMfGiT1FKEUl&#10;PZkSAvJZgA9XrlypdwAqoPFWr9BQix+hKhBRi7dO294hK8taE3Cqqg+y03wC1yyQ9WiNSFxK7B4o&#10;yw1Aik4EtP359lhk1vIZ0CJhYiYGmi2uYHUp6s1AZE5a8VGoIThEp9LM+GdoILlpwIh3B3vODUKr&#10;UXYZ/H3kaLrCR5iDPidtijy15x3y/bFV98NOWZ71usisjJf149u33mVv4lZ2A5C8CD2okhfaIRGN&#10;guLYIgVb5fr8mZRgWx9CKvZj7xvT8yhjnurd+AlBRbrZRHAREdoCaailApfO394sv5J67u3dFnXw&#10;AeEifu4LdRz+aUhJI4pk0MEoIB/P4/VTYdmyZfGD2qebMmxLzCvfnJYyOZT4s8RGymXecXX98kcu&#10;zvw8PEX6pLwoLCwc7po1ntr1Fgg9BSCyMdspgy5nptRzh5w49am52Ggp1dWcsyACJg8WDRVF5mTC&#10;lpobn5C3Vjw570DKYGhrjDolx6LVVhHyKMggr4cQoYJ2g7+LhGvmwiVeZ9u8WMzF//b4eE+NhUOR&#10;Dd9Kqo1YnoRyK1M2taMYmEbaFzap9ECoIG9A9i4/yu1piOsWVWbHUGjudUdpU1F4PFTIuFyA4iAy&#10;3HF5a4bjM4ELRIGvqKgINjczS+gaI6iUAzd4/5mUttZ4V4Xhbp5vupb9Ix7q3qDviuH+URMs7YXI&#10;R8oDh9HODw99hcK+10FgznaP4wsBmha2+K7e1dMTGDFQVzrTkppf+VdDz2mMc5Fymgy4vMSHkib+&#10;kfLSnE0ko8TGzMewq586daE+TifjMu++n3fVG8BUfaU+lZVLJ70X80kJq/QJOhp5rI5Uc0bVKT+6&#10;2eHfsN5M5SXoF+waag6EftjT2xvUj98h+GfFxA/NLgtzFpOLuuUsiHDItBchCFrkX0kQoH6vIKWf&#10;y9WkSK5G121wIrCks+nAIZNxvfX4GaI6LVoJ1nWxgsCxCADxB0X31559+1QHpRxw3SOAoTrpVqti&#10;w0+YXt+30VUG2o+MTsnDlK7KTHalReIaWQtBovEDBPPHVseYqbwJXE/cKxfuxfeoMach9S4hQfXk&#10;3YeVlWqiR5sddVKxAYYo6aDg4Ioltwa9tK82ZdZ5k9sulMlrvntsemKx/Dl/kJX/0jeV+jsCLO+m&#10;p6d30d3/8haEPXuVb998Z9kOJi1GNbDNXQHgPEIONuqSMG8A9XM5tROFAq8ODyt0IFtYEzYAePbg&#10;5ZGv2w+zT39zTrP8yE0Elb66xI6rgENAUScQTw5DRD4MEflmH/wuaSbZvIBIMjs3dGWym5BVS24c&#10;hrBvBLETcSvm4GotKOvTx/RfL0ZAyZl4Fw4l6aHxceUD+/cL8Y8ue1Nw087u1xLqT2fnC06vn/md&#10;zaYNrqo1ImKcVQ11wmyPQ6p2NlwZKZEwSYcFYgK0K1wPJFqbbj2a6t918Ce5DKOtUeoxmmCT9we8&#10;sJoabn+JCr7/5UAwtud+cRFYKD0NXldcGqknJM3rhiFF3/3+02CInD7z0XeAmaNepq9e73JYykHP&#10;8vsLCyKtPXyYy0bI6dE9nwhdaPxnPVC3crD43NXO5lWLAeTsmuFXu5WDjHYguPLz888IN9CFuZiY&#10;mgYuP6WjUl5dLfLkmZ/psWjuzw8ZlpL/vkS6iHd9hDkrp0vKVZAym+pT6uk4GQAWfya8q0el90Rf&#10;EwQsEBRPmU0WOHNa5wf28vJ5xwLsoc8QW9Uj9+B/CgzRIIlftpOfUjLm249HRhjVudEKla9L3j5J&#10;X0b5E4Jifq60d474TbpuPiDCEtk9+Ml94EyfL5iB2VXotMkBCHvwf0tQuHZl/LkPlw7f6g9r2bMk&#10;YCfuzHvbtm177836o2pU905XYErLyGiOfCwHuHy+ZtWeHOtWMEjhwl6P3jDuVj6vXHIxDrphLbxK&#10;fj0K6XCmeix70/+gkjDMxqVpuLUjwK5TpG5Qpr1NKAXqzdVjabiV25T0D3e2DK2Rm/9XBhN7ESF9&#10;78u8Go5NbRI/i2jjiWA6RsrerNB6gwEVaJd01DOQQBeT/pqSpJ6kcYh6BuE27ZUL7+KuYsItgcTo&#10;NHn4SD3+7RKKH1VZzM9b2edwN1btH/F0ZpJiWWOqTNRRg7Bs2bJpGQWUk+ZJYkdbm/cr+5RFdLZk&#10;3qzxnJpaBJEQLqK8zJWyVSxgKUsDOnpMKOo7espvsHczIYZ8FpZbtq1CPEw4dk8asavQII/C7DT2&#10;E9QPB0DQNsQo3zgD59EyOT1KLTUpInQGDtEHhC8KCQlJNWZTurnNR19zk0RiF9blo2dSiRM5k3+e&#10;eIxKfHXbKpq9jLpCJF5jB4nt27e7uzSNEcjzYL7oJW7XSKfyJbsuCeqonatSwtSbicwST/d8G9jg&#10;tXR0aeSuCRdAquRo/2QlwF/LV3VNs2dzoOnRlL8bg6z/OK7aLaDjKgigqc3B3C5XA+6X+xFKeYUh&#10;kEGOdMEBRLm9cHTs+Vxb+9Hu96fbUgXtw6qo++mLFplUaW2tEGirsbCjXUZVtJNY3+BmFHkNmvHy&#10;j6dbEh9cjakomUWen67Z5SAlKZn9P6b+JwRWzxR+wll/Xydi0ZzdZ9zZTL+41Y6tkbxN+EHYeKyI&#10;B2XeVctpgiQ66padnV3E+/0xBJ/ymhz7yZsfx9uwMNjylc3oxloQeYsUoZNbdWtvVUxNPPCcuLZo&#10;eVUFNHY2YVHREkjrCLJHAlqNVufdunUrBjRF0vjrgLj68p1hT5/S7wa/ezJAbCc4xA2wmAjHayAh&#10;wWRo31BeLhCF6JYDXRq+xmtyRdd9fHwuOT/cqfW281jdDHEKvgcfWE+Ku4MHD/qm/xjrLLssulAP&#10;M3uy6KjFCkKa94TJ2K2Bl0eM20fhtHluPAx6RDO0sekqby8lQA1I/20Nf/zChr179ypRFDHciLkz&#10;AtBjl36fhOMnEb8Fi4aQ3sE4aQc/f/4nDVaBi/RfnxGmtZzotLCC8L6xX7d60U0qn0skv20kYQCi&#10;byWmjwTkoxOoL8cDaoxLX34OB9+3X+vjtZZ3AQG+pR+vtzoEhO5FhAHIF7s83PaT+6U43zLqAkEF&#10;yEddpubmwcuo321to3ZE/oDjphWNDuu2ZX4nrt6/HQHw1SKT5ASGhjaP7ZBztyLK8FOYQ7aVse7e&#10;/CSGFMl2uPavnc3gyW8ONGVJgONLSzHUPX2akySeECyk7yhHDp0DbWQC5oDVAY5WeYoCkNFSVze4&#10;cumSaoT5fuKErHTQtR5V8BI/pRZKYO9IaqJVV/neUWtSeevk8NcLw0wYB8CVYX1WiPmw3eCuecPh&#10;BmOTfItjaYYl24K5fGk5BxdjU3zX79+DslDE30uJk/Vn4sd571NMxNu3CkSjmSgsKhrR++tEZIMb&#10;bXnWFEWI1HKIWZfjrS4t8AOv/M3BN090ufSTGwCY6K0SGYc1/BXpsmgGPBHccfzpuVy+p9WmTdlO&#10;DZZgzSuI9nn9+ge6uRlYe/6iiuBYQ10AH3nXA0YaZ9R3W1FbNmW/fPnJCvc/AgEodCjempTKsEn2&#10;1mCL6YGZ/xWdlFQ5WaEiFdyAlSdnVQjut1kRoqPz9Gj0ZSOjzu8kWUo6jBdexY8GYqNajWKLMLd2&#10;dwekID7bEttO9pko5YcZ1j0pLuR1UBTxiHouXvHCL2JSbmlp6XBycrIY7W+cqQEbyBuCS8iElDl6&#10;Zv4jdo0h4n4GRBPVN2vp/UkCcgDbVz1uBmlq+DO+7eMieWJYFDDmX72SliIA1+HTrSU5JK9vhgVX&#10;XEzsMBY8P+DBbIOJ4KLJlVrhYROdlPGM1ApIAnBkvgt+1XFFPtWsToDWLuaGot+B4DDz80Q9PrmL&#10;ezV6IqLi9xwqqh8fHk4XtuosXTNrWrFBWmp+snXPLamey69h6/RHUSdsXj+6K4dauL1sZRjMoU3O&#10;M316iFNGPCcJKbLIupyXlZXdDzGfsKbYpy2ETV+qxnQU/mVZU0S4CPJ+0wjTh1DnyM4eupX4gelP&#10;OamfRU75/v37sdKeMnVvlF8qIZJOJiVA8Wa178dgvZ0bq2myYgVi1Favr6uT0Gd+wM3L62fiIDKr&#10;7j2tvsf4gSPx+SUnW4ssKpGs7xIfk+IrHVX9G6HaIBSPUUlJxVkOE7/WSPAeja5THiavMvLg65Sf&#10;5Ht/ENbLuDrFgCMDFJ8mSBxPAhwQtR5OmfMvFv96x7tQ3OuitNqDBoJVsTwnGkThPxjezKMVFP/m&#10;zTMSm06AbYCR6ASjOdy6mRupR1BQ11PXSDlJioJPMKpuNj+GB9AfQkkTbrWpsXEuBJWPDdpPLEGV&#10;fSRQBa7FqUhFP5nO2fyCgkVqFS6iLvCFAUM9d8rLlQFKNMkjSpII9Pb23oX3sxylX5whJHZjKNyj&#10;cg8Ox97et/kJt6Oj41Xm6Yl/ZSg8G7cU7haBGyqGcdJ5R/oqDT1tLeI7kpTiCILFyLGo42xgwmkC&#10;YuF33QYQS7wt0rS3ial1PhkA4ubX+vrpRbRnjnh4e5Lgr5aVt0bHiJ8SChkoZPOV1HDxoQEzerRo&#10;7AfYg8ztEpSVCZ7wN1jRv+YQM9f1Me9EiYgQ1g09I5aOk4/QAhDB9YmRlL12kQKhOEBLTmn/mIEJ&#10;vo+NjY09A0RaAD4BpeZfiKp+TaEQre16YlOVjbM9ml1VtQesTPDzOw8fng2CDwwk1WiU8Cnjla/y&#10;8vLOHV3Q/cclwlRzaurzLk4aZSLaIGqFgcWqzPX1hZgyf3nME/bpZrpO/VV/YH1ykKSeQWi3EZgL&#10;BIHv+v2PAjqXPN9sWPSZlZ3lfg4L2T+jC/F8z1eLJON5iGJ7zzaQW60qDFwNInEjM7PdsQbhmnea&#10;ggFNoR4eJdZajEnkLQdAvlHJZTts9557zUlYb+fvx81kEiUxK4o8xwz8I4O09ZAdCG+WgzfatObt&#10;fBS4Ook1lDieIGjsgd23eQZBaHqDKlvEUuo6BMnLmupVWCh3H8xn/UM5Pk5cK6X0lgE/SiY7Tg2f&#10;QKp7Wu33fuj1n4GBUNkF1Or5Z1RVD3e56KbdaJ8kUv4oaHEpKO4LNjo1pHmjefnqzYXo7pmcJga3&#10;KBemVff3kfYN4QX1pWp+y8vPbkCqUE00pweRweNXUCCUew+O8tzc3IdVoyorH1yUxlO2LlJ6dcq7&#10;1GX37t2iaxBvQiE5+D57xsAKhKWiJwgKCzxYZWbUuZoxZLSDPJ9Jphr9/XmZKEWRwsIkWet3f39I&#10;PrsUYBHvWsRuYzRRtUIpvGStY4sSxovYaC7hoayeHu/LYKRewhbuPeFPU7CNE71Mj7bRs/WpCmuI&#10;0E2Z7n5BsDTfKOuCEjdcsUKfv4PvqyEbk9Nl8xkP6PjxFt9F+fnL9NCGUS7oHRAP5/D0yvRLtFUn&#10;Dn2HoJXxuu/XH2gDD5cs0gXr6rW0NgwbHtx+q/vOIIkiRLpITZ1QKuopk92KxHsJ+u9JRLctIIrK&#10;rkrlEJOJzNvVDdqamhITg4PyXQ2pA+4B8738ATUFsLRfg+KbDIs7C3oqsOBIh8nqKu7Ark/aPjvv&#10;fXqtFPiAorYQO6JT82fUCvVo1jiLKxwfDLWGMMf+T/LGq4iM1Vt0TYdVgZdVM/+8a85BTa1SE6g6&#10;BOyNYaf9fKCIUenvJZVX7AkrhmUr9Df1ceVY9v+PtkzvbCOmF3CrDRkeJXjth8sasGX3Q9aJn/3U&#10;/eX+6osobZ4beI9oa5WHtN9jkFdWHt8AOQNaytVfYm1EIsDDiIShrKPEJ9Sota8v+Bfi2l04Pgn/&#10;9J2qmitE8XX4BYgkYokmJr+XL1/S3Jc5bYU+ktejN8En1RJKgygOsE/yGCkqQg3GjohYMki6vGg5&#10;rxEVnSkZnOAnEtzRFDBCop5RytxTOJRoqEvouQu6yHx1erRLDwrI/zcUvuWu3RkhbndzYW4ip6zG&#10;YFBJCCW+FOpWIguspMqB5jJ488ujHh8lZTwqSvkaWOw/Xksf3o2whgw/afzzOVcFVCSEjrWoU58R&#10;rb499WcED4+cG8vYjtzrJ8EioAackcAS7iXObSHjaGLPWnLLinCncEwR+QIg73rIrvrScjkixNBS&#10;suCej8GZvoSCdc9rIyqF+r+C6JjRp6Sr4/WknrpzwyJOiPtZH+idMozO3PnERdB1U4RIlrP09kU1&#10;xJPto6tRY7GZIOcyE7B3b7MvJGYvGt2Quol3+3xid1S1hot3qNho2OWVaJOY2vhW8O2TJbeETKt7&#10;wZ8VPuM8KnJE6c/pa9cG4QBvvTSvsH1sseXFZINHfaqFi3f1tza/yybN2XPrSccAxSFoUHhOyHFy&#10;0HqWx5zk+rVs4qwpUENSgO1XUecX5udc6GhpP6LLpqZG9ISl9gJ5o4S/Q2p0nxv8ui6cunXSX0A/&#10;+u8sOJXQigsV2JnxmZnnWdAfUpaX96YNuy47PeQJpL1F8UGwTXhuqiN05fDdIogYV+/8f2tzJH1m&#10;s3mdm+poyxw+KPHwjcUs8Tqh2EdglnFqHR9oZv/KR28ISG9mbOy/rEqz6yypSVi8q3au9ST0dIXN&#10;GrTWEOo0akljfbKpXHlNnG4WCwfipSw2OLpNlGGeWVf2yYwQWiRPQyTqMUC9uxtKz0lIJBaN6e1j&#10;uDyXk7n3UUdcYj7OBpeeMOiVEw2WFzXVQXTOhGOB57lkvXt3Ut2SDTopVn2rMQMWcn8IdDwghRvt&#10;+dfTf5T+Ga0kMgn/qMXyxVroLXx9m+4W5WxlZ28OWkG8mmDutaNMzWAmJ8yXGtYQaUkhqFMDLWwK&#10;d3fd3OUbp0W4+a6Gq7rJJlXnbnVLdhBFIMDS1sqqkAEpTPfCD+JF4ZMIJRw4EfOSlDuRTWY7DxZA&#10;7x07bNV5igmb84qFxYK3Xh4UsUb/zWf1sh2nmtU3gS6ccJ+9wEewEfUMXW4l1ROZ0H3FKSoPHQ7V&#10;nT07N7KxZYW6zOH2bFDV/b93oo1icRX1Db6fLdQ1oiYnuWUApYTX71w7lJgiCJ/XJPdj7ACEedgD&#10;jupAocRbsfXefLTGV/5oaqI2dpF7SlLlyYjH7u6Sv9vbfYiCZ2ZiElCS8C4AovDLI3dF2A/eiLgb&#10;H2+hSgImw7AhtwJq1iiihBJUh06CGWLEhFBmtwdVLIy0TR4pYULITqsIRq4rf86wFFClrjiHl/qN&#10;gJKYCAMucasMM4YK4a6uXk7vVpRAx4rG0QX1/y/e4K+tjAPE84WOKkkxwMqytOhW9Js38mXEWksU&#10;mICYJ47CiSl00f10xesCIMR5/c+BCqYj3/jxS1AlsW163Fg6P0GVxZwOPz5heePGfmPFAgTjgfb4&#10;tzD7DdkitCszmmOVdvMCXn398uUACS9Gd04RXHk2Rj3KmDufdCxpazfsD6AdJe0kpFH9zV6qBKoY&#10;2AmjgBffBoysWn+sYU9PLuF7uop6BGYv2M/4WLTpefQuRkdFdZg3jVXJvHqv0Jy8xhg94F+eWVac&#10;pWs5GxAcbP7VIn6RgJBAuNm3IrDenHRbzKuL5mRHYsei6MrWABQglZl6szXpZjMv6m6/Np1K7GJu&#10;m6QRqT0DfX3/yuQ6Dn5eiUD0Dno4PWdVB+dd+LKFGB8i+Nd3ycMSiVb5BJC8jOZGEsWo4GOjuAMB&#10;1HXWDNaoe/d/OK35Py8ANujqqMfS2GPnUCC/amjBm64x0l9apNtHrM3fS2SY4PciTEjJsxphd1+1&#10;P+yr+dB0ZFwT11hWMzVHlvSAiWmZ5tZm4ncibzo7Lm3R7T+nYxQA5/tegOwxrqSqH6A9Uxd9zuY+&#10;e1ATLYV7mLij56Wm6Ik2OkZwJ9ZB/z06xuzWmieHiVlquh53uLkySDvozQALCsIKWh3NBnKJk59f&#10;o3QTcBnzbq4eAho7jc6mWXRdKwtefwTM2ZbnabrkFrEFNv9r7iLAr2a2kPhjD1AMDg4zu4nvhoYK&#10;i1Vf9Hoh7BFPtFB0tMFhJsRSz7igMl9flIWHTw7c3fwNLOTcKZ2S+2j0Ezyq68fuNFrGRElP/lSG&#10;qENsjwttM40okEtJajZfsWLFLnmYsxZS2V4DzLrhD+/VjDXQgzGLiO04zEljtIVnXrNhIZesWTVI&#10;UfXFnMRZTv+7RFWH8G6NEL9fXnofraPlGDwNPTFHkfY2TNcTyygBEATJ08XbTeIYTLKdSUdYutZu&#10;v4InwhrM2BrL+4kajywg22yrhtdJWvnlHLwzPn6MWE5DMxsrmk4cH2PdyU9ConrLIws4dbRfnXl9&#10;UlPB6xnx9RMp02G8t4sT1kA4FwU6TdqY9ByH1jsdh+K95Bbpiq+cMIOttuEnJa2bJPBDhXUVPX1m&#10;IR+9nKI4QFhBT6hjDkBSbwWB1wGEdXoJcfwrk/6PngSYNx4hxBDUn+XeDBgTeQ66m/Nky0M94xln&#10;YqkUBQPZH+qsjAbX+yCrQsrG6xHFRJmJuSxkE+mv6/Gl56TpXgqW9BLMgWmwyqoYFAdNpb3qOKMh&#10;Zj98JRAKVQhFXdD0DYT+NGzbZG94RhaDEGCOiiHMOren/L7krImh1lxl9FLSAV9x+R3QWZX8/n1e&#10;BWlUgBoerzu3jbqFkjQaKraykpK1KBZ75OVqlCYGvbUfTKHFrSKOWiAnxWSdHuKQJKTHue2earAl&#10;hRSVlKSSQu7Z34+kIkT1foW6RUx6+BVTHwdVXrAHvUIRPn5+BTYDTY1Er3NYQhGKh52R0ZKDl7fk&#10;D9LhtitIkjPV2hbBsfbK+2QecXBxfa/4+rU1LqVnG5gKJ5Daa23RuLqAH7yZuL/AeKsfqRTAkWzF&#10;8AF7UAtzeIEhDDLM4BCWApk8R1Bjqs/IEmFFK0EPydVdMyepW2gzLA6EpBGEqswpi+jjen8FKeoS&#10;eq/RGmA/fned5LkNsOOcC5zATZwnno2s+qdK8vK0hP49THqUgfr8zvlyURTae8UCvL0r35EGh5X0&#10;zIOW6FtD2+V2n78zh6w6r1Xm5++TazZEX8srmD+vo1RWXsMqNmg4vYW8CxClB4nKfheDD457bJsL&#10;P7df3SRbioODowx1h415fwesEW6mDgMoVfIUL3Ua+blyB9Yj00RLDKr3Ll22jJHoTMljuzu0IbJF&#10;9bER3721G2nyK4uTQPK30nbCS1zdyXzzAOkLASVuTUaJGGkrFRUWJllaWTmawd9CmEnQcZboa4k3&#10;cQ+P3QNB/DGgPyxfEcQTjD87oYQCt5yYtIgks2tpmSEj4sV6SgxZn5aK+OvILXrp26NQq8bEbMDS&#10;/oe71pZd6idUBDpaPECGFhU4hybNlBMx1TR7HFYqFTaUMfkod5WWUgIEG06rx44dJA2+lIuEx8x2&#10;GJMkUlJqFnphaiizcYMJ895YX4Ptw+M/uWNbdUe3oC6+GtmXxa3+jnmhSLQ5cyFsBj2CP5PqfxWg&#10;V4GVMtHjtSaNe3gdGdPW8xPwfo8qwfi6GGHcW5nTnXR27MZ9G8Vb6Az8P52xGfNEeTlq/aU4PeBC&#10;LBpffODfwxVeXOb8w1ZLK6AAHKQUNelQpFAku5VFTVNLS7Jj5UlCjpD6B9rfVhGzSQ4BgeF38ECY&#10;NCh07BY2xgPjx+4X+Oc6Bk5cTjG8OvVm8VPNJ2bgxEjvh8B19AF93TfoWLm5u+moPKSJm5m9E9Hq&#10;MXWo7poW7ZL2OaNB3NLWT1TMc7eZzARiLZ5QQOiYQgCyq6yenXVMrD+vh0x4/vz5ctDIJeU2rwj6&#10;tuooZlu0DTPANQmUMDcIz7s7KcnQKCi6YcOGpVOhZwOrE4kTBm4v3xzAywkgKdKevgfbcIeoaM0v&#10;bEXlU6dK20FsJickJRXyg/rHGj9lOG84qP2uewQiltu/do6D4B7tPUklh3pTv3PBXBp9S/FG/1Kd&#10;+YULF5a6fDeYnRxq7tqaY1QWtoWSllyYHfEYc9MG4penOPANc1q4CxP1rVWksEb3bzpxqg1rnwaj&#10;kUe/7bCdoFRtuY/R0bvSzofkAlhHyRJQUWQvcz88u5PT/ISS0Po3LugBNqIciKnH6qyvZCiUDlOd&#10;KrVotTuoCiutpfDGknEX65Hp8dJIq4ae0hmn8qeOAWkqiGiigri9RARJHtCJ5TkorGv5EagyU2pU&#10;EAmWUsNf10k9dWbLySVFARrlYAHRHV04LF1UV06YNBrq+fPn5fecDcHJbMGvGYHPlpjmE4w1Af1z&#10;zFSG1nGq3a/i1d+nw6RYR08UGOsLMm813hLDRV9fX6iJTeBbN6FaMzSsd5FXNrmd9J0RIc/6sDaK&#10;N9HT4O1cP7++OpX18b7MxbN2dh+Lvz0hvc6mK67U/6+NiQQombu3EHKPH1HyFZP62J4atjPipjD/&#10;zp1tG/oEswm5T6G7YKo1nfCQxNsBLKYcJFZmQKQI6hY9PmFZ7nX6NSLo+mxyGIi9E9C204k8YSNi&#10;uSIK0wkNJ32BOvaYHGVl5S5s68GyTMP0G5Nh97belJr99orIYkupIbh9iRdLo1zBXC2m6h2MsZdQ&#10;kI8gmG97BGT+/srP58ZEUa7G1mYjdjIMjBB9OM8DD3Lc9DfFvji0qA+4kHYO3V3STlvmZmef46UJ&#10;7N370+9Z9+X18N5pIFS3eOGxR6BOcmi27wh2s5olNFj2m0t3XqPwCIVRGNjPiTZ6Xooimy2JeFvh&#10;ghMhXZAM6OvVBoDgjEgXrCZ4bMZF/a7x+zQAFlsTQWd4q1fz18rCVJG1WGQpNZIOXOOLtsg25ymO&#10;+uKL3fUm1UKofeqI45jwtwbS5RilZA4gAWHiRJGInXvKySGYRsVqGxqkkhMTC64wH2+EeUYioN2Y&#10;8I2osPeXNTQcqiOvAZ5fEXAgIXH1Q3eLoOqd/p9rDW0CrFqlOiOWaI8ymuIisA4LeCryFcwXH7/D&#10;gE6yuDgpyaaz0dNy+N9ciAUbqdGnYXAmb6Oe8WZP/gl3mXbYfU/avOQMqf2q/6ZDibmA+i2JPDu9&#10;mgF+AJM41Ja5S26VXlDBZuy0jIypqXe/GQQbihKcT7eZNjmykyBOmn4BC2O6hV4cJiqeTkwq0ec8&#10;8FKvEf9Scho7vQiAjF78v+c2p4xafm+85ZooTcEz2qJs5uU2Hiiz5LXrQhY+2P69zj82sJBTXCh0&#10;piKbd9/eWNq68P2azzdy9TNEJhRke3G1pew+UX4p50Tks1j59dufR95/Vp49UHSjeGBd8IxoaLbg&#10;3vxfw86S2+JznWyLx5xz4i0NOod147h375bz+nxB6LnxswC/VtHBHu79+81YPqW2/UVcXjDcXAQC&#10;O+Dx4xMKN24Mc6y6/yWyzKj3HcyXbU5NFxLtzdaIBzfdu8jsDK7C807Iq/R0LRlV1YR0fWlMPVDX&#10;g6jtHRgY04TRHExwejugl24TeGLTM3vzq9euRfew5PNnzyZtC+Ewy2YbSgPJIPUd2udrfMzzSrTb&#10;HQXFsNreeS06HH9aKLpAZNjcNrwA3d7CK7RkwtvfP7pGPfQ6a+6Ddezzp3R1s9VOuVDSp6LVlAt6&#10;rmi9gwgxPtnEDClyZutXvriX/Hs2rmL6ypfZbn36dNnNJv3xAbrlgfL4FczNwuG8+tevX8psB29c&#10;WU7dCgo6D3PEoydgJY/j7x5f+/BoIMwRkUFBQf1wOrHHvnrlWRC/7g7He6hpy9HNkrAAkLtrRHF1&#10;eHT0lD5sPw7I6Cl3M1Pw3yUgrHKhs+dIW3J3t8leFZWSYCQWMJbJG6DJ6yIRa+cbnjyHCO+8zyf/&#10;+/WgBOjHy7DnbHgq5hlobpPyif3J9w3rN20yJ4pvMzwE4ZjEsFV7nLAdX4WFhZ/zxDvY2U3u2bt3&#10;0zJHxTloN0GCiC6H4UfRhd9ZzRHcr7GVePD3gUY1DQ1FePJlLzMfx2fU4dqqn03s4+bWx0ALAUzt&#10;Sd9ASWtqpuXV1oq56Un1Lf/K97LM6HzTEHSqWrV9Y82m+Bi3i+cCpw+5zM/uP3HiJwu4uh4hFrfw&#10;d+/Oy2Z7VT/z9Iw2iynB6hnGC9gmgm5meR6e2JJZM5gZI6pQ9bMK6KynpC9f3rFDSKjymKJiT+Lr&#10;13/9qn984nv6EbfetmTZioinrAcFbocqGRtHLw1WNsSMgLNeNbR3br1//74L3YWrQGqn1VQbynAw&#10;0Mru3t5r5LcxoG42+8Garb4gAz8CCNovH1zwivd6XKLdH2u2d3jwx4TvLVjsdG4b/nh28nLrnz8b&#10;zuvp8f7QTh8CkgxHDnWiJvcbo6lC78ypU3t2OZlrlj+3NbDEYt2Kwnl8vAlBkH8T9QgFS9DVtLa+&#10;rq60rDrezDpRkfsyLW/evv3b3tGxUFJu5uSUZQQOZ5i6xSx27ULCy4qf5w/4yWxj/ZM6qrCtk7P5&#10;/pMnioMlzr5kFR1joIEoGXEOX9qa1fH37+Y3r1+P+8zWIUJCDe62NRTZysIiGxkRQVxTR8VHHOxA&#10;19dRffFrrxgb2zNSj6rz7zyfHmy5u5ZigPCk2RTCj/z04SWPy2a7+wYiniBQxTVkbG9tXCWSEw9V&#10;qGQJFQbBVA/bgJi0OXfu/LaFol23bl1odf3z9m3QjHiTUgyHoLne3UJ/PNzTs2xr060zyspxkOXw&#10;lHJ00ZZM9/ug0deWa2/Q7/ORa/v2LwonT7IeGa9CahL6fVC/KSGCa4vZ84cBqILjn0RYXAmRbzr/&#10;GIFTJ7eVsQkB3eyWhc8dtFJ424XenZCdQr+FU5fVzTN4zM1eURH2yUgpElTzsOiww27MhmjJtN/B&#10;q5MuNCcnmVNfrzWEYB+N33vZ2IInTExM9GYmBkIF0IsQ2DZG/hPqlwdv8SpGZn+91rdizf2AVrt1&#10;5jzxJnJG4J78wO2sypOItba2Pqm7MBWdna1rBnfNRaTWg9W+/HndyuySjqWcjyyi32SLHldScvuG&#10;PGvrtkVwV5zE1InT7x+j5qlM25C+LOLU+ymnqqoq/p9ZrvQrwpdQtNirvvDVmplGXUMVYbpz715N&#10;JV+HjVfktk13QRjMhVntPjSU/peq0awJxXa4W8GfTuHwJWQUzawO3m8MbutckJdX+BZ2dqkNEIMV&#10;FN66Ttxar1muevLkO10NDVFLdPF8mF0rPPS3NRP9ZPdQ/i8ERvwqLR1cY38hv7j4QFDzxTe+u9vY&#10;JW5eeYsP279jx5nrQPkfIhrhuF9YSn3BmtqZQ0WCN3WfoDZQDOZFzXnQg+N5Mp1O7dl4wP6W60Q6&#10;B5w3G1P1gx48WFGG9r60lH3Yt7bnzr1wMjePtdMO1f/uuunhTxdpjG6zEJqaM1LCXAOm+pFsKINd&#10;ysWTyPoFCvLylY4W9Do6je/Ypyzv31HauXNnRPGm+sSprZ+vCPQAYzjUl5RYPPb1re4Ai7Vsl5em&#10;C1pLtgix9C1409BQe4ApMc7psYGA/5inp+eZ79++sUzWwbHtCnAonIC80A33ISOKLwXo4GlFIKtT&#10;srKc7OBtKIcbdDQv4TEatNjIlIs59CRtPYaohQLdBwkkBbjGXhyts4HQChRO7kqMg1mBPVptnx/r&#10;Q+Q/8jdJBTqFpXzTcW76rA7y2F/I8WdenDSQMEaX1SDZQnODLUdVMMnIaPOTYyup0qqqIjRdDywf&#10;NB/4C5W/OunXgj2e+3UMF5AUQ/9QTFsT2oMrItra2j6j/Mo2wMYtqKmxrYMry0vn/HkZkrk6oRMp&#10;Tvnc+4UcsvmA38xAqBdYSpfNauOJwliDTOhU4Ip9+1YLk4H46JkfrIfPaMBu4qtutmMdJ1DVo1GJ&#10;/fsLW0CoSdQLKEtLf7qziVud1TjeBe7kyn6sv6iUWqiRdlxTC2lpaSxi7mdEMMBHDunyaegc6NuJ&#10;93W9NnNoJOrf1onftIPmHhgLF3svPLz1O+5JssNwoKMj9cWEwwMg4EcLa/fUzhZds7Vddxgcajl6&#10;NqxvWaw0tTN9MYIwl19UVDXZ9PkV2OzQk8rK21jXr79Ygyda0yZBHgPi7Ji1lVWmHawf/DRHLsxN&#10;jzl4BgSY3IBdpIpkC6ibf1++fu1rceHCs/WsrL0CuNJr2F4p0dFdXwMCWLp8W/dyczPdf/iwYc0W&#10;gZ3+X1seoanoZFvH1iMML5C1926B+9kzODj2yUXmltbWREeMj8rmaYB8r2tLYgB8iU3BBy0N1lpw&#10;vI2MHDsIkGwF/Mq0mVfX8byMTJj66dMfIIj/Cmn+/ArXYyI6IDjnh7ayuJaJtTkPAwK05lHM1TyX&#10;CpVycd5MUfdlOJOSk6Xi0JvAYM+Ld8EnKqrhlenr6XnxmZdXRRZPK/LY8G3QfsMp0z5BQYdfjLYb&#10;XrO2XgMD53zeQBNAgo2RicnwXH/ySm7umBdwU4W22vKKi9f/NZyRI8mt49adomZ6cDZJGCEggYaS&#10;njWDfRutr1xpU4Mr7gmPOWRyS4zxsTGD6nQYz3jnEScMiDCqwkcF4wV9MEcXhSfPADegQTO06cy7&#10;d7+25+XJZwByzZPHDxBWv4COyKMQ/yqwkw82V1ePdyNqGEJ/eV9n5gnFTPjI7UHUbvNrrkF07CBs&#10;FATsz5c+dEIVYCG8oyIsucd4VIIruqyqoVcawF8qm9qbiO2aD1rEVSHyBuQnczsVOy954I3z6VbG&#10;6XFx/Q9RlieTxPLX9g8btbgY0s4f2ERJy8reE77w6RYTUsD6O02tLrdRjUTChM6bHDuOxRTSsP7z&#10;LhTQHAx3pD//tci7s3z1UgLe+JmfHhcJ5AFF9f6l/vstGzb8+UOWAMRuSUgznHem01GS3kP87EtM&#10;TV1HnFIHjtjAX/4DCTsAs6Mm++FQ70ZhIlJdWVmIH1OcGB6+cRB1xDWg3G+XPjBjeX5APt+MOK2g&#10;rX0oQ18PbBWRT30hMXrn//zpEyxunR+L+3776tUR6CA2548evcv84CLGpi54DcgBXk1ja7eC9Bt9&#10;px+KjxKHjrgaVvmbJGztNjrxgoOWjDzLHR4Zqdq8/9y17Xv25JmjVFeB9fVqbHj4SHw83H9bbrbn&#10;b1pJUXv3Rr8FpuwiK/RvauW84DUxVhOSuhpSLRw8azDE6ooY61q3TCxrTkUGNnGzh14+PpENpaUc&#10;Pwa2bXm/sB/Djxrtmhl5kRT/3Jm/eBfPlJZzR69SeETpklcpMa9fH5c5fz5THRiAPmCd3OCudmUF&#10;BZZdb37tiEcf+hiGsHJj2egl20hHQJ45cfRo65MHD374Ycm0o9IxHhtoXgChg4L/7CdL+bvHwz+8&#10;PMizfi/qtAyCCdiZmET/Ipy3dgICgFLXzcMDfPT4cZWnDfMDusNGYQgEE10Vu3mOSKYkb4z08PBY&#10;STFA8h3aTrsUb1aOPO+f+A3rhMfORxZR6WNjY/CyM2zaFBt1ag8r3hs329SW53s9aCQsFPfu27fZ&#10;+oftXiEhqwOfJrzerX6OnRCZMtmcsNbRwRu1cQ7PZZgAm2Y958uWABqRtAVMuQYo6g36XsS3MjN3&#10;KutqY+SsnplZ70fEvTF0yR03MTJqS7G5BgSoQFzWWli6bJs26XMbqT/6fqkMdMVX7NlNCL9iMkDV&#10;tBQHiTjIo3IQPDYP1luKsa43Nu4iLQGOzmPdPvxHGCqhmYMRvX7Zvk/1zJmZZVSpkZD7gwfHSdes&#10;gF9BJHzEkVif8hrq6vkk5S6ldgFvzCFRSCYkJGyadcS8kLBWbCvRwlCphbawY09ml2elfvwo9gSK&#10;FhtmAbrVg1gRuWXhwBoq6SR+Ba7LGmQB2wmwe6tNTUx24s2ueTmVJBVY9NrBwcFiY+VAycv4+NC9&#10;qCUyIB7l/DQFCbEaw3fLQMheuDhSMtKcaV+RIfhjQRMqtAU0daWJsTGdt+/eFYraH74v89ll1+d0&#10;b2+1NdQngvdgOGBcXrdm22GxKblcst7+D8CbhWJw0MmX3wsRZWx/rGXm+512754syA6Lm3QmBQCd&#10;oIVFjYRYAoOKWnfDlArS0IuSnh0pkRKcrIOUYCDi9XPW1ibh4Jq1BxN/6vMxj/HMbdzZtFG8u7tb&#10;j7rFJyjo8Knl2p47jo7zs/aBCqedJwePyKmrp2QiLVlo+YZhDUUH5g27R7Ajw8YvuXUOMx/K3Odn&#10;8/yL3E92z+9wffo0aGnpPE1fRN6veJAj9bF1+oaGpiSs/vJ4OoTMEEI180qBpJBdt2pVQE3TfFnh&#10;LpR6qh2riszmXwPrZxLAYLcwn7UEts7PRsgdblfNzDbClNztrZt1M2tTpQ2pHTHE8B1aSJjcSPLg&#10;OARrABdYnH6Q5PWCqHwUZ81QiBZjgEQPj49CuyR6hErBY62QgEY2iKc1jSigdeaMFzNKE5GOE9/e&#10;xsQslHRZLYaLbsgdzR+SkjKr8BMT8MXVwCLgd3PkL7w9Pq4jpmfOnXsjQICL1BnX57LHj78eBgRK&#10;AapeDp1FABc2htTdw8XJeboHJdCZ0kPTjfx8fHnUpM3SkGbd2oEjDM3jz19HRMBrufktbUKG/cjr&#10;djBZKQZXrjB39vQYzj+Kh1OqRklBQWCT1QLibeN5HZ27mE4pbFcQux2aukwe7aF6LpQvDbzOdMkz&#10;o10jb5O794KiCqWjvmExu6dW254//4sZpTI0uhtCmnsfhMKzMI2q3z0+fkC1qWfNmjVhmJWngkp3&#10;QQCVcAX6VrZckbEzCpHYyMgYI8jHJ6+CKPYjI3WU5D3AAi9fgO+9Rr8wofcHCuznQHw6pu3rkIz0&#10;sTvKMHqRcetW07J6QS8fTzuvj8gQTRmCkhkL+YW7UJe/AiMC83z/lCcki3GNl26CNaUPtpxyNukJ&#10;UVLF9183UVkwMmCko6OLtsR9uVyGouHUXFBg2kMKjGUUiXiIfvWTvXWJykgH6FKaR/a+Sx5Mtt8T&#10;vDCPeigGF3Eb/gDQgY0CxuInUBjfgUSeBD/XT++9Z+KGmxhBD3j7+MSaGRldgBX05gFKGpmgDe19&#10;J/F4q9Awe9UdvqzslJTxXGxjib/mh67kPYuCoWGOxk2RgSbFqGz7AqmY4KMbHq1WnTNrTK8i4pAX&#10;snw3DAbrd+cdQDby+eUCukBbV139Ne1gX1smJgdbKbK7LCeEBVA1DF0hdZqXoZO/h3o4xQkJHtPM&#10;oYxxbz5w3k7mlPgbX1LwwkObum7NmmBIMlp78vqRFC+jm/W9eulcNceEWRyKJQsMXL/tIIWp7WcJ&#10;UHa5Qk+ztEwE6ayPBCqMxNbRTuxBmHPPyHD4DVby6oLG6gOgS8xx2YonTkTXgpY3kpsgjP1X2HuY&#10;pyQyUIPdHFI8VOtDYEMxFv6C++PH/pMYtVKBmuf1x492jSRcyj1lHnom+tMGAj7A05kdIKGefPny&#10;hZVQILPTMdHRnmTjIgmh9TDB5/nzt38Ncw0Sj2Gw5RcMJ1LDGM1ClIcj2R0xERFXlEwLxjNpVwkt&#10;oQhMeHjv3ke7mzf7ra5do2W8YktKHzylurbubpYkMM6X7/QiEwg5loUdmwfQR+WyCWyHAkWRdOnS&#10;Xbl3AoT395XLl6etUtgzL4jZH/mI9l/uTQQ8ekSrraaWNITeBG7UsWJLqQsE14rfNNuwbNndpxD8&#10;jt6yeOilHnfe/oWRp40CA+g4iiIhcc+e6EOfUnnWSfUYhnq8ZwKq+HdGgKRT01N2qXn3lzMIdeJS&#10;5RYjb1cBT14mXvvnA3Ud7e3RjN9cDm3atLRMk6jzpDHOfQ2b+OhjrEk6qa0gxxZXE4lteL0ddsgl&#10;bX6rtWpZJW5WXkaRFIj6yylH8E4RxtTZgxPgInWNVuIMY3nKqwsjog+BGktCpaQygCTiTU1NufDQ&#10;E1FeNzRg5PAfcAkPKoyElM+cYfyK+jcMo25EkFrVSvUYUODg1i13AY4Pwv3iC+fCLIfRL1IUPfbw&#10;YLfGhk/LGd7Il6PqPQuR8z6dpms5qUlfzr4g9REBnfg4N/BzfyCh3sDub4AVowY6hsRvkDRCKEm4&#10;Qegbon1xTVZmZkrKZtpUPwwm6eUqEHiOfjdH/k+pJylsfP8RDGzlfLiWTavq9OUUWT09qREkWi8s&#10;YSXUlgaggEUPmb5bECjq+pat7ZqE/vR5jcm70rN+GPga1QE7Xf+q9BKgbFK8wiulDaeylTpQRKdh&#10;gqqVEMjQy4S3ep84bWFkxBATF+erhTDSTLJEhWbrrAitA1voRlTelunXWu7sGGyLgLcPWnAD+FLC&#10;J1G3Pt5od3UydcI+t95NMUDw2hZbB2dA4UrqEsSlGe3EHRM7V6VbmJnNmmBKjKe50w9MM9XZssXf&#10;9R9oDwtSQ1dxAhAfk7X1GOYAy+gfsQGSLEQmzAEKM7+1eWbebsJWRFi47OeZKULoxLbvNH+CdPwC&#10;IXsTuMdjhI256GILybbxpb1UOzxHz6HNM1dUp5hLuDWpH0IUNR5F60EnVZ/4+F5l9E1QyNcmfeci&#10;lOq4kJUirKytE7GRJxKSR2hyVGGpvwkQ1A6S0bmRkM5YJtk1ZZcdp0dPrKYeQT5LWzVjv7A6bLY8&#10;b3OZsZi4uK4VsN3qwYWJj4DC5jpofGkpLT3VAfK2Dx0265gqJVFbfybBGjLUnakq1t0nTp4U0ob+&#10;x4/xXdrYl42lQypfQlO8w2gmmzNfknd1RbfUF4EIwIVXTFg4md2vYC6UqxUzWn8M9g9EVHS9Qy/Q&#10;crIsrJHC90JWfHzFfJr9c3Ozy2nMJDhJuAyXlsokVEgOQGk37/cVDCx9+PVIDObvbn2GcAOkMPYZ&#10;9Zszdgbb9pN6JCaSfQ+Z/ZkMeIrOTqOtdHSP64uZY4DKISKC8PitOy616qJcRkRp4d8SBF0FhTNn&#10;BB/KvLqG8ON/TL3tQ0rK1THZKQzEmuH3L0xHguAC6yJAU9fe1maEOmIz0r2+uppanmNJqHtAXds1&#10;sUqYm3WikPvwDNw2X3nYKgZn1mba2LblXMn4IyVKurRr9IHv7mntgtM3UWmeABISxiubknoemEAK&#10;C5TadnBZ2P4tCWWXBmsb6zbBrQZS1gC1/wFeXj1SoHfJGYgAeOQ8P/t68vE7mzFBwcDh4eHIWLdX&#10;b98GrJPiS/RH5q7DW/ZA24iN+QcXYOjr6Ay4zScluHPnxegswUCaI9LW1skRL16cy3r48KEHn5OF&#10;iUkYiNVs4gqxTjBBt62mjGGhGZ5q1WbqESwYazaOG47rMUzX2DPJgIojxy64k7eEUDxMc+QUlW0u&#10;uTmp5P3Hj+eIuUwBCBKS0Bd3kEhDiTExMYypyA6gJy8Rfj0/L0/N5m/iIIKjrw5EoRdt4FLIgOeJ&#10;5XXwE5l1oYj4pVWwehV1DTMHf6K6qft+gS8AbphgDlpXZCQdHZ3gSUI6JPmGW0HVFt0m5XzYjIB2&#10;OBMYMadLYpHYaJjej8xbgC21EcRYV3R4uBcbKpZ+gDRLtJMPNZsiGan9qrec2wMQtwZPaxwytDFh&#10;6WEhOFzWJAkmKmSnUcoW6jfAkziGrv6Vao3KznY2MD0ojrviwtzMqORUPSWlIl5CLF2NyYJxQ8sB&#10;EH7+yk4uLtO29vYC9Kdy3etaCcaea9euAFKbra7PbT790r9oM1Bd+xzTSvzj2jLUfKlLKE4eHp0l&#10;RYnW6P261jZRDOPFBqJqYCadpPQpF3jCAHr8+Om/YpLjxSp1KfFLBl6/nohDdbhVPT6TJMzbSQqD&#10;x0+e1LgCa+T5623a5LPUyHCuH0PgIqFpSyHcAS5pN6QzgdFW0cp0uASpxYHppfnUjpVrWLx/+TcH&#10;EthWVlNTYlQSUllbe+4JCVyEgjQv6ocq2oiWuUt6Z87sKNPNIbPySawBshL/KJwBKuoxBJZaXE2a&#10;g2H27p0RUppSAoknGGiIFlCCnS9fO5+qZlhkBpbSkptiiD2bMuO102ql/KsLia3fDBKNCRspE16W&#10;19YmFqxsAfsr65H632LunicKp5aHZWKR18P2C8NrdUquR+gakVAJB5H3PJF7EhMTk7El89GD2YQ5&#10;RifoErgxRgHjpadlI1UPMj+4bizEQorrUOrWuXSraAsH0XhR7GOSEFkoWlBGq1EkX5Ia1vSBUTL1&#10;GKBNefBcYwu2s17Z3xyxFRs2lE+M7fhsQOh1igOG5CTVxRtZHgggOQ4bDffX66yKYPbasIQEETwS&#10;UUdIohOelZxw0iXF8ggcyb543axpqi4UWgffwICtKt4lTk+xuYZQe7S+H5BypGTbjbn1r/RHD9C6&#10;HW89//HaxddYTCxYN1U1NYKa+zd/BbGLaOMdC1o9KCdnIYyETPhHahu05hPfvNlD5kDcRJLqmUU3&#10;ztrZt4ZGpnvz8VJOEGr2zyH7IwdZ1xY1NUkeRj/noSMM8FudgqkxDb2SWgRhY7hFYmZWwT7Q9yAE&#10;KutKS/mcQMc3YcXehenL6RRqbQuTvbI1ciDgP8OqdLzWmYNhgQuaeQpkhKTreKtRiMvxYQiwaTBc&#10;k8bkaEIlkc1FqiWqeW3mgwcPxNEx4fsxLS0Y4zob1h7RrqWoXnAChGyGsaNEj1TSwCip8aCLTh49&#10;uoOJeolPOwBlBoOfuswuXHh5CHUizNJnbG1s1ro9eZJ4Sl39AKaHxH+9HnQDV1FHPoFEgdRkc2O2&#10;NatEMvZgDDA7HBFMQ+ob/txI8yYFn2aKmX88wW2I2Y21hGY+4pRJDgtByVFCWG97fFPGywtPjZSp&#10;ptMOF+xG7mD4lNHH589V+aUOsebuJXgHlmL6bD+mSgSC3ZKSzhhgefPmTU2YmctgL92IhfmEdtWq&#10;G3Nlv/wBXcm7MkUgb4HSBoh6aYG9a2WZMBkeUhP6U+2WtBUX7Z1PCJu9sBqeRwRAZbCtAd19dwlF&#10;POf/gYg1DVpCbRoM27ZdXTfYZ3uPrAKMn9Ll2H304/kDY+AIWiHoNWZlZYmirW9vKIg3pdKBUjR0&#10;cokHFwPzfCkEZxnCjCDbC8LD97lDbU939zdbwolCrTbFhETbGkDHSySWolmndITQ8ORS7rz7g5mI&#10;Rn+xqNMBEFuv8HvoLcGT5SNLHUNchHuIDElRoL4uAcf4ADkV6F+5sk9GRiZouc96siFToWGgXecN&#10;qew38vN/WOFsg313EszXx8HBaw5ABbPug4cEBG6YaCucvgpUJkcWO+GJcak/ViUcsh9ucwSp+p2i&#10;sIq68Os4RRHByAHeEn+orSOJkir+Au1vwYvDZRsWGud9d9Kp69HAhqVDhwYxNjsWbSKjf209jOI4&#10;2nCgxR58ox7uWg/dsnoX0urhsDw5XeeTSMe469c87/JA5GdFrgqJ5KDkCNXoX4AqTXAz/FEiWjX6&#10;0bSBPmfeJu87jrLmOVGykenpMHRAPfMshVbAnnHge6ImtpOXgmpf5CBmeUwCllXzPLFCjx3XAc2E&#10;bxYAOystUejn1ZUpy9XOcMm/kggM3iESqESS3mmjpgw6iga9KhQDci0d5lCvmq0/d+7ct/KuUfAJ&#10;ERfvTP+4zgpnXiaFQ0fC5fySMxcEHUQwHbcsJ7kjHRL8MooB3QCrTczj9WVkvtAO259VU8t+XoJ0&#10;Py3PPKMONfSZs6HnMYn6MITV19MzM7yzTc3JJKmD0hCc3UKQznzeiFV1CDwPWtc3P+Ealjh0wE/x&#10;Q3JyFoLHQWzxs62GZEjKbsSN08BPUYAAp0/pERkMhKEJ5skBc7IcsSHHhK2hZOEJy9Qby1o/zeQH&#10;CfaQBrbqyM+7/JS0UEfLN2EhoWzwp2MtyRjLOLiE2o7nl5YsSZYzRbX09WXdbp5zj+OQ7cZAqDlo&#10;HN05fkyjyGMB+O71ASPGS6kjROmeGVcyVww5ha/fGbFw9tKlP9coDjzOBEHi4ojH2L6PEBQdCXwn&#10;UvakXjRzZYA4d62ZR94ytTvOHePgkITdjl92sdiAQ55KN1G0CKBvqpskMEzw7VuTefiti+feGm6c&#10;Xqm0anlgcDwUV4/nPj484FfPs7j9IDIGgW6o+zE1Pv8BBy1CQMBKdCX4cK9LrtaAG+YK3JYk7dzJ&#10;rgxeb0Z2Kqa7/30TE9OBCa5vaBMU5eWZP1/gm4+i5wJdhe53/ZRx3qPkfnZ+nm4yHsWWDzEU8LeO&#10;nZub1St34axtu5G2UV+/XYZ86Gw/Zn9tL0PXy7zD3C+wkGg1nJy0Gxmow9kli8L6zNmSR/ln5488&#10;ZRHeNw9Vahm2oSCIndj3709hRE3aewReKzweDbLxL2Fz7SZcqC3qzB6asZH+xkPh8NQHo7vNfv3G&#10;jW31dT+vn8hT9caiV0CgCv7Cq3mVMDFoWTqBIwC+vX696/SwOChPUv//+fNnP2ZElxlfhx2rkyYF&#10;jrCs6OjH5N2ers2ePQDd1ZHgXxyKkPtHrFj0QHiZkWOJxuDdzxcGi5q2n4TM/PBVbOzcEGGpQN9c&#10;6u7p+U4KYfwyRfQkDDIf89MfGKqcdmetuDe4YGLsEPQvnIa5xloI+hr6ltHn1vJ1PZEpMKLq2ReH&#10;0IJ2VZIdujo7r5CYGavvgPiOMmZreFxcyAT37DGIfFLroeBOFBcXv0Ixdm6yvYBJ6eLMSMYFM7Mg&#10;dVXVsHMaGrsPmOmJL7NimVsnC4gsjpe/yFwSZKeM4nbFV74gDloFyIgRaOJQxaCRTN+DH1GomGNI&#10;gx+h+wiBP5f/qQ9mnickjgMbdzYK8BqhJa+L0HxR2Bv3LRT/MgMg8PkX1kPm2AIZrBJA4L64uHhd&#10;Tr4eHuvkGdjnfqG3U3M3xOxYwpI2Jw64RnvUF3i8bp7RAdHDvgoc6Tx88z3wuo9VFxX1eb95Y3T5&#10;6NFljBQHzE+m0NYn4BwZJ4QRGcZJAxgSq5n4Vxo8fy3hJtAp5DAb45gF42QnduMM4a+gDNUr6PJi&#10;Qo8uiu4mbMxDOGoiM20fgx8H7dOvLaUwWUwixNyAULrR+w8dUavYnhCfC5pDaQhLMET4p6s8KwWk&#10;a046VeoSrWbvxlXFgeVvuG/fKZIi1vigsqoqJ4vLlxmLWq7J1pql0CIbXJyEtjyNJ6CLFLl/C9Js&#10;K+q9QAzr2WZz/Trd1Nl5p9nJ0w5wNmjAGJuAqftST8CkAA8tPmqkhcyMuDhlzBHNVlNR4e1BU6AT&#10;psQcu84aBb1A6hohZjZBXnfxiaclD/gHLLbjQVgoKInND5GPixHWRvtaaWhsJhckgQnBvkMbwPWM&#10;h+jjFMVEZswWEIRl6kfxsOKLlxcYl5CHF/T8ucAn+Mjqwfe6wS9x52UlYB7quhHkSn0Y/MypW3l4&#10;MYtLFdWHS2XdyruklsAcgvBHf1UhzzwXJvkGHEzjAjblDk3Nuhtnz1a9xeFqZJiIJ45VJAPyDcE4&#10;6R2+9vtTR3DXVqIQ0iA5qnaiD8KK7Gi4+jsxpXhA9I4ZRhIVkIrFOdIl+CcREEnpQYjOss0zGL3m&#10;TwR71BdNjXXZdKutpGmXUM2+Eii9zMQxV3WkLYcB70r31KmX1URLQ8HGR49BUdtfg4Dgwh6YqCJl&#10;Hfarf3DLOvdWb6LrApQHl+m5zI2VIMJkEQwPG7nVDm5uRYA+0FcHQPNvpW69e2fWTn6Y2LE2Lg/A&#10;O+B0rEZO1cOu+lFRYRn13mnKB2R3HMjuBLCSIme9MwjIwCYGUZxTQa53o9n2+WPQ7UjtkQiS0huP&#10;6GBzXl4n26fU+jic0PAUM2PaMQHGYIljTCCOA9uGqkXrPeYfHSUWOxLdIE1Oh7eKCgk9krAbvNBG&#10;KPzR3roRJ8AUHvfWjYAmx4g/g7y/JZQYqzvtp1Sp0o2rluslXHncDCfGzfT09BXWY0rVuIGhDHQy&#10;6KWQjyc/A+1c8lTtvNVGtIuF4LhDZZUju3MxZNeemfpNqN2cmhoiX9rb2bGy8V2QzkfbR6hVUvzC&#10;plIB8T8LOHJLt4NYFf7+tekGDvg6Nzvri9Em+lroHd314CKxFjRfMTDobhFTjgcnJg4veT7WVDzN&#10;pMjWffDFvIJPDb/eoTFIH7a4h4TdxVAAV/uFApRlUK/2YZUuzKAXdwf6vFdAS8luPuGclouxI0GO&#10;8GZ/j61SIdL8vcFzsN+1gHu4SRRbHIWVuv9+X0kJNKwwI9g8Vv/WfmlHCF4ec7IRCeyHxpuliU1n&#10;SqwIU5GMjmPdZ/WIvCzg8/Kl912dJXhxNHcuYpzlt0cP0TALS99giw98sUEDwHCdIJSyuqzECbn9&#10;BsjDP4qOc/dujePhZWKEtyR+QooCpzrG4P1mM8Vx8KD9e8hnsa6uCreTkqw2ef18V1BSMgAspaaG&#10;mvYsJvmcQRwvwwJeQeGIzNMOQMaRBOiXnSTq+uzN+nRXpJqzWSCDssjIRVviIoQ+lVFel528Egsu&#10;VNKpu0x9BrB92fACaio5PPOWCTDKe/LG4JhPx/RdcUTH6RwMAl62hp5egMruKwNXPIpBHzvPEIoK&#10;9vynFjw+HNA1nednNWNiJTfQ3HYqeY086ennF9VULenCctHPdft95PBtlz6c2w4dogLEB7u0JZ38&#10;7710P7mhzO/BkiCwLAowRP0Zm9TpaLW1UwtglL8TPQbDERIOw6p/72vLqftz2wgMnJcFQViMscwJ&#10;0wRd1de/jotzj0b6m8F4Bc4v4zmRqGjCYClY2lBhUPX27ErUa+eIJKuVeBnXAKXjDAKNS0b7gBjy&#10;5Dt4pGP3gzWYa7LDoN8awmcNSmTAqLAW3Yhx6BGqnAnpw1lT/aQs/hR/s4T5yOxzhbvN96EQw2hX&#10;AfQsaoGA7fF+7ohjKHbFONR/7Q3AG/lgf+/08tF/XUKR0vsyXFHE7dk2X2BAu+q+zLPEUIw7DoX3&#10;b+oTDH046nD/aQ2Nibn4fY8fI988qo6Ojwd2KpweT4LM44lV/q5rf6izN8QOfhKjx2fdOWmXEub4&#10;OS7UxDQQUymqMKUJ/YAAd10YL/MwJa4wOTc3xVlEanjLPP2eWtlZIRI/cO6QG1xt31FtRZLf5J8J&#10;u3pWXV1hHYTbYyCGFUBkqmI0omNBux8hjFvWHKiqrBy+P7afJBZpDvHNSYaMQxWAMK/R0eFspMn1&#10;B7XqV+J8wEzjQ+6ZxxloQHfvPYPNCqouwhQCmCZgwvv5MV3MDiPJaRMyzJDiZ76nzyB8kd8MTEwW&#10;Lyu6dBKEmBYNIo8sXh4O/Pd1DI+UlxWZEYkRP8gEXC+BGmsWPsyeVQ1M31xWYqxMOHmaLhE8q0Qw&#10;n4JsgQJi0MHRTw6J2Ek8+TR3OK6jAHl0R2nxBhikjllZJRWR15eBEh/db1ZMKVKP4paAqsbjx0fA&#10;+ByPSV9WNhhAs5fwc/f61oX13Prv5+evkRz3WjmYZS/4w7VQxDBi0HxjisqjuGVax0mMofmzDpga&#10;671PDaRmC8DVbnLclFytJGf6ZryMf3/lL1HXMDlL6GtDg0MrqtjL98nX3PYtW7yNyaMn5OX59OAv&#10;nieOBVAV8xYXZ+52BuDhEVjySOoZMeKAJNOrLiv7uXbNGuvjxu4Mwcv/7xruYqGyQd0il0tQLcqx&#10;t/f7GMN67vzvTvjUY7WsYT/+OQqJXxD5aCwl8Qe4ucRHbm5sDQFu8PsZArA/2fO7L/3/vvYR6mlx&#10;HG7Io0kIbfL9/e+uE1cbOUMmggD00g0SRxiYA4s2L/4NgsQXb4Msl879oQxflvTV/fcMOFHgNqM9&#10;XsUdQN8ZcXaruCVmTLH8JCsVpldNiBD8NHsRFAchyvCCTqvGfzrMKSWlFys4JzN789T7xXf2jR1s&#10;+f138BTC4uFYJwWWhgkIlLZhN/3XR8SChQklIX5wcmFMsZYJcZd9GV9d9uF/93Rg7X/ZHoMpqqCv&#10;5AuhVNl+cabyOdkBmpANPhD2irjmyCsQ+9+38r5ExCtuvxH9hdkBpGUIATuEVoBKMC3LLJl0nxjq&#10;vl0PAof+Z7uZHgPbSnGcrIjXL7sbhNAuMpJsPQTmvwTHe8HR5fHzSrUb1N55hJ1tLwIDd4/CihMJ&#10;kTBDcA7C0o8Iwj0HIvqSkzFCOgs/OG82N+/zAMt5jOSSL+PLy67/757WYjTIKSj+nzHT4fMsKNJw&#10;zHI3pBk019uOl0NJOzlJCB44cLUQZOq7JRRKVRZiajQirDPhCTC+6uauffvqa09Lwi3RUxgiMXMe&#10;SWGxCJlb+7jBZSX7+r5ly//t0llCqjzFAJpo3EniR4K4MV0DZyKuun+nVWx+QERYoNRshamZ2RVV&#10;QCC45w0w41mX+AEEmLiA24n++BOAgV3lBV/LOLro+xfeuBDmBW3rtHiDeAKHQMc8YHeu1ZMlMQpE&#10;H+iTS4/fOx2xYv1vR4UFo2zbizDG0U4MCkDyfsfDr98c7Rw6DQOXAoDVZuo96hHiRQaIMonGOtvb&#10;NBcAzBQQEnJ1J0BGGfE8AnVt+WKQuGX/5ich4JPAB13IRhE4Rrqkp0HC9VsMmLEfYagl8BNVRCPO&#10;Uf7xFgk8VHyWy2opujpvtF4TEwLWPnVx5k6nWOkSzsWgxIek7Er0wKiYmJkQqA7JGkTz29FraMTL&#10;q5vJR4a/FoCCsFlGfboehBTCjDxdju7VPtI50QIv/VdQGeZByK/ATx4qGAN2SJwgDorCYCQPeAhW&#10;L6FIRwA6hh6gqJGB0y0QJYSdoQwOoliYIJwA2ItHyblyxJlCLAlZBMURPYxtajb4O7heISeI3Zgt&#10;JqKOfJSFvGbFCgsEiTZ9f0nKhSD/URzK2m1EFmIIIuio4dAyQ7TY1WpK2qxg4sUMYZQzFxPrts/2&#10;Q+gthjIYQvwwnxHs2F8EBOwiPQEYhX/gEJqg83HwQS/hzBUYaHzh/jzaP5QJsNUJC2d3Uq8K7Gu9&#10;EHEECYNJjIiVi+r8ZVJqEqJCG/XcAtudKeLpevmSowbDJvdf+XDOCjN79L+M05V9ZqAZCj0FpRkH&#10;iqF8sNiQwivPtgNtD6Zoctl7px/lU06AgL5CxPs5WRkZk1DQtfr+Jw2C4XmqIo6nRU+4Wai4Nuva&#10;h1DWVlhAYadWUjIgkrdRtAAwnVBp5hAgwkFQvuBpgDCjRewsOM4FJxsrrhf6QfxQAnA3QntdRf/1&#10;I2h+6lZpRUUBpkmfX778/nPCj8VOaaIeCYMuFg+b4CtUFMdfDPSC4E2kbuHiZ97iT29rEHIY0uEw&#10;VrMnJgzho1qIlX9sEfjMv/MU1/3fe8ql7/em/vMC/EFPvSUpZ9puJLyf6zIjyitpFyCHUG6nbgFi&#10;HkE9nQhZ8fixY5F8qGk0AK589RrI5sWsMz7iQSDR/vSejUGhOqBMviBWLyNFEKkG3r98KW1NaFjS&#10;GZCYkDBKZqL3woO67DigDbp+L9yGlCBfIIkaOI+EbxxYewJP1eHO06cn9XOzH4+j7/g0ZhDCw6l8&#10;7Fi7y/M82BOsHeAq3oMmtHuENg4StdB9D++LXIuda6fVPba+5zKCgToqxJgT3UOH6S2fPnE45T3j&#10;VLkHWv8UOhJ1SVMCZm7Dv6dBzyrG548hDktuwdbLDS+tJ1MlTFEKUPc6Y2E71sTU+RSOQ6AMyTE7&#10;M6DoPG0N4hE27WvfX/T43WC2rwwbsqP0cEw6zp/+aiYS+KOhBMcWeFDU9ZYvy+Uu5oje4YAlfOVf&#10;nFv7/bubsb3H15ZTMDI146TfbEQBtYszrpVpMivvEVRRZoAEKLIHzhpMXlu+5Mt4ZGKadY9vO45h&#10;VoUZ7F0VsSugHHhOosESyhXS51c4RI/vg0d1yBSHMS9qC7hFZ3j7j5om2qBZWGwDPK1kutjIQ/ot&#10;w96ZcaiSNuKPbmLk9G4M1oHAtIxaQV3DKIVNQLWpWOPtQPNcY0NDmhhncoOdZHe2qW3iy2DMakRw&#10;84Xl5Csayos2AxIpH68tO7BXKLFu7B7pS0kPAQiRpKMeoco+gssXtG7LW78OC5tIxCC3lxc5CCPI&#10;xcCicHPsrblpH2EtVlO02JCR/49FYXkdJDMe3czadRTw8BcfMO40FI6gPY8dL4TwEkLSIBhCz++X&#10;HtPONHqamBt4Ocahv+hwDW4I+0CWKSVHPni30H+AbR1R1BMufV/FfodjDymoWNfK0VAYGMARDsUa&#10;92waA7uT98txDAoI+ICKvgiTmaIwefAPvFGYgGWGAUfO5PEQRvzIM53jxx98JkZsKIfNKNvOwm8n&#10;AEWT7s4n8vwwo9D6CClCsBIqDmWM6suh9lv8VGyKagwS8A4kkXPb/9ISzit/D7qG3cy+EWc/38AL&#10;vH337tFa4iJbbbLw5/tqRkyVf0akT1I/bN+zSQ3VnC2pL0luJyEV5P55Zxu4WhJwJWVEqyIuEkg4&#10;Bz9BAlsW4FexhIL07ITbyAU9s9r5t+f9fCSNAULi34RBIhYFxaoGdmJL/4eBA9Kc59LHkEYeiC5g&#10;bGYvGIcCRKtdmNMQhSE+H2lXcRACIuqk/42zR468EiLeeuWoxMk6MKSPcYj38Q/n9t8EinZ7eaYV&#10;4VGE2Buh0jWCTekVEhbOQSXthPN0ht6jeSxzex/mBRwSE6sllZPL8JALBM/1xD+lBtfiDVK+fhlf&#10;WXbwP+Bi/oA+CbPmj93vU5RDy5IRiJuD0q93f+GjJ5UdrEUDslEVmsSwAUxrPVufcG5/OuklQXRC&#10;aPaOTUi4sV7q0B0OPsJ2kSOY0mCsDYci/prDhTAyIKIyWolNcw275Oz6+FAzkZnmT8+Vo0SdIArL&#10;kT4MdpebLYu1PIyr/FgtjafQycFj5sLAtu5fiVFmQOaCYwbkPbYtWw6erc22EsJpl8XEDw4XE+ly&#10;gXVjq6Tz7BsvZDVGSGGAXhOszn2gf8mqm8AxfS3kJ2Lbty1uOmjSJ2dwpkyNSpDY0GuODMyB8MNc&#10;1HeQGMRgu2GR1eXdv18NR8LlVWB/7hjWgj2dBvy/Bci9mQGWd/AgmCoCAPdi3qg6XQOT7G6OXkaF&#10;iFLj0bjdVixsdNGmJoS7wL7Nx4wpWfJoUTe743Tw82T8KWzCa6lvAKOMS27R0tK+aNZqwNI4sIy6&#10;BGUmQyvxyaNHL1ZR99AasQX+3SM2BIvA/O0FlXe/xYEiFGMT2JSFt/9mBqIkuLmmyF6USE9LqUdo&#10;uO3bPJ6xcyyropOn/ffva5ro1oBj7xyo9B3W7+71U3s3mtlIvLqAcG66D3CUnmJAUihGdAlPAm1Y&#10;REmD43LehH4UnDmiQVEf0FZ9OTZ5h+Lp+tpa2WR1VwE0O3nAcNGHOByasjkCDXlvQW8x4RAAxz2Q&#10;9HbEo5PyRV5Bgd/zz1wUA27/IBH/KGl5bOylFDQMFqhbVffnJOnC5j4boF5bAkGDtIa8fO8k133u&#10;lb4VgW9JT4iFLxBe4EX66F/9GRqKLj9ZdDg7hAOhBhYZVNSZpcjD+fEN+P0P7E+ZqqcykEuDSZEk&#10;Ar+tGEwevdUKi9dOAgvOklDGtjZvM6wBnyNCDLzE0k8W940bN9opihQGl9G4URr0iW0ZhXVYRBaC&#10;m7t7iNmlS8NhKSnqqugze4J9hSFVtjafTKfamZmZrxQGH5pIIkzj/1/F8sgG6tMgWW3hCCnQjDqb&#10;rUM56Pxt5OTkOo7ibJf9KJqIyAM+7SBtvrYmGKcTf+ufEsMkWIiW/8cwidNNoiBkto8k7qBdioOg&#10;1tyEK+8nChMDIk/xUJ9Abr/GOImmt4g+4IdAWmajS/OlDWHjUGI8Blw4d7dV7D5od2wMnAEdDIDb&#10;GHW5qdjjKNixPvNWACyvIoMnKDwa0wUdZWjpLqrEPpcp6AQA2EJWdQ8pa2Atb8A4rR8DWs3TxAOD&#10;TBQbFvZ8XVFBBWqENZD3nWiSWyA/YR5UzP9MwVoLV9pDSWeYcVEx3h9ESBKQ5HVHJib0sCXcL9bm&#10;KHZE+B7Q6S5ocIbljx8/uIyMB2kB2dC0cTxDH4wSr152b02TDeDqtn1mzZ7i6v+6NjNCUB/eqxyz&#10;xo0eo6TfEVfsxZnhHTeuXfv4izVi/ZVTTNu2SSYni1zZm0/2mWlRHCwidHduYcFrArosYJ4IE+x+&#10;11hzifoUq3/rxDQg9vhLfc182A0lAf5gWP0e4aQ9obCd0zrFKOfahk0EpOs8xdS9KSk0rS9aUKCR&#10;jp1WVd1nrOJAupQwtuR89/4FrR1g1XYiy746+GgZUhMRNmrr6o6tMrFE70wXQEhT7//X11qv5ToM&#10;8HwcvcmZF7DkSGPLptzr+TBGORI9KjmJi3Yp6b1Fi1aSaVpmM6mgiAKFX5Y/TYEk1syhI8f2yInO&#10;9Y/0lv8XP6/mdYsSftQF6/s6bocouQBlRhoXMI74RZOmpLMH2u6KV1IY4LyUegmKz5Ysmju9yHl1&#10;zTi2OClc4TTpovifckZKT9CIkoKCZ0L1XtJRty4y48QlU04Q2D8GsjHOyx32QMPhDuwHN7BlZ4/M&#10;yB7aACqUvMFQ9NYoZqvQ3KH5V80aMZGMRtQIIggvdoaT2p6I1P2gUzUuzlRvI3VWS8NzwRUUA/i+&#10;7Z2y9mDNngNkbNR0fb7oKDO1QOM+SAwivUJtyFs+aTMo/yyHtI4T9ZfRinRhcJY5PnrURp5v8CYz&#10;4gvK/fHDHUdsfnDF733Y6XAWFvHu2XOq5+kQQw7vP0Qhm7FIBZDUNoSGDWIAdzkiaLtgDVhfsTVg&#10;mdKKu2VC6CFzmO21UzwNi8Q1WbgVSKWanqzqTdIpzhc4JCImZhcCkW+DvRMmopUQAdsMsiZvfBYM&#10;jDOgrCyYKpvJZka6tL2Lc1xhk7hz0J7MwruGlP3hTn3ySqwe4lAW+AgflBApelHo5BPjij+IvzVH&#10;j361QpPMW3fmdWXW0v9av+q/w6SwmUQN3vMfB78NsBjdEGNl8d+hBjyFLu6ZHTmaSmFpG9uxj+VI&#10;h4iLPyIuQ+VuTdcbxPwBWdOOMfc6EShlMXzqJHyXVuR/yW/01nmDJLYnqBjIYMOXhpVQw0kQ9HUS&#10;1WD/UwBr2Eoib/iDV8EdfLWEnW+IooibBWt+C51JzWZSKyG0s7MxMl62hm/jBME0S7L71pMzlT8T&#10;Fw4zUe7YT1jem7zLME7HpdopdLOGUdzNHdsdFc5uHvqvg0RxY0rhlQpHp6zE5EK0ezdBjO6hwbgW&#10;1cnbqt5gFBWRPhmTxE4ruwJ4YOZUfUpvLmIYlhMOQkqXCy+rpaRBVYVsELrq7JxtQlrT020H5tOQ&#10;OT+QZmDWo6AzfhQW9h5xaFZCFTNOrDIng8T4j6M6hVSHBl1DCJDkvJ3lxOrDMN7xcNThROfaZzKf&#10;DWoYV/3/ovlmCaZLeHgbKQ6I92/hhkAZ8NdXhBDnwG2GpJXCnOeYpo4OD7xjLUdXOCIUhsfEBP5E&#10;6rS7q7R+vecuiuP1Sf8NR1ZYYOru+eXUPXRckoX+ADVWF4RIGzIpa3hrKhHt0RTngSpbhzjVhtPv&#10;3JGhoxiQ6/TJ72YHJrDUo+ik4ieduBis80x5uhYF6AQMrlI3gCmGwDPRX3QxkM+Jh6xEuOL6ooF0&#10;R+XnIHBoqZcIeFOQW34sttoOuEBRbfj8mfMkLNyJsZF7QOx0SaKTWJv0Pyo3ddxIqyR5vKxrdNea&#10;NW6/CPdiGjdOBMEvqGgTsuC0ikSXwidiW0GLpO/t20eOw6KCGQu1H4DOHD9ZnMcOIEycHR5SKUmr&#10;PZhxyz2sS8QszJK/sBMusP3Yvtw8PGdPIUi2m4eGhsbbIJQ8JlQhlh2bBkmxALTkA9/D/cRIQCeW&#10;6YDLX7YdDDv/bflv7LmIy0/xOvz2J//cakYayQj+YaS5fUxOroFAmZGeu6kb27H5mDA7qwm2DtUV&#10;VBjAK/G/9P2AEE2REiGc0LNYIp77JfYiNmoBgNcDedhgK2yiKMRcd/DZoX8hW8mfQhhdrBtJ62YG&#10;YlYfZJmWzAnCEouAUgw6zB+Kp26EyZPeIFYniUcepck7wgSz/9ZO301KS3IzcBZeR4WYLDVlsv7R&#10;wpP3UeonYCGM2530lOwa2QPhGJa8DuSMVDgMPtk7/RLghSRYivZPLkxWGPL5BH5nJPkC9M3HwgMg&#10;gSRMrM06+KJXoCAiMRKAPvf6O+wNTxSO8EFrURxEGnz53bkYCZHNwvwXqGQlwrqAT7zmXDCD4YNP&#10;ltw6paGB2QqXQDeoEErjpb2mC8ZcPyYN6HAV6z9tFdvVW7I0umf1P/0hrJGBZ/jgvPJvMeWfhYVC&#10;p6Dj/yTKHKHzDitlYduzEeBGpDwYzR4xVubCAdIB063jEHE7wkEcA6ENg0II20hD8aGNZzc0qXEe&#10;y/PEXKmIeW1GCgquJ65ciQjGUV/qTTOkBZ7QycvdcG5RpCgpsohF3pK0QmQWzMApQtqASPcdRYFG&#10;Q7MKifK5WPKFMD+SiVS2V/T1uZ3bsjgZpJ6+D9dRNTJI7KHD7XBaS2Shx4vp3wQKmEKc1QjbuHRx&#10;0oQ9NngfsLo/B+1HdLdYGUnONdY/1UP834KagywvNAz67FAx8wqQcnGmcpYJk646bJv9pLWP5sgn&#10;THQwGEqBDLuPhpIpfWqC8JyEAuwBdvtPrKYkTAQhgx9gqTuEY4fPEHc5tdDRdoiY/GzvzRV7zpvR&#10;NS5R3VPbe1Pm864NqjWVmNEbwrxlS9acjt8FYiz+vvUZCbMzxPgOz3NVIGbSmPS1jaHhLAPezc3/&#10;s71Pwlb0bA6O9l3osZa7Uz9PoBWmE3SDyn7r6+NT5aUQmYBhArnAFMwULY4p6sDNC6KLuYOnmQet&#10;lBgmlHsmWm0cXFQQsWWZwHZy/crNnUhsCmDICuDQKSb+wmVF0R4g7E6f3sswfkhuOpHrn2e4Z3FU&#10;jc4ZnEMzQt2Sh12YE89aliDfoq1mK2hoPpoaGTlC/SvB8d9qmyvjgOgzgfmiSY2CMVvT8OCiEcbR&#10;4/+qNMIpJpuhccmYcMnLiqbE4btVgi0E0z5+/77QgYNu7CHRshCrRXkUecQJTphu8gIlMjPFgFXC&#10;FaEEQbOJoNIBPB7P/ZsV73HMLzgXEXMBTm2teZ5C7MVfnAfkXeL+3wLtLa7uPJoLLxHEQGxN9/pU&#10;HIRB8nA0Xaj49m3nMdhuJYEuZU9txRgPaM73QRxePXmyUPbOpO9DRorWyWnOCoRPVVnZ1CeHCw9B&#10;lpFWoTPQ1r1YY6Aa7IVr0uLlwSWHjYkZWilTEuu7nUhNIcT0L3DwsI+CPqF9CUp/QVoIynPx99xe&#10;Y0AH4XXhcbxN3fKaSx43w3QgnleHpOF+01FBDJXpTk8HJ8VDMRBxeyKDJwpcjfOuLffmpMaLD7Pm&#10;jy20TghebqaL3OPzZqerPNcriboHpzS1kjwVThifMS6TOZGximfnve5KTgUt2si2iP3mqr69Gf5p&#10;Li5WIc3+gs32Biu8rlvlxPU46eiVjPjPZHe0ONyUmhieeuTqKoKeLvASEhklIHUNV1LUNgx1YHTG&#10;OZ/7fGW3lw2mwEpbnTj9FFpbD9p9e2DYPuAJXfe7X8qWUG30QDx99uwU90iIIiQp3isC/qS/4i1C&#10;3h0jR5BtR2fGejRwmNubHPAEEfhoo6epnGgszh0wdB91eDKw7NP9QoNmRgEMTHLSxgHiDegeA/AU&#10;zMkt1+RnEQc159R7yV/x9J8ajFFuGBKR36m68nIku3iwO1qj3tXipW4K7TupoBCwFqNxHpQB5ePE&#10;yXzvA7qZH+/JvPomj7kAgv1zINsqK9Uuc3FFxmMzswMdtz/+QUpafoPCF4exFLvJOIJZcUxhnDc3&#10;K5icy/R0thhyoj4+q+t1kCFcrsUT5ajLqzfv/+h+kXkOflTLKYmQ4kctNJOiVxVPpyQlPeJr+rru&#10;9zP5nfVQFBS2DMwFO9Oi5cD54D0GOOi4ZyUsT9RUVzv/NLJBk4BaN1wmxbW1k5z4wrW4DziwUFcn&#10;gqPdinQYe0xIksXtODqO0nEyrFHhzDHPOtluHhn7Rf24bC+CqETK+/fXaJAytbR+GOrrK71PTMy4&#10;jlUfC1lsut4/BVJEs6mxcftcgOcNAwKb0/Yew8woJVOgIfUfMyjPzgLJbMB2O2sXohyE92oq4H8S&#10;HLkrFgD8cA/RYv6FmnV0pqj3mBjIjZwjh7OuZli+8n2E4UYQJWWIqrY29zKKAgS9CSwm0hviAfCg&#10;5+iYWYUsX1P0gn9HmoPKstuTwhyLNOgj5etTw/pRwBFml7KzsZlbg81NgTQewnDoaCeYULxjzx55&#10;fevgDxv1MfWR3/KGDUV9UjxU3mX1Ljr6BGsOzoULj4ad8pxyeJk8VII7FIXBr4E6p07xaRHzC0o1&#10;Z0IHCSJvlTwVLkIUDViCI9LS09kp6h3cwziVeXpXWS0Jz6kE2cDFmEUGQzHqOK2g/Ra/wn+RerRa&#10;BcefNLg5Wt0kLkCQ709s7IrgqfOQQKGihaF/TwCzdsUwY0bCTfqvF9AL+w7rXw590ZNw3K+Dv/kS&#10;vDH5TBS1eetWxaHBQdo0mIh7wHbqmTdlTpVCMOL1kt95U1m52A7ezgawAbO2Z3dY44X/aLC9cSP9&#10;pFA26jI2JJ73APQSEhh0xUL/9TevHT0tjYr0P7UrWObEia5ATBcQdfZo1fh8zvV5cPRVc/NNtxku&#10;CbEoAWYeu4BUFY/jZR/E6mSMf8O8lRTEQynStfoHQtlD9LYkgXhdDlm7mxeXcYhB5t3LlxciMjNn&#10;1214LItJnUnp6eJ7f4yjRaf93BjG9L0CZeoPY6MGG25r/ebNV1vHBKU57OgE/lNYlcBMecKw+hNB&#10;pPkQbDObwz7iKRtnOs9pPRnC3e1Aub9FBbMY1+N1nE8b7k237nFH1+smkij1QEqNghwUAY4thxTX&#10;DBfv04SUFHcpAHID+q8vExKGmX6MnyuaxhD71af3eNfCTXcfxV04WHdHQ2FJ8WDlsIquiDiJ5TR3&#10;Ul9KyS46KSgKoIFF5tWpSw/XbFXfsGVLl/wuL+N3f2A40N+/f/+Gn1eGc9Zu1tTWboYTsTucRLYq&#10;bNJkPKVEnOVjQGIFGYRiApvSyl3KQZP7YeycAFcujurhM5mwBhd4AMv69S04XkXyFqIlZOqAHx7s&#10;CzLQJ5dfnmGQKfz6dUcb9sMZEpHQOi76sDNjEhljCcWne5iJJqxhcEbs8AHv6TcDdJGSKGG7Y5e6&#10;RLEJiIqq3Bt0UTy9wcldIfI5mseccIjXewJyMz5L7fXOXk1HlwxBYK04aAAMjPl2hqusywrz7oSO&#10;IdM+P1hUjhqJlewATJeq56MPh8QpwD67/3LavbQBkLe2n47plsKsX3snZ8R+qfc0bTQT7T8Q+Sd1&#10;hcyjtPT0B3AyGqPwE8ckiswdrtBj6Mjr7AUETx+oS8wdGPj1wurgwTR27EQZQk39nN2yz2ffM/DJ&#10;hlgon4IMfpaV8QvAwJudlaVDKyMPlYiZB7YvQwsLl2D+A8LCVVZoEM0FIHIxRTly6NGPie4qbnNI&#10;DddQmBu6BCrR3Bn4L3I0s8AY2IeKJAVed0l02qQpbmTCU3dEWeCGs/44IZd08NPfha1h+BVWATDG&#10;JlrOzSws6ZnkFbZ2bENzG4HhJpCdUlHHH0ND2wMcpfZkyeDIM090sFz9YYfkMPB0hofsGcDFRtif&#10;7Ygz7bus/RHwtZsAKRkBVk0xtnhvo8M+WpqB//ZiDk9zjotGPTDlNnQFFeCpHlbY6IcTgN5Dk7OE&#10;lLsOXahZgz2wGZWYm5ldCgwM/A76UhuWuy7onzHMUg4z4+aWnJyvbCAqesP/bUyYWTH0OnxE7649&#10;XORdUNyYS5j1zp0T+wLRaASMBwtUPLirfIcYZPZDISINhSFVk4OZL/He5uCZi52+kUJ9c1l3ZTFn&#10;DDUMQ8dhA7zpAFWkfcQ7ZhgWhLvvYmMt1qI9vhe1kQ3SPNvTiQkwK2y3Qnd/R+hEGKGnKAzFZMXD&#10;4LAnVwmUqnaY7jBFoW31+Bk5ud0TiCYLAgFkMDrmMgslQh++jrP+NNFsMYH5HeFgj/VB+A1eChv4&#10;QGI+aWYC9VYwBu9ixrzszZCUFJGLzh4tOQoODhkMl69WN636F1EmzdczMLxM2HfsMbrQtpuYmzsl&#10;ojwXwL2GIUVKvbgMDVfzN3pp1nLuXEJRwfOWPjOweYbANceDsZFZ6WiSz0Jzzzhk93fLKQpTso8i&#10;5f2Bm7UErNWc9HbPTqwCffRmCcJLp4rBI/y6YHk4oTI3g7jIRgvMsrCBa1jaPqgJdJEQnezQQK9h&#10;P3zh5iNv742CSKXVIHJaMk0E9+41NoDaYmko6QVHxnXypK62oqFJh7TdJ4+Et/LADZHxHtqA4uy2&#10;lXKTTjJ0TOJuTRP3lMN3cHKOqd/OUfFE9T+1/jR9sHIumRq1BX05ra08dcnQpKtUdHSyfg/YoDdo&#10;z86dla4Td1dLcRa/A36VePPmzalPDRkwQy6lKFacTqRHUUaXLj2HazUu79cA2NunNDQ04gYIIH4I&#10;JFsGPOV37utsjyrDFIQqihpEWgrJNPECUoK7Ui0JsXUeJ2UIAuxvEDsBtdME/sF1H41DAX5AgEj5&#10;8uo5h+iQs2POZ4xIIIxGouN1Z+134r6BtGsmnOPiEQQtlhjEhhq2Y56DotUAwnlg3Pm0hFp0Imfg&#10;vI6lp88rKj4xQoWz5CPF+T8vgDNkqaekvUoAz1WEokBHvPl2Oe/KjVy81dC1WwTaGEc60Be/FI5F&#10;w99DIEZZcQYqiwjcdrvhLWr9gqcN/dpADLIeEzR2wW9Suea6pU0yKO6WjsDemBwGnmQBWu6FnzHO&#10;GILxFShwE3EERn34cPoPyLe7B6NjY5XuNYyTEHBWQ6NA6QUf5xOdX8+5FA/Ak+NMSJQ2sMInddEJ&#10;s/xqQSII0Z/rgN7uXXfhWw9f7Z42m97ZpWcZyPhImjuPcW7b5TgPD5VPMOKEocaZYPyub2DAIiYm&#10;Jtve0WEKClUYUwhH/8DWrAaq2pZMh9vigW6NOyg6QvMyeUcxI+UJGW+xZgHNgJk5eHZ34B7bpOta&#10;jnLwEsnwezcqvCP9sugJWoHQyYdOsHvj4zavvn2TXY3yTKbi19Y38fF+LFDmchE1Bsprahb8TlSU&#10;ldnbz01bPwSLWuLl7W12ZR7O1P1kRupnmD3v67Dz8PCEAZkcBhsrhS3MDUf4eUy3xN8y+yPmZoH5&#10;FR4fY3kXRrvOHMUL9JQH7S/UivYmYzCs4rPZsDWi7eOqO5bEGDaPGnTaYeac3MxmP1p7+ynYpcNH&#10;P32SjkeSCiH2ypa/lsHLZR7NTQ6Fs6fu+niIbWwVGJjsRQbmXqX28hfP0wW7EZh2QM7qRqyaCAMi&#10;fPrGDUXoEbKHQesogUU8/SO+9UQj7EUGT7dJiKuQhIlQVGJY+MITzm0bwEA8rlHsidd8KTX19ftw&#10;FkNbLiSYIhJec3/poZbpRVy7iqMhIdZJLaV+w3z9d71bvChPuF7WTWvOCx+cbmmb1yW0U1GSsHD+&#10;xWlz59Zy0qCVTY5UJ0gT7WlbQjHgcgcKdbWrl0jt8/3qOxC1DjBZAWz7EFkJ6qQgOg8MMJRYbhXy&#10;+PWZQnSuJC+hrgEIzcvyo1zPjoHkWVfVrKilVa9GUY7I+/JX/6DpoBcAKjk9ce7lP7DKMQ9r1fHq&#10;L1+2n5aVjRCWlGzC4Mx3/mdZWz+/InMQUZKp/mUmjxsdDS5VKiXghUDG8ZPWOC78ce7TiV+NjSqS&#10;ONZgeKynpg/NixPP0yRQEAVgBT2BIrMz8vXrgDWw3jZgG9Mxlh6ldVBKy0e9EAhpyyUHZNv2DY+/&#10;VdFvp6iNTEzrbC0tD8VHRvrk7k1BtE5ANgDagy3+C3pxsjBrMdkA+cdh8AWaqZPRa/wYvdingf8r&#10;i509pqdvRldXq3tCi9wNA9Y2iqKQbSrhUNx9tfZ9CzMlZSiCQP+V7w16L8TBNV2hnHf9HTipB+9R&#10;PGaaMWSBlzCHHbW+qO+dkSEGrz1DgbTq/gbuAweavu3NBrNojgqpmTTipgvO/YMWtDSTml2EkOpG&#10;XgDtH/0ajpb5wn1rZR7Fnvvw57y6evU99GtoYab+3zW80+h5Vt6KvRQFUUqW8TsOo9aKwPPBsLvX&#10;bX//umN0RwFcKwkVcCFZ8P+IjIra+jlHJXcEh8sYfMDuK74OFVJQUFBRPxNGke2uF5l35q+AX1wA&#10;aVasz+Pb51TGp2yHxq0xI/gh6f36MYPiKh1uC7/cp1tGjiPdpiY2t8PWAded0h8oN80PPE4gZx1R&#10;UopFKXyP77K0xkEgQnUCRH6xKAF1Y+LBgBT+KKF4FHroGRC9Orl7SRf63UMVB9b+B95vhUbuIdsG&#10;BWuT2/VQNsHJz69A5PW/Rz3YcXaBXEBdY0lBQYUWem43ERQBnZgfgscMeb6mOC/mI0C8E+6w6RgA&#10;9uRnTl23mAwyz9PG0jKROYYflg07mhUrbpJn+osINksGKwpbZ3bjWayhqFs67qe3v3DbtQNRxjzY&#10;fJ3MI/Pm7EY9yC2bUv+mZtAjxF6B4YmLojD9o50BsxyJ5+BB88J4X6AqWEk70BcoREFgmqL90qKk&#10;pKQGw2BG9X6NWyJGjv1y3A0l+SNZcsXO/weI4Hro34BRBu1dXVtw2t/wqbCP5A1hCDIdKaY/kBuS&#10;EM4GD2gPByINKfcO80Lr78ZUOHYVUtfVwVKfAvzaQ6gapKCpWEReTlRPhvsdfvJirIxeH8x3NRj1&#10;w87fLCgk5CgCsoFYjrYs+1Sys53A2B7wAE1YfW+xi23QVuPC4NPZewLHz36DZS9iyqegsqFh5hSc&#10;I/mhLvMHn0yFhIdf3tlaYnewsmlp8wLtog/7924EekaNd+euFyN2t6NK3vr4D744qqWzk/kgdLYa&#10;uIq0vvR1tfff8Qvbz829lZmd3eL7R1lw1PU30Jqoj3uwhR1NEGBltAEXaMTPmtdyCBIXbxNQbQis&#10;qGmoPMzhUfKBM7ngM+K8/94zrw9jXYSgEvy7Cqet4hfZPZMJQwCEweJeZnMa2zk5y2qxzLuBnCY1&#10;xhNxNFAWPj3JIDsb7c/cZNvjCbp/QY+ztyS5zskSArTmuHOrz5YWLk5idAaZqyVLYCqStR8hj0M6&#10;S+Whrj2FtSMMdbcDSF8u0Yd77b7/X4kOHIZpUfOW6vwgX9cVFRdXg6Ds3Qd6A1G04VMIC3uqrJwc&#10;b222U8YCLL2KhH5An546/FmultTsr4kXvr4GjiDdFzEb2lAvoc1EBS3642NwdZbYpPBiOvWKixdb&#10;RHDGTGxs7HZq9qT1Tg4OaSU8jjJ/iVRSp8A5K/7FLpYgCzKoAUdDsA2ZYlA9lE3FoYmJZuVI1eXM&#10;llGXmFfw0d8FJbL/Uzxs7aLwhtG11qQnfGtk/C8+IQqS5jNbbLYuibrd92Ue6/+6W11xxdBQBQO0&#10;lyIEhBa/3chFSa3TwdiZ477e3vSKSkrC+j4v5jTIOIFN8Ptq4cA/pxeNIcX37tEUILvEYVpfFjjd&#10;3a1YftlRBrppXCIivsRimIql57JkcCBiAoApgex7tFa4kvEE226FRqWS5GOAFVODwRxbxStqyPNA&#10;a0o+3+503gMHtoU8f34JEx4C8vteMR9/AL/fTyQmz6F6wEVfsom/QSDZ4mxO6CjYZZmsXpsHLUYZ&#10;zDUhJ7GyEjpExzg89fa/l09RUirdTZjMhCOvXqnCf6moMqqJQS5VjHMM5OqDAeUio6P9VTYmYgrK&#10;XfA/gU4ErUNc65IQTiFGJML3k3RKDtWKlb1O9l4iWXvwpuaBArm2fsMGk2agkH6yvpf9jtLsj+Zn&#10;PK2pGT1IyKZ3G9pEUSNqnju3ExWF0yfYMXa3RN8lWAhC7wv88J8PGPu5LLhrEeO+iG/ExbKq3EUg&#10;6hAlTzN4bhtOPrIvdLTbLyBQfh2yyIR/zJyVTaEYNKfHy1bQT5JTDs7mLbaPhKmQDyRDZjV0dZsW&#10;SEk2ubc2++mDB8eXjJzctIOMuhCHKfk1TogN+uLn6LB0VnYKnqgndT5hs0OtclLAfrJYmg8gKXCj&#10;DQe0wCBWmjO5dQxXV4NHjByNDHqmJLvmTKvhLqAFqLteL2KmrKysaA+ce88xDUHICyiDlXSWDWFv&#10;yfQBX+wFQB23sbWV2ovyvTmYn/Ww3TVFxCSBDvl52C1qPyB6luLvKJtaWDBBSDPpmHiRvvq/RgKs&#10;X+g/Y9BANoMMwXpYrzL5yw9d7tzb0ydmpyydREVTR8hwwke8feM0JK2hqGVVPC2wjTUdApDwk1+u&#10;DBQlv3ODEwmPvUgdK3MgSQsJybtjitjyy1cVQQXzaCa0lUN4+BuMAXXCls5lJDptEzI65f/okbzp&#10;kSOf8/pHiUl9L2os/1k9/72jGP+GA6ZFyVxhEsqNceV/cNXL/qs9XWAXc0UDKRMpSjDKKf3XVtWO&#10;WQW+p9aewaBlb0M2HALwbMYBGBflvNUyQC10AzJq2wlvAxF1Aw5zki3T4WHMSk+fdgg7B07xE7Tn&#10;F0GHbK/eJwTi6SAg+Sp0JMfhviw9EM4ugUrcH/+jgAdw8jYYiJtPZ+SPHj3aiHPk0o2w/bNlH96a&#10;nhjQmwdA4pRdGf6xnXwjmk1joGD/GPnWk7PUcdcMqOkRMji7CYE3f4Df+qHkHPt6QoZZheDnmjFA&#10;sh4mhAuPB2ZmgjGOeROMmo8BNv2AG5Oe+fnFX9oEcT/vyWaedNBz1ctAVOywK0sldTQG2eTDBJpF&#10;jsDeffo8juUeBpPkgfaMbdY2Nu4XatAlyQdp+iAmDuxAQYzmt6vKV6/GreX90bDlWvgUpkdsAmJz&#10;mBgfl8wkG7ZXsqZRwA3zsbSAJvw7kIfByf3q4+oiIeqb4ilUtPcYSEkKU6nC7y8qWbZ+BNPCT3d4&#10;loPxHgPfOFxYeVja9xZ+lZd/8XK2X/Pf62PHGSYyezYq9JLrdXnYbsVKy5lCSD300a6ApFnca3ID&#10;YLERAKLhLyo6K3b+S7IXbWfc0VlUh3BwFaXUIPQFmvXfJZxn7fIhjyqTqTAlt25R7CJK8wtJPA8u&#10;lmL2+RUw1ddBXDx79aolEVqWX797mqA07QfwJe1Qo8uQGmT7e3oyctAanQ5x6sFpTKnUsMBq61aY&#10;u2FA5uBowijxWOfYq2Js5YevyESOyRKYCJ7jskafoTT71N7Ssr680ZnjXi1Q29gWw1hjoQDqshTh&#10;LRISE8cGQ5kwzzc8Y25+1f86OdYxP/gMYyPbYze3yPOoW8reno0pHnQ4KXEEZeIDOAE7SCl4SbLw&#10;izy03Fb4w1PfEWCGclNlJGwAnUQrYawvhKXq3XYF7VEg8M8bV3HZwBnBXsvGCpTsqZ+8/AuCuaay&#10;snscvMLeMTGm5+AbXvz8OG+LXnrUjK4k/WZhETmiGKoEzdOC+dByP355F+JoDKEbAcnt35DZzgKV&#10;ssG0cxcK99uMis3rCQYkIykRIRf0QnUVFbl5CedzqA9/4P6GfLdQ4M4Nj4s/muOYByt74Ms3sE/R&#10;UdRkT3zOcR3MgDa2nZ7b9F/69CVuQ1gt28joysX8PZ6S6Zb5t0RqIaidZEUwH1exEkL3HDh0SNsC&#10;fbVMREKCzfWDr0YJF6L2B+xtBRRXPlVzQPH8MKpNkioFqVQRZRKL+nW1fWc/AcK5vgkFHvaDV6Bk&#10;cGys0QUHWA0EBbE2vnjB3KDn0w/8YnqHwBIAhxRS++LBsGHA3jNUQVZXUn8Ru+RL7q7HzHT09KPb&#10;PeWtbAS/Nx6Tl3+jA23j4cE6B1tgz+fkSBBGSmrB5ZHebvydH86IrYWYw9o+aAooJSL3Tx1Y2AJQ&#10;AQkXgkf9vqWc36YT6hwJI5aVNTeG40Yy6VavtuR6+30OvbRLSCSDmWQTAS2ZJxWPAr7Lrtgg84gH&#10;zMQl7N5ilN1FW2Ly+BIhHx0lpSs/ffhRWs2rfoyg58hI8ESEM3gMTGuJxIF294MwdUcOds/8RrdT&#10;9GPoDAbQpz7FjMkrKta0JLaTigZjYWYwaW3a028O378PZ/4dwMCVIZ+Q/K0F3Cjqn4IOSX0CfgRG&#10;mGleZ4+ojJcSizIDxxUk+AmcE/PncaGGHnx3yvXgLLDs3oNG+7xBZV/xSW3twPdubkrnEU3NAA4j&#10;0YV1TMXtOgmgcKSlSkGZ8AWqnT+yESbHfnTDJn2uqBB8Eei3DKUMbAzCkMJf3UBaPkG4ZgaZarnR&#10;jEeA3VfAWe05rZlHdjmECucL2Ws5v2FeAk1G/QA8Y9XjsjwjekvmDzHj/K+tYbEbFrieLTYRfrNY&#10;fY9B++O1lmRSgGA1aIfVCSMcERWN0FT069bZXixkmorBAMAkNFnmNsESoqNvGARzxa44bMsgDJLL&#10;B3UleqNhHjX4ahRpcRamplsXQQ9CI2pK6/LMLXNSUBcKEK/TnKdHjWlHJNQF01EhTgRjgLGqxjTZ&#10;tWvo6IZISTfQr3pYyghBCPUxomnN7LbVvP9HZoPI2LEw2eqRRkZ0oCMu6PhG4m20Rod0HBr7fl3G&#10;V1ecaUXPd835JKOys+hUDkJgylhfpA4W0vpZcvKYEmiHcvDLDbbjG1NBBV1GfXYUk6BIL/tfdNBx&#10;9sADddluhMcZpSyTD5ei73lYc7/bXf1TUFAwQ+yhWhrTq2hpB1FReI4hVffkd9j/hDrzwwLcywXD&#10;BPHfDxxR2d2rY5hX/G9lTJpjkLS6Ns7T3WIT1UeKWXKO4BtcTRGOCuzrj/7QErmHa+dOli3AFouM&#10;sr7+puba2j1kZXSRBVnmM49tgwFTtOWYpqz5/sKRJKxsA+S5G3AK5fU7ecUdTXrow0jyPsbESgCr&#10;6w3dPNmLXvqvpZ2dncslJSWXTCbDpbX2yxm1D4rZJXmP1u9wxUmRMLmVOBfJu6hiti0eOfiEtWC9&#10;9DWjXT3JaKq4WeX/LZUnQUG/PMBExO9IXyT7cbhU+uvXBs6EW1bp04lUjV6KtFKDYs0H9/AUUvKo&#10;z1nWewxwiB8KBXLEAY3EcuPf3JgN3D9Nxoq09vb2Xt0PM6MWAvRnkhAzAs9n7daEZW8opDceFQqZ&#10;yhmFCRwDx0lRUnGxCPO9yfCwv5jjYlIE1KBh+1oH8cGXlzkzLC1NE2SFgqLiWfCsnCV7QZOfWPqP&#10;jBo9QVheElE3FPVbb5KQyDILY2wnq5OgXTgDfvT/Lo2/ADZMDtYbYMF/MPrIRlsSK2GoOzAMvHoV&#10;bEJezDzs3NkYEfHpGwrgQaInkyZPeMl4L5x2mZNaAjlxZnKSBoX7DVZKyvLycFgj6LV5lC9TqHZv&#10;fOejJxktCI5GZ1K5/xAjtUXWhwOYsKfFD0Yqw8a8BcN9E8S+N9TWfkO2irZOYf+nlZT1kPiI2ezp&#10;hT1e5bLHGXmPaeLAKV94yO5WGRtjRDYrhic2suq6deHk9QKyFETNahnaYOlU3jiRy+5S2EiKZMIQ&#10;gcbqB38iRqQVohZKwdz3lExsZJZynn1C1gya252+9WQ7CwPGeJMXiNqTTDKY6XUO/UVx0vx/6voP&#10;eK77tn8c/7S1CVEpNCRlF2VEMpKWrGQVobISka1SiaIUkhmplAjJyKisjDJKslJkJCOrbL/n4Tyv&#10;+3t97+//fz8e1+M+z7Ph83m/X+M4nuuALkyWGQMraj9/5uvCT8ihJjprX1P+6eXhyjG36K7qi8QO&#10;2Ran+YThThMC/HQmWCnjoLq2PGqWAvnNhw+KEEguW10DzPJPI2LFDc+ced6OocdrlhVQxZwKKSQ8&#10;E8UihoOUVFBM2kZZAGw/wKVY8fmgNQu/ghPwgZ/fgR7q5cZLuB4TcAeYugYfOEF827b9i1FYVqz+&#10;mEuFHUQy5Wca023zMHRc/WJfXVNNN+RxB119wDAj+e56N7b9bhI7TqJtoUiTnc5ojdYz3K31vr18&#10;hhpvAkDKd6q1IJoJRaG2+hzBFFlb7718+VIUsHSZgAGktIekE2A5zg4TOa6wfDLF01P+0UspCDAy&#10;6VfSPORooyCRdLtQmvilfxiJC8e+EaJODT/5yq8YbCqhtmVgcHBRBIqdRt7dV1w7rXMJSb5/iD8J&#10;UYoj+T2KTv+BG6C40IO6IRC+NzvHsTYv2pjAB2eDqReh+p7wTNInfA58NgeosuD10jLFjQmAvuqA&#10;Yii+ErdWpmKdNtrc1+XJkVTqgU11b0YTTsHcV4g5LNkvjTslA3fgEKEVhb6yyeEX0KTRPe/d04T+&#10;EiHzI2nePeI0jOuVlZXV24bC+vp6o3aJIJZ/1u+F4VBckPOJcBKBdkCla8kSN2ywxxB/l+FAWlBb&#10;zd+7CNOJMj41NGz58+3NLNbo3Zx4qF3fvjEPUQ36f6GgLFpLOwWog0OjcAeQkAumqQ/JIxNFW18/&#10;bPGr08rkqv60YOHCNML4MDW+VfTRMJEBWPO3GvzKMbzAr/60NKGq+uirn0Ov50t4E66HpqWFrD+6&#10;kOzV38yHGsytnpqu9Gutc6muOlA6RZuZsI+aXwJ8u5hcLqOa8WIwaBRSDm6sZTYYGOJugatph+Jf&#10;bC7E65R08uUWYZ7SJ2ktwATXpmzAp47RIy57+nIGA20kWYL7LBBOupf4SikIRfyx9RcoRlqhEKuo&#10;qnIWBGM1gTKOpewvxYaDNqRXd7cXEBUn4sa5PcZFr458RfH8CSzUo5RVf9Gl++MXUFA0fCnA1fms&#10;KLfFc8askvMTr1AriUJU+xjt1klksd8/M5aBgIz57lMGomi7TWhZk2a5tDfpzLLAvRskt2271ufC&#10;ZcByD2XDKO5lwWhitnEurIfo4n1vH49zBApPFiiBZyI/j5Uu7elyAX3ZXmXlQsW229m5F+l30KbB&#10;5SQG02H4AyRUFgv4YQUhm3kd/HvbehEr4QIZ6eWslZeoN0XE8l/FvxAVh6HYyqyEXCEfuRAy6lwR&#10;HGzjW0NlZA9dNgGmQ2m1fbT96H+4inOyCC7DVpoqrvIhsGh8TZ7HYggCTuMDOurPGajvboYT1g1O&#10;2JR2BC0Zz5yMKJAfzcabaXpq5pf5BHosVmByIOFzlSDoyT1rdhtPBQNVjmNO/akga/AEr2YwfuMr&#10;/vI2zpRKKT4AmHMuLo1noNTjwMZeVLRFM8WNJHiNGEjO7mHK64zhbeKh6eD3L4NFd8NTeXilyWNs&#10;j+xmOGtWNUyGE2sSbfNbzUyYeUp1NL/p4rVrxZcgSjxIOBG4sL9TgW54iVYYXubYh1M1BqeAoi2V&#10;xqRwyCD6loQfuWf3XYedffGLly9zCG5PJiUFywadRPTRGNS67/XARZRbfZafA5mo2scZ/4wiGuZY&#10;B1xcN7oEVbdwu8Tyf+/MvURHjEJSUkcFO/7YCOCrh341SETS5Ee2OfdDfAZpoKNqbMEYeUgT5qxh&#10;R+6CmP+ph+kTXuXfrRNYVsWwaocoxvJDmuxEAB02pMqZkoWjm2HnbtGNUFdsmkXffWk0HHUlndyQ&#10;DgXcB42upQ0gBt6G0QODIxBNtEJ4sGg1+I2N0R8TQMFiw4KGFTmLmJEmAIELRK8PPTiK49AeANUR&#10;vOtOlKXtrAV4/dfgP9iLsMkXTsRKFp8QK63yxOGkQMwswBsD2Ldi4YEvZSOfUlhoqDRkLQtwAWax&#10;wTmnu80Lrx5AgAks7xsIOGeJtbvAfJHQYboictG0/Eh6ugE8kkwWKEVoukZdHMQZwN21RzBmARqP&#10;znmI6T0cnY6UmQJSHSEzxM1E5vsoTKyistlNixQob+q1F8fG5zuOm5tzhN+6JdoHwuso/ugGkiRA&#10;JFD2TWsOZj1xNf5PiySgBBvn/9E9cXCY5z3N2TFjSkhpBMjVBPFCKSUZ3iluYw5TKI3LpEmq5eC0&#10;i4Up53Wv2470ioj34DDN/1n/Czj/VGEw3E8Ru32o5lgZjMxXr64+t/gFNiRFdf2y9xiPNBfcv3cz&#10;CREO0JME3ewPK6uXdzNUr1fR709wyjrbu0MpxaaO2V1auQhQYodpPBCZu0vW+kDux0Khw6DhbEAl&#10;py5X58KxUh4i3r50xowLfmBo4xRt7aVWU604j+EJKfifroj3hGszXrvnrvFipjZsFkMeV1lMV/My&#10;VtZ2zHLExPjvWg7lo8AAWL0gWgEywS3WWxMKDFK2sEm2ZX6PUSyy7FKjVrlkZz4FKc/v+Ff6m9X8&#10;BQte0hiUQP4EUOq4ITpuAYlTgxFESNJq4HR5G+4ZyRmMb6Ap0lJ8UZ/fWxdR3qj/Hy0Ag4FKsn9R&#10;y1DEF6Sz598gNqBv1e//hgs50bhd4O/BZuqkUmR439LKw8exhDyIrAHH/ATH4gL14lzsDVUCRpl4&#10;KSdD1f5JekzM7jPwt1di+a++Q+UWAt4S45uBr/iwb/4g6zGpLyck9EEZ7Z6p2EkG4wtwsAvEDCE4&#10;r0zAoXWIWMw2EHzWsMmM1W7YkmPbcqURX8TxTF3iVR3PEOq35OU9l6rrwxnTRggfIZVK1EdEmxto&#10;a0tUQFlrCP2eHkohwUr37Ih8HLqKGHJkcNDPFLFQ5oj3kTOGtMlDde/e/i77TJRnS9RbOdA0klqR&#10;6gaMCtZ7VxpwJ4w0WZaQtjBgHFgF+rhehS0YuuNXdM0SDg75d4Tstp2zozV+//eBnG9tNoAbeBaq&#10;7BIAw3KamPjAmqoOQSdGkKpTrFrxqYfkrPGHUTjU7uzZQtaCypNbEdFZvR+Hdusd6QqkGqKXuXL1&#10;qnSKb565M87HlEsGDbBULsd7JSTJ1tkaNT8FayuCh1zr4zLSH+uH2uk2sLKPuKeOR6ejgHzKjyRj&#10;UgEml9b/bSlamoGVwTGEVBnpV7qZQUHLWYBELUK0ykOc6DdM2fP8Q/a7vyN5DsYD6KGQxwxyJQfx&#10;Nw1MHobXnSRC2AGhQwmMsrmxPEFQIHCv2XjGK/FQHOorUVOlooTIwBJuVrRFFbEqKj5+3BREDyVr&#10;sIf0xoTsf/B1bc5SBocY7q13ln/CvMv4rLXTdc9GYHdjRPIFP5SLK/EkftpbworYPmNpcBi+Qi4X&#10;g4H8qPNeBlxppWNdQWErCrr73WFWbSYVweKVWx+/gCXqGn8CWiVLqldQTp1DYF8Nf3S6n9+SC+iw&#10;NpKeD3N2Pt1sTME8gyXzGK+xfldFpzcVWwLNHRGVjLuazrIxpfiu87XafWKd6J/vzZ07d8V10UbR&#10;UBy/YsNqTSiVrjIP4cAQkEGq1UbSRGA/fjrOfqmM77ANS9M8z4UhOI9OSLgciC/jSzObo8BE0i7Q&#10;r8S6FQj1QGcD0h1MroSHgy0FYrWazRWQlXWjsn0M6Sw9SWPzwutDIjDDMRaRRYFnnzA0UGeN/J0R&#10;OS2fjt5eOOFMHvPpYwaz0Pzfilx3RxnrhHOGxJ5YGAjfCH7uK+08+BgC2dGRkW5jjkfIIu13FAtF&#10;CXrCymq1ChTPBDNl1q2RTqmtdSuEyFlTcytX7letlNoQt0JS7eIzV1ZWOijagjkZWv5/dNop7fkl&#10;lmcttAkyR7mngyL/ngY3VuFpNJWvrYt3YIxeaOiGdlRGi7Vhj9HR0fEosi7OEBeXxQXgisLiM80V&#10;3s9WE9I6gaUcMYPxmvrSExy4inZCWrWIielLmVAPaiE1VKJADXZ1NeMAl/SF9BN486JHrW7YHhPh&#10;ZXxeU3d8QULbu+vUrxMLRVRQAMpZm+3Z3sS1ACFrBFNymqoKxUIXg22h0FdfBV+DTbT5y40JKnrw&#10;91Ou/JcCKLZWQh6fvcuVmyF0QmIsApr0HaKIN9arPwmyOQUAvqm5NliJQQySOYrYr3uFaFpAAJ0h&#10;eSb91C8hIbgXL1N7wwVS5Ce+zFzmApp+6Y+g+svIk2lE8aOyrAAJd/34CL1nxT+2dHY6z2d8YD+G&#10;+gKAhEuyL91upxmMwb6+He+E/OpZW/EUt7HhW4SihQREcpWhDsa/9xNkvhZUj/sYrD7l6mQE6LTV&#10;UTyUebLBVx/m6srqP0dCSJiAQul6e5vSCUQDvGEwMAKv7a1r4lOzARBvhvAZLzarscFoaHs8zlTo&#10;4It/Ks2e8sPr7tP7X48BFZY2gVhdZSX0vc68+nG9fFBEiF3sqbjah/8W7Ne6JRIo3mb2cKOIyBno&#10;BWBqKvU30EdKBIKgkHM2OFPaBGDObhPa6ajov35/YXQQcQC7oNp9BdzjDn8PIO0SXDlTMK3+joZz&#10;6h1Lwbm2m5jLWLkOD7wNOODOidXvzRwLSiypoxGWFF4bdlhvwudsILPCIXjZ+NBfyJLlwCHXfFxp&#10;9v9z4Nx9/xAGMjv04oeiCWY+Dinso64lHPLDvSERQPNCk1bNSlP78I9P4jfY669dzUJGOVloTkin&#10;HGDQQDqB21iN4Mxb0neo76SjoCvoL0C1KAEc63E43g/hmN/PdjWSn1vk2GtJh40lUKQqAaZJgV3j&#10;F6peFVb6Up/pNoQ1BAxBXq+DvLdON9actZEi598VrO8PTS1I0QUFuw15P660zJDtmefdzGk0Ctfj&#10;/zpsysw+IjHfhz8INR61ne9+npnhNVU2OHvevERTjqLuADvAtHOuHB8k3PP436XOwKkg1jnziwCK&#10;59Lqk9SPAQzdFmZm2xeyhlwm+EKkOyRDAhX5baAzOhVtw3eo50A/+BQ2EFZULykuEg1rqowPFF0q&#10;M6vJPynRN3NOmKHib7dCSsAst44UTXzPBxgJaJfcrX2wX8GlVjuR/V3YDZerneI8r5vOvsM7Gfq4&#10;B2R5U2rtmh9eZBayXsqhn+vuBhmSkN7LLXeC1T5QVj2O/Iz3C4/S8yCjC5QIUH0tD65fIIIzDYOj&#10;jVEBkxQk5YvsKrRuLQwGAjw36DjYghEc/N6Wa3He8NCBqy+OxLbsMkuxeBtZc32FeA+G97oCHJ/s&#10;x3qbVOxr6BG/cvOv2UcMeYWO7QoiUFJ8Kc19JYPRALhpBlPlKfsHX9f99+2Vvi10+PtM1EPnHdQ+&#10;NHwYpK3xyHsFvXTDO9EPKk+uByimh9MRZ8RpBbai9B+uCKFXcSivwNgiHM+Qg3yC/BH+0SBI4SCR&#10;mFlbQOiR0JXj9kh/4bfuv3hW6oEW5EsvqJWAMXjUV3T1UrFQA9bJLEilPc4IHKrAic3c/9kS+U21&#10;sxhRoaH1Oxw8VBDTdZePh6dCFIR8/bAvEx1vSv+9r21NJBDvcqW0pETbTkodhGjCu/f7lmLlU99H&#10;lHT84XwR6qIhUWDB6YHS/H3PGPTF5+QYDETcnl38arv15tfw0+jip6ak2G1/5VGB/SqDLKvnbsiK&#10;Vu06cCcXdfsDOvxgVzdEKMw1lgLbUI4X0K1d5Bfmp6/RIt6iGeVZ71aYft5UgqogfCgJ0una6hgq&#10;ArPtFGweY5zB6vjrVWZWfu12bVfZ94vgnh/YYcpd/QZzh03GnMggunUD1yqhaF3NyHdpY2J4kge8&#10;9APnWb0ZbdSFQEV8gziv+LIZCVQTUaqe9KPDdxBmk0yrlXSGRPu+UbQFLrC2oW2OaXA+V8j7hPke&#10;hvAp99YWFBQV6eElkbnETm/tbQ6zAZwWE0iq34lZPa5tg1WP0CIfpb2C5bSOs5c35donvfy/M74p&#10;mKX0zg95H8EqnaKKNhxI7fywA3fgwqB0SC5JcdkGoR12e1ku+davbwMpnQkXpSA0Daq9JfuWppCP&#10;Co2IHLqtQDeA/zzqXIY+qG6SIww27UXxFUFtAuj3P9ATbOqKSEXaFicjbODiWYFyb2xKL7lEkEqN&#10;a32KS0tXgcCpFMHQ7fauPyvEn74yS0lN1SLF7XQFCnZI1I/fr0/pBxF3xa7c/8/J+SXkPRRbI3Z2&#10;0VzCSj9BueJkNw8OA0g2slE44C68e9m55CFBm1gOibyPoi0VatVfvwptx+CteYQrgBwe/adDOnPG&#10;Ox+lC+YM2DmUmxFgjbsZJX9pLa2QO6HJke8sHfZff1Sp2wg/WackPCrLYB8Qcxi7jg62IGTgrEOR&#10;JYxLFOB7H7sdhcKcrpw8vPxx2Nv4+U/KPh37f0oXxRMSGbLqfsHRYZCTrX0VomQdHJaxnyUP5h6D&#10;ZQO4DL6THei72UMy4vNJnkuhE38Zg0HQzZeCbpgQNmPPypyvuGqgD5uSOIPhfP582DEOqKAPWZe6&#10;o20Z4hULDedAVYVvTSJxBDg03MNMYflP1HmCJ4iewbhpO/+VtJk4whcEGYzpO+xVX1F+/iEGDaUe&#10;WlY5lTbtRfu/1n1gLRQgsUskN5b4/lejujMxKKyPTTQsKKy9LGRgnmQsf0b4zzewtAjuaJFC5bPA&#10;4dEfW5AyMJAkJon/+m90J+vdwrqQ5EiAFEN40IZdZQ+vXi0CxUtcmVlN4XTXKLX9k1aKE2Q54tbJ&#10;St+E11IBV9gTu3TDOZX/tS1rLRMQu75eUrUsQ1CpNmSD+fThdTif0JWZjNdEc5/gAMdle9DazBnV&#10;/hXmi/BIr6AeFgTdmNCrS7th2Imh23FHYHT+wEWi7R+QsURdH2DIINmVHPiE+R8lRw7Ho1QL57hV&#10;K+PYE7YKtz+kkNpzFmSeliDZ61WNl0yFHLdQP2+ITsdQSNtx6bUp1/L/y2iIAtZSAu7W3DO388Pq&#10;D9/B5uutTyvHYTxr5kwJNFpq6qhtR9lwupk7/z58Bw9Xzm106xFQlgoGBhMGID0X0R5Mxnpvgi4I&#10;Hxaj07cCd77B64NInR+039o0fZa99ShxP1uy0Kf8SdzTpxw8KbVOSWKhDTnedGSjzoZ45K21x0lw&#10;qTeTkvryPuR4g0//fz5ohujm85v2tuUtLmt2KF4hrJRBt2/DelGoZN3foaxGKZMOQmspLgpYk4dZ&#10;JdU+ANwW3qHl+XPfpr0ywpQ8/Qx3IvrXS9glEJVXdzX/To48P4dzrejDFnTSfFI8n+aIhr6H3XDJ&#10;9zYlr9CZc3KjJaS8mOORf7SVwTBEQDfLq+0opfJEpKaLZNmvvLjUk0b9sdb/aeJQU8HbPffVMPLs&#10;pdExEhJnuGWHnZ5PMtqyU5BHGeG1/nBwisQDD49jpOAaMcHHASO5AR8nK4qq9DdCPehpF874pu8T&#10;oDWH06F85cGiSwdiHPdfN2P1YCE7rCA/fwXP6D7UwZ4hIbVuB4TX5r61JNUBOxqd4WEuLDGahspg&#10;QE7kIz9dXji/EB+XG46XqFz3nxuk1hKmvNW8PgXBYTtWc+GpZmCZNZHIK32T0inETfCiRSFbAGDJ&#10;BqFeHNPXcc3gpvsWyw92mztfaEn5QtgyXC6F65aXlFSxsrCcwrMu+RA0ofhPaQF9+7Ju7HRATjdu&#10;z8C5LIN2mSgzlGIWKSFBQRJa8vJRJhAlOUppRDHonI1e08t8cGkzwtHfnl/9nxay4bNy0fSH7CwL&#10;EMc1QcDS/2lcHZou17dOAHpP+IlffnqJ67ozjvL18Di9pG7XDtcsqKEw/h70HbPSBZVUNWdc6dAV&#10;/8+nDAbAp8dgyEDtpuzQd/7CRdLinD0dGmw2AAriCQnpkZM1p8tQkW6gvqyo8y+ZTkjcQsFWRXEe&#10;SyDgB6Gi863mH/sudtWN2hNblIpPFddiMs+9UDwyc2dMLe2cw/CEcPXVl4LvGO0k2OvoUBzysX+n&#10;yaaSf2p7mAH34rN+gtTllPle9eQnjLxOXfHgia6nZrdH/k5ttoiR3rFD6YxG1LHpksJQ8UxfiaUE&#10;tGmk4g5EOno3NUTXmjkHLoqZ+YJij0vzFg5HxOx0lwWG217GefAdkwK6umjq6mzFQq/HIoBx3eov&#10;qUp3pG/qomr7pvYBJH8SLmW72xx36Ezg+uH5uymW/59KnVo2CMh6z9zmgOd3aBkjTE0djfmlhUZf&#10;zYfix6JrMRjwLuZDrEIYwJ7xukSxUOAg27rOaonleD/ffOg1v+Fd6saiD/GLQlXjAIGgbhcJXncz&#10;hpssWf65pJ61IIl2BYgCR/iG2fFouC7+49mW3XjADPPw8lczPuB0Nzjb5vDw6vSp1dui9gEdabWB&#10;7lmz5bhbuHDG22r4nIU/FzaHDwtXAr1bM/2H4hizvsuVjimWZwrf28/Eexd5p1ItqlNGphJAJSIU&#10;2fK6fZlSzh+XAM6VzcpggKPoLMAiX45xJ27eI2v+qRy7sxCzsRshutrIlE0DCToXy3QDIR1dZRCk&#10;PpmPy0c65Uc8yqgPp/AR8f4P3hFHYSOgpPriR9mWBjau7WeOLcRBorjjUVYUwQ9SqOA05nBam1WP&#10;PqnNt7sLCFYyB1bWp48sYsRzvKH8/2Bes9wuNr7n3ntyT2NfY/m33xFUwPa5xK83e/qTzfT0hw8h&#10;yxcan60gOrJJZ+7uN+dChxq4rneYZew33N/quwCqXpRRE9M1InVS15qBnZsAetMDiyYBkFIgZRre&#10;1cVEsxNwGp/H/a6mpRXoiv/J2HHhwHuG8xATHvt+P38uEgxQ6Q0KGpYyW2YFDEL4IEuQIWaYwN52&#10;eCi+GSgrsg7xKkI/E4RJ+N+yAnhFDxGVHbxF9yx6RtWD15pRSxxrRiXlgdymNHIuXmuGAvtZKmGL&#10;ZGaUlZE5wFzghovT+z/cIvQhGaEd6Ax1Sg/z39lOalTye4/Tl3y6fVwXN8NeHMDFgR30jz5Jo+Me&#10;q8lGR1A6RWLoQWr7BAVrT/EkLjxXkk1D4dwrDRBRT9GWFLBnITVEublCAjXX0sZuSWHhg6UYaZYM&#10;qUYb7XkoqnULQKCfYsJDXY0kA1s0sOtC9j08l2Yzuzn4jU3awu9yI52Me7VdGuCnZDdqqzbecj84&#10;FBiyX58KQCoEaeWCwz54vlpoMuvIe0tokF3W/Nv0HIh7Rjg4DE0BH+5+SHwqDslQYD8VAxS5GKix&#10;CdlP3foHnHZhRvdhm1ueJI5CM7vqGwtpW8loJAwVbU1I+XzsfqTxvoFstQf//KXsad948HYQPaMY&#10;nLiFAnlGYIcSyC26hOC0eEDod7GShsvevePP3jiqgdUyjIElNwB5+N0j7zIJi5SUCnx6XsC4XCsf&#10;e7gYBL5T3vlw8CznYfQmDRyYBdtNlWVrGQxLcqKDp8wpKiioBQPrYG8uA3cF7BBD3fWSsSh/9qOv&#10;G1Vm44CHVgbP+BfpSrdu3fqVBSGvxdUkNULj0eboaMmk6MiMjLEuZsjB+p+8yX3UT6EGjm12aGre&#10;A1U4jB54EW++e9GGGcuuzca1M+E43uPdA/zuTY2gqHfTQmBY7UO5q7s4sQV1YdZTgA1LH1mRa6Vn&#10;vRMEcHY4PmEhE9MhcH1ywGnIYF2bygIZPfKBehNBb9Y29iEoANY/h6O6ugW/4HI35yAxKabc3dwB&#10;wcUiB1u8ogU4QMKnOfMsTu6ZlVqz16AbvNx06fUmGCKgIAyG5bEhiORfMFD7NJl0niLX0ojsXHho&#10;D0zxr3VfSj7K8xmHlbyg4hsgj51R49J1ZHOFXmBHDhIehwlE6yv5lqQArfpCSVsso230v6xOHfAB&#10;JcUnZ9KcnZu3K/N3KbNWrurQSuEFDb3F198/jV7hOoLw6ehxStp6QX7wHOQEa4KDg//aWFv3nLuq&#10;BEbvannYjoFJNOJ+QB2uiKDin5q0h37aDheiHOz9sYi/tUZK8+1SrmBoSX7B/4Fvp6cBGu88NiY7&#10;lGl7zPzAGK1A4k0g0rQ+/QHi7oS0bQPwrjguiAxHB5hGTDsmQpmSN8wanBWTXRg5+7EV/ffA5FAb&#10;3l7BSiJOJqDWAy5cuTMX5Xniyn4FY4guqejwwyVBrh8cX4NxCd9mutusNI0FdCY8l/GaxOs//h65&#10;mSmE6TfzFZgQZBQ7Z3Ln9TdhOVdFG6uwxed+b/1z9/Zz8Yd6o6NDT6ug0onAMK/pGvb4dZN9aZpg&#10;Ae0hgiBF0T0QyyWcV2tOcYD0Qse62ndjlj+iscyvw0b5AMJWj5VQKIrmRrb0CskMsUS80sIFEWyQ&#10;ccjdpya18tbNyV9oZLx/4C5hYnyYf+eWcyK6+ovMF+mbMhjyAB/DqYWV4eZ5ukCOCEokkK3k23f3&#10;N1f5UPHdI6vKzYfRv18gDyL5juES7Zz3vXyBHKiikUtJb+HbDf8EQHMA4lZ3ssddunku3KHwcARE&#10;kC19Sb3AeZcyGBAuTH77azfeWHDXnDVxbyuQ12tNLca4v/ABBXOWeu6Jn/wuP2ozP2T/eqYp0VAo&#10;OxbOYbwm4TXp1oFc7D+u9f1qkg/LDeU8TAtfq6s1XPzunQiMUtYYb6Rqhd+03nmXoIDASiEsh2fg&#10;mFERGy5L/JhDoMR1W+qHYQaK7BNQJlidwYDUdPQ4gvZHxt39cl/dvZ15FbLC52pjeQeBG3gNUsPS&#10;lW81Z9mDr5vwIXnGiyypEL813aS5BzEhbQUqSXPtSHK6zGV4kuNgIcP2ciT9VwYjTNREedmrZ5J4&#10;yJLrbhdrEsYJzI7wczxlOiI3wpkEADMcSUl1J3Dqfaqrk6IIsHeW/bpZCTyDmy+X8S2rylXqvHXj&#10;voEi7n0KSYZcf3cFDAYQqqhfbDKBCdcAQG+F2u7dMd8AIYqTkba6tnbEY0kP+AMowybJJZBDBBoC&#10;T7YSiaZti2RIFhK/34Paazc6qkYIMj+n+JBnrxYUxiSSGFYgyUCTdJbJe8sx+Sk9GBybBeyhsTeO&#10;c16/cSOV93Zx+N6WKzi1vT0+Pn3Ph8f59Gku3M6ZbiSbQTmyafpQzzxAimnc2WcAHQeROYD0k8xP&#10;0+lMJ2MChtpZuYNnmo7ReO4Dd+mqu1jvZNvqB0t2nMTs8c0Uq0NuGiZIcMBp8BMTueRpOh1QUHpz&#10;YAlbWVsv9/fze9k7moYhbHg7UzNS0EwjaGhUfN06k2h4D9bmFl2U58lUJjCHvHJglt1oSsIg0aek&#10;JyE5ynVb4FFnSctHRzuphAAGPaN/J/3HdVvyQsENJAlo9kEA5DFLMTThEqS4DdD7zBMvBH/YD8Fc&#10;IjjHRblQP48TnHGOrBL4rsevX2I2BuwvewvZY2wQ5hojROI55F0xtDhze+J4pHafguUkt8gTn5OR&#10;W9N3azShIoI2RG3KDhLyEKlGmpr53+XmXZh20CfKNVZW8oqgGDhBGBQ5t7G1QZMdRLiIZST43Ehg&#10;DzOZJ2XUe378YJvB8ESMzWdmhd8QXt2iv46a1RUazbgsdzAYDNAd2QsUmJABJyGvqztSSuQecgM3&#10;N9siEBhLKh3faQIwPyixHQTx42c6wHWu4C5X1GRAJTxha3D/Syq4/LuxGXG9C/7d01j/vQ0Z4sF9&#10;XwncQP8CiXEWr9cxisgA9oTnpraiBQm0weDQCInl9fqGrjAUJBEgCmnOFhzv4hx5IpmYM7cV9TYJ&#10;MZEpRCoYH1FStutAUFALGh4Ub+ghqohRESE6rOmthvguJlqEIliEZgSOTW95XCYbVnhIZuuiAeCd&#10;IMrlcBM7KlrmSROJ8PDwvLu9FDeCXgp5QDilf81CVU8f9UgqInGdwCnCqO8HLd49zBpY7Kp8R52S&#10;OXD6az3VDsdjsAb35P4FKNQ7Lg6EsmA7gsOvIcgY8xQ7EzPXlaWia+ZhqCru0kQKTdt2ZETHpVAO&#10;08+mTq1WARYmxSZTSLSnNI5iDCVNw9oAoUkdWKd6yuonRCb0iBsFBq1CpBHf7LlzrbkQmD2G4lhn&#10;UR6PXQOaRD9YwldiGp5ZICnEiYp/mpxGUgJCOVEANa7HPgtDmgMv6rVyrqtIasBYlL/DB7nI3z/l&#10;xjPObYRHHAXn5kv8L2gf30fszFFyJiX7QDeNaYCPD5Ezni7Ftlm7t5NWjxQrvLf2DAL8uYaCZukx&#10;dpVHH1VR6INY+wKJ57QeOsFdkgw7zOBtId6M3YpCeRbDMy3tLwsTb+F5uKuVPkFBkANhBaXkDpGX&#10;F+t4XZxmZ662AYSWtQhe6cd/3Q1O68XsKa4BVYd/9eYgZ0eBiOqSkcsGG+w3mD33shbIwgZwxT4n&#10;yTXmdp03Nzd3bEGjvTukhbK0kOoYIokgJ3ke993D2X7+nxwv/7Fcu2u4PGI/enRUrFLjMD0V0fnK&#10;nifijGGhrky8SJIOWzWcITzAD1EPhI0zGZ6AwOwuMV+Ec2LhorwOVLlZJek2txGmivuBj4zwZKMW&#10;6anPV1OfZuPwd6LoqcayeAr7822K67pQBE/1QQxmEoKPubS33XuwiQVTkf65kva46WC57hr2r0Un&#10;/H7t7eJPyBP/yaxw5ve3XeBMGtJsIoVNZAyrlgmbXgt+MIjo8jecaTjkngHsod/CxEsn7ZZl1wbl&#10;YvlD5KYQC7yalAd0Tp2CVaqwhVz7tKpTU89R0zXB7dK+mr26OrXP7tHS7Ev2mk941mrNjvmyquBK&#10;tqNJzRHj60nBnBZd+cvU1S95trK77FKSnzMnPorp4uASjd6RyYoxp/BFJYtKFBvKj+am6ouPlXW5&#10;cB0rzzCP3Lh5c2lVRcVzedxdVV+/TiY9aWcZdvA0ZmXsVG6dz9jPwS8x47ocWyiu79XtXV3je3R0&#10;0k7gIGiZf5EHljH/Yoc7YKQdIAFPOJOhv+vIkS9HhII3d3yK+8he63c2YP01+JNMZu+6CXQiIurZ&#10;M4PPuNrYRkvWz0kVy8SZWwsLni6SCmpR8fAl26I5i7j2NTK1FrtmHvy4rdjp0ksbOzzXyifNZ3DH&#10;9M/2fLiQLZRRyO3zHqtmaSmCkhNiYjRKjok8gIz8AFLvtG9Lgtjc0wSzhu+bY3tQayfDdDLYWoCY&#10;jadIG9p5TITz8OrV4QGo/46W+iIfqwwoXMGy2bsQv4tZBgGvsrbjY0OZNT40+VIOgzlrDWGf3D6j&#10;gC+K6ZDlzNdF8pdws53eirk5QfDD6NxaXyyydeuW5r7zM51s0alsA8fFvl5VDOKyzWi9T/8osM3Q&#10;vw9hzXzVgEVANlY6qXDwejFfesMDaVOQryjfsGvOa7yBQ4ZcmKSDj72Q1wtTQvKhPLmRXLMA2zPK&#10;8aIx6+yZ23weHN5kAhFJEbCR60C6U/qwicPRRicfllhisg+Zt7YH4RIbgBBI+9HDh1KwFtkuDfp5&#10;QoXpPsQQiTnOQ6dfA5RzR4qyyEpksorWHnDwYq5D3fEJolm/h4YbERhC/vD9EkK4kDrSmtz1PqPy&#10;vw15zxx4VSoV7t8caDWbgSMjZ3ec8yn2k5mvrewZLUvTKgFcOi3n9UKkj6TfelVj2BBesSgM43Dc&#10;3dF3Z1YF3LsehcNNQUFsydp3YO8wYVE4/zleN7TDFv9+Jza2y70S5+AOBEBiSpgzHx7bb/Cqsudl&#10;DDEQddd9KMIz/1mX9R2M36ICBxknM7Egjo33VarAKdu0V1aIbcEOUNWS+BOCqVcDBGbDr8C2i/2i&#10;vZpaiZ4sDDsaEeyx8WnO+CZ2srLZHrrqJctf4DAcxW0ZAlNC6fviYtGYZiS7XF3r9fzaNdWE/z/7&#10;ACxgXPJqCmJU1nQcRmE8DrVbSWNDQ0+pxBLUNHEajd8haPkNja2biZXVRPLz5xWeazYu99WFXyzj&#10;3fczXphi0aVwLlfOYzJrgyw9LOQNXMVumkIaDvOTMVl4ZfUkPNAprcJU5gqe2Z9WYQt+M3m9ajUt&#10;gTZoVdU/xzS8e/eYB+/oMdzEadhSDrC5pqzFrXDkJS9S97PxS1LvoPWKgzyJg+kiDwJ+6ldwcrJV&#10;thzZErQexdSn0tLN91FnmOcbi26WkHipglLfqKIF4fNUqGPCmAbNj1TxLjD+Q//fycWlKfB9PTIQ&#10;cx88+GG0ZHpm2ZPIqF1Q/W/zSddP2PO1BQVtHKYYuQoxM52HdvUabt/a/mYYLZMB8t2ePXNGOc6X&#10;kNu3NTKztuMdBICjMmRecFkf0Rv6kOoiN2rY1b379YVZ/gjxh/bXwQlAXLmAxzmqJJ+oHbK8KB+V&#10;+AQRAdu8mKXs2vZxO5ULH3l+rBEHgcHY4E+7UYCT2VBjSe02pFvXDDdgjjmkESaoEOu34HeGZ6WD&#10;ulnUANvlHRz7+q4DbTdGwMi+fR524A+OnlFh3eQTgWlpjq5WVoJygCAUDDe+2rPe+Pb6kcS+6Q/x&#10;SNONmxurHteRyXWQv8ZXv0oybdi48VVVpDTUufxezBE4OJbHaZYwLVmyUyntxYObqdEPtghC4S3i&#10;s2ajhZJqd7ge9KtrnblMlU6Zm/99gaEJwSWXvr72ElUG65MJrDkQw5NstGT9X6fN6qqd7emv7jRT&#10;/uMcn/3YZ4sVEDFYAKo+ESfAItHCDkAlOzHg5QskJGrGSXcviyqjr76XvF8Wbzb19vSP3sHl95t+&#10;G6dHg6WirnrAetVFCDhi2sV8AknlRtflrCWcx4eTZgW2o0CRiP6rIn58PKHW++xqLNx3h4dkZjYt&#10;mT70HsvMiPo5s4DPs++qMYXjq2GnWaHUSjA/ceLL3bt3f2yz+Sqz+7OPmLj4R2Ujo9x3qAwm0LC2&#10;oc7xx+DMBabP+H8WsSOV6OjYyEjjj4GRbdj6qOZdIYhev3//ex8cAKkBssrXLgoIYXQEJmImyGq5&#10;Qrm68YLBhv+cvJJSOHnZ8KPGTXHTUO9wGd6cBrQDrUaZ9nG+YF9EZT8UFra1Qh8zFxLGoWh0itmY&#10;75gNUMAx6eVLdyV/CBuE/a5dm2+JUbyrbWx6vRDImYeoniW2jo65Kv4tAyOpUKy+gSReVW78dx5N&#10;iczGN5n6BH2W3eB2jEjagUrkGP7kK7xKKR0Id7eh8rfCFfa+6uPH8Jy6fHQOh1g5tjLh7Fb+iMBe&#10;P6kdO2I5li9fuYR75/iZp9rPqn4UQOP08zRmrAQihD+GluPo96vcCaW+4DYOrAaUcB7D3e5DT4BU&#10;vJNeWeQqCgPqOIUpBtHmYFQlkZe0v78Zc3nUcJPlvED+DfWf/dku01EdK3n4JXbxHIo5BUJYDpWM&#10;dG19vVwt+r1htD7n7nDQ2AWaKGYQHhZWhfndLqQg885KR3L3bKCONxzPnDkPHVnnOEaxlN/mCMY/&#10;ZsHWbIRe2Qh9yctaXCQSJb4u2EK10HFJUjj9s4SEz3eRTrvmelJVzUJcXP98hnU/cYJYLRc8+oIP&#10;e2otzrdHsO4IY5j3GdxfwRKD6QgAKkcxcHnid97SGtZly2RgyrQhuXAiDqOMjy1YVKHYQr+9YCv9&#10;iMyBXoRMRmBDv8kE5DwUXcTOwfFr3ty5hQjg1i4sKBhBfeLyEb4yc/omMUXgVvovXboUA+h0Kx70&#10;J1MIwRaCy1aIlHFq/j1kNocutFlxzh/5K+wvzOWd3mgyaxIfguX/y7+5BI14LTDNO1WvyiBoDkXp&#10;mHPf8VnpLzFoJSosoaIVyLYwMAzeUZ16IC2azbcgng62qJUXRCaPGV1jfguc48InE2A2i1WYjnco&#10;z2ObsdKL8c3kmOn0lY7Bw3etlU5ZWIzJ4FQGwFLtBDRknsXp08Po9R6hKLaHvHImIvgWsoweO6WL&#10;tw/2LfcdSv2vuF6XYgRo/nfYYS/xb95bUhVQ2rpg1qxZJjDNncPHzv4J/i4cFYz4rWQ6hjCCPRkt&#10;FEdIeLhVEjbPCELs8+BPGrJDvvwihd4tgnSBw8/fv+1q3q1f7tQbRDnvqa4WwoMJpBNocygWiP6W&#10;3hHo294rMB2HIemEF/Nke6THaLGvNHx6r//aLmVWOI/bRPxHQSOmMPhjaMnR1NOBPsxv8bImDAz1&#10;kd6JWVRm0GAJGvJ4vaMCcb3qsmTb6SpLhXuGD2NzKG7558nzZ15YqYQ2X7d/DbXQyyFo8kIaXg0U&#10;oUqDv2qEDxs24LY4uAiRUSeAi63CjhwG52dzmwOpGBySqEn2Q3CPLx1viOLQ+kLWdrgri2C7vEvB&#10;WQoqKo9wOVlu2cVcsZi+qdGRf64YgRIdkDyvD30doKsaUYM/7j96pEM+3RwA3gn9zXSfhMm6vAxG&#10;UadqbBxdA6da5jtfSIiS61AucaK6BN+75RdVqMEcOkePPnmF1Z0B+EQLhqBMKnKfdW0DCsL82HpX&#10;Er5lzhMQqSNMvFvRMe3HmXh6sB0r2AyI+Mrvzc0Bzn97DIThA6yKiorqAGvgv+AjnRn4t5MISApA&#10;l3MQKUyDeJDe+MQvHhRRqTtv3jyV+ZcVeqhEAcGRMF0dwlO2VPbA2lvPMQratQtWkM8ATHpFQXCs&#10;yx3vL8WctbvyzlyFdzG1+bjFrT35k8kpM/FkmvyjvszGA9LCV9jGlG2RvgI2ESNOE2AD0DOnXrp4&#10;MVoXZQXVI9jZK+j0RIFUSC9007Jr25l4wfdthxpo6hGqIRH6bXj5ITC7XFg099KiRYuuQ4FWodBh&#10;cHw70IwJesjor1fBhBiAu6lvF5BvGwSEHEBMe+H1klNQ1P8S0k+vsEKXp0Hj0+Ebt8kCakxjni9D&#10;fZQa3YzQMbEBHJcOyQXCZExku/lE8sbM/RwnmWeKTFbwsK1c6czG6wXVbuqRtbdEXIY6zwVhwFoi&#10;Amxnye6UkXHlV2CC+Mppo2pAPlDhPzxev1ElK/y0xeL/mW+clI/zfodgIMKXG91/AyRpq2yBhO1H&#10;PCSPP79/v3VEQyOPkrCoHsDUL21nTHPzW9GYOAFwxWDFoiuob7cWVVayrPTydJ61WOH/Kmnvf6Ej&#10;9+ri1VJbw3iYkiF324hiGV/1dusNOIXf1P2d0ynqxQyCpU/AydYDGYqaXsw9GJg534sZmdfDTf1S&#10;JchVucisQBxfO65ShFx/S0YZU1oISV0RksaZ6lMtHJEd/upTQUHr8TNnzqy3j5nlwyjgY7heL2Fl&#10;3BPCjc/pwS8Bi45M/MOHV2xMTG6rPrP/vE0Zz8rN1bWHx+sMjBTWqrGHr0w3SwjG5VJh+g6aLxex&#10;Cd9rhu7JTQx+hHbi88ePmzF/oSpxM5msble82t1hAYDT6lvHOnl1rClP/wuyodgGlXdwv8CrU389&#10;77s3Wl8ZqHuGWguwW3TpgIvAf8WD7CQr8wbhBNRMwhjUewn/FWl203fujwI65HEPcr02TloPXTBG&#10;hHwdCuLYGLg3BJvqpxrz7E0oS3FT9sSPV9PWY+LFWrggf4MSXBHvc1MDkuwRtLELUMa+ZIKzDN33&#10;Fmd9sERmdDjuYu7ANZe9J+DE7DlzlJCUeaqiBaWzCzQdG8GJ7KNHDhplAYjNGJB4Fgr+eZysyP75&#10;4tL7VdYfw8vuozfdBJ/nDoHyAVdMp9uMS6reBWm/4vioa0jxvBr9yNmFxih2Z1ZrPDE8Ouee0JlV&#10;q18P51kNBgnq7cR0jKcHVFVP3RBVhuCO+wbzW5AsXxQK9sYeVoZ1iu128R39rPNJCws5CwoLHUxE&#10;OKvwrfaMdg8ivNMKb4davHzOGKC/L9AsPLVG9WN1Qf51bDMuyr+szk13UYICtQkCHTkH1Xc5TlT7&#10;uHRwqot2MZEerPstZwxKIQOIwc31hXSO4craVz3A5CpNPeAwZ+BGxlYDvFKRyUOWa71+I95n7GNk&#10;KPKwAHZQjL8tp8kLuNrY9/ixbzA9NYIEDaE8zhj8+j55pu/QCllFFakHBYFJHPFdr9pMz5rp4nAw&#10;/d5aJDcNoLqFG7bjTUvfaWn7jjMG/GxnH6cDYJXGdPv7GMnz8v9nvyY12nG3yw5/tho1/0JLCb0X&#10;oMU3MPESlCTyDz4BX1kvng77Zu0tx1Nqo7GNxw9imZsa2QHry+X1+k3dNAxPgdBlNyYSvnCjHmDG&#10;8N/NIdLvy8rO0u3CzsbGWVII50f4xbm88izTC3vkZCIb3qSbIGjOvy+6TDBbYBnyYHCC3ssCrc3e&#10;09OjilP0rsAv9QPMs7/i8/3AoI7PdAwvQPJHPBWkx8VCDtfWjGNQgwfhJ2MIh1n+E5UIFsocGFmq&#10;3xXegESiCW+2AV9INBAbAqFIWYtQLJi2AEN4cL9myWiOpp5eqca5JTwVHqpoJw+HyMjKsqIr2FPt&#10;5Km5OelI2XLfAksMbzmypW1P7OGHWduvKb5ddk0x7K+tJSYb1iigYygck/tzRCBQbNPGtbrHr1+j&#10;FqyOc5LjFX+F4zNaT0pMvHy35xtpyvPMLuDbc9lYhPMHAIdXAevnR+bxxSPX7pwX89Ek4wLh5HJ1&#10;7TuA2aUQWnZvqKNyHUdm7IYN4199xNAQVuP8MAdk31EpKPjzKFV3qDXsDUEerF1ydV203tGqVNwu&#10;IfiBXLJg6YcAHSWaCgpuQsvzUy328PD1i53P8NGGUNDEvnmynWnQ8EmO/9KtBjvTzMXpnldgksNZ&#10;YlidMdNoqfMlKNqvKh/yL02JhkO/e6biL65HRxCoKOxtpqSKvq0IH1TzqnRjVUBO7m0UT1IN+FFx&#10;6T9+nNDhu70JNd0mLWqO5i675kVC9x1Qdnb3R1yVDX3913v6DI3cLIHchDBmhWHUKDGa4Zt/D0X5&#10;7EcBYg98zNvf/28hZwwKzAnvE/H8qgHr+dVKcfnmcJrYQ5t2bH2RT0DyiwbcOWzX5Y7sR17fSMCR&#10;LWbqtndiW3GH1BwagaHxTmZ6ugyW36eoZvxp3H2r+VQDkK0r8iI52bmgfcACMsuIJ85rLthcgpko&#10;M8rxT3xeq+zSAr7fstEEpJW2++xHpwozskCwQfjMe8s1k9BHflD9DyRyw9ub890JsQ2AGG7cSo1G&#10;NP73V2jHTgGkAYwyF3HtOk4Aa94dVd+7fpkZ9epYQ33UeP1XP4jV8y8atB3vIJ6QHDRp6uCjblgm&#10;4P2Or8A1nGiY/a6paWquf9HTxUxM6bMbO+Td7vu1YnKrk5pT+e6k+a7+0/1nf4Yxq8n1TIdu5/uo&#10;P5f+81BdYuA4qFBCLuW94hM+GPJehWiP1B83ij98kCB5YCmua7TUThCAiwZy6CAYAyzllBeue/hM&#10;nxzW0NAr9mVdcJnLw2Nq1aK5u0tOiBXgA3XzCxM2UxG1i+WT1RSdgjNs7OVZ4ANY9TAx0Wi9iyvH&#10;HDa8bCZL53lxmsjj6MNtaYm0hmcJnfryRkYoWxMHh4Z8AdmVAvaIQ8Ebm7Ud7J8rnOJc2GIwpZRJ&#10;iIkJ3ORAxaIFp+hfTdRl2Lq+eKXJAA23c6ljl6y5ub644tOneHv0Y2uF/XiYGtBd1DPx5reevYwo&#10;8qV3srUr/sbhdHBGI5xfuqZpzky3csCFDw6P4N9vry/GWIr+Q+eEohI3A9VEdPB4eGiohQTMFLNI&#10;FwG8PGyzsANahFDUEL07UcFnI0AtAuugkV/YOu/K4gFACau34/dPgK1Yjgchs77X/hKdTrXwAF4H&#10;3RnJdk2xAYSi0oLLCgmWhK5IIXlg6q+np2cp6P1WyIEwv3ZPD4saz814qheRXRru6uraLMfha3pA&#10;n3Hh3gvN7BcLthoQtnUfV4VopM8mFA04lfF3CR06l/O65kLmjTVcXK4LeL0I4AnHm4FReCOALVOb&#10;jSVH1UuOHj2Mdfhf/88WlKUEpENKANF+4sQ5CpQR+lI9THdMv7HENQi+cgfca/T/4jbzrV1rzOOc&#10;+0yxemSmvMn96c1Bx37KkS1JliZXt9B1+Ppl8k8FudGTiBQcezwTWuy9jdXV2xDo/+q61CQlBU8C&#10;z7BXK8XErj+cJnciInr4AffgJJH5MoD64Ieu+uGgoGl8W1QZIpGVkEEshWZFjQp9tQJcfag/Mp5E&#10;qHzLLYcdJoh59i5IRE7VsA9QA45PmvmHd5a8hiJh8sF0UjDxAr7an3uwANOBm28CJT1u8H7t67TF&#10;WpZ45jvZmWbrj9phXyWLAZtGyqjLKOxGHJ1NKI2kBtNxjzdSTSEpJlbigTnaKSDPQNDGjKNtUXMO&#10;k+f5Bh1pA5UJB/bs+X2SSgXwi510+jmHaQqYwlATiVO+CtSPI/yE107gn8Gy2Ae+byoqal8Sbzkz&#10;cjfui7o0G+4aJIJ9OliwGO17OiJy1LTaFzJuXJs+IglE9XZgdjTAM83LTTA542nD/eQLObuGMyen&#10;0FGgjk5RUFN7Gp+wezKueh9QogXLfYemnoYlIwJXAoVkKTikxw8Sz5YcBgjzE/SEd1FLdZXODtML&#10;1vZROw89baXBSH0atoAiE3FvuGpOv+CZixWiEvnwdS/SjVNYVDTmKvAB508b/Wv4TrfMXuHc8eTo&#10;pP5Z2xIAST7LKpoYH29GjrcGNKDbYHg9C1n7ZNw/7WS41LnMw5C9/GxrC+r69ctFz1AfN1b/XODP&#10;yH6PPQ75SzVgl4/9zWjuN0PMlbybh/k3yIHSr00X511g+0wHJoxVrj/vipr8OYghseWZzShr96ek&#10;pAh2fpQHvropLrNuzj0JghAIVtaoCbFjQ8cMRq3J9+Tny/IfeTBoaA6vF2KU0tW+Dtxhj01MtOEK&#10;SHrxYDdWnW0yYHcoFRo50XgAEp5RjF+AtsZBC6/X4ezZvYHmp1RZIOb4+e3bzYROp9mToQ25Hk03&#10;yttrhkdHvwY08q0tpWpunZdIa/QcRtNCgt/rDgV5AYZ4Oawff4j/xwtYFv3w+/HqEp89sZuXswgy&#10;wCUdbpcqsL+OVkTGxPOrXOe03cPPloyS53yg9SnVXYBKriluKakSQzt4k6BRknRv8zbDL+mq3wsJ&#10;aYWSPOQd9jXSCU6eRv0FwKvrBlV5vX2Y9mQCPMwSbusanBfbJvXHCY4CAfWm3ecw4+Rpui1OIR+/&#10;4wLzWxSJ3Ecih/EOVkLzlyUhKVmeUC5s8y13aaq5BrFexcWbbpye7TL8+74vJiOBZ69pBLqyppCT&#10;HYDdoaAgzTRrtG8h8ewbUA2cXYw18NEBp/G+tOgHekcPJ+y6E8qMi2v/vn2Dr4dN1ErprngzbJCn&#10;QkX5LuYHyNSaLk5teJmZ0nNyctKwpN6jGW7sFC/EzDQz6qSeSjkyTlpqRjAqXrDgKlrjryONruXG&#10;0OqYd1ab8Em1LIWOvjjJXs0UFBlpw6+nebjCtwJ7ePXSpf6KzuqqSPK0OsB+H/vpSrLSBiVd3RCJ&#10;1qsRsFuIQ19pMBgdcNHQi2/DhgzCt+HFfQUWzHMur+eSibvPRt1vLb+maEk/EXiJnGa4HGOrBL3h&#10;Uf4Bqwj33y9RdsSNrmS03neJwaPGiBMmPV3d7OazGRfp0ilexQo3xUXmt1Q0MN33aBR6lA6vkzQK&#10;NqpCNvQ67JCdBzwE1+xHyX7rYA0Elq7CIFwz+GbAglHmRh6SJkHxvZ7aHbA+CdcIcBAqkJs6pQ9U&#10;vpJhVNw5RAC4OZShqwCW/daYt7q0JdjIXdeP+S21KkD0G9yQQ5Gw9pb3s85fM9guGVqi6NgOwBVt&#10;CBKR0zxO6+PSMGZRSAfE3L6TXeWZppS0tNy4ZgOwsPb7jvNetENGKJX7etsQ59f/aAG4pB22ACEA&#10;GLMZV9a272hYcaA1t7Rkt78PTUMu8egGBaa/v2p6uZX8Ttc/P56XNdpjNM/z4RU62XZS82ksFhKA&#10;5j9M+0ewuGqA4okTJ/bAmC8KBlDgn8Z4jbSDJSH3zrg3/Z4kLh6WGTRGqbkVx9qI5rovQC9ceL32&#10;YJ3X9G8R3AR8D5WD5fqiqoCL+E0obHx/HDl6+NDmUDBmoOml4i3dI1HAK0NMOKabYmaFwS7lykzH&#10;JUIFO2tT2jMwhy/Jx7Lv/oGdvwcGXo1k3N7BiNqkcOx67rDtXtzLkxgxekpucrjlD1GFhgg3K/fx&#10;SwSujjGsDqibf3iCaPuLmYMVVZ8/C/3t67vmCJzaClMqCmverXqQhZ+6BuuvAJV5w+cPH3pqMcpA&#10;G4PVrI+j8RemMb4mWdnZrCKFiqBYryYl2e7c1oOsLT+qnIAMv/O+caP7M657NbqzIBZLkJxY9AGT&#10;CMyISULvdLb9w+pIzJ1ejervaBGQeIfTTTkTggIJuIjzamr+OmCLOgHe+ks9Ejf0nYM4s+aRu41b&#10;4MD6ZbZSjj2uIxC89HiM9xV1ISflsn76mfuvsDn9cJ8BFWb74DmxZD14Ohxdzwhyxa19j4owhP2a&#10;zANWLSYiIoJc9Ef7btVs3rJlK/wM++7sWR//4MH6pUidTDPa7MjcIbdZS+fV679vgmVUNHiYz6B0&#10;ajQnOLdibN05z6k1EIU2XO+7GrgfLuKzmeyxWcrPqaPW3bwXbdC2IGs1VV31KrQZeoGH4+7wWiht&#10;stnyfwAoNKrznjr3MKohieoXgTpQDDjVyd2W9qahHzQnXDgZmnPiLS+u3A+Sth6rqhSaNxvCF/5Q&#10;mZjz2uIsFA6LAQf9UPvBNHoWG/JpJerKB9oSKINPo/hrCsqRciK4DTNTWGBEW0h/yw9awWA5Tm+s&#10;rS4mimze7Nn6aIxLY2k5hMBFt9Pp6e1BrUoI00lpJUg9VBXMNuX3CLEV8MsRuIdjePrvHQx0RLuB&#10;GaAiyJ75Poa7BZw5NBpeB6WOX7jnhwfqs2pUeg6I7BAx03Z43Teu3nH2RAfRJ+5x4/JRNgeeJDhc&#10;6F3YyYyAxNL48XHXdVrts1zdHge+hxXZKTarPW7dFSncL3PuZ/41wLgNl7WyCQluwYT/7Geerbpj&#10;8Q1E6ws7jf14PBFBaoHjIpwB4DIK39VrLFqs4Cl2SHkGMOmjzzr1GfLVuEK+jSFctjgcJQWy3ps8&#10;+SIfLs3etefrAF5OJWpfFyZeLrTbI3E1CwBhYquByXpwcFvoezBprDgmjxw54fbklgkSh1OYFY5A&#10;N/EgoT4W0JoPeJTAA5oaD2QWajKGvx57bCbLPihbiozXr0YeE9v+oAqZJGjnSaervJEOZ279Ew1A&#10;yOt6RwD0JhJNTp2X0SuHZyZowxY62cLGmZbtPuE8D0dLJ7KO2kGnHHSyBRyhfOvWrQlcN1bYHEqY&#10;p+HoRPrkeyDgW87LRERh5I8k1tDdgGCmmRO5GFZ6ShygJStSIcqJCBcN2Rf3xG7mBU2h6UVditki&#10;n9d60eSI3mc4YL5DS2OpFc76uzXDY8p9lRezmVjIslot5cyFGDNwWA8NvTFW9ZxGHzHE4lkZ9Owe&#10;vHIdq8RIV01twb8EaQG6SwKgtYPHmAs5d0hJPaxF7UqN9ZQB+OK/hALB7jIAm8GBOGT8FqPe1Hsi&#10;JcwYToxCkd7LgT6qATf/PgTJvOpw4ziJ5a6BwTGTapBB3H4yMCtn0Scre6+vO/oPjW0kSgUlOiDA&#10;JVFbBOPqf9h7DIALm/Dsk1ZTA963NzMxU8bDzllUbeSJyfgbkWPEYYhMfqkK6NcqGs7bqQ61vZhW&#10;+brfTZg1H8QBHdR243xvWEGOtjJlS9seh5/fo6Zm82pGDkfUqtWDkRVIPRGEwWYsHCbh18Co3UQL&#10;vWJiWlqAlobZ29o6nbS01I/q5NpVsmnjxiJXqAC+Q975CHFuCgjLkLHAF9dD1dT399Y6lSswNc8h&#10;hutQH7DuKYr3rn/84Tf80gkGuNsurpZ22BcuZlpyQABoq8D29et/fIJmbyk3aMQfIH8f7aOyEpj7&#10;M13sZWOBHvy3btop76nqReCOC4aSCZxAs1tEcQo1tCkwT5fF2TH0K3QCcHispYi4HJipz0Agnx6N&#10;DjgfSBxkl1sz1TcuGYzU1NYOap2a/JtrCC9Njx4K3/tPn+rBe8MmiwGit0n7QB3rkw8ss0fLVUEo&#10;Md71t71f9RGP5eCvL0ktWnMv8eIyKbAb5N7usvQkJ5jllQcaM6GcH0dcEF1HxrVTHrAt0xWlDVgd&#10;A1UOOEUGEmz3Lzw5rrm7EN2oyjovSGQu+QOI1vpY/ucB66pV9TcgBEK1MimHhJeZ0L4/QkuqDiN+&#10;dOfIrMlVMGcWrYI24sBdkeMHsUskn1fM8SyftTk0auoFKW2+Nh2+avbSRhNKajM4z6Xs8aa/U1OL&#10;Fs4fqvt4TCY59wfztdziApUyFdeyFOGZQcpXUA1fszsaXaqGAm4ADybWwA76SUPqRzQ0NAygHRH4&#10;0SqK6zUcny8iHs8ME3F7NINvl6I28SAQTApw0T5VVVsDxM+UYGf7506OWujnmc8afAb1E3/Tmzff&#10;N/kWXExx2xXl7BPbOVs+6iAU2Y9fv3vHZH3fIw8YSobgEMUDD4AFlwV25YbRiAMYabffqeA4JrXD&#10;lJbDAuy4rb09FPafTtw/m4g/wqhHXSh6T6GYtIYrXtwpcSNIHEhxP4CzIdQJ/pCTvIlf8jlZARis&#10;YeLdwrYgg36ZifdBQoIhInvPxL65PYPYo/vHUoGEbvOBWqoaLqNounCIW8D2NncASSa3L+CHSu5V&#10;LwXeNNAdt4Dn1RExSSQmxtpwbMJfPAhN1goCHwaH+0wewctwne6O169f38UL8Pc78paTdbp4QcEx&#10;0o2TPxqt5lPCJGCkqjssUYSEFaEdeMxkCtjSj+qFGwOs7sMe250ovg5kwGD4nuq/fTOosWnsoNb8&#10;PxKEwv7V2nsC1iv7r8nm5vUCJ1TLbXIdTO1cFK+QjvypDPcMEjIYXaXABHzJia+QExb/vEhwnkBM&#10;+uRGc97TCt/N9J2qKgDomBSgQpc/rBRjkDif1tRHe8OswOSPJp4ZVSLuarS1KVzotk9joW4EIADJ&#10;qg070HWG/Mcr7oMsjT4B7pqVVAyYXK+klMBV9z30CFvAVw/3E1VGE8jpWZH7jB+np/gMXi+UX2PS&#10;hdxh+iee8W9Sw+DoabYV5razQbJ757c4BkFOqmGM2L0YtH6IttaG3oTB2Gr12Bjne4S5aSRhY1Aj&#10;hYIRd8Ap8BFt5FZUH4c/+xxGRUzv8+6+hyeQZMFKeNo0tWSoMoJEjZfYicSNfT63R6aQExduz6O/&#10;myM2/5Jav8bkOjhNt5VdAjMYjDsqwDTQ+IyESTpjLd7CMLRVF3n2wEQ4iFW62ImsIvdIRULE2Zcv&#10;24WFhcsVDcNAaDl2VHyXQocFbM3J4IAQWmIg4TvRjKBeZOPm7hUUXpJViZ+wci4pMXgCfcCOA/hm&#10;NtkHmXzN81pLWwNbEtxArAcZp8U/Yj269dAGshfePZZSa7wz0mgzoW4ALjWuYP7dcrUnQHuHWhMW&#10;EGN8519aFLqvTibeF0TyJpeDFWtDP/AWIQ5bgLG87KKqEwVn4wVRvg6wIMZ0eBPHRdydFhgX7X6p&#10;WhaFkzTvBAfo1BDt+qMgX5GhvAMmktLgacLBC9nC+0O22zZbE71MKx/72a02HfTV6jjNBbmbd/Ew&#10;79ElVR7D8+Hi7F3enSKPSCJx1Iv56zSOPNWte4C3PiMHoDM3y7O8sGaoBmaxjH57406I87/k4aBy&#10;NFV5SbWWVPeWq61f1gbXmCsaL2IRxRpZMCW08Raw03P29ns1ZeFcYTQJoF2kn/kP8oRj7SlEcg4F&#10;nDHEejG5WSqp2szOPN9nzHFdzv7OR8iAgoJwyyzEbyDu4Ja5kqruUdiJ3HcWchLhhzey/EttrSx8&#10;ANX3mzEzUASoH26VHHaT68RJQdwcCUXlBYKscB3DkJXmg6aLEXVqN3soipNQ0MVBJqamQwKQtW1G&#10;Z95dcT/v3P1D7+4XQZp+klo/pC4LZpxt3asC+nwtQfKggvAbTqG/5YosT8zAhzVHibmFMIbaQl4A&#10;pxCcrAHcCIZvkfXHh+9pMkA/sU/v2ihfQA6KB9oAr879Wl5qlqKE6zgLIBMeTgkkqxiTV1fxioJi&#10;SNAoeDWPBTVDDqwdInckCYXKgIxANLiUnSD9T9Xqk4RuELIBku01LlkslQaoVyEtTDv1sW1G6Hvo&#10;LN+R7uUOx7Ss8JVD9mvIXzsmMqIqbizBThI59lGaBKo7pKUfQXjf7q241g+itov37x+/n7UdFgsd&#10;wkTRJvz69u33C1BvIf3NRF0SL4QzuAaZD6nQHT3J2k4FJUoFo2VgiGCdiYagqvEWRxEYVqpUwIX+&#10;HhmvI7WL5uRpLD8mL2b7mEuQPC0r5NyPG7qG0J+5gAql4I17jXV04BbHKwqqQMnS/wuUdTG0PJFG&#10;7iOml7PSqYRBxnAXN2DeTqg4/qBuHmMttU9e53UIQVYVQFjb0WB0K+BC+kA9AXjPh5b6aPlomLSk&#10;Cy7xFOxosNl3FNeO6HDhxiHWP1h7+lBPq8RY1j+SCkzC2JA6KBshfqjRhZQrB99p6eD5JzGumGbu&#10;gb1rjDluLszPWLwVXtru+TzdbFOrR7x2KdAo6LzvQus0LXeLgc44MvkF7LYe3R0dTGl01twhhBan&#10;2X2f/Rd53uEGmgAGR0guknPlREVE+Cm/Ylsht1TJT1K+bqDl5thrqHddruvnA8klldK1GNT3aYXJ&#10;dRItE1x8HFov5OyZKLcOtvjLWeMqwSFHRC6M0jlXr6pEY2hLK+D4sLjtJVXJqMsJRP7vO0NAAjsp&#10;Bac/BtSefoRzrA560TuIPv6VKVUCOf4NiGAMkctknnu+L3pH9TOh+u2aQFNrgdtqQnQSgGVeT11f&#10;25ntb2EgHa5oQYnzCgeaDmSf37A8vuIKn1rF60UUeIctTmFwYRm9/4KJ/9eNMkCRKmt7UXCWO5pD&#10;ho1yTEEoWE9PR2WEADF0KjdoL1x6Mzxlt930vrYsRnf6/HwanIx8/59Izz5BOCBuFQLI3/lesrbH&#10;97wyYzFMEo/VH0BcztvbBy23we/+/kw9Tc0TFTg1xMGz/v1RAM+GbAdeeS36bVl0C160rIM4atA8&#10;lEGx2QU9QaUFgRlUNpf6kkQQ4feTowgzE6SHgGbWUnOyk3QDmsH/nvozL3j6MivMnz8/oj+iiUTU&#10;GCHvAPWAP821nEGt14+CcMxo/iY3NS7+GmTBjp07cxrROD4shbzBd6Ae72ERKZKAoAmiiMjUN2xA&#10;V92NYOd00jCawoX09YHq7T/HdoR3fZK0I2HApk1aws9mYn2pqqnZKfZmV8J0suVneaV0CfKnPwFh&#10;aUFV8RT919GPLR3T+kqZWmUeH4L1cdK4EncP13cmQcLEBKDVO0jSMlgjTTdYnFIliBJhf5dRn+r+&#10;r2VUl1IMSrEBQmdYrp8evz5N4cWzm1LFQuAeCC9hTPpcLOJew7W+fruizWwE7SstvC76BJw5dHOv&#10;Dv6Dl4Z3gTKtxYKdArvcR+okUeqxznKsVQ1A6OiguxczaDHnp/+7GrFDefXrX9MBwoZO4qR0J10U&#10;uQ3QQFSDZd5GFJ7Mml6jG7s1192E0Bgu3RBtAt2wFVHN/IkmiQHV3jjoLWRQsC0G1giVzLVB7J3D&#10;IBrGARr9IYTI0ouZoPFLUAMyGK3/lkQdXzvQ00X6M7/FAXpqH1/KB79+gPI3zht1ENZIfdo731fI&#10;iWegnoaUXkaZ6TuOrIn1wn6dJ9JSU92ggcOpVi8kDHPktOvidUODTCgP0yk4XE9gOMD9VbAdR80A&#10;9MBg3JMAGrhe9S1shLyoD8Hz9z4qPPezqnUtcMeOyhaPSJ9Qqga8mK2rn1Svwx2V2QzmO5UpWy4K&#10;6ojkXz7SyLTAvf4ZKA8/MOuLMXRbr5z7zxH9keAxVE6ZmFrChrPX8gysWilZ6YSsZeJq3Ijz/i0C&#10;EM9lYDRSbhbGA7/QRlG+G1JeH8Q6hOED7dxjqI+xHT/RGT6ChTcYLNu2emg1TjiRzbMOgtspLeDr&#10;T5KTD9sV+LCrBeYepSUMq5kpK1yRC1OTMzCZQklTxUlZ+crixqthaw7acEHwmBzleGN69YLC+5x8&#10;Q54NCdMwhie+IgEdLOHPfnWeCB6yeLRFUBY3Fv1lDHknYOcMxv5VT758wtaNdrzT9K/UCdI3IRhU&#10;JAo5tZBw9tS2g94wGDJTyHGKqW7jNCHQD5dTjmJa9B2r2W+HDVRGEF6+BAU+Nu7HpS1Lw7sAsRZo&#10;bpQu5ISs6eAv3PakZhKdPHaqGDcvVn7I/9osAhLoH/a8jBlHJ7oORghE9TfwQS5G1+aPbUvw0xI2&#10;XnpzcwmUi7OB8CFhOQ0LCEWGcmXLY+UoPNGi+bNn9vTmTu0ESu4x1p0WO7j9ye1smNriiMwEn7/m&#10;CvNbpGPV7vKHdbWqBkKrKzDt4EkwXX+zYtYn+0CoqbrovC1s6fOiUnMrBs1rKhXCcaWHUMhWEc7r&#10;yhO7SHiHjXcf18LDjiOQA20WFq4Rk5AQOmQfr7j2OIbHrgoNCclWt9+C4gx/kiqXh3KG0Lfl2rX7&#10;wSDWaoEzpT25Bael9djokIUaSqpoVKaz0L2YY6vVJtuSqAhW2+fbcPttERAQe5BruGvXhVuo2udE&#10;lnMQIRCLddjx8yd7MMQfq1asYAeHKhPglk0sJUrEdFIcoCW1OIlFloa5Ajt3MXNPGMkhzyQWARyN&#10;RUUbDf9sIwUlgVvAxBaUpwrgH1FMmgbGln0BUGiCmlkMJ4WmvSWOhCW7mI+At9UP+autjcMIyenH&#10;TqABUvPQ37I8ZQ58CkBFHkJPKAtAz4UcDW+OibwrLFs6+3SncZzUDOYOtU6q6QnpcMGufYlK2Q7O&#10;0m2QwVzkESm8C09z1Uls9LNuhk8hJO3AffeSPhrBoppbOa6L8uqlf1JBAYbZIVVoJAFzL2NbsRnr&#10;Y1pDoKERkxAbe86XZ7I1Z1gVx/QO/OGfuPq00LIkrTWJG2k+s32t8y3Yx9KZeDXBPfb9KGZ12bF7&#10;PrB+ASEhiW9951OpuTyXz7vGfyNSb8VOpNSuBebm2v/jWvae9c14LyvPwpQE1hhnCz1ekt2Ih+wD&#10;khDwacgZDib8yMCjkBngzIfy7vTGVRqoCVSZZy9nmi0z2gIENASfneZMPSMHSqesupE8MXHQdDo9&#10;7fqCcnI5VFewA0fEvPvS33+2G7ikOS7SZRCqFvlcZ2eanYVKSgL9VNf377YHk+IDp5ym2+NBbbw1&#10;KSwzdvyagizJNcKDgtrCoMLdFbB+1n3HyPnonefRrQ7pZzPJ7aKGZ19YyU/34utgaGJfnyGKnlnh&#10;LkAfErePT0wkrvMi82o5uD0LKiHKQRJouBkKQ4oeip4QiQj2l+sOPubHjf60gzNz4QGSKK81iT28&#10;KcZjanIjGs9BRLI1srvZdD4foD7scJszfrEFmE+2KbcwDleQ0aXfwYllommceZHngaXEqw+cAn5v&#10;jo17cKHg5/ES2cW8/mreyNR2YEFwoC3Dq4r/lYq+ypOHaRmvFzyyHRq90pZfnucl14A2b+IEUpOB&#10;q0TexP1z3LN5ACoNojq+4PpxPJZ0pBn3dXjgnvX7lAoP6y3t8Ds4FIt8qXpAQRgh9Y+4RqzmWVk5&#10;ayHn+xBx83UKTL2ADcO67EjQjP6YVKx3wsK6Vi5fLuGAsdv1bhB1opZficsEINzC2ofimLG7G5Ws&#10;/G7IIMuoNifJkyl+NBZzIn3jh396QNf0SAypPMkpMIPdXBW091krS0sxU+nYXD6UgXcW+mVFd9tt&#10;oYobTSjQEi6losNXH2O041B54fgUhuV+jrnnxHb57HglOCUXWpxrTX5ediIMTqnJBalYT3HUoqWT&#10;E5DSxta8E554xXW+MwroVKzc+zAD3AaCY6VUWGLR8EQYP5HwtfeQ+5B+58vdyETCiRSYvpMmPPCv&#10;jBbc1U4fD/7JIAfEMYDVeMS8TBcBfXZGoihyvhEC7pOdLhL+UqA29agZG6FBIRnLp7081YGWWM37&#10;hU906ln6KK79Q4QzRSpliCaawwPgW7lR/8zOgukbg9dL5cbKc9805oWWXrJeGtclkCB26Gk6DHTq&#10;Pn6B7aYJTJrHJ2l4i7Z9F+E4MX+vVm2WquHMlfZRDRkpgRHt6a/0x+U0G7KS3JLAnZNx1tRtEtMG&#10;4AIh9FpakCQlDiyWhXKlAhISvq2fzReajDxa/e6wTlIIzr5TmHSK0U1jJPLWJjbhLW4qKu3IfUcL&#10;WzRxDiPn3PS33YsIlDZiYpkVvmCu60b8ncxDKkYgsDBK3KZY2kb9Vn1HSdS+77tYWFk/BvMwncV8&#10;tu8+OQfQjlsQnwnh/XmlhSGYuHr38NN0BBbMvXHu/aBWA5qEOZul3Onyx4skMRHbapzvK6Itj0dg&#10;Q39Ad4t1yb0R5r0bQzsAHn53OX9+PQwvmgKjGx7fr9/sjuhqU9RokLDqlugnJm/90R6Xczkjyzgl&#10;4dkWlAIJQC8lWRQw3lp6JyAzLZMP8xiupVQ/HfIi2SEVhIC3xDwgF8SBtvKTHVaJJstKFhbRPQ5d&#10;NVskphk6Oi/urAi9d69uL+kBGhtlIde6kvjuC1T2u6HF1EEMqA0kGaGbxILcv4yg3TG4U2xQ62a/&#10;WLfgBjoELDGEJEw9O7mrn0Q2pgvtrovSHt6OfIN9pjYTm2fhjgcktATHEOC+m9Et0zd6iXVilHYZ&#10;CJ3sXN6CyGi6CElPxz864JlkfDnDMkl1apk92U/7J4URare9CnCvERQxMxccYDzmJtClUw1GtURU&#10;aRxYEZqGoqjV2kKYeMdLhXO3BEtOWrCHwv9woNe/MU7dXs4QYK8heS44V63KxaxaCZ0TpN2A9v+7&#10;FOkXIPTRPLFl4vkAAoCYTRMNQiau4vu5kToILWas2OU9MCRdIAmP6QI7qRI2+cXHKQQVZRK5O7Xt&#10;t6ROV5yXShLukidL/c/nXDEkIy1Jvcj/q39wB0DUK0u5Jx3dFtrVGtuBAZNDI0cEvMfpBkIJYbsE&#10;y/OTSKVVAwOAldZOf8NL+Igoj9q3BtjdlCzkNABpuxmVE6EKTyzkqh/57De1uSbx4Aj5bqiF+oEu&#10;FWsqTWMwGykMWay8XoQ076tMQuBCN4T0tBZXDkwl8T5Nt3cpASwujjPUWh5Yyxl0E4mFWW1U0R/a&#10;6tu9eOQ/WgAjH2oe1jJdpEhrr+Sn6cDDHdkFl686elfyhO+b/zIIsK9G+MboiA9b26BxSs7mNs3b&#10;QZgYaEB9LiE65NOyLitnY7ha0Bod5sIduQ2UW4u32YY97UDDX0IME0vw88+0atMRzaS4su5vV5b7&#10;0v7FsU2y72cdX+g0BueBqU/xWg6GGNNRJ9n2TP2JiKSoaLHGCxGQYl10Ztm77FW6K2FVB4vvTrxk&#10;78JMw+uiyMh3dexUuxltgoaiKwrKwx7MBMpFGbX/VpJm0hdkrzfQNhaQqsGPySppPTvHJ+GuBr+e&#10;pXX9y24VWH3Q2+oISP2B11IW3RgmiZzPyom0ePIFfuJv3qPxd0t7bN1hcV+FiquK9FT8Y5dnMnLm&#10;0UHjSrxflPXfkno7bQgl2wA/fXn9Ouq33dOFRqMSzrt9CkikwMQbv28nneDvcJKjndgZ06F7bTFm&#10;+O01qDSx4V959K7GnzskAo7r+II05oOK/8jHD0k4mhZSrv0BlHbxaLs2RY4uW+9P/Dp1vSgLR6gQ&#10;9blu1SHQg68pgYXb5DElm5W0Uw+qW1gaGbgPfmLtXI9u/AqgPwlz0wVsAPZdwkkyNOoX4/Pe7P29&#10;7FPwLfc8WqAM4TR0/5lPAQerNrVwAW6meQbQUP3eLifX9Fi0fREjZ/oy+TQHux9tvINbp4Mw/hGY&#10;sJl+rnt2Xrthr9ryUM2k7YQgsq0GVy9oRGoNsOtKOE2B0KwifBJAeJFPROAX5vXL5qfguZjD7Wgk&#10;IE7jfEMDBcvIsYVehezg6pVJZD02h4wd7HmkzksRHbPctee8ndxyZhevRZeD/epril8ljaJPjuNu&#10;HVsCJfGFUp5PP4VBGAKXU68DAPeUzxpOI/DOJlCmIpXw+Te6SHyuyzr26C8F15tS+5aMeOUFxDF6&#10;ZWVHwZXW+xrV4lHQEDPNbWe+zqWu+RAH2a2uMr+FOlD/4836bFrDYKBaGc5JtTfZ39AngSz/E0qJ&#10;hT7LfUlSJgJpSz2w8HafSfUn4JnOgCp9bKmhsLvt96NI96OPunjbcC7FtmWC8Ejy+XAOzGMsoE3C&#10;g1PobePoqnSKWWD3H3DPJ6cJAOHU49K+NjtinBR2a9sGxvLKHaRGCg3z3mr0Tu6EVSg1peE0njLB&#10;E4Iudnjz6FfiCXH9kG9hcfglUjiiBFpLveiNDFncn3NoWb9bB8/rFcjfyBlSPFZg0CRnPe0TArtN&#10;MoP7Pu8hEnGExVmvhKtsHE3SQmAx49Oejhee4LW1LbC3ZMkDi2lWG5UKq5Z+1i7sm2vSupQV0ubf&#10;Iv/SnUpFXzPPlQbDv4PXHhhucV0UWpi6pYRnsKdOWPJrHhey8ehrj+KygYsqSQmLwebrIH0Z8jQk&#10;iqbpgKQ9nZ6ZyYczqk6hMglFPAu6//f4mD4OEaC8jbVCZrXEvc0SmsfrM/qhlSA5mAgO1bK7Mk6W&#10;0IF18/J61Wh6RB8hu4x/euvBzsu344NTgoK0R+gQpLaSx+t59A3WT8fLKQXBZ7kI7lsiZfYyz16B&#10;2kGncgeNJ7JZLHtELyT7KmFnOHlJiv/LR8KtQseWvlmf96MYyxifZK+rV5cqMX1HdFLXIfstrec/&#10;Qo+iVpLQXPcvOXAq/ldszuxNr5aNAVdM1HQoCEs+Ek4HHqrM+s0yMjLLdupYfm53XNyKeYRmQd2t&#10;red04Ex+jBbhuaicC+O3ESVceG4hMgI/B41e2ePNbXZPA6Y91IYf0IS0knCcYAd40p6xF8fdz2kF&#10;QGLoxfy2pOsyeV/jMOTvnAl3PETV9WWfPg3eCAys3qw0dUbiBHuw4d3N4jWLeXGkiyAzandIEn1d&#10;sGh/rnK7pz983G2OGTUZlH+gkkVPEHLO1Wzv9WovjYhafwnm6WzXX1F/sMRYa4X/eRgpaPUQWofi&#10;mX0ww3jALtcCWP0jNF+2dyx0ETuxGet9DUjNN8ITI7P/ZQztiS/BEJImslEXf80JQC0/Gn8TKDc5&#10;hu7EB4uDduB38XbazWVzAFqlqyjtQJ6rBAou597p2lF1M1peHX21E0ZG9OFHVFPF5XN9A4A6DG5i&#10;MdWxjXuLHPfUhSsHUlR01eFN59ssBX1lGoAbXT+xyzsa+5TVVVYCmiLH5qfW8xrcdwwmYOg64WHa&#10;eBlHVE0Qdg2/yVjtIV+t602r8wJhy8wSsrHHnxhlm8DSIYnrZhch/lRjjHRp9RSe2DHH04aFyFB7&#10;vv33XlDAh6nbe9gnlP24nEgT1W+XmES7tV9bORW5DMD23JQrw5DXNSvwXNb9hst1L61cDlamLFt1&#10;EXUFrqyoG2Im9MdRrzP+oXeNKvvgrNZ93CUg1Cq0FXFP60rY2krWaNwJDjbHlNoIK4TZxHb0bUOv&#10;+KulxU6l9q0rVcMly9typybHGka3f3U9RdHYyjAkZKJXTGOfWDb434JVnzp39/m+WlLn2EPJEJtN&#10;rzBybBGA63OZWXa7SKYCQdz54yje40UbgxnfcqfpLR+itj+fy188pHKOjn65oZWkbPVmfos5jYtv&#10;T+y+X1apcqflBlEC0X6Sn3jb6Mor2XqQfyEuHaKqebE10zhFC09C3GWHehxETK6A1EtUQprHE66/&#10;Yr4s5vEF6EcafWiictkFK+jRoD41wpek94w/NNRZ7Xsn4ysA5VKYcSbqvuS0UoQLNtgOinDx+ZCK&#10;uDNB0KZ2yMuWVGofVTsSX3VLx/Lw/qNkfuuPS0ICcGcZzhycrZX91qkY+3T/16MuuxnfXBSIOins&#10;1W4mvzDmqPQd/cOwLLkcSz24XKpHJ9Qd1q47cwsh9wvKql6u5Pv+ypd1PgXG2miOhfldtKPFwvvZ&#10;9F5ahkD1C+rJMLbjy+iHVBl48lcHGhRYeXdvXK3kK4TFReEul/9RBj/uGANdcWq5AtPU6K/EUlzD&#10;eLhfEVgDFVzRypQjkPjtM83xOjbe0/4JsBBZVPbv3XtWxz4hTngX/FyX2AAKLGyHkd1D3d7SINK0&#10;1vj26arRBsMKsuIiyFzwFLrD0+iwzAxscaLKYWDZhhtua2cyxmsgbGUgT8HNGb31hcGiX7/eBkDe&#10;ewJfvA648KsEfEWf91fq1h0W2kJdW2DIUtO/5jB+Ji0EvkyXzaajWyQ+9T3EiyjHF4Qb7QUm9O7X&#10;LjR4zEu9Lh/oLswakVSChvN/HIHvCreUrZo5lLET6DCzUhGksuQMBjO2WTxidNmDsr3cQxtOkrni&#10;zqayX0f7HnKEku4F5gQnkvhG1iXqYkQCQgbv/Mmw24XlAuSRZAaEIGz9sXA9w/UX3RT8gBERK/R4&#10;0YIFPtFyhkYcy8Gv9kF4SiTCztS66D1JqrXr1kCneSe6ZgD+thvqf+IVF5h+UHWF6ad0NP7luxiC&#10;NKCzv5bsJ0kX/skuuULN4+QC2Vv51/1PV8gzUoX5+pbmFQqVrXp7Z5OGA2y6//QiXYRJo8AjE8dm&#10;qaDM1oYK4V0+R9Sr4n61XxOQwFNhk992CmzDu4yEmlt7Y6+T4sm1R//QqICQVpTkn+IFuB2ml2Nq&#10;pqLc2Yc5QlvOnbtUgsCjmOSdBW1A/4o2W/jzgy2hh1IShuqs46kgOtv37Cs239pzF7ZGmZpDRatw&#10;RAa2wl+ZU9J1O3949/EeSlCqfAvAT78UARkGuI74KTDjVpJRtIjOSxdXrOTb2GXInPzFvlotZB21&#10;Pi+ijbxWitVwmmzFzALZEtf5T5ZqJtHs+CNezEFgz80JKOm0E+Kv3j7tsIQQ2ur06dGHVB8ZSXlA&#10;0oGF9vrvDehcMUW5+TJt0NGWoXPHycDjP1QbyQ/kEV3yMpiiBzVs7yxUI+p/s96WHPitNemwlLr6&#10;6bSvmMqzMkSqZON1UBHXWKGlb4rjIDAQxRex0pukggTKEKLqi4VD5+4VMlQbZtepV/617viz4HpT&#10;4wId+zIEaUjDJmZLcByWb8m9dfziNfhO0UaJYu1XP8978iW+/HQvwSI17fqHOn8sGhXooXcKeeWX&#10;V/NdE7G4vo214bG4ndDZsIkjqLx23eG0ttE/3as0IvXs6MqmQKCjNQNGJWp66nBfxfC2k8D45DYo&#10;dED73Is2wTHd+x0eUFhu5dhX1zMXrboeKPcQoO3/OHq6iCTw+bBN665RxtnY29G92eRNQCGIo3aT&#10;jx9o6kVx5dcWGN1DLaBLsTp1IHeRf/pR+0S8jN1s07bMpPJQiNgPt492dSOosRtYPflExuPOdy76&#10;PBqxcG/A+l1NG48CeH6HDqtku9oMeQ15nH5NkqSUO4lqZfezzwh+dv59PqsOXzEH1OxlUKNJRGq5&#10;6ejtTDVPuS+0ZfEFKQ7NkAkXFT8u0uCzTiZmS/v7nprinje582PZC1WX23uTX2w6p/XS2/Lalr9n&#10;W4+mqKz12sKSfNtri2lGwrYEl8BllSoKisX2Me83qL8wPxXyMGRgLK9dJmfgZ41Ye9lW8yc1A33n&#10;Zc98CLMztFv50eKr3Yex1JPqnNVCW8Bz/i32C2KR1Bjsqh3YD1R9eWD7/lY+/vuHvCdwktZAJsQj&#10;IfE5sOtPAFtbfgbmcsjsah3R1tHZjLGgjuFbhBNvvhCJRFrI4jlzLo9C/eYX7ZyADZZ9YsjVdlxl&#10;817b9jXs2WYpcUXMds8Ph3BobkU36QgdZOzeIO4TvDw/Npw8yIhuKUQ95gwkAZSKdX4ft01ns/1x&#10;iqcxB26zCCV1f1vP3IK+qeyFqXHGGvxsxoCksvemLvRdL/mSeeCi0JHn39hqjW9xWq1ARbP7icER&#10;hOJ8vdX9dq1q0SpVE8idQsHegJdxLbZWe6Hy4PBd1vY6+EXUgyY+4+y71NnYGbC8bf82FeaN3m9d&#10;sQ83FkdYqE7KsQTreEv71H960KOIT+8jLXzSbiDrYWzsBCpH6LIPjqYunFH5+dKf2TxS1uednSMO&#10;aWrGC4KC5hVP+oOxyIlp9pL8LNHrHPazh+KanAywP36/jter423Vp6yo95fXr7ZZ3/2WLE+iGAL0&#10;avGjuNPdPDlXAAP+4dasX3d4U9mGHTUBXof48xGD5BB73HGl7e6At1kZbUyClx9c3lF9Kvfx9eaX&#10;mpbo9CJ4xIVPqjUxo3Q3ReURpB5iNXNmtOC87vny9mV0iEMKELfWPeRWyBFpISFre6TurE0usoz/&#10;kgWx03ogC6iVBjQ3fn7Y73sJH68hK2r/5QerbR5UXlYKun2zZdj/628aK4ADI3Lfy3QOK/89seyx&#10;EMGaCLQfreLZOVs9Y2RvwFsZQcHuR2331m3lqOIvixv3iJbyqT+chHmbH2do+gwVrkX5fO3NsU94&#10;zVRjmevmBPHwdCypY/XsuJuETZ3KxBtW2lrHbHDk8b74xiNAZU+eMam5tm2LxGUFXgmIdIcBysjG&#10;1K25tXdP3WWlAD9JPNBb6zHoKf5xWbd3y3YBPHpiLsyPHUNdfOiYvJmeav06MjFurba70fJJJfva&#10;0l0Q72fJvzxy54EIh5WffOtofkXFIWGpBXbGbI4ggSzeWdYcTqo9DEq17prG9WVGvcATzQB2tkpL&#10;SzcFt45c8IySnl6xIL3MHdDrl4PZddfXbzgJ6SuzubGVrbKMtySM0kIHbAZhYzbV9dgmoMqxXHXB&#10;wJcvR3RUM58fWhzdvVGBaaPep5rq6iQM2e0F8/eZb+PGvxtdEjac8t9TNiWgamMh8JENM4SP4HT7&#10;GXrpUp5dcvtTBCY8wpFsA+va4T0v6fPfxBwmlaEduR5TX49oJwpyTeW+DSvh78GA7DZJbUufAcPd&#10;1+/icbe5f8h/fzW/Ziya+4WpUwSe+iJ66ud3uRZQXPedshPlgjeqtrpq2KRHWNoMPlQIOMCDwslQ&#10;89Xzm5vKVimjN0fknnMsenM1Abyer7vetw+EQMeZVWSW4qR5VB0zKC6D+YQgpHztq2cd+XUn0oAO&#10;xApW9ygEzFa/i4htj1Fkk/OGWP3q7DxCQpOl1W/1G9qYqvygThyKcQ7+C8jdpBEf3EZT2RbT6lNx&#10;BS3EpkXXGaZYk/pC2FalTMlmZxYQoSNcRQDVQ4KSk88OAT7Pwzfi/c836qu3yTWguIp+hDWqmSW3&#10;t7n/ZLXphCFYPitOctEptlBA8BGg/kOllO1sUdua890uflR1+fJJLOmFaqjvrpDRCyJ1W6CDkgLl&#10;oZ37V2H2EhOQOhgQQlQc9FSlvu6pWnPrvOxqOXfX+YF+kpq7q966ogpXwcdFb9t2szHopJ/8kNn6&#10;J7teRJPrP/FW40uI9EM7+YUq10UUn/i8TSK5tsplsajx16pW9v2NrtvxV9uh025NDpu7cObFD1Gy&#10;M7z92F13RpInnUZeiYM793k/xFvYx2200CfFyDahtrMhY4BDle8TrL5J63wLnqzCJDGD5Nz1SK2o&#10;B1T26s5ejuXRKjKBf7zxJBeAJk/ax3c7EiYOReyKS9ifbMMB9lm8bcdiq9YZBoDRX6QqpSJolDMu&#10;AoM9oCz95Porly8LAhTPycmZ985aja0NHq3rODs1Vo8gjEdTEsakKrBJvGO8e+zZ/oKdmfVuDeRR&#10;Y0xY3FKBsq7DZ/bYfXx27Ur6urb3Bo5qDd0Hh46qM3m/XP5iI6MyqRlpUrth5tou+2y3goI2vLBZ&#10;FqdG70yfDPh6p+MuHbK7FRnZhDQE1x6AVkK1qmWYv/U5Dlj/T4gL2VHPPjzxkp3Oopb9bm7ZF1EQ&#10;XcAAEaGg1vIR8iRZSoSqxIp4IAdvfrWfZD5XfACO/pX0Mm2hCXmQ3I3Vthy1Jtj41etfWSEBiLXS&#10;ONAPO+ixI/6+t2i2jO/u45uiD1psfZDNFyszLy+PY9nlHbaXDiHyi6YIJgd92OXqOs5kq1yml9nz&#10;EiKJ8OIT/TCa/nnXOTR/xi7zigiGYtECDo5gaSzCiqqONaJ1YsBx573PjvN1ae9G87cYuROd2dnZ&#10;qhyhUDIIAB6IQ5duhIDo6tCyl2hQ+0AEjBccE5mNYQm2vC6WkPHK4oKoYkd3LwISOTLOngOlk95G&#10;jJJKwD41BSKxotZOFnK9PbbtxwLNmGPSEYOWe7vxDyqyS7pbtBsRdNvybnmboq8WZMpdID8Wi9X7&#10;LG8T3KZy8mfW7cYrnOoyts1eG2utrhnbolfchf0MuTxz5dswfmgiJBLpJbxn/9C8vK3Z0FEaZ/N5&#10;uqh1s5X/sxOPUNgSKchrG0zy3TQ2Psw/9fOeYHTLYgUmR+SzKfAZGRtbLcrzArjFdfDPyNzZsy0B&#10;3gAP1ldy0MO6rf7jrdmCg0JZcCjWpkcf6+rRIcEy+G77obhgbsB8hUW1JjZo+eZhuQJdOyuQoRH+&#10;0JuzIPbwFh+/u7etTPhP+VZjVdkCPNmWLFR2rWZb4M7v0QXR6/H6Eq597cC1GRkaGtgMMvZ0s73g&#10;OrtGq0OHKk4DG8eYBFbdCA8mJqmLdLUfoCQfWSRAAN9yved8PR3VyYFr69gWJIGUNUTsCbwaWicS&#10;uYGltyt7MeeYl6+RSy7/C1LkNk4E/NfygPCAVkCWE/k/WYS7UaEeTkpLO3i/X+0QKhnUublex++K&#10;CAicnolv1Ji5DQjGPMyF53tlhbHP0tUvI6MTNyXX7xHz2VzsnfFAUPsaT/0h+SoewxowcWo8LjlI&#10;9beJx9Mm8cO6Z2/DOGtlXP7Eq2jU+/zxtokT2WjtzdqeWd/VZSnuxeyOTHTT5PEV8vIVLLQNbS+m&#10;P98JqEfH5FdxVhyrRjNEU9wpoS4N6I1qWCZqir/eWMPOvm1Gnsh3jBgUChA8BrXgDYTW/0U1tZNX&#10;2lgbpYRS2Jq+/XMCo+cXbRBeDs9ktuGLGtmQYcB5j5iNdt+WrYFksQr5enGUVrruieN7jfmqyra4&#10;1P/Qaf1QyljolK/Wk1ugO79W7Xfbf3l94i9g9YFo5nI6cMoFA5PWC5Ct2c/e1ryv88Cgt82p/LCy&#10;xbb5U3C2fwyDZO9rQGs588yLftPnJiuIF0ck+6fcO5oLIq0bLcL69SeU7MbIOGBs+zAfPocVV4/f&#10;PYPFowPwTfnhl/VCv9PojYglSVT2YfjG84UhViij7tCADkWUqp3It3up+UG8+qIv/3JHQCgXul6i&#10;2beObr9X9pLYIC36chiTqPHEyBQSaDex6oyVcVS5AcK1vXX6eA64aojUXNGR/Sq23qzqyKt68WRS&#10;HcplnRNpIAK0HoxmLs++c7mEK+09e5sge2i+QYvgjbu3s3n9huWg4yo5pqRUcFTArklB/kXs9Ldk&#10;QRP0Kx+3L4rjs/hERiwK2ys3Z8dN3AxZZg5Z0yqMbDoMMaHmGf1xJwkl4d9Tv79fYglp3zQ6NAka&#10;bPRWrTYWH50Kvi5pOVsvcRZMdKc1Cd0WPIaJLVYgTv+koiQT9rYTtMYYgl9U6fjvPS6kCirwelfD&#10;9egkWuVPYtKn9++QPuvtuxo/hbxaPo36oVpsPgn40f/xyyMo53t0nyRaqAqZ8i4YgKo13KZLX1LH&#10;kmroB9HRhzcc8B+mI5t0F3wumwrAEymjjgB1eU3TyJeZ2YqXai2T2aKylQBdwlclrFN+CUv+nU8N&#10;oc50PydrNHv73bmmYelj+G0KFfeFE5HtVbFq/urd5y+1bJfC3Rjw+rW8h+6kJaQW1Xr793c/PXlc&#10;yBogoAWu2zYSK92y0njX0vcFdKFb1IMHmrtfigRvhRxFh6ICD236shJnSW0QrsswC9XMhSy7TH8c&#10;eYFbFXXNiyNoIMO8sZDgBAhGKU5faqtpyR250NEdklqWy2LSAd1x52cnpGbYlaJe6uvrW7dSqL3v&#10;vCU47kQgWztVW9vnz6jUnj5llBFt+k0Tby53a1bETc5aBD6Mf2kIhau6SQtaeaPDIcuuMtn67Dc2&#10;7gbf1Xipa3LDz/O7de5AkzyE1m0xVClhdF2WvUTd8LO5+ezVAuNq9ZAwZ4RUFeEcgsnMrKR/B6uV&#10;HNpMJ/+uF7KAd5fjBU0qmLKlAckgUioDh6LSifJtlX1XOq/yrH28T0MR116d+94qY60ANd38G4U+&#10;+9f4F5Gm8oGYT70mpLJcqBBuGDyVoi9OAaEnnFRnz/aKv3SNcdIU2igWnB736W9GJtdRb2YFzivf&#10;qR6B8u3PJthvj0BtcgG559fypYz1FuWdQdsJ3YHTw0eP6unvhvum8iaYisWnhrc3H9wZWW6cdMS1&#10;ElICCJp06fODjrpb/eUlIPk8eB05MJ1YSFld/ZYjiOmme1LKeaYgC5fPmDFDDz3gWDQQyPJJdLXF&#10;zdabi5NRnbcCtX0GK9yXhKgoHp6UZ9ixkCP9aQPHgHiqihKPqYm0dnCJLt6hpdCFZoGl1affIMK5&#10;6DvW7dxrr7rhWd3RikHYagAc7T4A8JNG+KNhmNW13IHzMi/BZPl3OZWWl0s6ODr6d8DBHUo/EgOI&#10;RFkd68GTPYHCfkQYRShdYj7wgP7yffVMnucYBjaFIQDnl8NQp5bjorzfpGGw9TBEeIsZBBYOIGx/&#10;d1fGFMGBsszANi3whC6KEG+USfMQJTX5EAshAsJyU9s0N6SLHIQAjglGiJopKx0fCBIvB71UYroP&#10;Odcz5IEpobHTpoGmcIq1rlw/a7ufCSSfciSBeARJwvvnOBitevpk1hxEHuCtmgaTD2E7xOUwwqsI&#10;gj1FssN+H0W1pULHXgn+pEcnnte9B+UzGE5e37d/7Y9h3HxNj2q7lNTOWOmlDMZNUS5er+nkbGY8&#10;Rq48kaxdt27gWW3Ap/TG/zV17Fvu+XnmutCoanhfn8VKzyMxrfK4Ej+bANPlt3zcwFo8AlSVGRUM&#10;n/0VTyiJBsRAEdocfGN2DNU8mnlWXUdnitQi4lBqPn1n7duynW90o0617r3/aAG23J4Qc3o3Iyg1&#10;0ZTISqIQeiHS+YNTIef+5mBUuluOY6nNlpeeU8B3UovqkvctfWyoi0eufFDQOLzfQG8u4+QrkB+S&#10;nRCH5iAiznsNsId1mf0U3URz6PpHR53xXuMfbV7KOLrwUs9s+TFoVx+uxrx5YKL6jWja2u3bZzEY&#10;/e8+fw4qxd+OqJD3Pz/M8fyMDL+T2/CKj2BqU+xRCAmNLSxKY6W58fBUgFT+ZOJFMI31bkchxou5&#10;yId9ivFWlbL0I0m/Mu8+d2TDzw/A4H/cwqAOxII122Xo62XazYjahrTtowXA32ugJuZfyinCs+L+&#10;1NiPJQzGN4+k2q5MXPq5kJ++0IG9OQ5dabPXlStCGNY92hodvdaNpADQZrhGSwvjg+ggTUcfP9wF&#10;D+hmJi3qp7jH6sD4AiOyX4VcQqGGgsUQ82LcuOoUgqg5oqXZGN3z2ULln+z0mIz3gEc9Frs/swIi&#10;8jRgrp9/s0vBseafnrDaetnMbhb6jZDNpOQkJPghMrINImv9j0j02JC+A1MU7qlkHXyr8zNKFiFJ&#10;e/ZD0vIGASxBUPK1++Ooz+bdeR95UwzG+4+A7snovpGzdvb033maJtbB5cI/PDbWK890HyCgBdbZ&#10;hdhYU77GDIz0yJr+wBSFWhE+j1E1F1/PBzLplTiXBCNwn/UCbz7vW+G/3JJryaM92BMqju5YVr1g&#10;cUfvU0x4jwzjpgS/xAXNrrpUi3V+LV8IvllWinlwQ9u5DrCEO81gyOu9+X7Gh2g9VEHj1nO7F2RF&#10;XcjHVIUbIAZTzyAa8xGCSPq9WxERx4XccIa8DPH5My/I38dJ7dujz7jJh5+Qj0SxjPl5Iq6ggl4p&#10;BmNUrS3Z73+WLGQw6pY152GmO8vV//xmRco3pM3rAYPEd7BDE/Jbimy5Lt3CTAZmbrbQqGx6lCdA&#10;o07CLksDFLuWG0wC6P2AfCPLfz5EvuQuktjZt8/03JpaC/lWgp/g+4np0+NUT+K682N/rPxxO7kl&#10;QC6jCun5zMpz+Rvt/vmzIsnz6zbzNc4/RD7Z3Lv7zCZwXDXGppajbJ60hj3mL9iXSMVgJECfUj52&#10;7FsbWqOlnynV7HMfs8I7JOp/xHn4Bb/Jf49dbvIyTs70kALjPjU8RAg6zu2yN4AySkiBKRxzvb5C&#10;+GegJ81BmrubN5kjCz93o/52g0D9HAae9tOvXvuaB8YrJNqxfBaj7hE2+KKFS5cafTozAoBgMLSu&#10;De9OA7bvjanWZlMLi2y9jnOiWMohETBGtpzE/XIVWTuHT4RgifAFF7ThmpYeGR2dawUgwCWPBaV2&#10;Jx3P9MORS40w30sKqv46kMvg83MMgQzXt0lPgEdcHBYCGF/49ziHXYEHdgu5ZR9kG+m+gxBZFidY&#10;F6zRXH7+/ty6OAoEMicBwT3B9oeTaJR4tGfhB+0SL0FjUoqPvQRJhQtQa3f2A3K7wDSRnvAidQAu&#10;k8T09CP+wx7CT6APyoizQrpoRWqS1dFVaKRgF3ak+lOho6iXR7ed4fmi2DQpBPSVKzbNCsjO3Lhl&#10;zovs09XNULafQBbIAfBVIxFS505/J0+kmnMW2go7L2ZKGQ+wN0rmY2Ziw2pfzlu8EwN1uNqam5ep&#10;mIXC5fgeSlqiRseggEvP/D4KBN4Jf8GWQXqeKAjk1AIiH8DM036BWQFEvRGBxBIYKcweDvnWCQtY&#10;G2seHgh3fva9HwDYjZXYgo2FL8kF/waLiNtyomtSBwXxRwiWd4Ixs7sY779Y3uJWqXEK2pFE3Kpy&#10;Y8iaGXGhvwdsyXLMrUvXHRSlPYXioB4pGt0iXR7zHiMWWxwRjN+Fe/roZTCfDjcWR2PWjEavTTJ1&#10;JxSVK4NLU60sG6nI9EcMxQG7Meyhdf02xDsEYjnWWjoY2I3xjBXDtlc/DiGOOIoft+dxCsmPH3tf&#10;Os5JYy72mjXBW3bLdnvY2nQz1heSZ3URtVkBkb/ruq1b7UOePv3Vjes+LytLhrVyiKAAwAK5hPE9&#10;+P7yxMIwkLYLATYih+p9IP9PZdeJ0VS7vAYlXC6nt6bSAgk/WieHi6f83bvn1ulcRbZlsAJqkbQX&#10;c/IWhITpJeO0FsThA+4pobHpkwmdTJRkhT2ZvdUfZ3Z3CEgKW41ZTIwXWmf18OFuIk1J1MtdP6b2&#10;d+HqU2Tu6PiaPSZNl+2pXhfw7BwrERv/WmTRX/ADGbCmMk5x/8XrNEHktyA9fr17Y8RrZsE2N0j2&#10;Pwvrtw53TWB0eLdOWcKWq0hkUd5PiD5P3XwV548GpNEFhXAowi2M887hyz+JjnEjn1NVBy9sDKdq&#10;lyfWWB44c+b3E7qOzgJOEHg/AWGboLyWVuppjIGYd89FH4fBGvul8EBjHsgBhD48q4KU81PHhzmM&#10;U7de3XpPflsPj6nVyJaL5Nhy5MxR+0aYy931YM+/hotGA1kwWSjtkMSUfPY9mA4VDdkIpMG/Q+Fm&#10;Z2t7TQ1W/iMvLXUfd4ziapT1Yj577ly24GigCG5bOBpOMlW3vHxItBKOy4wuYAAaajUWATCTHXdD&#10;QfeXDlfrn4cvZ2ZKOVDJv/fXF6wIFuam56ouQqcYHesdCx7evv0xDy3ww270992QKX8Q41zEm9SD&#10;XZ8HNLCUqpUcCPd/0g7Sjj9ie/eIEaTGb4yThlHRaTWv6SXhDx5hNN1s+FiSYWq3OVWrweZC3O5q&#10;vIP+U4POdBYaQlakM5OyoI11wR61COsQIxUT1B6yLI5T8CYAS9+zj/UcBBKBePfbkOWzsbgrZgMk&#10;3QtpRAxponhO9XDAusPoDm5gD0WRjwiPekkIuUvRIIaJIL9qj5d7w++zgNi/g3Oaj9+BNvwA3Sxc&#10;RZX05Hcz3Udf+sGtr/mygarqtS/PcrwtdtHYF0srqwzknpko1VxFNYI5ijudcfr+hExlg2bEbQh1&#10;nuKAvVT42SDH1akQjbq5txA8286AfrZrNkwAAngYHBd3qgdwzF/73q8T3bhuZOhfsmJZmqAPGwdY&#10;0jUA+5uo4Op1cEW3YR+On8Os0wtVEQ1r/ucrMfEOIut2EuOOP9dgttylI0HIXzx65MhJEdTtY0y8&#10;imWJKzCiVtleD6CgmFgRJluUyXgxg5wY/XLGAGFJLYgOMOfxqgBifVC9m68PpWMPhDiz4Il0ii5F&#10;MtHNrGNvLmqgLVzCYZCA/vtG2eS1+dUUnmK49S+UZ0VtL/NEFvXWpf6aZ+vzHoo0626AIzVAL+fc&#10;LsamZTBWh+ovD4WfzR0VjjvuA8NDuG+q8A8eyAWSQ9XtbQwhLYLv2xASMyKppVUNtGslwnlkQhIj&#10;sQkRiD5vrdchEyNbo1cOVp1A88fWfXLVSwl6XtslBcfH1RvPxBFD2AXLr/iTseXngAiSZTUnGMjN&#10;JDDKBp7J/fFpCCkUpReff0cJUKZwfq0N6Fz8kcmxYPrQkKTE31ROoM/bwfmjx9penTrDk8im9pt2&#10;YX4AdTpCUJYeMvJDMQxcTlKyZitIq+soZoMocB7F3owQY/EdO5zkNbrX4nNT+Y9zwXSdF3Nw6cS1&#10;k9x8iWSEhiE2GaHMERtHbdbifCEhkdKU4Ad32JYzydFWhQbmgVYkfRJG3eoMrlpFpvuoL2PhcXEB&#10;xJqN0LASIK4rxAEjnEQLhr7mFeTNvLuvyFA+/FHoB03oDTKP9lW/SC9KB7m8BdV2+8BI/JVfZ8+e&#10;LcNN9BF5QLLNKKK0sdS7kHp/lf74MscpUtejoWINddmnoPD2OTUcp05PAMKYirZbcB8fYYy6YrCG&#10;odu2bhX4WYI+gcGwut2wPBQatiVo8Vs7Ou6yQQD/DEWEHYQG5swKHZAotNBph6OxBFxZLPIdE5sH&#10;RrZQfZtutHhgxFVbUTF/K7zjHjD/da1M2DhadVRPz1w/2/kcEuFk3cfPi+DJ4oEjuS22CJ8No7me&#10;Y4Dq8f3PMEliz/2UL4vQLD+Mi9Plda6Ro4/kmf7j5Zf11tYrtp6suD2fla8BOQljeghI/YtbvezL&#10;ly9JMFn6I871MHTc43T5zoTIawVlkaP8OSz4YZJ6aqp6+A5GuGYnGYtLSTlnPXsmqAMfJ0yGzui4&#10;eqEfm3fbacmluYud+8EzCC0OBqFvWgdrM3nwrJeHvk/glrD8cunKRON8mAIfWJ9ftg37zzfa7lJA&#10;9iKa7D1hYmzcAJllKktbGZz8DAb7WQPLexA6uo4PV/JjKXnixuuDOd0RzvItg+hjO/GcJ1CKfKHe&#10;r7u3l7sDoo9jaPI5ChqnCExBcRQII52ZhL4OpDRIQY7hBZTctHsLWeJTEJHEISaY/8XSIRzTX80r&#10;TdFXg+oKt7GyCgdsGdMJv5TYunV5dbib2fs4IathDje68wTRaI2/YHBe1dwE2GOIL8UNPIMERRbB&#10;nBET0Ib7jOHppypkw4y0Gq1eKpEd7O33EdJ1mPp32DiEwRjQKABFvtu6RthDY+RR+Ynj2AUYYia6&#10;XYflf53fA9yLU1JWPnBPwuro7NvFbFv1uVlZW6h+896xk0XhHbGaINn+UI2+wckaAMsHJKpJIOpX&#10;hvQrJ72Yl2UniAPqwJgJMXGcm8oBLTjd6J6CbO7MNpYTfNEeAMZe065JwL7nro27Sw+ewYRyh0pB&#10;hHHH+WFPt9GBTBX8hTfHmJxwX2FkkC5W8F4opu+gTbHCkJl4qm4V94yHXsLs6afWTTnddZ8aq2n/&#10;EOTU3d2tcc2U2KlkHD7ff/1atb4uMjwekN6zTyCowqET20AFOP5CtkpjcRGRM7jCkyIwHmpNtcme&#10;3fSEyRx+pVsahl2UJDdLjQdw+I2izkYlrK+jU/QHY0lRmQLo30Z1CISU96luJJCchgGkILG/A2TH&#10;ZAF8NyphE+KAh6CGZX0PFHpVwmYAAlCPrJbGcwuNNjLFvzP5c+1IpukUZ6jOeSyTSBrfTDS5XhvU&#10;gsIOaWsn7OpQYcHpJxOFspGVm1sOF8nZKihollY63fhB+6EIhcXwyEj3ho+jKKMAkfBmbJEIQQUX&#10;EHD4GYJDD+ESTUBAn3teUXpGRgGiOLKZFi0azMW6+QRdzNSGn+f8gM/BDGy7pMjWEiTPvFUJjlhL&#10;xJxysLH9oKioNSf+9iIM1RNvRrH3UCRc8J88ElvCfvX0uFdTUWlSFBQLk4IVOuHHsdI/px/f0bXB&#10;kkw0R8YD3WA5RMtZFp2iuO+Rgly3AyjhL0SsQNvJGrDmL5CTpxhppXLl6lVhwO32kE2tgtaoE4ql&#10;tte4CT+wOTbR1Y9IAj7ocmrI5LysFOa0KqRt3stFVrYsupxZ+lUW6wmuxwmIMBQ1JZdsSYnIk7tR&#10;YOymvx0mk8Rlfz9MFtI15hQ5mxvIyOK+nGKzlF//lIOlt/bb7g/bLgopxq1HgGZaoP7XD3BDOkk9&#10;Tu7ekdZgo0lDZLD8pE1DIfEY3fRk3WCMgSkMsBgIYF1MLwb31illXHVGtn8MoOmgHFQEvh1tXbxw&#10;Oy4PrMEGBNW9xSo9D1RjwEg1Yp7CVM1mWQRMQVvsLMMy80JUQaQjLUbYBcqpxtpQvOvgQTRv6UcO&#10;BrjBE6yioamZj8FBTy6vEt/lUvXQ9z1S1/4CUPahqwrwcsz62mA0ClEoVJnQzP7bswJN74jJzZ06&#10;gD4tNXU/woJH76J/fIlN6IaxQi6G5FBr2Enx2+eo+wew00CjlugssuiyhUezBjRJDGpN3YB2+Qrs&#10;KNRqoK2E+QHg8ihgndU0OKD/5Y64efMbCUoM8rfFaqK7QQbaWr/1Y3RiYZafdx4gj/xw46WeL6P2&#10;c4RiLM5O0pRQ8wcpUQ2+Yjf+n395e4q36iccfm6SW7ZY9qGTFeb1gpqjohO8TAFZ3yjrB7qzX4SY&#10;jr3v/ogwIQ+q12j+IO72lY8Qv1X1pYWumd62tuXAmO7NovMrQGbpkzNcRTNnznxJYi9EsfLrV03g&#10;VGNHAXOqpqamtDV2JZAcf+qHOrpWzpO3OJlSwIeGDxHqd9ugEj4PDegbgvE1Dh/metyTiOYyJLrR&#10;AcfcQDk0im9xVYR5MSugjs15frIy+gyq6AW2f9FMWd+GUANMdCP4V/+c+jNuBgaryXNsAcPXb2oS&#10;MerdzgMuObkmHCnhnQNRAjt3uv8A/0lK+Bcaqqpx2lUT1DByFSVR63LqB1DR1TNEk1Ud1zD2aIQK&#10;SmDWkiNGTGkm6Ka0eQJ+KUb75RFob69RRx/voEZ2HWVMcK1efRtVQlovNncCNdprAXEgN0xNLHij&#10;bv7jh1BuF8GRFBZUuPOapNqwwGrMT58HNNL/R//mA5gSVP++kf82PH8YjiPrTtv12i1lqoPQlQ+h&#10;jtbFdxqTu23w8gdRLMh1FdLD45+BSvMJ7saDkLVm32BWgA8vA5rbj5TCTnG1AyD4IhXMpB4BTEih&#10;kx7sXfdlZgVSrOZ7/UUDgjqWNLX7tiDFihPx3fkbN2zYEYHj6BpGsabUnPPxHV7JhNlqDGb/Q/wn&#10;MICh421NR1TjG9us/V6YKvEZMVYJYK7KcKvl4KKvJFLlGlkJO/EZuaFmEIM+nr2gsZdAftjLsKYP&#10;mPxCulbmIl4vTAr/tXeUC2pPP6T9QL50Bg/iCwb4CN2Q7cExvxPEHra0B8Knko7W2djbD273Yj4g&#10;AeXc65oaxynPGbMiVsKrR8TPqYksXFHvwSWjazOvnKjjjYZ43Eg7QX/FPsc1zMzM/SxYU6shaube&#10;6brdq0f/DJcKLpw6mAHpBwF3m8H7/mbprfeF0NfqTqGN0aAiEwPai/swn8BC8VU9MrE85mPzb8Wg&#10;aT2qHx0Jz/jgLroor2CFLBuGrRuc5WFbsIIoE4AVjYQGQ76z2qLTOo+wpkkYW9oBzVhyLLh8HVaZ&#10;stPWTeCx5nBemU9LDDYIvm1D6TDsCqIqOdvcBCTnBtyT9+6iH1oOhGzPvYHMNzUdOK6W9LnPN4q5&#10;5HC157ROA0axDK2djAAxkRpXqXbKYy1y557v3bOHk++G2wY+PilTTJTzHhvG08AIx2JRq2d24H7U&#10;hXFlt6P79tj8gUkgBFMGOUPftz1DUcDdmLh67bETrDNnKmz9YXViAN8CiXUy2DSzGzPk5feI15W9&#10;e0igRXMvIZ0Vn1oQ4KfwwEmffKBVdUji+bhbzD8SYjDuKikHE1zPcg8ePNhO0313ojFWs2vCjSVS&#10;g1Hc3kuVAXJXm/Uqzwt4M+UyzxlHzxQwxj8jn7fPvZq36aIQAqJ41hASXm2mLHHBnqoq1LO/XHoa&#10;diytHFGKvZb3nY0yqF8U5sxgRGVvgl9a49Ah5pOoH9PGTzLq/BwMLEm1o1W1yqVuHRgw2EcjCN2h&#10;wiX2s5QfKUbTJ1rwh2MIlO/AxNKbIf1LcI42Lg/FndQtCszqSObATfNpQOdozD0mXgxBPwI5Yv53&#10;3A5V93JRItQ9hYXSntIbHoCGefAMf5aQ7FCcTgj7itnnKNS/hwhSwAXaFmtioPCYQszHZcIWI91H&#10;f5parCFUGTmGFtJgtaXt22d4vkitN2a9z12wpHGH/YlpYmLi/KzLlF9xT5sqz5EBczciAhozGDxW&#10;Z2TXndxGW58gBH2hmiAA0wz5CJbe2/lX7Rl1rERkqOO5INPBnMbEMt6v+7rx+AnWFyqY56VtCgak&#10;9WzGS5TR2AUgTZACV7cSx/j0SLfwhdNA/UktursoDhCf/tx9aSASN3Xwo5Yrb5vmKU5qRUvOr8Rv&#10;ZryLIegF4ys2/At8vxAglDrKCaRiELorYn0SERD0jKzEyShfe+9/mc3wLHwT3hGVfQkUiVQzH2/m&#10;AOouJwRiWsFq5ETeCXw0eQtP+mV4hgcJG+1oQ7sxlUuUCNqu658tuRcxwukv/gDSZzP2IQrynv1g&#10;chg8B3E5fTtgX/EVw8SOru7jG20uWCgN2gY/4zAQmCN4ogvxscrpTycAW7KhATE0xvvKP0+SudcX&#10;ihAXeaKFltPTBFzgaGfne83X1y7u6VOTj+FL8cV9797llIRxzf/MRqnpv0vsOy7JAdgPU0HKSv3z&#10;dGat8X/EycHR3oxfAmh5wHHn9F95Yd91rh1ihiiTONAsKE9/6qXLWFmvaiPWzA9RMvfwSU7uB3sU&#10;ckhL69lKIM0TiEPr++eN8fDxFe7HTeaQ780yRS/nKCs4HrNC2F9omAUyziz20l8pvxGXHP2xdcrX&#10;h/19fPZuaxxhVNzD1xZroc/DrCCSOZ/R0UEt9uTE36aI/LG1jO4V9HdB9tuPUEvDN+dCUXT4DVcs&#10;LuDrYKI/2Yo/iST57Rg4lxgOkg3oAz54ixnasUrch3+n3xxe7Ls7oaF6i6DtbMx2cdyKhYtrFmBJ&#10;9CT40I2c1bNXY1yI/EO6RjEEUeB75n6UZZhb2H7YyKjca5O/vAoGDN/chNart7PTeYwacgSYzcQX&#10;YHjGK6mo+NcA/uDcfuabBl6s/HL6ZO0oplNR4wkDaF5LP9BzCwVcUOfTCTdEgnhImXPmwL+/WZJ6&#10;CNhARvCuDHdNvwC1aaQHO5jA1XX4Hp7x2D4n/KAzRJoaNwzhZw4cPJh2f5o+vAxSsg1FSDZmsrMi&#10;oKGKUFfdC8asFcYIX38ENYEFkglcqS5mnOBFz3HY3T0nyd//IBPtYQxvnXn0JKYzTvNsVKBvoXQ/&#10;+ptPWtEnopSz6Y9IH2ML1vHJFOMCnzyQx6Io5kTp28lbIPmh9SAV59C8+eNGZeqgzwDyqeIhofUU&#10;utCLGANDbEMlLDxGxVGM28xSgA4HKagj5vTZdPGmKkoIv0EP9Ru43D0cX/idK4lSgy1kK3R6LWEU&#10;TYMnz2NBHxv9l8RLdOBTb7fuYXj+EaDP41+k4fXTT14Fuz0K8zsvHsMnU0FQHxfVd/SpGA+uoR7F&#10;CMu2VlAZ5vCMqeITVczw2S//imirr5AQ9mIWwu9H02fNQ0IwKVX8CKYkHccb9qQZbHXYfB61KEE+&#10;oBJXrXi7jFFhSJqaZ6DMy6lNRNG9So3+XoyH5eFwdXO7RDwECJblo9iW2/DyGQxVWFwF0kEyDAEj&#10;ioCUcM///IEjW5bL4dvYohn5Dt5kFr1SxnoWLMqzROLAufvF6vjxW/QsK+bjJ0hCQTN4ggAe6kK5&#10;rJfPBMyPoBkBtaAtO47DG0cD+BqJmm7E+jxrSmXeDq4DlahT8zp//QqZJq1PWIFvKYWAKTNSxqkK&#10;qTKgQfH3L8bfr4NCKJcLsKITAX9gwLinv4EYDFxWeMiuaFo8zJCTvJSesBO47pvSEAhMWiCxTzIN&#10;uYIIdiv36nHFUuGaeUH+OOT4x8mFCmLDiJ7Su4VgPhveiCwCzv5Y8srxdLrmuYpEM+1gwwrigij3&#10;1Nmz/Z7fvn3TovYLn9YzC0fyuw0ApcZRS9ggo351peX9UQZjlrCq4i5NqJNXzZ6zEXdRQX5++jPD&#10;7NEoomBWiJvpR2Np/5jf4DnjR1Ba2t9K6tIXLFliWE2vHcBGk4LjAay6Co/JgUgWpDhlWAPWcift&#10;yTSfMZ/hhFG7N/VQSpAOAd2OJohASfyDNjL2u2OJR+dZj0r2AJrPEgwTnKZM6OlVhLMy+ufiWZL/&#10;4je9cXo/BC9h+unR1u5utzs9WWDtgSk7EPdrCsX7eWovKBLLvn22pwy20ztZ4H5vCF1BYq8W8rTd&#10;FYkfQcFo/vPDQkaFLeizkpKCgg0HDAwmSkl6hWkOHg+lNzJ+sDfwzK6bDTDTnzofLP006mapZu+A&#10;sKBCFHz8w5rH6jE9pBqAUOcWHUnTP5fuxhUIPcyaBnwhnZWLQOieEuGp4DF6FR0NcTDPKLLtQhJP&#10;CvqlcczSiKAJ0er4NM678cvvpHF3haJ3PLwaB7QEENgmmOPTPiC9+hfmoPaIbFvGiNpGzTn0mHwf&#10;iPEHlp6rhnMO//+vRebAzChBuoN3gDprOgA+nabYXQIuWok9uJY8or1o67N/fljMqMghMzW+gBfh&#10;I+/Aa20HdH0RaLsKFYr27XPl9XCgn0whJeAg4YiwtgRnn+97S9c3MZpuGPmi/khakiFfr40rYBzh&#10;jm0ohc25sf4zqA1DETCAYj8Szb9C5sCsKMELryp3hT6E3gj5hlIS0Pdb0HtN8ZiaTEW2TA584LqE&#10;m3cB1CJgy2P056Ng+/YFjJsHcSAWoNgwyjp/HIN8T0fif+X4d4I+iD/gWrVKmmY2zGl0mlmhfXz7&#10;khtL5Mdu4TdxQ4N1azi2j6BTpom7PGuKbOMh7bmMzVAes2M/w5OLH8c4ld2sBp9paYMf3J8C3c85&#10;8Cgk42zyvLWPsX5givHxz5ovH3PFTHArMlSVDigmKBy7+P8BUEsDBBQAAAAIAIdO4kBQSjhJxwIA&#10;AMICAAAVAAAAZHJzL21lZGlhL2ltYWdlMTYucG5nAcICPf2JUE5HDQoaCgAAAA1JSERSAAAADwAA&#10;ABwIBgAAAL6U5X8AAAAGYktHRAD/AP8A/6C9p5MAAAAJcEhZcwAADsQAAA7EAZUrDhsAAAJiSURB&#10;VDiNnZIxSBthGIbfu9zlArG0BLyoECsIJRkCSSFTMKRthtBkcFBoipOIgx2qmFKkbg1FtLQZ0qGU&#10;ToVzcOjQEjokVlsnS2y5wUPoUANB7qSgNhBz6d3XoZyIxZrcB+/2P9/z/vw/Q0QYHR1dKRaLt8Ph&#10;8FdcMP39/VVJku4CAENEiMVin1iWNdfW1uIXwaeHBQBN00RRFLVOwBNYVVWv1+tVO4abzaZwcHBw&#10;xZZ5f3+/GwBsmVVV9QKALbOmaaJdM2eZLXh3d/dqqVRKGIbhAACe51vJZPJDb2/v3j/0wsLCQwC0&#10;vLx8J5VKvWcYxgRAp8NxXGtkZGSlXC7fNE2TISIQETA9Pf3cOtTT07M3Pz//WFEUf61W66vVan2y&#10;LAdnZ2efejyenwBoYmLilbUAg4OD3wFQLpd7pOs6b209m0aj4cpms0sAqFAo3CMiQJKkzNzc3JPT&#10;dc6LYRhsOp1+x3Fca319PfZX38EcHh5eDoVC3wYGBn7813RestnsktPpbLKdvi0AJBKJkq7rTlvm&#10;er3u5nle7/jO1kQikS+2agOAIAj27gwARMTYqm2aJiuKooZ2PsfZbG1thQEQOzQ09LlTc7lcvnVS&#10;X1EUf7tW0zSZeDz+MRAIbIPjuNbMzMyzduF8Pn8fAC0uLj5AJpORBEE4rlQq1y8CV1dXbzgcjt/D&#10;w8NvDcNgoWlat8/nq3Z1df2ampp6Icty8GzNzc3NyPj4+GuXy9UIBALbR0dHl4gIICLs7OxcGxsb&#10;eyMIwjEACgaDcjQa3YhGoxt+v18BQG63uz45OfmyWq36rMV/ALKwEj0sIrwoAAAAAElFTkSuQmCC&#10;UEsDBBQAAAAIAIdO4kCndUewAQIAAPwBAAAVAAAAZHJzL21lZGlhL2ltYWdlMTcucG5nAfwBA/6J&#10;UE5HDQoaCgAAAA1JSERSAAAAGAAAABIIBgAAAEHsHp4AAAAGYktHRAD/AP8A/6C9p5MAAAAJcEhZ&#10;cwAADsQAAA7EAZUrDhsAAAGcSURBVDiN7dQxaxpxGAbwp3d6CkUs1+VwKIq3nFlU0ME/KAj9H/QT&#10;lHbsWJAKjm4dA5GCo6PiJxCiEDCgEApNlquLYHEJFAxXimCink8noRSSXCl08oF3+73vs70oFovn&#10;JDGfz1/Ytn0KgPF4/JsQYiSEGKVSqa8AmMlkLh3HOSIJkpjNZolyuXwGgIlEYrb3lmVNADCbzX5x&#10;HOcIQoiR67rPLMuaRCKRn41G48N6vQ7uD+12uyfdbve1rus3Uso+SSwWi+emaU6j0eiPZrP5frPZ&#10;BH73nU7nja7rN7Ztn6JQKIyklP1AILAZDoelPfxzqtXqSSgUunVdN1oqlYaapt2Nx+PCfb5SqXwK&#10;h8MrGIZxDYCtVuvdfZgkBoPBSwCUUvYBsN1uv33I93q9VwAIAKzVascPYZJYrVZhTdNuAbBer398&#10;zC+Xy6eapt0hmUxOt9ut+tgCSeTz+QvLsiae5yl+fDqdvlIMw/iuqqoHHwkGg9tYLHatKMrOj1dV&#10;1VP8wH/JoeBQcCj4DwUAQD9/hSRyudznv/GmaU5/ASqpltDnSULyAAAAAElFTkSuQmCCUEsDBBQA&#10;AAAIAIdO4kDeTNKwjQIAAIgCAAAVAAAAZHJzL21lZGlhL2ltYWdlMTgucG5nAYgCd/2JUE5HDQoa&#10;CgAAAA1JSERSAAAAEwAAACUIBgAAAKBz0nwAAAAGYktHRAD/AP8A/6C9p5MAAAAJcEhZcwAADsQA&#10;AA7EAZUrDhsAAAIoSURBVEiJzdYxqFJhFAfw8/n59GpceSI8hHLJSQ0KCXHI6yRNLg4RKAop2aAU&#10;uDgJTS0PFN4i8hyEK4JDS5NNvRwkRAUNp1zeQ+iCoYlPn96up82m6On9hg6c9cfH+R8OH0FE6Ha7&#10;7mKx+KparYaXy6XR6XQOzWbzFPYoSqkCtVrtOQCg0Wi8jsfj5+12+zEiwiENHo/ni8PhGE6n0+ND&#10;kR0GAJjP59+ohRARQKfTrSeTiYUFpnG73V2LxfJjn2H/rTSUUoUFBACgYQWxxxCRMNNMJtPPxWJx&#10;h0ma8/ncVK/XnzF5mcPhGHq93haTpS0UCq8BAEVRDKvGNpvNkSAIFxzHrTqdjlsVhoggSdKJzWa7&#10;tNlsl5IknajCEBE6nY6b47iVIAgXm83m6BCMIOIujGq1Go5EImIoFHqfTqfP9gmSEPJHHY1G97PZ&#10;7DuDwXANALhvU0p/acfj8d1EInHeaDSeEkIwGAx+iMVilX3PNiEEIZlMFvV6/U0ul3t7dXV1T1Wa&#10;PM/Po9FohcnSAgA2m80nTDC73f5tu90SFpjGarV+J4TgP+Z7q/qPLy1TbDabHbMEsdfrPWKSJsdx&#10;N6VS6SWTZ0Wj0QrP83M1d2y3tIPB4AHHcSu/3//p0Du2wxARRFEMAwCmUqkz1RgiQiaTOQUALJfL&#10;L1RjsixrA4HAR51Ot261Wt5DMOLz+T4rikIBAGRZ1vb7/Yd6vX7tcrm+EnL7nwOlVPkNFtKQ9VdZ&#10;TNQAAAAASUVORK5CYIJQSwMEFAAAAAgAh07iQH4Ufp5ZAgAAVAIAABUAAABkcnMvbWVkaWEvaW1h&#10;Z2UxOS5wbmcBVAKr/YlQTkcNChoKAAAADUlIRFIAAAANAAAAGAgGAAAAIfB3VAAAAAZiS0dEAP8A&#10;/wD/oL2nkwAAAAlwSFlzAAAOxAAADsQBlSsOGwAAAfRJREFUOI2VlDmP2lAUhQ/PLjxuQhJrWAtM&#10;hyWGBjASyihFHEGbSEmb5TdM/gP+DSwtSFBPMAUyipRJUgESdDNFJpuGJRSYKXi+aeKIIoPMkU53&#10;vqere/UOiAhEBNM0zxRFuQFAAKhYLH5QVfUSACmKcmOa5pmXBRHBtu1TAGQYhtXtdp9yzhkRgXPO&#10;LMsyDMOwANBgMHhERIDrugFd1y9isdj1er2Wvdd2vV6v5Wg0+q1QKHx0XTeAdrv9HADVarU3/wM8&#10;V6vVtwCo0+k8C+i6frFare6Nx+O0KIpb3KHtdium0+lxMBj8zUaj0Um5XD7fBwCAKIrbUqn0fjQa&#10;nbDNZnOkadpkH+BJ07SJ4zgyA4BUKjX1A+3maD6fP9i3BM+z2ewhAEIoFPrpB/B8fHz8i6mqeuVn&#10;NE/JZPKSCYLAD4EEQeDsEMAT45wLhwCccwGRSOT7IYsIh8M/AICWy2XQD7BYLO4DIAYA0+k05Wc0&#10;L8cAYDKZaH4gL8ckSbo9BJIk6TaQy+U+O44jD4fDzL6bcc6FTCYzlGXZQbPZfAmAGo3Gq31LqNfr&#10;rwFQq9V6Ac45y2azX+Lx+FfHcY7u+u6xWOw6n89/cl03ACJCv99/jL/FYlmWsVssvV7viVcstm2f&#10;/msjIkKlUnnnVVgikbjaV2F/AHCyxSY+2BQ/AAAAAElFTkSuQmCCUEsDBBQAAAAIAIdO4kDJC7yE&#10;MgIAAC0CAAAVAAAAZHJzL21lZGlhL2ltYWdlMjAucG5nAS0C0v2JUE5HDQoaCgAAAA1JSERSAAAA&#10;DQAAABgIBgAAACHwd1QAAAAGYktHRAD/AP8A/6C9p5MAAAAJcEhZcwAADsQAAA7EAZUrDhsAAAHN&#10;SURBVDiN3ZM/qFJxHMXP7/ZUTBsUTLz474JDEK4ud1GhF/po0DAUGluDgpYaAgddBAVXV3mE4Bvk&#10;FiqUy5saQ3BoMB714Dq8RSVM7z1NSjzodt/agTN+ON/f73y/giT8fv+V2+3+qSjKHBbq9XpPZFm+&#10;xGazcQJgtVp9SxJ2LC0Wi7sAEAwGdauUPyXpuh78z6AjXdeDXq935XQ6f/X7/cfdbvfpcrm8AwAe&#10;j2ddLpffFYvFM5fLtTlQlUrlFABlWf4BgJFI5EJV1XNVVc/j8fgcAAOBwKJer782TVOQBAAQANPp&#10;9GQwGDza7Xa39n0YhiENh8OHuVzuAwA2m82XJIFisdiPxWLfttvt0d/KNAxDKhQKZ5IkGePx+IEw&#10;DEMSQlAIQavHr1YrbyqV+kxS2FqbvVut1gsA9gGSmE6n9wHw8Bt2RFKEw+Hvkm0CgBCCiqLMbwQd&#10;4JuOF41GL2DVz3XPZrN7ACg5HI4tSWEnaTweHx9SJ5NJ+l8p6/X6djKZ/JJIJL7C5/NdZbPZj1Zj&#10;mqYpSqVSTwhhapp2gk6n8wwAM5nMJ03TTq4v7Gg0Os7n8+8BsNFovCIJkES73X4eCoUuYXEatVrt&#10;zf40fgN1oakFgngLAQAAAABJRU5ErkJgglBLAwQUAAAACACHTuJAFY1EitABAADLAQAAFQAAAGRy&#10;cy9tZWRpYS9pbWFnZTIxLnBuZwHLATT+iVBORw0KGgoAAAANSUhEUgAAABUAAAAQCAYAAAD52jQl&#10;AAAABmJLR0QA/wD/AP+gvaeTAAAACXBIWXMAAA7EAAAOxAGVKw4bAAABa0lEQVQ4je3Mv0sCYQDG&#10;8ecuX5AbrBMnIQPxB4jDgZtvuBw43loNQpBCW9D/IbgJKUiLt9YYuIS6BUIQpEdgQmMeN0Sgck+T&#10;DVFm0OgDz/bhi0KhcEsS1Wr1PBgMvmua9ial7Ekpe4lEwgFA0zQ7nueFSMJxnEQul7sDwEwm8yCl&#10;7OXz+b4QYhYKhTzbtg8hpew1m80TALQs63oymeySBEksFoutWq12BoD1ev10Op3qqVRqGA6HX9vt&#10;9pHv+8rSDofDlGEYg2g0+oJsNnsvhJgVi8Wb+XweWKLlfd9XYrHYs2VZV6ZpdoQQs263u//VkUSj&#10;0SgDIAKBwDydTj+6rrvzHSSJSqVyIYSYAWCr1Tr+yY3H4z0AhKZpb6PRKPkTJAnbtg8AsFQqXa5y&#10;JBGPx59UwzAGyWTSwYpFIpFXACiXy81VDgB0XXdVRVF+c59TVZVrubWLf9gmuon+d7Tf78t1seu6&#10;+m/G87ztD76c+dTl6q64AAAAAElFTkSuQmCC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KAAAAAACHTuJAAAAAAAAAAAAAAAAACgAA&#10;AGRycy9fcmVscy9QSwMEFAAAAAgAh07iQPsYn+w2AQAAiQsAABkAAABkcnMvX3JlbHMvZTJvRG9j&#10;LnhtbC5yZWxzvdbdaoMwFMDx+8HeQXI/40lb247G3oxBb0f3AEGjhpoPkmysb7/AGKxQzu7OpYon&#10;fxL84eH4ZZfqU8dkvJMM6oZV2vV+MG6S7P38+rRjVcrKDWrxTkt21Ykdu8eHw5teVC4vpdmEVJUp&#10;Lkk25xyeOU/9rK1KtQ/alSejj1blchknHlR/UZPmomlaHv/OYN3NzOo0SBZPw55V52soK/8/24+j&#10;6fWL7z+sdvnOEtzYsnYZqOKks2RWD0b93NzXwU2M328oe0DRsMMatjQNW6yhpWlosYYNTcMGa1jT&#10;NKyxhhVNwwprEEATIQCtKGZRfJ6iQSuIIrAGIMISUC2BiEtAvQQiMAEVE4jIBNRMIEITUDWBiE1A&#10;3QQiOAGVEwQNFyBQL4j8BtRvIPIbUL+ptuL3PPjND3T3DVBLAwQUAAAACACHTuJAeee6BAQBAAAT&#10;AgAAEwAAAFtDb250ZW50X1R5cGVzXS54bWyVkcFOwzAMhu9IvEOUK2pTdkAIrd2BjiMgNB4gStw2&#10;onGiOJTt7Um6TYKJIe0Y29/vL8lytbUjmyCQcVjz27LiDFA5bbCv+fvmqbjnjKJELUeHUPMdEF81&#10;11fLzc4DsUQj1XyI0T8IQWoAK6l0HjB1OhesjOkYeuGl+pA9iEVV3QnlMALGIuYM3ixb6OTnGNl6&#10;m8p7E489Z4/7ubyq5sZmPtfFn0SAkU4Q6f1olIzpbmJCfeJVHJzKRM4zNBhPN0n8zIbc+e30c8GB&#10;e0mPGYwG9ipDfJY2mQsdSGj3hQGm8v+QbGmpcF1nFJRtoDZhbzAdrc6lw8K1Tl0avp6pY7aYv7T5&#10;BlBLAQIUABQAAAAIAIdO4kB557oEBAEAABMCAAATAAAAAAAAAAEAIAAAAHeOAQBbQ29udGVudF9U&#10;eXBlc10ueG1sUEsBAhQACgAAAAAAh07iQAAAAAAAAAAAAAAAAAYAAAAAAAAAAAAQAAAAxIsBAF9y&#10;ZWxzL1BLAQIUABQAAAAIAIdO4kCKFGY80QAAAJQBAAALAAAAAAAAAAEAIAAAAOiLAQBfcmVscy8u&#10;cmVsc1BLAQIUAAoAAAAAAIdO4kAAAAAAAAAAAAAAAAAEAAAAAAAAAAAAEAAAAAAAAABkcnMvUEsB&#10;AhQACgAAAAAAh07iQAAAAAAAAAAAAAAAAAoAAAAAAAAAAAAQAAAA4owBAGRycy9fcmVscy9QSwEC&#10;FAAUAAAACACHTuJA+xif7DYBAACJCwAAGQAAAAAAAAABACAAAAAKjQEAZHJzL19yZWxzL2Uyb0Rv&#10;Yy54bWwucmVsc1BLAQIUABQAAAAIAIdO4kA+ICt92gAAAAoBAAAPAAAAAAAAAAEAIAAAACIAAABk&#10;cnMvZG93bnJldi54bWxQSwECFAAUAAAACACHTuJAorBkoncmAAADbgEADgAAAAAAAAABACAAAAAp&#10;AQAAZHJzL2Uyb0RvYy54bWxQSwECFAAKAAAAAACHTuJAAAAAAAAAAAAAAAAACgAAAAAAAAAAABAA&#10;AADMJwAAZHJzL21lZGlhL1BLAQIUABQAAAAIAIdO4kDIuKFCxQIAAMACAAAUAAAAAAAAAAEAIAAA&#10;AEcqAABkcnMvbWVkaWEvaW1hZ2UxLnBuZ1BLAQIUABQAAAAIAIdO4kBspD06YgIAAF0CAAAVAAAA&#10;AAAAAAEAIAAAABU/AABkcnMvbWVkaWEvaW1hZ2UxMC5wbmdQSwECFAAUAAAACACHTuJAjcAAOhMC&#10;AAAOAgAAFQAAAAAAAAABACAAAADYNQAAZHJzL21lZGlhL2ltYWdlMTEucG5nUEsBAhQAFAAAAAgA&#10;h07iQAJhpyvbAQAA1gEAABUAAAAAAAAAAQAgAAAAqkEAAGRycy9tZWRpYS9pbWFnZTEyLnBuZ1BL&#10;AQIUABQAAAAIAIdO4kD38oDDcQIAAGwCAAAVAAAAAAAAAAEAIAAAALhDAABkcnMvbWVkaWEvaW1h&#10;Z2UxMy5wbmdQSwECFAAUAAAACACHTuJA2n8VgdsBAADWAQAAFQAAAAAAAAABACAAAABcRgAAZHJz&#10;L21lZGlhL2ltYWdlMTQucG5nUEsBAhQAFAAAAAgAh07iQKWUFUdFNAEAE2QBABUAAAAAAAAAAQAg&#10;AAAAakgAAGRycy9tZWRpYS9pbWFnZTE1LnBuZ1BLAQIUABQAAAAIAIdO4kBQSjhJxwIAAMICAAAV&#10;AAAAAAAAAAEAIAAAAOJ8AQBkcnMvbWVkaWEvaW1hZ2UxNi5wbmdQSwECFAAUAAAACACHTuJAp3VH&#10;sAECAAD8AQAAFQAAAAAAAAABACAAAADcfwEAZHJzL21lZGlhL2ltYWdlMTcucG5nUEsBAhQAFAAA&#10;AAgAh07iQN5M0rCNAgAAiAIAABUAAAAAAAAAAQAgAAAAEIIBAGRycy9tZWRpYS9pbWFnZTE4LnBu&#10;Z1BLAQIUABQAAAAIAIdO4kB+FH6eWQIAAFQCAAAVAAAAAAAAAAEAIAAAANCEAQBkcnMvbWVkaWEv&#10;aW1hZ2UxOS5wbmdQSwECFAAUAAAACACHTuJAojTasvIBAADtAQAAFAAAAAAAAAABACAAAABbLwAA&#10;ZHJzL21lZGlhL2ltYWdlMi5wbmdQSwECFAAUAAAACACHTuJAyQu8hDICAAAtAgAAFQAAAAAAAAAB&#10;ACAAAABchwEAZHJzL21lZGlhL2ltYWdlMjAucG5nUEsBAhQAFAAAAAgAh07iQBWNRIrQAQAAywEA&#10;ABUAAAAAAAAAAQAgAAAAwYkBAGRycy9tZWRpYS9pbWFnZTIxLnBuZ1BLAQIUABQAAAAIAIdO4kD3&#10;sw/EIQIAABwCAAAUAAAAAAAAAAEAIAAAAPQnAABkcnMvbWVkaWEvaW1hZ2UzLnBuZ1BLAQIUABQA&#10;AAAIAIdO4kBY+QqPKQIAACQCAAAUAAAAAAAAAAEAIAAAAH8xAABkcnMvbWVkaWEvaW1hZ2U0LnBu&#10;Z1BLAQIUABQAAAAIAIdO4kB/LU6ZzAEAAMcBAAAUAAAAAAAAAAEAIAAAANozAABkcnMvbWVkaWEv&#10;aW1hZ2U1LnBuZ1BLAQIUABQAAAAIAIdO4kClxg1m6wEAAOYBAAAUAAAAAAAAAAEAIAAAAD4tAABk&#10;cnMvbWVkaWEvaW1hZ2U2LnBuZ1BLAQIUABQAAAAIAIdO4kCTaiS+SQIAAEQCAAAUAAAAAAAAAAEA&#10;IAAAACM6AABkcnMvbWVkaWEvaW1hZ2U3LnBuZ1BLAQIUABQAAAAIAIdO4kAJMxNP0wEAAM4BAAAU&#10;AAAAAAAAAAEAIAAAAB44AABkcnMvbWVkaWEvaW1hZ2U4LnBuZ1BLAQIUABQAAAAIAIdO4kBHrDE+&#10;RQIAAEACAAAUAAAAAAAAAAEAIAAAAJ48AABkcnMvbWVkaWEvaW1hZ2U5LnBuZ1BLBQYAAAAAHgAe&#10;AIYHAACsjwEAAAA=&#10;">
                <o:lock v:ext="edit" aspectratio="f"/>
                <v:shape id="Freeform 3" o:spid="_x0000_s1026" o:spt="100" style="position:absolute;left:6329;top:2188;height:318;width:2;" filled="f" stroked="t" coordsize="1,318" o:gfxdata="UEsDBAoAAAAAAIdO4kAAAAAAAAAAAAAAAAAEAAAAZHJzL1BLAwQUAAAACACHTuJAt/6oxb0AAADd&#10;AAAADwAAAGRycy9kb3ducmV2LnhtbEVPS2vCQBC+C/0PyxR6092oSIiugaYIXmrx0Z6H7Jikzc6G&#10;7Nak/75bKHibj+85m3y0rbhR7xvHGpKZAkFcOtNwpeFy3k1TED4gG2wdk4Yf8pBvHyYbzIwb+Ei3&#10;U6hEDGGfoYY6hC6T0pc1WfQz1xFH7up6iyHCvpKmxyGG21bOlVpJiw3Hhho7Kmoqv07fVoP6fOuK&#10;av8+fChzeDkPi+dkfB21fnpM1BpEoDHcxf/uvYnz0+UC/r6JJ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3/qjFvQAA&#10;AN0AAAAPAAAAAAAAAAEAIAAAACIAAABkcnMvZG93bnJldi54bWxQSwECFAAUAAAACACHTuJAMy8F&#10;njsAAAA5AAAAEAAAAAAAAAABACAAAAAMAQAAZHJzL3NoYXBleG1sLnhtbFBLBQYAAAAABgAGAFsB&#10;AAC2AwAAAAA=&#10;" path="m0,0l0,318,1,318e">
                  <v:path o:connectlocs="0,2188;0,2506;2,2506" o:connectangles="0,0,0"/>
                  <v:fill on="f" focussize="0,0"/>
                  <v:stroke weight="0.0110236220472441pt" color="#000000" joinstyle="round"/>
                  <v:imagedata o:title=""/>
                  <o:lock v:ext="edit" aspectratio="f"/>
                </v:shape>
                <v:shape id="Freeform 4" o:spid="_x0000_s1026" o:spt="100" style="position:absolute;left:6265;top:2244;height:2;width:65;" filled="f" stroked="t" coordsize="65,1" o:gfxdata="UEsDBAoAAAAAAIdO4kAAAAAAAAAAAAAAAAAEAAAAZHJzL1BLAwQUAAAACACHTuJA911TI7wAAADd&#10;AAAADwAAAGRycy9kb3ducmV2LnhtbEVPS4vCMBC+L/gfwgje1rSlK1KNHkRBcC/rC49DMn1gMylN&#10;tO6/3yws7G0+vucs1y/biif1vnGsIJ0mIIi1Mw1XCs6n3fschA/IBlvHpOCbPKxXo7clFsYN/EXP&#10;Y6hEDGFfoII6hK6Q0uuaLPqp64gjV7reYoiwr6TpcYjhtpVZksykxYZjQ40dbWrS9+PDKsgOWT6U&#10;11uZph+n7f7zome7Vis1GafJAkSgV/gX/7n3Js6f5zn8fhNPkKs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ddUyO8AAAA&#10;3QAAAA8AAAAAAAAAAQAgAAAAIgAAAGRycy9kb3ducmV2LnhtbFBLAQIUABQAAAAIAIdO4kAzLwWe&#10;OwAAADkAAAAQAAAAAAAAAAEAIAAAAAsBAABkcnMvc2hhcGV4bWwueG1sUEsFBgAAAAAGAAYAWwEA&#10;ALUDAAAAAA==&#10;" path="m64,0l0,0e">
                  <v:path o:connectlocs="64,0;0,0;0,0" o:connectangles="0,0,0"/>
                  <v:fill on="f" focussize="0,0"/>
                  <v:stroke weight="0.0134645669291339pt" color="#000000" joinstyle="round"/>
                  <v:imagedata o:title=""/>
                  <o:lock v:ext="edit" aspectratio="f"/>
                </v:shape>
                <v:shape id="Freeform 5" o:spid="_x0000_s1026" o:spt="100" style="position:absolute;left:6613;top:2188;height:318;width:2;" filled="f" stroked="t" coordsize="1,318" o:gfxdata="UEsDBAoAAAAAAIdO4kAAAAAAAAAAAAAAAAAEAAAAZHJzL1BLAwQUAAAACACHTuJAV1uVKrwAAADd&#10;AAAADwAAAGRycy9kb3ducmV2LnhtbEVPTWvCQBC9C/6HZQRvdTfVikRXQYvgxRa19Txkp0lqdjZk&#10;VxP/vVsoeJvH+5zFqrOVuFHjS8cakpECQZw5U3Ku4eu0fZmB8AHZYOWYNNzJw2rZ7y0wNa7lA92O&#10;IRcxhH2KGooQ6lRKnxVk0Y9cTRy5H9dYDBE2uTQNtjHcVvJVqam0WHJsKLCmTUHZ5Xi1GtTvZ73J&#10;d9/tWZmP91M7XifdvtN6OEjUHESgLjzF/+6difNnkzf4+yaeIJc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dblSq8AAAA&#10;3QAAAA8AAAAAAAAAAQAgAAAAIgAAAGRycy9kb3ducmV2LnhtbFBLAQIUABQAAAAIAIdO4kAzLwWe&#10;OwAAADkAAAAQAAAAAAAAAAEAIAAAAAsBAABkcnMvc2hhcGV4bWwueG1sUEsFBgAAAAAGAAYAWwEA&#10;ALUDAAAAAA==&#10;" path="m0,0l0,318,1,318e">
                  <v:path o:connectlocs="0,2188;0,2506;2,2506" o:connectangles="0,0,0"/>
                  <v:fill on="f" focussize="0,0"/>
                  <v:stroke weight="0.0110236220472441pt" color="#000000" joinstyle="round"/>
                  <v:imagedata o:title=""/>
                  <o:lock v:ext="edit" aspectratio="f"/>
                </v:shape>
                <v:shape id="Freeform 6" o:spid="_x0000_s1026" o:spt="100" style="position:absolute;left:6613;top:2244;height:2;width:65;" filled="f" stroked="t" coordsize="65,1" o:gfxdata="UEsDBAoAAAAAAIdO4kAAAAAAAAAAAAAAAAAEAAAAZHJzL1BLAwQUAAAACACHTuJAaMNoz70AAADd&#10;AAAADwAAAGRycy9kb3ducmV2LnhtbEVPS4vCMBC+L/gfwgh7W9MWt0jX6EEUhPXiY5c9Dsn0gc2k&#10;NNHqvzcLgrf5+J4zX95sK67U+8axgnSSgCDWzjRcKTgdNx8zED4gG2wdk4I7eVguRm9zLIwbeE/X&#10;Q6hEDGFfoII6hK6Q0uuaLPqJ64gjV7reYoiwr6TpcYjhtpVZkuTSYsOxocaOVjXp8+FiFWTf2XQo&#10;f//KNP08rre7H51vWq3U+zhNvkAEuoWX+Onemjh/Ns3h/5t4glw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ow2jPvQAA&#10;AN0AAAAPAAAAAAAAAAEAIAAAACIAAABkcnMvZG93bnJldi54bWxQSwECFAAUAAAACACHTuJAMy8F&#10;njsAAAA5AAAAEAAAAAAAAAABACAAAAAMAQAAZHJzL3NoYXBleG1sLnhtbFBLBQYAAAAABgAGAFsB&#10;AAC2AwAAAAA=&#10;" path="m0,0l65,0e">
                  <v:path o:connectlocs="0,0;65,0;65,0" o:connectangles="0,0,0"/>
                  <v:fill on="f" focussize="0,0"/>
                  <v:stroke weight="0.0134645669291339pt" color="#000000" joinstyle="round"/>
                  <v:imagedata o:title=""/>
                  <o:lock v:ext="edit" aspectratio="f"/>
                </v:shape>
                <v:shape id="Freeform 7" o:spid="_x0000_s1026" o:spt="100" style="position:absolute;left:6329;top:2244;height:2;width:285;" filled="f" stroked="t" coordsize="285,1" o:gfxdata="UEsDBAoAAAAAAIdO4kAAAAAAAAAAAAAAAAAEAAAAZHJzL1BLAwQUAAAACACHTuJAj6bni7wAAADd&#10;AAAADwAAAGRycy9kb3ducmV2LnhtbEVPS2sCMRC+F/wPYYReiiZbxMdq9CAI7UncFvE4bMbdxc1k&#10;SeK6/fdNoeBtPr7nbHaDbUVPPjSONWRTBYK4dKbhSsP312GyBBEissHWMWn4oQC77ehlg7lxDz5R&#10;X8RKpBAOOWqoY+xyKUNZk8UwdR1x4q7OW4wJ+koaj48Ublv5rtRcWmw4NdTY0b6m8lbcrYbzkB0+&#10;35Qlh1VxOfnmWKzKXuvXcabWICIN8Sn+d3+YNH85W8DfN+kEuf0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m54u8AAAA&#10;3QAAAA8AAAAAAAAAAQAgAAAAIgAAAGRycy9kb3ducmV2LnhtbFBLAQIUABQAAAAIAIdO4kAzLwWe&#10;OwAAADkAAAAQAAAAAAAAAAEAIAAAAAsBAABkcnMvc2hhcGV4bWwueG1sUEsFBgAAAAAGAAYAWwEA&#10;ALUDAAAAAA==&#10;" path="m0,0l284,0,285,0e">
                  <v:path o:connectlocs="0,0;284,0;285,0" o:connectangles="0,0,0"/>
                  <v:fill on="f" focussize="0,0"/>
                  <v:stroke weight="0.0134645669291339pt" color="#000000" joinstyle="round"/>
                  <v:imagedata o:title=""/>
                  <o:lock v:ext="edit" aspectratio="f"/>
                </v:shape>
                <v:shape id="Freeform 8" o:spid="_x0000_s1026" o:spt="100" style="position:absolute;left:6297;top:2204;height:79;width:65;" filled="f" stroked="t" coordsize="65,79" o:gfxdata="UEsDBAoAAAAAAIdO4kAAAAAAAAAAAAAAAAAEAAAAZHJzL1BLAwQUAAAACACHTuJAyUsLJMEAAADd&#10;AAAADwAAAGRycy9kb3ducmV2LnhtbEWPT2vDMAzF74N9B6PBbqvdMUrJ6hYWNhgMBv1D6W5qrMWh&#10;sZzFXpt+++pQ6E3iPb3302wxhFYdqU9NZAvjkQFFXEXXcG1hs/54moJKGdlhG5ksnCnBYn5/N8PC&#10;xRMv6bjKtZIQTgVa8Dl3hdap8hQwjWJHLNpv7ANmWftaux5PEh5a/WzMRAdsWBo8dlR6qg6r/2Dh&#10;/a3+22/PX4dhv/GlM2XX7L5/rH18GJtXUJmGfDNfrz+d4E9fBFe+kRH0/AJ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yUsL&#10;JMEAAADdAAAADwAAAAAAAAABACAAAAAiAAAAZHJzL2Rvd25yZXYueG1sUEsBAhQAFAAAAAgAh07i&#10;QDMvBZ47AAAAOQAAABAAAAAAAAAAAQAgAAAAEAEAAGRycy9zaGFwZXhtbC54bWxQSwUGAAAAAAYA&#10;BgBbAQAAugMAAAAA&#10;" path="m0,78l64,0,65,0e">
                  <v:path o:connectlocs="0,2283;64,2205;65,2205" o:connectangles="0,0,0"/>
                  <v:fill on="f" focussize="0,0"/>
                  <v:stroke weight="0.0120472440944882pt" color="#000000" joinstyle="round"/>
                  <v:imagedata o:title=""/>
                  <o:lock v:ext="edit" aspectratio="f"/>
                </v:shape>
                <v:shape id="Freeform 9" o:spid="_x0000_s1026" o:spt="100" style="position:absolute;left:6581;top:2204;height:79;width:65;" filled="f" stroked="t" coordsize="65,79" o:gfxdata="UEsDBAoAAAAAAIdO4kAAAAAAAAAAAAAAAAAEAAAAZHJzL1BLAwQUAAAACACHTuJApgeuv74AAADd&#10;AAAADwAAAGRycy9kb3ducmV2LnhtbEVP32vCMBB+F/Y/hBv4NhPHGFqNwsoGA0FQy5hvZ3Nris2l&#10;a6LW/34RBr7dx/fz5sveNeJMXag9axiPFAji0puaKw3F7uNpAiJEZIONZ9JwpQDLxcNgjpnxF97Q&#10;eRsrkUI4ZKjBxthmUobSksMw8i1x4n585zAm2FXSdHhJ4a6Rz0q9Soc1pwaLLeWWyuP25DS8v1W/&#10;h6/r6tgfCpsblbf193qv9fBxrGYgIvXxLv53f5o0f/Iyhds36QS5+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geuv74A&#10;AADdAAAADwAAAAAAAAABACAAAAAiAAAAZHJzL2Rvd25yZXYueG1sUEsBAhQAFAAAAAgAh07iQDMv&#10;BZ47AAAAOQAAABAAAAAAAAAAAQAgAAAADQEAAGRycy9zaGFwZXhtbC54bWxQSwUGAAAAAAYABgBb&#10;AQAAtwMAAAAA&#10;" path="m64,0l0,78e">
                  <v:path o:connectlocs="64,2205;0,2283;0,2283" o:connectangles="0,0,0"/>
                  <v:fill on="f" focussize="0,0"/>
                  <v:stroke weight="0.0120472440944882pt" color="#000000" joinstyle="round"/>
                  <v:imagedata o:title=""/>
                  <o:lock v:ext="edit" aspectratio="f"/>
                </v:shape>
                <v:line id="Line 10" o:spid="_x0000_s1026" o:spt="20" style="position:absolute;left:6329;top:2172;height:0;width:1;" filled="f" stroked="t" coordsize="21600,21600" o:gfxdata="UEsDBAoAAAAAAIdO4kAAAAAAAAAAAAAAAAAEAAAAZHJzL1BLAwQUAAAACACHTuJALyHEicAAAADd&#10;AAAADwAAAGRycy9kb3ducmV2LnhtbEWPQU/DMAyF75P4D5GRuG1pQaCqLJugKogDElrhwNFqvLYj&#10;caokbOPf4wMSN1vv+b3P6+3ZO3WkmKbABspVAYq4D3biwcDH+9OyApUyskUXmAz8UILt5mKxxtqG&#10;E+/o2OVBSQinGg2MOc+11qkfyWNahZlYtH2IHrOscdA24knCvdPXRXGnPU4sDSPO1IzUf3Xf3oD7&#10;jM/2rbx5mJvpYH3bVu71sTfm6rIs7kFlOud/89/1ixX86lb45RsZQW9+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vIcSJ&#10;wAAAAN0AAAAPAAAAAAAAAAEAIAAAACIAAABkcnMvZG93bnJldi54bWxQSwECFAAUAAAACACHTuJA&#10;My8FnjsAAAA5AAAAEAAAAAAAAAABACAAAAAPAQAAZHJzL3NoYXBleG1sLnhtbFBLBQYAAAAABgAG&#10;AFsBAAC5AwAAAAA=&#10;">
                  <v:fill on="f" focussize="0,0"/>
                  <v:stroke weight="0.0134645669291339pt" color="#000000" joinstyle="round"/>
                  <v:imagedata o:title=""/>
                  <o:lock v:ext="edit" aspectratio="f"/>
                </v:line>
                <v:line id="Line 11" o:spid="_x0000_s1026" o:spt="20" style="position:absolute;left:6613;top:2244;height:0;width:1;" filled="f" stroked="t" coordsize="21600,21600" o:gfxdata="UEsDBAoAAAAAAIdO4kAAAAAAAAAAAAAAAAAEAAAAZHJzL1BLAwQUAAAACACHTuJAQG1hEr0AAADd&#10;AAAADwAAAGRycy9kb3ducmV2LnhtbEVPS2sCMRC+F/ofwhR6q9ltsSyrcWkXFQ9CqXrwOGzG3bXJ&#10;ZEni69+bQqG3+fieM62u1ogz+dA7VpCPMhDEjdM9twp228VLASJEZI3GMSm4UYBq9vgwxVK7C3/T&#10;eRNbkUI4lKigi3EopQxNRxbDyA3EiTs4bzEm6FupPV5SuDXyNcvepcWeU0OHA9UdNT+bk1Vg9n6p&#10;v/K3j6Huj9rO54VZfzZKPT/l2QREpGv8F/+5VzrNL8Y5/H6TTpCzO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AbWESvQAA&#10;AN0AAAAPAAAAAAAAAAEAIAAAACIAAABkcnMvZG93bnJldi54bWxQSwECFAAUAAAACACHTuJAMy8F&#10;njsAAAA5AAAAEAAAAAAAAAABACAAAAAMAQAAZHJzL3NoYXBleG1sLnhtbFBLBQYAAAAABgAGAFsB&#10;AAC2AwAAAAA=&#10;">
                  <v:fill on="f" focussize="0,0"/>
                  <v:stroke weight="0.0134645669291339pt" color="#000000" joinstyle="round"/>
                  <v:imagedata o:title=""/>
                  <o:lock v:ext="edit" aspectratio="f"/>
                </v:line>
                <v:line id="Line 12" o:spid="_x0000_s1026" o:spt="20" style="position:absolute;left:6613;top:2172;height:0;width:1;" filled="f" stroked="t" coordsize="21600,21600" o:gfxdata="UEsDBAoAAAAAAIdO4kAAAAAAAAAAAAAAAAAEAAAAZHJzL1BLAwQUAAAACACHTuJAsL//Zb4AAADd&#10;AAAADwAAAGRycy9kb3ducmV2LnhtbEVPS2sCMRC+F/wPYYTeana3tCxb46JipQehqD30OGymu6vJ&#10;ZElSH//eFAre5uN7zrS+WCNO5EPvWEE+yUAQN0733Cr42r8/lSBCRNZoHJOCKwWoZ6OHKVbanXlL&#10;p11sRQrhUKGCLsahkjI0HVkMEzcQJ+7HeYsxQd9K7fGcwq2RRZa9Sos9p4YOB1p21Bx3v1aB+fZr&#10;/Zk/z4dlf9B2tSrNZtEo9TjOszcQkS7xLv53f+g0v3wp4O+bdIKc3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L//Zb4A&#10;AADdAAAADwAAAAAAAAABACAAAAAiAAAAZHJzL2Rvd25yZXYueG1sUEsBAhQAFAAAAAgAh07iQDMv&#10;BZ47AAAAOQAAABAAAAAAAAAAAQAgAAAADQEAAGRycy9zaGFwZXhtbC54bWxQSwUGAAAAAAYABgBb&#10;AQAAtwMAAAAA&#10;">
                  <v:fill on="f" focussize="0,0"/>
                  <v:stroke weight="0.0134645669291339pt" color="#000000" joinstyle="round"/>
                  <v:imagedata o:title=""/>
                  <o:lock v:ext="edit" aspectratio="f"/>
                </v:line>
                <v:shape id="Freeform 13" o:spid="_x0000_s1026" o:spt="100" style="position:absolute;left:6150;top:1888;height:210;width:41;" filled="f" stroked="t" coordsize="41,210" o:gfxdata="UEsDBAoAAAAAAIdO4kAAAAAAAAAAAAAAAAAEAAAAZHJzL1BLAwQUAAAACACHTuJAaJ3Oa70AAADd&#10;AAAADwAAAGRycy9kb3ducmV2LnhtbEVPS2vCQBC+F/wPywje6saWSoyuHqSW0ks1Ps5DdkyC2dkk&#10;uyb233cFwdt8fM9ZrG6mEh21rrSsYDKOQBBnVpecKzjsN68xCOeRNVaWScEfOVgtBy8LTLTteUdd&#10;6nMRQtglqKDwvk6kdFlBBt3Y1sSBO9vWoA+wzaVusQ/hppJvUTSVBksODQXWtC4ou6RXo+CriWe/&#10;3U+zTzen47n/tNPttm6UGg0n0RyEp5t/ih/ubx3mxx/vcP8mnCC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onc5rvQAA&#10;AN0AAAAPAAAAAAAAAAEAIAAAACIAAABkcnMvZG93bnJldi54bWxQSwECFAAUAAAACACHTuJAMy8F&#10;njsAAAA5AAAAEAAAAAAAAAABACAAAAAMAQAAZHJzL3NoYXBleG1sLnhtbFBLBQYAAAAABgAGAFsB&#10;AAC2AwAAAAA=&#10;" path="m0,40l16,30,41,0,41,210e">
                  <v:path o:connectlocs="0,1928;16,1918;41,1888;41,2098;41,2098" o:connectangles="0,0,0,0,0"/>
                  <v:fill on="f" focussize="0,0"/>
                  <v:stroke weight="0.0111023622047244pt" color="#000000" joinstyle="round"/>
                  <v:imagedata o:title=""/>
                  <o:lock v:ext="edit" aspectratio="f"/>
                </v:shape>
                <v:shape id="Freeform 14" o:spid="_x0000_s1026" o:spt="100" style="position:absolute;left:6297;top:2077;height:20;width:17;" filled="f" stroked="t" coordsize="17,20" o:gfxdata="UEsDBAoAAAAAAIdO4kAAAAAAAAAAAAAAAAAEAAAAZHJzL1BLAwQUAAAACACHTuJAz7dUjb0AAADd&#10;AAAADwAAAGRycy9kb3ducmV2LnhtbEVPTWsCMRC9F/ofwhS81exWLctqFLEI3rRWKL1NN+Nm281k&#10;SaKu/94UhN7m8T5ntuhtK87kQ+NYQT7MQBBXTjdcKzh8rJ8LECEia2wdk4IrBVjMHx9mWGp34Xc6&#10;72MtUgiHEhWYGLtSylAZshiGriNO3NF5izFBX0vt8ZLCbStfsuxVWmw4NRjsaGWo+t2frILl23ex&#10;rYuvsTkdZOV3P6Nc9p9KDZ7ybAoiUh//xXf3Rqf5xWQMf9+kE+T8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t1SNvQAA&#10;AN0AAAAPAAAAAAAAAAEAIAAAACIAAABkcnMvZG93bnJldi54bWxQSwECFAAUAAAACACHTuJAMy8F&#10;njsAAAA5AAAAEAAAAAAAAAABACAAAAAMAQAAZHJzL3NoYXBleG1sLnhtbFBLBQYAAAAABgAGAFsB&#10;AAC2AwAAAAA=&#10;" path="m8,0l0,10,8,20,16,10,8,0e">
                  <v:path o:connectlocs="8,2078;0,2088;8,2098;16,2088;8,2078;8,2078" o:connectangles="0,0,0,0,0,0"/>
                  <v:fill on="f" focussize="0,0"/>
                  <v:stroke weight="0.0120472440944882pt" color="#000000" joinstyle="round"/>
                  <v:imagedata o:title=""/>
                  <o:lock v:ext="edit" aspectratio="f"/>
                </v:shape>
                <v:shape id="Picture 15" o:spid="_x0000_s1026" o:spt="75" type="#_x0000_t75" style="position:absolute;left:6371;top:1887;height:210;width:115;" filled="f" o:preferrelative="t" stroked="f" coordsize="21600,21600" o:gfxdata="UEsDBAoAAAAAAIdO4kAAAAAAAAAAAAAAAAAEAAAAZHJzL1BLAwQUAAAACACHTuJAy+TB6LwAAADd&#10;AAAADwAAAGRycy9kb3ducmV2LnhtbEVPTWsCMRC9F/ofwgheSk0ULMvW6MFS6LWrIL0Nm3GT7Way&#10;bFLX7a9vBKG3ebzP2eyuvhMXGqILrGG5UCCI62AcNxqOh/fnAkRMyAa7wKRhogi77ePDBksTRv6k&#10;S5UakUM4lqjBptSXUsbakse4CD1x5s5h8JgyHBppBhxzuO/kSqkX6dFxbrDY095S/V39eA3jm3s6&#10;pbNt26r4PXxNamoVOq3ns6V6BZHomv7Fd/eHyfOL9Rpu3+QT5PY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vkwei8AAAA&#10;3QAAAA8AAAAAAAAAAQAgAAAAIgAAAGRycy9kb3ducmV2LnhtbFBLAQIUABQAAAAIAIdO4kAzLwWe&#10;OwAAADkAAAAQAAAAAAAAAAEAIAAAAAsBAABkcnMvc2hhcGV4bWwueG1sUEsFBgAAAAAGAAYAWwEA&#10;ALUDAAAAAA==&#10;">
                  <v:fill on="f" focussize="0,0"/>
                  <v:stroke on="f"/>
                  <v:imagedata r:id="rId17" o:title=""/>
                  <o:lock v:ext="edit" aspectratio="t"/>
                </v:shape>
                <v:shape id="Picture 16" o:spid="_x0000_s1026" o:spt="75" type="#_x0000_t75" style="position:absolute;left:6542;top:1957;height:141;width:180;" filled="f" o:preferrelative="t" stroked="f" coordsize="21600,21600" o:gfxdata="UEsDBAoAAAAAAIdO4kAAAAAAAAAAAAAAAAAEAAAAZHJzL1BLAwQUAAAACACHTuJAJe+eY78AAADd&#10;AAAADwAAAGRycy9kb3ducmV2LnhtbEVPTWvCQBC9F/oflhG81U2KFRtdPRQKEQ9N0x7qbcyOSUh2&#10;NmRXk/z7bqHgbR7vc7b70bTiRr2rLSuIFxEI4sLqmksF31/vT2sQziNrbC2Tgokc7HePD1tMtB34&#10;k265L0UIYZeggsr7LpHSFRUZdAvbEQfuYnuDPsC+lLrHIYSbVj5H0UoarDk0VNjRW0VFk1+NguPh&#10;lOfuPJzGj6zJXtPDTzPJpVLzWRxtQHga/V387051mL9+WcHfN+EEufs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XvnmO/&#10;AAAA3QAAAA8AAAAAAAAAAQAgAAAAIgAAAGRycy9kb3ducmV2LnhtbFBLAQIUABQAAAAIAIdO4kAz&#10;LwWeOwAAADkAAAAQAAAAAAAAAAEAIAAAAA4BAABkcnMvc2hhcGV4bWwueG1sUEsFBgAAAAAGAAYA&#10;WwEAALgDAAAAAA==&#10;">
                  <v:fill on="f" focussize="0,0"/>
                  <v:stroke on="f"/>
                  <v:imagedata r:id="rId18" o:title=""/>
                  <o:lock v:ext="edit" aspectratio="t"/>
                </v:shape>
                <v:shape id="Freeform 17" o:spid="_x0000_s1026" o:spt="100" style="position:absolute;left:5415;top:1072;height:2;width:1936;" filled="f" stroked="t" coordsize="1936,1" o:gfxdata="UEsDBAoAAAAAAIdO4kAAAAAAAAAAAAAAAAAEAAAAZHJzL1BLAwQUAAAACACHTuJAi7vTvLwAAADd&#10;AAAADwAAAGRycy9kb3ducmV2LnhtbEVPTYvCMBC9C/sfwix4s4lCtVajB2FBEA9aEbwNzdhWm0lp&#10;sur++83Cgrd5vM9Zrl+2FQ/qfeNYwzhRIIhLZxquNJyKr1EGwgdkg61j0vBDHtarj8ESc+OefKDH&#10;MVQihrDPUUMdQpdL6cuaLPrEdcSRu7reYoiwr6Tp8RnDbSsnSk2lxYZjQ40dbWoq78dvq0H63X6r&#10;2vTSFc7Ps3RzvhX7idbDz7FagAj0Cm/xv3tr4vwsncHfN/EEufo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u707y8AAAA&#10;3QAAAA8AAAAAAAAAAQAgAAAAIgAAAGRycy9kb3ducmV2LnhtbFBLAQIUABQAAAAIAIdO4kAzLwWe&#10;OwAAADkAAAAQAAAAAAAAAAEAIAAAAAsBAABkcnMvc2hhcGV4bWwueG1sUEsFBgAAAAAGAAYAWwEA&#10;ALUDAAAAAA==&#10;" path="m0,0l1936,0e">
                  <v:path o:connectlocs="0,0;1936,0;1936,0" o:connectangles="0,0,0"/>
                  <v:fill on="f" focussize="0,0"/>
                  <v:stroke weight="0.0134645669291339pt" color="#000000" joinstyle="round"/>
                  <v:imagedata o:title=""/>
                  <o:lock v:ext="edit" aspectratio="f"/>
                </v:shape>
                <v:shape id="Picture 18" o:spid="_x0000_s1026" o:spt="75" type="#_x0000_t75" style="position:absolute;left:5448;top:854;height:184;width:101;" filled="f" o:preferrelative="t" stroked="f" coordsize="21600,21600" o:gfxdata="UEsDBAoAAAAAAIdO4kAAAAAAAAAAAAAAAAAEAAAAZHJzL1BLAwQUAAAACACHTuJAWJ95ab4AAADd&#10;AAAADwAAAGRycy9kb3ducmV2LnhtbEWPT2sCQQzF74V+hyGFXkqdVVBkdZQqtIg3/xQ8hp24u3Qn&#10;s+ykrn57cxC8JbyX936ZL6+hMRfqUh3ZwXCQgSEuoq+5dHA8fH9OwSRB9thEJgc3SrBcvL7MMfex&#10;5x1d9lIaDeGUo4NKpM2tTUVFAdMgtsSqnWMXUHTtSus77DU8NHaUZRMbsGZtqLCldUXF3/4/OFj9&#10;7j56WW+2Kzz9UCujWE6+Ts69vw2zGRihqzzNj+uNV/zpWHH1Gx3BLu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J95ab4A&#10;AADdAAAADwAAAAAAAAABACAAAAAiAAAAZHJzL2Rvd25yZXYueG1sUEsBAhQAFAAAAAgAh07iQDMv&#10;BZ47AAAAOQAAABAAAAAAAAAAAQAgAAAADQEAAGRycy9zaGFwZXhtbC54bWxQSwUGAAAAAAYABgBb&#10;AQAAtwMAAAAA&#10;">
                  <v:fill on="f" focussize="0,0"/>
                  <v:stroke on="f"/>
                  <v:imagedata r:id="rId19" o:title=""/>
                  <o:lock v:ext="edit" aspectratio="t"/>
                </v:shape>
                <v:shape id="Freeform 19" o:spid="_x0000_s1026" o:spt="100" style="position:absolute;left:5598;top:932;height:2;width:129;" filled="f" stroked="t" coordsize="129,1" o:gfxdata="UEsDBAoAAAAAAIdO4kAAAAAAAAAAAAAAAAAEAAAAZHJzL1BLAwQUAAAACACHTuJAn58qNbwAAADd&#10;AAAADwAAAGRycy9kb3ducmV2LnhtbEVPS2sCMRC+F/wPYQQvpWZVVtat0YMg2Ivg49LbsBk3WzeT&#10;JYmv/nojFHqbj+858+XdtuJKPjSOFYyGGQjiyumGawXHw/qjABEissbWMSl4UIDlovc2x1K7G+/o&#10;uo+1SCEcSlRgYuxKKUNlyGIYuo44cSfnLcYEfS21x1sKt60cZ9lUWmw4NRjsaGWoOu8vVsH6Pcfc&#10;bXkVzc9vXXxtJpdvP1Fq0B9lnyAi3eO/+M+90Wl+kc/g9U06QS6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fKjW8AAAA&#10;3QAAAA8AAAAAAAAAAQAgAAAAIgAAAGRycy9kb3ducmV2LnhtbFBLAQIUABQAAAAIAIdO4kAzLwWe&#10;OwAAADkAAAAQAAAAAAAAAAEAIAAAAAsBAABkcnMvc2hhcGV4bWwueG1sUEsFBgAAAAAGAAYAWwEA&#10;ALUDAAAAAA==&#10;" path="m0,0l128,0,129,0e">
                  <v:path o:connectlocs="0,0;128,0;129,0" o:connectangles="0,0,0"/>
                  <v:fill on="f" focussize="0,0"/>
                  <v:stroke weight="0.0134645669291339pt" color="#000000" joinstyle="round"/>
                  <v:imagedata o:title=""/>
                  <o:lock v:ext="edit" aspectratio="f"/>
                </v:shape>
                <v:shape id="Freeform 20" o:spid="_x0000_s1026" o:spt="100" style="position:absolute;left:5598;top:985;height:2;width:129;" filled="f" stroked="t" coordsize="129,1" o:gfxdata="UEsDBAoAAAAAAIdO4kAAAAAAAAAAAAAAAAAEAAAAZHJzL1BLAwQUAAAACACHTuJAwMlJFcAAAADd&#10;AAAADwAAAGRycy9kb3ducmV2LnhtbEWPzWsCMRDF74X+D2EKvZSataIsq9GDINiL4MfF27CZbtZu&#10;JksSP9q/3jkI3mZ4b977zWxx8526UExtYAPDQQGKuA625cbAYb/6LEGljGyxC0wG/ijBYv76MsPK&#10;hitv6bLLjZIQThUacDn3ldapduQxDUJPLNpPiB6zrLHRNuJVwn2nv4pioj22LA0Oe1o6qn93Z29g&#10;9THGcdjwMrvTf1N+r0fnYxwZ8/42LKagMt3y0/y4XlvBLyfCL9/ICHp+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AyUkV&#10;wAAAAN0AAAAPAAAAAAAAAAEAIAAAACIAAABkcnMvZG93bnJldi54bWxQSwECFAAUAAAACACHTuJA&#10;My8FnjsAAAA5AAAAEAAAAAAAAAABACAAAAAPAQAAZHJzL3NoYXBleG1sLnhtbFBLBQYAAAAABgAG&#10;AFsBAAC5AwAAAAA=&#10;" path="m0,0l128,0,129,0e">
                  <v:path o:connectlocs="0,0;128,0;129,0" o:connectangles="0,0,0"/>
                  <v:fill on="f" focussize="0,0"/>
                  <v:stroke weight="0.0134645669291339pt" color="#000000" joinstyle="round"/>
                  <v:imagedata o:title=""/>
                  <o:lock v:ext="edit" aspectratio="f"/>
                </v:shape>
                <v:shape id="Freeform 21" o:spid="_x0000_s1026" o:spt="100" style="position:absolute;left:5798;top:854;height:184;width:37;" filled="f" stroked="t" coordsize="37,184" o:gfxdata="UEsDBAoAAAAAAIdO4kAAAAAAAAAAAAAAAAAEAAAAZHJzL1BLAwQUAAAACACHTuJAG9N6Xr8AAADd&#10;AAAADwAAAGRycy9kb3ducmV2LnhtbEVPTWvCQBC9C/6HZYRepG7SgoToKiJUpB6KSaEeh+yYjWZn&#10;Q3artr++Kwi9zeN9znx5s624UO8bxwrSSQKCuHK64VrBZ/n2nIHwAVlj65gU/JCH5WI4mGOu3ZX3&#10;dClCLWII+xwVmBC6XEpfGbLoJ64jjtzR9RZDhH0tdY/XGG5b+ZIkU2mx4dhgsKO1oepcfFsFq021&#10;3X1szu/laVdm7a95HReHL6WeRmkyAxHoFv7FD/dWx/nZNIX7N/EEufg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vTel6/&#10;AAAA3QAAAA8AAAAAAAAAAQAgAAAAIgAAAGRycy9kb3ducmV2LnhtbFBLAQIUABQAAAAIAIdO4kAz&#10;LwWeOwAAADkAAAAQAAAAAAAAAAEAIAAAAA4BAABkcnMvc2hhcGV4bWwueG1sUEsFBgAAAAAGAAYA&#10;WwEAALgDAAAAAA==&#10;" path="m0,35l14,26,36,0,36,184e">
                  <v:path o:connectlocs="0,889;14,880;36,854;36,1038;36,1038" o:connectangles="0,0,0,0,0"/>
                  <v:fill on="f" focussize="0,0"/>
                  <v:stroke weight="0.0111023622047244pt" color="#000000" joinstyle="round"/>
                  <v:imagedata o:title=""/>
                  <o:lock v:ext="edit" aspectratio="f"/>
                </v:shape>
                <v:shape id="Freeform 22" o:spid="_x0000_s1026" o:spt="100" style="position:absolute;left:5927;top:1020;height:18;width:15;" filled="f" stroked="t" coordsize="15,18" o:gfxdata="UEsDBAoAAAAAAIdO4kAAAAAAAAAAAAAAAAAEAAAAZHJzL1BLAwQUAAAACACHTuJAHPLiYroAAADd&#10;AAAADwAAAGRycy9kb3ducmV2LnhtbEVPzYrCMBC+C75DGMGbpnoQ6Zr2sLD+oB50+wBDM9t2bSah&#10;iVXf3giCt/n4fmeV300reup8Y1nBbJqAIC6tbrhSUPz+TJYgfEDW2FomBQ/ykGfDwQpTbW98ov4c&#10;KhFD2KeooA7BpVL6siaDfmodceT+bGcwRNhVUnd4i+GmlfMkWUiDDceGGh1911RezlejoN3vjgf3&#10;T4XRvTPX3b5Yb/Ci1Hg0S75ABLqHj/jt3uo4f7mYw+ubeILMn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c8uJiugAAAN0A&#10;AAAPAAAAAAAAAAEAIAAAACIAAABkcnMvZG93bnJldi54bWxQSwECFAAUAAAACACHTuJAMy8FnjsA&#10;AAA5AAAAEAAAAAAAAAABACAAAAAJAQAAZHJzL3NoYXBleG1sLnhtbFBLBQYAAAAABgAGAFsBAACz&#10;AwAAAAA=&#10;" path="m8,0l0,9,8,18,15,9,8,0e">
                  <v:path o:connectlocs="8,1020;0,1029;8,1038;15,1029;8,1020;8,1020" o:connectangles="0,0,0,0,0,0"/>
                  <v:fill on="f" focussize="0,0"/>
                  <v:stroke weight="0.0120472440944882pt" color="#000000" joinstyle="round"/>
                  <v:imagedata o:title=""/>
                  <o:lock v:ext="edit" aspectratio="f"/>
                </v:shape>
                <v:shape id="Picture 23" o:spid="_x0000_s1026" o:spt="75" type="#_x0000_t75" style="position:absolute;left:5991;top:854;height:184;width:101;" filled="f" o:preferrelative="t" stroked="f" coordsize="21600,21600" o:gfxdata="UEsDBAoAAAAAAIdO4kAAAAAAAAAAAAAAAAAEAAAAZHJzL1BLAwQUAAAACACHTuJAcpyUKb0AAADd&#10;AAAADwAAAGRycy9kb3ducmV2LnhtbEVPS2sCMRC+F/wPYYRepCZaEFmNUlYES08+kHqbbqabpZvJ&#10;somr/nsjCL3Nx/ec+fLqatFRGyrPGkZDBYK48KbiUsNhv36bgggR2WDtmTTcKMBy0XuZY2b8hbfU&#10;7WIpUgiHDDXYGJtMylBYchiGviFO3K9vHcYE21KaFi8p3NVyrNREOqw4NVhsKLdU/O3OTsPH+Wuw&#10;+pGVKvPjLc+7T3v6dlutX/sjNQMR6Rr/xU/3xqT508k7PL5JJ8jF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nJQpvQAA&#10;AN0AAAAPAAAAAAAAAAEAIAAAACIAAABkcnMvZG93bnJldi54bWxQSwECFAAUAAAACACHTuJAMy8F&#10;njsAAAA5AAAAEAAAAAAAAAABACAAAAAMAQAAZHJzL3NoYXBleG1sLnhtbFBLBQYAAAAABgAGAFsB&#10;AAC2AwAAAAA=&#10;">
                  <v:fill on="f" focussize="0,0"/>
                  <v:stroke on="f"/>
                  <v:imagedata r:id="rId20" o:title=""/>
                  <o:lock v:ext="edit" aspectratio="t"/>
                </v:shape>
                <v:shape id="Picture 24" o:spid="_x0000_s1026" o:spt="75" type="#_x0000_t75" style="position:absolute;left:6141;top:915;height:123;width:158;" filled="f" o:preferrelative="t" stroked="f" coordsize="21600,21600" o:gfxdata="UEsDBAoAAAAAAIdO4kAAAAAAAAAAAAAAAAAEAAAAZHJzL1BLAwQUAAAACACHTuJApby8V74AAADd&#10;AAAADwAAAGRycy9kb3ducmV2LnhtbEVPPWvDMBDdC/kP4gLZGtmlGONYzpCS0qEQ4mZItqt1tU2t&#10;k5FUx/n3UaHQ7R7v88rtbAYxkfO9ZQXpOgFB3Fjdc6vg9LF/zEH4gKxxsEwKbuRhWy0eSiy0vfKR&#10;pjq0IoawL1BBF8JYSOmbjgz6tR2JI/dlncEQoWuldniN4WaQT0mSSYM9x4YOR9p11HzXP0ZBfthf&#10;smZ27y83/LzUeurPr+lOqdUyTTYgAs3hX/znftNxfp49w+838QRZ3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by8V74A&#10;AADdAAAADwAAAAAAAAABACAAAAAiAAAAZHJzL2Rvd25yZXYueG1sUEsBAhQAFAAAAAgAh07iQDMv&#10;BZ47AAAAOQAAABAAAAAAAAAAAQAgAAAADQEAAGRycy9zaGFwZXhtbC54bWxQSwUGAAAAAAYABgBb&#10;AQAAtwMAAAAA&#10;">
                  <v:fill on="f" focussize="0,0"/>
                  <v:stroke on="f"/>
                  <v:imagedata r:id="rId21" o:title=""/>
                  <o:lock v:ext="edit" aspectratio="t"/>
                </v:shape>
                <v:shape id="Freeform 25" o:spid="_x0000_s1026" o:spt="100" style="position:absolute;left:6356;top:819;height:280;width:51;" filled="f" stroked="t" coordsize="51,280" o:gfxdata="UEsDBAoAAAAAAIdO4kAAAAAAAAAAAAAAAAAEAAAAZHJzL1BLAwQUAAAACACHTuJAX0m0BbsAAADd&#10;AAAADwAAAGRycy9kb3ducmV2LnhtbEVPTYvCMBC9C/6HMMLeNK2wUqtRUFnYiweriMehGdtiMylN&#10;tOqvN4LgbR7vc+bLu6nFjVpXWVYQjyIQxLnVFRcKDvu/YQLCeWSNtWVS8CAHy0W/N8dU2453dMt8&#10;IUIIuxQVlN43qZQuL8mgG9mGOHBn2xr0AbaF1C12IdzUchxFE2mw4tBQYkPrkvJLdjUKmnOyfcSn&#10;tV/h5jjuqv00e+qtUj+DOJqB8HT3X/HH/a/D/GTyC+9vwgly8Q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0m0BbsAAADd&#10;AAAADwAAAAAAAAABACAAAAAiAAAAZHJzL2Rvd25yZXYueG1sUEsBAhQAFAAAAAgAh07iQDMvBZ47&#10;AAAAOQAAABAAAAAAAAAAAQAgAAAACgEAAGRycy9zaGFwZXhtbC54bWxQSwUGAAAAAAYABgBbAQAA&#10;tAMAAAAA&#10;" path="m50,0l36,18,22,44,7,79,0,123,0,157,7,201,22,236,36,263,50,280e">
                  <v:path o:connectlocs="50,819;36,837;22,863;7,898;0,942;0,976;7,1020;22,1055;36,1082;50,1099;50,1099" o:connectangles="0,0,0,0,0,0,0,0,0,0,0"/>
                  <v:fill on="f" focussize="0,0"/>
                  <v:stroke weight="0.0111023622047244pt" color="#000000" joinstyle="round"/>
                  <v:imagedata o:title=""/>
                  <o:lock v:ext="edit" aspectratio="f"/>
                </v:shape>
                <v:shape id="Picture 26" o:spid="_x0000_s1026" o:spt="75" type="#_x0000_t75" style="position:absolute;left:6448;top:854;height:184;width:101;" filled="f" o:preferrelative="t" stroked="f" coordsize="21600,21600" o:gfxdata="UEsDBAoAAAAAAIdO4kAAAAAAAAAAAAAAAAAEAAAAZHJzL1BLAwQUAAAACACHTuJAW3oHH7oAAADd&#10;AAAADwAAAGRycy9kb3ducmV2LnhtbEVPzYrCMBC+L/gOYQRva1LBItXoQRBcRHB1H2C2GdtiMylJ&#10;tN23N4Kwt/n4fme1GWwrHuRD41hDNlUgiEtnGq40/Fx2nwsQISIbbB2Thj8KsFmPPlZYGNfzNz3O&#10;sRIphEOBGuoYu0LKUNZkMUxdR5y4q/MWY4K+ksZjn8JtK2dK5dJiw6mhxo62NZW3891quKO/zIbj&#10;rzv0J38IX5man3ql9WScqSWISEP8F7/de5PmL/IcXt+kE+T6C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begcfugAAAN0A&#10;AAAPAAAAAAAAAAEAIAAAACIAAABkcnMvZG93bnJldi54bWxQSwECFAAUAAAACACHTuJAMy8FnjsA&#10;AAA5AAAAEAAAAAAAAAABACAAAAAJAQAAZHJzL3NoYXBleG1sLnhtbFBLBQYAAAAABgAGAFsBAACz&#10;AwAAAAA=&#10;">
                  <v:fill on="f" focussize="0,0"/>
                  <v:stroke on="f"/>
                  <v:imagedata r:id="rId22" o:title=""/>
                  <o:lock v:ext="edit" aspectratio="t"/>
                </v:shape>
                <v:shape id="Freeform 27" o:spid="_x0000_s1026" o:spt="100" style="position:absolute;left:6599;top:1020;height:18;width:15;" filled="f" stroked="t" coordsize="15,18" o:gfxdata="UEsDBAoAAAAAAIdO4kAAAAAAAAAAAAAAAAAEAAAAZHJzL1BLAwQUAAAACACHTuJADIVB+r0AAADd&#10;AAAADwAAAGRycy9kb3ducmV2LnhtbEVPS2rDMBDdB3IHMYHuEjldpMaN4kWhSY3bRVIfYLCmtmtr&#10;JCzFcW9fFQrZzeN9Z5/PZhATjb6zrGC7SUAQ11Z33CioPl/XKQgfkDUOlknBD3nID8vFHjNtb3ym&#10;6RIaEUPYZ6igDcFlUvq6JYN+Yx1x5L7saDBEODZSj3iL4WaQj0mykwY7jg0tOnppqe4vV6NgKIuP&#10;d/dNldGTM9eirI4n7JV6WG2TZxCB5nAX/7vfdJyf7p7g75t4gjz8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MhUH6vQAA&#10;AN0AAAAPAAAAAAAAAAEAIAAAACIAAABkcnMvZG93bnJldi54bWxQSwECFAAUAAAACACHTuJAMy8F&#10;njsAAAA5AAAAEAAAAAAAAAABACAAAAAMAQAAZHJzL3NoYXBleG1sLnhtbFBLBQYAAAAABgAGAFsB&#10;AAC2AwAAAAA=&#10;" path="m7,0l0,9,7,18,14,9,7,0e">
                  <v:path o:connectlocs="7,1020;0,1029;7,1038;14,1029;7,1020;7,1020" o:connectangles="0,0,0,0,0,0"/>
                  <v:fill on="f" focussize="0,0"/>
                  <v:stroke weight="0.0120472440944882pt" color="#000000" joinstyle="round"/>
                  <v:imagedata o:title=""/>
                  <o:lock v:ext="edit" aspectratio="f"/>
                </v:shape>
                <v:shape id="Freeform 28" o:spid="_x0000_s1026" o:spt="100" style="position:absolute;left:6691;top:854;height:184;width:72;" filled="f" stroked="t" coordsize="72,184" o:gfxdata="UEsDBAoAAAAAAIdO4kAAAAAAAAAAAAAAAAAEAAAAZHJzL1BLAwQUAAAACACHTuJA4gyZLL4AAADd&#10;AAAADwAAAGRycy9kb3ducmV2LnhtbEWPQW/CMAyF70j7D5En7UbT7oBYR0DTJBDbjYK0q9eYplrj&#10;VEkG5d/PB6TdbL3n9z6vNpMf1IVi6gMbqIoSFHEbbM+dgdNxO1+CShnZ4hCYDNwowWb9MFthbcOV&#10;D3RpcqckhFONBlzOY611ah15TEUYiUU7h+gxyxo7bSNeJdwP+rksF9pjz9LgcKR3R+1P8+sNnG/2&#10;2330X83bNOzt7rPK1TG+GPP0WJWvoDJN+d98v95bwV8uBFe+kRH0+g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gyZLL4A&#10;AADdAAAADwAAAAAAAAABACAAAAAiAAAAZHJzL2Rvd25yZXYueG1sUEsBAhQAFAAAAAgAh07iQDMv&#10;BZ47AAAAOQAAABAAAAAAAAAAAQAgAAAADQEAAGRycy9zaGFwZXhtbC54bWxQSwUGAAAAAAYABgBb&#10;AQAAtwMAAAAA&#10;" path="m72,0l0,184e">
                  <v:path o:connectlocs="72,854;0,1038;0,1038" o:connectangles="0,0,0"/>
                  <v:fill on="f" focussize="0,0"/>
                  <v:stroke weight="0.0113385826771654pt" color="#000000" joinstyle="round"/>
                  <v:imagedata o:title=""/>
                  <o:lock v:ext="edit" aspectratio="f"/>
                </v:shape>
                <v:shape id="Freeform 29" o:spid="_x0000_s1026" o:spt="100" style="position:absolute;left:6663;top:854;height:2;width:101;" filled="f" stroked="t" coordsize="101,1" o:gfxdata="UEsDBAoAAAAAAIdO4kAAAAAAAAAAAAAAAAAEAAAAZHJzL1BLAwQUAAAACACHTuJA9YngNsAAAADd&#10;AAAADwAAAGRycy9kb3ducmV2LnhtbEWPT2sCMRDF74V+hzAFL0WzFrrV1ShSEGvBQ1X0OmzGzepm&#10;siTx37c3hUJvM7z3e/NmPL3ZRlzIh9qxgn4vA0FcOl1zpWC7mXcHIEJE1tg4JgV3CjCdPD+NsdDu&#10;yj90WcdKpBAOBSowMbaFlKE0ZDH0XEuctIPzFmNafSW1x2sKt418y7JcWqw5XTDY0qeh8rQ+21Rj&#10;b1bz14XZ+Y/jbJm78+77/m6V6rz0sxGISLf4b/6jv3TiBvkQfr9JI8jJ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1ieA2&#10;wAAAAN0AAAAPAAAAAAAAAAEAIAAAACIAAABkcnMvZG93bnJldi54bWxQSwECFAAUAAAACACHTuJA&#10;My8FnjsAAAA5AAAAEAAAAAAAAAABACAAAAAPAQAAZHJzL3NoYXBleG1sLnhtbFBLBQYAAAAABgAG&#10;AFsBAAC5AwAAAAA=&#10;" path="m0,0l101,0e">
                  <v:path o:connectlocs="0,0;101,0;101,0" o:connectangles="0,0,0"/>
                  <v:fill on="f" focussize="0,0"/>
                  <v:stroke weight="0.0134645669291339pt" color="#000000" joinstyle="round"/>
                  <v:imagedata o:title=""/>
                  <o:lock v:ext="edit" aspectratio="f"/>
                </v:shape>
                <v:shape id="Picture 30" o:spid="_x0000_s1026" o:spt="75" type="#_x0000_t75" style="position:absolute;left:6806;top:854;height:184;width:101;" filled="f" o:preferrelative="t" stroked="f" coordsize="21600,21600" o:gfxdata="UEsDBAoAAAAAAIdO4kAAAAAAAAAAAAAAAAAEAAAAZHJzL1BLAwQUAAAACACHTuJAEqUYeL8AAADd&#10;AAAADwAAAGRycy9kb3ducmV2LnhtbEWPS2sDMQyE74X8B6NAb429LU3CNk5IC4VeSsijd7FW1kvW&#10;8rJ2Hvvvq0MgN4kZzXxarG6hVRfqUxPZQjExoIir6BquLRz23y9zUCkjO2wjk4WBEqyWo6cFli5e&#10;eUuXXa6VhHAq0YLPuSu1TpWngGkSO2LRjrEPmGXta+16vEp4aPWrMVMdsGFp8NjRl6fqtDsHC9Pf&#10;t32xDkf/9/6pz2bYDIcQB2ufx4X5AJXplh/m+/WPE/z5TPjlGxlBL/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KlGHi/&#10;AAAA3QAAAA8AAAAAAAAAAQAgAAAAIgAAAGRycy9kb3ducmV2LnhtbFBLAQIUABQAAAAIAIdO4kAz&#10;LwWeOwAAADkAAAAQAAAAAAAAAAEAIAAAAA4BAABkcnMvc2hhcGV4bWwueG1sUEsFBgAAAAAGAAYA&#10;WwEAALgDAAAAAA==&#10;">
                  <v:fill on="f" focussize="0,0"/>
                  <v:stroke on="f"/>
                  <v:imagedata r:id="rId23" o:title=""/>
                  <o:lock v:ext="edit" aspectratio="t"/>
                </v:shape>
                <v:shape id="Picture 31" o:spid="_x0000_s1026" o:spt="75" type="#_x0000_t75" style="position:absolute;left:6956;top:915;height:123;width:158;" filled="f" o:preferrelative="t" stroked="f" coordsize="21600,21600" o:gfxdata="UEsDBAoAAAAAAIdO4kAAAAAAAAAAAAAAAAAEAAAAZHJzL1BLAwQUAAAACACHTuJAEPIGb7sAAADd&#10;AAAADwAAAGRycy9kb3ducmV2LnhtbEWPzQrCMBCE74LvEFbwpmlFVKrRgyAIevAPz0uztsVmU5to&#10;1ac3guBtl5lvdna2eJpSPKh2hWUFcT8CQZxaXXCm4HRc9SYgnEfWWFomBS9ysJi3WzNMtG14T4+D&#10;z0QIYZeggtz7KpHSpTkZdH1bEQftYmuDPqx1JnWNTQg3pRxE0UgaLDhcyLGiZU7p9XA3oYa9bG7n&#10;bPjaFHzbnpbvXbM+Nkp1O3E0BeHp6f/mH73WgZuMY/h+E0aQ8w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PIGb7sAAADd&#10;AAAADwAAAAAAAAABACAAAAAiAAAAZHJzL2Rvd25yZXYueG1sUEsBAhQAFAAAAAgAh07iQDMvBZ47&#10;AAAAOQAAABAAAAAAAAAAAQAgAAAACgEAAGRycy9zaGFwZXhtbC54bWxQSwUGAAAAAAYABgBbAQAA&#10;tAMAAAAA&#10;">
                  <v:fill on="f" focussize="0,0"/>
                  <v:stroke on="f"/>
                  <v:imagedata r:id="rId24" o:title=""/>
                  <o:lock v:ext="edit" aspectratio="t"/>
                </v:shape>
                <v:shape id="Freeform 32" o:spid="_x0000_s1026" o:spt="100" style="position:absolute;left:7163;top:819;height:280;width:51;" filled="f" stroked="t" coordsize="51,280" o:gfxdata="UEsDBAoAAAAAAIdO4kAAAAAAAAAAAAAAAAAEAAAAZHJzL1BLAwQUAAAACACHTuJAVXm6rLwAAADd&#10;AAAADwAAAGRycy9kb3ducmV2LnhtbEVPTYvCMBC9C/sfwgjebNoedrvVKOgi7MWDVWSPQzO2xWZS&#10;mmjVX28WBG/zeJ8zX95MK67Uu8aygiSKQRCXVjdcKTjsN9MMhPPIGlvLpOBODpaLj9Ecc20H3tG1&#10;8JUIIexyVFB73+VSurImgy6yHXHgTrY36APsK6l7HEK4aWUax5/SYMOhocaO1jWV5+JiFHSnbHtP&#10;/tZ+hT/HdGj238VDb5WajJN4BsLTzb/FL/evDvOzrxT+vwknyMU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V5uqy8AAAA&#10;3QAAAA8AAAAAAAAAAQAgAAAAIgAAAGRycy9kb3ducmV2LnhtbFBLAQIUABQAAAAIAIdO4kAzLwWe&#10;OwAAADkAAAAQAAAAAAAAAAEAIAAAAAsBAABkcnMvc2hhcGV4bWwueG1sUEsFBgAAAAAGAAYAWwEA&#10;ALUDAAAAAA==&#10;" path="m0,0l14,18,28,44,43,79,50,123,50,157,43,201,28,236,14,263,0,280e">
                  <v:path o:connectlocs="0,819;14,837;28,863;43,898;50,942;50,976;43,1020;28,1055;14,1082;0,1099;0,1099" o:connectangles="0,0,0,0,0,0,0,0,0,0,0"/>
                  <v:fill on="f" focussize="0,0"/>
                  <v:stroke weight="0.0111023622047244pt" color="#000000" joinstyle="round"/>
                  <v:imagedata o:title=""/>
                  <o:lock v:ext="edit" aspectratio="f"/>
                </v:shape>
                <v:shape id="Freeform 33" o:spid="_x0000_s1026" o:spt="100" style="position:absolute;left:5315;top:491;height:2;width:1423;" filled="f" stroked="t" coordsize="1423,1" o:gfxdata="UEsDBAoAAAAAAIdO4kAAAAAAAAAAAAAAAAAEAAAAZHJzL1BLAwQUAAAACACHTuJAI1fy8b0AAADd&#10;AAAADwAAAGRycy9kb3ducmV2LnhtbEVPTWsCMRC9F/ofwhS8lJqo1C5bo8iCoLdWS/E4bKa7q5vJ&#10;kkRd/30jCN7m8T5ntuhtK87kQ+NYw2ioQBCXzjRcafjZrd4yECEiG2wdk4YrBVjMn59mmBt34W86&#10;b2MlUgiHHDXUMXa5lKGsyWIYuo44cX/OW4wJ+koaj5cUbls5VmoqLTacGmrsqKipPG5PVkPml6ti&#10;/Xr49TZsru9NsVf9117rwctIfYKI1MeH+O5emzQ/+5jA7Zt0gpz/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jV/LxvQAA&#10;AN0AAAAPAAAAAAAAAAEAIAAAACIAAABkcnMvZG93bnJldi54bWxQSwECFAAUAAAACACHTuJAMy8F&#10;njsAAAA5AAAAEAAAAAAAAAABACAAAAAMAQAAZHJzL3NoYXBleG1sLnhtbFBLBQYAAAAABgAGAFsB&#10;AAC2AwAAAAA=&#10;" path="m0,0l1422,0e">
                  <v:path o:connectlocs="0,0;1422,0;1422,0" o:connectangles="0,0,0"/>
                  <v:fill on="f" focussize="0,0"/>
                  <v:stroke weight="0.0134645669291339pt" color="#000000" joinstyle="round"/>
                  <v:imagedata o:title=""/>
                  <o:lock v:ext="edit" aspectratio="f"/>
                </v:shape>
                <v:shape id="Picture 34" o:spid="_x0000_s1026" o:spt="75" type="#_x0000_t75" style="position:absolute;left:5366;top:257;height:184;width:101;" filled="f" o:preferrelative="t" stroked="f" coordsize="21600,21600" o:gfxdata="UEsDBAoAAAAAAIdO4kAAAAAAAAAAAAAAAAAEAAAAZHJzL1BLAwQUAAAACACHTuJA3RBVWLwAAADd&#10;AAAADwAAAGRycy9kb3ducmV2LnhtbEVPS2sCMRC+C/6HMEJvmt0idbs1ehCkpSL46KW3YTNuFjeT&#10;JUlX/femIHibj+858+XVtqInHxrHCvJJBoK4crrhWsHPcT0uQISIrLF1TApuFGC5GA7mWGp34T31&#10;h1iLFMKhRAUmxq6UMlSGLIaJ64gTd3LeYkzQ11J7vKRw28rXLHuTFhtODQY7Whmqzoc/q6Dw+Sa+&#10;//ZOyiKY7eZ79zm1O6VeRnn2ASLSNT7FD/eXTvOL2RT+v0knyMU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0QVVi8AAAA&#10;3QAAAA8AAAAAAAAAAQAgAAAAIgAAAGRycy9kb3ducmV2LnhtbFBLAQIUABQAAAAIAIdO4kAzLwWe&#10;OwAAADkAAAAQAAAAAAAAAAEAIAAAAAsBAABkcnMvc2hhcGV4bWwueG1sUEsFBgAAAAAGAAYAWwEA&#10;ALUDAAAAAA==&#10;">
                  <v:fill on="f" focussize="0,0"/>
                  <v:stroke on="f"/>
                  <v:imagedata r:id="rId25" o:title=""/>
                  <o:lock v:ext="edit" aspectratio="t"/>
                </v:shape>
                <v:shape id="Freeform 35" o:spid="_x0000_s1026" o:spt="100" style="position:absolute;left:5516;top:335;height:2;width:129;" filled="f" stroked="t" coordsize="129,1" o:gfxdata="UEsDBAoAAAAAAIdO4kAAAAAAAAAAAAAAAAAEAAAAZHJzL1BLAwQUAAAACACHTuJAVWd8ULwAAADd&#10;AAAADwAAAGRycy9kb3ducmV2LnhtbEVPS2sCMRC+F/wPYQQvRbMqa5et0YMg2Ivg49LbsBk3WzeT&#10;JYmv/nojFHqbj+858+XdtuJKPjSOFYxHGQjiyumGawXHw3pYgAgRWWPrmBQ8KMBy0XubY6ndjXd0&#10;3cdapBAOJSowMXallKEyZDGMXEecuJPzFmOCvpba4y2F21ZOsmwmLTacGgx2tDJUnfcXq2D9nmPu&#10;tryK5ue3Lr4208u3nyo16I+zTxCR7vFf/Ofe6DS/+Mjh9U06QS6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VnfFC8AAAA&#10;3QAAAA8AAAAAAAAAAQAgAAAAIgAAAGRycy9kb3ducmV2LnhtbFBLAQIUABQAAAAIAIdO4kAzLwWe&#10;OwAAADkAAAAQAAAAAAAAAAEAIAAAAAsBAABkcnMvc2hhcGV4bWwueG1sUEsFBgAAAAAGAAYAWwEA&#10;ALUDAAAAAA==&#10;" path="m0,0l129,0e">
                  <v:path o:connectlocs="0,0;129,0;129,0" o:connectangles="0,0,0"/>
                  <v:fill on="f" focussize="0,0"/>
                  <v:stroke weight="0.0134645669291339pt" color="#000000" joinstyle="round"/>
                  <v:imagedata o:title=""/>
                  <o:lock v:ext="edit" aspectratio="f"/>
                </v:shape>
                <v:shape id="Freeform 36" o:spid="_x0000_s1026" o:spt="100" style="position:absolute;left:5516;top:388;height:2;width:129;" filled="f" stroked="t" coordsize="129,1" o:gfxdata="UEsDBAoAAAAAAIdO4kAAAAAAAAAAAAAAAAAEAAAAZHJzL1BLAwQUAAAACACHTuJApbXiJ74AAADd&#10;AAAADwAAAGRycy9kb3ducmV2LnhtbEVPTWvCQBC9F/wPywi9lLpRUUPq6kEIpJeCthdvQ3aaTc3O&#10;ht01sf31XaHQ2zze52z3N9uJgXxoHSuYzzIQxLXTLTcKPt7L5xxEiMgaO8ek4JsC7HeThy0W2o18&#10;pOEUG5FCOBSowMTYF1KG2pDFMHM9ceI+nbcYE/SN1B7HFG47uciytbTYcmow2NPBUH05Xa2C8mmF&#10;K/fGh2i+fpr8tVpez36p1ON0nr2AiHSL/+I/d6XT/Hyzhvs36QS5+w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bXiJ74A&#10;AADdAAAADwAAAAAAAAABACAAAAAiAAAAZHJzL2Rvd25yZXYueG1sUEsBAhQAFAAAAAgAh07iQDMv&#10;BZ47AAAAOQAAABAAAAAAAAAAAQAgAAAADQEAAGRycy9zaGFwZXhtbC54bWxQSwUGAAAAAAYABgBb&#10;AQAAtwMAAAAA&#10;" path="m0,0l129,0e">
                  <v:path o:connectlocs="0,0;129,0;129,0" o:connectangles="0,0,0"/>
                  <v:fill on="f" focussize="0,0"/>
                  <v:stroke weight="0.0134645669291339pt" color="#000000" joinstyle="round"/>
                  <v:imagedata o:title=""/>
                  <o:lock v:ext="edit" aspectratio="f"/>
                </v:shape>
                <v:shape id="Picture 37" o:spid="_x0000_s1026" o:spt="75" type="#_x0000_t75" style="position:absolute;left:5694;top:257;height:184;width:101;" filled="f" o:preferrelative="t" stroked="f" coordsize="21600,21600" o:gfxdata="UEsDBAoAAAAAAIdO4kAAAAAAAAAAAAAAAAAEAAAAZHJzL1BLAwQUAAAACACHTuJAeTk+87wAAADd&#10;AAAADwAAAGRycy9kb3ducmV2LnhtbEVPS4vCMBC+L/gfwgh7W9N60FKNHhYFURB84XW2mW3LNpOa&#10;xFr//WZhwdt8fM+ZL3vTiI6cry0rSEcJCOLC6ppLBefT+iMD4QOyxsYyKXiSh+Vi8DbHXNsHH6g7&#10;hlLEEPY5KqhCaHMpfVGRQT+yLXHkvq0zGCJ0pdQOHzHcNHKcJBNpsObYUGFLnxUVP8e7UXCz9WG7&#10;u7rM79ueVt0+fY6/Lkq9D9NkBiJQH17if/dGx/nZdAp/38QT5OI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k5PvO8AAAA&#10;3QAAAA8AAAAAAAAAAQAgAAAAIgAAAGRycy9kb3ducmV2LnhtbFBLAQIUABQAAAAIAIdO4kAzLwWe&#10;OwAAADkAAAAQAAAAAAAAAAEAIAAAAAsBAABkcnMvc2hhcGV4bWwueG1sUEsFBgAAAAAGAAYAWwEA&#10;ALUDAAAAAA==&#10;">
                  <v:fill on="f" focussize="0,0"/>
                  <v:stroke on="f"/>
                  <v:imagedata r:id="rId26" o:title=""/>
                  <o:lock v:ext="edit" aspectratio="t"/>
                </v:shape>
                <v:shape id="Freeform 38" o:spid="_x0000_s1026" o:spt="100" style="position:absolute;left:5845;top:423;height:18;width:15;" filled="f" stroked="t" coordsize="15,18" o:gfxdata="UEsDBAoAAAAAAIdO4kAAAAAAAAAAAAAAAAAEAAAAZHJzL1BLAwQUAAAACACHTuJA+MNDVb0AAADd&#10;AAAADwAAAGRycy9kb3ducmV2LnhtbEWPQW/CMAyF75P4D5GRuI2UHRjqCByQgCG2w1h/gNWYttA4&#10;URMK/Ht8QOJm6z2/93m+vLlW9dTFxrOByTgDRVx623BloPhfv89AxYRssfVMBu4UYbkYvM0xt/7K&#10;f9QfUqUkhGOOBuqUQq51LGtyGMc+EIt29J3DJGtXadvhVcJdqz+ybKodNiwNNQZa1VSeDxdnoN3v&#10;fn/CiQpn++Auu32x2eLZmNFwkn2BSnRLL/Pz+tsK/uxTcOUbGUEvH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4w0NVvQAA&#10;AN0AAAAPAAAAAAAAAAEAIAAAACIAAABkcnMvZG93bnJldi54bWxQSwECFAAUAAAACACHTuJAMy8F&#10;njsAAAA5AAAAEAAAAAAAAAABACAAAAAMAQAAZHJzL3NoYXBleG1sLnhtbFBLBQYAAAAABgAGAFsB&#10;AAC2AwAAAAA=&#10;" path="m7,0l0,8,7,17,14,8,7,0e">
                  <v:path o:connectlocs="7,424;0,432;7,441;14,432;7,424;7,424" o:connectangles="0,0,0,0,0,0"/>
                  <v:fill on="f" focussize="0,0"/>
                  <v:stroke weight="0.0120472440944882pt" color="#000000" joinstyle="round"/>
                  <v:imagedata o:title=""/>
                  <o:lock v:ext="edit" aspectratio="f"/>
                </v:shape>
                <v:shape id="Picture 39" o:spid="_x0000_s1026" o:spt="75" type="#_x0000_t75" style="position:absolute;left:5909;top:257;height:184;width:101;" filled="f" o:preferrelative="t" stroked="f" coordsize="21600,21600" o:gfxdata="UEsDBAoAAAAAAIdO4kAAAAAAAAAAAAAAAAAEAAAAZHJzL1BLAwQUAAAACACHTuJAkRWY274AAADd&#10;AAAADwAAAGRycy9kb3ducmV2LnhtbEWPQWvCQBCF7wX/wzKF3pqNLWiaunoQxd7EGEqPQ3bcDc3O&#10;huxW03/vCoK3Gd773rxZrEbXiTMNofWsYJrlIIgbr1s2Curj9rUAESKyxs4zKfinAKvl5GmBpfYX&#10;PtC5ikakEA4lKrAx9qWUobHkMGS+J07ayQ8OY1oHI/WAlxTuOvmW5zPpsOV0wWJPa0vNb/XnUo06&#10;rpvN0Rb7Ptjvwpj3n5PdKfXyPM0/QUQa48N8p7904or5B9y+SSPI5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RWY274A&#10;AADdAAAADwAAAAAAAAABACAAAAAiAAAAZHJzL2Rvd25yZXYueG1sUEsBAhQAFAAAAAgAh07iQDMv&#10;BZ47AAAAOQAAABAAAAAAAAAAAQAgAAAADQEAAGRycy9zaGFwZXhtbC54bWxQSwUGAAAAAAYABgBb&#10;AQAAtwMAAAAA&#10;">
                  <v:fill on="f" focussize="0,0"/>
                  <v:stroke on="f"/>
                  <v:imagedata r:id="rId27" o:title=""/>
                  <o:lock v:ext="edit" aspectratio="t"/>
                </v:shape>
                <v:shape id="Picture 40" o:spid="_x0000_s1026" o:spt="75" type="#_x0000_t75" style="position:absolute;left:6059;top:318;height:123;width:158;" filled="f" o:preferrelative="t" stroked="f" coordsize="21600,21600" o:gfxdata="UEsDBAoAAAAAAIdO4kAAAAAAAAAAAAAAAAAEAAAAZHJzL1BLAwQUAAAACACHTuJAFDABPr8AAADd&#10;AAAADwAAAGRycy9kb3ducmV2LnhtbEWPT2sCQQzF7wW/w5CCtzpjD7LdOnooCCqIaAWv6U7cXdzJ&#10;rDtT/316cxC8JbyX934ZT6++UWfqYh3YwnBgQBEXwdVcWtj9zj4yUDEhO2wCk4UbRZhOem9jzF24&#10;8IbO21QqCeGYo4UqpTbXOhYVeYyD0BKLdgidxyRrV2rX4UXCfaM/jRlpjzVLQ4Ut/VRUHLf/3sLC&#10;m1P8wv1teT/es/WB02r2t7K2/z4036ASXdPL/LyeO8HPMuGXb2QEPXk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QwAT6/&#10;AAAA3QAAAA8AAAAAAAAAAQAgAAAAIgAAAGRycy9kb3ducmV2LnhtbFBLAQIUABQAAAAIAIdO4kAz&#10;LwWeOwAAADkAAAAQAAAAAAAAAAEAIAAAAA4BAABkcnMvc2hhcGV4bWwueG1sUEsFBgAAAAAGAAYA&#10;WwEAALgDAAAAAA==&#10;">
                  <v:fill on="f" focussize="0,0"/>
                  <v:stroke on="f"/>
                  <v:imagedata r:id="rId28" o:title=""/>
                  <o:lock v:ext="edit" aspectratio="t"/>
                </v:shape>
                <v:shape id="Freeform 41" o:spid="_x0000_s1026" o:spt="100" style="position:absolute;left:6273;top:222;height:280;width:51;" filled="f" stroked="t" coordsize="51,280" o:gfxdata="UEsDBAoAAAAAAIdO4kAAAAAAAAAAAAAAAAAEAAAAZHJzL1BLAwQUAAAACACHTuJAkH5U/L0AAADd&#10;AAAADwAAAGRycy9kb3ducmV2LnhtbEVPO2vDMBDeC/kP4gLdGtkZiutENiSh0MVDnRIyHtbFNrFO&#10;xlL86K+vCoVu9/E9b5/PphMjDa61rCDeRCCIK6tbrhV8nd9fEhDOI2vsLJOChRzk2eppj6m2E3/S&#10;WPpahBB2KSpovO9TKV3VkEG3sT1x4G52MOgDHGqpB5xCuOnkNopepcGWQ0ODPR0bqu7lwyjob0mx&#10;xNejP+Dpsp3a81v5rQulntdxtAPhafb/4j/3hw7zkySG32/CCTL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QflT8vQAA&#10;AN0AAAAPAAAAAAAAAAEAIAAAACIAAABkcnMvZG93bnJldi54bWxQSwECFAAUAAAACACHTuJAMy8F&#10;njsAAAA5AAAAEAAAAAAAAAABACAAAAAMAQAAZHJzL3NoYXBleG1sLnhtbFBLBQYAAAAABgAGAFsB&#10;AAC2AwAAAAA=&#10;" path="m50,0l36,18,21,44,7,79,0,123,0,158,7,202,21,237,36,263,50,280e">
                  <v:path o:connectlocs="50,222;36,240;21,266;7,301;0,345;0,380;7,424;21,459;36,485;50,502;50,502" o:connectangles="0,0,0,0,0,0,0,0,0,0,0"/>
                  <v:fill on="f" focussize="0,0"/>
                  <v:stroke weight="0.0111023622047244pt" color="#000000" joinstyle="round"/>
                  <v:imagedata o:title=""/>
                  <o:lock v:ext="edit" aspectratio="f"/>
                </v:shape>
                <v:shape id="Picture 42" o:spid="_x0000_s1026" o:spt="75" type="#_x0000_t75" style="position:absolute;left:6366;top:257;height:184;width:101;" filled="f" o:preferrelative="t" stroked="f" coordsize="21600,21600" o:gfxdata="UEsDBAoAAAAAAIdO4kAAAAAAAAAAAAAAAAAEAAAAZHJzL1BLAwQUAAAACACHTuJAGPg4Yr0AAADd&#10;AAAADwAAAGRycy9kb3ducmV2LnhtbEVPS2vCQBC+C/0PyxR6kboxlBJSVw+WQmkPohZ6HbNjEpKd&#10;DbvjI//eLQi9zcf3nMXq6np1phBbzwbmswwUceVty7WBn/3HcwEqCrLF3jMZGCnCavkwWWBp/YW3&#10;dN5JrVIIxxINNCJDqXWsGnIYZ34gTtzRB4eSYKi1DXhJ4a7XeZa9aoctp4YGB1o3VHW7kzMwHF7k&#10;+/1XvjqajpsT5WE/dgdjnh7n2Rsooav8i+/uT5vmF0UOf9+kE/Ty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Y+DhivQAA&#10;AN0AAAAPAAAAAAAAAAEAIAAAACIAAABkcnMvZG93bnJldi54bWxQSwECFAAUAAAACACHTuJAMy8F&#10;njsAAAA5AAAAEAAAAAAAAAABACAAAAAMAQAAZHJzL3NoYXBleG1sLnhtbFBLBQYAAAAABgAGAFsB&#10;AAC2AwAAAAA=&#10;">
                  <v:fill on="f" focussize="0,0"/>
                  <v:stroke on="f"/>
                  <v:imagedata r:id="rId29" o:title=""/>
                  <o:lock v:ext="edit" aspectratio="t"/>
                </v:shape>
                <v:shape id="Picture 43" o:spid="_x0000_s1026" o:spt="75" type="#_x0000_t75" style="position:absolute;left:6516;top:318;height:123;width:158;" filled="f" o:preferrelative="t" stroked="f" coordsize="21600,21600" o:gfxdata="UEsDBAoAAAAAAIdO4kAAAAAAAAAAAAAAAAAEAAAAZHJzL1BLAwQUAAAACACHTuJAcEOSqL0AAADd&#10;AAAADwAAAGRycy9kb3ducmV2LnhtbEVPTWsCMRC9F/ofwgjeamKFsqxGD9qCHoS67aG9jZtxd3Ez&#10;WZK4q//eCIXe5vE+Z7G62lb05EPjWMN0okAQl840XGn4/vp4yUCEiGywdUwabhRgtXx+WmBu3MAH&#10;6otYiRTCIUcNdYxdLmUoa7IYJq4jTtzJeYsxQV9J43FI4baVr0q9SYsNp4YaO1rXVJ6Li9Xgbhv1&#10;ufXFe9j3u5/z5vdYDdlR6/FoquYgIl3jv/jPvTVpfpbN4PFNOkEu7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wQ5KovQAA&#10;AN0AAAAPAAAAAAAAAAEAIAAAACIAAABkcnMvZG93bnJldi54bWxQSwECFAAUAAAACACHTuJAMy8F&#10;njsAAAA5AAAAEAAAAAAAAAABACAAAAAMAQAAZHJzL3NoYXBleG1sLnhtbFBLBQYAAAAABgAGAFsB&#10;AAC2AwAAAAA=&#10;">
                  <v:fill on="f" focussize="0,0"/>
                  <v:stroke on="f"/>
                  <v:imagedata r:id="rId30" o:title=""/>
                  <o:lock v:ext="edit" aspectratio="t"/>
                </v:shape>
                <v:shape id="Freeform 44" o:spid="_x0000_s1026" o:spt="100" style="position:absolute;left:6724;top:222;height:280;width:50;" filled="f" stroked="t" coordsize="50,280" o:gfxdata="UEsDBAoAAAAAAIdO4kAAAAAAAAAAAAAAAAAEAAAAZHJzL1BLAwQUAAAACACHTuJAgaGnSr4AAADd&#10;AAAADwAAAGRycy9kb3ducmV2LnhtbEVPS2vCQBC+F/wPywi91Y0SNKRucrAUrRZsbfE8Zsckmp0N&#10;2fX177uC0Nt8fM+Z5lfTiDN1rrasYDiIQBAXVtdcKvj9eX9JQDiPrLGxTApu5CDPek9TTLW98Ded&#10;N74UIYRdigoq79tUSldUZNANbEscuL3tDPoAu1LqDi8h3DRyFEVjabDm0FBhS7OKiuPmZBQsJqv4&#10;a/exXp5MvS3j+eehtes3pZ77w+gVhKer/xc/3Asd5idJDPdvwgky+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aGnSr4A&#10;AADdAAAADwAAAAAAAAABACAAAAAiAAAAZHJzL2Rvd25yZXYueG1sUEsBAhQAFAAAAAgAh07iQDMv&#10;BZ47AAAAOQAAABAAAAAAAAAAAQAgAAAADQEAAGRycy9zaGFwZXhtbC54bWxQSwUGAAAAAAYABgBb&#10;AQAAtwMAAAAA&#10;" path="m0,0l14,18,29,44,43,79,50,123,50,158,43,202,29,237,14,263,0,280e">
                  <v:path o:connectlocs="0,222;14,240;29,266;43,301;50,345;50,380;43,424;29,459;14,485;0,502;0,502" o:connectangles="0,0,0,0,0,0,0,0,0,0,0"/>
                  <v:fill on="f" focussize="0,0"/>
                  <v:stroke weight="0.0111023622047244pt" color="#000000" joinstyle="round"/>
                  <v:imagedata o:title=""/>
                  <o:lock v:ext="edit" aspectratio="f"/>
                </v:shape>
                <v:rect id="Rectangle 45" o:spid="_x0000_s1026" o:spt="1" style="position:absolute;left:4574;top:2979;height:21;width:3411;" fillcolor="#000000" filled="t" stroked="f" coordsize="21600,21600" o:gfxdata="UEsDBAoAAAAAAIdO4kAAAAAAAAAAAAAAAAAEAAAAZHJzL1BLAwQUAAAACACHTuJAekAOar0AAADd&#10;AAAADwAAAGRycy9kb3ducmV2LnhtbEVPS2sCMRC+F/wPYYTeaqLUsq5GQUHopaC2B72Nm3F3cTNZ&#10;k/j89aZQ6G0+vudMZjfbiAv5UDvW0O8pEMSFMzWXGn6+l28ZiBCRDTaOScOdAsymnZcJ5sZdeU2X&#10;TSxFCuGQo4YqxjaXMhQVWQw91xIn7uC8xZigL6XxeE3htpEDpT6kxZpTQ4UtLSoqjpuz1TAfZfPT&#10;6p2/Huv9jnbb/XE48Err125fjUFEusV/8Z/706T5WTaE32/SCXL6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6QA5qvQAA&#10;AN0AAAAPAAAAAAAAAAEAIAAAACIAAABkcnMvZG93bnJldi54bWxQSwECFAAUAAAACACHTuJAMy8F&#10;njsAAAA5AAAAEAAAAAAAAAABACAAAAAMAQAAZHJzL3NoYXBleG1sLnhtbFBLBQYAAAAABgAGAFsB&#10;AAC2AwAAAAA=&#10;">
                  <v:fill on="t" focussize="0,0"/>
                  <v:stroke on="f"/>
                  <v:imagedata o:title=""/>
                  <o:lock v:ext="edit" aspectratio="f"/>
                </v:rect>
                <v:rect id="Rectangle 46" o:spid="_x0000_s1026" o:spt="1" style="position:absolute;left:4574;top:2979;height:21;width:3411;" fillcolor="#000000" filled="t" stroked="f" coordsize="21600,21600" o:gfxdata="UEsDBAoAAAAAAIdO4kAAAAAAAAAAAAAAAAAEAAAAZHJzL1BLAwQUAAAACACHTuJAipKQHb4AAADd&#10;AAAADwAAAGRycy9kb3ducmV2LnhtbEVPS2sCMRC+F/ofwhR6q4liZbuaFRQEL4X6ONTbuBl3l91M&#10;1iQ+2l/fFAq9zcf3nNn8bjtxJR8axxqGAwWCuHSm4UrDfrd6yUCEiGywc0wavijAvHh8mGFu3I03&#10;dN3GSqQQDjlqqGPscylDWZPFMHA9ceJOzluMCfpKGo+3FG47OVJqIi02nBpq7GlZU9luL1bD4i1b&#10;nD/G/P69OR7o8HlsX0deaf38NFRTEJHu8V/8516bND/LJvD7TTpBFj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pKQHb4A&#10;AADdAAAADwAAAAAAAAABACAAAAAiAAAAZHJzL2Rvd25yZXYueG1sUEsBAhQAFAAAAAgAh07iQDMv&#10;BZ47AAAAOQAAABAAAAAAAAAAAQAgAAAADQEAAGRycy9zaGFwZXhtbC54bWxQSwUGAAAAAAYABgBb&#10;AQAAtwMAAAAA&#10;">
                  <v:fill on="t" focussize="0,0"/>
                  <v:stroke on="f"/>
                  <v:imagedata o:title=""/>
                  <o:lock v:ext="edit" aspectratio="f"/>
                </v:rect>
                <v:rect id="Rectangle 47" o:spid="_x0000_s1026" o:spt="1" style="position:absolute;left:4574;top:2979;height:21;width:3411;" filled="f" stroked="t" coordsize="21600,21600" o:gfxdata="UEsDBAoAAAAAAIdO4kAAAAAAAAAAAAAAAAAEAAAAZHJzL1BLAwQUAAAACACHTuJAcWGxY7sAAADd&#10;AAAADwAAAGRycy9kb3ducmV2LnhtbEVPPW/CMBDdK/EfrENiKw4MJAoYBhAVK7QBxlN8xBHxOYrd&#10;EPj1daVK3e7pfd5qM9hG9NT52rGC2TQBQVw6XXOl4Otz/56B8AFZY+OYFDzJw2Y9elthrt2Dj9Sf&#10;QiViCPscFZgQ2lxKXxqy6KeuJY7czXUWQ4RdJXWHjxhuGzlPkoW0WHNsMNjS1lB5P31bBUV6+bjO&#10;7W7xCsOxalJT9MO5UGoyniVLEIGG8C/+cx90nJ9lKfx+E0+Q6x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WGxY7sAAADd&#10;AAAADwAAAAAAAAABACAAAAAiAAAAZHJzL2Rvd25yZXYueG1sUEsBAhQAFAAAAAgAh07iQDMvBZ47&#10;AAAAOQAAABAAAAAAAAAAAQAgAAAACgEAAGRycy9zaGFwZXhtbC54bWxQSwUGAAAAAAYABgBbAQAA&#10;tAMAAAAA&#10;">
                  <v:fill on="f" focussize="0,0"/>
                  <v:stroke weight="0.0134645669291339pt" color="#000000" miterlimit="8" joinstyle="miter"/>
                  <v:imagedata o:title=""/>
                  <o:lock v:ext="edit" aspectratio="f"/>
                </v:rect>
                <v:shape id="Picture 48" o:spid="_x0000_s1026" o:spt="75" type="#_x0000_t75" style="position:absolute;left:3816;top:491;height:4510;width:5001;" filled="f" o:preferrelative="t" stroked="f" coordsize="21600,21600" o:gfxdata="UEsDBAoAAAAAAIdO4kAAAAAAAAAAAAAAAAAEAAAAZHJzL1BLAwQUAAAACACHTuJAUF+KDsAAAADd&#10;AAAADwAAAGRycy9kb3ducmV2LnhtbEWPT2vDMAzF74N9B6PBLmO1M8Yasro9FAphp/XPpTcRq3Fo&#10;LIfYbdp9+ukw2E3iPb3302J1C7260pi6yBaKmQFF3ETXcWvhsN+8lqBSRnbYRyYLd0qwWj4+LLBy&#10;ceItXXe5VRLCqUILPueh0jo1ngKmWRyIRTvFMWCWdWy1G3GS8NDrN2M+dMCOpcHjQGtPzXl3CRbe&#10;Tz9+W88355fS7Kev473lov629vmpMJ+gMt3yv/nvunaCX5aCK9/ICHr5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QX4oO&#10;wAAAAN0AAAAPAAAAAAAAAAEAIAAAACIAAABkcnMvZG93bnJldi54bWxQSwECFAAUAAAACACHTuJA&#10;My8FnjsAAAA5AAAAEAAAAAAAAAABACAAAAAPAQAAZHJzL3NoYXBleG1sLnhtbFBLBQYAAAAABgAG&#10;AFsBAAC5AwAAAAA=&#10;">
                  <v:fill on="f" focussize="0,0"/>
                  <v:stroke on="f"/>
                  <v:imagedata r:id="rId31" o:title=""/>
                  <o:lock v:ext="edit" aspectratio="t"/>
                </v:shape>
                <v:shape id="Freeform 49" o:spid="_x0000_s1026" o:spt="100" style="position:absolute;left:5302;top:4319;height:2;width:242;" filled="f" stroked="t" coordsize="242,1" o:gfxdata="UEsDBAoAAAAAAIdO4kAAAAAAAAAAAAAAAAAEAAAAZHJzL1BLAwQUAAAACACHTuJAjnXSzbwAAADd&#10;AAAADwAAAGRycy9kb3ducmV2LnhtbEVPTYvCMBC9L/gfwgje1lQF6VajrMsq6smtguxtaMa22ExK&#10;E63+eyMI3ubxPmc6v5lKXKlxpWUFg34EgjizuuRcwWG//IxBOI+ssbJMCu7kYD7rfEwx0bblP7qm&#10;PhchhF2CCgrv60RKlxVk0PVtTRy4k20M+gCbXOoG2xBuKjmMorE0WHJoKLCmn4Kyc3oxCk677e8I&#10;N4vV4j8dLuuj251t+61UrzuIJiA83fxb/HKvdZgfx1/w/CacIGc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510s28AAAA&#10;3QAAAA8AAAAAAAAAAQAgAAAAIgAAAGRycy9kb3ducmV2LnhtbFBLAQIUABQAAAAIAIdO4kAzLwWe&#10;OwAAADkAAAAQAAAAAAAAAAEAIAAAAAsBAABkcnMvc2hhcGV4bWwueG1sUEsFBgAAAAAGAAYAWwEA&#10;ALUDAAAAAA==&#10;" path="m0,0l242,0e">
                  <v:path o:connectlocs="0,0;242,0;242,0" o:connectangles="0,0,0"/>
                  <v:fill on="f" focussize="0,0"/>
                  <v:stroke weight="0.0134645669291339pt" color="#000000" joinstyle="round"/>
                  <v:imagedata o:title=""/>
                  <o:lock v:ext="edit" aspectratio="f"/>
                </v:shape>
                <v:shape id="Freeform 50" o:spid="_x0000_s1026" o:spt="100" style="position:absolute;left:5591;top:4319;height:2;width:49;" filled="f" stroked="t" coordsize="49,1" o:gfxdata="UEsDBAoAAAAAAIdO4kAAAAAAAAAAAAAAAAAEAAAAZHJzL1BLAwQUAAAACACHTuJAPbNCS8IAAADd&#10;AAAADwAAAGRycy9kb3ducmV2LnhtbEWPQWsCQQyF74L/YYjQm85sD2K3joLSqtBWqBXEW7qT7i7d&#10;ySw7U7X++uYg9JbwXt77Mp1ffKNO1MU6sIVsZEARF8HVXFrYfzwPJ6BiQnbYBCYLvxRhPuv3ppi7&#10;cOZ3Ou1SqSSEY44WqpTaXOtYVOQxjkJLLNpX6DwmWbtSuw7PEu4bfW/MWHusWRoqbGlZUfG9+/EW&#10;Ns02G7+86uP++nb9NIunw8ps19beDTLzCCrRJf2bb9cbJ/iTB+GXb2QEPfsD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D2z&#10;QkvCAAAA3QAAAA8AAAAAAAAAAQAgAAAAIgAAAGRycy9kb3ducmV2LnhtbFBLAQIUABQAAAAIAIdO&#10;4kAzLwWeOwAAADkAAAAQAAAAAAAAAAEAIAAAABEBAABkcnMvc2hhcGV4bWwueG1sUEsFBgAAAAAG&#10;AAYAWwEAALsDAAAAAA==&#10;" path="m0,0l48,0e">
                  <v:path o:connectlocs="0,0;48,0;48,0" o:connectangles="0,0,0"/>
                  <v:fill on="f" focussize="0,0"/>
                  <v:stroke weight="0.0134645669291339pt" color="#000000" joinstyle="round"/>
                  <v:imagedata o:title=""/>
                  <o:lock v:ext="edit" aspectratio="f"/>
                </v:shape>
                <v:shape id="Freeform 51" o:spid="_x0000_s1026" o:spt="100" style="position:absolute;left:5688;top:4319;height:2;width:242;" filled="f" stroked="t" coordsize="242,1" o:gfxdata="UEsDBAoAAAAAAIdO4kAAAAAAAAAAAAAAAAAEAAAAZHJzL1BLAwQUAAAACACHTuJA9dpIFr4AAADd&#10;AAAADwAAAGRycy9kb3ducmV2LnhtbEVPTWvCQBC9F/oflin0VjexUDS6ioopbU8xLYi3ITsmwexs&#10;yG6T+O/dQsHbPN7nLNejaURPnastK4gnEQjiwuqaSwU/3+nLDITzyBoby6TgSg7Wq8eHJSbaDnyg&#10;PvelCCHsElRQed8mUrqiIoNuYlviwJ1tZ9AH2JVSdziEcNPIaRS9SYM1h4YKW9pVVFzyX6PgnH3t&#10;X/Fz+7495dO0PbrsYoeNUs9PcbQA4Wn0d/G/+0OH+bN5DH/fhBPk6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9dpIFr4A&#10;AADdAAAADwAAAAAAAAABACAAAAAiAAAAZHJzL2Rvd25yZXYueG1sUEsBAhQAFAAAAAgAh07iQDMv&#10;BZ47AAAAOQAAABAAAAAAAAAAAQAgAAAADQEAAGRycy9zaGFwZXhtbC54bWxQSwUGAAAAAAYABgBb&#10;AQAAtwMAAAAA&#10;" path="m0,0l241,0e">
                  <v:path o:connectlocs="0,0;241,0;241,0" o:connectangles="0,0,0"/>
                  <v:fill on="f" focussize="0,0"/>
                  <v:stroke weight="0.0134645669291339pt" color="#000000" joinstyle="round"/>
                  <v:imagedata o:title=""/>
                  <o:lock v:ext="edit" aspectratio="f"/>
                </v:shape>
                <v:shape id="Freeform 52" o:spid="_x0000_s1026" o:spt="100" style="position:absolute;left:5977;top:4319;height:2;width:49;" filled="f" stroked="t" coordsize="49,1" o:gfxdata="UEsDBAoAAAAAAIdO4kAAAAAAAAAAAAAAAAAEAAAAZHJzL1BLAwQUAAAACACHTuJAoi15p78AAADd&#10;AAAADwAAAGRycy9kb3ducmV2LnhtbEVPS2vCQBC+F/oflin0VnfjQWx0E1D6EFoFHyDexuyYhGZn&#10;Q3ar1l/vCgVv8/E9Z5yfbSOO1PnasYakp0AQF87UXGrYrN9fhiB8QDbYOCYNf+Qhzx4fxpgad+Il&#10;HVehFDGEfYoaqhDaVEpfVGTR91xLHLmD6yyGCLtSmg5PMdw2sq/UQFqsOTZU2NK0ouJn9Ws1zJpF&#10;Mvj6lrvNZX7Zq8nb9kMtPrV+fkrUCESgc7iL/90zE+cPX/tw+yaeILMr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Iteae/&#10;AAAA3QAAAA8AAAAAAAAAAQAgAAAAIgAAAGRycy9kb3ducmV2LnhtbFBLAQIUABQAAAAIAIdO4kAz&#10;LwWeOwAAADkAAAAQAAAAAAAAAAEAIAAAAA4BAABkcnMvc2hhcGV4bWwueG1sUEsFBgAAAAAGAAYA&#10;WwEAALgDAAAAAA==&#10;" path="m0,0l48,0e">
                  <v:path o:connectlocs="0,0;48,0;48,0" o:connectangles="0,0,0"/>
                  <v:fill on="f" focussize="0,0"/>
                  <v:stroke weight="0.0134645669291339pt" color="#000000" joinstyle="round"/>
                  <v:imagedata o:title=""/>
                  <o:lock v:ext="edit" aspectratio="f"/>
                </v:shape>
                <v:shape id="Freeform 53" o:spid="_x0000_s1026" o:spt="100" style="position:absolute;left:6074;top:4319;height:2;width:242;" filled="f" stroked="t" coordsize="242,1" o:gfxdata="UEsDBAoAAAAAAIdO4kAAAAAAAAAAAAAAAAAEAAAAZHJzL1BLAwQUAAAACACHTuJAakRz+rwAAADd&#10;AAAADwAAAGRycy9kb3ducmV2LnhtbEVPTYvCMBC9C/6HMAvebKqCaDXKKrq4nrQK4m1oxrbYTEqT&#10;te6/3ywI3ubxPme+fJpKPKhxpWUFgygGQZxZXXKu4Hza9icgnEfWWFkmBb/kYLnoduaYaNvykR6p&#10;z0UIYZeggsL7OpHSZQUZdJGtiQN3s41BH2CTS91gG8JNJYdxPJYGSw4NBda0Lii7pz9Gwe2w34zw&#10;e/W1uqbDbX1xh7ttP5XqfQziGQhPT/8Wv9w7HeZPpiP4/yacIB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pEc/q8AAAA&#10;3QAAAA8AAAAAAAAAAQAgAAAAIgAAAGRycy9kb3ducmV2LnhtbFBLAQIUABQAAAAIAIdO4kAzLwWe&#10;OwAAADkAAAAQAAAAAAAAAAEAIAAAAAsBAABkcnMvc2hhcGV4bWwueG1sUEsFBgAAAAAGAAYAWwEA&#10;ALUDAAAAAA==&#10;" path="m0,0l241,0e">
                  <v:path o:connectlocs="0,0;241,0;241,0" o:connectangles="0,0,0"/>
                  <v:fill on="f" focussize="0,0"/>
                  <v:stroke weight="0.0134645669291339pt" color="#000000" joinstyle="round"/>
                  <v:imagedata o:title=""/>
                  <o:lock v:ext="edit" aspectratio="f"/>
                </v:shape>
                <v:shape id="Freeform 54" o:spid="_x0000_s1026" o:spt="100" style="position:absolute;left:6363;top:4319;height:2;width:49;" filled="f" stroked="t" coordsize="49,1" o:gfxdata="UEsDBAoAAAAAAIdO4kAAAAAAAAAAAAAAAAAEAAAAZHJzL1BLAwQUAAAACACHTuJAQohESL8AAADd&#10;AAAADwAAAGRycy9kb3ducmV2LnhtbEVP32vCMBB+F/wfwgl7s0lliHZGQdFNcApzwtjbrbm1xeZS&#10;mkydf/0iCHu7j+/nTWYXW4sTtb5yrCFNFAji3JmKCw2H91V/BMIHZIO1Y9LwSx5m025ngplxZ36j&#10;0z4UIoawz1BDGUKTSenzkiz6xDXEkft2rcUQYVtI0+I5httaDpQaSosVx4YSG1qUlB/3P1bDut6l&#10;w82r/Dxct9cvNV9+PKvdi9YPvVQ9gQh0Cf/iu3tt4vzR+BFu38QT5PQ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KIREi/&#10;AAAA3QAAAA8AAAAAAAAAAQAgAAAAIgAAAGRycy9kb3ducmV2LnhtbFBLAQIUABQAAAAIAIdO4kAz&#10;LwWeOwAAADkAAAAQAAAAAAAAAAEAIAAAAA4BAABkcnMvc2hhcGV4bWwueG1sUEsFBgAAAAAGAAYA&#10;WwEAALgDAAAAAA==&#10;" path="m0,0l48,0e">
                  <v:path o:connectlocs="0,0;48,0;48,0" o:connectangles="0,0,0"/>
                  <v:fill on="f" focussize="0,0"/>
                  <v:stroke weight="0.0134645669291339pt" color="#000000" joinstyle="round"/>
                  <v:imagedata o:title=""/>
                  <o:lock v:ext="edit" aspectratio="f"/>
                </v:shape>
                <v:shape id="Freeform 55" o:spid="_x0000_s1026" o:spt="100" style="position:absolute;left:6459;top:4319;height:2;width:242;" filled="f" stroked="t" coordsize="242,1" o:gfxdata="UEsDBAoAAAAAAIdO4kAAAAAAAAAAAAAAAAAEAAAAZHJzL1BLAwQUAAAACACHTuJAiuFOFb4AAADd&#10;AAAADwAAAGRycy9kb3ducmV2LnhtbEVPTWvCQBC9F/wPywje6kalxUY3QUsjtiebFsTbkB2TYHY2&#10;ZNfE/nu3UOhtHu9z1unNNKKnztWWFcymEQjiwuqaSwXfX9njEoTzyBoby6TghxykyehhjbG2A39S&#10;n/tShBB2MSqovG9jKV1RkUE3tS1x4M62M+gD7EqpOxxCuGnkPIqepcGaQ0OFLb1WVFzyq1FwPny8&#10;LfB9u9ue8nnWHt3hYoeNUpPxLFqB8HTz/+I/916H+cuXJ/j9Jpwgk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uFOFb4A&#10;AADdAAAADwAAAAAAAAABACAAAAAiAAAAZHJzL2Rvd25yZXYueG1sUEsBAhQAFAAAAAgAh07iQDMv&#10;BZ47AAAAOQAAABAAAAAAAAAAAQAgAAAADQEAAGRycy9zaGFwZXhtbC54bWxQSwUGAAAAAAYABgBb&#10;AQAAtwMAAAAA&#10;" path="m0,0l241,0e">
                  <v:path o:connectlocs="0,0;241,0;241,0" o:connectangles="0,0,0"/>
                  <v:fill on="f" focussize="0,0"/>
                  <v:stroke weight="0.0134645669291339pt" color="#000000" joinstyle="round"/>
                  <v:imagedata o:title=""/>
                  <o:lock v:ext="edit" aspectratio="f"/>
                </v:shape>
                <v:shape id="Freeform 56" o:spid="_x0000_s1026" o:spt="100" style="position:absolute;left:6749;top:4319;height:2;width:49;" filled="f" stroked="t" coordsize="49,1" o:gfxdata="UEsDBAoAAAAAAIdO4kAAAAAAAAAAAAAAAAAEAAAAZHJzL1BLAwQUAAAACACHTuJA3RZ/pL8AAADd&#10;AAAADwAAAGRycy9kb3ducmV2LnhtbEVPS2vCQBC+F/wPywi91d30EDR1FSp9CFbBKJTeptlpEszO&#10;huz6qL/eFQRv8/E9Zzw92UYcqPO1Yw3JQIEgLpypudSw3bw/DUH4gGywcUwa/snDdNJ7GGNm3JHX&#10;dMhDKWII+ww1VCG0mZS+qMiiH7iWOHJ/rrMYIuxKaTo8xnDbyGelUmmx5thQYUuziopdvrca5s0q&#10;SRdf8md7Xp5/1evb94dafWr92E/UC4hAp3AX39xzE+cPRylcv4knyMk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0Wf6S/&#10;AAAA3QAAAA8AAAAAAAAAAQAgAAAAIgAAAGRycy9kb3ducmV2LnhtbFBLAQIUABQAAAAIAIdO4kAz&#10;LwWeOwAAADkAAAAQAAAAAAAAAAEAIAAAAA4BAABkcnMvc2hhcGV4bWwueG1sUEsFBgAAAAAGAAYA&#10;WwEAALgDAAAAAA==&#10;" path="m0,0l49,0e">
                  <v:path o:connectlocs="0,0;49,0;49,0" o:connectangles="0,0,0"/>
                  <v:fill on="f" focussize="0,0"/>
                  <v:stroke weight="0.0134645669291339pt" color="#000000" joinstyle="round"/>
                  <v:imagedata o:title=""/>
                  <o:lock v:ext="edit" aspectratio="f"/>
                </v:shape>
                <v:shape id="Freeform 57" o:spid="_x0000_s1026" o:spt="100" style="position:absolute;left:6845;top:4319;height:2;width:242;" filled="f" stroked="t" coordsize="242,1" o:gfxdata="UEsDBAoAAAAAAIdO4kAAAAAAAAAAAAAAAAAEAAAAZHJzL1BLAwQUAAAACACHTuJAFX91+b4AAADd&#10;AAAADwAAAGRycy9kb3ducmV2LnhtbEVPTWvCQBC9F/wPywje6kaF1kY3QUsjtiebFsTbkB2TYHY2&#10;ZNfE/nu3UOhtHu9z1unNNKKnztWWFcymEQjiwuqaSwXfX9njEoTzyBoby6TghxykyehhjbG2A39S&#10;n/tShBB2MSqovG9jKV1RkUE3tS1x4M62M+gD7EqpOxxCuGnkPIqepMGaQ0OFLb1WVFzyq1FwPny8&#10;LfB9u9ue8nnWHt3hYoeNUpPxLFqB8HTz/+I/916H+cuXZ/j9Jpwgk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X91+b4A&#10;AADdAAAADwAAAAAAAAABACAAAAAiAAAAZHJzL2Rvd25yZXYueG1sUEsBAhQAFAAAAAgAh07iQDMv&#10;BZ47AAAAOQAAABAAAAAAAAAAAQAgAAAADQEAAGRycy9zaGFwZXhtbC54bWxQSwUGAAAAAAYABgBb&#10;AQAAtwMAAAAA&#10;" path="m0,0l241,0e">
                  <v:path o:connectlocs="0,0;241,0;241,0" o:connectangles="0,0,0"/>
                  <v:fill on="f" focussize="0,0"/>
                  <v:stroke weight="0.0134645669291339pt" color="#000000" joinstyle="round"/>
                  <v:imagedata o:title=""/>
                  <o:lock v:ext="edit" aspectratio="f"/>
                </v:shape>
                <v:shape id="Freeform 58" o:spid="_x0000_s1026" o:spt="100" style="position:absolute;left:5665;top:2383;height:318;width:2;" filled="f" stroked="t" coordsize="1,318" o:gfxdata="UEsDBAoAAAAAAIdO4kAAAAAAAAAAAAAAAAAEAAAAZHJzL1BLAwQUAAAACACHTuJAxzoW878AAADd&#10;AAAADwAAAGRycy9kb3ducmV2LnhtbEWPQWvCQBCF7wX/wzJCb3U3FYqNroJKwUtbqtXzkB2TaHY2&#10;ZFeT/vvOodDbDO/Ne98sVoNv1J26WAe2kE0MKOIiuJpLC9+Ht6cZqJiQHTaBycIPRVgtRw8LzF3o&#10;+Yvu+1QqCeGYo4UqpTbXOhYVeYyT0BKLdg6dxyRrV2rXYS/hvtHPxrxojzVLQ4UtbSoqrvubt2Au&#10;n+2m3B37k3Ef20M/XWfD+2Dt4zgzc1CJhvRv/rveOcGfvQqufCMj6OU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c6FvO/&#10;AAAA3QAAAA8AAAAAAAAAAQAgAAAAIgAAAGRycy9kb3ducmV2LnhtbFBLAQIUABQAAAAIAIdO4kAz&#10;LwWeOwAAADkAAAAQAAAAAAAAAAEAIAAAAA4BAABkcnMvc2hhcGV4bWwueG1sUEsFBgAAAAAGAAYA&#10;WwEAALgDAAAAAA==&#10;" path="m0,0l0,318,1,318e">
                  <v:path o:connectlocs="0,2383;0,2701;2,2701" o:connectangles="0,0,0"/>
                  <v:fill on="f" focussize="0,0"/>
                  <v:stroke weight="0.0110236220472441pt" color="#000000" joinstyle="round"/>
                  <v:imagedata o:title=""/>
                  <o:lock v:ext="edit" aspectratio="f"/>
                </v:shape>
                <v:shape id="Freeform 59" o:spid="_x0000_s1026" o:spt="100" style="position:absolute;left:5948;top:2383;height:318;width:2;" filled="f" stroked="t" coordsize="1,318" o:gfxdata="UEsDBAoAAAAAAIdO4kAAAAAAAAAAAAAAAAAEAAAAZHJzL1BLAwQUAAAACACHTuJAqHazaL0AAADd&#10;AAAADwAAAGRycy9kb3ducmV2LnhtbEVPTWvCQBC9C/6HZYTedDctFI2uASMFL21Rq+chOybR7GzI&#10;bk3677sFobd5vM9ZZYNtxJ06XzvWkMwUCOLCmZpLDV/Ht+kchA/IBhvHpOGHPGTr8WiFqXE97+l+&#10;CKWIIexT1FCF0KZS+qIii37mWuLIXVxnMUTYldJ02Mdw28hnpV6lxZpjQ4Ut5RUVt8O31aCun21e&#10;7k79WZmP7bF/2STD+6D10yRRSxCBhvAvfrh3Js6fLxbw9008Qa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odrNovQAA&#10;AN0AAAAPAAAAAAAAAAEAIAAAACIAAABkcnMvZG93bnJldi54bWxQSwECFAAUAAAACACHTuJAMy8F&#10;njsAAAA5AAAAEAAAAAAAAAABACAAAAAMAQAAZHJzL3NoYXBleG1sLnhtbFBLBQYAAAAABgAGAFsB&#10;AAC2AwAAAAA=&#10;" path="m0,0l0,318e">
                  <v:path o:connectlocs="0,2383;0,2701;0,2701" o:connectangles="0,0,0"/>
                  <v:fill on="f" focussize="0,0"/>
                  <v:stroke weight="0.0110236220472441pt" color="#000000" joinstyle="round"/>
                  <v:imagedata o:title=""/>
                  <o:lock v:ext="edit" aspectratio="f"/>
                </v:shape>
                <v:shape id="Freeform 60" o:spid="_x0000_s1026" o:spt="100" style="position:absolute;left:5600;top:2438;height:2;width:65;" filled="f" stroked="t" coordsize="65,1" o:gfxdata="UEsDBAoAAAAAAIdO4kAAAAAAAAAAAAAAAAAEAAAAZHJzL1BLAwQUAAAACACHTuJAaO3jfcAAAADd&#10;AAAADwAAAGRycy9kb3ducmV2LnhtbEWPzUsDMRDF74L/QxihN5vsUktdm/YgFgp6sR/icUhmP3Az&#10;WTaxW/975yB4m+G9ee836+019OpCY+oiWyjmBhSxi77jxsLpuLtfgUoZ2WMfmSz8UILt5vZmjZWP&#10;E7/T5ZAbJSGcKrTQ5jxUWifXUsA0jwOxaHUcA2ZZx0b7EScJD70ujVnqgB1LQ4sDPbfkvg7fwUL5&#10;Wi6m+uOzLoqH48v+7eyWu95ZO7srzBOoTNf8b/673nvBfzTCL9/ICHrz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o7eN9&#10;wAAAAN0AAAAPAAAAAAAAAAEAIAAAACIAAABkcnMvZG93bnJldi54bWxQSwECFAAUAAAACACHTuJA&#10;My8FnjsAAAA5AAAAEAAAAAAAAAABACAAAAAPAQAAZHJzL3NoYXBleG1sLnhtbFBLBQYAAAAABgAG&#10;AFsBAAC5AwAAAAA=&#10;" path="m64,0l0,0e">
                  <v:path o:connectlocs="64,0;0,0;0,0" o:connectangles="0,0,0"/>
                  <v:fill on="f" focussize="0,0"/>
                  <v:stroke weight="0.0134645669291339pt" color="#000000" joinstyle="round"/>
                  <v:imagedata o:title=""/>
                  <o:lock v:ext="edit" aspectratio="f"/>
                </v:shape>
                <v:shape id="Freeform 61" o:spid="_x0000_s1026" o:spt="100" style="position:absolute;left:5948;top:2438;height:2;width:65;" filled="f" stroked="t" coordsize="65,1" o:gfxdata="UEsDBAoAAAAAAIdO4kAAAAAAAAAAAAAAAAAEAAAAZHJzL1BLAwQUAAAACACHTuJAB6FG5r0AAADd&#10;AAAADwAAAGRycy9kb3ducmV2LnhtbEVPS0sDMRC+C/6HMII3m2TRYtdm9yAWCnqxtaXHIZl94Gay&#10;bGK3/nsjCN7m43vOur74QZxpin1gA3qhQBDb4HpuDXzsN3ePIGJCdjgEJgPfFKGurq/WWLow8zud&#10;d6kVOYRjiQa6lMZSymg78hgXYSTOXBMmjynDqZVuwjmH+0EWSi2lx55zQ4cjPXdkP3df3kDxWtzP&#10;zfHUaP2wf9m+HexyM1hjbm+0egKR6JL+xX/urcvzV0rD7zf5BFn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HoUbmvQAA&#10;AN0AAAAPAAAAAAAAAAEAIAAAACIAAABkcnMvZG93bnJldi54bWxQSwECFAAUAAAACACHTuJAMy8F&#10;njsAAAA5AAAAEAAAAAAAAAABACAAAAAMAQAAZHJzL3NoYXBleG1sLnhtbFBLBQYAAAAABgAGAFsB&#10;AAC2AwAAAAA=&#10;" path="m0,0l64,0,65,0e">
                  <v:path o:connectlocs="0,0;64,0;65,0" o:connectangles="0,0,0"/>
                  <v:fill on="f" focussize="0,0"/>
                  <v:stroke weight="0.0134645669291339pt" color="#000000" joinstyle="round"/>
                  <v:imagedata o:title=""/>
                  <o:lock v:ext="edit" aspectratio="f"/>
                </v:shape>
                <v:shape id="Freeform 62" o:spid="_x0000_s1026" o:spt="100" style="position:absolute;left:5486;top:2082;height:210;width:42;" filled="f" stroked="t" coordsize="42,210" o:gfxdata="UEsDBAoAAAAAAIdO4kAAAAAAAAAAAAAAAAAEAAAAZHJzL1BLAwQUAAAACACHTuJAO/gwYb0AAADd&#10;AAAADwAAAGRycy9kb3ducmV2LnhtbEVPS2sCMRC+F/wPYQRvNdGD6NYoVFFU9FDbgt6mm3F3cTNZ&#10;kvj6901B6G0+vueMp3dbiyv5UDnW0OsqEMS5MxUXGr4+F69DECEiG6wdk4YHBZhOWi9jzIy78Qdd&#10;97EQKYRDhhrKGJtMypCXZDF0XUOcuJPzFmOCvpDG4y2F21r2lRpIixWnhhIbmpWUn/cXq+GA7/Pd&#10;z9Hj5vvB29P6sF7u6Kh1p91TbyAi3eO/+OlemTR/pPrw9006QU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7+DBhvQAA&#10;AN0AAAAPAAAAAAAAAAEAIAAAACIAAABkcnMvZG93bnJldi54bWxQSwECFAAUAAAACACHTuJAMy8F&#10;njsAAAA5AAAAEAAAAAAAAAABACAAAAAMAQAAZHJzL3NoYXBleG1sLnhtbFBLBQYAAAAABgAGAFsB&#10;AAC2AwAAAAA=&#10;" path="m0,40l17,30,41,0,41,209,42,209e">
                  <v:path o:connectlocs="0,2123;17,2113;41,2083;41,2292;42,2292" o:connectangles="0,0,0,0,0"/>
                  <v:fill on="f" focussize="0,0"/>
                  <v:stroke weight="0.0111023622047244pt" color="#000000" joinstyle="round"/>
                  <v:imagedata o:title=""/>
                  <o:lock v:ext="edit" aspectratio="f"/>
                </v:shape>
                <v:shape id="Freeform 63" o:spid="_x0000_s1026" o:spt="100" style="position:absolute;left:5633;top:2272;height:20;width:17;" filled="f" stroked="t" coordsize="17,20" o:gfxdata="UEsDBAoAAAAAAIdO4kAAAAAAAAAAAAAAAAAEAAAAZHJzL1BLAwQUAAAACACHTuJAJQzseb0AAADd&#10;AAAADwAAAGRycy9kb3ducmV2LnhtbEVPTUsDMRC9C/6HMEJvNlkrZbttWkQpeFNrofQ23Uw3q5vJ&#10;kqTt+u+NUPA2j/c5i9XgOnGmEFvPGoqxAkFce9Nyo2H7ub4vQcSEbLDzTBp+KMJqeXuzwMr4C3/Q&#10;eZMakUM4VqjBptRXUsbaksM49j1x5o4+OEwZhkaagJcc7jr5oNRUOmw5N1js6dlS/b05OQ1PL4fy&#10;rSn3j/a0lXV4/5oUcthpPbor1BxEoiH9i6/uV5Pnz9QE/r7JJ8jl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lDOx5vQAA&#10;AN0AAAAPAAAAAAAAAAEAIAAAACIAAABkcnMvZG93bnJldi54bWxQSwECFAAUAAAACACHTuJAMy8F&#10;njsAAAA5AAAAEAAAAAAAAAABACAAAAAMAQAAZHJzL3NoYXBleG1sLnhtbFBLBQYAAAAABgAGAFsB&#10;AAC2AwAAAAA=&#10;" path="m8,0l0,11,8,20,16,11,8,0e">
                  <v:path o:connectlocs="8,2272;0,2283;8,2292;16,2283;8,2272;8,2272" o:connectangles="0,0,0,0,0,0"/>
                  <v:fill on="f" focussize="0,0"/>
                  <v:stroke weight="0.0120472440944882pt" color="#000000" joinstyle="round"/>
                  <v:imagedata o:title=""/>
                  <o:lock v:ext="edit" aspectratio="f"/>
                </v:shape>
                <v:shape id="Picture 64" o:spid="_x0000_s1026" o:spt="75" type="#_x0000_t75" style="position:absolute;left:5707;top:2082;height:211;width:115;" filled="f" o:preferrelative="t" stroked="f" coordsize="21600,21600" o:gfxdata="UEsDBAoAAAAAAIdO4kAAAAAAAAAAAAAAAAAEAAAAZHJzL1BLAwQUAAAACACHTuJAHbz4w7sAAADd&#10;AAAADwAAAGRycy9kb3ducmV2LnhtbEVPzWoCMRC+C32HMIVepCYWUbsaPQgLPdiDqw8wbMbdYDJZ&#10;NtHVt2+Egrf5+H5nvb17J27URxtYw3SiQBDXwVhuNJyO5ecSREzIBl1g0vCgCNvN22iNhQkDH+hW&#10;pUbkEI4FamhT6gopY92SxzgJHXHmzqH3mDLsG2l6HHK4d/JLqbn0aDk3tNjRrqX6Ul29htq5XTke&#10;flM5Xhz21cWSOVnS+uN9qlYgEt3TS/zv/jF5/reawfObfILc/A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bz4w7sAAADd&#10;AAAADwAAAAAAAAABACAAAAAiAAAAZHJzL2Rvd25yZXYueG1sUEsBAhQAFAAAAAgAh07iQDMvBZ47&#10;AAAAOQAAABAAAAAAAAAAAQAgAAAACgEAAGRycy9zaGFwZXhtbC54bWxQSwUGAAAAAAYABgBbAQAA&#10;tAMAAAAA&#10;">
                  <v:fill on="f" focussize="0,0"/>
                  <v:stroke on="f"/>
                  <v:imagedata r:id="rId32" o:title=""/>
                  <o:lock v:ext="edit" aspectratio="t"/>
                </v:shape>
                <v:shape id="Picture 65" o:spid="_x0000_s1026" o:spt="75" type="#_x0000_t75" style="position:absolute;left:5878;top:2152;height:141;width:180;" filled="f" o:preferrelative="t" stroked="f" coordsize="21600,21600" o:gfxdata="UEsDBAoAAAAAAIdO4kAAAAAAAAAAAAAAAAAEAAAAZHJzL1BLAwQUAAAACACHTuJAxhBHhr0AAADd&#10;AAAADwAAAGRycy9kb3ducmV2LnhtbEVPTWvCQBC9F/wPywjeml0FSxtdRQRLxV40Ih6H7JhEs7Mh&#10;u9H477uFQm/zeJ8zX/a2FndqfeVYwzhRIIhzZyouNByzzes7CB+QDdaOScOTPCwXg5c5psY9eE/3&#10;QyhEDGGfooYyhCaV0uclWfSJa4gjd3GtxRBhW0jT4iOG21pOlHqTFiuODSU2tC4pvx06q+Fz973f&#10;bnecdacuf8pVf87c9az1aDhWMxCB+vAv/nN/mTj/Q03h95t4glz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GEEeGvQAA&#10;AN0AAAAPAAAAAAAAAAEAIAAAACIAAABkcnMvZG93bnJldi54bWxQSwECFAAUAAAACACHTuJAMy8F&#10;njsAAAA5AAAAEAAAAAAAAAABACAAAAAMAQAAZHJzL3NoYXBleG1sLnhtbFBLBQYAAAAABgAGAFsB&#10;AAC2AwAAAAA=&#10;">
                  <v:fill on="f" focussize="0,0"/>
                  <v:stroke on="f"/>
                  <v:imagedata r:id="rId33" o:title=""/>
                  <o:lock v:ext="edit" aspectratio="t"/>
                </v:shape>
                <v:shape id="Freeform 66" o:spid="_x0000_s1026" o:spt="100" style="position:absolute;left:5665;top:2438;height:2;width:284;" filled="f" stroked="t" coordsize="284,1" o:gfxdata="UEsDBAoAAAAAAIdO4kAAAAAAAAAAAAAAAAAEAAAAZHJzL1BLAwQUAAAACACHTuJA7lhkF7wAAADd&#10;AAAADwAAAGRycy9kb3ducmV2LnhtbEWPQYsCMQyF74L/oUTwItrqguho9SAsepOd9eItTGM7OE2H&#10;aXfUf28XFvaW8F7e97LdP30jeupiHVjDfKZAEFfB1Gw1XL4/pysQMSEbbAKThhdF2O+Ggy0WJjz4&#10;i/oyWZFDOBaowaXUFlLGypHHOAstcdZuofOY8tpZaTp85HDfyIVSS+mx5kxw2NLBUXUvf3zmyo/j&#10;db24Tsiew/FVxp6clVqPR3O1AZHomf7Nf9cnk+uv1RJ+v8kjyN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5YZBe8AAAA&#10;3QAAAA8AAAAAAAAAAQAgAAAAIgAAAGRycy9kb3ducmV2LnhtbFBLAQIUABQAAAAIAIdO4kAzLwWe&#10;OwAAADkAAAAQAAAAAAAAAAEAIAAAAAsBAABkcnMvc2hhcGV4bWwueG1sUEsFBgAAAAAGAAYAWwEA&#10;ALUDAAAAAA==&#10;" path="m0,0l284,0e">
                  <v:path o:connectlocs="0,0;284,0;284,0" o:connectangles="0,0,0"/>
                  <v:fill on="f" focussize="0,0"/>
                  <v:stroke weight="0.0134645669291339pt" color="#000000" joinstyle="round"/>
                  <v:imagedata o:title=""/>
                  <o:lock v:ext="edit" aspectratio="f"/>
                </v:shape>
                <v:shape id="Freeform 67" o:spid="_x0000_s1026" o:spt="100" style="position:absolute;left:5633;top:2399;height:79;width:65;" filled="f" stroked="t" coordsize="65,79" o:gfxdata="UEsDBAoAAAAAAIdO4kAAAAAAAAAAAAAAAAAEAAAAZHJzL1BLAwQUAAAACACHTuJAWF8pC70AAADd&#10;AAAADwAAAGRycy9kb3ducmV2LnhtbEVPTWsCMRC9F/wPYYTeamIPra5GwUVBKBSqInobN+NmcTPZ&#10;blJd/30jFHqbx/uc6bxztbhSGyrPGoYDBYK48KbiUsNuu3oZgQgR2WDtmTTcKcB81nuaYmb8jb/o&#10;uomlSCEcMtRgY2wyKUNhyWEY+IY4cWffOowJtqU0Ld5SuKvlq1Jv0mHFqcFiQ7ml4rL5cRqWi/L7&#10;tL9/XLrTzuZG5U11+Dxq/dwfqgmISF38F/+51ybNH6t3eHyTTpCz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XykLvQAA&#10;AN0AAAAPAAAAAAAAAAEAIAAAACIAAABkcnMvZG93bnJldi54bWxQSwECFAAUAAAACACHTuJAMy8F&#10;njsAAAA5AAAAEAAAAAAAAAABACAAAAAMAQAAZHJzL3NoYXBleG1sLnhtbFBLBQYAAAAABgAGAFsB&#10;AAC2AwAAAAA=&#10;" path="m0,79l64,0,65,0e">
                  <v:path o:connectlocs="0,2478;64,2399;65,2399" o:connectangles="0,0,0"/>
                  <v:fill on="f" focussize="0,0"/>
                  <v:stroke weight="0.0120472440944882pt" color="#000000" joinstyle="round"/>
                  <v:imagedata o:title=""/>
                  <o:lock v:ext="edit" aspectratio="f"/>
                </v:shape>
                <v:shape id="Freeform 68" o:spid="_x0000_s1026" o:spt="100" style="position:absolute;left:5916;top:2399;height:79;width:65;" filled="f" stroked="t" coordsize="65,79" o:gfxdata="UEsDBAoAAAAAAIdO4kAAAAAAAAAAAAAAAAAEAAAAZHJzL1BLAwQUAAAACACHTuJAKcC9ecAAAADd&#10;AAAADwAAAGRycy9kb3ducmV2LnhtbEWPQWsCMRCF70L/Q5iCN03sQerWKHSpUCgUqiLtbdxMN4ub&#10;ybpJdf33nUOhtxnem/e+Wa6H0KoL9amJbGE2NaCIq+gari3sd5vJI6iUkR22kcnCjRKsV3ejJRYu&#10;XvmDLttcKwnhVKAFn3NXaJ0qTwHTNHbEon3HPmCWta+16/Eq4aHVD8bMdcCGpcFjR6Wn6rT9CRZe&#10;nuvz8XB7Ow3HvS+dKbvm8/3L2vH9zDyByjTkf/Pf9asT/IURXPlGRtCrX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pwL15&#10;wAAAAN0AAAAPAAAAAAAAAAEAIAAAACIAAABkcnMvZG93bnJldi54bWxQSwECFAAUAAAACACHTuJA&#10;My8FnjsAAAA5AAAAEAAAAAAAAAABACAAAAAPAQAAZHJzL3NoYXBleG1sLnhtbFBLBQYAAAAABgAG&#10;AFsBAAC5AwAAAAA=&#10;" path="m64,0l0,79e">
                  <v:path o:connectlocs="64,2399;0,2478;0,2478" o:connectangles="0,0,0"/>
                  <v:fill on="f" focussize="0,0"/>
                  <v:stroke weight="0.0120472440944882pt" color="#000000" joinstyle="round"/>
                  <v:imagedata o:title=""/>
                  <o:lock v:ext="edit" aspectratio="f"/>
                </v:shape>
                <v:line id="Line 69" o:spid="_x0000_s1026" o:spt="20" style="position:absolute;left:5949;top:2439;height:0;width:0;" filled="f" stroked="t" coordsize="21600,21600" o:gfxdata="UEsDBAoAAAAAAIdO4kAAAAAAAAAAAAAAAAAEAAAAZHJzL1BLAwQUAAAACACHTuJA20lNlL0AAADd&#10;AAAADwAAAGRycy9kb3ducmV2LnhtbEVPS2sCMRC+F/wPYQRvNVmFoqtRVFR6KJRue+hx2Iy72yaT&#10;JYmP/vumUPA2H99zluubs+JCIXaeNRRjBYK49qbjRsPH++FxBiImZIPWM2n4oQjr1eBhiaXxV36j&#10;S5UakUM4lqihTakvpYx1Sw7j2PfEmTv54DBlGBppAl5zuLNyotSTdNhxbmixp11L9Xd1dhrsZzia&#10;12K66Xfdl3H7/cy+bGutR8NCLUAkuqW7+N/9bPL8uZrD3zf5BLn6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bSU2UvQAA&#10;AN0AAAAPAAAAAAAAAAEAIAAAACIAAABkcnMvZG93bnJldi54bWxQSwECFAAUAAAACACHTuJAMy8F&#10;njsAAAA5AAAAEAAAAAAAAAABACAAAAAMAQAAZHJzL3NoYXBleG1sLnhtbFBLBQYAAAAABgAGAFsB&#10;AAC2AwAAAAA=&#10;">
                  <v:fill on="f" focussize="0,0"/>
                  <v:stroke weight="0.0134645669291339pt" color="#000000" joinstyle="round"/>
                  <v:imagedata o:title=""/>
                  <o:lock v:ext="edit" aspectratio="f"/>
                </v:line>
                <v:line id="Line 70" o:spid="_x0000_s1026" o:spt="20" style="position:absolute;left:5949;top:2367;height:0;width:0;" filled="f" stroked="t" coordsize="21600,21600" o:gfxdata="UEsDBAoAAAAAAIdO4kAAAAAAAAAAAAAAAAAEAAAAZHJzL1BLAwQUAAAACACHTuJAz6py1L8AAADd&#10;AAAADwAAAGRycy9kb3ducmV2LnhtbEWPQWsCMRCF70L/QxihN81uC8WuRrFiSw8F0XrwOGzG3dVk&#10;siSp2n/fORS8zfDevPfNbHHzTl0opi6wgXJcgCKug+24MbD/fh9NQKWMbNEFJgO/lGAxfxjMsLLh&#10;ylu67HKjJIRThQbanPtK61S35DGNQ08s2jFEj1nW2Ggb8Srh3umnonjRHjuWhhZ7WrVUn3c/3oA7&#10;xA+7KZ+X/ao7Wb9eT9zXW23M47AspqAy3fLd/H/9aQX/tRR++UZG0PM/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qctS/&#10;AAAA3QAAAA8AAAAAAAAAAQAgAAAAIgAAAGRycy9kb3ducmV2LnhtbFBLAQIUABQAAAAIAIdO4kAz&#10;LwWeOwAAADkAAAAQAAAAAAAAAAEAIAAAAA4BAABkcnMvc2hhcGV4bWwueG1sUEsFBgAAAAAGAAYA&#10;WwEAALgDAAAAAA==&#10;">
                  <v:fill on="f" focussize="0,0"/>
                  <v:stroke weight="0.0134645669291339pt" color="#000000" joinstyle="round"/>
                  <v:imagedata o:title=""/>
                  <o:lock v:ext="edit" aspectratio="f"/>
                </v:line>
                <v:line id="Line 71" o:spid="_x0000_s1026" o:spt="20" style="position:absolute;left:5665;top:2367;height:0;width:1;" filled="f" stroked="t" coordsize="21600,21600" o:gfxdata="UEsDBAoAAAAAAIdO4kAAAAAAAAAAAAAAAAAEAAAAZHJzL1BLAwQUAAAACACHTuJAoObXT70AAADd&#10;AAAADwAAAGRycy9kb3ducmV2LnhtbEVPS2sCMRC+F/wPYYTeajYWxK5GqWLFg1C67cHjsBl31yaT&#10;JUl9/HtTKPQ2H99z5surs+JMIXaeNahRAYK49qbjRsPX59vTFERMyAatZ9JwowjLxeBhjqXxF/6g&#10;c5UakUM4lqihTakvpYx1Sw7jyPfEmTv64DBlGBppAl5yuLNyXBQT6bDj3NBiT+uW6u/qx2mwh7A1&#10;7+r5tV93J+M2m6ndr2qtH4eqmIFIdE3/4j/3zuT5L0rB7zf5BLm4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g5tdPvQAA&#10;AN0AAAAPAAAAAAAAAAEAIAAAACIAAABkcnMvZG93bnJldi54bWxQSwECFAAUAAAACACHTuJAMy8F&#10;njsAAAA5AAAAEAAAAAAAAAABACAAAAAMAQAAZHJzL3NoYXBleG1sLnhtbFBLBQYAAAAABgAGAFsB&#10;AAC2AwAAAAA=&#10;">
                  <v:fill on="f" focussize="0,0"/>
                  <v:stroke weight="0.0134645669291339pt" color="#000000" joinstyle="round"/>
                  <v:imagedata o:title=""/>
                  <o:lock v:ext="edit" aspectratio="f"/>
                </v:line>
                <v:shape id="Freeform 72" o:spid="_x0000_s1026" o:spt="100" style="position:absolute;left:3564;top:2062;height:188;width:144;" filled="f" stroked="t" coordsize="144,188" o:gfxdata="UEsDBAoAAAAAAIdO4kAAAAAAAAAAAAAAAAAEAAAAZHJzL1BLAwQUAAAACACHTuJAO4Mc5LsAAADd&#10;AAAADwAAAGRycy9kb3ducmV2LnhtbEVPzYrCMBC+C/sOYRb2pmldELcaBXdVvHiw7gMMzdhWm0lN&#10;YtW3N4LgbT6+35nOb6YRHTlfW1aQDhIQxIXVNZcK/ver/hiED8gaG8uk4E4e5rOP3hQzba+8oy4P&#10;pYgh7DNUUIXQZlL6oiKDfmBb4sgdrDMYInSl1A6vMdw0cpgkI2mw5thQYUu/FRWn/GIULJbfZ3KW&#10;x9vR7rxcd8ejXt//lPr6TJMJiEC38Ba/3Bsd5/+kQ3h+E0+Qs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4Mc5LsAAADd&#10;AAAADwAAAAAAAAABACAAAAAiAAAAZHJzL2Rvd25yZXYueG1sUEsBAhQAFAAAAAgAh07iQDMvBZ47&#10;AAAAOQAAABAAAAAAAAAAAQAgAAAACgEAAGRycy9zaGFwZXhtbC54bWxQSwUGAAAAAAYABgBbAQAA&#10;tAMAAAAA&#10;" path="m0,62l143,187,143,0e">
                  <v:path o:connectlocs="0,2125;143,2250;143,2063;143,2063" o:connectangles="0,0,0,0"/>
                  <v:fill on="f" focussize="0,0"/>
                  <v:stroke weight="0.0119685039370079pt" color="#000000" joinstyle="round"/>
                  <v:imagedata o:title=""/>
                  <o:lock v:ext="edit" aspectratio="f"/>
                </v:shape>
                <v:shape id="Freeform 73" o:spid="_x0000_s1026" o:spt="100" style="position:absolute;left:3564;top:2125;height:2;width:215;" filled="f" stroked="t" coordsize="215,1" o:gfxdata="UEsDBAoAAAAAAIdO4kAAAAAAAAAAAAAAAAAEAAAAZHJzL1BLAwQUAAAACACHTuJAXQs5ir8AAADd&#10;AAAADwAAAGRycy9kb3ducmV2LnhtbEWPzW7CMBCE70h9B2srcQM7oJI2xeRQVIkTEpSW6yre/JR4&#10;HcUugbevkZC47Wrmm51d5hfbijP1vnGsIZkqEMSFMw1XGg5fn5NXED4gG2wdk4YrechXT6MlZsYN&#10;vKPzPlQihrDPUEMdQpdJ6YuaLPqp64ijVrreYohrX0nT4xDDbStnSi2kxYbjhRo7+qipOO3/bKyx&#10;LY/Hg7U/a/VCvP3+TdNTmWo9fk7UO4hAl/Aw3+mNidxbMofbN3EEufo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0LOYq/&#10;AAAA3QAAAA8AAAAAAAAAAQAgAAAAIgAAAGRycy9kb3ducmV2LnhtbFBLAQIUABQAAAAIAIdO4kAz&#10;LwWeOwAAADkAAAAQAAAAAAAAAAEAIAAAAA4BAABkcnMvc2hhcGV4bWwueG1sUEsFBgAAAAAGAAYA&#10;WwEAALgDAAAAAA==&#10;" path="m0,0l215,0e">
                  <v:path o:connectlocs="0,0;215,0;215,0" o:connectangles="0,0,0"/>
                  <v:fill on="f" focussize="0,0"/>
                  <v:stroke weight="0.0134645669291339pt" color="#000000" joinstyle="round"/>
                  <v:imagedata o:title=""/>
                  <o:lock v:ext="edit" aspectratio="f"/>
                </v:shape>
                <v:shape id="Picture 74" o:spid="_x0000_s1026" o:spt="75" type="#_x0000_t75" style="position:absolute;left:3635;top:1712;height:275;width:144;" filled="f" o:preferrelative="t" stroked="f" coordsize="21600,21600" o:gfxdata="UEsDBAoAAAAAAIdO4kAAAAAAAAAAAAAAAAAEAAAAZHJzL1BLAwQUAAAACACHTuJAPyLisbkAAADd&#10;AAAADwAAAGRycy9kb3ducmV2LnhtbEVPTYvCMBC9C/6HMII3Tesuot1GD4LgVdeDx6GZbUKbSWmy&#10;teuv3wiCt3m8zyn3o2vFQH2wnhXkywwEceW15VrB9fu42IAIEVlj65kU/FGA/W46KbHQ/s5nGi6x&#10;FimEQ4EKTIxdIWWoDDkMS98RJ+7H9w5jgn0tdY/3FO5aucqytXRoOTUY7OhgqGouv07BKhg7DOd6&#10;/DgeNtI09ub5cVNqPsuzLxCRxvgWv9wnneZv8094fpNOkLt/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8i4rG5AAAA3QAA&#10;AA8AAAAAAAAAAQAgAAAAIgAAAGRycy9kb3ducmV2LnhtbFBLAQIUABQAAAAIAIdO4kAzLwWeOwAA&#10;ADkAAAAQAAAAAAAAAAEAIAAAAAgBAABkcnMvc2hhcGV4bWwueG1sUEsFBgAAAAAGAAYAWwEAALID&#10;AAAAAA==&#10;">
                  <v:fill on="f" focussize="0,0"/>
                  <v:stroke on="f"/>
                  <v:imagedata r:id="rId34" o:title=""/>
                  <o:lock v:ext="edit" aspectratio="t"/>
                </v:shape>
                <v:shape id="Freeform 75" o:spid="_x0000_s1026" o:spt="100" style="position:absolute;left:7996;top:2140;height:2;width:129;" filled="f" stroked="t" coordsize="129,1" o:gfxdata="UEsDBAoAAAAAAIdO4kAAAAAAAAAAAAAAAAAEAAAAZHJzL1BLAwQUAAAACACHTuJA/lmWbbwAAADd&#10;AAAADwAAAGRycy9kb3ducmV2LnhtbEVPS2sCMRC+F/ofwhS8FM1uZYuuRg+CoBeh2ou3YTNu1m4m&#10;SxKfv94UBG/z8T1nOr/aVpzJh8axgnyQgSCunG64VvC7W/ZHIEJE1tg6JgU3CjCfvb9NsdTuwj90&#10;3sZapBAOJSowMXallKEyZDEMXEecuIPzFmOCvpba4yWF21Z+Zdm3tNhwajDY0cJQ9bc9WQXLzwIL&#10;t+FFNMd7PVqvhqe9HyrV+8izCYhI1/gSP90rneaP8wL+v0knyNk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5Zlm28AAAA&#10;3QAAAA8AAAAAAAAAAQAgAAAAIgAAAGRycy9kb3ducmV2LnhtbFBLAQIUABQAAAAIAIdO4kAzLwWe&#10;OwAAADkAAAAQAAAAAAAAAAEAIAAAAAsBAABkcnMvc2hhcGV4bWwueG1sUEsFBgAAAAAGAAYAWwEA&#10;ALUDAAAAAA==&#10;" path="m0,0l129,0e">
                  <v:path o:connectlocs="0,0;129,0;129,0" o:connectangles="0,0,0"/>
                  <v:fill on="f" focussize="0,0"/>
                  <v:stroke weight="0.0134645669291339pt" color="#000000" joinstyle="round"/>
                  <v:imagedata o:title=""/>
                  <o:lock v:ext="edit" aspectratio="f"/>
                </v:shape>
                <v:shape id="Freeform 76" o:spid="_x0000_s1026" o:spt="100" style="position:absolute;left:7996;top:2192;height:2;width:129;" filled="f" stroked="t" coordsize="129,1" o:gfxdata="UEsDBAoAAAAAAIdO4kAAAAAAAAAAAAAAAAAEAAAAZHJzL1BLAwQUAAAACACHTuJADosIGr4AAADd&#10;AAAADwAAAGRycy9kb3ducmV2LnhtbEVPTWvCQBC9F/wPywi9FN3EoNjU1YMQsJeCthdvQ3aaTc3O&#10;ht01pv31XaHQ2zze52x2o+3EQD60jhXk8wwEce10y42Cj/dqtgYRIrLGzjEp+KYAu+3kYYOldjc+&#10;0nCKjUghHEpUYGLsSylDbchimLueOHGfzluMCfpGao+3FG47uciylbTYcmow2NPeUH05Xa2C6mmJ&#10;S/fG+2i+fpr166G4nn2h1OM0z15ARBrjv/jPfdBp/nO+gvs36QS5/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osIGr4A&#10;AADdAAAADwAAAAAAAAABACAAAAAiAAAAZHJzL2Rvd25yZXYueG1sUEsBAhQAFAAAAAgAh07iQDMv&#10;BZ47AAAAOQAAABAAAAAAAAAAAQAgAAAADQEAAGRycy9zaGFwZXhtbC54bWxQSwUGAAAAAAYABgBb&#10;AQAAtwMAAAAA&#10;" path="m0,0l129,0e">
                  <v:path o:connectlocs="0,0;129,0;129,0" o:connectangles="0,0,0"/>
                  <v:fill on="f" focussize="0,0"/>
                  <v:stroke weight="0.0134645669291339pt" color="#000000" joinstyle="round"/>
                  <v:imagedata o:title=""/>
                  <o:lock v:ext="edit" aspectratio="f"/>
                </v:shape>
                <v:shape id="Picture 77" o:spid="_x0000_s1026" o:spt="75" type="#_x0000_t75" style="position:absolute;left:8175;top:2061;height:184;width:101;" filled="f" o:preferrelative="t" stroked="f" coordsize="21600,21600" o:gfxdata="UEsDBAoAAAAAAIdO4kAAAAAAAAAAAAAAAAAEAAAAZHJzL1BLAwQUAAAACACHTuJARJmKR70AAADd&#10;AAAADwAAAGRycy9kb3ducmV2LnhtbEVP22rCQBB9F/oPyxT6ppv40NSYTZCiUGwRjX7AkB2TkOxs&#10;mt16+ftuoeDbHM51suJmenGh0bWWFcSzCARxZXXLtYLTcTN9A+E8ssbeMim4k4Mif5pkmGp75QNd&#10;Sl+LEMIuRQWN90MqpasaMuhmdiAO3NmOBn2AYy31iNcQbno5j6JXabDl0NDgQO8NVV35YxTs1t9f&#10;e687/Zkkuz7e7lelXK+UenmOoyUITzf/EP+7P3SYv4gT+PsmnCDz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EmYpHvQAA&#10;AN0AAAAPAAAAAAAAAAEAIAAAACIAAABkcnMvZG93bnJldi54bWxQSwECFAAUAAAACACHTuJAMy8F&#10;njsAAAA5AAAAEAAAAAAAAAABACAAAAAMAQAAZHJzL3NoYXBleG1sLnhtbFBLBQYAAAAABgAGAFsB&#10;AAC2AwAAAAA=&#10;">
                  <v:fill on="f" focussize="0,0"/>
                  <v:stroke on="f"/>
                  <v:imagedata r:id="rId35" o:title=""/>
                  <o:lock v:ext="edit" aspectratio="t"/>
                </v:shape>
                <v:shape id="Freeform 78" o:spid="_x0000_s1026" o:spt="100" style="position:absolute;left:8325;top:2227;height:18;width:15;" filled="f" stroked="t" coordsize="15,18" o:gfxdata="UEsDBAoAAAAAAIdO4kAAAAAAAAAAAAAAAAAEAAAAZHJzL1BLAwQUAAAACACHTuJAU/2paL4AAADd&#10;AAAADwAAAGRycy9kb3ducmV2LnhtbEWPQW/CMAyF70j8h8iTdoO0O0yjI/QwaWwIdhj0B1iN13Zt&#10;nKgJhf17fJjEzdZ7fu/zury6QU00xs6zgXyZgSKuve24MVCd3hcvoGJCtjh4JgN/FKHczGdrLKy/&#10;8DdNx9QoCeFYoIE2pVBoHeuWHMalD8Si/fjRYZJ1bLQd8SLhbtBPWfasHXYsDS0Gemup7o9nZ2DY&#10;774O4ZcqZ6fgzrt9tf3A3pjHhzx7BZXomu7m/+tPK/irXHDlGxlBb2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2paL4A&#10;AADdAAAADwAAAAAAAAABACAAAAAiAAAAZHJzL2Rvd25yZXYueG1sUEsBAhQAFAAAAAgAh07iQDMv&#10;BZ47AAAAOQAAABAAAAAAAAAAAQAgAAAADQEAAGRycy9zaGFwZXhtbC54bWxQSwUGAAAAAAYABgBb&#10;AQAAtwMAAAAA&#10;" path="m7,0l0,8,7,17,14,8,7,0e">
                  <v:path o:connectlocs="7,2228;0,2236;7,2245;14,2236;7,2228;7,2228" o:connectangles="0,0,0,0,0,0"/>
                  <v:fill on="f" focussize="0,0"/>
                  <v:stroke weight="0.0120472440944882pt" color="#000000" joinstyle="round"/>
                  <v:imagedata o:title=""/>
                  <o:lock v:ext="edit" aspectratio="f"/>
                </v:shape>
                <v:shape id="Picture 79" o:spid="_x0000_s1026" o:spt="75" type="#_x0000_t75" style="position:absolute;left:8389;top:2061;height:184;width:101;" filled="f" o:preferrelative="t" stroked="f" coordsize="21600,21600" o:gfxdata="UEsDBAoAAAAAAIdO4kAAAAAAAAAAAAAAAAAEAAAAZHJzL1BLAwQUAAAACACHTuJAMDUZyr4AAADd&#10;AAAADwAAAGRycy9kb3ducmV2LnhtbEVPS2vCQBC+C/6HZYTedDc9FE3dhFKwiFSKj0OPQ3aapM3O&#10;xuw2UX99VxB6m4/vOcv8bBvRU+drxxqSmQJBXDhTc6nheFhN5yB8QDbYOCYNF/KQZ+PRElPjBt5R&#10;vw+liCHsU9RQhdCmUvqiIot+5lriyH25zmKIsCul6XCI4baRj0o9SYs1x4YKW3qtqPjZ/1oNn9eX&#10;j6Mst8P6HQ/FWz9s1Ol7o/XDJFHPIAKdw7/47l6bOH+RLOD2TTxBZn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DUZyr4A&#10;AADdAAAADwAAAAAAAAABACAAAAAiAAAAZHJzL2Rvd25yZXYueG1sUEsBAhQAFAAAAAgAh07iQDMv&#10;BZ47AAAAOQAAABAAAAAAAAAAAQAgAAAADQEAAGRycy9zaGFwZXhtbC54bWxQSwUGAAAAAAYABgBb&#10;AQAAtwMAAAAA&#10;">
                  <v:fill on="f" focussize="0,0"/>
                  <v:stroke on="f"/>
                  <v:imagedata r:id="rId36" o:title=""/>
                  <o:lock v:ext="edit" aspectratio="t"/>
                </v:shape>
                <v:shape id="Picture 80" o:spid="_x0000_s1026" o:spt="75" type="#_x0000_t75" style="position:absolute;left:8539;top:2122;height:123;width:158;" filled="f" o:preferrelative="t" stroked="f" coordsize="21600,21600" o:gfxdata="UEsDBAoAAAAAAIdO4kAAAAAAAAAAAAAAAAAEAAAAZHJzL1BLAwQUAAAACACHTuJAXfgMHb0AAADd&#10;AAAADwAAAGRycy9kb3ducmV2LnhtbEWPT2sCQQzF70K/wxChF6mzehBdHQULhdab/6DHsBN3FzeZ&#10;ZWe66rdvDoK3hPfy3i+rzZ0b01MX6yAOJuMMDEkRfC2lg9Px62MOJiYUj00QcvCgCJv122CFuQ83&#10;2VN/SKXREIk5OqhSanNrY1ERYxyHlkS1S+gYk65daX2HNw3nxk6zbGYZa9GGClv6rKi4Hv7YwfGy&#10;DcSjn91CiM/byNff/nFy7n04yZZgEt3Ty/y8/vaKv5gqv36jI9j1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d+AwdvQAA&#10;AN0AAAAPAAAAAAAAAAEAIAAAACIAAABkcnMvZG93bnJldi54bWxQSwECFAAUAAAACACHTuJAMy8F&#10;njsAAAA5AAAAEAAAAAAAAAABACAAAAAMAQAAZHJzL3NoYXBleG1sLnhtbFBLBQYAAAAABgAGAFsB&#10;AAC2AwAAAAA=&#10;">
                  <v:fill on="f" focussize="0,0"/>
                  <v:stroke on="f"/>
                  <v:imagedata r:id="rId37" o:title=""/>
                  <o:lock v:ext="edit" aspectratio="t"/>
                </v:shape>
                <w10:wrap type="topAndBottom"/>
              </v:group>
            </w:pict>
          </mc:Fallback>
        </mc:AlternateContent>
      </w:r>
    </w:p>
    <w:p>
      <w:pPr>
        <w:spacing w:line="500" w:lineRule="exact"/>
        <w:ind w:firstLine="480" w:firstLineChars="200"/>
        <w:rPr>
          <w:rFonts w:hint="eastAsia" w:ascii="宋体" w:hAnsi="宋体" w:eastAsia="宋体" w:cs="宋体"/>
          <w:sz w:val="24"/>
          <w:szCs w:val="28"/>
          <w:u w:val="single"/>
        </w:rPr>
      </w:pPr>
      <w:r>
        <w:rPr>
          <w:rFonts w:hint="eastAsia" w:ascii="宋体" w:hAnsi="宋体" w:eastAsia="宋体" w:cs="宋体"/>
          <w:sz w:val="24"/>
          <w:szCs w:val="28"/>
          <w:u w:val="single"/>
        </w:rPr>
        <w:t>注：采用卸油油气回收系统的汽油罐通气管管口爆炸危险区域用括号内数字。</w:t>
      </w:r>
    </w:p>
    <w:p>
      <w:pPr>
        <w:pStyle w:val="6"/>
        <w:spacing w:before="4"/>
        <w:ind w:left="1213"/>
        <w:rPr>
          <w:rFonts w:hint="eastAsia" w:ascii="宋体" w:hAnsi="宋体" w:eastAsia="宋体" w:cs="宋体"/>
          <w:sz w:val="22"/>
        </w:rPr>
      </w:pPr>
    </w:p>
    <w:p>
      <w:pPr>
        <w:tabs>
          <w:tab w:val="left" w:pos="3541"/>
        </w:tabs>
        <w:ind w:left="1001" w:firstLine="720" w:firstLineChars="300"/>
        <w:rPr>
          <w:rFonts w:hint="eastAsia" w:ascii="宋体" w:hAnsi="宋体" w:eastAsia="宋体" w:cs="宋体"/>
          <w:sz w:val="24"/>
        </w:rPr>
      </w:pPr>
      <w:r>
        <w:rPr>
          <w:rFonts w:hint="eastAsia" w:ascii="宋体" w:hAnsi="宋体" w:eastAsia="宋体" w:cs="宋体"/>
          <w:sz w:val="24"/>
        </w:rPr>
        <w:t>图</w:t>
      </w:r>
      <w:r>
        <w:rPr>
          <w:rFonts w:hint="eastAsia" w:ascii="宋体" w:hAnsi="宋体" w:eastAsia="宋体" w:cs="宋体"/>
          <w:spacing w:val="-36"/>
          <w:sz w:val="24"/>
        </w:rPr>
        <w:t xml:space="preserve"> </w:t>
      </w:r>
      <w:r>
        <w:rPr>
          <w:rFonts w:hint="eastAsia" w:ascii="宋体" w:hAnsi="宋体" w:eastAsia="宋体" w:cs="宋体"/>
          <w:spacing w:val="7"/>
          <w:sz w:val="24"/>
        </w:rPr>
        <w:t xml:space="preserve">C.0.3  </w:t>
      </w:r>
      <w:r>
        <w:rPr>
          <w:rFonts w:hint="eastAsia" w:ascii="宋体" w:hAnsi="宋体" w:eastAsia="宋体" w:cs="宋体"/>
          <w:spacing w:val="18"/>
          <w:sz w:val="24"/>
        </w:rPr>
        <w:t>埋</w:t>
      </w:r>
      <w:r>
        <w:rPr>
          <w:rFonts w:hint="eastAsia" w:ascii="宋体" w:hAnsi="宋体" w:eastAsia="宋体" w:cs="宋体"/>
          <w:spacing w:val="21"/>
          <w:sz w:val="24"/>
        </w:rPr>
        <w:t>地</w:t>
      </w:r>
      <w:r>
        <w:rPr>
          <w:rFonts w:hint="eastAsia" w:ascii="宋体" w:hAnsi="宋体" w:eastAsia="宋体" w:cs="宋体"/>
          <w:spacing w:val="18"/>
          <w:sz w:val="24"/>
        </w:rPr>
        <w:t>卧</w:t>
      </w:r>
      <w:r>
        <w:rPr>
          <w:rFonts w:hint="eastAsia" w:ascii="宋体" w:hAnsi="宋体" w:eastAsia="宋体" w:cs="宋体"/>
          <w:spacing w:val="21"/>
          <w:sz w:val="24"/>
        </w:rPr>
        <w:t>式</w:t>
      </w:r>
      <w:r>
        <w:rPr>
          <w:rFonts w:hint="eastAsia" w:ascii="宋体" w:hAnsi="宋体" w:eastAsia="宋体" w:cs="宋体"/>
          <w:spacing w:val="18"/>
          <w:sz w:val="24"/>
        </w:rPr>
        <w:t>汽油储</w:t>
      </w:r>
      <w:r>
        <w:rPr>
          <w:rFonts w:hint="eastAsia" w:ascii="宋体" w:hAnsi="宋体" w:eastAsia="宋体" w:cs="宋体"/>
          <w:spacing w:val="21"/>
          <w:sz w:val="24"/>
        </w:rPr>
        <w:t>罐</w:t>
      </w:r>
      <w:r>
        <w:rPr>
          <w:rFonts w:hint="eastAsia" w:ascii="宋体" w:hAnsi="宋体" w:eastAsia="宋体" w:cs="宋体"/>
          <w:spacing w:val="18"/>
          <w:sz w:val="24"/>
        </w:rPr>
        <w:t>爆炸</w:t>
      </w:r>
      <w:r>
        <w:rPr>
          <w:rFonts w:hint="eastAsia" w:ascii="宋体" w:hAnsi="宋体" w:eastAsia="宋体" w:cs="宋体"/>
          <w:spacing w:val="21"/>
          <w:sz w:val="24"/>
        </w:rPr>
        <w:t>危</w:t>
      </w:r>
      <w:r>
        <w:rPr>
          <w:rFonts w:hint="eastAsia" w:ascii="宋体" w:hAnsi="宋体" w:eastAsia="宋体" w:cs="宋体"/>
          <w:spacing w:val="18"/>
          <w:sz w:val="24"/>
        </w:rPr>
        <w:t>险</w:t>
      </w:r>
      <w:r>
        <w:rPr>
          <w:rFonts w:hint="eastAsia" w:ascii="宋体" w:hAnsi="宋体" w:eastAsia="宋体" w:cs="宋体"/>
          <w:spacing w:val="21"/>
          <w:sz w:val="24"/>
        </w:rPr>
        <w:t>区</w:t>
      </w:r>
      <w:r>
        <w:rPr>
          <w:rFonts w:hint="eastAsia" w:ascii="宋体" w:hAnsi="宋体" w:eastAsia="宋体" w:cs="宋体"/>
          <w:spacing w:val="18"/>
          <w:sz w:val="24"/>
        </w:rPr>
        <w:t>域划</w:t>
      </w:r>
      <w:r>
        <w:rPr>
          <w:rFonts w:hint="eastAsia" w:ascii="宋体" w:hAnsi="宋体" w:eastAsia="宋体" w:cs="宋体"/>
          <w:sz w:val="24"/>
        </w:rPr>
        <w:t>分</w:t>
      </w:r>
    </w:p>
    <w:p>
      <w:pPr>
        <w:tabs>
          <w:tab w:val="left" w:pos="3541"/>
        </w:tabs>
        <w:ind w:left="2367"/>
        <w:rPr>
          <w:rFonts w:hint="eastAsia" w:ascii="宋体" w:hAnsi="宋体" w:eastAsia="宋体" w:cs="宋体"/>
          <w:sz w:val="24"/>
        </w:rPr>
      </w:pPr>
    </w:p>
    <w:p>
      <w:pPr>
        <w:tabs>
          <w:tab w:val="left" w:pos="4480"/>
          <w:tab w:val="left" w:pos="6215"/>
        </w:tabs>
        <w:ind w:left="1843"/>
        <w:rPr>
          <w:rFonts w:hint="eastAsia" w:ascii="宋体" w:hAnsi="宋体" w:eastAsia="宋体" w:cs="宋体"/>
          <w:sz w:val="24"/>
        </w:rPr>
      </w:pPr>
      <w:r>
        <w:rPr>
          <w:rFonts w:hint="eastAsia" w:ascii="宋体" w:hAnsi="宋体" w:eastAsia="宋体" w:cs="宋体"/>
          <w:lang w:val="en-US" w:bidi="ar-SA"/>
        </w:rPr>
        <mc:AlternateContent>
          <mc:Choice Requires="wpg">
            <w:drawing>
              <wp:anchor distT="0" distB="0" distL="114300" distR="114300" simplePos="0" relativeHeight="251668480" behindDoc="1" locked="0" layoutInCell="1" allowOverlap="1">
                <wp:simplePos x="0" y="0"/>
                <wp:positionH relativeFrom="page">
                  <wp:posOffset>3321050</wp:posOffset>
                </wp:positionH>
                <wp:positionV relativeFrom="paragraph">
                  <wp:posOffset>20955</wp:posOffset>
                </wp:positionV>
                <wp:extent cx="341630" cy="273050"/>
                <wp:effectExtent l="4445" t="4445" r="15875" b="8255"/>
                <wp:wrapNone/>
                <wp:docPr id="5" name="Group 141"/>
                <wp:cNvGraphicFramePr/>
                <a:graphic xmlns:a="http://schemas.openxmlformats.org/drawingml/2006/main">
                  <a:graphicData uri="http://schemas.microsoft.com/office/word/2010/wordprocessingGroup">
                    <wpg:wgp>
                      <wpg:cNvGrpSpPr/>
                      <wpg:grpSpPr>
                        <a:xfrm>
                          <a:off x="0" y="0"/>
                          <a:ext cx="341630" cy="273050"/>
                          <a:chOff x="5143" y="121"/>
                          <a:chExt cx="538" cy="430"/>
                        </a:xfrm>
                      </wpg:grpSpPr>
                      <wps:wsp>
                        <wps:cNvPr id="1935" name="AutoShape 142"/>
                        <wps:cNvSpPr/>
                        <wps:spPr bwMode="auto">
                          <a:xfrm>
                            <a:off x="20195" y="-232768"/>
                            <a:ext cx="281112" cy="225119"/>
                          </a:xfrm>
                          <a:custGeom>
                            <a:avLst/>
                            <a:gdLst>
                              <a:gd name="T0" fmla="+- 0 5680 20195"/>
                              <a:gd name="T1" fmla="*/ T0 w 281112"/>
                              <a:gd name="T2" fmla="+- 0 121 -232768"/>
                              <a:gd name="T3" fmla="*/ 121 h 225119"/>
                              <a:gd name="T4" fmla="+- 0 5143 20195"/>
                              <a:gd name="T5" fmla="*/ T4 w 281112"/>
                              <a:gd name="T6" fmla="+- 0 121 -232768"/>
                              <a:gd name="T7" fmla="*/ 121 h 225119"/>
                              <a:gd name="T8" fmla="+- 0 5143 20195"/>
                              <a:gd name="T9" fmla="*/ T8 w 281112"/>
                              <a:gd name="T10" fmla="+- 0 121 -232768"/>
                              <a:gd name="T11" fmla="*/ 121 h 225119"/>
                              <a:gd name="T12" fmla="+- 0 5143 20195"/>
                              <a:gd name="T13" fmla="*/ T12 w 281112"/>
                              <a:gd name="T14" fmla="+- 0 551 -232768"/>
                              <a:gd name="T15" fmla="*/ 551 h 225119"/>
                              <a:gd name="T16" fmla="+- 0 5680 20195"/>
                              <a:gd name="T17" fmla="*/ T16 w 281112"/>
                              <a:gd name="T18" fmla="+- 0 551 -232768"/>
                              <a:gd name="T19" fmla="*/ 551 h 225119"/>
                              <a:gd name="T20" fmla="+- 0 5681 20195"/>
                              <a:gd name="T21" fmla="*/ T20 w 281112"/>
                              <a:gd name="T22" fmla="+- 0 551 -232768"/>
                              <a:gd name="T23" fmla="*/ 551 h 225119"/>
                              <a:gd name="T24" fmla="+- 0 5143 20195"/>
                              <a:gd name="T25" fmla="*/ T24 w 281112"/>
                              <a:gd name="T26" fmla="+- 0 121 -232768"/>
                              <a:gd name="T27" fmla="*/ 121 h 225119"/>
                              <a:gd name="T28" fmla="+- 0 5143 20195"/>
                              <a:gd name="T29" fmla="*/ T28 w 281112"/>
                              <a:gd name="T30" fmla="+- 0 551 -232768"/>
                              <a:gd name="T31" fmla="*/ 551 h 225119"/>
                              <a:gd name="T32" fmla="+- 0 5143 20195"/>
                              <a:gd name="T33" fmla="*/ T32 w 281112"/>
                              <a:gd name="T34" fmla="+- 0 551 -232768"/>
                              <a:gd name="T35" fmla="*/ 551 h 225119"/>
                              <a:gd name="T36" fmla="+- 0 5680 20195"/>
                              <a:gd name="T37" fmla="*/ T36 w 281112"/>
                              <a:gd name="T38" fmla="+- 0 551 -232768"/>
                              <a:gd name="T39" fmla="*/ 551 h 225119"/>
                              <a:gd name="T40" fmla="+- 0 5680 20195"/>
                              <a:gd name="T41" fmla="*/ T40 w 281112"/>
                              <a:gd name="T42" fmla="+- 0 121 -232768"/>
                              <a:gd name="T43" fmla="*/ 121 h 225119"/>
                              <a:gd name="T44" fmla="+- 0 5681 20195"/>
                              <a:gd name="T45" fmla="*/ T44 w 281112"/>
                              <a:gd name="T46" fmla="+- 0 121 -232768"/>
                              <a:gd name="T47" fmla="*/ 121 h 22511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281112" h="225119">
                                <a:moveTo>
                                  <a:pt x="-14515" y="232889"/>
                                </a:moveTo>
                                <a:lnTo>
                                  <a:pt x="-15052" y="232889"/>
                                </a:lnTo>
                                <a:moveTo>
                                  <a:pt x="-15052" y="233319"/>
                                </a:moveTo>
                                <a:lnTo>
                                  <a:pt x="-14515" y="233319"/>
                                </a:lnTo>
                                <a:lnTo>
                                  <a:pt x="-14514" y="233319"/>
                                </a:lnTo>
                                <a:moveTo>
                                  <a:pt x="-15052" y="232889"/>
                                </a:moveTo>
                                <a:lnTo>
                                  <a:pt x="-15052" y="233319"/>
                                </a:lnTo>
                                <a:moveTo>
                                  <a:pt x="-14515" y="233319"/>
                                </a:moveTo>
                                <a:lnTo>
                                  <a:pt x="-14515" y="232889"/>
                                </a:lnTo>
                                <a:lnTo>
                                  <a:pt x="-14514" y="232889"/>
                                </a:lnTo>
                              </a:path>
                            </a:pathLst>
                          </a:custGeom>
                          <a:noFill/>
                          <a:ln w="18">
                            <a:solidFill>
                              <a:srgbClr val="000000"/>
                            </a:solidFill>
                            <a:round/>
                          </a:ln>
                        </wps:spPr>
                        <wps:bodyPr rot="0" vert="horz" wrap="square" lIns="91440" tIns="45720" rIns="91440" bIns="45720" anchor="t" anchorCtr="0" upright="1">
                          <a:noAutofit/>
                        </wps:bodyPr>
                      </wps:wsp>
                      <pic:pic xmlns:pic="http://schemas.openxmlformats.org/drawingml/2006/picture">
                        <pic:nvPicPr>
                          <pic:cNvPr id="1936" name="Picture 14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a:xfrm>
                            <a:off x="5142" y="121"/>
                            <a:ext cx="399" cy="399"/>
                          </a:xfrm>
                          <a:prstGeom prst="rect">
                            <a:avLst/>
                          </a:prstGeom>
                          <a:noFill/>
                        </pic:spPr>
                      </pic:pic>
                      <wps:wsp>
                        <wps:cNvPr id="1937" name="Freeform 144"/>
                        <wps:cNvSpPr/>
                        <wps:spPr bwMode="auto">
                          <a:xfrm>
                            <a:off x="5253" y="124"/>
                            <a:ext cx="427" cy="427"/>
                          </a:xfrm>
                          <a:custGeom>
                            <a:avLst/>
                            <a:gdLst>
                              <a:gd name="T0" fmla="+- 0 5254 5254"/>
                              <a:gd name="T1" fmla="*/ T0 w 427"/>
                              <a:gd name="T2" fmla="+- 0 551 124"/>
                              <a:gd name="T3" fmla="*/ 551 h 427"/>
                              <a:gd name="T4" fmla="+- 0 5680 5254"/>
                              <a:gd name="T5" fmla="*/ T4 w 427"/>
                              <a:gd name="T6" fmla="+- 0 124 124"/>
                              <a:gd name="T7" fmla="*/ 124 h 427"/>
                              <a:gd name="T8" fmla="+- 0 5681 5254"/>
                              <a:gd name="T9" fmla="*/ T8 w 427"/>
                              <a:gd name="T10" fmla="+- 0 124 124"/>
                              <a:gd name="T11" fmla="*/ 124 h 427"/>
                            </a:gdLst>
                            <a:ahLst/>
                            <a:cxnLst>
                              <a:cxn ang="0">
                                <a:pos x="T1" y="T3"/>
                              </a:cxn>
                              <a:cxn ang="0">
                                <a:pos x="T5" y="T7"/>
                              </a:cxn>
                              <a:cxn ang="0">
                                <a:pos x="T9" y="T11"/>
                              </a:cxn>
                            </a:cxnLst>
                            <a:rect l="0" t="0" r="r" b="b"/>
                            <a:pathLst>
                              <a:path w="427" h="427">
                                <a:moveTo>
                                  <a:pt x="0" y="427"/>
                                </a:moveTo>
                                <a:lnTo>
                                  <a:pt x="426" y="0"/>
                                </a:lnTo>
                                <a:lnTo>
                                  <a:pt x="427" y="0"/>
                                </a:lnTo>
                              </a:path>
                            </a:pathLst>
                          </a:custGeom>
                          <a:noFill/>
                          <a:ln w="18">
                            <a:solidFill>
                              <a:srgbClr val="000000"/>
                            </a:solidFill>
                            <a:round/>
                          </a:ln>
                        </wps:spPr>
                        <wps:bodyPr rot="0" vert="horz" wrap="square" lIns="91440" tIns="45720" rIns="91440" bIns="45720" anchor="t" anchorCtr="0" upright="1">
                          <a:noAutofit/>
                        </wps:bodyPr>
                      </wps:wsp>
                      <pic:pic xmlns:pic="http://schemas.openxmlformats.org/drawingml/2006/picture">
                        <pic:nvPicPr>
                          <pic:cNvPr id="1938" name="Picture 145"/>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a:xfrm>
                            <a:off x="5142" y="246"/>
                            <a:ext cx="538" cy="305"/>
                          </a:xfrm>
                          <a:prstGeom prst="rect">
                            <a:avLst/>
                          </a:prstGeom>
                          <a:noFill/>
                        </pic:spPr>
                      </pic:pic>
                      <wps:wsp>
                        <wps:cNvPr id="1939" name="Freeform 146"/>
                        <wps:cNvSpPr/>
                        <wps:spPr bwMode="auto">
                          <a:xfrm>
                            <a:off x="5159" y="121"/>
                            <a:ext cx="431" cy="430"/>
                          </a:xfrm>
                          <a:custGeom>
                            <a:avLst/>
                            <a:gdLst>
                              <a:gd name="T0" fmla="+- 0 5590 5160"/>
                              <a:gd name="T1" fmla="*/ T0 w 431"/>
                              <a:gd name="T2" fmla="+- 0 551 121"/>
                              <a:gd name="T3" fmla="*/ 551 h 430"/>
                              <a:gd name="T4" fmla="+- 0 5160 5160"/>
                              <a:gd name="T5" fmla="*/ T4 w 431"/>
                              <a:gd name="T6" fmla="+- 0 121 121"/>
                              <a:gd name="T7" fmla="*/ 121 h 430"/>
                              <a:gd name="T8" fmla="+- 0 5160 5160"/>
                              <a:gd name="T9" fmla="*/ T8 w 431"/>
                              <a:gd name="T10" fmla="+- 0 121 121"/>
                              <a:gd name="T11" fmla="*/ 121 h 430"/>
                            </a:gdLst>
                            <a:ahLst/>
                            <a:cxnLst>
                              <a:cxn ang="0">
                                <a:pos x="T1" y="T3"/>
                              </a:cxn>
                              <a:cxn ang="0">
                                <a:pos x="T5" y="T7"/>
                              </a:cxn>
                              <a:cxn ang="0">
                                <a:pos x="T9" y="T11"/>
                              </a:cxn>
                            </a:cxnLst>
                            <a:rect l="0" t="0" r="r" b="b"/>
                            <a:pathLst>
                              <a:path w="431" h="430">
                                <a:moveTo>
                                  <a:pt x="430" y="430"/>
                                </a:moveTo>
                                <a:lnTo>
                                  <a:pt x="0" y="0"/>
                                </a:lnTo>
                              </a:path>
                            </a:pathLst>
                          </a:custGeom>
                          <a:noFill/>
                          <a:ln w="18">
                            <a:solidFill>
                              <a:srgbClr val="000000"/>
                            </a:solidFill>
                            <a:round/>
                          </a:ln>
                        </wps:spPr>
                        <wps:bodyPr rot="0" vert="horz" wrap="square" lIns="91440" tIns="45720" rIns="91440" bIns="45720" anchor="t" anchorCtr="0" upright="1">
                          <a:noAutofit/>
                        </wps:bodyPr>
                      </wps:wsp>
                      <pic:pic xmlns:pic="http://schemas.openxmlformats.org/drawingml/2006/picture">
                        <pic:nvPicPr>
                          <pic:cNvPr id="1940" name="Picture 147"/>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a:xfrm>
                            <a:off x="5302" y="121"/>
                            <a:ext cx="379" cy="378"/>
                          </a:xfrm>
                          <a:prstGeom prst="rect">
                            <a:avLst/>
                          </a:prstGeom>
                          <a:noFill/>
                        </pic:spPr>
                      </pic:pic>
                    </wpg:wgp>
                  </a:graphicData>
                </a:graphic>
              </wp:anchor>
            </w:drawing>
          </mc:Choice>
          <mc:Fallback>
            <w:pict>
              <v:group id="Group 141" o:spid="_x0000_s1026" o:spt="203" style="position:absolute;left:0pt;margin-left:261.5pt;margin-top:1.65pt;height:21.5pt;width:26.9pt;mso-position-horizontal-relative:page;z-index:-251648000;mso-width-relative:page;mso-height-relative:page;" coordorigin="5143,121" coordsize="538,430" o:gfxdata="UEsDBAoAAAAAAIdO4kAAAAAAAAAAAAAAAAAEAAAAZHJzL1BLAwQUAAAACACHTuJApgz3oNgAAAAI&#10;AQAADwAAAGRycy9kb3ducmV2LnhtbE2PQUvDQBCF74L/YRnBm92ka6LEbIoU9VQEW0G8bbPTJDQ7&#10;G7LbpP33jic9Dm947/vK1dn1YsIxdJ40pIsEBFLtbUeNhs/d690jiBANWdN7Qg0XDLCqrq9KU1g/&#10;0wdO29gILqFQGA1tjEMhZahbdCYs/IDE2cGPzkQ+x0ba0cxc7nq5TJJcOtMRL7RmwHWL9XF7chre&#10;ZjM/q/Rl2hwP68v3Lnv/2qSo9e1NmjyBiHiOf8/wi8/oUDHT3p/IBtFryJaKXaIGpUBwnj3krLLX&#10;cJ8rkFUp/wtUP1BLAwQUAAAACACHTuJAnbNd2csHAAD3JAAADgAAAGRycy9lMm9Eb2MueG1s7Vrb&#10;bttGEH0v0H8g+NjCEZcX6wLLgWsnQYC0NRr1AyiKkohSJLukLKdF/71ndrnk8holaYskdYBYvAxn&#10;z85l98yQV88fD7HxEPI8SpOlyZ5ZphEmQbqJkt3S/HX18mJmGnnhJxs/TpNwab4Lc/P59bffXJ2y&#10;RWin+zTehNyAkiRfnLKluS+KbDGZ5ME+PPj5szQLE9zcpvzgFzjlu8mG+ydoP8QT27IuJ6eUbzKe&#10;BmGe4+qdvGmWGvk5CtPtNgrCuzQ4HsKkkFp5GPsFppTvoyw3rwXa7TYMip+32zwsjHhpYqaF+ItB&#10;cLymv5PrK3+x4362j4ISgn8OhNacDn6UYNBK1Z1f+MaRRx1VhyjgaZ5ui2dBepjIiQiLYBbMatnm&#10;FU+PmZjLbnHaZZXR4aiW1T9abfDTwz03os3S9Ewj8Q9wuBjVYC4j45yy3QIyr3j2Nrvn5YWdPKP5&#10;Pm75gX4xE+NRmPVdZdbwsTACXHRcdunA4AFu2VPH8kqzB3v4hp7ymOuYBu4yWwzqL4L9i/Jhz0E8&#10;0pMuVGD8iRpzQtAqJKcM0ZjXJso/zURv934WCsvnNP3SRGzuVFa6ORapkIKlbGkpIVqZKV/ksJix&#10;Pv2YbmBVH/IiQloWg9vnUIoJXtiOPb2ckS5/oWxnzxhjdmk722Ns3jACLHXMi1dhKpzgP7zJC/H4&#10;boMjEY+b0qsrOGB7iBHc318YluFdzixDjl0+oOSYkvtuYqws42SUEFpiwKSpg+OMBv5dNS48KwWh&#10;j8T2hl3NA/lSyblKTuJDSPTjg7EqfSt3EN+lEhPqRvBNleB78CEMtQlTyPbjmys5st9sEB9r+mME&#10;INM9MmZBipOzIDLdJytmD4NsOcUb9DLT3eJBbsjNrOmYkTjUHbNil8MgW54ZAan7Zgyk3XQOQLJ+&#10;Z2O90qLRHkmXlm+GQdq6c0ZBtpwzGJG27puVPZwzdtM3IzFp684Zi0m75ZxhkLpvVvZw4tBOokf5&#10;sCUd3TljlnRazhkE6ei+WTnDieO0fDMCUnfOKMimc4YTx9F9s3KGE4d21jMtqTtnDKTbcs7gLgN2&#10;oSWOO5w42Fx1kCMxSRxCTuc9K7nbcs5gdru6b1bucOK4Td+MgdSd004ccJtq4/b3ai8PHpNyM8eR&#10;4RNNtwSTyNKc2NMKpgR9WDklM4AU7fwDwpgSCU/PEobbSRg7EHZ/oBtXTduKEPfOE4cphLiiNOPa&#10;aaklcayP54ChRU+InzdTu5wq1oxztNNCQNrBB88SL6fqnDdVSg7Sjog+RzuFqRBvTFW6q4wcjkKo&#10;XQJxUQKtaQh/kfkFBZw6NE6g6iX13ONQMja6e0gfwlUq5AqKvgvmerT5AwD462ymZljLxUlT3rM8&#10;5HRbXknVz2Wlfk3ecSr+W8upJ5W8hkeTV1LqV5PGciDQ9EjXoyh5Dc2HzvYs/f3oaxw9+Husr6TU&#10;r0IP7Wq2GnophYChKBCJXoUDRZFWYSTpyyiORcTECQUJm4mlKE/jaEO3KDByvlvfxtx48KnoFv/K&#10;OG6IobhNNjK+Y6xYqOdkyURFZ75Yp5t3KJ94Kkt2NCxwsE/5H6ZxQrm+NPPfjz4PTSN+naDYmzOX&#10;9p5CnLjelBgc1++s9Tt+EkDV0ixMrKd0eFvInsAx49Fuj5GYmFaSUpm3jaioEvgkqvIE9eb1VRYF&#10;C/wva3McdQrP93dE8FRxxFyktuThPgruuTxpFJ/YZWSJDgF6AKWnWCHwvKhS5WNwYxS8SYPfciNJ&#10;b/fYMMKbPMMCQLOqL3Genvahv4Hx5JrX1DKh0waUdRxlysV0/M92bAy+CA/rcLM0+euNtD5q4HJJ&#10;ompYdFP+tGc3ljW3f7i49azbC9eavri4mbvTi6n1Yupa7ozdstu/yHfMXRzzEGbw47ssUq0d5nbc&#10;09s6Kds7sikjmjtlNJeBDEAiTxREpAmZREZ/8AuMLXIkL3hYBEgpf7FFcpTXIVzdEGauLUtGp7YB&#10;PdFqFCBz5bIJ1iDXbLKK6K/MsXlRi8TBgUwo9WzGZXfAoAOYFsDIOAvVKaCcL0XocpXeApYEIg6B&#10;S6blf9FjwWYpw/wlD0NqJCLOXZoYrQtIiA9tsXi2J7drZgs1dXfFpTpGNJdw0LScvuopa2n0rO5b&#10;tBiv7bkGBiwHqsWQehU5FW0VGlsESS3TpLrEsyvEtZDOciUV79HUYbjo+PSAws5RgyJ626OqTW3d&#10;PlAwY6UImFH992hqlRtEu/tA6bWGaKD0qOp0T3pRtTonGizE/RfAtIESnPgTKBxZzgB/o1/K75pG&#10;SEKA2MWyUdoXo9X3m8TBpc4AJFUHVt1Vv1KbGK0jRUvME634nGkF8rJNK0RZ0yQEXwGtsEUSqD1b&#10;bgNPtKKkFTaaGGI/UrSievOCNzatzVFxhi+KVmBf6dAKMeWPpRXMk02DDiFzqfPY986qWUx9CK3w&#10;5tjB2aV6YVm9NenSCtnB0N+s9NGKkkKO0gr5wk3X1KIVwNMLqksruqDatIK4TgdUk1bQS4XyLaAO&#10;qkUrhkB1aUUXVIdW9KJq0QoN1v+FVlB8E61AhPTRCrouiIWMoBFiIeWatOKJMJjGZ92HoEZLmzCI&#10;WuarIwzOE2Ho9iEca6gPMcUaK/oQU/EVAxL5X+lDiC8/8D2M6MCU3+7QBzf6uWjR1d8rXf8NUEsD&#10;BAoAAAAAAIdO4kAAAAAAAAAAAAAAAAAKAAAAZHJzL21lZGlhL1BLAwQUAAAACACHTuJA3csxjpQB&#10;AACYAQAAFAAAAGRycy9tZWRpYS9pbWFnZTEucG5n6wzwc+flkuJiYGDg9fRwCQLSpiDMwQYkHz5b&#10;XACk2JK83V0Y/oPggr3LJwNFOAs8IosZGPiOgDDjVG0+aQYGRgtPF8eQjMa71/f6tTkItD78/FI2&#10;KtmbcyFL9BaTqFtJZ2UPyUmrKP55qydSvWxGkVrlrkpHoYWXt72VZhBz/Si7+b/9uZ3ul03eM0Rc&#10;/3r8anRqZB1jB3tq5DdrnsOfZRfYnK8/Vlizizkk9OpyywnF7xL5XISeOcRpmF7Q9BIs6Qhifbto&#10;iuNsjdILXKmMWxwiGc9qeCtMMmBX4oxgnsiya131VhYl23p71QuqIasWZIScWqAR8mpBwhQmDY6l&#10;TJ/cNBv3BGQtCJ6i9EJgKdctV81ms8BXC0RPMWU0bmKaFTjNQQVk2wY2peVztrMocX6p/Z/E6XJv&#10;wueVjXoLg1hdFwexuS4MYmddLOLgqCE6wdyL80lrEPPcRSKO7RqhF/S8JLd0BrGvDRBz4J4ieqFn&#10;EwvUGKDDgs9FM008In/jmhxr9pRyAWDAMni6+rmsc0poAgBQSwMEFAAAAAgAh07iQMNmIZ5bBwAA&#10;VgcAABQAAABkcnMvbWVkaWEvaW1hZ2UyLnBuZwFWB6n4iVBORw0KGgoAAAANSUhEUgAAAEcAAAAo&#10;CAYAAACsEueQAAAABmJLR0QA/wD/AP+gvaeTAAAACXBIWXMAAA7EAAAOxAGVKw4bAAAG9klEQVRo&#10;ge3ZZ1BUVxQH8LNRtrK7CuzCUkRc6SAotliwJLFGHXV0xLHr2COxRCV2gxiVIBqNZoypEzPJJI4V&#10;RaWDFQHp4IoIbAUUEGFBvCefnh3Y3bti/XC+3Hfu/15+b/btfQsAAAYHB0cSQliICB/qSUFwcHAk&#10;AOCyZcv2fAB6Uk1NTe2AEMJavnx5BADg0qVLv/8AhKDT6SR+fn4ZgIhACGGtWLHiOwDAJUuW7Huf&#10;gbRardTHxyeLy+XWPx4khLBWrlwZDgC4ePHi/e8jkFarlXp7e2fzeLy6mJiYoc9cJISwVq1atQsA&#10;cNGiRT88evToo9e94bYqjUZj6+XllcPj8epiY2OHICK80EQIYa1evXoHAODChQsPvA9ADAyfz38Q&#10;Fxc3mBl/aTMhhLVmzZpvAQAXLFhw8F0GUqvVdp6enrnPwzSLwwCtXbt2OwDg/Pnzf3wXgdRqtZ2H&#10;h0eeQCCojY+PH/T89RYnE0JYISEhYQCA8+bNO/QuAalUKhkDk5CQEPiynlZDCCGsdevWhQIAzp07&#10;96d3AUipVNq7u7vnCwSC2sTExIHN9RkURghhrV+//hsAwDlz5hx+m4GUSqW9m5tbgUAgqE1KShrQ&#10;Uq/BoYQQ1oYNG7YCAM6ePfvntxGorKzMwdXVtdDS0vJ+cnJy/9b6jQonhLA2bty4BQBw1qxZvzQ1&#10;NbV73X+wKTApKSn9DJlj0kKbNm3aDAA4c+bMX98GoNLSUseuXbveFAqFNYbCmIyDiLB58+ZNAIAz&#10;Zsz47U0GKi0tdZTL5QqhUFhz8eLFj42ZS7Xwli1bNgIATp8+/fc3EaikpMRJLpcrRCJR9aVLl/oa&#10;Ox9oXzC3bt26AQBw2rRpf7xJQCUlJU5dunS5JRKJqi9fvtzHlAwQi8VV1dXVIpqNhIaGrgMAnDp1&#10;6p8PHz5s/7ph7ty508nFxaVIJBJVX7lypbepOQAA2Ldv30tVVVVimg1t27bt6zcBqLi42NnFxaVI&#10;LBZX0cAgIsDRo0fHt2/f/mGfPn0u0wKFhYWFAAAGBQUdeR1AxcXFzp07d74tFourrl692osmS6FQ&#10;yAER4dixY+MsLCwae/fufYUWaPv27WsBAKdMmfJXWwLdvn27s7Ozc3GHDh3uXbt2rSdNVkpKSj+B&#10;QFD7eIAB6tWr19V79+51oAnfsWPHagDAyZMn/90WQEVFRS4MTGpqagBNVnJycn9LS8v7rq6uhc9c&#10;OH78+FgLC4vGnj17XqMF2rlz51cAgJMmTfqnsbHR4lXCdOrU6U7Hjh3vXr9+vYc5YNzc3AqUSqX9&#10;Cw0nTpwYwwDdvXu3I81iu3btWvUqgW7dutXFXDBJSUkDnoZBbOYQePLkyc/ZbHZDQEBAKi1QeHj4&#10;SgDAiRMn/mtOIIVCIXdyciqxsrKqTEtL606TlZiYOFAgENS6u7vnq1QqGTPe7IRTp06NZrPZDT16&#10;9LheWVlpRbN4RETEcgDACRMm/GcOIIVCIXd0dCy1srKqTE9P96fJSkhICHwZTIs4iAinT58exWaz&#10;G7p3755GC7R79+4vAQDHjx9/lAbo5s2bXR0dHUutra0rMjIy/Gj2FB8fP4jP5z/w8PDIex6mVRxE&#10;hKioqJEMUEVFhTXNZiIjI4MZoIaGBrYpMA4ODmXmgImLixvM5/MfeHp65qrVaruX9RgUdObMmREc&#10;Dkfv7++fTgu0Z8+eZQCA48aNO2YMUGFhoauDg0OZjY1N+Y0bN7rR7CE2NnYIj8er8/LyytFoNLbN&#10;9RkcePbs2eEcDkfv5+eXUV5ebkOzub17934BADh27NjjhgAVFBS42dvbK21sbMozMzN9adaOiYkZ&#10;agiMUTiICNHR0cM4HI6+W7duN2iB9u3btwQAcMyYMSf0ej2nub78/Hx3mUymkkgkuqysLB9zwHh7&#10;e2drtVppa/1GLxAdHT2My+XW+/r6Zup0OsmrBDInzIULFz7h8Xh1Pj4+WYbAmISDiHD+/PlPzQW0&#10;f//+xQCAo0ePPvU0UF5enoednZ1aIpHosrOzvWnWMHW/VHeCy+XWG3MnmqsDBw4sBAAcNWrUab1e&#10;z8nNzfW0tbXVSKVSbU5OjhdN9rlz5z4z9UaavCgDZMxnuKU6ePDgAgDAwMDABKlUqrG1tdXQwjCP&#10;AFOfkUD7/ydjnv6tFfOjPZvNbkhPT6c6xzDfrjRfHgAA2FbnhpYqOzvbWyqVakUiURUA4IgRI87U&#10;19dzTclizmW0xw4QCoU1bXXibK6ysrJ8JBKJTiaTqfLy8jwOHTo0DwBw+PDhZ+vq6njGZEVFRY00&#10;14H18buKr69vJu1HjHlXCQoKOmLoHEIIKyAgIFUmk6ny8/PdmfHDhw/PYbFYJCwsLMTQrJqaGqG1&#10;tXWFOd4FERH+B0raMc/A2amgAAAAAElFTkSuQmCCUEsDBBQAAAAIAIdO4kDJ4N75uQUAALQFAAAU&#10;AAAAZHJzL21lZGlhL2ltYWdlMy5wbmcBtAVL+olQTkcNChoKAAAADUlIRFIAAAAyAAAAMwgGAAAA&#10;1WNbFAAAAAZiS0dEAP8A/wD/oL2nkwAAAAlwSFlzAAAOxAAADsQBlSsOGwAABVRJREFUaIHVl2tI&#10;WwcYhr9cTVLvt4YsNijWYDpZmJ2izFZBmcWVWqZMQcGVVXAwBrOwFmaHFlZhFkqhgiuroKBFy5Qp&#10;syjoZlGaLiXFLhInSmYaMqtWTY0xl5N3P0ToSl2iJx7Jgffn9/I+50AeQkSES5cu/eDz+XgAaL85&#10;ffr0b0SEO3fufM6mh2EYPhGBiDAyMlIY6B3V1dW1EhGuXLnyPRuYra2tsOLi4iEej+drb2+vYQOz&#10;tLQUn5GRMSWVSjfHxsbyAwJhGIZ/8eLFH4kIV69ebWQzwOl0SoqKioZ5PJ6vs7Ozik3X4uJiokaj&#10;McpkMsf4+HieX5Cdz1lTU9NORLh27dq3bAY4HA5ZQUHBKJ/PZ+7du/cpmy6bzSZXq9Wm8PDwV5OT&#10;kzl+QQCQ1+sVVFVVdRIRmpubv2EzYGNj40heXt64QCDw3r9//xM2XVarVZGamjobGRm5rtPpsvyC&#10;ACCPxyOsqKjoJiLcuHHjazYD7HZ7RG5u7oRQKPT09/efY9NlsViUKSkpc1FRUWt6vT7TL8gOTFlZ&#10;WS8R4datW1+yGbC+vh6ZnZ39SCQSuQcHB0vYdJnNZpVKpTLHxMS8NBgMWr8gAMjtdotKS0v7iAit&#10;ra11bAasrq5GZ2Zm6sVisevBgwcfseman59PViqVlri4uOVnz5696xcEALlcLnFJSclgMNywsrIS&#10;q9VqDRKJxLkXN7wts7OzqQqFwpqQkPDCaDRq/IIA2z+nh+mG3WIymdRHjx79Ry6X20wmk9ovCADa&#10;3NyUFhYWjgTbDQ8fPvyQTZfRaNQkJCS8UCgU1tnZ2dSAjhwOhyw/P3+Mazf4y9TUVEZcXNyyUqm0&#10;BHx0UG54/PjxB2y6DAaD9sSJE3/u6chut0fk5ORMBtMN0dHRq0+ePHmfTRfDMPw9H62trUVlZWXp&#10;gumG2NjYladPn77HpmtfR8F2Q1JS0kJ8fPzSm244cBDgYNyQmJi4OD09nc4pCBB8N8jlcptcLrfN&#10;zMykcQoCbLshPT19+iDcwCkIsO2GtLS0mWC6ISkpaWF+fj6ZUxAA9Pz583eC6YaYmJiXKpXKbDab&#10;VZyCAKCFhYWk5OTk+WC4Qa/XZ0ZFRa2lpKTMWSwWJacgwLYbjh079ncw3KDT6bIiIiLsx48f/8tq&#10;tSo4BQFAc3NzKUql0sLWDQBoYmIiNzw8/JVarTbZbDY5pyBAcNywk/Hx8TyZTObQaDTGxcXFRE5B&#10;gP/+b9iPG17P2NhYvlQq3czIyJhaXl6O4xQEYOeGNzMyMlIYFha2pdVqDSsrK7GcggD7d8PbMjQ0&#10;VCwWi10nT578Y3V1NZpTEGB/btgtAwMDH4tEInd2dvaj9fX1SE5BgL274f/S399/TigUenJzcyfs&#10;dnsEpyDA3tzgL729vWUCgcB76tSp3zkHAQJ3QyDp7u6ukEqlm4cCAgTmhkBjs9nkhwYCgEZHRwsk&#10;EolzNzfsJYcKAoCGh4eLdnNDSIEAu7sh5ECAt7shJEEAUF9fX+nrbghZEADU09NTvuOGjY2NIyEL&#10;AoC6uroq+Xw+U1BQMOpwOGQhCwKAOjo6qnk8nq+oqGjY6XRKQhYEAN29e/czIsKZM2d+3draCgtZ&#10;EADU1tZWS0Q4e/bsLy6XSxyyIADo9u3bXxARzp8//7Pb7RaFLAgAunnz5ldEhPLy8h6PxyMMWRAA&#10;1NLSUk9EqKys7PJ6vYKQBQFA169fv0xEqK6u7ngd5tCH7SdNTU0NRIQLFy78xDAMP2RBAFBDQ0MT&#10;EaG2traNYRi+kEL0aWxs/M7j8Yiam5svi0Qiz6G/WTbx+Xy8+vr6FiLCv/TbrUSygnwSAAAAAElF&#10;TkSuQmCC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KAAAAAACHTuJAAAAAAAAAAAAAAAAACgAAAGRycy9fcmVscy9QSwMEFAAAAAgA&#10;h07iQDcnR2HGAAAAKQIAABkAAABkcnMvX3JlbHMvZTJvRG9jLnhtbC5yZWxzvZHBagIxEIbvQt8h&#10;zL2b3RWKiFkvIngV+wBDMpsNbiYhiaW+vYFSqCD15nFm+L//g9lsv/0svihlF1hB17QgiHUwjq2C&#10;z9P+fQUiF2SDc2BScKUM2+FtsTnSjKWG8uRiFpXCWcFUSlxLmfVEHnMTInG9jCF5LHVMVkbUZ7Qk&#10;+7b9kOkvA4Y7pjgYBelgliBO11ibn7PDODpNu6Avnrg8qJDO1+4KxGSpKPBkHP4sl01kC/KxQ/8a&#10;h/4/h+41Dt2vg7x78HADUEsDBBQAAAAIAIdO4kB557oEBAEAABMCAAATAAAAW0NvbnRlbnRfVHlw&#10;ZXNdLnhtbJWRwU7DMAyG70i8Q5QralN2QAit3YGOIyA0HiBK3DaicaI4lO3tSbpNgokh7Rjb3+8v&#10;yXK1tSObIJBxWPPbsuIMUDltsK/5++apuOeMokQtR4dQ8x0QXzXXV8vNzgOxRCPVfIjRPwhBagAr&#10;qXQeMHU6F6yM6Rh64aX6kD2IRVXdCeUwAsYi5gzeLFvo5OcY2XqbynsTjz1nj/u5vKrmxmY+18Wf&#10;RICRThDp/WiUjOluYkJ94lUcnMpEzjM0GE83SfzMhtz57fRzwYF7SY8ZjAb2KkN8ljaZCx1IaPeF&#10;Aaby/5BsaalwXWcUlG2gNmFvMB2tzqXDwrVOXRq+nqljtpi/tPkGUEsBAhQAFAAAAAgAh07iQHnn&#10;ugQEAQAAEwIAABMAAAAAAAAAAQAgAAAAxxoAAFtDb250ZW50X1R5cGVzXS54bWxQSwECFAAKAAAA&#10;AACHTuJAAAAAAAAAAAAAAAAABgAAAAAAAAAAABAAAACEGAAAX3JlbHMvUEsBAhQAFAAAAAgAh07i&#10;QIoUZjzRAAAAlAEAAAsAAAAAAAAAAQAgAAAAqBgAAF9yZWxzLy5yZWxzUEsBAhQACgAAAAAAh07i&#10;QAAAAAAAAAAAAAAAAAQAAAAAAAAAAAAQAAAAAAAAAGRycy9QSwECFAAKAAAAAACHTuJAAAAAAAAA&#10;AAAAAAAACgAAAAAAAAAAABAAAACiGQAAZHJzL19yZWxzL1BLAQIUABQAAAAIAIdO4kA3J0dhxgAA&#10;ACkCAAAZAAAAAAAAAAEAIAAAAMoZAABkcnMvX3JlbHMvZTJvRG9jLnhtbC5yZWxzUEsBAhQAFAAA&#10;AAgAh07iQKYM96DYAAAACAEAAA8AAAAAAAAAAQAgAAAAIgAAAGRycy9kb3ducmV2LnhtbFBLAQIU&#10;ABQAAAAIAIdO4kCds13ZywcAAPckAAAOAAAAAAAAAAEAIAAAACcBAABkcnMvZTJvRG9jLnhtbFBL&#10;AQIUAAoAAAAAAIdO4kAAAAAAAAAAAAAAAAAKAAAAAAAAAAAAEAAAAB4JAABkcnMvbWVkaWEvUEsB&#10;AhQAFAAAAAgAh07iQN3LMY6UAQAAmAEAABQAAAAAAAAAAQAgAAAARgkAAGRycy9tZWRpYS9pbWFn&#10;ZTEucG5nUEsBAhQAFAAAAAgAh07iQMNmIZ5bBwAAVgcAABQAAAAAAAAAAQAgAAAADAsAAGRycy9t&#10;ZWRpYS9pbWFnZTIucG5nUEsBAhQAFAAAAAgAh07iQMng3vm5BQAAtAUAABQAAAAAAAAAAQAgAAAA&#10;mRIAAGRycy9tZWRpYS9pbWFnZTMucG5nUEsFBgAAAAAMAAwA1gIAAPwbAAAAAA==&#10;">
                <o:lock v:ext="edit" aspectratio="f"/>
                <v:shape id="AutoShape 142" o:spid="_x0000_s1026" o:spt="100" style="position:absolute;left:20195;top:-232768;height:225119;width:281112;" filled="f" stroked="t" coordsize="281112,225119" o:gfxdata="UEsDBAoAAAAAAIdO4kAAAAAAAAAAAAAAAAAEAAAAZHJzL1BLAwQUAAAACACHTuJAObpdr70AAADd&#10;AAAADwAAAGRycy9kb3ducmV2LnhtbEVPzWqDQBC+B/IOyxR6S1ZbmjbWNYdAoclFkvoAgztRqTur&#10;7sZYnz5bKPQ2H9/vpLvJtGKkwTWWFcTrCARxaXXDlYLi62P1BsJ5ZI2tZVLwQw522XKRYqLtjU80&#10;nn0lQgi7BBXU3neJlK6syaBb2444cBc7GPQBDpXUA95CuGnlUxRtpMGGQ0ONHe1rKr/PV6OgL/ri&#10;ML9e5mOZu201HvLr5KRSjw9x9A7C0+T/xX/uTx3mb59f4PebcILM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5ul2vvQAA&#10;AN0AAAAPAAAAAAAAAAEAIAAAACIAAABkcnMvZG93bnJldi54bWxQSwECFAAUAAAACACHTuJAMy8F&#10;njsAAAA5AAAAEAAAAAAAAAABACAAAAAMAQAAZHJzL3NoYXBleG1sLnhtbFBLBQYAAAAABgAGAFsB&#10;AAC2AwAAAAA=&#10;" path="m-14515,232889l-15052,232889m-15052,233319l-14515,233319,-14514,233319m-15052,232889l-15052,233319m-14515,233319l-14515,232889,-14514,232889e">
                  <v:path o:connectlocs="-14515,121;-15052,121;-15052,121;-15052,551;-14515,551;-14514,551;-15052,121;-15052,551;-15052,551;-14515,551;-14515,121;-14514,121" o:connectangles="0,0,0,0,0,0,0,0,0,0,0,0"/>
                  <v:fill on="f" focussize="0,0"/>
                  <v:stroke weight="0.00141732283464567pt" color="#000000" joinstyle="round"/>
                  <v:imagedata o:title=""/>
                  <o:lock v:ext="edit" aspectratio="f"/>
                </v:shape>
                <v:shape id="Picture 143" o:spid="_x0000_s1026" o:spt="75" type="#_x0000_t75" style="position:absolute;left:5142;top:121;height:399;width:399;" filled="f" o:preferrelative="t" stroked="f" coordsize="21600,21600" o:gfxdata="UEsDBAoAAAAAAIdO4kAAAAAAAAAAAAAAAAAEAAAAZHJzL1BLAwQUAAAACACHTuJAeFskn70AAADd&#10;AAAADwAAAGRycy9kb3ducmV2LnhtbEVP22oCMRB9F/oPYQp908QK0q5GoQsVUUHr7XnYjLtrN5Nl&#10;k+r690Yo+DaHc53xtLWVuFDjS8ca+j0FgjhzpuRcw3733f0A4QOywcoxabiRh+nkpTPGxLgr/9Bl&#10;G3IRQ9gnqKEIoU6k9FlBFn3P1cSRO7nGYoiwyaVp8BrDbSXflRpKiyXHhgJrSgvKfrd/VkM72CxC&#10;elP5Oputzruvw5HSpdX67bWvRiACteEp/nfPTZz/ORjC45t4gpzc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WySfvQAA&#10;AN0AAAAPAAAAAAAAAAEAIAAAACIAAABkcnMvZG93bnJldi54bWxQSwECFAAUAAAACACHTuJAMy8F&#10;njsAAAA5AAAAEAAAAAAAAAABACAAAAAMAQAAZHJzL3NoYXBleG1sLnhtbFBLBQYAAAAABgAGAFsB&#10;AAC2AwAAAAA=&#10;">
                  <v:fill on="f" focussize="0,0"/>
                  <v:stroke on="f"/>
                  <v:imagedata r:id="rId38" o:title=""/>
                  <o:lock v:ext="edit" aspectratio="t"/>
                </v:shape>
                <v:shape id="Freeform 144" o:spid="_x0000_s1026" o:spt="100" style="position:absolute;left:5253;top:124;height:427;width:427;" filled="f" stroked="t" coordsize="427,427" o:gfxdata="UEsDBAoAAAAAAIdO4kAAAAAAAAAAAAAAAAAEAAAAZHJzL1BLAwQUAAAACACHTuJA7BndLrsAAADd&#10;AAAADwAAAGRycy9kb3ducmV2LnhtbEVPTYvCMBC9L/gfwgje1rTKVq1GDwVhL7Js1PvQjG2xmZQm&#10;a+2/NwsLe5vH+5zd4Wlb8aDeN44VpPMEBHHpTMOVgsv5+L4G4QOywdYxKRjJw2E/edthbtzA3/TQ&#10;oRIxhH2OCuoQulxKX9Zk0c9dRxy5m+sthgj7SpoehxhuW7lIkkxabDg21NhRUVN51z9WgcsanWYn&#10;eSyGQn9dHY5n/TEqNZumyRZEoGf4F/+5P02cv1mu4PebeILcv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BndLrsAAADd&#10;AAAADwAAAAAAAAABACAAAAAiAAAAZHJzL2Rvd25yZXYueG1sUEsBAhQAFAAAAAgAh07iQDMvBZ47&#10;AAAAOQAAABAAAAAAAAAAAQAgAAAACgEAAGRycy9zaGFwZXhtbC54bWxQSwUGAAAAAAYABgBbAQAA&#10;tAMAAAAA&#10;" path="m0,427l426,0,427,0e">
                  <v:path o:connectlocs="0,551;426,124;427,124" o:connectangles="0,0,0"/>
                  <v:fill on="f" focussize="0,0"/>
                  <v:stroke weight="0.00141732283464567pt" color="#000000" joinstyle="round"/>
                  <v:imagedata o:title=""/>
                  <o:lock v:ext="edit" aspectratio="f"/>
                </v:shape>
                <v:shape id="Picture 145" o:spid="_x0000_s1026" o:spt="75" type="#_x0000_t75" style="position:absolute;left:5142;top:246;height:305;width:538;" filled="f" o:preferrelative="t" stroked="f" coordsize="21600,21600" o:gfxdata="UEsDBAoAAAAAAIdO4kAAAAAAAAAAAAAAAAAEAAAAZHJzL1BLAwQUAAAACACHTuJAEfjWQsEAAADd&#10;AAAADwAAAGRycy9kb3ducmV2LnhtbEWPzW7CQAyE70h9h5UrcSubFAm1gYVDRaEFUYkAdyvrJmmz&#10;3pBdfvr29QGJm60Zz3yezK6uUWfqQu3ZQDpIQBEX3tZcGtjv3p9eQIWIbLHxTAb+KMBs+tCbYGb9&#10;hbd0zmOpJIRDhgaqGNtM61BU5DAMfEss2rfvHEZZu1LbDi8S7hr9nCQj7bBmaaiwpbeKit/85Aws&#10;VvPV/nBy6/wz/Zl/LdejzWJzNKb/mCZjUJGu8W6+XX9YwX8dCq58IyPo6T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EfjW&#10;QsEAAADdAAAADwAAAAAAAAABACAAAAAiAAAAZHJzL2Rvd25yZXYueG1sUEsBAhQAFAAAAAgAh07i&#10;QDMvBZ47AAAAOQAAABAAAAAAAAAAAQAgAAAAEAEAAGRycy9zaGFwZXhtbC54bWxQSwUGAAAAAAYA&#10;BgBbAQAAugMAAAAA&#10;">
                  <v:fill on="f" focussize="0,0"/>
                  <v:stroke on="f"/>
                  <v:imagedata r:id="rId39" o:title=""/>
                  <o:lock v:ext="edit" aspectratio="t"/>
                </v:shape>
                <v:shape id="Freeform 146" o:spid="_x0000_s1026" o:spt="100" style="position:absolute;left:5159;top:121;height:430;width:431;" filled="f" stroked="t" coordsize="431,430" o:gfxdata="UEsDBAoAAAAAAIdO4kAAAAAAAAAAAAAAAAAEAAAAZHJzL1BLAwQUAAAACACHTuJAUO0ZbbcAAADd&#10;AAAADwAAAGRycy9kb3ducmV2LnhtbEVPyQrCMBC9C/5DGMGbpiqKVqOgKHh1AT0OzdgWm0nbpC5/&#10;bwTB2zzeOovVyxTiQbXLLSsY9CMQxInVOacKzqddbwrCeWSNhWVS8CYHq2W7tcBY2ycf6HH0qQgh&#10;7GJUkHlfxlK6JCODrm9L4sDdbG3QB1inUtf4DOGmkMMomkiDOYeGDEvaZJTcj41RcPPN9qovZ15X&#10;Vf6u5JjWo2mjVLcziOYgPL38X/xz73WYPxvN4PtNOEEuP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Q7RlttwAAAN0AAAAP&#10;AAAAAAAAAAEAIAAAACIAAABkcnMvZG93bnJldi54bWxQSwECFAAUAAAACACHTuJAMy8FnjsAAAA5&#10;AAAAEAAAAAAAAAABACAAAAAGAQAAZHJzL3NoYXBleG1sLnhtbFBLBQYAAAAABgAGAFsBAACwAwAA&#10;AAA=&#10;" path="m430,430l0,0e">
                  <v:path o:connectlocs="430,551;0,121;0,121" o:connectangles="0,0,0"/>
                  <v:fill on="f" focussize="0,0"/>
                  <v:stroke weight="0.00141732283464567pt" color="#000000" joinstyle="round"/>
                  <v:imagedata o:title=""/>
                  <o:lock v:ext="edit" aspectratio="f"/>
                </v:shape>
                <v:shape id="Picture 147" o:spid="_x0000_s1026" o:spt="75" type="#_x0000_t75" style="position:absolute;left:5302;top:121;height:378;width:379;" filled="f" o:preferrelative="t" stroked="f" coordsize="21600,21600" o:gfxdata="UEsDBAoAAAAAAIdO4kAAAAAAAAAAAAAAAAAEAAAAZHJzL1BLAwQUAAAACACHTuJAhvNUMb4AAADd&#10;AAAADwAAAGRycy9kb3ducmV2LnhtbEWPQWvCQBCF7wX/wzJCL0U3aUU0unoQhOKlmPYHDNkxG83O&#10;huya2H/vHAq9zfDevPfNdv/wrRqoj01gA/k8A0VcBdtwbeDn+zhbgYoJ2WIbmAz8UoT9bvKyxcKG&#10;kc80lKlWEsKxQAMupa7QOlaOPMZ56IhFu4TeY5K1r7XtcZRw3+r3LFtqjw1Lg8OODo6qW3n3BuJp&#10;8RbGNN6b4VB+XN1XfjljbszrNM82oBI90r/57/rTCv56IfzyjYygd0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vNUMb4A&#10;AADdAAAADwAAAAAAAAABACAAAAAiAAAAZHJzL2Rvd25yZXYueG1sUEsBAhQAFAAAAAgAh07iQDMv&#10;BZ47AAAAOQAAABAAAAAAAAAAAQAgAAAADQEAAGRycy9zaGFwZXhtbC54bWxQSwUGAAAAAAYABgBb&#10;AQAAtwMAAAAA&#10;">
                  <v:fill on="f" focussize="0,0"/>
                  <v:stroke on="f"/>
                  <v:imagedata r:id="rId40" o:title=""/>
                  <o:lock v:ext="edit" aspectratio="t"/>
                </v:shape>
              </v:group>
            </w:pict>
          </mc:Fallback>
        </mc:AlternateContent>
      </w:r>
      <w:r>
        <w:rPr>
          <w:rFonts w:hint="eastAsia" w:ascii="宋体" w:hAnsi="宋体" w:eastAsia="宋体" w:cs="宋体"/>
          <w:lang w:val="en-US" w:bidi="ar-SA"/>
        </w:rPr>
        <mc:AlternateContent>
          <mc:Choice Requires="wpg">
            <w:drawing>
              <wp:anchor distT="0" distB="0" distL="114300" distR="114300" simplePos="0" relativeHeight="251669504" behindDoc="1" locked="0" layoutInCell="1" allowOverlap="1">
                <wp:simplePos x="0" y="0"/>
                <wp:positionH relativeFrom="page">
                  <wp:posOffset>4424045</wp:posOffset>
                </wp:positionH>
                <wp:positionV relativeFrom="paragraph">
                  <wp:posOffset>12065</wp:posOffset>
                </wp:positionV>
                <wp:extent cx="381000" cy="274320"/>
                <wp:effectExtent l="5080" t="4445" r="13970" b="6985"/>
                <wp:wrapNone/>
                <wp:docPr id="6" name="Group 148"/>
                <wp:cNvGraphicFramePr/>
                <a:graphic xmlns:a="http://schemas.openxmlformats.org/drawingml/2006/main">
                  <a:graphicData uri="http://schemas.microsoft.com/office/word/2010/wordprocessingGroup">
                    <wpg:wgp>
                      <wpg:cNvGrpSpPr/>
                      <wpg:grpSpPr>
                        <a:xfrm>
                          <a:off x="0" y="0"/>
                          <a:ext cx="381000" cy="274320"/>
                          <a:chOff x="6755" y="132"/>
                          <a:chExt cx="600" cy="432"/>
                        </a:xfrm>
                      </wpg:grpSpPr>
                      <wps:wsp>
                        <wps:cNvPr id="1942" name="AutoShape 149"/>
                        <wps:cNvSpPr/>
                        <wps:spPr bwMode="auto">
                          <a:xfrm>
                            <a:off x="9370" y="-152980"/>
                            <a:ext cx="179573" cy="143784"/>
                          </a:xfrm>
                          <a:custGeom>
                            <a:avLst/>
                            <a:gdLst>
                              <a:gd name="T0" fmla="+- 0 6755 9371"/>
                              <a:gd name="T1" fmla="*/ T0 w 179573"/>
                              <a:gd name="T2" fmla="+- 0 563 -152980"/>
                              <a:gd name="T3" fmla="*/ 563 h 143784"/>
                              <a:gd name="T4" fmla="+- 0 7355 9371"/>
                              <a:gd name="T5" fmla="*/ T4 w 179573"/>
                              <a:gd name="T6" fmla="+- 0 563 -152980"/>
                              <a:gd name="T7" fmla="*/ 563 h 143784"/>
                              <a:gd name="T8" fmla="+- 0 7355 9371"/>
                              <a:gd name="T9" fmla="*/ T8 w 179573"/>
                              <a:gd name="T10" fmla="+- 0 563 -152980"/>
                              <a:gd name="T11" fmla="*/ 563 h 143784"/>
                              <a:gd name="T12" fmla="+- 0 7355 9371"/>
                              <a:gd name="T13" fmla="*/ T12 w 179573"/>
                              <a:gd name="T14" fmla="+- 0 132 -152980"/>
                              <a:gd name="T15" fmla="*/ 132 h 143784"/>
                              <a:gd name="T16" fmla="+- 0 6755 9371"/>
                              <a:gd name="T17" fmla="*/ T16 w 179573"/>
                              <a:gd name="T18" fmla="+- 0 132 -152980"/>
                              <a:gd name="T19" fmla="*/ 132 h 143784"/>
                              <a:gd name="T20" fmla="+- 0 6756 9371"/>
                              <a:gd name="T21" fmla="*/ T20 w 179573"/>
                              <a:gd name="T22" fmla="+- 0 132 -152980"/>
                              <a:gd name="T23" fmla="*/ 132 h 143784"/>
                              <a:gd name="T24" fmla="+- 0 6755 9371"/>
                              <a:gd name="T25" fmla="*/ T24 w 179573"/>
                              <a:gd name="T26" fmla="+- 0 132 -152980"/>
                              <a:gd name="T27" fmla="*/ 132 h 143784"/>
                              <a:gd name="T28" fmla="+- 0 6755 9371"/>
                              <a:gd name="T29" fmla="*/ T28 w 179573"/>
                              <a:gd name="T30" fmla="+- 0 563 -152980"/>
                              <a:gd name="T31" fmla="*/ 563 h 143784"/>
                              <a:gd name="T32" fmla="+- 0 6756 9371"/>
                              <a:gd name="T33" fmla="*/ T32 w 179573"/>
                              <a:gd name="T34" fmla="+- 0 563 -152980"/>
                              <a:gd name="T35" fmla="*/ 563 h 143784"/>
                              <a:gd name="T36" fmla="+- 0 7355 9371"/>
                              <a:gd name="T37" fmla="*/ T36 w 179573"/>
                              <a:gd name="T38" fmla="+- 0 563 -152980"/>
                              <a:gd name="T39" fmla="*/ 563 h 143784"/>
                              <a:gd name="T40" fmla="+- 0 7355 9371"/>
                              <a:gd name="T41" fmla="*/ T40 w 179573"/>
                              <a:gd name="T42" fmla="+- 0 132 -152980"/>
                              <a:gd name="T43" fmla="*/ 132 h 143784"/>
                              <a:gd name="T44" fmla="+- 0 7355 9371"/>
                              <a:gd name="T45" fmla="*/ T44 w 179573"/>
                              <a:gd name="T46" fmla="+- 0 132 -152980"/>
                              <a:gd name="T47" fmla="*/ 132 h 14378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179573" h="143784">
                                <a:moveTo>
                                  <a:pt x="-2616" y="153543"/>
                                </a:moveTo>
                                <a:lnTo>
                                  <a:pt x="-2016" y="153543"/>
                                </a:lnTo>
                                <a:moveTo>
                                  <a:pt x="-2016" y="153112"/>
                                </a:moveTo>
                                <a:lnTo>
                                  <a:pt x="-2616" y="153112"/>
                                </a:lnTo>
                                <a:lnTo>
                                  <a:pt x="-2615" y="153112"/>
                                </a:lnTo>
                                <a:moveTo>
                                  <a:pt x="-2616" y="153112"/>
                                </a:moveTo>
                                <a:lnTo>
                                  <a:pt x="-2616" y="153543"/>
                                </a:lnTo>
                                <a:lnTo>
                                  <a:pt x="-2615" y="153543"/>
                                </a:lnTo>
                                <a:moveTo>
                                  <a:pt x="-2016" y="153543"/>
                                </a:moveTo>
                                <a:lnTo>
                                  <a:pt x="-2016" y="153112"/>
                                </a:lnTo>
                              </a:path>
                            </a:pathLst>
                          </a:custGeom>
                          <a:noFill/>
                          <a:ln w="30">
                            <a:solidFill>
                              <a:srgbClr val="000000"/>
                            </a:solidFill>
                            <a:round/>
                          </a:ln>
                        </wps:spPr>
                        <wps:bodyPr rot="0" vert="horz" wrap="square" lIns="91440" tIns="45720" rIns="91440" bIns="45720" anchor="t" anchorCtr="0" upright="1">
                          <a:noAutofit/>
                        </wps:bodyPr>
                      </wps:wsp>
                      <pic:pic xmlns:pic="http://schemas.openxmlformats.org/drawingml/2006/picture">
                        <pic:nvPicPr>
                          <pic:cNvPr id="1943" name="Picture 150"/>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a:xfrm>
                            <a:off x="6755" y="132"/>
                            <a:ext cx="323" cy="290"/>
                          </a:xfrm>
                          <a:prstGeom prst="rect">
                            <a:avLst/>
                          </a:prstGeom>
                          <a:noFill/>
                        </pic:spPr>
                      </pic:pic>
                      <wps:wsp>
                        <wps:cNvPr id="1944" name="AutoShape 151"/>
                        <wps:cNvSpPr/>
                        <wps:spPr bwMode="auto">
                          <a:xfrm>
                            <a:off x="9370" y="-152980"/>
                            <a:ext cx="179573" cy="143784"/>
                          </a:xfrm>
                          <a:custGeom>
                            <a:avLst/>
                            <a:gdLst>
                              <a:gd name="T0" fmla="+- 0 6755 9371"/>
                              <a:gd name="T1" fmla="*/ T0 w 179573"/>
                              <a:gd name="T2" fmla="+- 0 517 -152980"/>
                              <a:gd name="T3" fmla="*/ 517 h 143784"/>
                              <a:gd name="T4" fmla="+- 0 7184 9371"/>
                              <a:gd name="T5" fmla="*/ T4 w 179573"/>
                              <a:gd name="T6" fmla="+- 0 132 -152980"/>
                              <a:gd name="T7" fmla="*/ 132 h 143784"/>
                              <a:gd name="T8" fmla="+- 0 7184 9371"/>
                              <a:gd name="T9" fmla="*/ T8 w 179573"/>
                              <a:gd name="T10" fmla="+- 0 132 -152980"/>
                              <a:gd name="T11" fmla="*/ 132 h 143784"/>
                              <a:gd name="T12" fmla="+- 0 6810 9371"/>
                              <a:gd name="T13" fmla="*/ T12 w 179573"/>
                              <a:gd name="T14" fmla="+- 0 563 -152980"/>
                              <a:gd name="T15" fmla="*/ 563 h 143784"/>
                              <a:gd name="T16" fmla="+- 0 7290 9371"/>
                              <a:gd name="T17" fmla="*/ T16 w 179573"/>
                              <a:gd name="T18" fmla="+- 0 132 -152980"/>
                              <a:gd name="T19" fmla="*/ 132 h 143784"/>
                              <a:gd name="T20" fmla="+- 0 7290 9371"/>
                              <a:gd name="T21" fmla="*/ T20 w 179573"/>
                              <a:gd name="T22" fmla="+- 0 132 -152980"/>
                              <a:gd name="T23" fmla="*/ 132 h 143784"/>
                              <a:gd name="T24" fmla="+- 0 6916 9371"/>
                              <a:gd name="T25" fmla="*/ T24 w 179573"/>
                              <a:gd name="T26" fmla="+- 0 563 -152980"/>
                              <a:gd name="T27" fmla="*/ 563 h 143784"/>
                              <a:gd name="T28" fmla="+- 0 7355 9371"/>
                              <a:gd name="T29" fmla="*/ T28 w 179573"/>
                              <a:gd name="T30" fmla="+- 0 169 -152980"/>
                              <a:gd name="T31" fmla="*/ 169 h 143784"/>
                              <a:gd name="T32" fmla="+- 0 7355 9371"/>
                              <a:gd name="T33" fmla="*/ T32 w 179573"/>
                              <a:gd name="T34" fmla="+- 0 169 -152980"/>
                              <a:gd name="T35" fmla="*/ 169 h 14378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79573" h="143784">
                                <a:moveTo>
                                  <a:pt x="-2616" y="153497"/>
                                </a:moveTo>
                                <a:lnTo>
                                  <a:pt x="-2187" y="153112"/>
                                </a:lnTo>
                                <a:moveTo>
                                  <a:pt x="-2561" y="153543"/>
                                </a:moveTo>
                                <a:lnTo>
                                  <a:pt x="-2081" y="153112"/>
                                </a:lnTo>
                                <a:moveTo>
                                  <a:pt x="-2455" y="153543"/>
                                </a:moveTo>
                                <a:lnTo>
                                  <a:pt x="-2016" y="153149"/>
                                </a:lnTo>
                              </a:path>
                            </a:pathLst>
                          </a:custGeom>
                          <a:noFill/>
                          <a:ln w="30">
                            <a:solidFill>
                              <a:srgbClr val="000000"/>
                            </a:solidFill>
                            <a:round/>
                          </a:ln>
                        </wps:spPr>
                        <wps:bodyPr rot="0" vert="horz" wrap="square" lIns="91440" tIns="45720" rIns="91440" bIns="45720" anchor="t" anchorCtr="0" upright="1">
                          <a:noAutofit/>
                        </wps:bodyPr>
                      </wps:wsp>
                      <pic:pic xmlns:pic="http://schemas.openxmlformats.org/drawingml/2006/picture">
                        <pic:nvPicPr>
                          <pic:cNvPr id="1945" name="Picture 152"/>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a:xfrm>
                            <a:off x="7021" y="263"/>
                            <a:ext cx="334" cy="300"/>
                          </a:xfrm>
                          <a:prstGeom prst="rect">
                            <a:avLst/>
                          </a:prstGeom>
                          <a:noFill/>
                        </pic:spPr>
                      </pic:pic>
                    </wpg:wgp>
                  </a:graphicData>
                </a:graphic>
              </wp:anchor>
            </w:drawing>
          </mc:Choice>
          <mc:Fallback>
            <w:pict>
              <v:group id="Group 148" o:spid="_x0000_s1026" o:spt="203" style="position:absolute;left:0pt;margin-left:348.35pt;margin-top:0.95pt;height:21.6pt;width:30pt;mso-position-horizontal-relative:page;z-index:-251646976;mso-width-relative:page;mso-height-relative:page;" coordorigin="6755,132" coordsize="600,432" o:gfxdata="UEsDBAoAAAAAAIdO4kAAAAAAAAAAAAAAAAAEAAAAZHJzL1BLAwQUAAAACACHTuJAPgknodcAAAAI&#10;AQAADwAAAGRycy9kb3ducmV2LnhtbE2PQUvDQBCF74L/YRnBm92smtTGbIoU9VQEW0G8bbPTJDQ7&#10;G7LbpP33Tk96fHyPN98Uy5PrxIhDaD1pULMEBFLlbUu1hq/t290TiBANWdN5Qg1nDLAsr68Kk1s/&#10;0SeOm1gLHqGQGw1NjH0uZagadCbMfI/EbO8HZyLHoZZ2MBOPu07eJ0kmnWmJLzSmx1WD1WFzdBre&#10;JzO9PKjXcX3Yr84/2/Tje61Q69sblTyDiHiKf2W46LM6lOy080eyQXQaskU25yqDBQjm8/SSdxoe&#10;UwWyLOT/B8pfUEsDBBQAAAAIAIdO4kBI6jxMOAcAAHQiAAAOAAAAZHJzL2Uyb0RvYy54bWztWmGP&#10;m0YQ/V6p/wHxsZVjFrCx0fmiqy+JIqXtqaE/AAM2qJilCz5fUvW/d2aXhYXzEnptk7ZJpNyBGYa3&#10;780u+8Z39fzhmBv3CasyWmxM8swyjaSIaJwVh435c/BytjKNqg6LOMxpkWzMd0llPr/++qurc+kn&#10;Nk1pHifMgCRF5Z/LjZnWdenP51WUJsewekbLpICLe8qOYQ2n7DCPWXiG7Md8blvWcn6mLC4ZjZKq&#10;gk9vxUWzycimJKT7fRYltzQ6HZOiFllZkoc1DKlKs7Iyrzna/T6J6h/3+yqpjXxjwkhr/hMeAsc7&#10;/Dm/vgr9AwvLNIsaCOEUCIMxHcOsgIe2qW7DOjROLHuU6phFjFZ0Xz+L6HEuBsIZgVEQa8DNK0ZP&#10;JR/LwT8fypZ0EGrA+pPTRj/c3zEjizfm0jSK8AiC86caxF0hOefy4EPMK1a+Le9Y88FBnOF4H/bs&#10;iL9hJMYDp/VdS2vyUBsRfOisiGUB4RFcsj3XsRvaoxS0wbuW3mJhGnCVOLZQJEpfNDcv5Z1wH16b&#10;y2fOEVqL5FxCNVYdRdVfo+htGpYJZ77C4TcUkbVrS5ZuTjXlUcDUWjDFQ1uaKr8Cxozd+XsaA6sh&#10;xPMKGTC2djygBsY+Iwt7vWqokdQRb73wHEEdcR1v5fY4CP3oVNWvEso1CO/fVLUo6BiOeDnGjagB&#10;PGR/zKG2v50ZloGMG/BoIug+tGFEhn0zNwLLOBsNgiatzAY0KNkWS8fowe/yAXYRCPkwLAW65DBg&#10;trTPdWUch+c5GnhQJm26wNXCg1qeBs+TgR+AB2uiklALby3DkL2VFh7pizFCH1H1GOOP9BXRIiSq&#10;IAGx9Rj7isDM1ElMVFEwTqcx6cuir0FVlYAs9Rj7soxhVJUZwwhrk6o0YFxenCe2Kkxgj8yUvjAj&#10;GG1VmlGMfWm0PNqqMIGtny52X5gxjKo0oxj70ugxqsIEtn7OOH1hRuaMo0ozNmfghTJJa0cVJoAC&#10;162KTl+YMYyqNKMY+9Jo57WjChM4+jnj9IUZw6hKM4bR7UujxeiqwgSufs7gW1ZZbkfq0VWlGatH&#10;ty+NHqMqTODq54zbF2YMoyrNECNsZw7yZR2m8v0dPRTNCxyOjBB35hbfPJS0wg1TAEzCliFwmt0A&#10;ROHbXhMMQ8Jgb1IwiI7B8OIRm63x1Pg64eGLaeFABQ/nOyYY+3h2XGQxHFbGKWBwvePh00ZqN0OF&#10;9WJKdlwFMLszbag4IXn4tKHi3MBwKOgpYNxmqG5vqILQpnIYeJ+h62Hc9ezwEaFfhjUWnDw0zrD/&#10;brabKRyKbRpePdL7JKA8rsbqm9lLfJUDXLJwFi3iLiwv+uHWpXAZ1N1WNtmVcAL7GsFHFyZvlOEK&#10;mC5cBsnfXbBgDpA/Du6e0YW3A+3Cu7DH2dvwjhcZJH93uVsoj4O7Z8hwhZUuvAsbZlfCO+QiCMoE&#10;tedeqi0CrB3FSxT0ZZbnvE7yAksD3r9YARXNsxgv8RN22G1zZtyH6K75v0atXhi42CIWKuawToFx&#10;E94I3WXl72j8DnwSo8KbQ2cCDlLK3pvGGXz5xqx+PYUsMY38dQGubk1cfN/U/MRdeLhhY+qVnXol&#10;LCJItTFrE1ZRPNzWwvyfSpYdUngS4cMqKPq5fYb2ieMTqJoTMJbXV2UW+fC/MeFw9Mhhfrj1AXfV&#10;JxiLyFbc32XRHRMnPZcJS43w4hCANxhkwY0h3M/tqLgNZMyiNzT6pTIKuk3hNZHcVCVMexxV9xFj&#10;9JwmYQzkiZWun2WOpz0ouzwrpcR4/Pe2ZgzmJ8ddEm9M9joW7IPbbRYi9L28bfKbvbqxrLX93Wy7&#10;sLYz1/JezG7WrjfzrBeea7krsiXb31E74vqnKgEawvy2zGQPh7iP5LnYI2n6OKL7wrs4TTU3hQyA&#10;+DyREGGaICWi+qOfgGw+R6qaJXUEUyr09zA5ms8huL3Aae6YRdKxP4B3DDoCuFcWq6vshiArvJGC&#10;FoF3Uda8HCC/vLdkog9g4AFQC8CQHF/2BCBUhuDH7fTmsAQQfgi4xLT8GM0U2JOJMleaKQteo7gw&#10;wIz4LJspxNM5bVC/7X4sIExntAd7XbJyL3pYqLI23eRmyshGd2yfq/Z6+g7E08FT7cf0ZsoIvl4z&#10;ZbgRVwEOmilL6F9eJPCpzZQR09VrpoyZrkEzxbPXGoyqKp+2maLFiPv8rhI/bTNlDf2mS43RpzZT&#10;RrS2VWnGtLYHM0bXHUVHo/A4uZlClmvtkqNKg3G6NWfQTNEa7Kc2U8YwqgvZECO8+L4YbF1nACce&#10;us5/scEG/aBJ8HE9rbuWtlrvr8hKGPyJRnKxFFRPdcyrNnzo3i75cVfuGP+0H2++vAKWv3jD/4Y3&#10;hMVu6A15j6Tv6v4H3tDmBkYar9BHF/S5e0PPapZse8kbhYIV7g3xywf0hg58YS6aLf+IN+Rfu8Mf&#10;I3BX3PzhBP61g3rO2ybdH4tc/wFQSwMECgAAAAAAh07iQAAAAAAAAAAAAAAAAAoAAABkcnMvbWVk&#10;aWEvUEsDBBQAAAAIAIdO4kArjEIQ+gUAAPUFAAAUAAAAZHJzL21lZGlhL2ltYWdlMS5wbmcB9QUK&#10;+olQTkcNChoKAAAADUlIRFIAAAArAAAAJggGAAAAXcNiHgAAAAZiS0dEAP8A/wD/oL2nkwAAAAlw&#10;SFlzAAAOxAAADsQBlSsOGwAABZVJREFUWIXFmH1ME3cYx5/rewuUAna8aQF57WQIKMJQ5hzCmIou&#10;zC6EEEEmLLiQTDPdDE6YI9PNDBPiiDAZLIQQO4mDMRGGc3aowBCGzALCABmlCIVSoO/0fvsLolP0&#10;1w7LH7+kvbvP83yey13v+gWBQPDAZDJREEKAs/r6+nx8fHz6AABNTk464nITExOrIiIibgMAamlp&#10;2YTLaTQadkJCQhUAICBJksAFW1paNvH5/HEnJyfFrVu3XsXl+vv7vX19fe8zmUzdpUuX3sHlFAqF&#10;U2Rk5E2CIMj8/PxDWBBCCGpqauLZbLZm7dq1f/f29vrhcq2trWF8Pn/c0dFxsqmpaTMuNzAw4OXv&#10;79/DYDD0YrFYhBACLPD8+fPvUygU08aNG/8YGxtzxm1YW1u7k8PhqD09PQe7u7sDcLm2trYNzs7O&#10;YzweTymRSKIWtj8TIkmSyM7OzgMAtGPHjp9nZ2dtcRsWFxenU6nU+dDQ0DtyudwFl6urq4uzsbGZ&#10;EwgED6RSqfDRfUtCer2esW/fvu8BAKWnpxcbjUYaTjOSJIkTJ058BgAoLi6uzpwBS0pK0qhU6nxw&#10;cHCHTCZz++/+p0IqlYq7ffv2XwAAnTx58lPcm9BgMNBTU1NLAQDt37//O4PBQMcdMDc3NwcAUExM&#10;TINKpeI+7bgnNshkMrf169f/SaPRjKWlpam4Z2VmZsYuNja2HgBQTk5OrjkDpqWllQAASklJKXvW&#10;gI99uXfv3ssCgeCBra3tbH19fSyu6OjoqGtISEg7lUqdv3Dhwnu43OzsrG1cXFwdAKDjx49//rwB&#10;Fz/cuHHjNR6Pp3RxcZG3t7eH4DaUSqVCDw+PIRsbm7krV668hcvJ5XKX0NDQOxQKxVRUVJSBwwBC&#10;CC5evPgug8HQC4VC6dDQkAduQ4lEEuXg4DDl7Ow81tbWtgGX6+np8ff09BzkcDjq2tranbgc5Ofn&#10;HwIAtGXLlt/NeXyKxWIRk8nU+fn59Q4MDHjhck1NTZsdHR0n+Xz+eGtraxguhxACAAAkEonEWq2W&#10;hQudPXv2Q4IgyMjIyJsKhcIJl6uqqkpgsVhaX1/f+/39/d7miCKEAKqrq3fjvsiYTCbK4cOHvwYA&#10;lJCQUKXRaNi4jQoKCrIIgiAjIiJuT0xMrDJXdPGaxVlarZYlEonEAICysrIK5ufnqbgDHjly5CsA&#10;QHv27PlRrVZzLBHFlp2amnKIioqSAAA6c+bMR7i/oTqdjpmYmFgJAOjgwYPf4A5osezQ0JCHUCiU&#10;MhgMfWVlZSJuYaVSydu6detvAIBOnz79sTmvohbJdnR0BLu6uo7a29tPX79+/XXcosPDw2vWrVv3&#10;F51ON1RUVCT9X8nnyjY0NMTY2dnNrF69+p+urq5A3IKdnZ1Bbm5uMi6Xq7p27dobyyW6pGxZWVkK&#10;jUYzBgUFdY6MjLjjFmtsbIzmcrkqd3f3kbt3776ynKJPyJIkSeTl5WUDAIqOjm6cnp62xy1UXl6e&#10;TKfTDYGBgV3Dw8Nrllv0MVmj0UjLyMgoAgCUnJxcrtfrGTgFSJIkTp069QkAoG3btv2qVCp5L0J0&#10;UXZubs5m165dPwEAOnbs2Be4d67RaKRlZmYWAgBKSkqq0Ol0zBclihACePjw4UthYWGtFArFVFhY&#10;mIkLqtVqTnx8fA0AoKNHj35pzt95i2W9vb372Wy2prq6ejcuND4+zg8PD28mCII8d+7cBy9aclE2&#10;JCSkvbm5ORwXWAg5WCyW9vLly29bSxQhBFYJOZZNFvfAhZDDy8trwJyQw+qyloYcVpX9PyGHVWUf&#10;DTkOHDjwLW7IYXVZS0MOq8suhBxUKnXenJDD6rKPhhxXr159c6XllpS1NOSwuuxCyBEQENA9ODjo&#10;udJSS8paGnKsiCwAoL179/5gTsixUutfbey6iDfVXhwAAAAASUVORK5CYIJQSwMEFAAAAAgAh07i&#10;QIUT7rdeAwAAWQMAABQAAABkcnMvbWVkaWEvaW1hZ2UyLnBuZwFZA6b8iVBORw0KGgoAAAANSUhE&#10;UgAAAC0AAAAoCAYAAABq13MpAAAABmJLR0QA/wD/AP+gvaeTAAAACXBIWXMAAA7EAAAOxAGVKw4b&#10;AAAC+UlEQVRYhdWUPWgTYRjHn5wkaUJIrAQDCe2Q6NAUXVq0S1vtFlBwCPVjCQno2A91baCubf0Y&#10;W7C4NK1kCCTQLam6mKBLi3VodUhQSClNLYdJPHr3OB2cx+XuvTeXXB3+y93zcD947v8DRIT/IY1G&#10;oycajaYBwHwYkhwdHV0YHR39AAC4tLT02HQgrZTL5f6BgYGvNpvtz8bGxl1EBNOh1LK9vX3V7/f/&#10;9Hg8v7a2tm6Iz00Ha5V8Pj/hdrtPAoHAj52dnSvSd6bDKWVtbe2B1WrlBgcHv1QqlT75e9MBpREE&#10;wbKwsPAUAHB8fPzd8fHxeaU500HFnJ6enpuamnoFADg5Ofm22WzaW82aDov4r4NnZ2ef8zzPqM2b&#10;Dix3MMmOqcBKDj7T0K0crBVBECymAKs5WC3VatU3MjLysevAWg5ulb29vcvBYPC73W5vdg2W1MFK&#10;KRaL171e76HX6z0slUrXugKsx8HyZLPZ2w6Hox4Khb7t7+9fQuxCEfU6WJrl5eVHDMPww8PDnw4O&#10;Di6KzzsKTONg8Veam5t7BgAYiUQ2WZZ1Sd93DLhcLveHw+FdvQ7mOM4aj8dXAQATicRrjuOs8pmO&#10;ANM6mGVZVyQS2QQATCaT84IgWJTmDAdux8FDQ0OfGYbhV1ZWHqrNGgqcSqXut+Ngp9P5O5fL3dKa&#10;NwRWEATL4uLiEwDAsbGx97VarZd0V+5gkp22gXmeZ6anp1+KDm40Gj2ku0oO7ji01MEzMzMvjHCw&#10;ViqVSh81cK1W6+2Eg9WSz+cnXC4XSwUsdfD6+vo90j0SB7eKWPJwOLyrG1h0sNvtPikUCjdJ90gd&#10;rHQZecl1AXfDwdK0KjkxcLccLEat5FTnIf0wjYMRtUtOdR6S0DqYpORU59EKrYNJS051HrVfqR0H&#10;k5ac6jxKMcLBpCWnOo88RjqYZI/qPNIY7WBi6LPkYK2k0+konDUHq/1KyWRyHgAQaM5Tr9cdPp+v&#10;qtfBiAixWOyN3pIjImQymTsAgPF4fPUvy26NpBSk5LwAAAAASUVORK5CYI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AoAAAAAAIdO&#10;4kAAAAAAAAAAAAAAAAAKAAAAZHJzL19yZWxzL1BLAwQUAAAACACHTuJALmzwAL8AAAClAQAAGQAA&#10;AGRycy9fcmVscy9lMm9Eb2MueG1sLnJlbHO9kMGKwjAQhu8L+w5h7tu0PSyymPYigldxH2BIpmmw&#10;mYQkir69gWVBQfDmcWb4v/9j1uPFL+JMKbvACrqmBUGsg3FsFfwetl8rELkgG1wCk4IrZRiHz4/1&#10;nhYsNZRnF7OoFM4K5lLij5RZz+QxNyES18sUksdSx2RlRH1ES7Jv22+Z7hkwPDDFzihIO9ODOFxj&#10;bX7NDtPkNG2CPnni8qRCOl+7KxCTpaLAk3H4t+ybyBbkc4fuPQ7dv4N8eO5wA1BLAwQUAAAACACH&#10;TuJAeee6BAQBAAATAgAAEwAAAFtDb250ZW50X1R5cGVzXS54bWyVkcFOwzAMhu9IvEOUK2pTdkAI&#10;rd2BjiMgNB4gStw2onGiOJTt7Um6TYKJIe0Y29/vL8lytbUjmyCQcVjz27LiDFA5bbCv+fvmqbjn&#10;jKJELUeHUPMdEF8111fLzc4DsUQj1XyI0T8IQWoAK6l0HjB1OhesjOkYeuGl+pA9iEVV3QnlMALG&#10;IuYM3ixb6OTnGNl6m8p7E489Z4/7ubyq5sZmPtfFn0SAkU4Q6f1olIzpbmJCfeJVHJzKRM4zNBhP&#10;N0n8zIbc+e30c8GBe0mPGYwG9ipDfJY2mQsdSGj3hQGm8v+QbGmpcF1nFJRtoDZhbzAdrc6lw8K1&#10;Tl0avp6pY7aYv7T5BlBLAQIUABQAAAAIAIdO4kB557oEBAEAABMCAAATAAAAAAAAAAEAIAAAAKoU&#10;AABbQ29udGVudF9UeXBlc10ueG1sUEsBAhQACgAAAAAAh07iQAAAAAAAAAAAAAAAAAYAAAAAAAAA&#10;AAAQAAAAbhIAAF9yZWxzL1BLAQIUABQAAAAIAIdO4kCKFGY80QAAAJQBAAALAAAAAAAAAAEAIAAA&#10;AJISAABfcmVscy8ucmVsc1BLAQIUAAoAAAAAAIdO4kAAAAAAAAAAAAAAAAAEAAAAAAAAAAAAEAAA&#10;AAAAAABkcnMvUEsBAhQACgAAAAAAh07iQAAAAAAAAAAAAAAAAAoAAAAAAAAAAAAQAAAAjBMAAGRy&#10;cy9fcmVscy9QSwECFAAUAAAACACHTuJALmzwAL8AAAClAQAAGQAAAAAAAAABACAAAAC0EwAAZHJz&#10;L19yZWxzL2Uyb0RvYy54bWwucmVsc1BLAQIUABQAAAAIAIdO4kA+CSeh1wAAAAgBAAAPAAAAAAAA&#10;AAEAIAAAACIAAABkcnMvZG93bnJldi54bWxQSwECFAAUAAAACACHTuJASOo8TDgHAAB0IgAADgAA&#10;AAAAAAABACAAAAAmAQAAZHJzL2Uyb0RvYy54bWxQSwECFAAKAAAAAACHTuJAAAAAAAAAAAAAAAAA&#10;CgAAAAAAAAAAABAAAACKCAAAZHJzL21lZGlhL1BLAQIUABQAAAAIAIdO4kArjEIQ+gUAAPUFAAAU&#10;AAAAAAAAAAEAIAAAALIIAABkcnMvbWVkaWEvaW1hZ2UxLnBuZ1BLAQIUABQAAAAIAIdO4kCFE+63&#10;XgMAAFkDAAAUAAAAAAAAAAEAIAAAAN4OAABkcnMvbWVkaWEvaW1hZ2UyLnBuZ1BLBQYAAAAACwAL&#10;AJQCAADfFQAAAAA=&#10;">
                <o:lock v:ext="edit" aspectratio="f"/>
                <v:shape id="AutoShape 149" o:spid="_x0000_s1026" o:spt="100" style="position:absolute;left:9370;top:-152980;height:143784;width:179573;" filled="f" stroked="t" coordsize="179573,143784" o:gfxdata="UEsDBAoAAAAAAIdO4kAAAAAAAAAAAAAAAAAEAAAAZHJzL1BLAwQUAAAACACHTuJAWCXU3b4AAADd&#10;AAAADwAAAGRycy9kb3ducmV2LnhtbEVPTWvCQBC9F/oflin0InVjsKFGN6FUxBZ6qYrnITsmwd3Z&#10;NLsa/fduQehtHu9zFuXFGnGm3reOFUzGCQjiyumWawW77erlDYQPyBqNY1JwJQ9l8fiwwFy7gX/o&#10;vAm1iCHsc1TQhNDlUvqqIYt+7DriyB1cbzFE2NdS9zjEcGtkmiSZtNhybGiwo4+GquPmZBWshy+z&#10;/c2ur2szWn53yxTT9z0q9fw0SeYgAl3Cv/ju/tRx/myawt838QRZ3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CXU3b4A&#10;AADdAAAADwAAAAAAAAABACAAAAAiAAAAZHJzL2Rvd25yZXYueG1sUEsBAhQAFAAAAAgAh07iQDMv&#10;BZ47AAAAOQAAABAAAAAAAAAAAQAgAAAADQEAAGRycy9zaGFwZXhtbC54bWxQSwUGAAAAAAYABgBb&#10;AQAAtwMAAAAA&#10;" path="m-2616,153543l-2016,153543m-2016,153112l-2616,153112,-2615,153112m-2616,153112l-2616,153543,-2615,153543m-2016,153543l-2016,153112e">
                  <v:path o:connectlocs="-2616,563;-2016,563;-2016,563;-2016,132;-2616,132;-2615,132;-2616,132;-2616,563;-2615,563;-2016,563;-2016,132;-2016,132" o:connectangles="0,0,0,0,0,0,0,0,0,0,0,0"/>
                  <v:fill on="f" focussize="0,0"/>
                  <v:stroke weight="0.00236220472440945pt" color="#000000" joinstyle="round"/>
                  <v:imagedata o:title=""/>
                  <o:lock v:ext="edit" aspectratio="f"/>
                </v:shape>
                <v:shape id="Picture 150" o:spid="_x0000_s1026" o:spt="75" type="#_x0000_t75" style="position:absolute;left:6755;top:132;height:290;width:323;" filled="f" o:preferrelative="t" stroked="f" coordsize="21600,21600" o:gfxdata="UEsDBAoAAAAAAIdO4kAAAAAAAAAAAAAAAAAEAAAAZHJzL1BLAwQUAAAACACHTuJApbQi8rwAAADd&#10;AAAADwAAAGRycy9kb3ducmV2LnhtbEVP22oCMRB9L/gPYYS+1UQtpbsahRaFglLQ+gHjZvaCm8mS&#10;ZL38fSMIvs3hXGe+vNpWnMmHxrGG8UiBIC6cabjScPhbv32CCBHZYOuYNNwowHIxeJljbtyFd3Te&#10;x0qkEA45aqhj7HIpQ1GTxTByHXHiSuctxgR9JY3HSwq3rZwo9SEtNpwaauzou6bitO+tBnXry+1h&#10;lWWTrLRf/fH3uJluvNavw7GagYh0jU/xw/1j0vzsfQr3b9IJcvE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W0IvK8AAAA&#10;3QAAAA8AAAAAAAAAAQAgAAAAIgAAAGRycy9kb3ducmV2LnhtbFBLAQIUABQAAAAIAIdO4kAzLwWe&#10;OwAAADkAAAAQAAAAAAAAAAEAIAAAAAsBAABkcnMvc2hhcGV4bWwueG1sUEsFBgAAAAAGAAYAWwEA&#10;ALUDAAAAAA==&#10;">
                  <v:fill on="f" focussize="0,0"/>
                  <v:stroke on="f"/>
                  <v:imagedata r:id="rId41" o:title=""/>
                  <o:lock v:ext="edit" aspectratio="t"/>
                </v:shape>
                <v:shape id="AutoShape 151" o:spid="_x0000_s1026" o:spt="100" style="position:absolute;left:9370;top:-152980;height:143784;width:179573;" filled="f" stroked="t" coordsize="179573,143784" o:gfxdata="UEsDBAoAAAAAAIdO4kAAAAAAAAAAAAAAAAAEAAAAZHJzL1BLAwQUAAAACACHTuJAuIDpMr0AAADd&#10;AAAADwAAAGRycy9kb3ducmV2LnhtbEVPTWvCQBC9C/6HZQq9FN0YVGrMRqRSrOClKp6H7JiE7s6m&#10;2a3Rf98tFLzN431OvrpZI67U+caxgsk4AUFcOt1wpeB0fB+9gvABWaNxTAru5GFVDAc5Ztr1/EnX&#10;Q6hEDGGfoYI6hDaT0pc1WfRj1xJH7uI6iyHCrpK6wz6GWyPTJJlLiw3Hhhpbequp/Dr8WAXbfmeO&#10;3/P7bGteNvt2k2K6PqNSz0+TZAki0C08xP/uDx3nL6ZT+PsmniCL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4gOkyvQAA&#10;AN0AAAAPAAAAAAAAAAEAIAAAACIAAABkcnMvZG93bnJldi54bWxQSwECFAAUAAAACACHTuJAMy8F&#10;njsAAAA5AAAAEAAAAAAAAAABACAAAAAMAQAAZHJzL3NoYXBleG1sLnhtbFBLBQYAAAAABgAGAFsB&#10;AAC2AwAAAAA=&#10;" path="m-2616,153497l-2187,153112m-2561,153543l-2081,153112m-2455,153543l-2016,153149e">
                  <v:path o:connectlocs="-2616,517;-2187,132;-2187,132;-2561,563;-2081,132;-2081,132;-2455,563;-2016,169;-2016,169" o:connectangles="0,0,0,0,0,0,0,0,0"/>
                  <v:fill on="f" focussize="0,0"/>
                  <v:stroke weight="0.00236220472440945pt" color="#000000" joinstyle="round"/>
                  <v:imagedata o:title=""/>
                  <o:lock v:ext="edit" aspectratio="f"/>
                </v:shape>
                <v:shape id="Picture 152" o:spid="_x0000_s1026" o:spt="75" type="#_x0000_t75" style="position:absolute;left:7021;top:263;height:300;width:334;" filled="f" o:preferrelative="t" stroked="f" coordsize="21600,21600" o:gfxdata="UEsDBAoAAAAAAIdO4kAAAAAAAAAAAAAAAAAEAAAAZHJzL1BLAwQUAAAACACHTuJASvJ3pMIAAADd&#10;AAAADwAAAGRycy9kb3ducmV2LnhtbEWPT2vCQBDF74LfYRmhF6mbSCs1ugptKVgPQo2IxyE7TdJm&#10;Z5Pd9d+3d4VCbzO8937zZr68mEacyPnasoJ0lIAgLqyuuVSwyz8eX0D4gKyxsUwKruRhuej35php&#10;e+YvOm1DKSKEfYYKqhDaTEpfVGTQj2xLHLVv6wyGuLpSaofnCDeNHCfJRBqsOV6osKW3iorf7dFE&#10;yqHbcPe5H6439XhyyPOf12v+rtTDIE1mIAJdwr/5L73Ssf706Rnu38QR5OIG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Ery&#10;d6TCAAAA3QAAAA8AAAAAAAAAAQAgAAAAIgAAAGRycy9kb3ducmV2LnhtbFBLAQIUABQAAAAIAIdO&#10;4kAzLwWeOwAAADkAAAAQAAAAAAAAAAEAIAAAABEBAABkcnMvc2hhcGV4bWwueG1sUEsFBgAAAAAG&#10;AAYAWwEAALsDAAAAAA==&#10;">
                  <v:fill on="f" focussize="0,0"/>
                  <v:stroke on="f"/>
                  <v:imagedata r:id="rId42" o:title=""/>
                  <o:lock v:ext="edit" aspectratio="t"/>
                </v:shape>
              </v:group>
            </w:pict>
          </mc:Fallback>
        </mc:AlternateContent>
      </w:r>
      <w:r>
        <w:rPr>
          <w:rFonts w:hint="eastAsia" w:ascii="宋体" w:hAnsi="宋体" w:eastAsia="宋体" w:cs="宋体"/>
          <w:position w:val="-16"/>
          <w:lang w:val="en-US" w:bidi="ar-SA"/>
        </w:rPr>
        <w:drawing>
          <wp:inline distT="0" distB="0" distL="0" distR="0">
            <wp:extent cx="341630" cy="270510"/>
            <wp:effectExtent l="0" t="0" r="1270" b="15240"/>
            <wp:docPr id="1946"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 name="image29.pn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a:xfrm>
                      <a:off x="0" y="0"/>
                      <a:ext cx="341630" cy="270510"/>
                    </a:xfrm>
                    <a:prstGeom prst="rect">
                      <a:avLst/>
                    </a:prstGeom>
                    <a:noFill/>
                    <a:ln>
                      <a:noFill/>
                    </a:ln>
                  </pic:spPr>
                </pic:pic>
              </a:graphicData>
            </a:graphic>
          </wp:inline>
        </w:drawing>
      </w:r>
      <w:r>
        <w:rPr>
          <w:rFonts w:hint="eastAsia" w:ascii="宋体" w:hAnsi="宋体" w:eastAsia="宋体" w:cs="宋体"/>
          <w:sz w:val="24"/>
        </w:rPr>
        <w:t xml:space="preserve">  0</w:t>
      </w:r>
      <w:r>
        <w:rPr>
          <w:rFonts w:hint="eastAsia" w:ascii="宋体" w:hAnsi="宋体" w:eastAsia="宋体" w:cs="宋体"/>
          <w:spacing w:val="28"/>
          <w:sz w:val="24"/>
        </w:rPr>
        <w:t xml:space="preserve"> </w:t>
      </w:r>
      <w:r>
        <w:rPr>
          <w:rFonts w:hint="eastAsia" w:ascii="宋体" w:hAnsi="宋体" w:eastAsia="宋体" w:cs="宋体"/>
          <w:spacing w:val="40"/>
          <w:sz w:val="24"/>
        </w:rPr>
        <w:t>区</w:t>
      </w:r>
      <w:r>
        <w:rPr>
          <w:rFonts w:hint="eastAsia" w:ascii="宋体" w:hAnsi="宋体" w:eastAsia="宋体" w:cs="宋体"/>
          <w:sz w:val="24"/>
        </w:rPr>
        <w:t>；</w:t>
      </w:r>
      <w:r>
        <w:rPr>
          <w:rFonts w:hint="eastAsia" w:ascii="宋体" w:hAnsi="宋体" w:eastAsia="宋体" w:cs="宋体"/>
          <w:sz w:val="24"/>
        </w:rPr>
        <w:tab/>
      </w:r>
      <w:r>
        <w:rPr>
          <w:rFonts w:hint="eastAsia" w:ascii="宋体" w:hAnsi="宋体" w:eastAsia="宋体" w:cs="宋体"/>
          <w:sz w:val="24"/>
        </w:rPr>
        <w:t>1</w:t>
      </w:r>
      <w:r>
        <w:rPr>
          <w:rFonts w:hint="eastAsia" w:ascii="宋体" w:hAnsi="宋体" w:eastAsia="宋体" w:cs="宋体"/>
          <w:spacing w:val="31"/>
          <w:sz w:val="24"/>
        </w:rPr>
        <w:t xml:space="preserve"> </w:t>
      </w:r>
      <w:r>
        <w:rPr>
          <w:rFonts w:hint="eastAsia" w:ascii="宋体" w:hAnsi="宋体" w:eastAsia="宋体" w:cs="宋体"/>
          <w:spacing w:val="38"/>
          <w:sz w:val="24"/>
        </w:rPr>
        <w:t>区</w:t>
      </w:r>
      <w:r>
        <w:rPr>
          <w:rFonts w:hint="eastAsia" w:ascii="宋体" w:hAnsi="宋体" w:eastAsia="宋体" w:cs="宋体"/>
          <w:sz w:val="24"/>
        </w:rPr>
        <w:t>；</w:t>
      </w:r>
      <w:r>
        <w:rPr>
          <w:rFonts w:hint="eastAsia" w:ascii="宋体" w:hAnsi="宋体" w:eastAsia="宋体" w:cs="宋体"/>
          <w:sz w:val="24"/>
        </w:rPr>
        <w:tab/>
      </w:r>
      <w:r>
        <w:rPr>
          <w:rFonts w:hint="eastAsia" w:ascii="宋体" w:hAnsi="宋体" w:eastAsia="宋体" w:cs="宋体"/>
          <w:sz w:val="24"/>
        </w:rPr>
        <w:t>2</w:t>
      </w:r>
      <w:r>
        <w:rPr>
          <w:rFonts w:hint="eastAsia" w:ascii="宋体" w:hAnsi="宋体" w:eastAsia="宋体" w:cs="宋体"/>
          <w:spacing w:val="31"/>
          <w:sz w:val="24"/>
        </w:rPr>
        <w:t xml:space="preserve"> </w:t>
      </w:r>
      <w:r>
        <w:rPr>
          <w:rFonts w:hint="eastAsia" w:ascii="宋体" w:hAnsi="宋体" w:eastAsia="宋体" w:cs="宋体"/>
          <w:sz w:val="24"/>
        </w:rPr>
        <w:t>区</w:t>
      </w:r>
    </w:p>
    <w:p>
      <w:pPr>
        <w:rPr>
          <w:rFonts w:hint="eastAsia" w:ascii="宋体" w:hAnsi="宋体" w:eastAsia="宋体" w:cs="宋体"/>
        </w:rPr>
      </w:pPr>
    </w:p>
    <w:p>
      <w:pPr>
        <w:pStyle w:val="6"/>
        <w:keepNext w:val="0"/>
        <w:keepLines w:val="0"/>
        <w:pageBreakBefore w:val="0"/>
        <w:widowControl w:val="0"/>
        <w:kinsoku/>
        <w:wordWrap/>
        <w:overflowPunct/>
        <w:topLinePunct w:val="0"/>
        <w:bidi w:val="0"/>
        <w:adjustRightInd/>
        <w:snapToGrid/>
        <w:spacing w:line="560" w:lineRule="exact"/>
        <w:ind w:right="-25" w:firstLine="559"/>
        <w:textAlignment w:val="auto"/>
        <w:rPr>
          <w:rFonts w:hint="eastAsia" w:ascii="宋体" w:hAnsi="宋体" w:eastAsia="宋体" w:cs="宋体"/>
        </w:rPr>
      </w:pPr>
      <w:r>
        <w:rPr>
          <w:rFonts w:hint="eastAsia" w:ascii="宋体" w:hAnsi="宋体" w:eastAsia="宋体" w:cs="宋体"/>
        </w:rPr>
        <w:t>汽油的地面油罐、油罐车和密闭卸油口的爆炸危险区域划分（图C.0.4），</w:t>
      </w:r>
      <w:bookmarkStart w:id="635" w:name="_Hlk531246948"/>
      <w:r>
        <w:rPr>
          <w:rFonts w:hint="eastAsia" w:ascii="宋体" w:hAnsi="宋体" w:eastAsia="宋体" w:cs="宋体"/>
        </w:rPr>
        <w:t>应符合下列规定：</w:t>
      </w:r>
      <w:bookmarkEnd w:id="635"/>
    </w:p>
    <w:p>
      <w:pPr>
        <w:pStyle w:val="22"/>
        <w:keepNext w:val="0"/>
        <w:keepLines w:val="0"/>
        <w:pageBreakBefore w:val="0"/>
        <w:widowControl w:val="0"/>
        <w:numPr>
          <w:ilvl w:val="0"/>
          <w:numId w:val="7"/>
        </w:numPr>
        <w:kinsoku/>
        <w:wordWrap/>
        <w:overflowPunct/>
        <w:topLinePunct w:val="0"/>
        <w:bidi w:val="0"/>
        <w:adjustRightInd/>
        <w:snapToGrid/>
        <w:spacing w:line="560" w:lineRule="exact"/>
        <w:ind w:left="567" w:hanging="567"/>
        <w:textAlignment w:val="auto"/>
        <w:rPr>
          <w:rFonts w:hint="eastAsia" w:ascii="宋体" w:hAnsi="宋体" w:eastAsia="宋体" w:cs="宋体"/>
          <w:sz w:val="28"/>
          <w:szCs w:val="28"/>
        </w:rPr>
      </w:pPr>
      <w:r>
        <w:rPr>
          <w:rFonts w:hint="eastAsia" w:ascii="宋体" w:hAnsi="宋体" w:eastAsia="宋体" w:cs="宋体"/>
          <w:sz w:val="28"/>
          <w:szCs w:val="28"/>
        </w:rPr>
        <w:t>地面油罐和油罐车内部的油品表面以上空间应划分为 0 区。</w:t>
      </w:r>
    </w:p>
    <w:p>
      <w:pPr>
        <w:pStyle w:val="22"/>
        <w:keepNext w:val="0"/>
        <w:keepLines w:val="0"/>
        <w:pageBreakBefore w:val="0"/>
        <w:widowControl w:val="0"/>
        <w:numPr>
          <w:ilvl w:val="0"/>
          <w:numId w:val="7"/>
        </w:numPr>
        <w:kinsoku/>
        <w:wordWrap/>
        <w:overflowPunct/>
        <w:topLinePunct w:val="0"/>
        <w:autoSpaceDE/>
        <w:autoSpaceDN/>
        <w:bidi w:val="0"/>
        <w:adjustRightInd/>
        <w:snapToGrid/>
        <w:spacing w:line="560" w:lineRule="exact"/>
        <w:ind w:left="567" w:hanging="567"/>
        <w:jc w:val="both"/>
        <w:textAlignment w:val="auto"/>
        <w:rPr>
          <w:rFonts w:hint="eastAsia" w:ascii="宋体" w:hAnsi="宋体" w:eastAsia="宋体" w:cs="宋体"/>
          <w:sz w:val="28"/>
          <w:szCs w:val="28"/>
        </w:rPr>
      </w:pPr>
      <w:r>
        <w:rPr>
          <w:rFonts w:hint="eastAsia" w:ascii="宋体" w:hAnsi="宋体" w:eastAsia="宋体" w:cs="宋体"/>
          <w:sz w:val="28"/>
          <w:szCs w:val="28"/>
        </w:rPr>
        <w:t>以通气口为中心，半径为</w:t>
      </w:r>
      <w:r>
        <w:rPr>
          <w:rFonts w:hint="eastAsia" w:ascii="宋体" w:hAnsi="宋体" w:eastAsia="宋体" w:cs="宋体"/>
          <w:sz w:val="28"/>
          <w:szCs w:val="28"/>
          <w:lang w:val="en-US"/>
        </w:rPr>
        <w:t>0.75</w:t>
      </w:r>
      <w:r>
        <w:rPr>
          <w:rFonts w:hint="eastAsia" w:ascii="宋体" w:hAnsi="宋体" w:eastAsia="宋体" w:cs="宋体"/>
          <w:sz w:val="28"/>
          <w:szCs w:val="28"/>
        </w:rPr>
        <w:t>m 的球形空间和以密闭卸油口为中心，半径为 0.5m 的球形空间，应划分为 1 区。</w:t>
      </w:r>
    </w:p>
    <w:p>
      <w:pPr>
        <w:pStyle w:val="22"/>
        <w:keepNext w:val="0"/>
        <w:keepLines w:val="0"/>
        <w:pageBreakBefore w:val="0"/>
        <w:widowControl w:val="0"/>
        <w:numPr>
          <w:ilvl w:val="0"/>
          <w:numId w:val="7"/>
        </w:numPr>
        <w:kinsoku/>
        <w:wordWrap/>
        <w:overflowPunct/>
        <w:topLinePunct w:val="0"/>
        <w:autoSpaceDE/>
        <w:autoSpaceDN/>
        <w:bidi w:val="0"/>
        <w:adjustRightInd/>
        <w:snapToGrid/>
        <w:spacing w:line="560" w:lineRule="exact"/>
        <w:ind w:left="567" w:hanging="567"/>
        <w:jc w:val="both"/>
        <w:textAlignment w:val="auto"/>
        <w:rPr>
          <w:rFonts w:hint="eastAsia" w:ascii="宋体" w:hAnsi="宋体" w:eastAsia="宋体" w:cs="宋体"/>
          <w:sz w:val="28"/>
          <w:szCs w:val="28"/>
        </w:rPr>
      </w:pPr>
      <w:r>
        <w:rPr>
          <w:rFonts w:hint="eastAsia" w:ascii="宋体" w:hAnsi="宋体" w:eastAsia="宋体" w:cs="宋体"/>
          <w:sz w:val="28"/>
          <w:szCs w:val="28"/>
        </w:rPr>
        <w:t xml:space="preserve">以通气口为中心，半径为 </w:t>
      </w:r>
      <w:r>
        <w:rPr>
          <w:rFonts w:hint="eastAsia" w:ascii="宋体" w:hAnsi="宋体" w:eastAsia="宋体" w:cs="宋体"/>
          <w:sz w:val="28"/>
          <w:szCs w:val="28"/>
          <w:lang w:val="en-US"/>
        </w:rPr>
        <w:t>2</w:t>
      </w:r>
      <w:r>
        <w:rPr>
          <w:rFonts w:hint="eastAsia" w:ascii="宋体" w:hAnsi="宋体" w:eastAsia="宋体" w:cs="宋体"/>
          <w:sz w:val="28"/>
          <w:szCs w:val="28"/>
        </w:rPr>
        <w:t>m 的球形并延至地面的空间和以密闭卸油口为中心，半径为 1.5m 的球形并延至地面的空间，应划分为 2 区。</w:t>
      </w:r>
    </w:p>
    <w:p>
      <w:pPr>
        <w:pStyle w:val="6"/>
        <w:spacing w:line="398" w:lineRule="auto"/>
        <w:ind w:left="442" w:right="681" w:firstLine="559"/>
        <w:rPr>
          <w:rFonts w:hint="eastAsia" w:ascii="宋体" w:hAnsi="宋体" w:eastAsia="宋体" w:cs="宋体"/>
        </w:rPr>
      </w:pPr>
    </w:p>
    <w:p>
      <w:pPr>
        <w:pStyle w:val="6"/>
        <w:spacing w:before="3"/>
        <w:rPr>
          <w:rFonts w:hint="eastAsia" w:ascii="宋体" w:hAnsi="宋体" w:eastAsia="宋体" w:cs="宋体"/>
          <w:sz w:val="11"/>
        </w:rPr>
      </w:pPr>
      <w:r>
        <w:rPr>
          <w:rFonts w:hint="eastAsia" w:ascii="宋体" w:hAnsi="宋体" w:eastAsia="宋体" w:cs="宋体"/>
          <w:lang w:val="en-US" w:bidi="ar-SA"/>
        </w:rPr>
        <mc:AlternateContent>
          <mc:Choice Requires="wpg">
            <w:drawing>
              <wp:anchor distT="0" distB="0" distL="0" distR="0" simplePos="0" relativeHeight="251670528" behindDoc="0" locked="0" layoutInCell="1" allowOverlap="1">
                <wp:simplePos x="0" y="0"/>
                <wp:positionH relativeFrom="page">
                  <wp:posOffset>1750060</wp:posOffset>
                </wp:positionH>
                <wp:positionV relativeFrom="paragraph">
                  <wp:posOffset>121285</wp:posOffset>
                </wp:positionV>
                <wp:extent cx="3715385" cy="2688590"/>
                <wp:effectExtent l="635" t="635" r="17780" b="15875"/>
                <wp:wrapTopAndBottom/>
                <wp:docPr id="7" name="组合 7"/>
                <wp:cNvGraphicFramePr/>
                <a:graphic xmlns:a="http://schemas.openxmlformats.org/drawingml/2006/main">
                  <a:graphicData uri="http://schemas.microsoft.com/office/word/2010/wordprocessingGroup">
                    <wpg:wgp>
                      <wpg:cNvGrpSpPr/>
                      <wpg:grpSpPr>
                        <a:xfrm>
                          <a:off x="0" y="0"/>
                          <a:ext cx="3715385" cy="2688590"/>
                          <a:chOff x="2756" y="191"/>
                          <a:chExt cx="5851" cy="4234"/>
                        </a:xfrm>
                      </wpg:grpSpPr>
                      <pic:pic xmlns:pic="http://schemas.openxmlformats.org/drawingml/2006/picture">
                        <pic:nvPicPr>
                          <pic:cNvPr id="1962" name="Picture 106"/>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a:xfrm>
                            <a:off x="4880" y="2341"/>
                            <a:ext cx="223" cy="311"/>
                          </a:xfrm>
                          <a:prstGeom prst="rect">
                            <a:avLst/>
                          </a:prstGeom>
                          <a:noFill/>
                        </pic:spPr>
                      </pic:pic>
                      <wps:wsp>
                        <wps:cNvPr id="1963" name="Freeform 107"/>
                        <wps:cNvSpPr/>
                        <wps:spPr bwMode="auto">
                          <a:xfrm>
                            <a:off x="4880" y="2342"/>
                            <a:ext cx="327" cy="457"/>
                          </a:xfrm>
                          <a:custGeom>
                            <a:avLst/>
                            <a:gdLst>
                              <a:gd name="T0" fmla="+- 0 4881 4881"/>
                              <a:gd name="T1" fmla="*/ T0 w 327"/>
                              <a:gd name="T2" fmla="+- 0 2799 2342"/>
                              <a:gd name="T3" fmla="*/ 2799 h 457"/>
                              <a:gd name="T4" fmla="+- 0 4967 4881"/>
                              <a:gd name="T5" fmla="*/ T4 w 327"/>
                              <a:gd name="T6" fmla="+- 0 2679 2342"/>
                              <a:gd name="T7" fmla="*/ 2679 h 457"/>
                              <a:gd name="T8" fmla="+- 0 5208 4881"/>
                              <a:gd name="T9" fmla="*/ T8 w 327"/>
                              <a:gd name="T10" fmla="+- 0 2342 2342"/>
                              <a:gd name="T11" fmla="*/ 2342 h 457"/>
                              <a:gd name="T12" fmla="+- 0 5208 4881"/>
                              <a:gd name="T13" fmla="*/ T12 w 327"/>
                              <a:gd name="T14" fmla="+- 0 2342 2342"/>
                              <a:gd name="T15" fmla="*/ 2342 h 457"/>
                            </a:gdLst>
                            <a:ahLst/>
                            <a:cxnLst>
                              <a:cxn ang="0">
                                <a:pos x="T1" y="T3"/>
                              </a:cxn>
                              <a:cxn ang="0">
                                <a:pos x="T5" y="T7"/>
                              </a:cxn>
                              <a:cxn ang="0">
                                <a:pos x="T9" y="T11"/>
                              </a:cxn>
                              <a:cxn ang="0">
                                <a:pos x="T13" y="T15"/>
                              </a:cxn>
                            </a:cxnLst>
                            <a:rect l="0" t="0" r="r" b="b"/>
                            <a:pathLst>
                              <a:path w="327" h="457">
                                <a:moveTo>
                                  <a:pt x="0" y="457"/>
                                </a:moveTo>
                                <a:lnTo>
                                  <a:pt x="86" y="337"/>
                                </a:lnTo>
                                <a:lnTo>
                                  <a:pt x="327" y="0"/>
                                </a:lnTo>
                              </a:path>
                            </a:pathLst>
                          </a:custGeom>
                          <a:noFill/>
                          <a:ln w="196">
                            <a:solidFill>
                              <a:srgbClr val="000000"/>
                            </a:solidFill>
                            <a:round/>
                          </a:ln>
                        </wps:spPr>
                        <wps:bodyPr rot="0" vert="horz" wrap="square" lIns="91440" tIns="45720" rIns="91440" bIns="45720" anchor="t" anchorCtr="0" upright="1">
                          <a:noAutofit/>
                        </wps:bodyPr>
                      </wps:wsp>
                      <wps:wsp>
                        <wps:cNvPr id="1964" name="Freeform 108"/>
                        <wps:cNvSpPr/>
                        <wps:spPr bwMode="auto">
                          <a:xfrm>
                            <a:off x="4880" y="2342"/>
                            <a:ext cx="432" cy="603"/>
                          </a:xfrm>
                          <a:custGeom>
                            <a:avLst/>
                            <a:gdLst>
                              <a:gd name="T0" fmla="+- 0 4881 4881"/>
                              <a:gd name="T1" fmla="*/ T0 w 432"/>
                              <a:gd name="T2" fmla="+- 0 2945 2343"/>
                              <a:gd name="T3" fmla="*/ 2945 h 603"/>
                              <a:gd name="T4" fmla="+- 0 5072 4881"/>
                              <a:gd name="T5" fmla="*/ T4 w 432"/>
                              <a:gd name="T6" fmla="+- 0 2679 2343"/>
                              <a:gd name="T7" fmla="*/ 2679 h 603"/>
                              <a:gd name="T8" fmla="+- 0 5312 4881"/>
                              <a:gd name="T9" fmla="*/ T8 w 432"/>
                              <a:gd name="T10" fmla="+- 0 2343 2343"/>
                              <a:gd name="T11" fmla="*/ 2343 h 603"/>
                              <a:gd name="T12" fmla="+- 0 5313 4881"/>
                              <a:gd name="T13" fmla="*/ T12 w 432"/>
                              <a:gd name="T14" fmla="+- 0 2343 2343"/>
                              <a:gd name="T15" fmla="*/ 2343 h 603"/>
                            </a:gdLst>
                            <a:ahLst/>
                            <a:cxnLst>
                              <a:cxn ang="0">
                                <a:pos x="T1" y="T3"/>
                              </a:cxn>
                              <a:cxn ang="0">
                                <a:pos x="T5" y="T7"/>
                              </a:cxn>
                              <a:cxn ang="0">
                                <a:pos x="T9" y="T11"/>
                              </a:cxn>
                              <a:cxn ang="0">
                                <a:pos x="T13" y="T15"/>
                              </a:cxn>
                            </a:cxnLst>
                            <a:rect l="0" t="0" r="r" b="b"/>
                            <a:pathLst>
                              <a:path w="432" h="603">
                                <a:moveTo>
                                  <a:pt x="0" y="602"/>
                                </a:moveTo>
                                <a:lnTo>
                                  <a:pt x="191" y="336"/>
                                </a:lnTo>
                                <a:lnTo>
                                  <a:pt x="431" y="0"/>
                                </a:lnTo>
                                <a:lnTo>
                                  <a:pt x="432" y="0"/>
                                </a:lnTo>
                              </a:path>
                            </a:pathLst>
                          </a:custGeom>
                          <a:noFill/>
                          <a:ln w="196">
                            <a:solidFill>
                              <a:srgbClr val="000000"/>
                            </a:solidFill>
                            <a:round/>
                          </a:ln>
                        </wps:spPr>
                        <wps:bodyPr rot="0" vert="horz" wrap="square" lIns="91440" tIns="45720" rIns="91440" bIns="45720" anchor="t" anchorCtr="0" upright="1">
                          <a:noAutofit/>
                        </wps:bodyPr>
                      </wps:wsp>
                      <wps:wsp>
                        <wps:cNvPr id="1965" name="Freeform 109"/>
                        <wps:cNvSpPr/>
                        <wps:spPr bwMode="auto">
                          <a:xfrm>
                            <a:off x="4880" y="2342"/>
                            <a:ext cx="537" cy="750"/>
                          </a:xfrm>
                          <a:custGeom>
                            <a:avLst/>
                            <a:gdLst>
                              <a:gd name="T0" fmla="+- 0 4881 4881"/>
                              <a:gd name="T1" fmla="*/ T0 w 537"/>
                              <a:gd name="T2" fmla="+- 0 3092 2343"/>
                              <a:gd name="T3" fmla="*/ 3092 h 750"/>
                              <a:gd name="T4" fmla="+- 0 5177 4881"/>
                              <a:gd name="T5" fmla="*/ T4 w 537"/>
                              <a:gd name="T6" fmla="+- 0 2679 2343"/>
                              <a:gd name="T7" fmla="*/ 2679 h 750"/>
                              <a:gd name="T8" fmla="+- 0 5417 4881"/>
                              <a:gd name="T9" fmla="*/ T8 w 537"/>
                              <a:gd name="T10" fmla="+- 0 2343 2343"/>
                              <a:gd name="T11" fmla="*/ 2343 h 750"/>
                              <a:gd name="T12" fmla="+- 0 5417 4881"/>
                              <a:gd name="T13" fmla="*/ T12 w 537"/>
                              <a:gd name="T14" fmla="+- 0 2343 2343"/>
                              <a:gd name="T15" fmla="*/ 2343 h 750"/>
                            </a:gdLst>
                            <a:ahLst/>
                            <a:cxnLst>
                              <a:cxn ang="0">
                                <a:pos x="T1" y="T3"/>
                              </a:cxn>
                              <a:cxn ang="0">
                                <a:pos x="T5" y="T7"/>
                              </a:cxn>
                              <a:cxn ang="0">
                                <a:pos x="T9" y="T11"/>
                              </a:cxn>
                              <a:cxn ang="0">
                                <a:pos x="T13" y="T15"/>
                              </a:cxn>
                            </a:cxnLst>
                            <a:rect l="0" t="0" r="r" b="b"/>
                            <a:pathLst>
                              <a:path w="537" h="750">
                                <a:moveTo>
                                  <a:pt x="0" y="749"/>
                                </a:moveTo>
                                <a:lnTo>
                                  <a:pt x="296" y="336"/>
                                </a:lnTo>
                                <a:lnTo>
                                  <a:pt x="536" y="0"/>
                                </a:lnTo>
                              </a:path>
                            </a:pathLst>
                          </a:custGeom>
                          <a:noFill/>
                          <a:ln w="196">
                            <a:solidFill>
                              <a:srgbClr val="000000"/>
                            </a:solidFill>
                            <a:round/>
                          </a:ln>
                        </wps:spPr>
                        <wps:bodyPr rot="0" vert="horz" wrap="square" lIns="91440" tIns="45720" rIns="91440" bIns="45720" anchor="t" anchorCtr="0" upright="1">
                          <a:noAutofit/>
                        </wps:bodyPr>
                      </wps:wsp>
                      <wps:wsp>
                        <wps:cNvPr id="1966" name="Freeform 110"/>
                        <wps:cNvSpPr/>
                        <wps:spPr bwMode="auto">
                          <a:xfrm>
                            <a:off x="4880" y="2343"/>
                            <a:ext cx="642" cy="896"/>
                          </a:xfrm>
                          <a:custGeom>
                            <a:avLst/>
                            <a:gdLst>
                              <a:gd name="T0" fmla="+- 0 4881 4881"/>
                              <a:gd name="T1" fmla="*/ T0 w 642"/>
                              <a:gd name="T2" fmla="+- 0 3239 2343"/>
                              <a:gd name="T3" fmla="*/ 3239 h 896"/>
                              <a:gd name="T4" fmla="+- 0 5282 4881"/>
                              <a:gd name="T5" fmla="*/ T4 w 642"/>
                              <a:gd name="T6" fmla="+- 0 2679 2343"/>
                              <a:gd name="T7" fmla="*/ 2679 h 896"/>
                              <a:gd name="T8" fmla="+- 0 5522 4881"/>
                              <a:gd name="T9" fmla="*/ T8 w 642"/>
                              <a:gd name="T10" fmla="+- 0 2343 2343"/>
                              <a:gd name="T11" fmla="*/ 2343 h 896"/>
                              <a:gd name="T12" fmla="+- 0 5522 4881"/>
                              <a:gd name="T13" fmla="*/ T12 w 642"/>
                              <a:gd name="T14" fmla="+- 0 2343 2343"/>
                              <a:gd name="T15" fmla="*/ 2343 h 896"/>
                            </a:gdLst>
                            <a:ahLst/>
                            <a:cxnLst>
                              <a:cxn ang="0">
                                <a:pos x="T1" y="T3"/>
                              </a:cxn>
                              <a:cxn ang="0">
                                <a:pos x="T5" y="T7"/>
                              </a:cxn>
                              <a:cxn ang="0">
                                <a:pos x="T9" y="T11"/>
                              </a:cxn>
                              <a:cxn ang="0">
                                <a:pos x="T13" y="T15"/>
                              </a:cxn>
                            </a:cxnLst>
                            <a:rect l="0" t="0" r="r" b="b"/>
                            <a:pathLst>
                              <a:path w="642" h="896">
                                <a:moveTo>
                                  <a:pt x="0" y="896"/>
                                </a:moveTo>
                                <a:lnTo>
                                  <a:pt x="401" y="336"/>
                                </a:lnTo>
                                <a:lnTo>
                                  <a:pt x="641" y="0"/>
                                </a:lnTo>
                              </a:path>
                            </a:pathLst>
                          </a:custGeom>
                          <a:noFill/>
                          <a:ln w="196">
                            <a:solidFill>
                              <a:srgbClr val="000000"/>
                            </a:solidFill>
                            <a:round/>
                          </a:ln>
                        </wps:spPr>
                        <wps:bodyPr rot="0" vert="horz" wrap="square" lIns="91440" tIns="45720" rIns="91440" bIns="45720" anchor="t" anchorCtr="0" upright="1">
                          <a:noAutofit/>
                        </wps:bodyPr>
                      </wps:wsp>
                      <wps:wsp>
                        <wps:cNvPr id="1967" name="Freeform 111"/>
                        <wps:cNvSpPr/>
                        <wps:spPr bwMode="auto">
                          <a:xfrm>
                            <a:off x="4880" y="2343"/>
                            <a:ext cx="746" cy="1043"/>
                          </a:xfrm>
                          <a:custGeom>
                            <a:avLst/>
                            <a:gdLst>
                              <a:gd name="T0" fmla="+- 0 4881 4881"/>
                              <a:gd name="T1" fmla="*/ T0 w 746"/>
                              <a:gd name="T2" fmla="+- 0 3385 2343"/>
                              <a:gd name="T3" fmla="*/ 3385 h 1043"/>
                              <a:gd name="T4" fmla="+- 0 5386 4881"/>
                              <a:gd name="T5" fmla="*/ T4 w 746"/>
                              <a:gd name="T6" fmla="+- 0 2679 2343"/>
                              <a:gd name="T7" fmla="*/ 2679 h 1043"/>
                              <a:gd name="T8" fmla="+- 0 5627 4881"/>
                              <a:gd name="T9" fmla="*/ T8 w 746"/>
                              <a:gd name="T10" fmla="+- 0 2343 2343"/>
                              <a:gd name="T11" fmla="*/ 2343 h 1043"/>
                              <a:gd name="T12" fmla="+- 0 5627 4881"/>
                              <a:gd name="T13" fmla="*/ T12 w 746"/>
                              <a:gd name="T14" fmla="+- 0 2343 2343"/>
                              <a:gd name="T15" fmla="*/ 2343 h 1043"/>
                            </a:gdLst>
                            <a:ahLst/>
                            <a:cxnLst>
                              <a:cxn ang="0">
                                <a:pos x="T1" y="T3"/>
                              </a:cxn>
                              <a:cxn ang="0">
                                <a:pos x="T5" y="T7"/>
                              </a:cxn>
                              <a:cxn ang="0">
                                <a:pos x="T9" y="T11"/>
                              </a:cxn>
                              <a:cxn ang="0">
                                <a:pos x="T13" y="T15"/>
                              </a:cxn>
                            </a:cxnLst>
                            <a:rect l="0" t="0" r="r" b="b"/>
                            <a:pathLst>
                              <a:path w="746" h="1043">
                                <a:moveTo>
                                  <a:pt x="0" y="1042"/>
                                </a:moveTo>
                                <a:lnTo>
                                  <a:pt x="505" y="336"/>
                                </a:lnTo>
                                <a:lnTo>
                                  <a:pt x="746" y="0"/>
                                </a:lnTo>
                              </a:path>
                            </a:pathLst>
                          </a:custGeom>
                          <a:noFill/>
                          <a:ln w="196">
                            <a:solidFill>
                              <a:srgbClr val="000000"/>
                            </a:solidFill>
                            <a:round/>
                          </a:ln>
                        </wps:spPr>
                        <wps:bodyPr rot="0" vert="horz" wrap="square" lIns="91440" tIns="45720" rIns="91440" bIns="45720" anchor="t" anchorCtr="0" upright="1">
                          <a:noAutofit/>
                        </wps:bodyPr>
                      </wps:wsp>
                      <wps:wsp>
                        <wps:cNvPr id="1968" name="Freeform 112"/>
                        <wps:cNvSpPr/>
                        <wps:spPr bwMode="auto">
                          <a:xfrm>
                            <a:off x="5491" y="2343"/>
                            <a:ext cx="241" cy="336"/>
                          </a:xfrm>
                          <a:custGeom>
                            <a:avLst/>
                            <a:gdLst>
                              <a:gd name="T0" fmla="+- 0 5491 5491"/>
                              <a:gd name="T1" fmla="*/ T0 w 241"/>
                              <a:gd name="T2" fmla="+- 0 2679 2343"/>
                              <a:gd name="T3" fmla="*/ 2679 h 336"/>
                              <a:gd name="T4" fmla="+- 0 5732 5491"/>
                              <a:gd name="T5" fmla="*/ T4 w 241"/>
                              <a:gd name="T6" fmla="+- 0 2343 2343"/>
                              <a:gd name="T7" fmla="*/ 2343 h 336"/>
                              <a:gd name="T8" fmla="+- 0 5732 5491"/>
                              <a:gd name="T9" fmla="*/ T8 w 241"/>
                              <a:gd name="T10" fmla="+- 0 2343 2343"/>
                              <a:gd name="T11" fmla="*/ 2343 h 336"/>
                            </a:gdLst>
                            <a:ahLst/>
                            <a:cxnLst>
                              <a:cxn ang="0">
                                <a:pos x="T1" y="T3"/>
                              </a:cxn>
                              <a:cxn ang="0">
                                <a:pos x="T5" y="T7"/>
                              </a:cxn>
                              <a:cxn ang="0">
                                <a:pos x="T9" y="T11"/>
                              </a:cxn>
                            </a:cxnLst>
                            <a:rect l="0" t="0" r="r" b="b"/>
                            <a:pathLst>
                              <a:path w="241" h="336">
                                <a:moveTo>
                                  <a:pt x="0" y="336"/>
                                </a:moveTo>
                                <a:lnTo>
                                  <a:pt x="241" y="0"/>
                                </a:lnTo>
                              </a:path>
                            </a:pathLst>
                          </a:custGeom>
                          <a:noFill/>
                          <a:ln w="196">
                            <a:solidFill>
                              <a:srgbClr val="000000"/>
                            </a:solidFill>
                            <a:round/>
                          </a:ln>
                        </wps:spPr>
                        <wps:bodyPr rot="0" vert="horz" wrap="square" lIns="91440" tIns="45720" rIns="91440" bIns="45720" anchor="t" anchorCtr="0" upright="1">
                          <a:noAutofit/>
                        </wps:bodyPr>
                      </wps:wsp>
                      <wps:wsp>
                        <wps:cNvPr id="1969" name="Freeform 113"/>
                        <wps:cNvSpPr/>
                        <wps:spPr bwMode="auto">
                          <a:xfrm>
                            <a:off x="4880" y="3508"/>
                            <a:ext cx="18" cy="24"/>
                          </a:xfrm>
                          <a:custGeom>
                            <a:avLst/>
                            <a:gdLst>
                              <a:gd name="T0" fmla="+- 0 4881 4881"/>
                              <a:gd name="T1" fmla="*/ T0 w 18"/>
                              <a:gd name="T2" fmla="+- 0 3532 3508"/>
                              <a:gd name="T3" fmla="*/ 3532 h 24"/>
                              <a:gd name="T4" fmla="+- 0 4898 4881"/>
                              <a:gd name="T5" fmla="*/ T4 w 18"/>
                              <a:gd name="T6" fmla="+- 0 3508 3508"/>
                              <a:gd name="T7" fmla="*/ 3508 h 24"/>
                              <a:gd name="T8" fmla="+- 0 4898 4881"/>
                              <a:gd name="T9" fmla="*/ T8 w 18"/>
                              <a:gd name="T10" fmla="+- 0 3508 3508"/>
                              <a:gd name="T11" fmla="*/ 3508 h 24"/>
                            </a:gdLst>
                            <a:ahLst/>
                            <a:cxnLst>
                              <a:cxn ang="0">
                                <a:pos x="T1" y="T3"/>
                              </a:cxn>
                              <a:cxn ang="0">
                                <a:pos x="T5" y="T7"/>
                              </a:cxn>
                              <a:cxn ang="0">
                                <a:pos x="T9" y="T11"/>
                              </a:cxn>
                            </a:cxnLst>
                            <a:rect l="0" t="0" r="r" b="b"/>
                            <a:pathLst>
                              <a:path w="18" h="24">
                                <a:moveTo>
                                  <a:pt x="0" y="24"/>
                                </a:moveTo>
                                <a:lnTo>
                                  <a:pt x="17" y="0"/>
                                </a:lnTo>
                              </a:path>
                            </a:pathLst>
                          </a:custGeom>
                          <a:noFill/>
                          <a:ln w="197">
                            <a:solidFill>
                              <a:srgbClr val="000000"/>
                            </a:solidFill>
                            <a:round/>
                          </a:ln>
                        </wps:spPr>
                        <wps:bodyPr rot="0" vert="horz" wrap="square" lIns="91440" tIns="45720" rIns="91440" bIns="45720" anchor="t" anchorCtr="0" upright="1">
                          <a:noAutofit/>
                        </wps:bodyPr>
                      </wps:wsp>
                      <wps:wsp>
                        <wps:cNvPr id="1970" name="Freeform 114"/>
                        <wps:cNvSpPr/>
                        <wps:spPr bwMode="auto">
                          <a:xfrm>
                            <a:off x="4897" y="2678"/>
                            <a:ext cx="594" cy="830"/>
                          </a:xfrm>
                          <a:custGeom>
                            <a:avLst/>
                            <a:gdLst>
                              <a:gd name="T0" fmla="+- 0 4898 4898"/>
                              <a:gd name="T1" fmla="*/ T0 w 594"/>
                              <a:gd name="T2" fmla="+- 0 3508 2679"/>
                              <a:gd name="T3" fmla="*/ 3508 h 830"/>
                              <a:gd name="T4" fmla="+- 0 4940 4898"/>
                              <a:gd name="T5" fmla="*/ T4 w 594"/>
                              <a:gd name="T6" fmla="+- 0 3450 2679"/>
                              <a:gd name="T7" fmla="*/ 3450 h 830"/>
                              <a:gd name="T8" fmla="+- 0 5491 4898"/>
                              <a:gd name="T9" fmla="*/ T8 w 594"/>
                              <a:gd name="T10" fmla="+- 0 2679 2679"/>
                              <a:gd name="T11" fmla="*/ 2679 h 830"/>
                              <a:gd name="T12" fmla="+- 0 5492 4898"/>
                              <a:gd name="T13" fmla="*/ T12 w 594"/>
                              <a:gd name="T14" fmla="+- 0 2679 2679"/>
                              <a:gd name="T15" fmla="*/ 2679 h 830"/>
                            </a:gdLst>
                            <a:ahLst/>
                            <a:cxnLst>
                              <a:cxn ang="0">
                                <a:pos x="T1" y="T3"/>
                              </a:cxn>
                              <a:cxn ang="0">
                                <a:pos x="T5" y="T7"/>
                              </a:cxn>
                              <a:cxn ang="0">
                                <a:pos x="T9" y="T11"/>
                              </a:cxn>
                              <a:cxn ang="0">
                                <a:pos x="T13" y="T15"/>
                              </a:cxn>
                            </a:cxnLst>
                            <a:rect l="0" t="0" r="r" b="b"/>
                            <a:pathLst>
                              <a:path w="594" h="830">
                                <a:moveTo>
                                  <a:pt x="0" y="829"/>
                                </a:moveTo>
                                <a:lnTo>
                                  <a:pt x="42" y="771"/>
                                </a:lnTo>
                                <a:lnTo>
                                  <a:pt x="593" y="0"/>
                                </a:lnTo>
                                <a:lnTo>
                                  <a:pt x="594" y="0"/>
                                </a:lnTo>
                              </a:path>
                            </a:pathLst>
                          </a:custGeom>
                          <a:noFill/>
                          <a:ln w="196">
                            <a:solidFill>
                              <a:srgbClr val="000000"/>
                            </a:solidFill>
                            <a:round/>
                          </a:ln>
                        </wps:spPr>
                        <wps:bodyPr rot="0" vert="horz" wrap="square" lIns="91440" tIns="45720" rIns="91440" bIns="45720" anchor="t" anchorCtr="0" upright="1">
                          <a:noAutofit/>
                        </wps:bodyPr>
                      </wps:wsp>
                      <wps:wsp>
                        <wps:cNvPr id="1971" name="Freeform 115"/>
                        <wps:cNvSpPr/>
                        <wps:spPr bwMode="auto">
                          <a:xfrm>
                            <a:off x="4880" y="3533"/>
                            <a:ext cx="104" cy="145"/>
                          </a:xfrm>
                          <a:custGeom>
                            <a:avLst/>
                            <a:gdLst>
                              <a:gd name="T0" fmla="+- 0 4881 4881"/>
                              <a:gd name="T1" fmla="*/ T0 w 104"/>
                              <a:gd name="T2" fmla="+- 0 3678 3534"/>
                              <a:gd name="T3" fmla="*/ 3678 h 145"/>
                              <a:gd name="T4" fmla="+- 0 4984 4881"/>
                              <a:gd name="T5" fmla="*/ T4 w 104"/>
                              <a:gd name="T6" fmla="+- 0 3534 3534"/>
                              <a:gd name="T7" fmla="*/ 3534 h 145"/>
                              <a:gd name="T8" fmla="+- 0 4985 4881"/>
                              <a:gd name="T9" fmla="*/ T8 w 104"/>
                              <a:gd name="T10" fmla="+- 0 3534 3534"/>
                              <a:gd name="T11" fmla="*/ 3534 h 145"/>
                            </a:gdLst>
                            <a:ahLst/>
                            <a:cxnLst>
                              <a:cxn ang="0">
                                <a:pos x="T1" y="T3"/>
                              </a:cxn>
                              <a:cxn ang="0">
                                <a:pos x="T5" y="T7"/>
                              </a:cxn>
                              <a:cxn ang="0">
                                <a:pos x="T9" y="T11"/>
                              </a:cxn>
                            </a:cxnLst>
                            <a:rect l="0" t="0" r="r" b="b"/>
                            <a:pathLst>
                              <a:path w="104" h="145">
                                <a:moveTo>
                                  <a:pt x="0" y="144"/>
                                </a:moveTo>
                                <a:lnTo>
                                  <a:pt x="103" y="0"/>
                                </a:lnTo>
                                <a:lnTo>
                                  <a:pt x="104" y="0"/>
                                </a:lnTo>
                              </a:path>
                            </a:pathLst>
                          </a:custGeom>
                          <a:noFill/>
                          <a:ln w="196">
                            <a:solidFill>
                              <a:srgbClr val="000000"/>
                            </a:solidFill>
                            <a:round/>
                          </a:ln>
                        </wps:spPr>
                        <wps:bodyPr rot="0" vert="horz" wrap="square" lIns="91440" tIns="45720" rIns="91440" bIns="45720" anchor="t" anchorCtr="0" upright="1">
                          <a:noAutofit/>
                        </wps:bodyPr>
                      </wps:wsp>
                      <wps:wsp>
                        <wps:cNvPr id="1972" name="Freeform 116"/>
                        <wps:cNvSpPr/>
                        <wps:spPr bwMode="auto">
                          <a:xfrm>
                            <a:off x="5596" y="2343"/>
                            <a:ext cx="241" cy="336"/>
                          </a:xfrm>
                          <a:custGeom>
                            <a:avLst/>
                            <a:gdLst>
                              <a:gd name="T0" fmla="+- 0 5597 5597"/>
                              <a:gd name="T1" fmla="*/ T0 w 241"/>
                              <a:gd name="T2" fmla="+- 0 2679 2343"/>
                              <a:gd name="T3" fmla="*/ 2679 h 336"/>
                              <a:gd name="T4" fmla="+- 0 5836 5597"/>
                              <a:gd name="T5" fmla="*/ T4 w 241"/>
                              <a:gd name="T6" fmla="+- 0 2343 2343"/>
                              <a:gd name="T7" fmla="*/ 2343 h 336"/>
                              <a:gd name="T8" fmla="+- 0 5837 5597"/>
                              <a:gd name="T9" fmla="*/ T8 w 241"/>
                              <a:gd name="T10" fmla="+- 0 2343 2343"/>
                              <a:gd name="T11" fmla="*/ 2343 h 336"/>
                            </a:gdLst>
                            <a:ahLst/>
                            <a:cxnLst>
                              <a:cxn ang="0">
                                <a:pos x="T1" y="T3"/>
                              </a:cxn>
                              <a:cxn ang="0">
                                <a:pos x="T5" y="T7"/>
                              </a:cxn>
                              <a:cxn ang="0">
                                <a:pos x="T9" y="T11"/>
                              </a:cxn>
                            </a:cxnLst>
                            <a:rect l="0" t="0" r="r" b="b"/>
                            <a:pathLst>
                              <a:path w="241" h="336">
                                <a:moveTo>
                                  <a:pt x="0" y="336"/>
                                </a:moveTo>
                                <a:lnTo>
                                  <a:pt x="239" y="0"/>
                                </a:lnTo>
                                <a:lnTo>
                                  <a:pt x="240" y="0"/>
                                </a:lnTo>
                              </a:path>
                            </a:pathLst>
                          </a:custGeom>
                          <a:noFill/>
                          <a:ln w="196">
                            <a:solidFill>
                              <a:srgbClr val="000000"/>
                            </a:solidFill>
                            <a:round/>
                          </a:ln>
                        </wps:spPr>
                        <wps:bodyPr rot="0" vert="horz" wrap="square" lIns="91440" tIns="45720" rIns="91440" bIns="45720" anchor="t" anchorCtr="0" upright="1">
                          <a:noAutofit/>
                        </wps:bodyPr>
                      </wps:wsp>
                      <wps:wsp>
                        <wps:cNvPr id="1973" name="Freeform 117"/>
                        <wps:cNvSpPr/>
                        <wps:spPr bwMode="auto">
                          <a:xfrm>
                            <a:off x="4984" y="2678"/>
                            <a:ext cx="613" cy="856"/>
                          </a:xfrm>
                          <a:custGeom>
                            <a:avLst/>
                            <a:gdLst>
                              <a:gd name="T0" fmla="+- 0 4984 4984"/>
                              <a:gd name="T1" fmla="*/ T0 w 613"/>
                              <a:gd name="T2" fmla="+- 0 3534 2679"/>
                              <a:gd name="T3" fmla="*/ 3534 h 856"/>
                              <a:gd name="T4" fmla="+- 0 5045 4984"/>
                              <a:gd name="T5" fmla="*/ T4 w 613"/>
                              <a:gd name="T6" fmla="+- 0 3450 2679"/>
                              <a:gd name="T7" fmla="*/ 3450 h 856"/>
                              <a:gd name="T8" fmla="+- 0 5597 4984"/>
                              <a:gd name="T9" fmla="*/ T8 w 613"/>
                              <a:gd name="T10" fmla="+- 0 2679 2679"/>
                              <a:gd name="T11" fmla="*/ 2679 h 856"/>
                              <a:gd name="T12" fmla="+- 0 5597 4984"/>
                              <a:gd name="T13" fmla="*/ T12 w 613"/>
                              <a:gd name="T14" fmla="+- 0 2679 2679"/>
                              <a:gd name="T15" fmla="*/ 2679 h 856"/>
                            </a:gdLst>
                            <a:ahLst/>
                            <a:cxnLst>
                              <a:cxn ang="0">
                                <a:pos x="T1" y="T3"/>
                              </a:cxn>
                              <a:cxn ang="0">
                                <a:pos x="T5" y="T7"/>
                              </a:cxn>
                              <a:cxn ang="0">
                                <a:pos x="T9" y="T11"/>
                              </a:cxn>
                              <a:cxn ang="0">
                                <a:pos x="T13" y="T15"/>
                              </a:cxn>
                            </a:cxnLst>
                            <a:rect l="0" t="0" r="r" b="b"/>
                            <a:pathLst>
                              <a:path w="613" h="856">
                                <a:moveTo>
                                  <a:pt x="0" y="855"/>
                                </a:moveTo>
                                <a:lnTo>
                                  <a:pt x="61" y="771"/>
                                </a:lnTo>
                                <a:lnTo>
                                  <a:pt x="613" y="0"/>
                                </a:lnTo>
                              </a:path>
                            </a:pathLst>
                          </a:custGeom>
                          <a:noFill/>
                          <a:ln w="196">
                            <a:solidFill>
                              <a:srgbClr val="000000"/>
                            </a:solidFill>
                            <a:round/>
                          </a:ln>
                        </wps:spPr>
                        <wps:bodyPr rot="0" vert="horz" wrap="square" lIns="91440" tIns="45720" rIns="91440" bIns="45720" anchor="t" anchorCtr="0" upright="1">
                          <a:noAutofit/>
                        </wps:bodyPr>
                      </wps:wsp>
                      <wps:wsp>
                        <wps:cNvPr id="1974" name="Freeform 118"/>
                        <wps:cNvSpPr/>
                        <wps:spPr bwMode="auto">
                          <a:xfrm>
                            <a:off x="4880" y="3585"/>
                            <a:ext cx="172" cy="240"/>
                          </a:xfrm>
                          <a:custGeom>
                            <a:avLst/>
                            <a:gdLst>
                              <a:gd name="T0" fmla="+- 0 4881 4881"/>
                              <a:gd name="T1" fmla="*/ T0 w 172"/>
                              <a:gd name="T2" fmla="+- 0 3825 3586"/>
                              <a:gd name="T3" fmla="*/ 3825 h 240"/>
                              <a:gd name="T4" fmla="+- 0 5052 4881"/>
                              <a:gd name="T5" fmla="*/ T4 w 172"/>
                              <a:gd name="T6" fmla="+- 0 3586 3586"/>
                              <a:gd name="T7" fmla="*/ 3586 h 240"/>
                              <a:gd name="T8" fmla="+- 0 5053 4881"/>
                              <a:gd name="T9" fmla="*/ T8 w 172"/>
                              <a:gd name="T10" fmla="+- 0 3586 3586"/>
                              <a:gd name="T11" fmla="*/ 3586 h 240"/>
                            </a:gdLst>
                            <a:ahLst/>
                            <a:cxnLst>
                              <a:cxn ang="0">
                                <a:pos x="T1" y="T3"/>
                              </a:cxn>
                              <a:cxn ang="0">
                                <a:pos x="T5" y="T7"/>
                              </a:cxn>
                              <a:cxn ang="0">
                                <a:pos x="T9" y="T11"/>
                              </a:cxn>
                            </a:cxnLst>
                            <a:rect l="0" t="0" r="r" b="b"/>
                            <a:pathLst>
                              <a:path w="172" h="240">
                                <a:moveTo>
                                  <a:pt x="0" y="239"/>
                                </a:moveTo>
                                <a:lnTo>
                                  <a:pt x="171" y="0"/>
                                </a:lnTo>
                                <a:lnTo>
                                  <a:pt x="172" y="0"/>
                                </a:lnTo>
                              </a:path>
                            </a:pathLst>
                          </a:custGeom>
                          <a:noFill/>
                          <a:ln w="196">
                            <a:solidFill>
                              <a:srgbClr val="000000"/>
                            </a:solidFill>
                            <a:round/>
                          </a:ln>
                        </wps:spPr>
                        <wps:bodyPr rot="0" vert="horz" wrap="square" lIns="91440" tIns="45720" rIns="91440" bIns="45720" anchor="t" anchorCtr="0" upright="1">
                          <a:noAutofit/>
                        </wps:bodyPr>
                      </wps:wsp>
                      <wps:wsp>
                        <wps:cNvPr id="1975" name="Freeform 119"/>
                        <wps:cNvSpPr/>
                        <wps:spPr bwMode="auto">
                          <a:xfrm>
                            <a:off x="5701" y="2343"/>
                            <a:ext cx="241" cy="335"/>
                          </a:xfrm>
                          <a:custGeom>
                            <a:avLst/>
                            <a:gdLst>
                              <a:gd name="T0" fmla="+- 0 5701 5701"/>
                              <a:gd name="T1" fmla="*/ T0 w 241"/>
                              <a:gd name="T2" fmla="+- 0 2679 2344"/>
                              <a:gd name="T3" fmla="*/ 2679 h 335"/>
                              <a:gd name="T4" fmla="+- 0 5941 5701"/>
                              <a:gd name="T5" fmla="*/ T4 w 241"/>
                              <a:gd name="T6" fmla="+- 0 2344 2344"/>
                              <a:gd name="T7" fmla="*/ 2344 h 335"/>
                              <a:gd name="T8" fmla="+- 0 5941 5701"/>
                              <a:gd name="T9" fmla="*/ T8 w 241"/>
                              <a:gd name="T10" fmla="+- 0 2344 2344"/>
                              <a:gd name="T11" fmla="*/ 2344 h 335"/>
                            </a:gdLst>
                            <a:ahLst/>
                            <a:cxnLst>
                              <a:cxn ang="0">
                                <a:pos x="T1" y="T3"/>
                              </a:cxn>
                              <a:cxn ang="0">
                                <a:pos x="T5" y="T7"/>
                              </a:cxn>
                              <a:cxn ang="0">
                                <a:pos x="T9" y="T11"/>
                              </a:cxn>
                            </a:cxnLst>
                            <a:rect l="0" t="0" r="r" b="b"/>
                            <a:pathLst>
                              <a:path w="241" h="335">
                                <a:moveTo>
                                  <a:pt x="0" y="335"/>
                                </a:moveTo>
                                <a:lnTo>
                                  <a:pt x="240" y="0"/>
                                </a:lnTo>
                              </a:path>
                            </a:pathLst>
                          </a:custGeom>
                          <a:noFill/>
                          <a:ln w="196">
                            <a:solidFill>
                              <a:srgbClr val="000000"/>
                            </a:solidFill>
                            <a:round/>
                          </a:ln>
                        </wps:spPr>
                        <wps:bodyPr rot="0" vert="horz" wrap="square" lIns="91440" tIns="45720" rIns="91440" bIns="45720" anchor="t" anchorCtr="0" upright="1">
                          <a:noAutofit/>
                        </wps:bodyPr>
                      </wps:wsp>
                      <wps:wsp>
                        <wps:cNvPr id="1976" name="Freeform 120"/>
                        <wps:cNvSpPr/>
                        <wps:spPr bwMode="auto">
                          <a:xfrm>
                            <a:off x="5052" y="2678"/>
                            <a:ext cx="650" cy="907"/>
                          </a:xfrm>
                          <a:custGeom>
                            <a:avLst/>
                            <a:gdLst>
                              <a:gd name="T0" fmla="+- 0 5052 5052"/>
                              <a:gd name="T1" fmla="*/ T0 w 650"/>
                              <a:gd name="T2" fmla="+- 0 3586 2679"/>
                              <a:gd name="T3" fmla="*/ 3586 h 907"/>
                              <a:gd name="T4" fmla="+- 0 5150 5052"/>
                              <a:gd name="T5" fmla="*/ T4 w 650"/>
                              <a:gd name="T6" fmla="+- 0 3450 2679"/>
                              <a:gd name="T7" fmla="*/ 3450 h 907"/>
                              <a:gd name="T8" fmla="+- 0 5701 5052"/>
                              <a:gd name="T9" fmla="*/ T8 w 650"/>
                              <a:gd name="T10" fmla="+- 0 2679 2679"/>
                              <a:gd name="T11" fmla="*/ 2679 h 907"/>
                              <a:gd name="T12" fmla="+- 0 5702 5052"/>
                              <a:gd name="T13" fmla="*/ T12 w 650"/>
                              <a:gd name="T14" fmla="+- 0 2679 2679"/>
                              <a:gd name="T15" fmla="*/ 2679 h 907"/>
                            </a:gdLst>
                            <a:ahLst/>
                            <a:cxnLst>
                              <a:cxn ang="0">
                                <a:pos x="T1" y="T3"/>
                              </a:cxn>
                              <a:cxn ang="0">
                                <a:pos x="T5" y="T7"/>
                              </a:cxn>
                              <a:cxn ang="0">
                                <a:pos x="T9" y="T11"/>
                              </a:cxn>
                              <a:cxn ang="0">
                                <a:pos x="T13" y="T15"/>
                              </a:cxn>
                            </a:cxnLst>
                            <a:rect l="0" t="0" r="r" b="b"/>
                            <a:pathLst>
                              <a:path w="650" h="907">
                                <a:moveTo>
                                  <a:pt x="0" y="907"/>
                                </a:moveTo>
                                <a:lnTo>
                                  <a:pt x="98" y="771"/>
                                </a:lnTo>
                                <a:lnTo>
                                  <a:pt x="649" y="0"/>
                                </a:lnTo>
                                <a:lnTo>
                                  <a:pt x="650" y="0"/>
                                </a:lnTo>
                              </a:path>
                            </a:pathLst>
                          </a:custGeom>
                          <a:noFill/>
                          <a:ln w="196">
                            <a:solidFill>
                              <a:srgbClr val="000000"/>
                            </a:solidFill>
                            <a:round/>
                          </a:ln>
                        </wps:spPr>
                        <wps:bodyPr rot="0" vert="horz" wrap="square" lIns="91440" tIns="45720" rIns="91440" bIns="45720" anchor="t" anchorCtr="0" upright="1">
                          <a:noAutofit/>
                        </wps:bodyPr>
                      </wps:wsp>
                      <wps:wsp>
                        <wps:cNvPr id="1977" name="Freeform 121"/>
                        <wps:cNvSpPr/>
                        <wps:spPr bwMode="auto">
                          <a:xfrm>
                            <a:off x="4880" y="3657"/>
                            <a:ext cx="226" cy="315"/>
                          </a:xfrm>
                          <a:custGeom>
                            <a:avLst/>
                            <a:gdLst>
                              <a:gd name="T0" fmla="+- 0 4881 4881"/>
                              <a:gd name="T1" fmla="*/ T0 w 226"/>
                              <a:gd name="T2" fmla="+- 0 3972 3657"/>
                              <a:gd name="T3" fmla="*/ 3972 h 315"/>
                              <a:gd name="T4" fmla="+- 0 5106 4881"/>
                              <a:gd name="T5" fmla="*/ T4 w 226"/>
                              <a:gd name="T6" fmla="+- 0 3657 3657"/>
                              <a:gd name="T7" fmla="*/ 3657 h 315"/>
                              <a:gd name="T8" fmla="+- 0 5106 4881"/>
                              <a:gd name="T9" fmla="*/ T8 w 226"/>
                              <a:gd name="T10" fmla="+- 0 3657 3657"/>
                              <a:gd name="T11" fmla="*/ 3657 h 315"/>
                            </a:gdLst>
                            <a:ahLst/>
                            <a:cxnLst>
                              <a:cxn ang="0">
                                <a:pos x="T1" y="T3"/>
                              </a:cxn>
                              <a:cxn ang="0">
                                <a:pos x="T5" y="T7"/>
                              </a:cxn>
                              <a:cxn ang="0">
                                <a:pos x="T9" y="T11"/>
                              </a:cxn>
                            </a:cxnLst>
                            <a:rect l="0" t="0" r="r" b="b"/>
                            <a:pathLst>
                              <a:path w="226" h="315">
                                <a:moveTo>
                                  <a:pt x="0" y="315"/>
                                </a:moveTo>
                                <a:lnTo>
                                  <a:pt x="225" y="0"/>
                                </a:lnTo>
                              </a:path>
                            </a:pathLst>
                          </a:custGeom>
                          <a:noFill/>
                          <a:ln w="196">
                            <a:solidFill>
                              <a:srgbClr val="000000"/>
                            </a:solidFill>
                            <a:round/>
                          </a:ln>
                        </wps:spPr>
                        <wps:bodyPr rot="0" vert="horz" wrap="square" lIns="91440" tIns="45720" rIns="91440" bIns="45720" anchor="t" anchorCtr="0" upright="1">
                          <a:noAutofit/>
                        </wps:bodyPr>
                      </wps:wsp>
                      <wps:wsp>
                        <wps:cNvPr id="1978" name="Freeform 122"/>
                        <wps:cNvSpPr/>
                        <wps:spPr bwMode="auto">
                          <a:xfrm>
                            <a:off x="5806" y="2343"/>
                            <a:ext cx="240" cy="335"/>
                          </a:xfrm>
                          <a:custGeom>
                            <a:avLst/>
                            <a:gdLst>
                              <a:gd name="T0" fmla="+- 0 5806 5806"/>
                              <a:gd name="T1" fmla="*/ T0 w 240"/>
                              <a:gd name="T2" fmla="+- 0 2679 2344"/>
                              <a:gd name="T3" fmla="*/ 2679 h 335"/>
                              <a:gd name="T4" fmla="+- 0 6046 5806"/>
                              <a:gd name="T5" fmla="*/ T4 w 240"/>
                              <a:gd name="T6" fmla="+- 0 2344 2344"/>
                              <a:gd name="T7" fmla="*/ 2344 h 335"/>
                              <a:gd name="T8" fmla="+- 0 6046 5806"/>
                              <a:gd name="T9" fmla="*/ T8 w 240"/>
                              <a:gd name="T10" fmla="+- 0 2344 2344"/>
                              <a:gd name="T11" fmla="*/ 2344 h 335"/>
                            </a:gdLst>
                            <a:ahLst/>
                            <a:cxnLst>
                              <a:cxn ang="0">
                                <a:pos x="T1" y="T3"/>
                              </a:cxn>
                              <a:cxn ang="0">
                                <a:pos x="T5" y="T7"/>
                              </a:cxn>
                              <a:cxn ang="0">
                                <a:pos x="T9" y="T11"/>
                              </a:cxn>
                            </a:cxnLst>
                            <a:rect l="0" t="0" r="r" b="b"/>
                            <a:pathLst>
                              <a:path w="240" h="335">
                                <a:moveTo>
                                  <a:pt x="0" y="335"/>
                                </a:moveTo>
                                <a:lnTo>
                                  <a:pt x="240" y="0"/>
                                </a:lnTo>
                              </a:path>
                            </a:pathLst>
                          </a:custGeom>
                          <a:noFill/>
                          <a:ln w="196">
                            <a:solidFill>
                              <a:srgbClr val="000000"/>
                            </a:solidFill>
                            <a:round/>
                          </a:ln>
                        </wps:spPr>
                        <wps:bodyPr rot="0" vert="horz" wrap="square" lIns="91440" tIns="45720" rIns="91440" bIns="45720" anchor="t" anchorCtr="0" upright="1">
                          <a:noAutofit/>
                        </wps:bodyPr>
                      </wps:wsp>
                      <wps:wsp>
                        <wps:cNvPr id="1979" name="Freeform 123"/>
                        <wps:cNvSpPr/>
                        <wps:spPr bwMode="auto">
                          <a:xfrm>
                            <a:off x="5106" y="2678"/>
                            <a:ext cx="701" cy="979"/>
                          </a:xfrm>
                          <a:custGeom>
                            <a:avLst/>
                            <a:gdLst>
                              <a:gd name="T0" fmla="+- 0 5106 5106"/>
                              <a:gd name="T1" fmla="*/ T0 w 701"/>
                              <a:gd name="T2" fmla="+- 0 3657 2679"/>
                              <a:gd name="T3" fmla="*/ 3657 h 979"/>
                              <a:gd name="T4" fmla="+- 0 5255 5106"/>
                              <a:gd name="T5" fmla="*/ T4 w 701"/>
                              <a:gd name="T6" fmla="+- 0 3450 2679"/>
                              <a:gd name="T7" fmla="*/ 3450 h 979"/>
                              <a:gd name="T8" fmla="+- 0 5806 5106"/>
                              <a:gd name="T9" fmla="*/ T8 w 701"/>
                              <a:gd name="T10" fmla="+- 0 2679 2679"/>
                              <a:gd name="T11" fmla="*/ 2679 h 979"/>
                              <a:gd name="T12" fmla="+- 0 5807 5106"/>
                              <a:gd name="T13" fmla="*/ T12 w 701"/>
                              <a:gd name="T14" fmla="+- 0 2679 2679"/>
                              <a:gd name="T15" fmla="*/ 2679 h 979"/>
                            </a:gdLst>
                            <a:ahLst/>
                            <a:cxnLst>
                              <a:cxn ang="0">
                                <a:pos x="T1" y="T3"/>
                              </a:cxn>
                              <a:cxn ang="0">
                                <a:pos x="T5" y="T7"/>
                              </a:cxn>
                              <a:cxn ang="0">
                                <a:pos x="T9" y="T11"/>
                              </a:cxn>
                              <a:cxn ang="0">
                                <a:pos x="T13" y="T15"/>
                              </a:cxn>
                            </a:cxnLst>
                            <a:rect l="0" t="0" r="r" b="b"/>
                            <a:pathLst>
                              <a:path w="701" h="979">
                                <a:moveTo>
                                  <a:pt x="0" y="978"/>
                                </a:moveTo>
                                <a:lnTo>
                                  <a:pt x="149" y="771"/>
                                </a:lnTo>
                                <a:lnTo>
                                  <a:pt x="700" y="0"/>
                                </a:lnTo>
                                <a:lnTo>
                                  <a:pt x="701" y="0"/>
                                </a:lnTo>
                              </a:path>
                            </a:pathLst>
                          </a:custGeom>
                          <a:noFill/>
                          <a:ln w="196">
                            <a:solidFill>
                              <a:srgbClr val="000000"/>
                            </a:solidFill>
                            <a:round/>
                          </a:ln>
                        </wps:spPr>
                        <wps:bodyPr rot="0" vert="horz" wrap="square" lIns="91440" tIns="45720" rIns="91440" bIns="45720" anchor="t" anchorCtr="0" upright="1">
                          <a:noAutofit/>
                        </wps:bodyPr>
                      </wps:wsp>
                      <wps:wsp>
                        <wps:cNvPr id="1980" name="Freeform 124"/>
                        <wps:cNvSpPr/>
                        <wps:spPr bwMode="auto">
                          <a:xfrm>
                            <a:off x="4880" y="3747"/>
                            <a:ext cx="266" cy="371"/>
                          </a:xfrm>
                          <a:custGeom>
                            <a:avLst/>
                            <a:gdLst>
                              <a:gd name="T0" fmla="+- 0 4881 4881"/>
                              <a:gd name="T1" fmla="*/ T0 w 266"/>
                              <a:gd name="T2" fmla="+- 0 4118 3747"/>
                              <a:gd name="T3" fmla="*/ 4118 h 371"/>
                              <a:gd name="T4" fmla="+- 0 5146 4881"/>
                              <a:gd name="T5" fmla="*/ T4 w 266"/>
                              <a:gd name="T6" fmla="+- 0 3747 3747"/>
                              <a:gd name="T7" fmla="*/ 3747 h 371"/>
                              <a:gd name="T8" fmla="+- 0 5147 4881"/>
                              <a:gd name="T9" fmla="*/ T8 w 266"/>
                              <a:gd name="T10" fmla="+- 0 3747 3747"/>
                              <a:gd name="T11" fmla="*/ 3747 h 371"/>
                            </a:gdLst>
                            <a:ahLst/>
                            <a:cxnLst>
                              <a:cxn ang="0">
                                <a:pos x="T1" y="T3"/>
                              </a:cxn>
                              <a:cxn ang="0">
                                <a:pos x="T5" y="T7"/>
                              </a:cxn>
                              <a:cxn ang="0">
                                <a:pos x="T9" y="T11"/>
                              </a:cxn>
                            </a:cxnLst>
                            <a:rect l="0" t="0" r="r" b="b"/>
                            <a:pathLst>
                              <a:path w="266" h="371">
                                <a:moveTo>
                                  <a:pt x="0" y="371"/>
                                </a:moveTo>
                                <a:lnTo>
                                  <a:pt x="265" y="0"/>
                                </a:lnTo>
                                <a:lnTo>
                                  <a:pt x="266" y="0"/>
                                </a:lnTo>
                              </a:path>
                            </a:pathLst>
                          </a:custGeom>
                          <a:noFill/>
                          <a:ln w="196">
                            <a:solidFill>
                              <a:srgbClr val="000000"/>
                            </a:solidFill>
                            <a:round/>
                          </a:ln>
                        </wps:spPr>
                        <wps:bodyPr rot="0" vert="horz" wrap="square" lIns="91440" tIns="45720" rIns="91440" bIns="45720" anchor="t" anchorCtr="0" upright="1">
                          <a:noAutofit/>
                        </wps:bodyPr>
                      </wps:wsp>
                      <wps:wsp>
                        <wps:cNvPr id="1981" name="Freeform 125"/>
                        <wps:cNvSpPr/>
                        <wps:spPr bwMode="auto">
                          <a:xfrm>
                            <a:off x="5911" y="2459"/>
                            <a:ext cx="158" cy="220"/>
                          </a:xfrm>
                          <a:custGeom>
                            <a:avLst/>
                            <a:gdLst>
                              <a:gd name="T0" fmla="+- 0 5911 5911"/>
                              <a:gd name="T1" fmla="*/ T0 w 158"/>
                              <a:gd name="T2" fmla="+- 0 2679 2460"/>
                              <a:gd name="T3" fmla="*/ 2679 h 220"/>
                              <a:gd name="T4" fmla="+- 0 6068 5911"/>
                              <a:gd name="T5" fmla="*/ T4 w 158"/>
                              <a:gd name="T6" fmla="+- 0 2460 2460"/>
                              <a:gd name="T7" fmla="*/ 2460 h 220"/>
                              <a:gd name="T8" fmla="+- 0 6068 5911"/>
                              <a:gd name="T9" fmla="*/ T8 w 158"/>
                              <a:gd name="T10" fmla="+- 0 2460 2460"/>
                              <a:gd name="T11" fmla="*/ 2460 h 220"/>
                            </a:gdLst>
                            <a:ahLst/>
                            <a:cxnLst>
                              <a:cxn ang="0">
                                <a:pos x="T1" y="T3"/>
                              </a:cxn>
                              <a:cxn ang="0">
                                <a:pos x="T5" y="T7"/>
                              </a:cxn>
                              <a:cxn ang="0">
                                <a:pos x="T9" y="T11"/>
                              </a:cxn>
                            </a:cxnLst>
                            <a:rect l="0" t="0" r="r" b="b"/>
                            <a:pathLst>
                              <a:path w="158" h="220">
                                <a:moveTo>
                                  <a:pt x="0" y="219"/>
                                </a:moveTo>
                                <a:lnTo>
                                  <a:pt x="157" y="0"/>
                                </a:lnTo>
                              </a:path>
                            </a:pathLst>
                          </a:custGeom>
                          <a:noFill/>
                          <a:ln w="196">
                            <a:solidFill>
                              <a:srgbClr val="000000"/>
                            </a:solidFill>
                            <a:round/>
                          </a:ln>
                        </wps:spPr>
                        <wps:bodyPr rot="0" vert="horz" wrap="square" lIns="91440" tIns="45720" rIns="91440" bIns="45720" anchor="t" anchorCtr="0" upright="1">
                          <a:noAutofit/>
                        </wps:bodyPr>
                      </wps:wsp>
                      <wps:wsp>
                        <wps:cNvPr id="1982" name="Freeform 126"/>
                        <wps:cNvSpPr/>
                        <wps:spPr bwMode="auto">
                          <a:xfrm>
                            <a:off x="5146" y="2678"/>
                            <a:ext cx="766" cy="1069"/>
                          </a:xfrm>
                          <a:custGeom>
                            <a:avLst/>
                            <a:gdLst>
                              <a:gd name="T0" fmla="+- 0 5146 5146"/>
                              <a:gd name="T1" fmla="*/ T0 w 766"/>
                              <a:gd name="T2" fmla="+- 0 3747 2679"/>
                              <a:gd name="T3" fmla="*/ 3747 h 1069"/>
                              <a:gd name="T4" fmla="+- 0 5360 5146"/>
                              <a:gd name="T5" fmla="*/ T4 w 766"/>
                              <a:gd name="T6" fmla="+- 0 3450 2679"/>
                              <a:gd name="T7" fmla="*/ 3450 h 1069"/>
                              <a:gd name="T8" fmla="+- 0 5911 5146"/>
                              <a:gd name="T9" fmla="*/ T8 w 766"/>
                              <a:gd name="T10" fmla="+- 0 2679 2679"/>
                              <a:gd name="T11" fmla="*/ 2679 h 1069"/>
                              <a:gd name="T12" fmla="+- 0 5911 5146"/>
                              <a:gd name="T13" fmla="*/ T12 w 766"/>
                              <a:gd name="T14" fmla="+- 0 2679 2679"/>
                              <a:gd name="T15" fmla="*/ 2679 h 1069"/>
                            </a:gdLst>
                            <a:ahLst/>
                            <a:cxnLst>
                              <a:cxn ang="0">
                                <a:pos x="T1" y="T3"/>
                              </a:cxn>
                              <a:cxn ang="0">
                                <a:pos x="T5" y="T7"/>
                              </a:cxn>
                              <a:cxn ang="0">
                                <a:pos x="T9" y="T11"/>
                              </a:cxn>
                              <a:cxn ang="0">
                                <a:pos x="T13" y="T15"/>
                              </a:cxn>
                            </a:cxnLst>
                            <a:rect l="0" t="0" r="r" b="b"/>
                            <a:pathLst>
                              <a:path w="766" h="1069">
                                <a:moveTo>
                                  <a:pt x="0" y="1068"/>
                                </a:moveTo>
                                <a:lnTo>
                                  <a:pt x="214" y="771"/>
                                </a:lnTo>
                                <a:lnTo>
                                  <a:pt x="765" y="0"/>
                                </a:lnTo>
                              </a:path>
                            </a:pathLst>
                          </a:custGeom>
                          <a:noFill/>
                          <a:ln w="196">
                            <a:solidFill>
                              <a:srgbClr val="000000"/>
                            </a:solidFill>
                            <a:round/>
                          </a:ln>
                        </wps:spPr>
                        <wps:bodyPr rot="0" vert="horz" wrap="square" lIns="91440" tIns="45720" rIns="91440" bIns="45720" anchor="t" anchorCtr="0" upright="1">
                          <a:noAutofit/>
                        </wps:bodyPr>
                      </wps:wsp>
                      <wps:wsp>
                        <wps:cNvPr id="1983" name="Freeform 127"/>
                        <wps:cNvSpPr/>
                        <wps:spPr bwMode="auto">
                          <a:xfrm>
                            <a:off x="4880" y="3861"/>
                            <a:ext cx="289" cy="403"/>
                          </a:xfrm>
                          <a:custGeom>
                            <a:avLst/>
                            <a:gdLst>
                              <a:gd name="T0" fmla="+- 0 4881 4881"/>
                              <a:gd name="T1" fmla="*/ T0 w 289"/>
                              <a:gd name="T2" fmla="+- 0 4265 3862"/>
                              <a:gd name="T3" fmla="*/ 4265 h 403"/>
                              <a:gd name="T4" fmla="+- 0 5169 4881"/>
                              <a:gd name="T5" fmla="*/ T4 w 289"/>
                              <a:gd name="T6" fmla="+- 0 3862 3862"/>
                              <a:gd name="T7" fmla="*/ 3862 h 403"/>
                              <a:gd name="T8" fmla="+- 0 5170 4881"/>
                              <a:gd name="T9" fmla="*/ T8 w 289"/>
                              <a:gd name="T10" fmla="+- 0 3862 3862"/>
                              <a:gd name="T11" fmla="*/ 3862 h 403"/>
                            </a:gdLst>
                            <a:ahLst/>
                            <a:cxnLst>
                              <a:cxn ang="0">
                                <a:pos x="T1" y="T3"/>
                              </a:cxn>
                              <a:cxn ang="0">
                                <a:pos x="T5" y="T7"/>
                              </a:cxn>
                              <a:cxn ang="0">
                                <a:pos x="T9" y="T11"/>
                              </a:cxn>
                            </a:cxnLst>
                            <a:rect l="0" t="0" r="r" b="b"/>
                            <a:pathLst>
                              <a:path w="289" h="403">
                                <a:moveTo>
                                  <a:pt x="0" y="403"/>
                                </a:moveTo>
                                <a:lnTo>
                                  <a:pt x="288" y="0"/>
                                </a:lnTo>
                                <a:lnTo>
                                  <a:pt x="289" y="0"/>
                                </a:lnTo>
                              </a:path>
                            </a:pathLst>
                          </a:custGeom>
                          <a:noFill/>
                          <a:ln w="196">
                            <a:solidFill>
                              <a:srgbClr val="000000"/>
                            </a:solidFill>
                            <a:round/>
                          </a:ln>
                        </wps:spPr>
                        <wps:bodyPr rot="0" vert="horz" wrap="square" lIns="91440" tIns="45720" rIns="91440" bIns="45720" anchor="t" anchorCtr="0" upright="1">
                          <a:noAutofit/>
                        </wps:bodyPr>
                      </wps:wsp>
                      <wps:wsp>
                        <wps:cNvPr id="1984" name="Freeform 128"/>
                        <wps:cNvSpPr/>
                        <wps:spPr bwMode="auto">
                          <a:xfrm>
                            <a:off x="6016" y="2606"/>
                            <a:ext cx="53" cy="73"/>
                          </a:xfrm>
                          <a:custGeom>
                            <a:avLst/>
                            <a:gdLst>
                              <a:gd name="T0" fmla="+- 0 6016 6016"/>
                              <a:gd name="T1" fmla="*/ T0 w 53"/>
                              <a:gd name="T2" fmla="+- 0 2679 2606"/>
                              <a:gd name="T3" fmla="*/ 2679 h 73"/>
                              <a:gd name="T4" fmla="+- 0 6068 6016"/>
                              <a:gd name="T5" fmla="*/ T4 w 53"/>
                              <a:gd name="T6" fmla="+- 0 2606 2606"/>
                              <a:gd name="T7" fmla="*/ 2606 h 73"/>
                              <a:gd name="T8" fmla="+- 0 6068 6016"/>
                              <a:gd name="T9" fmla="*/ T8 w 53"/>
                              <a:gd name="T10" fmla="+- 0 2606 2606"/>
                              <a:gd name="T11" fmla="*/ 2606 h 73"/>
                            </a:gdLst>
                            <a:ahLst/>
                            <a:cxnLst>
                              <a:cxn ang="0">
                                <a:pos x="T1" y="T3"/>
                              </a:cxn>
                              <a:cxn ang="0">
                                <a:pos x="T5" y="T7"/>
                              </a:cxn>
                              <a:cxn ang="0">
                                <a:pos x="T9" y="T11"/>
                              </a:cxn>
                            </a:cxnLst>
                            <a:rect l="0" t="0" r="r" b="b"/>
                            <a:pathLst>
                              <a:path w="53" h="73">
                                <a:moveTo>
                                  <a:pt x="0" y="73"/>
                                </a:moveTo>
                                <a:lnTo>
                                  <a:pt x="52" y="0"/>
                                </a:lnTo>
                              </a:path>
                            </a:pathLst>
                          </a:custGeom>
                          <a:noFill/>
                          <a:ln w="197">
                            <a:solidFill>
                              <a:srgbClr val="000000"/>
                            </a:solidFill>
                            <a:round/>
                          </a:ln>
                        </wps:spPr>
                        <wps:bodyPr rot="0" vert="horz" wrap="square" lIns="91440" tIns="45720" rIns="91440" bIns="45720" anchor="t" anchorCtr="0" upright="1">
                          <a:noAutofit/>
                        </wps:bodyPr>
                      </wps:wsp>
                      <wps:wsp>
                        <wps:cNvPr id="1985" name="Freeform 129"/>
                        <wps:cNvSpPr/>
                        <wps:spPr bwMode="auto">
                          <a:xfrm>
                            <a:off x="5169" y="2678"/>
                            <a:ext cx="847" cy="1184"/>
                          </a:xfrm>
                          <a:custGeom>
                            <a:avLst/>
                            <a:gdLst>
                              <a:gd name="T0" fmla="+- 0 5169 5169"/>
                              <a:gd name="T1" fmla="*/ T0 w 847"/>
                              <a:gd name="T2" fmla="+- 0 3862 2679"/>
                              <a:gd name="T3" fmla="*/ 3862 h 1184"/>
                              <a:gd name="T4" fmla="+- 0 5464 5169"/>
                              <a:gd name="T5" fmla="*/ T4 w 847"/>
                              <a:gd name="T6" fmla="+- 0 3450 2679"/>
                              <a:gd name="T7" fmla="*/ 3450 h 1184"/>
                              <a:gd name="T8" fmla="+- 0 6016 5169"/>
                              <a:gd name="T9" fmla="*/ T8 w 847"/>
                              <a:gd name="T10" fmla="+- 0 2679 2679"/>
                              <a:gd name="T11" fmla="*/ 2679 h 1184"/>
                              <a:gd name="T12" fmla="+- 0 6016 5169"/>
                              <a:gd name="T13" fmla="*/ T12 w 847"/>
                              <a:gd name="T14" fmla="+- 0 2679 2679"/>
                              <a:gd name="T15" fmla="*/ 2679 h 1184"/>
                            </a:gdLst>
                            <a:ahLst/>
                            <a:cxnLst>
                              <a:cxn ang="0">
                                <a:pos x="T1" y="T3"/>
                              </a:cxn>
                              <a:cxn ang="0">
                                <a:pos x="T5" y="T7"/>
                              </a:cxn>
                              <a:cxn ang="0">
                                <a:pos x="T9" y="T11"/>
                              </a:cxn>
                              <a:cxn ang="0">
                                <a:pos x="T13" y="T15"/>
                              </a:cxn>
                            </a:cxnLst>
                            <a:rect l="0" t="0" r="r" b="b"/>
                            <a:pathLst>
                              <a:path w="847" h="1184">
                                <a:moveTo>
                                  <a:pt x="0" y="1183"/>
                                </a:moveTo>
                                <a:lnTo>
                                  <a:pt x="295" y="771"/>
                                </a:lnTo>
                                <a:lnTo>
                                  <a:pt x="847" y="0"/>
                                </a:lnTo>
                              </a:path>
                            </a:pathLst>
                          </a:custGeom>
                          <a:noFill/>
                          <a:ln w="196">
                            <a:solidFill>
                              <a:srgbClr val="000000"/>
                            </a:solidFill>
                            <a:round/>
                          </a:ln>
                        </wps:spPr>
                        <wps:bodyPr rot="0" vert="horz" wrap="square" lIns="91440" tIns="45720" rIns="91440" bIns="45720" anchor="t" anchorCtr="0" upright="1">
                          <a:noAutofit/>
                        </wps:bodyPr>
                      </wps:wsp>
                      <wps:wsp>
                        <wps:cNvPr id="1986" name="Freeform 130"/>
                        <wps:cNvSpPr/>
                        <wps:spPr bwMode="auto">
                          <a:xfrm>
                            <a:off x="4880" y="4306"/>
                            <a:ext cx="76" cy="105"/>
                          </a:xfrm>
                          <a:custGeom>
                            <a:avLst/>
                            <a:gdLst>
                              <a:gd name="T0" fmla="+- 0 4881 4881"/>
                              <a:gd name="T1" fmla="*/ T0 w 76"/>
                              <a:gd name="T2" fmla="+- 0 4412 4307"/>
                              <a:gd name="T3" fmla="*/ 4412 h 105"/>
                              <a:gd name="T4" fmla="+- 0 4956 4881"/>
                              <a:gd name="T5" fmla="*/ T4 w 76"/>
                              <a:gd name="T6" fmla="+- 0 4307 4307"/>
                              <a:gd name="T7" fmla="*/ 4307 h 105"/>
                              <a:gd name="T8" fmla="+- 0 4957 4881"/>
                              <a:gd name="T9" fmla="*/ T8 w 76"/>
                              <a:gd name="T10" fmla="+- 0 4307 4307"/>
                              <a:gd name="T11" fmla="*/ 4307 h 105"/>
                            </a:gdLst>
                            <a:ahLst/>
                            <a:cxnLst>
                              <a:cxn ang="0">
                                <a:pos x="T1" y="T3"/>
                              </a:cxn>
                              <a:cxn ang="0">
                                <a:pos x="T5" y="T7"/>
                              </a:cxn>
                              <a:cxn ang="0">
                                <a:pos x="T9" y="T11"/>
                              </a:cxn>
                            </a:cxnLst>
                            <a:rect l="0" t="0" r="r" b="b"/>
                            <a:pathLst>
                              <a:path w="76" h="105">
                                <a:moveTo>
                                  <a:pt x="0" y="105"/>
                                </a:moveTo>
                                <a:lnTo>
                                  <a:pt x="75" y="0"/>
                                </a:lnTo>
                                <a:lnTo>
                                  <a:pt x="76" y="0"/>
                                </a:lnTo>
                              </a:path>
                            </a:pathLst>
                          </a:custGeom>
                          <a:noFill/>
                          <a:ln w="197">
                            <a:solidFill>
                              <a:srgbClr val="000000"/>
                            </a:solidFill>
                            <a:round/>
                          </a:ln>
                        </wps:spPr>
                        <wps:bodyPr rot="0" vert="horz" wrap="square" lIns="91440" tIns="45720" rIns="91440" bIns="45720" anchor="t" anchorCtr="0" upright="1">
                          <a:noAutofit/>
                        </wps:bodyPr>
                      </wps:wsp>
                      <wps:wsp>
                        <wps:cNvPr id="1987" name="Freeform 131"/>
                        <wps:cNvSpPr/>
                        <wps:spPr bwMode="auto">
                          <a:xfrm>
                            <a:off x="5569" y="2752"/>
                            <a:ext cx="499" cy="697"/>
                          </a:xfrm>
                          <a:custGeom>
                            <a:avLst/>
                            <a:gdLst>
                              <a:gd name="T0" fmla="+- 0 5569 5569"/>
                              <a:gd name="T1" fmla="*/ T0 w 499"/>
                              <a:gd name="T2" fmla="+- 0 3450 2753"/>
                              <a:gd name="T3" fmla="*/ 3450 h 697"/>
                              <a:gd name="T4" fmla="+- 0 6068 5569"/>
                              <a:gd name="T5" fmla="*/ T4 w 499"/>
                              <a:gd name="T6" fmla="+- 0 2753 2753"/>
                              <a:gd name="T7" fmla="*/ 2753 h 697"/>
                              <a:gd name="T8" fmla="+- 0 6068 5569"/>
                              <a:gd name="T9" fmla="*/ T8 w 499"/>
                              <a:gd name="T10" fmla="+- 0 2753 2753"/>
                              <a:gd name="T11" fmla="*/ 2753 h 697"/>
                            </a:gdLst>
                            <a:ahLst/>
                            <a:cxnLst>
                              <a:cxn ang="0">
                                <a:pos x="T1" y="T3"/>
                              </a:cxn>
                              <a:cxn ang="0">
                                <a:pos x="T5" y="T7"/>
                              </a:cxn>
                              <a:cxn ang="0">
                                <a:pos x="T9" y="T11"/>
                              </a:cxn>
                            </a:cxnLst>
                            <a:rect l="0" t="0" r="r" b="b"/>
                            <a:pathLst>
                              <a:path w="499" h="697">
                                <a:moveTo>
                                  <a:pt x="0" y="697"/>
                                </a:moveTo>
                                <a:lnTo>
                                  <a:pt x="499" y="0"/>
                                </a:lnTo>
                              </a:path>
                            </a:pathLst>
                          </a:custGeom>
                          <a:noFill/>
                          <a:ln w="196">
                            <a:solidFill>
                              <a:srgbClr val="000000"/>
                            </a:solidFill>
                            <a:round/>
                          </a:ln>
                        </wps:spPr>
                        <wps:bodyPr rot="0" vert="horz" wrap="square" lIns="91440" tIns="45720" rIns="91440" bIns="45720" anchor="t" anchorCtr="0" upright="1">
                          <a:noAutofit/>
                        </wps:bodyPr>
                      </wps:wsp>
                      <wps:wsp>
                        <wps:cNvPr id="1988" name="Freeform 132"/>
                        <wps:cNvSpPr/>
                        <wps:spPr bwMode="auto">
                          <a:xfrm>
                            <a:off x="4956" y="3449"/>
                            <a:ext cx="614" cy="857"/>
                          </a:xfrm>
                          <a:custGeom>
                            <a:avLst/>
                            <a:gdLst>
                              <a:gd name="T0" fmla="+- 0 4956 4956"/>
                              <a:gd name="T1" fmla="*/ T0 w 614"/>
                              <a:gd name="T2" fmla="+- 0 4307 3450"/>
                              <a:gd name="T3" fmla="*/ 4307 h 857"/>
                              <a:gd name="T4" fmla="+- 0 5162 4956"/>
                              <a:gd name="T5" fmla="*/ T4 w 614"/>
                              <a:gd name="T6" fmla="+- 0 4019 3450"/>
                              <a:gd name="T7" fmla="*/ 4019 h 857"/>
                              <a:gd name="T8" fmla="+- 0 5569 4956"/>
                              <a:gd name="T9" fmla="*/ T8 w 614"/>
                              <a:gd name="T10" fmla="+- 0 3450 3450"/>
                              <a:gd name="T11" fmla="*/ 3450 h 857"/>
                              <a:gd name="T12" fmla="+- 0 5570 4956"/>
                              <a:gd name="T13" fmla="*/ T12 w 614"/>
                              <a:gd name="T14" fmla="+- 0 3450 3450"/>
                              <a:gd name="T15" fmla="*/ 3450 h 857"/>
                            </a:gdLst>
                            <a:ahLst/>
                            <a:cxnLst>
                              <a:cxn ang="0">
                                <a:pos x="T1" y="T3"/>
                              </a:cxn>
                              <a:cxn ang="0">
                                <a:pos x="T5" y="T7"/>
                              </a:cxn>
                              <a:cxn ang="0">
                                <a:pos x="T9" y="T11"/>
                              </a:cxn>
                              <a:cxn ang="0">
                                <a:pos x="T13" y="T15"/>
                              </a:cxn>
                            </a:cxnLst>
                            <a:rect l="0" t="0" r="r" b="b"/>
                            <a:pathLst>
                              <a:path w="614" h="857">
                                <a:moveTo>
                                  <a:pt x="0" y="857"/>
                                </a:moveTo>
                                <a:lnTo>
                                  <a:pt x="206" y="569"/>
                                </a:lnTo>
                                <a:lnTo>
                                  <a:pt x="613" y="0"/>
                                </a:lnTo>
                                <a:lnTo>
                                  <a:pt x="614" y="0"/>
                                </a:lnTo>
                              </a:path>
                            </a:pathLst>
                          </a:custGeom>
                          <a:noFill/>
                          <a:ln w="196">
                            <a:solidFill>
                              <a:srgbClr val="000000"/>
                            </a:solidFill>
                            <a:round/>
                          </a:ln>
                        </wps:spPr>
                        <wps:bodyPr rot="0" vert="horz" wrap="square" lIns="91440" tIns="45720" rIns="91440" bIns="45720" anchor="t" anchorCtr="0" upright="1">
                          <a:noAutofit/>
                        </wps:bodyPr>
                      </wps:wsp>
                      <wps:wsp>
                        <wps:cNvPr id="1989" name="Freeform 133"/>
                        <wps:cNvSpPr/>
                        <wps:spPr bwMode="auto">
                          <a:xfrm>
                            <a:off x="4984" y="2899"/>
                            <a:ext cx="1085" cy="1515"/>
                          </a:xfrm>
                          <a:custGeom>
                            <a:avLst/>
                            <a:gdLst>
                              <a:gd name="T0" fmla="+- 0 4984 4984"/>
                              <a:gd name="T1" fmla="*/ T0 w 1085"/>
                              <a:gd name="T2" fmla="+- 0 4414 2900"/>
                              <a:gd name="T3" fmla="*/ 4414 h 1515"/>
                              <a:gd name="T4" fmla="+- 0 5674 4984"/>
                              <a:gd name="T5" fmla="*/ T4 w 1085"/>
                              <a:gd name="T6" fmla="+- 0 3450 2900"/>
                              <a:gd name="T7" fmla="*/ 3450 h 1515"/>
                              <a:gd name="T8" fmla="+- 0 6068 4984"/>
                              <a:gd name="T9" fmla="*/ T8 w 1085"/>
                              <a:gd name="T10" fmla="+- 0 2900 2900"/>
                              <a:gd name="T11" fmla="*/ 2900 h 1515"/>
                              <a:gd name="T12" fmla="+- 0 6068 4984"/>
                              <a:gd name="T13" fmla="*/ T12 w 1085"/>
                              <a:gd name="T14" fmla="+- 0 2900 2900"/>
                              <a:gd name="T15" fmla="*/ 2900 h 1515"/>
                            </a:gdLst>
                            <a:ahLst/>
                            <a:cxnLst>
                              <a:cxn ang="0">
                                <a:pos x="T1" y="T3"/>
                              </a:cxn>
                              <a:cxn ang="0">
                                <a:pos x="T5" y="T7"/>
                              </a:cxn>
                              <a:cxn ang="0">
                                <a:pos x="T9" y="T11"/>
                              </a:cxn>
                              <a:cxn ang="0">
                                <a:pos x="T13" y="T15"/>
                              </a:cxn>
                            </a:cxnLst>
                            <a:rect l="0" t="0" r="r" b="b"/>
                            <a:pathLst>
                              <a:path w="1085" h="1515">
                                <a:moveTo>
                                  <a:pt x="0" y="1514"/>
                                </a:moveTo>
                                <a:lnTo>
                                  <a:pt x="690" y="550"/>
                                </a:lnTo>
                                <a:lnTo>
                                  <a:pt x="1084" y="0"/>
                                </a:lnTo>
                              </a:path>
                            </a:pathLst>
                          </a:custGeom>
                          <a:noFill/>
                          <a:ln w="196">
                            <a:solidFill>
                              <a:srgbClr val="000000"/>
                            </a:solidFill>
                            <a:round/>
                          </a:ln>
                        </wps:spPr>
                        <wps:bodyPr rot="0" vert="horz" wrap="square" lIns="91440" tIns="45720" rIns="91440" bIns="45720" anchor="t" anchorCtr="0" upright="1">
                          <a:noAutofit/>
                        </wps:bodyPr>
                      </wps:wsp>
                      <wps:wsp>
                        <wps:cNvPr id="1990" name="Freeform 134"/>
                        <wps:cNvSpPr/>
                        <wps:spPr bwMode="auto">
                          <a:xfrm>
                            <a:off x="5089" y="3046"/>
                            <a:ext cx="979" cy="1368"/>
                          </a:xfrm>
                          <a:custGeom>
                            <a:avLst/>
                            <a:gdLst>
                              <a:gd name="T0" fmla="+- 0 5089 5089"/>
                              <a:gd name="T1" fmla="*/ T0 w 979"/>
                              <a:gd name="T2" fmla="+- 0 4414 3046"/>
                              <a:gd name="T3" fmla="*/ 4414 h 1368"/>
                              <a:gd name="T4" fmla="+- 0 5779 5089"/>
                              <a:gd name="T5" fmla="*/ T4 w 979"/>
                              <a:gd name="T6" fmla="+- 0 3450 3046"/>
                              <a:gd name="T7" fmla="*/ 3450 h 1368"/>
                              <a:gd name="T8" fmla="+- 0 6068 5089"/>
                              <a:gd name="T9" fmla="*/ T8 w 979"/>
                              <a:gd name="T10" fmla="+- 0 3046 3046"/>
                              <a:gd name="T11" fmla="*/ 3046 h 1368"/>
                              <a:gd name="T12" fmla="+- 0 6068 5089"/>
                              <a:gd name="T13" fmla="*/ T12 w 979"/>
                              <a:gd name="T14" fmla="+- 0 3046 3046"/>
                              <a:gd name="T15" fmla="*/ 3046 h 1368"/>
                            </a:gdLst>
                            <a:ahLst/>
                            <a:cxnLst>
                              <a:cxn ang="0">
                                <a:pos x="T1" y="T3"/>
                              </a:cxn>
                              <a:cxn ang="0">
                                <a:pos x="T5" y="T7"/>
                              </a:cxn>
                              <a:cxn ang="0">
                                <a:pos x="T9" y="T11"/>
                              </a:cxn>
                              <a:cxn ang="0">
                                <a:pos x="T13" y="T15"/>
                              </a:cxn>
                            </a:cxnLst>
                            <a:rect l="0" t="0" r="r" b="b"/>
                            <a:pathLst>
                              <a:path w="979" h="1368">
                                <a:moveTo>
                                  <a:pt x="0" y="1368"/>
                                </a:moveTo>
                                <a:lnTo>
                                  <a:pt x="690" y="404"/>
                                </a:lnTo>
                                <a:lnTo>
                                  <a:pt x="979" y="0"/>
                                </a:lnTo>
                              </a:path>
                            </a:pathLst>
                          </a:custGeom>
                          <a:noFill/>
                          <a:ln w="196">
                            <a:solidFill>
                              <a:srgbClr val="000000"/>
                            </a:solidFill>
                            <a:round/>
                          </a:ln>
                        </wps:spPr>
                        <wps:bodyPr rot="0" vert="horz" wrap="square" lIns="91440" tIns="45720" rIns="91440" bIns="45720" anchor="t" anchorCtr="0" upright="1">
                          <a:noAutofit/>
                        </wps:bodyPr>
                      </wps:wsp>
                      <wps:wsp>
                        <wps:cNvPr id="1991" name="Freeform 135"/>
                        <wps:cNvSpPr/>
                        <wps:spPr bwMode="auto">
                          <a:xfrm>
                            <a:off x="5194" y="3192"/>
                            <a:ext cx="874" cy="1222"/>
                          </a:xfrm>
                          <a:custGeom>
                            <a:avLst/>
                            <a:gdLst>
                              <a:gd name="T0" fmla="+- 0 5194 5194"/>
                              <a:gd name="T1" fmla="*/ T0 w 874"/>
                              <a:gd name="T2" fmla="+- 0 4414 3192"/>
                              <a:gd name="T3" fmla="*/ 4414 h 1222"/>
                              <a:gd name="T4" fmla="+- 0 5884 5194"/>
                              <a:gd name="T5" fmla="*/ T4 w 874"/>
                              <a:gd name="T6" fmla="+- 0 3450 3192"/>
                              <a:gd name="T7" fmla="*/ 3450 h 1222"/>
                              <a:gd name="T8" fmla="+- 0 6068 5194"/>
                              <a:gd name="T9" fmla="*/ T8 w 874"/>
                              <a:gd name="T10" fmla="+- 0 3192 3192"/>
                              <a:gd name="T11" fmla="*/ 3192 h 1222"/>
                              <a:gd name="T12" fmla="+- 0 6068 5194"/>
                              <a:gd name="T13" fmla="*/ T12 w 874"/>
                              <a:gd name="T14" fmla="+- 0 3192 3192"/>
                              <a:gd name="T15" fmla="*/ 3192 h 1222"/>
                            </a:gdLst>
                            <a:ahLst/>
                            <a:cxnLst>
                              <a:cxn ang="0">
                                <a:pos x="T1" y="T3"/>
                              </a:cxn>
                              <a:cxn ang="0">
                                <a:pos x="T5" y="T7"/>
                              </a:cxn>
                              <a:cxn ang="0">
                                <a:pos x="T9" y="T11"/>
                              </a:cxn>
                              <a:cxn ang="0">
                                <a:pos x="T13" y="T15"/>
                              </a:cxn>
                            </a:cxnLst>
                            <a:rect l="0" t="0" r="r" b="b"/>
                            <a:pathLst>
                              <a:path w="874" h="1222">
                                <a:moveTo>
                                  <a:pt x="0" y="1222"/>
                                </a:moveTo>
                                <a:lnTo>
                                  <a:pt x="690" y="258"/>
                                </a:lnTo>
                                <a:lnTo>
                                  <a:pt x="874" y="0"/>
                                </a:lnTo>
                              </a:path>
                            </a:pathLst>
                          </a:custGeom>
                          <a:noFill/>
                          <a:ln w="196">
                            <a:solidFill>
                              <a:srgbClr val="000000"/>
                            </a:solidFill>
                            <a:round/>
                          </a:ln>
                        </wps:spPr>
                        <wps:bodyPr rot="0" vert="horz" wrap="square" lIns="91440" tIns="45720" rIns="91440" bIns="45720" anchor="t" anchorCtr="0" upright="1">
                          <a:noAutofit/>
                        </wps:bodyPr>
                      </wps:wsp>
                      <wps:wsp>
                        <wps:cNvPr id="1992" name="Freeform 136"/>
                        <wps:cNvSpPr/>
                        <wps:spPr bwMode="auto">
                          <a:xfrm>
                            <a:off x="5299" y="3339"/>
                            <a:ext cx="770" cy="1075"/>
                          </a:xfrm>
                          <a:custGeom>
                            <a:avLst/>
                            <a:gdLst>
                              <a:gd name="T0" fmla="+- 0 5299 5299"/>
                              <a:gd name="T1" fmla="*/ T0 w 770"/>
                              <a:gd name="T2" fmla="+- 0 4414 3339"/>
                              <a:gd name="T3" fmla="*/ 4414 h 1075"/>
                              <a:gd name="T4" fmla="+- 0 5989 5299"/>
                              <a:gd name="T5" fmla="*/ T4 w 770"/>
                              <a:gd name="T6" fmla="+- 0 3450 3339"/>
                              <a:gd name="T7" fmla="*/ 3450 h 1075"/>
                              <a:gd name="T8" fmla="+- 0 6068 5299"/>
                              <a:gd name="T9" fmla="*/ T8 w 770"/>
                              <a:gd name="T10" fmla="+- 0 3339 3339"/>
                              <a:gd name="T11" fmla="*/ 3339 h 1075"/>
                              <a:gd name="T12" fmla="+- 0 6068 5299"/>
                              <a:gd name="T13" fmla="*/ T12 w 770"/>
                              <a:gd name="T14" fmla="+- 0 3339 3339"/>
                              <a:gd name="T15" fmla="*/ 3339 h 1075"/>
                            </a:gdLst>
                            <a:ahLst/>
                            <a:cxnLst>
                              <a:cxn ang="0">
                                <a:pos x="T1" y="T3"/>
                              </a:cxn>
                              <a:cxn ang="0">
                                <a:pos x="T5" y="T7"/>
                              </a:cxn>
                              <a:cxn ang="0">
                                <a:pos x="T9" y="T11"/>
                              </a:cxn>
                              <a:cxn ang="0">
                                <a:pos x="T13" y="T15"/>
                              </a:cxn>
                            </a:cxnLst>
                            <a:rect l="0" t="0" r="r" b="b"/>
                            <a:pathLst>
                              <a:path w="770" h="1075">
                                <a:moveTo>
                                  <a:pt x="0" y="1075"/>
                                </a:moveTo>
                                <a:lnTo>
                                  <a:pt x="690" y="111"/>
                                </a:lnTo>
                                <a:lnTo>
                                  <a:pt x="769" y="0"/>
                                </a:lnTo>
                              </a:path>
                            </a:pathLst>
                          </a:custGeom>
                          <a:noFill/>
                          <a:ln w="196">
                            <a:solidFill>
                              <a:srgbClr val="000000"/>
                            </a:solidFill>
                            <a:round/>
                          </a:ln>
                        </wps:spPr>
                        <wps:bodyPr rot="0" vert="horz" wrap="square" lIns="91440" tIns="45720" rIns="91440" bIns="45720" anchor="t" anchorCtr="0" upright="1">
                          <a:noAutofit/>
                        </wps:bodyPr>
                      </wps:wsp>
                      <wps:wsp>
                        <wps:cNvPr id="1993" name="Freeform 137"/>
                        <wps:cNvSpPr/>
                        <wps:spPr bwMode="auto">
                          <a:xfrm>
                            <a:off x="5404" y="3881"/>
                            <a:ext cx="381" cy="533"/>
                          </a:xfrm>
                          <a:custGeom>
                            <a:avLst/>
                            <a:gdLst>
                              <a:gd name="T0" fmla="+- 0 5404 5404"/>
                              <a:gd name="T1" fmla="*/ T0 w 381"/>
                              <a:gd name="T2" fmla="+- 0 4414 3882"/>
                              <a:gd name="T3" fmla="*/ 4414 h 533"/>
                              <a:gd name="T4" fmla="+- 0 5785 5404"/>
                              <a:gd name="T5" fmla="*/ T4 w 381"/>
                              <a:gd name="T6" fmla="+- 0 3882 3882"/>
                              <a:gd name="T7" fmla="*/ 3882 h 533"/>
                              <a:gd name="T8" fmla="+- 0 5785 5404"/>
                              <a:gd name="T9" fmla="*/ T8 w 381"/>
                              <a:gd name="T10" fmla="+- 0 3882 3882"/>
                              <a:gd name="T11" fmla="*/ 3882 h 533"/>
                            </a:gdLst>
                            <a:ahLst/>
                            <a:cxnLst>
                              <a:cxn ang="0">
                                <a:pos x="T1" y="T3"/>
                              </a:cxn>
                              <a:cxn ang="0">
                                <a:pos x="T5" y="T7"/>
                              </a:cxn>
                              <a:cxn ang="0">
                                <a:pos x="T9" y="T11"/>
                              </a:cxn>
                            </a:cxnLst>
                            <a:rect l="0" t="0" r="r" b="b"/>
                            <a:pathLst>
                              <a:path w="381" h="533">
                                <a:moveTo>
                                  <a:pt x="0" y="532"/>
                                </a:moveTo>
                                <a:lnTo>
                                  <a:pt x="381" y="0"/>
                                </a:lnTo>
                              </a:path>
                            </a:pathLst>
                          </a:custGeom>
                          <a:noFill/>
                          <a:ln w="196">
                            <a:solidFill>
                              <a:srgbClr val="000000"/>
                            </a:solidFill>
                            <a:round/>
                          </a:ln>
                        </wps:spPr>
                        <wps:bodyPr rot="0" vert="horz" wrap="square" lIns="91440" tIns="45720" rIns="91440" bIns="45720" anchor="t" anchorCtr="0" upright="1">
                          <a:noAutofit/>
                        </wps:bodyPr>
                      </wps:wsp>
                      <wps:wsp>
                        <wps:cNvPr id="1994" name="Freeform 138"/>
                        <wps:cNvSpPr/>
                        <wps:spPr bwMode="auto">
                          <a:xfrm>
                            <a:off x="6051" y="3485"/>
                            <a:ext cx="17" cy="24"/>
                          </a:xfrm>
                          <a:custGeom>
                            <a:avLst/>
                            <a:gdLst>
                              <a:gd name="T0" fmla="+- 0 6051 6051"/>
                              <a:gd name="T1" fmla="*/ T0 w 17"/>
                              <a:gd name="T2" fmla="+- 0 3509 3486"/>
                              <a:gd name="T3" fmla="*/ 3509 h 24"/>
                              <a:gd name="T4" fmla="+- 0 6068 6051"/>
                              <a:gd name="T5" fmla="*/ T4 w 17"/>
                              <a:gd name="T6" fmla="+- 0 3486 3486"/>
                              <a:gd name="T7" fmla="*/ 3486 h 24"/>
                              <a:gd name="T8" fmla="+- 0 6068 6051"/>
                              <a:gd name="T9" fmla="*/ T8 w 17"/>
                              <a:gd name="T10" fmla="+- 0 3486 3486"/>
                              <a:gd name="T11" fmla="*/ 3486 h 24"/>
                            </a:gdLst>
                            <a:ahLst/>
                            <a:cxnLst>
                              <a:cxn ang="0">
                                <a:pos x="T1" y="T3"/>
                              </a:cxn>
                              <a:cxn ang="0">
                                <a:pos x="T5" y="T7"/>
                              </a:cxn>
                              <a:cxn ang="0">
                                <a:pos x="T9" y="T11"/>
                              </a:cxn>
                            </a:cxnLst>
                            <a:rect l="0" t="0" r="r" b="b"/>
                            <a:pathLst>
                              <a:path w="17" h="24">
                                <a:moveTo>
                                  <a:pt x="0" y="23"/>
                                </a:moveTo>
                                <a:lnTo>
                                  <a:pt x="17" y="0"/>
                                </a:lnTo>
                              </a:path>
                            </a:pathLst>
                          </a:custGeom>
                          <a:noFill/>
                          <a:ln w="197">
                            <a:solidFill>
                              <a:srgbClr val="000000"/>
                            </a:solidFill>
                            <a:round/>
                          </a:ln>
                        </wps:spPr>
                        <wps:bodyPr rot="0" vert="horz" wrap="square" lIns="91440" tIns="45720" rIns="91440" bIns="45720" anchor="t" anchorCtr="0" upright="1">
                          <a:noAutofit/>
                        </wps:bodyPr>
                      </wps:wsp>
                      <wps:wsp>
                        <wps:cNvPr id="1995" name="Freeform 139"/>
                        <wps:cNvSpPr/>
                        <wps:spPr bwMode="auto">
                          <a:xfrm>
                            <a:off x="5784" y="3508"/>
                            <a:ext cx="267" cy="373"/>
                          </a:xfrm>
                          <a:custGeom>
                            <a:avLst/>
                            <a:gdLst>
                              <a:gd name="T0" fmla="+- 0 5785 5785"/>
                              <a:gd name="T1" fmla="*/ T0 w 267"/>
                              <a:gd name="T2" fmla="+- 0 3882 3509"/>
                              <a:gd name="T3" fmla="*/ 3882 h 373"/>
                              <a:gd name="T4" fmla="+- 0 6051 5785"/>
                              <a:gd name="T5" fmla="*/ T4 w 267"/>
                              <a:gd name="T6" fmla="+- 0 3509 3509"/>
                              <a:gd name="T7" fmla="*/ 3509 h 373"/>
                              <a:gd name="T8" fmla="+- 0 6052 5785"/>
                              <a:gd name="T9" fmla="*/ T8 w 267"/>
                              <a:gd name="T10" fmla="+- 0 3509 3509"/>
                              <a:gd name="T11" fmla="*/ 3509 h 373"/>
                            </a:gdLst>
                            <a:ahLst/>
                            <a:cxnLst>
                              <a:cxn ang="0">
                                <a:pos x="T1" y="T3"/>
                              </a:cxn>
                              <a:cxn ang="0">
                                <a:pos x="T5" y="T7"/>
                              </a:cxn>
                              <a:cxn ang="0">
                                <a:pos x="T9" y="T11"/>
                              </a:cxn>
                            </a:cxnLst>
                            <a:rect l="0" t="0" r="r" b="b"/>
                            <a:pathLst>
                              <a:path w="267" h="373">
                                <a:moveTo>
                                  <a:pt x="0" y="373"/>
                                </a:moveTo>
                                <a:lnTo>
                                  <a:pt x="266" y="0"/>
                                </a:lnTo>
                                <a:lnTo>
                                  <a:pt x="267" y="0"/>
                                </a:lnTo>
                              </a:path>
                            </a:pathLst>
                          </a:custGeom>
                          <a:noFill/>
                          <a:ln w="196">
                            <a:solidFill>
                              <a:srgbClr val="000000"/>
                            </a:solidFill>
                            <a:round/>
                          </a:ln>
                        </wps:spPr>
                        <wps:bodyPr rot="0" vert="horz" wrap="square" lIns="91440" tIns="45720" rIns="91440" bIns="45720" anchor="t" anchorCtr="0" upright="1">
                          <a:noAutofit/>
                        </wps:bodyPr>
                      </wps:wsp>
                      <wps:wsp>
                        <wps:cNvPr id="1996" name="Freeform 140"/>
                        <wps:cNvSpPr/>
                        <wps:spPr bwMode="auto">
                          <a:xfrm>
                            <a:off x="5508" y="3632"/>
                            <a:ext cx="560" cy="782"/>
                          </a:xfrm>
                          <a:custGeom>
                            <a:avLst/>
                            <a:gdLst>
                              <a:gd name="T0" fmla="+- 0 5509 5509"/>
                              <a:gd name="T1" fmla="*/ T0 w 560"/>
                              <a:gd name="T2" fmla="+- 0 4414 3632"/>
                              <a:gd name="T3" fmla="*/ 4414 h 782"/>
                              <a:gd name="T4" fmla="+- 0 5793 5509"/>
                              <a:gd name="T5" fmla="*/ T4 w 560"/>
                              <a:gd name="T6" fmla="+- 0 4016 3632"/>
                              <a:gd name="T7" fmla="*/ 4016 h 782"/>
                              <a:gd name="T8" fmla="+- 0 6068 5509"/>
                              <a:gd name="T9" fmla="*/ T8 w 560"/>
                              <a:gd name="T10" fmla="+- 0 3632 3632"/>
                              <a:gd name="T11" fmla="*/ 3632 h 782"/>
                              <a:gd name="T12" fmla="+- 0 6068 5509"/>
                              <a:gd name="T13" fmla="*/ T12 w 560"/>
                              <a:gd name="T14" fmla="+- 0 3632 3632"/>
                              <a:gd name="T15" fmla="*/ 3632 h 782"/>
                            </a:gdLst>
                            <a:ahLst/>
                            <a:cxnLst>
                              <a:cxn ang="0">
                                <a:pos x="T1" y="T3"/>
                              </a:cxn>
                              <a:cxn ang="0">
                                <a:pos x="T5" y="T7"/>
                              </a:cxn>
                              <a:cxn ang="0">
                                <a:pos x="T9" y="T11"/>
                              </a:cxn>
                              <a:cxn ang="0">
                                <a:pos x="T13" y="T15"/>
                              </a:cxn>
                            </a:cxnLst>
                            <a:rect l="0" t="0" r="r" b="b"/>
                            <a:pathLst>
                              <a:path w="560" h="782">
                                <a:moveTo>
                                  <a:pt x="0" y="782"/>
                                </a:moveTo>
                                <a:lnTo>
                                  <a:pt x="284" y="384"/>
                                </a:lnTo>
                                <a:lnTo>
                                  <a:pt x="559" y="0"/>
                                </a:lnTo>
                              </a:path>
                            </a:pathLst>
                          </a:custGeom>
                          <a:noFill/>
                          <a:ln w="196">
                            <a:solidFill>
                              <a:srgbClr val="000000"/>
                            </a:solidFill>
                            <a:round/>
                          </a:ln>
                        </wps:spPr>
                        <wps:bodyPr rot="0" vert="horz" wrap="square" lIns="91440" tIns="45720" rIns="91440" bIns="45720" anchor="t" anchorCtr="0" upright="1">
                          <a:noAutofit/>
                        </wps:bodyPr>
                      </wps:wsp>
                      <wps:wsp>
                        <wps:cNvPr id="1997" name="Freeform 141"/>
                        <wps:cNvSpPr/>
                        <wps:spPr bwMode="auto">
                          <a:xfrm>
                            <a:off x="5613" y="3779"/>
                            <a:ext cx="455" cy="635"/>
                          </a:xfrm>
                          <a:custGeom>
                            <a:avLst/>
                            <a:gdLst>
                              <a:gd name="T0" fmla="+- 0 5614 5614"/>
                              <a:gd name="T1" fmla="*/ T0 w 455"/>
                              <a:gd name="T2" fmla="+- 0 4414 3779"/>
                              <a:gd name="T3" fmla="*/ 4414 h 635"/>
                              <a:gd name="T4" fmla="+- 0 5824 5614"/>
                              <a:gd name="T5" fmla="*/ T4 w 455"/>
                              <a:gd name="T6" fmla="+- 0 4120 3779"/>
                              <a:gd name="T7" fmla="*/ 4120 h 635"/>
                              <a:gd name="T8" fmla="+- 0 6068 5614"/>
                              <a:gd name="T9" fmla="*/ T8 w 455"/>
                              <a:gd name="T10" fmla="+- 0 3779 3779"/>
                              <a:gd name="T11" fmla="*/ 3779 h 635"/>
                              <a:gd name="T12" fmla="+- 0 6068 5614"/>
                              <a:gd name="T13" fmla="*/ T12 w 455"/>
                              <a:gd name="T14" fmla="+- 0 3779 3779"/>
                              <a:gd name="T15" fmla="*/ 3779 h 635"/>
                            </a:gdLst>
                            <a:ahLst/>
                            <a:cxnLst>
                              <a:cxn ang="0">
                                <a:pos x="T1" y="T3"/>
                              </a:cxn>
                              <a:cxn ang="0">
                                <a:pos x="T5" y="T7"/>
                              </a:cxn>
                              <a:cxn ang="0">
                                <a:pos x="T9" y="T11"/>
                              </a:cxn>
                              <a:cxn ang="0">
                                <a:pos x="T13" y="T15"/>
                              </a:cxn>
                            </a:cxnLst>
                            <a:rect l="0" t="0" r="r" b="b"/>
                            <a:pathLst>
                              <a:path w="455" h="635">
                                <a:moveTo>
                                  <a:pt x="0" y="635"/>
                                </a:moveTo>
                                <a:lnTo>
                                  <a:pt x="210" y="341"/>
                                </a:lnTo>
                                <a:lnTo>
                                  <a:pt x="454" y="0"/>
                                </a:lnTo>
                              </a:path>
                            </a:pathLst>
                          </a:custGeom>
                          <a:noFill/>
                          <a:ln w="196">
                            <a:solidFill>
                              <a:srgbClr val="000000"/>
                            </a:solidFill>
                            <a:round/>
                          </a:ln>
                        </wps:spPr>
                        <wps:bodyPr rot="0" vert="horz" wrap="square" lIns="91440" tIns="45720" rIns="91440" bIns="45720" anchor="t" anchorCtr="0" upright="1">
                          <a:noAutofit/>
                        </wps:bodyPr>
                      </wps:wsp>
                      <wps:wsp>
                        <wps:cNvPr id="1998" name="Freeform 142"/>
                        <wps:cNvSpPr/>
                        <wps:spPr bwMode="auto">
                          <a:xfrm>
                            <a:off x="5718" y="3925"/>
                            <a:ext cx="350" cy="489"/>
                          </a:xfrm>
                          <a:custGeom>
                            <a:avLst/>
                            <a:gdLst>
                              <a:gd name="T0" fmla="+- 0 5719 5719"/>
                              <a:gd name="T1" fmla="*/ T0 w 350"/>
                              <a:gd name="T2" fmla="+- 0 4414 3926"/>
                              <a:gd name="T3" fmla="*/ 4414 h 489"/>
                              <a:gd name="T4" fmla="+- 0 5870 5719"/>
                              <a:gd name="T5" fmla="*/ T4 w 350"/>
                              <a:gd name="T6" fmla="+- 0 4203 3926"/>
                              <a:gd name="T7" fmla="*/ 4203 h 489"/>
                              <a:gd name="T8" fmla="+- 0 6068 5719"/>
                              <a:gd name="T9" fmla="*/ T8 w 350"/>
                              <a:gd name="T10" fmla="+- 0 3926 3926"/>
                              <a:gd name="T11" fmla="*/ 3926 h 489"/>
                              <a:gd name="T12" fmla="+- 0 6068 5719"/>
                              <a:gd name="T13" fmla="*/ T12 w 350"/>
                              <a:gd name="T14" fmla="+- 0 3926 3926"/>
                              <a:gd name="T15" fmla="*/ 3926 h 489"/>
                            </a:gdLst>
                            <a:ahLst/>
                            <a:cxnLst>
                              <a:cxn ang="0">
                                <a:pos x="T1" y="T3"/>
                              </a:cxn>
                              <a:cxn ang="0">
                                <a:pos x="T5" y="T7"/>
                              </a:cxn>
                              <a:cxn ang="0">
                                <a:pos x="T9" y="T11"/>
                              </a:cxn>
                              <a:cxn ang="0">
                                <a:pos x="T13" y="T15"/>
                              </a:cxn>
                            </a:cxnLst>
                            <a:rect l="0" t="0" r="r" b="b"/>
                            <a:pathLst>
                              <a:path w="350" h="489">
                                <a:moveTo>
                                  <a:pt x="0" y="488"/>
                                </a:moveTo>
                                <a:lnTo>
                                  <a:pt x="151" y="277"/>
                                </a:lnTo>
                                <a:lnTo>
                                  <a:pt x="349" y="0"/>
                                </a:lnTo>
                              </a:path>
                            </a:pathLst>
                          </a:custGeom>
                          <a:noFill/>
                          <a:ln w="196">
                            <a:solidFill>
                              <a:srgbClr val="000000"/>
                            </a:solidFill>
                            <a:round/>
                          </a:ln>
                        </wps:spPr>
                        <wps:bodyPr rot="0" vert="horz" wrap="square" lIns="91440" tIns="45720" rIns="91440" bIns="45720" anchor="t" anchorCtr="0" upright="1">
                          <a:noAutofit/>
                        </wps:bodyPr>
                      </wps:wsp>
                      <pic:pic xmlns:pic="http://schemas.openxmlformats.org/drawingml/2006/picture">
                        <pic:nvPicPr>
                          <pic:cNvPr id="1999" name="Picture 143"/>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a:xfrm>
                            <a:off x="5823" y="4072"/>
                            <a:ext cx="245" cy="342"/>
                          </a:xfrm>
                          <a:prstGeom prst="rect">
                            <a:avLst/>
                          </a:prstGeom>
                          <a:noFill/>
                        </pic:spPr>
                      </pic:pic>
                      <wps:wsp>
                        <wps:cNvPr id="2000" name="Freeform 144"/>
                        <wps:cNvSpPr/>
                        <wps:spPr bwMode="auto">
                          <a:xfrm>
                            <a:off x="3629" y="2678"/>
                            <a:ext cx="352" cy="2"/>
                          </a:xfrm>
                          <a:custGeom>
                            <a:avLst/>
                            <a:gdLst>
                              <a:gd name="T0" fmla="+- 0 3630 3630"/>
                              <a:gd name="T1" fmla="*/ T0 w 352"/>
                              <a:gd name="T2" fmla="+- 0 3981 3630"/>
                              <a:gd name="T3" fmla="*/ T2 w 352"/>
                              <a:gd name="T4" fmla="+- 0 3981 3630"/>
                              <a:gd name="T5" fmla="*/ T4 w 352"/>
                            </a:gdLst>
                            <a:ahLst/>
                            <a:cxnLst>
                              <a:cxn ang="0">
                                <a:pos x="T1" y="0"/>
                              </a:cxn>
                              <a:cxn ang="0">
                                <a:pos x="T3" y="0"/>
                              </a:cxn>
                              <a:cxn ang="0">
                                <a:pos x="T5" y="0"/>
                              </a:cxn>
                            </a:cxnLst>
                            <a:rect l="0" t="0" r="r" b="b"/>
                            <a:pathLst>
                              <a:path w="352">
                                <a:moveTo>
                                  <a:pt x="0" y="0"/>
                                </a:moveTo>
                                <a:lnTo>
                                  <a:pt x="351" y="0"/>
                                </a:lnTo>
                              </a:path>
                            </a:pathLst>
                          </a:custGeom>
                          <a:noFill/>
                          <a:ln w="242">
                            <a:solidFill>
                              <a:srgbClr val="000000"/>
                            </a:solidFill>
                            <a:round/>
                          </a:ln>
                        </wps:spPr>
                        <wps:bodyPr rot="0" vert="horz" wrap="square" lIns="91440" tIns="45720" rIns="91440" bIns="45720" anchor="t" anchorCtr="0" upright="1">
                          <a:noAutofit/>
                        </wps:bodyPr>
                      </wps:wsp>
                      <wps:wsp>
                        <wps:cNvPr id="2001" name="Freeform 145"/>
                        <wps:cNvSpPr/>
                        <wps:spPr bwMode="auto">
                          <a:xfrm>
                            <a:off x="4047" y="2678"/>
                            <a:ext cx="68" cy="2"/>
                          </a:xfrm>
                          <a:custGeom>
                            <a:avLst/>
                            <a:gdLst>
                              <a:gd name="T0" fmla="+- 0 4047 4047"/>
                              <a:gd name="T1" fmla="*/ T0 w 68"/>
                              <a:gd name="T2" fmla="+- 0 4114 4047"/>
                              <a:gd name="T3" fmla="*/ T2 w 68"/>
                              <a:gd name="T4" fmla="+- 0 4114 4047"/>
                              <a:gd name="T5" fmla="*/ T4 w 68"/>
                            </a:gdLst>
                            <a:ahLst/>
                            <a:cxnLst>
                              <a:cxn ang="0">
                                <a:pos x="T1" y="0"/>
                              </a:cxn>
                              <a:cxn ang="0">
                                <a:pos x="T3" y="0"/>
                              </a:cxn>
                              <a:cxn ang="0">
                                <a:pos x="T5" y="0"/>
                              </a:cxn>
                            </a:cxnLst>
                            <a:rect l="0" t="0" r="r" b="b"/>
                            <a:pathLst>
                              <a:path w="68">
                                <a:moveTo>
                                  <a:pt x="0" y="0"/>
                                </a:moveTo>
                                <a:lnTo>
                                  <a:pt x="67" y="0"/>
                                </a:lnTo>
                              </a:path>
                            </a:pathLst>
                          </a:custGeom>
                          <a:noFill/>
                          <a:ln w="242">
                            <a:solidFill>
                              <a:srgbClr val="000000"/>
                            </a:solidFill>
                            <a:round/>
                          </a:ln>
                        </wps:spPr>
                        <wps:bodyPr rot="0" vert="horz" wrap="square" lIns="91440" tIns="45720" rIns="91440" bIns="45720" anchor="t" anchorCtr="0" upright="1">
                          <a:noAutofit/>
                        </wps:bodyPr>
                      </wps:wsp>
                      <wps:wsp>
                        <wps:cNvPr id="2002" name="Freeform 146"/>
                        <wps:cNvSpPr/>
                        <wps:spPr bwMode="auto">
                          <a:xfrm>
                            <a:off x="4181" y="2678"/>
                            <a:ext cx="334" cy="2"/>
                          </a:xfrm>
                          <a:custGeom>
                            <a:avLst/>
                            <a:gdLst>
                              <a:gd name="T0" fmla="+- 0 4181 4181"/>
                              <a:gd name="T1" fmla="*/ T0 w 334"/>
                              <a:gd name="T2" fmla="+- 0 4515 4181"/>
                              <a:gd name="T3" fmla="*/ T2 w 334"/>
                              <a:gd name="T4" fmla="+- 0 4515 4181"/>
                              <a:gd name="T5" fmla="*/ T4 w 334"/>
                            </a:gdLst>
                            <a:ahLst/>
                            <a:cxnLst>
                              <a:cxn ang="0">
                                <a:pos x="T1" y="0"/>
                              </a:cxn>
                              <a:cxn ang="0">
                                <a:pos x="T3" y="0"/>
                              </a:cxn>
                              <a:cxn ang="0">
                                <a:pos x="T5" y="0"/>
                              </a:cxn>
                            </a:cxnLst>
                            <a:rect l="0" t="0" r="r" b="b"/>
                            <a:pathLst>
                              <a:path w="334">
                                <a:moveTo>
                                  <a:pt x="0" y="0"/>
                                </a:moveTo>
                                <a:lnTo>
                                  <a:pt x="334" y="0"/>
                                </a:lnTo>
                              </a:path>
                            </a:pathLst>
                          </a:custGeom>
                          <a:noFill/>
                          <a:ln w="242">
                            <a:solidFill>
                              <a:srgbClr val="000000"/>
                            </a:solidFill>
                            <a:round/>
                          </a:ln>
                        </wps:spPr>
                        <wps:bodyPr rot="0" vert="horz" wrap="square" lIns="91440" tIns="45720" rIns="91440" bIns="45720" anchor="t" anchorCtr="0" upright="1">
                          <a:noAutofit/>
                        </wps:bodyPr>
                      </wps:wsp>
                      <wps:wsp>
                        <wps:cNvPr id="2003" name="Freeform 147"/>
                        <wps:cNvSpPr/>
                        <wps:spPr bwMode="auto">
                          <a:xfrm>
                            <a:off x="4581" y="2678"/>
                            <a:ext cx="68" cy="2"/>
                          </a:xfrm>
                          <a:custGeom>
                            <a:avLst/>
                            <a:gdLst>
                              <a:gd name="T0" fmla="+- 0 4582 4582"/>
                              <a:gd name="T1" fmla="*/ T0 w 68"/>
                              <a:gd name="T2" fmla="+- 0 4648 4582"/>
                              <a:gd name="T3" fmla="*/ T2 w 68"/>
                              <a:gd name="T4" fmla="+- 0 4649 4582"/>
                              <a:gd name="T5" fmla="*/ T4 w 68"/>
                            </a:gdLst>
                            <a:ahLst/>
                            <a:cxnLst>
                              <a:cxn ang="0">
                                <a:pos x="T1" y="0"/>
                              </a:cxn>
                              <a:cxn ang="0">
                                <a:pos x="T3" y="0"/>
                              </a:cxn>
                              <a:cxn ang="0">
                                <a:pos x="T5" y="0"/>
                              </a:cxn>
                            </a:cxnLst>
                            <a:rect l="0" t="0" r="r" b="b"/>
                            <a:pathLst>
                              <a:path w="68">
                                <a:moveTo>
                                  <a:pt x="0" y="0"/>
                                </a:moveTo>
                                <a:lnTo>
                                  <a:pt x="66" y="0"/>
                                </a:lnTo>
                                <a:lnTo>
                                  <a:pt x="67" y="0"/>
                                </a:lnTo>
                              </a:path>
                            </a:pathLst>
                          </a:custGeom>
                          <a:noFill/>
                          <a:ln w="242">
                            <a:solidFill>
                              <a:srgbClr val="000000"/>
                            </a:solidFill>
                            <a:round/>
                          </a:ln>
                        </wps:spPr>
                        <wps:bodyPr rot="0" vert="horz" wrap="square" lIns="91440" tIns="45720" rIns="91440" bIns="45720" anchor="t" anchorCtr="0" upright="1">
                          <a:noAutofit/>
                        </wps:bodyPr>
                      </wps:wsp>
                      <wps:wsp>
                        <wps:cNvPr id="2004" name="Freeform 148"/>
                        <wps:cNvSpPr/>
                        <wps:spPr bwMode="auto">
                          <a:xfrm>
                            <a:off x="4715" y="2678"/>
                            <a:ext cx="335" cy="2"/>
                          </a:xfrm>
                          <a:custGeom>
                            <a:avLst/>
                            <a:gdLst>
                              <a:gd name="T0" fmla="+- 0 4715 4715"/>
                              <a:gd name="T1" fmla="*/ T0 w 335"/>
                              <a:gd name="T2" fmla="+- 0 5049 4715"/>
                              <a:gd name="T3" fmla="*/ T2 w 335"/>
                              <a:gd name="T4" fmla="+- 0 5049 4715"/>
                              <a:gd name="T5" fmla="*/ T4 w 335"/>
                            </a:gdLst>
                            <a:ahLst/>
                            <a:cxnLst>
                              <a:cxn ang="0">
                                <a:pos x="T1" y="0"/>
                              </a:cxn>
                              <a:cxn ang="0">
                                <a:pos x="T3" y="0"/>
                              </a:cxn>
                              <a:cxn ang="0">
                                <a:pos x="T5" y="0"/>
                              </a:cxn>
                            </a:cxnLst>
                            <a:rect l="0" t="0" r="r" b="b"/>
                            <a:pathLst>
                              <a:path w="335">
                                <a:moveTo>
                                  <a:pt x="0" y="0"/>
                                </a:moveTo>
                                <a:lnTo>
                                  <a:pt x="334" y="0"/>
                                </a:lnTo>
                              </a:path>
                            </a:pathLst>
                          </a:custGeom>
                          <a:noFill/>
                          <a:ln w="242">
                            <a:solidFill>
                              <a:srgbClr val="000000"/>
                            </a:solidFill>
                            <a:round/>
                          </a:ln>
                        </wps:spPr>
                        <wps:bodyPr rot="0" vert="horz" wrap="square" lIns="91440" tIns="45720" rIns="91440" bIns="45720" anchor="t" anchorCtr="0" upright="1">
                          <a:noAutofit/>
                        </wps:bodyPr>
                      </wps:wsp>
                      <wps:wsp>
                        <wps:cNvPr id="2005" name="Freeform 149"/>
                        <wps:cNvSpPr/>
                        <wps:spPr bwMode="auto">
                          <a:xfrm>
                            <a:off x="5115" y="2678"/>
                            <a:ext cx="67" cy="2"/>
                          </a:xfrm>
                          <a:custGeom>
                            <a:avLst/>
                            <a:gdLst>
                              <a:gd name="T0" fmla="+- 0 5116 5116"/>
                              <a:gd name="T1" fmla="*/ T0 w 67"/>
                              <a:gd name="T2" fmla="+- 0 5182 5116"/>
                              <a:gd name="T3" fmla="*/ T2 w 67"/>
                              <a:gd name="T4" fmla="+- 0 5183 5116"/>
                              <a:gd name="T5" fmla="*/ T4 w 67"/>
                            </a:gdLst>
                            <a:ahLst/>
                            <a:cxnLst>
                              <a:cxn ang="0">
                                <a:pos x="T1" y="0"/>
                              </a:cxn>
                              <a:cxn ang="0">
                                <a:pos x="T3" y="0"/>
                              </a:cxn>
                              <a:cxn ang="0">
                                <a:pos x="T5" y="0"/>
                              </a:cxn>
                            </a:cxnLst>
                            <a:rect l="0" t="0" r="r" b="b"/>
                            <a:pathLst>
                              <a:path w="67">
                                <a:moveTo>
                                  <a:pt x="0" y="0"/>
                                </a:moveTo>
                                <a:lnTo>
                                  <a:pt x="66" y="0"/>
                                </a:lnTo>
                                <a:lnTo>
                                  <a:pt x="67" y="0"/>
                                </a:lnTo>
                              </a:path>
                            </a:pathLst>
                          </a:custGeom>
                          <a:noFill/>
                          <a:ln w="242">
                            <a:solidFill>
                              <a:srgbClr val="000000"/>
                            </a:solidFill>
                            <a:round/>
                          </a:ln>
                        </wps:spPr>
                        <wps:bodyPr rot="0" vert="horz" wrap="square" lIns="91440" tIns="45720" rIns="91440" bIns="45720" anchor="t" anchorCtr="0" upright="1">
                          <a:noAutofit/>
                        </wps:bodyPr>
                      </wps:wsp>
                      <wps:wsp>
                        <wps:cNvPr id="2006" name="Freeform 150"/>
                        <wps:cNvSpPr/>
                        <wps:spPr bwMode="auto">
                          <a:xfrm>
                            <a:off x="5249" y="2678"/>
                            <a:ext cx="335" cy="2"/>
                          </a:xfrm>
                          <a:custGeom>
                            <a:avLst/>
                            <a:gdLst>
                              <a:gd name="T0" fmla="+- 0 5249 5249"/>
                              <a:gd name="T1" fmla="*/ T0 w 335"/>
                              <a:gd name="T2" fmla="+- 0 5583 5249"/>
                              <a:gd name="T3" fmla="*/ T2 w 335"/>
                              <a:gd name="T4" fmla="+- 0 5584 5249"/>
                              <a:gd name="T5" fmla="*/ T4 w 335"/>
                            </a:gdLst>
                            <a:ahLst/>
                            <a:cxnLst>
                              <a:cxn ang="0">
                                <a:pos x="T1" y="0"/>
                              </a:cxn>
                              <a:cxn ang="0">
                                <a:pos x="T3" y="0"/>
                              </a:cxn>
                              <a:cxn ang="0">
                                <a:pos x="T5" y="0"/>
                              </a:cxn>
                            </a:cxnLst>
                            <a:rect l="0" t="0" r="r" b="b"/>
                            <a:pathLst>
                              <a:path w="335">
                                <a:moveTo>
                                  <a:pt x="0" y="0"/>
                                </a:moveTo>
                                <a:lnTo>
                                  <a:pt x="334" y="0"/>
                                </a:lnTo>
                                <a:lnTo>
                                  <a:pt x="335" y="0"/>
                                </a:lnTo>
                              </a:path>
                            </a:pathLst>
                          </a:custGeom>
                          <a:noFill/>
                          <a:ln w="242">
                            <a:solidFill>
                              <a:srgbClr val="000000"/>
                            </a:solidFill>
                            <a:round/>
                          </a:ln>
                        </wps:spPr>
                        <wps:bodyPr rot="0" vert="horz" wrap="square" lIns="91440" tIns="45720" rIns="91440" bIns="45720" anchor="t" anchorCtr="0" upright="1">
                          <a:noAutofit/>
                        </wps:bodyPr>
                      </wps:wsp>
                      <wps:wsp>
                        <wps:cNvPr id="2007" name="Freeform 151"/>
                        <wps:cNvSpPr/>
                        <wps:spPr bwMode="auto">
                          <a:xfrm>
                            <a:off x="5649" y="2678"/>
                            <a:ext cx="68" cy="2"/>
                          </a:xfrm>
                          <a:custGeom>
                            <a:avLst/>
                            <a:gdLst>
                              <a:gd name="T0" fmla="+- 0 5650 5650"/>
                              <a:gd name="T1" fmla="*/ T0 w 68"/>
                              <a:gd name="T2" fmla="+- 0 5717 5650"/>
                              <a:gd name="T3" fmla="*/ T2 w 68"/>
                              <a:gd name="T4" fmla="+- 0 5717 5650"/>
                              <a:gd name="T5" fmla="*/ T4 w 68"/>
                            </a:gdLst>
                            <a:ahLst/>
                            <a:cxnLst>
                              <a:cxn ang="0">
                                <a:pos x="T1" y="0"/>
                              </a:cxn>
                              <a:cxn ang="0">
                                <a:pos x="T3" y="0"/>
                              </a:cxn>
                              <a:cxn ang="0">
                                <a:pos x="T5" y="0"/>
                              </a:cxn>
                            </a:cxnLst>
                            <a:rect l="0" t="0" r="r" b="b"/>
                            <a:pathLst>
                              <a:path w="68">
                                <a:moveTo>
                                  <a:pt x="0" y="0"/>
                                </a:moveTo>
                                <a:lnTo>
                                  <a:pt x="67" y="0"/>
                                </a:lnTo>
                              </a:path>
                            </a:pathLst>
                          </a:custGeom>
                          <a:noFill/>
                          <a:ln w="242">
                            <a:solidFill>
                              <a:srgbClr val="000000"/>
                            </a:solidFill>
                            <a:round/>
                          </a:ln>
                        </wps:spPr>
                        <wps:bodyPr rot="0" vert="horz" wrap="square" lIns="91440" tIns="45720" rIns="91440" bIns="45720" anchor="t" anchorCtr="0" upright="1">
                          <a:noAutofit/>
                        </wps:bodyPr>
                      </wps:wsp>
                      <wps:wsp>
                        <wps:cNvPr id="2008" name="Freeform 152"/>
                        <wps:cNvSpPr/>
                        <wps:spPr bwMode="auto">
                          <a:xfrm>
                            <a:off x="5783" y="2678"/>
                            <a:ext cx="335" cy="2"/>
                          </a:xfrm>
                          <a:custGeom>
                            <a:avLst/>
                            <a:gdLst>
                              <a:gd name="T0" fmla="+- 0 5783 5783"/>
                              <a:gd name="T1" fmla="*/ T0 w 335"/>
                              <a:gd name="T2" fmla="+- 0 6117 5783"/>
                              <a:gd name="T3" fmla="*/ T2 w 335"/>
                              <a:gd name="T4" fmla="+- 0 6118 5783"/>
                              <a:gd name="T5" fmla="*/ T4 w 335"/>
                            </a:gdLst>
                            <a:ahLst/>
                            <a:cxnLst>
                              <a:cxn ang="0">
                                <a:pos x="T1" y="0"/>
                              </a:cxn>
                              <a:cxn ang="0">
                                <a:pos x="T3" y="0"/>
                              </a:cxn>
                              <a:cxn ang="0">
                                <a:pos x="T5" y="0"/>
                              </a:cxn>
                            </a:cxnLst>
                            <a:rect l="0" t="0" r="r" b="b"/>
                            <a:pathLst>
                              <a:path w="335">
                                <a:moveTo>
                                  <a:pt x="0" y="0"/>
                                </a:moveTo>
                                <a:lnTo>
                                  <a:pt x="334" y="0"/>
                                </a:lnTo>
                                <a:lnTo>
                                  <a:pt x="335" y="0"/>
                                </a:lnTo>
                              </a:path>
                            </a:pathLst>
                          </a:custGeom>
                          <a:noFill/>
                          <a:ln w="242">
                            <a:solidFill>
                              <a:srgbClr val="000000"/>
                            </a:solidFill>
                            <a:round/>
                          </a:ln>
                        </wps:spPr>
                        <wps:bodyPr rot="0" vert="horz" wrap="square" lIns="91440" tIns="45720" rIns="91440" bIns="45720" anchor="t" anchorCtr="0" upright="1">
                          <a:noAutofit/>
                        </wps:bodyPr>
                      </wps:wsp>
                      <wps:wsp>
                        <wps:cNvPr id="2009" name="Freeform 153"/>
                        <wps:cNvSpPr/>
                        <wps:spPr bwMode="auto">
                          <a:xfrm>
                            <a:off x="6184" y="2678"/>
                            <a:ext cx="67" cy="2"/>
                          </a:xfrm>
                          <a:custGeom>
                            <a:avLst/>
                            <a:gdLst>
                              <a:gd name="T0" fmla="+- 0 6184 6184"/>
                              <a:gd name="T1" fmla="*/ T0 w 67"/>
                              <a:gd name="T2" fmla="+- 0 6251 6184"/>
                              <a:gd name="T3" fmla="*/ T2 w 67"/>
                              <a:gd name="T4" fmla="+- 0 6251 6184"/>
                              <a:gd name="T5" fmla="*/ T4 w 67"/>
                            </a:gdLst>
                            <a:ahLst/>
                            <a:cxnLst>
                              <a:cxn ang="0">
                                <a:pos x="T1" y="0"/>
                              </a:cxn>
                              <a:cxn ang="0">
                                <a:pos x="T3" y="0"/>
                              </a:cxn>
                              <a:cxn ang="0">
                                <a:pos x="T5" y="0"/>
                              </a:cxn>
                            </a:cxnLst>
                            <a:rect l="0" t="0" r="r" b="b"/>
                            <a:pathLst>
                              <a:path w="67">
                                <a:moveTo>
                                  <a:pt x="0" y="0"/>
                                </a:moveTo>
                                <a:lnTo>
                                  <a:pt x="67" y="0"/>
                                </a:lnTo>
                              </a:path>
                            </a:pathLst>
                          </a:custGeom>
                          <a:noFill/>
                          <a:ln w="242">
                            <a:solidFill>
                              <a:srgbClr val="000000"/>
                            </a:solidFill>
                            <a:round/>
                          </a:ln>
                        </wps:spPr>
                        <wps:bodyPr rot="0" vert="horz" wrap="square" lIns="91440" tIns="45720" rIns="91440" bIns="45720" anchor="t" anchorCtr="0" upright="1">
                          <a:noAutofit/>
                        </wps:bodyPr>
                      </wps:wsp>
                      <wps:wsp>
                        <wps:cNvPr id="2010" name="Freeform 154"/>
                        <wps:cNvSpPr/>
                        <wps:spPr bwMode="auto">
                          <a:xfrm>
                            <a:off x="6317" y="2678"/>
                            <a:ext cx="335" cy="2"/>
                          </a:xfrm>
                          <a:custGeom>
                            <a:avLst/>
                            <a:gdLst>
                              <a:gd name="T0" fmla="+- 0 6318 6318"/>
                              <a:gd name="T1" fmla="*/ T0 w 335"/>
                              <a:gd name="T2" fmla="+- 0 6652 6318"/>
                              <a:gd name="T3" fmla="*/ T2 w 335"/>
                              <a:gd name="T4" fmla="+- 0 6652 6318"/>
                              <a:gd name="T5" fmla="*/ T4 w 335"/>
                            </a:gdLst>
                            <a:ahLst/>
                            <a:cxnLst>
                              <a:cxn ang="0">
                                <a:pos x="T1" y="0"/>
                              </a:cxn>
                              <a:cxn ang="0">
                                <a:pos x="T3" y="0"/>
                              </a:cxn>
                              <a:cxn ang="0">
                                <a:pos x="T5" y="0"/>
                              </a:cxn>
                            </a:cxnLst>
                            <a:rect l="0" t="0" r="r" b="b"/>
                            <a:pathLst>
                              <a:path w="335">
                                <a:moveTo>
                                  <a:pt x="0" y="0"/>
                                </a:moveTo>
                                <a:lnTo>
                                  <a:pt x="334" y="0"/>
                                </a:lnTo>
                              </a:path>
                            </a:pathLst>
                          </a:custGeom>
                          <a:noFill/>
                          <a:ln w="242">
                            <a:solidFill>
                              <a:srgbClr val="000000"/>
                            </a:solidFill>
                            <a:round/>
                          </a:ln>
                        </wps:spPr>
                        <wps:bodyPr rot="0" vert="horz" wrap="square" lIns="91440" tIns="45720" rIns="91440" bIns="45720" anchor="t" anchorCtr="0" upright="1">
                          <a:noAutofit/>
                        </wps:bodyPr>
                      </wps:wsp>
                      <wps:wsp>
                        <wps:cNvPr id="2011" name="Freeform 155"/>
                        <wps:cNvSpPr/>
                        <wps:spPr bwMode="auto">
                          <a:xfrm>
                            <a:off x="6718" y="2678"/>
                            <a:ext cx="68" cy="2"/>
                          </a:xfrm>
                          <a:custGeom>
                            <a:avLst/>
                            <a:gdLst>
                              <a:gd name="T0" fmla="+- 0 6718 6718"/>
                              <a:gd name="T1" fmla="*/ T0 w 68"/>
                              <a:gd name="T2" fmla="+- 0 6785 6718"/>
                              <a:gd name="T3" fmla="*/ T2 w 68"/>
                              <a:gd name="T4" fmla="+- 0 6785 6718"/>
                              <a:gd name="T5" fmla="*/ T4 w 68"/>
                            </a:gdLst>
                            <a:ahLst/>
                            <a:cxnLst>
                              <a:cxn ang="0">
                                <a:pos x="T1" y="0"/>
                              </a:cxn>
                              <a:cxn ang="0">
                                <a:pos x="T3" y="0"/>
                              </a:cxn>
                              <a:cxn ang="0">
                                <a:pos x="T5" y="0"/>
                              </a:cxn>
                            </a:cxnLst>
                            <a:rect l="0" t="0" r="r" b="b"/>
                            <a:pathLst>
                              <a:path w="68">
                                <a:moveTo>
                                  <a:pt x="0" y="0"/>
                                </a:moveTo>
                                <a:lnTo>
                                  <a:pt x="67" y="0"/>
                                </a:lnTo>
                              </a:path>
                            </a:pathLst>
                          </a:custGeom>
                          <a:noFill/>
                          <a:ln w="242">
                            <a:solidFill>
                              <a:srgbClr val="000000"/>
                            </a:solidFill>
                            <a:round/>
                          </a:ln>
                        </wps:spPr>
                        <wps:bodyPr rot="0" vert="horz" wrap="square" lIns="91440" tIns="45720" rIns="91440" bIns="45720" anchor="t" anchorCtr="0" upright="1">
                          <a:noAutofit/>
                        </wps:bodyPr>
                      </wps:wsp>
                      <wps:wsp>
                        <wps:cNvPr id="2012" name="Freeform 156"/>
                        <wps:cNvSpPr/>
                        <wps:spPr bwMode="auto">
                          <a:xfrm>
                            <a:off x="6851" y="2678"/>
                            <a:ext cx="352" cy="2"/>
                          </a:xfrm>
                          <a:custGeom>
                            <a:avLst/>
                            <a:gdLst>
                              <a:gd name="T0" fmla="+- 0 6852 6852"/>
                              <a:gd name="T1" fmla="*/ T0 w 352"/>
                              <a:gd name="T2" fmla="+- 0 7203 6852"/>
                              <a:gd name="T3" fmla="*/ T2 w 352"/>
                              <a:gd name="T4" fmla="+- 0 7203 6852"/>
                              <a:gd name="T5" fmla="*/ T4 w 352"/>
                            </a:gdLst>
                            <a:ahLst/>
                            <a:cxnLst>
                              <a:cxn ang="0">
                                <a:pos x="T1" y="0"/>
                              </a:cxn>
                              <a:cxn ang="0">
                                <a:pos x="T3" y="0"/>
                              </a:cxn>
                              <a:cxn ang="0">
                                <a:pos x="T5" y="0"/>
                              </a:cxn>
                            </a:cxnLst>
                            <a:rect l="0" t="0" r="r" b="b"/>
                            <a:pathLst>
                              <a:path w="352">
                                <a:moveTo>
                                  <a:pt x="0" y="0"/>
                                </a:moveTo>
                                <a:lnTo>
                                  <a:pt x="351" y="0"/>
                                </a:lnTo>
                              </a:path>
                            </a:pathLst>
                          </a:custGeom>
                          <a:noFill/>
                          <a:ln w="242">
                            <a:solidFill>
                              <a:srgbClr val="000000"/>
                            </a:solidFill>
                            <a:round/>
                          </a:ln>
                        </wps:spPr>
                        <wps:bodyPr rot="0" vert="horz" wrap="square" lIns="91440" tIns="45720" rIns="91440" bIns="45720" anchor="t" anchorCtr="0" upright="1">
                          <a:noAutofit/>
                        </wps:bodyPr>
                      </wps:wsp>
                      <wps:wsp>
                        <wps:cNvPr id="2013" name="Freeform 157"/>
                        <wps:cNvSpPr/>
                        <wps:spPr bwMode="auto">
                          <a:xfrm>
                            <a:off x="4343" y="3449"/>
                            <a:ext cx="2264" cy="2"/>
                          </a:xfrm>
                          <a:custGeom>
                            <a:avLst/>
                            <a:gdLst>
                              <a:gd name="T0" fmla="+- 0 4343 4343"/>
                              <a:gd name="T1" fmla="*/ T0 w 2264"/>
                              <a:gd name="T2" fmla="+- 0 6606 4343"/>
                              <a:gd name="T3" fmla="*/ T2 w 2264"/>
                              <a:gd name="T4" fmla="+- 0 6606 4343"/>
                              <a:gd name="T5" fmla="*/ T4 w 2264"/>
                            </a:gdLst>
                            <a:ahLst/>
                            <a:cxnLst>
                              <a:cxn ang="0">
                                <a:pos x="T1" y="0"/>
                              </a:cxn>
                              <a:cxn ang="0">
                                <a:pos x="T3" y="0"/>
                              </a:cxn>
                              <a:cxn ang="0">
                                <a:pos x="T5" y="0"/>
                              </a:cxn>
                            </a:cxnLst>
                            <a:rect l="0" t="0" r="r" b="b"/>
                            <a:pathLst>
                              <a:path w="2264">
                                <a:moveTo>
                                  <a:pt x="0" y="0"/>
                                </a:moveTo>
                                <a:lnTo>
                                  <a:pt x="2263" y="0"/>
                                </a:lnTo>
                              </a:path>
                            </a:pathLst>
                          </a:custGeom>
                          <a:noFill/>
                          <a:ln w="242">
                            <a:solidFill>
                              <a:srgbClr val="000000"/>
                            </a:solidFill>
                            <a:round/>
                          </a:ln>
                        </wps:spPr>
                        <wps:bodyPr rot="0" vert="horz" wrap="square" lIns="91440" tIns="45720" rIns="91440" bIns="45720" anchor="t" anchorCtr="0" upright="1">
                          <a:noAutofit/>
                        </wps:bodyPr>
                      </wps:wsp>
                      <wps:wsp>
                        <wps:cNvPr id="2014" name="Freeform 158"/>
                        <wps:cNvSpPr/>
                        <wps:spPr bwMode="auto">
                          <a:xfrm>
                            <a:off x="4056" y="2336"/>
                            <a:ext cx="2838" cy="14"/>
                          </a:xfrm>
                          <a:custGeom>
                            <a:avLst/>
                            <a:gdLst>
                              <a:gd name="T0" fmla="+- 0 4057 4057"/>
                              <a:gd name="T1" fmla="*/ T0 w 2838"/>
                              <a:gd name="T2" fmla="+- 0 2336 2336"/>
                              <a:gd name="T3" fmla="*/ 2336 h 14"/>
                              <a:gd name="T4" fmla="+- 0 4057 4057"/>
                              <a:gd name="T5" fmla="*/ T4 w 2838"/>
                              <a:gd name="T6" fmla="+- 0 2345 2336"/>
                              <a:gd name="T7" fmla="*/ 2345 h 14"/>
                              <a:gd name="T8" fmla="+- 0 6895 4057"/>
                              <a:gd name="T9" fmla="*/ T8 w 2838"/>
                              <a:gd name="T10" fmla="+- 0 2350 2336"/>
                              <a:gd name="T11" fmla="*/ 2350 h 14"/>
                              <a:gd name="T12" fmla="+- 0 6895 4057"/>
                              <a:gd name="T13" fmla="*/ T12 w 2838"/>
                              <a:gd name="T14" fmla="+- 0 2341 2336"/>
                              <a:gd name="T15" fmla="*/ 2341 h 14"/>
                              <a:gd name="T16" fmla="+- 0 4057 4057"/>
                              <a:gd name="T17" fmla="*/ T16 w 2838"/>
                              <a:gd name="T18" fmla="+- 0 2336 2336"/>
                              <a:gd name="T19" fmla="*/ 2336 h 14"/>
                            </a:gdLst>
                            <a:ahLst/>
                            <a:cxnLst>
                              <a:cxn ang="0">
                                <a:pos x="T1" y="T3"/>
                              </a:cxn>
                              <a:cxn ang="0">
                                <a:pos x="T5" y="T7"/>
                              </a:cxn>
                              <a:cxn ang="0">
                                <a:pos x="T9" y="T11"/>
                              </a:cxn>
                              <a:cxn ang="0">
                                <a:pos x="T13" y="T15"/>
                              </a:cxn>
                              <a:cxn ang="0">
                                <a:pos x="T17" y="T19"/>
                              </a:cxn>
                            </a:cxnLst>
                            <a:rect l="0" t="0" r="r" b="b"/>
                            <a:pathLst>
                              <a:path w="2838" h="14">
                                <a:moveTo>
                                  <a:pt x="0" y="0"/>
                                </a:moveTo>
                                <a:lnTo>
                                  <a:pt x="0" y="9"/>
                                </a:lnTo>
                                <a:lnTo>
                                  <a:pt x="2838" y="14"/>
                                </a:lnTo>
                                <a:lnTo>
                                  <a:pt x="2838" y="5"/>
                                </a:lnTo>
                                <a:lnTo>
                                  <a:pt x="0" y="0"/>
                                </a:lnTo>
                              </a:path>
                            </a:pathLst>
                          </a:custGeom>
                          <a:noFill/>
                          <a:ln w="242">
                            <a:solidFill>
                              <a:srgbClr val="000000"/>
                            </a:solidFill>
                            <a:round/>
                          </a:ln>
                        </wps:spPr>
                        <wps:bodyPr rot="0" vert="horz" wrap="square" lIns="91440" tIns="45720" rIns="91440" bIns="45720" anchor="t" anchorCtr="0" upright="1">
                          <a:noAutofit/>
                        </wps:bodyPr>
                      </wps:wsp>
                      <wps:wsp>
                        <wps:cNvPr id="2015" name="Rectangle 159"/>
                        <wps:cNvSpPr>
                          <a:spLocks noChangeArrowheads="1"/>
                        </wps:cNvSpPr>
                        <wps:spPr bwMode="auto">
                          <a:xfrm>
                            <a:off x="3325" y="4403"/>
                            <a:ext cx="4721" cy="21"/>
                          </a:xfrm>
                          <a:prstGeom prst="rect">
                            <a:avLst/>
                          </a:prstGeom>
                          <a:solidFill>
                            <a:srgbClr val="000000"/>
                          </a:solidFill>
                          <a:ln>
                            <a:noFill/>
                          </a:ln>
                        </wps:spPr>
                        <wps:bodyPr rot="0" vert="horz" wrap="square" lIns="91440" tIns="45720" rIns="91440" bIns="45720" anchor="t" anchorCtr="0" upright="1">
                          <a:noAutofit/>
                        </wps:bodyPr>
                      </wps:wsp>
                      <wps:wsp>
                        <wps:cNvPr id="2016" name="Rectangle 160"/>
                        <wps:cNvSpPr>
                          <a:spLocks noChangeArrowheads="1"/>
                        </wps:cNvSpPr>
                        <wps:spPr bwMode="auto">
                          <a:xfrm>
                            <a:off x="3325" y="4403"/>
                            <a:ext cx="4721" cy="21"/>
                          </a:xfrm>
                          <a:prstGeom prst="rect">
                            <a:avLst/>
                          </a:prstGeom>
                          <a:solidFill>
                            <a:srgbClr val="000000"/>
                          </a:solidFill>
                          <a:ln>
                            <a:noFill/>
                          </a:ln>
                        </wps:spPr>
                        <wps:bodyPr rot="0" vert="horz" wrap="square" lIns="91440" tIns="45720" rIns="91440" bIns="45720" anchor="t" anchorCtr="0" upright="1">
                          <a:noAutofit/>
                        </wps:bodyPr>
                      </wps:wsp>
                      <wps:wsp>
                        <wps:cNvPr id="2017" name="Rectangle 161"/>
                        <wps:cNvSpPr>
                          <a:spLocks noChangeArrowheads="1"/>
                        </wps:cNvSpPr>
                        <wps:spPr bwMode="auto">
                          <a:xfrm>
                            <a:off x="3325" y="4403"/>
                            <a:ext cx="4721" cy="21"/>
                          </a:xfrm>
                          <a:prstGeom prst="rect">
                            <a:avLst/>
                          </a:prstGeom>
                          <a:noFill/>
                          <a:ln w="242">
                            <a:solidFill>
                              <a:srgbClr val="000000"/>
                            </a:solidFill>
                            <a:miter lim="800000"/>
                          </a:ln>
                        </wps:spPr>
                        <wps:bodyPr rot="0" vert="horz" wrap="square" lIns="91440" tIns="45720" rIns="91440" bIns="45720" anchor="t" anchorCtr="0" upright="1">
                          <a:noAutofit/>
                        </wps:bodyPr>
                      </wps:wsp>
                      <pic:pic xmlns:pic="http://schemas.openxmlformats.org/drawingml/2006/picture">
                        <pic:nvPicPr>
                          <pic:cNvPr id="2018" name="Picture 16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a:xfrm>
                            <a:off x="2755" y="190"/>
                            <a:ext cx="5851" cy="4231"/>
                          </a:xfrm>
                          <a:prstGeom prst="rect">
                            <a:avLst/>
                          </a:prstGeom>
                          <a:noFill/>
                        </pic:spPr>
                      </pic:pic>
                      <pic:pic xmlns:pic="http://schemas.openxmlformats.org/drawingml/2006/picture">
                        <pic:nvPicPr>
                          <pic:cNvPr id="2019" name="Picture 163"/>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a:xfrm>
                            <a:off x="7311" y="2463"/>
                            <a:ext cx="130" cy="271"/>
                          </a:xfrm>
                          <a:prstGeom prst="rect">
                            <a:avLst/>
                          </a:prstGeom>
                          <a:noFill/>
                        </pic:spPr>
                      </pic:pic>
                      <wps:wsp>
                        <wps:cNvPr id="2020" name="Freeform 164"/>
                        <wps:cNvSpPr/>
                        <wps:spPr bwMode="auto">
                          <a:xfrm>
                            <a:off x="7504" y="2579"/>
                            <a:ext cx="166" cy="2"/>
                          </a:xfrm>
                          <a:custGeom>
                            <a:avLst/>
                            <a:gdLst>
                              <a:gd name="T0" fmla="+- 0 7505 7505"/>
                              <a:gd name="T1" fmla="*/ T0 w 166"/>
                              <a:gd name="T2" fmla="+- 0 7670 7505"/>
                              <a:gd name="T3" fmla="*/ T2 w 166"/>
                              <a:gd name="T4" fmla="+- 0 7670 7505"/>
                              <a:gd name="T5" fmla="*/ T4 w 166"/>
                            </a:gdLst>
                            <a:ahLst/>
                            <a:cxnLst>
                              <a:cxn ang="0">
                                <a:pos x="T1" y="0"/>
                              </a:cxn>
                              <a:cxn ang="0">
                                <a:pos x="T3" y="0"/>
                              </a:cxn>
                              <a:cxn ang="0">
                                <a:pos x="T5" y="0"/>
                              </a:cxn>
                            </a:cxnLst>
                            <a:rect l="0" t="0" r="r" b="b"/>
                            <a:pathLst>
                              <a:path w="166">
                                <a:moveTo>
                                  <a:pt x="0" y="0"/>
                                </a:moveTo>
                                <a:lnTo>
                                  <a:pt x="165" y="0"/>
                                </a:lnTo>
                              </a:path>
                            </a:pathLst>
                          </a:custGeom>
                          <a:noFill/>
                          <a:ln w="242">
                            <a:solidFill>
                              <a:srgbClr val="000000"/>
                            </a:solidFill>
                            <a:round/>
                          </a:ln>
                        </wps:spPr>
                        <wps:bodyPr rot="0" vert="horz" wrap="square" lIns="91440" tIns="45720" rIns="91440" bIns="45720" anchor="t" anchorCtr="0" upright="1">
                          <a:noAutofit/>
                        </wps:bodyPr>
                      </wps:wsp>
                      <wps:wsp>
                        <wps:cNvPr id="2021" name="Freeform 165"/>
                        <wps:cNvSpPr/>
                        <wps:spPr bwMode="auto">
                          <a:xfrm>
                            <a:off x="7504" y="2656"/>
                            <a:ext cx="166" cy="2"/>
                          </a:xfrm>
                          <a:custGeom>
                            <a:avLst/>
                            <a:gdLst>
                              <a:gd name="T0" fmla="+- 0 7505 7505"/>
                              <a:gd name="T1" fmla="*/ T0 w 166"/>
                              <a:gd name="T2" fmla="+- 0 7670 7505"/>
                              <a:gd name="T3" fmla="*/ T2 w 166"/>
                              <a:gd name="T4" fmla="+- 0 7670 7505"/>
                              <a:gd name="T5" fmla="*/ T4 w 166"/>
                            </a:gdLst>
                            <a:ahLst/>
                            <a:cxnLst>
                              <a:cxn ang="0">
                                <a:pos x="T1" y="0"/>
                              </a:cxn>
                              <a:cxn ang="0">
                                <a:pos x="T3" y="0"/>
                              </a:cxn>
                              <a:cxn ang="0">
                                <a:pos x="T5" y="0"/>
                              </a:cxn>
                            </a:cxnLst>
                            <a:rect l="0" t="0" r="r" b="b"/>
                            <a:pathLst>
                              <a:path w="166">
                                <a:moveTo>
                                  <a:pt x="0" y="0"/>
                                </a:moveTo>
                                <a:lnTo>
                                  <a:pt x="165" y="0"/>
                                </a:lnTo>
                              </a:path>
                            </a:pathLst>
                          </a:custGeom>
                          <a:noFill/>
                          <a:ln w="242">
                            <a:solidFill>
                              <a:srgbClr val="000000"/>
                            </a:solidFill>
                            <a:round/>
                          </a:ln>
                        </wps:spPr>
                        <wps:bodyPr rot="0" vert="horz" wrap="square" lIns="91440" tIns="45720" rIns="91440" bIns="45720" anchor="t" anchorCtr="0" upright="1">
                          <a:noAutofit/>
                        </wps:bodyPr>
                      </wps:wsp>
                      <wps:wsp>
                        <wps:cNvPr id="2022" name="Freeform 166"/>
                        <wps:cNvSpPr/>
                        <wps:spPr bwMode="auto">
                          <a:xfrm>
                            <a:off x="7761" y="2463"/>
                            <a:ext cx="47" cy="270"/>
                          </a:xfrm>
                          <a:custGeom>
                            <a:avLst/>
                            <a:gdLst>
                              <a:gd name="T0" fmla="+- 0 7762 7762"/>
                              <a:gd name="T1" fmla="*/ T0 w 47"/>
                              <a:gd name="T2" fmla="+- 0 2515 2464"/>
                              <a:gd name="T3" fmla="*/ 2515 h 270"/>
                              <a:gd name="T4" fmla="+- 0 7780 7762"/>
                              <a:gd name="T5" fmla="*/ T4 w 47"/>
                              <a:gd name="T6" fmla="+- 0 2502 2464"/>
                              <a:gd name="T7" fmla="*/ 2502 h 270"/>
                              <a:gd name="T8" fmla="+- 0 7808 7762"/>
                              <a:gd name="T9" fmla="*/ T8 w 47"/>
                              <a:gd name="T10" fmla="+- 0 2464 2464"/>
                              <a:gd name="T11" fmla="*/ 2464 h 270"/>
                              <a:gd name="T12" fmla="+- 0 7808 7762"/>
                              <a:gd name="T13" fmla="*/ T12 w 47"/>
                              <a:gd name="T14" fmla="+- 0 2734 2464"/>
                              <a:gd name="T15" fmla="*/ 2734 h 270"/>
                              <a:gd name="T16" fmla="+- 0 7808 7762"/>
                              <a:gd name="T17" fmla="*/ T16 w 47"/>
                              <a:gd name="T18" fmla="+- 0 2734 2464"/>
                              <a:gd name="T19" fmla="*/ 2734 h 270"/>
                            </a:gdLst>
                            <a:ahLst/>
                            <a:cxnLst>
                              <a:cxn ang="0">
                                <a:pos x="T1" y="T3"/>
                              </a:cxn>
                              <a:cxn ang="0">
                                <a:pos x="T5" y="T7"/>
                              </a:cxn>
                              <a:cxn ang="0">
                                <a:pos x="T9" y="T11"/>
                              </a:cxn>
                              <a:cxn ang="0">
                                <a:pos x="T13" y="T15"/>
                              </a:cxn>
                              <a:cxn ang="0">
                                <a:pos x="T17" y="T19"/>
                              </a:cxn>
                            </a:cxnLst>
                            <a:rect l="0" t="0" r="r" b="b"/>
                            <a:pathLst>
                              <a:path w="47" h="270">
                                <a:moveTo>
                                  <a:pt x="0" y="51"/>
                                </a:moveTo>
                                <a:lnTo>
                                  <a:pt x="18" y="38"/>
                                </a:lnTo>
                                <a:lnTo>
                                  <a:pt x="46" y="0"/>
                                </a:lnTo>
                                <a:lnTo>
                                  <a:pt x="46" y="270"/>
                                </a:lnTo>
                              </a:path>
                            </a:pathLst>
                          </a:custGeom>
                          <a:noFill/>
                          <a:ln w="175">
                            <a:solidFill>
                              <a:srgbClr val="000000"/>
                            </a:solidFill>
                            <a:round/>
                          </a:ln>
                        </wps:spPr>
                        <wps:bodyPr rot="0" vert="horz" wrap="square" lIns="91440" tIns="45720" rIns="91440" bIns="45720" anchor="t" anchorCtr="0" upright="1">
                          <a:noAutofit/>
                        </wps:bodyPr>
                      </wps:wsp>
                      <wps:wsp>
                        <wps:cNvPr id="2023" name="Freeform 167"/>
                        <wps:cNvSpPr/>
                        <wps:spPr bwMode="auto">
                          <a:xfrm>
                            <a:off x="7927" y="2707"/>
                            <a:ext cx="19" cy="26"/>
                          </a:xfrm>
                          <a:custGeom>
                            <a:avLst/>
                            <a:gdLst>
                              <a:gd name="T0" fmla="+- 0 7937 7927"/>
                              <a:gd name="T1" fmla="*/ T0 w 19"/>
                              <a:gd name="T2" fmla="+- 0 2708 2708"/>
                              <a:gd name="T3" fmla="*/ 2708 h 26"/>
                              <a:gd name="T4" fmla="+- 0 7927 7927"/>
                              <a:gd name="T5" fmla="*/ T4 w 19"/>
                              <a:gd name="T6" fmla="+- 0 2720 2708"/>
                              <a:gd name="T7" fmla="*/ 2720 h 26"/>
                              <a:gd name="T8" fmla="+- 0 7937 7927"/>
                              <a:gd name="T9" fmla="*/ T8 w 19"/>
                              <a:gd name="T10" fmla="+- 0 2734 2708"/>
                              <a:gd name="T11" fmla="*/ 2734 h 26"/>
                              <a:gd name="T12" fmla="+- 0 7946 7927"/>
                              <a:gd name="T13" fmla="*/ T12 w 19"/>
                              <a:gd name="T14" fmla="+- 0 2720 2708"/>
                              <a:gd name="T15" fmla="*/ 2720 h 26"/>
                              <a:gd name="T16" fmla="+- 0 7937 7927"/>
                              <a:gd name="T17" fmla="*/ T16 w 19"/>
                              <a:gd name="T18" fmla="+- 0 2708 2708"/>
                              <a:gd name="T19" fmla="*/ 2708 h 26"/>
                              <a:gd name="T20" fmla="+- 0 7937 7927"/>
                              <a:gd name="T21" fmla="*/ T20 w 19"/>
                              <a:gd name="T22" fmla="+- 0 2708 2708"/>
                              <a:gd name="T23" fmla="*/ 2708 h 26"/>
                            </a:gdLst>
                            <a:ahLst/>
                            <a:cxnLst>
                              <a:cxn ang="0">
                                <a:pos x="T1" y="T3"/>
                              </a:cxn>
                              <a:cxn ang="0">
                                <a:pos x="T5" y="T7"/>
                              </a:cxn>
                              <a:cxn ang="0">
                                <a:pos x="T9" y="T11"/>
                              </a:cxn>
                              <a:cxn ang="0">
                                <a:pos x="T13" y="T15"/>
                              </a:cxn>
                              <a:cxn ang="0">
                                <a:pos x="T17" y="T19"/>
                              </a:cxn>
                              <a:cxn ang="0">
                                <a:pos x="T21" y="T23"/>
                              </a:cxn>
                            </a:cxnLst>
                            <a:rect l="0" t="0" r="r" b="b"/>
                            <a:pathLst>
                              <a:path w="19" h="26">
                                <a:moveTo>
                                  <a:pt x="10" y="0"/>
                                </a:moveTo>
                                <a:lnTo>
                                  <a:pt x="0" y="12"/>
                                </a:lnTo>
                                <a:lnTo>
                                  <a:pt x="10" y="26"/>
                                </a:lnTo>
                                <a:lnTo>
                                  <a:pt x="19" y="12"/>
                                </a:lnTo>
                                <a:lnTo>
                                  <a:pt x="10" y="0"/>
                                </a:lnTo>
                              </a:path>
                            </a:pathLst>
                          </a:custGeom>
                          <a:noFill/>
                          <a:ln w="196">
                            <a:solidFill>
                              <a:srgbClr val="000000"/>
                            </a:solidFill>
                            <a:round/>
                          </a:ln>
                        </wps:spPr>
                        <wps:bodyPr rot="0" vert="horz" wrap="square" lIns="91440" tIns="45720" rIns="91440" bIns="45720" anchor="t" anchorCtr="0" upright="1">
                          <a:noAutofit/>
                        </wps:bodyPr>
                      </wps:wsp>
                      <pic:pic xmlns:pic="http://schemas.openxmlformats.org/drawingml/2006/picture">
                        <pic:nvPicPr>
                          <pic:cNvPr id="2024" name="Picture 168"/>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a:xfrm>
                            <a:off x="8009" y="2463"/>
                            <a:ext cx="130" cy="271"/>
                          </a:xfrm>
                          <a:prstGeom prst="rect">
                            <a:avLst/>
                          </a:prstGeom>
                          <a:noFill/>
                        </pic:spPr>
                      </pic:pic>
                      <pic:pic xmlns:pic="http://schemas.openxmlformats.org/drawingml/2006/picture">
                        <pic:nvPicPr>
                          <pic:cNvPr id="2025" name="Picture 169"/>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a:xfrm>
                            <a:off x="8202" y="2553"/>
                            <a:ext cx="203" cy="181"/>
                          </a:xfrm>
                          <a:prstGeom prst="rect">
                            <a:avLst/>
                          </a:prstGeom>
                          <a:noFill/>
                        </pic:spPr>
                      </pic:pic>
                    </wpg:wgp>
                  </a:graphicData>
                </a:graphic>
              </wp:anchor>
            </w:drawing>
          </mc:Choice>
          <mc:Fallback>
            <w:pict>
              <v:group id="_x0000_s1026" o:spid="_x0000_s1026" o:spt="203" style="position:absolute;left:0pt;margin-left:137.8pt;margin-top:9.55pt;height:211.7pt;width:292.55pt;mso-position-horizontal-relative:page;mso-wrap-distance-bottom:0pt;mso-wrap-distance-top:0pt;z-index:251670528;mso-width-relative:page;mso-height-relative:page;" coordorigin="2756,191" coordsize="5851,4234" o:gfxdata="UEsDBAoAAAAAAIdO4kAAAAAAAAAAAAAAAAAEAAAAZHJzL1BLAwQUAAAACACHTuJAlXT+ANsAAAAK&#10;AQAADwAAAGRycy9kb3ducmV2LnhtbE2PwU7DMBBE70j8g7VI3Kjt0KQlxKlQBZyqSrRIiJsbb5Oo&#10;8TqK3aT9e8wJjqt5mnlbrC62YyMOvnWkQM4EMKTKmZZqBZ/7t4clMB80Gd05QgVX9LAqb28KnRs3&#10;0QeOu1CzWEI+1wqaEPqcc181aLWfuR4pZkc3WB3iOdTcDHqK5bbjiRAZt7qluNDoHtcNVqfd2Sp4&#10;n/T08ihfx83puL5+79Pt10aiUvd3UjwDC3gJfzD86kd1KKPTwZ3JeNYpSBZpFtEYPElgEVhmYgHs&#10;oGA+T1LgZcH/v1D+AFBLAwQUAAAACACHTuJArdqMiF0lAACFSwEADgAAAGRycy9lMm9Eb2MueG1s&#10;7V3bbiM5kn1fYP8h4ccZVFt5U0pGuwc91Rc00DNbmPZ+gCzLljCypJHkcvcM5m0f9nH/Z79nsb+x&#10;J4JJJckIyrLS5S2Vs4EuX0STJ4PkOcFgkPn1H369nycfJ+vNbLm4PEu/6p0lk8V4eTNb3F2e/fvV&#10;D+8GZ8lmO1rcjObLxeTy7LfJ5uwP3/zrv3z9uLqYZMvpcn4zWSeoZLG5eFxdnk2329XF+flmPJ3c&#10;jzZfLVeTBT68Xa7vR1v8uL47v1mPHlH7/fw86/X654/L9c1qvRxPNhv89jvz4Vld4/qQCpe3t7Px&#10;5Lvl+OF+stiaWteT+WiLR9pMZ6vN2TeM9vZ2Mt7+2+3tZrJN5pdneNIt/4tG8P01/Xv+zdeji7v1&#10;aDWdjWsIo0MgBM90P5ot0Oiuqu9G21HysJ6Jqu5n4/Vys7zdfjVe3p+bB2GL4CnSXmCbH9fLhxU/&#10;y93F491qZ3R0VGD1o6sd//njh3Uyu7k8q86SxegeHf6///0f//Nf/5lUZJvH1d0Fivy4Xv2y+rCu&#10;f3FnfqLH/fV2fU9f8SDJr2zV33ZWnfy6Tcb4ZV6lZT4oz5IxPsv6g0E5rO0+nqJz6O+yquyfJfg4&#10;HaamS8bT7+s/Lwdlav62yPKCPj237Z4TvB2a1Wx8gf9rK+E7YaWnxyb+avuwnsDmVNvi44fZ+MPa&#10;/NBYKh32M2ssFKA/SNJen6DRX1FB82cjwvPzcvzXTbJYvp+OFneTbzcrjEk8KCqwv1qvl4/Tyehm&#10;Q7+m5/Nr4R89KNfz2eqH2XxOlqfvX3buJOuLyf31BENi/dNNyqMaXfnzZkvNUafyuP5HNvi21xtm&#10;f3z3vuy9f1f0qu/ffTssqndV7/uq6BWD9H36/p/012lx8bCZwAyj+XermZ1kaSG6Rx3E9UQz04On&#10;WfJxxJPZjAQA4hFhIWJwkEkI62Y9/guMjXL4fruebMdT+vYWlqt/j8K7D9jMjWWpDzYY8/QXwSgv&#10;BgPQBw3mvKiHK5mFxnqW5Was5qnpyuaPV+vN9sfJ8j6hb2BbIGPbjj7CtOZZbBFqc7GkHrajwSBh&#10;iABG8xLku7Edj58OMyZRr0Y0v0xHKxr0VK03zvE0hhR+WE8mxOkY6DUxcMkdK2zYWMn145+WN+CQ&#10;0cN2yU+3x3SZmenWdHkGBiKKKEpuYTfLRxfjB2M6sos1F6j2ph6Tdzc1yCt0y+39HAT++3dJL0E/&#10;pfyPaagphslniv3uPLnqJY8Jtc3DpCmDGe5UlVXDYYLurjE3xWCgXVVcaJrU+AmgxVXYUgbXsF+p&#10;uMCRu8quCh0XeNLF1a90XLDlrqqMCqm4IPVOZWXWG6i4hrYY2Wug40p925OtVINhXjjIqJSKLPXt&#10;H4WWuh1wlWYRcH4HxMG5PcClduAwHHcDbjQ1UxYj89dFPQjxXQKCJ/WjYbpabkjYrvC0GNJXOfM6&#10;l6dPI4XROhW2wx+l9hRGp1DhHc/sL0124uKliwQPhT+rn4AYKXST1uwmXZvJsRpt6cH58fBt8ght&#10;p0k7NXOWfn+//Di5WnKJbeMQNDO6+Xy+cMsNjPznuX12+7H9uuLquDk8BvsPAG8+xTcEjWVgh5Ee&#10;zaGNHZ3SHxFyiDh31GY5n91YMd2s767fz9e1wvTov9pcXjG4ZYsbQ9lzdBHcEEN/hkCvlze/wada&#10;L8HymBRwtfHNdLn++1nyCEfz8mzzt4cRfIxk/tMCvD1MiwLFtvwDLJXhh7X7ybX7yWgxRlWXZ9sz&#10;jDb69v3WeLMPq/XsboqWjGIvlt+Cgm9nrCyEz6CqwUI6Xk9DMPeEhgzIrLXavKCGFDlogzSk37Mz&#10;zgqQOxg+iYZQ2/s1ZFiURImMzFUHl8IyKjRNavxuKZ/Cyl6VqVztMhhriIJL1xCBS9EQBVegITk4&#10;mIQ3tIXQEAWX1JBcNVioIblusVBD8jRXoSkaooHzO4A6Ugfn9gCX2nUnOKnTEKEhZGvSEBpbcQ3p&#10;93h6wYQxDaG1I2lcnvNSDCWteNivRkSK3JSz1G4/tV9tKaDqpOa0pAZTT0jN8NNITQlXhaWmKu1A&#10;ejWpobb3Sk2OhblKTq7UcKFpUuPfIzVpdeByRcF1vNQouAKpKVIdl5AaBVcbqVGQhVITg6ZIjQau&#10;hdQ0w7GTGiE1ZGuSGjJSXGqqgjljj9RkWDwcIjUlpKgTkRNbr6DLQhEBW7zMeqX2sW3Mq4+AEovI&#10;AAMKLWDIvZqIUNv7RSTLObYk1gWeiFChaVLj3yMi2UBfF7jeMq9XFFzHi4iCKxCRMtNxCRFRcLUR&#10;EQVZKCIxaIqIaOBaiEgzHDsRESJCtiYRISPFRaQxYWy9UvQOW6/0scnQiciJiQj8DCEiHBN5gaBX&#10;ICJVAX6koFfaM7Gl11QRany/imDr9+mlCBWaYm9JBsd8FsNGcl+N4QgZUYAdLyMasEBH+tmBixEF&#10;WBsd0aCFQhLDpgiJhs7vgmcFviw6DMlOSYSSkLFJSdhKcSnBx0/FvsoeJsABsS9usYtqnVZUC0wj&#10;tIQHxJFaUhZ1pLTZjLALkox8DdKSJojackFCjSXcYiATaGi3Q82b8NR2UAaOlrM/zfvYDeZme91d&#10;kNSb3TX+PQuSKs9UXEJJFFyBksS2ArwNFCo0TRRcgZDEcIkFiYKrjZA0PX4CTA09abdxzQMd1EtP&#10;HWfexiYxJ57r6Qj1tAgVU0kQKjvVRxLqLiEsL3u8s23y5CghLMXsJj7N/MxFPznhk+xHo+W9bJqX&#10;IMAGsM6mXGiaGPRxMi0GQz1zSJCpROVzKQFSUblcyoU0VD6VRlEJKpWoAiaNwvK2oj1cp+HytiZS&#10;GuDgUYyQOI3uBn+MRVP07kuRaMVAvHydLq3HS9FX82yfmxpaIU1JkCiT3NEkOjSjAB5cQKLlEEtQ&#10;YtFB/mJ7rUxYQ8GRwiultp/gUTAWeZ1hMdcrrZmhxr+HSIcF5a1KXIJIFVwBkxZlT8XlMSkVQvje&#10;2NXF5VMpe/EaLkGlCq6AS40brxjM49Laj1eQhdGNAnvdGjQluqGBC6IbnFCrgXN7wAd3GkzPHrOa&#10;ooqBirl1lb5saijZmsPkGFtxaRhkT+21UrQd8KrKJtTbPB371eTrlEPzGJYg7Kf2qy0FUC+lNF0C&#10;6ascQkDHS6XhsXq00tTnN+DdBrF0hNrqWHphZ0PL+MfhhxCo7f1KA2GEb2wOQblc7SkNFUIo3eB3&#10;S/lEVwwHxWGRdAVXoDSApOLylIYKqbh8pQGuUsUllEbBFSgN2UoF5ikNl9ohOw0yb++200Cn0DPG&#10;SZydkZpOQxKtRT13JG1KQm1SLw3t8rTqaPekoiQVdFc4+LzZdyTtlmWdNdWEcD9h2LkcVglaFImS&#10;wsFXwqifMuw8yPsqLte95DwYBZdPu9GNOJd2udAhYedBrttL0K6CK6DdKDCPdn1kb4R2OVz8EmHn&#10;HP0iCDWk3YwOFolSMHV3XOqzPS5VQU8F7TKLHUm75OjxKMCiNYir9GmJzHEVHL83Ot/W22WvkloM&#10;PFlBu9R2UManXXbLaKEdFvO8XeNVDgz+uLdb9nCsii0RtCloV8Hl027+nLiKxOV7u6RQKi5Buwqu&#10;kHajoQvX+DZ0IZGFcZUYNCWuooHzlxvcrNabiDo0+8A+uNPQhNeOq5CtOa6CHox77oPSrl9jnnsf&#10;owLa8FRchZvrNOS0XHfMPaEhzP2P5oKHo4/c5riNxfCxdd1TWieYHU4bemurIQdf20BtB3weaMgg&#10;KxEAwOnyoJinIVSIdhMZ/z4NKfVUcZfB2HVXcAUaAkgqLtd1J9w6rkBDeqV+rlVoiIIr0BBuUzOY&#10;57r7yE6DpoGyXcYID3Te6dwXz8ZxCBpraC3GuynFMwWhhq47tyZKodrOdf98XXcQgaBdHg5H0m5Z&#10;1UcEaK3s0y4vJIl289wKfUvapcYSbjHgStd7fF6inlgFuLRb+3o1/j20Oyx0XIJ2lciET7swY0G5&#10;6AKXS7tciCImtdA1iTEB7cZwCdpVcAW0GwXm0a6P7I3QbhMx2ReobmZBjHa7WMjpXR1TYfqGhIrr&#10;ccBPxxJqr4SDCNYE+YSxEBwJZj92aC44w/RqS6hoLEFivvBRBaH2zRUCLgcGfiy5gtrq2SXU2iur&#10;8buV+UvxMkXOh4ZLEKqCyyfU58RCFFwBobIAKfYShKrgCgn1ObEQBVkYC6l6ka50O8BcP6aB8zuA&#10;lU/rTS0W0gzHE0jLfvVYCE1a+ORkpHgspDFhTByQb3VQLAQXAzztutMAkKU61x1W+Xxdd3iAQmle&#10;5Lxm3jfXWTYp4VkGEmXXfZdx1VJpDs8xobYD9z5QmiHuFWswN86vS3Q5FYKLbPDvU5regac1FVyB&#10;0sCMKi7XdSfcOq5AaXBb72E5JgquQGm4Tc1gnuvuI3srrjsNdNrsxDiJs3M9imCTGDtnGTyTLhZy&#10;WiFozDhBqK0OLQ5wwzaNAqyCRSykdt2bVWBLQi3RWEL/hGQpXHclauwTqnH2lJiDS6hcSI05+J5j&#10;v1fouITrruDyCTUacnAJ1Y84uETvE2oUl3DdFVwBoUaBeYTqI3srhEr5HJw9spdQdxHBKKF2eSEn&#10;d40u8iAkoTIRHhsLoVcWMKGKWAiHnclDHZrsC0yvtoRKHldZvyTB5RFBqNT2fg+VnDxt9ewSau1v&#10;1fjdBn1CLbOyVHEJQlVw+YT6rFiIzGrxCdUIkGIvQagKrpBQnxULkcjCWMigh0xBBZqSF6KB8zvA&#10;yKOS5aPGQnbDsYuFyMtEaK+IYiEwUtzbHpq45x5vO62DHE8lhlS4G1165eE+Jo0AWQrNd/uYn20w&#10;hE7HCN+d98yOlJrmfHxV1AnZNn0k64NFORiyO9/VUmqeEQxB23ulpkjTQZLvMOvBEC4E393g3yM1&#10;KXx3Ahe2KaSGbBLgCqQGkFRcru9OuCkYInEFUpOinIZLSI2CK5AablMzmOe7+8jeiu9OA518d/RH&#10;nJ7r3tpDz1lfC4aEtMvTqguZnFTIBMwgaZeTEI6k3XJI045CJkVZZ1Fb2k1LkADRbmb2UzHgWtIu&#10;NZZwiwF1AYJ/zxO1HZTRQiZFX+TjuR5+HTKp8cdpt9/rD1RcgnYVXD7tZoCENEGJy6VdLoRsQmNX&#10;F5dPu1FcgnYVXAHtRoF5tOsjeyO0ywMdtEv9EafdLH0yaw+7OJ0fe1qXsA5AK8KPZdfqWEKFC2cI&#10;VYZMrB+LhbEdS20ZlRzGkpoM2FIwaiUdRp9R2eN6MmZiHEb7AC51+Wt23GqPBBIFmKBUBZhPqc8J&#10;mmjAfE41GqQAE5yqAAs59TlREw1aGDZhfVSwaWET2Z+p3wXPCptYdKdB+a+dQ0JDgRxztlJcIvAx&#10;uy37XHPqJPhUT0ZOVBceFXcxkc83JgLfU2hJq2OZ9iWyuNG6DglY5zwbgK/IOS9e/y121HYgN76U&#10;FFiAJsAsshpd55wL4dWZBv8eJUn7QzX2IJREwRUoCSCpuFznnHAjJqLgCoQkrczrY0NbCCFRcAVC&#10;wm1qBvOccx/ZaTA1ULY7UsMDHdRL/RFn3mYWRPczB+g+zBd7AM3e+WS/mktIuDVRqqNdRHs/X9qF&#10;ograbXOSsd9LrQtvszss7ZZgMGJdnMAHA2JctPTfqSm8yBPtBYQq/He0HBTxObf29ixgPQ5dB0QM&#10;+jjlctxBQyUoV6LyGTdDVdiIlahcxuVCeMmceEKfcKOoBOFKVAHfRmF5fOvheiN0SwMcbIu+iJPt&#10;bvDHuLY+QOFT7ZEk2l3V+ioX6OHItiRRdvOOjoMgxsGBZREHGWCDj1kUW2e8ZdieR0tyEumfkCQF&#10;j1Lje4mUvawn4yDGSbQPEKfSsugXKjBBpQown0ufFQepLesCC9kUyqNZTLCpAkzQaYW3wGkJGq75&#10;a/HRbBbEQVgVNWxKHERD1yYO0gzJLn9E5I+QsTkOQlaKCwS62PpHMYnIhpgA5EjttvStI26/Goec&#10;W+wc8tPapARvhQ65uTz6SC3Z5YYUufUkrUNOxz/JIU/xcqMX8cgPTw1B03uFpCjoNfe5OSrqErEX&#10;BaFC9FYzcZLcJ7FiWB6YGSJh+TJCiFRYrkvOhVRYvooA1oGJIRJWICJRXJ5P7gN7I045DXKOPu9L&#10;6W5mQIxzK0O5vlseZoVQWy/Ft53v/jq+O2au4Ns2BxPL0vrulT2Zbvm2GMI/JMLtm2tTX8B1R2O4&#10;7fQA153a3su4xkOu5PLfZVwuNE1q/C4v+4zL4QYNl/DcFVw+5WaAlNA/IXyXcrmQisun3Cgu4bgr&#10;uALOjQLzONdH9kY4lwc6SJfGSdzTbWZBjHS5npci1O5tAq9DqJhxglDbHEwk741lFWf8ag6zhNqn&#10;DWEi1IE5A96eUI2rSC0GZOkuxvmSJmo7KOMHldnbIsIMi7mEWrtkNf44oWJBD39YwSUIVcHlEype&#10;iz1MNFwuoXIhvLfGnq1vQuI+oRLHq7gEoSq4AkJlcdGAeYTKpVRkQSCkxF1bKjQlEKKB8xUtDs7t&#10;AR/cabD9a+eDkK3JI6exFReHZkbHxCHDcpa87dr7gbFt9MN+NVGQPvW3EJGmtC0FVKIUKu1yRj7f&#10;zUuQjJAa9hOPjZXsrvIeWHfZSk3aoyg/R0twvxNR+kuIDb0i5pDLvLn1/WpTpLh6b4gzY0ExT22o&#10;ECIT9RPskZt+pSNzyc5cxUp2CZr09YY5UUPm6k1NnBoyX3DYg9dsJgRHs1mgOIRKNZqnOFxKt1og&#10;OVFwiuSo8HzNicNzuyGA14kOU/bPmy2JC7F38kghTpq+FAeisR+XHXxsd9ViutMfmnOZpfHsorqD&#10;JjtJGU9PK6Wd+lZISpujmXjdLpgJjkWOq0UMUVpJoYPERlHyXepry5QYag1XD8ocQ7F8UU7uB8sX&#10;0ooGdLMA0ASlfoA9glJhl1MD5jIZC4oCTNETDZimJwowRU80YEJPFGCBnBAo1WSenHApyIkCTZMT&#10;DZsiJxo6X03i6Nw+CNB1aqKpCRmbxYT6cI+Y1F0MIz4lJoV5N2FUTLjFbnlyUlu5Q5Cu0BJ2lo9c&#10;npQpvfKVtCQd1unhVksGFT7h1UmW8UcYSW21BK0hyUW+nlloCTUeLAE0LdmB3q8l9QPs0ZIBlk0a&#10;MJfHWEsUYJqWKMA0LVGAaVqiWExoiQIs1BKAwgWQtp8bk/laQqWgJQo0VUsUbIqWaOgCLYmic/uA&#10;4DvoOi3RtISMzVpCfbhHS+ouPkBLMnP+O6ol3GKnJaelJSBUoSW8njhWSzLajCYtyc0bVZr7c6sK&#10;iyDWkh6yHkDsL6AlaC0pqclAJ4SWUONBGU1LdqAbYtTWJfUD7NGSIS2YFGAuj7GWKMA0LVGAaVqi&#10;ANO0RAEmtEQBFmoJQOF9G7afG5P5WkKloCUKNFVLFGyKlmjoAi2JonP7gOA76Dot0bSEjM1aQn24&#10;R0vqLj5AS1IMEcMAdlPFfjXbJlWd7OLnRaHibtvks902GYIphZa0OWpb0uqVtWR3+5Zdl+R06Q5p&#10;SZnbrOa2yxI0lnCLgUwIKaG2gzKalAxwjUVQTJGSGv8eJakGuOmyXse7xVwWYyVRcAVKAkg4aitx&#10;eUpChaaJgssXkjKGSwiJgisUkhgwX0g8ZKfB1EDZ7qgtD3TsL1B/xJm3zO3iPBYQ4no65/y0nHOw&#10;nyDUdodoS7AZOeeF3V21hJqCA4hPM7tN1ZJO+70yxSFatBdwoKBTtBwU8dk0L3uUV/TEu0CpEL0L&#10;NKzL9wl5I1VDJchUogq4FIBUVB6XUiENlU+lUVSCSiWqkEljsHwmdXG9ESKlAQ4exQiJ02hmfYkY&#10;i1IlL0WiXSL+q+SN0pk2QaIcLzg2wlHV++8gpvpCREuiOE1pWDTfHcduSaPGy4KrFfKaoFFqez+P&#10;spMFngyLuV4peYdgrBq/626GRAp6J3BhZYJIFVwBkzK/K7g8JjX8ruAKqZTe3afgElSq4Aq5NAbM&#10;51IP2RshUx7oYFPqjzidNrMgxqf6dbdhDiW39lK026Xrvw7tYpKHtGte1H4s7RLbsu/aN4udJrBc&#10;4mZXdl4rs7TFJGxLuzSpkYgluFLQLrW9l3Zx4hT5LjvMTZDUpV0uhNtW5NLcp92yGuYqLkG7Ci6f&#10;dpGJDwdWweXSLhdScYW0S5f1KvYStKvgCmkXmFRgPu1SKRWZGlRWoClBZQ2c3wFkMB2c2wNcagfu&#10;NDThtdP1ydbkkNOYj0tIM6OjEmK9MXzFRISxbSTZfjUR5RJXab+Y796JyOuICLhIiEirQ7R9mvUU&#10;AEHeoOFt67sXJWYwRUD6u9dwtRURnEhJSu0IUHizOrV9gIjsMO8VkRp/3HcvB5mOy6UwjigruAIR&#10;SbMeFgvWlg0uT0SoEA7RGru6uDQRUewlRETBFYoI5YVqwHwRoVIqMlVEFGiKiGjgAhGJgnN7gNA3&#10;4DoR0TYmydYkIjS24iLSzOioiNDwIVoo9m9LFiV6sluJnFYUHSwjRIS3S45diVRpvRIZ4gW3zNtW&#10;RBASMiJSmFT5F1iJVDhVW+KfUCDESoTaPkBEhvJN0spKpMbvkrXPYeUAp2A1XC6FmW1JiSsQkayX&#10;J7mCyxMRKoQbgOURBE1EFHsJEVHsFYoIMKnAfBGhUioyVUQUaIqIaOD8DiCD6eDcHuBSO3CdiGgi&#10;wpMWIkJjKy4iuIOKphdMGBMRnPFiccgqjsSipF2B2K9mJZLXL+rrclu2Z8mIX+j6fgtJAXU+P7dl&#10;NRtf4P/k1/v5YkPfXZ5Nt9vVxfn5Zjyd3I82Xy1XkwU+vV2u70db/Li+O79Zjx5ni7v7+XnW6/XP&#10;8Vfbh/UEnU+1LT5+mI0/rM0P4z9//LBOZjc44DekxEYjJChAf5Ck5o3W9FdU0PwZcpRm45+X479u&#10;ksXy/XS0uJt8u1lNxlvUgQrsr9br5eN0MrrZ0K9pYPm18I8elOv5bPXDbD6nIUrf148Mwz39wMvb&#10;29l48t1y/HA/WWzNU68n89F2tlxsprPV5ixZX0zuryd40PVPN2ZFDlGrTzuSvD2sZ5dn/8gG3/Z6&#10;w+yP796Xvffvil71/btvh0X1rup9XyFHZZC+T9//k2ZRWlw8bCYww2j+3WpWY8VvBdr72Xi93Cxv&#10;t1+Nl/fnBqjtIABNe+f3o9niLPk4mjcXhQMQT0ULEXONTEKm2azHf4GxWQk32/VkO57Sr29hufr3&#10;KLz7gM3cWJb6YLOizm9CiICU/IoEjAF2B8n3w0PXiT1kljE+wmu66m2fwqZh2KXjar3Z/jhZ3if0&#10;DWwLZGSdi9FHmNbQiS1Cv14sqYftaDBIGCKAffM1+SuPG9vx+OkwYz4u1zfGkvTdar0cTzYbDP9f&#10;pqMVDfraDarHOWYEJqJwmDi4cqTDlPczE3tBID/YMcvpWmLOO6jJ1Rpu/GAM5xqLvJF6RDYrTYA1&#10;ryn7/bsEa9F+bv4JXSHFXap7sakqyDsYDlKuL6zKdZeusuQxoYfg8dZUFWp1pCpXqmtnyY6g3aOO&#10;pmaouJlEyCkCc97RhCADrZYbGqJXRn+srqAQfRgpawbzYWUB01n0cL2YRPha9wYN64SnZ4JBjh4B&#10;Ka3PkuvLs2tjGMrarMvak9NkNILXqKlRR/y101bzaaChtdZa/OZTgHp+fmiGSUtANsv57MYS7GZ9&#10;d/1+vq5ZB1PCXIBA1OEWWy8fFjdmGs9h7HOaIGbW0nfXy5vfMKvWS2OUj5M1vsHB5b+fJY/r0ery&#10;bPO3hxF0J5n/tMBcHqYFvd99yz8UZZWRId1Prt1PjHBenr2AhhLW1+AVkr/R/eTy7If1ZEJ6DAHl&#10;BdSRvALBwRIBo0XyCs5PviStUEt4+4i8plrQijlx7a6bfFbBW2dxA4ZSk2AVWZNPKtGaBKmYmjB2&#10;v3ROwYMeTymUu+EwT8co6+O98tdiFMwtwShtTi8VKeWVq4yS55h+L+ipUFMJtxe4DoJSqOWgTMAp&#10;uHtErUpwilJVQCqxqgSp1FW9AVahJz2eVuivO145pdtasALCxBG80uYkS1FGeQWa9aK0gnVqgubE&#10;ikTQivQvAlbpFwO1JsEqsqaAVPoFLnNUMAlSMTW9AU7Bgx5PKfTiS+GpNNFGs47q3BmOLJ7UAgnT&#10;RtBOm/MeRYVLyWLuDD55SXcGTSXcXuCqCN7JZR6ATzxlj+iCoAdVCeJRqvKZJ1qVYJ66qjdAPfSk&#10;x3NP586cYOAFo13wCm8oHxl4KdMor9gTEDaM2TKei5bojVgHvIvxqeMPZQrHSKtJsIqsKSAVvElJ&#10;rUmQiqnpDXAKHvR4SuncGQR/v8R4L9zUkHZMLsixtJPVO+cy3kui9pLuTImmcH+LfTFAs7FzhDtT&#10;El0oVQniedqdKemGMqUqwTydO3PgPpIanQnXUjy6xIoLvN7tNj0/Y+O1YsMI5wv2aZc7HmUfrOZf&#10;lHz6JXLr8E+4ABLkIyMvwVKqSiu1JsE9sqbA6YnVJKjH1PQWnJ5WMZxut+m07vBGVBizXDAKr3OO&#10;9WcqvJL1dcIzOBINJ4TaC2IqglIUJ8TnlH5KnKJUJThFqconFVSFY4NKVYJUOn+m82feePbMLvu0&#10;yZ4xLy88kn369L5onX2wnH9Jf4ZaSri5p8hHhl4C7snoVqH6deBuko3gHllTQD2xmgT1mJregj/T&#10;KojT+TOn5s/QaRfhz7TJ8+3n9f1Inz4+g6YGOFGKg1hPUYrihASc0seVMVpVglOUqgJSiVUlSKXz&#10;Z9r4M13kBdb7bCMvdDpO8EqbPN++PXApeeWFIy/UUsLNPUUrMl4SsApdj6rVJFhF1hSQSqwmQSpd&#10;5MVNi4kdHSDntovl4oTGtv3pu1eK5dJBWsEobfJ8+wN7VvOTn0hCU3Av8M/Tnoos43MKToTkalWC&#10;U548kRStSpBKXdUbWP90J5Le2okkOngveKVVnm+OE8GkLvKd8lnWh66/ZMYd2koKavApX4WbDgr5&#10;zNLHFcRqXYJZtLoCfyVWl6AWW9cb4BZ+1ONTZPDnZlx15x1PyGvBvBDs0iqdt1eazO8sz4N3vmaD&#10;vN6D3r1nuGXmXdEr6chjKW4VFjtG3PZeeiG8SQO6yaZx6YUL4T1B4rCTTy9RXJJeyCYBLv/mmQyv&#10;B1dxYYlgDpX/7hyfo5CGCwZ3Tp73B0MkQCv2EhfPaPYKbp7JcCeJCsy7eYZLacjCi2di0JSLZ1Rw&#10;fg/AIKkOzu0CLqWC8/sg2p8US9x1whXSQB8TFZzfDdGhhhuUmuq8sdZKfq7slfH7T9vDMvAKruzF&#10;MPsLm8sSrtDXGL1At780dSLVbfLlny5ulr9X5kYpW9x8bXGcn7uG3xHV5rCcCQpyajIQ2SP/9qs5&#10;2GJawhPvmM5+br8G5Tj0FK3Oj0OaKlC4y+z6fOOLmExGV+lCF1yDMcdNPLjdFZPF2QolZ2uzCu7h&#10;EZfueH9AP9DtDcn145+WN7inYPSwXXJis9XS+i6YPMfFbzTpcGFD7X7bu2CKKoNAsptvp6/9Y3vR&#10;y4F3wXgXTRx4HwVdQuHeIkNzqLuWYv91NzhbIIeTudXbGx3dcGIO7YbTE8MJ+irYqR8mnp48O+1u&#10;qiKKSR7pEqzjr9G5n20n62Q+u788G7h37ZwwedFNYvj/099LhyvSdnmJH+y9dH2ONhOGL+peOvOy&#10;EXvpm3kBxFu/ly6r6A5kcoeHdb64dUVK3uQgV6TI8pbOyG6682104cV0rznYd2lwzWBnF+yLG+xm&#10;HdUN9nvSytrxrnIKgGBEZwUCohzbsaM9zbGSY7+7+qRjnXzCV7gsjS5/C4OH2EDw1zj1TwetWSqc&#10;hTemw0tkAtPRCcwX3JlAU2VC/5hmmnCfCB2maJl7sSnjb0xUfVwzrVXlRg75EkalKj9sFa0K9NnE&#10;mQqEmeqq4O5+6Rem0ZPS9GpyJUzsxA+KNJ/6EZa0b5Sn25TYnkwqBUUnBK+0Sc5qeKWP3Qmfkjte&#10;uZ+PLs+wicCXu3a80vGKe4Xrl3S5a6akaBlxd4Joz/JXKgRNdFePbn01np5VHhtiPfLW6KrqZwn9&#10;EzojwmGRN8D6/gpOlWBHsTCeWuyAChfCa6GresHWOD+Bx1IN4PwosITHImH5m2xZ2ctUWO4eGxdS&#10;YflbbEA1UGG5O2xXAzhSEla4zwlLqbj8fU4qpQILNjqjyJSNTgWbb/2syiPYXPNzKR2b3wVxbG4f&#10;mH1OBZvfBXFsbh/42Fq5s90253ZKUU70DL9FHFM37jebl97D3lHHGb2JRaxJT+Co+tWSqvPd6wID&#10;CKUsx9kP7VfjqdeFai7Z1YVvnr+DmVbmZrBjdp66m9D5XRWHvWGB3iQhnPA2eYfVMMPApLhI1asT&#10;dnZxETACiyU75xgXbbVymFcJtxcs3IVWyndWBVpZQUcAWCTpuGt7+py4X8QJfLImQCoql6uNE14H&#10;PxrR9Xk6Q2q0isqlaS6kofJpGm/r1VG5LM1KKW0VKiWrkWIsXymplIYrFMph0VfNpQilAs23fdRi&#10;dEncLrISNRntvzp5VFGbKflACjS/A3j0aEMMf+lCi4wxCsIdAo0W1bsHvcL4QQxJDDPykJ3KotCI&#10;HHaVecMfk/f4gNQXouDR95lQH4AAr2A+EBNMxVlT5muLvCYaKHg3GPhH03uapI5Ex/TelMIcNMis&#10;gtuvRsnrugzTAbf91H6tSwEPWjysLt91QJ1H+ATDt/6u41fc3MpArMYvaDa3WB2/uM0t42h2m1vu&#10;5hZSH8zk/v/b3HrNsQ7nIBzrrJlf3Fg3BNqNdW+sZz24Q7RgKc0lNiaZg9+mR29foBULvYvFCKZd&#10;sjwzg3J/0gJe1nV38XiHlwZCGO/wPq7pbPzdaDtyf+Zkt4tJtpwu5zeT9Tf/B1BLAwQKAAAAAACH&#10;TuJAAAAAAAAAAAAAAAAACgAAAGRycy9tZWRpYS9QSwMEFAAAAAgAh07iQLsBu96bBAAAlgQAABQA&#10;AABkcnMvbWVkaWEvaW1hZ2UxLnBuZwGWBGn7iVBORw0KGgoAAAANSUhEUgAAAB0AAAApCAYAAADJ&#10;eCK0AAAABmJLR0QA/wD/AP+gvaeTAAAACXBIWXMAAA7EAAAOxAGVKw4bAAAENklEQVRYhb3Wa0gj&#10;VxQH8DN5aJpsNpoaUqP1Ua2CpBKqGEhpsKKlChtQUKiigkIV6gcLWlZBrUINVtAPClVQ0FIFBYUN&#10;qNhFi2IgpZGgS8BHtamaKvGZjY/oZOb0U5f1fcdVP1yYOXP//C53mDkX8vPzfwEA3NjYCEFEIBk7&#10;Ozvvq1Qqp0KhcJFmEBFGRkYyAAABALCuru4H0iDLslRWVtaQUCg8m52d/ZQ053K5FEqlckutVr8C&#10;o9H4nKZpAWm4u7u7CACwqanpey4LNRgML/z9/b3z8/OfEG8NIsLy8nK0RCI5TE5O/t3n8/FJcx0d&#10;HSUAgK2treWICMQgTdMCrVZrCQgI2F9bW/uQNLewsBArFouP0tLSfmMYhscJra2trQcAHBgYyCHN&#10;nJ6e+iUkJFjlcvmu0+lU/V8nCpvNZh2Px2MKCgp6ubyOqqqqRgDA4eHhzLfrtwbdbvfTyMjI1YiI&#10;iL/dbvdTUnBqakpPURRbXFzcdfHZreHCwsIeHo/HzMzMfEYK7u/vB4SFhf0THR297PF4nnBCBwcH&#10;swEAa2pqGrhsa25ubh+fz/dZLBbtVc+vDa6vr4cGBgbuJSUl/XF2diYkBfv6+nIBABsaGmqum3Nl&#10;kWEYXkpKyoREIjlcWlr6mBR0OBzhMpnsQKfTmW/64VxZbG5urgAA7OrqKiYFfT4fX6/XT0ml0ter&#10;q6uRN829VLDZbBqhUHiWmZk5zLIsRYo2NjZWAQD29vYW3Db33M3x8fF7cXFx9uDg4H+3t7eDSEGr&#10;1ZogEAjonJycAZKFnrspKytrAwAcHx//khQ8PDyUxMTELIaGhq7v7e0FkmTeXIyOjqYDAJaXl7eS&#10;gogIJSUlHRRFsZOTk1+QZgDxfK87OTkRkYZNJtMzAMDKysqfuCz0Uq8jDW5ubn4QFBS0rdFobF6v&#10;158TerHXkQyWZan09PRRkUh0Yrfb47iAiAhwsdeRjLa2tjIAwPb29m+5gogIEB8fP/d2r7tt2O32&#10;OJFIdJKRkTHC5Tu+9E5JJ3u9Xn+NRmNTKBSura0t5V1ARA4nB0SEioqKZgBAk8n07K4gJ3RiYiKF&#10;oii2tLT053cBidHd3V15SEjIRmxs7MLR0ZH4wVGWZans7OxBgUBAW63WhHcFidCenp5CAECj0fj8&#10;PsBb0ZWVlY+kUulrvV4/xeVwfWeUpmmBTqczy2SyA4fDEX5f4I1ofX19LQBgf3//1/cJXotaLBYt&#10;n8/35eXl/Xrf4JWox+N5EhUV9Vd4eLjj4OBA9ihoUVFRN0VR7PT09OcPAV5Ch4aGsgAAq6urf3wo&#10;8BzqdDpVcrl8NzEx8U8uh+s7owzD8FJTU1+KxeKjxcXFmIcE36AtLS3fAQB2dnZ+89AgIgLMzc3F&#10;+/n5nRoMhhd3bcqcUbVa/UqpVG65XC7FY4CICAAAODY29tVjgYgI/wEUiPa4LE6JPQAAAABJRU5E&#10;rkJgglBLAwQUAAAACACHTuJAaPm3km4EAABpBAAAFAAAAGRycy9tZWRpYS9pbWFnZTIucG5nAWkE&#10;lvuJUE5HDQoaCgAAAA1JSERSAAAAIQAAAC4IBgAAAKaycLoAAAAGYktHRAD/AP8A/6C9p5MAAAAJ&#10;cEhZcwAADsQAAA7EAZUrDhsAAAQJSURBVFiFxZRdSCNXFMfPTNJxImkUSROlbtOmG2qzEEUWW21R&#10;sI0fJasFW8SCFtwHbQK7NWAf7EP2QR8sxA/Iqg8WtKAULVgNthotWHSrJRRNMVaqq+sHmhhEYzAa&#10;k8ztU4rbujp3EseB+3LuOX9+3B9nACEEN3UGBwc/AQBEIITgJr6tra1bGo3mT5VKtXIjLxAKhQR5&#10;eXlTYrHYt7KycvtGIJqamhoAAPX09HyOEALeAebm5t4RCASh8vLy7xmGIXiHODo6elmpVD5VKBTP&#10;Dg4OEiN1XiGqqqp6SZIMT09Pv3++zhtAf39/BQAgk8n06L93vACsr6+/LpFIvNnZ2b8Fg0Eh7xDB&#10;YFCYk5PzRCKReNfW1t64qOfaIUwm0yMAQH19fZ+9qOdaAWZmZt4jSTJcWVn53WV91wZweHiYoFAo&#10;nimVyqder1fCOwTDMERFRUW/QCAIzc7OvntV/7VA9Pb2VgEAamxs/JpNf8wBVldX3xSLxb7c3Nxf&#10;Q6GQgHeIs7Ozl7Kysn5PTEw82NjYeI3tXEwhGhoamgAADQwMfIozFzOAqampPIIgmOrq6m9xZ2MC&#10;sL+/n5SamrqlUqn+9vl8Yhx9Wq3WFjUAwzBEWVnZD0KhMGi32+9y0Rc1RHd3930AQM3NzV9x1RcV&#10;wPLy8lvx8fHH+fn5v4TDYZKrPs4AgUCAyszM/CMpKWl/e3v71Wj0cYaor6//BgDQ0NDQx9Hq4wQw&#10;MTHxIQCg2trazljowwbweDzSlJSUnbS0tL+Oj4/jY6EPC4BhGKK0tPRHiqIC8/PzGbHShwXR1dVV&#10;AwDIbDYbceYmJyc/IAiCqamp6bronnXQ0tLS2yKRyK/Vam0468hGH6ug09PTuIyMjHmpVOrZ2dlJ&#10;ibU+VmFGo9EMAGh4eLgER0NnZ2ctAKCWlpa6y/quDLLZbFoAQHq9/jEOQERfQUHB+FX6Lg3a29t7&#10;JTk5eVetVjv9fr+ILQCuvkt9lpSUDFMUFVhYWEjHeYWIvpGRkXts+l940dHR8QUAoNbW1i9xALjo&#10;u7DodDrVNE2fFBYWjuGsI1d9F/pMT09fkEqlnt3d3WS2QdHo+1+hrq6uBQCQ1WrV4QRx1efxeKTP&#10;FcbGxgoBABkMBgtOUEQfm3U8f9xutywhIeHwuYJcLndxWceIPty/aXFx8U8kSYb/Leh0OitFUQGH&#10;w6HBeQXcdYyc9vb2BwCALBaLARBCYLFYDACA2traHuIEcf2bOhwOTVxc3KlOp7MyDEPA4uLiHZqm&#10;T4qKin7mYx39fr9IrVY75XK5y+12yxBCABqNxiGTydwul0uO45PrOur1+scAgMbHxwsiNQAANDo6&#10;+hFOkN1uv0uSZBh3HTc3N2/RNH1iNBrN5+v/AFysQkKzzQSsAAAAAElFTkSuQmCCUEsDBBQAAAAI&#10;AIdO4kDovEYU+wIAAPYCAAAUAAAAZHJzL21lZGlhL2ltYWdlNC5wbmcB9gIJ/YlQTkcNChoKAAAA&#10;DUlIRFIAAAARAAAAJAgGAAAAb9rR5AAAAAZiS0dEAP8A/wD/oL2nkwAAAAlwSFlzAAAOxAAADsQB&#10;lSsOGwAAApZJREFUSInFlkFLG0EUgN9uEt2NxFw2ARMMOUhS9FCIe1EkgUJBStZD7EVC8aRCWhDd&#10;gP6EFtKWogTsqSDpyVraLRY8SCPFS7PgpbULhZBAFtxVSFuypm6yrwebQwtpmsmhD95pHh/fm3nM&#10;DDU4OFgdGxv7BB3CNE2HLMvjDMPUl5aWttLpdMbv91cAAGBiYuIIEeFf8uTk5Nr8/Pwzm83W6Ovr&#10;+7G/v38TEbuDtLJYLAZHR0c/Dg0Nqbquc0QQRITj4+PrdrvdFEUxQwxBRJiZmXnl8/kqdKcN/Vsk&#10;k8mcqqq+niCCIEgul+t7TxCWZS9GRka+9ARpxf+HNBoNe6VS8fcEOTg4uKFpmrcnSC6XS7rd7q/E&#10;EFVVfbu7u4nZ2dkXRBNrmqZ9enr6LcuyhqIooa4gtVrNubGxcS8YDBYBADc3N+8iIlAcx2mJROJl&#10;O23LsihEpCzLskmSJJydnXGTk5NH6+vr9+Px+BuKopCiabrp9Xq1doDz83PO6XQaAwMDNZ7nC2tr&#10;aw+mpqbe/1bYqZ1oNJoPBAIl0zTt7Wo6no4oig/L5XJgZ2fndtuiTibNZpMOhUIKz/Mffu1P9yY0&#10;TVurq6uPCoUCf3h4GCUyQUQwDIPlOE4XBOE1kQnA1b2RSqWykiQJiqKEiUwQEU5PT739/f31xcXF&#10;rT/XuprYhYWFpwzDXGia5um6nVasrKw8rtfrTDabTRG108p4PC55PB7NMAyWyATgavh0Xfdsb2/f&#10;ITaxLIuKRCJyOBz+3Gw2aSITiqIwnU5nFEUJ7+3t3SIyQUS4vLx0DA8Pl2Ox2DsiEwAAh8NhLi8v&#10;P8nn8zFZlseJH/Rqtep2uVzf5ubmnvf0KxBFMWOz2RoAAEgKKZVKAQDAn0lakGcJUrWFAAAAAElF&#10;TkSuQmCCUEsDBBQAAAAIAIdO4kAGhII7LEoBAB58AQAUAAAAZHJzL21lZGlhL2ltYWdlMy5wbmdc&#10;vQkg1uvXNXxrVFSKEElKhspUhjJHKgmZUsYklZmMmStUSpSkSKLMU5TMFKEolHlWQhkzz3zr0nne&#10;9/nenuf8zzkO7t9wXXuvvdba+7pzWuX4hvUs6ykUygbFE0fVKZSVtBTKCmHqNfjKa46UTfjbmgtK&#10;x49Slsj/vciPDcJX1tmcOGdHoWz8SP6iCt63kZVC2UlRPHpE0/nZQJvTWYaG2bV/D76p+O6qRccQ&#10;zVPnt4aqxOpjyrc4oVKDLRx+F8T89ogKph0VUjPe4u+X7/T+/kmm1TQKj7jy+QcqhwMuejgJMNlf&#10;Xu07uiBZNXXty4HhL7lZ7bmXnSoPMxQLrqJQXkT2tWQOZxwP2OHwpzqyuCaAjZWV1dzw7Nm4P3/+&#10;XDP+UeSju2bjduc7UXFr5jzt7Xq+NG3dtu3P/qo0AYO8KyHBwSbOXaUbqtrzXTuS+tsplLMMa3DP&#10;1YETfXX9jBzerTkOiQ1l979WVTW05zoN3xtsyaxSVVI6uIGWdvy5jOfiZM5QWspWJqbETMuWyeiM&#10;DAe5EyduH5ffsYpKtkZ+rA2PR9byW3195dTERNt8X92+Cg5532e6b698i2lsPOtaMDerSUVFJb1t&#10;27ZSmcXprgu0jJQXBUbv8WPK909wblmabLHu4Nm3L8S6LceBqmPBzS8paX+xcpgoH4vQhY+fd0i5&#10;tHblslOueAiep1C8uD5XVwuaf3kiVHafXUY659Wro/7DHgwZVm05JiUlJX39DamG5U4ClGrJfx9Q&#10;/0oxaOPWrVtNn4k7mB3qyOf5OdHfYOk42CzSG2ZdMPO1vn5yW8cCRXbMm2olhSJ8bmhoKLK5uXnG&#10;yMjIym0q6nbwPu2UzdSrHtYlaqf25DJRrhT8u4q7Mabxfn4ntxULMnTk2+ADusd7IzxV/k5ObhQW&#10;EVFevuDlb6Vc8Zqfnxft+/37F59B3vTxAlcqrx7lT074NIpDdFLSqejXr09rnDuX/WzYICvr2til&#10;YaUQ/g2tedfepN6/r7Jj+dp8/11bb2U4q7q6etTkTG9ERG8u0zUhWvmZmRlL4YMHXQ86DbWGZ9hW&#10;uk4NTTRm2/XqpZ3dv8ubzi/qybeXx9nZD176ktZ3X2D//lq9TKu2dO1Ug3PpAU/DwmKTzqZdSH73&#10;ztHDcnwVxX+tleIKPOL+6kj5IJ23V0ZSVCOkG2aGFAw+fPjwcoe0W6Nlz5enrgcOHvQfHR21/5Wc&#10;HBd3+sCBA+W01NR/OX5FWJ8ltzo50DQ2Ga0Usqa0tLS5DH91ZNuVOQw0ph0vC2D3PMTNfVx1cjsH&#10;B8eO+/fvfwsTs570v3PH9ra/f0YA/k6NJedoY3M722PBJaLZo5JS/V6I9uZO6hs7N4ju2LEjU1JS&#10;0so2+S6+m369z1Yaxv2NRVN2nQ+pVq7R2+UtaHF0l9pMfbJuYcgJzvEys5ILaVs4vEempgy5gk/G&#10;f7i5NoLbW7AmVrVD9/TpF593aKupcejlOg5ejTx99ge2Ubg7Fm+iu2no47M6OgV57nPvEgey2SWd&#10;q7+WlvZsU1D7jtUsUeCpSn2j1pDH98PGMWwhm/+1hULyRBQVFZNvbWRz4dq9u/iQuHjzt8bGQy9j&#10;jOnp6ZM95gYzraXza5b+jo21xP1OlhgZGRkc7ijsCF8YxjVtknCfHX8t7T6rJ+My/vuslFT+s1Cz&#10;fXv3Pjq660FjR4dntq/vsQeZmU6dk4MtvZ5TbU4yWk7zD/coiVo0pZsYGRg8VzE1jU94+dL4LZZN&#10;+821m/SwDmkSd0Q8fnzJ7NKlyUst7yw75qanV/GMzlNebP7p+vEGears60OsmaNevmTjUnnmfGIn&#10;nabf0ajRu0wCG+fPfsWanyP/2nzKzCzhnKWUZ7zmycG2XKechw8fOn+8vZn7lTqvVk3agBjtWM/X&#10;OUWsYYtPgRyXZeznS+4yrd0i9wR7ZnKbqEUj74MTmjs2b/4xH+nR/M5y7sL03x/cMx76O6nVPT+I&#10;kUD04psw3x7vwFDptMvMvppnzqwPfvRo7xiWWG1d3d3Llc+yy8rKuN9/+TKgvOCo6yRq3T6Qe+Vb&#10;lDLCIZtuzUWTSdY1u3e/PBUaE/3t27f7vr6+50TC37x4IaukrS3m1Pn+OpOAXtbfa7KyXgHkAd6a&#10;fXLApHzxzeUqFxMTk23qDD5imylfKcsR8QUCyWzG2f2M/tsO9jg7yBQ69D8+rqf3bOERr4bHm/R0&#10;FyHL5rfu7DmWsWkPT0bb32Xka58Y7lgqj5S/xaXlRCtxfqd3YEWIwKbfHYVLwQHhDe3t0qLS0gXu&#10;hR4LKQZZNkaCErKJnxcX5mLdxr6KFSJgNTn8rv4Rf6FqDYWFfn8iktIGnf765KB1HBfnJgfHEueu&#10;ycndyEhOHjxobNz1ReEuo2VCx1DfJuUadSenqerXrwUzA9gkzr/3qhilZaTm+FhS0r2Ij2/Zccim&#10;sz9gA770CtEkgJqDE2tx88o1Xj1UFQkrKLIvL1lahgu6Tf/VwPIP1dDUfPXBScbhc1ublPDhw027&#10;9uwpmZcvy87O9vnsqrJhg/+FrVuDD9DTB9lfu39Z7EPQyWjnTVTVpzrZJRAxXQoKCsLs7OwczF0z&#10;XvqW4lc8opOTk5dvmxlaTQndRMuM5PWt/9vLMilt7QYJkgeCg4OVJx11XV3nzuJ3R/39+zfFbWoF&#10;5eva5TfAOT07a6Vy8qSZ+/z0yDe3KXXtVSuuH9XXz8/Ky9N7OmxAeTFzJT2iCCln7Gd3t0M9tuZM&#10;z9cw98Lpn3cLu/VH30RFycVnZZ3NF3X99v373sDLK4QossZeyxF0nbCyEtP+s68dSu9tc7Vuz2tq&#10;qakZ85V0QEjs2zPsJzd6UlnZUovJVVaQVv5OyYXNkzIUr9l/iWFbEJey+NsLJX4ZJGIFO70/jydI&#10;R0fXqRHmXvv2c2vsSRWVd5++fq1zQPCKvzu2kqK5diUQxZUDmpqa5QULky0RIQKGQ+z09F07q1jN&#10;aWju/goYtGo9/Tpxt+050a2UTg2j7wfxOHmxLNuTY2LOpJtUPPbB7YeTRLh+/frQlBOWV67E5aak&#10;WKWEh+vrWU6tppymX368it9qaiqeilo2FxQuzvZXiFm3PxlpU9Xi5eXtQdxvDIuISP2aISosXNv2&#10;9SsfLX0C1Qvp/7JvQIAqpViwloSUsTYlLXKPR6k5SLDPqtXPsTc9f+FCVHCeHS7MjGb57fx6a9Um&#10;bkqyL6L8QY0HqqP96nh6O3TOnduzSPI4ntxnjaDwcEtBk/JHC46OjrYHL1e2ajRIraB8KvKiolBC&#10;OQ0NO776+PiEIlWFf3ASSOfxu9BTFVG4UBkukTI3NRwxmta1zTcyRjVix6OgoJdTJK2eVlPjTQyQ&#10;pqKcZRbEmw+qjdeI5X7+/LnYO+sOacP9jHenh47XDzS9cZoaaptDijo4dSpU+M/pixdf2dUZc265&#10;s/PQIWfNgB1SQ+FAAdO+G1gfHzp8WGHkmwBF2Prsma0UCkteYCDdJoU+N3d3sU0swr9/JmglejS+&#10;Nip+2DykpIZlg20megn4pOLGjRsxSyNl7PRSUlLWZ3HbW0arMtcDdQyPjXZXvLNseec+UyFQ+CVU&#10;2t0lMK/Xc+SnggT/wq/u7j827hvPnTvnq2dOeWG7JckgP3R4BzCA2fjPkruOiWeSdYxNTWdCzfEL&#10;LA0L3GbSLc+ff5Epu/PK6X008fHxwRuZBTtHnx22c+zv6+vBhSRqa2o+qsFqsYiQ8bQyNzJ6kIcf&#10;HQYMOJxq3pDyY3Rg6FSN8NjsRL8oQoB+amrqksFz6atXr467TvQ5VCBSREqW3T26a6Ql01qX5CaJ&#10;t2/fru+Op/Iq9b/APMBPYDCFUle8ncBiCiVuM3n/+HN6N1lz+PPiGHkX+CPrTyAR/nixLC8r/JPI&#10;8qvGP5gt7x78Qy318m4IPJNqkN/8/v3OsCieNfFzr6Kjn44uOG2kbAgKHCYflDA21eHp+QArNuNq&#10;d7mI29T37VfMzBhH21ZShE8BCrtN4Zv+GhIEcs/f/6CoVevvTOeRn+wzQ2spLw4X8ykimXR6+/rm&#10;0MvdvnXrOHVHPvaU0/KiuUnPwtKXgp31HfCojESc6tbl692gAjRbdjnC3VFbUTH+BkIMJVRieWMd&#10;+YwNTdDJ+8ETiMwr/6UIbx+fbCCv7NzcW6NtNBTK+fe4pg2nyOZMT796jWyH//11/PJbd+9WrCQx&#10;FOCPQln+1VS8PDzVLqO/FLm/GCJKHFpGlWu6htpyIxSj1VnGmLAmNy5/5wfqdetG6Nb7BEu5jGeV&#10;AdpS/m7yM2IucMWn7vSm+9nX53J8b/B3rPx+7CbyX92KyQXJKSre0XF2dtZe/oCz/z7gB3JPG0EV&#10;5F+vkC/GKZDt3p53zbjUiZ3ir4bLXatc871Kem6Anzy99564v6/Lvwj5tbcqYilPtDITK+xwsk7G&#10;yWR/OyphscjIyCE2Ccd71agBgEsplOlNHB0bKLU+3t6r+iM8Zv/kBrCFPHhg9FGQVou14SKzr9/9&#10;+47PSMBqPsQua6duYJDitrS4MERi39fle+gQPO/FxXvwYM3vTw92d0nb0xYLvoqLOxEUxVP6/fto&#10;XazBQSmpNk4JiZb3374JzWpUra5u9b51y4lv3z6ND/OrKV6+CL5XHrpMDlyTwDd1ypdNz80JGKZd&#10;KGkmG7SjwH1uWjX/kr39290c3ri/9/rktjmW5lu6ly/f+kkxxd/g7NknuuRtFnguGRi2h471VnkW&#10;kFVJz3VquqalReK16OxtLA68hLVrbz1ZvpUtW7b8/NHZSfcS2+05WUmdhVhj/s8Rta3wLhqkXCe/&#10;JP158uXLqZeIi7TAPB8/Hk1cR881/+fXL4YMp+H2bQwKdeVDPps3b2YDEA198uQVNqlQQ5Je9tWv&#10;sXpL/amF0jZ9tfE//GqlPeaz7BCg62L12GXVUIKcxI8vfCEZePmTPY1iL1/ZMjs17LlHVLRempc3&#10;PgPVlvbCzL1tByd3iNtfUbewSGoD1K+6dPEiM1BnnBKBHmZds8jQciTdHzz4RgxIsuDFp8MuCBqJ&#10;nkuL2gyDwDobVQ8eOHAv262mKP3tW7c6vLeWwqXFOW0/A1zJph2SNn/a8+cWXh4PuM+GDCRUMEdF&#10;8VryPUxbzTkNBEq7Q3K6CGVJmcqzQyMBCTKGWTY/HrvPTSqzCl+pLsED6UcVNxWf/GEFStMC99xe&#10;ZIWJKeQbu9o4tQ8ZDgb8mlpaSnuxip89exaVVV/gOpWioD++amdAdfVpJzlqWzs7mq7l92jILCgb&#10;JEjw0bt376pWrFyZz33qyd/LdS33kpKT6YEC7AaQLORx6cNpJJ2Yjc1yqz7fHhkVpS5q0/leKeOa&#10;QUptbe1JhnMjf4CGHzt82+QlKScnJ2lhYfE8DO9mjASAeQFa5heKL0x1+gYH2Q6Z1ycZ8hvkHYrL&#10;abnxeP+59B+/v700JunDESXQkkNLMUrKWazK4yzbtplczRdF/kU2850CjPTLyXEZiZUMUD1SI1xD&#10;ohS5mA8Z70QfB68+7X101+blp9GYZhywHGA0N2GRH+BSDrXnwcud6PxwU8Ci+e1np4XZCSVyS7bI&#10;W03Gx+5v3yZ59denTlSy4y/jlgYa3qFYjsae3eFn8ZNx8+ZvQsB7bqhjEs17n1KE2QmGRlnZ3OhJ&#10;RXnxA5E8lFZEJOPhBlbR/RzegS9evNiG/ype17bL/ufHO2p1dQgG/GoP+p9LXru6CsBUQCD1jV/t&#10;SuHLA/OrkwJXoUTCDlD+/vEO/aZkg/zZW0i0TtdldwYvNOG+p9atWvEZtMSS57Z6UmorKimZx3/K&#10;UAkXF2nFQq4lmcKIeS8+P1h2Z6DN4Vvx8aahuxrWXBkgb6H5relYjlbimXgSzZGrcKmcoTHbsAIc&#10;HPJ1J77mohQqwF/PExP72SaFVq68OZBp3XF1h2Ce80iUPla/O3KsGIc3STGMoDfsDt/CDgkJCdln&#10;ly8qa1wmSLuVkbFH9OKnQLvlTxDBJ3TSv6a/d2sTu4dfoKdjeIFtl2/s48dnruf1BoYbU1U/k3Sf&#10;fSvv6PiOyur4CsqVRgTY6VWxKuEs7WnGZdRAfRflqP/gBR4tu8+2e3qI5oUQie6IIKec1+DbrxSw&#10;UuKUB1gDZwOfP7e6Otyev2P3sXuHzhk2rLpykoBqZWXlGnLXoWSHv7g07UsVem9+3m3QIN+lTafA&#10;LbsQ198wMUFLS5ueqp9bn6mf6yjQN6tDUd5QLKhJMlFsbK9/AisfaoDiG1QrhXWqnku9yQcSu2xm&#10;ZrbHm65IRVRUUPATP5LTLu9A7GnX/RJUoROLC64L37+rB+8+fv+eMbuSoqLpnuCThwc/7GRYv8/c&#10;teyKVw9ADNPg95oaZcHlVYMHxZIMWFnmOfCERDetmqpSFP9nJwv5+PgM648Z6iUhtD5FWBwimKZu&#10;KoNq2nsGe8kfVUD1lWC8Am5OzrM0PkUn5ag/g5fqQ0BZ2WR8wdh4MGGoWNCqNWt3aGioz5EjR2qa&#10;ytzc3N7leyzkbGjYMb+wEDKMB/w8qooDTIN19YsjTELnvXq4CPz99ImnBvXC4eW8dosE5sd4Xi0t&#10;LWXpS+FhYYm6E8y6ui29WlNGBHBqaGsLvMvIcC+VjomO1jqh9mzoBBiVC5cvM5Xxxyfc7uzsNHMK&#10;X3Olj6xELFZ5of+58076e8xCP3/FJj0c7/ywMqR5YO0LoRMoD04oKgoRiuzLcoqzXQaefVslPKno&#10;n1NRWNYuZ3sDH4AXAvHK29WpkcWZrBRvcA3i4VomqrjwI73x8/KquRJQOZlWVCS3wfdDci1lgoOT&#10;82MxwP29GNM/ZQEAUoReU/7+o/hWGf1o1ave0Ptp6eknHy0Mg/jaU2+/n1J7HxvhnRt+T27Tm8vD&#10;hNmiBG7Co+fcwCY+bo8HOofA76Hl0PWOMF9nNDT2GYDPW1LNasVCzmtt1QufHWZ4cW3dhg0O3KuW&#10;0QpqkReK6nhmIIL8WxL4E3OMy+5fExcXv0bPrTJ/030A+NyAxJWJNm4O7xPR6l/23Li0Gxcur6Hx&#10;prqp6fBDsqZlpZ1frni/G9ln/O1bYY2COUqcAIEXKSkpTo0bmEhEwtryOn7mzJk7+HOGttimQ2Tj&#10;iwefy8sPuM2Om67dtCmAbhlmzeARvN+9b1/ix6ioXf737tEa48txAMpGVt7nF7EBjG+iKAxoDA7d&#10;AnZmemj1ixTgFee4hITHjn++d28mi8RrHjjkUiJKyjvDutcTWAV/9fT0jTZslm0jN7408KZqyA/Z&#10;+f9+awWYmmvYU9YdWbbFB/n5K1W0tDLeFri+fv36BCMw3IAXh5DQt5OqqgK92B1S/blMXjmPQkJi&#10;6UEgerc8AOhjBwvwFcyYynPCypFiYM3q1cpgiKoc5KgPO/TV/p0dUuBhOKMDiurCWtqB7ymHDx92&#10;0asiFOSrpCQ9K7I+MyZB0/Bl1VNsbEEjPKctPq1sUjT2YPfx0jZwcVrPjevAq8SeepreUVoaU+rP&#10;yfry588LE+ESTpXhh+16dlhaDs7P5gzdoec+BmD4RiyEhdRsPT09vA519LIatxA4FIt9N0gMogB/&#10;17eD1pvu6p/v0dcHIkDIuLs1pOjbkQR9awOrY45H7vyt6OjuxFevXtWnB4Dm6XbZ4eAwsQtoeHQj&#10;m7hkt05YaGizn/kGChOhBHc9ONGarJt5y21qNJ4k0Sv4fBklzi2RkktnaGhoRMRAv1whKMDDw4NV&#10;wmloPkt6NslcWlqaikQClDLsw+SaClL6e3szhcBlIGi+PNEeigy76Ee10usnwZU3wwNOgwD88/s3&#10;M5+qf2iozuciH5rMWsvL7JdQRs0jX/NHuDzHVskXBrcpibzNnJLx+PHjVOmJWQr7FpQRQz9/jnoF&#10;6C6Z6Xp4FEwCnmz42dXV0tLcLD3XOPL06dNjuJKIQrveymxQnuwL3SGGi+B5IhX93ASrTz87ZHvh&#10;4unT1fZyi2OF+RN7AFDPE0LCc3Gm17p/LIfydVsPYMsHD4WFMnbPUxancrnDwNRevHyZ9dGjR3Ej&#10;bTSy+jxgct3mp217e8Q9PyCs2ZHS9GFQEB8jn87bP6ngAQ4IClaHDRcwTPR8ZX1jWhMzeBBxPWXY&#10;HGUjTzdZxbaWXj1J3/LiV0w/8fKisCM5JgGuhxEKQalg7kGIj4/CAQ5vvLcnY3Ukox1BvpQybLgV&#10;M7hcpHBuOaLxtPAFD1kr/qxisxvYpedrCR8pXJotrx7/aLEvMdWD6W5JFAqDL4nD/W/Gckm1sYzI&#10;6HbsaJ8g5T6pTDtAFR8nr/Pu3bt1M0NKO1RUVNSQicqWZtIJeDX5GiqybyZHWtiSxIEV12W/A1e6&#10;uk0ViYHcJp8MpkbNePb8zQyjYt89ID8GFsaqZDwr+Gn0I9LfvNkAWgyKQWJB6obqZyQqyhEeECn7&#10;w1vTGg+icKhA6SCv6NJIW4jkwOCgcX5+/kpSR4eEByZ/yv+a7zKRE/2bNb2rLCBgx4GLnw4rmFFJ&#10;cyFwvSTcWtYpdctyAgdzs7IkDzn/7bxYMHXjgTZZF0R64DMsaF26K1AwPUeQ+/vj7ANeVB2ClFoC&#10;Gb8pgW5yGP/9La0mRrklNj7+3G8Uc7EEXpPkHTLc/qt7eLiwFSDItcRvq7mDvf0oKWnC+g8vU6Bu&#10;M1eXcn5vklWLjo5O2MQuPVCv1ytQe3H01+e1xhcubCesLrj7HWSnuoNyHQHJMPuDUPtgXKZ/r0RB&#10;7nE+mPPK+K7du8NFQBb3fg3LvOn+BXlkPw/PlZy0NNs1DWNAEMmpN2/Knxp0nDHq6+sraW9vvw6O&#10;cYrINp71oNjiqvpX1gZjEzilQg4wGxpjSrggw3DixInXl6yVLD6RGv24GkMX2TJV0lgDnSTF/752&#10;DXz71JA+DamLJ4WsrYdlQcODKV6lVxX78mWQdi5b+eXF+ZmWPVvunCd/n8mSltWnRtiN5fFT+6X7&#10;JiYpjS++Gdhlzm1K9pPnGtrZ2dlhkI4vDn8ADlzVRKqHRuzILrstabuEhYX9zqToZfsOS1PMNAgQ&#10;evPG7qL70CpaZe0zZx5HEgiH4p0gA2FuFH/QZuRAK2GlN6zM3L2QioJtt9ziVPHG6dcDAxYrW++v&#10;Or30d8NK8Bp3CH8JHnnvk7/zhfe3Hz6goqyc/AqVmNjMULRQvPh58iAWJxoMYxkZGc3SA/709xdG&#10;CBmXtoPxia6vd9i9a5f4UEeh50kTk+6lQuu++uSW4s9B3OxJpiucr13LvgqE6nT1avrquScoDtJA&#10;2MlWPObrqD9jTZm4YcS86gjdqviJJMNCj3Uc3iQHduaGNH8heX+z3JPpaWddhb6K8vJHWDlXuUHw&#10;3x7uHeW9hrjBLUdtNzv+J3LC4Sv2oQyLpPPfGYQqJxaUa2p+Ua9Onjx5QV6++JToiusv1CFqSCLx&#10;uK9bt+6MXiUo8frh8GfPdjUtAT2NxyiHuYGt/5iQkLBnQMTewcGOmuMLFpmq9tSsBxKyKzd37Ak5&#10;auPz5wNL6kFJ3pkYH29fu3ZtwK+54U1HslZlclJRZMMJCn795s3dYj7OpUHAN2OiL5HK5vawAUsY&#10;0QNpmPhph1qzx7oIvU4klGkS2Mh7EQWllP6MPFKZpXm7GyDL32zddyYpeGqeRGICcAFs7xzdxQwl&#10;4g+h0PG7xZezTv4xEtcQD6qIXCUOSpAIAum9WS4TZoXkuZDQgJI9iawRDl0mkLfVuN+Gl8f817cj&#10;fETlTLNR1a5ufQiFNiMlPV3dubeSrSG1YLbPqcDV9ER7gXvLd8ITAAhthrqTvZjWFfTwoU5F+xoN&#10;3S9fvrQLl87QE5bWm250YarDWjf7andoH1cNifaoFY3b/bbuq/dYWphqIajWqb9+MDIkpOEcf0Nz&#10;lu1LiGq9vhYt7wZdydZp0g24EvrYxdV1LbmLay4u7Vn2f76/VwziYgPYEHt6yPYnO8lgKWDfUvEM&#10;hi9WmRobj82TUL4sYIARiUHquBIUVUizzHn/tQKj9Aa8ZuFblOYjqH82HIfCZAY8EbFm1Sq31JQU&#10;gy9OMu+Vjx49WgaEteGL4fRxK6uUIYHC+QPmRLxQOnmyFskkVWD1iuu/jB2wUwuePnpUm/Nubt2m&#10;TcPNJOxnuLfnfOQPUlZjeEPobvYWyUoIZl2ZHR5zXJBNiOoyeVxB4fDT0NCYz3bJazftyErSyei7&#10;ZdtVyhYvfjaw+8ePzQhzQUzIydJGRd4yKJjdXkP56S/1Z32utZZm/4MTnIvzY1VVArg3jWPHfNN2&#10;za2mqhWjZfZyInIxopC4goICy/Lt2dqm6SAv30MOfbX0t3hT4vTQ2iwsetRngTGHzvPs3avO7R0I&#10;XKwiClyQ9OeQrxG1gtqB6sSa//EC/CLi8uRwh0w0yKqXhC7xmP5xS4uQD7+y60EOFwjw859JTW4/&#10;BxxzTb+lN8kcCW25zpucnEwbHRJOBoTzIMEaYMxD0vT7K3nAqf65NClBZl8OQ4+ZbsNLly5ZOw63&#10;S83JN0SBckDG4N6//wvfzp3ve8uD9y0g8ki1VFbyD8k3nF/SJ1yl/w6p2SzJqtVe2m6qUbKIF7yG&#10;biMlm7W06h7++nXRrsD1SFZJRUX/veBgrRUd7rUKl6qe5wfRFX1ivS57+jB5qCQ/TA+BqSh7dVnh&#10;Dai/Jm+6HsDXFHZxq5GfJazgqaqF+dbR0PTzVmWLoTR7QlcERuLO8XvMtnJ7g9XZEzffLTmJArOk&#10;w32qzbHAU4x6l6rgn20UliR2z3lbITAgKB89f+UyBUaA5CDXLFK3wISaqpia4xeCmT6RAhMqCGVE&#10;J/fpuZTrJQbE0kXCwiMQRU0P5s1ckCkpdJ9zrNrEFhIeniwQfPLPcgxwcroqJpYpKEdNtKBG1DzC&#10;1woWTqurJ/wmBBWhi66lUL3HcqC8+JAOjE6KnBhS5eba9d7f17FQy+RrFIendJewdfqkwMYOfCoC&#10;jgeF/vhrgmoBrt2mpjnS0tImyWpSHnHkPIfSVIG4COpMkN0/EBWE6GwtzNxMYiJEniQLoqioqFXa&#10;/tn16x9c9+zZMwLxYKFbygnfZ4B7TDr3xoOoOj/UsQtzGUd3bHrP/cWI4rXG8luUQpjHwkRDPOjI&#10;jsW/P4qt2HOXstJ4URreuXv3zV0/v6t++ItQy2WfPn26r9U7/gy4/u7CGyIgI+stUw/ksT0LD989&#10;ODDwk6WcVcNxUU5jwffIDgYFIQTaVuijjxZgEhhsKPRc2uc2VdtKxEAgOYt7mnujZcYLdwsrH5SL&#10;fK3ePpbewVMr/HnG2IHiTwV+vPpFfGIikzU4im/e6+gXkVc6f/FqxAz05nIrmIBmJLtZ4dgxcfJ3&#10;KRCYGiAwM/A7181cXrFnrpdFkFQZBM8AgP25Bnyg3aRDajgwQlK2jo737a9e9YOI4XdASEgxNYSb&#10;ezfq+nxkJEXycxPug74XIRveAqzM8YAoXcAs+Df1ctXzzJtQbcqgth4+dOjj37ZNssYgPyjCzoB0&#10;MnmkTCVAlOjuXYRUcJsa5wAFWgSyu+V1BwsCnL0bHmcsKLr+N2WaYoemP52/TicX9+gRA40ctRCu&#10;JPPdO48dTEwNPxbmpnwBfj0W57OVCTVLMvGb1QSZmKzdXFlZ+UBUVLQq2+1G+WrwMVAM5l4cuclf&#10;XzLDSo/0Pzoz1ms9hdTGDO/OwMDA9s9Oql+fEu1AbvHcKBPwmhXgk9eagCgeLqD7Fmg4H3IgUFu2&#10;Zn0LGH6eYIf8yEFe3zi4vHcoCHfJLdq1HKm7tvYq7UZpHsKY4y9vOFfwO2/6+a3/EcStKq4tNUz4&#10;VYI4p5ozzN1NXF+npd3ZRE199nSL9UAENlsY/EONz6yPPxSBsUhqcXGxIhOmg78BMotPPjnJfH2a&#10;kGDGy7FE+5uAr7QPMiyUKwy4rEkbAkRXrljhRqS8WgS/ELepjydPnXo7OjLS5AhIx6HlyQUC6VFw&#10;cAl2gBm4FTOz2WPQYIA44uVQ464H/QOqMNJURx1Wjb18fETTVDPWOHMmpvy5EswKJzkfLs12WMKX&#10;IOP8970PGLlh8PuDFU+eMM+BG15aEn2Zo/i9KkLGGv+9k4Zw2a+JSmYJvN5QOhzFO1z4gpqNLTzv&#10;T03s2oXxGtWOZEApU7tCZRoKCzeJCt/OQrr/TqA/5Psfj/HA7nfmRty4sYLP03Opm8jZIu7GYIs4&#10;LhRaIk3U1mqOJZS9phdssqNeteIOsUqpqT04hmJdiZ09ggKXwpe4OJ7e27dv30diqR9IyUzPgBAt&#10;5DrW479txmnB09y835uUYaGzTHeO/iSUbSZg0RhsRXpQL3RItaU6E45vcX5r0TRqKc9SPfIVEONv&#10;LGQWK5J1IVjkeClZEt0iJibmXcLgc+wF4dfZfGOz8R19VMKXIYbJvvwGeTmTLPpCvEkHxOy/4+Pj&#10;eR+Os2PxSoP5boCzoZlTQuDIDrLLJx9T8/Elr7h8ufdE051yEs4850fKPpKHZgkV3YnYzy5WqTmY&#10;RH/6dKKX/IUHlOy5KRKYBIVS42+Yn7CxYqJfvXq7F5XrY6kAWCw2yzETmgflPj/sCu8biDfsJyld&#10;vQjVu5D/eoykAPm0FV88nwAR3WMVG/oEqvjysmWJECR5GUAm+aUTIlwBqmzMosdICPamu/Fhv9eK&#10;6fbDG4/QeSudVFLS0sm0Wmj+8IEjBzTO2Y4GpIl3iYiDq2Z6Ndx446/dMuRVrglOD8gwrempg9p0&#10;0xMpOzgWazb00aOLam0prwmEVAMDNgQSRuTOUbmKmhBErBTDwnZdzi3B50DEbD989eJrH58S86b+&#10;u0ejroKu/tk3KyImpooMLUdthKW4q7ut+4woGKtBwGOE9MsjC+LxFdul3Zy3c3jfCQjIDM7k2rWr&#10;6CldkUVrlq1Qx0LDGZYalSrasSr+SoDxnw8fbqnbxPYS6KC0Ow+41teb7hI4ZLvs2q/PDo8xwR1i&#10;X+ApgLz6d2I7RRjayF4T3XcW5/CEu+gYGITzC1LmCF4GOBtNRQJtB8PkOD/1YymU9UV0dLCqGoM8&#10;SjSEHCPg9GTIHy4Io2qrV6/WIeCaduPGHct6LEpTKWNwJHoTQc4wmM2OVggsqWtp8S0AvhY+dOq4&#10;g6ASTSB2fXU1z0bUapvwk6gOamMIJiOMl9NAo5A1CQzJEGBQta1fEoD6UASfzDEwZZxcXKUfUH+S&#10;Z3BLQ119sZcxIfR1bv2FxaKlq4j+A8QESdyJAgIC2j25EaXHUKRdXGzj5QQESibleOPnKspOmeWd&#10;u+3w1V9AmgGBBAl8hZKbXGEe/PhxwiykwEzQoUQUOSS3OGdwBcsws76+vkph14MsuPH6San+F1f7&#10;mNxvyNOnpnmActbH/Fkc5NqjzxMfx9Kvz0EqhCqpfcynWxCcWUU+A44V216iYx2EA9CYvaG2dj/q&#10;ofxlax4xO0DT+ybEx/d1IDG1QPzoJ0/rHVvZ2AYvWlg8MzUzCz1JzQH6bKGouVnciFAeTYot7ERO&#10;JG+kDfDc+dqclQrxJxRC7vIZSM/cGUFsfATv24avLCLRcQNwdV9PD+OZlnwqYRo3z5LrO6mjTuza&#10;tesZr99DUhzUlsxEq/MSL943wMj4V+WDEshN56ysrDgIIOWgo967juMUMUr4Qk01euJppYsVfODa&#10;6K+VeinXBpszpBkUFC9/Dc3QfZCz7eClgR/qmciehwfsLlgfh/0OkOca2JvN6VXZgPOmnihdGvus&#10;Ii/UIB00AFXR9sxlqDWo/XrMOSnSDfbNBFzlXGSHsbGie/tDzuCTvBBIXhErn/qrRYJlsVWeHryc&#10;J22/3UpRLrCv2HUlHGt+lwhZ5i1ntLpBzIpdCR6PoLAwXR4O70iekyepjeBiICTJtnrw1NwMCgtL&#10;Yf3A83mEEyq82EHp6e421T17lpPsWrAc1Y+mQmHKWMOn++7Um4wMfwLPgzL5JSR0I5Ihk6v36lw2&#10;NqYvtO4osD516lT75410+GCfxERz5rmOATtHvN0FrIT7WlUhz55ZqFAbwY+yyNaRejfnftTKNb5G&#10;n4YLl6Tv0BU9k/H0EOyo6tLQ0F255lrvn/26775ExJh+htn2VNazQtiVkrFuVGGZHZk0XuISOi/7&#10;f+6WOAlPKCnt8yRKhlmXG9n7by59bVZWe/QoxvTOw4fq5wARh+0Hmyeuw5d3drLGGVAinazHB+5B&#10;/PA9jnSVLe3Bm4XXcHjXsAMWgIhF42uNXQ/iJEnEUWq7vXm3CsHria70VdEp2ADGsBQu4r/rTbas&#10;gc9M9+ilq2LKNVsmW+6BRt89+QwOx9AT1EbLdYGHfq2DtMn7nYx3g1HSqmOdu98c7h2Jj/enkod3&#10;bSuHNyk+IwPY5sb/1CA8X5oZ7TbP1jOuTzqXu47jC/EYegycpWWmezX7t51yY+en2ItQoTvo5Z6Q&#10;il99fPuFtLO8goI2BYCvHApq6sjWz4jDk4SdBwu14fkLV2BHOo66en/C815ooIbIK8jNJnopS8SH&#10;w+ktCKVp4blSG6kb6OSe4FXvj0vOQWWbCWvxuFBTbwtK0VsoTxTSC2nAfbCwsPiAdx/jFRBgIuar&#10;E8ePcyNeqL+fMo9KGeNdfq/Y9Yz4XcSP3TOX7XZS2uE9AQED8LnpT4rsqXrhVOS9zpPap8gPr3gy&#10;sJeF8MAK1EZk/362k1xDS63u7mxNOUL3SwPuB/50hCOgrmtceIpZ9Yb5LhkBwcF1dnLUL1Hc6ral&#10;vxwYPLRx40Y1ZPXRuCFJYupOjIxU+429Xt6tbOfmlpcMEKa4tLggUOFq7muhD4dDar1C29cwMVdA&#10;3qNvbt4kRe0DlscPRERFVazrErT8UMhsKzDcNPFAlU3wV2+vuampabfnSAnT8WkP/oiH+KLktdFX&#10;sEeM/P2bhSuHx25qrMzsKpx+YAiDUPPdY5OYtHZsD7SADdQBYNtg5dqNeVgW4qDl42DW41RVZRbc&#10;eWLiRz7VqiOBql9BWEjDfwvM1K7Xh0dfm50j9l7rZWzslAcy7EEzFurbJRf2MDGFzEE0yv78+XPP&#10;qEEhDNIzHd3abwiXcsM8vKDAwxFgqiInITEpiQGK0mVfaIgb53Kv1MR8rQj1UEWFqb+zI9Vnllri&#10;PPEUa4xvL4BBEZEE9VLyjIe0ny+b4PZDNufTd00A67CI2/82xWMG9/p3tFtJ6Rp0RtfL6bAU+eNj&#10;ZpbaRZlGv4p1zJfHoOzdtI7j3oMHaqUEc5M4UtFSg7pVbPHNjnvzVTfZBD/N8a0JQ8BaLJrQoS7S&#10;/u/97sYWJDHt+7dvn79++SL8KLYHwGnQpINaewM2FYrsP7ANBEJ+HIu0A13sxsfhfRilCDO/u8DZ&#10;1+fvSu7LrNUsmwjSV+jvqQyfezMw/LG1VTI+p+MpCMEPsXl3rPbfQTI/m37xswt/UE0iF6BadERE&#10;x5qCiIpYWGR0PWHVy/21IKatj2VGKykllbpMv+kQX2DGtbEeHyRUT1iEH5eXwkxjRmgf6bdHdJXX&#10;IXd/nghbkXY2SZjQf8DeyVm1bHh2o7BSF/6cG9585Ne64Q2wEdce+/nzpzj1qhsnrz3mVD55Ml1Q&#10;SOgat0S29mS7mxz1QRgw7o62XiXKybGatxfLH/EW2v4J0e+xrXx2WGJrfBgotpTZpDDU2JUo1ppo&#10;YcCT5PCOH6rng3H4EvLjIgoaUbfCHXRYSM00/z7yTMHcUO4gLA5RUVHbzcV7oHhxkSSm1YbirIg4&#10;uB85fa549my7vp3d2C8ifBIC9lPL5UuXYiLv3PmcC/npo+0Mg/C+fRUvgFmsodksPaqIbfGrr6vt&#10;9aFhWoPEsEdT7Dy8V1sBUj2+OvxRAt/66ofv1BpciNk+BNSGmpoa1w7scdY6y3vBsCuaI6XpOryW&#10;rbHfw+G9Tdptet017uMno9XNkHM9IWf7wTrgGJx5fLLAEve2GHn9662+LP78hN8Pkw0MDC7Dv37N&#10;QSnar+RCNLbLUJz4Ziy2+lTstsamppKeX79+jy6EgsM5Ii2VJ+YFA3VYE/KcHthceDE2pwcwbd0a&#10;DyGi9bL14YfZwwWBdEW00HMZQvoHYEg2l6N+47Ewu0evj/Q/hNEVrVqzplL7lRWCnTS+BuJI6UEO&#10;EQEfxKo6ety0IPGcx+9hDn5fb/rT7fCLfxf8l4MzngLoRcKGmgRtrwLOgK2+M5cdXhD3euJo6ZkL&#10;Fy8++uCx1wAR8dEUCwG94N/XE99hUMWWBFtbWzaYYk+uRcPKgwr1OAu2hmhtyAPiPOkX94VIE/XF&#10;Wy4yq+/Fh9pa4WC6ovH+huGT5849PdCRSoPnf3RkOU+csOwlZn2kENg554F3vYlTgmPu0hlDQ5kK&#10;KD4384cXQccld0tlnt1/hvDqK/X127bzJ0Y9AgiEOf/YNhaWS1ezC0mMafr8mfc7dJZE6b5GaYjF&#10;B2Bl8JdxdAPEjhiHp9QXG2o2we7IqhVHVuO9ipjVpvW8jmS9sfOEhn8gLIZCpBIRtf9dfRDJS5cR&#10;9bs9QO7mgSqiJyEtNzOgBQW8DrF+EwutYrsdgLXLRPGtTblsMh5u9tBm1LuTdbGJfX//vlIG6XAD&#10;IRZ61fFGu+0nB86lzsaNEWoAiNEZtXOVP+yP0vYW0JkcAYHGiF8VdI/gw4Um6PX721A44U/bzZs3&#10;j1fBYaFK9Ea/KOZrrqa3YSZ+y6+XJZi13Dtj8GLmd0Nqhxb/kuvK0/3TO9LIdlZA14+VlsPVN7m5&#10;rtS55gc5joqDCJTXq7zWX8+3CTlSI1alrSx66Hu00kqEVsLXBu1ywEW3fYgeIkwWViFiqCy/ezpr&#10;D/aOFdQJtDs0idv+/CifXmgHTYB6sop0b6i3XRwvfTg+bm9MdAJSxsgtOvnwrYpP/JR7lfVGrRYP&#10;SFaKrMYbLNmtKIf15Kk58LJLADPTiNGMw5sORKY6fnAchfVlUqZeqwxBMO0HvkRS1JklSB0pXWG0&#10;1uTSJZbDeO+seO9SbtOvwwhxESLu7r4wBcjbt8tan0hBpIXi+XODjSE5RFyAs4+Z9BZcm9ODaSiA&#10;FPwE5aK0tkZnSKdczVv7X58efEBrzhgMM6QY4AOqBFX8Hf+Krcunm2P/x+Wai9kJos7CjeskggpA&#10;GPqaC5Ke9VgbvTA7YQRHF3XXxNG7BZwlkUVCBlxE5q8O1R6st2joUts4lizKL1258kSxxr4bRHpO&#10;has0SA9/MLtPTvMkUQP3F0UPAeLKxKJCZMQaeR9tRXoxQGNVILyU8/uUZ1j97fzQS75w4cKFge5k&#10;O1vb7FTAi5eo9ljAXV13z8OCmOiwtnvlTVdaVzch+mDmrT3Y5zczHv42n4nTmASEjIyMMauOgsFy&#10;JxmA8Qm2dlZCKX/dDqZv36S/KakdgCWD39xcjbALtxN5cd16lTOoqTzkqY08QBwo6PV5QOu+BhaZ&#10;0BaPldhyhQdQbhV2qZeRC73Pdn4BnP3Yr2ReQPDL1jPNiIXPEmSqiA+oMa2LfvIJSA6p80sGiE5E&#10;Wuua8Uj+FET0qwPCwl+IaN+ZHrCabM71/+UKleeSh5/FmK5DwkUbgmCTasZqPFlI/5GkdgjZ6opK&#10;K4k0m5D0aHcuVBiFqAFpaCHPLLs1kx3ddrF4UOJXql/QTKgx4Qm/wJNe7sTqUs9E1vqztHHVUINm&#10;CLiy81BW4MS5AwNHCgALo8R5OupVwVgic8+GG77c2sLIWK8BRN+BND4Dyq/ebQoNTv/hhVeiV0mZ&#10;RfQ3wPgDoIMup69cjSV6CigFn0g4CY7hwxUVFQow6K9D/nFdQmGvca2fUB3bt2+PQmCoIe7MrPrP&#10;ua/iLdhCok83Ed9AM2xONoNv8I7rEB1B8OfBZP711n1YykQOHjyoZOLk+Xjm8ZFdW+6UA7i3zngM&#10;aoaQRiBYOfjSwG9WmszoIf3GMC+/8Zna1kLPDgXU7Eehd57F7aSWn+dwBdSQAEo6wbm3d7THmogD&#10;62Y69F/KPB4umLOS4PDOJlFBoS8r5fYBz8V5/BOBlQfxdahVFIU+uDIjKuzcUDcEX79+5Eyd/jtk&#10;vjgQyoQqpu9I5WjaLuVifw8BNQt1p2oW7Stsl1Cz/5AWfDzGqWAzUrHt1ScYOdFdUmToueCwXrnm&#10;odrLY2waMHUh2M4bjj6bgj6Uj6JYJULaXSDEozJCRgaixRf8LVCpjeR+yKfLlxwinqIUmX4YN0Yn&#10;R93V1fXGH6v1UYLszjg98IGXrvXDTNlXvHEL3Ogd5RtZiP4JK4jljAcfLOKkV0CNYc8gYOpZdGiJ&#10;diwguAp7L+ev21HXJgeeZuA2Y07zMGgv/NJRUIgehxHl5v79+x+SNqkocCZ2RPdHhEVWlp6rvgad&#10;OBVOvdnS5ubZayAWc/IWXsXGsrLCSXoIMD8Eie2TLnFaX0QGNrK2Zi/OIIJaG+iVGLx4rfYcyENP&#10;mRH/CG3wODiY1y7ZHOl/FyCnXc+9EEkHtBpcysnJOQyeegRxNnq5LPI0RNkvghSOsmLf1P1ahwek&#10;iNrpLUgQ/1k9vaTSywKkQ493GZNEXSGb6HPByMVh/yUnucFOotbB/LQV8fp3qeBS0oAxbiEGbM0P&#10;EeXzj09G1xLWjWjIelbBD/CvhBOPi4t7RPoHbeM1LipqNO3Rza5V5Nzi8t6LKoR4iy6GyAVnquCJ&#10;2RODkAbDnq+fP38Ljk0hujvZxiR/ucOTRAX6Uk5XVyK1r6MNdgyP3i4H8Azx3RUhqXu8BY1L7x3W&#10;Qfn1cy7DH+AmsOgfwcApKZmnJHJzNS9a/pCgAyTATpJIRmyz6Q7/Fb9Q+ZYcHHo3oDPnGLUR/Bh5&#10;gUoyBEKmxOw5JsOg8FjY5MnS/iaEXQKvUPcSXJ1Vu3rVKuc3DkQM7gHbxqHahoXIhGIX63SCdTKN&#10;WKbBY0BM19GbGA6oWNycsRmMYxXe/1pU0qKWOnQhW9+SRa+0vOi9zVF8dQ8N7ShKGREIgz5o0oM9&#10;22x2BRQ8+hM03VfyPDhxhdRUXFxcw8j8wiakHDjISihKAte60r3N0EjyEkmmKZBDvnJv+itewLGt&#10;+ukiIAfOgd/cBAApHJIDVpf7XQqg0itc264qvbvwPfDj6V6AwlWWYBDA9uQzqHtFRIWliokJ8S1Q&#10;/OD7kzxKbcQIsPG0YphA58M+y9A5yzfcWVcEXLo0oQ0W264fEoNVKy9nFkJELp0cs4xM4YYB4+7u&#10;7igi+9Q3NFRBiDfntQZVuCcB9HMauRn0gGzIruVNf4XCNd5vlwPkXDNSyTRHKdzNJJyOX31bvmsm&#10;HhspZGYic4hdElLSKrjaa4mUo+X0BQ7kmxeXFhu3QszOb85MMZSH9LSXGGZQ8RLR3eg1Adl2/541&#10;sZx7D1w6P8CqDNPKd2QsGTTA0vETMoeuiESmL7cqD0Kz7VBAGyp8CnzbfDn+qz5h6bhl9+dWfng3&#10;gUfZtWlKQVf1XSZarAsXFB/knHtzafDMr6/TpIXpc71l4+sPAXRFbhY2y3UX9h7pVUuMMd67b99q&#10;cvtaS/xsbGwvs9yKi0XA0YbCut4AIHyfTaJndET8GN0q01PLRTcdf7zLvrsxMZekc9cegelFAgsa&#10;Tc89DQHh8PqIxUA8ViC0XIHjoA47UB0KsHkfJYEB3AG4uzP8DgNinLD7UOn1MeinT+BhQY+9l5o6&#10;zMXvQPjx8vaUYmlRkhHZxO1vz51uA9N0HIFzj9LjpKVGkUYTo6YnT57kYaMVwo7+Ksd5AR62fuJj&#10;gKgTJwm0/HHWbXAXQmL9v5CYR/K9GNL3eTHKS54Edaw+7Jq5UiwLB90Ms2CkxODT6HnnqJohLwdE&#10;DxLjflh2nfmVTD36vr8Cq62m9/i0SYhFtw6CYb06aoFcYNWA7KTF4nrwniPr5pZrBagRqwmLpq/B&#10;luttBpDDTkquAH100qiTp2lSaALLSDehBbvSNZMkr81NWtJISOSeJdwafuGGrrmJewgZZ/+FjNFL&#10;hLG9KGPj8Sr4f7wA/lZgWeCguzb+Wy0W7pTtW0kIhEtr7/CM3927WnW1tX7IQNIu4yeG9miahHAh&#10;KJi6pjj47c9P+PQwecsd7yGw3Vpko5Ki2M2MLffAsp6opa197hzv77rEBmU4KaOgFu27lsoES925&#10;yeE6VPAP/2kItpb5jgYFbtgdpjPqcEH+Bfh87lb4ePOqIywaywv66HOSPBLj4xeWDjyD/4D0uZE2&#10;4N/A82GQLeCX6Szrfobc95QjN+dhnkNEjvCfFP3cS3bxGvaf67GCBMCuEeMlQ3wLamD7pjIQVLNS&#10;KN1N1Q9JFP4gv6eo24WUROX8iSBnSWqj5lBXVv56AzaqBVX3wY+I8RlXvv1MJjROLvdaFJm7PP+7&#10;ui9g7JjmfL/D36gPLHYKy6EDNkd9NIPGgfoWy06KZGdnt05EQPoOaX8fevc51qxZcw5atTh7YpD+&#10;hUcV5eJqamr3QWW2wuFA2yCu8NiCsPTcCCQjJOtk10qB5TJWdiBMfxvu7WNfH+lz14L6iDaZHp6Q&#10;finnvy/CALL/wjXEB3DURPXM3185b9eYSEK/kqrqcD64BAl+1lYOZMClf3SI235g+zdGw7axPCcv&#10;WFou3KMrQtfpeSWyzrDnel7FxIR+di1ITz8ABryXmlgviR0bqqBNDM/JPqCMQXkHP35lHTT7N6Pd&#10;5pDCYwOti5/rYbNxYGUNu0yqDzOd7+PGDloyTWh1f4uHp+JAX24Scjr48tRlURITSJ+TkZXV82eo&#10;hd6gWZq9iUqegHOEV/jsgMzuvvPLs7JCYFHC4ngNojOVQYo8fijjN3b67yRBsGQjMxQ4a0AYrKvP&#10;E5OT7Uh19zF2wa9ihhF35ANm+7Bd6V13C3jJXH3kjEpuDU2k5nyMywMLVqlCrhrrBGzXcDTPSZeu&#10;Uv/2DC1Sz4Ik3IgeIK26CHfSBq3OsAcS/uO1If3uMDbMAfKRDj7gJ0I2vs3IsFvHoQ6yJCU+/ulx&#10;0Eegez3t3CF72ZUqYVkk4dXZEg21e06EbMkn/ygK9pNnz55VndS4jCfM7U3Hi+wJv/BGRDmYLWl+&#10;Xi0g2upub0EyK4N3zhnWoAcwAS6CQK7S1tZu2/Jy1Du5K2c8IUrp3Rq41ZJyeMMlD6N8vb2pbrk4&#10;AShDl5JuhbQHUVOQ34E2+rP0hrGqDMEM/+Pfn4X3HqE2am1tlWuUsXvq+pf4eUktQKB776gyHR73&#10;fzzwqxg44hOAiTbh9n//+WMCn+Dlb8L6pniFFlCHzLCM8mAq0m8fIx412FR+WgKJ/EzQTbeDIZAm&#10;oYUhOWfPse7PgCC6zMzMFw+jw4gnfXxvwx7dpj3KufZ/tlSarEPM0UTnXP4UewIr4b5JidZUhpkS&#10;Orbn5IKV4TPMRtFiQAQFreR9sJSIQsOMMdW5gBhyg64IBF859qTv54NiF0hhiPA1iQkil44cuc7V&#10;kWpEqgO6f/UgL5hxtrFh7i/fPQv1zyNrwHHgTtYdzNWVo8+VEGbJjiP7aTfcRQkSMSCMLyK8nzc3&#10;Z60qeBB8gtOe9MwTN/7HsrKWclcpwCDSI5UepZR6NVnDXlGDfIFkh1t9wEDwljwSIqnXJLX3xw9b&#10;JcQIHiGhNLYQ6TY8feJubdR/l+i7MAlukFBprz0XG9vXDexVJqybmeumtbj4nu3/Lp6fIA+iMZDN&#10;2NPjeHfhVTbZH3jl8Dxk3a6Y+R/+DGDO83cW1roz0t779+9naMcirNkS+IVm014rBV49lxJstGin&#10;tBHvYKv+d3tsgLsyZ5gQsnQdrtWDmxLg8BZEblsKrZioR+yZN5Y4DK97DngU4uazRzcfP2QtPH6S&#10;90CmJbnkQXhuXFdDjGARegWDy0zgjv+ueqB9JeE/eXNpXgPNxaPTx4GI1a4pWVlZGwmWR/9q1nia&#10;OIgDfPYwejBVhvAPrvv+s2rd6P/+CpHSDW3PsVkAKO82goedB1SeSwY+USCLApb5X5Bxevs2ycy/&#10;HiUSHbyUb036G/cogymbEwvp94Fu+OAyr6Zj4fpJVmqFVKelRXcmYiTzmJ8ulD6D5M8X4KmtuAVB&#10;e3FpkVVrrToYiRtES8SzIP2fJd0OUC1vfGL6d1eheXmSltB89Pbsib4KIsZ+kh6zCwb1yCLWO5NP&#10;bE+OsAOBX/ziBon1jqQIXACOxLVKVBuiQuqJbtoHVY+oeyFOf7TwSGAEcmjMMG+wIL8X1/ZhSIyD&#10;NfI0z6WlU2qPauvrRT1gXzqCaPHMmOw+MONFJooa/EqReOohnmjJzMMIBE0jo8hjcGttATAp+eNC&#10;Qi4MlgJ8yHC/moZhzYVTPPANMipq7/LGXnRzB5ZUKvNAU3InIgvWEszy9Xbb8nCzO0dvLePihNKq&#10;KuuVHN5puNYg96BT1EbokBS6UZFNGpywwrAw3CujYSPin+xosYm5Gh+Gqk2AXcdFBK1OUwjpK7XR&#10;lJsDC4s2IVwTN2408wPHlQb79iMgrvNr1Q7I7PsDJrgbTXPJBai5vQLyeUOceDWxJuCxLJj5eVfg&#10;Plr4Y049HQ0bUI8b7SFS9Ymat78AdlNG6zFgIiN1aOo1umDZgWHq1mza4WbwoKUGBQmd1T/I2QRP&#10;3NstwE6o3v7AgUkmEBR36xHRXPWfinQwJAfQfyOkILIoSSnENczdQJrkkF2IQKa1cM7G5u8JBKeG&#10;dGu3xDmuI89JvBskLdqxfV1aVZetrBZzcqS2Nn7+hdg3ttRo5zIzGg3CvQlE0fZ3VssS47w0wJbk&#10;fboiOEbNREJy0LhoOmCHToivNE0t3/X09IZQNrZhydEWGL7BO1D+x6jvCiP+XQqIotCYfRBpMi1b&#10;RB+AtSa6Kyk74Mu6kJ30BHoXqwZZhKjMPBjo6ARRATxDB+R0WV9jtLaEQ9/4WUfT7yTDO748JAot&#10;iajnSr9hYN4NAqoFUCUTGo9tLLjRqcHBwZcwQSl1bzsETMyR4j63ZDycVxyVlSPjcemSBM3+nfm8&#10;+kc/3uChZlEwFls/yTLAIuJoPPDtShQvi3/pFleL26Usrky5F1bS7L3t913C4uncnLzVgeHFxyaX&#10;OsSsopye947lfR5ym3rOm5d9uef5cLx7auhCI1pi+IuEomNjcxM1E/LQoKTk5ncTVWiDKhUFLEle&#10;MB0bEapE4EhdHypq6fLt9IerWni50/sY/B4C74YHV3RHgwj/9F31PmTv9prWqX3A9W7UT6QoMLW+&#10;J0OldiioJaGPRMjpKtbQJErdiZnFjRXpmggWU0rR30eRrBq6E2v+2BP++z75xbD4TpsKs6idP98p&#10;BWNzWeksh41Dq8o3RB8a2vXrc4ovj1p3Wl6vrO6lLb4yIWP+/ZViFIyrBZELWnu1NlJeAOR2ZDkN&#10;GwyCQDh4Mjr9N2qSdrfKz+AU6luamkzgOwxnjJKnvn7s5WaFo0efZb59u5+Y+/gKciBpkK6m1B8u&#10;wSBsqqgonA9OlGf19kIRvN5TcBmdqj/k3w9QIX+viMH+OT4y6za0JWw1DaMbxy+nxwKG0iyUahDi&#10;Zeu/uWOcQhAVJVk/d7IqZ3XrNheYNjUSa4z6tR6bxEd4Ll57dXRXfGf9NmbFjWeHPC6kZUUhGc5h&#10;MongAvDHoFldwsTHDx9+TBAEiqLFtjA52XIj99PvR0ymzFHBrvCRU4tbmkPX06YrofVwtm+gvEB3&#10;Lm2nqwr5UU5Bwb87KC/QGjNaj+52mALfUCiWTenRqXRtqOGYqOa1UtUx8uVtWtrnbv7sKJ6TDSiZ&#10;Nf6fW5SjRtleXVt9MQfJbsr7rAkeQ+b9U1z7IIS2cXCkHAYAMOdhvFsHmWJkNgeF+uAbPEvhX+n2&#10;6D9eA9W+DcR/2/4KdWCztGEMLbve93idLfc8Go1zRRAb60Dhp25nYzv45s0by2zj86w1jY2N+vh+&#10;/D927nhblm2XF4TGVFi4u1s7xN6+igcBozgdASyTfitgTMPFJUfifhoKgRbvZ1VgPURNmEnfVQef&#10;3NBNBBiPo2oMFcnaiidPrn+Xnr5X0J5/uC23LDebDYuU7lTxvxcpRw0CUqymejQMEoRYQaHamTNc&#10;NBs3qly1sXEOf/r0zydtbT09ix+9vVPv6+pEdnNzl51ZmoOEN4ty0UFPr1XcPbyw0NMPhpBjaCVo&#10;g92zpT5ObXfFaaE3QUE1+yCdln6WQzGQGQE1HUz7rj1y1L6029J9o3jqTz84IOcpcgkRQH/7lF2S&#10;hPPf87mgTN7CLLIYAi/+IQU1hsTCJMyg4NtQ+M0GV6QfHERPKs2b+4w9Pzes38qxCmnnTIZZnYs6&#10;itnYWand9x4EBRmjfTT0x/BwxI1+LfTQNWpGq3dn5+RccnZxkS6xVhQsbZ8na/iH582mlTvxT950&#10;whaNfxMWj7oCxd9odcY2ndpNeYElmUEfVRw0hHI3I84sAr0EfDE8fvngCuTnm9Dhoa3BUEI82JZ/&#10;G1sVc8Cjuxw9+vHwvL2ksPD4SUBJTwBtAR1d3V4ZDD2gj8zceJJi7bpOU6TgTKIJ3Pi25UVFUcxi&#10;p+8GBARQUYQBXXxm52IRX+DMWFoz5eZX8tMPMbul9RA6V7JeJczSghZioMgiUZjx/3Kb7G+wPqhc&#10;kwOXiPdY3ev9ShBbLInSh+yXTyVHDTKEMfk0z0mkzh1k6gJyZ3haa5caD8Me+LB6v7oPb6FeVTR3&#10;f/kZeEPqOb7APXrgaZJmbM2IwQo7WPDfUbxK77Plan5qdOPqp8635Lpsbb0UAyjUe/Zx9Gt+fn4r&#10;PoOuTZRPlZVDyhcv/trWWnbdiJkPlwST3VVpRyYME5rAeIT9FvVJTdko4a9hff+C1mMQX+lOzLht&#10;paVcmeCltTU0NMx/ePbkHLCNj4sL1Jx8O31wM2ZNldeofrlx82YQuoOW2JVcSYylpwSCfpHn6LVD&#10;Te1OoXxFnfWOju3daX2IU5xu+pxbFBWwULYYrI+p+cMTfDK4QpHZzzS0fp1p0nHyqn/8F5vrw/Uw&#10;FmDmoOECahg2qAYGa1evbgOYChqpk/JcbPUfvsgWWciVARMRc7x6/FXIiTUfL6SFRvEkw9JqdeLE&#10;pw1WIwcQ3MPCWsYAf4/+WaqH9jW7ggIdsp5+SPdm33vrrZjV9n26D5Gh7obEN2DpWM29S/vvo5zg&#10;Dj5ZASnv8A2Tc30Itc8BnFbLhcwTwwk4aa0jzs7TqzX2awJZOejF1nxjFbVgRv5IwQq8M9v2Ctuv&#10;4GRhoN4VNRGylb2NJilYzpHYR7kT3NeP399uWny8In1/HTxzN9Xj386jkeeIW5nw24+3AmBG/RWj&#10;uZdvLYWPshOPJ9Zwn9dSPt5Ni3/ywqZ167LPZY8nNK8x00PbaCrGwOCKxNxEwCeIwh7Y6BJMIrp+&#10;yu6tMfiRQpI+gj5fjKZ4wWHLUNo7JcLizyMpOX8Dt3Cdl5EQlU1w6tjMYI+UUVGAt6V9+yWyoMQX&#10;7hYzuHNU/RuUWsueglsks7iXkoDkvSkMWeiOXCTPB3rZaPVzPCEVSv4TUp3pcOkKUbxIktH5lJV1&#10;2xkh9qb3byjf78qfrNyioCaOlJCO/sfrpXo+aHPbUi5471jkaYaGBK1+RVRnWyNG0iq/f09/nbDL&#10;Uh7xRfpGFE84nkPZ6m9Zxz7QIVBLmxkZqX3JVGQdCn6NnSQtV9mL5psCKsqjwMC/694ZAb2Yy2k1&#10;FEJF4HhwYq/NM7QwNKEJe7Vc+xUSTY4wX9oE365b43YJx/2hEmrBJ6O7I9xGP++QbgaQXqWIZI8d&#10;OcR0YeaO5UnX8d9p8reHoN/7740oX5Jh4oR8olwJ8vueqBix3cGUKG3v5KQqc/XXCVZfo7e43Ra9&#10;tml06pyEjfo40NMfdPpYcGy5I9xYWfeEX0amIweBUTU/L08dozbqMR8nGe4EUcrO48fLTi0Yn2c+&#10;hobgkO8wU7x0q6yA6LYbmXNiuMMzKNDcE9aJx8GMCYnSS/Nj7Oi5hz1I3iHIc953NeW0rOx7d4qs&#10;72N3DIH8PyGTXRSl3Nxmph8uCKlU01WlplpqOjp7NwGfdP3+/WRmdsJ8bUGXLXf/bH9XYs01V1eZ&#10;hKRz1dalMS9NdRrgvO6ieMH+dvBjozVI6+SXPH4lQXoFGyqlofoaZou3ClY2OiMJAhk34T2Kooxd&#10;55SH+pCrWjiZ/m7J1tauD/XRJJ6da7v24fPtwExOag5EoXeJb08rD0HL59J7baBf5Y9W2EY71wOY&#10;fNOBlslwrOXMnoKQ5cVW8m+xMQGOhIqYS5cEycDmJ0yRFTAssE9RmWu6HLGwivIbzSWWPvfiZf70&#10;KCHV5SS074WrhhHdJClPVWJfwl58TS7y9CMCCVlnw9EnWrKCsuwITtKtviIcBTZrDBvbRyt5qSPN&#10;+PgmiixKgekaszPY0ahSxK0s8lBUT6yljNdpG36tZq8qL084T4L0rPI3PX39GirKyLX+60EPSGbf&#10;erWNNNDs3HKn9tDnUITzZ33tj0jM76s1ZRf7QII6g0IaOhN4ewoi/vcdhvz69YsiOZKo9rKUrKMN&#10;LMJZZ8KH3l9fyUahuEODlqHeZo3PbJvg7nd7H+QmjyespKIyWTyHkThZEPp7SGoMLWgzBdjIPRld&#10;bt6aNWKy0OxFwjlJbehHH49afPgMswo2IZ4wMTI6KhreKjOvfvHBYWHktbs5EsO55DMVNoVIrqbK&#10;A1cwsmbgsqnp04COZ6cZokv4VUtdNCza87LZKS9gxdKa47pRgW1xawVldGwME55+32L3mH4WYAUZ&#10;8CWFsjDdFdCF4T92awU2FG88HcAuI5rDcA8xkDpmOQgW3apAEcj9444TSb0UzeGOCGCYK0hbXJAH&#10;FW/77H2exBpqrx375t27Svo7R1ncKzTnq0h4/VTHyclpv5oijMYfGf17b3X4avKujdUQAI2uK2nf&#10;UgiSugIUWcCM0Io6NPA8z0BmSzKTu1fWxV/xDa8bzZqcV1k//hmDpDFRqjpla7jOatfRmreVTU0z&#10;0ZFFfdivtUX5nN46ceXdo1uga7uFxjgQB3Wsmz1Uu+TdQZ/L8SGuZ7E8MA7T0Mt4w8aNBaspV8Cr&#10;GX91V6Un2fr2crZm53/wAByD33dAX5EhGjKC85jWYBVCPppMipHDBwhkdyv7oVLvI+lTb5ZxSlOz&#10;1hSv/9ARDOm5y00cSObFRUX84MgKQUm//WWGWQWTNApqAxh5oLPL+/yHG6ux/tBXY+uVJgSfUtb1&#10;GFNMTugN5fDuREUcSkWB31B5wf/PX2e4Dqx96G4QwnMlhbRKPi+1B9HSiIQ1ND8ztlnel/bczQDl&#10;/Yzat0t+XvWLagSILbELoUGR88Aj00waTqgTMCeFfRS8d2Y/YyIkZuPp3+Xl5RcxlksRns9UaPNs&#10;m+Vs0GNhs90cZadqjXCy//37PVqvlElKN1pO6X+NHoaFmd+MaLx161bEWsqvzs6/zWe/7Zv8vYRZ&#10;scfXb7s7fDF/L9sx/hAmba6NSbB+dgGLmsAIQu+11MELh1djUUeHTAkwbhde+LddD07UkORUl1yD&#10;mbFvx0dHT6Jt180RWt8VPEc4UBaTxfXRL6kgKyubDm7vLpTgt7GmOmJQgybq2IyRczDDRdsMYDUC&#10;Sdf+xw5rshPmq1qLzJ7dQ9tqckjg2B0+02h10xksMN2xOpQrQ8cpsqj/LAJkaswy7mG3raSgz+/x&#10;7bsZE/RiKCl3zk/9d7M3Qjo0U0wIMymGvp4MrcEI9GLtB6pA4f1W9fbWPjh6i5h9v40+TbLLRpu8&#10;sa+RsMuG7kW3ChskMl/nDtjgLKE8d8+urgDctIYMWQd3YAkSi2lpaNY2vyZg00/FxV3n4K8SYW/D&#10;xfXdLbmQoccvMDI66vLFafTZkyeN3sgySNVn9gZ7Msq6EnRdkXrxwLlzJ0/6LZHF8k04mRXDp45x&#10;NLgiga2kahfVybX5IXfIcLlOWEEhzdYHFoYx5KDwTowp2316SjU6Q3KfzrVzAQpMbXizFltb+tTs&#10;5GCuT4ypPixclpJNLShNuX0nMUYneO2aNe12V6+6kBEPrgXGeFY6MPnLTP792yl1riwHtEc0ppOI&#10;KNeIo5K+hXfq3zXfE2YdYzNV9emTDSSOPcu1W2Ed5hwmBk+szss9sNt7JyCSb/UKy8cmvElhGNEm&#10;xyHuxgYG+zvmHUb8MC6RIjVnXbLu1Ltbt8oOYtiTJgdjAhD69G3cQrGgTkH4y81y0JrM1yL1fgGA&#10;l4CkenVhOM2OATAl7ayeCjZGjarMQl3rlCjeaZ71v3f6I7LObBsJCxRZ5VBhxSS9g6n8QAIszZ4Y&#10;97GPQmE7fPWVf6DteD/V9AGyyKYtbwQEVMkDRlXyrSlAxW/pviFFpDNnvWVHQT435QXuXkroknvC&#10;Jv5jk1i6XK+GLqC4X0lFIen4IagLGIyp5OwPqZG28HKwBTXCyv1QAt0Dck/dieI58+nVEpoPHmSl&#10;FiOYSIzVpSHbYFSrF1ATaTTVl5/DTMd4rLEVlPXU1CdS7FvKE1JCVv5fRFp0q4zgjNdsXHgq2DQo&#10;cA5fuNKBDkGnVRRhKAl75ErfBzmkdNGx/9Uwp8iioBDIUm7ez8c3ZmlpaYepQlaPQ0KUsnNgr8zG&#10;LEMd2AWtTDN04O/9urLlFWYSZRNCgzVduu6WuROxuYVqNb3uG5seMbYGdITh0IELVcZXsIUtp5/N&#10;SrqMfzoer8koYt0+T5r2Z39+nkKVbEaymAZD9NjEhPIPrg1Zr3PE4YutVdn1QBP4F7KlJEfDD+LS&#10;QmsnkEspc8smblFSQNm6AcGvE5mSUkEUGqb/h/6cT2HJwKVvAQR/WPLzQWEhNxBzdv4sIunTp9yy&#10;mftNz98jqVJJqWLFgxOv0l6/5qkfzn6NbKoKgrFhHaUaTaMFNQ1d0psgz2y/n3watVE+ndzyd4wn&#10;q078ENUsnqDLWvsRLDSTZrRGYt1PwlztDd4rQB4Lxyooza69fVv4MnT40Ig8YoKkHPL8+ZA0ZJ5r&#10;jRvMMBt0DP4cYwoFFbF0b4GRLSn0AdiLG7Mx2ej4ptatEgcOjN4LjF1EA+o6zPjthqdA5qx+22fQ&#10;tVwrKGb4pXu2v6zmfEDSbqmQKwWwsPgl4UhQZzWjwvupuOP5WWN7cbY2POXdV7PzxmH6XLJed1rr&#10;SobOcvmYFeRQkHMyTDvZIwpDGFFpJv4tAPY12Eg50fHnlsm5vbiCJAQWKspbYAKP1mFS8aynVMPp&#10;G7WhRBDzkJsoXvAdNd+amwFf1KDOUPJc2j0nm6MtxNDjMDulGhVPrp0MO/qfqnx/fuw0WAPw5KdA&#10;fQRp8Cm6mPS7+bvJxAcdiixsPodbx76BC8zXCq9AM8amaB4/rb3BCuQ/kOLlhysbSUYQeZ2yGBNK&#10;McJqpJdLBGAL03rEvroHLKdl739pmRHTwpPXUeKAEeKdbzDR0QUmFXZgnqfMDko16kJfmpkF3M9X&#10;YeFzqRv1br7YhPoR1exNtLatbm84u3kS5cyaThOpWWNQ5jwrVqx4GB4ebtgnEwk+xA2T5XLwHK2/&#10;N6CvldfdHTOYc3Nje3t6mm0KJex6TjHgv0PncPAtTUSN5i5vS57IYQW1/fXQFz6/QpohK6tLJ1ca&#10;5W0dxOA0xPLu52jvFp5N2zmufVCahDJjnwEtoUtfnphQvDayS7c+rloEDke3t1tC7yUfDDrX++qe&#10;unzHN/67Y5g82DdQSKbY9jzQTmLXbu9OEEqoS15F9SlN11P+OyMAup6rz9nIC67VKEqtNm+hfycE&#10;k8cPkQVvUAYTYKDkx8no8A/4uRvmY36uLDzB5XLYINf+dl6PKKisTuvu7dVtSDo3Zgrk/FyzW9qe&#10;YJ5dD07Qs7Lm0vRDJ7WEUFtDHssZLUEPkAMu5BJQIxSy1mCkExdWD1qR2p+6qmCQY8YgPCiRWVlP&#10;aMSeGp97XGQtTuiY9ZRGFJALu36Jw8v5WgpDartKF3iONiCV5lO8Xqn/iVD8SqBp6JwBN0lPq/+l&#10;p/3SaNuUuXigyVMyGbvsFMPiDpmtYuMM7cytay66zTHaOMBPUYUfdKJP/VF2D30f17TI7If7qylk&#10;nLIa9UId0/mlxQU2BD4aCfvfNu8Dh3KHC8K8uFvx7AnS8DditiRIxTjNA2qxBoWCcpX/vsm5BGiM&#10;EpiOHpOzqwMo+YedV+aGYVAz8LgVaBhOkariBY8fjGFpJRG2rO0bdkg6b5jKw5ONwsY0kP09OCqU&#10;d8ocjjJWfT29AzCUaEDS4Js2uEXIIPh+G1AH58MSzNWVCOt6cBCYD4Nu3UTuYMXn78iTDfv/P4jt&#10;aLt/BNpz8Nev8fWqkoQ2z/L5DFP6WVOLcE+tzs85gTHn9dqgK7racX/EuyPsFO3MkjEuGcW10wmu&#10;oOD/iGNC64jKefJ9nekKkJGub/hjL07aAI53X732B1RtDIUy25eYekmTKfF/1WH7YUjcS3kB86JK&#10;18vEU7XlGKq8FM2hb28/noZZdZxDl3WSH6NBU/yl5t67ZEbyXVeP16vNCVEHW19m540hlJhDjHeX&#10;z1AQ63TdkNU7AjjiMN331xbl+4Gnp86g/2B8Sxk3kLo35w6M5ZaNY/m3CLZPDrW1RF+VK/vJ/YG8&#10;sg2eAeHu9w6v23aB8FQk3nV6rCW1gwQsd6njDb9Z+yX9P3/5Yp8E/osRWxfVw/yfck148SZGRq5p&#10;Il7N+e5XQzPMHwtz8zAN03UuKol1B9wuVBLgEq95DbkabR8qY3VIiuWfQaTFqjv5JiIdXAARciEu&#10;7KqOTugtQiVFS3zfZ3FQF/KCJkWWFIgULzgXBN2xf+RRAhKi3kdv7XwMaUt76fPbJryiSmZJ8gCU&#10;HgO8D9vUH7BfND+de7685Kn+u1vC4K4RGyk6f/wFk4BB1t9Brfc+LZmyqK/qRVAQXlBQ8GnE9Eq2&#10;slenefyoKFrdJz8qvPx2G/NHh6ko34cP3KN/QXZAXUN8nVkaOgtWUmTBtnbn1xsmn7nrDsIS4wAR&#10;vNdziGPu2lp0/G/akec7p082QYrulhBCEQHCG1Nk4SNouln14Oz+xTdjE8BUwuJopjVEUf7WrK4v&#10;i46mjggshIrB6IZWgVcGqxsudbI8hOi76We7Np4hkkHJ3DIbHGn2ZQfluuy0YPUf+7f5+QvmiD49&#10;Kn0YtWDhIA6zGZv7qRNiF70X31h/QHVmvr4ODZSM0iDs6kHg7T4sZEpFaWpqGuljvpd8mjRyy4xH&#10;mL3Zr5QBP1AcuB0rsONs2rc6rqD5YZZatq4+dhYzSJgMtfvuk+x1yDYqmg4MwuDGPwLBRRmbMXXG&#10;sboB9IAlB+VFgPTsb4R/cXfXuvKPexMQpBosAJC8s+jRzVuOyQ5DaOa4xMKSu5c2WwYef/Ez9RHz&#10;525iMPKs3oktckjTq4r/qxts4HvhcnGMziHkBPVCRrth3JsNz5PIKKt8n99or5KgoVQTIhM1IOa1&#10;Jdqm2V25cmUXZWe2noFO268p2HN/QHeCZl8YDyvkGdidWkiNlh3UAf9TvRHzsQr3ZncYLE+guCWD&#10;j1Pl/PLStvbBWVnPwMSku2rVKk605+RVqx5L+E4CkiW8i3lgSJ2yg8aBgNiFL650RYHP6JyH+iwa&#10;AHc3oJx3amRqqjVczDmBgYGsFC941XPWZ2+McJ9sUtWqu8a8cirkECHKhnoBtHL2Mt7dlzXVBJy5&#10;8ov7MMlWhWz/1i0tLqxGYenz+BMh48ftmCFUALrcCa1ARz7VdBIeXbsu84U4W4NLBu7tkqnpOWrK&#10;p5KSPSsFnhK8XPq4gTldDrvbig2hgPgV5FuNt8FFchX3SsBS0eMYSFIBr6N53+l060T0oS3XvKun&#10;Z7K1qmqYypH9p90QWU2wYzy349McOfACOHM7iCIyd4YqU4hNu4xNdYkFRtp54cVepHKzfqksMHEv&#10;VlJeQMPzFDh6K+Tatr63/qxdtptD7xHO8ceSMaF+i259IHmpT7UHP9za8F8d+zIn9pfe9DifYEyX&#10;Tmopzo/odGYRs3J7GmNqCfJOIPXcm9IrVNawf787QPsy33nkgsZQL6G7ow0zAzG+Hm2/QaxY9Umu&#10;U0Nrkk9nr86bNUYJUFJaOrTlztFQiGAivzxu8el4whJg5GtPCilf+6xqZ/S23c3K4NT6M9Ser1tG&#10;uA/gjA8+/a0FW0FQdy887gXIUoHZzpqkxES4Xsq1p9B52MsiYnZRK7ol3USJfcHVgpQqkCj+f2/v&#10;74Gd/PicXExvU30uOfMgsCPBLN2ADZRDW5Hgvcfm+aRNIh+7uq8hdan3lxPhjEg6dOi/VL3LHsBr&#10;AYIBTi+IWWRGZl2OCKiY0Th7Y6QXMjrrTc+OwK0JyCgtb03tjiL6oaNOIHAOkwX7fyJUktxL++e1&#10;AjLGqOf+wnPYrZ0J9o3lDIVq1zDuRFcrB5Ddm3Bmh0Cr5Dn0nxHkzymdoMUFSc/8CpJyS6Fq+Km1&#10;dCixhkxauI3Hku+55GEpP4fJ1ns0l3Z0GUtgpAf1qq7/9qog2vMjgKl/zK6WjAwTd+jbxVF4EzTd&#10;LKMN2pOVDCmyhAL1kakA80m4rNCYDBwQY0rxAiRYUzhICFE7B4eFAK6LeFrxJljOjZiqszf5dAdm&#10;nQ8jkyWQfWfLfgu7ee1phhLQUt8BRW/ms6Exq/vV0qoFiI8ehBWAC1RSrW6UZ/6XFIpjLu1YJO57&#10;f+A/ZgN9kQ0p970UzbgDCK75Eyiw4PrsV8SBKUxy1BgRYcBuKAPJVnJh7BKtFf1hjoaAloGUBHf4&#10;04dKlRlxqTpXGq4scxue/wXg3wADK1SYNfdq8VNerNnAokd/IdKPu59QXjOT7J19aOevtEvW9gR7&#10;+eDQRq9Mdw4otKHv656D4N0NfgkJK6UehBwBOW/B88Hv/TQ2TShg++HvazotY1GE8GEyQ36U5l4a&#10;fz60GH8ArJb4mbEAXL2lYEgeM0T6V1GugBNXmu5DFeNvzCLhOKDuTkYQiBMaHzYn1+XKwAzjum3Y&#10;KIEkWwyFbTMW4tqzZ7Vd8ukZAxm9xG8ENpbak19qVXQe2kIreIvBngIy8PlHxz/VjX0NhrGG/D2a&#10;8v2zrzuQLrthfuDnHI5wjv46UtQBwcphFf5spD28cAoHN2ymvAB6HKD8Y9ncSp8LGhU5UbwwEthp&#10;BcUPKiIGK3d5oLQsAoArS7AnJZXB4XZHjiF5DGzT4TjqhPWykyKL+dbHs20JK9VG1hFKcwyW1KbN&#10;P9xY4O6qOvQLfUL6JERoi5xBdJYkanrD+uBNsIz6eXl5XZTmV6fmOA0M8iyTfTX2k4zlkGsEisHF&#10;wf8Wbidi3jOJD0S/YIqKgENHkiPI4QvWXg9LuoH7+O8Hm+6vLHulHj9Ku7XmDNg/m+NdUAbD3cr4&#10;BQRCCIGzhlILezUfdb7+6G4QU6U5J+BlLif8ywoK9ja7NRNPZA58WRj0S+hkTDwNXk+Jw4yCMNsf&#10;k8fZ3e0xyao6PSEN1KbfX93dX9DD4L5hMCBoW8ECl2DjzG+MlvvmNokJPydK04gmST5TdCpfFbtv&#10;yXF5FTovGZ17/PAEp+ds10Hal2BUFo4UzGK7iUDAEEM3xAa5UsiEy0UZWpstapeskFrsxiMCteu2&#10;HRIQUO3++fPhETWGFsIhu0ls6/31q1H80KGLSPVX+XSInOsNhqXwiY7qFCTFd4hga2f4OzYnkGNi&#10;NmJeVy+ghGcpHJBzdJTT0Hsnf+T4Jvxuy506s7CrizCtNR2bBN6EYq7AFo4Ga0zJ1sdRYqHCpkKG&#10;ysRH8uMs6r2n6vH7D0wt/P9uCoOkM3tO7T0HbINZWbplx8MwencU7FDP4OBCVkJsm5Y/jlOb+VJR&#10;sU+rwyXY5Fw5CrunYHy6VBwFoPHFLEmQmsRlorlU8J4j1PKxxKtsB14V8yudxYFMHcrv05paWgrv&#10;3LsnmSgT39sHUPv2iaqlF684yDTChqHhwoJMLcZY1D6o7IYrKLWEejPL0LGwkAxXOX4L4vCHBoal&#10;VHCfXTuCIm9YSEPXLSoBhZMLxlLM+zdi8TtWQ1VYiHopXmgSY+hZZMVr8/Y8uEzA5C1xcnOv7VR8&#10;lpk5JU+RJTz66fCNqvUYbNKDms9/5n4ZWHJAlQ4QV8C4ot+WFgE7jriolp4jbhvf55+sQXpjtDhs&#10;LafKFtZB9NUpTL0unRVQTJQFZED30c/crtCZS0jVSjebKFACXc9FM5qYeNDpsmksbWf3pH/nS1ey&#10;oSkvyPKgULyDVquqVsUSNRYf5+Dvn3nx88M7zk0BJzgPNOo/DdiawIFQQ1Dml0CtJCHID11DQ899&#10;u+KwaTQoso1td/6XyDFXBbpCp1NRD8fV8K+g6LyzaHrSZ09UjNvc/XKlxUHzCUnasDo363jyfoVP&#10;wfNbxzBxAUHMQF9mH62jSTlqQgcHh6+djrL1sIIvI2abEA6YsVuygc6osTPImG3C1yAXkDPHvr+e&#10;SOBgs7rKuH37M826LRzypDl0uUjU+mNTtAsyLS7+oO0WDIv50wkJ8HOGd10vYQIaM6i5t+sRMoGR&#10;w+NMnO9ZItRTir/+vpcGSt+09RDxJ6yg/JxsI7nvhs1/26+JyC2Sd2BFIRIIUaj8TWmV62e8HEqT&#10;tG13C/MDlgx+aTuOeoEIGfFwcBFebcip0cwBfZ/m4565mHb0Ha6nfiJDz555RXQK/CrCNtHJ2WDt&#10;9lCsWd9vq0E/PyDWTnmp1a8rA336kPNatKP7yV7DLsHcPrP5Sys8y3A7DejQ4iEEKXsu42Br9sEz&#10;S3pomnH5TdYB8R04nImbPU9TR3RK6m/6JKdzbjHFkLsttttRd32meKHBvO1rq+dKFI5/rf/J3VPs&#10;rUk0nQIdiyS2JJp5Dl1ElGsLHz50Vjt8og8O70v9qlcL0ec/0upeMD9aMVO6JQwOPj5h4W3Lembw&#10;uhNM8jmYL+e2knIFNpuInd47RUUdQ0CebcPZgVWtVROwln45MFTjujCSkH4aoAepjK0inWGokEIZ&#10;WIaN/RhMvwS6gxCzvzykL3y8HazXELXsTHt+HPkUn+f+VXnvtEEhZmTTYLIIgHwIk1voeyNS8BPE&#10;S6gX+NNatpVtYWZ2vmW9gZqwwAnHVl3czdr0aVLMGq3eV2N41vMGlxdhlOlaCgW9zl8SJiOgjA+A&#10;QboFTSIxNzd3zq6g6wsAWj1iezGmTmMAYM3B5IQFAhYqBe+pxNYIATimwhqynbTvSOBOM0EMz6IC&#10;e4kmq2kFqLSpAG0dWlr38LqXhxU3kziDAzEqDnnMO5OjhrgDmIUuaMFetwAny1c+fv53v0iaH4Ri&#10;RJoDW4ga0QQp9gWg6TvYyR4QFoSUNHFI4GiZr0EwkuDiugRj74IYL4NfOoxTU/jQMhAbU5VAoLvQ&#10;rMYUn3qE+joU+EnuCLf0WKQmXcx7osFEp/l9XXJ4tsPEeMk2mwO2wsMWnfKPIckVthe4SzSiEd8O&#10;fEQ4nKwiF4BCOhSOH2dfS6kulAbuJlYNK7QR/pVxHDjbTyCztgPbeCZ299Lfvz/kCzGn7ThI8e6/&#10;df541U3gt0lxNbHZSTI05pxX5hR7R8cuvJJjounbGr+EpxEaK4JEqIvMx3RhN+8/PTOeCZO96ZUO&#10;YmpRYygZdVAreiblKvoQ+h+xEGpnWpu8PMBICYTmRUNKM4kTl01MmnAWUOwcPAtJe48tZ1u4gP1k&#10;Zn+/DEIh+87J0dHjjjnDX9b1wCZy7iQrR343OAOoSEVRUntUWV3ga7/rwQlCywDam4amnCEA88Xo&#10;H5kdAfhYMuRkmwTOOBlaTSAqHOjTAZhMmNsM8r8/lw0h+UfH2uk3vOzErZIpl2II5UAbHfMxp2aO&#10;3baC01IKsP+JUNc+7/b6J51niXx8C8JVZLQxYXA6A5aZzGEZIk+soJAAKazJ2MzSLCAm1uA7fLEt&#10;8H7qRAIpRCXjNfcG+0Bxz87Fllh0fsgL9wXRALoPiqbcwrmNeWUOR3Dq1ewKBI74k5mgxD8Ed7V1&#10;9yV0/dMPTqOSCEJCmcWSnJj5bRP0DrSULsppr8tCf+ElP04hordSfPngp4aGKSrpCIoXiSsgU7yH&#10;JypA/KD1/KspoU05cv6X3r6u5X36fqV/LkhA5w5juADBlC/8v5kRwy7afTLrw0Mivw+pe7LD+gB2&#10;a5jhAJQyAis7zfPL0/fvQSQHk9HcfKmL6ypyPQGoOJQC2Pn8yswEj9QjN9c0UFH82WUWXeevOaxb&#10;iUji0TUKjdVT4GIeknP7GoqwUdGqdv9qVF7EvEVpd0zsCROEV6EuXqOXf4q3QJo8aTl4E5WZpxn3&#10;94Pag0udm2G9ApyKfjIdXd/+6dXbCJDFLna1K7TDAlr3LKoX/LjBwakO0DQ758Mil3y1VP4FGHZW&#10;A3l4qHrWUXAAHZ+8ZwQxg+JRaE9BgKrCyOz88qlMzPg7ZINEIkUMj4ngdrUTWmRkZAy1QHCupZCU&#10;R0WxQZw4AddagV2vSiCsnkugH5txBIrOyDYZwN9OVAoZRLG9vnKtOM5L2TfzGxRGZ8SzZ3q6e4PP&#10;bBe3j5PHoVOrDdsAvd1w7NosFuuVWwE+qs+IoRM9HX0QlX1Hv1EoMAfv+0XqK6j18O23CUEkXL/g&#10;jkgaUSP89WcoFaoUCHRpXWNzSo/3PyXDNB6DRGfrHR5e8rLWw3TCUEcSk9Bmcw8xUaXboxd0D84u&#10;NTnHQunEcRkpbp4hFsuP59L5g06lYIHarWvNMp5E8TzOXZRG5GRyIqcVzHTqUKBfAi2MqkH1wKOR&#10;+aodAjGZNli1KG11L0lBOJHDAE0Fn5VPnJjG8Ex9BApR7SldNIl8B5nelgAKs57otggX6Gpy5pMr&#10;7RDEmQ5K6KK3ImbQfdLSBbpajMml9o0JjhAz6wo2/Cj9nJGVPLSBPK5dO3fuBN6d6UbmvNA52BIS&#10;MTEVhsyw31k3Vc3LM6xKPZ6wDQzAjLAODDJeiHSBJULwPxn+a2AK4aLhCcCMXBfa4IxdWTKrSfrx&#10;/seNzH2Ff0aPstiXUyF4b/INjvVa55l6JrHEOR1DROzgeL3rIJesnf0uzPnG8q6heBF5jG62whFx&#10;P9n93sLjgonfTBgYLLLIZryumIgosDkgoKvMiht3KeMsg3WUF+gWzX8T6ZnKXwkbgL3s76ooayJw&#10;lpTao/QwXL2dpo6YR0WF28l0R16b/XYzHzX/H1vt4+GJff/LafA4IsLa8koEESTAbbwj3i4bSbkB&#10;fVSP1/9G/Cu0POyIlv9+5ONaijCGCQiMTGVFHHEIMnH/y+kKc3KaHGaiZUiAw8LDXX3/+NK6Qni+&#10;0Z9iiPaYvc7E8y1fOIaOLDdaSlzCr8toK6ug3UPrGxo1ohhq42Q2xOozOnrVFMq9NbPZpO9ht2kb&#10;XRwaUnrvnC/p8zZcS5GF/22G5PYDr9D+aM2Egwm5lHX02pwRdO/Wy8QScchyQJx224GLG+AtQQuw&#10;zJarC2tomV8/QFwn4nBC82UYweyoKCSB/HDGXA39hlZPmmWE9M+jNcXaGt2I8dXbVNuRYJlu0d0g&#10;dtzO3O23KmDODwszy18f7JgAciDWVnLZCIzn+qFt6n+M+0XFxQJXhFk2T+XC5iBBeNJ6hCEr1LXP&#10;5tje6Uz8/escEyGIMq20/fPnPwQWSLmzGTyuI4bw2YrEe38wtWQliU2kruoXyP1gi9NI2n702XxH&#10;xipfJooM0XhCw4Te2AHive/Uifs58uvqNVOsnoAL+iSkLZvwQoJ7H6GG74tKSJEH5KWlvCA4juHq&#10;Ajl6sJ3ihaHTUmWNHo0YxPN5XdnN+4Dvzf/vk7BgL9fv8MBEjkkcefIOQwurFubnd/xWrfd/8D9U&#10;o2a/Fkmy4IIwqWXKVlJLKllU+IjJucdkbohHvKaOQZ2Ged7RW/AqaDegjHBHSSKJwVaNgVZ40Tcp&#10;FD6oKKEFRP7WjNYFQKKjyGK4zeDFFOxOx1twdzSh4eNG1lyXtxFiUgeUGBy0tTRwNbkGvVG/fxtD&#10;78URqoffVztj0mYFRq2S8HW7ukVn7TMvzR2ZGIUrrbvBFEc2Dl0Cw9gSp/YyUW6/pv8em1nk+V56&#10;iizg+rlpFgxQji/MXmIkLGeH378ULYZgvrRFtVmQOO/pcKSwAMgB4l55P5WJbEN4EGRBcmov67pv&#10;Rv11hDvCEFmz7XdPcR1spF/xsnDVmqmDZ1EuMRt3AafPSVN2WmzOJSIcrKX8+uKPVZ/N5pCJ3M+E&#10;9MFsO8LxMoE2KRaQ4cSEhYYGHBb9aHHxkNEhFP/OmB47eXVOdr9BnvMWygu0pJk8SRtZ5qIGV3JA&#10;I8pSysOEwKq+fuImIwuKcGkkEXS7LgjDKrtr18+8tD0X9DC2I0yTP7u8WMg2iJdQYdTL5nzvqTA4&#10;gwRQK5tZFb1Gvbgu5tRPm6C3GNWlvDWqWHWemMcESG2G0zeu2u6HRK1Y+pYY4rM+TQLoKoMEODzU&#10;cv7ULZowIowaZF+NfvBf/0Jkn/208m2gmpdISKIPP180QbuslF54xSYP4y7QDhhfJnRqb/BjJ/gL&#10;IyJHbIqI/epvUlISC5qvBBCO3ZcgBSjjfOnZIFXpJg39Z4jgjsTBQWRrAoDBflTkV5I1OiECav1Z&#10;qf7DUqYChd9PwOzUJ7l1qV3vGLdxvYia73+ss3kdH/HHWElrfvwcfwirnp31PdIMA4i9RQM1n6WX&#10;TjIjjjrJCA9vCyu/w5nK/x5MgjLqeOLgILxDJdHTVA7CNroaoIrX7wKmHF+Fudv5D52LrvmRmrcq&#10;cRsbHOM0EyTREhtCujLE3rKLGcn+To0ygfFGkpQ15DbcSiVsfx5V8os6C+LSDVw/TsVR8049CBvL&#10;kEPO1e6TPO9qtyILEUcashDqpo6P2hrwv/ZyxeGDXaaGFsL+Z+muN20F2H4waN1mAC2vaMEJWgG2&#10;iBv4tZW2L1P7RJHnEauqrLEPL8BStxL3M/IN3jhbMPMeQUAMEIE2ANZk1FwR/glNBE4gv6j3p+kP&#10;LyQjp4QQSj8ac1JEQErBFHc/deYeZtma1cZ9q0PjYBhxBLg5IDoSet0+WX1qn6E+iPCqWrQYXPLw&#10;KDBDMOnHiK43079xjEBAQ6K2QDz5bTgZWQsb8bCbPeF+tzEw2GeCUgOFdUgx+YzSiJN4+P1rC7MZ&#10;uymy8MClk/IGA9UPoBVF6l4Uz8feKZr165NApObWFRfvdoeyeN/cJofynxcgYuQbJS/fMMv49f6K&#10;i1CrRuqC/JeRyrio3eX92O8LpTiVGAfL63RKjpAyiVvOwxio/S6FMtienxtGF15g0k82uW0XqFBY&#10;Ff/ULVSSsn0l5aqt7efTgDEwhk6mqNzsEHyvm/lcG9b1GQwB2OH2s/RMHHlGoJZ3GLLxTzoAV5ri&#10;GOMlDARRlZ/7g6MqGRPwDU9L9+tMYK7c8U1ubut9oo4utRrk2PPScqxCkdZP1IcI6Ta9TxP9eG9n&#10;sAAggVrsPdpAOm9OZzOsK/sJp/WFysKV2MrTYvIcH/uPbCIlV74yHh0QzNaHsM6RSvQHzM+MgKVX&#10;ZGveKnpqggVLOpO4ByzNL7Y/nCz+xyyMjDicJf2P7f6RWONZLItKqanpaQO9HcULAij6olP8oSFo&#10;x2vOrHDYC33uugMQWTpOJtMd8oAfSBUqqK39lnAVbnUehujpN1gOrPhdONDtK85Jufoa9lX1vcHQ&#10;c8jIV8atW89BBnoDlPe5stKRAIRfdu1/nYkLBqNENlJkR6SsOMJQ0L7DwyOuE9TMx9BXQygj3XPn&#10;tqLX/NHVqeS32tHdV2cieveiUeixyTnyHVqlM0seOKLYHLJD1wsUdsQYMFN6RkcngYeH5zWuYQ9c&#10;0gor7EcxM9scVFm1Z56Ck63ttXPBZNqKihrDvqDPe6fvl3zjwFbkP3q5Dz+6F1ZLm2e+9qhQSDtV&#10;tOZeJfi4HTkkJecvoDmD787RqMWO4ypk53Xk3fnCRgENYd2E8Y8DJDY9xQsQhqv8DwnuWmCgqSgw&#10;XBsSqhFDX37eIIq0r5EzX8aHMCAmTC+K1UWzqxbCrGTHK3lQToTsqGPQR6F5Cuv/AEHTCiNhAXgm&#10;LshNbTjIiW+mDwqhhPfcMND5YWKh+ng5j8Ap/IyYNx0Gs0yFwyux73SZjQP62dMJ6wGbwy5YpU9E&#10;f/dD6mp9HxSH9slz5EMw/E8SbOUOdnY56vKKChNEENBdmpXKgvcs6/7gK6geotdjDkhegj2aNRIw&#10;Hv2sdNe6JmSAa7igqRV54YcI057oh/FXH3dxcESyVqTbnzr1xWr+sDaOe7yM3bs9rubPUQqFLH8c&#10;RhWAhIocdRSO3Jn2CNSgjzGuvQ0lTQwxnczwG/3sI34VtK4NZndoO3RsZWA4Sx5UGNSg3xg1uEMa&#10;6ZIovmhed0qt3fO37mkOlmc88UnUwVv6Cpx3XtdHcbgVyqUKSJkHt9ar8DdvxioIl7KCQp4CsWrR&#10;bNpUSM6hNielSdevXx8lPnATUum5VY9HyZGd8zXf/tiPg9o9XtE9qk6RRRjNA7BiIsecknEWFzAJ&#10;TA/zZLsh6XSXB+8mlLFc2TQm3XtGm+o4oYQ6wZGDojYZC8oJphAeDnGNEJed3p3gTQf5cXbVk+HF&#10;VhMOihem2KWHBNw337q31kWr48KjVHSpTq71n9CeNuzQhqJStizJ96Fx2u7j2QjvPnv06qfyHSXd&#10;DvRyyaeFZv17EuThgVjuJG18uFc6h8jdv9qdsAosT2ijud0UQVsL7/AZZgxrc6Shpidt57dPh/Oi&#10;N/YzqaW9GT7sHn8n4YQOp4cQnVgXUtqhqQ6upPwmleS2bdtSiM8tnMhCyBr5aE7c9yI9s5RQC9S8&#10;mnBwDLMTlnyaewylTyZBaxQvYjk/hL1wx6NX15vOhn5NpPEAGiYlKC9AHLrtOXqrIYCmjjRPCiwb&#10;9L+6MfUGRvEEbVkj//XTogoEpIpSYMA/sRHS9FEHHXb5zLElgRSNo4Mc4C5GlfAn6G9h7Y9DWIQS&#10;0/qtAsQCQ0O5gtQgpfwNkCMZIuE0F21WpcIV93vxT1wKyZD743EWLjxHxdAwD7fIILqFXi46tXof&#10;WcqFG3M/LNHgGJko1Shc5styT9yD/i1DT/T9eXpoNs1E0SIuWkzS/okm1Q1ik+wuGvS+IOmcYIVc&#10;7k/ABp7p+/79uySmrY359NlkthI3RJ1DxYJhYGhoX0n42xFlZsyEmMfAmvP9WhrL4v7PFsMj7Brt&#10;POjK/F+2AWf0mNCiP3MrMaLsO3qrrKvG8EgE3kbqVpbY+OVGI1Q6aLcQo/4G3JzytOC+ahE5vpgR&#10;DkLijB9zYmeVQ6W3dgPLW4O4jUwfAvDYn9Kx8VuxE2eBfId2sKBNGUxqOjj9gAe7JQq62bL1Mc8S&#10;3mhJQpf/VSWnPB7DfG5JygtyK27bbU8pMv9PD4ObvlMWpld9ekOaUeTsW62yiU1xBuU/UUJpaHI5&#10;hY1g/w1c7vSo3oOTCbc+XIbOP0dvVrfsOUisj6RNFX2Fg+fLbdc3YVz3slte4UThSu92Li5E0QK0&#10;hc8fwFX40ukTR3z1yHjVYId7IeYq6xJjOGrzk+AE3/5KxOA+jWvOzq+IC7mnL0GJmXj3bF7mglu+&#10;Wzg3bfNSgiKLgHigIOd/CjZScG1Oz+tHAJgkLbPERaQVffCRoKZIO+FZSIkHUOTv37bn1w5OSHge&#10;/x7KBWKqI6oEUOpyA/KMMPUc5vRLyMC1E1PtbfS/mhwCmQvhKNtG8YLhu9bwthXpGZaVzdS7Fx9U&#10;QvbB6mD/Zm9OWsIprqGcRkjW5uhShgdBV/BD+lbDW6jyM92Zpkic8ojk8ZMi8JEjZ/PuY0mrKPYY&#10;j3KFIwedsakHTCQ1Nuc8oo7MtB4nKJEVGMeipFy7gUjDhAE11Dbeb3QexRrRAcEiZrtMmO3mSGPR&#10;efiJu5IIC0/UA2qgb6+U6zdDgCaDpnMRcE+gxTfFTEZ+nfxym1Ipuge+EJscenQzMM2zhyjX+Xdd&#10;/WR3PmFf3ika7+nLiCXOeOlBNxm36Eu6lQHMk+W2+KJoF2OEwwO72JJ+1IXdaTu4nSlrOXsCc9CO&#10;9Q7rIMznOROHqrxQlsbI8trmdSkNv4lpLDk6n5zxNcxTPxN61U0uiF7jg/sWMkvBn66N2C+3Uaox&#10;hI6x8O7IKRNoZflAdHjQuXTEKTy7khJKGn/llpUsaq3x74KPBcnBbnSUF8slj8s9ubtZsNZjqDkt&#10;KBgMUlSUsyeDQi//q97O3B4CDblj3b+eodZGD98tvkBDYX0Pe9Gi1UmoKpeQjNOrVnzII/zJjwgK&#10;/05yosWZAlU6krHnUUtnoU0YE9xkvKyLMGfrCgZTLzQCwvJB0i0RKwVA2UdcspDyLuMg13o5+//T&#10;eixnH3Mj5HZn9B43el9MdpKAQEnaddfKPb6NqS51NkCa2+AHtjgpdf003typa+XPHjz4YQZvXw1J&#10;bnLtzZhG+T0bGe8c3GmFHBf1NMrkfycffFjdVTwhtBzNX0lziYjUYdhwuiD80fsjxFzI+PUZ4ucE&#10;pRkh+ipxr5Hz/HRaJoRfs29RJbwcXU/RhnzVCyhRJCMlhtTv3pLbs4jpBEhqEl2ZS2ptzqV+zxPR&#10;mC33HYPrlIN9em507N0MPZWJZApBMUB6S05wwjilr5LmaeCG/03lqBd7JZ/20YnDJEBPepizUJ4f&#10;p/5GBiqgCcfwvb77kgpulfht/XPfeqsW/e3Y3/T7e3QFaf20RRUS6GTrBl4x11t6pO5/TUAA+eiJ&#10;LMyn+T8Ndk8ObGMIdf4xy0wYYdJGtSVqeexBIH8jdX4yq+n/srlbXYlI2OKLnl7Sh/NhIsF+SelU&#10;ciLp613u2EBTKrFtm9fGPYi2jjS7vcRlJEt9BHVQMIY0pB3dxcuU8/YuMkmuIGztNw5/BufuACT6&#10;A5r4qRMfzP8vb3P0tue3gx5BQsRVL/fz45JRBPQSC437Y/rZoRaka2rx+xbpdcVEXwu94IOasXwz&#10;xasAQ+BGhn9O4+BDke2UalAfZ6j/z6gEkurpwuPPxHW4jX19tFS6XivuJmNKwLLThyPnv+4qzPzc&#10;IWdPVG345pFT07QGNfQ3FOdmGeIutxFtD13DBPqwUXYWZKxesizyStYmzRSY9mFArehHvHA0JAI8&#10;uQunjwJcISl7g8t3caz2wRFBTgT9WxIQkld7U7UoEIR6JJINbAUPr/htNUNHg4+TiQ/RyPjlHJzj&#10;by1+f9i3ZY1G8mmMFWAijbrLbNjvLSwajxnaCj0L32HdoSSV5rqYR14I3X/8rWiJnFbcVjM8dMgZ&#10;Dh4WFgMpTkJCBegLyuKdEGrEfX/9TZg9NNcTNjk5bWF60qgTM1HXpwkBJ1pjKIAEKU+x43TiIFy8&#10;zai+yMhNi+pr4xYXN9I+tYlyBa9AhrhxcNIFAzEVCEWX3sR7HSPtCjcOv+fnRfolnRKXC8SBuMlw&#10;lUceDS24HfzbUUzISEN1dApCwE+J5/9xps4hZ+KITYZCWfeUwZhGS15J6d4eWlwC6VFBOep0d/g7&#10;jbxL5Nwtb+9Whpy3q3TjMEb00pMLkWYJW82wDWVVVO7/T0r8P052BsDmkToCjCXhbvmjG3nmOL6N&#10;750cH2n9aZnyfCB43lwdaqm2nH2jnNYVff94xoSs+2VPfBI4TikzEwsWhqd01EJ6FBVVaCQkLGiL&#10;SF9aQptdJ7TZlw9oY4bQNksan7DcMN8Ei2cW/yvT7WGgXyRImGPlNLlwNJVup8gWLkzqWmP33T1c&#10;OP3zbioVpQTOQepvRv/rhn8OZaAj8Pdf/iGmvFr5E1fvVBuiAYqYv25XatJoaQhlyMj/b1thAYte&#10;74VP6zPE9QlCMdxXuyRq1GmubHbiVr8tWlTUDJd/TK+MtPS7yN3/9miPIso6wkftB4lGbIS35trA&#10;NsU+/emoAJvRzHL01h8bzOxQgYEk2+7ykbarqej53gs9DqCpMTL14GNBPVTsXxj2abZOOBKHu8+O&#10;l7wVK/6qb4rUt07zMQNJmnCS+bVPH8nYm1n6wdyuVQY9+w1bCXgQB0Uv7j96i0/Zp9Q0wSchHkVM&#10;GTEKrXeobs67ZiejYSFiG36XY5+mcRKi6utATkMZI7RY77soaaE8C83oPuZGMCYQ5pMHv0UzhE9X&#10;9NhtyNffyJRTJjkH6qePBedJLyu8/MuUohPumPgYL5TLY3bM36pld8DwQxJR4cz7LpwMUiue21Af&#10;ZeiyKRbdyuPIbawLw4nkNhIw6+ogZBzsSjQdJgRG72COtGa2adCNfByj5dDUfYGHMBvE/T0cVZES&#10;b5Pbvf6czoWE6D9EG8FAn3RE8dD1KWUjExPuPJwqFj7NcGvZyfWZ2YQroWdmG8fUbxwdNk94cBgl&#10;Vf/q753qyDMiY2ZeEEIRJ44ZcSiN4TqqxZksIpuBN24OXz0cUO3NAWr5LLhke/CIhlq2GG7wGY4I&#10;bD+/LZHWkgS6M5FwlLcPCrzl5cshJieNeS18XEghtgx9O0tNINmZI4QA/U3B5RgKipDLc+rahzOR&#10;AEzLAoic/X+3KFgiN1F4uGDZLGu/qxRGH0Jwy4W42PBp+khmkxxDSPn1GacVPr3tcdGq69Jc27B+&#10;ggxgcHNACQKyYl3aaYXfg+qHIx34Y1CWSJe2ty/6B84+IaNxiBCStw8LHPekdt5JjGOd/H/2uOcY&#10;dZJIus1ZW6ZgXQBFWimA4fOpgS5rwGYtj8wZ9oOtft6VIotJoYd2Hr2VfBp6y4iW1hzzSeZ/gy2q&#10;iUEudEsqnczcki+0p5Kn6lVGSRX8TAveON3+F5fX35TMmHRCVsfsD/8gHqmkjud9WkkDiXKzi8S5&#10;rQkf+r9O9NsmrNSNxMTd5BA6thS7zaFJu8dFr9HrjFubFZ03c/9C0NdKypY+QV8+Tcy1rVX5fU3I&#10;h6x2Wspv0qwL/Ac1L5lCIUPdRd1KPywt7RyXxrFIS6eWQTU/UUdxIhI3wj3+XJPxV1bCi4fLchMK&#10;iYtf1mvJGL0Xxx5T3gP5/NgJ9nX/xw7gs39C9kTj9y3LLT/Jp2m0vL2n1shSf0C53//pYvqByLar&#10;aSq/HzJYRLIQav9iHkrbuoMlcnWaNlIqIFyc1m/b1JBIC0f0zcCR18sdlBPD0qLe7YsLGZYtk6+r&#10;vakaEt0mmy7LrNs2TBx+FK9j95jT1G8PkVIeGjYMEfHVxsLdw0cKpX2ti7wcMGtGr8hpP0J+LTqL&#10;4uE5c2eq6Mei7LhLImf7ahJM0OlMvMjTZiin6Ldtu4YDn9P/EjdV6WQ3F61eOB0WxAelo82Z1p6n&#10;b6cQHLUsaYS4UOvrREUI4kSXDN4Nz70Zr2Iw+r8inn8CT0hJHd1kcnzKONIguezetjdfNDN3caBl&#10;8V9nV3a2lJhmgMbWLAMcTLpP6/bWvfUz09OSCZXrJzypUgLQgnty60PBTpdgCEqtIiXfaxlotEjD&#10;DinVTp1T5xof/nDanTbC+wdZjWRE1XqM9uC9+DOC5HTYLPZ2cK3fSwEhsPSvgHQKIo5vMKHscKBp&#10;3h4iLd4f4PkMEzzfBmw5l3+3q1jpqLfOOxV0JETyWnFB7Oh241BSGqf3Jf4a0e5DPgUPmMFlBsTs&#10;/3d7vqgGmhlo6pyUyZQg2IiAWsR6Ez9M7AVF7iMs1FWfTXzP43iFKdGmZOBJwbqVKdoz1vuVwcxv&#10;23W0gUQRubKuXb+GjyByEorlfzwCi3k53h9qc1isOp6SvlWQncP646uxSj3/8Ru5M5ie74lWdxhe&#10;2dq/3iECC3WaXMm6YpILhWhfDhLYH2kLaOaHUKi/6+r/VOS3NurzHV3mgSKRIfrH553O96lvSqJv&#10;NhEDabaPslPv1KxTUGBgdV1gsonDQHPGPkZKNWnFpP42kqwdf3IKedWTQ/gMh2q/EJSVHX79xt61&#10;5EWRdpetB9pJF+BKyiwavOARI4NmvqJNpg1pSuOfL06W/FD5Au7PCP2W9MrxiT8mw7NJuy2eIAls&#10;S/z3gwFkpJZz4DAnCgIlUHRAPXmPU3HG3HtwgfvqCH1uaO3yTBBi+26l2/fvprGsk++0ypZDhYL/&#10;5dO0+69fzoef71rDOnkcCPPy5s1icysmHQ5sXkckSAINQ9Xd9j/6n0EPmE22hSOH0CgYwNpaXV29&#10;T24og9QfT/AQ+/VCxaw9mh8duyFXZQLJs5AMcJkQcqNfYxG5923lat04UBazcdWZhtT5C0tPndRS&#10;b/SbESunrqckRPX/6S6vzmGRd7+Mk3TqofNM5J6NUkS637EceJy+kxoZvOf4UqNr/+u4+uGluXZ6&#10;e7H1u/Zw7OoUOk2rmWRsY7FOgq6fubGtUT+OmtqRbYz59k6eNU+8du6KtBc7+GZq7NZlGfaC+dvZ&#10;Yl9oP7noN8zl2F9KdU/dFlNfoN356wsxoL05u/8Dkq7rOnP5tbSYiHnI8ZSCaoXJw10H0BSZmMWn&#10;rPiQE3Y5zzuKZuuCvK5zKt74PHbiIacQxta5ZihHbi1V0dHJWXGZ++ROutcwki2tyhThVfix9jbD&#10;xL66YhzBSJsp7VvV+wb8F+suAQHDh4GB5290GQPJG/54J7dH8SEZamyH2drzKILcW8vuJJaXn+SF&#10;tJxZpxu6nl5QM1X7Q7wdGZL0DkeU4ozBT4szY7EpceyGMAm9FaxJNk9w0Ve2nBByWE37Vh971aOz&#10;tq7WIW0PjgUB7W7RBPsCv99sNpSJqAcf2SjXj+LAyk9WGzLkk3lnach8Tlabehzc5uTk5GkrKeqi&#10;MwTNvaETRryraJPp9jHu7e+XCDZdvncVvvjn1nz3gNGz6DiOojv94g76XBAhVWVpOK3T4D5dFA43&#10;Osg2dc3o4dU3aHt1ONWnhUxXsJ7j6MzsrEpJGqYb1TnGJJ8uLi52/Vl/XRDzEhr4vekcuko3XJ4V&#10;NVrhSwC6TNDy3hk6Qk3O/mLhvV92PNOghO++VVxKTIqXEfhb7nU3dmK42Hf2y/mz/O+qM84cYjok&#10;u/P02L/743jIeQeWLMma2tovW0T1uXl54/NxZJwR1PZiW13GepGsZGl4KhiDHq0Sr3uJ2ibyVEz3&#10;z3fC0RrqNhpKv8t8WQUFlSeclxbzMe/DvgQTYay7JFPftkVgiN3asiGgEv0sPas65JtUwRmJn82d&#10;9XXVUbpxmBG8uOW+/okTJwxxohvKmYgP7hanPnIm34riGZ8e6SIHgqF2PKy2MOm7whfbl/bSd7kJ&#10;cEQq1BxmIJ/Kjs5MxTgg6xmd6rMF8SOaE5kT2rxiTc6Oy1DT2g/1Q+ZVThi+oIQzEKIwtjcGEy6Z&#10;ae1WXtd5zjlEoeZcT477200n9+i1T6TkjoAabB4bDBCV41pZY7PSNyFhbwr5gaGt9jnR8ZiVSqXi&#10;d8LEJFoTina7oGlkMxpMT3DF77Fno6i8fy9ch3M3Tr1D7Rnh/VRONywcE3LXDG2/C6IoALM57tIf&#10;nwrpi98BQmRvUfNWuKIw85zzd39/bOfb09H9eiijukq+rRcBhZIBp86wzQ5WhYU+r3pQPuwZGcLJ&#10;Auc/fflS+72+vvJ8sxykgV1rnG7d/nx/S43LMwzrlcLhNnm+fWZma2jtpVTI9XXWB1rAH6kF17t8&#10;f27jVUyzDgiVOLKTLs7kxM+NXrLKfA8514EBnsKQ6JGinjvWYOV2y91eT0trb5TOZfVeNtYFjJzx&#10;nkrx8betsFT5l6XpgltV4eLTBNmRv4HjKLy7JvuH7OSWbN6vY368/1w6E8dRdH+4HqrUAWshcSPw&#10;r8YV82aMxT4vGFSYe8h3VI3Bh0v1+UDZhbRV8MttPOQIIVdCiW7VDCwN0kXN1Q782zfeKuO03qHN&#10;qbgFmyz3Hl0U6hoJ2rL7VpEsW7ea6I4t5qxYg6WKFdDBqE2jpZMlsu9Uv+20m3QLBpqffZIT2ke1&#10;Uj8A8/e093751dtcWz13vazLFgfRGWMQhkwx/0rq2nRO27WyL2IY9XN3Wux7D4fkFFi9FVwTa8e1&#10;Dj3zuq4y8eSwXcymSh3cNnDx7M/G1WvXSmxZdaTyudQc5319C4ukaxqvXlGTBb8ZKWfSxpsuA66D&#10;/FMDH+uGhHAYwvPP78m0uVNHqdVQ0Hd4GzthLdpiwWLIia7twG/xEEJxv58IVgwhXlkV4/R2WH4u&#10;7/aOQ21ZK86QlOL1A9Ohx55gXWi4Qf7IPLs9NQSOqf1FTXuiM7DAgqk5+vDMaljE37m8f43VshUP&#10;wcYe5cAfnHqESzDYXrWbepUZi2IrFV1cfDcGHesdOxaj96Q+BhuiHL9RFQfgzJ/BiHzvXMbwyp0W&#10;7wPR4VD+KppXiq+hsXF6nxUNmZETg2GmJT+SjveDoDFmCXu46xSWxe1ObPvYaseh1hm2SgadGIT+&#10;2NvkKDbD7RI5Pgn5+e6rKq2OIbsV+Pmd9EA02mWbYlHjwA/F7MMpnciflVtwjK0YopjAB/2AFLtt&#10;ONP3ZY4ZuxkNMwJQ7QNFGi2/WYduuM7GUk6Z89l8fLvjVor2NmAmE6OB314/cCkvD2/fGGAqtfE+&#10;jNUMGOhcjlSziS1I9gUj5x0JygqRaDKJAO38NFArq8Ts9ys+/AhAf6PRQnQJjj8pljcpglQr8UUS&#10;jWwObW+HqJhD7TrUV4PBwbtzfzT647gkFjyB0rh3koO+K9bEaFivXkGFWU1HlvCbH5d8/HhWMG1u&#10;fubNnsou41HjByRTTfRPMWROmBnrxu3l4WHoens62aD3YWhoAndfw0mEjFqoMCM6Wloimy7nk1wF&#10;/Squj0/TXMOS6mZGxoQrEs+pZ4wJpxQecn54ZRWJQFK/p/RE4P94Ab5/Hz1oJaUCEfVGfLyppEr+&#10;ejZBDO/mRBdK9M/6LsFrMmBIePbhk5GZqYJ6165aoXhsixNlldnJb+HiO2Q8JF9EGs+4SbtiwOha&#10;G92gei6jFWtc9rW3tLgersx+qtKEbuqnd6pT4zN/Og/BFTD0DYbkWJHU06IMgrBrXqEKehwDY7H+&#10;DbooMml4bRkcaO53bSV0vl044M/KrfAq5zdjApxUVoccwVfr+iOphUuIrS5LgUmCeBbXWIXTaCQD&#10;yK6Vu03mhF7Zngsz6+AxajWUg9u1OmxFVq6Zdbitwf2N+WuEzNJr1OlqehLgj18irj+pTaymWil3&#10;m3bduj93+/cFTd1MTOy/Jhr29fL3Hcy4UZV/Nwo3lZSwoOD0fbvuRN53nazrmZ/EGFTzadrGDtQ/&#10;c9nX1xuuMoGWpq7Y0P46JkFBS1MSUfbt2aN1GDaQsEOOQM6ipwau/Ij50xlzmyQnzIlY9TOJadu2&#10;Jv/iH3+5Tj2xUduebPDULyXxKUY98G7PBazbgE2ObsIyVvF3l9570UWhZ9zmxPaAYeCB3ZvlapHC&#10;BH40fmtrs+m3JcdrP1fMLwdFs2mndxz6vYSn3eq5WqeK4fDT/1OfeOzYMRzQeP/Dz2lXL9kXpUr7&#10;78IdWiH4Z++Ho9evX+ef0H+KivqBqqLit8sHTILjMVFb01bn3I0nvHv2KETspN6SeUjz7IizZCVM&#10;zT31jobuVPJaWltDFPtWt8ltdSrnD9f5frr8mGURG61CS21In5o29rIB9jKZEHRQTCzAEhOPA8DJ&#10;b9huiClXjhhuP8Wdwkb/jXcXptfFH+JT7g993BJIthxOjip8Z97Avy1TipceijbP3MyMcmmGsY62&#10;fKZwcrKPmb5nPwvVyjuuCs8U3SuwnJpxNFNvY3PzMaH4RDDZd0rTMDzNCudkPeyAwB9yqMMcyfcl&#10;TmS6QxeFIOAdHFp2FAvsoKa6+t4BAvV2BJRFOlU/eZu25rrsz5CzjDCYrKslUOU4TRFu1wCwx6FN&#10;1fDH+897rJIwz8DzrLIyn/Z3z4EOfXK69V26KJvRfFvNjlffZwEOfBBDtMs6kzKhsiZT/1Bt0i9w&#10;yxarMeg9tcIXEgpbnEDdyxSv66Z9JbD1qlCHOZ7RIGHzZ46zEPilg6uOnI91qRXjy5QGFVYXUnJh&#10;HaZAut7tGkFP0Kpd3jzPzgeY6m/AjsGi3niruNj9XtbwWgw6ZkGk233uXFN6Y+NZu+0SXBOH3KQj&#10;iJx0GeftlEDBESl1d4M6FGrovvFmnKZ7pTLEVVe/2a2/MTbbCun5JU8D7l/55bGInTh2LCrScoBV&#10;zOrQ3X1OZBa5GfrQp/py2Ff4dmggfZLFBCbGtbk67VROobePz+HXwOyo6yrrHD31qVbWMCYA2/UX&#10;IxeTLHzXeAqDgRYzlPO3BkPHEmOInI2trmcUrOZlRe5vu/lmx8K5n93dGUrbAzZddtZzWM79crfJ&#10;rCFRhP01a6eOM4Q/TMfW5kMt0E7DoBDp5UWBg4McHOpwyBHNeaElr1J8rSIJMb6nqFlY+M85hma8&#10;/QOAsigrz+HH+m1R/uSs4Tgq1PQnMq6ZW6qBO2b4Vk5PK9iMv2ooBoI+PhBdt+I6S+yxbZBOpi6m&#10;nb2BcrkqbjiLxFQCgeD1Wn1n9EMgpyIOl9ta31DGRp4HxAx3H76oYmWlT1VV2kIIElY4BuCstlIN&#10;sGIMnyZkV82JiQkNEK9bbHRDMZE8VPWJ4I+oQzkBcF6ZwRRlonPunHvS8EmLr15G8IJtevLKolrj&#10;yuDAQPuBP1MBiZge6KjHn9kH47u8zQBe27iWltYYIt3sem4Fzv/ANIcVjVYMLy9DSdIVESGhbyfU&#10;1NI+kVqnTDUnJabgTFzGHavIPvQb05WptFLJ47AlvpCK5Fmch5fSVd9lk926F3Y81kOOmL04UHnp&#10;zQxombz3bydXcZ+Hc38QIddG3FqtdqmnNSs7e3VtXsDGQAL3DR95stJR1zrbnt6NgW1lSmgvjAU4&#10;kaxFc99rcrJpg+OzR48060jFA2iqzAuXE0bN7bf6kuMAt2yiAQZAk5PHefzGxI6T0/G4xcWb3/FW&#10;HQYlvQ/z65y/P+plECkoKKgBK3MXEdE9P9IYLpt9PlICCmofW7PtAmKjo//ATj21ZTJDSY1BCMfE&#10;aMCDIU7ugwPF3d6kcEwIu4OSuQ2i/HPshT1Fs350cj09PbbQUp/dNi5e5Rd1G1jsOZzfmh6w01K2&#10;bXu63sgSctwAsflgtIOe94JuIOdntLake6LGO3X6dOBd3NZWu2HWY6gxMUygkn7VkQycui1xPxyH&#10;VcpqaQVr4ptoQiq61xmX9Y4dhgWzl9dvF1RzfcAL9stS0hFV6wCGtzpKsTybWjEYi9nNO++W7IIC&#10;NMyVFIH3qw4f5xF4pbrhA9I4u5/xjjE3bsfPmNsKR+x1cyuH2h/R0DjYUlZ2mfEI3aPXxPZ5BOcJ&#10;NWHHP+dN0kdJ8vDuXaVAnCHZDMqid7152SMop1vR1zqGg423YRb8ORQKjIx7c7Ozw8UEBU/gCKDf&#10;eaFTEhISHZpnzvCPT0yE10ON7IyZYKF4xbxSo1qJ64PVOeasrq4nM1i5CRx1KYHYiaP76lKvWUBt&#10;eB5+yLbIGDXB8gE+8Sl2JI4rqKik3LsjA5toKTUHZ6UXioTX9Fu2nOqX4CKNH/g3cA1fWMUxJLKJ&#10;6dmmJeB/h1zAgYgJNnk1hut2Kqi84x4zCMLHtA/uWZPtC8VRkV22HvYYY5EFu5jtT1Iek3Nj1c9K&#10;YFKJKX4BW//gYH4UYou1TwbIvbCrwMgjxC7fBptEQ1GzEFxI+7poaWkf5jr0T64vG0JJSYMJxzLj&#10;BBqjSJf+0Xjp8mXz2enpLweQvejriTO8AvafOdymC5ArLnUCBwdctFnB4k3XjCyRgGbxdpD7Qbbz&#10;rfiQUVA22PQT4ZcuXBjVOpsLVJy6EQdkOizOXxOTly/mNBqELTn3+NGj45KoQWm5IlyzZN4Dr+Qt&#10;gi6UwsTsQ99wEuy5s7lAAxZ3/fzSc6+NxdgRNuFnI5rRWtpzHMwf4cQd8fupp8gxEqMwXM3gnLxL&#10;XY188EJ7Qia9BaVuk6a2dtXWeisQWXPkOdsOkgT2C9MGBkGOz4G5Y6A2P/6Q8y4KGVuBUGdn52eA&#10;FcdbyGaBTUuhqBn5eYcSXjG45X79sHAQGDPAu/zT2M7kgGjJZ3Zo3LwUeiHsRuW+xcWF3CM2Nq93&#10;J3wr33j8x48fUk9nj1in1ovdi4/XeAj9rZZ1zNk8IZ6mGEeKW+L5F8TGxvafcJFQ0ozqZRXuydAI&#10;+/04BnF7oyVPQ67LSZyfmHCIlwGuNy6SxVAPbTAK1b2/GywBRtUY2gzgaOPqdZfXW359xIljdSPw&#10;vXiCf4q6ryaW3ttmFwx4YhXLKl5njAH9R07FDPzHCBw96i0V9rWH5qDF65QG/0PNkZiHPZmSej+W&#10;/1vyaUgdrqe2O7610Xi4XB5yHF1G7JXisMIs0XAcJVoRN30u3pJrV6NQsl1knCEmVtbMeCsqonEs&#10;DFWlTW8dqk28Kh3DDlvYftvobuZsoqPmNNjMUCcs8RQjtvB5vooof5phAnJIGnyC8ASPTDjtjZ19&#10;klUwc7CbX7nyS3DECDoPzl02LMwmHswzZ97lvTMmIYQEHIhhToIiOLowXcUBJ7JFo2N6RNu9DHNx&#10;raASOwtgQvG5DeHW89MjIWFXW9rARhLqsveSiYnpDwMRc97xoTaJ/fv2KeFUksq8HpX1EVW9bguz&#10;dat69wrJUQPoWWEbF5MVI+M2fZ6Y+B7N3sfAxupvdXXK+NJfNxgr4smmZpd2e11fU6NE7ygF9rsX&#10;B+yy4a2cT05NjdiblAoQstvCjFoZVYo9+psMwAf0eU7//aDTmFhAnLJQ7tzDcWL1yI/iteZG3+kb&#10;Ld55cSoyLiyh6abN/Ip20qwL7K/DJOaRC0mOiXnMfY+NzMjaCmN5O1ijSeQaC+98F10cU0XO7cEh&#10;XbwLSJWVOL5wpqiRDGpramzMw3xjZxzN4g+ixahrx5EFYudDdfebeds29+I0FDen/+BYDFf+kIq7&#10;9++/2yoqIoDTTIpxwuVNFJofUMQt0jlOPYlnkytsV9LjD5mCy6U9H2hDcNYRP4ODZB4mfOU6eFAj&#10;F50x7GjrriHVHk3ubkwHimlAQ+oUMFMHXFKu68L2TqFD9B0M0ey0GzYEYZKGy3rzEFRz1iYmE/GE&#10;4SE7s7Ng2HwLA8MvDBBime6uYHrTrO4HScaf3DU6A4/JkHL26yUa78PW6uoPjbBqO3QRmKlRxmhH&#10;RDAobEZbEOaRPvJDMDDqeFK2kuJF/cD+4/dHoQdMyrNJ+V3ndMp8rws/bBnovuM/79KdvgewJl5K&#10;7jaJZ+XNQ4bZV7s34vza1sQvaDZoQ3lGqgyDJ11/2Hzhrus4TqsTR5qvWVF2wVxxlsvzsl4YOPb/&#10;4QnvGJN4tpv6zVYz+aDn/fQoigkVgSt/G3HIQBV9sZPGAFmvXwuuBWDVcOT1k0OepNrPqFRdm2vs&#10;IBVCWJqk2NgQP3MxHPx8F/wNqZc2lG3M3GpmPHDl2+qloiFBoDH0Nv0quHfv1AySn/j63PuyO8/j&#10;hOU1cLmFdLpFoLnhDFxoEZ8+fw4uLSl5+kPyHbi3IfQxiorWDdyYdWT+fVgQpffqQ3bnnSV3lOGY&#10;0igXmjrfo04hRXxxpCYI+sh25eThQ4e8J3Dq0Dn3srcxXtc9kgrt1q7HLntKzZHw7nkvdvLgcbpV&#10;hx36NA2f2X2PZzrkaP/+/SufvW0uDuhzv/xEcm3WHx40ntjL0apLocKV2s5xlERq9vtsR+jurVxj&#10;24fajX6zHMNQZyFh9eSpPcv5F4zJnCDWjyPTIIgkQIvBBGrCd59MAY5BmUfMm6VpEjiWFqVvM7J1&#10;xyFHDLZ4cpMuijA7Tz53verYVLSGFlaBs950Uehn6rvzphLVszZ+GGaZU/+HJmbp4+fZiMq100A4&#10;MgNTHpRB9eB46IevRbGhY6jrpMvWrFohsklIFP7sn96+LqY4wN6s7tkhnARca6Cp8Rgr3lO0NrNA&#10;ZDUtqTIR3zo8enc0oBVtfQIft7SYmLayqqoATv4S3hErYgrfyUm4ZB+SWq++Ti5DFA54TDXmwZlK&#10;tCAqGBQA3VL1szwOYGU+jsERUTk44f3ys/rEcYZmXH0hJoLrLBwPi1vpS9hJrsPDOJJW7DRW8XtL&#10;09CHD6NSSfG3zJ/yaQIRbruvm/nx4vE7KYkfkgOMdLTHZsYuKwHljWIVy7yfmedQfMgsbv87Hxbk&#10;hZbGKj7Q3jAO6yopKmrdZxb6yc41sRfbMv+G8RQsCjKH/vFDKeglacovaL4J0pCLSZmnz5NPEycU&#10;LNgOYOhjM9jKid/fdsvVVq2jXnWBq9R3nPGC++pSBPQWvt27NQwW7sLAJpDxzuOLvxYE7O0JZ544&#10;wEQvhE7+g+ZmSF7SS2yZOe/mbDXWez/gXOH78ePR3Vza9LoPIXTgMLqDZjF6DzgV77FJTK6/Vfwj&#10;H29s07MxIeV8ZsReGbCBADgtTyUfo99Ay1bSEMdr5qF1VmsG1Vcl4E+4nFKswe195zvHZiyA2c97&#10;0+2x2LvKsrezky4mLu6s98E9z/4TSHD87+l7QSc/dI0cQjXmkvLqleYnzoxVTmsU/jfvhCNRFQzP&#10;5mJbWREZBdrIr65G4unHRK6ZcBz9yRh0iQapANODX7Q2NsjLU8nDTZ9EXirS3jjGESgbVeniCN/z&#10;ZmYsqWTHjxUkW5ED1OsbyxoCkfsfbdiwoZDDOy7nRhOqKpch2iGFIOBZE5xaOEwW23oammDvjJe9&#10;legdZzS9cuXi3d2BpPXjgsWTp0/jSwAI+sL+9uH+6v8/7t7EH+v17Rq+DJWKUlQyk+ZEoWROhCJk&#10;jCRNCEmZM6VSCKURIZQxpFCRoSSVZCYklcqUJCTzuw577+f5ve+f8N6f537uvduV6/p+z/MY1lrH&#10;OqBWXTI41ZXNkWheMdSFSGwMvJOuHsIP2Olxw4HzQZLPo++tvSi2QJKUJXO3coq9W+K9sxZorrjd&#10;ztm381dAMHlyxrsRQEC3UA7OnBhdUHZ9FGjrqGRXIlblZD3R3q1GF5BHZHx19qA6LQEH+Ns17ytc&#10;SoxFz04DsyVZZEwjd5ZzESfnp4CD2PCUW49Pgr/Z4PgPUCoPueOm3LrTk7MRWgW0u49CsJYTrWVR&#10;gZmVYTwIzOaOg4gxMXlzeBvTGYK0PnjyB8UTD1qJjj7g7NnBwwfOm4eVDE586u72jKk4MgD54I8e&#10;ucQjxSogyzAZO9d+U9QUVPs/n2cAGaS9dbcDGtJ0kMCGvh2XhXdWg4Mqm76Qsk/2wrIeXP/PKfov&#10;6ULvxkVLFp+RkJoatJbOsmJbxLvTcHPqtZh4D5vgLStaftS7AKTXx9cBFmKxutvkOKGVJgbAH8x+&#10;xc6fl9NaOfimkrAb7Fj844OaODOSfKiNQI88b/55Cr8gcSutKScQpzDNsusLjqmiYkGdyLaADzcG&#10;52pfjZ+6Xp9ZY+xoG3RFdesjPWKSpfjz0fM5X7pyZa3L8eNsXBrFv+iWE0Ti8FkTGDJyhNKuVA1n&#10;5+wQ9G7fIBA4tjFi3xioYouydKv9v/cUZ09LcTzvN9kXonUSfudJtRtuu+Pzs7OXOGVe+A6FmKC8&#10;q33GKsuV2egFBPgMTKQwilsr6wo3CB5UftPgEAA6EFNLT3PGH416aWFZfBx6l8u4kphePHW84aBZ&#10;Jl7otSz8Au57y3GhZVeGWaI9Ud1/dxkSMJHaTwRMW1ubxc2ho7XQ07Gj/1xRzbGOKD49/kwBuEUA&#10;oKhN+GK39qMnMBghmbmJ8I6+fxlI0dHvRyVM73+6BB2l9kGvuMxmmcEzloYy7NquUja2aA1kjjjk&#10;SWwuCPFFOhR5bDKz7alH7WF8OrsXlzXaDE+4uhZa2dj8DZn0HaoLpsBqVbnNjQWrS1+Xdc3cjbKq&#10;Hsl9M3qMJ/i1TbJMLFcchjFNQ37Zw+gnI9B3Nz92fbxaFB36CYxZboD2ThnDKTLHfxBHAmXiALgT&#10;jYINFuFn9QltDgzU8sdq+jkgvqCpCr98WT/+9Olnbre4b2LGTv3gwfZMyKJ3ZuxJWL5mg0fB1+/f&#10;UyEy2ZQ+Xfp3H73ZMDWNn9jZWZsCP3kxcbn8a3+1iwzqxeqc+vq6RZLSh0xu3GxIq3KlKnN56mhB&#10;N1zMo+Li4w9cBvNmuk3+cj3LdGRF+WRocuBA/OX7PTJi6M4cIR7arDbBjzFQL5mjNQ/Byw/g6vrA&#10;ZfGnMt64VH3fqZHfh+ef5Xzw6JHv1rZcFIJ3AcwYyWgU+479qbj/+LFp1obC8bG+ojMoQIO7e2pj&#10;CO4wMipV7zTx7Uq8WaJy5eZNm1ugns1a2M8hJr2Dy85PX3zfDTlNJzBIdrCBjMdV2eIQ2s8dJ+dH&#10;s0hBNC0Sex4cqqQMft/03pRU1KciCWv/iiNTU4VU2S9fuZLv7a0tA9n+/qpaB8cXzGI+7SewcGGN&#10;I8bKGztbNpEZNdhS370Fni737g/M51SlDQJ81InC5dTDa9vA4lRaMC4Oirj3BE5XNV7hUtlJTCeV&#10;f9klTQXhO5QwpgSs6iJZa1v1UlhqB+PcgFC/NCMhYVl2LGF6fHx8dlizuWzlraZV2OY+SogGIRnH&#10;Exs3HsbM5nnIQULgTTA6W36KETclL77EevIZgddIU0speJVEPCgnZAZI9i1+uOj0Qsj/4WVWlIzd&#10;dV0UBQ0Qzf04F+G3q6UCzJkhFqe+m/6ViXVw270JmLcJ2eEaEKMt9TKzkvAo0arba4YfAqg6tBcJ&#10;14swnPtXgrXwSxEbS+c3wkB8GsgZGPHaRdDNO2tXVVX/FJyVDcCpwQGWYS3BpdIDl5EF3Lhcd7HE&#10;Vlrr4k+GoQZ/R6jNj6czEnvqzyUktNcCOB1fzsn2/vkog+F308b+xWXkIKOWehEI0gfq8xt/jXht&#10;QtYmfgUg2eA+2nf/DQh2ocNFITTd54oEd7WWjWNKYuzb1687qn1Nbr1YdC0wL+D0sW3vUeStHDx5&#10;1Np6mFdEjRqBeq9CDjTSJ598SO1+VC0jJGuSsTwFhbfz1vrfxRGJegqn/tybH1y68FNDBqxZ7ihv&#10;5fxKwLNe3VT04LqLij+vbfdsTC6MjBv9QfQCW1norn4gls2lX/sMCiRNrsqzg+/lDeOMJ6/NGWWh&#10;Xdl7E3s2LIruns4gKHLzP+N2eYCHGJLFlu5ypx+wmVIQghhhmtkpCxzzoc/cxlHQdrTF6rZbPHwQ&#10;t/BZF6A6ywCwjjNxJUJB6YOqS2K8eWRNjhdH4EerX4ODCv6cPnPrKQW93JMpUr2UgROZw1U2MIP5&#10;9FmTK7fU8LaO+uxH87YcRe0o74SvnHoXcqZBmhDAjLjU1EiNqV8H4gkLP8t5NyMjxqLNCQ1XH/G0&#10;qDPR5uxw8r4QvHb/X0g31nvTOoNRYcMx9gA4jvHvNjKqSPPhs+Bs2c0cQF+uOmwLiPNrWnNmtEaX&#10;vHghxlQWisQE3Ku9AnGtq+HOYyaW0NQkz2lGJatEa8EIIBQ+rMXmJ9WITr+g7ar9mtgdX35I0hwg&#10;iDxpS1CJFR2qqeF+dG5N7dCqoKb52/MyXhJgC0gXLbk2UDNnaGbDnLqNOj1voZ9VfpYFk8kGSnAC&#10;CPgWTs6P48zjQvm3/Db27qln56GytPybMbaJtBX3DwCeaG2y30RbhZage1DynbRfCkYq2A7DV9+L&#10;gctjimbLynscApKcrKdbVa/tcwTy6fO4sGHIh/AfPmDrQLDuxvvEAK+Lifwqhln0xcjnhI+t6m6c&#10;v+gsp5H3LpYJFt1t25blj4bdQAnOJzxTwDTVDlA6zL3IPbmw0UUbd3WF6gVMSH9YPjpXba/JBuH9&#10;Np6YYPhaOJ2lzP5RaeA2VJ/7LYv5IZkpWCitHJ2Kn8ODUhdNmqsJqXmSTrEZyBPNgVUWB1cY2PTs&#10;9maiKwh1hjy3iNrncZ6EXsKIC30mjq67J9BaYwgAnC3p7mr6PejaIhARN7zzzD7OrAgCuLQAusbL&#10;KKogu/2YCvoIMEkCR6iARdgV7GtfPNwPrvyeLhRZxgZP93UbDBkncyChsPNwqnJbmCz74YlRzCDn&#10;6GBZvJvRm9RLf36/IVroJJgGdIM7UNjjohwrOAoa4EKt6jVj775ZUlIPHxOksWjoJAe0xXViK2ez&#10;sR3f1unbW9X5bhEJFgY3YBTtieP+/b8Kvrv+ghrrFnrBXXMfRWIvi/mdvDzPUOTHAxZlVSmsiC97&#10;dX09Ph3bKbWIlV1nWp/k4TESjhpCwArlQ2Oj2xr0g9DupSb+SonzYxqetUw8j4tb4GJ7M8AZd6VQ&#10;AYH3Y8A2X2Sl9QU540lGd2NVX1/ow4+wHW7YmIVUXesJ6gR1mAl//svEO5+Cjtliu+k3J1lXrCrO&#10;51Stow/o9OM6FqqCHIDF6OQNWUGh2gx32XQ9u7k8RAozrAvQ7o9lma7bOtS30eqFc+cHLH703rPu&#10;+u0jK5+N1t0cISOxBVMF784eu6RfMNSNAO4pPWQHKVL7Y8Rd/YNzk7cK69Wmau16gKbTG8733wb5&#10;PgDJSgYIuXTirh7SKTH9tFJbn27a4DWroFHLDrFbKQ/r1XXDc0AGpkrsv4mXqUW6GxgNuSEaoDdU&#10;tmu4ZxDi8QFUFtJzDYct1D4a6Fd+n92SC/Uor1tLfs4MdgLjh9rCPnuADF1OdNea0K6coZRCP5FN&#10;mxqeol63lTXZhK4BCFinmLi4xQbAYi2ymYGoa820du40AdOLCj8RLEA6L/BymQ+N+72VGT1zeCjf&#10;ZjXZKx2z2y2nfoiwSVlXbLP4g3rc8mRVrCRck27cgBKuSHb37k7j5MdDsoDOeC9wxsNnIrT9vSJM&#10;1BgI44h3ukGjWRC+EKmWTcDT8dq8ztwP0Lw3rX3bD4ZwcfDy4j191N1E1D3R437o14n2gQuvD7q/&#10;TYAvo4W2PdJrGo6V+U8LoN6JtLA3FjgIFjxsWakmw3218PHKoP2srMwbEHfvIAyLQCzsq6Vf5M+C&#10;CHerW92TPjrbBC+/Wt/2Ku+HWH3nkbZB3KhLKA+284+NLIv329uPu7y4sGCqSt0IFZQVFWh4+M73&#10;a+qeOzg0NzMHTM10uIxVbo4R2pl3DRQjTyRbWDBtIzUdTLulVd3TvcqhuSBYHrNa1p/ueErmYF30&#10;ZVrneYNu34YI9d1t9cX4i7rT9Zx2K97E6AbIHFKhNOASiCUanC1dsA40WnIt/rvSrAeoSZ0BWBhn&#10;pi1wLcC04bgkQP5S24I3hlTDUi0L8NBDtgdjVD02KJxdqI29n67Hx/vBOPZmw5Oq5zkjgLpPA0zc&#10;SqjmJ9bd2hI+VUMbQCtlIRmI6xcIdV79ntg8ARckUKo5Rij7ovKIMMHQAOOsT85mZA4jt5Mn5XWF&#10;uPj5PwiJnEVpOqatpZVig2uWj2muIndYKM7H2hdrWoJ0PBEbZZ3aJQwMallxluPzQrV27dqkqa0t&#10;ve/+/mdWo5sw9hlG3I8R3OuDW5gvbae/ikJxT54lkuXTggKT7s7OO2EY7Q2Cab2e+Jy7d+6k3vxb&#10;a8aGwjMzPT16qYCAgxt6kizsvUt53oxa0akdPzmP2Fj+UAFVNoAxO+a2BFw+Ak/nj4CHH5JAie3W&#10;pkLAVW2Axlam+U5NuN2/ft14cUYrDDnOf3k/Mjamu0tTUxJbtH5aWtp9ySt2SHpsUx1/xnmt4a2G&#10;O9rmce+iNvfZwP5/K8wLHPnzu9G7ynhxqwLAJElIHlYOKsp2YHMcdFPfuwAUpGOH859iW1s5sCa1&#10;GLPvRgbgW2Gfv695vby8+QAq45JzDgVBVZmbkhEwFj0X1M3EejTpNnIyR1U0LvLD03luPQZd1W8Z&#10;J4dY4U/vYxPBNHPnmztGq0I5Wh9cE9My3r//dtr9dBMPBcFGqvog0GBhZv5wzmGbWStNpZYtFjdz&#10;1jS1TFv2Ywy1xo7uF4FcguA9uY8KQGoDVD1Nl4D9vdBWzluB7YXCzLx8ThhfiRIdLPrswLVC+3Ey&#10;cOyBoR6TZXJhD8HNPwMsbmkTRXAeVCvQHwhwPnec0FgLguwcfjhF2d7v3xfrNc4rwaBEUtzU0XWd&#10;AgHoGjxFFzie2gcvMAlEa2DAytjEVIdy65hwkEt3i1VVff0EwJC/6XlAgucg1M1Ni024+0OSwO8T&#10;srfWnOU8F/Vg66N90SiYl66wa3Q7/DBXIACA+rxtbEV3V0d76nvvyJOkVfCx2j+Q9utVV5S2PU/+&#10;Pm8bYJ5lC57HepZnL1rTOvsIgZRq/X+PBmWEbYEJiii//Kj3xRaR76glBNHpkp4n4t4jIucfh13W&#10;0nkH77bF1bFQtR1POlhrUmn7+YekoZGRU4TzmgPxU67aKUTv8+cDPHDcxuaoslJd34bkbdW+Qxtk&#10;VioGqxKMhrTzEf2ruiktP+ZH87i6ZOk9NDxqadtj/d7lXwSKvxpBgP5DHx6arOqFNYgZmZDtHnnY&#10;5EUVYN7cbdgQ9hsNkYYiVcaqFzz//orjupLTNT//wgW2sVHmAGL8bRFzADJXMW2zsUlmOaDHHZRA&#10;mXxa0QLEKxRKzAAK1qsaUiT2H8cmrE4s8LK0oFCAYn5GfWU1ykgQCKFQ8+AN6xysUTVCV4rc83j1&#10;DMRouXPPQTMovgtbuyJlSUjWwVTqqa3yE1BvQNW66GeduZz6HRRjn2V9+RJduYfSpBb+HCDRMomX&#10;/aNEfxPOAeXHRkyonZed8ZAqNRDHh8/M5BhdUrYeuerWa0/tocmJU3ZQhWj30lM7J8wWblvslzY+&#10;7rVoRZ88Sk9Y7HOWZWw4aZ1qKb1g035hrfD9v33c6XmoXohEgt3ALy+X/Ex8E7Qm8QYJup8g1wiO&#10;sVVZYkmSKkkByapz7jkTsknnOzFpa7txzymgYCbOzs410LalZUyTvtIyMg+xwosZSOkZq0KvkQOp&#10;CDpb2z7WgdyxK0dJOmhUh813+5KVXmXk1dTWuvA+NLZLtfqFIgEwFMLs827X3RAVSgNibxvNiEen&#10;9gdjulM0px1M7cSzLb4VflBjPHsBCP8LFOTXZTs8SDR87Vp92c2bPHP58wl/x7MZvZAvaHAOshU2&#10;81t7pPZjyjKjOKXj9qo5MIe0u5OR8VMXwYEb42iXUXfNyxBQ37B2L6Smn1Q/5PEGxV+Cr/EJHZ2K&#10;e919VlbZGK114OXlbXocK4I2zhOXsjAAfzvOa89VINdyP60nEB4kJLNgoFgoArxsPSTTVNkDYp7a&#10;HMqhFa72j6K2HUQFZrPqNWBrC6y0FSPmEvW9x5lnfhiezoWg8lOnYfA8QNwLPTg4QuxRpWOQ+J6F&#10;HNhFOZk3j+EamoVwojuFsbZGqGRwzZQQBXfc8a2DR0xaGtpMyqDjmDrOBOD96+5o/TooAhgffGqz&#10;SeuAZWI7O087QrgOhCeXbSJTQFRAkgLXroiN326h6opY5SNW68DTFdPrPFYZqdhPoab483F3HM/o&#10;l87pDdySb+l7BwRsL2AZvfn0Omk6Wgj0F1FDZl3+JbfnnvjyQFt94dq1hV8e795r8dzVO3Wp5EVC&#10;2RN9V65w1R59YcD9UGBm0KjMgPpeV1wSnT1PJdb0j3hROz47wwJVwSDRPF+away9IUIm4jEzTXtz&#10;rCiZBWvXwYg7SsAQcjKVZm039R7/W5066hn/0Yp4sTG6Anvzscdq3lV0URFIBwv0JypgUxhj+txI&#10;ru4d6q5H1C5nwmLHED+uCxTVTAheoleyMYuc1YOQvAiAeg5+9R1QmNeTf//+nUfIn2qLBhh5rN16&#10;evCBK7QfdVAXuOGrNxUVtmM49utZTlV4JoQd/UiaMAeCQtApr735V2+JmNYDInZaq6v7U7KynA4M&#10;DaGYlE0ezUIVFQEPqQ0IpmU6XSXQBtljh/05dXuDW5QVXCizo+0P73gbcXI3Uj1Gundy0aXavqR/&#10;80yrYGa75weyNJ2aN6hbWCjeCBQwUHYKtrfttrugJ/R88eUGNWhHzPe6sm7Ve1w6Fu4HDAPqpMIv&#10;zVS2wvO3XyoDZjR7I+6rt+ucxsvchQyjerwXmhADDDInOPVi0mqqgApOp174kSlt2BMmzBb0eiwO&#10;5WElDD2UPzWTYPJnXUptEnrwuXvNGQy1bQnMAXBVEQiKZyNJB66uI8wwMsBY/3QanQT3ogjLcwM+&#10;TEqlk+qunohm3DnRs5xrYEkfEhwsZf3787mqTCEmYiOb0bJfGA09BStpYUq4AKq6ZPqkwIjfhExn&#10;irhuqHwfcnApH21H+PfGurwj0gTdDTpQfXPkyBHLTsZMkbPkRbMrVknxJEFkZs9vFN6Bd8SFwEAM&#10;H2dftH3rAetBjsXYNGBpaansgkvdgpYxnoQgeCR5PchvElJdQcwMBkNaAJBnFoLv9fA/IFstpdfs&#10;B+NYrcIWB9b0KXZ7fHmBMl0DRdihquGHTfZAGWRQ9j3eu76SyHlAaLPAgpk99R7LxfT7fikOnrOn&#10;jyXIYoT+vIvAQ2jf0hEUHoKHMtLJ+YlhBmuw/ksI/PAcasHLEoRB6B+sg7m6nS0ODc86YrT3YKb6&#10;WaLZmNsKlEbYkqgb0jWvBNIPeaSrWTx8fCsFMTAyCeVWJu5x4QCVbNAGKR3OW4bvw5AWpy+EaysH&#10;feKa8D8zMMs3k32QD77M3QZUsdF9GA2loXstW9uuN4BlxZ86d9Wwkn5K/+4XPW71t8gNbOjtG4fP&#10;fHj1qrOFyIkYOZejrthM4XOwkWpgPMZRG+BixZEDArfwNWhRGnZaD168cKHzCfCfnIyMjNMcveGM&#10;otuPkpyYZwIShGnGJHplj/0HDw78xGTcO5KcXQWc+qOvTznitesWfHhhs85KD82dzH7ftyYwz8S0&#10;lBu+WRdVhAQp23a6I37/QHa3kPWdfNoCA+gVxPRtqh3/EoCy96UloZmF6KeHOEbI99MBF7XTSjHk&#10;GV6VDULQxYiIPXsrxkAHLnl+5OEM4PSCP0HUvyedBF6RxybXigZmjG1A+oXgHvkLPjlPlwK6uIIS&#10;qIkmJ1xw7vJRPosv+D40B59XcyYbD7x9qpO1Klm3Cm+KCjEq7oSw/gvRQTtxROEd4M/70MeCVFDr&#10;9z7+RTKVtrlXftbiJ3JTT0F6D7oXQVIij+SgNs5FnSwYxqkK+Y7y0Y+Z4O3qkJpugF98SH8fqQ6C&#10;1uxfA0EeTih9ZPhen1IbGsNksOcVMa0LByz0FwLDjQP/Fw9CzrhxAwxhTpAUD+5R+dKrV7++jxfe&#10;T9LL3p8/BYuzbRbja3BKkLIFtj7XOOE6OXAbqjEutJp/duCwF5GnNXqaYfWsl3hwm6dwPSugXHrJ&#10;Zl6cd6B0Th/KTB1FBLw2UmqF5K/QCr9HiIaRgUF5JSJDWo8sKhxSFRUceXfLoxlTwTN+yj3Hfr70&#10;QE5VisO7H+aTUbP2zvF+fi6ug3BnEzQxT9+KrU/fYeLYQeNRPnBsy4NtUzA9+6VYb6X85acgK532&#10;eZuixCWlpMaYz1UyqhRsDHcs5KKUiM7zKysz0xia3lwd78nOTpsWDEuM9+LlxKNDAbFzFeBub3u7&#10;VDm0eA1QjGJPLkXj9q4WdNGNb9/+KKdRAOQBZ8FjlxdBtogiR4FUGUWEagwJ7Hxkkp7Jmb8ahiI7&#10;gPdjpYr1IdAhJ1ywgK1DrPb65fA7uddTSWpDgy9H9++/ROZaHKBj58A24Mk2NTU1XYg3ozjX4Wtk&#10;a8PZ+4DVeSZG5KwDbVaP8TUvQL5qi/rwNzSd7tid237YIGYK+KAip2ry6PqtUI98JiTBSBnAv4t5&#10;ly9WQ7E6PdkLgVlPLmljnSoOfMtDPYjLmK5PiYvgC2BqK50Re91SY/NX4M+dupuSEgEXhIIDGHd8&#10;BKuX1F9Ch3sS8Mq7oEJz6PL7TLwDViK3TI97QATZhqHL/VAznAI3NBXbvAAf/vY3AGELwKx86ydt&#10;0HMfCUjLeF8UlnCCIv2IWaVY0owUIcacReFan6hQBG3nbEgQjfT1V992BNUUjFqyFjPRtdjhV8V8&#10;1udbf+2jaiE1mAqMypI0lE7m83u0e+I+ToRlUq0V3C0kz5YeqG+JvIJOC9CN0jCIW4tp1dWGsByZ&#10;BUuWWIdyquLzbER8nP+zOaenh0bFMP7bPIFf+UNN9+xnyADFfWeQoNfhBePqvRXrncvIdn3BK/kC&#10;khPiSyphHxKDrbiyKK1E2hGpnqxuFGbzT93zSBjMPA3ECKE7mIhDZ4hriw1GEYMO2rXG05wN9msG&#10;U3L/3tXlof1+rTDy2JNN1AADZDXblaTJ5FLS3v+YPslpTlXSpAsJCbVN97bEvSDB7t3ToqdET/gw&#10;S3Q44/aIcIOfFaLQzkOHDq1BBHWre/nyuwV64WW6t2Q/b9U3DO55f6Yq0/MsAqPgwsT7cjIyRr6Y&#10;wI7qnBKCztyRUAgEHb/RoDvmUjBQDEJSsbQ/dGiwAndg01bOOnzXRCLCbOgFq9VbUYi7pABK4IJ1&#10;lqkYtxKL39cF5sWX6ObgSXgAOO3ozL2LWYeVJDkj/dOF8vlav3AuC2Hq5UHs6JDzcWE0PGT4qQU3&#10;RDO4mP22Tdl6ZZWmrm6jBW6Dq7f3RN3yndd/SG3atIuWb9+5e/fwW6Qc77ifLAzGp2ENAMk179/L&#10;LnDlYaj8viC+XxaAnT9auBQM7vQlOfIp+4wfBjbv3+bivhSvESP53+fzSH4KjIw027d3760n+L+C&#10;3kUoDutA7pug0PbG355kvaOm8XsxvXOIRL1TcePakD2e1MDKWB/Pdxjr0nwIqJDlimECH3R9vvOO&#10;6bSUJwb7rcz3gFoDAkKBZ+nLuv64mQTzvQpSTtc+KodeCQVHOWprxXLjjL1PaiHEz9swKb2S9H7w&#10;8PX5Q9lB4yKPk7ywcDF0b0/uf3ci7G8Y50UEWMzwaZp3iIyI8LbK+45rKE94luhZPS+vp6tV2ZaL&#10;id00lmBodDa+9Sd0hNCp0VyaeU3s2XSdBKC4Jn8QBRpWUXrHN43Fu+jax8V1JZNNxJBkdr0tmxMo&#10;iV66GoYX7PcXq3QvYJ/WpB7kzQtcMxZiIY4u0i9wwr1WoVjuGw1H7cxutI75370BLX30gc6B7C8+&#10;Tg12GZQ1B5zIEQNK9wa0JB02bJiTI++pAZJq1RuZVqCi9fWdek3KOXg0uayVls6e//NOF+bgwlD1&#10;QMwzZT6gNH9+GJdLk0tXzTfxd3I6s5FEcP7ZcQMfNaIlFMBgx2+isoBtj2gcVZpExbr0stjro9qS&#10;M/AVshUQjdoRt4dJIdsVrMlgXBC6XGkFocwtyhhdgCTcHa6EACueAwvjB++odEMlqwHHuO+Ryd4L&#10;l4PUy0M7uAX/14Ho1hv0QgPsYUk4MACQxBf79v5aUh6bln7G5NVxYso7bwQC5K1IrgZd6/WG9GGt&#10;qaHPTal3R5sruPo4aLp+cbrqJEKYvQP7tvMgTG2ZFm7SYUPme2wDxZA1dW92D+ErWqPKJkJyUv2x&#10;WfhO0kIkGFowmiM1j4mFoTnvMiv7YK4IxNyYG80hpaJdi8VtDB1dr0TZrYAO+amfbXEVFPFhz+1N&#10;asouHK3px3U+kpya+p0EA001NRu3m+bjfp2nbrkOn7yPX9nH6ye8P3Mx84n8tBFluy/hwHwrq5J3&#10;gUbZpDp1yicykihZap4IImqjwpKknf7Q1+PBuN2NkwF4Jc2pqglGSYMbsBk2RnCNnoydFGQwVDZe&#10;ENt/3MWFg6hgB0pmiJeTOKOdeyyXCEPkUYTi4ddL7RN7ESbXW4XyobudQDB3RcU3isZ0lO6WNcny&#10;K/KYrAik4eblbZ716Ho7HEGejpGYs9QiU47iagNOvaRV7duzmNfW6aPIS01sEhj9atzoy0VFU1+p&#10;rV68aQKts4mACOo2BsOMb7BDaQI7LvwOcWoV38awkZHU/II4ofMzZ858Hf/r7gqUe+qkyFRz8dmy&#10;5cnGvNDTs1FRhNnv8D2rjmmisK6fag5eo4Ovj9JlJ40vpgVoxr2pvNxu85XnrqNvdhvMksJPUhkI&#10;mPxwXmAm49I60Uwrhtl8IKWwRPJGg5AzjpdSQhdIQVExbFoFjjaxSErREXZGAU+feqVAI6nOlTeX&#10;DsVJYsue7F0/n5n+KlRrITTKQCpiQHv516m7SYNwa5PFq4/c+Yspfl0KRZ1UNYqcVYOZ99NXxf75&#10;cxdXozsbgvL5AQLVYSpTYJJqSYnUDWsIfUJSNFIAVYfOZGXHj03nAmzB/96KwXjNzMTip4NqTK61&#10;fg3ak4dg5DIJpcbevjZu9eEUmKFyJMMliWETTQNeqsUMRvgM5pkqNoW+Ux99cCuCcYMUH0IZ/ZPe&#10;YQ9FFfxKXDz/4xsQFDNNPMIJMltJdxGa/Qfh2VhJHXnaj8nmEtVwePinMJjloYB7gMW7/uC9cjWu&#10;tiamsshMf84lyfQZS6YrRCoawl1ZbXzGTd7+uMgpSk8OsyNPfWnecWhwsObFN5awsnZ0S2u27UDM&#10;U+lRQ9O9GacjGlJm/IDlvfMZ2dtlyW+drXfN6Wb4ba9DnlGlFIqyKNN648WMrOKqTTg+DSFot+ch&#10;aNFdSby1hJXh9+s4aSWW97Iy6mb88xCjumtjRPbj8xWHZ7Mw9IScrdn/OYUrBzuUkV0Yr5mYWKru&#10;xRUJ3w7AQ7jtouo7uY2eHwvzzNt7WFZrMfAmorpXa1FTZ7YWL7+Cl94Jw6ZVBV9AU5CNx++Izr+H&#10;ZrXzbxQ3NtHwCb4KHYogPoLwFuH9jEgZwCxzMLFXSv0u0jusGvTomFM98H//YkF/4VVaY/jviDx/&#10;cZPpvdO/0f+4/P/gn6vuXQ4PTyWE4hpOGN7g11X0zwA2rtKJM6MT14D1rV8xQ5sM4UfoHW+8EsYL&#10;XWpUIER5ivdNv+bXMIeVXeVhwKQ/TZFdy5agv+vva3TIGp2+WL+LPERvhWNixmWcbhFbuhmM/m3/&#10;+2IToHMI5vzniCwaHYidRMWnMq5SzJC261y7Y/C6NP5EVZ4fXVyF6XeuqUVv9n/eOccdMXy47GOd&#10;lb4yMjkKWmPMjPRF9GNDCA0C/rfln7/9Cl3Ow4e/qUL6fgUf9Z+v+Ye+pgoHXq9KjxjFxprLDJUH&#10;9PNP1dXXn6SmBGcRgEoCk0A4/kvx4N7bTQlxcZdZ6Ejgz0Actk1DY+W2Gp8LC2mSh1DF65cvx621&#10;tfS7XkEFDMwADaWHPHD4IxXpZmNPw8x/jh+nMsUoCrFiveeT/w52XblGzQGVcxSur2crq5QHQL4T&#10;LytBz3nW7nA8DTOJopM7FuLuAt8s1UUB9Qv9mzGNUYX/mc04Stdl+gNeQdnyBr08FOgStr7TT14P&#10;PJs5EvVU/mJF1BDeLhipa6VKYNt9hrT17c6lNn+qLLk9PDyO0l1AZyxUNHC1AzVWPkHVLmD+piA9&#10;bL2UrYwLTG9DcDSY2SwNLyR7vU+jX9yDB7s9IcmYpEEtkk2uws+9LSK8fLbNn+Jsa4oUsyeeTOXX&#10;S0L7Z0XSVPmPMJ67mZp6tPDOBJNfgJ8APvs2yz1voBm5+u9puq087Jvk9xnVLg1N/EHCvl4JX6a+&#10;nc1CDE4AEH5HwuLirBaqsnljEkStppC+6Jczkx/w/SbcZufXiBFvRHIpXQLDKFOJIbKxzcWpqRDE&#10;k2ZG0XGR8D46ODixYfjnYCSmuxQ7NJtvJO7HWlJ5lHXaZwCgoeRdpEU/eTFijxkrgU14DvT9sUQC&#10;/O26A8t7NQw4IV8D0btt7hKok94TToqvx+BHADJjdS5W0ef+9ypUbwsXo5Jo3I2Nh6ZDknSivtth&#10;9soFa1DS6GN+Yl6tpRJcjOoFEmfN1YqKFo/g6KlMsZngIsL5qN+HQuigWO/Og3tQ3sWANXNFS1qA&#10;7m8n/cZPzPLsKsF+hc9ZbadjKMvoQOHdPkkFuFC8QsF0RAK9ly6eyzL6gZJMOD7qKr5WcEsz3dG8&#10;BD9GZXB8HtM2qN+7Ly6VegdT2v4BdLWbNPEU9s/BUxSnJ8hOF+ufcCzwAoggEdCPvi5lx7ohORIz&#10;TyDdXbx6+XIKnZ1ibry2xUxbObkp7jNsFLMH52mR+mse5CVtMNZLJPTRIehkIuYkKeE9lSyD3cRQ&#10;X5vyY5RMfVEHHLQwVnLwCTYqZ2JL2Q0u5Yz/tADeamxxwAQKThw/7r4+Y4iUnDQMCTTE3DSK/lo0&#10;yn1S+qPL19PbYKcXOE3G2irjqzKqsV1qARCkDbCQLg//c242RvUjyW4FfBpfAWFqOi4fie9hx1jc&#10;uYNSOMensN+lWeSdUKPOayBqF6kauEVoYcUYPz9/DJYlH2lBPTa1nM1/4V0hQp4KCBaV3TTd8+Sz&#10;suuVMLJ54Ih+EJaMNPdntBxNOL6NXGfl6PX3IoHxq56jXjcF6RcEd3luBC+71JM064uq8YkbYS7b&#10;IN5pRFnb00xjiFhA6GaKux0L6MtW5ppEfED8qgMwLD4PdIHTFz1eCnWs0FZ9QOOjtwXhq51O6hUc&#10;JThveRYBj8usrakZVOsiLVEu1AJxkpWK6UTzLrir+4UV56OUgX4cgWiW+JNPI6TNgPuJnCuAnp6u&#10;wYhEf2E2EpaAqTesuwQ2bSP29DwU37Kl6RPVpYTDoOKZsN8ZYT1IDRRk/m9jaUiVMB1CwBE8XtKo&#10;cgoKqPVQBv/CDJsOOQK1U5yLX7+mEgh1FUbdF39/kjQkX5+OYJ3Ng7eJkySQXecnglviBr5Q49Rg&#10;Z/8J6uVxsFXZEHWvYUXNryoggQXoRcasiTC/470wAFXUPTuM+lcSotgg44ttYqlHafwFahKP5spK&#10;RxQIO+T1R/CIEPjjLi9LHdjsNn16qFAmeHY6BIx/pINPUn7I4v+cv+O9YDFwX8D4sZRoFdFeGwKt&#10;u5StWx8Bt+IFEFdJELCJe7vtLF4njNa6OlAPmt9MGyRtAtxKs3C+JfRHWJFpsjkxZFYMXG7u2wP4&#10;on8LAkNCckgAwuUiYmdwgl7rNPqL63GNaAKxXl0dNv/bZC4jhKYB7kWv9Wom62jVYCMNXFaiR9e4&#10;2d4C0Q5Gq7iVCYml5ib+12zU1jZbVeyMEK7bYsFAll+/Gno1PLzmJ3yYlapwxq3nLl4nu87Wt/s5&#10;dAacImexuOXD8t6dFsQClMPtMWAdWu5MKt3vu2Kx9YfXgHlIF9Fcp6TPrX4II6qqxVgXxApT3ptf&#10;vx46g10FW/4JvtKK5CpA3Shoox3gGoUiYcKywja2+4yYVgOFH9CNuZmZfdKLg9V3NCflSWIGOBf9&#10;uzdNyd3xTpmb551HGZRfnhp+fJZJE+7eRoJDSUxLZG7U6AfxGTdx51bJuf74GxG/6gvpgKF0cl89&#10;nST9XupjpOMvsN4MVMv3wy5cuD8fUwLBnKrwbTlR6NJzXUqVLSIycgU2mig8gpDaytFxCvizaO6T&#10;Ojbs9HrejjPMQnrRsqoqSa2aSWlWcAk7m8+P4u9MCwQfGokrJZKRTjgPAa8Q88oc/nQdZwswWLrH&#10;+ekAvHV+DOZHu2ZN1xjl/viUwAtW0Afy7f9yboIwgQMHDsDG5ZDIWU6MeqjrT60c24oEJ4NGzeLA&#10;gS/cVIpgdBng0wF8QGpzFoCTloDXgGAKlKYSP8tIy/0DBw7rZp9NzYlynF+nS+JhuKkwc5kDLDsL&#10;68oIGqSANE/XYU2s8H4/lIVWNhj9hz1B10HsEpi6ttbk51VEdGSJEnz5A+8QXc9jPliWCkfhs3Du&#10;Fe1SOZ145L4fpyqhehCl3UV88l0qKPgxWExrF2rJ58RXKkAdJux9KzDwdSNJ1j+C2jngtLdrCRvr&#10;D5pyb4d9G55Vpf3sGc1oHYGX76jwuPGZngmJ3iPeR9686XW3kolpWy2q86ovnRit+kW5zQTYA5BV&#10;kx1IVqjjXCnJouzwfd/W5jtHlY1CzM3IyJdrcWkh+XtAC2yWLduWdOeOWlbhwFVwtefPnRuSQTtO&#10;E0aDoGKjIllekVzzN3QwV8jtZBA2Mb1fviwUe1Pm+qn4dBH1S58AD+6BoFLnqp3MIkwTjixD9NtP&#10;kxO4Jg7caLmscQlqlMed4nqpsMAYbeyma5aoDBolccD/wAwpgEZlb4dZPWzyJ2enLoRoL4P0ctwk&#10;GJ9kUFYadKBZUag2mIYmJqEY8O4gjjh+SpeTVebQq0uzqKrkkcc0OltdPLmXAvTvJk4RGG86je5C&#10;ewMDrPlaYzUfsFmSlU0kCBv3Eo7taF5Z1ZdJWpH0yTw8d6PwPylPVktKVs0QUcM+nrtnVr2bHr9B&#10;6GtLmxLoDsekaSFYYAUIBqF4gFK4dKpVo8EVedD7LFQmng7Dq/F0YQICvsyPpp/0FXJJ1wB4LgiO&#10;oa1iWuGcjW0XhdlOIIVFRTRDwDiFFTPO6qg4gu5Y+uZ04Uy54sOD6E6IeA8BBeA+w7uwfMtIHLRD&#10;S+0Lmyg89e4YBY8TuTi9Xg6ZirBOw8qHvd5D3UYmtwYI1D2OitONDONqHtHcHkzphowcepyhkWtF&#10;jZ5+NAYbGKbNNgKAqE8q/3knvybojl37o1OikodYxdg0DRcY+s85UHy2SaaEV8Wi8emRQ/VGSxad&#10;ZOxtlLFiPmnMvjboQDFDdKZYih/bKs0j+4/kFSpnt7l9HPGL2Hpbv2dLh1voW8PHFoqaygZGjw71&#10;HJe9lQoWaRR7wowtXjKstZ6Pfq/DL5iLae0G1B6jXeaPCHhuqAibxO9hGYU4au/8qIgI21TNaOgo&#10;hrDE0+6y5gumv7dM2lAdeCIBZ+y0TsRMoCgbMy5Y5kkUBsag2/qKO2aJduVKv3379mPA+fNTHwBB&#10;vUAdnVffMQSrxD8wufgzl9W/BkduclR8nTrzX4WdXAsWfFbEEXqITHxOu8wgereBQTpjUt7g9j3T&#10;dddfoBgNOZZUqFYpiaV4K8ZhxyEvIyMTDFZXDv5ApglYL6OHHuPVmzcbIRdmy/OZ8KSt27MgRg02&#10;lE44iMWNo5jJGa211sQg2mgSYOkyGGLsIbJJulUDIeETIPRt0DuG3IqOFrKAWwKjdbuHxxN4FVvX&#10;gaQyCQHr+QJYZ1StC0kNUcl+OkngBii4trUPdjItWlh7bOGZlLmwl5gP9emxDQKzOGKskpcqlPhZ&#10;MSuUCMcG3LRyH/geEhEV1SKQ/N1c3xbf6+bkI0BHcUA+WRgq4F1HEFnm3225syqIVPAe8JKJhfHu&#10;AhIoy3aNMvzcFfadG6wU09oB6cAVzfCrl8RW74Eb3Am8lowwO5LRLWSooI7na3o//MPuCE/irui8&#10;M8JsO0bNf0Re0hS7Y7ruSP3mhYFnDQ/ZI0LVd8tth/ZJztrRMdY0tn2yVlc5mpmBXDm8cc2aVA2H&#10;hzuAUHTDpTWYiYHiu1dCvVlXU/O4n4TUWozab2qsqlqFFVYel6KjW5/m/UZXOSpulu0uDyL+ZM3w&#10;EgZWErw/290NdruqPerSpU+3f/BId88SOJMiMT4x0QhVXWrmiO5dpWcBcUfuWxVLMm1i/53iWMK5&#10;YMEGAGxXX02+q93uN+mGSnefNq5ZY4ziqRXALGt+gktCIJi5BRu/JFCg2PR/Kd36e3SNuLgRLOXf&#10;s6G92gjOWhX4merfp2Jflb3hEcCNJUpP7/qSzqIAgSg488lLeIDL0ofAnVWTdKrsPsCDVZotYBrO&#10;szB2O6e8Q+VRaBbTlTYX5U3rXvMikIIfDkIiOGn30galTxSQ7Tc9Jz9A5nGFwTB6xJ68AkNtRQsY&#10;VQh4s8rX7uQLQGkXctzNLawaDwoTaDlPnmbBOHA9XoRYgeEplMd8R9MGRofsTjJUUOJJXRVgedq1&#10;tCfqKh05VNbjfR+etH8EV5WmXQbC7NxQQiqO+kHYy4mAV+NHzFW13LSspbl5BRoF3x3a2s7oHquI&#10;PD8Hw9M9kNU5duaxiRyAYVrH3LlzcyCOLDyAElMeoGfC1yFM7OzuH27z1V3Gxow+Uh6qHDFkXq8X&#10;KHkm31RWNqpbPmDq6u7+npaWtuTG1as2OPLF9c+efe6CdNQ3vTygE4TQT+g65nfiN8G2/p1hro83&#10;mwgrbBtyUcUuXZNpD+jmzeTE2EpYjt3NVBFeZfH4+OeA4uLiw0GDpNX1HfEq/NWzbNISo6AbcnOH&#10;z6mKQIJ71UdHiPn0bcNV3L+LEjn2YNTU3hCdSOjGqACyPPyKMkkRti7ZHSBa5hFZKpH5Dv94HrPe&#10;ZRPIWQfv+uqmXkFF1gsycRfkjT/lMMNZgIgeZokbUtPcjeawANNvPm5jfxxog429yaAZg1Epub9Q&#10;B5m7XpZ/1zWg12aJB7eyVUrWzYyh0xljdUnX+63kB8S5K4Mvj5w6NXYW8O92jG9ZP7txV8NLqegA&#10;Lp5BmvnLBQsXbuRiVCHoHZEwy7YROF+SAh7K4FpjH14qvO2RUxoPdTXC1XYI4+bu8wrtVWYwAEYP&#10;shXaxyRapuHJgpy7x8xwBvNyWrtVKvlz1FikpLS0lxA3d/bjlGMnrsPmvuP+tWtGbxqzs0CuKBfd&#10;6nj2d+gpbkdoyWdDCA19Dzp861wKj8bl4KE/B2UjgB+YYXnkB7Sj5RjHtk3SLKBzD2mL9er8PbH9&#10;z17s7w7CIxNvysnQPs2xrWI/hS17nq8DMgGfyz0722bDR3JkfA6MK1ZCQCR0SMgUgU/IpPaMNqYB&#10;FcPKuP70NPYtVNc/i1i2Tf1PIorbV4H4LCCkfhxyma+ICgq38+ab9v6zYlpBTAyQZb2JznuBhOIN&#10;VhZiTaGjesZmSDChKg5Ez7lvRd9Shh4t5XwH8ZhrvRNeldtpFb0ahNtXdHXnnFMVrI2VOvz3IzuL&#10;amysEXQfgnXG3zFIMY/hNzg4+Jtbxg0/FBBVLINB/qJFq3grEfaTcLtdPQTfhZ8dqniDhe0QdmSw&#10;eLNxoilfbNy+SlbWvYHC/bKzbHF6r3zhY38QNYFgcYe2DOtW2uySjjLRZyV0WWJNo6pxl/ra27ky&#10;UlL2ZDu2KRWBHKzADsN5v0903Lh2LQUm2Gd7eno66KcbpJbrqXGyRsICuw2Fui0myC+xMTgFBFp1&#10;PAM5VC/As9V7ABVQNGCoTanplaiDr83mWvFj88aNbz5ibdVe9bJkEfwFPLy832EW9FPLBeT+t3fg&#10;RF1peLKAsuGvPepvyzET4opncR4NTk7kG84XHcvUsWz+sX41uzG+ABGmZPJBy8ePqbfbtuYNzWX4&#10;odk1X2U2i4EwPOr6rasLnC43RO6tIV2mMOu578Nd4DXygK7EqITyZOVnWwhvME7+AaXw8N5Hx6KV&#10;UYalZnCAcXQBq+FQ8vy5FxR3Jxxb8+qvxa/a/XHyHCTp9jpaWllKyJqyFhat481vsA99OYoi173w&#10;STDzq1xRChMf8zxtpNxuiil114+cwBxwWnh4+A/oaOT1DQweJucqRfmDOhbQ5mQ90Pyhzkjzu0rh&#10;ywzLtt+/fj0Wv6xpClM7gW/XjDZFrwsujaczcE2rd2e42F1toakUkxs7TE11tiKaXIQIIqW4Y8N+&#10;AFYyobiaHiAW5bbH3lAJ9mFbCtosEI1LU+MmA054aEjgQNCM+RlYSy6ZzTgO/bagl5LlexT6YzL1&#10;8h6/v/5C6aP7Z3jYMqlzdSHcx96Uln7DBjZEu9egpDJSU822F2XGxenTlGgM1M0xJhYTuDuncG8P&#10;/wQtPtWNhUUy6qOHzEAH7UF3/hn6iwi4Yt0ucVZ4A86+7yDIn2eNCoMdX7/y7IhtfZaNTUpe0BE6&#10;407MTzw4wmtV4jdUEVTWbuTaVbN8Jt9MQIL3Xupjs1UVtH8/Dhdd7jjx5BoYrgF5+BDZYBxVV6a+&#10;sqJC5tfQEMdDtJPwe5PzHR3CtNQgdornm9cujMQAwRXYph8mVjYBHdd6E+mP9Gu4X32uYAVvXb9+&#10;ZAtcppcB8Zvaw7sb/mQpCQkG0J9wQnnVuDWPlhYXNzZufvv8+Zcc53tt/hiavJ8FEqoXiTXmjfO6&#10;NyjW1sCm2PAStgHrNW7CVPC9Hs9f5ts08apfQbPUhCbZ4mboN7uzHCwNm8VhQ5lML8a3wnc9RiBM&#10;TX+7YDy88EH5XneFGD0dnXRSMkR7e3uXHDXnPc0pOj4+/gf+vnZQ/bjXnpqj5DOefANViGntCbFA&#10;tec0Z/cMCeyYu/tjXZ3yW4dw5LcAgGOBrO7pr1/HhaCRmA8FlRIQppZ1Fu+qqn4pQukACWCYZqaU&#10;JfSCo3Rr4Og34uOQWvnSGIabXAVPn66fNWtWZUYfdwLHakx7c/tNxfzdu+RuYqJZda/0IkwYcPvu&#10;HI6Toxemk4Zv08ikNCVyUG4xvbE+I4DgoygaFAeXi69mePmwodn6Eq3s66MH9crCrzmUWNZu3Pig&#10;DSzwEs2Oh0XYtyXE8Iu8vtQBjQbphvLppxt/33ocqoC5oCirl4mJHbqO2aCNE6PAT7+HYahFeGIA&#10;dWszJkIPJ+FzVaIKn8soLpqabLFDAqv9/i46vxRBJDfee9NycdP7+6dPHyTWLzcKBMfHW8/sPsoD&#10;+NcIOgHrD1eP8BQu+Xym5X6hLclYgYq4k6phNswilIudFegttUVxqp4FeqI0qgJaBeaADzBSEgJk&#10;PdPokPJWAAotFFRJLHMOSXxq+cRHKhjwfEUT8ibmkgwdAPOeT1jStQtOWr0G0t9pVlkCaI+RzhAc&#10;H60hv0qzA2q4Wl3/DuzGWnBKazGLOvEFwjM7uHnZQYca/lXgbP1Vimz1KKX/opitiJV1+rLv8KZ8&#10;lHIDjSgpdZP7bpIV1iHc9mcyBY5Hjvy5XnEkGELpez01PpgpX17sa70mMiiyefuPPJQF+71rRbXC&#10;f+MGwXPstxcq+y21/RRSvB2pXL8Ip/JJNhH/0gNaqPPVUMsACv1lenmCFcMla+iWU6NDN12swH61&#10;lFTtIMqCAixDum/553QubsUnJJZjNjY3DQzm1HeLWTiiryoyNsEQacJfjJYe7IyF/rkzHpmHwai7&#10;o3Xlz9NTw++QRCa4YBu4hrvr4eogYbZs7EHmQDnmij6F/7a2xfob5pi23tHD51H+WpY/9NWHD+M6&#10;FtY8NgnVV5FEL2BbRg62g/qUOa+zXIa+ZajCDoYOYyb3YORFfzMVkOFd7pQSCpdAOvs2Zt9AJj6B&#10;KS7/DMZVNOXfoAR6uqhJ9z4ml4YA7z8Mu3jxRxIMrlZOfAS59NI34hnblfTN+Nqf0E2WU8BJdliW&#10;c4+2ijsAqzGmPhR90AyZaz0o1Sco8Fji9e83Mlqku3NnGhtDE62OA9aFmUMZUhb0p8lQ5sTXV+3U&#10;iOUje56jdibTRhGWW95v3nbWJUFzvbtHrkSl0W7HznCKMJjYHiyqv+uQ/YsdQUUCgOijmJgYfby3&#10;wpxvNS8Bqj3fvRd5XRlutAfRKdUj92ZLHGFi+H3AW2VXLywtwEMtRoEdQX0BzDhd9owqnuVcgGnh&#10;FhBWneDHE3cWuWFO9jJF3LnoRmkuNTt+A07cgReIUSvhWefuAALA8c1aIcTLr1CFbuNkxaWqTbKE&#10;c5hkC9gIVfUxh9QDD5u+wMDoGMbHcs+LdjCkZ+wxN0+6g1tbf3ipLqTB12AKEQNe1Mm79Aoa9VGZ&#10;oS7nVFyNwJTYCzcX+Dx+ProeOw0f9SE0fP/LuZmizCi4+OCGIkroISEVaWiGyiUkEvDeBDOPbVcx&#10;xjUOoE6np7PzJicANeExHwjeb8DkYm2T4wOsJzXTxoSDEPXWa43vmcbZPIU7WyJtGixD3ouLTzHB&#10;2KoYGhE/H9lr+wqzUaUYtXmu0Wb4Qf7UW11Ts2bcmF0P0JAlKKPk8sQn11YGxb+CpMHFoT61vnz0&#10;YhJMETZA7m7rkg4IxWG+omJBGCYeM7ulMl4u3sRu2nbOB/s7a8FpltLz/Td2OlpAPdwthABZjkjt&#10;jTe9Fiy+2HJ4iDbJ9M69tBjBITPT0RQ4gCdFfJeOtT9aHlXqotsgOTPrBG+0qtG6xQ8Rb8alzpcs&#10;WL0w07nb6HA3NrS/w1Do5hNPPuxgMNBanqCXvQGJ7wIMXE6LOsgYAc+7oQ0PuzKUBAHVUf5RDyiM&#10;qOGiPpa7sicKVJHMOkBxRyBsku+WioGKWx1geSR2GNuuMYf70QeKX/j0B65uCXmyeg7fzHt9qgj8&#10;3yCx2XICU+kL0ITz/tsBpncjUgUgepx/svfYYYxKnBx1OcsJYPNnwisff8i9m0wy9naRCNADZ9FH&#10;ZMyHkA2oahO2wxLUUEenV3kl/KLyXfvxn/OgQH5neERglMTZcEp0mzt7dsTdtwGNWP0zAEbyfaiC&#10;YCZonr6DKMoiU1K6zP0qE1cqKraewMBjm9fMQtBM52Dcra+z0mzzcrizLiLCZBCjyyXk+LTjshya&#10;T+jyimC3lqTJVzVaBUHvcBCeKIqI82vNNyM3NaCGFJ9+oUNLuZapsllJts3AzejB/luoa67w5fcB&#10;kOdjZpDRmmFiWVzK1vA7rAzOiksi295JCnB9H0tCullyV9mNf15SUNfNSF7gkX+YGIPd9Wv5uhrJ&#10;4FJY0VUaR4rD8E7rdMf/5MMbTFBEw+UuOeMtrrQXloa9ePG4NrMVS+CWwf4B81OjmjpDqe2Qya23&#10;32QujQBz8E0d/C+vz9rKGY6Jxqff+t2fUxbaY2p6Z2Bk/ERXzwo21XG4AVgk9mFFLDgQRIE/1hbd&#10;cOl2CkNcHMHHGrxZOM8DyjMZA2hwhVB+MKm/gStnljLjNvrU0dXN59HQ7cBBOLZTbOGD3BNoXqDf&#10;ew1Vf9bvNzuuoHQpRvMESbWCRN/JCPwrg9H59fWVkqtLk2AtZ4F2Mj9BOxprcjMYfhgz/5mirfhS&#10;mZtH2xu77a2A6exusowZZfAFRD4LYCphfS/5KmlFyafOzr9qf043gVOB1VvQsswKtA31cCopsAGZ&#10;RRPsDyPfuPQ2y0BlKxfhc4lU8FhMfdgMFOtHn9FBrZ3VdqDNFsBW5i4w7SMIGDZrzfoAm5sRFJSG&#10;yI/9uaiZBxaM2isR4CV8YWrEl5wPaiMKLdm8o63cMTpvx1ABZzN+pqtH7yy1ClZZpl8IpWl+A+7m&#10;cX5+Ga28SxeN1T/LiWruYlxfLzXX5Wt1+faOnhQNwxjgNcwmK0ihRbZs6WPi2MTOo72M7FnU6yeY&#10;7G3uA4az55HU9uM445UqxY4e5c8DqblA0YAxii+yPYmb6cvEyEM11Rf5hqIrMwOiWR3GRDM6keEr&#10;YqsxXnH9/MbGTwilN4TZ1sjJ5aXFu6wKEqVLBUl0ICvzVi16cUBWF09MUnzVsizCQFwW3JHW1Q7P&#10;xYo3djYRHtQ4I6Bzv2EUP03SW/w3oZXfUZnjHvbhtPdYYmZv9UShmqgIUqf8+4qK3nmM28g0S4Ny&#10;sW1seDeolkbUzLiqKy0/sjNQjtI1YDB4gczs6YrYYAtvPkNYxRyBkLWAieGM8lgp6MUZDpaZta+A&#10;6m1eqbWb/AFuv/yx5H+PgVyJ8Nh97fA7h5CzrIKyacv0M4YfgVlZuSfo6gAfDr927fDFKt+iXqM/&#10;W/8inixjYohjsuvaxiEkzBUMxoPc3F3GRkbiV2S2IXmu5WQL6tqAGYGdsxgI84fKBxVZGJSIHmUM&#10;gZpo4mBUwQLbdaO3eBAnF1f7R0BBdgw/aWnpIDyeRfw8PI+dIW1fa/bo2MR4+YQHTHA3GkR8U0WJ&#10;HZX+Y3c+wOhncOMyAe7kA60XMmQ+ZgE6HgBYugumYifIlqLLPmhwencdOnTnRnx/VcDn4tMs7VeX&#10;CnnaX03ZxheAbzVk0P2wbPA805kUx5nsPMfjEDObRC9faDX1PlCiJ/Vecv9NBt/MkVe8M7NM32I+&#10;3ks3LCI09N0shgqGjnu/5VwD6LkXsXEbSvMvn0J/PP5PCwAMKzPxxIGsm4cPHAjv+vZtUSCnP2QG&#10;N2ErtdgVFFZMfLkWp+qly5etMKM4pFV9d7c0Cp/rALxe4I49yb27HWNC7CJs/kBiDx++tnvJwRpO&#10;ugKrxiruSyMmAFi54Ilqc2ltYzw7xIM/JVGpJMAKUttXiTgd7Ano7MgbT0+yjsDSXm+jiMr5qrHW&#10;C6hSzrZv2qhzpEtQBqrSAeAoP+PtFZDvZ0L0nzf8+9tO+cPdFTc3LHOG09HA1ZQrkZFHm4CZtxDW&#10;a5Io2C7EzJ5YuAVQ2nGGCuqtH23/30cVABp/KFxQimAarI5a8vu6nSZCGSZ5TAgs/ab4i3DA+Yzb&#10;mK8JXRhceg/SiA/GJiYSuwB2p9h8wEPD3tNHUXgWYsuXl+6o9sQE4C1wcx/hgi+By7q2tz6tMSey&#10;8FpoSIjL3bKtRkY57IxVYF21DxeWHmO72lTXeslB8hxQbuRtqNxF/socRPTbWia6MPB9TXkz71pi&#10;x/MaDHLn7UoLGmq1JWgUukQl+Ci9PfBPF+aoDlCORzdcbAbjEzC5ZJTi2FB+duL37zKKfD8B3nkC&#10;2XAJhbp9t8NhKPCtMSnqS3fwCRyIxwW5uGq/ZRZNRq4/VXPSAUc42hd6hM2HDTIhTD/hYW9vrwGe&#10;c124WAoqaO34TBNjYgwgpqll81dBM50K0ngRZPsrBlMKtFOUToz4lncwwTR+dlTFYgzDOXlnD+NL&#10;cbLGHwRPdwC2FbY/TPEnXdKT7AVetorOrOWsioqFJben9HZfd0DrqHMDZv9iP+N1x5oHkgJWAJXM&#10;ShLqo686BtYiUUEAonPUbhlAMEXglLw4PLYebWY1dklY+sl1HKn4HY7Wj/b2k6YRNw8ePGjRZJ+r&#10;2VSXhrkpi9n+t0Fnu8/n1i5aiit7dXI8OSXlWrjY6gi0VoKJfXwzS1gvzvJ7Js2Kr7UGg/tLabaT&#10;9+Ccpf8TfTSaJbEjbz+/ojH60FAK/KBk1OqNi4AU1L979/Pu5cvV8h4d3DhINSgwT8MJ7Qj0luSJ&#10;k/fkyYhd09vNOUSeA26ISLXvrgfZ54Dny47CvpEwWcwPL+HewEeXtnODk5tbkTofQWNGiX0CM2vf&#10;f1quZdp2lzomY0KWwaLvghp7KYAXal119qAt4NIMv4N94u1YG9uxHhgTWtvMobPtCBcOu3bseCCP&#10;u+T+D6JFXNIgYRbk9OUMeD/qY6G3nStmf2IJneMOcaLIituUK4uZG1MYIKiqdwufvYAtmy7WIDNO&#10;Qv0Pl5VrQdS9ijpqzVS9wMbOPt5eHj5/DoON4UeIHvCcefrSRwAWbNeWX8yeGEesDpy0uE6eHGjM&#10;OdybPP8X+7aKT0tnsnPh/xupkmLHmxIEygrQtWu8H08kHhxCQWIeaAXBOQy0aeo9X4eWcc/xAF2Q&#10;OR0/cJCtkY9R3Gdo36OnweGiWQAKf58yQwUq+hBWBjdRNJc9USVWSmDUEWMV/Aw9OA0YfD4ZuScL&#10;JOnyf56upCBjZu2lvQWeOZsZwodrQ1fP3cQug3QUMPu+1aX5DjyUYpgYl+Dovo4hjJMMrcC8zJR9&#10;MELKwjx4IdZUJmAiK+OpD0Z7ZCERRUFWdhQQCpimVv0V5RVA0czrlg8dxZKba5g4SSEaDS3ulgMv&#10;LrQHrVPHaX+AACLe0/Swowim+s0A58Jh/FQTuxydAXxDNh8anbSSDJm9D1iwRRrCVCOsRU4dhvRu&#10;p7L36J2Kf0+BDj2rl7guxA9hLkBsYQMmH+cZm1yPX3WCGmSEfHgxlSiTs1hz83qQMHuIZ0Bxua8J&#10;das0ww+nYuqezXU+Ap4Ag4ug5aFfevv5uFpQHfaE8kMKc3zeeYPl3HOMME47ZwoEZ9fv66L4+E4F&#10;BQXL6ITO45eV3Keh0VELRVMlaNRc9H7zFGcSRhX04vS5oYILFc4MU1OOdEDrI4juSj5Ue9M+KZF/&#10;gAmZ5ZhqeSS9caPnDexPZGfQCs/5KD0LjS2aCBGBkt2zks7eATu7sR37WsC8mZnhauESXJ4komju&#10;/PnDGzZv9k2wsQcpyISf8QclTbH74d2Z6+GK943OPo2b0MKqhF2xShMGGD1SepX2CHuZ6uGO21uJ&#10;/qDu1atVfIz9+D3naYeNKjow2EUyaYUbmpre7IMN0Ka1vLrbYB8OecZ7cirbhkEnOeSDpg0CXA2P&#10;lkFjch9La2Y0GAPovNe3Dya6wMm13wvx8yucQufVcm3k4DSNXRCMSetNcwF6w2Ry5LiLFIPsQmhB&#10;lieeSdIKMEga+/Kh+xGnGA4fmakaanx66N16njqlsYrXBMG6bBFuApwVQnnovan3UJ9kTjkfFpu3&#10;thD8iyFYAUq6Sz3gHDHcto88pyQhVik6z770xHWfAszlXCasByLwSEasNQ806i2goOuegUpLiXeq&#10;f0QINCqEHzTjIwKYhw+WZ/IHKbIDnT8J14F87dJzQ71YRfsl54Oqdmbg8/28ZzAfbqAUa9kPakHo&#10;6IU//YKo609RjTss+er8Rz92xtSA/CjK13kPDhPTi2+ybynInm8dHT2ramiSOSw5NfU6/ZIZmpgl&#10;aEZX8ZrDatIT97iWiPtVUar1cHCDKm9jKcVhyC2MwcLlPvUE8FRlR+0BUbOGNzaRa3MLun5Tz1u8&#10;3X2BT3uw8Pp+JXQdoTAMW1JywzATaKT8EzRq/b9rWg5IupzrZ0jefCkqLLxfR8eXvWixPc9RvEt2&#10;rv1gyeGW9e6a4DLGbXzi8NQWHvAUXy0Qv4IEA6A3mQhl+P3o7eXCT/tLaO/VQAcUrWNa4VeBzuQH&#10;/1OUIx7dAnKHoZAiIYYeVYCiQzPnC3pdx91/WVb2KC3jLU693OuLi+AhOxD98rEuatINcJWMqUd4&#10;9UWGY2NcOn166zsJ0E+VGOybiev3K2JynVWhL898xhnbdfDQlcE8kDJElTJmQA26Hzr873cAe8f6&#10;Rok1DI5zyfZPIDWaBy0dCm9h9eZFgWr2eKPyoKXOMfwwvnJjDZeJmtoLzNlhM1XZDhSbRL2+rqy8&#10;Ib/zPgDiQKyU0InKxXzEayqZ19S0IV3IoIBGh/m9zhA6S//Kjhu17S8Qn+i1Sb/wprH84GA7QDy/&#10;aYY7OGks++HDU119fUU0kBzN166ym30770uW4v28XHIrh+nK1Vvnv5esY0fftKI4YKsSCsCxnQ2S&#10;/Ehod5wj3r7V5gJnwIzR2fNBd/TU2Z7hVj6qnl8PTeejr95bId3Y4IkJFnkaZHrb2jqxSSt8IeKw&#10;lsSTOHJ/SI2syVqxcqU5TDWuuYL2C8Ai9QfI3T3N7y7f9qD2Dwe5GtGk/Lfgc2j2vBcxVjFUMI7t&#10;gaZ+x2Xp9CC9PXteQ8FqlonxqgDqMxkMUTb/E6DW9yBoPUeb3yQ54fFs/P10xnkPZ421PIwqEgw0&#10;mET97xcjomdH2Hyt8AMMFQALfZpFEpc1X1HFgRr8Gn3ItTUAwOWTGIyjOOG5EGd8BmXz9ujaIkTV&#10;tjs/L+s1FL/68v27awfoZPE7LTBY+yonL69cV139enhggNLD5bsGaIE6qLNGf3BGtGMNELPDKwvC&#10;nr148VWccRuLsCfyQn2hlfkO1G37KQgOah9uQNX3DdJBpXx655a1m2YatP3zZS6gksVYTgapd6i5&#10;H6pe8T9ZlDTUmdXtB9FrMDE6wURtHxyjKnwWI5sytnpzvlP7djdIQB9kZ2vPmN6TXC1z7Zqm2Feg&#10;Wo0725b5C7+ANHM5cbqpUnMBtElAVoLxBG5sKDkg29oApe0ZzMCgdF3KuA1lg6OB2Edq0dFeYr6U&#10;KejqfHb2vTvKfn/Tnnl3+MVhAFs0tC83sZmNoUeDp8TCxGw5eUTThS9jw81ERjvTfkntX5iJFsfu&#10;NVpFEQbgSLwoV/F/LxDuVakW30x87Pgb82EnU3wO93k7Tpf25cOb6ffT5aMmV4RN9UtPT35m4gM8&#10;8s2EykUeWYAvACuSVmQq3RseFvDONlLhZJ3B6MQUwYQ86BMJjN2SBAnAZUEW9a1f4/DLNXMZVW8j&#10;pLZxC2QCYwtLOriAjbWU4UeQ1p1cOTReEBA78KHOrcMiNRGLNjRrHiThgEF9693C4TorSQ6m6S93&#10;+dYt+/T0dIsq3FvrN3fG0ub9z1cTglfvuhSdp9+oHGYTmcZOzM1XRt28eWhNeHg29PYJOGiVoMWU&#10;ZODBFQ3B5lGdsVkUcABAuRp8rFnGC3GL7saHnFcHK4FOwdj3TzNsDIW0wsMhsXK9vsQRbGEhwlco&#10;xHAHgNwFxbcjG6XEORcBShpmMM6h17kqvhIdETCoTiUoNci+osv5A7WBS6Aw+AtyJr3brg+wgekn&#10;cDs+poQ6k9JSjQ4i5UZYkRyTDC4NlxSAS+Zi44Or4LQyi1H84YMCJl0fLR6Mu1408aclF6hxGmH8&#10;VQ0Nk4bmfIDTv/X2CvQDnDPH8Kk5LEAEISB2ou7usvgYsl47EuNeKP4Orx2VwdsHGfHuDQBxDbYF&#10;DAb6EKI7UO0a3E5LG9sAYPgbwWpMDE5VNWjcfxKAJ8XwQ/cHC5MGhXXr3jZCcWlBgrT6xRKqF26i&#10;Lfn4/LlqOl0QMA0peofu4Y/a2HRqj1oLhploAYMHIsPEWCUuvog6VXLDOr/38XGrT6gAsz0U9h1G&#10;kzDJAUSfV9qmygP2x/zqo8+fHw0/0JyFU02WIykMyxtbZkM0wv6vaCSZpHNMipvQ5GXhdQ1SvpYD&#10;z8j2N/yy5mVXIkXxBbx/PsOMCXPq2mHcN2Og9b4a4Xde4HEW4LNuJqVF2efjqWjXaDr2BwiyDMhR&#10;eR+0FZogM3XqPMOzgSIsOjMx0Vj0pO9aSEvdf3/hAJw7m0GKhusb23NQunfVTHi//i52wsUlpLet&#10;aEpdMGwlKwPP84oy5m9ZgI7yG+/eLbp/VOmg5NAMOss6THIna5AzVtbfVfq/QSc5Gt1/dnzZS3y+&#10;EGE2Uq3HAR+cQUglClZ+DweC1pcwqqiSYmP1DwcQ13rPVrEQBet6b6E7fXMZtynkYqfS0Ya6+d6F&#10;z8GPWPs2LdsKbVzRdYcOPIMJu+DNWM4VU9Y+G5o7X/2I5VuBx2PXwc7BhatPq/wSKjmAqnT68NIp&#10;3mfQbML+3fw8FRaJjOgtgfhYEM/wXVPcwvV/m826d+CTRl8pHQcgvRICxHCMcKc1dxvjGWJm5v5p&#10;YTYIQgbyqI1Ac6YLaXpi/TXdXbtyr/cGv2xpkd+7irtBVgqdyh4CZjGj766tz60P8uszTvX6lnno&#10;0AkrzUt0JYKU6hSSQVzVgi+rWSrWl0WkQnK1vU+DwbiDf5jJeAWxNl+fRvE42yXLrMjZc3vyF+Cv&#10;iMUgx3sACHknCYchwxowKy775dYTexOgB6Yz5YcdVhA2kGYMVo+77VKXgHF/hrBUTcQw8TOx0Hko&#10;+Ax2Xi6HRslng4xMxb2Md9Q+GQ2P+s+Yu0kQlsPrwsrS7qUUUXmCZYZZVLs2wuKWUDhiQWje5vuO&#10;G1hl/hq5z7gRVy3PsPEdgZvKoP6UcL1MAEhmJk4yGLg2dRQo6zC3YEk1P2Zo9gDozwDz/IC6U4w2&#10;jprBNOA9u3fTKfQqFsG2Zf7PpGUwmFGAXdzw3H+oTu1G/Ctuqf8RTerJTxdFl0auF2Ky6obdaO5e&#10;sYVZLKiaHjTZw3O+Ov/VK81MJGjXZWz+kdK2NT8jRy9DXed9IksamGKGa+YZgszQIujaQ6Z354Yc&#10;8GR2fDnWrZwL5ezCscDSG60g3Ddl17e8o0qPwYgE/HY9cvRNRUV9G8rBF0QWtA+MLBLO+fGqvLxn&#10;YbSWI+r0FiQZEk/VNGIc6mDx4MSL/bzTJVWkKDpNOeeYXwRb+Q51X9Nx+Jb1f/Dnbb3EYd/VdUvU&#10;0tXdnJnxA0MXvaRcKr6xXI3+IEYRmiEDiaADluPwMwTitTWt5wEl6wP8jF2zsB2xeYyFgXwQJTwx&#10;CpW2dyGPX4VzvnOqMZ5x13IjamvtMfwSA992/x+7a6k2uocWJA7b1tgdFKBH63fFf36GQXmejMzM&#10;qandmbTTkMlbwLmNyPYjoz4HJDk4pm9/BMZkLuKTrNcDY4GBhGgRFEvdb6z+Dz4a0NyF3loGsXNX&#10;2Pwb5YvevFuP7vgEPurDES+fc7CHKyMNpFrnwOZxesjYl6f+W/A6ifeiJpX9lFYdo9/6rRQz/J9B&#10;gtbicD2q4btP0oI7lEEJ2QUoCPhokVb4nTsgXN1sSqi3EnAeRzwreIuiN0bZ96OZ6OVLaN97YWtU&#10;1IBmZbl3LxW+6ElHgqDH+oMzgP+HNXmPiUIh/L/GSQDFbd0Nz6kt879AhLMtojCWR3tbiTuDR9ug&#10;g+oocB+XGX4wP1VG4/1rHPsZfMHkdG/1fRjwf+VxRzvKt3/c7elF7dW1q1fZ4BfqeW9fwegwE8vM&#10;vVW4OrMY0gS20lu501OzJxiGCj2W5kIEiKHsusvwawamrRJ+h1gEUNORr4PDYiKwSDB6a9F2fe5q&#10;aM2CqTIcvNeHxiiPxUspxax5HP7+3YRFgh2Av40DBpl+r4cei//vg615KB+nZkIE4gnudG5TYVdd&#10;Wr3AG1fC8R6Up13VqQ565hVMheWAOCYCnWByQ8bip+4WRYhq7a5BsPhLorOSgDjPfyW5MhDzP8Nj&#10;BndzYTIXm3wLTEfdcqAOl1ix69bjDjB6JXetBUFAHU5A8mkGspscuTu5hmgaJsYd+CGlIS9VHsh6&#10;AQ8kRQvzaFRRtshvjlxRFRkYFx+9eulS1XUfR3zAK4esV4FTIWsrJ7CtXWOtwIL5WLdq4kf/LV8Y&#10;/wXCfQFFai0pGx/tttzXXU+tSZcP8iJJ3GK6TgU9k5YmyNErmJgoyzznlDbw95O0vBQN29AB1Jx3&#10;SE6oXdZQV/wPDVYHA/HQwh+PvkJS3HcDtF0H6cSxThVeW5kPHoT3AATWBOOivHZtuek+ZULAsPDy&#10;wNy5wdJ55OjFnpIBhfoRWnQSFBPzcZa/cDJBA/qoaWCfGY+lso6wK0gpwB12wrd0fLWeQ5Ew9KbD&#10;qpaC35cjKZ6CrOLDI/yotRIfIfsrfFqXhkO/vKWS2qwN3robbgYEcACO3LHT3HzMAA2P6D9aNGGg&#10;kejFbY5AJVLibE9am+sg/j4O0Hnes25xPc8EpqtTXxcmomxCC3vHA4VVJiLOKSOTPjQ5x8j2gWzC&#10;SzGNK5GaHkbcH3g4d8zqXC+ArcFyBgPCzn35rukoM64m2Y/gAnL4gHvwAFvl6AAQfBeIvHYwjxzT&#10;sAqkUgOqoJ+c0KrgOY1g7w7iLYRX/+A4QIQUB3dKndWOOjMTuletaqc4g0ws+/qTtnpoDYpJUMlZ&#10;mmJfqjILUL5pVytBZWJkVeJ3zmj+gSzThfaLITvpxpad236kO6yDksD+4uSqoFHfjploYV+OE8Nj&#10;l7pscXATtmowo/+EzavAMCxNHjc2aKirzwDv8PTp3uZbnMhkguYWCqDVI0kjfQyEVLQwGytjPww5&#10;aJ/ia8KN8cWkQPF6Y2voa9QvLpMEzGA0wAFzK2LU+IKAH0fubN75qAUHJv9EwBdleL7snoKJzR4M&#10;bzbBvMXlSe4DVGaiDjzQULJtUCw9/Wx/oeOvcDF2Lq+dO8MVFBUz3SDidD04hIMhv+zSnnDDlgeR&#10;eCvdvEgtWFmwgt7f6poyKOYKzXLDqL5PzfiBzJLIzHhw/77mDe8+5ANX/nkaAKnPokdiMKiPxV6B&#10;8RcktyG0R/jsfuCATM7K1OIxGFqOdRmYUedngb7tQ/fuTONZMKefVOYYWHbaGh9z+n9SF6le+Pvt&#10;hqUrwlRXLEr9+0BXI0SHUKL+mbo+CPX0YUOTP2ggWbCm6g2sV6/9OAXILRKndqz012WEIIEPuKN2&#10;0Emustg1ao0J+Qfj416KENSafB31gkIPI1EyiJUKh1tKnz8fXRfexfj3R0cm0n7KEZxg5fQ9D78P&#10;k151tZkExpUDJyHU2SfIUIGmPMj+CeljMSOuu2xZglt9zkEYyB/EelT18DtqYgudMES/M+1UcpIl&#10;tqZ9kbDN2LqghBPw4BhIw31QakS2obbpCNontLghbIX9f996MpaimDz6oXQwM0+VAApVBDVgQ3Iu&#10;bW+0GbVGw+Hl181RgkjsieuUDAVdQWaGOEmI8P5OSm3Y4AEJLb69Vv21BI4zYPNTcZyZXm1mR9Bz&#10;+QWF6GaMRgygqmuJ6xwSOTvZJsgJIN8CXCOEqDeh+Xj8wHcv5gbrfgntvRewWLXT1ydxVRDkN/Zr&#10;cdXZzw3q4GYG9ZDiGPWjEya/+sW01lx9FpiB7mDy4dMLk96Z7yQVoLyezYBTZbDd0VogeD2kl2di&#10;YKOeN/i2OstcdgcePKDgrsajUuwkRoNCfAHq91iUNVKBH23EdUkCCWlkhujhrPuFKz8rsiO0DMFd&#10;8jJI4BMA4XZJU+QIl5k1NTnmKEECHWodddu/fPl9P2vji/3esaRlCgsJ6SVB2i5S5eJhNumMegP/&#10;phnpNRChWVhYCFXFFuAwv2y4qjqgMa26xp10kcXt0cNrtVfvwZDsul9EykDfNc8s39UB3mE0gsMy&#10;nmmF7SXsWHdlik0rcxBz4Wua0NyM2atrAgwVwjBprniFqOhz8r1c2TVsW6IHKHtrkXGUFTSNz15S&#10;C0Oq8zYwzt56g6OYJ/X/tUTQVDkeie/589QrVMJjHOKHWtQZxASXRCH2v16FVTC26SeUAHitgu7o&#10;fHsgwTEgc0RgHpyLQ3hIebQAzUzRJZ8LNNx7EiCuVffo/UiogFMfY7gytOa7NJ7X8uIOx1QBTGpj&#10;hPDplXdhlaiLEHCiNG+gUpsQBQiIcVgk+Lzs0y7OztrJx1h+hsXDpupRIwyeFkNRNNRHOcYoG2uB&#10;r3ZM/xoV/WiqPuzFU/KjyhgP5KDfFG8AhROc2J+fYGRXgAG5ZcT4AYMWOLpTxxujM0wQ+ZwA1hWF&#10;Mf6Njl9fXS6bAGRDmBYMWX5gm9ophh/6eLu8XS5SvIzYzXumhhotazsqoh49wbE2WVRQiJQx2EoS&#10;dXzbZ1JGpsq3bu6qPYtQJ45vLYt19HaF67aoMPzMcu0jvoNJxBCrewO4gui7ukbp4ulHCQkjVnXG&#10;zJnrBZCOZhAq9Kut7oIQpDhyQV09pdICYgtnQ4TR0EbzC52VgQCjG8C46JKlwzMgDvnwW0gRFVNO&#10;P4ptad30C9P/hX4LVenVhxGodsBKwRr5SPqli8zd7NT/UOxcEPk7Pdct+gxiLw/ZqK/zH3aTiUEr&#10;lE7/bKdsCg/3libcpSuAkH+C3VgD7QV6rQ4WBuFq6RkOsGrFZLEhqOjw7gyr/7QA2k2P7dqhh1J+&#10;nfufXuAMtUMIhAaDoycwAEINIskc+JOMSscvUGF2ZsRVEzEHfKAPG8MGNMksKHQ3r4JLSFGu3Jtb&#10;JSjb4KNywAUDtFkQsz+dz3gF+McS0L1cbWOo1XXSS3l6eKgzM7rR45fiW4W9evsWGgMvi3dW9E+k&#10;cmbr8sHQJDvvaHNkEN0kno2HXi1FylwKN7xd1X9QhpEmywD4K41HKKqyYUDIgomBlFR4Z4yHtEsE&#10;KSID+aLH5LIgk0RXTF0MDZ1Ms5uCjNeBiYHwfaQfTZg9qjwzQlaHfzQN8DJuo3ScKETZ+uRBYzYo&#10;AaeaXtII0FFCTCVBVPWOiB4+8Eoe+Dwkc/LjYPmucRadPY927XnYCuBd+FDtTJADpiiF4mxa8wQ/&#10;QHxSSmDzGvRzUA/CIzgrQzuMJWApCkPJ2/gsHpa7xqMzXm2esjx5nE9dX+348V/rAIDUNTZWFiBv&#10;FwU8LUw8wDM5OdZnycRwwIXI2NhLRd0cxm1cn3dJljsx+sZgiEHacndsKfieLiplX4c+gos/E+M2&#10;6eLjdSL1Vn1F1XqM3LCzUlOPRtzbCgXqV0rIrAxhzAyp+QtPdkxF0shA+PoikMhPGH7TP/Pak0JS&#10;+jD8oMUf5VP9+2nT27DZ1IXdTNQB7fIHmt8wJkY3LARCiPo53O3bq1VJLDyW60jRFBwmfYtIf1R7&#10;0N+Wn4IXrD+XMjNotflnFKHpi9LNhVYqrlyxormlpWUlM2O091Fb7poTc45b3D4IgU8NzyslU9/T&#10;qXb89fVpcfPVONV0HPQYfvibNVHzuxNPDL8IAyYGB3VD9F5T+eShxRWEM6h+lxK9egwnPhl8ewj7&#10;lOXx6rZgmFPqzTqZndra2R397qrAbjQD1VRFIeb/Xsbq6Ampbao+vkDry1CBU6tWriyThGh0PzBl&#10;Pt5Ty05QgQnbPdldJKwMX77T2BIsciUhGBiDP7LpCL9pSBrcQnIpd2F41xGF+K10IiVDvOdkFhRM&#10;PCS4Yh263QkoxXxIoQ2b3F8ZfSyFuWBG20kPi7j3QKklHQtPlvvDaKLiso+OuvpdZsYnwok1QEuu&#10;qQlVE7Xqxbs6gNv1kugXEFpTSftQTDoii8/tim2yd71ruu47dmW5JGHFdKG9OelpkH7mcs85t4ZG&#10;B56S3pPMCfMp2TRvWgENRxaWEIbQxWRmABl9VwnCZwAMox5aBgzX3n5WVrZyr4nJZl9qihbpxK3h&#10;njNCgnFwRuqkUw5KvF4KYW9p9sFngOjCkKmnZxUjAV9BHfaNZIsuDj120HXjHpM8CxjcQgK0aDD0&#10;9aCsVbcQVDD0lb/jvaBxvIWeYDh9p/zQhhLhCgIYaGjp98h4EJ3IkByRPJHkY1oLGbfhADDfMDGa&#10;WhpWhjOJGeoLlPcX+50c1GbBCBD8zkZRNU7q3+mFGk8MOtsPu+/Y44f2cbGK6IOIv5sJRdragq5h&#10;oLV5LIwqCvqrT3oDZfk4k0H7VibuWpZJsd8UWkDklKQOVsdzr12y5MYshh81mzQh/0umt/6G1W0t&#10;KNXRmoekZ/6V1DmPcvYMHrOFv0S5Hob9I+tz0kc3sT/o54Alpf9Tjimda93sCP7b/Dc6/CNGuI0Q&#10;5ZiZ8havVn7nMNrbclTzd5+GfEXCr4NpihmKCqHfXygOT57wXQs037LaG9Nc/AsD1X6QBGMmg6T1&#10;Q2/2tk3jMeObT12VRhnno0b84DNpAXrqdYcPnnSoe2SlkuxjrSKpc4Y0Z2mVjr/4nksKG/pKCWvv&#10;jra6iaWYyfFD1Pkv5eUthK6I/vnEteY3ELeUVk3NggoXRlNmxKI1d5N5ICvjNrU0r4MPYzrqNMOP&#10;pCmfBgRnpyLqbLY1SEpIGMhCqx2G7TDl2CFYpkKiQbj8Z+V5r/2fT8iBkPSDhZFMf+pa6/u9fBxW&#10;PDadHNX/Sq+g3ntRF4L/6IEJY6fjxzUxA7UnatTmYRw7SwXUnS0IIiuh9AGU4mTtyX4tLvckz1co&#10;rTbQ7C9kFr8RDkN/v6HegbP1fFSUOazQQFs8bz4yk979NtwuZHKno3bmQG4I70IwHwGWBq1gPsj9&#10;Lb88luX+xd8xLyiUA7EaRdH6fncFK4waerscRoH2b6q0ioFKdC4GfUVhEMeDaJRRmctXIyl8VnjZ&#10;shLDnTt7rgQHl7N4zOe5mahB3DUG9QNIZOsd86i6KoBJhJVQdCI/SPyCEVmZCMGd6iO8JffRvXYx&#10;pnQ2rJmPkEWDsQtYCZxOqp7AtXFw1XGhuQKSDW7d14ICJ+1u5mkxrSwSsqiy0Y5JvxgnrGZ7mtFZ&#10;U0r3bCaDGxLGh4kb/+8bkAzWFDuQD5rqv+FgD+9HbfhMcVPrrUAwmJYMuh/gpnRHFRmicHLhjWsy&#10;AVYqnQNy3v9KZaaMN6k21ksqwIefI7Yy89KuDalsJH9kMLAyadTZPQjEMHQs2en2TSBXcxnJE+vY&#10;8HUwfSCbnBfSAlYhVhDAcQymNCcGa3WTsDjzrxQE0PSpLlt3wySCH5NVx0lBdTT/xv989HISXzIY&#10;cyAHOXbhD18JHvh+7GbKhyCMmumQrg2lq16Cnp9gMIBnimf05fKV00uRlDy+mnEbCuaLdslK3Vfy&#10;eAII7sDFVCWmEP4bjsk2liDyGhGzWQFnom9c2KVEV/PHVq9B63g5qdNVHSXNSDDzTKwXMxjYSn4T&#10;ywBXkIoBCwz0l4iwEqz5DlQJoUjVma9379uXUUM8HM2L/9708GCJ38gCKwUG+8wSfrBPP6EBJplA&#10;UdyozboSPZAf98EHbtqw4fVbxGQrT/sNOTBws8cudeNmSAb4OJx4LA9OK0Jp4vBuRsY+jME1hHdl&#10;XdOwYC9xLJrIXcSoIhh5VW0jSofNLIzf4ITXtiShHOi/McW1q7boIWlMRKab78LPEuvW1WFqbYyj&#10;ybWzLh1Ia2aidsSDK5AYr1mTet65FW3PH8qdKBxedLNXYjBblYmhvn275+t89K2SyqKEde2/GQdP&#10;JWg2fuhQ3wOfQWne1NiXG6E4pq0kUqAUOAgQePRA4avGHUK0fvwY1zM3z7+ttPn9ztqbdA9IAFFb&#10;V7cO5Wb7RGLhje17SjD82DWDYUNY8ZvBk5DjFjL8qKSgxSIw15ns2NoCaUiEMNvsrZyGyHQPqcWr&#10;x/DFxM0NB0UPtQCATLfFnEcsF+vWy2KrgfT2kgX7R8ibtEW0dh9Atz6CTKuD0Wegtrl57tOadUxL&#10;HoFZ/Y7Rk240/AwZMsbR9lzueR7ANLDsOdBZ9sR+6BsgyJkHf+QvaAbd7F8V8tbSEQRKAwCkFwdv&#10;YW37xRRBz4kRuGYFbDYUCnHAQrrjuEnVcBXGksZXgzyNARsDRFBUx+7asEbiXKq9IuVBEpEn9EC9&#10;1+3WtZSJoQIxVMHI4ZIHrAwxhh/5Qgyiho2kCp40pzieu/MuIp5sjK2UuBFpcRtY7tgg3LIFIPj8&#10;TcRN/XVVmRUrXlpgFoRmrVzAA5VjGu07tA1CCNyxbOdUY0TR0/2fArf9IUrifoYfKQjvxI0dtS8B&#10;yIcR0MoetFKHabBeO0zmu28gAdGwXCFtDEfTfC56hQASx0BKqEGfdNjznp2qPnUK0wByzl2e9HnI&#10;+IRJf8JpaipgQ3X0BxO1a+9OWerh/2yQlHx1ubVFr1Zwxh7PPz9G+oDeSHe1jRB58Cq4D19pF5lT&#10;UHf0obX14F8vn1LUAuZrPb3b4q3A8m2fxrtBmxrZvfJB0QG7hi9/ZXYOAOapF8JaD8PGe7YoZnrE&#10;+o4XJ6qifPJF92JddK7IaPoA89J40U6ohmlkL02kIbS85j19JahgXwZ5tVyw3Ytr5HIxJOQh4exY&#10;1TvXICAOMsZWHEBalJ4AC52org2Z89Q5tlFZ79dscNFYQ1PzlTZDBSqrh6mnlFH+3AWvty3PEfXE&#10;2IP+x3l5Hx9lZXkYRe0hYdcz6AzXK6Y9JvFF0MubMCnS7YszfXAocLeUKrG26UtnenqYbhOSNkWM&#10;wDN83uYz5mBn0fLYY+DIZhg0julxn45fpYpK+XEu16uohfDKqUALhLm5LbVZr85MNy/tKIFKu3DB&#10;vKkWA5/lUM3jvdGKTiboeQypY2LCRqC2PXRk/LwX+tqVW/h31QNPv8Wbp5yI8bzpHgziJBv4xmtE&#10;fdnHq85eQql4TfgBw+vUp6Ob+UEtX3M3yQbJY8On6YqwLUp3T5fEYqwtyiXY/pDlMJAoAEqanm01&#10;mKoMXctlTSU71IelwPnhgDyXW6fnFICb0AdZXnMD4iDEvYa2F6tbfQ9uG5bBBPdDEi8MTkw3jVSe&#10;BZFg8EFGwGfgyN//7WcWrfbtaRAPAz8n0VS5a1qGsLPuEE5w1u7s9Q483CE3tDSBs4xa0dbubwQR&#10;TY10xK7GM3i1Xy4moE5XecKZREVT1MjTX3xqo0BlWAY1TkoggO7DXlrCCXPIb50VOFbTNJovJgCE&#10;qMIFrfy9HJPTIFtVS8HaqmJu8DiaRq7Z/ioQW8455+Xo2MeGakTUYwhDkDbEFGEkqsGcQH7UDfF5&#10;J4gIm1YhYFx142gOQbrg4S32Ipt0A32jscyHwMItF4VcyUhKShreQJccP4bAv0ZocfLqjLFHQq0V&#10;hTy/Et85xx24vd/gmuSGANiQHzfGi93zr8Fd1NIQEQvDBvpxrHEaS16FAKHu0iu/YUOWOMMPu5QN&#10;1N9gmV2CBqFCC1TPDvYQ0KZMY9dv/pBz/ceXL1eM0Djo1fSWr/80BCHbEH1MkD0xA1kQ0iRhQKMn&#10;dDUf5uTowDfOc/hzySzFxL5nYTtgfpeOJnUPNERTRt+LMzNPv14686xSkllvQ3qLDsJbDZzS7BL7&#10;Tkv/PsJzVWvDmgooRv17djsSKnGonYkBLPwFBQY03Kvpk8FKzsWWBlWrhjofmkBUUG0RMUkeNCj2&#10;8cJOLRv0mJ2Qnu4Qjp/aRNV/vaHjv/q9Vz+zbNZIsSPi9EZDQXwvcZgE6AxGclzjcAdgbOwaryYt&#10;UvfuKbvrYgiPR2czhNWHle/tffJ7PkMFI0Yt4Jf/Tt0G3aQMRK72zR9sBaqm3I9NirOD3rp775Ri&#10;/yfczNLQKFtJIAG1fi9/3NAq8eP0J56Qpr2QxnS0284IXSOErRrkJ03pHLunFLEJzxFDvZL1YK2k&#10;cSqvaLex2AJCfZPIc/eJe/8BX4YK4f7x2oqeXbeLinz1tLUvmuNm5dP0BwbR0xr/FLtgnu8z403s&#10;Tx9ycWH4kfxj6+gQJGHecNZgxQ1WwKYKlSbaFHkQthVYP7U2qjvRmmzQwUooKCkVWrhAbPpqFiya&#10;IRg5uoYLp+AduYGgyL74YGKn8h0E2rFUGu3MW/d6jLdEkvpwKrFrGrf5ZtwB7/xIpbMo4BnyUY70&#10;3vUmpkvo29MsAivDMGrkju2qEr1GjvacZ39n8aOVUYBZhRMk37y8cglZY0eaKdHCliiJgCs10QVR&#10;Xaf6E/rpRAEQCvdWsbOJ9LdSYXuGxcm5xzFql+h8c79OwGeaWqQm2GBF6SpVNoKeyFKVPDBALT8z&#10;yd4HVUMgab4pRh8O5wKSehNTFUvwUhT0vr8NBrm7dMLyVMfShhe5hRPXLlWpSuwW2/8sYEbpzGTh&#10;/YdbXM6wMpvet5JYtWndKmbXGWt3M2/9sWjRjBfMyWzvq9IvqHYKqHJofZ+4X/n0vPIs5xXMXM9H&#10;LRonnokN3zt/6KzHRrvWnQjdzti8mZI+4QUPy6MQCnpui9OLxMzG782jsnllAdhjc8DAgEudny8A&#10;GiJxBgNUVLHDSFNQPGiDiWKpSdTTOsmGa+br1NLGRexx8F9pMfdaMscZvVViVhMjKGROsWydbJHM&#10;fjqwBcfHLX4T+9DQ0ANc+XMI42GTrXbyqVaEASz61ueto8PRC5yxB1T45nvfTl5t0zXzVxG2EAAm&#10;e0dvlRcKwlXxdiLMK668hqdMwy1od7QjUb1si+/p2gWPTg+R2MokyQjtxdU5nExXXh8SQOdIw9Q/&#10;oOp3ut7p2cy8lfMTDOTMDAwSio88XIq4EMLjLYY4yrn+RhqPkJDj8rVrW/xKV3LPeQ1LKquQkJCN&#10;2LkqIi5eUfKFiw1LPFdcKW3vv4PFyWd23N1kJVCJ9JKdkbGrMD1WF1YMCjBy+U4aliK0yeX4mifY&#10;Z57p/fqVez3+QijWdwEeCTv89B3O5RE8KX4F96oru5I6Jl9nYZ2IrxeYDctf7iiCDaMiI5PBQh1l&#10;MCQxNE6S9DmEqIzjcnrZV8DaanZPHtc6qMMjmBjFmKDXNduzp5SFoQIjuj5o2gWGfv36JYM5tO2W&#10;adCNVe1rz1UzNs61AliWBDe2HIr3uNOrEhJeHg0G/TkEbC3h5cvtSxUKMd47BPMafnm8zDdTe2ap&#10;qq1knzGj3gPQYzwC9hLOIfGbsh+sIJW8RNiGtSTPAjVfwVYdjO16HEZx+7GpPahcYGacniY560Om&#10;d11z0Pp0ao48O9Tq2JYgDMRqz+kOU0CYkM6pQAps8qUfmiKbtYy/8XoLvhYN/AJmYdH/F4kcjcQl&#10;FFz5Ez9zMEmSjUlqxZkMYakjbx/jq4Ie5xp9KvvRCt6I+4eh7O7UbWSDu9EOg1VXVzw1KEAxdgC/&#10;DWrYTUze9hjdlcCUQ1RTcw/spaRoE/N88/zaZd0CATgfM9+8fl0vExuK2S85Zoy8Y22Bq11M6OMS&#10;P+Gpj3tmMIShijjlM5QXmleCXSyljiO+/GFmY4qMPkkV4YW7sHlNB2C+q9tEwBIGA3eYF3tuEjB5&#10;ZvF4LxireNEbnZF5LDQ2Qo4zYVuwVOQITvEc6ALhZX8enXIvyZuga7JaUS2T8xKwVBmiRs879JuV&#10;VkNPYbxzEya0bSBg+r48OQVrmI1HkW0+whr0cS5GWfbfK0SsvYgGYFgJBj0wOV4fZ+oNRnQF7qay&#10;LKSGUQBhCv7mN9baZDeDTX13C5qhK6B3KqQ3bNByOXFiTpncPutlnGx34EuROA6iY/j1oQe/dEOH&#10;gHltxVYxf5nDnSaIbUeWR+/qyP7zAeSKp7LnoM1RBwdxjp7We5bPcCkwfPWDts3t5PcpgvXY1RVi&#10;YqYQ2SssS2Y9hPivm6QdsfBM2YtvJxYhO+Q++sNvzyPMOft86YENmJJbQ6MfY2qNqmK4Yi7A2Bbh&#10;UcX2YWWWqrNiKxPuv9iV18+n1PRdzdFBLAOH7A1mLxq/8eH5Tk+zbTjdIqtW2cyOsdmNjKKJJH5C&#10;oTAykneG9Jyh8ZGB8l+jKA/mYJVePnNaZm7u9Zf7Jd8DWFy+ZP3e4yXd7f3uNTAhyQOKlkPPDfCq&#10;vNuP9063FZOqspdAdIaBnDd1vjKtv3HO+MBNzYHKLcGn3pDeDQ/j/UEt31I4cCmPd224/xtzKph/&#10;/Hb0S917GcfFCOe2sKCFFMMkM1aaN/2PiRKc7jU17+OPTlrSD8ra1Wg3L1CNGWAMLEtjlNy9QCo3&#10;37fyU8kTQaLqx/qdk+iqnme9E79uCK17OM7xWDQem1VJVf/tk4WQFQ3eWdYx120GrH9OQBn3BSKI&#10;WnjwZMruc6Yx/O3ow7h7enBGvGRx8Vch+ARB4T3buA0UaZj1kSO8GA8wB8dqvH8o3SL/zyFEEaGn&#10;hRQFsMDMboqi7G4E6JLuk25u87GzbsOFsLBYHkhmnVEdjtnhG8KYzX7oQJAmLUuKxiCvg3fUOhyn&#10;DGiC3LAJrgt05zwF71Fn0bz5usgm11TjflWfXOjAMzrcN5Uz4OOv3EEPlonB6NvcHV0KqHEdhGsJ&#10;N9btOZEFukG5quzJ3gxRBgMzWvsR6SLkRt1RxHXhwB851vSgVKhyKjOUdRM75wXWk6iIPCCT/k3h&#10;G8dJGgya1caIe/itnk6y/J7mj96I9JYAYHgJW1A+GsGbVZ1zgYV+N3ScIgD2vuNvOKXlrCj+bGDq&#10;M+QiD6Hwe3gCuLcGDH7HedL6EG7nYifJdQi+J7DI4zCzcRulGKz8WwLipJavkjsM4t+3+cc/+7eA&#10;FPUGjNp+f/S9/SaWAj7s7er3QukngQPSA5I/Ox1nMWBINvoc7BHPwcmjwDFNBBd8IdyhDmD1xIHR&#10;sTFH28k9p9zd/0Jkzgt+5uT6c6qfy8vLG8X3Pf0b/nj9z2NzUa7T8Fzvksa8qYcsMmxz5pg1N9Ok&#10;a8xJ0KtbxIWWpEkskbPbOo+b27CjHJuctCBoLgwOP9e6b+F59cpkUKNjzDCgF4p1UPPdFJ4BYce+&#10;29U2iLky0qIvl9zAbwEDsOjb16/d8ELxud5Z+d2N79HEDlLuwZBiuYP6ldzl+gl6MAAforsMaiPq&#10;YhnI+UHiLTEeEeG/8oEMljA+Cg/ffQ0jEOXfN7wF4JWNGaJljPH8uFuPx3fZwZgvXrAzvg1g9ODR&#10;Ea+BohloFmVErrz2xyzSLdseGdP65vgOyy5or+yYGJp2TiXx6zyPpX1/Zza419JSYixNZwCTaqB4&#10;LqGR1ULqrkn2mRxPmT8ZomBZP94PRV46C0M4/pjsDhQ4oEN8GJmZ6KD5srM6Iz7YRs9mZe4yJG4S&#10;c1f36L6VdpvPYe6Cgzm2cA+oIQKpcZ5Vc1YM3+HtXfAB13kKErxJl3UDLvksAJ+Ae3V8fHriW5DA&#10;x+RtTkwhK/Da734O3KeeoEfJ3D1eT18IxQkEYrJfAvUWLX9wrbLDoGrLL/FlhlrQDoKtr8AbbJbA&#10;rbnPH8YGvIEFHcRoclzc1lyUgcqh/FsepIwMdLYxn1YRzsGMy0kKX+BHYtILEtduda6ALnQehqRX&#10;vYOCc6y+ByWZJdx7GrV1GLBZ1GOtEErSW+X/LoVfniKLGPemqAoVzrN10bWXzUqamraso8AgLu7A&#10;Wp2juQY/L3qPkdFd9qTnE5bAf0qoJIGWb2oJ7spzjPZtUoCH8G8oFBrbX3dh/mOAAhru9+BRhdX6&#10;5+cJNJOmIhhz6UZAlCdC6zsAdeGzfkTWNbD79bZ0+M+fj3CmtKF24Bqu5mT1bw9kQ+inHR893nXK&#10;FrXGyxcvtKtBUn4eGOFmTDqwm53qxRSMceKdOxcxfft+JgZG3wBGNUKL8Auz9vq9+uX4y4Ugg31R&#10;XCycLxMXPIUj0IYJ3UNTXaI9tIQ0PWQgVj6kGPPxquUdzSct4/EFiuC8DT3N2B+5xMdMjZTO2fyF&#10;79y/L2kNfYuYU4iT2BxKqWiDFZeiwbbHwMkOnAE2XE36jo6U2AIz1G/dz8oKrEfXxD537skYRFqO&#10;+J5n28zMmtl0sembjoYzfCr86ocRcTcgA3+E96jQuaTTXqjITEERFqBZu+wejibMQ8rs6qsGLAsL&#10;bYEKcj0q3VGL1CW48glLvqJ64mR78aW8Ef1pbXf30eX00ToPpi8XJcUTCPr2YjhjCEnAeX0jYyrj&#10;JNYfHf964kkQRYKJpBxtCCgWXNvhcNTu2bHt21/epmIkGkPeUlB8f4z9GHj1xo1MO4foHUAtmjGV&#10;fIRDQG6woLBwcmpPkhToLl+g4oOxF4NrMMrrCIDGpwQVNHhKuRrBMm55uaOCAhAfOql2OHxRWXI6&#10;CZ+VoaW21bBVO2WZ2C47HvI77POEsiEoslI/4KgQWZTtRqU2f/58S9Eezkcy7MkYd3U/u+Pub/Ki&#10;DExl6uMNQAJv9mNiKSSnzc8p+Xl5ZlmICRHYz9pECh53Lxy5kWP79//iCgsr/7ZmEF6MaTExgkk5&#10;T/odUrAg4wn6amXYAUQDGbo7mN/46MNjHSTDs/i9nN7HHBDA/cC1FeF3RuCXsIMDXn4VFZaYC9YC&#10;tJu/ftmy2l/AYHwqYsEJtTrNOVdzFXGaq++9e4Mk7N7s4k8OtthxbDPvfhvSghSXK8jw88Jg1/7y&#10;jioZdkx+ckUpf2x46QDux4zjE+9MNtaaaoy0r6B3MKnD9bUIrYoxpjPDELBWqzWK2v7XwhSnHE8/&#10;8+5b3w6DJfRQ8L0yJ5DUuXSlu6jYn/zbn+AGO58rsFhZbtwGja4u7cpcsq8NXdEu1Ny8sB+WJ0nc&#10;wX5hNlWABkbC50viyCscK86NDgrMv4vxfm/ATBugeVrjXtD7GrqUJDA9KzGUaZIzFInXe+wpovNT&#10;ypt4An3mAx3IZW6qq7jDdaPlchKX9Ti7us6TByTVHMp/ho3KIegZFgI8V3EWF2CaLu3OIMIh7aEz&#10;WDr8a9ypbxdIi+00DQej7y1cFsF3yDxKAVPL2dTWiOUtdnrx/v3fVph7KLleO9lHdQ847qK3cJKe&#10;j29OSRYyy71UmO3H/HFl1ijGb59KQpHvQeVw59Pj68BzDvWh2BX/g1roGVcTLyyCXuCYUv1egdLp&#10;/mgk2oebm6mkw+RIO46ajNqWl7Hk44dZ6qO/0ypaBJV9FJrwM+kyblZQUBg3U2rDlRWiE+EE27Rv&#10;SItzBPStyfQbQJYOaXeUBZy8RMHqr77/4EGQRuP8hRa6p1j4ZrKpPQeZukl8zZqa7p/5PZNzMMQV&#10;A+HNNXCZbxd2vLiSsR1TS/t27Hizyv1nDgdYKhA4z8H5y+QiM6Gw9VHHJ6+kfMwPwUELomnvy27s&#10;/asmjfcWDPx/pbxf1l0O90ygrqV7KGopKM07vw32YRiMAIT27OEVVyroaJcUBbz3mM/eeq/w+pIz&#10;gLBmoDmImK7ygQvNVvPKwAWNRGfqIMMOFNqbXuvFixc3Ui9jljjH++8vq2Q4EXTDeE3QxNg4lXXW&#10;LInuC3JQ6jy6pb1iLjQZ6kffvYiGft4e2sFqQ8T07MZRNid4HHNeOAsdXf0sP9+i1/SqjwBNEeru&#10;6fkGsPwUJw4Do1LR/nagJNCsTh1ncQeRo9Krec9BMXfnl1pc/OVElAv88Mq+IBOoWffKWClW18nZ&#10;+aIwegKYFmLjwmrtDdfx4+sa1rNiscsfSTm55k3y8i2AWr/sgdBZ6Xp7zhKgkYvAuOVJoQEbvF4J&#10;CH0VWqoOMGrU8IX6+6vqlDdCIvgaDtkhVY2NHUCpPplpvBCBP+ubvXnOtv3oNhzTkpOztzikrp3+&#10;WzC3dQgdOCALS5e7KeeLWKa/6LPPxzvhgA8V+E5n8S/seS2rR322TvIPFpzNt5mKzDj+cwRVXWBw&#10;8EMlMBlmCtV3bLiPqqj4yXt+PnsOw5DHsHeg9G+uqE7Lc0ic7LAo4DD91xg1WtbaCzOJTbTg4gSY&#10;G/t7hUCwftja5QWCjxmHtmIlORZT10W7zC3vlU0Y0CrcYRjAPjRPFBVhY4aPE/c4dADPkGL2XVge&#10;84cU/lh28Hf3qUZ3QAMzoCLmxey3bMvHssWb0cAe8PQc/fX+vSlfvJ2txP4SxmlNHmw5yoCz55qV&#10;K0108QW1TR7b9ByFrpyvc6y2qU31IPDFw1dXVd+J3x63AhAFdGmOjxISDp7F/7LG9KsF2nuD5CJL&#10;px/HnZxml14pjb10aX9Xe3v7SFr+ApiEaSEmNtAtA0ddqeQ7qcDW0y/vjxBc8QQlEjNG4dPhvBYo&#10;8uA6OoUMOAS/zUb67U3eAHxZUhqmgvcTQsOuEXjGwigGdvuT02LnKabp60gbt88vsS+aVcAykB+9&#10;ReQ9VpVUmxgZpfvly0/xYrHOGnDjGbKb0ujHA7xBFWcBq6aRw6ZuVd+QSumX8F5pIHJOWiYS0uvq&#10;6g3+u5JO0mKOrIbX6G7hJrEMbFIEGQotMsWw0T1DIPZz+iDG11WwVel8eYSKosl8W13AQClQR17H&#10;2bbHmJTfPgXXFZ1feiDwcaK8qjr4kYFimP83AOD+6VfS/JGz9xzmG7ljhlYJqOPFHGdMRserOYv3&#10;zvjwmIP5sqQs/zyByozk1kVQ/W/EFsSZTk9telKhMM8j14RqF+cZpFh60f9hW4IWnnc66vO190er&#10;VtUBwd/zKVDV5Z8Gr9oXn78084uK+QPoRA3oTk5ADxhoWraN82z2gdKgh+iWFRGDtuzS178cXP8I&#10;pq4D1LVS/0QvzadjKXq1JPpbIeV4AceD/i7klMRQbMGUud4/eRXMF5dzxXO05pkCSl7uA30KHBwc&#10;DwT21FKRh9lHaci2A5y/yopjeaDJDMh6ozYLwSfjY9P4FlTjL0J3LNTeuZMPkIk+7Xl/+j0s0zTr&#10;i/3AQGhZuz4uJDY6DOCp7awuK3VyEPgnG5V8rvo8L7/oPNpTZ7noZaFLHCwWIVCed3t0XyS04yNw&#10;+cXTl5x61U+BK1C4w9f0Tyg0pMuNLdXUzh5Exq0FyFKADaBc/ReX8PJ2P0BdOOEuag7r31sEf8zn&#10;l71/ECxB5v1RagcRmx1Oh4WFUXPbtn+I8ihfszQ9EFq6IbGu4mUsJxIU5lpct8L89RDhf5AfrHgA&#10;bVXfYheaiAtBx+Si4bVsHyGWEJpDH2kiJ9/NN/EEmTsNQVb/w/gWhRDxfSBSwG4qKRR8i5ZAbTwH&#10;B2CqSAOrMs9gXeGqNWtORDVibk2iUT8nUPvUj/VsM2YsF0RA3M3MEAaFKqjW6L+D381z+2EHBwG7&#10;Y8cmwzvlxNSB+R2GypVdLG8e64K26Bh9OJBEN4IvX3HgR4Or575sG/1LKEFKwXzvg05lTcPBifGR&#10;WhWsSat5+3bdgsp3XUgiBRgQSoVodJg5bL5AJWjL2brRGEH2xqjJYxyV2VDLz0nrowrHRtqsAs1d&#10;u75leXSM77C8OBwDOjDeoIyEVw+zOu2fFyqzU1ICH6BPTsCGvJqa37ZQqH2H79Usqmtyxu+ZcwH8&#10;Vdu+fT23y7hl76AXruA3iBcxUsnu/YMax62zfgwqQK1zsQgi7jmjfe8+dC1dFFaWgEJgM0EJ8721&#10;F7p6BrgRNMW8Xq70PMT3x7AOd1G1iyZzTk5ONmRKMu4/rbZBX0TCrIfoz5Bdc093ekKGLE1N3a/t&#10;ccis2z+FqKovM2T6O8znpLAgtSLBJKuhqa5O7bAkj/2cc8/LfjvIzwkru3IE/4qiYB9MQKSMLXdS&#10;3IBb7/4th99cvQmH9g/5nkPdbb1PeMgatQTrfUdxERKAupz6DZFvVIrh0StAcrSwwJzpepc42tC9&#10;2A/m/yd19oytnDUY4zWBDLhISkZG51hfezAf4sz4n15zLvAt4lo9Sxh+BuHCnIHMm9j/3q7tujU+&#10;7mWB3nJ5dynjq+WnJ+fnD3rTNGAJ16xmfZiYDbNzcLg8MyiHzu4RPBZO7MV14IpZZQhWMZquPXDy&#10;asK43F+eQvpyR7/8gquJ5rIU0S8Invz2ZpG8gp39U1wp6uHyEMj9lRUzsTdKnx8btBVRyc8C1luE&#10;GZOfZ1fGdZn8aM1v7KFvC5sSFB/qKcnJhq5f66LaMEedlgX/khLYqjxc2PN8MEPbxiY5OD9/zJbB&#10;4NlwQI23eih7peTy2cyXhauCNz3+xc1H9x2VBMYHcwIz7qaxVCp6XTDPPgqyt2gjDkxDY4J+MvLq&#10;Z3TpFNSO4T/kU9+LrWKi/RcfwVJAYuaZZy+5moK2x0FH9LemzXfKe1GaBFraN0jRPXBOlwBRPCVn&#10;3JZJwgJfQDyHqBTDn5o3e7aTQ1g79oLb+VJn1Rd/GHaiF6nKXGp7UCgw9BOKkLW4DUd/3VpmEQFG&#10;/troqKcHdgt5KozdcJ4xnXI5kXJ3rbhyDlFxRK2xZpFKglGpQ7+tCetHq+Lzj3tZDhw+vOj85jlG&#10;OJWzdLmPYo8t5k8Psn7UNHBWkH6wKC0TpPA1YLp4h1LY4J01Lw07o/aG4FfQkA73wjClJ2v0/m2s&#10;EZvAubLF2t0sWB3OeTkwkK1OPVuWmJmi76TXc4hBDwAk9Zzsumm6Cub+GA18YL0xYt29QMPw5wA+&#10;lbWaLexkpx89UpGFhkYSo+fWp5+7BoJzf0oW5S77fFzWmYrCiwvOZoc+lkkDR6BwLxOhFiy70lYt&#10;rRTeYJhN1kAuWUnTfgWEghkLye2jAx7TaYSpOIDjyiYwCaeNShlYgHymvgPhMw4OAmvhNpq97A/3&#10;ZbSx+aCp11F3PL2zBzxM9BNdVfMlD6iwoNa1dt+SYREREQzqhmxshUskN+vIow5MB3fO8t9p6/ZJ&#10;AJW7v19U7udtHwq/9b7BkoJOO/h8au3cebDw1493KCLq7Y4eve6cc3J+iGoreiQletn3ClGLJoH6&#10;P09F2bPaW5uF5usestPUvNBDcBHF/PUK+smQ6+4ER7yhD6FNHu4OI4vT5ks8ePCAgxBvR+ACOdBH&#10;l6DSa2kVNDhHSLdaq9YIvaJ+6RNF8AIIpL2POSj2fDeAUBvudXqbQdNB6F/Z+Tb9EKjOyd78ax4L&#10;q+hWyvt3xLO7NSExX2MrbSb+oXek8jS+1nkULC8Oc7AsBnVcfQrGT6cJ9Ay03txKOAk9M5A17j9x&#10;yc64KVC+heKev7gbn8m8CGZvt/BpgzBhGKxs3AZdlxRJkFZSO7UJEDNPmq5hsuFRA2TMBCwFLQCr&#10;/bG52awZVtq5E6+/fIJTWTSwpOFFpTAqeo3hAqO6rCguNI6XsJarTdAgQw6y5Tn16NxDokFTcOmH&#10;nd41HP5Cnn0at2LFEcBd+Bjj5B0O0FyVIO/85kdPv7ChwcWi679cKHKWdzrLrUQZeKlT7r7f9jjs&#10;9WHFpQDuXE/FGhqVfrXITWH7Srma1hzlXoMo7Ipe4tK1aw5sQG+AuKiuK1QmGy0YAWer7dqV8RFS&#10;ZexO3TWJDNIjZzceCjOxx2WU1Kmj5bLYaQdF04nyYVkAaC9QJwlp35T8PIICe2aokPLkjI/t8V0W&#10;alPr1Ya/Y1HxlbJ2bBaxO1ki+57gJlXA2Z7I0utuhZ+dj7aGFn3rxfd0vrld0Y0tB4ILLXaaqO7b&#10;V/gTZOmZwAyWuegV4O3DErOq7r9uIASXcDOkTC/lBT921n/XT+6UW7DuB+LNFApvjY+PnQ7us84s&#10;AZD63M+P4ebhMZJHDRoQ3SsAMMcfZDy1oX2C5zc7NDurfYg3xGqPwwRmfEaXwIVxEdn0kZPQ6DkR&#10;YwdBxmg79Y0gj4aen/LiDTGexWCA2D77M12Uk23V5OSkIP1vr4v2P9/u8OG7cxgC+a0FYjXv369a&#10;1i3u9aoIS253EHEUc+qvjb39VabbQ47ypYH43HOXrH96sX4YReFsEAoffoL9OWBt7Tajzx2k0LmV&#10;nkP0idQDVXFrc/qHh9seUNmJm14QWN8YA0e4F/C9mBuyPa0VgNfPvDy5EcLx7kXVBi770rAOCrGW&#10;DPNHP9VAtX2GAKiGlfm0YXnjPfzSC+JuYDLDDVbz6kJ961Mq+HFoiHWplWSbhpbcT53qO9q7ZfpL&#10;MfPejcS+V/R2FrOhaORXiFLZOrnE2WSP+8/P26Clh2PjQ7VbUTOAiK9du9aIWno8rol2YHN2/aFY&#10;hXgJya6r3tSbWKLptJOgR+Nv0cg4RIgMEReSNSrHTJAosmDw9oR6zGLWPyos3Ld+zZo3+7ZvT7z8&#10;Kq/5CjG3VEgjn7cubUd0GsDBR+lr3YJErA2R4NQQsnWtr8vmOti2ZEgd7dF8dehBFWozwjfmh2VC&#10;QMk33bEuw+46uOIbf7y2WD+IBRfsGBKKrrOARXRGrp8J/yeEbQV5MbdN6OhEASgBaWhCudBKMGUJ&#10;b+3IynZUhhar1q//eRlS5gCZOYuGUPXZoFh2O6KhlhzkD/oy9ulTr1bIH3ZNU5tI7B2Y1mhcYGFy&#10;6j4dKgp+ZDzwFHK98TOHp9j0UwCgQ9G7HR2GMcJbKsz0G1BCC53XOhY/3cz5o0evPD3XPYtyO0nl&#10;PueFKWsgBXbg3E9cyEhYK/Jzbmn1PyUKUvv/qdIFFR57v725ITNr1HTdYiTjGitK+L8unt8eNzoy&#10;4oE+CGbn/i30GYl/eXZlXl2z4fU/R4g+J+IGWkpPSGQ2jcIjRGq51YAUdaQIPjdjYEbOs3Dhl+YF&#10;tdc5WZng6v4HM99Kt6Ki0mCMxPMZih6ReXyRGBH4S+hcwtT2pOXgqU9U0I+KD+Oa+FZO8fT2t4PT&#10;wY5NLvoddAibhPNCM1RpFZCK8CV/jpLYbUm1WyiTqTVWw+Pn7FUETomMuaVRGnEkN+U0tqQjTqgg&#10;9g+v+BQxrx86lMJ4tcx4/WTK7O6blGkktJgeJsSAga2QMurfKyQNQGLiijUNjVOzQZAVYtuySeWh&#10;jXsw7eszTqSmaeFlR9D+tk9ug+aumvGHAE6AKJMdsmj4I3uzlrzIrKqvr8B6hu42VIOY0njPGJcP&#10;McZ1+KrbaIeRo3I0LSllL1/uovKvDZijLozynTmX92oaQnB78ijmJKybI7fjTyRUec0R9RfeDxQp&#10;E/yIf8Y21k+NtuoCgXB9T6GTAPlHtM3IPxwy9d8gY5ROd8rlzemcnHvf6u9J3ATIj83Aau5Y2nPs&#10;aWsEJRXEBA+nD/mwDjNAz0vIEfxZbM6uAbzeHqinTv7pzAqFiERoLNebNvrfrk5DtePiLmrIx8t7&#10;qH/d82PzqSQkIowofkp5xJhjAe/18TcGcDvZQmWsg2JfZ+erYz1P3r0/VIHRlMIR6Sqq5WFIx9eP&#10;tH6Z+v7OG/sQNofcQ813747fs3fvh2241SKQipPz/js31xpufKipNcyy9EvIO7GTP2UhT91Hi3EN&#10;4htoClYAlJb3uUaNOL2/DjKj/5wYxKNbVEIS9T1jxjne+J4FblVd5u5floikn9n394Qsv5w9j898&#10;z5+BBx82K8xZpLsNd+7fEp1GqfrH91JoxyusN31anYb7TrSCCpiMC4S/PJPSKa2tre3AgSq5c/eu&#10;R3SODc4CWJyTPUSV0j+UQ536GTMMV3yMHkHvNgLpovVnAWtkmEn3k2MtZ1DkS0CTFxID5mEA1u3q&#10;4AebyC1Cwj3xIROEyteNAVsCKhCQ/2PkNiVw1i1LagUMWvz9wznV1dQkwZ6DvBCOt9uqvuLKDAaD&#10;tZ5QuQUWXKmU1TBuhhuaihq5fgjWvicZjIUCAorRnWa4jnD5Go6KdTNcc03DWacCY/LREegNt2zx&#10;sLcOg/guqWW8gIkhTFQPLHEw+dHEisr2uIsLx8uTb/HozVBHfCYt3q+/aNLXqS3tw7fcJLZQ6zHY&#10;uIfuXhBFxLBCggOp0cywPniUGDAxLlBXAhzGU9QnCS1O3W7cYgSntreod3mz//Ciwx2Y2tf8WXkS&#10;nmibqEeIXfURf9G8IxsjrNCKLBUOKgISfIqiVdUwPGrqnkh9rEVMeQdS24r5tN+Hy+23i4SoehYs&#10;74EEc4VUxNv7oIZK37kL3b/wixm+Ac1klhYFFpAa1HOdZnqBJ0so5B6EGmE78PwL6IjWrlx5fh5D&#10;Be/w0UU8K7VxvgA/Pz8jPB44XCU9LDuWZpWcnKxHhNxPfP4VMXOvoRE2UlRU3IWSoPDEk70zFJTk&#10;omNoURxHpTswxG60Kh6A+Mb3mpuvDas3wSmPg+VSWCPmHeu2QTRa9epVp4GFRTS/PgeLv7Aw/AYM&#10;ARyQ2fcYfkKAeGzHcVlPxIs30d67cs53d3d/xTjINgz+WmhYFrvlYiq5jhr/hRZlsWy7tPxVxNic&#10;RxnVs+dazACok1Tbxe/Usj95bTzkT5DsLPfrENyE+zZIHTNO2ILqnNsXeM/l/YdbQaB7xDRJVXQq&#10;cJ84fEy1tLWly6QEec95QkC71LR9+wJWEXGLvMEDVKw5O2eLC7bhIEgYAQIHWKf9TD6zsABuQzqh&#10;YWGPaMXUQdhkWENBGAEx0NXTSm3XkkxIYeT2h/fyO1UUlpJ03NUa+1deClzPYD6dLUR9HZQKp6tT&#10;379Cz93zxnd/6WzABI2Ip+fx0amZwpJTk72bHMZQHt0mypLKv5dSbgoYK64m8IpKFH6Zo4ZzjC2p&#10;5SC6BMHmETrsakfC+AyhnK1csGz7HashsHvHRvDfrMf+/nXHSJSCQJqEsHDxBBy2fEHqezi/9N+/&#10;7iLPBlFxEZFnC+H+D5mDKmIAW7ydvzPLhcJSJkjCCmvw4cxhUb88vkdl+TuD8Be9Bd3dG2GUaovi&#10;QcNZgE100iB8hfbNX9iFJHr6QpZ5VLja3d0eVFhhAR53Q7sXlgMKoV7LQjtR0o6vEyWCf3sm/5Fe&#10;LD0wnUjprg0xq9eCoDyDJqwbCgz+M2VQ8p4XQefIQfrBY0oOl1+t1hJv08DxAwa3myqQHWoceq0a&#10;002QVbGAW1Y1gBd6rwvKrkZmzFEYvk/rpSV2dQgGqi38EiJNmMx/IEwMm1HdeeunJIaTRng8u6Y7&#10;odomx92L4EkCf+/d27uIn/+pJn+SOKQPR4BOe/ljzKWJiNeVUDwttOBSO3HajvAjwojIU+elWqPI&#10;TyAoPSidFiYF52aEAox9h3nZ7yDnFpbNXee0VZhTE2FriDtJkQcGrdzBHVPPUVsMY6/3Rez0HPVS&#10;qB2FQUQBLTRJgGg7l1HpbsNNA9/W7YGqrWB0nqER+kxkzl0ceL/6R7CuIl8j9gJfqIy+ZL+7sxyj&#10;QE0IBA9vkvYLAyJK09TvmmvN35UYnBeSAd8DP0bW7EDVJvVJvSXz9CnJbGUgJ7Uo3LEOKL4JUfkA&#10;8okJYKbsv15K6rcijeAFp30vMwTHHvXXAC3RkgRtxmfqDdVOdCcsCl2wiWgr4Tqh9cNoYV9TsCfp&#10;uxQRMWfql3BxSX2jctck3WwROSDkm3qDRsuF5AgT/b3NVxCzq0291eLS0qKIJHhiXSmYSaPebt8F&#10;F1z6yfIPsov0T0wSabRkpKV3BGZo7D2dr/BIufNUBN7zfL6A3K1JDi6lJ/9fmAc4G75fowSIIN4W&#10;CqZlEsIGOaczzNFj8eieLk0jMXstfom8e1nCMoEx2GGq4Nm2APYR+m6L0sJssOZ6J6B/Yy6LWXjt&#10;HOi6raTDjM9xbGu5MLAr3+La9w7BmBe3fs5Ewq29KrZOeCpQWpzKZIxX7UioPpo1WtVZDzbfQGE6&#10;167f80AsGcBML0547f1/am2ArMeB55yAyjDk3j17lsVCrDUCfsExIpyzWULYSUx0KN5ugTXVIYOQ&#10;QJ8HYCwDEccc2D791UDzKhhzqmhab4qrVSrFoclP8qATJJOC4ft7zBaGB5W5YUfbCP3rBiz9eGTq&#10;bcNN1bYxwApSa3pAWh1RWFhoToIKBA/A0hWgqRKFtpw4VEts7YGhrcKtzPEHIynboPg8EkjbwFfN&#10;k+cJPsgUlI/xcT450gLcO3rs2DHdhYFiHxCvlOLtLktv4LnIBvXS74CAmUuhAmg0rQf2tQc0zI4V&#10;V5ZuN+Rw6B0cX1tJnTRMyBoxkajwjEsnaBSF18H+v0S+ia1da64MFvp8/F9o3v8wwuBX7lZCGkzQ&#10;vE7DbkWbS5cbL5qTKjVjWqvJBlEwSjTb48Sd4LFpkCwL8e3KFQNZPDRe9JnYkhfHKyDgQNTdKype&#10;MGK/WmpaU7x/RojetStX0uYDJnjJi8+BTQV8v/4itKLUirx0idMET4yUHKQHotLG1PtfDXA6AtNS&#10;oAmsAeoqwlNzp4/tC4ynBkFFjGXYK6Cr4WPzv4R2BONo0uQZbIlTXEN3lQtjM6Jgh+dBcoIs+B0m&#10;fmULLOYau/780BUNyvoE0Na77qI6UWMEHp+v7wBqM/ATnpL0ATBfes7dC3CLUEDjo8Pli6dwLzkI&#10;kTwXPCRyaZPw6OJZ0ISV0WLXzWTADanSKrUGkWMG4bAvCID8lqoANd/t4amkBry7O+Up9MEu8Uc5&#10;y1ZrkZEQ95y7tpi+81FrOG29owadgr2mWPhxTM1Z9188PQqvXtd5YTRHZcD4pxRSKERjrw0ZFhpU&#10;pXNlbjhZSyGZhVGyRpbnp6tiyT9XPZ+LzdXdPGhKDq5nMKCOj9l1SOBLgyQkvP1s1Usehq/PXj0X&#10;5qtahhxf3kveQvfEwWCQR7KeaE9xsyS0QDYkF6F5/ZMODukKDe034CaUQGJQXmPyi0jEpuxnhFU2&#10;gOq1GoKQZKgKrkovetYiQzSA3UCPtKvs4XeMfSVuveWTtHWrSwA+GpuaahbKVpyGdD+DbZNzIebC&#10;cEYAxjqyEf+XVg9prsHWpb4A9qW/F8ScmloCAFwaS8U2Yyhjvlrjb/lLU2qR1/HhYOE3M0az9rsS&#10;rjy1WYZ03gB/+a2c44JXeQMKDKNff8+qijQh8lyFLAV/IODiRe1lxpZAsBaV24lwagGyB58OF8Fa&#10;LJZ9Xg5tSiRKqXSo076o/KtGzn348CQPjvTGfwWQd+6IPcToDZTyC2ZBO7DxF6WS/DdPaN7wMAmE&#10;vEHIO8CtTrOkHZarDbBmF9JVKCQNF15SFLWup5Pi5rCxHQeMOWkJkMf811/welnzWmc3U3xM66OI&#10;is/91NXfWfnfGsEJ63ml8bqxJcZMDS9MernWXlHl/DMYQKLc+xO5RmJBe3DL1TvIZUKg8/0BKwjE&#10;K0e16WiNotBRAQyehzK7DITcovph6BeeAXscosT/kmvGxH+FAFX2/X9BgYWg8uSzroh04QuTkJFx&#10;Yb2241tgbZ/0quR3C3+EI2K+pNsFCVHb5zpOBsjtL9R4YyWnxTO5CYaoHAYUn1CHTFJ9XMcLGec1&#10;8YW2KCh8sAXkGkbC3wsZHSZ4r2/g5qJWAzl1VZXeEtz6+L+oBg4tZZ9pDhBbDiXZggZNA9rDttcF&#10;A+ulpt6kSaXQgCt8GP1kD+pZ+t3ojUnydN9d+N+3ynpmF4cH4CE1VLEr8wRFn5AKB0HxScZV37Z6&#10;krISREuEC4mloY+JncZNF72jRb9C2rq6QoIUZ3RPLkt1xMz2eQQnCiD3ClFvjPpAwGGD4nCtYBvU&#10;NfOB/nnoEXeCpnq1Ma1XDPOBV9p+IqMC69LHLDXdznWa8+vp6QmkQXhcCM4N4BIfXlh57yk+vqiV&#10;CKUj6+flW7otcUIHAGTR7OnlW70iTpHh2fC+D4ZP0V6FwK0CKbmJYsTfQbxPkwzFJxX0KcvXMv2d&#10;WF8r7jI16W2u70VncAZDBdMczjxh0+IfBoON9/zcg0ZxeQlsEow5c1LbZYCbL8GuuzfCXw7s4eed&#10;6axE8LJgvHLwzxUYbjpOWyTe7dssup5jGzqLW6Q2xSoiturYGakNvDOp2SL3FFzs2F9qV4CGuHuD&#10;7YdoslNfGuNC82kuxdQbPLZZ/F/0/c718NPSuMhzOahjLzjf3hQAZEcOHPidm5Wlz7sVvEy94owk&#10;MaQ+Bqn0qCwnMA7Kfv8LF9g0AFQTtodOtHU/3ho15aS4F85bLPoYmOU90u85xYYOfn3NFUWkIgSZ&#10;xVy2eXhuwvpeRL7APGl3KOARAqaL29MyMoyft2OM7xCmVS4RkPF0QSop/akw/WdGhaNxvUqehJrb&#10;OnphmdSf2dp2bX+afzv3/IXCEkgHX9E3xzexXDixxVkDCgd9GnukRPlIqmzRDXl2ulcNtbXtQGhX&#10;xyvPNUxvJU8fTBeah3WQo1GaWn8c33sqAGQE21BDNkBsiz+T395PJD4Xg7EFJehGBSXM4GFSiLy2&#10;d0Ypz0PmddFYsI9B6uNXWLl1UzVOugBLF5ytQ3c6l/jtWwdN3Mp45TM/U8GbuGMzBvW3Xfc2lMZZ&#10;PQYQwYw1Swg50Wq+MyvqzUpuw72TS5e7Gx35ReTfHsJoGWHgYSZ6Mot+fo4QHUEXE0ftAQ2KrN3B&#10;3Y3BhWNf+sldj64aDr5bwd35m9j1WvXPLsGkfv2WNdAY3K3t2oKFVG0ICqrWITsPlQh3lzIbjqXi&#10;XTfDwDwdVnB7UL1UvuO50hkggnaZNtwq4eg0KgiG7Ri0rtqbLsNOYxZ+9Zbg2eVp1AkK3VJyNp2+&#10;/SeobIRe3AhrI+sSErzx+LOBdXpVo4taiznFsh4s7LA+ZqcEjNlF45kMO6fm5q3Y9COK6LMa2ulK&#10;gAO60JVpGJib7zx5/PiFOqQqDOB92X3Po+fSHw2IfcugdKPjQMcivNAgA3DhAUAYgIdhNLvUcE1O&#10;YGekz3ngsAINjZvCVEmv+qJ7AKNCYyjNMe3J2QiIgNst2xHVIc1eNitDW7cHI2LsaY5I0WWF+KVY&#10;DB70/wVtHNAZOgN38mQODvMEgAIA0xlSL5d1zyshAAs6XCtkIpnqvi11RXlIUrsZjC/YhHU3oUz0&#10;97wSwNKK0HAfP35/bXWfh91o667KohqqKfH2iWB6IfWdZMEQJ0AYoNywVEl6Tj0g6yVhfeArBxiM&#10;VxAjzs8Z4nU/z5QqHzQNc8iZ4EWQNPgQRQHYgE2ECoZdCPiMqHbSd1hDKHUAW0amZZ270IRCMbZM&#10;/sS6eF7arR4Sp7dKB8oK/S9yHLvqAkAmJp8HSPCZattPgXrisCuowcMWhMWFPGI9vVJ6tUj3Xe5e&#10;6MMwiQo80XDdFyAWNPJaNIBdc//nc1m2Ffn2JSQnmzrAurmquks8ulXygmcWA+cODOr0S0f1MtX1&#10;KuTtBRseEtpTJwyQM9YCpYHq4KnW62q2PMhDrxsa/gCl1S4Bsn/+gMBOYDdU82LoK3cSt3C7qTcA&#10;IYV/imGqkNFR0jaEjYywSqCQoWARMIKkPOE7ZDZ9xKZvJPcGkOIHIf4HjS8gsGWX9Sb2ConFPnhe&#10;QbIo8PbgPYrEnMt1V1cr+QQ6BvXxDEKTVAZPja8NrJG8rZ9MrdoZ63ugIzOR6GHEsbb/L9FH+7hj&#10;MzMzwQ7RGV2oUAh3FgdMUoH9DPYd/n99goVzzolhgW8upLjKhMZphNRGcLDEKI/qvSBjamH8FWgF&#10;x0Nlfaw3s6MXyJ3FEKbmUGPw1Jj8ZwcePHoYnI65J+7BmTl2MzvbuR2Uep9zgAR0aGIoASpAzfMK&#10;tiGsbNdfdTVxxtzFe0u/YCGPoRv35xkqW7cuSEJ0Pgw9XSwltH2opN4vOOhsXOI3HKbEnfWl372O&#10;hJSo/MQJk+r1Hn9nz/MAsw5Ap9ZCdHjlhbhqjsxnW55JsTn1QLXQtLpuRaF5RGMMChobYKVTpIR6&#10;QgOWpt4Y6YkDj2aJ/Vuypt5AbbtDwztt5NlYf9vBzS1NVFSUH3m5yY7IBvQAhvgruHlQKcC54heG&#10;DMqtzqb+3XZ3dxT9Rg+FGGl0NBhdWB1vt3AG1BuApqeHDTFIG2ohorpofvz2SJiTjBzfvj1An1I9&#10;yUU0xmjccJxYEnQcBhhc5E+DB4/LSgyCcPSPCl86NqtaYC7U3P2qbl8OP2ya1+v9493jkvu0ywPd&#10;G/m6Lq/uW86tNGPWrHykAFxcz9wOJ/meeSWAIlyZqnJcF5Z5nt9ap1lL02ZIISRnu1jmRpBr/N8M&#10;i/xN2N/s7ukp+KJ9m9uXlz0JaCxCJ6Nnzlh+TPQpA4ZYX8ArqNHOnRRIEuAGuumpYlhrNQdLZC88&#10;7v+wqBWF6f2l60yXFj1IF7UYzT2Po6slaUQoEicp9tl+Nc4JpS8LrgdsrVtVR2UlDHPCUTEmASN4&#10;5ZyNjFGan5CbLO+ESaCeR159lNAF1NyZkD2/xNEQSg2MjNE7HFNAUPE8raJyLKzd1bBED1Lyr5gh&#10;ZWaooBL7kvf8g1NygxFG5OUgK2Kn5hbWxrqnXnx2PVRSBeikF8XkTtHLZ6klxr7IFO3BUxc0iux4&#10;WJmZliJpIfLuv1e2iI3162qDRAU0omnlr17x1FUrKcVKyMAw1x0U6wCYGh93LwLOwOJXoFJi7/9L&#10;wBo2l/yXxZYrwbKu4RaCpwODsZGCAIUpX8+3oTY8GCjSHhvsGogG9U0w0iNoCBBXZg1Zp6akxBGw&#10;iRy7VOZoHZ/CEr/0lATeAFjzskvC2HMuQ4UmflBfG8d0Ds/L9GmUvMBr6wlLkRDkdwDv5fIlHe3t&#10;DzkYfqSdWyAYi+eZUFv5P63cQonZ51R379//aQfh4PQO6Ez8vdKeY11S3DFwFxuIigywysoRMv4B&#10;2Eq1X/Aput1sQnxgElLsLqAkmLZaHBzpXv9xeqgYm8E/6oARN0ZiGkQeeBjok6lWn8k7U3+ZDtb2&#10;BIBm2YxBvzFj67/7inwUza4K5Ki3BsoDYOaO9plpEH7733JyhwL45JXLsJnCGbnp50+fPFD8u662&#10;Z5uU/Bro0GVxlvM7c4YlP02H5fTz9fPOJ1gD1cTEKmbXjy/S1V6R+seehyYVcKZPsTD8tAFVOu3b&#10;F7O+uq86Njk9IA6PbN9VzVpIH0bgpX6YelLiRD8NdXV2fm3vp4IZ6Jmjs5xiEhCfRWnzWwP5MjNB&#10;V6VAuLoHOvZRfZwWdr6Z//XECy3p4KKu+LyKwdiA4dqrMTHHLg7z9FZLYm6gaR+h5/r6WXLr1l2c&#10;Pbznkheiwm8SXdCUBQH1Xl7jagqTf47ywNQwHe3IAEaEKsGYnzyV3iuyG4pvkvqBP3FfEktiSsgG&#10;oU4ODFlVCOJf93n7NNKL462NUZ/idixt41hc2vH16wtRNG0IypHL2D4gGZ/6Jxm/sCQheTzEs8Jv&#10;/DuVbafTWvW5CjhoaFE63DZ4iqn+iSdIoWRUa1PbcD8w+jgra/2xqdqAuJHn36kygtuZwNbBU9X7&#10;jqZbQWL4UkBfVAdhSoaP4QfcvjRTygtbf0fwb1BclqDhQwUyD/+CIKksCMEmK94KTmjZXO//uSb1&#10;MmLd/jb6fAGAk7M6n38n+fyZuVH5mWp7OCdWcmwbOFcBPEPexMBg27JRRRvdnAZJGCE0fA6RroC3&#10;qxGmIGVwLYJXNu0wtIQoqZDkj+h7r/Rvjwv6AhK/Ox0Ba7pNqfCdAqb6XxWQFxopcQFrJlIjsUUm&#10;GryIfRhEDBg5NMY4d44V0K3aAnR6e2kcBuQBq7PVAFDTMq6Jk9sCz1PAtEQpuBeZ3gdTG2F0iTfL&#10;oV3FmmPP8sYvttMnMSEhIQn/4VQfVFqCr/GpadaiFROD86qVT2ok5wRs3bEjdbYj97R8nyYIqdlT&#10;0RgDlXIVewVxy5g3Q8fkqDEW2aczgIS+ryL2f7KkC2n0XlMB7w5vLMsq5UhwX7KAN4bpicHR+a46&#10;4fSIa09yAuKgVYChVPUPAnfh/RMP3fHDKMv3IRAAX4MawBGM/pxq5bVX3QNLPnfC12JN8fv3sgUj&#10;T+oBL/hCe7eNBZPhyCYNh9AMV6O2RnWHoktOFHwoLG1O2lDNtNVyGwoSqsOgWUqCIfephRMPXa+a&#10;2fFMI4T8JTjeUigfqP7U9wKr4FbSDsvBj/A4wkhDNGLXt285sNkDkHP+euX/FG15udM+uJhmxWu3&#10;q6TJslToD2/7alLON993EyWioXTlBshu/to6OvqO4Az0XEGY7dcO9Ov++OXEkznEjntj0LkCoQiR&#10;29hqIHjqe4cAgETYCouRhCyOdgAtolB1PSysMhcG7YEoDk53xqZInT2chElHdPQrwFZinOxpjzsz&#10;G3QlGnophh9xwB0/9S9fuTLsWnj4F0x7ST6Q8oKEn0cDDwOTrHHpivOnw8ZCf2GwSyrNczGNP0mT&#10;vDQ3Rv+Lkl3ccfIp2n68tZ0SRLVeg0kcttm6iujnqIphe5wmvHxmYu8Lbz7sYGNBMP45Nqng+S5u&#10;I4RGKy5rtv4M2+/jU3gMxeBApHIuQfXwIDMdlneEsscB+cERAjluHEbre7ALCzisrU+FjxOsJmwx&#10;Tx6OMee9UMosTHPE4GMXfuU3EMuD9wph6ngYAdkNRLw/8MgF4MrqxS1h6GfSVlUlHDwJXV3TI4oB&#10;s8r7RS6tnztdplw9lLYMml3/0Wi5o0nWWlWxH6zARMjrIqhAJWHs/nIvZmG26HuhLRKBnsHPTfwK&#10;DtCqfbFwqNgiK3sfLMtfjAEcbPEUeEo1gPqKO3BlQr/MWnMXTkffP0CX9NgDmg2omeH+8P9Uda0h&#10;TUZheGaktpmpM6dJhc3cCrMwndEUmTMaeFnkpbxNo7LbDxFtw5nLC6WBSWLJxLGK6GLLkIhiMEHz&#10;AvUr5owpamyUushcsgxR1/N+aZk//aHbOd/3nvd9bgfnT3VI4SSyX4MxMBpRb8xqsvTO/UL8YYfz&#10;r6YEr2Ihw9BbvGrK2Q2zJ4GO8/NASnH9a5W80bsCJQ92UzWO4DtNobEOX2hph0XA37niHmKHIa/M&#10;addqI2yNmdssbVqtNQfc8SWMEHRoVrtymdFn8wTMnMwn3QNxL96zsBG0HGTMA34rFvcAVz8lTlzX&#10;F66FUAwMTc0LcUGIvwqZG2mZAE+8QTciWywVk5EHcQy6e1sLWNBI4c87P5PYGDnXhjr4nsllt72Q&#10;EiDb6PbAfdmTjCR41bD8E2cqu/k7Vsc+t4iL176ij33WjULdbQZ53OuoSzIGSSdtwHhbLvcKZXIp&#10;yNuLeapHfBMypaB5uJCLmOoseGJoQnuKXJEX0SgjqWgQIKrg3ZoqkVzlbNq9oTkazGStNNwHgdZh&#10;9RZP4DAYmoUybBo+8soN0j9AfEu3eIiBSZQZ/AF1vDpEvwLW28fAKWVQ/ZHwmVRxhoq4BQQxd/U5&#10;4O+RUySCCLaS/gAhu6a8hNBfZiXcbzF+/nPMY+fsTvSjzxX5+R2xO/S4ayQJh0IvKnckbV/FQz+I&#10;WSnFAfLeaUrrEAoEw0UuRis/CsTPY237fmjegOZbwhMSQREAqBc+qip8tXwj0iGSAyPTq25aaLqn&#10;7WO8bGRBYChBv+ZoPr+fFlmDK9XWCGDq9OWC1r7FSm/p6V2V6ejlW8+wu4qvhUtKwU0tjodeR3qo&#10;kfQZKNCKeRLv2yEOSThe9Z9kP4O71xGDNrxxaIF6UCgGBjFKziohaHd9GxMlozn11DympT/C+bP0&#10;LJb7aDuJqknc/tLKAcFY/zGYnFsWeuQIEoPlViTJ4u5clb+HhGgHGaGefyc9itgifP0vxcvWVUgU&#10;Sz+zpShXNTbuXO80ZqjHRI3GHUVcowrW4ljVgxyTyaQE29WuT1BfSUH5qra5dMitOIuXUVPkopA8&#10;Bdx2TwC877eYze8H7Gr0INP0ghcX9PvWHAso/RCD/ycn319i9VL8xuXXBKTfdiUZvSggAPWjYYWy&#10;1WekI+agT3AEwQI4fh4qRUzLEZlcPaSd3tkKyB7fET52GPkeKDFSm1MHoiIKs9pBHicuWyGTNZ5D&#10;S9yJ0E+dHmbANAMFrzTRkwiUks0QphNWJEAEuv0OaFrun8gwxrPwI0tJl3ZJimp/A1BLAwQUAAAA&#10;CACHTuJA497mZmYCAABhAgAAFAAAAGRycy9tZWRpYS9pbWFnZTYucG5nAWECnv2JUE5HDQoaCgAA&#10;AA1JSERSAAAAGwAAABgIBgAAAAtAhvsAAAAGYktHRAD/AP8A/6C9p5MAAAAJcEhZcwAADsQAAA7E&#10;AZUrDhsAAAIBSURBVEiJ7ZHBa5JxGMe/voWv6ItjOpGCIj1UqIMJQvCAIPiCSBDSrQ7KoDCI7Q/o&#10;Yhf/gGJgKLzYwd1GjEEdPAjCK9KhYBRuB5MJjiiVZA0Ft9/TSXgJttRLFx/4np7n83weeBAOh6vM&#10;DGbG0dHRzUgkUgHAq6ur+0SkE5Hu9/u/AGBVVcvtdvvGZJ6ZIYQwbW1tPbdYLMPl5eX+hCEiXVGU&#10;k6WlpV+lUumxEMIEItKZGa1W65bD4egpinKiadq6EMJkXJjL5Z7ZbLbfbrf7+3A4tEx6GxsbrwFw&#10;PB5/f3x8fM14SLPZ9BKRDoA1TVsHEenj8fgqEel2u31weHh42wgYs7Oz8xAAV6vVMDNjd3f3AQDe&#10;3Nx8ZTzOmLOzsysej+dbIpF4ByLSM5nMSwC8vb396CIRM6Pb7ToBcDabfdHpdK47nc5uMBj8NBqN&#10;5Mu4VCpVXFlZ+YlAILAvSdJ5Mpl8exkwic/n+xqLxT6oqlq2Wq2njUbj7r+YQqHwBABDluWR1+tt&#10;DgYD+zSydDr9RpblIQDO5/NPp2EODg7uAGBIknRer9fvTQMxM4rFYhIAR6PR8kV/+jtCCJPL5fqB&#10;UCj0cVoRM6NSqUQA8N7e3v1ZuLW1tc+S2WweY45SFOV0VkaaRzRvLWQL2UK2kC1k/1tWq9VoHrDf&#10;7ztmme/1es4/dTMXUJvBuVkAAAAASUVORK5CYIJQSwMEFAAAAAgAh07iQNsh9Z42AwAAMQMAABQA&#10;AABkcnMvbWVkaWEvaW1hZ2U1LnBuZwExA878iVBORw0KGgoAAAANSUhEUgAAABEAAAAkCAYAAABv&#10;2tHkAAAABmJLR0QA/wD/AP+gvaeTAAAACXBIWXMAAA7EAAAOxAGVKw4bAAAC0UlEQVRIid3VT0ia&#10;cRgH8O/7+r7+YaSSWsKamx22sWojyAY2vQ3KTsIWFiMIokPRDs3DDnqpQRd3EbqMMRhBjQndZtBR&#10;DTKDFS2wQ04csfXiC76MeNX3nb8dNsPcIfW97YEHXnh5Pr/n9/5+PC9FCEEkEnk6Njb2sb+//7NO&#10;pxPRQExMTKzNzc2tAAADAPl83gwA0WjUY7VafzSC1AZdi5hMJr5Z4BJiMBgElmUlRYjZbM63Avyv&#10;CM/zJkWIKIq68/Pza4oQnudNAKAEYeov2unp6fVwOPw8lUo5Llai6crIyMjmzMzMm7a2tp//dFJF&#10;eJ43TU9Pv7Xb7V9DoZBfFEWdLMuMLMtMPp83+/3+kM1mywUCgVccx3VcUtbX130ACACi1WrF2dnZ&#10;lZOTk25CCGpzZ2fnodfr3aAoqqLX64V0On2n+g7BYHARAOnq6vp2dnbWUV9cn0dHR/fa29t5h8Ox&#10;Wy6XWUIIEAqFXgAgBwcH968CqhmJRJ4AIMFgcJEQAsiyrOI4ztIoUM3Jycn3NE3/SiaTgxQhpKVj&#10;FQTBYLPZcj6f70PLCACMjo5+ymQy3XTLAgC32x1Lp9N3FSEulysOAIq2Uy6X1QaDQVDUiVqtLvf1&#10;9R0qQgCAZVlJMQL8HUpKQpIkVtGHLZVKGqPRWFDUyd7e3kCxWNRezJNWIh6PuwCAAkCKxaJWo9GU&#10;mkU8Hk80m83eooE/P/JmgUKhYEwkEo/cbncMnZ2dP7xe70YzY6BSqVDj4+NrKpVKTqVSA1hYWHjN&#10;MIy0v7//oFFkdXX1GQCytLQUIIQAHMdZrFbr956eni/ZbPbmVUAymRzU6/XC0NBQQpIkhhACEEKw&#10;tbX1WK1WlxiGkaampt4dHx/fri+OxWKu4eHhTQDEYrFwmUzGfjGoqw+5XO7G/Px8WKvVihRFVRwO&#10;x67T6dx2Op3bvb29h9Xi5eXll4Ig6GsX+A05pyiihXWcQAAAAABJRU5ErkJgg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CgAAAAAA&#10;h07iQAAAAAAAAAAAAAAAAAoAAABkcnMvX3JlbHMvUEsDBBQAAAAIAIdO4kDYiLcZ2QAAALUDAAAZ&#10;AAAAZHJzL19yZWxzL2Uyb0RvYy54bWwucmVsc73TTWrDMBAF4H2hdxCzr2U7iSklcjalkG1JDzBI&#10;Y1nU+kFSS3P7CkoggeDutNQM89630f7wYxf2TTEZ7wR0TQuMnPTKOC3g4/T29AwsZXQKF+9IwJkS&#10;HMbHh/07LZjLUZpNSKykuCRgzjm8cJ7kTBZT4wO5spl8tJjLM2oeUH6iJt637cDjdQaMN5nsqATE&#10;oxqAnc6hNP+f7afJSHr18suSy3cquLGluwRi1JQFWFIG/4ZDE5wGft+wq2PYrRm2dQzbNcOmjmGz&#10;ZujrGPo1Q1fH0F0M/Oazjb9QSwMEFAAAAAgAh07iQHnnugQEAQAAEwIAABMAAABbQ29udGVudF9U&#10;eXBlc10ueG1slZHBTsMwDIbvSLxDlCtqU3ZACK3dgY4jIDQeIErcNqJxojiU7e1Juk2CiSHtGNvf&#10;7y/JcrW1I5sgkHFY89uy4gxQOW2wr/n75qm454yiRC1Hh1DzHRBfNddXy83OA7FEI9V8iNE/CEFq&#10;ACupdB4wdToXrIzpGHrhpfqQPYhFVd0J5TACxiLmDN4sW+jk5xjZepvKexOPPWeP+7m8qubGZj7X&#10;xZ9EgJFOEOn9aJSM6W5iQn3iVRycykTOMzQYTzdJ/MyG3Pnt9HPBgXtJjxmMBvYqQ3yWNpkLHUho&#10;94UBpvL/kGxpqXBdZxSUbaA2YW8wHa3OpcPCtU5dGr6eqWO2mL+0+QZQSwECFAAUAAAACACHTuJA&#10;eee6BAQBAAATAgAAEwAAAAAAAAABACAAAAAphgEAW0NvbnRlbnRfVHlwZXNdLnhtbFBLAQIUAAoA&#10;AAAAAIdO4kAAAAAAAAAAAAAAAAAGAAAAAAAAAAAAEAAAANODAQBfcmVscy9QSwECFAAUAAAACACH&#10;TuJAihRmPNEAAACUAQAACwAAAAAAAAABACAAAAD3gwEAX3JlbHMvLnJlbHNQSwECFAAKAAAAAACH&#10;TuJAAAAAAAAAAAAAAAAABAAAAAAAAAAAABAAAAAAAAAAZHJzL1BLAQIUAAoAAAAAAIdO4kAAAAAA&#10;AAAAAAAAAAAKAAAAAAAAAAAAEAAAAPGEAQBkcnMvX3JlbHMvUEsBAhQAFAAAAAgAh07iQNiItxnZ&#10;AAAAtQMAABkAAAAAAAAAAQAgAAAAGYUBAGRycy9fcmVscy9lMm9Eb2MueG1sLnJlbHNQSwECFAAU&#10;AAAACACHTuJAlXT+ANsAAAAKAQAADwAAAAAAAAABACAAAAAiAAAAZHJzL2Rvd25yZXYueG1sUEsB&#10;AhQAFAAAAAgAh07iQK3ajIhdJQAAhUsBAA4AAAAAAAAAAQAgAAAAKgEAAGRycy9lMm9Eb2MueG1s&#10;UEsBAhQACgAAAAAAh07iQAAAAAAAAAAAAAAAAAoAAAAAAAAAAAAQAAAAsyYAAGRycy9tZWRpYS9Q&#10;SwECFAAUAAAACACHTuJAuwG73psEAACWBAAAFAAAAAAAAAABACAAAADbJgAAZHJzL21lZGlhL2lt&#10;YWdlMS5wbmdQSwECFAAUAAAACACHTuJAaPm3km4EAABpBAAAFAAAAAAAAAABACAAAACoKwAAZHJz&#10;L21lZGlhL2ltYWdlMi5wbmdQSwECFAAUAAAACACHTuJABoSCOyxKAQAefAEAFAAAAAAAAAABACAA&#10;AAB1MwAAZHJzL21lZGlhL2ltYWdlMy5wbmdQSwECFAAUAAAACACHTuJA6LxGFPsCAAD2AgAAFAAA&#10;AAAAAAABACAAAABIMAAAZHJzL21lZGlhL2ltYWdlNC5wbmdQSwECFAAUAAAACACHTuJA2yH1njYD&#10;AAAxAwAAFAAAAAAAAAABACAAAABrgAEAZHJzL21lZGlhL2ltYWdlNS5wbmdQSwECFAAUAAAACACH&#10;TuJA497mZmYCAABhAgAAFAAAAAAAAAABACAAAADTfQEAZHJzL21lZGlhL2ltYWdlNi5wbmdQSwUG&#10;AAAAAA8ADwCcAwAAXocBAAAA&#10;">
                <o:lock v:ext="edit" aspectratio="f"/>
                <v:shape id="Picture 106" o:spid="_x0000_s1026" o:spt="75" type="#_x0000_t75" style="position:absolute;left:4880;top:2341;height:311;width:223;" filled="f" o:preferrelative="t" stroked="f" coordsize="21600,21600" o:gfxdata="UEsDBAoAAAAAAIdO4kAAAAAAAAAAAAAAAAAEAAAAZHJzL1BLAwQUAAAACACHTuJASeBL7rsAAADd&#10;AAAADwAAAGRycy9kb3ducmV2LnhtbEVPTYvCMBC9C/sfwgh7s6keZO0aZRGKIixi1fvQjG2xmXST&#10;WPXfbwTB2zze58yXd9OKnpxvLCsYJykI4tLqhisFx0M++gLhA7LG1jIpeJCH5eJjMMdM2xvvqS9C&#10;JWII+wwV1CF0mZS+rMmgT2xHHLmzdQZDhK6S2uEthptWTtJ0Kg02HBtq7GhVU3kprkbBdrPrf6rT&#10;o9v9rc3+Urj8vP7NlfocjtNvEIHu4S1+uTc6zp9NJ/D8Jp4gF/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eBL7rsAAADd&#10;AAAADwAAAAAAAAABACAAAAAiAAAAZHJzL2Rvd25yZXYueG1sUEsBAhQAFAAAAAgAh07iQDMvBZ47&#10;AAAAOQAAABAAAAAAAAAAAQAgAAAACgEAAGRycy9zaGFwZXhtbC54bWxQSwUGAAAAAAYABgBbAQAA&#10;tAMAAAAA&#10;">
                  <v:fill on="f" focussize="0,0"/>
                  <v:stroke on="f"/>
                  <v:imagedata r:id="rId44" o:title=""/>
                  <o:lock v:ext="edit" aspectratio="t"/>
                </v:shape>
                <v:shape id="Freeform 107" o:spid="_x0000_s1026" o:spt="100" style="position:absolute;left:4880;top:2342;height:457;width:327;" filled="f" stroked="t" coordsize="327,457" o:gfxdata="UEsDBAoAAAAAAIdO4kAAAAAAAAAAAAAAAAAEAAAAZHJzL1BLAwQUAAAACACHTuJAIkVgyL0AAADd&#10;AAAADwAAAGRycy9kb3ducmV2LnhtbEVPTWsCMRC9F/ofwhS8SE1UkO1q9CAWRKTgWnoeNuNmcTNZ&#10;N6mr/94Ihd7m8T5nsbq5RlypC7VnDeORAkFcelNzpeH7+PmegQgR2WDjmTTcKcBq+fqywNz4ng90&#10;LWIlUgiHHDXYGNtcylBachhGviVO3Ml3DmOCXSVNh30Kd42cKDWTDmtODRZbWlsqz8Wv07Ce7A+F&#10;3e6U/+mHXz4bbi73/qz14G2s5iAi3eK/+M+9NWn+x2wKz2/SCXL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RWDIvQAA&#10;AN0AAAAPAAAAAAAAAAEAIAAAACIAAABkcnMvZG93bnJldi54bWxQSwECFAAUAAAACACHTuJAMy8F&#10;njsAAAA5AAAAEAAAAAAAAAABACAAAAAMAQAAZHJzL3NoYXBleG1sLnhtbFBLBQYAAAAABgAGAFsB&#10;AAC2AwAAAAA=&#10;" path="m0,457l86,337,327,0e">
                  <v:path o:connectlocs="0,2799;86,2679;327,2342;327,2342" o:connectangles="0,0,0,0"/>
                  <v:fill on="f" focussize="0,0"/>
                  <v:stroke weight="0.0154330708661417pt" color="#000000" joinstyle="round"/>
                  <v:imagedata o:title=""/>
                  <o:lock v:ext="edit" aspectratio="f"/>
                </v:shape>
                <v:shape id="Freeform 108" o:spid="_x0000_s1026" o:spt="100" style="position:absolute;left:4880;top:2342;height:603;width:432;" filled="f" stroked="t" coordsize="432,603" o:gfxdata="UEsDBAoAAAAAAIdO4kAAAAAAAAAAAAAAAAAEAAAAZHJzL1BLAwQUAAAACACHTuJAtv7jU70AAADd&#10;AAAADwAAAGRycy9kb3ducmV2LnhtbEVPTWsCMRC9F/wPYQRvml0rUlejB0XqQay1UjwOm+nu0s1k&#10;3USN/94UhN7m8T5ntgimFldqXWVZQTpIQBDnVldcKDh+rftvIJxH1lhbJgV3crCYd15mmGl740+6&#10;HnwhYgi7DBWU3jeZlC4vyaAb2IY4cj+2NegjbAupW7zFcFPLYZKMpcGKY0OJDS1Lyn8PF6NgixMX&#10;9qvqe30Ox0Afu9eQnt6V6nXTZArCU/D/4qd7o+P8yXgEf9/EE+T8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2/uNTvQAA&#10;AN0AAAAPAAAAAAAAAAEAIAAAACIAAABkcnMvZG93bnJldi54bWxQSwECFAAUAAAACACHTuJAMy8F&#10;njsAAAA5AAAAEAAAAAAAAAABACAAAAAMAQAAZHJzL3NoYXBleG1sLnhtbFBLBQYAAAAABgAGAFsB&#10;AAC2AwAAAAA=&#10;" path="m0,602l191,336,431,0,432,0e">
                  <v:path o:connectlocs="0,2945;191,2679;431,2343;432,2343" o:connectangles="0,0,0,0"/>
                  <v:fill on="f" focussize="0,0"/>
                  <v:stroke weight="0.0154330708661417pt" color="#000000" joinstyle="round"/>
                  <v:imagedata o:title=""/>
                  <o:lock v:ext="edit" aspectratio="f"/>
                </v:shape>
                <v:shape id="Freeform 109" o:spid="_x0000_s1026" o:spt="100" style="position:absolute;left:4880;top:2342;height:750;width:537;" filled="f" stroked="t" coordsize="537,750" o:gfxdata="UEsDBAoAAAAAAIdO4kAAAAAAAAAAAAAAAAAEAAAAZHJzL1BLAwQUAAAACACHTuJAu0GAVrwAAADd&#10;AAAADwAAAGRycy9kb3ducmV2LnhtbEVPzWrCQBC+C77DMoVeRDcpKDF1k0NqqSeh6gNMs2MSm52N&#10;2W3Ut3eFgrf5+H5nlV9NKwbqXWNZQTyLQBCXVjdcKTjsP6cJCOeRNbaWScGNHOTZeLTCVNsLf9Ow&#10;85UIIexSVFB736VSurImg25mO+LAHW1v0AfYV1L3eAnhppVvUbSQBhsODTV2VNRU/u7+jILtOins&#10;+YtdYtcHV0x+TpKWH0q9vsTROwhPV/8U/7s3OsxfLubw+CacILM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tBgFa8AAAA&#10;3QAAAA8AAAAAAAAAAQAgAAAAIgAAAGRycy9kb3ducmV2LnhtbFBLAQIUABQAAAAIAIdO4kAzLwWe&#10;OwAAADkAAAAQAAAAAAAAAAEAIAAAAAsBAABkcnMvc2hhcGV4bWwueG1sUEsFBgAAAAAGAAYAWwEA&#10;ALUDAAAAAA==&#10;" path="m0,749l296,336,536,0e">
                  <v:path o:connectlocs="0,3092;296,2679;536,2343;536,2343" o:connectangles="0,0,0,0"/>
                  <v:fill on="f" focussize="0,0"/>
                  <v:stroke weight="0.0154330708661417pt" color="#000000" joinstyle="round"/>
                  <v:imagedata o:title=""/>
                  <o:lock v:ext="edit" aspectratio="f"/>
                </v:shape>
                <v:shape id="Freeform 110" o:spid="_x0000_s1026" o:spt="100" style="position:absolute;left:4880;top:2343;height:896;width:642;" filled="f" stroked="t" coordsize="642,896" o:gfxdata="UEsDBAoAAAAAAIdO4kAAAAAAAAAAAAAAAAAEAAAAZHJzL1BLAwQUAAAACACHTuJAJs/6vcAAAADd&#10;AAAADwAAAGRycy9kb3ducmV2LnhtbEWPQWvCQBCF70L/wzKF3szGHoKmrkGKpaVSoWkPHofsmA1m&#10;Z8PuavTfd4WCtxnem/e9WVYX24sz+dA5VjDLchDEjdMdtwp+f96mcxAhImvsHZOCKwWoVg+TJZba&#10;jfxN5zq2IoVwKFGBiXEopQyNIYshcwNx0g7OW4xp9a3UHscUbnv5nOeFtNhxIhgc6NVQc6xPNkH8&#10;dvO+266LehO+yFw/3Unv9ko9Pc7yFxCRLvFu/r/+0Kn+oijg9k0aQa7+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mz/q9&#10;wAAAAN0AAAAPAAAAAAAAAAEAIAAAACIAAABkcnMvZG93bnJldi54bWxQSwECFAAUAAAACACHTuJA&#10;My8FnjsAAAA5AAAAEAAAAAAAAAABACAAAAAPAQAAZHJzL3NoYXBleG1sLnhtbFBLBQYAAAAABgAG&#10;AFsBAAC5AwAAAAA=&#10;" path="m0,896l401,336,641,0e">
                  <v:path o:connectlocs="0,3239;401,2679;641,2343;641,2343" o:connectangles="0,0,0,0"/>
                  <v:fill on="f" focussize="0,0"/>
                  <v:stroke weight="0.0154330708661417pt" color="#000000" joinstyle="round"/>
                  <v:imagedata o:title=""/>
                  <o:lock v:ext="edit" aspectratio="f"/>
                </v:shape>
                <v:shape id="Freeform 111" o:spid="_x0000_s1026" o:spt="100" style="position:absolute;left:4880;top:2343;height:1043;width:746;" filled="f" stroked="t" coordsize="746,1043" o:gfxdata="UEsDBAoAAAAAAIdO4kAAAAAAAAAAAAAAAAAEAAAAZHJzL1BLAwQUAAAACACHTuJAtq9tubwAAADd&#10;AAAADwAAAGRycy9kb3ducmV2LnhtbEVPyW7CMBC9V+IfrEHiVhwqljbFcKiEWG4J9NDbKJ4mFvE4&#10;ik1C/h4jVeptnt466+3d1qKj1hvHCmbTBARx4bThUsHlvHt9B+EDssbaMSkYyMN2M3pZY6pdzxl1&#10;eShFDGGfooIqhCaV0hcVWfRT1xBH7te1FkOEbSl1i30Mt7V8S5KltGg4NlTY0FdFxTW/WQX7bsj6&#10;bzZ4nd8ykx1Pi36QP0pNxrPkE0Sge/gX/7kPOs7/WK7g+U08QW4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avbbm8AAAA&#10;3QAAAA8AAAAAAAAAAQAgAAAAIgAAAGRycy9kb3ducmV2LnhtbFBLAQIUABQAAAAIAIdO4kAzLwWe&#10;OwAAADkAAAAQAAAAAAAAAAEAIAAAAAsBAABkcnMvc2hhcGV4bWwueG1sUEsFBgAAAAAGAAYAWwEA&#10;ALUDAAAAAA==&#10;" path="m0,1042l505,336,746,0e">
                  <v:path o:connectlocs="0,3385;505,2679;746,2343;746,2343" o:connectangles="0,0,0,0"/>
                  <v:fill on="f" focussize="0,0"/>
                  <v:stroke weight="0.0154330708661417pt" color="#000000" joinstyle="round"/>
                  <v:imagedata o:title=""/>
                  <o:lock v:ext="edit" aspectratio="f"/>
                </v:shape>
                <v:shape id="Freeform 112" o:spid="_x0000_s1026" o:spt="100" style="position:absolute;left:5491;top:2343;height:336;width:241;" filled="f" stroked="t" coordsize="241,336" o:gfxdata="UEsDBAoAAAAAAIdO4kAAAAAAAAAAAAAAAAAEAAAAZHJzL1BLAwQUAAAACACHTuJA55G9psIAAADd&#10;AAAADwAAAGRycy9kb3ducmV2LnhtbEWPT2/CMAzF75P4DpGRuI0UmKpRCBw2bZomTWyMA0erMW1F&#10;45Qk/Ok+/XyYtJut9/zez8v1zbXqQiE2ng1Mxhko4tLbhisDu++X+0dQMSFbbD2TgZ4irFeDuyUW&#10;1l/5iy7bVCkJ4ViggTqlrtA6ljU5jGPfEYt28MFhkjVU2ga8Srhr9TTLcu2wYWmosaOnmsrj9uwM&#10;vM/OjP1hs2/78Ppx/Mx/HjanZ2NGw0m2AJXolv7Nf9dvVvDnueDKNzKCXv0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OeR&#10;vabCAAAA3QAAAA8AAAAAAAAAAQAgAAAAIgAAAGRycy9kb3ducmV2LnhtbFBLAQIUABQAAAAIAIdO&#10;4kAzLwWeOwAAADkAAAAQAAAAAAAAAAEAIAAAABEBAABkcnMvc2hhcGV4bWwueG1sUEsFBgAAAAAG&#10;AAYAWwEAALsDAAAAAA==&#10;" path="m0,336l241,0e">
                  <v:path o:connectlocs="0,2679;241,2343;241,2343" o:connectangles="0,0,0"/>
                  <v:fill on="f" focussize="0,0"/>
                  <v:stroke weight="0.0154330708661417pt" color="#000000" joinstyle="round"/>
                  <v:imagedata o:title=""/>
                  <o:lock v:ext="edit" aspectratio="f"/>
                </v:shape>
                <v:shape id="Freeform 113" o:spid="_x0000_s1026" o:spt="100" style="position:absolute;left:4880;top:3508;height:24;width:18;" filled="f" stroked="t" coordsize="18,24" o:gfxdata="UEsDBAoAAAAAAIdO4kAAAAAAAAAAAAAAAAAEAAAAZHJzL1BLAwQUAAAACACHTuJAAThYcL4AAADd&#10;AAAADwAAAGRycy9kb3ducmV2LnhtbEVPTWvCQBC9C/6HZQQvRTeKiEldPaSVeili9OBxyE6TkOxs&#10;yK4x7a/vFgre5vE+Z7sfTCN66lxlWcFiHoEgzq2uuFBwvRxmGxDOI2tsLJOCb3Kw341HW0y0ffCZ&#10;+swXIoSwS1BB6X2bSOnykgy6uW2JA/dlO4M+wK6QusNHCDeNXEbRWhqsODSU2FJaUl5nd6NAv/zU&#10;b3XqPlbvK5/ejs2JTp9SqelkEb2C8DT4p/jffdRhfryO4e+bcILc/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ThYcL4A&#10;AADdAAAADwAAAAAAAAABACAAAAAiAAAAZHJzL2Rvd25yZXYueG1sUEsBAhQAFAAAAAgAh07iQDMv&#10;BZ47AAAAOQAAABAAAAAAAAAAAQAgAAAADQEAAGRycy9zaGFwZXhtbC54bWxQSwUGAAAAAAYABgBb&#10;AQAAtwMAAAAA&#10;" path="m0,24l17,0e">
                  <v:path o:connectlocs="0,3532;17,3508;17,3508" o:connectangles="0,0,0"/>
                  <v:fill on="f" focussize="0,0"/>
                  <v:stroke weight="0.015511811023622pt" color="#000000" joinstyle="round"/>
                  <v:imagedata o:title=""/>
                  <o:lock v:ext="edit" aspectratio="f"/>
                </v:shape>
                <v:shape id="Freeform 114" o:spid="_x0000_s1026" o:spt="100" style="position:absolute;left:4897;top:2678;height:830;width:594;" filled="f" stroked="t" coordsize="594,830" o:gfxdata="UEsDBAoAAAAAAIdO4kAAAAAAAAAAAAAAAAAEAAAAZHJzL1BLAwQUAAAACACHTuJAhm9xGsIAAADd&#10;AAAADwAAAGRycy9kb3ducmV2LnhtbEWPQU/CQBCF7yb8h82QcJMthohWFmIkRA4cBBsTb2N33Fa7&#10;s013bZFf7xxIvM3kvXnvm+X65BvVUxfrwAZm0wwUcRlszc5A8bq9vgMVE7LFJjAZ+KUI69Xoaom5&#10;DQMfqD8mpySEY44GqpTaXOtYVuQxTkNLLNpn6DwmWTunbYeDhPtG32TZrfZYszRU2NJTReX38ccb&#10;2D6/zz8ez0PxtXFvfdG63Uvaz42ZjGfZA6hEp/RvvlzvrODfL4RfvpER9OoP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IZv&#10;cRrCAAAA3QAAAA8AAAAAAAAAAQAgAAAAIgAAAGRycy9kb3ducmV2LnhtbFBLAQIUABQAAAAIAIdO&#10;4kAzLwWeOwAAADkAAAAQAAAAAAAAAAEAIAAAABEBAABkcnMvc2hhcGV4bWwueG1sUEsFBgAAAAAG&#10;AAYAWwEAALsDAAAAAA==&#10;" path="m0,829l42,771,593,0,594,0e">
                  <v:path o:connectlocs="0,3508;42,3450;593,2679;594,2679" o:connectangles="0,0,0,0"/>
                  <v:fill on="f" focussize="0,0"/>
                  <v:stroke weight="0.0154330708661417pt" color="#000000" joinstyle="round"/>
                  <v:imagedata o:title=""/>
                  <o:lock v:ext="edit" aspectratio="f"/>
                </v:shape>
                <v:shape id="Freeform 115" o:spid="_x0000_s1026" o:spt="100" style="position:absolute;left:4880;top:3533;height:145;width:104;" filled="f" stroked="t" coordsize="104,145" o:gfxdata="UEsDBAoAAAAAAIdO4kAAAAAAAAAAAAAAAAAEAAAAZHJzL1BLAwQUAAAACACHTuJAQv7aVb4AAADd&#10;AAAADwAAAGRycy9kb3ducmV2LnhtbEWP3YrCMBCF7xd8hzCCd2tahVWrqaDLLntV8OcBhmZsS5tJ&#10;baJWn34jCN7NcM535sxq3ZtGXKlzlWUF8TgCQZxbXXGh4Hj4+ZyDcB5ZY2OZFNzJwTodfKww0fbG&#10;O7rufSFCCLsEFZTet4mULi/JoBvbljhoJ9sZ9GHtCqk7vIVw08hJFH1JgxWHCyW2tC0pr/cXE2o8&#10;at1svre/x2nW9g+ts/vsnCk1GsbREoSn3r/NL/pPB24xi+H5TRhBpv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v7aVb4A&#10;AADdAAAADwAAAAAAAAABACAAAAAiAAAAZHJzL2Rvd25yZXYueG1sUEsBAhQAFAAAAAgAh07iQDMv&#10;BZ47AAAAOQAAABAAAAAAAAAAAQAgAAAADQEAAGRycy9zaGFwZXhtbC54bWxQSwUGAAAAAAYABgBb&#10;AQAAtwMAAAAA&#10;" path="m0,144l103,0,104,0e">
                  <v:path o:connectlocs="0,3678;103,3534;104,3534" o:connectangles="0,0,0"/>
                  <v:fill on="f" focussize="0,0"/>
                  <v:stroke weight="0.0154330708661417pt" color="#000000" joinstyle="round"/>
                  <v:imagedata o:title=""/>
                  <o:lock v:ext="edit" aspectratio="f"/>
                </v:shape>
                <v:shape id="Freeform 116" o:spid="_x0000_s1026" o:spt="100" style="position:absolute;left:5596;top:2343;height:336;width:241;" filled="f" stroked="t" coordsize="241,336" o:gfxdata="UEsDBAoAAAAAAIdO4kAAAAAAAAAAAAAAAAAEAAAAZHJzL1BLAwQUAAAACACHTuJAA6Ackb8AAADd&#10;AAAADwAAAGRycy9kb3ducmV2LnhtbEVPS2sCMRC+F/ofwgi9aVYt1q4bPbRYSkGsj0OPw2b2gZvJ&#10;NomP7a83gtDbfHzPyRYX04gTOV9bVjAcJCCIc6trLhXsd8v+FIQPyBoby6SgIw+L+eNDhqm2Z97Q&#10;aRtKEUPYp6igCqFNpfR5RQb9wLbEkSusMxgidKXUDs8x3DRylCQTabDm2FBhS28V5Yft0Sj4Gh8Z&#10;u2L903TuY3X4nvw9r3/flXrqDZMZiECX8C++uz91nP/6MoLbN/EEOb8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OgHJG/&#10;AAAA3QAAAA8AAAAAAAAAAQAgAAAAIgAAAGRycy9kb3ducmV2LnhtbFBLAQIUABQAAAAIAIdO4kAz&#10;LwWeOwAAADkAAAAQAAAAAAAAAAEAIAAAAA4BAABkcnMvc2hhcGV4bWwueG1sUEsFBgAAAAAGAAYA&#10;WwEAALgDAAAAAA==&#10;" path="m0,336l239,0,240,0e">
                  <v:path o:connectlocs="0,2679;239,2343;240,2343" o:connectangles="0,0,0"/>
                  <v:fill on="f" focussize="0,0"/>
                  <v:stroke weight="0.0154330708661417pt" color="#000000" joinstyle="round"/>
                  <v:imagedata o:title=""/>
                  <o:lock v:ext="edit" aspectratio="f"/>
                </v:shape>
                <v:shape id="Freeform 117" o:spid="_x0000_s1026" o:spt="100" style="position:absolute;left:4984;top:2678;height:856;width:613;" filled="f" stroked="t" coordsize="613,856" o:gfxdata="UEsDBAoAAAAAAIdO4kAAAAAAAAAAAAAAAAAEAAAAZHJzL1BLAwQUAAAACACHTuJA+l2uj7wAAADd&#10;AAAADwAAAGRycy9kb3ducmV2LnhtbEVPS4vCMBC+L/gfwgje1rQKPqrRgyB40IOuoMexGdtqMylN&#10;tNVfbxYW9jYf33Pmy9aU4km1KywriPsRCOLU6oIzBcef9fcEhPPIGkvLpOBFDpaLztccE20b3tPz&#10;4DMRQtglqCD3vkqkdGlOBl3fVsSBu9raoA+wzqSusQnhppSDKBpJgwWHhhwrWuWU3g8Po2D8xv3p&#10;srZpexvsmu05xutuNVKq142jGQhPrf8X/7k3Osyfjofw+004QS4+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pdro+8AAAA&#10;3QAAAA8AAAAAAAAAAQAgAAAAIgAAAGRycy9kb3ducmV2LnhtbFBLAQIUABQAAAAIAIdO4kAzLwWe&#10;OwAAADkAAAAQAAAAAAAAAAEAIAAAAAsBAABkcnMvc2hhcGV4bWwueG1sUEsFBgAAAAAGAAYAWwEA&#10;ALUDAAAAAA==&#10;" path="m0,855l61,771,613,0e">
                  <v:path o:connectlocs="0,3534;61,3450;613,2679;613,2679" o:connectangles="0,0,0,0"/>
                  <v:fill on="f" focussize="0,0"/>
                  <v:stroke weight="0.0154330708661417pt" color="#000000" joinstyle="round"/>
                  <v:imagedata o:title=""/>
                  <o:lock v:ext="edit" aspectratio="f"/>
                </v:shape>
                <v:shape id="Freeform 118" o:spid="_x0000_s1026" o:spt="100" style="position:absolute;left:4880;top:3585;height:240;width:172;" filled="f" stroked="t" coordsize="172,240" o:gfxdata="UEsDBAoAAAAAAIdO4kAAAAAAAAAAAAAAAAAEAAAAZHJzL1BLAwQUAAAACACHTuJAyyIw+bwAAADd&#10;AAAADwAAAGRycy9kb3ducmV2LnhtbEVPTWsCMRC9F/wPYQQvpWaVYu1qFBUKBS/t6qW3YTPdhN1M&#10;liS69t83BaG3ebzPWW9vrhNXCtF6VjCbFiCIa68tNwrOp7enJYiYkDV2nknBD0XYbkYPayy1H/iT&#10;rlVqRA7hWKICk1JfShlrQw7j1PfEmfv2wWHKMDRSBxxyuOvkvCgW0qHl3GCwp4Ohuq0uTsGXa+dn&#10;/EjWmnrh9kN1fNy1QanJeFasQCS6pX/x3f2u8/zXl2f4+yafID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siMPm8AAAA&#10;3QAAAA8AAAAAAAAAAQAgAAAAIgAAAGRycy9kb3ducmV2LnhtbFBLAQIUABQAAAAIAIdO4kAzLwWe&#10;OwAAADkAAAAQAAAAAAAAAAEAIAAAAAsBAABkcnMvc2hhcGV4bWwueG1sUEsFBgAAAAAGAAYAWwEA&#10;ALUDAAAAAA==&#10;" path="m0,239l171,0,172,0e">
                  <v:path o:connectlocs="0,3825;171,3586;172,3586" o:connectangles="0,0,0"/>
                  <v:fill on="f" focussize="0,0"/>
                  <v:stroke weight="0.0154330708661417pt" color="#000000" joinstyle="round"/>
                  <v:imagedata o:title=""/>
                  <o:lock v:ext="edit" aspectratio="f"/>
                </v:shape>
                <v:shape id="Freeform 119" o:spid="_x0000_s1026" o:spt="100" style="position:absolute;left:5701;top:2343;height:335;width:241;" filled="f" stroked="t" coordsize="241,335" o:gfxdata="UEsDBAoAAAAAAIdO4kAAAAAAAAAAAAAAAAAEAAAAZHJzL1BLAwQUAAAACACHTuJAkmX0mrwAAADd&#10;AAAADwAAAGRycy9kb3ducmV2LnhtbEVPzWoCMRC+F/oOYQq9FE1W0OrW6EEQhHrQtQ8wJOPu0s1k&#10;2cRd7dM3guBtPr7fWa6vrhE9daH2rCEbKxDExtuaSw0/p+1oDiJEZIuNZ9JwowDr1evLEnPrBz5S&#10;X8RSpBAOOWqoYmxzKYOpyGEY+5Y4cWffOYwJdqW0HQ4p3DVyotRMOqw5NVTY0qYi81tcnIZdj9mf&#10;KY5m+PhuJMX9Qd7UQev3t0x9gYh0jU/xw72zaf7icwr3b9IJcvU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Jl9Jq8AAAA&#10;3QAAAA8AAAAAAAAAAQAgAAAAIgAAAGRycy9kb3ducmV2LnhtbFBLAQIUABQAAAAIAIdO4kAzLwWe&#10;OwAAADkAAAAQAAAAAAAAAAEAIAAAAAsBAABkcnMvc2hhcGV4bWwueG1sUEsFBgAAAAAGAAYAWwEA&#10;ALUDAAAAAA==&#10;" path="m0,335l240,0e">
                  <v:path o:connectlocs="0,2679;240,2344;240,2344" o:connectangles="0,0,0"/>
                  <v:fill on="f" focussize="0,0"/>
                  <v:stroke weight="0.0154330708661417pt" color="#000000" joinstyle="round"/>
                  <v:imagedata o:title=""/>
                  <o:lock v:ext="edit" aspectratio="f"/>
                </v:shape>
                <v:shape id="Freeform 120" o:spid="_x0000_s1026" o:spt="100" style="position:absolute;left:5052;top:2678;height:907;width:650;" filled="f" stroked="t" coordsize="650,907" o:gfxdata="UEsDBAoAAAAAAIdO4kAAAAAAAAAAAAAAAAAEAAAAZHJzL1BLAwQUAAAACACHTuJASBVa878AAADd&#10;AAAADwAAAGRycy9kb3ducmV2LnhtbEVPTWvCQBC9F/oflil4q7tWiW3qKlgQbA6CaSn1NmbHJDU7&#10;G7Jbjf/eFQq9zeN9zmzR20acqPO1Yw2joQJBXDhTc6nh82P1+AzCB2SDjWPScCEPi/n93QxT4868&#10;pVMeShFD2KeooQqhTaX0RUUW/dC1xJE7uM5iiLArpenwHMNtI5+USqTFmmNDhS29VVQc81+rIXPJ&#10;JNtsv7MvtXv/6Q/jfb4sp1oPHkbqFUSgPvyL/9xrE+e/TBO4fRNPkPMr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gVWvO/&#10;AAAA3QAAAA8AAAAAAAAAAQAgAAAAIgAAAGRycy9kb3ducmV2LnhtbFBLAQIUABQAAAAIAIdO4kAz&#10;LwWeOwAAADkAAAAQAAAAAAAAAAEAIAAAAA4BAABkcnMvc2hhcGV4bWwueG1sUEsFBgAAAAAGAAYA&#10;WwEAALgDAAAAAA==&#10;" path="m0,907l98,771,649,0,650,0e">
                  <v:path o:connectlocs="0,3586;98,3450;649,2679;650,2679" o:connectangles="0,0,0,0"/>
                  <v:fill on="f" focussize="0,0"/>
                  <v:stroke weight="0.0154330708661417pt" color="#000000" joinstyle="round"/>
                  <v:imagedata o:title=""/>
                  <o:lock v:ext="edit" aspectratio="f"/>
                </v:shape>
                <v:shape id="Freeform 121" o:spid="_x0000_s1026" o:spt="100" style="position:absolute;left:4880;top:3657;height:315;width:226;" filled="f" stroked="t" coordsize="226,315" o:gfxdata="UEsDBAoAAAAAAIdO4kAAAAAAAAAAAAAAAAAEAAAAZHJzL1BLAwQUAAAACACHTuJAlH4rg70AAADd&#10;AAAADwAAAGRycy9kb3ducmV2LnhtbEVPTWvCQBC9F/wPyxS81Y0K1aauHiyBXoQaI16H7DQbkp0N&#10;2Y2J/75bKPQ2j/c5u8NkW3Gn3teOFSwXCQji0umaKwXFJXvZgvABWWPrmBQ8yMNhP3vaYardyGe6&#10;56ESMYR9igpMCF0qpS8NWfQL1xFH7tv1FkOEfSV1j2MMt61cJcmrtFhzbDDY0dFQ2eSDVXDLp2J9&#10;vX7kq5OXTdbIr+FcjErNn5fJO4hAU/gX/7k/dZz/ttnA7zfxBLn/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UfiuDvQAA&#10;AN0AAAAPAAAAAAAAAAEAIAAAACIAAABkcnMvZG93bnJldi54bWxQSwECFAAUAAAACACHTuJAMy8F&#10;njsAAAA5AAAAEAAAAAAAAAABACAAAAAMAQAAZHJzL3NoYXBleG1sLnhtbFBLBQYAAAAABgAGAFsB&#10;AAC2AwAAAAA=&#10;" path="m0,315l225,0e">
                  <v:path o:connectlocs="0,3972;225,3657;225,3657" o:connectangles="0,0,0"/>
                  <v:fill on="f" focussize="0,0"/>
                  <v:stroke weight="0.0154330708661417pt" color="#000000" joinstyle="round"/>
                  <v:imagedata o:title=""/>
                  <o:lock v:ext="edit" aspectratio="f"/>
                </v:shape>
                <v:shape id="Freeform 122" o:spid="_x0000_s1026" o:spt="100" style="position:absolute;left:5806;top:2343;height:335;width:240;" filled="f" stroked="t" coordsize="240,335" o:gfxdata="UEsDBAoAAAAAAIdO4kAAAAAAAAAAAAAAAAAEAAAAZHJzL1BLAwQUAAAACACHTuJAOgASWb8AAADd&#10;AAAADwAAAGRycy9kb3ducmV2LnhtbEWPwW7CQAxE75X4h5WRuJUNHEKbsnBAgKASqhr4ADfrJilZ&#10;b5RdSPr3+FCpN1sznnlergfXqDt1ofZsYDZNQBEX3tZcGricd88voEJEtth4JgO/FGC9Gj0tMbO+&#10;50+657FUEsIhQwNVjG2mdSgqchimviUW7dt3DqOsXalth72Eu0bPkyTVDmuWhgpb2lRUXPObM7BI&#10;bx/p6bgffN7073zZ/Gy/wtmYyXiWvIGKNMR/89/1wQr+60Jw5RsZQa8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oAElm/&#10;AAAA3QAAAA8AAAAAAAAAAQAgAAAAIgAAAGRycy9kb3ducmV2LnhtbFBLAQIUABQAAAAIAIdO4kAz&#10;LwWeOwAAADkAAAAQAAAAAAAAAAEAIAAAAA4BAABkcnMvc2hhcGV4bWwueG1sUEsFBgAAAAAGAAYA&#10;WwEAALgDAAAAAA==&#10;" path="m0,335l240,0e">
                  <v:path o:connectlocs="0,2679;240,2344;240,2344" o:connectangles="0,0,0"/>
                  <v:fill on="f" focussize="0,0"/>
                  <v:stroke weight="0.0154330708661417pt" color="#000000" joinstyle="round"/>
                  <v:imagedata o:title=""/>
                  <o:lock v:ext="edit" aspectratio="f"/>
                </v:shape>
                <v:shape id="Freeform 123" o:spid="_x0000_s1026" o:spt="100" style="position:absolute;left:5106;top:2678;height:979;width:701;" filled="f" stroked="t" coordsize="701,979" o:gfxdata="UEsDBAoAAAAAAIdO4kAAAAAAAAAAAAAAAAAEAAAAZHJzL1BLAwQUAAAACACHTuJAnLEAzbwAAADd&#10;AAAADwAAAGRycy9kb3ducmV2LnhtbEVPTWvDMAy9D/ofjAa9rU4GXdusTqCDQa5LVuhRjdU4NJZD&#10;7DVdfv08GOymx/vUvrjbXtxo9J1jBekqAUHcON1xq+Czfn/agvABWWPvmBR8k4ciXzzsMdNu4g+6&#10;VaEVMYR9hgpMCEMmpW8MWfQrNxBH7uJGiyHCsZV6xCmG214+J8mLtNhxbDA40Juh5lp9WQWHTTOV&#10;But5PZ80Hau5P185VWr5mCavIALdw7/4z13qOH+32cHvN/EEmf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yxAM28AAAA&#10;3QAAAA8AAAAAAAAAAQAgAAAAIgAAAGRycy9kb3ducmV2LnhtbFBLAQIUABQAAAAIAIdO4kAzLwWe&#10;OwAAADkAAAAQAAAAAAAAAAEAIAAAAAsBAABkcnMvc2hhcGV4bWwueG1sUEsFBgAAAAAGAAYAWwEA&#10;ALUDAAAAAA==&#10;" path="m0,978l149,771,700,0,701,0e">
                  <v:path o:connectlocs="0,3657;149,3450;700,2679;701,2679" o:connectangles="0,0,0,0"/>
                  <v:fill on="f" focussize="0,0"/>
                  <v:stroke weight="0.0154330708661417pt" color="#000000" joinstyle="round"/>
                  <v:imagedata o:title=""/>
                  <o:lock v:ext="edit" aspectratio="f"/>
                </v:shape>
                <v:shape id="Freeform 124" o:spid="_x0000_s1026" o:spt="100" style="position:absolute;left:4880;top:3747;height:371;width:266;" filled="f" stroked="t" coordsize="266,371" o:gfxdata="UEsDBAoAAAAAAIdO4kAAAAAAAAAAAAAAAAAEAAAAZHJzL1BLAwQUAAAACACHTuJAp0AcOMIAAADd&#10;AAAADwAAAGRycy9kb3ducmV2LnhtbEWPQWvCQBCF7wX/wzKFXkrdGFqx0VVKaUsLCmrrwduQnSbB&#10;7GzY3Ub9952D4G2G9+a9b2aLk2tVTyE2ng2Mhhko4tLbhisDP9/vDxNQMSFbbD2TgTNFWMwHNzMs&#10;rD/yhvptqpSEcCzQQJ1SV2gdy5ocxqHviEX79cFhkjVU2gY8SrhrdZ5lY+2wYWmosaPXmsrD9s8Z&#10;WK5X1vUfj8un/Ut4y+/Hu/NXvjPm7naUTUElOqWr+XL9aQX/eSL88o2MoOf/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KdA&#10;HDjCAAAA3QAAAA8AAAAAAAAAAQAgAAAAIgAAAGRycy9kb3ducmV2LnhtbFBLAQIUABQAAAAIAIdO&#10;4kAzLwWeOwAAADkAAAAQAAAAAAAAAAEAIAAAABEBAABkcnMvc2hhcGV4bWwueG1sUEsFBgAAAAAG&#10;AAYAWwEAALsDAAAAAA==&#10;" path="m0,371l265,0,266,0e">
                  <v:path o:connectlocs="0,4118;265,3747;266,3747" o:connectangles="0,0,0"/>
                  <v:fill on="f" focussize="0,0"/>
                  <v:stroke weight="0.0154330708661417pt" color="#000000" joinstyle="round"/>
                  <v:imagedata o:title=""/>
                  <o:lock v:ext="edit" aspectratio="f"/>
                </v:shape>
                <v:shape id="Freeform 125" o:spid="_x0000_s1026" o:spt="100" style="position:absolute;left:5911;top:2459;height:220;width:158;" filled="f" stroked="t" coordsize="158,220" o:gfxdata="UEsDBAoAAAAAAIdO4kAAAAAAAAAAAAAAAAAEAAAAZHJzL1BLAwQUAAAACACHTuJAivqnU7gAAADd&#10;AAAADwAAAGRycy9kb3ducmV2LnhtbEVPyQrCMBC9C/5DGMGLaFoPYqtRUFAEvbiA16EZ22IzqU3c&#10;/t4Igrd5vHWm85epxIMaV1pWEA8iEMSZ1SXnCk7HVX8MwnlkjZVlUvAmB/NZuzXFVNsn7+lx8LkI&#10;IexSVFB4X6dSuqwgg25ga+LAXWxj0AfY5FI3+AzhppLDKBpJgyWHhgJrWhaUXQ93o0But3Qu10n8&#10;dkN/7d3cYmeqvVLdThxNQHh6+b/4597oMD8Zx/D9JpwgZx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ivqnU7gAAADdAAAA&#10;DwAAAAAAAAABACAAAAAiAAAAZHJzL2Rvd25yZXYueG1sUEsBAhQAFAAAAAgAh07iQDMvBZ47AAAA&#10;OQAAABAAAAAAAAAAAQAgAAAABwEAAGRycy9zaGFwZXhtbC54bWxQSwUGAAAAAAYABgBbAQAAsQMA&#10;AAAA&#10;" path="m0,219l157,0e">
                  <v:path o:connectlocs="0,2679;157,2460;157,2460" o:connectangles="0,0,0"/>
                  <v:fill on="f" focussize="0,0"/>
                  <v:stroke weight="0.0154330708661417pt" color="#000000" joinstyle="round"/>
                  <v:imagedata o:title=""/>
                  <o:lock v:ext="edit" aspectratio="f"/>
                </v:shape>
                <v:shape id="Freeform 126" o:spid="_x0000_s1026" o:spt="100" style="position:absolute;left:5146;top:2678;height:1069;width:766;" filled="f" stroked="t" coordsize="766,1069" o:gfxdata="UEsDBAoAAAAAAIdO4kAAAAAAAAAAAAAAAAAEAAAAZHJzL1BLAwQUAAAACACHTuJAudbzHLwAAADd&#10;AAAADwAAAGRycy9kb3ducmV2LnhtbEVPzWrCQBC+F/oOywi9NRsjDTG6ehCkHiwl0QcYsmOymJ0N&#10;2VXTt3cLhd7m4/ud9XayvbjT6I1jBfMkBUHcOG24VXA+7d8LED4ga+wdk4If8rDdvL6ssdTuwRXd&#10;69CKGMK+RAVdCEMppW86sugTNxBH7uJGiyHCsZV6xEcMt73M0jSXFg3Hhg4H2nXUXOubVbDTxgxf&#10;1Ud+rez33pns82aOC6XeZvN0BSLQFP7Ff+6DjvOXRQa/38QT5OY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nW8xy8AAAA&#10;3QAAAA8AAAAAAAAAAQAgAAAAIgAAAGRycy9kb3ducmV2LnhtbFBLAQIUABQAAAAIAIdO4kAzLwWe&#10;OwAAADkAAAAQAAAAAAAAAAEAIAAAAAsBAABkcnMvc2hhcGV4bWwueG1sUEsFBgAAAAAGAAYAWwEA&#10;ALUDAAAAAA==&#10;" path="m0,1068l214,771,765,0e">
                  <v:path o:connectlocs="0,3747;214,3450;765,2679;765,2679" o:connectangles="0,0,0,0"/>
                  <v:fill on="f" focussize="0,0"/>
                  <v:stroke weight="0.0154330708661417pt" color="#000000" joinstyle="round"/>
                  <v:imagedata o:title=""/>
                  <o:lock v:ext="edit" aspectratio="f"/>
                </v:shape>
                <v:shape id="Freeform 127" o:spid="_x0000_s1026" o:spt="100" style="position:absolute;left:4880;top:3861;height:403;width:289;" filled="f" stroked="t" coordsize="289,403" o:gfxdata="UEsDBAoAAAAAAIdO4kAAAAAAAAAAAAAAAAAEAAAAZHJzL1BLAwQUAAAACACHTuJAeJJhbr8AAADd&#10;AAAADwAAAGRycy9kb3ducmV2LnhtbEVPTWvCQBC9C/0PyxS8SLNrxRLTrFJahSL2UJX2OmSnSTA7&#10;G7Krsf/eFQRv83ifky/OthEn6nztWMM4USCIC2dqLjXsd6unFIQPyAYbx6Thnzws5g+DHDPjev6m&#10;0zaUIoawz1BDFUKbSemLiiz6xLXEkftzncUQYVdK02Efw20jn5V6kRZrjg0VtvReUXHYHq2G6ejw&#10;JUu1fvtdrX+m/Wb50dZup/XwcaxeQQQ6h7v45v40cf4sncD1m3iCnF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iSYW6/&#10;AAAA3QAAAA8AAAAAAAAAAQAgAAAAIgAAAGRycy9kb3ducmV2LnhtbFBLAQIUABQAAAAIAIdO4kAz&#10;LwWeOwAAADkAAAAQAAAAAAAAAAEAIAAAAA4BAABkcnMvc2hhcGV4bWwueG1sUEsFBgAAAAAGAAYA&#10;WwEAALgDAAAAAA==&#10;" path="m0,403l288,0,289,0e">
                  <v:path o:connectlocs="0,4265;288,3862;289,3862" o:connectangles="0,0,0"/>
                  <v:fill on="f" focussize="0,0"/>
                  <v:stroke weight="0.0154330708661417pt" color="#000000" joinstyle="round"/>
                  <v:imagedata o:title=""/>
                  <o:lock v:ext="edit" aspectratio="f"/>
                </v:shape>
                <v:shape id="Freeform 128" o:spid="_x0000_s1026" o:spt="100" style="position:absolute;left:6016;top:2606;height:73;width:53;" filled="f" stroked="t" coordsize="53,73" o:gfxdata="UEsDBAoAAAAAAIdO4kAAAAAAAAAAAAAAAAAEAAAAZHJzL1BLAwQUAAAACACHTuJA77P4V7oAAADd&#10;AAAADwAAAGRycy9kb3ducmV2LnhtbEVPzWrCQBC+F3yHZQRvdWMR0ejqwaJIb419gCE7TaLZmZhd&#10;Y/L23YLgbT6+39nselerjlpfCRuYTRNQxLnYigsDP+fD+xKUD8gWa2EyMJCH3Xb0tsHUyoO/qctC&#10;oWII+xQNlCE0qdY+L8mhn0pDHLlfaR2GCNtC2xYfMdzV+iNJFtphxbGhxIb2JeXX7O4MfA1H+bxd&#10;+qxbubsuDjLIZaiMmYxnyRpUoD68xE/3ycb5q+Uc/r+JJ+jt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vs/hXugAAAN0A&#10;AAAPAAAAAAAAAAEAIAAAACIAAABkcnMvZG93bnJldi54bWxQSwECFAAUAAAACACHTuJAMy8FnjsA&#10;AAA5AAAAEAAAAAAAAAABACAAAAAJAQAAZHJzL3NoYXBleG1sLnhtbFBLBQYAAAAABgAGAFsBAACz&#10;AwAAAAA=&#10;" path="m0,73l52,0e">
                  <v:path o:connectlocs="0,2679;52,2606;52,2606" o:connectangles="0,0,0"/>
                  <v:fill on="f" focussize="0,0"/>
                  <v:stroke weight="0.015511811023622pt" color="#000000" joinstyle="round"/>
                  <v:imagedata o:title=""/>
                  <o:lock v:ext="edit" aspectratio="f"/>
                </v:shape>
                <v:shape id="Freeform 129" o:spid="_x0000_s1026" o:spt="100" style="position:absolute;left:5169;top:2678;height:1184;width:847;" filled="f" stroked="t" coordsize="847,1184" o:gfxdata="UEsDBAoAAAAAAIdO4kAAAAAAAAAAAAAAAAAEAAAAZHJzL1BLAwQUAAAACACHTuJAIQXsGL0AAADd&#10;AAAADwAAAGRycy9kb3ducmV2LnhtbEVPTWvCQBC9F/wPywje6kaxRaOrB1EQKUJTBb2N2TEJyc6G&#10;7GrMv3cLhd7m8T5nsXqaSjyocYVlBaNhBII4tbrgTMHxZ/s+BeE8ssbKMinoyMFq2XtbYKxty9/0&#10;SHwmQgi7GBXk3texlC7NyaAb2po4cDfbGPQBNpnUDbYh3FRyHEWf0mDBoSHHmtY5pWVyNwomnb6c&#10;vjbbJD2X3fhwbfdle0elBv1RNAfh6en/xX/unQ7zZ9MP+P0mnCCX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hBewYvQAA&#10;AN0AAAAPAAAAAAAAAAEAIAAAACIAAABkcnMvZG93bnJldi54bWxQSwECFAAUAAAACACHTuJAMy8F&#10;njsAAAA5AAAAEAAAAAAAAAABACAAAAAMAQAAZHJzL3NoYXBleG1sLnhtbFBLBQYAAAAABgAGAFsB&#10;AAC2AwAAAAA=&#10;" path="m0,1183l295,771,847,0e">
                  <v:path o:connectlocs="0,3862;295,3450;847,2679;847,2679" o:connectangles="0,0,0,0"/>
                  <v:fill on="f" focussize="0,0"/>
                  <v:stroke weight="0.0154330708661417pt" color="#000000" joinstyle="round"/>
                  <v:imagedata o:title=""/>
                  <o:lock v:ext="edit" aspectratio="f"/>
                </v:shape>
                <v:shape id="Freeform 130" o:spid="_x0000_s1026" o:spt="100" style="position:absolute;left:4880;top:4306;height:105;width:76;" filled="f" stroked="t" coordsize="76,105" o:gfxdata="UEsDBAoAAAAAAIdO4kAAAAAAAAAAAAAAAAAEAAAAZHJzL1BLAwQUAAAACACHTuJARL6hwr4AAADd&#10;AAAADwAAAGRycy9kb3ducmV2LnhtbEVPO2vDMBDeC/0P4grZGjkl5OFGyRAoJFMdp0O9HdbVMrZO&#10;xlJs599XhUK2+/ietztMthUD9b52rGAxT0AQl07XXCn4un68bkD4gKyxdUwK7uThsH9+2mGq3cgX&#10;GvJQiRjCPkUFJoQuldKXhiz6ueuII/fjeoshwr6SuscxhttWviXJSlqsOTYY7OhoqGzym1WwPTfl&#10;sv5uL97k62tRfGbHosmUmr0skncQgabwEP+7TzrO325W8PdNPEHuf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L6hwr4A&#10;AADdAAAADwAAAAAAAAABACAAAAAiAAAAZHJzL2Rvd25yZXYueG1sUEsBAhQAFAAAAAgAh07iQDMv&#10;BZ47AAAAOQAAABAAAAAAAAAAAQAgAAAADQEAAGRycy9zaGFwZXhtbC54bWxQSwUGAAAAAAYABgBb&#10;AQAAtwMAAAAA&#10;" path="m0,105l75,0,76,0e">
                  <v:path o:connectlocs="0,4412;75,4307;76,4307" o:connectangles="0,0,0"/>
                  <v:fill on="f" focussize="0,0"/>
                  <v:stroke weight="0.015511811023622pt" color="#000000" joinstyle="round"/>
                  <v:imagedata o:title=""/>
                  <o:lock v:ext="edit" aspectratio="f"/>
                </v:shape>
                <v:shape id="Freeform 131" o:spid="_x0000_s1026" o:spt="100" style="position:absolute;left:5569;top:2752;height:697;width:499;" filled="f" stroked="t" coordsize="499,697" o:gfxdata="UEsDBAoAAAAAAIdO4kAAAAAAAAAAAAAAAAAEAAAAZHJzL1BLAwQUAAAACACHTuJAsZ76nrkAAADd&#10;AAAADwAAAGRycy9kb3ducmV2LnhtbEVPS4vCMBC+C/6HMMLeNHEPW61GEWHZPQk+z2MztsFmUpr4&#10;+vdGELzNx/ec6fzuanGlNljPGoYDBYK48MZyqWG3/e2PQISIbLD2TBoeFGA+63ammBt/4zVdN7EU&#10;KYRDjhqqGJtcylBU5DAMfEOcuJNvHcYE21KaFm8p3NXyW6kf6dByaqiwoWVFxXlzcRrYBpUtjlmw&#10;x7/LXh2K1X59WGn91RuqCYhI9/gRv93/Js0fjzJ4fZNOkLM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Ge+p65AAAA3QAA&#10;AA8AAAAAAAAAAQAgAAAAIgAAAGRycy9kb3ducmV2LnhtbFBLAQIUABQAAAAIAIdO4kAzLwWeOwAA&#10;ADkAAAAQAAAAAAAAAAEAIAAAAAgBAABkcnMvc2hhcGV4bWwueG1sUEsFBgAAAAAGAAYAWwEAALID&#10;AAAAAA==&#10;" path="m0,697l499,0e">
                  <v:path o:connectlocs="0,3450;499,2753;499,2753" o:connectangles="0,0,0"/>
                  <v:fill on="f" focussize="0,0"/>
                  <v:stroke weight="0.0154330708661417pt" color="#000000" joinstyle="round"/>
                  <v:imagedata o:title=""/>
                  <o:lock v:ext="edit" aspectratio="f"/>
                </v:shape>
                <v:shape id="Freeform 132" o:spid="_x0000_s1026" o:spt="100" style="position:absolute;left:4956;top:3449;height:857;width:614;" filled="f" stroked="t" coordsize="614,857" o:gfxdata="UEsDBAoAAAAAAIdO4kAAAAAAAAAAAAAAAAAEAAAAZHJzL1BLAwQUAAAACACHTuJAbe7KfcEAAADd&#10;AAAADwAAAGRycy9kb3ducmV2LnhtbEWPS2sCQRCE7wH/w9CCtzhrEoJZHUWUoCBB3IR4bXZ6H7jT&#10;s9kZH/HXpw8Bb91UddXX0/nVNepMXag9GxgNE1DEubc1lwa+Pt8fx6BCRLbYeCYDvxRgPus9TDG1&#10;/sJ7OmexVBLCIUUDVYxtqnXIK3IYhr4lFq3wncMoa1dq2+FFwl2jn5LkVTusWRoqbGlZUX7MTs7A&#10;z2JX6FVz2z6vjt9lawv+WL8cjBn0R8kEVKRrvJv/rzdW8N/GgivfyAh69g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be7K&#10;fcEAAADdAAAADwAAAAAAAAABACAAAAAiAAAAZHJzL2Rvd25yZXYueG1sUEsBAhQAFAAAAAgAh07i&#10;QDMvBZ47AAAAOQAAABAAAAAAAAAAAQAgAAAAEAEAAGRycy9zaGFwZXhtbC54bWxQSwUGAAAAAAYA&#10;BgBbAQAAugMAAAAA&#10;" path="m0,857l206,569,613,0,614,0e">
                  <v:path o:connectlocs="0,4307;206,4019;613,3450;614,3450" o:connectangles="0,0,0,0"/>
                  <v:fill on="f" focussize="0,0"/>
                  <v:stroke weight="0.0154330708661417pt" color="#000000" joinstyle="round"/>
                  <v:imagedata o:title=""/>
                  <o:lock v:ext="edit" aspectratio="f"/>
                </v:shape>
                <v:shape id="Freeform 133" o:spid="_x0000_s1026" o:spt="100" style="position:absolute;left:4984;top:2899;height:1515;width:1085;" filled="f" stroked="t" coordsize="1085,1515" o:gfxdata="UEsDBAoAAAAAAIdO4kAAAAAAAAAAAAAAAAAEAAAAZHJzL1BLAwQUAAAACACHTuJAXvwwOLwAAADd&#10;AAAADwAAAGRycy9kb3ducmV2LnhtbEVPS4vCMBC+C/sfwgjeNFFQtBpFXBTB3YMP0OPQjG2xmdQm&#10;vv79ZkHwNh/fcyazpy3FnWpfONbQ7SgQxKkzBWcaDvtlewjCB2SDpWPS8CIPs+lXY4KJcQ/e0n0X&#10;MhFD2CeoIQ+hSqT0aU4WfcdVxJE7u9piiLDOpKnxEcNtKXtKDaTFgmNDjhUtckovu5vVQNfjz6Bc&#10;ntR3b7P9XeDqMrf9g9atZleNQQR6ho/47V6bOH80HMH/N/EEOf0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78MDi8AAAA&#10;3QAAAA8AAAAAAAAAAQAgAAAAIgAAAGRycy9kb3ducmV2LnhtbFBLAQIUABQAAAAIAIdO4kAzLwWe&#10;OwAAADkAAAAQAAAAAAAAAAEAIAAAAAsBAABkcnMvc2hhcGV4bWwueG1sUEsFBgAAAAAGAAYAWwEA&#10;ALUDAAAAAA==&#10;" path="m0,1514l690,550,1084,0e">
                  <v:path o:connectlocs="0,4414;690,3450;1084,2900;1084,2900" o:connectangles="0,0,0,0"/>
                  <v:fill on="f" focussize="0,0"/>
                  <v:stroke weight="0.0154330708661417pt" color="#000000" joinstyle="round"/>
                  <v:imagedata o:title=""/>
                  <o:lock v:ext="edit" aspectratio="f"/>
                </v:shape>
                <v:shape id="Freeform 134" o:spid="_x0000_s1026" o:spt="100" style="position:absolute;left:5089;top:3046;height:1368;width:979;" filled="f" stroked="t" coordsize="979,1368" o:gfxdata="UEsDBAoAAAAAAIdO4kAAAAAAAAAAAAAAAAAEAAAAZHJzL1BLAwQUAAAACACHTuJAdaLnT74AAADd&#10;AAAADwAAAGRycy9kb3ducmV2LnhtbEWPQUsDQQyF70L/w5CCNzvTCmLXTou0CKsXsfWgt7CT7i7u&#10;ZJaZ2NZ/bw6Ct4T38t6X1eYSB3OiXPrEHuYzB4a4SaHn1sP74enmHkwR5IBDYvLwQwU268nVCquQ&#10;zvxGp720RkO4VOihExkra0vTUcQySyOxaseUI4quubUh41nD42AXzt3ZiD1rQ4cjbTtqvvbf0cOi&#10;Hm9j7Sh/vjznx4/jThK9ivfX07l7ACN0kX/z33UdFH+5VH79Rkew6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aLnT74A&#10;AADdAAAADwAAAAAAAAABACAAAAAiAAAAZHJzL2Rvd25yZXYueG1sUEsBAhQAFAAAAAgAh07iQDMv&#10;BZ47AAAAOQAAABAAAAAAAAAAAQAgAAAADQEAAGRycy9zaGFwZXhtbC54bWxQSwUGAAAAAAYABgBb&#10;AQAAtwMAAAAA&#10;" path="m0,1368l690,404,979,0e">
                  <v:path o:connectlocs="0,4414;690,3450;979,3046;979,3046" o:connectangles="0,0,0,0"/>
                  <v:fill on="f" focussize="0,0"/>
                  <v:stroke weight="0.0154330708661417pt" color="#000000" joinstyle="round"/>
                  <v:imagedata o:title=""/>
                  <o:lock v:ext="edit" aspectratio="f"/>
                </v:shape>
                <v:shape id="Freeform 135" o:spid="_x0000_s1026" o:spt="100" style="position:absolute;left:5194;top:3192;height:1222;width:874;" filled="f" stroked="t" coordsize="874,1222" o:gfxdata="UEsDBAoAAAAAAIdO4kAAAAAAAAAAAAAAAAAEAAAAZHJzL1BLAwQUAAAACACHTuJAzrdsw74AAADd&#10;AAAADwAAAGRycy9kb3ducmV2LnhtbEVPTWvCQBC9C/6HZYReRDcREZO6CkoL4qFg1ENvQ3aahGZn&#10;w+7WpP++WxC8zeN9zmY3mFbcyfnGsoJ0noAgLq1uuFJwvbzP1iB8QNbYWiYFv+Rhtx2PNphr2/OZ&#10;7kWoRAxhn6OCOoQul9KXNRn0c9sRR+7LOoMhQldJ7bCP4aaViyRZSYMNx4YaOzrUVH4XP0aBdtfp&#10;RzPsF/3q7XibfnbZaVllSr1M0uQVRKAhPMUP91HH+VmWwv838QS5/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rdsw74A&#10;AADdAAAADwAAAAAAAAABACAAAAAiAAAAZHJzL2Rvd25yZXYueG1sUEsBAhQAFAAAAAgAh07iQDMv&#10;BZ47AAAAOQAAABAAAAAAAAAAAQAgAAAADQEAAGRycy9zaGFwZXhtbC54bWxQSwUGAAAAAAYABgBb&#10;AQAAtwMAAAAA&#10;" path="m0,1222l690,258,874,0e">
                  <v:path o:connectlocs="0,4414;690,3450;874,3192;874,3192" o:connectangles="0,0,0,0"/>
                  <v:fill on="f" focussize="0,0"/>
                  <v:stroke weight="0.0154330708661417pt" color="#000000" joinstyle="round"/>
                  <v:imagedata o:title=""/>
                  <o:lock v:ext="edit" aspectratio="f"/>
                </v:shape>
                <v:shape id="Freeform 136" o:spid="_x0000_s1026" o:spt="100" style="position:absolute;left:5299;top:3339;height:1075;width:770;" filled="f" stroked="t" coordsize="770,1075" o:gfxdata="UEsDBAoAAAAAAIdO4kAAAAAAAAAAAAAAAAAEAAAAZHJzL1BLAwQUAAAACACHTuJA9k5Wn7wAAADd&#10;AAAADwAAAGRycy9kb3ducmV2LnhtbEVP3WrCMBS+F3yHcAa7kZmqIGttKm5DGLuz7gHOmmMb1pyE&#10;Jmvd25vBwLvz8f2ecn+1vRhpCMaxgtUyA0HcOG24VfB5Pj49gwgRWWPvmBT8UoB9NZ+VWGg38YnG&#10;OrYihXAoUEEXoy+kDE1HFsPSeeLEXdxgMSY4tFIPOKVw28t1lm2lRcOpoUNPrx013/WPVVBvxi37&#10;zZc5Lz7e/EQmP7yMuVKPD6tsByLSNd7F/+53nebn+Rr+vkknyOoG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ZOVp+8AAAA&#10;3QAAAA8AAAAAAAAAAQAgAAAAIgAAAGRycy9kb3ducmV2LnhtbFBLAQIUABQAAAAIAIdO4kAzLwWe&#10;OwAAADkAAAAQAAAAAAAAAAEAIAAAAAsBAABkcnMvc2hhcGV4bWwueG1sUEsFBgAAAAAGAAYAWwEA&#10;ALUDAAAAAA==&#10;" path="m0,1075l690,111,769,0e">
                  <v:path o:connectlocs="0,4414;690,3450;769,3339;769,3339" o:connectangles="0,0,0,0"/>
                  <v:fill on="f" focussize="0,0"/>
                  <v:stroke weight="0.0154330708661417pt" color="#000000" joinstyle="round"/>
                  <v:imagedata o:title=""/>
                  <o:lock v:ext="edit" aspectratio="f"/>
                </v:shape>
                <v:shape id="Freeform 137" o:spid="_x0000_s1026" o:spt="100" style="position:absolute;left:5404;top:3881;height:533;width:381;" filled="f" stroked="t" coordsize="381,533" o:gfxdata="UEsDBAoAAAAAAIdO4kAAAAAAAAAAAAAAAAAEAAAAZHJzL1BLAwQUAAAACACHTuJAb5wmOLwAAADd&#10;AAAADwAAAGRycy9kb3ducmV2LnhtbEVPS4vCMBC+L/gfwgje1kQFsdXowReyLCw+wOvQjG21mZQm&#10;Vv33m4UFb/PxPWe2eNpKtNT40rGGQV+BIM6cKTnXcDpuPicgfEA2WDkmDS/ysJh3PmaYGvfgPbWH&#10;kIsYwj5FDUUIdSqlzwqy6PuuJo7cxTUWQ4RNLk2DjxhuKzlUaiwtlhwbCqxpWVB2O9ythq/JPR+v&#10;ZNWqbcvf4fxzXY+Sq9a97kBNQQR6hrf4370zcX6SjODvm3iCnP8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cJji8AAAA&#10;3QAAAA8AAAAAAAAAAQAgAAAAIgAAAGRycy9kb3ducmV2LnhtbFBLAQIUABQAAAAIAIdO4kAzLwWe&#10;OwAAADkAAAAQAAAAAAAAAAEAIAAAAAsBAABkcnMvc2hhcGV4bWwueG1sUEsFBgAAAAAGAAYAWwEA&#10;ALUDAAAAAA==&#10;" path="m0,532l381,0e">
                  <v:path o:connectlocs="0,4414;381,3882;381,3882" o:connectangles="0,0,0"/>
                  <v:fill on="f" focussize="0,0"/>
                  <v:stroke weight="0.0154330708661417pt" color="#000000" joinstyle="round"/>
                  <v:imagedata o:title=""/>
                  <o:lock v:ext="edit" aspectratio="f"/>
                </v:shape>
                <v:shape id="Freeform 138" o:spid="_x0000_s1026" o:spt="100" style="position:absolute;left:6051;top:3485;height:24;width:17;" filled="f" stroked="t" coordsize="17,24" o:gfxdata="UEsDBAoAAAAAAIdO4kAAAAAAAAAAAAAAAAAEAAAAZHJzL1BLAwQUAAAACACHTuJAKT1N/rsAAADd&#10;AAAADwAAAGRycy9kb3ducmV2LnhtbEVPS4vCMBC+C/sfwix409RdEe0aPYgF8bRqCx5nm7EtNpOS&#10;xNe/3wiCt/n4njNf3k0rruR8Y1nBaJiAIC6tbrhSkB+ywRSED8gaW8uk4EEelouP3hxTbW+8o+s+&#10;VCKGsE9RQR1Cl0rpy5oM+qHtiCN3ss5giNBVUju8xXDTyq8kmUiDDceGGjta1VSe9xejwGa5P/65&#10;/BfX2+/y0mTFI98USvU/R8kPiED38Ba/3Bsd589mY3h+E0+Qi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1N/rsAAADd&#10;AAAADwAAAAAAAAABACAAAAAiAAAAZHJzL2Rvd25yZXYueG1sUEsBAhQAFAAAAAgAh07iQDMvBZ47&#10;AAAAOQAAABAAAAAAAAAAAQAgAAAACgEAAGRycy9zaGFwZXhtbC54bWxQSwUGAAAAAAYABgBbAQAA&#10;tAMAAAAA&#10;" path="m0,23l17,0e">
                  <v:path o:connectlocs="0,3509;17,3486;17,3486" o:connectangles="0,0,0"/>
                  <v:fill on="f" focussize="0,0"/>
                  <v:stroke weight="0.015511811023622pt" color="#000000" joinstyle="round"/>
                  <v:imagedata o:title=""/>
                  <o:lock v:ext="edit" aspectratio="f"/>
                </v:shape>
                <v:shape id="Freeform 139" o:spid="_x0000_s1026" o:spt="100" style="position:absolute;left:5784;top:3508;height:373;width:267;" filled="f" stroked="t" coordsize="267,373" o:gfxdata="UEsDBAoAAAAAAIdO4kAAAAAAAAAAAAAAAAAEAAAAZHJzL1BLAwQUAAAACACHTuJAE3s6pb4AAADd&#10;AAAADwAAAGRycy9kb3ducmV2LnhtbEVPTWvCQBC9C/0PyxS81U0CiTV1DUVQeqqtreBxyE6TNNnZ&#10;kF2j/nu3UPA2j/c5y+JiOjHS4BrLCuJZBIK4tLrhSsH31+bpGYTzyBo7y6TgSg6K1cNkibm2Z/6k&#10;ce8rEULY5aig9r7PpXRlTQbdzPbEgfuxg0Ef4FBJPeA5hJtOJlGUSYMNh4Yae1rXVLb7k1HQVvNk&#10;/v6a7X6z6/Z4Sig9fGCq1PQxjl5AeLr4u/jf/abD/MUihb9vwglyd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3s6pb4A&#10;AADdAAAADwAAAAAAAAABACAAAAAiAAAAZHJzL2Rvd25yZXYueG1sUEsBAhQAFAAAAAgAh07iQDMv&#10;BZ47AAAAOQAAABAAAAAAAAAAAQAgAAAADQEAAGRycy9zaGFwZXhtbC54bWxQSwUGAAAAAAYABgBb&#10;AQAAtwMAAAAA&#10;" path="m0,373l266,0,267,0e">
                  <v:path o:connectlocs="0,3882;266,3509;267,3509" o:connectangles="0,0,0"/>
                  <v:fill on="f" focussize="0,0"/>
                  <v:stroke weight="0.0154330708661417pt" color="#000000" joinstyle="round"/>
                  <v:imagedata o:title=""/>
                  <o:lock v:ext="edit" aspectratio="f"/>
                </v:shape>
                <v:shape id="Freeform 140" o:spid="_x0000_s1026" o:spt="100" style="position:absolute;left:5508;top:3632;height:782;width:560;" filled="f" stroked="t" coordsize="560,782" o:gfxdata="UEsDBAoAAAAAAIdO4kAAAAAAAAAAAAAAAAAEAAAAZHJzL1BLAwQUAAAACACHTuJAKnJAO70AAADd&#10;AAAADwAAAGRycy9kb3ducmV2LnhtbEVPTYvCMBC9C/sfwgheRNN6KFqNHhRZLwrWXfQ4NLNt2WZS&#10;m1j135uFBW/zeJ+zWD1MLTpqXWVZQTyOQBDnVldcKPg6bUdTEM4ja6wtk4InOVgtP3oLTLW985G6&#10;zBcihLBLUUHpfZNK6fKSDLqxbYgD92Nbgz7AtpC6xXsIN7WcRFEiDVYcGkpsaF1S/pvdjAKbfF6/&#10;D+esvjy7jd5N9vFmeN0qNejH0RyEp4d/i//dOx3mz2YJ/H0TTpDL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qckA7vQAA&#10;AN0AAAAPAAAAAAAAAAEAIAAAACIAAABkcnMvZG93bnJldi54bWxQSwECFAAUAAAACACHTuJAMy8F&#10;njsAAAA5AAAAEAAAAAAAAAABACAAAAAMAQAAZHJzL3NoYXBleG1sLnhtbFBLBQYAAAAABgAGAFsB&#10;AAC2AwAAAAA=&#10;" path="m0,782l284,384,559,0e">
                  <v:path o:connectlocs="0,4414;284,4016;559,3632;559,3632" o:connectangles="0,0,0,0"/>
                  <v:fill on="f" focussize="0,0"/>
                  <v:stroke weight="0.0154330708661417pt" color="#000000" joinstyle="round"/>
                  <v:imagedata o:title=""/>
                  <o:lock v:ext="edit" aspectratio="f"/>
                </v:shape>
                <v:shape id="Freeform 141" o:spid="_x0000_s1026" o:spt="100" style="position:absolute;left:5613;top:3779;height:635;width:455;" filled="f" stroked="t" coordsize="455,635" o:gfxdata="UEsDBAoAAAAAAIdO4kAAAAAAAAAAAAAAAAAEAAAAZHJzL1BLAwQUAAAACACHTuJA1UK84rwAAADd&#10;AAAADwAAAGRycy9kb3ducmV2LnhtbEVPTYvCMBC9L/gfwgje1tQ9rFqNgsLK7m2tongbm7GtNpOS&#10;RK3/3iwseJvH+5zpvDW1uJHzlWUFg34Cgji3uuJCwXbz9T4C4QOyxtoyKXiQh/ms8zbFVNs7r+mW&#10;hULEEPYpKihDaFIpfV6SQd+3DXHkTtYZDBG6QmqH9xhuavmRJJ/SYMWxocSGliXll+xqFBwXl99z&#10;u1r9FLvDbhP2VI0cZ0r1uoNkAiJQG17if/e3jvPH4yH8fRNPkLM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VCvOK8AAAA&#10;3QAAAA8AAAAAAAAAAQAgAAAAIgAAAGRycy9kb3ducmV2LnhtbFBLAQIUABQAAAAIAIdO4kAzLwWe&#10;OwAAADkAAAAQAAAAAAAAAAEAIAAAAAsBAABkcnMvc2hhcGV4bWwueG1sUEsFBgAAAAAGAAYAWwEA&#10;ALUDAAAAAA==&#10;" path="m0,635l210,341,454,0e">
                  <v:path o:connectlocs="0,4414;210,4120;454,3779;454,3779" o:connectangles="0,0,0,0"/>
                  <v:fill on="f" focussize="0,0"/>
                  <v:stroke weight="0.0154330708661417pt" color="#000000" joinstyle="round"/>
                  <v:imagedata o:title=""/>
                  <o:lock v:ext="edit" aspectratio="f"/>
                </v:shape>
                <v:shape id="Freeform 142" o:spid="_x0000_s1026" o:spt="100" style="position:absolute;left:5718;top:3925;height:489;width:350;" filled="f" stroked="t" coordsize="350,489" o:gfxdata="UEsDBAoAAAAAAIdO4kAAAAAAAAAAAAAAAAAEAAAAZHJzL1BLAwQUAAAACACHTuJAwnFelcEAAADd&#10;AAAADwAAAGRycy9kb3ducmV2LnhtbEWPT0sDMRDF70K/QxjBi7TJqojdNi3+xYIn24r0NmzGzdLN&#10;ZNnE7vrtnYPgbYb35r3fLNdjaNWJ+tREtlDMDCjiKrqGawv73cv0DlTKyA7byGThhxKsV5OzJZYu&#10;DvxOp22ulYRwKtGCz7krtU6Vp4BpFjti0b5iHzDL2tfa9ThIeGj1lTG3OmDD0uCxo0dP1XH7HSzo&#10;t8/X+93TUMfnbG6uH8aPw6UvrL04L8wCVKYx/5v/rjdO8OdzwZVvZAS9+gV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wnFe&#10;lcEAAADdAAAADwAAAAAAAAABACAAAAAiAAAAZHJzL2Rvd25yZXYueG1sUEsBAhQAFAAAAAgAh07i&#10;QDMvBZ47AAAAOQAAABAAAAAAAAAAAQAgAAAAEAEAAGRycy9zaGFwZXhtbC54bWxQSwUGAAAAAAYA&#10;BgBbAQAAugMAAAAA&#10;" path="m0,488l151,277,349,0e">
                  <v:path o:connectlocs="0,4414;151,4203;349,3926;349,3926" o:connectangles="0,0,0,0"/>
                  <v:fill on="f" focussize="0,0"/>
                  <v:stroke weight="0.0154330708661417pt" color="#000000" joinstyle="round"/>
                  <v:imagedata o:title=""/>
                  <o:lock v:ext="edit" aspectratio="f"/>
                </v:shape>
                <v:shape id="Picture 143" o:spid="_x0000_s1026" o:spt="75" type="#_x0000_t75" style="position:absolute;left:5823;top:4072;height:342;width:245;" filled="f" o:preferrelative="t" stroked="f" coordsize="21600,21600" o:gfxdata="UEsDBAoAAAAAAIdO4kAAAAAAAAAAAAAAAAAEAAAAZHJzL1BLAwQUAAAACACHTuJA9xAhFL0AAADd&#10;AAAADwAAAGRycy9kb3ducmV2LnhtbEVPS2sCMRC+C/0PYQreNGuLj6xGoYWiBymtCl7HzXR36Way&#10;TeLr35uC4G0+vufMFhfbiBP5UDvWMOhnIIgLZ2ouNey2H70JiBCRDTaOScOVAizmT50Z5sad+ZtO&#10;m1iKFMIhRw1VjG0uZSgqshj6riVO3I/zFmOCvpTG4zmF20a+ZNlIWqw5NVTY0ntFxe/maDUc/15V&#10;tOvlaPi5Pmz9+IvfVLHXuvs8yKYgIl3iQ3x3r0yar5SC/2/SCXJ+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3ECEUvQAA&#10;AN0AAAAPAAAAAAAAAAEAIAAAACIAAABkcnMvZG93bnJldi54bWxQSwECFAAUAAAACACHTuJAMy8F&#10;njsAAAA5AAAAEAAAAAAAAAABACAAAAAMAQAAZHJzL3NoYXBleG1sLnhtbFBLBQYAAAAABgAGAFsB&#10;AAC2AwAAAAA=&#10;">
                  <v:fill on="f" focussize="0,0"/>
                  <v:stroke on="f"/>
                  <v:imagedata r:id="rId45" o:title=""/>
                  <o:lock v:ext="edit" aspectratio="t"/>
                </v:shape>
                <v:shape id="Freeform 144" o:spid="_x0000_s1026" o:spt="100" style="position:absolute;left:3629;top:2678;height:2;width:352;" filled="f" stroked="t" coordsize="352,1" o:gfxdata="UEsDBAoAAAAAAIdO4kAAAAAAAAAAAAAAAAAEAAAAZHJzL1BLAwQUAAAACACHTuJA4J6nhbwAAADd&#10;AAAADwAAAGRycy9kb3ducmV2LnhtbEWPTYvCQAyG74L/YYiwN52qINp1FBQU2Zsf6DXbybZdO5nS&#10;GVv99+awsMfw5n2SZ7l+ukq11ITSs4HxKAFFnHlbcm7gct4N56BCRLZYeSYDLwqwXvV7S0yt7/hI&#10;7SnmSiAcUjRQxFinWoesIIdh5GtiyX584zDK2OTaNtgJ3FV6kiQz7bBkuVBgTduCsvvp4QyUv122&#10;OQb7eIX99WvRfbNtpzdjPgbj5BNUpGf8X/5rH6wBIcr/YiMmoFd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Cep4W8AAAA&#10;3QAAAA8AAAAAAAAAAQAgAAAAIgAAAGRycy9kb3ducmV2LnhtbFBLAQIUABQAAAAIAIdO4kAzLwWe&#10;OwAAADkAAAAQAAAAAAAAAAEAIAAAAAsBAABkcnMvc2hhcGV4bWwueG1sUEsFBgAAAAAGAAYAWwEA&#10;ALUDAAAAAA==&#10;" path="m0,0l351,0e">
                  <v:path o:connectlocs="0,0;351,0;351,0" o:connectangles="0,0,0"/>
                  <v:fill on="f" focussize="0,0"/>
                  <v:stroke weight="0.0190551181102362pt" color="#000000" joinstyle="round"/>
                  <v:imagedata o:title=""/>
                  <o:lock v:ext="edit" aspectratio="f"/>
                </v:shape>
                <v:shape id="Freeform 145" o:spid="_x0000_s1026" o:spt="100" style="position:absolute;left:4047;top:2678;height:2;width:68;" filled="f" stroked="t" coordsize="68,1" o:gfxdata="UEsDBAoAAAAAAIdO4kAAAAAAAAAAAAAAAAAEAAAAZHJzL1BLAwQUAAAACACHTuJAtuK8y70AAADd&#10;AAAADwAAAGRycy9kb3ducmV2LnhtbEWPQWvCQBCF7wX/wzKCt7pJCiKpq6BYiCepldLjkJ1mg9nZ&#10;Jbua+O/dgtDj48373rzVZrSduFEfWscK8nkGgrh2uuVGwfnr43UJIkRkjZ1jUnCnAJv15GWFpXYD&#10;f9LtFBuRIBxKVGBi9KWUoTZkMcydJ07er+stxiT7RuoehwS3nSyybCEttpwaDHraGaovp6tNb7Te&#10;43K7/7kU+ffuenw7HCrjlZpN8+wdRKQx/h8/05VWkIg5/K1JCJDr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24rzLvQAA&#10;AN0AAAAPAAAAAAAAAAEAIAAAACIAAABkcnMvZG93bnJldi54bWxQSwECFAAUAAAACACHTuJAMy8F&#10;njsAAAA5AAAAEAAAAAAAAAABACAAAAAMAQAAZHJzL3NoYXBleG1sLnhtbFBLBQYAAAAABgAGAFsB&#10;AAC2AwAAAAA=&#10;" path="m0,0l67,0e">
                  <v:path o:connectlocs="0,0;67,0;67,0" o:connectangles="0,0,0"/>
                  <v:fill on="f" focussize="0,0"/>
                  <v:stroke weight="0.0190551181102362pt" color="#000000" joinstyle="round"/>
                  <v:imagedata o:title=""/>
                  <o:lock v:ext="edit" aspectratio="f"/>
                </v:shape>
                <v:shape id="Freeform 146" o:spid="_x0000_s1026" o:spt="100" style="position:absolute;left:4181;top:2678;height:2;width:334;" filled="f" stroked="t" coordsize="334,1" o:gfxdata="UEsDBAoAAAAAAIdO4kAAAAAAAAAAAAAAAAAEAAAAZHJzL1BLAwQUAAAACACHTuJAb7fSm7wAAADd&#10;AAAADwAAAGRycy9kb3ducmV2LnhtbEWPzYvCMBTE78L+D+EJe9O0Hhappj0IgiII69f5bfK2KTYv&#10;3SZ+/fcbQfA4zMxvmHl1d624Uh8azwrycQaCWHvTcK3gsF+OpiBCRDbYeiYFDwpQlR+DORbG3/ib&#10;rrtYiwThUKACG2NXSBm0JYdh7Dvi5P363mFMsq+l6fGW4K6Vkyz7kg4bTgsWO1pY0ufdxSnYX7br&#10;DT/y1c/x5Flv9cnbP6fU5zDPZiAi3eM7/GqvjIJEnMDzTXoCsvw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30pu8AAAA&#10;3QAAAA8AAAAAAAAAAQAgAAAAIgAAAGRycy9kb3ducmV2LnhtbFBLAQIUABQAAAAIAIdO4kAzLwWe&#10;OwAAADkAAAAQAAAAAAAAAAEAIAAAAAsBAABkcnMvc2hhcGV4bWwueG1sUEsFBgAAAAAGAAYAWwEA&#10;ALUDAAAAAA==&#10;" path="m0,0l334,0e">
                  <v:path o:connectlocs="0,0;334,0;334,0" o:connectangles="0,0,0"/>
                  <v:fill on="f" focussize="0,0"/>
                  <v:stroke weight="0.0190551181102362pt" color="#000000" joinstyle="round"/>
                  <v:imagedata o:title=""/>
                  <o:lock v:ext="edit" aspectratio="f"/>
                </v:shape>
                <v:shape id="Freeform 147" o:spid="_x0000_s1026" o:spt="100" style="position:absolute;left:4581;top:2678;height:2;width:68;" filled="f" stroked="t" coordsize="68,1" o:gfxdata="UEsDBAoAAAAAAIdO4kAAAAAAAAAAAAAAAAAEAAAAZHJzL1BLAwQUAAAACACHTuJAKXyHJ70AAADd&#10;AAAADwAAAGRycy9kb3ducmV2LnhtbEWPT2sCMRDF7wW/Qxiht5r9A0VWo6AouCepLcXjsBk3i5tJ&#10;2ETXfntTKPT4ePN+b95y/bC9uNMQOscK8lkGgrhxuuNWwdfn/m0OIkRkjb1jUvBDAdarycsSK+1G&#10;/qD7KbYiQThUqMDE6CspQ2PIYpg5T5y8ixssxiSHVuoBxwS3vSyy7F1a7Dg1GPS0NdRcTzeb3ui8&#10;x/lmd74W+ff2dizr+mC8Uq/TPFuAiPSI/8d/6YNWkIgl/K5JCJCrJ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fIcnvQAA&#10;AN0AAAAPAAAAAAAAAAEAIAAAACIAAABkcnMvZG93bnJldi54bWxQSwECFAAUAAAACACHTuJAMy8F&#10;njsAAAA5AAAAEAAAAAAAAAABACAAAAAMAQAAZHJzL3NoYXBleG1sLnhtbFBLBQYAAAAABgAGAFsB&#10;AAC2AwAAAAA=&#10;" path="m0,0l66,0,67,0e">
                  <v:path o:connectlocs="0,0;66,0;67,0" o:connectangles="0,0,0"/>
                  <v:fill on="f" focussize="0,0"/>
                  <v:stroke weight="0.0190551181102362pt" color="#000000" joinstyle="round"/>
                  <v:imagedata o:title=""/>
                  <o:lock v:ext="edit" aspectratio="f"/>
                </v:shape>
                <v:shape id="Freeform 148" o:spid="_x0000_s1026" o:spt="100" style="position:absolute;left:4715;top:2678;height:2;width:335;" filled="f" stroked="t" coordsize="335,1" o:gfxdata="UEsDBAoAAAAAAIdO4kAAAAAAAAAAAAAAAAAEAAAAZHJzL1BLAwQUAAAACACHTuJA2Spvib4AAADd&#10;AAAADwAAAGRycy9kb3ducmV2LnhtbEWPQWsCMRSE7wX/Q3iCt5qsiNjV6KEoCBWkKsXjc/PMLt28&#10;LEmqtr/eFAo9DjPzDTNf3l0rrhRi41lDMVQgiCtvGrYajof18xRETMgGW8+k4ZsiLBe9pzmWxt/4&#10;na77ZEWGcCxRQ51SV0oZq5ocxqHviLN38cFhyjJYaQLeMty1cqTURDpsOC/U2NFrTdXn/stpaN+C&#10;Wp9fRjb+2O20WH3I8eS003rQL9QMRKJ7+g//tTdGQyaO4fdNfgJy8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Spvib4A&#10;AADdAAAADwAAAAAAAAABACAAAAAiAAAAZHJzL2Rvd25yZXYueG1sUEsBAhQAFAAAAAgAh07iQDMv&#10;BZ47AAAAOQAAABAAAAAAAAAAAQAgAAAADQEAAGRycy9zaGFwZXhtbC54bWxQSwUGAAAAAAYABgBb&#10;AQAAtwMAAAAA&#10;" path="m0,0l334,0e">
                  <v:path o:connectlocs="0,0;334,0;334,0" o:connectangles="0,0,0"/>
                  <v:fill on="f" focussize="0,0"/>
                  <v:stroke weight="0.0190551181102362pt" color="#000000" joinstyle="round"/>
                  <v:imagedata o:title=""/>
                  <o:lock v:ext="edit" aspectratio="f"/>
                </v:shape>
                <v:shape id="Freeform 149" o:spid="_x0000_s1026" o:spt="100" style="position:absolute;left:5115;top:2678;height:2;width:67;" filled="f" stroked="t" coordsize="67,1" o:gfxdata="UEsDBAoAAAAAAIdO4kAAAAAAAAAAAAAAAAAEAAAAZHJzL1BLAwQUAAAACACHTuJAOLOWnbsAAADd&#10;AAAADwAAAGRycy9kb3ducmV2LnhtbEWP3YrCMBSE7xd8h3AWvClrWllFuqYFFUEvt/oAh+b0h01O&#10;ShP/3t4Iwl4OM/MNsy7v1ogrjb53rCCbpSCIa6d7bhWcT/uvFQgfkDUax6TgQR7KYvKxxly7G//S&#10;tQqtiBD2OSroQhhyKX3dkUU/cwNx9Bo3WgxRjq3UI94i3Bo5T9OltNhzXOhwoG1H9V91sQqO36vB&#10;77jK+OxM0ySbZGGqRKnpZ5b+gAh0D//hd/ugFUTiAl5v4hOQxR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LOWnbsAAADd&#10;AAAADwAAAAAAAAABACAAAAAiAAAAZHJzL2Rvd25yZXYueG1sUEsBAhQAFAAAAAgAh07iQDMvBZ47&#10;AAAAOQAAABAAAAAAAAAAAQAgAAAACgEAAGRycy9zaGFwZXhtbC54bWxQSwUGAAAAAAYABgBbAQAA&#10;tAMAAAAA&#10;" path="m0,0l66,0,67,0e">
                  <v:path o:connectlocs="0,0;66,0;67,0" o:connectangles="0,0,0"/>
                  <v:fill on="f" focussize="0,0"/>
                  <v:stroke weight="0.0190551181102362pt" color="#000000" joinstyle="round"/>
                  <v:imagedata o:title=""/>
                  <o:lock v:ext="edit" aspectratio="f"/>
                </v:shape>
                <v:shape id="Freeform 150" o:spid="_x0000_s1026" o:spt="100" style="position:absolute;left:5249;top:2678;height:2;width:335;" filled="f" stroked="t" coordsize="335,1" o:gfxdata="UEsDBAoAAAAAAIdO4kAAAAAAAAAAAAAAAAAEAAAAZHJzL1BLAwQUAAAACACHTuJARrRUZb0AAADd&#10;AAAADwAAAGRycy9kb3ducmV2LnhtbEWPQWsCMRSE74L/ITyht5qsFNHV6EEqFFqQ2iIen5tndnHz&#10;siSpWn99IxQ8DjPzDTNfXl0rzhRi41lDMVQgiCtvGrYavr/WzxMQMSEbbD2Thl+KsFz0e3Msjb/w&#10;J523yYoM4ViihjqlrpQyVjU5jEPfEWfv6IPDlGWw0gS8ZLhr5UipsXTYcF6osaNVTdVp++M0tO9B&#10;rQ/TkY03+zEpXnfyZbzfaP00KNQMRKJreoT/229Gw50I9zf5CcjF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GtFRlvQAA&#10;AN0AAAAPAAAAAAAAAAEAIAAAACIAAABkcnMvZG93bnJldi54bWxQSwECFAAUAAAACACHTuJAMy8F&#10;njsAAAA5AAAAEAAAAAAAAAABACAAAAAMAQAAZHJzL3NoYXBleG1sLnhtbFBLBQYAAAAABgAGAFsB&#10;AAC2AwAAAAA=&#10;" path="m0,0l334,0,335,0e">
                  <v:path o:connectlocs="0,0;334,0;335,0" o:connectangles="0,0,0"/>
                  <v:fill on="f" focussize="0,0"/>
                  <v:stroke weight="0.0190551181102362pt" color="#000000" joinstyle="round"/>
                  <v:imagedata o:title=""/>
                  <o:lock v:ext="edit" aspectratio="f"/>
                </v:shape>
                <v:shape id="Freeform 151" o:spid="_x0000_s1026" o:spt="100" style="position:absolute;left:5649;top:2678;height:2;width:68;" filled="f" stroked="t" coordsize="68,1" o:gfxdata="UEsDBAoAAAAAAIdO4kAAAAAAAAAAAAAAAAAEAAAAZHJzL1BLAwQUAAAACACHTuJAVkeBJL4AAADd&#10;AAAADwAAAGRycy9kb3ducmV2LnhtbEWPQWvCQBCF7wX/wzIFb3UTC1ZSV6FiwZykaRGPQ3aaDWZn&#10;l+ya6L93hUKPjzfve/NWm6vtxEB9aB0ryGcZCOLa6ZYbBT/fny9LECEia+wck4IbBdisJ08rLLQb&#10;+YuGKjYiQTgUqMDE6AspQ23IYpg5T5y8X9dbjEn2jdQ9jgluOznPsoW02HJqMOhpa6g+Vxeb3mi9&#10;x+XH7nSe58ft5fBalnvjlZo+59k7iEjX+H/8l95rBYn4Bo81CQFyf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keBJL4A&#10;AADdAAAADwAAAAAAAAABACAAAAAiAAAAZHJzL2Rvd25yZXYueG1sUEsBAhQAFAAAAAgAh07iQDMv&#10;BZ47AAAAOQAAABAAAAAAAAAAAQAgAAAADQEAAGRycy9zaGFwZXhtbC54bWxQSwUGAAAAAAYABgBb&#10;AQAAtwMAAAAA&#10;" path="m0,0l67,0e">
                  <v:path o:connectlocs="0,0;67,0;67,0" o:connectangles="0,0,0"/>
                  <v:fill on="f" focussize="0,0"/>
                  <v:stroke weight="0.0190551181102362pt" color="#000000" joinstyle="round"/>
                  <v:imagedata o:title=""/>
                  <o:lock v:ext="edit" aspectratio="f"/>
                </v:shape>
                <v:shape id="Freeform 152" o:spid="_x0000_s1026" o:spt="100" style="position:absolute;left:5783;top:2678;height:2;width:335;" filled="f" stroked="t" coordsize="335,1" o:gfxdata="UEsDBAoAAAAAAIdO4kAAAAAAAAAAAAAAAAAEAAAAZHJzL1BLAwQUAAAACACHTuJAWGdljL8AAADd&#10;AAAADwAAAGRycy9kb3ducmV2LnhtbEWPwUoDMRCG70LfIUzBm022SGnXpj2UFgoKYpXicdyM2aWb&#10;yZLEtvr0zkHwOPzzfzPfcn0NvTpTyl1kC9XEgCJuouvYW3h73d3NQeWC7LCPTBa+KcN6NbpZYu3i&#10;hV/ofCheCYRzjRbaUoZa69y0FDBP4kAs2WdMAYuMyWuX8CLw0OupMTMdsGO50OJAm5aa0+ErWOgf&#10;k9l9LKY+//inebU96vvZ+7O1t+PKPIAqdC3/y3/tvbMgRHlXbMQE9Oo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hnZYy/&#10;AAAA3QAAAA8AAAAAAAAAAQAgAAAAIgAAAGRycy9kb3ducmV2LnhtbFBLAQIUABQAAAAIAIdO4kAz&#10;LwWeOwAAADkAAAAQAAAAAAAAAAEAIAAAAA4BAABkcnMvc2hhcGV4bWwueG1sUEsFBgAAAAAGAAYA&#10;WwEAALgDAAAAAA==&#10;" path="m0,0l334,0,335,0e">
                  <v:path o:connectlocs="0,0;334,0;335,0" o:connectangles="0,0,0"/>
                  <v:fill on="f" focussize="0,0"/>
                  <v:stroke weight="0.0190551181102362pt" color="#000000" joinstyle="round"/>
                  <v:imagedata o:title=""/>
                  <o:lock v:ext="edit" aspectratio="f"/>
                </v:shape>
                <v:shape id="Freeform 153" o:spid="_x0000_s1026" o:spt="100" style="position:absolute;left:6184;top:2678;height:2;width:67;" filled="f" stroked="t" coordsize="67,1" o:gfxdata="UEsDBAoAAAAAAIdO4kAAAAAAAAAAAAAAAAAEAAAAZHJzL1BLAwQUAAAACACHTuJAuf6cmLsAAADd&#10;AAAADwAAAGRycy9kb3ducmV2LnhtbEWP3YrCMBSE7wXfIRzBm6JpZV20GgV3EXYvt9sHODSnP5ic&#10;lCb+vb0RBC+HmfmG2e5v1ogLDb5zrCCbpyCIK6c7bhSU/8fZCoQPyBqNY1JwJw/73Xi0xVy7K//R&#10;pQiNiBD2OSpoQ+hzKX3VkkU/dz1x9Go3WAxRDo3UA14j3Bq5SNNPabHjuNBiT18tVafibBX8fqx6&#10;/81FxqUzdZ0ckqUpEqWmkyzdgAh0C+/wq/2jFUTiGp5v4hOQu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f6cmLsAAADd&#10;AAAADwAAAAAAAAABACAAAAAiAAAAZHJzL2Rvd25yZXYueG1sUEsBAhQAFAAAAAgAh07iQDMvBZ47&#10;AAAAOQAAABAAAAAAAAAAAQAgAAAACgEAAGRycy9zaGFwZXhtbC54bWxQSwUGAAAAAAYABgBbAQAA&#10;tAMAAAAA&#10;" path="m0,0l67,0e">
                  <v:path o:connectlocs="0,0;67,0;67,0" o:connectangles="0,0,0"/>
                  <v:fill on="f" focussize="0,0"/>
                  <v:stroke weight="0.0190551181102362pt" color="#000000" joinstyle="round"/>
                  <v:imagedata o:title=""/>
                  <o:lock v:ext="edit" aspectratio="f"/>
                </v:shape>
                <v:shape id="Freeform 154" o:spid="_x0000_s1026" o:spt="100" style="position:absolute;left:6317;top:2678;height:2;width:335;" filled="f" stroked="t" coordsize="335,1" o:gfxdata="UEsDBAoAAAAAAIdO4kAAAAAAAAAAAAAAAAAEAAAAZHJzL1BLAwQUAAAACACHTuJAI8j/V7wAAADd&#10;AAAADwAAAGRycy9kb3ducmV2LnhtbEVPy2oCMRTdF/yHcAV3NZlBREeji6IgVCjaIl3eTq6ZoZOb&#10;IUl99OvNotDl4byX65vrxIVCbD1rKMYKBHHtTctWw8f79nkGIiZkg51n0nCnCOvV4GmJlfFXPtDl&#10;mKzIIRwr1NCk1FdSxrohh3Hse+LMnX1wmDIMVpqA1xzuOlkqNZUOW84NDfb00lD9ffxxGrrXoLZf&#10;89LGX7ufFZuTnEw/37QeDQu1AJHolv7Ff+6d0VCqIu/Pb/ITkKs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PI/1e8AAAA&#10;3QAAAA8AAAAAAAAAAQAgAAAAIgAAAGRycy9kb3ducmV2LnhtbFBLAQIUABQAAAAIAIdO4kAzLwWe&#10;OwAAADkAAAAQAAAAAAAAAAEAIAAAAAsBAABkcnMvc2hhcGV4bWwueG1sUEsFBgAAAAAGAAYAWwEA&#10;ALUDAAAAAA==&#10;" path="m0,0l334,0e">
                  <v:path o:connectlocs="0,0;334,0;334,0" o:connectangles="0,0,0"/>
                  <v:fill on="f" focussize="0,0"/>
                  <v:stroke weight="0.0190551181102362pt" color="#000000" joinstyle="round"/>
                  <v:imagedata o:title=""/>
                  <o:lock v:ext="edit" aspectratio="f"/>
                </v:shape>
                <v:shape id="Freeform 155" o:spid="_x0000_s1026" o:spt="100" style="position:absolute;left:6718;top:2678;height:2;width:68;" filled="f" stroked="t" coordsize="68,1" o:gfxdata="UEsDBAoAAAAAAIdO4kAAAAAAAAAAAAAAAAAEAAAAZHJzL1BLAwQUAAAACACHTuJAMzsqFr4AAADd&#10;AAAADwAAAGRycy9kb3ducmV2LnhtbEWPT2sCMRDF74V+hzBCbzXJFkRWo6C0oKdSldLjsBk3i5tJ&#10;2MQ//fZNQfD4ePN+b958efO9uNCQusAG9FiBIG6C7bg1cNh/vE5BpIxssQ9MBn4pwXLx/DTH2oYr&#10;f9Fll1tRIJxqNOByjrWUqXHkMY1DJC7eMQwec5FDK+2A1wL3vayUmkiPHZcGh5HWjprT7uzLG12M&#10;OF29/5wq/b0+f75ttxsXjXkZaTUDkemWH8f39MYaqJTW8L+mIEAu/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zsqFr4A&#10;AADdAAAADwAAAAAAAAABACAAAAAiAAAAZHJzL2Rvd25yZXYueG1sUEsBAhQAFAAAAAgAh07iQDMv&#10;BZ47AAAAOQAAABAAAAAAAAAAAQAgAAAADQEAAGRycy9zaGFwZXhtbC54bWxQSwUGAAAAAAYABgBb&#10;AQAAtwMAAAAA&#10;" path="m0,0l67,0e">
                  <v:path o:connectlocs="0,0;67,0;67,0" o:connectangles="0,0,0"/>
                  <v:fill on="f" focussize="0,0"/>
                  <v:stroke weight="0.0190551181102362pt" color="#000000" joinstyle="round"/>
                  <v:imagedata o:title=""/>
                  <o:lock v:ext="edit" aspectratio="f"/>
                </v:shape>
                <v:shape id="Freeform 156" o:spid="_x0000_s1026" o:spt="100" style="position:absolute;left:6851;top:2678;height:2;width:352;" filled="f" stroked="t" coordsize="352,1" o:gfxdata="UEsDBAoAAAAAAIdO4kAAAAAAAAAAAAAAAAAEAAAAZHJzL1BLAwQUAAAACACHTuJA+tkKtL0AAADd&#10;AAAADwAAAGRycy9kb3ducmV2LnhtbEWPQWvCQBSE74L/YXlCb7qbFIpGV6GCpXhTS70+s88kNvs2&#10;ZNdE/71bEDwOM/MNs1jdbC06an3lWEMyUSCIc2cqLjT8HDbjKQgfkA3WjknDnTyslsPBAjPjet5R&#10;tw+FiBD2GWooQ2gyKX1ekkU/cQ1x9M6utRiibAtpWuwj3NYyVepDWqw4LpTY0Lqk/G9/tRqqS59/&#10;7ry53v3X73bWn9h070et30aJmoMIdAuv8LP9bTSkKknh/018AnL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62Qq0vQAA&#10;AN0AAAAPAAAAAAAAAAEAIAAAACIAAABkcnMvZG93bnJldi54bWxQSwECFAAUAAAACACHTuJAMy8F&#10;njsAAAA5AAAAEAAAAAAAAAABACAAAAAMAQAAZHJzL3NoYXBleG1sLnhtbFBLBQYAAAAABgAGAFsB&#10;AAC2AwAAAAA=&#10;" path="m0,0l351,0e">
                  <v:path o:connectlocs="0,0;351,0;351,0" o:connectangles="0,0,0"/>
                  <v:fill on="f" focussize="0,0"/>
                  <v:stroke weight="0.0190551181102362pt" color="#000000" joinstyle="round"/>
                  <v:imagedata o:title=""/>
                  <o:lock v:ext="edit" aspectratio="f"/>
                </v:shape>
                <v:shape id="Freeform 157" o:spid="_x0000_s1026" o:spt="100" style="position:absolute;left:4343;top:3449;height:2;width:2264;" filled="f" stroked="t" coordsize="2264,1" o:gfxdata="UEsDBAoAAAAAAIdO4kAAAAAAAAAAAAAAAAAEAAAAZHJzL1BLAwQUAAAACACHTuJA3cM7b70AAADd&#10;AAAADwAAAGRycy9kb3ducmV2LnhtbEWPwWrDMBBE74X+g9hCLiWR7EAIjuVQShtCbo3b+8ba2KbW&#10;ykhq4vx9VCj0OMzMG6bcTnYQF/Khd6whWygQxI0zPbcaPuv3+RpEiMgGB8ek4UYBttXjQ4mFcVf+&#10;oMsxtiJBOBSooYtxLKQMTUcWw8KNxMk7O28xJulbaTxeE9wOMldqJS32nBY6HOm1o+b7+GM1sF+/&#10;rU77XW0lP798WZry8TBpPXvK1AZEpCn+h//ae6MhV9kSft+kJyCrO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dwztvvQAA&#10;AN0AAAAPAAAAAAAAAAEAIAAAACIAAABkcnMvZG93bnJldi54bWxQSwECFAAUAAAACACHTuJAMy8F&#10;njsAAAA5AAAAEAAAAAAAAAABACAAAAAMAQAAZHJzL3NoYXBleG1sLnhtbFBLBQYAAAAABgAGAFsB&#10;AAC2AwAAAAA=&#10;" path="m0,0l2263,0e">
                  <v:path o:connectlocs="0,0;2263,0;2263,0" o:connectangles="0,0,0"/>
                  <v:fill on="f" focussize="0,0"/>
                  <v:stroke weight="0.0190551181102362pt" color="#000000" joinstyle="round"/>
                  <v:imagedata o:title=""/>
                  <o:lock v:ext="edit" aspectratio="f"/>
                </v:shape>
                <v:shape id="Freeform 158" o:spid="_x0000_s1026" o:spt="100" style="position:absolute;left:4056;top:2336;height:14;width:2838;" filled="f" stroked="t" coordsize="2838,14" o:gfxdata="UEsDBAoAAAAAAIdO4kAAAAAAAAAAAAAAAAAEAAAAZHJzL1BLAwQUAAAACACHTuJASUCsRr4AAADd&#10;AAAADwAAAGRycy9kb3ducmV2LnhtbEWP3YrCMBSE74V9h3AW9k6TuiJuNQoKgiwo+MPi5aE5tsXm&#10;pDZRu29vBMHLYWa+YSaz1lbiRo0vHWtIegoEceZMybmGw37ZHYHwAdlg5Zg0/JOH2fSjM8HUuDtv&#10;6bYLuYgQ9ilqKEKoUyl9VpBF33M1cfROrrEYomxyaRq8R7itZF+pobRYclwosKZFQdl5d7Ua5n/2&#10;4LL18th+n84y3/z+2MXFaP31magxiEBteIdf7ZXR0FfJAJ5v4hOQ0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UCsRr4A&#10;AADdAAAADwAAAAAAAAABACAAAAAiAAAAZHJzL2Rvd25yZXYueG1sUEsBAhQAFAAAAAgAh07iQDMv&#10;BZ47AAAAOQAAABAAAAAAAAAAAQAgAAAADQEAAGRycy9zaGFwZXhtbC54bWxQSwUGAAAAAAYABgBb&#10;AQAAtwMAAAAA&#10;" path="m0,0l0,9,2838,14,2838,5,0,0e">
                  <v:path o:connectlocs="0,2336;0,2345;2838,2350;2838,2341;0,2336" o:connectangles="0,0,0,0,0"/>
                  <v:fill on="f" focussize="0,0"/>
                  <v:stroke weight="0.0190551181102362pt" color="#000000" joinstyle="round"/>
                  <v:imagedata o:title=""/>
                  <o:lock v:ext="edit" aspectratio="f"/>
                </v:shape>
                <v:rect id="Rectangle 159" o:spid="_x0000_s1026" o:spt="1" style="position:absolute;left:3325;top:4403;height:21;width:4721;" fillcolor="#000000" filled="t" stroked="f" coordsize="21600,21600" o:gfxdata="UEsDBAoAAAAAAIdO4kAAAAAAAAAAAAAAAAAEAAAAZHJzL1BLAwQUAAAACACHTuJA3T6/z8AAAADd&#10;AAAADwAAAGRycy9kb3ducmV2LnhtbEWPT2sCMRTE7wW/Q3hCbzXZpYpujYJCoZdC/XPQ23Pzuru4&#10;eVmTVK2f3giFHoeZ+Q0znV9tK87kQ+NYQzZQIIhLZxquNGw37y9jECEiG2wdk4ZfCjCf9Z6mWBh3&#10;4RWd17ESCcKhQA11jF0hZShrshgGriNO3rfzFmOSvpLG4yXBbStzpUbSYsNpocaOljWVx/WP1bCY&#10;jBenr1f+vK0Oe9rvDsdh7pXWz/1MvYGIdI3/4b/2h9GQq2wIjzfpCcjZH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dPr/P&#10;wAAAAN0AAAAPAAAAAAAAAAEAIAAAACIAAABkcnMvZG93bnJldi54bWxQSwECFAAUAAAACACHTuJA&#10;My8FnjsAAAA5AAAAEAAAAAAAAAABACAAAAAPAQAAZHJzL3NoYXBleG1sLnhtbFBLBQYAAAAABgAG&#10;AFsBAAC5AwAAAAA=&#10;">
                  <v:fill on="t" focussize="0,0"/>
                  <v:stroke on="f"/>
                  <v:imagedata o:title=""/>
                  <o:lock v:ext="edit" aspectratio="f"/>
                </v:rect>
                <v:rect id="Rectangle 160" o:spid="_x0000_s1026" o:spt="1" style="position:absolute;left:3325;top:4403;height:21;width:4721;" fillcolor="#000000" filled="t" stroked="f" coordsize="21600,21600" o:gfxdata="UEsDBAoAAAAAAIdO4kAAAAAAAAAAAAAAAAAEAAAAZHJzL1BLAwQUAAAACACHTuJALewhuMAAAADd&#10;AAAADwAAAGRycy9kb3ducmV2LnhtbEWPT2sCMRTE74V+h/AKvWmyixXdGgWFgpeC2h709ty87i5u&#10;XtYk9U8/vRGEHoeZ+Q0zmV1sK07kQ+NYQ9ZXIIhLZxquNHx/ffRGIEJENtg6Jg1XCjCbPj9NsDDu&#10;zGs6bWIlEoRDgRrqGLtCylDWZDH0XUecvB/nLcYkfSWNx3OC21bmSg2lxYbTQo0dLWoqD5tfq2E+&#10;Hs2PqwF//q33O9pt94e33CutX18y9Q4i0iX+hx/tpdGQq2wI9zfpCcjpD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t7CG4&#10;wAAAAN0AAAAPAAAAAAAAAAEAIAAAACIAAABkcnMvZG93bnJldi54bWxQSwECFAAUAAAACACHTuJA&#10;My8FnjsAAAA5AAAAEAAAAAAAAAABACAAAAAPAQAAZHJzL3NoYXBleG1sLnhtbFBLBQYAAAAABgAG&#10;AFsBAAC5AwAAAAA=&#10;">
                  <v:fill on="t" focussize="0,0"/>
                  <v:stroke on="f"/>
                  <v:imagedata o:title=""/>
                  <o:lock v:ext="edit" aspectratio="f"/>
                </v:rect>
                <v:rect id="Rectangle 161" o:spid="_x0000_s1026" o:spt="1" style="position:absolute;left:3325;top:4403;height:21;width:4721;" filled="f" stroked="t" coordsize="21600,21600" o:gfxdata="UEsDBAoAAAAAAIdO4kAAAAAAAAAAAAAAAAAEAAAAZHJzL1BLAwQUAAAACACHTuJAmaibF7wAAADd&#10;AAAADwAAAGRycy9kb3ducmV2LnhtbEWPQYvCMBSE74L/ITxhb5pUxF2qUdCy4MGL1h/waN621eal&#10;JKm6/34jCHscZuYbZr192k7cyYfWsYZspkAQV860XGu4lN/TLxAhIhvsHJOGXwqw3YxHa8yNe/CJ&#10;7udYiwThkKOGJsY+lzJUDVkMM9cTJ+/HeYsxSV9L4/GR4LaTc6WW0mLLaaHBnvYNVbfzYDWU5I6D&#10;vC2WXqldUcjLdShjofXHJFMrEJGe8T/8bh+MhrnKPuH1Jj0Bufk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momxe8AAAA&#10;3QAAAA8AAAAAAAAAAQAgAAAAIgAAAGRycy9kb3ducmV2LnhtbFBLAQIUABQAAAAIAIdO4kAzLwWe&#10;OwAAADkAAAAQAAAAAAAAAAEAIAAAAAsBAABkcnMvc2hhcGV4bWwueG1sUEsFBgAAAAAGAAYAWwEA&#10;ALUDAAAAAA==&#10;">
                  <v:fill on="f" focussize="0,0"/>
                  <v:stroke weight="0.0190551181102362pt" color="#000000" miterlimit="8" joinstyle="miter"/>
                  <v:imagedata o:title=""/>
                  <o:lock v:ext="edit" aspectratio="f"/>
                </v:rect>
                <v:shape id="Picture 162" o:spid="_x0000_s1026" o:spt="75" type="#_x0000_t75" style="position:absolute;left:2755;top:190;height:4231;width:5851;" filled="f" o:preferrelative="t" stroked="f" coordsize="21600,21600" o:gfxdata="UEsDBAoAAAAAAIdO4kAAAAAAAAAAAAAAAAAEAAAAZHJzL1BLAwQUAAAACACHTuJABq/mHLsAAADd&#10;AAAADwAAAGRycy9kb3ducmV2LnhtbEVPy2oCMRTdC/5DuII7TUZKsVOji6JlLLhw7MbdZXI7GTq5&#10;GZL4+nuzKHR5OO/V5u56caUQO88airkCQdx403Gr4fu0my1BxIRssPdMGh4UYbMej1ZYGn/jI13r&#10;1IocwrFEDTaloZQyNpYcxrkfiDP344PDlGFopQl4y+GulwulXqXDjnODxYE+LDW/9cVp2L9wd5Gf&#10;2+F8cuGttufqcPiqtJ5OCvUOItE9/Yv/3JXRsFBFnpvf5Ccg10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q/mHLsAAADd&#10;AAAADwAAAAAAAAABACAAAAAiAAAAZHJzL2Rvd25yZXYueG1sUEsBAhQAFAAAAAgAh07iQDMvBZ47&#10;AAAAOQAAABAAAAAAAAAAAQAgAAAACgEAAGRycy9zaGFwZXhtbC54bWxQSwUGAAAAAAYABgBbAQAA&#10;tAMAAAAA&#10;">
                  <v:fill on="f" focussize="0,0"/>
                  <v:stroke on="f"/>
                  <v:imagedata r:id="rId46" o:title=""/>
                  <o:lock v:ext="edit" aspectratio="t"/>
                </v:shape>
                <v:shape id="Picture 163" o:spid="_x0000_s1026" o:spt="75" type="#_x0000_t75" style="position:absolute;left:7311;top:2463;height:271;width:130;" filled="f" o:preferrelative="t" stroked="f" coordsize="21600,21600" o:gfxdata="UEsDBAoAAAAAAIdO4kAAAAAAAAAAAAAAAAAEAAAAZHJzL1BLAwQUAAAACACHTuJA4i1DPcAAAADd&#10;AAAADwAAAGRycy9kb3ducmV2LnhtbEWPT2sCMRDF70K/Q5iCF6nJ7qHWrVGKVigISq14HjbTzdJk&#10;smxS/3x7Uyh4fLx5vzdvtrh4J07UxzawhmKsQBDXwbTcaDh8rZ9eQMSEbNAFJg1XirCYPwxmWJlw&#10;5k867VMjMoRjhRpsSl0lZawteYzj0BFn7zv0HlOWfSNNj+cM906WSj1Ljy3nBosdLS3VP/tfn984&#10;brdr27TlSI7cZLpym/e33UTr4WOhXkEkuqT78X/6w2goVTGFvzUZAXJ+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iLUM9&#10;wAAAAN0AAAAPAAAAAAAAAAEAIAAAACIAAABkcnMvZG93bnJldi54bWxQSwECFAAUAAAACACHTuJA&#10;My8FnjsAAAA5AAAAEAAAAAAAAAABACAAAAAPAQAAZHJzL3NoYXBleG1sLnhtbFBLBQYAAAAABgAG&#10;AFsBAAC5AwAAAAA=&#10;">
                  <v:fill on="f" focussize="0,0"/>
                  <v:stroke on="f"/>
                  <v:imagedata r:id="rId47" o:title=""/>
                  <o:lock v:ext="edit" aspectratio="t"/>
                </v:shape>
                <v:shape id="Freeform 164" o:spid="_x0000_s1026" o:spt="100" style="position:absolute;left:7504;top:2579;height:2;width:166;" filled="f" stroked="t" coordsize="166,1" o:gfxdata="UEsDBAoAAAAAAIdO4kAAAAAAAAAAAAAAAAAEAAAAZHJzL1BLAwQUAAAACACHTuJAerGcjbsAAADd&#10;AAAADwAAAGRycy9kb3ducmV2LnhtbEVPPWvDMBDdC/0P4grdGikeSupGCSQkkE5OndD5sC6WiHUy&#10;lmq7/74aCh0f73u9nX0nRhqiC6xhuVAgiJtgHLcarpfjywpETMgGu8Ck4YcibDePD2ssTZj4k8Y6&#10;tSKHcCxRg02pL6WMjSWPcRF64szdwuAxZTi00gw45XDfyUKpV+nRcW6w2NPeUnOvv72G1nh7dPNh&#10;Nx+at9PHl6rcuau0fn5aqncQieb0L/5zn4yGQhV5f36Tn4Dc/A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rGcjbsAAADd&#10;AAAADwAAAAAAAAABACAAAAAiAAAAZHJzL2Rvd25yZXYueG1sUEsBAhQAFAAAAAgAh07iQDMvBZ47&#10;AAAAOQAAABAAAAAAAAAAAQAgAAAACgEAAGRycy9zaGFwZXhtbC54bWxQSwUGAAAAAAYABgBbAQAA&#10;tAMAAAAA&#10;" path="m0,0l165,0e">
                  <v:path o:connectlocs="0,0;165,0;165,0" o:connectangles="0,0,0"/>
                  <v:fill on="f" focussize="0,0"/>
                  <v:stroke weight="0.0190551181102362pt" color="#000000" joinstyle="round"/>
                  <v:imagedata o:title=""/>
                  <o:lock v:ext="edit" aspectratio="f"/>
                </v:shape>
                <v:shape id="Freeform 165" o:spid="_x0000_s1026" o:spt="100" style="position:absolute;left:7504;top:2656;height:2;width:166;" filled="f" stroked="t" coordsize="166,1" o:gfxdata="UEsDBAoAAAAAAIdO4kAAAAAAAAAAAAAAAAAEAAAAZHJzL1BLAwQUAAAACACHTuJAFf05FrwAAADd&#10;AAAADwAAAGRycy9kb3ducmV2LnhtbEWPQWsCMRSE7wX/Q3iCt5rsHkq7NQoVBXuyVfH82LxuQjcv&#10;yybq+u+NIHgcZuYbZrYYfCvO1EcXWEMxVSCI62AcNxoO+/XrO4iYkA22gUnDlSIs5qOXGVYmXPiX&#10;zrvUiAzhWKEGm1JXSRlrSx7jNHTE2fsLvceUZd9I0+Mlw30rS6XepEfHecFiR0tL9f/u5DU0xtu1&#10;G1Zfw6r+2Hwf1db9tFutJ+NCfYJINKRn+NHeGA2lKgu4v8lPQM5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X9ORa8AAAA&#10;3QAAAA8AAAAAAAAAAQAgAAAAIgAAAGRycy9kb3ducmV2LnhtbFBLAQIUABQAAAAIAIdO4kAzLwWe&#10;OwAAADkAAAAQAAAAAAAAAAEAIAAAAAsBAABkcnMvc2hhcGV4bWwueG1sUEsFBgAAAAAGAAYAWwEA&#10;ALUDAAAAAA==&#10;" path="m0,0l165,0e">
                  <v:path o:connectlocs="0,0;165,0;165,0" o:connectangles="0,0,0"/>
                  <v:fill on="f" focussize="0,0"/>
                  <v:stroke weight="0.0190551181102362pt" color="#000000" joinstyle="round"/>
                  <v:imagedata o:title=""/>
                  <o:lock v:ext="edit" aspectratio="f"/>
                </v:shape>
                <v:shape id="Freeform 166" o:spid="_x0000_s1026" o:spt="100" style="position:absolute;left:7761;top:2463;height:270;width:47;" filled="f" stroked="t" coordsize="47,270" o:gfxdata="UEsDBAoAAAAAAIdO4kAAAAAAAAAAAAAAAAAEAAAAZHJzL1BLAwQUAAAACACHTuJAFCiM7sAAAADd&#10;AAAADwAAAGRycy9kb3ducmV2LnhtbEWPQWsCMRSE7wX/Q3gFL6KJKSuyNYoUlXrooerF22Pzurt0&#10;87LdxFX/vSkUehxm5htmsbq5RvTUhdqzgelEgSAuvK25NHA6bsdzECEiW2w8k4E7BVgtB08LzK2/&#10;8if1h1iKBOGQo4EqxjaXMhQVOQwT3xIn78t3DmOSXSlth9cEd43USs2kw5rTQoUtvVVUfB8uzsDG&#10;/mTZqAwv56OdrbN9v+s/RtqY4fNUvYKIdIv/4b/2uzWgldbw+yY9Abl8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UKIzu&#10;wAAAAN0AAAAPAAAAAAAAAAEAIAAAACIAAABkcnMvZG93bnJldi54bWxQSwECFAAUAAAACACHTuJA&#10;My8FnjsAAAA5AAAAEAAAAAAAAAABACAAAAAPAQAAZHJzL3NoYXBleG1sLnhtbFBLBQYAAAAABgAG&#10;AFsBAAC5AwAAAAA=&#10;" path="m0,51l18,38,46,0,46,270e">
                  <v:path o:connectlocs="0,2515;18,2502;46,2464;46,2734;46,2734" o:connectangles="0,0,0,0,0"/>
                  <v:fill on="f" focussize="0,0"/>
                  <v:stroke weight="0.0137795275590551pt" color="#000000" joinstyle="round"/>
                  <v:imagedata o:title=""/>
                  <o:lock v:ext="edit" aspectratio="f"/>
                </v:shape>
                <v:shape id="Freeform 167" o:spid="_x0000_s1026" o:spt="100" style="position:absolute;left:7927;top:2707;height:26;width:19;" filled="f" stroked="t" coordsize="19,26" o:gfxdata="UEsDBAoAAAAAAIdO4kAAAAAAAAAAAAAAAAAEAAAAZHJzL1BLAwQUAAAACACHTuJAf382FMEAAADd&#10;AAAADwAAAGRycy9kb3ducmV2LnhtbEWPzWrDMBCE74W8g9hALyGW7EIa3Cg5FAImh0J+aOltsTa2&#10;qbVyLcVJ/PRVodDjMDPfMKvNzbZioN43jjWkiQJBXDrTcKXhdNzOlyB8QDbYOiYNd/KwWU8eVpgb&#10;d+U9DYdQiQhhn6OGOoQul9KXNVn0ieuIo3d2vcUQZV9J0+M1wm0rM6UW0mLDcaHGjl5rKr8OF6th&#10;dhk/8b3lcjjvxmp8KxYfz/Zb68dpql5ABLqF//BfuzAaMpU9we+b+ATk+g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f382&#10;FMEAAADdAAAADwAAAAAAAAABACAAAAAiAAAAZHJzL2Rvd25yZXYueG1sUEsBAhQAFAAAAAgAh07i&#10;QDMvBZ47AAAAOQAAABAAAAAAAAAAAQAgAAAAEAEAAGRycy9zaGFwZXhtbC54bWxQSwUGAAAAAAYA&#10;BgBbAQAAugMAAAAA&#10;" path="m10,0l0,12,10,26,19,12,10,0e">
                  <v:path o:connectlocs="10,2708;0,2720;10,2734;19,2720;10,2708;10,2708" o:connectangles="0,0,0,0,0,0"/>
                  <v:fill on="f" focussize="0,0"/>
                  <v:stroke weight="0.0154330708661417pt" color="#000000" joinstyle="round"/>
                  <v:imagedata o:title=""/>
                  <o:lock v:ext="edit" aspectratio="f"/>
                </v:shape>
                <v:shape id="Picture 168" o:spid="_x0000_s1026" o:spt="75" type="#_x0000_t75" style="position:absolute;left:8009;top:2463;height:271;width:130;" filled="f" o:preferrelative="t" stroked="f" coordsize="21600,21600" o:gfxdata="UEsDBAoAAAAAAIdO4kAAAAAAAAAAAAAAAAAEAAAAZHJzL1BLAwQUAAAACACHTuJAfV388L4AAADd&#10;AAAADwAAAGRycy9kb3ducmV2LnhtbEWPT4vCMBTE74LfIbwFb5pYF5Vq9CCKXvbgHzw/m7dNsXkp&#10;Taz67TcLC3scZuY3zHL9crXoqA2VZw3jkQJBXHhTcanhct4N5yBCRDZYeyYNbwqwXvV7S8yNf/KR&#10;ulMsRYJwyFGDjbHJpQyFJYdh5Bvi5H371mFMsi2lafGZ4K6WmVJT6bDitGCxoY2l4n56OA37zd0e&#10;H9dtN51kJZ53fPt6z25aDz7GagEi0iv+h//aB6MhU9kn/L5JT0Cuf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V388L4A&#10;AADdAAAADwAAAAAAAAABACAAAAAiAAAAZHJzL2Rvd25yZXYueG1sUEsBAhQAFAAAAAgAh07iQDMv&#10;BZ47AAAAOQAAABAAAAAAAAAAAQAgAAAADQEAAGRycy9zaGFwZXhtbC54bWxQSwUGAAAAAAYABgBb&#10;AQAAtwMAAAAA&#10;">
                  <v:fill on="f" focussize="0,0"/>
                  <v:stroke on="f"/>
                  <v:imagedata r:id="rId48" o:title=""/>
                  <o:lock v:ext="edit" aspectratio="t"/>
                </v:shape>
                <v:shape id="Picture 169" o:spid="_x0000_s1026" o:spt="75" type="#_x0000_t75" style="position:absolute;left:8202;top:2553;height:181;width:203;" filled="f" o:preferrelative="t" stroked="f" coordsize="21600,21600" o:gfxdata="UEsDBAoAAAAAAIdO4kAAAAAAAAAAAAAAAAAEAAAAZHJzL1BLAwQUAAAACACHTuJAvFE5p70AAADd&#10;AAAADwAAAGRycy9kb3ducmV2LnhtbEWPT2sCMRTE70K/Q3iF3jQxVK3bjR4KQnuSqr0/Nm//1M3L&#10;dhN1/fZGKHgcZuY3TL4eXCvO1IfGs4HpRIEgLrxtuDJw2G/GbyBCRLbYeiYDVwqwXj2Ncsysv/A3&#10;nXexEgnCIUMDdYxdJmUoanIYJr4jTl7pe4cxyb6StsdLgrtWaqXm0mHDaaHGjj5qKo67kzOgjop+&#10;fl+31fKgvxazUi/d8BeNeXmeqncQkYb4CP+3P60BrfQM7m/SE5Cr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8UTmnvQAA&#10;AN0AAAAPAAAAAAAAAAEAIAAAACIAAABkcnMvZG93bnJldi54bWxQSwECFAAUAAAACACHTuJAMy8F&#10;njsAAAA5AAAAEAAAAAAAAAABACAAAAAMAQAAZHJzL3NoYXBleG1sLnhtbFBLBQYAAAAABgAGAFsB&#10;AAC2AwAAAAA=&#10;">
                  <v:fill on="f" focussize="0,0"/>
                  <v:stroke on="f"/>
                  <v:imagedata r:id="rId49" o:title=""/>
                  <o:lock v:ext="edit" aspectratio="t"/>
                </v:shape>
                <w10:wrap type="topAndBottom"/>
              </v:group>
            </w:pict>
          </mc:Fallback>
        </mc:AlternateContent>
      </w:r>
    </w:p>
    <w:p>
      <w:pPr>
        <w:pStyle w:val="6"/>
        <w:rPr>
          <w:rFonts w:hint="eastAsia" w:ascii="宋体" w:hAnsi="宋体" w:eastAsia="宋体" w:cs="宋体"/>
        </w:rPr>
      </w:pPr>
    </w:p>
    <w:p>
      <w:pPr>
        <w:tabs>
          <w:tab w:val="left" w:pos="2369"/>
        </w:tabs>
        <w:ind w:left="1196"/>
        <w:rPr>
          <w:rFonts w:hint="eastAsia" w:ascii="宋体" w:hAnsi="宋体" w:eastAsia="宋体" w:cs="宋体"/>
          <w:sz w:val="24"/>
        </w:rPr>
      </w:pPr>
      <w:r>
        <w:rPr>
          <w:rFonts w:hint="eastAsia" w:ascii="宋体" w:hAnsi="宋体" w:eastAsia="宋体" w:cs="宋体"/>
          <w:sz w:val="24"/>
        </w:rPr>
        <w:t>图</w:t>
      </w:r>
      <w:r>
        <w:rPr>
          <w:rFonts w:hint="eastAsia" w:ascii="宋体" w:hAnsi="宋体" w:eastAsia="宋体" w:cs="宋体"/>
          <w:spacing w:val="-36"/>
          <w:sz w:val="24"/>
        </w:rPr>
        <w:t xml:space="preserve"> </w:t>
      </w:r>
      <w:r>
        <w:rPr>
          <w:rFonts w:hint="eastAsia" w:ascii="宋体" w:hAnsi="宋体" w:eastAsia="宋体" w:cs="宋体"/>
          <w:spacing w:val="7"/>
          <w:sz w:val="24"/>
        </w:rPr>
        <w:t>C.0.4</w:t>
      </w:r>
      <w:r>
        <w:rPr>
          <w:rFonts w:hint="eastAsia" w:ascii="宋体" w:hAnsi="宋体" w:eastAsia="宋体" w:cs="宋体"/>
          <w:spacing w:val="7"/>
          <w:sz w:val="24"/>
        </w:rPr>
        <w:tab/>
      </w:r>
      <w:r>
        <w:rPr>
          <w:rFonts w:hint="eastAsia" w:ascii="宋体" w:hAnsi="宋体" w:eastAsia="宋体" w:cs="宋体"/>
          <w:spacing w:val="18"/>
          <w:sz w:val="24"/>
        </w:rPr>
        <w:t>汽</w:t>
      </w:r>
      <w:r>
        <w:rPr>
          <w:rFonts w:hint="eastAsia" w:ascii="宋体" w:hAnsi="宋体" w:eastAsia="宋体" w:cs="宋体"/>
          <w:spacing w:val="21"/>
          <w:sz w:val="24"/>
        </w:rPr>
        <w:t>油</w:t>
      </w:r>
      <w:r>
        <w:rPr>
          <w:rFonts w:hint="eastAsia" w:ascii="宋体" w:hAnsi="宋体" w:eastAsia="宋体" w:cs="宋体"/>
          <w:spacing w:val="18"/>
          <w:sz w:val="24"/>
        </w:rPr>
        <w:t>的</w:t>
      </w:r>
      <w:r>
        <w:rPr>
          <w:rFonts w:hint="eastAsia" w:ascii="宋体" w:hAnsi="宋体" w:eastAsia="宋体" w:cs="宋体"/>
          <w:spacing w:val="21"/>
          <w:sz w:val="24"/>
        </w:rPr>
        <w:t>地</w:t>
      </w:r>
      <w:r>
        <w:rPr>
          <w:rFonts w:hint="eastAsia" w:ascii="宋体" w:hAnsi="宋体" w:eastAsia="宋体" w:cs="宋体"/>
          <w:spacing w:val="18"/>
          <w:sz w:val="24"/>
        </w:rPr>
        <w:t>面油罐</w:t>
      </w:r>
      <w:r>
        <w:rPr>
          <w:rFonts w:hint="eastAsia" w:ascii="宋体" w:hAnsi="宋体" w:eastAsia="宋体" w:cs="宋体"/>
          <w:spacing w:val="21"/>
          <w:sz w:val="24"/>
        </w:rPr>
        <w:t>、</w:t>
      </w:r>
      <w:r>
        <w:rPr>
          <w:rFonts w:hint="eastAsia" w:ascii="宋体" w:hAnsi="宋体" w:eastAsia="宋体" w:cs="宋体"/>
          <w:spacing w:val="18"/>
          <w:sz w:val="24"/>
        </w:rPr>
        <w:t>油罐</w:t>
      </w:r>
      <w:r>
        <w:rPr>
          <w:rFonts w:hint="eastAsia" w:ascii="宋体" w:hAnsi="宋体" w:eastAsia="宋体" w:cs="宋体"/>
          <w:spacing w:val="21"/>
          <w:sz w:val="24"/>
        </w:rPr>
        <w:t>车</w:t>
      </w:r>
      <w:r>
        <w:rPr>
          <w:rFonts w:hint="eastAsia" w:ascii="宋体" w:hAnsi="宋体" w:eastAsia="宋体" w:cs="宋体"/>
          <w:spacing w:val="18"/>
          <w:sz w:val="24"/>
        </w:rPr>
        <w:t>和</w:t>
      </w:r>
      <w:r>
        <w:rPr>
          <w:rFonts w:hint="eastAsia" w:ascii="宋体" w:hAnsi="宋体" w:eastAsia="宋体" w:cs="宋体"/>
          <w:spacing w:val="21"/>
          <w:sz w:val="24"/>
        </w:rPr>
        <w:t>密</w:t>
      </w:r>
      <w:r>
        <w:rPr>
          <w:rFonts w:hint="eastAsia" w:ascii="宋体" w:hAnsi="宋体" w:eastAsia="宋体" w:cs="宋体"/>
          <w:spacing w:val="18"/>
          <w:sz w:val="24"/>
        </w:rPr>
        <w:t>闭卸油</w:t>
      </w:r>
      <w:r>
        <w:rPr>
          <w:rFonts w:hint="eastAsia" w:ascii="宋体" w:hAnsi="宋体" w:eastAsia="宋体" w:cs="宋体"/>
          <w:spacing w:val="21"/>
          <w:sz w:val="24"/>
        </w:rPr>
        <w:t>口</w:t>
      </w:r>
      <w:r>
        <w:rPr>
          <w:rFonts w:hint="eastAsia" w:ascii="宋体" w:hAnsi="宋体" w:eastAsia="宋体" w:cs="宋体"/>
          <w:spacing w:val="18"/>
          <w:sz w:val="24"/>
        </w:rPr>
        <w:t>爆炸</w:t>
      </w:r>
      <w:r>
        <w:rPr>
          <w:rFonts w:hint="eastAsia" w:ascii="宋体" w:hAnsi="宋体" w:eastAsia="宋体" w:cs="宋体"/>
          <w:spacing w:val="21"/>
          <w:sz w:val="24"/>
        </w:rPr>
        <w:t>危</w:t>
      </w:r>
      <w:r>
        <w:rPr>
          <w:rFonts w:hint="eastAsia" w:ascii="宋体" w:hAnsi="宋体" w:eastAsia="宋体" w:cs="宋体"/>
          <w:spacing w:val="18"/>
          <w:sz w:val="24"/>
        </w:rPr>
        <w:t>险</w:t>
      </w:r>
      <w:r>
        <w:rPr>
          <w:rFonts w:hint="eastAsia" w:ascii="宋体" w:hAnsi="宋体" w:eastAsia="宋体" w:cs="宋体"/>
          <w:spacing w:val="21"/>
          <w:sz w:val="24"/>
        </w:rPr>
        <w:t>区</w:t>
      </w:r>
      <w:r>
        <w:rPr>
          <w:rFonts w:hint="eastAsia" w:ascii="宋体" w:hAnsi="宋体" w:eastAsia="宋体" w:cs="宋体"/>
          <w:spacing w:val="18"/>
          <w:sz w:val="24"/>
        </w:rPr>
        <w:t>域划</w:t>
      </w:r>
      <w:r>
        <w:rPr>
          <w:rFonts w:hint="eastAsia" w:ascii="宋体" w:hAnsi="宋体" w:eastAsia="宋体" w:cs="宋体"/>
          <w:sz w:val="24"/>
        </w:rPr>
        <w:t>分</w:t>
      </w:r>
    </w:p>
    <w:p>
      <w:pPr>
        <w:tabs>
          <w:tab w:val="left" w:pos="2369"/>
        </w:tabs>
        <w:ind w:left="1196"/>
        <w:rPr>
          <w:rFonts w:hint="eastAsia" w:ascii="宋体" w:hAnsi="宋体" w:eastAsia="宋体" w:cs="宋体"/>
          <w:sz w:val="24"/>
        </w:rPr>
      </w:pPr>
    </w:p>
    <w:p>
      <w:pPr>
        <w:tabs>
          <w:tab w:val="left" w:pos="4518"/>
          <w:tab w:val="left" w:pos="6475"/>
        </w:tabs>
        <w:ind w:left="1483"/>
        <w:rPr>
          <w:rFonts w:hint="eastAsia" w:ascii="宋体" w:hAnsi="宋体" w:eastAsia="宋体" w:cs="宋体"/>
          <w:sz w:val="24"/>
        </w:rPr>
      </w:pPr>
      <w:r>
        <w:rPr>
          <w:rFonts w:hint="eastAsia" w:ascii="宋体" w:hAnsi="宋体" w:eastAsia="宋体" w:cs="宋体"/>
          <w:lang w:val="en-US" w:bidi="ar-SA"/>
        </w:rPr>
        <mc:AlternateContent>
          <mc:Choice Requires="wpg">
            <w:drawing>
              <wp:anchor distT="0" distB="0" distL="114300" distR="114300" simplePos="0" relativeHeight="251672576" behindDoc="1" locked="0" layoutInCell="1" allowOverlap="1">
                <wp:simplePos x="0" y="0"/>
                <wp:positionH relativeFrom="page">
                  <wp:posOffset>4511040</wp:posOffset>
                </wp:positionH>
                <wp:positionV relativeFrom="paragraph">
                  <wp:posOffset>22225</wp:posOffset>
                </wp:positionV>
                <wp:extent cx="381000" cy="274320"/>
                <wp:effectExtent l="5080" t="4445" r="13970" b="6985"/>
                <wp:wrapNone/>
                <wp:docPr id="8" name="组合 8"/>
                <wp:cNvGraphicFramePr/>
                <a:graphic xmlns:a="http://schemas.openxmlformats.org/drawingml/2006/main">
                  <a:graphicData uri="http://schemas.microsoft.com/office/word/2010/wordprocessingGroup">
                    <wpg:wgp>
                      <wpg:cNvGrpSpPr/>
                      <wpg:grpSpPr>
                        <a:xfrm>
                          <a:off x="0" y="0"/>
                          <a:ext cx="381000" cy="274320"/>
                          <a:chOff x="6478" y="123"/>
                          <a:chExt cx="600" cy="432"/>
                        </a:xfrm>
                      </wpg:grpSpPr>
                      <wps:wsp>
                        <wps:cNvPr id="1950" name="AutoShape 178"/>
                        <wps:cNvSpPr/>
                        <wps:spPr bwMode="auto">
                          <a:xfrm>
                            <a:off x="9370" y="-151935"/>
                            <a:ext cx="179573" cy="143784"/>
                          </a:xfrm>
                          <a:custGeom>
                            <a:avLst/>
                            <a:gdLst>
                              <a:gd name="T0" fmla="+- 0 6478 9371"/>
                              <a:gd name="T1" fmla="*/ T0 w 179573"/>
                              <a:gd name="T2" fmla="+- 0 554 -151935"/>
                              <a:gd name="T3" fmla="*/ 554 h 143784"/>
                              <a:gd name="T4" fmla="+- 0 7078 9371"/>
                              <a:gd name="T5" fmla="*/ T4 w 179573"/>
                              <a:gd name="T6" fmla="+- 0 554 -151935"/>
                              <a:gd name="T7" fmla="*/ 554 h 143784"/>
                              <a:gd name="T8" fmla="+- 0 7078 9371"/>
                              <a:gd name="T9" fmla="*/ T8 w 179573"/>
                              <a:gd name="T10" fmla="+- 0 554 -151935"/>
                              <a:gd name="T11" fmla="*/ 554 h 143784"/>
                              <a:gd name="T12" fmla="+- 0 7078 9371"/>
                              <a:gd name="T13" fmla="*/ T12 w 179573"/>
                              <a:gd name="T14" fmla="+- 0 123 -151935"/>
                              <a:gd name="T15" fmla="*/ 123 h 143784"/>
                              <a:gd name="T16" fmla="+- 0 6478 9371"/>
                              <a:gd name="T17" fmla="*/ T16 w 179573"/>
                              <a:gd name="T18" fmla="+- 0 123 -151935"/>
                              <a:gd name="T19" fmla="*/ 123 h 143784"/>
                              <a:gd name="T20" fmla="+- 0 6479 9371"/>
                              <a:gd name="T21" fmla="*/ T20 w 179573"/>
                              <a:gd name="T22" fmla="+- 0 123 -151935"/>
                              <a:gd name="T23" fmla="*/ 123 h 143784"/>
                              <a:gd name="T24" fmla="+- 0 6478 9371"/>
                              <a:gd name="T25" fmla="*/ T24 w 179573"/>
                              <a:gd name="T26" fmla="+- 0 123 -151935"/>
                              <a:gd name="T27" fmla="*/ 123 h 143784"/>
                              <a:gd name="T28" fmla="+- 0 6478 9371"/>
                              <a:gd name="T29" fmla="*/ T28 w 179573"/>
                              <a:gd name="T30" fmla="+- 0 554 -151935"/>
                              <a:gd name="T31" fmla="*/ 554 h 143784"/>
                              <a:gd name="T32" fmla="+- 0 6479 9371"/>
                              <a:gd name="T33" fmla="*/ T32 w 179573"/>
                              <a:gd name="T34" fmla="+- 0 554 -151935"/>
                              <a:gd name="T35" fmla="*/ 554 h 143784"/>
                              <a:gd name="T36" fmla="+- 0 7078 9371"/>
                              <a:gd name="T37" fmla="*/ T36 w 179573"/>
                              <a:gd name="T38" fmla="+- 0 554 -151935"/>
                              <a:gd name="T39" fmla="*/ 554 h 143784"/>
                              <a:gd name="T40" fmla="+- 0 7078 9371"/>
                              <a:gd name="T41" fmla="*/ T40 w 179573"/>
                              <a:gd name="T42" fmla="+- 0 123 -151935"/>
                              <a:gd name="T43" fmla="*/ 123 h 143784"/>
                              <a:gd name="T44" fmla="+- 0 7078 9371"/>
                              <a:gd name="T45" fmla="*/ T44 w 179573"/>
                              <a:gd name="T46" fmla="+- 0 123 -151935"/>
                              <a:gd name="T47" fmla="*/ 123 h 14378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179573" h="143784">
                                <a:moveTo>
                                  <a:pt x="-2893" y="152489"/>
                                </a:moveTo>
                                <a:lnTo>
                                  <a:pt x="-2293" y="152489"/>
                                </a:lnTo>
                                <a:moveTo>
                                  <a:pt x="-2293" y="152058"/>
                                </a:moveTo>
                                <a:lnTo>
                                  <a:pt x="-2893" y="152058"/>
                                </a:lnTo>
                                <a:lnTo>
                                  <a:pt x="-2892" y="152058"/>
                                </a:lnTo>
                                <a:moveTo>
                                  <a:pt x="-2893" y="152058"/>
                                </a:moveTo>
                                <a:lnTo>
                                  <a:pt x="-2893" y="152489"/>
                                </a:lnTo>
                                <a:lnTo>
                                  <a:pt x="-2892" y="152489"/>
                                </a:lnTo>
                                <a:moveTo>
                                  <a:pt x="-2293" y="152489"/>
                                </a:moveTo>
                                <a:lnTo>
                                  <a:pt x="-2293" y="152058"/>
                                </a:lnTo>
                              </a:path>
                            </a:pathLst>
                          </a:custGeom>
                          <a:noFill/>
                          <a:ln w="30">
                            <a:solidFill>
                              <a:srgbClr val="000000"/>
                            </a:solidFill>
                            <a:round/>
                          </a:ln>
                        </wps:spPr>
                        <wps:bodyPr rot="0" vert="horz" wrap="square" lIns="91440" tIns="45720" rIns="91440" bIns="45720" anchor="t" anchorCtr="0" upright="1">
                          <a:noAutofit/>
                        </wps:bodyPr>
                      </wps:wsp>
                      <pic:pic xmlns:pic="http://schemas.openxmlformats.org/drawingml/2006/picture">
                        <pic:nvPicPr>
                          <pic:cNvPr id="1951" name="Picture 179"/>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a:xfrm>
                            <a:off x="6478" y="123"/>
                            <a:ext cx="323" cy="290"/>
                          </a:xfrm>
                          <a:prstGeom prst="rect">
                            <a:avLst/>
                          </a:prstGeom>
                          <a:noFill/>
                        </pic:spPr>
                      </pic:pic>
                      <wps:wsp>
                        <wps:cNvPr id="1952" name="AutoShape 180"/>
                        <wps:cNvSpPr/>
                        <wps:spPr bwMode="auto">
                          <a:xfrm>
                            <a:off x="9370" y="-151935"/>
                            <a:ext cx="179573" cy="143784"/>
                          </a:xfrm>
                          <a:custGeom>
                            <a:avLst/>
                            <a:gdLst>
                              <a:gd name="T0" fmla="+- 0 6478 9371"/>
                              <a:gd name="T1" fmla="*/ T0 w 179573"/>
                              <a:gd name="T2" fmla="+- 0 508 -151935"/>
                              <a:gd name="T3" fmla="*/ 508 h 143784"/>
                              <a:gd name="T4" fmla="+- 0 6907 9371"/>
                              <a:gd name="T5" fmla="*/ T4 w 179573"/>
                              <a:gd name="T6" fmla="+- 0 123 -151935"/>
                              <a:gd name="T7" fmla="*/ 123 h 143784"/>
                              <a:gd name="T8" fmla="+- 0 6907 9371"/>
                              <a:gd name="T9" fmla="*/ T8 w 179573"/>
                              <a:gd name="T10" fmla="+- 0 123 -151935"/>
                              <a:gd name="T11" fmla="*/ 123 h 143784"/>
                              <a:gd name="T12" fmla="+- 0 6533 9371"/>
                              <a:gd name="T13" fmla="*/ T12 w 179573"/>
                              <a:gd name="T14" fmla="+- 0 554 -151935"/>
                              <a:gd name="T15" fmla="*/ 554 h 143784"/>
                              <a:gd name="T16" fmla="+- 0 7013 9371"/>
                              <a:gd name="T17" fmla="*/ T16 w 179573"/>
                              <a:gd name="T18" fmla="+- 0 123 -151935"/>
                              <a:gd name="T19" fmla="*/ 123 h 143784"/>
                              <a:gd name="T20" fmla="+- 0 7013 9371"/>
                              <a:gd name="T21" fmla="*/ T20 w 179573"/>
                              <a:gd name="T22" fmla="+- 0 123 -151935"/>
                              <a:gd name="T23" fmla="*/ 123 h 143784"/>
                              <a:gd name="T24" fmla="+- 0 6639 9371"/>
                              <a:gd name="T25" fmla="*/ T24 w 179573"/>
                              <a:gd name="T26" fmla="+- 0 554 -151935"/>
                              <a:gd name="T27" fmla="*/ 554 h 143784"/>
                              <a:gd name="T28" fmla="+- 0 7078 9371"/>
                              <a:gd name="T29" fmla="*/ T28 w 179573"/>
                              <a:gd name="T30" fmla="+- 0 160 -151935"/>
                              <a:gd name="T31" fmla="*/ 160 h 143784"/>
                              <a:gd name="T32" fmla="+- 0 7078 9371"/>
                              <a:gd name="T33" fmla="*/ T32 w 179573"/>
                              <a:gd name="T34" fmla="+- 0 160 -151935"/>
                              <a:gd name="T35" fmla="*/ 160 h 14378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79573" h="143784">
                                <a:moveTo>
                                  <a:pt x="-2893" y="152443"/>
                                </a:moveTo>
                                <a:lnTo>
                                  <a:pt x="-2464" y="152058"/>
                                </a:lnTo>
                                <a:moveTo>
                                  <a:pt x="-2838" y="152489"/>
                                </a:moveTo>
                                <a:lnTo>
                                  <a:pt x="-2358" y="152058"/>
                                </a:lnTo>
                                <a:moveTo>
                                  <a:pt x="-2732" y="152489"/>
                                </a:moveTo>
                                <a:lnTo>
                                  <a:pt x="-2293" y="152095"/>
                                </a:lnTo>
                              </a:path>
                            </a:pathLst>
                          </a:custGeom>
                          <a:noFill/>
                          <a:ln w="30">
                            <a:solidFill>
                              <a:srgbClr val="000000"/>
                            </a:solidFill>
                            <a:round/>
                          </a:ln>
                        </wps:spPr>
                        <wps:bodyPr rot="0" vert="horz" wrap="square" lIns="91440" tIns="45720" rIns="91440" bIns="45720" anchor="t" anchorCtr="0" upright="1">
                          <a:noAutofit/>
                        </wps:bodyPr>
                      </wps:wsp>
                      <pic:pic xmlns:pic="http://schemas.openxmlformats.org/drawingml/2006/picture">
                        <pic:nvPicPr>
                          <pic:cNvPr id="1953" name="Picture 181"/>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a:xfrm>
                            <a:off x="6744" y="254"/>
                            <a:ext cx="334" cy="300"/>
                          </a:xfrm>
                          <a:prstGeom prst="rect">
                            <a:avLst/>
                          </a:prstGeom>
                          <a:noFill/>
                        </pic:spPr>
                      </pic:pic>
                    </wpg:wgp>
                  </a:graphicData>
                </a:graphic>
              </wp:anchor>
            </w:drawing>
          </mc:Choice>
          <mc:Fallback>
            <w:pict>
              <v:group id="_x0000_s1026" o:spid="_x0000_s1026" o:spt="203" style="position:absolute;left:0pt;margin-left:355.2pt;margin-top:1.75pt;height:21.6pt;width:30pt;mso-position-horizontal-relative:page;z-index:-251643904;mso-width-relative:page;mso-height-relative:page;" coordorigin="6478,123" coordsize="600,432" o:gfxdata="UEsDBAoAAAAAAIdO4kAAAAAAAAAAAAAAAAAEAAAAZHJzL1BLAwQUAAAACACHTuJAkV//J9gAAAAI&#10;AQAADwAAAGRycy9kb3ducmV2LnhtbE2PzWrDMBCE74W+g9hCb43k5sfB9TqU0PYUCk0KJbeNtbFN&#10;LMlYip28fZVTexxmmPkmX11MKwbufeMsQjJRINiWTje2QvjevT8tQfhAVlPrLCNc2cOquL/LKdNu&#10;tF88bEMlYon1GSHUIXSZlL6s2ZCfuI5t9I6uNxSi7CupexpjuWnls1ILaaixcaGmjtc1l6ft2SB8&#10;jDS+TpO3YXM6rq/73fzzZ5Mw4uNDol5ABL6EvzDc8CM6FJHp4M5We9EipImaxSjCdA4i+ml60weE&#10;2SIFWeTy/4HiF1BLAwQUAAAACACHTuJAuJAyA0cHAABzIgAADgAAAGRycy9lMm9Eb2MueG1s7VrR&#10;jptGFH2v1H9APLZyzAA2NlpvtPUmUaS0XTX0AzBgg4oZOuD1bqu+9aGP/Z9+T9Xf6L0zjJmxd1gn&#10;bZO2SaTsgjlcztwzd5hzvRdP77aldZuxpqDVwiZPHNvKqoSmRbVZ2N9Gz0cz22rauErjklbZwr7P&#10;Gvvp5aefXOzrMHNpTss0YxYEqZpwXy/svG3rcDxukjzbxs0TWmcVXFxTto1bOGWbccriPUTflmPX&#10;cabjPWVpzWiSNQ18ei0u2l1Edk5Aul4XSXZNk902q1oRlWVl3MKQmryoG/uSs12vs6T9er1ustYq&#10;FzaMtOU/4SFwvMKf48uLONywuM6LpKMQn0PhaEzbuKjgoYdQ13EbWztWnITaFgmjDV23TxK6HYuB&#10;8IzAKIhzlJsXjO5qPpZNuN/Uh6SDUEdZf+uwyVe3N8wq0oUNslfxFgT/47eff//1F2uGudnXmxAg&#10;L1j9ur5h3QcbcYbDvVuzLf6GgVh3PKv3h6xmd62VwIfejDgO5DuBS27ge26X9SQHafCuqR/Aw+Eq&#10;cT0hSJI/626eyjvhPrw2ls8cI7UDk30Nk7HpM9T8tQy9zuM644lvcPhdhsh8AsMQSbratZSjLALk&#10;eWI49JCmJmwgY9Zq/yVNIakx4PkEOcrY3AsgJox9RCZk7k3E+GXqSDCfBJ5IHfG9YOZrOYjDZNe0&#10;LzLKNYhvXzUtMIFJmMKROOjoRvCQ9baEqf35yHIszLgFjybicZtUwoiEfTa2Isfaw+g4gy6shLkS&#10;xqNNJr6l0e/jAXfxWIiHsNzqh4E8ZUBf4njAwDHQm0gY0vON9KYS9hi9QAIfoQfTU8mekd5cwpDe&#10;zEiP6GIMpI+oegzlj+iKGBkSVZCIuGaOuiJQmSaJiSoK4kwaE10W8xxUVYnI1MxRl2WIo6rMEEdY&#10;m1SlgeP8wTpxVWEid6BSdGEGOMLa19fKIEddGmMeXVWYyDWXi6sLM8RRlWaQoy6NmaMqTOSaa8bT&#10;hRmoGU+VZqhm4IVyltaeKkzkmWvG04UZ4qhKM8hRl8ZY154qTOSZa8bThRniqEozxNHXpTFy9FVh&#10;It9cM74uzMB89FVphuajr0tj5qgKE/nmmvF1YYY4qtIcc4TtzOFlHefy/Z3cVd0LHI6sGDfmDt88&#10;1LTBDVMEmYQtQ8R3SxACUPi2N4BhSAgOuq3DMBhERzC8eMRmaxiNrxMO5/uWR5kQSAWHz8+Kjoss&#10;wsWu8NHouN5x+HkjdbuhwnpxzlBxFcDoYov2KBksSA4/b6hYGwiHCX0OGb8bqq8NVZDqZg4D63Ns&#10;ehg3PSt8RBzWcYsTTh5ae9h/d9vNHA7FbhOvbultFlGOa3H2jdzZXCSDTFx/JgfYw8pKh7sPwSWo&#10;v63uoitwZ8L31jCwHiZvlHCFTA+XIPm7B8PaAokG5qfg/hk9/DDQHt7DTqMf4H1eJEj+7mMfqJyC&#10;+2dIuJKVHt7DjqMr8J65AEE2UXvupQ6TAOeO4iUq+rwoSz5PygqnBrx/cQY0tCxSvMRP2Ga1LJl1&#10;G6O55v+62avBwMRWqZjVJaxTYNyEN0J32YQrmt6DT2JUWHNoTMBBTtkPtrUHW76wm+93Mctsq3xZ&#10;gaubEx/fNy0/8ScBbtiYemWlXomrBEIt7NaGVRQPl63w/ruaFZscnkT4sCqKfm5doH3i/ASr7gSM&#10;5eVFXSQh/O88OBydOMzHOx9wV7uDsYho1e1NkdwwcaK5TFgMhMsEAN6ALgwzC/dzOypuAxmL5BVN&#10;vmusii5zeE1kV00NZY+j6j9ijO7zLE4heWKl06OM8VSjsiqLWkqMx39vZ8ZiYbZdZenCZi9TkX1w&#10;u91ChL6Xd01+dGdXjjN3vxgtJ85y5DvBs9HV3A9GgfMs8B1/RpZk+RNqR/xw12SQhri8rgvZwiH+&#10;iTwPtki6No5ovvAmTjebu4kMhHidSIpQJpgSMfuTbyDZvEaalmVtAiUVh2soju5zAB8u8DT3mcWk&#10;Y38A7zjqCOBeWaxRshuCWeGNFLQIvIsy5y0UiC/vrZnoA1h4AKkFYpicUPYEACoh+PGhvDktQYQf&#10;Ai9Rlu+imQLr30kzZcZHhgsDVMQH2UxxZianDer3zRSAmYy2vtedzp3gQQ8Le4hDuLObKQMb3aF9&#10;rtrr0R2IkZ5qP85vpgzw05opxxtxleBRM2U68bwHE/i2zZQB06U1U4ZM11EzJXCIgaOqyvttphg5&#10;4j6/n4nvt5ky9QwNH61azm+mDGjtqtIMae3qFWM0r+holDye3UwhU8e45KjSIM605hw1U4wc37aZ&#10;MsRRleaYI7z4PhpsU2cACw9d57/YYIN+0IJ4x5724MLN/sqfwlv2DYwk9t0E/Bz35oHvfYPoAVbf&#10;+dFVbziXnZuP3vC/4Q1hE3jkDWfc1umu7n/gDV1uYKTxikN0QR+8NwywkQ2V7k74N8EiK9wb4pcP&#10;6A09+MJcNFv+EW/Iv3aHv0Xgrrj7uwn8Ywf1nLdN+r8VufwTUEsDBAoAAAAAAIdO4kAAAAAAAAAA&#10;AAAAAAAKAAAAZHJzL21lZGlhL1BLAwQUAAAACACHTuJAfSub+YMGAAB+BgAAFAAAAGRycy9tZWRp&#10;YS9pbWFnZTEucG5nAX4GgfmJUE5HDQoaCgAAAA1JSERSAAAAKwAAACcIBgAAAJafsbsAAAAGYktH&#10;RAD/AP8A/6C9p5MAAAAJcEhZcwAADsQAAA7EAZUrDhsAAAYeSURBVFiFxZh7TFNXGMC/3j6h0PKs&#10;hYIIqyAbyBjyWsARRFyAEDJ0KBDGom4jBDNmkJmwzUdShUzMCPGxEZEAG24YQoA4xggCsTyGWEAZ&#10;rPJ+dOVZWh593rO/NNsUPUWhf5zk3nvO7zu/m5x83/0uCASCSYPBQCCEAGeMjo66eHh4DAAAmp2d&#10;tcPlFhcXrUJDQ1sAALW1tQXhchqNhnHkyJEfAQABSZIUXLCvr8/L0dFxisvlKlpaWkJxuampKUdv&#10;b+9eOp2uraioSMDllEql5f79+38DAJSbm3sKC0IIQWtra4iVldWio6PjVG9vrzcuNzg46O7i4jJq&#10;YWGhamhoiMDl5HI5b8+ePX9QqVT9zZs3P0IIARZYXV0dy2Kx1jw8PAZGR0ddcDfs6OgIsLOzm7W3&#10;t5/p6uryw+WGh4ddhUKh1MzMbLW2tjb6yfOXgkVFRUcJgjAEBAR0GHNG6+vrI9ls9rKrq+uwVCoV&#10;4nISicSHz+fLbGxs5sVicfC/59aFSJKkiESi0wCADhw48KtKpbLA3bCsrCyJRqPpfHx8JNPT0w64&#10;3N27d9/jcDhLTk5OE/39/Z7/n38uZDAYiIyMjAIAQMnJyaVarZaOu2F+fn4mAKCwsLAmhULBxeVu&#10;3779AZPJVHt6evaPj487P2/NMw/UajUzISGhAgDQyZMnv8VNayRJUrKzsy8CAIqPj69cW1tj4Ype&#10;u3btU4IgDMHBweL5+Xmb9db950apVFru27fvdwBAeXl5WbibabVaempqajEAoLS0tCt6vZ6K+4Jn&#10;z579GgBQTExMzcrKivmL1j+9kMvlPD8/vy4qlaovKSlJwRVdWVkxj46OrgUAdObMmW9w87Zer6em&#10;paVdAQCUmpparNPpaC9jACEEQ0NDbk9SRV1dXRSu6Pz8vE1wcLCYQqGQV69e/QyXW1tbYx08ePAX&#10;AEDZ2dkXcV8QHjx48Pa2bdv+trGxmTemDI6Pjzt7enr2MxgMTWVlZTwup1AouGFhYU0AgC5fvvw5&#10;LocQAuBwOEvOzs7jz0sV641Hjx696eTkNMHhcJaamprCcDmZTMb38fGR0Gg0XXl5eaIxogghgKSk&#10;pLKJiQknXEAsFgdbW1sv8Pl8mUQi8cHlpFKp0M3NbYjNZi/X19dHGiv69MzijpqamhgzM7NVoVAo&#10;HR4edsXl7t+//w6Px5Pb2dnNdnZ2+m9E1CjZ4uLiVCqVqvfz8+uSy+U8XK6hoSHCwsJC5eLiMjo4&#10;OOi+UVEsWZIkKbm5uacAAEVERDQolUpL3OAVFRUJdDpd6+3t3Ts1NeX4KqIvlTUYDERmZmY+AKDD&#10;hw//pNFoGLiBCwoKMigUChkaGtqyuLho9aqiL5TVaDSMxMTEcgBAJ06c+M6YspuTk3MeAFBcXFyV&#10;MWV3Q7IqlcoiMjKyHgCQSCQ6jZu0dTod7dixYz8AADp+/Pj3OFXplWRnZmbs/f39OwmCMBQVFR3F&#10;DbS6umoWGxtbDQAoJyfnvDHt0oZkR0ZGdri7uw+yWKy16urqWNwgCwsL1iEhIa0UCoUsLCxMf92S&#10;z8j29PTsdnBwmLayslpsbW0NwQ0wOTkp8PLy6mMwGJpbt259uFmiT2Wbm5v3crlchUAgmOzr6/PC&#10;hQcGBjy2b98+ZmlpqWxsbAzfTFGEEEBVVVUck8lUG9sMtre3B9ra2s7xeDx5d3e372aLIoQACIIw&#10;BAYGthvTDN65c+d9c3PzFTc3t6HHjx+/sRWiCCEAkUh0enl5mY0LlJaWJtNoNJ2vr2+3TCbjb5Uo&#10;QkZ+yFy6dOkLAEDh4eGNS0tLnK0UxZYlSZKSlZWVBwDo0KFDP6vVauZWi2LJarVaekpKSgkAoPT0&#10;9ELcZnDLZZeXl9lRUVF1AIDOnTv31WZUpdciOzc3ZxsUFNRGEITh+vXrn5hS8oWyY2Nj23ft2vUn&#10;k8lUV1VVxZlacl3Zhw8fviUQCCa5XK6iubl5r6kF15W9d+/eu9bW1gsODg7TPT09u00tt67sk2Zw&#10;586df42MjOwwtdi6sjdu3PiYSqXq/f39O2dmZuxNLbWu7IULF74EABQZGVlvzD9Yk8gCAEpMTCw3&#10;phk01fgHXOI3aIgkqbMAAAAASUVORK5CYIJQSwMEFAAAAAgAh07iQIUT7rdeAwAAWQMAABQAAABk&#10;cnMvbWVkaWEvaW1hZ2UyLnBuZwFZA6b8iVBORw0KGgoAAAANSUhEUgAAAC0AAAAoCAYAAABq13Mp&#10;AAAABmJLR0QA/wD/AP+gvaeTAAAACXBIWXMAAA7EAAAOxAGVKw4bAAAC+UlEQVRYhdWUPWgTYRjH&#10;n5wkaUJIrAQDCe2Q6NAUXVq0S1vtFlBwCPVjCQno2A91baCubf0YW7C4NK1kCCTQLam6mKBLi3Vo&#10;dUhQSClNLYdJPHr3OB2cx+XuvTeXXB3+y93zcD947v8DRIT/IY1GoycajaYBwHwYkhwdHV0YHR39&#10;AAC4tLT02HQgrZTL5f6BgYGvNpvtz8bGxl1EBNOh1LK9vX3V7/f/9Hg8v7a2tm6Iz00Ha5V8Pj/h&#10;drtPAoHAj52dnSvSd6bDKWVtbe2B1WrlBgcHv1QqlT75e9MBpREEwbKwsPAUAHB8fPzd8fHxeaU5&#10;00HFnJ6enpuamnoFADg5Ofm22WzaW82aDov4r4NnZ2ef8zzPqM2bDix3MMmOqcBKDj7T0K0crBVB&#10;ECymAKs5WC3VatU3MjLysevAWg5ulb29vcvBYPC73W5vdg2W1MFKKRaL171e76HX6z0slUrXugKs&#10;x8HyZLPZ2w6Hox4Khb7t7+9fQuxCEfU6WJrl5eVHDMPww8PDnw4ODi6KzzsKTONg8Veam5t7BgAY&#10;iUQ2WZZ1Sd93DLhcLveHw+FdvQ7mOM4aj8dXAQATicRrjuOs8pmOANM6mGVZVyQS2QQATCaT84Ig&#10;WJTmDAdux8FDQ0OfGYbhV1ZWHqrNGgqcSqXut+Ngp9P5O5fL3dKaNwRWEATL4uLiEwDAsbGx97Va&#10;rZd0V+5gkp22gXmeZ6anp1+KDm40Gj2ku0oO7ji01MEzMzMvjHCwViqVSh81cK1W6+2Eg9WSz+cn&#10;XC4XSwUsdfD6+vo90j0SB7eKWPJwOLyrG1h0sNvtPikUCjdJ90gdrHQZecl1AXfDwdK0KjkxcLcc&#10;LEat5FTnIf0wjYMRtUtOdR6S0DqYpORU59EKrYNJS051HrVfqR0Hk5ac6jxKMcLBpCWnOo88RjqY&#10;ZI/qPNIY7WBi6LPkYK2k0+konDUHq/1KyWRyHgAQaM5Tr9cdPp+vqtfBiAixWOyN3pIjImQymTsA&#10;gPF4fPUvy26NpBSk5LwAAAAASUVORK5CYIJ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AoAAAAAAIdO4kAAAAAAAAAAAAAAAAAKAAAA&#10;ZHJzL19yZWxzL1BLAwQUAAAACACHTuJALmzwAL8AAAClAQAAGQAAAGRycy9fcmVscy9lMm9Eb2Mu&#10;eG1sLnJlbHO9kMGKwjAQhu8L+w5h7tu0PSyymPYigldxH2BIpmmwmYQkir69gWVBQfDmcWb4v/9j&#10;1uPFL+JMKbvACrqmBUGsg3FsFfwetl8rELkgG1wCk4IrZRiHz4/1nhYsNZRnF7OoFM4K5lLij5RZ&#10;z+QxNyES18sUksdSx2RlRH1ES7Jv22+Z7hkwPDDFzihIO9ODOFxjbX7NDtPkNG2CPnni8qRCOl+7&#10;KxCTpaLAk3H4t+ybyBbkc4fuPQ7dv4N8eO5wA1BLAwQUAAAACACHTuJAeee6BAQBAAATAgAAEwAA&#10;AFtDb250ZW50X1R5cGVzXS54bWyVkcFOwzAMhu9IvEOUK2pTdkAIrd2BjiMgNB4gStw2onGiOJTt&#10;7Um6TYKJIe0Y29/vL8lytbUjmyCQcVjz27LiDFA5bbCv+fvmqbjnjKJELUeHUPMdEF8111fLzc4D&#10;sUQj1XyI0T8IQWoAK6l0HjB1OhesjOkYeuGl+pA9iEVV3QnlMALGIuYM3ixb6OTnGNl6m8p7E489&#10;Z4/7ubyq5sZmPtfFn0SAkU4Q6f1olIzpbmJCfeJVHJzKRM4zNBhPN0n8zIbc+e30c8GBe0mPGYwG&#10;9ipDfJY2mQsdSGj3hQGm8v+QbGmpcF1nFJRtoDZhbzAdrc6lw8K1Tl0avp6pY7aYv7T5BlBLAQIU&#10;ABQAAAAIAIdO4kB557oEBAEAABMCAAATAAAAAAAAAAEAIAAAAEMVAABbQ29udGVudF9UeXBlc10u&#10;eG1sUEsBAhQACgAAAAAAh07iQAAAAAAAAAAAAAAAAAYAAAAAAAAAAAAQAAAABxMAAF9yZWxzL1BL&#10;AQIUABQAAAAIAIdO4kCKFGY80QAAAJQBAAALAAAAAAAAAAEAIAAAACsTAABfcmVscy8ucmVsc1BL&#10;AQIUAAoAAAAAAIdO4kAAAAAAAAAAAAAAAAAEAAAAAAAAAAAAEAAAAAAAAABkcnMvUEsBAhQACgAA&#10;AAAAh07iQAAAAAAAAAAAAAAAAAoAAAAAAAAAAAAQAAAAJRQAAGRycy9fcmVscy9QSwECFAAUAAAA&#10;CACHTuJALmzwAL8AAAClAQAAGQAAAAAAAAABACAAAABNFAAAZHJzL19yZWxzL2Uyb0RvYy54bWwu&#10;cmVsc1BLAQIUABQAAAAIAIdO4kCRX/8n2AAAAAgBAAAPAAAAAAAAAAEAIAAAACIAAABkcnMvZG93&#10;bnJldi54bWxQSwECFAAUAAAACACHTuJAuJAyA0cHAABzIgAADgAAAAAAAAABACAAAAAnAQAAZHJz&#10;L2Uyb0RvYy54bWxQSwECFAAKAAAAAACHTuJAAAAAAAAAAAAAAAAACgAAAAAAAAAAABAAAACaCAAA&#10;ZHJzL21lZGlhL1BLAQIUABQAAAAIAIdO4kB9K5v5gwYAAH4GAAAUAAAAAAAAAAEAIAAAAMIIAABk&#10;cnMvbWVkaWEvaW1hZ2UxLnBuZ1BLAQIUABQAAAAIAIdO4kCFE+63XgMAAFkDAAAUAAAAAAAAAAEA&#10;IAAAAHcPAABkcnMvbWVkaWEvaW1hZ2UyLnBuZ1BLBQYAAAAACwALAJQCAAB4FgAAAAA=&#10;">
                <o:lock v:ext="edit" aspectratio="f"/>
                <v:shape id="AutoShape 178" o:spid="_x0000_s1026" o:spt="100" style="position:absolute;left:9370;top:-151935;height:143784;width:179573;" filled="f" stroked="t" coordsize="179573,143784" o:gfxdata="UEsDBAoAAAAAAIdO4kAAAAAAAAAAAAAAAAAEAAAAZHJzL1BLAwQUAAAACACHTuJAQmJ57L8AAADd&#10;AAAADwAAAGRycy9kb3ducmV2LnhtbEWPQWvCQBCF7wX/wzJCL6VuDChtdBVRihZ6UYvnITtNQndn&#10;Y3Y1+u+dQ6G3Gd6b976ZL2/eqSt1sQlsYDzKQBGXwTZcGfg+fry+gYoJ2aILTAbuFGG5GDzNsbCh&#10;5z1dD6lSEsKxQAN1Sm2hdSxr8hhHoSUW7Sd0HpOsXaVth72Ee6fzLJtqjw1LQ40trWsqfw8Xb2Db&#10;f7rjeXqfbN3L5qvd5JivTmjM83CczUAluqV/89/1zgr++0T45RsZQS8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Jieey/&#10;AAAA3QAAAA8AAAAAAAAAAQAgAAAAIgAAAGRycy9kb3ducmV2LnhtbFBLAQIUABQAAAAIAIdO4kAz&#10;LwWeOwAAADkAAAAQAAAAAAAAAAEAIAAAAA4BAABkcnMvc2hhcGV4bWwueG1sUEsFBgAAAAAGAAYA&#10;WwEAALgDAAAAAA==&#10;" path="m-2893,152489l-2293,152489m-2293,152058l-2893,152058,-2892,152058m-2893,152058l-2893,152489,-2892,152489m-2293,152489l-2293,152058e">
                  <v:path o:connectlocs="-2893,554;-2293,554;-2293,554;-2293,123;-2893,123;-2892,123;-2893,123;-2893,554;-2892,554;-2293,554;-2293,123;-2293,123" o:connectangles="0,0,0,0,0,0,0,0,0,0,0,0"/>
                  <v:fill on="f" focussize="0,0"/>
                  <v:stroke weight="0.00236220472440945pt" color="#000000" joinstyle="round"/>
                  <v:imagedata o:title=""/>
                  <o:lock v:ext="edit" aspectratio="f"/>
                </v:shape>
                <v:shape id="Picture 179" o:spid="_x0000_s1026" o:spt="75" type="#_x0000_t75" style="position:absolute;left:6478;top:123;height:290;width:323;" filled="f" o:preferrelative="t" stroked="f" coordsize="21600,21600" o:gfxdata="UEsDBAoAAAAAAIdO4kAAAAAAAAAAAAAAAAAEAAAAZHJzL1BLAwQUAAAACACHTuJAdVBcJbwAAADd&#10;AAAADwAAAGRycy9kb3ducmV2LnhtbEVPTWsCMRC9F/ofwhS8FM1GUOxqFBEFTwVtL70Nybi7djNZ&#10;Numu+utNQfA2j/c5i9XF1aKjNlSeNahRBoLYeFtxoeH7azecgQgR2WLtmTRcKcBq+fqywNz6ng/U&#10;HWMhUgiHHDWUMTa5lMGU5DCMfEOcuJNvHcYE20LaFvsU7mo5zrKpdFhxaiixoU1J5vf45zQYhbw5&#10;910ziT+f7ze1NuttNdN68KayOYhIl/gUP9x7m+Z/TBT8f5NOkMs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VQXCW8AAAA&#10;3QAAAA8AAAAAAAAAAQAgAAAAIgAAAGRycy9kb3ducmV2LnhtbFBLAQIUABQAAAAIAIdO4kAzLwWe&#10;OwAAADkAAAAQAAAAAAAAAAEAIAAAAAsBAABkcnMvc2hhcGV4bWwueG1sUEsFBgAAAAAGAAYAWwEA&#10;ALUDAAAAAA==&#10;">
                  <v:fill on="f" focussize="0,0"/>
                  <v:stroke on="f"/>
                  <v:imagedata r:id="rId50" o:title=""/>
                  <o:lock v:ext="edit" aspectratio="t"/>
                </v:shape>
                <v:shape id="AutoShape 180" o:spid="_x0000_s1026" o:spt="100" style="position:absolute;left:9370;top:-151935;height:143784;width:179573;" filled="f" stroked="t" coordsize="179573,143784" o:gfxdata="UEsDBAoAAAAAAIdO4kAAAAAAAAAAAAAAAAAEAAAAZHJzL1BLAwQUAAAACACHTuJA3fxCALwAAADd&#10;AAAADwAAAGRycy9kb3ducmV2LnhtbEVPTYvCMBC9L/gfwgheFk0tKGs1iiiiC3tZFc9DM7bFZFKb&#10;aPXfbwRhb/N4nzNbPKwRd2p85VjBcJCAIM6drrhQcDxs+l8gfEDWaByTgid5WMw7HzPMtGv5l+77&#10;UIgYwj5DBWUIdSalz0uy6AeuJo7c2TUWQ4RNIXWDbQy3RqZJMpYWK44NJda0Kim/7G9Wwbb9Nofr&#10;+Dnams/1T71OMV2eUKled5hMQQR6hH/x273Tcf5klMLrm3iCnP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38QgC8AAAA&#10;3QAAAA8AAAAAAAAAAQAgAAAAIgAAAGRycy9kb3ducmV2LnhtbFBLAQIUABQAAAAIAIdO4kAzLwWe&#10;OwAAADkAAAAQAAAAAAAAAAEAIAAAAAsBAABkcnMvc2hhcGV4bWwueG1sUEsFBgAAAAAGAAYAWwEA&#10;ALUDAAAAAA==&#10;" path="m-2893,152443l-2464,152058m-2838,152489l-2358,152058m-2732,152489l-2293,152095e">
                  <v:path o:connectlocs="-2893,508;-2464,123;-2464,123;-2838,554;-2358,123;-2358,123;-2732,554;-2293,160;-2293,160" o:connectangles="0,0,0,0,0,0,0,0,0"/>
                  <v:fill on="f" focussize="0,0"/>
                  <v:stroke weight="0.00236220472440945pt" color="#000000" joinstyle="round"/>
                  <v:imagedata o:title=""/>
                  <o:lock v:ext="edit" aspectratio="f"/>
                </v:shape>
                <v:shape id="Picture 181" o:spid="_x0000_s1026" o:spt="75" type="#_x0000_t75" style="position:absolute;left:6744;top:254;height:300;width:334;" filled="f" o:preferrelative="t" stroked="f" coordsize="21600,21600" o:gfxdata="UEsDBAoAAAAAAIdO4kAAAAAAAAAAAAAAAAAEAAAAZHJzL1BLAwQUAAAACACHTuJAL47clsIAAADd&#10;AAAADwAAAGRycy9kb3ducmV2LnhtbEWPT2vCQBDF74LfYRmhF6mbWCo1ugptKVgPQo2IxyE7TdJm&#10;Z5Pd9d+3d4VCbzO8937zZr68mEacyPnasoJ0lIAgLqyuuVSwyz8eX0D4gKyxsUwKruRhuej35php&#10;e+YvOm1DKSKEfYYKqhDaTEpfVGTQj2xLHLVv6wyGuLpSaofnCDeNHCfJRBqsOV6osKW3iorf7dFE&#10;yqHbcPe5H6439XhyyPOf12v+rtTDIE1mIAJdwr/5L73Ssf70+Qnu38QR5OIG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C+O&#10;3JbCAAAA3QAAAA8AAAAAAAAAAQAgAAAAIgAAAGRycy9kb3ducmV2LnhtbFBLAQIUABQAAAAIAIdO&#10;4kAzLwWeOwAAADkAAAAQAAAAAAAAAAEAIAAAABEBAABkcnMvc2hhcGV4bWwueG1sUEsFBgAAAAAG&#10;AAYAWwEAALsDAAAAAA==&#10;">
                  <v:fill on="f" focussize="0,0"/>
                  <v:stroke on="f"/>
                  <v:imagedata r:id="rId42" o:title=""/>
                  <o:lock v:ext="edit" aspectratio="t"/>
                </v:shape>
              </v:group>
            </w:pict>
          </mc:Fallback>
        </mc:AlternateContent>
      </w:r>
      <w:r>
        <w:rPr>
          <w:rFonts w:hint="eastAsia" w:ascii="宋体" w:hAnsi="宋体" w:eastAsia="宋体" w:cs="宋体"/>
          <w:lang w:val="en-US" w:bidi="ar-SA"/>
        </w:rPr>
        <mc:AlternateContent>
          <mc:Choice Requires="wpg">
            <w:drawing>
              <wp:anchor distT="0" distB="0" distL="114300" distR="114300" simplePos="0" relativeHeight="251671552" behindDoc="1" locked="0" layoutInCell="1" allowOverlap="1">
                <wp:simplePos x="0" y="0"/>
                <wp:positionH relativeFrom="page">
                  <wp:posOffset>3343275</wp:posOffset>
                </wp:positionH>
                <wp:positionV relativeFrom="paragraph">
                  <wp:posOffset>13335</wp:posOffset>
                </wp:positionV>
                <wp:extent cx="341630" cy="273050"/>
                <wp:effectExtent l="4445" t="4445" r="15875" b="8255"/>
                <wp:wrapNone/>
                <wp:docPr id="10" name="组合 10"/>
                <wp:cNvGraphicFramePr/>
                <a:graphic xmlns:a="http://schemas.openxmlformats.org/drawingml/2006/main">
                  <a:graphicData uri="http://schemas.microsoft.com/office/word/2010/wordprocessingGroup">
                    <wpg:wgp>
                      <wpg:cNvGrpSpPr/>
                      <wpg:grpSpPr>
                        <a:xfrm>
                          <a:off x="0" y="0"/>
                          <a:ext cx="341630" cy="273050"/>
                          <a:chOff x="4756" y="134"/>
                          <a:chExt cx="538" cy="430"/>
                        </a:xfrm>
                      </wpg:grpSpPr>
                      <wps:wsp>
                        <wps:cNvPr id="1955" name="AutoShape 171"/>
                        <wps:cNvSpPr/>
                        <wps:spPr bwMode="auto">
                          <a:xfrm>
                            <a:off x="20195" y="-231723"/>
                            <a:ext cx="281112" cy="225119"/>
                          </a:xfrm>
                          <a:custGeom>
                            <a:avLst/>
                            <a:gdLst>
                              <a:gd name="T0" fmla="+- 0 5293 20195"/>
                              <a:gd name="T1" fmla="*/ T0 w 281112"/>
                              <a:gd name="T2" fmla="+- 0 134 -231723"/>
                              <a:gd name="T3" fmla="*/ 134 h 225119"/>
                              <a:gd name="T4" fmla="+- 0 4756 20195"/>
                              <a:gd name="T5" fmla="*/ T4 w 281112"/>
                              <a:gd name="T6" fmla="+- 0 134 -231723"/>
                              <a:gd name="T7" fmla="*/ 134 h 225119"/>
                              <a:gd name="T8" fmla="+- 0 4756 20195"/>
                              <a:gd name="T9" fmla="*/ T8 w 281112"/>
                              <a:gd name="T10" fmla="+- 0 134 -231723"/>
                              <a:gd name="T11" fmla="*/ 134 h 225119"/>
                              <a:gd name="T12" fmla="+- 0 4756 20195"/>
                              <a:gd name="T13" fmla="*/ T12 w 281112"/>
                              <a:gd name="T14" fmla="+- 0 564 -231723"/>
                              <a:gd name="T15" fmla="*/ 564 h 225119"/>
                              <a:gd name="T16" fmla="+- 0 5293 20195"/>
                              <a:gd name="T17" fmla="*/ T16 w 281112"/>
                              <a:gd name="T18" fmla="+- 0 564 -231723"/>
                              <a:gd name="T19" fmla="*/ 564 h 225119"/>
                              <a:gd name="T20" fmla="+- 0 5294 20195"/>
                              <a:gd name="T21" fmla="*/ T20 w 281112"/>
                              <a:gd name="T22" fmla="+- 0 564 -231723"/>
                              <a:gd name="T23" fmla="*/ 564 h 225119"/>
                              <a:gd name="T24" fmla="+- 0 4756 20195"/>
                              <a:gd name="T25" fmla="*/ T24 w 281112"/>
                              <a:gd name="T26" fmla="+- 0 134 -231723"/>
                              <a:gd name="T27" fmla="*/ 134 h 225119"/>
                              <a:gd name="T28" fmla="+- 0 4756 20195"/>
                              <a:gd name="T29" fmla="*/ T28 w 281112"/>
                              <a:gd name="T30" fmla="+- 0 564 -231723"/>
                              <a:gd name="T31" fmla="*/ 564 h 225119"/>
                              <a:gd name="T32" fmla="+- 0 4756 20195"/>
                              <a:gd name="T33" fmla="*/ T32 w 281112"/>
                              <a:gd name="T34" fmla="+- 0 564 -231723"/>
                              <a:gd name="T35" fmla="*/ 564 h 225119"/>
                              <a:gd name="T36" fmla="+- 0 5293 20195"/>
                              <a:gd name="T37" fmla="*/ T36 w 281112"/>
                              <a:gd name="T38" fmla="+- 0 564 -231723"/>
                              <a:gd name="T39" fmla="*/ 564 h 225119"/>
                              <a:gd name="T40" fmla="+- 0 5293 20195"/>
                              <a:gd name="T41" fmla="*/ T40 w 281112"/>
                              <a:gd name="T42" fmla="+- 0 134 -231723"/>
                              <a:gd name="T43" fmla="*/ 134 h 225119"/>
                              <a:gd name="T44" fmla="+- 0 5294 20195"/>
                              <a:gd name="T45" fmla="*/ T44 w 281112"/>
                              <a:gd name="T46" fmla="+- 0 134 -231723"/>
                              <a:gd name="T47" fmla="*/ 134 h 22511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281112" h="225119">
                                <a:moveTo>
                                  <a:pt x="-14902" y="231857"/>
                                </a:moveTo>
                                <a:lnTo>
                                  <a:pt x="-15439" y="231857"/>
                                </a:lnTo>
                                <a:moveTo>
                                  <a:pt x="-15439" y="232287"/>
                                </a:moveTo>
                                <a:lnTo>
                                  <a:pt x="-14902" y="232287"/>
                                </a:lnTo>
                                <a:lnTo>
                                  <a:pt x="-14901" y="232287"/>
                                </a:lnTo>
                                <a:moveTo>
                                  <a:pt x="-15439" y="231857"/>
                                </a:moveTo>
                                <a:lnTo>
                                  <a:pt x="-15439" y="232287"/>
                                </a:lnTo>
                                <a:moveTo>
                                  <a:pt x="-14902" y="232287"/>
                                </a:moveTo>
                                <a:lnTo>
                                  <a:pt x="-14902" y="231857"/>
                                </a:lnTo>
                                <a:lnTo>
                                  <a:pt x="-14901" y="231857"/>
                                </a:lnTo>
                              </a:path>
                            </a:pathLst>
                          </a:custGeom>
                          <a:noFill/>
                          <a:ln w="18">
                            <a:solidFill>
                              <a:srgbClr val="000000"/>
                            </a:solidFill>
                            <a:round/>
                          </a:ln>
                        </wps:spPr>
                        <wps:bodyPr rot="0" vert="horz" wrap="square" lIns="91440" tIns="45720" rIns="91440" bIns="45720" anchor="t" anchorCtr="0" upright="1">
                          <a:noAutofit/>
                        </wps:bodyPr>
                      </wps:wsp>
                      <pic:pic xmlns:pic="http://schemas.openxmlformats.org/drawingml/2006/picture">
                        <pic:nvPicPr>
                          <pic:cNvPr id="1956" name="Picture 17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a:xfrm>
                            <a:off x="4755" y="134"/>
                            <a:ext cx="399" cy="399"/>
                          </a:xfrm>
                          <a:prstGeom prst="rect">
                            <a:avLst/>
                          </a:prstGeom>
                          <a:noFill/>
                        </pic:spPr>
                      </pic:pic>
                      <wps:wsp>
                        <wps:cNvPr id="1957" name="Freeform 173"/>
                        <wps:cNvSpPr/>
                        <wps:spPr bwMode="auto">
                          <a:xfrm>
                            <a:off x="4866" y="137"/>
                            <a:ext cx="427" cy="427"/>
                          </a:xfrm>
                          <a:custGeom>
                            <a:avLst/>
                            <a:gdLst>
                              <a:gd name="T0" fmla="+- 0 4867 4867"/>
                              <a:gd name="T1" fmla="*/ T0 w 427"/>
                              <a:gd name="T2" fmla="+- 0 564 137"/>
                              <a:gd name="T3" fmla="*/ 564 h 427"/>
                              <a:gd name="T4" fmla="+- 0 5293 4867"/>
                              <a:gd name="T5" fmla="*/ T4 w 427"/>
                              <a:gd name="T6" fmla="+- 0 137 137"/>
                              <a:gd name="T7" fmla="*/ 137 h 427"/>
                              <a:gd name="T8" fmla="+- 0 5294 4867"/>
                              <a:gd name="T9" fmla="*/ T8 w 427"/>
                              <a:gd name="T10" fmla="+- 0 137 137"/>
                              <a:gd name="T11" fmla="*/ 137 h 427"/>
                            </a:gdLst>
                            <a:ahLst/>
                            <a:cxnLst>
                              <a:cxn ang="0">
                                <a:pos x="T1" y="T3"/>
                              </a:cxn>
                              <a:cxn ang="0">
                                <a:pos x="T5" y="T7"/>
                              </a:cxn>
                              <a:cxn ang="0">
                                <a:pos x="T9" y="T11"/>
                              </a:cxn>
                            </a:cxnLst>
                            <a:rect l="0" t="0" r="r" b="b"/>
                            <a:pathLst>
                              <a:path w="427" h="427">
                                <a:moveTo>
                                  <a:pt x="0" y="427"/>
                                </a:moveTo>
                                <a:lnTo>
                                  <a:pt x="426" y="0"/>
                                </a:lnTo>
                                <a:lnTo>
                                  <a:pt x="427" y="0"/>
                                </a:lnTo>
                              </a:path>
                            </a:pathLst>
                          </a:custGeom>
                          <a:noFill/>
                          <a:ln w="18">
                            <a:solidFill>
                              <a:srgbClr val="000000"/>
                            </a:solidFill>
                            <a:round/>
                          </a:ln>
                        </wps:spPr>
                        <wps:bodyPr rot="0" vert="horz" wrap="square" lIns="91440" tIns="45720" rIns="91440" bIns="45720" anchor="t" anchorCtr="0" upright="1">
                          <a:noAutofit/>
                        </wps:bodyPr>
                      </wps:wsp>
                      <pic:pic xmlns:pic="http://schemas.openxmlformats.org/drawingml/2006/picture">
                        <pic:nvPicPr>
                          <pic:cNvPr id="1958" name="Picture 174"/>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a:xfrm>
                            <a:off x="4755" y="259"/>
                            <a:ext cx="538" cy="305"/>
                          </a:xfrm>
                          <a:prstGeom prst="rect">
                            <a:avLst/>
                          </a:prstGeom>
                          <a:noFill/>
                        </pic:spPr>
                      </pic:pic>
                      <wps:wsp>
                        <wps:cNvPr id="1959" name="Freeform 175"/>
                        <wps:cNvSpPr/>
                        <wps:spPr bwMode="auto">
                          <a:xfrm>
                            <a:off x="4772" y="134"/>
                            <a:ext cx="431" cy="430"/>
                          </a:xfrm>
                          <a:custGeom>
                            <a:avLst/>
                            <a:gdLst>
                              <a:gd name="T0" fmla="+- 0 5203 4773"/>
                              <a:gd name="T1" fmla="*/ T0 w 431"/>
                              <a:gd name="T2" fmla="+- 0 564 134"/>
                              <a:gd name="T3" fmla="*/ 564 h 430"/>
                              <a:gd name="T4" fmla="+- 0 4773 4773"/>
                              <a:gd name="T5" fmla="*/ T4 w 431"/>
                              <a:gd name="T6" fmla="+- 0 134 134"/>
                              <a:gd name="T7" fmla="*/ 134 h 430"/>
                              <a:gd name="T8" fmla="+- 0 4773 4773"/>
                              <a:gd name="T9" fmla="*/ T8 w 431"/>
                              <a:gd name="T10" fmla="+- 0 134 134"/>
                              <a:gd name="T11" fmla="*/ 134 h 430"/>
                            </a:gdLst>
                            <a:ahLst/>
                            <a:cxnLst>
                              <a:cxn ang="0">
                                <a:pos x="T1" y="T3"/>
                              </a:cxn>
                              <a:cxn ang="0">
                                <a:pos x="T5" y="T7"/>
                              </a:cxn>
                              <a:cxn ang="0">
                                <a:pos x="T9" y="T11"/>
                              </a:cxn>
                            </a:cxnLst>
                            <a:rect l="0" t="0" r="r" b="b"/>
                            <a:pathLst>
                              <a:path w="431" h="430">
                                <a:moveTo>
                                  <a:pt x="430" y="430"/>
                                </a:moveTo>
                                <a:lnTo>
                                  <a:pt x="0" y="0"/>
                                </a:lnTo>
                              </a:path>
                            </a:pathLst>
                          </a:custGeom>
                          <a:noFill/>
                          <a:ln w="18">
                            <a:solidFill>
                              <a:srgbClr val="000000"/>
                            </a:solidFill>
                            <a:round/>
                          </a:ln>
                        </wps:spPr>
                        <wps:bodyPr rot="0" vert="horz" wrap="square" lIns="91440" tIns="45720" rIns="91440" bIns="45720" anchor="t" anchorCtr="0" upright="1">
                          <a:noAutofit/>
                        </wps:bodyPr>
                      </wps:wsp>
                      <pic:pic xmlns:pic="http://schemas.openxmlformats.org/drawingml/2006/picture">
                        <pic:nvPicPr>
                          <pic:cNvPr id="1960" name="Picture 176"/>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a:xfrm>
                            <a:off x="4915" y="134"/>
                            <a:ext cx="379" cy="378"/>
                          </a:xfrm>
                          <a:prstGeom prst="rect">
                            <a:avLst/>
                          </a:prstGeom>
                          <a:noFill/>
                        </pic:spPr>
                      </pic:pic>
                    </wpg:wgp>
                  </a:graphicData>
                </a:graphic>
              </wp:anchor>
            </w:drawing>
          </mc:Choice>
          <mc:Fallback>
            <w:pict>
              <v:group id="_x0000_s1026" o:spid="_x0000_s1026" o:spt="203" style="position:absolute;left:0pt;margin-left:263.25pt;margin-top:1.05pt;height:21.5pt;width:26.9pt;mso-position-horizontal-relative:page;z-index:-251644928;mso-width-relative:page;mso-height-relative:page;" coordorigin="4756,134" coordsize="538,430" o:gfxdata="UEsDBAoAAAAAAIdO4kAAAAAAAAAAAAAAAAAEAAAAZHJzL1BLAwQUAAAACACHTuJATTQ/INgAAAAI&#10;AQAADwAAAGRycy9kb3ducmV2LnhtbE2PwWrDMBBE74X+g9hAb40kpwrBsRxKaHsKhSaF0ptibWwT&#10;a2UsxU7+vuqpPQ4zzLwpNlfXsRGH0HrSIOcCGFLlbUu1hs/D6+MKWIiGrOk8oYYbBtiU93eFya2f&#10;6APHfaxZKqGQGw1NjH3OeagadCbMfY+UvJMfnIlJDjW3g5lSuet4JsSSO9NSWmhMj9sGq/P+4jS8&#10;TWZ6XsiXcXc+bW/fB/X+tZOo9cNMijWwiNf4F4Zf/IQOZWI6+gvZwDoNKluqFNWQSWDJVyuxAHbU&#10;8KQk8LLg/w+UP1BLAwQUAAAACACHTuJA+tBzwNIHAAD4JAAADgAAAGRycy9lMm9Eb2MueG1s7Vrd&#10;jttEFL5H4h1GvgSl8V/ixNpstey2VaUCKxoewHGcxMKxzdjZbEHcccEl78PzIF6D78x4krFje9MW&#10;UFu2UjcT+/jMN+dn5jvHuXh6v03YXcSLOEtnhvXENFiUhtkyTtcz4/v588HEYEUZpMsgydJoZryJ&#10;CuPp5eefXexzP7KzTZYsI86gJC38fT4zNmWZ+8NhEW6ibVA8yfIoxc1VxrdBia98PVzyYA/t22Ro&#10;m+Z4uM/4MudZGBUFrt7Im0alkZ+jMFut4jC6ycLdNkpLqZVHSVBiScUmzgvjUqBdraKw/Ha1KqKS&#10;JTMDKy3FX0yC8YL+Di8vAn/Ng3wThxWE4BwIjTVtgzjFpAdVN0EZsB2PT1Rt45BnRbYqn4TZdigX&#10;IiyCVVhmwzYveLbLxVrW/n6dH4wORzWs/s5qw2/ubjmLl4gEmCQNtvD4X3/8+ufvvzFcgHX2+dqH&#10;0Auev85veXVhLb/Rgu9XfEufWAq7F3Z9c7BrdF+yEBcd1xo7UB/ilu055qiye7iBc+gp1xuNDYa7&#10;luNKl4SbZ9XDIwcBSU+6UIH5h2rOIUE7INnnCMfiaKPi/Wz0ehPkkTB9QctXNpqORspKV7syE1LM&#10;8ixpKSF6MFPhF7AYW+y/zpawagB5ESINi8HvUyjFAge2Y3m2Iw2gbGdPLMuyK9vZI8ua1owQ+OGu&#10;KF9EmXBCcPeqKGVILzESAbmsvDqHA1bbBNH95YCZbGRPHSbnrh5QcpaS+2LI5ibbswpCQwyYNHVw&#10;HKvhXx/mdZQg9JHYhtmHdSBhDnKukhP4KCTa8cFYcmLC53biQ0Cdh89Tgg/gQxhqCrvxTZUc4Zt0&#10;4qN80/T1GNDSPdJnQYoTTWU3REv3ydyyu0HWnTIad3rZ0t1Ccl1utuqO6YlD3TFza9wNsu6ZPpC6&#10;b/pA2nXnAKTbHoy27pu53ZMudd/0gMQOUHkRAdQLsu6cbnfbum/mdnfO2HXf9MSkrTunLybtunN6&#10;QOq+mdvdiUMniRblPZZ0dOf0WdKpO6cbpKP7Zu50Jw7OsXNB6s7pBVl3TnfiOLpv5k534tDJeqYl&#10;def0gXQbzuk8ZVzdN3O3O3Hcum96YtLVndMXk27DOZ3Z7eq+mbvdiePWfdMHUndOEyS4zVod3MFG&#10;neXhfVod5hixgHi6KZhEnhXEnuYwJejDXDAHqIAUnfwdwlgSCXsVjegXhttJGCeQZF790nSsCPHR&#10;eeIwhRBXlKZfO221JC4Z0oPrpE1PiJ+3UrtaKvaMc5ZKGwFpd85bKqWkED9vqZQcJI6IPgcMhakQ&#10;ry1VWqiKHI5KqFkDcVEDLWiKwM+DkgJODdkeVL2inhsMJWOju9vsLppnQq6k6BtY7tREjgIA+Otk&#10;pDAc5ZK0Lj9yHWnsmrySOj6XV/o1eduePKxfw6PJK/3qU2mHtLS27bRI96J529Wepb8d/RFHC/4W&#10;6ysp9dmyWg29lELAUBSIEusQDhRFWoWRZs/jJBERk6QUJNZEbEVFlsRLukWBUfD14jrh7C6gqlv8&#10;q+K4JobqNl3K+E6wY6GekyUTFZ2Fv8iWb1A+8UzW7OhYYLDJ+E8G26NenxnFj7uARwZLXqYo9qaW&#10;S2dPKb64I48YHNfvLPQ7QRpC1cwoDeynNLwuZVNgl/N4vcFMllhWmlGZt4qpqBL4JKrqC+rNy4s8&#10;Dn38r4pzjE4Kz4dbIniq3GEtUlt6dxuHt1x+qRWfOGVkiQ4BegClp02WxfOiSpWPwY1x+CoLfyhY&#10;ml1vcGBEV0WODYBWdbzEebbfRMESxpN7Xl3LkL7WoCySOFcupvE/27Jh3I+2i2g5M/jLpbQ+auBq&#10;S6JqWLRTfrYnV6Y5tb8aXI/M64Fres8GV1PXG3jmM8813Yl1bV3/Qr6zXH9XRDBDkNzksertWO6J&#10;e1p7J1V/R3ZlRHeniuYqkAFI5ImCiDQhk8joD7+DsUWOFCWPyhApFfgrJEd1HcKHG8LMR8uS0alt&#10;QE80GgVgpXKfB2uQezZZRfRXpthPqUXiYCATSj2bc9kdYDSAaQGMjOOrTgHlfCVClw/pLWBJIGII&#10;XDIt/4seCw5LGebPeRRRJxFxLk5C2heQEG/bYnEnY2QO7GPhHBZ+UZZzqY4RzSUM6pbTdz1lLY2e&#10;HfsWdcaLuTxGf+RERzGknuTa1BYguktzCzBHmTrVJZ59QHwU0lmupOItmk4YrtMKCgF1BEX0tkVV&#10;k9p6baBgxoMiYEb136KpUW4Q7W6zFIL5oEs0UFpUnXRPWlE1OicaLMT9R8C0gRKc+D0oHFmOgb/R&#10;J+X3kUZIQoDYRVpU9sVsx/t14uBSZwCSqgOr7qpPqU3MdiJFW8wjrfiQaQXyskkrxAlTJwSfAK2w&#10;RRKoMzvw6Rh4pBUVrbBHgjxIqxCtOLx5wRubxuGoOMNHRStwrpzQCrGwd6UVHti3pBUNQuZS57Ht&#10;nVW9mHoLWjGyTZzgnqRB+luTU1ohOxi6TButqBD30gr5wk3XVKcVhKcV1CmtOAXVpBXEdU5A1WkF&#10;vVSo3gLqoOq0ohPUKa04BXVCK1pRNWiFBuv/QisovolWIELaaAVdF8RCRlAPsZBydVrxSBgM9kH3&#10;IcbwWpMwjOmE+OQIg/NIGE77EFN61yuq6cax53iqD+FN/k3CIH75gR/EiA5M9eMd+sWN/l206I4/&#10;WLr8G1BLAwQKAAAAAACHTuJAAAAAAAAAAAAAAAAACgAAAGRycy9tZWRpYS9QSwMEFAAAAAgAh07i&#10;QN3LMY6UAQAAmAEAABQAAABkcnMvbWVkaWEvaW1hZ2UxLnBuZ+sM8HPn5ZLiYmBg4PX0cAkC0qYg&#10;zMEGJB8+W1wApNiSvN1dGP6D4IK9yycDRTgLPCKLGRj4joAw41RtPmkGBkYLTxfHkIzGu9f3+rU5&#10;CLQ+/PxSNirZm3MhS/QWk6hbSWdlD8lJqyj+easnUr1sRpFa5a5KR6GFl7e9lWYQc/0ou/m//bmd&#10;7pdN3jNEXP96/Gp0amQdYwd7auQ3a57Dn2UX2JyvP1ZYs4s5JPTqcssJxe8S+VyEnjnEaZhe0PQS&#10;LOkIYn27aIrjbI3SC1ypjFscIhnPangrTDJgV+KMYJ7Ismtd9VYWJdt6e9ULqiGrFmSEnFqgEfJq&#10;QcIUJg2OpUyf3DQb9wRkLQieovRCYCnXLVfNZrPAVwtETzFlNG5imhU4zUEFZNsGNqXlc7azKHF+&#10;qf2fxOlyb8LnlY16C4NYXRcHsbkuDGJnXSzi4KghOsHci/NJaxDz3EUiju0aoRf0vCS3dAaxrw0Q&#10;c+CeInqhZxML1Bigw4LPRTNNPCJ/45oca/aUcgFgwDJ4uvq5rHNKaAIAUEsDBBQAAAAIAIdO4kDl&#10;0yBAvQYAALgGAAAUAAAAZHJzL21lZGlhL2ltYWdlMi5wbmcBuAZH+YlQTkcNChoKAAAADUlIRFIA&#10;AABIAAAAKQgGAAAAlkVvuAAAAAZiS0dEAP8A/wD/oL2nkwAAAAlwSFlzAAAOxAAADsQBlSsOGwAA&#10;BlhJREFUaIHtmllQFFcUhv/unhkMKpqkirLKSpU++OouuIC4guJCRAyyiYCyLzLsiwthRyC4AGKU&#10;KCggCBINqFkNZoGs5DUPSZWVShVVKgwDskzfe/OQGjPiwCzdOinx4bx03/ufPt9Mdd/7nwsALDEx&#10;sZxSyjHG8DqeDcTFxZ0GwNRqddlrSM8GpZQDpZSLiYk5C4AlJyeffA3p39BoNA5ubm73npKKjo6u&#10;BMBSUlJKpjskjUbjsGbNmu8EQRCfXqSUclFRUVUAWFpaWtF0hTQ4ODh77dq13yoUCl1ra6v3MzcJ&#10;IXxERMQ5ACw9Pb1wukEaHBycvW7dum8EQRCvX7++lzGG5wYRQvjw8PAaACwzMzN/ukDSarWzXFxc&#10;7guCIDY3N+/TXzc6mBDCHzp06EMALCsrK+9Vh6TVame5urp2TYQzKSA9pLCwsAsA2NGjR99/VSEN&#10;DQ3NXL9+/dc8z5OmpibfifennEwI4UNDQy8CYMeOHcuxdTEvAo6bm9s9nudJY2PjfmNjTIoQQviQ&#10;kJBaAOzEiRPHbV2UnHA2bNjwFc/zpKGhwW+ycWaJiaIoBAcHXwLAcnJyjtm6OKkxPDxsv3Hjxi95&#10;nidXr171n2qs2aKiKAoHDhy4DIDl5uZm27pIKXA2bdr0BcdxtL6+PtDUeIvERVEUgoKC6gCwvLy8&#10;LFsXaw2czZs3f85xHK2rqwsyZ47FSURRFAICAq4AYAUFBRm2LtrcePLkyRtbtmz5jOM4evny5QPm&#10;zrMqmSiKgr+//1UArLCwMN3WxZsDZ+vWrZ9yHEcvXboUbMlcq5PqdDqFn59fAwBWXFycamsIk8XI&#10;yMgMd3f3uxzH0dra2hBL50tKrtPpFPv3728EwEpKSlJsDcMYnG3btt3mOI5evHgx1BoN9Pb2LpEK&#10;ydfXtwkAKy0tTbI1FEM427dv7wTALly4EGatDgAwc9/oU0Hat29fMwBWVlamtjWc0dFRO09Pzw4A&#10;7Pz584elaEH/2TNnTTBVjI+PK318fFoAsPLy8kRbwtmxY8cnAFhNTU24VL2nCyee58mVK1cCpELa&#10;u3fvdQCsoqIiwRZwdu7ceQsAO3fuXIQULVEUBbVaXQbGLFt6mwPJ29u7FQA7depU/MuCMzY2ptq1&#10;a9dNAKy6ujpSihYhhD948OBHAP67aLh5m2xnawmkPXv2tAFgZ86ciX0ZcHbv3v0xAFZZWRktFY7h&#10;5vyZm6a8EUsf2svLqx0AO3v2bMyLhCNXHkMPTG/vPDfI0F27du3ae/+XX9ZYyPlPNXRRs7Ozc/UG&#10;odHBk/mz1kLSvxuqqqqi5IQj17uOEMIfPnz4vDGLedJJxhx+a0POr4sejlxfS8NOTkZGRsFEa3nK&#10;yfoekSAIYmtrq7dUSHKsT+RcbxFC+MjIyOqp2lwmRfRdRoVCoWtra9sjFZKUFa6cK3bDRmlqamrx&#10;ZE0Js8Q0Go3D6tWrv1coFLobN268K+XB9BtIS/dIcu75DM8jmGq1my06MDAwx9nZuVupVI63t7d7&#10;SYXk4eFxBwAzZ5ctp2tAKeX0J1qSkpJKTbWzLBIfGBiY4+Tk1KNUKsdv3ry5Syokc3waOX0nSikX&#10;Hx9/ypIzURYn6e/vn7tq1aoflErl+K1bt3ZKeWBTTp+hc1lUVJQmFU5CQkIFAHbkyJEPzG2EWpWs&#10;v79/7sqVK3+UC5Ixr1gURSEwMLBeDu+bUsolJiaWA2AJCQkVlnSJrU76+PHjN1esWPGTSqUa6+jo&#10;8JRSwMRug2H3JD8/P1MqHLVaXQaAxcXFnba0hW51Yj2k5cuX/6xSqcY6Ozu3S4Wkt11cXFzuy9F/&#10;o5RyycnJJwGw2NjYM9acL8DIyMgMKQ/x6NGjt5YtW/aLSqUau3379jYpWlqtdua8efP+BsB8fHxa&#10;pMJJTU0tBsCio6MrrT18AQCsu7vbWSqkpUuX/mpnZzd6584dD2s0DG2GBQsW/GmqZ24KTlpaWhEA&#10;FhUVVSXlZArmz5//l4ODg6anp8dJCqSHDx++vWTJkl47O7vRu3fvulsKR3+K5Pjx4ycMbRdLvSlK&#10;KZeRkVEAgEVGRlYTQngpdeHBgwfvLFy48I9Fixb9rtPpFFIhLV68+DdHR8e+oaGhmebOa2lp8Zl4&#10;xEZvu9jb2w/39fU5mqvV1dXlCoCFh4fXSIXDGMM/yMp3gTyXnRkAAAAASUVORK5CYIJQSwMEFAAA&#10;AAgAh07iQCmUljXQBQAAywUAABQAAABkcnMvbWVkaWEvaW1hZ2UzLnBuZwHLBTT6iVBORw0KGgoA&#10;AAANSUhEUgAAADMAAAAyCAYAAADx/eOPAAAABmJLR0QA/wD/AP+gvaeTAAAACXBIWXMAAA7EAAAO&#10;xAGVKw4bAAAFa0lEQVRogdWaW0ibdxjG35w1nuI5zWIzbdaw0KAoKIoBZcoss8ziSi2zrOu2dlg2&#10;2LxYJ+u6rsz1whZaJt1a7MosU1aZZZZZtChEFAVFiaRkzbSZaRYPtfEUzfF7diFi7boZ/TSSD57L&#10;9+H5fVe/iz8REU6dOvUdwzAcALTZtLW1FRIRtFqtbm5uLoJNl8VikRMRJBKJ3WQyKf29o8rKyhoi&#10;wsmTJ7/3+XxcNiMaGxsP83g8b05OTvfs7Gwkm66hoaHU2NjYJzKZzGo0GlV+wTAMwzl9+vS3RITj&#10;x4/Xeb1eHpsRt2/ffovP53uysrJ67Xa7hE3X8PDwvvj4+MnExMRxg8GgXhcGADEMwzlz5szXRISj&#10;R4/+xBaoubm5RCAQuDMyMvqnp6dj2HQZDAa1VCq1xcfHT+r1es26MCs5d+7cl0SEI0eO/OzxePhs&#10;RrS0tBQLhUJXWlra4NTUVBybLqPRqJLJZNbY2NgnQ0NDqX7BAKDq6urPiQiHDh36xe12C9iMaG1t&#10;LRKJRE6NRqOfmJhIYNNlMpmUcrncEh0d/XRgYCDdLxgAVFNTU0lEOHjw4K8ul0vIZkR7e3tBaGjo&#10;olqtNthsNimbrpGRkRSFQmGWSCT2vr6+TL9gANDly5c/JiIcOHDgN6fTKWIzorOzM08sFjtUKpXR&#10;arXK2HSZzWZFcnLyaGRk5GxPT0+2XzAAqLa2toKIsH///t+XlpZC2IzQ6XTa8PDweaVSabJYLHI2&#10;XWNjY0lKpdIUHh4+r9PptH7BAKBr1659QEQoLCxsczgcYjYjenp6siMjI2dTUlJGzGazgk2X1WqV&#10;qVQqo1gsdnR2dub5BQOAbty48S6Hw2Hy8/M7FhYWwtiM6Ovry4yKippRKBTm0dHRZDZdNptNqlar&#10;DaGhoYvt7e0Ffh/W19eXc7lc31boSn9/f0Z0dPTTpKSksY3oyosyMTGRoNFo9CKRyLmhw4aGhrKt&#10;0pXBwcG0jerKf2VqairuxIkTP2z4cCt1Ra/XazaiK+tlU0dbrSuJiYnj/ujKtsAAW68ru3bt+ns9&#10;Xdk2GGCtrkxOTsaz6fJHV7YVBlirK+Pj44lsutbTlW2HAUAdHR35gdCVgMAA26crXV1duQGHAUDd&#10;3d05ERERc1upK2FhYQsruhJQGADU29ubtV26EnAYYPt0pbW1tSjgMMDW60pqauqQUCh0tbS0FAcc&#10;BljVFalUanvw4MGrbLqmp6dj0tPTBwQCgfvOnTtvBhwGWNWVhISEieHh4X1suux2uyQzM7OPz+d7&#10;mpqaSgMOA6zqSlxc3BQbXQFAMzMzUdnZ2T08Hs/b2Nh4OOAwAOjhw4evyOVyS0xMzPRmdWUlc3Nz&#10;EVqtVsflcn23bt16O+AwwLKu7N69+6/N6sqzWVhYCMvPz+/gcDjMzZs33wk4DAB69OjRy5vVlefj&#10;cDjEBQUF7RwOh7l+/fr7AYcBlnVlz549f25UV16UxcXF0KKiolYiCjzISh4/fvzS3r17/9iIrvxX&#10;nE6n6NKlS5/sGAywVlfu37//Gtu+HYUBVnUlJCRk6d69e68HNQywVlfu3r37RlDDAP7pStDAAOvr&#10;SlDBAP+vK0EHAyzrSm5ubtfzuhKUMABofn4+PC8vr/NZXQlaGODfuhLUMMBaXbl69eqHQQ0DLOtK&#10;cXFxCxHhypUrHwU1DAByuVzCkpKSZiLCxYsXPw1qGADkdrsFpaWlTUSECxcufBbUMADI4/Hwy8rK&#10;GogI58+f/yKoYVaAysvL64kIZ8+e/WrlRdaOD9tsvF4v79ixYz8SEaqqqr5hGIbDpyD9eDyer66u&#10;7j2BQOCprq6u8ng8gh3/w2zj8/m4FRUVtUSEfwC4iKvhBpkr/QAAAABJRU5ErkJgg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CgAA&#10;AAAAh07iQAAAAAAAAAAAAAAAAAoAAABkcnMvX3JlbHMvUEsDBBQAAAAIAIdO4kA3J0dhxgAAACkC&#10;AAAZAAAAZHJzL19yZWxzL2Uyb0RvYy54bWwucmVsc72RwWoCMRCG70LfIcy9m90ViohZLyJ4FfsA&#10;QzKbDW4mIYmlvr2BUqgg9eZxZvi//4PZbL/9LL4oZRdYQde0IIh1MI6tgs/T/n0FIhdkg3NgUnCl&#10;DNvhbbE50oylhvLkYhaVwlnBVEpcS5n1RB5zEyJxvYwheSx1TFZG1Ge0JPu2/ZDpLwOGO6Y4GAXp&#10;YJYgTtdYm5+zwzg6TbugL564PKiQztfuCsRkqSjwZBz+LJdNZAvysUP/Gof+P4fuNQ7dr4O8e/Bw&#10;A1BLAwQUAAAACACHTuJAeee6BAQBAAATAgAAEwAAAFtDb250ZW50X1R5cGVzXS54bWyVkcFOwzAM&#10;hu9IvEOUK2pTdkAIrd2BjiMgNB4gStw2onGiOJTt7Um6TYKJIe0Y29/vL8lytbUjmyCQcVjz27Li&#10;DFA5bbCv+fvmqbjnjKJELUeHUPMdEF8111fLzc4DsUQj1XyI0T8IQWoAK6l0HjB1OhesjOkYeuGl&#10;+pA9iEVV3QnlMALGIuYM3ixb6OTnGNl6m8p7E489Z4/7ubyq5sZmPtfFn0SAkU4Q6f1olIzpbmJC&#10;feJVHJzKRM4zNBhPN0n8zIbc+e30c8GBe0mPGYwG9ipDfJY2mQsdSGj3hQGm8v+QbGmpcF1nFJRt&#10;oDZhbzAdrc6lw8K1Tl0avp6pY7aYv7T5BlBLAQIUABQAAAAIAIdO4kB557oEBAEAABMCAAATAAAA&#10;AAAAAAEAIAAAAEcaAABbQ29udGVudF9UeXBlc10ueG1sUEsBAhQACgAAAAAAh07iQAAAAAAAAAAA&#10;AAAAAAYAAAAAAAAAAAAQAAAABBgAAF9yZWxzL1BLAQIUABQAAAAIAIdO4kCKFGY80QAAAJQBAAAL&#10;AAAAAAAAAAEAIAAAACgYAABfcmVscy8ucmVsc1BLAQIUAAoAAAAAAIdO4kAAAAAAAAAAAAAAAAAE&#10;AAAAAAAAAAAAEAAAAAAAAABkcnMvUEsBAhQACgAAAAAAh07iQAAAAAAAAAAAAAAAAAoAAAAAAAAA&#10;AAAQAAAAIhkAAGRycy9fcmVscy9QSwECFAAUAAAACACHTuJANydHYcYAAAApAgAAGQAAAAAAAAAB&#10;ACAAAABKGQAAZHJzL19yZWxzL2Uyb0RvYy54bWwucmVsc1BLAQIUABQAAAAIAIdO4kBNND8g2AAA&#10;AAgBAAAPAAAAAAAAAAEAIAAAACIAAABkcnMvZG93bnJldi54bWxQSwECFAAUAAAACACHTuJA+tBz&#10;wNIHAAD4JAAADgAAAAAAAAABACAAAAAnAQAAZHJzL2Uyb0RvYy54bWxQSwECFAAKAAAAAACHTuJA&#10;AAAAAAAAAAAAAAAACgAAAAAAAAAAABAAAAAlCQAAZHJzL21lZGlhL1BLAQIUABQAAAAIAIdO4kDd&#10;yzGOlAEAAJgBAAAUAAAAAAAAAAEAIAAAAE0JAABkcnMvbWVkaWEvaW1hZ2UxLnBuZ1BLAQIUABQA&#10;AAAIAIdO4kDl0yBAvQYAALgGAAAUAAAAAAAAAAEAIAAAABMLAABkcnMvbWVkaWEvaW1hZ2UyLnBu&#10;Z1BLAQIUABQAAAAIAIdO4kAplJY10AUAAMsFAAAUAAAAAAAAAAEAIAAAAAISAABkcnMvbWVkaWEv&#10;aW1hZ2UzLnBuZ1BLBQYAAAAADAAMANYCAAB8GwAAAAA=&#10;">
                <o:lock v:ext="edit" aspectratio="f"/>
                <v:shape id="AutoShape 171" o:spid="_x0000_s1026" o:spt="100" style="position:absolute;left:20195;top:-231723;height:225119;width:281112;" filled="f" stroked="t" coordsize="281112,225119" o:gfxdata="UEsDBAoAAAAAAIdO4kAAAAAAAAAAAAAAAAAEAAAAZHJzL1BLAwQUAAAACACHTuJA5GW4D7oAAADd&#10;AAAADwAAAGRycy9kb3ducmV2LnhtbEVPy6rCMBDdC/5DGMGdpgp6tRpdCIK6EbUfMDRjW2wmtYm1&#10;+vVGEO5uDuc5y3VrStFQ7QrLCkbDCARxanXBmYLksh3MQDiPrLG0TApe5GC96naWGGv75BM1Z5+J&#10;EMIuRgW591UspUtzMuiGtiIO3NXWBn2AdSZ1jc8Qbko5jqKpNFhwaMixok1O6e38MAruyT3Zv/+u&#10;70N6dPOs2R8frZNK9XujaAHCU+v/xT/3Tof588kEvt+EE+Tq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kZbgPugAAAN0A&#10;AAAPAAAAAAAAAAEAIAAAACIAAABkcnMvZG93bnJldi54bWxQSwECFAAUAAAACACHTuJAMy8FnjsA&#10;AAA5AAAAEAAAAAAAAAABACAAAAAJAQAAZHJzL3NoYXBleG1sLnhtbFBLBQYAAAAABgAGAFsBAACz&#10;AwAAAAA=&#10;" path="m-14902,231857l-15439,231857m-15439,232287l-14902,232287,-14901,232287m-15439,231857l-15439,232287m-14902,232287l-14902,231857,-14901,231857e">
                  <v:path o:connectlocs="-14902,134;-15439,134;-15439,134;-15439,564;-14902,564;-14901,564;-15439,134;-15439,564;-15439,564;-14902,564;-14902,134;-14901,134" o:connectangles="0,0,0,0,0,0,0,0,0,0,0,0"/>
                  <v:fill on="f" focussize="0,0"/>
                  <v:stroke weight="0.00141732283464567pt" color="#000000" joinstyle="round"/>
                  <v:imagedata o:title=""/>
                  <o:lock v:ext="edit" aspectratio="f"/>
                </v:shape>
                <v:shape id="Picture 172" o:spid="_x0000_s1026" o:spt="75" type="#_x0000_t75" style="position:absolute;left:4755;top:134;height:399;width:399;" filled="f" o:preferrelative="t" stroked="f" coordsize="21600,21600" o:gfxdata="UEsDBAoAAAAAAIdO4kAAAAAAAAAAAAAAAAAEAAAAZHJzL1BLAwQUAAAACACHTuJApYTBP70AAADd&#10;AAAADwAAAGRycy9kb3ducmV2LnhtbEVP22rCQBB9F/oPyxT61uxqqWjqKhhoKbXg3echO02i2dmQ&#10;3Wr8e7dQ8G0O5zqTWWdrcabWV4419BMFgjh3puJCw277/jwC4QOywdoxabiSh9n0oTfB1LgLr+m8&#10;CYWIIexT1FCG0KRS+rwkiz5xDXHkflxrMUTYFtK0eInhtpYDpYbSYsWxocSGspLy0+bXauheVl8h&#10;u6pimX98H7fz/YGyhdX66bGv3kAE6sJd/O/+NHH++HUIf9/EE+T0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lhME/vQAA&#10;AN0AAAAPAAAAAAAAAAEAIAAAACIAAABkcnMvZG93bnJldi54bWxQSwECFAAUAAAACACHTuJAMy8F&#10;njsAAAA5AAAAEAAAAAAAAAABACAAAAAMAQAAZHJzL3NoYXBleG1sLnhtbFBLBQYAAAAABgAGAFsB&#10;AAC2AwAAAAA=&#10;">
                  <v:fill on="f" focussize="0,0"/>
                  <v:stroke on="f"/>
                  <v:imagedata r:id="rId38" o:title=""/>
                  <o:lock v:ext="edit" aspectratio="t"/>
                </v:shape>
                <v:shape id="Freeform 173" o:spid="_x0000_s1026" o:spt="100" style="position:absolute;left:4866;top:137;height:427;width:427;" filled="f" stroked="t" coordsize="427,427" o:gfxdata="UEsDBAoAAAAAAIdO4kAAAAAAAAAAAAAAAAAEAAAAZHJzL1BLAwQUAAAACACHTuJAMcY4jroAAADd&#10;AAAADwAAAGRycy9kb3ducmV2LnhtbEVPTYvCMBC9L/gfwgje1rSCXa1GDwVhL4ts1PvQjG2xmZQm&#10;WvvvjbCwt3m8z9nun7YVD+p941hBOk9AEJfONFwpOJ8OnysQPiAbbB2TgpE87HeTjy3mxg38Sw8d&#10;KhFD2OeooA6hy6X0ZU0W/dx1xJG7ut5iiLCvpOlxiOG2lYskyaTFhmNDjR0VNZU3fbcKXNboNPuR&#10;h2Io9PHicDzp5ajUbJomGxCBnuFf/Of+NnH+evkF72/iCXL3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xxjiOugAAAN0A&#10;AAAPAAAAAAAAAAEAIAAAACIAAABkcnMvZG93bnJldi54bWxQSwECFAAUAAAACACHTuJAMy8FnjsA&#10;AAA5AAAAEAAAAAAAAAABACAAAAAJAQAAZHJzL3NoYXBleG1sLnhtbFBLBQYAAAAABgAGAFsBAACz&#10;AwAAAAA=&#10;" path="m0,427l426,0,427,0e">
                  <v:path o:connectlocs="0,564;426,137;427,137" o:connectangles="0,0,0"/>
                  <v:fill on="f" focussize="0,0"/>
                  <v:stroke weight="0.00141732283464567pt" color="#000000" joinstyle="round"/>
                  <v:imagedata o:title=""/>
                  <o:lock v:ext="edit" aspectratio="f"/>
                </v:shape>
                <v:shape id="Picture 174" o:spid="_x0000_s1026" o:spt="75" type="#_x0000_t75" style="position:absolute;left:4755;top:259;height:305;width:538;" filled="f" o:preferrelative="t" stroked="f" coordsize="21600,21600" o:gfxdata="UEsDBAoAAAAAAIdO4kAAAAAAAAAAAAAAAAAEAAAAZHJzL1BLAwQUAAAACACHTuJAIiJFC8AAAADd&#10;AAAADwAAAGRycy9kb3ducmV2LnhtbEWPQWsCMRCF70L/Q5iCN00UFLs1epBKhdJDVajHYTPdbN1M&#10;tpu46r/vHAq9zfDevPfNcn0LjeqpS3VkC5OxAUVcRldzZeF42I4WoFJGdthEJgt3SrBePQyWWLh4&#10;5Q/q97lSEsKpQAs+57bQOpWeAqZxbIlF+4pdwCxrV2nX4VXCQ6Onxsx1wJqlwWNLG0/leX8JFqYv&#10;5u20+N7g53178ubc/7zy+9za4ePEPIPKdMv/5r/rnRP8p5ngyjcygl79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iIkUL&#10;wAAAAN0AAAAPAAAAAAAAAAEAIAAAACIAAABkcnMvZG93bnJldi54bWxQSwECFAAUAAAACACHTuJA&#10;My8FnjsAAAA5AAAAEAAAAAAAAAABACAAAAAPAQAAZHJzL3NoYXBleG1sLnhtbFBLBQYAAAAABgAG&#10;AFsBAAC5AwAAAAA=&#10;">
                  <v:fill on="f" focussize="0,0"/>
                  <v:stroke on="f"/>
                  <v:imagedata r:id="rId51" o:title=""/>
                  <o:lock v:ext="edit" aspectratio="t"/>
                </v:shape>
                <v:shape id="Freeform 175" o:spid="_x0000_s1026" o:spt="100" style="position:absolute;left:4772;top:134;height:430;width:431;" filled="f" stroked="t" coordsize="431,430" o:gfxdata="UEsDBAoAAAAAAIdO4kAAAAAAAAAAAAAAAAAEAAAAZHJzL1BLAwQUAAAACACHTuJAjTL8zbcAAADd&#10;AAAADwAAAGRycy9kb3ducmV2LnhtbEVPyQrCMBC9C/5DGMGbpiqKVqOgKHh1AT0OzdgWm0nbpC5/&#10;bwTB2zzeOovVyxTiQbXLLSsY9CMQxInVOacKzqddbwrCeWSNhWVS8CYHq2W7tcBY2ycf6HH0qQgh&#10;7GJUkHlfxlK6JCODrm9L4sDdbG3QB1inUtf4DOGmkMMomkiDOYeGDEvaZJTcj41RcPPN9qovZ15X&#10;Vf6u5JjWo2mjVLcziOYgPL38X/xz73WYPxvP4PtNOEEuP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NMvzNtwAAAN0AAAAP&#10;AAAAAAAAAAEAIAAAACIAAABkcnMvZG93bnJldi54bWxQSwECFAAUAAAACACHTuJAMy8FnjsAAAA5&#10;AAAAEAAAAAAAAAABACAAAAAGAQAAZHJzL3NoYXBleG1sLnhtbFBLBQYAAAAABgAGAFsBAACwAwAA&#10;AAA=&#10;" path="m430,430l0,0e">
                  <v:path o:connectlocs="430,564;0,134;0,134" o:connectangles="0,0,0"/>
                  <v:fill on="f" focussize="0,0"/>
                  <v:stroke weight="0.00141732283464567pt" color="#000000" joinstyle="round"/>
                  <v:imagedata o:title=""/>
                  <o:lock v:ext="edit" aspectratio="f"/>
                </v:shape>
                <v:shape id="Picture 176" o:spid="_x0000_s1026" o:spt="75" type="#_x0000_t75" style="position:absolute;left:4915;top:134;height:378;width:379;" filled="f" o:preferrelative="t" stroked="f" coordsize="21600,21600" o:gfxdata="UEsDBAoAAAAAAIdO4kAAAAAAAAAAAAAAAAAEAAAAZHJzL1BLAwQUAAAACACHTuJAlfdAPL0AAADd&#10;AAAADwAAAGRycy9kb3ducmV2LnhtbEWPQWvCQBCF74X+h2UKXqRuLFRsdBUMLdSjiT9gyE6ywexs&#10;yG6N/nvnUPA2w3vz3jfb/c336kpj7AIbWC4yUMR1sB23Bs7Vz/saVEzIFvvAZOBOEfa715ct5jZM&#10;fKJrmVolIRxzNOBSGnKtY+3IY1yEgVi0Jowek6xjq+2Ik4T7Xn9k2Up77FgaHA5UOKov5Z83MC8P&#10;3/w5Oc+H9t4cm6qY06kwZva2zDagEt3S0/x//WsF/2sl/PKNjKB3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V90A8vQAA&#10;AN0AAAAPAAAAAAAAAAEAIAAAACIAAABkcnMvZG93bnJldi54bWxQSwECFAAUAAAACACHTuJAMy8F&#10;njsAAAA5AAAAEAAAAAAAAAABACAAAAAMAQAAZHJzL3NoYXBleG1sLnhtbFBLBQYAAAAABgAGAFsB&#10;AAC2AwAAAAA=&#10;">
                  <v:fill on="f" focussize="0,0"/>
                  <v:stroke on="f"/>
                  <v:imagedata r:id="rId52" o:title=""/>
                  <o:lock v:ext="edit" aspectratio="t"/>
                </v:shape>
              </v:group>
            </w:pict>
          </mc:Fallback>
        </mc:AlternateContent>
      </w:r>
      <w:r>
        <w:rPr>
          <w:rFonts w:hint="eastAsia" w:ascii="宋体" w:hAnsi="宋体" w:eastAsia="宋体" w:cs="宋体"/>
          <w:sz w:val="20"/>
        </w:rPr>
        <w:t xml:space="preserve"> </w:t>
      </w:r>
      <w:r>
        <w:rPr>
          <w:rFonts w:hint="eastAsia" w:ascii="宋体" w:hAnsi="宋体" w:eastAsia="宋体" w:cs="宋体"/>
          <w:position w:val="-17"/>
          <w:lang w:val="en-US" w:bidi="ar-SA"/>
        </w:rPr>
        <w:drawing>
          <wp:inline distT="0" distB="0" distL="0" distR="0">
            <wp:extent cx="341630" cy="270510"/>
            <wp:effectExtent l="0" t="0" r="1270" b="15240"/>
            <wp:docPr id="1948" name="图片 1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8" name="图片 1948"/>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a:xfrm>
                      <a:off x="0" y="0"/>
                      <a:ext cx="341630" cy="270510"/>
                    </a:xfrm>
                    <a:prstGeom prst="rect">
                      <a:avLst/>
                    </a:prstGeom>
                    <a:noFill/>
                    <a:ln>
                      <a:noFill/>
                    </a:ln>
                  </pic:spPr>
                </pic:pic>
              </a:graphicData>
            </a:graphic>
          </wp:inline>
        </w:drawing>
      </w:r>
      <w:r>
        <w:rPr>
          <w:rFonts w:hint="eastAsia" w:ascii="宋体" w:hAnsi="宋体" w:eastAsia="宋体" w:cs="宋体"/>
          <w:sz w:val="20"/>
        </w:rPr>
        <w:t xml:space="preserve">    </w:t>
      </w:r>
      <w:r>
        <w:rPr>
          <w:rFonts w:hint="eastAsia" w:ascii="宋体" w:hAnsi="宋体" w:eastAsia="宋体" w:cs="宋体"/>
          <w:spacing w:val="-18"/>
          <w:sz w:val="20"/>
        </w:rPr>
        <w:t xml:space="preserve"> </w:t>
      </w:r>
      <w:r>
        <w:rPr>
          <w:rFonts w:hint="eastAsia" w:ascii="宋体" w:hAnsi="宋体" w:eastAsia="宋体" w:cs="宋体"/>
          <w:sz w:val="24"/>
        </w:rPr>
        <w:t>0</w:t>
      </w:r>
      <w:r>
        <w:rPr>
          <w:rFonts w:hint="eastAsia" w:ascii="宋体" w:hAnsi="宋体" w:eastAsia="宋体" w:cs="宋体"/>
          <w:spacing w:val="31"/>
          <w:sz w:val="24"/>
        </w:rPr>
        <w:t xml:space="preserve"> </w:t>
      </w:r>
      <w:r>
        <w:rPr>
          <w:rFonts w:hint="eastAsia" w:ascii="宋体" w:hAnsi="宋体" w:eastAsia="宋体" w:cs="宋体"/>
          <w:spacing w:val="38"/>
          <w:sz w:val="24"/>
        </w:rPr>
        <w:t>区</w:t>
      </w:r>
      <w:r>
        <w:rPr>
          <w:rFonts w:hint="eastAsia" w:ascii="宋体" w:hAnsi="宋体" w:eastAsia="宋体" w:cs="宋体"/>
          <w:sz w:val="24"/>
        </w:rPr>
        <w:t>；</w:t>
      </w:r>
      <w:r>
        <w:rPr>
          <w:rFonts w:hint="eastAsia" w:ascii="宋体" w:hAnsi="宋体" w:eastAsia="宋体" w:cs="宋体"/>
          <w:sz w:val="24"/>
        </w:rPr>
        <w:tab/>
      </w:r>
      <w:r>
        <w:rPr>
          <w:rFonts w:hint="eastAsia" w:ascii="宋体" w:hAnsi="宋体" w:eastAsia="宋体" w:cs="宋体"/>
          <w:sz w:val="24"/>
        </w:rPr>
        <w:t>1</w:t>
      </w:r>
      <w:r>
        <w:rPr>
          <w:rFonts w:hint="eastAsia" w:ascii="宋体" w:hAnsi="宋体" w:eastAsia="宋体" w:cs="宋体"/>
          <w:spacing w:val="31"/>
          <w:sz w:val="24"/>
        </w:rPr>
        <w:t xml:space="preserve"> </w:t>
      </w:r>
      <w:r>
        <w:rPr>
          <w:rFonts w:hint="eastAsia" w:ascii="宋体" w:hAnsi="宋体" w:eastAsia="宋体" w:cs="宋体"/>
          <w:spacing w:val="40"/>
          <w:sz w:val="24"/>
        </w:rPr>
        <w:t>区</w:t>
      </w:r>
      <w:r>
        <w:rPr>
          <w:rFonts w:hint="eastAsia" w:ascii="宋体" w:hAnsi="宋体" w:eastAsia="宋体" w:cs="宋体"/>
          <w:sz w:val="24"/>
        </w:rPr>
        <w:t>；</w:t>
      </w:r>
      <w:r>
        <w:rPr>
          <w:rFonts w:hint="eastAsia" w:ascii="宋体" w:hAnsi="宋体" w:eastAsia="宋体" w:cs="宋体"/>
          <w:sz w:val="24"/>
        </w:rPr>
        <w:tab/>
      </w:r>
      <w:r>
        <w:rPr>
          <w:rFonts w:hint="eastAsia" w:ascii="宋体" w:hAnsi="宋体" w:eastAsia="宋体" w:cs="宋体"/>
          <w:sz w:val="24"/>
        </w:rPr>
        <w:t>2</w:t>
      </w:r>
      <w:r>
        <w:rPr>
          <w:rFonts w:hint="eastAsia" w:ascii="宋体" w:hAnsi="宋体" w:eastAsia="宋体" w:cs="宋体"/>
          <w:spacing w:val="28"/>
          <w:sz w:val="24"/>
        </w:rPr>
        <w:t xml:space="preserve"> </w:t>
      </w:r>
      <w:r>
        <w:rPr>
          <w:rFonts w:hint="eastAsia" w:ascii="宋体" w:hAnsi="宋体" w:eastAsia="宋体" w:cs="宋体"/>
          <w:sz w:val="24"/>
        </w:rPr>
        <w:t>区；</w:t>
      </w:r>
    </w:p>
    <w:p>
      <w:pPr>
        <w:ind w:firstLine="440" w:firstLineChars="200"/>
        <w:rPr>
          <w:rFonts w:hint="eastAsia" w:ascii="宋体" w:hAnsi="宋体" w:eastAsia="宋体" w:cs="宋体"/>
        </w:rPr>
      </w:pPr>
    </w:p>
    <w:p>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汽油加油机爆炸危险区域划分（图 C.0.5），应符合下列规定：</w:t>
      </w:r>
    </w:p>
    <w:p>
      <w:pPr>
        <w:pStyle w:val="22"/>
        <w:numPr>
          <w:ilvl w:val="0"/>
          <w:numId w:val="8"/>
        </w:numPr>
        <w:autoSpaceDE/>
        <w:autoSpaceDN/>
        <w:spacing w:line="500" w:lineRule="exact"/>
        <w:ind w:left="567" w:hanging="567"/>
        <w:jc w:val="both"/>
        <w:rPr>
          <w:rFonts w:hint="eastAsia" w:ascii="宋体" w:hAnsi="宋体" w:eastAsia="宋体" w:cs="宋体"/>
          <w:sz w:val="28"/>
          <w:szCs w:val="28"/>
        </w:rPr>
      </w:pPr>
      <w:r>
        <w:rPr>
          <w:rFonts w:hint="eastAsia" w:ascii="宋体" w:hAnsi="宋体" w:eastAsia="宋体" w:cs="宋体"/>
          <w:sz w:val="28"/>
          <w:szCs w:val="28"/>
        </w:rPr>
        <w:t>加油机壳体内部空间应划分为 1 区。</w:t>
      </w:r>
    </w:p>
    <w:p>
      <w:pPr>
        <w:pStyle w:val="22"/>
        <w:numPr>
          <w:ilvl w:val="0"/>
          <w:numId w:val="8"/>
        </w:numPr>
        <w:autoSpaceDE/>
        <w:autoSpaceDN/>
        <w:spacing w:line="500" w:lineRule="exact"/>
        <w:ind w:left="567" w:hanging="567"/>
        <w:jc w:val="both"/>
        <w:rPr>
          <w:rFonts w:hint="eastAsia" w:ascii="宋体" w:hAnsi="宋体" w:eastAsia="宋体" w:cs="宋体"/>
          <w:sz w:val="28"/>
          <w:szCs w:val="28"/>
        </w:rPr>
      </w:pPr>
      <w:r>
        <w:rPr>
          <w:rFonts w:hint="eastAsia" w:ascii="宋体" w:hAnsi="宋体" w:eastAsia="宋体" w:cs="宋体"/>
          <w:sz w:val="28"/>
          <w:szCs w:val="28"/>
        </w:rPr>
        <w:t>以加油机中心线为中心线，以半径为 3m的地面区域为底面和以加油机顶部以上 0.15m 半径为 1.5m的平面为顶面的圆台形空间，应划分为 2 区。</w:t>
      </w:r>
    </w:p>
    <w:p>
      <w:pPr>
        <w:ind w:firstLine="440" w:firstLineChars="200"/>
        <w:rPr>
          <w:rFonts w:hint="eastAsia" w:ascii="宋体" w:hAnsi="宋体" w:eastAsia="宋体" w:cs="宋体"/>
        </w:rPr>
      </w:pPr>
    </w:p>
    <w:p>
      <w:pPr>
        <w:ind w:firstLine="440" w:firstLineChars="200"/>
        <w:rPr>
          <w:rFonts w:hint="eastAsia" w:ascii="宋体" w:hAnsi="宋体" w:eastAsia="宋体" w:cs="宋体"/>
        </w:rPr>
      </w:pPr>
      <w:r>
        <w:rPr>
          <w:rFonts w:hint="eastAsia" w:ascii="宋体" w:hAnsi="宋体" w:eastAsia="宋体" w:cs="宋体"/>
          <w:lang w:val="en-US" w:bidi="ar-SA"/>
        </w:rPr>
        <mc:AlternateContent>
          <mc:Choice Requires="wpg">
            <w:drawing>
              <wp:anchor distT="0" distB="0" distL="0" distR="0" simplePos="0" relativeHeight="251664384" behindDoc="0" locked="0" layoutInCell="1" allowOverlap="1">
                <wp:simplePos x="0" y="0"/>
                <wp:positionH relativeFrom="page">
                  <wp:posOffset>2437130</wp:posOffset>
                </wp:positionH>
                <wp:positionV relativeFrom="paragraph">
                  <wp:posOffset>53340</wp:posOffset>
                </wp:positionV>
                <wp:extent cx="2889885" cy="2725420"/>
                <wp:effectExtent l="5080" t="3175" r="19685" b="14605"/>
                <wp:wrapTopAndBottom/>
                <wp:docPr id="11" name="Group 49"/>
                <wp:cNvGraphicFramePr/>
                <a:graphic xmlns:a="http://schemas.openxmlformats.org/drawingml/2006/main">
                  <a:graphicData uri="http://schemas.microsoft.com/office/word/2010/wordprocessingGroup">
                    <wpg:wgp>
                      <wpg:cNvGrpSpPr/>
                      <wpg:grpSpPr>
                        <a:xfrm>
                          <a:off x="0" y="0"/>
                          <a:ext cx="2889885" cy="2725420"/>
                          <a:chOff x="3571" y="199"/>
                          <a:chExt cx="4551" cy="4292"/>
                        </a:xfrm>
                      </wpg:grpSpPr>
                      <wps:wsp>
                        <wps:cNvPr id="53" name="Line 393"/>
                        <wps:cNvCnPr>
                          <a:cxnSpLocks noChangeShapeType="1"/>
                        </wps:cNvCnPr>
                        <wps:spPr bwMode="auto">
                          <a:xfrm>
                            <a:off x="5477" y="743"/>
                            <a:ext cx="315" cy="0"/>
                          </a:xfrm>
                          <a:prstGeom prst="line">
                            <a:avLst/>
                          </a:prstGeom>
                          <a:noFill/>
                          <a:ln w="2992">
                            <a:solidFill>
                              <a:srgbClr val="000000"/>
                            </a:solidFill>
                            <a:round/>
                          </a:ln>
                        </wps:spPr>
                        <wps:bodyPr/>
                      </wps:wsp>
                      <wps:wsp>
                        <wps:cNvPr id="54" name="Line 392"/>
                        <wps:cNvCnPr>
                          <a:cxnSpLocks noChangeShapeType="1"/>
                        </wps:cNvCnPr>
                        <wps:spPr bwMode="auto">
                          <a:xfrm>
                            <a:off x="5477" y="743"/>
                            <a:ext cx="315" cy="0"/>
                          </a:xfrm>
                          <a:prstGeom prst="line">
                            <a:avLst/>
                          </a:prstGeom>
                          <a:noFill/>
                          <a:ln w="2992">
                            <a:solidFill>
                              <a:srgbClr val="000000"/>
                            </a:solidFill>
                            <a:round/>
                          </a:ln>
                        </wps:spPr>
                        <wps:bodyPr/>
                      </wps:wsp>
                      <wps:wsp>
                        <wps:cNvPr id="55" name="Line 391"/>
                        <wps:cNvCnPr>
                          <a:cxnSpLocks noChangeShapeType="1"/>
                        </wps:cNvCnPr>
                        <wps:spPr bwMode="auto">
                          <a:xfrm>
                            <a:off x="5477" y="743"/>
                            <a:ext cx="316" cy="0"/>
                          </a:xfrm>
                          <a:prstGeom prst="line">
                            <a:avLst/>
                          </a:prstGeom>
                          <a:noFill/>
                          <a:ln w="3156">
                            <a:solidFill>
                              <a:srgbClr val="000000"/>
                            </a:solidFill>
                            <a:round/>
                          </a:ln>
                        </wps:spPr>
                        <wps:bodyPr/>
                      </wps:wsp>
                      <wps:wsp>
                        <wps:cNvPr id="56" name="Line 390"/>
                        <wps:cNvCnPr>
                          <a:cxnSpLocks noChangeShapeType="1"/>
                        </wps:cNvCnPr>
                        <wps:spPr bwMode="auto">
                          <a:xfrm>
                            <a:off x="5394" y="647"/>
                            <a:ext cx="398" cy="0"/>
                          </a:xfrm>
                          <a:prstGeom prst="line">
                            <a:avLst/>
                          </a:prstGeom>
                          <a:noFill/>
                          <a:ln w="2992">
                            <a:solidFill>
                              <a:srgbClr val="000000"/>
                            </a:solidFill>
                            <a:round/>
                          </a:ln>
                        </wps:spPr>
                        <wps:bodyPr/>
                      </wps:wsp>
                      <wps:wsp>
                        <wps:cNvPr id="57" name="Line 389"/>
                        <wps:cNvCnPr>
                          <a:cxnSpLocks noChangeShapeType="1"/>
                        </wps:cNvCnPr>
                        <wps:spPr bwMode="auto">
                          <a:xfrm>
                            <a:off x="5394" y="647"/>
                            <a:ext cx="398" cy="0"/>
                          </a:xfrm>
                          <a:prstGeom prst="line">
                            <a:avLst/>
                          </a:prstGeom>
                          <a:noFill/>
                          <a:ln w="2992">
                            <a:solidFill>
                              <a:srgbClr val="000000"/>
                            </a:solidFill>
                            <a:round/>
                          </a:ln>
                        </wps:spPr>
                        <wps:bodyPr/>
                      </wps:wsp>
                      <wps:wsp>
                        <wps:cNvPr id="58" name="Line 388"/>
                        <wps:cNvCnPr>
                          <a:cxnSpLocks noChangeShapeType="1"/>
                        </wps:cNvCnPr>
                        <wps:spPr bwMode="auto">
                          <a:xfrm>
                            <a:off x="5394" y="647"/>
                            <a:ext cx="399" cy="0"/>
                          </a:xfrm>
                          <a:prstGeom prst="line">
                            <a:avLst/>
                          </a:prstGeom>
                          <a:noFill/>
                          <a:ln w="3156">
                            <a:solidFill>
                              <a:srgbClr val="000000"/>
                            </a:solidFill>
                            <a:round/>
                          </a:ln>
                        </wps:spPr>
                        <wps:bodyPr/>
                      </wps:wsp>
                      <wps:wsp>
                        <wps:cNvPr id="59" name="Line 387"/>
                        <wps:cNvCnPr>
                          <a:cxnSpLocks noChangeShapeType="1"/>
                        </wps:cNvCnPr>
                        <wps:spPr bwMode="auto">
                          <a:xfrm>
                            <a:off x="5477" y="1031"/>
                            <a:ext cx="315" cy="0"/>
                          </a:xfrm>
                          <a:prstGeom prst="line">
                            <a:avLst/>
                          </a:prstGeom>
                          <a:noFill/>
                          <a:ln w="3156">
                            <a:solidFill>
                              <a:srgbClr val="000000"/>
                            </a:solidFill>
                            <a:round/>
                          </a:ln>
                        </wps:spPr>
                        <wps:bodyPr/>
                      </wps:wsp>
                      <wps:wsp>
                        <wps:cNvPr id="60" name="Line 386"/>
                        <wps:cNvCnPr>
                          <a:cxnSpLocks noChangeShapeType="1"/>
                        </wps:cNvCnPr>
                        <wps:spPr bwMode="auto">
                          <a:xfrm>
                            <a:off x="5477" y="1031"/>
                            <a:ext cx="315" cy="0"/>
                          </a:xfrm>
                          <a:prstGeom prst="line">
                            <a:avLst/>
                          </a:prstGeom>
                          <a:noFill/>
                          <a:ln w="3156">
                            <a:solidFill>
                              <a:srgbClr val="000000"/>
                            </a:solidFill>
                            <a:round/>
                          </a:ln>
                        </wps:spPr>
                        <wps:bodyPr/>
                      </wps:wsp>
                      <wps:wsp>
                        <wps:cNvPr id="61" name="Line 385"/>
                        <wps:cNvCnPr>
                          <a:cxnSpLocks noChangeShapeType="1"/>
                        </wps:cNvCnPr>
                        <wps:spPr bwMode="auto">
                          <a:xfrm>
                            <a:off x="5477" y="1031"/>
                            <a:ext cx="316" cy="0"/>
                          </a:xfrm>
                          <a:prstGeom prst="line">
                            <a:avLst/>
                          </a:prstGeom>
                          <a:noFill/>
                          <a:ln w="3318">
                            <a:solidFill>
                              <a:srgbClr val="000000"/>
                            </a:solidFill>
                            <a:round/>
                          </a:ln>
                        </wps:spPr>
                        <wps:bodyPr/>
                      </wps:wsp>
                      <wps:wsp>
                        <wps:cNvPr id="62" name="Line 384"/>
                        <wps:cNvCnPr>
                          <a:cxnSpLocks noChangeShapeType="1"/>
                        </wps:cNvCnPr>
                        <wps:spPr bwMode="auto">
                          <a:xfrm>
                            <a:off x="5477" y="1127"/>
                            <a:ext cx="315" cy="0"/>
                          </a:xfrm>
                          <a:prstGeom prst="line">
                            <a:avLst/>
                          </a:prstGeom>
                          <a:noFill/>
                          <a:ln w="3154">
                            <a:solidFill>
                              <a:srgbClr val="000000"/>
                            </a:solidFill>
                            <a:round/>
                          </a:ln>
                        </wps:spPr>
                        <wps:bodyPr/>
                      </wps:wsp>
                      <wps:wsp>
                        <wps:cNvPr id="63" name="Line 383"/>
                        <wps:cNvCnPr>
                          <a:cxnSpLocks noChangeShapeType="1"/>
                        </wps:cNvCnPr>
                        <wps:spPr bwMode="auto">
                          <a:xfrm>
                            <a:off x="5477" y="1127"/>
                            <a:ext cx="315" cy="0"/>
                          </a:xfrm>
                          <a:prstGeom prst="line">
                            <a:avLst/>
                          </a:prstGeom>
                          <a:noFill/>
                          <a:ln w="3154">
                            <a:solidFill>
                              <a:srgbClr val="000000"/>
                            </a:solidFill>
                            <a:round/>
                          </a:ln>
                        </wps:spPr>
                        <wps:bodyPr/>
                      </wps:wsp>
                      <wps:wsp>
                        <wps:cNvPr id="64" name="Line 382"/>
                        <wps:cNvCnPr>
                          <a:cxnSpLocks noChangeShapeType="1"/>
                        </wps:cNvCnPr>
                        <wps:spPr bwMode="auto">
                          <a:xfrm>
                            <a:off x="5477" y="1127"/>
                            <a:ext cx="316" cy="0"/>
                          </a:xfrm>
                          <a:prstGeom prst="line">
                            <a:avLst/>
                          </a:prstGeom>
                          <a:noFill/>
                          <a:ln w="3318">
                            <a:solidFill>
                              <a:srgbClr val="000000"/>
                            </a:solidFill>
                            <a:round/>
                          </a:ln>
                        </wps:spPr>
                        <wps:bodyPr/>
                      </wps:wsp>
                      <pic:pic xmlns:pic="http://schemas.openxmlformats.org/drawingml/2006/picture">
                        <pic:nvPicPr>
                          <pic:cNvPr id="65" name="Picture 381"/>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a:xfrm>
                            <a:off x="4451" y="1226"/>
                            <a:ext cx="345" cy="400"/>
                          </a:xfrm>
                          <a:prstGeom prst="rect">
                            <a:avLst/>
                          </a:prstGeom>
                          <a:noFill/>
                          <a:ln>
                            <a:noFill/>
                          </a:ln>
                        </pic:spPr>
                      </pic:pic>
                      <wps:wsp>
                        <wps:cNvPr id="66" name="Freeform 380"/>
                        <wps:cNvSpPr/>
                        <wps:spPr bwMode="auto">
                          <a:xfrm>
                            <a:off x="4420" y="1226"/>
                            <a:ext cx="448" cy="521"/>
                          </a:xfrm>
                          <a:custGeom>
                            <a:avLst/>
                            <a:gdLst>
                              <a:gd name="T0" fmla="+- 0 4421 4421"/>
                              <a:gd name="T1" fmla="*/ T0 w 448"/>
                              <a:gd name="T2" fmla="+- 0 1747 1227"/>
                              <a:gd name="T3" fmla="*/ 1747 h 521"/>
                              <a:gd name="T4" fmla="+- 0 4869 4421"/>
                              <a:gd name="T5" fmla="*/ T4 w 448"/>
                              <a:gd name="T6" fmla="+- 0 1227 1227"/>
                              <a:gd name="T7" fmla="*/ 1227 h 521"/>
                              <a:gd name="T8" fmla="+- 0 4869 4421"/>
                              <a:gd name="T9" fmla="*/ T8 w 448"/>
                              <a:gd name="T10" fmla="+- 0 1227 1227"/>
                              <a:gd name="T11" fmla="*/ 1227 h 521"/>
                            </a:gdLst>
                            <a:ahLst/>
                            <a:cxnLst>
                              <a:cxn ang="0">
                                <a:pos x="T1" y="T3"/>
                              </a:cxn>
                              <a:cxn ang="0">
                                <a:pos x="T5" y="T7"/>
                              </a:cxn>
                              <a:cxn ang="0">
                                <a:pos x="T9" y="T11"/>
                              </a:cxn>
                            </a:cxnLst>
                            <a:rect l="0" t="0" r="r" b="b"/>
                            <a:pathLst>
                              <a:path w="448" h="521">
                                <a:moveTo>
                                  <a:pt x="0" y="520"/>
                                </a:moveTo>
                                <a:lnTo>
                                  <a:pt x="448"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67" name="Freeform 379"/>
                        <wps:cNvSpPr/>
                        <wps:spPr bwMode="auto">
                          <a:xfrm>
                            <a:off x="4389" y="1226"/>
                            <a:ext cx="552" cy="642"/>
                          </a:xfrm>
                          <a:custGeom>
                            <a:avLst/>
                            <a:gdLst>
                              <a:gd name="T0" fmla="+- 0 4390 4390"/>
                              <a:gd name="T1" fmla="*/ T0 w 552"/>
                              <a:gd name="T2" fmla="+- 0 1868 1227"/>
                              <a:gd name="T3" fmla="*/ 1868 h 642"/>
                              <a:gd name="T4" fmla="+- 0 4942 4390"/>
                              <a:gd name="T5" fmla="*/ T4 w 552"/>
                              <a:gd name="T6" fmla="+- 0 1227 1227"/>
                              <a:gd name="T7" fmla="*/ 1227 h 642"/>
                              <a:gd name="T8" fmla="+- 0 4942 4390"/>
                              <a:gd name="T9" fmla="*/ T8 w 552"/>
                              <a:gd name="T10" fmla="+- 0 1227 1227"/>
                              <a:gd name="T11" fmla="*/ 1227 h 642"/>
                            </a:gdLst>
                            <a:ahLst/>
                            <a:cxnLst>
                              <a:cxn ang="0">
                                <a:pos x="T1" y="T3"/>
                              </a:cxn>
                              <a:cxn ang="0">
                                <a:pos x="T5" y="T7"/>
                              </a:cxn>
                              <a:cxn ang="0">
                                <a:pos x="T9" y="T11"/>
                              </a:cxn>
                            </a:cxnLst>
                            <a:rect l="0" t="0" r="r" b="b"/>
                            <a:pathLst>
                              <a:path w="552" h="642">
                                <a:moveTo>
                                  <a:pt x="0" y="641"/>
                                </a:moveTo>
                                <a:lnTo>
                                  <a:pt x="552"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68" name="Freeform 378"/>
                        <wps:cNvSpPr/>
                        <wps:spPr bwMode="auto">
                          <a:xfrm>
                            <a:off x="4359" y="1226"/>
                            <a:ext cx="656" cy="763"/>
                          </a:xfrm>
                          <a:custGeom>
                            <a:avLst/>
                            <a:gdLst>
                              <a:gd name="T0" fmla="+- 0 4359 4359"/>
                              <a:gd name="T1" fmla="*/ T0 w 656"/>
                              <a:gd name="T2" fmla="+- 0 1989 1227"/>
                              <a:gd name="T3" fmla="*/ 1989 h 763"/>
                              <a:gd name="T4" fmla="+- 0 5015 4359"/>
                              <a:gd name="T5" fmla="*/ T4 w 656"/>
                              <a:gd name="T6" fmla="+- 0 1227 1227"/>
                              <a:gd name="T7" fmla="*/ 1227 h 763"/>
                              <a:gd name="T8" fmla="+- 0 5015 4359"/>
                              <a:gd name="T9" fmla="*/ T8 w 656"/>
                              <a:gd name="T10" fmla="+- 0 1227 1227"/>
                              <a:gd name="T11" fmla="*/ 1227 h 763"/>
                            </a:gdLst>
                            <a:ahLst/>
                            <a:cxnLst>
                              <a:cxn ang="0">
                                <a:pos x="T1" y="T3"/>
                              </a:cxn>
                              <a:cxn ang="0">
                                <a:pos x="T5" y="T7"/>
                              </a:cxn>
                              <a:cxn ang="0">
                                <a:pos x="T9" y="T11"/>
                              </a:cxn>
                            </a:cxnLst>
                            <a:rect l="0" t="0" r="r" b="b"/>
                            <a:pathLst>
                              <a:path w="656" h="763">
                                <a:moveTo>
                                  <a:pt x="0" y="762"/>
                                </a:moveTo>
                                <a:lnTo>
                                  <a:pt x="656"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69" name="Freeform 377"/>
                        <wps:cNvSpPr/>
                        <wps:spPr bwMode="auto">
                          <a:xfrm>
                            <a:off x="4328" y="1226"/>
                            <a:ext cx="760" cy="883"/>
                          </a:xfrm>
                          <a:custGeom>
                            <a:avLst/>
                            <a:gdLst>
                              <a:gd name="T0" fmla="+- 0 4328 4328"/>
                              <a:gd name="T1" fmla="*/ T0 w 760"/>
                              <a:gd name="T2" fmla="+- 0 2109 1227"/>
                              <a:gd name="T3" fmla="*/ 2109 h 883"/>
                              <a:gd name="T4" fmla="+- 0 5087 4328"/>
                              <a:gd name="T5" fmla="*/ T4 w 760"/>
                              <a:gd name="T6" fmla="+- 0 1227 1227"/>
                              <a:gd name="T7" fmla="*/ 1227 h 883"/>
                              <a:gd name="T8" fmla="+- 0 5088 4328"/>
                              <a:gd name="T9" fmla="*/ T8 w 760"/>
                              <a:gd name="T10" fmla="+- 0 1227 1227"/>
                              <a:gd name="T11" fmla="*/ 1227 h 883"/>
                            </a:gdLst>
                            <a:ahLst/>
                            <a:cxnLst>
                              <a:cxn ang="0">
                                <a:pos x="T1" y="T3"/>
                              </a:cxn>
                              <a:cxn ang="0">
                                <a:pos x="T5" y="T7"/>
                              </a:cxn>
                              <a:cxn ang="0">
                                <a:pos x="T9" y="T11"/>
                              </a:cxn>
                            </a:cxnLst>
                            <a:rect l="0" t="0" r="r" b="b"/>
                            <a:pathLst>
                              <a:path w="760" h="883">
                                <a:moveTo>
                                  <a:pt x="0" y="882"/>
                                </a:moveTo>
                                <a:lnTo>
                                  <a:pt x="759" y="0"/>
                                </a:lnTo>
                                <a:lnTo>
                                  <a:pt x="760"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70" name="Freeform 376"/>
                        <wps:cNvSpPr/>
                        <wps:spPr bwMode="auto">
                          <a:xfrm>
                            <a:off x="4297" y="1226"/>
                            <a:ext cx="864" cy="1004"/>
                          </a:xfrm>
                          <a:custGeom>
                            <a:avLst/>
                            <a:gdLst>
                              <a:gd name="T0" fmla="+- 0 4297 4297"/>
                              <a:gd name="T1" fmla="*/ T0 w 864"/>
                              <a:gd name="T2" fmla="+- 0 2230 1227"/>
                              <a:gd name="T3" fmla="*/ 2230 h 1004"/>
                              <a:gd name="T4" fmla="+- 0 5160 4297"/>
                              <a:gd name="T5" fmla="*/ T4 w 864"/>
                              <a:gd name="T6" fmla="+- 0 1227 1227"/>
                              <a:gd name="T7" fmla="*/ 1227 h 1004"/>
                              <a:gd name="T8" fmla="+- 0 5161 4297"/>
                              <a:gd name="T9" fmla="*/ T8 w 864"/>
                              <a:gd name="T10" fmla="+- 0 1227 1227"/>
                              <a:gd name="T11" fmla="*/ 1227 h 1004"/>
                            </a:gdLst>
                            <a:ahLst/>
                            <a:cxnLst>
                              <a:cxn ang="0">
                                <a:pos x="T1" y="T3"/>
                              </a:cxn>
                              <a:cxn ang="0">
                                <a:pos x="T5" y="T7"/>
                              </a:cxn>
                              <a:cxn ang="0">
                                <a:pos x="T9" y="T11"/>
                              </a:cxn>
                            </a:cxnLst>
                            <a:rect l="0" t="0" r="r" b="b"/>
                            <a:pathLst>
                              <a:path w="864" h="1004">
                                <a:moveTo>
                                  <a:pt x="0" y="1003"/>
                                </a:moveTo>
                                <a:lnTo>
                                  <a:pt x="863" y="0"/>
                                </a:lnTo>
                                <a:lnTo>
                                  <a:pt x="864"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71" name="Freeform 375"/>
                        <wps:cNvSpPr/>
                        <wps:spPr bwMode="auto">
                          <a:xfrm>
                            <a:off x="4266" y="1226"/>
                            <a:ext cx="968" cy="1125"/>
                          </a:xfrm>
                          <a:custGeom>
                            <a:avLst/>
                            <a:gdLst>
                              <a:gd name="T0" fmla="+- 0 4266 4266"/>
                              <a:gd name="T1" fmla="*/ T0 w 968"/>
                              <a:gd name="T2" fmla="+- 0 2351 1227"/>
                              <a:gd name="T3" fmla="*/ 2351 h 1125"/>
                              <a:gd name="T4" fmla="+- 0 5233 4266"/>
                              <a:gd name="T5" fmla="*/ T4 w 968"/>
                              <a:gd name="T6" fmla="+- 0 1227 1227"/>
                              <a:gd name="T7" fmla="*/ 1227 h 1125"/>
                              <a:gd name="T8" fmla="+- 0 5234 4266"/>
                              <a:gd name="T9" fmla="*/ T8 w 968"/>
                              <a:gd name="T10" fmla="+- 0 1227 1227"/>
                              <a:gd name="T11" fmla="*/ 1227 h 1125"/>
                            </a:gdLst>
                            <a:ahLst/>
                            <a:cxnLst>
                              <a:cxn ang="0">
                                <a:pos x="T1" y="T3"/>
                              </a:cxn>
                              <a:cxn ang="0">
                                <a:pos x="T5" y="T7"/>
                              </a:cxn>
                              <a:cxn ang="0">
                                <a:pos x="T9" y="T11"/>
                              </a:cxn>
                            </a:cxnLst>
                            <a:rect l="0" t="0" r="r" b="b"/>
                            <a:pathLst>
                              <a:path w="968" h="1125">
                                <a:moveTo>
                                  <a:pt x="0" y="1124"/>
                                </a:moveTo>
                                <a:lnTo>
                                  <a:pt x="967" y="0"/>
                                </a:lnTo>
                                <a:lnTo>
                                  <a:pt x="968"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72" name="Freeform 374"/>
                        <wps:cNvSpPr/>
                        <wps:spPr bwMode="auto">
                          <a:xfrm>
                            <a:off x="4235" y="1226"/>
                            <a:ext cx="1072" cy="1245"/>
                          </a:xfrm>
                          <a:custGeom>
                            <a:avLst/>
                            <a:gdLst>
                              <a:gd name="T0" fmla="+- 0 4235 4235"/>
                              <a:gd name="T1" fmla="*/ T0 w 1072"/>
                              <a:gd name="T2" fmla="+- 0 2472 1227"/>
                              <a:gd name="T3" fmla="*/ 2472 h 1245"/>
                              <a:gd name="T4" fmla="+- 0 5306 4235"/>
                              <a:gd name="T5" fmla="*/ T4 w 1072"/>
                              <a:gd name="T6" fmla="+- 0 1227 1227"/>
                              <a:gd name="T7" fmla="*/ 1227 h 1245"/>
                              <a:gd name="T8" fmla="+- 0 5307 4235"/>
                              <a:gd name="T9" fmla="*/ T8 w 1072"/>
                              <a:gd name="T10" fmla="+- 0 1227 1227"/>
                              <a:gd name="T11" fmla="*/ 1227 h 1245"/>
                            </a:gdLst>
                            <a:ahLst/>
                            <a:cxnLst>
                              <a:cxn ang="0">
                                <a:pos x="T1" y="T3"/>
                              </a:cxn>
                              <a:cxn ang="0">
                                <a:pos x="T5" y="T7"/>
                              </a:cxn>
                              <a:cxn ang="0">
                                <a:pos x="T9" y="T11"/>
                              </a:cxn>
                            </a:cxnLst>
                            <a:rect l="0" t="0" r="r" b="b"/>
                            <a:pathLst>
                              <a:path w="1072" h="1245">
                                <a:moveTo>
                                  <a:pt x="0" y="1245"/>
                                </a:moveTo>
                                <a:lnTo>
                                  <a:pt x="1071" y="0"/>
                                </a:lnTo>
                                <a:lnTo>
                                  <a:pt x="1072"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73" name="Freeform 373"/>
                        <wps:cNvSpPr/>
                        <wps:spPr bwMode="auto">
                          <a:xfrm>
                            <a:off x="4204" y="1226"/>
                            <a:ext cx="1175" cy="1366"/>
                          </a:xfrm>
                          <a:custGeom>
                            <a:avLst/>
                            <a:gdLst>
                              <a:gd name="T0" fmla="+- 0 4205 4205"/>
                              <a:gd name="T1" fmla="*/ T0 w 1175"/>
                              <a:gd name="T2" fmla="+- 0 2592 1227"/>
                              <a:gd name="T3" fmla="*/ 2592 h 1366"/>
                              <a:gd name="T4" fmla="+- 0 5379 4205"/>
                              <a:gd name="T5" fmla="*/ T4 w 1175"/>
                              <a:gd name="T6" fmla="+- 0 1227 1227"/>
                              <a:gd name="T7" fmla="*/ 1227 h 1366"/>
                              <a:gd name="T8" fmla="+- 0 5380 4205"/>
                              <a:gd name="T9" fmla="*/ T8 w 1175"/>
                              <a:gd name="T10" fmla="+- 0 1227 1227"/>
                              <a:gd name="T11" fmla="*/ 1227 h 1366"/>
                            </a:gdLst>
                            <a:ahLst/>
                            <a:cxnLst>
                              <a:cxn ang="0">
                                <a:pos x="T1" y="T3"/>
                              </a:cxn>
                              <a:cxn ang="0">
                                <a:pos x="T5" y="T7"/>
                              </a:cxn>
                              <a:cxn ang="0">
                                <a:pos x="T9" y="T11"/>
                              </a:cxn>
                            </a:cxnLst>
                            <a:rect l="0" t="0" r="r" b="b"/>
                            <a:pathLst>
                              <a:path w="1175" h="1366">
                                <a:moveTo>
                                  <a:pt x="0" y="1365"/>
                                </a:moveTo>
                                <a:lnTo>
                                  <a:pt x="1174" y="0"/>
                                </a:lnTo>
                                <a:lnTo>
                                  <a:pt x="1175"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74" name="Freeform 372"/>
                        <wps:cNvSpPr/>
                        <wps:spPr bwMode="auto">
                          <a:xfrm>
                            <a:off x="4173" y="1226"/>
                            <a:ext cx="1279" cy="1487"/>
                          </a:xfrm>
                          <a:custGeom>
                            <a:avLst/>
                            <a:gdLst>
                              <a:gd name="T0" fmla="+- 0 4174 4174"/>
                              <a:gd name="T1" fmla="*/ T0 w 1279"/>
                              <a:gd name="T2" fmla="+- 0 2713 1227"/>
                              <a:gd name="T3" fmla="*/ 2713 h 1487"/>
                              <a:gd name="T4" fmla="+- 0 5452 4174"/>
                              <a:gd name="T5" fmla="*/ T4 w 1279"/>
                              <a:gd name="T6" fmla="+- 0 1227 1227"/>
                              <a:gd name="T7" fmla="*/ 1227 h 1487"/>
                              <a:gd name="T8" fmla="+- 0 5453 4174"/>
                              <a:gd name="T9" fmla="*/ T8 w 1279"/>
                              <a:gd name="T10" fmla="+- 0 1227 1227"/>
                              <a:gd name="T11" fmla="*/ 1227 h 1487"/>
                            </a:gdLst>
                            <a:ahLst/>
                            <a:cxnLst>
                              <a:cxn ang="0">
                                <a:pos x="T1" y="T3"/>
                              </a:cxn>
                              <a:cxn ang="0">
                                <a:pos x="T5" y="T7"/>
                              </a:cxn>
                              <a:cxn ang="0">
                                <a:pos x="T9" y="T11"/>
                              </a:cxn>
                            </a:cxnLst>
                            <a:rect l="0" t="0" r="r" b="b"/>
                            <a:pathLst>
                              <a:path w="1279" h="1487">
                                <a:moveTo>
                                  <a:pt x="0" y="1486"/>
                                </a:moveTo>
                                <a:lnTo>
                                  <a:pt x="1278" y="0"/>
                                </a:lnTo>
                                <a:lnTo>
                                  <a:pt x="1279"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75" name="Freeform 371"/>
                        <wps:cNvSpPr/>
                        <wps:spPr bwMode="auto">
                          <a:xfrm>
                            <a:off x="4142" y="1226"/>
                            <a:ext cx="1383" cy="1608"/>
                          </a:xfrm>
                          <a:custGeom>
                            <a:avLst/>
                            <a:gdLst>
                              <a:gd name="T0" fmla="+- 0 4143 4143"/>
                              <a:gd name="T1" fmla="*/ T0 w 1383"/>
                              <a:gd name="T2" fmla="+- 0 2834 1227"/>
                              <a:gd name="T3" fmla="*/ 2834 h 1608"/>
                              <a:gd name="T4" fmla="+- 0 5525 4143"/>
                              <a:gd name="T5" fmla="*/ T4 w 1383"/>
                              <a:gd name="T6" fmla="+- 0 1227 1227"/>
                              <a:gd name="T7" fmla="*/ 1227 h 1608"/>
                              <a:gd name="T8" fmla="+- 0 5526 4143"/>
                              <a:gd name="T9" fmla="*/ T8 w 1383"/>
                              <a:gd name="T10" fmla="+- 0 1227 1227"/>
                              <a:gd name="T11" fmla="*/ 1227 h 1608"/>
                            </a:gdLst>
                            <a:ahLst/>
                            <a:cxnLst>
                              <a:cxn ang="0">
                                <a:pos x="T1" y="T3"/>
                              </a:cxn>
                              <a:cxn ang="0">
                                <a:pos x="T5" y="T7"/>
                              </a:cxn>
                              <a:cxn ang="0">
                                <a:pos x="T9" y="T11"/>
                              </a:cxn>
                            </a:cxnLst>
                            <a:rect l="0" t="0" r="r" b="b"/>
                            <a:pathLst>
                              <a:path w="1383" h="1608">
                                <a:moveTo>
                                  <a:pt x="0" y="1607"/>
                                </a:moveTo>
                                <a:lnTo>
                                  <a:pt x="1382" y="0"/>
                                </a:lnTo>
                                <a:lnTo>
                                  <a:pt x="1383"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76" name="Freeform 370"/>
                        <wps:cNvSpPr/>
                        <wps:spPr bwMode="auto">
                          <a:xfrm>
                            <a:off x="4112" y="1226"/>
                            <a:ext cx="1487" cy="1728"/>
                          </a:xfrm>
                          <a:custGeom>
                            <a:avLst/>
                            <a:gdLst>
                              <a:gd name="T0" fmla="+- 0 4112 4112"/>
                              <a:gd name="T1" fmla="*/ T0 w 1487"/>
                              <a:gd name="T2" fmla="+- 0 2955 1227"/>
                              <a:gd name="T3" fmla="*/ 2955 h 1728"/>
                              <a:gd name="T4" fmla="+- 0 5598 4112"/>
                              <a:gd name="T5" fmla="*/ T4 w 1487"/>
                              <a:gd name="T6" fmla="+- 0 1227 1227"/>
                              <a:gd name="T7" fmla="*/ 1227 h 1728"/>
                              <a:gd name="T8" fmla="+- 0 5599 4112"/>
                              <a:gd name="T9" fmla="*/ T8 w 1487"/>
                              <a:gd name="T10" fmla="+- 0 1227 1227"/>
                              <a:gd name="T11" fmla="*/ 1227 h 1728"/>
                            </a:gdLst>
                            <a:ahLst/>
                            <a:cxnLst>
                              <a:cxn ang="0">
                                <a:pos x="T1" y="T3"/>
                              </a:cxn>
                              <a:cxn ang="0">
                                <a:pos x="T5" y="T7"/>
                              </a:cxn>
                              <a:cxn ang="0">
                                <a:pos x="T9" y="T11"/>
                              </a:cxn>
                            </a:cxnLst>
                            <a:rect l="0" t="0" r="r" b="b"/>
                            <a:pathLst>
                              <a:path w="1487" h="1728">
                                <a:moveTo>
                                  <a:pt x="0" y="1728"/>
                                </a:moveTo>
                                <a:lnTo>
                                  <a:pt x="1486" y="0"/>
                                </a:lnTo>
                                <a:lnTo>
                                  <a:pt x="1487"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77" name="Freeform 369"/>
                        <wps:cNvSpPr/>
                        <wps:spPr bwMode="auto">
                          <a:xfrm>
                            <a:off x="4081" y="1226"/>
                            <a:ext cx="1591" cy="1849"/>
                          </a:xfrm>
                          <a:custGeom>
                            <a:avLst/>
                            <a:gdLst>
                              <a:gd name="T0" fmla="+- 0 4081 4081"/>
                              <a:gd name="T1" fmla="*/ T0 w 1591"/>
                              <a:gd name="T2" fmla="+- 0 3076 1227"/>
                              <a:gd name="T3" fmla="*/ 3076 h 1849"/>
                              <a:gd name="T4" fmla="+- 0 5671 4081"/>
                              <a:gd name="T5" fmla="*/ T4 w 1591"/>
                              <a:gd name="T6" fmla="+- 0 1227 1227"/>
                              <a:gd name="T7" fmla="*/ 1227 h 1849"/>
                              <a:gd name="T8" fmla="+- 0 5671 4081"/>
                              <a:gd name="T9" fmla="*/ T8 w 1591"/>
                              <a:gd name="T10" fmla="+- 0 1227 1227"/>
                              <a:gd name="T11" fmla="*/ 1227 h 1849"/>
                            </a:gdLst>
                            <a:ahLst/>
                            <a:cxnLst>
                              <a:cxn ang="0">
                                <a:pos x="T1" y="T3"/>
                              </a:cxn>
                              <a:cxn ang="0">
                                <a:pos x="T5" y="T7"/>
                              </a:cxn>
                              <a:cxn ang="0">
                                <a:pos x="T9" y="T11"/>
                              </a:cxn>
                            </a:cxnLst>
                            <a:rect l="0" t="0" r="r" b="b"/>
                            <a:pathLst>
                              <a:path w="1591" h="1849">
                                <a:moveTo>
                                  <a:pt x="0" y="1849"/>
                                </a:moveTo>
                                <a:lnTo>
                                  <a:pt x="1590"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78" name="Freeform 368"/>
                        <wps:cNvSpPr/>
                        <wps:spPr bwMode="auto">
                          <a:xfrm>
                            <a:off x="4050" y="1633"/>
                            <a:ext cx="1345" cy="1563"/>
                          </a:xfrm>
                          <a:custGeom>
                            <a:avLst/>
                            <a:gdLst>
                              <a:gd name="T0" fmla="+- 0 4050 4050"/>
                              <a:gd name="T1" fmla="*/ T0 w 1345"/>
                              <a:gd name="T2" fmla="+- 0 3196 1634"/>
                              <a:gd name="T3" fmla="*/ 3196 h 1563"/>
                              <a:gd name="T4" fmla="+- 0 5394 4050"/>
                              <a:gd name="T5" fmla="*/ T4 w 1345"/>
                              <a:gd name="T6" fmla="+- 0 1634 1634"/>
                              <a:gd name="T7" fmla="*/ 1634 h 1563"/>
                              <a:gd name="T8" fmla="+- 0 5395 4050"/>
                              <a:gd name="T9" fmla="*/ T8 w 1345"/>
                              <a:gd name="T10" fmla="+- 0 1634 1634"/>
                              <a:gd name="T11" fmla="*/ 1634 h 1563"/>
                            </a:gdLst>
                            <a:ahLst/>
                            <a:cxnLst>
                              <a:cxn ang="0">
                                <a:pos x="T1" y="T3"/>
                              </a:cxn>
                              <a:cxn ang="0">
                                <a:pos x="T5" y="T7"/>
                              </a:cxn>
                              <a:cxn ang="0">
                                <a:pos x="T9" y="T11"/>
                              </a:cxn>
                            </a:cxnLst>
                            <a:rect l="0" t="0" r="r" b="b"/>
                            <a:pathLst>
                              <a:path w="1345" h="1563">
                                <a:moveTo>
                                  <a:pt x="0" y="1562"/>
                                </a:moveTo>
                                <a:lnTo>
                                  <a:pt x="1344" y="0"/>
                                </a:lnTo>
                                <a:lnTo>
                                  <a:pt x="1345"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79" name="Freeform 367"/>
                        <wps:cNvSpPr/>
                        <wps:spPr bwMode="auto">
                          <a:xfrm>
                            <a:off x="5416" y="1226"/>
                            <a:ext cx="328" cy="381"/>
                          </a:xfrm>
                          <a:custGeom>
                            <a:avLst/>
                            <a:gdLst>
                              <a:gd name="T0" fmla="+- 0 5417 5417"/>
                              <a:gd name="T1" fmla="*/ T0 w 328"/>
                              <a:gd name="T2" fmla="+- 0 1607 1227"/>
                              <a:gd name="T3" fmla="*/ 1607 h 381"/>
                              <a:gd name="T4" fmla="+- 0 5744 5417"/>
                              <a:gd name="T5" fmla="*/ T4 w 328"/>
                              <a:gd name="T6" fmla="+- 0 1227 1227"/>
                              <a:gd name="T7" fmla="*/ 1227 h 381"/>
                              <a:gd name="T8" fmla="+- 0 5744 5417"/>
                              <a:gd name="T9" fmla="*/ T8 w 328"/>
                              <a:gd name="T10" fmla="+- 0 1227 1227"/>
                              <a:gd name="T11" fmla="*/ 1227 h 381"/>
                            </a:gdLst>
                            <a:ahLst/>
                            <a:cxnLst>
                              <a:cxn ang="0">
                                <a:pos x="T1" y="T3"/>
                              </a:cxn>
                              <a:cxn ang="0">
                                <a:pos x="T5" y="T7"/>
                              </a:cxn>
                              <a:cxn ang="0">
                                <a:pos x="T9" y="T11"/>
                              </a:cxn>
                            </a:cxnLst>
                            <a:rect l="0" t="0" r="r" b="b"/>
                            <a:pathLst>
                              <a:path w="328" h="381">
                                <a:moveTo>
                                  <a:pt x="0" y="380"/>
                                </a:moveTo>
                                <a:lnTo>
                                  <a:pt x="327"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80" name="Freeform 366"/>
                        <wps:cNvSpPr/>
                        <wps:spPr bwMode="auto">
                          <a:xfrm>
                            <a:off x="4019" y="1718"/>
                            <a:ext cx="1376" cy="1599"/>
                          </a:xfrm>
                          <a:custGeom>
                            <a:avLst/>
                            <a:gdLst>
                              <a:gd name="T0" fmla="+- 0 4019 4019"/>
                              <a:gd name="T1" fmla="*/ T0 w 1376"/>
                              <a:gd name="T2" fmla="+- 0 3317 1718"/>
                              <a:gd name="T3" fmla="*/ 3317 h 1599"/>
                              <a:gd name="T4" fmla="+- 0 5394 4019"/>
                              <a:gd name="T5" fmla="*/ T4 w 1376"/>
                              <a:gd name="T6" fmla="+- 0 1718 1718"/>
                              <a:gd name="T7" fmla="*/ 1718 h 1599"/>
                              <a:gd name="T8" fmla="+- 0 5395 4019"/>
                              <a:gd name="T9" fmla="*/ T8 w 1376"/>
                              <a:gd name="T10" fmla="+- 0 1718 1718"/>
                              <a:gd name="T11" fmla="*/ 1718 h 1599"/>
                            </a:gdLst>
                            <a:ahLst/>
                            <a:cxnLst>
                              <a:cxn ang="0">
                                <a:pos x="T1" y="T3"/>
                              </a:cxn>
                              <a:cxn ang="0">
                                <a:pos x="T5" y="T7"/>
                              </a:cxn>
                              <a:cxn ang="0">
                                <a:pos x="T9" y="T11"/>
                              </a:cxn>
                            </a:cxnLst>
                            <a:rect l="0" t="0" r="r" b="b"/>
                            <a:pathLst>
                              <a:path w="1376" h="1599">
                                <a:moveTo>
                                  <a:pt x="0" y="1599"/>
                                </a:moveTo>
                                <a:lnTo>
                                  <a:pt x="1375" y="0"/>
                                </a:lnTo>
                                <a:lnTo>
                                  <a:pt x="1376"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81" name="Freeform 365"/>
                        <wps:cNvSpPr/>
                        <wps:spPr bwMode="auto">
                          <a:xfrm>
                            <a:off x="5792" y="1226"/>
                            <a:ext cx="25" cy="29"/>
                          </a:xfrm>
                          <a:custGeom>
                            <a:avLst/>
                            <a:gdLst>
                              <a:gd name="T0" fmla="+- 0 5792 5792"/>
                              <a:gd name="T1" fmla="*/ T0 w 25"/>
                              <a:gd name="T2" fmla="+- 0 1256 1227"/>
                              <a:gd name="T3" fmla="*/ 1256 h 29"/>
                              <a:gd name="T4" fmla="+- 0 5817 5792"/>
                              <a:gd name="T5" fmla="*/ T4 w 25"/>
                              <a:gd name="T6" fmla="+- 0 1227 1227"/>
                              <a:gd name="T7" fmla="*/ 1227 h 29"/>
                              <a:gd name="T8" fmla="+- 0 5817 5792"/>
                              <a:gd name="T9" fmla="*/ T8 w 25"/>
                              <a:gd name="T10" fmla="+- 0 1227 1227"/>
                              <a:gd name="T11" fmla="*/ 1227 h 29"/>
                            </a:gdLst>
                            <a:ahLst/>
                            <a:cxnLst>
                              <a:cxn ang="0">
                                <a:pos x="T1" y="T3"/>
                              </a:cxn>
                              <a:cxn ang="0">
                                <a:pos x="T5" y="T7"/>
                              </a:cxn>
                              <a:cxn ang="0">
                                <a:pos x="T9" y="T11"/>
                              </a:cxn>
                            </a:cxnLst>
                            <a:rect l="0" t="0" r="r" b="b"/>
                            <a:pathLst>
                              <a:path w="25" h="29">
                                <a:moveTo>
                                  <a:pt x="0" y="29"/>
                                </a:moveTo>
                                <a:lnTo>
                                  <a:pt x="25"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82" name="Freeform 364"/>
                        <wps:cNvSpPr/>
                        <wps:spPr bwMode="auto">
                          <a:xfrm>
                            <a:off x="5489" y="1255"/>
                            <a:ext cx="303" cy="352"/>
                          </a:xfrm>
                          <a:custGeom>
                            <a:avLst/>
                            <a:gdLst>
                              <a:gd name="T0" fmla="+- 0 5490 5490"/>
                              <a:gd name="T1" fmla="*/ T0 w 303"/>
                              <a:gd name="T2" fmla="+- 0 1607 1256"/>
                              <a:gd name="T3" fmla="*/ 1607 h 352"/>
                              <a:gd name="T4" fmla="+- 0 5792 5490"/>
                              <a:gd name="T5" fmla="*/ T4 w 303"/>
                              <a:gd name="T6" fmla="+- 0 1256 1256"/>
                              <a:gd name="T7" fmla="*/ 1256 h 352"/>
                              <a:gd name="T8" fmla="+- 0 5793 5490"/>
                              <a:gd name="T9" fmla="*/ T8 w 303"/>
                              <a:gd name="T10" fmla="+- 0 1256 1256"/>
                              <a:gd name="T11" fmla="*/ 1256 h 352"/>
                            </a:gdLst>
                            <a:ahLst/>
                            <a:cxnLst>
                              <a:cxn ang="0">
                                <a:pos x="T1" y="T3"/>
                              </a:cxn>
                              <a:cxn ang="0">
                                <a:pos x="T5" y="T7"/>
                              </a:cxn>
                              <a:cxn ang="0">
                                <a:pos x="T9" y="T11"/>
                              </a:cxn>
                            </a:cxnLst>
                            <a:rect l="0" t="0" r="r" b="b"/>
                            <a:pathLst>
                              <a:path w="303" h="352">
                                <a:moveTo>
                                  <a:pt x="0" y="351"/>
                                </a:moveTo>
                                <a:lnTo>
                                  <a:pt x="302" y="0"/>
                                </a:lnTo>
                                <a:lnTo>
                                  <a:pt x="303"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83" name="Freeform 363"/>
                        <wps:cNvSpPr/>
                        <wps:spPr bwMode="auto">
                          <a:xfrm>
                            <a:off x="3988" y="1803"/>
                            <a:ext cx="1407" cy="1635"/>
                          </a:xfrm>
                          <a:custGeom>
                            <a:avLst/>
                            <a:gdLst>
                              <a:gd name="T0" fmla="+- 0 3988 3988"/>
                              <a:gd name="T1" fmla="*/ T0 w 1407"/>
                              <a:gd name="T2" fmla="+- 0 3438 1803"/>
                              <a:gd name="T3" fmla="*/ 3438 h 1635"/>
                              <a:gd name="T4" fmla="+- 0 5394 3988"/>
                              <a:gd name="T5" fmla="*/ T4 w 1407"/>
                              <a:gd name="T6" fmla="+- 0 1803 1803"/>
                              <a:gd name="T7" fmla="*/ 1803 h 1635"/>
                              <a:gd name="T8" fmla="+- 0 5395 3988"/>
                              <a:gd name="T9" fmla="*/ T8 w 1407"/>
                              <a:gd name="T10" fmla="+- 0 1803 1803"/>
                              <a:gd name="T11" fmla="*/ 1803 h 1635"/>
                            </a:gdLst>
                            <a:ahLst/>
                            <a:cxnLst>
                              <a:cxn ang="0">
                                <a:pos x="T1" y="T3"/>
                              </a:cxn>
                              <a:cxn ang="0">
                                <a:pos x="T5" y="T7"/>
                              </a:cxn>
                              <a:cxn ang="0">
                                <a:pos x="T9" y="T11"/>
                              </a:cxn>
                            </a:cxnLst>
                            <a:rect l="0" t="0" r="r" b="b"/>
                            <a:pathLst>
                              <a:path w="1407" h="1635">
                                <a:moveTo>
                                  <a:pt x="0" y="1635"/>
                                </a:moveTo>
                                <a:lnTo>
                                  <a:pt x="1406" y="0"/>
                                </a:lnTo>
                                <a:lnTo>
                                  <a:pt x="1407"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84" name="Freeform 362"/>
                        <wps:cNvSpPr/>
                        <wps:spPr bwMode="auto">
                          <a:xfrm>
                            <a:off x="5792" y="1226"/>
                            <a:ext cx="98" cy="114"/>
                          </a:xfrm>
                          <a:custGeom>
                            <a:avLst/>
                            <a:gdLst>
                              <a:gd name="T0" fmla="+- 0 5792 5792"/>
                              <a:gd name="T1" fmla="*/ T0 w 98"/>
                              <a:gd name="T2" fmla="+- 0 1341 1227"/>
                              <a:gd name="T3" fmla="*/ 1341 h 114"/>
                              <a:gd name="T4" fmla="+- 0 5890 5792"/>
                              <a:gd name="T5" fmla="*/ T4 w 98"/>
                              <a:gd name="T6" fmla="+- 0 1227 1227"/>
                              <a:gd name="T7" fmla="*/ 1227 h 114"/>
                              <a:gd name="T8" fmla="+- 0 5890 5792"/>
                              <a:gd name="T9" fmla="*/ T8 w 98"/>
                              <a:gd name="T10" fmla="+- 0 1227 1227"/>
                              <a:gd name="T11" fmla="*/ 1227 h 114"/>
                            </a:gdLst>
                            <a:ahLst/>
                            <a:cxnLst>
                              <a:cxn ang="0">
                                <a:pos x="T1" y="T3"/>
                              </a:cxn>
                              <a:cxn ang="0">
                                <a:pos x="T5" y="T7"/>
                              </a:cxn>
                              <a:cxn ang="0">
                                <a:pos x="T9" y="T11"/>
                              </a:cxn>
                            </a:cxnLst>
                            <a:rect l="0" t="0" r="r" b="b"/>
                            <a:pathLst>
                              <a:path w="98" h="114">
                                <a:moveTo>
                                  <a:pt x="0" y="114"/>
                                </a:moveTo>
                                <a:lnTo>
                                  <a:pt x="98"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85" name="Freeform 361"/>
                        <wps:cNvSpPr/>
                        <wps:spPr bwMode="auto">
                          <a:xfrm>
                            <a:off x="5562" y="1340"/>
                            <a:ext cx="230" cy="267"/>
                          </a:xfrm>
                          <a:custGeom>
                            <a:avLst/>
                            <a:gdLst>
                              <a:gd name="T0" fmla="+- 0 5563 5563"/>
                              <a:gd name="T1" fmla="*/ T0 w 230"/>
                              <a:gd name="T2" fmla="+- 0 1607 1341"/>
                              <a:gd name="T3" fmla="*/ 1607 h 267"/>
                              <a:gd name="T4" fmla="+- 0 5792 5563"/>
                              <a:gd name="T5" fmla="*/ T4 w 230"/>
                              <a:gd name="T6" fmla="+- 0 1341 1341"/>
                              <a:gd name="T7" fmla="*/ 1341 h 267"/>
                              <a:gd name="T8" fmla="+- 0 5793 5563"/>
                              <a:gd name="T9" fmla="*/ T8 w 230"/>
                              <a:gd name="T10" fmla="+- 0 1341 1341"/>
                              <a:gd name="T11" fmla="*/ 1341 h 267"/>
                            </a:gdLst>
                            <a:ahLst/>
                            <a:cxnLst>
                              <a:cxn ang="0">
                                <a:pos x="T1" y="T3"/>
                              </a:cxn>
                              <a:cxn ang="0">
                                <a:pos x="T5" y="T7"/>
                              </a:cxn>
                              <a:cxn ang="0">
                                <a:pos x="T9" y="T11"/>
                              </a:cxn>
                            </a:cxnLst>
                            <a:rect l="0" t="0" r="r" b="b"/>
                            <a:pathLst>
                              <a:path w="230" h="267">
                                <a:moveTo>
                                  <a:pt x="0" y="266"/>
                                </a:moveTo>
                                <a:lnTo>
                                  <a:pt x="229" y="0"/>
                                </a:lnTo>
                                <a:lnTo>
                                  <a:pt x="230"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86" name="Freeform 360"/>
                        <wps:cNvSpPr/>
                        <wps:spPr bwMode="auto">
                          <a:xfrm>
                            <a:off x="3957" y="1888"/>
                            <a:ext cx="1438" cy="1671"/>
                          </a:xfrm>
                          <a:custGeom>
                            <a:avLst/>
                            <a:gdLst>
                              <a:gd name="T0" fmla="+- 0 3958 3958"/>
                              <a:gd name="T1" fmla="*/ T0 w 1438"/>
                              <a:gd name="T2" fmla="+- 0 3558 1888"/>
                              <a:gd name="T3" fmla="*/ 3558 h 1671"/>
                              <a:gd name="T4" fmla="+- 0 5394 3958"/>
                              <a:gd name="T5" fmla="*/ T4 w 1438"/>
                              <a:gd name="T6" fmla="+- 0 1888 1888"/>
                              <a:gd name="T7" fmla="*/ 1888 h 1671"/>
                              <a:gd name="T8" fmla="+- 0 5395 3958"/>
                              <a:gd name="T9" fmla="*/ T8 w 1438"/>
                              <a:gd name="T10" fmla="+- 0 1888 1888"/>
                              <a:gd name="T11" fmla="*/ 1888 h 1671"/>
                            </a:gdLst>
                            <a:ahLst/>
                            <a:cxnLst>
                              <a:cxn ang="0">
                                <a:pos x="T1" y="T3"/>
                              </a:cxn>
                              <a:cxn ang="0">
                                <a:pos x="T5" y="T7"/>
                              </a:cxn>
                              <a:cxn ang="0">
                                <a:pos x="T9" y="T11"/>
                              </a:cxn>
                            </a:cxnLst>
                            <a:rect l="0" t="0" r="r" b="b"/>
                            <a:pathLst>
                              <a:path w="1438" h="1671">
                                <a:moveTo>
                                  <a:pt x="0" y="1670"/>
                                </a:moveTo>
                                <a:lnTo>
                                  <a:pt x="1436" y="0"/>
                                </a:lnTo>
                                <a:lnTo>
                                  <a:pt x="1437"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87" name="Freeform 359"/>
                        <wps:cNvSpPr/>
                        <wps:spPr bwMode="auto">
                          <a:xfrm>
                            <a:off x="5792" y="1226"/>
                            <a:ext cx="171" cy="199"/>
                          </a:xfrm>
                          <a:custGeom>
                            <a:avLst/>
                            <a:gdLst>
                              <a:gd name="T0" fmla="+- 0 5792 5792"/>
                              <a:gd name="T1" fmla="*/ T0 w 171"/>
                              <a:gd name="T2" fmla="+- 0 1425 1227"/>
                              <a:gd name="T3" fmla="*/ 1425 h 199"/>
                              <a:gd name="T4" fmla="+- 0 5963 5792"/>
                              <a:gd name="T5" fmla="*/ T4 w 171"/>
                              <a:gd name="T6" fmla="+- 0 1227 1227"/>
                              <a:gd name="T7" fmla="*/ 1227 h 199"/>
                              <a:gd name="T8" fmla="+- 0 5963 5792"/>
                              <a:gd name="T9" fmla="*/ T8 w 171"/>
                              <a:gd name="T10" fmla="+- 0 1227 1227"/>
                              <a:gd name="T11" fmla="*/ 1227 h 199"/>
                            </a:gdLst>
                            <a:ahLst/>
                            <a:cxnLst>
                              <a:cxn ang="0">
                                <a:pos x="T1" y="T3"/>
                              </a:cxn>
                              <a:cxn ang="0">
                                <a:pos x="T5" y="T7"/>
                              </a:cxn>
                              <a:cxn ang="0">
                                <a:pos x="T9" y="T11"/>
                              </a:cxn>
                            </a:cxnLst>
                            <a:rect l="0" t="0" r="r" b="b"/>
                            <a:pathLst>
                              <a:path w="171" h="199">
                                <a:moveTo>
                                  <a:pt x="0" y="198"/>
                                </a:moveTo>
                                <a:lnTo>
                                  <a:pt x="171"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88" name="Freeform 358"/>
                        <wps:cNvSpPr/>
                        <wps:spPr bwMode="auto">
                          <a:xfrm>
                            <a:off x="5635" y="1425"/>
                            <a:ext cx="157" cy="182"/>
                          </a:xfrm>
                          <a:custGeom>
                            <a:avLst/>
                            <a:gdLst>
                              <a:gd name="T0" fmla="+- 0 5636 5636"/>
                              <a:gd name="T1" fmla="*/ T0 w 157"/>
                              <a:gd name="T2" fmla="+- 0 1607 1425"/>
                              <a:gd name="T3" fmla="*/ 1607 h 182"/>
                              <a:gd name="T4" fmla="+- 0 5792 5636"/>
                              <a:gd name="T5" fmla="*/ T4 w 157"/>
                              <a:gd name="T6" fmla="+- 0 1425 1425"/>
                              <a:gd name="T7" fmla="*/ 1425 h 182"/>
                              <a:gd name="T8" fmla="+- 0 5793 5636"/>
                              <a:gd name="T9" fmla="*/ T8 w 157"/>
                              <a:gd name="T10" fmla="+- 0 1425 1425"/>
                              <a:gd name="T11" fmla="*/ 1425 h 182"/>
                            </a:gdLst>
                            <a:ahLst/>
                            <a:cxnLst>
                              <a:cxn ang="0">
                                <a:pos x="T1" y="T3"/>
                              </a:cxn>
                              <a:cxn ang="0">
                                <a:pos x="T5" y="T7"/>
                              </a:cxn>
                              <a:cxn ang="0">
                                <a:pos x="T9" y="T11"/>
                              </a:cxn>
                            </a:cxnLst>
                            <a:rect l="0" t="0" r="r" b="b"/>
                            <a:pathLst>
                              <a:path w="157" h="182">
                                <a:moveTo>
                                  <a:pt x="0" y="182"/>
                                </a:moveTo>
                                <a:lnTo>
                                  <a:pt x="156" y="0"/>
                                </a:lnTo>
                                <a:lnTo>
                                  <a:pt x="157"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89" name="Freeform 357"/>
                        <wps:cNvSpPr/>
                        <wps:spPr bwMode="auto">
                          <a:xfrm>
                            <a:off x="3991" y="1972"/>
                            <a:ext cx="1404" cy="1632"/>
                          </a:xfrm>
                          <a:custGeom>
                            <a:avLst/>
                            <a:gdLst>
                              <a:gd name="T0" fmla="+- 0 3991 3991"/>
                              <a:gd name="T1" fmla="*/ T0 w 1404"/>
                              <a:gd name="T2" fmla="+- 0 3604 1973"/>
                              <a:gd name="T3" fmla="*/ 3604 h 1632"/>
                              <a:gd name="T4" fmla="+- 0 5394 3991"/>
                              <a:gd name="T5" fmla="*/ T4 w 1404"/>
                              <a:gd name="T6" fmla="+- 0 1973 1973"/>
                              <a:gd name="T7" fmla="*/ 1973 h 1632"/>
                              <a:gd name="T8" fmla="+- 0 5395 3991"/>
                              <a:gd name="T9" fmla="*/ T8 w 1404"/>
                              <a:gd name="T10" fmla="+- 0 1973 1973"/>
                              <a:gd name="T11" fmla="*/ 1973 h 1632"/>
                            </a:gdLst>
                            <a:ahLst/>
                            <a:cxnLst>
                              <a:cxn ang="0">
                                <a:pos x="T1" y="T3"/>
                              </a:cxn>
                              <a:cxn ang="0">
                                <a:pos x="T5" y="T7"/>
                              </a:cxn>
                              <a:cxn ang="0">
                                <a:pos x="T9" y="T11"/>
                              </a:cxn>
                            </a:cxnLst>
                            <a:rect l="0" t="0" r="r" b="b"/>
                            <a:pathLst>
                              <a:path w="1404" h="1632">
                                <a:moveTo>
                                  <a:pt x="0" y="1631"/>
                                </a:moveTo>
                                <a:lnTo>
                                  <a:pt x="1403" y="0"/>
                                </a:lnTo>
                                <a:lnTo>
                                  <a:pt x="1404"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90" name="Freeform 356"/>
                        <wps:cNvSpPr/>
                        <wps:spPr bwMode="auto">
                          <a:xfrm>
                            <a:off x="5792" y="1226"/>
                            <a:ext cx="244" cy="284"/>
                          </a:xfrm>
                          <a:custGeom>
                            <a:avLst/>
                            <a:gdLst>
                              <a:gd name="T0" fmla="+- 0 5792 5792"/>
                              <a:gd name="T1" fmla="*/ T0 w 244"/>
                              <a:gd name="T2" fmla="+- 0 1510 1227"/>
                              <a:gd name="T3" fmla="*/ 1510 h 284"/>
                              <a:gd name="T4" fmla="+- 0 6036 5792"/>
                              <a:gd name="T5" fmla="*/ T4 w 244"/>
                              <a:gd name="T6" fmla="+- 0 1227 1227"/>
                              <a:gd name="T7" fmla="*/ 1227 h 284"/>
                              <a:gd name="T8" fmla="+- 0 6036 5792"/>
                              <a:gd name="T9" fmla="*/ T8 w 244"/>
                              <a:gd name="T10" fmla="+- 0 1227 1227"/>
                              <a:gd name="T11" fmla="*/ 1227 h 284"/>
                            </a:gdLst>
                            <a:ahLst/>
                            <a:cxnLst>
                              <a:cxn ang="0">
                                <a:pos x="T1" y="T3"/>
                              </a:cxn>
                              <a:cxn ang="0">
                                <a:pos x="T5" y="T7"/>
                              </a:cxn>
                              <a:cxn ang="0">
                                <a:pos x="T9" y="T11"/>
                              </a:cxn>
                            </a:cxnLst>
                            <a:rect l="0" t="0" r="r" b="b"/>
                            <a:pathLst>
                              <a:path w="244" h="284">
                                <a:moveTo>
                                  <a:pt x="0" y="283"/>
                                </a:moveTo>
                                <a:lnTo>
                                  <a:pt x="244"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91" name="Freeform 355"/>
                        <wps:cNvSpPr/>
                        <wps:spPr bwMode="auto">
                          <a:xfrm>
                            <a:off x="5708" y="1510"/>
                            <a:ext cx="84" cy="98"/>
                          </a:xfrm>
                          <a:custGeom>
                            <a:avLst/>
                            <a:gdLst>
                              <a:gd name="T0" fmla="+- 0 5709 5709"/>
                              <a:gd name="T1" fmla="*/ T0 w 84"/>
                              <a:gd name="T2" fmla="+- 0 1607 1510"/>
                              <a:gd name="T3" fmla="*/ 1607 h 98"/>
                              <a:gd name="T4" fmla="+- 0 5792 5709"/>
                              <a:gd name="T5" fmla="*/ T4 w 84"/>
                              <a:gd name="T6" fmla="+- 0 1510 1510"/>
                              <a:gd name="T7" fmla="*/ 1510 h 98"/>
                              <a:gd name="T8" fmla="+- 0 5793 5709"/>
                              <a:gd name="T9" fmla="*/ T8 w 84"/>
                              <a:gd name="T10" fmla="+- 0 1510 1510"/>
                              <a:gd name="T11" fmla="*/ 1510 h 98"/>
                            </a:gdLst>
                            <a:ahLst/>
                            <a:cxnLst>
                              <a:cxn ang="0">
                                <a:pos x="T1" y="T3"/>
                              </a:cxn>
                              <a:cxn ang="0">
                                <a:pos x="T5" y="T7"/>
                              </a:cxn>
                              <a:cxn ang="0">
                                <a:pos x="T9" y="T11"/>
                              </a:cxn>
                            </a:cxnLst>
                            <a:rect l="0" t="0" r="r" b="b"/>
                            <a:pathLst>
                              <a:path w="84" h="98">
                                <a:moveTo>
                                  <a:pt x="0" y="97"/>
                                </a:moveTo>
                                <a:lnTo>
                                  <a:pt x="83" y="0"/>
                                </a:lnTo>
                                <a:lnTo>
                                  <a:pt x="84"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92" name="Freeform 354"/>
                        <wps:cNvSpPr/>
                        <wps:spPr bwMode="auto">
                          <a:xfrm>
                            <a:off x="4064" y="2057"/>
                            <a:ext cx="1331" cy="1547"/>
                          </a:xfrm>
                          <a:custGeom>
                            <a:avLst/>
                            <a:gdLst>
                              <a:gd name="T0" fmla="+- 0 4064 4064"/>
                              <a:gd name="T1" fmla="*/ T0 w 1331"/>
                              <a:gd name="T2" fmla="+- 0 3604 2058"/>
                              <a:gd name="T3" fmla="*/ 3604 h 1547"/>
                              <a:gd name="T4" fmla="+- 0 5394 4064"/>
                              <a:gd name="T5" fmla="*/ T4 w 1331"/>
                              <a:gd name="T6" fmla="+- 0 2058 2058"/>
                              <a:gd name="T7" fmla="*/ 2058 h 1547"/>
                              <a:gd name="T8" fmla="+- 0 5395 4064"/>
                              <a:gd name="T9" fmla="*/ T8 w 1331"/>
                              <a:gd name="T10" fmla="+- 0 2058 2058"/>
                              <a:gd name="T11" fmla="*/ 2058 h 1547"/>
                            </a:gdLst>
                            <a:ahLst/>
                            <a:cxnLst>
                              <a:cxn ang="0">
                                <a:pos x="T1" y="T3"/>
                              </a:cxn>
                              <a:cxn ang="0">
                                <a:pos x="T5" y="T7"/>
                              </a:cxn>
                              <a:cxn ang="0">
                                <a:pos x="T9" y="T11"/>
                              </a:cxn>
                            </a:cxnLst>
                            <a:rect l="0" t="0" r="r" b="b"/>
                            <a:pathLst>
                              <a:path w="1331" h="1547">
                                <a:moveTo>
                                  <a:pt x="0" y="1546"/>
                                </a:moveTo>
                                <a:lnTo>
                                  <a:pt x="1330" y="0"/>
                                </a:lnTo>
                                <a:lnTo>
                                  <a:pt x="1331"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93" name="Freeform 353"/>
                        <wps:cNvSpPr/>
                        <wps:spPr bwMode="auto">
                          <a:xfrm>
                            <a:off x="5792" y="1226"/>
                            <a:ext cx="317" cy="369"/>
                          </a:xfrm>
                          <a:custGeom>
                            <a:avLst/>
                            <a:gdLst>
                              <a:gd name="T0" fmla="+- 0 5792 5792"/>
                              <a:gd name="T1" fmla="*/ T0 w 317"/>
                              <a:gd name="T2" fmla="+- 0 1595 1227"/>
                              <a:gd name="T3" fmla="*/ 1595 h 369"/>
                              <a:gd name="T4" fmla="+- 0 6109 5792"/>
                              <a:gd name="T5" fmla="*/ T4 w 317"/>
                              <a:gd name="T6" fmla="+- 0 1227 1227"/>
                              <a:gd name="T7" fmla="*/ 1227 h 369"/>
                              <a:gd name="T8" fmla="+- 0 6109 5792"/>
                              <a:gd name="T9" fmla="*/ T8 w 317"/>
                              <a:gd name="T10" fmla="+- 0 1227 1227"/>
                              <a:gd name="T11" fmla="*/ 1227 h 369"/>
                            </a:gdLst>
                            <a:ahLst/>
                            <a:cxnLst>
                              <a:cxn ang="0">
                                <a:pos x="T1" y="T3"/>
                              </a:cxn>
                              <a:cxn ang="0">
                                <a:pos x="T5" y="T7"/>
                              </a:cxn>
                              <a:cxn ang="0">
                                <a:pos x="T9" y="T11"/>
                              </a:cxn>
                            </a:cxnLst>
                            <a:rect l="0" t="0" r="r" b="b"/>
                            <a:pathLst>
                              <a:path w="317" h="369">
                                <a:moveTo>
                                  <a:pt x="0" y="368"/>
                                </a:moveTo>
                                <a:lnTo>
                                  <a:pt x="317"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94" name="Freeform 352"/>
                        <wps:cNvSpPr/>
                        <wps:spPr bwMode="auto">
                          <a:xfrm>
                            <a:off x="5781" y="1594"/>
                            <a:ext cx="11" cy="13"/>
                          </a:xfrm>
                          <a:custGeom>
                            <a:avLst/>
                            <a:gdLst>
                              <a:gd name="T0" fmla="+- 0 5782 5782"/>
                              <a:gd name="T1" fmla="*/ T0 w 11"/>
                              <a:gd name="T2" fmla="+- 0 1607 1595"/>
                              <a:gd name="T3" fmla="*/ 1607 h 13"/>
                              <a:gd name="T4" fmla="+- 0 5792 5782"/>
                              <a:gd name="T5" fmla="*/ T4 w 11"/>
                              <a:gd name="T6" fmla="+- 0 1595 1595"/>
                              <a:gd name="T7" fmla="*/ 1595 h 13"/>
                              <a:gd name="T8" fmla="+- 0 5793 5782"/>
                              <a:gd name="T9" fmla="*/ T8 w 11"/>
                              <a:gd name="T10" fmla="+- 0 1595 1595"/>
                              <a:gd name="T11" fmla="*/ 1595 h 13"/>
                            </a:gdLst>
                            <a:ahLst/>
                            <a:cxnLst>
                              <a:cxn ang="0">
                                <a:pos x="T1" y="T3"/>
                              </a:cxn>
                              <a:cxn ang="0">
                                <a:pos x="T5" y="T7"/>
                              </a:cxn>
                              <a:cxn ang="0">
                                <a:pos x="T9" y="T11"/>
                              </a:cxn>
                            </a:cxnLst>
                            <a:rect l="0" t="0" r="r" b="b"/>
                            <a:pathLst>
                              <a:path w="11" h="13">
                                <a:moveTo>
                                  <a:pt x="0" y="12"/>
                                </a:moveTo>
                                <a:lnTo>
                                  <a:pt x="10" y="0"/>
                                </a:lnTo>
                                <a:lnTo>
                                  <a:pt x="11"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95" name="Freeform 351"/>
                        <wps:cNvSpPr/>
                        <wps:spPr bwMode="auto">
                          <a:xfrm>
                            <a:off x="4137" y="2142"/>
                            <a:ext cx="1258" cy="1462"/>
                          </a:xfrm>
                          <a:custGeom>
                            <a:avLst/>
                            <a:gdLst>
                              <a:gd name="T0" fmla="+- 0 4137 4137"/>
                              <a:gd name="T1" fmla="*/ T0 w 1258"/>
                              <a:gd name="T2" fmla="+- 0 3604 2142"/>
                              <a:gd name="T3" fmla="*/ 3604 h 1462"/>
                              <a:gd name="T4" fmla="+- 0 5394 4137"/>
                              <a:gd name="T5" fmla="*/ T4 w 1258"/>
                              <a:gd name="T6" fmla="+- 0 2142 2142"/>
                              <a:gd name="T7" fmla="*/ 2142 h 1462"/>
                              <a:gd name="T8" fmla="+- 0 5395 4137"/>
                              <a:gd name="T9" fmla="*/ T8 w 1258"/>
                              <a:gd name="T10" fmla="+- 0 2142 2142"/>
                              <a:gd name="T11" fmla="*/ 2142 h 1462"/>
                            </a:gdLst>
                            <a:ahLst/>
                            <a:cxnLst>
                              <a:cxn ang="0">
                                <a:pos x="T1" y="T3"/>
                              </a:cxn>
                              <a:cxn ang="0">
                                <a:pos x="T5" y="T7"/>
                              </a:cxn>
                              <a:cxn ang="0">
                                <a:pos x="T9" y="T11"/>
                              </a:cxn>
                            </a:cxnLst>
                            <a:rect l="0" t="0" r="r" b="b"/>
                            <a:pathLst>
                              <a:path w="1258" h="1462">
                                <a:moveTo>
                                  <a:pt x="0" y="1462"/>
                                </a:moveTo>
                                <a:lnTo>
                                  <a:pt x="1257" y="0"/>
                                </a:lnTo>
                                <a:lnTo>
                                  <a:pt x="1258"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96" name="Freeform 350"/>
                        <wps:cNvSpPr/>
                        <wps:spPr bwMode="auto">
                          <a:xfrm>
                            <a:off x="5854" y="1226"/>
                            <a:ext cx="328" cy="381"/>
                          </a:xfrm>
                          <a:custGeom>
                            <a:avLst/>
                            <a:gdLst>
                              <a:gd name="T0" fmla="+- 0 5855 5855"/>
                              <a:gd name="T1" fmla="*/ T0 w 328"/>
                              <a:gd name="T2" fmla="+- 0 1607 1227"/>
                              <a:gd name="T3" fmla="*/ 1607 h 381"/>
                              <a:gd name="T4" fmla="+- 0 6182 5855"/>
                              <a:gd name="T5" fmla="*/ T4 w 328"/>
                              <a:gd name="T6" fmla="+- 0 1227 1227"/>
                              <a:gd name="T7" fmla="*/ 1227 h 381"/>
                              <a:gd name="T8" fmla="+- 0 6182 5855"/>
                              <a:gd name="T9" fmla="*/ T8 w 328"/>
                              <a:gd name="T10" fmla="+- 0 1227 1227"/>
                              <a:gd name="T11" fmla="*/ 1227 h 381"/>
                            </a:gdLst>
                            <a:ahLst/>
                            <a:cxnLst>
                              <a:cxn ang="0">
                                <a:pos x="T1" y="T3"/>
                              </a:cxn>
                              <a:cxn ang="0">
                                <a:pos x="T5" y="T7"/>
                              </a:cxn>
                              <a:cxn ang="0">
                                <a:pos x="T9" y="T11"/>
                              </a:cxn>
                            </a:cxnLst>
                            <a:rect l="0" t="0" r="r" b="b"/>
                            <a:pathLst>
                              <a:path w="328" h="381">
                                <a:moveTo>
                                  <a:pt x="0" y="380"/>
                                </a:moveTo>
                                <a:lnTo>
                                  <a:pt x="327"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97" name="Freeform 349"/>
                        <wps:cNvSpPr/>
                        <wps:spPr bwMode="auto">
                          <a:xfrm>
                            <a:off x="4210" y="2227"/>
                            <a:ext cx="1185" cy="1377"/>
                          </a:xfrm>
                          <a:custGeom>
                            <a:avLst/>
                            <a:gdLst>
                              <a:gd name="T0" fmla="+- 0 4210 4210"/>
                              <a:gd name="T1" fmla="*/ T0 w 1185"/>
                              <a:gd name="T2" fmla="+- 0 3604 2227"/>
                              <a:gd name="T3" fmla="*/ 3604 h 1377"/>
                              <a:gd name="T4" fmla="+- 0 5394 4210"/>
                              <a:gd name="T5" fmla="*/ T4 w 1185"/>
                              <a:gd name="T6" fmla="+- 0 2227 2227"/>
                              <a:gd name="T7" fmla="*/ 2227 h 1377"/>
                              <a:gd name="T8" fmla="+- 0 5395 4210"/>
                              <a:gd name="T9" fmla="*/ T8 w 1185"/>
                              <a:gd name="T10" fmla="+- 0 2227 2227"/>
                              <a:gd name="T11" fmla="*/ 2227 h 1377"/>
                            </a:gdLst>
                            <a:ahLst/>
                            <a:cxnLst>
                              <a:cxn ang="0">
                                <a:pos x="T1" y="T3"/>
                              </a:cxn>
                              <a:cxn ang="0">
                                <a:pos x="T5" y="T7"/>
                              </a:cxn>
                              <a:cxn ang="0">
                                <a:pos x="T9" y="T11"/>
                              </a:cxn>
                            </a:cxnLst>
                            <a:rect l="0" t="0" r="r" b="b"/>
                            <a:pathLst>
                              <a:path w="1185" h="1377">
                                <a:moveTo>
                                  <a:pt x="0" y="1377"/>
                                </a:moveTo>
                                <a:lnTo>
                                  <a:pt x="1184" y="0"/>
                                </a:lnTo>
                                <a:lnTo>
                                  <a:pt x="1185"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98" name="Freeform 348"/>
                        <wps:cNvSpPr/>
                        <wps:spPr bwMode="auto">
                          <a:xfrm>
                            <a:off x="5927" y="1226"/>
                            <a:ext cx="328" cy="381"/>
                          </a:xfrm>
                          <a:custGeom>
                            <a:avLst/>
                            <a:gdLst>
                              <a:gd name="T0" fmla="+- 0 5928 5928"/>
                              <a:gd name="T1" fmla="*/ T0 w 328"/>
                              <a:gd name="T2" fmla="+- 0 1607 1227"/>
                              <a:gd name="T3" fmla="*/ 1607 h 381"/>
                              <a:gd name="T4" fmla="+- 0 6255 5928"/>
                              <a:gd name="T5" fmla="*/ T4 w 328"/>
                              <a:gd name="T6" fmla="+- 0 1227 1227"/>
                              <a:gd name="T7" fmla="*/ 1227 h 381"/>
                              <a:gd name="T8" fmla="+- 0 6255 5928"/>
                              <a:gd name="T9" fmla="*/ T8 w 328"/>
                              <a:gd name="T10" fmla="+- 0 1227 1227"/>
                              <a:gd name="T11" fmla="*/ 1227 h 381"/>
                            </a:gdLst>
                            <a:ahLst/>
                            <a:cxnLst>
                              <a:cxn ang="0">
                                <a:pos x="T1" y="T3"/>
                              </a:cxn>
                              <a:cxn ang="0">
                                <a:pos x="T5" y="T7"/>
                              </a:cxn>
                              <a:cxn ang="0">
                                <a:pos x="T9" y="T11"/>
                              </a:cxn>
                            </a:cxnLst>
                            <a:rect l="0" t="0" r="r" b="b"/>
                            <a:pathLst>
                              <a:path w="328" h="381">
                                <a:moveTo>
                                  <a:pt x="0" y="380"/>
                                </a:moveTo>
                                <a:lnTo>
                                  <a:pt x="327"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99" name="Freeform 347"/>
                        <wps:cNvSpPr/>
                        <wps:spPr bwMode="auto">
                          <a:xfrm>
                            <a:off x="4283" y="2312"/>
                            <a:ext cx="1112" cy="1293"/>
                          </a:xfrm>
                          <a:custGeom>
                            <a:avLst/>
                            <a:gdLst>
                              <a:gd name="T0" fmla="+- 0 4283 4283"/>
                              <a:gd name="T1" fmla="*/ T0 w 1112"/>
                              <a:gd name="T2" fmla="+- 0 3604 2312"/>
                              <a:gd name="T3" fmla="*/ 3604 h 1293"/>
                              <a:gd name="T4" fmla="+- 0 5394 4283"/>
                              <a:gd name="T5" fmla="*/ T4 w 1112"/>
                              <a:gd name="T6" fmla="+- 0 2312 2312"/>
                              <a:gd name="T7" fmla="*/ 2312 h 1293"/>
                              <a:gd name="T8" fmla="+- 0 5395 4283"/>
                              <a:gd name="T9" fmla="*/ T8 w 1112"/>
                              <a:gd name="T10" fmla="+- 0 2312 2312"/>
                              <a:gd name="T11" fmla="*/ 2312 h 1293"/>
                            </a:gdLst>
                            <a:ahLst/>
                            <a:cxnLst>
                              <a:cxn ang="0">
                                <a:pos x="T1" y="T3"/>
                              </a:cxn>
                              <a:cxn ang="0">
                                <a:pos x="T5" y="T7"/>
                              </a:cxn>
                              <a:cxn ang="0">
                                <a:pos x="T9" y="T11"/>
                              </a:cxn>
                            </a:cxnLst>
                            <a:rect l="0" t="0" r="r" b="b"/>
                            <a:pathLst>
                              <a:path w="1112" h="1293">
                                <a:moveTo>
                                  <a:pt x="0" y="1292"/>
                                </a:moveTo>
                                <a:lnTo>
                                  <a:pt x="1111" y="0"/>
                                </a:lnTo>
                                <a:lnTo>
                                  <a:pt x="1112"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00" name="Freeform 346"/>
                        <wps:cNvSpPr/>
                        <wps:spPr bwMode="auto">
                          <a:xfrm>
                            <a:off x="6000" y="1226"/>
                            <a:ext cx="328" cy="381"/>
                          </a:xfrm>
                          <a:custGeom>
                            <a:avLst/>
                            <a:gdLst>
                              <a:gd name="T0" fmla="+- 0 6001 6001"/>
                              <a:gd name="T1" fmla="*/ T0 w 328"/>
                              <a:gd name="T2" fmla="+- 0 1607 1227"/>
                              <a:gd name="T3" fmla="*/ 1607 h 381"/>
                              <a:gd name="T4" fmla="+- 0 6328 6001"/>
                              <a:gd name="T5" fmla="*/ T4 w 328"/>
                              <a:gd name="T6" fmla="+- 0 1227 1227"/>
                              <a:gd name="T7" fmla="*/ 1227 h 381"/>
                              <a:gd name="T8" fmla="+- 0 6328 6001"/>
                              <a:gd name="T9" fmla="*/ T8 w 328"/>
                              <a:gd name="T10" fmla="+- 0 1227 1227"/>
                              <a:gd name="T11" fmla="*/ 1227 h 381"/>
                            </a:gdLst>
                            <a:ahLst/>
                            <a:cxnLst>
                              <a:cxn ang="0">
                                <a:pos x="T1" y="T3"/>
                              </a:cxn>
                              <a:cxn ang="0">
                                <a:pos x="T5" y="T7"/>
                              </a:cxn>
                              <a:cxn ang="0">
                                <a:pos x="T9" y="T11"/>
                              </a:cxn>
                            </a:cxnLst>
                            <a:rect l="0" t="0" r="r" b="b"/>
                            <a:pathLst>
                              <a:path w="328" h="381">
                                <a:moveTo>
                                  <a:pt x="0" y="380"/>
                                </a:moveTo>
                                <a:lnTo>
                                  <a:pt x="327"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01" name="Freeform 345"/>
                        <wps:cNvSpPr/>
                        <wps:spPr bwMode="auto">
                          <a:xfrm>
                            <a:off x="4355" y="2396"/>
                            <a:ext cx="1039" cy="1208"/>
                          </a:xfrm>
                          <a:custGeom>
                            <a:avLst/>
                            <a:gdLst>
                              <a:gd name="T0" fmla="+- 0 4356 4356"/>
                              <a:gd name="T1" fmla="*/ T0 w 1039"/>
                              <a:gd name="T2" fmla="+- 0 3604 2397"/>
                              <a:gd name="T3" fmla="*/ 3604 h 1208"/>
                              <a:gd name="T4" fmla="+- 0 5394 4356"/>
                              <a:gd name="T5" fmla="*/ T4 w 1039"/>
                              <a:gd name="T6" fmla="+- 0 2397 2397"/>
                              <a:gd name="T7" fmla="*/ 2397 h 1208"/>
                              <a:gd name="T8" fmla="+- 0 5395 4356"/>
                              <a:gd name="T9" fmla="*/ T8 w 1039"/>
                              <a:gd name="T10" fmla="+- 0 2397 2397"/>
                              <a:gd name="T11" fmla="*/ 2397 h 1208"/>
                            </a:gdLst>
                            <a:ahLst/>
                            <a:cxnLst>
                              <a:cxn ang="0">
                                <a:pos x="T1" y="T3"/>
                              </a:cxn>
                              <a:cxn ang="0">
                                <a:pos x="T5" y="T7"/>
                              </a:cxn>
                              <a:cxn ang="0">
                                <a:pos x="T9" y="T11"/>
                              </a:cxn>
                            </a:cxnLst>
                            <a:rect l="0" t="0" r="r" b="b"/>
                            <a:pathLst>
                              <a:path w="1039" h="1208">
                                <a:moveTo>
                                  <a:pt x="0" y="1207"/>
                                </a:moveTo>
                                <a:lnTo>
                                  <a:pt x="1038" y="0"/>
                                </a:lnTo>
                                <a:lnTo>
                                  <a:pt x="1039"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02" name="Freeform 344"/>
                        <wps:cNvSpPr/>
                        <wps:spPr bwMode="auto">
                          <a:xfrm>
                            <a:off x="6073" y="1226"/>
                            <a:ext cx="328" cy="381"/>
                          </a:xfrm>
                          <a:custGeom>
                            <a:avLst/>
                            <a:gdLst>
                              <a:gd name="T0" fmla="+- 0 6074 6074"/>
                              <a:gd name="T1" fmla="*/ T0 w 328"/>
                              <a:gd name="T2" fmla="+- 0 1607 1227"/>
                              <a:gd name="T3" fmla="*/ 1607 h 381"/>
                              <a:gd name="T4" fmla="+- 0 6401 6074"/>
                              <a:gd name="T5" fmla="*/ T4 w 328"/>
                              <a:gd name="T6" fmla="+- 0 1227 1227"/>
                              <a:gd name="T7" fmla="*/ 1227 h 381"/>
                              <a:gd name="T8" fmla="+- 0 6401 6074"/>
                              <a:gd name="T9" fmla="*/ T8 w 328"/>
                              <a:gd name="T10" fmla="+- 0 1227 1227"/>
                              <a:gd name="T11" fmla="*/ 1227 h 381"/>
                            </a:gdLst>
                            <a:ahLst/>
                            <a:cxnLst>
                              <a:cxn ang="0">
                                <a:pos x="T1" y="T3"/>
                              </a:cxn>
                              <a:cxn ang="0">
                                <a:pos x="T5" y="T7"/>
                              </a:cxn>
                              <a:cxn ang="0">
                                <a:pos x="T9" y="T11"/>
                              </a:cxn>
                            </a:cxnLst>
                            <a:rect l="0" t="0" r="r" b="b"/>
                            <a:pathLst>
                              <a:path w="328" h="381">
                                <a:moveTo>
                                  <a:pt x="0" y="380"/>
                                </a:moveTo>
                                <a:lnTo>
                                  <a:pt x="327"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03" name="Freeform 343"/>
                        <wps:cNvSpPr/>
                        <wps:spPr bwMode="auto">
                          <a:xfrm>
                            <a:off x="4428" y="2481"/>
                            <a:ext cx="966" cy="1123"/>
                          </a:xfrm>
                          <a:custGeom>
                            <a:avLst/>
                            <a:gdLst>
                              <a:gd name="T0" fmla="+- 0 4429 4429"/>
                              <a:gd name="T1" fmla="*/ T0 w 966"/>
                              <a:gd name="T2" fmla="+- 0 3604 2482"/>
                              <a:gd name="T3" fmla="*/ 3604 h 1123"/>
                              <a:gd name="T4" fmla="+- 0 5394 4429"/>
                              <a:gd name="T5" fmla="*/ T4 w 966"/>
                              <a:gd name="T6" fmla="+- 0 2482 2482"/>
                              <a:gd name="T7" fmla="*/ 2482 h 1123"/>
                              <a:gd name="T8" fmla="+- 0 5395 4429"/>
                              <a:gd name="T9" fmla="*/ T8 w 966"/>
                              <a:gd name="T10" fmla="+- 0 2482 2482"/>
                              <a:gd name="T11" fmla="*/ 2482 h 1123"/>
                            </a:gdLst>
                            <a:ahLst/>
                            <a:cxnLst>
                              <a:cxn ang="0">
                                <a:pos x="T1" y="T3"/>
                              </a:cxn>
                              <a:cxn ang="0">
                                <a:pos x="T5" y="T7"/>
                              </a:cxn>
                              <a:cxn ang="0">
                                <a:pos x="T9" y="T11"/>
                              </a:cxn>
                            </a:cxnLst>
                            <a:rect l="0" t="0" r="r" b="b"/>
                            <a:pathLst>
                              <a:path w="966" h="1123">
                                <a:moveTo>
                                  <a:pt x="0" y="1122"/>
                                </a:moveTo>
                                <a:lnTo>
                                  <a:pt x="965" y="0"/>
                                </a:lnTo>
                                <a:lnTo>
                                  <a:pt x="966"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04" name="Freeform 342"/>
                        <wps:cNvSpPr/>
                        <wps:spPr bwMode="auto">
                          <a:xfrm>
                            <a:off x="6146" y="1226"/>
                            <a:ext cx="328" cy="381"/>
                          </a:xfrm>
                          <a:custGeom>
                            <a:avLst/>
                            <a:gdLst>
                              <a:gd name="T0" fmla="+- 0 6147 6147"/>
                              <a:gd name="T1" fmla="*/ T0 w 328"/>
                              <a:gd name="T2" fmla="+- 0 1607 1227"/>
                              <a:gd name="T3" fmla="*/ 1607 h 381"/>
                              <a:gd name="T4" fmla="+- 0 6474 6147"/>
                              <a:gd name="T5" fmla="*/ T4 w 328"/>
                              <a:gd name="T6" fmla="+- 0 1227 1227"/>
                              <a:gd name="T7" fmla="*/ 1227 h 381"/>
                              <a:gd name="T8" fmla="+- 0 6474 6147"/>
                              <a:gd name="T9" fmla="*/ T8 w 328"/>
                              <a:gd name="T10" fmla="+- 0 1227 1227"/>
                              <a:gd name="T11" fmla="*/ 1227 h 381"/>
                            </a:gdLst>
                            <a:ahLst/>
                            <a:cxnLst>
                              <a:cxn ang="0">
                                <a:pos x="T1" y="T3"/>
                              </a:cxn>
                              <a:cxn ang="0">
                                <a:pos x="T5" y="T7"/>
                              </a:cxn>
                              <a:cxn ang="0">
                                <a:pos x="T9" y="T11"/>
                              </a:cxn>
                            </a:cxnLst>
                            <a:rect l="0" t="0" r="r" b="b"/>
                            <a:pathLst>
                              <a:path w="328" h="381">
                                <a:moveTo>
                                  <a:pt x="0" y="380"/>
                                </a:moveTo>
                                <a:lnTo>
                                  <a:pt x="327"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05" name="Freeform 341"/>
                        <wps:cNvSpPr/>
                        <wps:spPr bwMode="auto">
                          <a:xfrm>
                            <a:off x="4501" y="2566"/>
                            <a:ext cx="893" cy="1038"/>
                          </a:xfrm>
                          <a:custGeom>
                            <a:avLst/>
                            <a:gdLst>
                              <a:gd name="T0" fmla="+- 0 4502 4502"/>
                              <a:gd name="T1" fmla="*/ T0 w 893"/>
                              <a:gd name="T2" fmla="+- 0 3604 2567"/>
                              <a:gd name="T3" fmla="*/ 3604 h 1038"/>
                              <a:gd name="T4" fmla="+- 0 5394 4502"/>
                              <a:gd name="T5" fmla="*/ T4 w 893"/>
                              <a:gd name="T6" fmla="+- 0 2567 2567"/>
                              <a:gd name="T7" fmla="*/ 2567 h 1038"/>
                              <a:gd name="T8" fmla="+- 0 5395 4502"/>
                              <a:gd name="T9" fmla="*/ T8 w 893"/>
                              <a:gd name="T10" fmla="+- 0 2567 2567"/>
                              <a:gd name="T11" fmla="*/ 2567 h 1038"/>
                            </a:gdLst>
                            <a:ahLst/>
                            <a:cxnLst>
                              <a:cxn ang="0">
                                <a:pos x="T1" y="T3"/>
                              </a:cxn>
                              <a:cxn ang="0">
                                <a:pos x="T5" y="T7"/>
                              </a:cxn>
                              <a:cxn ang="0">
                                <a:pos x="T9" y="T11"/>
                              </a:cxn>
                            </a:cxnLst>
                            <a:rect l="0" t="0" r="r" b="b"/>
                            <a:pathLst>
                              <a:path w="893" h="1038">
                                <a:moveTo>
                                  <a:pt x="0" y="1037"/>
                                </a:moveTo>
                                <a:lnTo>
                                  <a:pt x="892" y="0"/>
                                </a:lnTo>
                                <a:lnTo>
                                  <a:pt x="893"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06" name="Freeform 340"/>
                        <wps:cNvSpPr/>
                        <wps:spPr bwMode="auto">
                          <a:xfrm>
                            <a:off x="6190" y="1226"/>
                            <a:ext cx="357" cy="415"/>
                          </a:xfrm>
                          <a:custGeom>
                            <a:avLst/>
                            <a:gdLst>
                              <a:gd name="T0" fmla="+- 0 6190 6190"/>
                              <a:gd name="T1" fmla="*/ T0 w 357"/>
                              <a:gd name="T2" fmla="+- 0 1641 1227"/>
                              <a:gd name="T3" fmla="*/ 1641 h 415"/>
                              <a:gd name="T4" fmla="+- 0 6547 6190"/>
                              <a:gd name="T5" fmla="*/ T4 w 357"/>
                              <a:gd name="T6" fmla="+- 0 1227 1227"/>
                              <a:gd name="T7" fmla="*/ 1227 h 415"/>
                              <a:gd name="T8" fmla="+- 0 6547 6190"/>
                              <a:gd name="T9" fmla="*/ T8 w 357"/>
                              <a:gd name="T10" fmla="+- 0 1227 1227"/>
                              <a:gd name="T11" fmla="*/ 1227 h 415"/>
                            </a:gdLst>
                            <a:ahLst/>
                            <a:cxnLst>
                              <a:cxn ang="0">
                                <a:pos x="T1" y="T3"/>
                              </a:cxn>
                              <a:cxn ang="0">
                                <a:pos x="T5" y="T7"/>
                              </a:cxn>
                              <a:cxn ang="0">
                                <a:pos x="T9" y="T11"/>
                              </a:cxn>
                            </a:cxnLst>
                            <a:rect l="0" t="0" r="r" b="b"/>
                            <a:pathLst>
                              <a:path w="357" h="415">
                                <a:moveTo>
                                  <a:pt x="0" y="414"/>
                                </a:moveTo>
                                <a:lnTo>
                                  <a:pt x="357"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07" name="Freeform 339"/>
                        <wps:cNvSpPr/>
                        <wps:spPr bwMode="auto">
                          <a:xfrm>
                            <a:off x="4574" y="2651"/>
                            <a:ext cx="820" cy="953"/>
                          </a:xfrm>
                          <a:custGeom>
                            <a:avLst/>
                            <a:gdLst>
                              <a:gd name="T0" fmla="+- 0 4575 4575"/>
                              <a:gd name="T1" fmla="*/ T0 w 820"/>
                              <a:gd name="T2" fmla="+- 0 3604 2651"/>
                              <a:gd name="T3" fmla="*/ 3604 h 953"/>
                              <a:gd name="T4" fmla="+- 0 5394 4575"/>
                              <a:gd name="T5" fmla="*/ T4 w 820"/>
                              <a:gd name="T6" fmla="+- 0 2651 2651"/>
                              <a:gd name="T7" fmla="*/ 2651 h 953"/>
                              <a:gd name="T8" fmla="+- 0 5395 4575"/>
                              <a:gd name="T9" fmla="*/ T8 w 820"/>
                              <a:gd name="T10" fmla="+- 0 2651 2651"/>
                              <a:gd name="T11" fmla="*/ 2651 h 953"/>
                            </a:gdLst>
                            <a:ahLst/>
                            <a:cxnLst>
                              <a:cxn ang="0">
                                <a:pos x="T1" y="T3"/>
                              </a:cxn>
                              <a:cxn ang="0">
                                <a:pos x="T5" y="T7"/>
                              </a:cxn>
                              <a:cxn ang="0">
                                <a:pos x="T9" y="T11"/>
                              </a:cxn>
                            </a:cxnLst>
                            <a:rect l="0" t="0" r="r" b="b"/>
                            <a:pathLst>
                              <a:path w="820" h="953">
                                <a:moveTo>
                                  <a:pt x="0" y="953"/>
                                </a:moveTo>
                                <a:lnTo>
                                  <a:pt x="819" y="0"/>
                                </a:lnTo>
                                <a:lnTo>
                                  <a:pt x="820"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08" name="Freeform 338"/>
                        <wps:cNvSpPr/>
                        <wps:spPr bwMode="auto">
                          <a:xfrm>
                            <a:off x="6190" y="1226"/>
                            <a:ext cx="430" cy="500"/>
                          </a:xfrm>
                          <a:custGeom>
                            <a:avLst/>
                            <a:gdLst>
                              <a:gd name="T0" fmla="+- 0 6190 6190"/>
                              <a:gd name="T1" fmla="*/ T0 w 430"/>
                              <a:gd name="T2" fmla="+- 0 1726 1227"/>
                              <a:gd name="T3" fmla="*/ 1726 h 500"/>
                              <a:gd name="T4" fmla="+- 0 6620 6190"/>
                              <a:gd name="T5" fmla="*/ T4 w 430"/>
                              <a:gd name="T6" fmla="+- 0 1227 1227"/>
                              <a:gd name="T7" fmla="*/ 1227 h 500"/>
                              <a:gd name="T8" fmla="+- 0 6620 6190"/>
                              <a:gd name="T9" fmla="*/ T8 w 430"/>
                              <a:gd name="T10" fmla="+- 0 1227 1227"/>
                              <a:gd name="T11" fmla="*/ 1227 h 500"/>
                            </a:gdLst>
                            <a:ahLst/>
                            <a:cxnLst>
                              <a:cxn ang="0">
                                <a:pos x="T1" y="T3"/>
                              </a:cxn>
                              <a:cxn ang="0">
                                <a:pos x="T5" y="T7"/>
                              </a:cxn>
                              <a:cxn ang="0">
                                <a:pos x="T9" y="T11"/>
                              </a:cxn>
                            </a:cxnLst>
                            <a:rect l="0" t="0" r="r" b="b"/>
                            <a:pathLst>
                              <a:path w="430" h="500">
                                <a:moveTo>
                                  <a:pt x="0" y="499"/>
                                </a:moveTo>
                                <a:lnTo>
                                  <a:pt x="430"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09" name="Freeform 337"/>
                        <wps:cNvSpPr/>
                        <wps:spPr bwMode="auto">
                          <a:xfrm>
                            <a:off x="4647" y="2736"/>
                            <a:ext cx="747" cy="868"/>
                          </a:xfrm>
                          <a:custGeom>
                            <a:avLst/>
                            <a:gdLst>
                              <a:gd name="T0" fmla="+- 0 4648 4648"/>
                              <a:gd name="T1" fmla="*/ T0 w 747"/>
                              <a:gd name="T2" fmla="+- 0 3604 2737"/>
                              <a:gd name="T3" fmla="*/ 3604 h 868"/>
                              <a:gd name="T4" fmla="+- 0 5394 4648"/>
                              <a:gd name="T5" fmla="*/ T4 w 747"/>
                              <a:gd name="T6" fmla="+- 0 2737 2737"/>
                              <a:gd name="T7" fmla="*/ 2737 h 868"/>
                              <a:gd name="T8" fmla="+- 0 5395 4648"/>
                              <a:gd name="T9" fmla="*/ T8 w 747"/>
                              <a:gd name="T10" fmla="+- 0 2737 2737"/>
                              <a:gd name="T11" fmla="*/ 2737 h 868"/>
                            </a:gdLst>
                            <a:ahLst/>
                            <a:cxnLst>
                              <a:cxn ang="0">
                                <a:pos x="T1" y="T3"/>
                              </a:cxn>
                              <a:cxn ang="0">
                                <a:pos x="T5" y="T7"/>
                              </a:cxn>
                              <a:cxn ang="0">
                                <a:pos x="T9" y="T11"/>
                              </a:cxn>
                            </a:cxnLst>
                            <a:rect l="0" t="0" r="r" b="b"/>
                            <a:pathLst>
                              <a:path w="747" h="868">
                                <a:moveTo>
                                  <a:pt x="0" y="867"/>
                                </a:moveTo>
                                <a:lnTo>
                                  <a:pt x="746" y="0"/>
                                </a:lnTo>
                                <a:lnTo>
                                  <a:pt x="747"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10" name="Freeform 336"/>
                        <wps:cNvSpPr/>
                        <wps:spPr bwMode="auto">
                          <a:xfrm>
                            <a:off x="6190" y="1226"/>
                            <a:ext cx="503" cy="585"/>
                          </a:xfrm>
                          <a:custGeom>
                            <a:avLst/>
                            <a:gdLst>
                              <a:gd name="T0" fmla="+- 0 6190 6190"/>
                              <a:gd name="T1" fmla="*/ T0 w 503"/>
                              <a:gd name="T2" fmla="+- 0 1811 1227"/>
                              <a:gd name="T3" fmla="*/ 1811 h 585"/>
                              <a:gd name="T4" fmla="+- 0 6693 6190"/>
                              <a:gd name="T5" fmla="*/ T4 w 503"/>
                              <a:gd name="T6" fmla="+- 0 1227 1227"/>
                              <a:gd name="T7" fmla="*/ 1227 h 585"/>
                              <a:gd name="T8" fmla="+- 0 6693 6190"/>
                              <a:gd name="T9" fmla="*/ T8 w 503"/>
                              <a:gd name="T10" fmla="+- 0 1227 1227"/>
                              <a:gd name="T11" fmla="*/ 1227 h 585"/>
                            </a:gdLst>
                            <a:ahLst/>
                            <a:cxnLst>
                              <a:cxn ang="0">
                                <a:pos x="T1" y="T3"/>
                              </a:cxn>
                              <a:cxn ang="0">
                                <a:pos x="T5" y="T7"/>
                              </a:cxn>
                              <a:cxn ang="0">
                                <a:pos x="T9" y="T11"/>
                              </a:cxn>
                            </a:cxnLst>
                            <a:rect l="0" t="0" r="r" b="b"/>
                            <a:pathLst>
                              <a:path w="503" h="585">
                                <a:moveTo>
                                  <a:pt x="0" y="584"/>
                                </a:moveTo>
                                <a:lnTo>
                                  <a:pt x="503"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11" name="Freeform 335"/>
                        <wps:cNvSpPr/>
                        <wps:spPr bwMode="auto">
                          <a:xfrm>
                            <a:off x="4720" y="2821"/>
                            <a:ext cx="674" cy="783"/>
                          </a:xfrm>
                          <a:custGeom>
                            <a:avLst/>
                            <a:gdLst>
                              <a:gd name="T0" fmla="+- 0 4721 4721"/>
                              <a:gd name="T1" fmla="*/ T0 w 674"/>
                              <a:gd name="T2" fmla="+- 0 3604 2821"/>
                              <a:gd name="T3" fmla="*/ 3604 h 783"/>
                              <a:gd name="T4" fmla="+- 0 5394 4721"/>
                              <a:gd name="T5" fmla="*/ T4 w 674"/>
                              <a:gd name="T6" fmla="+- 0 2821 2821"/>
                              <a:gd name="T7" fmla="*/ 2821 h 783"/>
                              <a:gd name="T8" fmla="+- 0 5395 4721"/>
                              <a:gd name="T9" fmla="*/ T8 w 674"/>
                              <a:gd name="T10" fmla="+- 0 2821 2821"/>
                              <a:gd name="T11" fmla="*/ 2821 h 783"/>
                            </a:gdLst>
                            <a:ahLst/>
                            <a:cxnLst>
                              <a:cxn ang="0">
                                <a:pos x="T1" y="T3"/>
                              </a:cxn>
                              <a:cxn ang="0">
                                <a:pos x="T5" y="T7"/>
                              </a:cxn>
                              <a:cxn ang="0">
                                <a:pos x="T9" y="T11"/>
                              </a:cxn>
                            </a:cxnLst>
                            <a:rect l="0" t="0" r="r" b="b"/>
                            <a:pathLst>
                              <a:path w="674" h="783">
                                <a:moveTo>
                                  <a:pt x="0" y="783"/>
                                </a:moveTo>
                                <a:lnTo>
                                  <a:pt x="673" y="0"/>
                                </a:lnTo>
                                <a:lnTo>
                                  <a:pt x="674"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12" name="Freeform 334"/>
                        <wps:cNvSpPr/>
                        <wps:spPr bwMode="auto">
                          <a:xfrm>
                            <a:off x="6190" y="1226"/>
                            <a:ext cx="576" cy="669"/>
                          </a:xfrm>
                          <a:custGeom>
                            <a:avLst/>
                            <a:gdLst>
                              <a:gd name="T0" fmla="+- 0 6190 6190"/>
                              <a:gd name="T1" fmla="*/ T0 w 576"/>
                              <a:gd name="T2" fmla="+- 0 1896 1227"/>
                              <a:gd name="T3" fmla="*/ 1896 h 669"/>
                              <a:gd name="T4" fmla="+- 0 6766 6190"/>
                              <a:gd name="T5" fmla="*/ T4 w 576"/>
                              <a:gd name="T6" fmla="+- 0 1227 1227"/>
                              <a:gd name="T7" fmla="*/ 1227 h 669"/>
                              <a:gd name="T8" fmla="+- 0 6766 6190"/>
                              <a:gd name="T9" fmla="*/ T8 w 576"/>
                              <a:gd name="T10" fmla="+- 0 1227 1227"/>
                              <a:gd name="T11" fmla="*/ 1227 h 669"/>
                            </a:gdLst>
                            <a:ahLst/>
                            <a:cxnLst>
                              <a:cxn ang="0">
                                <a:pos x="T1" y="T3"/>
                              </a:cxn>
                              <a:cxn ang="0">
                                <a:pos x="T5" y="T7"/>
                              </a:cxn>
                              <a:cxn ang="0">
                                <a:pos x="T9" y="T11"/>
                              </a:cxn>
                            </a:cxnLst>
                            <a:rect l="0" t="0" r="r" b="b"/>
                            <a:pathLst>
                              <a:path w="576" h="669">
                                <a:moveTo>
                                  <a:pt x="0" y="669"/>
                                </a:moveTo>
                                <a:lnTo>
                                  <a:pt x="576"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13" name="Freeform 333"/>
                        <wps:cNvSpPr/>
                        <wps:spPr bwMode="auto">
                          <a:xfrm>
                            <a:off x="4793" y="2906"/>
                            <a:ext cx="601" cy="699"/>
                          </a:xfrm>
                          <a:custGeom>
                            <a:avLst/>
                            <a:gdLst>
                              <a:gd name="T0" fmla="+- 0 4794 4794"/>
                              <a:gd name="T1" fmla="*/ T0 w 601"/>
                              <a:gd name="T2" fmla="+- 0 3604 2906"/>
                              <a:gd name="T3" fmla="*/ 3604 h 699"/>
                              <a:gd name="T4" fmla="+- 0 5394 4794"/>
                              <a:gd name="T5" fmla="*/ T4 w 601"/>
                              <a:gd name="T6" fmla="+- 0 2906 2906"/>
                              <a:gd name="T7" fmla="*/ 2906 h 699"/>
                              <a:gd name="T8" fmla="+- 0 5395 4794"/>
                              <a:gd name="T9" fmla="*/ T8 w 601"/>
                              <a:gd name="T10" fmla="+- 0 2906 2906"/>
                              <a:gd name="T11" fmla="*/ 2906 h 699"/>
                            </a:gdLst>
                            <a:ahLst/>
                            <a:cxnLst>
                              <a:cxn ang="0">
                                <a:pos x="T1" y="T3"/>
                              </a:cxn>
                              <a:cxn ang="0">
                                <a:pos x="T5" y="T7"/>
                              </a:cxn>
                              <a:cxn ang="0">
                                <a:pos x="T9" y="T11"/>
                              </a:cxn>
                            </a:cxnLst>
                            <a:rect l="0" t="0" r="r" b="b"/>
                            <a:pathLst>
                              <a:path w="601" h="699">
                                <a:moveTo>
                                  <a:pt x="0" y="698"/>
                                </a:moveTo>
                                <a:lnTo>
                                  <a:pt x="600" y="0"/>
                                </a:lnTo>
                                <a:lnTo>
                                  <a:pt x="601"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14" name="Freeform 332"/>
                        <wps:cNvSpPr/>
                        <wps:spPr bwMode="auto">
                          <a:xfrm>
                            <a:off x="6190" y="1226"/>
                            <a:ext cx="649" cy="754"/>
                          </a:xfrm>
                          <a:custGeom>
                            <a:avLst/>
                            <a:gdLst>
                              <a:gd name="T0" fmla="+- 0 6190 6190"/>
                              <a:gd name="T1" fmla="*/ T0 w 649"/>
                              <a:gd name="T2" fmla="+- 0 1981 1227"/>
                              <a:gd name="T3" fmla="*/ 1981 h 754"/>
                              <a:gd name="T4" fmla="+- 0 6839 6190"/>
                              <a:gd name="T5" fmla="*/ T4 w 649"/>
                              <a:gd name="T6" fmla="+- 0 1227 1227"/>
                              <a:gd name="T7" fmla="*/ 1227 h 754"/>
                              <a:gd name="T8" fmla="+- 0 6839 6190"/>
                              <a:gd name="T9" fmla="*/ T8 w 649"/>
                              <a:gd name="T10" fmla="+- 0 1227 1227"/>
                              <a:gd name="T11" fmla="*/ 1227 h 754"/>
                            </a:gdLst>
                            <a:ahLst/>
                            <a:cxnLst>
                              <a:cxn ang="0">
                                <a:pos x="T1" y="T3"/>
                              </a:cxn>
                              <a:cxn ang="0">
                                <a:pos x="T5" y="T7"/>
                              </a:cxn>
                              <a:cxn ang="0">
                                <a:pos x="T9" y="T11"/>
                              </a:cxn>
                            </a:cxnLst>
                            <a:rect l="0" t="0" r="r" b="b"/>
                            <a:pathLst>
                              <a:path w="649" h="754">
                                <a:moveTo>
                                  <a:pt x="0" y="754"/>
                                </a:moveTo>
                                <a:lnTo>
                                  <a:pt x="649"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15" name="Freeform 331"/>
                        <wps:cNvSpPr/>
                        <wps:spPr bwMode="auto">
                          <a:xfrm>
                            <a:off x="4866" y="2990"/>
                            <a:ext cx="528" cy="614"/>
                          </a:xfrm>
                          <a:custGeom>
                            <a:avLst/>
                            <a:gdLst>
                              <a:gd name="T0" fmla="+- 0 4867 4867"/>
                              <a:gd name="T1" fmla="*/ T0 w 528"/>
                              <a:gd name="T2" fmla="+- 0 3604 2991"/>
                              <a:gd name="T3" fmla="*/ 3604 h 614"/>
                              <a:gd name="T4" fmla="+- 0 5394 4867"/>
                              <a:gd name="T5" fmla="*/ T4 w 528"/>
                              <a:gd name="T6" fmla="+- 0 2991 2991"/>
                              <a:gd name="T7" fmla="*/ 2991 h 614"/>
                              <a:gd name="T8" fmla="+- 0 5395 4867"/>
                              <a:gd name="T9" fmla="*/ T8 w 528"/>
                              <a:gd name="T10" fmla="+- 0 2991 2991"/>
                              <a:gd name="T11" fmla="*/ 2991 h 614"/>
                            </a:gdLst>
                            <a:ahLst/>
                            <a:cxnLst>
                              <a:cxn ang="0">
                                <a:pos x="T1" y="T3"/>
                              </a:cxn>
                              <a:cxn ang="0">
                                <a:pos x="T5" y="T7"/>
                              </a:cxn>
                              <a:cxn ang="0">
                                <a:pos x="T9" y="T11"/>
                              </a:cxn>
                            </a:cxnLst>
                            <a:rect l="0" t="0" r="r" b="b"/>
                            <a:pathLst>
                              <a:path w="528" h="614">
                                <a:moveTo>
                                  <a:pt x="0" y="613"/>
                                </a:moveTo>
                                <a:lnTo>
                                  <a:pt x="527" y="0"/>
                                </a:lnTo>
                                <a:lnTo>
                                  <a:pt x="528"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16" name="Freeform 330"/>
                        <wps:cNvSpPr/>
                        <wps:spPr bwMode="auto">
                          <a:xfrm>
                            <a:off x="6190" y="1226"/>
                            <a:ext cx="722" cy="839"/>
                          </a:xfrm>
                          <a:custGeom>
                            <a:avLst/>
                            <a:gdLst>
                              <a:gd name="T0" fmla="+- 0 6190 6190"/>
                              <a:gd name="T1" fmla="*/ T0 w 722"/>
                              <a:gd name="T2" fmla="+- 0 2065 1227"/>
                              <a:gd name="T3" fmla="*/ 2065 h 839"/>
                              <a:gd name="T4" fmla="+- 0 6912 6190"/>
                              <a:gd name="T5" fmla="*/ T4 w 722"/>
                              <a:gd name="T6" fmla="+- 0 1227 1227"/>
                              <a:gd name="T7" fmla="*/ 1227 h 839"/>
                              <a:gd name="T8" fmla="+- 0 6912 6190"/>
                              <a:gd name="T9" fmla="*/ T8 w 722"/>
                              <a:gd name="T10" fmla="+- 0 1227 1227"/>
                              <a:gd name="T11" fmla="*/ 1227 h 839"/>
                            </a:gdLst>
                            <a:ahLst/>
                            <a:cxnLst>
                              <a:cxn ang="0">
                                <a:pos x="T1" y="T3"/>
                              </a:cxn>
                              <a:cxn ang="0">
                                <a:pos x="T5" y="T7"/>
                              </a:cxn>
                              <a:cxn ang="0">
                                <a:pos x="T9" y="T11"/>
                              </a:cxn>
                            </a:cxnLst>
                            <a:rect l="0" t="0" r="r" b="b"/>
                            <a:pathLst>
                              <a:path w="722" h="839">
                                <a:moveTo>
                                  <a:pt x="0" y="838"/>
                                </a:moveTo>
                                <a:lnTo>
                                  <a:pt x="722"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17" name="Freeform 329"/>
                        <wps:cNvSpPr/>
                        <wps:spPr bwMode="auto">
                          <a:xfrm>
                            <a:off x="4939" y="3075"/>
                            <a:ext cx="455" cy="529"/>
                          </a:xfrm>
                          <a:custGeom>
                            <a:avLst/>
                            <a:gdLst>
                              <a:gd name="T0" fmla="+- 0 4940 4940"/>
                              <a:gd name="T1" fmla="*/ T0 w 455"/>
                              <a:gd name="T2" fmla="+- 0 3604 3076"/>
                              <a:gd name="T3" fmla="*/ 3604 h 529"/>
                              <a:gd name="T4" fmla="+- 0 5394 4940"/>
                              <a:gd name="T5" fmla="*/ T4 w 455"/>
                              <a:gd name="T6" fmla="+- 0 3076 3076"/>
                              <a:gd name="T7" fmla="*/ 3076 h 529"/>
                              <a:gd name="T8" fmla="+- 0 5395 4940"/>
                              <a:gd name="T9" fmla="*/ T8 w 455"/>
                              <a:gd name="T10" fmla="+- 0 3076 3076"/>
                              <a:gd name="T11" fmla="*/ 3076 h 529"/>
                            </a:gdLst>
                            <a:ahLst/>
                            <a:cxnLst>
                              <a:cxn ang="0">
                                <a:pos x="T1" y="T3"/>
                              </a:cxn>
                              <a:cxn ang="0">
                                <a:pos x="T5" y="T7"/>
                              </a:cxn>
                              <a:cxn ang="0">
                                <a:pos x="T9" y="T11"/>
                              </a:cxn>
                            </a:cxnLst>
                            <a:rect l="0" t="0" r="r" b="b"/>
                            <a:pathLst>
                              <a:path w="455" h="529">
                                <a:moveTo>
                                  <a:pt x="0" y="528"/>
                                </a:moveTo>
                                <a:lnTo>
                                  <a:pt x="454" y="0"/>
                                </a:lnTo>
                                <a:lnTo>
                                  <a:pt x="455"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18" name="Freeform 328"/>
                        <wps:cNvSpPr/>
                        <wps:spPr bwMode="auto">
                          <a:xfrm>
                            <a:off x="6190" y="1226"/>
                            <a:ext cx="795" cy="924"/>
                          </a:xfrm>
                          <a:custGeom>
                            <a:avLst/>
                            <a:gdLst>
                              <a:gd name="T0" fmla="+- 0 6190 6190"/>
                              <a:gd name="T1" fmla="*/ T0 w 795"/>
                              <a:gd name="T2" fmla="+- 0 2150 1227"/>
                              <a:gd name="T3" fmla="*/ 2150 h 924"/>
                              <a:gd name="T4" fmla="+- 0 6985 6190"/>
                              <a:gd name="T5" fmla="*/ T4 w 795"/>
                              <a:gd name="T6" fmla="+- 0 1227 1227"/>
                              <a:gd name="T7" fmla="*/ 1227 h 924"/>
                              <a:gd name="T8" fmla="+- 0 6985 6190"/>
                              <a:gd name="T9" fmla="*/ T8 w 795"/>
                              <a:gd name="T10" fmla="+- 0 1227 1227"/>
                              <a:gd name="T11" fmla="*/ 1227 h 924"/>
                            </a:gdLst>
                            <a:ahLst/>
                            <a:cxnLst>
                              <a:cxn ang="0">
                                <a:pos x="T1" y="T3"/>
                              </a:cxn>
                              <a:cxn ang="0">
                                <a:pos x="T5" y="T7"/>
                              </a:cxn>
                              <a:cxn ang="0">
                                <a:pos x="T9" y="T11"/>
                              </a:cxn>
                            </a:cxnLst>
                            <a:rect l="0" t="0" r="r" b="b"/>
                            <a:pathLst>
                              <a:path w="795" h="924">
                                <a:moveTo>
                                  <a:pt x="0" y="923"/>
                                </a:moveTo>
                                <a:lnTo>
                                  <a:pt x="795"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19" name="Freeform 327"/>
                        <wps:cNvSpPr/>
                        <wps:spPr bwMode="auto">
                          <a:xfrm>
                            <a:off x="5012" y="3420"/>
                            <a:ext cx="159" cy="185"/>
                          </a:xfrm>
                          <a:custGeom>
                            <a:avLst/>
                            <a:gdLst>
                              <a:gd name="T0" fmla="+- 0 5013 5013"/>
                              <a:gd name="T1" fmla="*/ T0 w 159"/>
                              <a:gd name="T2" fmla="+- 0 3604 3420"/>
                              <a:gd name="T3" fmla="*/ 3604 h 185"/>
                              <a:gd name="T4" fmla="+- 0 5171 5013"/>
                              <a:gd name="T5" fmla="*/ T4 w 159"/>
                              <a:gd name="T6" fmla="+- 0 3420 3420"/>
                              <a:gd name="T7" fmla="*/ 3420 h 185"/>
                              <a:gd name="T8" fmla="+- 0 5171 5013"/>
                              <a:gd name="T9" fmla="*/ T8 w 159"/>
                              <a:gd name="T10" fmla="+- 0 3420 3420"/>
                              <a:gd name="T11" fmla="*/ 3420 h 185"/>
                            </a:gdLst>
                            <a:ahLst/>
                            <a:cxnLst>
                              <a:cxn ang="0">
                                <a:pos x="T1" y="T3"/>
                              </a:cxn>
                              <a:cxn ang="0">
                                <a:pos x="T5" y="T7"/>
                              </a:cxn>
                              <a:cxn ang="0">
                                <a:pos x="T9" y="T11"/>
                              </a:cxn>
                            </a:cxnLst>
                            <a:rect l="0" t="0" r="r" b="b"/>
                            <a:pathLst>
                              <a:path w="159" h="185">
                                <a:moveTo>
                                  <a:pt x="0" y="184"/>
                                </a:moveTo>
                                <a:lnTo>
                                  <a:pt x="158"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20" name="Freeform 326"/>
                        <wps:cNvSpPr/>
                        <wps:spPr bwMode="auto">
                          <a:xfrm>
                            <a:off x="6190" y="1257"/>
                            <a:ext cx="841" cy="978"/>
                          </a:xfrm>
                          <a:custGeom>
                            <a:avLst/>
                            <a:gdLst>
                              <a:gd name="T0" fmla="+- 0 6190 6190"/>
                              <a:gd name="T1" fmla="*/ T0 w 841"/>
                              <a:gd name="T2" fmla="+- 0 2235 1258"/>
                              <a:gd name="T3" fmla="*/ 2235 h 978"/>
                              <a:gd name="T4" fmla="+- 0 7031 6190"/>
                              <a:gd name="T5" fmla="*/ T4 w 841"/>
                              <a:gd name="T6" fmla="+- 0 1258 1258"/>
                              <a:gd name="T7" fmla="*/ 1258 h 978"/>
                              <a:gd name="T8" fmla="+- 0 7031 6190"/>
                              <a:gd name="T9" fmla="*/ T8 w 841"/>
                              <a:gd name="T10" fmla="+- 0 1258 1258"/>
                              <a:gd name="T11" fmla="*/ 1258 h 978"/>
                            </a:gdLst>
                            <a:ahLst/>
                            <a:cxnLst>
                              <a:cxn ang="0">
                                <a:pos x="T1" y="T3"/>
                              </a:cxn>
                              <a:cxn ang="0">
                                <a:pos x="T5" y="T7"/>
                              </a:cxn>
                              <a:cxn ang="0">
                                <a:pos x="T9" y="T11"/>
                              </a:cxn>
                            </a:cxnLst>
                            <a:rect l="0" t="0" r="r" b="b"/>
                            <a:pathLst>
                              <a:path w="841" h="978">
                                <a:moveTo>
                                  <a:pt x="0" y="977"/>
                                </a:moveTo>
                                <a:lnTo>
                                  <a:pt x="841"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21" name="Freeform 325"/>
                        <wps:cNvSpPr/>
                        <wps:spPr bwMode="auto">
                          <a:xfrm>
                            <a:off x="5216" y="3160"/>
                            <a:ext cx="178" cy="207"/>
                          </a:xfrm>
                          <a:custGeom>
                            <a:avLst/>
                            <a:gdLst>
                              <a:gd name="T0" fmla="+- 0 5217 5217"/>
                              <a:gd name="T1" fmla="*/ T0 w 178"/>
                              <a:gd name="T2" fmla="+- 0 3367 3161"/>
                              <a:gd name="T3" fmla="*/ 3367 h 207"/>
                              <a:gd name="T4" fmla="+- 0 5394 5217"/>
                              <a:gd name="T5" fmla="*/ T4 w 178"/>
                              <a:gd name="T6" fmla="+- 0 3161 3161"/>
                              <a:gd name="T7" fmla="*/ 3161 h 207"/>
                              <a:gd name="T8" fmla="+- 0 5395 5217"/>
                              <a:gd name="T9" fmla="*/ T8 w 178"/>
                              <a:gd name="T10" fmla="+- 0 3161 3161"/>
                              <a:gd name="T11" fmla="*/ 3161 h 207"/>
                            </a:gdLst>
                            <a:ahLst/>
                            <a:cxnLst>
                              <a:cxn ang="0">
                                <a:pos x="T1" y="T3"/>
                              </a:cxn>
                              <a:cxn ang="0">
                                <a:pos x="T5" y="T7"/>
                              </a:cxn>
                              <a:cxn ang="0">
                                <a:pos x="T9" y="T11"/>
                              </a:cxn>
                            </a:cxnLst>
                            <a:rect l="0" t="0" r="r" b="b"/>
                            <a:pathLst>
                              <a:path w="178" h="207">
                                <a:moveTo>
                                  <a:pt x="0" y="206"/>
                                </a:moveTo>
                                <a:lnTo>
                                  <a:pt x="177" y="0"/>
                                </a:lnTo>
                                <a:lnTo>
                                  <a:pt x="178"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22" name="Freeform 324"/>
                        <wps:cNvSpPr/>
                        <wps:spPr bwMode="auto">
                          <a:xfrm>
                            <a:off x="5085" y="3504"/>
                            <a:ext cx="86" cy="100"/>
                          </a:xfrm>
                          <a:custGeom>
                            <a:avLst/>
                            <a:gdLst>
                              <a:gd name="T0" fmla="+- 0 5086 5086"/>
                              <a:gd name="T1" fmla="*/ T0 w 86"/>
                              <a:gd name="T2" fmla="+- 0 3604 3505"/>
                              <a:gd name="T3" fmla="*/ 3604 h 100"/>
                              <a:gd name="T4" fmla="+- 0 5171 5086"/>
                              <a:gd name="T5" fmla="*/ T4 w 86"/>
                              <a:gd name="T6" fmla="+- 0 3505 3505"/>
                              <a:gd name="T7" fmla="*/ 3505 h 100"/>
                              <a:gd name="T8" fmla="+- 0 5171 5086"/>
                              <a:gd name="T9" fmla="*/ T8 w 86"/>
                              <a:gd name="T10" fmla="+- 0 3505 3505"/>
                              <a:gd name="T11" fmla="*/ 3505 h 100"/>
                            </a:gdLst>
                            <a:ahLst/>
                            <a:cxnLst>
                              <a:cxn ang="0">
                                <a:pos x="T1" y="T3"/>
                              </a:cxn>
                              <a:cxn ang="0">
                                <a:pos x="T5" y="T7"/>
                              </a:cxn>
                              <a:cxn ang="0">
                                <a:pos x="T9" y="T11"/>
                              </a:cxn>
                            </a:cxnLst>
                            <a:rect l="0" t="0" r="r" b="b"/>
                            <a:pathLst>
                              <a:path w="86" h="100">
                                <a:moveTo>
                                  <a:pt x="0" y="99"/>
                                </a:moveTo>
                                <a:lnTo>
                                  <a:pt x="85"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23" name="Freeform 323"/>
                        <wps:cNvSpPr/>
                        <wps:spPr bwMode="auto">
                          <a:xfrm>
                            <a:off x="6190" y="1322"/>
                            <a:ext cx="858" cy="998"/>
                          </a:xfrm>
                          <a:custGeom>
                            <a:avLst/>
                            <a:gdLst>
                              <a:gd name="T0" fmla="+- 0 6190 6190"/>
                              <a:gd name="T1" fmla="*/ T0 w 858"/>
                              <a:gd name="T2" fmla="+- 0 2320 1323"/>
                              <a:gd name="T3" fmla="*/ 2320 h 998"/>
                              <a:gd name="T4" fmla="+- 0 7048 6190"/>
                              <a:gd name="T5" fmla="*/ T4 w 858"/>
                              <a:gd name="T6" fmla="+- 0 1323 1323"/>
                              <a:gd name="T7" fmla="*/ 1323 h 998"/>
                              <a:gd name="T8" fmla="+- 0 7048 6190"/>
                              <a:gd name="T9" fmla="*/ T8 w 858"/>
                              <a:gd name="T10" fmla="+- 0 1323 1323"/>
                              <a:gd name="T11" fmla="*/ 1323 h 998"/>
                            </a:gdLst>
                            <a:ahLst/>
                            <a:cxnLst>
                              <a:cxn ang="0">
                                <a:pos x="T1" y="T3"/>
                              </a:cxn>
                              <a:cxn ang="0">
                                <a:pos x="T5" y="T7"/>
                              </a:cxn>
                              <a:cxn ang="0">
                                <a:pos x="T9" y="T11"/>
                              </a:cxn>
                            </a:cxnLst>
                            <a:rect l="0" t="0" r="r" b="b"/>
                            <a:pathLst>
                              <a:path w="858" h="998">
                                <a:moveTo>
                                  <a:pt x="0" y="997"/>
                                </a:moveTo>
                                <a:lnTo>
                                  <a:pt x="858"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24" name="Freeform 322"/>
                        <wps:cNvSpPr/>
                        <wps:spPr bwMode="auto">
                          <a:xfrm>
                            <a:off x="5289" y="3245"/>
                            <a:ext cx="105" cy="122"/>
                          </a:xfrm>
                          <a:custGeom>
                            <a:avLst/>
                            <a:gdLst>
                              <a:gd name="T0" fmla="+- 0 5290 5290"/>
                              <a:gd name="T1" fmla="*/ T0 w 105"/>
                              <a:gd name="T2" fmla="+- 0 3367 3245"/>
                              <a:gd name="T3" fmla="*/ 3367 h 122"/>
                              <a:gd name="T4" fmla="+- 0 5394 5290"/>
                              <a:gd name="T5" fmla="*/ T4 w 105"/>
                              <a:gd name="T6" fmla="+- 0 3245 3245"/>
                              <a:gd name="T7" fmla="*/ 3245 h 122"/>
                              <a:gd name="T8" fmla="+- 0 5395 5290"/>
                              <a:gd name="T9" fmla="*/ T8 w 105"/>
                              <a:gd name="T10" fmla="+- 0 3245 3245"/>
                              <a:gd name="T11" fmla="*/ 3245 h 122"/>
                            </a:gdLst>
                            <a:ahLst/>
                            <a:cxnLst>
                              <a:cxn ang="0">
                                <a:pos x="T1" y="T3"/>
                              </a:cxn>
                              <a:cxn ang="0">
                                <a:pos x="T5" y="T7"/>
                              </a:cxn>
                              <a:cxn ang="0">
                                <a:pos x="T9" y="T11"/>
                              </a:cxn>
                            </a:cxnLst>
                            <a:rect l="0" t="0" r="r" b="b"/>
                            <a:pathLst>
                              <a:path w="105" h="122">
                                <a:moveTo>
                                  <a:pt x="0" y="122"/>
                                </a:moveTo>
                                <a:lnTo>
                                  <a:pt x="104" y="0"/>
                                </a:lnTo>
                                <a:lnTo>
                                  <a:pt x="105"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25" name="Freeform 321"/>
                        <wps:cNvSpPr/>
                        <wps:spPr bwMode="auto">
                          <a:xfrm>
                            <a:off x="5158" y="3589"/>
                            <a:ext cx="13" cy="15"/>
                          </a:xfrm>
                          <a:custGeom>
                            <a:avLst/>
                            <a:gdLst>
                              <a:gd name="T0" fmla="+- 0 5159 5159"/>
                              <a:gd name="T1" fmla="*/ T0 w 13"/>
                              <a:gd name="T2" fmla="+- 0 3604 3590"/>
                              <a:gd name="T3" fmla="*/ 3604 h 15"/>
                              <a:gd name="T4" fmla="+- 0 5171 5159"/>
                              <a:gd name="T5" fmla="*/ T4 w 13"/>
                              <a:gd name="T6" fmla="+- 0 3590 3590"/>
                              <a:gd name="T7" fmla="*/ 3590 h 15"/>
                              <a:gd name="T8" fmla="+- 0 5171 5159"/>
                              <a:gd name="T9" fmla="*/ T8 w 13"/>
                              <a:gd name="T10" fmla="+- 0 3590 3590"/>
                              <a:gd name="T11" fmla="*/ 3590 h 15"/>
                            </a:gdLst>
                            <a:ahLst/>
                            <a:cxnLst>
                              <a:cxn ang="0">
                                <a:pos x="T1" y="T3"/>
                              </a:cxn>
                              <a:cxn ang="0">
                                <a:pos x="T5" y="T7"/>
                              </a:cxn>
                              <a:cxn ang="0">
                                <a:pos x="T9" y="T11"/>
                              </a:cxn>
                            </a:cxnLst>
                            <a:rect l="0" t="0" r="r" b="b"/>
                            <a:pathLst>
                              <a:path w="13" h="15">
                                <a:moveTo>
                                  <a:pt x="0" y="14"/>
                                </a:moveTo>
                                <a:lnTo>
                                  <a:pt x="12"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26" name="Freeform 320"/>
                        <wps:cNvSpPr/>
                        <wps:spPr bwMode="auto">
                          <a:xfrm>
                            <a:off x="6190" y="1387"/>
                            <a:ext cx="875" cy="1017"/>
                          </a:xfrm>
                          <a:custGeom>
                            <a:avLst/>
                            <a:gdLst>
                              <a:gd name="T0" fmla="+- 0 6190 6190"/>
                              <a:gd name="T1" fmla="*/ T0 w 875"/>
                              <a:gd name="T2" fmla="+- 0 2405 1388"/>
                              <a:gd name="T3" fmla="*/ 2405 h 1017"/>
                              <a:gd name="T4" fmla="+- 0 7065 6190"/>
                              <a:gd name="T5" fmla="*/ T4 w 875"/>
                              <a:gd name="T6" fmla="+- 0 1388 1388"/>
                              <a:gd name="T7" fmla="*/ 1388 h 1017"/>
                              <a:gd name="T8" fmla="+- 0 7065 6190"/>
                              <a:gd name="T9" fmla="*/ T8 w 875"/>
                              <a:gd name="T10" fmla="+- 0 1388 1388"/>
                              <a:gd name="T11" fmla="*/ 1388 h 1017"/>
                            </a:gdLst>
                            <a:ahLst/>
                            <a:cxnLst>
                              <a:cxn ang="0">
                                <a:pos x="T1" y="T3"/>
                              </a:cxn>
                              <a:cxn ang="0">
                                <a:pos x="T5" y="T7"/>
                              </a:cxn>
                              <a:cxn ang="0">
                                <a:pos x="T9" y="T11"/>
                              </a:cxn>
                            </a:cxnLst>
                            <a:rect l="0" t="0" r="r" b="b"/>
                            <a:pathLst>
                              <a:path w="875" h="1017">
                                <a:moveTo>
                                  <a:pt x="0" y="1017"/>
                                </a:moveTo>
                                <a:lnTo>
                                  <a:pt x="875"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27" name="Freeform 319"/>
                        <wps:cNvSpPr/>
                        <wps:spPr bwMode="auto">
                          <a:xfrm>
                            <a:off x="5362" y="3330"/>
                            <a:ext cx="32" cy="37"/>
                          </a:xfrm>
                          <a:custGeom>
                            <a:avLst/>
                            <a:gdLst>
                              <a:gd name="T0" fmla="+- 0 5363 5363"/>
                              <a:gd name="T1" fmla="*/ T0 w 32"/>
                              <a:gd name="T2" fmla="+- 0 3367 3330"/>
                              <a:gd name="T3" fmla="*/ 3367 h 37"/>
                              <a:gd name="T4" fmla="+- 0 5394 5363"/>
                              <a:gd name="T5" fmla="*/ T4 w 32"/>
                              <a:gd name="T6" fmla="+- 0 3330 3330"/>
                              <a:gd name="T7" fmla="*/ 3330 h 37"/>
                              <a:gd name="T8" fmla="+- 0 5395 5363"/>
                              <a:gd name="T9" fmla="*/ T8 w 32"/>
                              <a:gd name="T10" fmla="+- 0 3330 3330"/>
                              <a:gd name="T11" fmla="*/ 3330 h 37"/>
                            </a:gdLst>
                            <a:ahLst/>
                            <a:cxnLst>
                              <a:cxn ang="0">
                                <a:pos x="T1" y="T3"/>
                              </a:cxn>
                              <a:cxn ang="0">
                                <a:pos x="T5" y="T7"/>
                              </a:cxn>
                              <a:cxn ang="0">
                                <a:pos x="T9" y="T11"/>
                              </a:cxn>
                            </a:cxnLst>
                            <a:rect l="0" t="0" r="r" b="b"/>
                            <a:pathLst>
                              <a:path w="32" h="37">
                                <a:moveTo>
                                  <a:pt x="0" y="37"/>
                                </a:moveTo>
                                <a:lnTo>
                                  <a:pt x="31" y="0"/>
                                </a:lnTo>
                                <a:lnTo>
                                  <a:pt x="32"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28" name="Freeform 318"/>
                        <wps:cNvSpPr/>
                        <wps:spPr bwMode="auto">
                          <a:xfrm>
                            <a:off x="6190" y="1452"/>
                            <a:ext cx="893" cy="1037"/>
                          </a:xfrm>
                          <a:custGeom>
                            <a:avLst/>
                            <a:gdLst>
                              <a:gd name="T0" fmla="+- 0 6190 6190"/>
                              <a:gd name="T1" fmla="*/ T0 w 893"/>
                              <a:gd name="T2" fmla="+- 0 2490 1453"/>
                              <a:gd name="T3" fmla="*/ 2490 h 1037"/>
                              <a:gd name="T4" fmla="+- 0 7082 6190"/>
                              <a:gd name="T5" fmla="*/ T4 w 893"/>
                              <a:gd name="T6" fmla="+- 0 1453 1453"/>
                              <a:gd name="T7" fmla="*/ 1453 h 1037"/>
                              <a:gd name="T8" fmla="+- 0 7082 6190"/>
                              <a:gd name="T9" fmla="*/ T8 w 893"/>
                              <a:gd name="T10" fmla="+- 0 1453 1453"/>
                              <a:gd name="T11" fmla="*/ 1453 h 1037"/>
                            </a:gdLst>
                            <a:ahLst/>
                            <a:cxnLst>
                              <a:cxn ang="0">
                                <a:pos x="T1" y="T3"/>
                              </a:cxn>
                              <a:cxn ang="0">
                                <a:pos x="T5" y="T7"/>
                              </a:cxn>
                              <a:cxn ang="0">
                                <a:pos x="T9" y="T11"/>
                              </a:cxn>
                            </a:cxnLst>
                            <a:rect l="0" t="0" r="r" b="b"/>
                            <a:pathLst>
                              <a:path w="893" h="1037">
                                <a:moveTo>
                                  <a:pt x="0" y="1037"/>
                                </a:moveTo>
                                <a:lnTo>
                                  <a:pt x="892"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29" name="Freeform 317"/>
                        <wps:cNvSpPr/>
                        <wps:spPr bwMode="auto">
                          <a:xfrm>
                            <a:off x="6190" y="1517"/>
                            <a:ext cx="910" cy="1057"/>
                          </a:xfrm>
                          <a:custGeom>
                            <a:avLst/>
                            <a:gdLst>
                              <a:gd name="T0" fmla="+- 0 6190 6190"/>
                              <a:gd name="T1" fmla="*/ T0 w 910"/>
                              <a:gd name="T2" fmla="+- 0 2575 1518"/>
                              <a:gd name="T3" fmla="*/ 2575 h 1057"/>
                              <a:gd name="T4" fmla="+- 0 7099 6190"/>
                              <a:gd name="T5" fmla="*/ T4 w 910"/>
                              <a:gd name="T6" fmla="+- 0 1518 1518"/>
                              <a:gd name="T7" fmla="*/ 1518 h 1057"/>
                              <a:gd name="T8" fmla="+- 0 7100 6190"/>
                              <a:gd name="T9" fmla="*/ T8 w 910"/>
                              <a:gd name="T10" fmla="+- 0 1518 1518"/>
                              <a:gd name="T11" fmla="*/ 1518 h 1057"/>
                            </a:gdLst>
                            <a:ahLst/>
                            <a:cxnLst>
                              <a:cxn ang="0">
                                <a:pos x="T1" y="T3"/>
                              </a:cxn>
                              <a:cxn ang="0">
                                <a:pos x="T5" y="T7"/>
                              </a:cxn>
                              <a:cxn ang="0">
                                <a:pos x="T9" y="T11"/>
                              </a:cxn>
                            </a:cxnLst>
                            <a:rect l="0" t="0" r="r" b="b"/>
                            <a:pathLst>
                              <a:path w="910" h="1057">
                                <a:moveTo>
                                  <a:pt x="0" y="1057"/>
                                </a:moveTo>
                                <a:lnTo>
                                  <a:pt x="909" y="0"/>
                                </a:lnTo>
                                <a:lnTo>
                                  <a:pt x="910"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30" name="Freeform 316"/>
                        <wps:cNvSpPr/>
                        <wps:spPr bwMode="auto">
                          <a:xfrm>
                            <a:off x="6190" y="1582"/>
                            <a:ext cx="927" cy="1077"/>
                          </a:xfrm>
                          <a:custGeom>
                            <a:avLst/>
                            <a:gdLst>
                              <a:gd name="T0" fmla="+- 0 6190 6190"/>
                              <a:gd name="T1" fmla="*/ T0 w 927"/>
                              <a:gd name="T2" fmla="+- 0 2659 1583"/>
                              <a:gd name="T3" fmla="*/ 2659 h 1077"/>
                              <a:gd name="T4" fmla="+- 0 7116 6190"/>
                              <a:gd name="T5" fmla="*/ T4 w 927"/>
                              <a:gd name="T6" fmla="+- 0 1583 1583"/>
                              <a:gd name="T7" fmla="*/ 1583 h 1077"/>
                              <a:gd name="T8" fmla="+- 0 7117 6190"/>
                              <a:gd name="T9" fmla="*/ T8 w 927"/>
                              <a:gd name="T10" fmla="+- 0 1583 1583"/>
                              <a:gd name="T11" fmla="*/ 1583 h 1077"/>
                            </a:gdLst>
                            <a:ahLst/>
                            <a:cxnLst>
                              <a:cxn ang="0">
                                <a:pos x="T1" y="T3"/>
                              </a:cxn>
                              <a:cxn ang="0">
                                <a:pos x="T5" y="T7"/>
                              </a:cxn>
                              <a:cxn ang="0">
                                <a:pos x="T9" y="T11"/>
                              </a:cxn>
                            </a:cxnLst>
                            <a:rect l="0" t="0" r="r" b="b"/>
                            <a:pathLst>
                              <a:path w="927" h="1077">
                                <a:moveTo>
                                  <a:pt x="0" y="1076"/>
                                </a:moveTo>
                                <a:lnTo>
                                  <a:pt x="926" y="0"/>
                                </a:lnTo>
                                <a:lnTo>
                                  <a:pt x="927"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31" name="Freeform 315"/>
                        <wps:cNvSpPr/>
                        <wps:spPr bwMode="auto">
                          <a:xfrm>
                            <a:off x="6190" y="1647"/>
                            <a:ext cx="944" cy="1097"/>
                          </a:xfrm>
                          <a:custGeom>
                            <a:avLst/>
                            <a:gdLst>
                              <a:gd name="T0" fmla="+- 0 6190 6190"/>
                              <a:gd name="T1" fmla="*/ T0 w 944"/>
                              <a:gd name="T2" fmla="+- 0 2744 1648"/>
                              <a:gd name="T3" fmla="*/ 2744 h 1097"/>
                              <a:gd name="T4" fmla="+- 0 7134 6190"/>
                              <a:gd name="T5" fmla="*/ T4 w 944"/>
                              <a:gd name="T6" fmla="+- 0 1648 1648"/>
                              <a:gd name="T7" fmla="*/ 1648 h 1097"/>
                              <a:gd name="T8" fmla="+- 0 7134 6190"/>
                              <a:gd name="T9" fmla="*/ T8 w 944"/>
                              <a:gd name="T10" fmla="+- 0 1648 1648"/>
                              <a:gd name="T11" fmla="*/ 1648 h 1097"/>
                            </a:gdLst>
                            <a:ahLst/>
                            <a:cxnLst>
                              <a:cxn ang="0">
                                <a:pos x="T1" y="T3"/>
                              </a:cxn>
                              <a:cxn ang="0">
                                <a:pos x="T5" y="T7"/>
                              </a:cxn>
                              <a:cxn ang="0">
                                <a:pos x="T9" y="T11"/>
                              </a:cxn>
                            </a:cxnLst>
                            <a:rect l="0" t="0" r="r" b="b"/>
                            <a:pathLst>
                              <a:path w="944" h="1097">
                                <a:moveTo>
                                  <a:pt x="0" y="1096"/>
                                </a:moveTo>
                                <a:lnTo>
                                  <a:pt x="944"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32" name="Freeform 314"/>
                        <wps:cNvSpPr/>
                        <wps:spPr bwMode="auto">
                          <a:xfrm>
                            <a:off x="6190" y="1712"/>
                            <a:ext cx="961" cy="1117"/>
                          </a:xfrm>
                          <a:custGeom>
                            <a:avLst/>
                            <a:gdLst>
                              <a:gd name="T0" fmla="+- 0 6190 6190"/>
                              <a:gd name="T1" fmla="*/ T0 w 961"/>
                              <a:gd name="T2" fmla="+- 0 2829 1713"/>
                              <a:gd name="T3" fmla="*/ 2829 h 1117"/>
                              <a:gd name="T4" fmla="+- 0 7151 6190"/>
                              <a:gd name="T5" fmla="*/ T4 w 961"/>
                              <a:gd name="T6" fmla="+- 0 1713 1713"/>
                              <a:gd name="T7" fmla="*/ 1713 h 1117"/>
                              <a:gd name="T8" fmla="+- 0 7151 6190"/>
                              <a:gd name="T9" fmla="*/ T8 w 961"/>
                              <a:gd name="T10" fmla="+- 0 1713 1713"/>
                              <a:gd name="T11" fmla="*/ 1713 h 1117"/>
                            </a:gdLst>
                            <a:ahLst/>
                            <a:cxnLst>
                              <a:cxn ang="0">
                                <a:pos x="T1" y="T3"/>
                              </a:cxn>
                              <a:cxn ang="0">
                                <a:pos x="T5" y="T7"/>
                              </a:cxn>
                              <a:cxn ang="0">
                                <a:pos x="T9" y="T11"/>
                              </a:cxn>
                            </a:cxnLst>
                            <a:rect l="0" t="0" r="r" b="b"/>
                            <a:pathLst>
                              <a:path w="961" h="1117">
                                <a:moveTo>
                                  <a:pt x="0" y="1116"/>
                                </a:moveTo>
                                <a:lnTo>
                                  <a:pt x="961"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33" name="Freeform 313"/>
                        <wps:cNvSpPr/>
                        <wps:spPr bwMode="auto">
                          <a:xfrm>
                            <a:off x="6190" y="1777"/>
                            <a:ext cx="978" cy="1137"/>
                          </a:xfrm>
                          <a:custGeom>
                            <a:avLst/>
                            <a:gdLst>
                              <a:gd name="T0" fmla="+- 0 6190 6190"/>
                              <a:gd name="T1" fmla="*/ T0 w 978"/>
                              <a:gd name="T2" fmla="+- 0 2914 1777"/>
                              <a:gd name="T3" fmla="*/ 2914 h 1137"/>
                              <a:gd name="T4" fmla="+- 0 7168 6190"/>
                              <a:gd name="T5" fmla="*/ T4 w 978"/>
                              <a:gd name="T6" fmla="+- 0 1777 1777"/>
                              <a:gd name="T7" fmla="*/ 1777 h 1137"/>
                              <a:gd name="T8" fmla="+- 0 7168 6190"/>
                              <a:gd name="T9" fmla="*/ T8 w 978"/>
                              <a:gd name="T10" fmla="+- 0 1777 1777"/>
                              <a:gd name="T11" fmla="*/ 1777 h 1137"/>
                            </a:gdLst>
                            <a:ahLst/>
                            <a:cxnLst>
                              <a:cxn ang="0">
                                <a:pos x="T1" y="T3"/>
                              </a:cxn>
                              <a:cxn ang="0">
                                <a:pos x="T5" y="T7"/>
                              </a:cxn>
                              <a:cxn ang="0">
                                <a:pos x="T9" y="T11"/>
                              </a:cxn>
                            </a:cxnLst>
                            <a:rect l="0" t="0" r="r" b="b"/>
                            <a:pathLst>
                              <a:path w="978" h="1137">
                                <a:moveTo>
                                  <a:pt x="0" y="1137"/>
                                </a:moveTo>
                                <a:lnTo>
                                  <a:pt x="978"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34" name="Freeform 312"/>
                        <wps:cNvSpPr/>
                        <wps:spPr bwMode="auto">
                          <a:xfrm>
                            <a:off x="6190" y="1842"/>
                            <a:ext cx="995" cy="1157"/>
                          </a:xfrm>
                          <a:custGeom>
                            <a:avLst/>
                            <a:gdLst>
                              <a:gd name="T0" fmla="+- 0 6190 6190"/>
                              <a:gd name="T1" fmla="*/ T0 w 995"/>
                              <a:gd name="T2" fmla="+- 0 2999 1843"/>
                              <a:gd name="T3" fmla="*/ 2999 h 1157"/>
                              <a:gd name="T4" fmla="+- 0 7185 6190"/>
                              <a:gd name="T5" fmla="*/ T4 w 995"/>
                              <a:gd name="T6" fmla="+- 0 1843 1843"/>
                              <a:gd name="T7" fmla="*/ 1843 h 1157"/>
                              <a:gd name="T8" fmla="+- 0 7185 6190"/>
                              <a:gd name="T9" fmla="*/ T8 w 995"/>
                              <a:gd name="T10" fmla="+- 0 1843 1843"/>
                              <a:gd name="T11" fmla="*/ 1843 h 1157"/>
                            </a:gdLst>
                            <a:ahLst/>
                            <a:cxnLst>
                              <a:cxn ang="0">
                                <a:pos x="T1" y="T3"/>
                              </a:cxn>
                              <a:cxn ang="0">
                                <a:pos x="T5" y="T7"/>
                              </a:cxn>
                              <a:cxn ang="0">
                                <a:pos x="T9" y="T11"/>
                              </a:cxn>
                            </a:cxnLst>
                            <a:rect l="0" t="0" r="r" b="b"/>
                            <a:pathLst>
                              <a:path w="995" h="1157">
                                <a:moveTo>
                                  <a:pt x="0" y="1156"/>
                                </a:moveTo>
                                <a:lnTo>
                                  <a:pt x="995"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35" name="Freeform 311"/>
                        <wps:cNvSpPr/>
                        <wps:spPr bwMode="auto">
                          <a:xfrm>
                            <a:off x="6190" y="1907"/>
                            <a:ext cx="1012" cy="1177"/>
                          </a:xfrm>
                          <a:custGeom>
                            <a:avLst/>
                            <a:gdLst>
                              <a:gd name="T0" fmla="+- 0 6190 6190"/>
                              <a:gd name="T1" fmla="*/ T0 w 1012"/>
                              <a:gd name="T2" fmla="+- 0 3084 1907"/>
                              <a:gd name="T3" fmla="*/ 3084 h 1177"/>
                              <a:gd name="T4" fmla="+- 0 7202 6190"/>
                              <a:gd name="T5" fmla="*/ T4 w 1012"/>
                              <a:gd name="T6" fmla="+- 0 1907 1907"/>
                              <a:gd name="T7" fmla="*/ 1907 h 1177"/>
                              <a:gd name="T8" fmla="+- 0 7202 6190"/>
                              <a:gd name="T9" fmla="*/ T8 w 1012"/>
                              <a:gd name="T10" fmla="+- 0 1907 1907"/>
                              <a:gd name="T11" fmla="*/ 1907 h 1177"/>
                            </a:gdLst>
                            <a:ahLst/>
                            <a:cxnLst>
                              <a:cxn ang="0">
                                <a:pos x="T1" y="T3"/>
                              </a:cxn>
                              <a:cxn ang="0">
                                <a:pos x="T5" y="T7"/>
                              </a:cxn>
                              <a:cxn ang="0">
                                <a:pos x="T9" y="T11"/>
                              </a:cxn>
                            </a:cxnLst>
                            <a:rect l="0" t="0" r="r" b="b"/>
                            <a:pathLst>
                              <a:path w="1012" h="1177">
                                <a:moveTo>
                                  <a:pt x="0" y="1177"/>
                                </a:moveTo>
                                <a:lnTo>
                                  <a:pt x="1012"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36" name="Freeform 310"/>
                        <wps:cNvSpPr/>
                        <wps:spPr bwMode="auto">
                          <a:xfrm>
                            <a:off x="6190" y="1972"/>
                            <a:ext cx="1030" cy="1197"/>
                          </a:xfrm>
                          <a:custGeom>
                            <a:avLst/>
                            <a:gdLst>
                              <a:gd name="T0" fmla="+- 0 6190 6190"/>
                              <a:gd name="T1" fmla="*/ T0 w 1030"/>
                              <a:gd name="T2" fmla="+- 0 3168 1972"/>
                              <a:gd name="T3" fmla="*/ 3168 h 1197"/>
                              <a:gd name="T4" fmla="+- 0 7219 6190"/>
                              <a:gd name="T5" fmla="*/ T4 w 1030"/>
                              <a:gd name="T6" fmla="+- 0 1972 1972"/>
                              <a:gd name="T7" fmla="*/ 1972 h 1197"/>
                              <a:gd name="T8" fmla="+- 0 7219 6190"/>
                              <a:gd name="T9" fmla="*/ T8 w 1030"/>
                              <a:gd name="T10" fmla="+- 0 1972 1972"/>
                              <a:gd name="T11" fmla="*/ 1972 h 1197"/>
                            </a:gdLst>
                            <a:ahLst/>
                            <a:cxnLst>
                              <a:cxn ang="0">
                                <a:pos x="T1" y="T3"/>
                              </a:cxn>
                              <a:cxn ang="0">
                                <a:pos x="T5" y="T7"/>
                              </a:cxn>
                              <a:cxn ang="0">
                                <a:pos x="T9" y="T11"/>
                              </a:cxn>
                            </a:cxnLst>
                            <a:rect l="0" t="0" r="r" b="b"/>
                            <a:pathLst>
                              <a:path w="1030" h="1197">
                                <a:moveTo>
                                  <a:pt x="0" y="1196"/>
                                </a:moveTo>
                                <a:lnTo>
                                  <a:pt x="1029"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37" name="Freeform 309"/>
                        <wps:cNvSpPr/>
                        <wps:spPr bwMode="auto">
                          <a:xfrm>
                            <a:off x="6190" y="2037"/>
                            <a:ext cx="1046" cy="1216"/>
                          </a:xfrm>
                          <a:custGeom>
                            <a:avLst/>
                            <a:gdLst>
                              <a:gd name="T0" fmla="+- 0 6190 6190"/>
                              <a:gd name="T1" fmla="*/ T0 w 1046"/>
                              <a:gd name="T2" fmla="+- 0 3253 2037"/>
                              <a:gd name="T3" fmla="*/ 3253 h 1216"/>
                              <a:gd name="T4" fmla="+- 0 7236 6190"/>
                              <a:gd name="T5" fmla="*/ T4 w 1046"/>
                              <a:gd name="T6" fmla="+- 0 2037 2037"/>
                              <a:gd name="T7" fmla="*/ 2037 h 1216"/>
                              <a:gd name="T8" fmla="+- 0 7236 6190"/>
                              <a:gd name="T9" fmla="*/ T8 w 1046"/>
                              <a:gd name="T10" fmla="+- 0 2037 2037"/>
                              <a:gd name="T11" fmla="*/ 2037 h 1216"/>
                            </a:gdLst>
                            <a:ahLst/>
                            <a:cxnLst>
                              <a:cxn ang="0">
                                <a:pos x="T1" y="T3"/>
                              </a:cxn>
                              <a:cxn ang="0">
                                <a:pos x="T5" y="T7"/>
                              </a:cxn>
                              <a:cxn ang="0">
                                <a:pos x="T9" y="T11"/>
                              </a:cxn>
                            </a:cxnLst>
                            <a:rect l="0" t="0" r="r" b="b"/>
                            <a:pathLst>
                              <a:path w="1046" h="1216">
                                <a:moveTo>
                                  <a:pt x="0" y="1216"/>
                                </a:moveTo>
                                <a:lnTo>
                                  <a:pt x="1046"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38" name="Freeform 308"/>
                        <wps:cNvSpPr/>
                        <wps:spPr bwMode="auto">
                          <a:xfrm>
                            <a:off x="6190" y="2102"/>
                            <a:ext cx="1064" cy="1236"/>
                          </a:xfrm>
                          <a:custGeom>
                            <a:avLst/>
                            <a:gdLst>
                              <a:gd name="T0" fmla="+- 0 6190 6190"/>
                              <a:gd name="T1" fmla="*/ T0 w 1064"/>
                              <a:gd name="T2" fmla="+- 0 3338 2102"/>
                              <a:gd name="T3" fmla="*/ 3338 h 1236"/>
                              <a:gd name="T4" fmla="+- 0 7253 6190"/>
                              <a:gd name="T5" fmla="*/ T4 w 1064"/>
                              <a:gd name="T6" fmla="+- 0 2102 2102"/>
                              <a:gd name="T7" fmla="*/ 2102 h 1236"/>
                              <a:gd name="T8" fmla="+- 0 7253 6190"/>
                              <a:gd name="T9" fmla="*/ T8 w 1064"/>
                              <a:gd name="T10" fmla="+- 0 2102 2102"/>
                              <a:gd name="T11" fmla="*/ 2102 h 1236"/>
                            </a:gdLst>
                            <a:ahLst/>
                            <a:cxnLst>
                              <a:cxn ang="0">
                                <a:pos x="T1" y="T3"/>
                              </a:cxn>
                              <a:cxn ang="0">
                                <a:pos x="T5" y="T7"/>
                              </a:cxn>
                              <a:cxn ang="0">
                                <a:pos x="T9" y="T11"/>
                              </a:cxn>
                            </a:cxnLst>
                            <a:rect l="0" t="0" r="r" b="b"/>
                            <a:pathLst>
                              <a:path w="1064" h="1236">
                                <a:moveTo>
                                  <a:pt x="0" y="1236"/>
                                </a:moveTo>
                                <a:lnTo>
                                  <a:pt x="1063"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39" name="Freeform 307"/>
                        <wps:cNvSpPr/>
                        <wps:spPr bwMode="auto">
                          <a:xfrm>
                            <a:off x="6238" y="2167"/>
                            <a:ext cx="1033" cy="1200"/>
                          </a:xfrm>
                          <a:custGeom>
                            <a:avLst/>
                            <a:gdLst>
                              <a:gd name="T0" fmla="+- 0 6238 6238"/>
                              <a:gd name="T1" fmla="*/ T0 w 1033"/>
                              <a:gd name="T2" fmla="+- 0 3367 2167"/>
                              <a:gd name="T3" fmla="*/ 3367 h 1200"/>
                              <a:gd name="T4" fmla="+- 0 7270 6238"/>
                              <a:gd name="T5" fmla="*/ T4 w 1033"/>
                              <a:gd name="T6" fmla="+- 0 2167 2167"/>
                              <a:gd name="T7" fmla="*/ 2167 h 1200"/>
                              <a:gd name="T8" fmla="+- 0 7271 6238"/>
                              <a:gd name="T9" fmla="*/ T8 w 1033"/>
                              <a:gd name="T10" fmla="+- 0 2167 2167"/>
                              <a:gd name="T11" fmla="*/ 2167 h 1200"/>
                            </a:gdLst>
                            <a:ahLst/>
                            <a:cxnLst>
                              <a:cxn ang="0">
                                <a:pos x="T1" y="T3"/>
                              </a:cxn>
                              <a:cxn ang="0">
                                <a:pos x="T5" y="T7"/>
                              </a:cxn>
                              <a:cxn ang="0">
                                <a:pos x="T9" y="T11"/>
                              </a:cxn>
                            </a:cxnLst>
                            <a:rect l="0" t="0" r="r" b="b"/>
                            <a:pathLst>
                              <a:path w="1033" h="1200">
                                <a:moveTo>
                                  <a:pt x="0" y="1200"/>
                                </a:moveTo>
                                <a:lnTo>
                                  <a:pt x="1032" y="0"/>
                                </a:lnTo>
                                <a:lnTo>
                                  <a:pt x="1033"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40" name="Freeform 306"/>
                        <wps:cNvSpPr/>
                        <wps:spPr bwMode="auto">
                          <a:xfrm>
                            <a:off x="6311" y="2232"/>
                            <a:ext cx="977" cy="1135"/>
                          </a:xfrm>
                          <a:custGeom>
                            <a:avLst/>
                            <a:gdLst>
                              <a:gd name="T0" fmla="+- 0 6311 6311"/>
                              <a:gd name="T1" fmla="*/ T0 w 977"/>
                              <a:gd name="T2" fmla="+- 0 3367 2232"/>
                              <a:gd name="T3" fmla="*/ 3367 h 1135"/>
                              <a:gd name="T4" fmla="+- 0 7287 6311"/>
                              <a:gd name="T5" fmla="*/ T4 w 977"/>
                              <a:gd name="T6" fmla="+- 0 2232 2232"/>
                              <a:gd name="T7" fmla="*/ 2232 h 1135"/>
                              <a:gd name="T8" fmla="+- 0 7288 6311"/>
                              <a:gd name="T9" fmla="*/ T8 w 977"/>
                              <a:gd name="T10" fmla="+- 0 2232 2232"/>
                              <a:gd name="T11" fmla="*/ 2232 h 1135"/>
                            </a:gdLst>
                            <a:ahLst/>
                            <a:cxnLst>
                              <a:cxn ang="0">
                                <a:pos x="T1" y="T3"/>
                              </a:cxn>
                              <a:cxn ang="0">
                                <a:pos x="T5" y="T7"/>
                              </a:cxn>
                              <a:cxn ang="0">
                                <a:pos x="T9" y="T11"/>
                              </a:cxn>
                            </a:cxnLst>
                            <a:rect l="0" t="0" r="r" b="b"/>
                            <a:pathLst>
                              <a:path w="977" h="1135">
                                <a:moveTo>
                                  <a:pt x="0" y="1135"/>
                                </a:moveTo>
                                <a:lnTo>
                                  <a:pt x="976" y="0"/>
                                </a:lnTo>
                                <a:lnTo>
                                  <a:pt x="977"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41" name="Freeform 305"/>
                        <wps:cNvSpPr/>
                        <wps:spPr bwMode="auto">
                          <a:xfrm>
                            <a:off x="6384" y="2297"/>
                            <a:ext cx="921" cy="1070"/>
                          </a:xfrm>
                          <a:custGeom>
                            <a:avLst/>
                            <a:gdLst>
                              <a:gd name="T0" fmla="+- 0 6384 6384"/>
                              <a:gd name="T1" fmla="*/ T0 w 921"/>
                              <a:gd name="T2" fmla="+- 0 3367 2297"/>
                              <a:gd name="T3" fmla="*/ 3367 h 1070"/>
                              <a:gd name="T4" fmla="+- 0 7305 6384"/>
                              <a:gd name="T5" fmla="*/ T4 w 921"/>
                              <a:gd name="T6" fmla="+- 0 2297 2297"/>
                              <a:gd name="T7" fmla="*/ 2297 h 1070"/>
                              <a:gd name="T8" fmla="+- 0 7305 6384"/>
                              <a:gd name="T9" fmla="*/ T8 w 921"/>
                              <a:gd name="T10" fmla="+- 0 2297 2297"/>
                              <a:gd name="T11" fmla="*/ 2297 h 1070"/>
                            </a:gdLst>
                            <a:ahLst/>
                            <a:cxnLst>
                              <a:cxn ang="0">
                                <a:pos x="T1" y="T3"/>
                              </a:cxn>
                              <a:cxn ang="0">
                                <a:pos x="T5" y="T7"/>
                              </a:cxn>
                              <a:cxn ang="0">
                                <a:pos x="T9" y="T11"/>
                              </a:cxn>
                            </a:cxnLst>
                            <a:rect l="0" t="0" r="r" b="b"/>
                            <a:pathLst>
                              <a:path w="921" h="1070">
                                <a:moveTo>
                                  <a:pt x="0" y="1070"/>
                                </a:moveTo>
                                <a:lnTo>
                                  <a:pt x="921"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42" name="Freeform 304"/>
                        <wps:cNvSpPr/>
                        <wps:spPr bwMode="auto">
                          <a:xfrm>
                            <a:off x="6413" y="2362"/>
                            <a:ext cx="909" cy="1056"/>
                          </a:xfrm>
                          <a:custGeom>
                            <a:avLst/>
                            <a:gdLst>
                              <a:gd name="T0" fmla="+- 0 6414 6414"/>
                              <a:gd name="T1" fmla="*/ T0 w 909"/>
                              <a:gd name="T2" fmla="+- 0 3418 2362"/>
                              <a:gd name="T3" fmla="*/ 3418 h 1056"/>
                              <a:gd name="T4" fmla="+- 0 7322 6414"/>
                              <a:gd name="T5" fmla="*/ T4 w 909"/>
                              <a:gd name="T6" fmla="+- 0 2362 2362"/>
                              <a:gd name="T7" fmla="*/ 2362 h 1056"/>
                              <a:gd name="T8" fmla="+- 0 7322 6414"/>
                              <a:gd name="T9" fmla="*/ T8 w 909"/>
                              <a:gd name="T10" fmla="+- 0 2362 2362"/>
                              <a:gd name="T11" fmla="*/ 2362 h 1056"/>
                            </a:gdLst>
                            <a:ahLst/>
                            <a:cxnLst>
                              <a:cxn ang="0">
                                <a:pos x="T1" y="T3"/>
                              </a:cxn>
                              <a:cxn ang="0">
                                <a:pos x="T5" y="T7"/>
                              </a:cxn>
                              <a:cxn ang="0">
                                <a:pos x="T9" y="T11"/>
                              </a:cxn>
                            </a:cxnLst>
                            <a:rect l="0" t="0" r="r" b="b"/>
                            <a:pathLst>
                              <a:path w="909" h="1056">
                                <a:moveTo>
                                  <a:pt x="0" y="1056"/>
                                </a:moveTo>
                                <a:lnTo>
                                  <a:pt x="908"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43" name="Freeform 303"/>
                        <wps:cNvSpPr/>
                        <wps:spPr bwMode="auto">
                          <a:xfrm>
                            <a:off x="6413" y="2427"/>
                            <a:ext cx="926" cy="1076"/>
                          </a:xfrm>
                          <a:custGeom>
                            <a:avLst/>
                            <a:gdLst>
                              <a:gd name="T0" fmla="+- 0 6414 6414"/>
                              <a:gd name="T1" fmla="*/ T0 w 926"/>
                              <a:gd name="T2" fmla="+- 0 3503 2427"/>
                              <a:gd name="T3" fmla="*/ 3503 h 1076"/>
                              <a:gd name="T4" fmla="+- 0 7339 6414"/>
                              <a:gd name="T5" fmla="*/ T4 w 926"/>
                              <a:gd name="T6" fmla="+- 0 2427 2427"/>
                              <a:gd name="T7" fmla="*/ 2427 h 1076"/>
                              <a:gd name="T8" fmla="+- 0 7339 6414"/>
                              <a:gd name="T9" fmla="*/ T8 w 926"/>
                              <a:gd name="T10" fmla="+- 0 2427 2427"/>
                              <a:gd name="T11" fmla="*/ 2427 h 1076"/>
                            </a:gdLst>
                            <a:ahLst/>
                            <a:cxnLst>
                              <a:cxn ang="0">
                                <a:pos x="T1" y="T3"/>
                              </a:cxn>
                              <a:cxn ang="0">
                                <a:pos x="T5" y="T7"/>
                              </a:cxn>
                              <a:cxn ang="0">
                                <a:pos x="T9" y="T11"/>
                              </a:cxn>
                            </a:cxnLst>
                            <a:rect l="0" t="0" r="r" b="b"/>
                            <a:pathLst>
                              <a:path w="926" h="1076">
                                <a:moveTo>
                                  <a:pt x="0" y="1076"/>
                                </a:moveTo>
                                <a:lnTo>
                                  <a:pt x="925"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44" name="Freeform 302"/>
                        <wps:cNvSpPr/>
                        <wps:spPr bwMode="auto">
                          <a:xfrm>
                            <a:off x="6413" y="2492"/>
                            <a:ext cx="943" cy="1096"/>
                          </a:xfrm>
                          <a:custGeom>
                            <a:avLst/>
                            <a:gdLst>
                              <a:gd name="T0" fmla="+- 0 6414 6414"/>
                              <a:gd name="T1" fmla="*/ T0 w 943"/>
                              <a:gd name="T2" fmla="+- 0 3588 2492"/>
                              <a:gd name="T3" fmla="*/ 3588 h 1096"/>
                              <a:gd name="T4" fmla="+- 0 7356 6414"/>
                              <a:gd name="T5" fmla="*/ T4 w 943"/>
                              <a:gd name="T6" fmla="+- 0 2492 2492"/>
                              <a:gd name="T7" fmla="*/ 2492 h 1096"/>
                              <a:gd name="T8" fmla="+- 0 7356 6414"/>
                              <a:gd name="T9" fmla="*/ T8 w 943"/>
                              <a:gd name="T10" fmla="+- 0 2492 2492"/>
                              <a:gd name="T11" fmla="*/ 2492 h 1096"/>
                            </a:gdLst>
                            <a:ahLst/>
                            <a:cxnLst>
                              <a:cxn ang="0">
                                <a:pos x="T1" y="T3"/>
                              </a:cxn>
                              <a:cxn ang="0">
                                <a:pos x="T5" y="T7"/>
                              </a:cxn>
                              <a:cxn ang="0">
                                <a:pos x="T9" y="T11"/>
                              </a:cxn>
                            </a:cxnLst>
                            <a:rect l="0" t="0" r="r" b="b"/>
                            <a:pathLst>
                              <a:path w="943" h="1096">
                                <a:moveTo>
                                  <a:pt x="0" y="1096"/>
                                </a:moveTo>
                                <a:lnTo>
                                  <a:pt x="942"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45" name="Freeform 301"/>
                        <wps:cNvSpPr/>
                        <wps:spPr bwMode="auto">
                          <a:xfrm>
                            <a:off x="6472" y="2557"/>
                            <a:ext cx="901" cy="1048"/>
                          </a:xfrm>
                          <a:custGeom>
                            <a:avLst/>
                            <a:gdLst>
                              <a:gd name="T0" fmla="+- 0 6472 6472"/>
                              <a:gd name="T1" fmla="*/ T0 w 901"/>
                              <a:gd name="T2" fmla="+- 0 3604 2557"/>
                              <a:gd name="T3" fmla="*/ 3604 h 1048"/>
                              <a:gd name="T4" fmla="+- 0 7373 6472"/>
                              <a:gd name="T5" fmla="*/ T4 w 901"/>
                              <a:gd name="T6" fmla="+- 0 2557 2557"/>
                              <a:gd name="T7" fmla="*/ 2557 h 1048"/>
                              <a:gd name="T8" fmla="+- 0 7373 6472"/>
                              <a:gd name="T9" fmla="*/ T8 w 901"/>
                              <a:gd name="T10" fmla="+- 0 2557 2557"/>
                              <a:gd name="T11" fmla="*/ 2557 h 1048"/>
                            </a:gdLst>
                            <a:ahLst/>
                            <a:cxnLst>
                              <a:cxn ang="0">
                                <a:pos x="T1" y="T3"/>
                              </a:cxn>
                              <a:cxn ang="0">
                                <a:pos x="T5" y="T7"/>
                              </a:cxn>
                              <a:cxn ang="0">
                                <a:pos x="T9" y="T11"/>
                              </a:cxn>
                            </a:cxnLst>
                            <a:rect l="0" t="0" r="r" b="b"/>
                            <a:pathLst>
                              <a:path w="901" h="1048">
                                <a:moveTo>
                                  <a:pt x="0" y="1047"/>
                                </a:moveTo>
                                <a:lnTo>
                                  <a:pt x="901"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46" name="Freeform 300"/>
                        <wps:cNvSpPr/>
                        <wps:spPr bwMode="auto">
                          <a:xfrm>
                            <a:off x="6545" y="2622"/>
                            <a:ext cx="846" cy="983"/>
                          </a:xfrm>
                          <a:custGeom>
                            <a:avLst/>
                            <a:gdLst>
                              <a:gd name="T0" fmla="+- 0 6545 6545"/>
                              <a:gd name="T1" fmla="*/ T0 w 846"/>
                              <a:gd name="T2" fmla="+- 0 3604 2622"/>
                              <a:gd name="T3" fmla="*/ 3604 h 983"/>
                              <a:gd name="T4" fmla="+- 0 7390 6545"/>
                              <a:gd name="T5" fmla="*/ T4 w 846"/>
                              <a:gd name="T6" fmla="+- 0 2622 2622"/>
                              <a:gd name="T7" fmla="*/ 2622 h 983"/>
                              <a:gd name="T8" fmla="+- 0 7390 6545"/>
                              <a:gd name="T9" fmla="*/ T8 w 846"/>
                              <a:gd name="T10" fmla="+- 0 2622 2622"/>
                              <a:gd name="T11" fmla="*/ 2622 h 983"/>
                            </a:gdLst>
                            <a:ahLst/>
                            <a:cxnLst>
                              <a:cxn ang="0">
                                <a:pos x="T1" y="T3"/>
                              </a:cxn>
                              <a:cxn ang="0">
                                <a:pos x="T5" y="T7"/>
                              </a:cxn>
                              <a:cxn ang="0">
                                <a:pos x="T9" y="T11"/>
                              </a:cxn>
                            </a:cxnLst>
                            <a:rect l="0" t="0" r="r" b="b"/>
                            <a:pathLst>
                              <a:path w="846" h="983">
                                <a:moveTo>
                                  <a:pt x="0" y="982"/>
                                </a:moveTo>
                                <a:lnTo>
                                  <a:pt x="845"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47" name="Freeform 299"/>
                        <wps:cNvSpPr/>
                        <wps:spPr bwMode="auto">
                          <a:xfrm>
                            <a:off x="6618" y="2687"/>
                            <a:ext cx="790" cy="918"/>
                          </a:xfrm>
                          <a:custGeom>
                            <a:avLst/>
                            <a:gdLst>
                              <a:gd name="T0" fmla="+- 0 6618 6618"/>
                              <a:gd name="T1" fmla="*/ T0 w 790"/>
                              <a:gd name="T2" fmla="+- 0 3604 2687"/>
                              <a:gd name="T3" fmla="*/ 3604 h 918"/>
                              <a:gd name="T4" fmla="+- 0 7407 6618"/>
                              <a:gd name="T5" fmla="*/ T4 w 790"/>
                              <a:gd name="T6" fmla="+- 0 2687 2687"/>
                              <a:gd name="T7" fmla="*/ 2687 h 918"/>
                              <a:gd name="T8" fmla="+- 0 7407 6618"/>
                              <a:gd name="T9" fmla="*/ T8 w 790"/>
                              <a:gd name="T10" fmla="+- 0 2687 2687"/>
                              <a:gd name="T11" fmla="*/ 2687 h 918"/>
                            </a:gdLst>
                            <a:ahLst/>
                            <a:cxnLst>
                              <a:cxn ang="0">
                                <a:pos x="T1" y="T3"/>
                              </a:cxn>
                              <a:cxn ang="0">
                                <a:pos x="T5" y="T7"/>
                              </a:cxn>
                              <a:cxn ang="0">
                                <a:pos x="T9" y="T11"/>
                              </a:cxn>
                            </a:cxnLst>
                            <a:rect l="0" t="0" r="r" b="b"/>
                            <a:pathLst>
                              <a:path w="790" h="918">
                                <a:moveTo>
                                  <a:pt x="0" y="917"/>
                                </a:moveTo>
                                <a:lnTo>
                                  <a:pt x="789"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48" name="Freeform 298"/>
                        <wps:cNvSpPr/>
                        <wps:spPr bwMode="auto">
                          <a:xfrm>
                            <a:off x="6691" y="2751"/>
                            <a:ext cx="734" cy="853"/>
                          </a:xfrm>
                          <a:custGeom>
                            <a:avLst/>
                            <a:gdLst>
                              <a:gd name="T0" fmla="+- 0 6691 6691"/>
                              <a:gd name="T1" fmla="*/ T0 w 734"/>
                              <a:gd name="T2" fmla="+- 0 3604 2752"/>
                              <a:gd name="T3" fmla="*/ 3604 h 853"/>
                              <a:gd name="T4" fmla="+- 0 7424 6691"/>
                              <a:gd name="T5" fmla="*/ T4 w 734"/>
                              <a:gd name="T6" fmla="+- 0 2752 2752"/>
                              <a:gd name="T7" fmla="*/ 2752 h 853"/>
                              <a:gd name="T8" fmla="+- 0 7425 6691"/>
                              <a:gd name="T9" fmla="*/ T8 w 734"/>
                              <a:gd name="T10" fmla="+- 0 2752 2752"/>
                              <a:gd name="T11" fmla="*/ 2752 h 853"/>
                            </a:gdLst>
                            <a:ahLst/>
                            <a:cxnLst>
                              <a:cxn ang="0">
                                <a:pos x="T1" y="T3"/>
                              </a:cxn>
                              <a:cxn ang="0">
                                <a:pos x="T5" y="T7"/>
                              </a:cxn>
                              <a:cxn ang="0">
                                <a:pos x="T9" y="T11"/>
                              </a:cxn>
                            </a:cxnLst>
                            <a:rect l="0" t="0" r="r" b="b"/>
                            <a:pathLst>
                              <a:path w="734" h="853">
                                <a:moveTo>
                                  <a:pt x="0" y="852"/>
                                </a:moveTo>
                                <a:lnTo>
                                  <a:pt x="733" y="0"/>
                                </a:lnTo>
                                <a:lnTo>
                                  <a:pt x="734"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49" name="Freeform 297"/>
                        <wps:cNvSpPr/>
                        <wps:spPr bwMode="auto">
                          <a:xfrm>
                            <a:off x="6764" y="2816"/>
                            <a:ext cx="678" cy="788"/>
                          </a:xfrm>
                          <a:custGeom>
                            <a:avLst/>
                            <a:gdLst>
                              <a:gd name="T0" fmla="+- 0 6764 6764"/>
                              <a:gd name="T1" fmla="*/ T0 w 678"/>
                              <a:gd name="T2" fmla="+- 0 3604 2817"/>
                              <a:gd name="T3" fmla="*/ 3604 h 788"/>
                              <a:gd name="T4" fmla="+- 0 7441 6764"/>
                              <a:gd name="T5" fmla="*/ T4 w 678"/>
                              <a:gd name="T6" fmla="+- 0 2817 2817"/>
                              <a:gd name="T7" fmla="*/ 2817 h 788"/>
                              <a:gd name="T8" fmla="+- 0 7442 6764"/>
                              <a:gd name="T9" fmla="*/ T8 w 678"/>
                              <a:gd name="T10" fmla="+- 0 2817 2817"/>
                              <a:gd name="T11" fmla="*/ 2817 h 788"/>
                            </a:gdLst>
                            <a:ahLst/>
                            <a:cxnLst>
                              <a:cxn ang="0">
                                <a:pos x="T1" y="T3"/>
                              </a:cxn>
                              <a:cxn ang="0">
                                <a:pos x="T5" y="T7"/>
                              </a:cxn>
                              <a:cxn ang="0">
                                <a:pos x="T9" y="T11"/>
                              </a:cxn>
                            </a:cxnLst>
                            <a:rect l="0" t="0" r="r" b="b"/>
                            <a:pathLst>
                              <a:path w="678" h="788">
                                <a:moveTo>
                                  <a:pt x="0" y="787"/>
                                </a:moveTo>
                                <a:lnTo>
                                  <a:pt x="677" y="0"/>
                                </a:lnTo>
                                <a:lnTo>
                                  <a:pt x="678"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50" name="Freeform 296"/>
                        <wps:cNvSpPr/>
                        <wps:spPr bwMode="auto">
                          <a:xfrm>
                            <a:off x="6837" y="2881"/>
                            <a:ext cx="622" cy="723"/>
                          </a:xfrm>
                          <a:custGeom>
                            <a:avLst/>
                            <a:gdLst>
                              <a:gd name="T0" fmla="+- 0 6837 6837"/>
                              <a:gd name="T1" fmla="*/ T0 w 622"/>
                              <a:gd name="T2" fmla="+- 0 3604 2882"/>
                              <a:gd name="T3" fmla="*/ 3604 h 723"/>
                              <a:gd name="T4" fmla="+- 0 7458 6837"/>
                              <a:gd name="T5" fmla="*/ T4 w 622"/>
                              <a:gd name="T6" fmla="+- 0 2882 2882"/>
                              <a:gd name="T7" fmla="*/ 2882 h 723"/>
                              <a:gd name="T8" fmla="+- 0 7459 6837"/>
                              <a:gd name="T9" fmla="*/ T8 w 622"/>
                              <a:gd name="T10" fmla="+- 0 2882 2882"/>
                              <a:gd name="T11" fmla="*/ 2882 h 723"/>
                            </a:gdLst>
                            <a:ahLst/>
                            <a:cxnLst>
                              <a:cxn ang="0">
                                <a:pos x="T1" y="T3"/>
                              </a:cxn>
                              <a:cxn ang="0">
                                <a:pos x="T5" y="T7"/>
                              </a:cxn>
                              <a:cxn ang="0">
                                <a:pos x="T9" y="T11"/>
                              </a:cxn>
                            </a:cxnLst>
                            <a:rect l="0" t="0" r="r" b="b"/>
                            <a:pathLst>
                              <a:path w="622" h="723">
                                <a:moveTo>
                                  <a:pt x="0" y="722"/>
                                </a:moveTo>
                                <a:lnTo>
                                  <a:pt x="621" y="0"/>
                                </a:lnTo>
                                <a:lnTo>
                                  <a:pt x="622"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51" name="Freeform 295"/>
                        <wps:cNvSpPr/>
                        <wps:spPr bwMode="auto">
                          <a:xfrm>
                            <a:off x="6910" y="2946"/>
                            <a:ext cx="566" cy="658"/>
                          </a:xfrm>
                          <a:custGeom>
                            <a:avLst/>
                            <a:gdLst>
                              <a:gd name="T0" fmla="+- 0 6910 6910"/>
                              <a:gd name="T1" fmla="*/ T0 w 566"/>
                              <a:gd name="T2" fmla="+- 0 3604 2947"/>
                              <a:gd name="T3" fmla="*/ 3604 h 658"/>
                              <a:gd name="T4" fmla="+- 0 7475 6910"/>
                              <a:gd name="T5" fmla="*/ T4 w 566"/>
                              <a:gd name="T6" fmla="+- 0 2947 2947"/>
                              <a:gd name="T7" fmla="*/ 2947 h 658"/>
                              <a:gd name="T8" fmla="+- 0 7476 6910"/>
                              <a:gd name="T9" fmla="*/ T8 w 566"/>
                              <a:gd name="T10" fmla="+- 0 2947 2947"/>
                              <a:gd name="T11" fmla="*/ 2947 h 658"/>
                            </a:gdLst>
                            <a:ahLst/>
                            <a:cxnLst>
                              <a:cxn ang="0">
                                <a:pos x="T1" y="T3"/>
                              </a:cxn>
                              <a:cxn ang="0">
                                <a:pos x="T5" y="T7"/>
                              </a:cxn>
                              <a:cxn ang="0">
                                <a:pos x="T9" y="T11"/>
                              </a:cxn>
                            </a:cxnLst>
                            <a:rect l="0" t="0" r="r" b="b"/>
                            <a:pathLst>
                              <a:path w="566" h="658">
                                <a:moveTo>
                                  <a:pt x="0" y="657"/>
                                </a:moveTo>
                                <a:lnTo>
                                  <a:pt x="565" y="0"/>
                                </a:lnTo>
                                <a:lnTo>
                                  <a:pt x="566"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52" name="Freeform 294"/>
                        <wps:cNvSpPr/>
                        <wps:spPr bwMode="auto">
                          <a:xfrm>
                            <a:off x="6983" y="3011"/>
                            <a:ext cx="510" cy="593"/>
                          </a:xfrm>
                          <a:custGeom>
                            <a:avLst/>
                            <a:gdLst>
                              <a:gd name="T0" fmla="+- 0 6983 6983"/>
                              <a:gd name="T1" fmla="*/ T0 w 510"/>
                              <a:gd name="T2" fmla="+- 0 3604 3012"/>
                              <a:gd name="T3" fmla="*/ 3604 h 593"/>
                              <a:gd name="T4" fmla="+- 0 7493 6983"/>
                              <a:gd name="T5" fmla="*/ T4 w 510"/>
                              <a:gd name="T6" fmla="+- 0 3012 3012"/>
                              <a:gd name="T7" fmla="*/ 3012 h 593"/>
                              <a:gd name="T8" fmla="+- 0 7493 6983"/>
                              <a:gd name="T9" fmla="*/ T8 w 510"/>
                              <a:gd name="T10" fmla="+- 0 3012 3012"/>
                              <a:gd name="T11" fmla="*/ 3012 h 593"/>
                            </a:gdLst>
                            <a:ahLst/>
                            <a:cxnLst>
                              <a:cxn ang="0">
                                <a:pos x="T1" y="T3"/>
                              </a:cxn>
                              <a:cxn ang="0">
                                <a:pos x="T5" y="T7"/>
                              </a:cxn>
                              <a:cxn ang="0">
                                <a:pos x="T9" y="T11"/>
                              </a:cxn>
                            </a:cxnLst>
                            <a:rect l="0" t="0" r="r" b="b"/>
                            <a:pathLst>
                              <a:path w="510" h="593">
                                <a:moveTo>
                                  <a:pt x="0" y="592"/>
                                </a:moveTo>
                                <a:lnTo>
                                  <a:pt x="510"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53" name="Freeform 293"/>
                        <wps:cNvSpPr/>
                        <wps:spPr bwMode="auto">
                          <a:xfrm>
                            <a:off x="7056" y="3076"/>
                            <a:ext cx="454" cy="528"/>
                          </a:xfrm>
                          <a:custGeom>
                            <a:avLst/>
                            <a:gdLst>
                              <a:gd name="T0" fmla="+- 0 7056 7056"/>
                              <a:gd name="T1" fmla="*/ T0 w 454"/>
                              <a:gd name="T2" fmla="+- 0 3604 3077"/>
                              <a:gd name="T3" fmla="*/ 3604 h 528"/>
                              <a:gd name="T4" fmla="+- 0 7510 7056"/>
                              <a:gd name="T5" fmla="*/ T4 w 454"/>
                              <a:gd name="T6" fmla="+- 0 3077 3077"/>
                              <a:gd name="T7" fmla="*/ 3077 h 528"/>
                              <a:gd name="T8" fmla="+- 0 7510 7056"/>
                              <a:gd name="T9" fmla="*/ T8 w 454"/>
                              <a:gd name="T10" fmla="+- 0 3077 3077"/>
                              <a:gd name="T11" fmla="*/ 3077 h 528"/>
                            </a:gdLst>
                            <a:ahLst/>
                            <a:cxnLst>
                              <a:cxn ang="0">
                                <a:pos x="T1" y="T3"/>
                              </a:cxn>
                              <a:cxn ang="0">
                                <a:pos x="T5" y="T7"/>
                              </a:cxn>
                              <a:cxn ang="0">
                                <a:pos x="T9" y="T11"/>
                              </a:cxn>
                            </a:cxnLst>
                            <a:rect l="0" t="0" r="r" b="b"/>
                            <a:pathLst>
                              <a:path w="454" h="528">
                                <a:moveTo>
                                  <a:pt x="0" y="527"/>
                                </a:moveTo>
                                <a:lnTo>
                                  <a:pt x="454"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54" name="Freeform 292"/>
                        <wps:cNvSpPr/>
                        <wps:spPr bwMode="auto">
                          <a:xfrm>
                            <a:off x="7129" y="3141"/>
                            <a:ext cx="398" cy="463"/>
                          </a:xfrm>
                          <a:custGeom>
                            <a:avLst/>
                            <a:gdLst>
                              <a:gd name="T0" fmla="+- 0 7129 7129"/>
                              <a:gd name="T1" fmla="*/ T0 w 398"/>
                              <a:gd name="T2" fmla="+- 0 3604 3142"/>
                              <a:gd name="T3" fmla="*/ 3604 h 463"/>
                              <a:gd name="T4" fmla="+- 0 7527 7129"/>
                              <a:gd name="T5" fmla="*/ T4 w 398"/>
                              <a:gd name="T6" fmla="+- 0 3142 3142"/>
                              <a:gd name="T7" fmla="*/ 3142 h 463"/>
                              <a:gd name="T8" fmla="+- 0 7527 7129"/>
                              <a:gd name="T9" fmla="*/ T8 w 398"/>
                              <a:gd name="T10" fmla="+- 0 3142 3142"/>
                              <a:gd name="T11" fmla="*/ 3142 h 463"/>
                            </a:gdLst>
                            <a:ahLst/>
                            <a:cxnLst>
                              <a:cxn ang="0">
                                <a:pos x="T1" y="T3"/>
                              </a:cxn>
                              <a:cxn ang="0">
                                <a:pos x="T5" y="T7"/>
                              </a:cxn>
                              <a:cxn ang="0">
                                <a:pos x="T9" y="T11"/>
                              </a:cxn>
                            </a:cxnLst>
                            <a:rect l="0" t="0" r="r" b="b"/>
                            <a:pathLst>
                              <a:path w="398" h="463">
                                <a:moveTo>
                                  <a:pt x="0" y="462"/>
                                </a:moveTo>
                                <a:lnTo>
                                  <a:pt x="398" y="0"/>
                                </a:lnTo>
                              </a:path>
                            </a:pathLst>
                          </a:custGeom>
                          <a:noFill/>
                          <a:ln w="151">
                            <a:solidFill>
                              <a:srgbClr val="000000"/>
                            </a:solidFill>
                            <a:prstDash val="solid"/>
                            <a:round/>
                          </a:ln>
                        </wps:spPr>
                        <wps:bodyPr rot="0" vert="horz" wrap="square" lIns="91440" tIns="45720" rIns="91440" bIns="45720" anchor="t" anchorCtr="0" upright="1">
                          <a:noAutofit/>
                        </wps:bodyPr>
                      </wps:wsp>
                      <pic:pic xmlns:pic="http://schemas.openxmlformats.org/drawingml/2006/picture">
                        <pic:nvPicPr>
                          <pic:cNvPr id="155" name="Picture 291"/>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a:xfrm>
                            <a:off x="7201" y="3206"/>
                            <a:ext cx="446" cy="398"/>
                          </a:xfrm>
                          <a:prstGeom prst="rect">
                            <a:avLst/>
                          </a:prstGeom>
                          <a:noFill/>
                          <a:ln>
                            <a:noFill/>
                          </a:ln>
                        </pic:spPr>
                      </pic:pic>
                      <pic:pic xmlns:pic="http://schemas.openxmlformats.org/drawingml/2006/picture">
                        <pic:nvPicPr>
                          <pic:cNvPr id="156" name="Picture 290"/>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a:xfrm>
                            <a:off x="5394" y="1607"/>
                            <a:ext cx="315" cy="366"/>
                          </a:xfrm>
                          <a:prstGeom prst="rect">
                            <a:avLst/>
                          </a:prstGeom>
                          <a:noFill/>
                          <a:ln>
                            <a:noFill/>
                          </a:ln>
                        </pic:spPr>
                      </pic:pic>
                      <wps:wsp>
                        <wps:cNvPr id="157" name="Freeform 289"/>
                        <wps:cNvSpPr/>
                        <wps:spPr bwMode="auto">
                          <a:xfrm>
                            <a:off x="5394" y="1607"/>
                            <a:ext cx="388" cy="451"/>
                          </a:xfrm>
                          <a:custGeom>
                            <a:avLst/>
                            <a:gdLst>
                              <a:gd name="T0" fmla="+- 0 5394 5394"/>
                              <a:gd name="T1" fmla="*/ T0 w 388"/>
                              <a:gd name="T2" fmla="+- 0 2058 1607"/>
                              <a:gd name="T3" fmla="*/ 2058 h 451"/>
                              <a:gd name="T4" fmla="+- 0 5782 5394"/>
                              <a:gd name="T5" fmla="*/ T4 w 388"/>
                              <a:gd name="T6" fmla="+- 0 1607 1607"/>
                              <a:gd name="T7" fmla="*/ 1607 h 451"/>
                              <a:gd name="T8" fmla="+- 0 5782 5394"/>
                              <a:gd name="T9" fmla="*/ T8 w 388"/>
                              <a:gd name="T10" fmla="+- 0 1607 1607"/>
                              <a:gd name="T11" fmla="*/ 1607 h 451"/>
                            </a:gdLst>
                            <a:ahLst/>
                            <a:cxnLst>
                              <a:cxn ang="0">
                                <a:pos x="T1" y="T3"/>
                              </a:cxn>
                              <a:cxn ang="0">
                                <a:pos x="T5" y="T7"/>
                              </a:cxn>
                              <a:cxn ang="0">
                                <a:pos x="T9" y="T11"/>
                              </a:cxn>
                            </a:cxnLst>
                            <a:rect l="0" t="0" r="r" b="b"/>
                            <a:pathLst>
                              <a:path w="388" h="451">
                                <a:moveTo>
                                  <a:pt x="0" y="451"/>
                                </a:moveTo>
                                <a:lnTo>
                                  <a:pt x="388"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58" name="Freeform 288"/>
                        <wps:cNvSpPr/>
                        <wps:spPr bwMode="auto">
                          <a:xfrm>
                            <a:off x="5394" y="1607"/>
                            <a:ext cx="461" cy="536"/>
                          </a:xfrm>
                          <a:custGeom>
                            <a:avLst/>
                            <a:gdLst>
                              <a:gd name="T0" fmla="+- 0 5394 5394"/>
                              <a:gd name="T1" fmla="*/ T0 w 461"/>
                              <a:gd name="T2" fmla="+- 0 2142 1607"/>
                              <a:gd name="T3" fmla="*/ 2142 h 536"/>
                              <a:gd name="T4" fmla="+- 0 5792 5394"/>
                              <a:gd name="T5" fmla="*/ T4 w 461"/>
                              <a:gd name="T6" fmla="+- 0 1680 1607"/>
                              <a:gd name="T7" fmla="*/ 1680 h 536"/>
                              <a:gd name="T8" fmla="+- 0 5855 5394"/>
                              <a:gd name="T9" fmla="*/ T8 w 461"/>
                              <a:gd name="T10" fmla="+- 0 1607 1607"/>
                              <a:gd name="T11" fmla="*/ 1607 h 536"/>
                              <a:gd name="T12" fmla="+- 0 5855 5394"/>
                              <a:gd name="T13" fmla="*/ T12 w 461"/>
                              <a:gd name="T14" fmla="+- 0 1607 1607"/>
                              <a:gd name="T15" fmla="*/ 1607 h 536"/>
                            </a:gdLst>
                            <a:ahLst/>
                            <a:cxnLst>
                              <a:cxn ang="0">
                                <a:pos x="T1" y="T3"/>
                              </a:cxn>
                              <a:cxn ang="0">
                                <a:pos x="T5" y="T7"/>
                              </a:cxn>
                              <a:cxn ang="0">
                                <a:pos x="T9" y="T11"/>
                              </a:cxn>
                              <a:cxn ang="0">
                                <a:pos x="T13" y="T15"/>
                              </a:cxn>
                            </a:cxnLst>
                            <a:rect l="0" t="0" r="r" b="b"/>
                            <a:pathLst>
                              <a:path w="461" h="536">
                                <a:moveTo>
                                  <a:pt x="0" y="535"/>
                                </a:moveTo>
                                <a:lnTo>
                                  <a:pt x="398" y="73"/>
                                </a:lnTo>
                                <a:lnTo>
                                  <a:pt x="461"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59" name="Freeform 287"/>
                        <wps:cNvSpPr/>
                        <wps:spPr bwMode="auto">
                          <a:xfrm>
                            <a:off x="5394" y="1607"/>
                            <a:ext cx="534" cy="621"/>
                          </a:xfrm>
                          <a:custGeom>
                            <a:avLst/>
                            <a:gdLst>
                              <a:gd name="T0" fmla="+- 0 5394 5394"/>
                              <a:gd name="T1" fmla="*/ T0 w 534"/>
                              <a:gd name="T2" fmla="+- 0 2227 1607"/>
                              <a:gd name="T3" fmla="*/ 2227 h 621"/>
                              <a:gd name="T4" fmla="+- 0 5792 5394"/>
                              <a:gd name="T5" fmla="*/ T4 w 534"/>
                              <a:gd name="T6" fmla="+- 0 1765 1607"/>
                              <a:gd name="T7" fmla="*/ 1765 h 621"/>
                              <a:gd name="T8" fmla="+- 0 5928 5394"/>
                              <a:gd name="T9" fmla="*/ T8 w 534"/>
                              <a:gd name="T10" fmla="+- 0 1607 1607"/>
                              <a:gd name="T11" fmla="*/ 1607 h 621"/>
                              <a:gd name="T12" fmla="+- 0 5928 5394"/>
                              <a:gd name="T13" fmla="*/ T12 w 534"/>
                              <a:gd name="T14" fmla="+- 0 1607 1607"/>
                              <a:gd name="T15" fmla="*/ 1607 h 621"/>
                            </a:gdLst>
                            <a:ahLst/>
                            <a:cxnLst>
                              <a:cxn ang="0">
                                <a:pos x="T1" y="T3"/>
                              </a:cxn>
                              <a:cxn ang="0">
                                <a:pos x="T5" y="T7"/>
                              </a:cxn>
                              <a:cxn ang="0">
                                <a:pos x="T9" y="T11"/>
                              </a:cxn>
                              <a:cxn ang="0">
                                <a:pos x="T13" y="T15"/>
                              </a:cxn>
                            </a:cxnLst>
                            <a:rect l="0" t="0" r="r" b="b"/>
                            <a:pathLst>
                              <a:path w="534" h="621">
                                <a:moveTo>
                                  <a:pt x="0" y="620"/>
                                </a:moveTo>
                                <a:lnTo>
                                  <a:pt x="398" y="158"/>
                                </a:lnTo>
                                <a:lnTo>
                                  <a:pt x="534"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60" name="Freeform 286"/>
                        <wps:cNvSpPr/>
                        <wps:spPr bwMode="auto">
                          <a:xfrm>
                            <a:off x="5394" y="1607"/>
                            <a:ext cx="607" cy="706"/>
                          </a:xfrm>
                          <a:custGeom>
                            <a:avLst/>
                            <a:gdLst>
                              <a:gd name="T0" fmla="+- 0 5394 5394"/>
                              <a:gd name="T1" fmla="*/ T0 w 607"/>
                              <a:gd name="T2" fmla="+- 0 2312 1607"/>
                              <a:gd name="T3" fmla="*/ 2312 h 706"/>
                              <a:gd name="T4" fmla="+- 0 5792 5394"/>
                              <a:gd name="T5" fmla="*/ T4 w 607"/>
                              <a:gd name="T6" fmla="+- 0 1849 1607"/>
                              <a:gd name="T7" fmla="*/ 1849 h 706"/>
                              <a:gd name="T8" fmla="+- 0 6001 5394"/>
                              <a:gd name="T9" fmla="*/ T8 w 607"/>
                              <a:gd name="T10" fmla="+- 0 1607 1607"/>
                              <a:gd name="T11" fmla="*/ 1607 h 706"/>
                              <a:gd name="T12" fmla="+- 0 6001 5394"/>
                              <a:gd name="T13" fmla="*/ T12 w 607"/>
                              <a:gd name="T14" fmla="+- 0 1607 1607"/>
                              <a:gd name="T15" fmla="*/ 1607 h 706"/>
                            </a:gdLst>
                            <a:ahLst/>
                            <a:cxnLst>
                              <a:cxn ang="0">
                                <a:pos x="T1" y="T3"/>
                              </a:cxn>
                              <a:cxn ang="0">
                                <a:pos x="T5" y="T7"/>
                              </a:cxn>
                              <a:cxn ang="0">
                                <a:pos x="T9" y="T11"/>
                              </a:cxn>
                              <a:cxn ang="0">
                                <a:pos x="T13" y="T15"/>
                              </a:cxn>
                            </a:cxnLst>
                            <a:rect l="0" t="0" r="r" b="b"/>
                            <a:pathLst>
                              <a:path w="607" h="706">
                                <a:moveTo>
                                  <a:pt x="0" y="705"/>
                                </a:moveTo>
                                <a:lnTo>
                                  <a:pt x="398" y="242"/>
                                </a:lnTo>
                                <a:lnTo>
                                  <a:pt x="607"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61" name="Freeform 285"/>
                        <wps:cNvSpPr/>
                        <wps:spPr bwMode="auto">
                          <a:xfrm>
                            <a:off x="5394" y="1607"/>
                            <a:ext cx="680" cy="790"/>
                          </a:xfrm>
                          <a:custGeom>
                            <a:avLst/>
                            <a:gdLst>
                              <a:gd name="T0" fmla="+- 0 5394 5394"/>
                              <a:gd name="T1" fmla="*/ T0 w 680"/>
                              <a:gd name="T2" fmla="+- 0 2397 1607"/>
                              <a:gd name="T3" fmla="*/ 2397 h 790"/>
                              <a:gd name="T4" fmla="+- 0 5792 5394"/>
                              <a:gd name="T5" fmla="*/ T4 w 680"/>
                              <a:gd name="T6" fmla="+- 0 1934 1607"/>
                              <a:gd name="T7" fmla="*/ 1934 h 790"/>
                              <a:gd name="T8" fmla="+- 0 6074 5394"/>
                              <a:gd name="T9" fmla="*/ T8 w 680"/>
                              <a:gd name="T10" fmla="+- 0 1607 1607"/>
                              <a:gd name="T11" fmla="*/ 1607 h 790"/>
                              <a:gd name="T12" fmla="+- 0 6074 5394"/>
                              <a:gd name="T13" fmla="*/ T12 w 680"/>
                              <a:gd name="T14" fmla="+- 0 1607 1607"/>
                              <a:gd name="T15" fmla="*/ 1607 h 790"/>
                            </a:gdLst>
                            <a:ahLst/>
                            <a:cxnLst>
                              <a:cxn ang="0">
                                <a:pos x="T1" y="T3"/>
                              </a:cxn>
                              <a:cxn ang="0">
                                <a:pos x="T5" y="T7"/>
                              </a:cxn>
                              <a:cxn ang="0">
                                <a:pos x="T9" y="T11"/>
                              </a:cxn>
                              <a:cxn ang="0">
                                <a:pos x="T13" y="T15"/>
                              </a:cxn>
                            </a:cxnLst>
                            <a:rect l="0" t="0" r="r" b="b"/>
                            <a:pathLst>
                              <a:path w="680" h="790">
                                <a:moveTo>
                                  <a:pt x="0" y="790"/>
                                </a:moveTo>
                                <a:lnTo>
                                  <a:pt x="398" y="327"/>
                                </a:lnTo>
                                <a:lnTo>
                                  <a:pt x="680"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62" name="Freeform 284"/>
                        <wps:cNvSpPr/>
                        <wps:spPr bwMode="auto">
                          <a:xfrm>
                            <a:off x="5394" y="1607"/>
                            <a:ext cx="753" cy="875"/>
                          </a:xfrm>
                          <a:custGeom>
                            <a:avLst/>
                            <a:gdLst>
                              <a:gd name="T0" fmla="+- 0 5394 5394"/>
                              <a:gd name="T1" fmla="*/ T0 w 753"/>
                              <a:gd name="T2" fmla="+- 0 2482 1607"/>
                              <a:gd name="T3" fmla="*/ 2482 h 875"/>
                              <a:gd name="T4" fmla="+- 0 5792 5394"/>
                              <a:gd name="T5" fmla="*/ T4 w 753"/>
                              <a:gd name="T6" fmla="+- 0 2019 1607"/>
                              <a:gd name="T7" fmla="*/ 2019 h 875"/>
                              <a:gd name="T8" fmla="+- 0 6147 5394"/>
                              <a:gd name="T9" fmla="*/ T8 w 753"/>
                              <a:gd name="T10" fmla="+- 0 1607 1607"/>
                              <a:gd name="T11" fmla="*/ 1607 h 875"/>
                              <a:gd name="T12" fmla="+- 0 6147 5394"/>
                              <a:gd name="T13" fmla="*/ T12 w 753"/>
                              <a:gd name="T14" fmla="+- 0 1607 1607"/>
                              <a:gd name="T15" fmla="*/ 1607 h 875"/>
                            </a:gdLst>
                            <a:ahLst/>
                            <a:cxnLst>
                              <a:cxn ang="0">
                                <a:pos x="T1" y="T3"/>
                              </a:cxn>
                              <a:cxn ang="0">
                                <a:pos x="T5" y="T7"/>
                              </a:cxn>
                              <a:cxn ang="0">
                                <a:pos x="T9" y="T11"/>
                              </a:cxn>
                              <a:cxn ang="0">
                                <a:pos x="T13" y="T15"/>
                              </a:cxn>
                            </a:cxnLst>
                            <a:rect l="0" t="0" r="r" b="b"/>
                            <a:pathLst>
                              <a:path w="753" h="875">
                                <a:moveTo>
                                  <a:pt x="0" y="875"/>
                                </a:moveTo>
                                <a:lnTo>
                                  <a:pt x="398" y="412"/>
                                </a:lnTo>
                                <a:lnTo>
                                  <a:pt x="753"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63" name="Freeform 283"/>
                        <wps:cNvSpPr/>
                        <wps:spPr bwMode="auto">
                          <a:xfrm>
                            <a:off x="5394" y="1641"/>
                            <a:ext cx="797" cy="926"/>
                          </a:xfrm>
                          <a:custGeom>
                            <a:avLst/>
                            <a:gdLst>
                              <a:gd name="T0" fmla="+- 0 5394 5394"/>
                              <a:gd name="T1" fmla="*/ T0 w 797"/>
                              <a:gd name="T2" fmla="+- 0 2567 1641"/>
                              <a:gd name="T3" fmla="*/ 2567 h 926"/>
                              <a:gd name="T4" fmla="+- 0 5792 5394"/>
                              <a:gd name="T5" fmla="*/ T4 w 797"/>
                              <a:gd name="T6" fmla="+- 0 2104 1641"/>
                              <a:gd name="T7" fmla="*/ 2104 h 926"/>
                              <a:gd name="T8" fmla="+- 0 6190 5394"/>
                              <a:gd name="T9" fmla="*/ T8 w 797"/>
                              <a:gd name="T10" fmla="+- 0 1641 1641"/>
                              <a:gd name="T11" fmla="*/ 1641 h 926"/>
                              <a:gd name="T12" fmla="+- 0 6191 5394"/>
                              <a:gd name="T13" fmla="*/ T12 w 797"/>
                              <a:gd name="T14" fmla="+- 0 1641 1641"/>
                              <a:gd name="T15" fmla="*/ 1641 h 926"/>
                            </a:gdLst>
                            <a:ahLst/>
                            <a:cxnLst>
                              <a:cxn ang="0">
                                <a:pos x="T1" y="T3"/>
                              </a:cxn>
                              <a:cxn ang="0">
                                <a:pos x="T5" y="T7"/>
                              </a:cxn>
                              <a:cxn ang="0">
                                <a:pos x="T9" y="T11"/>
                              </a:cxn>
                              <a:cxn ang="0">
                                <a:pos x="T13" y="T15"/>
                              </a:cxn>
                            </a:cxnLst>
                            <a:rect l="0" t="0" r="r" b="b"/>
                            <a:pathLst>
                              <a:path w="797" h="926">
                                <a:moveTo>
                                  <a:pt x="0" y="926"/>
                                </a:moveTo>
                                <a:lnTo>
                                  <a:pt x="398" y="463"/>
                                </a:lnTo>
                                <a:lnTo>
                                  <a:pt x="796" y="0"/>
                                </a:lnTo>
                                <a:lnTo>
                                  <a:pt x="797"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64" name="Freeform 282"/>
                        <wps:cNvSpPr/>
                        <wps:spPr bwMode="auto">
                          <a:xfrm>
                            <a:off x="5394" y="1726"/>
                            <a:ext cx="797" cy="926"/>
                          </a:xfrm>
                          <a:custGeom>
                            <a:avLst/>
                            <a:gdLst>
                              <a:gd name="T0" fmla="+- 0 5394 5394"/>
                              <a:gd name="T1" fmla="*/ T0 w 797"/>
                              <a:gd name="T2" fmla="+- 0 2651 1726"/>
                              <a:gd name="T3" fmla="*/ 2651 h 926"/>
                              <a:gd name="T4" fmla="+- 0 5792 5394"/>
                              <a:gd name="T5" fmla="*/ T4 w 797"/>
                              <a:gd name="T6" fmla="+- 0 2189 1726"/>
                              <a:gd name="T7" fmla="*/ 2189 h 926"/>
                              <a:gd name="T8" fmla="+- 0 6190 5394"/>
                              <a:gd name="T9" fmla="*/ T8 w 797"/>
                              <a:gd name="T10" fmla="+- 0 1726 1726"/>
                              <a:gd name="T11" fmla="*/ 1726 h 926"/>
                              <a:gd name="T12" fmla="+- 0 6191 5394"/>
                              <a:gd name="T13" fmla="*/ T12 w 797"/>
                              <a:gd name="T14" fmla="+- 0 1726 1726"/>
                              <a:gd name="T15" fmla="*/ 1726 h 926"/>
                            </a:gdLst>
                            <a:ahLst/>
                            <a:cxnLst>
                              <a:cxn ang="0">
                                <a:pos x="T1" y="T3"/>
                              </a:cxn>
                              <a:cxn ang="0">
                                <a:pos x="T5" y="T7"/>
                              </a:cxn>
                              <a:cxn ang="0">
                                <a:pos x="T9" y="T11"/>
                              </a:cxn>
                              <a:cxn ang="0">
                                <a:pos x="T13" y="T15"/>
                              </a:cxn>
                            </a:cxnLst>
                            <a:rect l="0" t="0" r="r" b="b"/>
                            <a:pathLst>
                              <a:path w="797" h="926">
                                <a:moveTo>
                                  <a:pt x="0" y="925"/>
                                </a:moveTo>
                                <a:lnTo>
                                  <a:pt x="398" y="463"/>
                                </a:lnTo>
                                <a:lnTo>
                                  <a:pt x="796" y="0"/>
                                </a:lnTo>
                                <a:lnTo>
                                  <a:pt x="797"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65" name="Freeform 281"/>
                        <wps:cNvSpPr/>
                        <wps:spPr bwMode="auto">
                          <a:xfrm>
                            <a:off x="5394" y="1810"/>
                            <a:ext cx="797" cy="926"/>
                          </a:xfrm>
                          <a:custGeom>
                            <a:avLst/>
                            <a:gdLst>
                              <a:gd name="T0" fmla="+- 0 5394 5394"/>
                              <a:gd name="T1" fmla="*/ T0 w 797"/>
                              <a:gd name="T2" fmla="+- 0 2737 1811"/>
                              <a:gd name="T3" fmla="*/ 2737 h 926"/>
                              <a:gd name="T4" fmla="+- 0 5792 5394"/>
                              <a:gd name="T5" fmla="*/ T4 w 797"/>
                              <a:gd name="T6" fmla="+- 0 2274 1811"/>
                              <a:gd name="T7" fmla="*/ 2274 h 926"/>
                              <a:gd name="T8" fmla="+- 0 6190 5394"/>
                              <a:gd name="T9" fmla="*/ T8 w 797"/>
                              <a:gd name="T10" fmla="+- 0 1811 1811"/>
                              <a:gd name="T11" fmla="*/ 1811 h 926"/>
                              <a:gd name="T12" fmla="+- 0 6191 5394"/>
                              <a:gd name="T13" fmla="*/ T12 w 797"/>
                              <a:gd name="T14" fmla="+- 0 1811 1811"/>
                              <a:gd name="T15" fmla="*/ 1811 h 926"/>
                            </a:gdLst>
                            <a:ahLst/>
                            <a:cxnLst>
                              <a:cxn ang="0">
                                <a:pos x="T1" y="T3"/>
                              </a:cxn>
                              <a:cxn ang="0">
                                <a:pos x="T5" y="T7"/>
                              </a:cxn>
                              <a:cxn ang="0">
                                <a:pos x="T9" y="T11"/>
                              </a:cxn>
                              <a:cxn ang="0">
                                <a:pos x="T13" y="T15"/>
                              </a:cxn>
                            </a:cxnLst>
                            <a:rect l="0" t="0" r="r" b="b"/>
                            <a:pathLst>
                              <a:path w="797" h="926">
                                <a:moveTo>
                                  <a:pt x="0" y="926"/>
                                </a:moveTo>
                                <a:lnTo>
                                  <a:pt x="398" y="463"/>
                                </a:lnTo>
                                <a:lnTo>
                                  <a:pt x="796" y="0"/>
                                </a:lnTo>
                                <a:lnTo>
                                  <a:pt x="797"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66" name="Freeform 280"/>
                        <wps:cNvSpPr/>
                        <wps:spPr bwMode="auto">
                          <a:xfrm>
                            <a:off x="5394" y="1895"/>
                            <a:ext cx="797" cy="926"/>
                          </a:xfrm>
                          <a:custGeom>
                            <a:avLst/>
                            <a:gdLst>
                              <a:gd name="T0" fmla="+- 0 5394 5394"/>
                              <a:gd name="T1" fmla="*/ T0 w 797"/>
                              <a:gd name="T2" fmla="+- 0 2821 1896"/>
                              <a:gd name="T3" fmla="*/ 2821 h 926"/>
                              <a:gd name="T4" fmla="+- 0 5792 5394"/>
                              <a:gd name="T5" fmla="*/ T4 w 797"/>
                              <a:gd name="T6" fmla="+- 0 2358 1896"/>
                              <a:gd name="T7" fmla="*/ 2358 h 926"/>
                              <a:gd name="T8" fmla="+- 0 6190 5394"/>
                              <a:gd name="T9" fmla="*/ T8 w 797"/>
                              <a:gd name="T10" fmla="+- 0 1896 1896"/>
                              <a:gd name="T11" fmla="*/ 1896 h 926"/>
                              <a:gd name="T12" fmla="+- 0 6191 5394"/>
                              <a:gd name="T13" fmla="*/ T12 w 797"/>
                              <a:gd name="T14" fmla="+- 0 1896 1896"/>
                              <a:gd name="T15" fmla="*/ 1896 h 926"/>
                            </a:gdLst>
                            <a:ahLst/>
                            <a:cxnLst>
                              <a:cxn ang="0">
                                <a:pos x="T1" y="T3"/>
                              </a:cxn>
                              <a:cxn ang="0">
                                <a:pos x="T5" y="T7"/>
                              </a:cxn>
                              <a:cxn ang="0">
                                <a:pos x="T9" y="T11"/>
                              </a:cxn>
                              <a:cxn ang="0">
                                <a:pos x="T13" y="T15"/>
                              </a:cxn>
                            </a:cxnLst>
                            <a:rect l="0" t="0" r="r" b="b"/>
                            <a:pathLst>
                              <a:path w="797" h="926">
                                <a:moveTo>
                                  <a:pt x="0" y="925"/>
                                </a:moveTo>
                                <a:lnTo>
                                  <a:pt x="398" y="462"/>
                                </a:lnTo>
                                <a:lnTo>
                                  <a:pt x="796" y="0"/>
                                </a:lnTo>
                                <a:lnTo>
                                  <a:pt x="797"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67" name="Freeform 279"/>
                        <wps:cNvSpPr/>
                        <wps:spPr bwMode="auto">
                          <a:xfrm>
                            <a:off x="5394" y="1980"/>
                            <a:ext cx="797" cy="926"/>
                          </a:xfrm>
                          <a:custGeom>
                            <a:avLst/>
                            <a:gdLst>
                              <a:gd name="T0" fmla="+- 0 5394 5394"/>
                              <a:gd name="T1" fmla="*/ T0 w 797"/>
                              <a:gd name="T2" fmla="+- 0 2906 1981"/>
                              <a:gd name="T3" fmla="*/ 2906 h 926"/>
                              <a:gd name="T4" fmla="+- 0 5792 5394"/>
                              <a:gd name="T5" fmla="*/ T4 w 797"/>
                              <a:gd name="T6" fmla="+- 0 2443 1981"/>
                              <a:gd name="T7" fmla="*/ 2443 h 926"/>
                              <a:gd name="T8" fmla="+- 0 6190 5394"/>
                              <a:gd name="T9" fmla="*/ T8 w 797"/>
                              <a:gd name="T10" fmla="+- 0 1981 1981"/>
                              <a:gd name="T11" fmla="*/ 1981 h 926"/>
                              <a:gd name="T12" fmla="+- 0 6191 5394"/>
                              <a:gd name="T13" fmla="*/ T12 w 797"/>
                              <a:gd name="T14" fmla="+- 0 1981 1981"/>
                              <a:gd name="T15" fmla="*/ 1981 h 926"/>
                            </a:gdLst>
                            <a:ahLst/>
                            <a:cxnLst>
                              <a:cxn ang="0">
                                <a:pos x="T1" y="T3"/>
                              </a:cxn>
                              <a:cxn ang="0">
                                <a:pos x="T5" y="T7"/>
                              </a:cxn>
                              <a:cxn ang="0">
                                <a:pos x="T9" y="T11"/>
                              </a:cxn>
                              <a:cxn ang="0">
                                <a:pos x="T13" y="T15"/>
                              </a:cxn>
                            </a:cxnLst>
                            <a:rect l="0" t="0" r="r" b="b"/>
                            <a:pathLst>
                              <a:path w="797" h="926">
                                <a:moveTo>
                                  <a:pt x="0" y="925"/>
                                </a:moveTo>
                                <a:lnTo>
                                  <a:pt x="398" y="462"/>
                                </a:lnTo>
                                <a:lnTo>
                                  <a:pt x="796" y="0"/>
                                </a:lnTo>
                                <a:lnTo>
                                  <a:pt x="797"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68" name="Freeform 278"/>
                        <wps:cNvSpPr/>
                        <wps:spPr bwMode="auto">
                          <a:xfrm>
                            <a:off x="5394" y="2065"/>
                            <a:ext cx="797" cy="926"/>
                          </a:xfrm>
                          <a:custGeom>
                            <a:avLst/>
                            <a:gdLst>
                              <a:gd name="T0" fmla="+- 0 5394 5394"/>
                              <a:gd name="T1" fmla="*/ T0 w 797"/>
                              <a:gd name="T2" fmla="+- 0 2991 2065"/>
                              <a:gd name="T3" fmla="*/ 2991 h 926"/>
                              <a:gd name="T4" fmla="+- 0 5792 5394"/>
                              <a:gd name="T5" fmla="*/ T4 w 797"/>
                              <a:gd name="T6" fmla="+- 0 2528 2065"/>
                              <a:gd name="T7" fmla="*/ 2528 h 926"/>
                              <a:gd name="T8" fmla="+- 0 6190 5394"/>
                              <a:gd name="T9" fmla="*/ T8 w 797"/>
                              <a:gd name="T10" fmla="+- 0 2065 2065"/>
                              <a:gd name="T11" fmla="*/ 2065 h 926"/>
                              <a:gd name="T12" fmla="+- 0 6191 5394"/>
                              <a:gd name="T13" fmla="*/ T12 w 797"/>
                              <a:gd name="T14" fmla="+- 0 2065 2065"/>
                              <a:gd name="T15" fmla="*/ 2065 h 926"/>
                            </a:gdLst>
                            <a:ahLst/>
                            <a:cxnLst>
                              <a:cxn ang="0">
                                <a:pos x="T1" y="T3"/>
                              </a:cxn>
                              <a:cxn ang="0">
                                <a:pos x="T5" y="T7"/>
                              </a:cxn>
                              <a:cxn ang="0">
                                <a:pos x="T9" y="T11"/>
                              </a:cxn>
                              <a:cxn ang="0">
                                <a:pos x="T13" y="T15"/>
                              </a:cxn>
                            </a:cxnLst>
                            <a:rect l="0" t="0" r="r" b="b"/>
                            <a:pathLst>
                              <a:path w="797" h="926">
                                <a:moveTo>
                                  <a:pt x="0" y="926"/>
                                </a:moveTo>
                                <a:lnTo>
                                  <a:pt x="398" y="463"/>
                                </a:lnTo>
                                <a:lnTo>
                                  <a:pt x="796" y="0"/>
                                </a:lnTo>
                                <a:lnTo>
                                  <a:pt x="797"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69" name="Freeform 277"/>
                        <wps:cNvSpPr/>
                        <wps:spPr bwMode="auto">
                          <a:xfrm>
                            <a:off x="5394" y="2150"/>
                            <a:ext cx="797" cy="926"/>
                          </a:xfrm>
                          <a:custGeom>
                            <a:avLst/>
                            <a:gdLst>
                              <a:gd name="T0" fmla="+- 0 5394 5394"/>
                              <a:gd name="T1" fmla="*/ T0 w 797"/>
                              <a:gd name="T2" fmla="+- 0 3076 2150"/>
                              <a:gd name="T3" fmla="*/ 3076 h 926"/>
                              <a:gd name="T4" fmla="+- 0 5792 5394"/>
                              <a:gd name="T5" fmla="*/ T4 w 797"/>
                              <a:gd name="T6" fmla="+- 0 2613 2150"/>
                              <a:gd name="T7" fmla="*/ 2613 h 926"/>
                              <a:gd name="T8" fmla="+- 0 6190 5394"/>
                              <a:gd name="T9" fmla="*/ T8 w 797"/>
                              <a:gd name="T10" fmla="+- 0 2150 2150"/>
                              <a:gd name="T11" fmla="*/ 2150 h 926"/>
                              <a:gd name="T12" fmla="+- 0 6191 5394"/>
                              <a:gd name="T13" fmla="*/ T12 w 797"/>
                              <a:gd name="T14" fmla="+- 0 2150 2150"/>
                              <a:gd name="T15" fmla="*/ 2150 h 926"/>
                            </a:gdLst>
                            <a:ahLst/>
                            <a:cxnLst>
                              <a:cxn ang="0">
                                <a:pos x="T1" y="T3"/>
                              </a:cxn>
                              <a:cxn ang="0">
                                <a:pos x="T5" y="T7"/>
                              </a:cxn>
                              <a:cxn ang="0">
                                <a:pos x="T9" y="T11"/>
                              </a:cxn>
                              <a:cxn ang="0">
                                <a:pos x="T13" y="T15"/>
                              </a:cxn>
                            </a:cxnLst>
                            <a:rect l="0" t="0" r="r" b="b"/>
                            <a:pathLst>
                              <a:path w="797" h="926">
                                <a:moveTo>
                                  <a:pt x="0" y="926"/>
                                </a:moveTo>
                                <a:lnTo>
                                  <a:pt x="398" y="463"/>
                                </a:lnTo>
                                <a:lnTo>
                                  <a:pt x="796" y="0"/>
                                </a:lnTo>
                                <a:lnTo>
                                  <a:pt x="797"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70" name="Freeform 276"/>
                        <wps:cNvSpPr/>
                        <wps:spPr bwMode="auto">
                          <a:xfrm>
                            <a:off x="5394" y="2235"/>
                            <a:ext cx="797" cy="926"/>
                          </a:xfrm>
                          <a:custGeom>
                            <a:avLst/>
                            <a:gdLst>
                              <a:gd name="T0" fmla="+- 0 5394 5394"/>
                              <a:gd name="T1" fmla="*/ T0 w 797"/>
                              <a:gd name="T2" fmla="+- 0 3161 2235"/>
                              <a:gd name="T3" fmla="*/ 3161 h 926"/>
                              <a:gd name="T4" fmla="+- 0 5792 5394"/>
                              <a:gd name="T5" fmla="*/ T4 w 797"/>
                              <a:gd name="T6" fmla="+- 0 2698 2235"/>
                              <a:gd name="T7" fmla="*/ 2698 h 926"/>
                              <a:gd name="T8" fmla="+- 0 6190 5394"/>
                              <a:gd name="T9" fmla="*/ T8 w 797"/>
                              <a:gd name="T10" fmla="+- 0 2235 2235"/>
                              <a:gd name="T11" fmla="*/ 2235 h 926"/>
                              <a:gd name="T12" fmla="+- 0 6191 5394"/>
                              <a:gd name="T13" fmla="*/ T12 w 797"/>
                              <a:gd name="T14" fmla="+- 0 2235 2235"/>
                              <a:gd name="T15" fmla="*/ 2235 h 926"/>
                            </a:gdLst>
                            <a:ahLst/>
                            <a:cxnLst>
                              <a:cxn ang="0">
                                <a:pos x="T1" y="T3"/>
                              </a:cxn>
                              <a:cxn ang="0">
                                <a:pos x="T5" y="T7"/>
                              </a:cxn>
                              <a:cxn ang="0">
                                <a:pos x="T9" y="T11"/>
                              </a:cxn>
                              <a:cxn ang="0">
                                <a:pos x="T13" y="T15"/>
                              </a:cxn>
                            </a:cxnLst>
                            <a:rect l="0" t="0" r="r" b="b"/>
                            <a:pathLst>
                              <a:path w="797" h="926">
                                <a:moveTo>
                                  <a:pt x="0" y="926"/>
                                </a:moveTo>
                                <a:lnTo>
                                  <a:pt x="398" y="463"/>
                                </a:lnTo>
                                <a:lnTo>
                                  <a:pt x="796" y="0"/>
                                </a:lnTo>
                                <a:lnTo>
                                  <a:pt x="797"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71" name="Freeform 275"/>
                        <wps:cNvSpPr/>
                        <wps:spPr bwMode="auto">
                          <a:xfrm>
                            <a:off x="5394" y="2320"/>
                            <a:ext cx="797" cy="926"/>
                          </a:xfrm>
                          <a:custGeom>
                            <a:avLst/>
                            <a:gdLst>
                              <a:gd name="T0" fmla="+- 0 5394 5394"/>
                              <a:gd name="T1" fmla="*/ T0 w 797"/>
                              <a:gd name="T2" fmla="+- 0 3245 2320"/>
                              <a:gd name="T3" fmla="*/ 3245 h 926"/>
                              <a:gd name="T4" fmla="+- 0 5792 5394"/>
                              <a:gd name="T5" fmla="*/ T4 w 797"/>
                              <a:gd name="T6" fmla="+- 0 2783 2320"/>
                              <a:gd name="T7" fmla="*/ 2783 h 926"/>
                              <a:gd name="T8" fmla="+- 0 6190 5394"/>
                              <a:gd name="T9" fmla="*/ T8 w 797"/>
                              <a:gd name="T10" fmla="+- 0 2320 2320"/>
                              <a:gd name="T11" fmla="*/ 2320 h 926"/>
                              <a:gd name="T12" fmla="+- 0 6191 5394"/>
                              <a:gd name="T13" fmla="*/ T12 w 797"/>
                              <a:gd name="T14" fmla="+- 0 2320 2320"/>
                              <a:gd name="T15" fmla="*/ 2320 h 926"/>
                            </a:gdLst>
                            <a:ahLst/>
                            <a:cxnLst>
                              <a:cxn ang="0">
                                <a:pos x="T1" y="T3"/>
                              </a:cxn>
                              <a:cxn ang="0">
                                <a:pos x="T5" y="T7"/>
                              </a:cxn>
                              <a:cxn ang="0">
                                <a:pos x="T9" y="T11"/>
                              </a:cxn>
                              <a:cxn ang="0">
                                <a:pos x="T13" y="T15"/>
                              </a:cxn>
                            </a:cxnLst>
                            <a:rect l="0" t="0" r="r" b="b"/>
                            <a:pathLst>
                              <a:path w="797" h="926">
                                <a:moveTo>
                                  <a:pt x="0" y="925"/>
                                </a:moveTo>
                                <a:lnTo>
                                  <a:pt x="398" y="463"/>
                                </a:lnTo>
                                <a:lnTo>
                                  <a:pt x="796" y="0"/>
                                </a:lnTo>
                                <a:lnTo>
                                  <a:pt x="797"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72" name="Freeform 274"/>
                        <wps:cNvSpPr/>
                        <wps:spPr bwMode="auto">
                          <a:xfrm>
                            <a:off x="5394" y="2404"/>
                            <a:ext cx="797" cy="926"/>
                          </a:xfrm>
                          <a:custGeom>
                            <a:avLst/>
                            <a:gdLst>
                              <a:gd name="T0" fmla="+- 0 5394 5394"/>
                              <a:gd name="T1" fmla="*/ T0 w 797"/>
                              <a:gd name="T2" fmla="+- 0 3330 2405"/>
                              <a:gd name="T3" fmla="*/ 3330 h 926"/>
                              <a:gd name="T4" fmla="+- 0 5792 5394"/>
                              <a:gd name="T5" fmla="*/ T4 w 797"/>
                              <a:gd name="T6" fmla="+- 0 2868 2405"/>
                              <a:gd name="T7" fmla="*/ 2868 h 926"/>
                              <a:gd name="T8" fmla="+- 0 6190 5394"/>
                              <a:gd name="T9" fmla="*/ T8 w 797"/>
                              <a:gd name="T10" fmla="+- 0 2405 2405"/>
                              <a:gd name="T11" fmla="*/ 2405 h 926"/>
                              <a:gd name="T12" fmla="+- 0 6191 5394"/>
                              <a:gd name="T13" fmla="*/ T12 w 797"/>
                              <a:gd name="T14" fmla="+- 0 2405 2405"/>
                              <a:gd name="T15" fmla="*/ 2405 h 926"/>
                            </a:gdLst>
                            <a:ahLst/>
                            <a:cxnLst>
                              <a:cxn ang="0">
                                <a:pos x="T1" y="T3"/>
                              </a:cxn>
                              <a:cxn ang="0">
                                <a:pos x="T5" y="T7"/>
                              </a:cxn>
                              <a:cxn ang="0">
                                <a:pos x="T9" y="T11"/>
                              </a:cxn>
                              <a:cxn ang="0">
                                <a:pos x="T13" y="T15"/>
                              </a:cxn>
                            </a:cxnLst>
                            <a:rect l="0" t="0" r="r" b="b"/>
                            <a:pathLst>
                              <a:path w="797" h="926">
                                <a:moveTo>
                                  <a:pt x="0" y="925"/>
                                </a:moveTo>
                                <a:lnTo>
                                  <a:pt x="398" y="463"/>
                                </a:lnTo>
                                <a:lnTo>
                                  <a:pt x="796" y="0"/>
                                </a:lnTo>
                                <a:lnTo>
                                  <a:pt x="797"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73" name="Freeform 273"/>
                        <wps:cNvSpPr/>
                        <wps:spPr bwMode="auto">
                          <a:xfrm>
                            <a:off x="5435" y="2489"/>
                            <a:ext cx="755" cy="878"/>
                          </a:xfrm>
                          <a:custGeom>
                            <a:avLst/>
                            <a:gdLst>
                              <a:gd name="T0" fmla="+- 0 5436 5436"/>
                              <a:gd name="T1" fmla="*/ T0 w 755"/>
                              <a:gd name="T2" fmla="+- 0 3367 2490"/>
                              <a:gd name="T3" fmla="*/ 3367 h 878"/>
                              <a:gd name="T4" fmla="+- 0 5792 5436"/>
                              <a:gd name="T5" fmla="*/ T4 w 755"/>
                              <a:gd name="T6" fmla="+- 0 2952 2490"/>
                              <a:gd name="T7" fmla="*/ 2952 h 878"/>
                              <a:gd name="T8" fmla="+- 0 6190 5436"/>
                              <a:gd name="T9" fmla="*/ T8 w 755"/>
                              <a:gd name="T10" fmla="+- 0 2490 2490"/>
                              <a:gd name="T11" fmla="*/ 2490 h 878"/>
                              <a:gd name="T12" fmla="+- 0 6191 5436"/>
                              <a:gd name="T13" fmla="*/ T12 w 755"/>
                              <a:gd name="T14" fmla="+- 0 2490 2490"/>
                              <a:gd name="T15" fmla="*/ 2490 h 878"/>
                            </a:gdLst>
                            <a:ahLst/>
                            <a:cxnLst>
                              <a:cxn ang="0">
                                <a:pos x="T1" y="T3"/>
                              </a:cxn>
                              <a:cxn ang="0">
                                <a:pos x="T5" y="T7"/>
                              </a:cxn>
                              <a:cxn ang="0">
                                <a:pos x="T9" y="T11"/>
                              </a:cxn>
                              <a:cxn ang="0">
                                <a:pos x="T13" y="T15"/>
                              </a:cxn>
                            </a:cxnLst>
                            <a:rect l="0" t="0" r="r" b="b"/>
                            <a:pathLst>
                              <a:path w="755" h="878">
                                <a:moveTo>
                                  <a:pt x="0" y="877"/>
                                </a:moveTo>
                                <a:lnTo>
                                  <a:pt x="356" y="462"/>
                                </a:lnTo>
                                <a:lnTo>
                                  <a:pt x="754" y="0"/>
                                </a:lnTo>
                                <a:lnTo>
                                  <a:pt x="755"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74" name="Freeform 272"/>
                        <wps:cNvSpPr/>
                        <wps:spPr bwMode="auto">
                          <a:xfrm>
                            <a:off x="5508" y="2574"/>
                            <a:ext cx="682" cy="793"/>
                          </a:xfrm>
                          <a:custGeom>
                            <a:avLst/>
                            <a:gdLst>
                              <a:gd name="T0" fmla="+- 0 5509 5509"/>
                              <a:gd name="T1" fmla="*/ T0 w 682"/>
                              <a:gd name="T2" fmla="+- 0 3367 2575"/>
                              <a:gd name="T3" fmla="*/ 3367 h 793"/>
                              <a:gd name="T4" fmla="+- 0 5792 5509"/>
                              <a:gd name="T5" fmla="*/ T4 w 682"/>
                              <a:gd name="T6" fmla="+- 0 3037 2575"/>
                              <a:gd name="T7" fmla="*/ 3037 h 793"/>
                              <a:gd name="T8" fmla="+- 0 6190 5509"/>
                              <a:gd name="T9" fmla="*/ T8 w 682"/>
                              <a:gd name="T10" fmla="+- 0 2575 2575"/>
                              <a:gd name="T11" fmla="*/ 2575 h 793"/>
                              <a:gd name="T12" fmla="+- 0 6191 5509"/>
                              <a:gd name="T13" fmla="*/ T12 w 682"/>
                              <a:gd name="T14" fmla="+- 0 2575 2575"/>
                              <a:gd name="T15" fmla="*/ 2575 h 793"/>
                            </a:gdLst>
                            <a:ahLst/>
                            <a:cxnLst>
                              <a:cxn ang="0">
                                <a:pos x="T1" y="T3"/>
                              </a:cxn>
                              <a:cxn ang="0">
                                <a:pos x="T5" y="T7"/>
                              </a:cxn>
                              <a:cxn ang="0">
                                <a:pos x="T9" y="T11"/>
                              </a:cxn>
                              <a:cxn ang="0">
                                <a:pos x="T13" y="T15"/>
                              </a:cxn>
                            </a:cxnLst>
                            <a:rect l="0" t="0" r="r" b="b"/>
                            <a:pathLst>
                              <a:path w="682" h="793">
                                <a:moveTo>
                                  <a:pt x="0" y="792"/>
                                </a:moveTo>
                                <a:lnTo>
                                  <a:pt x="283" y="462"/>
                                </a:lnTo>
                                <a:lnTo>
                                  <a:pt x="681" y="0"/>
                                </a:lnTo>
                                <a:lnTo>
                                  <a:pt x="682"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75" name="Freeform 271"/>
                        <wps:cNvSpPr/>
                        <wps:spPr bwMode="auto">
                          <a:xfrm>
                            <a:off x="5581" y="2659"/>
                            <a:ext cx="609" cy="708"/>
                          </a:xfrm>
                          <a:custGeom>
                            <a:avLst/>
                            <a:gdLst>
                              <a:gd name="T0" fmla="+- 0 5582 5582"/>
                              <a:gd name="T1" fmla="*/ T0 w 609"/>
                              <a:gd name="T2" fmla="+- 0 3367 2659"/>
                              <a:gd name="T3" fmla="*/ 3367 h 708"/>
                              <a:gd name="T4" fmla="+- 0 5792 5582"/>
                              <a:gd name="T5" fmla="*/ T4 w 609"/>
                              <a:gd name="T6" fmla="+- 0 3122 2659"/>
                              <a:gd name="T7" fmla="*/ 3122 h 708"/>
                              <a:gd name="T8" fmla="+- 0 6190 5582"/>
                              <a:gd name="T9" fmla="*/ T8 w 609"/>
                              <a:gd name="T10" fmla="+- 0 2659 2659"/>
                              <a:gd name="T11" fmla="*/ 2659 h 708"/>
                              <a:gd name="T12" fmla="+- 0 6191 5582"/>
                              <a:gd name="T13" fmla="*/ T12 w 609"/>
                              <a:gd name="T14" fmla="+- 0 2659 2659"/>
                              <a:gd name="T15" fmla="*/ 2659 h 708"/>
                            </a:gdLst>
                            <a:ahLst/>
                            <a:cxnLst>
                              <a:cxn ang="0">
                                <a:pos x="T1" y="T3"/>
                              </a:cxn>
                              <a:cxn ang="0">
                                <a:pos x="T5" y="T7"/>
                              </a:cxn>
                              <a:cxn ang="0">
                                <a:pos x="T9" y="T11"/>
                              </a:cxn>
                              <a:cxn ang="0">
                                <a:pos x="T13" y="T15"/>
                              </a:cxn>
                            </a:cxnLst>
                            <a:rect l="0" t="0" r="r" b="b"/>
                            <a:pathLst>
                              <a:path w="609" h="708">
                                <a:moveTo>
                                  <a:pt x="0" y="708"/>
                                </a:moveTo>
                                <a:lnTo>
                                  <a:pt x="210" y="463"/>
                                </a:lnTo>
                                <a:lnTo>
                                  <a:pt x="608" y="0"/>
                                </a:lnTo>
                                <a:lnTo>
                                  <a:pt x="609"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76" name="Freeform 270"/>
                        <wps:cNvSpPr/>
                        <wps:spPr bwMode="auto">
                          <a:xfrm>
                            <a:off x="5654" y="2744"/>
                            <a:ext cx="537" cy="624"/>
                          </a:xfrm>
                          <a:custGeom>
                            <a:avLst/>
                            <a:gdLst>
                              <a:gd name="T0" fmla="+- 0 5655 5655"/>
                              <a:gd name="T1" fmla="*/ T0 w 537"/>
                              <a:gd name="T2" fmla="+- 0 3367 2744"/>
                              <a:gd name="T3" fmla="*/ 3367 h 624"/>
                              <a:gd name="T4" fmla="+- 0 5792 5655"/>
                              <a:gd name="T5" fmla="*/ T4 w 537"/>
                              <a:gd name="T6" fmla="+- 0 3207 2744"/>
                              <a:gd name="T7" fmla="*/ 3207 h 624"/>
                              <a:gd name="T8" fmla="+- 0 6190 5655"/>
                              <a:gd name="T9" fmla="*/ T8 w 537"/>
                              <a:gd name="T10" fmla="+- 0 2744 2744"/>
                              <a:gd name="T11" fmla="*/ 2744 h 624"/>
                              <a:gd name="T12" fmla="+- 0 6191 5655"/>
                              <a:gd name="T13" fmla="*/ T12 w 537"/>
                              <a:gd name="T14" fmla="+- 0 2744 2744"/>
                              <a:gd name="T15" fmla="*/ 2744 h 624"/>
                            </a:gdLst>
                            <a:ahLst/>
                            <a:cxnLst>
                              <a:cxn ang="0">
                                <a:pos x="T1" y="T3"/>
                              </a:cxn>
                              <a:cxn ang="0">
                                <a:pos x="T5" y="T7"/>
                              </a:cxn>
                              <a:cxn ang="0">
                                <a:pos x="T9" y="T11"/>
                              </a:cxn>
                              <a:cxn ang="0">
                                <a:pos x="T13" y="T15"/>
                              </a:cxn>
                            </a:cxnLst>
                            <a:rect l="0" t="0" r="r" b="b"/>
                            <a:pathLst>
                              <a:path w="537" h="624">
                                <a:moveTo>
                                  <a:pt x="0" y="623"/>
                                </a:moveTo>
                                <a:lnTo>
                                  <a:pt x="137" y="463"/>
                                </a:lnTo>
                                <a:lnTo>
                                  <a:pt x="535" y="0"/>
                                </a:lnTo>
                                <a:lnTo>
                                  <a:pt x="536"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77" name="Freeform 269"/>
                        <wps:cNvSpPr/>
                        <wps:spPr bwMode="auto">
                          <a:xfrm>
                            <a:off x="5727" y="2829"/>
                            <a:ext cx="464" cy="539"/>
                          </a:xfrm>
                          <a:custGeom>
                            <a:avLst/>
                            <a:gdLst>
                              <a:gd name="T0" fmla="+- 0 5728 5728"/>
                              <a:gd name="T1" fmla="*/ T0 w 464"/>
                              <a:gd name="T2" fmla="+- 0 3367 2829"/>
                              <a:gd name="T3" fmla="*/ 3367 h 539"/>
                              <a:gd name="T4" fmla="+- 0 5792 5728"/>
                              <a:gd name="T5" fmla="*/ T4 w 464"/>
                              <a:gd name="T6" fmla="+- 0 3292 2829"/>
                              <a:gd name="T7" fmla="*/ 3292 h 539"/>
                              <a:gd name="T8" fmla="+- 0 6190 5728"/>
                              <a:gd name="T9" fmla="*/ T8 w 464"/>
                              <a:gd name="T10" fmla="+- 0 2829 2829"/>
                              <a:gd name="T11" fmla="*/ 2829 h 539"/>
                              <a:gd name="T12" fmla="+- 0 6191 5728"/>
                              <a:gd name="T13" fmla="*/ T12 w 464"/>
                              <a:gd name="T14" fmla="+- 0 2829 2829"/>
                              <a:gd name="T15" fmla="*/ 2829 h 539"/>
                            </a:gdLst>
                            <a:ahLst/>
                            <a:cxnLst>
                              <a:cxn ang="0">
                                <a:pos x="T1" y="T3"/>
                              </a:cxn>
                              <a:cxn ang="0">
                                <a:pos x="T5" y="T7"/>
                              </a:cxn>
                              <a:cxn ang="0">
                                <a:pos x="T9" y="T11"/>
                              </a:cxn>
                              <a:cxn ang="0">
                                <a:pos x="T13" y="T15"/>
                              </a:cxn>
                            </a:cxnLst>
                            <a:rect l="0" t="0" r="r" b="b"/>
                            <a:pathLst>
                              <a:path w="464" h="539">
                                <a:moveTo>
                                  <a:pt x="0" y="538"/>
                                </a:moveTo>
                                <a:lnTo>
                                  <a:pt x="64" y="463"/>
                                </a:lnTo>
                                <a:lnTo>
                                  <a:pt x="462" y="0"/>
                                </a:lnTo>
                                <a:lnTo>
                                  <a:pt x="463"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78" name="Freeform 268"/>
                        <wps:cNvSpPr/>
                        <wps:spPr bwMode="auto">
                          <a:xfrm>
                            <a:off x="5800" y="2913"/>
                            <a:ext cx="391" cy="454"/>
                          </a:xfrm>
                          <a:custGeom>
                            <a:avLst/>
                            <a:gdLst>
                              <a:gd name="T0" fmla="+- 0 5801 5801"/>
                              <a:gd name="T1" fmla="*/ T0 w 391"/>
                              <a:gd name="T2" fmla="+- 0 3367 2914"/>
                              <a:gd name="T3" fmla="*/ 3367 h 454"/>
                              <a:gd name="T4" fmla="+- 0 6190 5801"/>
                              <a:gd name="T5" fmla="*/ T4 w 391"/>
                              <a:gd name="T6" fmla="+- 0 2914 2914"/>
                              <a:gd name="T7" fmla="*/ 2914 h 454"/>
                              <a:gd name="T8" fmla="+- 0 6191 5801"/>
                              <a:gd name="T9" fmla="*/ T8 w 391"/>
                              <a:gd name="T10" fmla="+- 0 2914 2914"/>
                              <a:gd name="T11" fmla="*/ 2914 h 454"/>
                            </a:gdLst>
                            <a:ahLst/>
                            <a:cxnLst>
                              <a:cxn ang="0">
                                <a:pos x="T1" y="T3"/>
                              </a:cxn>
                              <a:cxn ang="0">
                                <a:pos x="T5" y="T7"/>
                              </a:cxn>
                              <a:cxn ang="0">
                                <a:pos x="T9" y="T11"/>
                              </a:cxn>
                            </a:cxnLst>
                            <a:rect l="0" t="0" r="r" b="b"/>
                            <a:pathLst>
                              <a:path w="391" h="454">
                                <a:moveTo>
                                  <a:pt x="0" y="453"/>
                                </a:moveTo>
                                <a:lnTo>
                                  <a:pt x="389" y="0"/>
                                </a:lnTo>
                                <a:lnTo>
                                  <a:pt x="390" y="0"/>
                                </a:lnTo>
                              </a:path>
                            </a:pathLst>
                          </a:custGeom>
                          <a:noFill/>
                          <a:ln w="151">
                            <a:solidFill>
                              <a:srgbClr val="000000"/>
                            </a:solidFill>
                            <a:prstDash val="solid"/>
                            <a:round/>
                          </a:ln>
                        </wps:spPr>
                        <wps:bodyPr rot="0" vert="horz" wrap="square" lIns="91440" tIns="45720" rIns="91440" bIns="45720" anchor="t" anchorCtr="0" upright="1">
                          <a:noAutofit/>
                        </wps:bodyPr>
                      </wps:wsp>
                      <pic:pic xmlns:pic="http://schemas.openxmlformats.org/drawingml/2006/picture">
                        <pic:nvPicPr>
                          <pic:cNvPr id="179" name="Picture 267"/>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a:xfrm>
                            <a:off x="5873" y="2998"/>
                            <a:ext cx="318" cy="369"/>
                          </a:xfrm>
                          <a:prstGeom prst="rect">
                            <a:avLst/>
                          </a:prstGeom>
                          <a:noFill/>
                          <a:ln>
                            <a:noFill/>
                          </a:ln>
                        </pic:spPr>
                      </pic:pic>
                      <pic:pic xmlns:pic="http://schemas.openxmlformats.org/drawingml/2006/picture">
                        <pic:nvPicPr>
                          <pic:cNvPr id="180" name="Picture 266"/>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a:xfrm>
                            <a:off x="5394" y="3029"/>
                            <a:ext cx="291" cy="339"/>
                          </a:xfrm>
                          <a:prstGeom prst="rect">
                            <a:avLst/>
                          </a:prstGeom>
                          <a:noFill/>
                          <a:ln>
                            <a:noFill/>
                          </a:ln>
                        </pic:spPr>
                      </pic:pic>
                      <wps:wsp>
                        <wps:cNvPr id="181" name="Freeform 265"/>
                        <wps:cNvSpPr/>
                        <wps:spPr bwMode="auto">
                          <a:xfrm>
                            <a:off x="5394" y="2944"/>
                            <a:ext cx="364" cy="424"/>
                          </a:xfrm>
                          <a:custGeom>
                            <a:avLst/>
                            <a:gdLst>
                              <a:gd name="T0" fmla="+- 0 5758 5394"/>
                              <a:gd name="T1" fmla="*/ T0 w 364"/>
                              <a:gd name="T2" fmla="+- 0 3367 2944"/>
                              <a:gd name="T3" fmla="*/ 3367 h 424"/>
                              <a:gd name="T4" fmla="+- 0 5394 5394"/>
                              <a:gd name="T5" fmla="*/ T4 w 364"/>
                              <a:gd name="T6" fmla="+- 0 2944 2944"/>
                              <a:gd name="T7" fmla="*/ 2944 h 424"/>
                              <a:gd name="T8" fmla="+- 0 5395 5394"/>
                              <a:gd name="T9" fmla="*/ T8 w 364"/>
                              <a:gd name="T10" fmla="+- 0 2944 2944"/>
                              <a:gd name="T11" fmla="*/ 2944 h 424"/>
                            </a:gdLst>
                            <a:ahLst/>
                            <a:cxnLst>
                              <a:cxn ang="0">
                                <a:pos x="T1" y="T3"/>
                              </a:cxn>
                              <a:cxn ang="0">
                                <a:pos x="T5" y="T7"/>
                              </a:cxn>
                              <a:cxn ang="0">
                                <a:pos x="T9" y="T11"/>
                              </a:cxn>
                            </a:cxnLst>
                            <a:rect l="0" t="0" r="r" b="b"/>
                            <a:pathLst>
                              <a:path w="364" h="424">
                                <a:moveTo>
                                  <a:pt x="364" y="423"/>
                                </a:moveTo>
                                <a:lnTo>
                                  <a:pt x="0" y="0"/>
                                </a:lnTo>
                                <a:lnTo>
                                  <a:pt x="1"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82" name="Freeform 264"/>
                        <wps:cNvSpPr/>
                        <wps:spPr bwMode="auto">
                          <a:xfrm>
                            <a:off x="5394" y="2859"/>
                            <a:ext cx="437" cy="508"/>
                          </a:xfrm>
                          <a:custGeom>
                            <a:avLst/>
                            <a:gdLst>
                              <a:gd name="T0" fmla="+- 0 5831 5394"/>
                              <a:gd name="T1" fmla="*/ T0 w 437"/>
                              <a:gd name="T2" fmla="+- 0 3367 2859"/>
                              <a:gd name="T3" fmla="*/ 3367 h 508"/>
                              <a:gd name="T4" fmla="+- 0 5792 5394"/>
                              <a:gd name="T5" fmla="*/ T4 w 437"/>
                              <a:gd name="T6" fmla="+- 0 3322 2859"/>
                              <a:gd name="T7" fmla="*/ 3322 h 508"/>
                              <a:gd name="T8" fmla="+- 0 5394 5394"/>
                              <a:gd name="T9" fmla="*/ T8 w 437"/>
                              <a:gd name="T10" fmla="+- 0 2859 2859"/>
                              <a:gd name="T11" fmla="*/ 2859 h 508"/>
                              <a:gd name="T12" fmla="+- 0 5395 5394"/>
                              <a:gd name="T13" fmla="*/ T12 w 437"/>
                              <a:gd name="T14" fmla="+- 0 2859 2859"/>
                              <a:gd name="T15" fmla="*/ 2859 h 508"/>
                            </a:gdLst>
                            <a:ahLst/>
                            <a:cxnLst>
                              <a:cxn ang="0">
                                <a:pos x="T1" y="T3"/>
                              </a:cxn>
                              <a:cxn ang="0">
                                <a:pos x="T5" y="T7"/>
                              </a:cxn>
                              <a:cxn ang="0">
                                <a:pos x="T9" y="T11"/>
                              </a:cxn>
                              <a:cxn ang="0">
                                <a:pos x="T13" y="T15"/>
                              </a:cxn>
                            </a:cxnLst>
                            <a:rect l="0" t="0" r="r" b="b"/>
                            <a:pathLst>
                              <a:path w="437" h="508">
                                <a:moveTo>
                                  <a:pt x="437" y="508"/>
                                </a:moveTo>
                                <a:lnTo>
                                  <a:pt x="398" y="463"/>
                                </a:lnTo>
                                <a:lnTo>
                                  <a:pt x="0" y="0"/>
                                </a:lnTo>
                                <a:lnTo>
                                  <a:pt x="1"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83" name="Freeform 263"/>
                        <wps:cNvSpPr/>
                        <wps:spPr bwMode="auto">
                          <a:xfrm>
                            <a:off x="5394" y="2774"/>
                            <a:ext cx="510" cy="593"/>
                          </a:xfrm>
                          <a:custGeom>
                            <a:avLst/>
                            <a:gdLst>
                              <a:gd name="T0" fmla="+- 0 5904 5394"/>
                              <a:gd name="T1" fmla="*/ T0 w 510"/>
                              <a:gd name="T2" fmla="+- 0 3367 2775"/>
                              <a:gd name="T3" fmla="*/ 3367 h 593"/>
                              <a:gd name="T4" fmla="+- 0 5792 5394"/>
                              <a:gd name="T5" fmla="*/ T4 w 510"/>
                              <a:gd name="T6" fmla="+- 0 3237 2775"/>
                              <a:gd name="T7" fmla="*/ 3237 h 593"/>
                              <a:gd name="T8" fmla="+- 0 5394 5394"/>
                              <a:gd name="T9" fmla="*/ T8 w 510"/>
                              <a:gd name="T10" fmla="+- 0 2775 2775"/>
                              <a:gd name="T11" fmla="*/ 2775 h 593"/>
                              <a:gd name="T12" fmla="+- 0 5395 5394"/>
                              <a:gd name="T13" fmla="*/ T12 w 510"/>
                              <a:gd name="T14" fmla="+- 0 2775 2775"/>
                              <a:gd name="T15" fmla="*/ 2775 h 593"/>
                            </a:gdLst>
                            <a:ahLst/>
                            <a:cxnLst>
                              <a:cxn ang="0">
                                <a:pos x="T1" y="T3"/>
                              </a:cxn>
                              <a:cxn ang="0">
                                <a:pos x="T5" y="T7"/>
                              </a:cxn>
                              <a:cxn ang="0">
                                <a:pos x="T9" y="T11"/>
                              </a:cxn>
                              <a:cxn ang="0">
                                <a:pos x="T13" y="T15"/>
                              </a:cxn>
                            </a:cxnLst>
                            <a:rect l="0" t="0" r="r" b="b"/>
                            <a:pathLst>
                              <a:path w="510" h="593">
                                <a:moveTo>
                                  <a:pt x="510" y="592"/>
                                </a:moveTo>
                                <a:lnTo>
                                  <a:pt x="398" y="462"/>
                                </a:lnTo>
                                <a:lnTo>
                                  <a:pt x="0" y="0"/>
                                </a:lnTo>
                                <a:lnTo>
                                  <a:pt x="1"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84" name="Freeform 262"/>
                        <wps:cNvSpPr/>
                        <wps:spPr bwMode="auto">
                          <a:xfrm>
                            <a:off x="5394" y="2689"/>
                            <a:ext cx="583" cy="678"/>
                          </a:xfrm>
                          <a:custGeom>
                            <a:avLst/>
                            <a:gdLst>
                              <a:gd name="T0" fmla="+- 0 5977 5394"/>
                              <a:gd name="T1" fmla="*/ T0 w 583"/>
                              <a:gd name="T2" fmla="+- 0 3367 2690"/>
                              <a:gd name="T3" fmla="*/ 3367 h 678"/>
                              <a:gd name="T4" fmla="+- 0 5792 5394"/>
                              <a:gd name="T5" fmla="*/ T4 w 583"/>
                              <a:gd name="T6" fmla="+- 0 3152 2690"/>
                              <a:gd name="T7" fmla="*/ 3152 h 678"/>
                              <a:gd name="T8" fmla="+- 0 5394 5394"/>
                              <a:gd name="T9" fmla="*/ T8 w 583"/>
                              <a:gd name="T10" fmla="+- 0 2690 2690"/>
                              <a:gd name="T11" fmla="*/ 2690 h 678"/>
                              <a:gd name="T12" fmla="+- 0 5395 5394"/>
                              <a:gd name="T13" fmla="*/ T12 w 583"/>
                              <a:gd name="T14" fmla="+- 0 2690 2690"/>
                              <a:gd name="T15" fmla="*/ 2690 h 678"/>
                            </a:gdLst>
                            <a:ahLst/>
                            <a:cxnLst>
                              <a:cxn ang="0">
                                <a:pos x="T1" y="T3"/>
                              </a:cxn>
                              <a:cxn ang="0">
                                <a:pos x="T5" y="T7"/>
                              </a:cxn>
                              <a:cxn ang="0">
                                <a:pos x="T9" y="T11"/>
                              </a:cxn>
                              <a:cxn ang="0">
                                <a:pos x="T13" y="T15"/>
                              </a:cxn>
                            </a:cxnLst>
                            <a:rect l="0" t="0" r="r" b="b"/>
                            <a:pathLst>
                              <a:path w="583" h="678">
                                <a:moveTo>
                                  <a:pt x="583" y="677"/>
                                </a:moveTo>
                                <a:lnTo>
                                  <a:pt x="398" y="462"/>
                                </a:lnTo>
                                <a:lnTo>
                                  <a:pt x="0" y="0"/>
                                </a:lnTo>
                                <a:lnTo>
                                  <a:pt x="1"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85" name="Freeform 261"/>
                        <wps:cNvSpPr/>
                        <wps:spPr bwMode="auto">
                          <a:xfrm>
                            <a:off x="5394" y="2604"/>
                            <a:ext cx="656" cy="763"/>
                          </a:xfrm>
                          <a:custGeom>
                            <a:avLst/>
                            <a:gdLst>
                              <a:gd name="T0" fmla="+- 0 6050 5394"/>
                              <a:gd name="T1" fmla="*/ T0 w 656"/>
                              <a:gd name="T2" fmla="+- 0 3367 2605"/>
                              <a:gd name="T3" fmla="*/ 3367 h 763"/>
                              <a:gd name="T4" fmla="+- 0 5792 5394"/>
                              <a:gd name="T5" fmla="*/ T4 w 656"/>
                              <a:gd name="T6" fmla="+- 0 3068 2605"/>
                              <a:gd name="T7" fmla="*/ 3068 h 763"/>
                              <a:gd name="T8" fmla="+- 0 5394 5394"/>
                              <a:gd name="T9" fmla="*/ T8 w 656"/>
                              <a:gd name="T10" fmla="+- 0 2605 2605"/>
                              <a:gd name="T11" fmla="*/ 2605 h 763"/>
                              <a:gd name="T12" fmla="+- 0 5395 5394"/>
                              <a:gd name="T13" fmla="*/ T12 w 656"/>
                              <a:gd name="T14" fmla="+- 0 2605 2605"/>
                              <a:gd name="T15" fmla="*/ 2605 h 763"/>
                            </a:gdLst>
                            <a:ahLst/>
                            <a:cxnLst>
                              <a:cxn ang="0">
                                <a:pos x="T1" y="T3"/>
                              </a:cxn>
                              <a:cxn ang="0">
                                <a:pos x="T5" y="T7"/>
                              </a:cxn>
                              <a:cxn ang="0">
                                <a:pos x="T9" y="T11"/>
                              </a:cxn>
                              <a:cxn ang="0">
                                <a:pos x="T13" y="T15"/>
                              </a:cxn>
                            </a:cxnLst>
                            <a:rect l="0" t="0" r="r" b="b"/>
                            <a:pathLst>
                              <a:path w="656" h="763">
                                <a:moveTo>
                                  <a:pt x="656" y="762"/>
                                </a:moveTo>
                                <a:lnTo>
                                  <a:pt x="398" y="463"/>
                                </a:lnTo>
                                <a:lnTo>
                                  <a:pt x="0" y="0"/>
                                </a:lnTo>
                                <a:lnTo>
                                  <a:pt x="1"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86" name="Freeform 260"/>
                        <wps:cNvSpPr/>
                        <wps:spPr bwMode="auto">
                          <a:xfrm>
                            <a:off x="5394" y="2520"/>
                            <a:ext cx="729" cy="848"/>
                          </a:xfrm>
                          <a:custGeom>
                            <a:avLst/>
                            <a:gdLst>
                              <a:gd name="T0" fmla="+- 0 6123 5394"/>
                              <a:gd name="T1" fmla="*/ T0 w 729"/>
                              <a:gd name="T2" fmla="+- 0 3367 2520"/>
                              <a:gd name="T3" fmla="*/ 3367 h 848"/>
                              <a:gd name="T4" fmla="+- 0 5792 5394"/>
                              <a:gd name="T5" fmla="*/ T4 w 729"/>
                              <a:gd name="T6" fmla="+- 0 2983 2520"/>
                              <a:gd name="T7" fmla="*/ 2983 h 848"/>
                              <a:gd name="T8" fmla="+- 0 5394 5394"/>
                              <a:gd name="T9" fmla="*/ T8 w 729"/>
                              <a:gd name="T10" fmla="+- 0 2520 2520"/>
                              <a:gd name="T11" fmla="*/ 2520 h 848"/>
                              <a:gd name="T12" fmla="+- 0 5395 5394"/>
                              <a:gd name="T13" fmla="*/ T12 w 729"/>
                              <a:gd name="T14" fmla="+- 0 2520 2520"/>
                              <a:gd name="T15" fmla="*/ 2520 h 848"/>
                            </a:gdLst>
                            <a:ahLst/>
                            <a:cxnLst>
                              <a:cxn ang="0">
                                <a:pos x="T1" y="T3"/>
                              </a:cxn>
                              <a:cxn ang="0">
                                <a:pos x="T5" y="T7"/>
                              </a:cxn>
                              <a:cxn ang="0">
                                <a:pos x="T9" y="T11"/>
                              </a:cxn>
                              <a:cxn ang="0">
                                <a:pos x="T13" y="T15"/>
                              </a:cxn>
                            </a:cxnLst>
                            <a:rect l="0" t="0" r="r" b="b"/>
                            <a:pathLst>
                              <a:path w="729" h="848">
                                <a:moveTo>
                                  <a:pt x="729" y="847"/>
                                </a:moveTo>
                                <a:lnTo>
                                  <a:pt x="398" y="463"/>
                                </a:lnTo>
                                <a:lnTo>
                                  <a:pt x="0" y="0"/>
                                </a:lnTo>
                                <a:lnTo>
                                  <a:pt x="1"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87" name="Freeform 259"/>
                        <wps:cNvSpPr/>
                        <wps:spPr bwMode="auto">
                          <a:xfrm>
                            <a:off x="5394" y="2435"/>
                            <a:ext cx="796" cy="926"/>
                          </a:xfrm>
                          <a:custGeom>
                            <a:avLst/>
                            <a:gdLst>
                              <a:gd name="T0" fmla="+- 0 6190 5394"/>
                              <a:gd name="T1" fmla="*/ T0 w 796"/>
                              <a:gd name="T2" fmla="+- 0 3361 2435"/>
                              <a:gd name="T3" fmla="*/ 3361 h 926"/>
                              <a:gd name="T4" fmla="+- 0 5792 5394"/>
                              <a:gd name="T5" fmla="*/ T4 w 796"/>
                              <a:gd name="T6" fmla="+- 0 2898 2435"/>
                              <a:gd name="T7" fmla="*/ 2898 h 926"/>
                              <a:gd name="T8" fmla="+- 0 5394 5394"/>
                              <a:gd name="T9" fmla="*/ T8 w 796"/>
                              <a:gd name="T10" fmla="+- 0 2435 2435"/>
                              <a:gd name="T11" fmla="*/ 2435 h 926"/>
                              <a:gd name="T12" fmla="+- 0 5395 5394"/>
                              <a:gd name="T13" fmla="*/ T12 w 796"/>
                              <a:gd name="T14" fmla="+- 0 2435 2435"/>
                              <a:gd name="T15" fmla="*/ 2435 h 926"/>
                            </a:gdLst>
                            <a:ahLst/>
                            <a:cxnLst>
                              <a:cxn ang="0">
                                <a:pos x="T1" y="T3"/>
                              </a:cxn>
                              <a:cxn ang="0">
                                <a:pos x="T5" y="T7"/>
                              </a:cxn>
                              <a:cxn ang="0">
                                <a:pos x="T9" y="T11"/>
                              </a:cxn>
                              <a:cxn ang="0">
                                <a:pos x="T13" y="T15"/>
                              </a:cxn>
                            </a:cxnLst>
                            <a:rect l="0" t="0" r="r" b="b"/>
                            <a:pathLst>
                              <a:path w="796" h="926">
                                <a:moveTo>
                                  <a:pt x="796" y="926"/>
                                </a:moveTo>
                                <a:lnTo>
                                  <a:pt x="398" y="463"/>
                                </a:lnTo>
                                <a:lnTo>
                                  <a:pt x="0" y="0"/>
                                </a:lnTo>
                                <a:lnTo>
                                  <a:pt x="1"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88" name="Freeform 258"/>
                        <wps:cNvSpPr/>
                        <wps:spPr bwMode="auto">
                          <a:xfrm>
                            <a:off x="5394" y="2350"/>
                            <a:ext cx="796" cy="926"/>
                          </a:xfrm>
                          <a:custGeom>
                            <a:avLst/>
                            <a:gdLst>
                              <a:gd name="T0" fmla="+- 0 6190 5394"/>
                              <a:gd name="T1" fmla="*/ T0 w 796"/>
                              <a:gd name="T2" fmla="+- 0 3276 2350"/>
                              <a:gd name="T3" fmla="*/ 3276 h 926"/>
                              <a:gd name="T4" fmla="+- 0 5792 5394"/>
                              <a:gd name="T5" fmla="*/ T4 w 796"/>
                              <a:gd name="T6" fmla="+- 0 2813 2350"/>
                              <a:gd name="T7" fmla="*/ 2813 h 926"/>
                              <a:gd name="T8" fmla="+- 0 5394 5394"/>
                              <a:gd name="T9" fmla="*/ T8 w 796"/>
                              <a:gd name="T10" fmla="+- 0 2350 2350"/>
                              <a:gd name="T11" fmla="*/ 2350 h 926"/>
                              <a:gd name="T12" fmla="+- 0 5395 5394"/>
                              <a:gd name="T13" fmla="*/ T12 w 796"/>
                              <a:gd name="T14" fmla="+- 0 2350 2350"/>
                              <a:gd name="T15" fmla="*/ 2350 h 926"/>
                            </a:gdLst>
                            <a:ahLst/>
                            <a:cxnLst>
                              <a:cxn ang="0">
                                <a:pos x="T1" y="T3"/>
                              </a:cxn>
                              <a:cxn ang="0">
                                <a:pos x="T5" y="T7"/>
                              </a:cxn>
                              <a:cxn ang="0">
                                <a:pos x="T9" y="T11"/>
                              </a:cxn>
                              <a:cxn ang="0">
                                <a:pos x="T13" y="T15"/>
                              </a:cxn>
                            </a:cxnLst>
                            <a:rect l="0" t="0" r="r" b="b"/>
                            <a:pathLst>
                              <a:path w="796" h="926">
                                <a:moveTo>
                                  <a:pt x="796" y="926"/>
                                </a:moveTo>
                                <a:lnTo>
                                  <a:pt x="398" y="463"/>
                                </a:lnTo>
                                <a:lnTo>
                                  <a:pt x="0" y="0"/>
                                </a:lnTo>
                                <a:lnTo>
                                  <a:pt x="1"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89" name="Freeform 257"/>
                        <wps:cNvSpPr/>
                        <wps:spPr bwMode="auto">
                          <a:xfrm>
                            <a:off x="5394" y="2265"/>
                            <a:ext cx="796" cy="926"/>
                          </a:xfrm>
                          <a:custGeom>
                            <a:avLst/>
                            <a:gdLst>
                              <a:gd name="T0" fmla="+- 0 6190 5394"/>
                              <a:gd name="T1" fmla="*/ T0 w 796"/>
                              <a:gd name="T2" fmla="+- 0 3191 2266"/>
                              <a:gd name="T3" fmla="*/ 3191 h 926"/>
                              <a:gd name="T4" fmla="+- 0 5792 5394"/>
                              <a:gd name="T5" fmla="*/ T4 w 796"/>
                              <a:gd name="T6" fmla="+- 0 2728 2266"/>
                              <a:gd name="T7" fmla="*/ 2728 h 926"/>
                              <a:gd name="T8" fmla="+- 0 5394 5394"/>
                              <a:gd name="T9" fmla="*/ T8 w 796"/>
                              <a:gd name="T10" fmla="+- 0 2266 2266"/>
                              <a:gd name="T11" fmla="*/ 2266 h 926"/>
                              <a:gd name="T12" fmla="+- 0 5395 5394"/>
                              <a:gd name="T13" fmla="*/ T12 w 796"/>
                              <a:gd name="T14" fmla="+- 0 2266 2266"/>
                              <a:gd name="T15" fmla="*/ 2266 h 926"/>
                            </a:gdLst>
                            <a:ahLst/>
                            <a:cxnLst>
                              <a:cxn ang="0">
                                <a:pos x="T1" y="T3"/>
                              </a:cxn>
                              <a:cxn ang="0">
                                <a:pos x="T5" y="T7"/>
                              </a:cxn>
                              <a:cxn ang="0">
                                <a:pos x="T9" y="T11"/>
                              </a:cxn>
                              <a:cxn ang="0">
                                <a:pos x="T13" y="T15"/>
                              </a:cxn>
                            </a:cxnLst>
                            <a:rect l="0" t="0" r="r" b="b"/>
                            <a:pathLst>
                              <a:path w="796" h="926">
                                <a:moveTo>
                                  <a:pt x="796" y="925"/>
                                </a:moveTo>
                                <a:lnTo>
                                  <a:pt x="398" y="462"/>
                                </a:lnTo>
                                <a:lnTo>
                                  <a:pt x="0" y="0"/>
                                </a:lnTo>
                                <a:lnTo>
                                  <a:pt x="1"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90" name="Freeform 256"/>
                        <wps:cNvSpPr/>
                        <wps:spPr bwMode="auto">
                          <a:xfrm>
                            <a:off x="5394" y="2180"/>
                            <a:ext cx="796" cy="926"/>
                          </a:xfrm>
                          <a:custGeom>
                            <a:avLst/>
                            <a:gdLst>
                              <a:gd name="T0" fmla="+- 0 6190 5394"/>
                              <a:gd name="T1" fmla="*/ T0 w 796"/>
                              <a:gd name="T2" fmla="+- 0 3106 2181"/>
                              <a:gd name="T3" fmla="*/ 3106 h 926"/>
                              <a:gd name="T4" fmla="+- 0 5792 5394"/>
                              <a:gd name="T5" fmla="*/ T4 w 796"/>
                              <a:gd name="T6" fmla="+- 0 2643 2181"/>
                              <a:gd name="T7" fmla="*/ 2643 h 926"/>
                              <a:gd name="T8" fmla="+- 0 5394 5394"/>
                              <a:gd name="T9" fmla="*/ T8 w 796"/>
                              <a:gd name="T10" fmla="+- 0 2181 2181"/>
                              <a:gd name="T11" fmla="*/ 2181 h 926"/>
                              <a:gd name="T12" fmla="+- 0 5395 5394"/>
                              <a:gd name="T13" fmla="*/ T12 w 796"/>
                              <a:gd name="T14" fmla="+- 0 2181 2181"/>
                              <a:gd name="T15" fmla="*/ 2181 h 926"/>
                            </a:gdLst>
                            <a:ahLst/>
                            <a:cxnLst>
                              <a:cxn ang="0">
                                <a:pos x="T1" y="T3"/>
                              </a:cxn>
                              <a:cxn ang="0">
                                <a:pos x="T5" y="T7"/>
                              </a:cxn>
                              <a:cxn ang="0">
                                <a:pos x="T9" y="T11"/>
                              </a:cxn>
                              <a:cxn ang="0">
                                <a:pos x="T13" y="T15"/>
                              </a:cxn>
                            </a:cxnLst>
                            <a:rect l="0" t="0" r="r" b="b"/>
                            <a:pathLst>
                              <a:path w="796" h="926">
                                <a:moveTo>
                                  <a:pt x="796" y="925"/>
                                </a:moveTo>
                                <a:lnTo>
                                  <a:pt x="398" y="462"/>
                                </a:lnTo>
                                <a:lnTo>
                                  <a:pt x="0" y="0"/>
                                </a:lnTo>
                                <a:lnTo>
                                  <a:pt x="1"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91" name="Freeform 255"/>
                        <wps:cNvSpPr/>
                        <wps:spPr bwMode="auto">
                          <a:xfrm>
                            <a:off x="5394" y="2095"/>
                            <a:ext cx="796" cy="926"/>
                          </a:xfrm>
                          <a:custGeom>
                            <a:avLst/>
                            <a:gdLst>
                              <a:gd name="T0" fmla="+- 0 6190 5394"/>
                              <a:gd name="T1" fmla="*/ T0 w 796"/>
                              <a:gd name="T2" fmla="+- 0 3021 2096"/>
                              <a:gd name="T3" fmla="*/ 3021 h 926"/>
                              <a:gd name="T4" fmla="+- 0 5792 5394"/>
                              <a:gd name="T5" fmla="*/ T4 w 796"/>
                              <a:gd name="T6" fmla="+- 0 2559 2096"/>
                              <a:gd name="T7" fmla="*/ 2559 h 926"/>
                              <a:gd name="T8" fmla="+- 0 5394 5394"/>
                              <a:gd name="T9" fmla="*/ T8 w 796"/>
                              <a:gd name="T10" fmla="+- 0 2096 2096"/>
                              <a:gd name="T11" fmla="*/ 2096 h 926"/>
                              <a:gd name="T12" fmla="+- 0 5395 5394"/>
                              <a:gd name="T13" fmla="*/ T12 w 796"/>
                              <a:gd name="T14" fmla="+- 0 2096 2096"/>
                              <a:gd name="T15" fmla="*/ 2096 h 926"/>
                            </a:gdLst>
                            <a:ahLst/>
                            <a:cxnLst>
                              <a:cxn ang="0">
                                <a:pos x="T1" y="T3"/>
                              </a:cxn>
                              <a:cxn ang="0">
                                <a:pos x="T5" y="T7"/>
                              </a:cxn>
                              <a:cxn ang="0">
                                <a:pos x="T9" y="T11"/>
                              </a:cxn>
                              <a:cxn ang="0">
                                <a:pos x="T13" y="T15"/>
                              </a:cxn>
                            </a:cxnLst>
                            <a:rect l="0" t="0" r="r" b="b"/>
                            <a:pathLst>
                              <a:path w="796" h="926">
                                <a:moveTo>
                                  <a:pt x="796" y="925"/>
                                </a:moveTo>
                                <a:lnTo>
                                  <a:pt x="398" y="463"/>
                                </a:lnTo>
                                <a:lnTo>
                                  <a:pt x="0" y="0"/>
                                </a:lnTo>
                                <a:lnTo>
                                  <a:pt x="1"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92" name="Freeform 254"/>
                        <wps:cNvSpPr/>
                        <wps:spPr bwMode="auto">
                          <a:xfrm>
                            <a:off x="5394" y="2011"/>
                            <a:ext cx="796" cy="926"/>
                          </a:xfrm>
                          <a:custGeom>
                            <a:avLst/>
                            <a:gdLst>
                              <a:gd name="T0" fmla="+- 0 6190 5394"/>
                              <a:gd name="T1" fmla="*/ T0 w 796"/>
                              <a:gd name="T2" fmla="+- 0 2937 2011"/>
                              <a:gd name="T3" fmla="*/ 2937 h 926"/>
                              <a:gd name="T4" fmla="+- 0 5792 5394"/>
                              <a:gd name="T5" fmla="*/ T4 w 796"/>
                              <a:gd name="T6" fmla="+- 0 2474 2011"/>
                              <a:gd name="T7" fmla="*/ 2474 h 926"/>
                              <a:gd name="T8" fmla="+- 0 5394 5394"/>
                              <a:gd name="T9" fmla="*/ T8 w 796"/>
                              <a:gd name="T10" fmla="+- 0 2011 2011"/>
                              <a:gd name="T11" fmla="*/ 2011 h 926"/>
                              <a:gd name="T12" fmla="+- 0 5395 5394"/>
                              <a:gd name="T13" fmla="*/ T12 w 796"/>
                              <a:gd name="T14" fmla="+- 0 2011 2011"/>
                              <a:gd name="T15" fmla="*/ 2011 h 926"/>
                            </a:gdLst>
                            <a:ahLst/>
                            <a:cxnLst>
                              <a:cxn ang="0">
                                <a:pos x="T1" y="T3"/>
                              </a:cxn>
                              <a:cxn ang="0">
                                <a:pos x="T5" y="T7"/>
                              </a:cxn>
                              <a:cxn ang="0">
                                <a:pos x="T9" y="T11"/>
                              </a:cxn>
                              <a:cxn ang="0">
                                <a:pos x="T13" y="T15"/>
                              </a:cxn>
                            </a:cxnLst>
                            <a:rect l="0" t="0" r="r" b="b"/>
                            <a:pathLst>
                              <a:path w="796" h="926">
                                <a:moveTo>
                                  <a:pt x="796" y="926"/>
                                </a:moveTo>
                                <a:lnTo>
                                  <a:pt x="398" y="463"/>
                                </a:lnTo>
                                <a:lnTo>
                                  <a:pt x="0" y="0"/>
                                </a:lnTo>
                                <a:lnTo>
                                  <a:pt x="1"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93" name="Freeform 253"/>
                        <wps:cNvSpPr/>
                        <wps:spPr bwMode="auto">
                          <a:xfrm>
                            <a:off x="5394" y="1926"/>
                            <a:ext cx="796" cy="926"/>
                          </a:xfrm>
                          <a:custGeom>
                            <a:avLst/>
                            <a:gdLst>
                              <a:gd name="T0" fmla="+- 0 6190 5394"/>
                              <a:gd name="T1" fmla="*/ T0 w 796"/>
                              <a:gd name="T2" fmla="+- 0 2852 1926"/>
                              <a:gd name="T3" fmla="*/ 2852 h 926"/>
                              <a:gd name="T4" fmla="+- 0 5792 5394"/>
                              <a:gd name="T5" fmla="*/ T4 w 796"/>
                              <a:gd name="T6" fmla="+- 0 2389 1926"/>
                              <a:gd name="T7" fmla="*/ 2389 h 926"/>
                              <a:gd name="T8" fmla="+- 0 5394 5394"/>
                              <a:gd name="T9" fmla="*/ T8 w 796"/>
                              <a:gd name="T10" fmla="+- 0 1926 1926"/>
                              <a:gd name="T11" fmla="*/ 1926 h 926"/>
                              <a:gd name="T12" fmla="+- 0 5395 5394"/>
                              <a:gd name="T13" fmla="*/ T12 w 796"/>
                              <a:gd name="T14" fmla="+- 0 1926 1926"/>
                              <a:gd name="T15" fmla="*/ 1926 h 926"/>
                            </a:gdLst>
                            <a:ahLst/>
                            <a:cxnLst>
                              <a:cxn ang="0">
                                <a:pos x="T1" y="T3"/>
                              </a:cxn>
                              <a:cxn ang="0">
                                <a:pos x="T5" y="T7"/>
                              </a:cxn>
                              <a:cxn ang="0">
                                <a:pos x="T9" y="T11"/>
                              </a:cxn>
                              <a:cxn ang="0">
                                <a:pos x="T13" y="T15"/>
                              </a:cxn>
                            </a:cxnLst>
                            <a:rect l="0" t="0" r="r" b="b"/>
                            <a:pathLst>
                              <a:path w="796" h="926">
                                <a:moveTo>
                                  <a:pt x="796" y="926"/>
                                </a:moveTo>
                                <a:lnTo>
                                  <a:pt x="398" y="463"/>
                                </a:lnTo>
                                <a:lnTo>
                                  <a:pt x="0" y="0"/>
                                </a:lnTo>
                                <a:lnTo>
                                  <a:pt x="1"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94" name="Freeform 252"/>
                        <wps:cNvSpPr/>
                        <wps:spPr bwMode="auto">
                          <a:xfrm>
                            <a:off x="5394" y="1841"/>
                            <a:ext cx="796" cy="926"/>
                          </a:xfrm>
                          <a:custGeom>
                            <a:avLst/>
                            <a:gdLst>
                              <a:gd name="T0" fmla="+- 0 6190 5394"/>
                              <a:gd name="T1" fmla="*/ T0 w 796"/>
                              <a:gd name="T2" fmla="+- 0 2767 1842"/>
                              <a:gd name="T3" fmla="*/ 2767 h 926"/>
                              <a:gd name="T4" fmla="+- 0 5792 5394"/>
                              <a:gd name="T5" fmla="*/ T4 w 796"/>
                              <a:gd name="T6" fmla="+- 0 2304 1842"/>
                              <a:gd name="T7" fmla="*/ 2304 h 926"/>
                              <a:gd name="T8" fmla="+- 0 5394 5394"/>
                              <a:gd name="T9" fmla="*/ T8 w 796"/>
                              <a:gd name="T10" fmla="+- 0 1842 1842"/>
                              <a:gd name="T11" fmla="*/ 1842 h 926"/>
                              <a:gd name="T12" fmla="+- 0 5395 5394"/>
                              <a:gd name="T13" fmla="*/ T12 w 796"/>
                              <a:gd name="T14" fmla="+- 0 1842 1842"/>
                              <a:gd name="T15" fmla="*/ 1842 h 926"/>
                            </a:gdLst>
                            <a:ahLst/>
                            <a:cxnLst>
                              <a:cxn ang="0">
                                <a:pos x="T1" y="T3"/>
                              </a:cxn>
                              <a:cxn ang="0">
                                <a:pos x="T5" y="T7"/>
                              </a:cxn>
                              <a:cxn ang="0">
                                <a:pos x="T9" y="T11"/>
                              </a:cxn>
                              <a:cxn ang="0">
                                <a:pos x="T13" y="T15"/>
                              </a:cxn>
                            </a:cxnLst>
                            <a:rect l="0" t="0" r="r" b="b"/>
                            <a:pathLst>
                              <a:path w="796" h="926">
                                <a:moveTo>
                                  <a:pt x="796" y="925"/>
                                </a:moveTo>
                                <a:lnTo>
                                  <a:pt x="398" y="462"/>
                                </a:lnTo>
                                <a:lnTo>
                                  <a:pt x="0" y="0"/>
                                </a:lnTo>
                                <a:lnTo>
                                  <a:pt x="1"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95" name="Freeform 251"/>
                        <wps:cNvSpPr/>
                        <wps:spPr bwMode="auto">
                          <a:xfrm>
                            <a:off x="5394" y="1756"/>
                            <a:ext cx="796" cy="926"/>
                          </a:xfrm>
                          <a:custGeom>
                            <a:avLst/>
                            <a:gdLst>
                              <a:gd name="T0" fmla="+- 0 6190 5394"/>
                              <a:gd name="T1" fmla="*/ T0 w 796"/>
                              <a:gd name="T2" fmla="+- 0 2682 1757"/>
                              <a:gd name="T3" fmla="*/ 2682 h 926"/>
                              <a:gd name="T4" fmla="+- 0 5792 5394"/>
                              <a:gd name="T5" fmla="*/ T4 w 796"/>
                              <a:gd name="T6" fmla="+- 0 2219 1757"/>
                              <a:gd name="T7" fmla="*/ 2219 h 926"/>
                              <a:gd name="T8" fmla="+- 0 5394 5394"/>
                              <a:gd name="T9" fmla="*/ T8 w 796"/>
                              <a:gd name="T10" fmla="+- 0 1757 1757"/>
                              <a:gd name="T11" fmla="*/ 1757 h 926"/>
                              <a:gd name="T12" fmla="+- 0 5395 5394"/>
                              <a:gd name="T13" fmla="*/ T12 w 796"/>
                              <a:gd name="T14" fmla="+- 0 1757 1757"/>
                              <a:gd name="T15" fmla="*/ 1757 h 926"/>
                            </a:gdLst>
                            <a:ahLst/>
                            <a:cxnLst>
                              <a:cxn ang="0">
                                <a:pos x="T1" y="T3"/>
                              </a:cxn>
                              <a:cxn ang="0">
                                <a:pos x="T5" y="T7"/>
                              </a:cxn>
                              <a:cxn ang="0">
                                <a:pos x="T9" y="T11"/>
                              </a:cxn>
                              <a:cxn ang="0">
                                <a:pos x="T13" y="T15"/>
                              </a:cxn>
                            </a:cxnLst>
                            <a:rect l="0" t="0" r="r" b="b"/>
                            <a:pathLst>
                              <a:path w="796" h="926">
                                <a:moveTo>
                                  <a:pt x="796" y="925"/>
                                </a:moveTo>
                                <a:lnTo>
                                  <a:pt x="398" y="462"/>
                                </a:lnTo>
                                <a:lnTo>
                                  <a:pt x="0" y="0"/>
                                </a:lnTo>
                                <a:lnTo>
                                  <a:pt x="1"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96" name="Freeform 250"/>
                        <wps:cNvSpPr/>
                        <wps:spPr bwMode="auto">
                          <a:xfrm>
                            <a:off x="5394" y="1671"/>
                            <a:ext cx="796" cy="926"/>
                          </a:xfrm>
                          <a:custGeom>
                            <a:avLst/>
                            <a:gdLst>
                              <a:gd name="T0" fmla="+- 0 6190 5394"/>
                              <a:gd name="T1" fmla="*/ T0 w 796"/>
                              <a:gd name="T2" fmla="+- 0 2597 1672"/>
                              <a:gd name="T3" fmla="*/ 2597 h 926"/>
                              <a:gd name="T4" fmla="+- 0 5792 5394"/>
                              <a:gd name="T5" fmla="*/ T4 w 796"/>
                              <a:gd name="T6" fmla="+- 0 2135 1672"/>
                              <a:gd name="T7" fmla="*/ 2135 h 926"/>
                              <a:gd name="T8" fmla="+- 0 5394 5394"/>
                              <a:gd name="T9" fmla="*/ T8 w 796"/>
                              <a:gd name="T10" fmla="+- 0 1672 1672"/>
                              <a:gd name="T11" fmla="*/ 1672 h 926"/>
                              <a:gd name="T12" fmla="+- 0 5395 5394"/>
                              <a:gd name="T13" fmla="*/ T12 w 796"/>
                              <a:gd name="T14" fmla="+- 0 1672 1672"/>
                              <a:gd name="T15" fmla="*/ 1672 h 926"/>
                            </a:gdLst>
                            <a:ahLst/>
                            <a:cxnLst>
                              <a:cxn ang="0">
                                <a:pos x="T1" y="T3"/>
                              </a:cxn>
                              <a:cxn ang="0">
                                <a:pos x="T5" y="T7"/>
                              </a:cxn>
                              <a:cxn ang="0">
                                <a:pos x="T9" y="T11"/>
                              </a:cxn>
                              <a:cxn ang="0">
                                <a:pos x="T13" y="T15"/>
                              </a:cxn>
                            </a:cxnLst>
                            <a:rect l="0" t="0" r="r" b="b"/>
                            <a:pathLst>
                              <a:path w="796" h="926">
                                <a:moveTo>
                                  <a:pt x="796" y="925"/>
                                </a:moveTo>
                                <a:lnTo>
                                  <a:pt x="398" y="463"/>
                                </a:lnTo>
                                <a:lnTo>
                                  <a:pt x="0" y="0"/>
                                </a:lnTo>
                                <a:lnTo>
                                  <a:pt x="1"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97" name="Freeform 249"/>
                        <wps:cNvSpPr/>
                        <wps:spPr bwMode="auto">
                          <a:xfrm>
                            <a:off x="5411" y="1607"/>
                            <a:ext cx="779" cy="906"/>
                          </a:xfrm>
                          <a:custGeom>
                            <a:avLst/>
                            <a:gdLst>
                              <a:gd name="T0" fmla="+- 0 6190 5412"/>
                              <a:gd name="T1" fmla="*/ T0 w 779"/>
                              <a:gd name="T2" fmla="+- 0 2512 1607"/>
                              <a:gd name="T3" fmla="*/ 2512 h 906"/>
                              <a:gd name="T4" fmla="+- 0 5792 5412"/>
                              <a:gd name="T5" fmla="*/ T4 w 779"/>
                              <a:gd name="T6" fmla="+- 0 2050 1607"/>
                              <a:gd name="T7" fmla="*/ 2050 h 906"/>
                              <a:gd name="T8" fmla="+- 0 5412 5412"/>
                              <a:gd name="T9" fmla="*/ T8 w 779"/>
                              <a:gd name="T10" fmla="+- 0 1607 1607"/>
                              <a:gd name="T11" fmla="*/ 1607 h 906"/>
                              <a:gd name="T12" fmla="+- 0 5412 5412"/>
                              <a:gd name="T13" fmla="*/ T12 w 779"/>
                              <a:gd name="T14" fmla="+- 0 1607 1607"/>
                              <a:gd name="T15" fmla="*/ 1607 h 906"/>
                            </a:gdLst>
                            <a:ahLst/>
                            <a:cxnLst>
                              <a:cxn ang="0">
                                <a:pos x="T1" y="T3"/>
                              </a:cxn>
                              <a:cxn ang="0">
                                <a:pos x="T5" y="T7"/>
                              </a:cxn>
                              <a:cxn ang="0">
                                <a:pos x="T9" y="T11"/>
                              </a:cxn>
                              <a:cxn ang="0">
                                <a:pos x="T13" y="T15"/>
                              </a:cxn>
                            </a:cxnLst>
                            <a:rect l="0" t="0" r="r" b="b"/>
                            <a:pathLst>
                              <a:path w="779" h="906">
                                <a:moveTo>
                                  <a:pt x="778" y="905"/>
                                </a:moveTo>
                                <a:lnTo>
                                  <a:pt x="380" y="443"/>
                                </a:lnTo>
                                <a:lnTo>
                                  <a:pt x="0"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98" name="Freeform 248"/>
                        <wps:cNvSpPr/>
                        <wps:spPr bwMode="auto">
                          <a:xfrm>
                            <a:off x="5484" y="1607"/>
                            <a:ext cx="706" cy="821"/>
                          </a:xfrm>
                          <a:custGeom>
                            <a:avLst/>
                            <a:gdLst>
                              <a:gd name="T0" fmla="+- 0 6190 5485"/>
                              <a:gd name="T1" fmla="*/ T0 w 706"/>
                              <a:gd name="T2" fmla="+- 0 2428 1607"/>
                              <a:gd name="T3" fmla="*/ 2428 h 821"/>
                              <a:gd name="T4" fmla="+- 0 5792 5485"/>
                              <a:gd name="T5" fmla="*/ T4 w 706"/>
                              <a:gd name="T6" fmla="+- 0 1965 1607"/>
                              <a:gd name="T7" fmla="*/ 1965 h 821"/>
                              <a:gd name="T8" fmla="+- 0 5485 5485"/>
                              <a:gd name="T9" fmla="*/ T8 w 706"/>
                              <a:gd name="T10" fmla="+- 0 1607 1607"/>
                              <a:gd name="T11" fmla="*/ 1607 h 821"/>
                              <a:gd name="T12" fmla="+- 0 5485 5485"/>
                              <a:gd name="T13" fmla="*/ T12 w 706"/>
                              <a:gd name="T14" fmla="+- 0 1607 1607"/>
                              <a:gd name="T15" fmla="*/ 1607 h 821"/>
                            </a:gdLst>
                            <a:ahLst/>
                            <a:cxnLst>
                              <a:cxn ang="0">
                                <a:pos x="T1" y="T3"/>
                              </a:cxn>
                              <a:cxn ang="0">
                                <a:pos x="T5" y="T7"/>
                              </a:cxn>
                              <a:cxn ang="0">
                                <a:pos x="T9" y="T11"/>
                              </a:cxn>
                              <a:cxn ang="0">
                                <a:pos x="T13" y="T15"/>
                              </a:cxn>
                            </a:cxnLst>
                            <a:rect l="0" t="0" r="r" b="b"/>
                            <a:pathLst>
                              <a:path w="706" h="821">
                                <a:moveTo>
                                  <a:pt x="705" y="821"/>
                                </a:moveTo>
                                <a:lnTo>
                                  <a:pt x="307" y="358"/>
                                </a:lnTo>
                                <a:lnTo>
                                  <a:pt x="0"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199" name="Freeform 247"/>
                        <wps:cNvSpPr/>
                        <wps:spPr bwMode="auto">
                          <a:xfrm>
                            <a:off x="5557" y="1607"/>
                            <a:ext cx="633" cy="736"/>
                          </a:xfrm>
                          <a:custGeom>
                            <a:avLst/>
                            <a:gdLst>
                              <a:gd name="T0" fmla="+- 0 6190 5558"/>
                              <a:gd name="T1" fmla="*/ T0 w 633"/>
                              <a:gd name="T2" fmla="+- 0 2343 1607"/>
                              <a:gd name="T3" fmla="*/ 2343 h 736"/>
                              <a:gd name="T4" fmla="+- 0 5792 5558"/>
                              <a:gd name="T5" fmla="*/ T4 w 633"/>
                              <a:gd name="T6" fmla="+- 0 1880 1607"/>
                              <a:gd name="T7" fmla="*/ 1880 h 736"/>
                              <a:gd name="T8" fmla="+- 0 5558 5558"/>
                              <a:gd name="T9" fmla="*/ T8 w 633"/>
                              <a:gd name="T10" fmla="+- 0 1607 1607"/>
                              <a:gd name="T11" fmla="*/ 1607 h 736"/>
                              <a:gd name="T12" fmla="+- 0 5558 5558"/>
                              <a:gd name="T13" fmla="*/ T12 w 633"/>
                              <a:gd name="T14" fmla="+- 0 1607 1607"/>
                              <a:gd name="T15" fmla="*/ 1607 h 736"/>
                            </a:gdLst>
                            <a:ahLst/>
                            <a:cxnLst>
                              <a:cxn ang="0">
                                <a:pos x="T1" y="T3"/>
                              </a:cxn>
                              <a:cxn ang="0">
                                <a:pos x="T5" y="T7"/>
                              </a:cxn>
                              <a:cxn ang="0">
                                <a:pos x="T9" y="T11"/>
                              </a:cxn>
                              <a:cxn ang="0">
                                <a:pos x="T13" y="T15"/>
                              </a:cxn>
                            </a:cxnLst>
                            <a:rect l="0" t="0" r="r" b="b"/>
                            <a:pathLst>
                              <a:path w="633" h="736">
                                <a:moveTo>
                                  <a:pt x="632" y="736"/>
                                </a:moveTo>
                                <a:lnTo>
                                  <a:pt x="234" y="273"/>
                                </a:lnTo>
                                <a:lnTo>
                                  <a:pt x="0"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200" name="Freeform 246"/>
                        <wps:cNvSpPr/>
                        <wps:spPr bwMode="auto">
                          <a:xfrm>
                            <a:off x="5630" y="1607"/>
                            <a:ext cx="560" cy="651"/>
                          </a:xfrm>
                          <a:custGeom>
                            <a:avLst/>
                            <a:gdLst>
                              <a:gd name="T0" fmla="+- 0 6190 5631"/>
                              <a:gd name="T1" fmla="*/ T0 w 560"/>
                              <a:gd name="T2" fmla="+- 0 2258 1607"/>
                              <a:gd name="T3" fmla="*/ 2258 h 651"/>
                              <a:gd name="T4" fmla="+- 0 5792 5631"/>
                              <a:gd name="T5" fmla="*/ T4 w 560"/>
                              <a:gd name="T6" fmla="+- 0 1795 1607"/>
                              <a:gd name="T7" fmla="*/ 1795 h 651"/>
                              <a:gd name="T8" fmla="+- 0 5631 5631"/>
                              <a:gd name="T9" fmla="*/ T8 w 560"/>
                              <a:gd name="T10" fmla="+- 0 1607 1607"/>
                              <a:gd name="T11" fmla="*/ 1607 h 651"/>
                              <a:gd name="T12" fmla="+- 0 5631 5631"/>
                              <a:gd name="T13" fmla="*/ T12 w 560"/>
                              <a:gd name="T14" fmla="+- 0 1607 1607"/>
                              <a:gd name="T15" fmla="*/ 1607 h 651"/>
                            </a:gdLst>
                            <a:ahLst/>
                            <a:cxnLst>
                              <a:cxn ang="0">
                                <a:pos x="T1" y="T3"/>
                              </a:cxn>
                              <a:cxn ang="0">
                                <a:pos x="T5" y="T7"/>
                              </a:cxn>
                              <a:cxn ang="0">
                                <a:pos x="T9" y="T11"/>
                              </a:cxn>
                              <a:cxn ang="0">
                                <a:pos x="T13" y="T15"/>
                              </a:cxn>
                            </a:cxnLst>
                            <a:rect l="0" t="0" r="r" b="b"/>
                            <a:pathLst>
                              <a:path w="560" h="651">
                                <a:moveTo>
                                  <a:pt x="559" y="651"/>
                                </a:moveTo>
                                <a:lnTo>
                                  <a:pt x="161" y="188"/>
                                </a:lnTo>
                                <a:lnTo>
                                  <a:pt x="0"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201" name="Freeform 245"/>
                        <wps:cNvSpPr/>
                        <wps:spPr bwMode="auto">
                          <a:xfrm>
                            <a:off x="5703" y="1607"/>
                            <a:ext cx="487" cy="566"/>
                          </a:xfrm>
                          <a:custGeom>
                            <a:avLst/>
                            <a:gdLst>
                              <a:gd name="T0" fmla="+- 0 6190 5704"/>
                              <a:gd name="T1" fmla="*/ T0 w 487"/>
                              <a:gd name="T2" fmla="+- 0 2173 1607"/>
                              <a:gd name="T3" fmla="*/ 2173 h 566"/>
                              <a:gd name="T4" fmla="+- 0 5792 5704"/>
                              <a:gd name="T5" fmla="*/ T4 w 487"/>
                              <a:gd name="T6" fmla="+- 0 1710 1607"/>
                              <a:gd name="T7" fmla="*/ 1710 h 566"/>
                              <a:gd name="T8" fmla="+- 0 5704 5704"/>
                              <a:gd name="T9" fmla="*/ T8 w 487"/>
                              <a:gd name="T10" fmla="+- 0 1607 1607"/>
                              <a:gd name="T11" fmla="*/ 1607 h 566"/>
                              <a:gd name="T12" fmla="+- 0 5704 5704"/>
                              <a:gd name="T13" fmla="*/ T12 w 487"/>
                              <a:gd name="T14" fmla="+- 0 1607 1607"/>
                              <a:gd name="T15" fmla="*/ 1607 h 566"/>
                            </a:gdLst>
                            <a:ahLst/>
                            <a:cxnLst>
                              <a:cxn ang="0">
                                <a:pos x="T1" y="T3"/>
                              </a:cxn>
                              <a:cxn ang="0">
                                <a:pos x="T5" y="T7"/>
                              </a:cxn>
                              <a:cxn ang="0">
                                <a:pos x="T9" y="T11"/>
                              </a:cxn>
                              <a:cxn ang="0">
                                <a:pos x="T13" y="T15"/>
                              </a:cxn>
                            </a:cxnLst>
                            <a:rect l="0" t="0" r="r" b="b"/>
                            <a:pathLst>
                              <a:path w="487" h="566">
                                <a:moveTo>
                                  <a:pt x="486" y="566"/>
                                </a:moveTo>
                                <a:lnTo>
                                  <a:pt x="88" y="103"/>
                                </a:lnTo>
                                <a:lnTo>
                                  <a:pt x="0"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202" name="Freeform 244"/>
                        <wps:cNvSpPr/>
                        <wps:spPr bwMode="auto">
                          <a:xfrm>
                            <a:off x="5776" y="1607"/>
                            <a:ext cx="414" cy="482"/>
                          </a:xfrm>
                          <a:custGeom>
                            <a:avLst/>
                            <a:gdLst>
                              <a:gd name="T0" fmla="+- 0 6190 5777"/>
                              <a:gd name="T1" fmla="*/ T0 w 414"/>
                              <a:gd name="T2" fmla="+- 0 2088 1607"/>
                              <a:gd name="T3" fmla="*/ 2088 h 482"/>
                              <a:gd name="T4" fmla="+- 0 5792 5777"/>
                              <a:gd name="T5" fmla="*/ T4 w 414"/>
                              <a:gd name="T6" fmla="+- 0 1625 1607"/>
                              <a:gd name="T7" fmla="*/ 1625 h 482"/>
                              <a:gd name="T8" fmla="+- 0 5777 5777"/>
                              <a:gd name="T9" fmla="*/ T8 w 414"/>
                              <a:gd name="T10" fmla="+- 0 1607 1607"/>
                              <a:gd name="T11" fmla="*/ 1607 h 482"/>
                              <a:gd name="T12" fmla="+- 0 5777 5777"/>
                              <a:gd name="T13" fmla="*/ T12 w 414"/>
                              <a:gd name="T14" fmla="+- 0 1607 1607"/>
                              <a:gd name="T15" fmla="*/ 1607 h 482"/>
                            </a:gdLst>
                            <a:ahLst/>
                            <a:cxnLst>
                              <a:cxn ang="0">
                                <a:pos x="T1" y="T3"/>
                              </a:cxn>
                              <a:cxn ang="0">
                                <a:pos x="T5" y="T7"/>
                              </a:cxn>
                              <a:cxn ang="0">
                                <a:pos x="T9" y="T11"/>
                              </a:cxn>
                              <a:cxn ang="0">
                                <a:pos x="T13" y="T15"/>
                              </a:cxn>
                            </a:cxnLst>
                            <a:rect l="0" t="0" r="r" b="b"/>
                            <a:pathLst>
                              <a:path w="414" h="482">
                                <a:moveTo>
                                  <a:pt x="413" y="481"/>
                                </a:moveTo>
                                <a:lnTo>
                                  <a:pt x="15" y="18"/>
                                </a:lnTo>
                                <a:lnTo>
                                  <a:pt x="0" y="0"/>
                                </a:lnTo>
                              </a:path>
                            </a:pathLst>
                          </a:custGeom>
                          <a:noFill/>
                          <a:ln w="151">
                            <a:solidFill>
                              <a:srgbClr val="000000"/>
                            </a:solidFill>
                            <a:prstDash val="solid"/>
                            <a:round/>
                          </a:ln>
                        </wps:spPr>
                        <wps:bodyPr rot="0" vert="horz" wrap="square" lIns="91440" tIns="45720" rIns="91440" bIns="45720" anchor="t" anchorCtr="0" upright="1">
                          <a:noAutofit/>
                        </wps:bodyPr>
                      </wps:wsp>
                      <pic:pic xmlns:pic="http://schemas.openxmlformats.org/drawingml/2006/picture">
                        <pic:nvPicPr>
                          <pic:cNvPr id="203" name="Picture 243"/>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a:xfrm>
                            <a:off x="5849" y="1607"/>
                            <a:ext cx="341" cy="397"/>
                          </a:xfrm>
                          <a:prstGeom prst="rect">
                            <a:avLst/>
                          </a:prstGeom>
                          <a:noFill/>
                          <a:ln>
                            <a:noFill/>
                          </a:ln>
                        </pic:spPr>
                      </pic:pic>
                      <wps:wsp>
                        <wps:cNvPr id="204" name="Line 242"/>
                        <wps:cNvCnPr>
                          <a:cxnSpLocks noChangeShapeType="1"/>
                        </wps:cNvCnPr>
                        <wps:spPr bwMode="auto">
                          <a:xfrm>
                            <a:off x="5171" y="3367"/>
                            <a:ext cx="621" cy="0"/>
                          </a:xfrm>
                          <a:prstGeom prst="line">
                            <a:avLst/>
                          </a:prstGeom>
                          <a:noFill/>
                          <a:ln w="3154">
                            <a:solidFill>
                              <a:srgbClr val="000000"/>
                            </a:solidFill>
                            <a:round/>
                          </a:ln>
                        </wps:spPr>
                        <wps:bodyPr/>
                      </wps:wsp>
                      <wps:wsp>
                        <wps:cNvPr id="205" name="Line 241"/>
                        <wps:cNvCnPr>
                          <a:cxnSpLocks noChangeShapeType="1"/>
                        </wps:cNvCnPr>
                        <wps:spPr bwMode="auto">
                          <a:xfrm>
                            <a:off x="5171" y="3367"/>
                            <a:ext cx="621" cy="0"/>
                          </a:xfrm>
                          <a:prstGeom prst="line">
                            <a:avLst/>
                          </a:prstGeom>
                          <a:noFill/>
                          <a:ln w="3154">
                            <a:solidFill>
                              <a:srgbClr val="000000"/>
                            </a:solidFill>
                            <a:round/>
                          </a:ln>
                        </wps:spPr>
                        <wps:bodyPr/>
                      </wps:wsp>
                      <wps:wsp>
                        <wps:cNvPr id="206" name="Line 240"/>
                        <wps:cNvCnPr>
                          <a:cxnSpLocks noChangeShapeType="1"/>
                        </wps:cNvCnPr>
                        <wps:spPr bwMode="auto">
                          <a:xfrm>
                            <a:off x="5171" y="3367"/>
                            <a:ext cx="622" cy="0"/>
                          </a:xfrm>
                          <a:prstGeom prst="line">
                            <a:avLst/>
                          </a:prstGeom>
                          <a:noFill/>
                          <a:ln w="3318">
                            <a:solidFill>
                              <a:srgbClr val="000000"/>
                            </a:solidFill>
                            <a:round/>
                          </a:ln>
                        </wps:spPr>
                        <wps:bodyPr/>
                      </wps:wsp>
                      <wps:wsp>
                        <wps:cNvPr id="207" name="Freeform 239"/>
                        <wps:cNvSpPr/>
                        <wps:spPr bwMode="auto">
                          <a:xfrm>
                            <a:off x="5171" y="3367"/>
                            <a:ext cx="46" cy="53"/>
                          </a:xfrm>
                          <a:custGeom>
                            <a:avLst/>
                            <a:gdLst>
                              <a:gd name="T0" fmla="+- 0 5171 5171"/>
                              <a:gd name="T1" fmla="*/ T0 w 46"/>
                              <a:gd name="T2" fmla="+- 0 3420 3367"/>
                              <a:gd name="T3" fmla="*/ 3420 h 53"/>
                              <a:gd name="T4" fmla="+- 0 5217 5171"/>
                              <a:gd name="T5" fmla="*/ T4 w 46"/>
                              <a:gd name="T6" fmla="+- 0 3367 3367"/>
                              <a:gd name="T7" fmla="*/ 3367 h 53"/>
                              <a:gd name="T8" fmla="+- 0 5217 5171"/>
                              <a:gd name="T9" fmla="*/ T8 w 46"/>
                              <a:gd name="T10" fmla="+- 0 3367 3367"/>
                              <a:gd name="T11" fmla="*/ 3367 h 53"/>
                            </a:gdLst>
                            <a:ahLst/>
                            <a:cxnLst>
                              <a:cxn ang="0">
                                <a:pos x="T1" y="T3"/>
                              </a:cxn>
                              <a:cxn ang="0">
                                <a:pos x="T5" y="T7"/>
                              </a:cxn>
                              <a:cxn ang="0">
                                <a:pos x="T9" y="T11"/>
                              </a:cxn>
                            </a:cxnLst>
                            <a:rect l="0" t="0" r="r" b="b"/>
                            <a:pathLst>
                              <a:path w="46" h="53">
                                <a:moveTo>
                                  <a:pt x="0" y="53"/>
                                </a:moveTo>
                                <a:lnTo>
                                  <a:pt x="46"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208" name="Freeform 238"/>
                        <wps:cNvSpPr/>
                        <wps:spPr bwMode="auto">
                          <a:xfrm>
                            <a:off x="5171" y="3367"/>
                            <a:ext cx="119" cy="138"/>
                          </a:xfrm>
                          <a:custGeom>
                            <a:avLst/>
                            <a:gdLst>
                              <a:gd name="T0" fmla="+- 0 5171 5171"/>
                              <a:gd name="T1" fmla="*/ T0 w 119"/>
                              <a:gd name="T2" fmla="+- 0 3505 3367"/>
                              <a:gd name="T3" fmla="*/ 3505 h 138"/>
                              <a:gd name="T4" fmla="+- 0 5290 5171"/>
                              <a:gd name="T5" fmla="*/ T4 w 119"/>
                              <a:gd name="T6" fmla="+- 0 3367 3367"/>
                              <a:gd name="T7" fmla="*/ 3367 h 138"/>
                              <a:gd name="T8" fmla="+- 0 5290 5171"/>
                              <a:gd name="T9" fmla="*/ T8 w 119"/>
                              <a:gd name="T10" fmla="+- 0 3367 3367"/>
                              <a:gd name="T11" fmla="*/ 3367 h 138"/>
                            </a:gdLst>
                            <a:ahLst/>
                            <a:cxnLst>
                              <a:cxn ang="0">
                                <a:pos x="T1" y="T3"/>
                              </a:cxn>
                              <a:cxn ang="0">
                                <a:pos x="T5" y="T7"/>
                              </a:cxn>
                              <a:cxn ang="0">
                                <a:pos x="T9" y="T11"/>
                              </a:cxn>
                            </a:cxnLst>
                            <a:rect l="0" t="0" r="r" b="b"/>
                            <a:pathLst>
                              <a:path w="119" h="138">
                                <a:moveTo>
                                  <a:pt x="0" y="138"/>
                                </a:moveTo>
                                <a:lnTo>
                                  <a:pt x="119"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209" name="Freeform 237"/>
                        <wps:cNvSpPr/>
                        <wps:spPr bwMode="auto">
                          <a:xfrm>
                            <a:off x="5171" y="3367"/>
                            <a:ext cx="192" cy="223"/>
                          </a:xfrm>
                          <a:custGeom>
                            <a:avLst/>
                            <a:gdLst>
                              <a:gd name="T0" fmla="+- 0 5171 5171"/>
                              <a:gd name="T1" fmla="*/ T0 w 192"/>
                              <a:gd name="T2" fmla="+- 0 3590 3367"/>
                              <a:gd name="T3" fmla="*/ 3590 h 223"/>
                              <a:gd name="T4" fmla="+- 0 5363 5171"/>
                              <a:gd name="T5" fmla="*/ T4 w 192"/>
                              <a:gd name="T6" fmla="+- 0 3367 3367"/>
                              <a:gd name="T7" fmla="*/ 3367 h 223"/>
                              <a:gd name="T8" fmla="+- 0 5363 5171"/>
                              <a:gd name="T9" fmla="*/ T8 w 192"/>
                              <a:gd name="T10" fmla="+- 0 3367 3367"/>
                              <a:gd name="T11" fmla="*/ 3367 h 223"/>
                            </a:gdLst>
                            <a:ahLst/>
                            <a:cxnLst>
                              <a:cxn ang="0">
                                <a:pos x="T1" y="T3"/>
                              </a:cxn>
                              <a:cxn ang="0">
                                <a:pos x="T5" y="T7"/>
                              </a:cxn>
                              <a:cxn ang="0">
                                <a:pos x="T9" y="T11"/>
                              </a:cxn>
                            </a:cxnLst>
                            <a:rect l="0" t="0" r="r" b="b"/>
                            <a:pathLst>
                              <a:path w="192" h="223">
                                <a:moveTo>
                                  <a:pt x="0" y="223"/>
                                </a:moveTo>
                                <a:lnTo>
                                  <a:pt x="192"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210" name="Freeform 236"/>
                        <wps:cNvSpPr/>
                        <wps:spPr bwMode="auto">
                          <a:xfrm>
                            <a:off x="5231" y="3367"/>
                            <a:ext cx="205" cy="238"/>
                          </a:xfrm>
                          <a:custGeom>
                            <a:avLst/>
                            <a:gdLst>
                              <a:gd name="T0" fmla="+- 0 5232 5232"/>
                              <a:gd name="T1" fmla="*/ T0 w 205"/>
                              <a:gd name="T2" fmla="+- 0 3604 3367"/>
                              <a:gd name="T3" fmla="*/ 3604 h 238"/>
                              <a:gd name="T4" fmla="+- 0 5436 5232"/>
                              <a:gd name="T5" fmla="*/ T4 w 205"/>
                              <a:gd name="T6" fmla="+- 0 3367 3367"/>
                              <a:gd name="T7" fmla="*/ 3367 h 238"/>
                              <a:gd name="T8" fmla="+- 0 5436 5232"/>
                              <a:gd name="T9" fmla="*/ T8 w 205"/>
                              <a:gd name="T10" fmla="+- 0 3367 3367"/>
                              <a:gd name="T11" fmla="*/ 3367 h 238"/>
                            </a:gdLst>
                            <a:ahLst/>
                            <a:cxnLst>
                              <a:cxn ang="0">
                                <a:pos x="T1" y="T3"/>
                              </a:cxn>
                              <a:cxn ang="0">
                                <a:pos x="T5" y="T7"/>
                              </a:cxn>
                              <a:cxn ang="0">
                                <a:pos x="T9" y="T11"/>
                              </a:cxn>
                            </a:cxnLst>
                            <a:rect l="0" t="0" r="r" b="b"/>
                            <a:pathLst>
                              <a:path w="205" h="238">
                                <a:moveTo>
                                  <a:pt x="0" y="237"/>
                                </a:moveTo>
                                <a:lnTo>
                                  <a:pt x="204"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211" name="Freeform 235"/>
                        <wps:cNvSpPr/>
                        <wps:spPr bwMode="auto">
                          <a:xfrm>
                            <a:off x="5304" y="3367"/>
                            <a:ext cx="205" cy="238"/>
                          </a:xfrm>
                          <a:custGeom>
                            <a:avLst/>
                            <a:gdLst>
                              <a:gd name="T0" fmla="+- 0 5305 5305"/>
                              <a:gd name="T1" fmla="*/ T0 w 205"/>
                              <a:gd name="T2" fmla="+- 0 3604 3367"/>
                              <a:gd name="T3" fmla="*/ 3604 h 238"/>
                              <a:gd name="T4" fmla="+- 0 5509 5305"/>
                              <a:gd name="T5" fmla="*/ T4 w 205"/>
                              <a:gd name="T6" fmla="+- 0 3367 3367"/>
                              <a:gd name="T7" fmla="*/ 3367 h 238"/>
                              <a:gd name="T8" fmla="+- 0 5509 5305"/>
                              <a:gd name="T9" fmla="*/ T8 w 205"/>
                              <a:gd name="T10" fmla="+- 0 3367 3367"/>
                              <a:gd name="T11" fmla="*/ 3367 h 238"/>
                            </a:gdLst>
                            <a:ahLst/>
                            <a:cxnLst>
                              <a:cxn ang="0">
                                <a:pos x="T1" y="T3"/>
                              </a:cxn>
                              <a:cxn ang="0">
                                <a:pos x="T5" y="T7"/>
                              </a:cxn>
                              <a:cxn ang="0">
                                <a:pos x="T9" y="T11"/>
                              </a:cxn>
                            </a:cxnLst>
                            <a:rect l="0" t="0" r="r" b="b"/>
                            <a:pathLst>
                              <a:path w="205" h="238">
                                <a:moveTo>
                                  <a:pt x="0" y="237"/>
                                </a:moveTo>
                                <a:lnTo>
                                  <a:pt x="204"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212" name="Freeform 234"/>
                        <wps:cNvSpPr/>
                        <wps:spPr bwMode="auto">
                          <a:xfrm>
                            <a:off x="5377" y="3367"/>
                            <a:ext cx="205" cy="238"/>
                          </a:xfrm>
                          <a:custGeom>
                            <a:avLst/>
                            <a:gdLst>
                              <a:gd name="T0" fmla="+- 0 5378 5378"/>
                              <a:gd name="T1" fmla="*/ T0 w 205"/>
                              <a:gd name="T2" fmla="+- 0 3604 3367"/>
                              <a:gd name="T3" fmla="*/ 3604 h 238"/>
                              <a:gd name="T4" fmla="+- 0 5582 5378"/>
                              <a:gd name="T5" fmla="*/ T4 w 205"/>
                              <a:gd name="T6" fmla="+- 0 3367 3367"/>
                              <a:gd name="T7" fmla="*/ 3367 h 238"/>
                              <a:gd name="T8" fmla="+- 0 5582 5378"/>
                              <a:gd name="T9" fmla="*/ T8 w 205"/>
                              <a:gd name="T10" fmla="+- 0 3367 3367"/>
                              <a:gd name="T11" fmla="*/ 3367 h 238"/>
                            </a:gdLst>
                            <a:ahLst/>
                            <a:cxnLst>
                              <a:cxn ang="0">
                                <a:pos x="T1" y="T3"/>
                              </a:cxn>
                              <a:cxn ang="0">
                                <a:pos x="T5" y="T7"/>
                              </a:cxn>
                              <a:cxn ang="0">
                                <a:pos x="T9" y="T11"/>
                              </a:cxn>
                            </a:cxnLst>
                            <a:rect l="0" t="0" r="r" b="b"/>
                            <a:pathLst>
                              <a:path w="205" h="238">
                                <a:moveTo>
                                  <a:pt x="0" y="237"/>
                                </a:moveTo>
                                <a:lnTo>
                                  <a:pt x="204"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213" name="Freeform 233"/>
                        <wps:cNvSpPr/>
                        <wps:spPr bwMode="auto">
                          <a:xfrm>
                            <a:off x="5450" y="3367"/>
                            <a:ext cx="205" cy="238"/>
                          </a:xfrm>
                          <a:custGeom>
                            <a:avLst/>
                            <a:gdLst>
                              <a:gd name="T0" fmla="+- 0 5451 5451"/>
                              <a:gd name="T1" fmla="*/ T0 w 205"/>
                              <a:gd name="T2" fmla="+- 0 3604 3367"/>
                              <a:gd name="T3" fmla="*/ 3604 h 238"/>
                              <a:gd name="T4" fmla="+- 0 5655 5451"/>
                              <a:gd name="T5" fmla="*/ T4 w 205"/>
                              <a:gd name="T6" fmla="+- 0 3367 3367"/>
                              <a:gd name="T7" fmla="*/ 3367 h 238"/>
                              <a:gd name="T8" fmla="+- 0 5655 5451"/>
                              <a:gd name="T9" fmla="*/ T8 w 205"/>
                              <a:gd name="T10" fmla="+- 0 3367 3367"/>
                              <a:gd name="T11" fmla="*/ 3367 h 238"/>
                            </a:gdLst>
                            <a:ahLst/>
                            <a:cxnLst>
                              <a:cxn ang="0">
                                <a:pos x="T1" y="T3"/>
                              </a:cxn>
                              <a:cxn ang="0">
                                <a:pos x="T5" y="T7"/>
                              </a:cxn>
                              <a:cxn ang="0">
                                <a:pos x="T9" y="T11"/>
                              </a:cxn>
                            </a:cxnLst>
                            <a:rect l="0" t="0" r="r" b="b"/>
                            <a:pathLst>
                              <a:path w="205" h="238">
                                <a:moveTo>
                                  <a:pt x="0" y="237"/>
                                </a:moveTo>
                                <a:lnTo>
                                  <a:pt x="204"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214" name="Freeform 232"/>
                        <wps:cNvSpPr/>
                        <wps:spPr bwMode="auto">
                          <a:xfrm>
                            <a:off x="5523" y="3367"/>
                            <a:ext cx="205" cy="238"/>
                          </a:xfrm>
                          <a:custGeom>
                            <a:avLst/>
                            <a:gdLst>
                              <a:gd name="T0" fmla="+- 0 5524 5524"/>
                              <a:gd name="T1" fmla="*/ T0 w 205"/>
                              <a:gd name="T2" fmla="+- 0 3604 3367"/>
                              <a:gd name="T3" fmla="*/ 3604 h 238"/>
                              <a:gd name="T4" fmla="+- 0 5728 5524"/>
                              <a:gd name="T5" fmla="*/ T4 w 205"/>
                              <a:gd name="T6" fmla="+- 0 3367 3367"/>
                              <a:gd name="T7" fmla="*/ 3367 h 238"/>
                              <a:gd name="T8" fmla="+- 0 5728 5524"/>
                              <a:gd name="T9" fmla="*/ T8 w 205"/>
                              <a:gd name="T10" fmla="+- 0 3367 3367"/>
                              <a:gd name="T11" fmla="*/ 3367 h 238"/>
                            </a:gdLst>
                            <a:ahLst/>
                            <a:cxnLst>
                              <a:cxn ang="0">
                                <a:pos x="T1" y="T3"/>
                              </a:cxn>
                              <a:cxn ang="0">
                                <a:pos x="T5" y="T7"/>
                              </a:cxn>
                              <a:cxn ang="0">
                                <a:pos x="T9" y="T11"/>
                              </a:cxn>
                            </a:cxnLst>
                            <a:rect l="0" t="0" r="r" b="b"/>
                            <a:pathLst>
                              <a:path w="205" h="238">
                                <a:moveTo>
                                  <a:pt x="0" y="237"/>
                                </a:moveTo>
                                <a:lnTo>
                                  <a:pt x="204"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215" name="Freeform 231"/>
                        <wps:cNvSpPr/>
                        <wps:spPr bwMode="auto">
                          <a:xfrm>
                            <a:off x="5596" y="3367"/>
                            <a:ext cx="205" cy="238"/>
                          </a:xfrm>
                          <a:custGeom>
                            <a:avLst/>
                            <a:gdLst>
                              <a:gd name="T0" fmla="+- 0 5597 5597"/>
                              <a:gd name="T1" fmla="*/ T0 w 205"/>
                              <a:gd name="T2" fmla="+- 0 3604 3367"/>
                              <a:gd name="T3" fmla="*/ 3604 h 238"/>
                              <a:gd name="T4" fmla="+- 0 5792 5597"/>
                              <a:gd name="T5" fmla="*/ T4 w 205"/>
                              <a:gd name="T6" fmla="+- 0 3377 3367"/>
                              <a:gd name="T7" fmla="*/ 3377 h 238"/>
                              <a:gd name="T8" fmla="+- 0 5801 5597"/>
                              <a:gd name="T9" fmla="*/ T8 w 205"/>
                              <a:gd name="T10" fmla="+- 0 3367 3367"/>
                              <a:gd name="T11" fmla="*/ 3367 h 238"/>
                              <a:gd name="T12" fmla="+- 0 5801 5597"/>
                              <a:gd name="T13" fmla="*/ T12 w 205"/>
                              <a:gd name="T14" fmla="+- 0 3367 3367"/>
                              <a:gd name="T15" fmla="*/ 3367 h 238"/>
                            </a:gdLst>
                            <a:ahLst/>
                            <a:cxnLst>
                              <a:cxn ang="0">
                                <a:pos x="T1" y="T3"/>
                              </a:cxn>
                              <a:cxn ang="0">
                                <a:pos x="T5" y="T7"/>
                              </a:cxn>
                              <a:cxn ang="0">
                                <a:pos x="T9" y="T11"/>
                              </a:cxn>
                              <a:cxn ang="0">
                                <a:pos x="T13" y="T15"/>
                              </a:cxn>
                            </a:cxnLst>
                            <a:rect l="0" t="0" r="r" b="b"/>
                            <a:pathLst>
                              <a:path w="205" h="238">
                                <a:moveTo>
                                  <a:pt x="0" y="237"/>
                                </a:moveTo>
                                <a:lnTo>
                                  <a:pt x="195" y="10"/>
                                </a:lnTo>
                                <a:lnTo>
                                  <a:pt x="204"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216" name="Freeform 230"/>
                        <wps:cNvSpPr/>
                        <wps:spPr bwMode="auto">
                          <a:xfrm>
                            <a:off x="5669" y="3367"/>
                            <a:ext cx="205" cy="238"/>
                          </a:xfrm>
                          <a:custGeom>
                            <a:avLst/>
                            <a:gdLst>
                              <a:gd name="T0" fmla="+- 0 5670 5670"/>
                              <a:gd name="T1" fmla="*/ T0 w 205"/>
                              <a:gd name="T2" fmla="+- 0 3604 3367"/>
                              <a:gd name="T3" fmla="*/ 3604 h 238"/>
                              <a:gd name="T4" fmla="+- 0 5792 5670"/>
                              <a:gd name="T5" fmla="*/ T4 w 205"/>
                              <a:gd name="T6" fmla="+- 0 3461 3367"/>
                              <a:gd name="T7" fmla="*/ 3461 h 238"/>
                              <a:gd name="T8" fmla="+- 0 5873 5670"/>
                              <a:gd name="T9" fmla="*/ T8 w 205"/>
                              <a:gd name="T10" fmla="+- 0 3367 3367"/>
                              <a:gd name="T11" fmla="*/ 3367 h 238"/>
                              <a:gd name="T12" fmla="+- 0 5874 5670"/>
                              <a:gd name="T13" fmla="*/ T12 w 205"/>
                              <a:gd name="T14" fmla="+- 0 3367 3367"/>
                              <a:gd name="T15" fmla="*/ 3367 h 238"/>
                            </a:gdLst>
                            <a:ahLst/>
                            <a:cxnLst>
                              <a:cxn ang="0">
                                <a:pos x="T1" y="T3"/>
                              </a:cxn>
                              <a:cxn ang="0">
                                <a:pos x="T5" y="T7"/>
                              </a:cxn>
                              <a:cxn ang="0">
                                <a:pos x="T9" y="T11"/>
                              </a:cxn>
                              <a:cxn ang="0">
                                <a:pos x="T13" y="T15"/>
                              </a:cxn>
                            </a:cxnLst>
                            <a:rect l="0" t="0" r="r" b="b"/>
                            <a:pathLst>
                              <a:path w="205" h="238">
                                <a:moveTo>
                                  <a:pt x="0" y="237"/>
                                </a:moveTo>
                                <a:lnTo>
                                  <a:pt x="122" y="94"/>
                                </a:lnTo>
                                <a:lnTo>
                                  <a:pt x="203" y="0"/>
                                </a:lnTo>
                                <a:lnTo>
                                  <a:pt x="204"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217" name="Freeform 229"/>
                        <wps:cNvSpPr/>
                        <wps:spPr bwMode="auto">
                          <a:xfrm>
                            <a:off x="5742" y="3367"/>
                            <a:ext cx="205" cy="238"/>
                          </a:xfrm>
                          <a:custGeom>
                            <a:avLst/>
                            <a:gdLst>
                              <a:gd name="T0" fmla="+- 0 5743 5743"/>
                              <a:gd name="T1" fmla="*/ T0 w 205"/>
                              <a:gd name="T2" fmla="+- 0 3604 3367"/>
                              <a:gd name="T3" fmla="*/ 3604 h 238"/>
                              <a:gd name="T4" fmla="+- 0 5792 5743"/>
                              <a:gd name="T5" fmla="*/ T4 w 205"/>
                              <a:gd name="T6" fmla="+- 0 3546 3367"/>
                              <a:gd name="T7" fmla="*/ 3546 h 238"/>
                              <a:gd name="T8" fmla="+- 0 5946 5743"/>
                              <a:gd name="T9" fmla="*/ T8 w 205"/>
                              <a:gd name="T10" fmla="+- 0 3367 3367"/>
                              <a:gd name="T11" fmla="*/ 3367 h 238"/>
                              <a:gd name="T12" fmla="+- 0 5947 5743"/>
                              <a:gd name="T13" fmla="*/ T12 w 205"/>
                              <a:gd name="T14" fmla="+- 0 3367 3367"/>
                              <a:gd name="T15" fmla="*/ 3367 h 238"/>
                            </a:gdLst>
                            <a:ahLst/>
                            <a:cxnLst>
                              <a:cxn ang="0">
                                <a:pos x="T1" y="T3"/>
                              </a:cxn>
                              <a:cxn ang="0">
                                <a:pos x="T5" y="T7"/>
                              </a:cxn>
                              <a:cxn ang="0">
                                <a:pos x="T9" y="T11"/>
                              </a:cxn>
                              <a:cxn ang="0">
                                <a:pos x="T13" y="T15"/>
                              </a:cxn>
                            </a:cxnLst>
                            <a:rect l="0" t="0" r="r" b="b"/>
                            <a:pathLst>
                              <a:path w="205" h="238">
                                <a:moveTo>
                                  <a:pt x="0" y="237"/>
                                </a:moveTo>
                                <a:lnTo>
                                  <a:pt x="49" y="179"/>
                                </a:lnTo>
                                <a:lnTo>
                                  <a:pt x="203" y="0"/>
                                </a:lnTo>
                                <a:lnTo>
                                  <a:pt x="204"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218" name="Freeform 228"/>
                        <wps:cNvSpPr/>
                        <wps:spPr bwMode="auto">
                          <a:xfrm>
                            <a:off x="5815" y="3367"/>
                            <a:ext cx="205" cy="238"/>
                          </a:xfrm>
                          <a:custGeom>
                            <a:avLst/>
                            <a:gdLst>
                              <a:gd name="T0" fmla="+- 0 5816 5816"/>
                              <a:gd name="T1" fmla="*/ T0 w 205"/>
                              <a:gd name="T2" fmla="+- 0 3604 3367"/>
                              <a:gd name="T3" fmla="*/ 3604 h 238"/>
                              <a:gd name="T4" fmla="+- 0 6019 5816"/>
                              <a:gd name="T5" fmla="*/ T4 w 205"/>
                              <a:gd name="T6" fmla="+- 0 3367 3367"/>
                              <a:gd name="T7" fmla="*/ 3367 h 238"/>
                              <a:gd name="T8" fmla="+- 0 6020 5816"/>
                              <a:gd name="T9" fmla="*/ T8 w 205"/>
                              <a:gd name="T10" fmla="+- 0 3367 3367"/>
                              <a:gd name="T11" fmla="*/ 3367 h 238"/>
                            </a:gdLst>
                            <a:ahLst/>
                            <a:cxnLst>
                              <a:cxn ang="0">
                                <a:pos x="T1" y="T3"/>
                              </a:cxn>
                              <a:cxn ang="0">
                                <a:pos x="T5" y="T7"/>
                              </a:cxn>
                              <a:cxn ang="0">
                                <a:pos x="T9" y="T11"/>
                              </a:cxn>
                            </a:cxnLst>
                            <a:rect l="0" t="0" r="r" b="b"/>
                            <a:pathLst>
                              <a:path w="205" h="238">
                                <a:moveTo>
                                  <a:pt x="0" y="237"/>
                                </a:moveTo>
                                <a:lnTo>
                                  <a:pt x="203" y="0"/>
                                </a:lnTo>
                                <a:lnTo>
                                  <a:pt x="204"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219" name="Freeform 227"/>
                        <wps:cNvSpPr/>
                        <wps:spPr bwMode="auto">
                          <a:xfrm>
                            <a:off x="5888" y="3367"/>
                            <a:ext cx="205" cy="238"/>
                          </a:xfrm>
                          <a:custGeom>
                            <a:avLst/>
                            <a:gdLst>
                              <a:gd name="T0" fmla="+- 0 5889 5889"/>
                              <a:gd name="T1" fmla="*/ T0 w 205"/>
                              <a:gd name="T2" fmla="+- 0 3604 3367"/>
                              <a:gd name="T3" fmla="*/ 3604 h 238"/>
                              <a:gd name="T4" fmla="+- 0 6092 5889"/>
                              <a:gd name="T5" fmla="*/ T4 w 205"/>
                              <a:gd name="T6" fmla="+- 0 3367 3367"/>
                              <a:gd name="T7" fmla="*/ 3367 h 238"/>
                              <a:gd name="T8" fmla="+- 0 6093 5889"/>
                              <a:gd name="T9" fmla="*/ T8 w 205"/>
                              <a:gd name="T10" fmla="+- 0 3367 3367"/>
                              <a:gd name="T11" fmla="*/ 3367 h 238"/>
                            </a:gdLst>
                            <a:ahLst/>
                            <a:cxnLst>
                              <a:cxn ang="0">
                                <a:pos x="T1" y="T3"/>
                              </a:cxn>
                              <a:cxn ang="0">
                                <a:pos x="T5" y="T7"/>
                              </a:cxn>
                              <a:cxn ang="0">
                                <a:pos x="T9" y="T11"/>
                              </a:cxn>
                            </a:cxnLst>
                            <a:rect l="0" t="0" r="r" b="b"/>
                            <a:pathLst>
                              <a:path w="205" h="238">
                                <a:moveTo>
                                  <a:pt x="0" y="237"/>
                                </a:moveTo>
                                <a:lnTo>
                                  <a:pt x="203" y="0"/>
                                </a:lnTo>
                                <a:lnTo>
                                  <a:pt x="204"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220" name="Freeform 226"/>
                        <wps:cNvSpPr/>
                        <wps:spPr bwMode="auto">
                          <a:xfrm>
                            <a:off x="5961" y="3367"/>
                            <a:ext cx="205" cy="238"/>
                          </a:xfrm>
                          <a:custGeom>
                            <a:avLst/>
                            <a:gdLst>
                              <a:gd name="T0" fmla="+- 0 5962 5962"/>
                              <a:gd name="T1" fmla="*/ T0 w 205"/>
                              <a:gd name="T2" fmla="+- 0 3604 3367"/>
                              <a:gd name="T3" fmla="*/ 3604 h 238"/>
                              <a:gd name="T4" fmla="+- 0 6165 5962"/>
                              <a:gd name="T5" fmla="*/ T4 w 205"/>
                              <a:gd name="T6" fmla="+- 0 3367 3367"/>
                              <a:gd name="T7" fmla="*/ 3367 h 238"/>
                              <a:gd name="T8" fmla="+- 0 6166 5962"/>
                              <a:gd name="T9" fmla="*/ T8 w 205"/>
                              <a:gd name="T10" fmla="+- 0 3367 3367"/>
                              <a:gd name="T11" fmla="*/ 3367 h 238"/>
                            </a:gdLst>
                            <a:ahLst/>
                            <a:cxnLst>
                              <a:cxn ang="0">
                                <a:pos x="T1" y="T3"/>
                              </a:cxn>
                              <a:cxn ang="0">
                                <a:pos x="T5" y="T7"/>
                              </a:cxn>
                              <a:cxn ang="0">
                                <a:pos x="T9" y="T11"/>
                              </a:cxn>
                            </a:cxnLst>
                            <a:rect l="0" t="0" r="r" b="b"/>
                            <a:pathLst>
                              <a:path w="205" h="238">
                                <a:moveTo>
                                  <a:pt x="0" y="237"/>
                                </a:moveTo>
                                <a:lnTo>
                                  <a:pt x="203" y="0"/>
                                </a:lnTo>
                                <a:lnTo>
                                  <a:pt x="204"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221" name="Freeform 225"/>
                        <wps:cNvSpPr/>
                        <wps:spPr bwMode="auto">
                          <a:xfrm>
                            <a:off x="6034" y="3367"/>
                            <a:ext cx="205" cy="238"/>
                          </a:xfrm>
                          <a:custGeom>
                            <a:avLst/>
                            <a:gdLst>
                              <a:gd name="T0" fmla="+- 0 6035 6035"/>
                              <a:gd name="T1" fmla="*/ T0 w 205"/>
                              <a:gd name="T2" fmla="+- 0 3604 3367"/>
                              <a:gd name="T3" fmla="*/ 3604 h 238"/>
                              <a:gd name="T4" fmla="+- 0 6238 6035"/>
                              <a:gd name="T5" fmla="*/ T4 w 205"/>
                              <a:gd name="T6" fmla="+- 0 3367 3367"/>
                              <a:gd name="T7" fmla="*/ 3367 h 238"/>
                              <a:gd name="T8" fmla="+- 0 6239 6035"/>
                              <a:gd name="T9" fmla="*/ T8 w 205"/>
                              <a:gd name="T10" fmla="+- 0 3367 3367"/>
                              <a:gd name="T11" fmla="*/ 3367 h 238"/>
                            </a:gdLst>
                            <a:ahLst/>
                            <a:cxnLst>
                              <a:cxn ang="0">
                                <a:pos x="T1" y="T3"/>
                              </a:cxn>
                              <a:cxn ang="0">
                                <a:pos x="T5" y="T7"/>
                              </a:cxn>
                              <a:cxn ang="0">
                                <a:pos x="T9" y="T11"/>
                              </a:cxn>
                            </a:cxnLst>
                            <a:rect l="0" t="0" r="r" b="b"/>
                            <a:pathLst>
                              <a:path w="205" h="238">
                                <a:moveTo>
                                  <a:pt x="0" y="237"/>
                                </a:moveTo>
                                <a:lnTo>
                                  <a:pt x="203" y="0"/>
                                </a:lnTo>
                                <a:lnTo>
                                  <a:pt x="204"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222" name="Freeform 224"/>
                        <wps:cNvSpPr/>
                        <wps:spPr bwMode="auto">
                          <a:xfrm>
                            <a:off x="6107" y="3367"/>
                            <a:ext cx="205" cy="238"/>
                          </a:xfrm>
                          <a:custGeom>
                            <a:avLst/>
                            <a:gdLst>
                              <a:gd name="T0" fmla="+- 0 6107 6107"/>
                              <a:gd name="T1" fmla="*/ T0 w 205"/>
                              <a:gd name="T2" fmla="+- 0 3604 3367"/>
                              <a:gd name="T3" fmla="*/ 3604 h 238"/>
                              <a:gd name="T4" fmla="+- 0 6311 6107"/>
                              <a:gd name="T5" fmla="*/ T4 w 205"/>
                              <a:gd name="T6" fmla="+- 0 3367 3367"/>
                              <a:gd name="T7" fmla="*/ 3367 h 238"/>
                              <a:gd name="T8" fmla="+- 0 6312 6107"/>
                              <a:gd name="T9" fmla="*/ T8 w 205"/>
                              <a:gd name="T10" fmla="+- 0 3367 3367"/>
                              <a:gd name="T11" fmla="*/ 3367 h 238"/>
                            </a:gdLst>
                            <a:ahLst/>
                            <a:cxnLst>
                              <a:cxn ang="0">
                                <a:pos x="T1" y="T3"/>
                              </a:cxn>
                              <a:cxn ang="0">
                                <a:pos x="T5" y="T7"/>
                              </a:cxn>
                              <a:cxn ang="0">
                                <a:pos x="T9" y="T11"/>
                              </a:cxn>
                            </a:cxnLst>
                            <a:rect l="0" t="0" r="r" b="b"/>
                            <a:pathLst>
                              <a:path w="205" h="238">
                                <a:moveTo>
                                  <a:pt x="0" y="237"/>
                                </a:moveTo>
                                <a:lnTo>
                                  <a:pt x="204" y="0"/>
                                </a:lnTo>
                                <a:lnTo>
                                  <a:pt x="205"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223" name="Freeform 223"/>
                        <wps:cNvSpPr/>
                        <wps:spPr bwMode="auto">
                          <a:xfrm>
                            <a:off x="6180" y="3367"/>
                            <a:ext cx="205" cy="238"/>
                          </a:xfrm>
                          <a:custGeom>
                            <a:avLst/>
                            <a:gdLst>
                              <a:gd name="T0" fmla="+- 0 6180 6180"/>
                              <a:gd name="T1" fmla="*/ T0 w 205"/>
                              <a:gd name="T2" fmla="+- 0 3604 3367"/>
                              <a:gd name="T3" fmla="*/ 3604 h 238"/>
                              <a:gd name="T4" fmla="+- 0 6384 6180"/>
                              <a:gd name="T5" fmla="*/ T4 w 205"/>
                              <a:gd name="T6" fmla="+- 0 3367 3367"/>
                              <a:gd name="T7" fmla="*/ 3367 h 238"/>
                              <a:gd name="T8" fmla="+- 0 6385 6180"/>
                              <a:gd name="T9" fmla="*/ T8 w 205"/>
                              <a:gd name="T10" fmla="+- 0 3367 3367"/>
                              <a:gd name="T11" fmla="*/ 3367 h 238"/>
                            </a:gdLst>
                            <a:ahLst/>
                            <a:cxnLst>
                              <a:cxn ang="0">
                                <a:pos x="T1" y="T3"/>
                              </a:cxn>
                              <a:cxn ang="0">
                                <a:pos x="T5" y="T7"/>
                              </a:cxn>
                              <a:cxn ang="0">
                                <a:pos x="T9" y="T11"/>
                              </a:cxn>
                            </a:cxnLst>
                            <a:rect l="0" t="0" r="r" b="b"/>
                            <a:pathLst>
                              <a:path w="205" h="238">
                                <a:moveTo>
                                  <a:pt x="0" y="237"/>
                                </a:moveTo>
                                <a:lnTo>
                                  <a:pt x="204" y="0"/>
                                </a:lnTo>
                                <a:lnTo>
                                  <a:pt x="205"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224" name="Freeform 222"/>
                        <wps:cNvSpPr/>
                        <wps:spPr bwMode="auto">
                          <a:xfrm>
                            <a:off x="6253" y="3418"/>
                            <a:ext cx="161" cy="187"/>
                          </a:xfrm>
                          <a:custGeom>
                            <a:avLst/>
                            <a:gdLst>
                              <a:gd name="T0" fmla="+- 0 6253 6253"/>
                              <a:gd name="T1" fmla="*/ T0 w 161"/>
                              <a:gd name="T2" fmla="+- 0 3604 3418"/>
                              <a:gd name="T3" fmla="*/ 3604 h 187"/>
                              <a:gd name="T4" fmla="+- 0 6414 6253"/>
                              <a:gd name="T5" fmla="*/ T4 w 161"/>
                              <a:gd name="T6" fmla="+- 0 3418 3418"/>
                              <a:gd name="T7" fmla="*/ 3418 h 187"/>
                              <a:gd name="T8" fmla="+- 0 6414 6253"/>
                              <a:gd name="T9" fmla="*/ T8 w 161"/>
                              <a:gd name="T10" fmla="+- 0 3418 3418"/>
                              <a:gd name="T11" fmla="*/ 3418 h 187"/>
                            </a:gdLst>
                            <a:ahLst/>
                            <a:cxnLst>
                              <a:cxn ang="0">
                                <a:pos x="T1" y="T3"/>
                              </a:cxn>
                              <a:cxn ang="0">
                                <a:pos x="T5" y="T7"/>
                              </a:cxn>
                              <a:cxn ang="0">
                                <a:pos x="T9" y="T11"/>
                              </a:cxn>
                            </a:cxnLst>
                            <a:rect l="0" t="0" r="r" b="b"/>
                            <a:pathLst>
                              <a:path w="161" h="187">
                                <a:moveTo>
                                  <a:pt x="0" y="186"/>
                                </a:moveTo>
                                <a:lnTo>
                                  <a:pt x="161"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225" name="Freeform 221"/>
                        <wps:cNvSpPr/>
                        <wps:spPr bwMode="auto">
                          <a:xfrm>
                            <a:off x="6326" y="3502"/>
                            <a:ext cx="88" cy="102"/>
                          </a:xfrm>
                          <a:custGeom>
                            <a:avLst/>
                            <a:gdLst>
                              <a:gd name="T0" fmla="+- 0 6326 6326"/>
                              <a:gd name="T1" fmla="*/ T0 w 88"/>
                              <a:gd name="T2" fmla="+- 0 3604 3503"/>
                              <a:gd name="T3" fmla="*/ 3604 h 102"/>
                              <a:gd name="T4" fmla="+- 0 6414 6326"/>
                              <a:gd name="T5" fmla="*/ T4 w 88"/>
                              <a:gd name="T6" fmla="+- 0 3503 3503"/>
                              <a:gd name="T7" fmla="*/ 3503 h 102"/>
                              <a:gd name="T8" fmla="+- 0 6414 6326"/>
                              <a:gd name="T9" fmla="*/ T8 w 88"/>
                              <a:gd name="T10" fmla="+- 0 3503 3503"/>
                              <a:gd name="T11" fmla="*/ 3503 h 102"/>
                            </a:gdLst>
                            <a:ahLst/>
                            <a:cxnLst>
                              <a:cxn ang="0">
                                <a:pos x="T1" y="T3"/>
                              </a:cxn>
                              <a:cxn ang="0">
                                <a:pos x="T5" y="T7"/>
                              </a:cxn>
                              <a:cxn ang="0">
                                <a:pos x="T9" y="T11"/>
                              </a:cxn>
                            </a:cxnLst>
                            <a:rect l="0" t="0" r="r" b="b"/>
                            <a:pathLst>
                              <a:path w="88" h="102">
                                <a:moveTo>
                                  <a:pt x="0" y="101"/>
                                </a:moveTo>
                                <a:lnTo>
                                  <a:pt x="88"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226" name="Freeform 220"/>
                        <wps:cNvSpPr/>
                        <wps:spPr bwMode="auto">
                          <a:xfrm>
                            <a:off x="6399" y="3587"/>
                            <a:ext cx="15" cy="17"/>
                          </a:xfrm>
                          <a:custGeom>
                            <a:avLst/>
                            <a:gdLst>
                              <a:gd name="T0" fmla="+- 0 6399 6399"/>
                              <a:gd name="T1" fmla="*/ T0 w 15"/>
                              <a:gd name="T2" fmla="+- 0 3604 3588"/>
                              <a:gd name="T3" fmla="*/ 3604 h 17"/>
                              <a:gd name="T4" fmla="+- 0 6414 6399"/>
                              <a:gd name="T5" fmla="*/ T4 w 15"/>
                              <a:gd name="T6" fmla="+- 0 3588 3588"/>
                              <a:gd name="T7" fmla="*/ 3588 h 17"/>
                              <a:gd name="T8" fmla="+- 0 6414 6399"/>
                              <a:gd name="T9" fmla="*/ T8 w 15"/>
                              <a:gd name="T10" fmla="+- 0 3588 3588"/>
                              <a:gd name="T11" fmla="*/ 3588 h 17"/>
                            </a:gdLst>
                            <a:ahLst/>
                            <a:cxnLst>
                              <a:cxn ang="0">
                                <a:pos x="T1" y="T3"/>
                              </a:cxn>
                              <a:cxn ang="0">
                                <a:pos x="T5" y="T7"/>
                              </a:cxn>
                              <a:cxn ang="0">
                                <a:pos x="T9" y="T11"/>
                              </a:cxn>
                            </a:cxnLst>
                            <a:rect l="0" t="0" r="r" b="b"/>
                            <a:pathLst>
                              <a:path w="15" h="17">
                                <a:moveTo>
                                  <a:pt x="0" y="16"/>
                                </a:moveTo>
                                <a:lnTo>
                                  <a:pt x="15"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227" name="Rectangle 219"/>
                        <wps:cNvSpPr>
                          <a:spLocks noChangeArrowheads="1"/>
                        </wps:cNvSpPr>
                        <wps:spPr bwMode="auto">
                          <a:xfrm>
                            <a:off x="3570" y="3592"/>
                            <a:ext cx="4551" cy="25"/>
                          </a:xfrm>
                          <a:prstGeom prst="rect">
                            <a:avLst/>
                          </a:prstGeom>
                          <a:solidFill>
                            <a:srgbClr val="000000"/>
                          </a:solidFill>
                          <a:ln>
                            <a:noFill/>
                          </a:ln>
                        </wps:spPr>
                        <wps:bodyPr rot="0" vert="horz" wrap="square" lIns="91440" tIns="45720" rIns="91440" bIns="45720" anchor="t" anchorCtr="0" upright="1">
                          <a:noAutofit/>
                        </wps:bodyPr>
                      </wps:wsp>
                      <wps:wsp>
                        <wps:cNvPr id="228" name="Rectangle 218"/>
                        <wps:cNvSpPr>
                          <a:spLocks noChangeArrowheads="1"/>
                        </wps:cNvSpPr>
                        <wps:spPr bwMode="auto">
                          <a:xfrm>
                            <a:off x="3570" y="3592"/>
                            <a:ext cx="4551" cy="25"/>
                          </a:xfrm>
                          <a:prstGeom prst="rect">
                            <a:avLst/>
                          </a:prstGeom>
                          <a:solidFill>
                            <a:srgbClr val="000000"/>
                          </a:solidFill>
                          <a:ln>
                            <a:noFill/>
                          </a:ln>
                        </wps:spPr>
                        <wps:bodyPr rot="0" vert="horz" wrap="square" lIns="91440" tIns="45720" rIns="91440" bIns="45720" anchor="t" anchorCtr="0" upright="1">
                          <a:noAutofit/>
                        </wps:bodyPr>
                      </wps:wsp>
                      <wps:wsp>
                        <wps:cNvPr id="229" name="Rectangle 217"/>
                        <wps:cNvSpPr>
                          <a:spLocks noChangeArrowheads="1"/>
                        </wps:cNvSpPr>
                        <wps:spPr bwMode="auto">
                          <a:xfrm>
                            <a:off x="3570" y="3592"/>
                            <a:ext cx="4551" cy="25"/>
                          </a:xfrm>
                          <a:prstGeom prst="rect">
                            <a:avLst/>
                          </a:prstGeom>
                          <a:noFill/>
                          <a:ln w="164">
                            <a:solidFill>
                              <a:srgbClr val="000000"/>
                            </a:solidFill>
                            <a:miter lim="800000"/>
                          </a:ln>
                        </wps:spPr>
                        <wps:bodyPr rot="0" vert="horz" wrap="square" lIns="91440" tIns="45720" rIns="91440" bIns="45720" anchor="t" anchorCtr="0" upright="1">
                          <a:noAutofit/>
                        </wps:bodyPr>
                      </wps:wsp>
                      <wps:wsp>
                        <wps:cNvPr id="230" name="Freeform 216"/>
                        <wps:cNvSpPr/>
                        <wps:spPr bwMode="auto">
                          <a:xfrm>
                            <a:off x="5792" y="3634"/>
                            <a:ext cx="2" cy="857"/>
                          </a:xfrm>
                          <a:custGeom>
                            <a:avLst/>
                            <a:gdLst>
                              <a:gd name="T0" fmla="+- 0 5792 5792"/>
                              <a:gd name="T1" fmla="*/ T0 w 1"/>
                              <a:gd name="T2" fmla="+- 0 3634 3634"/>
                              <a:gd name="T3" fmla="*/ 3634 h 857"/>
                              <a:gd name="T4" fmla="+- 0 5792 5792"/>
                              <a:gd name="T5" fmla="*/ T4 w 1"/>
                              <a:gd name="T6" fmla="+- 0 4491 3634"/>
                              <a:gd name="T7" fmla="*/ 4491 h 857"/>
                              <a:gd name="T8" fmla="+- 0 5793 5792"/>
                              <a:gd name="T9" fmla="*/ T8 w 1"/>
                              <a:gd name="T10" fmla="+- 0 4491 3634"/>
                              <a:gd name="T11" fmla="*/ 4491 h 857"/>
                            </a:gdLst>
                            <a:ahLst/>
                            <a:cxnLst>
                              <a:cxn ang="0">
                                <a:pos x="T1" y="T3"/>
                              </a:cxn>
                              <a:cxn ang="0">
                                <a:pos x="T5" y="T7"/>
                              </a:cxn>
                              <a:cxn ang="0">
                                <a:pos x="T9" y="T11"/>
                              </a:cxn>
                            </a:cxnLst>
                            <a:rect l="0" t="0" r="r" b="b"/>
                            <a:pathLst>
                              <a:path w="1" h="857">
                                <a:moveTo>
                                  <a:pt x="0" y="0"/>
                                </a:moveTo>
                                <a:lnTo>
                                  <a:pt x="0" y="857"/>
                                </a:lnTo>
                                <a:lnTo>
                                  <a:pt x="1" y="857"/>
                                </a:lnTo>
                              </a:path>
                            </a:pathLst>
                          </a:custGeom>
                          <a:noFill/>
                          <a:ln w="141">
                            <a:solidFill>
                              <a:srgbClr val="000000"/>
                            </a:solidFill>
                            <a:prstDash val="solid"/>
                            <a:round/>
                          </a:ln>
                        </wps:spPr>
                        <wps:bodyPr rot="0" vert="horz" wrap="square" lIns="91440" tIns="45720" rIns="91440" bIns="45720" anchor="t" anchorCtr="0" upright="1">
                          <a:noAutofit/>
                        </wps:bodyPr>
                      </wps:wsp>
                      <wps:wsp>
                        <wps:cNvPr id="231" name="Freeform 215"/>
                        <wps:cNvSpPr/>
                        <wps:spPr bwMode="auto">
                          <a:xfrm>
                            <a:off x="3935" y="3687"/>
                            <a:ext cx="2" cy="804"/>
                          </a:xfrm>
                          <a:custGeom>
                            <a:avLst/>
                            <a:gdLst>
                              <a:gd name="T0" fmla="+- 0 3935 3935"/>
                              <a:gd name="T1" fmla="*/ T0 w 1"/>
                              <a:gd name="T2" fmla="+- 0 3688 3688"/>
                              <a:gd name="T3" fmla="*/ 3688 h 804"/>
                              <a:gd name="T4" fmla="+- 0 3935 3935"/>
                              <a:gd name="T5" fmla="*/ T4 w 1"/>
                              <a:gd name="T6" fmla="+- 0 4491 3688"/>
                              <a:gd name="T7" fmla="*/ 4491 h 804"/>
                              <a:gd name="T8" fmla="+- 0 3935 3935"/>
                              <a:gd name="T9" fmla="*/ T8 w 1"/>
                              <a:gd name="T10" fmla="+- 0 4491 3688"/>
                              <a:gd name="T11" fmla="*/ 4491 h 804"/>
                            </a:gdLst>
                            <a:ahLst/>
                            <a:cxnLst>
                              <a:cxn ang="0">
                                <a:pos x="T1" y="T3"/>
                              </a:cxn>
                              <a:cxn ang="0">
                                <a:pos x="T5" y="T7"/>
                              </a:cxn>
                              <a:cxn ang="0">
                                <a:pos x="T9" y="T11"/>
                              </a:cxn>
                            </a:cxnLst>
                            <a:rect l="0" t="0" r="r" b="b"/>
                            <a:pathLst>
                              <a:path w="1" h="804">
                                <a:moveTo>
                                  <a:pt x="0" y="0"/>
                                </a:moveTo>
                                <a:lnTo>
                                  <a:pt x="0" y="803"/>
                                </a:lnTo>
                              </a:path>
                            </a:pathLst>
                          </a:custGeom>
                          <a:noFill/>
                          <a:ln w="141">
                            <a:solidFill>
                              <a:srgbClr val="000000"/>
                            </a:solidFill>
                            <a:prstDash val="solid"/>
                            <a:round/>
                          </a:ln>
                        </wps:spPr>
                        <wps:bodyPr rot="0" vert="horz" wrap="square" lIns="91440" tIns="45720" rIns="91440" bIns="45720" anchor="t" anchorCtr="0" upright="1">
                          <a:noAutofit/>
                        </wps:bodyPr>
                      </wps:wsp>
                      <wps:wsp>
                        <wps:cNvPr id="232" name="Freeform 214"/>
                        <wps:cNvSpPr/>
                        <wps:spPr bwMode="auto">
                          <a:xfrm>
                            <a:off x="3935" y="4404"/>
                            <a:ext cx="1858" cy="2"/>
                          </a:xfrm>
                          <a:custGeom>
                            <a:avLst/>
                            <a:gdLst>
                              <a:gd name="T0" fmla="+- 0 5792 3935"/>
                              <a:gd name="T1" fmla="*/ T0 w 1858"/>
                              <a:gd name="T2" fmla="+- 0 3935 3935"/>
                              <a:gd name="T3" fmla="*/ T2 w 1858"/>
                              <a:gd name="T4" fmla="+- 0 3935 3935"/>
                              <a:gd name="T5" fmla="*/ T4 w 1858"/>
                            </a:gdLst>
                            <a:ahLst/>
                            <a:cxnLst>
                              <a:cxn ang="0">
                                <a:pos x="T1" y="0"/>
                              </a:cxn>
                              <a:cxn ang="0">
                                <a:pos x="T3" y="0"/>
                              </a:cxn>
                              <a:cxn ang="0">
                                <a:pos x="T5" y="0"/>
                              </a:cxn>
                            </a:cxnLst>
                            <a:rect l="0" t="0" r="r" b="b"/>
                            <a:pathLst>
                              <a:path w="1858">
                                <a:moveTo>
                                  <a:pt x="1857" y="0"/>
                                </a:moveTo>
                                <a:lnTo>
                                  <a:pt x="0" y="0"/>
                                </a:lnTo>
                              </a:path>
                            </a:pathLst>
                          </a:custGeom>
                          <a:noFill/>
                          <a:ln w="164">
                            <a:solidFill>
                              <a:srgbClr val="000000"/>
                            </a:solidFill>
                            <a:prstDash val="solid"/>
                            <a:round/>
                          </a:ln>
                        </wps:spPr>
                        <wps:bodyPr rot="0" vert="horz" wrap="square" lIns="91440" tIns="45720" rIns="91440" bIns="45720" anchor="t" anchorCtr="0" upright="1">
                          <a:noAutofit/>
                        </wps:bodyPr>
                      </wps:wsp>
                      <wps:wsp>
                        <wps:cNvPr id="233" name="Freeform 213"/>
                        <wps:cNvSpPr/>
                        <wps:spPr bwMode="auto">
                          <a:xfrm>
                            <a:off x="4418" y="4049"/>
                            <a:ext cx="89" cy="97"/>
                          </a:xfrm>
                          <a:custGeom>
                            <a:avLst/>
                            <a:gdLst>
                              <a:gd name="T0" fmla="+- 0 4478 4419"/>
                              <a:gd name="T1" fmla="*/ T0 w 89"/>
                              <a:gd name="T2" fmla="+- 0 4050 4050"/>
                              <a:gd name="T3" fmla="*/ 4050 h 97"/>
                              <a:gd name="T4" fmla="+- 0 4419 4419"/>
                              <a:gd name="T5" fmla="*/ T4 w 89"/>
                              <a:gd name="T6" fmla="+- 0 4146 4050"/>
                              <a:gd name="T7" fmla="*/ 4146 h 97"/>
                              <a:gd name="T8" fmla="+- 0 4507 4419"/>
                              <a:gd name="T9" fmla="*/ T8 w 89"/>
                              <a:gd name="T10" fmla="+- 0 4146 4050"/>
                              <a:gd name="T11" fmla="*/ 4146 h 97"/>
                              <a:gd name="T12" fmla="+- 0 4507 4419"/>
                              <a:gd name="T13" fmla="*/ T12 w 89"/>
                              <a:gd name="T14" fmla="+- 0 4146 4050"/>
                              <a:gd name="T15" fmla="*/ 4146 h 97"/>
                            </a:gdLst>
                            <a:ahLst/>
                            <a:cxnLst>
                              <a:cxn ang="0">
                                <a:pos x="T1" y="T3"/>
                              </a:cxn>
                              <a:cxn ang="0">
                                <a:pos x="T5" y="T7"/>
                              </a:cxn>
                              <a:cxn ang="0">
                                <a:pos x="T9" y="T11"/>
                              </a:cxn>
                              <a:cxn ang="0">
                                <a:pos x="T13" y="T15"/>
                              </a:cxn>
                            </a:cxnLst>
                            <a:rect l="0" t="0" r="r" b="b"/>
                            <a:pathLst>
                              <a:path w="89" h="97">
                                <a:moveTo>
                                  <a:pt x="59" y="0"/>
                                </a:moveTo>
                                <a:lnTo>
                                  <a:pt x="0" y="96"/>
                                </a:lnTo>
                                <a:lnTo>
                                  <a:pt x="88" y="96"/>
                                </a:lnTo>
                              </a:path>
                            </a:pathLst>
                          </a:custGeom>
                          <a:noFill/>
                          <a:ln w="152">
                            <a:solidFill>
                              <a:srgbClr val="000000"/>
                            </a:solidFill>
                            <a:prstDash val="solid"/>
                            <a:round/>
                          </a:ln>
                        </wps:spPr>
                        <wps:bodyPr rot="0" vert="horz" wrap="square" lIns="91440" tIns="45720" rIns="91440" bIns="45720" anchor="t" anchorCtr="0" upright="1">
                          <a:noAutofit/>
                        </wps:bodyPr>
                      </wps:wsp>
                      <wps:wsp>
                        <wps:cNvPr id="234" name="Freeform 212"/>
                        <wps:cNvSpPr/>
                        <wps:spPr bwMode="auto">
                          <a:xfrm>
                            <a:off x="4477" y="4049"/>
                            <a:ext cx="2" cy="145"/>
                          </a:xfrm>
                          <a:custGeom>
                            <a:avLst/>
                            <a:gdLst>
                              <a:gd name="T0" fmla="+- 0 4478 4478"/>
                              <a:gd name="T1" fmla="*/ T0 w 1"/>
                              <a:gd name="T2" fmla="+- 0 4050 4050"/>
                              <a:gd name="T3" fmla="*/ 4050 h 145"/>
                              <a:gd name="T4" fmla="+- 0 4478 4478"/>
                              <a:gd name="T5" fmla="*/ T4 w 1"/>
                              <a:gd name="T6" fmla="+- 0 4194 4050"/>
                              <a:gd name="T7" fmla="*/ 4194 h 145"/>
                              <a:gd name="T8" fmla="+- 0 4478 4478"/>
                              <a:gd name="T9" fmla="*/ T8 w 1"/>
                              <a:gd name="T10" fmla="+- 0 4194 4050"/>
                              <a:gd name="T11" fmla="*/ 4194 h 145"/>
                            </a:gdLst>
                            <a:ahLst/>
                            <a:cxnLst>
                              <a:cxn ang="0">
                                <a:pos x="T1" y="T3"/>
                              </a:cxn>
                              <a:cxn ang="0">
                                <a:pos x="T5" y="T7"/>
                              </a:cxn>
                              <a:cxn ang="0">
                                <a:pos x="T9" y="T11"/>
                              </a:cxn>
                            </a:cxnLst>
                            <a:rect l="0" t="0" r="r" b="b"/>
                            <a:pathLst>
                              <a:path w="1" h="145">
                                <a:moveTo>
                                  <a:pt x="0" y="0"/>
                                </a:moveTo>
                                <a:lnTo>
                                  <a:pt x="0" y="144"/>
                                </a:lnTo>
                              </a:path>
                            </a:pathLst>
                          </a:custGeom>
                          <a:noFill/>
                          <a:ln w="141">
                            <a:solidFill>
                              <a:srgbClr val="000000"/>
                            </a:solidFill>
                            <a:prstDash val="solid"/>
                            <a:round/>
                          </a:ln>
                        </wps:spPr>
                        <wps:bodyPr rot="0" vert="horz" wrap="square" lIns="91440" tIns="45720" rIns="91440" bIns="45720" anchor="t" anchorCtr="0" upright="1">
                          <a:noAutofit/>
                        </wps:bodyPr>
                      </wps:wsp>
                      <wps:wsp>
                        <wps:cNvPr id="235" name="Freeform 211"/>
                        <wps:cNvSpPr/>
                        <wps:spPr bwMode="auto">
                          <a:xfrm>
                            <a:off x="4542" y="4180"/>
                            <a:ext cx="12" cy="14"/>
                          </a:xfrm>
                          <a:custGeom>
                            <a:avLst/>
                            <a:gdLst>
                              <a:gd name="T0" fmla="+- 0 4548 4542"/>
                              <a:gd name="T1" fmla="*/ T0 w 12"/>
                              <a:gd name="T2" fmla="+- 0 4180 4180"/>
                              <a:gd name="T3" fmla="*/ 4180 h 14"/>
                              <a:gd name="T4" fmla="+- 0 4542 4542"/>
                              <a:gd name="T5" fmla="*/ T4 w 12"/>
                              <a:gd name="T6" fmla="+- 0 4187 4180"/>
                              <a:gd name="T7" fmla="*/ 4187 h 14"/>
                              <a:gd name="T8" fmla="+- 0 4548 4542"/>
                              <a:gd name="T9" fmla="*/ T8 w 12"/>
                              <a:gd name="T10" fmla="+- 0 4194 4180"/>
                              <a:gd name="T11" fmla="*/ 4194 h 14"/>
                              <a:gd name="T12" fmla="+- 0 4554 4542"/>
                              <a:gd name="T13" fmla="*/ T12 w 12"/>
                              <a:gd name="T14" fmla="+- 0 4187 4180"/>
                              <a:gd name="T15" fmla="*/ 4187 h 14"/>
                              <a:gd name="T16" fmla="+- 0 4548 4542"/>
                              <a:gd name="T17" fmla="*/ T16 w 12"/>
                              <a:gd name="T18" fmla="+- 0 4180 4180"/>
                              <a:gd name="T19" fmla="*/ 4180 h 14"/>
                              <a:gd name="T20" fmla="+- 0 4549 4542"/>
                              <a:gd name="T21" fmla="*/ T20 w 12"/>
                              <a:gd name="T22" fmla="+- 0 4180 4180"/>
                              <a:gd name="T23" fmla="*/ 4180 h 14"/>
                            </a:gdLst>
                            <a:ahLst/>
                            <a:cxnLst>
                              <a:cxn ang="0">
                                <a:pos x="T1" y="T3"/>
                              </a:cxn>
                              <a:cxn ang="0">
                                <a:pos x="T5" y="T7"/>
                              </a:cxn>
                              <a:cxn ang="0">
                                <a:pos x="T9" y="T11"/>
                              </a:cxn>
                              <a:cxn ang="0">
                                <a:pos x="T13" y="T15"/>
                              </a:cxn>
                              <a:cxn ang="0">
                                <a:pos x="T17" y="T19"/>
                              </a:cxn>
                              <a:cxn ang="0">
                                <a:pos x="T21" y="T23"/>
                              </a:cxn>
                            </a:cxnLst>
                            <a:rect l="0" t="0" r="r" b="b"/>
                            <a:pathLst>
                              <a:path w="12" h="14">
                                <a:moveTo>
                                  <a:pt x="6" y="0"/>
                                </a:moveTo>
                                <a:lnTo>
                                  <a:pt x="0" y="7"/>
                                </a:lnTo>
                                <a:lnTo>
                                  <a:pt x="6" y="14"/>
                                </a:lnTo>
                                <a:lnTo>
                                  <a:pt x="12" y="7"/>
                                </a:lnTo>
                                <a:lnTo>
                                  <a:pt x="6" y="0"/>
                                </a:lnTo>
                                <a:lnTo>
                                  <a:pt x="7"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236" name="Freeform 210"/>
                        <wps:cNvSpPr/>
                        <wps:spPr bwMode="auto">
                          <a:xfrm>
                            <a:off x="4595" y="4049"/>
                            <a:ext cx="83" cy="145"/>
                          </a:xfrm>
                          <a:custGeom>
                            <a:avLst/>
                            <a:gdLst>
                              <a:gd name="T0" fmla="+- 0 4666 4596"/>
                              <a:gd name="T1" fmla="*/ T0 w 83"/>
                              <a:gd name="T2" fmla="+- 0 4050 4050"/>
                              <a:gd name="T3" fmla="*/ 4050 h 145"/>
                              <a:gd name="T4" fmla="+- 0 4607 4596"/>
                              <a:gd name="T5" fmla="*/ T4 w 83"/>
                              <a:gd name="T6" fmla="+- 0 4050 4050"/>
                              <a:gd name="T7" fmla="*/ 4050 h 145"/>
                              <a:gd name="T8" fmla="+- 0 4601 4596"/>
                              <a:gd name="T9" fmla="*/ T8 w 83"/>
                              <a:gd name="T10" fmla="+- 0 4112 4050"/>
                              <a:gd name="T11" fmla="*/ 4112 h 145"/>
                              <a:gd name="T12" fmla="+- 0 4607 4596"/>
                              <a:gd name="T13" fmla="*/ T12 w 83"/>
                              <a:gd name="T14" fmla="+- 0 4105 4050"/>
                              <a:gd name="T15" fmla="*/ 4105 h 145"/>
                              <a:gd name="T16" fmla="+- 0 4625 4596"/>
                              <a:gd name="T17" fmla="*/ T16 w 83"/>
                              <a:gd name="T18" fmla="+- 0 4098 4050"/>
                              <a:gd name="T19" fmla="*/ 4098 h 145"/>
                              <a:gd name="T20" fmla="+- 0 4643 4596"/>
                              <a:gd name="T21" fmla="*/ T20 w 83"/>
                              <a:gd name="T22" fmla="+- 0 4098 4050"/>
                              <a:gd name="T23" fmla="*/ 4098 h 145"/>
                              <a:gd name="T24" fmla="+- 0 4660 4596"/>
                              <a:gd name="T25" fmla="*/ T24 w 83"/>
                              <a:gd name="T26" fmla="+- 0 4105 4050"/>
                              <a:gd name="T27" fmla="*/ 4105 h 145"/>
                              <a:gd name="T28" fmla="+- 0 4672 4596"/>
                              <a:gd name="T29" fmla="*/ T28 w 83"/>
                              <a:gd name="T30" fmla="+- 0 4118 4050"/>
                              <a:gd name="T31" fmla="*/ 4118 h 145"/>
                              <a:gd name="T32" fmla="+- 0 4678 4596"/>
                              <a:gd name="T33" fmla="*/ T32 w 83"/>
                              <a:gd name="T34" fmla="+- 0 4139 4050"/>
                              <a:gd name="T35" fmla="*/ 4139 h 145"/>
                              <a:gd name="T36" fmla="+- 0 4678 4596"/>
                              <a:gd name="T37" fmla="*/ T36 w 83"/>
                              <a:gd name="T38" fmla="+- 0 4153 4050"/>
                              <a:gd name="T39" fmla="*/ 4153 h 145"/>
                              <a:gd name="T40" fmla="+- 0 4672 4596"/>
                              <a:gd name="T41" fmla="*/ T40 w 83"/>
                              <a:gd name="T42" fmla="+- 0 4173 4050"/>
                              <a:gd name="T43" fmla="*/ 4173 h 145"/>
                              <a:gd name="T44" fmla="+- 0 4660 4596"/>
                              <a:gd name="T45" fmla="*/ T44 w 83"/>
                              <a:gd name="T46" fmla="+- 0 4187 4050"/>
                              <a:gd name="T47" fmla="*/ 4187 h 145"/>
                              <a:gd name="T48" fmla="+- 0 4643 4596"/>
                              <a:gd name="T49" fmla="*/ T48 w 83"/>
                              <a:gd name="T50" fmla="+- 0 4194 4050"/>
                              <a:gd name="T51" fmla="*/ 4194 h 145"/>
                              <a:gd name="T52" fmla="+- 0 4625 4596"/>
                              <a:gd name="T53" fmla="*/ T52 w 83"/>
                              <a:gd name="T54" fmla="+- 0 4194 4050"/>
                              <a:gd name="T55" fmla="*/ 4194 h 145"/>
                              <a:gd name="T56" fmla="+- 0 4607 4596"/>
                              <a:gd name="T57" fmla="*/ T56 w 83"/>
                              <a:gd name="T58" fmla="+- 0 4187 4050"/>
                              <a:gd name="T59" fmla="*/ 4187 h 145"/>
                              <a:gd name="T60" fmla="+- 0 4601 4596"/>
                              <a:gd name="T61" fmla="*/ T60 w 83"/>
                              <a:gd name="T62" fmla="+- 0 4180 4050"/>
                              <a:gd name="T63" fmla="*/ 4180 h 145"/>
                              <a:gd name="T64" fmla="+- 0 4596 4596"/>
                              <a:gd name="T65" fmla="*/ T64 w 83"/>
                              <a:gd name="T66" fmla="+- 0 4166 4050"/>
                              <a:gd name="T67" fmla="*/ 4166 h 145"/>
                              <a:gd name="T68" fmla="+- 0 4596 4596"/>
                              <a:gd name="T69" fmla="*/ T68 w 83"/>
                              <a:gd name="T70" fmla="+- 0 4166 4050"/>
                              <a:gd name="T71" fmla="*/ 4166 h 1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83" h="145">
                                <a:moveTo>
                                  <a:pt x="70" y="0"/>
                                </a:moveTo>
                                <a:lnTo>
                                  <a:pt x="11" y="0"/>
                                </a:lnTo>
                                <a:lnTo>
                                  <a:pt x="5" y="62"/>
                                </a:lnTo>
                                <a:lnTo>
                                  <a:pt x="11" y="55"/>
                                </a:lnTo>
                                <a:lnTo>
                                  <a:pt x="29" y="48"/>
                                </a:lnTo>
                                <a:lnTo>
                                  <a:pt x="47" y="48"/>
                                </a:lnTo>
                                <a:lnTo>
                                  <a:pt x="64" y="55"/>
                                </a:lnTo>
                                <a:lnTo>
                                  <a:pt x="76" y="68"/>
                                </a:lnTo>
                                <a:lnTo>
                                  <a:pt x="82" y="89"/>
                                </a:lnTo>
                                <a:lnTo>
                                  <a:pt x="82" y="103"/>
                                </a:lnTo>
                                <a:lnTo>
                                  <a:pt x="76" y="123"/>
                                </a:lnTo>
                                <a:lnTo>
                                  <a:pt x="64" y="137"/>
                                </a:lnTo>
                                <a:lnTo>
                                  <a:pt x="47" y="144"/>
                                </a:lnTo>
                                <a:lnTo>
                                  <a:pt x="29" y="144"/>
                                </a:lnTo>
                                <a:lnTo>
                                  <a:pt x="11" y="137"/>
                                </a:lnTo>
                                <a:lnTo>
                                  <a:pt x="5" y="130"/>
                                </a:lnTo>
                                <a:lnTo>
                                  <a:pt x="0" y="116"/>
                                </a:lnTo>
                              </a:path>
                            </a:pathLst>
                          </a:custGeom>
                          <a:noFill/>
                          <a:ln w="147">
                            <a:solidFill>
                              <a:srgbClr val="000000"/>
                            </a:solidFill>
                            <a:prstDash val="solid"/>
                            <a:round/>
                          </a:ln>
                        </wps:spPr>
                        <wps:bodyPr rot="0" vert="horz" wrap="square" lIns="91440" tIns="45720" rIns="91440" bIns="45720" anchor="t" anchorCtr="0" upright="1">
                          <a:noAutofit/>
                        </wps:bodyPr>
                      </wps:wsp>
                      <wps:wsp>
                        <wps:cNvPr id="237" name="Freeform 209"/>
                        <wps:cNvSpPr/>
                        <wps:spPr bwMode="auto">
                          <a:xfrm>
                            <a:off x="4719" y="4097"/>
                            <a:ext cx="2" cy="96"/>
                          </a:xfrm>
                          <a:custGeom>
                            <a:avLst/>
                            <a:gdLst>
                              <a:gd name="T0" fmla="+- 0 4719 4719"/>
                              <a:gd name="T1" fmla="*/ T0 w 1"/>
                              <a:gd name="T2" fmla="+- 0 4098 4098"/>
                              <a:gd name="T3" fmla="*/ 4098 h 96"/>
                              <a:gd name="T4" fmla="+- 0 4719 4719"/>
                              <a:gd name="T5" fmla="*/ T4 w 1"/>
                              <a:gd name="T6" fmla="+- 0 4194 4098"/>
                              <a:gd name="T7" fmla="*/ 4194 h 96"/>
                              <a:gd name="T8" fmla="+- 0 4720 4719"/>
                              <a:gd name="T9" fmla="*/ T8 w 1"/>
                              <a:gd name="T10" fmla="+- 0 4194 4098"/>
                              <a:gd name="T11" fmla="*/ 4194 h 96"/>
                            </a:gdLst>
                            <a:ahLst/>
                            <a:cxnLst>
                              <a:cxn ang="0">
                                <a:pos x="T1" y="T3"/>
                              </a:cxn>
                              <a:cxn ang="0">
                                <a:pos x="T5" y="T7"/>
                              </a:cxn>
                              <a:cxn ang="0">
                                <a:pos x="T9" y="T11"/>
                              </a:cxn>
                            </a:cxnLst>
                            <a:rect l="0" t="0" r="r" b="b"/>
                            <a:pathLst>
                              <a:path w="1" h="96">
                                <a:moveTo>
                                  <a:pt x="0" y="0"/>
                                </a:moveTo>
                                <a:lnTo>
                                  <a:pt x="0" y="96"/>
                                </a:lnTo>
                                <a:lnTo>
                                  <a:pt x="1" y="96"/>
                                </a:lnTo>
                              </a:path>
                            </a:pathLst>
                          </a:custGeom>
                          <a:noFill/>
                          <a:ln w="141">
                            <a:solidFill>
                              <a:srgbClr val="000000"/>
                            </a:solidFill>
                            <a:prstDash val="solid"/>
                            <a:round/>
                          </a:ln>
                        </wps:spPr>
                        <wps:bodyPr rot="0" vert="horz" wrap="square" lIns="91440" tIns="45720" rIns="91440" bIns="45720" anchor="t" anchorCtr="0" upright="1">
                          <a:noAutofit/>
                        </wps:bodyPr>
                      </wps:wsp>
                      <wps:wsp>
                        <wps:cNvPr id="238" name="Freeform 208"/>
                        <wps:cNvSpPr/>
                        <wps:spPr bwMode="auto">
                          <a:xfrm>
                            <a:off x="4719" y="4097"/>
                            <a:ext cx="66" cy="96"/>
                          </a:xfrm>
                          <a:custGeom>
                            <a:avLst/>
                            <a:gdLst>
                              <a:gd name="T0" fmla="+- 0 4719 4719"/>
                              <a:gd name="T1" fmla="*/ T0 w 66"/>
                              <a:gd name="T2" fmla="+- 0 4125 4098"/>
                              <a:gd name="T3" fmla="*/ 4125 h 96"/>
                              <a:gd name="T4" fmla="+- 0 4737 4719"/>
                              <a:gd name="T5" fmla="*/ T4 w 66"/>
                              <a:gd name="T6" fmla="+- 0 4105 4098"/>
                              <a:gd name="T7" fmla="*/ 4105 h 96"/>
                              <a:gd name="T8" fmla="+- 0 4749 4719"/>
                              <a:gd name="T9" fmla="*/ T8 w 66"/>
                              <a:gd name="T10" fmla="+- 0 4098 4098"/>
                              <a:gd name="T11" fmla="*/ 4098 h 96"/>
                              <a:gd name="T12" fmla="+- 0 4767 4719"/>
                              <a:gd name="T13" fmla="*/ T12 w 66"/>
                              <a:gd name="T14" fmla="+- 0 4098 4098"/>
                              <a:gd name="T15" fmla="*/ 4098 h 96"/>
                              <a:gd name="T16" fmla="+- 0 4778 4719"/>
                              <a:gd name="T17" fmla="*/ T16 w 66"/>
                              <a:gd name="T18" fmla="+- 0 4105 4098"/>
                              <a:gd name="T19" fmla="*/ 4105 h 96"/>
                              <a:gd name="T20" fmla="+- 0 4784 4719"/>
                              <a:gd name="T21" fmla="*/ T20 w 66"/>
                              <a:gd name="T22" fmla="+- 0 4125 4098"/>
                              <a:gd name="T23" fmla="*/ 4125 h 96"/>
                              <a:gd name="T24" fmla="+- 0 4784 4719"/>
                              <a:gd name="T25" fmla="*/ T24 w 66"/>
                              <a:gd name="T26" fmla="+- 0 4194 4098"/>
                              <a:gd name="T27" fmla="*/ 4194 h 96"/>
                              <a:gd name="T28" fmla="+- 0 4785 4719"/>
                              <a:gd name="T29" fmla="*/ T28 w 66"/>
                              <a:gd name="T30" fmla="+- 0 4194 4098"/>
                              <a:gd name="T31" fmla="*/ 4194 h 96"/>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6" h="96">
                                <a:moveTo>
                                  <a:pt x="0" y="27"/>
                                </a:moveTo>
                                <a:lnTo>
                                  <a:pt x="18" y="7"/>
                                </a:lnTo>
                                <a:lnTo>
                                  <a:pt x="30" y="0"/>
                                </a:lnTo>
                                <a:lnTo>
                                  <a:pt x="48" y="0"/>
                                </a:lnTo>
                                <a:lnTo>
                                  <a:pt x="59" y="7"/>
                                </a:lnTo>
                                <a:lnTo>
                                  <a:pt x="65" y="27"/>
                                </a:lnTo>
                                <a:lnTo>
                                  <a:pt x="65" y="96"/>
                                </a:lnTo>
                                <a:lnTo>
                                  <a:pt x="66" y="96"/>
                                </a:lnTo>
                              </a:path>
                            </a:pathLst>
                          </a:custGeom>
                          <a:noFill/>
                          <a:ln w="148">
                            <a:solidFill>
                              <a:srgbClr val="000000"/>
                            </a:solidFill>
                            <a:prstDash val="solid"/>
                            <a:round/>
                          </a:ln>
                        </wps:spPr>
                        <wps:bodyPr rot="0" vert="horz" wrap="square" lIns="91440" tIns="45720" rIns="91440" bIns="45720" anchor="t" anchorCtr="0" upright="1">
                          <a:noAutofit/>
                        </wps:bodyPr>
                      </wps:wsp>
                      <wps:wsp>
                        <wps:cNvPr id="239" name="Freeform 207"/>
                        <wps:cNvSpPr/>
                        <wps:spPr bwMode="auto">
                          <a:xfrm>
                            <a:off x="4784" y="4097"/>
                            <a:ext cx="66" cy="96"/>
                          </a:xfrm>
                          <a:custGeom>
                            <a:avLst/>
                            <a:gdLst>
                              <a:gd name="T0" fmla="+- 0 4784 4784"/>
                              <a:gd name="T1" fmla="*/ T0 w 66"/>
                              <a:gd name="T2" fmla="+- 0 4125 4098"/>
                              <a:gd name="T3" fmla="*/ 4125 h 96"/>
                              <a:gd name="T4" fmla="+- 0 4802 4784"/>
                              <a:gd name="T5" fmla="*/ T4 w 66"/>
                              <a:gd name="T6" fmla="+- 0 4105 4098"/>
                              <a:gd name="T7" fmla="*/ 4105 h 96"/>
                              <a:gd name="T8" fmla="+- 0 4814 4784"/>
                              <a:gd name="T9" fmla="*/ T8 w 66"/>
                              <a:gd name="T10" fmla="+- 0 4098 4098"/>
                              <a:gd name="T11" fmla="*/ 4098 h 96"/>
                              <a:gd name="T12" fmla="+- 0 4831 4784"/>
                              <a:gd name="T13" fmla="*/ T12 w 66"/>
                              <a:gd name="T14" fmla="+- 0 4098 4098"/>
                              <a:gd name="T15" fmla="*/ 4098 h 96"/>
                              <a:gd name="T16" fmla="+- 0 4843 4784"/>
                              <a:gd name="T17" fmla="*/ T16 w 66"/>
                              <a:gd name="T18" fmla="+- 0 4105 4098"/>
                              <a:gd name="T19" fmla="*/ 4105 h 96"/>
                              <a:gd name="T20" fmla="+- 0 4849 4784"/>
                              <a:gd name="T21" fmla="*/ T20 w 66"/>
                              <a:gd name="T22" fmla="+- 0 4125 4098"/>
                              <a:gd name="T23" fmla="*/ 4125 h 96"/>
                              <a:gd name="T24" fmla="+- 0 4849 4784"/>
                              <a:gd name="T25" fmla="*/ T24 w 66"/>
                              <a:gd name="T26" fmla="+- 0 4194 4098"/>
                              <a:gd name="T27" fmla="*/ 4194 h 96"/>
                              <a:gd name="T28" fmla="+- 0 4849 4784"/>
                              <a:gd name="T29" fmla="*/ T28 w 66"/>
                              <a:gd name="T30" fmla="+- 0 4194 4098"/>
                              <a:gd name="T31" fmla="*/ 4194 h 96"/>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6" h="96">
                                <a:moveTo>
                                  <a:pt x="0" y="27"/>
                                </a:moveTo>
                                <a:lnTo>
                                  <a:pt x="18" y="7"/>
                                </a:lnTo>
                                <a:lnTo>
                                  <a:pt x="30" y="0"/>
                                </a:lnTo>
                                <a:lnTo>
                                  <a:pt x="47" y="0"/>
                                </a:lnTo>
                                <a:lnTo>
                                  <a:pt x="59" y="7"/>
                                </a:lnTo>
                                <a:lnTo>
                                  <a:pt x="65" y="27"/>
                                </a:lnTo>
                                <a:lnTo>
                                  <a:pt x="65" y="96"/>
                                </a:lnTo>
                              </a:path>
                            </a:pathLst>
                          </a:custGeom>
                          <a:noFill/>
                          <a:ln w="148">
                            <a:solidFill>
                              <a:srgbClr val="000000"/>
                            </a:solidFill>
                            <a:prstDash val="solid"/>
                            <a:round/>
                          </a:ln>
                        </wps:spPr>
                        <wps:bodyPr rot="0" vert="horz" wrap="square" lIns="91440" tIns="45720" rIns="91440" bIns="45720" anchor="t" anchorCtr="0" upright="1">
                          <a:noAutofit/>
                        </wps:bodyPr>
                      </wps:wsp>
                      <wps:wsp>
                        <wps:cNvPr id="240" name="Freeform 206"/>
                        <wps:cNvSpPr/>
                        <wps:spPr bwMode="auto">
                          <a:xfrm>
                            <a:off x="4896" y="4022"/>
                            <a:ext cx="42" cy="220"/>
                          </a:xfrm>
                          <a:custGeom>
                            <a:avLst/>
                            <a:gdLst>
                              <a:gd name="T0" fmla="+- 0 4937 4896"/>
                              <a:gd name="T1" fmla="*/ T0 w 42"/>
                              <a:gd name="T2" fmla="+- 0 4023 4023"/>
                              <a:gd name="T3" fmla="*/ 4023 h 220"/>
                              <a:gd name="T4" fmla="+- 0 4926 4896"/>
                              <a:gd name="T5" fmla="*/ T4 w 42"/>
                              <a:gd name="T6" fmla="+- 0 4036 4023"/>
                              <a:gd name="T7" fmla="*/ 4036 h 220"/>
                              <a:gd name="T8" fmla="+- 0 4914 4896"/>
                              <a:gd name="T9" fmla="*/ T8 w 42"/>
                              <a:gd name="T10" fmla="+- 0 4057 4023"/>
                              <a:gd name="T11" fmla="*/ 4057 h 220"/>
                              <a:gd name="T12" fmla="+- 0 4902 4896"/>
                              <a:gd name="T13" fmla="*/ T12 w 42"/>
                              <a:gd name="T14" fmla="+- 0 4084 4023"/>
                              <a:gd name="T15" fmla="*/ 4084 h 220"/>
                              <a:gd name="T16" fmla="+- 0 4896 4896"/>
                              <a:gd name="T17" fmla="*/ T16 w 42"/>
                              <a:gd name="T18" fmla="+- 0 4118 4023"/>
                              <a:gd name="T19" fmla="*/ 4118 h 220"/>
                              <a:gd name="T20" fmla="+- 0 4896 4896"/>
                              <a:gd name="T21" fmla="*/ T20 w 42"/>
                              <a:gd name="T22" fmla="+- 0 4146 4023"/>
                              <a:gd name="T23" fmla="*/ 4146 h 220"/>
                              <a:gd name="T24" fmla="+- 0 4902 4896"/>
                              <a:gd name="T25" fmla="*/ T24 w 42"/>
                              <a:gd name="T26" fmla="+- 0 4180 4023"/>
                              <a:gd name="T27" fmla="*/ 4180 h 220"/>
                              <a:gd name="T28" fmla="+- 0 4914 4896"/>
                              <a:gd name="T29" fmla="*/ T28 w 42"/>
                              <a:gd name="T30" fmla="+- 0 4208 4023"/>
                              <a:gd name="T31" fmla="*/ 4208 h 220"/>
                              <a:gd name="T32" fmla="+- 0 4926 4896"/>
                              <a:gd name="T33" fmla="*/ T32 w 42"/>
                              <a:gd name="T34" fmla="+- 0 4228 4023"/>
                              <a:gd name="T35" fmla="*/ 4228 h 220"/>
                              <a:gd name="T36" fmla="+- 0 4937 4896"/>
                              <a:gd name="T37" fmla="*/ T36 w 42"/>
                              <a:gd name="T38" fmla="+- 0 4242 4023"/>
                              <a:gd name="T39" fmla="*/ 4242 h 220"/>
                              <a:gd name="T40" fmla="+- 0 4938 4896"/>
                              <a:gd name="T41" fmla="*/ T40 w 42"/>
                              <a:gd name="T42" fmla="+- 0 4242 4023"/>
                              <a:gd name="T43" fmla="*/ 4242 h 2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42" h="220">
                                <a:moveTo>
                                  <a:pt x="41" y="0"/>
                                </a:moveTo>
                                <a:lnTo>
                                  <a:pt x="30" y="13"/>
                                </a:lnTo>
                                <a:lnTo>
                                  <a:pt x="18" y="34"/>
                                </a:lnTo>
                                <a:lnTo>
                                  <a:pt x="6" y="61"/>
                                </a:lnTo>
                                <a:lnTo>
                                  <a:pt x="0" y="95"/>
                                </a:lnTo>
                                <a:lnTo>
                                  <a:pt x="0" y="123"/>
                                </a:lnTo>
                                <a:lnTo>
                                  <a:pt x="6" y="157"/>
                                </a:lnTo>
                                <a:lnTo>
                                  <a:pt x="18" y="185"/>
                                </a:lnTo>
                                <a:lnTo>
                                  <a:pt x="30" y="205"/>
                                </a:lnTo>
                                <a:lnTo>
                                  <a:pt x="41" y="219"/>
                                </a:lnTo>
                                <a:lnTo>
                                  <a:pt x="42" y="219"/>
                                </a:lnTo>
                              </a:path>
                            </a:pathLst>
                          </a:custGeom>
                          <a:noFill/>
                          <a:ln w="142">
                            <a:solidFill>
                              <a:srgbClr val="000000"/>
                            </a:solidFill>
                            <a:prstDash val="solid"/>
                            <a:round/>
                          </a:ln>
                        </wps:spPr>
                        <wps:bodyPr rot="0" vert="horz" wrap="square" lIns="91440" tIns="45720" rIns="91440" bIns="45720" anchor="t" anchorCtr="0" upright="1">
                          <a:noAutofit/>
                        </wps:bodyPr>
                      </wps:wsp>
                      <wps:wsp>
                        <wps:cNvPr id="241" name="Freeform 205"/>
                        <wps:cNvSpPr/>
                        <wps:spPr bwMode="auto">
                          <a:xfrm>
                            <a:off x="4973" y="4049"/>
                            <a:ext cx="83" cy="145"/>
                          </a:xfrm>
                          <a:custGeom>
                            <a:avLst/>
                            <a:gdLst>
                              <a:gd name="T0" fmla="+- 0 4985 4973"/>
                              <a:gd name="T1" fmla="*/ T0 w 83"/>
                              <a:gd name="T2" fmla="+- 0 4050 4050"/>
                              <a:gd name="T3" fmla="*/ 4050 h 145"/>
                              <a:gd name="T4" fmla="+- 0 5050 4973"/>
                              <a:gd name="T5" fmla="*/ T4 w 83"/>
                              <a:gd name="T6" fmla="+- 0 4050 4050"/>
                              <a:gd name="T7" fmla="*/ 4050 h 145"/>
                              <a:gd name="T8" fmla="+- 0 5014 4973"/>
                              <a:gd name="T9" fmla="*/ T8 w 83"/>
                              <a:gd name="T10" fmla="+- 0 4105 4050"/>
                              <a:gd name="T11" fmla="*/ 4105 h 145"/>
                              <a:gd name="T12" fmla="+- 0 5032 4973"/>
                              <a:gd name="T13" fmla="*/ T12 w 83"/>
                              <a:gd name="T14" fmla="+- 0 4105 4050"/>
                              <a:gd name="T15" fmla="*/ 4105 h 145"/>
                              <a:gd name="T16" fmla="+- 0 5044 4973"/>
                              <a:gd name="T17" fmla="*/ T16 w 83"/>
                              <a:gd name="T18" fmla="+- 0 4112 4050"/>
                              <a:gd name="T19" fmla="*/ 4112 h 145"/>
                              <a:gd name="T20" fmla="+- 0 5050 4973"/>
                              <a:gd name="T21" fmla="*/ T20 w 83"/>
                              <a:gd name="T22" fmla="+- 0 4118 4050"/>
                              <a:gd name="T23" fmla="*/ 4118 h 145"/>
                              <a:gd name="T24" fmla="+- 0 5056 4973"/>
                              <a:gd name="T25" fmla="*/ T24 w 83"/>
                              <a:gd name="T26" fmla="+- 0 4139 4050"/>
                              <a:gd name="T27" fmla="*/ 4139 h 145"/>
                              <a:gd name="T28" fmla="+- 0 5056 4973"/>
                              <a:gd name="T29" fmla="*/ T28 w 83"/>
                              <a:gd name="T30" fmla="+- 0 4153 4050"/>
                              <a:gd name="T31" fmla="*/ 4153 h 145"/>
                              <a:gd name="T32" fmla="+- 0 5050 4973"/>
                              <a:gd name="T33" fmla="*/ T32 w 83"/>
                              <a:gd name="T34" fmla="+- 0 4173 4050"/>
                              <a:gd name="T35" fmla="*/ 4173 h 145"/>
                              <a:gd name="T36" fmla="+- 0 5038 4973"/>
                              <a:gd name="T37" fmla="*/ T36 w 83"/>
                              <a:gd name="T38" fmla="+- 0 4187 4050"/>
                              <a:gd name="T39" fmla="*/ 4187 h 145"/>
                              <a:gd name="T40" fmla="+- 0 5020 4973"/>
                              <a:gd name="T41" fmla="*/ T40 w 83"/>
                              <a:gd name="T42" fmla="+- 0 4194 4050"/>
                              <a:gd name="T43" fmla="*/ 4194 h 145"/>
                              <a:gd name="T44" fmla="+- 0 5002 4973"/>
                              <a:gd name="T45" fmla="*/ T44 w 83"/>
                              <a:gd name="T46" fmla="+- 0 4194 4050"/>
                              <a:gd name="T47" fmla="*/ 4194 h 145"/>
                              <a:gd name="T48" fmla="+- 0 4985 4973"/>
                              <a:gd name="T49" fmla="*/ T48 w 83"/>
                              <a:gd name="T50" fmla="+- 0 4187 4050"/>
                              <a:gd name="T51" fmla="*/ 4187 h 145"/>
                              <a:gd name="T52" fmla="+- 0 4979 4973"/>
                              <a:gd name="T53" fmla="*/ T52 w 83"/>
                              <a:gd name="T54" fmla="+- 0 4180 4050"/>
                              <a:gd name="T55" fmla="*/ 4180 h 145"/>
                              <a:gd name="T56" fmla="+- 0 4973 4973"/>
                              <a:gd name="T57" fmla="*/ T56 w 83"/>
                              <a:gd name="T58" fmla="+- 0 4166 4050"/>
                              <a:gd name="T59" fmla="*/ 4166 h 145"/>
                              <a:gd name="T60" fmla="+- 0 4973 4973"/>
                              <a:gd name="T61" fmla="*/ T60 w 83"/>
                              <a:gd name="T62" fmla="+- 0 4166 4050"/>
                              <a:gd name="T63" fmla="*/ 4166 h 1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83" h="145">
                                <a:moveTo>
                                  <a:pt x="12" y="0"/>
                                </a:moveTo>
                                <a:lnTo>
                                  <a:pt x="77" y="0"/>
                                </a:lnTo>
                                <a:lnTo>
                                  <a:pt x="41" y="55"/>
                                </a:lnTo>
                                <a:lnTo>
                                  <a:pt x="59" y="55"/>
                                </a:lnTo>
                                <a:lnTo>
                                  <a:pt x="71" y="62"/>
                                </a:lnTo>
                                <a:lnTo>
                                  <a:pt x="77" y="68"/>
                                </a:lnTo>
                                <a:lnTo>
                                  <a:pt x="83" y="89"/>
                                </a:lnTo>
                                <a:lnTo>
                                  <a:pt x="83" y="103"/>
                                </a:lnTo>
                                <a:lnTo>
                                  <a:pt x="77" y="123"/>
                                </a:lnTo>
                                <a:lnTo>
                                  <a:pt x="65" y="137"/>
                                </a:lnTo>
                                <a:lnTo>
                                  <a:pt x="47" y="144"/>
                                </a:lnTo>
                                <a:lnTo>
                                  <a:pt x="29" y="144"/>
                                </a:lnTo>
                                <a:lnTo>
                                  <a:pt x="12" y="137"/>
                                </a:lnTo>
                                <a:lnTo>
                                  <a:pt x="6" y="130"/>
                                </a:lnTo>
                                <a:lnTo>
                                  <a:pt x="0" y="116"/>
                                </a:lnTo>
                              </a:path>
                            </a:pathLst>
                          </a:custGeom>
                          <a:noFill/>
                          <a:ln w="147">
                            <a:solidFill>
                              <a:srgbClr val="000000"/>
                            </a:solidFill>
                            <a:prstDash val="solid"/>
                            <a:round/>
                          </a:ln>
                        </wps:spPr>
                        <wps:bodyPr rot="0" vert="horz" wrap="square" lIns="91440" tIns="45720" rIns="91440" bIns="45720" anchor="t" anchorCtr="0" upright="1">
                          <a:noAutofit/>
                        </wps:bodyPr>
                      </wps:wsp>
                      <wps:wsp>
                        <wps:cNvPr id="242" name="Freeform 204"/>
                        <wps:cNvSpPr/>
                        <wps:spPr bwMode="auto">
                          <a:xfrm>
                            <a:off x="5096" y="4097"/>
                            <a:ext cx="2" cy="96"/>
                          </a:xfrm>
                          <a:custGeom>
                            <a:avLst/>
                            <a:gdLst>
                              <a:gd name="T0" fmla="+- 0 5097 5097"/>
                              <a:gd name="T1" fmla="*/ T0 w 1"/>
                              <a:gd name="T2" fmla="+- 0 4098 4098"/>
                              <a:gd name="T3" fmla="*/ 4098 h 96"/>
                              <a:gd name="T4" fmla="+- 0 5097 5097"/>
                              <a:gd name="T5" fmla="*/ T4 w 1"/>
                              <a:gd name="T6" fmla="+- 0 4194 4098"/>
                              <a:gd name="T7" fmla="*/ 4194 h 96"/>
                              <a:gd name="T8" fmla="+- 0 5097 5097"/>
                              <a:gd name="T9" fmla="*/ T8 w 1"/>
                              <a:gd name="T10" fmla="+- 0 4194 4098"/>
                              <a:gd name="T11" fmla="*/ 4194 h 96"/>
                            </a:gdLst>
                            <a:ahLst/>
                            <a:cxnLst>
                              <a:cxn ang="0">
                                <a:pos x="T1" y="T3"/>
                              </a:cxn>
                              <a:cxn ang="0">
                                <a:pos x="T5" y="T7"/>
                              </a:cxn>
                              <a:cxn ang="0">
                                <a:pos x="T9" y="T11"/>
                              </a:cxn>
                            </a:cxnLst>
                            <a:rect l="0" t="0" r="r" b="b"/>
                            <a:pathLst>
                              <a:path w="1" h="96">
                                <a:moveTo>
                                  <a:pt x="0" y="0"/>
                                </a:moveTo>
                                <a:lnTo>
                                  <a:pt x="0" y="96"/>
                                </a:lnTo>
                              </a:path>
                            </a:pathLst>
                          </a:custGeom>
                          <a:noFill/>
                          <a:ln w="141">
                            <a:solidFill>
                              <a:srgbClr val="000000"/>
                            </a:solidFill>
                            <a:prstDash val="solid"/>
                            <a:round/>
                          </a:ln>
                        </wps:spPr>
                        <wps:bodyPr rot="0" vert="horz" wrap="square" lIns="91440" tIns="45720" rIns="91440" bIns="45720" anchor="t" anchorCtr="0" upright="1">
                          <a:noAutofit/>
                        </wps:bodyPr>
                      </wps:wsp>
                      <wps:wsp>
                        <wps:cNvPr id="243" name="Freeform 203"/>
                        <wps:cNvSpPr/>
                        <wps:spPr bwMode="auto">
                          <a:xfrm>
                            <a:off x="5096" y="4097"/>
                            <a:ext cx="66" cy="96"/>
                          </a:xfrm>
                          <a:custGeom>
                            <a:avLst/>
                            <a:gdLst>
                              <a:gd name="T0" fmla="+- 0 5097 5097"/>
                              <a:gd name="T1" fmla="*/ T0 w 66"/>
                              <a:gd name="T2" fmla="+- 0 4125 4098"/>
                              <a:gd name="T3" fmla="*/ 4125 h 96"/>
                              <a:gd name="T4" fmla="+- 0 5115 5097"/>
                              <a:gd name="T5" fmla="*/ T4 w 66"/>
                              <a:gd name="T6" fmla="+- 0 4105 4098"/>
                              <a:gd name="T7" fmla="*/ 4105 h 96"/>
                              <a:gd name="T8" fmla="+- 0 5126 5097"/>
                              <a:gd name="T9" fmla="*/ T8 w 66"/>
                              <a:gd name="T10" fmla="+- 0 4098 4098"/>
                              <a:gd name="T11" fmla="*/ 4098 h 96"/>
                              <a:gd name="T12" fmla="+- 0 5144 5097"/>
                              <a:gd name="T13" fmla="*/ T12 w 66"/>
                              <a:gd name="T14" fmla="+- 0 4098 4098"/>
                              <a:gd name="T15" fmla="*/ 4098 h 96"/>
                              <a:gd name="T16" fmla="+- 0 5156 5097"/>
                              <a:gd name="T17" fmla="*/ T16 w 66"/>
                              <a:gd name="T18" fmla="+- 0 4105 4098"/>
                              <a:gd name="T19" fmla="*/ 4105 h 96"/>
                              <a:gd name="T20" fmla="+- 0 5162 5097"/>
                              <a:gd name="T21" fmla="*/ T20 w 66"/>
                              <a:gd name="T22" fmla="+- 0 4125 4098"/>
                              <a:gd name="T23" fmla="*/ 4125 h 96"/>
                              <a:gd name="T24" fmla="+- 0 5162 5097"/>
                              <a:gd name="T25" fmla="*/ T24 w 66"/>
                              <a:gd name="T26" fmla="+- 0 4194 4098"/>
                              <a:gd name="T27" fmla="*/ 4194 h 96"/>
                              <a:gd name="T28" fmla="+- 0 5162 5097"/>
                              <a:gd name="T29" fmla="*/ T28 w 66"/>
                              <a:gd name="T30" fmla="+- 0 4194 4098"/>
                              <a:gd name="T31" fmla="*/ 4194 h 96"/>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6" h="96">
                                <a:moveTo>
                                  <a:pt x="0" y="27"/>
                                </a:moveTo>
                                <a:lnTo>
                                  <a:pt x="18" y="7"/>
                                </a:lnTo>
                                <a:lnTo>
                                  <a:pt x="29" y="0"/>
                                </a:lnTo>
                                <a:lnTo>
                                  <a:pt x="47" y="0"/>
                                </a:lnTo>
                                <a:lnTo>
                                  <a:pt x="59" y="7"/>
                                </a:lnTo>
                                <a:lnTo>
                                  <a:pt x="65" y="27"/>
                                </a:lnTo>
                                <a:lnTo>
                                  <a:pt x="65" y="96"/>
                                </a:lnTo>
                              </a:path>
                            </a:pathLst>
                          </a:custGeom>
                          <a:noFill/>
                          <a:ln w="148">
                            <a:solidFill>
                              <a:srgbClr val="000000"/>
                            </a:solidFill>
                            <a:prstDash val="solid"/>
                            <a:round/>
                          </a:ln>
                        </wps:spPr>
                        <wps:bodyPr rot="0" vert="horz" wrap="square" lIns="91440" tIns="45720" rIns="91440" bIns="45720" anchor="t" anchorCtr="0" upright="1">
                          <a:noAutofit/>
                        </wps:bodyPr>
                      </wps:wsp>
                      <wps:wsp>
                        <wps:cNvPr id="244" name="Freeform 202"/>
                        <wps:cNvSpPr/>
                        <wps:spPr bwMode="auto">
                          <a:xfrm>
                            <a:off x="5161" y="4097"/>
                            <a:ext cx="66" cy="96"/>
                          </a:xfrm>
                          <a:custGeom>
                            <a:avLst/>
                            <a:gdLst>
                              <a:gd name="T0" fmla="+- 0 5162 5162"/>
                              <a:gd name="T1" fmla="*/ T0 w 66"/>
                              <a:gd name="T2" fmla="+- 0 4125 4098"/>
                              <a:gd name="T3" fmla="*/ 4125 h 96"/>
                              <a:gd name="T4" fmla="+- 0 5179 5162"/>
                              <a:gd name="T5" fmla="*/ T4 w 66"/>
                              <a:gd name="T6" fmla="+- 0 4105 4098"/>
                              <a:gd name="T7" fmla="*/ 4105 h 96"/>
                              <a:gd name="T8" fmla="+- 0 5191 5162"/>
                              <a:gd name="T9" fmla="*/ T8 w 66"/>
                              <a:gd name="T10" fmla="+- 0 4098 4098"/>
                              <a:gd name="T11" fmla="*/ 4098 h 96"/>
                              <a:gd name="T12" fmla="+- 0 5209 5162"/>
                              <a:gd name="T13" fmla="*/ T12 w 66"/>
                              <a:gd name="T14" fmla="+- 0 4098 4098"/>
                              <a:gd name="T15" fmla="*/ 4098 h 96"/>
                              <a:gd name="T16" fmla="+- 0 5221 5162"/>
                              <a:gd name="T17" fmla="*/ T16 w 66"/>
                              <a:gd name="T18" fmla="+- 0 4105 4098"/>
                              <a:gd name="T19" fmla="*/ 4105 h 96"/>
                              <a:gd name="T20" fmla="+- 0 5226 5162"/>
                              <a:gd name="T21" fmla="*/ T20 w 66"/>
                              <a:gd name="T22" fmla="+- 0 4125 4098"/>
                              <a:gd name="T23" fmla="*/ 4125 h 96"/>
                              <a:gd name="T24" fmla="+- 0 5226 5162"/>
                              <a:gd name="T25" fmla="*/ T24 w 66"/>
                              <a:gd name="T26" fmla="+- 0 4194 4098"/>
                              <a:gd name="T27" fmla="*/ 4194 h 96"/>
                              <a:gd name="T28" fmla="+- 0 5227 5162"/>
                              <a:gd name="T29" fmla="*/ T28 w 66"/>
                              <a:gd name="T30" fmla="+- 0 4194 4098"/>
                              <a:gd name="T31" fmla="*/ 4194 h 96"/>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6" h="96">
                                <a:moveTo>
                                  <a:pt x="0" y="27"/>
                                </a:moveTo>
                                <a:lnTo>
                                  <a:pt x="17" y="7"/>
                                </a:lnTo>
                                <a:lnTo>
                                  <a:pt x="29" y="0"/>
                                </a:lnTo>
                                <a:lnTo>
                                  <a:pt x="47" y="0"/>
                                </a:lnTo>
                                <a:lnTo>
                                  <a:pt x="59" y="7"/>
                                </a:lnTo>
                                <a:lnTo>
                                  <a:pt x="64" y="27"/>
                                </a:lnTo>
                                <a:lnTo>
                                  <a:pt x="64" y="96"/>
                                </a:lnTo>
                                <a:lnTo>
                                  <a:pt x="65" y="96"/>
                                </a:lnTo>
                              </a:path>
                            </a:pathLst>
                          </a:custGeom>
                          <a:noFill/>
                          <a:ln w="148">
                            <a:solidFill>
                              <a:srgbClr val="000000"/>
                            </a:solidFill>
                            <a:prstDash val="solid"/>
                            <a:round/>
                          </a:ln>
                        </wps:spPr>
                        <wps:bodyPr rot="0" vert="horz" wrap="square" lIns="91440" tIns="45720" rIns="91440" bIns="45720" anchor="t" anchorCtr="0" upright="1">
                          <a:noAutofit/>
                        </wps:bodyPr>
                      </wps:wsp>
                      <wps:wsp>
                        <wps:cNvPr id="245" name="Freeform 201"/>
                        <wps:cNvSpPr/>
                        <wps:spPr bwMode="auto">
                          <a:xfrm>
                            <a:off x="5267" y="4022"/>
                            <a:ext cx="42" cy="220"/>
                          </a:xfrm>
                          <a:custGeom>
                            <a:avLst/>
                            <a:gdLst>
                              <a:gd name="T0" fmla="+- 0 5268 5268"/>
                              <a:gd name="T1" fmla="*/ T0 w 42"/>
                              <a:gd name="T2" fmla="+- 0 4023 4023"/>
                              <a:gd name="T3" fmla="*/ 4023 h 220"/>
                              <a:gd name="T4" fmla="+- 0 5280 5268"/>
                              <a:gd name="T5" fmla="*/ T4 w 42"/>
                              <a:gd name="T6" fmla="+- 0 4036 4023"/>
                              <a:gd name="T7" fmla="*/ 4036 h 220"/>
                              <a:gd name="T8" fmla="+- 0 5292 5268"/>
                              <a:gd name="T9" fmla="*/ T8 w 42"/>
                              <a:gd name="T10" fmla="+- 0 4057 4023"/>
                              <a:gd name="T11" fmla="*/ 4057 h 220"/>
                              <a:gd name="T12" fmla="+- 0 5303 5268"/>
                              <a:gd name="T13" fmla="*/ T12 w 42"/>
                              <a:gd name="T14" fmla="+- 0 4084 4023"/>
                              <a:gd name="T15" fmla="*/ 4084 h 220"/>
                              <a:gd name="T16" fmla="+- 0 5309 5268"/>
                              <a:gd name="T17" fmla="*/ T16 w 42"/>
                              <a:gd name="T18" fmla="+- 0 4118 4023"/>
                              <a:gd name="T19" fmla="*/ 4118 h 220"/>
                              <a:gd name="T20" fmla="+- 0 5309 5268"/>
                              <a:gd name="T21" fmla="*/ T20 w 42"/>
                              <a:gd name="T22" fmla="+- 0 4146 4023"/>
                              <a:gd name="T23" fmla="*/ 4146 h 220"/>
                              <a:gd name="T24" fmla="+- 0 5303 5268"/>
                              <a:gd name="T25" fmla="*/ T24 w 42"/>
                              <a:gd name="T26" fmla="+- 0 4180 4023"/>
                              <a:gd name="T27" fmla="*/ 4180 h 220"/>
                              <a:gd name="T28" fmla="+- 0 5292 5268"/>
                              <a:gd name="T29" fmla="*/ T28 w 42"/>
                              <a:gd name="T30" fmla="+- 0 4208 4023"/>
                              <a:gd name="T31" fmla="*/ 4208 h 220"/>
                              <a:gd name="T32" fmla="+- 0 5280 5268"/>
                              <a:gd name="T33" fmla="*/ T32 w 42"/>
                              <a:gd name="T34" fmla="+- 0 4228 4023"/>
                              <a:gd name="T35" fmla="*/ 4228 h 220"/>
                              <a:gd name="T36" fmla="+- 0 5268 5268"/>
                              <a:gd name="T37" fmla="*/ T36 w 42"/>
                              <a:gd name="T38" fmla="+- 0 4242 4023"/>
                              <a:gd name="T39" fmla="*/ 4242 h 220"/>
                              <a:gd name="T40" fmla="+- 0 5268 5268"/>
                              <a:gd name="T41" fmla="*/ T40 w 42"/>
                              <a:gd name="T42" fmla="+- 0 4242 4023"/>
                              <a:gd name="T43" fmla="*/ 4242 h 2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42" h="220">
                                <a:moveTo>
                                  <a:pt x="0" y="0"/>
                                </a:moveTo>
                                <a:lnTo>
                                  <a:pt x="12" y="13"/>
                                </a:lnTo>
                                <a:lnTo>
                                  <a:pt x="24" y="34"/>
                                </a:lnTo>
                                <a:lnTo>
                                  <a:pt x="35" y="61"/>
                                </a:lnTo>
                                <a:lnTo>
                                  <a:pt x="41" y="95"/>
                                </a:lnTo>
                                <a:lnTo>
                                  <a:pt x="41" y="123"/>
                                </a:lnTo>
                                <a:lnTo>
                                  <a:pt x="35" y="157"/>
                                </a:lnTo>
                                <a:lnTo>
                                  <a:pt x="24" y="185"/>
                                </a:lnTo>
                                <a:lnTo>
                                  <a:pt x="12" y="205"/>
                                </a:lnTo>
                                <a:lnTo>
                                  <a:pt x="0" y="219"/>
                                </a:lnTo>
                              </a:path>
                            </a:pathLst>
                          </a:custGeom>
                          <a:noFill/>
                          <a:ln w="142">
                            <a:solidFill>
                              <a:srgbClr val="000000"/>
                            </a:solidFill>
                            <a:prstDash val="solid"/>
                            <a:round/>
                          </a:ln>
                        </wps:spPr>
                        <wps:bodyPr rot="0" vert="horz" wrap="square" lIns="91440" tIns="45720" rIns="91440" bIns="45720" anchor="t" anchorCtr="0" upright="1">
                          <a:noAutofit/>
                        </wps:bodyPr>
                      </wps:wsp>
                      <wps:wsp>
                        <wps:cNvPr id="246" name="Freeform 200"/>
                        <wps:cNvSpPr/>
                        <wps:spPr bwMode="auto">
                          <a:xfrm>
                            <a:off x="5751" y="4356"/>
                            <a:ext cx="75" cy="96"/>
                          </a:xfrm>
                          <a:custGeom>
                            <a:avLst/>
                            <a:gdLst>
                              <a:gd name="T0" fmla="+- 0 5825 5751"/>
                              <a:gd name="T1" fmla="*/ T0 w 75"/>
                              <a:gd name="T2" fmla="+- 0 4357 4357"/>
                              <a:gd name="T3" fmla="*/ 4357 h 96"/>
                              <a:gd name="T4" fmla="+- 0 5751 5751"/>
                              <a:gd name="T5" fmla="*/ T4 w 75"/>
                              <a:gd name="T6" fmla="+- 0 4443 4357"/>
                              <a:gd name="T7" fmla="*/ 4443 h 96"/>
                              <a:gd name="T8" fmla="+- 0 5759 5751"/>
                              <a:gd name="T9" fmla="*/ T8 w 75"/>
                              <a:gd name="T10" fmla="+- 0 4452 4357"/>
                              <a:gd name="T11" fmla="*/ 4452 h 96"/>
                              <a:gd name="T12" fmla="+- 0 5825 5751"/>
                              <a:gd name="T13" fmla="*/ T12 w 75"/>
                              <a:gd name="T14" fmla="+- 0 4357 4357"/>
                              <a:gd name="T15" fmla="*/ 4357 h 96"/>
                            </a:gdLst>
                            <a:ahLst/>
                            <a:cxnLst>
                              <a:cxn ang="0">
                                <a:pos x="T1" y="T3"/>
                              </a:cxn>
                              <a:cxn ang="0">
                                <a:pos x="T5" y="T7"/>
                              </a:cxn>
                              <a:cxn ang="0">
                                <a:pos x="T9" y="T11"/>
                              </a:cxn>
                              <a:cxn ang="0">
                                <a:pos x="T13" y="T15"/>
                              </a:cxn>
                            </a:cxnLst>
                            <a:rect l="0" t="0" r="r" b="b"/>
                            <a:pathLst>
                              <a:path w="75" h="96">
                                <a:moveTo>
                                  <a:pt x="74" y="0"/>
                                </a:moveTo>
                                <a:lnTo>
                                  <a:pt x="0" y="86"/>
                                </a:lnTo>
                                <a:lnTo>
                                  <a:pt x="8" y="95"/>
                                </a:lnTo>
                                <a:lnTo>
                                  <a:pt x="74" y="0"/>
                                </a:lnTo>
                                <a:close/>
                              </a:path>
                            </a:pathLst>
                          </a:custGeom>
                          <a:solidFill>
                            <a:srgbClr val="000000"/>
                          </a:solidFill>
                          <a:ln>
                            <a:noFill/>
                          </a:ln>
                        </wps:spPr>
                        <wps:bodyPr rot="0" vert="horz" wrap="square" lIns="91440" tIns="45720" rIns="91440" bIns="45720" anchor="t" anchorCtr="0" upright="1">
                          <a:noAutofit/>
                        </wps:bodyPr>
                      </wps:wsp>
                      <wps:wsp>
                        <wps:cNvPr id="247" name="Freeform 199"/>
                        <wps:cNvSpPr/>
                        <wps:spPr bwMode="auto">
                          <a:xfrm>
                            <a:off x="5758" y="4356"/>
                            <a:ext cx="75" cy="96"/>
                          </a:xfrm>
                          <a:custGeom>
                            <a:avLst/>
                            <a:gdLst>
                              <a:gd name="T0" fmla="+- 0 5825 5759"/>
                              <a:gd name="T1" fmla="*/ T0 w 75"/>
                              <a:gd name="T2" fmla="+- 0 4357 4357"/>
                              <a:gd name="T3" fmla="*/ 4357 h 96"/>
                              <a:gd name="T4" fmla="+- 0 5759 5759"/>
                              <a:gd name="T5" fmla="*/ T4 w 75"/>
                              <a:gd name="T6" fmla="+- 0 4452 4357"/>
                              <a:gd name="T7" fmla="*/ 4452 h 96"/>
                              <a:gd name="T8" fmla="+- 0 5833 5759"/>
                              <a:gd name="T9" fmla="*/ T8 w 75"/>
                              <a:gd name="T10" fmla="+- 0 4366 4357"/>
                              <a:gd name="T11" fmla="*/ 4366 h 96"/>
                              <a:gd name="T12" fmla="+- 0 5825 5759"/>
                              <a:gd name="T13" fmla="*/ T12 w 75"/>
                              <a:gd name="T14" fmla="+- 0 4357 4357"/>
                              <a:gd name="T15" fmla="*/ 4357 h 96"/>
                            </a:gdLst>
                            <a:ahLst/>
                            <a:cxnLst>
                              <a:cxn ang="0">
                                <a:pos x="T1" y="T3"/>
                              </a:cxn>
                              <a:cxn ang="0">
                                <a:pos x="T5" y="T7"/>
                              </a:cxn>
                              <a:cxn ang="0">
                                <a:pos x="T9" y="T11"/>
                              </a:cxn>
                              <a:cxn ang="0">
                                <a:pos x="T13" y="T15"/>
                              </a:cxn>
                            </a:cxnLst>
                            <a:rect l="0" t="0" r="r" b="b"/>
                            <a:pathLst>
                              <a:path w="75" h="96">
                                <a:moveTo>
                                  <a:pt x="66" y="0"/>
                                </a:moveTo>
                                <a:lnTo>
                                  <a:pt x="0" y="95"/>
                                </a:lnTo>
                                <a:lnTo>
                                  <a:pt x="74" y="9"/>
                                </a:lnTo>
                                <a:lnTo>
                                  <a:pt x="66" y="0"/>
                                </a:lnTo>
                                <a:close/>
                              </a:path>
                            </a:pathLst>
                          </a:custGeom>
                          <a:solidFill>
                            <a:srgbClr val="000000"/>
                          </a:solidFill>
                          <a:ln>
                            <a:noFill/>
                          </a:ln>
                        </wps:spPr>
                        <wps:bodyPr rot="0" vert="horz" wrap="square" lIns="91440" tIns="45720" rIns="91440" bIns="45720" anchor="t" anchorCtr="0" upright="1">
                          <a:noAutofit/>
                        </wps:bodyPr>
                      </wps:wsp>
                      <wps:wsp>
                        <wps:cNvPr id="248" name="Freeform 198"/>
                        <wps:cNvSpPr/>
                        <wps:spPr bwMode="auto">
                          <a:xfrm>
                            <a:off x="5751" y="4356"/>
                            <a:ext cx="83" cy="96"/>
                          </a:xfrm>
                          <a:custGeom>
                            <a:avLst/>
                            <a:gdLst>
                              <a:gd name="T0" fmla="+- 0 5751 5751"/>
                              <a:gd name="T1" fmla="*/ T0 w 83"/>
                              <a:gd name="T2" fmla="+- 0 4443 4357"/>
                              <a:gd name="T3" fmla="*/ 4443 h 96"/>
                              <a:gd name="T4" fmla="+- 0 5759 5751"/>
                              <a:gd name="T5" fmla="*/ T4 w 83"/>
                              <a:gd name="T6" fmla="+- 0 4452 4357"/>
                              <a:gd name="T7" fmla="*/ 4452 h 96"/>
                              <a:gd name="T8" fmla="+- 0 5833 5751"/>
                              <a:gd name="T9" fmla="*/ T8 w 83"/>
                              <a:gd name="T10" fmla="+- 0 4366 4357"/>
                              <a:gd name="T11" fmla="*/ 4366 h 96"/>
                              <a:gd name="T12" fmla="+- 0 5826 5751"/>
                              <a:gd name="T13" fmla="*/ T12 w 83"/>
                              <a:gd name="T14" fmla="+- 0 4357 4357"/>
                              <a:gd name="T15" fmla="*/ 4357 h 96"/>
                              <a:gd name="T16" fmla="+- 0 5751 5751"/>
                              <a:gd name="T17" fmla="*/ T16 w 83"/>
                              <a:gd name="T18" fmla="+- 0 4443 4357"/>
                              <a:gd name="T19" fmla="*/ 4443 h 96"/>
                            </a:gdLst>
                            <a:ahLst/>
                            <a:cxnLst>
                              <a:cxn ang="0">
                                <a:pos x="T1" y="T3"/>
                              </a:cxn>
                              <a:cxn ang="0">
                                <a:pos x="T5" y="T7"/>
                              </a:cxn>
                              <a:cxn ang="0">
                                <a:pos x="T9" y="T11"/>
                              </a:cxn>
                              <a:cxn ang="0">
                                <a:pos x="T13" y="T15"/>
                              </a:cxn>
                              <a:cxn ang="0">
                                <a:pos x="T17" y="T19"/>
                              </a:cxn>
                            </a:cxnLst>
                            <a:rect l="0" t="0" r="r" b="b"/>
                            <a:pathLst>
                              <a:path w="83" h="96">
                                <a:moveTo>
                                  <a:pt x="0" y="86"/>
                                </a:moveTo>
                                <a:lnTo>
                                  <a:pt x="8" y="95"/>
                                </a:lnTo>
                                <a:lnTo>
                                  <a:pt x="82" y="9"/>
                                </a:lnTo>
                                <a:lnTo>
                                  <a:pt x="75" y="0"/>
                                </a:lnTo>
                                <a:lnTo>
                                  <a:pt x="0" y="86"/>
                                </a:lnTo>
                              </a:path>
                            </a:pathLst>
                          </a:custGeom>
                          <a:noFill/>
                          <a:ln w="151">
                            <a:solidFill>
                              <a:srgbClr val="000000"/>
                            </a:solidFill>
                            <a:prstDash val="solid"/>
                            <a:round/>
                          </a:ln>
                        </wps:spPr>
                        <wps:bodyPr rot="0" vert="horz" wrap="square" lIns="91440" tIns="45720" rIns="91440" bIns="45720" anchor="t" anchorCtr="0" upright="1">
                          <a:noAutofit/>
                        </wps:bodyPr>
                      </wps:wsp>
                      <wps:wsp>
                        <wps:cNvPr id="249" name="Freeform 197"/>
                        <wps:cNvSpPr/>
                        <wps:spPr bwMode="auto">
                          <a:xfrm>
                            <a:off x="3902" y="4356"/>
                            <a:ext cx="75" cy="96"/>
                          </a:xfrm>
                          <a:custGeom>
                            <a:avLst/>
                            <a:gdLst>
                              <a:gd name="T0" fmla="+- 0 3969 3902"/>
                              <a:gd name="T1" fmla="*/ T0 w 75"/>
                              <a:gd name="T2" fmla="+- 0 4357 4357"/>
                              <a:gd name="T3" fmla="*/ 4357 h 96"/>
                              <a:gd name="T4" fmla="+- 0 3902 3902"/>
                              <a:gd name="T5" fmla="*/ T4 w 75"/>
                              <a:gd name="T6" fmla="+- 0 4452 4357"/>
                              <a:gd name="T7" fmla="*/ 4452 h 96"/>
                              <a:gd name="T8" fmla="+- 0 3976 3902"/>
                              <a:gd name="T9" fmla="*/ T8 w 75"/>
                              <a:gd name="T10" fmla="+- 0 4366 4357"/>
                              <a:gd name="T11" fmla="*/ 4366 h 96"/>
                              <a:gd name="T12" fmla="+- 0 3969 3902"/>
                              <a:gd name="T13" fmla="*/ T12 w 75"/>
                              <a:gd name="T14" fmla="+- 0 4357 4357"/>
                              <a:gd name="T15" fmla="*/ 4357 h 96"/>
                            </a:gdLst>
                            <a:ahLst/>
                            <a:cxnLst>
                              <a:cxn ang="0">
                                <a:pos x="T1" y="T3"/>
                              </a:cxn>
                              <a:cxn ang="0">
                                <a:pos x="T5" y="T7"/>
                              </a:cxn>
                              <a:cxn ang="0">
                                <a:pos x="T9" y="T11"/>
                              </a:cxn>
                              <a:cxn ang="0">
                                <a:pos x="T13" y="T15"/>
                              </a:cxn>
                            </a:cxnLst>
                            <a:rect l="0" t="0" r="r" b="b"/>
                            <a:pathLst>
                              <a:path w="75" h="96">
                                <a:moveTo>
                                  <a:pt x="67" y="0"/>
                                </a:moveTo>
                                <a:lnTo>
                                  <a:pt x="0" y="95"/>
                                </a:lnTo>
                                <a:lnTo>
                                  <a:pt x="74" y="9"/>
                                </a:lnTo>
                                <a:lnTo>
                                  <a:pt x="67" y="0"/>
                                </a:lnTo>
                                <a:close/>
                              </a:path>
                            </a:pathLst>
                          </a:custGeom>
                          <a:solidFill>
                            <a:srgbClr val="000000"/>
                          </a:solidFill>
                          <a:ln>
                            <a:noFill/>
                          </a:ln>
                        </wps:spPr>
                        <wps:bodyPr rot="0" vert="horz" wrap="square" lIns="91440" tIns="45720" rIns="91440" bIns="45720" anchor="t" anchorCtr="0" upright="1">
                          <a:noAutofit/>
                        </wps:bodyPr>
                      </wps:wsp>
                      <wps:wsp>
                        <wps:cNvPr id="250" name="Freeform 196"/>
                        <wps:cNvSpPr/>
                        <wps:spPr bwMode="auto">
                          <a:xfrm>
                            <a:off x="3894" y="4356"/>
                            <a:ext cx="75" cy="96"/>
                          </a:xfrm>
                          <a:custGeom>
                            <a:avLst/>
                            <a:gdLst>
                              <a:gd name="T0" fmla="+- 0 3969 3894"/>
                              <a:gd name="T1" fmla="*/ T0 w 75"/>
                              <a:gd name="T2" fmla="+- 0 4357 4357"/>
                              <a:gd name="T3" fmla="*/ 4357 h 96"/>
                              <a:gd name="T4" fmla="+- 0 3894 3894"/>
                              <a:gd name="T5" fmla="*/ T4 w 75"/>
                              <a:gd name="T6" fmla="+- 0 4443 4357"/>
                              <a:gd name="T7" fmla="*/ 4443 h 96"/>
                              <a:gd name="T8" fmla="+- 0 3902 3894"/>
                              <a:gd name="T9" fmla="*/ T8 w 75"/>
                              <a:gd name="T10" fmla="+- 0 4452 4357"/>
                              <a:gd name="T11" fmla="*/ 4452 h 96"/>
                              <a:gd name="T12" fmla="+- 0 3969 3894"/>
                              <a:gd name="T13" fmla="*/ T12 w 75"/>
                              <a:gd name="T14" fmla="+- 0 4357 4357"/>
                              <a:gd name="T15" fmla="*/ 4357 h 96"/>
                            </a:gdLst>
                            <a:ahLst/>
                            <a:cxnLst>
                              <a:cxn ang="0">
                                <a:pos x="T1" y="T3"/>
                              </a:cxn>
                              <a:cxn ang="0">
                                <a:pos x="T5" y="T7"/>
                              </a:cxn>
                              <a:cxn ang="0">
                                <a:pos x="T9" y="T11"/>
                              </a:cxn>
                              <a:cxn ang="0">
                                <a:pos x="T13" y="T15"/>
                              </a:cxn>
                            </a:cxnLst>
                            <a:rect l="0" t="0" r="r" b="b"/>
                            <a:pathLst>
                              <a:path w="75" h="96">
                                <a:moveTo>
                                  <a:pt x="75" y="0"/>
                                </a:moveTo>
                                <a:lnTo>
                                  <a:pt x="0" y="86"/>
                                </a:lnTo>
                                <a:lnTo>
                                  <a:pt x="8" y="95"/>
                                </a:lnTo>
                                <a:lnTo>
                                  <a:pt x="75" y="0"/>
                                </a:lnTo>
                                <a:close/>
                              </a:path>
                            </a:pathLst>
                          </a:custGeom>
                          <a:solidFill>
                            <a:srgbClr val="000000"/>
                          </a:solidFill>
                          <a:ln>
                            <a:noFill/>
                          </a:ln>
                        </wps:spPr>
                        <wps:bodyPr rot="0" vert="horz" wrap="square" lIns="91440" tIns="45720" rIns="91440" bIns="45720" anchor="t" anchorCtr="0" upright="1">
                          <a:noAutofit/>
                        </wps:bodyPr>
                      </wps:wsp>
                      <wps:wsp>
                        <wps:cNvPr id="251" name="Freeform 195"/>
                        <wps:cNvSpPr/>
                        <wps:spPr bwMode="auto">
                          <a:xfrm>
                            <a:off x="3894" y="4356"/>
                            <a:ext cx="83" cy="96"/>
                          </a:xfrm>
                          <a:custGeom>
                            <a:avLst/>
                            <a:gdLst>
                              <a:gd name="T0" fmla="+- 0 3976 3894"/>
                              <a:gd name="T1" fmla="*/ T0 w 83"/>
                              <a:gd name="T2" fmla="+- 0 4366 4357"/>
                              <a:gd name="T3" fmla="*/ 4366 h 96"/>
                              <a:gd name="T4" fmla="+- 0 3969 3894"/>
                              <a:gd name="T5" fmla="*/ T4 w 83"/>
                              <a:gd name="T6" fmla="+- 0 4357 4357"/>
                              <a:gd name="T7" fmla="*/ 4357 h 96"/>
                              <a:gd name="T8" fmla="+- 0 3894 3894"/>
                              <a:gd name="T9" fmla="*/ T8 w 83"/>
                              <a:gd name="T10" fmla="+- 0 4443 4357"/>
                              <a:gd name="T11" fmla="*/ 4443 h 96"/>
                              <a:gd name="T12" fmla="+- 0 3902 3894"/>
                              <a:gd name="T13" fmla="*/ T12 w 83"/>
                              <a:gd name="T14" fmla="+- 0 4452 4357"/>
                              <a:gd name="T15" fmla="*/ 4452 h 96"/>
                              <a:gd name="T16" fmla="+- 0 3976 3894"/>
                              <a:gd name="T17" fmla="*/ T16 w 83"/>
                              <a:gd name="T18" fmla="+- 0 4366 4357"/>
                              <a:gd name="T19" fmla="*/ 4366 h 96"/>
                            </a:gdLst>
                            <a:ahLst/>
                            <a:cxnLst>
                              <a:cxn ang="0">
                                <a:pos x="T1" y="T3"/>
                              </a:cxn>
                              <a:cxn ang="0">
                                <a:pos x="T5" y="T7"/>
                              </a:cxn>
                              <a:cxn ang="0">
                                <a:pos x="T9" y="T11"/>
                              </a:cxn>
                              <a:cxn ang="0">
                                <a:pos x="T13" y="T15"/>
                              </a:cxn>
                              <a:cxn ang="0">
                                <a:pos x="T17" y="T19"/>
                              </a:cxn>
                            </a:cxnLst>
                            <a:rect l="0" t="0" r="r" b="b"/>
                            <a:pathLst>
                              <a:path w="83" h="96">
                                <a:moveTo>
                                  <a:pt x="82" y="9"/>
                                </a:moveTo>
                                <a:lnTo>
                                  <a:pt x="75" y="0"/>
                                </a:lnTo>
                                <a:lnTo>
                                  <a:pt x="0" y="86"/>
                                </a:lnTo>
                                <a:lnTo>
                                  <a:pt x="8" y="95"/>
                                </a:lnTo>
                                <a:lnTo>
                                  <a:pt x="82" y="9"/>
                                </a:lnTo>
                              </a:path>
                            </a:pathLst>
                          </a:custGeom>
                          <a:noFill/>
                          <a:ln w="151">
                            <a:solidFill>
                              <a:srgbClr val="000000"/>
                            </a:solidFill>
                            <a:prstDash val="solid"/>
                            <a:round/>
                          </a:ln>
                        </wps:spPr>
                        <wps:bodyPr rot="0" vert="horz" wrap="square" lIns="91440" tIns="45720" rIns="91440" bIns="45720" anchor="t" anchorCtr="0" upright="1">
                          <a:noAutofit/>
                        </wps:bodyPr>
                      </wps:wsp>
                      <wps:wsp>
                        <wps:cNvPr id="252" name="Line 194"/>
                        <wps:cNvCnPr>
                          <a:cxnSpLocks noChangeShapeType="1"/>
                        </wps:cNvCnPr>
                        <wps:spPr bwMode="auto">
                          <a:xfrm>
                            <a:off x="3935" y="4405"/>
                            <a:ext cx="0" cy="0"/>
                          </a:xfrm>
                          <a:prstGeom prst="line">
                            <a:avLst/>
                          </a:prstGeom>
                          <a:noFill/>
                          <a:ln w="163">
                            <a:solidFill>
                              <a:srgbClr val="000000"/>
                            </a:solidFill>
                            <a:round/>
                          </a:ln>
                        </wps:spPr>
                        <wps:bodyPr/>
                      </wps:wsp>
                      <wps:wsp>
                        <wps:cNvPr id="253" name="Line 193"/>
                        <wps:cNvCnPr>
                          <a:cxnSpLocks noChangeShapeType="1"/>
                        </wps:cNvCnPr>
                        <wps:spPr bwMode="auto">
                          <a:xfrm>
                            <a:off x="3935" y="3658"/>
                            <a:ext cx="0" cy="0"/>
                          </a:xfrm>
                          <a:prstGeom prst="line">
                            <a:avLst/>
                          </a:prstGeom>
                          <a:noFill/>
                          <a:ln w="163">
                            <a:solidFill>
                              <a:srgbClr val="000000"/>
                            </a:solidFill>
                            <a:round/>
                          </a:ln>
                        </wps:spPr>
                        <wps:bodyPr/>
                      </wps:wsp>
                      <wps:wsp>
                        <wps:cNvPr id="254" name="Line 192"/>
                        <wps:cNvCnPr>
                          <a:cxnSpLocks noChangeShapeType="1"/>
                        </wps:cNvCnPr>
                        <wps:spPr bwMode="auto">
                          <a:xfrm>
                            <a:off x="5394" y="1607"/>
                            <a:ext cx="398" cy="0"/>
                          </a:xfrm>
                          <a:prstGeom prst="line">
                            <a:avLst/>
                          </a:prstGeom>
                          <a:noFill/>
                          <a:ln w="2992">
                            <a:solidFill>
                              <a:srgbClr val="000000"/>
                            </a:solidFill>
                            <a:round/>
                          </a:ln>
                        </wps:spPr>
                        <wps:bodyPr/>
                      </wps:wsp>
                      <wps:wsp>
                        <wps:cNvPr id="255" name="Line 191"/>
                        <wps:cNvCnPr>
                          <a:cxnSpLocks noChangeShapeType="1"/>
                        </wps:cNvCnPr>
                        <wps:spPr bwMode="auto">
                          <a:xfrm>
                            <a:off x="5394" y="1607"/>
                            <a:ext cx="398" cy="0"/>
                          </a:xfrm>
                          <a:prstGeom prst="line">
                            <a:avLst/>
                          </a:prstGeom>
                          <a:noFill/>
                          <a:ln w="2992">
                            <a:solidFill>
                              <a:srgbClr val="000000"/>
                            </a:solidFill>
                            <a:round/>
                          </a:ln>
                        </wps:spPr>
                        <wps:bodyPr/>
                      </wps:wsp>
                      <wps:wsp>
                        <wps:cNvPr id="256" name="Line 190"/>
                        <wps:cNvCnPr>
                          <a:cxnSpLocks noChangeShapeType="1"/>
                        </wps:cNvCnPr>
                        <wps:spPr bwMode="auto">
                          <a:xfrm>
                            <a:off x="5394" y="1607"/>
                            <a:ext cx="399" cy="0"/>
                          </a:xfrm>
                          <a:prstGeom prst="line">
                            <a:avLst/>
                          </a:prstGeom>
                          <a:noFill/>
                          <a:ln w="3156">
                            <a:solidFill>
                              <a:srgbClr val="000000"/>
                            </a:solidFill>
                            <a:round/>
                          </a:ln>
                        </wps:spPr>
                        <wps:bodyPr/>
                      </wps:wsp>
                      <wps:wsp>
                        <wps:cNvPr id="257" name="Rectangle 189"/>
                        <wps:cNvSpPr>
                          <a:spLocks noChangeArrowheads="1"/>
                        </wps:cNvSpPr>
                        <wps:spPr bwMode="auto">
                          <a:xfrm>
                            <a:off x="4553" y="1214"/>
                            <a:ext cx="2469" cy="25"/>
                          </a:xfrm>
                          <a:prstGeom prst="rect">
                            <a:avLst/>
                          </a:prstGeom>
                          <a:solidFill>
                            <a:srgbClr val="000000"/>
                          </a:solidFill>
                          <a:ln>
                            <a:noFill/>
                          </a:ln>
                        </wps:spPr>
                        <wps:bodyPr rot="0" vert="horz" wrap="square" lIns="91440" tIns="45720" rIns="91440" bIns="45720" anchor="t" anchorCtr="0" upright="1">
                          <a:noAutofit/>
                        </wps:bodyPr>
                      </wps:wsp>
                      <wps:wsp>
                        <wps:cNvPr id="258" name="Rectangle 188"/>
                        <wps:cNvSpPr>
                          <a:spLocks noChangeArrowheads="1"/>
                        </wps:cNvSpPr>
                        <wps:spPr bwMode="auto">
                          <a:xfrm>
                            <a:off x="4553" y="1214"/>
                            <a:ext cx="2469" cy="25"/>
                          </a:xfrm>
                          <a:prstGeom prst="rect">
                            <a:avLst/>
                          </a:prstGeom>
                          <a:solidFill>
                            <a:srgbClr val="000000"/>
                          </a:solidFill>
                          <a:ln>
                            <a:noFill/>
                          </a:ln>
                        </wps:spPr>
                        <wps:bodyPr rot="0" vert="horz" wrap="square" lIns="91440" tIns="45720" rIns="91440" bIns="45720" anchor="t" anchorCtr="0" upright="1">
                          <a:noAutofit/>
                        </wps:bodyPr>
                      </wps:wsp>
                      <wps:wsp>
                        <wps:cNvPr id="259" name="Rectangle 187"/>
                        <wps:cNvSpPr>
                          <a:spLocks noChangeArrowheads="1"/>
                        </wps:cNvSpPr>
                        <wps:spPr bwMode="auto">
                          <a:xfrm>
                            <a:off x="4553" y="1214"/>
                            <a:ext cx="2469" cy="25"/>
                          </a:xfrm>
                          <a:prstGeom prst="rect">
                            <a:avLst/>
                          </a:prstGeom>
                          <a:noFill/>
                          <a:ln w="164">
                            <a:solidFill>
                              <a:srgbClr val="000000"/>
                            </a:solidFill>
                            <a:miter lim="800000"/>
                          </a:ln>
                        </wps:spPr>
                        <wps:bodyPr rot="0" vert="horz" wrap="square" lIns="91440" tIns="45720" rIns="91440" bIns="45720" anchor="t" anchorCtr="0" upright="1">
                          <a:noAutofit/>
                        </wps:bodyPr>
                      </wps:wsp>
                      <wps:wsp>
                        <wps:cNvPr id="260" name="Freeform 186"/>
                        <wps:cNvSpPr/>
                        <wps:spPr bwMode="auto">
                          <a:xfrm>
                            <a:off x="4553" y="417"/>
                            <a:ext cx="2" cy="780"/>
                          </a:xfrm>
                          <a:custGeom>
                            <a:avLst/>
                            <a:gdLst>
                              <a:gd name="T0" fmla="+- 0 4554 4554"/>
                              <a:gd name="T1" fmla="*/ T0 w 1"/>
                              <a:gd name="T2" fmla="+- 0 1197 418"/>
                              <a:gd name="T3" fmla="*/ 1197 h 780"/>
                              <a:gd name="T4" fmla="+- 0 4554 4554"/>
                              <a:gd name="T5" fmla="*/ T4 w 1"/>
                              <a:gd name="T6" fmla="+- 0 418 418"/>
                              <a:gd name="T7" fmla="*/ 418 h 780"/>
                              <a:gd name="T8" fmla="+- 0 4554 4554"/>
                              <a:gd name="T9" fmla="*/ T8 w 1"/>
                              <a:gd name="T10" fmla="+- 0 418 418"/>
                              <a:gd name="T11" fmla="*/ 418 h 780"/>
                            </a:gdLst>
                            <a:ahLst/>
                            <a:cxnLst>
                              <a:cxn ang="0">
                                <a:pos x="T1" y="T3"/>
                              </a:cxn>
                              <a:cxn ang="0">
                                <a:pos x="T5" y="T7"/>
                              </a:cxn>
                              <a:cxn ang="0">
                                <a:pos x="T9" y="T11"/>
                              </a:cxn>
                            </a:cxnLst>
                            <a:rect l="0" t="0" r="r" b="b"/>
                            <a:pathLst>
                              <a:path w="1" h="780">
                                <a:moveTo>
                                  <a:pt x="0" y="779"/>
                                </a:moveTo>
                                <a:lnTo>
                                  <a:pt x="0" y="0"/>
                                </a:lnTo>
                              </a:path>
                            </a:pathLst>
                          </a:custGeom>
                          <a:noFill/>
                          <a:ln w="141">
                            <a:solidFill>
                              <a:srgbClr val="000000"/>
                            </a:solidFill>
                            <a:prstDash val="solid"/>
                            <a:round/>
                          </a:ln>
                        </wps:spPr>
                        <wps:bodyPr rot="0" vert="horz" wrap="square" lIns="91440" tIns="45720" rIns="91440" bIns="45720" anchor="t" anchorCtr="0" upright="1">
                          <a:noAutofit/>
                        </wps:bodyPr>
                      </wps:wsp>
                      <wps:wsp>
                        <wps:cNvPr id="261" name="Freeform 185"/>
                        <wps:cNvSpPr/>
                        <wps:spPr bwMode="auto">
                          <a:xfrm>
                            <a:off x="5792" y="417"/>
                            <a:ext cx="2" cy="750"/>
                          </a:xfrm>
                          <a:custGeom>
                            <a:avLst/>
                            <a:gdLst>
                              <a:gd name="T0" fmla="+- 0 5792 5792"/>
                              <a:gd name="T1" fmla="*/ T0 w 1"/>
                              <a:gd name="T2" fmla="+- 0 1167 418"/>
                              <a:gd name="T3" fmla="*/ 1167 h 750"/>
                              <a:gd name="T4" fmla="+- 0 5792 5792"/>
                              <a:gd name="T5" fmla="*/ T4 w 1"/>
                              <a:gd name="T6" fmla="+- 0 418 418"/>
                              <a:gd name="T7" fmla="*/ 418 h 750"/>
                              <a:gd name="T8" fmla="+- 0 5793 5792"/>
                              <a:gd name="T9" fmla="*/ T8 w 1"/>
                              <a:gd name="T10" fmla="+- 0 418 418"/>
                              <a:gd name="T11" fmla="*/ 418 h 750"/>
                            </a:gdLst>
                            <a:ahLst/>
                            <a:cxnLst>
                              <a:cxn ang="0">
                                <a:pos x="T1" y="T3"/>
                              </a:cxn>
                              <a:cxn ang="0">
                                <a:pos x="T5" y="T7"/>
                              </a:cxn>
                              <a:cxn ang="0">
                                <a:pos x="T9" y="T11"/>
                              </a:cxn>
                            </a:cxnLst>
                            <a:rect l="0" t="0" r="r" b="b"/>
                            <a:pathLst>
                              <a:path w="1" h="750">
                                <a:moveTo>
                                  <a:pt x="0" y="749"/>
                                </a:moveTo>
                                <a:lnTo>
                                  <a:pt x="0" y="0"/>
                                </a:lnTo>
                                <a:lnTo>
                                  <a:pt x="1" y="0"/>
                                </a:lnTo>
                              </a:path>
                            </a:pathLst>
                          </a:custGeom>
                          <a:noFill/>
                          <a:ln w="141">
                            <a:solidFill>
                              <a:srgbClr val="000000"/>
                            </a:solidFill>
                            <a:prstDash val="solid"/>
                            <a:round/>
                          </a:ln>
                        </wps:spPr>
                        <wps:bodyPr rot="0" vert="horz" wrap="square" lIns="91440" tIns="45720" rIns="91440" bIns="45720" anchor="t" anchorCtr="0" upright="1">
                          <a:noAutofit/>
                        </wps:bodyPr>
                      </wps:wsp>
                      <wps:wsp>
                        <wps:cNvPr id="262" name="Freeform 184"/>
                        <wps:cNvSpPr/>
                        <wps:spPr bwMode="auto">
                          <a:xfrm>
                            <a:off x="4553" y="503"/>
                            <a:ext cx="1239" cy="2"/>
                          </a:xfrm>
                          <a:custGeom>
                            <a:avLst/>
                            <a:gdLst>
                              <a:gd name="T0" fmla="+- 0 4554 4554"/>
                              <a:gd name="T1" fmla="*/ T0 w 1239"/>
                              <a:gd name="T2" fmla="+- 0 5792 4554"/>
                              <a:gd name="T3" fmla="*/ T2 w 1239"/>
                              <a:gd name="T4" fmla="+- 0 5793 4554"/>
                              <a:gd name="T5" fmla="*/ T4 w 1239"/>
                            </a:gdLst>
                            <a:ahLst/>
                            <a:cxnLst>
                              <a:cxn ang="0">
                                <a:pos x="T1" y="0"/>
                              </a:cxn>
                              <a:cxn ang="0">
                                <a:pos x="T3" y="0"/>
                              </a:cxn>
                              <a:cxn ang="0">
                                <a:pos x="T5" y="0"/>
                              </a:cxn>
                            </a:cxnLst>
                            <a:rect l="0" t="0" r="r" b="b"/>
                            <a:pathLst>
                              <a:path w="1239">
                                <a:moveTo>
                                  <a:pt x="0" y="0"/>
                                </a:moveTo>
                                <a:lnTo>
                                  <a:pt x="1238" y="0"/>
                                </a:lnTo>
                                <a:lnTo>
                                  <a:pt x="1239" y="0"/>
                                </a:lnTo>
                              </a:path>
                            </a:pathLst>
                          </a:custGeom>
                          <a:noFill/>
                          <a:ln w="164">
                            <a:solidFill>
                              <a:srgbClr val="000000"/>
                            </a:solidFill>
                            <a:prstDash val="solid"/>
                            <a:round/>
                          </a:ln>
                        </wps:spPr>
                        <wps:bodyPr rot="0" vert="horz" wrap="square" lIns="91440" tIns="45720" rIns="91440" bIns="45720" anchor="t" anchorCtr="0" upright="1">
                          <a:noAutofit/>
                        </wps:bodyPr>
                      </wps:wsp>
                      <wps:wsp>
                        <wps:cNvPr id="263" name="Freeform 183"/>
                        <wps:cNvSpPr/>
                        <wps:spPr bwMode="auto">
                          <a:xfrm>
                            <a:off x="4719" y="226"/>
                            <a:ext cx="83" cy="145"/>
                          </a:xfrm>
                          <a:custGeom>
                            <a:avLst/>
                            <a:gdLst>
                              <a:gd name="T0" fmla="+- 0 4731 4719"/>
                              <a:gd name="T1" fmla="*/ T0 w 83"/>
                              <a:gd name="T2" fmla="+- 0 226 226"/>
                              <a:gd name="T3" fmla="*/ 226 h 145"/>
                              <a:gd name="T4" fmla="+- 0 4796 4719"/>
                              <a:gd name="T5" fmla="*/ T4 w 83"/>
                              <a:gd name="T6" fmla="+- 0 226 226"/>
                              <a:gd name="T7" fmla="*/ 226 h 145"/>
                              <a:gd name="T8" fmla="+- 0 4760 4719"/>
                              <a:gd name="T9" fmla="*/ T8 w 83"/>
                              <a:gd name="T10" fmla="+- 0 281 226"/>
                              <a:gd name="T11" fmla="*/ 281 h 145"/>
                              <a:gd name="T12" fmla="+- 0 4778 4719"/>
                              <a:gd name="T13" fmla="*/ T12 w 83"/>
                              <a:gd name="T14" fmla="+- 0 281 226"/>
                              <a:gd name="T15" fmla="*/ 281 h 145"/>
                              <a:gd name="T16" fmla="+- 0 4790 4719"/>
                              <a:gd name="T17" fmla="*/ T16 w 83"/>
                              <a:gd name="T18" fmla="+- 0 288 226"/>
                              <a:gd name="T19" fmla="*/ 288 h 145"/>
                              <a:gd name="T20" fmla="+- 0 4796 4719"/>
                              <a:gd name="T21" fmla="*/ T20 w 83"/>
                              <a:gd name="T22" fmla="+- 0 295 226"/>
                              <a:gd name="T23" fmla="*/ 295 h 145"/>
                              <a:gd name="T24" fmla="+- 0 4802 4719"/>
                              <a:gd name="T25" fmla="*/ T24 w 83"/>
                              <a:gd name="T26" fmla="+- 0 316 226"/>
                              <a:gd name="T27" fmla="*/ 316 h 145"/>
                              <a:gd name="T28" fmla="+- 0 4802 4719"/>
                              <a:gd name="T29" fmla="*/ T28 w 83"/>
                              <a:gd name="T30" fmla="+- 0 329 226"/>
                              <a:gd name="T31" fmla="*/ 329 h 145"/>
                              <a:gd name="T32" fmla="+- 0 4796 4719"/>
                              <a:gd name="T33" fmla="*/ T32 w 83"/>
                              <a:gd name="T34" fmla="+- 0 350 226"/>
                              <a:gd name="T35" fmla="*/ 350 h 145"/>
                              <a:gd name="T36" fmla="+- 0 4784 4719"/>
                              <a:gd name="T37" fmla="*/ T36 w 83"/>
                              <a:gd name="T38" fmla="+- 0 364 226"/>
                              <a:gd name="T39" fmla="*/ 364 h 145"/>
                              <a:gd name="T40" fmla="+- 0 4766 4719"/>
                              <a:gd name="T41" fmla="*/ T40 w 83"/>
                              <a:gd name="T42" fmla="+- 0 371 226"/>
                              <a:gd name="T43" fmla="*/ 371 h 145"/>
                              <a:gd name="T44" fmla="+- 0 4749 4719"/>
                              <a:gd name="T45" fmla="*/ T44 w 83"/>
                              <a:gd name="T46" fmla="+- 0 371 226"/>
                              <a:gd name="T47" fmla="*/ 371 h 145"/>
                              <a:gd name="T48" fmla="+- 0 4731 4719"/>
                              <a:gd name="T49" fmla="*/ T48 w 83"/>
                              <a:gd name="T50" fmla="+- 0 364 226"/>
                              <a:gd name="T51" fmla="*/ 364 h 145"/>
                              <a:gd name="T52" fmla="+- 0 4725 4719"/>
                              <a:gd name="T53" fmla="*/ T52 w 83"/>
                              <a:gd name="T54" fmla="+- 0 357 226"/>
                              <a:gd name="T55" fmla="*/ 357 h 145"/>
                              <a:gd name="T56" fmla="+- 0 4719 4719"/>
                              <a:gd name="T57" fmla="*/ T56 w 83"/>
                              <a:gd name="T58" fmla="+- 0 343 226"/>
                              <a:gd name="T59" fmla="*/ 343 h 145"/>
                              <a:gd name="T60" fmla="+- 0 4719 4719"/>
                              <a:gd name="T61" fmla="*/ T60 w 83"/>
                              <a:gd name="T62" fmla="+- 0 343 226"/>
                              <a:gd name="T63" fmla="*/ 343 h 1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83" h="145">
                                <a:moveTo>
                                  <a:pt x="12" y="0"/>
                                </a:moveTo>
                                <a:lnTo>
                                  <a:pt x="77" y="0"/>
                                </a:lnTo>
                                <a:lnTo>
                                  <a:pt x="41" y="55"/>
                                </a:lnTo>
                                <a:lnTo>
                                  <a:pt x="59" y="55"/>
                                </a:lnTo>
                                <a:lnTo>
                                  <a:pt x="71" y="62"/>
                                </a:lnTo>
                                <a:lnTo>
                                  <a:pt x="77" y="69"/>
                                </a:lnTo>
                                <a:lnTo>
                                  <a:pt x="83" y="90"/>
                                </a:lnTo>
                                <a:lnTo>
                                  <a:pt x="83" y="103"/>
                                </a:lnTo>
                                <a:lnTo>
                                  <a:pt x="77" y="124"/>
                                </a:lnTo>
                                <a:lnTo>
                                  <a:pt x="65" y="138"/>
                                </a:lnTo>
                                <a:lnTo>
                                  <a:pt x="47" y="145"/>
                                </a:lnTo>
                                <a:lnTo>
                                  <a:pt x="30" y="145"/>
                                </a:lnTo>
                                <a:lnTo>
                                  <a:pt x="12" y="138"/>
                                </a:lnTo>
                                <a:lnTo>
                                  <a:pt x="6" y="131"/>
                                </a:lnTo>
                                <a:lnTo>
                                  <a:pt x="0" y="117"/>
                                </a:lnTo>
                              </a:path>
                            </a:pathLst>
                          </a:custGeom>
                          <a:noFill/>
                          <a:ln w="147">
                            <a:solidFill>
                              <a:srgbClr val="000000"/>
                            </a:solidFill>
                            <a:prstDash val="solid"/>
                            <a:round/>
                          </a:ln>
                        </wps:spPr>
                        <wps:bodyPr rot="0" vert="horz" wrap="square" lIns="91440" tIns="45720" rIns="91440" bIns="45720" anchor="t" anchorCtr="0" upright="1">
                          <a:noAutofit/>
                        </wps:bodyPr>
                      </wps:wsp>
                      <wps:wsp>
                        <wps:cNvPr id="264" name="Freeform 182"/>
                        <wps:cNvSpPr/>
                        <wps:spPr bwMode="auto">
                          <a:xfrm>
                            <a:off x="4842" y="274"/>
                            <a:ext cx="2" cy="97"/>
                          </a:xfrm>
                          <a:custGeom>
                            <a:avLst/>
                            <a:gdLst>
                              <a:gd name="T0" fmla="+- 0 4843 4843"/>
                              <a:gd name="T1" fmla="*/ T0 w 1"/>
                              <a:gd name="T2" fmla="+- 0 275 275"/>
                              <a:gd name="T3" fmla="*/ 275 h 97"/>
                              <a:gd name="T4" fmla="+- 0 4843 4843"/>
                              <a:gd name="T5" fmla="*/ T4 w 1"/>
                              <a:gd name="T6" fmla="+- 0 371 275"/>
                              <a:gd name="T7" fmla="*/ 371 h 97"/>
                              <a:gd name="T8" fmla="+- 0 4843 4843"/>
                              <a:gd name="T9" fmla="*/ T8 w 1"/>
                              <a:gd name="T10" fmla="+- 0 371 275"/>
                              <a:gd name="T11" fmla="*/ 371 h 97"/>
                            </a:gdLst>
                            <a:ahLst/>
                            <a:cxnLst>
                              <a:cxn ang="0">
                                <a:pos x="T1" y="T3"/>
                              </a:cxn>
                              <a:cxn ang="0">
                                <a:pos x="T5" y="T7"/>
                              </a:cxn>
                              <a:cxn ang="0">
                                <a:pos x="T9" y="T11"/>
                              </a:cxn>
                            </a:cxnLst>
                            <a:rect l="0" t="0" r="r" b="b"/>
                            <a:pathLst>
                              <a:path w="1" h="97">
                                <a:moveTo>
                                  <a:pt x="0" y="0"/>
                                </a:moveTo>
                                <a:lnTo>
                                  <a:pt x="0" y="96"/>
                                </a:lnTo>
                              </a:path>
                            </a:pathLst>
                          </a:custGeom>
                          <a:noFill/>
                          <a:ln w="141">
                            <a:solidFill>
                              <a:srgbClr val="000000"/>
                            </a:solidFill>
                            <a:prstDash val="solid"/>
                            <a:round/>
                          </a:ln>
                        </wps:spPr>
                        <wps:bodyPr rot="0" vert="horz" wrap="square" lIns="91440" tIns="45720" rIns="91440" bIns="45720" anchor="t" anchorCtr="0" upright="1">
                          <a:noAutofit/>
                        </wps:bodyPr>
                      </wps:wsp>
                      <wps:wsp>
                        <wps:cNvPr id="265" name="Freeform 181"/>
                        <wps:cNvSpPr/>
                        <wps:spPr bwMode="auto">
                          <a:xfrm>
                            <a:off x="4842" y="274"/>
                            <a:ext cx="66" cy="97"/>
                          </a:xfrm>
                          <a:custGeom>
                            <a:avLst/>
                            <a:gdLst>
                              <a:gd name="T0" fmla="+- 0 4843 4843"/>
                              <a:gd name="T1" fmla="*/ T0 w 66"/>
                              <a:gd name="T2" fmla="+- 0 302 275"/>
                              <a:gd name="T3" fmla="*/ 302 h 97"/>
                              <a:gd name="T4" fmla="+- 0 4861 4843"/>
                              <a:gd name="T5" fmla="*/ T4 w 66"/>
                              <a:gd name="T6" fmla="+- 0 281 275"/>
                              <a:gd name="T7" fmla="*/ 281 h 97"/>
                              <a:gd name="T8" fmla="+- 0 4872 4843"/>
                              <a:gd name="T9" fmla="*/ T8 w 66"/>
                              <a:gd name="T10" fmla="+- 0 275 275"/>
                              <a:gd name="T11" fmla="*/ 275 h 97"/>
                              <a:gd name="T12" fmla="+- 0 4890 4843"/>
                              <a:gd name="T13" fmla="*/ T12 w 66"/>
                              <a:gd name="T14" fmla="+- 0 275 275"/>
                              <a:gd name="T15" fmla="*/ 275 h 97"/>
                              <a:gd name="T16" fmla="+- 0 4902 4843"/>
                              <a:gd name="T17" fmla="*/ T16 w 66"/>
                              <a:gd name="T18" fmla="+- 0 281 275"/>
                              <a:gd name="T19" fmla="*/ 281 h 97"/>
                              <a:gd name="T20" fmla="+- 0 4908 4843"/>
                              <a:gd name="T21" fmla="*/ T20 w 66"/>
                              <a:gd name="T22" fmla="+- 0 302 275"/>
                              <a:gd name="T23" fmla="*/ 302 h 97"/>
                              <a:gd name="T24" fmla="+- 0 4908 4843"/>
                              <a:gd name="T25" fmla="*/ T24 w 66"/>
                              <a:gd name="T26" fmla="+- 0 371 275"/>
                              <a:gd name="T27" fmla="*/ 371 h 97"/>
                              <a:gd name="T28" fmla="+- 0 4908 4843"/>
                              <a:gd name="T29" fmla="*/ T28 w 66"/>
                              <a:gd name="T30" fmla="+- 0 371 275"/>
                              <a:gd name="T31" fmla="*/ 371 h 97"/>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6" h="97">
                                <a:moveTo>
                                  <a:pt x="0" y="27"/>
                                </a:moveTo>
                                <a:lnTo>
                                  <a:pt x="18" y="6"/>
                                </a:lnTo>
                                <a:lnTo>
                                  <a:pt x="29" y="0"/>
                                </a:lnTo>
                                <a:lnTo>
                                  <a:pt x="47" y="0"/>
                                </a:lnTo>
                                <a:lnTo>
                                  <a:pt x="59" y="6"/>
                                </a:lnTo>
                                <a:lnTo>
                                  <a:pt x="65" y="27"/>
                                </a:lnTo>
                                <a:lnTo>
                                  <a:pt x="65" y="96"/>
                                </a:lnTo>
                              </a:path>
                            </a:pathLst>
                          </a:custGeom>
                          <a:noFill/>
                          <a:ln w="148">
                            <a:solidFill>
                              <a:srgbClr val="000000"/>
                            </a:solidFill>
                            <a:prstDash val="solid"/>
                            <a:round/>
                          </a:ln>
                        </wps:spPr>
                        <wps:bodyPr rot="0" vert="horz" wrap="square" lIns="91440" tIns="45720" rIns="91440" bIns="45720" anchor="t" anchorCtr="0" upright="1">
                          <a:noAutofit/>
                        </wps:bodyPr>
                      </wps:wsp>
                      <wps:wsp>
                        <wps:cNvPr id="266" name="Freeform 180"/>
                        <wps:cNvSpPr/>
                        <wps:spPr bwMode="auto">
                          <a:xfrm>
                            <a:off x="4907" y="274"/>
                            <a:ext cx="66" cy="97"/>
                          </a:xfrm>
                          <a:custGeom>
                            <a:avLst/>
                            <a:gdLst>
                              <a:gd name="T0" fmla="+- 0 4908 4908"/>
                              <a:gd name="T1" fmla="*/ T0 w 66"/>
                              <a:gd name="T2" fmla="+- 0 302 275"/>
                              <a:gd name="T3" fmla="*/ 302 h 97"/>
                              <a:gd name="T4" fmla="+- 0 4926 4908"/>
                              <a:gd name="T5" fmla="*/ T4 w 66"/>
                              <a:gd name="T6" fmla="+- 0 281 275"/>
                              <a:gd name="T7" fmla="*/ 281 h 97"/>
                              <a:gd name="T8" fmla="+- 0 4937 4908"/>
                              <a:gd name="T9" fmla="*/ T8 w 66"/>
                              <a:gd name="T10" fmla="+- 0 275 275"/>
                              <a:gd name="T11" fmla="*/ 275 h 97"/>
                              <a:gd name="T12" fmla="+- 0 4955 4908"/>
                              <a:gd name="T13" fmla="*/ T12 w 66"/>
                              <a:gd name="T14" fmla="+- 0 275 275"/>
                              <a:gd name="T15" fmla="*/ 275 h 97"/>
                              <a:gd name="T16" fmla="+- 0 4967 4908"/>
                              <a:gd name="T17" fmla="*/ T16 w 66"/>
                              <a:gd name="T18" fmla="+- 0 281 275"/>
                              <a:gd name="T19" fmla="*/ 281 h 97"/>
                              <a:gd name="T20" fmla="+- 0 4973 4908"/>
                              <a:gd name="T21" fmla="*/ T20 w 66"/>
                              <a:gd name="T22" fmla="+- 0 302 275"/>
                              <a:gd name="T23" fmla="*/ 302 h 97"/>
                              <a:gd name="T24" fmla="+- 0 4973 4908"/>
                              <a:gd name="T25" fmla="*/ T24 w 66"/>
                              <a:gd name="T26" fmla="+- 0 371 275"/>
                              <a:gd name="T27" fmla="*/ 371 h 97"/>
                              <a:gd name="T28" fmla="+- 0 4973 4908"/>
                              <a:gd name="T29" fmla="*/ T28 w 66"/>
                              <a:gd name="T30" fmla="+- 0 371 275"/>
                              <a:gd name="T31" fmla="*/ 371 h 97"/>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6" h="97">
                                <a:moveTo>
                                  <a:pt x="0" y="27"/>
                                </a:moveTo>
                                <a:lnTo>
                                  <a:pt x="18" y="6"/>
                                </a:lnTo>
                                <a:lnTo>
                                  <a:pt x="29" y="0"/>
                                </a:lnTo>
                                <a:lnTo>
                                  <a:pt x="47" y="0"/>
                                </a:lnTo>
                                <a:lnTo>
                                  <a:pt x="59" y="6"/>
                                </a:lnTo>
                                <a:lnTo>
                                  <a:pt x="65" y="27"/>
                                </a:lnTo>
                                <a:lnTo>
                                  <a:pt x="65" y="96"/>
                                </a:lnTo>
                              </a:path>
                            </a:pathLst>
                          </a:custGeom>
                          <a:noFill/>
                          <a:ln w="148">
                            <a:solidFill>
                              <a:srgbClr val="000000"/>
                            </a:solidFill>
                            <a:prstDash val="solid"/>
                            <a:round/>
                          </a:ln>
                        </wps:spPr>
                        <wps:bodyPr rot="0" vert="horz" wrap="square" lIns="91440" tIns="45720" rIns="91440" bIns="45720" anchor="t" anchorCtr="0" upright="1">
                          <a:noAutofit/>
                        </wps:bodyPr>
                      </wps:wsp>
                      <wps:wsp>
                        <wps:cNvPr id="267" name="Freeform 179"/>
                        <wps:cNvSpPr/>
                        <wps:spPr bwMode="auto">
                          <a:xfrm>
                            <a:off x="5019" y="199"/>
                            <a:ext cx="42" cy="220"/>
                          </a:xfrm>
                          <a:custGeom>
                            <a:avLst/>
                            <a:gdLst>
                              <a:gd name="T0" fmla="+- 0 5061 5020"/>
                              <a:gd name="T1" fmla="*/ T0 w 42"/>
                              <a:gd name="T2" fmla="+- 0 199 199"/>
                              <a:gd name="T3" fmla="*/ 199 h 220"/>
                              <a:gd name="T4" fmla="+- 0 5049 5020"/>
                              <a:gd name="T5" fmla="*/ T4 w 42"/>
                              <a:gd name="T6" fmla="+- 0 213 199"/>
                              <a:gd name="T7" fmla="*/ 213 h 220"/>
                              <a:gd name="T8" fmla="+- 0 5037 5020"/>
                              <a:gd name="T9" fmla="*/ T8 w 42"/>
                              <a:gd name="T10" fmla="+- 0 233 199"/>
                              <a:gd name="T11" fmla="*/ 233 h 220"/>
                              <a:gd name="T12" fmla="+- 0 5026 5020"/>
                              <a:gd name="T13" fmla="*/ T12 w 42"/>
                              <a:gd name="T14" fmla="+- 0 261 199"/>
                              <a:gd name="T15" fmla="*/ 261 h 220"/>
                              <a:gd name="T16" fmla="+- 0 5020 5020"/>
                              <a:gd name="T17" fmla="*/ T16 w 42"/>
                              <a:gd name="T18" fmla="+- 0 295 199"/>
                              <a:gd name="T19" fmla="*/ 295 h 220"/>
                              <a:gd name="T20" fmla="+- 0 5020 5020"/>
                              <a:gd name="T21" fmla="*/ T20 w 42"/>
                              <a:gd name="T22" fmla="+- 0 322 199"/>
                              <a:gd name="T23" fmla="*/ 322 h 220"/>
                              <a:gd name="T24" fmla="+- 0 5026 5020"/>
                              <a:gd name="T25" fmla="*/ T24 w 42"/>
                              <a:gd name="T26" fmla="+- 0 357 199"/>
                              <a:gd name="T27" fmla="*/ 357 h 220"/>
                              <a:gd name="T28" fmla="+- 0 5037 5020"/>
                              <a:gd name="T29" fmla="*/ T28 w 42"/>
                              <a:gd name="T30" fmla="+- 0 384 199"/>
                              <a:gd name="T31" fmla="*/ 384 h 220"/>
                              <a:gd name="T32" fmla="+- 0 5049 5020"/>
                              <a:gd name="T33" fmla="*/ T32 w 42"/>
                              <a:gd name="T34" fmla="+- 0 405 199"/>
                              <a:gd name="T35" fmla="*/ 405 h 220"/>
                              <a:gd name="T36" fmla="+- 0 5061 5020"/>
                              <a:gd name="T37" fmla="*/ T36 w 42"/>
                              <a:gd name="T38" fmla="+- 0 418 199"/>
                              <a:gd name="T39" fmla="*/ 418 h 220"/>
                              <a:gd name="T40" fmla="+- 0 5061 5020"/>
                              <a:gd name="T41" fmla="*/ T40 w 42"/>
                              <a:gd name="T42" fmla="+- 0 418 199"/>
                              <a:gd name="T43" fmla="*/ 418 h 2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42" h="220">
                                <a:moveTo>
                                  <a:pt x="41" y="0"/>
                                </a:moveTo>
                                <a:lnTo>
                                  <a:pt x="29" y="14"/>
                                </a:lnTo>
                                <a:lnTo>
                                  <a:pt x="17" y="34"/>
                                </a:lnTo>
                                <a:lnTo>
                                  <a:pt x="6" y="62"/>
                                </a:lnTo>
                                <a:lnTo>
                                  <a:pt x="0" y="96"/>
                                </a:lnTo>
                                <a:lnTo>
                                  <a:pt x="0" y="123"/>
                                </a:lnTo>
                                <a:lnTo>
                                  <a:pt x="6" y="158"/>
                                </a:lnTo>
                                <a:lnTo>
                                  <a:pt x="17" y="185"/>
                                </a:lnTo>
                                <a:lnTo>
                                  <a:pt x="29" y="206"/>
                                </a:lnTo>
                                <a:lnTo>
                                  <a:pt x="41" y="219"/>
                                </a:lnTo>
                              </a:path>
                            </a:pathLst>
                          </a:custGeom>
                          <a:noFill/>
                          <a:ln w="142">
                            <a:solidFill>
                              <a:srgbClr val="000000"/>
                            </a:solidFill>
                            <a:prstDash val="solid"/>
                            <a:round/>
                          </a:ln>
                        </wps:spPr>
                        <wps:bodyPr rot="0" vert="horz" wrap="square" lIns="91440" tIns="45720" rIns="91440" bIns="45720" anchor="t" anchorCtr="0" upright="1">
                          <a:noAutofit/>
                        </wps:bodyPr>
                      </wps:wsp>
                      <wps:wsp>
                        <wps:cNvPr id="268" name="Freeform 178"/>
                        <wps:cNvSpPr/>
                        <wps:spPr bwMode="auto">
                          <a:xfrm>
                            <a:off x="5114" y="226"/>
                            <a:ext cx="30" cy="145"/>
                          </a:xfrm>
                          <a:custGeom>
                            <a:avLst/>
                            <a:gdLst>
                              <a:gd name="T0" fmla="+- 0 5114 5114"/>
                              <a:gd name="T1" fmla="*/ T0 w 30"/>
                              <a:gd name="T2" fmla="+- 0 254 226"/>
                              <a:gd name="T3" fmla="*/ 254 h 145"/>
                              <a:gd name="T4" fmla="+- 0 5126 5114"/>
                              <a:gd name="T5" fmla="*/ T4 w 30"/>
                              <a:gd name="T6" fmla="+- 0 247 226"/>
                              <a:gd name="T7" fmla="*/ 247 h 145"/>
                              <a:gd name="T8" fmla="+- 0 5144 5114"/>
                              <a:gd name="T9" fmla="*/ T8 w 30"/>
                              <a:gd name="T10" fmla="+- 0 226 226"/>
                              <a:gd name="T11" fmla="*/ 226 h 145"/>
                              <a:gd name="T12" fmla="+- 0 5144 5114"/>
                              <a:gd name="T13" fmla="*/ T12 w 30"/>
                              <a:gd name="T14" fmla="+- 0 371 226"/>
                              <a:gd name="T15" fmla="*/ 371 h 145"/>
                              <a:gd name="T16" fmla="+- 0 5144 5114"/>
                              <a:gd name="T17" fmla="*/ T16 w 30"/>
                              <a:gd name="T18" fmla="+- 0 371 226"/>
                              <a:gd name="T19" fmla="*/ 371 h 145"/>
                            </a:gdLst>
                            <a:ahLst/>
                            <a:cxnLst>
                              <a:cxn ang="0">
                                <a:pos x="T1" y="T3"/>
                              </a:cxn>
                              <a:cxn ang="0">
                                <a:pos x="T5" y="T7"/>
                              </a:cxn>
                              <a:cxn ang="0">
                                <a:pos x="T9" y="T11"/>
                              </a:cxn>
                              <a:cxn ang="0">
                                <a:pos x="T13" y="T15"/>
                              </a:cxn>
                              <a:cxn ang="0">
                                <a:pos x="T17" y="T19"/>
                              </a:cxn>
                            </a:cxnLst>
                            <a:rect l="0" t="0" r="r" b="b"/>
                            <a:pathLst>
                              <a:path w="30" h="145">
                                <a:moveTo>
                                  <a:pt x="0" y="28"/>
                                </a:moveTo>
                                <a:lnTo>
                                  <a:pt x="12" y="21"/>
                                </a:lnTo>
                                <a:lnTo>
                                  <a:pt x="30" y="0"/>
                                </a:lnTo>
                                <a:lnTo>
                                  <a:pt x="30" y="145"/>
                                </a:lnTo>
                              </a:path>
                            </a:pathLst>
                          </a:custGeom>
                          <a:noFill/>
                          <a:ln w="142">
                            <a:solidFill>
                              <a:srgbClr val="000000"/>
                            </a:solidFill>
                            <a:prstDash val="solid"/>
                            <a:round/>
                          </a:ln>
                        </wps:spPr>
                        <wps:bodyPr rot="0" vert="horz" wrap="square" lIns="91440" tIns="45720" rIns="91440" bIns="45720" anchor="t" anchorCtr="0" upright="1">
                          <a:noAutofit/>
                        </wps:bodyPr>
                      </wps:wsp>
                      <wps:wsp>
                        <wps:cNvPr id="269" name="Freeform 177"/>
                        <wps:cNvSpPr/>
                        <wps:spPr bwMode="auto">
                          <a:xfrm>
                            <a:off x="5220" y="356"/>
                            <a:ext cx="12" cy="14"/>
                          </a:xfrm>
                          <a:custGeom>
                            <a:avLst/>
                            <a:gdLst>
                              <a:gd name="T0" fmla="+- 0 5226 5220"/>
                              <a:gd name="T1" fmla="*/ T0 w 12"/>
                              <a:gd name="T2" fmla="+- 0 357 357"/>
                              <a:gd name="T3" fmla="*/ 357 h 14"/>
                              <a:gd name="T4" fmla="+- 0 5220 5220"/>
                              <a:gd name="T5" fmla="*/ T4 w 12"/>
                              <a:gd name="T6" fmla="+- 0 364 357"/>
                              <a:gd name="T7" fmla="*/ 364 h 14"/>
                              <a:gd name="T8" fmla="+- 0 5226 5220"/>
                              <a:gd name="T9" fmla="*/ T8 w 12"/>
                              <a:gd name="T10" fmla="+- 0 371 357"/>
                              <a:gd name="T11" fmla="*/ 371 h 14"/>
                              <a:gd name="T12" fmla="+- 0 5232 5220"/>
                              <a:gd name="T13" fmla="*/ T12 w 12"/>
                              <a:gd name="T14" fmla="+- 0 364 357"/>
                              <a:gd name="T15" fmla="*/ 364 h 14"/>
                              <a:gd name="T16" fmla="+- 0 5226 5220"/>
                              <a:gd name="T17" fmla="*/ T16 w 12"/>
                              <a:gd name="T18" fmla="+- 0 357 357"/>
                              <a:gd name="T19" fmla="*/ 357 h 14"/>
                              <a:gd name="T20" fmla="+- 0 5226 5220"/>
                              <a:gd name="T21" fmla="*/ T20 w 12"/>
                              <a:gd name="T22" fmla="+- 0 357 357"/>
                              <a:gd name="T23" fmla="*/ 357 h 14"/>
                            </a:gdLst>
                            <a:ahLst/>
                            <a:cxnLst>
                              <a:cxn ang="0">
                                <a:pos x="T1" y="T3"/>
                              </a:cxn>
                              <a:cxn ang="0">
                                <a:pos x="T5" y="T7"/>
                              </a:cxn>
                              <a:cxn ang="0">
                                <a:pos x="T9" y="T11"/>
                              </a:cxn>
                              <a:cxn ang="0">
                                <a:pos x="T13" y="T15"/>
                              </a:cxn>
                              <a:cxn ang="0">
                                <a:pos x="T17" y="T19"/>
                              </a:cxn>
                              <a:cxn ang="0">
                                <a:pos x="T21" y="T23"/>
                              </a:cxn>
                            </a:cxnLst>
                            <a:rect l="0" t="0" r="r" b="b"/>
                            <a:pathLst>
                              <a:path w="12" h="14">
                                <a:moveTo>
                                  <a:pt x="6" y="0"/>
                                </a:moveTo>
                                <a:lnTo>
                                  <a:pt x="0" y="7"/>
                                </a:lnTo>
                                <a:lnTo>
                                  <a:pt x="6" y="14"/>
                                </a:lnTo>
                                <a:lnTo>
                                  <a:pt x="12" y="7"/>
                                </a:lnTo>
                                <a:lnTo>
                                  <a:pt x="6"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270" name="Freeform 176"/>
                        <wps:cNvSpPr/>
                        <wps:spPr bwMode="auto">
                          <a:xfrm>
                            <a:off x="5273" y="226"/>
                            <a:ext cx="83" cy="145"/>
                          </a:xfrm>
                          <a:custGeom>
                            <a:avLst/>
                            <a:gdLst>
                              <a:gd name="T0" fmla="+- 0 5344 5274"/>
                              <a:gd name="T1" fmla="*/ T0 w 83"/>
                              <a:gd name="T2" fmla="+- 0 226 226"/>
                              <a:gd name="T3" fmla="*/ 226 h 145"/>
                              <a:gd name="T4" fmla="+- 0 5285 5274"/>
                              <a:gd name="T5" fmla="*/ T4 w 83"/>
                              <a:gd name="T6" fmla="+- 0 226 226"/>
                              <a:gd name="T7" fmla="*/ 226 h 145"/>
                              <a:gd name="T8" fmla="+- 0 5279 5274"/>
                              <a:gd name="T9" fmla="*/ T8 w 83"/>
                              <a:gd name="T10" fmla="+- 0 288 226"/>
                              <a:gd name="T11" fmla="*/ 288 h 145"/>
                              <a:gd name="T12" fmla="+- 0 5285 5274"/>
                              <a:gd name="T13" fmla="*/ T12 w 83"/>
                              <a:gd name="T14" fmla="+- 0 281 226"/>
                              <a:gd name="T15" fmla="*/ 281 h 145"/>
                              <a:gd name="T16" fmla="+- 0 5303 5274"/>
                              <a:gd name="T17" fmla="*/ T16 w 83"/>
                              <a:gd name="T18" fmla="+- 0 275 226"/>
                              <a:gd name="T19" fmla="*/ 275 h 145"/>
                              <a:gd name="T20" fmla="+- 0 5321 5274"/>
                              <a:gd name="T21" fmla="*/ T20 w 83"/>
                              <a:gd name="T22" fmla="+- 0 275 226"/>
                              <a:gd name="T23" fmla="*/ 275 h 145"/>
                              <a:gd name="T24" fmla="+- 0 5338 5274"/>
                              <a:gd name="T25" fmla="*/ T24 w 83"/>
                              <a:gd name="T26" fmla="+- 0 281 226"/>
                              <a:gd name="T27" fmla="*/ 281 h 145"/>
                              <a:gd name="T28" fmla="+- 0 5350 5274"/>
                              <a:gd name="T29" fmla="*/ T28 w 83"/>
                              <a:gd name="T30" fmla="+- 0 295 226"/>
                              <a:gd name="T31" fmla="*/ 295 h 145"/>
                              <a:gd name="T32" fmla="+- 0 5356 5274"/>
                              <a:gd name="T33" fmla="*/ T32 w 83"/>
                              <a:gd name="T34" fmla="+- 0 316 226"/>
                              <a:gd name="T35" fmla="*/ 316 h 145"/>
                              <a:gd name="T36" fmla="+- 0 5356 5274"/>
                              <a:gd name="T37" fmla="*/ T36 w 83"/>
                              <a:gd name="T38" fmla="+- 0 329 226"/>
                              <a:gd name="T39" fmla="*/ 329 h 145"/>
                              <a:gd name="T40" fmla="+- 0 5350 5274"/>
                              <a:gd name="T41" fmla="*/ T40 w 83"/>
                              <a:gd name="T42" fmla="+- 0 350 226"/>
                              <a:gd name="T43" fmla="*/ 350 h 145"/>
                              <a:gd name="T44" fmla="+- 0 5338 5274"/>
                              <a:gd name="T45" fmla="*/ T44 w 83"/>
                              <a:gd name="T46" fmla="+- 0 364 226"/>
                              <a:gd name="T47" fmla="*/ 364 h 145"/>
                              <a:gd name="T48" fmla="+- 0 5321 5274"/>
                              <a:gd name="T49" fmla="*/ T48 w 83"/>
                              <a:gd name="T50" fmla="+- 0 371 226"/>
                              <a:gd name="T51" fmla="*/ 371 h 145"/>
                              <a:gd name="T52" fmla="+- 0 5303 5274"/>
                              <a:gd name="T53" fmla="*/ T52 w 83"/>
                              <a:gd name="T54" fmla="+- 0 371 226"/>
                              <a:gd name="T55" fmla="*/ 371 h 145"/>
                              <a:gd name="T56" fmla="+- 0 5285 5274"/>
                              <a:gd name="T57" fmla="*/ T56 w 83"/>
                              <a:gd name="T58" fmla="+- 0 364 226"/>
                              <a:gd name="T59" fmla="*/ 364 h 145"/>
                              <a:gd name="T60" fmla="+- 0 5279 5274"/>
                              <a:gd name="T61" fmla="*/ T60 w 83"/>
                              <a:gd name="T62" fmla="+- 0 357 226"/>
                              <a:gd name="T63" fmla="*/ 357 h 145"/>
                              <a:gd name="T64" fmla="+- 0 5274 5274"/>
                              <a:gd name="T65" fmla="*/ T64 w 83"/>
                              <a:gd name="T66" fmla="+- 0 343 226"/>
                              <a:gd name="T67" fmla="*/ 343 h 145"/>
                              <a:gd name="T68" fmla="+- 0 5274 5274"/>
                              <a:gd name="T69" fmla="*/ T68 w 83"/>
                              <a:gd name="T70" fmla="+- 0 343 226"/>
                              <a:gd name="T71" fmla="*/ 343 h 1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83" h="145">
                                <a:moveTo>
                                  <a:pt x="70" y="0"/>
                                </a:moveTo>
                                <a:lnTo>
                                  <a:pt x="11" y="0"/>
                                </a:lnTo>
                                <a:lnTo>
                                  <a:pt x="5" y="62"/>
                                </a:lnTo>
                                <a:lnTo>
                                  <a:pt x="11" y="55"/>
                                </a:lnTo>
                                <a:lnTo>
                                  <a:pt x="29" y="49"/>
                                </a:lnTo>
                                <a:lnTo>
                                  <a:pt x="47" y="49"/>
                                </a:lnTo>
                                <a:lnTo>
                                  <a:pt x="64" y="55"/>
                                </a:lnTo>
                                <a:lnTo>
                                  <a:pt x="76" y="69"/>
                                </a:lnTo>
                                <a:lnTo>
                                  <a:pt x="82" y="90"/>
                                </a:lnTo>
                                <a:lnTo>
                                  <a:pt x="82" y="103"/>
                                </a:lnTo>
                                <a:lnTo>
                                  <a:pt x="76" y="124"/>
                                </a:lnTo>
                                <a:lnTo>
                                  <a:pt x="64" y="138"/>
                                </a:lnTo>
                                <a:lnTo>
                                  <a:pt x="47" y="145"/>
                                </a:lnTo>
                                <a:lnTo>
                                  <a:pt x="29" y="145"/>
                                </a:lnTo>
                                <a:lnTo>
                                  <a:pt x="11" y="138"/>
                                </a:lnTo>
                                <a:lnTo>
                                  <a:pt x="5" y="131"/>
                                </a:lnTo>
                                <a:lnTo>
                                  <a:pt x="0" y="117"/>
                                </a:lnTo>
                              </a:path>
                            </a:pathLst>
                          </a:custGeom>
                          <a:noFill/>
                          <a:ln w="147">
                            <a:solidFill>
                              <a:srgbClr val="000000"/>
                            </a:solidFill>
                            <a:prstDash val="solid"/>
                            <a:round/>
                          </a:ln>
                        </wps:spPr>
                        <wps:bodyPr rot="0" vert="horz" wrap="square" lIns="91440" tIns="45720" rIns="91440" bIns="45720" anchor="t" anchorCtr="0" upright="1">
                          <a:noAutofit/>
                        </wps:bodyPr>
                      </wps:wsp>
                      <wps:wsp>
                        <wps:cNvPr id="271" name="Freeform 175"/>
                        <wps:cNvSpPr/>
                        <wps:spPr bwMode="auto">
                          <a:xfrm>
                            <a:off x="5397" y="274"/>
                            <a:ext cx="2" cy="97"/>
                          </a:xfrm>
                          <a:custGeom>
                            <a:avLst/>
                            <a:gdLst>
                              <a:gd name="T0" fmla="+- 0 5397 5397"/>
                              <a:gd name="T1" fmla="*/ T0 w 1"/>
                              <a:gd name="T2" fmla="+- 0 275 275"/>
                              <a:gd name="T3" fmla="*/ 275 h 97"/>
                              <a:gd name="T4" fmla="+- 0 5397 5397"/>
                              <a:gd name="T5" fmla="*/ T4 w 1"/>
                              <a:gd name="T6" fmla="+- 0 371 275"/>
                              <a:gd name="T7" fmla="*/ 371 h 97"/>
                              <a:gd name="T8" fmla="+- 0 5398 5397"/>
                              <a:gd name="T9" fmla="*/ T8 w 1"/>
                              <a:gd name="T10" fmla="+- 0 371 275"/>
                              <a:gd name="T11" fmla="*/ 371 h 97"/>
                            </a:gdLst>
                            <a:ahLst/>
                            <a:cxnLst>
                              <a:cxn ang="0">
                                <a:pos x="T1" y="T3"/>
                              </a:cxn>
                              <a:cxn ang="0">
                                <a:pos x="T5" y="T7"/>
                              </a:cxn>
                              <a:cxn ang="0">
                                <a:pos x="T9" y="T11"/>
                              </a:cxn>
                            </a:cxnLst>
                            <a:rect l="0" t="0" r="r" b="b"/>
                            <a:pathLst>
                              <a:path w="1" h="97">
                                <a:moveTo>
                                  <a:pt x="0" y="0"/>
                                </a:moveTo>
                                <a:lnTo>
                                  <a:pt x="0" y="96"/>
                                </a:lnTo>
                                <a:lnTo>
                                  <a:pt x="1" y="96"/>
                                </a:lnTo>
                              </a:path>
                            </a:pathLst>
                          </a:custGeom>
                          <a:noFill/>
                          <a:ln w="141">
                            <a:solidFill>
                              <a:srgbClr val="000000"/>
                            </a:solidFill>
                            <a:prstDash val="solid"/>
                            <a:round/>
                          </a:ln>
                        </wps:spPr>
                        <wps:bodyPr rot="0" vert="horz" wrap="square" lIns="91440" tIns="45720" rIns="91440" bIns="45720" anchor="t" anchorCtr="0" upright="1">
                          <a:noAutofit/>
                        </wps:bodyPr>
                      </wps:wsp>
                      <wps:wsp>
                        <wps:cNvPr id="272" name="Freeform 174"/>
                        <wps:cNvSpPr/>
                        <wps:spPr bwMode="auto">
                          <a:xfrm>
                            <a:off x="5397" y="274"/>
                            <a:ext cx="66" cy="97"/>
                          </a:xfrm>
                          <a:custGeom>
                            <a:avLst/>
                            <a:gdLst>
                              <a:gd name="T0" fmla="+- 0 5397 5397"/>
                              <a:gd name="T1" fmla="*/ T0 w 66"/>
                              <a:gd name="T2" fmla="+- 0 302 275"/>
                              <a:gd name="T3" fmla="*/ 302 h 97"/>
                              <a:gd name="T4" fmla="+- 0 5415 5397"/>
                              <a:gd name="T5" fmla="*/ T4 w 66"/>
                              <a:gd name="T6" fmla="+- 0 281 275"/>
                              <a:gd name="T7" fmla="*/ 281 h 97"/>
                              <a:gd name="T8" fmla="+- 0 5427 5397"/>
                              <a:gd name="T9" fmla="*/ T8 w 66"/>
                              <a:gd name="T10" fmla="+- 0 275 275"/>
                              <a:gd name="T11" fmla="*/ 275 h 97"/>
                              <a:gd name="T12" fmla="+- 0 5444 5397"/>
                              <a:gd name="T13" fmla="*/ T12 w 66"/>
                              <a:gd name="T14" fmla="+- 0 275 275"/>
                              <a:gd name="T15" fmla="*/ 275 h 97"/>
                              <a:gd name="T16" fmla="+- 0 5456 5397"/>
                              <a:gd name="T17" fmla="*/ T16 w 66"/>
                              <a:gd name="T18" fmla="+- 0 281 275"/>
                              <a:gd name="T19" fmla="*/ 281 h 97"/>
                              <a:gd name="T20" fmla="+- 0 5462 5397"/>
                              <a:gd name="T21" fmla="*/ T20 w 66"/>
                              <a:gd name="T22" fmla="+- 0 302 275"/>
                              <a:gd name="T23" fmla="*/ 302 h 97"/>
                              <a:gd name="T24" fmla="+- 0 5462 5397"/>
                              <a:gd name="T25" fmla="*/ T24 w 66"/>
                              <a:gd name="T26" fmla="+- 0 371 275"/>
                              <a:gd name="T27" fmla="*/ 371 h 97"/>
                              <a:gd name="T28" fmla="+- 0 5462 5397"/>
                              <a:gd name="T29" fmla="*/ T28 w 66"/>
                              <a:gd name="T30" fmla="+- 0 371 275"/>
                              <a:gd name="T31" fmla="*/ 371 h 97"/>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6" h="97">
                                <a:moveTo>
                                  <a:pt x="0" y="27"/>
                                </a:moveTo>
                                <a:lnTo>
                                  <a:pt x="18" y="6"/>
                                </a:lnTo>
                                <a:lnTo>
                                  <a:pt x="30" y="0"/>
                                </a:lnTo>
                                <a:lnTo>
                                  <a:pt x="47" y="0"/>
                                </a:lnTo>
                                <a:lnTo>
                                  <a:pt x="59" y="6"/>
                                </a:lnTo>
                                <a:lnTo>
                                  <a:pt x="65" y="27"/>
                                </a:lnTo>
                                <a:lnTo>
                                  <a:pt x="65" y="96"/>
                                </a:lnTo>
                              </a:path>
                            </a:pathLst>
                          </a:custGeom>
                          <a:noFill/>
                          <a:ln w="148">
                            <a:solidFill>
                              <a:srgbClr val="000000"/>
                            </a:solidFill>
                            <a:prstDash val="solid"/>
                            <a:round/>
                          </a:ln>
                        </wps:spPr>
                        <wps:bodyPr rot="0" vert="horz" wrap="square" lIns="91440" tIns="45720" rIns="91440" bIns="45720" anchor="t" anchorCtr="0" upright="1">
                          <a:noAutofit/>
                        </wps:bodyPr>
                      </wps:wsp>
                      <wps:wsp>
                        <wps:cNvPr id="273" name="Freeform 173"/>
                        <wps:cNvSpPr/>
                        <wps:spPr bwMode="auto">
                          <a:xfrm>
                            <a:off x="5462" y="274"/>
                            <a:ext cx="66" cy="97"/>
                          </a:xfrm>
                          <a:custGeom>
                            <a:avLst/>
                            <a:gdLst>
                              <a:gd name="T0" fmla="+- 0 5462 5462"/>
                              <a:gd name="T1" fmla="*/ T0 w 66"/>
                              <a:gd name="T2" fmla="+- 0 302 275"/>
                              <a:gd name="T3" fmla="*/ 302 h 97"/>
                              <a:gd name="T4" fmla="+- 0 5480 5462"/>
                              <a:gd name="T5" fmla="*/ T4 w 66"/>
                              <a:gd name="T6" fmla="+- 0 281 275"/>
                              <a:gd name="T7" fmla="*/ 281 h 97"/>
                              <a:gd name="T8" fmla="+- 0 5492 5462"/>
                              <a:gd name="T9" fmla="*/ T8 w 66"/>
                              <a:gd name="T10" fmla="+- 0 275 275"/>
                              <a:gd name="T11" fmla="*/ 275 h 97"/>
                              <a:gd name="T12" fmla="+- 0 5509 5462"/>
                              <a:gd name="T13" fmla="*/ T12 w 66"/>
                              <a:gd name="T14" fmla="+- 0 275 275"/>
                              <a:gd name="T15" fmla="*/ 275 h 97"/>
                              <a:gd name="T16" fmla="+- 0 5521 5462"/>
                              <a:gd name="T17" fmla="*/ T16 w 66"/>
                              <a:gd name="T18" fmla="+- 0 281 275"/>
                              <a:gd name="T19" fmla="*/ 281 h 97"/>
                              <a:gd name="T20" fmla="+- 0 5527 5462"/>
                              <a:gd name="T21" fmla="*/ T20 w 66"/>
                              <a:gd name="T22" fmla="+- 0 302 275"/>
                              <a:gd name="T23" fmla="*/ 302 h 97"/>
                              <a:gd name="T24" fmla="+- 0 5527 5462"/>
                              <a:gd name="T25" fmla="*/ T24 w 66"/>
                              <a:gd name="T26" fmla="+- 0 371 275"/>
                              <a:gd name="T27" fmla="*/ 371 h 97"/>
                              <a:gd name="T28" fmla="+- 0 5527 5462"/>
                              <a:gd name="T29" fmla="*/ T28 w 66"/>
                              <a:gd name="T30" fmla="+- 0 371 275"/>
                              <a:gd name="T31" fmla="*/ 371 h 97"/>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6" h="97">
                                <a:moveTo>
                                  <a:pt x="0" y="27"/>
                                </a:moveTo>
                                <a:lnTo>
                                  <a:pt x="18" y="6"/>
                                </a:lnTo>
                                <a:lnTo>
                                  <a:pt x="30" y="0"/>
                                </a:lnTo>
                                <a:lnTo>
                                  <a:pt x="47" y="0"/>
                                </a:lnTo>
                                <a:lnTo>
                                  <a:pt x="59" y="6"/>
                                </a:lnTo>
                                <a:lnTo>
                                  <a:pt x="65" y="27"/>
                                </a:lnTo>
                                <a:lnTo>
                                  <a:pt x="65" y="96"/>
                                </a:lnTo>
                              </a:path>
                            </a:pathLst>
                          </a:custGeom>
                          <a:noFill/>
                          <a:ln w="148">
                            <a:solidFill>
                              <a:srgbClr val="000000"/>
                            </a:solidFill>
                            <a:prstDash val="solid"/>
                            <a:round/>
                          </a:ln>
                        </wps:spPr>
                        <wps:bodyPr rot="0" vert="horz" wrap="square" lIns="91440" tIns="45720" rIns="91440" bIns="45720" anchor="t" anchorCtr="0" upright="1">
                          <a:noAutofit/>
                        </wps:bodyPr>
                      </wps:wsp>
                      <wps:wsp>
                        <wps:cNvPr id="274" name="Freeform 172"/>
                        <wps:cNvSpPr/>
                        <wps:spPr bwMode="auto">
                          <a:xfrm>
                            <a:off x="5568" y="199"/>
                            <a:ext cx="42" cy="220"/>
                          </a:xfrm>
                          <a:custGeom>
                            <a:avLst/>
                            <a:gdLst>
                              <a:gd name="T0" fmla="+- 0 5568 5568"/>
                              <a:gd name="T1" fmla="*/ T0 w 42"/>
                              <a:gd name="T2" fmla="+- 0 199 199"/>
                              <a:gd name="T3" fmla="*/ 199 h 220"/>
                              <a:gd name="T4" fmla="+- 0 5580 5568"/>
                              <a:gd name="T5" fmla="*/ T4 w 42"/>
                              <a:gd name="T6" fmla="+- 0 213 199"/>
                              <a:gd name="T7" fmla="*/ 213 h 220"/>
                              <a:gd name="T8" fmla="+- 0 5592 5568"/>
                              <a:gd name="T9" fmla="*/ T8 w 42"/>
                              <a:gd name="T10" fmla="+- 0 233 199"/>
                              <a:gd name="T11" fmla="*/ 233 h 220"/>
                              <a:gd name="T12" fmla="+- 0 5604 5568"/>
                              <a:gd name="T13" fmla="*/ T12 w 42"/>
                              <a:gd name="T14" fmla="+- 0 261 199"/>
                              <a:gd name="T15" fmla="*/ 261 h 220"/>
                              <a:gd name="T16" fmla="+- 0 5610 5568"/>
                              <a:gd name="T17" fmla="*/ T16 w 42"/>
                              <a:gd name="T18" fmla="+- 0 295 199"/>
                              <a:gd name="T19" fmla="*/ 295 h 220"/>
                              <a:gd name="T20" fmla="+- 0 5610 5568"/>
                              <a:gd name="T21" fmla="*/ T20 w 42"/>
                              <a:gd name="T22" fmla="+- 0 322 199"/>
                              <a:gd name="T23" fmla="*/ 322 h 220"/>
                              <a:gd name="T24" fmla="+- 0 5604 5568"/>
                              <a:gd name="T25" fmla="*/ T24 w 42"/>
                              <a:gd name="T26" fmla="+- 0 357 199"/>
                              <a:gd name="T27" fmla="*/ 357 h 220"/>
                              <a:gd name="T28" fmla="+- 0 5592 5568"/>
                              <a:gd name="T29" fmla="*/ T28 w 42"/>
                              <a:gd name="T30" fmla="+- 0 384 199"/>
                              <a:gd name="T31" fmla="*/ 384 h 220"/>
                              <a:gd name="T32" fmla="+- 0 5580 5568"/>
                              <a:gd name="T33" fmla="*/ T32 w 42"/>
                              <a:gd name="T34" fmla="+- 0 405 199"/>
                              <a:gd name="T35" fmla="*/ 405 h 220"/>
                              <a:gd name="T36" fmla="+- 0 5568 5568"/>
                              <a:gd name="T37" fmla="*/ T36 w 42"/>
                              <a:gd name="T38" fmla="+- 0 418 199"/>
                              <a:gd name="T39" fmla="*/ 418 h 220"/>
                              <a:gd name="T40" fmla="+- 0 5569 5568"/>
                              <a:gd name="T41" fmla="*/ T40 w 42"/>
                              <a:gd name="T42" fmla="+- 0 418 199"/>
                              <a:gd name="T43" fmla="*/ 418 h 2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42" h="220">
                                <a:moveTo>
                                  <a:pt x="0" y="0"/>
                                </a:moveTo>
                                <a:lnTo>
                                  <a:pt x="12" y="14"/>
                                </a:lnTo>
                                <a:lnTo>
                                  <a:pt x="24" y="34"/>
                                </a:lnTo>
                                <a:lnTo>
                                  <a:pt x="36" y="62"/>
                                </a:lnTo>
                                <a:lnTo>
                                  <a:pt x="42" y="96"/>
                                </a:lnTo>
                                <a:lnTo>
                                  <a:pt x="42" y="123"/>
                                </a:lnTo>
                                <a:lnTo>
                                  <a:pt x="36" y="158"/>
                                </a:lnTo>
                                <a:lnTo>
                                  <a:pt x="24" y="185"/>
                                </a:lnTo>
                                <a:lnTo>
                                  <a:pt x="12" y="206"/>
                                </a:lnTo>
                                <a:lnTo>
                                  <a:pt x="0" y="219"/>
                                </a:lnTo>
                                <a:lnTo>
                                  <a:pt x="1" y="219"/>
                                </a:lnTo>
                              </a:path>
                            </a:pathLst>
                          </a:custGeom>
                          <a:noFill/>
                          <a:ln w="142">
                            <a:solidFill>
                              <a:srgbClr val="000000"/>
                            </a:solidFill>
                            <a:prstDash val="solid"/>
                            <a:round/>
                          </a:ln>
                        </wps:spPr>
                        <wps:bodyPr rot="0" vert="horz" wrap="square" lIns="91440" tIns="45720" rIns="91440" bIns="45720" anchor="t" anchorCtr="0" upright="1">
                          <a:noAutofit/>
                        </wps:bodyPr>
                      </wps:wsp>
                      <wps:wsp>
                        <wps:cNvPr id="275" name="Freeform 171"/>
                        <wps:cNvSpPr/>
                        <wps:spPr bwMode="auto">
                          <a:xfrm>
                            <a:off x="4520" y="455"/>
                            <a:ext cx="75" cy="96"/>
                          </a:xfrm>
                          <a:custGeom>
                            <a:avLst/>
                            <a:gdLst>
                              <a:gd name="T0" fmla="+- 0 4587 4521"/>
                              <a:gd name="T1" fmla="*/ T0 w 75"/>
                              <a:gd name="T2" fmla="+- 0 456 456"/>
                              <a:gd name="T3" fmla="*/ 456 h 96"/>
                              <a:gd name="T4" fmla="+- 0 4521 4521"/>
                              <a:gd name="T5" fmla="*/ T4 w 75"/>
                              <a:gd name="T6" fmla="+- 0 552 456"/>
                              <a:gd name="T7" fmla="*/ 552 h 96"/>
                              <a:gd name="T8" fmla="+- 0 4595 4521"/>
                              <a:gd name="T9" fmla="*/ T8 w 75"/>
                              <a:gd name="T10" fmla="+- 0 465 456"/>
                              <a:gd name="T11" fmla="*/ 465 h 96"/>
                              <a:gd name="T12" fmla="+- 0 4587 4521"/>
                              <a:gd name="T13" fmla="*/ T12 w 75"/>
                              <a:gd name="T14" fmla="+- 0 456 456"/>
                              <a:gd name="T15" fmla="*/ 456 h 96"/>
                            </a:gdLst>
                            <a:ahLst/>
                            <a:cxnLst>
                              <a:cxn ang="0">
                                <a:pos x="T1" y="T3"/>
                              </a:cxn>
                              <a:cxn ang="0">
                                <a:pos x="T5" y="T7"/>
                              </a:cxn>
                              <a:cxn ang="0">
                                <a:pos x="T9" y="T11"/>
                              </a:cxn>
                              <a:cxn ang="0">
                                <a:pos x="T13" y="T15"/>
                              </a:cxn>
                            </a:cxnLst>
                            <a:rect l="0" t="0" r="r" b="b"/>
                            <a:pathLst>
                              <a:path w="75" h="96">
                                <a:moveTo>
                                  <a:pt x="66" y="0"/>
                                </a:moveTo>
                                <a:lnTo>
                                  <a:pt x="0" y="96"/>
                                </a:lnTo>
                                <a:lnTo>
                                  <a:pt x="74" y="9"/>
                                </a:lnTo>
                                <a:lnTo>
                                  <a:pt x="66" y="0"/>
                                </a:lnTo>
                                <a:close/>
                              </a:path>
                            </a:pathLst>
                          </a:custGeom>
                          <a:solidFill>
                            <a:srgbClr val="000000"/>
                          </a:solidFill>
                          <a:ln>
                            <a:noFill/>
                          </a:ln>
                        </wps:spPr>
                        <wps:bodyPr rot="0" vert="horz" wrap="square" lIns="91440" tIns="45720" rIns="91440" bIns="45720" anchor="t" anchorCtr="0" upright="1">
                          <a:noAutofit/>
                        </wps:bodyPr>
                      </wps:wsp>
                      <wps:wsp>
                        <wps:cNvPr id="276" name="Freeform 170"/>
                        <wps:cNvSpPr/>
                        <wps:spPr bwMode="auto">
                          <a:xfrm>
                            <a:off x="4512" y="455"/>
                            <a:ext cx="75" cy="96"/>
                          </a:xfrm>
                          <a:custGeom>
                            <a:avLst/>
                            <a:gdLst>
                              <a:gd name="T0" fmla="+- 0 4587 4513"/>
                              <a:gd name="T1" fmla="*/ T0 w 75"/>
                              <a:gd name="T2" fmla="+- 0 456 456"/>
                              <a:gd name="T3" fmla="*/ 456 h 96"/>
                              <a:gd name="T4" fmla="+- 0 4513 4513"/>
                              <a:gd name="T5" fmla="*/ T4 w 75"/>
                              <a:gd name="T6" fmla="+- 0 543 456"/>
                              <a:gd name="T7" fmla="*/ 543 h 96"/>
                              <a:gd name="T8" fmla="+- 0 4521 4513"/>
                              <a:gd name="T9" fmla="*/ T8 w 75"/>
                              <a:gd name="T10" fmla="+- 0 552 456"/>
                              <a:gd name="T11" fmla="*/ 552 h 96"/>
                              <a:gd name="T12" fmla="+- 0 4587 4513"/>
                              <a:gd name="T13" fmla="*/ T12 w 75"/>
                              <a:gd name="T14" fmla="+- 0 456 456"/>
                              <a:gd name="T15" fmla="*/ 456 h 96"/>
                            </a:gdLst>
                            <a:ahLst/>
                            <a:cxnLst>
                              <a:cxn ang="0">
                                <a:pos x="T1" y="T3"/>
                              </a:cxn>
                              <a:cxn ang="0">
                                <a:pos x="T5" y="T7"/>
                              </a:cxn>
                              <a:cxn ang="0">
                                <a:pos x="T9" y="T11"/>
                              </a:cxn>
                              <a:cxn ang="0">
                                <a:pos x="T13" y="T15"/>
                              </a:cxn>
                            </a:cxnLst>
                            <a:rect l="0" t="0" r="r" b="b"/>
                            <a:pathLst>
                              <a:path w="75" h="96">
                                <a:moveTo>
                                  <a:pt x="74" y="0"/>
                                </a:moveTo>
                                <a:lnTo>
                                  <a:pt x="0" y="87"/>
                                </a:lnTo>
                                <a:lnTo>
                                  <a:pt x="8" y="96"/>
                                </a:lnTo>
                                <a:lnTo>
                                  <a:pt x="74" y="0"/>
                                </a:lnTo>
                                <a:close/>
                              </a:path>
                            </a:pathLst>
                          </a:custGeom>
                          <a:solidFill>
                            <a:srgbClr val="000000"/>
                          </a:solidFill>
                          <a:ln>
                            <a:noFill/>
                          </a:ln>
                        </wps:spPr>
                        <wps:bodyPr rot="0" vert="horz" wrap="square" lIns="91440" tIns="45720" rIns="91440" bIns="45720" anchor="t" anchorCtr="0" upright="1">
                          <a:noAutofit/>
                        </wps:bodyPr>
                      </wps:wsp>
                      <wps:wsp>
                        <wps:cNvPr id="277" name="Freeform 169"/>
                        <wps:cNvSpPr/>
                        <wps:spPr bwMode="auto">
                          <a:xfrm>
                            <a:off x="4512" y="456"/>
                            <a:ext cx="83" cy="96"/>
                          </a:xfrm>
                          <a:custGeom>
                            <a:avLst/>
                            <a:gdLst>
                              <a:gd name="T0" fmla="+- 0 4595 4513"/>
                              <a:gd name="T1" fmla="*/ T0 w 83"/>
                              <a:gd name="T2" fmla="+- 0 465 456"/>
                              <a:gd name="T3" fmla="*/ 465 h 96"/>
                              <a:gd name="T4" fmla="+- 0 4587 4513"/>
                              <a:gd name="T5" fmla="*/ T4 w 83"/>
                              <a:gd name="T6" fmla="+- 0 456 456"/>
                              <a:gd name="T7" fmla="*/ 456 h 96"/>
                              <a:gd name="T8" fmla="+- 0 4513 4513"/>
                              <a:gd name="T9" fmla="*/ T8 w 83"/>
                              <a:gd name="T10" fmla="+- 0 543 456"/>
                              <a:gd name="T11" fmla="*/ 543 h 96"/>
                              <a:gd name="T12" fmla="+- 0 4521 4513"/>
                              <a:gd name="T13" fmla="*/ T12 w 83"/>
                              <a:gd name="T14" fmla="+- 0 552 456"/>
                              <a:gd name="T15" fmla="*/ 552 h 96"/>
                              <a:gd name="T16" fmla="+- 0 4595 4513"/>
                              <a:gd name="T17" fmla="*/ T16 w 83"/>
                              <a:gd name="T18" fmla="+- 0 465 456"/>
                              <a:gd name="T19" fmla="*/ 465 h 96"/>
                            </a:gdLst>
                            <a:ahLst/>
                            <a:cxnLst>
                              <a:cxn ang="0">
                                <a:pos x="T1" y="T3"/>
                              </a:cxn>
                              <a:cxn ang="0">
                                <a:pos x="T5" y="T7"/>
                              </a:cxn>
                              <a:cxn ang="0">
                                <a:pos x="T9" y="T11"/>
                              </a:cxn>
                              <a:cxn ang="0">
                                <a:pos x="T13" y="T15"/>
                              </a:cxn>
                              <a:cxn ang="0">
                                <a:pos x="T17" y="T19"/>
                              </a:cxn>
                            </a:cxnLst>
                            <a:rect l="0" t="0" r="r" b="b"/>
                            <a:pathLst>
                              <a:path w="83" h="96">
                                <a:moveTo>
                                  <a:pt x="82" y="9"/>
                                </a:moveTo>
                                <a:lnTo>
                                  <a:pt x="74" y="0"/>
                                </a:lnTo>
                                <a:lnTo>
                                  <a:pt x="0" y="87"/>
                                </a:lnTo>
                                <a:lnTo>
                                  <a:pt x="8" y="96"/>
                                </a:lnTo>
                                <a:lnTo>
                                  <a:pt x="82" y="9"/>
                                </a:lnTo>
                              </a:path>
                            </a:pathLst>
                          </a:custGeom>
                          <a:noFill/>
                          <a:ln w="151">
                            <a:solidFill>
                              <a:srgbClr val="000000"/>
                            </a:solidFill>
                            <a:prstDash val="solid"/>
                            <a:round/>
                          </a:ln>
                        </wps:spPr>
                        <wps:bodyPr rot="0" vert="horz" wrap="square" lIns="91440" tIns="45720" rIns="91440" bIns="45720" anchor="t" anchorCtr="0" upright="1">
                          <a:noAutofit/>
                        </wps:bodyPr>
                      </wps:wsp>
                      <wps:wsp>
                        <wps:cNvPr id="278" name="Freeform 168"/>
                        <wps:cNvSpPr/>
                        <wps:spPr bwMode="auto">
                          <a:xfrm>
                            <a:off x="5751" y="455"/>
                            <a:ext cx="75" cy="96"/>
                          </a:xfrm>
                          <a:custGeom>
                            <a:avLst/>
                            <a:gdLst>
                              <a:gd name="T0" fmla="+- 0 5825 5751"/>
                              <a:gd name="T1" fmla="*/ T0 w 75"/>
                              <a:gd name="T2" fmla="+- 0 456 456"/>
                              <a:gd name="T3" fmla="*/ 456 h 96"/>
                              <a:gd name="T4" fmla="+- 0 5751 5751"/>
                              <a:gd name="T5" fmla="*/ T4 w 75"/>
                              <a:gd name="T6" fmla="+- 0 543 456"/>
                              <a:gd name="T7" fmla="*/ 543 h 96"/>
                              <a:gd name="T8" fmla="+- 0 5759 5751"/>
                              <a:gd name="T9" fmla="*/ T8 w 75"/>
                              <a:gd name="T10" fmla="+- 0 552 456"/>
                              <a:gd name="T11" fmla="*/ 552 h 96"/>
                              <a:gd name="T12" fmla="+- 0 5825 5751"/>
                              <a:gd name="T13" fmla="*/ T12 w 75"/>
                              <a:gd name="T14" fmla="+- 0 456 456"/>
                              <a:gd name="T15" fmla="*/ 456 h 96"/>
                            </a:gdLst>
                            <a:ahLst/>
                            <a:cxnLst>
                              <a:cxn ang="0">
                                <a:pos x="T1" y="T3"/>
                              </a:cxn>
                              <a:cxn ang="0">
                                <a:pos x="T5" y="T7"/>
                              </a:cxn>
                              <a:cxn ang="0">
                                <a:pos x="T9" y="T11"/>
                              </a:cxn>
                              <a:cxn ang="0">
                                <a:pos x="T13" y="T15"/>
                              </a:cxn>
                            </a:cxnLst>
                            <a:rect l="0" t="0" r="r" b="b"/>
                            <a:pathLst>
                              <a:path w="75" h="96">
                                <a:moveTo>
                                  <a:pt x="74" y="0"/>
                                </a:moveTo>
                                <a:lnTo>
                                  <a:pt x="0" y="87"/>
                                </a:lnTo>
                                <a:lnTo>
                                  <a:pt x="8" y="96"/>
                                </a:lnTo>
                                <a:lnTo>
                                  <a:pt x="74" y="0"/>
                                </a:lnTo>
                                <a:close/>
                              </a:path>
                            </a:pathLst>
                          </a:custGeom>
                          <a:solidFill>
                            <a:srgbClr val="000000"/>
                          </a:solidFill>
                          <a:ln>
                            <a:noFill/>
                          </a:ln>
                        </wps:spPr>
                        <wps:bodyPr rot="0" vert="horz" wrap="square" lIns="91440" tIns="45720" rIns="91440" bIns="45720" anchor="t" anchorCtr="0" upright="1">
                          <a:noAutofit/>
                        </wps:bodyPr>
                      </wps:wsp>
                      <wps:wsp>
                        <wps:cNvPr id="279" name="Freeform 167"/>
                        <wps:cNvSpPr/>
                        <wps:spPr bwMode="auto">
                          <a:xfrm>
                            <a:off x="5758" y="455"/>
                            <a:ext cx="75" cy="96"/>
                          </a:xfrm>
                          <a:custGeom>
                            <a:avLst/>
                            <a:gdLst>
                              <a:gd name="T0" fmla="+- 0 5825 5759"/>
                              <a:gd name="T1" fmla="*/ T0 w 75"/>
                              <a:gd name="T2" fmla="+- 0 456 456"/>
                              <a:gd name="T3" fmla="*/ 456 h 96"/>
                              <a:gd name="T4" fmla="+- 0 5759 5759"/>
                              <a:gd name="T5" fmla="*/ T4 w 75"/>
                              <a:gd name="T6" fmla="+- 0 552 456"/>
                              <a:gd name="T7" fmla="*/ 552 h 96"/>
                              <a:gd name="T8" fmla="+- 0 5833 5759"/>
                              <a:gd name="T9" fmla="*/ T8 w 75"/>
                              <a:gd name="T10" fmla="+- 0 465 456"/>
                              <a:gd name="T11" fmla="*/ 465 h 96"/>
                              <a:gd name="T12" fmla="+- 0 5825 5759"/>
                              <a:gd name="T13" fmla="*/ T12 w 75"/>
                              <a:gd name="T14" fmla="+- 0 456 456"/>
                              <a:gd name="T15" fmla="*/ 456 h 96"/>
                            </a:gdLst>
                            <a:ahLst/>
                            <a:cxnLst>
                              <a:cxn ang="0">
                                <a:pos x="T1" y="T3"/>
                              </a:cxn>
                              <a:cxn ang="0">
                                <a:pos x="T5" y="T7"/>
                              </a:cxn>
                              <a:cxn ang="0">
                                <a:pos x="T9" y="T11"/>
                              </a:cxn>
                              <a:cxn ang="0">
                                <a:pos x="T13" y="T15"/>
                              </a:cxn>
                            </a:cxnLst>
                            <a:rect l="0" t="0" r="r" b="b"/>
                            <a:pathLst>
                              <a:path w="75" h="96">
                                <a:moveTo>
                                  <a:pt x="66" y="0"/>
                                </a:moveTo>
                                <a:lnTo>
                                  <a:pt x="0" y="96"/>
                                </a:lnTo>
                                <a:lnTo>
                                  <a:pt x="74" y="9"/>
                                </a:lnTo>
                                <a:lnTo>
                                  <a:pt x="66" y="0"/>
                                </a:lnTo>
                                <a:close/>
                              </a:path>
                            </a:pathLst>
                          </a:custGeom>
                          <a:solidFill>
                            <a:srgbClr val="000000"/>
                          </a:solidFill>
                          <a:ln>
                            <a:noFill/>
                          </a:ln>
                        </wps:spPr>
                        <wps:bodyPr rot="0" vert="horz" wrap="square" lIns="91440" tIns="45720" rIns="91440" bIns="45720" anchor="t" anchorCtr="0" upright="1">
                          <a:noAutofit/>
                        </wps:bodyPr>
                      </wps:wsp>
                      <wps:wsp>
                        <wps:cNvPr id="280" name="Freeform 166"/>
                        <wps:cNvSpPr/>
                        <wps:spPr bwMode="auto">
                          <a:xfrm>
                            <a:off x="5751" y="456"/>
                            <a:ext cx="83" cy="96"/>
                          </a:xfrm>
                          <a:custGeom>
                            <a:avLst/>
                            <a:gdLst>
                              <a:gd name="T0" fmla="+- 0 5751 5751"/>
                              <a:gd name="T1" fmla="*/ T0 w 83"/>
                              <a:gd name="T2" fmla="+- 0 543 456"/>
                              <a:gd name="T3" fmla="*/ 543 h 96"/>
                              <a:gd name="T4" fmla="+- 0 5759 5751"/>
                              <a:gd name="T5" fmla="*/ T4 w 83"/>
                              <a:gd name="T6" fmla="+- 0 552 456"/>
                              <a:gd name="T7" fmla="*/ 552 h 96"/>
                              <a:gd name="T8" fmla="+- 0 5833 5751"/>
                              <a:gd name="T9" fmla="*/ T8 w 83"/>
                              <a:gd name="T10" fmla="+- 0 465 456"/>
                              <a:gd name="T11" fmla="*/ 465 h 96"/>
                              <a:gd name="T12" fmla="+- 0 5826 5751"/>
                              <a:gd name="T13" fmla="*/ T12 w 83"/>
                              <a:gd name="T14" fmla="+- 0 456 456"/>
                              <a:gd name="T15" fmla="*/ 456 h 96"/>
                              <a:gd name="T16" fmla="+- 0 5751 5751"/>
                              <a:gd name="T17" fmla="*/ T16 w 83"/>
                              <a:gd name="T18" fmla="+- 0 543 456"/>
                              <a:gd name="T19" fmla="*/ 543 h 96"/>
                            </a:gdLst>
                            <a:ahLst/>
                            <a:cxnLst>
                              <a:cxn ang="0">
                                <a:pos x="T1" y="T3"/>
                              </a:cxn>
                              <a:cxn ang="0">
                                <a:pos x="T5" y="T7"/>
                              </a:cxn>
                              <a:cxn ang="0">
                                <a:pos x="T9" y="T11"/>
                              </a:cxn>
                              <a:cxn ang="0">
                                <a:pos x="T13" y="T15"/>
                              </a:cxn>
                              <a:cxn ang="0">
                                <a:pos x="T17" y="T19"/>
                              </a:cxn>
                            </a:cxnLst>
                            <a:rect l="0" t="0" r="r" b="b"/>
                            <a:pathLst>
                              <a:path w="83" h="96">
                                <a:moveTo>
                                  <a:pt x="0" y="87"/>
                                </a:moveTo>
                                <a:lnTo>
                                  <a:pt x="8" y="96"/>
                                </a:lnTo>
                                <a:lnTo>
                                  <a:pt x="82" y="9"/>
                                </a:lnTo>
                                <a:lnTo>
                                  <a:pt x="75" y="0"/>
                                </a:lnTo>
                                <a:lnTo>
                                  <a:pt x="0" y="87"/>
                                </a:lnTo>
                              </a:path>
                            </a:pathLst>
                          </a:custGeom>
                          <a:noFill/>
                          <a:ln w="151">
                            <a:solidFill>
                              <a:srgbClr val="000000"/>
                            </a:solidFill>
                            <a:prstDash val="solid"/>
                            <a:round/>
                          </a:ln>
                        </wps:spPr>
                        <wps:bodyPr rot="0" vert="horz" wrap="square" lIns="91440" tIns="45720" rIns="91440" bIns="45720" anchor="t" anchorCtr="0" upright="1">
                          <a:noAutofit/>
                        </wps:bodyPr>
                      </wps:wsp>
                      <wps:wsp>
                        <wps:cNvPr id="281" name="Line 165"/>
                        <wps:cNvCnPr>
                          <a:cxnSpLocks noChangeShapeType="1"/>
                        </wps:cNvCnPr>
                        <wps:spPr bwMode="auto">
                          <a:xfrm>
                            <a:off x="5792" y="504"/>
                            <a:ext cx="1" cy="0"/>
                          </a:xfrm>
                          <a:prstGeom prst="line">
                            <a:avLst/>
                          </a:prstGeom>
                          <a:noFill/>
                          <a:ln w="163">
                            <a:solidFill>
                              <a:srgbClr val="000000"/>
                            </a:solidFill>
                            <a:round/>
                          </a:ln>
                        </wps:spPr>
                        <wps:bodyPr/>
                      </wps:wsp>
                      <wps:wsp>
                        <wps:cNvPr id="282" name="Line 164"/>
                        <wps:cNvCnPr>
                          <a:cxnSpLocks noChangeShapeType="1"/>
                        </wps:cNvCnPr>
                        <wps:spPr bwMode="auto">
                          <a:xfrm>
                            <a:off x="4554" y="1227"/>
                            <a:ext cx="0" cy="0"/>
                          </a:xfrm>
                          <a:prstGeom prst="line">
                            <a:avLst/>
                          </a:prstGeom>
                          <a:noFill/>
                          <a:ln w="163">
                            <a:solidFill>
                              <a:srgbClr val="000000"/>
                            </a:solidFill>
                            <a:round/>
                          </a:ln>
                        </wps:spPr>
                        <wps:bodyPr/>
                      </wps:wsp>
                      <wps:wsp>
                        <wps:cNvPr id="283" name="Line 163"/>
                        <wps:cNvCnPr>
                          <a:cxnSpLocks noChangeShapeType="1"/>
                        </wps:cNvCnPr>
                        <wps:spPr bwMode="auto">
                          <a:xfrm>
                            <a:off x="5477" y="1127"/>
                            <a:ext cx="0" cy="2240"/>
                          </a:xfrm>
                          <a:prstGeom prst="line">
                            <a:avLst/>
                          </a:prstGeom>
                          <a:noFill/>
                          <a:ln w="2578">
                            <a:solidFill>
                              <a:srgbClr val="000000"/>
                            </a:solidFill>
                            <a:round/>
                          </a:ln>
                        </wps:spPr>
                        <wps:bodyPr/>
                      </wps:wsp>
                      <wps:wsp>
                        <wps:cNvPr id="284" name="Line 162"/>
                        <wps:cNvCnPr>
                          <a:cxnSpLocks noChangeShapeType="1"/>
                        </wps:cNvCnPr>
                        <wps:spPr bwMode="auto">
                          <a:xfrm>
                            <a:off x="5477" y="1127"/>
                            <a:ext cx="0" cy="2240"/>
                          </a:xfrm>
                          <a:prstGeom prst="line">
                            <a:avLst/>
                          </a:prstGeom>
                          <a:noFill/>
                          <a:ln w="2578">
                            <a:solidFill>
                              <a:srgbClr val="000000"/>
                            </a:solidFill>
                            <a:round/>
                          </a:ln>
                        </wps:spPr>
                        <wps:bodyPr/>
                      </wps:wsp>
                      <wps:wsp>
                        <wps:cNvPr id="285" name="Line 161"/>
                        <wps:cNvCnPr>
                          <a:cxnSpLocks noChangeShapeType="1"/>
                        </wps:cNvCnPr>
                        <wps:spPr bwMode="auto">
                          <a:xfrm>
                            <a:off x="5477" y="1127"/>
                            <a:ext cx="0" cy="2240"/>
                          </a:xfrm>
                          <a:prstGeom prst="line">
                            <a:avLst/>
                          </a:prstGeom>
                          <a:noFill/>
                          <a:ln w="2719">
                            <a:solidFill>
                              <a:srgbClr val="000000"/>
                            </a:solidFill>
                            <a:round/>
                          </a:ln>
                        </wps:spPr>
                        <wps:bodyPr/>
                      </wps:wsp>
                      <wps:wsp>
                        <wps:cNvPr id="286" name="Line 160"/>
                        <wps:cNvCnPr>
                          <a:cxnSpLocks noChangeShapeType="1"/>
                        </wps:cNvCnPr>
                        <wps:spPr bwMode="auto">
                          <a:xfrm>
                            <a:off x="5394" y="647"/>
                            <a:ext cx="0" cy="2720"/>
                          </a:xfrm>
                          <a:prstGeom prst="line">
                            <a:avLst/>
                          </a:prstGeom>
                          <a:noFill/>
                          <a:ln w="2572">
                            <a:solidFill>
                              <a:srgbClr val="000000"/>
                            </a:solidFill>
                            <a:round/>
                          </a:ln>
                        </wps:spPr>
                        <wps:bodyPr/>
                      </wps:wsp>
                      <wps:wsp>
                        <wps:cNvPr id="287" name="Line 159"/>
                        <wps:cNvCnPr>
                          <a:cxnSpLocks noChangeShapeType="1"/>
                        </wps:cNvCnPr>
                        <wps:spPr bwMode="auto">
                          <a:xfrm>
                            <a:off x="5394" y="647"/>
                            <a:ext cx="0" cy="2720"/>
                          </a:xfrm>
                          <a:prstGeom prst="line">
                            <a:avLst/>
                          </a:prstGeom>
                          <a:noFill/>
                          <a:ln w="2572">
                            <a:solidFill>
                              <a:srgbClr val="000000"/>
                            </a:solidFill>
                            <a:round/>
                          </a:ln>
                        </wps:spPr>
                        <wps:bodyPr/>
                      </wps:wsp>
                      <wps:wsp>
                        <wps:cNvPr id="288" name="Line 158"/>
                        <wps:cNvCnPr>
                          <a:cxnSpLocks noChangeShapeType="1"/>
                        </wps:cNvCnPr>
                        <wps:spPr bwMode="auto">
                          <a:xfrm>
                            <a:off x="5394" y="647"/>
                            <a:ext cx="0" cy="2720"/>
                          </a:xfrm>
                          <a:prstGeom prst="line">
                            <a:avLst/>
                          </a:prstGeom>
                          <a:noFill/>
                          <a:ln w="2713">
                            <a:solidFill>
                              <a:srgbClr val="000000"/>
                            </a:solidFill>
                            <a:round/>
                          </a:ln>
                        </wps:spPr>
                        <wps:bodyPr/>
                      </wps:wsp>
                      <wps:wsp>
                        <wps:cNvPr id="289" name="Freeform 157"/>
                        <wps:cNvSpPr/>
                        <wps:spPr bwMode="auto">
                          <a:xfrm>
                            <a:off x="3955" y="1223"/>
                            <a:ext cx="609" cy="2385"/>
                          </a:xfrm>
                          <a:custGeom>
                            <a:avLst/>
                            <a:gdLst>
                              <a:gd name="T0" fmla="+- 0 4544 3956"/>
                              <a:gd name="T1" fmla="*/ T0 w 609"/>
                              <a:gd name="T2" fmla="+- 0 1223 1223"/>
                              <a:gd name="T3" fmla="*/ 1223 h 2385"/>
                              <a:gd name="T4" fmla="+- 0 3956 3956"/>
                              <a:gd name="T5" fmla="*/ T4 w 609"/>
                              <a:gd name="T6" fmla="+- 0 3608 1223"/>
                              <a:gd name="T7" fmla="*/ 3608 h 2385"/>
                              <a:gd name="T8" fmla="+- 0 4564 3956"/>
                              <a:gd name="T9" fmla="*/ T8 w 609"/>
                              <a:gd name="T10" fmla="+- 0 1230 1223"/>
                              <a:gd name="T11" fmla="*/ 1230 h 2385"/>
                              <a:gd name="T12" fmla="+- 0 4544 3956"/>
                              <a:gd name="T13" fmla="*/ T12 w 609"/>
                              <a:gd name="T14" fmla="+- 0 1223 1223"/>
                              <a:gd name="T15" fmla="*/ 1223 h 2385"/>
                            </a:gdLst>
                            <a:ahLst/>
                            <a:cxnLst>
                              <a:cxn ang="0">
                                <a:pos x="T1" y="T3"/>
                              </a:cxn>
                              <a:cxn ang="0">
                                <a:pos x="T5" y="T7"/>
                              </a:cxn>
                              <a:cxn ang="0">
                                <a:pos x="T9" y="T11"/>
                              </a:cxn>
                              <a:cxn ang="0">
                                <a:pos x="T13" y="T15"/>
                              </a:cxn>
                            </a:cxnLst>
                            <a:rect l="0" t="0" r="r" b="b"/>
                            <a:pathLst>
                              <a:path w="609" h="2385">
                                <a:moveTo>
                                  <a:pt x="588" y="0"/>
                                </a:moveTo>
                                <a:lnTo>
                                  <a:pt x="0" y="2385"/>
                                </a:lnTo>
                                <a:lnTo>
                                  <a:pt x="608" y="7"/>
                                </a:lnTo>
                                <a:lnTo>
                                  <a:pt x="588" y="0"/>
                                </a:lnTo>
                                <a:close/>
                              </a:path>
                            </a:pathLst>
                          </a:custGeom>
                          <a:solidFill>
                            <a:srgbClr val="000000"/>
                          </a:solidFill>
                          <a:ln>
                            <a:noFill/>
                          </a:ln>
                        </wps:spPr>
                        <wps:bodyPr rot="0" vert="horz" wrap="square" lIns="91440" tIns="45720" rIns="91440" bIns="45720" anchor="t" anchorCtr="0" upright="1">
                          <a:noAutofit/>
                        </wps:bodyPr>
                      </wps:wsp>
                      <wps:wsp>
                        <wps:cNvPr id="290" name="Freeform 156"/>
                        <wps:cNvSpPr/>
                        <wps:spPr bwMode="auto">
                          <a:xfrm>
                            <a:off x="3935" y="1223"/>
                            <a:ext cx="609" cy="2385"/>
                          </a:xfrm>
                          <a:custGeom>
                            <a:avLst/>
                            <a:gdLst>
                              <a:gd name="T0" fmla="+- 0 4544 3936"/>
                              <a:gd name="T1" fmla="*/ T0 w 609"/>
                              <a:gd name="T2" fmla="+- 0 1223 1223"/>
                              <a:gd name="T3" fmla="*/ 1223 h 2385"/>
                              <a:gd name="T4" fmla="+- 0 3936 3936"/>
                              <a:gd name="T5" fmla="*/ T4 w 609"/>
                              <a:gd name="T6" fmla="+- 0 3601 1223"/>
                              <a:gd name="T7" fmla="*/ 3601 h 2385"/>
                              <a:gd name="T8" fmla="+- 0 3956 3936"/>
                              <a:gd name="T9" fmla="*/ T8 w 609"/>
                              <a:gd name="T10" fmla="+- 0 3608 1223"/>
                              <a:gd name="T11" fmla="*/ 3608 h 2385"/>
                              <a:gd name="T12" fmla="+- 0 4544 3936"/>
                              <a:gd name="T13" fmla="*/ T12 w 609"/>
                              <a:gd name="T14" fmla="+- 0 1223 1223"/>
                              <a:gd name="T15" fmla="*/ 1223 h 2385"/>
                            </a:gdLst>
                            <a:ahLst/>
                            <a:cxnLst>
                              <a:cxn ang="0">
                                <a:pos x="T1" y="T3"/>
                              </a:cxn>
                              <a:cxn ang="0">
                                <a:pos x="T5" y="T7"/>
                              </a:cxn>
                              <a:cxn ang="0">
                                <a:pos x="T9" y="T11"/>
                              </a:cxn>
                              <a:cxn ang="0">
                                <a:pos x="T13" y="T15"/>
                              </a:cxn>
                            </a:cxnLst>
                            <a:rect l="0" t="0" r="r" b="b"/>
                            <a:pathLst>
                              <a:path w="609" h="2385">
                                <a:moveTo>
                                  <a:pt x="608" y="0"/>
                                </a:moveTo>
                                <a:lnTo>
                                  <a:pt x="0" y="2378"/>
                                </a:lnTo>
                                <a:lnTo>
                                  <a:pt x="20" y="2385"/>
                                </a:lnTo>
                                <a:lnTo>
                                  <a:pt x="608" y="0"/>
                                </a:lnTo>
                                <a:close/>
                              </a:path>
                            </a:pathLst>
                          </a:custGeom>
                          <a:solidFill>
                            <a:srgbClr val="000000"/>
                          </a:solidFill>
                          <a:ln>
                            <a:noFill/>
                          </a:ln>
                        </wps:spPr>
                        <wps:bodyPr rot="0" vert="horz" wrap="square" lIns="91440" tIns="45720" rIns="91440" bIns="45720" anchor="t" anchorCtr="0" upright="1">
                          <a:noAutofit/>
                        </wps:bodyPr>
                      </wps:wsp>
                      <wps:wsp>
                        <wps:cNvPr id="291" name="Freeform 155"/>
                        <wps:cNvSpPr/>
                        <wps:spPr bwMode="auto">
                          <a:xfrm>
                            <a:off x="3935" y="1223"/>
                            <a:ext cx="628" cy="2385"/>
                          </a:xfrm>
                          <a:custGeom>
                            <a:avLst/>
                            <a:gdLst>
                              <a:gd name="T0" fmla="+- 0 4564 3936"/>
                              <a:gd name="T1" fmla="*/ T0 w 628"/>
                              <a:gd name="T2" fmla="+- 0 1230 1223"/>
                              <a:gd name="T3" fmla="*/ 1230 h 2385"/>
                              <a:gd name="T4" fmla="+- 0 4544 3936"/>
                              <a:gd name="T5" fmla="*/ T4 w 628"/>
                              <a:gd name="T6" fmla="+- 0 1223 1223"/>
                              <a:gd name="T7" fmla="*/ 1223 h 2385"/>
                              <a:gd name="T8" fmla="+- 0 3936 3936"/>
                              <a:gd name="T9" fmla="*/ T8 w 628"/>
                              <a:gd name="T10" fmla="+- 0 3601 1223"/>
                              <a:gd name="T11" fmla="*/ 3601 h 2385"/>
                              <a:gd name="T12" fmla="+- 0 3956 3936"/>
                              <a:gd name="T13" fmla="*/ T12 w 628"/>
                              <a:gd name="T14" fmla="+- 0 3608 1223"/>
                              <a:gd name="T15" fmla="*/ 3608 h 2385"/>
                              <a:gd name="T16" fmla="+- 0 4564 3936"/>
                              <a:gd name="T17" fmla="*/ T16 w 628"/>
                              <a:gd name="T18" fmla="+- 0 1230 1223"/>
                              <a:gd name="T19" fmla="*/ 1230 h 2385"/>
                            </a:gdLst>
                            <a:ahLst/>
                            <a:cxnLst>
                              <a:cxn ang="0">
                                <a:pos x="T1" y="T3"/>
                              </a:cxn>
                              <a:cxn ang="0">
                                <a:pos x="T5" y="T7"/>
                              </a:cxn>
                              <a:cxn ang="0">
                                <a:pos x="T9" y="T11"/>
                              </a:cxn>
                              <a:cxn ang="0">
                                <a:pos x="T13" y="T15"/>
                              </a:cxn>
                              <a:cxn ang="0">
                                <a:pos x="T17" y="T19"/>
                              </a:cxn>
                            </a:cxnLst>
                            <a:rect l="0" t="0" r="r" b="b"/>
                            <a:pathLst>
                              <a:path w="628" h="2385">
                                <a:moveTo>
                                  <a:pt x="628" y="7"/>
                                </a:moveTo>
                                <a:lnTo>
                                  <a:pt x="608" y="0"/>
                                </a:lnTo>
                                <a:lnTo>
                                  <a:pt x="0" y="2378"/>
                                </a:lnTo>
                                <a:lnTo>
                                  <a:pt x="20" y="2385"/>
                                </a:lnTo>
                                <a:lnTo>
                                  <a:pt x="628" y="7"/>
                                </a:lnTo>
                              </a:path>
                            </a:pathLst>
                          </a:custGeom>
                          <a:noFill/>
                          <a:ln w="143">
                            <a:solidFill>
                              <a:srgbClr val="000000"/>
                            </a:solidFill>
                            <a:prstDash val="solid"/>
                            <a:round/>
                          </a:ln>
                        </wps:spPr>
                        <wps:bodyPr rot="0" vert="horz" wrap="square" lIns="91440" tIns="45720" rIns="91440" bIns="45720" anchor="t" anchorCtr="0" upright="1">
                          <a:noAutofit/>
                        </wps:bodyPr>
                      </wps:wsp>
                      <wps:wsp>
                        <wps:cNvPr id="292" name="Line 154"/>
                        <wps:cNvCnPr>
                          <a:cxnSpLocks noChangeShapeType="1"/>
                        </wps:cNvCnPr>
                        <wps:spPr bwMode="auto">
                          <a:xfrm>
                            <a:off x="5171" y="3367"/>
                            <a:ext cx="0" cy="237"/>
                          </a:xfrm>
                          <a:prstGeom prst="line">
                            <a:avLst/>
                          </a:prstGeom>
                          <a:noFill/>
                          <a:ln w="2578">
                            <a:solidFill>
                              <a:srgbClr val="000000"/>
                            </a:solidFill>
                            <a:round/>
                          </a:ln>
                        </wps:spPr>
                        <wps:bodyPr/>
                      </wps:wsp>
                      <wps:wsp>
                        <wps:cNvPr id="293" name="Line 153"/>
                        <wps:cNvCnPr>
                          <a:cxnSpLocks noChangeShapeType="1"/>
                        </wps:cNvCnPr>
                        <wps:spPr bwMode="auto">
                          <a:xfrm>
                            <a:off x="5171" y="3367"/>
                            <a:ext cx="0" cy="237"/>
                          </a:xfrm>
                          <a:prstGeom prst="line">
                            <a:avLst/>
                          </a:prstGeom>
                          <a:noFill/>
                          <a:ln w="2578">
                            <a:solidFill>
                              <a:srgbClr val="000000"/>
                            </a:solidFill>
                            <a:round/>
                          </a:ln>
                        </wps:spPr>
                        <wps:bodyPr/>
                      </wps:wsp>
                      <wps:wsp>
                        <wps:cNvPr id="294" name="Line 152"/>
                        <wps:cNvCnPr>
                          <a:cxnSpLocks noChangeShapeType="1"/>
                        </wps:cNvCnPr>
                        <wps:spPr bwMode="auto">
                          <a:xfrm>
                            <a:off x="5171" y="3367"/>
                            <a:ext cx="0" cy="237"/>
                          </a:xfrm>
                          <a:prstGeom prst="line">
                            <a:avLst/>
                          </a:prstGeom>
                          <a:noFill/>
                          <a:ln w="2717">
                            <a:solidFill>
                              <a:srgbClr val="000000"/>
                            </a:solidFill>
                            <a:round/>
                          </a:ln>
                        </wps:spPr>
                        <wps:bodyPr/>
                      </wps:wsp>
                      <wps:wsp>
                        <wps:cNvPr id="295" name="Freeform 151"/>
                        <wps:cNvSpPr/>
                        <wps:spPr bwMode="auto">
                          <a:xfrm>
                            <a:off x="3869" y="1226"/>
                            <a:ext cx="659" cy="2"/>
                          </a:xfrm>
                          <a:custGeom>
                            <a:avLst/>
                            <a:gdLst>
                              <a:gd name="T0" fmla="+- 0 4528 3870"/>
                              <a:gd name="T1" fmla="*/ T0 w 659"/>
                              <a:gd name="T2" fmla="+- 0 3870 3870"/>
                              <a:gd name="T3" fmla="*/ T2 w 659"/>
                              <a:gd name="T4" fmla="+- 0 3870 3870"/>
                              <a:gd name="T5" fmla="*/ T4 w 659"/>
                            </a:gdLst>
                            <a:ahLst/>
                            <a:cxnLst>
                              <a:cxn ang="0">
                                <a:pos x="T1" y="0"/>
                              </a:cxn>
                              <a:cxn ang="0">
                                <a:pos x="T3" y="0"/>
                              </a:cxn>
                              <a:cxn ang="0">
                                <a:pos x="T5" y="0"/>
                              </a:cxn>
                            </a:cxnLst>
                            <a:rect l="0" t="0" r="r" b="b"/>
                            <a:pathLst>
                              <a:path w="659">
                                <a:moveTo>
                                  <a:pt x="658" y="0"/>
                                </a:moveTo>
                                <a:lnTo>
                                  <a:pt x="0" y="0"/>
                                </a:lnTo>
                              </a:path>
                            </a:pathLst>
                          </a:custGeom>
                          <a:noFill/>
                          <a:ln w="164">
                            <a:solidFill>
                              <a:srgbClr val="000000"/>
                            </a:solidFill>
                            <a:prstDash val="solid"/>
                            <a:round/>
                          </a:ln>
                        </wps:spPr>
                        <wps:bodyPr rot="0" vert="horz" wrap="square" lIns="91440" tIns="45720" rIns="91440" bIns="45720" anchor="t" anchorCtr="0" upright="1">
                          <a:noAutofit/>
                        </wps:bodyPr>
                      </wps:wsp>
                      <wps:wsp>
                        <wps:cNvPr id="296" name="Freeform 150"/>
                        <wps:cNvSpPr/>
                        <wps:spPr bwMode="auto">
                          <a:xfrm>
                            <a:off x="3869" y="1613"/>
                            <a:ext cx="420" cy="2"/>
                          </a:xfrm>
                          <a:custGeom>
                            <a:avLst/>
                            <a:gdLst>
                              <a:gd name="T0" fmla="+- 0 4289 3870"/>
                              <a:gd name="T1" fmla="*/ T0 w 420"/>
                              <a:gd name="T2" fmla="+- 0 3870 3870"/>
                              <a:gd name="T3" fmla="*/ T2 w 420"/>
                              <a:gd name="T4" fmla="+- 0 3870 3870"/>
                              <a:gd name="T5" fmla="*/ T4 w 420"/>
                            </a:gdLst>
                            <a:ahLst/>
                            <a:cxnLst>
                              <a:cxn ang="0">
                                <a:pos x="T1" y="0"/>
                              </a:cxn>
                              <a:cxn ang="0">
                                <a:pos x="T3" y="0"/>
                              </a:cxn>
                              <a:cxn ang="0">
                                <a:pos x="T5" y="0"/>
                              </a:cxn>
                            </a:cxnLst>
                            <a:rect l="0" t="0" r="r" b="b"/>
                            <a:pathLst>
                              <a:path w="420">
                                <a:moveTo>
                                  <a:pt x="419" y="0"/>
                                </a:moveTo>
                                <a:lnTo>
                                  <a:pt x="0" y="0"/>
                                </a:lnTo>
                              </a:path>
                            </a:pathLst>
                          </a:custGeom>
                          <a:noFill/>
                          <a:ln w="164">
                            <a:solidFill>
                              <a:srgbClr val="000000"/>
                            </a:solidFill>
                            <a:prstDash val="solid"/>
                            <a:round/>
                          </a:ln>
                        </wps:spPr>
                        <wps:bodyPr rot="0" vert="horz" wrap="square" lIns="91440" tIns="45720" rIns="91440" bIns="45720" anchor="t" anchorCtr="0" upright="1">
                          <a:noAutofit/>
                        </wps:bodyPr>
                      </wps:wsp>
                      <wps:wsp>
                        <wps:cNvPr id="297" name="Freeform 149"/>
                        <wps:cNvSpPr/>
                        <wps:spPr bwMode="auto">
                          <a:xfrm>
                            <a:off x="3943" y="1226"/>
                            <a:ext cx="2" cy="387"/>
                          </a:xfrm>
                          <a:custGeom>
                            <a:avLst/>
                            <a:gdLst>
                              <a:gd name="T0" fmla="+- 0 3944 3944"/>
                              <a:gd name="T1" fmla="*/ T0 w 1"/>
                              <a:gd name="T2" fmla="+- 0 1227 1227"/>
                              <a:gd name="T3" fmla="*/ 1227 h 387"/>
                              <a:gd name="T4" fmla="+- 0 3944 3944"/>
                              <a:gd name="T5" fmla="*/ T4 w 1"/>
                              <a:gd name="T6" fmla="+- 0 1613 1227"/>
                              <a:gd name="T7" fmla="*/ 1613 h 387"/>
                              <a:gd name="T8" fmla="+- 0 3944 3944"/>
                              <a:gd name="T9" fmla="*/ T8 w 1"/>
                              <a:gd name="T10" fmla="+- 0 1613 1227"/>
                              <a:gd name="T11" fmla="*/ 1613 h 387"/>
                            </a:gdLst>
                            <a:ahLst/>
                            <a:cxnLst>
                              <a:cxn ang="0">
                                <a:pos x="T1" y="T3"/>
                              </a:cxn>
                              <a:cxn ang="0">
                                <a:pos x="T5" y="T7"/>
                              </a:cxn>
                              <a:cxn ang="0">
                                <a:pos x="T9" y="T11"/>
                              </a:cxn>
                            </a:cxnLst>
                            <a:rect l="0" t="0" r="r" b="b"/>
                            <a:pathLst>
                              <a:path w="1" h="387">
                                <a:moveTo>
                                  <a:pt x="0" y="0"/>
                                </a:moveTo>
                                <a:lnTo>
                                  <a:pt x="0" y="386"/>
                                </a:lnTo>
                              </a:path>
                            </a:pathLst>
                          </a:custGeom>
                          <a:noFill/>
                          <a:ln w="141">
                            <a:solidFill>
                              <a:srgbClr val="000000"/>
                            </a:solidFill>
                            <a:prstDash val="solid"/>
                            <a:round/>
                          </a:ln>
                        </wps:spPr>
                        <wps:bodyPr rot="0" vert="horz" wrap="square" lIns="91440" tIns="45720" rIns="91440" bIns="45720" anchor="t" anchorCtr="0" upright="1">
                          <a:noAutofit/>
                        </wps:bodyPr>
                      </wps:wsp>
                      <wps:wsp>
                        <wps:cNvPr id="298" name="Freeform 148"/>
                        <wps:cNvSpPr/>
                        <wps:spPr bwMode="auto">
                          <a:xfrm>
                            <a:off x="3644" y="1655"/>
                            <a:ext cx="124" cy="97"/>
                          </a:xfrm>
                          <a:custGeom>
                            <a:avLst/>
                            <a:gdLst>
                              <a:gd name="T0" fmla="+- 0 3645 3645"/>
                              <a:gd name="T1" fmla="*/ T0 w 124"/>
                              <a:gd name="T2" fmla="+- 0 1711 1656"/>
                              <a:gd name="T3" fmla="*/ 1711 h 97"/>
                              <a:gd name="T4" fmla="+- 0 3651 3645"/>
                              <a:gd name="T5" fmla="*/ T4 w 124"/>
                              <a:gd name="T6" fmla="+- 0 1731 1656"/>
                              <a:gd name="T7" fmla="*/ 1731 h 97"/>
                              <a:gd name="T8" fmla="+- 0 3668 3645"/>
                              <a:gd name="T9" fmla="*/ T8 w 124"/>
                              <a:gd name="T10" fmla="+- 0 1745 1656"/>
                              <a:gd name="T11" fmla="*/ 1745 h 97"/>
                              <a:gd name="T12" fmla="+- 0 3698 3645"/>
                              <a:gd name="T13" fmla="*/ T12 w 124"/>
                              <a:gd name="T14" fmla="+- 0 1752 1656"/>
                              <a:gd name="T15" fmla="*/ 1752 h 97"/>
                              <a:gd name="T16" fmla="+- 0 3715 3645"/>
                              <a:gd name="T17" fmla="*/ T16 w 124"/>
                              <a:gd name="T18" fmla="+- 0 1752 1656"/>
                              <a:gd name="T19" fmla="*/ 1752 h 97"/>
                              <a:gd name="T20" fmla="+- 0 3745 3645"/>
                              <a:gd name="T21" fmla="*/ T20 w 124"/>
                              <a:gd name="T22" fmla="+- 0 1745 1656"/>
                              <a:gd name="T23" fmla="*/ 1745 h 97"/>
                              <a:gd name="T24" fmla="+- 0 3763 3645"/>
                              <a:gd name="T25" fmla="*/ T24 w 124"/>
                              <a:gd name="T26" fmla="+- 0 1731 1656"/>
                              <a:gd name="T27" fmla="*/ 1731 h 97"/>
                              <a:gd name="T28" fmla="+- 0 3769 3645"/>
                              <a:gd name="T29" fmla="*/ T28 w 124"/>
                              <a:gd name="T30" fmla="+- 0 1711 1656"/>
                              <a:gd name="T31" fmla="*/ 1711 h 97"/>
                              <a:gd name="T32" fmla="+- 0 3769 3645"/>
                              <a:gd name="T33" fmla="*/ T32 w 124"/>
                              <a:gd name="T34" fmla="+- 0 1697 1656"/>
                              <a:gd name="T35" fmla="*/ 1697 h 97"/>
                              <a:gd name="T36" fmla="+- 0 3763 3645"/>
                              <a:gd name="T37" fmla="*/ T36 w 124"/>
                              <a:gd name="T38" fmla="+- 0 1676 1656"/>
                              <a:gd name="T39" fmla="*/ 1676 h 97"/>
                              <a:gd name="T40" fmla="+- 0 3745 3645"/>
                              <a:gd name="T41" fmla="*/ T40 w 124"/>
                              <a:gd name="T42" fmla="+- 0 1663 1656"/>
                              <a:gd name="T43" fmla="*/ 1663 h 97"/>
                              <a:gd name="T44" fmla="+- 0 3715 3645"/>
                              <a:gd name="T45" fmla="*/ T44 w 124"/>
                              <a:gd name="T46" fmla="+- 0 1656 1656"/>
                              <a:gd name="T47" fmla="*/ 1656 h 97"/>
                              <a:gd name="T48" fmla="+- 0 3698 3645"/>
                              <a:gd name="T49" fmla="*/ T48 w 124"/>
                              <a:gd name="T50" fmla="+- 0 1656 1656"/>
                              <a:gd name="T51" fmla="*/ 1656 h 97"/>
                              <a:gd name="T52" fmla="+- 0 3668 3645"/>
                              <a:gd name="T53" fmla="*/ T52 w 124"/>
                              <a:gd name="T54" fmla="+- 0 1663 1656"/>
                              <a:gd name="T55" fmla="*/ 1663 h 97"/>
                              <a:gd name="T56" fmla="+- 0 3651 3645"/>
                              <a:gd name="T57" fmla="*/ T56 w 124"/>
                              <a:gd name="T58" fmla="+- 0 1676 1656"/>
                              <a:gd name="T59" fmla="*/ 1676 h 97"/>
                              <a:gd name="T60" fmla="+- 0 3645 3645"/>
                              <a:gd name="T61" fmla="*/ T60 w 124"/>
                              <a:gd name="T62" fmla="+- 0 1697 1656"/>
                              <a:gd name="T63" fmla="*/ 1697 h 97"/>
                              <a:gd name="T64" fmla="+- 0 3645 3645"/>
                              <a:gd name="T65" fmla="*/ T64 w 124"/>
                              <a:gd name="T66" fmla="+- 0 1711 1656"/>
                              <a:gd name="T67" fmla="*/ 1711 h 97"/>
                              <a:gd name="T68" fmla="+- 0 3645 3645"/>
                              <a:gd name="T69" fmla="*/ T68 w 124"/>
                              <a:gd name="T70" fmla="+- 0 1711 1656"/>
                              <a:gd name="T71" fmla="*/ 1711 h 9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124" h="97">
                                <a:moveTo>
                                  <a:pt x="0" y="55"/>
                                </a:moveTo>
                                <a:lnTo>
                                  <a:pt x="6" y="75"/>
                                </a:lnTo>
                                <a:lnTo>
                                  <a:pt x="23" y="89"/>
                                </a:lnTo>
                                <a:lnTo>
                                  <a:pt x="53" y="96"/>
                                </a:lnTo>
                                <a:lnTo>
                                  <a:pt x="70" y="96"/>
                                </a:lnTo>
                                <a:lnTo>
                                  <a:pt x="100" y="89"/>
                                </a:lnTo>
                                <a:lnTo>
                                  <a:pt x="118" y="75"/>
                                </a:lnTo>
                                <a:lnTo>
                                  <a:pt x="124" y="55"/>
                                </a:lnTo>
                                <a:lnTo>
                                  <a:pt x="124" y="41"/>
                                </a:lnTo>
                                <a:lnTo>
                                  <a:pt x="118" y="20"/>
                                </a:lnTo>
                                <a:lnTo>
                                  <a:pt x="100" y="7"/>
                                </a:lnTo>
                                <a:lnTo>
                                  <a:pt x="70" y="0"/>
                                </a:lnTo>
                                <a:lnTo>
                                  <a:pt x="53" y="0"/>
                                </a:lnTo>
                                <a:lnTo>
                                  <a:pt x="23" y="7"/>
                                </a:lnTo>
                                <a:lnTo>
                                  <a:pt x="6" y="20"/>
                                </a:lnTo>
                                <a:lnTo>
                                  <a:pt x="0" y="41"/>
                                </a:lnTo>
                                <a:lnTo>
                                  <a:pt x="0" y="55"/>
                                </a:lnTo>
                              </a:path>
                            </a:pathLst>
                          </a:custGeom>
                          <a:noFill/>
                          <a:ln w="155">
                            <a:solidFill>
                              <a:srgbClr val="000000"/>
                            </a:solidFill>
                            <a:prstDash val="solid"/>
                            <a:round/>
                          </a:ln>
                        </wps:spPr>
                        <wps:bodyPr rot="0" vert="horz" wrap="square" lIns="91440" tIns="45720" rIns="91440" bIns="45720" anchor="t" anchorCtr="0" upright="1">
                          <a:noAutofit/>
                        </wps:bodyPr>
                      </wps:wsp>
                      <wps:wsp>
                        <wps:cNvPr id="299" name="Freeform 147"/>
                        <wps:cNvSpPr/>
                        <wps:spPr bwMode="auto">
                          <a:xfrm>
                            <a:off x="3756" y="1594"/>
                            <a:ext cx="12" cy="14"/>
                          </a:xfrm>
                          <a:custGeom>
                            <a:avLst/>
                            <a:gdLst>
                              <a:gd name="T0" fmla="+- 0 3757 3757"/>
                              <a:gd name="T1" fmla="*/ T0 w 12"/>
                              <a:gd name="T2" fmla="+- 0 1601 1594"/>
                              <a:gd name="T3" fmla="*/ 1601 h 14"/>
                              <a:gd name="T4" fmla="+- 0 3763 3757"/>
                              <a:gd name="T5" fmla="*/ T4 w 12"/>
                              <a:gd name="T6" fmla="+- 0 1608 1594"/>
                              <a:gd name="T7" fmla="*/ 1608 h 14"/>
                              <a:gd name="T8" fmla="+- 0 3769 3757"/>
                              <a:gd name="T9" fmla="*/ T8 w 12"/>
                              <a:gd name="T10" fmla="+- 0 1601 1594"/>
                              <a:gd name="T11" fmla="*/ 1601 h 14"/>
                              <a:gd name="T12" fmla="+- 0 3763 3757"/>
                              <a:gd name="T13" fmla="*/ T12 w 12"/>
                              <a:gd name="T14" fmla="+- 0 1594 1594"/>
                              <a:gd name="T15" fmla="*/ 1594 h 14"/>
                              <a:gd name="T16" fmla="+- 0 3757 3757"/>
                              <a:gd name="T17" fmla="*/ T16 w 12"/>
                              <a:gd name="T18" fmla="+- 0 1601 1594"/>
                              <a:gd name="T19" fmla="*/ 1601 h 14"/>
                              <a:gd name="T20" fmla="+- 0 3757 3757"/>
                              <a:gd name="T21" fmla="*/ T20 w 12"/>
                              <a:gd name="T22" fmla="+- 0 1601 1594"/>
                              <a:gd name="T23" fmla="*/ 1601 h 14"/>
                            </a:gdLst>
                            <a:ahLst/>
                            <a:cxnLst>
                              <a:cxn ang="0">
                                <a:pos x="T1" y="T3"/>
                              </a:cxn>
                              <a:cxn ang="0">
                                <a:pos x="T5" y="T7"/>
                              </a:cxn>
                              <a:cxn ang="0">
                                <a:pos x="T9" y="T11"/>
                              </a:cxn>
                              <a:cxn ang="0">
                                <a:pos x="T13" y="T15"/>
                              </a:cxn>
                              <a:cxn ang="0">
                                <a:pos x="T17" y="T19"/>
                              </a:cxn>
                              <a:cxn ang="0">
                                <a:pos x="T21" y="T23"/>
                              </a:cxn>
                            </a:cxnLst>
                            <a:rect l="0" t="0" r="r" b="b"/>
                            <a:pathLst>
                              <a:path w="12" h="14">
                                <a:moveTo>
                                  <a:pt x="0" y="7"/>
                                </a:moveTo>
                                <a:lnTo>
                                  <a:pt x="6" y="14"/>
                                </a:lnTo>
                                <a:lnTo>
                                  <a:pt x="12" y="7"/>
                                </a:lnTo>
                                <a:lnTo>
                                  <a:pt x="6" y="0"/>
                                </a:lnTo>
                                <a:lnTo>
                                  <a:pt x="0" y="7"/>
                                </a:lnTo>
                              </a:path>
                            </a:pathLst>
                          </a:custGeom>
                          <a:noFill/>
                          <a:ln w="151">
                            <a:solidFill>
                              <a:srgbClr val="000000"/>
                            </a:solidFill>
                            <a:prstDash val="solid"/>
                            <a:round/>
                          </a:ln>
                        </wps:spPr>
                        <wps:bodyPr rot="0" vert="horz" wrap="square" lIns="91440" tIns="45720" rIns="91440" bIns="45720" anchor="t" anchorCtr="0" upright="1">
                          <a:noAutofit/>
                        </wps:bodyPr>
                      </wps:wsp>
                      <wps:wsp>
                        <wps:cNvPr id="300" name="Freeform 146"/>
                        <wps:cNvSpPr/>
                        <wps:spPr bwMode="auto">
                          <a:xfrm>
                            <a:off x="3644" y="1491"/>
                            <a:ext cx="125" cy="35"/>
                          </a:xfrm>
                          <a:custGeom>
                            <a:avLst/>
                            <a:gdLst>
                              <a:gd name="T0" fmla="+- 0 3668 3645"/>
                              <a:gd name="T1" fmla="*/ T0 w 125"/>
                              <a:gd name="T2" fmla="+- 0 1526 1491"/>
                              <a:gd name="T3" fmla="*/ 1526 h 35"/>
                              <a:gd name="T4" fmla="+- 0 3662 3645"/>
                              <a:gd name="T5" fmla="*/ T4 w 125"/>
                              <a:gd name="T6" fmla="+- 0 1512 1491"/>
                              <a:gd name="T7" fmla="*/ 1512 h 35"/>
                              <a:gd name="T8" fmla="+- 0 3645 3645"/>
                              <a:gd name="T9" fmla="*/ T8 w 125"/>
                              <a:gd name="T10" fmla="+- 0 1491 1491"/>
                              <a:gd name="T11" fmla="*/ 1491 h 35"/>
                              <a:gd name="T12" fmla="+- 0 3769 3645"/>
                              <a:gd name="T13" fmla="*/ T12 w 125"/>
                              <a:gd name="T14" fmla="+- 0 1491 1491"/>
                              <a:gd name="T15" fmla="*/ 1491 h 35"/>
                              <a:gd name="T16" fmla="+- 0 3769 3645"/>
                              <a:gd name="T17" fmla="*/ T16 w 125"/>
                              <a:gd name="T18" fmla="+- 0 1491 1491"/>
                              <a:gd name="T19" fmla="*/ 1491 h 35"/>
                            </a:gdLst>
                            <a:ahLst/>
                            <a:cxnLst>
                              <a:cxn ang="0">
                                <a:pos x="T1" y="T3"/>
                              </a:cxn>
                              <a:cxn ang="0">
                                <a:pos x="T5" y="T7"/>
                              </a:cxn>
                              <a:cxn ang="0">
                                <a:pos x="T9" y="T11"/>
                              </a:cxn>
                              <a:cxn ang="0">
                                <a:pos x="T13" y="T15"/>
                              </a:cxn>
                              <a:cxn ang="0">
                                <a:pos x="T17" y="T19"/>
                              </a:cxn>
                            </a:cxnLst>
                            <a:rect l="0" t="0" r="r" b="b"/>
                            <a:pathLst>
                              <a:path w="125" h="35">
                                <a:moveTo>
                                  <a:pt x="23" y="35"/>
                                </a:moveTo>
                                <a:lnTo>
                                  <a:pt x="17" y="21"/>
                                </a:lnTo>
                                <a:lnTo>
                                  <a:pt x="0" y="0"/>
                                </a:lnTo>
                                <a:lnTo>
                                  <a:pt x="124" y="0"/>
                                </a:lnTo>
                              </a:path>
                            </a:pathLst>
                          </a:custGeom>
                          <a:noFill/>
                          <a:ln w="162">
                            <a:solidFill>
                              <a:srgbClr val="000000"/>
                            </a:solidFill>
                            <a:prstDash val="solid"/>
                            <a:round/>
                          </a:ln>
                        </wps:spPr>
                        <wps:bodyPr rot="0" vert="horz" wrap="square" lIns="91440" tIns="45720" rIns="91440" bIns="45720" anchor="t" anchorCtr="0" upright="1">
                          <a:noAutofit/>
                        </wps:bodyPr>
                      </wps:wsp>
                      <wps:wsp>
                        <wps:cNvPr id="301" name="Freeform 145"/>
                        <wps:cNvSpPr/>
                        <wps:spPr bwMode="auto">
                          <a:xfrm>
                            <a:off x="3644" y="1313"/>
                            <a:ext cx="124" cy="96"/>
                          </a:xfrm>
                          <a:custGeom>
                            <a:avLst/>
                            <a:gdLst>
                              <a:gd name="T0" fmla="+- 0 3645 3645"/>
                              <a:gd name="T1" fmla="*/ T0 w 124"/>
                              <a:gd name="T2" fmla="+- 0 1327 1313"/>
                              <a:gd name="T3" fmla="*/ 1327 h 96"/>
                              <a:gd name="T4" fmla="+- 0 3645 3645"/>
                              <a:gd name="T5" fmla="*/ T4 w 124"/>
                              <a:gd name="T6" fmla="+- 0 1395 1313"/>
                              <a:gd name="T7" fmla="*/ 1395 h 96"/>
                              <a:gd name="T8" fmla="+- 0 3698 3645"/>
                              <a:gd name="T9" fmla="*/ T8 w 124"/>
                              <a:gd name="T10" fmla="+- 0 1402 1313"/>
                              <a:gd name="T11" fmla="*/ 1402 h 96"/>
                              <a:gd name="T12" fmla="+- 0 3692 3645"/>
                              <a:gd name="T13" fmla="*/ T12 w 124"/>
                              <a:gd name="T14" fmla="+- 0 1395 1313"/>
                              <a:gd name="T15" fmla="*/ 1395 h 96"/>
                              <a:gd name="T16" fmla="+- 0 3686 3645"/>
                              <a:gd name="T17" fmla="*/ T16 w 124"/>
                              <a:gd name="T18" fmla="+- 0 1375 1313"/>
                              <a:gd name="T19" fmla="*/ 1375 h 96"/>
                              <a:gd name="T20" fmla="+- 0 3686 3645"/>
                              <a:gd name="T21" fmla="*/ T20 w 124"/>
                              <a:gd name="T22" fmla="+- 0 1354 1313"/>
                              <a:gd name="T23" fmla="*/ 1354 h 96"/>
                              <a:gd name="T24" fmla="+- 0 3692 3645"/>
                              <a:gd name="T25" fmla="*/ T24 w 124"/>
                              <a:gd name="T26" fmla="+- 0 1334 1313"/>
                              <a:gd name="T27" fmla="*/ 1334 h 96"/>
                              <a:gd name="T28" fmla="+- 0 3704 3645"/>
                              <a:gd name="T29" fmla="*/ T28 w 124"/>
                              <a:gd name="T30" fmla="+- 0 1320 1313"/>
                              <a:gd name="T31" fmla="*/ 1320 h 96"/>
                              <a:gd name="T32" fmla="+- 0 3721 3645"/>
                              <a:gd name="T33" fmla="*/ T32 w 124"/>
                              <a:gd name="T34" fmla="+- 0 1313 1313"/>
                              <a:gd name="T35" fmla="*/ 1313 h 96"/>
                              <a:gd name="T36" fmla="+- 0 3733 3645"/>
                              <a:gd name="T37" fmla="*/ T36 w 124"/>
                              <a:gd name="T38" fmla="+- 0 1313 1313"/>
                              <a:gd name="T39" fmla="*/ 1313 h 96"/>
                              <a:gd name="T40" fmla="+- 0 3751 3645"/>
                              <a:gd name="T41" fmla="*/ T40 w 124"/>
                              <a:gd name="T42" fmla="+- 0 1320 1313"/>
                              <a:gd name="T43" fmla="*/ 1320 h 96"/>
                              <a:gd name="T44" fmla="+- 0 3763 3645"/>
                              <a:gd name="T45" fmla="*/ T44 w 124"/>
                              <a:gd name="T46" fmla="+- 0 1334 1313"/>
                              <a:gd name="T47" fmla="*/ 1334 h 96"/>
                              <a:gd name="T48" fmla="+- 0 3769 3645"/>
                              <a:gd name="T49" fmla="*/ T48 w 124"/>
                              <a:gd name="T50" fmla="+- 0 1354 1313"/>
                              <a:gd name="T51" fmla="*/ 1354 h 96"/>
                              <a:gd name="T52" fmla="+- 0 3769 3645"/>
                              <a:gd name="T53" fmla="*/ T52 w 124"/>
                              <a:gd name="T54" fmla="+- 0 1375 1313"/>
                              <a:gd name="T55" fmla="*/ 1375 h 96"/>
                              <a:gd name="T56" fmla="+- 0 3763 3645"/>
                              <a:gd name="T57" fmla="*/ T56 w 124"/>
                              <a:gd name="T58" fmla="+- 0 1395 1313"/>
                              <a:gd name="T59" fmla="*/ 1395 h 96"/>
                              <a:gd name="T60" fmla="+- 0 3757 3645"/>
                              <a:gd name="T61" fmla="*/ T60 w 124"/>
                              <a:gd name="T62" fmla="+- 0 1402 1313"/>
                              <a:gd name="T63" fmla="*/ 1402 h 96"/>
                              <a:gd name="T64" fmla="+- 0 3745 3645"/>
                              <a:gd name="T65" fmla="*/ T64 w 124"/>
                              <a:gd name="T66" fmla="+- 0 1409 1313"/>
                              <a:gd name="T67" fmla="*/ 1409 h 96"/>
                              <a:gd name="T68" fmla="+- 0 3745 3645"/>
                              <a:gd name="T69" fmla="*/ T68 w 124"/>
                              <a:gd name="T70" fmla="+- 0 1409 1313"/>
                              <a:gd name="T71" fmla="*/ 1409 h 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124" h="96">
                                <a:moveTo>
                                  <a:pt x="0" y="14"/>
                                </a:moveTo>
                                <a:lnTo>
                                  <a:pt x="0" y="82"/>
                                </a:lnTo>
                                <a:lnTo>
                                  <a:pt x="53" y="89"/>
                                </a:lnTo>
                                <a:lnTo>
                                  <a:pt x="47" y="82"/>
                                </a:lnTo>
                                <a:lnTo>
                                  <a:pt x="41" y="62"/>
                                </a:lnTo>
                                <a:lnTo>
                                  <a:pt x="41" y="41"/>
                                </a:lnTo>
                                <a:lnTo>
                                  <a:pt x="47" y="21"/>
                                </a:lnTo>
                                <a:lnTo>
                                  <a:pt x="59" y="7"/>
                                </a:lnTo>
                                <a:lnTo>
                                  <a:pt x="76" y="0"/>
                                </a:lnTo>
                                <a:lnTo>
                                  <a:pt x="88" y="0"/>
                                </a:lnTo>
                                <a:lnTo>
                                  <a:pt x="106" y="7"/>
                                </a:lnTo>
                                <a:lnTo>
                                  <a:pt x="118" y="21"/>
                                </a:lnTo>
                                <a:lnTo>
                                  <a:pt x="124" y="41"/>
                                </a:lnTo>
                                <a:lnTo>
                                  <a:pt x="124" y="62"/>
                                </a:lnTo>
                                <a:lnTo>
                                  <a:pt x="118" y="82"/>
                                </a:lnTo>
                                <a:lnTo>
                                  <a:pt x="112" y="89"/>
                                </a:lnTo>
                                <a:lnTo>
                                  <a:pt x="100" y="96"/>
                                </a:lnTo>
                              </a:path>
                            </a:pathLst>
                          </a:custGeom>
                          <a:noFill/>
                          <a:ln w="155">
                            <a:solidFill>
                              <a:srgbClr val="000000"/>
                            </a:solidFill>
                            <a:prstDash val="solid"/>
                            <a:round/>
                          </a:ln>
                        </wps:spPr>
                        <wps:bodyPr rot="0" vert="horz" wrap="square" lIns="91440" tIns="45720" rIns="91440" bIns="45720" anchor="t" anchorCtr="0" upright="1">
                          <a:noAutofit/>
                        </wps:bodyPr>
                      </wps:wsp>
                      <pic:pic xmlns:pic="http://schemas.openxmlformats.org/drawingml/2006/picture">
                        <pic:nvPicPr>
                          <pic:cNvPr id="302" name="Picture 144"/>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a:xfrm>
                            <a:off x="3644" y="1155"/>
                            <a:ext cx="125" cy="110"/>
                          </a:xfrm>
                          <a:prstGeom prst="rect">
                            <a:avLst/>
                          </a:prstGeom>
                          <a:noFill/>
                          <a:ln>
                            <a:noFill/>
                          </a:ln>
                        </pic:spPr>
                      </pic:pic>
                      <wps:wsp>
                        <wps:cNvPr id="303" name="Freeform 143"/>
                        <wps:cNvSpPr/>
                        <wps:spPr bwMode="auto">
                          <a:xfrm>
                            <a:off x="3902" y="1188"/>
                            <a:ext cx="83" cy="87"/>
                          </a:xfrm>
                          <a:custGeom>
                            <a:avLst/>
                            <a:gdLst>
                              <a:gd name="T0" fmla="+- 0 3903 3903"/>
                              <a:gd name="T1" fmla="*/ T0 w 83"/>
                              <a:gd name="T2" fmla="+- 0 1188 1188"/>
                              <a:gd name="T3" fmla="*/ 1188 h 87"/>
                              <a:gd name="T4" fmla="+- 0 3977 3903"/>
                              <a:gd name="T5" fmla="*/ T4 w 83"/>
                              <a:gd name="T6" fmla="+- 0 1275 1188"/>
                              <a:gd name="T7" fmla="*/ 1275 h 87"/>
                              <a:gd name="T8" fmla="+- 0 3985 3903"/>
                              <a:gd name="T9" fmla="*/ T8 w 83"/>
                              <a:gd name="T10" fmla="+- 0 1265 1188"/>
                              <a:gd name="T11" fmla="*/ 1265 h 87"/>
                              <a:gd name="T12" fmla="+- 0 3903 3903"/>
                              <a:gd name="T13" fmla="*/ T12 w 83"/>
                              <a:gd name="T14" fmla="+- 0 1188 1188"/>
                              <a:gd name="T15" fmla="*/ 1188 h 87"/>
                            </a:gdLst>
                            <a:ahLst/>
                            <a:cxnLst>
                              <a:cxn ang="0">
                                <a:pos x="T1" y="T3"/>
                              </a:cxn>
                              <a:cxn ang="0">
                                <a:pos x="T5" y="T7"/>
                              </a:cxn>
                              <a:cxn ang="0">
                                <a:pos x="T9" y="T11"/>
                              </a:cxn>
                              <a:cxn ang="0">
                                <a:pos x="T13" y="T15"/>
                              </a:cxn>
                            </a:cxnLst>
                            <a:rect l="0" t="0" r="r" b="b"/>
                            <a:pathLst>
                              <a:path w="83" h="87">
                                <a:moveTo>
                                  <a:pt x="0" y="0"/>
                                </a:moveTo>
                                <a:lnTo>
                                  <a:pt x="74" y="87"/>
                                </a:lnTo>
                                <a:lnTo>
                                  <a:pt x="82" y="77"/>
                                </a:lnTo>
                                <a:lnTo>
                                  <a:pt x="0" y="0"/>
                                </a:lnTo>
                                <a:close/>
                              </a:path>
                            </a:pathLst>
                          </a:custGeom>
                          <a:solidFill>
                            <a:srgbClr val="000000"/>
                          </a:solidFill>
                          <a:ln>
                            <a:noFill/>
                          </a:ln>
                        </wps:spPr>
                        <wps:bodyPr rot="0" vert="horz" wrap="square" lIns="91440" tIns="45720" rIns="91440" bIns="45720" anchor="t" anchorCtr="0" upright="1">
                          <a:noAutofit/>
                        </wps:bodyPr>
                      </wps:wsp>
                      <wps:wsp>
                        <wps:cNvPr id="304" name="Freeform 142"/>
                        <wps:cNvSpPr/>
                        <wps:spPr bwMode="auto">
                          <a:xfrm>
                            <a:off x="3902" y="1179"/>
                            <a:ext cx="83" cy="87"/>
                          </a:xfrm>
                          <a:custGeom>
                            <a:avLst/>
                            <a:gdLst>
                              <a:gd name="T0" fmla="+- 0 3910 3903"/>
                              <a:gd name="T1" fmla="*/ T0 w 83"/>
                              <a:gd name="T2" fmla="+- 0 1179 1179"/>
                              <a:gd name="T3" fmla="*/ 1179 h 87"/>
                              <a:gd name="T4" fmla="+- 0 3903 3903"/>
                              <a:gd name="T5" fmla="*/ T4 w 83"/>
                              <a:gd name="T6" fmla="+- 0 1188 1179"/>
                              <a:gd name="T7" fmla="*/ 1188 h 87"/>
                              <a:gd name="T8" fmla="+- 0 3985 3903"/>
                              <a:gd name="T9" fmla="*/ T8 w 83"/>
                              <a:gd name="T10" fmla="+- 0 1265 1179"/>
                              <a:gd name="T11" fmla="*/ 1265 h 87"/>
                              <a:gd name="T12" fmla="+- 0 3910 3903"/>
                              <a:gd name="T13" fmla="*/ T12 w 83"/>
                              <a:gd name="T14" fmla="+- 0 1179 1179"/>
                              <a:gd name="T15" fmla="*/ 1179 h 87"/>
                            </a:gdLst>
                            <a:ahLst/>
                            <a:cxnLst>
                              <a:cxn ang="0">
                                <a:pos x="T1" y="T3"/>
                              </a:cxn>
                              <a:cxn ang="0">
                                <a:pos x="T5" y="T7"/>
                              </a:cxn>
                              <a:cxn ang="0">
                                <a:pos x="T9" y="T11"/>
                              </a:cxn>
                              <a:cxn ang="0">
                                <a:pos x="T13" y="T15"/>
                              </a:cxn>
                            </a:cxnLst>
                            <a:rect l="0" t="0" r="r" b="b"/>
                            <a:pathLst>
                              <a:path w="83" h="87">
                                <a:moveTo>
                                  <a:pt x="7" y="0"/>
                                </a:moveTo>
                                <a:lnTo>
                                  <a:pt x="0" y="9"/>
                                </a:lnTo>
                                <a:lnTo>
                                  <a:pt x="82" y="86"/>
                                </a:lnTo>
                                <a:lnTo>
                                  <a:pt x="7" y="0"/>
                                </a:lnTo>
                                <a:close/>
                              </a:path>
                            </a:pathLst>
                          </a:custGeom>
                          <a:solidFill>
                            <a:srgbClr val="000000"/>
                          </a:solidFill>
                          <a:ln>
                            <a:noFill/>
                          </a:ln>
                        </wps:spPr>
                        <wps:bodyPr rot="0" vert="horz" wrap="square" lIns="91440" tIns="45720" rIns="91440" bIns="45720" anchor="t" anchorCtr="0" upright="1">
                          <a:noAutofit/>
                        </wps:bodyPr>
                      </wps:wsp>
                      <wps:wsp>
                        <wps:cNvPr id="305" name="Freeform 141"/>
                        <wps:cNvSpPr/>
                        <wps:spPr bwMode="auto">
                          <a:xfrm>
                            <a:off x="3902" y="1179"/>
                            <a:ext cx="83" cy="96"/>
                          </a:xfrm>
                          <a:custGeom>
                            <a:avLst/>
                            <a:gdLst>
                              <a:gd name="T0" fmla="+- 0 3977 3903"/>
                              <a:gd name="T1" fmla="*/ T0 w 83"/>
                              <a:gd name="T2" fmla="+- 0 1275 1179"/>
                              <a:gd name="T3" fmla="*/ 1275 h 96"/>
                              <a:gd name="T4" fmla="+- 0 3985 3903"/>
                              <a:gd name="T5" fmla="*/ T4 w 83"/>
                              <a:gd name="T6" fmla="+- 0 1265 1179"/>
                              <a:gd name="T7" fmla="*/ 1265 h 96"/>
                              <a:gd name="T8" fmla="+- 0 3910 3903"/>
                              <a:gd name="T9" fmla="*/ T8 w 83"/>
                              <a:gd name="T10" fmla="+- 0 1179 1179"/>
                              <a:gd name="T11" fmla="*/ 1179 h 96"/>
                              <a:gd name="T12" fmla="+- 0 3903 3903"/>
                              <a:gd name="T13" fmla="*/ T12 w 83"/>
                              <a:gd name="T14" fmla="+- 0 1188 1179"/>
                              <a:gd name="T15" fmla="*/ 1188 h 96"/>
                              <a:gd name="T16" fmla="+- 0 3977 3903"/>
                              <a:gd name="T17" fmla="*/ T16 w 83"/>
                              <a:gd name="T18" fmla="+- 0 1275 1179"/>
                              <a:gd name="T19" fmla="*/ 1275 h 96"/>
                            </a:gdLst>
                            <a:ahLst/>
                            <a:cxnLst>
                              <a:cxn ang="0">
                                <a:pos x="T1" y="T3"/>
                              </a:cxn>
                              <a:cxn ang="0">
                                <a:pos x="T5" y="T7"/>
                              </a:cxn>
                              <a:cxn ang="0">
                                <a:pos x="T9" y="T11"/>
                              </a:cxn>
                              <a:cxn ang="0">
                                <a:pos x="T13" y="T15"/>
                              </a:cxn>
                              <a:cxn ang="0">
                                <a:pos x="T17" y="T19"/>
                              </a:cxn>
                            </a:cxnLst>
                            <a:rect l="0" t="0" r="r" b="b"/>
                            <a:pathLst>
                              <a:path w="83" h="96">
                                <a:moveTo>
                                  <a:pt x="74" y="96"/>
                                </a:moveTo>
                                <a:lnTo>
                                  <a:pt x="82" y="86"/>
                                </a:lnTo>
                                <a:lnTo>
                                  <a:pt x="7" y="0"/>
                                </a:lnTo>
                                <a:lnTo>
                                  <a:pt x="0" y="9"/>
                                </a:lnTo>
                                <a:lnTo>
                                  <a:pt x="74" y="96"/>
                                </a:lnTo>
                              </a:path>
                            </a:pathLst>
                          </a:custGeom>
                          <a:noFill/>
                          <a:ln w="151">
                            <a:solidFill>
                              <a:srgbClr val="000000"/>
                            </a:solidFill>
                            <a:prstDash val="solid"/>
                            <a:round/>
                          </a:ln>
                        </wps:spPr>
                        <wps:bodyPr rot="0" vert="horz" wrap="square" lIns="91440" tIns="45720" rIns="91440" bIns="45720" anchor="t" anchorCtr="0" upright="1">
                          <a:noAutofit/>
                        </wps:bodyPr>
                      </wps:wsp>
                      <wps:wsp>
                        <wps:cNvPr id="306" name="Freeform 140"/>
                        <wps:cNvSpPr/>
                        <wps:spPr bwMode="auto">
                          <a:xfrm>
                            <a:off x="3902" y="1565"/>
                            <a:ext cx="83" cy="87"/>
                          </a:xfrm>
                          <a:custGeom>
                            <a:avLst/>
                            <a:gdLst>
                              <a:gd name="T0" fmla="+- 0 3910 3903"/>
                              <a:gd name="T1" fmla="*/ T0 w 83"/>
                              <a:gd name="T2" fmla="+- 0 1565 1565"/>
                              <a:gd name="T3" fmla="*/ 1565 h 87"/>
                              <a:gd name="T4" fmla="+- 0 3903 3903"/>
                              <a:gd name="T5" fmla="*/ T4 w 83"/>
                              <a:gd name="T6" fmla="+- 0 1575 1565"/>
                              <a:gd name="T7" fmla="*/ 1575 h 87"/>
                              <a:gd name="T8" fmla="+- 0 3985 3903"/>
                              <a:gd name="T9" fmla="*/ T8 w 83"/>
                              <a:gd name="T10" fmla="+- 0 1652 1565"/>
                              <a:gd name="T11" fmla="*/ 1652 h 87"/>
                              <a:gd name="T12" fmla="+- 0 3910 3903"/>
                              <a:gd name="T13" fmla="*/ T12 w 83"/>
                              <a:gd name="T14" fmla="+- 0 1565 1565"/>
                              <a:gd name="T15" fmla="*/ 1565 h 87"/>
                            </a:gdLst>
                            <a:ahLst/>
                            <a:cxnLst>
                              <a:cxn ang="0">
                                <a:pos x="T1" y="T3"/>
                              </a:cxn>
                              <a:cxn ang="0">
                                <a:pos x="T5" y="T7"/>
                              </a:cxn>
                              <a:cxn ang="0">
                                <a:pos x="T9" y="T11"/>
                              </a:cxn>
                              <a:cxn ang="0">
                                <a:pos x="T13" y="T15"/>
                              </a:cxn>
                            </a:cxnLst>
                            <a:rect l="0" t="0" r="r" b="b"/>
                            <a:pathLst>
                              <a:path w="83" h="87">
                                <a:moveTo>
                                  <a:pt x="7" y="0"/>
                                </a:moveTo>
                                <a:lnTo>
                                  <a:pt x="0" y="10"/>
                                </a:lnTo>
                                <a:lnTo>
                                  <a:pt x="82" y="87"/>
                                </a:lnTo>
                                <a:lnTo>
                                  <a:pt x="7" y="0"/>
                                </a:lnTo>
                                <a:close/>
                              </a:path>
                            </a:pathLst>
                          </a:custGeom>
                          <a:solidFill>
                            <a:srgbClr val="000000"/>
                          </a:solidFill>
                          <a:ln>
                            <a:noFill/>
                          </a:ln>
                        </wps:spPr>
                        <wps:bodyPr rot="0" vert="horz" wrap="square" lIns="91440" tIns="45720" rIns="91440" bIns="45720" anchor="t" anchorCtr="0" upright="1">
                          <a:noAutofit/>
                        </wps:bodyPr>
                      </wps:wsp>
                      <wps:wsp>
                        <wps:cNvPr id="307" name="Freeform 139"/>
                        <wps:cNvSpPr/>
                        <wps:spPr bwMode="auto">
                          <a:xfrm>
                            <a:off x="3902" y="1574"/>
                            <a:ext cx="83" cy="87"/>
                          </a:xfrm>
                          <a:custGeom>
                            <a:avLst/>
                            <a:gdLst>
                              <a:gd name="T0" fmla="+- 0 3903 3903"/>
                              <a:gd name="T1" fmla="*/ T0 w 83"/>
                              <a:gd name="T2" fmla="+- 0 1575 1575"/>
                              <a:gd name="T3" fmla="*/ 1575 h 87"/>
                              <a:gd name="T4" fmla="+- 0 3977 3903"/>
                              <a:gd name="T5" fmla="*/ T4 w 83"/>
                              <a:gd name="T6" fmla="+- 0 1661 1575"/>
                              <a:gd name="T7" fmla="*/ 1661 h 87"/>
                              <a:gd name="T8" fmla="+- 0 3985 3903"/>
                              <a:gd name="T9" fmla="*/ T8 w 83"/>
                              <a:gd name="T10" fmla="+- 0 1652 1575"/>
                              <a:gd name="T11" fmla="*/ 1652 h 87"/>
                              <a:gd name="T12" fmla="+- 0 3903 3903"/>
                              <a:gd name="T13" fmla="*/ T12 w 83"/>
                              <a:gd name="T14" fmla="+- 0 1575 1575"/>
                              <a:gd name="T15" fmla="*/ 1575 h 87"/>
                            </a:gdLst>
                            <a:ahLst/>
                            <a:cxnLst>
                              <a:cxn ang="0">
                                <a:pos x="T1" y="T3"/>
                              </a:cxn>
                              <a:cxn ang="0">
                                <a:pos x="T5" y="T7"/>
                              </a:cxn>
                              <a:cxn ang="0">
                                <a:pos x="T9" y="T11"/>
                              </a:cxn>
                              <a:cxn ang="0">
                                <a:pos x="T13" y="T15"/>
                              </a:cxn>
                            </a:cxnLst>
                            <a:rect l="0" t="0" r="r" b="b"/>
                            <a:pathLst>
                              <a:path w="83" h="87">
                                <a:moveTo>
                                  <a:pt x="0" y="0"/>
                                </a:moveTo>
                                <a:lnTo>
                                  <a:pt x="74" y="86"/>
                                </a:lnTo>
                                <a:lnTo>
                                  <a:pt x="82" y="77"/>
                                </a:lnTo>
                                <a:lnTo>
                                  <a:pt x="0" y="0"/>
                                </a:lnTo>
                                <a:close/>
                              </a:path>
                            </a:pathLst>
                          </a:custGeom>
                          <a:solidFill>
                            <a:srgbClr val="000000"/>
                          </a:solidFill>
                          <a:ln>
                            <a:noFill/>
                          </a:ln>
                        </wps:spPr>
                        <wps:bodyPr rot="0" vert="horz" wrap="square" lIns="91440" tIns="45720" rIns="91440" bIns="45720" anchor="t" anchorCtr="0" upright="1">
                          <a:noAutofit/>
                        </wps:bodyPr>
                      </wps:wsp>
                      <wps:wsp>
                        <wps:cNvPr id="308" name="Freeform 138"/>
                        <wps:cNvSpPr/>
                        <wps:spPr bwMode="auto">
                          <a:xfrm>
                            <a:off x="3902" y="1565"/>
                            <a:ext cx="83" cy="96"/>
                          </a:xfrm>
                          <a:custGeom>
                            <a:avLst/>
                            <a:gdLst>
                              <a:gd name="T0" fmla="+- 0 3910 3903"/>
                              <a:gd name="T1" fmla="*/ T0 w 83"/>
                              <a:gd name="T2" fmla="+- 0 1566 1566"/>
                              <a:gd name="T3" fmla="*/ 1566 h 96"/>
                              <a:gd name="T4" fmla="+- 0 3903 3903"/>
                              <a:gd name="T5" fmla="*/ T4 w 83"/>
                              <a:gd name="T6" fmla="+- 0 1575 1566"/>
                              <a:gd name="T7" fmla="*/ 1575 h 96"/>
                              <a:gd name="T8" fmla="+- 0 3977 3903"/>
                              <a:gd name="T9" fmla="*/ T8 w 83"/>
                              <a:gd name="T10" fmla="+- 0 1661 1566"/>
                              <a:gd name="T11" fmla="*/ 1661 h 96"/>
                              <a:gd name="T12" fmla="+- 0 3985 3903"/>
                              <a:gd name="T13" fmla="*/ T12 w 83"/>
                              <a:gd name="T14" fmla="+- 0 1652 1566"/>
                              <a:gd name="T15" fmla="*/ 1652 h 96"/>
                              <a:gd name="T16" fmla="+- 0 3910 3903"/>
                              <a:gd name="T17" fmla="*/ T16 w 83"/>
                              <a:gd name="T18" fmla="+- 0 1566 1566"/>
                              <a:gd name="T19" fmla="*/ 1566 h 96"/>
                            </a:gdLst>
                            <a:ahLst/>
                            <a:cxnLst>
                              <a:cxn ang="0">
                                <a:pos x="T1" y="T3"/>
                              </a:cxn>
                              <a:cxn ang="0">
                                <a:pos x="T5" y="T7"/>
                              </a:cxn>
                              <a:cxn ang="0">
                                <a:pos x="T9" y="T11"/>
                              </a:cxn>
                              <a:cxn ang="0">
                                <a:pos x="T13" y="T15"/>
                              </a:cxn>
                              <a:cxn ang="0">
                                <a:pos x="T17" y="T19"/>
                              </a:cxn>
                            </a:cxnLst>
                            <a:rect l="0" t="0" r="r" b="b"/>
                            <a:pathLst>
                              <a:path w="83" h="96">
                                <a:moveTo>
                                  <a:pt x="7" y="0"/>
                                </a:moveTo>
                                <a:lnTo>
                                  <a:pt x="0" y="9"/>
                                </a:lnTo>
                                <a:lnTo>
                                  <a:pt x="74" y="95"/>
                                </a:lnTo>
                                <a:lnTo>
                                  <a:pt x="82" y="86"/>
                                </a:lnTo>
                                <a:lnTo>
                                  <a:pt x="7"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309" name="Line 137"/>
                        <wps:cNvCnPr>
                          <a:cxnSpLocks noChangeShapeType="1"/>
                        </wps:cNvCnPr>
                        <wps:spPr bwMode="auto">
                          <a:xfrm>
                            <a:off x="3944" y="1613"/>
                            <a:ext cx="0" cy="0"/>
                          </a:xfrm>
                          <a:prstGeom prst="line">
                            <a:avLst/>
                          </a:prstGeom>
                          <a:noFill/>
                          <a:ln w="163">
                            <a:solidFill>
                              <a:srgbClr val="000000"/>
                            </a:solidFill>
                            <a:round/>
                          </a:ln>
                        </wps:spPr>
                        <wps:bodyPr/>
                      </wps:wsp>
                      <wps:wsp>
                        <wps:cNvPr id="310" name="Line 136"/>
                        <wps:cNvCnPr>
                          <a:cxnSpLocks noChangeShapeType="1"/>
                        </wps:cNvCnPr>
                        <wps:spPr bwMode="auto">
                          <a:xfrm>
                            <a:off x="4315" y="1613"/>
                            <a:ext cx="0" cy="0"/>
                          </a:xfrm>
                          <a:prstGeom prst="line">
                            <a:avLst/>
                          </a:prstGeom>
                          <a:noFill/>
                          <a:ln w="163">
                            <a:solidFill>
                              <a:srgbClr val="000000"/>
                            </a:solidFill>
                            <a:round/>
                          </a:ln>
                        </wps:spPr>
                        <wps:bodyPr/>
                      </wps:wsp>
                      <wps:wsp>
                        <wps:cNvPr id="311" name="Line 135"/>
                        <wps:cNvCnPr>
                          <a:cxnSpLocks noChangeShapeType="1"/>
                        </wps:cNvCnPr>
                        <wps:spPr bwMode="auto">
                          <a:xfrm>
                            <a:off x="4554" y="1227"/>
                            <a:ext cx="0" cy="0"/>
                          </a:xfrm>
                          <a:prstGeom prst="line">
                            <a:avLst/>
                          </a:prstGeom>
                          <a:noFill/>
                          <a:ln w="163">
                            <a:solidFill>
                              <a:srgbClr val="000000"/>
                            </a:solidFill>
                            <a:round/>
                          </a:ln>
                        </wps:spPr>
                        <wps:bodyPr/>
                      </wps:wsp>
                      <wps:wsp>
                        <wps:cNvPr id="312" name="Line 134"/>
                        <wps:cNvCnPr>
                          <a:cxnSpLocks noChangeShapeType="1"/>
                        </wps:cNvCnPr>
                        <wps:spPr bwMode="auto">
                          <a:xfrm>
                            <a:off x="5477" y="743"/>
                            <a:ext cx="0" cy="288"/>
                          </a:xfrm>
                          <a:prstGeom prst="line">
                            <a:avLst/>
                          </a:prstGeom>
                          <a:noFill/>
                          <a:ln w="2578">
                            <a:solidFill>
                              <a:srgbClr val="000000"/>
                            </a:solidFill>
                            <a:round/>
                          </a:ln>
                        </wps:spPr>
                        <wps:bodyPr/>
                      </wps:wsp>
                      <wps:wsp>
                        <wps:cNvPr id="313" name="Line 133"/>
                        <wps:cNvCnPr>
                          <a:cxnSpLocks noChangeShapeType="1"/>
                        </wps:cNvCnPr>
                        <wps:spPr bwMode="auto">
                          <a:xfrm>
                            <a:off x="5477" y="743"/>
                            <a:ext cx="0" cy="288"/>
                          </a:xfrm>
                          <a:prstGeom prst="line">
                            <a:avLst/>
                          </a:prstGeom>
                          <a:noFill/>
                          <a:ln w="2578">
                            <a:solidFill>
                              <a:srgbClr val="000000"/>
                            </a:solidFill>
                            <a:round/>
                          </a:ln>
                        </wps:spPr>
                        <wps:bodyPr/>
                      </wps:wsp>
                      <wps:wsp>
                        <wps:cNvPr id="314" name="Line 132"/>
                        <wps:cNvCnPr>
                          <a:cxnSpLocks noChangeShapeType="1"/>
                        </wps:cNvCnPr>
                        <wps:spPr bwMode="auto">
                          <a:xfrm>
                            <a:off x="5477" y="743"/>
                            <a:ext cx="0" cy="288"/>
                          </a:xfrm>
                          <a:prstGeom prst="line">
                            <a:avLst/>
                          </a:prstGeom>
                          <a:noFill/>
                          <a:ln w="2719">
                            <a:solidFill>
                              <a:srgbClr val="000000"/>
                            </a:solidFill>
                            <a:round/>
                          </a:ln>
                        </wps:spPr>
                        <wps:bodyPr/>
                      </wps:wsp>
                      <wps:wsp>
                        <wps:cNvPr id="315" name="Line 131"/>
                        <wps:cNvCnPr>
                          <a:cxnSpLocks noChangeShapeType="1"/>
                        </wps:cNvCnPr>
                        <wps:spPr bwMode="auto">
                          <a:xfrm>
                            <a:off x="5793" y="1197"/>
                            <a:ext cx="0" cy="3278"/>
                          </a:xfrm>
                          <a:prstGeom prst="line">
                            <a:avLst/>
                          </a:prstGeom>
                          <a:noFill/>
                          <a:ln w="282">
                            <a:solidFill>
                              <a:srgbClr val="000000"/>
                            </a:solidFill>
                            <a:round/>
                          </a:ln>
                        </wps:spPr>
                        <wps:bodyPr/>
                      </wps:wsp>
                      <wps:wsp>
                        <wps:cNvPr id="316" name="Freeform 130"/>
                        <wps:cNvSpPr/>
                        <wps:spPr bwMode="auto">
                          <a:xfrm>
                            <a:off x="7012" y="1223"/>
                            <a:ext cx="646" cy="2378"/>
                          </a:xfrm>
                          <a:custGeom>
                            <a:avLst/>
                            <a:gdLst>
                              <a:gd name="T0" fmla="+- 0 7033 7013"/>
                              <a:gd name="T1" fmla="*/ T0 w 646"/>
                              <a:gd name="T2" fmla="+- 0 1223 1223"/>
                              <a:gd name="T3" fmla="*/ 1223 h 2378"/>
                              <a:gd name="T4" fmla="+- 0 7013 7013"/>
                              <a:gd name="T5" fmla="*/ T4 w 646"/>
                              <a:gd name="T6" fmla="+- 0 1230 1223"/>
                              <a:gd name="T7" fmla="*/ 1230 h 2378"/>
                              <a:gd name="T8" fmla="+- 0 7658 7013"/>
                              <a:gd name="T9" fmla="*/ T8 w 646"/>
                              <a:gd name="T10" fmla="+- 0 3600 1223"/>
                              <a:gd name="T11" fmla="*/ 3600 h 2378"/>
                              <a:gd name="T12" fmla="+- 0 7033 7013"/>
                              <a:gd name="T13" fmla="*/ T12 w 646"/>
                              <a:gd name="T14" fmla="+- 0 1223 1223"/>
                              <a:gd name="T15" fmla="*/ 1223 h 2378"/>
                            </a:gdLst>
                            <a:ahLst/>
                            <a:cxnLst>
                              <a:cxn ang="0">
                                <a:pos x="T1" y="T3"/>
                              </a:cxn>
                              <a:cxn ang="0">
                                <a:pos x="T5" y="T7"/>
                              </a:cxn>
                              <a:cxn ang="0">
                                <a:pos x="T9" y="T11"/>
                              </a:cxn>
                              <a:cxn ang="0">
                                <a:pos x="T13" y="T15"/>
                              </a:cxn>
                            </a:cxnLst>
                            <a:rect l="0" t="0" r="r" b="b"/>
                            <a:pathLst>
                              <a:path w="646" h="2378">
                                <a:moveTo>
                                  <a:pt x="20" y="0"/>
                                </a:moveTo>
                                <a:lnTo>
                                  <a:pt x="0" y="7"/>
                                </a:lnTo>
                                <a:lnTo>
                                  <a:pt x="645" y="2377"/>
                                </a:lnTo>
                                <a:lnTo>
                                  <a:pt x="20" y="0"/>
                                </a:lnTo>
                                <a:close/>
                              </a:path>
                            </a:pathLst>
                          </a:custGeom>
                          <a:solidFill>
                            <a:srgbClr val="000000"/>
                          </a:solidFill>
                          <a:ln>
                            <a:noFill/>
                          </a:ln>
                        </wps:spPr>
                        <wps:bodyPr rot="0" vert="horz" wrap="square" lIns="91440" tIns="45720" rIns="91440" bIns="45720" anchor="t" anchorCtr="0" upright="1">
                          <a:noAutofit/>
                        </wps:bodyPr>
                      </wps:wsp>
                      <wps:wsp>
                        <wps:cNvPr id="317" name="Freeform 129"/>
                        <wps:cNvSpPr/>
                        <wps:spPr bwMode="auto">
                          <a:xfrm>
                            <a:off x="7012" y="1230"/>
                            <a:ext cx="646" cy="2378"/>
                          </a:xfrm>
                          <a:custGeom>
                            <a:avLst/>
                            <a:gdLst>
                              <a:gd name="T0" fmla="+- 0 7013 7013"/>
                              <a:gd name="T1" fmla="*/ T0 w 646"/>
                              <a:gd name="T2" fmla="+- 0 1230 1230"/>
                              <a:gd name="T3" fmla="*/ 1230 h 2378"/>
                              <a:gd name="T4" fmla="+- 0 7639 7013"/>
                              <a:gd name="T5" fmla="*/ T4 w 646"/>
                              <a:gd name="T6" fmla="+- 0 3608 1230"/>
                              <a:gd name="T7" fmla="*/ 3608 h 2378"/>
                              <a:gd name="T8" fmla="+- 0 7658 7013"/>
                              <a:gd name="T9" fmla="*/ T8 w 646"/>
                              <a:gd name="T10" fmla="+- 0 3600 1230"/>
                              <a:gd name="T11" fmla="*/ 3600 h 2378"/>
                              <a:gd name="T12" fmla="+- 0 7013 7013"/>
                              <a:gd name="T13" fmla="*/ T12 w 646"/>
                              <a:gd name="T14" fmla="+- 0 1230 1230"/>
                              <a:gd name="T15" fmla="*/ 1230 h 2378"/>
                            </a:gdLst>
                            <a:ahLst/>
                            <a:cxnLst>
                              <a:cxn ang="0">
                                <a:pos x="T1" y="T3"/>
                              </a:cxn>
                              <a:cxn ang="0">
                                <a:pos x="T5" y="T7"/>
                              </a:cxn>
                              <a:cxn ang="0">
                                <a:pos x="T9" y="T11"/>
                              </a:cxn>
                              <a:cxn ang="0">
                                <a:pos x="T13" y="T15"/>
                              </a:cxn>
                            </a:cxnLst>
                            <a:rect l="0" t="0" r="r" b="b"/>
                            <a:pathLst>
                              <a:path w="646" h="2378">
                                <a:moveTo>
                                  <a:pt x="0" y="0"/>
                                </a:moveTo>
                                <a:lnTo>
                                  <a:pt x="626" y="2378"/>
                                </a:lnTo>
                                <a:lnTo>
                                  <a:pt x="645" y="2370"/>
                                </a:lnTo>
                                <a:lnTo>
                                  <a:pt x="0" y="0"/>
                                </a:lnTo>
                                <a:close/>
                              </a:path>
                            </a:pathLst>
                          </a:custGeom>
                          <a:solidFill>
                            <a:srgbClr val="000000"/>
                          </a:solidFill>
                          <a:ln>
                            <a:noFill/>
                          </a:ln>
                        </wps:spPr>
                        <wps:bodyPr rot="0" vert="horz" wrap="square" lIns="91440" tIns="45720" rIns="91440" bIns="45720" anchor="t" anchorCtr="0" upright="1">
                          <a:noAutofit/>
                        </wps:bodyPr>
                      </wps:wsp>
                      <wps:wsp>
                        <wps:cNvPr id="318" name="Freeform 128"/>
                        <wps:cNvSpPr/>
                        <wps:spPr bwMode="auto">
                          <a:xfrm>
                            <a:off x="7012" y="1223"/>
                            <a:ext cx="646" cy="2385"/>
                          </a:xfrm>
                          <a:custGeom>
                            <a:avLst/>
                            <a:gdLst>
                              <a:gd name="T0" fmla="+- 0 7033 7013"/>
                              <a:gd name="T1" fmla="*/ T0 w 646"/>
                              <a:gd name="T2" fmla="+- 0 1223 1223"/>
                              <a:gd name="T3" fmla="*/ 1223 h 2385"/>
                              <a:gd name="T4" fmla="+- 0 7013 7013"/>
                              <a:gd name="T5" fmla="*/ T4 w 646"/>
                              <a:gd name="T6" fmla="+- 0 1230 1223"/>
                              <a:gd name="T7" fmla="*/ 1230 h 2385"/>
                              <a:gd name="T8" fmla="+- 0 7639 7013"/>
                              <a:gd name="T9" fmla="*/ T8 w 646"/>
                              <a:gd name="T10" fmla="+- 0 3608 1223"/>
                              <a:gd name="T11" fmla="*/ 3608 h 2385"/>
                              <a:gd name="T12" fmla="+- 0 7658 7013"/>
                              <a:gd name="T13" fmla="*/ T12 w 646"/>
                              <a:gd name="T14" fmla="+- 0 3601 1223"/>
                              <a:gd name="T15" fmla="*/ 3601 h 2385"/>
                              <a:gd name="T16" fmla="+- 0 7033 7013"/>
                              <a:gd name="T17" fmla="*/ T16 w 646"/>
                              <a:gd name="T18" fmla="+- 0 1223 1223"/>
                              <a:gd name="T19" fmla="*/ 1223 h 2385"/>
                            </a:gdLst>
                            <a:ahLst/>
                            <a:cxnLst>
                              <a:cxn ang="0">
                                <a:pos x="T1" y="T3"/>
                              </a:cxn>
                              <a:cxn ang="0">
                                <a:pos x="T5" y="T7"/>
                              </a:cxn>
                              <a:cxn ang="0">
                                <a:pos x="T9" y="T11"/>
                              </a:cxn>
                              <a:cxn ang="0">
                                <a:pos x="T13" y="T15"/>
                              </a:cxn>
                              <a:cxn ang="0">
                                <a:pos x="T17" y="T19"/>
                              </a:cxn>
                            </a:cxnLst>
                            <a:rect l="0" t="0" r="r" b="b"/>
                            <a:pathLst>
                              <a:path w="646" h="2385">
                                <a:moveTo>
                                  <a:pt x="20" y="0"/>
                                </a:moveTo>
                                <a:lnTo>
                                  <a:pt x="0" y="7"/>
                                </a:lnTo>
                                <a:lnTo>
                                  <a:pt x="626" y="2385"/>
                                </a:lnTo>
                                <a:lnTo>
                                  <a:pt x="645" y="2378"/>
                                </a:lnTo>
                                <a:lnTo>
                                  <a:pt x="20" y="0"/>
                                </a:lnTo>
                              </a:path>
                            </a:pathLst>
                          </a:custGeom>
                          <a:noFill/>
                          <a:ln w="143">
                            <a:solidFill>
                              <a:srgbClr val="000000"/>
                            </a:solidFill>
                            <a:prstDash val="solid"/>
                            <a:round/>
                          </a:ln>
                        </wps:spPr>
                        <wps:bodyPr rot="0" vert="horz" wrap="square" lIns="91440" tIns="45720" rIns="91440" bIns="45720" anchor="t" anchorCtr="0" upright="1">
                          <a:noAutofit/>
                        </wps:bodyPr>
                      </wps:wsp>
                      <wps:wsp>
                        <wps:cNvPr id="319" name="Line 127"/>
                        <wps:cNvCnPr>
                          <a:cxnSpLocks noChangeShapeType="1"/>
                        </wps:cNvCnPr>
                        <wps:spPr bwMode="auto">
                          <a:xfrm>
                            <a:off x="6190" y="1607"/>
                            <a:ext cx="0" cy="1760"/>
                          </a:xfrm>
                          <a:prstGeom prst="line">
                            <a:avLst/>
                          </a:prstGeom>
                          <a:noFill/>
                          <a:ln w="2576">
                            <a:solidFill>
                              <a:srgbClr val="000000"/>
                            </a:solidFill>
                            <a:round/>
                          </a:ln>
                        </wps:spPr>
                        <wps:bodyPr/>
                      </wps:wsp>
                      <wps:wsp>
                        <wps:cNvPr id="320" name="Line 126"/>
                        <wps:cNvCnPr>
                          <a:cxnSpLocks noChangeShapeType="1"/>
                        </wps:cNvCnPr>
                        <wps:spPr bwMode="auto">
                          <a:xfrm>
                            <a:off x="6190" y="1607"/>
                            <a:ext cx="0" cy="1760"/>
                          </a:xfrm>
                          <a:prstGeom prst="line">
                            <a:avLst/>
                          </a:prstGeom>
                          <a:noFill/>
                          <a:ln w="2576">
                            <a:solidFill>
                              <a:srgbClr val="000000"/>
                            </a:solidFill>
                            <a:round/>
                          </a:ln>
                        </wps:spPr>
                        <wps:bodyPr/>
                      </wps:wsp>
                      <wps:wsp>
                        <wps:cNvPr id="321" name="Line 125"/>
                        <wps:cNvCnPr>
                          <a:cxnSpLocks noChangeShapeType="1"/>
                        </wps:cNvCnPr>
                        <wps:spPr bwMode="auto">
                          <a:xfrm>
                            <a:off x="6190" y="1607"/>
                            <a:ext cx="0" cy="1760"/>
                          </a:xfrm>
                          <a:prstGeom prst="line">
                            <a:avLst/>
                          </a:prstGeom>
                          <a:noFill/>
                          <a:ln w="2717">
                            <a:solidFill>
                              <a:srgbClr val="000000"/>
                            </a:solidFill>
                            <a:round/>
                          </a:ln>
                        </wps:spPr>
                        <wps:bodyPr/>
                      </wps:wsp>
                      <wps:wsp>
                        <wps:cNvPr id="322" name="Freeform 124"/>
                        <wps:cNvSpPr/>
                        <wps:spPr bwMode="auto">
                          <a:xfrm>
                            <a:off x="5792" y="3643"/>
                            <a:ext cx="2" cy="848"/>
                          </a:xfrm>
                          <a:custGeom>
                            <a:avLst/>
                            <a:gdLst>
                              <a:gd name="T0" fmla="+- 0 5792 5792"/>
                              <a:gd name="T1" fmla="*/ T0 w 1"/>
                              <a:gd name="T2" fmla="+- 0 3643 3643"/>
                              <a:gd name="T3" fmla="*/ 3643 h 848"/>
                              <a:gd name="T4" fmla="+- 0 5792 5792"/>
                              <a:gd name="T5" fmla="*/ T4 w 1"/>
                              <a:gd name="T6" fmla="+- 0 4491 3643"/>
                              <a:gd name="T7" fmla="*/ 4491 h 848"/>
                              <a:gd name="T8" fmla="+- 0 5793 5792"/>
                              <a:gd name="T9" fmla="*/ T8 w 1"/>
                              <a:gd name="T10" fmla="+- 0 4491 3643"/>
                              <a:gd name="T11" fmla="*/ 4491 h 848"/>
                            </a:gdLst>
                            <a:ahLst/>
                            <a:cxnLst>
                              <a:cxn ang="0">
                                <a:pos x="T1" y="T3"/>
                              </a:cxn>
                              <a:cxn ang="0">
                                <a:pos x="T5" y="T7"/>
                              </a:cxn>
                              <a:cxn ang="0">
                                <a:pos x="T9" y="T11"/>
                              </a:cxn>
                            </a:cxnLst>
                            <a:rect l="0" t="0" r="r" b="b"/>
                            <a:pathLst>
                              <a:path w="1" h="848">
                                <a:moveTo>
                                  <a:pt x="0" y="0"/>
                                </a:moveTo>
                                <a:lnTo>
                                  <a:pt x="0" y="848"/>
                                </a:lnTo>
                                <a:lnTo>
                                  <a:pt x="1" y="848"/>
                                </a:lnTo>
                              </a:path>
                            </a:pathLst>
                          </a:custGeom>
                          <a:noFill/>
                          <a:ln w="141">
                            <a:solidFill>
                              <a:srgbClr val="000000"/>
                            </a:solidFill>
                            <a:prstDash val="solid"/>
                            <a:round/>
                          </a:ln>
                        </wps:spPr>
                        <wps:bodyPr rot="0" vert="horz" wrap="square" lIns="91440" tIns="45720" rIns="91440" bIns="45720" anchor="t" anchorCtr="0" upright="1">
                          <a:noAutofit/>
                        </wps:bodyPr>
                      </wps:wsp>
                      <wps:wsp>
                        <wps:cNvPr id="323" name="Freeform 123"/>
                        <wps:cNvSpPr/>
                        <wps:spPr bwMode="auto">
                          <a:xfrm>
                            <a:off x="7618" y="4039"/>
                            <a:ext cx="2" cy="452"/>
                          </a:xfrm>
                          <a:custGeom>
                            <a:avLst/>
                            <a:gdLst>
                              <a:gd name="T0" fmla="+- 0 7618 7618"/>
                              <a:gd name="T1" fmla="*/ T0 w 1"/>
                              <a:gd name="T2" fmla="+- 0 4039 4039"/>
                              <a:gd name="T3" fmla="*/ 4039 h 452"/>
                              <a:gd name="T4" fmla="+- 0 7618 7618"/>
                              <a:gd name="T5" fmla="*/ T4 w 1"/>
                              <a:gd name="T6" fmla="+- 0 4491 4039"/>
                              <a:gd name="T7" fmla="*/ 4491 h 452"/>
                              <a:gd name="T8" fmla="+- 0 7619 7618"/>
                              <a:gd name="T9" fmla="*/ T8 w 1"/>
                              <a:gd name="T10" fmla="+- 0 4491 4039"/>
                              <a:gd name="T11" fmla="*/ 4491 h 452"/>
                            </a:gdLst>
                            <a:ahLst/>
                            <a:cxnLst>
                              <a:cxn ang="0">
                                <a:pos x="T1" y="T3"/>
                              </a:cxn>
                              <a:cxn ang="0">
                                <a:pos x="T5" y="T7"/>
                              </a:cxn>
                              <a:cxn ang="0">
                                <a:pos x="T9" y="T11"/>
                              </a:cxn>
                            </a:cxnLst>
                            <a:rect l="0" t="0" r="r" b="b"/>
                            <a:pathLst>
                              <a:path w="1" h="452">
                                <a:moveTo>
                                  <a:pt x="0" y="0"/>
                                </a:moveTo>
                                <a:lnTo>
                                  <a:pt x="0" y="452"/>
                                </a:lnTo>
                                <a:lnTo>
                                  <a:pt x="1" y="452"/>
                                </a:lnTo>
                              </a:path>
                            </a:pathLst>
                          </a:custGeom>
                          <a:noFill/>
                          <a:ln w="141">
                            <a:solidFill>
                              <a:srgbClr val="000000"/>
                            </a:solidFill>
                            <a:prstDash val="solid"/>
                            <a:round/>
                          </a:ln>
                        </wps:spPr>
                        <wps:bodyPr rot="0" vert="horz" wrap="square" lIns="91440" tIns="45720" rIns="91440" bIns="45720" anchor="t" anchorCtr="0" upright="1">
                          <a:noAutofit/>
                        </wps:bodyPr>
                      </wps:wsp>
                      <wps:wsp>
                        <wps:cNvPr id="324" name="Freeform 122"/>
                        <wps:cNvSpPr/>
                        <wps:spPr bwMode="auto">
                          <a:xfrm>
                            <a:off x="5792" y="4404"/>
                            <a:ext cx="1827" cy="2"/>
                          </a:xfrm>
                          <a:custGeom>
                            <a:avLst/>
                            <a:gdLst>
                              <a:gd name="T0" fmla="+- 0 5792 5792"/>
                              <a:gd name="T1" fmla="*/ T0 w 1827"/>
                              <a:gd name="T2" fmla="+- 0 7618 5792"/>
                              <a:gd name="T3" fmla="*/ T2 w 1827"/>
                              <a:gd name="T4" fmla="+- 0 7619 5792"/>
                              <a:gd name="T5" fmla="*/ T4 w 1827"/>
                            </a:gdLst>
                            <a:ahLst/>
                            <a:cxnLst>
                              <a:cxn ang="0">
                                <a:pos x="T1" y="0"/>
                              </a:cxn>
                              <a:cxn ang="0">
                                <a:pos x="T3" y="0"/>
                              </a:cxn>
                              <a:cxn ang="0">
                                <a:pos x="T5" y="0"/>
                              </a:cxn>
                            </a:cxnLst>
                            <a:rect l="0" t="0" r="r" b="b"/>
                            <a:pathLst>
                              <a:path w="1827">
                                <a:moveTo>
                                  <a:pt x="0" y="0"/>
                                </a:moveTo>
                                <a:lnTo>
                                  <a:pt x="1826" y="0"/>
                                </a:lnTo>
                                <a:lnTo>
                                  <a:pt x="1827" y="0"/>
                                </a:lnTo>
                              </a:path>
                            </a:pathLst>
                          </a:custGeom>
                          <a:noFill/>
                          <a:ln w="164">
                            <a:solidFill>
                              <a:srgbClr val="000000"/>
                            </a:solidFill>
                            <a:prstDash val="solid"/>
                            <a:round/>
                          </a:ln>
                        </wps:spPr>
                        <wps:bodyPr rot="0" vert="horz" wrap="square" lIns="91440" tIns="45720" rIns="91440" bIns="45720" anchor="t" anchorCtr="0" upright="1">
                          <a:noAutofit/>
                        </wps:bodyPr>
                      </wps:wsp>
                      <wps:wsp>
                        <wps:cNvPr id="325" name="Freeform 121"/>
                        <wps:cNvSpPr/>
                        <wps:spPr bwMode="auto">
                          <a:xfrm>
                            <a:off x="6260" y="4080"/>
                            <a:ext cx="89" cy="97"/>
                          </a:xfrm>
                          <a:custGeom>
                            <a:avLst/>
                            <a:gdLst>
                              <a:gd name="T0" fmla="+- 0 6319 6260"/>
                              <a:gd name="T1" fmla="*/ T0 w 89"/>
                              <a:gd name="T2" fmla="+- 0 4080 4080"/>
                              <a:gd name="T3" fmla="*/ 4080 h 97"/>
                              <a:gd name="T4" fmla="+- 0 6260 6260"/>
                              <a:gd name="T5" fmla="*/ T4 w 89"/>
                              <a:gd name="T6" fmla="+- 0 4176 4080"/>
                              <a:gd name="T7" fmla="*/ 4176 h 97"/>
                              <a:gd name="T8" fmla="+- 0 6349 6260"/>
                              <a:gd name="T9" fmla="*/ T8 w 89"/>
                              <a:gd name="T10" fmla="+- 0 4176 4080"/>
                              <a:gd name="T11" fmla="*/ 4176 h 97"/>
                              <a:gd name="T12" fmla="+- 0 6349 6260"/>
                              <a:gd name="T13" fmla="*/ T12 w 89"/>
                              <a:gd name="T14" fmla="+- 0 4176 4080"/>
                              <a:gd name="T15" fmla="*/ 4176 h 97"/>
                            </a:gdLst>
                            <a:ahLst/>
                            <a:cxnLst>
                              <a:cxn ang="0">
                                <a:pos x="T1" y="T3"/>
                              </a:cxn>
                              <a:cxn ang="0">
                                <a:pos x="T5" y="T7"/>
                              </a:cxn>
                              <a:cxn ang="0">
                                <a:pos x="T9" y="T11"/>
                              </a:cxn>
                              <a:cxn ang="0">
                                <a:pos x="T13" y="T15"/>
                              </a:cxn>
                            </a:cxnLst>
                            <a:rect l="0" t="0" r="r" b="b"/>
                            <a:pathLst>
                              <a:path w="89" h="97">
                                <a:moveTo>
                                  <a:pt x="59" y="0"/>
                                </a:moveTo>
                                <a:lnTo>
                                  <a:pt x="0" y="96"/>
                                </a:lnTo>
                                <a:lnTo>
                                  <a:pt x="89" y="96"/>
                                </a:lnTo>
                              </a:path>
                            </a:pathLst>
                          </a:custGeom>
                          <a:noFill/>
                          <a:ln w="152">
                            <a:solidFill>
                              <a:srgbClr val="000000"/>
                            </a:solidFill>
                            <a:prstDash val="solid"/>
                            <a:round/>
                          </a:ln>
                        </wps:spPr>
                        <wps:bodyPr rot="0" vert="horz" wrap="square" lIns="91440" tIns="45720" rIns="91440" bIns="45720" anchor="t" anchorCtr="0" upright="1">
                          <a:noAutofit/>
                        </wps:bodyPr>
                      </wps:wsp>
                      <wps:wsp>
                        <wps:cNvPr id="326" name="Freeform 120"/>
                        <wps:cNvSpPr/>
                        <wps:spPr bwMode="auto">
                          <a:xfrm>
                            <a:off x="6319" y="4080"/>
                            <a:ext cx="2" cy="144"/>
                          </a:xfrm>
                          <a:custGeom>
                            <a:avLst/>
                            <a:gdLst>
                              <a:gd name="T0" fmla="+- 0 6319 6319"/>
                              <a:gd name="T1" fmla="*/ T0 w 1"/>
                              <a:gd name="T2" fmla="+- 0 4080 4080"/>
                              <a:gd name="T3" fmla="*/ 4080 h 144"/>
                              <a:gd name="T4" fmla="+- 0 6319 6319"/>
                              <a:gd name="T5" fmla="*/ T4 w 1"/>
                              <a:gd name="T6" fmla="+- 0 4224 4080"/>
                              <a:gd name="T7" fmla="*/ 4224 h 144"/>
                              <a:gd name="T8" fmla="+- 0 6319 6319"/>
                              <a:gd name="T9" fmla="*/ T8 w 1"/>
                              <a:gd name="T10" fmla="+- 0 4224 4080"/>
                              <a:gd name="T11" fmla="*/ 4224 h 144"/>
                            </a:gdLst>
                            <a:ahLst/>
                            <a:cxnLst>
                              <a:cxn ang="0">
                                <a:pos x="T1" y="T3"/>
                              </a:cxn>
                              <a:cxn ang="0">
                                <a:pos x="T5" y="T7"/>
                              </a:cxn>
                              <a:cxn ang="0">
                                <a:pos x="T9" y="T11"/>
                              </a:cxn>
                            </a:cxnLst>
                            <a:rect l="0" t="0" r="r" b="b"/>
                            <a:pathLst>
                              <a:path w="1" h="144">
                                <a:moveTo>
                                  <a:pt x="0" y="0"/>
                                </a:moveTo>
                                <a:lnTo>
                                  <a:pt x="0" y="144"/>
                                </a:lnTo>
                              </a:path>
                            </a:pathLst>
                          </a:custGeom>
                          <a:noFill/>
                          <a:ln w="141">
                            <a:solidFill>
                              <a:srgbClr val="000000"/>
                            </a:solidFill>
                            <a:prstDash val="solid"/>
                            <a:round/>
                          </a:ln>
                        </wps:spPr>
                        <wps:bodyPr rot="0" vert="horz" wrap="square" lIns="91440" tIns="45720" rIns="91440" bIns="45720" anchor="t" anchorCtr="0" upright="1">
                          <a:noAutofit/>
                        </wps:bodyPr>
                      </wps:wsp>
                      <wps:wsp>
                        <wps:cNvPr id="327" name="Freeform 119"/>
                        <wps:cNvSpPr/>
                        <wps:spPr bwMode="auto">
                          <a:xfrm>
                            <a:off x="6384" y="4210"/>
                            <a:ext cx="12" cy="14"/>
                          </a:xfrm>
                          <a:custGeom>
                            <a:avLst/>
                            <a:gdLst>
                              <a:gd name="T0" fmla="+- 0 6390 6384"/>
                              <a:gd name="T1" fmla="*/ T0 w 12"/>
                              <a:gd name="T2" fmla="+- 0 4211 4211"/>
                              <a:gd name="T3" fmla="*/ 4211 h 14"/>
                              <a:gd name="T4" fmla="+- 0 6384 6384"/>
                              <a:gd name="T5" fmla="*/ T4 w 12"/>
                              <a:gd name="T6" fmla="+- 0 4217 4211"/>
                              <a:gd name="T7" fmla="*/ 4217 h 14"/>
                              <a:gd name="T8" fmla="+- 0 6390 6384"/>
                              <a:gd name="T9" fmla="*/ T8 w 12"/>
                              <a:gd name="T10" fmla="+- 0 4224 4211"/>
                              <a:gd name="T11" fmla="*/ 4224 h 14"/>
                              <a:gd name="T12" fmla="+- 0 6396 6384"/>
                              <a:gd name="T13" fmla="*/ T12 w 12"/>
                              <a:gd name="T14" fmla="+- 0 4217 4211"/>
                              <a:gd name="T15" fmla="*/ 4217 h 14"/>
                              <a:gd name="T16" fmla="+- 0 6390 6384"/>
                              <a:gd name="T17" fmla="*/ T16 w 12"/>
                              <a:gd name="T18" fmla="+- 0 4211 4211"/>
                              <a:gd name="T19" fmla="*/ 4211 h 14"/>
                              <a:gd name="T20" fmla="+- 0 6390 6384"/>
                              <a:gd name="T21" fmla="*/ T20 w 12"/>
                              <a:gd name="T22" fmla="+- 0 4211 4211"/>
                              <a:gd name="T23" fmla="*/ 4211 h 14"/>
                            </a:gdLst>
                            <a:ahLst/>
                            <a:cxnLst>
                              <a:cxn ang="0">
                                <a:pos x="T1" y="T3"/>
                              </a:cxn>
                              <a:cxn ang="0">
                                <a:pos x="T5" y="T7"/>
                              </a:cxn>
                              <a:cxn ang="0">
                                <a:pos x="T9" y="T11"/>
                              </a:cxn>
                              <a:cxn ang="0">
                                <a:pos x="T13" y="T15"/>
                              </a:cxn>
                              <a:cxn ang="0">
                                <a:pos x="T17" y="T19"/>
                              </a:cxn>
                              <a:cxn ang="0">
                                <a:pos x="T21" y="T23"/>
                              </a:cxn>
                            </a:cxnLst>
                            <a:rect l="0" t="0" r="r" b="b"/>
                            <a:pathLst>
                              <a:path w="12" h="14">
                                <a:moveTo>
                                  <a:pt x="6" y="0"/>
                                </a:moveTo>
                                <a:lnTo>
                                  <a:pt x="0" y="6"/>
                                </a:lnTo>
                                <a:lnTo>
                                  <a:pt x="6" y="13"/>
                                </a:lnTo>
                                <a:lnTo>
                                  <a:pt x="12" y="6"/>
                                </a:lnTo>
                                <a:lnTo>
                                  <a:pt x="6"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328" name="Freeform 118"/>
                        <wps:cNvSpPr/>
                        <wps:spPr bwMode="auto">
                          <a:xfrm>
                            <a:off x="6437" y="4080"/>
                            <a:ext cx="83" cy="144"/>
                          </a:xfrm>
                          <a:custGeom>
                            <a:avLst/>
                            <a:gdLst>
                              <a:gd name="T0" fmla="+- 0 6508 6437"/>
                              <a:gd name="T1" fmla="*/ T0 w 83"/>
                              <a:gd name="T2" fmla="+- 0 4080 4080"/>
                              <a:gd name="T3" fmla="*/ 4080 h 144"/>
                              <a:gd name="T4" fmla="+- 0 6449 6437"/>
                              <a:gd name="T5" fmla="*/ T4 w 83"/>
                              <a:gd name="T6" fmla="+- 0 4080 4080"/>
                              <a:gd name="T7" fmla="*/ 4080 h 144"/>
                              <a:gd name="T8" fmla="+- 0 6443 6437"/>
                              <a:gd name="T9" fmla="*/ T8 w 83"/>
                              <a:gd name="T10" fmla="+- 0 4142 4080"/>
                              <a:gd name="T11" fmla="*/ 4142 h 144"/>
                              <a:gd name="T12" fmla="+- 0 6449 6437"/>
                              <a:gd name="T13" fmla="*/ T12 w 83"/>
                              <a:gd name="T14" fmla="+- 0 4135 4080"/>
                              <a:gd name="T15" fmla="*/ 4135 h 144"/>
                              <a:gd name="T16" fmla="+- 0 6467 6437"/>
                              <a:gd name="T17" fmla="*/ T16 w 83"/>
                              <a:gd name="T18" fmla="+- 0 4128 4080"/>
                              <a:gd name="T19" fmla="*/ 4128 h 144"/>
                              <a:gd name="T20" fmla="+- 0 6484 6437"/>
                              <a:gd name="T21" fmla="*/ T20 w 83"/>
                              <a:gd name="T22" fmla="+- 0 4128 4080"/>
                              <a:gd name="T23" fmla="*/ 4128 h 144"/>
                              <a:gd name="T24" fmla="+- 0 6502 6437"/>
                              <a:gd name="T25" fmla="*/ T24 w 83"/>
                              <a:gd name="T26" fmla="+- 0 4135 4080"/>
                              <a:gd name="T27" fmla="*/ 4135 h 144"/>
                              <a:gd name="T28" fmla="+- 0 6514 6437"/>
                              <a:gd name="T29" fmla="*/ T28 w 83"/>
                              <a:gd name="T30" fmla="+- 0 4149 4080"/>
                              <a:gd name="T31" fmla="*/ 4149 h 144"/>
                              <a:gd name="T32" fmla="+- 0 6520 6437"/>
                              <a:gd name="T33" fmla="*/ T32 w 83"/>
                              <a:gd name="T34" fmla="+- 0 4169 4080"/>
                              <a:gd name="T35" fmla="*/ 4169 h 144"/>
                              <a:gd name="T36" fmla="+- 0 6520 6437"/>
                              <a:gd name="T37" fmla="*/ T36 w 83"/>
                              <a:gd name="T38" fmla="+- 0 4183 4080"/>
                              <a:gd name="T39" fmla="*/ 4183 h 144"/>
                              <a:gd name="T40" fmla="+- 0 6514 6437"/>
                              <a:gd name="T41" fmla="*/ T40 w 83"/>
                              <a:gd name="T42" fmla="+- 0 4204 4080"/>
                              <a:gd name="T43" fmla="*/ 4204 h 144"/>
                              <a:gd name="T44" fmla="+- 0 6502 6437"/>
                              <a:gd name="T45" fmla="*/ T44 w 83"/>
                              <a:gd name="T46" fmla="+- 0 4217 4080"/>
                              <a:gd name="T47" fmla="*/ 4217 h 144"/>
                              <a:gd name="T48" fmla="+- 0 6484 6437"/>
                              <a:gd name="T49" fmla="*/ T48 w 83"/>
                              <a:gd name="T50" fmla="+- 0 4224 4080"/>
                              <a:gd name="T51" fmla="*/ 4224 h 144"/>
                              <a:gd name="T52" fmla="+- 0 6467 6437"/>
                              <a:gd name="T53" fmla="*/ T52 w 83"/>
                              <a:gd name="T54" fmla="+- 0 4224 4080"/>
                              <a:gd name="T55" fmla="*/ 4224 h 144"/>
                              <a:gd name="T56" fmla="+- 0 6449 6437"/>
                              <a:gd name="T57" fmla="*/ T56 w 83"/>
                              <a:gd name="T58" fmla="+- 0 4217 4080"/>
                              <a:gd name="T59" fmla="*/ 4217 h 144"/>
                              <a:gd name="T60" fmla="+- 0 6443 6437"/>
                              <a:gd name="T61" fmla="*/ T60 w 83"/>
                              <a:gd name="T62" fmla="+- 0 4211 4080"/>
                              <a:gd name="T63" fmla="*/ 4211 h 144"/>
                              <a:gd name="T64" fmla="+- 0 6437 6437"/>
                              <a:gd name="T65" fmla="*/ T64 w 83"/>
                              <a:gd name="T66" fmla="+- 0 4197 4080"/>
                              <a:gd name="T67" fmla="*/ 4197 h 144"/>
                              <a:gd name="T68" fmla="+- 0 6437 6437"/>
                              <a:gd name="T69" fmla="*/ T68 w 83"/>
                              <a:gd name="T70" fmla="+- 0 4197 4080"/>
                              <a:gd name="T71" fmla="*/ 4197 h 14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83" h="144">
                                <a:moveTo>
                                  <a:pt x="71" y="0"/>
                                </a:moveTo>
                                <a:lnTo>
                                  <a:pt x="12" y="0"/>
                                </a:lnTo>
                                <a:lnTo>
                                  <a:pt x="6" y="62"/>
                                </a:lnTo>
                                <a:lnTo>
                                  <a:pt x="12" y="55"/>
                                </a:lnTo>
                                <a:lnTo>
                                  <a:pt x="30" y="48"/>
                                </a:lnTo>
                                <a:lnTo>
                                  <a:pt x="47" y="48"/>
                                </a:lnTo>
                                <a:lnTo>
                                  <a:pt x="65" y="55"/>
                                </a:lnTo>
                                <a:lnTo>
                                  <a:pt x="77" y="69"/>
                                </a:lnTo>
                                <a:lnTo>
                                  <a:pt x="83" y="89"/>
                                </a:lnTo>
                                <a:lnTo>
                                  <a:pt x="83" y="103"/>
                                </a:lnTo>
                                <a:lnTo>
                                  <a:pt x="77" y="124"/>
                                </a:lnTo>
                                <a:lnTo>
                                  <a:pt x="65" y="137"/>
                                </a:lnTo>
                                <a:lnTo>
                                  <a:pt x="47" y="144"/>
                                </a:lnTo>
                                <a:lnTo>
                                  <a:pt x="30" y="144"/>
                                </a:lnTo>
                                <a:lnTo>
                                  <a:pt x="12" y="137"/>
                                </a:lnTo>
                                <a:lnTo>
                                  <a:pt x="6" y="131"/>
                                </a:lnTo>
                                <a:lnTo>
                                  <a:pt x="0" y="117"/>
                                </a:lnTo>
                              </a:path>
                            </a:pathLst>
                          </a:custGeom>
                          <a:noFill/>
                          <a:ln w="147">
                            <a:solidFill>
                              <a:srgbClr val="000000"/>
                            </a:solidFill>
                            <a:prstDash val="solid"/>
                            <a:round/>
                          </a:ln>
                        </wps:spPr>
                        <wps:bodyPr rot="0" vert="horz" wrap="square" lIns="91440" tIns="45720" rIns="91440" bIns="45720" anchor="t" anchorCtr="0" upright="1">
                          <a:noAutofit/>
                        </wps:bodyPr>
                      </wps:wsp>
                      <wps:wsp>
                        <wps:cNvPr id="329" name="Freeform 117"/>
                        <wps:cNvSpPr/>
                        <wps:spPr bwMode="auto">
                          <a:xfrm>
                            <a:off x="6561" y="4128"/>
                            <a:ext cx="2" cy="97"/>
                          </a:xfrm>
                          <a:custGeom>
                            <a:avLst/>
                            <a:gdLst>
                              <a:gd name="T0" fmla="+- 0 6561 6561"/>
                              <a:gd name="T1" fmla="*/ T0 w 1"/>
                              <a:gd name="T2" fmla="+- 0 4128 4128"/>
                              <a:gd name="T3" fmla="*/ 4128 h 97"/>
                              <a:gd name="T4" fmla="+- 0 6561 6561"/>
                              <a:gd name="T5" fmla="*/ T4 w 1"/>
                              <a:gd name="T6" fmla="+- 0 4224 4128"/>
                              <a:gd name="T7" fmla="*/ 4224 h 97"/>
                              <a:gd name="T8" fmla="+- 0 6561 6561"/>
                              <a:gd name="T9" fmla="*/ T8 w 1"/>
                              <a:gd name="T10" fmla="+- 0 4224 4128"/>
                              <a:gd name="T11" fmla="*/ 4224 h 97"/>
                            </a:gdLst>
                            <a:ahLst/>
                            <a:cxnLst>
                              <a:cxn ang="0">
                                <a:pos x="T1" y="T3"/>
                              </a:cxn>
                              <a:cxn ang="0">
                                <a:pos x="T5" y="T7"/>
                              </a:cxn>
                              <a:cxn ang="0">
                                <a:pos x="T9" y="T11"/>
                              </a:cxn>
                            </a:cxnLst>
                            <a:rect l="0" t="0" r="r" b="b"/>
                            <a:pathLst>
                              <a:path w="1" h="97">
                                <a:moveTo>
                                  <a:pt x="0" y="0"/>
                                </a:moveTo>
                                <a:lnTo>
                                  <a:pt x="0" y="96"/>
                                </a:lnTo>
                              </a:path>
                            </a:pathLst>
                          </a:custGeom>
                          <a:noFill/>
                          <a:ln w="141">
                            <a:solidFill>
                              <a:srgbClr val="000000"/>
                            </a:solidFill>
                            <a:prstDash val="solid"/>
                            <a:round/>
                          </a:ln>
                        </wps:spPr>
                        <wps:bodyPr rot="0" vert="horz" wrap="square" lIns="91440" tIns="45720" rIns="91440" bIns="45720" anchor="t" anchorCtr="0" upright="1">
                          <a:noAutofit/>
                        </wps:bodyPr>
                      </wps:wsp>
                      <wps:wsp>
                        <wps:cNvPr id="330" name="Freeform 116"/>
                        <wps:cNvSpPr/>
                        <wps:spPr bwMode="auto">
                          <a:xfrm>
                            <a:off x="6561" y="4128"/>
                            <a:ext cx="66" cy="97"/>
                          </a:xfrm>
                          <a:custGeom>
                            <a:avLst/>
                            <a:gdLst>
                              <a:gd name="T0" fmla="+- 0 6561 6561"/>
                              <a:gd name="T1" fmla="*/ T0 w 66"/>
                              <a:gd name="T2" fmla="+- 0 4156 4128"/>
                              <a:gd name="T3" fmla="*/ 4156 h 97"/>
                              <a:gd name="T4" fmla="+- 0 6579 6561"/>
                              <a:gd name="T5" fmla="*/ T4 w 66"/>
                              <a:gd name="T6" fmla="+- 0 4135 4128"/>
                              <a:gd name="T7" fmla="*/ 4135 h 97"/>
                              <a:gd name="T8" fmla="+- 0 6591 6561"/>
                              <a:gd name="T9" fmla="*/ T8 w 66"/>
                              <a:gd name="T10" fmla="+- 0 4128 4128"/>
                              <a:gd name="T11" fmla="*/ 4128 h 97"/>
                              <a:gd name="T12" fmla="+- 0 6608 6561"/>
                              <a:gd name="T13" fmla="*/ T12 w 66"/>
                              <a:gd name="T14" fmla="+- 0 4128 4128"/>
                              <a:gd name="T15" fmla="*/ 4128 h 97"/>
                              <a:gd name="T16" fmla="+- 0 6620 6561"/>
                              <a:gd name="T17" fmla="*/ T16 w 66"/>
                              <a:gd name="T18" fmla="+- 0 4135 4128"/>
                              <a:gd name="T19" fmla="*/ 4135 h 97"/>
                              <a:gd name="T20" fmla="+- 0 6626 6561"/>
                              <a:gd name="T21" fmla="*/ T20 w 66"/>
                              <a:gd name="T22" fmla="+- 0 4156 4128"/>
                              <a:gd name="T23" fmla="*/ 4156 h 97"/>
                              <a:gd name="T24" fmla="+- 0 6626 6561"/>
                              <a:gd name="T25" fmla="*/ T24 w 66"/>
                              <a:gd name="T26" fmla="+- 0 4224 4128"/>
                              <a:gd name="T27" fmla="*/ 4224 h 97"/>
                              <a:gd name="T28" fmla="+- 0 6626 6561"/>
                              <a:gd name="T29" fmla="*/ T28 w 66"/>
                              <a:gd name="T30" fmla="+- 0 4224 4128"/>
                              <a:gd name="T31" fmla="*/ 4224 h 97"/>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6" h="97">
                                <a:moveTo>
                                  <a:pt x="0" y="28"/>
                                </a:moveTo>
                                <a:lnTo>
                                  <a:pt x="18" y="7"/>
                                </a:lnTo>
                                <a:lnTo>
                                  <a:pt x="30" y="0"/>
                                </a:lnTo>
                                <a:lnTo>
                                  <a:pt x="47" y="0"/>
                                </a:lnTo>
                                <a:lnTo>
                                  <a:pt x="59" y="7"/>
                                </a:lnTo>
                                <a:lnTo>
                                  <a:pt x="65" y="28"/>
                                </a:lnTo>
                                <a:lnTo>
                                  <a:pt x="65" y="96"/>
                                </a:lnTo>
                              </a:path>
                            </a:pathLst>
                          </a:custGeom>
                          <a:noFill/>
                          <a:ln w="148">
                            <a:solidFill>
                              <a:srgbClr val="000000"/>
                            </a:solidFill>
                            <a:prstDash val="solid"/>
                            <a:round/>
                          </a:ln>
                        </wps:spPr>
                        <wps:bodyPr rot="0" vert="horz" wrap="square" lIns="91440" tIns="45720" rIns="91440" bIns="45720" anchor="t" anchorCtr="0" upright="1">
                          <a:noAutofit/>
                        </wps:bodyPr>
                      </wps:wsp>
                      <wps:wsp>
                        <wps:cNvPr id="331" name="Freeform 115"/>
                        <wps:cNvSpPr/>
                        <wps:spPr bwMode="auto">
                          <a:xfrm>
                            <a:off x="6625" y="4128"/>
                            <a:ext cx="66" cy="97"/>
                          </a:xfrm>
                          <a:custGeom>
                            <a:avLst/>
                            <a:gdLst>
                              <a:gd name="T0" fmla="+- 0 6626 6626"/>
                              <a:gd name="T1" fmla="*/ T0 w 66"/>
                              <a:gd name="T2" fmla="+- 0 4156 4128"/>
                              <a:gd name="T3" fmla="*/ 4156 h 97"/>
                              <a:gd name="T4" fmla="+- 0 6644 6626"/>
                              <a:gd name="T5" fmla="*/ T4 w 66"/>
                              <a:gd name="T6" fmla="+- 0 4135 4128"/>
                              <a:gd name="T7" fmla="*/ 4135 h 97"/>
                              <a:gd name="T8" fmla="+- 0 6655 6626"/>
                              <a:gd name="T9" fmla="*/ T8 w 66"/>
                              <a:gd name="T10" fmla="+- 0 4128 4128"/>
                              <a:gd name="T11" fmla="*/ 4128 h 97"/>
                              <a:gd name="T12" fmla="+- 0 6673 6626"/>
                              <a:gd name="T13" fmla="*/ T12 w 66"/>
                              <a:gd name="T14" fmla="+- 0 4128 4128"/>
                              <a:gd name="T15" fmla="*/ 4128 h 97"/>
                              <a:gd name="T16" fmla="+- 0 6685 6626"/>
                              <a:gd name="T17" fmla="*/ T16 w 66"/>
                              <a:gd name="T18" fmla="+- 0 4135 4128"/>
                              <a:gd name="T19" fmla="*/ 4135 h 97"/>
                              <a:gd name="T20" fmla="+- 0 6691 6626"/>
                              <a:gd name="T21" fmla="*/ T20 w 66"/>
                              <a:gd name="T22" fmla="+- 0 4156 4128"/>
                              <a:gd name="T23" fmla="*/ 4156 h 97"/>
                              <a:gd name="T24" fmla="+- 0 6691 6626"/>
                              <a:gd name="T25" fmla="*/ T24 w 66"/>
                              <a:gd name="T26" fmla="+- 0 4224 4128"/>
                              <a:gd name="T27" fmla="*/ 4224 h 97"/>
                              <a:gd name="T28" fmla="+- 0 6691 6626"/>
                              <a:gd name="T29" fmla="*/ T28 w 66"/>
                              <a:gd name="T30" fmla="+- 0 4224 4128"/>
                              <a:gd name="T31" fmla="*/ 4224 h 97"/>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6" h="97">
                                <a:moveTo>
                                  <a:pt x="0" y="28"/>
                                </a:moveTo>
                                <a:lnTo>
                                  <a:pt x="18" y="7"/>
                                </a:lnTo>
                                <a:lnTo>
                                  <a:pt x="29" y="0"/>
                                </a:lnTo>
                                <a:lnTo>
                                  <a:pt x="47" y="0"/>
                                </a:lnTo>
                                <a:lnTo>
                                  <a:pt x="59" y="7"/>
                                </a:lnTo>
                                <a:lnTo>
                                  <a:pt x="65" y="28"/>
                                </a:lnTo>
                                <a:lnTo>
                                  <a:pt x="65" y="96"/>
                                </a:lnTo>
                              </a:path>
                            </a:pathLst>
                          </a:custGeom>
                          <a:noFill/>
                          <a:ln w="148">
                            <a:solidFill>
                              <a:srgbClr val="000000"/>
                            </a:solidFill>
                            <a:prstDash val="solid"/>
                            <a:round/>
                          </a:ln>
                        </wps:spPr>
                        <wps:bodyPr rot="0" vert="horz" wrap="square" lIns="91440" tIns="45720" rIns="91440" bIns="45720" anchor="t" anchorCtr="0" upright="1">
                          <a:noAutofit/>
                        </wps:bodyPr>
                      </wps:wsp>
                      <wps:wsp>
                        <wps:cNvPr id="332" name="Freeform 114"/>
                        <wps:cNvSpPr/>
                        <wps:spPr bwMode="auto">
                          <a:xfrm>
                            <a:off x="6737" y="4052"/>
                            <a:ext cx="42" cy="220"/>
                          </a:xfrm>
                          <a:custGeom>
                            <a:avLst/>
                            <a:gdLst>
                              <a:gd name="T0" fmla="+- 0 6779 6738"/>
                              <a:gd name="T1" fmla="*/ T0 w 42"/>
                              <a:gd name="T2" fmla="+- 0 4053 4053"/>
                              <a:gd name="T3" fmla="*/ 4053 h 220"/>
                              <a:gd name="T4" fmla="+- 0 6767 6738"/>
                              <a:gd name="T5" fmla="*/ T4 w 42"/>
                              <a:gd name="T6" fmla="+- 0 4067 4053"/>
                              <a:gd name="T7" fmla="*/ 4067 h 220"/>
                              <a:gd name="T8" fmla="+- 0 6756 6738"/>
                              <a:gd name="T9" fmla="*/ T8 w 42"/>
                              <a:gd name="T10" fmla="+- 0 4087 4053"/>
                              <a:gd name="T11" fmla="*/ 4087 h 220"/>
                              <a:gd name="T12" fmla="+- 0 6744 6738"/>
                              <a:gd name="T13" fmla="*/ T12 w 42"/>
                              <a:gd name="T14" fmla="+- 0 4115 4053"/>
                              <a:gd name="T15" fmla="*/ 4115 h 220"/>
                              <a:gd name="T16" fmla="+- 0 6738 6738"/>
                              <a:gd name="T17" fmla="*/ T16 w 42"/>
                              <a:gd name="T18" fmla="+- 0 4149 4053"/>
                              <a:gd name="T19" fmla="*/ 4149 h 220"/>
                              <a:gd name="T20" fmla="+- 0 6738 6738"/>
                              <a:gd name="T21" fmla="*/ T20 w 42"/>
                              <a:gd name="T22" fmla="+- 0 4176 4053"/>
                              <a:gd name="T23" fmla="*/ 4176 h 220"/>
                              <a:gd name="T24" fmla="+- 0 6744 6738"/>
                              <a:gd name="T25" fmla="*/ T24 w 42"/>
                              <a:gd name="T26" fmla="+- 0 4211 4053"/>
                              <a:gd name="T27" fmla="*/ 4211 h 220"/>
                              <a:gd name="T28" fmla="+- 0 6756 6738"/>
                              <a:gd name="T29" fmla="*/ T28 w 42"/>
                              <a:gd name="T30" fmla="+- 0 4238 4053"/>
                              <a:gd name="T31" fmla="*/ 4238 h 220"/>
                              <a:gd name="T32" fmla="+- 0 6767 6738"/>
                              <a:gd name="T33" fmla="*/ T32 w 42"/>
                              <a:gd name="T34" fmla="+- 0 4259 4053"/>
                              <a:gd name="T35" fmla="*/ 4259 h 220"/>
                              <a:gd name="T36" fmla="+- 0 6779 6738"/>
                              <a:gd name="T37" fmla="*/ T36 w 42"/>
                              <a:gd name="T38" fmla="+- 0 4272 4053"/>
                              <a:gd name="T39" fmla="*/ 4272 h 220"/>
                              <a:gd name="T40" fmla="+- 0 6779 6738"/>
                              <a:gd name="T41" fmla="*/ T40 w 42"/>
                              <a:gd name="T42" fmla="+- 0 4272 4053"/>
                              <a:gd name="T43" fmla="*/ 4272 h 2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42" h="220">
                                <a:moveTo>
                                  <a:pt x="41" y="0"/>
                                </a:moveTo>
                                <a:lnTo>
                                  <a:pt x="29" y="14"/>
                                </a:lnTo>
                                <a:lnTo>
                                  <a:pt x="18" y="34"/>
                                </a:lnTo>
                                <a:lnTo>
                                  <a:pt x="6" y="62"/>
                                </a:lnTo>
                                <a:lnTo>
                                  <a:pt x="0" y="96"/>
                                </a:lnTo>
                                <a:lnTo>
                                  <a:pt x="0" y="123"/>
                                </a:lnTo>
                                <a:lnTo>
                                  <a:pt x="6" y="158"/>
                                </a:lnTo>
                                <a:lnTo>
                                  <a:pt x="18" y="185"/>
                                </a:lnTo>
                                <a:lnTo>
                                  <a:pt x="29" y="206"/>
                                </a:lnTo>
                                <a:lnTo>
                                  <a:pt x="41" y="219"/>
                                </a:lnTo>
                              </a:path>
                            </a:pathLst>
                          </a:custGeom>
                          <a:noFill/>
                          <a:ln w="142">
                            <a:solidFill>
                              <a:srgbClr val="000000"/>
                            </a:solidFill>
                            <a:prstDash val="solid"/>
                            <a:round/>
                          </a:ln>
                        </wps:spPr>
                        <wps:bodyPr rot="0" vert="horz" wrap="square" lIns="91440" tIns="45720" rIns="91440" bIns="45720" anchor="t" anchorCtr="0" upright="1">
                          <a:noAutofit/>
                        </wps:bodyPr>
                      </wps:wsp>
                      <wps:wsp>
                        <wps:cNvPr id="333" name="Freeform 113"/>
                        <wps:cNvSpPr/>
                        <wps:spPr bwMode="auto">
                          <a:xfrm>
                            <a:off x="6814" y="4080"/>
                            <a:ext cx="83" cy="144"/>
                          </a:xfrm>
                          <a:custGeom>
                            <a:avLst/>
                            <a:gdLst>
                              <a:gd name="T0" fmla="+- 0 6826 6815"/>
                              <a:gd name="T1" fmla="*/ T0 w 83"/>
                              <a:gd name="T2" fmla="+- 0 4080 4080"/>
                              <a:gd name="T3" fmla="*/ 4080 h 144"/>
                              <a:gd name="T4" fmla="+- 0 6891 6815"/>
                              <a:gd name="T5" fmla="*/ T4 w 83"/>
                              <a:gd name="T6" fmla="+- 0 4080 4080"/>
                              <a:gd name="T7" fmla="*/ 4080 h 144"/>
                              <a:gd name="T8" fmla="+- 0 6856 6815"/>
                              <a:gd name="T9" fmla="*/ T8 w 83"/>
                              <a:gd name="T10" fmla="+- 0 4135 4080"/>
                              <a:gd name="T11" fmla="*/ 4135 h 144"/>
                              <a:gd name="T12" fmla="+- 0 6873 6815"/>
                              <a:gd name="T13" fmla="*/ T12 w 83"/>
                              <a:gd name="T14" fmla="+- 0 4135 4080"/>
                              <a:gd name="T15" fmla="*/ 4135 h 144"/>
                              <a:gd name="T16" fmla="+- 0 6885 6815"/>
                              <a:gd name="T17" fmla="*/ T16 w 83"/>
                              <a:gd name="T18" fmla="+- 0 4142 4080"/>
                              <a:gd name="T19" fmla="*/ 4142 h 144"/>
                              <a:gd name="T20" fmla="+- 0 6891 6815"/>
                              <a:gd name="T21" fmla="*/ T20 w 83"/>
                              <a:gd name="T22" fmla="+- 0 4149 4080"/>
                              <a:gd name="T23" fmla="*/ 4149 h 144"/>
                              <a:gd name="T24" fmla="+- 0 6897 6815"/>
                              <a:gd name="T25" fmla="*/ T24 w 83"/>
                              <a:gd name="T26" fmla="+- 0 4169 4080"/>
                              <a:gd name="T27" fmla="*/ 4169 h 144"/>
                              <a:gd name="T28" fmla="+- 0 6897 6815"/>
                              <a:gd name="T29" fmla="*/ T28 w 83"/>
                              <a:gd name="T30" fmla="+- 0 4183 4080"/>
                              <a:gd name="T31" fmla="*/ 4183 h 144"/>
                              <a:gd name="T32" fmla="+- 0 6891 6815"/>
                              <a:gd name="T33" fmla="*/ T32 w 83"/>
                              <a:gd name="T34" fmla="+- 0 4204 4080"/>
                              <a:gd name="T35" fmla="*/ 4204 h 144"/>
                              <a:gd name="T36" fmla="+- 0 6880 6815"/>
                              <a:gd name="T37" fmla="*/ T36 w 83"/>
                              <a:gd name="T38" fmla="+- 0 4217 4080"/>
                              <a:gd name="T39" fmla="*/ 4217 h 144"/>
                              <a:gd name="T40" fmla="+- 0 6862 6815"/>
                              <a:gd name="T41" fmla="*/ T40 w 83"/>
                              <a:gd name="T42" fmla="+- 0 4224 4080"/>
                              <a:gd name="T43" fmla="*/ 4224 h 144"/>
                              <a:gd name="T44" fmla="+- 0 6844 6815"/>
                              <a:gd name="T45" fmla="*/ T44 w 83"/>
                              <a:gd name="T46" fmla="+- 0 4224 4080"/>
                              <a:gd name="T47" fmla="*/ 4224 h 144"/>
                              <a:gd name="T48" fmla="+- 0 6826 6815"/>
                              <a:gd name="T49" fmla="*/ T48 w 83"/>
                              <a:gd name="T50" fmla="+- 0 4217 4080"/>
                              <a:gd name="T51" fmla="*/ 4217 h 144"/>
                              <a:gd name="T52" fmla="+- 0 6821 6815"/>
                              <a:gd name="T53" fmla="*/ T52 w 83"/>
                              <a:gd name="T54" fmla="+- 0 4211 4080"/>
                              <a:gd name="T55" fmla="*/ 4211 h 144"/>
                              <a:gd name="T56" fmla="+- 0 6815 6815"/>
                              <a:gd name="T57" fmla="*/ T56 w 83"/>
                              <a:gd name="T58" fmla="+- 0 4197 4080"/>
                              <a:gd name="T59" fmla="*/ 4197 h 144"/>
                              <a:gd name="T60" fmla="+- 0 6815 6815"/>
                              <a:gd name="T61" fmla="*/ T60 w 83"/>
                              <a:gd name="T62" fmla="+- 0 4197 4080"/>
                              <a:gd name="T63" fmla="*/ 4197 h 14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83" h="144">
                                <a:moveTo>
                                  <a:pt x="11" y="0"/>
                                </a:moveTo>
                                <a:lnTo>
                                  <a:pt x="76" y="0"/>
                                </a:lnTo>
                                <a:lnTo>
                                  <a:pt x="41" y="55"/>
                                </a:lnTo>
                                <a:lnTo>
                                  <a:pt x="58" y="55"/>
                                </a:lnTo>
                                <a:lnTo>
                                  <a:pt x="70" y="62"/>
                                </a:lnTo>
                                <a:lnTo>
                                  <a:pt x="76" y="69"/>
                                </a:lnTo>
                                <a:lnTo>
                                  <a:pt x="82" y="89"/>
                                </a:lnTo>
                                <a:lnTo>
                                  <a:pt x="82" y="103"/>
                                </a:lnTo>
                                <a:lnTo>
                                  <a:pt x="76" y="124"/>
                                </a:lnTo>
                                <a:lnTo>
                                  <a:pt x="65" y="137"/>
                                </a:lnTo>
                                <a:lnTo>
                                  <a:pt x="47" y="144"/>
                                </a:lnTo>
                                <a:lnTo>
                                  <a:pt x="29" y="144"/>
                                </a:lnTo>
                                <a:lnTo>
                                  <a:pt x="11" y="137"/>
                                </a:lnTo>
                                <a:lnTo>
                                  <a:pt x="6" y="131"/>
                                </a:lnTo>
                                <a:lnTo>
                                  <a:pt x="0" y="117"/>
                                </a:lnTo>
                              </a:path>
                            </a:pathLst>
                          </a:custGeom>
                          <a:noFill/>
                          <a:ln w="147">
                            <a:solidFill>
                              <a:srgbClr val="000000"/>
                            </a:solidFill>
                            <a:prstDash val="solid"/>
                            <a:round/>
                          </a:ln>
                        </wps:spPr>
                        <wps:bodyPr rot="0" vert="horz" wrap="square" lIns="91440" tIns="45720" rIns="91440" bIns="45720" anchor="t" anchorCtr="0" upright="1">
                          <a:noAutofit/>
                        </wps:bodyPr>
                      </wps:wsp>
                      <wps:wsp>
                        <wps:cNvPr id="334" name="Freeform 112"/>
                        <wps:cNvSpPr/>
                        <wps:spPr bwMode="auto">
                          <a:xfrm>
                            <a:off x="6938" y="4128"/>
                            <a:ext cx="2" cy="97"/>
                          </a:xfrm>
                          <a:custGeom>
                            <a:avLst/>
                            <a:gdLst>
                              <a:gd name="T0" fmla="+- 0 6938 6938"/>
                              <a:gd name="T1" fmla="*/ T0 w 1"/>
                              <a:gd name="T2" fmla="+- 0 4128 4128"/>
                              <a:gd name="T3" fmla="*/ 4128 h 97"/>
                              <a:gd name="T4" fmla="+- 0 6938 6938"/>
                              <a:gd name="T5" fmla="*/ T4 w 1"/>
                              <a:gd name="T6" fmla="+- 0 4224 4128"/>
                              <a:gd name="T7" fmla="*/ 4224 h 97"/>
                              <a:gd name="T8" fmla="+- 0 6939 6938"/>
                              <a:gd name="T9" fmla="*/ T8 w 1"/>
                              <a:gd name="T10" fmla="+- 0 4224 4128"/>
                              <a:gd name="T11" fmla="*/ 4224 h 97"/>
                            </a:gdLst>
                            <a:ahLst/>
                            <a:cxnLst>
                              <a:cxn ang="0">
                                <a:pos x="T1" y="T3"/>
                              </a:cxn>
                              <a:cxn ang="0">
                                <a:pos x="T5" y="T7"/>
                              </a:cxn>
                              <a:cxn ang="0">
                                <a:pos x="T9" y="T11"/>
                              </a:cxn>
                            </a:cxnLst>
                            <a:rect l="0" t="0" r="r" b="b"/>
                            <a:pathLst>
                              <a:path w="1" h="97">
                                <a:moveTo>
                                  <a:pt x="0" y="0"/>
                                </a:moveTo>
                                <a:lnTo>
                                  <a:pt x="0" y="96"/>
                                </a:lnTo>
                                <a:lnTo>
                                  <a:pt x="1" y="96"/>
                                </a:lnTo>
                              </a:path>
                            </a:pathLst>
                          </a:custGeom>
                          <a:noFill/>
                          <a:ln w="141">
                            <a:solidFill>
                              <a:srgbClr val="000000"/>
                            </a:solidFill>
                            <a:prstDash val="solid"/>
                            <a:round/>
                          </a:ln>
                        </wps:spPr>
                        <wps:bodyPr rot="0" vert="horz" wrap="square" lIns="91440" tIns="45720" rIns="91440" bIns="45720" anchor="t" anchorCtr="0" upright="1">
                          <a:noAutofit/>
                        </wps:bodyPr>
                      </wps:wsp>
                      <wps:wsp>
                        <wps:cNvPr id="335" name="Freeform 111"/>
                        <wps:cNvSpPr/>
                        <wps:spPr bwMode="auto">
                          <a:xfrm>
                            <a:off x="6938" y="4128"/>
                            <a:ext cx="66" cy="97"/>
                          </a:xfrm>
                          <a:custGeom>
                            <a:avLst/>
                            <a:gdLst>
                              <a:gd name="T0" fmla="+- 0 6938 6938"/>
                              <a:gd name="T1" fmla="*/ T0 w 66"/>
                              <a:gd name="T2" fmla="+- 0 4156 4128"/>
                              <a:gd name="T3" fmla="*/ 4156 h 97"/>
                              <a:gd name="T4" fmla="+- 0 6956 6938"/>
                              <a:gd name="T5" fmla="*/ T4 w 66"/>
                              <a:gd name="T6" fmla="+- 0 4135 4128"/>
                              <a:gd name="T7" fmla="*/ 4135 h 97"/>
                              <a:gd name="T8" fmla="+- 0 6968 6938"/>
                              <a:gd name="T9" fmla="*/ T8 w 66"/>
                              <a:gd name="T10" fmla="+- 0 4128 4128"/>
                              <a:gd name="T11" fmla="*/ 4128 h 97"/>
                              <a:gd name="T12" fmla="+- 0 6986 6938"/>
                              <a:gd name="T13" fmla="*/ T12 w 66"/>
                              <a:gd name="T14" fmla="+- 0 4128 4128"/>
                              <a:gd name="T15" fmla="*/ 4128 h 97"/>
                              <a:gd name="T16" fmla="+- 0 6997 6938"/>
                              <a:gd name="T17" fmla="*/ T16 w 66"/>
                              <a:gd name="T18" fmla="+- 0 4135 4128"/>
                              <a:gd name="T19" fmla="*/ 4135 h 97"/>
                              <a:gd name="T20" fmla="+- 0 7003 6938"/>
                              <a:gd name="T21" fmla="*/ T20 w 66"/>
                              <a:gd name="T22" fmla="+- 0 4156 4128"/>
                              <a:gd name="T23" fmla="*/ 4156 h 97"/>
                              <a:gd name="T24" fmla="+- 0 7003 6938"/>
                              <a:gd name="T25" fmla="*/ T24 w 66"/>
                              <a:gd name="T26" fmla="+- 0 4224 4128"/>
                              <a:gd name="T27" fmla="*/ 4224 h 97"/>
                              <a:gd name="T28" fmla="+- 0 7003 6938"/>
                              <a:gd name="T29" fmla="*/ T28 w 66"/>
                              <a:gd name="T30" fmla="+- 0 4224 4128"/>
                              <a:gd name="T31" fmla="*/ 4224 h 97"/>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6" h="97">
                                <a:moveTo>
                                  <a:pt x="0" y="28"/>
                                </a:moveTo>
                                <a:lnTo>
                                  <a:pt x="18" y="7"/>
                                </a:lnTo>
                                <a:lnTo>
                                  <a:pt x="30" y="0"/>
                                </a:lnTo>
                                <a:lnTo>
                                  <a:pt x="48" y="0"/>
                                </a:lnTo>
                                <a:lnTo>
                                  <a:pt x="59" y="7"/>
                                </a:lnTo>
                                <a:lnTo>
                                  <a:pt x="65" y="28"/>
                                </a:lnTo>
                                <a:lnTo>
                                  <a:pt x="65" y="96"/>
                                </a:lnTo>
                              </a:path>
                            </a:pathLst>
                          </a:custGeom>
                          <a:noFill/>
                          <a:ln w="148">
                            <a:solidFill>
                              <a:srgbClr val="000000"/>
                            </a:solidFill>
                            <a:prstDash val="solid"/>
                            <a:round/>
                          </a:ln>
                        </wps:spPr>
                        <wps:bodyPr rot="0" vert="horz" wrap="square" lIns="91440" tIns="45720" rIns="91440" bIns="45720" anchor="t" anchorCtr="0" upright="1">
                          <a:noAutofit/>
                        </wps:bodyPr>
                      </wps:wsp>
                      <wps:wsp>
                        <wps:cNvPr id="336" name="Freeform 110"/>
                        <wps:cNvSpPr/>
                        <wps:spPr bwMode="auto">
                          <a:xfrm>
                            <a:off x="7003" y="4128"/>
                            <a:ext cx="66" cy="97"/>
                          </a:xfrm>
                          <a:custGeom>
                            <a:avLst/>
                            <a:gdLst>
                              <a:gd name="T0" fmla="+- 0 7003 7003"/>
                              <a:gd name="T1" fmla="*/ T0 w 66"/>
                              <a:gd name="T2" fmla="+- 0 4156 4128"/>
                              <a:gd name="T3" fmla="*/ 4156 h 97"/>
                              <a:gd name="T4" fmla="+- 0 7021 7003"/>
                              <a:gd name="T5" fmla="*/ T4 w 66"/>
                              <a:gd name="T6" fmla="+- 0 4135 4128"/>
                              <a:gd name="T7" fmla="*/ 4135 h 97"/>
                              <a:gd name="T8" fmla="+- 0 7033 7003"/>
                              <a:gd name="T9" fmla="*/ T8 w 66"/>
                              <a:gd name="T10" fmla="+- 0 4128 4128"/>
                              <a:gd name="T11" fmla="*/ 4128 h 97"/>
                              <a:gd name="T12" fmla="+- 0 7050 7003"/>
                              <a:gd name="T13" fmla="*/ T12 w 66"/>
                              <a:gd name="T14" fmla="+- 0 4128 4128"/>
                              <a:gd name="T15" fmla="*/ 4128 h 97"/>
                              <a:gd name="T16" fmla="+- 0 7062 7003"/>
                              <a:gd name="T17" fmla="*/ T16 w 66"/>
                              <a:gd name="T18" fmla="+- 0 4135 4128"/>
                              <a:gd name="T19" fmla="*/ 4135 h 97"/>
                              <a:gd name="T20" fmla="+- 0 7068 7003"/>
                              <a:gd name="T21" fmla="*/ T20 w 66"/>
                              <a:gd name="T22" fmla="+- 0 4156 4128"/>
                              <a:gd name="T23" fmla="*/ 4156 h 97"/>
                              <a:gd name="T24" fmla="+- 0 7068 7003"/>
                              <a:gd name="T25" fmla="*/ T24 w 66"/>
                              <a:gd name="T26" fmla="+- 0 4224 4128"/>
                              <a:gd name="T27" fmla="*/ 4224 h 97"/>
                              <a:gd name="T28" fmla="+- 0 7068 7003"/>
                              <a:gd name="T29" fmla="*/ T28 w 66"/>
                              <a:gd name="T30" fmla="+- 0 4224 4128"/>
                              <a:gd name="T31" fmla="*/ 4224 h 97"/>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6" h="97">
                                <a:moveTo>
                                  <a:pt x="0" y="28"/>
                                </a:moveTo>
                                <a:lnTo>
                                  <a:pt x="18" y="7"/>
                                </a:lnTo>
                                <a:lnTo>
                                  <a:pt x="30" y="0"/>
                                </a:lnTo>
                                <a:lnTo>
                                  <a:pt x="47" y="0"/>
                                </a:lnTo>
                                <a:lnTo>
                                  <a:pt x="59" y="7"/>
                                </a:lnTo>
                                <a:lnTo>
                                  <a:pt x="65" y="28"/>
                                </a:lnTo>
                                <a:lnTo>
                                  <a:pt x="65" y="96"/>
                                </a:lnTo>
                              </a:path>
                            </a:pathLst>
                          </a:custGeom>
                          <a:noFill/>
                          <a:ln w="148">
                            <a:solidFill>
                              <a:srgbClr val="000000"/>
                            </a:solidFill>
                            <a:prstDash val="solid"/>
                            <a:round/>
                          </a:ln>
                        </wps:spPr>
                        <wps:bodyPr rot="0" vert="horz" wrap="square" lIns="91440" tIns="45720" rIns="91440" bIns="45720" anchor="t" anchorCtr="0" upright="1">
                          <a:noAutofit/>
                        </wps:bodyPr>
                      </wps:wsp>
                      <wps:wsp>
                        <wps:cNvPr id="337" name="Freeform 109"/>
                        <wps:cNvSpPr/>
                        <wps:spPr bwMode="auto">
                          <a:xfrm>
                            <a:off x="7109" y="4052"/>
                            <a:ext cx="42" cy="220"/>
                          </a:xfrm>
                          <a:custGeom>
                            <a:avLst/>
                            <a:gdLst>
                              <a:gd name="T0" fmla="+- 0 7109 7109"/>
                              <a:gd name="T1" fmla="*/ T0 w 42"/>
                              <a:gd name="T2" fmla="+- 0 4053 4053"/>
                              <a:gd name="T3" fmla="*/ 4053 h 220"/>
                              <a:gd name="T4" fmla="+- 0 7121 7109"/>
                              <a:gd name="T5" fmla="*/ T4 w 42"/>
                              <a:gd name="T6" fmla="+- 0 4067 4053"/>
                              <a:gd name="T7" fmla="*/ 4067 h 220"/>
                              <a:gd name="T8" fmla="+- 0 7133 7109"/>
                              <a:gd name="T9" fmla="*/ T8 w 42"/>
                              <a:gd name="T10" fmla="+- 0 4087 4053"/>
                              <a:gd name="T11" fmla="*/ 4087 h 220"/>
                              <a:gd name="T12" fmla="+- 0 7145 7109"/>
                              <a:gd name="T13" fmla="*/ T12 w 42"/>
                              <a:gd name="T14" fmla="+- 0 4115 4053"/>
                              <a:gd name="T15" fmla="*/ 4115 h 220"/>
                              <a:gd name="T16" fmla="+- 0 7151 7109"/>
                              <a:gd name="T17" fmla="*/ T16 w 42"/>
                              <a:gd name="T18" fmla="+- 0 4149 4053"/>
                              <a:gd name="T19" fmla="*/ 4149 h 220"/>
                              <a:gd name="T20" fmla="+- 0 7151 7109"/>
                              <a:gd name="T21" fmla="*/ T20 w 42"/>
                              <a:gd name="T22" fmla="+- 0 4176 4053"/>
                              <a:gd name="T23" fmla="*/ 4176 h 220"/>
                              <a:gd name="T24" fmla="+- 0 7145 7109"/>
                              <a:gd name="T25" fmla="*/ T24 w 42"/>
                              <a:gd name="T26" fmla="+- 0 4211 4053"/>
                              <a:gd name="T27" fmla="*/ 4211 h 220"/>
                              <a:gd name="T28" fmla="+- 0 7133 7109"/>
                              <a:gd name="T29" fmla="*/ T28 w 42"/>
                              <a:gd name="T30" fmla="+- 0 4238 4053"/>
                              <a:gd name="T31" fmla="*/ 4238 h 220"/>
                              <a:gd name="T32" fmla="+- 0 7121 7109"/>
                              <a:gd name="T33" fmla="*/ T32 w 42"/>
                              <a:gd name="T34" fmla="+- 0 4259 4053"/>
                              <a:gd name="T35" fmla="*/ 4259 h 220"/>
                              <a:gd name="T36" fmla="+- 0 7109 7109"/>
                              <a:gd name="T37" fmla="*/ T36 w 42"/>
                              <a:gd name="T38" fmla="+- 0 4272 4053"/>
                              <a:gd name="T39" fmla="*/ 4272 h 220"/>
                              <a:gd name="T40" fmla="+- 0 7110 7109"/>
                              <a:gd name="T41" fmla="*/ T40 w 42"/>
                              <a:gd name="T42" fmla="+- 0 4272 4053"/>
                              <a:gd name="T43" fmla="*/ 4272 h 2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42" h="220">
                                <a:moveTo>
                                  <a:pt x="0" y="0"/>
                                </a:moveTo>
                                <a:lnTo>
                                  <a:pt x="12" y="14"/>
                                </a:lnTo>
                                <a:lnTo>
                                  <a:pt x="24" y="34"/>
                                </a:lnTo>
                                <a:lnTo>
                                  <a:pt x="36" y="62"/>
                                </a:lnTo>
                                <a:lnTo>
                                  <a:pt x="42" y="96"/>
                                </a:lnTo>
                                <a:lnTo>
                                  <a:pt x="42" y="123"/>
                                </a:lnTo>
                                <a:lnTo>
                                  <a:pt x="36" y="158"/>
                                </a:lnTo>
                                <a:lnTo>
                                  <a:pt x="24" y="185"/>
                                </a:lnTo>
                                <a:lnTo>
                                  <a:pt x="12" y="206"/>
                                </a:lnTo>
                                <a:lnTo>
                                  <a:pt x="0" y="219"/>
                                </a:lnTo>
                                <a:lnTo>
                                  <a:pt x="1" y="219"/>
                                </a:lnTo>
                              </a:path>
                            </a:pathLst>
                          </a:custGeom>
                          <a:noFill/>
                          <a:ln w="142">
                            <a:solidFill>
                              <a:srgbClr val="000000"/>
                            </a:solidFill>
                            <a:prstDash val="solid"/>
                            <a:round/>
                          </a:ln>
                        </wps:spPr>
                        <wps:bodyPr rot="0" vert="horz" wrap="square" lIns="91440" tIns="45720" rIns="91440" bIns="45720" anchor="t" anchorCtr="0" upright="1">
                          <a:noAutofit/>
                        </wps:bodyPr>
                      </wps:wsp>
                      <wps:wsp>
                        <wps:cNvPr id="338" name="Freeform 108"/>
                        <wps:cNvSpPr/>
                        <wps:spPr bwMode="auto">
                          <a:xfrm>
                            <a:off x="5758" y="4356"/>
                            <a:ext cx="75" cy="96"/>
                          </a:xfrm>
                          <a:custGeom>
                            <a:avLst/>
                            <a:gdLst>
                              <a:gd name="T0" fmla="+- 0 5825 5759"/>
                              <a:gd name="T1" fmla="*/ T0 w 75"/>
                              <a:gd name="T2" fmla="+- 0 4357 4357"/>
                              <a:gd name="T3" fmla="*/ 4357 h 96"/>
                              <a:gd name="T4" fmla="+- 0 5759 5759"/>
                              <a:gd name="T5" fmla="*/ T4 w 75"/>
                              <a:gd name="T6" fmla="+- 0 4452 4357"/>
                              <a:gd name="T7" fmla="*/ 4452 h 96"/>
                              <a:gd name="T8" fmla="+- 0 5833 5759"/>
                              <a:gd name="T9" fmla="*/ T8 w 75"/>
                              <a:gd name="T10" fmla="+- 0 4366 4357"/>
                              <a:gd name="T11" fmla="*/ 4366 h 96"/>
                              <a:gd name="T12" fmla="+- 0 5825 5759"/>
                              <a:gd name="T13" fmla="*/ T12 w 75"/>
                              <a:gd name="T14" fmla="+- 0 4357 4357"/>
                              <a:gd name="T15" fmla="*/ 4357 h 96"/>
                            </a:gdLst>
                            <a:ahLst/>
                            <a:cxnLst>
                              <a:cxn ang="0">
                                <a:pos x="T1" y="T3"/>
                              </a:cxn>
                              <a:cxn ang="0">
                                <a:pos x="T5" y="T7"/>
                              </a:cxn>
                              <a:cxn ang="0">
                                <a:pos x="T9" y="T11"/>
                              </a:cxn>
                              <a:cxn ang="0">
                                <a:pos x="T13" y="T15"/>
                              </a:cxn>
                            </a:cxnLst>
                            <a:rect l="0" t="0" r="r" b="b"/>
                            <a:pathLst>
                              <a:path w="75" h="96">
                                <a:moveTo>
                                  <a:pt x="66" y="0"/>
                                </a:moveTo>
                                <a:lnTo>
                                  <a:pt x="0" y="95"/>
                                </a:lnTo>
                                <a:lnTo>
                                  <a:pt x="74" y="9"/>
                                </a:lnTo>
                                <a:lnTo>
                                  <a:pt x="66" y="0"/>
                                </a:lnTo>
                                <a:close/>
                              </a:path>
                            </a:pathLst>
                          </a:custGeom>
                          <a:solidFill>
                            <a:srgbClr val="000000"/>
                          </a:solidFill>
                          <a:ln>
                            <a:noFill/>
                          </a:ln>
                        </wps:spPr>
                        <wps:bodyPr rot="0" vert="horz" wrap="square" lIns="91440" tIns="45720" rIns="91440" bIns="45720" anchor="t" anchorCtr="0" upright="1">
                          <a:noAutofit/>
                        </wps:bodyPr>
                      </wps:wsp>
                      <wps:wsp>
                        <wps:cNvPr id="339" name="Freeform 107"/>
                        <wps:cNvSpPr/>
                        <wps:spPr bwMode="auto">
                          <a:xfrm>
                            <a:off x="5751" y="4356"/>
                            <a:ext cx="75" cy="96"/>
                          </a:xfrm>
                          <a:custGeom>
                            <a:avLst/>
                            <a:gdLst>
                              <a:gd name="T0" fmla="+- 0 5825 5751"/>
                              <a:gd name="T1" fmla="*/ T0 w 75"/>
                              <a:gd name="T2" fmla="+- 0 4357 4357"/>
                              <a:gd name="T3" fmla="*/ 4357 h 96"/>
                              <a:gd name="T4" fmla="+- 0 5751 5751"/>
                              <a:gd name="T5" fmla="*/ T4 w 75"/>
                              <a:gd name="T6" fmla="+- 0 4443 4357"/>
                              <a:gd name="T7" fmla="*/ 4443 h 96"/>
                              <a:gd name="T8" fmla="+- 0 5759 5751"/>
                              <a:gd name="T9" fmla="*/ T8 w 75"/>
                              <a:gd name="T10" fmla="+- 0 4452 4357"/>
                              <a:gd name="T11" fmla="*/ 4452 h 96"/>
                              <a:gd name="T12" fmla="+- 0 5825 5751"/>
                              <a:gd name="T13" fmla="*/ T12 w 75"/>
                              <a:gd name="T14" fmla="+- 0 4357 4357"/>
                              <a:gd name="T15" fmla="*/ 4357 h 96"/>
                            </a:gdLst>
                            <a:ahLst/>
                            <a:cxnLst>
                              <a:cxn ang="0">
                                <a:pos x="T1" y="T3"/>
                              </a:cxn>
                              <a:cxn ang="0">
                                <a:pos x="T5" y="T7"/>
                              </a:cxn>
                              <a:cxn ang="0">
                                <a:pos x="T9" y="T11"/>
                              </a:cxn>
                              <a:cxn ang="0">
                                <a:pos x="T13" y="T15"/>
                              </a:cxn>
                            </a:cxnLst>
                            <a:rect l="0" t="0" r="r" b="b"/>
                            <a:pathLst>
                              <a:path w="75" h="96">
                                <a:moveTo>
                                  <a:pt x="74" y="0"/>
                                </a:moveTo>
                                <a:lnTo>
                                  <a:pt x="0" y="86"/>
                                </a:lnTo>
                                <a:lnTo>
                                  <a:pt x="8" y="95"/>
                                </a:lnTo>
                                <a:lnTo>
                                  <a:pt x="74" y="0"/>
                                </a:lnTo>
                                <a:close/>
                              </a:path>
                            </a:pathLst>
                          </a:custGeom>
                          <a:solidFill>
                            <a:srgbClr val="000000"/>
                          </a:solidFill>
                          <a:ln>
                            <a:noFill/>
                          </a:ln>
                        </wps:spPr>
                        <wps:bodyPr rot="0" vert="horz" wrap="square" lIns="91440" tIns="45720" rIns="91440" bIns="45720" anchor="t" anchorCtr="0" upright="1">
                          <a:noAutofit/>
                        </wps:bodyPr>
                      </wps:wsp>
                      <wps:wsp>
                        <wps:cNvPr id="340" name="Freeform 106"/>
                        <wps:cNvSpPr/>
                        <wps:spPr bwMode="auto">
                          <a:xfrm>
                            <a:off x="5751" y="4356"/>
                            <a:ext cx="83" cy="96"/>
                          </a:xfrm>
                          <a:custGeom>
                            <a:avLst/>
                            <a:gdLst>
                              <a:gd name="T0" fmla="+- 0 5833 5751"/>
                              <a:gd name="T1" fmla="*/ T0 w 83"/>
                              <a:gd name="T2" fmla="+- 0 4366 4357"/>
                              <a:gd name="T3" fmla="*/ 4366 h 96"/>
                              <a:gd name="T4" fmla="+- 0 5826 5751"/>
                              <a:gd name="T5" fmla="*/ T4 w 83"/>
                              <a:gd name="T6" fmla="+- 0 4357 4357"/>
                              <a:gd name="T7" fmla="*/ 4357 h 96"/>
                              <a:gd name="T8" fmla="+- 0 5751 5751"/>
                              <a:gd name="T9" fmla="*/ T8 w 83"/>
                              <a:gd name="T10" fmla="+- 0 4443 4357"/>
                              <a:gd name="T11" fmla="*/ 4443 h 96"/>
                              <a:gd name="T12" fmla="+- 0 5759 5751"/>
                              <a:gd name="T13" fmla="*/ T12 w 83"/>
                              <a:gd name="T14" fmla="+- 0 4452 4357"/>
                              <a:gd name="T15" fmla="*/ 4452 h 96"/>
                              <a:gd name="T16" fmla="+- 0 5833 5751"/>
                              <a:gd name="T17" fmla="*/ T16 w 83"/>
                              <a:gd name="T18" fmla="+- 0 4366 4357"/>
                              <a:gd name="T19" fmla="*/ 4366 h 96"/>
                            </a:gdLst>
                            <a:ahLst/>
                            <a:cxnLst>
                              <a:cxn ang="0">
                                <a:pos x="T1" y="T3"/>
                              </a:cxn>
                              <a:cxn ang="0">
                                <a:pos x="T5" y="T7"/>
                              </a:cxn>
                              <a:cxn ang="0">
                                <a:pos x="T9" y="T11"/>
                              </a:cxn>
                              <a:cxn ang="0">
                                <a:pos x="T13" y="T15"/>
                              </a:cxn>
                              <a:cxn ang="0">
                                <a:pos x="T17" y="T19"/>
                              </a:cxn>
                            </a:cxnLst>
                            <a:rect l="0" t="0" r="r" b="b"/>
                            <a:pathLst>
                              <a:path w="83" h="96">
                                <a:moveTo>
                                  <a:pt x="82" y="9"/>
                                </a:moveTo>
                                <a:lnTo>
                                  <a:pt x="75" y="0"/>
                                </a:lnTo>
                                <a:lnTo>
                                  <a:pt x="0" y="86"/>
                                </a:lnTo>
                                <a:lnTo>
                                  <a:pt x="8" y="95"/>
                                </a:lnTo>
                                <a:lnTo>
                                  <a:pt x="82" y="9"/>
                                </a:lnTo>
                              </a:path>
                            </a:pathLst>
                          </a:custGeom>
                          <a:noFill/>
                          <a:ln w="151">
                            <a:solidFill>
                              <a:srgbClr val="000000"/>
                            </a:solidFill>
                            <a:prstDash val="solid"/>
                            <a:round/>
                          </a:ln>
                        </wps:spPr>
                        <wps:bodyPr rot="0" vert="horz" wrap="square" lIns="91440" tIns="45720" rIns="91440" bIns="45720" anchor="t" anchorCtr="0" upright="1">
                          <a:noAutofit/>
                        </wps:bodyPr>
                      </wps:wsp>
                      <wps:wsp>
                        <wps:cNvPr id="341" name="Freeform 105"/>
                        <wps:cNvSpPr/>
                        <wps:spPr bwMode="auto">
                          <a:xfrm>
                            <a:off x="7577" y="4356"/>
                            <a:ext cx="75" cy="96"/>
                          </a:xfrm>
                          <a:custGeom>
                            <a:avLst/>
                            <a:gdLst>
                              <a:gd name="T0" fmla="+- 0 7652 7577"/>
                              <a:gd name="T1" fmla="*/ T0 w 75"/>
                              <a:gd name="T2" fmla="+- 0 4357 4357"/>
                              <a:gd name="T3" fmla="*/ 4357 h 96"/>
                              <a:gd name="T4" fmla="+- 0 7577 7577"/>
                              <a:gd name="T5" fmla="*/ T4 w 75"/>
                              <a:gd name="T6" fmla="+- 0 4443 4357"/>
                              <a:gd name="T7" fmla="*/ 4443 h 96"/>
                              <a:gd name="T8" fmla="+- 0 7585 7577"/>
                              <a:gd name="T9" fmla="*/ T8 w 75"/>
                              <a:gd name="T10" fmla="+- 0 4452 4357"/>
                              <a:gd name="T11" fmla="*/ 4452 h 96"/>
                              <a:gd name="T12" fmla="+- 0 7652 7577"/>
                              <a:gd name="T13" fmla="*/ T12 w 75"/>
                              <a:gd name="T14" fmla="+- 0 4357 4357"/>
                              <a:gd name="T15" fmla="*/ 4357 h 96"/>
                            </a:gdLst>
                            <a:ahLst/>
                            <a:cxnLst>
                              <a:cxn ang="0">
                                <a:pos x="T1" y="T3"/>
                              </a:cxn>
                              <a:cxn ang="0">
                                <a:pos x="T5" y="T7"/>
                              </a:cxn>
                              <a:cxn ang="0">
                                <a:pos x="T9" y="T11"/>
                              </a:cxn>
                              <a:cxn ang="0">
                                <a:pos x="T13" y="T15"/>
                              </a:cxn>
                            </a:cxnLst>
                            <a:rect l="0" t="0" r="r" b="b"/>
                            <a:pathLst>
                              <a:path w="75" h="96">
                                <a:moveTo>
                                  <a:pt x="75" y="0"/>
                                </a:moveTo>
                                <a:lnTo>
                                  <a:pt x="0" y="86"/>
                                </a:lnTo>
                                <a:lnTo>
                                  <a:pt x="8" y="95"/>
                                </a:lnTo>
                                <a:lnTo>
                                  <a:pt x="75" y="0"/>
                                </a:lnTo>
                                <a:close/>
                              </a:path>
                            </a:pathLst>
                          </a:custGeom>
                          <a:solidFill>
                            <a:srgbClr val="000000"/>
                          </a:solidFill>
                          <a:ln>
                            <a:noFill/>
                          </a:ln>
                        </wps:spPr>
                        <wps:bodyPr rot="0" vert="horz" wrap="square" lIns="91440" tIns="45720" rIns="91440" bIns="45720" anchor="t" anchorCtr="0" upright="1">
                          <a:noAutofit/>
                        </wps:bodyPr>
                      </wps:wsp>
                      <wps:wsp>
                        <wps:cNvPr id="342" name="Freeform 104"/>
                        <wps:cNvSpPr/>
                        <wps:spPr bwMode="auto">
                          <a:xfrm>
                            <a:off x="7585" y="4356"/>
                            <a:ext cx="75" cy="96"/>
                          </a:xfrm>
                          <a:custGeom>
                            <a:avLst/>
                            <a:gdLst>
                              <a:gd name="T0" fmla="+- 0 7652 7585"/>
                              <a:gd name="T1" fmla="*/ T0 w 75"/>
                              <a:gd name="T2" fmla="+- 0 4357 4357"/>
                              <a:gd name="T3" fmla="*/ 4357 h 96"/>
                              <a:gd name="T4" fmla="+- 0 7585 7585"/>
                              <a:gd name="T5" fmla="*/ T4 w 75"/>
                              <a:gd name="T6" fmla="+- 0 4452 4357"/>
                              <a:gd name="T7" fmla="*/ 4452 h 96"/>
                              <a:gd name="T8" fmla="+- 0 7660 7585"/>
                              <a:gd name="T9" fmla="*/ T8 w 75"/>
                              <a:gd name="T10" fmla="+- 0 4366 4357"/>
                              <a:gd name="T11" fmla="*/ 4366 h 96"/>
                              <a:gd name="T12" fmla="+- 0 7652 7585"/>
                              <a:gd name="T13" fmla="*/ T12 w 75"/>
                              <a:gd name="T14" fmla="+- 0 4357 4357"/>
                              <a:gd name="T15" fmla="*/ 4357 h 96"/>
                            </a:gdLst>
                            <a:ahLst/>
                            <a:cxnLst>
                              <a:cxn ang="0">
                                <a:pos x="T1" y="T3"/>
                              </a:cxn>
                              <a:cxn ang="0">
                                <a:pos x="T5" y="T7"/>
                              </a:cxn>
                              <a:cxn ang="0">
                                <a:pos x="T9" y="T11"/>
                              </a:cxn>
                              <a:cxn ang="0">
                                <a:pos x="T13" y="T15"/>
                              </a:cxn>
                            </a:cxnLst>
                            <a:rect l="0" t="0" r="r" b="b"/>
                            <a:pathLst>
                              <a:path w="75" h="96">
                                <a:moveTo>
                                  <a:pt x="67" y="0"/>
                                </a:moveTo>
                                <a:lnTo>
                                  <a:pt x="0" y="95"/>
                                </a:lnTo>
                                <a:lnTo>
                                  <a:pt x="75" y="9"/>
                                </a:lnTo>
                                <a:lnTo>
                                  <a:pt x="67" y="0"/>
                                </a:lnTo>
                                <a:close/>
                              </a:path>
                            </a:pathLst>
                          </a:custGeom>
                          <a:solidFill>
                            <a:srgbClr val="000000"/>
                          </a:solidFill>
                          <a:ln>
                            <a:noFill/>
                          </a:ln>
                        </wps:spPr>
                        <wps:bodyPr rot="0" vert="horz" wrap="square" lIns="91440" tIns="45720" rIns="91440" bIns="45720" anchor="t" anchorCtr="0" upright="1">
                          <a:noAutofit/>
                        </wps:bodyPr>
                      </wps:wsp>
                      <wps:wsp>
                        <wps:cNvPr id="343" name="Freeform 103"/>
                        <wps:cNvSpPr/>
                        <wps:spPr bwMode="auto">
                          <a:xfrm>
                            <a:off x="7577" y="4356"/>
                            <a:ext cx="83" cy="96"/>
                          </a:xfrm>
                          <a:custGeom>
                            <a:avLst/>
                            <a:gdLst>
                              <a:gd name="T0" fmla="+- 0 7577 7577"/>
                              <a:gd name="T1" fmla="*/ T0 w 83"/>
                              <a:gd name="T2" fmla="+- 0 4443 4357"/>
                              <a:gd name="T3" fmla="*/ 4443 h 96"/>
                              <a:gd name="T4" fmla="+- 0 7585 7577"/>
                              <a:gd name="T5" fmla="*/ T4 w 83"/>
                              <a:gd name="T6" fmla="+- 0 4452 4357"/>
                              <a:gd name="T7" fmla="*/ 4452 h 96"/>
                              <a:gd name="T8" fmla="+- 0 7660 7577"/>
                              <a:gd name="T9" fmla="*/ T8 w 83"/>
                              <a:gd name="T10" fmla="+- 0 4366 4357"/>
                              <a:gd name="T11" fmla="*/ 4366 h 96"/>
                              <a:gd name="T12" fmla="+- 0 7652 7577"/>
                              <a:gd name="T13" fmla="*/ T12 w 83"/>
                              <a:gd name="T14" fmla="+- 0 4357 4357"/>
                              <a:gd name="T15" fmla="*/ 4357 h 96"/>
                              <a:gd name="T16" fmla="+- 0 7577 7577"/>
                              <a:gd name="T17" fmla="*/ T16 w 83"/>
                              <a:gd name="T18" fmla="+- 0 4443 4357"/>
                              <a:gd name="T19" fmla="*/ 4443 h 96"/>
                            </a:gdLst>
                            <a:ahLst/>
                            <a:cxnLst>
                              <a:cxn ang="0">
                                <a:pos x="T1" y="T3"/>
                              </a:cxn>
                              <a:cxn ang="0">
                                <a:pos x="T5" y="T7"/>
                              </a:cxn>
                              <a:cxn ang="0">
                                <a:pos x="T9" y="T11"/>
                              </a:cxn>
                              <a:cxn ang="0">
                                <a:pos x="T13" y="T15"/>
                              </a:cxn>
                              <a:cxn ang="0">
                                <a:pos x="T17" y="T19"/>
                              </a:cxn>
                            </a:cxnLst>
                            <a:rect l="0" t="0" r="r" b="b"/>
                            <a:pathLst>
                              <a:path w="83" h="96">
                                <a:moveTo>
                                  <a:pt x="0" y="86"/>
                                </a:moveTo>
                                <a:lnTo>
                                  <a:pt x="8" y="95"/>
                                </a:lnTo>
                                <a:lnTo>
                                  <a:pt x="83" y="9"/>
                                </a:lnTo>
                                <a:lnTo>
                                  <a:pt x="75" y="0"/>
                                </a:lnTo>
                                <a:lnTo>
                                  <a:pt x="0" y="86"/>
                                </a:lnTo>
                              </a:path>
                            </a:pathLst>
                          </a:custGeom>
                          <a:noFill/>
                          <a:ln w="151">
                            <a:solidFill>
                              <a:srgbClr val="000000"/>
                            </a:solidFill>
                            <a:prstDash val="solid"/>
                            <a:round/>
                          </a:ln>
                        </wps:spPr>
                        <wps:bodyPr rot="0" vert="horz" wrap="square" lIns="91440" tIns="45720" rIns="91440" bIns="45720" anchor="t" anchorCtr="0" upright="1">
                          <a:noAutofit/>
                        </wps:bodyPr>
                      </wps:wsp>
                      <wps:wsp>
                        <wps:cNvPr id="344" name="Line 102"/>
                        <wps:cNvCnPr>
                          <a:cxnSpLocks noChangeShapeType="1"/>
                        </wps:cNvCnPr>
                        <wps:spPr bwMode="auto">
                          <a:xfrm>
                            <a:off x="7618" y="4405"/>
                            <a:ext cx="1" cy="0"/>
                          </a:xfrm>
                          <a:prstGeom prst="line">
                            <a:avLst/>
                          </a:prstGeom>
                          <a:noFill/>
                          <a:ln w="163">
                            <a:solidFill>
                              <a:srgbClr val="000000"/>
                            </a:solidFill>
                            <a:round/>
                          </a:ln>
                        </wps:spPr>
                        <wps:bodyPr/>
                      </wps:wsp>
                      <wps:wsp>
                        <wps:cNvPr id="345" name="Line 101"/>
                        <wps:cNvCnPr>
                          <a:cxnSpLocks noChangeShapeType="1"/>
                        </wps:cNvCnPr>
                        <wps:spPr bwMode="auto">
                          <a:xfrm>
                            <a:off x="7618" y="4009"/>
                            <a:ext cx="1" cy="0"/>
                          </a:xfrm>
                          <a:prstGeom prst="line">
                            <a:avLst/>
                          </a:prstGeom>
                          <a:noFill/>
                          <a:ln w="163">
                            <a:solidFill>
                              <a:srgbClr val="000000"/>
                            </a:solidFill>
                            <a:round/>
                          </a:ln>
                        </wps:spPr>
                        <wps:bodyPr/>
                      </wps:wsp>
                      <wps:wsp>
                        <wps:cNvPr id="346" name="Line 100"/>
                        <wps:cNvCnPr>
                          <a:cxnSpLocks noChangeShapeType="1"/>
                        </wps:cNvCnPr>
                        <wps:spPr bwMode="auto">
                          <a:xfrm>
                            <a:off x="5792" y="3367"/>
                            <a:ext cx="621" cy="0"/>
                          </a:xfrm>
                          <a:prstGeom prst="line">
                            <a:avLst/>
                          </a:prstGeom>
                          <a:noFill/>
                          <a:ln w="3154">
                            <a:solidFill>
                              <a:srgbClr val="000000"/>
                            </a:solidFill>
                            <a:round/>
                          </a:ln>
                        </wps:spPr>
                        <wps:bodyPr/>
                      </wps:wsp>
                      <wps:wsp>
                        <wps:cNvPr id="347" name="Line 99"/>
                        <wps:cNvCnPr>
                          <a:cxnSpLocks noChangeShapeType="1"/>
                        </wps:cNvCnPr>
                        <wps:spPr bwMode="auto">
                          <a:xfrm>
                            <a:off x="5792" y="3367"/>
                            <a:ext cx="621" cy="0"/>
                          </a:xfrm>
                          <a:prstGeom prst="line">
                            <a:avLst/>
                          </a:prstGeom>
                          <a:noFill/>
                          <a:ln w="3154">
                            <a:solidFill>
                              <a:srgbClr val="000000"/>
                            </a:solidFill>
                            <a:round/>
                          </a:ln>
                        </wps:spPr>
                        <wps:bodyPr/>
                      </wps:wsp>
                      <wps:wsp>
                        <wps:cNvPr id="348" name="Line 98"/>
                        <wps:cNvCnPr>
                          <a:cxnSpLocks noChangeShapeType="1"/>
                        </wps:cNvCnPr>
                        <wps:spPr bwMode="auto">
                          <a:xfrm>
                            <a:off x="5792" y="3367"/>
                            <a:ext cx="622" cy="0"/>
                          </a:xfrm>
                          <a:prstGeom prst="line">
                            <a:avLst/>
                          </a:prstGeom>
                          <a:noFill/>
                          <a:ln w="3318">
                            <a:solidFill>
                              <a:srgbClr val="000000"/>
                            </a:solidFill>
                            <a:round/>
                          </a:ln>
                        </wps:spPr>
                        <wps:bodyPr/>
                      </wps:wsp>
                      <wps:wsp>
                        <wps:cNvPr id="349" name="Line 97"/>
                        <wps:cNvCnPr>
                          <a:cxnSpLocks noChangeShapeType="1"/>
                        </wps:cNvCnPr>
                        <wps:spPr bwMode="auto">
                          <a:xfrm>
                            <a:off x="6413" y="3367"/>
                            <a:ext cx="0" cy="237"/>
                          </a:xfrm>
                          <a:prstGeom prst="line">
                            <a:avLst/>
                          </a:prstGeom>
                          <a:noFill/>
                          <a:ln w="2572">
                            <a:solidFill>
                              <a:srgbClr val="000000"/>
                            </a:solidFill>
                            <a:round/>
                          </a:ln>
                        </wps:spPr>
                        <wps:bodyPr/>
                      </wps:wsp>
                      <wps:wsp>
                        <wps:cNvPr id="350" name="Line 96"/>
                        <wps:cNvCnPr>
                          <a:cxnSpLocks noChangeShapeType="1"/>
                        </wps:cNvCnPr>
                        <wps:spPr bwMode="auto">
                          <a:xfrm>
                            <a:off x="6413" y="3367"/>
                            <a:ext cx="0" cy="237"/>
                          </a:xfrm>
                          <a:prstGeom prst="line">
                            <a:avLst/>
                          </a:prstGeom>
                          <a:noFill/>
                          <a:ln w="2572">
                            <a:solidFill>
                              <a:srgbClr val="000000"/>
                            </a:solidFill>
                            <a:round/>
                          </a:ln>
                        </wps:spPr>
                        <wps:bodyPr/>
                      </wps:wsp>
                      <wps:wsp>
                        <wps:cNvPr id="351" name="Line 95"/>
                        <wps:cNvCnPr>
                          <a:cxnSpLocks noChangeShapeType="1"/>
                        </wps:cNvCnPr>
                        <wps:spPr bwMode="auto">
                          <a:xfrm>
                            <a:off x="6414" y="3367"/>
                            <a:ext cx="0" cy="237"/>
                          </a:xfrm>
                          <a:prstGeom prst="line">
                            <a:avLst/>
                          </a:prstGeom>
                          <a:noFill/>
                          <a:ln w="2713">
                            <a:solidFill>
                              <a:srgbClr val="000000"/>
                            </a:solidFill>
                            <a:round/>
                          </a:ln>
                        </wps:spPr>
                        <wps:bodyPr/>
                      </wps:wsp>
                      <wps:wsp>
                        <wps:cNvPr id="352" name="Line 94"/>
                        <wps:cNvCnPr>
                          <a:cxnSpLocks noChangeShapeType="1"/>
                        </wps:cNvCnPr>
                        <wps:spPr bwMode="auto">
                          <a:xfrm>
                            <a:off x="6190" y="647"/>
                            <a:ext cx="0" cy="480"/>
                          </a:xfrm>
                          <a:prstGeom prst="line">
                            <a:avLst/>
                          </a:prstGeom>
                          <a:noFill/>
                          <a:ln w="2576">
                            <a:solidFill>
                              <a:srgbClr val="000000"/>
                            </a:solidFill>
                            <a:round/>
                          </a:ln>
                        </wps:spPr>
                        <wps:bodyPr/>
                      </wps:wsp>
                      <wps:wsp>
                        <wps:cNvPr id="353" name="Line 93"/>
                        <wps:cNvCnPr>
                          <a:cxnSpLocks noChangeShapeType="1"/>
                        </wps:cNvCnPr>
                        <wps:spPr bwMode="auto">
                          <a:xfrm>
                            <a:off x="6190" y="647"/>
                            <a:ext cx="0" cy="480"/>
                          </a:xfrm>
                          <a:prstGeom prst="line">
                            <a:avLst/>
                          </a:prstGeom>
                          <a:noFill/>
                          <a:ln w="2576">
                            <a:solidFill>
                              <a:srgbClr val="000000"/>
                            </a:solidFill>
                            <a:round/>
                          </a:ln>
                        </wps:spPr>
                        <wps:bodyPr/>
                      </wps:wsp>
                      <wps:wsp>
                        <wps:cNvPr id="354" name="Line 92"/>
                        <wps:cNvCnPr>
                          <a:cxnSpLocks noChangeShapeType="1"/>
                        </wps:cNvCnPr>
                        <wps:spPr bwMode="auto">
                          <a:xfrm>
                            <a:off x="6190" y="647"/>
                            <a:ext cx="0" cy="480"/>
                          </a:xfrm>
                          <a:prstGeom prst="line">
                            <a:avLst/>
                          </a:prstGeom>
                          <a:noFill/>
                          <a:ln w="2717">
                            <a:solidFill>
                              <a:srgbClr val="000000"/>
                            </a:solidFill>
                            <a:round/>
                          </a:ln>
                        </wps:spPr>
                        <wps:bodyPr/>
                      </wps:wsp>
                      <wps:wsp>
                        <wps:cNvPr id="355" name="Freeform 91"/>
                        <wps:cNvSpPr/>
                        <wps:spPr bwMode="auto">
                          <a:xfrm>
                            <a:off x="5792" y="417"/>
                            <a:ext cx="2" cy="345"/>
                          </a:xfrm>
                          <a:custGeom>
                            <a:avLst/>
                            <a:gdLst>
                              <a:gd name="T0" fmla="+- 0 5792 5792"/>
                              <a:gd name="T1" fmla="*/ T0 w 1"/>
                              <a:gd name="T2" fmla="+- 0 762 418"/>
                              <a:gd name="T3" fmla="*/ 762 h 345"/>
                              <a:gd name="T4" fmla="+- 0 5792 5792"/>
                              <a:gd name="T5" fmla="*/ T4 w 1"/>
                              <a:gd name="T6" fmla="+- 0 418 418"/>
                              <a:gd name="T7" fmla="*/ 418 h 345"/>
                              <a:gd name="T8" fmla="+- 0 5793 5792"/>
                              <a:gd name="T9" fmla="*/ T8 w 1"/>
                              <a:gd name="T10" fmla="+- 0 418 418"/>
                              <a:gd name="T11" fmla="*/ 418 h 345"/>
                            </a:gdLst>
                            <a:ahLst/>
                            <a:cxnLst>
                              <a:cxn ang="0">
                                <a:pos x="T1" y="T3"/>
                              </a:cxn>
                              <a:cxn ang="0">
                                <a:pos x="T5" y="T7"/>
                              </a:cxn>
                              <a:cxn ang="0">
                                <a:pos x="T9" y="T11"/>
                              </a:cxn>
                            </a:cxnLst>
                            <a:rect l="0" t="0" r="r" b="b"/>
                            <a:pathLst>
                              <a:path w="1" h="345">
                                <a:moveTo>
                                  <a:pt x="0" y="344"/>
                                </a:moveTo>
                                <a:lnTo>
                                  <a:pt x="0" y="0"/>
                                </a:lnTo>
                                <a:lnTo>
                                  <a:pt x="1" y="0"/>
                                </a:lnTo>
                              </a:path>
                            </a:pathLst>
                          </a:custGeom>
                          <a:noFill/>
                          <a:ln w="141">
                            <a:solidFill>
                              <a:srgbClr val="000000"/>
                            </a:solidFill>
                            <a:prstDash val="solid"/>
                            <a:round/>
                          </a:ln>
                        </wps:spPr>
                        <wps:bodyPr rot="0" vert="horz" wrap="square" lIns="91440" tIns="45720" rIns="91440" bIns="45720" anchor="t" anchorCtr="0" upright="1">
                          <a:noAutofit/>
                        </wps:bodyPr>
                      </wps:wsp>
                      <wps:wsp>
                        <wps:cNvPr id="356" name="Freeform 90"/>
                        <wps:cNvSpPr/>
                        <wps:spPr bwMode="auto">
                          <a:xfrm>
                            <a:off x="7022" y="417"/>
                            <a:ext cx="2" cy="780"/>
                          </a:xfrm>
                          <a:custGeom>
                            <a:avLst/>
                            <a:gdLst>
                              <a:gd name="T0" fmla="+- 0 7023 7023"/>
                              <a:gd name="T1" fmla="*/ T0 w 1"/>
                              <a:gd name="T2" fmla="+- 0 1197 418"/>
                              <a:gd name="T3" fmla="*/ 1197 h 780"/>
                              <a:gd name="T4" fmla="+- 0 7023 7023"/>
                              <a:gd name="T5" fmla="*/ T4 w 1"/>
                              <a:gd name="T6" fmla="+- 0 418 418"/>
                              <a:gd name="T7" fmla="*/ 418 h 780"/>
                              <a:gd name="T8" fmla="+- 0 7023 7023"/>
                              <a:gd name="T9" fmla="*/ T8 w 1"/>
                              <a:gd name="T10" fmla="+- 0 418 418"/>
                              <a:gd name="T11" fmla="*/ 418 h 780"/>
                            </a:gdLst>
                            <a:ahLst/>
                            <a:cxnLst>
                              <a:cxn ang="0">
                                <a:pos x="T1" y="T3"/>
                              </a:cxn>
                              <a:cxn ang="0">
                                <a:pos x="T5" y="T7"/>
                              </a:cxn>
                              <a:cxn ang="0">
                                <a:pos x="T9" y="T11"/>
                              </a:cxn>
                            </a:cxnLst>
                            <a:rect l="0" t="0" r="r" b="b"/>
                            <a:pathLst>
                              <a:path w="1" h="780">
                                <a:moveTo>
                                  <a:pt x="0" y="779"/>
                                </a:moveTo>
                                <a:lnTo>
                                  <a:pt x="0" y="0"/>
                                </a:lnTo>
                              </a:path>
                            </a:pathLst>
                          </a:custGeom>
                          <a:noFill/>
                          <a:ln w="141">
                            <a:solidFill>
                              <a:srgbClr val="000000"/>
                            </a:solidFill>
                            <a:prstDash val="solid"/>
                            <a:round/>
                          </a:ln>
                        </wps:spPr>
                        <wps:bodyPr rot="0" vert="horz" wrap="square" lIns="91440" tIns="45720" rIns="91440" bIns="45720" anchor="t" anchorCtr="0" upright="1">
                          <a:noAutofit/>
                        </wps:bodyPr>
                      </wps:wsp>
                      <wps:wsp>
                        <wps:cNvPr id="357" name="Freeform 89"/>
                        <wps:cNvSpPr/>
                        <wps:spPr bwMode="auto">
                          <a:xfrm>
                            <a:off x="5792" y="503"/>
                            <a:ext cx="1231" cy="2"/>
                          </a:xfrm>
                          <a:custGeom>
                            <a:avLst/>
                            <a:gdLst>
                              <a:gd name="T0" fmla="+- 0 5792 5792"/>
                              <a:gd name="T1" fmla="*/ T0 w 1231"/>
                              <a:gd name="T2" fmla="+- 0 7023 5792"/>
                              <a:gd name="T3" fmla="*/ T2 w 1231"/>
                              <a:gd name="T4" fmla="+- 0 7023 5792"/>
                              <a:gd name="T5" fmla="*/ T4 w 1231"/>
                            </a:gdLst>
                            <a:ahLst/>
                            <a:cxnLst>
                              <a:cxn ang="0">
                                <a:pos x="T1" y="0"/>
                              </a:cxn>
                              <a:cxn ang="0">
                                <a:pos x="T3" y="0"/>
                              </a:cxn>
                              <a:cxn ang="0">
                                <a:pos x="T5" y="0"/>
                              </a:cxn>
                            </a:cxnLst>
                            <a:rect l="0" t="0" r="r" b="b"/>
                            <a:pathLst>
                              <a:path w="1231">
                                <a:moveTo>
                                  <a:pt x="0" y="0"/>
                                </a:moveTo>
                                <a:lnTo>
                                  <a:pt x="1231" y="0"/>
                                </a:lnTo>
                              </a:path>
                            </a:pathLst>
                          </a:custGeom>
                          <a:noFill/>
                          <a:ln w="164">
                            <a:solidFill>
                              <a:srgbClr val="000000"/>
                            </a:solidFill>
                            <a:prstDash val="solid"/>
                            <a:round/>
                          </a:ln>
                        </wps:spPr>
                        <wps:bodyPr rot="0" vert="horz" wrap="square" lIns="91440" tIns="45720" rIns="91440" bIns="45720" anchor="t" anchorCtr="0" upright="1">
                          <a:noAutofit/>
                        </wps:bodyPr>
                      </wps:wsp>
                      <wps:wsp>
                        <wps:cNvPr id="358" name="Freeform 88"/>
                        <wps:cNvSpPr/>
                        <wps:spPr bwMode="auto">
                          <a:xfrm>
                            <a:off x="5984" y="248"/>
                            <a:ext cx="83" cy="145"/>
                          </a:xfrm>
                          <a:custGeom>
                            <a:avLst/>
                            <a:gdLst>
                              <a:gd name="T0" fmla="+- 0 5996 5984"/>
                              <a:gd name="T1" fmla="*/ T0 w 83"/>
                              <a:gd name="T2" fmla="+- 0 249 249"/>
                              <a:gd name="T3" fmla="*/ 249 h 145"/>
                              <a:gd name="T4" fmla="+- 0 6061 5984"/>
                              <a:gd name="T5" fmla="*/ T4 w 83"/>
                              <a:gd name="T6" fmla="+- 0 249 249"/>
                              <a:gd name="T7" fmla="*/ 249 h 145"/>
                              <a:gd name="T8" fmla="+- 0 6025 5984"/>
                              <a:gd name="T9" fmla="*/ T8 w 83"/>
                              <a:gd name="T10" fmla="+- 0 304 249"/>
                              <a:gd name="T11" fmla="*/ 304 h 145"/>
                              <a:gd name="T12" fmla="+- 0 6043 5984"/>
                              <a:gd name="T13" fmla="*/ T12 w 83"/>
                              <a:gd name="T14" fmla="+- 0 304 249"/>
                              <a:gd name="T15" fmla="*/ 304 h 145"/>
                              <a:gd name="T16" fmla="+- 0 6055 5984"/>
                              <a:gd name="T17" fmla="*/ T16 w 83"/>
                              <a:gd name="T18" fmla="+- 0 311 249"/>
                              <a:gd name="T19" fmla="*/ 311 h 145"/>
                              <a:gd name="T20" fmla="+- 0 6061 5984"/>
                              <a:gd name="T21" fmla="*/ T20 w 83"/>
                              <a:gd name="T22" fmla="+- 0 317 249"/>
                              <a:gd name="T23" fmla="*/ 317 h 145"/>
                              <a:gd name="T24" fmla="+- 0 6067 5984"/>
                              <a:gd name="T25" fmla="*/ T24 w 83"/>
                              <a:gd name="T26" fmla="+- 0 338 249"/>
                              <a:gd name="T27" fmla="*/ 338 h 145"/>
                              <a:gd name="T28" fmla="+- 0 6067 5984"/>
                              <a:gd name="T29" fmla="*/ T28 w 83"/>
                              <a:gd name="T30" fmla="+- 0 352 249"/>
                              <a:gd name="T31" fmla="*/ 352 h 145"/>
                              <a:gd name="T32" fmla="+- 0 6061 5984"/>
                              <a:gd name="T33" fmla="*/ T32 w 83"/>
                              <a:gd name="T34" fmla="+- 0 372 249"/>
                              <a:gd name="T35" fmla="*/ 372 h 145"/>
                              <a:gd name="T36" fmla="+- 0 6049 5984"/>
                              <a:gd name="T37" fmla="*/ T36 w 83"/>
                              <a:gd name="T38" fmla="+- 0 386 249"/>
                              <a:gd name="T39" fmla="*/ 386 h 145"/>
                              <a:gd name="T40" fmla="+- 0 6031 5984"/>
                              <a:gd name="T41" fmla="*/ T40 w 83"/>
                              <a:gd name="T42" fmla="+- 0 393 249"/>
                              <a:gd name="T43" fmla="*/ 393 h 145"/>
                              <a:gd name="T44" fmla="+- 0 6014 5984"/>
                              <a:gd name="T45" fmla="*/ T44 w 83"/>
                              <a:gd name="T46" fmla="+- 0 393 249"/>
                              <a:gd name="T47" fmla="*/ 393 h 145"/>
                              <a:gd name="T48" fmla="+- 0 5996 5984"/>
                              <a:gd name="T49" fmla="*/ T48 w 83"/>
                              <a:gd name="T50" fmla="+- 0 386 249"/>
                              <a:gd name="T51" fmla="*/ 386 h 145"/>
                              <a:gd name="T52" fmla="+- 0 5990 5984"/>
                              <a:gd name="T53" fmla="*/ T52 w 83"/>
                              <a:gd name="T54" fmla="+- 0 379 249"/>
                              <a:gd name="T55" fmla="*/ 379 h 145"/>
                              <a:gd name="T56" fmla="+- 0 5984 5984"/>
                              <a:gd name="T57" fmla="*/ T56 w 83"/>
                              <a:gd name="T58" fmla="+- 0 366 249"/>
                              <a:gd name="T59" fmla="*/ 366 h 145"/>
                              <a:gd name="T60" fmla="+- 0 5984 5984"/>
                              <a:gd name="T61" fmla="*/ T60 w 83"/>
                              <a:gd name="T62" fmla="+- 0 366 249"/>
                              <a:gd name="T63" fmla="*/ 366 h 1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83" h="145">
                                <a:moveTo>
                                  <a:pt x="12" y="0"/>
                                </a:moveTo>
                                <a:lnTo>
                                  <a:pt x="77" y="0"/>
                                </a:lnTo>
                                <a:lnTo>
                                  <a:pt x="41" y="55"/>
                                </a:lnTo>
                                <a:lnTo>
                                  <a:pt x="59" y="55"/>
                                </a:lnTo>
                                <a:lnTo>
                                  <a:pt x="71" y="62"/>
                                </a:lnTo>
                                <a:lnTo>
                                  <a:pt x="77" y="68"/>
                                </a:lnTo>
                                <a:lnTo>
                                  <a:pt x="83" y="89"/>
                                </a:lnTo>
                                <a:lnTo>
                                  <a:pt x="83" y="103"/>
                                </a:lnTo>
                                <a:lnTo>
                                  <a:pt x="77" y="123"/>
                                </a:lnTo>
                                <a:lnTo>
                                  <a:pt x="65" y="137"/>
                                </a:lnTo>
                                <a:lnTo>
                                  <a:pt x="47" y="144"/>
                                </a:lnTo>
                                <a:lnTo>
                                  <a:pt x="30" y="144"/>
                                </a:lnTo>
                                <a:lnTo>
                                  <a:pt x="12" y="137"/>
                                </a:lnTo>
                                <a:lnTo>
                                  <a:pt x="6" y="130"/>
                                </a:lnTo>
                                <a:lnTo>
                                  <a:pt x="0" y="117"/>
                                </a:lnTo>
                              </a:path>
                            </a:pathLst>
                          </a:custGeom>
                          <a:noFill/>
                          <a:ln w="147">
                            <a:solidFill>
                              <a:srgbClr val="000000"/>
                            </a:solidFill>
                            <a:prstDash val="solid"/>
                            <a:round/>
                          </a:ln>
                        </wps:spPr>
                        <wps:bodyPr rot="0" vert="horz" wrap="square" lIns="91440" tIns="45720" rIns="91440" bIns="45720" anchor="t" anchorCtr="0" upright="1">
                          <a:noAutofit/>
                        </wps:bodyPr>
                      </wps:wsp>
                      <wps:wsp>
                        <wps:cNvPr id="359" name="Freeform 87"/>
                        <wps:cNvSpPr/>
                        <wps:spPr bwMode="auto">
                          <a:xfrm>
                            <a:off x="6107" y="297"/>
                            <a:ext cx="2" cy="96"/>
                          </a:xfrm>
                          <a:custGeom>
                            <a:avLst/>
                            <a:gdLst>
                              <a:gd name="T0" fmla="+- 0 6108 6108"/>
                              <a:gd name="T1" fmla="*/ T0 w 1"/>
                              <a:gd name="T2" fmla="+- 0 297 297"/>
                              <a:gd name="T3" fmla="*/ 297 h 96"/>
                              <a:gd name="T4" fmla="+- 0 6108 6108"/>
                              <a:gd name="T5" fmla="*/ T4 w 1"/>
                              <a:gd name="T6" fmla="+- 0 393 297"/>
                              <a:gd name="T7" fmla="*/ 393 h 96"/>
                              <a:gd name="T8" fmla="+- 0 6108 6108"/>
                              <a:gd name="T9" fmla="*/ T8 w 1"/>
                              <a:gd name="T10" fmla="+- 0 393 297"/>
                              <a:gd name="T11" fmla="*/ 393 h 96"/>
                            </a:gdLst>
                            <a:ahLst/>
                            <a:cxnLst>
                              <a:cxn ang="0">
                                <a:pos x="T1" y="T3"/>
                              </a:cxn>
                              <a:cxn ang="0">
                                <a:pos x="T5" y="T7"/>
                              </a:cxn>
                              <a:cxn ang="0">
                                <a:pos x="T9" y="T11"/>
                              </a:cxn>
                            </a:cxnLst>
                            <a:rect l="0" t="0" r="r" b="b"/>
                            <a:pathLst>
                              <a:path w="1" h="96">
                                <a:moveTo>
                                  <a:pt x="0" y="0"/>
                                </a:moveTo>
                                <a:lnTo>
                                  <a:pt x="0" y="96"/>
                                </a:lnTo>
                              </a:path>
                            </a:pathLst>
                          </a:custGeom>
                          <a:noFill/>
                          <a:ln w="141">
                            <a:solidFill>
                              <a:srgbClr val="000000"/>
                            </a:solidFill>
                            <a:prstDash val="solid"/>
                            <a:round/>
                          </a:ln>
                        </wps:spPr>
                        <wps:bodyPr rot="0" vert="horz" wrap="square" lIns="91440" tIns="45720" rIns="91440" bIns="45720" anchor="t" anchorCtr="0" upright="1">
                          <a:noAutofit/>
                        </wps:bodyPr>
                      </wps:wsp>
                      <wps:wsp>
                        <wps:cNvPr id="360" name="Freeform 86"/>
                        <wps:cNvSpPr/>
                        <wps:spPr bwMode="auto">
                          <a:xfrm>
                            <a:off x="6107" y="297"/>
                            <a:ext cx="66" cy="96"/>
                          </a:xfrm>
                          <a:custGeom>
                            <a:avLst/>
                            <a:gdLst>
                              <a:gd name="T0" fmla="+- 0 6108 6108"/>
                              <a:gd name="T1" fmla="*/ T0 w 66"/>
                              <a:gd name="T2" fmla="+- 0 324 297"/>
                              <a:gd name="T3" fmla="*/ 324 h 96"/>
                              <a:gd name="T4" fmla="+- 0 6126 6108"/>
                              <a:gd name="T5" fmla="*/ T4 w 66"/>
                              <a:gd name="T6" fmla="+- 0 304 297"/>
                              <a:gd name="T7" fmla="*/ 304 h 96"/>
                              <a:gd name="T8" fmla="+- 0 6137 6108"/>
                              <a:gd name="T9" fmla="*/ T8 w 66"/>
                              <a:gd name="T10" fmla="+- 0 297 297"/>
                              <a:gd name="T11" fmla="*/ 297 h 96"/>
                              <a:gd name="T12" fmla="+- 0 6155 6108"/>
                              <a:gd name="T13" fmla="*/ T12 w 66"/>
                              <a:gd name="T14" fmla="+- 0 297 297"/>
                              <a:gd name="T15" fmla="*/ 297 h 96"/>
                              <a:gd name="T16" fmla="+- 0 6167 6108"/>
                              <a:gd name="T17" fmla="*/ T16 w 66"/>
                              <a:gd name="T18" fmla="+- 0 304 297"/>
                              <a:gd name="T19" fmla="*/ 304 h 96"/>
                              <a:gd name="T20" fmla="+- 0 6173 6108"/>
                              <a:gd name="T21" fmla="*/ T20 w 66"/>
                              <a:gd name="T22" fmla="+- 0 324 297"/>
                              <a:gd name="T23" fmla="*/ 324 h 96"/>
                              <a:gd name="T24" fmla="+- 0 6173 6108"/>
                              <a:gd name="T25" fmla="*/ T24 w 66"/>
                              <a:gd name="T26" fmla="+- 0 393 297"/>
                              <a:gd name="T27" fmla="*/ 393 h 96"/>
                              <a:gd name="T28" fmla="+- 0 6173 6108"/>
                              <a:gd name="T29" fmla="*/ T28 w 66"/>
                              <a:gd name="T30" fmla="+- 0 393 297"/>
                              <a:gd name="T31" fmla="*/ 393 h 96"/>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6" h="96">
                                <a:moveTo>
                                  <a:pt x="0" y="27"/>
                                </a:moveTo>
                                <a:lnTo>
                                  <a:pt x="18" y="7"/>
                                </a:lnTo>
                                <a:lnTo>
                                  <a:pt x="29" y="0"/>
                                </a:lnTo>
                                <a:lnTo>
                                  <a:pt x="47" y="0"/>
                                </a:lnTo>
                                <a:lnTo>
                                  <a:pt x="59" y="7"/>
                                </a:lnTo>
                                <a:lnTo>
                                  <a:pt x="65" y="27"/>
                                </a:lnTo>
                                <a:lnTo>
                                  <a:pt x="65" y="96"/>
                                </a:lnTo>
                              </a:path>
                            </a:pathLst>
                          </a:custGeom>
                          <a:noFill/>
                          <a:ln w="148">
                            <a:solidFill>
                              <a:srgbClr val="000000"/>
                            </a:solidFill>
                            <a:prstDash val="solid"/>
                            <a:round/>
                          </a:ln>
                        </wps:spPr>
                        <wps:bodyPr rot="0" vert="horz" wrap="square" lIns="91440" tIns="45720" rIns="91440" bIns="45720" anchor="t" anchorCtr="0" upright="1">
                          <a:noAutofit/>
                        </wps:bodyPr>
                      </wps:wsp>
                      <wps:wsp>
                        <wps:cNvPr id="361" name="Freeform 85"/>
                        <wps:cNvSpPr/>
                        <wps:spPr bwMode="auto">
                          <a:xfrm>
                            <a:off x="6172" y="297"/>
                            <a:ext cx="66" cy="96"/>
                          </a:xfrm>
                          <a:custGeom>
                            <a:avLst/>
                            <a:gdLst>
                              <a:gd name="T0" fmla="+- 0 6173 6173"/>
                              <a:gd name="T1" fmla="*/ T0 w 66"/>
                              <a:gd name="T2" fmla="+- 0 324 297"/>
                              <a:gd name="T3" fmla="*/ 324 h 96"/>
                              <a:gd name="T4" fmla="+- 0 6190 6173"/>
                              <a:gd name="T5" fmla="*/ T4 w 66"/>
                              <a:gd name="T6" fmla="+- 0 304 297"/>
                              <a:gd name="T7" fmla="*/ 304 h 96"/>
                              <a:gd name="T8" fmla="+- 0 6202 6173"/>
                              <a:gd name="T9" fmla="*/ T8 w 66"/>
                              <a:gd name="T10" fmla="+- 0 297 297"/>
                              <a:gd name="T11" fmla="*/ 297 h 96"/>
                              <a:gd name="T12" fmla="+- 0 6220 6173"/>
                              <a:gd name="T13" fmla="*/ T12 w 66"/>
                              <a:gd name="T14" fmla="+- 0 297 297"/>
                              <a:gd name="T15" fmla="*/ 297 h 96"/>
                              <a:gd name="T16" fmla="+- 0 6232 6173"/>
                              <a:gd name="T17" fmla="*/ T16 w 66"/>
                              <a:gd name="T18" fmla="+- 0 304 297"/>
                              <a:gd name="T19" fmla="*/ 304 h 96"/>
                              <a:gd name="T20" fmla="+- 0 6238 6173"/>
                              <a:gd name="T21" fmla="*/ T20 w 66"/>
                              <a:gd name="T22" fmla="+- 0 324 297"/>
                              <a:gd name="T23" fmla="*/ 324 h 96"/>
                              <a:gd name="T24" fmla="+- 0 6238 6173"/>
                              <a:gd name="T25" fmla="*/ T24 w 66"/>
                              <a:gd name="T26" fmla="+- 0 393 297"/>
                              <a:gd name="T27" fmla="*/ 393 h 96"/>
                              <a:gd name="T28" fmla="+- 0 6238 6173"/>
                              <a:gd name="T29" fmla="*/ T28 w 66"/>
                              <a:gd name="T30" fmla="+- 0 393 297"/>
                              <a:gd name="T31" fmla="*/ 393 h 96"/>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6" h="96">
                                <a:moveTo>
                                  <a:pt x="0" y="27"/>
                                </a:moveTo>
                                <a:lnTo>
                                  <a:pt x="17" y="7"/>
                                </a:lnTo>
                                <a:lnTo>
                                  <a:pt x="29" y="0"/>
                                </a:lnTo>
                                <a:lnTo>
                                  <a:pt x="47" y="0"/>
                                </a:lnTo>
                                <a:lnTo>
                                  <a:pt x="59" y="7"/>
                                </a:lnTo>
                                <a:lnTo>
                                  <a:pt x="65" y="27"/>
                                </a:lnTo>
                                <a:lnTo>
                                  <a:pt x="65" y="96"/>
                                </a:lnTo>
                              </a:path>
                            </a:pathLst>
                          </a:custGeom>
                          <a:noFill/>
                          <a:ln w="148">
                            <a:solidFill>
                              <a:srgbClr val="000000"/>
                            </a:solidFill>
                            <a:prstDash val="solid"/>
                            <a:round/>
                          </a:ln>
                        </wps:spPr>
                        <wps:bodyPr rot="0" vert="horz" wrap="square" lIns="91440" tIns="45720" rIns="91440" bIns="45720" anchor="t" anchorCtr="0" upright="1">
                          <a:noAutofit/>
                        </wps:bodyPr>
                      </wps:wsp>
                      <wps:wsp>
                        <wps:cNvPr id="362" name="Freeform 84"/>
                        <wps:cNvSpPr/>
                        <wps:spPr bwMode="auto">
                          <a:xfrm>
                            <a:off x="6284" y="221"/>
                            <a:ext cx="42" cy="220"/>
                          </a:xfrm>
                          <a:custGeom>
                            <a:avLst/>
                            <a:gdLst>
                              <a:gd name="T0" fmla="+- 0 6326 6285"/>
                              <a:gd name="T1" fmla="*/ T0 w 42"/>
                              <a:gd name="T2" fmla="+- 0 221 221"/>
                              <a:gd name="T3" fmla="*/ 221 h 220"/>
                              <a:gd name="T4" fmla="+- 0 6314 6285"/>
                              <a:gd name="T5" fmla="*/ T4 w 42"/>
                              <a:gd name="T6" fmla="+- 0 235 221"/>
                              <a:gd name="T7" fmla="*/ 235 h 220"/>
                              <a:gd name="T8" fmla="+- 0 6303 6285"/>
                              <a:gd name="T9" fmla="*/ T8 w 42"/>
                              <a:gd name="T10" fmla="+- 0 256 221"/>
                              <a:gd name="T11" fmla="*/ 256 h 220"/>
                              <a:gd name="T12" fmla="+- 0 6291 6285"/>
                              <a:gd name="T13" fmla="*/ T12 w 42"/>
                              <a:gd name="T14" fmla="+- 0 283 221"/>
                              <a:gd name="T15" fmla="*/ 283 h 220"/>
                              <a:gd name="T16" fmla="+- 0 6285 6285"/>
                              <a:gd name="T17" fmla="*/ T16 w 42"/>
                              <a:gd name="T18" fmla="+- 0 317 221"/>
                              <a:gd name="T19" fmla="*/ 317 h 220"/>
                              <a:gd name="T20" fmla="+- 0 6285 6285"/>
                              <a:gd name="T21" fmla="*/ T20 w 42"/>
                              <a:gd name="T22" fmla="+- 0 345 221"/>
                              <a:gd name="T23" fmla="*/ 345 h 220"/>
                              <a:gd name="T24" fmla="+- 0 6291 6285"/>
                              <a:gd name="T25" fmla="*/ T24 w 42"/>
                              <a:gd name="T26" fmla="+- 0 379 221"/>
                              <a:gd name="T27" fmla="*/ 379 h 220"/>
                              <a:gd name="T28" fmla="+- 0 6303 6285"/>
                              <a:gd name="T29" fmla="*/ T28 w 42"/>
                              <a:gd name="T30" fmla="+- 0 407 221"/>
                              <a:gd name="T31" fmla="*/ 407 h 220"/>
                              <a:gd name="T32" fmla="+- 0 6314 6285"/>
                              <a:gd name="T33" fmla="*/ T32 w 42"/>
                              <a:gd name="T34" fmla="+- 0 427 221"/>
                              <a:gd name="T35" fmla="*/ 427 h 220"/>
                              <a:gd name="T36" fmla="+- 0 6326 6285"/>
                              <a:gd name="T37" fmla="*/ T36 w 42"/>
                              <a:gd name="T38" fmla="+- 0 441 221"/>
                              <a:gd name="T39" fmla="*/ 441 h 220"/>
                              <a:gd name="T40" fmla="+- 0 6326 6285"/>
                              <a:gd name="T41" fmla="*/ T40 w 42"/>
                              <a:gd name="T42" fmla="+- 0 441 221"/>
                              <a:gd name="T43" fmla="*/ 441 h 2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42" h="220">
                                <a:moveTo>
                                  <a:pt x="41" y="0"/>
                                </a:moveTo>
                                <a:lnTo>
                                  <a:pt x="29" y="14"/>
                                </a:lnTo>
                                <a:lnTo>
                                  <a:pt x="18" y="35"/>
                                </a:lnTo>
                                <a:lnTo>
                                  <a:pt x="6" y="62"/>
                                </a:lnTo>
                                <a:lnTo>
                                  <a:pt x="0" y="96"/>
                                </a:lnTo>
                                <a:lnTo>
                                  <a:pt x="0" y="124"/>
                                </a:lnTo>
                                <a:lnTo>
                                  <a:pt x="6" y="158"/>
                                </a:lnTo>
                                <a:lnTo>
                                  <a:pt x="18" y="186"/>
                                </a:lnTo>
                                <a:lnTo>
                                  <a:pt x="29" y="206"/>
                                </a:lnTo>
                                <a:lnTo>
                                  <a:pt x="41" y="220"/>
                                </a:lnTo>
                              </a:path>
                            </a:pathLst>
                          </a:custGeom>
                          <a:noFill/>
                          <a:ln w="142">
                            <a:solidFill>
                              <a:srgbClr val="000000"/>
                            </a:solidFill>
                            <a:prstDash val="solid"/>
                            <a:round/>
                          </a:ln>
                        </wps:spPr>
                        <wps:bodyPr rot="0" vert="horz" wrap="square" lIns="91440" tIns="45720" rIns="91440" bIns="45720" anchor="t" anchorCtr="0" upright="1">
                          <a:noAutofit/>
                        </wps:bodyPr>
                      </wps:wsp>
                      <wps:wsp>
                        <wps:cNvPr id="363" name="Freeform 83"/>
                        <wps:cNvSpPr/>
                        <wps:spPr bwMode="auto">
                          <a:xfrm>
                            <a:off x="6379" y="248"/>
                            <a:ext cx="30" cy="145"/>
                          </a:xfrm>
                          <a:custGeom>
                            <a:avLst/>
                            <a:gdLst>
                              <a:gd name="T0" fmla="+- 0 6379 6379"/>
                              <a:gd name="T1" fmla="*/ T0 w 30"/>
                              <a:gd name="T2" fmla="+- 0 276 249"/>
                              <a:gd name="T3" fmla="*/ 276 h 145"/>
                              <a:gd name="T4" fmla="+- 0 6391 6379"/>
                              <a:gd name="T5" fmla="*/ T4 w 30"/>
                              <a:gd name="T6" fmla="+- 0 270 249"/>
                              <a:gd name="T7" fmla="*/ 270 h 145"/>
                              <a:gd name="T8" fmla="+- 0 6409 6379"/>
                              <a:gd name="T9" fmla="*/ T8 w 30"/>
                              <a:gd name="T10" fmla="+- 0 249 249"/>
                              <a:gd name="T11" fmla="*/ 249 h 145"/>
                              <a:gd name="T12" fmla="+- 0 6409 6379"/>
                              <a:gd name="T13" fmla="*/ T12 w 30"/>
                              <a:gd name="T14" fmla="+- 0 393 249"/>
                              <a:gd name="T15" fmla="*/ 393 h 145"/>
                              <a:gd name="T16" fmla="+- 0 6409 6379"/>
                              <a:gd name="T17" fmla="*/ T16 w 30"/>
                              <a:gd name="T18" fmla="+- 0 393 249"/>
                              <a:gd name="T19" fmla="*/ 393 h 145"/>
                            </a:gdLst>
                            <a:ahLst/>
                            <a:cxnLst>
                              <a:cxn ang="0">
                                <a:pos x="T1" y="T3"/>
                              </a:cxn>
                              <a:cxn ang="0">
                                <a:pos x="T5" y="T7"/>
                              </a:cxn>
                              <a:cxn ang="0">
                                <a:pos x="T9" y="T11"/>
                              </a:cxn>
                              <a:cxn ang="0">
                                <a:pos x="T13" y="T15"/>
                              </a:cxn>
                              <a:cxn ang="0">
                                <a:pos x="T17" y="T19"/>
                              </a:cxn>
                            </a:cxnLst>
                            <a:rect l="0" t="0" r="r" b="b"/>
                            <a:pathLst>
                              <a:path w="30" h="145">
                                <a:moveTo>
                                  <a:pt x="0" y="27"/>
                                </a:moveTo>
                                <a:lnTo>
                                  <a:pt x="12" y="21"/>
                                </a:lnTo>
                                <a:lnTo>
                                  <a:pt x="30" y="0"/>
                                </a:lnTo>
                                <a:lnTo>
                                  <a:pt x="30" y="144"/>
                                </a:lnTo>
                              </a:path>
                            </a:pathLst>
                          </a:custGeom>
                          <a:noFill/>
                          <a:ln w="142">
                            <a:solidFill>
                              <a:srgbClr val="000000"/>
                            </a:solidFill>
                            <a:prstDash val="solid"/>
                            <a:round/>
                          </a:ln>
                        </wps:spPr>
                        <wps:bodyPr rot="0" vert="horz" wrap="square" lIns="91440" tIns="45720" rIns="91440" bIns="45720" anchor="t" anchorCtr="0" upright="1">
                          <a:noAutofit/>
                        </wps:bodyPr>
                      </wps:wsp>
                      <wps:wsp>
                        <wps:cNvPr id="364" name="Freeform 82"/>
                        <wps:cNvSpPr/>
                        <wps:spPr bwMode="auto">
                          <a:xfrm>
                            <a:off x="6485" y="379"/>
                            <a:ext cx="12" cy="14"/>
                          </a:xfrm>
                          <a:custGeom>
                            <a:avLst/>
                            <a:gdLst>
                              <a:gd name="T0" fmla="+- 0 6491 6485"/>
                              <a:gd name="T1" fmla="*/ T0 w 12"/>
                              <a:gd name="T2" fmla="+- 0 379 379"/>
                              <a:gd name="T3" fmla="*/ 379 h 14"/>
                              <a:gd name="T4" fmla="+- 0 6485 6485"/>
                              <a:gd name="T5" fmla="*/ T4 w 12"/>
                              <a:gd name="T6" fmla="+- 0 386 379"/>
                              <a:gd name="T7" fmla="*/ 386 h 14"/>
                              <a:gd name="T8" fmla="+- 0 6491 6485"/>
                              <a:gd name="T9" fmla="*/ T8 w 12"/>
                              <a:gd name="T10" fmla="+- 0 393 379"/>
                              <a:gd name="T11" fmla="*/ 393 h 14"/>
                              <a:gd name="T12" fmla="+- 0 6497 6485"/>
                              <a:gd name="T13" fmla="*/ T12 w 12"/>
                              <a:gd name="T14" fmla="+- 0 386 379"/>
                              <a:gd name="T15" fmla="*/ 386 h 14"/>
                              <a:gd name="T16" fmla="+- 0 6491 6485"/>
                              <a:gd name="T17" fmla="*/ T16 w 12"/>
                              <a:gd name="T18" fmla="+- 0 379 379"/>
                              <a:gd name="T19" fmla="*/ 379 h 14"/>
                              <a:gd name="T20" fmla="+- 0 6491 6485"/>
                              <a:gd name="T21" fmla="*/ T20 w 12"/>
                              <a:gd name="T22" fmla="+- 0 379 379"/>
                              <a:gd name="T23" fmla="*/ 379 h 14"/>
                            </a:gdLst>
                            <a:ahLst/>
                            <a:cxnLst>
                              <a:cxn ang="0">
                                <a:pos x="T1" y="T3"/>
                              </a:cxn>
                              <a:cxn ang="0">
                                <a:pos x="T5" y="T7"/>
                              </a:cxn>
                              <a:cxn ang="0">
                                <a:pos x="T9" y="T11"/>
                              </a:cxn>
                              <a:cxn ang="0">
                                <a:pos x="T13" y="T15"/>
                              </a:cxn>
                              <a:cxn ang="0">
                                <a:pos x="T17" y="T19"/>
                              </a:cxn>
                              <a:cxn ang="0">
                                <a:pos x="T21" y="T23"/>
                              </a:cxn>
                            </a:cxnLst>
                            <a:rect l="0" t="0" r="r" b="b"/>
                            <a:pathLst>
                              <a:path w="12" h="14">
                                <a:moveTo>
                                  <a:pt x="6" y="0"/>
                                </a:moveTo>
                                <a:lnTo>
                                  <a:pt x="0" y="7"/>
                                </a:lnTo>
                                <a:lnTo>
                                  <a:pt x="6" y="14"/>
                                </a:lnTo>
                                <a:lnTo>
                                  <a:pt x="12" y="7"/>
                                </a:lnTo>
                                <a:lnTo>
                                  <a:pt x="6" y="0"/>
                                </a:lnTo>
                              </a:path>
                            </a:pathLst>
                          </a:custGeom>
                          <a:noFill/>
                          <a:ln w="151">
                            <a:solidFill>
                              <a:srgbClr val="000000"/>
                            </a:solidFill>
                            <a:prstDash val="solid"/>
                            <a:round/>
                          </a:ln>
                        </wps:spPr>
                        <wps:bodyPr rot="0" vert="horz" wrap="square" lIns="91440" tIns="45720" rIns="91440" bIns="45720" anchor="t" anchorCtr="0" upright="1">
                          <a:noAutofit/>
                        </wps:bodyPr>
                      </wps:wsp>
                      <wps:wsp>
                        <wps:cNvPr id="365" name="Freeform 81"/>
                        <wps:cNvSpPr/>
                        <wps:spPr bwMode="auto">
                          <a:xfrm>
                            <a:off x="6538" y="248"/>
                            <a:ext cx="83" cy="145"/>
                          </a:xfrm>
                          <a:custGeom>
                            <a:avLst/>
                            <a:gdLst>
                              <a:gd name="T0" fmla="+- 0 6609 6538"/>
                              <a:gd name="T1" fmla="*/ T0 w 83"/>
                              <a:gd name="T2" fmla="+- 0 249 249"/>
                              <a:gd name="T3" fmla="*/ 249 h 145"/>
                              <a:gd name="T4" fmla="+- 0 6550 6538"/>
                              <a:gd name="T5" fmla="*/ T4 w 83"/>
                              <a:gd name="T6" fmla="+- 0 249 249"/>
                              <a:gd name="T7" fmla="*/ 249 h 145"/>
                              <a:gd name="T8" fmla="+- 0 6544 6538"/>
                              <a:gd name="T9" fmla="*/ T8 w 83"/>
                              <a:gd name="T10" fmla="+- 0 311 249"/>
                              <a:gd name="T11" fmla="*/ 311 h 145"/>
                              <a:gd name="T12" fmla="+- 0 6550 6538"/>
                              <a:gd name="T13" fmla="*/ T12 w 83"/>
                              <a:gd name="T14" fmla="+- 0 304 249"/>
                              <a:gd name="T15" fmla="*/ 304 h 145"/>
                              <a:gd name="T16" fmla="+- 0 6568 6538"/>
                              <a:gd name="T17" fmla="*/ T16 w 83"/>
                              <a:gd name="T18" fmla="+- 0 297 249"/>
                              <a:gd name="T19" fmla="*/ 297 h 145"/>
                              <a:gd name="T20" fmla="+- 0 6586 6538"/>
                              <a:gd name="T21" fmla="*/ T20 w 83"/>
                              <a:gd name="T22" fmla="+- 0 297 249"/>
                              <a:gd name="T23" fmla="*/ 297 h 145"/>
                              <a:gd name="T24" fmla="+- 0 6603 6538"/>
                              <a:gd name="T25" fmla="*/ T24 w 83"/>
                              <a:gd name="T26" fmla="+- 0 304 249"/>
                              <a:gd name="T27" fmla="*/ 304 h 145"/>
                              <a:gd name="T28" fmla="+- 0 6615 6538"/>
                              <a:gd name="T29" fmla="*/ T28 w 83"/>
                              <a:gd name="T30" fmla="+- 0 317 249"/>
                              <a:gd name="T31" fmla="*/ 317 h 145"/>
                              <a:gd name="T32" fmla="+- 0 6621 6538"/>
                              <a:gd name="T33" fmla="*/ T32 w 83"/>
                              <a:gd name="T34" fmla="+- 0 338 249"/>
                              <a:gd name="T35" fmla="*/ 338 h 145"/>
                              <a:gd name="T36" fmla="+- 0 6621 6538"/>
                              <a:gd name="T37" fmla="*/ T36 w 83"/>
                              <a:gd name="T38" fmla="+- 0 352 249"/>
                              <a:gd name="T39" fmla="*/ 352 h 145"/>
                              <a:gd name="T40" fmla="+- 0 6615 6538"/>
                              <a:gd name="T41" fmla="*/ T40 w 83"/>
                              <a:gd name="T42" fmla="+- 0 372 249"/>
                              <a:gd name="T43" fmla="*/ 372 h 145"/>
                              <a:gd name="T44" fmla="+- 0 6603 6538"/>
                              <a:gd name="T45" fmla="*/ T44 w 83"/>
                              <a:gd name="T46" fmla="+- 0 386 249"/>
                              <a:gd name="T47" fmla="*/ 386 h 145"/>
                              <a:gd name="T48" fmla="+- 0 6586 6538"/>
                              <a:gd name="T49" fmla="*/ T48 w 83"/>
                              <a:gd name="T50" fmla="+- 0 393 249"/>
                              <a:gd name="T51" fmla="*/ 393 h 145"/>
                              <a:gd name="T52" fmla="+- 0 6568 6538"/>
                              <a:gd name="T53" fmla="*/ T52 w 83"/>
                              <a:gd name="T54" fmla="+- 0 393 249"/>
                              <a:gd name="T55" fmla="*/ 393 h 145"/>
                              <a:gd name="T56" fmla="+- 0 6550 6538"/>
                              <a:gd name="T57" fmla="*/ T56 w 83"/>
                              <a:gd name="T58" fmla="+- 0 386 249"/>
                              <a:gd name="T59" fmla="*/ 386 h 145"/>
                              <a:gd name="T60" fmla="+- 0 6544 6538"/>
                              <a:gd name="T61" fmla="*/ T60 w 83"/>
                              <a:gd name="T62" fmla="+- 0 379 249"/>
                              <a:gd name="T63" fmla="*/ 379 h 145"/>
                              <a:gd name="T64" fmla="+- 0 6538 6538"/>
                              <a:gd name="T65" fmla="*/ T64 w 83"/>
                              <a:gd name="T66" fmla="+- 0 366 249"/>
                              <a:gd name="T67" fmla="*/ 366 h 145"/>
                              <a:gd name="T68" fmla="+- 0 6539 6538"/>
                              <a:gd name="T69" fmla="*/ T68 w 83"/>
                              <a:gd name="T70" fmla="+- 0 366 249"/>
                              <a:gd name="T71" fmla="*/ 366 h 1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83" h="145">
                                <a:moveTo>
                                  <a:pt x="71" y="0"/>
                                </a:moveTo>
                                <a:lnTo>
                                  <a:pt x="12" y="0"/>
                                </a:lnTo>
                                <a:lnTo>
                                  <a:pt x="6" y="62"/>
                                </a:lnTo>
                                <a:lnTo>
                                  <a:pt x="12" y="55"/>
                                </a:lnTo>
                                <a:lnTo>
                                  <a:pt x="30" y="48"/>
                                </a:lnTo>
                                <a:lnTo>
                                  <a:pt x="48" y="48"/>
                                </a:lnTo>
                                <a:lnTo>
                                  <a:pt x="65" y="55"/>
                                </a:lnTo>
                                <a:lnTo>
                                  <a:pt x="77" y="68"/>
                                </a:lnTo>
                                <a:lnTo>
                                  <a:pt x="83" y="89"/>
                                </a:lnTo>
                                <a:lnTo>
                                  <a:pt x="83" y="103"/>
                                </a:lnTo>
                                <a:lnTo>
                                  <a:pt x="77" y="123"/>
                                </a:lnTo>
                                <a:lnTo>
                                  <a:pt x="65" y="137"/>
                                </a:lnTo>
                                <a:lnTo>
                                  <a:pt x="48" y="144"/>
                                </a:lnTo>
                                <a:lnTo>
                                  <a:pt x="30" y="144"/>
                                </a:lnTo>
                                <a:lnTo>
                                  <a:pt x="12" y="137"/>
                                </a:lnTo>
                                <a:lnTo>
                                  <a:pt x="6" y="130"/>
                                </a:lnTo>
                                <a:lnTo>
                                  <a:pt x="0" y="117"/>
                                </a:lnTo>
                                <a:lnTo>
                                  <a:pt x="1" y="117"/>
                                </a:lnTo>
                              </a:path>
                            </a:pathLst>
                          </a:custGeom>
                          <a:noFill/>
                          <a:ln w="147">
                            <a:solidFill>
                              <a:srgbClr val="000000"/>
                            </a:solidFill>
                            <a:prstDash val="solid"/>
                            <a:round/>
                          </a:ln>
                        </wps:spPr>
                        <wps:bodyPr rot="0" vert="horz" wrap="square" lIns="91440" tIns="45720" rIns="91440" bIns="45720" anchor="t" anchorCtr="0" upright="1">
                          <a:noAutofit/>
                        </wps:bodyPr>
                      </wps:wsp>
                      <wps:wsp>
                        <wps:cNvPr id="366" name="Freeform 80"/>
                        <wps:cNvSpPr/>
                        <wps:spPr bwMode="auto">
                          <a:xfrm>
                            <a:off x="6662" y="297"/>
                            <a:ext cx="2" cy="96"/>
                          </a:xfrm>
                          <a:custGeom>
                            <a:avLst/>
                            <a:gdLst>
                              <a:gd name="T0" fmla="+- 0 6662 6662"/>
                              <a:gd name="T1" fmla="*/ T0 w 1"/>
                              <a:gd name="T2" fmla="+- 0 297 297"/>
                              <a:gd name="T3" fmla="*/ 297 h 96"/>
                              <a:gd name="T4" fmla="+- 0 6662 6662"/>
                              <a:gd name="T5" fmla="*/ T4 w 1"/>
                              <a:gd name="T6" fmla="+- 0 393 297"/>
                              <a:gd name="T7" fmla="*/ 393 h 96"/>
                              <a:gd name="T8" fmla="+- 0 6662 6662"/>
                              <a:gd name="T9" fmla="*/ T8 w 1"/>
                              <a:gd name="T10" fmla="+- 0 393 297"/>
                              <a:gd name="T11" fmla="*/ 393 h 96"/>
                            </a:gdLst>
                            <a:ahLst/>
                            <a:cxnLst>
                              <a:cxn ang="0">
                                <a:pos x="T1" y="T3"/>
                              </a:cxn>
                              <a:cxn ang="0">
                                <a:pos x="T5" y="T7"/>
                              </a:cxn>
                              <a:cxn ang="0">
                                <a:pos x="T9" y="T11"/>
                              </a:cxn>
                            </a:cxnLst>
                            <a:rect l="0" t="0" r="r" b="b"/>
                            <a:pathLst>
                              <a:path w="1" h="96">
                                <a:moveTo>
                                  <a:pt x="0" y="0"/>
                                </a:moveTo>
                                <a:lnTo>
                                  <a:pt x="0" y="96"/>
                                </a:lnTo>
                              </a:path>
                            </a:pathLst>
                          </a:custGeom>
                          <a:noFill/>
                          <a:ln w="141">
                            <a:solidFill>
                              <a:srgbClr val="000000"/>
                            </a:solidFill>
                            <a:prstDash val="solid"/>
                            <a:round/>
                          </a:ln>
                        </wps:spPr>
                        <wps:bodyPr rot="0" vert="horz" wrap="square" lIns="91440" tIns="45720" rIns="91440" bIns="45720" anchor="t" anchorCtr="0" upright="1">
                          <a:noAutofit/>
                        </wps:bodyPr>
                      </wps:wsp>
                      <wps:wsp>
                        <wps:cNvPr id="367" name="Freeform 79"/>
                        <wps:cNvSpPr/>
                        <wps:spPr bwMode="auto">
                          <a:xfrm>
                            <a:off x="6662" y="297"/>
                            <a:ext cx="66" cy="96"/>
                          </a:xfrm>
                          <a:custGeom>
                            <a:avLst/>
                            <a:gdLst>
                              <a:gd name="T0" fmla="+- 0 6662 6662"/>
                              <a:gd name="T1" fmla="*/ T0 w 66"/>
                              <a:gd name="T2" fmla="+- 0 324 297"/>
                              <a:gd name="T3" fmla="*/ 324 h 96"/>
                              <a:gd name="T4" fmla="+- 0 6680 6662"/>
                              <a:gd name="T5" fmla="*/ T4 w 66"/>
                              <a:gd name="T6" fmla="+- 0 304 297"/>
                              <a:gd name="T7" fmla="*/ 304 h 96"/>
                              <a:gd name="T8" fmla="+- 0 6692 6662"/>
                              <a:gd name="T9" fmla="*/ T8 w 66"/>
                              <a:gd name="T10" fmla="+- 0 297 297"/>
                              <a:gd name="T11" fmla="*/ 297 h 96"/>
                              <a:gd name="T12" fmla="+- 0 6709 6662"/>
                              <a:gd name="T13" fmla="*/ T12 w 66"/>
                              <a:gd name="T14" fmla="+- 0 297 297"/>
                              <a:gd name="T15" fmla="*/ 297 h 96"/>
                              <a:gd name="T16" fmla="+- 0 6721 6662"/>
                              <a:gd name="T17" fmla="*/ T16 w 66"/>
                              <a:gd name="T18" fmla="+- 0 304 297"/>
                              <a:gd name="T19" fmla="*/ 304 h 96"/>
                              <a:gd name="T20" fmla="+- 0 6727 6662"/>
                              <a:gd name="T21" fmla="*/ T20 w 66"/>
                              <a:gd name="T22" fmla="+- 0 324 297"/>
                              <a:gd name="T23" fmla="*/ 324 h 96"/>
                              <a:gd name="T24" fmla="+- 0 6727 6662"/>
                              <a:gd name="T25" fmla="*/ T24 w 66"/>
                              <a:gd name="T26" fmla="+- 0 393 297"/>
                              <a:gd name="T27" fmla="*/ 393 h 96"/>
                              <a:gd name="T28" fmla="+- 0 6727 6662"/>
                              <a:gd name="T29" fmla="*/ T28 w 66"/>
                              <a:gd name="T30" fmla="+- 0 393 297"/>
                              <a:gd name="T31" fmla="*/ 393 h 96"/>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6" h="96">
                                <a:moveTo>
                                  <a:pt x="0" y="27"/>
                                </a:moveTo>
                                <a:lnTo>
                                  <a:pt x="18" y="7"/>
                                </a:lnTo>
                                <a:lnTo>
                                  <a:pt x="30" y="0"/>
                                </a:lnTo>
                                <a:lnTo>
                                  <a:pt x="47" y="0"/>
                                </a:lnTo>
                                <a:lnTo>
                                  <a:pt x="59" y="7"/>
                                </a:lnTo>
                                <a:lnTo>
                                  <a:pt x="65" y="27"/>
                                </a:lnTo>
                                <a:lnTo>
                                  <a:pt x="65" y="96"/>
                                </a:lnTo>
                              </a:path>
                            </a:pathLst>
                          </a:custGeom>
                          <a:noFill/>
                          <a:ln w="148">
                            <a:solidFill>
                              <a:srgbClr val="000000"/>
                            </a:solidFill>
                            <a:prstDash val="solid"/>
                            <a:round/>
                          </a:ln>
                        </wps:spPr>
                        <wps:bodyPr rot="0" vert="horz" wrap="square" lIns="91440" tIns="45720" rIns="91440" bIns="45720" anchor="t" anchorCtr="0" upright="1">
                          <a:noAutofit/>
                        </wps:bodyPr>
                      </wps:wsp>
                      <wps:wsp>
                        <wps:cNvPr id="368" name="Freeform 78"/>
                        <wps:cNvSpPr/>
                        <wps:spPr bwMode="auto">
                          <a:xfrm>
                            <a:off x="6727" y="297"/>
                            <a:ext cx="66" cy="96"/>
                          </a:xfrm>
                          <a:custGeom>
                            <a:avLst/>
                            <a:gdLst>
                              <a:gd name="T0" fmla="+- 0 6727 6727"/>
                              <a:gd name="T1" fmla="*/ T0 w 66"/>
                              <a:gd name="T2" fmla="+- 0 324 297"/>
                              <a:gd name="T3" fmla="*/ 324 h 96"/>
                              <a:gd name="T4" fmla="+- 0 6745 6727"/>
                              <a:gd name="T5" fmla="*/ T4 w 66"/>
                              <a:gd name="T6" fmla="+- 0 304 297"/>
                              <a:gd name="T7" fmla="*/ 304 h 96"/>
                              <a:gd name="T8" fmla="+- 0 6757 6727"/>
                              <a:gd name="T9" fmla="*/ T8 w 66"/>
                              <a:gd name="T10" fmla="+- 0 297 297"/>
                              <a:gd name="T11" fmla="*/ 297 h 96"/>
                              <a:gd name="T12" fmla="+- 0 6774 6727"/>
                              <a:gd name="T13" fmla="*/ T12 w 66"/>
                              <a:gd name="T14" fmla="+- 0 297 297"/>
                              <a:gd name="T15" fmla="*/ 297 h 96"/>
                              <a:gd name="T16" fmla="+- 0 6786 6727"/>
                              <a:gd name="T17" fmla="*/ T16 w 66"/>
                              <a:gd name="T18" fmla="+- 0 304 297"/>
                              <a:gd name="T19" fmla="*/ 304 h 96"/>
                              <a:gd name="T20" fmla="+- 0 6792 6727"/>
                              <a:gd name="T21" fmla="*/ T20 w 66"/>
                              <a:gd name="T22" fmla="+- 0 324 297"/>
                              <a:gd name="T23" fmla="*/ 324 h 96"/>
                              <a:gd name="T24" fmla="+- 0 6792 6727"/>
                              <a:gd name="T25" fmla="*/ T24 w 66"/>
                              <a:gd name="T26" fmla="+- 0 393 297"/>
                              <a:gd name="T27" fmla="*/ 393 h 96"/>
                              <a:gd name="T28" fmla="+- 0 6792 6727"/>
                              <a:gd name="T29" fmla="*/ T28 w 66"/>
                              <a:gd name="T30" fmla="+- 0 393 297"/>
                              <a:gd name="T31" fmla="*/ 393 h 96"/>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6" h="96">
                                <a:moveTo>
                                  <a:pt x="0" y="27"/>
                                </a:moveTo>
                                <a:lnTo>
                                  <a:pt x="18" y="7"/>
                                </a:lnTo>
                                <a:lnTo>
                                  <a:pt x="30" y="0"/>
                                </a:lnTo>
                                <a:lnTo>
                                  <a:pt x="47" y="0"/>
                                </a:lnTo>
                                <a:lnTo>
                                  <a:pt x="59" y="7"/>
                                </a:lnTo>
                                <a:lnTo>
                                  <a:pt x="65" y="27"/>
                                </a:lnTo>
                                <a:lnTo>
                                  <a:pt x="65" y="96"/>
                                </a:lnTo>
                              </a:path>
                            </a:pathLst>
                          </a:custGeom>
                          <a:noFill/>
                          <a:ln w="148">
                            <a:solidFill>
                              <a:srgbClr val="000000"/>
                            </a:solidFill>
                            <a:prstDash val="solid"/>
                            <a:round/>
                          </a:ln>
                        </wps:spPr>
                        <wps:bodyPr rot="0" vert="horz" wrap="square" lIns="91440" tIns="45720" rIns="91440" bIns="45720" anchor="t" anchorCtr="0" upright="1">
                          <a:noAutofit/>
                        </wps:bodyPr>
                      </wps:wsp>
                      <wps:wsp>
                        <wps:cNvPr id="369" name="Freeform 77"/>
                        <wps:cNvSpPr/>
                        <wps:spPr bwMode="auto">
                          <a:xfrm>
                            <a:off x="6833" y="221"/>
                            <a:ext cx="42" cy="220"/>
                          </a:xfrm>
                          <a:custGeom>
                            <a:avLst/>
                            <a:gdLst>
                              <a:gd name="T0" fmla="+- 0 6833 6833"/>
                              <a:gd name="T1" fmla="*/ T0 w 42"/>
                              <a:gd name="T2" fmla="+- 0 221 221"/>
                              <a:gd name="T3" fmla="*/ 221 h 220"/>
                              <a:gd name="T4" fmla="+- 0 6845 6833"/>
                              <a:gd name="T5" fmla="*/ T4 w 42"/>
                              <a:gd name="T6" fmla="+- 0 235 221"/>
                              <a:gd name="T7" fmla="*/ 235 h 220"/>
                              <a:gd name="T8" fmla="+- 0 6857 6833"/>
                              <a:gd name="T9" fmla="*/ T8 w 42"/>
                              <a:gd name="T10" fmla="+- 0 256 221"/>
                              <a:gd name="T11" fmla="*/ 256 h 220"/>
                              <a:gd name="T12" fmla="+- 0 6869 6833"/>
                              <a:gd name="T13" fmla="*/ T12 w 42"/>
                              <a:gd name="T14" fmla="+- 0 283 221"/>
                              <a:gd name="T15" fmla="*/ 283 h 220"/>
                              <a:gd name="T16" fmla="+- 0 6875 6833"/>
                              <a:gd name="T17" fmla="*/ T16 w 42"/>
                              <a:gd name="T18" fmla="+- 0 317 221"/>
                              <a:gd name="T19" fmla="*/ 317 h 220"/>
                              <a:gd name="T20" fmla="+- 0 6875 6833"/>
                              <a:gd name="T21" fmla="*/ T20 w 42"/>
                              <a:gd name="T22" fmla="+- 0 345 221"/>
                              <a:gd name="T23" fmla="*/ 345 h 220"/>
                              <a:gd name="T24" fmla="+- 0 6869 6833"/>
                              <a:gd name="T25" fmla="*/ T24 w 42"/>
                              <a:gd name="T26" fmla="+- 0 379 221"/>
                              <a:gd name="T27" fmla="*/ 379 h 220"/>
                              <a:gd name="T28" fmla="+- 0 6857 6833"/>
                              <a:gd name="T29" fmla="*/ T28 w 42"/>
                              <a:gd name="T30" fmla="+- 0 407 221"/>
                              <a:gd name="T31" fmla="*/ 407 h 220"/>
                              <a:gd name="T32" fmla="+- 0 6845 6833"/>
                              <a:gd name="T33" fmla="*/ T32 w 42"/>
                              <a:gd name="T34" fmla="+- 0 427 221"/>
                              <a:gd name="T35" fmla="*/ 427 h 220"/>
                              <a:gd name="T36" fmla="+- 0 6833 6833"/>
                              <a:gd name="T37" fmla="*/ T36 w 42"/>
                              <a:gd name="T38" fmla="+- 0 441 221"/>
                              <a:gd name="T39" fmla="*/ 441 h 220"/>
                              <a:gd name="T40" fmla="+- 0 6834 6833"/>
                              <a:gd name="T41" fmla="*/ T40 w 42"/>
                              <a:gd name="T42" fmla="+- 0 441 221"/>
                              <a:gd name="T43" fmla="*/ 441 h 2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42" h="220">
                                <a:moveTo>
                                  <a:pt x="0" y="0"/>
                                </a:moveTo>
                                <a:lnTo>
                                  <a:pt x="12" y="14"/>
                                </a:lnTo>
                                <a:lnTo>
                                  <a:pt x="24" y="35"/>
                                </a:lnTo>
                                <a:lnTo>
                                  <a:pt x="36" y="62"/>
                                </a:lnTo>
                                <a:lnTo>
                                  <a:pt x="42" y="96"/>
                                </a:lnTo>
                                <a:lnTo>
                                  <a:pt x="42" y="124"/>
                                </a:lnTo>
                                <a:lnTo>
                                  <a:pt x="36" y="158"/>
                                </a:lnTo>
                                <a:lnTo>
                                  <a:pt x="24" y="186"/>
                                </a:lnTo>
                                <a:lnTo>
                                  <a:pt x="12" y="206"/>
                                </a:lnTo>
                                <a:lnTo>
                                  <a:pt x="0" y="220"/>
                                </a:lnTo>
                                <a:lnTo>
                                  <a:pt x="1" y="220"/>
                                </a:lnTo>
                              </a:path>
                            </a:pathLst>
                          </a:custGeom>
                          <a:noFill/>
                          <a:ln w="142">
                            <a:solidFill>
                              <a:srgbClr val="000000"/>
                            </a:solidFill>
                            <a:prstDash val="solid"/>
                            <a:round/>
                          </a:ln>
                        </wps:spPr>
                        <wps:bodyPr rot="0" vert="horz" wrap="square" lIns="91440" tIns="45720" rIns="91440" bIns="45720" anchor="t" anchorCtr="0" upright="1">
                          <a:noAutofit/>
                        </wps:bodyPr>
                      </wps:wsp>
                      <wps:wsp>
                        <wps:cNvPr id="370" name="Freeform 76"/>
                        <wps:cNvSpPr/>
                        <wps:spPr bwMode="auto">
                          <a:xfrm>
                            <a:off x="5758" y="455"/>
                            <a:ext cx="75" cy="96"/>
                          </a:xfrm>
                          <a:custGeom>
                            <a:avLst/>
                            <a:gdLst>
                              <a:gd name="T0" fmla="+- 0 5825 5759"/>
                              <a:gd name="T1" fmla="*/ T0 w 75"/>
                              <a:gd name="T2" fmla="+- 0 456 456"/>
                              <a:gd name="T3" fmla="*/ 456 h 96"/>
                              <a:gd name="T4" fmla="+- 0 5759 5759"/>
                              <a:gd name="T5" fmla="*/ T4 w 75"/>
                              <a:gd name="T6" fmla="+- 0 552 456"/>
                              <a:gd name="T7" fmla="*/ 552 h 96"/>
                              <a:gd name="T8" fmla="+- 0 5833 5759"/>
                              <a:gd name="T9" fmla="*/ T8 w 75"/>
                              <a:gd name="T10" fmla="+- 0 465 456"/>
                              <a:gd name="T11" fmla="*/ 465 h 96"/>
                              <a:gd name="T12" fmla="+- 0 5825 5759"/>
                              <a:gd name="T13" fmla="*/ T12 w 75"/>
                              <a:gd name="T14" fmla="+- 0 456 456"/>
                              <a:gd name="T15" fmla="*/ 456 h 96"/>
                            </a:gdLst>
                            <a:ahLst/>
                            <a:cxnLst>
                              <a:cxn ang="0">
                                <a:pos x="T1" y="T3"/>
                              </a:cxn>
                              <a:cxn ang="0">
                                <a:pos x="T5" y="T7"/>
                              </a:cxn>
                              <a:cxn ang="0">
                                <a:pos x="T9" y="T11"/>
                              </a:cxn>
                              <a:cxn ang="0">
                                <a:pos x="T13" y="T15"/>
                              </a:cxn>
                            </a:cxnLst>
                            <a:rect l="0" t="0" r="r" b="b"/>
                            <a:pathLst>
                              <a:path w="75" h="96">
                                <a:moveTo>
                                  <a:pt x="66" y="0"/>
                                </a:moveTo>
                                <a:lnTo>
                                  <a:pt x="0" y="96"/>
                                </a:lnTo>
                                <a:lnTo>
                                  <a:pt x="74" y="9"/>
                                </a:lnTo>
                                <a:lnTo>
                                  <a:pt x="66" y="0"/>
                                </a:lnTo>
                                <a:close/>
                              </a:path>
                            </a:pathLst>
                          </a:custGeom>
                          <a:solidFill>
                            <a:srgbClr val="000000"/>
                          </a:solidFill>
                          <a:ln>
                            <a:noFill/>
                          </a:ln>
                        </wps:spPr>
                        <wps:bodyPr rot="0" vert="horz" wrap="square" lIns="91440" tIns="45720" rIns="91440" bIns="45720" anchor="t" anchorCtr="0" upright="1">
                          <a:noAutofit/>
                        </wps:bodyPr>
                      </wps:wsp>
                      <wps:wsp>
                        <wps:cNvPr id="371" name="Freeform 75"/>
                        <wps:cNvSpPr/>
                        <wps:spPr bwMode="auto">
                          <a:xfrm>
                            <a:off x="5751" y="455"/>
                            <a:ext cx="75" cy="96"/>
                          </a:xfrm>
                          <a:custGeom>
                            <a:avLst/>
                            <a:gdLst>
                              <a:gd name="T0" fmla="+- 0 5825 5751"/>
                              <a:gd name="T1" fmla="*/ T0 w 75"/>
                              <a:gd name="T2" fmla="+- 0 456 456"/>
                              <a:gd name="T3" fmla="*/ 456 h 96"/>
                              <a:gd name="T4" fmla="+- 0 5751 5751"/>
                              <a:gd name="T5" fmla="*/ T4 w 75"/>
                              <a:gd name="T6" fmla="+- 0 543 456"/>
                              <a:gd name="T7" fmla="*/ 543 h 96"/>
                              <a:gd name="T8" fmla="+- 0 5759 5751"/>
                              <a:gd name="T9" fmla="*/ T8 w 75"/>
                              <a:gd name="T10" fmla="+- 0 552 456"/>
                              <a:gd name="T11" fmla="*/ 552 h 96"/>
                              <a:gd name="T12" fmla="+- 0 5825 5751"/>
                              <a:gd name="T13" fmla="*/ T12 w 75"/>
                              <a:gd name="T14" fmla="+- 0 456 456"/>
                              <a:gd name="T15" fmla="*/ 456 h 96"/>
                            </a:gdLst>
                            <a:ahLst/>
                            <a:cxnLst>
                              <a:cxn ang="0">
                                <a:pos x="T1" y="T3"/>
                              </a:cxn>
                              <a:cxn ang="0">
                                <a:pos x="T5" y="T7"/>
                              </a:cxn>
                              <a:cxn ang="0">
                                <a:pos x="T9" y="T11"/>
                              </a:cxn>
                              <a:cxn ang="0">
                                <a:pos x="T13" y="T15"/>
                              </a:cxn>
                            </a:cxnLst>
                            <a:rect l="0" t="0" r="r" b="b"/>
                            <a:pathLst>
                              <a:path w="75" h="96">
                                <a:moveTo>
                                  <a:pt x="74" y="0"/>
                                </a:moveTo>
                                <a:lnTo>
                                  <a:pt x="0" y="87"/>
                                </a:lnTo>
                                <a:lnTo>
                                  <a:pt x="8" y="96"/>
                                </a:lnTo>
                                <a:lnTo>
                                  <a:pt x="74" y="0"/>
                                </a:lnTo>
                                <a:close/>
                              </a:path>
                            </a:pathLst>
                          </a:custGeom>
                          <a:solidFill>
                            <a:srgbClr val="000000"/>
                          </a:solidFill>
                          <a:ln>
                            <a:noFill/>
                          </a:ln>
                        </wps:spPr>
                        <wps:bodyPr rot="0" vert="horz" wrap="square" lIns="91440" tIns="45720" rIns="91440" bIns="45720" anchor="t" anchorCtr="0" upright="1">
                          <a:noAutofit/>
                        </wps:bodyPr>
                      </wps:wsp>
                      <wps:wsp>
                        <wps:cNvPr id="372" name="Freeform 74"/>
                        <wps:cNvSpPr/>
                        <wps:spPr bwMode="auto">
                          <a:xfrm>
                            <a:off x="5751" y="456"/>
                            <a:ext cx="83" cy="96"/>
                          </a:xfrm>
                          <a:custGeom>
                            <a:avLst/>
                            <a:gdLst>
                              <a:gd name="T0" fmla="+- 0 5833 5751"/>
                              <a:gd name="T1" fmla="*/ T0 w 83"/>
                              <a:gd name="T2" fmla="+- 0 465 456"/>
                              <a:gd name="T3" fmla="*/ 465 h 96"/>
                              <a:gd name="T4" fmla="+- 0 5826 5751"/>
                              <a:gd name="T5" fmla="*/ T4 w 83"/>
                              <a:gd name="T6" fmla="+- 0 456 456"/>
                              <a:gd name="T7" fmla="*/ 456 h 96"/>
                              <a:gd name="T8" fmla="+- 0 5751 5751"/>
                              <a:gd name="T9" fmla="*/ T8 w 83"/>
                              <a:gd name="T10" fmla="+- 0 543 456"/>
                              <a:gd name="T11" fmla="*/ 543 h 96"/>
                              <a:gd name="T12" fmla="+- 0 5759 5751"/>
                              <a:gd name="T13" fmla="*/ T12 w 83"/>
                              <a:gd name="T14" fmla="+- 0 552 456"/>
                              <a:gd name="T15" fmla="*/ 552 h 96"/>
                              <a:gd name="T16" fmla="+- 0 5833 5751"/>
                              <a:gd name="T17" fmla="*/ T16 w 83"/>
                              <a:gd name="T18" fmla="+- 0 465 456"/>
                              <a:gd name="T19" fmla="*/ 465 h 96"/>
                            </a:gdLst>
                            <a:ahLst/>
                            <a:cxnLst>
                              <a:cxn ang="0">
                                <a:pos x="T1" y="T3"/>
                              </a:cxn>
                              <a:cxn ang="0">
                                <a:pos x="T5" y="T7"/>
                              </a:cxn>
                              <a:cxn ang="0">
                                <a:pos x="T9" y="T11"/>
                              </a:cxn>
                              <a:cxn ang="0">
                                <a:pos x="T13" y="T15"/>
                              </a:cxn>
                              <a:cxn ang="0">
                                <a:pos x="T17" y="T19"/>
                              </a:cxn>
                            </a:cxnLst>
                            <a:rect l="0" t="0" r="r" b="b"/>
                            <a:pathLst>
                              <a:path w="83" h="96">
                                <a:moveTo>
                                  <a:pt x="82" y="9"/>
                                </a:moveTo>
                                <a:lnTo>
                                  <a:pt x="75" y="0"/>
                                </a:lnTo>
                                <a:lnTo>
                                  <a:pt x="0" y="87"/>
                                </a:lnTo>
                                <a:lnTo>
                                  <a:pt x="8" y="96"/>
                                </a:lnTo>
                                <a:lnTo>
                                  <a:pt x="82" y="9"/>
                                </a:lnTo>
                              </a:path>
                            </a:pathLst>
                          </a:custGeom>
                          <a:noFill/>
                          <a:ln w="151">
                            <a:solidFill>
                              <a:srgbClr val="000000"/>
                            </a:solidFill>
                            <a:prstDash val="solid"/>
                            <a:round/>
                          </a:ln>
                        </wps:spPr>
                        <wps:bodyPr rot="0" vert="horz" wrap="square" lIns="91440" tIns="45720" rIns="91440" bIns="45720" anchor="t" anchorCtr="0" upright="1">
                          <a:noAutofit/>
                        </wps:bodyPr>
                      </wps:wsp>
                      <wps:wsp>
                        <wps:cNvPr id="373" name="Freeform 73"/>
                        <wps:cNvSpPr/>
                        <wps:spPr bwMode="auto">
                          <a:xfrm>
                            <a:off x="6981" y="455"/>
                            <a:ext cx="75" cy="96"/>
                          </a:xfrm>
                          <a:custGeom>
                            <a:avLst/>
                            <a:gdLst>
                              <a:gd name="T0" fmla="+- 0 7056 6982"/>
                              <a:gd name="T1" fmla="*/ T0 w 75"/>
                              <a:gd name="T2" fmla="+- 0 456 456"/>
                              <a:gd name="T3" fmla="*/ 456 h 96"/>
                              <a:gd name="T4" fmla="+- 0 6982 6982"/>
                              <a:gd name="T5" fmla="*/ T4 w 75"/>
                              <a:gd name="T6" fmla="+- 0 543 456"/>
                              <a:gd name="T7" fmla="*/ 543 h 96"/>
                              <a:gd name="T8" fmla="+- 0 6990 6982"/>
                              <a:gd name="T9" fmla="*/ T8 w 75"/>
                              <a:gd name="T10" fmla="+- 0 552 456"/>
                              <a:gd name="T11" fmla="*/ 552 h 96"/>
                              <a:gd name="T12" fmla="+- 0 7056 6982"/>
                              <a:gd name="T13" fmla="*/ T12 w 75"/>
                              <a:gd name="T14" fmla="+- 0 456 456"/>
                              <a:gd name="T15" fmla="*/ 456 h 96"/>
                            </a:gdLst>
                            <a:ahLst/>
                            <a:cxnLst>
                              <a:cxn ang="0">
                                <a:pos x="T1" y="T3"/>
                              </a:cxn>
                              <a:cxn ang="0">
                                <a:pos x="T5" y="T7"/>
                              </a:cxn>
                              <a:cxn ang="0">
                                <a:pos x="T9" y="T11"/>
                              </a:cxn>
                              <a:cxn ang="0">
                                <a:pos x="T13" y="T15"/>
                              </a:cxn>
                            </a:cxnLst>
                            <a:rect l="0" t="0" r="r" b="b"/>
                            <a:pathLst>
                              <a:path w="75" h="96">
                                <a:moveTo>
                                  <a:pt x="74" y="0"/>
                                </a:moveTo>
                                <a:lnTo>
                                  <a:pt x="0" y="87"/>
                                </a:lnTo>
                                <a:lnTo>
                                  <a:pt x="8" y="96"/>
                                </a:lnTo>
                                <a:lnTo>
                                  <a:pt x="74" y="0"/>
                                </a:lnTo>
                                <a:close/>
                              </a:path>
                            </a:pathLst>
                          </a:custGeom>
                          <a:solidFill>
                            <a:srgbClr val="000000"/>
                          </a:solidFill>
                          <a:ln>
                            <a:noFill/>
                          </a:ln>
                        </wps:spPr>
                        <wps:bodyPr rot="0" vert="horz" wrap="square" lIns="91440" tIns="45720" rIns="91440" bIns="45720" anchor="t" anchorCtr="0" upright="1">
                          <a:noAutofit/>
                        </wps:bodyPr>
                      </wps:wsp>
                      <wps:wsp>
                        <wps:cNvPr id="374" name="Freeform 72"/>
                        <wps:cNvSpPr/>
                        <wps:spPr bwMode="auto">
                          <a:xfrm>
                            <a:off x="6989" y="455"/>
                            <a:ext cx="75" cy="96"/>
                          </a:xfrm>
                          <a:custGeom>
                            <a:avLst/>
                            <a:gdLst>
                              <a:gd name="T0" fmla="+- 0 7056 6990"/>
                              <a:gd name="T1" fmla="*/ T0 w 75"/>
                              <a:gd name="T2" fmla="+- 0 456 456"/>
                              <a:gd name="T3" fmla="*/ 456 h 96"/>
                              <a:gd name="T4" fmla="+- 0 6990 6990"/>
                              <a:gd name="T5" fmla="*/ T4 w 75"/>
                              <a:gd name="T6" fmla="+- 0 552 456"/>
                              <a:gd name="T7" fmla="*/ 552 h 96"/>
                              <a:gd name="T8" fmla="+- 0 7064 6990"/>
                              <a:gd name="T9" fmla="*/ T8 w 75"/>
                              <a:gd name="T10" fmla="+- 0 465 456"/>
                              <a:gd name="T11" fmla="*/ 465 h 96"/>
                              <a:gd name="T12" fmla="+- 0 7056 6990"/>
                              <a:gd name="T13" fmla="*/ T12 w 75"/>
                              <a:gd name="T14" fmla="+- 0 456 456"/>
                              <a:gd name="T15" fmla="*/ 456 h 96"/>
                            </a:gdLst>
                            <a:ahLst/>
                            <a:cxnLst>
                              <a:cxn ang="0">
                                <a:pos x="T1" y="T3"/>
                              </a:cxn>
                              <a:cxn ang="0">
                                <a:pos x="T5" y="T7"/>
                              </a:cxn>
                              <a:cxn ang="0">
                                <a:pos x="T9" y="T11"/>
                              </a:cxn>
                              <a:cxn ang="0">
                                <a:pos x="T13" y="T15"/>
                              </a:cxn>
                            </a:cxnLst>
                            <a:rect l="0" t="0" r="r" b="b"/>
                            <a:pathLst>
                              <a:path w="75" h="96">
                                <a:moveTo>
                                  <a:pt x="66" y="0"/>
                                </a:moveTo>
                                <a:lnTo>
                                  <a:pt x="0" y="96"/>
                                </a:lnTo>
                                <a:lnTo>
                                  <a:pt x="74" y="9"/>
                                </a:lnTo>
                                <a:lnTo>
                                  <a:pt x="66" y="0"/>
                                </a:lnTo>
                                <a:close/>
                              </a:path>
                            </a:pathLst>
                          </a:custGeom>
                          <a:solidFill>
                            <a:srgbClr val="000000"/>
                          </a:solidFill>
                          <a:ln>
                            <a:noFill/>
                          </a:ln>
                        </wps:spPr>
                        <wps:bodyPr rot="0" vert="horz" wrap="square" lIns="91440" tIns="45720" rIns="91440" bIns="45720" anchor="t" anchorCtr="0" upright="1">
                          <a:noAutofit/>
                        </wps:bodyPr>
                      </wps:wsp>
                      <wps:wsp>
                        <wps:cNvPr id="375" name="Freeform 71"/>
                        <wps:cNvSpPr/>
                        <wps:spPr bwMode="auto">
                          <a:xfrm>
                            <a:off x="6981" y="456"/>
                            <a:ext cx="83" cy="96"/>
                          </a:xfrm>
                          <a:custGeom>
                            <a:avLst/>
                            <a:gdLst>
                              <a:gd name="T0" fmla="+- 0 6982 6982"/>
                              <a:gd name="T1" fmla="*/ T0 w 83"/>
                              <a:gd name="T2" fmla="+- 0 543 456"/>
                              <a:gd name="T3" fmla="*/ 543 h 96"/>
                              <a:gd name="T4" fmla="+- 0 6990 6982"/>
                              <a:gd name="T5" fmla="*/ T4 w 83"/>
                              <a:gd name="T6" fmla="+- 0 552 456"/>
                              <a:gd name="T7" fmla="*/ 552 h 96"/>
                              <a:gd name="T8" fmla="+- 0 7064 6982"/>
                              <a:gd name="T9" fmla="*/ T8 w 83"/>
                              <a:gd name="T10" fmla="+- 0 465 456"/>
                              <a:gd name="T11" fmla="*/ 465 h 96"/>
                              <a:gd name="T12" fmla="+- 0 7056 6982"/>
                              <a:gd name="T13" fmla="*/ T12 w 83"/>
                              <a:gd name="T14" fmla="+- 0 456 456"/>
                              <a:gd name="T15" fmla="*/ 456 h 96"/>
                              <a:gd name="T16" fmla="+- 0 6982 6982"/>
                              <a:gd name="T17" fmla="*/ T16 w 83"/>
                              <a:gd name="T18" fmla="+- 0 543 456"/>
                              <a:gd name="T19" fmla="*/ 543 h 96"/>
                            </a:gdLst>
                            <a:ahLst/>
                            <a:cxnLst>
                              <a:cxn ang="0">
                                <a:pos x="T1" y="T3"/>
                              </a:cxn>
                              <a:cxn ang="0">
                                <a:pos x="T5" y="T7"/>
                              </a:cxn>
                              <a:cxn ang="0">
                                <a:pos x="T9" y="T11"/>
                              </a:cxn>
                              <a:cxn ang="0">
                                <a:pos x="T13" y="T15"/>
                              </a:cxn>
                              <a:cxn ang="0">
                                <a:pos x="T17" y="T19"/>
                              </a:cxn>
                            </a:cxnLst>
                            <a:rect l="0" t="0" r="r" b="b"/>
                            <a:pathLst>
                              <a:path w="83" h="96">
                                <a:moveTo>
                                  <a:pt x="0" y="87"/>
                                </a:moveTo>
                                <a:lnTo>
                                  <a:pt x="8" y="96"/>
                                </a:lnTo>
                                <a:lnTo>
                                  <a:pt x="82" y="9"/>
                                </a:lnTo>
                                <a:lnTo>
                                  <a:pt x="74" y="0"/>
                                </a:lnTo>
                                <a:lnTo>
                                  <a:pt x="0" y="87"/>
                                </a:lnTo>
                              </a:path>
                            </a:pathLst>
                          </a:custGeom>
                          <a:noFill/>
                          <a:ln w="151">
                            <a:solidFill>
                              <a:srgbClr val="000000"/>
                            </a:solidFill>
                            <a:prstDash val="solid"/>
                            <a:round/>
                          </a:ln>
                        </wps:spPr>
                        <wps:bodyPr rot="0" vert="horz" wrap="square" lIns="91440" tIns="45720" rIns="91440" bIns="45720" anchor="t" anchorCtr="0" upright="1">
                          <a:noAutofit/>
                        </wps:bodyPr>
                      </wps:wsp>
                      <wps:wsp>
                        <wps:cNvPr id="376" name="Line 70"/>
                        <wps:cNvCnPr>
                          <a:cxnSpLocks noChangeShapeType="1"/>
                        </wps:cNvCnPr>
                        <wps:spPr bwMode="auto">
                          <a:xfrm>
                            <a:off x="7023" y="504"/>
                            <a:ext cx="0" cy="0"/>
                          </a:xfrm>
                          <a:prstGeom prst="line">
                            <a:avLst/>
                          </a:prstGeom>
                          <a:noFill/>
                          <a:ln w="163">
                            <a:solidFill>
                              <a:srgbClr val="000000"/>
                            </a:solidFill>
                            <a:round/>
                          </a:ln>
                        </wps:spPr>
                        <wps:bodyPr/>
                      </wps:wsp>
                      <wps:wsp>
                        <wps:cNvPr id="377" name="Line 69"/>
                        <wps:cNvCnPr>
                          <a:cxnSpLocks noChangeShapeType="1"/>
                        </wps:cNvCnPr>
                        <wps:spPr bwMode="auto">
                          <a:xfrm>
                            <a:off x="7023" y="1227"/>
                            <a:ext cx="0" cy="0"/>
                          </a:xfrm>
                          <a:prstGeom prst="line">
                            <a:avLst/>
                          </a:prstGeom>
                          <a:noFill/>
                          <a:ln w="163">
                            <a:solidFill>
                              <a:srgbClr val="000000"/>
                            </a:solidFill>
                            <a:round/>
                          </a:ln>
                        </wps:spPr>
                        <wps:bodyPr/>
                      </wps:wsp>
                      <wps:wsp>
                        <wps:cNvPr id="378" name="Line 68"/>
                        <wps:cNvCnPr>
                          <a:cxnSpLocks noChangeShapeType="1"/>
                        </wps:cNvCnPr>
                        <wps:spPr bwMode="auto">
                          <a:xfrm>
                            <a:off x="5792" y="792"/>
                            <a:ext cx="1" cy="0"/>
                          </a:xfrm>
                          <a:prstGeom prst="line">
                            <a:avLst/>
                          </a:prstGeom>
                          <a:noFill/>
                          <a:ln w="163">
                            <a:solidFill>
                              <a:srgbClr val="000000"/>
                            </a:solidFill>
                            <a:round/>
                          </a:ln>
                        </wps:spPr>
                        <wps:bodyPr/>
                      </wps:wsp>
                      <wps:wsp>
                        <wps:cNvPr id="379" name="Line 67"/>
                        <wps:cNvCnPr>
                          <a:cxnSpLocks noChangeShapeType="1"/>
                        </wps:cNvCnPr>
                        <wps:spPr bwMode="auto">
                          <a:xfrm>
                            <a:off x="5792" y="1127"/>
                            <a:ext cx="398" cy="0"/>
                          </a:xfrm>
                          <a:prstGeom prst="line">
                            <a:avLst/>
                          </a:prstGeom>
                          <a:noFill/>
                          <a:ln w="3154">
                            <a:solidFill>
                              <a:srgbClr val="000000"/>
                            </a:solidFill>
                            <a:round/>
                          </a:ln>
                        </wps:spPr>
                        <wps:bodyPr/>
                      </wps:wsp>
                      <wps:wsp>
                        <wps:cNvPr id="380" name="Line 66"/>
                        <wps:cNvCnPr>
                          <a:cxnSpLocks noChangeShapeType="1"/>
                        </wps:cNvCnPr>
                        <wps:spPr bwMode="auto">
                          <a:xfrm>
                            <a:off x="5792" y="1127"/>
                            <a:ext cx="398" cy="0"/>
                          </a:xfrm>
                          <a:prstGeom prst="line">
                            <a:avLst/>
                          </a:prstGeom>
                          <a:noFill/>
                          <a:ln w="3154">
                            <a:solidFill>
                              <a:srgbClr val="000000"/>
                            </a:solidFill>
                            <a:round/>
                          </a:ln>
                        </wps:spPr>
                        <wps:bodyPr/>
                      </wps:wsp>
                      <wps:wsp>
                        <wps:cNvPr id="381" name="Line 65"/>
                        <wps:cNvCnPr>
                          <a:cxnSpLocks noChangeShapeType="1"/>
                        </wps:cNvCnPr>
                        <wps:spPr bwMode="auto">
                          <a:xfrm>
                            <a:off x="5792" y="1127"/>
                            <a:ext cx="398" cy="0"/>
                          </a:xfrm>
                          <a:prstGeom prst="line">
                            <a:avLst/>
                          </a:prstGeom>
                          <a:noFill/>
                          <a:ln w="3318">
                            <a:solidFill>
                              <a:srgbClr val="000000"/>
                            </a:solidFill>
                            <a:round/>
                          </a:ln>
                        </wps:spPr>
                        <wps:bodyPr/>
                      </wps:wsp>
                      <wps:wsp>
                        <wps:cNvPr id="382" name="Line 64"/>
                        <wps:cNvCnPr>
                          <a:cxnSpLocks noChangeShapeType="1"/>
                        </wps:cNvCnPr>
                        <wps:spPr bwMode="auto">
                          <a:xfrm>
                            <a:off x="5792" y="1607"/>
                            <a:ext cx="398" cy="0"/>
                          </a:xfrm>
                          <a:prstGeom prst="line">
                            <a:avLst/>
                          </a:prstGeom>
                          <a:noFill/>
                          <a:ln w="2992">
                            <a:solidFill>
                              <a:srgbClr val="000000"/>
                            </a:solidFill>
                            <a:round/>
                          </a:ln>
                        </wps:spPr>
                        <wps:bodyPr/>
                      </wps:wsp>
                      <wps:wsp>
                        <wps:cNvPr id="383" name="Line 63"/>
                        <wps:cNvCnPr>
                          <a:cxnSpLocks noChangeShapeType="1"/>
                        </wps:cNvCnPr>
                        <wps:spPr bwMode="auto">
                          <a:xfrm>
                            <a:off x="5792" y="1607"/>
                            <a:ext cx="398" cy="0"/>
                          </a:xfrm>
                          <a:prstGeom prst="line">
                            <a:avLst/>
                          </a:prstGeom>
                          <a:noFill/>
                          <a:ln w="2992">
                            <a:solidFill>
                              <a:srgbClr val="000000"/>
                            </a:solidFill>
                            <a:round/>
                          </a:ln>
                        </wps:spPr>
                        <wps:bodyPr/>
                      </wps:wsp>
                      <wps:wsp>
                        <wps:cNvPr id="384" name="Line 62"/>
                        <wps:cNvCnPr>
                          <a:cxnSpLocks noChangeShapeType="1"/>
                        </wps:cNvCnPr>
                        <wps:spPr bwMode="auto">
                          <a:xfrm>
                            <a:off x="5792" y="1607"/>
                            <a:ext cx="398" cy="0"/>
                          </a:xfrm>
                          <a:prstGeom prst="line">
                            <a:avLst/>
                          </a:prstGeom>
                          <a:noFill/>
                          <a:ln w="3156">
                            <a:solidFill>
                              <a:srgbClr val="000000"/>
                            </a:solidFill>
                            <a:round/>
                          </a:ln>
                        </wps:spPr>
                        <wps:bodyPr/>
                      </wps:wsp>
                      <wps:wsp>
                        <wps:cNvPr id="385" name="Line 61"/>
                        <wps:cNvCnPr>
                          <a:cxnSpLocks noChangeShapeType="1"/>
                        </wps:cNvCnPr>
                        <wps:spPr bwMode="auto">
                          <a:xfrm>
                            <a:off x="5792" y="743"/>
                            <a:ext cx="316" cy="0"/>
                          </a:xfrm>
                          <a:prstGeom prst="line">
                            <a:avLst/>
                          </a:prstGeom>
                          <a:noFill/>
                          <a:ln w="2992">
                            <a:solidFill>
                              <a:srgbClr val="000000"/>
                            </a:solidFill>
                            <a:round/>
                          </a:ln>
                        </wps:spPr>
                        <wps:bodyPr/>
                      </wps:wsp>
                      <wps:wsp>
                        <wps:cNvPr id="386" name="Line 60"/>
                        <wps:cNvCnPr>
                          <a:cxnSpLocks noChangeShapeType="1"/>
                        </wps:cNvCnPr>
                        <wps:spPr bwMode="auto">
                          <a:xfrm>
                            <a:off x="5792" y="743"/>
                            <a:ext cx="316" cy="0"/>
                          </a:xfrm>
                          <a:prstGeom prst="line">
                            <a:avLst/>
                          </a:prstGeom>
                          <a:noFill/>
                          <a:ln w="2992">
                            <a:solidFill>
                              <a:srgbClr val="000000"/>
                            </a:solidFill>
                            <a:round/>
                          </a:ln>
                        </wps:spPr>
                        <wps:bodyPr/>
                      </wps:wsp>
                      <wps:wsp>
                        <wps:cNvPr id="387" name="Line 59"/>
                        <wps:cNvCnPr>
                          <a:cxnSpLocks noChangeShapeType="1"/>
                        </wps:cNvCnPr>
                        <wps:spPr bwMode="auto">
                          <a:xfrm>
                            <a:off x="5792" y="743"/>
                            <a:ext cx="316" cy="0"/>
                          </a:xfrm>
                          <a:prstGeom prst="line">
                            <a:avLst/>
                          </a:prstGeom>
                          <a:noFill/>
                          <a:ln w="3156">
                            <a:solidFill>
                              <a:srgbClr val="000000"/>
                            </a:solidFill>
                            <a:round/>
                          </a:ln>
                        </wps:spPr>
                        <wps:bodyPr/>
                      </wps:wsp>
                      <wps:wsp>
                        <wps:cNvPr id="388" name="Line 58"/>
                        <wps:cNvCnPr>
                          <a:cxnSpLocks noChangeShapeType="1"/>
                        </wps:cNvCnPr>
                        <wps:spPr bwMode="auto">
                          <a:xfrm>
                            <a:off x="5792" y="647"/>
                            <a:ext cx="398" cy="0"/>
                          </a:xfrm>
                          <a:prstGeom prst="line">
                            <a:avLst/>
                          </a:prstGeom>
                          <a:noFill/>
                          <a:ln w="2992">
                            <a:solidFill>
                              <a:srgbClr val="000000"/>
                            </a:solidFill>
                            <a:round/>
                          </a:ln>
                        </wps:spPr>
                        <wps:bodyPr/>
                      </wps:wsp>
                      <wps:wsp>
                        <wps:cNvPr id="389" name="Line 57"/>
                        <wps:cNvCnPr>
                          <a:cxnSpLocks noChangeShapeType="1"/>
                        </wps:cNvCnPr>
                        <wps:spPr bwMode="auto">
                          <a:xfrm>
                            <a:off x="5792" y="647"/>
                            <a:ext cx="398" cy="0"/>
                          </a:xfrm>
                          <a:prstGeom prst="line">
                            <a:avLst/>
                          </a:prstGeom>
                          <a:noFill/>
                          <a:ln w="2992">
                            <a:solidFill>
                              <a:srgbClr val="000000"/>
                            </a:solidFill>
                            <a:round/>
                          </a:ln>
                        </wps:spPr>
                        <wps:bodyPr/>
                      </wps:wsp>
                      <wps:wsp>
                        <wps:cNvPr id="390" name="Line 56"/>
                        <wps:cNvCnPr>
                          <a:cxnSpLocks noChangeShapeType="1"/>
                        </wps:cNvCnPr>
                        <wps:spPr bwMode="auto">
                          <a:xfrm>
                            <a:off x="5792" y="647"/>
                            <a:ext cx="398" cy="0"/>
                          </a:xfrm>
                          <a:prstGeom prst="line">
                            <a:avLst/>
                          </a:prstGeom>
                          <a:noFill/>
                          <a:ln w="3156">
                            <a:solidFill>
                              <a:srgbClr val="000000"/>
                            </a:solidFill>
                            <a:round/>
                          </a:ln>
                        </wps:spPr>
                        <wps:bodyPr/>
                      </wps:wsp>
                      <wps:wsp>
                        <wps:cNvPr id="391" name="Line 55"/>
                        <wps:cNvCnPr>
                          <a:cxnSpLocks noChangeShapeType="1"/>
                        </wps:cNvCnPr>
                        <wps:spPr bwMode="auto">
                          <a:xfrm>
                            <a:off x="5792" y="1031"/>
                            <a:ext cx="316" cy="0"/>
                          </a:xfrm>
                          <a:prstGeom prst="line">
                            <a:avLst/>
                          </a:prstGeom>
                          <a:noFill/>
                          <a:ln w="3156">
                            <a:solidFill>
                              <a:srgbClr val="000000"/>
                            </a:solidFill>
                            <a:round/>
                          </a:ln>
                        </wps:spPr>
                        <wps:bodyPr/>
                      </wps:wsp>
                      <wps:wsp>
                        <wps:cNvPr id="392" name="Line 54"/>
                        <wps:cNvCnPr>
                          <a:cxnSpLocks noChangeShapeType="1"/>
                        </wps:cNvCnPr>
                        <wps:spPr bwMode="auto">
                          <a:xfrm>
                            <a:off x="5792" y="1031"/>
                            <a:ext cx="316" cy="0"/>
                          </a:xfrm>
                          <a:prstGeom prst="line">
                            <a:avLst/>
                          </a:prstGeom>
                          <a:noFill/>
                          <a:ln w="3156">
                            <a:solidFill>
                              <a:srgbClr val="000000"/>
                            </a:solidFill>
                            <a:round/>
                          </a:ln>
                        </wps:spPr>
                        <wps:bodyPr/>
                      </wps:wsp>
                      <wps:wsp>
                        <wps:cNvPr id="393" name="Line 53"/>
                        <wps:cNvCnPr>
                          <a:cxnSpLocks noChangeShapeType="1"/>
                        </wps:cNvCnPr>
                        <wps:spPr bwMode="auto">
                          <a:xfrm>
                            <a:off x="5792" y="1031"/>
                            <a:ext cx="316" cy="0"/>
                          </a:xfrm>
                          <a:prstGeom prst="line">
                            <a:avLst/>
                          </a:prstGeom>
                          <a:noFill/>
                          <a:ln w="3318">
                            <a:solidFill>
                              <a:srgbClr val="000000"/>
                            </a:solidFill>
                            <a:round/>
                          </a:ln>
                        </wps:spPr>
                        <wps:bodyPr/>
                      </wps:wsp>
                      <wps:wsp>
                        <wps:cNvPr id="394" name="Line 52"/>
                        <wps:cNvCnPr>
                          <a:cxnSpLocks noChangeShapeType="1"/>
                        </wps:cNvCnPr>
                        <wps:spPr bwMode="auto">
                          <a:xfrm>
                            <a:off x="6108" y="743"/>
                            <a:ext cx="0" cy="288"/>
                          </a:xfrm>
                          <a:prstGeom prst="line">
                            <a:avLst/>
                          </a:prstGeom>
                          <a:noFill/>
                          <a:ln w="2717">
                            <a:solidFill>
                              <a:srgbClr val="000000"/>
                            </a:solidFill>
                            <a:round/>
                          </a:ln>
                        </wps:spPr>
                        <wps:bodyPr/>
                      </wps:wsp>
                      <wps:wsp>
                        <wps:cNvPr id="395" name="Line 51"/>
                        <wps:cNvCnPr>
                          <a:cxnSpLocks noChangeShapeType="1"/>
                        </wps:cNvCnPr>
                        <wps:spPr bwMode="auto">
                          <a:xfrm>
                            <a:off x="6108" y="743"/>
                            <a:ext cx="0" cy="288"/>
                          </a:xfrm>
                          <a:prstGeom prst="line">
                            <a:avLst/>
                          </a:prstGeom>
                          <a:noFill/>
                          <a:ln w="2717">
                            <a:solidFill>
                              <a:srgbClr val="000000"/>
                            </a:solidFill>
                            <a:round/>
                          </a:ln>
                        </wps:spPr>
                        <wps:bodyPr/>
                      </wps:wsp>
                      <wps:wsp>
                        <wps:cNvPr id="396" name="Line 50"/>
                        <wps:cNvCnPr>
                          <a:cxnSpLocks noChangeShapeType="1"/>
                        </wps:cNvCnPr>
                        <wps:spPr bwMode="auto">
                          <a:xfrm>
                            <a:off x="6108" y="743"/>
                            <a:ext cx="0" cy="288"/>
                          </a:xfrm>
                          <a:prstGeom prst="line">
                            <a:avLst/>
                          </a:prstGeom>
                          <a:noFill/>
                          <a:ln w="2858">
                            <a:solidFill>
                              <a:srgbClr val="000000"/>
                            </a:solidFill>
                            <a:round/>
                          </a:ln>
                        </wps:spPr>
                        <wps:bodyPr/>
                      </wps:wsp>
                    </wpg:wgp>
                  </a:graphicData>
                </a:graphic>
              </wp:anchor>
            </w:drawing>
          </mc:Choice>
          <mc:Fallback>
            <w:pict>
              <v:group id="Group 49" o:spid="_x0000_s1026" o:spt="203" style="position:absolute;left:0pt;margin-left:191.9pt;margin-top:4.2pt;height:214.6pt;width:227.55pt;mso-position-horizontal-relative:page;mso-wrap-distance-bottom:0pt;mso-wrap-distance-top:0pt;z-index:251664384;mso-width-relative:page;mso-height-relative:page;" coordorigin="3571,199" coordsize="4551,4292" o:gfxdata="UEsDBAoAAAAAAIdO4kAAAAAAAAAAAAAAAAAEAAAAZHJzL1BLAwQUAAAACACHTuJAe4FFq9kAAAAJ&#10;AQAADwAAAGRycy9kb3ducmV2LnhtbE2PQUvDQBSE74L/YXmCN7uJqTXGvBQp6qkUbAXx9pq8JqHZ&#10;tyG7Tdp/73rS4zDDzDf58mw6NfLgWisI8SwCxVLaqpUa4XP3dpeCcp6kos4KI1zYwbK4vsopq+wk&#10;Hzxufa1CibiMEBrv+0xrVzZsyM1szxK8gx0M+SCHWlcDTaHcdPo+ihbaUCthoaGeVw2Xx+3JILxP&#10;NL0k8eu4Ph5Wl+/dw+ZrHTPi7U0cPYPyfPZ/YfjFD+hQBKa9PUnlVIeQpElA9wjpHFTwg3wCtUeY&#10;J48L0EWu/z8ofgBQSwMEFAAAAAgAh07iQMDZgzVcwwAAUpkHAA4AAABkcnMvZTJvRG9jLnhtbO39&#10;bW8bSZIFjH6/wP0PhD7uotusd9JY74Ne98xggN69jW3dHyDLtCWsJGpJ2e7Zxf7350RmZVXGSxYp&#10;FvVeA4zottKVh5lZ50RERkb+y//z5/XV7Ptqs71c33w4yX6en8xWN+frz5c3Xz+c/P9P//rT4mS2&#10;vTu7+Xx2tb5ZfTj5x2p78v/86//3//MvP27fr/L1xfrq82ozw0Nutu9/3H44ubi7u33/7t32/GJ1&#10;fbb9eX27usEvv6w312d3+M/N13efN2c/8PTrq3f5fF6/+7HefL7drM9X2y3+9lf/y5P2iZt9Hrj+&#10;8uXyfPXr+vzb9ermzj91s7o6u8NX2l5c3m5P/tWh/fJldX73//vyZbu6m119OME3vXM/0Qn+/Il+&#10;vvvXfzl7/3Vzdntxed5CONsHgvhO12eXN+i0e9SvZ3dns2+bS/Wo68vzzXq7/nL38/n6+p3/Im5E&#10;8C2yuRibv23W327dd/n6/sfX227QMVFi1A9+7Pl/fP99M7v8jJWQncxuzq4x467bWbmkwflx+/U9&#10;2vxtc/vH7e+b9i+++v+i7/vnl801feKbzP50w/qPblhXf97NzvGX+WKxXCyqk9k5fpc3eVXm7cCf&#10;X2B26N8VVYPu8ets6bo9e39+8Zf2n5dVhd/Rvy3zZU6g3oV+3xG8Ds2PW6zIbT9M23HD9MfF2e3K&#10;jf6WhqAdpqoIw/Tb5c1qViwLP0yuzceb3zc0Gud/3vxx+9v6/L+2s5v1x4uzm68r97TTf9xifDP3&#10;HQgtHuv/Cf3HFgM8+/Tj39ef0ebs293aLSgxwFXZNG6gmtJ1fPY+jHKRtSPsxrYborP3t5vt3d9W&#10;6+sZ/eHDyRVguyefff9te+dHMzQh7Dfrv15eXeHvz95f3cx+YMaWGHX6z+366vIz/dL9x+brp49X&#10;m9n3M3qz3P/aqWHNsIJvPvtOrm4wc+GL0sravv+0/vwPt6rc32Pu/F8//CSWYhLdsmIzMk1iP9fP&#10;dBKx3j1htW+ie6+exSTWnq+O/SbiFa9f25uIoWKT6Mbs8SaxWIIKIC112RB9RXS6hB1EonPsSXyN&#10;dApJiidx0ZoOkcA9KJ1Ok3gv+y9h2GC9s0lcPK5hMzCJy4d5E18jnWKo2CQ6Vns8Og3WaTYvnBpH&#10;fPpQ5ukrnMUa3imbxfpxX8VpFn8+AqHWnUPt7VN4wLAwnse7+FAGapEtXpmBWufiXSyfaBazXFqo&#10;D8io5WubRRG1WTxR1CabZnGvyKdtotYibLN4orCNNYuvglFvL8/f4/9toBl/UhHU3eF9/Ku7bxsK&#10;MdLTbr7/fnlOQVH6jz6KWnexG/yams+KhTMYQzP/jxC8vDzncdRftrcI6lMQtQut/rLZrH9crM4+&#10;I+DrY6v8Ke/oPxmQT1eXtyGQSX8+7ubDbPN+df1phZj65u+fM8ekCNIi2BriC25j4H/zxS/z+TL/&#10;t58+VvOPP5Xz5i8//bIsm5+a+V+acl4uso/Zx/+jf52V779tVxiGs6tfby/DLkVWqskxjZZ2p8Lv&#10;L7h9ijZmSzqGMDGghU8HEX9FQ+JjvOf/icF2cZHt3WZ1d35Bf/0FIeD279G4+4Ub5n5kadAppE3/&#10;QgSxy5Ii+hTtz3Nn2kZuQtlGscv5jsDLBsjc2O4TxyYQXWAboF0sukfooOM/Hyn8XHdBr79uViva&#10;KsPyjwNf3V7LnrsCJe2o2ANalm0cq8r9u9HPxvk3vzFAgxMGETtYn9uV+vVz64Sc4tlfrq+wL/bP&#10;P83mM3SWuR+0gKh9aIY59c3+6d3sdD77gUYuhhC3gTUVPSprymaGRdBaNv2jINfdo1yji1mLP34Y&#10;5CB6WLmolyYurKjuYaeljQszEj2KIJm4EOjqHuUambgw4tHDkrjgq3cPO13YuDI+9klgtHvXPYwj&#10;w3Lv5vTswu/5uHBcO8/YrJphh4oinTSft+st7cid+jf01BlKeARa0W8TjTHEeJ1P3TzubIzvTY0B&#10;2TOQe7T/Vy0kerflju3G7dh+8ovu9uyOvonDiz/SNpVb6BcfTmid0N9fr7+vTteuxV2/NVn5rUf0&#10;1v/+6iZu554TxX39b/EPqE/HlF3nhDl6hzqCCTtnGWiOALAdse1+G2e0Jffr2fbCk7V7gv/q+2zG&#10;zDZrSCSWDvb58YeL9eZ/TmY/sMv94WT739/OoM6zq7/fQC6XWVmi2Z37j7JqiEY28W8+xb85uznH&#10;oz6c3J1gwdAfP975rfRvt5vLrxfoyX/fm/Uv2L78cul2F8nh9ft87fbf423z1V1cuufZJo5N35tn&#10;C4S2bZ6tKlAb7RfUJd+j5mvkPjxbLEG2+LGTZ6lvwcWCZxf1wuQzxrPU6GLW4h/g2WWZm7gUzxq4&#10;DudZA5fg2RQuxbMGrjE828/4W+BZt9DBs/St0zxbl4HdUzzrnjPxbMvAL5tnu62jiGfj7aP782yV&#10;4tkaW+COZ5s6mCbBu4i1+F48W8FuLNCj4NDYpHL2LPUt2gieXS6Wu3mWGl3MWvxpnq3mWWXiUjxr&#10;4DqcZw1cnGeTuBTPGrjG8Gw/42+BZ91CB8/St07zbIP4NJbkgD3rnjPx7KvgWbxhfl8w4tl4h/f+&#10;PJvj3cbigMcoAjENbUKSPbvwsXKssNE8my/AZ+hRcKjiWepbtOE8m2fz3TzrGl3MWvxDPLtoTFyK&#10;Zw1ch/OsgUvy7MIeL8WzBq4xPNvP+FvgWbfQwbP0rdM8u/B7DQM827QmSwhbhqhC+Lx1UQjX28TG&#10;r4GNGxCkYuM4U+PebJwvfW63ZuMFbX0RG2fzuduAPgIdo7cZMupV7FXRMXU+TMd5Md9p9ubU6GIW&#10;vsAAH2c14h4GMMXHBrDD+dgCJgg5qxH4NoApQjaAjSHkAA2T/hYY2S12MLL72mlKxq+DB5iKMSxg&#10;O5N5M8zJrj/VCoM9RXxfWsSXThEpTo7zru7PybRZR8SrLORlDXpwnJzlrotjcHJdg2HQpeBbxcnU&#10;uWgjTOSiynZzMjUCJ7dfYICT86IwgSlONoCN4GQDmODkvChNYIqTDWCjOLmf9LfAyW6xEyfT1x7g&#10;5CwP5kmKk5e0K6PYlrbM4l04159qNXEybM4Xx8kgJsXJcRbl/Tm5AO2YnJzNG/TmSDlHJgkY8hik&#10;XCAOm6NPQbiKlF3vopFg5bLJd7MyNQIrt99ggJWLOcmFRqZY2UI2gpYNZIKWizk5FxqZomUL2She&#10;7uf9LfCyX/BEzPS9B4i5H5YUMeNRWNGKcyUz+x5Vs4maXyI1d2nRUUA5To2+PzUjPJGg5qwBLTlq&#10;LryBewxqnhM1z/egZup9mJqr5R7UTI1Aze03GKLmBpuKBjJNzQayEdRsIJPUvKDwih4zTc0GslHU&#10;3M/7m6Bmt+CJmul7D1BzgWxob6kkqRk5kPtQs+txouZXEV3GhCur2e31tifI7k3NWeODYTqSgUMp&#10;ePkdNZeLkMM5drcPS3ZW0roVrKutZupdNBJWc5MVu61magRqbr/BADWXFfLXDGSamg1kI6jZQCao&#10;uawQZTGQaWo2kI2i5n7e3wQ1uwVP1Ezfe4Cakbu9i5rzBpOoOFdZza5H1Wyyml+i1QyiUNTs0h0P&#10;pmbkUias5gLb0p6a67kL+R7Bas5KoplQQKo/daGpmXofpuYF4q9QFLWLCNTdeYScGoGa228wQM1V&#10;DnveQKap2UA2gpoNZIKaqxyhFgOZpmYD2Shq7uf9TVCzW/BEzfS9B6i5ngdLJWk1F0ja2IOaXY8T&#10;Nb8KqxkcoKjZ7f4eTM1ZkprJdvDU3PiktmNQc0a2KfoUrKup2bAmhdW8rKrd1EyNQM3tNxii5iWy&#10;0QxkmpoNZCOo2UAmqXmJUIuBTFOzgWwUNffz/iao2S14omb63gPU3A9LkprJsN6Dml2PEzW/Cmo2&#10;DuPVow7jzVEyIGE1V0v8ygU0Fr6O7RGoGd3NSupzJzVT76IRp2bsjtU7qdk1AjW332CAmuvGRqap&#10;2UA2gpoNZIKaU8g0NRvIRlFzP+9vgprdgidqpu89QM39sCSpucKJU03NU6TiJUYq8DpKc9gnjh1q&#10;Ds8rvziyumgjA6H+dFaE0h2oUhsSM8cGkdEdOBd9CjrV5jD1LhoJzs2W4Ny6UAHpOFJRUCNwbvsN&#10;BjgX5SpNZJpzDWSCcwHKRAbF7GIohDyBTHBusUQMxRgzzbkGMsm5KWi83gTHBqp4E5zrFjxxLq2W&#10;Ac6tdp7Rw7uz1/6e63Eyh1+FOYzXUVGzi2gdSM1VmXmXSu/v0Zk7Zw23RbbGG8PorJnRD8m5ipiN&#10;836clxHns2vtxLzsGl2EImEDtNyUpYlL0bKBS7DyPWoAteMa4xKknMKlSNnAJTk5BYxzMrXqRuyN&#10;ULJb6GBkmo80Ibe1tjAmKRu4wH7GZAKH6kAvujYF6qppnh11Sm+e4aWFCGcNit06k7M3gRtwiAs7&#10;VP4em/FMW6I7mHPoU1i3immzAr2LRpxqiwKs3cPuN/5iqnWNyAQON/H0zWCjeHvU1YGrvAmskSmu&#10;tZAJssVYmsiYCUyNbGSCbb0JrJEptrWQSbpNQeN0y7G9Eb51wzdzJjBWS5pxw2IaoFw8CutG2bYq&#10;j4IWuW6GB0+H9V7awRAK3yoT2Hnxh5rADW6qctSsDuvh1JIj5tzx6HhartDVjH5IxlW07M8GxqYh&#10;J2UcqNodC3aNLmYeffwsQckLMssNVIqSNSpByCkjkxGytzE1KkHHKVSKjjUqScYpWJyMY1xvhIpp&#10;gYOIMRdpGu4Wf8rupYcoCp649QVGfinzRXHrmEN3VdmVvqzaSGswewucw/fhBV+H8gjsWqL0ZYUf&#10;O9mV+h60edvwgq7cFtu8Ibyg62gKfnWsb+BS/GrgkgTraF/j4gSLRnDiNS7BsM2yMMdLMayBS1Fs&#10;Apig2BjZG+FYt9ApvID5SLMsztTTksSYpGi2mHszZbgshettYuPXEOylHF7Fxo64DrR0C1yo6y3d&#10;RSDAwMYZbhJogxC1P387no+pO1x1iz4F1ypr1/UuGnF7tygLuPod7D66EBOyawRXv/0GAxYvBSEs&#10;ZIqRLWSCkgHKRMYomRrZyAQnUxDCQqY42UImSTkFjZMyx/ZGWNkveApC0GpJ83JYTAPEjEdZ0QUV&#10;hHCv2ETNr4KaYeEpah5zzs6533YQIlwpm2XOEh/Py/tHIdD1ICtjB3p3uSDXCNzn4Q+Q8oLM933C&#10;EBqWoOSUv88o2bv7BizByClYipE1LMnHKVycjxmwN0LHtMiJjLFIBri4ewNSNjI9ZmLYV8GwMMUU&#10;w445LldRQo1j2AKXlzhaC8Yvaky2cV5UmcJvjkCxSO6ZoUcVZlCmL/U9zLEu0wFEK5vFlm8bisg9&#10;/gGOdaEIA5cyfA1cgmQd9xu4GMlSI0SgNS5Bsi4UYeBSJGvgkiybAsZZliF7IyzrFjrFezEfaZpt&#10;KwliTFI0myMmrHlWGryut4mNXwUb491XbOyI6+BQRAWewOLIFiE+ENgYx2VBDi4fAgcBjsPH8Kop&#10;FFEpe1bxset9kJCLCs/qYSdCEdSIHH7/DQYY2YciNDLFyBYyQckYSxMZo2RqZCMTnOxDERqZ4mQL&#10;mSTlFDROyhzbG2Flv+BdKAKrJc3LWEwh9psiZjwKS0JxrmRmNPNvX3jedF0drgL0F9m9uHwIzKSk&#10;Zn8r0YHUPBCKQBZYy8zHSlTbPxZBfQ/yclaiDMSuohKuEdhvZ5rakgz4fYIRBi7Byimvn7Fy6/Rr&#10;XIKUU7g0KevxkpycAsY5mSF7K5RMC50YeThBzUd8Bgxl98IoOsY/mPLOXhzP4kVUPOvsyUN5ljYe&#10;nAkM4vLU1pnAZBz7g8guqIwFM/JMHFzrekY/JIdqAxh9D/OsC0h0mG37tw1IZP4CnAHz1wUkDFza&#10;/NW4BM86/jdwMZ6lRuB/jUvwrAtIGLg0z2pckmdTwDjPMmRvhWdpoRPPYj4GDF8/W0M8S/c7Kp5V&#10;Zi/1plpNbPwSM9XwHio2HnMQrlhS8QcsjmyJYvCOADs2Lqk8sQ9IFEfiY+oOAQld8kHzMfU+SMhF&#10;PcdJ4CUKdYpmcYTYNSK333+DAUb2AQmNTDOygUxQMkCZyBglUyMbmeBkH5DQyDQnG8gkKaegcVLm&#10;2N4KK7sF7wISWC0DvFwXIT6XDkhQmqfiXMXMrkfVbKLmF0jNVAhEUfOYs3MDAYmcTsATM+eLR0+O&#10;oL4F4fKctazKdl9w5xphh8zjT9NyPScDfp+AhIFLsHLK72es7N1+Axcn5SQuRcoGLsnJKWCckxmy&#10;N0LJbqGDkWk+0oSMkqm0JDEmKT52z5l49jXsyZG9qnh23EE41E51JjCIy1NbMIGx6hzNdgGvseGI&#10;BlcxV/ghGVSZv5oXBcm6aEQHeDAa4dGnObYNRmtUyvTVqATFOuo3UDGKpUYXM42KMyxQUShao1IM&#10;q1FJgk3B4gQb43oj/EoLHPSKuUizq7/0doBcKWFfcas0dakn1QgPnSLCLy0iTMeGFQE7m/DAiDDy&#10;yP3iwD07bRA2EHCGAgttDKIqj5SkRt2hSIS+p1mRsOt90NZ14QXAVgkWVgyi/QYDROyLRGhkiogt&#10;ZJyKCdTMQhZTsWuEGISBTJAxxSCsMVNkbCETdJyExuhYYHsjhOwXPMUgaE7SpIxfO99ygJbxKLik&#10;inMlMfseVbOJml9iDAK0o6h5zNG5gRgEyuN4Zi58YWIsmNHW8b5lIqjvQV5GDZU9kiKoEQ4Me/xp&#10;Wq4zZ7Xr8hWKlg1cnJUpT8NM1ohZ2TUycXFSTuJSpGzgEpycBMY4mSN7I5TsFjoYmdZJmpALXyp2&#10;gI/dcyaefRUxCNirimfHnYML5dmrZRte7UzgYACHGNdoll1QMR6dCaDN312ZZz4GsWyzOAZjEJna&#10;pcMQxvXRXEKEgUpxLAhJUL+gWEf9+CGbMYr11K9RcYZtYxB6rBTDalSSYFOwOMHGuN4Iv9IAkME7&#10;WBY47D+nArw02opblamLnlQjjPIUg3hxMQjQgiJgRwyHxiBQUs8tjhypsp45OgLO4d77PIiyK049&#10;koRLdIdreNCn4DJNwtS7aMRDwT4G0cG2aTjkQbTfIG3s+kKVBjJNxAYyTsU0lrN+QHtkMRW7RohB&#10;GMgEGbsYhIFMk7GBTNBxEhqjY4HtrRCyW/BEyTQnaZM3TNmAzYtSfP614icuFDG7HidqfhW2MThA&#10;UbOb/gOpuVpUPjwM77PN4w3U7EpYUx7E8Wq1L3DFG3pU1qMiZqP2OOfltpja8G2foZiavimJ28c1&#10;UkVNXIqWDVyclZOufszKwdPXuDgpJ3EpUjZwCU5OAmOczJG9EUp2C51iEJiPNCFPtdr/+9vZZnUy&#10;u/r7zRa7mlmJkgezO/cf7TG3TfybF12rHduyimf99W0H8myZt05UjiClMIGzBXjGpQIXzbG24dDd&#10;zPUprFvFtBn1LhpxqvUmcAe7NzStbbj2G+wygWk0RKeKay1knGxpLGf9gPbIYrJ1jWACG8g428I4&#10;xzacgUyxrYVM0G0SGqNbge2N8K0bPh+VwHpPM26YsiETGLfMGWEHZQK7V2wygV+FCYy3VprA5agz&#10;c8v2jhUYPw9vAi/zxazCD0l/ipgNk47z8nFN4JxMcwOXomUDF2flpKUZszI3NGO54KRcp3ApUjZw&#10;CU5OAmOczJG9EUqeTGCy6z6tP//j981ss777cALb9vtqgz9crDf/czL7sTm7/XCyfUsmMN4wxbPO&#10;PD3YBG5zGfMi3CofQg0Z3ZnuTeB8eaStuBKJ6zDnfPZ6TDCKaV3vwhrlVOtN4A52b2haJnD7DeIu&#10;ebjBR4ENZIprLWScbGksZ/2A9shisnWNYAIbyDjbtiawHjPFthYyQbdJaIxuBbY3wrd+wVMUmOZk&#10;wATOfWLMoAlM46lsW20C0yummuHB0wbdS9ugy+ZQJ8XNY47D1XN6JFYHrJ8Ht4HRWTajH8/NBoYV&#10;ZOJSvGzYmpyWk6ZmTMvc0oz1grMyjlfbuBQrG7gEKSeBMVLmyN4IJ9PgUVRiCgNPNjBG4PIz2BAc&#10;pYnWxUsPNYJR6dERbV4sBdFm8wIvtIsD5zg0B4MUL97YVIgCl+OU+LGTal3v+xjB/sRSzFamEey/&#10;QdzMMoINZIpsLWScbTGWiAPjh/yWMdu6RmQEa2Scbr0RbCBTdGshE3ybhMb4VmB7I4TrF7wzgjEn&#10;Q0Yw7pHxr0M6Q43quyrrVhnB7hVTzSYjGMbfyzOC4c8oI3jMUTlk3ILKHs0IbkoYm42q96DCE4ZR&#10;x6MTxw0E44ZnE5fiZQMXp+WkrRnTMjc1Y73grFyncClWNnAJUk4CY6TMkb0RTp6M4CkQ/C+tbdsZ&#10;wWBFRbRjDr6VCMt6I7gMKVAhEryswSHOBs7yYwWCyxz31uOHtA4V01Lne5jApT6yYJnA7ReIKc0y&#10;gQ1gimoNYJxqc2Ca0Q+JP6Za1wgWsAGMc623gA1gimsNYIJrk8gY1wpob4Rs3WIn+5dmZMD+hRLt&#10;sH+XtfcqhzOBXX+T9fsasiAyKh+pSNktkwMjEzUyzh/P+s3KZoYelceuONmw5h7U+iWr3MClKNnA&#10;xSk5aWTGlMxtzFgqOCPXZQKXYmQDl2DkJDDGyBzZGyHkyfqdrF9l/eLVV0Q76jRcRVFlyHBeBXsz&#10;WL8LbAZ763eOeNZxIsDVPJ+V+CEtQ8W01Pke1m+l712zrN/2C8SUZlm/BjBFtQYwTrUYSMR/DWAx&#10;1bpGsH4NYJxrvfVrAFNcawATXJtExrhWQHsjZOsWO1m/NCMD1u/cH+TEqKSivwuqmqXsWhn8df2p&#10;VnjslADx8mK/IABFymPOwdUZlRjG6oDdI/blCjplSSGJMnM7f1gxI3flqDNYmehR8K3iZOpbtJHW&#10;7z63JdfuxswWf5qSa5TFMnEpSjZwcUpOGpkxJbc2poGLM3ISl2JkA5dg5CQwxsgc2RshZLfQQcg0&#10;H2k+LndemOyeMxHt6wgz4H2VRIs0BXDSgWEGHBWEHYjVkddVmwDWWb85KJiIdlkdK/RbNTjShR+S&#10;RBXRLtD3INH6FOAOc59oaxi/Lf400cLERJVMA5ciWgMXJ1oaRtyFHMayxxUTrWuEqsB+XGNcnGhb&#10;01ePlyJaA5cg2iQwRrQc2RshWho8VxkY85Em2v4tSNq9GeZFEa2ye6k31WqyezEqL8/uxfuq6HjM&#10;4bcBu7cMN9hXyA0GNz6m3Ut9D9Jx1uS1WesxpmPX6GLW4o9pj4ci6jq37XFFxwYuTsdJ8zKm49a6&#10;NHBxOk7iUnRs4BJ0nATG6JgjeyN07BY67F6ajzQdl931tCk6ds+ZiPZ12L14xRTROl/8ULsXWzje&#10;7m3ChZnB7m3oN2T3LroypyMDDGVdLmb0Q5Kosnup70Gi9XZvo4upxUTrGl3MWvxpovV2r4FLEa2B&#10;ixNtDkgz+iHhx0TrGpm4ONF6u9fApYjWwCWINgmMES1H9kaI1i10EC2tkzTRLvwGA8YkRbRNu1Md&#10;zBJ/07y0e11vEx2/Cjqmd0zRsYvTHkjHA3ZvRbcLEh2jUhmRy2PavdT3IB1niyzbbfdSI9i9urKP&#10;tHtxC5AVh1Z0bODidJw0L2M6DtalxsXpuK4TuBQdG7gEHSeBMTrmyN4IHbuFTnYv5iNNx5W/AWqA&#10;jt1zJqJ9HUQLC1ER7agDb00bfsoXuYj31hQJJqJtfMGB8URbNnk2ox+SRJXdS30PEq23ezvMfVzV&#10;sHtb/LvsXgOXIloDFydaGkbc7Km/Yky0rtHFzMDFidbbvQYuRbQGLkG0SWCMaDmyN0K0bqGDaGk+&#10;0kTbvwUpu7duzycN272ut4mOXwcdY7df0fGoM27pPIeqAdMQHcP8enS7F30P0nG2WO4R76VGF7MW&#10;f5qO66au97R7NS5Ox0nzMqbj1ro0cHE6TuJSdExzJcZL0HESGKNjjuyN0LFb6KBjmo80HfdvQYqO&#10;3XMmon0dRAuzThGt88UPDDCUuGHXx3uXc5FQVlP+ryPabkthbLy3oXwC/FCkEO4B+qd3s9P57AdO&#10;9irbmCeUebu3wzxo99Yef5pofbzXwKXtXo2LE20OSDP6Ib9iTLSuEQRA4+JE29q9erwU0RrjJYg2&#10;CYwRLUf2RojWLXQiWszHANF2F4CniBa1oowMBhnvdb1NdPw66BiRAUXH4063JfN7axR292EIXIUB&#10;o2p8GIJCqqZ9qcMQvqh8zKCcjrPlYo94LzWCu+/xxw8T8d5FsTRxaTrWuDgdJ83LmI5b69LAxem4&#10;TuHSdKxxCTpOAmN0zJG9FTqmhU5hCKyTNB23s4UxSdIxPWci2tdBtHj1FdE6E/FQu3dBFRywOvJl&#10;ON8Q8hwqqvrg7N4uhXys3Yu94lnZbhjHvKeIlvoWDjMn2tbuXSrz2Ij34oCwfBgnWm/3GrgU0Rq4&#10;ONFiGBHvxQ/ZY0y0rhHsXo2LE623ew1cimgNXIJok8AY0XJkb4Ro3UInuxfzkSba2l+QOkC0VXsx&#10;wXC81/U20fHroGO8/IqO3fQfSMcDeQ4Nqoo4Oob19dh2L/U9SMf5vN59x7xrhPQujz/mf07H9RJF&#10;0vfKczBwcTpOmpcxHbfWpYGL03ESl6JjA5eg4yQwRscc2RuhY7fQQcc0H2k6XnQn7lN2r3vORLSv&#10;g2jxvkqi9RXCDiTaconVRXZvMQ/Hp4LdW1LJX7J7K98DXruxdu+yxPVu+CFJVNm91Pcg0Tq7F5hV&#10;XNWwe1v8aaL1dq+BS9m9Bi5OtARpZuGKidY1QqKbru3GidbbvQYuRbQGLkG0SWCMaDmyN0K0bqGD&#10;aGk+0kTbuhYDdm/Z3kk7bPe63iY6fh10jPdV0fEDnWtrli0dL/NHj/dS34N0nGfVfGd+r2uE47we&#10;f5qO6+Wi2tPu1bg4HSfNy5iOW+vSwMXpOIlL0bExXoKOk8AYHXNkb4SO3UIHHdN8pOl42dVZTdq9&#10;9MJMRPs6iBavmCLaMefaUMwMYQSye8tQQiHYvVmFzsjuba8YHm/3orMCx3l94CzmPWX3Ut+DROvt&#10;3g7zYJ6DcUUyDzBUWZOZuJTda+DiREvDOOvHsscVE61rhFpmuw5SJHEpojVwCaJNAmNEy5G9EaJ1&#10;Cx1ES/ORJlq6qhhLcsDuzSro5ES0r4Jo6dSDIlrnZB8YYIgiuaEoWCDaRQn+I6JdNs5mHk+0+2cw&#10;UN+DRJvnBUVysbRFszjA4BrBovX4Y2bnRNvMC9xOYVROU0Rr4OJES5BMXDHRukYmLm7RJnEpojVw&#10;CaJNAmNEy5G9EaJ1C50sWqyTNNEucav8MNG650xE+zqIFtyniHbMibUqz8AUWB0FLtbxpBWINsO6&#10;c0SbdzdSjYzkorMG8ctMlTHQFq3mRpHBUCAZApgVH8dEW1Cji1mLP020LpJr4VJES2MimJ0TLUEy&#10;ccVE6xqZuDjRukiuhUsRrYFLEG0SGCNajuyNEK1b6CBaWidposX+6w6izUDF2qKVmbuut4mOXwcd&#10;g5QUHTvH50C7t5rDq3J0XOHOC8c0gY4XIBoXXzhWgTL0VcOPx3MFoyk21k0EGdfzclZUcxXuZWRM&#10;jagkudrH41Zv68brPhUZ6yaCi4HIhMW4mBqZsAQX+6iH7lNxsW4iqTiFi1MxA/ZGqBhjR0m7tEjS&#10;TNwdJErFcNt3iO+oYQSn2ucvrgYk4vWaYcccVesjC0VIy+oYliJSLrLQHdIZafDeI7KgQwacY/MC&#10;odKs8PsXsSkbc6xrBA/e449bcY5t5iiZtl9kQePiJEuQTFwxybpGJi5OsklcmmQ1LsGySWCMZTmy&#10;t8KytNApsoB1MkSzOyML9JzJlH0dpiwYQpmyYw6hIfMFby1FFvKyNQwD0WawFL0t2931N5JokYQz&#10;p8woZVsqW5b6FvYuJ1oXNOgx93tSMdG2kQXstMuHcaJtIwsalzJmDVycaAnSzMIVE61rBGtW4+JE&#10;20YWNC5FtAYuQbRJYIxoObI3QrRuoZM9i/lIE207WxiTlEHrLkBURKsiC/RaqVaT3fsSa5/nmEpF&#10;xy7YeWhkIey3FhV4mUUWkGHg2dgxI9bLWDLGFvGssjbZZYEGndsguNgHFjRNMS5uAwuK1wUVOwfe&#10;QKWpWJWlFExcQWwK/JDcz5iYGoGJFSpBxClUmogVKsnDKVich2Ncb4WGsVyIhQcTFnbmK2BpTuT6&#10;OmxdvM+KXN3bfCC5RkGFRbu5FWzdBQ5ItHFbv+81nl/vEVUIpzN6K5YTbF4i+pkVC7WrFROsa0Qh&#10;Ur1xxym2oXNs+4UVNDDOsYTJBBZzrGtkA+MsmwSmWJamS7gHgmaTyBjNCmhvhGjdYnfxWyyVAYO3&#10;XUkYlZTF65400e3roFu8s5JucZkTXrMD6bYqai/GRRGuzgl0W+AXFMLtrlEda8sWNZJw8UOxgrRl&#10;0bMgDk61Pq7QAe4ZOabaNq6gL3rgROvDCgYqZctqVJxnaQRn/TD2qGKedY0uZhoVZ1kfVDBQKZbV&#10;qATJJmExkmW43gjF0gIHw2Iu0vzaLf4UuxYIiylyleEE6kk1wihPu2gvbxcNL6piYGfzHcjAvcFb&#10;Vi3vBQZ2N0/7RIVuHY4k4XsYvLuudc9LuOVZqe+GjFnYNSK7UjMe5+Fmvtiz1oJxezonYsJkAouJ&#10;2DWygXEqTgJTVGwAE1ycRMa4WEB7I2zsFrszeAcJOaykIYPXvNZ9otsXGbzFW6bo1sUFRtMtsqO8&#10;mRnodklvq6dbf1ICS+bR6JY6HzR6c7qTOKuy4fgCNSJWC0c9eitU0u1yz5KOBjBBt8BkAmN0S41s&#10;YIJukbBkBj4U3RrAJN2mkHG65dDeCN26xe7oFkslbf+GlTRAt8s5pkZZt9IEdv2pVhMpv0RSpgt+&#10;FSkf54xatRA28JJq2XlS7o7nPB4po/NhUq6xP4ftQBXTYDYwNSLu819gIJcsy/a8X4JGRQCTpLyA&#10;DWwA46SMRjYwSco4bWJFozUpa2CKlBPIBCkzaG+FlGmxO1LGUhkiZV92aYiUc6wHRbeKlKk/1Woi&#10;5RdJyghEKVJ2OzCjLWW6gtixTWcpl7AmPSkv3a+wZB6PlNG54D4eHs6bspxlxq28jJSpEXGf/wJD&#10;pFyUJvepAPFSAxOkDEwmMEbK1MgGJkk5AUyTsgYmSTmFjJMyh/ZWSJkWuyNlLJUhUl7uOtVGC2Si&#10;25NXsRNHIX1Ft2POq/Vx4AaVcTjd4myup9vs8RMflvpgsKDbRQ4buNEJaIxuqRFYrf0CQ3Rb7Vmp&#10;wQAm6BaYTGCMbqmRDUzSbQKYpls9YpJuU8g43XJob4VuabET3dJSGaBb+Er0lmBUUltztEAmun0l&#10;dAsyUXTrvO7R1m0T3PLOug3VGrLs8bfdjFI2gm4hn2C1ALoP8DK6pUbEaju33bJ6z+NrBjBJt01j&#10;AuN0i0Y2MEm3CWCabnUhCUW3CWSCbhm0t0K3tNgd3Q5vu/WvQpJu6UlTMOF1WLdwVBTdOqt0NN0u&#10;Smndhrq6WfYE2266gK2kW2yUoQTfcIR3iUbEaju33VDqb89gggYm6BaYTGCMbqmRDUzSbQKYplsN&#10;TNJtChmnWw7trdAtLXZHt8Pbblm107qlJ010+zroFlOp6HbMEbU+mLD0FcfO3gfrFmcPwHAueEtV&#10;lrwL9WjBW9f7YPS2mC9g33awbfvWNSJe02YwlOvL9dXZh5N//mk2nzX5fM+0MguZYFyAMpExxqVG&#10;NjLBuClkinEtZJJyU9A45XJsb4Ry/YJ3nIvVMhRR6F6HlInrHzWR7usgXbzdinSPc3Rt2QgbF1mL&#10;Ibcse/wdM9f7MOlSGADIWtgJ0qVGRG07t8zybM/kMguZJN0mN5Fx0kUjG5kk3QQyg3TDeZh+MBTp&#10;JqAJ0mXY3gzp0oJ3pDu8a5bt3DXL5rgWaLJ0X0kcF6+tJF3kD4KcxgYW8u6IQW/pluASZ+lSad5H&#10;t3TR+zDp5jin0MPueSaO5BbUCNTWfoOBjbO82DN5DCVQFDJOugTKRBaTrmtkI5Okm0BmkK5GJkg3&#10;CY2RrsD2ZkiXFjyRLq2WAUu3fx3Sli49arJ0X4eli/dRke5RzqzlEGdPcj3p1vDAPekWT0C66H2Y&#10;dItiMethJ0iXGhG1+W8wRLpgZysxViWHZXONTJAuxtJExkiXGtnIJOkmkBmkq5FJ0k1B46TLsb0Z&#10;0qUF70gXq2WIdLvXIU26OBw/ke4rsXTxoinSdfHWQy3dHDdN0+qAeot8XLjRWDiedI9V07xGdzP6&#10;IfkUSTU+wPpP72an89kPOtyrdsf4JpqrxdDDTpGuu2Iiy3eVNW/yBkfEDGQG6WpkknTRqYWMk24S&#10;mSRd3OdmITNIVyNTpJuAJkiXYXszpEsL3pHuYH3zsJgwLGnSNaszyKMS/hWbDOJXYRDjAnTNzc5Y&#10;PZSbC3opiZtRN5wbxHSrVLvdVrjjGFiLY7fb0Nuspi6Fqauoub3SKjZgLWbuQA8zc+a/QPw0udu2&#10;wDkxA5hiZgOYIGZgmvWj2QNjxEyNYA0bwCQxowaaBUwRswFM8nIKGedlDu2N8LJb7C7qi6UyYAu3&#10;EzZAy0sccdOmsGRl199Eyq+DlMFeymAedYCtwM2pnpTDjlWIUixzdObs5XnjtvyOQcrIW6ipy52k&#10;jM5FG5OUA+ie+1hg2N/IhlPFqnCEIOUChSktYJqUNTBJyktYy7kGxkkZjUDKBjBByilgmpQ1MEXK&#10;CWSClBm0t0LKtNiJlGlGBki5fxVStrJ7bSa6fR10C85RdDvqAFtJ1c/JBqaako7gOrqlEiGebru8&#10;xrE2cIkTDjV+SCrVNrDfX4ytVkG3JWrT9KATdEuNiNX8F4ifJuk2R8aZAUzTrQYm6BYDaQJjdEuN&#10;bGCSbhPANN1qYJJuU8g43XJob4VuabE7usVSGaLb7lVI0u0cMzjR7eugW3CjottRB9g6ui1DzZWO&#10;bqn4R2vdHmsLbn+6RefD1m01R9pDBzpBt9TIGZHqaZJuC+Sa7UW3GpigW2AygTG6pUY2MEm3CWCa&#10;bjUwSbcpZJxuObS3Qre02L11O0y3e9TMgURPdPs66BYsoejWWaWHRnh7ukV5UW7d4nBYS7ddMuPj&#10;Wbf6ZJqwbiuEPlGGtwWdols0IlbzX2DIuq2QZbYX3Wpgkm6XsG4NYJxu0cgGJuk2AUzTrQam6DaB&#10;TNAtg/ZW6JYWu6NbLJUh67Z7FZLWLQ6CTnT7OpIdcC2lpttRB9hKnEVwwYQqnKntrNt5F7stXXIC&#10;3rzRdIscfVQ5UxxpBBN2xW7pCrW8A52g23CBu/8CQ3TbIL/MAGYEExQwQbfAZAJjdEuNiG41MEm3&#10;CWCabjFdwh+QdJtCxumWQ3srdEuL3dEtZmSIbn2JPoxKkm7pSZN1+zqsW7zayroddXStIgan2G0d&#10;7rsNdLugRHAKJix9ldsjsC06m9XUo+QFmVlGfYs2wrh1bNthHmTbFv8Q2eJCCwuXIlsDlyBbQJr1&#10;Y9njYmRLjXCVu64eLLk2gUtxrYFLcm0KGOdahuyNUK1b6KBamo800y59geoBol20r1LYV766OV27&#10;OmXTbT8v7rYfqKok2nw56rhajQscPNHK6y0b3ILridbf8XAEokVns5p6FCSqzFrqW7QxiTZg7gkN&#10;3mCXDVx4s3apOxQx2xI1EixcimgNXJJokXGW1xoXJ1o0AtFqXIJoU7gU0Rq4FNEmgAmijZG9EaJ1&#10;C52IFvMxQLRdqdOURdvg9u3Jon0lAQS8icKizZejjqjVS+/v5E3VOqDBom0K0BFZtAt/d9kxiHaJ&#10;hFzqUZCoJlr0LdpYRNuEq+AGibbFP2DRljmSJAxcmmg1LkG0gDTDWKoQCSNaanQxM3BJos3hARi4&#10;NNFqXJJoU8A40TJkb4VoaaGDaGk+0kS78HOKMUkSLR22UKEDmYvrXivVCo+d7N6XZ/fiRVR0POrw&#10;WkOnJLE68oUvxdAXJKtDud3G351+BDpGZ7OaehRUq+iY+hZtLDpehKviBum4xT9ExyVkwsCl6NjA&#10;JegYkGYYy/YgYI+L0TE1upgZuCQdlwh/G7gUHRu4JB2ngHE6ZsjeCB27hQ46pvlI03HjfZkBOq7p&#10;RJEiWknHrjfVaqJjONkvjo4rfV4t9/urh2YzLFDt2dPxQljHCP1567jJXXraEegYnc1q6lFQrabj&#10;EHzu+cyk43BJXN/MCEO0+IfouEJ4xMCl6VjjknSM24vzhcbF6RiNQMd+XGNcko5xX5yFS9OxxqXo&#10;OAFM0HGM7K3QMS10omPMxwAd+yEeomM6XqGIVtEx9aZaTXT8IukYE66s41En1cLtqPky7HiFYEVV&#10;g2koWFFXx0p2QGcz+N4q4qvomPoWlG3R8TJcDzdIxy3+mPZkVBh3F1u4FB0buAQdA9IMY6kUh9Ex&#10;NbrAhp9yASQdN0h5M8ZL0bGBS9JxChinY4bsjdCxW+igY5qPNB3X3RUBqWBFVWO9KKKVdOx6U60m&#10;On6RdAxSUnQ86iQbbQHTGirmeC8dA3Z0TC800XG1PJZ1jM5ALzoJQNOxpmyDjoFZxWgN67jFP0TH&#10;SxuXpmONi9MxQZpZuGI6do0uZgYuSccJXJqONS6avag6fBIYo2OO7K3QMQ0V6JjmI03HlU8rx5gk&#10;6ZieMxHtq0g7wzaCJtoxZ9gaOk3ridafzumjwmXVbtJV+ZHsXups5noUNq0iWupbtDGJ1t8XEFOo&#10;RbQef9xK2L0V7HELlyJaA5ckWlxhVhj3zHOidfecteMa4xJEm8KliNbApYg2AUwQbYzsjRCtW+hE&#10;tFgnA0Trz3gOEK17zkS0r4NowRDKonVW3YHxXlwpjLeWLNqsFBZtgTQLZ9GWKD4K1sMSG3magjqb&#10;uR4FiSqipb5FG4tos3Bl3GCAocUfE5okWhzdtXApojVwCaIFpBnGUlnajGip0cXMwCWJNoFLEa2B&#10;SxJtChgnWobsjRCtW+ggWpqPNNGWvnbJANG650xE+8BEe3t5/h7/n/15fXWzpT99OLm4u7t9/+7d&#10;9vxidX22/Xl9u7rBb7+sN9dnd/jPzdd3nzdnPy5vvl5fvUMR2fod/tXdt80Ks01Pu/n+++X57xv/&#10;H+f/8f33zezyM6oiVXj9Pdni99QekUPHkfSPqJ3/V8hjuTz/bX3+X9vZzfrjxdnN19Uv29vV+R0e&#10;gQeEv9ps1j8uVmeft/TXRKf8Ke4/GZJPV5e3f728uqIlSX9uv/Fmn++7/vLl8nz16/r82/Xq5s5/&#10;6c3q6uzucn2zvbi83Z7MNu9X159W+J6bv3/O3bpHKOO37R11R0GNb5vLDyf/my9+mc+X+b/99LGa&#10;f/wJabB/+ekXBCF/auZ/aUocBss+Zh//j/51Vr7/tl1hGM6ufr29bLHibxXa68vzzXq7/nL38/n6&#10;+p0HGuYHQLP5u+uzy5uT2fezqw8nIVUegJwABYh4C2lICOt2c/6fGGynFtu7zeru/IL++gtGrv17&#10;NO5+4Ya5H1mag+0tzX0vboA0+5N2f9pzUUU+b6PdNCzn+FUZTr60tIsOgjLebrZ3f1utr2f0B4wt&#10;kLmxPfuOoaVZx2ppm1CfN2uaYYf96ob9BRrS3zi8HqH7IwD7dYo/PMYrAHWTr4CbE754X8Er4Kk/&#10;rK/pFaBXoCqWMJSgaFktL4ssMpAjhTsLvxX02K8Ambs/toET8V/78cyP9eazJxn60+1mfb7abiEM&#10;f1yc3ZIctFZ0pwCw2qS5jdxyvK8HmttDI4rkH29u+7TkaETPv3lSIYIIRELWbMvWvfHLg5jU2cz1&#10;6Aimb6bNbZ9gF1vI3NzO58iI6FdB/6g4ruEawawNadV9K25uVw2SCixc2tzWuLi5TZBMXLG57RqZ&#10;uLi5ncSlzW2NS5jbSWDM3ObIMOPdnJ5deL04e3/+5007z/gTMpS+kirSSrhdb+klPcVs4j08DT4a&#10;WtFvE40xxNTY7X+iv+HG3jM8BWSvXK61/1ctJNK3mdPpGdQOyw/WyeZk9unDySfvv1GKb9uW/jj7&#10;AcaghX4BFcU6IaR9gPj2jr6QDwu3qwi99b/3B+bwzV079xx8mWAjTMfpaExhtrzEPDYsCUW0LgRw&#10;fKIta7wxbqeuu3clWG8PTrTUtyBjQbTkgBMtyGaMaL2XXu26hKhqUIhmL6I1cEmiXcxNXJxo0Qg7&#10;dRqXINpFVZm4FNEauMYQrYGM7ryONv6qFDQqYdqdZzzFtuUPxG/UZKLqaPy0tArEUteqQAvuZahA&#10;UmDaUq+nsA+PKRo01m7XEWsrLRpVd5FCUjQoqAnRaIJcBk0Jn15bXHeTtjxwKIe4/RGMeLCK0hbH&#10;r8fXlooOVrmkPOR++vX/aNpCfQ9rS45w8k5toUZIfvP4Y4+AU9v+2mLgEtrS1JWJi2kLNTJxCW1Z&#10;5ov9tMXANUZbjBGT2pKCZmiLBY5PwL20pQU3aYs7cygcEhpr0hYapLS21DCs/Ru9S1uyLiE3iEr4&#10;9OLi+pvE5VWISw1vS4mLCxcfX1zIK3Di0viANN7mRxMXwyPhhnNewCbeKS7UCAddQkA9HSHa13Ex&#10;cAlxWZRLExcTF2pk4uLiUs/n2X7iYuAaIy7GiAlxSUIzxMUCN0Jc+uX4AsJXj+240FiTuNAgpcUF&#10;WV57igvqo7ctg6iETy8urr9JXF6HuMDnVeIy5jiRiwXZGzr1AkpGnktbwehRxQV9D3suBa5n2i0u&#10;7g4nowIT57b9PRcaE4FLiMuyKE1cTFyoEcRFV9KS4tLY2zUqKmbgGiUuGpkSlwQ0S1z0oI2JivXL&#10;cRIXtZXiXloSF8zggLj4+cUbvctzKbpk0iAq4bMVFyKJSVxeh7jAflfiMuZw1IC4NHRAgMRl0QQ7&#10;59E8F+pbkLjwXEpsR+8UF2qEAlYe/zHCYgYuLi7IP9rtubhGJi4hLhnOtFpbQUpcDFxjxMUYMSku&#10;KWiGuFjguLrfKyzWL8dJXJS40FiT50KDlBaXfgh3iUuJefcBtCAq4dOLi+tvEpfXIS5YOkpcHA+P&#10;D4vJcwoNbp114rL012U9pudCfQ+LS1WT5xIw9wGveDs5p0YoQ6uv++Lctr/nYuAS4oKbHExcseeS&#10;UyMTlxQX1CHfT1z0eClxQSk0a8BE4hRamciUuKAApwXNEhcDHJ8AwmWD4/v5MTgsx0lctLjQSwtx&#10;oTWfFpf+jd4pLt0ZpSAq4bMVF1TF0p6LLP7gqGSSoNchQXh1lQQ5C2S0BDWBqMOBgOctQXUF0uow&#10;JySIGpmEyhnwqBK0gH9j4OIShEYmrgeUIGAygXEJolYmsoeVoCQ4JkEM3CRB1ra/e2n3kKAQsZgk&#10;iIR6s/528zm4cTifRGTqzyfRnz6tP/8Dhyc2a58N/n21wR8u1pv/OZn92JzdfjjZ/ve3Mxy8m139&#10;/QZHNlqhuXP/0eYub+LffIp/8+Kqc1LBKSVBLi9stAQtYDY7x+NlSFCDQp/Zwh8kiINnzAuiRiah&#10;PpwE5djXsHAxCaJGJq4HlCCMlQmMSxC1MpE9rAQlwTEJYuAmCRojQS6hCEM4SdAkQfc7wUhFQpUE&#10;OekYL0FLZxn1lZmetxe0yIlRfXHspARRI5NQH06CCjpZaeBiEkSNTFwPKUFLeEEGMCFBaGUie2AJ&#10;SoHjEhSDmyRojATt7wXt2OWZAnFvzQsCk0kJao5ziH4Zco1ehhe0nINRl+FehUQgjhqZhPpwElSW&#10;hYmLSRA1MnE9oARhrExgXIKolYnsYSUoCY5JEAM3SdAkQaGk03bz9dPHq01b52hO/2vTI7brq8vP&#10;oRlVC/r1bHvh27lf+cDPFIhzxaL2quNSg6OUBB2lvABqQ70oL2iJ7fAec0qC0Mgk1IeTIBQ5NXEx&#10;CaJGJq6HkyAaKxMYkyDXykT2oBKUBhdLEAc3SdAYCZoCcSeTBLnaiu/uWUqsNqoQ+DLhYwNxeYZb&#10;4F7OXhCqkNezHrMtQa6RSagPJ0F1Vpi4mARRIxPXA0oQ5tcExiWIWpnIHlaCkuCYBDFwkwRNEhTc&#10;m8kL2qKKLUnAwxfCaYxaBf52jdESlPvCSy9kL6jIanhBHeaEBFEjk1AfUIKW8IIMXFyC0MjE9YAS&#10;BEwmMC5B1MpE9rASlATHJIiBmyRokqBJgtr0PSjPo0mQUdHAH6kcLUEo0/6SvKC8BKN2mBMSRI1M&#10;Qn04CWpw6aCFi0kQNTJxPaAEYaxMYFyCqJWJ7GElKAmOSRADN0nQGAnaPx1huNBnM6UjvLF0hMao&#10;e9Acpe5BjgtRXpIEFQUYtfSVp1IZcQU1Mgn14SRoUcMLMnAxCaJGJq4HlCBgMoFxCaJWJrKHlaAk&#10;OCZBDNwkQZMETV7QE3hBRnUEX5D8UC+oRPyNjjfnpb+eJgrE0S1mvvTOka7LrcqintEPr3W96wLf&#10;rq+QP0eB/AZ9D1ZHKAoUPshLXX8sPhfkGlGJG3UlpCVBBq6YAE9LG5eojrCschMXkyBqZOKyJMjA&#10;ZZTeUeMlqiPQWJnAhAShlYnMlCADmlUdQU+mqOuWBhfPgGvVgZskyJQgemld6Z2hq38Xfv8YQ5g8&#10;F9Teot3fXRmqIoTPUHoHr5Kqe6CqIxAq1Qrd080+YFH/B1dcG3+O71Jh19zRHUBZe/cPS3Wb9oIe&#10;MRCHCVcZcaOqI1Rz0B5JUOW9qV6C6gVcLl9aNDjjY6u/VfPlrMIPKS9KgqjvPSSo0nXdDAlqlqqU&#10;nCVBBq6YAJ0EGbi4BBVznIbFWCpFiCXINaLSogqXJUEGLiVBBi4pQcBkAuMSRK1MZKYEGdAMCbLA&#10;8QmgAbPBxTPgWnXgwFVTgR5VoIfG2tWtxtpKF+jBBVP0emEIUxKUL/AigRZ2SVCNYxFaXKQEOVST&#10;BL2KAj2gNi1Bo6ojVO0ayuuqVYZwLqiGVHgJgkr5BTtagugSy0rLi5YgLVO8AKn3gjrMvUNlSZDH&#10;H4frOAP6Aj0GrpgAvQRpXEKCshxekIGLSRA1ApdqXKYE6fHSEqRxSQkCJhMYlyBqZSKzJUhDsyTI&#10;AMcngAbMBhfPgGvVgZskyPKC3EsLL4jW1oAEdW90UoJo+TgJCuZn8H7CZ1vdGk/aQ4KwAnQrzODk&#10;Bb24Aj3IftMSNKo6Ql2BDcgLakqxF1QVoE3ygurc/QYrZqwE1XSNJn5ID0dJEPW9hxfUYR6UoBb/&#10;LgkycMUE6CTIwCUkKMf9zv1Y9riYBFEjuhquHfG+lSVBBi4lQQYuKUEYKxMYlyBqZSIzJciAZkiQ&#10;BU5IUBJcPAM0rD24SYIsCaKxJi+I1lZaguo8CEtKgjJ6zh4SRBeYanGRXhDdFKtbTRIEmX95EoSF&#10;IQNxOCsEtj50L6jBJR5Ogha58ILKGjxBEoSCyEfyghq6bRM/pLwoCaK+95CgDnNP4oYX1OLfJUEG&#10;rpgAnQQZuKQE4S663MCFUe62u4ocjejm63bEe/SWBBm4lAQZuKQEAZMJjEsQtTKRmRJkQDMkyAIn&#10;JCgJLp4BGtYe3CRBlgTRWJME0dpKS1BVhLhGSoLoMXsoEMXptLZIBSpRblu3mhToRSoQKEopkFtN&#10;hyrQAqUsnAItwR2O9EMcrlhCGEiBSvhJ+A1WzFgnaEFXcuKHVBelQNT3HgqE2KpsZihQiz+tQHVG&#10;dyIYuGL+cwpk4OIKlAPSjH5IXLECuUYXMwOXUiB7vJQCGbikAqWAcQWiVh2yl0HyQHn+5017T/Rm&#10;dX43u/pwgkXtyxpvPpxsTmafPpx88jNCkR9xp7Rb6GBtmo80a5f+bir0lmLtAvk8mmglHRfIoNGt&#10;8NgpJnVEh+D28vw9/j/78/rqZkt/Qmnru7vb9+/ebc8vVtdn25/Xt6sb/PbLenN9dof/3Hx993lz&#10;9uPy5uv11bt8Pq/f4V/dfUMB7H/9F3razfffL89/3/j/OP+P7yidffkZ2REoj9ZSMn5P7RFQdhEc&#10;+kfUzv8rzO/l+W/r8//azm7WHy/Obr6uftneYrXiEXhA+KvNZv3jYnX2GQW3HQMSiOgp7j8Zkk9X&#10;l7chL5D+3H5jLPvd33ftqiP8uj7/dr26ufNferO6Oru7XN9sLy5vtyezzfvV9acVvufm75/92wF5&#10;aN8fEopvm8sPJ/+bL36Zz5f5v/30sZp//KmcN3/56Zdl2fzUzP/SINF6kX3MPv4fvVtZ+f7bdoVh&#10;OLv69fayxYq/VWivL8836+36y93P5+vrdx5omB8Azebvrs8ub07aikz0auMNAqDwGTJbaEjond5u&#10;zv8Tg+00ZXu3Wd2dIwvm7P2Xy6ur9u/x77tfuGHuR5bmwNdN7yUQkGZ/wtJbIBnQ6+eydaw6/czA&#10;5qSfhfcR0UHQTyoU9bfV+npGf8DYApljnrPvwO2/S2hCKFlKDvsLPPPqBt+5R+j+iP/06xR/eIRX&#10;gG6a9FbJ790r4DIOCdaregX87WrTK3BNqzC8AsXSuyvFXAYxYOi0r4AKYoT1/aCvABnFD39Wn3ay&#10;lVHuAv2HGuVhRPOl3JkoQlioPNrORIN6xXBYlcWqjfL9wkId5j6wYhnlegeARyUIkolLG+UalzTK&#10;ET3vx7LHxY1yF2JvxzV2FrhRDlzYyTHGSxvlGpcyyhPAhFEeIwPlv4AUKKAcaZTTQiejPBHNdy8C&#10;Oac74/mWuS2Ncqx1PCsUdfRbzfgKk0l+RJP8kcgYITFFxo7bRpPxQmYqlWGbmPJpvdkWLLw4ozpY&#10;ddGL21MQVqePTP/zTzMKQhSJKxBDs396Nzul8xrUt7Nm+0dZmUod5r6ZQcYt/pj0BBkjedAkPUXG&#10;Bi5OxkVBmUoGrpiMXSNEwv24xrgUGdsiocjYwCXJGJhMYJyMqZWJTMTokzphxej1ZMrzGklw8QzQ&#10;sPbgXoZSOKHAXuBX4l8yK2/XW/KsTmmcQMqnmTOlvKA4926csLiXFsJCa4u666M5PrPI/R799u90&#10;34LnIBXw+AghBdj92x9+Hz79EycBeksXiVEOtRIgt0BGC1AjT2tURGFuk9ifKsBLMlaAlrhG2LJu&#10;lTdAfe8hQI0+FWEJkD4VcagAGbiEAOV0WsPAxQSIGoHmNa5DBcjAJQUImExgXIColYlshABZ4PgE&#10;0IDZ4JgAMXCTAFmbxDTWbpM4cVrD/Z4EaOd5jV6AwsmOIDzhcxKgt3eT5QIvrhIgt0BGC1AtT6zD&#10;X/ECVPsT38cQoKbZU4DQ9x4CVO91Yr3FH3sanP/2v0yZxkTgEgKU0Yl1AxcTIGqEdFR9kv5gAdK4&#10;pAABkwmMCxC1MpGNESADHJ8AGjAbHBMgBm4SIFOAMNYuURZry/KA3EsNAap3n1nvPKBJgKarlMOO&#10;+AIvpBKgUYcFu/2QWlbtqqlqAnlATeeEj/SA6jmKs+/lAVHfguitEBweKJsZHlCL/xgCZOASAjSn&#10;ql0GLiZA1Ain3vy4xrgOFSADlxIgqtplABMC5Kp2GchGCJAFTgpQChwXoBjcJECWANFYkwDRDFoC&#10;5H7v3ukgK1MIbrpCbP8rxBZYXkqARh0V7ASoUpWLkfPgBGhRHmkPqM7yYj8BakK+Rb+5YwlQh7lv&#10;ZghQiz8mes5/+3tABi4uQPmSKhcbuGIBco1QfMqPa4zrUAEycEkBAiYTGBcgamUiGyFAFjg+ATRg&#10;NjgmQAzcJECWANFYkwDR2rIEyP0eArQo3SYrBnESoEmA7iFA4DEpQD55YHQIjqpHOqcjpJm6qtjk&#10;AS3zcOPdWA/IHYcwMpzUHhD1vcsDwu0tHeakAB399haFSwjQgm5vMXAxAaJGZnXggwVIj5cUIGAy&#10;gXEBolYmsjECZIATApQExwSIgZsEyBQgKmUPAaJ31hQg+j17pycBmgToHgIEhlICNOqcYOcBFfoG&#10;S6zVZytAOd1g2WFOCBA1MumU8989PCDNpVKA6AZLAxcXoP1usKRopekxqiw4Q7ClAAGTCYwLELUy&#10;R+xhBSgJjgkQAzcJ0CRAV1ckslPN4serWUxHYZUAOWd6tAeEcnwvyQPKlnR/Za0cEhaCo0YmnT6c&#10;AKF6iImLCRA1MnE9oAeEsTKBcQGiViayhxWgJDgmQAzcJEDjBCikf+/2gMJuUch+C59TFtzby4Kj&#10;KgtKgBwJjxagDOedX1AILpuDTzMcUhWROi5AaGTS6cMJUF3CAzJwMQGiRiauBxQgYDKBcQGiViay&#10;hxWgJDgmQAzcJECTAE0e0Dvi/Ue8PplKHygBcrbMaAGaL1+UBzTPwadzHRFjAkSNTDp9OAGq6Lyn&#10;gYsJEDUycT2gAAGTCYwLELUykT2sACXBMQFi4CYBeiwBmg6iTmnYIQ0bx8e0AB2nEsIcTPRyPKB8&#10;SQc+O8z2HpBrZNLpwwlQ2aAsjYGLCRA1MnE9pABlpNhhkvsBEwKEViayBxagFDguQDG4SYDGCZCL&#10;m2AQd4fgJgGaBKgTIBj4ygNyC2SsB5S1uW79vZXPOgsOZVnyWY+559PYA3KNTDp9OAFCxVoTFxMg&#10;amTiejgBorEygTEBcq1MZA8qQGlwsQBxcJMATQI0heAePQQH5lQCdJRKCNmifFEeUFM3M2B23z0+&#10;ScMEiBqZdPqAAoRqQxYuLkBoZOJ6QAHCWJnAuABRKxPZwwpQEhwTIAZuEqBxAjQlIVx+9iGfKQ17&#10;/zRs7NNoATpKJYSsCcUHXsQ5oByXgc+AWdUsZQJEjUw6fTgByjN4QAYuJkDUyMT1gAIETCYwLkDU&#10;ykT2sAKUBMcEiIGbBGgSoMkDenQPCKdOlAd0lEoIWd28KA+oWoJP62bYA6JGJp0+nABlOMlp4WIC&#10;RI1MXA8oQBgrExgXIGplIntYAUqCYwLEwE0C9FgCNO0BTXtA3R4QeEwKUDnqyuSSCAhHo7N63noT&#10;nQdEV7G5g6jzsGF5lEoIJbhM5E7rSgjoW7ThpXjyKiM+DZgTe0DUCHTq8ceBOkuADFwx/Z2WuCai&#10;0bjEQVQqd2fhYgJEjUxcQoAAaVYZuPRBVI1LHEQlTCYwIUBoZSKTApSCZlzHYAyauI4hDS6eAdeq&#10;AzcJkClA9NJSJQSsebMSAoqUukoIvooiBjGZhEDX0IEYyvL+AoTHTnf9vLi7fqj6rBKXUVUOSiqe&#10;bYsL1qev85Y7vwcr5jjigmqpQji0uGg9EOJS4pymReIsvEaNULXM498pLhpXTG1eXDQuLi7Zsibv&#10;RoteLC6ukYlLissCF6+VGpcWF41rjLgYI6bEJQHNEhcDHFf3e4lLC24SF1NcMNauzhvWvCkuEBV6&#10;3ftBTIoL1jC1LKpQ5TEcLg2f6UOmk7hAmF+euIBWlLiMqmBQYfvDFpe6AFG7KtbFUT2Xyq/WmOuV&#10;uFDfQoCEuBQ4g2mROBMXaoRq0R5/3CHnNl9Cx8ClxMXAJcRlsdjtuWTUyMQlxAWQZpWBS4mLgWuM&#10;uBgjJsUlBc0QFwscn4B7iUsLbhIXS1xorElcaJAscakLvEeQjH4QU+KSF97qzHGXOF5FDHcQlfA5&#10;iQskZPP3my0cxaws8R+f3H+UVYOCzC9OXPI5QCtxGVWdoC7wSNNzqWr8hsSlro7qudRFuwHUx7KU&#10;uFDfw+KSg3d3igs1wo0zHv8ucTFwKXExcAlxaXDLs4WLeS7UyMQlxAWQZpWBS4mLgWuMuBgjJsUl&#10;Bc0QFwvcCHHpl+MLuM/6sW8ppbEmcaFBssQFx5Ld694PYkpcshpvJRHDYvJcZlexhNzFEvKaxAUT&#10;rsRlVOWBZg5TxxSXcgFCJHGpfIUz2C5HCYs14aKfAXGhvofFJWv28FyoEe7T1BXaOLd5z8XApcTF&#10;wCXFJdvDc2nQyMQlxAWQZpWBS4mLgWuMuBgjJsUlBc0QFwscn4B7eS79cpzE5e7it+0diQhtccx+&#10;YIeEXlqICw2SJS4lXaDC3umUuEBTHC+AHybH5U1oC3xapS2jigo0jV9svbEd9vNL2nQlbSkXbgP+&#10;aNri7zWM/QjluFDfw9oyX+zhuFCji1mLP+6QU1urLRqX1haNS2hLne/huFAjE5fUFrqMtdG4tLZo&#10;XGO0xRgxpS0JaJa2GOD4BNxLW/rlOGmL1haMNWkLDZKpLTQ/7p0OwYiUtmRY/GiYTW7LU7stt5fn&#10;7/H/2Z/XVzdb+tOHk4u7u9v3795tzy9W12fbn9e3qxv89st6c312h//cfH33eXP24/Lm6/XVO0S7&#10;6nf4V3ffNiusCXrazfffL89/3/j/OP+P7226WE5+hpcX/J7a010oRMT0j6id/1cwZS7Pf1uf/9d2&#10;drP+eHF283X1y/Z2dX6H5YIHhL/abNY/LlZnnxE19IuNP4UwcSSfri5v/3rp09Tpz+033uzzfddf&#10;vlyer35dn3+7Xt3c+S+9WV2d3V2ub7YXl7dbBDDfr64/rT5/ONn8/bO3vCB1rW1Govdtc/nh5H/z&#10;xS/z+TL/t58+VvOPP5Xz5i8//bIsm5+a+V+acl4uso/Zx/+jdysr33/brjAMZ1e/3l62WPG3Cu31&#10;5flmvV1/ufv5fH39zgMN8wOg2fzd9dnlzcns+9nVhxMXsIPUApALRQeI+CsaEnqnt5vz/8RgO33c&#10;3m1Wd+cX9NdfMHLt36Nx9ws3zP3I0qBvb2nue1cRkGZ/wh5dIDXQvfNdygANyzl+VeC8rbMFiqVz&#10;+iJb4Hazvfvban09oz9gbIGMRuf92XcMrbdKQxP665s1zbDDfnXD/gLPpL9xeD1C90cA/td/aYsH&#10;toOM/9pvkH+sN5/9CNOfbjfr89V2i7fij4uzW3oX2kIY3fIHd/rl/9vlDa19Z/e0jT7e+EE7//Pm&#10;j1u++N3jTv9xuwoLnf0T+g/6PrNPP/59/Rltzr7drd0QBVc9jH+GnH4a/6KoRW5ljR10N/5heYR/&#10;Goa2Hf0r4N579MkXKbKqdP9gu766/Bxevj1L9e9zFpFWAI3A45V+zCmrgE2jYx82Jy6eOE2jp9rn&#10;Oo2wrNk0xgdnnvhthBtGntHR38YC5haR4mt6GxHs8NP4181qRSYK7rcZlYKepskSS8ZFQ0M8JNDk&#10;+TcvUrEwkT/Yqn8f5UTY/8v11dmHk3/+aYZ7yNGV+yGdUbCxb/ZP72ancyR6o2enaf2TeBZHUeLy&#10;0J7X+2awuLonuUaIOTr0A+5qnsEtpFEQXWp3VaHi3ioBMlHF22yukYVKOKspVNpZVaiEr5qExXLP&#10;GS4YD91snlHAzQ0NtLqdYfwJ29Rf6ZWlNXC73pLFc+r19jQsF7Si3yYae4foNBhAw429JXUKxKSA&#10;7pnhs4VEltLMWXwz2E1YeLBzN9hZ/3DyyU8sxQvbtl3oEPMH7w4rhHD2rlucoOCXD7rsf83zGOgt&#10;icjL/xLtpxTsl5Yll8/xDipyHZWCnSbXLMOaJnbNihATeDR6pb4F2Ql+reaVyWSMX6nRxazFP0Sw&#10;S8/9sk9FsAauwxnWwCUpNoFLUayBawzH9jP+FkjWLXSwLH3rNM32Y5LiWfeciWhfR8YYXjFFtM4S&#10;aP3KP+Dhg6GO4eyjdqEn2jwPhsnjES363kG04CAyvWQzTrRodIFrxHZZskVd7GfJ0pgIXIcTrYFL&#10;EG0KlyZajWsM0fYz/iaIlhY6iJa+dZpo+zFJEi09ZyLaV0G09PYooh2VmpsjUdaOqrpIIVm0+dEs&#10;2rzACWz8kGSlAgbUtyA0YdHWSCzaSbTUCETr8Q9YtGVRm7iURWvgGkG0Gpcg2hQuRbQGrlFE2834&#10;WyBat9CJaPGtB4i2CKGNFNHmSAuciPZ1nIGgWJoi2lFpqkW7OnrSCtuHbv0dl2gLuPIVfkgSfWqi&#10;reZLE9dTE20K10S0UOGjxWcnoiUH+NP68z+w371Z+7j299UGf7hYb/7nZPbjzV2Fm1PmnCLaUTmb&#10;BTICH82iLZoFCA1lYIS1+uREi2q1Fq4nJ9oEroloJ6Kd0//oRYLgsC1+SuP59Wx74XPA3K/8+7ZP&#10;bsZEtLPLz3BuKLVVEa2LQB4aoy0rRCMQH3gUi7askGuAH8+NaOuK6v5oXE9NtClcE9FORDsRLaWK&#10;g/YeJE+WzhgoonUhz0OJFiHTxyPaKseJTfx4bkTboECcheupiTaFayLaiWgnon1QosWrr4g2zma/&#10;d9ZBtfTJf49i0VI9f1TKUKkCTx06aJYIHRi4DiFaHIPsx7JP6+UJtGhkbtKJzbDFHB6AgeuRiDbe&#10;PpTHPVPQjOOe1k4dDIYorZoGzBw1OnPYZ0NTq27Y4DG/gJ26ZO5we+zyFN/wOYpGRldlwdHFlqqH&#10;FzKGw6dPMJ72/+IiAy+7BloGIVDaEh+xube21DWI6rGiJXWDFF38eHZGPGmLgStmNle92aBJkWhR&#10;1pnJkkxbqFFHkjGDS21BmR0L13PQlgb+mDFkk7awwyMvVltyn523dA43dDxoSvgM2uJDAJMCrU6e&#10;uuIAhXFwYPeBj1tnIDKpQPmok4ENTmw/mgI1KLlc4cezVCAD1wEKVJX1bgWiRvso0BLtrPF6BgqE&#10;+g4mtEmBXoUChbIW/tKjSYGm1JxNu2MMI1kp0Kjjk4u2bFIfE3rAHMhFBkbFj2emQPUcFzZbuA5Q&#10;oFSkiPlALFCU9oHqOc7gW7geSYFeRggLKHGyfcQZ9ePlQE4Owcn2v7+doWzXG3EI8CIqOh51yHLR&#10;Vkh9HDpeEO0t1En1J97uqFHNzMT15HS8hANljNdEx89xi8AVB0R0d4rPvBU6zo2jmPmoo5jL9jKE&#10;R6HjZQ3aw4/nZh1nuJTRwvXUdJzV8CaM8ZroeKJjVIrM2qtQWN76noUip/R2qwTsPauTUglQZR2P&#10;ObBZz9uLzx6DjtFZNaMfz42OcSbaxPXUdIwiiSauiY4nOp7o+NKVlqZ9Sn/YFEeq2k3LxyoWTbva&#10;io7HHOuss3DJMeKZniUfLnZMnc1cj3ib4pDpUwcriiwzcT01HRdZbuKa6Ph50rFVqKRPPQkpJ1hV&#10;KqSBAPhUCfXFVUKlA0SKjscc/qyzxeMd/qTOQC/o8bnR8aI0cT05HS/gTRjjNdHxRMeTdfwMrGPj&#10;iCgsZizOA4+I4sq09oho6a+kclfkuMtp3BW7rjC1v5EUAj6yXip1NnM97qJj6lu0gV8Qn3VxZfw6&#10;zP0JIXyb/qiLL+OX6RtV+cGZGvfimbgUHRu4ZHZ5tpjhWh9V14VlVuD3yO0zcPHs8iQuRccGLlnG&#10;j/q0gPHi/wzZG8mscAudClNjnaTL+GW4PtSLQKqMn3vOZPe+inqpOV59ZfeOOSJaF9jjc0nU1bzd&#10;OwthCEqmcDzrf3EEnkVfM9eh4FAVhfC3p8eBCotmK38RbtzMotnwvXoytmiWxkHAUjSrYQmWBaJZ&#10;YcBiLEuNwLIalsWyBizFshqWJNkULk6yDNgbIVla5MSxmI0Bjp2HxOgUx9JjJop9HRSLd1pRrPPU&#10;D7VliyVeWayOogoWX6BYSh92FBtK8Y61ZNEVGBb9CSpTDOtPJsfUaTKsphaLYdWRf5NgNSpFsBqV&#10;JFhc8YxhHDZj8XsiWIXK5FeNSvGrRqX4NQFL8GuE643QKy1wotdBC3anAYuHTOT6Osi1OwRId9fi&#10;irYrXLzqb3uK2JWUeCtuXf1F3S/M/gH9x17XrhYVTpF7Ng6XeQQ2LiskvTg+hpntfarAx+Li1V3X&#10;3h6SNZO4Hzd8MR9KmWrtuoup2wM9ORjdS3W8muSJnmk1uQqk7rblaTWl74PGYWRjNTkrglHNC+cm&#10;diU3XQqd1YffCX19ebfazK4urz+cLOLiYNNi23H5eGFkW/ujfdFagwaFF3b3deIoc+V1rUaenzP/&#10;g67h78nJWFRH8jIqV1GL+tvpZcgW0skocOlNh7cP0HAnA40uZi362GPhXkYSlfYyJCruZJTlEpVY&#10;DFRxFMc1MlFxLwOoqG6AHivtZUhUwslIwmJOBsf1VrwM52TQCknHcMJBllQExxuF/TsSypWET59D&#10;AvuQvUn+txjmA3JIyszBPcRWnDKsj5BhTReFyUCPd/UPpOBiiXxn51rUMtATKBh35nDH4sCryqmr&#10;metvNAVT6KLWERVOwS5ysfDo0xScRHUgBWtUFgVrVJyCk6gOpWANy6Tgbq5fQCVDMNi4Y+B4lxDn&#10;oRUymoL9rg4QTeT64aSsGjqY9+IS9HAnoibXMfnSjuyIXMsyvPDBvs0WFd54MnGdRYqVE8I2B7Kr&#10;MyX3Y1fqWlCwsHFTTB0T7Gk++4G8C/0sbuImmUzza/ssjMXh7BNMJjADvdT4wDr8SmeC6T9v19vZ&#10;nx9OTvE9MPL7tfXyyNqOZx76qhbpYDwhFxG2YdMvoBrDOiM86cmkO4ZJh8WoTLoxacElpUw51pmj&#10;rJR70QProPKD4xxf8Ho86ZQlrt5Cf7v37nTNCU455byaz+iHZKaYclyji5ku180phwCZqBTlaFTC&#10;rc5QEc5CxWw6amSh4iYdbuppTFTKpNOopFudgsVtuhQuUTk7CcyoLWdAE2OfhBYPPpIE+yEbxfeg&#10;cu+cDBO+J/HTEEwabowJAQOfYjD3efQD1c3GSJN1irVu6UTlMQb+H1YJFNT3XyTEBcKnjw/ANaDv&#10;K1phVg6ID1Q+JWWKD7j7JR//yB8dl1ZiMiapGQzvDRJYsEJM2vhAVsqNxwMt2FZM9rjHcUdC8320&#10;pEWfjg8kUcV85splK1RSS5blHlqCRsgD8WMaoxJi4oVXj5USE4VKaUkCltCSGNfLYGygBM+PKBPn&#10;4wM0FxYF++DrfgyclSGGNsZSn4Kv/gj1U52npkipIlf3fh0YfC2rtho0LPbW8A2WOtloLssuLJyR&#10;4QF0BUud+nMOQb9thUXeHfI4nZNLr5oIS50OAvaA+ycxS50aEY/J7oS1CEAmKk2uCpVk1wWs624Y&#10;e1TcUkcjC5Ug19RYaXJVqEx2NWDZ7CpHS1nqFSTEmsR47E9xDtyaRroTLzr2g8GyR4zy37ol4VpZ&#10;Q0aXc8RPS40ZlVDvnnaKcrAmNDEBqSUGR7N/GM22OZsUfOTQ4A4ao0blanpoqLxqQaMiCvHDUtDo&#10;dG/3MAbtZahlMlZm+zfp5t5cPPUxAa/BJJ+JSBzNATlbGL7I2Rov3Zg1yuG0Q/tYunuH2ILLGHym&#10;8Ol9J/8kT3MAHX4ZPtsNWIBBf/s8KZgT4QHh0z/IDy1vg14P8dOmfVxXjeXJTAksHGVKuIk92JRo&#10;78fSftoCzORNiWM5ajXq8JV0T98uWwJdiyaCTe8R9TN8IiFoNQXYDFixnjlPTcMSYpaCFWtZG4w0&#10;YAkxQ7FxE1asZacLiI+GpawJSLsVjhTWBFqZPqQ0J1IDZgX+1Ewqc2Je2dji4S8ztLKxiSnA2WZz&#10;1Ax7whg3MQXzJYxfI7jM7QlqZWKTBkWNe1WshWYYFBqbNChS2LhBkcYmX4Ia1rnxEtApzM4+OcX9&#10;wtZ6o3OVzNhJzGnOXoTknFKuc/y4uiFrX/MGZbFG2Ox3gbIP44dlOIRtzSmlyHQPK6mVOae02Rs/&#10;rqadDANbEdt1pwWZ1npOKewWPyxDZTwTWzwJJbWysYlpSGKLp+G0INvawCYmIUPhABNbPAkltTKx&#10;lWIaUnOKYEU/DaclGdcaG7m/bNxwBZyFDVcY9Q8rM7SysYlpqBPvAiI6/eNOS/tdKMUkOHfJ4JAy&#10;noTOXVJFJEsxDSkOoZtguuV7CqfdGjdsk/FxS8Tw6GxI9zDsiiVii4jas8eluJfqW3SPO63sd6ES&#10;k0C9WnNaxZMwgE1MQ0qzaN88wma/C5Rz4Rv9808zF8WAxWDMKW2vdA9Lz2ktpiGl9FRTunvcKRal&#10;NacoAy2w2RuidTwJnaOp1hu29dnjQG0mv9XxNJzW9rtQi0mgQszWuKEqYP9FS2plvqe1mIYktnga&#10;Tmv7XaCjUWxOE9iaeBI4NvhQh2ecPNcdyKTLTRYUudyjPPTk08nOcA59cHeH91pJ+qk5VDvy/5NP&#10;JzV2zYMrM/z0ov2qhdu68lGFgWAEaRY9HXKzDxiSEdd8v6/a3vF1ClLe5+ltMaFT8ORezduvCura&#10;p3lb5v4UbLJX8/ar+rKfOweyvWb3FO9c9HT/z0ZsyMCA8FEde0emPSQZ4iOpTXFyljBtoVkIsYRP&#10;H2rx39eX5gfu8Mvw2QZ2/JO6GQq/DZ++VbvEYQD4sQi/DZ++FZkRQLWjFbE6Wu3osQFdoxVodqjH&#10;BQQHrXxKR/I7tq0ykeHaD4mH33aZdXG88O3Cp2/W4s/wYg5BawdDbpvJTtuR3dWsnfBdnfopz+Bn&#10;DEGD2mDQMn/uqRs1/OGAKBy+JrHRlC3xVNkSeOdkFG7u+PPQKFxDEQWsj3IektTChh5eNgrCdVk2&#10;Y/fz0NOspO6wWOM8gdjK8ft5soWwM338YalSgpmZ6cMP2nMXRmYKFF6t3v4lE9PpQgxbGpjOadCg&#10;MGHdg1qfQYMS1iWS0c2RYsYl2ZYKlAq/JVCJ8Jtzs7qJfgGWJdjrGJkS+Mq0Fnvd9ZzvGTOwav9b&#10;rgy+VTdq4Zfh0z/K661odCD3TjsgT7sDgrdUca8joeNzL7mvT0O+6Fnws2DfjMLcYFfZjLEvNUKC&#10;sXqWZN8C0QxDEhT7alSSfl3cV6Pi9OtC+RqVpN/SFipFvxqV5N+UVHH+TWmV3P1oanu4jN0PA5oY&#10;+yS0ePBpos2JlMkUDQWjjZk0Nj8MaGICKDxvLTG++eGD+Ho25d5Hg3LbFjRj70NDk3sfqdXP9z5S&#10;yz8Xc5CEFs+B3/owoMlXIKH1Yusj0vrYnJE7Hw2KgZujxt6CnKwQDU3tfCSgiZ2PCBok8gWYIcmo&#10;z1OkoCTBHCXANdriwipxxwOGTC4sVe/Jpmyu9pxQaBZsrfDpbS5afXBcgv0Wfhk+fSPa3djZqD20&#10;MNwdxaPxpA576Cd8+v7aVsISlPEBGqTY5/LPONBe9Af2Jl/9qXx1MKWyF91SOtheXEA/sDy0r07r&#10;5rj2ohNN9CeMQeWsa/J/QHtxMcd2PERTomJySd66RiXFMmFiHGIvLjIyMDQqppS2UD6svbgokMdj&#10;AHsG9uKCElIsaPEE+ORbPZekAmwDLTGZh9mLC2f+6+l8BvZiEhp7AVyqjB41lSqTMMoOsxeT0Nhb&#10;MNmL9vH+yV68u2i32WhXggrmYQE/K3sRxPT09uJkCcK2f3FlWigDTVmCLjZ2qCW4gB/hLUEEKJyJ&#10;FnZtKEGNLMEcYRDvS43dt1lSkI463GUK6qNawhSc55Qs5zdc49gDCx1So4tZCz9uJWInS1xzYcFi&#10;Uki2oIYlbME58hAtWLEpUlIjE5awRVBA2oTFZJCMQQ1LGYMVBt4YLhE8RCsTmIweLsl4tuYxHn5/&#10;FMvAJkZ/Tv6BhS0e/pJa2djEFACWjS2eA28OGtjEFPg8W73MhDno8myNdSbjhylshj2osan4oSvP&#10;obGJ+KErNmFhE9OQmlMjd9rAJibBHRQz5lQYhO4Mm4VNTEPqTTBypzU2GUHM55Q7rceNRxCplbne&#10;ZO50ijyM3GkDm5iEHFatiY29C9TKxiamIcW3lBrWbSX73GkDm5iEnI6rWuMW81FJrUxsMnd6iYvd&#10;LQ4xcqc1NvwNc9tS2HjuNMM2hYUHkgGJkKD84mTiw4aFk09/irzH0TFqWqE4hEnkZuUFtNmWwbBK&#10;Banb+DN8Om+AhUBw+PQB4TaU7ctIA3n4bfhsw8ZuSv2FiMlGbSZCSLsMTwif/km+0c50N9df1hWx&#10;Ds8Inww7ar8NfsV2IPL5cLN2WNsbKpLfkiaHDFufQdQ1wx8OSWSbyv48aTIFzblyidwyOdQlWjaw&#10;Y7E+HuM46ZI2R6nDXS6RPkAkNDB1bjO2yencAuTZOLfJDZHKPcyAFdshj3+ctJpn8BUMWLEJsu9x&#10;Uhfp1TX3uEuUPN4nXCJcxQfryEBmBMj1TD7scdJqjlNeJjZmBrryFAY2YQZmqWO48Rzg6CGZgcY6&#10;Ey5RcqEZLpHGplyixLFI4RKljkWKnApggytpzKnhEhnYhC2eOhYpXKLUsUiRVJHGFk/DqQuSa2zS&#10;JUoei4z36NLHIoVLlJxTwyUysHEmcgcereNWVJCo82HSxyILPg14T+F2GHNquEQGNvkuUBUZ4wgd&#10;jtzE2NrCO06TWBgKhlS0+YQLXZGsa2AzXCKNTbpEqaOH3CVKHotE0S6OjUI+FrZ4GvY+Tur2izT3&#10;iuOkLonH4BB5nDSloYcdJ03MqThOmppTeZx02SAD0Bi3w46TUvUpY72J46RtaSC13ir+LhAsGxvT&#10;BZCgdWRTHSdNHD0Ux0mTxyL5u5DEdthx0gQ2cZw0xgZfYMoau1/hoqQDf5SsseTTnyI8kATz+o5F&#10;4kUYdz4CUjV0cJEMafhauyIhbSXW0CwEEcKnDya07v+OE4JtKt6OVnRkGrh2nIJsYe06bej9yV2n&#10;DX2rnacNwc4AtjP8AmGmZo972tBP5q5OoUMO2vBstmGm6bQhbtA4mX36+80WIYkXer0IWacqSOOS&#10;7w4M0lTzbt/6gU8boqdmRj92hmjUGToZoXGVmPTJEh6hSRyTkPZ4AhQ3x2G5KVDCCPR+ggYV24B7&#10;njZMjlTsDrnwjAIlN6xTqER05sWl+Y9WU6gSVcYfSn0PrJraVPC86rMwgMdLKP5wSOx7Okj4tLFv&#10;UIeiVRdLPj6tUhbdMRPDk2wRB53cKW4jAZUFJ8rUUSpGrKmTVIJYs6wy2V4Rq0YlmTWRS8yZFY2s&#10;44080lRlSFGyNEgxq0YlqTV5Wi8e9/RpPa5pFepPmMCMuLcBjY+969Q8rRcPfhoaH/8qQ+TCGrOn&#10;P0hYZXVuQjOi3nrUVNQ7cYxWRL0T52hl0DsJLZ6DJzlImB419hZMieFTYjjCCbPNh5MN3KYPJ5+8&#10;4U7mzZMlhrfVeoJpFsIW4bMNX3jPfrjRgx8kPNASnI4IPq0lCClVlqBL6D7UEszaMmnQ29b1DYnh&#10;kKTjWoJOc/Bjp4dtiOEDWoLYuiHNkaiYED72EcEqw2X3FiqmgU9wRLDK5/ZwPQNLMM/tMXsGlmBO&#10;hr2xyJ6BJZiExl6ApzgiWOU5QnLWqLG3YLIEJ0vwUS1Bb78N13h4bEsQdgH2WnaVlPCtREwwxAYR&#10;Gryjq6PtwhOTvQhn4+UdJASJK3vRheUPtRdzKoCNpYYzIq3JFOxF2vw56kHCKkc9bPohTbM4hOVC&#10;h+haJNby+BUdaLFPtQS78p/eud8nDrWEVq6kepUj88aCxQTz0Q8SVvkS0SZjtJhYPsVBwqqYFyYy&#10;w2bUMymzZo97kBDYYM8ao2YYjQY2Hr91V3FYh6cOO0iYxGZYjRqbih8e9SBhck6NrFkDG4/huhL/&#10;1riJrNk9DxIm34RncJAwSR5G1qweN3kJy3EPEtJrYL4LRtasgU28C6nDejxrlh3WG8qaTWEzsmY1&#10;NvxNnObqji9a641nzTJssH+mTMEpU/C0TT4TFyhgdYxLn6MVOnCQ0G/mh5Bxasu/TbKDrA6dI6St&#10;IBhwO84RUuI9Wu04SNiOBi7mG+qxbbUrl63tctdZwhb/rrOE7WDsOkvoR3Y6I4gdXgzFC08/g1mh&#10;vB330hzq7TR0HoC8nQJZ9c7FCN5Og/fjqHkSC+zcVtSf8GSUs4OeRROhbgWVAcEP2YzlSVAjKyMB&#10;5BAfVgEgE5XydTQqYeOVVMDNQMXyJKiRhYrbFhgmGO3GWClXR6OSeRIl7viyYPEUNGpl4ZLnA5OT&#10;GI+9L5liQONjT6hsaPHgu1YB2qs0UkZrK0Z6IJuu8XK4S1u9TiwcCwBR2NINnz50hmUKstihhqLD&#10;8ITzq/V25VV0Z4reISVar26oQsHN+q+XV1e+G/obt5u5vf1986//QhzpLwuebdZ3lKs/+77a4A8X&#10;683/nMx+bM5uP5xs//vb2WZ1Mrtyecqo2EKqcRcnLW/i37xwPQE3CT3JlmMuTwFn+SWCt/aR9GT3&#10;7SmaiB5UTxxzK1QxpbkT5xqV1JMEcXM9SfC20JNFgQAVREUq5gF6UtAhNEPmuJ5Qq0Dasdeb0BMF&#10;zIic6QGTkbNJT9xVeg+sJ5Q2ARHYT0/2kwo3/UnRER1OejL7dru5/HoB5fJ56zfrX77drb9c3pHs&#10;9SrX/seP7a3XPvxh9uf11c32PdpA9e7ubt+/e7c9v1hdn21/vr4836y36y93P5+vr9+tv3y5PF+9&#10;+7HefH6Xz7O5+9PtZn2+2m4vb77+cXF2u0JFoNbt+H0zu/yM3Tk60az0ZMyFMM4Gtv0TOo93VP8k&#10;5Qko/0QfWhd6kvIEYhu5THkC3EYm0jY9AaUnGtXD64ny5ZSeaFTSPzm2niAPxXCcDD0xoPGxP8A/&#10;YVLHx59Q2dBiQfcVHQ1oXNDd6jFVOJ4BtsZAr28+vjtaGTExA56WcKFSUUxvIe9QxvbOzmFlJMcv&#10;kuKgjOHT+2wClf8lRmKnE9a5UuQNUgHqDMEb8rEO8c5uN9u7X8+2F7PvZ1fwstZXl5+9MbpZf7v5&#10;PPlrpLS79RVvt9JXFwZrhfgPOLoYS/ov8nlnn378+/rz6sPJGewDN3Wh9DH0nVJhCpRLfaT4X7Gs&#10;lzPXHwAyngwBOaQouGQHbegLfU3Z+UxfqZHlgXCOJ0AmKqWvGhXn9zIVaIvp3TWyUHF6L5ZNbaKK&#10;2d2dQNWoHlRf05MYj/0U/4Mfhlyqr+Ql0WK/XW/pbTslKwR8fZqF7aRH8dewACORSKmSl4kdqtSG&#10;9oZVqU2gCg5iUKMp/vfs/DWUrtJ64uJ2h+rJYumjzQ8f//NURP09Kz0BoFlhoDpAT463n+RVzkB1&#10;gJ6kZI7H//bcT0pP4qQnCN+4pAsSkOekJ8LpGNaTo+wn2V7OpCfPT08QK1P+ibN1jq8n5IofM/7n&#10;bW6DI+8f/0uFtGJOK1M7JNI/Ia/JQKX0RMeMhH+S8pqYf5LymoR/AkAmKqUnGpX0T1LBUqEnibwJ&#10;sZ+UFLqD4n9JqYsHP+nSiQuh0+srnoB943+pJcYTseM1NsX/gqC2p+c3q/O7GWJRsIF9MsAeJ+2H&#10;438iZpdSRiGgwT8KnwNRuz4t4x7pGALVFP97ueXnqCqv19ffLm9WM1QXI+en1daPN5Tk4mzFP25/&#10;W5//13Z2s/54gTDEym3Xnf7jFpFAt2XjNgnP/+O7/yf3iBa2GaxIimlz9EK2IF4iEuPg84cwI0V9&#10;/7ZaX8/oDx9OroDaBUTOvuMlBHQKQ7dNCLqOOKO0Lf3ikIjzPoFlgkBf/xH3SKliMpvDuM7VI85h&#10;USNVx7nO0xzed5+7gpHG5tAdz3u097Aq2ihLVs9FTYsCFRAf5E3Ml8vDL4h5rq8i7Dg2jfHB0Yd/&#10;FadpPE7WCdWDZ9PoVOh5vI1wiB5CFwsUhXt1wgg/yE/jf8Iyh9lyBQvH15pu55J2N501IMybXzab&#10;9Y+L1dlnZDUx+8b/A/rXe+2GlhWJM8yYLEdqIdPGvKzbqcT5T2+4JGwcciuGbJxDTJkptfneqWiU&#10;h6xXk8xFm1aTs8GnRPkdiY1UrU6vJpl58eJXk+F/lQfLzPXl3Wozu7q8/nCymNP/Wt6cFtuOxVYb&#10;u7J+HyXSQWjQ/XUN90sJWfPmSbMIkxNE7fybd9xpSQdnPUog/Pq5fR1OgTU6TgcFxR1t+OG76Zup&#10;ILpKHeU5PlmGwvAomyCfE4fQXZuLWQs+TiniMfQkqDiM685kKFAihE73smlMcfwWv0bWkQGJB9CT&#10;kFQAXUGS8XMbE4+ex6BeRhzYb32OiNRiweG4OU0ELeE+FBtHV5smJLL0v7eisOHlGBM6xRFxJw+U&#10;+Egn1Nx/bL5++ni18SmRjiJDT8xInFInj3A0gaqAegX/62a1+rLeXMO5GLM1WTUIiJCzkCRVfzEc&#10;VvJIUqWekDmO7pxLMoZU6z1IFW3AYMatdozpk6AejlQ1JE6qgESn3PQ4PSSpdpP8ApLrj0Wq+M4D&#10;pIrrCr2DfB9SlTtbeFuj7YSJeF/unhUKD2vijfetKEhzkDWLS1A9I4YNDNRfCUGadgmOZN6kmabN&#10;Wepa0DO3aB1hWqZxbNKe5nTVkfEsbtE6prOepcm3fdYoqy9YJS5bOZmM5kNn+7UFzuj1Pk4WtBu2&#10;NC8FYClWwj+HnESogiUYPr3l6NeYaobxPeA8TX24dz0ZhccwCrFmlVEY78fem5saSsDB6kDRac5N&#10;IV2tvQd4vFVYNkU2K6k/QTuKm3QOFmcmKpDd4e2ty5iXqIl5DzrnpbJZojiAgUnxksbEXe0EptjV&#10;TmLiVmHZ1Lht2MCkrEKNSfja+SKzBor52tTGHCmRqVY2DYIJBqxDMtVSwOJhTwPjI485tMfLKBhq&#10;jBgf/HyxMEcsHntqY45YLmJLqcVlVAvVwES10HxZWcDYXUPUxgYmVv2CLhU3ptIoFWoA48NfZObL&#10;yAqFUhsbGB/9MgksHv9TV19eAyv48Bf50hqxIqYbamMCKzjjJHnCKBJqAOPDX1RzE1i8+KmNDYyP&#10;ftksEL80ptKoEGoA48Nf1KUJLB58amMCo7JDcWC1obIrBjAqPejb0fHJcm5eci7KgxaNyWOsOCi1&#10;sYHx0S+bEjfDW8Di8T/F9WrW7eslH/4UsJj208D46Cf1Ef5pPGJUMFpPJVzcePgTU0nF87rBT04l&#10;Ze2xqaSLzowRo83n7mmnKOxjAuPDT/nahnbjUuj+UT6nuzU84jA5JU4wYJk9lai01z/tFNfRmcD4&#10;8BdI2LaAxYNPbcw1Rjsg+wCjoF4/YtB5Cxg5oNHDEsCQaNg/igEb5TqdhlKlw74TpgtG46nbnUF/&#10;w40xhNQYZoePswy3ts+cJr04Unn39BDFGX46aS81h3DuA4YU0TXf75u2l0ycQmT2eTqpBz0dWap7&#10;NW+/qvfcdw57W+T1FDS5z9PL9quW+31VYiXC7utj7gTTJqqcdre/D08TvcHu6fvNantl1ileiuir&#10;elAj9mRAs7QpQ0xk+elkIQPkLke9vas+NAvuefj0bno7Wd3whN+GT9+qvYRuR6vGr3F/gxYGITwj&#10;fPpntbCQJuSHLPw2fPpWNAT4jsth9G2rzAe4dnWZoWDwUJ/tfScZ4htDzbBQCVrvoAbk4dN/AzIL&#10;92jWTuauTqFA9LDuBQ99hU/fZ9ul373uhgN/OCDmgq/p9t6mjbjP/6B0usfOf0fMS8dc4vzpe8dc&#10;FmTeYhXlqE6ABX72PsSD8dfuhGBg4LHR4AWdyMYP30sfKWFWCBkhatOemyB5A+dTV+6ILRBqgjoh&#10;DnlssnHrj8CYiGLzb5/MBmd4a0RghM688na3RsTNviSi2O5zlUvUGIlgSwISC7bEmMAGb2cLDtNg&#10;KajnyaAtqUi3byUuyTqQTKeshictuEjSrgLY7s06NFUsSabdbamPzqa7bkstEH7bQafUZB86rRFS&#10;Nwhe0amGxF1pF5Ad5lMfj93Npw1iiwYkxacakiDUhOowQk3JjgxeLyhGbKAygtcGLi5iKVzxoCdx&#10;8WEvqZqXiStWMn/G2sDFpSwxh+yEdWoSZeh6OUew3xgvI3StcYnQdWK5s9B1ar3T1SJRLATjlcAV&#10;D/7pfnejJgSbR65dVFEv+pwPfRoXW/b7XYyawMUD1xGul2FIpAM4bRCE1xhLN28jA34fEd99OJDw&#10;FPEeD2pE3AGvlKvaOWQ0dTeLpqwm5P2SkzF8P8LRb0Ud7q717DvswWsOn957nu47fT03NtBSVgaf&#10;M/gPNfiWOEJses/U1VHdZyc2+LHTfTYkkMlWQgFj/zklgFL/kNdAYiMhMfmjrSsNiVseCWMhNjtS&#10;toKUvgI5ugYkpny0aaUhPaDBt6ywZ2WgenKDjzKaLVzxyD+FwdcgMGPgenKDL4WLrfgnMPhSuNiy&#10;nwy+vYvKTgYfdlkmg6893nu6dn84ZLtkMW2XkGnlLw57gu0SCJk0+PyxtQMNvmrepqi2N3312yW0&#10;jUIGX47ohd8oHLlhUs0RT6vm/nHxLobaMEHXbuem31PhOybAimpXKtU1tvioyQVSThz2uDNu8lVz&#10;5CtZmJgA7nO5fZ4VFqbY8KAmJiZu8+EgQ2NiYuK31832OS76MgaKB/nQxkQlonwYJVymYk1fPO6+&#10;2LueQHE5V46lYAGLh53a2MC4sU2YbGDx4HurzwDGB5+yPC1g8dj7TFBjbYk4XxKYYfZpYDLOl+cW&#10;MB7nQxtzxESgLzmVRoqqAYwPP+WTGSPGA33u9gVrxPjoJ5f+IVfZF0jeNIDxSB/amCMmUlSTPGGk&#10;qOoRk/fYz801RtX0uv1VlNRLAOOjnyRVI0XVAMaHn46rWyMWL35/pN2YSpGimgRmpKhqYPgbFpm2&#10;gbEUVQZsitrShjCCt9a9E08RtU2CeYosvdEhZFqeSF2jt8DaeG/TzYLdlIoht+FhX1wKmEKcNnz6&#10;eG2bgrnj/nqwAoWjneGUfJS51d/3y7KruhTOgCZ8tlFk11/mi0YmO2yx77q7vh2IfD4c326Hdbq8&#10;/jVcXl9DepQn4yKvh3oyGdmYzmERh+0oR5E8mT6Xcawng65mFfUn3BTlyaBr0YQLW44COUZefGxR&#10;UxMzLV54MhmZ5wam2KpwyV8aEzcp8tI8RBAb09TExMTtiQoL1cQUGxQu/UtjktFrfDtjoLgngzYm&#10;KunJpGAZ4WsDGB93t58cjnf2Div2W3tjziemGUcuRFH45HgRj3amofdkDGB88FPA4rFnwMDiLyBl&#10;LmlIHOVkA8YARtOIzWVMy1BSu1dg5Df4iErKMmjTpWGo+XZBe8On12DqC7QWzIzwy/DJGvXc53+N&#10;L3pI+O/wor/TCfVjnFDHy6tE02XgHSqaZMLSIipw+sspVciWpiXoRbNdg2M1E+w9qwy/UWkmeh7U&#10;TAo44P+yUayZ4YybbMOpm9CYkGLu9vnSChKXTDrsZ0CKWTucB5SQOGkDkj1KMWv7hGkFSSgmcbuB&#10;iSlm4H8JSgpmXqDklDV38aD70J+ePRH6S4wVF8z2HKzCxYc9OVqGXhq4+NDTmrHGKx55akMWhsQl&#10;A3+pWTQCfxqXDPzZuHjgL8I1yfi9Qx+jVZ/eF3eUzQwHeN88yHRK8z0Ph3TqIOLhk3ndwwe8CAwY&#10;fZ8nBUxjbILpFmh/aOqptgQbLBxlEzgxP9gmaEDrWEGdvxVsAjqIeFxHuiAHsTupFblPsb9jH+QW&#10;jrTtH8b6RKRsuofSKlhUJiZlFWA4hKHC5Yk67Maw/26xVZDExLUJQ4RtSmOcYnFyZoHGJMyCVA2W&#10;2AxL1mAhaokSxqs8MVSGI20A4+PucuZ2ONI+aW4PR7qYo/ajMV6GYWAA44PvTiQYwOKx9ycSDGDS&#10;Mihy7IEbwAzLQAMTlkECGLMM0sD46FdFsbCBsWXvUsEMYGLh25WR2JZgcipF8n9FxVrMEYvHf8+q&#10;NYk6P2xLMFnnR24JwmUygRlbgnrExJZgos4P2xJM1vkp+OhjxBLAYuY5LezCHVT2LnrFU3V+4sFP&#10;1vmRW4KpqTS2BPWIiS3BRJ0ftiWYrPNT7rn4qWpDH3eDVlkVRWTVGrvOD52n7x4VnMH22rReG0o+&#10;+lWKLg6qWgOH0JAjXrXGnXwxeExUralSBHtQ1ZoEsHjwg6eqRkxUrUlK0kFVa+yppDoRu6dSVK0B&#10;hdkSflDVGvh7xlTyqjWtT6hGjI7cR284cavJY3RQpPuapxgKa/HTsYDoYalyOmzxJ+v8iMWfBBaP&#10;/2ltl2wis3g3MCrm0X3Hqc7P6TM+95UM/D9FBkESzOur85P8qu1BstM6RBqGzwrSjVlwKk/xyvlN&#10;Ddd8dOgFhsLQhgvRAHoNgY5U8IWiolGzEHUJnz76Aj5Emx05Fu2TdhQRajMeuuLooaPw6Ttsa/Ds&#10;aEV8Dlw7emxA1IR+R0EiHzvaVZDIt9pZkMh3ubMgkce/qzbQngWJuqSaUPUrDGn49EPbTtOuTv2U&#10;TwWJzjark9lVfHDyzv1HWTXk4W7i33yKf3N2c36xxlXadyfIRKM/frzDf+GffLvdXH69wC3AvmbI&#10;zfqXb3frL5fuGmAKXD1ZOA1MoMJpbi0dGk7DVe/u1eu8/hBOw1tE0TR//h1EOHaHDR3NcIuo2hmL&#10;bZzTxyxIRGBMRMyyJMNSlf8RZiV5CMMFNLyDoL+8sClxI66JiJmUZFEqRCKORv0ZkIzttW5+X0B2&#10;xWg5xlrDRgi+spUXuZ8W+1aiIJHMUvR6LRoB/SFJDVPVoietWtSABxXjui2uozMueatPQ7n6eDa+&#10;deyfHqtqUVVm2L4wVEBxrobESdcF5IdJ1wdxd5JumdsyoEhXQxKs60LeGhNjXR/y1qDk5kVJe0/G&#10;QBmbFwYuHkRJ4YoHPYmLD3tVUvjWwhUHUR7/EHtV1kgCMXAZWxd6vMTWRaJmA9u6SBVtkIeZkrji&#10;wX/8qkXp8WLLfjrEPh1in8El2pzMPn04+eR3lMmKaZNQ6Y+zH3DcwRK7LKuu8k8yzAFrmIIAbQQm&#10;uMTh07vGe6WVtt54iKuEJ4TPNmDiQz7D3U1Vi24/nGz/+9sbcrERslMGn8ulONTggwTYLja9NUc1&#10;+JzYUHci80P52IYEPpTBt8AGuQGJyR852RoStzyOaPDRFaUGJKZ85GVrSA9o8FVz7MAZqJ7a4Kso&#10;J8TC9cQGH3YGTVxPbfAlcbEV/+hVi6okLrbsJ4NvMvgmg4/q8w9aoVOZyle0p4JgiTL4nAl1qMFX&#10;0fFheDJdtYqwp0JZYmTwtYdVjrCrgq5mFfW3y+JD16IJD/EBq1ldI5iFuLGNmpjlSHi0qarI5DMw&#10;MQEkk09jEibf8aoWVWTzGZiY+JHNpzFJm++YVYvqOaJ8BizD6DOA8XE/atWiOrPn0EhRNoDxba2j&#10;Vi1KATPMPg1MxvmOWbUoNZVPXrUotfQpF6HLLvMpynrEKNwSbwQcs2pRiieMFGUDGF/8VJGoo9s+&#10;Y5WlKO9dtQgvpPlWPnnVoqqGj2jQhZGirEcMfxNPZaKcEktRnqoWTTmHXykhhvbLb9fb2Z9IkWsL&#10;3Yi7BUfvzdPyRAiZTKPDd+fb04X+DCwghYhv+PSRX9qjgRW2o2gRHVygcLQznJLPIthoJfb6+559&#10;j22rbEfdorbLXYWLWvy7Che1g7GrcJHPaJB1i+Q38CkNshWG5ZCchqlQw9PmNMASVx6PSyk60OMp&#10;K8qzw2tQ+jzPvk4rdsN9iDtss4xMIyurBYqoIyYpvRkV4tb78EL/sJGNzWz5nPhMJu114yYm1UaY&#10;HhQhtSApf0dD4v4OYnQWpDjQSk0sSNziLisUCrUgMZOP3B0NSbg7ZU1PUkPAchqojQVK5DSk5y4e&#10;dF+owcAlR92cPlaoIZ4/MNULyHBLprOTQ4j365TflIMvNa4gEIbZ7dvWpubS/hQ6DduoqX3bvVLi&#10;cN+l00l635JiKjoMqn1+td6u/L/bqTbbA+5Kvbohi+Nm/dfLq6sAr62evb2le0eJFn3K72yzRlYw&#10;vvH31QZ/QMrw/5zMfmzO3twuKZaGkhC3UA6WkNZceSwJwRslAmJPKSGIdJWVhnR/CaFLVjVdMwlx&#10;J9y0qkkJcaqmId1fQhKyxiQkpWu2hGhU+JsomJHltrRNEvLYEtLS/n4SshjedPFB9R2eluhwkpDn&#10;e5YFpCQlxB8AGy8hrb0a9l3oGJ5LtHF/D/NjtBfi7GuDhmIW2qcyTMK8jtksZV1LMnOOkYakJEQX&#10;L+BeCFnNOyQkNqzj6yukhCRUTUmIhiS8kMqWNS4hCV1TEpIQNkNCDFx81FPSFg96UtrksKfWVCze&#10;PrPawCWGPuG1xSMfr6tX6R2lnSmMqHOmwnHTox72hUBZAcxFGyhsHaCUM5XQr6BjPpzoPa5jyKVA&#10;5bvBatjpZ3XeEgUKKQU4m0qtPXGpNVCA0tNRNcsbqr7yGFG9apHjWBB192xcMkJjQoqp3ZVf1aEq&#10;TuwJ7YpZnZpYATRO6oCE7T9jlGJWd3XWNCSpp3akketpItQo9DQ9d7ERM0X1rLtOyOR49KieUJiU&#10;EB1PY0SHQcqmqN7zKy8AJlES4pzyA10ysBU47DElRN2793RRvcDXCtL9JcSmayYhCbYWErJA9hrh&#10;kkJ7fwlJeK5MQmIXI/YTExKiUBkumSFt3CVLuK/TxhDtWvi9iz0O9E0bQ+TDTRtDq3c/1pvP7/J5&#10;Nnd/ut2sz1fb7eXN1z8uzm5X8HRbZfh9M7v8jPSdBVaZkhAXdjtcQoIX8sBRPTKtTftaSYiOv/Dc&#10;goTJHxvEKZOfk1mQEOUYKQnRkIQXcmwJUZCUhGhIwgs5roSgLoHhGxkSYuDio35fCWHSJoY9uaZi&#10;8d4zqpdYVnRHcpfIG6+rKarncg3GpUhgtQykSAgvKeVMeSN4x9aVGYuTeXgkzLCnw4ZacKbC50B8&#10;cIrqYbJeXMW3BcTH6+lvlzerWYaTZ4iRtVr68YayU1yc+4/b39bn/7Wd3aw/XuAI48rJ8+k/blfk&#10;ZFJSC/sn9B+U2jL79OPf15/R5gz17VzYOuyMrb98oWzfqln6uDXuGPY+Q9hTAy7aUgsLMfw7uknr&#10;b6v19Yz+8OHkCqDdc8++o2QE4UBsuW3Ckm66MDLKBNMvDsnj2ay/3Xz2fZDl5r6yTOAJQ/Fje+uH&#10;EX+Y/Xl9dbN9j0FBRs/d3e37d++25xer67Ptz9dHuBeL3ms2hXH5qIefQiTUQN4wVVnuTzX22Zl4&#10;IaY5JAN3t1kLFWBzGFeEePg5rMrG71llWWIO8xz17P3aP9armFfN4tW9i3gV2DzGBz2neXT8zKj3&#10;uXIqzCA2j07kmMY9qCw+yfvYwNJ/bdoId4nNoyOxx5vHYum1sUbJKLCnksacKggfnVYPP//yXF9H&#10;qFM8jT7APE3jHP9rl8+LYFX4qWwa4/SBR1DHp3gbG0SIXhupGtt4/kra9o38A64fSI3+ay8vsFji&#10;XFfrQrRp88ENrOfozNW0KBahqH0wQM+/eV+Qhjf4f9ExnP6YNvyQ6JB5WaH2Kbpsw719MxWHpc4d&#10;a/dteCAWLk8xox+yWRyKdY1Q2KL9AnE0j8cFCZMJTEVjDWA8LljU84UJLA4LukY2ML6th4ClPWJx&#10;ZNBlhhjARFAWZ1TnJjK2s+da2dDE5l56NuM58PkhFjo+BckJZft7YkZfZRwUX2pcYJMG2524pnVP&#10;r2gfvPRRxGrhw5ZBwfrfW9HG8PoAV/h1+PSPw4p3HDKc5C87Dc+YskWeXbYI7mFprYW/blarL+vN&#10;9SzzpH2wzFC9Dh+pejSZwZl7ISFPLzO4/bBYamAHyUxmkrmQmQzph+EFjvWPy0yrfxrYATKTFEAm&#10;MwMKaMuMxmZsAE4y84jJiDtlJujCvjKDoKR3yIM0hE8vM/DXiULCat4pR6Hb8JRJaJ6f0HR7YJHQ&#10;xPtg9/dn0kJDN/we259x1rlBTcHtQXE9d/VRjc6FGEl/JmGcx7b0gG3OjenWNNfAtNBoYNyfSdrl&#10;sdAIs3xIaBIKqIVGAxP+DCTElkApNCkNFEKTFEFLaAx0fArSMhjPwZAM8nloPUE9pUbhPmO1ZVzw&#10;075gPBFivb1Kb+uxz5LR3Aw6Z64BdC54UynnTKprkLnwGSeM5MWxtJXQR+B8Z1gYBxwrQ0G6Q8Nz&#10;lGjw69n2Yvb97Aq3GFBlEE+v+0TRp0ofPqGT8j9YTPhxsxeqjG5BxloqCn+Vq96iQVlGbxCGuGNI&#10;MDk0B+U1bnwvRQIDrkLHoD3eDs00jUfJJaLtSvY2PnL+wlNMYwPb5VAJ2IfpiTzoRXjElLAlrDs/&#10;jZFHE6cw3NujWbQ3WMPGFmnyNTZjvUcjaPLg7RlcElEscHe1cFV03EyfM+LuDD3FfFTszpxSMR/6&#10;EqI7YUinHhXb0e68bvuoUWZqCBq4wgFJ2xDfAsK1X1vAlG2BcGSEH4NmBfbr9lBeQJayHX0kJbQa&#10;Y8ThFvBD3+DJiDtCCioyzzXfuIk9NFTf8U0Nv9e9mWFHuKQInIugHIlv8sXSJAnFN9SzIIlD+cZ4&#10;1KF80z7qDfANfVOLb0o6oRKx28Q3J8usRL7u7LXeU4/7bRXflE7BD+WbJRWmxxrS9g1ecWIb2BLH&#10;4RskIVEyRdmed+hTSxTfqCNwnG0AtaHNN4crDnbG1o1rdEH8JqlL8E0KlbJvFCoeIcxA2CYqFqml&#10;RiYqHiBMjlUcH3SJJwqVCNMmYbEwrWvV4RpFqadOtryNRaQFU8vaFfN22WlYW8MGn6e5U0CGDIVH&#10;+8/2wtTN6vxuhmAUvfvu5x5nsbHuUBifVohFrtxIG6bWYuF8AyAaY8zhAoDJmOsqAj+B84h3UDqP&#10;ZZypeW/nsQbZOXKtZf32jO4aIHr1N5Zj5YQg24HeY1GX1Yx+SLrT7IquB605xCKws1PrPEHGr9QI&#10;tZV20WuNs98WLE2vGpYg2KawYTGCpUYWLMGvNa6isWBpftWwJMM2GHlruDjDUisLmNwGq5c2MmMb&#10;jBaRmEnc0BGnfGYNjqeb2OLxd61MbHwGiiZLrLF4Cvyhawsbn4M0tngSktjIG4qSWwsaX2tGjQus&#10;DGziBqssNafsrnrXyho3zAvHVhc2tngW/GX1FjY+C1nqPYBB1PZKl8qlXgTaQmLjhruPzHGLZ8Ff&#10;Y2VgE/dYpakjpiHXyhq3ght6RZPAZtxkZWHjs5DVS5iNFq3Fs+Bamdj4LACbPafGZVYWNj4LWd3U&#10;NrZ4FlwrCxu5PGxOE++CcZ+VgU1caJXV+KbWuLErrVwrExufhSSHQLn61XsKV+EHrGnFbyWfBYJl&#10;Y2PvArUysfFZKFLcCxcrxkYXfBjYKj4LSWxU/dHPFr2nKWyVeBdSioUNp/5pp6B7GxufheSc0nmE&#10;CBtm3ho3mAZtq3/+aYZIc1Lk41k4xSTY2PgsJN8FirdH2PDGWNhqPgtEbSa/1fEsnNZUVNqYU7pi&#10;PnqzkhyC0/UxNjCNiY3PQhpbPAunyHKysfFZSHIv9ncjbCm7je5Wjb5pGls8C6cwo0xs2MWIn5bE&#10;RpvQ/ZzG2GASv76LZZLuMKURwRuYrsXb81q85ECSjNBA+nOnPkYwEIYgZqfmvkTuzuZEtq55OJI1&#10;HLfA4TDf3IXodj6dKImeDjKJ4hzJr9peln3q8zd2P739qnjloqf7fzYmikLGLuIo8ATTYRTv/qKv&#10;VBwFVIZv7osQolnIogqfbQqyH/1FGM3w2/DpW7VztKMoEBEUetzRKsMxU2q2o8uM8vt24yd9oWbd&#10;aATg4dN/gdAM1pqfqPDr8Nk2azv1mzPJQQtfIUTawkPCp39YOxx8T7KfBzayw43IQ6KhGMTup3sH&#10;cj/0O0bBNxIjisE4ICMOD5nib08ZfwNBqfibW0eHbm40ZKhiMWYV8ntcpCRsplLUhcJv3Y2mY8Nv&#10;TdXMCvzw3Qxtbuy6MN7lVXeA+ydxCxPJ1xczjz7eAhEGpnNSDVTMvvTmpQQujEt3rtZAxWxLamSh&#10;Eqalc+sNVMyy9IalRCVjb6nB4rE3amXhkrG31HCZsTcFjY89rTmc2wsLr59HfqKWWpnQ+PjT0rLX&#10;VzwBIfSmoPEJyJKjFs+Aa2VBU5G3BDQz8iahycBbChoPvMUTCrKfHIXUNhvNAWju1J/Ux1A5g9V/&#10;jjL6nM0H/knbfMECGDb5OgIO9kj4DLbQ3tbEsFni7YSAyXdyoJkwbdM95S3LBZnkykxw+6+Hmgnd&#10;Nl25bLfTezMBSumyIILDN9ZOSIXx4jiIO7OW5WorT8Siqhyxzw5yLzDMUKBG2NhXz+JiVdR1bkbJ&#10;DENBPYorFe4rwpaTASsWKtfIgsWFKhmEinXKp0Ho0ZKmAiCZuLipQK0sYNpUsLdNTFNBDRlYj4XH&#10;ktji8adBtbHxGUhumxhn1YxVJs+qJbHFk8CwTYocslRGSSzmnvJT7CIirZvtX2wMeEpl28Ai7ICh&#10;WIJXx2EFDWEJ3uowDUVYfXK1n87VLuaQG6WhjqVGa2gh85bdunGpLiFJarSGJrZ0DA1VG4hCQwtK&#10;JewgJzSUGmE7pz3/0TfiJJ4Uq5jD3UkJGhEXjegfxRk8w2FoExbTUGpkwZIamkgoiem71VAFS2no&#10;HNpuDJfQULSygEkNrZe20WFqqMbGhz85ZtzfTg1axmegqBeoFWOlU8VTEPxtjY3PQQb33R63eBJc&#10;K2vcpMOdwmY63Aqb9LiLCnEKY065x02tTGx8FrCFbs8p7LN+o2/vVJeiSGCLZyGjViY2PgtFM0cC&#10;sjGneTwLe6e6FDnquRnjVsQ0lFErC5tKdcHtuRa2w1JdAMvGFs8CgbexiXehweVWJrZ4Fk5RWsLc&#10;Ci74LLhezXGLZyGJTaW6JPILD0t1Sc0pT3VJzSlle8Zb6KkUocNSXVLvAnY6+zcr+S4gkVVgs/2X&#10;w1JdUhzCU11SHCJTXVJpX4eluqS4F9s98biBoa33VKa6pOaUtnq7RIa9U11SOs9TXVKaJVNdXIzY&#10;4LfDUl3KhNbzVBdqZY0bTiby9Zaw2WgTux+3fVNdyvnS5Dee6kKtTGzyXUhhixlp71SXFDae6hJj&#10;m/xlcgYTB0XsCHa6OdaTC3iHUO9whgZJPzWHaHv/eLg5qbFr7nwlzNuO5iAF1zxkLAw3J82i5lCb&#10;fcBMqS6pNdOe2T99qFQX+yZ6H0TpNjRSERnfDJfXDAVk2iSWHXknJP1YMDue1S4rxFyGemxb4WOw&#10;le9xRziJ5Au4wisYtnTCZ5tyAisTjXg4SaaciFK54Qnhs90kmvtHDfcXknR2YA9hrh0DEZrtGNXQ&#10;6Y4pwvUzfiYDUYQvGD7DF/WLR2QtHRaDm9JdfHmST+vP/6DrvvpaJbeX5+/x//b6KvxJXV+1vl3d&#10;4HIrqs17drf9eb35+u7z5uwHru+8vsKlnvP6Hf7V3bcN3dFFT7v5/vvlOXVC/3H+H9/bWz2LOabd&#10;x+Hwe2qPHQrnsId2/l8hnenynN9D9sv2FkceqaRkdzXZL5vN+sfF6uwzrtvybzF/CmHiSD5dXd7+&#10;9fLqiuSX/tx+Y5ydFNd1Gd8XF5ldnq9+XZ9/u17d3PkvvVldnd1drm+2F5e325PZ5v3q+tMKt5du&#10;/v7ZZwdiX60NidMO27fN5YeT/80Xv8zny/zffvpYzT/+VM6bv/z0y7Jsfmrmf2nKebnIPmYf/4/C&#10;xVn5/tt2hWE4u/r19rLFir9VaM3Lxdr58VeuXp9d3pz48mWBfwDIRe0DRLxUNCQuTL05/08MNngR&#10;96fdbVZ35xf0xy8Yufbv0bj7hRvmfmRp0OkyAPoXIfDZXgIHnxpWMjgwy3wCW1+Di/ZlfIISQnCe&#10;kMM/FlW46OQrjU53EwCxQeomOGp3s6YpDySP79wjdH/Efz7SDW7FHOaUCkM74+fQMPSS3ig3olAO&#10;N2G00M5x4x7dN0lR6OMdZ58jKrLEV3Dd9KHcOPzjdnL1vagiCJ0tFjMIhapRCsSda0S/hzOz+zh7&#10;gzwhAxVzsyjjS6PiUR9ciIaYpYEqdnRdIwuV8LCWCxzCMFAxB4syvjQqGYLOaxsWD0FTKwuXDEED&#10;kwnMCEEb0LiP66bIGjEegY4nEu/q68tdwpeCnzNi6xMjTTufow7mN55Zu7c9GFLh0xtUdIUkOAGX&#10;AAY+PF0TR/JW9u7oVNCazAyvKL/gmtMvl+4eUmJubVLR3z74jaAF7lLVehJX8rv3Cf5eTxpnmvcK&#10;TYv0uHqS4SSdwZEH6EmD6FgWAPfKxPUEjSyG5JxGgExU99cT4j0LFdOTmBzjvOaH1hM9WAfqSWoS&#10;47H3l/LsoSeJeRR6Ek3kpCfu4EerPXQGZPbDm35pPfERjWBlD0dtht3zVk1EMRipJry/oDSTmjw/&#10;NQHHKe/EOdbjvZPAN9I76SI7wds7tBzMMuEH3F9NvB8QACfUhBpZWy1STRJ+wP3VxLsBGhVTE+8F&#10;6MQdqSYJ0j7AO4HqmiLH1YRaWaP1CN6JHjGhJs7N1EMm82OS6yueAJ8fYwgdn4DW1TSgxTPQ+prd&#10;G/L6HKfkppZ9OvxYfhZGlKz4Xvna+Lz3oLrx7n8fNIv5UAepHn9SG9we9MVav65D5Z+AoTjkwOd0&#10;kuNpT3Ig4qQE1hliowW2Ql7BA4f/EqJxf4EFVrrgTx0SiF0G+v3jumsVhf8MVDG/Z9TIciI5vxdH&#10;DP/VVNDMgMUFllpZuJTApiYxHvt93TWaIhNabN2wiZzctYd117q9k6Az4ZMr13D0b/LXUL/1/GK9&#10;+XiHjUFo9LfbzeXXC7f3+Lyif5gpKSeF89jHywnMjgeWk0Sc7QA5ccTtS6nEIbSY0pLELf21hBcZ&#10;M5o70qBtfLGbVNc4fQe58MPYe5FMTqiRRdsPLSca1oFykprEeOz3lpPEPHJ/LVbgSU7uLyd8byfl&#10;44TdpHCCKehI+GR6Mu0mhTL8n/5+g1yUsmroBIsXkQ8nd+GPz15PQDtKT0bVg+52kzoD9uHifynL&#10;Nsop2C87oapxzBw/JHPHnEa/B3N7rzwWHaknCYK8v5607olCxfTEk6NGJfUkoXJx9MmdkNMqJ7MT&#10;vMzpwRJ64nRO41LuSSJcelB2Qus5qRHjeuI9JwMa1/NimVpf8QTsG/9LLTG636TPgInX2KuUumcW&#10;/3OpEcfYFwsxu5A0H1QzfDL1PCCOOEX/XqS84uX28vrb5c0Kx3mcG966ah9vfMYkEon+uOWZr39c&#10;nN2uTv9xuwpZruyf0H9QuuXs049/X39GmzOkprj4dthRC8mXdBONSxWsQafMucNoUmZHWPrhH4as&#10;ykOvP81wcoocZndhbki73W6+fvp4tWlzUef0PwKDJc2aPc/7FguSPzaHTl3YhDhSe6A5LAsSL0r3&#10;nOZwff3Op2S/+7HefPZpzvSn2836fLXdIjXdvThYge30hBx0Mk3YHDqafrw5rKr2PexudApG8fQe&#10;ZnM3m7vnsDtH0HKpC1c92hxWJXxel0jpj671WXLtFOY+uRmsdiwyfYV3SVMtAf4mxqnwD6+I0ywe&#10;4yrpgmp7MT6NE1Bf5yw2cNRem2UDw4LNYpz49Qiz2NDF8mTZZOGKLaGKKErkYlHH5FQkML62aTRS&#10;DHBnESzsVhzvmxHezClIQxOT+5qqvdbVdDkNOQ55oabmwDS+Zo7SK+hy9yEj6tw5Mf3WijhlBLy4&#10;4SSA7puxOB41upiFL5CO5BEmE5iK5BnAeCgpywsU0jGAxZEk18gGxoN5DS7hNoHFoSQXzDOAiWhe&#10;Uc9tZCya51rZ0EQ8Lz2b8Rz4/SELHQ+m0pCZ48YDenxGwRavL28OX2rcgSMabDpx5NY9MWC/D+Rj&#10;U7R/gRc7uOb9r3kIy7caTieg+iz0LPQ13FD0GXqaEsUp7kOTdLN+JseOKD3T2wp/3axWdCgc7+WY&#10;xINIZLxYPbDIJLhc5R4YpCRFxnF5AJ0SGTSyCZMzHGotLU0uv7/IgKRx+ghKI0UyFhnXyAb24CKj&#10;kR0sMqnZPExkEhMqRIbN6CQyVh7CTpHZT2PqHFrFjcwgDeHTa1YkNEG3QoPw6RvyfsPvJp15fjpj&#10;JCTgOteHdmYWYd8uxO5emjPjv8AzdGY0MKkzCQE8zJkhBdT+n9QZKjORFxqadGZSjpaRnGDYDaIC&#10;PqQX+YEWuljrXasEOu5Upl2tWPB9foKFjs9D2tWKJ8K16tG9ShV87BSFXjSxIB/aM+uU1S9+TGAQ&#10;w/CplDWE4EKD8Gm6jf6XeOwBZ5WwsXJoaI72rX892174PWa3reyt4H02lWebNTK9YSJ8X23wB6SB&#10;/8/J7Mfm7PbDyfa/v52hwtXsymX5LVG5Cs3u4pS/Tfybl50MSKlIcTwYl633uvvw8eA6W3ozDbdy&#10;uZ57jxB/T0HHrEE5WEDC8go6PTZhAXts/mggS0V42RkLFFVh8/i4GQvTPJ5tj7LLlousBX//z6Pt&#10;eD/NPDaINB2qAvuQPdEHDSEq9TxWCTi6jUDFzuLshftu0FTN0m/QoLqeyOvC37uKPaiFzonyQIeG&#10;upq5/vC42L1QgTO3eRi34GEzgkoV9tU2TxyycY1wOsajjx/Go2ZJVLEl7e8h8WZAH6XjNnRJNz9Z&#10;qGIT2jUyUXETGqgKc6xiC9pfQyJRiV2ZJCzmyHBcL8MWB8px+xhYd1TnBivEMpW9ARGMhOE9jHaV&#10;AVGwaMOnt2zRE2wO2QrNDzFtp2P4T3oMny56URQcpx7dl4Kbur2avJz785e9sdpScIkrH45CwdTV&#10;zPU3koIJ6qzH23NiTMGu0cWsRZ+m4CSqgyjYQmVQsIGKUzBQYTuF5kaM1WEUbMGyKLif6xew83wk&#10;CqbvPJaC+3EL1Bs+YwqWrSYKhsy9uKOGuBBOU3CcN3hfCnZWKUk0gjLi6Hq2QOzC5ykdh4OTBqc2&#10;g6lrQT7cEnbM6cCLZjENn+Z005TxLG4IO76znqVZuH0WXp7DOSoYVjDh6NXHB9bhV4qd0X/errez&#10;P+miEZZIMtwWODGD7Lnj+Ym+6uHUhFH3248BVeCk8NlyE/USg/e/PoyccJUQAT4kCDWFPi/PN+vt&#10;+svdz+cHHxChUvTKPozTYe9LTtjC9r5IOV+4ddTbh7jwxFGTT3rFegmxzANd9LqAzeP6E3yiuMlf&#10;tRLbdJyZCCsMxAA4ZSCiEc5BK5bjzESATFSKmTQq4aMj7GuiYgYiNbJQcfuwLkp7rJR9qFFJHz0F&#10;ixuIKVxiqzEJzNhqNKDxsS+T0OLBd63CkI2SBTA+lp7n7QFd8Fx/6hbOzsaYEAjDKQZzn0fTKLnm&#10;YR/fqY7vZEyVdqBAtAFr3ZKT9gqgIBPD0QZ/3ByIgoqET68mmFP6AqIVmh8QbGgN80lM1K03beC3&#10;vVcF/7XfvSr3PG1I5oMSE7dK2tj9vcUEDO+WR8/N4aREG2xor9TBejmKmFB/u8RkR7z3PlrSoo+F&#10;iROalzgDVcxne8V787zcrSXU6CJcUxSjkmJCwmugwmR1JR32i/emYHEtYbgw14cb8o/G2EAJKh5B&#10;wT7eSyvEouD7xHv7d2SMpY470yZL/QnvvyCnS5KrZ6uDyXUBsoH2ljksPMd6gVzJRnN5By68cAxy&#10;XcImLtDfTnJ1gZGYeoSlnmfZDIAVCccxBPq94zHZnSTXRWmi0uSqUAlLPc8aExWz1KkRsatEJck1&#10;MVaaXBUqaak7djUGy2ZXiUtZ6svaHC7DUsc/lTPNxx5TZI8Yyz13rawhExXLcZYgsb7iCfAZgQY0&#10;PgFu9dAP9RXiGXCtLGiUhOJF8J9/mhGqBDRKcujFEjfJ0wXrskvaQY8eloRG2zzdwxi0l6GWyZCa&#10;7d+km2O+nTsULvMYDsLRHFBznzjrJTv4c2OkG7MG7wlvuiXdPMY27Dy5BCbgCj5T+PS+k38Shgjv&#10;WrIRvcX4jvs8KTh0Y8wE3Ao/mQlPaSaAzJSZMOYcATJX/EulfTCUzGvNhGPZCRVOcrkOpXpE9LZX&#10;ZcPjemFIODFhKUNBFxEUhkIq0BjrlMO+jxtWIrPIGq1Yp/arbVhmZW66h9xSoFYmMCKZSKdw96k9&#10;YIapoIdMHB8os6KyscXD71rZ2PgUIOu8MUeNTnp2GrpndcMyyxc2tngOXCsTmzQWSrJI6YUT698w&#10;FvS4SWMhhY0bC9TKxsYttrqa5za2eBpOEUGwbvqk0FC0QJJzSl5ONwnpOcXJqPhxdZUlxi2ehlN8&#10;UwsbjmfGD8O7QNkixmZAbLG5Vua4FeJdqGDbWXNaxDbbaUH7nnpOCz4JZVYnsMWT4FrZ2Pg0oCBo&#10;Als8DadFbWPjk1Bmi8Iet3gSXCsTG50wiJZIck7pMvtuiZyWZDjrcSv5JJT53A5/IS2zf5hrZWPj&#10;05B8F+j8f4TNfheoIEH0RWGuwxUy1lsZT4JrZWPj01CnOKSMp+G0tN+Fik9CmYrPwczrv6hrZWJD&#10;RD7+qknureJpOMUFH9acUi05Nm6JkCbu294LG5+GpGZV8TScVva7UPFJSM4pbZ10CyQ9p7SHGn1V&#10;YLOVvo6n4RQbj9a41XwS0CtCKMZ6QwlLhs3HUFS4Alv2HFth6ykuvekfd1rb7wKqKccPK1ERycYW&#10;T4JrZa63mk8D0a7JvXU8Dae1/S40fBKS2Jp4Eji2yfsmZxBOuJUuY3vf6eZYT85Z328fFUU6XPNi&#10;v41UUmN6esE2UpNgWp/o1OfAhshBsjlpFj0dcuN99eG4RFtG5hQKsFfz9quClPdpTmRLYMCTezXH&#10;q+ea7xdTIUqi5mCTfZ5OLOGa7/dV6cWl5njnoqf78R8RsYEB4SM2dsiG3nD0GuIjqZhNG2oJzUKw&#10;JnzGQRtwsscffhk+faP2Sd0Mhd+GT9+KDFfA6o68hN+GT9+KzIjdrdp52NFjWwoUszCEnkYTPfp0&#10;jWRgqm2VzcNCCbDDp4ffdpkhjXKozxZ/W2k62Wk7GHJLrI+wsZHd1aydpl2dQuMwHFnHROELhk/f&#10;p59M3KLNvie+yQGZEPiaUxTuKaNwoCkVhXMTe+hmXdXyKsUSaIH0aXWw7miv7mhZdehpVlN3rpc+&#10;Fy62clwMTrUQdqaLP3Rw+weBHXoT2IcfdibVpUAxG5NMTAVKGJjOoTFAMfvS5xtoUMK6TIHC5Hdf&#10;8B5pEAYqHn6LYYEX3k4WRCIPzTNmkNuUKvtWR0kwm3Ig/BniT0+UYEYGj6LV+JD/vRPMiOecddS9&#10;fCEHgjzTp+FVfcOQJFYEIXodSBErGoUk1zifQnjvOENhsr0iVo1KMKsL03fD2KNizEqNLFSSWXE6&#10;2dIgxawalcyBACJzsDi1UisLl9zYoFKDFjBjY8OAxsfebx4YI8ZzIJLQ+PjXNcVyLd2OJ8DvaxjQ&#10;+AT4+LwFLZ6BNj6vdVJuayAn3oRmbGtoaGpbI7H6xbZGYvnTaaw4spaExl4At6thQONT4KOlxqjx&#10;XY1YxuM3U25qJKHFc+A3NTQ0uamRsnvglPTGShvI9RP6MiyMZMjlKTJHkmDomA1s9FMsBO/EDsd/&#10;7NgVJgT/bESUA6tkIKvf20neu0BXKXOqPf4dvkjwYcMn85+DaRZ+GT59o9YXH27UnjUY7q51/jvs&#10;oZ/w6ftrWx3HEvRlGKajBk9lCYK2lCXo4pmHOth1+472htWDWYKO2PFjp4etaf0BLUFsMs1gRChU&#10;TAjJxdaohAwe0xKsq8pExTSQ9m80qge2BBtsyRnD9RwsQVwtakJ7BpYgGfbGqD0HSzAFjb0AT2MJ&#10;pqCxt8Clt+jXYLIE2/0uuFX7GF+UB0a2mj9c4Y2uZ7aL+YIswdaUHTbyJkvwCiVX11eXn71JsE89&#10;v6l46+zy84eTgtLtlCXo9goPtQSbLuHZV7Lqt1ooq4xigjkCHJ5Kxp46bSj81hSqbFPslbvNFnQt&#10;9mOEKTivKPsOe/uiGdttoUaoYu3hx7EHERVpKEfWgMWkkGxBDUvYgnM8yYIVmyIlNTJh8ahU3SCo&#10;Y8FiMkjGoIYljcH5wsbFw4LUygQm44INGc/GgBnWoIGNj36ZZZTwrKdSxAXRysbGp4Bg2djiOfCB&#10;QQMbn4I2OdbAFs9BmxxrrDMZGUxhM+xBjU1FBl29DI1NRAZdwQwLG5+GOjWn5Cj2+3vOIDSw8Ulo&#10;k+4MbPEkuFbmnMrYYOpNILmNsNnvgrIIsUCs9SZig2hlYpMJzynyMBKe9bjJhOe8ooRnPW7I0+q/&#10;aEmtbGx8GuoU3xLl9+PmEp4NbOJdyBs6NGFgiyehpFYmNpnwnMJmJDxrbPib9gu4Y4euVwubSHiO&#10;scGqfAFbyskY6+sL+Ca/6lMkK472OWiF4lQkES+5U318uY0G+43YYFj1v+ZB3Naf8KeogSn8Nnz6&#10;h7VBapCJN9PCb8NnGxB2jt6OVDwzfaDv1z/JN8IdZHv0lyFXfAhViz3bcVFFOxD5fPhkZ5t5mnfe&#10;rB8CjNwhaWWH3yE7VWs7QrU2eu+Vr+PW3KG+zoIO28Gj6c8DhKg3pWf6GhDhJRrr66C84Kxe+ChM&#10;7HsoXwddCydGiFvqFCX3dVy5tjaFM+5PmHkLCq4ZsGIDw5XY0bC4cUFjCHtAHxyLbQvXyDy7wI2L&#10;ekG+jgErti32PdyZOkAZj3z6sJ30dRYU+TaQGb6OHrIHPty5oNC3hS2eA+/rGNj4FMCLSRyKjefA&#10;tTInVPo6qYVm+Doam/J1EocUha+DVjY29RLA4TfGzfB1DGziPUgdUuRpENTKxsanoV7gTJCJLZ6G&#10;vQ93pg4p8ncBrUxs0tdJzanh6+hxU75O4pCi8HXQysbGp6FegI6scTN8HQMbnwR3VM3iNhyA6R0n&#10;18rEJn2dRY3DxMZ6M3wdjU35OomDgMLXQSsbm3wXKJZjYeOKYB9oU4c7U9hiQkofoMTZjtitq1Ma&#10;etjhzoxiYFqvxOFOtDLHTR7uXOQJIY1lee/DnYlDiuJwZ1voyZkoscZX8l1AsMya04MOd6YOKfLD&#10;ndTKHDd5uBNLzcRGqal9TGLPw50pbPxwJ8M2+f3PbHvvWfn9STCv75Di6BAHpGroGCHtLcDX2hXi&#10;wMV8cbMQswifLFyy47weHUtHjzta0UFntNoRCGlh7Tr7B1cNz9p19s+32nn2z4/E45796yJMwe8N&#10;Ax8+2xCTn8zp7N/2vT8OMm1ItxvSMCdVkMbt3h4apFlif5heKp2aiNfoqGdU0NOspu5E/IVZIq5U&#10;oWwhIjR0aKGH2x8GiU1Bd/7BOnQh7PEUKG6OY9f3Mc/+LXGllDVSsTs0nf0bla6ORZeuQe8la5eU&#10;7hW890R+nLTwqfrhk153R5ESxb2OFo7Pvci0fCLy1Tmekn0TR6Q4+yZOSEn2pTi0IQmKfTUq7oMn&#10;z5SxSMieBwSXqNljoVL0q1HJTKCUVPFMIGplaZUMji8X9nAZwXEDGh97J5CWiopEoBQ0Pv71kuKo&#10;xkwahQ8NaDwQlZxM7DP2QYt9Dwg28zm2FAxoRmhcQ1Oh8cTqF6HxxPIXBwTT0NgL4LKADGh8Co57&#10;QDANLZ6D6YBgovzU68sXGR2/wALeaXJ1h+xSGRpHPCDo3Z5g5AX/O3x6P3w6ILjx97lPXvj78//4&#10;/vum9cKxlJUl6FbSgZYgsW3CC6fX5phuuCN2198uN9xQnCC/Pg0wS2jhAZZgM8f+joWKCeFjHxBs&#10;5kVhomIa+AQHBJt5NTeBPb0l2Myx+2rN5HOwBGHYW9CegyWYgsZegKexBFPQ2FswHRC0C5FOluDd&#10;RVtWgpJCZz+wF/TMLEHECBAAnyzBzz7uPh0QzOfZ/B3dT3m7WZ+vttvLm69/XJzdrpBb3hp4nSWI&#10;tSMtwbkrYHqoJZjhn7v9mPmDHxBs0NeMfsj9FrUjo4+EiKAgnf2zToQwU5Aa2YdVmF3ZZGQLGrCY&#10;FD76AcEmI2PQgMVk0D4UJcOCxz0g2GRlZSIzrEE9kypp9qgHBJussifTMAcNbDIw6BJT9aEoERh0&#10;ianWITxs2fikJ+fAJLEZ9qDGpiKDRz0gmJxTI2nWwAaFjb7okQ8IJt+EZ3BAMEkeRtKsHjeVNHvU&#10;A4JJvjWSZg1s4l047gHBJsvgURrsZiTNamz4G77eEocXRdLsdECwOzm1o2ab30YWdwkms+faalPj&#10;KsIln/4aDwjut+NP+3HwFHacD6RNHrTacT6wAEWj1Y68OHqx0ErkD8gTgm2rXUcE2y53nRFs8e86&#10;I9gOxq4zgn5k5RFB+Q38+patpoOEGL2zm/OL9ebDyV3448c7/Bd+8e12c/n14g7r0Z15vVn/8u1u&#10;/eXyjs5/kvfxZIWUIVTKJ3JZXwf6RFXTppqWBVLvXdg6HCRs4BO46Hg4qDryHGG1yKsZ+tvtEqFn&#10;EUAXGlhUOACBH7IZc4moEXb+VV08vldPgExUyiPSqIQlWOL+KwsVy5OgRhYqboFUCzhE1lgph0ij&#10;kg5RUaPqtDFYPE+CWlm4RJ5EehLjsT/N6CYwAxofe0JlQ4sH37UK0F7lmYfR+78Yabf/W5sn9Ckm&#10;CKELQbjU/q9Xk2UothZ2a8On37VtvAAP3yMjOgxPOL9ab1fEoHucYT+kQOvVDZ0HuVn/9fLqyndD&#10;f+P4env7+7TbasXYwCdKTxytHq4n3t7AW/tIeqKyh1WITRPRg+pJRsytUMWU5o6la1RST3B5oEXc&#10;XE/QKJBjfJBO6EmrcgrVAXqSkjmuJymdS+iJAmbE1/SAyfjapCfO131gPWk1YD89WQTrMahA+PR6&#10;gmVKPtheohM6DE+Y9OTZ+Sd0XFzpiVsBx9cTOrR3XP/E29yaikIA7p/ezfa7xD5lcsc2cpmyuLmN&#10;DIO73k9P9Hl7oScpdmR6Qo320hNb5ZSeaFTSP6E7ci2ZE3qS0DmpJymhM/TEgMbHvkxKXSzmrpU1&#10;ZBkf/+DT6fUVT8C+NU5SS4xv18Rr7FW6TslIql0NerQyEunQ4Sbb01q0IUWKS6CrlKdF7lrkkAU9&#10;C59eGb07dgz5FKh8N4B3QCExmLXkYx3inU2FxI5QSIx2jJS+OuPpQH1tqvae1of315oaoS/Xnwju&#10;Pam/RoBMVDHFP7q/hqgs0g5obsRYKX01nCIwR7xBnRSxeNzTIsZd5fQkxrbNFP+719mV0apEgpJW&#10;JSE3KVU6nuCIDoOuTf7a8/PX8HYrPXH1Mw7WE5Q/JePm0fTEl1uNQ18xrzl/TXMkJzXyPkwXJOY0&#10;18gy87nP0DK3RnWAnhxvP6mpUYaKoB1BT5KeRzzuSe9W+Gutnmhghr+mp3GK/2GF4mU75VfkPLCe&#10;1PBXI/dlWE92hfY8W+zYT+IdTnrybPMTKAlN6cmYQscD/gm54seM/yU9gZjX9ov/pUJaTE+o0d56&#10;oj0BpSc6nMXjT8loVhx+SvoBfD+p1RONSvknGpWM/z2Enmhghp4Y0LiWJ+0CXschFTIV8b/0+oon&#10;YN/4X2qJ8fhfvMagCm/+mojRykikk/a0hAuVUsa9Nr2oJ6jssDImPK2gkAORRIzEFP97cfl/JQjK&#10;6+tvlzerWTaP69N9vKEkFxcR/+P2t/X5f21nN+uPF2c3X1fuiNXpP25X5IFScLp17/w/of+gDJnZ&#10;px//vv6MNmfIdnSB3pDyt/7yZfbnh5OmbotElDiQ5F2JkC0IkSQxDnu04R9S1Pdvq/X1jP7w4eQK&#10;qN2Dz77j4KKPkocmLHmHkljpPGOG+reHRpz3OWwXxuLH9tYfQMMfZn9eX91s32NUPpxc3N3dvn/3&#10;bnt+sbo+2/58fYwYLpSbzaGbETYhjzOH83A6bZpDdyLx3f5nE6laOJtDt+4fbQ6rZul3mooCzpgL&#10;EYc5rOmA1UO8iUVWla/uVYTlFU3j0ontNItz/M+phNjpe66ECnsqnsU4H/7hNXHwXcRb+iDvYgEd&#10;fm2yCNcxnsU4C/XhZ7FGyTtnb2tGhVFPc5jjJKE3WI5l2+RVc/i9XM/0XawwWvEsxrlf0yxSUgjL&#10;nXiuswgbIp7FOMPgUWYRbg5eucd8F3Hw+rUxKt3zEs9ivK/3CLOYLX04pMYt8cxEbQm19BfY4JU4&#10;IqH6vCz2jm03Xz99vNrMvp/hsnYybV6UcYOCDGwS42D6NIkvhU952AbOG16IR/Mz6id4ExvkX74y&#10;A5VusPJ0+tfNavVlvbmeLePQzR+IoLXTulcwrXMcSowVI8jWayhwUw/+PiLI828+mkYjGyJoUVS/&#10;v64BFBulgFFPyCH3y24wU0LlJgNK9KAG9QdLuB4Obd8bKMo3QoI8NbmYtdDjvvjWShKS2tZSkMSu&#10;VkYXVihI8ZYKfm1D4ntagERnbvUoqT0tBUluadmYeEJ7DApT/AK2ZoASaW1twbnN6vxuRoJ6MkNc&#10;Fz9xcH5zMvv04eSTXx60uyCK08GqxN4JrQ1awP3uSLxNUSDE7Rd9/3trOyMEKMLvwqd/FnqKgtH+&#10;d4B/wI4HMm4P5bEp4/kI0XK6EFCybhxsvS/rohouOA2LI8W6jTJLD2Rd9EQVbv3d4jETYnF2dOny&#10;CRSfcNbN3N2AmuNi2nVtLmYt+Lg3zrtJUA/GuwYkzrtJSA/Iu/0kvx3epe+c5t2mCTvN9+HdiVOh&#10;fC9uF5kuTxWc6u/9a12S+3KqM5qIUyuUWmeWLMomge1c+LRV9eDrH0iqSbtRkyp1LQxVzquOeCyD&#10;LybWU6pk4r6GeJbBq9azNK+2uEbZfMH6GS5thu8RWUHDbYFTth1v79FXTVNO+BIpwvGLJ0I1xo6r&#10;D9+8nOy4Y9hx3SZd5z0v4o26e3POcoE3EIsjx1XbjHMocYoYB5Vbj8Q5yyWOYFN/ggIU5+iMQs44&#10;Oaqn4v/yOTHfUBO6fbpNr+mdbM439bzGAWwDk+IbjYk70AlMsQOdxMQNuXpOBb4MTMqQ05iEB13M&#10;S2ugmAdNbcyREkcM6jkSbS1Yh6SEpoDFw54Gxke+nlf2eBn1e40R44Nf4EZ1Y2mxdFBqY45YzuNF&#10;ycVlFO/VwETx3gLX0BvA2KVe1MYGplZ9Y06lUbnXAMaHv8CdqRaweOVTGxsYH32MWAIYW/vuIgcN&#10;rODDX+DcjwGMLKnOb6Q2JrCCM05yKo2avQYwPvwFispawNjid4VnDf6iCplRKBFvJeruGWRhFOw1&#10;gPHhL3B5nwUsHnxqY44Y1SxhwAqbWY1qvRqYqNZbIKRoAGO1eqmNDYyPfj3PSnPEoBX9wjgtqXq7&#10;AYwPfwoYW/xJYHz0q5Q+QuliYFS/XQOjjIFo+BNTicID/aOSU0k7ntGzAGxujhhtqvl2VNIFr5IJ&#10;jA9/0ZjaTbsC3aOojTmVFMViwBb2VJJn1j3tFHdAmcD48NP5CWON0f1q3aN8HRDjraz56NMLaY5Y&#10;HY//KQ4TWsBQcDf+lglgyOhNABvlEp0619P7LORzJE5gY7pgG56GXJ5hpwhDSI1hdsDy2/noNoNI&#10;HMZLIrErlCSbk/YSGB9P3Anm9dWpTo4M8R+NjM8z2DkyxErU3Jfo29mcuMI1D97E8JKhN9g1D+G0&#10;4eb0XlFzvBTREvOgRuy0gGZpq4VeeMv/JgsZve5ywHGKKm4WtljCp99qIVnEs8CD/guE34ZP36q9&#10;7XFHq8Y/a0fh7hZW7fw+DFXoKXz6HmkIgMsHtna1ynzgKtms7XJXFfDar8SsSxUMkMJnO2R+XLNu&#10;qyv8Onz6ZmQW4hvsatZO5q5OoUD0MDx0aJ7aLv2OdDcc+MMhW2eHpwBMIZdjhFxAdDLM63TvwDBv&#10;nc39ws2XdsJCV0p/ZJAXHeGWcPygpRrvZYEeOpNmn50zAJ11YPtQSmyAUJPdp3CTiGLrz1UJUjFn&#10;bvk5uzsMX48I49p9Me8P6Lrl3OpLIorNvlMyuRUiGWshH0VD4rEW5wp08/t2Ns0Shd48TQYqTQWw&#10;fatu1Dy7H8ilUxrCk168QH6S5NI4t/2+4Wu8vgkupeLpFL7uls2jkSl6Fnwr/DlckWoQRcymBZrs&#10;w6aoaWrxu2JTDUnQKcWJNXcxOnVhYj+asZZIOi0aE5KiUw1J8CkpioGJ8Sm1scZJhq4zRIitgTJC&#10;1wYuHsBI4YoHPYmLD3udIdxp4opH3pcyMHDxoXchdT2HPHKdmEQZuM6awsRlBK41Lhm4tpc7D1wn&#10;1jvd8+MF3d2GVydxxYN/iof9mBm4+OAnTIg8HvqUDZHzoU/jYst+v/uHE7h42PrF2RHJqMPri/bA&#10;MkGwYkTUAUt3Z3EMLFPvf6aMJuS5kaMamgWXOHx615huQ0SjYICFX4ZP5mYPN2oDE8PdtX59hz30&#10;Ez59f22rTrj9bw+09w4/3zn5zkfwnSkuJ+09F+E62HfGWU9asp1l0B3Yx0tzXHvPaWDTZmL1PqZy&#10;ng2lYapFxlwHt3/OIfYe9mFIa6R9ydTPFj+hfUez9/J5bkJiwkfusx6lB7T3cLGuieqp7b28sEfL&#10;yFQwxosbHce093Lsz1sL66ntvSQutuIf395L4mLLfrL3UDOJrAuKPt6ut1T66HSy99R5nuPYez4O&#10;MmyATfZe+uDyZO8dw96DdSbtvfi8/L3je3lIT4UUuahasPcoQ8glxCN24T2hsQG+gqJpuVFCOVhz&#10;4d4idD0Y4Mtz5BAGvLbBR00u0Mhhj8NpIuBRZKWJiekfWXwaE7f48qKyMMXBDmpiYuJ2R13MERwy&#10;xolpH5l8GpM0+ZCZYwwUD/GhjYlKxvjyZWbCMmw+Axgf93yBvRw9g6xeKbWxgfGRp6GygcWD74N8&#10;BjA++C4L1AAWj73PAjXWFlYbi6algOH5/TbaKUxpaypllK801xeP8qGNOWIyzJeaSiM9VY9Yzoff&#10;5ZvpEeNhPpdvZo0YH/3k0idd7TYeT53dp4GJ9NRyjvi2BsbifNTGHDGZnpriCSM91QDGF3+Z28Bi&#10;zqE2NjA++nWKVI30VAMYH/6ytHk1HnxqYwKT6akpYEZ6qgaGv4nfpAQwlp7KgCGY9QL2ft9QzDb5&#10;VekFQrjptAh5WcN5aLSsXfP90tbapK9TrBRvw7injw4g0/JE2hoRmpW21vYa7KZUBLl1FnA5hMcW&#10;orTh00dr2zhzNz7ht+Gzjem6YdmRkGbu8/d5af5JvlEGyRhCBRbCNGTVcG5biz3bcTtcOxD53G3s&#10;YnbCdwufHlk7rK2MdM3wh0OSvg4vaTc5MsdwZPDeS0fGvaSHBq5hh7g1qc7ZkVlw1HN2NZk89EN6&#10;KcysI6vOJzHG7gfXtbwxU+LjyDU1MVP1uU1RF2SdG5hio8IlfmlM3KLIm7mVph/b0tTExMTNibqc&#10;2+MU2xMu9Utjko6MfSCROzKpE4nSkUnBMhwZAxgfd7eZrE9KMkfGb3IbhxrExQvJ8TKi1wYwPvgp&#10;YPHYM2Cg0TdvMmEMxu0sY1qG8tm9tnbbsynDoM2U9r5Lp3O9LHo5pL6gwcHKCFoZPlkjmZs9aSYG&#10;78XVw0BtAKWZcYm+ewf/SgTjaA11uhGCf7QCvWa2VuDY2F9J8kTdicCekkz0LJpwySTt7eDasT9q&#10;QvIkH8SZm9CYkJRiakhcMemYnwEpVsxwElBC4pxdp0YpJm2fK61GSQgmUbuBiQlmoH8JiiY/Tgor&#10;kQRozl1sp/irVPVQiavvEmPF9bI9Aatw8WFPjpYhlwYuPvS0Zqzxikee2ljrSob9UrNohP00Lhn2&#10;s3HxsF+Ea1Jxcsgh4mB3tTVKE0DBA340cbTo0/viDrGZwQDvKQeVTkm+1/LhzUX/pF3hAoDBd9zn&#10;SQGTtxgOMwmmi9b9HUWf1p//QbcaueT/R7ykh3L5pBvtNvIOdaOrAsSIBaTcaDqneFw3uib3kPoT&#10;gq9sAn0YnysUTpVbLmssT9TEdFmFUVBVSGwyMCmjQGPi6pTAFBsFSUxcmuoKpRIsTLE2OatAY5JW&#10;QaL4SjziyeIrRHOxWZAaKsONNoDxcT9quZqqRrKVMYeGXWAA44PvDiMY/n089v4wguHfS8OggmFj&#10;ATMMAw1MGAYJYMwwSAPjo49Ll7HjbIyYsR9oAOMLPzGVfD/QHZOwRoyPfl1nsNEtYPH4+/1ADYwc&#10;5GjBJgr8sP3AZIEfuR+I66tMYMZ+oAGMD3+iwA8i/i185EUkC/zIcjVJYDHznBZ2xQ7i/njEEgV+&#10;4sFPFviR+4GpqTT2A/WIif3ARIEfth9IbWzG56OfXPwHlavBGw5al4qGig/RVLbujfKFUSAuHv06&#10;RRdUGMLPEiXMlPuVq6HDsxoYL1fjDr0Yb6UoV1OnCPagcjUJYGzxJ4Fx6qlTknRQuRp7Knm5mtRU&#10;inI1SQk/qFwN3D1jKnm5mtYlVGuMQkjRG07cavIY2ZX9GqvtWk2UVxk9LFVHhy1+FAEy30pUyYif&#10;BWC2cVizxQ+ltwr8NIL57cpDVMWj+46s8tDkRd/bi0473VhJzukOLunwBn+7F3wKWfb7z8PNnyJ9&#10;IPlVX1+Bn+RXbc+QnfprPX0IZWDN0FtLiwCvXDSroyMvMBSGtlvaMj0hzpGKvZBjA3ChWdhACZ9+&#10;IwVUhzY7EizaJ+2oHtRu3Ph6sBiD0FH4bLMdQIjocUerdh529PjyKxH5wZDbWP3YDe52yWbtND1k&#10;JSLVpZvMDC6oX/9+rjH5h6SuTPWKnrbGBrhAxtwceRwac6upICHedfjr3nMI23D4awq5dSd1x+7C&#10;oSOcE/QkFmelxIbQ49YrSiFi5idZn+3phH7HT9ie5EaE4esbMdPTeRE7C2ykEDG7k8xOhUgG22xI&#10;xhZcN78vIAFjtGZjrWGzBF/Zypz02yBBiVOC7Vt1ozaKS6d6RU/LpXhDBZf6vLqjcyk5q09Dpvqk&#10;MY+kH+/8er3A7oXB74pNNSRBp0c7v17jSj8LkqJTDUnwqYt4a4pnfOoj3prj5d5FQ1tPxkAZexcG&#10;Lh5DSeGKBz2Jiw973VBY2cIVC9kT1CtqcBzFwmXsXOjxEjsXieXOdi5S9bnkQaYkrnjwn6BeURIX&#10;W/bT+XUjSYNeQdi8r6g69WiTCa/UTptpd1Kpd6G5Ayrd1L1ySmk3AzMUrLQQtgif3hWf6hUhG4SM&#10;GJ8ZMtus/fWj31cb/OFivfmfk9mPzdnth5Ptf38726xOZld/v9nCMEaMA/btnfuPsmpoD3kT/+ZT&#10;/JuXl8KKVSjtPZcAcqi9B6a1fWd6aY5q7zlOp+52pasYChg2GlyVvYQAxukqKf3jlkfd4MAvbAYF&#10;ianf49YraipYCgYkJnzkPutRekh7r0EKjYHqye09bCCauJ7a3iOr3RivJ7f3UrjYin/8ekV0cbk5&#10;XmzZT/beZO/tc//4ZO+RfXmc+N5Un/Jp43sgQGnvOXPlUHtv0e74d5U9wl4JpYiRvdcfDx+7W4Ku&#10;ZjX1t8vgQ9eiCQ/wAatZiSRYhUjjoiZ2WY3QyBdoXpDFZ2Bi+vfI9YoWZPIZmJj2kcmnx0mafMes&#10;V7SoEeMzYBk2nwGMW9pHrVe0aOw5NPKTDWBwoOKcq8ysJcOLkqONubZkfnIKmGH1aWAyynfMekWp&#10;qTTykw1gPMZKp7g68uh3CsmN7JPBXPrcHvWKUkv/yesVpXjCyE/WI1bwxX/UekV4Ic238snrFS0K&#10;uIgGXRj5yXrE8DfxWznVK/rzZiAbjIjOhXj3K+JD9EPN+bG9ZGra67tRcHQAmZbnQL2i/XbdQ9bU&#10;cGEg2qHBZO0oV0SnFtBqRzodwUYr4QjImHXbalfForbLXSWLWvy7Sha1g7GrZJEf2d4kDTHy8Olj&#10;5X59y1YHJodNdY2e1OGh1HPp8Iy5gKlqUGOL3oLS53ievQ8OTwOb/5gB7mqR45r3Bhs3wplR2WHo&#10;WTQR8gczvsRVwqJRHODGr2GT6o16bnkQGhOScnc0JG71VTjKZECKjT5qYkHiBndFBow1Ssrb0ZCE&#10;t1PWlYWJJTRQGwuUSGhIz1086L5Gg4GLjzrNjTFWrEZDPH8gqheQuJa0F+wN59Gai2Ee2LSlEB9e&#10;6rCHeq9MNymAjZfcYEwFbQmfXmNEh+GX51fr7Qrv6T5is11fXX7+6+XVFZl2283XTx+vNrPvZ1f4&#10;Gu5/9L7jOazZlbMDb9b0z/yv6W8cQ29v6cD8tEXqhuD8P77/vpldfqZaPOBbqSCOcA8MmYGsvIHx&#10;aAqiM2ODdxQqfGsOejgFyYiuFaT7K0hZWKzIFARNLLIWCtKKmoJ0fwVJqBpTkJSsJRREoTLCZXr2&#10;RJWfSUGI5JzijLimbFhBWtbfT0EWw2k/3sLc4WeJDicFmX273Vx+vUA6j08iv1n/8u1u/eXyjoSu&#10;17X2Px6xKAxd4SUVxHnt4xWkNeqDD0IH8I7rg3jrWrOQVBBdI0AoiG1cx+Zwyrbm1jBM63o/BdGQ&#10;uA+SYMVYQWKzOj6goxTEFjWlIBqS8EEqW9W4giRkTSpIStcMBTFwiVG3/TXmgySVjQ978Nj0mopH&#10;3idVG7j40Kd8tnjk43UFEXh9vlHalcKIwqs5xfaTN/bd4e3RQohZGXClFnjxKUrYdplypUhNI48r&#10;yFf49F6Sj9cdQy0FKt8NRuKA855TjbUnllMsPymno0qVLxeP5JA1c4Ry6iXWIl7HWE+eLqRHaExI&#10;T+eQ1Uu69tMYpZjUXYE1w/EBY0Tb8Ud0yNJzF9swU0jPKvT5JCE94R+ldOh4EiM6DEo2hfSen0MG&#10;41YqiOPkAx0ykBW4CdbMg4f0WhZaujDDc1EQR9ca0v0VxHYyYrcg5WNwr6CZo0IWyYjU2fsrSMrB&#10;iBU7djDYnHAXOD13k4I4F2YoRQVD5DwZF3n3HsyDh/TEHs2wguwXrQteURCH8DltCuEI3oeTu3AL&#10;xMc7/Bek+dmG9EBuUkFcQONwBQk+yAOH9JIGf8xoruiMDr5wPkvEqmIyoybWDgwPLiUNfqUgGpKI&#10;LR1ZQbSnphREQxIhveMriEZ1SEgvEf5kIb1U/FPelJRyIo0UamO8uHgnlhVLoY7X1RTSO4IQYlYG&#10;QnrCR0oJIeaRAn+OwDArQdvCp9c4MxDXN/aNEq4Uf5JA5X85hfQwLC/uGHoDGvdy+tvlzWqGpD0E&#10;yFop/XhDeSnOQPzj9rf1+X9tZzfrjxc4urj64+LsdnX6j9sVeZhhlw+pG/6f0L+npJbZpx//vv6M&#10;NmfYDnRlrsJJpPWXL7M/cTnHnIqdYOlW8/aSorCfhrGk7bSwqRv+Hd04+bfV+npGf/hwcgXM7rln&#10;37G97CPtoQkh79JtaJnPfgAsigPTL1hqzp4ZPJv1t5vPvo9k6k4Yisfc44SXFs0gCowCxOPPYJaH&#10;0/fTFL77sd58fpfPs7n70+1mfb7abi9vvrrXBguwnZ4u0Qn8HU9hXAfi4V/CCme23UtIn1g7fWIt&#10;DNPpJaS53D2DsE7jGYxPdj7iDGaZfAmLJdbWQ0xikVXla6PSBVQnnkVnTz0alXbv4TSLX+5+Pl9f&#10;v4OVcHm+ui+b0p5iPItxyugrfRcL3C/+yswa8lbiWYzTth5zFut5W1QomDUPxqj5Evr72mYR5n08&#10;i3G2wDSL6pDAM3UxFt2unXMS/WHFJ9DFx3sXYd34usyvyFGkK47jdzGOmj/iu9jgcirmZRQU03wI&#10;E/VVEiqP1+B6pcf09jsTdZrEURYqD9n4g6aPz6ePN4mvkk550AaHk5/kTaxRhJbT6UN5/K+STnnc&#10;BtfjTZOYPsP6TM1TZBvFho0/b//4dPp4b+JrpNMlj9r4Gg+PP4nZ3N+31wfBH8w8fZWzyKM2CBE/&#10;CZ9OszgqgrrkURvcZvvqZ/EVRlCXPGqDu4sfcxbrbO6zUpSX0W7t5wtnMSNt5Fib+3mDrKdXFkBd&#10;8qCNL9/waLI4TeLP15fnm/V2PY5PedCmetygzVNM4gLu8KO9iSgx8PX9j6+3LhvvK64Subg8//Xs&#10;7iz+b/z5x+37Vb6+WF99Xm3+9f8FUEsDBAoAAAAAAIdO4kAAAAAAAAAAAAAAAAAKAAAAZHJzL21l&#10;ZGlhL1BLAwQUAAAACACHTuJAkrh4Xw0GAAAIBgAAFAAAAGRycy9tZWRpYS9pbWFnZTEucG5nAQgG&#10;9/mJUE5HDQoaCgAAAA1JSERSAAAALQAAADUIBgAAANWfYmwAAAAGYktHRAD/AP8A/6C9p5MAAAAJ&#10;cEhZcwAADsQAAA7EAZUrDhsAAAWoSURBVGiBzZlfTFN3FMdP/12lVWYLEhw0YZoSwKRMbZehSwoJ&#10;4EOZMYUHqku0mGB9mcwXaGIoZgnlBTtfYCajLBHwAciC8EA1oU2kGtutlgQ0bUSTijWdVJRR2S3t&#10;/e2pCTH93Xvbsksfzkt77vl9Hj45v+T7A4QQZFLLy8uHCwsL3xUVFYXp+q5fv/4zAKCxsTE9ricU&#10;Ch2Sy+VBoVC4RTfr5s2bPwFAZsBra2sHKisrn0ml0vd+v78c13fnzp0fAABdunTpN4qieKl6otGo&#10;WK1Wu8VicdTr9R7Dzbp37973PB6P0ul0k2kDx2IxUUNDw32RSBRzOp0aXN/Dhw+/IwiCrKurmyNJ&#10;kkjVk0gk+C0tLeM8Ho+ampo6g5v19OnTryUSyYZKpfJEo1FxWsAURfEuX778KwCg4eHhi7i+Fy9e&#10;HCkoKFgtLy/3RyIRGa7PZDL1AgDq7++/hut58+bNl6Wlpa9LS0tfh0KhQwghSAva6/Ue4/P5CZPJ&#10;1EunTkVFxXOZTBYJBAIKXN/w8PBFAEDt7e236dQ5ceLEnxKJZMPn81Unf09bD7fbrU4kEnycOvX1&#10;9Q+Y1HE6nRqRSBSrr69/EIvFRDh1dDrdJI/Ho6anp5u2/5c2NJ067e3tt5nUCQQCCplMFqmoqHi+&#10;trZ2ANfX2dnZBwDIarV2fP7fjkH39/dfAwBEp04kEpEpFIpAYWHhu+Xl5cO4vqGhoTYAQEajcTCV&#10;OjsCnFxHzc3NEzh1SJIkamtrHQRBkPPz86dws+bm5uqEQuFWY2OjfWtrS5iqJ2vgz9cRTh2DwWAD&#10;ADQyMnIeN8vv95dLpdL3VVVVSx8+fPgC15cVcKp1lKosFksXAKDu7u4buJ7V1dUChUIROHjw4N8v&#10;X778iu7cjIFx6+jzmpyc1AEAam1tvYtbbSRJEhqNxkkQBOlyuU4ynZ0RMN062l5ut1udl5f3qaam&#10;5tHm5uZenDoXLlz4HQDQ6OjoOTbnZwRNt46SFQwG5cXFxW/LyspehcPhIlxfb2+vCQBQT0+Pme35&#10;aQPbbDYD3TpCCMH6+vp+pVK5kJ+f/3FxcfEobtb4+HgLACC9Xj+Gm5U1tMPhqBWJRLGGhob7uJss&#10;Ho8LtFrtjEAgiM/Ozp7ORp2soQOBgEIqlb6vrKx8RneTXb169RcAQAMDA1eyVScraLY32cDAwBUA&#10;QB0dHVZcz3Z1lpaWqtIFZgXN9iabnZ09LRAI4lqtdiYejwuY1LHb7Y2ZADNCUxTFa2trG2K6yRYX&#10;F4/m5+d/VCqVC+vr6/uZ1BkcHDRmCswI/fjx42+ZbrJwOFxUVlb2qri4+G0wGJRno86O6eFyuU7i&#10;1tHm5ubempqaR3l5eZ88Ho8KN8NutzcyqbOj0HTqtLa23gUANDEx0cykTnV1tY9OHU6gu7u7bwAA&#10;6uvr68xWHU6gR0ZGzgMAMhgMtmzV4QR6fn7+FEEQpEajceKiAYqieHq9foxJHU6gk6mSQqEI0EUD&#10;ZrO5BwCQxWLp2mngtKDZRgOjo6PnmNThBJptNOByuU7u2bPnXzp1OIFmGw2wVYcTaDbRANtAkhPo&#10;qampM0zRQDKQFAqFWw6Ho/b/BqaF9nq9x8RicVStVrvpogGj0TgIAMhmsxm4AMZCr6yslJSUlKzI&#10;5fIgXTRgtVo7AAB1dXVZuAJOCb2xsSE5fvz4X/v27ftnYWFBiftwe8iNU4cT6EQiwT979uwffD4/&#10;MTMzo8V95PP5qplSJc6g7XZ7IwCgW7du/Yj7IBQKHWKTKnGqx5MnT76hC7lVKpWHKVXiHBpXbFOl&#10;nIJmkyrlFDSbVCmnoNmkSjkFzTZVyhnoZKrEJuTOCeh0Q+5dh97+PsI25N516OT7iNls7tltOFbQ&#10;yfeRdEPuXYP2eDyqTEPuXYHONuTmHJrt+0guFTQ1NU0zvY/kWgHT+0gu1n8uuxH6weznmgAAAABJ&#10;RU5ErkJgglBLAwQUAAAACACHTuJA0mKDxPwIAAD3CAAAFAAAAGRycy9tZWRpYS9pbWFnZTIucG5n&#10;AfcICPeJUE5HDQoaCgAAAA1JSERSAAAAPAAAADUIBgAAAB3ziLoAAAAGYktHRAD/AP8A/6C9p5MA&#10;AAAJcEhZcwAADsQAAA7EAZUrDhsAAAiXSURBVGiB3ZppVFPbFcf3vRkgJGEQCTIqUEQFB1BE64Sw&#10;QIGKaK0i6gt1QLTqq7UP9YkIRfSBVanaIlp9UEXUqogCCguKs4glDlBFBCyjgEggIUBIcm+/NF20&#10;fefmAoHI+3DW4sOPc+//LM7Oj70DJEnCSFrXr19fjmEYERwcnD6Q39d5gP6sp0+fztLX1++eNWvW&#10;066uLs6POnBlZaWDmZlZi4ODQ2VLS4vZQPfReRA6q7W11XT8+PHvRo0a9bmiosJxMHvpPIym1d3d&#10;rT937tyHenp6PY8ePZoz2P10HohqqVQqfNWqVZcBgLxy5cpKbeyp81BUa/fu3d8BAJmQkPCNtvbU&#10;eSjUOn369GYAIMPDw5MIgsCo/gpGfODs7Gx/BoOh9Pf3z1YoFEwUl5SUFB4RERE/ogOLRCJXLpfb&#10;6ebmViKVSnko7vbt2z/DcVzl5ORUPmID19bW2lhYWDTa2trWNDY2WqC458+fzzAwMJBNnz79752d&#10;ndwRGbi9vd3IxcWl1NDQsKO0tNQFxX348GGcubl509ixY//58ePHMf19js6DkiQJcrmc7e3tnc9k&#10;MhX5+fneKE4sFhtPmjTpH8bGxuI3b95MHMizdB6WIAgsNDT0ewAgU1JShFSHsnDhwr+xWKzewsJC&#10;z4E+T+eBY2JiogCAjI6OPkB1KOvWrfsLAJAXL15cM5jn6TRsamrqVwBACoXCFKrP2v379/8OAMiD&#10;Bw/uG+wzdRa2oKDAi8Vi9Xp5eRXI5XI2ijt//vwvAYDcsGHDn6kO5cWLF9O+2MBlZWXORkZG7c7O&#10;zmVisdgYxeXl5fkwmUyFj49PXm9vLwvFnTp16lcAQFZXV9t9cYEbGxstbG1ta8aMGfOxpqbGFsW9&#10;evVqCp/Pl0yZMuVVR0eHIYq7devWEhzHVQEBAVlKpZLxRQWWSqU8Nze3Ei6X21lSUuKG4urr662s&#10;ra3rrKys6uvq6qxRnFpAZsyY8ZyugAxbWIVCwQwICMjCcVyVlZUVgOIkEgl/6tSpL3k8nvTly5dT&#10;UdxABWRYwhIEgW3ZsuVPAEAmJSWFUx3K4sWL7zAYDOXdu3cXobi2tjaTiRMnvhmIgAxL4CNHjvwW&#10;AEiq/2wIgsA2bdp0BgDIs2fPbkRxcrmc7enpWThQARnysFevXv0FAJArV668QvW/66FDh/YCALlv&#10;376DVIeydu3aC4MRkCEN+/jx45/q6en1zJkz51F3d7c+irt06dJqACBDQkLSqA4lMjIydrACMmRh&#10;KyoqHE1NTVsdHR0rPn36NBrF3b9/fz6bzZYvWLDgXk9Pjx6KO3fu3Ho6ApKQkPCNRCLhD2vglpYW&#10;MwcHh8rRo0d/ev/+/U9Q3Nu3byeYmJi0TZgw4W1bW5sJisvNzfVlMBhKX1/fXCoBOXny5DYAILdu&#10;3frHYQvc1dXFmT179hN9ff3uJ0+ezEZxTU1N5nZ2dtUCgaCZypDoCkhmZmYgjuOqwMDATCoB0WpY&#10;lUqFr1ix4q8YhhHXrl37OYqTyWQG7u7uxRwOp6u4uNgdxdXX11tZWVnVaxKQ4uJid7oCotXAu3bt&#10;+j0AkEePHv0NilEqlYylS5fexHFclZmZGYji+iMgAoGgedy4cR+amprMNb2j1sKqBX7btm0nqYrK&#10;jh07/gAA5IkTJ7ajmN7eXtaiRYvuDoWAaCWsWuCXLFlyi+r+HD9+/NcAQO7cufMYiiEIAtu4ceNZ&#10;TQLS09Oj5+npWchms+X37t1bQPddBx2WrsDfuHFjGYZhxPLly69THUpcXNy3dARkzZo1FwGATEtL&#10;C+nP+w4qLF2BpzvXTUtLC+mPgMTFxX1L9X4/1MQfcFi690c917W3t6+imutqW0AiIyNjo6KiYrQS&#10;mG4Hse9c9927d+NRnLYFJDk5OQwASB8fn7xBB+7bQbxw4cJaFEd3rqttAcnJyfGjmkv1O7C6gxgb&#10;GxuJYujOdbUtICKRyJXH40ldXV1FqLlUv8KqO4jr168/R3V/1HPd+Pj4CBTTXwHh8/kSKgFRz6Vs&#10;bGxqGxoaLFEc7bB0O4h05roEQWDbt28/oS0BoTuXoh349evXk/l8vmTy5Mmvqe4P3bnusWPHdmpL&#10;QOjOpWgHbmhosLS2tq6ztLRsqK2ttUFxdOe66i+WaRIQuh0QOnMp2oElEgl/2rRpL3g8npSqs19T&#10;U2NLZ65LV0D6dkCoakV0dPQBTXMplUqFP3v2bKbGwH07iHfu3FmM4sRisbGzs3OZkZFRe1lZmTOK&#10;07aApKSkCOnMpdQFtLW11RQZmCAILCwsLBkAyDNnzmxCbSaXy9leXl4Fmu6PtgUkPz/fm8lkKry9&#10;vfOp5lLqArp58+bT6kP5QfDw4cN7AIDcu3fvIdRmBEFgQqEwRdP96SsgDx8+nIvi6ApIaWmpi6Gh&#10;YYeLi0tpe3u7EYpDFdD/A9PT04MBgFy9evUlKoGne3/UAnL58uVVKE4mkxnMnDnzmSYBaWhosLSx&#10;sam1sLBopJpLURXQ/wIfPHgwj81my+fPn39fm/dHk4AEBQVlYBhG3Lx5cymKk0gkfFdXVxGXy+0U&#10;iUSuKE5TAf3PD+Xl5U4mJiZtTk5O5Z8/fx6lrfuj6YtldDogCoWC6efnl8NgMJQ5OTl+KI5OAQWS&#10;JKG5uVlgZ2dXbWZm1lJVVWU/VPfnf1diYuLXdAREXUCTk5PDUFzfAlpQUOCF4kAmkxl4eHgUcTic&#10;rr6fV0Nxf/qujIyMIDoCoi6ge/bsOUx1KOoCmpqa+hWKI0kSYNmyZTcwDCMyMjKCUJBUKuX15/5o&#10;EviioiIPDofTpUlA1AU0ODg4naqAHjhwIBoAyJiYmCgUo1Kp8H93VYFMTEz8mupU4uPjI3AcV2Vn&#10;Z/tTcUKhMEWTwBMEgXl4eBRpEpDOzk6uQCBonjdv3gOquVRVVZU9i8XqDQ0N/Z6qVuTm5voCAPkv&#10;R/EuZVWmJ/IAAAAASUVORK5CYIJQSwMEFAAAAAgAh07iQHKRrr74BgAA8wYAABQAAABkcnMvbWVk&#10;aWEvaW1hZ2UzLnBuZwHzBgz5iVBORw0KGgoAAAANSUhEUgAAACoAAAAwCAYAAABnjuimAAAABmJL&#10;R0QA/wD/AP+gvaeTAAAACXBIWXMAAA7EAAAOxAGVKw4bAAAGk0lEQVRYhc2ZyU8bdxTH34wjb6FS&#10;8AZVD7HBYGgvUdjXUw6N2M0S+AdaUjaDEfwLIPYlJfkHWM2OmkNP7GvVSwIGG+ghCnijUvAW4ZnX&#10;kyOn5TcekrjkMJLNfN6Pj0bW+z69AUSEFy9e/AQA2NDQMIiIcN3FMAxdWVk5CQD46tWrH0ic3W5X&#10;arVaCwAgwzA0iVtdXc0ViUT+7OzsdRKDiNDR0dEOAAgvX778USAQBB4/fvzb1dXVHVJBa2trFwBg&#10;d3e3kcR4vV5JZmbmplgs9m1sbGSROLPZrJPJZK7ExMRDp9MpJ3Gjo6M1AIA1NTWjEBUVdfngwYM/&#10;37179w2pYHh4uA4AsK6ubphlWeo6JhAICPR6/TRFUez09LSedJbNZlPFxcUdK5VK+/HxcRyJW15e&#10;zhcKhe/z8/OX/X6/CB49evT7mzdvviMVzM/PF9M0zRQVFS0EAgEBiTMYDH0AgH19fQYS4/F4pOnp&#10;6dsSicS7vb2dTuL29/eT792793dSUtLBxcVFNCIC8beBiLCzs5MmlUo9aWlpO263+y6JGxgYaAQA&#10;NBgMfSQmEAgISkpK5iiKYufm5kpI3NnZWaxarT6NiYk5Pz09VQf/TpQ8OTnRqFQqm1qtPj0/P48h&#10;cTMzM2UURbFlZWUzpCfOsizV0NAwCAA4ODjYQDrL7XbfTUlJ2ZNKpZ7d3d3U0HvXFrhcLplOpzNH&#10;R0dfHBwcJJEO3tzczBSLxb7MzMxNr9crIXG9vb3NAIBGo7GbxFxdXd0pLCxcpGmaWVxcLPz3/f8U&#10;+P1+UX5+/rJQKHy/vLycTzrYYrFoFQqFIz4+3mq325UkzmQylVMUxVZUVEyR2hXLstTTp09/BQAc&#10;GRmpvY756AvDMHR1dfUYAODY2Fg16Z87HA6FVqu1yOVy59HRUQKJW19fzw72Sq4n3tnZ2QYA2N7e&#10;3kFiPvrS3t7eAQDY2dnZRirwer2SrKysDbFY7FtfX88mcUdHRwlyudyZkJBw5HA4FCRufHz8CQBg&#10;dXX1GFdAfPjw/PnznwEAa2trR0i9kmEYury83ERRFGsymcpJh9rtdmV8fLxVoVA4rFZrPIlbWVnJ&#10;C+2VJO6D6NLSUgFN00xBQcESVzq1tLT0AAD29vY2kxiPxyMNptPm5mYmiTs4OEiKjo6+SEpKOnC5&#10;XDIuSUQE2NvbS5FKpZ6HDx/+cXl5GUUCBwcHG4LzAFc6lZWVzVAUxc7MzJSRzjo/P49Rq9WnKpXK&#10;dnJyogkniYgAsbGxZ/fv3//r7du335Kg2dnZUoqi2NLS0lk+6dTf399EYtxu993U1NRdqVTq2dnZ&#10;SeMjiYgAycnJ+69fv/6eBGxtbWVIJBJvRkbGlsfjkZK4/v7+JgDA5ubmXhITCAQERUVFCzRNMwsL&#10;C0V8JRERgOsJWa3WeKVSaY+Lizu22WwqEhdMJ71eP82VTnV1dcMAgM+ePfvlJpKIHBHqdDrlCQkJ&#10;RzKZzHV4eJhI4vimU1dXVysAYFtbW+dNJYmiPp9PnJOTsyYSifxra2s5pOJgOmm1WgtXOk1MTFQB&#10;AFZVVU1w9cobiTIMQ1dUVEwBAE5OTlaSCvmmU3CSz83NXfX5fOJPkbxW1Gg0dgMA9vT0tJCK+KZT&#10;cJLX6XRmrkn+xqJDQ0P1AID19fVDn5tONptNpdFoTlQqlY1rkr+xaHCSLy4unufqBHzTKTjJ36RX&#10;hhXd3t5Ol0gk3nCTPN90Ki4unqdpmpmfny/+EpKICHB8fBynVCrtGo3mhGuSn5ubKwmXTizLUvX1&#10;9UMAgMPDw3VfShIRARITEw9lMpnLbDbrSBDfdOru7jYCALa2tnZ9SUlEBJDL5c7V1dVcEsA3naam&#10;piooimIrKysnP7VXcopyTUxOp1MefOJc6bS2tpYjEon8OTk5a5/TKzlFSTf4ptPh4WEin61HRERD&#10;90xc6RS69eCa5CMmymfPFNort7a2MiIpea0o3z1TaWnpbLitR8RE+aQTy7JUY2PjQLitR8RE+e6Z&#10;+Gw9IiYa3DOFS6fg1qO8vNwUiV7JKRq6Z+JKJ75bj4iJ5uXlrQiFwvcrKyt5JIjv1iOiogKBIDA+&#10;Pv6EBPDdekRclGuo5bv1+F9ESTdCtx6zs7OltynJKdrU1NQPADgwMNB425JE0b6+PkO4rceti05P&#10;T+vDbT1uXXRjYyNLLBb7srKyNm6jV/ISDd163FavDCsafH+pUCgcFotFe9tS14ryfX952xfweX/5&#10;NVwQ7v3l13L9A2RVjTKQt63LAAAAAElFTkSuQmCCUEsDBBQAAAAIAIdO4kAJraLSaAcAAGMHAAAU&#10;AAAAZHJzL21lZGlhL2ltYWdlNC5wbmcBYwec+IlQTkcNChoKAAAADUlIRFIAAAAqAAAAMQgGAAAA&#10;rNI7AwAAAAZiS0dEAP8A/wD/oL2nkwAAAAlwSFlzAAAOxAAADsQBlSsOGwAABwNJREFUaIHNmW1M&#10;U1cYx597b0UpUqiCtihUVIbKiwNLjUYXXYa8KCCgYToXNUEQEYaCEGfiS6KLDAQFZEATtqibRBQF&#10;5dXoIgsGLeALMJGJCCpl4AqtFMXb3rNPN6ldTymKdB/+HzjP7577z03ury0HEELwf056enoiAJi/&#10;iLGUlJSEEgTBbNy48YLZy+Aik8nElpaWw0uXLq0fHh62NHshQ+nq6nISCATyOXPmdPb29s5ECIHZ&#10;S+lHqVTyPDw8HtrY2Ay2trYuYtfNXkw3NE1z/P39KymK0ly/fv0r3ZnZy7FhGIbYuXPnTwCApFJp&#10;pP7c7AXZnDhxYi8AoJSUlOOG5mYviBCCK1euhBAEwYSHh1/UarXk/7JoQ0PDEi6Xq5ZIJHfUajUX&#10;x5m1JKshkUj0jNWQochkMrHZSrIa4vF4ypaWFjccV1dXt9xsH6G6GqqpqfHFcU+ePJlnZ2fXP3/+&#10;/L8mvCTDMERMTEwuAKCCgoIdOE6hUPBdXV3bpk+f/qq9vd1lwotmZGTsAQCUnJycimNGRkYsVq1a&#10;9buFhcVIbW3tSoQm+GUyRUMMwxBbt279BQDQuXPnvmHXJ6wkqyEfH5+7xjR09OjRAwCAjhw5clB3&#10;fUJKdnd3OwqFwh4nJ6cuuVwuwHHnz5//GgDQli1bzjIMQ0xoUZVKZe3p6fmAx+Mpm5ub3XFcXV3d&#10;8smTJ79duXJl7du3byfrzz9pSZqmOQEBARUURWmqq6vX4DhWQy4uLu2vXr2aboj5ZCUZhiFiY2Nz&#10;AADl5+dH4ThWQ9OmTfunvb3dBcd9sqKZmZkJAICSkpLScMzIyIjF6tWrb+pqyFCGhoasPknJ0tLS&#10;YIIgmNDQ0BJjGtq2bdvP+hrSj1wuFwiFwp5xL9nY2Og9Fg0dPnz4EI5Rq9VcsVgs43A49LiWfP78&#10;+WwHB4eXH6MhNlqtlgwNDS0hCIIpKysLGreSKpXKevHixfetra1VDx8+9MBxo2mITVJSUhoAoJMn&#10;T36H0Di9TDRNcwIDA8spitJUVVX54biOjo657LchnIYQQpCXlxcNACg2NjaHfeLjUnT37t3ZAIDy&#10;8vKicYypGqqurl5DUZQmMDCwnKZpDrv+0SVPnToVDwAoMTExHceYqqHm5mZ3Ho+n9PT0fKBSqax1&#10;Zx9VsqysLIgkSe369esvazQayhCjq6GzZ89uwe0ll8sFTk5OXUKhsKe7u9tRf/7BJZuamrysrKyG&#10;xGKxbGhoyArHmaohHx+fu1wuV93Q0LDEEPNBJVkNOTo6dvf09AhxXFFRUYQpGgoLC7tEEARTWloa&#10;jNtrzCXHqqEVK1b8YUxD+/bt+xEAUGZmZoKx+46ppEajodauXXuNoihNZWWlP44zVUP5+flRAIB2&#10;7dp1GvfE3717NykiIqJoTEXj4uKyAADl5ubG4BhTNVRTU+NLUZQmICCgQldDumEYhoiMjJSO6edy&#10;VlZWHACgvXv3nsAxrIYmTZr07tatW1/guJaWFjechnSTmpqaDADowIEDR00qefXq1XUkSWpDQkKu&#10;jIeGRCLRM5yG2BQXF28AABQREVGk1WrJUUveu3fvcysrqyFvb+9GYxo6duzY9wCADh06dBjHqNVq&#10;rkQiuWNMQwghqK+vXzplypQ3y5Ytu/3mzZspCI3yMr148WLWrFmzXsyePfv5y5cvHXAcq6HNmzf/&#10;akxD4eHhFwmCYC5fvrwet1dnZ+ecGTNm/O3s7Py0r6/Pnl3Hlnz9+vVULy+vpqlTp76+f//+Yhxn&#10;qoaSk5NTAQBlZGTswTGDg4M2bm5uLba2tgOPHj1aoDszeIFGo6HWrVt3lSRJbUVFRQBuY10N9ff3&#10;2+G4goKCHQCAYmJico1pyNfXt4bD4dA3btz4Un9ucOP4+PhTAIBOnz69C3dzhULBX7BgwSM+n694&#10;/PjxZziO1ZC/v3+lMQ1FRUXlAwAqLCzcboj5z0J2dvZuAEAJCQmZuJubqqHW1tZFPB5P6e7u3qxU&#10;Knk4Li0tLQkA0P79+3/AMe/9ce3atbUkSWqDg4NLTdHQmTNnvsVt3NvbO1MkEj0TCATyrq4uJxyn&#10;ezqH+yH4XtGxaujgwYNHcMzw8LClRCK5Y2lpOSyTycQ4Tv90DsdJpdJIQGj8NbRhw4bi0TRk6HTO&#10;UAoLC7cDgOkaun379jJTNJSSknIcAFB6enoijlEqlTx3d/dm/dM5/dy8eXM1h8OhfX19ayAoKKiM&#10;JElteXl5IO6Cjo6Oufb29n3z5s17YkxDUqk0EgBQdHR0Hu6J0zTN8fPzqzJ0OqebtrY2Vz6fr1i4&#10;cOGfAwMDtgAAKCcnJxZ3AUIINm3a9Bufz1e0tbW54pjBwUEbPp+v8PPzq8JpCCEEFy5c2Djav8UR&#10;QhAWFnbJ3t6+7+nTp84IIfgX7ZIAAy/apvUAAAAASUVORK5CYIJQSwMEFAAAAAgAh07iQFogz4YK&#10;AgAABQIAABQAAABkcnMvbWVkaWEvaW1hZ2U3LnBuZwEFAvr9iVBORw0KGgoAAAANSUhEUgAAABEA&#10;AAAPCAYAAAACsSQRAAAABmJLR0QA/wD/AP+gvaeTAAAACXBIWXMAAA7EAAAOxAGVKw4bAAABpUlE&#10;QVQ4jZWTwWriYBSFzz8yJpUBI6hRcWthMGRc+QBSEMQH6KqkIghmP5uBQMCNax0YcDS48gGkIIgP&#10;0FUtFcFuC7UqWIrU/CMkd1Yp3RkvfHA391tczmGMMZeIWCQSeU2lUs/hcPgNJ0wgEHCwWq3ipmka&#10;siy/ACBFUR663W7Ftm2RiOCHj4VzLliWpamqeg+AYrHY2jAMc7lcJnxLPFzXZZPJpFAul4eMMTcY&#10;DP7TNM2aTqc/fEs+s1gszuv1+u9QKPQOgAqFwmQ4HJYdx/niW+Kx3W4jzWbzZzqdfgJAmUzmsd1u&#10;67vd7ptvicfhcPg6GAwu8/n8LQCSJOm1Uqn8PUni4TgOa7VaejKZfAZw2jHnXOj3+1e5XO4OAEWj&#10;0Y2u6y1fx5vNJtpoNH4lEoklAMpms7NOp1Pd7/dnR38yn8+/12q1P6Io2gCoWCyORqNR0XVddjQn&#10;4/H4olQq3QAgQRB4tVrtzGaz7NGc2LYt9nq9a0VRHgCQLMsvpmka6/U6djSxXnfi8fgKAKmqem9Z&#10;lsY5F/w+nHktliTpo8WMsZNa/B/rIUeu1uJJtQAAAABJRU5ErkJgglBLAwQUAAAACACHTuJAywXZ&#10;ef4FAAD5BQAAFAAAAGRycy9tZWRpYS9pbWFnZTUucG5nAfkFBvqJUE5HDQoaCgAAAA1JSERSAAAA&#10;JwAAAC0IBgAAAC04clMAAAAGYktHRAD/AP8A/6C9p5MAAAAJcEhZcwAADsQAAA7EAZUrDhsAAAWZ&#10;SURBVFiFzZd7TJNXGMbfrxcYFWglpBdCSucMptDMuQJxZhrLcHO6jjZjmuksZGZxkXUgCYtbRIFF&#10;F0kYiCwuZAaKm9nEWMTN6Solm5kLF+dMoRmZszSEtoRAK7RIr+/+qopw2qpQ+ONLes73e78+vZwn&#10;zwMAgA0NDWpEhOV2gUKh0FIUFbh48eLbSy1mjjiXy8XKzs7uYbFYrt7e3qylFjRLHCKC1Wrlp6Wl&#10;DfF4PJvJZBIttahZ4hARBgYGMthstiMjI2PAbrdzllrYLHGICHq9XsZkMj25ubmdbrc7ZlmJQ0TQ&#10;aDQqAMDCwsKWQCBALStxiAhVVVWHAQCrqqoOLztxgUCAUqlUGgDA1tbWPctKHCKC2+2OkclkeiaT&#10;6dHr9bIlEWe1Wvmkm3a7nSMWi40cDsduNBrFURcHAHjjxo1XSIDJZBLxeDybSCQy2Ww2XlTFrVq1&#10;6r/k5OSxO3fuvECCenp6suPi4qazs7N7XC4XK2riBgcH05OSksbT09MHx8fHk0hge3t7PkVRAYVC&#10;ofX5fPSoiENEuH79+qsxMTHujRs3/j4zMxNLgk+cOPEJAGBpaWld1MQhIpw9e/Y9AMBdu3Z9H8p8&#10;S0pK6qMVs2Ytjh079hkA4KFDh74gDfh8Pnp+fn57NGLWrEUgEKD27t37LQDg6dOnPyANOZ3OFVlZ&#10;Wb2LHbPmbHg8HuaWLVt+ZTAYXp1Ol0caDMYsPp9vHRoaSouKOEQEh8PBlkgkhsTExHsGg0FCGl7s&#10;mEW8YTabhQKBwCIUCs0Wi0VA4hYzZkEoz7p58+bLLBbLJZVK+5xO5woSt1gxCwAAR0dHuSTg0qVL&#10;b9FoNL9cLu8I9UEqKyuPLHTMAgDA9evX/zk9PR1HghobG4sBANVqdQPpm3k0Zp05c+b9BRF3/vz5&#10;dyiKChQUFLT5/X4aCSwrK6sFAKyrqyslMY/GrK6urs3PLA4Roba2tgwAsLy8vIYE+nw+ulKpvEBR&#10;VECr1SpI3ELGrAc/yf79+78GADx16tRHJNjlcrFycnK64+Lipru7u3NI3ELFrAcvvF4vY/v27T/R&#10;6XTf5cuX3yQN2Gw2nkgkMnG53NFQHXchYtasxdTUVPy6dev+io+Pn7p169ZLpCGj0SjmcDh2sVhs&#10;nJiYWEninjVmzdkYGRlJSU1NHU5JSRkZHh5OJQ12dXVtZjKZHplMpg9lvvX19SVPG7Pm3bx9+/aL&#10;CQkJk2vXrv17cnIygTTc2tq6BwBQpVJpFiNmEW9cuXLlDTqd7tu6desvXq+XQeKCHbeysvIIiQnG&#10;LBqN5u/o6JA/szhEhKampg8BAPft2/dNJOar0WhUpGc9TcyCcOZ78ODBLwEAa2pqyklMpB33SWMW&#10;hDNfv99P27Fjx48AgG1tbQUkLlLzfZKYBcXFxY3hzPf+/fvPbdiw4Y/Y2NiZcB2Xy+WOhjPfzs7O&#10;XAaD4Q0XsyI237GxseTVq1f/G2nHzcnJ6Q5lvi0tLYUAgEVFRc2k/zMgRm6+wY67Zs2af0J1XK1W&#10;q6AoKqBUKi9EErOqq6sriOIQIzffYMfdtGnTb6E6btB8Dxw48BWJCRezZi0iNd9gx929e/d3ocxX&#10;rVY3AACePHnyYxITKmbNga9evfp6JOZ79OjRzwEAKyoqqkmMz+ejy+XyjnDmOzExsXK+kz4vHKn5&#10;Bjtuc3NzEemNnU7nCqlU2sdisVx9fX1SEnf37t3nHz/p84KID833+PHjn5IYj8fDzMvL0zEYDO+1&#10;a9deI3EWi0UgFArNfD7fajabhSTu8ZNOFOf3+2k7d+78AQDw3Llz75I4h8PBzszM7Gez2Y7+/v5M&#10;EmcwGCSJiYn3JBKJweFwsElcMGYplcoLRHGID81XIBBYQhUgs9ks5PP51m3btv0c6nk6nS6PwWB4&#10;SdYRvIIn/X/XHsKYsZeViwAAAABJRU5ErkJgglBLAwQUAAAACACHTuJAtDc5O+UIAADpCAAAFAAA&#10;AGRycy9tZWRpYS9pbWFnZTYucG5nLVYJOFTdHz4oZDdNYUS2hpDsig/RWMYyWYfsZMk6g0/DkKVS&#10;g3z6ky0hjDRljTIfxi7Zxr4vCZElJSTZvut5/s99zj3PPfc8576/97zve26cGcaAkw3BBgDgRBui&#10;LKD+EtSUWZmhu3BLRQfUMbsZG6DA0fH1glaUAo2cwhveDAaAq/W4MaTKcAkCwBqHRulY3Y4ZzvA1&#10;G1w+86hXmw9Gar0mgfggIkYiyZ+sm70nVpNfasaHT5B3klF0bFvGBtZKbdvp1Fif48OP2NMex8N1&#10;TvrFSL+aDennxV7jyZd/EePyESbC81P7oNEdpYpjlMvYaNl96kX/K2UTudTNDUDSuatvBXh1nL2V&#10;EWeBCHAxNU0Uj5ORlv7JBDi4uOhDPu84YHxw+N+cQF5cXPxpqxScjQGIpHd9S+5wz4/JbXnr0VVq&#10;BtdzphG3d8jI4eFhzMjISAkGgxkO+tfBcC45ObmeAUxBs3Rgg+Pj3lrhv9ZqHeSqV2do4TMS64cH&#10;e5VUh4D06uodGp2O2dwhW0ufwf3ZWk6SlZVVF9YkKmcPLdCzNerPcRl8W10NNyjBBm8pKJta9vf3&#10;awOAlJTEiW37BAS8z1T2HmAXFMxanJiwY4ERdn9+4YnP/9rX1/f4cJAJ9WC0zDkpS961uStw/gMt&#10;Enp7wiIlge9yKQAc3NwN14iMNBqtu7Gx0Y/5fl4Pnc4lsU083N919/VdxXp5Lb0eGcH6wgg/Zpsu&#10;gWgFBYVPDZKJpB9r45WUAoOkgOCQkIObeWashqYwGKyeCUzV392LhA3OzGh1Dg5WPm2fpxgZG2ui&#10;p75NVi9lZGaG9GZr7KTlLftPURVOAnkVle3VHTIvbwD0mNvm5n1W1vZHQ06OsCoF7e6+EAgaT0ti&#10;iiVPqaiqThhJJBMrbKesnJ0viwbyyTmwsoDHJNKVG4PKhUn9t5WLC43TF+X5OfwDAtb5GhgxuVo0&#10;ZoCfrgkpMjQlEoljDAwMYbJnjVNycxueSFg5OWkl9i7JTE9NdU5MTOinUA/2dnDQggkJk163icLC&#10;wklhf+UYXS4PXqJrgui9X98SxFXMpVMj1NSqFbVyy2RlZILFA3d3d9lvyqYhRUREevu2RsqcoxjB&#10;jyGK5SqHKa4j+cLodqThoPK7oC+dwSB6qTc3SUSFUlaWTmqbQ8ahLD4NDUkgAyVv5OyLA5fjWq8P&#10;2lPxrloJbQNwODwCs7L9Rm26YchHpb23t+xjd3fx3kiJfTDawdubIpnUbhlGJKa9r65OEgvUuLP2&#10;WwO46Oo2EyRelpT4b1V5D3buRtS/rauLmHhSyMtrZ29fkp2d/aa4uHgGa219NYX6/PnzQg7m64L8&#10;/BnTk5NdQ+2339nph4b+Pgkaq6qq5C3KbMqcxuMgnBoatTbkZYGn+qhXJSUh5RUV3nfw+FcQxe9F&#10;Ay9evCjIAAoKCqJENGNKS+VKy8q+C3E9KpCTk/uloKp5+XJZrhWk5o8DpIc2PkcTNSGr2gyAW0h9&#10;iw8mnt4Ve+wR3TwzJ0fHb6i5t5WVTAIcD1WlpL5ONC5zGiF4RY/tli9FhMR6hPS/XoLtYj116l8T&#10;c3h2aur2BYoNZNQCM6mnGurqIxDkx6KBHR0dWVumuL4B0nfsynv/yUMdN3V1dVnPnmchn6am6jab&#10;7rMooR3Q6A6vYzPNz1tODQ+3qajSyGQyTsuw5shIk7j1NdfwuQnytOnzKxUYCVgH2YKiGVf79/LA&#10;eQBampsHHirSRNHi9fYUE2Tlzp/tVWNDBz292IRrImZUKtWq7u7eSHzrBSQykh3wCwoKao8tc95E&#10;bEwbCan4WO2lSN6INJhjY2dfqhhfE46KOsqanp72JC/r6ekdsILQ/d8bH5tMvt8n8+5hV35vzAv6&#10;+fsLCiIQH1KokARLTgAHKGEErk/i+/P1jjwUM2lhYWEMZKfU1FRLB0fHqEMXb9SDohu5NfZ2dodz&#10;6+uHVhSrn+ipHM3wO4xgHQobvrhj9RIIO0VpaWkN/DUeVXaX5tXQ4mILX76clM/snmlL4DsyKOgv&#10;N7zh0vNMpYgB9OZo1sYPvcnLc62DRFWAEqPg/PyqLgQ23ETwfh6ruAUFdkF+fqSEZsz6eoDScUF+&#10;qrVF5eV4YcrofHuSZuhfOZ0tLfMKy2kCZyFwY2NjoaCxtbUVh36sm8dzTBjrCUao+lj2uK6engNd&#10;QtfXrJlytC+kRFtbWwRwIRL/2EhgpFMnElBimVBAbfVkqd1CO/j4rIyC6CxVfyPhKzTXFP01DVJE&#10;RET81XP/1JDJC0qwnR+fWwQWFxezlbzoEX39/a46c25ubvWjhC6ON8piusbGXfwGBu2IPDMpNfi6&#10;u4fHXbQ5XAgGCxrvU+Xg5Ox5IRVP7+7mEFbwbq3HG0jBOxNjNR5xnz/cdGkWwuG+hx/gMnn/p4+S&#10;gkTeH6vxkCsfQnWeAZig0eOGbu6KmR+bmvKwkHZWVlaQ/2RAH7Szs+MHs/FnZOQQbIR79+6VKkAZ&#10;hcHQLSzKXr+W9pKReVNt+dKEcs4cIomJhWt/2JZaYEEJdXJy0hZgJ8THx++fYIxxay30fvZS1W8M&#10;321LHYSS431lZbiH7BS0qfu86foRBB5OG+qmOTnk05OsLPvMivuvXryYDb71mW4AEcROYA7mgdbS&#10;eq08N8slhnoAkX8XRG9sbFQg0/WVI3lEfx1Ei4uJ0VfZCSZiibd/iwyk2pUsdmcqLf1qxLe7D5AW&#10;7r+K6vgS9HmhIyV3h5tgIm2qTmIegU4QZKKA0ks9vvUMK0TFdxGECTV4Z316vAbfvgDZsJ0pJCTk&#10;NNrheCOh5L0V5OpojcVi+oVQD5uFKFY+uKDxQ2srq4V2z8rwxZ4sG0M2Ao/p/vUhmxq81/Bray90&#10;VCwyfcgmfGf9QBDMljrW3olSHIAOP9/R0gM+MJup5IWNgg2Q7n6m7+9u4srH13Ky1HB//j8ExXAu&#10;JwfBRM6zGLLxASTYT1sQcjmVjIFYDSXP7tAxSBquQXlNI6kyNmnmcD0WFhavZw6eUoXshEPu/njm&#10;Z9xptAvQnwpA62FQpbou9/4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KAAAAAACHTuJAAAAAAAAAAAAAAAAACgAAAGRycy9fcmVs&#10;cy9QSwMEFAAAAAgAh07iQLcVljrfAAAAOQQAABkAAABkcnMvX3JlbHMvZTJvRG9jLnhtbC5yZWxz&#10;vdPPagMhEAbweyHvIHPPurtJNqXEzaUUcg3pA4jOutL1D2pL8/YVSqCBYG8enWG+73fxcPw2C/nC&#10;ELWzDLqmBYJWOKmtYvB+eVs/A4mJW8kXZ5HBFSMcx9XT4YwLT/koztpHklNsZDCn5F8ojWJGw2Pj&#10;PNq8mVwwPOVnUNRz8cEV0r5tBxr+ZsB4l0lOkkE4yT2Qy9Xn5v+z3TRpga9OfBq06UEF1SZ350Ae&#10;FCYGBqXmv8N9460C+tgw1DEMJcOujmFXMmzrGLYlw6aOYVMy9HUMfcnQ1TF0NwO9+/DjD1BLAwQU&#10;AAAACACHTuJAeee6BAQBAAATAgAAEwAAAFtDb250ZW50X1R5cGVzXS54bWyVkcFOwzAMhu9IvEOU&#10;K2pTdkAIrd2BjiMgNB4gStw2onGiOJTt7Um6TYKJIe0Y29/vL8lytbUjmyCQcVjz27LiDFA5bbCv&#10;+fvmqbjnjKJELUeHUPMdEF8111fLzc4DsUQj1XyI0T8IQWoAK6l0HjB1OhesjOkYeuGl+pA9iEVV&#10;3QnlMALGIuYM3ixb6OTnGNl6m8p7E489Z4/7ubyq5sZmPtfFn0SAkU4Q6f1olIzpbmJCfeJVHJzK&#10;RM4zNBhPN0n8zIbc+e30c8GBe0mPGYwG9ipDfJY2mQsdSGj3hQGm8v+QbGmpcF1nFJRtoDZhbzAd&#10;rc6lw8K1Tl0avp6pY7aYv7T5BlBLAQIUABQAAAAIAIdO4kB557oEBAEAABMCAAATAAAAAAAAAAEA&#10;IAAAAOj2AABbQ29udGVudF9UeXBlc10ueG1sUEsBAhQACgAAAAAAh07iQAAAAAAAAAAAAAAAAAYA&#10;AAAAAAAAAAAQAAAAjPQAAF9yZWxzL1BLAQIUABQAAAAIAIdO4kCKFGY80QAAAJQBAAALAAAAAAAA&#10;AAEAIAAAALD0AABfcmVscy8ucmVsc1BLAQIUAAoAAAAAAIdO4kAAAAAAAAAAAAAAAAAEAAAAAAAA&#10;AAAAEAAAAAAAAABkcnMvUEsBAhQACgAAAAAAh07iQAAAAAAAAAAAAAAAAAoAAAAAAAAAAAAQAAAA&#10;qvUAAGRycy9fcmVscy9QSwECFAAUAAAACACHTuJAtxWWOt8AAAA5BAAAGQAAAAAAAAABACAAAADS&#10;9QAAZHJzL19yZWxzL2Uyb0RvYy54bWwucmVsc1BLAQIUABQAAAAIAIdO4kB7gUWr2QAAAAkBAAAP&#10;AAAAAAAAAAEAIAAAACIAAABkcnMvZG93bnJldi54bWxQSwECFAAUAAAACACHTuJAwNmDNVzDAABS&#10;mQcADgAAAAAAAAABACAAAAAoAQAAZHJzL2Uyb0RvYy54bWxQSwECFAAKAAAAAACHTuJAAAAAAAAA&#10;AAAAAAAACgAAAAAAAAAAABAAAACwxAAAZHJzL21lZGlhL1BLAQIUABQAAAAIAIdO4kCSuHhfDQYA&#10;AAgGAAAUAAAAAAAAAAEAIAAAANjEAABkcnMvbWVkaWEvaW1hZ2UxLnBuZ1BLAQIUABQAAAAIAIdO&#10;4kDSYoPE/AgAAPcIAAAUAAAAAAAAAAEAIAAAABfLAABkcnMvbWVkaWEvaW1hZ2UyLnBuZ1BLAQIU&#10;ABQAAAAIAIdO4kByka6++AYAAPMGAAAUAAAAAAAAAAEAIAAAAEXUAABkcnMvbWVkaWEvaW1hZ2Uz&#10;LnBuZ1BLAQIUABQAAAAIAIdO4kAJraLSaAcAAGMHAAAUAAAAAAAAAAEAIAAAAG/bAABkcnMvbWVk&#10;aWEvaW1hZ2U0LnBuZ1BLAQIUABQAAAAIAIdO4kDLBdl5/gUAAPkFAAAUAAAAAAAAAAEAIAAAAEXl&#10;AABkcnMvbWVkaWEvaW1hZ2U1LnBuZ1BLAQIUABQAAAAIAIdO4kC0Nzk75QgAAOkIAAAUAAAAAAAA&#10;AAEAIAAAAHXrAABkcnMvbWVkaWEvaW1hZ2U2LnBuZ1BLAQIUABQAAAAIAIdO4kBaIM+GCgIAAAUC&#10;AAAUAAAAAAAAAAEAIAAAAAnjAABkcnMvbWVkaWEvaW1hZ2U3LnBuZ1BLBQYAAAAAEAAQAN4DAAAd&#10;+AAAAAA=&#10;">
                <o:lock v:ext="edit" aspectratio="f"/>
                <v:line id="Line 393" o:spid="_x0000_s1026" o:spt="20" style="position:absolute;left:5477;top:743;height:0;width:315;" filled="f" stroked="t" coordsize="21600,21600" o:gfxdata="UEsDBAoAAAAAAIdO4kAAAAAAAAAAAAAAAAAEAAAAZHJzL1BLAwQUAAAACACHTuJARAoa9b0AAADb&#10;AAAADwAAAGRycy9kb3ducmV2LnhtbEWPQWsCMRSE74L/ITzBmyYqlbI1ytJaaI9qafH23Dw3i5uX&#10;ZZOu2/76RhB6HGbmG2a16V0tOmpD5VnDbKpAEBfeVFxq+Di8Th5BhIhssPZMGn4owGY9HKwwM/7K&#10;O+r2sRQJwiFDDTbGJpMyFJYchqlviJN39q3DmGRbStPiNcFdLedKLaXDitOCxYaeLRWX/bfTcDD5&#10;+yk/d/Lz19qv/iVXx+a41Xo8mqknEJH6+B++t9+MhocF3L6kHyDX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EChr1vQAA&#10;ANsAAAAPAAAAAAAAAAEAIAAAACIAAABkcnMvZG93bnJldi54bWxQSwECFAAUAAAACACHTuJAMy8F&#10;njsAAAA5AAAAEAAAAAAAAAABACAAAAAMAQAAZHJzL3NoYXBleG1sLnhtbFBLBQYAAAAABgAGAFsB&#10;AAC2AwAAAAA=&#10;">
                  <v:fill on="f" focussize="0,0"/>
                  <v:stroke weight="0.235590551181102pt" color="#000000" joinstyle="round"/>
                  <v:imagedata o:title=""/>
                  <o:lock v:ext="edit" aspectratio="f"/>
                </v:line>
                <v:line id="Line 392" o:spid="_x0000_s1026" o:spt="20" style="position:absolute;left:5477;top:743;height:0;width:315;" filled="f" stroked="t" coordsize="21600,21600" o:gfxdata="UEsDBAoAAAAAAIdO4kAAAAAAAAAAAAAAAAAEAAAAZHJzL1BLAwQUAAAACACHTuJAy+OCgb0AAADb&#10;AAAADwAAAGRycy9kb3ducmV2LnhtbEWPQWsCMRSE74L/ITzBmyaKlbI1ytJaaI9qafH23Dw3i5uX&#10;ZZOu2/76RhB6HGbmG2a16V0tOmpD5VnDbKpAEBfeVFxq+Di8Th5BhIhssPZMGn4owGY9HKwwM/7K&#10;O+r2sRQJwiFDDTbGJpMyFJYchqlviJN39q3DmGRbStPiNcFdLedKLaXDitOCxYaeLRWX/bfTcDD5&#10;+yk/d/Lz19qv/iVXx+a41Xo8mqknEJH6+B++t9+MhocF3L6kHyDX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L44KBvQAA&#10;ANsAAAAPAAAAAAAAAAEAIAAAACIAAABkcnMvZG93bnJldi54bWxQSwECFAAUAAAACACHTuJAMy8F&#10;njsAAAA5AAAAEAAAAAAAAAABACAAAAAMAQAAZHJzL3NoYXBleG1sLnhtbFBLBQYAAAAABgAGAFsB&#10;AAC2AwAAAAA=&#10;">
                  <v:fill on="f" focussize="0,0"/>
                  <v:stroke weight="0.235590551181102pt" color="#000000" joinstyle="round"/>
                  <v:imagedata o:title=""/>
                  <o:lock v:ext="edit" aspectratio="f"/>
                </v:line>
                <v:line id="Line 391" o:spid="_x0000_s1026" o:spt="20" style="position:absolute;left:5477;top:743;height:0;width:316;" filled="f" stroked="t" coordsize="21600,21600" o:gfxdata="UEsDBAoAAAAAAIdO4kAAAAAAAAAAAAAAAAAEAAAAZHJzL1BLAwQUAAAACACHTuJALSdsrL4AAADb&#10;AAAADwAAAGRycy9kb3ducmV2LnhtbEWPzW7CMBCE75V4B2uRuBUHohQUMBxQK8GhRfw8wCreJlbj&#10;dYgNSd4eV6rU42hmvtGst72txYNabxwrmE0TEMSF04ZLBdfLx+sShA/IGmvHpGAgD9vN6GWNuXYd&#10;n+hxDqWIEPY5KqhCaHIpfVGRRT91DXH0vl1rMUTZllK32EW4reU8Sd6kRcNxocKGdhUVP+e7VVAe&#10;vmR68rd3447DMZ2bz32/0EpNxrNkBSJQH/7Df+29VpBl8Psl/gC5e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SdsrL4A&#10;AADbAAAADwAAAAAAAAABACAAAAAiAAAAZHJzL2Rvd25yZXYueG1sUEsBAhQAFAAAAAgAh07iQDMv&#10;BZ47AAAAOQAAABAAAAAAAAAAAQAgAAAADQEAAGRycy9zaGFwZXhtbC54bWxQSwUGAAAAAAYABgBb&#10;AQAAtwMAAAAA&#10;">
                  <v:fill on="f" focussize="0,0"/>
                  <v:stroke weight="0.248503937007874pt" color="#000000" joinstyle="round"/>
                  <v:imagedata o:title=""/>
                  <o:lock v:ext="edit" aspectratio="f"/>
                </v:line>
                <v:line id="Line 390" o:spid="_x0000_s1026" o:spt="20" style="position:absolute;left:5394;top:647;height:0;width:398;" filled="f" stroked="t" coordsize="21600,21600" o:gfxdata="UEsDBAoAAAAAAIdO4kAAAAAAAAAAAAAAAAAEAAAAZHJzL1BLAwQUAAAACACHTuJAVH25bb0AAADb&#10;AAAADwAAAGRycy9kb3ducmV2LnhtbEWPQWsCMRSE7wX/Q3hCbzWxoJTVKIu2YI/VUvH23Dw3i5uX&#10;ZZOuq7++EYQeh5n5hpkve1eLjtpQedYwHikQxIU3FZcavncfL28gQkQ2WHsmDVcKsFwMnuaYGX/h&#10;L+q2sRQJwiFDDTbGJpMyFJYchpFviJN38q3DmGRbStPiJcFdLV+VmkqHFacFiw2tLBXn7a/TsDP5&#10;5zE/dfLnZu2+X+fq0BzetX4ejtUMRKQ+/ocf7Y3RMJnC/Uv6AXLx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UfbltvQAA&#10;ANsAAAAPAAAAAAAAAAEAIAAAACIAAABkcnMvZG93bnJldi54bWxQSwECFAAUAAAACACHTuJAMy8F&#10;njsAAAA5AAAAEAAAAAAAAAABACAAAAAMAQAAZHJzL3NoYXBleG1sLnhtbFBLBQYAAAAABgAGAFsB&#10;AAC2AwAAAAA=&#10;">
                  <v:fill on="f" focussize="0,0"/>
                  <v:stroke weight="0.235590551181102pt" color="#000000" joinstyle="round"/>
                  <v:imagedata o:title=""/>
                  <o:lock v:ext="edit" aspectratio="f"/>
                </v:line>
                <v:line id="Line 389" o:spid="_x0000_s1026" o:spt="20" style="position:absolute;left:5394;top:647;height:0;width:398;" filled="f" stroked="t" coordsize="21600,21600" o:gfxdata="UEsDBAoAAAAAAIdO4kAAAAAAAAAAAAAAAAAEAAAAZHJzL1BLAwQUAAAACACHTuJAOzEc9r0AAADb&#10;AAAADwAAAGRycy9kb3ducmV2LnhtbEWPQWsCMRSE74L/ITzBmyYK1rI1ytJaaI9qafH23Dw3i5uX&#10;ZZOu2/76RhB6HGbmG2a16V0tOmpD5VnDbKpAEBfeVFxq+Di8Th5BhIhssPZMGn4owGY9HKwwM/7K&#10;O+r2sRQJwiFDDTbGJpMyFJYchqlviJN39q3DmGRbStPiNcFdLedKPUiHFacFiw09Wyou+2+n4WDy&#10;91N+7uTnr7Vf/Uuujs1xq/V4NFNPICL18T98b78ZDYsl3L6kHyDX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7MRz2vQAA&#10;ANsAAAAPAAAAAAAAAAEAIAAAACIAAABkcnMvZG93bnJldi54bWxQSwECFAAUAAAACACHTuJAMy8F&#10;njsAAAA5AAAAEAAAAAAAAAABACAAAAAMAQAAZHJzL3NoYXBleG1sLnhtbFBLBQYAAAAABgAGAFsB&#10;AAC2AwAAAAA=&#10;">
                  <v:fill on="f" focussize="0,0"/>
                  <v:stroke weight="0.235590551181102pt" color="#000000" joinstyle="round"/>
                  <v:imagedata o:title=""/>
                  <o:lock v:ext="edit" aspectratio="f"/>
                </v:line>
                <v:line id="Line 388" o:spid="_x0000_s1026" o:spt="20" style="position:absolute;left:5394;top:647;height:0;width:399;" filled="f" stroked="t" coordsize="21600,21600" o:gfxdata="UEsDBAoAAAAAAIdO4kAAAAAAAAAAAAAAAAAEAAAAZHJzL1BLAwQUAAAACACHTuJAwybDMroAAADb&#10;AAAADwAAAGRycy9kb3ducmV2LnhtbEVPS27CMBDdV+IO1iCxKw6JWlDAsEAgpYsW8TnAKB4Si3gc&#10;YhPC7etFpS6f3n+1GWwjeuq8caxgNk1AEJdOG64UXM779wUIH5A1No5JwYs8bNajtxXm2j35SP0p&#10;VCKGsM9RQR1Cm0vpy5os+qlriSN3dZ3FEGFXSd3hM4bbRqZJ8iktGo4NNba0ram8nR5WQfX1I7Oj&#10;v++MO7wOWWq+i2GulZqMZ8kSRKAh/Iv/3IVW8BHHxi/xB8j1L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DJsMyugAAANsA&#10;AAAPAAAAAAAAAAEAIAAAACIAAABkcnMvZG93bnJldi54bWxQSwECFAAUAAAACACHTuJAMy8FnjsA&#10;AAA5AAAAEAAAAAAAAAABACAAAAAJAQAAZHJzL3NoYXBleG1sLnhtbFBLBQYAAAAABgAGAFsBAACz&#10;AwAAAAA=&#10;">
                  <v:fill on="f" focussize="0,0"/>
                  <v:stroke weight="0.248503937007874pt" color="#000000" joinstyle="round"/>
                  <v:imagedata o:title=""/>
                  <o:lock v:ext="edit" aspectratio="f"/>
                </v:line>
                <v:line id="Line 387" o:spid="_x0000_s1026" o:spt="20" style="position:absolute;left:5477;top:1031;height:0;width:315;" filled="f" stroked="t" coordsize="21600,21600" o:gfxdata="UEsDBAoAAAAAAIdO4kAAAAAAAAAAAAAAAAAEAAAAZHJzL1BLAwQUAAAACACHTuJArGpmqb4AAADb&#10;AAAADwAAAGRycy9kb3ducmV2LnhtbEWPwW7CMBBE75X6D9ZW6q04JGqBFJMDaqX0QFGAD1jFS2I1&#10;XofYhfD3uFIljqOZeaNZFqPtxJkGbxwrmE4SEMS104YbBYf958schA/IGjvHpOBKHorV48MSc+0u&#10;XNF5FxoRIexzVNCG0OdS+roli37ieuLoHd1gMUQ5NFIPeIlw28k0Sd6kRcNxocWe1i3VP7tfq6D5&#10;+pZZ5U8fxm2v2yw1m3KcaaWen6bJO4hAY7iH/9ulVvC6gL8v8QfI1Q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Gpmqb4A&#10;AADbAAAADwAAAAAAAAABACAAAAAiAAAAZHJzL2Rvd25yZXYueG1sUEsBAhQAFAAAAAgAh07iQDMv&#10;BZ47AAAAOQAAABAAAAAAAAAAAQAgAAAADQEAAGRycy9zaGFwZXhtbC54bWxQSwUGAAAAAAYABgBb&#10;AQAAtwMAAAAA&#10;">
                  <v:fill on="f" focussize="0,0"/>
                  <v:stroke weight="0.248503937007874pt" color="#000000" joinstyle="round"/>
                  <v:imagedata o:title=""/>
                  <o:lock v:ext="edit" aspectratio="f"/>
                </v:line>
                <v:line id="Line 386" o:spid="_x0000_s1026" o:spt="20" style="position:absolute;left:5477;top:1031;height:0;width:315;" filled="f" stroked="t" coordsize="21600,21600" o:gfxdata="UEsDBAoAAAAAAIdO4kAAAAAAAAAAAAAAAAAEAAAAZHJzL1BLAwQUAAAACACHTuJA8zwFibYAAADb&#10;AAAADwAAAGRycy9kb3ducmV2LnhtbEVPyw4BMRTdS/xDcyV2dJAgQ1kICQvE4wNuptdMY3o7psX4&#10;e11ILE/Oe75sbCleVHvjWMGgn4Agzpw2nCu4Xja9KQgfkDWWjknBhzwsF+3WHFPt3nyi1znkIoaw&#10;T1FBEUKVSumzgiz6vquII3dztcUQYZ1LXeM7httSDpNkLC0ajg0FVrQqKLufn1ZBvjvI0ck/1sYd&#10;P8fR0Oy3zUQr1e0MkhmIQE34i3/urVYwjuvjl/gD5OIL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PM8BYm2AAAA2wAAAA8A&#10;AAAAAAAAAQAgAAAAIgAAAGRycy9kb3ducmV2LnhtbFBLAQIUABQAAAAIAIdO4kAzLwWeOwAAADkA&#10;AAAQAAAAAAAAAAEAIAAAAAUBAABkcnMvc2hhcGV4bWwueG1sUEsFBgAAAAAGAAYAWwEAAK8DAAAA&#10;AA==&#10;">
                  <v:fill on="f" focussize="0,0"/>
                  <v:stroke weight="0.248503937007874pt" color="#000000" joinstyle="round"/>
                  <v:imagedata o:title=""/>
                  <o:lock v:ext="edit" aspectratio="f"/>
                </v:line>
                <v:line id="Line 385" o:spid="_x0000_s1026" o:spt="20" style="position:absolute;left:5477;top:1031;height:0;width:316;" filled="f" stroked="t" coordsize="21600,21600" o:gfxdata="UEsDBAoAAAAAAIdO4kAAAAAAAAAAAAAAAAAEAAAAZHJzL1BLAwQUAAAACACHTuJAny2qFbsAAADb&#10;AAAADwAAAGRycy9kb3ducmV2LnhtbEWPQWvCQBSE7wX/w/IEb3UTD8Gm2XgQlBwbqz0/ss8kmn0b&#10;shtj/fWuUOhxmJlvmGxzN5240eBaywriZQSCuLK65VrB8Xv3vgbhPLLGzjIp+CUHm3z2lmGq7cQl&#10;3Q6+FgHCLkUFjfd9KqWrGjLolrYnDt7ZDgZ9kEMt9YBTgJtOrqIokQZbDgsN9rRtqLoeRqPAkhk/&#10;1o/i6zKeuqJ09U877fdKLeZx9AnC093/h//ahVaQxPD6En6AzJ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y2qFbsAAADb&#10;AAAADwAAAAAAAAABACAAAAAiAAAAZHJzL2Rvd25yZXYueG1sUEsBAhQAFAAAAAgAh07iQDMvBZ47&#10;AAAAOQAAABAAAAAAAAAAAQAgAAAACgEAAGRycy9zaGFwZXhtbC54bWxQSwUGAAAAAAYABgBbAQAA&#10;tAMAAAAA&#10;">
                  <v:fill on="f" focussize="0,0"/>
                  <v:stroke weight="0.261259842519685pt" color="#000000" joinstyle="round"/>
                  <v:imagedata o:title=""/>
                  <o:lock v:ext="edit" aspectratio="f"/>
                </v:line>
                <v:line id="Line 384" o:spid="_x0000_s1026" o:spt="20" style="position:absolute;left:5477;top:1127;height:0;width:315;" filled="f" stroked="t" coordsize="21600,21600" o:gfxdata="UEsDBAoAAAAAAIdO4kAAAAAAAAAAAAAAAAAEAAAAZHJzL1BLAwQUAAAACACHTuJAZSzTb74AAADb&#10;AAAADwAAAGRycy9kb3ducmV2LnhtbEWPT2vCQBTE7wW/w/IKXopuDK1Imo2Ixdaj/w56e2Rfs6HZ&#10;tyG7Nebbd4WCx2FmfsPky5ttxJU6XztWMJsmIIhLp2uuFJyOm8kChA/IGhvHpGAgD8ti9JRjpl3P&#10;e7oeQiUihH2GCkwIbSalLw1Z9FPXEkfv23UWQ5RdJXWHfYTbRqZJMpcWa44LBltaGyp/Dr9WwWd/&#10;wY8vf67Tl+G1WZ2H1c687ZQaP8+SdxCBbuER/m9vtYJ5Cvcv8QfI4g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SzTb74A&#10;AADbAAAADwAAAAAAAAABACAAAAAiAAAAZHJzL2Rvd25yZXYueG1sUEsBAhQAFAAAAAgAh07iQDMv&#10;BZ47AAAAOQAAABAAAAAAAAAAAQAgAAAADQEAAGRycy9zaGFwZXhtbC54bWxQSwUGAAAAAAYABgBb&#10;AQAAtwMAAAAA&#10;">
                  <v:fill on="f" focussize="0,0"/>
                  <v:stroke weight="0.248346456692913pt" color="#000000" joinstyle="round"/>
                  <v:imagedata o:title=""/>
                  <o:lock v:ext="edit" aspectratio="f"/>
                </v:line>
                <v:line id="Line 383" o:spid="_x0000_s1026" o:spt="20" style="position:absolute;left:5477;top:1127;height:0;width:315;" filled="f" stroked="t" coordsize="21600,21600" o:gfxdata="UEsDBAoAAAAAAIdO4kAAAAAAAAAAAAAAAAAEAAAAZHJzL1BLAwQUAAAACACHTuJACmB29L4AAADb&#10;AAAADwAAAGRycy9kb3ducmV2LnhtbEWPQWvCQBSE7wX/w/IKvZRmo7UiMauIxdaj2h709sg+s6HZ&#10;tyG7GvPvu4LgcZiZb5h8cbW1uFDrK8cKhkkKgrhwuuJSwe/P+m0KwgdkjbVjUtCTh8V88JRjpl3H&#10;O7rsQykihH2GCkwITSalLwxZ9IlriKN3cq3FEGVbSt1iF+G2lqM0nUiLFccFgw2tDBV/+7NV8NUd&#10;8fPbH6rRaz+ul4d+uTUfW6VenofpDESga3iE7+2NVjB5h9uX+APk/B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mB29L4A&#10;AADbAAAADwAAAAAAAAABACAAAAAiAAAAZHJzL2Rvd25yZXYueG1sUEsBAhQAFAAAAAgAh07iQDMv&#10;BZ47AAAAOQAAABAAAAAAAAAAAQAgAAAADQEAAGRycy9zaGFwZXhtbC54bWxQSwUGAAAAAAYABgBb&#10;AQAAtwMAAAAA&#10;">
                  <v:fill on="f" focussize="0,0"/>
                  <v:stroke weight="0.248346456692913pt" color="#000000" joinstyle="round"/>
                  <v:imagedata o:title=""/>
                  <o:lock v:ext="edit" aspectratio="f"/>
                </v:line>
                <v:line id="Line 382" o:spid="_x0000_s1026" o:spt="20" style="position:absolute;left:5477;top:1127;height:0;width:316;" filled="f" stroked="t" coordsize="21600,21600" o:gfxdata="UEsDBAoAAAAAAIdO4kAAAAAAAAAAAAAAAAAEAAAAZHJzL1BLAwQUAAAACACHTuJAj1oJjbwAAADb&#10;AAAADwAAAGRycy9kb3ducmV2LnhtbEWPQWuDQBSE74X+h+UFequrpUhis/EQqHhsbJPzw31VE/et&#10;uKum/fXZQKHHYWa+Ybb51fRiptF1lhUkUQyCuLa640bB1+f78xqE88gae8uk4Icc5LvHhy1m2i58&#10;oLnyjQgQdhkqaL0fMild3ZJBF9mBOHjfdjTogxwbqUdcAtz08iWOU2mw47DQ4kD7lupLNRkFlsy0&#10;Wf+WH+fp2JcH15y6pSiUelol8RsIT1f/H/5rl1pB+gr3L+EHyN0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9aCY28AAAA&#10;2wAAAA8AAAAAAAAAAQAgAAAAIgAAAGRycy9kb3ducmV2LnhtbFBLAQIUABQAAAAIAIdO4kAzLwWe&#10;OwAAADkAAAAQAAAAAAAAAAEAIAAAAAsBAABkcnMvc2hhcGV4bWwueG1sUEsFBgAAAAAGAAYAWwEA&#10;ALUDAAAAAA==&#10;">
                  <v:fill on="f" focussize="0,0"/>
                  <v:stroke weight="0.261259842519685pt" color="#000000" joinstyle="round"/>
                  <v:imagedata o:title=""/>
                  <o:lock v:ext="edit" aspectratio="f"/>
                </v:line>
                <v:shape id="Picture 381" o:spid="_x0000_s1026" o:spt="75" type="#_x0000_t75" style="position:absolute;left:4451;top:1226;height:400;width:345;" filled="f" o:preferrelative="t" stroked="f" coordsize="21600,21600" o:gfxdata="UEsDBAoAAAAAAIdO4kAAAAAAAAAAAAAAAAAEAAAAZHJzL1BLAwQUAAAACACHTuJAf3gE/L0AAADb&#10;AAAADwAAAGRycy9kb3ducmV2LnhtbEWPQWsCMRSE7wX/Q3iCl6LJKi6yNXpQxFIoxdXeH5vX3aWb&#10;lyWJq/77plDocZiZb5j19m47MZAPrWMN2UyBIK6cabnWcDkfpisQISIb7ByThgcF2G5GT2ssjLvx&#10;iYYy1iJBOBSooYmxL6QMVUMWw8z1xMn7ct5iTNLX0ni8Jbjt5FypXFpsOS002NOuoeq7vFoNQzcs&#10;M/95+Xh+vCnznu8X10V51HoyztQLiEj3+B/+a78aDfkSfr+kHyA3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eAT8vQAA&#10;ANsAAAAPAAAAAAAAAAEAIAAAACIAAABkcnMvZG93bnJldi54bWxQSwECFAAUAAAACACHTuJAMy8F&#10;njsAAAA5AAAAEAAAAAAAAAABACAAAAAMAQAAZHJzL3NoYXBleG1sLnhtbFBLBQYAAAAABgAGAFsB&#10;AAC2AwAAAAA=&#10;">
                  <v:fill on="f" focussize="0,0"/>
                  <v:stroke on="f"/>
                  <v:imagedata r:id="rId54" o:title=""/>
                  <o:lock v:ext="edit" aspectratio="t"/>
                </v:shape>
                <v:shape id="Freeform 380" o:spid="_x0000_s1026" o:spt="100" style="position:absolute;left:4420;top:1226;height:521;width:448;" filled="f" stroked="t" coordsize="448,521" o:gfxdata="UEsDBAoAAAAAAIdO4kAAAAAAAAAAAAAAAAAEAAAAZHJzL1BLAwQUAAAACACHTuJAiWX9b7sAAADb&#10;AAAADwAAAGRycy9kb3ducmV2LnhtbEWPT4vCMBTE78J+h/AW9mbTrlCXauxhoeie/Lv3Z/Nsi81L&#10;aaLVb28EweMwM79h5vnNtOJKvWssK0iiGARxaXXDlYLDvhj/gHAeWWNrmRTcyUG++BjNMdN24C1d&#10;d74SAcIuQwW1910mpStrMugi2xEH72R7gz7IvpK6xyHATSu/4ziVBhsOCzV29FtTed5djILlYIpp&#10;yuvJQH//8phMNstpWSn19ZnEMxCebv4dfrVXWkGawvNL+AFy8Q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WX9b7sAAADb&#10;AAAADwAAAAAAAAABACAAAAAiAAAAZHJzL2Rvd25yZXYueG1sUEsBAhQAFAAAAAgAh07iQDMvBZ47&#10;AAAAOQAAABAAAAAAAAAAAQAgAAAACgEAAGRycy9zaGFwZXhtbC54bWxQSwUGAAAAAAYABgBbAQAA&#10;tAMAAAAA&#10;" path="m0,520l448,0e">
                  <v:path o:connectlocs="0,1747;448,1227;448,1227" o:connectangles="0,0,0"/>
                  <v:fill on="f" focussize="0,0"/>
                  <v:stroke weight="0.0118897637795276pt" color="#000000" joinstyle="round"/>
                  <v:imagedata o:title=""/>
                  <o:lock v:ext="edit" aspectratio="f"/>
                </v:shape>
                <v:shape id="Freeform 379" o:spid="_x0000_s1026" o:spt="100" style="position:absolute;left:4389;top:1226;height:642;width:552;" filled="f" stroked="t" coordsize="552,642" o:gfxdata="UEsDBAoAAAAAAIdO4kAAAAAAAAAAAAAAAAAEAAAAZHJzL1BLAwQUAAAACACHTuJAHS/fXL4AAADb&#10;AAAADwAAAGRycy9kb3ducmV2LnhtbEWPzWrDMBCE74G+g9hCb4nkpKTGjRJMIRB6aH7aB1isrW1i&#10;rYyk2GmfvioEchxmvhlmtbnaTgzkQ+tYQzZTIIgrZ1quNXx9bqc5iBCRDXaOScMPBdisHyYrLIwb&#10;+UjDKdYilXAoUEMTY19IGaqGLIaZ64mT9+28xZikr6XxOKZy28m5UktpseW00GBPbw1V59PFalj6&#10;/LAr+/3vR/5ezp8X5mz8RWn99JipVxCRrvEevtE7k7gX+P+SfoBc/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S/fXL4A&#10;AADbAAAADwAAAAAAAAABACAAAAAiAAAAZHJzL2Rvd25yZXYueG1sUEsBAhQAFAAAAAgAh07iQDMv&#10;BZ47AAAAOQAAABAAAAAAAAAAAQAgAAAADQEAAGRycy9zaGFwZXhtbC54bWxQSwUGAAAAAAYABgBb&#10;AQAAtwMAAAAA&#10;" path="m0,641l552,0e">
                  <v:path o:connectlocs="0,1868;552,1227;552,1227" o:connectangles="0,0,0"/>
                  <v:fill on="f" focussize="0,0"/>
                  <v:stroke weight="0.0118897637795276pt" color="#000000" joinstyle="round"/>
                  <v:imagedata o:title=""/>
                  <o:lock v:ext="edit" aspectratio="f"/>
                </v:shape>
                <v:shape id="Freeform 378" o:spid="_x0000_s1026" o:spt="100" style="position:absolute;left:4359;top:1226;height:763;width:656;" filled="f" stroked="t" coordsize="656,763" o:gfxdata="UEsDBAoAAAAAAIdO4kAAAAAAAAAAAAAAAAAEAAAAZHJzL1BLAwQUAAAACACHTuJAOshB/LgAAADb&#10;AAAADwAAAGRycy9kb3ducmV2LnhtbEVPzWrCQBC+F3yHZYTe6kQPEqKriCBoK4WqDzBkx2Q1Oxuy&#10;a0zf3j0Uevz4/pfrwTWq5y5YLxqmkwwUS+mNlUrD5bz7yEGFSGKo8cIafjnAejV6W1Jh/FN+uD/F&#10;SqUQCQVpqGNsC8RQ1uwoTHzLkrir7xzFBLsKTUfPFO4anGXZHB1ZSQ01tbytubyfHk6Di4ibmR1u&#10;3zbPPw9fOR73vtf6fTzNFqAiD/Ff/OfeGw3zNDZ9ST8AVy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OshB/LgAAADbAAAA&#10;DwAAAAAAAAABACAAAAAiAAAAZHJzL2Rvd25yZXYueG1sUEsBAhQAFAAAAAgAh07iQDMvBZ47AAAA&#10;OQAAABAAAAAAAAAAAQAgAAAABwEAAGRycy9zaGFwZXhtbC54bWxQSwUGAAAAAAYABgBbAQAAsQMA&#10;AAAA&#10;" path="m0,762l656,0e">
                  <v:path o:connectlocs="0,1989;656,1227;656,1227" o:connectangles="0,0,0"/>
                  <v:fill on="f" focussize="0,0"/>
                  <v:stroke weight="0.0118897637795276pt" color="#000000" joinstyle="round"/>
                  <v:imagedata o:title=""/>
                  <o:lock v:ext="edit" aspectratio="f"/>
                </v:shape>
                <v:shape id="Freeform 377" o:spid="_x0000_s1026" o:spt="100" style="position:absolute;left:4328;top:1226;height:883;width:760;" filled="f" stroked="t" coordsize="760,883" o:gfxdata="UEsDBAoAAAAAAIdO4kAAAAAAAAAAAAAAAAAEAAAAZHJzL1BLAwQUAAAACACHTuJArPfBJL0AAADb&#10;AAAADwAAAGRycy9kb3ducmV2LnhtbEWPQYvCMBSE74L/ITxhL6KpIqLV6EFZ3IMHqx48PptnW2xe&#10;SpJVd3+9EQSPw8x8w8yXD1OLGzlfWVYw6CcgiHOrKy4UHA/fvQkIH5A11pZJwR95WC7arTmm2t45&#10;o9s+FCJC2KeooAyhSaX0eUkGfd82xNG7WGcwROkKqR3eI9zUcpgkY2mw4rhQYkOrkvLr/tcomMru&#10;6KQ3TZbtttuJO+t197D+V+qrM0hmIAI9wif8bv9oBeMpvL7EHyAXT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s98EkvQAA&#10;ANsAAAAPAAAAAAAAAAEAIAAAACIAAABkcnMvZG93bnJldi54bWxQSwECFAAUAAAACACHTuJAMy8F&#10;njsAAAA5AAAAEAAAAAAAAAABACAAAAAMAQAAZHJzL3NoYXBleG1sLnhtbFBLBQYAAAAABgAGAFsB&#10;AAC2AwAAAAA=&#10;" path="m0,882l759,0,760,0e">
                  <v:path o:connectlocs="0,2109;759,1227;760,1227" o:connectangles="0,0,0"/>
                  <v:fill on="f" focussize="0,0"/>
                  <v:stroke weight="0.0118897637795276pt" color="#000000" joinstyle="round"/>
                  <v:imagedata o:title=""/>
                  <o:lock v:ext="edit" aspectratio="f"/>
                </v:shape>
                <v:shape id="Freeform 376" o:spid="_x0000_s1026" o:spt="100" style="position:absolute;left:4297;top:1226;height:1004;width:864;" filled="f" stroked="t" coordsize="864,1004" o:gfxdata="UEsDBAoAAAAAAIdO4kAAAAAAAAAAAAAAAAAEAAAAZHJzL1BLAwQUAAAACACHTuJAbPbFTrsAAADb&#10;AAAADwAAAGRycy9kb3ducmV2LnhtbEVPy2oCMRTdF/yHcIVuimamBW1Ho4syBRdicSyubyfXmejk&#10;Jkzio39vFgWXh/OeL2+2Exfqg3GsIB9nIIhrpw03Cn52X6N3ECEia+wck4I/CrBcDJ7mWGh35S1d&#10;qtiIFMKhQAVtjL6QMtQtWQxj54kTd3C9xZhg30jd4zWF206+ZtlEWjScGlr09NlSfarOVsFmu36p&#10;pC/x+DHZm+9zad5+tVHqeZhnMxCRbvEh/nevtIJpWp++pB8gF3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PbFTrsAAADb&#10;AAAADwAAAAAAAAABACAAAAAiAAAAZHJzL2Rvd25yZXYueG1sUEsBAhQAFAAAAAgAh07iQDMvBZ47&#10;AAAAOQAAABAAAAAAAAAAAQAgAAAACgEAAGRycy9zaGFwZXhtbC54bWxQSwUGAAAAAAYABgBbAQAA&#10;tAMAAAAA&#10;" path="m0,1003l863,0,864,0e">
                  <v:path o:connectlocs="0,2230;863,1227;864,1227" o:connectangles="0,0,0"/>
                  <v:fill on="f" focussize="0,0"/>
                  <v:stroke weight="0.0118897637795276pt" color="#000000" joinstyle="round"/>
                  <v:imagedata o:title=""/>
                  <o:lock v:ext="edit" aspectratio="f"/>
                </v:shape>
                <v:shape id="Freeform 375" o:spid="_x0000_s1026" o:spt="100" style="position:absolute;left:4266;top:1226;height:1125;width:968;" filled="f" stroked="t" coordsize="968,1125" o:gfxdata="UEsDBAoAAAAAAIdO4kAAAAAAAAAAAAAAAAAEAAAAZHJzL1BLAwQUAAAACACHTuJAybYsE70AAADb&#10;AAAADwAAAGRycy9kb3ducmV2LnhtbEWPQWsCMRSE7wX/Q3hCbzWbYltdjYKVQj2Vrovn5+a5Wdy8&#10;LJu42n/fCIUeh5n5hlmub64VA/Wh8axBTTIQxJU3Ddcayv3H0wxEiMgGW8+k4YcCrFejhyXmxl/5&#10;m4Yi1iJBOOSowcbY5VKGypLDMPEdcfJOvncYk+xraXq8Jrhr5XOWvUqHDacFix29W6rOxcVpiIft&#10;cCzCVznd1Ru1n87Viy1brR/HKluAiHSL/+G/9qfR8Kbg/iX9ALn6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JtiwTvQAA&#10;ANsAAAAPAAAAAAAAAAEAIAAAACIAAABkcnMvZG93bnJldi54bWxQSwECFAAUAAAACACHTuJAMy8F&#10;njsAAAA5AAAAEAAAAAAAAAABACAAAAAMAQAAZHJzL3NoYXBleG1sLnhtbFBLBQYAAAAABgAGAFsB&#10;AAC2AwAAAAA=&#10;" path="m0,1124l967,0,968,0e">
                  <v:path o:connectlocs="0,2351;967,1227;968,1227" o:connectangles="0,0,0"/>
                  <v:fill on="f" focussize="0,0"/>
                  <v:stroke weight="0.0118897637795276pt" color="#000000" joinstyle="round"/>
                  <v:imagedata o:title=""/>
                  <o:lock v:ext="edit" aspectratio="f"/>
                </v:shape>
                <v:shape id="Freeform 374" o:spid="_x0000_s1026" o:spt="100" style="position:absolute;left:4235;top:1226;height:1245;width:1072;" filled="f" stroked="t" coordsize="1072,1245" o:gfxdata="UEsDBAoAAAAAAIdO4kAAAAAAAAAAAAAAAAAEAAAAZHJzL1BLAwQUAAAACACHTuJANI3iNL4AAADb&#10;AAAADwAAAGRycy9kb3ducmV2LnhtbEWPT2vCQBTE70K/w/KEXoLZGEFtdJNDsdDeauLF2yP7mgSz&#10;b2N2/dNv3xUKHoeZ+Q2zLe6mF1caXWdZwTxOQBDXVnfcKDhUH7M1COeRNfaWScEvOSjyl8kWM21v&#10;vKdr6RsRIOwyVNB6P2RSurolgy62A3Hwfuxo0Ac5NlKPeAtw08s0SZbSYMdhocWB3luqT+XFKPi2&#10;p8vXTkfR+e2c+kXUV8cdVkq9TufJBoSnu3+G/9ufWsEqhceX8ANk/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I3iNL4A&#10;AADbAAAADwAAAAAAAAABACAAAAAiAAAAZHJzL2Rvd25yZXYueG1sUEsBAhQAFAAAAAgAh07iQDMv&#10;BZ47AAAAOQAAABAAAAAAAAAAAQAgAAAADQEAAGRycy9zaGFwZXhtbC54bWxQSwUGAAAAAAYABgBb&#10;AQAAtwMAAAAA&#10;" path="m0,1245l1071,0,1072,0e">
                  <v:path o:connectlocs="0,2472;1071,1227;1072,1227" o:connectangles="0,0,0"/>
                  <v:fill on="f" focussize="0,0"/>
                  <v:stroke weight="0.0118897637795276pt" color="#000000" joinstyle="round"/>
                  <v:imagedata o:title=""/>
                  <o:lock v:ext="edit" aspectratio="f"/>
                </v:shape>
                <v:shape id="Freeform 373" o:spid="_x0000_s1026" o:spt="100" style="position:absolute;left:4204;top:1226;height:1366;width:1175;" filled="f" stroked="t" coordsize="1175,1366" o:gfxdata="UEsDBAoAAAAAAIdO4kAAAAAAAAAAAAAAAAAEAAAAZHJzL1BLAwQUAAAACACHTuJA2zN7D8AAAADb&#10;AAAADwAAAGRycy9kb3ducmV2LnhtbEWPQWvCQBSE70L/w/IKvekmEbSNbgIVCoqH1rQXb8/sMwnN&#10;vk2z20T/vVsoeBxm5htmnV9MKwbqXWNZQTyLQBCXVjdcKfj6fJs+g3AeWWNrmRRcyUGePUzWmGo7&#10;8oGGwlciQNilqKD2vkuldGVNBt3MdsTBO9veoA+yr6TucQxw08okihbSYMNhocaONjWV38WvUVBs&#10;r/vd6Wecvx5ePt6Hxea4LJOdUk+PcbQC4eni7+H/9lYrWM7h70v4ATK7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bM3sP&#10;wAAAANsAAAAPAAAAAAAAAAEAIAAAACIAAABkcnMvZG93bnJldi54bWxQSwECFAAUAAAACACHTuJA&#10;My8FnjsAAAA5AAAAEAAAAAAAAAABACAAAAAPAQAAZHJzL3NoYXBleG1sLnhtbFBLBQYAAAAABgAG&#10;AFsBAAC5AwAAAAA=&#10;" path="m0,1365l1174,0,1175,0e">
                  <v:path o:connectlocs="0,2592;1174,1227;1175,1227" o:connectangles="0,0,0"/>
                  <v:fill on="f" focussize="0,0"/>
                  <v:stroke weight="0.0118897637795276pt" color="#000000" joinstyle="round"/>
                  <v:imagedata o:title=""/>
                  <o:lock v:ext="edit" aspectratio="f"/>
                </v:shape>
                <v:shape id="Freeform 372" o:spid="_x0000_s1026" o:spt="100" style="position:absolute;left:4173;top:1226;height:1487;width:1279;" filled="f" stroked="t" coordsize="1279,1487" o:gfxdata="UEsDBAoAAAAAAIdO4kAAAAAAAAAAAAAAAAAEAAAAZHJzL1BLAwQUAAAACACHTuJAt+V70r4AAADb&#10;AAAADwAAAGRycy9kb3ducmV2LnhtbEWPQWsCMRSE7wX/Q3iCt5pVxMpq9CCILRRK1Yu3Z/LcXd28&#10;rEl0t/31TaHQ4zAz3zCLVWdr8SAfKscKRsMMBLF2puJCwWG/eZ6BCBHZYO2YFHxRgNWy97TA3LiW&#10;P+mxi4VIEA45KihjbHIpgy7JYhi6hjh5Z+ctxiR9IY3HNsFtLcdZNpUWK04LJTa0Lklfd3er4P2u&#10;qePxRU9nH/7Uft+a7fH2ptSgP8rmICJ18T/81341Cl4m8Psl/QC5/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V70r4A&#10;AADbAAAADwAAAAAAAAABACAAAAAiAAAAZHJzL2Rvd25yZXYueG1sUEsBAhQAFAAAAAgAh07iQDMv&#10;BZ47AAAAOQAAABAAAAAAAAAAAQAgAAAADQEAAGRycy9zaGFwZXhtbC54bWxQSwUGAAAAAAYABgBb&#10;AQAAtwMAAAAA&#10;" path="m0,1486l1278,0,1279,0e">
                  <v:path o:connectlocs="0,2713;1278,1227;1279,1227" o:connectangles="0,0,0"/>
                  <v:fill on="f" focussize="0,0"/>
                  <v:stroke weight="0.0118897637795276pt" color="#000000" joinstyle="round"/>
                  <v:imagedata o:title=""/>
                  <o:lock v:ext="edit" aspectratio="f"/>
                </v:shape>
                <v:shape id="Freeform 371" o:spid="_x0000_s1026" o:spt="100" style="position:absolute;left:4142;top:1226;height:1608;width:1383;" filled="f" stroked="t" coordsize="1383,1608" o:gfxdata="UEsDBAoAAAAAAIdO4kAAAAAAAAAAAAAAAAAEAAAAZHJzL1BLAwQUAAAACACHTuJAKvzeAbwAAADb&#10;AAAADwAAAGRycy9kb3ducmV2LnhtbEWPQWsCMRSE70L/Q3iF3jS7QnW7NQoVBE+VquD1sXlNtt28&#10;LJsY3X/fFAo9DjPzDbPa3F0nEg2h9aygnBUgiBuvWzYKzqfdtAIRIrLGzjMpGCnAZv0wWWGt/Y0/&#10;KB2jERnCoUYFNsa+ljI0lhyGme+Js/fpB4cxy8FIPeAtw10n50WxkA5bzgsWe9paar6PV6cglV8v&#10;qU/GXJbvzdu8GtEeRlTq6bEsXkFEusf/8F97rxUsn+H3S/4Bcv0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r83gG8AAAA&#10;2wAAAA8AAAAAAAAAAQAgAAAAIgAAAGRycy9kb3ducmV2LnhtbFBLAQIUABQAAAAIAIdO4kAzLwWe&#10;OwAAADkAAAAQAAAAAAAAAAEAIAAAAAsBAABkcnMvc2hhcGV4bWwueG1sUEsFBgAAAAAGAAYAWwEA&#10;ALUDAAAAAA==&#10;" path="m0,1607l1382,0,1383,0e">
                  <v:path o:connectlocs="0,2834;1382,1227;1383,1227" o:connectangles="0,0,0"/>
                  <v:fill on="f" focussize="0,0"/>
                  <v:stroke weight="0.0118897637795276pt" color="#000000" joinstyle="round"/>
                  <v:imagedata o:title=""/>
                  <o:lock v:ext="edit" aspectratio="f"/>
                </v:shape>
                <v:shape id="Freeform 370" o:spid="_x0000_s1026" o:spt="100" style="position:absolute;left:4112;top:1226;height:1728;width:1487;" filled="f" stroked="t" coordsize="1487,1728" o:gfxdata="UEsDBAoAAAAAAIdO4kAAAAAAAAAAAAAAAAAEAAAAZHJzL1BLAwQUAAAACACHTuJArVv3hb4AAADb&#10;AAAADwAAAGRycy9kb3ducmV2LnhtbEWPQWvCQBSE7wX/w/KE3pqNpY0SswpaChWkEhXE2yP7TILZ&#10;tyG7mvTfu4VCj8PMfMNky8E04k6dqy0rmEQxCOLC6ppLBcfD58sMhPPIGhvLpOCHHCwXo6cMU217&#10;zum+96UIEHYpKqi8b1MpXVGRQRfZljh4F9sZ9EF2pdQd9gFuGvkax4k0WHNYqLCldUXFdX8zCpJt&#10;7jblx5pOm7fV2ea373e3I6Wex5N4DsLT4P/Df+0vrWCawO+X8APk4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Vv3hb4A&#10;AADbAAAADwAAAAAAAAABACAAAAAiAAAAZHJzL2Rvd25yZXYueG1sUEsBAhQAFAAAAAgAh07iQDMv&#10;BZ47AAAAOQAAABAAAAAAAAAAAQAgAAAADQEAAGRycy9zaGFwZXhtbC54bWxQSwUGAAAAAAYABgBb&#10;AQAAtwMAAAAA&#10;" path="m0,1728l1486,0,1487,0e">
                  <v:path o:connectlocs="0,2955;1486,1227;1487,1227" o:connectangles="0,0,0"/>
                  <v:fill on="f" focussize="0,0"/>
                  <v:stroke weight="0.0118897637795276pt" color="#000000" joinstyle="round"/>
                  <v:imagedata o:title=""/>
                  <o:lock v:ext="edit" aspectratio="f"/>
                </v:shape>
                <v:shape id="Freeform 369" o:spid="_x0000_s1026" o:spt="100" style="position:absolute;left:4081;top:1226;height:1849;width:1591;" filled="f" stroked="t" coordsize="1591,1849" o:gfxdata="UEsDBAoAAAAAAIdO4kAAAAAAAAAAAAAAAAAEAAAAZHJzL1BLAwQUAAAACACHTuJANNiZLrgAAADb&#10;AAAADwAAAGRycy9kb3ducmV2LnhtbEWPzQrCMBCE74LvEFbwpqkeVKrRgyL0oAd/8Lw0a1tNNqWJ&#10;Wt/eCILHYWa+YRar1hrxpMZXjhWMhgkI4tzpigsF59N2MAPhA7JG45gUvMnDatntLDDV7sUHeh5D&#10;ISKEfYoKyhDqVEqfl2TRD11NHL2rayyGKJtC6gZfEW6NHCfJRFqsOC6UWNO6pPx+fNhIydykNbvt&#10;hi7vXWZvZj9ez7RS/d4omYMI1IZ/+NfOtILpFL5f4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NNiZLrgAAADbAAAA&#10;DwAAAAAAAAABACAAAAAiAAAAZHJzL2Rvd25yZXYueG1sUEsBAhQAFAAAAAgAh07iQDMvBZ47AAAA&#10;OQAAABAAAAAAAAAAAQAgAAAABwEAAGRycy9zaGFwZXhtbC54bWxQSwUGAAAAAAYABgBbAQAAsQMA&#10;AAAA&#10;" path="m0,1849l1590,0e">
                  <v:path o:connectlocs="0,3076;1590,1227;1590,1227" o:connectangles="0,0,0"/>
                  <v:fill on="f" focussize="0,0"/>
                  <v:stroke weight="0.0118897637795276pt" color="#000000" joinstyle="round"/>
                  <v:imagedata o:title=""/>
                  <o:lock v:ext="edit" aspectratio="f"/>
                </v:shape>
                <v:shape id="Freeform 368" o:spid="_x0000_s1026" o:spt="100" style="position:absolute;left:4050;top:1633;height:1563;width:1345;" filled="f" stroked="t" coordsize="1345,1563" o:gfxdata="UEsDBAoAAAAAAIdO4kAAAAAAAAAAAAAAAAAEAAAAZHJzL1BLAwQUAAAACACHTuJAcW68qbkAAADb&#10;AAAADwAAAGRycy9kb3ducmV2LnhtbEVPyW7CMBC9I/UfrKnEDRwitqYYDggK3EiA+yieJlHjcYhd&#10;tq/HBySOT2+fLW6mFhdqXWVZwaAfgSDOra64UHA8rHtTEM4ja6wtk4I7OVjMPzozTLS9ckqXzBci&#10;hLBLUEHpfZNI6fKSDLq+bYgD92tbgz7AtpC6xWsIN7WMo2gsDVYcGkpsaFlS/pf9GwVEu9V+Mzyf&#10;Jj/jR5bGX5mMR5VS3c9B9A3C082/xS/3ViuYhLHhS/gBcv4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FuvKm5AAAA2wAA&#10;AA8AAAAAAAAAAQAgAAAAIgAAAGRycy9kb3ducmV2LnhtbFBLAQIUABQAAAAIAIdO4kAzLwWeOwAA&#10;ADkAAAAQAAAAAAAAAAEAIAAAAAgBAABkcnMvc2hhcGV4bWwueG1sUEsFBgAAAAAGAAYAWwEAALID&#10;AAAAAA==&#10;" path="m0,1562l1344,0,1345,0e">
                  <v:path o:connectlocs="0,3196;1344,1634;1345,1634" o:connectangles="0,0,0"/>
                  <v:fill on="f" focussize="0,0"/>
                  <v:stroke weight="0.0118897637795276pt" color="#000000" joinstyle="round"/>
                  <v:imagedata o:title=""/>
                  <o:lock v:ext="edit" aspectratio="f"/>
                </v:shape>
                <v:shape id="Freeform 367" o:spid="_x0000_s1026" o:spt="100" style="position:absolute;left:5416;top:1226;height:381;width:328;" filled="f" stroked="t" coordsize="328,381" o:gfxdata="UEsDBAoAAAAAAIdO4kAAAAAAAAAAAAAAAAAEAAAAZHJzL1BLAwQUAAAACACHTuJA7ZY+174AAADb&#10;AAAADwAAAGRycy9kb3ducmV2LnhtbEWPS2vCQBSF94L/YbhCN0UnlmLSNBMXQkvACq2P/SVzTYKZ&#10;O3FmqvbfdwoFl4fz+DjF8mZ6cSHnO8sK5rMEBHFtdceNgv3ubZqB8AFZY2+ZFPyQh2U5HhWYa3vl&#10;L7psQyPiCPscFbQhDLmUvm7JoJ/ZgTh6R+sMhihdI7XDaxw3vXxKkoU02HEktDjQqqX6tP02EXI4&#10;P77rdfasXVr5dF2F7ONzo9TDZJ68ggh0C/fwf7vSCtIX+PsSf4Asf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ZY+174A&#10;AADbAAAADwAAAAAAAAABACAAAAAiAAAAZHJzL2Rvd25yZXYueG1sUEsBAhQAFAAAAAgAh07iQDMv&#10;BZ47AAAAOQAAABAAAAAAAAAAAQAgAAAADQEAAGRycy9zaGFwZXhtbC54bWxQSwUGAAAAAAYABgBb&#10;AQAAtwMAAAAA&#10;" path="m0,380l327,0e">
                  <v:path o:connectlocs="0,1607;327,1227;327,1227" o:connectangles="0,0,0"/>
                  <v:fill on="f" focussize="0,0"/>
                  <v:stroke weight="0.0118897637795276pt" color="#000000" joinstyle="round"/>
                  <v:imagedata o:title=""/>
                  <o:lock v:ext="edit" aspectratio="f"/>
                </v:shape>
                <v:shape id="Freeform 366" o:spid="_x0000_s1026" o:spt="100" style="position:absolute;left:4019;top:1718;height:1599;width:1376;" filled="f" stroked="t" coordsize="1376,1599" o:gfxdata="UEsDBAoAAAAAAIdO4kAAAAAAAAAAAAAAAAAEAAAAZHJzL1BLAwQUAAAACACHTuJAlgpBu7kAAADb&#10;AAAADwAAAGRycy9kb3ducmV2LnhtbEVPz2vCMBS+D/wfwhN2WxNlDOmMPQgF0ZNu9PxoXtuw5qU2&#10;sVb/+uUw2PHj+70tZteLicZgPWtYZQoEce2N5VbD91f5tgERIrLB3jNpeFCAYrd42WJu/J3PNF1i&#10;K1IIhxw1dDEOuZSh7shhyPxAnLjGjw5jgmMrzYj3FO56uVbqQzq0nBo6HGjfUf1zuTkNczVd1/YY&#10;S3t6V83z3LtKVk7r1+VKfYKINMd/8Z/7YDRs0vr0Jf0Aufs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YKQbu5AAAA2wAA&#10;AA8AAAAAAAAAAQAgAAAAIgAAAGRycy9kb3ducmV2LnhtbFBLAQIUABQAAAAIAIdO4kAzLwWeOwAA&#10;ADkAAAAQAAAAAAAAAAEAIAAAAAgBAABkcnMvc2hhcGV4bWwueG1sUEsFBgAAAAAGAAYAWwEAALID&#10;AAAAAA==&#10;" path="m0,1599l1375,0,1376,0e">
                  <v:path o:connectlocs="0,3317;1375,1718;1376,1718" o:connectangles="0,0,0"/>
                  <v:fill on="f" focussize="0,0"/>
                  <v:stroke weight="0.0118897637795276pt" color="#000000" joinstyle="round"/>
                  <v:imagedata o:title=""/>
                  <o:lock v:ext="edit" aspectratio="f"/>
                </v:shape>
                <v:shape id="Freeform 365" o:spid="_x0000_s1026" o:spt="100" style="position:absolute;left:5792;top:1226;height:29;width:25;" filled="f" stroked="t" coordsize="25,29" o:gfxdata="UEsDBAoAAAAAAIdO4kAAAAAAAAAAAAAAAAAEAAAAZHJzL1BLAwQUAAAACACHTuJA/ypKNb4AAADb&#10;AAAADwAAAGRycy9kb3ducmV2LnhtbEWPQWvCQBSE7wX/w/IK3uomsRQbXQUDgpRCqUq9PrLPbGj2&#10;bchuEu2v7xYKHoeZ+YZZba62EQN1vnasIJ0lIIhLp2uuFJyOu6cFCB+QNTaOScGNPGzWk4cV5tqN&#10;/EnDIVQiQtjnqMCE0OZS+tKQRT9zLXH0Lq6zGKLsKqk7HCPcNjJLkhdpsea4YLClwlD5feitgvL5&#10;tn37mNNPb7Li/avAcxNez0pNH9NkCSLQNdzD/+29VrBI4e9L/AFy/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pKNb4A&#10;AADbAAAADwAAAAAAAAABACAAAAAiAAAAZHJzL2Rvd25yZXYueG1sUEsBAhQAFAAAAAgAh07iQDMv&#10;BZ47AAAAOQAAABAAAAAAAAAAAQAgAAAADQEAAGRycy9zaGFwZXhtbC54bWxQSwUGAAAAAAYABgBb&#10;AQAAtwMAAAAA&#10;" path="m0,29l25,0e">
                  <v:path o:connectlocs="0,1256;25,1227;25,1227" o:connectangles="0,0,0"/>
                  <v:fill on="f" focussize="0,0"/>
                  <v:stroke weight="0.0118897637795276pt" color="#000000" joinstyle="round"/>
                  <v:imagedata o:title=""/>
                  <o:lock v:ext="edit" aspectratio="f"/>
                </v:shape>
                <v:shape id="Freeform 364" o:spid="_x0000_s1026" o:spt="100" style="position:absolute;left:5489;top:1255;height:352;width:303;" filled="f" stroked="t" coordsize="303,352" o:gfxdata="UEsDBAoAAAAAAIdO4kAAAAAAAAAAAAAAAAAEAAAAZHJzL1BLAwQUAAAACACHTuJAWdr4+b0AAADb&#10;AAAADwAAAGRycy9kb3ducmV2LnhtbEWPwWrDMBBE74X8g9hAb42cHFzjRsmhEFJ6qx1Cj1trK7ux&#10;VsZSLPfvq0Igx2Fm3jDb/Wx7MdHoO8cK1qsMBHHjdMdGwak+PBUgfEDW2DsmBb/kYb9bPGyx1C7y&#10;B01VMCJB2JeooA1hKKX0TUsW/coNxMn7dqPFkORopB4xJrjt5SbLcmmx47TQ4kCvLTWX6moV2Fma&#10;r+fLz3thPo9xkOd4rfOo1ONynb2ACDSHe/jWftMKig38f0k/QO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Z2vj5vQAA&#10;ANsAAAAPAAAAAAAAAAEAIAAAACIAAABkcnMvZG93bnJldi54bWxQSwECFAAUAAAACACHTuJAMy8F&#10;njsAAAA5AAAAEAAAAAAAAAABACAAAAAMAQAAZHJzL3NoYXBleG1sLnhtbFBLBQYAAAAABgAGAFsB&#10;AAC2AwAAAAA=&#10;" path="m0,351l302,0,303,0e">
                  <v:path o:connectlocs="0,1607;302,1256;303,1256" o:connectangles="0,0,0"/>
                  <v:fill on="f" focussize="0,0"/>
                  <v:stroke weight="0.0118897637795276pt" color="#000000" joinstyle="round"/>
                  <v:imagedata o:title=""/>
                  <o:lock v:ext="edit" aspectratio="f"/>
                </v:shape>
                <v:shape id="Freeform 363" o:spid="_x0000_s1026" o:spt="100" style="position:absolute;left:3988;top:1803;height:1635;width:1407;" filled="f" stroked="t" coordsize="1407,1635" o:gfxdata="UEsDBAoAAAAAAIdO4kAAAAAAAAAAAAAAAAAEAAAAZHJzL1BLAwQUAAAACACHTuJAoQArdr4AAADb&#10;AAAADwAAAGRycy9kb3ducmV2LnhtbEWPS2vDMBCE74H8B7GF3hI5NQ7BjRJKoBByqu0+rltra5tK&#10;K8dSXv8+CgRyHGbmG2a5PlsjjjT4zrGC2TQBQVw73XGj4LN6nyxA+ICs0TgmBRfysF6NR0vMtTtx&#10;QccyNCJC2OeooA2hz6X0dUsW/dT1xNH7c4PFEOXQSD3gKcKtkS9JMpcWO44LLfa0aan+Lw9WQVqY&#10;zG6yH/Pht+lXlZrd99vvXqnnp1nyCiLQOTzC9/ZWK1ikcPsSf4BcX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QArdr4A&#10;AADbAAAADwAAAAAAAAABACAAAAAiAAAAZHJzL2Rvd25yZXYueG1sUEsBAhQAFAAAAAgAh07iQDMv&#10;BZ47AAAAOQAAABAAAAAAAAAAAQAgAAAADQEAAGRycy9zaGFwZXhtbC54bWxQSwUGAAAAAAYABgBb&#10;AQAAtwMAAAAA&#10;" path="m0,1635l1406,0,1407,0e">
                  <v:path o:connectlocs="0,3438;1406,1803;1407,1803" o:connectangles="0,0,0"/>
                  <v:fill on="f" focussize="0,0"/>
                  <v:stroke weight="0.0118897637795276pt" color="#000000" joinstyle="round"/>
                  <v:imagedata o:title=""/>
                  <o:lock v:ext="edit" aspectratio="f"/>
                </v:shape>
                <v:shape id="Freeform 362" o:spid="_x0000_s1026" o:spt="100" style="position:absolute;left:5792;top:1226;height:114;width:98;" filled="f" stroked="t" coordsize="98,114" o:gfxdata="UEsDBAoAAAAAAIdO4kAAAAAAAAAAAAAAAAAEAAAAZHJzL1BLAwQUAAAACACHTuJAItlet7sAAADb&#10;AAAADwAAAGRycy9kb3ducmV2LnhtbEWPQYvCMBSE78L+h/AWvGmqiEjX6EF2wYuHrYLXZ/O2KTYv&#10;NYm16683guBxmJlvmOW6t43oyIfasYLJOANBXDpdc6XgsP8ZLUCEiKyxcUwK/inAevUxWGKu3Y1/&#10;qStiJRKEQ44KTIxtLmUoDVkMY9cSJ+/PeYsxSV9J7fGW4LaR0yybS4s1pwWDLW0MlefiahVQeeyv&#10;O63P36a4mC7utb+fdkoNPyfZF4hIfXyHX+2tVrCYwfNL+gFy9Q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tlet7sAAADb&#10;AAAADwAAAAAAAAABACAAAAAiAAAAZHJzL2Rvd25yZXYueG1sUEsBAhQAFAAAAAgAh07iQDMvBZ47&#10;AAAAOQAAABAAAAAAAAAAAQAgAAAACgEAAGRycy9zaGFwZXhtbC54bWxQSwUGAAAAAAYABgBbAQAA&#10;tAMAAAAA&#10;" path="m0,114l98,0e">
                  <v:path o:connectlocs="0,1341;98,1227;98,1227" o:connectangles="0,0,0"/>
                  <v:fill on="f" focussize="0,0"/>
                  <v:stroke weight="0.0118897637795276pt" color="#000000" joinstyle="round"/>
                  <v:imagedata o:title=""/>
                  <o:lock v:ext="edit" aspectratio="f"/>
                </v:shape>
                <v:shape id="Freeform 361" o:spid="_x0000_s1026" o:spt="100" style="position:absolute;left:5562;top:1340;height:267;width:230;" filled="f" stroked="t" coordsize="230,267" o:gfxdata="UEsDBAoAAAAAAIdO4kAAAAAAAAAAAAAAAAAEAAAAZHJzL1BLAwQUAAAACACHTuJA4ARRf70AAADb&#10;AAAADwAAAGRycy9kb3ducmV2LnhtbEWPT2sCMRTE74V+h/AKXqRmFSyyNXoQW8T20rUXb6+b5+7i&#10;5iUkz3/fvhEKPQ4z8xtmvry6Xp0pps6zgfGoAEVce9txY+B79/Y8A5UE2WLvmQzcKMFy8fgwx9L6&#10;C3/RuZJGZQinEg20IqHUOtUtOUwjH4izd/DRoWQZG20jXjLc9XpSFC/aYcd5ocVAq5bqY3VyBuR9&#10;2H2stuv0GWW4r9Y/IcS0N2bwNC5eQQld5T/8195YA7Mp3L/kH6A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gBFF/vQAA&#10;ANsAAAAPAAAAAAAAAAEAIAAAACIAAABkcnMvZG93bnJldi54bWxQSwECFAAUAAAACACHTuJAMy8F&#10;njsAAAA5AAAAEAAAAAAAAAABACAAAAAMAQAAZHJzL3NoYXBleG1sLnhtbFBLBQYAAAAABgAGAFsB&#10;AAC2AwAAAAA=&#10;" path="m0,266l229,0,230,0e">
                  <v:path o:connectlocs="0,1607;229,1341;230,1341" o:connectangles="0,0,0"/>
                  <v:fill on="f" focussize="0,0"/>
                  <v:stroke weight="0.0118897637795276pt" color="#000000" joinstyle="round"/>
                  <v:imagedata o:title=""/>
                  <o:lock v:ext="edit" aspectratio="f"/>
                </v:shape>
                <v:shape id="Freeform 360" o:spid="_x0000_s1026" o:spt="100" style="position:absolute;left:3957;top:1888;height:1671;width:1438;" filled="f" stroked="t" coordsize="1438,1671" o:gfxdata="UEsDBAoAAAAAAIdO4kAAAAAAAAAAAAAAAAAEAAAAZHJzL1BLAwQUAAAACACHTuJAKeHhqrwAAADb&#10;AAAADwAAAGRycy9kb3ducmV2LnhtbEWPQWsCMRSE7wX/Q3iFXoomFlFZjR7EQq9dRdvbY/N2s3Tz&#10;smyia/31RhA8DjPzDbNcX1wjztSF2rOG8UiBIC68qbnSsN99DucgQkQ22HgmDf8UYL0avCwxM77n&#10;bzrnsRIJwiFDDTbGNpMyFJYchpFviZNX+s5hTLKrpOmwT3DXyA+lptJhzWnBYksbS8VffnIaZLz+&#10;nDb+d7LtD7mdqeN7WSJp/fY6VgsQkS7xGX60v4yG+RTuX9IPkKs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nh4aq8AAAA&#10;2wAAAA8AAAAAAAAAAQAgAAAAIgAAAGRycy9kb3ducmV2LnhtbFBLAQIUABQAAAAIAIdO4kAzLwWe&#10;OwAAADkAAAAQAAAAAAAAAAEAIAAAAAsBAABkcnMvc2hhcGV4bWwueG1sUEsFBgAAAAAGAAYAWwEA&#10;ALUDAAAAAA==&#10;" path="m0,1670l1436,0,1437,0e">
                  <v:path o:connectlocs="0,3558;1436,1888;1437,1888" o:connectangles="0,0,0"/>
                  <v:fill on="f" focussize="0,0"/>
                  <v:stroke weight="0.0118897637795276pt" color="#000000" joinstyle="round"/>
                  <v:imagedata o:title=""/>
                  <o:lock v:ext="edit" aspectratio="f"/>
                </v:shape>
                <v:shape id="Freeform 359" o:spid="_x0000_s1026" o:spt="100" style="position:absolute;left:5792;top:1226;height:199;width:171;" filled="f" stroked="t" coordsize="171,199" o:gfxdata="UEsDBAoAAAAAAIdO4kAAAAAAAAAAAAAAAAAEAAAAZHJzL1BLAwQUAAAACACHTuJASM8y5L0AAADb&#10;AAAADwAAAGRycy9kb3ducmV2LnhtbEWPwWrDMBBE74X8g9hCb7XsHtrgRMmhJWB6au0Q8G2xNpap&#10;tDKWkrj5+qhQyHGYmTfMejs7K840hcGzgiLLQRB3Xg/cK9g3u+cliBCRNVrPpOCXAmw3i4c1ltpf&#10;+JvOdexFgnAoUYGJcSylDJ0hhyHzI3Hyjn5yGJOceqknvCS4s/Ilz1+lw4HTgsGR3g11P/XJKeDW&#10;2MNHUbnPihp97Zove2p7pZ4ei3wFItIc7+H/dqUVLN/g70v6AXJz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IzzLkvQAA&#10;ANsAAAAPAAAAAAAAAAEAIAAAACIAAABkcnMvZG93bnJldi54bWxQSwECFAAUAAAACACHTuJAMy8F&#10;njsAAAA5AAAAEAAAAAAAAAABACAAAAAMAQAAZHJzL3NoYXBleG1sLnhtbFBLBQYAAAAABgAGAFsB&#10;AAC2AwAAAAA=&#10;" path="m0,198l171,0e">
                  <v:path o:connectlocs="0,1425;171,1227;171,1227" o:connectangles="0,0,0"/>
                  <v:fill on="f" focussize="0,0"/>
                  <v:stroke weight="0.0118897637795276pt" color="#000000" joinstyle="round"/>
                  <v:imagedata o:title=""/>
                  <o:lock v:ext="edit" aspectratio="f"/>
                </v:shape>
                <v:shape id="Freeform 358" o:spid="_x0000_s1026" o:spt="100" style="position:absolute;left:5635;top:1425;height:182;width:157;" filled="f" stroked="t" coordsize="157,182" o:gfxdata="UEsDBAoAAAAAAIdO4kAAAAAAAAAAAAAAAAAEAAAAZHJzL1BLAwQUAAAACACHTuJA814xLrsAAADb&#10;AAAADwAAAGRycy9kb3ducmV2LnhtbEVPTWsCMRC9F/wPYYReimZVKLIaPQi21l7qth68DZtxs5hM&#10;liTq+u+bQ6HHx/terntnxY1CbD0rmIwLEMS11y03Cn6+t6M5iJiQNVrPpOBBEdarwdMSS+3vfKBb&#10;lRqRQziWqMCk1JVSxtqQwzj2HXHmzj44TBmGRuqA9xzurJwWxat02HJuMNjRxlB9qa5OgXWxun4d&#10;3y2+9ebxMgsfn/vDSann4aRYgEjUp3/xn3unFczz2Pwl/wC5+g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14xLrsAAADb&#10;AAAADwAAAAAAAAABACAAAAAiAAAAZHJzL2Rvd25yZXYueG1sUEsBAhQAFAAAAAgAh07iQDMvBZ47&#10;AAAAOQAAABAAAAAAAAAAAQAgAAAACgEAAGRycy9zaGFwZXhtbC54bWxQSwUGAAAAAAYABgBbAQAA&#10;tAMAAAAA&#10;" path="m0,182l156,0,157,0e">
                  <v:path o:connectlocs="0,1607;156,1425;157,1425" o:connectangles="0,0,0"/>
                  <v:fill on="f" focussize="0,0"/>
                  <v:stroke weight="0.0118897637795276pt" color="#000000" joinstyle="round"/>
                  <v:imagedata o:title=""/>
                  <o:lock v:ext="edit" aspectratio="f"/>
                </v:shape>
                <v:shape id="Freeform 357" o:spid="_x0000_s1026" o:spt="100" style="position:absolute;left:3991;top:1972;height:1632;width:1404;" filled="f" stroked="t" coordsize="1404,1632" o:gfxdata="UEsDBAoAAAAAAIdO4kAAAAAAAAAAAAAAAAAEAAAAZHJzL1BLAwQUAAAACACHTuJAYTLyibsAAADb&#10;AAAADwAAAGRycy9kb3ducmV2LnhtbEWPwWrDMBBE74H+g9hCb4nsHkrqWPYhECi0FJwUnxdpYxlb&#10;K2Opdvr3VaGQ4zAzb5iyvrlRLDSH3rOCfJeBINbe9Nwp+LqctnsQISIbHD2Tgh8KUFcPmxIL41du&#10;aDnHTiQIhwIV2BinQsqgLTkMOz8RJ+/qZ4cxybmTZsY1wd0on7PsRTrsOS1YnOhoSQ/nb6dg+vx4&#10;H2yju/Xa+rFptKPYtko9PebZAUSkW7yH/9tvRsH+Ff6+pB8gq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TLyibsAAADb&#10;AAAADwAAAAAAAAABACAAAAAiAAAAZHJzL2Rvd25yZXYueG1sUEsBAhQAFAAAAAgAh07iQDMvBZ47&#10;AAAAOQAAABAAAAAAAAAAAQAgAAAACgEAAGRycy9zaGFwZXhtbC54bWxQSwUGAAAAAAYABgBbAQAA&#10;tAMAAAAA&#10;" path="m0,1631l1403,0,1404,0e">
                  <v:path o:connectlocs="0,3604;1403,1973;1404,1973" o:connectangles="0,0,0"/>
                  <v:fill on="f" focussize="0,0"/>
                  <v:stroke weight="0.0118897637795276pt" color="#000000" joinstyle="round"/>
                  <v:imagedata o:title=""/>
                  <o:lock v:ext="edit" aspectratio="f"/>
                </v:shape>
                <v:shape id="Freeform 356" o:spid="_x0000_s1026" o:spt="100" style="position:absolute;left:5792;top:1226;height:284;width:244;" filled="f" stroked="t" coordsize="244,284" o:gfxdata="UEsDBAoAAAAAAIdO4kAAAAAAAAAAAAAAAAAEAAAAZHJzL1BLAwQUAAAACACHTuJAGKLXdrkAAADb&#10;AAAADwAAAGRycy9kb3ducmV2LnhtbEVPTWsCMRC9F/wPYYTeanYVSl2NHkSp0EurC16HZNwsbiZL&#10;krraX98cBI+P971c31wnrhRi61lBOSlAEGtvWm4U1Mfd2weImJANdp5JwZ0irFejlyVWxg/8Q9dD&#10;akQO4VihAptSX0kZtSWHceJ74sydfXCYMgyNNAGHHO46OS2Kd+mw5dxgsaeNJX05/DoFs3vzpT/J&#10;nv5Mj3oI9e57G0qlXsdlsQCR6Jae4od7bxTM8/r8Jf8Aufo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ii13a5AAAA2wAA&#10;AA8AAAAAAAAAAQAgAAAAIgAAAGRycy9kb3ducmV2LnhtbFBLAQIUABQAAAAIAIdO4kAzLwWeOwAA&#10;ADkAAAAQAAAAAAAAAAEAIAAAAAgBAABkcnMvc2hhcGV4bWwueG1sUEsFBgAAAAAGAAYAWwEAALID&#10;AAAAAA==&#10;" path="m0,283l244,0e">
                  <v:path o:connectlocs="0,1510;244,1227;244,1227" o:connectangles="0,0,0"/>
                  <v:fill on="f" focussize="0,0"/>
                  <v:stroke weight="0.0118897637795276pt" color="#000000" joinstyle="round"/>
                  <v:imagedata o:title=""/>
                  <o:lock v:ext="edit" aspectratio="f"/>
                </v:shape>
                <v:shape id="Freeform 355" o:spid="_x0000_s1026" o:spt="100" style="position:absolute;left:5708;top:1510;height:98;width:84;" filled="f" stroked="t" coordsize="84,98" o:gfxdata="UEsDBAoAAAAAAIdO4kAAAAAAAAAAAAAAAAAEAAAAZHJzL1BLAwQUAAAACACHTuJA5dLsir4AAADb&#10;AAAADwAAAGRycy9kb3ducmV2LnhtbEWP3WrCQBSE7wu+w3KE3tXdSG01uopIhFwUij8PcMwek2j2&#10;bMiuGt++Wyj0cpiZb5jFqreNuFPna8cakpECQVw4U3Op4XjYvk1B+IBssHFMGp7kYbUcvCwwNe7B&#10;O7rvQykihH2KGqoQ2lRKX1Rk0Y9cSxy9s+sshii7UpoOHxFuGzlW6kNarDkuVNjSpqLiur9ZDflp&#10;d1tnjXrH7Ou7z7eT0+aSfWr9OkzUHESgPvyH/9q50TBL4PdL/AFy+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dLsir4A&#10;AADbAAAADwAAAAAAAAABACAAAAAiAAAAZHJzL2Rvd25yZXYueG1sUEsBAhQAFAAAAAgAh07iQDMv&#10;BZ47AAAAOQAAABAAAAAAAAAAAQAgAAAADQEAAGRycy9zaGFwZXhtbC54bWxQSwUGAAAAAAYABgBb&#10;AQAAtwMAAAAA&#10;" path="m0,97l83,0,84,0e">
                  <v:path o:connectlocs="0,1607;83,1510;84,1510" o:connectangles="0,0,0"/>
                  <v:fill on="f" focussize="0,0"/>
                  <v:stroke weight="0.0118897637795276pt" color="#000000" joinstyle="round"/>
                  <v:imagedata o:title=""/>
                  <o:lock v:ext="edit" aspectratio="f"/>
                </v:shape>
                <v:shape id="Freeform 354" o:spid="_x0000_s1026" o:spt="100" style="position:absolute;left:4064;top:2057;height:1547;width:1331;" filled="f" stroked="t" coordsize="1331,1547" o:gfxdata="UEsDBAoAAAAAAIdO4kAAAAAAAAAAAAAAAAAEAAAAZHJzL1BLAwQUAAAACACHTuJAkG/hm70AAADb&#10;AAAADwAAAGRycy9kb3ducmV2LnhtbEWPT2sCMRTE7wW/Q3hCbzW7lkpdzYottCzetCJ6e2ze/sHN&#10;y5Kk6n77piB4HGbmN8xydTOduJDzrWUF6SQBQVxa3XKtYP/z9fIOwgdkjZ1lUjCQh1U+elpipu2V&#10;t3TZhVpECPsMFTQh9JmUvmzIoJ/Ynjh6lXUGQ5SultrhNcJNJ6dJMpMGW44LDfb02VB53v0aBa+H&#10;t4/vYzVYt5mFIiV3WptNr9TzOE0WIALdwiN8bxdawXwK/1/iD5D5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Qb+GbvQAA&#10;ANsAAAAPAAAAAAAAAAEAIAAAACIAAABkcnMvZG93bnJldi54bWxQSwECFAAUAAAACACHTuJAMy8F&#10;njsAAAA5AAAAEAAAAAAAAAABACAAAAAMAQAAZHJzL3NoYXBleG1sLnhtbFBLBQYAAAAABgAGAFsB&#10;AAC2AwAAAAA=&#10;" path="m0,1546l1330,0,1331,0e">
                  <v:path o:connectlocs="0,3604;1330,2058;1331,2058" o:connectangles="0,0,0"/>
                  <v:fill on="f" focussize="0,0"/>
                  <v:stroke weight="0.0118897637795276pt" color="#000000" joinstyle="round"/>
                  <v:imagedata o:title=""/>
                  <o:lock v:ext="edit" aspectratio="f"/>
                </v:shape>
                <v:shape id="Freeform 353" o:spid="_x0000_s1026" o:spt="100" style="position:absolute;left:5792;top:1226;height:369;width:317;" filled="f" stroked="t" coordsize="317,369" o:gfxdata="UEsDBAoAAAAAAIdO4kAAAAAAAAAAAAAAAAAEAAAAZHJzL1BLAwQUAAAACACHTuJA/GCDCL4AAADb&#10;AAAADwAAAGRycy9kb3ducmV2LnhtbEWPzWrDMBCE74G+g9hCb7FsF5LUtRxIoZAcUkhS6HWxNv6J&#10;tRKWkrhvXxUKPQ4z8w1TricziBuNvrOsIEtSEMS11R03Cj5P7/MVCB+QNQ6WScE3eVhXD7MSC23v&#10;fKDbMTQiQtgXqKANwRVS+rolgz6xjjh6ZzsaDFGOjdQj3iPcDDJP04U02HFcaNHRW0v15Xg1Ck7c&#10;Tx+mb/yud3u5zN3mK99tlHp6zNJXEIGm8B/+a2+1gpdn+P0Sf4Csf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CDCL4A&#10;AADbAAAADwAAAAAAAAABACAAAAAiAAAAZHJzL2Rvd25yZXYueG1sUEsBAhQAFAAAAAgAh07iQDMv&#10;BZ47AAAAOQAAABAAAAAAAAAAAQAgAAAADQEAAGRycy9zaGFwZXhtbC54bWxQSwUGAAAAAAYABgBb&#10;AQAAtwMAAAAA&#10;" path="m0,368l317,0e">
                  <v:path o:connectlocs="0,1595;317,1227;317,1227" o:connectangles="0,0,0"/>
                  <v:fill on="f" focussize="0,0"/>
                  <v:stroke weight="0.0118897637795276pt" color="#000000" joinstyle="round"/>
                  <v:imagedata o:title=""/>
                  <o:lock v:ext="edit" aspectratio="f"/>
                </v:shape>
                <v:shape id="Freeform 352" o:spid="_x0000_s1026" o:spt="100" style="position:absolute;left:5781;top:1594;height:13;width:11;" filled="f" stroked="t" coordsize="11,13" o:gfxdata="UEsDBAoAAAAAAIdO4kAAAAAAAAAAAAAAAAAEAAAAZHJzL1BLAwQUAAAACACHTuJAnGbie70AAADb&#10;AAAADwAAAGRycy9kb3ducmV2LnhtbEWPQWsCMRSE74X+h/AK3jRR2mpXo4disVJQtF68PTavu8HN&#10;y5LE1f77RhB6HGbmG2a2uLpGdBSi9axhOFAgiEtvLFcaDt8f/QmImJANNp5Jwy9FWMwfH2ZYGH/h&#10;HXX7VIkM4VighjqltpAyljU5jAPfEmfvxweHKctQSRPwkuGukSOlXqVDy3mhxpbeaypP+7PT0DZ2&#10;qV7O49Nxs93x+lCGle2+tO49DdUURKJr+g/f259Gw9sz3L7kHyDn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cZuJ7vQAA&#10;ANsAAAAPAAAAAAAAAAEAIAAAACIAAABkcnMvZG93bnJldi54bWxQSwECFAAUAAAACACHTuJAMy8F&#10;njsAAAA5AAAAEAAAAAAAAAABACAAAAAMAQAAZHJzL3NoYXBleG1sLnhtbFBLBQYAAAAABgAGAFsB&#10;AAC2AwAAAAA=&#10;" path="m0,12l10,0,11,0e">
                  <v:path o:connectlocs="0,1607;10,1595;11,1595" o:connectangles="0,0,0"/>
                  <v:fill on="f" focussize="0,0"/>
                  <v:stroke weight="0.0118897637795276pt" color="#000000" joinstyle="round"/>
                  <v:imagedata o:title=""/>
                  <o:lock v:ext="edit" aspectratio="f"/>
                </v:shape>
                <v:shape id="Freeform 351" o:spid="_x0000_s1026" o:spt="100" style="position:absolute;left:4137;top:2142;height:1462;width:1258;" filled="f" stroked="t" coordsize="1258,1462" o:gfxdata="UEsDBAoAAAAAAIdO4kAAAAAAAAAAAAAAAAAEAAAAZHJzL1BLAwQUAAAACACHTuJADns5474AAADb&#10;AAAADwAAAGRycy9kb3ducmV2LnhtbEWPQWsCMRSE74L/ITzBmyYKtroaPQiKILS49lBvj81zd9vN&#10;y7qJrv57Uyh4HGbmG2axuttK3KjxpWMNo6ECQZw5U3Ku4eu4GUxB+IBssHJMGh7kYbXsdhaYGNfy&#10;gW5pyEWEsE9QQxFCnUjps4Is+qGriaN3do3FEGWTS9NgG+G2kmOl3qTFkuNCgTWtC8p+06vVoGYf&#10;9vx++WxPB29/9unme19vndb93kjNQQS6h1f4v70zGmYT+PsSf4BcP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ns5474A&#10;AADbAAAADwAAAAAAAAABACAAAAAiAAAAZHJzL2Rvd25yZXYueG1sUEsBAhQAFAAAAAgAh07iQDMv&#10;BZ47AAAAOQAAABAAAAAAAAAAAQAgAAAADQEAAGRycy9zaGFwZXhtbC54bWxQSwUGAAAAAAYABgBb&#10;AQAAtwMAAAAA&#10;" path="m0,1462l1257,0,1258,0e">
                  <v:path o:connectlocs="0,3604;1257,2142;1258,2142" o:connectangles="0,0,0"/>
                  <v:fill on="f" focussize="0,0"/>
                  <v:stroke weight="0.0118897637795276pt" color="#000000" joinstyle="round"/>
                  <v:imagedata o:title=""/>
                  <o:lock v:ext="edit" aspectratio="f"/>
                </v:shape>
                <v:shape id="Freeform 350" o:spid="_x0000_s1026" o:spt="100" style="position:absolute;left:5854;top:1226;height:381;width:328;" filled="f" stroked="t" coordsize="328,381" o:gfxdata="UEsDBAoAAAAAAIdO4kAAAAAAAAAAAAAAAAAEAAAAZHJzL1BLAwQUAAAACACHTuJALAVMX74AAADb&#10;AAAADwAAAGRycy9kb3ducmV2LnhtbEWPS2vCQBSF9wX/w3CFbqROLMXENBMXQkvACj7q/pK5TYKZ&#10;O+nMVO2/7whCl4fz+DjF8mp6cSbnO8sKZtMEBHFtdceNgs/D21MGwgdkjb1lUvBLHpbl6KHAXNsL&#10;7+i8D42II+xzVNCGMORS+rolg35qB+LofVlnMETpGqkdXuK46eVzksylwY4jocWBVi3Vp/2PiZDj&#10;9+Rdr7MX7dLKp+sqZB/bjVKP41nyCiLQNfyH7+1KK1jM4fYl/gBZ/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AVMX74A&#10;AADbAAAADwAAAAAAAAABACAAAAAiAAAAZHJzL2Rvd25yZXYueG1sUEsBAhQAFAAAAAgAh07iQDMv&#10;BZ47AAAAOQAAABAAAAAAAAAAAQAgAAAADQEAAGRycy9zaGFwZXhtbC54bWxQSwUGAAAAAAYABgBb&#10;AQAAtwMAAAAA&#10;" path="m0,380l327,0e">
                  <v:path o:connectlocs="0,1607;327,1227;327,1227" o:connectangles="0,0,0"/>
                  <v:fill on="f" focussize="0,0"/>
                  <v:stroke weight="0.0118897637795276pt" color="#000000" joinstyle="round"/>
                  <v:imagedata o:title=""/>
                  <o:lock v:ext="edit" aspectratio="f"/>
                </v:shape>
                <v:shape id="Freeform 349" o:spid="_x0000_s1026" o:spt="100" style="position:absolute;left:4210;top:2227;height:1377;width:1185;" filled="f" stroked="t" coordsize="1185,1377" o:gfxdata="UEsDBAoAAAAAAIdO4kAAAAAAAAAAAAAAAAAEAAAAZHJzL1BLAwQUAAAACACHTuJAGwqqc7sAAADb&#10;AAAADwAAAGRycy9kb3ducmV2LnhtbEWPT4vCMBTE74LfIbwFbzZRoWrXKCIoInvxDz0/mrdt2eal&#10;NFG7334jLHgcZuY3zGrT20Y8qPO1Yw2TRIEgLpypudRwu+7HCxA+IBtsHJOGX/KwWQ8HK8yMe/KZ&#10;HpdQighhn6GGKoQ2k9IXFVn0iWuJo/ftOoshyq6UpsNnhNtGTpVKpcWa40KFLe0qKn4ud6vhyx2L&#10;NN2e6DbLezqoM5t8xlqPPibqE0SgPrzD/+2j0bCcw+tL/AFy/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wqqc7sAAADb&#10;AAAADwAAAAAAAAABACAAAAAiAAAAZHJzL2Rvd25yZXYueG1sUEsBAhQAFAAAAAgAh07iQDMvBZ47&#10;AAAAOQAAABAAAAAAAAAAAQAgAAAACgEAAGRycy9zaGFwZXhtbC54bWxQSwUGAAAAAAYABgBbAQAA&#10;tAMAAAAA&#10;" path="m0,1377l1184,0,1185,0e">
                  <v:path o:connectlocs="0,3604;1184,2227;1185,2227" o:connectangles="0,0,0"/>
                  <v:fill on="f" focussize="0,0"/>
                  <v:stroke weight="0.0118897637795276pt" color="#000000" joinstyle="round"/>
                  <v:imagedata o:title=""/>
                  <o:lock v:ext="edit" aspectratio="f"/>
                </v:shape>
                <v:shape id="Freeform 348" o:spid="_x0000_s1026" o:spt="100" style="position:absolute;left:5927;top:1226;height:381;width:328;" filled="f" stroked="t" coordsize="328,381" o:gfxdata="UEsDBAoAAAAAAIdO4kAAAAAAAAAAAAAAAAAEAAAAZHJzL1BLAwQUAAAACACHTuJAMtZ9trsAAADb&#10;AAAADwAAAGRycy9kb3ducmV2LnhtbEVPS2vCQBC+C/6HZQpeSt1YpKapqwehJWAFH+19yE6T0Oxs&#10;uru+/n3nIHj8+N7z5cV16kQhtp4NTMYZKOLK25ZrA1+H96ccVEzIFjvPZOBKEZaL4WCOhfVn3tFp&#10;n2olIRwLNNCk1Bdax6ohh3Hse2LhfnxwmASGWtuAZwl3nX7OshftsGVpaLCnVUPV7/7opOT77/HD&#10;rvOpDbMyztZlyj+3G2NGD5PsDVSiS7qLb+7SGniVsfJFfoBe/A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tZ9trsAAADb&#10;AAAADwAAAAAAAAABACAAAAAiAAAAZHJzL2Rvd25yZXYueG1sUEsBAhQAFAAAAAgAh07iQDMvBZ47&#10;AAAAOQAAABAAAAAAAAAAAQAgAAAACgEAAGRycy9zaGFwZXhtbC54bWxQSwUGAAAAAAYABgBbAQAA&#10;tAMAAAAA&#10;" path="m0,380l327,0e">
                  <v:path o:connectlocs="0,1607;327,1227;327,1227" o:connectangles="0,0,0"/>
                  <v:fill on="f" focussize="0,0"/>
                  <v:stroke weight="0.0118897637795276pt" color="#000000" joinstyle="round"/>
                  <v:imagedata o:title=""/>
                  <o:lock v:ext="edit" aspectratio="f"/>
                </v:shape>
                <v:shape id="Freeform 347" o:spid="_x0000_s1026" o:spt="100" style="position:absolute;left:4283;top:2312;height:1293;width:1112;" filled="f" stroked="t" coordsize="1112,1293" o:gfxdata="UEsDBAoAAAAAAIdO4kAAAAAAAAAAAAAAAAAEAAAAZHJzL1BLAwQUAAAACACHTuJAuUw7P7wAAADb&#10;AAAADwAAAGRycy9kb3ducmV2LnhtbEWPQWvCQBSE70L/w/IEb2aTIlJjVsFSpdhLjaXnR/aZTZt9&#10;G7KrSf99t1DwOMzMN0yxHW0rbtT7xrGCLElBEFdON1wr+Djv508gfEDW2DomBT/kYbt5mBSYazfw&#10;iW5lqEWEsM9RgQmhy6X0lSGLPnEdcfQurrcYouxrqXscIty28jFNl9Jiw3HBYEfPhqrv8moV+M63&#10;V3rZ4dviE0vzntkjfx2Umk2zdA0i0Bju4f/2q1awWsHfl/gD5OY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lMOz+8AAAA&#10;2wAAAA8AAAAAAAAAAQAgAAAAIgAAAGRycy9kb3ducmV2LnhtbFBLAQIUABQAAAAIAIdO4kAzLwWe&#10;OwAAADkAAAAQAAAAAAAAAAEAIAAAAAsBAABkcnMvc2hhcGV4bWwueG1sUEsFBgAAAAAGAAYAWwEA&#10;ALUDAAAAAA==&#10;" path="m0,1292l1111,0,1112,0e">
                  <v:path o:connectlocs="0,3604;1111,2312;1112,2312" o:connectangles="0,0,0"/>
                  <v:fill on="f" focussize="0,0"/>
                  <v:stroke weight="0.0118897637795276pt" color="#000000" joinstyle="round"/>
                  <v:imagedata o:title=""/>
                  <o:lock v:ext="edit" aspectratio="f"/>
                </v:shape>
                <v:shape id="Freeform 346" o:spid="_x0000_s1026" o:spt="100" style="position:absolute;left:6000;top:1226;height:381;width:328;" filled="f" stroked="t" coordsize="328,381" o:gfxdata="UEsDBAoAAAAAAIdO4kAAAAAAAAAAAAAAAAAEAAAAZHJzL1BLAwQUAAAACACHTuJAvnkAI74AAADc&#10;AAAADwAAAGRycy9kb3ducmV2LnhtbEWPTWvDMAyG74P9B6NBL2O1O8Ya0ro9DDYCXWHr1ruI1SQ0&#10;ljPb68e/rw6F3iT0fjyaL0++VweKqQtsYTI2oIjr4DpuLPz+vD8VoFJGdtgHJgtnSrBc3N/NsXTh&#10;yN902ORGSQinEi20OQ+l1qluyWMah4FYbrsQPWZZY6NdxKOE+14/G/OqPXYsDS0O9NZSvd/8eynZ&#10;/j1+uFXx4uK0StNVlYvPr7W1o4eJmYHKdMo38dVdOcE3gi/PyAR6c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nkAI74A&#10;AADcAAAADwAAAAAAAAABACAAAAAiAAAAZHJzL2Rvd25yZXYueG1sUEsBAhQAFAAAAAgAh07iQDMv&#10;BZ47AAAAOQAAABAAAAAAAAAAAQAgAAAADQEAAGRycy9zaGFwZXhtbC54bWxQSwUGAAAAAAYABgBb&#10;AQAAtwMAAAAA&#10;" path="m0,380l327,0e">
                  <v:path o:connectlocs="0,1607;327,1227;327,1227" o:connectangles="0,0,0"/>
                  <v:fill on="f" focussize="0,0"/>
                  <v:stroke weight="0.0118897637795276pt" color="#000000" joinstyle="round"/>
                  <v:imagedata o:title=""/>
                  <o:lock v:ext="edit" aspectratio="f"/>
                </v:shape>
                <v:shape id="Freeform 345" o:spid="_x0000_s1026" o:spt="100" style="position:absolute;left:4355;top:2396;height:1208;width:1039;" filled="f" stroked="t" coordsize="1039,1208" o:gfxdata="UEsDBAoAAAAAAIdO4kAAAAAAAAAAAAAAAAAEAAAAZHJzL1BLAwQUAAAACACHTuJApGrKSr0AAADc&#10;AAAADwAAAGRycy9kb3ducmV2LnhtbEVPS2rDMBDdF3IHMYVsQiO5hSS4UQwxTkihmzg+wGBNbRNr&#10;ZCw1v9NXhUJ383jfWWc324sLjb5zrCGZKxDEtTMdNxqq0+5lBcIHZIO9Y9JwJw/ZZvK0xtS4Kx/p&#10;UoZGxBD2KWpoQxhSKX3dkkU/dwNx5L7caDFEODbSjHiN4baXr0otpMWOY0OLA+Ut1efy22p4zHJa&#10;HM/7Yjv7/NgtC9+9Hapc6+lzot5BBLqFf/Gf+2DifJXA7zPxArn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kaspKvQAA&#10;ANwAAAAPAAAAAAAAAAEAIAAAACIAAABkcnMvZG93bnJldi54bWxQSwECFAAUAAAACACHTuJAMy8F&#10;njsAAAA5AAAAEAAAAAAAAAABACAAAAAMAQAAZHJzL3NoYXBleG1sLnhtbFBLBQYAAAAABgAGAFsB&#10;AAC2AwAAAAA=&#10;" path="m0,1207l1038,0,1039,0e">
                  <v:path o:connectlocs="0,3604;1038,2397;1039,2397" o:connectangles="0,0,0"/>
                  <v:fill on="f" focussize="0,0"/>
                  <v:stroke weight="0.0118897637795276pt" color="#000000" joinstyle="round"/>
                  <v:imagedata o:title=""/>
                  <o:lock v:ext="edit" aspectratio="f"/>
                </v:shape>
                <v:shape id="Freeform 344" o:spid="_x0000_s1026" o:spt="100" style="position:absolute;left:6073;top:1226;height:381;width:328;" filled="f" stroked="t" coordsize="328,381" o:gfxdata="UEsDBAoAAAAAAIdO4kAAAAAAAAAAAAAAAAAEAAAAZHJzL1BLAwQUAAAACACHTuJAIec7z74AAADc&#10;AAAADwAAAGRycy9kb3ducmV2LnhtbEWPT2sCMRDF70K/Q5iCF6mJIrpsjR4KlQUV1Lb3YTPdXbqZ&#10;bJP479sbQfA2w3vzfm/my4ttxYl8aBxrGA0VCOLSmYYrDd9fn28ZiBCRDbaOScOVAiwXL7055sad&#10;eU+nQ6xECuGQo4Y6xi6XMpQ1WQxD1xEn7dd5izGtvpLG4zmF21aOlZpKiw0nQo0dfdRU/h2ONkF+&#10;/gcrs84mxs+KMFsXMdvstlr3X0fqHUSkS3yaH9eFSfXVGO7PpAnk4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ec7z74A&#10;AADcAAAADwAAAAAAAAABACAAAAAiAAAAZHJzL2Rvd25yZXYueG1sUEsBAhQAFAAAAAgAh07iQDMv&#10;BZ47AAAAOQAAABAAAAAAAAAAAQAgAAAADQEAAGRycy9zaGFwZXhtbC54bWxQSwUGAAAAAAYABgBb&#10;AQAAtwMAAAAA&#10;" path="m0,380l327,0e">
                  <v:path o:connectlocs="0,1607;327,1227;327,1227" o:connectangles="0,0,0"/>
                  <v:fill on="f" focussize="0,0"/>
                  <v:stroke weight="0.0118897637795276pt" color="#000000" joinstyle="round"/>
                  <v:imagedata o:title=""/>
                  <o:lock v:ext="edit" aspectratio="f"/>
                </v:shape>
                <v:shape id="Freeform 343" o:spid="_x0000_s1026" o:spt="100" style="position:absolute;left:4428;top:2481;height:1123;width:966;" filled="f" stroked="t" coordsize="966,1123" o:gfxdata="UEsDBAoAAAAAAIdO4kAAAAAAAAAAAAAAAAAEAAAAZHJzL1BLAwQUAAAACACHTuJAboBUkLoAAADc&#10;AAAADwAAAGRycy9kb3ducmV2LnhtbEVPzWoCMRC+C75DGMGbJrYouho9lArFS/HnAYbNuFncTNYk&#10;3dW3N4VCb/Px/c5m93CN6CjE2rOG2VSBIC69qbnScDnvJ0sQMSEbbDyThidF2G2Hgw0Wxvd8pO6U&#10;KpFDOBaowabUFlLG0pLDOPUtceauPjhMGYZKmoB9DneNfFNqIR3WnBsstvRhqbydfpyG78XR9vv7&#10;qgvzeP1choucH2Kn9Xg0U2sQiR7pX/zn/jJ5vnqH32fyBXL7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ugFSQugAAANwA&#10;AAAPAAAAAAAAAAEAIAAAACIAAABkcnMvZG93bnJldi54bWxQSwECFAAUAAAACACHTuJAMy8FnjsA&#10;AAA5AAAAEAAAAAAAAAABACAAAAAJAQAAZHJzL3NoYXBleG1sLnhtbFBLBQYAAAAABgAGAFsBAACz&#10;AwAAAAA=&#10;" path="m0,1122l965,0,966,0e">
                  <v:path o:connectlocs="0,3604;965,2482;966,2482" o:connectangles="0,0,0"/>
                  <v:fill on="f" focussize="0,0"/>
                  <v:stroke weight="0.0118897637795276pt" color="#000000" joinstyle="round"/>
                  <v:imagedata o:title=""/>
                  <o:lock v:ext="edit" aspectratio="f"/>
                </v:shape>
                <v:shape id="Freeform 342" o:spid="_x0000_s1026" o:spt="100" style="position:absolute;left:6146;top:1226;height:381;width:328;" filled="f" stroked="t" coordsize="328,381" o:gfxdata="UEsDBAoAAAAAAIdO4kAAAAAAAAAAAAAAAAAEAAAAZHJzL1BLAwQUAAAACACHTuJAwUIGIL8AAADc&#10;AAAADwAAAGRycy9kb3ducmV2LnhtbEWPzWrDMBCE74G+g9hCL6GRUkJjXMs5FBoMSaBJ2/tibW1T&#10;a+VKyt/bR4FAbrvM7HyzxeJke3EgHzrHGqYTBYK4dqbjRsP318dzBiJEZIO9Y9JwpgCL8mFUYG7c&#10;kbd02MVGpBAOOWpoYxxyKUPdksUwcQNx0n6dtxjT6htpPB5TuO3li1Kv0mLHidDiQO8t1X+7vU2Q&#10;n//x0qyymfHzKsxXVczWnxutnx6n6g1EpFO8m2/XlUn11Qyuz6QJZHk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FCBiC/&#10;AAAA3AAAAA8AAAAAAAAAAQAgAAAAIgAAAGRycy9kb3ducmV2LnhtbFBLAQIUABQAAAAIAIdO4kAz&#10;LwWeOwAAADkAAAAQAAAAAAAAAAEAIAAAAA4BAABkcnMvc2hhcGV4bWwueG1sUEsFBgAAAAAGAAYA&#10;WwEAALgDAAAAAA==&#10;" path="m0,380l327,0e">
                  <v:path o:connectlocs="0,1607;327,1227;327,1227" o:connectangles="0,0,0"/>
                  <v:fill on="f" focussize="0,0"/>
                  <v:stroke weight="0.0118897637795276pt" color="#000000" joinstyle="round"/>
                  <v:imagedata o:title=""/>
                  <o:lock v:ext="edit" aspectratio="f"/>
                </v:shape>
                <v:shape id="Freeform 341" o:spid="_x0000_s1026" o:spt="100" style="position:absolute;left:4501;top:2566;height:1038;width:893;" filled="f" stroked="t" coordsize="893,1038" o:gfxdata="UEsDBAoAAAAAAIdO4kAAAAAAAAAAAAAAAAAEAAAAZHJzL1BLAwQUAAAACACHTuJAvgn7+7YAAADc&#10;AAAADwAAAGRycy9kb3ducmV2LnhtbEVPSwrCMBDdC94hjODOJgqKVKMLwc9KaPUAQzO2xWZSmqj1&#10;9kYQ3M3jfWe97W0jntT52rGGaaJAEBfO1FxquF72kyUIH5ANNo5Jw5s8bDfDwRpT416c0TMPpYgh&#10;7FPUUIXQplL6oiKLPnEtceRurrMYIuxKaTp8xXDbyJlSC2mx5thQYUu7iop7/rAa9r273vNdbR/N&#10;waj32WbH4zzTejyaqhWIQH34i3/uk4nz1Ry+z8QL5OYD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L4J+/u2AAAA3AAAAA8A&#10;AAAAAAAAAQAgAAAAIgAAAGRycy9kb3ducmV2LnhtbFBLAQIUABQAAAAIAIdO4kAzLwWeOwAAADkA&#10;AAAQAAAAAAAAAAEAIAAAAAUBAABkcnMvc2hhcGV4bWwueG1sUEsFBgAAAAAGAAYAWwEAAK8DAAAA&#10;AA==&#10;" path="m0,1037l892,0,893,0e">
                  <v:path o:connectlocs="0,3604;892,2567;893,2567" o:connectangles="0,0,0"/>
                  <v:fill on="f" focussize="0,0"/>
                  <v:stroke weight="0.0118897637795276pt" color="#000000" joinstyle="round"/>
                  <v:imagedata o:title=""/>
                  <o:lock v:ext="edit" aspectratio="f"/>
                </v:shape>
                <v:shape id="Freeform 340" o:spid="_x0000_s1026" o:spt="100" style="position:absolute;left:6190;top:1226;height:415;width:357;" filled="f" stroked="t" coordsize="357,415" o:gfxdata="UEsDBAoAAAAAAIdO4kAAAAAAAAAAAAAAAAAEAAAAZHJzL1BLAwQUAAAACACHTuJALzO9lb0AAADc&#10;AAAADwAAAGRycy9kb3ducmV2LnhtbEVPTWvCQBC9C/0PyxR6091UUEldpQhCDzm0aiy9DdlpNjQ7&#10;G7KrSf99tyB4m8f7nPV2dK24Uh8azxqymQJBXHnTcK3hdNxPVyBCRDbYeiYNvxRgu3mYrDE3fuAP&#10;uh5iLVIIhxw12Bi7XMpQWXIYZr4jTty37x3GBPtamh6HFO5a+azUQjpsODVY7Ghnqfo5XJyG8lJX&#10;Rfu6PI/zeWaHz/eiHL4KrZ8eM/UCItIY7+Kb+82k+WoB/8+kC+Tm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vM72VvQAA&#10;ANwAAAAPAAAAAAAAAAEAIAAAACIAAABkcnMvZG93bnJldi54bWxQSwECFAAUAAAACACHTuJAMy8F&#10;njsAAAA5AAAAEAAAAAAAAAABACAAAAAMAQAAZHJzL3NoYXBleG1sLnhtbFBLBQYAAAAABgAGAFsB&#10;AAC2AwAAAAA=&#10;" path="m0,414l357,0e">
                  <v:path o:connectlocs="0,1641;357,1227;357,1227" o:connectangles="0,0,0"/>
                  <v:fill on="f" focussize="0,0"/>
                  <v:stroke weight="0.0118897637795276pt" color="#000000" joinstyle="round"/>
                  <v:imagedata o:title=""/>
                  <o:lock v:ext="edit" aspectratio="f"/>
                </v:shape>
                <v:shape id="Freeform 339" o:spid="_x0000_s1026" o:spt="100" style="position:absolute;left:4574;top:2651;height:953;width:820;" filled="f" stroked="t" coordsize="820,953" o:gfxdata="UEsDBAoAAAAAAIdO4kAAAAAAAAAAAAAAAAAEAAAAZHJzL1BLAwQUAAAACACHTuJA8o3QVroAAADc&#10;AAAADwAAAGRycy9kb3ducmV2LnhtbEVP24rCMBB9F/yHMIJvmrguulSjuNUF38RuP2BsxrbYTEoT&#10;b39vhIV9m8O5znL9sI24UedrxxomYwWCuHCm5lJD/vsz+gLhA7LBxjFpeJKH9arfW2Ji3J2PdMtC&#10;KWII+wQ1VCG0iZS+qMiiH7uWOHJn11kMEXalNB3eY7ht5IdSM2mx5thQYUtpRcUlu1oN8+/N7qxO&#10;l9M0zXx6UM98+2lzrYeDiVqACPQI/+I/997E+WoO72fiBXL1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yjdBWugAAANwA&#10;AAAPAAAAAAAAAAEAIAAAACIAAABkcnMvZG93bnJldi54bWxQSwECFAAUAAAACACHTuJAMy8FnjsA&#10;AAA5AAAAEAAAAAAAAAABACAAAAAJAQAAZHJzL3NoYXBleG1sLnhtbFBLBQYAAAAABgAGAFsBAACz&#10;AwAAAAA=&#10;" path="m0,953l819,0,820,0e">
                  <v:path o:connectlocs="0,3604;819,2651;820,2651" o:connectangles="0,0,0"/>
                  <v:fill on="f" focussize="0,0"/>
                  <v:stroke weight="0.0118897637795276pt" color="#000000" joinstyle="round"/>
                  <v:imagedata o:title=""/>
                  <o:lock v:ext="edit" aspectratio="f"/>
                </v:shape>
                <v:shape id="Freeform 338" o:spid="_x0000_s1026" o:spt="100" style="position:absolute;left:6190;top:1226;height:500;width:430;" filled="f" stroked="t" coordsize="430,500" o:gfxdata="UEsDBAoAAAAAAIdO4kAAAAAAAAAAAAAAAAAEAAAAZHJzL1BLAwQUAAAACACHTuJAkzlhk70AAADc&#10;AAAADwAAAGRycy9kb3ducmV2LnhtbEWPQWvDMAyF74X9B6PCbo3dUbKS1e2hozB2W1foVcRKnDWW&#10;Q+w23X79dBjsJvGe3vu02d1Dr240pi6yhWVhQBHX0XXcWjh9HhZrUCkjO+wjk4VvSrDbPsw2WLk4&#10;8QfdjrlVEsKpQgs+56HSOtWeAqYiDsSiNXEMmGUdW+1GnCQ89PrJmFIH7FgaPA6091Rfjtdg4cuf&#10;m1Uoc7d/rk/l6/RTNm71bu3jfGleQGW653/z3/WbE3wjtPKMTKC3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TOWGTvQAA&#10;ANwAAAAPAAAAAAAAAAEAIAAAACIAAABkcnMvZG93bnJldi54bWxQSwECFAAUAAAACACHTuJAMy8F&#10;njsAAAA5AAAAEAAAAAAAAAABACAAAAAMAQAAZHJzL3NoYXBleG1sLnhtbFBLBQYAAAAABgAGAFsB&#10;AAC2AwAAAAA=&#10;" path="m0,499l430,0e">
                  <v:path o:connectlocs="0,1726;430,1227;430,1227" o:connectangles="0,0,0"/>
                  <v:fill on="f" focussize="0,0"/>
                  <v:stroke weight="0.0118897637795276pt" color="#000000" joinstyle="round"/>
                  <v:imagedata o:title=""/>
                  <o:lock v:ext="edit" aspectratio="f"/>
                </v:shape>
                <v:shape id="Freeform 337" o:spid="_x0000_s1026" o:spt="100" style="position:absolute;left:4647;top:2736;height:868;width:747;" filled="f" stroked="t" coordsize="747,868" o:gfxdata="UEsDBAoAAAAAAIdO4kAAAAAAAAAAAAAAAAAEAAAAZHJzL1BLAwQUAAAACACHTuJA23pYU7wAAADc&#10;AAAADwAAAGRycy9kb3ducmV2LnhtbEVPS2sCMRC+F/wPYYReiiZ6kLoaRQRBDz249XEdNuPu4may&#10;JNG1/fVNQfA2H99z5suHbcSdfKgdaxgNFQjiwpmaSw2H783gE0SIyAYbx6ThhwIsF723OWbGdbyn&#10;ex5LkUI4ZKihirHNpAxFRRbD0LXEibs4bzEm6EtpPHYp3DZyrNREWqw5NVTY0rqi4prfrIaV7Hb5&#10;5Hz6Ol9/fXf42Ngj709av/dHagYi0iO+xE/31qT5agr/z6QL5OI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t6WFO8AAAA&#10;3AAAAA8AAAAAAAAAAQAgAAAAIgAAAGRycy9kb3ducmV2LnhtbFBLAQIUABQAAAAIAIdO4kAzLwWe&#10;OwAAADkAAAAQAAAAAAAAAAEAIAAAAAsBAABkcnMvc2hhcGV4bWwueG1sUEsFBgAAAAAGAAYAWwEA&#10;ALUDAAAAAA==&#10;" path="m0,867l746,0,747,0e">
                  <v:path o:connectlocs="0,3604;746,2737;747,2737" o:connectangles="0,0,0"/>
                  <v:fill on="f" focussize="0,0"/>
                  <v:stroke weight="0.0118897637795276pt" color="#000000" joinstyle="round"/>
                  <v:imagedata o:title=""/>
                  <o:lock v:ext="edit" aspectratio="f"/>
                </v:shape>
                <v:shape id="Freeform 336" o:spid="_x0000_s1026" o:spt="100" style="position:absolute;left:6190;top:1226;height:585;width:503;" filled="f" stroked="t" coordsize="503,585" o:gfxdata="UEsDBAoAAAAAAIdO4kAAAAAAAAAAAAAAAAAEAAAAZHJzL1BLAwQUAAAACACHTuJAooWQesAAAADc&#10;AAAADwAAAGRycy9kb3ducmV2LnhtbEWPT2vCQBDF7wW/wzJCb3U3PZQ2ugoKAWtpqdaLtyE7JtHs&#10;bMiuf+qndw6F3mZ4b977zWR29a06Ux+bwBaykQFFXAbXcGVh+1M8vYKKCdlhG5gs/FKE2XTwMMHc&#10;hQuv6bxJlZIQjjlaqFPqcq1jWZPHOAodsWj70HtMsvaVdj1eJNy3+tmYF+2xYWmosaNFTeVxc/IW&#10;du1h/vZxWN9oZQpduK/P9+8iWfs4zMwYVKJr+jf/XS+d4GeCL8/IBHp6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ihZB6&#10;wAAAANwAAAAPAAAAAAAAAAEAIAAAACIAAABkcnMvZG93bnJldi54bWxQSwECFAAUAAAACACHTuJA&#10;My8FnjsAAAA5AAAAEAAAAAAAAAABACAAAAAPAQAAZHJzL3NoYXBleG1sLnhtbFBLBQYAAAAABgAG&#10;AFsBAAC5AwAAAAA=&#10;" path="m0,584l503,0e">
                  <v:path o:connectlocs="0,1811;503,1227;503,1227" o:connectangles="0,0,0"/>
                  <v:fill on="f" focussize="0,0"/>
                  <v:stroke weight="0.0118897637795276pt" color="#000000" joinstyle="round"/>
                  <v:imagedata o:title=""/>
                  <o:lock v:ext="edit" aspectratio="f"/>
                </v:shape>
                <v:shape id="Freeform 335" o:spid="_x0000_s1026" o:spt="100" style="position:absolute;left:4720;top:2821;height:783;width:674;" filled="f" stroked="t" coordsize="674,783" o:gfxdata="UEsDBAoAAAAAAIdO4kAAAAAAAAAAAAAAAAAEAAAAZHJzL1BLAwQUAAAACACHTuJASREUFL0AAADc&#10;AAAADwAAAGRycy9kb3ducmV2LnhtbEVPTWvCQBC9F/oflin0UupmC5E2ukoVFJODWFs8D9lpEszO&#10;huyq8d+7QqG3ebzPmc4H24oz9b5xrEGNEhDEpTMNVxp+vlev7yB8QDbYOiYNV/Iwnz0+TDEz7sJf&#10;dN6HSsQQ9hlqqEPoMil9WZNFP3IdceR+XW8xRNhX0vR4ieG2lW9JMpYWG44NNXa0rKk87k9WQ5rm&#10;n8eXslh9rFXID8V6R4ttpfXzk0omIAIN4V/8596YOF8puD8TL5Cz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JERQUvQAA&#10;ANwAAAAPAAAAAAAAAAEAIAAAACIAAABkcnMvZG93bnJldi54bWxQSwECFAAUAAAACACHTuJAMy8F&#10;njsAAAA5AAAAEAAAAAAAAAABACAAAAAMAQAAZHJzL3NoYXBleG1sLnhtbFBLBQYAAAAABgAGAFsB&#10;AAC2AwAAAAA=&#10;" path="m0,783l673,0,674,0e">
                  <v:path o:connectlocs="0,3604;673,2821;674,2821" o:connectangles="0,0,0"/>
                  <v:fill on="f" focussize="0,0"/>
                  <v:stroke weight="0.0118897637795276pt" color="#000000" joinstyle="round"/>
                  <v:imagedata o:title=""/>
                  <o:lock v:ext="edit" aspectratio="f"/>
                </v:shape>
                <v:shape id="Freeform 334" o:spid="_x0000_s1026" o:spt="100" style="position:absolute;left:6190;top:1226;height:669;width:576;" filled="f" stroked="t" coordsize="576,669" o:gfxdata="UEsDBAoAAAAAAIdO4kAAAAAAAAAAAAAAAAAEAAAAZHJzL1BLAwQUAAAACACHTuJAIWPc4bsAAADc&#10;AAAADwAAAGRycy9kb3ducmV2LnhtbEVPTWvCQBC9F/wPyxR6azax0Nro6kEoaG+J2vMkOyZLs7Np&#10;djXpv+8KQm/zeJ+z2ky2E1cavHGsIEtSEMS104YbBcfDx/MChA/IGjvHpOCXPGzWs4cV5tqNXNC1&#10;DI2IIexzVNCG0OdS+roliz5xPXHkzm6wGCIcGqkHHGO47eQ8TV+lRcOxocWeti3V3+XFKvj8Kt9P&#10;Lz8Wi93oD9Wb6Y2s9ko9PWbpEkSgKfyL7+6djvOzOdyeiRfI9R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WPc4bsAAADc&#10;AAAADwAAAAAAAAABACAAAAAiAAAAZHJzL2Rvd25yZXYueG1sUEsBAhQAFAAAAAgAh07iQDMvBZ47&#10;AAAAOQAAABAAAAAAAAAAAQAgAAAACgEAAGRycy9zaGFwZXhtbC54bWxQSwUGAAAAAAYABgBbAQAA&#10;tAMAAAAA&#10;" path="m0,669l576,0e">
                  <v:path o:connectlocs="0,1896;576,1227;576,1227" o:connectangles="0,0,0"/>
                  <v:fill on="f" focussize="0,0"/>
                  <v:stroke weight="0.0118897637795276pt" color="#000000" joinstyle="round"/>
                  <v:imagedata o:title=""/>
                  <o:lock v:ext="edit" aspectratio="f"/>
                </v:shape>
                <v:shape id="Freeform 333" o:spid="_x0000_s1026" o:spt="100" style="position:absolute;left:4793;top:2906;height:699;width:601;" filled="f" stroked="t" coordsize="601,699" o:gfxdata="UEsDBAoAAAAAAIdO4kAAAAAAAAAAAAAAAAAEAAAAZHJzL1BLAwQUAAAACACHTuJA2i0C97oAAADc&#10;AAAADwAAAGRycy9kb3ducmV2LnhtbEVPTYvCMBC9C/6HMAveNK3CKl2jB0EUBMFY9Do0s23XZlKa&#10;aPXfm4WFvc3jfc5y/bSNeFDna8cK0kkCgrhwpuZSQX7ejhcgfEA22DgmBS/ysF4NB0vMjOv5RA8d&#10;ShFD2GeooAqhzaT0RUUW/cS1xJH7dp3FEGFXStNhH8NtI6dJ8ikt1hwbKmxpU1Fx03er4Oem8/lh&#10;Y7Q57pq+P2m+pMVVqdFHmnyBCPQM/+I/997E+ekMfp+JF8jVG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aLQL3ugAAANwA&#10;AAAPAAAAAAAAAAEAIAAAACIAAABkcnMvZG93bnJldi54bWxQSwECFAAUAAAACACHTuJAMy8FnjsA&#10;AAA5AAAAEAAAAAAAAAABACAAAAAJAQAAZHJzL3NoYXBleG1sLnhtbFBLBQYAAAAABgAGAFsBAACz&#10;AwAAAAA=&#10;" path="m0,698l600,0,601,0e">
                  <v:path o:connectlocs="0,3604;600,2906;601,2906" o:connectangles="0,0,0"/>
                  <v:fill on="f" focussize="0,0"/>
                  <v:stroke weight="0.0118897637795276pt" color="#000000" joinstyle="round"/>
                  <v:imagedata o:title=""/>
                  <o:lock v:ext="edit" aspectratio="f"/>
                </v:shape>
                <v:shape id="Freeform 332" o:spid="_x0000_s1026" o:spt="100" style="position:absolute;left:6190;top:1226;height:754;width:649;" filled="f" stroked="t" coordsize="649,754" o:gfxdata="UEsDBAoAAAAAAIdO4kAAAAAAAAAAAAAAAAAEAAAAZHJzL1BLAwQUAAAACACHTuJA2pXrpbkAAADc&#10;AAAADwAAAGRycy9kb3ducmV2LnhtbEVPS4vCMBC+C/6HMII3TSruKtXoQbD0tOxWL96GZmyLzaQ0&#10;8fXvzYLgbT6+56y3D9uKG/W+cawhmSoQxKUzDVcajof9ZAnCB2SDrWPS8CQP281wsMbUuDv/0a0I&#10;lYgh7FPUUIfQpVL6siaLfuo64sidXW8xRNhX0vR4j+G2lTOlvqXFhmNDjR3taiovxdVqOP1kKslN&#10;5ovsN5tVX3aX86LRejxK1ApEoEf4iN/u3MT5yRz+n4kXyM0L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NqV66W5AAAA3AAA&#10;AA8AAAAAAAAAAQAgAAAAIgAAAGRycy9kb3ducmV2LnhtbFBLAQIUABQAAAAIAIdO4kAzLwWeOwAA&#10;ADkAAAAQAAAAAAAAAAEAIAAAAAgBAABkcnMvc2hhcGV4bWwueG1sUEsFBgAAAAAGAAYAWwEAALID&#10;AAAAAA==&#10;" path="m0,754l649,0e">
                  <v:path o:connectlocs="0,1981;649,1227;649,1227" o:connectangles="0,0,0"/>
                  <v:fill on="f" focussize="0,0"/>
                  <v:stroke weight="0.0118897637795276pt" color="#000000" joinstyle="round"/>
                  <v:imagedata o:title=""/>
                  <o:lock v:ext="edit" aspectratio="f"/>
                </v:shape>
                <v:shape id="Freeform 331" o:spid="_x0000_s1026" o:spt="100" style="position:absolute;left:4866;top:2990;height:614;width:528;" filled="f" stroked="t" coordsize="528,614" o:gfxdata="UEsDBAoAAAAAAIdO4kAAAAAAAAAAAAAAAAAEAAAAZHJzL1BLAwQUAAAACACHTuJAz68QgrsAAADc&#10;AAAADwAAAGRycy9kb3ducmV2LnhtbEVPTWvCQBC9F/wPywje6ia1kRpdpQiFHLyo6X3MjtlgdjZm&#10;t1H/vVso9DaP9zmrzd22YqDeN44VpNMEBHHldMO1gvL49foBwgdkja1jUvAgD5v16GWFuXY33tNw&#10;CLWIIexzVGBC6HIpfWXIop+6jjhyZ9dbDBH2tdQ93mK4beVbksylxYZjg8GOtoaqy+HHKsgG8774&#10;nj2yYluejv7zWuz2ZaHUZJwmSxCB7uFf/OcudJyfZvD7TLxArp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68QgrsAAADc&#10;AAAADwAAAAAAAAABACAAAAAiAAAAZHJzL2Rvd25yZXYueG1sUEsBAhQAFAAAAAgAh07iQDMvBZ47&#10;AAAAOQAAABAAAAAAAAAAAQAgAAAACgEAAGRycy9zaGFwZXhtbC54bWxQSwUGAAAAAAYABgBbAQAA&#10;tAMAAAAA&#10;" path="m0,613l527,0,528,0e">
                  <v:path o:connectlocs="0,3604;527,2991;528,2991" o:connectangles="0,0,0"/>
                  <v:fill on="f" focussize="0,0"/>
                  <v:stroke weight="0.0118897637795276pt" color="#000000" joinstyle="round"/>
                  <v:imagedata o:title=""/>
                  <o:lock v:ext="edit" aspectratio="f"/>
                </v:shape>
                <v:shape id="Freeform 330" o:spid="_x0000_s1026" o:spt="100" style="position:absolute;left:6190;top:1226;height:839;width:722;" filled="f" stroked="t" coordsize="722,839" o:gfxdata="UEsDBAoAAAAAAIdO4kAAAAAAAAAAAAAAAAAEAAAAZHJzL1BLAwQUAAAACACHTuJAXl/VzL4AAADc&#10;AAAADwAAAGRycy9kb3ducmV2LnhtbEWPzW7CMBCE75V4B2uRuFTgJBQKIQ4HJKRe+XmAJd4mEfE6&#10;ip0Q+vR1JaTedjXzzc5m+9E0YqDO1ZYVxIsIBHFhdc2lguvlON+AcB5ZY2OZFDzJwT6fvGWYavvg&#10;Ew1nX4oQwi5FBZX3bSqlKyoy6Ba2JQ7at+0M+rB2pdQdPkK4aWQSRWtpsOZwocKWDhUV93NvQo2f&#10;zbDqt6t36p/t7eN+XH4WyVKp2TSOdiA8jf7f/KK/dODiNfw9EyaQ+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l/VzL4A&#10;AADcAAAADwAAAAAAAAABACAAAAAiAAAAZHJzL2Rvd25yZXYueG1sUEsBAhQAFAAAAAgAh07iQDMv&#10;BZ47AAAAOQAAABAAAAAAAAAAAQAgAAAADQEAAGRycy9zaGFwZXhtbC54bWxQSwUGAAAAAAYABgBb&#10;AQAAtwMAAAAA&#10;" path="m0,838l722,0e">
                  <v:path o:connectlocs="0,2065;722,1227;722,1227" o:connectangles="0,0,0"/>
                  <v:fill on="f" focussize="0,0"/>
                  <v:stroke weight="0.0118897637795276pt" color="#000000" joinstyle="round"/>
                  <v:imagedata o:title=""/>
                  <o:lock v:ext="edit" aspectratio="f"/>
                </v:shape>
                <v:shape id="Freeform 329" o:spid="_x0000_s1026" o:spt="100" style="position:absolute;left:4939;top:3075;height:529;width:455;" filled="f" stroked="t" coordsize="455,529" o:gfxdata="UEsDBAoAAAAAAIdO4kAAAAAAAAAAAAAAAAAEAAAAZHJzL1BLAwQUAAAACACHTuJAcvEJgbwAAADc&#10;AAAADwAAAGRycy9kb3ducmV2LnhtbEVPS2rDMBDdB3IHMYHuYtlZ9ONGCU2g4EVLqN0DTKWpbWKN&#10;jKXG9u2rQCC7ebzvbPeT7cSFBt86VpAlKQhi7UzLtYLv6n39DMIHZIOdY1Iwk4f9brnYYm7cyF90&#10;KUMtYgj7HBU0IfS5lF43ZNEnrieO3K8bLIYIh1qaAccYbju5SdNHabHl2NBgT8eG9Ln8swp0Mffd&#10;+W0+fJqPo65+TqGo9YtSD6ssfQURaAp38c1dmDg/e4LrM/ECufs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LxCYG8AAAA&#10;3AAAAA8AAAAAAAAAAQAgAAAAIgAAAGRycy9kb3ducmV2LnhtbFBLAQIUABQAAAAIAIdO4kAzLwWe&#10;OwAAADkAAAAQAAAAAAAAAAEAIAAAAAsBAABkcnMvc2hhcGV4bWwueG1sUEsFBgAAAAAGAAYAWwEA&#10;ALUDAAAAAA==&#10;" path="m0,528l454,0,455,0e">
                  <v:path o:connectlocs="0,3604;454,3076;455,3076" o:connectangles="0,0,0"/>
                  <v:fill on="f" focussize="0,0"/>
                  <v:stroke weight="0.0118897637795276pt" color="#000000" joinstyle="round"/>
                  <v:imagedata o:title=""/>
                  <o:lock v:ext="edit" aspectratio="f"/>
                </v:shape>
                <v:shape id="Freeform 328" o:spid="_x0000_s1026" o:spt="100" style="position:absolute;left:6190;top:1226;height:924;width:795;" filled="f" stroked="t" coordsize="795,924" o:gfxdata="UEsDBAoAAAAAAIdO4kAAAAAAAAAAAAAAAAAEAAAAZHJzL1BLAwQUAAAACACHTuJAXOuEqL8AAADc&#10;AAAADwAAAGRycy9kb3ducmV2LnhtbEWPQWvCQBCF7wX/wzJCb3WTWotGVxFF6K1URfQ2ZsckmJ1N&#10;s9to/33nIPQ2w3vz3jezxd3VqqM2VJ4NpIMEFHHubcWFgf1u8zIGFSKyxdozGfilAIt572mGmfU3&#10;/qJuGwslIRwyNFDG2GRah7wkh2HgG2LRLr51GGVtC21bvEm4q/VrkrxrhxVLQ4kNrUrKr9sfZ2By&#10;OI8Ow+P35bRbp93qbROXn3pizHM/TaagIt3jv/lx/WEFPxVaeUYm0PM/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zrhKi/&#10;AAAA3AAAAA8AAAAAAAAAAQAgAAAAIgAAAGRycy9kb3ducmV2LnhtbFBLAQIUABQAAAAIAIdO4kAz&#10;LwWeOwAAADkAAAAQAAAAAAAAAAEAIAAAAA4BAABkcnMvc2hhcGV4bWwueG1sUEsFBgAAAAAGAAYA&#10;WwEAALgDAAAAAA==&#10;" path="m0,923l795,0e">
                  <v:path o:connectlocs="0,2150;795,1227;795,1227" o:connectangles="0,0,0"/>
                  <v:fill on="f" focussize="0,0"/>
                  <v:stroke weight="0.0118897637795276pt" color="#000000" joinstyle="round"/>
                  <v:imagedata o:title=""/>
                  <o:lock v:ext="edit" aspectratio="f"/>
                </v:shape>
                <v:shape id="Freeform 327" o:spid="_x0000_s1026" o:spt="100" style="position:absolute;left:5012;top:3420;height:185;width:159;" filled="f" stroked="t" coordsize="159,185" o:gfxdata="UEsDBAoAAAAAAIdO4kAAAAAAAAAAAAAAAAAEAAAAZHJzL1BLAwQUAAAACACHTuJAbV2gw7wAAADc&#10;AAAADwAAAGRycy9kb3ducmV2LnhtbEVPTWvCQBC9F/wPywje6iZCWhNdPSiK9FLUitdxd0yC2dmQ&#10;XaP9991Cobd5vM+ZL5+2ET11vnasIB0nIIi1MzWXCr6Om9cpCB+QDTaOScE3eVguBi9zLIx78J76&#10;QyhFDGFfoIIqhLaQ0uuKLPqxa4kjd3WdxRBhV0rT4SOG20ZOkuRNWqw5NlTY0qoifTvcrYLz8f2S&#10;h89tlmX5qd9/aL+eZlqp0TBNZiACPcO/+M+9M3F+msPvM/ECufg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1doMO8AAAA&#10;3AAAAA8AAAAAAAAAAQAgAAAAIgAAAGRycy9kb3ducmV2LnhtbFBLAQIUABQAAAAIAIdO4kAzLwWe&#10;OwAAADkAAAAQAAAAAAAAAAEAIAAAAAsBAABkcnMvc2hhcGV4bWwueG1sUEsFBgAAAAAGAAYAWwEA&#10;ALUDAAAAAA==&#10;" path="m0,184l158,0e">
                  <v:path o:connectlocs="0,3604;158,3420;158,3420" o:connectangles="0,0,0"/>
                  <v:fill on="f" focussize="0,0"/>
                  <v:stroke weight="0.0118897637795276pt" color="#000000" joinstyle="round"/>
                  <v:imagedata o:title=""/>
                  <o:lock v:ext="edit" aspectratio="f"/>
                </v:shape>
                <v:shape id="Freeform 326" o:spid="_x0000_s1026" o:spt="100" style="position:absolute;left:6190;top:1257;height:978;width:841;" filled="f" stroked="t" coordsize="841,978" o:gfxdata="UEsDBAoAAAAAAIdO4kAAAAAAAAAAAAAAAAAEAAAAZHJzL1BLAwQUAAAACACHTuJAivgjz78AAADc&#10;AAAADwAAAGRycy9kb3ducmV2LnhtbEWPS2/CMBCE75X6H6yt1FtxQIBQwHCoWhXEiac4ruJtHDVe&#10;R7F5pL+ePSBx29XMznw7W9x8rS7UxiqwgX4vA0VcBFtxaWC/+/6YgIoJ2WIdmAx0FGExf32ZYW7D&#10;lTd02aZSSQjHHA24lJpc61g48hh7oSEW7Te0HpOsbalti1cJ97UeZNlYe6xYGhw29Omo+NuevYFj&#10;Nxz91Of1f3Hq3GrVjfeHw+nLmPe3fjYFleiWnubH9dIK/kDw5RmZQM/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r4I8+/&#10;AAAA3AAAAA8AAAAAAAAAAQAgAAAAIgAAAGRycy9kb3ducmV2LnhtbFBLAQIUABQAAAAIAIdO4kAz&#10;LwWeOwAAADkAAAAQAAAAAAAAAAEAIAAAAA4BAABkcnMvc2hhcGV4bWwueG1sUEsFBgAAAAAGAAYA&#10;WwEAALgDAAAAAA==&#10;" path="m0,977l841,0e">
                  <v:path o:connectlocs="0,2235;841,1258;841,1258" o:connectangles="0,0,0"/>
                  <v:fill on="f" focussize="0,0"/>
                  <v:stroke weight="0.0118897637795276pt" color="#000000" joinstyle="round"/>
                  <v:imagedata o:title=""/>
                  <o:lock v:ext="edit" aspectratio="f"/>
                </v:shape>
                <v:shape id="Freeform 325" o:spid="_x0000_s1026" o:spt="100" style="position:absolute;left:5216;top:3160;height:207;width:178;" filled="f" stroked="t" coordsize="178,207" o:gfxdata="UEsDBAoAAAAAAIdO4kAAAAAAAAAAAAAAAAAEAAAAZHJzL1BLAwQUAAAACACHTuJAsqQzBb0AAADc&#10;AAAADwAAAGRycy9kb3ducmV2LnhtbEVPzWqDQBC+F/oOyxR6q6uBlmKySigYeimpMQ8wcScqdWfF&#10;XZPo02cLhd7m4/udTX4zvbjQ6DrLCpIoBkFcW91xo+BYFS/vIJxH1thbJgUzOcizx4cNptpeuaTL&#10;wTcihLBLUUHr/ZBK6eqWDLrIDsSBO9vRoA9wbKQe8RrCTS9XcfwmDXYcGloc6KOl+ucwGQXF9nW/&#10;236f6nJedtP01Sxlca6Uen5K4jUITzf/L/5zf+owf5XA7zPhApnd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ypDMFvQAA&#10;ANwAAAAPAAAAAAAAAAEAIAAAACIAAABkcnMvZG93bnJldi54bWxQSwECFAAUAAAACACHTuJAMy8F&#10;njsAAAA5AAAAEAAAAAAAAAABACAAAAAMAQAAZHJzL3NoYXBleG1sLnhtbFBLBQYAAAAABgAGAFsB&#10;AAC2AwAAAAA=&#10;" path="m0,206l177,0,178,0e">
                  <v:path o:connectlocs="0,3367;177,3161;178,3161" o:connectangles="0,0,0"/>
                  <v:fill on="f" focussize="0,0"/>
                  <v:stroke weight="0.0118897637795276pt" color="#000000" joinstyle="round"/>
                  <v:imagedata o:title=""/>
                  <o:lock v:ext="edit" aspectratio="f"/>
                </v:shape>
                <v:shape id="Freeform 324" o:spid="_x0000_s1026" o:spt="100" style="position:absolute;left:5085;top:3504;height:100;width:86;" filled="f" stroked="t" coordsize="86,100" o:gfxdata="UEsDBAoAAAAAAIdO4kAAAAAAAAAAAAAAAAAEAAAAZHJzL1BLAwQUAAAACACHTuJAa2nVxrwAAADc&#10;AAAADwAAAGRycy9kb3ducmV2LnhtbEVPO2/CMBDeK/EfrENiK3YytJBiGCL1wdChBKGOp/hIIuJz&#10;FLtJ4NfXlSqx3afveZvdZFsxUO8bxxqSpQJBXDrTcKXhWLw+rkD4gGywdUwaruRht509bDAzbuQv&#10;Gg6hEjGEfYYa6hC6TEpf1mTRL11HHLmz6y2GCPtKmh7HGG5bmSr1JC02HBtq7CivqbwcfqyGwj5/&#10;m/w2vO8/WbZhbVC9nVDrxTxRLyACTeEu/nd/mDg/TeHvmXiB3P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tp1ca8AAAA&#10;3AAAAA8AAAAAAAAAAQAgAAAAIgAAAGRycy9kb3ducmV2LnhtbFBLAQIUABQAAAAIAIdO4kAzLwWe&#10;OwAAADkAAAAQAAAAAAAAAAEAIAAAAAsBAABkcnMvc2hhcGV4bWwueG1sUEsFBgAAAAAGAAYAWwEA&#10;ALUDAAAAAA==&#10;" path="m0,99l85,0e">
                  <v:path o:connectlocs="0,3604;85,3505;85,3505" o:connectangles="0,0,0"/>
                  <v:fill on="f" focussize="0,0"/>
                  <v:stroke weight="0.0118897637795276pt" color="#000000" joinstyle="round"/>
                  <v:imagedata o:title=""/>
                  <o:lock v:ext="edit" aspectratio="f"/>
                </v:shape>
                <v:shape id="Freeform 323" o:spid="_x0000_s1026" o:spt="100" style="position:absolute;left:6190;top:1322;height:998;width:858;" filled="f" stroked="t" coordsize="858,998" o:gfxdata="UEsDBAoAAAAAAIdO4kAAAAAAAAAAAAAAAAAEAAAAZHJzL1BLAwQUAAAACACHTuJAxjIhhbwAAADc&#10;AAAADwAAAGRycy9kb3ducmV2LnhtbEVP32vCMBB+H/g/hBP2NtM6GdKZ+iCIIgw2HT7fmmtT1lxC&#10;E6vdX78Ig73dx/fzVuub7cRAfWgdK8hnGQjiyumWGwWfp+3TEkSIyBo7x6RgpADrcvKwwkK7K3/Q&#10;cIyNSCEcClRgYvSFlKEyZDHMnCdOXO16izHBvpG6x2sKt52cZ9mLtNhyajDoaWOo+j5erAK/G3Nz&#10;/tm/Lb785uyX7/V4qAalHqd59goi0i3+i//ce53mz5/h/ky6QJ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YyIYW8AAAA&#10;3AAAAA8AAAAAAAAAAQAgAAAAIgAAAGRycy9kb3ducmV2LnhtbFBLAQIUABQAAAAIAIdO4kAzLwWe&#10;OwAAADkAAAAQAAAAAAAAAAEAIAAAAAsBAABkcnMvc2hhcGV4bWwueG1sUEsFBgAAAAAGAAYAWwEA&#10;ALUDAAAAAA==&#10;" path="m0,997l858,0e">
                  <v:path o:connectlocs="0,2320;858,1323;858,1323" o:connectangles="0,0,0"/>
                  <v:fill on="f" focussize="0,0"/>
                  <v:stroke weight="0.0118897637795276pt" color="#000000" joinstyle="round"/>
                  <v:imagedata o:title=""/>
                  <o:lock v:ext="edit" aspectratio="f"/>
                </v:shape>
                <v:shape id="Freeform 322" o:spid="_x0000_s1026" o:spt="100" style="position:absolute;left:5289;top:3245;height:122;width:105;" filled="f" stroked="t" coordsize="105,122" o:gfxdata="UEsDBAoAAAAAAIdO4kAAAAAAAAAAAAAAAAAEAAAAZHJzL1BLAwQUAAAACACHTuJATIYGBLwAAADc&#10;AAAADwAAAGRycy9kb3ducmV2LnhtbEVPS2vCQBC+F/oflil4qxtDLZq6CgpCxZPxfRuy0ySanQ3Z&#10;VaO/vlsoeJuP7zmjSWsqcaXGlZYV9LoRCOLM6pJzBZv1/H0AwnlkjZVlUnAnB5Px68sIE21vvKJr&#10;6nMRQtglqKDwvk6kdFlBBl3X1sSB+7GNQR9gk0vd4C2Em0rGUfQpDZYcGgqsaVZQdk4vRsGO23RB&#10;p+NhmG33/U08PVWH5UOpzlsv+gLhqfVP8b/7W4f58Qf8PRMukON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yGBgS8AAAA&#10;3AAAAA8AAAAAAAAAAQAgAAAAIgAAAGRycy9kb3ducmV2LnhtbFBLAQIUABQAAAAIAIdO4kAzLwWe&#10;OwAAADkAAAAQAAAAAAAAAAEAIAAAAAsBAABkcnMvc2hhcGV4bWwueG1sUEsFBgAAAAAGAAYAWwEA&#10;ALUDAAAAAA==&#10;" path="m0,122l104,0,105,0e">
                  <v:path o:connectlocs="0,3367;104,3245;105,3245" o:connectangles="0,0,0"/>
                  <v:fill on="f" focussize="0,0"/>
                  <v:stroke weight="0.0118897637795276pt" color="#000000" joinstyle="round"/>
                  <v:imagedata o:title=""/>
                  <o:lock v:ext="edit" aspectratio="f"/>
                </v:shape>
                <v:shape id="Freeform 321" o:spid="_x0000_s1026" o:spt="100" style="position:absolute;left:5158;top:3589;height:15;width:13;" filled="f" stroked="t" coordsize="13,15" o:gfxdata="UEsDBAoAAAAAAIdO4kAAAAAAAAAAAAAAAAAEAAAAZHJzL1BLAwQUAAAACACHTuJAOaHVOLsAAADc&#10;AAAADwAAAGRycy9kb3ducmV2LnhtbEVPTYvCMBC9C/6HMIIX0dSii1SjyMKCsF7UFTwOzdgWm0lp&#10;0tb++40geJvH+5zN7mlK0VLtCssK5rMIBHFqdcGZgr/Lz3QFwnlkjaVlUtCTg912ONhgom3HJ2rP&#10;PhMhhF2CCnLvq0RKl+Zk0M1sRRy4u60N+gDrTOoauxBuShlH0Zc0WHBoyLGi75zSx7kxCqpLdlr2&#10;k6Zru0V87H/3iya+3pQaj+bRGoSnp/+I3+6DDvPjJbyeCRfI7T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aHVOLsAAADc&#10;AAAADwAAAAAAAAABACAAAAAiAAAAZHJzL2Rvd25yZXYueG1sUEsBAhQAFAAAAAgAh07iQDMvBZ47&#10;AAAAOQAAABAAAAAAAAAAAQAgAAAACgEAAGRycy9zaGFwZXhtbC54bWxQSwUGAAAAAAYABgBbAQAA&#10;tAMAAAAA&#10;" path="m0,14l12,0e">
                  <v:path o:connectlocs="0,3604;12,3590;12,3590" o:connectangles="0,0,0"/>
                  <v:fill on="f" focussize="0,0"/>
                  <v:stroke weight="0.0118897637795276pt" color="#000000" joinstyle="round"/>
                  <v:imagedata o:title=""/>
                  <o:lock v:ext="edit" aspectratio="f"/>
                </v:shape>
                <v:shape id="Freeform 320" o:spid="_x0000_s1026" o:spt="100" style="position:absolute;left:6190;top:1387;height:1017;width:875;" filled="f" stroked="t" coordsize="875,1017" o:gfxdata="UEsDBAoAAAAAAIdO4kAAAAAAAAAAAAAAAAAEAAAAZHJzL1BLAwQUAAAACACHTuJAr0EENrcAAADc&#10;AAAADwAAAGRycy9kb3ducmV2LnhtbEVPSwrCMBDdC94hjOBOUxVFqtGFRXAlWnU/NmNbbCalid/T&#10;G0FwN4/3nfnyaSpxp8aVlhUM+hEI4szqknMFx8O6NwXhPLLGyjIpeJGD5aLdmmOs7YP3dE99LkII&#10;uxgVFN7XsZQuK8ig69uaOHAX2xj0ATa51A0+Qrip5DCKJtJgyaGhwJpWBWXX9GYUjN7pud6fbsll&#10;LN+53u6SKx0TpbqdQTQD4enp/+Kfe6PD/OEEvs+EC+TiA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vQQQ2twAAANwAAAAP&#10;AAAAAAAAAAEAIAAAACIAAABkcnMvZG93bnJldi54bWxQSwECFAAUAAAACACHTuJAMy8FnjsAAAA5&#10;AAAAEAAAAAAAAAABACAAAAAGAQAAZHJzL3NoYXBleG1sLnhtbFBLBQYAAAAABgAGAFsBAACwAwAA&#10;AAA=&#10;" path="m0,1017l875,0e">
                  <v:path o:connectlocs="0,2405;875,1388;875,1388" o:connectangles="0,0,0"/>
                  <v:fill on="f" focussize="0,0"/>
                  <v:stroke weight="0.0118897637795276pt" color="#000000" joinstyle="round"/>
                  <v:imagedata o:title=""/>
                  <o:lock v:ext="edit" aspectratio="f"/>
                </v:shape>
                <v:shape id="Freeform 319" o:spid="_x0000_s1026" o:spt="100" style="position:absolute;left:5362;top:3330;height:37;width:32;" filled="f" stroked="t" coordsize="32,37" o:gfxdata="UEsDBAoAAAAAAIdO4kAAAAAAAAAAAAAAAAAEAAAAZHJzL1BLAwQUAAAACACHTuJA/qiJE70AAADc&#10;AAAADwAAAGRycy9kb3ducmV2LnhtbEVPTWsCMRC9C/0PYQq9SM1qpZbV6EERClKqtlCP42bcbLuZ&#10;LElc9d83guBtHu9zJrOzrUVLPlSOFfR7GQjiwumKSwXfX8vnNxAhImusHZOCCwWYTR86E8y1O/GG&#10;2m0sRQrhkKMCE2OTSxkKQxZDzzXEiTs4bzEm6EupPZ5SuK3lIMtepcWKU4PBhuaGir/t0Sro8sd8&#10;sftp95fhp//FwviX1Xqk1NNjPxuDiHSOd/HN/a7T/MEIrs+kC+T0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qIkTvQAA&#10;ANwAAAAPAAAAAAAAAAEAIAAAACIAAABkcnMvZG93bnJldi54bWxQSwECFAAUAAAACACHTuJAMy8F&#10;njsAAAA5AAAAEAAAAAAAAAABACAAAAAMAQAAZHJzL3NoYXBleG1sLnhtbFBLBQYAAAAABgAGAFsB&#10;AAC2AwAAAAA=&#10;" path="m0,37l31,0,32,0e">
                  <v:path o:connectlocs="0,3367;31,3330;32,3330" o:connectangles="0,0,0"/>
                  <v:fill on="f" focussize="0,0"/>
                  <v:stroke weight="0.0118897637795276pt" color="#000000" joinstyle="round"/>
                  <v:imagedata o:title=""/>
                  <o:lock v:ext="edit" aspectratio="f"/>
                </v:shape>
                <v:shape id="Freeform 318" o:spid="_x0000_s1026" o:spt="100" style="position:absolute;left:6190;top:1452;height:1037;width:893;" filled="f" stroked="t" coordsize="893,1037" o:gfxdata="UEsDBAoAAAAAAIdO4kAAAAAAAAAAAAAAAAAEAAAAZHJzL1BLAwQUAAAACACHTuJAQRj5Br0AAADc&#10;AAAADwAAAGRycy9kb3ducmV2LnhtbEWPQWvCQBCF70L/wzKCN90YrEjq6iFQiPSisfQ8ZKdJMDsb&#10;dldj/33nUOhthvfmvW/2x6cb1INC7D0bWK8yUMSNtz23Bj6v78sdqJiQLQ6eycAPRTgeXmZ7LKyf&#10;+EKPOrVKQjgWaKBLaSy0jk1HDuPKj8SiffvgMMkaWm0DThLuBp1n2VY77FkaOhyp7Ki51XdnIFab&#10;k/tyIT9/2LzevVbTpSzPxizm6+wNVKJn+jf/XVdW8HOhlWdkAn34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GPkGvQAA&#10;ANwAAAAPAAAAAAAAAAEAIAAAACIAAABkcnMvZG93bnJldi54bWxQSwECFAAUAAAACACHTuJAMy8F&#10;njsAAAA5AAAAEAAAAAAAAAABACAAAAAMAQAAZHJzL3NoYXBleG1sLnhtbFBLBQYAAAAABgAGAFsB&#10;AAC2AwAAAAA=&#10;" path="m0,1037l892,0e">
                  <v:path o:connectlocs="0,2490;892,1453;892,1453" o:connectangles="0,0,0"/>
                  <v:fill on="f" focussize="0,0"/>
                  <v:stroke weight="0.0118897637795276pt" color="#000000" joinstyle="round"/>
                  <v:imagedata o:title=""/>
                  <o:lock v:ext="edit" aspectratio="f"/>
                </v:shape>
                <v:shape id="Freeform 317" o:spid="_x0000_s1026" o:spt="100" style="position:absolute;left:6190;top:1517;height:1057;width:910;" filled="f" stroked="t" coordsize="910,1057" o:gfxdata="UEsDBAoAAAAAAIdO4kAAAAAAAAAAAAAAAAAEAAAAZHJzL1BLAwQUAAAACACHTuJAURUCwL0AAADc&#10;AAAADwAAAGRycy9kb3ducmV2LnhtbEVPTWvCQBC9C/0PyxS8iG7MoWjqKkUQhR6qscXrkJ0msdnZ&#10;uLvV5N+7hYK3ebzPWaw604grOV9bVjCdJCCIC6trLhV8HjfjGQgfkDU2lklBTx5Wy6fBAjNtb3yg&#10;ax5KEUPYZ6igCqHNpPRFRQb9xLbEkfu2zmCI0JVSO7zFcNPINElepMGaY0OFLa0rKn7yX6NgdLic&#10;vz78edvrtzydvbt9d+pLpYbP0+QVRKAuPMT/7p2O89M5/D0TL5DLO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RFQLAvQAA&#10;ANwAAAAPAAAAAAAAAAEAIAAAACIAAABkcnMvZG93bnJldi54bWxQSwECFAAUAAAACACHTuJAMy8F&#10;njsAAAA5AAAAEAAAAAAAAAABACAAAAAMAQAAZHJzL3NoYXBleG1sLnhtbFBLBQYAAAAABgAGAFsB&#10;AAC2AwAAAAA=&#10;" path="m0,1057l909,0,910,0e">
                  <v:path o:connectlocs="0,2575;909,1518;910,1518" o:connectangles="0,0,0"/>
                  <v:fill on="f" focussize="0,0"/>
                  <v:stroke weight="0.0118897637795276pt" color="#000000" joinstyle="round"/>
                  <v:imagedata o:title=""/>
                  <o:lock v:ext="edit" aspectratio="f"/>
                </v:shape>
                <v:shape id="Freeform 316" o:spid="_x0000_s1026" o:spt="100" style="position:absolute;left:6190;top:1582;height:1077;width:927;" filled="f" stroked="t" coordsize="927,1077" o:gfxdata="UEsDBAoAAAAAAIdO4kAAAAAAAAAAAAAAAAAEAAAAZHJzL1BLAwQUAAAACACHTuJAD1Sicb8AAADc&#10;AAAADwAAAGRycy9kb3ducmV2LnhtbEWPT2vCQBDF74V+h2UKXopuYkFLdBUUpb30UJXqcciOSTA7&#10;G3bXP/n2nUOhtxnem/d+M18+XKtuFGLj2UA+ykARl942XBk47LfDd1AxIVtsPZOBniIsF89Pcyys&#10;v/M33XapUhLCsUADdUpdoXUsa3IYR74jFu3sg8Mka6i0DXiXcNfqcZZNtMOGpaHGjtY1lZfd1Rmo&#10;OPiPbrXh/qvPp8f+ZzN5PR2MGbzk2QxUokf6N/9df1rBfxN8eUYm0It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9UonG/&#10;AAAA3AAAAA8AAAAAAAAAAQAgAAAAIgAAAGRycy9kb3ducmV2LnhtbFBLAQIUABQAAAAIAIdO4kAz&#10;LwWeOwAAADkAAAAQAAAAAAAAAAEAIAAAAA4BAABkcnMvc2hhcGV4bWwueG1sUEsFBgAAAAAGAAYA&#10;WwEAALgDAAAAAA==&#10;" path="m0,1076l926,0,927,0e">
                  <v:path o:connectlocs="0,2659;926,1583;927,1583" o:connectangles="0,0,0"/>
                  <v:fill on="f" focussize="0,0"/>
                  <v:stroke weight="0.0118897637795276pt" color="#000000" joinstyle="round"/>
                  <v:imagedata o:title=""/>
                  <o:lock v:ext="edit" aspectratio="f"/>
                </v:shape>
                <v:shape id="Freeform 315" o:spid="_x0000_s1026" o:spt="100" style="position:absolute;left:6190;top:1647;height:1097;width:944;" filled="f" stroked="t" coordsize="944,1097" o:gfxdata="UEsDBAoAAAAAAIdO4kAAAAAAAAAAAAAAAAAEAAAAZHJzL1BLAwQUAAAACACHTuJAzNgUO7wAAADc&#10;AAAADwAAAGRycy9kb3ducmV2LnhtbEVPPWvDMBDdC/kP4gJdSiK7hRLcKBkMDsWZ6iZDtsO6yKbW&#10;yViK7f77qhDIdo/3edv9bDsx0uBbxwrSdQKCuHa6ZaPg9F2sNiB8QNbYOSYFv+Rhv1s8bTHTbuIv&#10;GqtgRAxhn6GCJoQ+k9LXDVn0a9cTR+7qBoshwsFIPeAUw20nX5PkXVpsOTY02FPeUP1T3ayC8nTN&#10;C3N0F3MsDy/nkOdnX1RKPS/T5ANEoDk8xHf3p47z31L4fyZeIH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zYFDu8AAAA&#10;3AAAAA8AAAAAAAAAAQAgAAAAIgAAAGRycy9kb3ducmV2LnhtbFBLAQIUABQAAAAIAIdO4kAzLwWe&#10;OwAAADkAAAAQAAAAAAAAAAEAIAAAAAsBAABkcnMvc2hhcGV4bWwueG1sUEsFBgAAAAAGAAYAWwEA&#10;ALUDAAAAAA==&#10;" path="m0,1096l944,0e">
                  <v:path o:connectlocs="0,2744;944,1648;944,1648" o:connectangles="0,0,0"/>
                  <v:fill on="f" focussize="0,0"/>
                  <v:stroke weight="0.0118897637795276pt" color="#000000" joinstyle="round"/>
                  <v:imagedata o:title=""/>
                  <o:lock v:ext="edit" aspectratio="f"/>
                </v:shape>
                <v:shape id="Freeform 314" o:spid="_x0000_s1026" o:spt="100" style="position:absolute;left:6190;top:1712;height:1117;width:961;" filled="f" stroked="t" coordsize="961,1117" o:gfxdata="UEsDBAoAAAAAAIdO4kAAAAAAAAAAAAAAAAAEAAAAZHJzL1BLAwQUAAAACACHTuJAOZI15b0AAADc&#10;AAAADwAAAGRycy9kb3ducmV2LnhtbEWPT4vCMBDF74LfIYywN039g0o1ighC18OCVe9DM7bFZlKb&#10;2Ha//WZhYW8zvPd782a7700lWmpcaVnBdBKBIM6sLjlXcLuexmsQziNrrCyTgm9ysN8NB1uMte34&#10;Qm3qcxFC2MWooPC+jqV0WUEG3cTWxEF72MagD2uTS91gF8JNJWdRtJQGSw4XCqzpWFD2TN8m1Pg6&#10;31+fz6w7cP3ok9WrXSReKvUxmkYbEJ56/2/+oxMduPkMfp8JE8jd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5kjXlvQAA&#10;ANwAAAAPAAAAAAAAAAEAIAAAACIAAABkcnMvZG93bnJldi54bWxQSwECFAAUAAAACACHTuJAMy8F&#10;njsAAAA5AAAAEAAAAAAAAAABACAAAAAMAQAAZHJzL3NoYXBleG1sLnhtbFBLBQYAAAAABgAGAFsB&#10;AAC2AwAAAAA=&#10;" path="m0,1116l961,0e">
                  <v:path o:connectlocs="0,2829;961,1713;961,1713" o:connectangles="0,0,0"/>
                  <v:fill on="f" focussize="0,0"/>
                  <v:stroke weight="0.0118897637795276pt" color="#000000" joinstyle="round"/>
                  <v:imagedata o:title=""/>
                  <o:lock v:ext="edit" aspectratio="f"/>
                </v:shape>
                <v:shape id="Freeform 313" o:spid="_x0000_s1026" o:spt="100" style="position:absolute;left:6190;top:1777;height:1137;width:978;" filled="f" stroked="t" coordsize="978,1137" o:gfxdata="UEsDBAoAAAAAAIdO4kAAAAAAAAAAAAAAAAAEAAAAZHJzL1BLAwQUAAAACACHTuJApPOkFLoAAADc&#10;AAAADwAAAGRycy9kb3ducmV2LnhtbEVP24rCMBB9X/Afwgj7tqaueKEaBYWFFRS84+PQjG1pMylN&#10;tPr3RhB8m8O5zmR2N6W4Ue1yywq6nQgEcWJ1zqmCw/7vZwTCeWSNpWVS8CAHs2nra4Kxtg1v6bbz&#10;qQgh7GJUkHlfxVK6JCODrmMr4sBdbG3QB1inUtfYhHBTyt8oGkiDOYeGDCtaZJQUu6tRUDQ8Oh+L&#10;9WmzWPXny2E1kNsclfpud6MxCE93/xG/3f86zO/14PVMuEBOn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k86QUugAAANwA&#10;AAAPAAAAAAAAAAEAIAAAACIAAABkcnMvZG93bnJldi54bWxQSwECFAAUAAAACACHTuJAMy8FnjsA&#10;AAA5AAAAEAAAAAAAAAABACAAAAAJAQAAZHJzL3NoYXBleG1sLnhtbFBLBQYAAAAABgAGAFsBAACz&#10;AwAAAAA=&#10;" path="m0,1137l978,0e">
                  <v:path o:connectlocs="0,2914;978,1777;978,1777" o:connectangles="0,0,0"/>
                  <v:fill on="f" focussize="0,0"/>
                  <v:stroke weight="0.0118897637795276pt" color="#000000" joinstyle="round"/>
                  <v:imagedata o:title=""/>
                  <o:lock v:ext="edit" aspectratio="f"/>
                </v:shape>
                <v:shape id="Freeform 312" o:spid="_x0000_s1026" o:spt="100" style="position:absolute;left:6190;top:1842;height:1157;width:995;" filled="f" stroked="t" coordsize="995,1157" o:gfxdata="UEsDBAoAAAAAAIdO4kAAAAAAAAAAAAAAAAAEAAAAZHJzL1BLAwQUAAAACACHTuJAaFzgeboAAADc&#10;AAAADwAAAGRycy9kb3ducmV2LnhtbEVPS4vCMBC+L/gfwgje1rTqilSjB0FQD8JWQY9DM7bVZlKS&#10;+Pr3RljY23x8z5ktnqYRd3K+tqwg7ScgiAuray4VHPar7wkIH5A1NpZJwYs8LOadrxlm2j74l+55&#10;KEUMYZ+hgiqENpPSFxUZ9H3bEkfubJ3BEKErpXb4iOGmkYMkGUuDNceGCltaVlRc85tRcOG0+Rm5&#10;dXraHSd6u3nd9vmWlOp102QKItAz/Iv/3Gsd5w9H8HkmXiDn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oXOB5ugAAANwA&#10;AAAPAAAAAAAAAAEAIAAAACIAAABkcnMvZG93bnJldi54bWxQSwECFAAUAAAACACHTuJAMy8FnjsA&#10;AAA5AAAAEAAAAAAAAAABACAAAAAJAQAAZHJzL3NoYXBleG1sLnhtbFBLBQYAAAAABgAGAFsBAACz&#10;AwAAAAA=&#10;" path="m0,1156l995,0e">
                  <v:path o:connectlocs="0,2999;995,1843;995,1843" o:connectangles="0,0,0"/>
                  <v:fill on="f" focussize="0,0"/>
                  <v:stroke weight="0.0118897637795276pt" color="#000000" joinstyle="round"/>
                  <v:imagedata o:title=""/>
                  <o:lock v:ext="edit" aspectratio="f"/>
                </v:shape>
                <v:shape id="Freeform 311" o:spid="_x0000_s1026" o:spt="100" style="position:absolute;left:6190;top:1907;height:1177;width:1012;" filled="f" stroked="t" coordsize="1012,1177" o:gfxdata="UEsDBAoAAAAAAIdO4kAAAAAAAAAAAAAAAAAEAAAAZHJzL1BLAwQUAAAACACHTuJACik/RLkAAADc&#10;AAAADwAAAGRycy9kb3ducmV2LnhtbEVPS2sCMRC+F/wPYQpepGZVKmVr9CAIe/UBXqeb6WbbzWTZ&#10;jEb/vSkUvM3H95zV5uY7daUhtoENzKYFKOI62JYbA6fj7u0DVBRki11gMnCnCJv16GWFpQ2J93Q9&#10;SKNyCMcSDTiRvtQ61o48xmnoiTP3HQaPkuHQaDtgyuG+0/OiWGqPLecGhz1tHdW/h4s3ELfpvEg/&#10;k2opXZIQkpt8Vc6Y8eus+AQldJOn+N9d2Tx/8Q5/z+QL9Po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AopP0S5AAAA3AAA&#10;AA8AAAAAAAAAAQAgAAAAIgAAAGRycy9kb3ducmV2LnhtbFBLAQIUABQAAAAIAIdO4kAzLwWeOwAA&#10;ADkAAAAQAAAAAAAAAAEAIAAAAAgBAABkcnMvc2hhcGV4bWwueG1sUEsFBgAAAAAGAAYAWwEAALID&#10;AAAAAA==&#10;" path="m0,1177l1012,0e">
                  <v:path o:connectlocs="0,3084;1012,1907;1012,1907" o:connectangles="0,0,0"/>
                  <v:fill on="f" focussize="0,0"/>
                  <v:stroke weight="0.0118897637795276pt" color="#000000" joinstyle="round"/>
                  <v:imagedata o:title=""/>
                  <o:lock v:ext="edit" aspectratio="f"/>
                </v:shape>
                <v:shape id="Freeform 310" o:spid="_x0000_s1026" o:spt="100" style="position:absolute;left:6190;top:1972;height:1197;width:1030;" filled="f" stroked="t" coordsize="1030,1197" o:gfxdata="UEsDBAoAAAAAAIdO4kAAAAAAAAAAAAAAAAAEAAAAZHJzL1BLAwQUAAAACACHTuJAIuTYz7YAAADc&#10;AAAADwAAAGRycy9kb3ducmV2LnhtbEVPSwrCMBDdC94hjODOplUoUo0uRKEbQavuh2Zsi82kNPF3&#10;eyMI7ubxvrNcv0wrHtS7xrKCJIpBEJdWN1wpOJ92kzkI55E1tpZJwZscrFfDwRIzbZ98pEfhKxFC&#10;2GWooPa+y6R0ZU0GXWQ74sBdbW/QB9hXUvf4DOGmldM4TqXBhkNDjR1taipvxd0oOF0O+T7RdNRu&#10;l+du66fntDBKjUdJvADh6eX/4p8712H+LIXvM+ECufoA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CLk2M+2AAAA3AAAAA8A&#10;AAAAAAAAAQAgAAAAIgAAAGRycy9kb3ducmV2LnhtbFBLAQIUABQAAAAIAIdO4kAzLwWeOwAAADkA&#10;AAAQAAAAAAAAAAEAIAAAAAUBAABkcnMvc2hhcGV4bWwueG1sUEsFBgAAAAAGAAYAWwEAAK8DAAAA&#10;AA==&#10;" path="m0,1196l1029,0e">
                  <v:path o:connectlocs="0,3168;1029,1972;1029,1972" o:connectangles="0,0,0"/>
                  <v:fill on="f" focussize="0,0"/>
                  <v:stroke weight="0.0118897637795276pt" color="#000000" joinstyle="round"/>
                  <v:imagedata o:title=""/>
                  <o:lock v:ext="edit" aspectratio="f"/>
                </v:shape>
                <v:shape id="Freeform 309" o:spid="_x0000_s1026" o:spt="100" style="position:absolute;left:6190;top:2037;height:1216;width:1046;" filled="f" stroked="t" coordsize="1046,1216" o:gfxdata="UEsDBAoAAAAAAIdO4kAAAAAAAAAAAAAAAAAEAAAAZHJzL1BLAwQUAAAACACHTuJA2haBMb0AAADc&#10;AAAADwAAAGRycy9kb3ducmV2LnhtbEVPS2sCMRC+F/ofwhR6KZpsS3VZjR6EWqEH8QFeh824u7iZ&#10;bJPobv99Uyh4m4/vOfPlYFtxIx8axxqysQJBXDrTcKXhePgY5SBCRDbYOiYNPxRguXh8mGNhXM87&#10;uu1jJVIIhwI11DF2hZShrMliGLuOOHFn5y3GBH0ljcc+hdtWvio1kRYbTg01drSqqbzsr1bDZdt/&#10;Zup9ffLfwzZ/maD7WuUbrZ+fMjUDEWmId/G/e2PS/Lcp/D2TLpCL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aFoExvQAA&#10;ANwAAAAPAAAAAAAAAAEAIAAAACIAAABkcnMvZG93bnJldi54bWxQSwECFAAUAAAACACHTuJAMy8F&#10;njsAAAA5AAAAEAAAAAAAAAABACAAAAAMAQAAZHJzL3NoYXBleG1sLnhtbFBLBQYAAAAABgAGAFsB&#10;AAC2AwAAAAA=&#10;" path="m0,1216l1046,0e">
                  <v:path o:connectlocs="0,3253;1046,2037;1046,2037" o:connectangles="0,0,0"/>
                  <v:fill on="f" focussize="0,0"/>
                  <v:stroke weight="0.0118897637795276pt" color="#000000" joinstyle="round"/>
                  <v:imagedata o:title=""/>
                  <o:lock v:ext="edit" aspectratio="f"/>
                </v:shape>
                <v:shape id="Freeform 308" o:spid="_x0000_s1026" o:spt="100" style="position:absolute;left:6190;top:2102;height:1236;width:1064;" filled="f" stroked="t" coordsize="1064,1236" o:gfxdata="UEsDBAoAAAAAAIdO4kAAAAAAAAAAAAAAAAAEAAAAZHJzL1BLAwQUAAAACACHTuJAyOLX6b8AAADc&#10;AAAADwAAAGRycy9kb3ducmV2LnhtbEWPS4vCQBCE74L/YegFbzqJikh09LAgiLiIuo9rk2mTYKYn&#10;ZMbX/nr7IHjrpqqrvp4v765WV2pD5dlAOkhAEefeVlwY+D6u+lNQISJbrD2TgQcFWC66nTlm1t94&#10;T9dDLJSEcMjQQBljk2kd8pIchoFviEU7+dZhlLUttG3xJuGu1sMkmWiHFUtDiQ19lpSfDxdn4Py1&#10;KS7pdrJ57I71/3T1N/wZjX+N6X2kyQxUpHt8m1/Xayv4I6GVZ2QCvXg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ji1+m/&#10;AAAA3AAAAA8AAAAAAAAAAQAgAAAAIgAAAGRycy9kb3ducmV2LnhtbFBLAQIUABQAAAAIAIdO4kAz&#10;LwWeOwAAADkAAAAQAAAAAAAAAAEAIAAAAA4BAABkcnMvc2hhcGV4bWwueG1sUEsFBgAAAAAGAAYA&#10;WwEAALgDAAAAAA==&#10;" path="m0,1236l1063,0e">
                  <v:path o:connectlocs="0,3338;1063,2102;1063,2102" o:connectangles="0,0,0"/>
                  <v:fill on="f" focussize="0,0"/>
                  <v:stroke weight="0.0118897637795276pt" color="#000000" joinstyle="round"/>
                  <v:imagedata o:title=""/>
                  <o:lock v:ext="edit" aspectratio="f"/>
                </v:shape>
                <v:shape id="Freeform 307" o:spid="_x0000_s1026" o:spt="100" style="position:absolute;left:6238;top:2167;height:1200;width:1033;" filled="f" stroked="t" coordsize="1033,1200" o:gfxdata="UEsDBAoAAAAAAIdO4kAAAAAAAAAAAAAAAAAEAAAAZHJzL1BLAwQUAAAACACHTuJA7+nXHLsAAADc&#10;AAAADwAAAGRycy9kb3ducmV2LnhtbEVPy6rCMBDdX/AfwgjurqkPRKvRhfjCxRWrgsuhGdtiMylN&#10;fP29uSC4m8N5zmT2NKW4U+0Kywo67QgEcWp1wZmC42H5OwThPLLG0jIpeJGD2bTxM8FY2wfv6Z74&#10;TIQQdjEqyL2vYildmpNB17YVceAutjboA6wzqWt8hHBTym4UDaTBgkNDjhXNc0qvyc0o+Outi3R3&#10;1C/aXbLDabvoJ6vyrFSr2YnGIDw9/Vf8cW90mN8bwf8z4QI5f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nXHLsAAADc&#10;AAAADwAAAAAAAAABACAAAAAiAAAAZHJzL2Rvd25yZXYueG1sUEsBAhQAFAAAAAgAh07iQDMvBZ47&#10;AAAAOQAAABAAAAAAAAAAAQAgAAAACgEAAGRycy9zaGFwZXhtbC54bWxQSwUGAAAAAAYABgBbAQAA&#10;tAMAAAAA&#10;" path="m0,1200l1032,0,1033,0e">
                  <v:path o:connectlocs="0,3367;1032,2167;1033,2167" o:connectangles="0,0,0"/>
                  <v:fill on="f" focussize="0,0"/>
                  <v:stroke weight="0.0118897637795276pt" color="#000000" joinstyle="round"/>
                  <v:imagedata o:title=""/>
                  <o:lock v:ext="edit" aspectratio="f"/>
                </v:shape>
                <v:shape id="Freeform 306" o:spid="_x0000_s1026" o:spt="100" style="position:absolute;left:6311;top:2232;height:1135;width:977;" filled="f" stroked="t" coordsize="977,1135" o:gfxdata="UEsDBAoAAAAAAIdO4kAAAAAAAAAAAAAAAAAEAAAAZHJzL1BLAwQUAAAACACHTuJAsJcr6b0AAADc&#10;AAAADwAAAGRycy9kb3ducmV2LnhtbEWPQWvCQBCF74L/YZmCN90opUjq6iFQCfZkIhRvQ3aahGZn&#10;Q3Y15t87B6G3Gd6b977ZHR6uU3caQuvZwHqVgCKuvG25NnApv5ZbUCEiW+w8k4GJAhz289kOU+tH&#10;PtO9iLWSEA4pGmhi7FOtQ9WQw7DyPbFov35wGGUdam0HHCXcdXqTJB/aYcvS0GBPWUPVX3FzBn4y&#10;rAuPtyzXx+tpzK/Td1lOxize1sknqEiP+G9+XedW8N8FX56RCfT+C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wlyvpvQAA&#10;ANwAAAAPAAAAAAAAAAEAIAAAACIAAABkcnMvZG93bnJldi54bWxQSwECFAAUAAAACACHTuJAMy8F&#10;njsAAAA5AAAAEAAAAAAAAAABACAAAAAMAQAAZHJzL3NoYXBleG1sLnhtbFBLBQYAAAAABgAGAFsB&#10;AAC2AwAAAAA=&#10;" path="m0,1135l976,0,977,0e">
                  <v:path o:connectlocs="0,3367;976,2232;977,2232" o:connectangles="0,0,0"/>
                  <v:fill on="f" focussize="0,0"/>
                  <v:stroke weight="0.0118897637795276pt" color="#000000" joinstyle="round"/>
                  <v:imagedata o:title=""/>
                  <o:lock v:ext="edit" aspectratio="f"/>
                </v:shape>
                <v:shape id="Freeform 305" o:spid="_x0000_s1026" o:spt="100" style="position:absolute;left:6384;top:2297;height:1070;width:921;" filled="f" stroked="t" coordsize="921,1070" o:gfxdata="UEsDBAoAAAAAAIdO4kAAAAAAAAAAAAAAAAAEAAAAZHJzL1BLAwQUAAAACACHTuJAN1hMJr8AAADc&#10;AAAADwAAAGRycy9kb3ducmV2LnhtbEVP22rCQBB9L/gPywi+SN1E21Kim6CCIEVLq6V9HbNjEszO&#10;hux6qV/vFoS+zeFcZ5JdTC1O1LrKsoJ4EIEgzq2uuFDwtV08voJwHlljbZkU/JKDLO08TDDR9syf&#10;dNr4QoQQdgkqKL1vEildXpJBN7ANceD2tjXoA2wLqVs8h3BTy2EUvUiDFYeGEhual5QfNkejwKye&#10;r+7glz/f091qu34fHd8+Zn2let04GoPwdPH/4rt7qcP8pxj+ngkXyPQG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dYTCa/&#10;AAAA3AAAAA8AAAAAAAAAAQAgAAAAIgAAAGRycy9kb3ducmV2LnhtbFBLAQIUABQAAAAIAIdO4kAz&#10;LwWeOwAAADkAAAAQAAAAAAAAAAEAIAAAAA4BAABkcnMvc2hhcGV4bWwueG1sUEsFBgAAAAAGAAYA&#10;WwEAALgDAAAAAA==&#10;" path="m0,1070l921,0e">
                  <v:path o:connectlocs="0,3367;921,2297;921,2297" o:connectangles="0,0,0"/>
                  <v:fill on="f" focussize="0,0"/>
                  <v:stroke weight="0.0118897637795276pt" color="#000000" joinstyle="round"/>
                  <v:imagedata o:title=""/>
                  <o:lock v:ext="edit" aspectratio="f"/>
                </v:shape>
                <v:shape id="Freeform 304" o:spid="_x0000_s1026" o:spt="100" style="position:absolute;left:6413;top:2362;height:1056;width:909;" filled="f" stroked="t" coordsize="909,1056" o:gfxdata="UEsDBAoAAAAAAIdO4kAAAAAAAAAAAAAAAAAEAAAAZHJzL1BLAwQUAAAACACHTuJAe7jDQrsAAADc&#10;AAAADwAAAGRycy9kb3ducmV2LnhtbEVP24rCMBB9X/Afwgj7tqYWEa1GQUEQRLz7PDZjW20mpclq&#10;/XsjLOzbHM51xtPGlOJBtSssK+h2IhDEqdUFZwqOh8XPAITzyBpLy6TgRQ6mk9bXGBNtn7yjx95n&#10;IoSwS1BB7n2VSOnSnAy6jq2IA3e1tUEfYJ1JXeMzhJtSxlHUlwYLDg05VjTPKb3vf42C1fZcnObD&#10;3mu9GZa34yJu/OU0U+q73Y1GIDw1/l/8517qML8Xw+eZcIGcvA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7jDQrsAAADc&#10;AAAADwAAAAAAAAABACAAAAAiAAAAZHJzL2Rvd25yZXYueG1sUEsBAhQAFAAAAAgAh07iQDMvBZ47&#10;AAAAOQAAABAAAAAAAAAAAQAgAAAACgEAAGRycy9zaGFwZXhtbC54bWxQSwUGAAAAAAYABgBbAQAA&#10;tAMAAAAA&#10;" path="m0,1056l908,0e">
                  <v:path o:connectlocs="0,3418;908,2362;908,2362" o:connectangles="0,0,0"/>
                  <v:fill on="f" focussize="0,0"/>
                  <v:stroke weight="0.0118897637795276pt" color="#000000" joinstyle="round"/>
                  <v:imagedata o:title=""/>
                  <o:lock v:ext="edit" aspectratio="f"/>
                </v:shape>
                <v:shape id="Freeform 303" o:spid="_x0000_s1026" o:spt="100" style="position:absolute;left:6413;top:2427;height:1076;width:926;" filled="f" stroked="t" coordsize="926,1076" o:gfxdata="UEsDBAoAAAAAAIdO4kAAAAAAAAAAAAAAAAAEAAAAZHJzL1BLAwQUAAAACACHTuJAt+wHf70AAADc&#10;AAAADwAAAGRycy9kb3ducmV2LnhtbEVPS2sCMRC+F/wPYQQvpWZ9IGVr9GApCOrBB+hxuhl3V5PJ&#10;somu+uubguBtPr7njKc3a8SVal86VtDrJiCIM6dLzhXstj8fnyB8QNZoHJOCO3mYTlpvY0y1a3hN&#10;103IRQxhn6KCIoQqldJnBVn0XVcRR+7oaoshwjqXusYmhlsj+0kykhZLjg0FVjQrKDtvLlbBfnR8&#10;X5x+980yc4fvk3kYd1gZpTrtXvIFItAtvMRP91zH+cMB/D8TL5CT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37Ad/vQAA&#10;ANwAAAAPAAAAAAAAAAEAIAAAACIAAABkcnMvZG93bnJldi54bWxQSwECFAAUAAAACACHTuJAMy8F&#10;njsAAAA5AAAAEAAAAAAAAAABACAAAAAMAQAAZHJzL3NoYXBleG1sLnhtbFBLBQYAAAAABgAGAFsB&#10;AAC2AwAAAAA=&#10;" path="m0,1076l925,0e">
                  <v:path o:connectlocs="0,3503;925,2427;925,2427" o:connectangles="0,0,0"/>
                  <v:fill on="f" focussize="0,0"/>
                  <v:stroke weight="0.0118897637795276pt" color="#000000" joinstyle="round"/>
                  <v:imagedata o:title=""/>
                  <o:lock v:ext="edit" aspectratio="f"/>
                </v:shape>
                <v:shape id="Freeform 302" o:spid="_x0000_s1026" o:spt="100" style="position:absolute;left:6413;top:2492;height:1096;width:943;" filled="f" stroked="t" coordsize="943,1096" o:gfxdata="UEsDBAoAAAAAAIdO4kAAAAAAAAAAAAAAAAAEAAAAZHJzL1BLAwQUAAAACACHTuJAl975d7sAAADc&#10;AAAADwAAAGRycy9kb3ducmV2LnhtbEVPyWrDMBC9B/oPYgq9xbKDCcW1HEKgNFASWqf0PFjjhVoj&#10;R1K2v48Khd7m8dYpV1czijM5P1hWkCUpCOLG6oE7BV+H1/kzCB+QNY6WScGNPKyqh1mJhbYX/qRz&#10;HToRQ9gXqKAPYSqk9E1PBn1iJ+LItdYZDBG6TmqHlxhuRrlI06U0OHBs6HGiTU/NT30yCnZrZ7L9&#10;0h3dx2771r4f7d5950o9PWbpC4hA1/Av/nNvdZyf5/D7TLxAVn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975d7sAAADc&#10;AAAADwAAAAAAAAABACAAAAAiAAAAZHJzL2Rvd25yZXYueG1sUEsBAhQAFAAAAAgAh07iQDMvBZ47&#10;AAAAOQAAABAAAAAAAAAAAQAgAAAACgEAAGRycy9zaGFwZXhtbC54bWxQSwUGAAAAAAYABgBbAQAA&#10;tAMAAAAA&#10;" path="m0,1096l942,0e">
                  <v:path o:connectlocs="0,3588;942,2492;942,2492" o:connectangles="0,0,0"/>
                  <v:fill on="f" focussize="0,0"/>
                  <v:stroke weight="0.0118897637795276pt" color="#000000" joinstyle="round"/>
                  <v:imagedata o:title=""/>
                  <o:lock v:ext="edit" aspectratio="f"/>
                </v:shape>
                <v:shape id="Freeform 301" o:spid="_x0000_s1026" o:spt="100" style="position:absolute;left:6472;top:2557;height:1048;width:901;" filled="f" stroked="t" coordsize="901,1048" o:gfxdata="UEsDBAoAAAAAAIdO4kAAAAAAAAAAAAAAAAAEAAAAZHJzL1BLAwQUAAAACACHTuJA6QDuuL4AAADc&#10;AAAADwAAAGRycy9kb3ducmV2LnhtbEVPTWvCQBC9F/wPywheSt1Yqkh0FWwr2ItoUvU6zU6TYHY2&#10;ZFdN/fVdQfA2j/c503lrKnGmxpWWFQz6EQjizOqScwXf6fJlDMJ5ZI2VZVLwRw7ms87TFGNtL7yl&#10;c+JzEULYxaig8L6OpXRZQQZd39bEgfu1jUEfYJNL3eAlhJtKvkbRSBosOTQUWNN7QdkxORkF6zYZ&#10;HcfP6eK62X39fCzS/eEzN0r1uoNoAsJT6x/iu3ulw/y3IdyeCRfI2T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6QDuuL4A&#10;AADcAAAADwAAAAAAAAABACAAAAAiAAAAZHJzL2Rvd25yZXYueG1sUEsBAhQAFAAAAAgAh07iQDMv&#10;BZ47AAAAOQAAABAAAAAAAAAAAQAgAAAADQEAAGRycy9zaGFwZXhtbC54bWxQSwUGAAAAAAYABgBb&#10;AQAAtwMAAAAA&#10;" path="m0,1047l901,0e">
                  <v:path o:connectlocs="0,3604;901,2557;901,2557" o:connectangles="0,0,0"/>
                  <v:fill on="f" focussize="0,0"/>
                  <v:stroke weight="0.0118897637795276pt" color="#000000" joinstyle="round"/>
                  <v:imagedata o:title=""/>
                  <o:lock v:ext="edit" aspectratio="f"/>
                </v:shape>
                <v:shape id="Freeform 300" o:spid="_x0000_s1026" o:spt="100" style="position:absolute;left:6545;top:2622;height:983;width:846;" filled="f" stroked="t" coordsize="846,983" o:gfxdata="UEsDBAoAAAAAAIdO4kAAAAAAAAAAAAAAAAAEAAAAZHJzL1BLAwQUAAAACACHTuJA/QUfvboAAADc&#10;AAAADwAAAGRycy9kb3ducmV2LnhtbEVPTYvCMBC9C/sfwizsTdOKlFKNwi4I4s2qsHsbmrGtNpOS&#10;xOr+eyMI3ubxPmexuptODOR8a1lBOklAEFdWt1wrOOzX4xyED8gaO8uk4J88rJYfowUW2t54R0MZ&#10;ahFD2BeooAmhL6T0VUMG/cT2xJE7WWcwROhqqR3eYrjp5DRJMmmw5djQYE8/DVWX8moUuL/cDX2V&#10;p8f2d7ud7Us6f2dXpb4+02QOItA9vMUv90bH+bMMns/EC+Ty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9BR+9ugAAANwA&#10;AAAPAAAAAAAAAAEAIAAAACIAAABkcnMvZG93bnJldi54bWxQSwECFAAUAAAACACHTuJAMy8FnjsA&#10;AAA5AAAAEAAAAAAAAAABACAAAAAJAQAAZHJzL3NoYXBleG1sLnhtbFBLBQYAAAAABgAGAFsBAACz&#10;AwAAAAA=&#10;" path="m0,982l845,0e">
                  <v:path o:connectlocs="0,3604;845,2622;845,2622" o:connectangles="0,0,0"/>
                  <v:fill on="f" focussize="0,0"/>
                  <v:stroke weight="0.0118897637795276pt" color="#000000" joinstyle="round"/>
                  <v:imagedata o:title=""/>
                  <o:lock v:ext="edit" aspectratio="f"/>
                </v:shape>
                <v:shape id="Freeform 299" o:spid="_x0000_s1026" o:spt="100" style="position:absolute;left:6618;top:2687;height:918;width:790;" filled="f" stroked="t" coordsize="790,918" o:gfxdata="UEsDBAoAAAAAAIdO4kAAAAAAAAAAAAAAAAAEAAAAZHJzL1BLAwQUAAAACACHTuJAhV7bUrgAAADc&#10;AAAADwAAAGRycy9kb3ducmV2LnhtbEVPS2sCMRC+C/6HMEJvmihS62r0IAr2qK7Q47AZN4ubSdjE&#10;R/99IxS8zcf3nOX66Vpxpy42njWMRwoEceVNw7WG8rQbfoGICdlg65k0/FKE9arfW2Jh/IMPdD+m&#10;WuQQjgVqsCmFQspYWXIYRz4QZ+7iO4cpw66WpsNHDnetnCj1KR02nBssBtpYqq7Hm9PwU8pvNZm5&#10;cMPzNswNl1MblNYfg7FagEj0TG/xv3tv8vzpDF7P5Avk6g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hV7bUrgAAADcAAAA&#10;DwAAAAAAAAABACAAAAAiAAAAZHJzL2Rvd25yZXYueG1sUEsBAhQAFAAAAAgAh07iQDMvBZ47AAAA&#10;OQAAABAAAAAAAAAAAQAgAAAABwEAAGRycy9zaGFwZXhtbC54bWxQSwUGAAAAAAYABgBbAQAAsQMA&#10;AAAA&#10;" path="m0,917l789,0e">
                  <v:path o:connectlocs="0,3604;789,2687;789,2687" o:connectangles="0,0,0"/>
                  <v:fill on="f" focussize="0,0"/>
                  <v:stroke weight="0.0118897637795276pt" color="#000000" joinstyle="round"/>
                  <v:imagedata o:title=""/>
                  <o:lock v:ext="edit" aspectratio="f"/>
                </v:shape>
                <v:shape id="Freeform 298" o:spid="_x0000_s1026" o:spt="100" style="position:absolute;left:6691;top:2751;height:853;width:734;" filled="f" stroked="t" coordsize="734,853" o:gfxdata="UEsDBAoAAAAAAIdO4kAAAAAAAAAAAAAAAAAEAAAAZHJzL1BLAwQUAAAACACHTuJAe2/BVb0AAADc&#10;AAAADwAAAGRycy9kb3ducmV2LnhtbEWPTW/CMAyG75P4D5EncRtpEUJTR+CAxsaFw+g0aTerMU2h&#10;caomtPDv5wPSbrb8fjxebW6+VQP1sQlsIJ9loIirYBuuDXyXu5dXUDEhW2wDk4E7RdisJ08rLGwY&#10;+YuGY6qVhHAs0IBLqSu0jpUjj3EWOmK5nULvMcna19r2OEq4b/U8y5baY8PS4LCjraPqcrx6KZnb&#10;8+f7tSaXH8rSDb8fh7H6MWb6nGdvoBLd0r/44d5bwV8IrTwjE+j1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7b8FVvQAA&#10;ANwAAAAPAAAAAAAAAAEAIAAAACIAAABkcnMvZG93bnJldi54bWxQSwECFAAUAAAACACHTuJAMy8F&#10;njsAAAA5AAAAEAAAAAAAAAABACAAAAAMAQAAZHJzL3NoYXBleG1sLnhtbFBLBQYAAAAABgAGAFsB&#10;AAC2AwAAAAA=&#10;" path="m0,852l733,0,734,0e">
                  <v:path o:connectlocs="0,3604;733,2752;734,2752" o:connectangles="0,0,0"/>
                  <v:fill on="f" focussize="0,0"/>
                  <v:stroke weight="0.0118897637795276pt" color="#000000" joinstyle="round"/>
                  <v:imagedata o:title=""/>
                  <o:lock v:ext="edit" aspectratio="f"/>
                </v:shape>
                <v:shape id="Freeform 297" o:spid="_x0000_s1026" o:spt="100" style="position:absolute;left:6764;top:2816;height:788;width:678;" filled="f" stroked="t" coordsize="678,788" o:gfxdata="UEsDBAoAAAAAAIdO4kAAAAAAAAAAAAAAAAAEAAAAZHJzL1BLAwQUAAAACACHTuJARkrXmbcAAADc&#10;AAAADwAAAGRycy9kb3ducmV2LnhtbEVPy6rCMBDdX/AfwgjurqlPtBpFFMGd+PiAIRmbYjMpTaz6&#10;90a4cHdzOM9Zrl+uEi01ofSsYNDPQBBrb0ouFFwv+98ZiBCRDVaeScGbAqxXnZ8l5sY/+UTtORYi&#10;hXDIUYGNsc6lDNqSw9D3NXHibr5xGBNsCmkafKZwV8lhlk2lw5JTg8Watpb0/fxwCkYTvSuP5qKv&#10;9jjfVO1Qv0eslep1B9kCRKRX/Bf/uQ8mzR/P4ftMukCuPl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GSteZtwAAANwAAAAP&#10;AAAAAAAAAAEAIAAAACIAAABkcnMvZG93bnJldi54bWxQSwECFAAUAAAACACHTuJAMy8FnjsAAAA5&#10;AAAAEAAAAAAAAAABACAAAAAGAQAAZHJzL3NoYXBleG1sLnhtbFBLBQYAAAAABgAGAFsBAACwAwAA&#10;AAA=&#10;" path="m0,787l677,0,678,0e">
                  <v:path o:connectlocs="0,3604;677,2817;678,2817" o:connectangles="0,0,0"/>
                  <v:fill on="f" focussize="0,0"/>
                  <v:stroke weight="0.0118897637795276pt" color="#000000" joinstyle="round"/>
                  <v:imagedata o:title=""/>
                  <o:lock v:ext="edit" aspectratio="f"/>
                </v:shape>
                <v:shape id="Freeform 296" o:spid="_x0000_s1026" o:spt="100" style="position:absolute;left:6837;top:2881;height:723;width:622;" filled="f" stroked="t" coordsize="622,723" o:gfxdata="UEsDBAoAAAAAAIdO4kAAAAAAAAAAAAAAAAAEAAAAZHJzL1BLAwQUAAAACACHTuJAFVAo474AAADc&#10;AAAADwAAAGRycy9kb3ducmV2LnhtbEWPzWoDMQyE74W+g1Ggt8abQsuyjRNCSksp9BAnD6Cu1fXS&#10;tbzYzu/TV4dAbhIzmvk0X57CoA6Uch/ZwGxagSJuo+u5M7Dbvj/WoHJBdjhEJgNnyrBc3N/NsXHx&#10;yBs62NIpCeHcoAFfythonVtPAfM0jsSi/cYUsMiaOu0SHiU8DPqpql50wJ6lweNIa0/tn90HA3X9&#10;ky/71VfafgxvG7+za/y21piHyax6BVXoVG7m6/WnE/xnwZdnZAK9+A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VAo474A&#10;AADcAAAADwAAAAAAAAABACAAAAAiAAAAZHJzL2Rvd25yZXYueG1sUEsBAhQAFAAAAAgAh07iQDMv&#10;BZ47AAAAOQAAABAAAAAAAAAAAQAgAAAADQEAAGRycy9zaGFwZXhtbC54bWxQSwUGAAAAAAYABgBb&#10;AQAAtwMAAAAA&#10;" path="m0,722l621,0,622,0e">
                  <v:path o:connectlocs="0,3604;621,2882;622,2882" o:connectangles="0,0,0"/>
                  <v:fill on="f" focussize="0,0"/>
                  <v:stroke weight="0.0118897637795276pt" color="#000000" joinstyle="round"/>
                  <v:imagedata o:title=""/>
                  <o:lock v:ext="edit" aspectratio="f"/>
                </v:shape>
                <v:shape id="Freeform 295" o:spid="_x0000_s1026" o:spt="100" style="position:absolute;left:6910;top:2946;height:658;width:566;" filled="f" stroked="t" coordsize="566,658" o:gfxdata="UEsDBAoAAAAAAIdO4kAAAAAAAAAAAAAAAAAEAAAAZHJzL1BLAwQUAAAACACHTuJAaXKpJr4AAADc&#10;AAAADwAAAGRycy9kb3ducmV2LnhtbEVPTWsCMRC9F/wPYQQvpWa3xVK2Rg9CadWLtSvS27CZbrZu&#10;JksSV+uvbwpCb/N4nzOdn20revKhcawgH2cgiCunG64VlB8vd08gQkTW2DomBT8UYD4b3Eyx0O7E&#10;79RvYy1SCIcCFZgYu0LKUBmyGMauI07cl/MWY4K+ltrjKYXbVt5n2aO02HBqMNjRwlB12B6tgsvt&#10;av9dlg+vzWa3+UTTr7ul8UqNhnn2DCLSOf6Lr+43neZPcvh7Jl0gZ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XKpJr4A&#10;AADcAAAADwAAAAAAAAABACAAAAAiAAAAZHJzL2Rvd25yZXYueG1sUEsBAhQAFAAAAAgAh07iQDMv&#10;BZ47AAAAOQAAABAAAAAAAAAAAQAgAAAADQEAAGRycy9zaGFwZXhtbC54bWxQSwUGAAAAAAYABgBb&#10;AQAAtwMAAAAA&#10;" path="m0,657l565,0,566,0e">
                  <v:path o:connectlocs="0,3604;565,2947;566,2947" o:connectangles="0,0,0"/>
                  <v:fill on="f" focussize="0,0"/>
                  <v:stroke weight="0.0118897637795276pt" color="#000000" joinstyle="round"/>
                  <v:imagedata o:title=""/>
                  <o:lock v:ext="edit" aspectratio="f"/>
                </v:shape>
                <v:shape id="Freeform 294" o:spid="_x0000_s1026" o:spt="100" style="position:absolute;left:6983;top:3011;height:593;width:510;" filled="f" stroked="t" coordsize="510,593" o:gfxdata="UEsDBAoAAAAAAIdO4kAAAAAAAAAAAAAAAAAEAAAAZHJzL1BLAwQUAAAACACHTuJAzGP62LsAAADc&#10;AAAADwAAAGRycy9kb3ducmV2LnhtbEVPS4vCMBC+C/sfwix407Q+ilSjsIrgZQ/W13VoxrZsM6lN&#10;rO6/NwsL3ubje85i9TS16Kh1lWUF8TACQZxbXXGh4HjYDmYgnEfWWFsmBb/kYLX86C0w1fbBe+oy&#10;X4gQwi5FBaX3TSqly0sy6Ia2IQ7c1bYGfYBtIXWLjxBuajmKokQarDg0lNjQuqT8J7sbBVm2T+LT&#10;2doiudw2+eRLn8bdt1L9zziag/D09G/xv3unw/zpCP6eCRfI5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GP62LsAAADc&#10;AAAADwAAAAAAAAABACAAAAAiAAAAZHJzL2Rvd25yZXYueG1sUEsBAhQAFAAAAAgAh07iQDMvBZ47&#10;AAAAOQAAABAAAAAAAAAAAQAgAAAACgEAAGRycy9zaGFwZXhtbC54bWxQSwUGAAAAAAYABgBbAQAA&#10;tAMAAAAA&#10;" path="m0,592l510,0e">
                  <v:path o:connectlocs="0,3604;510,3012;510,3012" o:connectangles="0,0,0"/>
                  <v:fill on="f" focussize="0,0"/>
                  <v:stroke weight="0.0118897637795276pt" color="#000000" joinstyle="round"/>
                  <v:imagedata o:title=""/>
                  <o:lock v:ext="edit" aspectratio="f"/>
                </v:shape>
                <v:shape id="Freeform 293" o:spid="_x0000_s1026" o:spt="100" style="position:absolute;left:7056;top:3076;height:528;width:454;" filled="f" stroked="t" coordsize="454,528" o:gfxdata="UEsDBAoAAAAAAIdO4kAAAAAAAAAAAAAAAAAEAAAAZHJzL1BLAwQUAAAACACHTuJATKzPy7sAAADc&#10;AAAADwAAAGRycy9kb3ducmV2LnhtbEVPzYrCMBC+C75DGMHbmnZdtVSjyILLgh60+gBjM7bFZlKa&#10;WPXtN8KCt/n4fmexephadNS6yrKCeBSBIM6trrhQcDpuPhIQziNrrC2Tgic5WC37vQWm2t75QF3m&#10;CxFC2KWooPS+SaV0eUkG3cg2xIG72NagD7AtpG7xHsJNLT+jaCoNVhwaSmzou6T8mt2Mgs1Xkoy3&#10;52wW/+zXu90z58m0Y6WGgziag/D08G/xv/tXh/mTMbyeCRfI5R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KzPy7sAAADc&#10;AAAADwAAAAAAAAABACAAAAAiAAAAZHJzL2Rvd25yZXYueG1sUEsBAhQAFAAAAAgAh07iQDMvBZ47&#10;AAAAOQAAABAAAAAAAAAAAQAgAAAACgEAAGRycy9zaGFwZXhtbC54bWxQSwUGAAAAAAYABgBbAQAA&#10;tAMAAAAA&#10;" path="m0,527l454,0e">
                  <v:path o:connectlocs="0,3604;454,3077;454,3077" o:connectangles="0,0,0"/>
                  <v:fill on="f" focussize="0,0"/>
                  <v:stroke weight="0.0118897637795276pt" color="#000000" joinstyle="round"/>
                  <v:imagedata o:title=""/>
                  <o:lock v:ext="edit" aspectratio="f"/>
                </v:shape>
                <v:shape id="Freeform 292" o:spid="_x0000_s1026" o:spt="100" style="position:absolute;left:7129;top:3141;height:463;width:398;" filled="f" stroked="t" coordsize="398,463" o:gfxdata="UEsDBAoAAAAAAIdO4kAAAAAAAAAAAAAAAAAEAAAAZHJzL1BLAwQUAAAACACHTuJAdhFGy7oAAADc&#10;AAAADwAAAGRycy9kb3ducmV2LnhtbEVP24rCMBB9X/Afwgi+ralixe0aBQVB2CerHzAkY9rdZlKa&#10;WC9fbxYE3+ZwrrNc31wjeupC7VnBZJyBINbe1GwVnI67zwWIEJENNp5JwZ0CrFeDjyUWxl/5QH0Z&#10;rUghHApUUMXYFlIGXZHDMPYtceLOvnMYE+ysNB1eU7hr5DTL5tJhzamhwpa2Fem/8uIUtOXD5edp&#10;2Mn892e++bJ601ut1Gg4yb5BRLrFt/jl3ps0P5/B/zPpArl6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2EUbLugAAANwA&#10;AAAPAAAAAAAAAAEAIAAAACIAAABkcnMvZG93bnJldi54bWxQSwECFAAUAAAACACHTuJAMy8FnjsA&#10;AAA5AAAAEAAAAAAAAAABACAAAAAJAQAAZHJzL3NoYXBleG1sLnhtbFBLBQYAAAAABgAGAFsBAACz&#10;AwAAAAA=&#10;" path="m0,462l398,0e">
                  <v:path o:connectlocs="0,3604;398,3142;398,3142" o:connectangles="0,0,0"/>
                  <v:fill on="f" focussize="0,0"/>
                  <v:stroke weight="0.0118897637795276pt" color="#000000" joinstyle="round"/>
                  <v:imagedata o:title=""/>
                  <o:lock v:ext="edit" aspectratio="f"/>
                </v:shape>
                <v:shape id="Picture 291" o:spid="_x0000_s1026" o:spt="75" type="#_x0000_t75" style="position:absolute;left:7201;top:3206;height:398;width:446;" filled="f" o:preferrelative="t" stroked="f" coordsize="21600,21600" o:gfxdata="UEsDBAoAAAAAAIdO4kAAAAAAAAAAAAAAAAAEAAAAZHJzL1BLAwQUAAAACACHTuJAgf5Yk7oAAADc&#10;AAAADwAAAGRycy9kb3ducmV2LnhtbEVPTWuDQBC9F/Iflgn01qwG1GJdJQgJPbZaeh7ciUrcWXE3&#10;ie2v7xYKvc3jfU5RrWYSN1rcaFlBvItAEHdWj9wr+GiPT88gnEfWOFkmBV/koCo3DwXm2t75nW6N&#10;70UIYZejgsH7OZfSdQMZdDs7EwfubBeDPsCll3rBewg3k9xHUSoNjhwaBpypHqi7NFejoDZZdnaH&#10;5pPi9G3t/altm+xbqcdtHL2A8LT6f/Gf+1WH+UkCv8+EC2T5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B/liTugAAANwA&#10;AAAPAAAAAAAAAAEAIAAAACIAAABkcnMvZG93bnJldi54bWxQSwECFAAUAAAACACHTuJAMy8FnjsA&#10;AAA5AAAAEAAAAAAAAAABACAAAAAJAQAAZHJzL3NoYXBleG1sLnhtbFBLBQYAAAAABgAGAFsBAACz&#10;AwAAAAA=&#10;">
                  <v:fill on="f" focussize="0,0"/>
                  <v:stroke on="f"/>
                  <v:imagedata r:id="rId55" o:title=""/>
                  <o:lock v:ext="edit" aspectratio="t"/>
                </v:shape>
                <v:shape id="Picture 290" o:spid="_x0000_s1026" o:spt="75" type="#_x0000_t75" style="position:absolute;left:5394;top:1607;height:366;width:315;" filled="f" o:preferrelative="t" stroked="f" coordsize="21600,21600" o:gfxdata="UEsDBAoAAAAAAIdO4kAAAAAAAAAAAAAAAAAEAAAAZHJzL1BLAwQUAAAACACHTuJADkKK6L0AAADc&#10;AAAADwAAAGRycy9kb3ducmV2LnhtbEVPTWuDQBC9B/oflin0EpLV0kgx2XgotdRcQrTgdXCnKnFn&#10;xd0m9t93C4Hc5vE+Z5fNZhAXmlxvWUG8jkAQN1b33Cr4qvLVKwjnkTUOlknBLznI9g+LHabaXvlE&#10;l9K3IoSwS1FB5/2YSumajgy6tR2JA/dtJ4M+wKmVesJrCDeDfI6iRBrsOTR0ONJbR825/DEKquPH&#10;e5GX47E68PmlWA51butaqafHONqC8DT7u/jm/tRh/iaB/2fCBXL/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OQorovQAA&#10;ANwAAAAPAAAAAAAAAAEAIAAAACIAAABkcnMvZG93bnJldi54bWxQSwECFAAUAAAACACHTuJAMy8F&#10;njsAAAA5AAAAEAAAAAAAAAABACAAAAAMAQAAZHJzL3NoYXBleG1sLnhtbFBLBQYAAAAABgAGAFsB&#10;AAC2AwAAAAA=&#10;">
                  <v:fill on="f" focussize="0,0"/>
                  <v:stroke on="f"/>
                  <v:imagedata r:id="rId56" o:title=""/>
                  <o:lock v:ext="edit" aspectratio="t"/>
                </v:shape>
                <v:shape id="Freeform 289" o:spid="_x0000_s1026" o:spt="100" style="position:absolute;left:5394;top:1607;height:451;width:388;" filled="f" stroked="t" coordsize="388,451" o:gfxdata="UEsDBAoAAAAAAIdO4kAAAAAAAAAAAAAAAAAEAAAAZHJzL1BLAwQUAAAACACHTuJAZFV5670AAADc&#10;AAAADwAAAGRycy9kb3ducmV2LnhtbEVPTWvCQBC9F/oflhG81U0EbYlZPUgLRaHQpEJzG7Jjspid&#10;DdlVY3+9Wyj0No/3OflmtJ240OCNYwXpLAFBXDttuFHwVb49vYDwAVlj55gU3MjDZv34kGOm3ZU/&#10;6VKERsQQ9hkqaEPoMyl93ZJFP3M9ceSObrAYIhwaqQe8xnDbyXmSLKVFw7GhxZ62LdWn4mwV6LQw&#10;h+LnsNPH1+9yL9PKfMwrpaaTNFmBCDSGf/Gf+13H+Ytn+H0mXiDX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kVXnrvQAA&#10;ANwAAAAPAAAAAAAAAAEAIAAAACIAAABkcnMvZG93bnJldi54bWxQSwECFAAUAAAACACHTuJAMy8F&#10;njsAAAA5AAAAEAAAAAAAAAABACAAAAAMAQAAZHJzL3NoYXBleG1sLnhtbFBLBQYAAAAABgAGAFsB&#10;AAC2AwAAAAA=&#10;" path="m0,451l388,0e">
                  <v:path o:connectlocs="0,2058;388,1607;388,1607" o:connectangles="0,0,0"/>
                  <v:fill on="f" focussize="0,0"/>
                  <v:stroke weight="0.0118897637795276pt" color="#000000" joinstyle="round"/>
                  <v:imagedata o:title=""/>
                  <o:lock v:ext="edit" aspectratio="f"/>
                </v:shape>
                <v:shape id="Freeform 288" o:spid="_x0000_s1026" o:spt="100" style="position:absolute;left:5394;top:1607;height:536;width:461;" filled="f" stroked="t" coordsize="461,536" o:gfxdata="UEsDBAoAAAAAAIdO4kAAAAAAAAAAAAAAAAAEAAAAZHJzL1BLAwQUAAAACACHTuJAOPyGoL8AAADc&#10;AAAADwAAAGRycy9kb3ducmV2LnhtbEWPQWvCQBCF7wX/wzIFL0V3lbaY1NWDVBCxB2Oh1yE7JqHZ&#10;2ZDdRv33zqHgbYb35r1vluurb9VAfWwCW5hNDSjiMriGKwvfp+1kASomZIdtYLJwowjr1ehpibkL&#10;Fz7SUKRKSQjHHC3UKXW51rGsyWOcho5YtHPoPSZZ+0q7Hi8S7ls9N+Zde2xYGmrsaFNT+Vv8eQvH&#10;F3cYXLbPvvTrrfgxpyY7fxbWjp9n5gNUomt6mP+vd07w34RWnpEJ9Oo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j8hqC/&#10;AAAA3AAAAA8AAAAAAAAAAQAgAAAAIgAAAGRycy9kb3ducmV2LnhtbFBLAQIUABQAAAAIAIdO4kAz&#10;LwWeOwAAADkAAAAQAAAAAAAAAAEAIAAAAA4BAABkcnMvc2hhcGV4bWwueG1sUEsFBgAAAAAGAAYA&#10;WwEAALgDAAAAAA==&#10;" path="m0,535l398,73,461,0e">
                  <v:path o:connectlocs="0,2142;398,1680;461,1607;461,1607" o:connectangles="0,0,0,0"/>
                  <v:fill on="f" focussize="0,0"/>
                  <v:stroke weight="0.0118897637795276pt" color="#000000" joinstyle="round"/>
                  <v:imagedata o:title=""/>
                  <o:lock v:ext="edit" aspectratio="f"/>
                </v:shape>
                <v:shape id="Freeform 287" o:spid="_x0000_s1026" o:spt="100" style="position:absolute;left:5394;top:1607;height:621;width:534;" filled="f" stroked="t" coordsize="534,621" o:gfxdata="UEsDBAoAAAAAAIdO4kAAAAAAAAAAAAAAAAAEAAAAZHJzL1BLAwQUAAAACACHTuJA/1pKnLgAAADc&#10;AAAADwAAAGRycy9kb3ducmV2LnhtbEVP24rCMBB9F/yHMMK+aeqCrq1GKYLS17p+wNCMTWkzKU28&#10;7ddvBMG3OZzrbHYP24kbDb5xrGA+S0AQV043XCs4/x6mKxA+IGvsHJOCJ3nYbcejDWba3bmk2ynU&#10;Ioawz1CBCaHPpPSVIYt+5nriyF3cYDFEONRSD3iP4baT30mylBYbjg0Ge9obqtrT1SrAv/T6LI5l&#10;1RS5Tg+lafP8p1XqazJP1iACPcJH/HYXOs5fpPB6Jl4gt/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1pKnLgAAADcAAAA&#10;DwAAAAAAAAABACAAAAAiAAAAZHJzL2Rvd25yZXYueG1sUEsBAhQAFAAAAAgAh07iQDMvBZ47AAAA&#10;OQAAABAAAAAAAAAAAQAgAAAABwEAAGRycy9zaGFwZXhtbC54bWxQSwUGAAAAAAYABgBbAQAAsQMA&#10;AAAA&#10;" path="m0,620l398,158,534,0e">
                  <v:path o:connectlocs="0,2227;398,1765;534,1607;534,1607" o:connectangles="0,0,0,0"/>
                  <v:fill on="f" focussize="0,0"/>
                  <v:stroke weight="0.0118897637795276pt" color="#000000" joinstyle="round"/>
                  <v:imagedata o:title=""/>
                  <o:lock v:ext="edit" aspectratio="f"/>
                </v:shape>
                <v:shape id="Freeform 286" o:spid="_x0000_s1026" o:spt="100" style="position:absolute;left:5394;top:1607;height:706;width:607;" filled="f" stroked="t" coordsize="607,706" o:gfxdata="UEsDBAoAAAAAAIdO4kAAAAAAAAAAAAAAAAAEAAAAZHJzL1BLAwQUAAAACACHTuJAY8XLxcAAAADc&#10;AAAADwAAAGRycy9kb3ducmV2LnhtbEWPT2vCQBDF7wW/wzJCL0U3ahFJXT34B3oQSlUIvQ3ZaTY0&#10;Oxuzq9Fv3zkUepvhvXnvN8v13TfqRl2sAxuYjDNQxGWwNVcGzqf9aAEqJmSLTWAy8KAI69XgaYm5&#10;DT1/0u2YKiUhHHM04FJqc61j6chjHIeWWLTv0HlMsnaVth32Eu4bPc2yufZYszQ4bGnjqPw5Xr2B&#10;l9mld9vD1+vpY+dnhb4WSdeFMc/DSfYGKtE9/Zv/rt+t4M8FX56RCfTqF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jxcvF&#10;wAAAANwAAAAPAAAAAAAAAAEAIAAAACIAAABkcnMvZG93bnJldi54bWxQSwECFAAUAAAACACHTuJA&#10;My8FnjsAAAA5AAAAEAAAAAAAAAABACAAAAAPAQAAZHJzL3NoYXBleG1sLnhtbFBLBQYAAAAABgAG&#10;AFsBAAC5AwAAAAA=&#10;" path="m0,705l398,242,607,0e">
                  <v:path o:connectlocs="0,2312;398,1849;607,1607;607,1607" o:connectangles="0,0,0,0"/>
                  <v:fill on="f" focussize="0,0"/>
                  <v:stroke weight="0.0118897637795276pt" color="#000000" joinstyle="round"/>
                  <v:imagedata o:title=""/>
                  <o:lock v:ext="edit" aspectratio="f"/>
                </v:shape>
                <v:shape id="Freeform 285" o:spid="_x0000_s1026" o:spt="100" style="position:absolute;left:5394;top:1607;height:790;width:680;" filled="f" stroked="t" coordsize="680,790" o:gfxdata="UEsDBAoAAAAAAIdO4kAAAAAAAAAAAAAAAAAEAAAAZHJzL1BLAwQUAAAACACHTuJAk6loSb4AAADc&#10;AAAADwAAAGRycy9kb3ducmV2LnhtbEVPO2vDMBDeC/kP4gJZSiM5gylOFA8NgQzNUDcPsl2ti+3G&#10;OhlLddx/XxUK3e7je94qH20rBup941hDMlcgiEtnGq40HN63T88gfEA22DomDd/kIV9PHlaYGXfn&#10;NxqKUIkYwj5DDXUIXSalL2uy6OeuI47c1fUWQ4R9JU2P9xhuW7lQKpUWG44NNXb0UlN5K76shnBq&#10;k/1BfVaP9vVyLccNLz6OZ61n00QtQQQaw7/4z70zcX6awO8z8QK5/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6loSb4A&#10;AADcAAAADwAAAAAAAAABACAAAAAiAAAAZHJzL2Rvd25yZXYueG1sUEsBAhQAFAAAAAgAh07iQDMv&#10;BZ47AAAAOQAAABAAAAAAAAAAAQAgAAAADQEAAGRycy9zaGFwZXhtbC54bWxQSwUGAAAAAAYABgBb&#10;AQAAtwMAAAAA&#10;" path="m0,790l398,327,680,0e">
                  <v:path o:connectlocs="0,2397;398,1934;680,1607;680,1607" o:connectangles="0,0,0,0"/>
                  <v:fill on="f" focussize="0,0"/>
                  <v:stroke weight="0.0118897637795276pt" color="#000000" joinstyle="round"/>
                  <v:imagedata o:title=""/>
                  <o:lock v:ext="edit" aspectratio="f"/>
                </v:shape>
                <v:shape id="Freeform 284" o:spid="_x0000_s1026" o:spt="100" style="position:absolute;left:5394;top:1607;height:875;width:753;" filled="f" stroked="t" coordsize="753,875" o:gfxdata="UEsDBAoAAAAAAIdO4kAAAAAAAAAAAAAAAAAEAAAAZHJzL1BLAwQUAAAACACHTuJA1GEbGLwAAADc&#10;AAAADwAAAGRycy9kb3ducmV2LnhtbEVPPWvDMBDdC/0P4grdGiluMKljOZRCIB0y1DGdL9bFNrFO&#10;xpKd5N9XhUK3e7zPy7c324uZRt851rBcKBDEtTMdNxqq4+5lDcIHZIO9Y9JwJw/b4vEhx8y4K3/R&#10;XIZGxBD2GWpoQxgyKX3dkkW/cANx5M5utBgiHBtpRrzGcNvLRKlUWuw4NrQ40EdL9aWcrAb1XiXu&#10;/jp9n9KVLFF9vh0rddD6+WmpNiAC3cK/+M+9N3F+msDvM/ECWfw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RhGxi8AAAA&#10;3AAAAA8AAAAAAAAAAQAgAAAAIgAAAGRycy9kb3ducmV2LnhtbFBLAQIUABQAAAAIAIdO4kAzLwWe&#10;OwAAADkAAAAQAAAAAAAAAAEAIAAAAAsBAABkcnMvc2hhcGV4bWwueG1sUEsFBgAAAAAGAAYAWwEA&#10;ALUDAAAAAA==&#10;" path="m0,875l398,412,753,0e">
                  <v:path o:connectlocs="0,2482;398,2019;753,1607;753,1607" o:connectangles="0,0,0,0"/>
                  <v:fill on="f" focussize="0,0"/>
                  <v:stroke weight="0.0118897637795276pt" color="#000000" joinstyle="round"/>
                  <v:imagedata o:title=""/>
                  <o:lock v:ext="edit" aspectratio="f"/>
                </v:shape>
                <v:shape id="Freeform 283" o:spid="_x0000_s1026" o:spt="100" style="position:absolute;left:5394;top:1641;height:926;width:797;" filled="f" stroked="t" coordsize="797,926" o:gfxdata="UEsDBAoAAAAAAIdO4kAAAAAAAAAAAAAAAAAEAAAAZHJzL1BLAwQUAAAACACHTuJAaKJJ3rwAAADc&#10;AAAADwAAAGRycy9kb3ducmV2LnhtbEVPS4vCMBC+C/6HMII3Ta2suF2jiCCIB2GrHvY2NLNtaTMp&#10;SXz++s2C4G0+vucsVnfTiis5X1tWMBknIIgLq2suFZyO29EchA/IGlvLpOBBHlbLfm+BmbY3/qZr&#10;HkoRQ9hnqKAKocuk9EVFBv3YdsSR+7XOYIjQlVI7vMVw08o0SWbSYM2xocKONhUVTX4xCs5p85Me&#10;GjndPz/c7mQP+edxXSs1HEySLxCB7uEtfrl3Os6fTeH/mXiBXP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iiSd68AAAA&#10;3AAAAA8AAAAAAAAAAQAgAAAAIgAAAGRycy9kb3ducmV2LnhtbFBLAQIUABQAAAAIAIdO4kAzLwWe&#10;OwAAADkAAAAQAAAAAAAAAAEAIAAAAAsBAABkcnMvc2hhcGV4bWwueG1sUEsFBgAAAAAGAAYAWwEA&#10;ALUDAAAAAA==&#10;" path="m0,926l398,463,796,0,797,0e">
                  <v:path o:connectlocs="0,2567;398,2104;796,1641;797,1641" o:connectangles="0,0,0,0"/>
                  <v:fill on="f" focussize="0,0"/>
                  <v:stroke weight="0.0118897637795276pt" color="#000000" joinstyle="round"/>
                  <v:imagedata o:title=""/>
                  <o:lock v:ext="edit" aspectratio="f"/>
                </v:shape>
                <v:shape id="Freeform 282" o:spid="_x0000_s1026" o:spt="100" style="position:absolute;left:5394;top:1726;height:926;width:797;" filled="f" stroked="t" coordsize="797,926" o:gfxdata="UEsDBAoAAAAAAIdO4kAAAAAAAAAAAAAAAAAEAAAAZHJzL1BLAwQUAAAACACHTuJA50vRqr0AAADc&#10;AAAADwAAAGRycy9kb3ducmV2LnhtbEVPS4vCMBC+L/gfwgh7W1PrKlqNIoIgexCs7sHb0IxtaTMp&#10;SXzs/vqNIOxtPr7nLFYP04obOV9bVjAcJCCIC6trLhWcjtuPKQgfkDW2lknBD3lYLXtvC8y0vfOB&#10;bnkoRQxhn6GCKoQuk9IXFRn0A9sRR+5incEQoSuldniP4aaVaZJMpMGaY0OFHW0qKpr8ahR8p805&#10;3Tdy9PU7druT3eez47pW6r0/TOYgAj3Cv/jl3uk4f/IJz2fiBXL5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nS9GqvQAA&#10;ANwAAAAPAAAAAAAAAAEAIAAAACIAAABkcnMvZG93bnJldi54bWxQSwECFAAUAAAACACHTuJAMy8F&#10;njsAAAA5AAAAEAAAAAAAAAABACAAAAAMAQAAZHJzL3NoYXBleG1sLnhtbFBLBQYAAAAABgAGAFsB&#10;AAC2AwAAAAA=&#10;" path="m0,925l398,463,796,0,797,0e">
                  <v:path o:connectlocs="0,2651;398,2189;796,1726;797,1726" o:connectangles="0,0,0,0"/>
                  <v:fill on="f" focussize="0,0"/>
                  <v:stroke weight="0.0118897637795276pt" color="#000000" joinstyle="round"/>
                  <v:imagedata o:title=""/>
                  <o:lock v:ext="edit" aspectratio="f"/>
                </v:shape>
                <v:shape id="Freeform 281" o:spid="_x0000_s1026" o:spt="100" style="position:absolute;left:5394;top:1810;height:926;width:797;" filled="f" stroked="t" coordsize="797,926" o:gfxdata="UEsDBAoAAAAAAIdO4kAAAAAAAAAAAAAAAAAEAAAAZHJzL1BLAwQUAAAACACHTuJAiAd0MbwAAADc&#10;AAAADwAAAGRycy9kb3ducmV2LnhtbEVPS4vCMBC+C/6HMMLeNLWLotUoy4IgexCsevA2NGNb2kxK&#10;Eh/rrzfCwt7m43vOcv0wrbiR87VlBeNRAoK4sLrmUsHxsBnOQPiArLG1TAp+ycN61e8tMdP2znu6&#10;5aEUMYR9hgqqELpMSl9UZNCPbEccuYt1BkOErpTa4T2Gm1amSTKVBmuODRV29F1R0eRXo+CUNud0&#10;18jPn+fEbY92l88PX7VSH4NxsgAR6BH+xX/urY7zpxN4PxMvkKs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gHdDG8AAAA&#10;3AAAAA8AAAAAAAAAAQAgAAAAIgAAAGRycy9kb3ducmV2LnhtbFBLAQIUABQAAAAIAIdO4kAzLwWe&#10;OwAAADkAAAAQAAAAAAAAAAEAIAAAAAsBAABkcnMvc2hhcGV4bWwueG1sUEsFBgAAAAAGAAYAWwEA&#10;ALUDAAAAAA==&#10;" path="m0,926l398,463,796,0,797,0e">
                  <v:path o:connectlocs="0,2737;398,2274;796,1811;797,1811" o:connectangles="0,0,0,0"/>
                  <v:fill on="f" focussize="0,0"/>
                  <v:stroke weight="0.0118897637795276pt" color="#000000" joinstyle="round"/>
                  <v:imagedata o:title=""/>
                  <o:lock v:ext="edit" aspectratio="f"/>
                </v:shape>
                <v:shape id="Freeform 280" o:spid="_x0000_s1026" o:spt="100" style="position:absolute;left:5394;top:1895;height:926;width:797;" filled="f" stroked="t" coordsize="797,926" o:gfxdata="UEsDBAoAAAAAAIdO4kAAAAAAAAAAAAAAAAAEAAAAZHJzL1BLAwQUAAAACACHTuJAeNXqRrwAAADc&#10;AAAADwAAAGRycy9kb3ducmV2LnhtbEVPS4vCMBC+L/gfwgje1tTKFq1GkQVBPAhb9eBtaMa2tJmU&#10;JOvr128WFvY2H99zluuH6cSNnG8sK5iMExDEpdUNVwpOx+37DIQPyBo7y6TgSR7Wq8HbEnNt7/xF&#10;tyJUIoawz1FBHUKfS+nLmgz6se2JI3e1zmCI0FVSO7zHcNPJNEkyabDh2FBjT581lW3xbRSc0/aS&#10;Hlo53b8+3O5kD8X8uGmUGg0nyQJEoEf4F/+5dzrOzzL4fSZeIF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jV6ka8AAAA&#10;3AAAAA8AAAAAAAAAAQAgAAAAIgAAAGRycy9kb3ducmV2LnhtbFBLAQIUABQAAAAIAIdO4kAzLwWe&#10;OwAAADkAAAAQAAAAAAAAAAEAIAAAAAsBAABkcnMvc2hhcGV4bWwueG1sUEsFBgAAAAAGAAYAWwEA&#10;ALUDAAAAAA==&#10;" path="m0,925l398,462,796,0,797,0e">
                  <v:path o:connectlocs="0,2821;398,2358;796,1896;797,1896" o:connectangles="0,0,0,0"/>
                  <v:fill on="f" focussize="0,0"/>
                  <v:stroke weight="0.0118897637795276pt" color="#000000" joinstyle="round"/>
                  <v:imagedata o:title=""/>
                  <o:lock v:ext="edit" aspectratio="f"/>
                </v:shape>
                <v:shape id="Freeform 279" o:spid="_x0000_s1026" o:spt="100" style="position:absolute;left:5394;top:1980;height:926;width:797;" filled="f" stroked="t" coordsize="797,926" o:gfxdata="UEsDBAoAAAAAAIdO4kAAAAAAAAAAAAAAAAAEAAAAZHJzL1BLAwQUAAAACACHTuJAF5lP3b0AAADc&#10;AAAADwAAAGRycy9kb3ducmV2LnhtbEVPTWvCQBC9C/0PyxS86cZIrcasUgqC9CA06sHbkB2TkOxs&#10;2F2N7a/vFgq9zeN9Tr59mE7cyfnGsoLZNAFBXFrdcKXgdNxNliB8QNbYWSYFX+Rhu3ka5ZhpO/An&#10;3YtQiRjCPkMFdQh9JqUvazLop7YnjtzVOoMhQldJ7XCI4aaTaZIspMGGY0ONPb3XVLbFzSg4p+0l&#10;PbRy/vH94vYneyhWx7dGqfHzLFmDCPQI/+I/917H+YtX+H0mXiA3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XmU/dvQAA&#10;ANwAAAAPAAAAAAAAAAEAIAAAACIAAABkcnMvZG93bnJldi54bWxQSwECFAAUAAAACACHTuJAMy8F&#10;njsAAAA5AAAAEAAAAAAAAAABACAAAAAMAQAAZHJzL3NoYXBleG1sLnhtbFBLBQYAAAAABgAGAFsB&#10;AAC2AwAAAAA=&#10;" path="m0,925l398,462,796,0,797,0e">
                  <v:path o:connectlocs="0,2906;398,2443;796,1981;797,1981" o:connectangles="0,0,0,0"/>
                  <v:fill on="f" focussize="0,0"/>
                  <v:stroke weight="0.0118897637795276pt" color="#000000" joinstyle="round"/>
                  <v:imagedata o:title=""/>
                  <o:lock v:ext="edit" aspectratio="f"/>
                </v:shape>
                <v:shape id="Freeform 278" o:spid="_x0000_s1026" o:spt="100" style="position:absolute;left:5394;top:2065;height:926;width:797;" filled="f" stroked="t" coordsize="797,926" o:gfxdata="UEsDBAoAAAAAAIdO4kAAAAAAAAAAAAAAAAAEAAAAZHJzL1BLAwQUAAAACACHTuJAZgbbr8AAAADc&#10;AAAADwAAAGRycy9kb3ducmV2LnhtbEWPQWvCQBCF74L/YRmhN92YUtHoKqVQkB6ERj14G7JjEpKd&#10;Dbtbtf31nUOhtxnem/e+2ewerlc3CrH1bGA+y0ARV962XBs4Hd+nS1AxIVvsPZOBb4qw245HGyys&#10;v/Mn3cpUKwnhWKCBJqWh0DpWDTmMMz8Qi3b1wWGSNdTaBrxLuOt1nmUL7bBlaWhwoLeGqq78cgbO&#10;eXfJD51+/vh5CfuTP5Sr42trzNNknq1BJXqkf/Pf9d4K/kJo5RmZQG9/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mBtuv&#10;wAAAANwAAAAPAAAAAAAAAAEAIAAAACIAAABkcnMvZG93bnJldi54bWxQSwECFAAUAAAACACHTuJA&#10;My8FnjsAAAA5AAAAEAAAAAAAAAABACAAAAAPAQAAZHJzL3NoYXBleG1sLnhtbFBLBQYAAAAABgAG&#10;AFsBAAC5AwAAAAA=&#10;" path="m0,926l398,463,796,0,797,0e">
                  <v:path o:connectlocs="0,2991;398,2528;796,2065;797,2065" o:connectangles="0,0,0,0"/>
                  <v:fill on="f" focussize="0,0"/>
                  <v:stroke weight="0.0118897637795276pt" color="#000000" joinstyle="round"/>
                  <v:imagedata o:title=""/>
                  <o:lock v:ext="edit" aspectratio="f"/>
                </v:shape>
                <v:shape id="Freeform 277" o:spid="_x0000_s1026" o:spt="100" style="position:absolute;left:5394;top:2150;height:926;width:797;" filled="f" stroked="t" coordsize="797,926" o:gfxdata="UEsDBAoAAAAAAIdO4kAAAAAAAAAAAAAAAAAEAAAAZHJzL1BLAwQUAAAACACHTuJACUp+NLwAAADc&#10;AAAADwAAAGRycy9kb3ducmV2LnhtbEVPS4vCMBC+C/sfwgh709SKol2jLIIgHoStetjb0IxtaTMp&#10;SXysv94sCN7m43vOYnU3rbiS87VlBaNhAoK4sLrmUsHxsBnMQPiArLG1TAr+yMNq+dFbYKbtjX/o&#10;modSxBD2GSqoQugyKX1RkUE/tB1x5M7WGQwRulJqh7cYblqZJslUGqw5NlTY0bqioskvRsEpbX7T&#10;fSPHu8fEbY92n88P37VSn/1R8gUi0D28xS/3Vsf50zn8PxMvkMs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lKfjS8AAAA&#10;3AAAAA8AAAAAAAAAAQAgAAAAIgAAAGRycy9kb3ducmV2LnhtbFBLAQIUABQAAAAIAIdO4kAzLwWe&#10;OwAAADkAAAAQAAAAAAAAAAEAIAAAAAsBAABkcnMvc2hhcGV4bWwueG1sUEsFBgAAAAAGAAYAWwEA&#10;ALUDAAAAAA==&#10;" path="m0,926l398,463,796,0,797,0e">
                  <v:path o:connectlocs="0,3076;398,2613;796,2150;797,2150" o:connectangles="0,0,0,0"/>
                  <v:fill on="f" focussize="0,0"/>
                  <v:stroke weight="0.0118897637795276pt" color="#000000" joinstyle="round"/>
                  <v:imagedata o:title=""/>
                  <o:lock v:ext="edit" aspectratio="f"/>
                </v:shape>
                <v:shape id="Freeform 276" o:spid="_x0000_s1026" o:spt="100" style="position:absolute;left:5394;top:2235;height:926;width:797;" filled="f" stroked="t" coordsize="797,926" o:gfxdata="UEsDBAoAAAAAAIdO4kAAAAAAAAAAAAAAAAAEAAAAZHJzL1BLAwQUAAAACACHTuJAHalBdMEAAADc&#10;AAAADwAAAGRycy9kb3ducmV2LnhtbEWPT2vCQBDF74V+h2WE3urGFFuNrlKEgvQgNNqDtyE7JiHZ&#10;2bC7/mk/vXMo9DbDe/Peb5brm+vVhUJsPRuYjDNQxJW3LdcGDvuP5xmomJAt9p7JwA9FWK8eH5ZY&#10;WH/lL7qUqVYSwrFAA01KQ6F1rBpyGMd+IBbt5IPDJGuotQ14lXDX6zzLXrXDlqWhwYE2DVVdeXYG&#10;vvPumO86/fL5Ow3bg9+V8/17a8zTaJItQCW6pX/z3/XWCv6b4MszMoFe3Q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HalB&#10;dMEAAADcAAAADwAAAAAAAAABACAAAAAiAAAAZHJzL2Rvd25yZXYueG1sUEsBAhQAFAAAAAgAh07i&#10;QDMvBZ47AAAAOQAAABAAAAAAAAAAAQAgAAAAEAEAAGRycy9zaGFwZXhtbC54bWxQSwUGAAAAAAYA&#10;BgBbAQAAugMAAAAA&#10;" path="m0,926l398,463,796,0,797,0e">
                  <v:path o:connectlocs="0,3161;398,2698;796,2235;797,2235" o:connectangles="0,0,0,0"/>
                  <v:fill on="f" focussize="0,0"/>
                  <v:stroke weight="0.0118897637795276pt" color="#000000" joinstyle="round"/>
                  <v:imagedata o:title=""/>
                  <o:lock v:ext="edit" aspectratio="f"/>
                </v:shape>
                <v:shape id="Freeform 275" o:spid="_x0000_s1026" o:spt="100" style="position:absolute;left:5394;top:2320;height:926;width:797;" filled="f" stroked="t" coordsize="797,926" o:gfxdata="UEsDBAoAAAAAAIdO4kAAAAAAAAAAAAAAAAAEAAAAZHJzL1BLAwQUAAAACACHTuJAcuXk770AAADc&#10;AAAADwAAAGRycy9kb3ducmV2LnhtbEVPS2vCQBC+F/wPywi91U0irRpdRQRBehAa9eBtyI5JSHY2&#10;7K6P9td3CwVv8/E9Z7F6mE7cyPnGsoJ0lIAgLq1uuFJwPGzfpiB8QNbYWSYF3+RhtRy8LDDX9s5f&#10;dCtCJWII+xwV1CH0uZS+rMmgH9meOHIX6wyGCF0ltcN7DDedzJLkQxpsODbU2NOmprItrkbBKWvP&#10;2b6V48+fd7c72n0xO6wbpV6HaTIHEegRnuJ/907H+ZMU/p6JF8jl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5eTvvQAA&#10;ANwAAAAPAAAAAAAAAAEAIAAAACIAAABkcnMvZG93bnJldi54bWxQSwECFAAUAAAACACHTuJAMy8F&#10;njsAAAA5AAAAEAAAAAAAAAABACAAAAAMAQAAZHJzL3NoYXBleG1sLnhtbFBLBQYAAAAABgAGAFsB&#10;AAC2AwAAAAA=&#10;" path="m0,925l398,463,796,0,797,0e">
                  <v:path o:connectlocs="0,3245;398,2783;796,2320;797,2320" o:connectangles="0,0,0,0"/>
                  <v:fill on="f" focussize="0,0"/>
                  <v:stroke weight="0.0118897637795276pt" color="#000000" joinstyle="round"/>
                  <v:imagedata o:title=""/>
                  <o:lock v:ext="edit" aspectratio="f"/>
                </v:shape>
                <v:shape id="Freeform 274" o:spid="_x0000_s1026" o:spt="100" style="position:absolute;left:5394;top:2404;height:926;width:797;" filled="f" stroked="t" coordsize="797,926" o:gfxdata="UEsDBAoAAAAAAIdO4kAAAAAAAAAAAAAAAAAEAAAAZHJzL1BLAwQUAAAACACHTuJAgjd6mL4AAADc&#10;AAAADwAAAGRycy9kb3ducmV2LnhtbEVPS2vCQBC+F/wPyxS81Y2RVk2zESkI0oPQqAdvQ3ZMQrKz&#10;YXfro7++Wyh4m4/vOfnqZnpxIedbywqmkwQEcWV1y7WCw37zsgDhA7LG3jIpuJOHVTF6yjHT9spf&#10;dClDLWII+wwVNCEMmZS+asign9iBOHJn6wyGCF0ttcNrDDe9TJPkTRpsOTY0ONBHQ1VXfhsFx7Q7&#10;pbtOzj5/Xt32YHflcr9ulRo/T5N3EIFu4SH+d291nD9P4e+ZeIEsf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jd6mL4A&#10;AADcAAAADwAAAAAAAAABACAAAAAiAAAAZHJzL2Rvd25yZXYueG1sUEsBAhQAFAAAAAgAh07iQDMv&#10;BZ47AAAAOQAAABAAAAAAAAAAAQAgAAAADQEAAGRycy9zaGFwZXhtbC54bWxQSwUGAAAAAAYABgBb&#10;AQAAtwMAAAAA&#10;" path="m0,925l398,463,796,0,797,0e">
                  <v:path o:connectlocs="0,3330;398,2868;796,2405;797,2405" o:connectangles="0,0,0,0"/>
                  <v:fill on="f" focussize="0,0"/>
                  <v:stroke weight="0.0118897637795276pt" color="#000000" joinstyle="round"/>
                  <v:imagedata o:title=""/>
                  <o:lock v:ext="edit" aspectratio="f"/>
                </v:shape>
                <v:shape id="Freeform 273" o:spid="_x0000_s1026" o:spt="100" style="position:absolute;left:5435;top:2489;height:878;width:755;" filled="f" stroked="t" coordsize="755,878" o:gfxdata="UEsDBAoAAAAAAIdO4kAAAAAAAAAAAAAAAAAEAAAAZHJzL1BLAwQUAAAACACHTuJAEVvuT7wAAADc&#10;AAAADwAAAGRycy9kb3ducmV2LnhtbEVPS4vCMBC+C/sfwgheRFMVVKpRWFHxsqCuyB5nm+kDm0lt&#10;onX/vRGEvc3H95z58mFKcafaFZYVDPoRCOLE6oIzBafvTW8KwnlkjaVlUvBHDpaLj9YcY20bPtD9&#10;6DMRQtjFqCD3voqldElOBl3fVsSBS21t0AdYZ1LX2IRwU8phFI2lwYJDQ44VrXJKLsebUXDefZbX&#10;dJ1OMm4u3a9td/i7/zFKddqDaAbC08P/i9/unQ7zJyN4PRMukIs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Fb7k+8AAAA&#10;3AAAAA8AAAAAAAAAAQAgAAAAIgAAAGRycy9kb3ducmV2LnhtbFBLAQIUABQAAAAIAIdO4kAzLwWe&#10;OwAAADkAAAAQAAAAAAAAAAEAIAAAAAsBAABkcnMvc2hhcGV4bWwueG1sUEsFBgAAAAAGAAYAWwEA&#10;ALUDAAAAAA==&#10;" path="m0,877l356,462,754,0,755,0e">
                  <v:path o:connectlocs="0,3367;356,2952;754,2490;755,2490" o:connectangles="0,0,0,0"/>
                  <v:fill on="f" focussize="0,0"/>
                  <v:stroke weight="0.0118897637795276pt" color="#000000" joinstyle="round"/>
                  <v:imagedata o:title=""/>
                  <o:lock v:ext="edit" aspectratio="f"/>
                </v:shape>
                <v:shape id="Freeform 272" o:spid="_x0000_s1026" o:spt="100" style="position:absolute;left:5508;top:2574;height:793;width:682;" filled="f" stroked="t" coordsize="682,793" o:gfxdata="UEsDBAoAAAAAAIdO4kAAAAAAAAAAAAAAAAAEAAAAZHJzL1BLAwQUAAAACACHTuJAC1TyabsAAADc&#10;AAAADwAAAGRycy9kb3ducmV2LnhtbEVPPW/CMBDdkfgP1iF1A4eIBhQwDJWCGNqhAfZTfMQR8TnE&#10;bkj/fV2pUrd7ep+3O4y2FQP1vnGsYLlIQBBXTjdcK7ici/kGhA/IGlvHpOCbPBz208kOc+2e/ElD&#10;GWoRQ9jnqMCE0OVS+sqQRb9wHXHkbq63GCLsa6l7fMZw28o0STJpseHYYLCjN0PVvfyyCnzaFtn1&#10;WPlXfDeny/UDi80jU+pltky2IAKN4V/85z7pOH+9gt9n4gVy/w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1TyabsAAADc&#10;AAAADwAAAAAAAAABACAAAAAiAAAAZHJzL2Rvd25yZXYueG1sUEsBAhQAFAAAAAgAh07iQDMvBZ47&#10;AAAAOQAAABAAAAAAAAAAAQAgAAAACgEAAGRycy9zaGFwZXhtbC54bWxQSwUGAAAAAAYABgBbAQAA&#10;tAMAAAAA&#10;" path="m0,792l283,462,681,0,682,0e">
                  <v:path o:connectlocs="0,3367;283,3037;681,2575;682,2575" o:connectangles="0,0,0,0"/>
                  <v:fill on="f" focussize="0,0"/>
                  <v:stroke weight="0.0118897637795276pt" color="#000000" joinstyle="round"/>
                  <v:imagedata o:title=""/>
                  <o:lock v:ext="edit" aspectratio="f"/>
                </v:shape>
                <v:shape id="Freeform 271" o:spid="_x0000_s1026" o:spt="100" style="position:absolute;left:5581;top:2659;height:708;width:609;" filled="f" stroked="t" coordsize="609,708" o:gfxdata="UEsDBAoAAAAAAIdO4kAAAAAAAAAAAAAAAAAEAAAAZHJzL1BLAwQUAAAACACHTuJATQBZ5rwAAADc&#10;AAAADwAAAGRycy9kb3ducmV2LnhtbEVPTWsCMRC9F/wPYQRvNatYLVujoK3Qi8Xa7n26mW4WN5M1&#10;ibr+e1MQepvH+5z5srONOJMPtWMFo2EGgrh0uuZKwffX5vEZRIjIGhvHpOBKAZaL3sMcc+0u/Enn&#10;faxECuGQowITY5tLGUpDFsPQtcSJ+3XeYkzQV1J7vKRw28hxlk2lxZpTg8GW1obKw/5kFTRm1m66&#10;0+5jO3n9eTusiuLqj4VSg/4oewERqYv/4rv7Xaf5syf4eyZdIBc3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0AWea8AAAA&#10;3AAAAA8AAAAAAAAAAQAgAAAAIgAAAGRycy9kb3ducmV2LnhtbFBLAQIUABQAAAAIAIdO4kAzLwWe&#10;OwAAADkAAAAQAAAAAAAAAAEAIAAAAAsBAABkcnMvc2hhcGV4bWwueG1sUEsFBgAAAAAGAAYAWwEA&#10;ALUDAAAAAA==&#10;" path="m0,708l210,463,608,0,609,0e">
                  <v:path o:connectlocs="0,3367;210,3122;608,2659;609,2659" o:connectangles="0,0,0,0"/>
                  <v:fill on="f" focussize="0,0"/>
                  <v:stroke weight="0.0118897637795276pt" color="#000000" joinstyle="round"/>
                  <v:imagedata o:title=""/>
                  <o:lock v:ext="edit" aspectratio="f"/>
                </v:shape>
                <v:shape id="Freeform 270" o:spid="_x0000_s1026" o:spt="100" style="position:absolute;left:5654;top:2744;height:624;width:537;" filled="f" stroked="t" coordsize="537,624" o:gfxdata="UEsDBAoAAAAAAIdO4kAAAAAAAAAAAAAAAAAEAAAAZHJzL1BLAwQUAAAACACHTuJANbvWFroAAADc&#10;AAAADwAAAGRycy9kb3ducmV2LnhtbEVPPW/CMBDdK/EfrEPq1jgwAAoYhlalHSEwMJ7iIw7Y5zR2&#10;CfTX10hIbPf0Pm+xujorLtSFxrOCUZaDIK68brhWsN99vs1AhIis0XomBTcKsFoOXhZYaN/zli5l&#10;rEUK4VCgAhNjW0gZKkMOQ+Zb4sQdfecwJtjVUnfYp3Bn5TjPJ9Jhw6nBYEvvhqpz+esU2NNOl9J8&#10;rONXc7C+/rH95s8q9Toc5XMQka7xKX64v3WaP53A/Zl0gVz+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1u9YWugAAANwA&#10;AAAPAAAAAAAAAAEAIAAAACIAAABkcnMvZG93bnJldi54bWxQSwECFAAUAAAACACHTuJAMy8FnjsA&#10;AAA5AAAAEAAAAAAAAAABACAAAAAJAQAAZHJzL3NoYXBleG1sLnhtbFBLBQYAAAAABgAGAFsBAACz&#10;AwAAAAA=&#10;" path="m0,623l137,463,535,0,536,0e">
                  <v:path o:connectlocs="0,3367;137,3207;535,2744;536,2744" o:connectangles="0,0,0,0"/>
                  <v:fill on="f" focussize="0,0"/>
                  <v:stroke weight="0.0118897637795276pt" color="#000000" joinstyle="round"/>
                  <v:imagedata o:title=""/>
                  <o:lock v:ext="edit" aspectratio="f"/>
                </v:shape>
                <v:shape id="Freeform 269" o:spid="_x0000_s1026" o:spt="100" style="position:absolute;left:5727;top:2829;height:539;width:464;" filled="f" stroked="t" coordsize="464,539" o:gfxdata="UEsDBAoAAAAAAIdO4kAAAAAAAAAAAAAAAAAEAAAAZHJzL1BLAwQUAAAACACHTuJAwUS2W7sAAADc&#10;AAAADwAAAGRycy9kb3ducmV2LnhtbEVPzWrCQBC+F/oOywi91U2kNiG6ehAKLcaD0QcYdsdNMDsb&#10;sutP374rCL3Nx/c7y/Xd9eJKY+g8K8inGQhi7U3HVsHx8PVegggR2WDvmRT8UoD16vVliZXxN97T&#10;tYlWpBAOFSpoYxwqKYNuyWGY+oE4cSc/OowJjlaaEW8p3PVylmWf0mHHqaHFgTYt6XNzcQo+dBPr&#10;prR5rbc1ynI3Nxv7o9TbJM8WICLd47/46f42aX5RwOOZdIFc/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US2W7sAAADc&#10;AAAADwAAAAAAAAABACAAAAAiAAAAZHJzL2Rvd25yZXYueG1sUEsBAhQAFAAAAAgAh07iQDMvBZ47&#10;AAAAOQAAABAAAAAAAAAAAQAgAAAACgEAAGRycy9zaGFwZXhtbC54bWxQSwUGAAAAAAYABgBbAQAA&#10;tAMAAAAA&#10;" path="m0,538l64,463,462,0,463,0e">
                  <v:path o:connectlocs="0,3367;64,3292;462,2829;463,2829" o:connectangles="0,0,0,0"/>
                  <v:fill on="f" focussize="0,0"/>
                  <v:stroke weight="0.0118897637795276pt" color="#000000" joinstyle="round"/>
                  <v:imagedata o:title=""/>
                  <o:lock v:ext="edit" aspectratio="f"/>
                </v:shape>
                <v:shape id="Freeform 268" o:spid="_x0000_s1026" o:spt="100" style="position:absolute;left:5800;top:2913;height:454;width:391;" filled="f" stroked="t" coordsize="391,454" o:gfxdata="UEsDBAoAAAAAAIdO4kAAAAAAAAAAAAAAAAAEAAAAZHJzL1BLAwQUAAAACACHTuJANtCVY74AAADc&#10;AAAADwAAAGRycy9kb3ducmV2LnhtbEWPQW/CMAyF75P4D5GRuI0UDjAVAgLE0LbbAImraUxbaJyq&#10;yUrZr58Pk7jZes/vfZ4vO1eplppQejYwGiagiDNvS84NHA/vr2+gQkS2WHkmAw8KsFz0XuaYWn/n&#10;b2r3MVcSwiFFA0WMdap1yApyGIa+Jhbt4huHUdYm17bBu4S7So+TZKIdliwNBda0KSi77X+cgfPp&#10;q5vyqqVrNvk87MJ5s97+PowZ9EfJDFSkLj7N/9cfVvCnQivPyAR68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tCVY74A&#10;AADcAAAADwAAAAAAAAABACAAAAAiAAAAZHJzL2Rvd25yZXYueG1sUEsBAhQAFAAAAAgAh07iQDMv&#10;BZ47AAAAOQAAABAAAAAAAAAAAQAgAAAADQEAAGRycy9zaGFwZXhtbC54bWxQSwUGAAAAAAYABgBb&#10;AQAAtwMAAAAA&#10;" path="m0,453l389,0,390,0e">
                  <v:path o:connectlocs="0,3367;389,2914;390,2914" o:connectangles="0,0,0"/>
                  <v:fill on="f" focussize="0,0"/>
                  <v:stroke weight="0.0118897637795276pt" color="#000000" joinstyle="round"/>
                  <v:imagedata o:title=""/>
                  <o:lock v:ext="edit" aspectratio="f"/>
                </v:shape>
                <v:shape id="Picture 267" o:spid="_x0000_s1026" o:spt="75" type="#_x0000_t75" style="position:absolute;left:5873;top:2998;height:369;width:318;" filled="f" o:preferrelative="t" stroked="f" coordsize="21600,21600" o:gfxdata="UEsDBAoAAAAAAIdO4kAAAAAAAAAAAAAAAAAEAAAAZHJzL1BLAwQUAAAACACHTuJAl5hysrgAAADc&#10;AAAADwAAAGRycy9kb3ducmV2LnhtbEVPy6rCMBDdX/Afwgjurql34aMaRQTBhQufXQ/N2BSbSWly&#10;rf17Iwju5nCes1g9bSUe1PjSsYLRMAFBnDtdcqHgct7+TkH4gKyxckwKOvKwWvZ+Fphq1/KRHqdQ&#10;iBjCPkUFJoQ6ldLnhiz6oauJI3dzjcUQYVNI3WAbw20l/5JkLC2WHBsM1rQxlN9P/1bBITuHLvPV&#10;eNsZe11PtM+43Ss16I+SOYhAz/AVf9w7HedPZvB+Jl4gly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l5hysrgAAADcAAAA&#10;DwAAAAAAAAABACAAAAAiAAAAZHJzL2Rvd25yZXYueG1sUEsBAhQAFAAAAAgAh07iQDMvBZ47AAAA&#10;OQAAABAAAAAAAAAAAQAgAAAABwEAAGRycy9zaGFwZXhtbC54bWxQSwUGAAAAAAYABgBbAQAAsQMA&#10;AAAA&#10;">
                  <v:fill on="f" focussize="0,0"/>
                  <v:stroke on="f"/>
                  <v:imagedata r:id="rId57" o:title=""/>
                  <o:lock v:ext="edit" aspectratio="t"/>
                </v:shape>
                <v:shape id="Picture 266" o:spid="_x0000_s1026" o:spt="75" type="#_x0000_t75" style="position:absolute;left:5394;top:3029;height:339;width:291;" filled="f" o:preferrelative="t" stroked="f" coordsize="21600,21600" o:gfxdata="UEsDBAoAAAAAAIdO4kAAAAAAAAAAAAAAAAAEAAAAZHJzL1BLAwQUAAAACACHTuJA3Q7jkrwAAADc&#10;AAAADwAAAGRycy9kb3ducmV2LnhtbEWPQYvCMBCF7wv7H8IseFvTelikGj0IinhZquJ5aMa2mkxK&#10;E6u7v945CN5meG/e+2a+fHinBupjG9hAPs5AEVfBtlwbOB7W31NQMSFbdIHJwB9FWC4+P+ZY2HDn&#10;koZ9qpWEcCzQQJNSV2gdq4Y8xnHoiEU7h95jkrWvte3xLuHe6UmW/WiPLUtDgx2tGqqu+5s3wP/O&#10;4vb0Wx7K9WXjXdoN53xnzOgrz2agEj3S2/y63lrBnwq+PCMT6MU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0O45K8AAAA&#10;3AAAAA8AAAAAAAAAAQAgAAAAIgAAAGRycy9kb3ducmV2LnhtbFBLAQIUABQAAAAIAIdO4kAzLwWe&#10;OwAAADkAAAAQAAAAAAAAAAEAIAAAAAsBAABkcnMvc2hhcGV4bWwueG1sUEsFBgAAAAAGAAYAWwEA&#10;ALUDAAAAAA==&#10;">
                  <v:fill on="f" focussize="0,0"/>
                  <v:stroke on="f"/>
                  <v:imagedata r:id="rId58" o:title=""/>
                  <o:lock v:ext="edit" aspectratio="t"/>
                </v:shape>
                <v:shape id="Freeform 265" o:spid="_x0000_s1026" o:spt="100" style="position:absolute;left:5394;top:2944;height:424;width:364;" filled="f" stroked="t" coordsize="364,424" o:gfxdata="UEsDBAoAAAAAAIdO4kAAAAAAAAAAAAAAAAAEAAAAZHJzL1BLAwQUAAAACACHTuJA3y2xVr0AAADc&#10;AAAADwAAAGRycy9kb3ducmV2LnhtbEVPTWvCQBC9F/oflhF6q5uUEDR1FWxrKR4Kag85DtkxCWZn&#10;093VpP/eFQre5vE+Z7EaTScu5HxrWUE6TUAQV1a3XCv4OWyeZyB8QNbYWSYFf+RhtXx8WGCh7cA7&#10;uuxDLWII+wIVNCH0hZS+asign9qeOHJH6wyGCF0ttcMhhptOviRJLg22HBsa7Omtoeq0PxsFhJ+l&#10;M9/v27nPsnKe/5bbj3Wp1NMkTV5BBBrDXfzv/tJx/iyF2zPxArm8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fLbFWvQAA&#10;ANwAAAAPAAAAAAAAAAEAIAAAACIAAABkcnMvZG93bnJldi54bWxQSwECFAAUAAAACACHTuJAMy8F&#10;njsAAAA5AAAAEAAAAAAAAAABACAAAAAMAQAAZHJzL3NoYXBleG1sLnhtbFBLBQYAAAAABgAGAFsB&#10;AAC2AwAAAAA=&#10;" path="m364,423l0,0,1,0e">
                  <v:path o:connectlocs="364,3367;0,2944;1,2944" o:connectangles="0,0,0"/>
                  <v:fill on="f" focussize="0,0"/>
                  <v:stroke weight="0.0118897637795276pt" color="#000000" joinstyle="round"/>
                  <v:imagedata o:title=""/>
                  <o:lock v:ext="edit" aspectratio="f"/>
                </v:shape>
                <v:shape id="Freeform 264" o:spid="_x0000_s1026" o:spt="100" style="position:absolute;left:5394;top:2859;height:508;width:437;" filled="f" stroked="t" coordsize="437,508" o:gfxdata="UEsDBAoAAAAAAIdO4kAAAAAAAAAAAAAAAAAEAAAAZHJzL1BLAwQUAAAACACHTuJAoMW5TLgAAADc&#10;AAAADwAAAGRycy9kb3ducmV2LnhtbEVPS4vCMBC+C/6HMII3O/WB1K7Rw4LgcdfHfWhm29JmUpps&#10;1f31G0HwNh/fc7b7u23VwL2vnWiYJykolsKZWkoNl/NhloHygcRQ64Q1PNjDfjcebSk37ibfPJxC&#10;qWKI+Jw0VCF0OaIvKrbkE9exRO7H9ZZChH2JpqdbDLctLtJ0jZZqiQ0VdfxZcdGcfq2Gv84zLjEM&#10;x69Vc734LNtgU2g9nczTD1CB7+EtfrmPJs7PFvB8Jl6Au3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oMW5TLgAAADcAAAA&#10;DwAAAAAAAAABACAAAAAiAAAAZHJzL2Rvd25yZXYueG1sUEsBAhQAFAAAAAgAh07iQDMvBZ47AAAA&#10;OQAAABAAAAAAAAAAAQAgAAAABwEAAGRycy9zaGFwZXhtbC54bWxQSwUGAAAAAAYABgBbAQAAsQMA&#10;AAAA&#10;" path="m437,508l398,463,0,0,1,0e">
                  <v:path o:connectlocs="437,3367;398,3322;0,2859;1,2859" o:connectangles="0,0,0,0"/>
                  <v:fill on="f" focussize="0,0"/>
                  <v:stroke weight="0.0118897637795276pt" color="#000000" joinstyle="round"/>
                  <v:imagedata o:title=""/>
                  <o:lock v:ext="edit" aspectratio="f"/>
                </v:shape>
                <v:shape id="Freeform 263" o:spid="_x0000_s1026" o:spt="100" style="position:absolute;left:5394;top:2774;height:593;width:510;" filled="f" stroked="t" coordsize="510,593" o:gfxdata="UEsDBAoAAAAAAIdO4kAAAAAAAAAAAAAAAAAEAAAAZHJzL1BLAwQUAAAACACHTuJA3U9zBLsAAADc&#10;AAAADwAAAGRycy9kb3ducmV2LnhtbEVPS4vCMBC+C/6HMII3TbtKKdUouMuClz1YX9ehGdtiM+k2&#10;2er+eyMI3ubje85yfTeN6KlztWUF8TQCQVxYXXOp4LD/nqQgnEfW2FgmBf/kYL0aDpaYaXvjHfW5&#10;L0UIYZehgsr7NpPSFRUZdFPbEgfuYjuDPsCulLrDWwg3jfyIokQarDk0VNjSZ0XFNf8zCvJ8l8TH&#10;k7Vlcv79KuYbfZz1P0qNR3G0AOHp7t/il3urw/x0Bs9nwgVy9Q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3U9zBLsAAADc&#10;AAAADwAAAAAAAAABACAAAAAiAAAAZHJzL2Rvd25yZXYueG1sUEsBAhQAFAAAAAgAh07iQDMvBZ47&#10;AAAAOQAAABAAAAAAAAAAAQAgAAAACgEAAGRycy9zaGFwZXhtbC54bWxQSwUGAAAAAAYABgBbAQAA&#10;tAMAAAAA&#10;" path="m510,592l398,462,0,0,1,0e">
                  <v:path o:connectlocs="510,3367;398,3237;0,2775;1,2775" o:connectangles="0,0,0,0"/>
                  <v:fill on="f" focussize="0,0"/>
                  <v:stroke weight="0.0118897637795276pt" color="#000000" joinstyle="round"/>
                  <v:imagedata o:title=""/>
                  <o:lock v:ext="edit" aspectratio="f"/>
                </v:shape>
                <v:shape id="Freeform 262" o:spid="_x0000_s1026" o:spt="100" style="position:absolute;left:5394;top:2689;height:678;width:583;" filled="f" stroked="t" coordsize="583,678" o:gfxdata="UEsDBAoAAAAAAIdO4kAAAAAAAAAAAAAAAAAEAAAAZHJzL1BLAwQUAAAACACHTuJAirFHxLkAAADc&#10;AAAADwAAAGRycy9kb3ducmV2LnhtbEVPzYrCMBC+C75DGGFvmiqylGr0oAgunrb6AEMzNtVmUpPU&#10;um+/WVjwNh/f76y3L9uKJ/nQOFYwn2UgiCunG64VXM6HaQ4iRGSNrWNS8EMBtpvxaI2FdgN/07OM&#10;tUghHApUYGLsCilDZchimLmOOHFX5y3GBH0ttcchhdtWLrLsU1psODUY7GhnqLqXvVVwPXzd8t7c&#10;/Wl/HFp+1Lvm3JdKfUzm2QpEpFd8i//dR53m50v4eyZdID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qxR8S5AAAA3AAA&#10;AA8AAAAAAAAAAQAgAAAAIgAAAGRycy9kb3ducmV2LnhtbFBLAQIUABQAAAAIAIdO4kAzLwWeOwAA&#10;ADkAAAAQAAAAAAAAAAEAIAAAAAgBAABkcnMvc2hhcGV4bWwueG1sUEsFBgAAAAAGAAYAWwEAALID&#10;AAAAAA==&#10;" path="m583,677l398,462,0,0,1,0e">
                  <v:path o:connectlocs="583,3367;398,3152;0,2690;1,2690" o:connectangles="0,0,0,0"/>
                  <v:fill on="f" focussize="0,0"/>
                  <v:stroke weight="0.0118897637795276pt" color="#000000" joinstyle="round"/>
                  <v:imagedata o:title=""/>
                  <o:lock v:ext="edit" aspectratio="f"/>
                </v:shape>
                <v:shape id="Freeform 261" o:spid="_x0000_s1026" o:spt="100" style="position:absolute;left:5394;top:2604;height:763;width:656;" filled="f" stroked="t" coordsize="656,763" o:gfxdata="UEsDBAoAAAAAAIdO4kAAAAAAAAAAAAAAAAAEAAAAZHJzL1BLAwQUAAAACACHTuJAGd2lubsAAADc&#10;AAAADwAAAGRycy9kb3ducmV2LnhtbEVP20oDMRB9F/yHMELf7GwLlbA2LSIIvYhg2w8YNuNu2s1k&#10;2cTt9u+NIPg2h3Od5Xr0rRq4jy6Igdm0AMVSBeukNnA6vj1qUDGRWGqDsIEbR1iv7u+WVNpwlU8e&#10;DqlWOURiSQaalLoSMVYNe4rT0LFk7iv0nlKGfY22p2sO9y3Oi+IJPTnJDQ11/NpwdTl8ewM+Ib7M&#10;3Xj+cFrvtnuN75swGDN5mBXPoBKP6V/8597YPF8v4PeZfAGufg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d2lubsAAADc&#10;AAAADwAAAAAAAAABACAAAAAiAAAAZHJzL2Rvd25yZXYueG1sUEsBAhQAFAAAAAgAh07iQDMvBZ47&#10;AAAAOQAAABAAAAAAAAAAAQAgAAAACgEAAGRycy9zaGFwZXhtbC54bWxQSwUGAAAAAAYABgBbAQAA&#10;tAMAAAAA&#10;" path="m656,762l398,463,0,0,1,0e">
                  <v:path o:connectlocs="656,3367;398,3068;0,2605;1,2605" o:connectangles="0,0,0,0"/>
                  <v:fill on="f" focussize="0,0"/>
                  <v:stroke weight="0.0118897637795276pt" color="#000000" joinstyle="round"/>
                  <v:imagedata o:title=""/>
                  <o:lock v:ext="edit" aspectratio="f"/>
                </v:shape>
                <v:shape id="Freeform 260" o:spid="_x0000_s1026" o:spt="100" style="position:absolute;left:5394;top:2520;height:848;width:729;" filled="f" stroked="t" coordsize="729,848" o:gfxdata="UEsDBAoAAAAAAIdO4kAAAAAAAAAAAAAAAAAEAAAAZHJzL1BLAwQUAAAACACHTuJAaU97GbcAAADc&#10;AAAADwAAAGRycy9kb3ducmV2LnhtbEVPzYrCMBC+C75DGMGbJnoQqUYP3V3Yk7DqAwzN2BSbSUmy&#10;sfv2ZkHwNh/f7+yPo+tFphA7zxpWSwWCuPGm41bD9fK12IKICdlg75k0/FGE42E62WNl/IN/KJ9T&#10;K0oIxwo12JSGSsrYWHIYl34gLtzNB4epwNBKE/BRwl0v10ptpMOOS4PFgWpLzf386zR8ck7hZG1m&#10;9TFK1d3ra17XWs9nK7UDkWhMb/HL/W3K/O0G/p8pF8jDE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pT3sZtwAAANwAAAAP&#10;AAAAAAAAAAEAIAAAACIAAABkcnMvZG93bnJldi54bWxQSwECFAAUAAAACACHTuJAMy8FnjsAAAA5&#10;AAAAEAAAAAAAAAABACAAAAAGAQAAZHJzL3NoYXBleG1sLnhtbFBLBQYAAAAABgAGAFsBAACwAwAA&#10;AAA=&#10;" path="m729,847l398,463,0,0,1,0e">
                  <v:path o:connectlocs="729,3367;398,2983;0,2520;1,2520" o:connectangles="0,0,0,0"/>
                  <v:fill on="f" focussize="0,0"/>
                  <v:stroke weight="0.0118897637795276pt" color="#000000" joinstyle="round"/>
                  <v:imagedata o:title=""/>
                  <o:lock v:ext="edit" aspectratio="f"/>
                </v:shape>
                <v:shape id="Freeform 259" o:spid="_x0000_s1026" o:spt="100" style="position:absolute;left:5394;top:2435;height:926;width:796;" filled="f" stroked="t" coordsize="796,926" o:gfxdata="UEsDBAoAAAAAAIdO4kAAAAAAAAAAAAAAAAAEAAAAZHJzL1BLAwQUAAAACACHTuJAb31+Q74AAADc&#10;AAAADwAAAGRycy9kb3ducmV2LnhtbEWPT2vCQBDF7wW/wzIFb3XXComkrlKkSsCLf3rocciOSWh2&#10;NmTXJP32XUHwNsN7vzdvVpvRNqKnzteONcxnCgRx4UzNpYbvy+5tCcIHZIONY9LwRx4268nLCjPj&#10;Bj5Rfw6liCHsM9RQhdBmUvqiIot+5lriqF1dZzHEtSul6XCI4baR70ol0mLN8UKFLW0rKn7PNxtr&#10;5MlXqg6Lgvv2eL3Y3Q9+7nOtp69z9QEi0Bie5gedm8gtU7g/EyeQ6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31+Q74A&#10;AADcAAAADwAAAAAAAAABACAAAAAiAAAAZHJzL2Rvd25yZXYueG1sUEsBAhQAFAAAAAgAh07iQDMv&#10;BZ47AAAAOQAAABAAAAAAAAAAAQAgAAAADQEAAGRycy9zaGFwZXhtbC54bWxQSwUGAAAAAAYABgBb&#10;AQAAtwMAAAAA&#10;" path="m796,926l398,463,0,0,1,0e">
                  <v:path o:connectlocs="796,3361;398,2898;0,2435;1,2435" o:connectangles="0,0,0,0"/>
                  <v:fill on="f" focussize="0,0"/>
                  <v:stroke weight="0.0118897637795276pt" color="#000000" joinstyle="round"/>
                  <v:imagedata o:title=""/>
                  <o:lock v:ext="edit" aspectratio="f"/>
                </v:shape>
                <v:shape id="Freeform 258" o:spid="_x0000_s1026" o:spt="100" style="position:absolute;left:5394;top:2350;height:926;width:796;" filled="f" stroked="t" coordsize="796,926" o:gfxdata="UEsDBAoAAAAAAIdO4kAAAAAAAAAAAAAAAAAEAAAAZHJzL1BLAwQUAAAACACHTuJAHuLqMb0AAADc&#10;AAAADwAAAGRycy9kb3ducmV2LnhtbEWPQWvCQBCF7wX/wzKCt7qrgpXoKiIqAS+t9tDjkB2TYHY2&#10;ZNdo/33nIPQ2j3nfmzerzdM3qqcu1oEtTMYGFHERXM2lhe/L4X0BKiZkh01gsvBLETbrwdsKMxce&#10;/EX9OZVKQjhmaKFKqc20jkVFHuM4tMSyu4bOYxLZldp1+JBw3+ipMXPtsWa5UGFLu4qK2/nupUY+&#10;33+Y06zgvv28XvzhB7fH3NrRcGKWoBI907/5RedOuIW0lWdkAr3+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e4uoxvQAA&#10;ANwAAAAPAAAAAAAAAAEAIAAAACIAAABkcnMvZG93bnJldi54bWxQSwECFAAUAAAACACHTuJAMy8F&#10;njsAAAA5AAAAEAAAAAAAAAABACAAAAAMAQAAZHJzL3NoYXBleG1sLnhtbFBLBQYAAAAABgAGAFsB&#10;AAC2AwAAAAA=&#10;" path="m796,926l398,463,0,0,1,0e">
                  <v:path o:connectlocs="796,3276;398,2813;0,2350;1,2350" o:connectangles="0,0,0,0"/>
                  <v:fill on="f" focussize="0,0"/>
                  <v:stroke weight="0.0118897637795276pt" color="#000000" joinstyle="round"/>
                  <v:imagedata o:title=""/>
                  <o:lock v:ext="edit" aspectratio="f"/>
                </v:shape>
                <v:shape id="Freeform 257" o:spid="_x0000_s1026" o:spt="100" style="position:absolute;left:5394;top:2265;height:926;width:796;" filled="f" stroked="t" coordsize="796,926" o:gfxdata="UEsDBAoAAAAAAIdO4kAAAAAAAAAAAAAAAAAEAAAAZHJzL1BLAwQUAAAACACHTuJAca5Pqr0AAADc&#10;AAAADwAAAGRycy9kb3ducmV2LnhtbEWPQYvCMBCF74L/IYzgTRMV3G7XKCIqBS+7uoc9Ds3Ylm0m&#10;pYlV/70RBG8zvPe9ebNY3WwtOmp95VjDZKxAEOfOVFxo+D3tRgkIH5AN1o5Jw508rJb93gJT4678&#10;Q90xFCKGsE9RQxlCk0rp85Is+rFriKN2dq3FENe2kKbFawy3tZwqNZcWK44XSmxoU1L+f7zYWCOb&#10;bz/UYZZz13yfT3b3h+t9pvVwMFFfIALdwtv8ojMTueQTns/ECeTy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xrk+qvQAA&#10;ANwAAAAPAAAAAAAAAAEAIAAAACIAAABkcnMvZG93bnJldi54bWxQSwECFAAUAAAACACHTuJAMy8F&#10;njsAAAA5AAAAEAAAAAAAAAABACAAAAAMAQAAZHJzL3NoYXBleG1sLnhtbFBLBQYAAAAABgAGAFsB&#10;AAC2AwAAAAA=&#10;" path="m796,925l398,462,0,0,1,0e">
                  <v:path o:connectlocs="796,3191;398,2728;0,2266;1,2266" o:connectangles="0,0,0,0"/>
                  <v:fill on="f" focussize="0,0"/>
                  <v:stroke weight="0.0118897637795276pt" color="#000000" joinstyle="round"/>
                  <v:imagedata o:title=""/>
                  <o:lock v:ext="edit" aspectratio="f"/>
                </v:shape>
                <v:shape id="Freeform 256" o:spid="_x0000_s1026" o:spt="100" style="position:absolute;left:5394;top:2180;height:926;width:796;" filled="f" stroked="t" coordsize="796,926" o:gfxdata="UEsDBAoAAAAAAIdO4kAAAAAAAAAAAAAAAAAEAAAAZHJzL1BLAwQUAAAACACHTuJAZU1w6r4AAADc&#10;AAAADwAAAGRycy9kb3ducmV2LnhtbEWPT2vCQBDF7wW/wzJCb3VXC1ajq4jUEuil/jl4HLJjEszO&#10;huw22m/vHITe5jHv9+bNcn33jeqpi3VgC+ORAUVcBFdzaeF03L3NQMWE7LAJTBb+KMJ6NXhZYubC&#10;jffUH1KpJIRjhhaqlNpM61hU5DGOQkssu0voPCaRXaldhzcJ942eGDPVHmuWCxW2tK2ouB5+vdTI&#10;p58f5vu94L79uRz97oybr9za1+HYLEAluqd/85POnXBzqS/PyAR69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U1w6r4A&#10;AADcAAAADwAAAAAAAAABACAAAAAiAAAAZHJzL2Rvd25yZXYueG1sUEsBAhQAFAAAAAgAh07iQDMv&#10;BZ47AAAAOQAAABAAAAAAAAAAAQAgAAAADQEAAGRycy9zaGFwZXhtbC54bWxQSwUGAAAAAAYABgBb&#10;AQAAtwMAAAAA&#10;" path="m796,925l398,462,0,0,1,0e">
                  <v:path o:connectlocs="796,3106;398,2643;0,2181;1,2181" o:connectangles="0,0,0,0"/>
                  <v:fill on="f" focussize="0,0"/>
                  <v:stroke weight="0.0118897637795276pt" color="#000000" joinstyle="round"/>
                  <v:imagedata o:title=""/>
                  <o:lock v:ext="edit" aspectratio="f"/>
                </v:shape>
                <v:shape id="Freeform 255" o:spid="_x0000_s1026" o:spt="100" style="position:absolute;left:5394;top:2095;height:926;width:796;" filled="f" stroked="t" coordsize="796,926" o:gfxdata="UEsDBAoAAAAAAIdO4kAAAAAAAAAAAAAAAAAEAAAAZHJzL1BLAwQUAAAACACHTuJACgHVcb8AAADc&#10;AAAADwAAAGRycy9kb3ducmV2LnhtbEWPQWvDMAyF74X9B6NBb62dDdotrRvGWEpglzbZYUcRq0lo&#10;LIfYS7t/Pw8KvUm89z09bbOr7cVEo+8ca0iWCgRx7UzHjYavKl+8gPAB2WDvmDT8kods9zDbYmrc&#10;hY80laERMYR9ihraEIZUSl+3ZNEv3UActZMbLYa4jo00I15iuO3lk1IrabHjeKHFgd5bqs/lj401&#10;itXHWn0+1zwNh1Nl82982xdazx8TtQER6Bru5htdmMi9JvD/TJxA7v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oB1XG/&#10;AAAA3AAAAA8AAAAAAAAAAQAgAAAAIgAAAGRycy9kb3ducmV2LnhtbFBLAQIUABQAAAAIAIdO4kAz&#10;LwWeOwAAADkAAAAQAAAAAAAAAAEAIAAAAA4BAABkcnMvc2hhcGV4bWwueG1sUEsFBgAAAAAGAAYA&#10;WwEAALgDAAAAAA==&#10;" path="m796,925l398,463,0,0,1,0e">
                  <v:path o:connectlocs="796,3021;398,2559;0,2096;1,2096" o:connectangles="0,0,0,0"/>
                  <v:fill on="f" focussize="0,0"/>
                  <v:stroke weight="0.0118897637795276pt" color="#000000" joinstyle="round"/>
                  <v:imagedata o:title=""/>
                  <o:lock v:ext="edit" aspectratio="f"/>
                </v:shape>
                <v:shape id="Freeform 254" o:spid="_x0000_s1026" o:spt="100" style="position:absolute;left:5394;top:2011;height:926;width:796;" filled="f" stroked="t" coordsize="796,926" o:gfxdata="UEsDBAoAAAAAAIdO4kAAAAAAAAAAAAAAAAAEAAAAZHJzL1BLAwQUAAAACACHTuJA+tNLBr8AAADc&#10;AAAADwAAAGRycy9kb3ducmV2LnhtbEWPQWvDMAyF74X9B6PBbo3dFNouqxvGWEdglzbZYUcRq0lY&#10;LIfYTbt/Pw8KvUm89z09bfOr7cVEo+8ca1gkCgRx7UzHjYavaj/fgPAB2WDvmDT8kod89zDbYmbc&#10;hY80laERMYR9hhraEIZMSl+3ZNEnbiCO2smNFkNcx0aaES8x3PYyVWolLXYcL7Q40FtL9U95trFG&#10;sXpfq89lzdNwOFV2/42vH4XWT48L9QIi0DXczTe6MJF7TuH/mTiB3P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rTSwa/&#10;AAAA3AAAAA8AAAAAAAAAAQAgAAAAIgAAAGRycy9kb3ducmV2LnhtbFBLAQIUABQAAAAIAIdO4kAz&#10;LwWeOwAAADkAAAAQAAAAAAAAAAEAIAAAAA4BAABkcnMvc2hhcGV4bWwueG1sUEsFBgAAAAAGAAYA&#10;WwEAALgDAAAAAA==&#10;" path="m796,926l398,463,0,0,1,0e">
                  <v:path o:connectlocs="796,2937;398,2474;0,2011;1,2011" o:connectangles="0,0,0,0"/>
                  <v:fill on="f" focussize="0,0"/>
                  <v:stroke weight="0.0118897637795276pt" color="#000000" joinstyle="round"/>
                  <v:imagedata o:title=""/>
                  <o:lock v:ext="edit" aspectratio="f"/>
                </v:shape>
                <v:shape id="Freeform 253" o:spid="_x0000_s1026" o:spt="100" style="position:absolute;left:5394;top:1926;height:926;width:796;" filled="f" stroked="t" coordsize="796,926" o:gfxdata="UEsDBAoAAAAAAIdO4kAAAAAAAAAAAAAAAAAEAAAAZHJzL1BLAwQUAAAACACHTuJAlZ/unbwAAADc&#10;AAAADwAAAGRycy9kb3ducmV2LnhtbEWPQYvCMBCF7wv+hzCCtzVRwV2rUURUCl521YPHoRnbYjMp&#10;Taz6740geJvhve/Nm9nibivRUuNLxxoGfQWCOHOm5FzD8bD5/gXhA7LByjFpeJCHxbzzNcPEuBv/&#10;U7sPuYgh7BPUUIRQJ1L6rCCLvu9q4qidXWMxxLXJpWnwFsNtJYdKjaXFkuOFAmtaFZRd9lcba6Tj&#10;9Y/ajTJu67/zwW5OuNymWve6AzUFEegePuY3nZrITUbweiZOIOd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Wf7p28AAAA&#10;3AAAAA8AAAAAAAAAAQAgAAAAIgAAAGRycy9kb3ducmV2LnhtbFBLAQIUABQAAAAIAIdO4kAzLwWe&#10;OwAAADkAAAAQAAAAAAAAAAEAIAAAAAsBAABkcnMvc2hhcGV4bWwueG1sUEsFBgAAAAAGAAYAWwEA&#10;ALUDAAAAAA==&#10;" path="m796,926l398,463,0,0,1,0e">
                  <v:path o:connectlocs="796,2852;398,2389;0,1926;1,1926" o:connectangles="0,0,0,0"/>
                  <v:fill on="f" focussize="0,0"/>
                  <v:stroke weight="0.0118897637795276pt" color="#000000" joinstyle="round"/>
                  <v:imagedata o:title=""/>
                  <o:lock v:ext="edit" aspectratio="f"/>
                </v:shape>
                <v:shape id="Freeform 252" o:spid="_x0000_s1026" o:spt="100" style="position:absolute;left:5394;top:1841;height:926;width:796;" filled="f" stroked="t" coordsize="796,926" o:gfxdata="UEsDBAoAAAAAAIdO4kAAAAAAAAAAAAAAAAAEAAAAZHJzL1BLAwQUAAAACACHTuJAGnZ26b8AAADc&#10;AAAADwAAAGRycy9kb3ducmV2LnhtbEWPzWrDMBCE74G8g9hCbo3kpritG8WEkgRDL/npocfF2tim&#10;1spYiuO8fVUo5LbLzDc7u8xH24qBet841pDMFQji0pmGKw1fp+3jKwgfkA22jknDjTzkq+lkiZlx&#10;Vz7QcAyViCHsM9RQh9BlUvqyJot+7jriqJ1dbzHEta+k6fEaw20rn5RKpcWG44UaO/qoqfw5Xmys&#10;UaSbF/W5KHno9ueT3X7jeldoPXtI1DuIQGO4m//pwkTu7Rn+nokTyNU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p2dum/&#10;AAAA3AAAAA8AAAAAAAAAAQAgAAAAIgAAAGRycy9kb3ducmV2LnhtbFBLAQIUABQAAAAIAIdO4kAz&#10;LwWeOwAAADkAAAAQAAAAAAAAAAEAIAAAAA4BAABkcnMvc2hhcGV4bWwueG1sUEsFBgAAAAAGAAYA&#10;WwEAALgDAAAAAA==&#10;" path="m796,925l398,462,0,0,1,0e">
                  <v:path o:connectlocs="796,2767;398,2304;0,1842;1,1842" o:connectangles="0,0,0,0"/>
                  <v:fill on="f" focussize="0,0"/>
                  <v:stroke weight="0.0118897637795276pt" color="#000000" joinstyle="round"/>
                  <v:imagedata o:title=""/>
                  <o:lock v:ext="edit" aspectratio="f"/>
                </v:shape>
                <v:shape id="Freeform 251" o:spid="_x0000_s1026" o:spt="100" style="position:absolute;left:5394;top:1756;height:926;width:796;" filled="f" stroked="t" coordsize="796,926" o:gfxdata="UEsDBAoAAAAAAIdO4kAAAAAAAAAAAAAAAAAEAAAAZHJzL1BLAwQUAAAACACHTuJAdTrTcr8AAADc&#10;AAAADwAAAGRycy9kb3ducmV2LnhtbEWPzWrDMBCE74G8g9hCbo3khrqtG8WEkgRDL/npocfF2tim&#10;1spYiuO8fVUo5LbLzDc7u8xH24qBet841pDMFQji0pmGKw1fp+3jKwgfkA22jknDjTzkq+lkiZlx&#10;Vz7QcAyViCHsM9RQh9BlUvqyJot+7jriqJ1dbzHEta+k6fEaw20rn5RKpcWG44UaO/qoqfw5Xmys&#10;UaSbF/W5KHno9ueT3X7jeldoPXtI1DuIQGO4m//pwkTu7Rn+nokTyNU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U603K/&#10;AAAA3AAAAA8AAAAAAAAAAQAgAAAAIgAAAGRycy9kb3ducmV2LnhtbFBLAQIUABQAAAAIAIdO4kAz&#10;LwWeOwAAADkAAAAQAAAAAAAAAAEAIAAAAA4BAABkcnMvc2hhcGV4bWwueG1sUEsFBgAAAAAGAAYA&#10;WwEAALgDAAAAAA==&#10;" path="m796,925l398,462,0,0,1,0e">
                  <v:path o:connectlocs="796,2682;398,2219;0,1757;1,1757" o:connectangles="0,0,0,0"/>
                  <v:fill on="f" focussize="0,0"/>
                  <v:stroke weight="0.0118897637795276pt" color="#000000" joinstyle="round"/>
                  <v:imagedata o:title=""/>
                  <o:lock v:ext="edit" aspectratio="f"/>
                </v:shape>
                <v:shape id="Freeform 250" o:spid="_x0000_s1026" o:spt="100" style="position:absolute;left:5394;top:1671;height:926;width:796;" filled="f" stroked="t" coordsize="796,926" o:gfxdata="UEsDBAoAAAAAAIdO4kAAAAAAAAAAAAAAAAAEAAAAZHJzL1BLAwQUAAAACACHTuJAhehNBb8AAADc&#10;AAAADwAAAGRycy9kb3ducmV2LnhtbEWPS2vDMBCE74H+B7GF3GLJKTitE8WUkgRDL3n00ONirR/E&#10;WhlLddJ/XxUKve0y883Oboq77cVEo+8ca0gTBYK4cqbjRsPHZb94BuEDssHeMWn4Jg/F9mG2wdy4&#10;G59oOodGxBD2OWpoQxhyKX3VkkWfuIE4arUbLYa4jo00I95iuO3lUqlMWuw4XmhxoLeWquv5y8Ya&#10;ZbZbqfeniqfhWF/s/hNfD6XW88dUrUEEuod/8x9dmsi9ZPD7TJxAbn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XoTQW/&#10;AAAA3AAAAA8AAAAAAAAAAQAgAAAAIgAAAGRycy9kb3ducmV2LnhtbFBLAQIUABQAAAAIAIdO4kAz&#10;LwWeOwAAADkAAAAQAAAAAAAAAAEAIAAAAA4BAABkcnMvc2hhcGV4bWwueG1sUEsFBgAAAAAGAAYA&#10;WwEAALgDAAAAAA==&#10;" path="m796,925l398,463,0,0,1,0e">
                  <v:path o:connectlocs="796,2597;398,2135;0,1672;1,1672" o:connectangles="0,0,0,0"/>
                  <v:fill on="f" focussize="0,0"/>
                  <v:stroke weight="0.0118897637795276pt" color="#000000" joinstyle="round"/>
                  <v:imagedata o:title=""/>
                  <o:lock v:ext="edit" aspectratio="f"/>
                </v:shape>
                <v:shape id="Freeform 249" o:spid="_x0000_s1026" o:spt="100" style="position:absolute;left:5411;top:1607;height:906;width:779;" filled="f" stroked="t" coordsize="779,906" o:gfxdata="UEsDBAoAAAAAAIdO4kAAAAAAAAAAAAAAAAAEAAAAZHJzL1BLAwQUAAAACACHTuJAfSuz57oAAADc&#10;AAAADwAAAGRycy9kb3ducmV2LnhtbEVP24rCMBB9F/Yfwgi+aaoPq3aNgoKwsKh4+YChmW2KzaSb&#10;ZGv9eyMIvs3hXGex6mwtWvKhcqxgPMpAEBdOV1wquJy3wxmIEJE11o5JwZ0CrJYfvQXm2t34SO0p&#10;liKFcMhRgYmxyaUMhSGLYeQa4sT9Om8xJuhLqT3eUrit5STLPqXFilODwYY2horr6d8q2EnT/pl9&#10;V1639ke2/jBbn/dBqUF/nH2BiNTFt/jl/tZp/nwKz2fSBXL5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9K7PnugAAANwA&#10;AAAPAAAAAAAAAAEAIAAAACIAAABkcnMvZG93bnJldi54bWxQSwECFAAUAAAACACHTuJAMy8FnjsA&#10;AAA5AAAAEAAAAAAAAAABACAAAAAJAQAAZHJzL3NoYXBleG1sLnhtbFBLBQYAAAAABgAGAFsBAACz&#10;AwAAAAA=&#10;" path="m778,905l380,443,0,0e">
                  <v:path o:connectlocs="778,2512;380,2050;0,1607;0,1607" o:connectangles="0,0,0,0"/>
                  <v:fill on="f" focussize="0,0"/>
                  <v:stroke weight="0.0118897637795276pt" color="#000000" joinstyle="round"/>
                  <v:imagedata o:title=""/>
                  <o:lock v:ext="edit" aspectratio="f"/>
                </v:shape>
                <v:shape id="Freeform 248" o:spid="_x0000_s1026" o:spt="100" style="position:absolute;left:5484;top:1607;height:821;width:706;" filled="f" stroked="t" coordsize="706,821" o:gfxdata="UEsDBAoAAAAAAIdO4kAAAAAAAAAAAAAAAAAEAAAAZHJzL1BLAwQUAAAACACHTuJAd3lxh78AAADc&#10;AAAADwAAAGRycy9kb3ducmV2LnhtbEWPT2vDMAzF74N9B6NBb6udDUaT1e1htLBDO1j65yxiNckW&#10;yyH2mvbbV4dBbxLv6b2f5suL79SZhtgGtpBNDSjiKriWawv73fp5BiomZIddYLJwpQjLxePDHAsX&#10;Rv6mc5lqJSEcC7TQpNQXWseqIY9xGnpi0U5h8JhkHWrtBhwl3Hf6xZg37bFlaWiwp4+Gqt/yz1vA&#10;crXf/Lguq77M6+HYh3zcnLbWTp4y8w4q0SXdzf/Xn07wc6GVZ2QCvbg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d5cYe/&#10;AAAA3AAAAA8AAAAAAAAAAQAgAAAAIgAAAGRycy9kb3ducmV2LnhtbFBLAQIUABQAAAAIAIdO4kAz&#10;LwWeOwAAADkAAAAQAAAAAAAAAAEAIAAAAA4BAABkcnMvc2hhcGV4bWwueG1sUEsFBgAAAAAGAAYA&#10;WwEAALgDAAAAAA==&#10;" path="m705,821l307,358,0,0e">
                  <v:path o:connectlocs="705,2428;307,1965;0,1607;0,1607" o:connectangles="0,0,0,0"/>
                  <v:fill on="f" focussize="0,0"/>
                  <v:stroke weight="0.0118897637795276pt" color="#000000" joinstyle="round"/>
                  <v:imagedata o:title=""/>
                  <o:lock v:ext="edit" aspectratio="f"/>
                </v:shape>
                <v:shape id="Freeform 247" o:spid="_x0000_s1026" o:spt="100" style="position:absolute;left:5557;top:1607;height:736;width:633;" filled="f" stroked="t" coordsize="633,736" o:gfxdata="UEsDBAoAAAAAAIdO4kAAAAAAAAAAAAAAAAAEAAAAZHJzL1BLAwQUAAAACACHTuJAiyCA2r0AAADc&#10;AAAADwAAAGRycy9kb3ducmV2LnhtbEVP32vCMBB+H/g/hBP2poljk1kbBQe6oYib0/drc7bF5lKa&#10;zLr/fhGEvd3H9/PS+dXW4kKtrxxrGA0VCOLcmYoLDYfv5eAVhA/IBmvHpOGXPMxnvYcUE+M6/qLL&#10;PhQihrBPUEMZQpNI6fOSLPqha4gjd3KtxRBhW0jTYhfDbS2flBpLixXHhhIbeispP+9/rAZarN8/&#10;j2vabbNNttocFt2Leu60fuyP1BREoGv4F9/dHybOn0zg9ky8QM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LIIDavQAA&#10;ANwAAAAPAAAAAAAAAAEAIAAAACIAAABkcnMvZG93bnJldi54bWxQSwECFAAUAAAACACHTuJAMy8F&#10;njsAAAA5AAAAEAAAAAAAAAABACAAAAAMAQAAZHJzL3NoYXBleG1sLnhtbFBLBQYAAAAABgAGAFsB&#10;AAC2AwAAAAA=&#10;" path="m632,736l234,273,0,0e">
                  <v:path o:connectlocs="632,2343;234,1880;0,1607;0,1607" o:connectangles="0,0,0,0"/>
                  <v:fill on="f" focussize="0,0"/>
                  <v:stroke weight="0.0118897637795276pt" color="#000000" joinstyle="round"/>
                  <v:imagedata o:title=""/>
                  <o:lock v:ext="edit" aspectratio="f"/>
                </v:shape>
                <v:shape id="Freeform 246" o:spid="_x0000_s1026" o:spt="100" style="position:absolute;left:5630;top:1607;height:651;width:560;" filled="f" stroked="t" coordsize="560,651" o:gfxdata="UEsDBAoAAAAAAIdO4kAAAAAAAAAAAAAAAAAEAAAAZHJzL1BLAwQUAAAACACHTuJA0OQty7sAAADc&#10;AAAADwAAAGRycy9kb3ducmV2LnhtbEWPT4vCMBTE7wt+h/CEvW0TVxSpRg+irKcVqxdvz+bZBpuX&#10;0sQ/++03guBxmJnfMLPFwzXiRl2wnjUMMgWCuPTGcqXhsF9/TUCEiGyw8Uwa/ijAYt77mGFu/J13&#10;dCtiJRKEQ44a6hjbXMpQ1uQwZL4lTt7Zdw5jkl0lTYf3BHeN/FZqLB1aTgs1trSsqbwUV5cox+3I&#10;qtP1ZyUnv353PDtbDJ3Wn/2BmoKI9Ijv8Ku9MRoSEZ5n0hGQ8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0OQty7sAAADc&#10;AAAADwAAAAAAAAABACAAAAAiAAAAZHJzL2Rvd25yZXYueG1sUEsBAhQAFAAAAAgAh07iQDMvBZ47&#10;AAAAOQAAABAAAAAAAAAAAQAgAAAACgEAAGRycy9zaGFwZXhtbC54bWxQSwUGAAAAAAYABgBbAQAA&#10;tAMAAAAA&#10;" path="m559,651l161,188,0,0e">
                  <v:path o:connectlocs="559,2258;161,1795;0,1607;0,1607" o:connectangles="0,0,0,0"/>
                  <v:fill on="f" focussize="0,0"/>
                  <v:stroke weight="0.0118897637795276pt" color="#000000" joinstyle="round"/>
                  <v:imagedata o:title=""/>
                  <o:lock v:ext="edit" aspectratio="f"/>
                </v:shape>
                <v:shape id="Freeform 245" o:spid="_x0000_s1026" o:spt="100" style="position:absolute;left:5703;top:1607;height:566;width:487;" filled="f" stroked="t" coordsize="487,566" o:gfxdata="UEsDBAoAAAAAAIdO4kAAAAAAAAAAAAAAAAAEAAAAZHJzL1BLAwQUAAAACACHTuJA5nVOb7sAAADc&#10;AAAADwAAAGRycy9kb3ducmV2LnhtbEWPT4vCMBTE74LfIbyFvWlSDyJdo4eCsHjyH3h9Nm/baPNS&#10;m6hdP70RFvY4zMxvmPmyd424UxesZw3ZWIEgLr2xXGk47FejGYgQkQ02nknDLwVYLoaDOebGP3hL&#10;912sRIJwyFFDHWObSxnKmhyGsW+Jk/fjO4cxya6SpsNHgrtGTpSaSoeW00KNLRU1lZfdzWmwRSFP&#10;m6ovnnjE69kaPG7XU60/PzL1BSJSH//Df+1vo2GiMnifSUdALl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5nVOb7sAAADc&#10;AAAADwAAAAAAAAABACAAAAAiAAAAZHJzL2Rvd25yZXYueG1sUEsBAhQAFAAAAAgAh07iQDMvBZ47&#10;AAAAOQAAABAAAAAAAAAAAQAgAAAACgEAAGRycy9zaGFwZXhtbC54bWxQSwUGAAAAAAYABgBbAQAA&#10;tAMAAAAA&#10;" path="m486,566l88,103,0,0e">
                  <v:path o:connectlocs="486,2173;88,1710;0,1607;0,1607" o:connectangles="0,0,0,0"/>
                  <v:fill on="f" focussize="0,0"/>
                  <v:stroke weight="0.0118897637795276pt" color="#000000" joinstyle="round"/>
                  <v:imagedata o:title=""/>
                  <o:lock v:ext="edit" aspectratio="f"/>
                </v:shape>
                <v:shape id="Freeform 244" o:spid="_x0000_s1026" o:spt="100" style="position:absolute;left:5776;top:1607;height:482;width:414;" filled="f" stroked="t" coordsize="414,482" o:gfxdata="UEsDBAoAAAAAAIdO4kAAAAAAAAAAAAAAAAAEAAAAZHJzL1BLAwQUAAAACACHTuJAeoCH/L4AAADc&#10;AAAADwAAAGRycy9kb3ducmV2LnhtbEWPQWvCQBSE74L/YXmFXqTuGqXU1FVQWvCoiSLeHtnXJDT7&#10;NmRXY/+9Kwg9DjPzDbNY3WwjrtT52rGGyViBIC6cqbnUcMi/3z5A+IBssHFMGv7Iw2o5HCwwNa7n&#10;PV2zUIoIYZ+ihiqENpXSFxVZ9GPXEkfvx3UWQ5RdKU2HfYTbRiZKvUuLNceFClvaVFT8Zher4XzZ&#10;0fT0dQp9Nso3s+PMzLdro/Xry0R9ggh0C//hZ3trNCQqgceZeATk8g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oCH/L4A&#10;AADcAAAADwAAAAAAAAABACAAAAAiAAAAZHJzL2Rvd25yZXYueG1sUEsBAhQAFAAAAAgAh07iQDMv&#10;BZ47AAAAOQAAABAAAAAAAAAAAQAgAAAADQEAAGRycy9zaGFwZXhtbC54bWxQSwUGAAAAAAYABgBb&#10;AQAAtwMAAAAA&#10;" path="m413,481l15,18,0,0e">
                  <v:path o:connectlocs="413,2088;15,1625;0,1607;0,1607" o:connectangles="0,0,0,0"/>
                  <v:fill on="f" focussize="0,0"/>
                  <v:stroke weight="0.0118897637795276pt" color="#000000" joinstyle="round"/>
                  <v:imagedata o:title=""/>
                  <o:lock v:ext="edit" aspectratio="f"/>
                </v:shape>
                <v:shape id="Picture 243" o:spid="_x0000_s1026" o:spt="75" type="#_x0000_t75" style="position:absolute;left:5849;top:1607;height:397;width:341;" filled="f" o:preferrelative="t" stroked="f" coordsize="21600,21600" o:gfxdata="UEsDBAoAAAAAAIdO4kAAAAAAAAAAAAAAAAAEAAAAZHJzL1BLAwQUAAAACACHTuJAJVEIKLsAAADc&#10;AAAADwAAAGRycy9kb3ducmV2LnhtbEWPzYoCMRCE7wu+Q2hhb2viCKKj0YMg7h5XRa/tpJ0ZTDpD&#10;kvXn7c2C4LGoqq+o+fLurLhSiK1nDcOBAkFcedNyrWG/W39NQMSEbNB6Jg0PirBc9D7mWBp/41+6&#10;blMtMoRjiRqalLpSylg15DAOfEecvbMPDlOWoZYm4C3DnZWFUmPpsOW80GBHq4aqy/bPaTion+KE&#10;djyKuLdqejieNm4TtP7sD9UMRKJ7eodf7W+joVAj+D+Tj4BcPA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VEIKLsAAADc&#10;AAAADwAAAAAAAAABACAAAAAiAAAAZHJzL2Rvd25yZXYueG1sUEsBAhQAFAAAAAgAh07iQDMvBZ47&#10;AAAAOQAAABAAAAAAAAAAAQAgAAAACgEAAGRycy9zaGFwZXhtbC54bWxQSwUGAAAAAAYABgBbAQAA&#10;tAMAAAAA&#10;">
                  <v:fill on="f" focussize="0,0"/>
                  <v:stroke on="f"/>
                  <v:imagedata r:id="rId59" o:title=""/>
                  <o:lock v:ext="edit" aspectratio="t"/>
                </v:shape>
                <v:line id="Line 242" o:spid="_x0000_s1026" o:spt="20" style="position:absolute;left:5171;top:3367;height:0;width:621;" filled="f" stroked="t" coordsize="21600,21600" o:gfxdata="UEsDBAoAAAAAAIdO4kAAAAAAAAAAAAAAAAAEAAAAZHJzL1BLAwQUAAAACACHTuJAZ996xb4AAADc&#10;AAAADwAAAGRycy9kb3ducmV2LnhtbEWPT2sCMRTE7wW/Q3iFXkQTFy2yNYoo/XNU60Fvj83rZunm&#10;ZdlE1/32jSD0OMzMb5jF6uZqcaU2VJ41TMYKBHHhTcWlhuP3+2gOIkRkg7Vn0tBTgNVy8LTA3PiO&#10;93Q9xFIkCIccNdgYm1zKUFhyGMa+IU7ej28dxiTbUpoWuwR3tcyUepUOK04LFhvaWCp+Dxen4aM7&#10;4/YznKps2E/r9alf7+xsp/XL80S9gYh0i//hR/vLaMjUFO5n0hGQy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996xb4A&#10;AADcAAAADwAAAAAAAAABACAAAAAiAAAAZHJzL2Rvd25yZXYueG1sUEsBAhQAFAAAAAgAh07iQDMv&#10;BZ47AAAAOQAAABAAAAAAAAAAAQAgAAAADQEAAGRycy9zaGFwZXhtbC54bWxQSwUGAAAAAAYABgBb&#10;AQAAtwMAAAAA&#10;">
                  <v:fill on="f" focussize="0,0"/>
                  <v:stroke weight="0.248346456692913pt" color="#000000" joinstyle="round"/>
                  <v:imagedata o:title=""/>
                  <o:lock v:ext="edit" aspectratio="f"/>
                </v:line>
                <v:line id="Line 241" o:spid="_x0000_s1026" o:spt="20" style="position:absolute;left:5171;top:3367;height:0;width:621;" filled="f" stroked="t" coordsize="21600,21600" o:gfxdata="UEsDBAoAAAAAAIdO4kAAAAAAAAAAAAAAAAAEAAAAZHJzL1BLAwQUAAAACACHTuJACJPfXr8AAADc&#10;AAAADwAAAGRycy9kb3ducmV2LnhtbEWPQWsCMRSE7wX/Q3iFXqQmLrWUrVFEqXrUbQ/29ti8bpZu&#10;XpZNdN1/3whCj8PMfMPMl1fXiAt1ofasYTpRIIhLb2quNHx9fjy/gQgR2WDjmTQMFGC5GD3MMTe+&#10;5yNdiliJBOGQowYbY5tLGUpLDsPEt8TJ+/Gdw5hkV0nTYZ/grpGZUq/SYc1pwWJLa0vlb3F2Grb9&#10;N2524VRn4+GlWZ2G1cHODlo/PU7VO4hI1/gfvrf3RkOmZnA7k46AXP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iT316/&#10;AAAA3AAAAA8AAAAAAAAAAQAgAAAAIgAAAGRycy9kb3ducmV2LnhtbFBLAQIUABQAAAAIAIdO4kAz&#10;LwWeOwAAADkAAAAQAAAAAAAAAAEAIAAAAA4BAABkcnMvc2hhcGV4bWwueG1sUEsFBgAAAAAGAAYA&#10;WwEAALgDAAAAAA==&#10;">
                  <v:fill on="f" focussize="0,0"/>
                  <v:stroke weight="0.248346456692913pt" color="#000000" joinstyle="round"/>
                  <v:imagedata o:title=""/>
                  <o:lock v:ext="edit" aspectratio="f"/>
                </v:line>
                <v:line id="Line 240" o:spid="_x0000_s1026" o:spt="20" style="position:absolute;left:5171;top:3367;height:0;width:622;" filled="f" stroked="t" coordsize="21600,21600" o:gfxdata="UEsDBAoAAAAAAIdO4kAAAAAAAAAAAAAAAAAEAAAAZHJzL1BLAwQUAAAACACHTuJANU+ZybwAAADc&#10;AAAADwAAAGRycy9kb3ducmV2LnhtbEWPwW7CMBBE75X6D9ZW4tbYcIhoiOGABMoR0pbzKl6StPE6&#10;ih0CfD1GqtTjaGbeaPLN1XbiQoNvHWuYJwoEceVMy7WGr8/d+xKED8gGO8ek4UYeNuvXlxwz4yY+&#10;0qUMtYgQ9hlqaELoMyl91ZBFn7ieOHpnN1gMUQ61NANOEW47uVAqlRZbjgsN9rRtqPotR6vBkR0/&#10;lvfi8DN+d8XR16d22u+1nr3N1QpEoGv4D/+1C6NhoVJ4nolHQK4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VPmcm8AAAA&#10;3AAAAA8AAAAAAAAAAQAgAAAAIgAAAGRycy9kb3ducmV2LnhtbFBLAQIUABQAAAAIAIdO4kAzLwWe&#10;OwAAADkAAAAQAAAAAAAAAAEAIAAAAAsBAABkcnMvc2hhcGV4bWwueG1sUEsFBgAAAAAGAAYAWwEA&#10;ALUDAAAAAA==&#10;">
                  <v:fill on="f" focussize="0,0"/>
                  <v:stroke weight="0.261259842519685pt" color="#000000" joinstyle="round"/>
                  <v:imagedata o:title=""/>
                  <o:lock v:ext="edit" aspectratio="f"/>
                </v:line>
                <v:shape id="Freeform 239" o:spid="_x0000_s1026" o:spt="100" style="position:absolute;left:5171;top:3367;height:53;width:46;" filled="f" stroked="t" coordsize="46,53" o:gfxdata="UEsDBAoAAAAAAIdO4kAAAAAAAAAAAAAAAAAEAAAAZHJzL1BLAwQUAAAACACHTuJApnyCgL4AAADc&#10;AAAADwAAAGRycy9kb3ducmV2LnhtbEWPT2sCMRTE7wW/Q3iCt5rooS1bo6AgKBT814UeXzevydLN&#10;y7KJrn57UxB6HGbmN8xscfWNuFAX68AaJmMFgrgKpmar4fO0fn4DEROywSYwabhRhMV88DTDwoSe&#10;D3Q5JisyhGOBGlxKbSFlrBx5jOPQEmfvJ3QeU5adlabDPsN9I6dKvUiPNecFhy2tHFW/x7PXsFs3&#10;N1t/fJWt25R8Krf7Zf9ttR4NJ+odRKJr+g8/2hujYape4e9MPgJyf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nyCgL4A&#10;AADcAAAADwAAAAAAAAABACAAAAAiAAAAZHJzL2Rvd25yZXYueG1sUEsBAhQAFAAAAAgAh07iQDMv&#10;BZ47AAAAOQAAABAAAAAAAAAAAQAgAAAADQEAAGRycy9zaGFwZXhtbC54bWxQSwUGAAAAAAYABgBb&#10;AQAAtwMAAAAA&#10;" path="m0,53l46,0e">
                  <v:path o:connectlocs="0,3420;46,3367;46,3367" o:connectangles="0,0,0"/>
                  <v:fill on="f" focussize="0,0"/>
                  <v:stroke weight="0.0118897637795276pt" color="#000000" joinstyle="round"/>
                  <v:imagedata o:title=""/>
                  <o:lock v:ext="edit" aspectratio="f"/>
                </v:shape>
                <v:shape id="Freeform 238" o:spid="_x0000_s1026" o:spt="100" style="position:absolute;left:5171;top:3367;height:138;width:119;" filled="f" stroked="t" coordsize="119,138" o:gfxdata="UEsDBAoAAAAAAIdO4kAAAAAAAAAAAAAAAAAEAAAAZHJzL1BLAwQUAAAACACHTuJA4VugTbcAAADc&#10;AAAADwAAAGRycy9kb3ducmV2LnhtbEVPyQrCMBC9C/5DGMGLaGIPItXowQXUmxt4HJuxLTaT0sTt&#10;781B8Ph4+3T+tpV4UuNLxxqGAwWCOHOm5FzD6bjuj0H4gGywckwaPuRhPmu3ppga9+I9PQ8hFzGE&#10;fYoaihDqVEqfFWTRD1xNHLmbayyGCJtcmgZfMdxWMlFqJC2WHBsKrGlRUHY/PKyGa7LNs0t5OydL&#10;11ObjzlddouV1t3OUE1ABHqHv/jn3hgNiYpr45l4BOTsC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hW6BNtwAAANwAAAAP&#10;AAAAAAAAAAEAIAAAACIAAABkcnMvZG93bnJldi54bWxQSwECFAAUAAAACACHTuJAMy8FnjsAAAA5&#10;AAAAEAAAAAAAAAABACAAAAAGAQAAZHJzL3NoYXBleG1sLnhtbFBLBQYAAAAABgAGAFsBAACwAwAA&#10;AAA=&#10;" path="m0,138l119,0e">
                  <v:path o:connectlocs="0,3505;119,3367;119,3367" o:connectangles="0,0,0"/>
                  <v:fill on="f" focussize="0,0"/>
                  <v:stroke weight="0.0118897637795276pt" color="#000000" joinstyle="round"/>
                  <v:imagedata o:title=""/>
                  <o:lock v:ext="edit" aspectratio="f"/>
                </v:shape>
                <v:shape id="Freeform 237" o:spid="_x0000_s1026" o:spt="100" style="position:absolute;left:5171;top:3367;height:223;width:192;" filled="f" stroked="t" coordsize="192,223" o:gfxdata="UEsDBAoAAAAAAIdO4kAAAAAAAAAAAAAAAAAEAAAAZHJzL1BLAwQUAAAACACHTuJAVfzzHL0AAADc&#10;AAAADwAAAGRycy9kb3ducmV2LnhtbEWPQWsCMRSE7wX/Q3gFbzXRg7Rbo0hBscfa9dDbY/PMru57&#10;WTfpqv++KRR6HGbmG2axunGrBupjE8TCdGJAkVTBNeItlJ+bp2dQMaE4bIOQhTtFWC1HDwssXLjK&#10;Bw375FWGSCzQQp1SV2gdq5oY4yR0JNk7hp4xZdl77Xq8Zji3embMXDM2khdq7Oitpuq8/2YLvC7T&#10;ffd1KYfjuyf2hy2tT2zt+HFqXkEluqX/8F975yzMzAv8nslHQC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V/PMcvQAA&#10;ANwAAAAPAAAAAAAAAAEAIAAAACIAAABkcnMvZG93bnJldi54bWxQSwECFAAUAAAACACHTuJAMy8F&#10;njsAAAA5AAAAEAAAAAAAAAABACAAAAAMAQAAZHJzL3NoYXBleG1sLnhtbFBLBQYAAAAABgAGAFsB&#10;AAC2AwAAAAA=&#10;" path="m0,223l192,0e">
                  <v:path o:connectlocs="0,3590;192,3367;192,3367" o:connectangles="0,0,0"/>
                  <v:fill on="f" focussize="0,0"/>
                  <v:stroke weight="0.0118897637795276pt" color="#000000" joinstyle="round"/>
                  <v:imagedata o:title=""/>
                  <o:lock v:ext="edit" aspectratio="f"/>
                </v:shape>
                <v:shape id="Freeform 236" o:spid="_x0000_s1026" o:spt="100" style="position:absolute;left:5231;top:3367;height:238;width:205;" filled="f" stroked="t" coordsize="205,238" o:gfxdata="UEsDBAoAAAAAAIdO4kAAAAAAAAAAAAAAAAAEAAAAZHJzL1BLAwQUAAAACACHTuJAgGMLDroAAADc&#10;AAAADwAAAGRycy9kb3ducmV2LnhtbEVPzWrCQBC+F3yHZYTe6m4sSJu6ClUCUvDQ2AcYstMkNDsb&#10;s6uJfXrnUOjx4/tfbyffqSsNsQ1sIVsYUMRVcC3XFr5OxdMLqJiQHXaBycKNImw3s4c15i6M/EnX&#10;MtVKQjjmaKFJqc+1jlVDHuMi9MTCfYfBYxI41NoNOEq47/TSmJX22LI0NNjTrqHqp7x4Cx/P77up&#10;ML/HPb6Wxe08iiisrH2cZ+YNVKIp/Yv/3AdnYZnJfDkjR0Bv7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AYwsOugAAANwA&#10;AAAPAAAAAAAAAAEAIAAAACIAAABkcnMvZG93bnJldi54bWxQSwECFAAUAAAACACHTuJAMy8FnjsA&#10;AAA5AAAAEAAAAAAAAAABACAAAAAJAQAAZHJzL3NoYXBleG1sLnhtbFBLBQYAAAAABgAGAFsBAACz&#10;AwAAAAA=&#10;" path="m0,237l204,0e">
                  <v:path o:connectlocs="0,3604;204,3367;204,3367" o:connectangles="0,0,0"/>
                  <v:fill on="f" focussize="0,0"/>
                  <v:stroke weight="0.0118897637795276pt" color="#000000" joinstyle="round"/>
                  <v:imagedata o:title=""/>
                  <o:lock v:ext="edit" aspectratio="f"/>
                </v:shape>
                <v:shape id="Freeform 235" o:spid="_x0000_s1026" o:spt="100" style="position:absolute;left:5304;top:3367;height:238;width:205;" filled="f" stroked="t" coordsize="205,238" o:gfxdata="UEsDBAoAAAAAAIdO4kAAAAAAAAAAAAAAAAAEAAAAZHJzL1BLAwQUAAAACACHTuJA7y+ulb0AAADc&#10;AAAADwAAAGRycy9kb3ducmV2LnhtbEWP0WrCQBRE3wv+w3ILvjW7UZAaXYVaAiL0wegHXLK3SWj2&#10;bsxuTfTr3YLQx2HOzDDr7WhbcaXeN441pIkCQVw603Cl4XzK395B+IBssHVMGm7kYbuZvKwxM27g&#10;I12LUIlYwj5DDXUIXSalL2uy6BPXEUfv2/UWQ5R9JU2PQyy3rZwptZAWG44LNXa0q6n8KX6thsP8&#10;Yzfm6v71icsiv12GCLmF1tPXVK1ABBrDP/xM742GWZrC35l4BOTm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L66VvQAA&#10;ANwAAAAPAAAAAAAAAAEAIAAAACIAAABkcnMvZG93bnJldi54bWxQSwECFAAUAAAACACHTuJAMy8F&#10;njsAAAA5AAAAEAAAAAAAAAABACAAAAAMAQAAZHJzL3NoYXBleG1sLnhtbFBLBQYAAAAABgAGAFsB&#10;AAC2AwAAAAA=&#10;" path="m0,237l204,0e">
                  <v:path o:connectlocs="0,3604;204,3367;204,3367" o:connectangles="0,0,0"/>
                  <v:fill on="f" focussize="0,0"/>
                  <v:stroke weight="0.0118897637795276pt" color="#000000" joinstyle="round"/>
                  <v:imagedata o:title=""/>
                  <o:lock v:ext="edit" aspectratio="f"/>
                </v:shape>
                <v:shape id="Freeform 234" o:spid="_x0000_s1026" o:spt="100" style="position:absolute;left:5377;top:3367;height:238;width:205;" filled="f" stroked="t" coordsize="205,238" o:gfxdata="UEsDBAoAAAAAAIdO4kAAAAAAAAAAAAAAAAAEAAAAZHJzL1BLAwQUAAAACACHTuJAH/0w4r0AAADc&#10;AAAADwAAAGRycy9kb3ducmV2LnhtbEWP0WrCQBRE3wv+w3KFvtXdRJAaXQUtASn4YNoPuGSvSTB7&#10;N2a3Jvbru4LQx2HOzDDr7WhbcaPeN441JDMFgrh0puFKw/dX/vYOwgdkg61j0nAnD9vN5GWNmXED&#10;n+hWhErEEvYZaqhD6DIpfVmTRT9zHXH0zq63GKLsK2l6HGK5bWWq1EJabDgu1NjRvqbyUvxYDZ/z&#10;3X7M1e/xA5dFfr8OEXILrV+niVqBCDSGf/iZPhgNaZLC40w8AnLz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f/TDivQAA&#10;ANwAAAAPAAAAAAAAAAEAIAAAACIAAABkcnMvZG93bnJldi54bWxQSwECFAAUAAAACACHTuJAMy8F&#10;njsAAAA5AAAAEAAAAAAAAAABACAAAAAMAQAAZHJzL3NoYXBleG1sLnhtbFBLBQYAAAAABgAGAFsB&#10;AAC2AwAAAAA=&#10;" path="m0,237l204,0e">
                  <v:path o:connectlocs="0,3604;204,3367;204,3367" o:connectangles="0,0,0"/>
                  <v:fill on="f" focussize="0,0"/>
                  <v:stroke weight="0.0118897637795276pt" color="#000000" joinstyle="round"/>
                  <v:imagedata o:title=""/>
                  <o:lock v:ext="edit" aspectratio="f"/>
                </v:shape>
                <v:shape id="Freeform 233" o:spid="_x0000_s1026" o:spt="100" style="position:absolute;left:5450;top:3367;height:238;width:205;" filled="f" stroked="t" coordsize="205,238" o:gfxdata="UEsDBAoAAAAAAIdO4kAAAAAAAAAAAAAAAAAEAAAAZHJzL1BLAwQUAAAACACHTuJAcLGVeb0AAADc&#10;AAAADwAAAGRycy9kb3ducmV2LnhtbEWP0WrCQBRE3wv+w3IF3+puFKRGV0ElUIQ+NPoBl+w1CWbv&#10;xuzWRL/eLRT6OMyZGWa9HWwj7tT52rGGZKpAEBfO1FxqOJ+y9w8QPiAbbByThgd52G5Gb2tMjev5&#10;m+55KEUsYZ+ihiqENpXSFxVZ9FPXEkfv4jqLIcqulKbDPpbbRs6UWkiLNceFClvaV1Rc8x+r4Tjf&#10;7YdMPb8OuMyzx62PkFtoPRknagUi0BD+4b/0p9EwS+bweyYeAbl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wsZV5vQAA&#10;ANwAAAAPAAAAAAAAAAEAIAAAACIAAABkcnMvZG93bnJldi54bWxQSwECFAAUAAAACACHTuJAMy8F&#10;njsAAAA5AAAAEAAAAAAAAAABACAAAAAMAQAAZHJzL3NoYXBleG1sLnhtbFBLBQYAAAAABgAGAFsB&#10;AAC2AwAAAAA=&#10;" path="m0,237l204,0e">
                  <v:path o:connectlocs="0,3604;204,3367;204,3367" o:connectangles="0,0,0"/>
                  <v:fill on="f" focussize="0,0"/>
                  <v:stroke weight="0.0118897637795276pt" color="#000000" joinstyle="round"/>
                  <v:imagedata o:title=""/>
                  <o:lock v:ext="edit" aspectratio="f"/>
                </v:shape>
                <v:shape id="Freeform 232" o:spid="_x0000_s1026" o:spt="100" style="position:absolute;left:5523;top:3367;height:238;width:205;" filled="f" stroked="t" coordsize="205,238" o:gfxdata="UEsDBAoAAAAAAIdO4kAAAAAAAAAAAAAAAAAEAAAAZHJzL1BLAwQUAAAACACHTuJA/1gNDb0AAADc&#10;AAAADwAAAGRycy9kb3ducmV2LnhtbEWP0WrCQBRE3wv+w3IF3+putIhGV0FLQAp9aPQDLtlrEsze&#10;jdmtiX59t1Do4zBnZpjNbrCNuFPna8cakqkCQVw4U3Op4XzKXpcgfEA22DgmDQ/ysNuOXjaYGtfz&#10;F93zUIpYwj5FDVUIbSqlLyqy6KeuJY7exXUWQ5RdKU2HfSy3jZwptZAWa44LFbZ0qKi45t9Ww8d8&#10;fxgy9fx8x1WePW59hNxC68k4UWsQgYbwD/+lj0bDLHmD3zPxCMjt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WA0NvQAA&#10;ANwAAAAPAAAAAAAAAAEAIAAAACIAAABkcnMvZG93bnJldi54bWxQSwECFAAUAAAACACHTuJAMy8F&#10;njsAAAA5AAAAEAAAAAAAAAABACAAAAAMAQAAZHJzL3NoYXBleG1sLnhtbFBLBQYAAAAABgAGAFsB&#10;AAC2AwAAAAA=&#10;" path="m0,237l204,0e">
                  <v:path o:connectlocs="0,3604;204,3367;204,3367" o:connectangles="0,0,0"/>
                  <v:fill on="f" focussize="0,0"/>
                  <v:stroke weight="0.0118897637795276pt" color="#000000" joinstyle="round"/>
                  <v:imagedata o:title=""/>
                  <o:lock v:ext="edit" aspectratio="f"/>
                </v:shape>
                <v:shape id="Freeform 231" o:spid="_x0000_s1026" o:spt="100" style="position:absolute;left:5596;top:3367;height:238;width:205;" filled="f" stroked="t" coordsize="205,238" o:gfxdata="UEsDBAoAAAAAAIdO4kAAAAAAAAAAAAAAAAAEAAAAZHJzL1BLAwQUAAAACACHTuJAkBSolr0AAADc&#10;AAAADwAAAGRycy9kb3ducmV2LnhtbEWP0WrCQBRE3wv+w3IF3+pulIpGV0FLQAp9aPQDLtlrEsze&#10;jdmtiX59t1Do4zBnZpjNbrCNuFPna8cakqkCQVw4U3Op4XzKXpcgfEA22DgmDQ/ysNuOXjaYGtfz&#10;F93zUIpYwj5FDVUIbSqlLyqy6KeuJY7exXUWQ5RdKU2HfSy3jZwptZAWa44LFbZ0qKi45t9Ww8d8&#10;fxgy9fx8x1WePW59hNxC68k4UWsQgYbwD/+lj0bDLHmD3zPxCMjt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QFKiWvQAA&#10;ANwAAAAPAAAAAAAAAAEAIAAAACIAAABkcnMvZG93bnJldi54bWxQSwECFAAUAAAACACHTuJAMy8F&#10;njsAAAA5AAAAEAAAAAAAAAABACAAAAAMAQAAZHJzL3NoYXBleG1sLnhtbFBLBQYAAAAABgAGAFsB&#10;AAC2AwAAAAA=&#10;" path="m0,237l195,10,204,0e">
                  <v:path o:connectlocs="0,3604;195,3377;204,3367;204,3367" o:connectangles="0,0,0,0"/>
                  <v:fill on="f" focussize="0,0"/>
                  <v:stroke weight="0.0118897637795276pt" color="#000000" joinstyle="round"/>
                  <v:imagedata o:title=""/>
                  <o:lock v:ext="edit" aspectratio="f"/>
                </v:shape>
                <v:shape id="Freeform 230" o:spid="_x0000_s1026" o:spt="100" style="position:absolute;left:5669;top:3367;height:238;width:205;" filled="f" stroked="t" coordsize="205,238" o:gfxdata="UEsDBAoAAAAAAIdO4kAAAAAAAAAAAAAAAAAEAAAAZHJzL1BLAwQUAAAACACHTuJAYMY24b0AAADc&#10;AAAADwAAAGRycy9kb3ducmV2LnhtbEWP0WrCQBRE3wv+w3KFvtXdWAg1ugpaAkXog9EPuGSvSTB7&#10;N2a3Jvbr3YLQx2HOzDCrzWhbcaPeN441JDMFgrh0puFKw+mYv32A8AHZYOuYNNzJw2Y9eVlhZtzA&#10;B7oVoRKxhH2GGuoQukxKX9Zk0c9cRxy9s+sthij7Spoeh1huWzlXKpUWG44LNXa0q6m8FD9Ww/59&#10;uxtz9fv9iYsiv1+HCLlU69dpopYgAo3hH36mv4yGeZLC35l4BOT6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gxjbhvQAA&#10;ANwAAAAPAAAAAAAAAAEAIAAAACIAAABkcnMvZG93bnJldi54bWxQSwECFAAUAAAACACHTuJAMy8F&#10;njsAAAA5AAAAEAAAAAAAAAABACAAAAAMAQAAZHJzL3NoYXBleG1sLnhtbFBLBQYAAAAABgAGAFsB&#10;AAC2AwAAAAA=&#10;" path="m0,237l122,94,203,0,204,0e">
                  <v:path o:connectlocs="0,3604;122,3461;203,3367;204,3367" o:connectangles="0,0,0,0"/>
                  <v:fill on="f" focussize="0,0"/>
                  <v:stroke weight="0.0118897637795276pt" color="#000000" joinstyle="round"/>
                  <v:imagedata o:title=""/>
                  <o:lock v:ext="edit" aspectratio="f"/>
                </v:shape>
                <v:shape id="Freeform 229" o:spid="_x0000_s1026" o:spt="100" style="position:absolute;left:5742;top:3367;height:238;width:205;" filled="f" stroked="t" coordsize="205,238" o:gfxdata="UEsDBAoAAAAAAIdO4kAAAAAAAAAAAAAAAAAEAAAAZHJzL1BLAwQUAAAACACHTuJAD4qTer0AAADc&#10;AAAADwAAAGRycy9kb3ducmV2LnhtbEWP0WrCQBRE3wv+w3IF3+puFKxGV0FLQAp9aPQDLtlrEsze&#10;jdmtiX59t1Do4zBnZpjNbrCNuFPna8cakqkCQVw4U3Op4XzKXpcgfEA22DgmDQ/ysNuOXjaYGtfz&#10;F93zUIpYwj5FDVUIbSqlLyqy6KeuJY7exXUWQ5RdKU2HfSy3jZwptZAWa44LFbZ0qKi45t9Ww8d8&#10;fxgy9fx8x1WePW59hNxC68k4UWsQgYbwD/+lj0bDLHmD3zPxCMjt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ipN6vQAA&#10;ANwAAAAPAAAAAAAAAAEAIAAAACIAAABkcnMvZG93bnJldi54bWxQSwECFAAUAAAACACHTuJAMy8F&#10;njsAAAA5AAAAEAAAAAAAAAABACAAAAAMAQAAZHJzL3NoYXBleG1sLnhtbFBLBQYAAAAABgAGAFsB&#10;AAC2AwAAAAA=&#10;" path="m0,237l49,179,203,0,204,0e">
                  <v:path o:connectlocs="0,3604;49,3546;203,3367;204,3367" o:connectangles="0,0,0,0"/>
                  <v:fill on="f" focussize="0,0"/>
                  <v:stroke weight="0.0118897637795276pt" color="#000000" joinstyle="round"/>
                  <v:imagedata o:title=""/>
                  <o:lock v:ext="edit" aspectratio="f"/>
                </v:shape>
                <v:shape id="Freeform 228" o:spid="_x0000_s1026" o:spt="100" style="position:absolute;left:5815;top:3367;height:238;width:205;" filled="f" stroked="t" coordsize="205,238" o:gfxdata="UEsDBAoAAAAAAIdO4kAAAAAAAAAAAAAAAAAEAAAAZHJzL1BLAwQUAAAACACHTuJAfhUHCLoAAADc&#10;AAAADwAAAGRycy9kb3ducmV2LnhtbEVPzWrCQBC+F3yHZYTe6m4sSJu6ClUCUvDQ2AcYstMkNDsb&#10;s6uJfXrnUOjx4/tfbyffqSsNsQ1sIVsYUMRVcC3XFr5OxdMLqJiQHXaBycKNImw3s4c15i6M/EnX&#10;MtVKQjjmaKFJqc+1jlVDHuMi9MTCfYfBYxI41NoNOEq47/TSmJX22LI0NNjTrqHqp7x4Cx/P77up&#10;ML/HPb6Wxe08iiisrH2cZ+YNVKIp/Yv/3AdnYZnJWjkjR0Bv7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FQcIugAAANwA&#10;AAAPAAAAAAAAAAEAIAAAACIAAABkcnMvZG93bnJldi54bWxQSwECFAAUAAAACACHTuJAMy8FnjsA&#10;AAA5AAAAEAAAAAAAAAABACAAAAAJAQAAZHJzL3NoYXBleG1sLnhtbFBLBQYAAAAABgAGAFsBAACz&#10;AwAAAAA=&#10;" path="m0,237l203,0,204,0e">
                  <v:path o:connectlocs="0,3604;203,3367;204,3367" o:connectangles="0,0,0"/>
                  <v:fill on="f" focussize="0,0"/>
                  <v:stroke weight="0.0118897637795276pt" color="#000000" joinstyle="round"/>
                  <v:imagedata o:title=""/>
                  <o:lock v:ext="edit" aspectratio="f"/>
                </v:shape>
                <v:shape id="Freeform 227" o:spid="_x0000_s1026" o:spt="100" style="position:absolute;left:5888;top:3367;height:238;width:205;" filled="f" stroked="t" coordsize="205,238" o:gfxdata="UEsDBAoAAAAAAIdO4kAAAAAAAAAAAAAAAAAEAAAAZHJzL1BLAwQUAAAACACHTuJAEVmik70AAADc&#10;AAAADwAAAGRycy9kb3ducmV2LnhtbEWP0WrCQBRE3wv+w3KFvtXdKEiNroKWgBR8MPoBl+w1CWbv&#10;xuzWxH59VxD6OMyZGWa1GWwj7tT52rGGZKJAEBfO1FxqOJ+yj08QPiAbbByThgd52KxHbytMjev5&#10;SPc8lCKWsE9RQxVCm0rpi4os+olriaN3cZ3FEGVXStNhH8ttI6dKzaXFmuNChS3tKiqu+Y/V8D3b&#10;7oZM/R6+cJFnj1sfITfX+n2cqCWIQEP4h1/pvdEwTRbwPBOPgFz/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RWaKTvQAA&#10;ANwAAAAPAAAAAAAAAAEAIAAAACIAAABkcnMvZG93bnJldi54bWxQSwECFAAUAAAACACHTuJAMy8F&#10;njsAAAA5AAAAEAAAAAAAAAABACAAAAAMAQAAZHJzL3NoYXBleG1sLnhtbFBLBQYAAAAABgAGAFsB&#10;AAC2AwAAAAA=&#10;" path="m0,237l203,0,204,0e">
                  <v:path o:connectlocs="0,3604;203,3367;204,3367" o:connectangles="0,0,0"/>
                  <v:fill on="f" focussize="0,0"/>
                  <v:stroke weight="0.0118897637795276pt" color="#000000" joinstyle="round"/>
                  <v:imagedata o:title=""/>
                  <o:lock v:ext="edit" aspectratio="f"/>
                </v:shape>
                <v:shape id="Freeform 226" o:spid="_x0000_s1026" o:spt="100" style="position:absolute;left:5961;top:3367;height:238;width:205;" filled="f" stroked="t" coordsize="205,238" o:gfxdata="UEsDBAoAAAAAAIdO4kAAAAAAAAAAAAAAAAAEAAAAZHJzL1BLAwQUAAAACACHTuJATg/Bs7oAAADc&#10;AAAADwAAAGRycy9kb3ducmV2LnhtbEVPzWrCQBC+F/oOyxR6q7umIG10FbQEpOChsQ8wZMckmJ1N&#10;s6uJfXrnUOjx4/tfbSbfqSsNsQ1sYT4zoIir4FquLXwfi5c3UDEhO+wCk4UbRdisHx9WmLsw8hdd&#10;y1QrCeGYo4UmpT7XOlYNeYyz0BMLdwqDxyRwqLUbcJRw3+nMmIX22LI0NNjTrqHqXF68hc/X7W4q&#10;zO/hA9/L4vYziigsrH1+mpslqERT+hf/uffOQpbJfDkjR0Cv7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OD8GzugAAANwA&#10;AAAPAAAAAAAAAAEAIAAAACIAAABkcnMvZG93bnJldi54bWxQSwECFAAUAAAACACHTuJAMy8FnjsA&#10;AAA5AAAAEAAAAAAAAAABACAAAAAJAQAAZHJzL3NoYXBleG1sLnhtbFBLBQYAAAAABgAGAFsBAACz&#10;AwAAAAA=&#10;" path="m0,237l203,0,204,0e">
                  <v:path o:connectlocs="0,3604;203,3367;204,3367" o:connectangles="0,0,0"/>
                  <v:fill on="f" focussize="0,0"/>
                  <v:stroke weight="0.0118897637795276pt" color="#000000" joinstyle="round"/>
                  <v:imagedata o:title=""/>
                  <o:lock v:ext="edit" aspectratio="f"/>
                </v:shape>
                <v:shape id="Freeform 225" o:spid="_x0000_s1026" o:spt="100" style="position:absolute;left:6034;top:3367;height:238;width:205;" filled="f" stroked="t" coordsize="205,238" o:gfxdata="UEsDBAoAAAAAAIdO4kAAAAAAAAAAAAAAAAAEAAAAZHJzL1BLAwQUAAAACACHTuJAIUNkKL0AAADc&#10;AAAADwAAAGRycy9kb3ducmV2LnhtbEWP0WrCQBRE3wv+w3KFvtXdRJAaXQUtASn4YNoPuGSvSTB7&#10;N2a3Jvbru4LQx2HOzDDr7WhbcaPeN441JDMFgrh0puFKw/dX/vYOwgdkg61j0nAnD9vN5GWNmXED&#10;n+hWhErEEvYZaqhD6DIpfVmTRT9zHXH0zq63GKLsK2l6HGK5bWWq1EJabDgu1NjRvqbyUvxYDZ/z&#10;3X7M1e/xA5dFfr8OEXILrV+niVqBCDSGf/iZPhgNaZrA40w8AnLz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hQ2QovQAA&#10;ANwAAAAPAAAAAAAAAAEAIAAAACIAAABkcnMvZG93bnJldi54bWxQSwECFAAUAAAACACHTuJAMy8F&#10;njsAAAA5AAAAEAAAAAAAAAABACAAAAAMAQAAZHJzL3NoYXBleG1sLnhtbFBLBQYAAAAABgAGAFsB&#10;AAC2AwAAAAA=&#10;" path="m0,237l203,0,204,0e">
                  <v:path o:connectlocs="0,3604;203,3367;204,3367" o:connectangles="0,0,0"/>
                  <v:fill on="f" focussize="0,0"/>
                  <v:stroke weight="0.0118897637795276pt" color="#000000" joinstyle="round"/>
                  <v:imagedata o:title=""/>
                  <o:lock v:ext="edit" aspectratio="f"/>
                </v:shape>
                <v:shape id="Freeform 224" o:spid="_x0000_s1026" o:spt="100" style="position:absolute;left:6107;top:3367;height:238;width:205;" filled="f" stroked="t" coordsize="205,238" o:gfxdata="UEsDBAoAAAAAAIdO4kAAAAAAAAAAAAAAAAAEAAAAZHJzL1BLAwQUAAAACACHTuJA0ZH6X70AAADc&#10;AAAADwAAAGRycy9kb3ducmV2LnhtbEWP0WrCQBRE3wv+w3ILvjW7RpAaXYUqASn40OgHXLK3SWj2&#10;bsyuJvr1XaHQx2HOzDDr7WhbcaPeN441zBIFgrh0puFKw/mUv72D8AHZYOuYNNzJw3YzeVljZtzA&#10;X3QrQiViCfsMNdQhdJmUvqzJok9cRxy9b9dbDFH2lTQ9DrHctjJVaiEtNhwXauxoV1P5U1yths/5&#10;x27M1eO4x2WR3y9DhNxC6+nrTK1ABBrDP/yXPhgNaZrC80w8AnLz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RkfpfvQAA&#10;ANwAAAAPAAAAAAAAAAEAIAAAACIAAABkcnMvZG93bnJldi54bWxQSwECFAAUAAAACACHTuJAMy8F&#10;njsAAAA5AAAAEAAAAAAAAAABACAAAAAMAQAAZHJzL3NoYXBleG1sLnhtbFBLBQYAAAAABgAGAFsB&#10;AAC2AwAAAAA=&#10;" path="m0,237l204,0,205,0e">
                  <v:path o:connectlocs="0,3604;204,3367;205,3367" o:connectangles="0,0,0"/>
                  <v:fill on="f" focussize="0,0"/>
                  <v:stroke weight="0.0118897637795276pt" color="#000000" joinstyle="round"/>
                  <v:imagedata o:title=""/>
                  <o:lock v:ext="edit" aspectratio="f"/>
                </v:shape>
                <v:shape id="Freeform 223" o:spid="_x0000_s1026" o:spt="100" style="position:absolute;left:6180;top:3367;height:238;width:205;" filled="f" stroked="t" coordsize="205,238" o:gfxdata="UEsDBAoAAAAAAIdO4kAAAAAAAAAAAAAAAAAEAAAAZHJzL1BLAwQUAAAACACHTuJAvt1fxL0AAADc&#10;AAAADwAAAGRycy9kb3ducmV2LnhtbEWP0WrCQBRE3wX/YblC38yuEcSmroJKoBR8aOwHXLK3STB7&#10;N2a3Jvbru0LBx2HOzDCb3WhbcaPeN441LBIFgrh0puFKw9c5n69B+IBssHVMGu7kYbedTjaYGTfw&#10;J92KUIlYwj5DDXUIXSalL2uy6BPXEUfv2/UWQ5R9JU2PQyy3rUyVWkmLDceFGjs61FReih+r4WO5&#10;P4y5+j0d8bXI79chQm6l9ctsod5ABBrDE/5PvxsNabqEx5l4BOT2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3V/EvQAA&#10;ANwAAAAPAAAAAAAAAAEAIAAAACIAAABkcnMvZG93bnJldi54bWxQSwECFAAUAAAACACHTuJAMy8F&#10;njsAAAA5AAAAEAAAAAAAAAABACAAAAAMAQAAZHJzL3NoYXBleG1sLnhtbFBLBQYAAAAABgAGAFsB&#10;AAC2AwAAAAA=&#10;" path="m0,237l204,0,205,0e">
                  <v:path o:connectlocs="0,3604;204,3367;205,3367" o:connectangles="0,0,0"/>
                  <v:fill on="f" focussize="0,0"/>
                  <v:stroke weight="0.0118897637795276pt" color="#000000" joinstyle="round"/>
                  <v:imagedata o:title=""/>
                  <o:lock v:ext="edit" aspectratio="f"/>
                </v:shape>
                <v:shape id="Freeform 222" o:spid="_x0000_s1026" o:spt="100" style="position:absolute;left:6253;top:3418;height:187;width:161;" filled="f" stroked="t" coordsize="161,187" o:gfxdata="UEsDBAoAAAAAAIdO4kAAAAAAAAAAAAAAAAAEAAAAZHJzL1BLAwQUAAAACACHTuJAegIkmLwAAADc&#10;AAAADwAAAGRycy9kb3ducmV2LnhtbEWPQWsCMRSE7wX/Q3hCL0WzLlZkNQoqgtfa0vPbzXOzunlZ&#10;klTXf28KgsdhZr5hluvetuJKPjSOFUzGGQjiyumGawU/3/vRHESIyBpbx6TgTgHWq8HbEgvtbvxF&#10;12OsRYJwKFCBibErpAyVIYth7Dri5J2ctxiT9LXUHm8JbluZZ9lMWmw4LRjsaGuouhz/rAKe4kfZ&#10;9Dtz3lUl7X/9ttx83pV6H06yBYhIfXyFn+2DVpDnU/g/k46AXD0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oCJJi8AAAA&#10;3AAAAA8AAAAAAAAAAQAgAAAAIgAAAGRycy9kb3ducmV2LnhtbFBLAQIUABQAAAAIAIdO4kAzLwWe&#10;OwAAADkAAAAQAAAAAAAAAAEAIAAAAAsBAABkcnMvc2hhcGV4bWwueG1sUEsFBgAAAAAGAAYAWwEA&#10;ALUDAAAAAA==&#10;" path="m0,186l161,0e">
                  <v:path o:connectlocs="0,3604;161,3418;161,3418" o:connectangles="0,0,0"/>
                  <v:fill on="f" focussize="0,0"/>
                  <v:stroke weight="0.0118897637795276pt" color="#000000" joinstyle="round"/>
                  <v:imagedata o:title=""/>
                  <o:lock v:ext="edit" aspectratio="f"/>
                </v:shape>
                <v:shape id="Freeform 221" o:spid="_x0000_s1026" o:spt="100" style="position:absolute;left:6326;top:3502;height:102;width:88;" filled="f" stroked="t" coordsize="88,102" o:gfxdata="UEsDBAoAAAAAAIdO4kAAAAAAAAAAAAAAAAAEAAAAZHJzL1BLAwQUAAAACACHTuJAg5Tqxb4AAADc&#10;AAAADwAAAGRycy9kb3ducmV2LnhtbEWPQWvCQBSE70L/w/IEb7qbQEWiaw6RQimWUtuLt0f2mQSz&#10;b5fsVmN/fVcoeBxm5htmU462FxcaQudYQ7ZQIIhrZzpuNHx/vcxXIEJENtg7Jg03ClBunyYbLIy7&#10;8iddDrERCcKhQA1tjL6QMtQtWQwL54mTd3KDxZjk0Egz4DXBbS9zpZbSYsdpoUVPVUv1+fBjNRj1&#10;UY9Z5/1u/8bV8T33e/XrtZ5NM7UGEWmMj/B/+9VoyPNnuJ9JR0Bu/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5Tqxb4A&#10;AADcAAAADwAAAAAAAAABACAAAAAiAAAAZHJzL2Rvd25yZXYueG1sUEsBAhQAFAAAAAgAh07iQDMv&#10;BZ47AAAAOQAAABAAAAAAAAAAAQAgAAAADQEAAGRycy9zaGFwZXhtbC54bWxQSwUGAAAAAAYABgBb&#10;AQAAtwMAAAAA&#10;" path="m0,101l88,0e">
                  <v:path o:connectlocs="0,3604;88,3503;88,3503" o:connectangles="0,0,0"/>
                  <v:fill on="f" focussize="0,0"/>
                  <v:stroke weight="0.0118897637795276pt" color="#000000" joinstyle="round"/>
                  <v:imagedata o:title=""/>
                  <o:lock v:ext="edit" aspectratio="f"/>
                </v:shape>
                <v:shape id="Freeform 220" o:spid="_x0000_s1026" o:spt="100" style="position:absolute;left:6399;top:3587;height:17;width:15;" filled="f" stroked="t" coordsize="15,17" o:gfxdata="UEsDBAoAAAAAAIdO4kAAAAAAAAAAAAAAAAAEAAAAZHJzL1BLAwQUAAAACACHTuJAXiJo3LsAAADc&#10;AAAADwAAAGRycy9kb3ducmV2LnhtbEWPzYrCQBCE78K+w9AL3rRjwB+yjh4EXY/rzwM0md4kONMT&#10;MmN0ffodQfBYVNVX1HJ9d1b13IXGi4bJOAPFUnrTSKXhfNqOFqBCJDFkvbCGPw6wXn0MllQYf5MD&#10;98dYqQSRUJCGOsa2QAxlzY7C2Lcsyfv1naOYZFeh6eiW4M5inmUzdNRIWqip5U3N5eV4dRq+Ea3d&#10;2MXP7uLmYXo99CfzQK2Hn5PsC1Tke3yHX+290ZDnM3ieSUcAV/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iJo3LsAAADc&#10;AAAADwAAAAAAAAABACAAAAAiAAAAZHJzL2Rvd25yZXYueG1sUEsBAhQAFAAAAAgAh07iQDMvBZ47&#10;AAAAOQAAABAAAAAAAAAAAQAgAAAACgEAAGRycy9zaGFwZXhtbC54bWxQSwUGAAAAAAYABgBbAQAA&#10;tAMAAAAA&#10;" path="m0,16l15,0e">
                  <v:path o:connectlocs="0,3604;15,3588;15,3588" o:connectangles="0,0,0"/>
                  <v:fill on="f" focussize="0,0"/>
                  <v:stroke weight="0.0118897637795276pt" color="#000000" joinstyle="round"/>
                  <v:imagedata o:title=""/>
                  <o:lock v:ext="edit" aspectratio="f"/>
                </v:shape>
                <v:rect id="Rectangle 219" o:spid="_x0000_s1026" o:spt="1" style="position:absolute;left:3570;top:3592;height:25;width:4551;" fillcolor="#000000" filled="t" stroked="f" coordsize="21600,21600" o:gfxdata="UEsDBAoAAAAAAIdO4kAAAAAAAAAAAAAAAAAEAAAAZHJzL1BLAwQUAAAACACHTuJAiYrxyL8AAADc&#10;AAAADwAAAGRycy9kb3ducmV2LnhtbEWPT2sCMRTE7wW/Q3iCN01crLWrUbAgeBGq9lBvz81zd3Hz&#10;sk3in/bTNwWhx2FmfsPMFnfbiCv5UDvWMBwoEMSFMzWXGj72q/4ERIjIBhvHpOGbAizmnacZ5sbd&#10;eEvXXSxFgnDIUUMVY5tLGYqKLIaBa4mTd3LeYkzSl9J4vCW4bWSm1FharDktVNjSW0XFeXexGpav&#10;k+XX+4g3P9vjgQ6fx/Nz5pXWve5QTUFEusf/8KO9Nhqy7AX+zqQjIO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mK8ci/&#10;AAAA3AAAAA8AAAAAAAAAAQAgAAAAIgAAAGRycy9kb3ducmV2LnhtbFBLAQIUABQAAAAIAIdO4kAz&#10;LwWeOwAAADkAAAAQAAAAAAAAAAEAIAAAAA4BAABkcnMvc2hhcGV4bWwueG1sUEsFBgAAAAAGAAYA&#10;WwEAALgDAAAAAA==&#10;">
                  <v:fill on="t" focussize="0,0"/>
                  <v:stroke on="f"/>
                  <v:imagedata o:title=""/>
                  <o:lock v:ext="edit" aspectratio="f"/>
                </v:rect>
                <v:rect id="Rectangle 218" o:spid="_x0000_s1026" o:spt="1" style="position:absolute;left:3570;top:3592;height:25;width:4551;" fillcolor="#000000" filled="t" stroked="f" coordsize="21600,21600" o:gfxdata="UEsDBAoAAAAAAIdO4kAAAAAAAAAAAAAAAAAEAAAAZHJzL1BLAwQUAAAACACHTuJA+BVlurwAAADc&#10;AAAADwAAAGRycy9kb3ducmV2LnhtbEVPz2vCMBS+C/4P4Qm7aWKZ4qqp4GCwy2C6Hebt2Tzb0ual&#10;SzJ1/vXmIHj8+H6v1hfbiRP50DjWMJ0oEMSlMw1XGr6/3sYLECEiG+wck4Z/CrAuhoMV5sadeUun&#10;XaxECuGQo4Y6xj6XMpQ1WQwT1xMn7ui8xZigr6TxeE7htpOZUnNpseHUUGNPrzWV7e7Pati8LDa/&#10;n8/8cd0e9rT/ObSzzCutn0ZTtQQR6RIf4rv73WjIsrQ2nUlHQBY3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gVZbq8AAAA&#10;3AAAAA8AAAAAAAAAAQAgAAAAIgAAAGRycy9kb3ducmV2LnhtbFBLAQIUABQAAAAIAIdO4kAzLwWe&#10;OwAAADkAAAAQAAAAAAAAAAEAIAAAAAsBAABkcnMvc2hhcGV4bWwueG1sUEsFBgAAAAAGAAYAWwEA&#10;ALUDAAAAAA==&#10;">
                  <v:fill on="t" focussize="0,0"/>
                  <v:stroke on="f"/>
                  <v:imagedata o:title=""/>
                  <o:lock v:ext="edit" aspectratio="f"/>
                </v:rect>
                <v:rect id="Rectangle 217" o:spid="_x0000_s1026" o:spt="1" style="position:absolute;left:3570;top:3592;height:25;width:4551;" filled="f" stroked="t" coordsize="21600,21600" o:gfxdata="UEsDBAoAAAAAAIdO4kAAAAAAAAAAAAAAAAAEAAAAZHJzL1BLAwQUAAAACACHTuJAWDTVtLkAAADc&#10;AAAADwAAAGRycy9kb3ducmV2LnhtbEWPzYrCQBCE78K+w9AL3nRiDrpGR2EXFK9r1nuTaTPBTE/M&#10;tH9vvyMIHouq+oparu++VVfqYxPYwGScgSKugm24NvBXbkZfoKIgW2wDk4EHRVivPgZLLGy48S9d&#10;91KrBOFYoAEn0hVax8qRxzgOHXHyjqH3KEn2tbY93hLctzrPsqn22HBacNjRj6PqtL94A6UvZ47F&#10;PqKlw2V3Zv/tZGvM8HOSLUAJ3eUdfrV31kCez+F5Jh0Bvfo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g01bS5AAAA3AAA&#10;AA8AAAAAAAAAAQAgAAAAIgAAAGRycy9kb3ducmV2LnhtbFBLAQIUABQAAAAIAIdO4kAzLwWeOwAA&#10;ADkAAAAQAAAAAAAAAAEAIAAAAAgBAABkcnMvc2hhcGV4bWwueG1sUEsFBgAAAAAGAAYAWwEAALID&#10;AAAAAA==&#10;">
                  <v:fill on="f" focussize="0,0"/>
                  <v:stroke weight="0.0129133858267717pt" color="#000000" miterlimit="8" joinstyle="miter"/>
                  <v:imagedata o:title=""/>
                  <o:lock v:ext="edit" aspectratio="f"/>
                </v:rect>
                <v:shape id="Freeform 216" o:spid="_x0000_s1026" o:spt="100" style="position:absolute;left:5792;top:3634;height:857;width:2;" filled="f" stroked="t" coordsize="1,857" o:gfxdata="UEsDBAoAAAAAAIdO4kAAAAAAAAAAAAAAAAAEAAAAZHJzL1BLAwQUAAAACACHTuJAokDUUrgAAADc&#10;AAAADwAAAGRycy9kb3ducmV2LnhtbEVPy4rCMBTdC/5DuAPubGJFHTpGF4LiRmGccX9p7rTV5qYm&#10;8fX3ZjHg8nDe8+XDtuJGPjSONYwyBYK4dKbhSsPvz3r4CSJEZIOtY9LwpADLRb83x8K4O3/T7RAr&#10;kUI4FKihjrErpAxlTRZD5jrixP05bzEm6CtpPN5TuG1lrtRUWmw4NdTY0aqm8ny4Wg1c7Y+n3Xm2&#10;ocvJXU30OanJRuvBx0h9gYj0iG/xv3trNOTjND+dSUdALl5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okDUUrgAAADcAAAA&#10;DwAAAAAAAAABACAAAAAiAAAAZHJzL2Rvd25yZXYueG1sUEsBAhQAFAAAAAgAh07iQDMvBZ47AAAA&#10;OQAAABAAAAAAAAAAAQAgAAAABwEAAGRycy9zaGFwZXhtbC54bWxQSwUGAAAAAAYABgBbAQAAsQMA&#10;AAAA&#10;" path="m0,0l0,857,1,857e">
                  <v:path o:connectlocs="0,3634;0,4491;2,4491" o:connectangles="0,0,0"/>
                  <v:fill on="f" focussize="0,0"/>
                  <v:stroke weight="0.0111023622047244pt" color="#000000" joinstyle="round"/>
                  <v:imagedata o:title=""/>
                  <o:lock v:ext="edit" aspectratio="f"/>
                </v:shape>
                <v:shape id="Freeform 215" o:spid="_x0000_s1026" o:spt="100" style="position:absolute;left:3935;top:3687;height:804;width:2;" filled="f" stroked="t" coordsize="1,804" o:gfxdata="UEsDBAoAAAAAAIdO4kAAAAAAAAAAAAAAAAAEAAAAZHJzL1BLAwQUAAAACACHTuJAa+cWYL0AAADc&#10;AAAADwAAAGRycy9kb3ducmV2LnhtbEWPX2vCMBTF3wf7DuEOfNO0jol0RhmDORERrGO+Xpq7pqy5&#10;qUm07tsbQdjj4fz5cWaLi23FmXxoHCvIRxkI4srphmsFX/uP4RREiMgaW8ek4I8CLOaPDzMstOt5&#10;R+cy1iKNcChQgYmxK6QMlSGLYeQ64uT9OG8xJulrqT32ady2cpxlE2mx4UQw2NG7oeq3PNkbxL34&#10;9dZsjm/dYbLclp99/31QavCUZ68gIl3if/jeXmkF4+ccbmfSEZDzK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r5xZgvQAA&#10;ANwAAAAPAAAAAAAAAAEAIAAAACIAAABkcnMvZG93bnJldi54bWxQSwECFAAUAAAACACHTuJAMy8F&#10;njsAAAA5AAAAEAAAAAAAAAABACAAAAAMAQAAZHJzL3NoYXBleG1sLnhtbFBLBQYAAAAABgAGAFsB&#10;AAC2AwAAAAA=&#10;" path="m0,0l0,803e">
                  <v:path o:connectlocs="0,3688;0,4491;0,4491" o:connectangles="0,0,0"/>
                  <v:fill on="f" focussize="0,0"/>
                  <v:stroke weight="0.0111023622047244pt" color="#000000" joinstyle="round"/>
                  <v:imagedata o:title=""/>
                  <o:lock v:ext="edit" aspectratio="f"/>
                </v:shape>
                <v:shape id="Freeform 214" o:spid="_x0000_s1026" o:spt="100" style="position:absolute;left:3935;top:4404;height:2;width:1858;" filled="f" stroked="t" coordsize="1858,1" o:gfxdata="UEsDBAoAAAAAAIdO4kAAAAAAAAAAAAAAAAAEAAAAZHJzL1BLAwQUAAAACACHTuJA6VhTqrkAAADc&#10;AAAADwAAAGRycy9kb3ducmV2LnhtbEWPywrCMBRE94L/EK7gTtNWEKnGLgRBEBc+PuDS3D6wuWmb&#10;+Px6Iwguh5k5w6yyp2nEnXpXW1YQTyMQxLnVNZcKLuftZAHCeWSNjWVS8CIH2Xo4WGGq7YOPdD/5&#10;UgQIuxQVVN63qZQur8igm9qWOHiF7Q36IPtS6h4fAW4amUTRXBqsOSxU2NKmovx6uhkFdbx4dWT3&#10;5/nB3Y5FN6M3J6TUeBRHSxCenv4f/rV3WkEyS+B7JhwBuf4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OlYU6q5AAAA3AAA&#10;AA8AAAAAAAAAAQAgAAAAIgAAAGRycy9kb3ducmV2LnhtbFBLAQIUABQAAAAIAIdO4kAzLwWeOwAA&#10;ADkAAAAQAAAAAAAAAAEAIAAAAAgBAABkcnMvc2hhcGV4bWwueG1sUEsFBgAAAAAGAAYAWwEAALID&#10;AAAAAA==&#10;" path="m1857,0l0,0e">
                  <v:path o:connectlocs="1857,0;0,0;0,0" o:connectangles="0,0,0"/>
                  <v:fill on="f" focussize="0,0"/>
                  <v:stroke weight="0.0129133858267717pt" color="#000000" joinstyle="round"/>
                  <v:imagedata o:title=""/>
                  <o:lock v:ext="edit" aspectratio="f"/>
                </v:shape>
                <v:shape id="Freeform 213" o:spid="_x0000_s1026" o:spt="100" style="position:absolute;left:4418;top:4049;height:97;width:89;" filled="f" stroked="t" coordsize="89,97" o:gfxdata="UEsDBAoAAAAAAIdO4kAAAAAAAAAAAAAAAAAEAAAAZHJzL1BLAwQUAAAACACHTuJAYpF85L8AAADc&#10;AAAADwAAAGRycy9kb3ducmV2LnhtbEWPW2sCMRSE3wX/QziCb252FaRujT5YCgpavLT19bA5blY3&#10;J8smXvrvm0LBx2FmvmGm84etxY1aXzlWkCUpCOLC6YpLBZ+H98ELCB+QNdaOScEPeZjPup0p5trd&#10;eUe3fShFhLDPUYEJocml9IUhiz5xDXH0Tq61GKJsS6lbvEe4reUwTcfSYsVxwWBDC0PFZX+1Cran&#10;87YwLhu/rT78sdqss4n+/lKq38vSVxCBHuEZ/m8vtYLhaAR/Z+IRkLN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KRfOS/&#10;AAAA3AAAAA8AAAAAAAAAAQAgAAAAIgAAAGRycy9kb3ducmV2LnhtbFBLAQIUABQAAAAIAIdO4kAz&#10;LwWeOwAAADkAAAAQAAAAAAAAAAEAIAAAAA4BAABkcnMvc2hhcGV4bWwueG1sUEsFBgAAAAAGAAYA&#10;WwEAALgDAAAAAA==&#10;" path="m59,0l0,96,88,96e">
                  <v:path o:connectlocs="59,4050;0,4146;88,4146;88,4146" o:connectangles="0,0,0,0"/>
                  <v:fill on="f" focussize="0,0"/>
                  <v:stroke weight="0.0119685039370079pt" color="#000000" joinstyle="round"/>
                  <v:imagedata o:title=""/>
                  <o:lock v:ext="edit" aspectratio="f"/>
                </v:shape>
                <v:shape id="Freeform 212" o:spid="_x0000_s1026" o:spt="100" style="position:absolute;left:4477;top:4049;height:145;width:2;" filled="f" stroked="t" coordsize="1,145" o:gfxdata="UEsDBAoAAAAAAIdO4kAAAAAAAAAAAAAAAAAEAAAAZHJzL1BLAwQUAAAACACHTuJAcpZ1V70AAADc&#10;AAAADwAAAGRycy9kb3ducmV2LnhtbEWPQWvCQBSE7wX/w/IK3uomUUqbuooVBC8Fq0Kvj+xrNph9&#10;G3a3Sfz3XUHwOMzMN8xyPdpW9ORD41hBPstAEFdON1wrOJ92L28gQkTW2DomBVcKsF5NnpZYajfw&#10;N/XHWIsE4VCiAhNjV0oZKkMWw8x1xMn7dd5iTNLXUnscEty2ssiyV2mx4bRgsKOtoepy/LMKqgX9&#10;hFM+fG3OpvCfl/5dj4eo1PQ5zz5ARBrjI3xv77WCYr6A25l0BOTq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lnVXvQAA&#10;ANwAAAAPAAAAAAAAAAEAIAAAACIAAABkcnMvZG93bnJldi54bWxQSwECFAAUAAAACACHTuJAMy8F&#10;njsAAAA5AAAAEAAAAAAAAAABACAAAAAMAQAAZHJzL3NoYXBleG1sLnhtbFBLBQYAAAAABgAGAFsB&#10;AAC2AwAAAAA=&#10;" path="m0,0l0,144e">
                  <v:path o:connectlocs="0,4050;0,4194;0,4194" o:connectangles="0,0,0"/>
                  <v:fill on="f" focussize="0,0"/>
                  <v:stroke weight="0.0111023622047244pt" color="#000000" joinstyle="round"/>
                  <v:imagedata o:title=""/>
                  <o:lock v:ext="edit" aspectratio="f"/>
                </v:shape>
                <v:shape id="Freeform 211" o:spid="_x0000_s1026" o:spt="100" style="position:absolute;left:4542;top:4180;height:14;width:12;" filled="f" stroked="t" coordsize="12,14" o:gfxdata="UEsDBAoAAAAAAIdO4kAAAAAAAAAAAAAAAAAEAAAAZHJzL1BLAwQUAAAACACHTuJAfVeujr4AAADc&#10;AAAADwAAAGRycy9kb3ducmV2LnhtbEWPS2vCQBSF94L/YbiCO52JLyR1FC0EFIrgY9HlJXObhGbu&#10;hMw0sf31nULB5eE8Ps5m97C16Kj1lWMNyVSBIM6dqbjQcL9lkzUIH5AN1o5Jwzd52G2Hgw2mxvV8&#10;oe4aChFH2KeooQyhSaX0eUkW/dQ1xNH7cK3FEGVbSNNiH8dtLWdKraTFiiOhxIZeS8o/r182ck/9&#10;6uAX3To5K7mv37L37EcetR6PEvUCItAjPMP/7aPRMJsv4e9MPAJy+w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Veujr4A&#10;AADcAAAADwAAAAAAAAABACAAAAAiAAAAZHJzL2Rvd25yZXYueG1sUEsBAhQAFAAAAAgAh07iQDMv&#10;BZ47AAAAOQAAABAAAAAAAAAAAQAgAAAADQEAAGRycy9zaGFwZXhtbC54bWxQSwUGAAAAAAYABgBb&#10;AQAAtwMAAAAA&#10;" path="m6,0l0,7,6,14,12,7,6,0,7,0e">
                  <v:path o:connectlocs="6,4180;0,4187;6,4194;12,4187;6,4180;7,4180" o:connectangles="0,0,0,0,0,0"/>
                  <v:fill on="f" focussize="0,0"/>
                  <v:stroke weight="0.0118897637795276pt" color="#000000" joinstyle="round"/>
                  <v:imagedata o:title=""/>
                  <o:lock v:ext="edit" aspectratio="f"/>
                </v:shape>
                <v:shape id="Freeform 210" o:spid="_x0000_s1026" o:spt="100" style="position:absolute;left:4595;top:4049;height:145;width:83;" filled="f" stroked="t" coordsize="83,145" o:gfxdata="UEsDBAoAAAAAAIdO4kAAAAAAAAAAAAAAAAAEAAAAZHJzL1BLAwQUAAAACACHTuJAstp5PrcAAADc&#10;AAAADwAAAGRycy9kb3ducmV2LnhtbEWPwQrCMBBE74L/EFbwZlMtiFSjiCJ4rXrxtjRrU2w2pYlW&#10;/94IgsdhZt4wq83LNuJJna8dK5gmKQji0umaKwWX82GyAOEDssbGMSl4k4fNejhYYa5dzwU9T6ES&#10;EcI+RwUmhDaX0peGLPrEtcTRu7nOYoiyq6TusI9w28hZms6lxZrjgsGWdobK++lhFeC2v+2yB12L&#10;4t6i6fd8rGWm1Hg0TZcgAr3CP/xrH7WCWTaH75l4BOT6A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y2nk+twAAANwAAAAP&#10;AAAAAAAAAAEAIAAAACIAAABkcnMvZG93bnJldi54bWxQSwECFAAUAAAACACHTuJAMy8FnjsAAAA5&#10;AAAAEAAAAAAAAAABACAAAAAGAQAAZHJzL3NoYXBleG1sLnhtbFBLBQYAAAAABgAGAFsBAACwAwAA&#10;AAA=&#10;" path="m70,0l11,0,5,62,11,55,29,48,47,48,64,55,76,68,82,89,82,103,76,123,64,137,47,144,29,144,11,137,5,130,0,116e">
                  <v:path o:connectlocs="70,4050;11,4050;5,4112;11,4105;29,4098;47,4098;64,4105;76,4118;82,4139;82,4153;76,4173;64,4187;47,4194;29,4194;11,4187;5,4180;0,4166;0,4166" o:connectangles="0,0,0,0,0,0,0,0,0,0,0,0,0,0,0,0,0,0"/>
                  <v:fill on="f" focussize="0,0"/>
                  <v:stroke weight="0.0115748031496063pt" color="#000000" joinstyle="round"/>
                  <v:imagedata o:title=""/>
                  <o:lock v:ext="edit" aspectratio="f"/>
                </v:shape>
                <v:shape id="Freeform 209" o:spid="_x0000_s1026" o:spt="100" style="position:absolute;left:4719;top:4097;height:96;width:2;" filled="f" stroked="t" coordsize="1,96" o:gfxdata="UEsDBAoAAAAAAIdO4kAAAAAAAAAAAAAAAAAEAAAAZHJzL1BLAwQUAAAACACHTuJAwFWfA74AAADc&#10;AAAADwAAAGRycy9kb3ducmV2LnhtbEWPT2sCMRTE74V+h/AKXkQTtWxlNXoQC4KHUrd4fm6eu4ub&#10;lyVJ/ffpTaHgcZiZ3zDz5dW24kw+NI41jIYKBHHpTMOVhp/iczAFESKywdYxabhRgOXi9WWOuXEX&#10;/qbzLlYiQTjkqKGOsculDGVNFsPQdcTJOzpvMSbpK2k8XhLctnKsVCYtNpwWauxoVVN52v1aDVvT&#10;bO5f/f57yIpsb1j5Yr8+aN17G6kZiEjX+Az/tzdGw3jyAX9n0hGQi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FWfA74A&#10;AADcAAAADwAAAAAAAAABACAAAAAiAAAAZHJzL2Rvd25yZXYueG1sUEsBAhQAFAAAAAgAh07iQDMv&#10;BZ47AAAAOQAAABAAAAAAAAAAAQAgAAAADQEAAGRycy9zaGFwZXhtbC54bWxQSwUGAAAAAAYABgBb&#10;AQAAtwMAAAAA&#10;" path="m0,0l0,96,1,96e">
                  <v:path o:connectlocs="0,4098;0,4194;2,4194" o:connectangles="0,0,0"/>
                  <v:fill on="f" focussize="0,0"/>
                  <v:stroke weight="0.0111023622047244pt" color="#000000" joinstyle="round"/>
                  <v:imagedata o:title=""/>
                  <o:lock v:ext="edit" aspectratio="f"/>
                </v:shape>
                <v:shape id="Freeform 208" o:spid="_x0000_s1026" o:spt="100" style="position:absolute;left:4719;top:4097;height:96;width:66;" filled="f" stroked="t" coordsize="66,96" o:gfxdata="UEsDBAoAAAAAAIdO4kAAAAAAAAAAAAAAAAAEAAAAZHJzL1BLAwQUAAAACACHTuJA/feSXL0AAADc&#10;AAAADwAAAGRycy9kb3ducmV2LnhtbEVPy2rCQBTdC/7DcAV3zUQLxaZOQtUKUlzo1EK7u2Ruk5DM&#10;nZAZH/37zqLg8nDey+JmO3GhwTeOFcySFARx6UzDlYLTx/ZhAcIHZIOdY1LwSx6KfDxaYmbclY90&#10;0aESMYR9hgrqEPpMSl/WZNEnrieO3I8bLIYIh0qaAa8x3HZynqZP0mLDsaHGntY1la0+WwX6u/3U&#10;r+9fPmizOuzb9m31vDkpNZ3M0hcQgW7hLv5374yC+WNcG8/EIyDz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995JcvQAA&#10;ANwAAAAPAAAAAAAAAAEAIAAAACIAAABkcnMvZG93bnJldi54bWxQSwECFAAUAAAACACHTuJAMy8F&#10;njsAAAA5AAAAEAAAAAAAAAABACAAAAAMAQAAZHJzL3NoYXBleG1sLnhtbFBLBQYAAAAABgAGAFsB&#10;AAC2AwAAAAA=&#10;" path="m0,27l18,7,30,0,48,0,59,7,65,27,65,96,66,96e">
                  <v:path o:connectlocs="0,4125;18,4105;30,4098;48,4098;59,4105;65,4125;65,4194;66,4194" o:connectangles="0,0,0,0,0,0,0,0"/>
                  <v:fill on="f" focussize="0,0"/>
                  <v:stroke weight="0.0116535433070866pt" color="#000000" joinstyle="round"/>
                  <v:imagedata o:title=""/>
                  <o:lock v:ext="edit" aspectratio="f"/>
                </v:shape>
                <v:shape id="Freeform 207" o:spid="_x0000_s1026" o:spt="100" style="position:absolute;left:4784;top:4097;height:96;width:66;" filled="f" stroked="t" coordsize="66,96" o:gfxdata="UEsDBAoAAAAAAIdO4kAAAAAAAAAAAAAAAAAEAAAAZHJzL1BLAwQUAAAACACHTuJAkrs3x8AAAADc&#10;AAAADwAAAGRycy9kb3ducmV2LnhtbEWPW2vCQBSE3wv9D8sp+FY3sSA1ugbtBYr40G4V9O2QPSYh&#10;2bMhu97+vSsU+jjMzDfMLL/YVpyo97VjBekwAUFcOFNzqWDz+/n8CsIHZIOtY1JwJQ/5/PFhhplx&#10;Z/6hkw6liBD2GSqoQugyKX1RkUU/dB1x9A6utxii7EtpejxHuG3lKEnG0mLNcaHCjt4qKhp9tAr0&#10;vtnqxWrngzbL73XTfCwn7xulBk9pMgUR6BL+w3/tL6Ng9DKB+5l4BOT8B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SuzfH&#10;wAAAANwAAAAPAAAAAAAAAAEAIAAAACIAAABkcnMvZG93bnJldi54bWxQSwECFAAUAAAACACHTuJA&#10;My8FnjsAAAA5AAAAEAAAAAAAAAABACAAAAAPAQAAZHJzL3NoYXBleG1sLnhtbFBLBQYAAAAABgAG&#10;AFsBAAC5AwAAAAA=&#10;" path="m0,27l18,7,30,0,47,0,59,7,65,27,65,96e">
                  <v:path o:connectlocs="0,4125;18,4105;30,4098;47,4098;59,4105;65,4125;65,4194;65,4194" o:connectangles="0,0,0,0,0,0,0,0"/>
                  <v:fill on="f" focussize="0,0"/>
                  <v:stroke weight="0.0116535433070866pt" color="#000000" joinstyle="round"/>
                  <v:imagedata o:title=""/>
                  <o:lock v:ext="edit" aspectratio="f"/>
                </v:shape>
                <v:shape id="Freeform 206" o:spid="_x0000_s1026" o:spt="100" style="position:absolute;left:4896;top:4022;height:220;width:42;" filled="f" stroked="t" coordsize="42,220" o:gfxdata="UEsDBAoAAAAAAIdO4kAAAAAAAAAAAAAAAAAEAAAAZHJzL1BLAwQUAAAACACHTuJAkJvGErcAAADc&#10;AAAADwAAAGRycy9kb3ducmV2LnhtbEVPSwrCMBDdC94hjOBO0/pDqlFEENSFYPUAQzO2xWZSmmjV&#10;05uF4PLx/sv1y1TiSY0rLSuIhxEI4szqknMF18tuMAfhPLLGyjIpeJOD9arbWWKibctneqY+FyGE&#10;XYIKCu/rREqXFWTQDW1NHLibbQz6AJtc6gbbEG4qOYqimTRYcmgosKZtQdk9fRgFm1P7Ptaf+Tk+&#10;pDzVLpuMebpXqt+LowUITy//F//ce61gNAnzw5lwBOTqC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Qm8YStwAAANwAAAAP&#10;AAAAAAAAAAEAIAAAACIAAABkcnMvZG93bnJldi54bWxQSwECFAAUAAAACACHTuJAMy8FnjsAAAA5&#10;AAAAEAAAAAAAAAABACAAAAAGAQAAZHJzL3NoYXBleG1sLnhtbFBLBQYAAAAABgAGAFsBAACwAwAA&#10;AAA=&#10;" path="m41,0l30,13,18,34,6,61,0,95,0,123,6,157,18,185,30,205,41,219,42,219e">
                  <v:path o:connectlocs="41,4023;30,4036;18,4057;6,4084;0,4118;0,4146;6,4180;18,4208;30,4228;41,4242;42,4242" o:connectangles="0,0,0,0,0,0,0,0,0,0,0"/>
                  <v:fill on="f" focussize="0,0"/>
                  <v:stroke weight="0.0111811023622047pt" color="#000000" joinstyle="round"/>
                  <v:imagedata o:title=""/>
                  <o:lock v:ext="edit" aspectratio="f"/>
                </v:shape>
                <v:shape id="Freeform 205" o:spid="_x0000_s1026" o:spt="100" style="position:absolute;left:4973;top:4049;height:145;width:83;" filled="f" stroked="t" coordsize="83,145" o:gfxdata="UEsDBAoAAAAAAIdO4kAAAAAAAAAAAAAAAAAEAAAAZHJzL1BLAwQUAAAACACHTuJAZTWSN7cAAADc&#10;AAAADwAAAGRycy9kb3ducmV2LnhtbEWPwQrCMBBE74L/EFbwpmlVRKpRRBG8Vr14W5q1KTab0kSr&#10;f28EweMwM2+Y1eZla/Gk1leOFaTjBARx4XTFpYLL+TBagPABWWPtmBS8ycNm3e+tMNOu45yep1CK&#10;CGGfoQITQpNJ6QtDFv3YNcTRu7nWYoiyLaVusYtwW8tJksylxYrjgsGGdoaK++lhFeC2u+2mD7rm&#10;+b1B0+35WMmpUsNBmixBBHqFf/jXPmoFk1kK3zPxCMj1B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lNZI3twAAANwAAAAP&#10;AAAAAAAAAAEAIAAAACIAAABkcnMvZG93bnJldi54bWxQSwECFAAUAAAACACHTuJAMy8FnjsAAAA5&#10;AAAAEAAAAAAAAAABACAAAAAGAQAAZHJzL3NoYXBleG1sLnhtbFBLBQYAAAAABgAGAFsBAACwAwAA&#10;AAA=&#10;" path="m12,0l77,0,41,55,59,55,71,62,77,68,83,89,83,103,77,123,65,137,47,144,29,144,12,137,6,130,0,116e">
                  <v:path o:connectlocs="12,4050;77,4050;41,4105;59,4105;71,4112;77,4118;83,4139;83,4153;77,4173;65,4187;47,4194;29,4194;12,4187;6,4180;0,4166;0,4166" o:connectangles="0,0,0,0,0,0,0,0,0,0,0,0,0,0,0,0"/>
                  <v:fill on="f" focussize="0,0"/>
                  <v:stroke weight="0.0115748031496063pt" color="#000000" joinstyle="round"/>
                  <v:imagedata o:title=""/>
                  <o:lock v:ext="edit" aspectratio="f"/>
                </v:shape>
                <v:shape id="Freeform 204" o:spid="_x0000_s1026" o:spt="100" style="position:absolute;left:5096;top:4097;height:96;width:2;" filled="f" stroked="t" coordsize="1,96" o:gfxdata="UEsDBAoAAAAAAIdO4kAAAAAAAAAAAAAAAAAEAAAAZHJzL1BLAwQUAAAACACHTuJAiCRP5r0AAADc&#10;AAAADwAAAGRycy9kb3ducmV2LnhtbEWPT2sCMRTE7wW/Q3iCF6mJiyxla/RQFAQPols8v25ed5du&#10;XpYk/v30RhB6HGbmN8x8ebWdOJMPrWMN04kCQVw503Kt4btcv3+ACBHZYOeYNNwowHIxeJtjYdyF&#10;93Q+xFokCIcCNTQx9oWUoWrIYpi4njh5v85bjEn6WhqPlwS3ncyUyqXFltNCgz19NVT9HU5Ww9a0&#10;m/tuPJ6FvMyPhpUvj6sfrUfDqfoEEeka/8Ov9sZoyGYZPM+kIyAX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IJE/mvQAA&#10;ANwAAAAPAAAAAAAAAAEAIAAAACIAAABkcnMvZG93bnJldi54bWxQSwECFAAUAAAACACHTuJAMy8F&#10;njsAAAA5AAAAEAAAAAAAAAABACAAAAAMAQAAZHJzL3NoYXBleG1sLnhtbFBLBQYAAAAABgAGAFsB&#10;AAC2AwAAAAA=&#10;" path="m0,0l0,96e">
                  <v:path o:connectlocs="0,4098;0,4194;0,4194" o:connectangles="0,0,0"/>
                  <v:fill on="f" focussize="0,0"/>
                  <v:stroke weight="0.0111023622047244pt" color="#000000" joinstyle="round"/>
                  <v:imagedata o:title=""/>
                  <o:lock v:ext="edit" aspectratio="f"/>
                </v:shape>
                <v:shape id="Freeform 203" o:spid="_x0000_s1026" o:spt="100" style="position:absolute;left:5096;top:4097;height:96;width:66;" filled="f" stroked="t" coordsize="66,96" o:gfxdata="UEsDBAoAAAAAAIdO4kAAAAAAAAAAAAAAAAAEAAAAZHJzL1BLAwQUAAAACACHTuJAq1VzUMAAAADc&#10;AAAADwAAAGRycy9kb3ducmV2LnhtbEWPT2vCQBTE7wW/w/KE3sxGK8WmruKfCkV6qFsFe3tkn0lI&#10;9m3IbtV+e7cg9DjMzG+Y6fxqG3GmzleOFQyTFARx7kzFhYL912YwAeEDssHGMSn4JQ/zWe9hiplx&#10;F97RWYdCRAj7DBWUIbSZlD4vyaJPXEscvZPrLIYou0KaDi8Rbhs5StNnabHiuFBiS6uS8lr/WAX6&#10;uz7oxfbogzbLz4+6flu+rPdKPfaH6SuIQNfwH763342C0fgJ/s7EIyBnN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rVXNQ&#10;wAAAANwAAAAPAAAAAAAAAAEAIAAAACIAAABkcnMvZG93bnJldi54bWxQSwECFAAUAAAACACHTuJA&#10;My8FnjsAAAA5AAAAEAAAAAAAAAABACAAAAAPAQAAZHJzL3NoYXBleG1sLnhtbFBLBQYAAAAABgAG&#10;AFsBAAC5AwAAAAA=&#10;" path="m0,27l18,7,29,0,47,0,59,7,65,27,65,96e">
                  <v:path o:connectlocs="0,4125;18,4105;29,4098;47,4098;59,4105;65,4125;65,4194;65,4194" o:connectangles="0,0,0,0,0,0,0,0"/>
                  <v:fill on="f" focussize="0,0"/>
                  <v:stroke weight="0.0116535433070866pt" color="#000000" joinstyle="round"/>
                  <v:imagedata o:title=""/>
                  <o:lock v:ext="edit" aspectratio="f"/>
                </v:shape>
                <v:shape id="Freeform 202" o:spid="_x0000_s1026" o:spt="100" style="position:absolute;left:5161;top:4097;height:96;width:66;" filled="f" stroked="t" coordsize="66,96" o:gfxdata="UEsDBAoAAAAAAIdO4kAAAAAAAAAAAAAAAAAEAAAAZHJzL1BLAwQUAAAACACHTuJAJLzrJMAAAADc&#10;AAAADwAAAGRycy9kb3ducmV2LnhtbEWPT2vCQBTE70K/w/IKvekmImJT11DbClJ60K0FvT2yr0lI&#10;9m3Irn/67buC4HGYmd8w8/xiW3Gi3teOFaSjBARx4UzNpYLd92o4A+EDssHWMSn4Iw/54mEwx8y4&#10;M2/ppEMpIoR9hgqqELpMSl9UZNGPXEccvV/XWwxR9qU0PZ4j3LZynCRTabHmuFBhR28VFY0+WgX6&#10;0Pzo18+9D9osN19N87F8ft8p9fSYJi8gAl3CPXxrr42C8WQC1zPxCMjFP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kvOsk&#10;wAAAANwAAAAPAAAAAAAAAAEAIAAAACIAAABkcnMvZG93bnJldi54bWxQSwECFAAUAAAACACHTuJA&#10;My8FnjsAAAA5AAAAEAAAAAAAAAABACAAAAAPAQAAZHJzL3NoYXBleG1sLnhtbFBLBQYAAAAABgAG&#10;AFsBAAC5AwAAAAA=&#10;" path="m0,27l17,7,29,0,47,0,59,7,64,27,64,96,65,96e">
                  <v:path o:connectlocs="0,4125;17,4105;29,4098;47,4098;59,4105;64,4125;64,4194;65,4194" o:connectangles="0,0,0,0,0,0,0,0"/>
                  <v:fill on="f" focussize="0,0"/>
                  <v:stroke weight="0.0116535433070866pt" color="#000000" joinstyle="round"/>
                  <v:imagedata o:title=""/>
                  <o:lock v:ext="edit" aspectratio="f"/>
                </v:shape>
                <v:shape id="Freeform 201" o:spid="_x0000_s1026" o:spt="100" style="position:absolute;left:5267;top:4022;height:220;width:42;" filled="f" stroked="t" coordsize="42,220" o:gfxdata="UEsDBAoAAAAAAIdO4kAAAAAAAAAAAAAAAAAEAAAAZHJzL1BLAwQUAAAACACHTuJAgOxlir0AAADc&#10;AAAADwAAAGRycy9kb3ducmV2LnhtbEWP0YrCMBRE3xf8h3AF39a0akW6TUUEwd0HweoHXJprW7a5&#10;KU20ul+/EQQfh5k5w2Tru2nFjXrXWFYQTyMQxKXVDVcKzqfd5wqE88gaW8uk4EEO1vnoI8NU24GP&#10;dCt8JQKEXYoKau+7VEpX1mTQTW1HHLyL7Q36IPtK6h6HADetnEXRUhpsOCzU2NG2pvK3uBoFm8Pw&#10;+On+Vsf4u+BEu3Ix52Sv1GQcR18gPN39O/xq77WC2SKB55lwBGT+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A7GWKvQAA&#10;ANwAAAAPAAAAAAAAAAEAIAAAACIAAABkcnMvZG93bnJldi54bWxQSwECFAAUAAAACACHTuJAMy8F&#10;njsAAAA5AAAAEAAAAAAAAAABACAAAAAMAQAAZHJzL3NoYXBleG1sLnhtbFBLBQYAAAAABgAGAFsB&#10;AAC2AwAAAAA=&#10;" path="m0,0l12,13,24,34,35,61,41,95,41,123,35,157,24,185,12,205,0,219e">
                  <v:path o:connectlocs="0,4023;12,4036;24,4057;35,4084;41,4118;41,4146;35,4180;24,4208;12,4228;0,4242;0,4242" o:connectangles="0,0,0,0,0,0,0,0,0,0,0"/>
                  <v:fill on="f" focussize="0,0"/>
                  <v:stroke weight="0.0111811023622047pt" color="#000000" joinstyle="round"/>
                  <v:imagedata o:title=""/>
                  <o:lock v:ext="edit" aspectratio="f"/>
                </v:shape>
                <v:shape id="Freeform 200" o:spid="_x0000_s1026" o:spt="100" style="position:absolute;left:5751;top:4356;height:96;width:75;" fillcolor="#000000" filled="t" stroked="f" coordsize="75,96" o:gfxdata="UEsDBAoAAAAAAIdO4kAAAAAAAAAAAAAAAAAEAAAAZHJzL1BLAwQUAAAACACHTuJAbcC+or8AAADc&#10;AAAADwAAAGRycy9kb3ducmV2LnhtbEWPT2vCQBTE74V+h+UVvJS6qxSR1NVDoVRP2iiIt0f2mcRm&#10;3wvZNf759N1CocdhZn7DzBZX36ieulALWxgNDSjiQlzNpYXd9uNlCipEZIeNMFm4UYDF/PFhhpmT&#10;C39Rn8dSJQiHDC1UMbaZ1qGoyGMYSkucvKN0HmOSXaldh5cE940eGzPRHmtOCxW29F5R8Z2fvYXN&#10;XvJn6Q9yMvvNalfEO64/79YOnkbmDVSka/wP/7WXzsL4dQK/Z9IR0PM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3AvqK/&#10;AAAA3AAAAA8AAAAAAAAAAQAgAAAAIgAAAGRycy9kb3ducmV2LnhtbFBLAQIUABQAAAAIAIdO4kAz&#10;LwWeOwAAADkAAAAQAAAAAAAAAAEAIAAAAA4BAABkcnMvc2hhcGV4bWwueG1sUEsFBgAAAAAGAAYA&#10;WwEAALgDAAAAAA==&#10;" path="m74,0l0,86,8,95,74,0xe">
                  <v:path o:connectlocs="74,4357;0,4443;8,4452;74,4357" o:connectangles="0,0,0,0"/>
                  <v:fill on="t" focussize="0,0"/>
                  <v:stroke on="f"/>
                  <v:imagedata o:title=""/>
                  <o:lock v:ext="edit" aspectratio="f"/>
                </v:shape>
                <v:shape id="Freeform 199" o:spid="_x0000_s1026" o:spt="100" style="position:absolute;left:5758;top:4356;height:96;width:75;" fillcolor="#000000" filled="t" stroked="f" coordsize="75,96" o:gfxdata="UEsDBAoAAAAAAIdO4kAAAAAAAAAAAAAAAAAEAAAAZHJzL1BLAwQUAAAACACHTuJAAowbOb8AAADc&#10;AAAADwAAAGRycy9kb3ducmV2LnhtbEWPQWvCQBSE70L/w/IKXqTuKtKW6OqhUFpP1VQQb4/sa5I2&#10;+17IbqP117tCweMwM98wi9XJN6qnLtTCFiZjA4q4EFdzaWH3+frwDCpEZIeNMFn4owCr5d1ggZmT&#10;I2+pz2OpEoRDhhaqGNtM61BU5DGMpSVO3pd0HmOSXaldh8cE942eGvOoPdacFips6aWi4if/9RY2&#10;e8lH0h/k2+w3610Rz/jxdrZ2eD8xc1CRTvEW/m+/OwvT2RNcz6QjoJc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KMGzm/&#10;AAAA3AAAAA8AAAAAAAAAAQAgAAAAIgAAAGRycy9kb3ducmV2LnhtbFBLAQIUABQAAAAIAIdO4kAz&#10;LwWeOwAAADkAAAAQAAAAAAAAAAEAIAAAAA4BAABkcnMvc2hhcGV4bWwueG1sUEsFBgAAAAAGAAYA&#10;WwEAALgDAAAAAA==&#10;" path="m66,0l0,95,74,9,66,0xe">
                  <v:path o:connectlocs="66,4357;0,4452;74,4366;66,4357" o:connectangles="0,0,0,0"/>
                  <v:fill on="t" focussize="0,0"/>
                  <v:stroke on="f"/>
                  <v:imagedata o:title=""/>
                  <o:lock v:ext="edit" aspectratio="f"/>
                </v:shape>
                <v:shape id="Freeform 198" o:spid="_x0000_s1026" o:spt="100" style="position:absolute;left:5751;top:4356;height:96;width:83;" filled="f" stroked="t" coordsize="83,96" o:gfxdata="UEsDBAoAAAAAAIdO4kAAAAAAAAAAAAAAAAAEAAAAZHJzL1BLAwQUAAAACACHTuJAw7xTELsAAADc&#10;AAAADwAAAGRycy9kb3ducmV2LnhtbEVPPU/DMBDdkfgP1iF1o3baCkGo0wEpajtVNVnYjvhIIuJz&#10;FJs0/ff1UInx6X1vd7PrxURj6DxryJYKBHHtbceNhuqzfH4FESKyxd4zabhSgF3x+LDF3PoLn2ky&#10;sREphEOOGtoYh1zKULfkMCz9QJy4Hz86jAmOjbQjXlK46+VKqRfpsOPU0OJAHy3Vv+bPaTjt++9p&#10;LtelOZu36etoVHRYab14ytQ7iEhz/Bff3QerYbVJa9OZdARkc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7xTELsAAADc&#10;AAAADwAAAAAAAAABACAAAAAiAAAAZHJzL2Rvd25yZXYueG1sUEsBAhQAFAAAAAgAh07iQDMvBZ47&#10;AAAAOQAAABAAAAAAAAAAAQAgAAAACgEAAGRycy9zaGFwZXhtbC54bWxQSwUGAAAAAAYABgBbAQAA&#10;tAMAAAAA&#10;" path="m0,86l8,95,82,9,75,0,0,86e">
                  <v:path o:connectlocs="0,4443;8,4452;82,4366;75,4357;0,4443" o:connectangles="0,0,0,0,0"/>
                  <v:fill on="f" focussize="0,0"/>
                  <v:stroke weight="0.0118897637795276pt" color="#000000" joinstyle="round"/>
                  <v:imagedata o:title=""/>
                  <o:lock v:ext="edit" aspectratio="f"/>
                </v:shape>
                <v:shape id="Freeform 197" o:spid="_x0000_s1026" o:spt="100" style="position:absolute;left:3902;top:4356;height:96;width:75;" fillcolor="#000000" filled="t" stroked="f" coordsize="75,96" o:gfxdata="UEsDBAoAAAAAAIdO4kAAAAAAAAAAAAAAAAAEAAAAZHJzL1BLAwQUAAAACACHTuJAHF8q0L8AAADc&#10;AAAADwAAAGRycy9kb3ducmV2LnhtbEWPQWvCQBSE70L/w/IKXqTuKlLa6OqhUFpP1VQQb4/sa5I2&#10;+17IbqP117tCweMwM98wi9XJN6qnLtTCFiZjA4q4EFdzaWH3+frwBCpEZIeNMFn4owCr5d1ggZmT&#10;I2+pz2OpEoRDhhaqGNtM61BU5DGMpSVO3pd0HmOSXaldh8cE942eGvOoPdacFips6aWi4if/9RY2&#10;e8lH0h/k2+w3610Rz/jxdrZ2eD8xc1CRTvEW/m+/OwvT2TNcz6QjoJc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xfKtC/&#10;AAAA3AAAAA8AAAAAAAAAAQAgAAAAIgAAAGRycy9kb3ducmV2LnhtbFBLAQIUABQAAAAIAIdO4kAz&#10;LwWeOwAAADkAAAAQAAAAAAAAAAEAIAAAAA4BAABkcnMvc2hhcGV4bWwueG1sUEsFBgAAAAAGAAYA&#10;WwEAALgDAAAAAA==&#10;" path="m67,0l0,95,74,9,67,0xe">
                  <v:path o:connectlocs="67,4357;0,4452;74,4366;67,4357" o:connectangles="0,0,0,0"/>
                  <v:fill on="t" focussize="0,0"/>
                  <v:stroke on="f"/>
                  <v:imagedata o:title=""/>
                  <o:lock v:ext="edit" aspectratio="f"/>
                </v:shape>
                <v:shape id="Freeform 196" o:spid="_x0000_s1026" o:spt="100" style="position:absolute;left:3894;top:4356;height:96;width:75;" fillcolor="#000000" filled="t" stroked="f" coordsize="75,96" o:gfxdata="UEsDBAoAAAAAAIdO4kAAAAAAAAAAAAAAAAAEAAAAZHJzL1BLAwQUAAAACACHTuJACLwVkLwAAADc&#10;AAAADwAAAGRycy9kb3ducmV2LnhtbEVPTWvCQBC9F/wPywheSt1VaJHU1YMg1lM1CuJtyE6T1OxM&#10;yG6j9dd3D0KPj/c9X958o3rqQi1sYTI2oIgLcTWXFo6H9csMVIjIDhthsvBLAZaLwdMcMydX3lOf&#10;x1KlEA4ZWqhibDOtQ1GRxzCWljhxX9J5jAl2pXYdXlO4b/TUmDftsebUUGFLq4qKS/7jLexOkj9L&#10;f5Zvc9ptj0W84+fmbu1oODHvoCLd4r/44f5wFqavaX46k46AXv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i8FZC8AAAA&#10;3AAAAA8AAAAAAAAAAQAgAAAAIgAAAGRycy9kb3ducmV2LnhtbFBLAQIUABQAAAAIAIdO4kAzLwWe&#10;OwAAADkAAAAQAAAAAAAAAAEAIAAAAAsBAABkcnMvc2hhcGV4bWwueG1sUEsFBgAAAAAGAAYAWwEA&#10;ALUDAAAAAA==&#10;" path="m75,0l0,86,8,95,75,0xe">
                  <v:path o:connectlocs="75,4357;0,4443;8,4452;75,4357" o:connectangles="0,0,0,0"/>
                  <v:fill on="t" focussize="0,0"/>
                  <v:stroke on="f"/>
                  <v:imagedata o:title=""/>
                  <o:lock v:ext="edit" aspectratio="f"/>
                </v:shape>
                <v:shape id="Freeform 195" o:spid="_x0000_s1026" o:spt="100" style="position:absolute;left:3894;top:4356;height:96;width:83;" filled="f" stroked="t" coordsize="83,96" o:gfxdata="UEsDBAoAAAAAAIdO4kAAAAAAAAAAAAAAAAAEAAAAZHJzL1BLAwQUAAAACACHTuJA119sUL0AAADc&#10;AAAADwAAAGRycy9kb3ducmV2LnhtbEWPQWvCQBSE7wX/w/IEb3U3SotNXT0IoXoqrl68vWZfk2D2&#10;bchuY/z3bqHQ4zAz3zDr7ehaMVAfGs8asrkCQVx623Cl4XwqnlcgQkS22HomDXcKsN1MntaYW3/j&#10;Iw0mViJBOOSooY6xy6UMZU0Ow9x3xMn79r3DmGRfSdvjLcFdKxdKvUqHDaeFGjva1VRezY/T8PnR&#10;fg1jsSzM0bwNl4NR0eFZ69k0U+8gIo3xP/zX3lsNi5cMfs+kIyA3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XX2xQvQAA&#10;ANwAAAAPAAAAAAAAAAEAIAAAACIAAABkcnMvZG93bnJldi54bWxQSwECFAAUAAAACACHTuJAMy8F&#10;njsAAAA5AAAAEAAAAAAAAAABACAAAAAMAQAAZHJzL3NoYXBleG1sLnhtbFBLBQYAAAAABgAGAFsB&#10;AAC2AwAAAAA=&#10;" path="m82,9l75,0,0,86,8,95,82,9e">
                  <v:path o:connectlocs="82,4366;75,4357;0,4443;8,4452;82,4366" o:connectangles="0,0,0,0,0"/>
                  <v:fill on="f" focussize="0,0"/>
                  <v:stroke weight="0.0118897637795276pt" color="#000000" joinstyle="round"/>
                  <v:imagedata o:title=""/>
                  <o:lock v:ext="edit" aspectratio="f"/>
                </v:shape>
                <v:line id="Line 194" o:spid="_x0000_s1026" o:spt="20" style="position:absolute;left:3935;top:4405;height:0;width:0;" filled="f" stroked="t" coordsize="21600,21600" o:gfxdata="UEsDBAoAAAAAAIdO4kAAAAAAAAAAAAAAAAAEAAAAZHJzL1BLAwQUAAAACACHTuJAcJp3s7wAAADc&#10;AAAADwAAAGRycy9kb3ducmV2LnhtbEWPT4vCMBTE74LfITxhbza1rKtbjR4Uwat/YW9vm7dtsXkp&#10;SdT67Y0g7HGYmd8w82VnGnEj52vLCkZJCoK4sLrmUsHxsBlOQfiArLGxTAoe5GG56PfmmGt75x3d&#10;9qEUEcI+RwVVCG0upS8qMugT2xJH7886gyFKV0rt8B7hppFZmn5JgzXHhQpbWlVUXPZXo2D6uT35&#10;5lyuH3UXnP85/H7violSH4NROgMRqAv/4Xd7qxVk4wxeZ+IRkIs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Cad7O8AAAA&#10;3AAAAA8AAAAAAAAAAQAgAAAAIgAAAGRycy9kb3ducmV2LnhtbFBLAQIUABQAAAAIAIdO4kAzLwWe&#10;OwAAADkAAAAQAAAAAAAAAAEAIAAAAAsBAABkcnMvc2hhcGV4bWwueG1sUEsFBgAAAAAGAAYAWwEA&#10;ALUDAAAAAA==&#10;">
                  <v:fill on="f" focussize="0,0"/>
                  <v:stroke weight="0.0128346456692913pt" color="#000000" joinstyle="round"/>
                  <v:imagedata o:title=""/>
                  <o:lock v:ext="edit" aspectratio="f"/>
                </v:line>
                <v:line id="Line 193" o:spid="_x0000_s1026" o:spt="20" style="position:absolute;left:3935;top:3658;height:0;width:0;" filled="f" stroked="t" coordsize="21600,21600" o:gfxdata="UEsDBAoAAAAAAIdO4kAAAAAAAAAAAAAAAAAEAAAAZHJzL1BLAwQUAAAACACHTuJAH9bSKL4AAADc&#10;AAAADwAAAGRycy9kb3ducmV2LnhtbEWPQWvCQBSE7wX/w/IKvTUbba0xdfVgKeSqtgVvz+xrEpp9&#10;G3a3Mfn3riB4HGbmG2a1GUwrenK+saxgmqQgiEurG64UfB0+nzMQPiBrbC2TgpE8bNaThxXm2p55&#10;R/0+VCJC2OeooA6hy6X0ZU0GfWI74uj9WmcwROkqqR2eI9y0cpamb9Jgw3Ghxo62NZV/+3+jIHst&#10;vn37U32MzRCcPx5Oy125UOrpcZq+gwg0hHv41i60gtn8Ba5n4hGQ6w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9bSKL4A&#10;AADcAAAADwAAAAAAAAABACAAAAAiAAAAZHJzL2Rvd25yZXYueG1sUEsBAhQAFAAAAAgAh07iQDMv&#10;BZ47AAAAOQAAABAAAAAAAAAAAQAgAAAADQEAAGRycy9zaGFwZXhtbC54bWxQSwUGAAAAAAYABgBb&#10;AQAAtwMAAAAA&#10;">
                  <v:fill on="f" focussize="0,0"/>
                  <v:stroke weight="0.0128346456692913pt" color="#000000" joinstyle="round"/>
                  <v:imagedata o:title=""/>
                  <o:lock v:ext="edit" aspectratio="f"/>
                </v:line>
                <v:line id="Line 192" o:spid="_x0000_s1026" o:spt="20" style="position:absolute;left:5394;top:1607;height:0;width:398;" filled="f" stroked="t" coordsize="21600,21600" o:gfxdata="UEsDBAoAAAAAAIdO4kAAAAAAAAAAAAAAAAAEAAAAZHJzL1BLAwQUAAAACACHTuJAUklRNb4AAADc&#10;AAAADwAAAGRycy9kb3ducmV2LnhtbEWPQWsCMRSE74L/IbxCb5oobZGtURZboT1WRfH2unlulm5e&#10;lk1ct/56Uyh4HGbmG2a+7F0tOmpD5VnDZKxAEBfeVFxq2G3XoxmIEJEN1p5Jwy8FWC6Ggzlmxl/4&#10;i7pNLEWCcMhQg42xyaQMhSWHYewb4uSdfOswJtmW0rR4SXBXy6lSL9JhxWnBYkMrS8XP5uw0bE3+&#10;+Z2fOrm/Wnvo33J1bI7vWj8+TNQriEh9vIf/2x9Gw/T5Cf7OpCMgFz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klRNb4A&#10;AADcAAAADwAAAAAAAAABACAAAAAiAAAAZHJzL2Rvd25yZXYueG1sUEsBAhQAFAAAAAgAh07iQDMv&#10;BZ47AAAAOQAAABAAAAAAAAAAAQAgAAAADQEAAGRycy9zaGFwZXhtbC54bWxQSwUGAAAAAAYABgBb&#10;AQAAtwMAAAAA&#10;">
                  <v:fill on="f" focussize="0,0"/>
                  <v:stroke weight="0.235590551181102pt" color="#000000" joinstyle="round"/>
                  <v:imagedata o:title=""/>
                  <o:lock v:ext="edit" aspectratio="f"/>
                </v:line>
                <v:line id="Line 191" o:spid="_x0000_s1026" o:spt="20" style="position:absolute;left:5394;top:1607;height:0;width:398;" filled="f" stroked="t" coordsize="21600,21600" o:gfxdata="UEsDBAoAAAAAAIdO4kAAAAAAAAAAAAAAAAAEAAAAZHJzL1BLAwQUAAAACACHTuJAPQX0rr4AAADc&#10;AAAADwAAAGRycy9kb3ducmV2LnhtbEWPT2sCMRTE74V+h/AKvWmiYJGtUZaqUI/+QfH2unlulm5e&#10;lk1cVz99Uyj0OMzMb5jZone16KgNlWcNo6ECQVx4U3Gp4bBfD6YgQkQ2WHsmDXcKsJg/P80wM/7G&#10;W+p2sRQJwiFDDTbGJpMyFJYchqFviJN38a3DmGRbStPiLcFdLcdKvUmHFacFiw19WCq+d1enYW/y&#10;zVd+6eTxYe2pX+bq3JxXWr++jNQ7iEh9/A//tT+NhvFkAr9n0hGQ8x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QX0rr4A&#10;AADcAAAADwAAAAAAAAABACAAAAAiAAAAZHJzL2Rvd25yZXYueG1sUEsBAhQAFAAAAAgAh07iQDMv&#10;BZ47AAAAOQAAABAAAAAAAAAAAQAgAAAADQEAAGRycy9zaGFwZXhtbC54bWxQSwUGAAAAAAYABgBb&#10;AQAAtwMAAAAA&#10;">
                  <v:fill on="f" focussize="0,0"/>
                  <v:stroke weight="0.235590551181102pt" color="#000000" joinstyle="round"/>
                  <v:imagedata o:title=""/>
                  <o:lock v:ext="edit" aspectratio="f"/>
                </v:line>
                <v:line id="Line 190" o:spid="_x0000_s1026" o:spt="20" style="position:absolute;left:5394;top:1607;height:0;width:399;" filled="f" stroked="t" coordsize="21600,21600" o:gfxdata="UEsDBAoAAAAAAIdO4kAAAAAAAAAAAAAAAAAEAAAAZHJzL1BLAwQUAAAACACHTuJAwae4Tb0AAADc&#10;AAAADwAAAGRycy9kb3ducmV2LnhtbEWP3YrCMBSE74V9h3AWvNPUij9UoxeLgnuhUncf4NAc22Bz&#10;0m2i1rffCIKXw8x8wyzXna3FjVpvHCsYDRMQxIXThksFvz/bwRyED8gaa8ek4EEe1quP3hIz7e6c&#10;0+0UShEh7DNUUIXQZFL6oiKLfuga4uidXWsxRNmWUrd4j3BbyzRJptKi4bhQYUNfFRWX09UqKL8P&#10;cpz7v41xx8dxnJr9rptppfqfo2QBIlAX3uFXe6cVpJMpPM/EIyB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Bp7hNvQAA&#10;ANwAAAAPAAAAAAAAAAEAIAAAACIAAABkcnMvZG93bnJldi54bWxQSwECFAAUAAAACACHTuJAMy8F&#10;njsAAAA5AAAAEAAAAAAAAAABACAAAAAMAQAAZHJzL3NoYXBleG1sLnhtbFBLBQYAAAAABgAGAFsB&#10;AAC2AwAAAAA=&#10;">
                  <v:fill on="f" focussize="0,0"/>
                  <v:stroke weight="0.248503937007874pt" color="#000000" joinstyle="round"/>
                  <v:imagedata o:title=""/>
                  <o:lock v:ext="edit" aspectratio="f"/>
                </v:line>
                <v:rect id="Rectangle 189" o:spid="_x0000_s1026" o:spt="1" style="position:absolute;left:4553;top:1214;height:25;width:2469;" fillcolor="#000000" filled="t" stroked="f" coordsize="21600,21600" o:gfxdata="UEsDBAoAAAAAAIdO4kAAAAAAAAAAAAAAAAAEAAAAZHJzL1BLAwQUAAAACACHTuJA0YyCtcAAAADc&#10;AAAADwAAAGRycy9kb3ducmV2LnhtbEWPS2sCMRSF90L/Q7gFd5o4+OrUKFgouCn46KLurpPbmcHJ&#10;zTSJj/rrm4Lg8nDO+Q5ntrjaRpzJh9qxhkFfgSAunKm51PC5e+9NQYSIbLBxTBp+KcBi/tSZYW7c&#10;hTd03sZSJAiHHDVUMba5lKGoyGLou5Y4ed/OW4xJ+lIaj5cEt43MlBpLizWnhQpbequoOG5PVsPy&#10;Zbr8WQ/547Y57Gn/dTiOMq+07j4P1CuISNf4CN/bK6MhG03g/0w6AnL+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RjIK1&#10;wAAAANwAAAAPAAAAAAAAAAEAIAAAACIAAABkcnMvZG93bnJldi54bWxQSwECFAAUAAAACACHTuJA&#10;My8FnjsAAAA5AAAAEAAAAAAAAAABACAAAAAPAQAAZHJzL3NoYXBleG1sLnhtbFBLBQYAAAAABgAG&#10;AFsBAAC5AwAAAAA=&#10;">
                  <v:fill on="t" focussize="0,0"/>
                  <v:stroke on="f"/>
                  <v:imagedata o:title=""/>
                  <o:lock v:ext="edit" aspectratio="f"/>
                </v:rect>
                <v:rect id="Rectangle 188" o:spid="_x0000_s1026" o:spt="1" style="position:absolute;left:4553;top:1214;height:25;width:2469;" fillcolor="#000000" filled="t" stroked="f" coordsize="21600,21600" o:gfxdata="UEsDBAoAAAAAAIdO4kAAAAAAAAAAAAAAAAAEAAAAZHJzL1BLAwQUAAAACACHTuJAoBMWx70AAADc&#10;AAAADwAAAGRycy9kb3ducmV2LnhtbEVPTWvCMBi+D/wP4RV2m0nLHF1nFCoIuwzmx0Fvr81rW2ze&#10;1CRTt1+/HAY7Pjzfs8Xd9uJKPnSONWQTBYK4dqbjRsNuu3oqQISIbLB3TBq+KcBiPnqYYWncjdd0&#10;3cRGpBAOJWpoYxxKKUPdksUwcQNx4k7OW4wJ+kYaj7cUbnuZK/UiLXacGlocaNlSfd58WQ3Va1Fd&#10;Pp/542d9PNBhfzxPc6+0fhxn6g1EpHv8F/+5342GfJrWpjPpCMj5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gExbHvQAA&#10;ANwAAAAPAAAAAAAAAAEAIAAAACIAAABkcnMvZG93bnJldi54bWxQSwECFAAUAAAACACHTuJAMy8F&#10;njsAAAA5AAAAEAAAAAAAAAABACAAAAAMAQAAZHJzL3NoYXBleG1sLnhtbFBLBQYAAAAABgAGAFsB&#10;AAC2AwAAAAA=&#10;">
                  <v:fill on="t" focussize="0,0"/>
                  <v:stroke on="f"/>
                  <v:imagedata o:title=""/>
                  <o:lock v:ext="edit" aspectratio="f"/>
                </v:rect>
                <v:rect id="Rectangle 187" o:spid="_x0000_s1026" o:spt="1" style="position:absolute;left:4553;top:1214;height:25;width:2469;" filled="f" stroked="t" coordsize="21600,21600" o:gfxdata="UEsDBAoAAAAAAIdO4kAAAAAAAAAAAAAAAAAEAAAAZHJzL1BLAwQUAAAACACHTuJAADKmybkAAADc&#10;AAAADwAAAGRycy9kb3ducmV2LnhtbEWPzYoCMRCE74LvEFrwphkFV3fWKCgoXtfRezPpnQw76YyT&#10;9u/tzcKCx6KqvqKW64dv1I26WAc2MBlnoIjLYGuuDJyK3WgBKgqyxSYwGXhShPWq31tibsOdv+l2&#10;lEolCMccDTiRNtc6lo48xnFoiZP3EzqPkmRXadvhPcF9o6dZ9qE91pwWHLa0dVT+Hq/eQOGLuWOx&#10;z2jpfD1c2G+c7I0ZDibZFyihh7zD/+2DNTCdfcLfmXQE9Oo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AAypsm5AAAA3AAA&#10;AA8AAAAAAAAAAQAgAAAAIgAAAGRycy9kb3ducmV2LnhtbFBLAQIUABQAAAAIAIdO4kAzLwWeOwAA&#10;ADkAAAAQAAAAAAAAAAEAIAAAAAgBAABkcnMvc2hhcGV4bWwueG1sUEsFBgAAAAAGAAYAWwEAALID&#10;AAAAAA==&#10;">
                  <v:fill on="f" focussize="0,0"/>
                  <v:stroke weight="0.0129133858267717pt" color="#000000" miterlimit="8" joinstyle="miter"/>
                  <v:imagedata o:title=""/>
                  <o:lock v:ext="edit" aspectratio="f"/>
                </v:rect>
                <v:shape id="Freeform 186" o:spid="_x0000_s1026" o:spt="100" style="position:absolute;left:4553;top:417;height:780;width:2;" filled="f" stroked="t" coordsize="1,780" o:gfxdata="UEsDBAoAAAAAAIdO4kAAAAAAAAAAAAAAAAAEAAAAZHJzL1BLAwQUAAAACACHTuJATSx8TL0AAADc&#10;AAAADwAAAGRycy9kb3ducmV2LnhtbEVPPW/CMBDdK/EfrENiAycZEEpjGECIKoghUKkdj/iapMTn&#10;NDaE9tfjAanj0/vOVnfTihv1rrGsIJ5FIIhLqxuuFLyfttMFCOeRNbaWScEvOVgtRy8ZptoOXNDt&#10;6CsRQtilqKD2vkuldGVNBt3MdsSB+7K9QR9gX0nd4xDCTSuTKJpLgw2Hhho7WtdUXo5Xo2Bh5cdf&#10;XuR6s0t+Pg/f63OD571Sk3EcvYLwdPf/4qf7TStI5mF+OBOOgFw+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NLHxMvQAA&#10;ANwAAAAPAAAAAAAAAAEAIAAAACIAAABkcnMvZG93bnJldi54bWxQSwECFAAUAAAACACHTuJAMy8F&#10;njsAAAA5AAAAEAAAAAAAAAABACAAAAAMAQAAZHJzL3NoYXBleG1sLnhtbFBLBQYAAAAABgAGAFsB&#10;AAC2AwAAAAA=&#10;" path="m0,779l0,0e">
                  <v:path o:connectlocs="0,1197;0,418;0,418" o:connectangles="0,0,0"/>
                  <v:fill on="f" focussize="0,0"/>
                  <v:stroke weight="0.0111023622047244pt" color="#000000" joinstyle="round"/>
                  <v:imagedata o:title=""/>
                  <o:lock v:ext="edit" aspectratio="f"/>
                </v:shape>
                <v:shape id="Freeform 185" o:spid="_x0000_s1026" o:spt="100" style="position:absolute;left:5792;top:417;height:750;width:2;" filled="f" stroked="t" coordsize="1,750" o:gfxdata="UEsDBAoAAAAAAIdO4kAAAAAAAAAAAAAAAAAEAAAAZHJzL1BLAwQUAAAACACHTuJAM0Dc8r0AAADc&#10;AAAADwAAAGRycy9kb3ducmV2LnhtbEWPT4vCMBTE7wt+h/CEvSyatgdXqtGDIPao7qIeH83rH2xe&#10;SpNt67c3grDHYWZ+w6y3o2lET52rLSuI5xEI4tzqmksFvz/72RKE88gaG8uk4EEOtpvJxxpTbQc+&#10;UX/2pQgQdikqqLxvUyldXpFBN7ctcfAK2xn0QXal1B0OAW4amUTRQhqsOSxU2NKuovx+/jMKLn3x&#10;NZqTPSbf18NwL7LsaN1Nqc9pHK1AeBr9f/jdzrSCZBHD60w4AnLz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zQNzyvQAA&#10;ANwAAAAPAAAAAAAAAAEAIAAAACIAAABkcnMvZG93bnJldi54bWxQSwECFAAUAAAACACHTuJAMy8F&#10;njsAAAA5AAAAEAAAAAAAAAABACAAAAAMAQAAZHJzL3NoYXBleG1sLnhtbFBLBQYAAAAABgAGAFsB&#10;AAC2AwAAAAA=&#10;" path="m0,749l0,0,1,0e">
                  <v:path o:connectlocs="0,1167;0,418;2,418" o:connectangles="0,0,0"/>
                  <v:fill on="f" focussize="0,0"/>
                  <v:stroke weight="0.0111023622047244pt" color="#000000" joinstyle="round"/>
                  <v:imagedata o:title=""/>
                  <o:lock v:ext="edit" aspectratio="f"/>
                </v:shape>
                <v:shape id="Freeform 184" o:spid="_x0000_s1026" o:spt="100" style="position:absolute;left:4553;top:503;height:2;width:1239;" filled="f" stroked="t" coordsize="1239,1" o:gfxdata="UEsDBAoAAAAAAIdO4kAAAAAAAAAAAAAAAAAEAAAAZHJzL1BLAwQUAAAACACHTuJApHumr7sAAADc&#10;AAAADwAAAGRycy9kb3ducmV2LnhtbEWPQWvCQBSE7wX/w/KE3vQloYiJroJCoVetILk9ss8kmH0b&#10;s6vGf98tFHocZuYbZr0dbacePPjWiYZ0noBiqZxppdZw+v6cLUH5QGKoc8IaXuxhu5m8rakw7ikH&#10;fhxDrSJEfEEamhD6AtFXDVvyc9ezRO/iBkshyqFGM9Azwm2HWZIs0FIrcaGhnvcNV9fj3Wrw+ccZ&#10;y7J0ub/edvm+xXSsUOv3aZqsQAUew3/4r/1lNGSLDH7PxCOAmx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Humr7sAAADc&#10;AAAADwAAAAAAAAABACAAAAAiAAAAZHJzL2Rvd25yZXYueG1sUEsBAhQAFAAAAAgAh07iQDMvBZ47&#10;AAAAOQAAABAAAAAAAAAAAQAgAAAACgEAAGRycy9zaGFwZXhtbC54bWxQSwUGAAAAAAYABgBbAQAA&#10;tAMAAAAA&#10;" path="m0,0l1238,0,1239,0e">
                  <v:path o:connectlocs="0,0;1238,0;1239,0" o:connectangles="0,0,0"/>
                  <v:fill on="f" focussize="0,0"/>
                  <v:stroke weight="0.0129133858267717pt" color="#000000" joinstyle="round"/>
                  <v:imagedata o:title=""/>
                  <o:lock v:ext="edit" aspectratio="f"/>
                </v:shape>
                <v:shape id="Freeform 183" o:spid="_x0000_s1026" o:spt="100" style="position:absolute;left:4719;top:226;height:145;width:83;" filled="f" stroked="t" coordsize="83,145" o:gfxdata="UEsDBAoAAAAAAIdO4kAAAAAAAAAAAAAAAAAEAAAAZHJzL1BLAwQUAAAACACHTuJAsR71u7cAAADc&#10;AAAADwAAAGRycy9kb3ducmV2LnhtbEWPwQrCMBBE74L/EFbwZlMtiFSjiCJ4rXrxtjRrU2w2pYlW&#10;/94IgsdhZt4wq83LNuJJna8dK5gmKQji0umaKwWX82GyAOEDssbGMSl4k4fNejhYYa5dzwU9T6ES&#10;EcI+RwUmhDaX0peGLPrEtcTRu7nOYoiyq6TusI9w28hZms6lxZrjgsGWdobK++lhFeC2v+2yB12L&#10;4t6i6fd8rGWm1Hg0TZcgAr3CP/xrH7WC2TyD75l4BOT6A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xHvW7twAAANwAAAAP&#10;AAAAAAAAAAEAIAAAACIAAABkcnMvZG93bnJldi54bWxQSwECFAAUAAAACACHTuJAMy8FnjsAAAA5&#10;AAAAEAAAAAAAAAABACAAAAAGAQAAZHJzL3NoYXBleG1sLnhtbFBLBQYAAAAABgAGAFsBAACwAwAA&#10;AAA=&#10;" path="m12,0l77,0,41,55,59,55,71,62,77,69,83,90,83,103,77,124,65,138,47,145,30,145,12,138,6,131,0,117e">
                  <v:path o:connectlocs="12,226;77,226;41,281;59,281;71,288;77,295;83,316;83,329;77,350;65,364;47,371;30,371;12,364;6,357;0,343;0,343" o:connectangles="0,0,0,0,0,0,0,0,0,0,0,0,0,0,0,0"/>
                  <v:fill on="f" focussize="0,0"/>
                  <v:stroke weight="0.0115748031496063pt" color="#000000" joinstyle="round"/>
                  <v:imagedata o:title=""/>
                  <o:lock v:ext="edit" aspectratio="f"/>
                </v:shape>
                <v:shape id="Freeform 182" o:spid="_x0000_s1026" o:spt="100" style="position:absolute;left:4842;top:274;height:97;width:2;" filled="f" stroked="t" coordsize="1,97" o:gfxdata="UEsDBAoAAAAAAIdO4kAAAAAAAAAAAAAAAAAEAAAAZHJzL1BLAwQUAAAACACHTuJAZOVDr78AAADc&#10;AAAADwAAAGRycy9kb3ducmV2LnhtbEWPT4vCMBTE74LfITzBi2iiKyJdowdBqQfB9c9hb4/mbdu1&#10;eSlNrPrtN8KCx2FmfsMsVg9biZYaXzrWMB4pEMSZMyXnGs6nzXAOwgdkg5Vj0vAkD6tlt7PAxLg7&#10;f1F7DLmIEPYJaihCqBMpfVaQRT9yNXH0flxjMUTZ5NI0eI9wW8mJUjNpseS4UGBN64Ky6/FmNRz2&#10;u2DO03X78X1N94M0U5ftr9K63xurTxCBHuEd/m+nRsNkNoXXmXgE5PI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TlQ6+/&#10;AAAA3AAAAA8AAAAAAAAAAQAgAAAAIgAAAGRycy9kb3ducmV2LnhtbFBLAQIUABQAAAAIAIdO4kAz&#10;LwWeOwAAADkAAAAQAAAAAAAAAAEAIAAAAA4BAABkcnMvc2hhcGV4bWwueG1sUEsFBgAAAAAGAAYA&#10;WwEAALgDAAAAAA==&#10;" path="m0,0l0,96e">
                  <v:path o:connectlocs="0,275;0,371;0,371" o:connectangles="0,0,0"/>
                  <v:fill on="f" focussize="0,0"/>
                  <v:stroke weight="0.0111023622047244pt" color="#000000" joinstyle="round"/>
                  <v:imagedata o:title=""/>
                  <o:lock v:ext="edit" aspectratio="f"/>
                </v:shape>
                <v:shape id="Freeform 181" o:spid="_x0000_s1026" o:spt="100" style="position:absolute;left:4842;top:274;height:97;width:66;" filled="f" stroked="t" coordsize="66,97" o:gfxdata="UEsDBAoAAAAAAIdO4kAAAAAAAAAAAAAAAAAEAAAAZHJzL1BLAwQUAAAACACHTuJARbeX778AAADc&#10;AAAADwAAAGRycy9kb3ducmV2LnhtbEWPW2sCMRSE3wv+h3AE32qyYkW3Rh8EQRAKXS/s42Fzuru4&#10;OQmbeGl/fVMo+DjMzDfMcv2wnbhRH1rHGrKxAkFcOdNyreF42L7OQYSIbLBzTBq+KcB6NXhZYm7c&#10;nT/pVsRaJAiHHDU0MfpcylA1ZDGMnSdO3pfrLcYk+1qaHu8Jbjs5UWomLbacFhr0tGmouhRXq+Fn&#10;cfbk99fi4zQtL4rKbFeqrdajYabeQUR6xGf4v70zGiazN/g7k46AXP0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W3l++/&#10;AAAA3AAAAA8AAAAAAAAAAQAgAAAAIgAAAGRycy9kb3ducmV2LnhtbFBLAQIUABQAAAAIAIdO4kAz&#10;LwWeOwAAADkAAAAQAAAAAAAAAAEAIAAAAA4BAABkcnMvc2hhcGV4bWwueG1sUEsFBgAAAAAGAAYA&#10;WwEAALgDAAAAAA==&#10;" path="m0,27l18,6,29,0,47,0,59,6,65,27,65,96e">
                  <v:path o:connectlocs="0,302;18,281;29,275;47,275;59,281;65,302;65,371;65,371" o:connectangles="0,0,0,0,0,0,0,0"/>
                  <v:fill on="f" focussize="0,0"/>
                  <v:stroke weight="0.0116535433070866pt" color="#000000" joinstyle="round"/>
                  <v:imagedata o:title=""/>
                  <o:lock v:ext="edit" aspectratio="f"/>
                </v:shape>
                <v:shape id="Freeform 180" o:spid="_x0000_s1026" o:spt="100" style="position:absolute;left:4907;top:274;height:97;width:66;" filled="f" stroked="t" coordsize="66,97" o:gfxdata="UEsDBAoAAAAAAIdO4kAAAAAAAAAAAAAAAAAEAAAAZHJzL1BLAwQUAAAACACHTuJAtWUJmL4AAADc&#10;AAAADwAAAGRycy9kb3ducmV2LnhtbEWPT2sCMRTE70K/Q3iF3jRZKYvdGj0UBEEQ3Krs8bF53V3c&#10;vIRN/NN+eiMIPQ4z8xtmvrzZXlxoCJ1jDdlEgSCunem40bD/Xo1nIEJENtg7Jg2/FGC5eBnNsTDu&#10;yju6lLERCcKhQA1tjL6QMtQtWQwT54mT9+MGizHJoZFmwGuC215OlcqlxY7TQouevlqqT+XZavj7&#10;OHrym3O5PbxXJ0VVtq7USuu310x9goh0i//hZ3ttNEzzHB5n0hGQi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WUJmL4A&#10;AADcAAAADwAAAAAAAAABACAAAAAiAAAAZHJzL2Rvd25yZXYueG1sUEsBAhQAFAAAAAgAh07iQDMv&#10;BZ47AAAAOQAAABAAAAAAAAAAAQAgAAAADQEAAGRycy9zaGFwZXhtbC54bWxQSwUGAAAAAAYABgBb&#10;AQAAtwMAAAAA&#10;" path="m0,27l18,6,29,0,47,0,59,6,65,27,65,96e">
                  <v:path o:connectlocs="0,302;18,281;29,275;47,275;59,281;65,302;65,371;65,371" o:connectangles="0,0,0,0,0,0,0,0"/>
                  <v:fill on="f" focussize="0,0"/>
                  <v:stroke weight="0.0116535433070866pt" color="#000000" joinstyle="round"/>
                  <v:imagedata o:title=""/>
                  <o:lock v:ext="edit" aspectratio="f"/>
                </v:shape>
                <v:shape id="Freeform 179" o:spid="_x0000_s1026" o:spt="100" style="position:absolute;left:5019;top:199;height:220;width:42;" filled="f" stroked="t" coordsize="42,220" o:gfxdata="UEsDBAoAAAAAAIdO4kAAAAAAAAAAAAAAAAAEAAAAZHJzL1BLAwQUAAAACACHTuJAVMcCBr4AAADc&#10;AAAADwAAAGRycy9kb3ducmV2LnhtbEWP3YrCMBSE74V9h3CEvdO0uv7QbSqLIKgXgtUHODRn22Jz&#10;UppodZ/eLAheDjPzDZOu7qYRN+pcbVlBPI5AEBdW11wqOJ82oyUI55E1NpZJwYMcrLKPQYqJtj0f&#10;6Zb7UgQIuwQVVN63iZSuqMigG9uWOHi/tjPog+xKqTvsA9w0chJFc2mw5rBQYUvriopLfjUKfg79&#10;Y9/+LY/xLueZdsXXlGdbpT6HcfQNwtPdv8Ov9lYrmMwX8H8mHAGZP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McCBr4A&#10;AADcAAAADwAAAAAAAAABACAAAAAiAAAAZHJzL2Rvd25yZXYueG1sUEsBAhQAFAAAAAgAh07iQDMv&#10;BZ47AAAAOQAAABAAAAAAAAAAAQAgAAAADQEAAGRycy9zaGFwZXhtbC54bWxQSwUGAAAAAAYABgBb&#10;AQAAtwMAAAAA&#10;" path="m41,0l29,14,17,34,6,62,0,96,0,123,6,158,17,185,29,206,41,219e">
                  <v:path o:connectlocs="41,199;29,213;17,233;6,261;0,295;0,322;6,357;17,384;29,405;41,418;41,418" o:connectangles="0,0,0,0,0,0,0,0,0,0,0"/>
                  <v:fill on="f" focussize="0,0"/>
                  <v:stroke weight="0.0111811023622047pt" color="#000000" joinstyle="round"/>
                  <v:imagedata o:title=""/>
                  <o:lock v:ext="edit" aspectratio="f"/>
                </v:shape>
                <v:shape id="Freeform 178" o:spid="_x0000_s1026" o:spt="100" style="position:absolute;left:5114;top:226;height:145;width:30;" filled="f" stroked="t" coordsize="30,145" o:gfxdata="UEsDBAoAAAAAAIdO4kAAAAAAAAAAAAAAAAAEAAAAZHJzL1BLAwQUAAAACACHTuJAuSYKurYAAADc&#10;AAAADwAAAGRycy9kb3ducmV2LnhtbEVPzYrCMBC+C75DGMGbpioEqUYP6oJ4090HGJuxKTaTkkTr&#10;vr05CB4/vv/19uVa8aQQG88aZtMCBHHlTcO1hr/fn8kSREzIBlvPpOGfImw3w8EaS+N7PtPzkmqR&#10;QziWqMGm1JVSxsqSwzj1HXHmbj44TBmGWpqAfQ53rZwXhZIOG84NFjvaWarul4fTcNgtFd69vbI6&#10;yn3g/nRYqJPW49GsWIFI9Epf8cd9NBrmKq/NZ/IRkJs3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LkmCrq2AAAA3AAAAA8A&#10;AAAAAAAAAQAgAAAAIgAAAGRycy9kb3ducmV2LnhtbFBLAQIUABQAAAAIAIdO4kAzLwWeOwAAADkA&#10;AAAQAAAAAAAAAAEAIAAAAAUBAABkcnMvc2hhcGV4bWwueG1sUEsFBgAAAAAGAAYAWwEAAK8DAAAA&#10;AA==&#10;" path="m0,28l12,21,30,0,30,145e">
                  <v:path o:connectlocs="0,254;12,247;30,226;30,371;30,371" o:connectangles="0,0,0,0,0"/>
                  <v:fill on="f" focussize="0,0"/>
                  <v:stroke weight="0.0111811023622047pt" color="#000000" joinstyle="round"/>
                  <v:imagedata o:title=""/>
                  <o:lock v:ext="edit" aspectratio="f"/>
                </v:shape>
                <v:shape id="Freeform 177" o:spid="_x0000_s1026" o:spt="100" style="position:absolute;left:5220;top:356;height:14;width:12;" filled="f" stroked="t" coordsize="12,14" o:gfxdata="UEsDBAoAAAAAAIdO4kAAAAAAAAAAAAAAAAAEAAAAZHJzL1BLAwQUAAAACACHTuJA76mLlr0AAADc&#10;AAAADwAAAGRycy9kb3ducmV2LnhtbEWPX2vCMBTF3wd+h3CFvc2kMorrjKKDggMR1D3s8dJc22Jz&#10;U5qsdX56Iwg+Hs6fH2e+vNhG9NT52rGGZKJAEBfO1Fxq+DnmbzMQPiAbbByThn/ysFyMXuaYGTfw&#10;nvpDKEUcYZ+hhiqENpPSFxVZ9BPXEkfv5DqLIcqulKbDIY7bRk6VSqXFmiOhwpa+KirOhz8bud9D&#10;uvbv/SzZKblqtvlvfpUbrV/HifoEEegSnuFHe2M0TNMPuJ+JR0Au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qYuWvQAA&#10;ANwAAAAPAAAAAAAAAAEAIAAAACIAAABkcnMvZG93bnJldi54bWxQSwECFAAUAAAACACHTuJAMy8F&#10;njsAAAA5AAAAEAAAAAAAAAABACAAAAAMAQAAZHJzL3NoYXBleG1sLnhtbFBLBQYAAAAABgAGAFsB&#10;AAC2AwAAAAA=&#10;" path="m6,0l0,7,6,14,12,7,6,0e">
                  <v:path o:connectlocs="6,357;0,364;6,371;12,364;6,357;6,357" o:connectangles="0,0,0,0,0,0"/>
                  <v:fill on="f" focussize="0,0"/>
                  <v:stroke weight="0.0118897637795276pt" color="#000000" joinstyle="round"/>
                  <v:imagedata o:title=""/>
                  <o:lock v:ext="edit" aspectratio="f"/>
                </v:shape>
                <v:shape id="Freeform 176" o:spid="_x0000_s1026" o:spt="100" style="position:absolute;left:5273;top:226;height:145;width:83;" filled="f" stroked="t" coordsize="83,145" o:gfxdata="UEsDBAoAAAAAAIdO4kAAAAAAAAAAAAAAAAAEAAAAZHJzL1BLAwQUAAAACACHTuJAxBX9EbUAAADc&#10;AAAADwAAAGRycy9kb3ducmV2LnhtbEVPvQrCMBDeBd8hnOCmqQoqtVFEEVyrLm5HczbF5lKa1Orb&#10;m0Fw/Pj+s93b1uJFra8cK5hNExDEhdMVlwpu19NkDcIHZI21Y1LwIQ+77XCQYapdzzm9LqEUMYR9&#10;igpMCE0qpS8MWfRT1xBH7uFaiyHCtpS6xT6G21rOk2QpLVYcGww2dDBUPC+dVYD7/nFYdHTP82eD&#10;pj/yuZILpcajWbIBEegd/uKf+6wVzFdxfjwTj4DcfgF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xBX9EbUAAADcAAAADwAA&#10;AAAAAAABACAAAAAiAAAAZHJzL2Rvd25yZXYueG1sUEsBAhQAFAAAAAgAh07iQDMvBZ47AAAAOQAA&#10;ABAAAAAAAAAAAQAgAAAABAEAAGRycy9zaGFwZXhtbC54bWxQSwUGAAAAAAYABgBbAQAArgMAAAAA&#10;" path="m70,0l11,0,5,62,11,55,29,49,47,49,64,55,76,69,82,90,82,103,76,124,64,138,47,145,29,145,11,138,5,131,0,117e">
                  <v:path o:connectlocs="70,226;11,226;5,288;11,281;29,275;47,275;64,281;76,295;82,316;82,329;76,350;64,364;47,371;29,371;11,364;5,357;0,343;0,343" o:connectangles="0,0,0,0,0,0,0,0,0,0,0,0,0,0,0,0,0,0"/>
                  <v:fill on="f" focussize="0,0"/>
                  <v:stroke weight="0.0115748031496063pt" color="#000000" joinstyle="round"/>
                  <v:imagedata o:title=""/>
                  <o:lock v:ext="edit" aspectratio="f"/>
                </v:shape>
                <v:shape id="Freeform 175" o:spid="_x0000_s1026" o:spt="100" style="position:absolute;left:5397;top:274;height:97;width:2;" filled="f" stroked="t" coordsize="1,97" o:gfxdata="UEsDBAoAAAAAAIdO4kAAAAAAAAAAAAAAAAAEAAAAZHJzL1BLAwQUAAAACACHTuJA8Ut26sAAAADc&#10;AAAADwAAAGRycy9kb3ducmV2LnhtbEWPQWvCQBSE74X+h+UVvEjdjRVbUjcehEo8CGrtobdH9jVJ&#10;k30bsmu0/94VhB6HmfmGWSwvthUD9b52rCGZKBDEhTM1lxqOnx/PbyB8QDbYOiYNf+RhmT0+LDA1&#10;7sx7Gg6hFBHCPkUNVQhdKqUvKrLoJ64jjt6P6y2GKPtSmh7PEW5bOVVqLi3WHBcq7GhVUdEcTlbD&#10;brsJ5jhbDS/fTb4d54X6Wv8qrUdPiXoHEegS/sP3dm40TF8TuJ2JR0BmV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xS3bq&#10;wAAAANwAAAAPAAAAAAAAAAEAIAAAACIAAABkcnMvZG93bnJldi54bWxQSwECFAAUAAAACACHTuJA&#10;My8FnjsAAAA5AAAAEAAAAAAAAAABACAAAAAPAQAAZHJzL3NoYXBleG1sLnhtbFBLBQYAAAAABgAG&#10;AFsBAAC5AwAAAAA=&#10;" path="m0,0l0,96,1,96e">
                  <v:path o:connectlocs="0,275;0,371;2,371" o:connectangles="0,0,0"/>
                  <v:fill on="f" focussize="0,0"/>
                  <v:stroke weight="0.0111023622047244pt" color="#000000" joinstyle="round"/>
                  <v:imagedata o:title=""/>
                  <o:lock v:ext="edit" aspectratio="f"/>
                </v:shape>
                <v:shape id="Freeform 174" o:spid="_x0000_s1026" o:spt="100" style="position:absolute;left:5397;top:274;height:97;width:66;" filled="f" stroked="t" coordsize="66,97" o:gfxdata="UEsDBAoAAAAAAIdO4kAAAAAAAAAAAAAAAAAEAAAAZHJzL1BLAwQUAAAACACHTuJAT4eZRr4AAADc&#10;AAAADwAAAGRycy9kb3ducmV2LnhtbEWPzWrDMBCE74W8g9hCbo1kU9LUjZJDIBAoFOK2wcfF2tom&#10;1kpYyl+fPgoEchxm5htmvjzbXhxpCJ1jDdlEgSCunem40fDzvX6ZgQgR2WDvmDRcKMByMXqaY2Hc&#10;ibd0LGMjEoRDgRraGH0hZahbshgmzhMn788NFmOSQyPNgKcEt73MlZpKix2nhRY9rVqq9+XBavh/&#10;33nyn4fy6/e12iuqsk2l1lqPnzP1ASLSOT7C9/bGaMjfcridSUdALq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4eZRr4A&#10;AADcAAAADwAAAAAAAAABACAAAAAiAAAAZHJzL2Rvd25yZXYueG1sUEsBAhQAFAAAAAgAh07iQDMv&#10;BZ47AAAAOQAAABAAAAAAAAAAAQAgAAAADQEAAGRycy9zaGFwZXhtbC54bWxQSwUGAAAAAAYABgBb&#10;AQAAtwMAAAAA&#10;" path="m0,27l18,6,30,0,47,0,59,6,65,27,65,96e">
                  <v:path o:connectlocs="0,302;18,281;30,275;47,275;59,281;65,302;65,371;65,371" o:connectangles="0,0,0,0,0,0,0,0"/>
                  <v:fill on="f" focussize="0,0"/>
                  <v:stroke weight="0.0116535433070866pt" color="#000000" joinstyle="round"/>
                  <v:imagedata o:title=""/>
                  <o:lock v:ext="edit" aspectratio="f"/>
                </v:shape>
                <v:shape id="Freeform 173" o:spid="_x0000_s1026" o:spt="100" style="position:absolute;left:5462;top:274;height:97;width:66;" filled="f" stroked="t" coordsize="66,97" o:gfxdata="UEsDBAoAAAAAAIdO4kAAAAAAAAAAAAAAAAAEAAAAZHJzL1BLAwQUAAAACACHTuJAIMs83b8AAADc&#10;AAAADwAAAGRycy9kb3ducmV2LnhtbEWPS2vDMBCE74X+B7GF3BrJSWkSN0oOgUAgUKjzwMfF2tom&#10;1kpYyqP99VUg0OMwM98w8+XNduJCfWgda8iGCgRx5UzLtYb9bv06BREissHOMWn4oQDLxfPTHHPj&#10;rvxFlyLWIkE45KihidHnUoaqIYth6Dxx8r5dbzEm2dfS9HhNcNvJkVLv0mLLaaFBT6uGqlNxthp+&#10;Z0dPfnsuPg9v5UlRmW1KtdZ68JKpDxCRbvE//GhvjIbRZAz3M+kIyMU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DLPN2/&#10;AAAA3AAAAA8AAAAAAAAAAQAgAAAAIgAAAGRycy9kb3ducmV2LnhtbFBLAQIUABQAAAAIAIdO4kAz&#10;LwWeOwAAADkAAAAQAAAAAAAAAAEAIAAAAA4BAABkcnMvc2hhcGV4bWwueG1sUEsFBgAAAAAGAAYA&#10;WwEAALgDAAAAAA==&#10;" path="m0,27l18,6,30,0,47,0,59,6,65,27,65,96e">
                  <v:path o:connectlocs="0,302;18,281;30,275;47,275;59,281;65,302;65,371;65,371" o:connectangles="0,0,0,0,0,0,0,0"/>
                  <v:fill on="f" focussize="0,0"/>
                  <v:stroke weight="0.0116535433070866pt" color="#000000" joinstyle="round"/>
                  <v:imagedata o:title=""/>
                  <o:lock v:ext="edit" aspectratio="f"/>
                </v:shape>
                <v:shape id="Freeform 172" o:spid="_x0000_s1026" o:spt="100" style="position:absolute;left:5568;top:199;height:220;width:42;" filled="f" stroked="t" coordsize="42,220" o:gfxdata="UEsDBAoAAAAAAIdO4kAAAAAAAAAAAAAAAAAEAAAAZHJzL1BLAwQUAAAACACHTuJAIcwKrL0AAADc&#10;AAAADwAAAGRycy9kb3ducmV2LnhtbEWP3YrCMBSE7xd8h3AE79a0/lNNiwiCuxcLVh/g0BzbYnNS&#10;mmjVpzcLC3s5zMw3zCZ7mEbcqXO1ZQXxOAJBXFhdc6ngfNp/rkA4j6yxsUwKnuQgSwcfG0y07flI&#10;99yXIkDYJaig8r5NpHRFRQbd2LbEwbvYzqAPsiul7rAPcNPISRQtpMGaw0KFLe0qKq75zSjY/vTP&#10;7/a1OsZfOc+1K2ZTnh+UGg3jaA3C08P/h//aB61gspzB75lwBGT6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hzAqsvQAA&#10;ANwAAAAPAAAAAAAAAAEAIAAAACIAAABkcnMvZG93bnJldi54bWxQSwECFAAUAAAACACHTuJAMy8F&#10;njsAAAA5AAAAEAAAAAAAAAABACAAAAAMAQAAZHJzL3NoYXBleG1sLnhtbFBLBQYAAAAABgAGAFsB&#10;AAC2AwAAAAA=&#10;" path="m0,0l12,14,24,34,36,62,42,96,42,123,36,158,24,185,12,206,0,219,1,219e">
                  <v:path o:connectlocs="0,199;12,213;24,233;36,261;42,295;42,322;36,357;24,384;12,405;0,418;1,418" o:connectangles="0,0,0,0,0,0,0,0,0,0,0"/>
                  <v:fill on="f" focussize="0,0"/>
                  <v:stroke weight="0.0111811023622047pt" color="#000000" joinstyle="round"/>
                  <v:imagedata o:title=""/>
                  <o:lock v:ext="edit" aspectratio="f"/>
                </v:shape>
                <v:shape id="Freeform 171" o:spid="_x0000_s1026" o:spt="100" style="position:absolute;left:4520;top:455;height:96;width:75;" fillcolor="#000000" filled="t" stroked="f" coordsize="75,96" o:gfxdata="UEsDBAoAAAAAAIdO4kAAAAAAAAAAAAAAAAAEAAAAZHJzL1BLAwQUAAAACACHTuJAU37qaL8AAADc&#10;AAAADwAAAGRycy9kb3ducmV2LnhtbEWPQWvCQBSE70L/w/IKXqTuKtiW6OqhUFpP1VQQb4/sa5I2&#10;+17IbqP117tCweMwM98wi9XJN6qnLtTCFiZjA4q4EFdzaWH3+frwDCpEZIeNMFn4owCr5d1ggZmT&#10;I2+pz2OpEoRDhhaqGNtM61BU5DGMpSVO3pd0HmOSXaldh8cE942eGvOoPdacFips6aWi4if/9RY2&#10;e8lH0h/k2+w3610Rz/jxdrZ2eD8xc1CRTvEW/m+/OwvTpxlcz6QjoJc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N+6mi/&#10;AAAA3AAAAA8AAAAAAAAAAQAgAAAAIgAAAGRycy9kb3ducmV2LnhtbFBLAQIUABQAAAAIAIdO4kAz&#10;LwWeOwAAADkAAAAQAAAAAAAAAAEAIAAAAA4BAABkcnMvc2hhcGV4bWwueG1sUEsFBgAAAAAGAAYA&#10;WwEAALgDAAAAAA==&#10;" path="m66,0l0,96,74,9,66,0xe">
                  <v:path o:connectlocs="66,456;0,552;74,465;66,456" o:connectangles="0,0,0,0"/>
                  <v:fill on="t" focussize="0,0"/>
                  <v:stroke on="f"/>
                  <v:imagedata o:title=""/>
                  <o:lock v:ext="edit" aspectratio="f"/>
                </v:shape>
                <v:shape id="Freeform 170" o:spid="_x0000_s1026" o:spt="100" style="position:absolute;left:4512;top:455;height:96;width:75;" fillcolor="#000000" filled="t" stroked="f" coordsize="75,96" o:gfxdata="UEsDBAoAAAAAAIdO4kAAAAAAAAAAAAAAAAAEAAAAZHJzL1BLAwQUAAAACACHTuJAo6x0H78AAADc&#10;AAAADwAAAGRycy9kb3ducmV2LnhtbEWPQWvCQBSE74X+h+UVvJS6qwcrqauHQqmeaqMg3h7ZZxKb&#10;fS9k12j99V1B6HGYmW+Y2eLiG9VTF2phC6OhAUVciKu5tLDdfLxMQYWI7LARJgu/FGAxf3yYYebk&#10;zN/U57FUCcIhQwtVjG2mdSgq8hiG0hIn7yCdx5hkV2rX4TnBfaPHxky0x5rTQoUtvVdU/OQnb2G9&#10;k/xZ+r0czW692hbxil+fV2sHTyPzBirSJf6H7+2lszB+ncDtTDoCev4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OsdB+/&#10;AAAA3AAAAA8AAAAAAAAAAQAgAAAAIgAAAGRycy9kb3ducmV2LnhtbFBLAQIUABQAAAAIAIdO4kAz&#10;LwWeOwAAADkAAAAQAAAAAAAAAAEAIAAAAA4BAABkcnMvc2hhcGV4bWwueG1sUEsFBgAAAAAGAAYA&#10;WwEAALgDAAAAAA==&#10;" path="m74,0l0,87,8,96,74,0xe">
                  <v:path o:connectlocs="74,456;0,543;8,552;74,456" o:connectangles="0,0,0,0"/>
                  <v:fill on="t" focussize="0,0"/>
                  <v:stroke on="f"/>
                  <v:imagedata o:title=""/>
                  <o:lock v:ext="edit" aspectratio="f"/>
                </v:shape>
                <v:shape id="Freeform 169" o:spid="_x0000_s1026" o:spt="100" style="position:absolute;left:4512;top:456;height:96;width:83;" filled="f" stroked="t" coordsize="83,96" o:gfxdata="UEsDBAoAAAAAAIdO4kAAAAAAAAAAAAAAAAAEAAAAZHJzL1BLAwQUAAAACACHTuJAfE8N370AAADc&#10;AAAADwAAAGRycy9kb3ducmV2LnhtbEWPQWsCMRSE7wX/Q3iCt5qoUOtq9CAsradi6sXbc/PcXdy8&#10;LJu4rv++KRR6HGbmG2azG1wjeupC7VnDbKpAEBfe1lxqOH3nr+8gQkS22HgmDU8KsNuOXjaYWf/g&#10;I/UmliJBOGSooYqxzaQMRUUOw9S3xMm7+s5hTLIrpe3wkeCukXOl3qTDmtNChS3tKypu5u40fH00&#10;l37IF7k5mlV/PhgVHZ60noxnag0i0hD/w3/tT6thvlzC75l0BOT2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8Tw3fvQAA&#10;ANwAAAAPAAAAAAAAAAEAIAAAACIAAABkcnMvZG93bnJldi54bWxQSwECFAAUAAAACACHTuJAMy8F&#10;njsAAAA5AAAAEAAAAAAAAAABACAAAAAMAQAAZHJzL3NoYXBleG1sLnhtbFBLBQYAAAAABgAGAFsB&#10;AAC2AwAAAAA=&#10;" path="m82,9l74,0,0,87,8,96,82,9e">
                  <v:path o:connectlocs="82,465;74,456;0,543;8,552;82,465" o:connectangles="0,0,0,0,0"/>
                  <v:fill on="f" focussize="0,0"/>
                  <v:stroke weight="0.0118897637795276pt" color="#000000" joinstyle="round"/>
                  <v:imagedata o:title=""/>
                  <o:lock v:ext="edit" aspectratio="f"/>
                </v:shape>
                <v:shape id="Freeform 168" o:spid="_x0000_s1026" o:spt="100" style="position:absolute;left:5751;top:455;height:96;width:75;" fillcolor="#000000" filled="t" stroked="f" coordsize="75,96" o:gfxdata="UEsDBAoAAAAAAIdO4kAAAAAAAAAAAAAAAAAEAAAAZHJzL1BLAwQUAAAACACHTuJAvX9F9rwAAADc&#10;AAAADwAAAGRycy9kb3ducmV2LnhtbEVPTWvCQBC9F/wPywheSt3VQyupqwdBrKdqFMTbkJ0mqdmZ&#10;kN1G66/vHoQeH+97vrz5RvXUhVrYwmRsQBEX4mouLRwP65cZqBCRHTbCZOGXAiwXg6c5Zk6uvKc+&#10;j6VKIRwytFDF2GZah6Iij2EsLXHivqTzGBPsSu06vKZw3+ipMa/aY82pocKWVhUVl/zHW9idJH+W&#10;/izf5rTbHot4x8/N3drRcGLeQUW6xX/xw/3hLEzf0tp0Jh0Bvfg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1/Rfa8AAAA&#10;3AAAAA8AAAAAAAAAAQAgAAAAIgAAAGRycy9kb3ducmV2LnhtbFBLAQIUABQAAAAIAIdO4kAzLwWe&#10;OwAAADkAAAAQAAAAAAAAAAEAIAAAAAsBAABkcnMvc2hhcGV4bWwueG1sUEsFBgAAAAAGAAYAWwEA&#10;ALUDAAAAAA==&#10;" path="m74,0l0,87,8,96,74,0xe">
                  <v:path o:connectlocs="74,456;0,543;8,552;74,456" o:connectangles="0,0,0,0"/>
                  <v:fill on="t" focussize="0,0"/>
                  <v:stroke on="f"/>
                  <v:imagedata o:title=""/>
                  <o:lock v:ext="edit" aspectratio="f"/>
                </v:shape>
                <v:shape id="Freeform 167" o:spid="_x0000_s1026" o:spt="100" style="position:absolute;left:5758;top:455;height:96;width:75;" fillcolor="#000000" filled="t" stroked="f" coordsize="75,96" o:gfxdata="UEsDBAoAAAAAAIdO4kAAAAAAAAAAAAAAAAAEAAAAZHJzL1BLAwQUAAAACACHTuJA0jPgbb8AAADc&#10;AAAADwAAAGRycy9kb3ducmV2LnhtbEWPQWvCQBSE70L/w/IKXqTu6sG20dVDobSeqqkg3h7Z1yRt&#10;9r2Q3Ubrr3eFgsdhZr5hFquTb1RPXaiFLUzGBhRxIa7m0sLu8/XhCVSIyA4bYbLwRwFWy7vBAjMn&#10;R95Sn8dSJQiHDC1UMbaZ1qGoyGMYS0ucvC/pPMYku1K7Do8J7hs9NWamPdacFips6aWi4if/9RY2&#10;e8lH0h/k2+w3610Rz/jxdrZ2eD8xc1CRTvEW/m+/OwvTx2e4nklHQC8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Iz4G2/&#10;AAAA3AAAAA8AAAAAAAAAAQAgAAAAIgAAAGRycy9kb3ducmV2LnhtbFBLAQIUABQAAAAIAIdO4kAz&#10;LwWeOwAAADkAAAAQAAAAAAAAAAEAIAAAAA4BAABkcnMvc2hhcGV4bWwueG1sUEsFBgAAAAAGAAYA&#10;WwEAALgDAAAAAA==&#10;" path="m66,0l0,96,74,9,66,0xe">
                  <v:path o:connectlocs="66,456;0,552;74,465;66,456" o:connectangles="0,0,0,0"/>
                  <v:fill on="t" focussize="0,0"/>
                  <v:stroke on="f"/>
                  <v:imagedata o:title=""/>
                  <o:lock v:ext="edit" aspectratio="f"/>
                </v:shape>
                <v:shape id="Freeform 166" o:spid="_x0000_s1026" o:spt="100" style="position:absolute;left:5751;top:456;height:96;width:83;" filled="f" stroked="t" coordsize="83,96" o:gfxdata="UEsDBAoAAAAAAIdO4kAAAAAAAAAAAAAAAAAEAAAAZHJzL1BLAwQUAAAACACHTuJAxnPljLoAAADc&#10;AAAADwAAAGRycy9kb3ducmV2LnhtbEVPPWvDMBDdC/0P4gLdGikuFMeNkiFgmk7FapZsV+tim1gn&#10;Yym2+++rodDx8b53h8X1YqIxdJ41bNYKBHHtbceNhvNX+ZyDCBHZYu+ZNPxQgMP+8WGHhfUzVzSZ&#10;2IgUwqFADW2MQyFlqFtyGNZ+IE7c1Y8OY4JjI+2Icwp3vcyUepUOO04NLQ50bKm+mbvT8Pnef09L&#10;+VKaymyny4dR0eFZ66fVRr2BiLTEf/Gf+2Q1ZHman86kIyD3v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Gc+WMugAAANwA&#10;AAAPAAAAAAAAAAEAIAAAACIAAABkcnMvZG93bnJldi54bWxQSwECFAAUAAAACACHTuJAMy8FnjsA&#10;AAA5AAAAEAAAAAAAAAABACAAAAAJAQAAZHJzL3NoYXBleG1sLnhtbFBLBQYAAAAABgAGAFsBAACz&#10;AwAAAAA=&#10;" path="m0,87l8,96,82,9,75,0,0,87e">
                  <v:path o:connectlocs="0,543;8,552;82,465;75,456;0,543" o:connectangles="0,0,0,0,0"/>
                  <v:fill on="f" focussize="0,0"/>
                  <v:stroke weight="0.0118897637795276pt" color="#000000" joinstyle="round"/>
                  <v:imagedata o:title=""/>
                  <o:lock v:ext="edit" aspectratio="f"/>
                </v:shape>
                <v:line id="Line 165" o:spid="_x0000_s1026" o:spt="20" style="position:absolute;left:5792;top:504;height:0;width:1;" filled="f" stroked="t" coordsize="21600,21600" o:gfxdata="UEsDBAoAAAAAAIdO4kAAAAAAAAAAAAAAAAAEAAAAZHJzL1BLAwQUAAAACACHTuJA/ijFg7wAAADc&#10;AAAADwAAAGRycy9kb3ducmV2LnhtbEWPT4vCMBTE78J+h/AW9mbTimitRg8rglf/Lezt2Tzbss1L&#10;SaLWb78RBI/DzPyGWax604obOd9YVpAlKQji0uqGKwXHw2aYg/ABWWNrmRQ8yMNq+TFYYKHtnXd0&#10;24dKRAj7AhXUIXSFlL6syaBPbEccvYt1BkOUrpLa4T3CTStHaTqRBhuOCzV29F1T+be/GgX5eHvy&#10;7U+1fjR9cP73cJ7tyqlSX59ZOgcRqA/v8Ku91QpGeQbPM/EIyO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4oxYO8AAAA&#10;3AAAAA8AAAAAAAAAAQAgAAAAIgAAAGRycy9kb3ducmV2LnhtbFBLAQIUABQAAAAIAIdO4kAzLwWe&#10;OwAAADkAAAAQAAAAAAAAAAEAIAAAAAsBAABkcnMvc2hhcGV4bWwueG1sUEsFBgAAAAAGAAYAWwEA&#10;ALUDAAAAAA==&#10;">
                  <v:fill on="f" focussize="0,0"/>
                  <v:stroke weight="0.0128346456692913pt" color="#000000" joinstyle="round"/>
                  <v:imagedata o:title=""/>
                  <o:lock v:ext="edit" aspectratio="f"/>
                </v:line>
                <v:line id="Line 164" o:spid="_x0000_s1026" o:spt="20" style="position:absolute;left:4554;top:1227;height:0;width:0;" filled="f" stroked="t" coordsize="21600,21600" o:gfxdata="UEsDBAoAAAAAAIdO4kAAAAAAAAAAAAAAAAAEAAAAZHJzL1BLAwQUAAAACACHTuJADvpb9LwAAADc&#10;AAAADwAAAGRycy9kb3ducmV2LnhtbEWPT4vCMBTE78J+h/AW9mZTi2itRg8rglf/Lezt2Tzbss1L&#10;SaLWb78RBI/DzPyGWax604obOd9YVjBKUhDEpdUNVwqOh80wB+EDssbWMil4kIfV8mOwwELbO+/o&#10;tg+ViBD2BSqoQ+gKKX1Zk0Gf2I44ehfrDIYoXSW1w3uEm1ZmaTqRBhuOCzV29F1T+be/GgX5eHvy&#10;7U+1fjR9cP73cJ7tyqlSX5+jdA4iUB/e4Vd7qxVkeQbPM/EIyO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76W/S8AAAA&#10;3AAAAA8AAAAAAAAAAQAgAAAAIgAAAGRycy9kb3ducmV2LnhtbFBLAQIUABQAAAAIAIdO4kAzLwWe&#10;OwAAADkAAAAQAAAAAAAAAAEAIAAAAAsBAABkcnMvc2hhcGV4bWwueG1sUEsFBgAAAAAGAAYAWwEA&#10;ALUDAAAAAA==&#10;">
                  <v:fill on="f" focussize="0,0"/>
                  <v:stroke weight="0.0128346456692913pt" color="#000000" joinstyle="round"/>
                  <v:imagedata o:title=""/>
                  <o:lock v:ext="edit" aspectratio="f"/>
                </v:line>
                <v:line id="Line 163" o:spid="_x0000_s1026" o:spt="20" style="position:absolute;left:5477;top:1127;height:2240;width:0;" filled="f" stroked="t" coordsize="21600,21600" o:gfxdata="UEsDBAoAAAAAAIdO4kAAAAAAAAAAAAAAAAAEAAAAZHJzL1BLAwQUAAAACACHTuJAHWYz370AAADc&#10;AAAADwAAAGRycy9kb3ducmV2LnhtbEWPT2sCMRTE7wW/Q3iCt5qoIMtq9CAqRby4/Xd9bl53t25e&#10;liTV9dubQqHHYWZ+wyzXvW3FlXxoHGuYjBUI4tKZhisNb6+75wxEiMgGW8ek4U4B1qvB0xJz4258&#10;omsRK5EgHHLUUMfY5VKGsiaLYew64uR9OW8xJukraTzeEty2cqrUXFpsOC3U2NGmpvJS/FgNWe8P&#10;798yfB7vrVPn2VbtP4qt1qPhRC1AROrjf/iv/WI0TLMZ/J5JR0CuH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dZjPfvQAA&#10;ANwAAAAPAAAAAAAAAAEAIAAAACIAAABkcnMvZG93bnJldi54bWxQSwECFAAUAAAACACHTuJAMy8F&#10;njsAAAA5AAAAEAAAAAAAAAABACAAAAAMAQAAZHJzL3NoYXBleG1sLnhtbFBLBQYAAAAABgAGAFsB&#10;AAC2AwAAAAA=&#10;">
                  <v:fill on="f" focussize="0,0"/>
                  <v:stroke weight="0.202992125984252pt" color="#000000" joinstyle="round"/>
                  <v:imagedata o:title=""/>
                  <o:lock v:ext="edit" aspectratio="f"/>
                </v:line>
                <v:line id="Line 162" o:spid="_x0000_s1026" o:spt="20" style="position:absolute;left:5477;top:1127;height:2240;width:0;" filled="f" stroked="t" coordsize="21600,21600" o:gfxdata="UEsDBAoAAAAAAIdO4kAAAAAAAAAAAAAAAAAEAAAAZHJzL1BLAwQUAAAACACHTuJAko+rq74AAADc&#10;AAAADwAAAGRycy9kb3ducmV2LnhtbEWPT2sCMRTE74V+h/CE3mqiLbKsRg9iSym9dP13fW6eu6ub&#10;lyVJdf32jVDocZiZ3zCzRW9bcSEfGscaRkMFgrh0puFKw2b99pyBCBHZYOuYNNwowGL++DDD3Lgr&#10;f9OliJVIEA45aqhj7HIpQ1mTxTB0HXHyjs5bjEn6ShqP1wS3rRwrNZEWG04LNXa0rKk8Fz9WQ9b7&#10;z+1Jhv3XrXXq8LJS77tipfXTYKSmICL18T/81/4wGsbZK9zPpCMg5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o+rq74A&#10;AADcAAAADwAAAAAAAAABACAAAAAiAAAAZHJzL2Rvd25yZXYueG1sUEsBAhQAFAAAAAgAh07iQDMv&#10;BZ47AAAAOQAAABAAAAAAAAAAAQAgAAAADQEAAGRycy9zaGFwZXhtbC54bWxQSwUGAAAAAAYABgBb&#10;AQAAtwMAAAAA&#10;">
                  <v:fill on="f" focussize="0,0"/>
                  <v:stroke weight="0.202992125984252pt" color="#000000" joinstyle="round"/>
                  <v:imagedata o:title=""/>
                  <o:lock v:ext="edit" aspectratio="f"/>
                </v:line>
                <v:line id="Line 161" o:spid="_x0000_s1026" o:spt="20" style="position:absolute;left:5477;top:1127;height:2240;width:0;" filled="f" stroked="t" coordsize="21600,21600" o:gfxdata="UEsDBAoAAAAAAIdO4kAAAAAAAAAAAAAAAAAEAAAAZHJzL1BLAwQUAAAACACHTuJA97ssC70AAADc&#10;AAAADwAAAGRycy9kb3ducmV2LnhtbEWPUWvCMBSF3wX/Q7jC3jS14JDOKCKI+rAx637AXXPXFJub&#10;kkTb/ftFEPZ4OOd8h7PaDLYVd/KhcaxgPstAEFdON1wr+Lrsp0sQISJrbB2Tgl8KsFmPRysstOv5&#10;TPcy1iJBOBSowMTYFVKGypDFMHMdcfJ+nLcYk/S11B77BLetzLPsVVpsOC0Y7GhnqLqWN6vgkH9v&#10;/eGE5oSLz75q+vfh46yVepnMszcQkYb4H362j1pBvlzA40w6AnL9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3uywLvQAA&#10;ANwAAAAPAAAAAAAAAAEAIAAAACIAAABkcnMvZG93bnJldi54bWxQSwECFAAUAAAACACHTuJAMy8F&#10;njsAAAA5AAAAEAAAAAAAAAABACAAAAAMAQAAZHJzL3NoYXBleG1sLnhtbFBLBQYAAAAABgAGAFsB&#10;AAC2AwAAAAA=&#10;">
                  <v:fill on="f" focussize="0,0"/>
                  <v:stroke weight="0.214094488188976pt" color="#000000" joinstyle="round"/>
                  <v:imagedata o:title=""/>
                  <o:lock v:ext="edit" aspectratio="f"/>
                </v:line>
                <v:line id="Line 160" o:spid="_x0000_s1026" o:spt="20" style="position:absolute;left:5394;top:647;height:2720;width:0;" filled="f" stroked="t" coordsize="21600,21600" o:gfxdata="UEsDBAoAAAAAAIdO4kAAAAAAAAAAAAAAAAAEAAAAZHJzL1BLAwQUAAAACACHTuJAS2iDm7wAAADc&#10;AAAADwAAAGRycy9kb3ducmV2LnhtbEWPwWrDMBBE74X+g9hAb40UH0JwooQSMPRqJ9AeF2sjO7VW&#10;xlLtuF8fFQI5DjPzhtkdbq4TIw2h9axhtVQgiGtvWrYazqfifQMiRGSDnWfSMFOAw/71ZYe58ROX&#10;NFbRigThkKOGJsY+lzLUDTkMS98TJ+/iB4cxycFKM+CU4K6TmVJr6bDltNBgT8eG6p/q12kInc+u&#10;81dx/rb2z5al+shGY7V+W6zUFkSkW3yGH+1PoyHbrOH/TDoCcn8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tog5u8AAAA&#10;3AAAAA8AAAAAAAAAAQAgAAAAIgAAAGRycy9kb3ducmV2LnhtbFBLAQIUABQAAAAIAIdO4kAzLwWe&#10;OwAAADkAAAAQAAAAAAAAAAEAIAAAAAsBAABkcnMvc2hhcGV4bWwueG1sUEsFBgAAAAAGAAYAWwEA&#10;ALUDAAAAAA==&#10;">
                  <v:fill on="f" focussize="0,0"/>
                  <v:stroke weight="0.20251968503937pt" color="#000000" joinstyle="round"/>
                  <v:imagedata o:title=""/>
                  <o:lock v:ext="edit" aspectratio="f"/>
                </v:line>
                <v:line id="Line 159" o:spid="_x0000_s1026" o:spt="20" style="position:absolute;left:5394;top:647;height:2720;width:0;" filled="f" stroked="t" coordsize="21600,21600" o:gfxdata="UEsDBAoAAAAAAIdO4kAAAAAAAAAAAAAAAAAEAAAAZHJzL1BLAwQUAAAACACHTuJAJCQmALwAAADc&#10;AAAADwAAAGRycy9kb3ducmV2LnhtbEWPQWsCMRSE74X+h/AK3mqye7CyGkUKC72uFfT42DyT1c3L&#10;sklX7a9vCoUeh5n5hllv774XE42xC6yhmCsQxG0wHVsNh8/6dQkiJmSDfWDS8KAI283z0xorE27c&#10;0LRPVmQIxwo1uJSGSsrYOvIY52Egzt45jB5TlqOVZsRbhvtelkotpMeO84LDgd4dtdf9l9cQ+1Be&#10;Hsf6cLL22zaN2pWTsVrPXgq1ApHonv7Df+0Po6FcvsHvmXwE5OY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QkJgC8AAAA&#10;3AAAAA8AAAAAAAAAAQAgAAAAIgAAAGRycy9kb3ducmV2LnhtbFBLAQIUABQAAAAIAIdO4kAzLwWe&#10;OwAAADkAAAAQAAAAAAAAAAEAIAAAAAsBAABkcnMvc2hhcGV4bWwueG1sUEsFBgAAAAAGAAYAWwEA&#10;ALUDAAAAAA==&#10;">
                  <v:fill on="f" focussize="0,0"/>
                  <v:stroke weight="0.20251968503937pt" color="#000000" joinstyle="round"/>
                  <v:imagedata o:title=""/>
                  <o:lock v:ext="edit" aspectratio="f"/>
                </v:line>
                <v:line id="Line 158" o:spid="_x0000_s1026" o:spt="20" style="position:absolute;left:5394;top:647;height:2720;width:0;" filled="f" stroked="t" coordsize="21600,21600" o:gfxdata="UEsDBAoAAAAAAIdO4kAAAAAAAAAAAAAAAAAEAAAAZHJzL1BLAwQUAAAACACHTuJAVdi6f70AAADc&#10;AAAADwAAAGRycy9kb3ducmV2LnhtbEWPQWvDMAyF74P+B6PBbqudwEbJ6pYyKOy6dnQ7arGWhMZy&#10;sJ2k26+vDoUdJT2997719uJ7NVFMXWALxdKAIq6D67ix8HHcP65ApYzssA9MFn4pwXazuFtj5cLM&#10;7zQdcqPEhFOFFtqch0rrVLfkMS3DQCy3nxA9Zhljo13EWcx9r0tjnrXHjiWhxYFeW6rPh9FbOJWy&#10;+P7czTF5Uxy/TuPf0zRa+3BfmBdQmS75X3z7fnMWypW0FRgBAb25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V2Lp/vQAA&#10;ANwAAAAPAAAAAAAAAAEAIAAAACIAAABkcnMvZG93bnJldi54bWxQSwECFAAUAAAACACHTuJAMy8F&#10;njsAAAA5AAAAEAAAAAAAAAABACAAAAAMAQAAZHJzL3NoYXBleG1sLnhtbFBLBQYAAAAABgAGAFsB&#10;AAC2AwAAAAA=&#10;">
                  <v:fill on="f" focussize="0,0"/>
                  <v:stroke weight="0.213622047244094pt" color="#000000" joinstyle="round"/>
                  <v:imagedata o:title=""/>
                  <o:lock v:ext="edit" aspectratio="f"/>
                </v:line>
                <v:shape id="Freeform 157" o:spid="_x0000_s1026" o:spt="100" style="position:absolute;left:3955;top:1223;height:2385;width:609;" fillcolor="#000000" filled="t" stroked="f" coordsize="609,2385" o:gfxdata="UEsDBAoAAAAAAIdO4kAAAAAAAAAAAAAAAAAEAAAAZHJzL1BLAwQUAAAACACHTuJAMNNN270AAADc&#10;AAAADwAAAGRycy9kb3ducmV2LnhtbEWPzW7CMBCE75V4B2uReitOcqhoiuEAoirqpfyI89bexinx&#10;OrINgbevKyH1OJqZbzSzxdV14kIhtp4VlJMCBLH2puVGwWG/fpqCiAnZYOeZFNwowmI+ephhbfzA&#10;W7rsUiMyhGONCmxKfS1l1JYcxonvibP37YPDlGVopAk4ZLjrZFUUz9Jhy3nBYk9LS/q0OzsF2v58&#10;fr3F40pWjsoh3Hr9UW6UehyXxSuIRNf0H763342CavoCf2fyEZDz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003bvQAA&#10;ANwAAAAPAAAAAAAAAAEAIAAAACIAAABkcnMvZG93bnJldi54bWxQSwECFAAUAAAACACHTuJAMy8F&#10;njsAAAA5AAAAEAAAAAAAAAABACAAAAAMAQAAZHJzL3NoYXBleG1sLnhtbFBLBQYAAAAABgAGAFsB&#10;AAC2AwAAAAA=&#10;" path="m588,0l0,2385,608,7,588,0xe">
                  <v:path o:connectlocs="588,1223;0,3608;608,1230;588,1223" o:connectangles="0,0,0,0"/>
                  <v:fill on="t" focussize="0,0"/>
                  <v:stroke on="f"/>
                  <v:imagedata o:title=""/>
                  <o:lock v:ext="edit" aspectratio="f"/>
                </v:shape>
                <v:shape id="Freeform 156" o:spid="_x0000_s1026" o:spt="100" style="position:absolute;left:3935;top:1223;height:2385;width:609;" fillcolor="#000000" filled="t" stroked="f" coordsize="609,2385" o:gfxdata="UEsDBAoAAAAAAIdO4kAAAAAAAAAAAAAAAAAEAAAAZHJzL1BLAwQUAAAACACHTuJAJDBym7kAAADc&#10;AAAADwAAAGRycy9kb3ducmV2LnhtbEVPPW/CMBDdK/EfrEPqVpxkqNqAYQBRFXVpATEf9hEH4nNk&#10;GwL/vh4qdXx637PF3XXiRiG2nhWUkwIEsfam5UbBfrd+eQMRE7LBzjMpeFCExXz0NMPa+IF/6LZN&#10;jcghHGtUYFPqaymjtuQwTnxPnLmTDw5ThqGRJuCQw10nq6J4lQ5bzg0We1pa0pft1SnQ9vx9/IiH&#10;lawclUN49Pqr3Cj1PC6LKYhE9/Qv/nN/GgXVe56fz+QjIO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CQwcpu5AAAA3AAA&#10;AA8AAAAAAAAAAQAgAAAAIgAAAGRycy9kb3ducmV2LnhtbFBLAQIUABQAAAAIAIdO4kAzLwWeOwAA&#10;ADkAAAAQAAAAAAAAAAEAIAAAAAgBAABkcnMvc2hhcGV4bWwueG1sUEsFBgAAAAAGAAYAWwEAALID&#10;AAAAAA==&#10;" path="m608,0l0,2378,20,2385,608,0xe">
                  <v:path o:connectlocs="608,1223;0,3601;20,3608;608,1223" o:connectangles="0,0,0,0"/>
                  <v:fill on="t" focussize="0,0"/>
                  <v:stroke on="f"/>
                  <v:imagedata o:title=""/>
                  <o:lock v:ext="edit" aspectratio="f"/>
                </v:shape>
                <v:shape id="Freeform 155" o:spid="_x0000_s1026" o:spt="100" style="position:absolute;left:3935;top:1223;height:2385;width:628;" filled="f" stroked="t" coordsize="628,2385" o:gfxdata="UEsDBAoAAAAAAIdO4kAAAAAAAAAAAAAAAAAEAAAAZHJzL1BLAwQUAAAACACHTuJA1nUhy74AAADc&#10;AAAADwAAAGRycy9kb3ducmV2LnhtbEWPQUvDQBSE7wX/w/IEL8XuJkKJsduCouClh0YPentkn0k0&#10;+zZkn0n8911B8DjMzDfM7rD4Xk00xi6whWxjQBHXwXXcWHh9ebouQEVBdtgHJgs/FOGwv1jtsHRh&#10;5hNNlTQqQTiWaKEVGUqtY92Sx7gJA3HyPsLoUZIcG+1GnBPc9zo3Zqs9dpwWWhzooaX6q/r2FszN&#10;1n2+vfvhcT5VkhfFMV/fi7VXl5m5AyW0yH/4r/3sLOS3GfyeSUdA78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1nUhy74A&#10;AADcAAAADwAAAAAAAAABACAAAAAiAAAAZHJzL2Rvd25yZXYueG1sUEsBAhQAFAAAAAgAh07iQDMv&#10;BZ47AAAAOQAAABAAAAAAAAAAAQAgAAAADQEAAGRycy9zaGFwZXhtbC54bWxQSwUGAAAAAAYABgBb&#10;AQAAtwMAAAAA&#10;" path="m628,7l608,0,0,2378,20,2385,628,7e">
                  <v:path o:connectlocs="628,1230;608,1223;0,3601;20,3608;628,1230" o:connectangles="0,0,0,0,0"/>
                  <v:fill on="f" focussize="0,0"/>
                  <v:stroke weight="0.011259842519685pt" color="#000000" joinstyle="round"/>
                  <v:imagedata o:title=""/>
                  <o:lock v:ext="edit" aspectratio="f"/>
                </v:shape>
                <v:line id="Line 154" o:spid="_x0000_s1026" o:spt="20" style="position:absolute;left:5171;top:3367;height:237;width:0;" filled="f" stroked="t" coordsize="21600,21600" o:gfxdata="UEsDBAoAAAAAAIdO4kAAAAAAAAAAAAAAAAAEAAAAZHJzL1BLAwQUAAAACACHTuJA9/MAmb4AAADc&#10;AAAADwAAAGRycy9kb3ducmV2LnhtbEWPQWsCMRSE70L/Q3gFb5q4haKr0UOxpYgXt7W9Pjevu9tu&#10;XpYk6vrvG0HwOMzMN8xi1dtWnMiHxrGGyViBIC6dabjS8PnxOpqCCBHZYOuYNFwowGr5MFhgbtyZ&#10;d3QqYiUShEOOGuoYu1zKUNZkMYxdR5y8H+ctxiR9JY3Hc4LbVmZKPUuLDaeFGjt6qan8K45Ww7T3&#10;m/2vDN/bS+vU4Wmt3r6KtdbDx4mag4jUx3v41n43GrJZBtcz6QjI5T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9/MAmb4A&#10;AADcAAAADwAAAAAAAAABACAAAAAiAAAAZHJzL2Rvd25yZXYueG1sUEsBAhQAFAAAAAgAh07iQDMv&#10;BZ47AAAAOQAAABAAAAAAAAAAAQAgAAAADQEAAGRycy9zaGFwZXhtbC54bWxQSwUGAAAAAAYABgBb&#10;AQAAtwMAAAAA&#10;">
                  <v:fill on="f" focussize="0,0"/>
                  <v:stroke weight="0.202992125984252pt" color="#000000" joinstyle="round"/>
                  <v:imagedata o:title=""/>
                  <o:lock v:ext="edit" aspectratio="f"/>
                </v:line>
                <v:line id="Line 153" o:spid="_x0000_s1026" o:spt="20" style="position:absolute;left:5171;top:3367;height:237;width:0;" filled="f" stroked="t" coordsize="21600,21600" o:gfxdata="UEsDBAoAAAAAAIdO4kAAAAAAAAAAAAAAAAAEAAAAZHJzL1BLAwQUAAAACACHTuJAmL+lAr4AAADc&#10;AAAADwAAAGRycy9kb3ducmV2LnhtbEWPQWsCMRSE70L/Q3hCb5qoUOxq9CC2lNJL16rX5+a5u7p5&#10;WZJU13/fFASPw8x8w8yXnW3EhXyoHWsYDRUI4sKZmksNP5u3wRREiMgGG8ek4UYBloun3hwz4678&#10;TZc8liJBOGSooYqxzaQMRUUWw9C1xMk7Om8xJulLaTxeE9w2cqzUi7RYc1qosKVVRcU5/7Uapp3/&#10;3J5k2H/dGqcOk7V63+VrrZ/7IzUDEamLj/C9/WE0jF8n8H8mHQG5+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L+lAr4A&#10;AADcAAAADwAAAAAAAAABACAAAAAiAAAAZHJzL2Rvd25yZXYueG1sUEsBAhQAFAAAAAgAh07iQDMv&#10;BZ47AAAAOQAAABAAAAAAAAAAAQAgAAAADQEAAGRycy9zaGFwZXhtbC54bWxQSwUGAAAAAAYABgBb&#10;AQAAtwMAAAAA&#10;">
                  <v:fill on="f" focussize="0,0"/>
                  <v:stroke weight="0.202992125984252pt" color="#000000" joinstyle="round"/>
                  <v:imagedata o:title=""/>
                  <o:lock v:ext="edit" aspectratio="f"/>
                </v:line>
                <v:line id="Line 152" o:spid="_x0000_s1026" o:spt="20" style="position:absolute;left:5171;top:3367;height:237;width:0;" filled="f" stroked="t" coordsize="21600,21600" o:gfxdata="UEsDBAoAAAAAAIdO4kAAAAAAAAAAAAAAAAAEAAAAZHJzL1BLAwQUAAAACACHTuJAZZKNlrwAAADc&#10;AAAADwAAAGRycy9kb3ducmV2LnhtbEWPQYvCMBSE78L+h/AW9qaJZRGtpgUXFA97sfoDHs2zLdu8&#10;1CZa++83guBxmJlvmE3+sK24U+8bxxrmMwWCuHSm4UrD+bSbLkH4gGywdUwaRvKQZx+TDabGDXyk&#10;exEqESHsU9RQh9ClUvqyJot+5jri6F1cbzFE2VfS9DhEuG1lotRCWmw4LtTY0U9N5V9xsxoUFrvq&#10;cm33t9P5d2wGv03G61brr8+5WoMI9Ajv8Kt9MBqS1Tc8z8QjIL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WSjZa8AAAA&#10;3AAAAA8AAAAAAAAAAQAgAAAAIgAAAGRycy9kb3ducmV2LnhtbFBLAQIUABQAAAAIAIdO4kAzLwWe&#10;OwAAADkAAAAQAAAAAAAAAAEAIAAAAAsBAABkcnMvc2hhcGV4bWwueG1sUEsFBgAAAAAGAAYAWwEA&#10;ALUDAAAAAA==&#10;">
                  <v:fill on="f" focussize="0,0"/>
                  <v:stroke weight="0.213937007874016pt" color="#000000" joinstyle="round"/>
                  <v:imagedata o:title=""/>
                  <o:lock v:ext="edit" aspectratio="f"/>
                </v:line>
                <v:shape id="Freeform 151" o:spid="_x0000_s1026" o:spt="100" style="position:absolute;left:3869;top:1226;height:2;width:659;" filled="f" stroked="t" coordsize="659,1" o:gfxdata="UEsDBAoAAAAAAIdO4kAAAAAAAAAAAAAAAAAEAAAAZHJzL1BLAwQUAAAACACHTuJA7P1MY78AAADc&#10;AAAADwAAAGRycy9kb3ducmV2LnhtbEWPwW7CMBBE75X6D9ZW4lZsEDQlYDi0QtBDQaR8wCrexlHj&#10;dRQ7BP6+rlSJ42hm3mhWm6trxIW6UHvWMBkrEMSlNzVXGs5f2+dXECEiG2w8k4YbBdisHx9WmBs/&#10;8IkuRaxEgnDIUYONsc2lDKUlh2HsW+LkffvOYUyyq6TpcEhw18ipUi/SYc1pwWJLb5bKn6J3GoY+&#10;O0plP2R/Psw+3w/FfpdlXuvR00QtQUS6xnv4v703GqaLOfydSUdArn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z9TGO/&#10;AAAA3AAAAA8AAAAAAAAAAQAgAAAAIgAAAGRycy9kb3ducmV2LnhtbFBLAQIUABQAAAAIAIdO4kAz&#10;LwWeOwAAADkAAAAQAAAAAAAAAAEAIAAAAA4BAABkcnMvc2hhcGV4bWwueG1sUEsFBgAAAAAGAAYA&#10;WwEAALgDAAAAAA==&#10;" path="m658,0l0,0e">
                  <v:path o:connectlocs="658,0;0,0;0,0" o:connectangles="0,0,0"/>
                  <v:fill on="f" focussize="0,0"/>
                  <v:stroke weight="0.0129133858267717pt" color="#000000" joinstyle="round"/>
                  <v:imagedata o:title=""/>
                  <o:lock v:ext="edit" aspectratio="f"/>
                </v:shape>
                <v:shape id="Freeform 150" o:spid="_x0000_s1026" o:spt="100" style="position:absolute;left:3869;top:1613;height:2;width:420;" filled="f" stroked="t" coordsize="420,1" o:gfxdata="UEsDBAoAAAAAAIdO4kAAAAAAAAAAAAAAAAAEAAAAZHJzL1BLAwQUAAAACACHTuJAnsZQQ78AAADc&#10;AAAADwAAAGRycy9kb3ducmV2LnhtbEWPT2vCQBTE74LfYXkFb3WTgNZGVw9Siz0aY4m3R/aZxGbf&#10;huzWP9/eLRQ8DjPzG2axuplWXKh3jWUF8TgCQVxa3XClIN9vXmcgnEfW2FomBXdysFoOBwtMtb3y&#10;ji6Zr0SAsEtRQe19l0rpypoMurHtiIN3sr1BH2RfSd3jNcBNK5MomkqDDYeFGjta11T+ZL9GwWTz&#10;vSvit8/8ozh/HRLpty47FkqNXuJoDsLTzT/D/+2tVpC8T+HvTDgCcvk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7GUEO/&#10;AAAA3AAAAA8AAAAAAAAAAQAgAAAAIgAAAGRycy9kb3ducmV2LnhtbFBLAQIUABQAAAAIAIdO4kAz&#10;LwWeOwAAADkAAAAQAAAAAAAAAAEAIAAAAA4BAABkcnMvc2hhcGV4bWwueG1sUEsFBgAAAAAGAAYA&#10;WwEAALgDAAAAAA==&#10;" path="m419,0l0,0e">
                  <v:path o:connectlocs="419,0;0,0;0,0" o:connectangles="0,0,0"/>
                  <v:fill on="f" focussize="0,0"/>
                  <v:stroke weight="0.0129133858267717pt" color="#000000" joinstyle="round"/>
                  <v:imagedata o:title=""/>
                  <o:lock v:ext="edit" aspectratio="f"/>
                </v:shape>
                <v:shape id="Freeform 149" o:spid="_x0000_s1026" o:spt="100" style="position:absolute;left:3943;top:1226;height:387;width:2;" filled="f" stroked="t" coordsize="1,387" o:gfxdata="UEsDBAoAAAAAAIdO4kAAAAAAAAAAAAAAAAAEAAAAZHJzL1BLAwQUAAAACACHTuJAGni41MEAAADc&#10;AAAADwAAAGRycy9kb3ducmV2LnhtbEWPT2vCQBTE7wW/w/IEL6VuTGvU1FVQKVTaHkwKvT6yr0kw&#10;+zZkN/759m6h4HGYmd8wy/XFNOJEnastK5iMIxDEhdU1lwq+87enOQjnkTU2lknBlRysV4OHJaba&#10;nvlAp8yXIkDYpaig8r5NpXRFRQbd2LbEwfu1nUEfZFdK3eE5wE0j4yhKpMGaw0KFLW0rKo5ZbxQk&#10;kuZf5sdtFtNpvvl82fXPH/tHpUbDSfQKwtPF38P/7XetIF7M4O9MOAJydQ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Gni4&#10;1MEAAADcAAAADwAAAAAAAAABACAAAAAiAAAAZHJzL2Rvd25yZXYueG1sUEsBAhQAFAAAAAgAh07i&#10;QDMvBZ47AAAAOQAAABAAAAAAAAAAAQAgAAAAEAEAAGRycy9zaGFwZXhtbC54bWxQSwUGAAAAAAYA&#10;BgBbAQAAugMAAAAA&#10;" path="m0,0l0,386e">
                  <v:path o:connectlocs="0,1227;0,1613;0,1613" o:connectangles="0,0,0"/>
                  <v:fill on="f" focussize="0,0"/>
                  <v:stroke weight="0.0111023622047244pt" color="#000000" joinstyle="round"/>
                  <v:imagedata o:title=""/>
                  <o:lock v:ext="edit" aspectratio="f"/>
                </v:shape>
                <v:shape id="Freeform 148" o:spid="_x0000_s1026" o:spt="100" style="position:absolute;left:3644;top:1655;height:97;width:124;" filled="f" stroked="t" coordsize="124,97" o:gfxdata="UEsDBAoAAAAAAIdO4kAAAAAAAAAAAAAAAAAEAAAAZHJzL1BLAwQUAAAACACHTuJATiTYC7kAAADc&#10;AAAADwAAAGRycy9kb3ducmV2LnhtbEVPyarCMBTdC/5DuII7Te3CoRpFhAcPRMRh4fKaXNtqc1Oa&#10;OP29WQguD2eeLV62Eg9qfOlYwaCfgCDWzpScKzge/npjED4gG6wck4I3eVjM260ZZsY9eUePfchF&#10;DGGfoYIihDqT0uuCLPq+q4kjd3GNxRBhk0vT4DOG20qmSTKUFkuODQXWtCpI3/Z3q0Avy81pchwv&#10;z3p0qLdXnVpaW6W6nUEyBRHoFX7ir/vfKEgncW08E4+AnH8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E4k2Au5AAAA3AAA&#10;AA8AAAAAAAAAAQAgAAAAIgAAAGRycy9kb3ducmV2LnhtbFBLAQIUABQAAAAIAIdO4kAzLwWeOwAA&#10;ADkAAAAQAAAAAAAAAAEAIAAAAAgBAABkcnMvc2hhcGV4bWwueG1sUEsFBgAAAAAGAAYAWwEAALID&#10;AAAAAA==&#10;" path="m0,55l6,75,23,89,53,96,70,96,100,89,118,75,124,55,124,41,118,20,100,7,70,0,53,0,23,7,6,20,0,41,0,55e">
                  <v:path o:connectlocs="0,1711;6,1731;23,1745;53,1752;70,1752;100,1745;118,1731;124,1711;124,1697;118,1676;100,1663;70,1656;53,1656;23,1663;6,1676;0,1697;0,1711;0,1711" o:connectangles="0,0,0,0,0,0,0,0,0,0,0,0,0,0,0,0,0,0"/>
                  <v:fill on="f" focussize="0,0"/>
                  <v:stroke weight="0.0122047244094488pt" color="#000000" joinstyle="round"/>
                  <v:imagedata o:title=""/>
                  <o:lock v:ext="edit" aspectratio="f"/>
                </v:shape>
                <v:shape id="Freeform 147" o:spid="_x0000_s1026" o:spt="100" style="position:absolute;left:3756;top:1594;height:14;width:12;" filled="f" stroked="t" coordsize="12,14" o:gfxdata="UEsDBAoAAAAAAIdO4kAAAAAAAAAAAAAAAAAEAAAAZHJzL1BLAwQUAAAACACHTuJA2nz7sb4AAADc&#10;AAAADwAAAGRycy9kb3ducmV2LnhtbEWPX2vCMBTF3wd+h3AF32ZSEdHOKCoUFGSwbg97vDR3bVlz&#10;U5rYqp/eCIM9Hs6fH2e9vdpG9NT52rGGZKpAEBfO1Fxq+PrMXpcgfEA22DgmDTfysN2MXtaYGjfw&#10;B/V5KEUcYZ+ihiqENpXSFxVZ9FPXEkfvx3UWQ5RdKU2HQxy3jZwptZAWa46ECls6VFT85hcbuadh&#10;sffzfpm8K7lrztl3dpdHrSfjRL2BCHQN/+G/9tFomK1W8DwTj4DcP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nz7sb4A&#10;AADcAAAADwAAAAAAAAABACAAAAAiAAAAZHJzL2Rvd25yZXYueG1sUEsBAhQAFAAAAAgAh07iQDMv&#10;BZ47AAAAOQAAABAAAAAAAAAAAQAgAAAADQEAAGRycy9zaGFwZXhtbC54bWxQSwUGAAAAAAYABgBb&#10;AQAAtwMAAAAA&#10;" path="m0,7l6,14,12,7,6,0,0,7e">
                  <v:path o:connectlocs="0,1601;6,1608;12,1601;6,1594;0,1601;0,1601" o:connectangles="0,0,0,0,0,0"/>
                  <v:fill on="f" focussize="0,0"/>
                  <v:stroke weight="0.0118897637795276pt" color="#000000" joinstyle="round"/>
                  <v:imagedata o:title=""/>
                  <o:lock v:ext="edit" aspectratio="f"/>
                </v:shape>
                <v:shape id="Freeform 146" o:spid="_x0000_s1026" o:spt="100" style="position:absolute;left:3644;top:1491;height:35;width:125;" filled="f" stroked="t" coordsize="125,35" o:gfxdata="UEsDBAoAAAAAAIdO4kAAAAAAAAAAAAAAAAAEAAAAZHJzL1BLAwQUAAAACACHTuJA+iN1OroAAADc&#10;AAAADwAAAGRycy9kb3ducmV2LnhtbEVPzWoCMRC+F/oOYYReSk2sWGU1ehAKhXrp6gMMm3F3dTPZ&#10;Jql/T+8cCh4/vv/F6uI7daKY2sAWRkMDirgKruXawm77+TYDlTKywy4wWbhSgtXy+WmBhQtn/qFT&#10;mWslIZwKtNDk3Bdap6ohj2kYemLh9iF6zAJjrV3Es4T7Tr8b86E9tiwNDfa0bqg6ln/ewvi2SXq7&#10;fp0ejt8m4nRWTvj3au3LYGTmoDJd8kP87/5y4jMyX87IEdDLO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6I3U6ugAAANwA&#10;AAAPAAAAAAAAAAEAIAAAACIAAABkcnMvZG93bnJldi54bWxQSwECFAAUAAAACACHTuJAMy8FnjsA&#10;AAA5AAAAEAAAAAAAAAABACAAAAAJAQAAZHJzL3NoYXBleG1sLnhtbFBLBQYAAAAABgAGAFsBAACz&#10;AwAAAAA=&#10;" path="m23,35l17,21,0,0,124,0e">
                  <v:path o:connectlocs="23,1526;17,1512;0,1491;124,1491;124,1491" o:connectangles="0,0,0,0,0"/>
                  <v:fill on="f" focussize="0,0"/>
                  <v:stroke weight="0.012755905511811pt" color="#000000" joinstyle="round"/>
                  <v:imagedata o:title=""/>
                  <o:lock v:ext="edit" aspectratio="f"/>
                </v:shape>
                <v:shape id="Freeform 145" o:spid="_x0000_s1026" o:spt="100" style="position:absolute;left:3644;top:1313;height:96;width:124;" filled="f" stroked="t" coordsize="124,96" o:gfxdata="UEsDBAoAAAAAAIdO4kAAAAAAAAAAAAAAAAAEAAAAZHJzL1BLAwQUAAAACACHTuJAx+3/ULwAAADc&#10;AAAADwAAAGRycy9kb3ducmV2LnhtbEWPQWsCMRSE70L/Q3iF3jRZpSKrUYogSG+1Inp7JM/N0s3L&#10;skl19dc3gtDjMDPfMItV7xtxoS7WgTUUIwWC2ARbc6Vh/70ZzkDEhGyxCUwabhRhtXwZLLC04cpf&#10;dNmlSmQIxxI1uJTaUspoHHmMo9ASZ+8cOo8py66StsNrhvtGjpWaSo815wWHLa0dmZ/dr9dQfa7t&#10;5H64teb9zun4Ydz2ZHut314LNQeRqE//4Wd7azVMVAGPM/kIyOU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ft/1C8AAAA&#10;3AAAAA8AAAAAAAAAAQAgAAAAIgAAAGRycy9kb3ducmV2LnhtbFBLAQIUABQAAAAIAIdO4kAzLwWe&#10;OwAAADkAAAAQAAAAAAAAAAEAIAAAAAsBAABkcnMvc2hhcGV4bWwueG1sUEsFBgAAAAAGAAYAWwEA&#10;ALUDAAAAAA==&#10;" path="m0,14l0,82,53,89,47,82,41,62,41,41,47,21,59,7,76,0,88,0,106,7,118,21,124,41,124,62,118,82,112,89,100,96e">
                  <v:path o:connectlocs="0,1327;0,1395;53,1402;47,1395;41,1375;41,1354;47,1334;59,1320;76,1313;88,1313;106,1320;118,1334;124,1354;124,1375;118,1395;112,1402;100,1409;100,1409" o:connectangles="0,0,0,0,0,0,0,0,0,0,0,0,0,0,0,0,0,0"/>
                  <v:fill on="f" focussize="0,0"/>
                  <v:stroke weight="0.0122047244094488pt" color="#000000" joinstyle="round"/>
                  <v:imagedata o:title=""/>
                  <o:lock v:ext="edit" aspectratio="f"/>
                </v:shape>
                <v:shape id="Picture 144" o:spid="_x0000_s1026" o:spt="75" type="#_x0000_t75" style="position:absolute;left:3644;top:1155;height:110;width:125;" filled="f" o:preferrelative="t" stroked="f" coordsize="21600,21600" o:gfxdata="UEsDBAoAAAAAAIdO4kAAAAAAAAAAAAAAAAAEAAAAZHJzL1BLAwQUAAAACACHTuJAG5FO8L4AAADc&#10;AAAADwAAAGRycy9kb3ducmV2LnhtbEWP3WrCQBSE7wu+w3KE3tVdIxWNriLWgtgbf/IAh+wxCWbP&#10;xuw26tt3hYKXw8x8w8yXd1uLjlpfOdYwHCgQxLkzFRcastP3xwSED8gGa8ek4UEelove2xxT4258&#10;oO4YChEh7FPUUIbQpFL6vCSLfuAa4uidXWsxRNkW0rR4i3Bby0SpsbRYcVwosaF1Sfnl+Gs17MZ2&#10;et0fVp26nPef1+Qnw69so/V7f6hmIALdwyv8394aDSOVwPNMPAJy8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5FO8L4A&#10;AADcAAAADwAAAAAAAAABACAAAAAiAAAAZHJzL2Rvd25yZXYueG1sUEsBAhQAFAAAAAgAh07iQDMv&#10;BZ47AAAAOQAAABAAAAAAAAAAAQAgAAAADQEAAGRycy9zaGFwZXhtbC54bWxQSwUGAAAAAAYABgBb&#10;AQAAtwMAAAAA&#10;">
                  <v:fill on="f" focussize="0,0"/>
                  <v:stroke on="f"/>
                  <v:imagedata r:id="rId60" o:title=""/>
                  <o:lock v:ext="edit" aspectratio="t"/>
                </v:shape>
                <v:shape id="Freeform 143" o:spid="_x0000_s1026" o:spt="100" style="position:absolute;left:3902;top:1188;height:87;width:83;" fillcolor="#000000" filled="t" stroked="f" coordsize="83,87" o:gfxdata="UEsDBAoAAAAAAIdO4kAAAAAAAAAAAAAAAAAEAAAAZHJzL1BLAwQUAAAACACHTuJAfuIfzsAAAADc&#10;AAAADwAAAGRycy9kb3ducmV2LnhtbEWP3WoCMRSE7wt9h3AK3tVEBa2rUUQURVCoFfXysDnubrs5&#10;WTepP2/fCEIvh5n5hhmOb7YUF6p94VhDq6lAEKfOFJxp2H3N3z9A+IBssHRMGu7kYTx6fRliYtyV&#10;P+myDZmIEPYJashDqBIpfZqTRd90FXH0Tq62GKKsM2lqvEa4LWVbqa60WHBcyLGiaU7pz/bXalif&#10;+sfzZLba9L6758XhmO7na7nXuvHWUgMQgW7hP/xsL42GjurA40w8AnL0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4h/O&#10;wAAAANwAAAAPAAAAAAAAAAEAIAAAACIAAABkcnMvZG93bnJldi54bWxQSwECFAAUAAAACACHTuJA&#10;My8FnjsAAAA5AAAAEAAAAAAAAAABACAAAAAPAQAAZHJzL3NoYXBleG1sLnhtbFBLBQYAAAAABgAG&#10;AFsBAAC5AwAAAAA=&#10;" path="m0,0l74,87,82,77,0,0xe">
                  <v:path o:connectlocs="0,1188;74,1275;82,1265;0,1188" o:connectangles="0,0,0,0"/>
                  <v:fill on="t" focussize="0,0"/>
                  <v:stroke on="f"/>
                  <v:imagedata o:title=""/>
                  <o:lock v:ext="edit" aspectratio="f"/>
                </v:shape>
                <v:shape id="Freeform 142" o:spid="_x0000_s1026" o:spt="100" style="position:absolute;left:3902;top:1179;height:87;width:83;" fillcolor="#000000" filled="t" stroked="f" coordsize="83,87" o:gfxdata="UEsDBAoAAAAAAIdO4kAAAAAAAAAAAAAAAAAEAAAAZHJzL1BLAwQUAAAACACHTuJA8QuHusEAAADc&#10;AAAADwAAAGRycy9kb3ducmV2LnhtbEWP3WoCMRSE7wu+QzhC72qiFW1Xo0iptAgK3Rb18rA57q5u&#10;TtZN/Onbm4LQy2FmvmHG06utxJkaXzrW0O0oEMSZMyXnGn6+508vIHxANlg5Jg2/5GE6aT2MMTHu&#10;wl90TkMuIoR9ghqKEOpESp8VZNF3XE0cvZ1rLIYom1yaBi8RbivZU2ogLZYcFwqs6a2g7JCerIbl&#10;7nV7nL0vVsP94Pix2Wbr+VKutX5sd9UIRKBr+A/f259Gw7Pqw9+ZeATk5AZ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8QuH&#10;usEAAADcAAAADwAAAAAAAAABACAAAAAiAAAAZHJzL2Rvd25yZXYueG1sUEsBAhQAFAAAAAgAh07i&#10;QDMvBZ47AAAAOQAAABAAAAAAAAAAAQAgAAAAEAEAAGRycy9zaGFwZXhtbC54bWxQSwUGAAAAAAYA&#10;BgBbAQAAugMAAAAA&#10;" path="m7,0l0,9,82,86,7,0xe">
                  <v:path o:connectlocs="7,1179;0,1188;82,1265;7,1179" o:connectangles="0,0,0,0"/>
                  <v:fill on="t" focussize="0,0"/>
                  <v:stroke on="f"/>
                  <v:imagedata o:title=""/>
                  <o:lock v:ext="edit" aspectratio="f"/>
                </v:shape>
                <v:shape id="Freeform 141" o:spid="_x0000_s1026" o:spt="100" style="position:absolute;left:3902;top:1179;height:96;width:83;" filled="f" stroked="t" coordsize="83,96" o:gfxdata="UEsDBAoAAAAAAIdO4kAAAAAAAAAAAAAAAAAEAAAAZHJzL1BLAwQUAAAACACHTuJAzTZK070AAADc&#10;AAAADwAAAGRycy9kb3ducmV2LnhtbEWPQWsCMRSE7wX/Q3hCbzWx0qKr0YOwqKdi9OLtuXnuLm5e&#10;lk26bv+9KRR6HGbmG2a1GVwjeupC7VnDdKJAEBfe1lxqOJ/ytzmIEJEtNp5Jww8F2KxHLyvMrH/w&#10;kXoTS5EgHDLUUMXYZlKGoiKHYeJb4uTdfOcwJtmV0nb4SHDXyHelPqXDmtNChS1tKyru5ttp+No1&#10;137IZ7k5mkV/ORgVHZ61fh1P1RJEpCH+h//ae6thpj7g90w6AnL9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NNkrTvQAA&#10;ANwAAAAPAAAAAAAAAAEAIAAAACIAAABkcnMvZG93bnJldi54bWxQSwECFAAUAAAACACHTuJAMy8F&#10;njsAAAA5AAAAEAAAAAAAAAABACAAAAAMAQAAZHJzL3NoYXBleG1sLnhtbFBLBQYAAAAABgAGAFsB&#10;AAC2AwAAAAA=&#10;" path="m74,96l82,86,7,0,0,9,74,96e">
                  <v:path o:connectlocs="74,1275;82,1265;7,1179;0,1188;74,1275" o:connectangles="0,0,0,0,0"/>
                  <v:fill on="f" focussize="0,0"/>
                  <v:stroke weight="0.0118897637795276pt" color="#000000" joinstyle="round"/>
                  <v:imagedata o:title=""/>
                  <o:lock v:ext="edit" aspectratio="f"/>
                </v:shape>
                <v:shape id="Freeform 140" o:spid="_x0000_s1026" o:spt="100" style="position:absolute;left:3902;top:1565;height:87;width:83;" fillcolor="#000000" filled="t" stroked="f" coordsize="83,87" o:gfxdata="UEsDBAoAAAAAAIdO4kAAAAAAAAAAAAAAAAAEAAAAZHJzL1BLAwQUAAAACACHTuJAbpW8VsAAAADc&#10;AAAADwAAAGRycy9kb3ducmV2LnhtbEWP3WoCMRSE7wXfIRyhd5qosNrVKEWUloKF2mK9PGyOu2s3&#10;J+sm9eftG0HwcpiZb5jp/GIrcaLGl4419HsKBHHmTMm5hu+vVXcMwgdkg5Vj0nAlD/NZuzXF1Lgz&#10;f9JpE3IRIexT1FCEUKdS+qwgi77nauLo7V1jMUTZ5NI0eI5wW8mBUom0WHJcKLCmRUHZ7+bPaljv&#10;n3fHl+X7x+iQHF9/dtl2tZZbrZ86fTUBEegSHuF7+81oGKoEbmfiEZCzf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ulbxW&#10;wAAAANwAAAAPAAAAAAAAAAEAIAAAACIAAABkcnMvZG93bnJldi54bWxQSwECFAAUAAAACACHTuJA&#10;My8FnjsAAAA5AAAAEAAAAAAAAAABACAAAAAPAQAAZHJzL3NoYXBleG1sLnhtbFBLBQYAAAAABgAG&#10;AFsBAAC5AwAAAAA=&#10;" path="m7,0l0,10,82,87,7,0xe">
                  <v:path o:connectlocs="7,1565;0,1575;82,1652;7,1565" o:connectangles="0,0,0,0"/>
                  <v:fill on="t" focussize="0,0"/>
                  <v:stroke on="f"/>
                  <v:imagedata o:title=""/>
                  <o:lock v:ext="edit" aspectratio="f"/>
                </v:shape>
                <v:shape id="Freeform 139" o:spid="_x0000_s1026" o:spt="100" style="position:absolute;left:3902;top:1574;height:87;width:83;" fillcolor="#000000" filled="t" stroked="f" coordsize="83,87" o:gfxdata="UEsDBAoAAAAAAIdO4kAAAAAAAAAAAAAAAAAEAAAAZHJzL1BLAwQUAAAACACHTuJAAdkZzcAAAADc&#10;AAAADwAAAGRycy9kb3ducmV2LnhtbEWPQWsCMRSE70L/Q3gFb5qooHXdKKUoLQWFqugeH5vn7rab&#10;l3WTqv33TaHgcZiZb5h0cbO1uFDrK8caBn0Fgjh3puJCw3636j2B8AHZYO2YNPyQh8X8oZNiYtyV&#10;P+iyDYWIEPYJaihDaBIpfV6SRd93DXH0Tq61GKJsC2lavEa4reVQqbG0WHFcKLGhl5Lyr+231bA+&#10;TbPz8/J9M/kcn1+PWX5YreVB6+7jQM1ABLqFe/i//WY0jNQE/s7EIyDnv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B2RnN&#10;wAAAANwAAAAPAAAAAAAAAAEAIAAAACIAAABkcnMvZG93bnJldi54bWxQSwECFAAUAAAACACHTuJA&#10;My8FnjsAAAA5AAAAEAAAAAAAAAABACAAAAAPAQAAZHJzL3NoYXBleG1sLnhtbFBLBQYAAAAABgAG&#10;AFsBAAC5AwAAAAA=&#10;" path="m0,0l74,86,82,77,0,0xe">
                  <v:path o:connectlocs="0,1575;74,1661;82,1652;0,1575" o:connectangles="0,0,0,0"/>
                  <v:fill on="t" focussize="0,0"/>
                  <v:stroke on="f"/>
                  <v:imagedata o:title=""/>
                  <o:lock v:ext="edit" aspectratio="f"/>
                </v:shape>
                <v:shape id="Freeform 138" o:spid="_x0000_s1026" o:spt="100" style="position:absolute;left:3902;top:1565;height:96;width:83;" filled="f" stroked="t" coordsize="83,96" o:gfxdata="UEsDBAoAAAAAAIdO4kAAAAAAAAAAAAAAAAAEAAAAZHJzL1BLAwQUAAAACACHTuJAIzflTbkAAADc&#10;AAAADwAAAGRycy9kb3ducmV2LnhtbEVPTYvCMBC9C/sfwizsTRNXELcaPQhl3ZMYvXibbca22ExK&#10;E2v99+YgeHy879VmcI3oqQu1Zw3TiQJBXHhbc6nhdMzHCxAhIltsPJOGBwXYrD9GK8ysv/OBehNL&#10;kUI4ZKihirHNpAxFRQ7DxLfEibv4zmFMsCul7fCewl0jv5WaS4c1p4YKW9pWVFzNzWnY/zb//ZDP&#10;cnMwP/35z6jo8KT11+dULUFEGuJb/HLvrIaZSmvTmXQE5PoJ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CM35U25AAAA3AAA&#10;AA8AAAAAAAAAAQAgAAAAIgAAAGRycy9kb3ducmV2LnhtbFBLAQIUABQAAAAIAIdO4kAzLwWeOwAA&#10;ADkAAAAQAAAAAAAAAAEAIAAAAAgBAABkcnMvc2hhcGV4bWwueG1sUEsFBgAAAAAGAAYAWwEAALID&#10;AAAAAA==&#10;" path="m7,0l0,9,74,95,82,86,7,0e">
                  <v:path o:connectlocs="7,1566;0,1575;74,1661;82,1652;7,1566" o:connectangles="0,0,0,0,0"/>
                  <v:fill on="f" focussize="0,0"/>
                  <v:stroke weight="0.0118897637795276pt" color="#000000" joinstyle="round"/>
                  <v:imagedata o:title=""/>
                  <o:lock v:ext="edit" aspectratio="f"/>
                </v:shape>
                <v:line id="Line 137" o:spid="_x0000_s1026" o:spt="20" style="position:absolute;left:3944;top:1613;height:0;width:0;" filled="f" stroked="t" coordsize="21600,21600" o:gfxdata="UEsDBAoAAAAAAIdO4kAAAAAAAAAAAAAAAAAEAAAAZHJzL1BLAwQUAAAACACHTuJAG2zFQr4AAADc&#10;AAAADwAAAGRycy9kb3ducmV2LnhtbEWPQWvCQBSE74L/YXlCb7prW1qNrjlYBK/RttDba/aZBLNv&#10;w+5qkn/fLRR6HGbmG2abD7YVd/KhcaxhuVAgiEtnGq40vJ8P8xWIEJENto5Jw0gB8t10ssXMuJ4L&#10;up9iJRKEQ4Ya6hi7TMpQ1mQxLFxHnLyL8xZjkr6SxmOf4LaVj0q9SIsNp4UaO9rXVF5PN6th9Xz8&#10;CO1n9TY2Q/Th6/y9LspXrR9mS7UBEWmI/+G/9tFoeFJr+D2TjoDc/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2zFQr4A&#10;AADcAAAADwAAAAAAAAABACAAAAAiAAAAZHJzL2Rvd25yZXYueG1sUEsBAhQAFAAAAAgAh07iQDMv&#10;BZ47AAAAOQAAABAAAAAAAAAAAQAgAAAADQEAAGRycy9zaGFwZXhtbC54bWxQSwUGAAAAAAYABgBb&#10;AQAAtwMAAAAA&#10;">
                  <v:fill on="f" focussize="0,0"/>
                  <v:stroke weight="0.0128346456692913pt" color="#000000" joinstyle="round"/>
                  <v:imagedata o:title=""/>
                  <o:lock v:ext="edit" aspectratio="f"/>
                </v:line>
                <v:line id="Line 136" o:spid="_x0000_s1026" o:spt="20" style="position:absolute;left:4315;top:1613;height:0;width:0;" filled="f" stroked="t" coordsize="21600,21600" o:gfxdata="UEsDBAoAAAAAAIdO4kAAAAAAAAAAAAAAAAAEAAAAZHJzL1BLAwQUAAAACACHTuJAD4/6ArkAAADc&#10;AAAADwAAAGRycy9kb3ducmV2LnhtbEVPy4rCMBTdD/gP4QruxrQqPqrRhSK4VWcEd9fm2habm5JE&#10;rX9vFoLLw3kvVq2pxYOcrywrSPsJCOLc6ooLBX/H7e8UhA/IGmvLpOBFHlbLzs8CM22fvKfHIRQi&#10;hrDPUEEZQpNJ6fOSDPq+bYgjd7XOYIjQFVI7fMZwU8tBkoylwYpjQ4kNrUvKb4e7UTAd7f59fSo2&#10;r6oNzp+Pl9k+nyjV66bJHESgNnzFH/dOKximcX48E4+AXL4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A+P+gK5AAAA3AAA&#10;AA8AAAAAAAAAAQAgAAAAIgAAAGRycy9kb3ducmV2LnhtbFBLAQIUABQAAAAIAIdO4kAzLwWeOwAA&#10;ADkAAAAQAAAAAAAAAAEAIAAAAAgBAABkcnMvc2hhcGV4bWwueG1sUEsFBgAAAAAGAAYAWwEAALID&#10;AAAAAA==&#10;">
                  <v:fill on="f" focussize="0,0"/>
                  <v:stroke weight="0.0128346456692913pt" color="#000000" joinstyle="round"/>
                  <v:imagedata o:title=""/>
                  <o:lock v:ext="edit" aspectratio="f"/>
                </v:line>
                <v:line id="Line 135" o:spid="_x0000_s1026" o:spt="20" style="position:absolute;left:4554;top:1227;height:0;width:0;" filled="f" stroked="t" coordsize="21600,21600" o:gfxdata="UEsDBAoAAAAAAIdO4kAAAAAAAAAAAAAAAAAEAAAAZHJzL1BLAwQUAAAACACHTuJAYMNfmbwAAADc&#10;AAAADwAAAGRycy9kb3ducmV2LnhtbEWPzYvCMBTE7wv7P4QneNumVfGja/SwsuDVT/D2bN62xeal&#10;JFmt/70RBI/DzPyGmS8704grOV9bVpAlKQjiwuqaSwX73e/XFIQPyBoby6TgTh6Wi8+POeba3nhD&#10;120oRYSwz1FBFUKbS+mLigz6xLbE0fuzzmCI0pVSO7xFuGnkIE3H0mDNcaHCln4qKi7bf6NgOlof&#10;fHMsV/e6C86fdufZppgo1e9l6TeIQF14h1/ttVYwzDJ4nolHQC4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DDX5m8AAAA&#10;3AAAAA8AAAAAAAAAAQAgAAAAIgAAAGRycy9kb3ducmV2LnhtbFBLAQIUABQAAAAIAIdO4kAzLwWe&#10;OwAAADkAAAAQAAAAAAAAAAEAIAAAAAsBAABkcnMvc2hhcGV4bWwueG1sUEsFBgAAAAAGAAYAWwEA&#10;ALUDAAAAAA==&#10;">
                  <v:fill on="f" focussize="0,0"/>
                  <v:stroke weight="0.0128346456692913pt" color="#000000" joinstyle="round"/>
                  <v:imagedata o:title=""/>
                  <o:lock v:ext="edit" aspectratio="f"/>
                </v:line>
                <v:line id="Line 134" o:spid="_x0000_s1026" o:spt="20" style="position:absolute;left:5477;top:743;height:288;width:0;" filled="f" stroked="t" coordsize="21600,21600" o:gfxdata="UEsDBAoAAAAAAIdO4kAAAAAAAAAAAAAAAAAEAAAAZHJzL1BLAwQUAAAACACHTuJA7MEMXr4AAADc&#10;AAAADwAAAGRycy9kb3ducmV2LnhtbEWPQWsCMRSE74X+h/AK3mqyCkVWo4eiUsSL21avz81zd+3m&#10;ZUlSXf99Iwg9DjPzDTNb9LYVF/KhcawhGyoQxKUzDVcavj5XrxMQISIbbB2ThhsFWMyfn2aYG3fl&#10;HV2KWIkE4ZCjhjrGLpcylDVZDEPXESfv5LzFmKSvpPF4TXDbypFSb9Jiw2mhxo7eayp/il+rYdL7&#10;zfdZhsP21jp1HC/Vel8stR68ZGoKIlIf/8OP9ofRMM5GcD+TjoCc/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MEMXr4A&#10;AADcAAAADwAAAAAAAAABACAAAAAiAAAAZHJzL2Rvd25yZXYueG1sUEsBAhQAFAAAAAgAh07iQDMv&#10;BZ47AAAAOQAAABAAAAAAAAAAAQAgAAAADQEAAGRycy9zaGFwZXhtbC54bWxQSwUGAAAAAAYABgBb&#10;AQAAtwMAAAAA&#10;">
                  <v:fill on="f" focussize="0,0"/>
                  <v:stroke weight="0.202992125984252pt" color="#000000" joinstyle="round"/>
                  <v:imagedata o:title=""/>
                  <o:lock v:ext="edit" aspectratio="f"/>
                </v:line>
                <v:line id="Line 133" o:spid="_x0000_s1026" o:spt="20" style="position:absolute;left:5477;top:743;height:288;width:0;" filled="f" stroked="t" coordsize="21600,21600" o:gfxdata="UEsDBAoAAAAAAIdO4kAAAAAAAAAAAAAAAAAEAAAAZHJzL1BLAwQUAAAACACHTuJAg42pxb4AAADc&#10;AAAADwAAAGRycy9kb3ducmV2LnhtbEWPQWsCMRSE70L/Q3hCb5qsCyJbo4dipZReutr2+rp53d26&#10;eVmSVNd/bwTB4zAz3zDL9WA7cSQfWscasqkCQVw503KtYb97mSxAhIhssHNMGs4UYL16GC2xMO7E&#10;H3QsYy0ShEOBGpoY+0LKUDVkMUxdT5y8X+ctxiR9LY3HU4LbTs6UmkuLLaeFBnt6bqg6lP9Ww2Lw&#10;b59/Mny/nzunfvKN2n6VG60fx5l6AhFpiPfwrf1qNORZDtcz6QjI1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42pxb4A&#10;AADcAAAADwAAAAAAAAABACAAAAAiAAAAZHJzL2Rvd25yZXYueG1sUEsBAhQAFAAAAAgAh07iQDMv&#10;BZ47AAAAOQAAABAAAAAAAAAAAQAgAAAADQEAAGRycy9zaGFwZXhtbC54bWxQSwUGAAAAAAYABgBb&#10;AQAAtwMAAAAA&#10;">
                  <v:fill on="f" focussize="0,0"/>
                  <v:stroke weight="0.202992125984252pt" color="#000000" joinstyle="round"/>
                  <v:imagedata o:title=""/>
                  <o:lock v:ext="edit" aspectratio="f"/>
                </v:line>
                <v:line id="Line 132" o:spid="_x0000_s1026" o:spt="20" style="position:absolute;left:5477;top:743;height:288;width:0;" filled="f" stroked="t" coordsize="21600,21600" o:gfxdata="UEsDBAoAAAAAAIdO4kAAAAAAAAAAAAAAAAAEAAAAZHJzL1BLAwQUAAAACACHTuJABhwTir4AAADc&#10;AAAADwAAAGRycy9kb3ducmV2LnhtbEWP3WoCMRSE7wu+QziCdzW72oqsRhGhWC9a/HuA4+a4Wdyc&#10;LEnqbt++KRR6OczMN8xy3dtGPMiH2rGCfJyBIC6drrlScDm/Pc9BhIissXFMCr4pwHo1eFpioV3H&#10;R3qcYiUShEOBCkyMbSFlKA1ZDGPXEifv5rzFmKSvpPbYJbht5CTLZtJizWnBYEtbQ+X99GUV7CbX&#10;jd/t0ezx9dCVdffRfx61UqNhni1AROrjf/iv/a4VTPMX+D2TjoBc/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hwTir4A&#10;AADcAAAADwAAAAAAAAABACAAAAAiAAAAZHJzL2Rvd25yZXYueG1sUEsBAhQAFAAAAAgAh07iQDMv&#10;BZ47AAAAOQAAABAAAAAAAAAAAQAgAAAADQEAAGRycy9zaGFwZXhtbC54bWxQSwUGAAAAAAYABgBb&#10;AQAAtwMAAAAA&#10;">
                  <v:fill on="f" focussize="0,0"/>
                  <v:stroke weight="0.214094488188976pt" color="#000000" joinstyle="round"/>
                  <v:imagedata o:title=""/>
                  <o:lock v:ext="edit" aspectratio="f"/>
                </v:line>
                <v:line id="Line 131" o:spid="_x0000_s1026" o:spt="20" style="position:absolute;left:5793;top:1197;height:3278;width:0;" filled="f" stroked="t" coordsize="21600,21600" o:gfxdata="UEsDBAoAAAAAAIdO4kAAAAAAAAAAAAAAAAAEAAAAZHJzL1BLAwQUAAAACACHTuJAMuz4Vb8AAADc&#10;AAAADwAAAGRycy9kb3ducmV2LnhtbEWPT2vCQBTE7wW/w/IK3nQTtVWiq4dAaQul1j8Hj4/sMxua&#10;fRuym5h++25B6HGYmd8wm91ga9FT6yvHCtJpAoK4cLriUsH59DJZgfABWWPtmBT8kIfddvSwwUy7&#10;Gx+oP4ZSRAj7DBWYEJpMSl8YsuinriGO3tW1FkOUbSl1i7cIt7WcJcmztFhxXDDYUG6o+D52VkGe&#10;vw92v3w1vV3wx9ei7D77S6fU+DFN1iACDeE/fG+/aQXz9An+zsQjIL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Ls+FW/&#10;AAAA3AAAAA8AAAAAAAAAAQAgAAAAIgAAAGRycy9kb3ducmV2LnhtbFBLAQIUABQAAAAIAIdO4kAz&#10;LwWeOwAAADkAAAAQAAAAAAAAAAEAIAAAAA4BAABkcnMvc2hhcGV4bWwueG1sUEsFBgAAAAAGAAYA&#10;WwEAALgDAAAAAA==&#10;">
                  <v:fill on="f" focussize="0,0"/>
                  <v:stroke weight="0.0222047244094488pt" color="#000000" joinstyle="round"/>
                  <v:imagedata o:title=""/>
                  <o:lock v:ext="edit" aspectratio="f"/>
                </v:line>
                <v:shape id="Freeform 130" o:spid="_x0000_s1026" o:spt="100" style="position:absolute;left:7012;top:1223;height:2378;width:646;" fillcolor="#000000" filled="t" stroked="f" coordsize="646,2378" o:gfxdata="UEsDBAoAAAAAAIdO4kAAAAAAAAAAAAAAAAAEAAAAZHJzL1BLAwQUAAAACACHTuJAQGbQErwAAADc&#10;AAAADwAAAGRycy9kb3ducmV2LnhtbEWPQWvCQBSE74X+h+UVvNVNKohNXUUES3tsYu+P7Osmmn0b&#10;sq8m/nu3UPA4zMw3zHo7+U5daIhtYAP5PANFXAfbsjNwrA7PK1BRkC12gcnAlSJsN48PayxsGPmL&#10;LqU4lSAcCzTQiPSF1rFuyGOch544eT9h8ChJDk7bAccE951+ybKl9thyWmiwp31D9bn89QbGY/V5&#10;2MfKfcvkTq+7nbxXpRgze8qzN1BCk9zD/+0Pa2CRL+HvTDoCenM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Bm0BK8AAAA&#10;3AAAAA8AAAAAAAAAAQAgAAAAIgAAAGRycy9kb3ducmV2LnhtbFBLAQIUABQAAAAIAIdO4kAzLwWe&#10;OwAAADkAAAAQAAAAAAAAAAEAIAAAAAsBAABkcnMvc2hhcGV4bWwueG1sUEsFBgAAAAAGAAYAWwEA&#10;ALUDAAAAAA==&#10;" path="m20,0l0,7,645,2377,20,0xe">
                  <v:path o:connectlocs="20,1223;0,1230;645,3600;20,1223" o:connectangles="0,0,0,0"/>
                  <v:fill on="t" focussize="0,0"/>
                  <v:stroke on="f"/>
                  <v:imagedata o:title=""/>
                  <o:lock v:ext="edit" aspectratio="f"/>
                </v:shape>
                <v:shape id="Freeform 129" o:spid="_x0000_s1026" o:spt="100" style="position:absolute;left:7012;top:1230;height:2378;width:646;" fillcolor="#000000" filled="t" stroked="f" coordsize="646,2378" o:gfxdata="UEsDBAoAAAAAAIdO4kAAAAAAAAAAAAAAAAAEAAAAZHJzL1BLAwQUAAAACACHTuJALyp1ibwAAADc&#10;AAAADwAAAGRycy9kb3ducmV2LnhtbEWPQUvDQBSE74L/YXmCN7uJQrVpt6UUKnpsUu+P7OsmNfs2&#10;ZJ9N/PduoeBxmJlvmNVm8p260BDbwAbyWQaKuA62ZWfgWO2f3kBFQbbYBSYDvxRhs76/W2Fhw8gH&#10;upTiVIJwLNBAI9IXWse6IY9xFnri5J3C4FGSHJy2A44J7jv9nGVz7bHltNBgT7uG6u/yxxsYj9Xn&#10;fhcr9yWTOy+2W3mvSjHm8SHPlqCEJvkP39of1sBL/grXM+kI6PU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8qdYm8AAAA&#10;3AAAAA8AAAAAAAAAAQAgAAAAIgAAAGRycy9kb3ducmV2LnhtbFBLAQIUABQAAAAIAIdO4kAzLwWe&#10;OwAAADkAAAAQAAAAAAAAAAEAIAAAAAsBAABkcnMvc2hhcGV4bWwueG1sUEsFBgAAAAAGAAYAWwEA&#10;ALUDAAAAAA==&#10;" path="m0,0l626,2378,645,2370,0,0xe">
                  <v:path o:connectlocs="0,1230;626,3608;645,3600;0,1230" o:connectangles="0,0,0,0"/>
                  <v:fill on="t" focussize="0,0"/>
                  <v:stroke on="f"/>
                  <v:imagedata o:title=""/>
                  <o:lock v:ext="edit" aspectratio="f"/>
                </v:shape>
                <v:shape id="Freeform 128" o:spid="_x0000_s1026" o:spt="100" style="position:absolute;left:7012;top:1223;height:2385;width:646;" filled="f" stroked="t" coordsize="646,2385" o:gfxdata="UEsDBAoAAAAAAIdO4kAAAAAAAAAAAAAAAAAEAAAAZHJzL1BLAwQUAAAACACHTuJAegrs6bcAAADc&#10;AAAADwAAAGRycy9kb3ducmV2LnhtbEVPSwrCMBDdC94hjOBGNK1ikWoUFARxIfjbD83YFptJbaLW&#10;25uF4PLx/otVayrxosaVlhXEowgEcWZ1ybmCy3k7nIFwHlljZZkUfMjBatntLDDV9s1Hep18LkII&#10;uxQVFN7XqZQuK8igG9maOHA32xj0ATa51A2+Q7ip5DiKEmmw5NBQYE2bgrL76WkUJNeD/twPLcls&#10;nQ9a3CfTevBQqt+LozkIT63/i3/unVYwicPacCYcAbn8Al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6CuzptwAAANwAAAAP&#10;AAAAAAAAAAEAIAAAACIAAABkcnMvZG93bnJldi54bWxQSwECFAAUAAAACACHTuJAMy8FnjsAAAA5&#10;AAAAEAAAAAAAAAABACAAAAAGAQAAZHJzL3NoYXBleG1sLnhtbFBLBQYAAAAABgAGAFsBAACwAwAA&#10;AAA=&#10;" path="m20,0l0,7,626,2385,645,2378,20,0e">
                  <v:path o:connectlocs="20,1223;0,1230;626,3608;645,3601;20,1223" o:connectangles="0,0,0,0,0"/>
                  <v:fill on="f" focussize="0,0"/>
                  <v:stroke weight="0.011259842519685pt" color="#000000" joinstyle="round"/>
                  <v:imagedata o:title=""/>
                  <o:lock v:ext="edit" aspectratio="f"/>
                </v:shape>
                <v:line id="Line 127" o:spid="_x0000_s1026" o:spt="20" style="position:absolute;left:6190;top:1607;height:1760;width:0;" filled="f" stroked="t" coordsize="21600,21600" o:gfxdata="UEsDBAoAAAAAAIdO4kAAAAAAAAAAAAAAAAAEAAAAZHJzL1BLAwQUAAAACACHTuJAUgbj0r8AAADc&#10;AAAADwAAAGRycy9kb3ducmV2LnhtbEWPT2vCQBTE7wW/w/IEb3UTC8GmbnLwD1Xbi1ro9ZF9zaZm&#10;34bsqum37xaEHoeZ+Q2zKAfbiiv1vnGsIJ0mIIgrpxuuFXycNo9zED4ga2wdk4If8lAWo4cF5trd&#10;+EDXY6hFhLDPUYEJocul9JUhi37qOuLofbneYoiyr6Xu8RbhtpWzJMmkxYbjgsGOloaq8/FiFay6&#10;3ftrtn/7XO/XmaGh+j4szUmpyThNXkAEGsJ/+N7eagVP6TP8nYlHQB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IG49K/&#10;AAAA3AAAAA8AAAAAAAAAAQAgAAAAIgAAAGRycy9kb3ducmV2LnhtbFBLAQIUABQAAAAIAIdO4kAz&#10;LwWeOwAAADkAAAAQAAAAAAAAAAEAIAAAAA4BAABkcnMvc2hhcGV4bWwueG1sUEsFBgAAAAAGAAYA&#10;WwEAALgDAAAAAA==&#10;">
                  <v:fill on="f" focussize="0,0"/>
                  <v:stroke weight="0.202834645669291pt" color="#000000" joinstyle="round"/>
                  <v:imagedata o:title=""/>
                  <o:lock v:ext="edit" aspectratio="f"/>
                </v:line>
                <v:line id="Line 126" o:spid="_x0000_s1026" o:spt="20" style="position:absolute;left:6190;top:1607;height:1760;width:0;" filled="f" stroked="t" coordsize="21600,21600" o:gfxdata="UEsDBAoAAAAAAIdO4kAAAAAAAAAAAAAAAAAEAAAAZHJzL1BLAwQUAAAACACHTuJADVCA8rsAAADc&#10;AAAADwAAAGRycy9kb3ducmV2LnhtbEVPy4rCMBTdC/5DuII7TVUoQzW68IGjM5uq4PbSXJtqc1Oa&#10;jNa/nywGZnk478Wqs7V4Uusrxwom4wQEceF0xaWCy3k3+gDhA7LG2jEpeJOH1bLfW2Cm3Ytzep5C&#10;KWII+wwVmBCaTEpfGLLox64hjtzNtRZDhG0pdYuvGG5rOU2SVFqsODYYbGhtqHicfqyCTXP43qfH&#10;r+v2uE0NdcU9X5uzUsPBJJmDCNSFf/Gf+1MrmE3j/HgmHgG5/A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VCA8rsAAADc&#10;AAAADwAAAAAAAAABACAAAAAiAAAAZHJzL2Rvd25yZXYueG1sUEsBAhQAFAAAAAgAh07iQDMvBZ47&#10;AAAAOQAAABAAAAAAAAAAAQAgAAAACgEAAGRycy9zaGFwZXhtbC54bWxQSwUGAAAAAAYABgBbAQAA&#10;tAMAAAAA&#10;">
                  <v:fill on="f" focussize="0,0"/>
                  <v:stroke weight="0.202834645669291pt" color="#000000" joinstyle="round"/>
                  <v:imagedata o:title=""/>
                  <o:lock v:ext="edit" aspectratio="f"/>
                </v:line>
                <v:line id="Line 125" o:spid="_x0000_s1026" o:spt="20" style="position:absolute;left:6190;top:1607;height:1760;width:0;" filled="f" stroked="t" coordsize="21600,21600" o:gfxdata="UEsDBAoAAAAAAIdO4kAAAAAAAAAAAAAAAAAEAAAAZHJzL1BLAwQUAAAACACHTuJAoLvodLsAAADc&#10;AAAADwAAAGRycy9kb3ducmV2LnhtbEWPwarCMBRE9w/8h3AFd8+kFUSqUVBQXLix+gGX5toWm5va&#10;RGv/3ggP3nKYmTPMavO2jXhR52vHGpKpAkFcOFNzqeF62f8uQPiAbLBxTBoG8rBZj35WmBnX85le&#10;eShFhLDPUEMVQptJ6YuKLPqpa4mjd3OdxRBlV0rTYR/htpGpUnNpsea4UGFLu4qKe/60GhTm+/L2&#10;aA7Py/U01L3fpsNjq/VknKgliEDv8B/+ax+NhlmawPdMPAJy/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LvodLsAAADc&#10;AAAADwAAAAAAAAABACAAAAAiAAAAZHJzL2Rvd25yZXYueG1sUEsBAhQAFAAAAAgAh07iQDMvBZ47&#10;AAAAOQAAABAAAAAAAAAAAQAgAAAACgEAAGRycy9zaGFwZXhtbC54bWxQSwUGAAAAAAYABgBbAQAA&#10;tAMAAAAA&#10;">
                  <v:fill on="f" focussize="0,0"/>
                  <v:stroke weight="0.213937007874016pt" color="#000000" joinstyle="round"/>
                  <v:imagedata o:title=""/>
                  <o:lock v:ext="edit" aspectratio="f"/>
                </v:line>
                <v:shape id="Freeform 124" o:spid="_x0000_s1026" o:spt="100" style="position:absolute;left:5792;top:3643;height:848;width:2;" filled="f" stroked="t" coordsize="1,848" o:gfxdata="UEsDBAoAAAAAAIdO4kAAAAAAAAAAAAAAAAAEAAAAZHJzL1BLAwQUAAAACACHTuJAPYuZRrsAAADc&#10;AAAADwAAAGRycy9kb3ducmV2LnhtbEWPT4vCMBTE74LfIbwFbza1QpGuUWRR9CZqZff4aN62xeal&#10;JPHft98sCB6HmfkNM18+TCdu5HxrWcEkSUEQV1a3XCsoT5vxDIQPyBo7y6TgSR6Wi+FgjoW2dz7Q&#10;7RhqESHsC1TQhNAXUvqqIYM+sT1x9H6tMxiidLXUDu8RbjqZpWkuDbYcFxrs6auh6nK8GgV0/im3&#10;q2/KN7V77pltmcvDWqnRxyT9BBHoEd7hV3unFUyzDP7PxCMgF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YuZRrsAAADc&#10;AAAADwAAAAAAAAABACAAAAAiAAAAZHJzL2Rvd25yZXYueG1sUEsBAhQAFAAAAAgAh07iQDMvBZ47&#10;AAAAOQAAABAAAAAAAAAAAQAgAAAACgEAAGRycy9zaGFwZXhtbC54bWxQSwUGAAAAAAYABgBbAQAA&#10;tAMAAAAA&#10;" path="m0,0l0,848,1,848e">
                  <v:path o:connectlocs="0,3643;0,4491;2,4491" o:connectangles="0,0,0"/>
                  <v:fill on="f" focussize="0,0"/>
                  <v:stroke weight="0.0111023622047244pt" color="#000000" joinstyle="round"/>
                  <v:imagedata o:title=""/>
                  <o:lock v:ext="edit" aspectratio="f"/>
                </v:shape>
                <v:shape id="Freeform 123" o:spid="_x0000_s1026" o:spt="100" style="position:absolute;left:7618;top:4039;height:452;width:2;" filled="f" stroked="t" coordsize="1,452" o:gfxdata="UEsDBAoAAAAAAIdO4kAAAAAAAAAAAAAAAAAEAAAAZHJzL1BLAwQUAAAACACHTuJA7IQerrsAAADc&#10;AAAADwAAAGRycy9kb3ducmV2LnhtbEWPwYrCQBBE74L/MLTgTScqu5GYUUQQPOxlXT+gybRJMNMT&#10;M23U/fqdBcFjUVWvqHzzcI3qqQu1ZwOzaQKKuPC25tLA6Wc/WYIKgmyx8UwGnhRgsx4Ocsysv/M3&#10;9UcpVYRwyNBAJdJmWoeiIodh6lvi6J1951Ci7EptO7xHuGv0PEk+tcOa40KFLe0qKi7HmzOwpY90&#10;l/66r6sVTIuwtOxIjBmPZskKlNBD3uFX+2ANLOYL+D8Tj4Be/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IQerrsAAADc&#10;AAAADwAAAAAAAAABACAAAAAiAAAAZHJzL2Rvd25yZXYueG1sUEsBAhQAFAAAAAgAh07iQDMvBZ47&#10;AAAAOQAAABAAAAAAAAAAAQAgAAAACgEAAGRycy9zaGFwZXhtbC54bWxQSwUGAAAAAAYABgBbAQAA&#10;tAMAAAAA&#10;" path="m0,0l0,452,1,452e">
                  <v:path o:connectlocs="0,4039;0,4491;2,4491" o:connectangles="0,0,0"/>
                  <v:fill on="f" focussize="0,0"/>
                  <v:stroke weight="0.0111023622047244pt" color="#000000" joinstyle="round"/>
                  <v:imagedata o:title=""/>
                  <o:lock v:ext="edit" aspectratio="f"/>
                </v:shape>
                <v:shape id="Freeform 122" o:spid="_x0000_s1026" o:spt="100" style="position:absolute;left:5792;top:4404;height:2;width:1827;" filled="f" stroked="t" coordsize="1827,1" o:gfxdata="UEsDBAoAAAAAAIdO4kAAAAAAAAAAAAAAAAAEAAAAZHJzL1BLAwQUAAAACACHTuJAGwuh5r0AAADc&#10;AAAADwAAAGRycy9kb3ducmV2LnhtbEWP3WoCMRSE7wu+QzhC72p2rVhZjYKKWKQ3bn2Aw+Zssrg5&#10;WTbx7+0bQejlMDPfMIvV3bXiSn1oPCvIRxkI4srrho2C0+/uYwYiRGSNrWdS8KAAq+XgbYGF9jc+&#10;0rWMRiQIhwIV2Bi7QspQWXIYRr4jTl7te4cxyd5I3eMtwV0rx1k2lQ4bTgsWO9pYqs7lxSn4Kdd2&#10;u6bjdL851Yctf5n8Uhul3od5NgcR6R7/w6/2t1bwOZ7A80w6AnL5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bC6HmvQAA&#10;ANwAAAAPAAAAAAAAAAEAIAAAACIAAABkcnMvZG93bnJldi54bWxQSwECFAAUAAAACACHTuJAMy8F&#10;njsAAAA5AAAAEAAAAAAAAAABACAAAAAMAQAAZHJzL3NoYXBleG1sLnhtbFBLBQYAAAAABgAGAFsB&#10;AAC2AwAAAAA=&#10;" path="m0,0l1826,0,1827,0e">
                  <v:path o:connectlocs="0,0;1826,0;1827,0" o:connectangles="0,0,0"/>
                  <v:fill on="f" focussize="0,0"/>
                  <v:stroke weight="0.0129133858267717pt" color="#000000" joinstyle="round"/>
                  <v:imagedata o:title=""/>
                  <o:lock v:ext="edit" aspectratio="f"/>
                </v:shape>
                <v:shape id="Freeform 121" o:spid="_x0000_s1026" o:spt="100" style="position:absolute;left:6260;top:4080;height:97;width:89;" filled="f" stroked="t" coordsize="89,97" o:gfxdata="UEsDBAoAAAAAAIdO4kAAAAAAAAAAAAAAAAAEAAAAZHJzL1BLAwQUAAAACACHTuJAcQzYS8AAAADc&#10;AAAADwAAAGRycy9kb3ducmV2LnhtbEWPT2vCQBTE7wW/w/IEb7qJUrExq4cWwUItVtt6fWRfstHs&#10;25Dd+ufbdwtCj8PM/IbJl1fbiDN1vnasIB0lIIgLp2uuFHzuV8MZCB+QNTaOScGNPCwXvYccM+0u&#10;/EHnXahEhLDPUIEJoc2k9IUhi37kWuLola6zGKLsKqk7vES4beQ4SabSYs1xwWBLz4aK0+7HKtiW&#10;x21hXDp9eX33h3rzlj7p7y+lBv00mYMIdA3/4Xt7rRVMxo/wdyYeAbn4B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xDNhL&#10;wAAAANwAAAAPAAAAAAAAAAEAIAAAACIAAABkcnMvZG93bnJldi54bWxQSwECFAAUAAAACACHTuJA&#10;My8FnjsAAAA5AAAAEAAAAAAAAAABACAAAAAPAQAAZHJzL3NoYXBleG1sLnhtbFBLBQYAAAAABgAG&#10;AFsBAAC5AwAAAAA=&#10;" path="m59,0l0,96,89,96e">
                  <v:path o:connectlocs="59,4080;0,4176;89,4176;89,4176" o:connectangles="0,0,0,0"/>
                  <v:fill on="f" focussize="0,0"/>
                  <v:stroke weight="0.0119685039370079pt" color="#000000" joinstyle="round"/>
                  <v:imagedata o:title=""/>
                  <o:lock v:ext="edit" aspectratio="f"/>
                </v:shape>
                <v:shape id="Freeform 120" o:spid="_x0000_s1026" o:spt="100" style="position:absolute;left:6319;top:4080;height:144;width:2;" filled="f" stroked="t" coordsize="1,144" o:gfxdata="UEsDBAoAAAAAAIdO4kAAAAAAAAAAAAAAAAAEAAAAZHJzL1BLAwQUAAAACACHTuJA6NezjbsAAADc&#10;AAAADwAAAGRycy9kb3ducmV2LnhtbEWPzWrDMBCE74W8g9hAb43kGExxo/gQCO01rkuvi7W1TayV&#10;sZT45+mjQqHHYWa+YQ7FbHtxp9F3jjUkOwWCuHam40ZD9Xl+eQXhA7LB3jFpWMhDcdw8HTA3buIL&#10;3cvQiAhhn6OGNoQhl9LXLVn0OzcQR+/HjRZDlGMjzYhThNte7pXKpMWO40KLA51aqq/lzWrg9XtJ&#10;35c1nQzhErjpK1V+af28TdQbiEBz+A//tT+MhnSfwe+ZeATk8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6NezjbsAAADc&#10;AAAADwAAAAAAAAABACAAAAAiAAAAZHJzL2Rvd25yZXYueG1sUEsBAhQAFAAAAAgAh07iQDMvBZ47&#10;AAAAOQAAABAAAAAAAAAAAQAgAAAACgEAAGRycy9zaGFwZXhtbC54bWxQSwUGAAAAAAYABgBbAQAA&#10;tAMAAAAA&#10;" path="m0,0l0,144e">
                  <v:path o:connectlocs="0,4080;0,4224;0,4224" o:connectangles="0,0,0"/>
                  <v:fill on="f" focussize="0,0"/>
                  <v:stroke weight="0.0111023622047244pt" color="#000000" joinstyle="round"/>
                  <v:imagedata o:title=""/>
                  <o:lock v:ext="edit" aspectratio="f"/>
                </v:shape>
                <v:shape id="Freeform 119" o:spid="_x0000_s1026" o:spt="100" style="position:absolute;left:6384;top:4210;height:14;width:12;" filled="f" stroked="t" coordsize="12,14" o:gfxdata="UEsDBAoAAAAAAIdO4kAAAAAAAAAAAAAAAAAEAAAAZHJzL1BLAwQUAAAACACHTuJAEfEMIr4AAADc&#10;AAAADwAAAGRycy9kb3ducmV2LnhtbEWPX2vCMBTF3wd+h3AF3zSpipPOtOigoDCEqQ97vDR3bVlz&#10;U5qsdfv0y2Cwx8P58+Ps8rttxUC9bxxrSBYKBHHpTMOVhtu1mG9B+IBssHVMGr7IQ55NHnaYGjfy&#10;Kw2XUIk4wj5FDXUIXSqlL2uy6BeuI47eu+sthij7SpoexzhuW7lUaiMtNhwJNXb0XFP5cfm0kXsa&#10;Nwe/HrbJWcl9+1K8Fd/yqPVsmqgnEIHu4T/81z4aDavlI/yeiUdAZj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fEMIr4A&#10;AADcAAAADwAAAAAAAAABACAAAAAiAAAAZHJzL2Rvd25yZXYueG1sUEsBAhQAFAAAAAgAh07iQDMv&#10;BZ47AAAAOQAAABAAAAAAAAAAAQAgAAAADQEAAGRycy9zaGFwZXhtbC54bWxQSwUGAAAAAAYABgBb&#10;AQAAtwMAAAAA&#10;" path="m6,0l0,6,6,13,12,6,6,0e">
                  <v:path o:connectlocs="6,4211;0,4217;6,4224;12,4217;6,4211;6,4211" o:connectangles="0,0,0,0,0,0"/>
                  <v:fill on="f" focussize="0,0"/>
                  <v:stroke weight="0.0118897637795276pt" color="#000000" joinstyle="round"/>
                  <v:imagedata o:title=""/>
                  <o:lock v:ext="edit" aspectratio="f"/>
                </v:shape>
                <v:shape id="Freeform 118" o:spid="_x0000_s1026" o:spt="100" style="position:absolute;left:6437;top:4080;height:144;width:83;" filled="f" stroked="t" coordsize="83,144" o:gfxdata="UEsDBAoAAAAAAIdO4kAAAAAAAAAAAAAAAAAEAAAAZHJzL1BLAwQUAAAACACHTuJA2UKqPbgAAADc&#10;AAAADwAAAGRycy9kb3ducmV2LnhtbEVPy4rCMBTdC/5DuII7TawwSMfoYmCGrsTHfMCd5toWk5uS&#10;ZGz9e7MQXB7Oe7sfnRV3CrHzrGG1VCCIa286bjT8Xr4XGxAxIRu0nknDgyLsd9PJFkvjBz7R/Zwa&#10;kUM4lqihTakvpYx1Sw7j0vfEmbv64DBlGBppAg453FlZKPUhHXacG1rs6aul+nb+dxrGcKuuhT9a&#10;7KvjnzochsuPHbSez1bqE0SiMb3FL3dlNKyLvDafyUdA7p5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2UKqPbgAAADcAAAA&#10;DwAAAAAAAAABACAAAAAiAAAAZHJzL2Rvd25yZXYueG1sUEsBAhQAFAAAAAgAh07iQDMvBZ47AAAA&#10;OQAAABAAAAAAAAAAAQAgAAAABwEAAGRycy9zaGFwZXhtbC54bWxQSwUGAAAAAAYABgBbAQAAsQMA&#10;AAAA&#10;" path="m71,0l12,0,6,62,12,55,30,48,47,48,65,55,77,69,83,89,83,103,77,124,65,137,47,144,30,144,12,137,6,131,0,117e">
                  <v:path o:connectlocs="71,4080;12,4080;6,4142;12,4135;30,4128;47,4128;65,4135;77,4149;83,4169;83,4183;77,4204;65,4217;47,4224;30,4224;12,4217;6,4211;0,4197;0,4197" o:connectangles="0,0,0,0,0,0,0,0,0,0,0,0,0,0,0,0,0,0"/>
                  <v:fill on="f" focussize="0,0"/>
                  <v:stroke weight="0.0115748031496063pt" color="#000000" joinstyle="round"/>
                  <v:imagedata o:title=""/>
                  <o:lock v:ext="edit" aspectratio="f"/>
                </v:shape>
                <v:shape id="Freeform 117" o:spid="_x0000_s1026" o:spt="100" style="position:absolute;left:6561;top:4128;height:97;width:2;" filled="f" stroked="t" coordsize="1,97" o:gfxdata="UEsDBAoAAAAAAIdO4kAAAAAAAAAAAAAAAAAEAAAAZHJzL1BLAwQUAAAACACHTuJAam9abMAAAADc&#10;AAAADwAAAGRycy9kb3ducmV2LnhtbEWPT2vCQBTE74LfYXmCF6m7/qG0qasHoSUeBE3tobdH9jVJ&#10;zb4N2TXqt3cFweMwM79hFquLrUVHra8ca5iMFQji3JmKCw2H78+XNxA+IBusHZOGK3lYLfu9BSbG&#10;nXlPXRYKESHsE9RQhtAkUvq8JIt+7Bri6P251mKIsi2kafEc4baWU6VepcWK40KJDa1Lyo/ZyWrY&#10;bTfBHObrbvZ7TLejNFc/X/9K6+Fgoj5ABLqEZ/jRTo2G2fQd7mfiEZDLG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qb1ps&#10;wAAAANwAAAAPAAAAAAAAAAEAIAAAACIAAABkcnMvZG93bnJldi54bWxQSwECFAAUAAAACACHTuJA&#10;My8FnjsAAAA5AAAAEAAAAAAAAAABACAAAAAPAQAAZHJzL3NoYXBleG1sLnhtbFBLBQYAAAAABgAG&#10;AFsBAAC5AwAAAAA=&#10;" path="m0,0l0,96e">
                  <v:path o:connectlocs="0,4128;0,4224;0,4224" o:connectangles="0,0,0"/>
                  <v:fill on="f" focussize="0,0"/>
                  <v:stroke weight="0.0111023622047244pt" color="#000000" joinstyle="round"/>
                  <v:imagedata o:title=""/>
                  <o:lock v:ext="edit" aspectratio="f"/>
                </v:shape>
                <v:shape id="Freeform 116" o:spid="_x0000_s1026" o:spt="100" style="position:absolute;left:6561;top:4128;height:97;width:66;" filled="f" stroked="t" coordsize="66,97" o:gfxdata="UEsDBAoAAAAAAIdO4kAAAAAAAAAAAAAAAAAEAAAAZHJzL1BLAwQUAAAACACHTuJAMJIU97sAAADc&#10;AAAADwAAAGRycy9kb3ducmV2LnhtbEVPy4rCMBTdD/gP4QruxqQ6DFqNLgRBEITpqHR5aa5tsbkJ&#10;TXzN108WA7M8nPdy/bSduFMfWscasrECQVw503Kt4fi9fZ+BCBHZYOeYNLwowHo1eFtibtyDv+he&#10;xFqkEA45amhi9LmUoWrIYhg7T5y4i+stxgT7WpoeHyncdnKi1Ke02HJqaNDTpqHqWtyshp/52ZPf&#10;34rD6aO8KiqzXam2Wo+GmVqAiPSM/+I/985omE7T/HQmHQG5+g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JIU97sAAADc&#10;AAAADwAAAAAAAAABACAAAAAiAAAAZHJzL2Rvd25yZXYueG1sUEsBAhQAFAAAAAgAh07iQDMvBZ47&#10;AAAAOQAAABAAAAAAAAAAAQAgAAAACgEAAGRycy9zaGFwZXhtbC54bWxQSwUGAAAAAAYABgBbAQAA&#10;tAMAAAAA&#10;" path="m0,28l18,7,30,0,47,0,59,7,65,28,65,96e">
                  <v:path o:connectlocs="0,4156;18,4135;30,4128;47,4128;59,4135;65,4156;65,4224;65,4224" o:connectangles="0,0,0,0,0,0,0,0"/>
                  <v:fill on="f" focussize="0,0"/>
                  <v:stroke weight="0.0116535433070866pt" color="#000000" joinstyle="round"/>
                  <v:imagedata o:title=""/>
                  <o:lock v:ext="edit" aspectratio="f"/>
                </v:shape>
                <v:shape id="Freeform 115" o:spid="_x0000_s1026" o:spt="100" style="position:absolute;left:6625;top:4128;height:97;width:66;" filled="f" stroked="t" coordsize="66,97" o:gfxdata="UEsDBAoAAAAAAIdO4kAAAAAAAAAAAAAAAAAEAAAAZHJzL1BLAwQUAAAACACHTuJAX96xbL4AAADc&#10;AAAADwAAAGRycy9kb3ducmV2LnhtbEWPT2sCMRTE7wW/Q3iCt5pslaKr0YMgCAWh21b2+Ng8dxc3&#10;L2ET/376Rij0OMzMb5jl+mY7caE+tI41ZGMFgrhypuVaw/fX9nUGIkRkg51j0nCnAOvV4GWJuXFX&#10;/qRLEWuRIBxy1NDE6HMpQ9WQxTB2njh5R9dbjEn2tTQ9XhPcdvJNqXdpseW00KCnTUPVqThbDY/5&#10;wZP/OBf7n2l5UlRmu1JttR4NM7UAEekW/8N/7Z3RMJlk8DyTjoBc/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96xbL4A&#10;AADcAAAADwAAAAAAAAABACAAAAAiAAAAZHJzL2Rvd25yZXYueG1sUEsBAhQAFAAAAAgAh07iQDMv&#10;BZ47AAAAOQAAABAAAAAAAAAAAQAgAAAADQEAAGRycy9zaGFwZXhtbC54bWxQSwUGAAAAAAYABgBb&#10;AQAAtwMAAAAA&#10;" path="m0,28l18,7,29,0,47,0,59,7,65,28,65,96e">
                  <v:path o:connectlocs="0,4156;18,4135;29,4128;47,4128;59,4135;65,4156;65,4224;65,4224" o:connectangles="0,0,0,0,0,0,0,0"/>
                  <v:fill on="f" focussize="0,0"/>
                  <v:stroke weight="0.0116535433070866pt" color="#000000" joinstyle="round"/>
                  <v:imagedata o:title=""/>
                  <o:lock v:ext="edit" aspectratio="f"/>
                </v:shape>
                <v:shape id="Freeform 114" o:spid="_x0000_s1026" o:spt="100" style="position:absolute;left:6737;top:4052;height:220;width:42;" filled="f" stroked="t" coordsize="42,220" o:gfxdata="UEsDBAoAAAAAAIdO4kAAAAAAAAAAAAAAAAAEAAAAZHJzL1BLAwQUAAAACACHTuJAIeKBHrwAAADc&#10;AAAADwAAAGRycy9kb3ducmV2LnhtbEWP0YrCMBRE3wX/IVzBN01rVaQaRQRBfViw+gGX5toWm5vS&#10;RKt+vVlY2MdhZs4wq83L1OJJrassK4jHEQji3OqKCwXXy360AOE8ssbaMil4k4PNut9bYaptx2d6&#10;Zr4QAcIuRQWl900qpctLMujGtiEO3s22Bn2QbSF1i12Am1pOomguDVYcFkpsaFdSfs8eRsH2p3uf&#10;ms/iHB8znmmXTxOeHZQaDuJoCcLTy/+H/9oHrSBJJvB7JhwBuf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HigR68AAAA&#10;3AAAAA8AAAAAAAAAAQAgAAAAIgAAAGRycy9kb3ducmV2LnhtbFBLAQIUABQAAAAIAIdO4kAzLwWe&#10;OwAAADkAAAAQAAAAAAAAAAEAIAAAAAsBAABkcnMvc2hhcGV4bWwueG1sUEsFBgAAAAAGAAYAWwEA&#10;ALUDAAAAAA==&#10;" path="m41,0l29,14,18,34,6,62,0,96,0,123,6,158,18,185,29,206,41,219e">
                  <v:path o:connectlocs="41,4053;29,4067;18,4087;6,4115;0,4149;0,4176;6,4211;18,4238;29,4259;41,4272;41,4272" o:connectangles="0,0,0,0,0,0,0,0,0,0,0"/>
                  <v:fill on="f" focussize="0,0"/>
                  <v:stroke weight="0.0111811023622047pt" color="#000000" joinstyle="round"/>
                  <v:imagedata o:title=""/>
                  <o:lock v:ext="edit" aspectratio="f"/>
                </v:shape>
                <v:shape id="Freeform 113" o:spid="_x0000_s1026" o:spt="100" style="position:absolute;left:6814;top:4080;height:144;width:83;" filled="f" stroked="t" coordsize="83,144" o:gfxdata="UEsDBAoAAAAAAIdO4kAAAAAAAAAAAAAAAAAEAAAAZHJzL1BLAwQUAAAACACHTuJAUj+ukbwAAADc&#10;AAAADwAAAGRycy9kb3ducmV2LnhtbEWPQWsCMRSE7wX/Q3iCt5roQilbowdB2ZNY7Q943Tx3F5OX&#10;JYnu+u+NUOhxmJlvmNVmdFbcKcTOs4bFXIEgrr3puNHwc969f4KICdmg9UwaHhRhs568rbA0fuBv&#10;up9SIzKEY4ka2pT6UspYt+Qwzn1PnL2LDw5TlqGRJuCQ4c7KpVIf0mHHeaHFnrYt1dfTzWkYw7W6&#10;LP3RYl8df9XhMJz3dtB6Nl2oLxCJxvQf/mtXRkNRFPA6k4+AXD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I/rpG8AAAA&#10;3AAAAA8AAAAAAAAAAQAgAAAAIgAAAGRycy9kb3ducmV2LnhtbFBLAQIUABQAAAAIAIdO4kAzLwWe&#10;OwAAADkAAAAQAAAAAAAAAAEAIAAAAAsBAABkcnMvc2hhcGV4bWwueG1sUEsFBgAAAAAGAAYAWwEA&#10;ALUDAAAAAA==&#10;" path="m11,0l76,0,41,55,58,55,70,62,76,69,82,89,82,103,76,124,65,137,47,144,29,144,11,137,6,131,0,117e">
                  <v:path o:connectlocs="11,4080;76,4080;41,4135;58,4135;70,4142;76,4149;82,4169;82,4183;76,4204;65,4217;47,4224;29,4224;11,4217;6,4211;0,4197;0,4197" o:connectangles="0,0,0,0,0,0,0,0,0,0,0,0,0,0,0,0"/>
                  <v:fill on="f" focussize="0,0"/>
                  <v:stroke weight="0.0115748031496063pt" color="#000000" joinstyle="round"/>
                  <v:imagedata o:title=""/>
                  <o:lock v:ext="edit" aspectratio="f"/>
                </v:shape>
                <v:shape id="Freeform 112" o:spid="_x0000_s1026" o:spt="100" style="position:absolute;left:6938;top:4128;height:97;width:2;" filled="f" stroked="t" coordsize="1,97" o:gfxdata="UEsDBAoAAAAAAIdO4kAAAAAAAAAAAAAAAAAEAAAAZHJzL1BLAwQUAAAACACHTuJAAbdjL8AAAADc&#10;AAAADwAAAGRycy9kb3ducmV2LnhtbEWPQWvCQBSE70L/w/IKvYju2kiR6MaD0JIeBLXpwdsj+5qk&#10;yb4N2W20/74rCD0OM/MNs9lebSdGGnzjWMNirkAQl840XGkoPl5nKxA+IBvsHJOGX/KwzR4mG0yN&#10;u/CRxlOoRISwT1FDHUKfSunLmiz6ueuJo/flBoshyqGSZsBLhNtOPiv1Ii02HBdq7GlXU9mefqyG&#10;w/49mGK5G5Nzm++neak+376V1k+PC7UGEega/sP3dm40JMkSbmfiEZDZH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Bt2Mv&#10;wAAAANwAAAAPAAAAAAAAAAEAIAAAACIAAABkcnMvZG93bnJldi54bWxQSwECFAAUAAAACACHTuJA&#10;My8FnjsAAAA5AAAAEAAAAAAAAAABACAAAAAPAQAAZHJzL3NoYXBleG1sLnhtbFBLBQYAAAAABgAG&#10;AFsBAAC5AwAAAAA=&#10;" path="m0,0l0,96,1,96e">
                  <v:path o:connectlocs="0,4128;0,4224;2,4224" o:connectangles="0,0,0"/>
                  <v:fill on="f" focussize="0,0"/>
                  <v:stroke weight="0.0111023622047244pt" color="#000000" joinstyle="round"/>
                  <v:imagedata o:title=""/>
                  <o:lock v:ext="edit" aspectratio="f"/>
                </v:shape>
                <v:shape id="Freeform 111" o:spid="_x0000_s1026" o:spt="100" style="position:absolute;left:6938;top:4128;height:97;width:66;" filled="f" stroked="t" coordsize="66,97" o:gfxdata="UEsDBAoAAAAAAIdO4kAAAAAAAAAAAAAAAAAEAAAAZHJzL1BLAwQUAAAACACHTuJAIOW3b78AAADc&#10;AAAADwAAAGRycy9kb3ducmV2LnhtbEWPS2vDMBCE74X8B7GB3hLJedG6UXIIBAKFQJy0+LhYW9vE&#10;WglLebS/PioUehxm5htmub7bTlypD61jDdlYgSCunGm51nA6bkcvIEJENtg5Jg3fFGC9GjwtMTfu&#10;xge6FrEWCcIhRw1NjD6XMlQNWQxj54mT9+V6izHJvpamx1uC205OlFpIiy2nhQY9bRqqzsXFavh5&#10;/fTk3y/F/mNWnhWV2a5UW62fh5l6AxHpHv/Df+2d0TCdzuH3TDoCcvU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Dlt2+/&#10;AAAA3AAAAA8AAAAAAAAAAQAgAAAAIgAAAGRycy9kb3ducmV2LnhtbFBLAQIUABQAAAAIAIdO4kAz&#10;LwWeOwAAADkAAAAQAAAAAAAAAAEAIAAAAA4BAABkcnMvc2hhcGV4bWwueG1sUEsFBgAAAAAGAAYA&#10;WwEAALgDAAAAAA==&#10;" path="m0,28l18,7,30,0,48,0,59,7,65,28,65,96e">
                  <v:path o:connectlocs="0,4156;18,4135;30,4128;48,4128;59,4135;65,4156;65,4224;65,4224" o:connectangles="0,0,0,0,0,0,0,0"/>
                  <v:fill on="f" focussize="0,0"/>
                  <v:stroke weight="0.0116535433070866pt" color="#000000" joinstyle="round"/>
                  <v:imagedata o:title=""/>
                  <o:lock v:ext="edit" aspectratio="f"/>
                </v:shape>
                <v:shape id="Freeform 110" o:spid="_x0000_s1026" o:spt="100" style="position:absolute;left:7003;top:4128;height:97;width:66;" filled="f" stroked="t" coordsize="66,97" o:gfxdata="UEsDBAoAAAAAAIdO4kAAAAAAAAAAAAAAAAAEAAAAZHJzL1BLAwQUAAAACACHTuJA0DcpGL4AAADc&#10;AAAADwAAAGRycy9kb3ducmV2LnhtbEWPS2vDMBCE74X8B7GB3hrJSQmJGyWHQCBQCNR54ONibW0T&#10;ayUs5dVfXxUKOQ4z8w2zWN1tJ67Uh9axhmykQBBXzrRcazjsN28zECEiG+wck4YHBVgtBy8LzI27&#10;8Rddi1iLBOGQo4YmRp9LGaqGLIaR88TJ+3a9xZhkX0vT4y3BbSfHSk2lxZbTQoOe1g1V5+JiNfzM&#10;T57856XYHd/Ls6Iy25Zqo/XrMFMfICLd4zP8394aDZPJFP7OpCMgl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DcpGL4A&#10;AADcAAAADwAAAAAAAAABACAAAAAiAAAAZHJzL2Rvd25yZXYueG1sUEsBAhQAFAAAAAgAh07iQDMv&#10;BZ47AAAAOQAAABAAAAAAAAAAAQAgAAAADQEAAGRycy9zaGFwZXhtbC54bWxQSwUGAAAAAAYABgBb&#10;AQAAtwMAAAAA&#10;" path="m0,28l18,7,30,0,47,0,59,7,65,28,65,96e">
                  <v:path o:connectlocs="0,4156;18,4135;30,4128;47,4128;59,4135;65,4156;65,4224;65,4224" o:connectangles="0,0,0,0,0,0,0,0"/>
                  <v:fill on="f" focussize="0,0"/>
                  <v:stroke weight="0.0116535433070866pt" color="#000000" joinstyle="round"/>
                  <v:imagedata o:title=""/>
                  <o:lock v:ext="edit" aspectratio="f"/>
                </v:shape>
                <v:shape id="Freeform 109" o:spid="_x0000_s1026" o:spt="100" style="position:absolute;left:7109;top:4052;height:220;width:42;" filled="f" stroked="t" coordsize="42,220" o:gfxdata="UEsDBAoAAAAAAIdO4kAAAAAAAAAAAAAAAAAEAAAAZHJzL1BLAwQUAAAACACHTuJAMZUihr0AAADc&#10;AAAADwAAAGRycy9kb3ducmV2LnhtbEWP3YrCMBSE7wXfIRxh7zSt9Y9qFBEE14sFqw9waI5tsTkp&#10;TbS6T78RhL0cZuYbZrV5mlo8qHWVZQXxKAJBnFtdcaHgct4PFyCcR9ZYWyYFL3KwWfd7K0y17fhE&#10;j8wXIkDYpaig9L5JpXR5SQbdyDbEwbva1qAPsi2kbrELcFPLcRTNpMGKw0KJDe1Kym/Z3SjY/nSv&#10;Y/O7OMXfGU+1yycJTw9KfQ3iaAnC09P/hz/tg1aQJHN4nwlHQK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xlSKGvQAA&#10;ANwAAAAPAAAAAAAAAAEAIAAAACIAAABkcnMvZG93bnJldi54bWxQSwECFAAUAAAACACHTuJAMy8F&#10;njsAAAA5AAAAEAAAAAAAAAABACAAAAAMAQAAZHJzL3NoYXBleG1sLnhtbFBLBQYAAAAABgAGAFsB&#10;AAC2AwAAAAA=&#10;" path="m0,0l12,14,24,34,36,62,42,96,42,123,36,158,24,185,12,206,0,219,1,219e">
                  <v:path o:connectlocs="0,4053;12,4067;24,4087;36,4115;42,4149;42,4176;36,4211;24,4238;12,4259;0,4272;1,4272" o:connectangles="0,0,0,0,0,0,0,0,0,0,0"/>
                  <v:fill on="f" focussize="0,0"/>
                  <v:stroke weight="0.0111811023622047pt" color="#000000" joinstyle="round"/>
                  <v:imagedata o:title=""/>
                  <o:lock v:ext="edit" aspectratio="f"/>
                </v:shape>
                <v:shape id="Freeform 108" o:spid="_x0000_s1026" o:spt="100" style="position:absolute;left:5758;top:4356;height:96;width:75;" fillcolor="#000000" filled="t" stroked="f" coordsize="75,96" o:gfxdata="UEsDBAoAAAAAAIdO4kAAAAAAAAAAAAAAAAAEAAAAZHJzL1BLAwQUAAAACACHTuJAXfTzq7wAAADc&#10;AAAADwAAAGRycy9kb3ducmV2LnhtbEVPTWvCQBC9F/wPywi9lLqrQpHU1YMg6qk2CuJtyE6T1OxM&#10;yK7R+uu7h0KPj/c9X959o3rqQi1sYTwyoIgLcTWXFo6H9esMVIjIDhthsvBDAZaLwdMcMyc3/qQ+&#10;j6VKIRwytFDF2GZah6Iij2EkLXHivqTzGBPsSu06vKVw3+iJMW/aY82pocKWVhUVl/zqLexPkr9I&#10;f5Zvc9rvjkV84MfmYe3zcGzeQUW6x3/xn3vrLEynaW06k46AXvw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3086u8AAAA&#10;3AAAAA8AAAAAAAAAAQAgAAAAIgAAAGRycy9kb3ducmV2LnhtbFBLAQIUABQAAAAIAIdO4kAzLwWe&#10;OwAAADkAAAAQAAAAAAAAAAEAIAAAAAsBAABkcnMvc2hhcGV4bWwueG1sUEsFBgAAAAAGAAYAWwEA&#10;ALUDAAAAAA==&#10;" path="m66,0l0,95,74,9,66,0xe">
                  <v:path o:connectlocs="66,4357;0,4452;74,4366;66,4357" o:connectangles="0,0,0,0"/>
                  <v:fill on="t" focussize="0,0"/>
                  <v:stroke on="f"/>
                  <v:imagedata o:title=""/>
                  <o:lock v:ext="edit" aspectratio="f"/>
                </v:shape>
                <v:shape id="Freeform 107" o:spid="_x0000_s1026" o:spt="100" style="position:absolute;left:5751;top:4356;height:96;width:75;" fillcolor="#000000" filled="t" stroked="f" coordsize="75,96" o:gfxdata="UEsDBAoAAAAAAIdO4kAAAAAAAAAAAAAAAAAEAAAAZHJzL1BLAwQUAAAACACHTuJAMrhWML8AAADc&#10;AAAADwAAAGRycy9kb3ducmV2LnhtbEWPQWvCQBSE7wX/w/KEXkrdtUKx0dWDUGpPtVEQb4/sa5Ka&#10;fS9k12j99d1CweMwM98w8+XFN6qnLtTCFsYjA4q4EFdzaWG3fX2cggoR2WEjTBZ+KMByMbibY+bk&#10;zJ/U57FUCcIhQwtVjG2mdSgq8hhG0hIn70s6jzHJrtSuw3OC+0Y/GfOsPdacFipsaVVRccxP3sJm&#10;L/mD9Af5NvvN+66IV/x4u1p7PxybGahIl3gL/7fXzsJk8gJ/Z9IR0It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K4VjC/&#10;AAAA3AAAAA8AAAAAAAAAAQAgAAAAIgAAAGRycy9kb3ducmV2LnhtbFBLAQIUABQAAAAIAIdO4kAz&#10;LwWeOwAAADkAAAAQAAAAAAAAAAEAIAAAAA4BAABkcnMvc2hhcGV4bWwueG1sUEsFBgAAAAAGAAYA&#10;WwEAALgDAAAAAA==&#10;" path="m74,0l0,86,8,95,74,0xe">
                  <v:path o:connectlocs="74,4357;0,4443;8,4452;74,4357" o:connectangles="0,0,0,0"/>
                  <v:fill on="t" focussize="0,0"/>
                  <v:stroke on="f"/>
                  <v:imagedata o:title=""/>
                  <o:lock v:ext="edit" aspectratio="f"/>
                </v:shape>
                <v:shape id="Freeform 106" o:spid="_x0000_s1026" o:spt="100" style="position:absolute;left:5751;top:4356;height:96;width:83;" filled="f" stroked="t" coordsize="83,96" o:gfxdata="UEsDBAoAAAAAAIdO4kAAAAAAAAAAAAAAAAAEAAAAZHJzL1BLAwQUAAAACACHTuJASytQi7oAAADc&#10;AAAADwAAAGRycy9kb3ducmV2LnhtbEVPPW/CMBDdkfofrKvUDWwKQhAwDJUiylRhWNiO+JpEjc9R&#10;bEL49/WAxPj0vje7wTWipy7UnjVMJwoEceFtzaWG8ykfL0GEiGyx8UwaHhRgt30bbTCz/s5H6k0s&#10;RQrhkKGGKsY2kzIUFTkME98SJ+7Xdw5jgl0pbYf3FO4a+anUQjqsOTVU2NJXRcWfuTkNP/vm2g/5&#10;LDdHs+ovB6Oiw7PWH+9TtQYRaYgv8dP9bTXM5ml+OpOOgNz+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LK1CLugAAANwA&#10;AAAPAAAAAAAAAAEAIAAAACIAAABkcnMvZG93bnJldi54bWxQSwECFAAUAAAACACHTuJAMy8FnjsA&#10;AAA5AAAAEAAAAAAAAAABACAAAAAJAQAAZHJzL3NoYXBleG1sLnhtbFBLBQYAAAAABgAGAFsBAACz&#10;AwAAAAA=&#10;" path="m82,9l75,0,0,86,8,95,82,9e">
                  <v:path o:connectlocs="82,4366;75,4357;0,4443;8,4452;82,4366" o:connectangles="0,0,0,0,0"/>
                  <v:fill on="f" focussize="0,0"/>
                  <v:stroke weight="0.0118897637795276pt" color="#000000" joinstyle="round"/>
                  <v:imagedata o:title=""/>
                  <o:lock v:ext="edit" aspectratio="f"/>
                </v:shape>
                <v:shape id="Freeform 105" o:spid="_x0000_s1026" o:spt="100" style="position:absolute;left:7577;top:4356;height:96;width:75;" fillcolor="#000000" filled="t" stroked="f" coordsize="75,96" o:gfxdata="UEsDBAoAAAAAAIdO4kAAAAAAAAAAAAAAAAAEAAAAZHJzL1BLAwQUAAAACACHTuJAlMgpS8AAAADc&#10;AAAADwAAAGRycy9kb3ducmV2LnhtbEWPT0vDQBTE74LfYXmCF2l3o0Uk7bYHQdRTayyU3h7Z1yRt&#10;9r2QXdM/n94VCh6HmfkNM1ucfKsG6kMjbCEbG1DEpbiGKwvr77fRC6gQkR22wmThTAEW89ubGeZO&#10;jvxFQxErlSAccrRQx9jlWoeyJo9hLB1x8nbSe4xJ9pV2PR4T3Lf60Zhn7bHhtFBjR681lYfix1tY&#10;baR4kGEre7NZfa7LeMHl+8Xa+7vMTEFFOsX/8LX94Sw8TTL4O5OOgJ7/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UyClL&#10;wAAAANwAAAAPAAAAAAAAAAEAIAAAACIAAABkcnMvZG93bnJldi54bWxQSwECFAAUAAAACACHTuJA&#10;My8FnjsAAAA5AAAAEAAAAAAAAAABACAAAAAPAQAAZHJzL3NoYXBleG1sLnhtbFBLBQYAAAAABgAG&#10;AFsBAAC5AwAAAAA=&#10;" path="m75,0l0,86,8,95,75,0xe">
                  <v:path o:connectlocs="75,4357;0,4443;8,4452;75,4357" o:connectangles="0,0,0,0"/>
                  <v:fill on="t" focussize="0,0"/>
                  <v:stroke on="f"/>
                  <v:imagedata o:title=""/>
                  <o:lock v:ext="edit" aspectratio="f"/>
                </v:shape>
                <v:shape id="Freeform 104" o:spid="_x0000_s1026" o:spt="100" style="position:absolute;left:7585;top:4356;height:96;width:75;" fillcolor="#000000" filled="t" stroked="f" coordsize="75,96" o:gfxdata="UEsDBAoAAAAAAIdO4kAAAAAAAAAAAAAAAAAEAAAAZHJzL1BLAwQUAAAACACHTuJAZBq3PL8AAADc&#10;AAAADwAAAGRycy9kb3ducmV2LnhtbEWPQWvCQBSE70L/w/IKXqTuqqWU6OqhUFpP1VQQb4/sa5I2&#10;+17IbqP117tCweMwM98wi9XJN6qnLtTCFiZjA4q4EFdzaWH3+frwDCpEZIeNMFn4owCr5d1ggZmT&#10;I2+pz2OpEoRDhhaqGNtM61BU5DGMpSVO3pd0HmOSXaldh8cE942eGvOkPdacFips6aWi4if/9RY2&#10;e8lH0h/k2+w3610Rz/jxdrZ2eD8xc1CRTvEW/m+/Owuzxylcz6QjoJc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Qatzy/&#10;AAAA3AAAAA8AAAAAAAAAAQAgAAAAIgAAAGRycy9kb3ducmV2LnhtbFBLAQIUABQAAAAIAIdO4kAz&#10;LwWeOwAAADkAAAAQAAAAAAAAAAEAIAAAAA4BAABkcnMvc2hhcGV4bWwueG1sUEsFBgAAAAAGAAYA&#10;WwEAALgDAAAAAA==&#10;" path="m67,0l0,95,75,9,67,0xe">
                  <v:path o:connectlocs="67,4357;0,4452;75,4366;67,4357" o:connectangles="0,0,0,0"/>
                  <v:fill on="t" focussize="0,0"/>
                  <v:stroke on="f"/>
                  <v:imagedata o:title=""/>
                  <o:lock v:ext="edit" aspectratio="f"/>
                </v:shape>
                <v:shape id="Freeform 103" o:spid="_x0000_s1026" o:spt="100" style="position:absolute;left:7577;top:4356;height:96;width:83;" filled="f" stroked="t" coordsize="83,96" o:gfxdata="UEsDBAoAAAAAAIdO4kAAAAAAAAAAAAAAAAAEAAAAZHJzL1BLAwQUAAAACACHTuJAu/nO/L0AAADc&#10;AAAADwAAAGRycy9kb3ducmV2LnhtbEWPQWvCQBSE7wX/w/KE3uquTSkaXT0IQXsqrl68PbPPJJh9&#10;G7LbmP77bqHQ4zAz3zDr7ehaMVAfGs8a5jMFgrj0tuFKw/lUvCxAhIhssfVMGr4pwHYzeVpjbv2D&#10;jzSYWIkE4ZCjhjrGLpcylDU5DDPfESfv5nuHMcm+krbHR4K7Vr4q9S4dNpwWauxoV1N5N19Ow+e+&#10;vQ5jkRXmaJbD5cOo6PCs9fN0rlYgIo3xP/zXPlgN2VsGv2fSEZCb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7+c78vQAA&#10;ANwAAAAPAAAAAAAAAAEAIAAAACIAAABkcnMvZG93bnJldi54bWxQSwECFAAUAAAACACHTuJAMy8F&#10;njsAAAA5AAAAEAAAAAAAAAABACAAAAAMAQAAZHJzL3NoYXBleG1sLnhtbFBLBQYAAAAABgAGAFsB&#10;AAC2AwAAAAA=&#10;" path="m0,86l8,95,83,9,75,0,0,86e">
                  <v:path o:connectlocs="0,4443;8,4452;83,4366;75,4357;0,4443" o:connectangles="0,0,0,0,0"/>
                  <v:fill on="f" focussize="0,0"/>
                  <v:stroke weight="0.0118897637795276pt" color="#000000" joinstyle="round"/>
                  <v:imagedata o:title=""/>
                  <o:lock v:ext="edit" aspectratio="f"/>
                </v:shape>
                <v:line id="Line 102" o:spid="_x0000_s1026" o:spt="20" style="position:absolute;left:7618;top:4405;height:0;width:1;" filled="f" stroked="t" coordsize="21600,21600" o:gfxdata="UEsDBAoAAAAAAIdO4kAAAAAAAAAAAAAAAAAEAAAAZHJzL1BLAwQUAAAACACHTuJAYwfTHLwAAADc&#10;AAAADwAAAGRycy9kb3ducmV2LnhtbEWPT4vCMBTE74LfITxhbzZVi7rV6EERvPoX9va2edsWm5eS&#10;RK3ffrOw4HGYmd8wy3VnGvEg52vLCkZJCoK4sLrmUsH5tBvOQfiArLGxTApe5GG96veWmGv75AM9&#10;jqEUEcI+RwVVCG0upS8qMugT2xJH78c6gyFKV0rt8BnhppHjNJ1KgzXHhQpb2lRU3I53o2Ce7S++&#10;uZbbV90F579O35+HYqbUx2CULkAE6sI7/N/eawWTLIO/M/EIyNU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MH0xy8AAAA&#10;3AAAAA8AAAAAAAAAAQAgAAAAIgAAAGRycy9kb3ducmV2LnhtbFBLAQIUABQAAAAIAIdO4kAzLwWe&#10;OwAAADkAAAAQAAAAAAAAAAEAIAAAAAsBAABkcnMvc2hhcGV4bWwueG1sUEsFBgAAAAAGAAYAWwEA&#10;ALUDAAAAAA==&#10;">
                  <v:fill on="f" focussize="0,0"/>
                  <v:stroke weight="0.0128346456692913pt" color="#000000" joinstyle="round"/>
                  <v:imagedata o:title=""/>
                  <o:lock v:ext="edit" aspectratio="f"/>
                </v:line>
                <v:line id="Line 101" o:spid="_x0000_s1026" o:spt="20" style="position:absolute;left:7618;top:4009;height:0;width:1;" filled="f" stroked="t" coordsize="21600,21600" o:gfxdata="UEsDBAoAAAAAAIdO4kAAAAAAAAAAAAAAAAAEAAAAZHJzL1BLAwQUAAAACACHTuJADEt2h70AAADc&#10;AAAADwAAAGRycy9kb3ducmV2LnhtbEWPT4vCMBTE74LfITzBm039s6t2jR4Uwau6u+Dt2bxti81L&#10;SaLWb2+EBY/DzPyGWaxaU4sbOV9ZVjBMUhDEudUVFwq+j9vBDIQPyBpry6TgQR5Wy25ngZm2d97T&#10;7RAKESHsM1RQhtBkUvq8JIM+sQ1x9P6sMxiidIXUDu8Rbmo5StNPabDiuFBiQ+uS8svhahTMJrsf&#10;X/8Wm0fVBudPx/N8n0+V6veG6ReIQG14h//bO61gPPmA15l4BOTyC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MS3aHvQAA&#10;ANwAAAAPAAAAAAAAAAEAIAAAACIAAABkcnMvZG93bnJldi54bWxQSwECFAAUAAAACACHTuJAMy8F&#10;njsAAAA5AAAAEAAAAAAAAAABACAAAAAMAQAAZHJzL3NoYXBleG1sLnhtbFBLBQYAAAAABgAGAFsB&#10;AAC2AwAAAAA=&#10;">
                  <v:fill on="f" focussize="0,0"/>
                  <v:stroke weight="0.0128346456692913pt" color="#000000" joinstyle="round"/>
                  <v:imagedata o:title=""/>
                  <o:lock v:ext="edit" aspectratio="f"/>
                </v:line>
                <v:line id="Line 100" o:spid="_x0000_s1026" o:spt="20" style="position:absolute;left:5792;top:3367;height:0;width:621;" filled="f" stroked="t" coordsize="21600,21600" o:gfxdata="UEsDBAoAAAAAAIdO4kAAAAAAAAAAAAAAAAAEAAAAZHJzL1BLAwQUAAAACACHTuJAGMr3dL8AAADc&#10;AAAADwAAAGRycy9kb3ducmV2LnhtbEWPzWvCQBTE74L/w/IEL1I3flRK6irS4sfRpj3Y2yP7mg3N&#10;vg3Z1Zj/3hUEj8PM/IZZrq+2EhdqfOlYwWScgCDOnS65UPDzvX15A+EDssbKMSnoyMN61e8tMdWu&#10;5S+6ZKEQEcI+RQUmhDqV0ueGLPqxq4mj9+caiyHKppC6wTbCbSWnSbKQFkuOCwZr+jCU/2dnq2DX&#10;/uLn3p/K6aibV5tTtzma16NSw8EkeQcR6Bqe4Uf7oBXM5gu4n4lHQK5u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jK93S/&#10;AAAA3AAAAA8AAAAAAAAAAQAgAAAAIgAAAGRycy9kb3ducmV2LnhtbFBLAQIUABQAAAAIAIdO4kAz&#10;LwWeOwAAADkAAAAQAAAAAAAAAAEAIAAAAA4BAABkcnMvc2hhcGV4bWwueG1sUEsFBgAAAAAGAAYA&#10;WwEAALgDAAAAAA==&#10;">
                  <v:fill on="f" focussize="0,0"/>
                  <v:stroke weight="0.248346456692913pt" color="#000000" joinstyle="round"/>
                  <v:imagedata o:title=""/>
                  <o:lock v:ext="edit" aspectratio="f"/>
                </v:line>
                <v:line id="Line 99" o:spid="_x0000_s1026" o:spt="20" style="position:absolute;left:5792;top:3367;height:0;width:621;" filled="f" stroked="t" coordsize="21600,21600" o:gfxdata="UEsDBAoAAAAAAIdO4kAAAAAAAAAAAAAAAAAEAAAAZHJzL1BLAwQUAAAACACHTuJAd4ZS78AAAADc&#10;AAAADwAAAGRycy9kb3ducmV2LnhtbEWPT2vCQBTE74V+h+UVeilmo7UqMatIS6tH/x309sg+s6HZ&#10;tyG7NebbdwtCj8PM/IbJlzdbiyu1vnKsYJikIIgLpysuFRwPn4MZCB+QNdaOSUFPHpaLx4ccM+06&#10;3tF1H0oRIewzVGBCaDIpfWHIok9cQxy9i2sthijbUuoWuwi3tRyl6URarDguGGzo3VDxvf+xCr66&#10;M36s/akavfTjenXqV1vztlXq+WmYzkEEuoX/8L290Qpex1P4OxOPgFz8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3hlLv&#10;wAAAANwAAAAPAAAAAAAAAAEAIAAAACIAAABkcnMvZG93bnJldi54bWxQSwECFAAUAAAACACHTuJA&#10;My8FnjsAAAA5AAAAEAAAAAAAAAABACAAAAAPAQAAZHJzL3NoYXBleG1sLnhtbFBLBQYAAAAABgAG&#10;AFsBAAC5AwAAAAA=&#10;">
                  <v:fill on="f" focussize="0,0"/>
                  <v:stroke weight="0.248346456692913pt" color="#000000" joinstyle="round"/>
                  <v:imagedata o:title=""/>
                  <o:lock v:ext="edit" aspectratio="f"/>
                </v:line>
                <v:line id="Line 98" o:spid="_x0000_s1026" o:spt="20" style="position:absolute;left:5792;top:3367;height:0;width:622;" filled="f" stroked="t" coordsize="21600,21600" o:gfxdata="UEsDBAoAAAAAAIdO4kAAAAAAAAAAAAAAAAAEAAAAZHJzL1BLAwQUAAAACACHTuJAyxcefbkAAADc&#10;AAAADwAAAGRycy9kb3ducmV2LnhtbEVPTYvCMBC9C/6HMII3Tbsri1ZTD4LSo7rqeWjGttpMSpNa&#10;9debw8IeH+97tX6aWjyodZVlBfE0AkGcW11xoeD0u53MQTiPrLG2TApe5GCdDgcrTLTt+UCPoy9E&#10;CGGXoILS+yaR0uUlGXRT2xAH7mpbgz7AtpC6xT6Em1p+RdGPNFhxaCixoU1J+f3YGQWWTLeYv7P9&#10;rTvX2cEVl6rf7ZQaj+JoCcLT0/+L/9yZVvA9C2vDmXAEZPo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MsXHn25AAAA3AAA&#10;AA8AAAAAAAAAAQAgAAAAIgAAAGRycy9kb3ducmV2LnhtbFBLAQIUABQAAAAIAIdO4kAzLwWeOwAA&#10;ADkAAAAQAAAAAAAAAAEAIAAAAAgBAABkcnMvc2hhcGV4bWwueG1sUEsFBgAAAAAGAAYAWwEAALID&#10;AAAAAA==&#10;">
                  <v:fill on="f" focussize="0,0"/>
                  <v:stroke weight="0.261259842519685pt" color="#000000" joinstyle="round"/>
                  <v:imagedata o:title=""/>
                  <o:lock v:ext="edit" aspectratio="f"/>
                </v:line>
                <v:line id="Line 97" o:spid="_x0000_s1026" o:spt="20" style="position:absolute;left:6413;top:3367;height:237;width:0;" filled="f" stroked="t" coordsize="21600,21600" o:gfxdata="UEsDBAoAAAAAAIdO4kAAAAAAAAAAAAAAAAAEAAAAZHJzL1BLAwQUAAAACACHTuJAt6+i7r0AAADc&#10;AAAADwAAAGRycy9kb3ducmV2LnhtbEWPzWrDMBCE74W+g9hCb7VkN5TWjWJKIZCr00ByXKyt7MRa&#10;GUtxfp4+ChR6HGbmG2ZenV0vJhpD51lDnikQxI03HVsNm5/lyzuIEJEN9p5Jw4UCVIvHhzmWxp+4&#10;pmkdrUgQDiVqaGMcSilD05LDkPmBOHm/fnQYkxytNCOeEtz1slDqTTrsOC20ONB3S81hfXQaQu+L&#10;/WW73Oysvdq6Vl/FZKzWz0+5+gQR6Rz/w3/tldHwOvuA+5l0BOTi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3r6LuvQAA&#10;ANwAAAAPAAAAAAAAAAEAIAAAACIAAABkcnMvZG93bnJldi54bWxQSwECFAAUAAAACACHTuJAMy8F&#10;njsAAAA5AAAAEAAAAAAAAAABACAAAAAMAQAAZHJzL3NoYXBleG1sLnhtbFBLBQYAAAAABgAGAFsB&#10;AAC2AwAAAAA=&#10;">
                  <v:fill on="f" focussize="0,0"/>
                  <v:stroke weight="0.20251968503937pt" color="#000000" joinstyle="round"/>
                  <v:imagedata o:title=""/>
                  <o:lock v:ext="edit" aspectratio="f"/>
                </v:line>
                <v:line id="Line 96" o:spid="_x0000_s1026" o:spt="20" style="position:absolute;left:6413;top:3367;height:237;width:0;" filled="f" stroked="t" coordsize="21600,21600" o:gfxdata="UEsDBAoAAAAAAIdO4kAAAAAAAAAAAAAAAAAEAAAAZHJzL1BLAwQUAAAACACHTuJAo0ydrrkAAADc&#10;AAAADwAAAGRycy9kb3ducmV2LnhtbEVPy4rCMBTdC/MP4Q7MziZ2UKRjlGFAcFsVdHlp7qTV5qY0&#10;sT6+3iwEl4fzXqxurhUD9aHxrGGSKRDElTcNWw373Xo8BxEissHWM2m4U4DV8mO0wML4K5c0bKMV&#10;KYRDgRrqGLtCylDV5DBkviNO3L/vHcYEeytNj9cU7lqZKzWTDhtODTV29FdTdd5enIbQ+vx0P6z3&#10;R2sftizVbz4Yq/XX50T9gIh0i2/xy70xGr6naX46k46AXD4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KNMna65AAAA3AAA&#10;AA8AAAAAAAAAAQAgAAAAIgAAAGRycy9kb3ducmV2LnhtbFBLAQIUABQAAAAIAIdO4kAzLwWeOwAA&#10;ADkAAAAQAAAAAAAAAAEAIAAAAAgBAABkcnMvc2hhcGV4bWwueG1sUEsFBgAAAAAGAAYAWwEAALID&#10;AAAAAA==&#10;">
                  <v:fill on="f" focussize="0,0"/>
                  <v:stroke weight="0.20251968503937pt" color="#000000" joinstyle="round"/>
                  <v:imagedata o:title=""/>
                  <o:lock v:ext="edit" aspectratio="f"/>
                </v:line>
                <v:line id="Line 95" o:spid="_x0000_s1026" o:spt="20" style="position:absolute;left:6414;top:3367;height:237;width:0;" filled="f" stroked="t" coordsize="21600,21600" o:gfxdata="UEsDBAoAAAAAAIdO4kAAAAAAAAAAAAAAAAAEAAAAZHJzL1BLAwQUAAAACACHTuJAzGMwOLkAAADc&#10;AAAADwAAAGRycy9kb3ducmV2LnhtbEVPXWvCMBR9H/gfwhV8m0kVh1SjiCDsdTrcHq/NtS02NyVJ&#10;W/XXL4PBHs83Z72920b05EPtWEM2VSCIC2dqLjV8ng6vSxAhIhtsHJOGBwXYbkYva8yNG/iD+mMs&#10;RSrhkKOGKsY2lzIUFVkMU9cSJ+3qvMWYoC+l8TikctvImVJv0mLNaaHClvYVFbdjZzWcZ4m4fO0G&#10;H6zKTt/n7rnoO60n40ytQES6x3/zX/rdaJgvMvg9k46A3Pw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MxjMDi5AAAA3AAA&#10;AA8AAAAAAAAAAQAgAAAAIgAAAGRycy9kb3ducmV2LnhtbFBLAQIUABQAAAAIAIdO4kAzLwWeOwAA&#10;ADkAAAAQAAAAAAAAAAEAIAAAAAgBAABkcnMvc2hhcGV4bWwueG1sUEsFBgAAAAAGAAYAWwEAALID&#10;AAAAAA==&#10;">
                  <v:fill on="f" focussize="0,0"/>
                  <v:stroke weight="0.213622047244094pt" color="#000000" joinstyle="round"/>
                  <v:imagedata o:title=""/>
                  <o:lock v:ext="edit" aspectratio="f"/>
                </v:line>
                <v:line id="Line 94" o:spid="_x0000_s1026" o:spt="20" style="position:absolute;left:6190;top:647;height:480;width:0;" filled="f" stroked="t" coordsize="21600,21600" o:gfxdata="UEsDBAoAAAAAAIdO4kAAAAAAAAAAAAAAAAAEAAAAZHJzL1BLAwQUAAAACACHTuJAysjIY78AAADc&#10;AAAADwAAAGRycy9kb3ducmV2LnhtbEWPT2vCQBTE74LfYXmCN91oMUjq6sE/tLVeooVeH9nXbDT7&#10;NmRXjd++Wyh4HGbmN8xi1dla3Kj1lWMFk3ECgrhwuuJSwddpN5qD8AFZY+2YFDzIw2rZ7y0w0+7O&#10;Od2OoRQRwj5DBSaEJpPSF4Ys+rFriKP341qLIcq2lLrFe4TbWk6TJJUWK44LBhtaGyoux6tVsGk+&#10;Dm/p/vN7u9+mhrrinK/NSanhYJK8ggjUhWf4v/2uFbzMpvB3Jh4Bufw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rIyGO/&#10;AAAA3AAAAA8AAAAAAAAAAQAgAAAAIgAAAGRycy9kb3ducmV2LnhtbFBLAQIUABQAAAAIAIdO4kAz&#10;LwWeOwAAADkAAAAQAAAAAAAAAAEAIAAAAA4BAABkcnMvc2hhcGV4bWwueG1sUEsFBgAAAAAGAAYA&#10;WwEAALgDAAAAAA==&#10;">
                  <v:fill on="f" focussize="0,0"/>
                  <v:stroke weight="0.202834645669291pt" color="#000000" joinstyle="round"/>
                  <v:imagedata o:title=""/>
                  <o:lock v:ext="edit" aspectratio="f"/>
                </v:line>
                <v:line id="Line 93" o:spid="_x0000_s1026" o:spt="20" style="position:absolute;left:6190;top:647;height:480;width:0;" filled="f" stroked="t" coordsize="21600,21600" o:gfxdata="UEsDBAoAAAAAAIdO4kAAAAAAAAAAAAAAAAAEAAAAZHJzL1BLAwQUAAAACACHTuJApYRt+L8AAADc&#10;AAAADwAAAGRycy9kb3ducmV2LnhtbEWPT2vCQBTE74LfYXlCb7pRMUjq6sE/2Fov0UKvj+xrNpp9&#10;G7Jbjd++Wyh4HGbmN8xi1dla3Kj1lWMF41ECgrhwuuJSwed5N5yD8AFZY+2YFDzIw2rZ7y0w0+7O&#10;Od1OoRQRwj5DBSaEJpPSF4Ys+pFriKP37VqLIcq2lLrFe4TbWk6SJJUWK44LBhtaGyqupx+rYNO8&#10;H/fp4eNre9imhrrikq/NWamXwTh5BRGoC8/wf/tNK5jOpvB3Jh4Bufw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WEbfi/&#10;AAAA3AAAAA8AAAAAAAAAAQAgAAAAIgAAAGRycy9kb3ducmV2LnhtbFBLAQIUABQAAAAIAIdO4kAz&#10;LwWeOwAAADkAAAAQAAAAAAAAAAEAIAAAAA4BAABkcnMvc2hhcGV4bWwueG1sUEsFBgAAAAAGAAYA&#10;WwEAALgDAAAAAA==&#10;">
                  <v:fill on="f" focussize="0,0"/>
                  <v:stroke weight="0.202834645669291pt" color="#000000" joinstyle="round"/>
                  <v:imagedata o:title=""/>
                  <o:lock v:ext="edit" aspectratio="f"/>
                </v:line>
                <v:line id="Line 92" o:spid="_x0000_s1026" o:spt="20" style="position:absolute;left:6190;top:647;height:480;width:0;" filled="f" stroked="t" coordsize="21600,21600" o:gfxdata="UEsDBAoAAAAAAIdO4kAAAAAAAAAAAAAAAAAEAAAAZHJzL1BLAwQUAAAACACHTuJA6Mo4kb4AAADc&#10;AAAADwAAAGRycy9kb3ducmV2LnhtbEWPwWrDMBBE74H+g9hCb4kUNw3FtRxIwaWHXOrkAxZrY5ta&#10;K8eS7fjvq0Khx2Fm3jDZ4W47MdHgW8cathsFgrhypuVaw+VcrF9B+IBssHNMGhbycMgfVhmmxs38&#10;RVMZahEh7FPU0ITQp1L6qiGLfuN64uhd3WAxRDnU0gw4R7jtZKLUXlpsOS402NN7Q9V3OVoNCsui&#10;vt66j/F8OS3t7I/Jcjtq/fS4VW8gAt3Df/iv/Wk0PL/s4PdMPAIy/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6Mo4kb4A&#10;AADcAAAADwAAAAAAAAABACAAAAAiAAAAZHJzL2Rvd25yZXYueG1sUEsBAhQAFAAAAAgAh07iQDMv&#10;BZ47AAAAOQAAABAAAAAAAAAAAQAgAAAADQEAAGRycy9zaGFwZXhtbC54bWxQSwUGAAAAAAYABgBb&#10;AQAAtwMAAAAA&#10;">
                  <v:fill on="f" focussize="0,0"/>
                  <v:stroke weight="0.213937007874016pt" color="#000000" joinstyle="round"/>
                  <v:imagedata o:title=""/>
                  <o:lock v:ext="edit" aspectratio="f"/>
                </v:line>
                <v:shape id="Freeform 91" o:spid="_x0000_s1026" o:spt="100" style="position:absolute;left:5792;top:417;height:345;width:2;" filled="f" stroked="t" coordsize="1,345" o:gfxdata="UEsDBAoAAAAAAIdO4kAAAAAAAAAAAAAAAAAEAAAAZHJzL1BLAwQUAAAACACHTuJAfKjBW7wAAADc&#10;AAAADwAAAGRycy9kb3ducmV2LnhtbEWPS4sCMRCE74L/IbSwF9GMOoqMRhFB2BX24APPzaSdGZ10&#10;hiQ+9t8bYcFjUVVfUfPl09TiTs5XlhUM+gkI4tzqigsFx8OmNwXhA7LG2jIp+CMPy0W7NcdM2wfv&#10;6L4PhYgQ9hkqKENoMil9XpJB37cNcfTO1hkMUbpCaoePCDe1HCbJRBqsOC6U2NC6pPy6vxkFq5q6&#10;9LPduWn6i6f0nGKOF1TqqzNIZiACPcMn/N/+1gpG4zG8z8QjIBc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yowVu8AAAA&#10;3AAAAA8AAAAAAAAAAQAgAAAAIgAAAGRycy9kb3ducmV2LnhtbFBLAQIUABQAAAAIAIdO4kAzLwWe&#10;OwAAADkAAAAQAAAAAAAAAAEAIAAAAAsBAABkcnMvc2hhcGV4bWwueG1sUEsFBgAAAAAGAAYAWwEA&#10;ALUDAAAAAA==&#10;" path="m0,344l0,0,1,0e">
                  <v:path o:connectlocs="0,762;0,418;2,418" o:connectangles="0,0,0"/>
                  <v:fill on="f" focussize="0,0"/>
                  <v:stroke weight="0.0111023622047244pt" color="#000000" joinstyle="round"/>
                  <v:imagedata o:title=""/>
                  <o:lock v:ext="edit" aspectratio="f"/>
                </v:shape>
                <v:shape id="Freeform 90" o:spid="_x0000_s1026" o:spt="100" style="position:absolute;left:7022;top:417;height:780;width:2;" filled="f" stroked="t" coordsize="1,780" o:gfxdata="UEsDBAoAAAAAAIdO4kAAAAAAAAAAAAAAAAAEAAAAZHJzL1BLAwQUAAAACACHTuJAFQSEg78AAADc&#10;AAAADwAAAGRycy9kb3ducmV2LnhtbEWPS4sCMRCE74L/IbSwN83oosho9KCI4uLBB+ixnbQzo5PO&#10;OMn6+vUbYcFjUVVfUcPxwxTiRpXLLStotyIQxInVOacKdttZsw/CeWSNhWVS8CQH41G9NsRY2zuv&#10;6bbxqQgQdjEqyLwvYyldkpFB17IlcfBOtjLog6xSqSu8B7gpZCeKetJgzmEhw5ImGSWXza9R0Ldy&#10;/1qul3o671wPq/PkmOPxR6mvRjsagPD08J/wf3uhFXx3e/A+E46AHP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UEhIO/&#10;AAAA3AAAAA8AAAAAAAAAAQAgAAAAIgAAAGRycy9kb3ducmV2LnhtbFBLAQIUABQAAAAIAIdO4kAz&#10;LwWeOwAAADkAAAAQAAAAAAAAAAEAIAAAAA4BAABkcnMvc2hhcGV4bWwueG1sUEsFBgAAAAAGAAYA&#10;WwEAALgDAAAAAA==&#10;" path="m0,779l0,0e">
                  <v:path o:connectlocs="0,1197;0,418;0,418" o:connectangles="0,0,0"/>
                  <v:fill on="f" focussize="0,0"/>
                  <v:stroke weight="0.0111023622047244pt" color="#000000" joinstyle="round"/>
                  <v:imagedata o:title=""/>
                  <o:lock v:ext="edit" aspectratio="f"/>
                </v:shape>
                <v:shape id="Freeform 89" o:spid="_x0000_s1026" o:spt="100" style="position:absolute;left:5792;top:503;height:2;width:1231;" filled="f" stroked="t" coordsize="1231,1" o:gfxdata="UEsDBAoAAAAAAIdO4kAAAAAAAAAAAAAAAAAEAAAAZHJzL1BLAwQUAAAACACHTuJA1Qoi67wAAADc&#10;AAAADwAAAGRycy9kb3ducmV2LnhtbEWPzW7CMBCE70i8g7VI3MChqC1KMRyqErg25NLbKt7GFvE6&#10;sl1+3h5XQuI4mplvNOvt1fXiTCFazwoW8wIEceu15U5Bc9zNViBiQtbYeyYFN4qw3YxHayy1v/A3&#10;nevUiQzhWKICk9JQShlbQw7j3A/E2fv1wWHKMnRSB7xkuOvlS1G8SYeW84LBgT4Ntaf6zynAqqlu&#10;dtXVlf/5suHU7E08LJWaThbFB4hE1/QMP9oHrWD5+g7/Z/IRkJs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UKIuu8AAAA&#10;3AAAAA8AAAAAAAAAAQAgAAAAIgAAAGRycy9kb3ducmV2LnhtbFBLAQIUABQAAAAIAIdO4kAzLwWe&#10;OwAAADkAAAAQAAAAAAAAAAEAIAAAAAsBAABkcnMvc2hhcGV4bWwueG1sUEsFBgAAAAAGAAYAWwEA&#10;ALUDAAAAAA==&#10;" path="m0,0l1231,0e">
                  <v:path o:connectlocs="0,0;1231,0;1231,0" o:connectangles="0,0,0"/>
                  <v:fill on="f" focussize="0,0"/>
                  <v:stroke weight="0.0129133858267717pt" color="#000000" joinstyle="round"/>
                  <v:imagedata o:title=""/>
                  <o:lock v:ext="edit" aspectratio="f"/>
                </v:shape>
                <v:shape id="Freeform 88" o:spid="_x0000_s1026" o:spt="100" style="position:absolute;left:5984;top:248;height:145;width:83;" filled="f" stroked="t" coordsize="83,145" o:gfxdata="UEsDBAoAAAAAAIdO4kAAAAAAAAAAAAAAAAAEAAAAZHJzL1BLAwQUAAAACACHTuJABzei6rQAAADc&#10;AAAADwAAAGRycy9kb3ducmV2LnhtbEVPvQrCMBDeBd8hnOBmUy2KVKOIIrhWXdyO5myKzaU00erb&#10;m0Fw/Pj+19u3bcSLOl87VjBNUhDEpdM1Vwqul+NkCcIHZI2NY1LwIQ/bzXCwxly7ngt6nUMlYgj7&#10;HBWYENpcSl8asugT1xJH7u46iyHCrpK6wz6G20bO0nQhLdYcGwy2tDdUPs5PqwB3/X2fPelWFI8W&#10;TX/gUy0zpcajaboCEegd/uKf+6QVZPO4Np6JR0Buvl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AHN6LqtAAAANwAAAAPAAAA&#10;AAAAAAEAIAAAACIAAABkcnMvZG93bnJldi54bWxQSwECFAAUAAAACACHTuJAMy8FnjsAAAA5AAAA&#10;EAAAAAAAAAABACAAAAADAQAAZHJzL3NoYXBleG1sLnhtbFBLBQYAAAAABgAGAFsBAACtAwAAAAA=&#10;" path="m12,0l77,0,41,55,59,55,71,62,77,68,83,89,83,103,77,123,65,137,47,144,30,144,12,137,6,130,0,117e">
                  <v:path o:connectlocs="12,249;77,249;41,304;59,304;71,311;77,317;83,338;83,352;77,372;65,386;47,393;30,393;12,386;6,379;0,366;0,366" o:connectangles="0,0,0,0,0,0,0,0,0,0,0,0,0,0,0,0"/>
                  <v:fill on="f" focussize="0,0"/>
                  <v:stroke weight="0.0115748031496063pt" color="#000000" joinstyle="round"/>
                  <v:imagedata o:title=""/>
                  <o:lock v:ext="edit" aspectratio="f"/>
                </v:shape>
                <v:shape id="Freeform 87" o:spid="_x0000_s1026" o:spt="100" style="position:absolute;left:6107;top:297;height:96;width:2;" filled="f" stroked="t" coordsize="1,96" o:gfxdata="UEsDBAoAAAAAAIdO4kAAAAAAAAAAAAAAAAAEAAAAZHJzL1BLAwQUAAAACACHTuJAdbhE178AAADc&#10;AAAADwAAAGRycy9kb3ducmV2LnhtbEWPT2sCMRTE7wW/Q3gFL6KJ1i66Gj2IBaGHols8PzfP3aWb&#10;lyWJf9pP3xSEHoeZ+Q2zXN9tK67kQ+NYw3ikQBCXzjRcafgs3oYzECEiG2wdk4ZvCrBe9Z6WmBt3&#10;4z1dD7ESCcIhRw11jF0uZShrshhGriNO3tl5izFJX0nj8ZbgtpUTpTJpseG0UGNHm5rKr8PFang3&#10;ze7nYzCYhqzIjoaVL47bk9b957FagIh0j//hR3tnNLy8zuHvTDoCcvU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W4RNe/&#10;AAAA3AAAAA8AAAAAAAAAAQAgAAAAIgAAAGRycy9kb3ducmV2LnhtbFBLAQIUABQAAAAIAIdO4kAz&#10;LwWeOwAAADkAAAAQAAAAAAAAAAEAIAAAAA4BAABkcnMvc2hhcGV4bWwueG1sUEsFBgAAAAAGAAYA&#10;WwEAALgDAAAAAA==&#10;" path="m0,0l0,96e">
                  <v:path o:connectlocs="0,297;0,393;0,393" o:connectangles="0,0,0"/>
                  <v:fill on="f" focussize="0,0"/>
                  <v:stroke weight="0.0111023622047244pt" color="#000000" joinstyle="round"/>
                  <v:imagedata o:title=""/>
                  <o:lock v:ext="edit" aspectratio="f"/>
                </v:shape>
                <v:shape id="Freeform 86" o:spid="_x0000_s1026" o:spt="100" style="position:absolute;left:6107;top:297;height:96;width:66;" filled="f" stroked="t" coordsize="66,96" o:gfxdata="UEsDBAoAAAAAAIdO4kAAAAAAAAAAAAAAAAAEAAAAZHJzL1BLAwQUAAAACACHTuJAZtO+2rwAAADc&#10;AAAADwAAAGRycy9kb3ducmV2LnhtbEVPy2rCQBTdF/yH4QruzEQFqamj+AQpXbSjhXZ3yVyTkMyd&#10;kBlff99ZCF0eznu+vNtGXKnzlWMFoyQFQZw7U3Gh4HTcD19B+IBssHFMCh7kYbnovcwxM+7GX3TV&#10;oRAxhH2GCsoQ2kxKn5dk0SeuJY7c2XUWQ4RdIU2HtxhuGzlO06m0WHFsKLGlTUl5rS9Wgf6tv/Xq&#10;/ccHbdafH3W9W8+2J6UG/VH6BiLQPfyLn+6DUTCZxvnxTDwCcvE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bTvtq8AAAA&#10;3AAAAA8AAAAAAAAAAQAgAAAAIgAAAGRycy9kb3ducmV2LnhtbFBLAQIUABQAAAAIAIdO4kAzLwWe&#10;OwAAADkAAAAQAAAAAAAAAAEAIAAAAAsBAABkcnMvc2hhcGV4bWwueG1sUEsFBgAAAAAGAAYAWwEA&#10;ALUDAAAAAA==&#10;" path="m0,27l18,7,29,0,47,0,59,7,65,27,65,96e">
                  <v:path o:connectlocs="0,324;18,304;29,297;47,297;59,304;65,324;65,393;65,393" o:connectangles="0,0,0,0,0,0,0,0"/>
                  <v:fill on="f" focussize="0,0"/>
                  <v:stroke weight="0.0116535433070866pt" color="#000000" joinstyle="round"/>
                  <v:imagedata o:title=""/>
                  <o:lock v:ext="edit" aspectratio="f"/>
                </v:shape>
                <v:shape id="Freeform 85" o:spid="_x0000_s1026" o:spt="100" style="position:absolute;left:6172;top:297;height:96;width:66;" filled="f" stroked="t" coordsize="66,96" o:gfxdata="UEsDBAoAAAAAAIdO4kAAAAAAAAAAAAAAAAAEAAAAZHJzL1BLAwQUAAAACACHTuJACZ8bQcAAAADc&#10;AAAADwAAAGRycy9kb3ducmV2LnhtbEWPQWvCQBSE74L/YXlCb80mLUiNrqK2hVJ60FVBb4/sMwnJ&#10;vg3Zrdp/3y0UPA4z8w0zW9xsKy7U+9qxgixJQRAXztRcKtjv3h9fQPiAbLB1TAp+yMNiPhzMMDfu&#10;ylu66FCKCGGfo4IqhC6X0hcVWfSJ64ijd3a9xRBlX0rT4zXCbSuf0nQsLdYcFyrsaF1R0ehvq0Cf&#10;moNefh590Ga1+Wqat9Xkda/UwyhLpyAC3cI9/N/+MAqexxn8nYlHQM5/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JnxtB&#10;wAAAANwAAAAPAAAAAAAAAAEAIAAAACIAAABkcnMvZG93bnJldi54bWxQSwECFAAUAAAACACHTuJA&#10;My8FnjsAAAA5AAAAEAAAAAAAAAABACAAAAAPAQAAZHJzL3NoYXBleG1sLnhtbFBLBQYAAAAABgAG&#10;AFsBAAC5AwAAAAA=&#10;" path="m0,27l17,7,29,0,47,0,59,7,65,27,65,96e">
                  <v:path o:connectlocs="0,324;17,304;29,297;47,297;59,304;65,324;65,393;65,393" o:connectangles="0,0,0,0,0,0,0,0"/>
                  <v:fill on="f" focussize="0,0"/>
                  <v:stroke weight="0.0116535433070866pt" color="#000000" joinstyle="round"/>
                  <v:imagedata o:title=""/>
                  <o:lock v:ext="edit" aspectratio="f"/>
                </v:shape>
                <v:shape id="Freeform 84" o:spid="_x0000_s1026" o:spt="100" style="position:absolute;left:6284;top:221;height:220;width:42;" filled="f" stroked="t" coordsize="42,220" o:gfxdata="UEsDBAoAAAAAAIdO4kAAAAAAAAAAAAAAAAAEAAAAZHJzL1BLAwQUAAAACACHTuJAMlGuA70AAADc&#10;AAAADwAAAGRycy9kb3ducmV2LnhtbEWP0YrCMBRE3xf2H8Jd8G1NW7VINcqyIKgPC1Y/4NJc22Jz&#10;U5rYql9vBGEfh5k5wyzXN9OInjpXW1YQjyMQxIXVNZcKTsfN9xyE88gaG8uk4E4O1qvPjyVm2g58&#10;oD73pQgQdhkqqLxvMyldUZFBN7YtcfDOtjPog+xKqTscAtw0MomiVBqsOSxU2NJvRcUlvxoFP3/D&#10;fd8+5od4l/NMu2I64dlWqdFXHC1AeLr5//C7vdUKJmkCrzPhCMjV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yUa4DvQAA&#10;ANwAAAAPAAAAAAAAAAEAIAAAACIAAABkcnMvZG93bnJldi54bWxQSwECFAAUAAAACACHTuJAMy8F&#10;njsAAAA5AAAAEAAAAAAAAAABACAAAAAMAQAAZHJzL3NoYXBleG1sLnhtbFBLBQYAAAAABgAGAFsB&#10;AAC2AwAAAAA=&#10;" path="m41,0l29,14,18,35,6,62,0,96,0,124,6,158,18,186,29,206,41,220e">
                  <v:path o:connectlocs="41,221;29,235;18,256;6,283;0,317;0,345;6,379;18,407;29,427;41,441;41,441" o:connectangles="0,0,0,0,0,0,0,0,0,0,0"/>
                  <v:fill on="f" focussize="0,0"/>
                  <v:stroke weight="0.0111811023622047pt" color="#000000" joinstyle="round"/>
                  <v:imagedata o:title=""/>
                  <o:lock v:ext="edit" aspectratio="f"/>
                </v:shape>
                <v:shape id="Freeform 83" o:spid="_x0000_s1026" o:spt="100" style="position:absolute;left:6379;top:248;height:145;width:30;" filled="f" stroked="t" coordsize="30,145" o:gfxdata="UEsDBAoAAAAAAIdO4kAAAAAAAAAAAAAAAAAEAAAAZHJzL1BLAwQUAAAACACHTuJAwWOXVrsAAADc&#10;AAAADwAAAGRycy9kb3ducmV2LnhtbEWPzYoCMRCE74LvEFrwphl3IMis0YM/IN7W3QfonbSTwUln&#10;SKLjvr1ZEDwWVfUVtdo8XCfuFGLrWcNiXoAgrr1pudHw832YLUHEhGyw80wa/ijCZj0erbAyfuAv&#10;up9TIzKEY4UabEp9JWWsLTmMc98TZ+/ig8OUZWikCThkuOvkR1Eo6bDlvGCxp62l+nq+OQ377VLh&#10;1dtfVke5Czyc9qU6aT2dLIpPEIke6R1+tY9GQ6lK+D+Tj4BcP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WOXVrsAAADc&#10;AAAADwAAAAAAAAABACAAAAAiAAAAZHJzL2Rvd25yZXYueG1sUEsBAhQAFAAAAAgAh07iQDMvBZ47&#10;AAAAOQAAABAAAAAAAAAAAQAgAAAACgEAAGRycy9zaGFwZXhtbC54bWxQSwUGAAAAAAYABgBbAQAA&#10;tAMAAAAA&#10;" path="m0,27l12,21,30,0,30,144e">
                  <v:path o:connectlocs="0,276;12,270;30,249;30,393;30,393" o:connectangles="0,0,0,0,0"/>
                  <v:fill on="f" focussize="0,0"/>
                  <v:stroke weight="0.0111811023622047pt" color="#000000" joinstyle="round"/>
                  <v:imagedata o:title=""/>
                  <o:lock v:ext="edit" aspectratio="f"/>
                </v:shape>
                <v:shape id="Freeform 82" o:spid="_x0000_s1026" o:spt="100" style="position:absolute;left:6485;top:379;height:14;width:12;" filled="f" stroked="t" coordsize="12,14" o:gfxdata="UEsDBAoAAAAAAIdO4kAAAAAAAAAAAAAAAAAEAAAAZHJzL1BLAwQUAAAACACHTuJAd0krlb4AAADc&#10;AAAADwAAAGRycy9kb3ducmV2LnhtbEWPy2rDMBBF94H+g5hCd4nkNpjgRjZJwJBCKeSxyHKwpraJ&#10;NTKWaqf9+qpQyPJyH4e7Lm62EyMNvnWsIVkoEMSVMy3XGs6ncr4C4QOywc4xafgmD0X+MFtjZtzE&#10;BxqPoRZxhH2GGpoQ+kxKXzVk0S9cTxy9TzdYDFEOtTQDTnHcdvJZqVRabDkSGuxp11B1PX7ZyH2b&#10;0q1fjqvkQ8lN915eyh+51/rpMVGvIALdwj38394bDS/pEv7OxCMg8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0krlb4A&#10;AADcAAAADwAAAAAAAAABACAAAAAiAAAAZHJzL2Rvd25yZXYueG1sUEsBAhQAFAAAAAgAh07iQDMv&#10;BZ47AAAAOQAAABAAAAAAAAAAAQAgAAAADQEAAGRycy9zaGFwZXhtbC54bWxQSwUGAAAAAAYABgBb&#10;AQAAtwMAAAAA&#10;" path="m6,0l0,7,6,14,12,7,6,0e">
                  <v:path o:connectlocs="6,379;0,386;6,393;12,386;6,379;6,379" o:connectangles="0,0,0,0,0,0"/>
                  <v:fill on="f" focussize="0,0"/>
                  <v:stroke weight="0.0118897637795276pt" color="#000000" joinstyle="round"/>
                  <v:imagedata o:title=""/>
                  <o:lock v:ext="edit" aspectratio="f"/>
                </v:shape>
                <v:shape id="Freeform 81" o:spid="_x0000_s1026" o:spt="100" style="position:absolute;left:6538;top:248;height:145;width:83;" filled="f" stroked="t" coordsize="83,145" o:gfxdata="UEsDBAoAAAAAAIdO4kAAAAAAAAAAAAAAAAAEAAAAZHJzL1BLAwQUAAAACACHTuJAJ1rHybcAAADc&#10;AAAADwAAAGRycy9kb3ducmV2LnhtbEWPwQrCMBBE74L/EFbwpqkWRapRRBG8Vr14W5q1KTab0kSr&#10;f28EweMwM2+Y1eZla/Gk1leOFUzGCQjiwumKSwWX82G0AOEDssbaMSl4k4fNut9bYaZdxzk9T6EU&#10;EcI+QwUmhCaT0heGLPqxa4ijd3OtxRBlW0rdYhfhtpbTJJlLixXHBYMN7QwV99PDKsBtd9ulD7rm&#10;+b1B0+35WMlUqeFgkixBBHqFf/jXPmoF6XwG3zPxCMj1B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nWsfJtwAAANwAAAAP&#10;AAAAAAAAAAEAIAAAACIAAABkcnMvZG93bnJldi54bWxQSwECFAAUAAAACACHTuJAMy8FnjsAAAA5&#10;AAAAEAAAAAAAAAABACAAAAAGAQAAZHJzL3NoYXBleG1sLnhtbFBLBQYAAAAABgAGAFsBAACwAwAA&#10;AAA=&#10;" path="m71,0l12,0,6,62,12,55,30,48,48,48,65,55,77,68,83,89,83,103,77,123,65,137,48,144,30,144,12,137,6,130,0,117,1,117e">
                  <v:path o:connectlocs="71,249;12,249;6,311;12,304;30,297;48,297;65,304;77,317;83,338;83,352;77,372;65,386;48,393;30,393;12,386;6,379;0,366;1,366" o:connectangles="0,0,0,0,0,0,0,0,0,0,0,0,0,0,0,0,0,0"/>
                  <v:fill on="f" focussize="0,0"/>
                  <v:stroke weight="0.0115748031496063pt" color="#000000" joinstyle="round"/>
                  <v:imagedata o:title=""/>
                  <o:lock v:ext="edit" aspectratio="f"/>
                </v:shape>
                <v:shape id="Freeform 80" o:spid="_x0000_s1026" o:spt="100" style="position:absolute;left:6662;top:297;height:96;width:2;" filled="f" stroked="t" coordsize="1,96" o:gfxdata="UEsDBAoAAAAAAIdO4kAAAAAAAAAAAAAAAAAEAAAAZHJzL1BLAwQUAAAACACHTuJAyksaGL4AAADc&#10;AAAADwAAAGRycy9kb3ducmV2LnhtbEWPT2sCMRTE7wW/Q3iCF9FELUG2Rg+iIPQgdcXz6+Z1d+nm&#10;ZUnin/bTN4VCj8PM/IZZbR6uEzcKsfVsYDZVIIgrb1uuDZzL/WQJIiZki51nMvBFETbrwdMKC+vv&#10;/Ea3U6pFhnAs0ECTUl9IGauGHMap74mz9+GDw5RlqKUNeM9w18m5Ulo6bDkvNNjTtqHq83R1Bl5t&#10;e/g+jsfPUZf6YlmF8rJ7N2Y0nKkXEIke6T/81z5YAwut4fdMPgJy/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ksaGL4A&#10;AADcAAAADwAAAAAAAAABACAAAAAiAAAAZHJzL2Rvd25yZXYueG1sUEsBAhQAFAAAAAgAh07iQDMv&#10;BZ47AAAAOQAAABAAAAAAAAAAAQAgAAAADQEAAGRycy9zaGFwZXhtbC54bWxQSwUGAAAAAAYABgBb&#10;AQAAtwMAAAAA&#10;" path="m0,0l0,96e">
                  <v:path o:connectlocs="0,297;0,393;0,393" o:connectangles="0,0,0"/>
                  <v:fill on="f" focussize="0,0"/>
                  <v:stroke weight="0.0111023622047244pt" color="#000000" joinstyle="round"/>
                  <v:imagedata o:title=""/>
                  <o:lock v:ext="edit" aspectratio="f"/>
                </v:shape>
                <v:shape id="Freeform 79" o:spid="_x0000_s1026" o:spt="100" style="position:absolute;left:6662;top:297;height:96;width:66;" filled="f" stroked="t" coordsize="66,96" o:gfxdata="UEsDBAoAAAAAAIdO4kAAAAAAAAAAAAAAAAAEAAAAZHJzL1BLAwQUAAAACACHTuJA6Tomrr8AAADc&#10;AAAADwAAAGRycy9kb3ducmV2LnhtbEWPQWsCMRSE70L/Q3gFb5q1gq2rUWq1UMSDjQp6e2xed5fd&#10;vCybVO2/NwXB4zAz3zDT+dXW4kytLx0rGPQTEMSZMyXnCva7z94bCB+QDdaOScEfeZjPnjpTTI27&#10;8DeddchFhLBPUUERQpNK6bOCLPq+a4ij9+NaiyHKNpemxUuE21q+JMlIWiw5LhTY0EdBWaV/rQJ9&#10;qg76fX30QZvFdlNVq8V4uVeq+zxIJiACXcMjfG9/GQXD0Sv8n4lHQM5u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k6Jq6/&#10;AAAA3AAAAA8AAAAAAAAAAQAgAAAAIgAAAGRycy9kb3ducmV2LnhtbFBLAQIUABQAAAAIAIdO4kAz&#10;LwWeOwAAADkAAAAQAAAAAAAAAAEAIAAAAA4BAABkcnMvc2hhcGV4bWwueG1sUEsFBgAAAAAGAAYA&#10;WwEAALgDAAAAAA==&#10;" path="m0,27l18,7,30,0,47,0,59,7,65,27,65,96e">
                  <v:path o:connectlocs="0,324;18,304;30,297;47,297;59,304;65,324;65,393;65,393" o:connectangles="0,0,0,0,0,0,0,0"/>
                  <v:fill on="f" focussize="0,0"/>
                  <v:stroke weight="0.0116535433070866pt" color="#000000" joinstyle="round"/>
                  <v:imagedata o:title=""/>
                  <o:lock v:ext="edit" aspectratio="f"/>
                </v:shape>
                <v:shape id="Freeform 78" o:spid="_x0000_s1026" o:spt="100" style="position:absolute;left:6727;top:297;height:96;width:66;" filled="f" stroked="t" coordsize="66,96" o:gfxdata="UEsDBAoAAAAAAIdO4kAAAAAAAAAAAAAAAAAEAAAAZHJzL1BLAwQUAAAACACHTuJAmKWy3LwAAADc&#10;AAAADwAAAGRycy9kb3ducmV2LnhtbEVPy2rCQBTdF/yH4QruzEQFqamj+AQpXbSjhXZ3yVyTkMyd&#10;kBlff99ZCF0eznu+vNtGXKnzlWMFoyQFQZw7U3Gh4HTcD19B+IBssHFMCh7kYbnovcwxM+7GX3TV&#10;oRAxhH2GCsoQ2kxKn5dk0SeuJY7c2XUWQ4RdIU2HtxhuGzlO06m0WHFsKLGlTUl5rS9Wgf6tv/Xq&#10;/ccHbdafH3W9W8+2J6UG/VH6BiLQPfyLn+6DUTCZxrXxTDwCcvE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ilsty8AAAA&#10;3AAAAA8AAAAAAAAAAQAgAAAAIgAAAGRycy9kb3ducmV2LnhtbFBLAQIUABQAAAAIAIdO4kAzLwWe&#10;OwAAADkAAAAQAAAAAAAAAAEAIAAAAAsBAABkcnMvc2hhcGV4bWwueG1sUEsFBgAAAAAGAAYAWwEA&#10;ALUDAAAAAA==&#10;" path="m0,27l18,7,30,0,47,0,59,7,65,27,65,96e">
                  <v:path o:connectlocs="0,324;18,304;30,297;47,297;59,304;65,324;65,393;65,393" o:connectangles="0,0,0,0,0,0,0,0"/>
                  <v:fill on="f" focussize="0,0"/>
                  <v:stroke weight="0.0116535433070866pt" color="#000000" joinstyle="round"/>
                  <v:imagedata o:title=""/>
                  <o:lock v:ext="edit" aspectratio="f"/>
                </v:shape>
                <v:shape id="Freeform 77" o:spid="_x0000_s1026" o:spt="100" style="position:absolute;left:6833;top:221;height:220;width:42;" filled="f" stroked="t" coordsize="42,220" o:gfxdata="UEsDBAoAAAAAAIdO4kAAAAAAAAAAAAAAAAAEAAAAZHJzL1BLAwQUAAAACACHTuJAPPU8cr4AAADc&#10;AAAADwAAAGRycy9kb3ducmV2LnhtbEWP0WrCQBRE3wv+w3ILvtVNGhWNriKFQuxDwegHXLLXJDR7&#10;N2S3JvHrXaHQx2FmzjDb/WAacaPO1ZYVxLMIBHFhdc2lgsv5820FwnlkjY1lUjCSg/1u8rLFVNue&#10;T3TLfSkChF2KCirv21RKV1Rk0M1sSxy8q+0M+iC7UuoO+wA3jXyPoqU0WHNYqLClj4qKn/zXKDh8&#10;9+NXe1+d4mPOC+2KecKLTKnpaxxtQHga/H/4r51pBclyDc8z4QjI3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PU8cr4A&#10;AADcAAAADwAAAAAAAAABACAAAAAiAAAAZHJzL2Rvd25yZXYueG1sUEsBAhQAFAAAAAgAh07iQDMv&#10;BZ47AAAAOQAAABAAAAAAAAAAAQAgAAAADQEAAGRycy9zaGFwZXhtbC54bWxQSwUGAAAAAAYABgBb&#10;AQAAtwMAAAAA&#10;" path="m0,0l12,14,24,35,36,62,42,96,42,124,36,158,24,186,12,206,0,220,1,220e">
                  <v:path o:connectlocs="0,221;12,235;24,256;36,283;42,317;42,345;36,379;24,407;12,427;0,441;1,441" o:connectangles="0,0,0,0,0,0,0,0,0,0,0"/>
                  <v:fill on="f" focussize="0,0"/>
                  <v:stroke weight="0.0111811023622047pt" color="#000000" joinstyle="round"/>
                  <v:imagedata o:title=""/>
                  <o:lock v:ext="edit" aspectratio="f"/>
                </v:shape>
                <v:shape id="Freeform 76" o:spid="_x0000_s1026" o:spt="100" style="position:absolute;left:5758;top:455;height:96;width:75;" fillcolor="#000000" filled="t" stroked="f" coordsize="75,96" o:gfxdata="UEsDBAoAAAAAAIdO4kAAAAAAAAAAAAAAAAAEAAAAZHJzL1BLAwQUAAAACACHTuJANehGbbwAAADc&#10;AAAADwAAAGRycy9kb3ducmV2LnhtbEVPTWvCQBC9C/6HZQpepO6qUEvq6kEQ25M2CtLbkJ0mabMz&#10;IbuN1l/fPRQ8Pt73cn31jeqpC7WwhenEgCIuxNVcWjgdt4/PoEJEdtgIk4VfCrBeDQdLzJxc+J36&#10;PJYqhXDI0EIVY5tpHYqKPIaJtMSJ+5TOY0ywK7Xr8JLCfaNnxjxpjzWnhgpb2lRUfOc/3sLhLPlY&#10;+g/5MufD26mIN9zvbtaOHqbmBVSka7yL/92vzsJ8keanM+kI6NU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XoRm28AAAA&#10;3AAAAA8AAAAAAAAAAQAgAAAAIgAAAGRycy9kb3ducmV2LnhtbFBLAQIUABQAAAAIAIdO4kAzLwWe&#10;OwAAADkAAAAQAAAAAAAAAAEAIAAAAAsBAABkcnMvc2hhcGV4bWwueG1sUEsFBgAAAAAGAAYAWwEA&#10;ALUDAAAAAA==&#10;" path="m66,0l0,96,74,9,66,0xe">
                  <v:path o:connectlocs="66,456;0,552;74,465;66,456" o:connectangles="0,0,0,0"/>
                  <v:fill on="t" focussize="0,0"/>
                  <v:stroke on="f"/>
                  <v:imagedata o:title=""/>
                  <o:lock v:ext="edit" aspectratio="f"/>
                </v:shape>
                <v:shape id="Freeform 75" o:spid="_x0000_s1026" o:spt="100" style="position:absolute;left:5751;top:455;height:96;width:75;" fillcolor="#000000" filled="t" stroked="f" coordsize="75,96" o:gfxdata="UEsDBAoAAAAAAIdO4kAAAAAAAAAAAAAAAAAEAAAAZHJzL1BLAwQUAAAACACHTuJAWqTj9sAAAADc&#10;AAAADwAAAGRycy9kb3ducmV2LnhtbEWPT0vDQBTE74LfYXmCF2l3o1Al7bYHQdRTayyU3h7Z1yRt&#10;9r2QXdM/n94VCh6HmfkNM1ucfKsG6kMjbCEbG1DEpbiGKwvr77fRC6gQkR22wmThTAEW89ubGeZO&#10;jvxFQxErlSAccrRQx9jlWoeyJo9hLB1x8nbSe4xJ9pV2PR4T3Lf60ZiJ9thwWqixo9eaykPx4y2s&#10;NlI8yLCVvdmsPtdlvODy/WLt/V1mpqAineJ/+Nr+cBaenjP4O5OOgJ7/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apOP2&#10;wAAAANwAAAAPAAAAAAAAAAEAIAAAACIAAABkcnMvZG93bnJldi54bWxQSwECFAAUAAAACACHTuJA&#10;My8FnjsAAAA5AAAAEAAAAAAAAAABACAAAAAPAQAAZHJzL3NoYXBleG1sLnhtbFBLBQYAAAAABgAG&#10;AFsBAAC5AwAAAAA=&#10;" path="m74,0l0,87,8,96,74,0xe">
                  <v:path o:connectlocs="74,456;0,543;8,552;74,456" o:connectangles="0,0,0,0"/>
                  <v:fill on="t" focussize="0,0"/>
                  <v:stroke on="f"/>
                  <v:imagedata o:title=""/>
                  <o:lock v:ext="edit" aspectratio="f"/>
                </v:shape>
                <v:shape id="Freeform 74" o:spid="_x0000_s1026" o:spt="100" style="position:absolute;left:5751;top:456;height:96;width:83;" filled="f" stroked="t" coordsize="83,96" o:gfxdata="UEsDBAoAAAAAAIdO4kAAAAAAAAAAAAAAAAAEAAAAZHJzL1BLAwQUAAAACACHTuJAGtmh2r0AAADc&#10;AAAADwAAAGRycy9kb3ducmV2LnhtbEWPQWsCMRSE7wX/Q3hCbzVRoa2r0YOwqKdi6sXbc/PcXdy8&#10;LJu4bv+9KRR6HGbmG2a1GVwjeupC7VnDdKJAEBfe1lxqOH3nb58gQkS22HgmDT8UYLMevawws/7B&#10;R+pNLEWCcMhQQxVjm0kZioocholviZN39Z3DmGRXStvhI8FdI2dKvUuHNaeFClvaVlTczN1p+No1&#10;l37I57k5mkV/PhgVHZ60fh1P1RJEpCH+h//ae6th/jGD3zPpCMj1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a2aHavQAA&#10;ANwAAAAPAAAAAAAAAAEAIAAAACIAAABkcnMvZG93bnJldi54bWxQSwECFAAUAAAACACHTuJAMy8F&#10;njsAAAA5AAAAEAAAAAAAAAABACAAAAAMAQAAZHJzL3NoYXBleG1sLnhtbFBLBQYAAAAABgAGAFsB&#10;AAC2AwAAAAA=&#10;" path="m82,9l75,0,0,87,8,96,82,9e">
                  <v:path o:connectlocs="82,465;75,456;0,543;8,552;82,465" o:connectangles="0,0,0,0,0"/>
                  <v:fill on="f" focussize="0,0"/>
                  <v:stroke weight="0.0118897637795276pt" color="#000000" joinstyle="round"/>
                  <v:imagedata o:title=""/>
                  <o:lock v:ext="edit" aspectratio="f"/>
                </v:shape>
                <v:shape id="Freeform 73" o:spid="_x0000_s1026" o:spt="100" style="position:absolute;left:6981;top:455;height:96;width:75;" fillcolor="#000000" filled="t" stroked="f" coordsize="75,96" o:gfxdata="UEsDBAoAAAAAAIdO4kAAAAAAAAAAAAAAAAAEAAAAZHJzL1BLAwQUAAAACACHTuJAxTrYGr8AAADc&#10;AAAADwAAAGRycy9kb3ducmV2LnhtbEWPQWvCQBSE7wX/w/KEXkrdtUIt0dWDUGpPtVEQb4/sa5Ka&#10;fS9k12j99d1CweMwM98w8+XFN6qnLtTCFsYjA4q4EFdzaWG3fX18ARUissNGmCz8UIDlYnA3x8zJ&#10;mT+pz2OpEoRDhhaqGNtM61BU5DGMpCVO3pd0HmOSXaldh+cE941+MuZZe6w5LVTY0qqi4pifvIXN&#10;XvIH6Q/ybfab910Rr/jxdrX2fjg2M1CRLvEW/m+vnYXJdAJ/Z9IR0It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U62Bq/&#10;AAAA3AAAAA8AAAAAAAAAAQAgAAAAIgAAAGRycy9kb3ducmV2LnhtbFBLAQIUABQAAAAIAIdO4kAz&#10;LwWeOwAAADkAAAAQAAAAAAAAAAEAIAAAAA4BAABkcnMvc2hhcGV4bWwueG1sUEsFBgAAAAAGAAYA&#10;WwEAALgDAAAAAA==&#10;" path="m74,0l0,87,8,96,74,0xe">
                  <v:path o:connectlocs="74,456;0,543;8,552;74,456" o:connectangles="0,0,0,0"/>
                  <v:fill on="t" focussize="0,0"/>
                  <v:stroke on="f"/>
                  <v:imagedata o:title=""/>
                  <o:lock v:ext="edit" aspectratio="f"/>
                </v:shape>
                <v:shape id="Freeform 72" o:spid="_x0000_s1026" o:spt="100" style="position:absolute;left:6989;top:455;height:96;width:75;" fillcolor="#000000" filled="t" stroked="f" coordsize="75,96" o:gfxdata="UEsDBAoAAAAAAIdO4kAAAAAAAAAAAAAAAAAEAAAAZHJzL1BLAwQUAAAACACHTuJAStNAbsAAAADc&#10;AAAADwAAAGRycy9kb3ducmV2LnhtbEWPQWvCQBSE74X+h+UVvBTd1ZYq0dVDobQ9VaMg3h7Z1yRt&#10;9r2Q3Ubrr3eFQo/DzHzDLFYn36ieulALWxiPDCjiQlzNpYXd9mU4AxUissNGmCz8UoDV8vZmgZmT&#10;I2+oz2OpEoRDhhaqGNtM61BU5DGMpCVO3qd0HmOSXaldh8cE942eGPOkPdacFips6bmi4jv/8RbW&#10;e8nvpT/Il9mv33dFPOPH69nawd3YzEFFOsX/8F/7zVl4mD7C9Uw6Anp5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K00Bu&#10;wAAAANwAAAAPAAAAAAAAAAEAIAAAACIAAABkcnMvZG93bnJldi54bWxQSwECFAAUAAAACACHTuJA&#10;My8FnjsAAAA5AAAAEAAAAAAAAAABACAAAAAPAQAAZHJzL3NoYXBleG1sLnhtbFBLBQYAAAAABgAG&#10;AFsBAAC5AwAAAAA=&#10;" path="m66,0l0,96,74,9,66,0xe">
                  <v:path o:connectlocs="66,456;0,552;74,465;66,456" o:connectangles="0,0,0,0"/>
                  <v:fill on="t" focussize="0,0"/>
                  <v:stroke on="f"/>
                  <v:imagedata o:title=""/>
                  <o:lock v:ext="edit" aspectratio="f"/>
                </v:shape>
                <v:shape id="Freeform 71" o:spid="_x0000_s1026" o:spt="100" style="position:absolute;left:6981;top:456;height:96;width:83;" filled="f" stroked="t" coordsize="83,96" o:gfxdata="UEsDBAoAAAAAAIdO4kAAAAAAAAAAAAAAAAAEAAAAZHJzL1BLAwQUAAAACACHTuJAlTA5rr4AAADc&#10;AAAADwAAAGRycy9kb3ducmV2LnhtbEWPwW7CMBBE75X4B2uReis2RdCSYjggRS0nhMultyXeJhHx&#10;OordkP49RkLiOJqZN5rVZnCN6KkLtWcN04kCQVx4W3Op4fidv7yDCBHZYuOZNPxTgM169LTCzPoL&#10;H6g3sRQJwiFDDVWMbSZlKCpyGCa+JU7er+8cxiS7UtoOLwnuGvmq1EI6rDktVNjStqLibP6chv1n&#10;c+qHfJabg1n2PzujosOj1s/jqfoAEWmIj/C9/WU1zN7mcDuTjoBcX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TA5rr4A&#10;AADcAAAADwAAAAAAAAABACAAAAAiAAAAZHJzL2Rvd25yZXYueG1sUEsBAhQAFAAAAAgAh07iQDMv&#10;BZ47AAAAOQAAABAAAAAAAAAAAQAgAAAADQEAAGRycy9zaGFwZXhtbC54bWxQSwUGAAAAAAYABgBb&#10;AQAAtwMAAAAA&#10;" path="m0,87l8,96,82,9,74,0,0,87e">
                  <v:path o:connectlocs="0,543;8,552;82,465;74,456;0,543" o:connectangles="0,0,0,0,0"/>
                  <v:fill on="f" focussize="0,0"/>
                  <v:stroke weight="0.0118897637795276pt" color="#000000" joinstyle="round"/>
                  <v:imagedata o:title=""/>
                  <o:lock v:ext="edit" aspectratio="f"/>
                </v:shape>
                <v:line id="Line 70" o:spid="_x0000_s1026" o:spt="20" style="position:absolute;left:7023;top:504;height:0;width:0;" filled="f" stroked="t" coordsize="21600,21600" o:gfxdata="UEsDBAoAAAAAAIdO4kAAAAAAAAAAAAAAAAAEAAAAZHJzL1BLAwQUAAAACACHTuJAMvUiTbsAAADc&#10;AAAADwAAAGRycy9kb3ducmV2LnhtbEWPS6vCMBSE94L/IRzh7jTVKz6q0YVywa1PcHdsjm2xOSlJ&#10;1PrvbwTB5TAz3zDzZWMq8SDnS8sK+r0EBHFmdcm5gsP+rzsB4QOyxsoyKXiRh+Wi3Zpjqu2Tt/TY&#10;hVxECPsUFRQh1KmUPivIoO/Zmjh6V+sMhihdLrXDZ4SbSg6SZCQNlhwXCqxpVVB2292Ngslwc/TV&#10;KV+/yiY4f95fpttsrNRPp5/MQARqwjf8aW+0gt/xCN5n4hGQi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vUiTbsAAADc&#10;AAAADwAAAAAAAAABACAAAAAiAAAAZHJzL2Rvd25yZXYueG1sUEsBAhQAFAAAAAgAh07iQDMvBZ47&#10;AAAAOQAAABAAAAAAAAAAAQAgAAAACgEAAGRycy9zaGFwZXhtbC54bWxQSwUGAAAAAAYABgBbAQAA&#10;tAMAAAAA&#10;">
                  <v:fill on="f" focussize="0,0"/>
                  <v:stroke weight="0.0128346456692913pt" color="#000000" joinstyle="round"/>
                  <v:imagedata o:title=""/>
                  <o:lock v:ext="edit" aspectratio="f"/>
                </v:line>
                <v:line id="Line 69" o:spid="_x0000_s1026" o:spt="20" style="position:absolute;left:7023;top:1227;height:0;width:0;" filled="f" stroked="t" coordsize="21600,21600" o:gfxdata="UEsDBAoAAAAAAIdO4kAAAAAAAAAAAAAAAAAEAAAAZHJzL1BLAwQUAAAACACHTuJAXbmH1r4AAADc&#10;AAAADwAAAGRycy9kb3ducmV2LnhtbEWPQWvCQBSE74X+h+UJvdWNbWk0unpoEXI10UJvz+wzCWbf&#10;ht01xn/fFYQeh5n5hlltRtOJgZxvLSuYTRMQxJXVLdcK9uX2dQ7CB2SNnWVScCMPm/Xz0wozba+8&#10;o6EItYgQ9hkqaELoMyl91ZBBP7U9cfRO1hkMUbpaaofXCDedfEuST2mw5bjQYE9fDVXn4mIUzD/y&#10;g+9+6u9bOwbnf8vjYlelSr1MZskSRKAx/Icf7VwreE9TuJ+JR0Cu/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bmH1r4A&#10;AADcAAAADwAAAAAAAAABACAAAAAiAAAAZHJzL2Rvd25yZXYueG1sUEsBAhQAFAAAAAgAh07iQDMv&#10;BZ47AAAAOQAAABAAAAAAAAAAAQAgAAAADQEAAGRycy9zaGFwZXhtbC54bWxQSwUGAAAAAAYABgBb&#10;AQAAtwMAAAAA&#10;">
                  <v:fill on="f" focussize="0,0"/>
                  <v:stroke weight="0.0128346456692913pt" color="#000000" joinstyle="round"/>
                  <v:imagedata o:title=""/>
                  <o:lock v:ext="edit" aspectratio="f"/>
                </v:line>
                <v:line id="Line 68" o:spid="_x0000_s1026" o:spt="20" style="position:absolute;left:5792;top:792;height:0;width:1;" filled="f" stroked="t" coordsize="21600,21600" o:gfxdata="UEsDBAoAAAAAAIdO4kAAAAAAAAAAAAAAAAAEAAAAZHJzL1BLAwQUAAAACACHTuJALCYTpLgAAADc&#10;AAAADwAAAGRycy9kb3ducmV2LnhtbEVPyarCMBTdP/AfwhXcPVMHHKrRhSK4dQR31+baFpubkkSt&#10;f28WgsvDmefLxlTiSc6XlhX0ugkI4szqknMFx8PmfwLCB2SNlWVS8CYPy0Xrb46pti/e0XMfchFD&#10;2KeooAihTqX0WUEGfdfWxJG7WWcwROhyqR2+YripZD9JRtJgybGhwJpWBWX3/cMomAy3J1+d8/W7&#10;bILzl8N1usvGSnXavWQGIlATfuKve6sVDMZxbTwTj4BcfAB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LCYTpLgAAADcAAAA&#10;DwAAAAAAAAABACAAAAAiAAAAZHJzL2Rvd25yZXYueG1sUEsBAhQAFAAAAAgAh07iQDMvBZ47AAAA&#10;OQAAABAAAAAAAAAAAQAgAAAABwEAAGRycy9zaGFwZXhtbC54bWxQSwUGAAAAAAYABgBbAQAAsQMA&#10;AAAA&#10;">
                  <v:fill on="f" focussize="0,0"/>
                  <v:stroke weight="0.0128346456692913pt" color="#000000" joinstyle="round"/>
                  <v:imagedata o:title=""/>
                  <o:lock v:ext="edit" aspectratio="f"/>
                </v:line>
                <v:line id="Line 67" o:spid="_x0000_s1026" o:spt="20" style="position:absolute;left:5792;top:1127;height:0;width:398;" filled="f" stroked="t" coordsize="21600,21600" o:gfxdata="UEsDBAoAAAAAAIdO4kAAAAAAAAAAAAAAAAAEAAAAZHJzL1BLAwQUAAAACACHTuJApzmpu8AAAADc&#10;AAAADwAAAGRycy9kb3ducmV2LnhtbEWPQWvCQBSE70L/w/IKvUjdqK3V1FWkRe0x2h709sg+s6HZ&#10;tyG7NebfuwXB4zAz3zDz5cVW4kyNLx0rGA4SEMS50yUXCn6+189TED4ga6wck4KOPCwXD705ptq1&#10;vKPzPhQiQtinqMCEUKdS+tyQRT9wNXH0Tq6xGKJsCqkbbCPcVnKUJBNpseS4YLCmD0P57/7PKti0&#10;R/zc+kM56ncv1erQrTLzmin19DhM3kEEuoR7+Nb+0grGbzP4PxOPgFxc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nOam7&#10;wAAAANwAAAAPAAAAAAAAAAEAIAAAACIAAABkcnMvZG93bnJldi54bWxQSwECFAAUAAAACACHTuJA&#10;My8FnjsAAAA5AAAAEAAAAAAAAAABACAAAAAPAQAAZHJzL3NoYXBleG1sLnhtbFBLBQYAAAAABgAG&#10;AFsBAAC5AwAAAAA=&#10;">
                  <v:fill on="f" focussize="0,0"/>
                  <v:stroke weight="0.248346456692913pt" color="#000000" joinstyle="round"/>
                  <v:imagedata o:title=""/>
                  <o:lock v:ext="edit" aspectratio="f"/>
                </v:line>
                <v:line id="Line 66" o:spid="_x0000_s1026" o:spt="20" style="position:absolute;left:5792;top:1127;height:0;width:398;" filled="f" stroked="t" coordsize="21600,21600" o:gfxdata="UEsDBAoAAAAAAIdO4kAAAAAAAAAAAAAAAAAEAAAAZHJzL1BLAwQUAAAACACHTuJAA9ZwAb0AAADc&#10;AAAADwAAAGRycy9kb3ducmV2LnhtbEVPu27CMBTdkfoP1q3UBYGTQCuUYhBq1cJIKQPdruLbOGp8&#10;HcVuHn+PByTGo/Nebwdbi45aXzlWkM4TEMSF0xWXCs7fH7MVCB+QNdaOScFIHrabh8kac+16/qLu&#10;FEoRQ9jnqMCE0ORS+sKQRT93DXHkfl1rMUTYllK32MdwW8ssSV6kxYpjg8GG3gwVf6d/q+Cz/8H3&#10;vb9U2XRc1rvLuDua56NST49p8goi0BDu4pv7oBUsVnF+PBOPgNxc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D1nABvQAA&#10;ANwAAAAPAAAAAAAAAAEAIAAAACIAAABkcnMvZG93bnJldi54bWxQSwECFAAUAAAACACHTuJAMy8F&#10;njsAAAA5AAAAEAAAAAAAAAABACAAAAAMAQAAZHJzL3NoYXBleG1sLnhtbFBLBQYAAAAABgAGAFsB&#10;AAC2AwAAAAA=&#10;">
                  <v:fill on="f" focussize="0,0"/>
                  <v:stroke weight="0.248346456692913pt" color="#000000" joinstyle="round"/>
                  <v:imagedata o:title=""/>
                  <o:lock v:ext="edit" aspectratio="f"/>
                </v:line>
                <v:line id="Line 65" o:spid="_x0000_s1026" o:spt="20" style="position:absolute;left:5792;top:1127;height:0;width:398;" filled="f" stroked="t" coordsize="21600,21600" o:gfxdata="UEsDBAoAAAAAAIdO4kAAAAAAAAAAAAAAAAAEAAAAZHJzL1BLAwQUAAAACACHTuJAoZQNerwAAADc&#10;AAAADwAAAGRycy9kb3ducmV2LnhtbEWPQYvCMBSE7wv+h/AEb9u0LkitRg+C0uOqq+dH82yrzUtp&#10;Uqv76zeCsMdhZr5hluuHacSdOldbVpBEMQjiwuqaSwU/x+1nCsJ5ZI2NZVLwJAfr1ehjiZm2A+/p&#10;fvClCBB2GSqovG8zKV1RkUEX2ZY4eBfbGfRBdqXUHQ4Bbho5jeOZNFhzWKiwpU1Fxe3QGwWWTD9P&#10;f/Pva39q8r0rz/Ww2yk1GSfxAoSnh/8Pv9u5VvCVJvA6E46AXP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GUDXq8AAAA&#10;3AAAAA8AAAAAAAAAAQAgAAAAIgAAAGRycy9kb3ducmV2LnhtbFBLAQIUABQAAAAIAIdO4kAzLwWe&#10;OwAAADkAAAAQAAAAAAAAAAEAIAAAAAsBAABkcnMvc2hhcGV4bWwueG1sUEsFBgAAAAAGAAYAWwEA&#10;ALUDAAAAAA==&#10;">
                  <v:fill on="f" focussize="0,0"/>
                  <v:stroke weight="0.261259842519685pt" color="#000000" joinstyle="round"/>
                  <v:imagedata o:title=""/>
                  <o:lock v:ext="edit" aspectratio="f"/>
                </v:line>
                <v:line id="Line 64" o:spid="_x0000_s1026" o:spt="20" style="position:absolute;left:5792;top:1607;height:0;width:398;" filled="f" stroked="t" coordsize="21600,21600" o:gfxdata="UEsDBAoAAAAAAIdO4kAAAAAAAAAAAAAAAAAEAAAAZHJzL1BLAwQUAAAACACHTuJAum1PAL4AAADc&#10;AAAADwAAAGRycy9kb3ducmV2LnhtbEWPQWsCMRSE70L/Q3iF3rqJFoqsRlnUQnusiuLtuXluFjcv&#10;yyZdt/31TaHgcZiZb5j5cnCN6KkLtWcN40yBIC69qbnSsN+9PU9BhIhssPFMGr4pwHLxMJpjbvyN&#10;P6nfxkokCIccNdgY21zKUFpyGDLfEifv4juHMcmukqbDW4K7Rk6UepUOa04LFltaWSqv2y+nYWeK&#10;j3Nx6eXhx9rjsC7UqT1ttH56HKsZiEhDvIf/2+9Gw8t0An9n0hGQi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m1PAL4A&#10;AADcAAAADwAAAAAAAAABACAAAAAiAAAAZHJzL2Rvd25yZXYueG1sUEsBAhQAFAAAAAgAh07iQDMv&#10;BZ47AAAAOQAAABAAAAAAAAAAAQAgAAAADQEAAGRycy9zaGFwZXhtbC54bWxQSwUGAAAAAAYABgBb&#10;AQAAtwMAAAAA&#10;">
                  <v:fill on="f" focussize="0,0"/>
                  <v:stroke weight="0.235590551181102pt" color="#000000" joinstyle="round"/>
                  <v:imagedata o:title=""/>
                  <o:lock v:ext="edit" aspectratio="f"/>
                </v:line>
                <v:line id="Line 63" o:spid="_x0000_s1026" o:spt="20" style="position:absolute;left:5792;top:1607;height:0;width:398;" filled="f" stroked="t" coordsize="21600,21600" o:gfxdata="UEsDBAoAAAAAAIdO4kAAAAAAAAAAAAAAAAAEAAAAZHJzL1BLAwQUAAAACACHTuJA1SHqm74AAADc&#10;AAAADwAAAGRycy9kb3ducmV2LnhtbEWPT2sCMRTE7wW/Q3hCbzWxgshqlEUttEf/0OLtuXluFjcv&#10;yyZdt/30Rij0OMzMb5jFqne16KgNlWcN45ECQVx4U3Gp4Xh4e5mBCBHZYO2ZNPxQgNVy8LTAzPgb&#10;76jbx1IkCIcMNdgYm0zKUFhyGEa+IU7exbcOY5JtKU2LtwR3tXxVaiodVpwWLDa0tlRc999Ow8Hk&#10;H+f80snPX2u/+k2uTs1pq/XzcKzmICL18T/81343GiazCTzOpCMgl3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1SHqm74A&#10;AADcAAAADwAAAAAAAAABACAAAAAiAAAAZHJzL2Rvd25yZXYueG1sUEsBAhQAFAAAAAgAh07iQDMv&#10;BZ47AAAAOQAAABAAAAAAAAAAAQAgAAAADQEAAGRycy9zaGFwZXhtbC54bWxQSwUGAAAAAAYABgBb&#10;AQAAtwMAAAAA&#10;">
                  <v:fill on="f" focussize="0,0"/>
                  <v:stroke weight="0.235590551181102pt" color="#000000" joinstyle="round"/>
                  <v:imagedata o:title=""/>
                  <o:lock v:ext="edit" aspectratio="f"/>
                </v:line>
                <v:line id="Line 62" o:spid="_x0000_s1026" o:spt="20" style="position:absolute;left:5792;top:1607;height:0;width:398;" filled="f" stroked="t" coordsize="21600,21600" o:gfxdata="UEsDBAoAAAAAAIdO4kAAAAAAAAAAAAAAAAAEAAAAZHJzL1BLAwQUAAAACACHTuJAVrige70AAADc&#10;AAAADwAAAGRycy9kb3ducmV2LnhtbEWPQYvCMBSE78L+h/AWvGmqFZVq9LC4oAeVuvsDHs2zDdu8&#10;1Car9d8bQfA4zMw3zHLd2VpcqfXGsYLRMAFBXDhtuFTw+/M9mIPwAVlj7ZgU3MnDevXRW2Km3Y1z&#10;up5CKSKEfYYKqhCaTEpfVGTRD11DHL2zay2GKNtS6hZvEW5rOU6SqbRoOC5U2NBXRcXf6d8qKHcH&#10;meb+sjHueD+mY7PfdjOtVP9zlCxABOrCO/xqb7WCdD6B55l4BOTq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WuKB7vQAA&#10;ANwAAAAPAAAAAAAAAAEAIAAAACIAAABkcnMvZG93bnJldi54bWxQSwECFAAUAAAACACHTuJAMy8F&#10;njsAAAA5AAAAEAAAAAAAAAABACAAAAAMAQAAZHJzL3NoYXBleG1sLnhtbFBLBQYAAAAABgAGAFsB&#10;AAC2AwAAAAA=&#10;">
                  <v:fill on="f" focussize="0,0"/>
                  <v:stroke weight="0.248503937007874pt" color="#000000" joinstyle="round"/>
                  <v:imagedata o:title=""/>
                  <o:lock v:ext="edit" aspectratio="f"/>
                </v:line>
                <v:line id="Line 61" o:spid="_x0000_s1026" o:spt="20" style="position:absolute;left:5792;top:743;height:0;width:316;" filled="f" stroked="t" coordsize="21600,21600" o:gfxdata="UEsDBAoAAAAAAIdO4kAAAAAAAAAAAAAAAAAEAAAAZHJzL1BLAwQUAAAACACHTuJANYTXdL4AAADc&#10;AAAADwAAAGRycy9kb3ducmV2LnhtbEWPQWsCMRSE74X+h/AK3mqiUpGtURa1YI9VsXh73Tw3Szcv&#10;yyZd1/76piB4HGbmG2a+7F0tOmpD5VnDaKhAEBfeVFxqOOzfnmcgQkQ2WHsmDVcKsFw8PswxM/7C&#10;H9TtYikShEOGGmyMTSZlKCw5DEPfECfv7FuHMcm2lKbFS4K7Wo6VmkqHFacFiw2tLBXfux+nYW/y&#10;96/83Mnjr7Wf/TpXp+a00XrwNFKvICL18R6+tbdGw2T2Av9n0hGQi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YTXdL4A&#10;AADcAAAADwAAAAAAAAABACAAAAAiAAAAZHJzL2Rvd25yZXYueG1sUEsBAhQAFAAAAAgAh07iQDMv&#10;BZ47AAAAOQAAABAAAAAAAAAAAQAgAAAADQEAAGRycy9zaGFwZXhtbC54bWxQSwUGAAAAAAYABgBb&#10;AQAAtwMAAAAA&#10;">
                  <v:fill on="f" focussize="0,0"/>
                  <v:stroke weight="0.235590551181102pt" color="#000000" joinstyle="round"/>
                  <v:imagedata o:title=""/>
                  <o:lock v:ext="edit" aspectratio="f"/>
                </v:line>
                <v:line id="Line 60" o:spid="_x0000_s1026" o:spt="20" style="position:absolute;left:5792;top:743;height:0;width:316;" filled="f" stroked="t" coordsize="21600,21600" o:gfxdata="UEsDBAoAAAAAAIdO4kAAAAAAAAAAAAAAAAAEAAAAZHJzL1BLAwQUAAAACACHTuJAxVZJA74AAADc&#10;AAAADwAAAGRycy9kb3ducmV2LnhtbEWPQWsCMRSE7wX/Q3hCb5rYgshqlEUttMeqtHh7bp6bxc3L&#10;sknXbX+9EYQeh5n5hlmseleLjtpQedYwGSsQxIU3FZcaDvu30QxEiMgGa8+k4ZcCrJaDpwVmxl/5&#10;k7pdLEWCcMhQg42xyaQMhSWHYewb4uSdfeswJtmW0rR4TXBXyxelptJhxWnBYkNrS8Vl9+M07E3+&#10;ccrPnfz6s/a73+Tq2By3Wj8PJ2oOIlIf/8OP9rvR8Dqbwv1MOgJye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VZJA74A&#10;AADcAAAADwAAAAAAAAABACAAAAAiAAAAZHJzL2Rvd25yZXYueG1sUEsBAhQAFAAAAAgAh07iQDMv&#10;BZ47AAAAOQAAABAAAAAAAAAAAQAgAAAADQEAAGRycy9zaGFwZXhtbC54bWxQSwUGAAAAAAYABgBb&#10;AQAAtwMAAAAA&#10;">
                  <v:fill on="f" focussize="0,0"/>
                  <v:stroke weight="0.235590551181102pt" color="#000000" joinstyle="round"/>
                  <v:imagedata o:title=""/>
                  <o:lock v:ext="edit" aspectratio="f"/>
                </v:line>
                <v:line id="Line 59" o:spid="_x0000_s1026" o:spt="20" style="position:absolute;left:5792;top:743;height:0;width:316;" filled="f" stroked="t" coordsize="21600,21600" o:gfxdata="UEsDBAoAAAAAAIdO4kAAAAAAAAAAAAAAAAAEAAAAZHJzL1BLAwQUAAAACACHTuJApmo+DL0AAADc&#10;AAAADwAAAGRycy9kb3ducmV2LnhtbEWPQYvCMBSE78L+h/CEvWmqBZWuaQ+i4B5WUfcHPJpnG2xe&#10;uk1W6783guBxmJlvmGXR20ZcqfPGsYLJOAFBXDptuFLwe9qMFiB8QNbYOCYFd/JQ5B+DJWba3fhA&#10;12OoRISwz1BBHUKbSenLmiz6sWuJo3d2ncUQZVdJ3eEtwm0jp0kykxYNx4UaW1rVVF6O/1ZB9b2T&#10;6cH/rY3b3/fp1Pxs+7lW6nM4Sb5ABOrDO/xqb7WCdDGH55l4BGT+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maj4MvQAA&#10;ANwAAAAPAAAAAAAAAAEAIAAAACIAAABkcnMvZG93bnJldi54bWxQSwECFAAUAAAACACHTuJAMy8F&#10;njsAAAA5AAAAEAAAAAAAAAABACAAAAAMAQAAZHJzL3NoYXBleG1sLnhtbFBLBQYAAAAABgAGAFsB&#10;AAC2AwAAAAA=&#10;">
                  <v:fill on="f" focussize="0,0"/>
                  <v:stroke weight="0.248503937007874pt" color="#000000" joinstyle="round"/>
                  <v:imagedata o:title=""/>
                  <o:lock v:ext="edit" aspectratio="f"/>
                </v:line>
                <v:line id="Line 58" o:spid="_x0000_s1026" o:spt="20" style="position:absolute;left:5792;top:647;height:0;width:398;" filled="f" stroked="t" coordsize="21600,21600" o:gfxdata="UEsDBAoAAAAAAIdO4kAAAAAAAAAAAAAAAAAEAAAAZHJzL1BLAwQUAAAACACHTuJA24V46rsAAADc&#10;AAAADwAAAGRycy9kb3ducmV2LnhtbEVPy2oCMRTdC/5DuII7TaxQZGqUQS3UpQ9a3N1OrpPByc0w&#10;ScfRr28WhS4P571c964WHbWh8qxhNlUgiAtvKi41nE/vkwWIEJEN1p5Jw4MCrFfDwRIz4+98oO4Y&#10;S5FCOGSowcbYZFKGwpLDMPUNceKuvnUYE2xLaVq8p3BXyxelXqXDilODxYY2lorb8cdpOJl8/51f&#10;O/n5tPar3+bq0lx2Wo9HM/UGIlIf/8V/7g+jYb5Ia9OZdATk6h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24V46rsAAADc&#10;AAAADwAAAAAAAAABACAAAAAiAAAAZHJzL2Rvd25yZXYueG1sUEsBAhQAFAAAAAgAh07iQDMvBZ47&#10;AAAAOQAAABAAAAAAAAAAAQAgAAAACgEAAGRycy9zaGFwZXhtbC54bWxQSwUGAAAAAAYABgBbAQAA&#10;tAMAAAAA&#10;">
                  <v:fill on="f" focussize="0,0"/>
                  <v:stroke weight="0.235590551181102pt" color="#000000" joinstyle="round"/>
                  <v:imagedata o:title=""/>
                  <o:lock v:ext="edit" aspectratio="f"/>
                </v:line>
                <v:line id="Line 57" o:spid="_x0000_s1026" o:spt="20" style="position:absolute;left:5792;top:647;height:0;width:398;" filled="f" stroked="t" coordsize="21600,21600" o:gfxdata="UEsDBAoAAAAAAIdO4kAAAAAAAAAAAAAAAAAEAAAAZHJzL1BLAwQUAAAACACHTuJAtMndcb4AAADc&#10;AAAADwAAAGRycy9kb3ducmV2LnhtbEWPQWsCMRSE74L/IbxCb5pYoejWKIutUI9VUby9bp6bpZuX&#10;ZZOua399Uyh4HGbmG2ax6l0tOmpD5VnDZKxAEBfeVFxqOOw3oxmIEJEN1p5Jw40CrJbDwQIz46/8&#10;Qd0uliJBOGSowcbYZFKGwpLDMPYNcfIuvnUYk2xLaVq8Jrir5ZNSz9JhxWnBYkNrS8XX7ttp2Jt8&#10;+5lfOnn8sfbUv+bq3JzftH58mKgXEJH6eA//t9+NhulsDn9n0hGQy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Mndcb4A&#10;AADcAAAADwAAAAAAAAABACAAAAAiAAAAZHJzL2Rvd25yZXYueG1sUEsBAhQAFAAAAAgAh07iQDMv&#10;BZ47AAAAOQAAABAAAAAAAAAAAQAgAAAADQEAAGRycy9zaGFwZXhtbC54bWxQSwUGAAAAAAYABgBb&#10;AQAAtwMAAAAA&#10;">
                  <v:fill on="f" focussize="0,0"/>
                  <v:stroke weight="0.235590551181102pt" color="#000000" joinstyle="round"/>
                  <v:imagedata o:title=""/>
                  <o:lock v:ext="edit" aspectratio="f"/>
                </v:line>
                <v:line id="Line 56" o:spid="_x0000_s1026" o:spt="20" style="position:absolute;left:5792;top:647;height:0;width:398;" filled="f" stroked="t" coordsize="21600,21600" o:gfxdata="UEsDBAoAAAAAAIdO4kAAAAAAAAAAAAAAAAAEAAAAZHJzL1BLAwQUAAAACACHTuJArFowpbsAAADc&#10;AAAADwAAAGRycy9kb3ducmV2LnhtbEVPS27CMBDdV+IO1iCxKw5EammKYYFaKSwK4nOAUTxNrMbj&#10;YJsQbo8XSF0+vf9yPdhW9OSDcaxgNs1AEFdOG64VnE/frwsQISJrbB2TgjsFWK9GL0sstLvxgfpj&#10;rEUK4VCggibGrpAyVA1ZDFPXESfu13mLMUFfS+3xlsJtK+dZ9iYtGk4NDXa0aaj6O16tgnq7k/kh&#10;XL6M29/3+dz8lMO7VmoynmWfICIN8V/8dJdaQf6R5qcz6QjI1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FowpbsAAADc&#10;AAAADwAAAAAAAAABACAAAAAiAAAAZHJzL2Rvd25yZXYueG1sUEsBAhQAFAAAAAgAh07iQDMvBZ47&#10;AAAAOQAAABAAAAAAAAAAAQAgAAAACgEAAGRycy9zaGFwZXhtbC54bWxQSwUGAAAAAAYABgBbAQAA&#10;tAMAAAAA&#10;">
                  <v:fill on="f" focussize="0,0"/>
                  <v:stroke weight="0.248503937007874pt" color="#000000" joinstyle="round"/>
                  <v:imagedata o:title=""/>
                  <o:lock v:ext="edit" aspectratio="f"/>
                </v:line>
                <v:line id="Line 55" o:spid="_x0000_s1026" o:spt="20" style="position:absolute;left:5792;top:1031;height:0;width:316;" filled="f" stroked="t" coordsize="21600,21600" o:gfxdata="UEsDBAoAAAAAAIdO4kAAAAAAAAAAAAAAAAAEAAAAZHJzL1BLAwQUAAAACACHTuJAwxaVPr8AAADc&#10;AAAADwAAAGRycy9kb3ducmV2LnhtbEWPzWrDMBCE74W8g9hAb438A23jRMkhNOAe2pA0D7BYG1vE&#10;WrmWYjtvXxUKPQ4z8w2z3k62FQP13jhWkC4SEMSV04ZrBeev/dMrCB+QNbaOScGdPGw3s4c1FtqN&#10;fKThFGoRIewLVNCE0BVS+qohi37hOuLoXVxvMUTZ11L3OEa4bWWWJM/SouG40GBHu4aq6+lmFdTv&#10;nzI/+u834w73Q56Zj3J60Uo9ztNkBSLQFP7Df+1SK8iXKfyeiUdAbn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MWlT6/&#10;AAAA3AAAAA8AAAAAAAAAAQAgAAAAIgAAAGRycy9kb3ducmV2LnhtbFBLAQIUABQAAAAIAIdO4kAz&#10;LwWeOwAAADkAAAAQAAAAAAAAAAEAIAAAAA4BAABkcnMvc2hhcGV4bWwueG1sUEsFBgAAAAAGAAYA&#10;WwEAALgDAAAAAA==&#10;">
                  <v:fill on="f" focussize="0,0"/>
                  <v:stroke weight="0.248503937007874pt" color="#000000" joinstyle="round"/>
                  <v:imagedata o:title=""/>
                  <o:lock v:ext="edit" aspectratio="f"/>
                </v:line>
                <v:line id="Line 54" o:spid="_x0000_s1026" o:spt="20" style="position:absolute;left:5792;top:1031;height:0;width:316;" filled="f" stroked="t" coordsize="21600,21600" o:gfxdata="UEsDBAoAAAAAAIdO4kAAAAAAAAAAAAAAAAAEAAAAZHJzL1BLAwQUAAAACACHTuJAM8QLSb4AAADc&#10;AAAADwAAAGRycy9kb3ducmV2LnhtbEWP3YrCMBSE74V9h3AW9k5TW/Cna/RiUXAvVPx5gENztg3b&#10;nNQman17IwheDjPzDTNbdLYWV2q9caxgOEhAEBdOGy4VnI6r/gSED8gaa8ek4E4eFvOP3gxz7W68&#10;p+shlCJC2OeooAqhyaX0RUUW/cA1xNH7c63FEGVbSt3iLcJtLdMkGUmLhuNChQ39VFT8Hy5WQfm7&#10;ldnen5fG7e67LDWbdTfWSn19DpNvEIG68A6/2mutIJum8DwTj4CcP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8QLSb4A&#10;AADcAAAADwAAAAAAAAABACAAAAAiAAAAZHJzL2Rvd25yZXYueG1sUEsBAhQAFAAAAAgAh07iQDMv&#10;BZ47AAAAOQAAABAAAAAAAAAAAQAgAAAADQEAAGRycy9zaGFwZXhtbC54bWxQSwUGAAAAAAYABgBb&#10;AQAAtwMAAAAA&#10;">
                  <v:fill on="f" focussize="0,0"/>
                  <v:stroke weight="0.248503937007874pt" color="#000000" joinstyle="round"/>
                  <v:imagedata o:title=""/>
                  <o:lock v:ext="edit" aspectratio="f"/>
                </v:line>
                <v:line id="Line 53" o:spid="_x0000_s1026" o:spt="20" style="position:absolute;left:5792;top:1031;height:0;width:316;" filled="f" stroked="t" coordsize="21600,21600" o:gfxdata="UEsDBAoAAAAAAIdO4kAAAAAAAAAAAAAAAAAEAAAAZHJzL1BLAwQUAAAACACHTuJAu9OgS7sAAADc&#10;AAAADwAAAGRycy9kb3ducmV2LnhtbEWPQYvCMBSE74L/ITzBm6ausGg17UFQelx19fxonm21eSlN&#10;atVfbxaEPQ4z8w2zTh+mFndqXWVZwWwagSDOra64UPB73E4WIJxH1lhbJgVPcpAmw8EaY2173tP9&#10;4AsRIOxiVFB638RSurwkg25qG+LgXWxr0AfZFlK32Ae4qeVXFH1LgxWHhRIb2pSU3w6dUWDJdMvF&#10;K/u5dqc627viXPW7nVLj0SxagfD08P/hTzvTCubLOfydCUdAJm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9OgS7sAAADc&#10;AAAADwAAAAAAAAABACAAAAAiAAAAZHJzL2Rvd25yZXYueG1sUEsBAhQAFAAAAAgAh07iQDMvBZ47&#10;AAAAOQAAABAAAAAAAAAAAQAgAAAACgEAAGRycy9zaGFwZXhtbC54bWxQSwUGAAAAAAYABgBbAQAA&#10;tAMAAAAA&#10;">
                  <v:fill on="f" focussize="0,0"/>
                  <v:stroke weight="0.261259842519685pt" color="#000000" joinstyle="round"/>
                  <v:imagedata o:title=""/>
                  <o:lock v:ext="edit" aspectratio="f"/>
                </v:line>
                <v:line id="Line 52" o:spid="_x0000_s1026" o:spt="20" style="position:absolute;left:6108;top:743;height:288;width:0;" filled="f" stroked="t" coordsize="21600,21600" o:gfxdata="UEsDBAoAAAAAAIdO4kAAAAAAAAAAAAAAAAAEAAAAZHJzL1BLAwQUAAAACACHTuJAE3OCC74AAADc&#10;AAAADwAAAGRycy9kb3ducmV2LnhtbEWPwWrDMBBE74H+g9hCb4kUN5TUtRxIwaWHXOrkAxZrY5ta&#10;K8eS7fjvq0Khx2Fm3jDZ4W47MdHgW8cathsFgrhypuVaw+VcrPcgfEA22DkmDQt5OOQPqwxT42b+&#10;oqkMtYgQ9ilqaELoUyl91ZBFv3E9cfSubrAYohxqaQacI9x2MlHqRVpsOS402NN7Q9V3OVoNCsui&#10;vt66j/F8OS3t7I/Jcjtq/fS4VW8gAt3Df/iv/Wk0PL/u4PdMPAIy/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3OCC74A&#10;AADcAAAADwAAAAAAAAABACAAAAAiAAAAZHJzL2Rvd25yZXYueG1sUEsBAhQAFAAAAAgAh07iQDMv&#10;BZ47AAAAOQAAABAAAAAAAAAAAQAgAAAADQEAAGRycy9zaGFwZXhtbC54bWxQSwUGAAAAAAYABgBb&#10;AQAAtwMAAAAA&#10;">
                  <v:fill on="f" focussize="0,0"/>
                  <v:stroke weight="0.213937007874016pt" color="#000000" joinstyle="round"/>
                  <v:imagedata o:title=""/>
                  <o:lock v:ext="edit" aspectratio="f"/>
                </v:line>
                <v:line id="Line 51" o:spid="_x0000_s1026" o:spt="20" style="position:absolute;left:6108;top:743;height:288;width:0;" filled="f" stroked="t" coordsize="21600,21600" o:gfxdata="UEsDBAoAAAAAAIdO4kAAAAAAAAAAAAAAAAAEAAAAZHJzL1BLAwQUAAAACACHTuJAfD8nkL4AAADc&#10;AAAADwAAAGRycy9kb3ducmV2LnhtbEWPwWrDMBBE74H+g9hCb4kUl5TUtRxIwaWHXOrkAxZrY5ta&#10;K8eS7fjvq0Khx2Fm3jDZ4W47MdHgW8cathsFgrhypuVaw+VcrPcgfEA22DkmDQt5OOQPqwxT42b+&#10;oqkMtYgQ9ilqaELoUyl91ZBFv3E9cfSubrAYohxqaQacI9x2MlHqRVpsOS402NN7Q9V3OVoNCsui&#10;vt66j/F8OS3t7I/Jcjtq/fS4VW8gAt3Df/iv/Wk0PL/u4PdMPAIy/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D8nkL4A&#10;AADcAAAADwAAAAAAAAABACAAAAAiAAAAZHJzL2Rvd25yZXYueG1sUEsBAhQAFAAAAAgAh07iQDMv&#10;BZ47AAAAOQAAABAAAAAAAAAAAQAgAAAADQEAAGRycy9zaGFwZXhtbC54bWxQSwUGAAAAAAYABgBb&#10;AQAAtwMAAAAA&#10;">
                  <v:fill on="f" focussize="0,0"/>
                  <v:stroke weight="0.213937007874016pt" color="#000000" joinstyle="round"/>
                  <v:imagedata o:title=""/>
                  <o:lock v:ext="edit" aspectratio="f"/>
                </v:line>
                <v:line id="Line 50" o:spid="_x0000_s1026" o:spt="20" style="position:absolute;left:6108;top:743;height:288;width:0;" filled="f" stroked="t" coordsize="21600,21600" o:gfxdata="UEsDBAoAAAAAAIdO4kAAAAAAAAAAAAAAAAAEAAAAZHJzL1BLAwQUAAAACACHTuJAmlGTVr8AAADc&#10;AAAADwAAAGRycy9kb3ducmV2LnhtbEWPQUsDMRSE70L/Q3gFbzZp1VrXpj20CIJe2i2eXzfP3cXN&#10;S0iy3fXfG0HocZiZb5j1drSduFCIrWMN85kCQVw503Kt4VS+3q1AxIRssHNMGn4ownYzuVljYdzA&#10;B7ocUy0yhGOBGpqUfCFlrBqyGGfOE2fvywWLKctQSxNwyHDbyYVSS2mx5bzQoKddQ9X3sbca1GM5&#10;foanYXjvP/r94Vz60+7Ba307nasXEInGdA3/t9+MhvvnJfydyUdAbn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pRk1a/&#10;AAAA3AAAAA8AAAAAAAAAAQAgAAAAIgAAAGRycy9kb3ducmV2LnhtbFBLAQIUABQAAAAIAIdO4kAz&#10;LwWeOwAAADkAAAAQAAAAAAAAAAEAIAAAAA4BAABkcnMvc2hhcGV4bWwueG1sUEsFBgAAAAAGAAYA&#10;WwEAALgDAAAAAA==&#10;">
                  <v:fill on="f" focussize="0,0"/>
                  <v:stroke weight="0.22503937007874pt" color="#000000" joinstyle="round"/>
                  <v:imagedata o:title=""/>
                  <o:lock v:ext="edit" aspectratio="f"/>
                </v:line>
                <w10:wrap type="topAndBottom"/>
              </v:group>
            </w:pict>
          </mc:Fallback>
        </mc:AlternateContent>
      </w:r>
    </w:p>
    <w:p>
      <w:pPr>
        <w:spacing w:line="500" w:lineRule="exact"/>
        <w:ind w:firstLine="480" w:firstLineChars="200"/>
        <w:rPr>
          <w:rFonts w:hint="eastAsia" w:ascii="宋体" w:hAnsi="宋体" w:eastAsia="宋体" w:cs="宋体"/>
          <w:sz w:val="24"/>
          <w:szCs w:val="28"/>
          <w:u w:val="single"/>
        </w:rPr>
      </w:pPr>
      <w:r>
        <w:rPr>
          <w:rFonts w:hint="eastAsia" w:ascii="宋体" w:hAnsi="宋体" w:eastAsia="宋体" w:cs="宋体"/>
          <w:sz w:val="24"/>
          <w:szCs w:val="28"/>
          <w:u w:val="single"/>
        </w:rPr>
        <w:t>注：采用加油油气回收系统的加油机爆炸危险区域用括号内数字。</w:t>
      </w:r>
    </w:p>
    <w:p>
      <w:pPr>
        <w:ind w:firstLine="440" w:firstLineChars="200"/>
        <w:rPr>
          <w:rFonts w:hint="eastAsia" w:ascii="宋体" w:hAnsi="宋体" w:eastAsia="宋体" w:cs="宋体"/>
        </w:rPr>
      </w:pPr>
    </w:p>
    <w:p>
      <w:pPr>
        <w:ind w:left="720" w:firstLine="999" w:firstLineChars="357"/>
        <w:rPr>
          <w:rFonts w:hint="eastAsia" w:ascii="宋体" w:hAnsi="宋体" w:eastAsia="宋体" w:cs="宋体"/>
          <w:sz w:val="28"/>
          <w:szCs w:val="28"/>
        </w:rPr>
      </w:pPr>
      <w:r>
        <w:rPr>
          <w:rFonts w:hint="eastAsia" w:ascii="宋体" w:hAnsi="宋体" w:eastAsia="宋体" w:cs="宋体"/>
          <w:sz w:val="28"/>
          <w:szCs w:val="28"/>
        </w:rPr>
        <w:t>图 C.0.5</w:t>
      </w:r>
      <w:r>
        <w:rPr>
          <w:rFonts w:hint="eastAsia" w:ascii="宋体" w:hAnsi="宋体" w:eastAsia="宋体" w:cs="宋体"/>
          <w:sz w:val="28"/>
          <w:szCs w:val="28"/>
        </w:rPr>
        <w:tab/>
      </w:r>
      <w:r>
        <w:rPr>
          <w:rFonts w:hint="eastAsia" w:ascii="宋体" w:hAnsi="宋体" w:eastAsia="宋体" w:cs="宋体"/>
          <w:sz w:val="28"/>
          <w:szCs w:val="28"/>
        </w:rPr>
        <w:t>汽油加油机爆炸危险区域划分</w:t>
      </w:r>
    </w:p>
    <w:p>
      <w:pPr>
        <w:ind w:firstLine="440" w:firstLineChars="200"/>
        <w:rPr>
          <w:rFonts w:hint="eastAsia" w:ascii="宋体" w:hAnsi="宋体" w:eastAsia="宋体" w:cs="宋体"/>
        </w:rPr>
      </w:pPr>
    </w:p>
    <w:p>
      <w:pPr>
        <w:ind w:firstLine="440" w:firstLineChars="200"/>
        <w:rPr>
          <w:rFonts w:hint="eastAsia" w:ascii="宋体" w:hAnsi="宋体" w:eastAsia="宋体" w:cs="宋体"/>
        </w:rPr>
      </w:pPr>
      <w:r>
        <w:rPr>
          <w:rFonts w:hint="eastAsia" w:ascii="宋体" w:hAnsi="宋体" w:eastAsia="宋体" w:cs="宋体"/>
          <w:lang w:val="en-US" w:bidi="ar-SA"/>
        </w:rPr>
        <mc:AlternateContent>
          <mc:Choice Requires="wpg">
            <w:drawing>
              <wp:anchor distT="0" distB="0" distL="114300" distR="114300" simplePos="0" relativeHeight="251666432" behindDoc="1" locked="0" layoutInCell="1" allowOverlap="1">
                <wp:simplePos x="0" y="0"/>
                <wp:positionH relativeFrom="margin">
                  <wp:align>center</wp:align>
                </wp:positionH>
                <wp:positionV relativeFrom="paragraph">
                  <wp:posOffset>16510</wp:posOffset>
                </wp:positionV>
                <wp:extent cx="381000" cy="274320"/>
                <wp:effectExtent l="5080" t="4445" r="13970" b="6985"/>
                <wp:wrapNone/>
                <wp:docPr id="12" name="Group 37"/>
                <wp:cNvGraphicFramePr/>
                <a:graphic xmlns:a="http://schemas.openxmlformats.org/drawingml/2006/main">
                  <a:graphicData uri="http://schemas.microsoft.com/office/word/2010/wordprocessingGroup">
                    <wpg:wgp>
                      <wpg:cNvGrpSpPr/>
                      <wpg:grpSpPr>
                        <a:xfrm>
                          <a:off x="0" y="0"/>
                          <a:ext cx="381000" cy="274320"/>
                          <a:chOff x="7164" y="-32"/>
                          <a:chExt cx="600" cy="432"/>
                        </a:xfrm>
                      </wpg:grpSpPr>
                      <wps:wsp>
                        <wps:cNvPr id="49" name="AutoShape 41"/>
                        <wps:cNvSpPr/>
                        <wps:spPr bwMode="auto">
                          <a:xfrm>
                            <a:off x="9370" y="-154379"/>
                            <a:ext cx="179573" cy="143784"/>
                          </a:xfrm>
                          <a:custGeom>
                            <a:avLst/>
                            <a:gdLst>
                              <a:gd name="T0" fmla="+- 0 7164 9371"/>
                              <a:gd name="T1" fmla="*/ T0 w 179573"/>
                              <a:gd name="T2" fmla="+- 0 399 -154379"/>
                              <a:gd name="T3" fmla="*/ 399 h 143784"/>
                              <a:gd name="T4" fmla="+- 0 7764 9371"/>
                              <a:gd name="T5" fmla="*/ T4 w 179573"/>
                              <a:gd name="T6" fmla="+- 0 399 -154379"/>
                              <a:gd name="T7" fmla="*/ 399 h 143784"/>
                              <a:gd name="T8" fmla="+- 0 7764 9371"/>
                              <a:gd name="T9" fmla="*/ T8 w 179573"/>
                              <a:gd name="T10" fmla="+- 0 399 -154379"/>
                              <a:gd name="T11" fmla="*/ 399 h 143784"/>
                              <a:gd name="T12" fmla="+- 0 7764 9371"/>
                              <a:gd name="T13" fmla="*/ T12 w 179573"/>
                              <a:gd name="T14" fmla="+- 0 -32 -154379"/>
                              <a:gd name="T15" fmla="*/ -32 h 143784"/>
                              <a:gd name="T16" fmla="+- 0 7164 9371"/>
                              <a:gd name="T17" fmla="*/ T16 w 179573"/>
                              <a:gd name="T18" fmla="+- 0 -32 -154379"/>
                              <a:gd name="T19" fmla="*/ -32 h 143784"/>
                              <a:gd name="T20" fmla="+- 0 7165 9371"/>
                              <a:gd name="T21" fmla="*/ T20 w 179573"/>
                              <a:gd name="T22" fmla="+- 0 -32 -154379"/>
                              <a:gd name="T23" fmla="*/ -32 h 143784"/>
                              <a:gd name="T24" fmla="+- 0 7164 9371"/>
                              <a:gd name="T25" fmla="*/ T24 w 179573"/>
                              <a:gd name="T26" fmla="+- 0 -32 -154379"/>
                              <a:gd name="T27" fmla="*/ -32 h 143784"/>
                              <a:gd name="T28" fmla="+- 0 7164 9371"/>
                              <a:gd name="T29" fmla="*/ T28 w 179573"/>
                              <a:gd name="T30" fmla="+- 0 399 -154379"/>
                              <a:gd name="T31" fmla="*/ 399 h 143784"/>
                              <a:gd name="T32" fmla="+- 0 7165 9371"/>
                              <a:gd name="T33" fmla="*/ T32 w 179573"/>
                              <a:gd name="T34" fmla="+- 0 399 -154379"/>
                              <a:gd name="T35" fmla="*/ 399 h 143784"/>
                              <a:gd name="T36" fmla="+- 0 7764 9371"/>
                              <a:gd name="T37" fmla="*/ T36 w 179573"/>
                              <a:gd name="T38" fmla="+- 0 399 -154379"/>
                              <a:gd name="T39" fmla="*/ 399 h 143784"/>
                              <a:gd name="T40" fmla="+- 0 7764 9371"/>
                              <a:gd name="T41" fmla="*/ T40 w 179573"/>
                              <a:gd name="T42" fmla="+- 0 -32 -154379"/>
                              <a:gd name="T43" fmla="*/ -32 h 143784"/>
                              <a:gd name="T44" fmla="+- 0 7764 9371"/>
                              <a:gd name="T45" fmla="*/ T44 w 179573"/>
                              <a:gd name="T46" fmla="+- 0 -32 -154379"/>
                              <a:gd name="T47" fmla="*/ -32 h 14378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179573" h="143784">
                                <a:moveTo>
                                  <a:pt x="-2207" y="154778"/>
                                </a:moveTo>
                                <a:lnTo>
                                  <a:pt x="-1607" y="154778"/>
                                </a:lnTo>
                                <a:moveTo>
                                  <a:pt x="-1607" y="154347"/>
                                </a:moveTo>
                                <a:lnTo>
                                  <a:pt x="-2207" y="154347"/>
                                </a:lnTo>
                                <a:lnTo>
                                  <a:pt x="-2206" y="154347"/>
                                </a:lnTo>
                                <a:moveTo>
                                  <a:pt x="-2207" y="154347"/>
                                </a:moveTo>
                                <a:lnTo>
                                  <a:pt x="-2207" y="154778"/>
                                </a:lnTo>
                                <a:lnTo>
                                  <a:pt x="-2206" y="154778"/>
                                </a:lnTo>
                                <a:moveTo>
                                  <a:pt x="-1607" y="154778"/>
                                </a:moveTo>
                                <a:lnTo>
                                  <a:pt x="-1607" y="154347"/>
                                </a:lnTo>
                              </a:path>
                            </a:pathLst>
                          </a:custGeom>
                          <a:noFill/>
                          <a:ln w="30">
                            <a:solidFill>
                              <a:srgbClr val="000000"/>
                            </a:solidFill>
                            <a:round/>
                          </a:ln>
                        </wps:spPr>
                        <wps:bodyPr rot="0" vert="horz" wrap="square" lIns="91440" tIns="45720" rIns="91440" bIns="45720" anchor="t" anchorCtr="0" upright="1">
                          <a:noAutofit/>
                        </wps:bodyPr>
                      </wps:wsp>
                      <pic:pic xmlns:pic="http://schemas.openxmlformats.org/drawingml/2006/picture">
                        <pic:nvPicPr>
                          <pic:cNvPr id="50" name="Picture 40"/>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a:xfrm>
                            <a:off x="7164" y="-32"/>
                            <a:ext cx="323" cy="290"/>
                          </a:xfrm>
                          <a:prstGeom prst="rect">
                            <a:avLst/>
                          </a:prstGeom>
                          <a:noFill/>
                          <a:ln>
                            <a:noFill/>
                          </a:ln>
                        </pic:spPr>
                      </pic:pic>
                      <wps:wsp>
                        <wps:cNvPr id="51" name="AutoShape 39"/>
                        <wps:cNvSpPr/>
                        <wps:spPr bwMode="auto">
                          <a:xfrm>
                            <a:off x="9370" y="-154379"/>
                            <a:ext cx="179573" cy="143784"/>
                          </a:xfrm>
                          <a:custGeom>
                            <a:avLst/>
                            <a:gdLst>
                              <a:gd name="T0" fmla="+- 0 7164 9371"/>
                              <a:gd name="T1" fmla="*/ T0 w 179573"/>
                              <a:gd name="T2" fmla="+- 0 353 -154379"/>
                              <a:gd name="T3" fmla="*/ 353 h 143784"/>
                              <a:gd name="T4" fmla="+- 0 7593 9371"/>
                              <a:gd name="T5" fmla="*/ T4 w 179573"/>
                              <a:gd name="T6" fmla="+- 0 -32 -154379"/>
                              <a:gd name="T7" fmla="*/ -32 h 143784"/>
                              <a:gd name="T8" fmla="+- 0 7593 9371"/>
                              <a:gd name="T9" fmla="*/ T8 w 179573"/>
                              <a:gd name="T10" fmla="+- 0 -32 -154379"/>
                              <a:gd name="T11" fmla="*/ -32 h 143784"/>
                              <a:gd name="T12" fmla="+- 0 7219 9371"/>
                              <a:gd name="T13" fmla="*/ T12 w 179573"/>
                              <a:gd name="T14" fmla="+- 0 399 -154379"/>
                              <a:gd name="T15" fmla="*/ 399 h 143784"/>
                              <a:gd name="T16" fmla="+- 0 7699 9371"/>
                              <a:gd name="T17" fmla="*/ T16 w 179573"/>
                              <a:gd name="T18" fmla="+- 0 -32 -154379"/>
                              <a:gd name="T19" fmla="*/ -32 h 143784"/>
                              <a:gd name="T20" fmla="+- 0 7699 9371"/>
                              <a:gd name="T21" fmla="*/ T20 w 179573"/>
                              <a:gd name="T22" fmla="+- 0 -32 -154379"/>
                              <a:gd name="T23" fmla="*/ -32 h 143784"/>
                              <a:gd name="T24" fmla="+- 0 7325 9371"/>
                              <a:gd name="T25" fmla="*/ T24 w 179573"/>
                              <a:gd name="T26" fmla="+- 0 399 -154379"/>
                              <a:gd name="T27" fmla="*/ 399 h 143784"/>
                              <a:gd name="T28" fmla="+- 0 7764 9371"/>
                              <a:gd name="T29" fmla="*/ T28 w 179573"/>
                              <a:gd name="T30" fmla="+- 0 5 -154379"/>
                              <a:gd name="T31" fmla="*/ 5 h 143784"/>
                              <a:gd name="T32" fmla="+- 0 7764 9371"/>
                              <a:gd name="T33" fmla="*/ T32 w 179573"/>
                              <a:gd name="T34" fmla="+- 0 5 -154379"/>
                              <a:gd name="T35" fmla="*/ 5 h 14378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79573" h="143784">
                                <a:moveTo>
                                  <a:pt x="-2207" y="154732"/>
                                </a:moveTo>
                                <a:lnTo>
                                  <a:pt x="-1778" y="154347"/>
                                </a:lnTo>
                                <a:moveTo>
                                  <a:pt x="-2152" y="154778"/>
                                </a:moveTo>
                                <a:lnTo>
                                  <a:pt x="-1672" y="154347"/>
                                </a:lnTo>
                                <a:moveTo>
                                  <a:pt x="-2046" y="154778"/>
                                </a:moveTo>
                                <a:lnTo>
                                  <a:pt x="-1607" y="154384"/>
                                </a:lnTo>
                              </a:path>
                            </a:pathLst>
                          </a:custGeom>
                          <a:noFill/>
                          <a:ln w="30">
                            <a:solidFill>
                              <a:srgbClr val="000000"/>
                            </a:solidFill>
                            <a:round/>
                          </a:ln>
                        </wps:spPr>
                        <wps:bodyPr rot="0" vert="horz" wrap="square" lIns="91440" tIns="45720" rIns="91440" bIns="45720" anchor="t" anchorCtr="0" upright="1">
                          <a:noAutofit/>
                        </wps:bodyPr>
                      </wps:wsp>
                      <pic:pic xmlns:pic="http://schemas.openxmlformats.org/drawingml/2006/picture">
                        <pic:nvPicPr>
                          <pic:cNvPr id="449" name="Picture 38"/>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a:xfrm>
                            <a:off x="7430" y="99"/>
                            <a:ext cx="334" cy="300"/>
                          </a:xfrm>
                          <a:prstGeom prst="rect">
                            <a:avLst/>
                          </a:prstGeom>
                          <a:noFill/>
                          <a:ln>
                            <a:noFill/>
                          </a:ln>
                        </pic:spPr>
                      </pic:pic>
                    </wpg:wgp>
                  </a:graphicData>
                </a:graphic>
              </wp:anchor>
            </w:drawing>
          </mc:Choice>
          <mc:Fallback>
            <w:pict>
              <v:group id="Group 37" o:spid="_x0000_s1026" o:spt="203" style="position:absolute;left:0pt;margin-top:1.3pt;height:21.6pt;width:30pt;mso-position-horizontal:center;mso-position-horizontal-relative:margin;z-index:-251650048;mso-width-relative:page;mso-height-relative:page;" coordorigin="7164,-32" coordsize="600,432" o:gfxdata="UEsDBAoAAAAAAIdO4kAAAAAAAAAAAAAAAAAEAAAAZHJzL1BLAwQUAAAACACHTuJAGzXxi9QAAAAE&#10;AQAADwAAAGRycy9kb3ducmV2LnhtbE2PQUvDQBSE74L/YXmCN7ubakOJeSlS1FMRbAXxtk1ek9Ds&#10;25DdJu2/93myx2GGmW/y1dl1aqQhtJ4RkpkBRVz6quUa4Wv39rAEFaLlynaeCeFCAVbF7U1us8pP&#10;/EnjNtZKSjhkFqGJsc+0DmVDzoaZ74nFO/jB2ShyqHU12EnKXafnxqTa2ZZlobE9rRsqj9uTQ3if&#10;7PTymLyOm+NhffnZLT6+Nwkh3t8l5hlUpHP8D8MfvqBDIUx7f+IqqA5BjkSEeQpKzNSI3CM8LZag&#10;i1xfwxe/UEsDBBQAAAAIAIdO4kAEIOUKOgcAAJAiAAAOAAAAZHJzL2Uyb0RvYy54bWztWuuOm0YY&#10;/V+p74D42coxN5s1Wm+03U2iSGm7atwHwBjbqBjogNe7rfruPd8MlxnWQ0jaJm2TSFmDOQznu83M&#10;+fDl84dDatzHrEzybGnazyzTiLMo3yTZbmn+vHo5uTCNsgqzTZjmWbw0H+PSfH719VeXpyKInXyf&#10;p5uYGRgkK4NTsTT3VVUE02kZ7eNDWD7LizjDxW3ODmGFU7abblh4wuiHdOpY1nx6ytmmYHkUlyW+&#10;vRUXzXpENmbAfLtNovg2j46HOKvEqCxOwwomlfukKM0rzna7jaPqx+22jCsjXZqwtOJ/8RAcr+nv&#10;9OoyDHYsLPZJVFMIx1Do2XQIkwwPbYe6DavQOLLkyVCHJGJ5mW+rZ1F+mApDuEdghW31fPOK5ceC&#10;27ILTruidToC1fP6Bw8b/XB/x4xkg0xwTCMLD4g4f6zh+uScU7ELgHnFirfFHau/2Ikzsvdhyw70&#10;CUuMB+7Wx9at8UNlRPjSvbAtCw6PcMnxPdep3R7tERu6y7fnnmng6sR1RESi/Yv65nlzJ+6ja9Pm&#10;mVOi1jI5FcjGsnNR+ddc9HYfFjH3fEnm1y7yFo2Lro9VzjGGZws3cVzrozIo4S5jffo+38CjIeA8&#10;PXruWrg+/EKG2zPP9RfC+MZvtr+Y+a7wm43LF57igDCIjmX1Ks55AML7N2UlsnmDI56LmzqgKzxk&#10;e0iR2N9ODMsgdxt4NGeOlG1hdgP7ZmqsLONk1AzqYZvRkCjSaO5iYSj0u/HAXQAxHsH2RmeG/FwE&#10;XxrQ9zX0Zg2M6HlaevMGxo0doOc3wHfQw4Q4hh6So7V2daGlZ6vBGOBny/EY8h+V7hiGthyQle3o&#10;OaoRQVnqQmzLQSGcLsa2GhZ9DspRWdlzPUc1LEMc5cgMccTEpPjRns/O1okjB2blDFSKGpgBjo4c&#10;mkGOami0fnTkwKwcfbk4amCGOMqhGeSohkbPUQ7MytHXjKsGZqBmXDk0QzWD1WRUrF05MCskuG5W&#10;dNXADHGUQzPIUQ2NdmLEUi1NPa6+Zlw1MEMc5dAMcfTU0Gg5Yp2UOHr6mvHUwAzkoyeHZigfPTU0&#10;eo5yYFaevmY8NTBDHOXQ9DliL7NrFutw36zf0UNWL+A4MkLallt881DkJe2WVvAktgwrt94NAEWr&#10;vQYMkwjMN3N43jAYQScwFh6x0xpG03LC4bNxcLiCw/k2551caJIlOGbGMWRovuPwcZY6tamYL8aM&#10;TrMAje6OM5UKksPHmUq1QXAk9BgyXm2qp5gqHFpnDoPw6UsexiXPmh4RBkVYUcI1h8YJAqDebu5x&#10;KHabdPWQ38ernOMqyr6J41jCOmxZff+iZtzB0kyB2/Nz8AbU3VaI0WW42xrYwZoba7hMpoM3oOaz&#10;A6Nu4WjabLdjN6DuGR28NbSDd7DmxjPwzi8NqPnswC2Vp+DuGTVc9koH72C90WV4x1yAkCYUey6k&#10;2iSg3JG0RJa/TNKU50maUWpg/aUMKPM02dAlfsJ265uUGfchSWv+r84FBQYJm21EVqeYp6DahDYi&#10;aVkG63zzCJ3EciHM0ZbAwT5nv5nGCaJ8aZa/HkMWm0b6OoOkW9gerTcVP/FmPm3YmHxlLV8JswhD&#10;Lc3KxCxKhzeVUP7HgiW7PZ5kc7OynOTcNiH5xPkJVvUJVOXVZZFEAf7XChxHT+Tlu/seuKs6whYx&#10;WnZ/l0R3TJx0EnMGi4QKx2WCGzAYvHAzF6LiHsQwid7k0S+lkeU3e6wR8XVZoObJpO4rxvLTPg43&#10;8JyY5tRRpnSq8FinSdHEl47/3qaMwYL4sI43S5O93gjXQ+rWsxCJXt4w+d25uLashfPd5GZm3Uw8&#10;y38xuV54/sS3Xvie5V3YN/bNHxQ42wuOZQw3hOltkTTdG9t7Epuz3ZG6gyP6Lrx/U6dyncUgxIuk&#10;oYgaIZeI1I9+grN5gZQVi6sI9RQGW1RG/T3A7QXu5s6z5HRqDtAdvXYAbZT5BIWNArEIA/IKb6GQ&#10;PuD9kwVPB4zf3Fsw0QQw6ACuBTFyTtA0BABtIPS1UtvKFwDyCu0IcuY4FbX6j7dXZpS7vAPVtVdc&#10;voLSVIEa+SzbKzNXp73l7a8LmE5693a/s4V7VtViV9H1L/R739FbXyye7Xj9na/c/VE1ia+jJwuS&#10;8e2Vga250l4ZIthvrzj24qwDP7S9MiDDlPbKkAzrt1fmaLedbfHJUfnE7RUdR9r5t5nzidsrrqNp&#10;ASnVMr69MhBrRw7NUKydXsXo+qWkcSQ/jm6vzLQTjhyYmXa+6bdWdPw+tLWi5ycHReWHxe2L1Nb1&#10;CKjgSH/+i6U24odmxEdWt+0bJ73SIjX2HpLSnqG7JRToKB3nt/C+jjunzC3qS73H6J0yd9t3S19U&#10;4n9AJXrdm8i7Wiaitft/lIkO1zKNBhOC6LOXiR69D0GdL3ovjF16B0Eq0cVLc2QDJs2PqhL5K3n8&#10;UIE/uf5RBf0SQj7HsfxDkqs/AVBLAwQKAAAAAACHTuJAAAAAAAAAAAAAAAAACgAAAGRycy9tZWRp&#10;YS9QSwMEFAAAAAgAh07iQI07f7OIBgAAgwYAABQAAABkcnMvbWVkaWEvaW1hZ2UxLnBuZwGDBnz5&#10;iVBORw0KGgoAAAANSUhEUgAAACsAAAAnCAYAAACWn7G7AAAABmJLR0QA/wD/AP+gvaeTAAAACXBI&#10;WXMAAA7EAAAOxAGVKw4bAAAGI0lEQVRYhcXYeUyTZxzA8V/fnlwt5ahAwQpDEAfChhxdYMOJsMBC&#10;2CBDgSCLuo0QTJgBZsI2j6QCmSQjxGMjMgJuGFFChAhjDoFYwKFcwmAIlKN05Syl0Pt99pdmm6JP&#10;leOPN2nf9/0+z+dN3rxvnwKfz58yGo0EQghwNolEIvD09BwEADQ7O2uH2y0uLlqHhoa2AABqa2sL&#10;xu20Wi3j0KFDPwMAApIkKbhhX1+ft5OTk5TD4ShaWlpCcTupVOrk4+PTS6fTdZWVlQm4nVKptDpw&#10;4MCvAIDy8vJysCKEELS2toZYW1svOjk5SXt7e31wu6GhIQ+BQCCxtLRcbmxsDMft5HI5b+/evX9Q&#10;qVRDaWlpKkIIsMKampoYFoul9vT0HJRIJALcCTs6OgLt7Oxm7e3tZzo7O/1xu9HRUVd3d/dhMzOz&#10;1dra2ugn+18alpSUHCEIwhgYGNhhyj3a0NAQYWFhoXJ1dR0dHh52x+26u7t9HRwcZFwud0EsFgv/&#10;fWzNiCRJikgkOgkAKDIysn55edkSd8KKiookGo2m9/X17Z6ennbE7e7evfsem81ecnZ2nuzv79/9&#10;/+PPjYxGI5GRkVEEACg5Oblcp9PRcScsLCzMBAAUFhbWpFAoOLjdjRs3PmYymRovL6+BiYkJl+ed&#10;88wOjUbDTEhIqAQAdOLEie9wH2skSVJycnLyAADFxcVVqdVqFi700qVLnxMEYRQKheK5uTnbtc77&#10;zxelUmm1f//+3wAAFRQUZOFOptPp6KmpqaUAgNLS0i4YDAYq7gWePn36GwBA0dHRtSsrK+YvOv/p&#10;B7lczvP39++kUqmGsrKyFFzoysqKeXR0dC0AoFOnTn2L+9w2GAzUtLS0CwCADh8+/BPOrQYIIRgZ&#10;GXF78qioq6uLwoXOz8/bCIVCMYVCIS9evPgFbqdWq1nx8fHXAQBlZ2fn414gdHV1+W3btu1vGxub&#10;eVNegxMTEy5eXl4DDAZDW1VVFYfbKRQKTlhYWBMAoMLCwkzcDiEEwGazl1xcXCYGBga8cKP+/v7d&#10;zs7Ok2w2e6mpqSkMt5PJZA6+vr7dNBpNX1FRkWQKFCEEkJSUVDE5OemMG4jFYiGXy11wcHCQdXd3&#10;++J2w8PD7m5ubiMWFhaq+vr6SFOhT+9Z3O3WrVsfmpmZrbq7uw+Pjo664nYPHjx4m8fjyW1tbec6&#10;OjoCXwVqEra0tDSVSqUa/P39O+VyOQ+3a2xsDLe0tFwWCASSwcFBz1eFYmFJkqTk5+dnAwAKDw9v&#10;VCqVVriDV1ZWJtDpdJ2Pj0+vVCp1eh3oS7FGo5HIzMwsBAB08ODBX7RaLQN34KKiogwKhUKGhoa2&#10;LC4uWr8u9IVYrVbLSExMvAoA6Pjx49+b8trNzc09CwAoNja2enV11Ww9oGtil5eXLSMiIhoAAIlE&#10;opO4D229Xk87evTojwCAjh079oNer6etF/S52JmZGfuAgID7BEEYS0pKjuAOtLq6ahYTE1MDACg3&#10;N/esKculV8KOjY3t8PDwGGKxWOqampoY3EEWFha4ISEhrRQKhSwuLk5fb+Qz2J6enj2Ojo7T1tbW&#10;i62trSG4A0xNTfG9vb37GAyG9tq1a59sFPQptrm5+V0Oh6Pg8/lTfX193rjx4OCg5/bt28etrKyU&#10;d+7ceX8joQghgOrq6lgmk6kxdTHY3t4eZGtrO8fj8eQPHz58a6OhCCEAgiCMQUFB7aYsBm/fvv2B&#10;ubn5ipub28jjx4/f2AwoQghAJBKdVKlUFrhBeXl5Mo1G0/v5+XXJZDKHzYIiZOIPmfPnz38JAGjf&#10;vn2/Ly0tsTcTio0lSZKSlZVVAAAoPj7+ukajYW42FAur0+noKSkpZQCA0tPTi3EXg5uOValUFlFR&#10;UXUAgM6cOfP1RryV1gU7NzdnGxwc3EYQhPHy5cufbSXyhdjx8fHtu3bt+pPJZGpu3rz50VYj18Q+&#10;evToTT6fP8XhcBTNzc3vbjVwTey9e/fe4XK5C46OjtM9PT17thq3JvbJYnDnzp1/jY2N7dhq2JrY&#10;K1eufEqlUg0BAQH3Z2Zm7LcatSb23LlzXwEAioiIaDDlP9gtwQIASkxMvGrKYnCrtn8Atqc3QI47&#10;xb4AAAAASUVORK5CYIJQSwMEFAAAAAgAh07iQIgTeJ7wAwAA6wMAABQAAABkcnMvbWVkaWEvaW1h&#10;Z2UyLnBuZwHrAxT8iVBORw0KGgoAAAANSUhEUgAAACwAAAAoCAYAAACFFRgXAAAABmJLR0QA/wD/&#10;AP+gvaeTAAAACXBIWXMAAA7EAAAOxAGVKw4bAAADi0lEQVRYhc2YSUwTYRiGP6axHSJNSxQDhYge&#10;oCSKF7ag4sXSQlwTD+xxP7JHxeXGUiDuR/a4H0hYo9RyoYBxu1BIRA+0pKKhECEdIh3CzO9pzFCn&#10;7Uxn6Hh4k87/f2/yHKZ58g0ghOB/D0mSysLCwpcAID9MsHg8HnVubu5bAEDNzc03ZAcKFLfbHZOe&#10;nv5JoVBsdnV1XUQIgexQ/uJwOPYlJyd/xXF8fXBw8BRzLjsYV+x2e2pcXNwPrVa7MjExcYR9Jzuc&#10;b2w2W45Go1mNj4//Pj09fdD3XnZAdvr7+8/gOL6u1+tnnU5nIteM7JBMOjo6LmMYRmVmZn5YWlra&#10;7W9OdlCapiOamppuAgAymUwjBEFEBZqXFZaiKKyiouIRAKDi4uLnJEkqg3VkgyVJUllUVPQCAFB1&#10;dfV9iqIwPj1ZYAmCiGLbi6bpCL6vT9hhuezFJ4uLi3uys7PfhRXWn72CZW5ubn9SUtI3lUrlDRss&#10;217j4+NH+fampqYOxcbG/oyOjv41OTl5OCywjL10Ot0Cl738ZWxs7BhjvZmZmQMIheFPNzAwcDqY&#10;vbjS19d3VqVSeVNSUr7Mz8/vZc63FZavvXzT3t5+BcMwKisr6/3y8vIu9t22gAq1F7vX2Nh4CwBQ&#10;Xl7em7W1tZ2+M5LDhmIvpldeXv4YAFBpaenTjY2NHVxzksKy7VVVVfWAr71IklQWFBS8AgBUU1Nz&#10;L1BPMliCIKKMRqMFAJDZbK7jay+Px6M2GAxWAEAtLS3Xg/UkgXW73TEZGRkfQ7FXWlraZ4VCsdnd&#10;3X2BT0c0rFh74Ti+PjQ0dJJvTxSs3W5P1el0C6HYy9/OFigulyshZFibzZaj1WpXpLAX355arfaE&#10;BCvWXnq9fpZtLyE9wbBi7SW019bWdpVtPd6gNE1HmM3mOjH2MplMI1z28tdraGi47Ws9XrAURWGV&#10;lZUPxdirpKTkmRTWC1oWYy/mi6OQnc3r9aoY69XW1t717QUsS2EvITsbu9fa2nqNa8ZvOVR7sXc2&#10;vvZCaKv1enp6zvub4zx0Op2JodjL4XDsC8VejPUiIyN/Dw8Pnwg0+89BuO3lu7MFm9/yIIe9NBrN&#10;akJCgotv7+8PKewlxc7GC7izs/OSnPbi2+vt7T0HUthLSI+xV35+/msh1quvr78DAAiE2gshBKOj&#10;o8eF2gshBFar1RBsZ+OKxWIxAgAqKyt78geTyhqe685xAgAAAABJRU5ErkJgg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CgAAAAAA&#10;h07iQAAAAAAAAAAAAAAAAAoAAABkcnMvX3JlbHMvUEsDBBQAAAAIAIdO4kAubPAAvwAAAKUBAAAZ&#10;AAAAZHJzL19yZWxzL2Uyb0RvYy54bWwucmVsc72QwYrCMBCG7wv7DmHu27Q9LLKY9iKCV3EfYEim&#10;abCZhCSKvr2BZUFB8OZxZvi//2PW48Uv4kwpu8AKuqYFQayDcWwV/B62XysQuSAbXAKTgitlGIfP&#10;j/WeFiw1lGcXs6gUzgrmUuKPlFnP5DE3IRLXyxSSx1LHZGVEfURLsm/bb5nuGTA8MMXOKEg704M4&#10;XGNtfs0O0+Q0bYI+eeLypEI6X7srEJOlosCTcfi37JvIFuRzh+49Dt2/g3x47nADUEsDBBQAAAAI&#10;AIdO4kB557oEBAEAABMCAAATAAAAW0NvbnRlbnRfVHlwZXNdLnhtbJWRwU7DMAyG70i8Q5QralN2&#10;QAit3YGOIyA0HiBK3DaicaI4lO3tSbpNgokh7Rjb3+8vyXK1tSObIJBxWPPbsuIMUDltsK/5++ap&#10;uOeMokQtR4dQ8x0QXzXXV8vNzgOxRCPVfIjRPwhBagArqXQeMHU6F6yM6Rh64aX6kD2IRVXdCeUw&#10;AsYi5gzeLFvo5OcY2XqbynsTjz1nj/u5vKrmxmY+18WfRICRThDp/WiUjOluYkJ94lUcnMpEzjM0&#10;GE83SfzMhtz57fRzwYF7SY8ZjAb2KkN8ljaZCx1IaPeFAaby/5BsaalwXWcUlG2gNmFvMB2tzqXD&#10;wrVOXRq+nqljtpi/tPkGUEsBAhQAFAAAAAgAh07iQHnnugQEAQAAEwIAABMAAAAAAAAAAQAgAAAA&#10;yRUAAFtDb250ZW50X1R5cGVzXS54bWxQSwECFAAKAAAAAACHTuJAAAAAAAAAAAAAAAAABgAAAAAA&#10;AAAAABAAAACNEwAAX3JlbHMvUEsBAhQAFAAAAAgAh07iQIoUZjzRAAAAlAEAAAsAAAAAAAAAAQAg&#10;AAAAsRMAAF9yZWxzLy5yZWxzUEsBAhQACgAAAAAAh07iQAAAAAAAAAAAAAAAAAQAAAAAAAAAAAAQ&#10;AAAAAAAAAGRycy9QSwECFAAKAAAAAACHTuJAAAAAAAAAAAAAAAAACgAAAAAAAAAAABAAAACrFAAA&#10;ZHJzL19yZWxzL1BLAQIUABQAAAAIAIdO4kAubPAAvwAAAKUBAAAZAAAAAAAAAAEAIAAAANMUAABk&#10;cnMvX3JlbHMvZTJvRG9jLnhtbC5yZWxzUEsBAhQAFAAAAAgAh07iQBs18YvUAAAABAEAAA8AAAAA&#10;AAAAAQAgAAAAIgAAAGRycy9kb3ducmV2LnhtbFBLAQIUABQAAAAIAIdO4kAEIOUKOgcAAJAiAAAO&#10;AAAAAAAAAAEAIAAAACMBAABkcnMvZTJvRG9jLnhtbFBLAQIUAAoAAAAAAIdO4kAAAAAAAAAAAAAA&#10;AAAKAAAAAAAAAAAAEAAAAIkIAABkcnMvbWVkaWEvUEsBAhQAFAAAAAgAh07iQI07f7OIBgAAgwYA&#10;ABQAAAAAAAAAAQAgAAAAsQgAAGRycy9tZWRpYS9pbWFnZTEucG5nUEsBAhQAFAAAAAgAh07iQIgT&#10;eJ7wAwAA6wMAABQAAAAAAAAAAQAgAAAAaw8AAGRycy9tZWRpYS9pbWFnZTIucG5nUEsFBgAAAAAL&#10;AAsAlAIAAP4WAAAAAA==&#10;">
                <o:lock v:ext="edit" aspectratio="f"/>
                <v:shape id="AutoShape 41" o:spid="_x0000_s1026" o:spt="100" style="position:absolute;left:9370;top:-154379;height:143784;width:179573;" filled="f" stroked="t" coordsize="179573,143784" o:gfxdata="UEsDBAoAAAAAAIdO4kAAAAAAAAAAAAAAAAAEAAAAZHJzL1BLAwQUAAAACACHTuJAfmLLer0AAADb&#10;AAAADwAAAGRycy9kb3ducmV2LnhtbEWPQWsCMRSE74L/ITyhF6lZlyp1NYpUxAq9VMXzY/PcXUxe&#10;1k109d83BcHjMDPfMLPF3Rpxo8ZXjhUMBwkI4tzpigsFh/36/ROED8gajWNS8CAPi3m3M8NMu5Z/&#10;6bYLhYgQ9hkqKEOoMyl9XpJFP3A1cfROrrEYomwKqRtsI9wamSbJWFqsOC6UWNNXSfl5d7UKNu3W&#10;7C/jx2hj+qufepViujyiUm+9YTIFEegeXuFn+1sr+JjA/5f4A+T8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st6vQAA&#10;ANsAAAAPAAAAAAAAAAEAIAAAACIAAABkcnMvZG93bnJldi54bWxQSwECFAAUAAAACACHTuJAMy8F&#10;njsAAAA5AAAAEAAAAAAAAAABACAAAAAMAQAAZHJzL3NoYXBleG1sLnhtbFBLBQYAAAAABgAGAFsB&#10;AAC2AwAAAAA=&#10;" path="m-2207,154778l-1607,154778m-1607,154347l-2207,154347,-2206,154347m-2207,154347l-2207,154778,-2206,154778m-1607,154778l-1607,154347e">
                  <v:path o:connectlocs="-2207,399;-1607,399;-1607,399;-1607,-32;-2207,-32;-2206,-32;-2207,-32;-2207,399;-2206,399;-1607,399;-1607,-32;-1607,-32" o:connectangles="0,0,0,0,0,0,0,0,0,0,0,0"/>
                  <v:fill on="f" focussize="0,0"/>
                  <v:stroke weight="0.00236220472440945pt" color="#000000" joinstyle="round"/>
                  <v:imagedata o:title=""/>
                  <o:lock v:ext="edit" aspectratio="f"/>
                </v:shape>
                <v:shape id="Picture 40" o:spid="_x0000_s1026" o:spt="75" type="#_x0000_t75" style="position:absolute;left:7164;top:-32;height:290;width:323;" filled="f" o:preferrelative="t" stroked="f" coordsize="21600,21600" o:gfxdata="UEsDBAoAAAAAAIdO4kAAAAAAAAAAAAAAAAAEAAAAZHJzL1BLAwQUAAAACACHTuJAVCZ9n7kAAADb&#10;AAAADwAAAGRycy9kb3ducmV2LnhtbEVPTYvCMBC9L/gfwgh7EU112UWr0YMgiBTBrgePQzM2xWZS&#10;kmjdf28OCx4f73u1edpWPMiHxrGC6SQDQVw53XCt4Py7G89BhIissXVMCv4owGY9+Fhhrl3PJ3qU&#10;sRYphEOOCkyMXS5lqAxZDBPXESfu6rzFmKCvpfbYp3DbylmW/UiLDacGgx1tDVW38m4VjOypPC5G&#10;l4IPtnO7si/8lymU+hxOsyWISM/4Fv+791rBd1qfvqQfINcv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QmfZ+5AAAA2wAA&#10;AA8AAAAAAAAAAQAgAAAAIgAAAGRycy9kb3ducmV2LnhtbFBLAQIUABQAAAAIAIdO4kAzLwWeOwAA&#10;ADkAAAAQAAAAAAAAAAEAIAAAAAgBAABkcnMvc2hhcGV4bWwueG1sUEsFBgAAAAAGAAYAWwEAALID&#10;AAAAAA==&#10;">
                  <v:fill on="f" focussize="0,0"/>
                  <v:stroke on="f"/>
                  <v:imagedata r:id="rId61" o:title=""/>
                  <o:lock v:ext="edit" aspectratio="t"/>
                </v:shape>
                <v:shape id="AutoShape 39" o:spid="_x0000_s1026" o:spt="100" style="position:absolute;left:9370;top:-154379;height:143784;width:179573;" filled="f" stroked="t" coordsize="179573,143784" o:gfxdata="UEsDBAoAAAAAAIdO4kAAAAAAAAAAAAAAAAAEAAAAZHJzL1BLAwQUAAAACACHTuJABc1Rob4AAADb&#10;AAAADwAAAGRycy9kb3ducmV2LnhtbEWPQWvCQBSE74X+h+UVeim6SSAi0VVKQ4lCL2rp+ZF9TUJ3&#10;36bZrTH/3hUKHoeZ+YZZby/WiDMNvnOsIJ0nIIhrpztuFHye3mdLED4gazSOScFEHrabx4c1FtqN&#10;fKDzMTQiQtgXqKANoS+k9HVLFv3c9cTR+3aDxRDl0Eg94Bjh1sgsSRbSYsdxocWe3lqqf45/VkE1&#10;7s3pdzHllXkpP/oyw+z1C5V6fkqTFYhAl3AP/7d3WkGewu1L/AFycw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c1Rob4A&#10;AADbAAAADwAAAAAAAAABACAAAAAiAAAAZHJzL2Rvd25yZXYueG1sUEsBAhQAFAAAAAgAh07iQDMv&#10;BZ47AAAAOQAAABAAAAAAAAAAAQAgAAAADQEAAGRycy9zaGFwZXhtbC54bWxQSwUGAAAAAAYABgBb&#10;AQAAtwMAAAAA&#10;" path="m-2207,154732l-1778,154347m-2152,154778l-1672,154347m-2046,154778l-1607,154384e">
                  <v:path o:connectlocs="-2207,353;-1778,-32;-1778,-32;-2152,399;-1672,-32;-1672,-32;-2046,399;-1607,5;-1607,5" o:connectangles="0,0,0,0,0,0,0,0,0"/>
                  <v:fill on="f" focussize="0,0"/>
                  <v:stroke weight="0.00236220472440945pt" color="#000000" joinstyle="round"/>
                  <v:imagedata o:title=""/>
                  <o:lock v:ext="edit" aspectratio="f"/>
                </v:shape>
                <v:shape id="Picture 38" o:spid="_x0000_s1026" o:spt="75" type="#_x0000_t75" style="position:absolute;left:7430;top:99;height:300;width:334;" filled="f" o:preferrelative="t" stroked="f" coordsize="21600,21600" o:gfxdata="UEsDBAoAAAAAAIdO4kAAAAAAAAAAAAAAAAAEAAAAZHJzL1BLAwQUAAAACACHTuJATKd0+r8AAADc&#10;AAAADwAAAGRycy9kb3ducmV2LnhtbEWPS4vCQBCE74L/YWhhL6ITRXxkHQWVXR83o3vYW5PpTYKZ&#10;npCZNfrvHUHwWFTVV9R8eTOluFLtCssKBv0IBHFqdcGZgvPpqzcF4TyyxtIyKbiTg+Wi3ZpjrG3D&#10;R7omPhMBwi5GBbn3VSylS3My6Pq2Ig7en60N+iDrTOoamwA3pRxG0VgaLDgs5FjROqf0kvwbBRPT&#10;yIk8bH6P++7me/xzSFblNlHqozOIPkF4uvl3+NXeaQWj0QyeZ8IRkIs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yndPq/&#10;AAAA3AAAAA8AAAAAAAAAAQAgAAAAIgAAAGRycy9kb3ducmV2LnhtbFBLAQIUABQAAAAIAIdO4kAz&#10;LwWeOwAAADkAAAAQAAAAAAAAAAEAIAAAAA4BAABkcnMvc2hhcGV4bWwueG1sUEsFBgAAAAAGAAYA&#10;WwEAALgDAAAAAA==&#10;">
                  <v:fill on="f" focussize="0,0"/>
                  <v:stroke on="f"/>
                  <v:imagedata r:id="rId62" o:title=""/>
                  <o:lock v:ext="edit" aspectratio="t"/>
                </v:shape>
              </v:group>
            </w:pict>
          </mc:Fallback>
        </mc:AlternateContent>
      </w:r>
      <w:r>
        <w:rPr>
          <w:rFonts w:hint="eastAsia" w:ascii="宋体" w:hAnsi="宋体" w:eastAsia="宋体" w:cs="宋体"/>
          <w:lang w:val="en-US" w:bidi="ar-SA"/>
        </w:rPr>
        <mc:AlternateContent>
          <mc:Choice Requires="wpg">
            <w:drawing>
              <wp:anchor distT="0" distB="0" distL="114300" distR="114300" simplePos="0" relativeHeight="251665408" behindDoc="1" locked="0" layoutInCell="1" allowOverlap="1">
                <wp:simplePos x="0" y="0"/>
                <wp:positionH relativeFrom="page">
                  <wp:posOffset>2443480</wp:posOffset>
                </wp:positionH>
                <wp:positionV relativeFrom="paragraph">
                  <wp:posOffset>24130</wp:posOffset>
                </wp:positionV>
                <wp:extent cx="341630" cy="273050"/>
                <wp:effectExtent l="4445" t="4445" r="15875" b="8255"/>
                <wp:wrapNone/>
                <wp:docPr id="13" name="Group 42"/>
                <wp:cNvGraphicFramePr/>
                <a:graphic xmlns:a="http://schemas.openxmlformats.org/drawingml/2006/main">
                  <a:graphicData uri="http://schemas.microsoft.com/office/word/2010/wordprocessingGroup">
                    <wpg:wgp>
                      <wpg:cNvGrpSpPr/>
                      <wpg:grpSpPr>
                        <a:xfrm>
                          <a:off x="0" y="0"/>
                          <a:ext cx="341630" cy="273050"/>
                          <a:chOff x="5442" y="-21"/>
                          <a:chExt cx="538" cy="430"/>
                        </a:xfrm>
                      </wpg:grpSpPr>
                      <wps:wsp>
                        <wps:cNvPr id="453" name="AutoShape 48"/>
                        <wps:cNvSpPr/>
                        <wps:spPr bwMode="auto">
                          <a:xfrm>
                            <a:off x="20195" y="-234167"/>
                            <a:ext cx="281112" cy="225119"/>
                          </a:xfrm>
                          <a:custGeom>
                            <a:avLst/>
                            <a:gdLst>
                              <a:gd name="T0" fmla="+- 0 5979 20195"/>
                              <a:gd name="T1" fmla="*/ T0 w 281112"/>
                              <a:gd name="T2" fmla="+- 0 -21 -234167"/>
                              <a:gd name="T3" fmla="*/ -21 h 225119"/>
                              <a:gd name="T4" fmla="+- 0 5442 20195"/>
                              <a:gd name="T5" fmla="*/ T4 w 281112"/>
                              <a:gd name="T6" fmla="+- 0 -21 -234167"/>
                              <a:gd name="T7" fmla="*/ -21 h 225119"/>
                              <a:gd name="T8" fmla="+- 0 5442 20195"/>
                              <a:gd name="T9" fmla="*/ T8 w 281112"/>
                              <a:gd name="T10" fmla="+- 0 -21 -234167"/>
                              <a:gd name="T11" fmla="*/ -21 h 225119"/>
                              <a:gd name="T12" fmla="+- 0 5442 20195"/>
                              <a:gd name="T13" fmla="*/ T12 w 281112"/>
                              <a:gd name="T14" fmla="+- 0 409 -234167"/>
                              <a:gd name="T15" fmla="*/ 409 h 225119"/>
                              <a:gd name="T16" fmla="+- 0 5979 20195"/>
                              <a:gd name="T17" fmla="*/ T16 w 281112"/>
                              <a:gd name="T18" fmla="+- 0 409 -234167"/>
                              <a:gd name="T19" fmla="*/ 409 h 225119"/>
                              <a:gd name="T20" fmla="+- 0 5980 20195"/>
                              <a:gd name="T21" fmla="*/ T20 w 281112"/>
                              <a:gd name="T22" fmla="+- 0 409 -234167"/>
                              <a:gd name="T23" fmla="*/ 409 h 225119"/>
                              <a:gd name="T24" fmla="+- 0 5442 20195"/>
                              <a:gd name="T25" fmla="*/ T24 w 281112"/>
                              <a:gd name="T26" fmla="+- 0 -21 -234167"/>
                              <a:gd name="T27" fmla="*/ -21 h 225119"/>
                              <a:gd name="T28" fmla="+- 0 5442 20195"/>
                              <a:gd name="T29" fmla="*/ T28 w 281112"/>
                              <a:gd name="T30" fmla="+- 0 409 -234167"/>
                              <a:gd name="T31" fmla="*/ 409 h 225119"/>
                              <a:gd name="T32" fmla="+- 0 5442 20195"/>
                              <a:gd name="T33" fmla="*/ T32 w 281112"/>
                              <a:gd name="T34" fmla="+- 0 409 -234167"/>
                              <a:gd name="T35" fmla="*/ 409 h 225119"/>
                              <a:gd name="T36" fmla="+- 0 5979 20195"/>
                              <a:gd name="T37" fmla="*/ T36 w 281112"/>
                              <a:gd name="T38" fmla="+- 0 409 -234167"/>
                              <a:gd name="T39" fmla="*/ 409 h 225119"/>
                              <a:gd name="T40" fmla="+- 0 5979 20195"/>
                              <a:gd name="T41" fmla="*/ T40 w 281112"/>
                              <a:gd name="T42" fmla="+- 0 -21 -234167"/>
                              <a:gd name="T43" fmla="*/ -21 h 225119"/>
                              <a:gd name="T44" fmla="+- 0 5980 20195"/>
                              <a:gd name="T45" fmla="*/ T44 w 281112"/>
                              <a:gd name="T46" fmla="+- 0 -21 -234167"/>
                              <a:gd name="T47" fmla="*/ -21 h 22511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281112" h="225119">
                                <a:moveTo>
                                  <a:pt x="-14216" y="234146"/>
                                </a:moveTo>
                                <a:lnTo>
                                  <a:pt x="-14753" y="234146"/>
                                </a:lnTo>
                                <a:moveTo>
                                  <a:pt x="-14753" y="234576"/>
                                </a:moveTo>
                                <a:lnTo>
                                  <a:pt x="-14216" y="234576"/>
                                </a:lnTo>
                                <a:lnTo>
                                  <a:pt x="-14215" y="234576"/>
                                </a:lnTo>
                                <a:moveTo>
                                  <a:pt x="-14753" y="234146"/>
                                </a:moveTo>
                                <a:lnTo>
                                  <a:pt x="-14753" y="234576"/>
                                </a:lnTo>
                                <a:moveTo>
                                  <a:pt x="-14216" y="234576"/>
                                </a:moveTo>
                                <a:lnTo>
                                  <a:pt x="-14216" y="234146"/>
                                </a:lnTo>
                                <a:lnTo>
                                  <a:pt x="-14215" y="234146"/>
                                </a:lnTo>
                              </a:path>
                            </a:pathLst>
                          </a:custGeom>
                          <a:noFill/>
                          <a:ln w="18">
                            <a:solidFill>
                              <a:srgbClr val="000000"/>
                            </a:solidFill>
                            <a:round/>
                          </a:ln>
                        </wps:spPr>
                        <wps:bodyPr rot="0" vert="horz" wrap="square" lIns="91440" tIns="45720" rIns="91440" bIns="45720" anchor="t" anchorCtr="0" upright="1">
                          <a:noAutofit/>
                        </wps:bodyPr>
                      </wps:wsp>
                      <pic:pic xmlns:pic="http://schemas.openxmlformats.org/drawingml/2006/picture">
                        <pic:nvPicPr>
                          <pic:cNvPr id="454" name="Picture 47"/>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a:xfrm>
                            <a:off x="5441" y="-21"/>
                            <a:ext cx="399" cy="399"/>
                          </a:xfrm>
                          <a:prstGeom prst="rect">
                            <a:avLst/>
                          </a:prstGeom>
                          <a:noFill/>
                          <a:ln>
                            <a:noFill/>
                          </a:ln>
                        </pic:spPr>
                      </pic:pic>
                      <wps:wsp>
                        <wps:cNvPr id="455" name="Freeform 46"/>
                        <wps:cNvSpPr/>
                        <wps:spPr bwMode="auto">
                          <a:xfrm>
                            <a:off x="5552" y="-18"/>
                            <a:ext cx="427" cy="427"/>
                          </a:xfrm>
                          <a:custGeom>
                            <a:avLst/>
                            <a:gdLst>
                              <a:gd name="T0" fmla="+- 0 5553 5553"/>
                              <a:gd name="T1" fmla="*/ T0 w 427"/>
                              <a:gd name="T2" fmla="+- 0 409 -18"/>
                              <a:gd name="T3" fmla="*/ 409 h 427"/>
                              <a:gd name="T4" fmla="+- 0 5979 5553"/>
                              <a:gd name="T5" fmla="*/ T4 w 427"/>
                              <a:gd name="T6" fmla="+- 0 -18 -18"/>
                              <a:gd name="T7" fmla="*/ -18 h 427"/>
                              <a:gd name="T8" fmla="+- 0 5980 5553"/>
                              <a:gd name="T9" fmla="*/ T8 w 427"/>
                              <a:gd name="T10" fmla="+- 0 -18 -18"/>
                              <a:gd name="T11" fmla="*/ -18 h 427"/>
                            </a:gdLst>
                            <a:ahLst/>
                            <a:cxnLst>
                              <a:cxn ang="0">
                                <a:pos x="T1" y="T3"/>
                              </a:cxn>
                              <a:cxn ang="0">
                                <a:pos x="T5" y="T7"/>
                              </a:cxn>
                              <a:cxn ang="0">
                                <a:pos x="T9" y="T11"/>
                              </a:cxn>
                            </a:cxnLst>
                            <a:rect l="0" t="0" r="r" b="b"/>
                            <a:pathLst>
                              <a:path w="427" h="427">
                                <a:moveTo>
                                  <a:pt x="0" y="427"/>
                                </a:moveTo>
                                <a:lnTo>
                                  <a:pt x="426" y="0"/>
                                </a:lnTo>
                                <a:lnTo>
                                  <a:pt x="427" y="0"/>
                                </a:lnTo>
                              </a:path>
                            </a:pathLst>
                          </a:custGeom>
                          <a:noFill/>
                          <a:ln w="18">
                            <a:solidFill>
                              <a:srgbClr val="000000"/>
                            </a:solidFill>
                            <a:prstDash val="solid"/>
                            <a:round/>
                          </a:ln>
                        </wps:spPr>
                        <wps:bodyPr rot="0" vert="horz" wrap="square" lIns="91440" tIns="45720" rIns="91440" bIns="45720" anchor="t" anchorCtr="0" upright="1">
                          <a:noAutofit/>
                        </wps:bodyPr>
                      </wps:wsp>
                      <pic:pic xmlns:pic="http://schemas.openxmlformats.org/drawingml/2006/picture">
                        <pic:nvPicPr>
                          <pic:cNvPr id="456" name="Picture 4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a:xfrm>
                            <a:off x="5441" y="104"/>
                            <a:ext cx="538" cy="305"/>
                          </a:xfrm>
                          <a:prstGeom prst="rect">
                            <a:avLst/>
                          </a:prstGeom>
                          <a:noFill/>
                          <a:ln>
                            <a:noFill/>
                          </a:ln>
                        </pic:spPr>
                      </pic:pic>
                      <wps:wsp>
                        <wps:cNvPr id="457" name="Freeform 44"/>
                        <wps:cNvSpPr/>
                        <wps:spPr bwMode="auto">
                          <a:xfrm>
                            <a:off x="5458" y="-21"/>
                            <a:ext cx="431" cy="430"/>
                          </a:xfrm>
                          <a:custGeom>
                            <a:avLst/>
                            <a:gdLst>
                              <a:gd name="T0" fmla="+- 0 5889 5459"/>
                              <a:gd name="T1" fmla="*/ T0 w 431"/>
                              <a:gd name="T2" fmla="+- 0 409 -21"/>
                              <a:gd name="T3" fmla="*/ 409 h 430"/>
                              <a:gd name="T4" fmla="+- 0 5459 5459"/>
                              <a:gd name="T5" fmla="*/ T4 w 431"/>
                              <a:gd name="T6" fmla="+- 0 -21 -21"/>
                              <a:gd name="T7" fmla="*/ -21 h 430"/>
                              <a:gd name="T8" fmla="+- 0 5459 5459"/>
                              <a:gd name="T9" fmla="*/ T8 w 431"/>
                              <a:gd name="T10" fmla="+- 0 -21 -21"/>
                              <a:gd name="T11" fmla="*/ -21 h 430"/>
                            </a:gdLst>
                            <a:ahLst/>
                            <a:cxnLst>
                              <a:cxn ang="0">
                                <a:pos x="T1" y="T3"/>
                              </a:cxn>
                              <a:cxn ang="0">
                                <a:pos x="T5" y="T7"/>
                              </a:cxn>
                              <a:cxn ang="0">
                                <a:pos x="T9" y="T11"/>
                              </a:cxn>
                            </a:cxnLst>
                            <a:rect l="0" t="0" r="r" b="b"/>
                            <a:pathLst>
                              <a:path w="431" h="430">
                                <a:moveTo>
                                  <a:pt x="430" y="430"/>
                                </a:moveTo>
                                <a:lnTo>
                                  <a:pt x="0" y="0"/>
                                </a:lnTo>
                              </a:path>
                            </a:pathLst>
                          </a:custGeom>
                          <a:noFill/>
                          <a:ln w="18">
                            <a:solidFill>
                              <a:srgbClr val="000000"/>
                            </a:solidFill>
                            <a:prstDash val="solid"/>
                            <a:round/>
                          </a:ln>
                        </wps:spPr>
                        <wps:bodyPr rot="0" vert="horz" wrap="square" lIns="91440" tIns="45720" rIns="91440" bIns="45720" anchor="t" anchorCtr="0" upright="1">
                          <a:noAutofit/>
                        </wps:bodyPr>
                      </wps:wsp>
                      <pic:pic xmlns:pic="http://schemas.openxmlformats.org/drawingml/2006/picture">
                        <pic:nvPicPr>
                          <pic:cNvPr id="458" name="Picture 43"/>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a:xfrm>
                            <a:off x="5601" y="-21"/>
                            <a:ext cx="379" cy="378"/>
                          </a:xfrm>
                          <a:prstGeom prst="rect">
                            <a:avLst/>
                          </a:prstGeom>
                          <a:noFill/>
                          <a:ln>
                            <a:noFill/>
                          </a:ln>
                        </pic:spPr>
                      </pic:pic>
                    </wpg:wgp>
                  </a:graphicData>
                </a:graphic>
              </wp:anchor>
            </w:drawing>
          </mc:Choice>
          <mc:Fallback>
            <w:pict>
              <v:group id="Group 42" o:spid="_x0000_s1026" o:spt="203" style="position:absolute;left:0pt;margin-left:192.4pt;margin-top:1.9pt;height:21.5pt;width:26.9pt;mso-position-horizontal-relative:page;z-index:-251651072;mso-width-relative:page;mso-height-relative:page;" coordorigin="5442,-21" coordsize="538,430" o:gfxdata="UEsDBAoAAAAAAIdO4kAAAAAAAAAAAAAAAAAEAAAAZHJzL1BLAwQUAAAACACHTuJACP0t29cAAAAI&#10;AQAADwAAAGRycy9kb3ducmV2LnhtbE2PQUvDQBCF74L/YRnBm93E1BBiNkWKeiqCrSDepsk0Cc3O&#10;huw2af+905Pe3vCG975XrM62VxONvnNsIF5EoIgrV3fcGPjavT1koHxArrF3TAYu5GFV3t4UmNdu&#10;5k+atqFREsI+RwNtCEOuta9asugXbiAW7+BGi0HOsdH1iLOE214/RlGqLXYsDS0OtG6pOm5P1sD7&#10;jPNLEr9Om+NhffnZPX18b2Iy5v4ujp5BBTqHv2e44gs6lMK0dyeuveoNJNlS0MNVgBJ/mWQpqL2I&#10;NANdFvr/gPIXUEsDBBQAAAAIAIdO4kDXjlut1QcAAGUlAAAOAAAAZHJzL2Uyb0RvYy54bWztWmuP&#10;2zYW/V6g/4HQxy0c60GNH8hMkc4kQYG2G2y9P0Ajy5ZQWVIpeTxpsf99zyVFi5Ql1UkWAZpNgIxe&#10;V5eH90Gee+WX3z8fcvaUiDori1vHe+E6LCnicpsV+1vn35s3s6XD6iYqtlFeFsmt8z6pne/vvv3m&#10;5alaJ36Zlvk2EQxKinp9qm6dtGmq9Xxex2lyiOoXZZUUeLgrxSFqcCn2862ITtB+yOe+697MT6XY&#10;VqKMk7rG3Qf10Gk1imsUlrtdFicPZXw8JEWjtIokjxpMqU6zqnbuJNrdLombf+52ddKw/NbBTBv5&#10;F4Pg/JH+zu9eRuu9iKo0i1sI0TUQenM6RFmBQc+qHqImYkeRXag6ZLEo63LXvIjLw1xNRFoEs/Dc&#10;nm3eivJYybns16d9dTY6HNWz+kerjX95eidYtkUkBA4rogM8Lodl3CfjnKr9GjJvRfVr9U60N/bq&#10;iub7vBMHOmIm7Fma9f3ZrMlzw2LcDLh3E8DgMR75i8ANW7PHKXxDb4UcgzE8nfme8kicvm5fDgPE&#10;I73JoQLjz/WYc4J2RnKqEI11Z6L600z0axpVibR8TdNvTcTDs41eHZtSCjG+VHaSgmcj1esa9mKP&#10;p5/LLUwaQVzGR89ecPoqbKdOZlqo6WvL+UvP82AaaTk/9LyVZYJoHR/r5m1SShdETz/VjYrnLc5k&#10;NG5bl25g/t0hR2h/N2MuC1eLFVNjty9oOU/L/WPONi47sRZCTwyYDHVwG5v5Bv79eVwYTAlCH4ml&#10;zD/PA9lyluNaTuFDQAzjg7HO+jZ8FN+NFpPqJvAttOBf4EMQGhOmgB3Gt9JyZL/lKD7P9scEQM/0&#10;yJQFKU6ugkiJ3tnQ88dB2k7h7mrMy57pFpIbc7NnO2YiDk3HbLybcZC2Z6ZAmr6ZAunbzglXS3fY&#10;2VitDEv6E+li+2YCpG86ZxKk7ZzxiPRN32z88Zzxbd9MxKRvOmcqJn3bORMgTd9s/PHEoX3EiPIJ&#10;Swamc6YsGdjOGQcZmL7ZBOOJE9i+mQJpOmcSpO2c8cQJTN9sgvHEoX31SkuazpkCyW3njIPkpm82&#10;fDxxiBcYICdikpvOmYpJbjtnPLu56ZsNH08cbvtmCqTpnD5IMJu93rijVO/l8XPRbuY4YxGRdFcy&#10;iaqsiTttYEqwo03QMgNI0c4/IowpkbCkGRhvWhhuJ2HsQIp3TUvTtiLFw+vEYQoprinNtHZaakkc&#10;6+M1YGjRk+LXzdRvp4o14xrttBCQ9uC6qVJKSvHrpkrJQeKI6GvAUJhKcWuqyrlt5AiUQf0CSMgC&#10;6JGGiNZV1FDA6VN2AlFvqWeKU8XY6OmhfEo2pZRrKPpmHvdpTwcA4n/IBAW5k8uLnvyCSHRfXkt1&#10;71VavyEfLq7Qb+Dp5LV+fTxr94m6KDSX0tNoPnS2V+kfRN/hGMA/YH0tpY9Ds+3QKykEDEWBLLDO&#10;4UBRZFQYRfkmy3MZMXlBQeIt5VJUl3m2pUcUGLXYP97ngj1FVHLLf21QWGIobYutCpYcKxaqOVUy&#10;UclZrx/L7XuUT6JUBTvaFThJS/GHw04o1m+d+vdjJBKH5T8WKPVWHqe9p5EXPFwQgxPmk0fzSVTE&#10;UHXrNA7WUzq9b1RH4FiJbJ9iJE9OqyipyttlVFRJfApVe4Fq8+5llcVr/G8rc5xdlJ1/3Q/BW80R&#10;c1Haiqd3WfxOqAuz9MS2pcpzPCd5xmXC421ZoaqX4MQs/qmMf6tZUd6n2C6SV3WF9Kc5dbeEKE9p&#10;Em1hOrXi2VrmdGkBecyzSjuYzv+33Rom1snhMdneOuLHrbI9KuB2QaJaWHZS/vSXr1x35f8wuw/d&#10;+xl3F69nr1Z8MVu4rxfc5Uvv3rv/D3nO4+tjncAMUf5QZbqt4/EL5wy2TdrWjmrIyMZOG8ttGAOQ&#10;zBINEUlCJlGxH/8LxpYZUjciaWIkVLTeITXa+xA+P5Bm7ixLRqemAb3RaxOAk6pNAZxBrdhkFdlb&#10;WWHrovZAgBOVTvrdSqjeAKMTmBbAyDhr3SegjG9F6LaV3NYNCMoU7QBK5LhUyfoZ+i5YpFXwvxFJ&#10;Qr1FprYaWiuQJB/adgnDEMQSVpthBZPe0vbkVNvIdhNObHuaK6G2oUHZul5GjwWHYcAwoNzNzZYH&#10;PNqV4USBaWwJplNl019ZSGjEnZDJfBU9H9DUZ71oAA2BgqE7UER5B1T16K63ZGczdqAspguRdEiT&#10;XYJIKj4Eyqw/ZFNlAFS/ozKMyu6mmLAQ5H8D9g2U4MmfQOvIcgycjo6U5B21UCQBsYu0aO2L0brn&#10;Npng1C2ApO7J6qf6qLTJ0S6koPazUg1a5R6iOlXLuGQhKs++chD9TQZr+TUcBD7vcRBZAdHGQFTl&#10;i+EgvswNvcFHa9odvnKQloN4Lrf3zPMnGnza6e2ZmmB8CRwEC2efg0hDfCwH4SG2P+IgfU7HqXU5&#10;9MnLrsY+hIMsl9jueSgp4jQHUS0QU2aAg2jE3XY/wEHU9zpTU4+DAM8gqEsOcgmqx0HkB6iWGneg&#10;LA4iPz61HxFNUD0OMgbqkoNcgupzkGFUNgcxYf2/cBCKb+IgiJAhDkL3JQtRETTBQpSczUG+sgvd&#10;1vi7dTiQiT12IWumL45dBF/ZxWWH48Yd63AsdIdjIWt15Pdn7XDI35ng1zey59P+Uoh+3mNey5Zg&#10;9+uou/8CUEsDBAoAAAAAAIdO4kAAAAAAAAAAAAAAAAAKAAAAZHJzL21lZGlhL1BLAwQUAAAACACH&#10;TuJABBvKHbwHAAC3BwAAFAAAAGRycy9tZWRpYS9pbWFnZTIucG5nAbcHSPiJUE5HDQoaCgAAAA1J&#10;SERSAAAARwAAACkIBgAAAGdONDUAAAAGYktHRAD/AP8A/6C9p5MAAAAJcEhZcwAADsQAAA7EAZUr&#10;DhsAAAdXSURBVGiB7Zh7TFR3FsfPvXdmmGGGhyPyWhwqQSzqLIiPlaI8RoMEWrRiHVvYShrSlTSk&#10;9bGaXc1W4yOu1BIJcSWEsAgoUrSCECRKoQqsqAjiiiBBUISRxREYhhnmcef0L7pKRWbmXr3/9Cbn&#10;n/s753vO+WYm+dwfAADu2rUr3WKxEIgIv8f/g0pNTfXIzMz82mg0ChQKxU8EQcDvDwAiElRTU1OV&#10;SqXyPnHixNeISERFRdVxPRjXj0ajcY6JiakGRASapsnk5OQ8AMCDBw/u4/rnzGWMjY1JwsLC6kmS&#10;pH99aTabqaSkpAIAwKNHj+7hekguQqvVisPDw38mSZIuKSn55JVDk8nE27Jly1kAwOPHj+/geth3&#10;GTqdTqRQKGpIkqSLioo+Q0T4TZLJZOJt2rTpBwDAzMzMNK6Hfheh1+uF0dHR1QRBWPLz8z+ffP/a&#10;ZKPRyN+wYcOPAIAnT55M5Xr4txkTExMOsbGxlQCAubm5X7x8Nm2RwWAQxMXFVQAA5uTkpHC9xNsI&#10;g8EgiI+PLwMAzM7O/nLq+RuL9Xq9MCYmpoogCEteXl4y18uwGUajkZ+QkFAKAJiVlfXV63JmFNHp&#10;dKK1a9deIQjCUlBQkMT1UmyEyWTiKZXKYgDAjIyMb6bLs0psfHzcMTIyspYkSbq4uFjJ9XJMwmw2&#10;U4mJiYUAgOnp6bvelGu1qFarFa9evfoaRVHm0tLSBK6XtCdomia3bt36bwDAI0eO/G2mfJvENRqN&#10;U2hoaCOPxzNdvHhxPdfL2mpMSkpKDgDggQMH/mFNjc1NRkZGXFasWNHE5/ONFRUVcVwvbU1YLBZi&#10;27Zt/wIA3Ldv30Fr6+xqNjw87Lp06dLbAoHAcPny5XVcLz+TMWlpaZkAgHv27Dlqy9WM3U3VarU0&#10;ODi4RSgU6q9evbqGaxOmM2b79u3fAwDu2LHjuK13VoyaDw0Nucnl8jaRSKSrq6uL4NqMqcbs3r37&#10;nwCAaWlpmfZc5sHdu3f/yGSIwcFB98DAwHaxWKy9fv36Kq5NmTRm7969hwAAU1NTT9p7ywkAgIWF&#10;hYlMhlGpVJ4BAQGdEolkrLGxMZRrc/bv3/8tAGBKSkoOTdOkvTrAFtw9ffr0D/7+/l3Ozs6jN2/e&#10;XM6VMYcPH/47AGBycnIeE2MQEViFuydPnsydN2/eI1dX1+Hm5uaQd23MsWPH/goAmJiYWGg2myl7&#10;dWiaJnfu3PkdIL4Kd2VlZfFMBuzt7fWVyWSPpVKpurW1NehdGZORkfENAKBSqSw2mUw8JsZMwuKv&#10;L1+Gu8rKylgmg3Z3d/v5+Pj0ubm5Dd27d2/x2zYmKyvrKwDAhISEUqPRyLdXZyosvnLIJtx1dXX5&#10;e3t797u7uw+2t7cHvi1jTp069RcAwPXr119kasxUWPxNEptw19HRscDDw+OZp6enqrOzM4BtY3Jz&#10;c78AAIyLi6uYmJhwYGLM62Dxtclswt39+/cXzpkz53/e3t79XV1d/mwZk5+f/zlBEJZ169Zd1uv1&#10;QibGTAeL0xaxCXdtbW3y2bNnP587d+6TR48ezWNqTFFR0WckSdJr1qy5qtPpREyMeRMsvrGYTbhr&#10;aWkJnjVr1gtfX9/e3t5eX3t1zp07t5kkSToyMrJ2fHzckclMM8HijAJswt3t27eXuri4jPj5+XX3&#10;9fX52Fp//vz5jRRFmVetWnV9bGxMwmQWa2DRKiE24a6pqWmFk5OTZv78+Q/7+/u9ra0rLy//iMfj&#10;mUJDQxs1Go0TkxmshUWrBdmEu4aGhg8kEsnYggULOlQqledM+ZWVlbECgcCwfPnymyMjIy5Mek/C&#10;4ubNm8/NBIs2CbMJd9euXVvt6Og4vnDhwvuDg4Pu0+VVV1dHOzg4TISEhDS/ePFiFpOek7C4cePG&#10;89Ywkc0NHj58ON/Ly2uADbirra2NFIlEOrlc3vb8+fPZU89ramoUQqFQHxQU1KpWq6VMemVnZ38J&#10;ABgfH19mMBgE1tTY1ejBgwfvswV3V65cWevg4DARHBzc8rIBdXV1ESKRSLd48eJ7Q0NDbkx6TMJi&#10;bGxspS2waHdDNuGuqqoqRiAQGJYtW3ZreHjYtb6+PkwsFmsDAwPbnz175sFE+/Tp038mCMISHR1d&#10;bSss2t0UkV24u3Tp0od8Pt+4aNGi/0okEk1AQEDnwMCAFxPNM2fOfEqSJK1QKGrsgUVg8k2CiHDn&#10;zp0lbMAdIkJ6evpOAEChUKjv6Ohg9HctKSn5hKIoc0RERJ1WqxXbowEAgEzh7tatW8uYwB0iQnNz&#10;c4irq+uwu7v7IEVR5vDw8J/tXerChQsfUxRlDgsLq2cCi+Dl5TXABtzduHHjT/bAHSJCa2trkFQq&#10;Vctkssc9PT3vnT17dgtJknRUVNRPtn4ilJeXf8Tn840rV678z+joqDOTnaCnp+c9mUz2WC6XtzG9&#10;c21oaPhALBZrlUplsbU1FouFWLJkyR0fH5++7u5uv8n3BQUFSQRBWA4dOrTXWq3R0VFnqVSqZgMW&#10;ERF+AS2mfewUZidfAAAAAElFTkSuQmCCUEsDBBQAAAAIAIdO4kDdyzGOlAEAAJgBAAAUAAAAZHJz&#10;L21lZGlhL2ltYWdlMS5wbmfrDPBz5+WS4mJgYOD19HAJAtKmIMzBBiQfPltcAKTYkrzdXRj+g+CC&#10;vcsnA0U4CzwiixkY+I6AMONUbT5pBgZGC08Xx5CMxrvX9/q1OQi0Pvz8UjYq2ZtzIUv0FpOoW0ln&#10;ZQ/JSaso/nmrJ1K9bEaRWuWuSkehhZe3vZVmEHP9KLv5v/25ne6XTd4zRFz/evxqdGpkHWMHe2rk&#10;N2uew59lF9icrz9WWLOLOST06nLLCcXvEvlchJ45xGmYXtD0EizpCGJ9u2iK42yN0gtcqYxbHCIZ&#10;z2p4K0wyYFfijGCeyLJrXfVWFiXbenvVC6ohqxZkhJxaoBHyakHCFCYNjqVMn9w0G/cEZC0InqL0&#10;QmAp1y1XzWazwFcLRE8xZTRuYpoVOM1BBWTbBjal5XO2syhxfqn9n8Tpcm/C55WNeguDWF0XB7G5&#10;LgxiZ10s4uCoITrB3IvzSWsQ89xFIo7tGqEX9Lwkt3QGsa8NEHPgniJ6oWcTC9QYoMOCz0UzTTwi&#10;f+OaHGv2lHIBYMAyeLr6uaxzSmgCAFBLAwQUAAAACACHTuJA3iW0Ra4BAACrAQAAFAAAAGRycy9t&#10;ZWRpYS9pbWFnZTMucG5n6wzwc+flkuJiYGDg9fRwCQLSRiDMwQYk5ew7NgIptiRvdxeG/yC4YO/y&#10;yUARzgKPyGIGBr4jIMw4VZtPmoGB0dvTxTEko/HuZUO/IwYCrBfyWzzO+xY1TzHZ6b5ig4XHtdAd&#10;7L5eeQd8L01Wmvd2ggD3jCe3H0d6T3zjYf9LX5m5oeK9v6GbutKN3yWx39kclmVW2Xyam3s7j4GD&#10;Yebzn4qm7O//djZGXv+67v3vcLa0yGm/t+Xen73sp8dRhWMv1jEyC+7kOvP8mNWz0weNnt3mXj2j&#10;W7F7hrzzNYP9bTqJ/3giD6q06iRMcjZNbkus+Bm+IqzH45DsxqaboqsEN//mv9J2k3clbzFHkPAz&#10;gyViPKxBzG1sF48FKM6SsHLhnsy6qPEkm2bvSS7NzpN8mq2aTJqNmmwnezW5TnZq8p1s5FS0Welw&#10;Q2LioXIVdTfRQ0dWOEdIlLJwL+ZLSLxyerPBq6OREl8v6fRUJYq57dXhXhw3pTVQ/+ShFeIpQOmN&#10;QOmIGdESMecsJY9/lGRw4pBrONsZM+uMJOtkqb7T+Y+uAMOawdPVz2WdU0IT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CgAAAAAA&#10;h07iQAAAAAAAAAAAAAAAAAoAAABkcnMvX3JlbHMvUEsDBBQAAAAIAIdO4kA3J0dhxgAAACkCAAAZ&#10;AAAAZHJzL19yZWxzL2Uyb0RvYy54bWwucmVsc72RwWoCMRCG70LfIcy9m90ViohZLyJ4FfsAQzKb&#10;DW4mIYmlvr2BUqgg9eZxZvi//4PZbL/9LL4oZRdYQde0IIh1MI6tgs/T/n0FIhdkg3NgUnClDNvh&#10;bbE50oylhvLkYhaVwlnBVEpcS5n1RB5zEyJxvYwheSx1TFZG1Ge0JPu2/ZDpLwOGO6Y4GAXpYJYg&#10;TtdYm5+zwzg6TbugL564PKiQztfuCsRkqSjwZBz+LJdNZAvysUP/Gof+P4fuNQ7dr4O8e/BwA1BL&#10;AwQUAAAACACHTuJAeee6BAQBAAATAgAAEwAAAFtDb250ZW50X1R5cGVzXS54bWyVkcFOwzAMhu9I&#10;vEOUK2pTdkAIrd2BjiMgNB4gStw2onGiOJTt7Um6TYKJIe0Y29/vL8lytbUjmyCQcVjz27LiDFA5&#10;bbCv+fvmqbjnjKJELUeHUPMdEF8111fLzc4DsUQj1XyI0T8IQWoAK6l0HjB1OhesjOkYeuGl+pA9&#10;iEVV3QnlMALGIuYM3ixb6OTnGNl6m8p7E489Z4/7ubyq5sZmPtfFn0SAkU4Q6f1olIzpbmJCfeJV&#10;HJzKRM4zNBhPN0n8zIbc+e30c8GBe0mPGYwG9ipDfJY2mQsdSGj3hQGm8v+QbGmpcF1nFJRtoDZh&#10;bzAdrc6lw8K1Tl0avp6pY7aYv7T5BlBLAQIUABQAAAAIAIdO4kB557oEBAEAABMCAAATAAAAAAAA&#10;AAEAIAAAACYXAABbQ29udGVudF9UeXBlc10ueG1sUEsBAhQACgAAAAAAh07iQAAAAAAAAAAAAAAA&#10;AAYAAAAAAAAAAAAQAAAA4xQAAF9yZWxzL1BLAQIUABQAAAAIAIdO4kCKFGY80QAAAJQBAAALAAAA&#10;AAAAAAEAIAAAAAcVAABfcmVscy8ucmVsc1BLAQIUAAoAAAAAAIdO4kAAAAAAAAAAAAAAAAAEAAAA&#10;AAAAAAAAEAAAAAAAAABkcnMvUEsBAhQACgAAAAAAh07iQAAAAAAAAAAAAAAAAAoAAAAAAAAAAAAQ&#10;AAAAARYAAGRycy9fcmVscy9QSwECFAAUAAAACACHTuJANydHYcYAAAApAgAAGQAAAAAAAAABACAA&#10;AAApFgAAZHJzL19yZWxzL2Uyb0RvYy54bWwucmVsc1BLAQIUABQAAAAIAIdO4kAI/S3b1wAAAAgB&#10;AAAPAAAAAAAAAAEAIAAAACIAAABkcnMvZG93bnJldi54bWxQSwECFAAUAAAACACHTuJA145brdUH&#10;AABlJQAADgAAAAAAAAABACAAAAAmAQAAZHJzL2Uyb0RvYy54bWxQSwECFAAKAAAAAACHTuJAAAAA&#10;AAAAAAAAAAAACgAAAAAAAAAAABAAAAAnCQAAZHJzL21lZGlhL1BLAQIUABQAAAAIAIdO4kDdyzGO&#10;lAEAAJgBAAAUAAAAAAAAAAEAIAAAAD0RAABkcnMvbWVkaWEvaW1hZ2UxLnBuZ1BLAQIUABQAAAAI&#10;AIdO4kAEG8odvAcAALcHAAAUAAAAAAAAAAEAIAAAAE8JAABkcnMvbWVkaWEvaW1hZ2UyLnBuZ1BL&#10;AQIUABQAAAAIAIdO4kDeJbRFrgEAAKsBAAAUAAAAAAAAAAEAIAAAAAMTAABkcnMvbWVkaWEvaW1h&#10;Z2UzLnBuZ1BLBQYAAAAADAAMANYCAABbGAAAAAA=&#10;">
                <o:lock v:ext="edit" aspectratio="f"/>
                <v:shape id="AutoShape 48" o:spid="_x0000_s1026" o:spt="100" style="position:absolute;left:20195;top:-234167;height:225119;width:281112;" filled="f" stroked="t" coordsize="281112,225119" o:gfxdata="UEsDBAoAAAAAAIdO4kAAAAAAAAAAAAAAAAAEAAAAZHJzL1BLAwQUAAAACACHTuJAK3yDC78AAADc&#10;AAAADwAAAGRycy9kb3ducmV2LnhtbEWPQWvCQBSE74L/YXlCb3Wjta2mbjwIhaYXaZof8Mg+k9Ds&#10;2yS7JtFf3y0UPA4z8w2zP0ymEQP1rrasYLWMQBAXVtdcKsi/3x+3IJxH1thYJgVXcnBI5rM9xtqO&#10;/EVD5ksRIOxiVFB538ZSuqIig25pW+LgnW1v0AfZl1L3OAa4aeQ6il6kwZrDQoUtHSsqfrKLUdDl&#10;XZ7eXs+3z+LkduWQni6Tk0o9LFbRGwhPk7+H/9sfWsHm+Qn+zoQjIJN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t8gwu/&#10;AAAA3AAAAA8AAAAAAAAAAQAgAAAAIgAAAGRycy9kb3ducmV2LnhtbFBLAQIUABQAAAAIAIdO4kAz&#10;LwWeOwAAADkAAAAQAAAAAAAAAAEAIAAAAA4BAABkcnMvc2hhcGV4bWwueG1sUEsFBgAAAAAGAAYA&#10;WwEAALgDAAAAAA==&#10;" path="m-14216,234146l-14753,234146m-14753,234576l-14216,234576,-14215,234576m-14753,234146l-14753,234576m-14216,234576l-14216,234146,-14215,234146e">
                  <v:path o:connectlocs="-14216,-21;-14753,-21;-14753,-21;-14753,409;-14216,409;-14215,409;-14753,-21;-14753,409;-14753,409;-14216,409;-14216,-21;-14215,-21" o:connectangles="0,0,0,0,0,0,0,0,0,0,0,0"/>
                  <v:fill on="f" focussize="0,0"/>
                  <v:stroke weight="0.00141732283464567pt" color="#000000" joinstyle="round"/>
                  <v:imagedata o:title=""/>
                  <o:lock v:ext="edit" aspectratio="f"/>
                </v:shape>
                <v:shape id="Picture 47" o:spid="_x0000_s1026" o:spt="75" type="#_x0000_t75" style="position:absolute;left:5441;top:-21;height:399;width:399;" filled="f" o:preferrelative="t" stroked="f" coordsize="21600,21600" o:gfxdata="UEsDBAoAAAAAAIdO4kAAAAAAAAAAAAAAAAAEAAAAZHJzL1BLAwQUAAAACACHTuJASlvnKr8AAADc&#10;AAAADwAAAGRycy9kb3ducmV2LnhtbEWP3WoCMRSE74W+QziF3mmitUW2RsGFFlFB69/1YXO6u+3m&#10;ZNlEXd/eFAQvh5n5hhlPW1uJMzW+dKyh31MgiDNnSs417Hef3REIH5ANVo5Jw5U8TCdPnTEmxl34&#10;m87bkIsIYZ+ghiKEOpHSZwVZ9D1XE0fvxzUWQ5RNLk2Dlwi3lRwo9S4tlhwXCqwpLSj7256shvZ1&#10;swjpVeXr7Gv1u5sdjpQurdYvz331ASJQGx7he3tuNAzfhvB/Jh4BObk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pb5yq/&#10;AAAA3AAAAA8AAAAAAAAAAQAgAAAAIgAAAGRycy9kb3ducmV2LnhtbFBLAQIUABQAAAAIAIdO4kAz&#10;LwWeOwAAADkAAAAQAAAAAAAAAAEAIAAAAA4BAABkcnMvc2hhcGV4bWwueG1sUEsFBgAAAAAGAAYA&#10;WwEAALgDAAAAAA==&#10;">
                  <v:fill on="f" focussize="0,0"/>
                  <v:stroke on="f"/>
                  <v:imagedata r:id="rId38" o:title=""/>
                  <o:lock v:ext="edit" aspectratio="t"/>
                </v:shape>
                <v:shape id="Freeform 46" o:spid="_x0000_s1026" o:spt="100" style="position:absolute;left:5552;top:-18;height:427;width:427;" filled="f" stroked="t" coordsize="427,427" o:gfxdata="UEsDBAoAAAAAAIdO4kAAAAAAAAAAAAAAAAAEAAAAZHJzL1BLAwQUAAAACACHTuJA3nhngrsAAADc&#10;AAAADwAAAGRycy9kb3ducmV2LnhtbEWPQYvCMBSE74L/ITxhb5p2sUWq0UNB2MsixvX+aJ5tsXkp&#10;TbT2328WhD0OM/MNszu8bCeeNPjWsYJ0lYAgrpxpuVbwczkuNyB8QDbYOSYFE3k47OezHRbGjXym&#10;pw61iBD2BSpoQugLKX3VkEW/cj1x9G5usBiiHGppBhwj3HbyM0lyabHluNBgT2VD1V0/rAKXtzrN&#10;v+WxHEt9ujqcLjqblPpYpMkWRKBX+A+/219GwTrL4O9MPAJy/w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3nhngrsAAADc&#10;AAAADwAAAAAAAAABACAAAAAiAAAAZHJzL2Rvd25yZXYueG1sUEsBAhQAFAAAAAgAh07iQDMvBZ47&#10;AAAAOQAAABAAAAAAAAAAAQAgAAAACgEAAGRycy9zaGFwZXhtbC54bWxQSwUGAAAAAAYABgBbAQAA&#10;tAMAAAAA&#10;" path="m0,427l426,0,427,0e">
                  <v:path o:connectlocs="0,409;426,-18;427,-18" o:connectangles="0,0,0"/>
                  <v:fill on="f" focussize="0,0"/>
                  <v:stroke weight="0.00141732283464567pt" color="#000000" joinstyle="round"/>
                  <v:imagedata o:title=""/>
                  <o:lock v:ext="edit" aspectratio="f"/>
                </v:shape>
                <v:shape id="Picture 45" o:spid="_x0000_s1026" o:spt="75" type="#_x0000_t75" style="position:absolute;left:5441;top:104;height:305;width:538;" filled="f" o:preferrelative="t" stroked="f" coordsize="21600,21600" o:gfxdata="UEsDBAoAAAAAAIdO4kAAAAAAAAAAAAAAAAAEAAAAZHJzL1BLAwQUAAAACACHTuJA5HpZab0AAADc&#10;AAAADwAAAGRycy9kb3ducmV2LnhtbEWPzWrDMBCE74W8g9hAbrUc04TWtRziQEJoTnXb+2Ktf6i1&#10;MpYaO29fFQo5DjPzDZPtZtOLK42us6xgHcUgiCurO24UfH4cH59BOI+ssbdMCm7kYJcvHjJMtZ34&#10;na6lb0SAsEtRQev9kErpqpYMusgOxMGr7WjQBzk2Uo84BbjpZRLHW2mw47DQ4kCHlqrv8scECp/m&#10;ZH88X4qi/no7yc0LJ41WarVcx68gPM3+Hv5vn7WCp80W/s6EIyDz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kellpvQAA&#10;ANwAAAAPAAAAAAAAAAEAIAAAACIAAABkcnMvZG93bnJldi54bWxQSwECFAAUAAAACACHTuJAMy8F&#10;njsAAAA5AAAAEAAAAAAAAAABACAAAAAMAQAAZHJzL3NoYXBleG1sLnhtbFBLBQYAAAAABgAGAFsB&#10;AAC2AwAAAAA=&#10;">
                  <v:fill on="f" focussize="0,0"/>
                  <v:stroke on="f"/>
                  <v:imagedata r:id="rId63" o:title=""/>
                  <o:lock v:ext="edit" aspectratio="t"/>
                </v:shape>
                <v:shape id="Freeform 44" o:spid="_x0000_s1026" o:spt="100" style="position:absolute;left:5458;top:-21;height:430;width:431;" filled="f" stroked="t" coordsize="431,430" o:gfxdata="UEsDBAoAAAAAAIdO4kAAAAAAAAAAAAAAAAAEAAAAZHJzL1BLAwQUAAAACACHTuJALxs3kbsAAADc&#10;AAAADwAAAGRycy9kb3ducmV2LnhtbEWPS6vCMBSE9xf8D+EI7q6pen1QjYKicLdqQZeH5tgWm5O2&#10;SX38eyMILoeZ+YZZrB6mFDdqXGFZwaAfgSBOrS44U5Acd78zEM4jaywtk4InOVgtOz8LjLW9855u&#10;B5+JAGEXo4Lc+yqW0qU5GXR9WxEH72Ibgz7IJpO6wXuAm1IOo2giDRYcFnKsaJNTej20RsHFt9uz&#10;PiW8ruviWcsxrUezVqledxDNQXh6+G/40/7XCv7GU3ifCUdALl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xs3kbsAAADc&#10;AAAADwAAAAAAAAABACAAAAAiAAAAZHJzL2Rvd25yZXYueG1sUEsBAhQAFAAAAAgAh07iQDMvBZ47&#10;AAAAOQAAABAAAAAAAAAAAQAgAAAACgEAAGRycy9zaGFwZXhtbC54bWxQSwUGAAAAAAYABgBbAQAA&#10;tAMAAAAA&#10;" path="m430,430l0,0e">
                  <v:path o:connectlocs="430,409;0,-21;0,-21" o:connectangles="0,0,0"/>
                  <v:fill on="f" focussize="0,0"/>
                  <v:stroke weight="0.00141732283464567pt" color="#000000" joinstyle="round"/>
                  <v:imagedata o:title=""/>
                  <o:lock v:ext="edit" aspectratio="f"/>
                </v:shape>
                <v:shape id="Picture 43" o:spid="_x0000_s1026" o:spt="75" type="#_x0000_t75" style="position:absolute;left:5601;top:-21;height:378;width:379;" filled="f" o:preferrelative="t" stroked="f" coordsize="21600,21600" o:gfxdata="UEsDBAoAAAAAAIdO4kAAAAAAAAAAAAAAAAAEAAAAZHJzL1BLAwQUAAAACACHTuJAskUVb7wAAADc&#10;AAAADwAAAGRycy9kb3ducmV2LnhtbEVPu27CMBTdkfgH6yJ1QcWhhRYCBgmqIkZeHdgu8SWJiK+j&#10;2JCUr8cDEuPReU/njSnEjSqXW1bQ70UgiBOrc04VHPa/7yMQziNrLCyTgn9yMJ+1W1OMta15S7ed&#10;T0UIYRejgsz7MpbSJRkZdD1bEgfubCuDPsAqlbrCOoSbQn5E0Zc0mHNoyLCkZUbJZXc1Crr13/iM&#10;TbFajz8XR/vzvbmfBqlSb51+NAHhqfEv8dO91goGw7A2nAlHQM4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JFFW+8AAAA&#10;3AAAAA8AAAAAAAAAAQAgAAAAIgAAAGRycy9kb3ducmV2LnhtbFBLAQIUABQAAAAIAIdO4kAzLwWe&#10;OwAAADkAAAAQAAAAAAAAAAEAIAAAAAsBAABkcnMvc2hhcGV4bWwueG1sUEsFBgAAAAAGAAYAWwEA&#10;ALUDAAAAAA==&#10;">
                  <v:fill on="f" focussize="0,0"/>
                  <v:stroke on="f"/>
                  <v:imagedata r:id="rId64" o:title=""/>
                  <o:lock v:ext="edit" aspectratio="t"/>
                </v:shape>
              </v:group>
            </w:pict>
          </mc:Fallback>
        </mc:AlternateContent>
      </w:r>
      <w:r>
        <w:rPr>
          <w:rFonts w:hint="eastAsia" w:ascii="宋体" w:hAnsi="宋体" w:eastAsia="宋体" w:cs="宋体"/>
          <w:lang w:val="en-US" w:bidi="ar-SA"/>
        </w:rPr>
        <w:drawing>
          <wp:inline distT="0" distB="0" distL="0" distR="0">
            <wp:extent cx="343535" cy="269875"/>
            <wp:effectExtent l="0" t="0" r="18415" b="15875"/>
            <wp:docPr id="14"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51.png"/>
                    <pic:cNvPicPr>
                      <a:picLocks noChangeAspect="1"/>
                    </pic:cNvPicPr>
                  </pic:nvPicPr>
                  <pic:blipFill>
                    <a:blip r:embed="rId65" cstate="print"/>
                    <a:stretch>
                      <a:fillRect/>
                    </a:stretch>
                  </pic:blipFill>
                  <pic:spPr>
                    <a:xfrm>
                      <a:off x="0" y="0"/>
                      <a:ext cx="343838" cy="270378"/>
                    </a:xfrm>
                    <a:prstGeom prst="rect">
                      <a:avLst/>
                    </a:prstGeom>
                  </pic:spPr>
                </pic:pic>
              </a:graphicData>
            </a:graphic>
          </wp:inline>
        </w:drawing>
      </w:r>
      <w:r>
        <w:rPr>
          <w:rFonts w:hint="eastAsia" w:ascii="宋体" w:hAnsi="宋体" w:eastAsia="宋体" w:cs="宋体"/>
        </w:rPr>
        <w:t xml:space="preserve">  0 区；</w:t>
      </w:r>
      <w:r>
        <w:rPr>
          <w:rFonts w:hint="eastAsia" w:ascii="宋体" w:hAnsi="宋体" w:eastAsia="宋体" w:cs="宋体"/>
        </w:rPr>
        <w:tab/>
      </w:r>
      <w:r>
        <w:rPr>
          <w:rFonts w:hint="eastAsia" w:ascii="宋体" w:hAnsi="宋体" w:eastAsia="宋体" w:cs="宋体"/>
        </w:rPr>
        <w:t xml:space="preserve">       1 区；        </w:t>
      </w:r>
      <w:r>
        <w:rPr>
          <w:rFonts w:hint="eastAsia" w:ascii="宋体" w:hAnsi="宋体" w:eastAsia="宋体" w:cs="宋体"/>
        </w:rPr>
        <w:tab/>
      </w:r>
      <w:r>
        <w:rPr>
          <w:rFonts w:hint="eastAsia" w:ascii="宋体" w:hAnsi="宋体" w:eastAsia="宋体" w:cs="宋体"/>
        </w:rPr>
        <w:t>2 区</w:t>
      </w:r>
    </w:p>
    <w:p>
      <w:pPr>
        <w:ind w:firstLine="562" w:firstLineChars="200"/>
        <w:rPr>
          <w:rFonts w:hint="eastAsia" w:ascii="宋体" w:hAnsi="宋体" w:eastAsia="宋体" w:cs="宋体"/>
          <w:b/>
          <w:bCs/>
          <w:sz w:val="28"/>
          <w:szCs w:val="28"/>
        </w:rPr>
      </w:pPr>
    </w:p>
    <w:p>
      <w:pPr>
        <w:ind w:firstLine="562" w:firstLineChars="200"/>
        <w:rPr>
          <w:rFonts w:hint="eastAsia" w:ascii="宋体" w:hAnsi="宋体" w:eastAsia="宋体" w:cs="宋体"/>
          <w:b/>
          <w:bCs/>
          <w:sz w:val="28"/>
          <w:szCs w:val="28"/>
        </w:rPr>
      </w:pPr>
      <w:r>
        <w:rPr>
          <w:rFonts w:hint="eastAsia" w:ascii="宋体" w:hAnsi="宋体" w:eastAsia="宋体" w:cs="宋体"/>
          <w:b/>
          <w:bCs/>
          <w:sz w:val="28"/>
          <w:szCs w:val="28"/>
        </w:rPr>
        <w:t>该加油站的爆炸危险区域划分示意图见附录：爆炸危险区域划分图。</w:t>
      </w:r>
    </w:p>
    <w:p>
      <w:pPr>
        <w:spacing w:line="500" w:lineRule="exact"/>
        <w:ind w:firstLine="560" w:firstLineChars="200"/>
        <w:rPr>
          <w:rFonts w:hint="eastAsia" w:ascii="宋体" w:hAnsi="宋体" w:eastAsia="宋体" w:cs="宋体"/>
          <w:sz w:val="28"/>
          <w:szCs w:val="28"/>
        </w:rPr>
      </w:pPr>
    </w:p>
    <w:p>
      <w:pPr>
        <w:spacing w:line="500" w:lineRule="exact"/>
        <w:ind w:firstLine="560" w:firstLineChars="200"/>
        <w:rPr>
          <w:rFonts w:hint="eastAsia" w:ascii="宋体" w:hAnsi="宋体" w:eastAsia="宋体" w:cs="宋体"/>
          <w:sz w:val="28"/>
          <w:szCs w:val="28"/>
        </w:rPr>
      </w:pPr>
    </w:p>
    <w:p>
      <w:pPr>
        <w:pStyle w:val="2"/>
        <w:jc w:val="center"/>
        <w:rPr>
          <w:rFonts w:hint="eastAsia" w:ascii="宋体" w:hAnsi="宋体" w:eastAsia="宋体" w:cs="宋体"/>
        </w:rPr>
      </w:pPr>
      <w:bookmarkStart w:id="636" w:name="_Toc936_WPSOffice_Level1"/>
      <w:bookmarkStart w:id="637" w:name="_Toc21047"/>
      <w:bookmarkStart w:id="638" w:name="_Toc12364_WPSOffice_Level1"/>
      <w:bookmarkStart w:id="639" w:name="_Toc1150"/>
      <w:bookmarkStart w:id="640" w:name="_Toc18544"/>
      <w:bookmarkStart w:id="641" w:name="_Toc32218_WPSOffice_Level1"/>
      <w:r>
        <w:rPr>
          <w:rFonts w:hint="eastAsia" w:ascii="宋体" w:hAnsi="宋体" w:eastAsia="宋体" w:cs="宋体"/>
        </w:rPr>
        <w:t>附件2 安全评价方法简介</w:t>
      </w:r>
      <w:bookmarkEnd w:id="636"/>
      <w:bookmarkEnd w:id="637"/>
      <w:bookmarkEnd w:id="638"/>
      <w:bookmarkEnd w:id="639"/>
      <w:bookmarkEnd w:id="640"/>
      <w:bookmarkEnd w:id="641"/>
    </w:p>
    <w:p>
      <w:pPr>
        <w:pStyle w:val="3"/>
        <w:bidi w:val="0"/>
        <w:rPr>
          <w:rFonts w:hint="eastAsia" w:ascii="宋体" w:hAnsi="宋体" w:eastAsia="宋体" w:cs="宋体"/>
        </w:rPr>
      </w:pPr>
      <w:bookmarkStart w:id="642" w:name="_Toc8658_WPSOffice_Level2"/>
      <w:bookmarkStart w:id="643" w:name="_Toc4521_WPSOffice_Level2"/>
      <w:bookmarkStart w:id="644" w:name="_Toc9840"/>
      <w:bookmarkStart w:id="645" w:name="_Toc31027_WPSOffice_Level2"/>
      <w:r>
        <w:rPr>
          <w:rFonts w:hint="eastAsia" w:ascii="宋体" w:hAnsi="宋体" w:eastAsia="宋体" w:cs="宋体"/>
        </w:rPr>
        <w:t>2.</w:t>
      </w:r>
      <w:r>
        <w:rPr>
          <w:rFonts w:hint="eastAsia" w:ascii="宋体" w:hAnsi="宋体" w:eastAsia="宋体" w:cs="宋体"/>
          <w:lang w:val="en-US"/>
        </w:rPr>
        <w:t>1</w:t>
      </w:r>
      <w:r>
        <w:rPr>
          <w:rFonts w:hint="eastAsia" w:ascii="宋体" w:hAnsi="宋体" w:eastAsia="宋体" w:cs="宋体"/>
        </w:rPr>
        <w:t xml:space="preserve"> 安全检查表</w:t>
      </w:r>
      <w:bookmarkEnd w:id="642"/>
      <w:bookmarkEnd w:id="643"/>
      <w:bookmarkEnd w:id="644"/>
      <w:bookmarkEnd w:id="645"/>
    </w:p>
    <w:p>
      <w:pPr>
        <w:keepNext w:val="0"/>
        <w:keepLines w:val="0"/>
        <w:pageBreakBefore w:val="0"/>
        <w:widowControl w:val="0"/>
        <w:kinsoku/>
        <w:wordWrap/>
        <w:overflowPunct/>
        <w:topLinePunct w:val="0"/>
        <w:autoSpaceDE w:val="0"/>
        <w:autoSpaceDN w:val="0"/>
        <w:bidi w:val="0"/>
        <w:adjustRightInd/>
        <w:snapToGrid/>
        <w:spacing w:line="560" w:lineRule="exact"/>
        <w:ind w:firstLine="524" w:firstLineChars="200"/>
        <w:textAlignment w:val="auto"/>
        <w:rPr>
          <w:rFonts w:hint="eastAsia" w:ascii="宋体" w:hAnsi="宋体" w:eastAsia="宋体" w:cs="宋体"/>
          <w:spacing w:val="-9"/>
          <w:sz w:val="28"/>
          <w:szCs w:val="28"/>
          <w:lang w:val="zh-CN" w:eastAsia="zh-CN" w:bidi="zh-CN"/>
        </w:rPr>
      </w:pPr>
      <w:r>
        <w:rPr>
          <w:rFonts w:hint="eastAsia" w:ascii="宋体" w:hAnsi="宋体" w:eastAsia="宋体" w:cs="宋体"/>
          <w:spacing w:val="-9"/>
          <w:sz w:val="28"/>
          <w:szCs w:val="28"/>
          <w:lang w:val="zh-CN" w:eastAsia="zh-CN" w:bidi="zh-CN"/>
        </w:rPr>
        <w:t>为了查找系统中各种设备设施、物料、操作、管理和组织措施中的危险、有害因素，事先把检查对象加以分解将大系统分割成若干小的子系统，以提问或打分的形式，将一系列分析项目列出检查表进行分析逐项检查，避免遗漏，这种表称为安全检查表。</w:t>
      </w:r>
    </w:p>
    <w:p>
      <w:pPr>
        <w:keepNext w:val="0"/>
        <w:keepLines w:val="0"/>
        <w:pageBreakBefore w:val="0"/>
        <w:widowControl w:val="0"/>
        <w:kinsoku/>
        <w:wordWrap/>
        <w:overflowPunct/>
        <w:topLinePunct w:val="0"/>
        <w:autoSpaceDE w:val="0"/>
        <w:autoSpaceDN w:val="0"/>
        <w:bidi w:val="0"/>
        <w:adjustRightInd/>
        <w:snapToGrid/>
        <w:spacing w:line="560" w:lineRule="exact"/>
        <w:ind w:firstLine="524" w:firstLineChars="200"/>
        <w:textAlignment w:val="auto"/>
        <w:rPr>
          <w:rFonts w:hint="eastAsia" w:ascii="宋体" w:hAnsi="宋体" w:eastAsia="宋体" w:cs="宋体"/>
          <w:spacing w:val="-9"/>
          <w:sz w:val="28"/>
          <w:szCs w:val="28"/>
          <w:lang w:val="zh-CN" w:eastAsia="zh-CN" w:bidi="zh-CN"/>
        </w:rPr>
      </w:pPr>
      <w:r>
        <w:rPr>
          <w:rFonts w:hint="eastAsia" w:ascii="宋体" w:hAnsi="宋体" w:eastAsia="宋体" w:cs="宋体"/>
          <w:spacing w:val="-9"/>
          <w:sz w:val="28"/>
          <w:szCs w:val="28"/>
          <w:lang w:val="zh-CN" w:eastAsia="zh-CN" w:bidi="zh-CN"/>
        </w:rPr>
        <w:t>安全检查表法（即SCL法）是一种最基础、最简便、最广泛使用的安全评价方法。安全检查表的分类方法可以有许多种，如可按基本类型、检查内容分类，也可按使用场所分类。目前常用安全检查表有定性检查表、半定量检查表和否决型检查表等三种类型。</w:t>
      </w:r>
    </w:p>
    <w:p>
      <w:pPr>
        <w:keepNext w:val="0"/>
        <w:keepLines w:val="0"/>
        <w:pageBreakBefore w:val="0"/>
        <w:widowControl w:val="0"/>
        <w:kinsoku/>
        <w:wordWrap/>
        <w:overflowPunct/>
        <w:topLinePunct w:val="0"/>
        <w:autoSpaceDE w:val="0"/>
        <w:autoSpaceDN w:val="0"/>
        <w:bidi w:val="0"/>
        <w:adjustRightInd/>
        <w:snapToGrid/>
        <w:spacing w:line="560" w:lineRule="exact"/>
        <w:ind w:firstLine="524" w:firstLineChars="200"/>
        <w:textAlignment w:val="auto"/>
        <w:rPr>
          <w:rFonts w:hint="eastAsia" w:ascii="宋体" w:hAnsi="宋体" w:eastAsia="宋体" w:cs="宋体"/>
          <w:spacing w:val="-9"/>
          <w:sz w:val="28"/>
          <w:szCs w:val="28"/>
          <w:lang w:val="zh-CN" w:eastAsia="zh-CN" w:bidi="zh-CN"/>
        </w:rPr>
      </w:pPr>
      <w:r>
        <w:rPr>
          <w:rFonts w:hint="eastAsia" w:ascii="宋体" w:hAnsi="宋体" w:eastAsia="宋体" w:cs="宋体"/>
          <w:spacing w:val="-9"/>
          <w:sz w:val="28"/>
          <w:szCs w:val="28"/>
          <w:lang w:val="zh-CN" w:eastAsia="zh-CN" w:bidi="zh-CN"/>
        </w:rPr>
        <w:t>定性安全检查表是列出检查要点逐项检查，检查结果以“是”、“否”或“有”、“无”表示，检查结果不能量化。</w:t>
      </w:r>
    </w:p>
    <w:p>
      <w:pPr>
        <w:keepNext w:val="0"/>
        <w:keepLines w:val="0"/>
        <w:pageBreakBefore w:val="0"/>
        <w:widowControl w:val="0"/>
        <w:kinsoku/>
        <w:wordWrap/>
        <w:overflowPunct/>
        <w:topLinePunct w:val="0"/>
        <w:autoSpaceDE w:val="0"/>
        <w:autoSpaceDN w:val="0"/>
        <w:bidi w:val="0"/>
        <w:adjustRightInd/>
        <w:snapToGrid/>
        <w:spacing w:line="560" w:lineRule="exact"/>
        <w:ind w:firstLine="524" w:firstLineChars="200"/>
        <w:textAlignment w:val="auto"/>
        <w:rPr>
          <w:rFonts w:hint="eastAsia" w:ascii="宋体" w:hAnsi="宋体" w:eastAsia="宋体" w:cs="宋体"/>
          <w:spacing w:val="-9"/>
          <w:sz w:val="28"/>
          <w:szCs w:val="28"/>
          <w:lang w:val="zh-CN" w:eastAsia="zh-CN" w:bidi="zh-CN"/>
        </w:rPr>
      </w:pPr>
      <w:r>
        <w:rPr>
          <w:rFonts w:hint="eastAsia" w:ascii="宋体" w:hAnsi="宋体" w:eastAsia="宋体" w:cs="宋体"/>
          <w:spacing w:val="-9"/>
          <w:sz w:val="28"/>
          <w:szCs w:val="28"/>
          <w:lang w:val="zh-CN" w:eastAsia="zh-CN" w:bidi="zh-CN"/>
        </w:rPr>
        <w:t>半定量检查表是给每个检查要点赋以分值，检查结果以总分表示，不同的检查对象可以相互比较，但缺点是检查要点的准确赋值比较困难。</w:t>
      </w:r>
    </w:p>
    <w:p>
      <w:pPr>
        <w:keepNext w:val="0"/>
        <w:keepLines w:val="0"/>
        <w:pageBreakBefore w:val="0"/>
        <w:widowControl w:val="0"/>
        <w:kinsoku/>
        <w:wordWrap/>
        <w:overflowPunct/>
        <w:topLinePunct w:val="0"/>
        <w:autoSpaceDE w:val="0"/>
        <w:autoSpaceDN w:val="0"/>
        <w:bidi w:val="0"/>
        <w:adjustRightInd/>
        <w:snapToGrid/>
        <w:spacing w:line="560" w:lineRule="exact"/>
        <w:ind w:firstLine="524" w:firstLineChars="200"/>
        <w:textAlignment w:val="auto"/>
        <w:rPr>
          <w:rFonts w:hint="eastAsia" w:ascii="宋体" w:hAnsi="宋体" w:eastAsia="宋体" w:cs="宋体"/>
          <w:spacing w:val="-9"/>
          <w:sz w:val="28"/>
          <w:szCs w:val="28"/>
          <w:lang w:val="zh-CN" w:eastAsia="zh-CN" w:bidi="zh-CN"/>
        </w:rPr>
      </w:pPr>
      <w:r>
        <w:rPr>
          <w:rFonts w:hint="eastAsia" w:ascii="宋体" w:hAnsi="宋体" w:eastAsia="宋体" w:cs="宋体"/>
          <w:spacing w:val="-9"/>
          <w:sz w:val="28"/>
          <w:szCs w:val="28"/>
          <w:lang w:val="zh-CN" w:eastAsia="zh-CN" w:bidi="zh-CN"/>
        </w:rPr>
        <w:t>否决型检查表是给一些特别重要的检查要点作出标记，这些检查要点如不满足，检查结果视为不合格，这样可以做到要点突出。</w:t>
      </w:r>
    </w:p>
    <w:p>
      <w:pPr>
        <w:ind w:firstLine="524" w:firstLineChars="200"/>
        <w:rPr>
          <w:rFonts w:hint="eastAsia" w:ascii="宋体" w:hAnsi="宋体" w:eastAsia="宋体" w:cs="宋体"/>
          <w:spacing w:val="-9"/>
          <w:sz w:val="28"/>
          <w:szCs w:val="28"/>
          <w:lang w:val="zh-CN" w:eastAsia="zh-CN" w:bidi="zh-CN"/>
        </w:rPr>
        <w:sectPr>
          <w:pgSz w:w="11910" w:h="16840"/>
          <w:pgMar w:top="1417" w:right="1134" w:bottom="1134" w:left="1587" w:header="720" w:footer="720" w:gutter="0"/>
          <w:pgNumType w:fmt="decimal"/>
          <w:cols w:space="0" w:num="1"/>
        </w:sectPr>
      </w:pPr>
    </w:p>
    <w:p>
      <w:pPr>
        <w:pStyle w:val="3"/>
        <w:bidi w:val="0"/>
        <w:rPr>
          <w:rFonts w:hint="eastAsia" w:ascii="宋体" w:hAnsi="宋体" w:eastAsia="宋体" w:cs="宋体"/>
        </w:rPr>
      </w:pPr>
      <w:bookmarkStart w:id="646" w:name="_Toc27373_WPSOffice_Level2"/>
      <w:bookmarkStart w:id="647" w:name="_Toc1927"/>
      <w:bookmarkStart w:id="648" w:name="_Toc21092_WPSOffice_Level2"/>
      <w:bookmarkStart w:id="649" w:name="_Toc3444_WPSOffice_Level2"/>
      <w:r>
        <w:rPr>
          <w:rFonts w:hint="eastAsia" w:ascii="宋体" w:hAnsi="宋体" w:eastAsia="宋体" w:cs="宋体"/>
        </w:rPr>
        <w:t>2.</w:t>
      </w:r>
      <w:r>
        <w:rPr>
          <w:rFonts w:hint="eastAsia" w:ascii="宋体" w:hAnsi="宋体" w:eastAsia="宋体" w:cs="宋体"/>
          <w:lang w:val="en-US"/>
        </w:rPr>
        <w:t>2</w:t>
      </w:r>
      <w:r>
        <w:rPr>
          <w:rFonts w:hint="eastAsia" w:ascii="宋体" w:hAnsi="宋体" w:eastAsia="宋体" w:cs="宋体"/>
        </w:rPr>
        <w:t xml:space="preserve"> 道化学火灾、爆炸危险指数评价</w:t>
      </w:r>
      <w:bookmarkEnd w:id="646"/>
      <w:bookmarkEnd w:id="647"/>
      <w:bookmarkEnd w:id="648"/>
      <w:bookmarkEnd w:id="649"/>
    </w:p>
    <w:p>
      <w:pPr>
        <w:keepNext w:val="0"/>
        <w:keepLines w:val="0"/>
        <w:pageBreakBefore w:val="0"/>
        <w:widowControl w:val="0"/>
        <w:kinsoku/>
        <w:wordWrap/>
        <w:overflowPunct/>
        <w:topLinePunct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道化学火灾爆炸指数评价法是由美国道化学公司开发的一种危险指数评价方法，火灾、爆炸危险指数法是用于评估特定工艺过程中的最大潜在危险性的一种工具，可使人们预测事故可能导致的实际危害及停产损失。并通过火灾、爆炸危险分析，提出相关措施，为项目投产后的安全生产管理提供依据。</w:t>
      </w:r>
    </w:p>
    <w:p>
      <w:pPr>
        <w:keepNext w:val="0"/>
        <w:keepLines w:val="0"/>
        <w:pageBreakBefore w:val="0"/>
        <w:widowControl w:val="0"/>
        <w:kinsoku/>
        <w:wordWrap/>
        <w:overflowPunct/>
        <w:topLinePunct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火灾、爆炸危险指数法评价程序如下：</w:t>
      </w:r>
    </w:p>
    <w:p>
      <w:pPr>
        <w:keepNext w:val="0"/>
        <w:keepLines w:val="0"/>
        <w:pageBreakBefore w:val="0"/>
        <w:widowControl w:val="0"/>
        <w:numPr>
          <w:ilvl w:val="0"/>
          <w:numId w:val="9"/>
        </w:numPr>
        <w:kinsoku/>
        <w:wordWrap/>
        <w:overflowPunct/>
        <w:topLinePunct w:val="0"/>
        <w:autoSpaceDE/>
        <w:autoSpaceDN/>
        <w:bidi w:val="0"/>
        <w:adjustRightInd/>
        <w:snapToGrid/>
        <w:spacing w:line="560" w:lineRule="exact"/>
        <w:jc w:val="both"/>
        <w:textAlignment w:val="auto"/>
        <w:rPr>
          <w:rFonts w:hint="eastAsia" w:ascii="宋体" w:hAnsi="宋体" w:eastAsia="宋体" w:cs="宋体"/>
          <w:sz w:val="28"/>
          <w:szCs w:val="28"/>
        </w:rPr>
      </w:pPr>
      <w:bookmarkStart w:id="650" w:name="_Toc2980_WPSOffice_Level3"/>
      <w:bookmarkStart w:id="651" w:name="_Toc10478_WPSOffice_Level3"/>
      <w:bookmarkStart w:id="652" w:name="_Toc27333_WPSOffice_Level3"/>
      <w:r>
        <w:rPr>
          <w:rFonts w:hint="eastAsia" w:ascii="宋体" w:hAnsi="宋体" w:eastAsia="宋体" w:cs="宋体"/>
          <w:sz w:val="28"/>
          <w:szCs w:val="28"/>
        </w:rPr>
        <w:t>选取工艺单元</w:t>
      </w:r>
      <w:bookmarkEnd w:id="650"/>
      <w:bookmarkEnd w:id="651"/>
      <w:bookmarkEnd w:id="652"/>
    </w:p>
    <w:p>
      <w:pPr>
        <w:keepNext w:val="0"/>
        <w:keepLines w:val="0"/>
        <w:pageBreakBefore w:val="0"/>
        <w:widowControl w:val="0"/>
        <w:numPr>
          <w:ilvl w:val="0"/>
          <w:numId w:val="9"/>
        </w:numPr>
        <w:kinsoku/>
        <w:wordWrap/>
        <w:overflowPunct/>
        <w:topLinePunct w:val="0"/>
        <w:autoSpaceDE/>
        <w:autoSpaceDN/>
        <w:bidi w:val="0"/>
        <w:adjustRightInd/>
        <w:snapToGrid/>
        <w:spacing w:line="560" w:lineRule="exact"/>
        <w:jc w:val="both"/>
        <w:textAlignment w:val="auto"/>
        <w:rPr>
          <w:rFonts w:hint="eastAsia" w:ascii="宋体" w:hAnsi="宋体" w:eastAsia="宋体" w:cs="宋体"/>
          <w:sz w:val="28"/>
          <w:szCs w:val="28"/>
        </w:rPr>
      </w:pPr>
      <w:bookmarkStart w:id="653" w:name="_Toc936_WPSOffice_Level3"/>
      <w:bookmarkStart w:id="654" w:name="_Toc23912_WPSOffice_Level3"/>
      <w:bookmarkStart w:id="655" w:name="_Toc16687_WPSOffice_Level3"/>
      <w:r>
        <w:rPr>
          <w:rFonts w:hint="eastAsia" w:ascii="宋体" w:hAnsi="宋体" w:eastAsia="宋体" w:cs="宋体"/>
          <w:sz w:val="28"/>
          <w:szCs w:val="28"/>
        </w:rPr>
        <w:t>确定单元物质系数（MF）</w:t>
      </w:r>
      <w:bookmarkEnd w:id="653"/>
      <w:bookmarkEnd w:id="654"/>
      <w:bookmarkEnd w:id="655"/>
    </w:p>
    <w:p>
      <w:pPr>
        <w:keepNext w:val="0"/>
        <w:keepLines w:val="0"/>
        <w:pageBreakBefore w:val="0"/>
        <w:widowControl w:val="0"/>
        <w:numPr>
          <w:ilvl w:val="0"/>
          <w:numId w:val="9"/>
        </w:numPr>
        <w:kinsoku/>
        <w:wordWrap/>
        <w:overflowPunct/>
        <w:topLinePunct w:val="0"/>
        <w:autoSpaceDE/>
        <w:autoSpaceDN/>
        <w:bidi w:val="0"/>
        <w:adjustRightInd/>
        <w:snapToGrid/>
        <w:spacing w:line="560" w:lineRule="exact"/>
        <w:jc w:val="both"/>
        <w:textAlignment w:val="auto"/>
        <w:rPr>
          <w:rFonts w:hint="eastAsia" w:ascii="宋体" w:hAnsi="宋体" w:eastAsia="宋体" w:cs="宋体"/>
          <w:sz w:val="28"/>
          <w:szCs w:val="28"/>
        </w:rPr>
      </w:pPr>
      <w:bookmarkStart w:id="656" w:name="_Toc15392_WPSOffice_Level3"/>
      <w:bookmarkStart w:id="657" w:name="_Toc4595_WPSOffice_Level3"/>
      <w:bookmarkStart w:id="658" w:name="_Toc12586_WPSOffice_Level3"/>
      <w:r>
        <w:rPr>
          <w:rFonts w:hint="eastAsia" w:ascii="宋体" w:hAnsi="宋体" w:eastAsia="宋体" w:cs="宋体"/>
          <w:sz w:val="28"/>
          <w:szCs w:val="28"/>
        </w:rPr>
        <w:t>计算一般工艺危险系数（F</w:t>
      </w:r>
      <w:r>
        <w:rPr>
          <w:rFonts w:hint="eastAsia" w:ascii="宋体" w:hAnsi="宋体" w:eastAsia="宋体" w:cs="宋体"/>
          <w:sz w:val="28"/>
          <w:szCs w:val="28"/>
          <w:vertAlign w:val="subscript"/>
        </w:rPr>
        <w:t>1</w:t>
      </w:r>
      <w:r>
        <w:rPr>
          <w:rFonts w:hint="eastAsia" w:ascii="宋体" w:hAnsi="宋体" w:eastAsia="宋体" w:cs="宋体"/>
          <w:sz w:val="28"/>
          <w:szCs w:val="28"/>
        </w:rPr>
        <w:t>）</w:t>
      </w:r>
      <w:bookmarkEnd w:id="656"/>
      <w:bookmarkEnd w:id="657"/>
      <w:bookmarkEnd w:id="658"/>
    </w:p>
    <w:p>
      <w:pPr>
        <w:keepNext w:val="0"/>
        <w:keepLines w:val="0"/>
        <w:pageBreakBefore w:val="0"/>
        <w:widowControl w:val="0"/>
        <w:numPr>
          <w:ilvl w:val="0"/>
          <w:numId w:val="9"/>
        </w:numPr>
        <w:kinsoku/>
        <w:wordWrap/>
        <w:overflowPunct/>
        <w:topLinePunct w:val="0"/>
        <w:autoSpaceDE/>
        <w:autoSpaceDN/>
        <w:bidi w:val="0"/>
        <w:adjustRightInd/>
        <w:snapToGrid/>
        <w:spacing w:line="560" w:lineRule="exact"/>
        <w:jc w:val="both"/>
        <w:textAlignment w:val="auto"/>
        <w:rPr>
          <w:rFonts w:hint="eastAsia" w:ascii="宋体" w:hAnsi="宋体" w:eastAsia="宋体" w:cs="宋体"/>
          <w:sz w:val="28"/>
          <w:szCs w:val="28"/>
        </w:rPr>
      </w:pPr>
      <w:bookmarkStart w:id="659" w:name="_Toc31410_WPSOffice_Level3"/>
      <w:bookmarkStart w:id="660" w:name="_Toc27780_WPSOffice_Level3"/>
      <w:bookmarkStart w:id="661" w:name="_Toc10178_WPSOffice_Level3"/>
      <w:r>
        <w:rPr>
          <w:rFonts w:hint="eastAsia" w:ascii="宋体" w:hAnsi="宋体" w:eastAsia="宋体" w:cs="宋体"/>
          <w:sz w:val="28"/>
          <w:szCs w:val="28"/>
        </w:rPr>
        <w:t>计算特殊工艺危险系数（F</w:t>
      </w:r>
      <w:r>
        <w:rPr>
          <w:rFonts w:hint="eastAsia" w:ascii="宋体" w:hAnsi="宋体" w:eastAsia="宋体" w:cs="宋体"/>
          <w:sz w:val="28"/>
          <w:szCs w:val="28"/>
          <w:vertAlign w:val="subscript"/>
        </w:rPr>
        <w:t>2</w:t>
      </w:r>
      <w:r>
        <w:rPr>
          <w:rFonts w:hint="eastAsia" w:ascii="宋体" w:hAnsi="宋体" w:eastAsia="宋体" w:cs="宋体"/>
          <w:sz w:val="28"/>
          <w:szCs w:val="28"/>
        </w:rPr>
        <w:t>）</w:t>
      </w:r>
      <w:bookmarkEnd w:id="659"/>
      <w:bookmarkEnd w:id="660"/>
      <w:bookmarkEnd w:id="661"/>
    </w:p>
    <w:p>
      <w:pPr>
        <w:keepNext w:val="0"/>
        <w:keepLines w:val="0"/>
        <w:pageBreakBefore w:val="0"/>
        <w:widowControl w:val="0"/>
        <w:numPr>
          <w:ilvl w:val="0"/>
          <w:numId w:val="9"/>
        </w:numPr>
        <w:kinsoku/>
        <w:wordWrap/>
        <w:overflowPunct/>
        <w:topLinePunct w:val="0"/>
        <w:autoSpaceDE/>
        <w:autoSpaceDN/>
        <w:bidi w:val="0"/>
        <w:adjustRightInd/>
        <w:snapToGrid/>
        <w:spacing w:line="560" w:lineRule="exact"/>
        <w:jc w:val="both"/>
        <w:textAlignment w:val="auto"/>
        <w:rPr>
          <w:rFonts w:hint="eastAsia" w:ascii="宋体" w:hAnsi="宋体" w:eastAsia="宋体" w:cs="宋体"/>
          <w:sz w:val="28"/>
          <w:szCs w:val="28"/>
        </w:rPr>
      </w:pPr>
      <w:bookmarkStart w:id="662" w:name="_Toc31027_WPSOffice_Level3"/>
      <w:bookmarkStart w:id="663" w:name="_Toc18080_WPSOffice_Level3"/>
      <w:bookmarkStart w:id="664" w:name="_Toc25700_WPSOffice_Level3"/>
      <w:r>
        <w:rPr>
          <w:rFonts w:hint="eastAsia" w:ascii="宋体" w:hAnsi="宋体" w:eastAsia="宋体" w:cs="宋体"/>
          <w:sz w:val="28"/>
          <w:szCs w:val="28"/>
        </w:rPr>
        <w:t>求取工艺单元危险系数（F</w:t>
      </w:r>
      <w:r>
        <w:rPr>
          <w:rFonts w:hint="eastAsia" w:ascii="宋体" w:hAnsi="宋体" w:eastAsia="宋体" w:cs="宋体"/>
          <w:sz w:val="28"/>
          <w:szCs w:val="28"/>
          <w:vertAlign w:val="subscript"/>
        </w:rPr>
        <w:t>3</w:t>
      </w:r>
      <w:r>
        <w:rPr>
          <w:rFonts w:hint="eastAsia" w:ascii="宋体" w:hAnsi="宋体" w:eastAsia="宋体" w:cs="宋体"/>
          <w:sz w:val="28"/>
          <w:szCs w:val="28"/>
        </w:rPr>
        <w:t>）</w:t>
      </w:r>
      <w:bookmarkEnd w:id="662"/>
      <w:bookmarkEnd w:id="663"/>
      <w:bookmarkEnd w:id="664"/>
    </w:p>
    <w:p>
      <w:pPr>
        <w:keepNext w:val="0"/>
        <w:keepLines w:val="0"/>
        <w:pageBreakBefore w:val="0"/>
        <w:widowControl w:val="0"/>
        <w:numPr>
          <w:ilvl w:val="0"/>
          <w:numId w:val="9"/>
        </w:numPr>
        <w:kinsoku/>
        <w:wordWrap/>
        <w:overflowPunct/>
        <w:topLinePunct w:val="0"/>
        <w:autoSpaceDE/>
        <w:autoSpaceDN/>
        <w:bidi w:val="0"/>
        <w:adjustRightInd/>
        <w:snapToGrid/>
        <w:spacing w:line="560" w:lineRule="exact"/>
        <w:jc w:val="both"/>
        <w:textAlignment w:val="auto"/>
        <w:rPr>
          <w:rFonts w:hint="eastAsia" w:ascii="宋体" w:hAnsi="宋体" w:eastAsia="宋体" w:cs="宋体"/>
          <w:sz w:val="28"/>
          <w:szCs w:val="28"/>
        </w:rPr>
      </w:pPr>
      <w:bookmarkStart w:id="665" w:name="_Toc3444_WPSOffice_Level3"/>
      <w:bookmarkStart w:id="666" w:name="_Toc21902_WPSOffice_Level3"/>
      <w:bookmarkStart w:id="667" w:name="_Toc19060_WPSOffice_Level3"/>
      <w:r>
        <w:rPr>
          <w:rFonts w:hint="eastAsia" w:ascii="宋体" w:hAnsi="宋体" w:eastAsia="宋体" w:cs="宋体"/>
          <w:sz w:val="28"/>
          <w:szCs w:val="28"/>
        </w:rPr>
        <w:t>确定火灾、爆炸指数（F&amp;EI）</w:t>
      </w:r>
      <w:bookmarkEnd w:id="665"/>
      <w:bookmarkEnd w:id="666"/>
      <w:bookmarkEnd w:id="667"/>
    </w:p>
    <w:p>
      <w:pPr>
        <w:keepNext w:val="0"/>
        <w:keepLines w:val="0"/>
        <w:pageBreakBefore w:val="0"/>
        <w:widowControl w:val="0"/>
        <w:numPr>
          <w:ilvl w:val="0"/>
          <w:numId w:val="9"/>
        </w:numPr>
        <w:kinsoku/>
        <w:wordWrap/>
        <w:overflowPunct/>
        <w:topLinePunct w:val="0"/>
        <w:autoSpaceDE/>
        <w:autoSpaceDN/>
        <w:bidi w:val="0"/>
        <w:adjustRightInd/>
        <w:snapToGrid/>
        <w:spacing w:line="560" w:lineRule="exact"/>
        <w:jc w:val="both"/>
        <w:textAlignment w:val="auto"/>
        <w:rPr>
          <w:rFonts w:hint="eastAsia" w:ascii="宋体" w:hAnsi="宋体" w:eastAsia="宋体" w:cs="宋体"/>
          <w:sz w:val="28"/>
          <w:szCs w:val="28"/>
        </w:rPr>
      </w:pPr>
      <w:bookmarkStart w:id="668" w:name="_Toc13155_WPSOffice_Level3"/>
      <w:bookmarkStart w:id="669" w:name="_Toc23517_WPSOffice_Level3"/>
      <w:bookmarkStart w:id="670" w:name="_Toc9361_WPSOffice_Level3"/>
      <w:r>
        <w:rPr>
          <w:rFonts w:hint="eastAsia" w:ascii="宋体" w:hAnsi="宋体" w:eastAsia="宋体" w:cs="宋体"/>
          <w:sz w:val="28"/>
          <w:szCs w:val="28"/>
        </w:rPr>
        <w:t>计算安全措施补偿系数 C</w:t>
      </w:r>
      <w:bookmarkEnd w:id="668"/>
      <w:bookmarkEnd w:id="669"/>
      <w:bookmarkEnd w:id="670"/>
    </w:p>
    <w:p>
      <w:pPr>
        <w:keepNext w:val="0"/>
        <w:keepLines w:val="0"/>
        <w:pageBreakBefore w:val="0"/>
        <w:widowControl w:val="0"/>
        <w:numPr>
          <w:ilvl w:val="0"/>
          <w:numId w:val="9"/>
        </w:numPr>
        <w:kinsoku/>
        <w:wordWrap/>
        <w:overflowPunct/>
        <w:topLinePunct w:val="0"/>
        <w:autoSpaceDE/>
        <w:autoSpaceDN/>
        <w:bidi w:val="0"/>
        <w:adjustRightInd/>
        <w:snapToGrid/>
        <w:spacing w:line="560" w:lineRule="exact"/>
        <w:jc w:val="both"/>
        <w:textAlignment w:val="auto"/>
        <w:rPr>
          <w:rFonts w:hint="eastAsia" w:ascii="宋体" w:hAnsi="宋体" w:eastAsia="宋体" w:cs="宋体"/>
          <w:sz w:val="28"/>
          <w:szCs w:val="28"/>
        </w:rPr>
      </w:pPr>
      <w:bookmarkStart w:id="671" w:name="_Toc25646_WPSOffice_Level3"/>
      <w:bookmarkStart w:id="672" w:name="_Toc20508_WPSOffice_Level3"/>
      <w:bookmarkStart w:id="673" w:name="_Toc20215_WPSOffice_Level3"/>
      <w:r>
        <w:rPr>
          <w:rFonts w:hint="eastAsia" w:ascii="宋体" w:hAnsi="宋体" w:eastAsia="宋体" w:cs="宋体"/>
          <w:sz w:val="28"/>
          <w:szCs w:val="28"/>
        </w:rPr>
        <w:t>确定暴露面积（A）</w:t>
      </w:r>
      <w:bookmarkEnd w:id="671"/>
      <w:bookmarkEnd w:id="672"/>
      <w:bookmarkEnd w:id="673"/>
    </w:p>
    <w:p>
      <w:pPr>
        <w:keepNext w:val="0"/>
        <w:keepLines w:val="0"/>
        <w:pageBreakBefore w:val="0"/>
        <w:widowControl w:val="0"/>
        <w:numPr>
          <w:ilvl w:val="0"/>
          <w:numId w:val="9"/>
        </w:numPr>
        <w:kinsoku/>
        <w:wordWrap/>
        <w:overflowPunct/>
        <w:topLinePunct w:val="0"/>
        <w:autoSpaceDE/>
        <w:autoSpaceDN/>
        <w:bidi w:val="0"/>
        <w:adjustRightInd/>
        <w:snapToGrid/>
        <w:spacing w:line="560" w:lineRule="exact"/>
        <w:jc w:val="both"/>
        <w:textAlignment w:val="auto"/>
        <w:rPr>
          <w:rFonts w:hint="eastAsia" w:ascii="宋体" w:hAnsi="宋体" w:eastAsia="宋体" w:cs="宋体"/>
          <w:sz w:val="28"/>
          <w:szCs w:val="28"/>
        </w:rPr>
      </w:pPr>
      <w:bookmarkStart w:id="674" w:name="_Toc8141_WPSOffice_Level3"/>
      <w:bookmarkStart w:id="675" w:name="_Toc26952_WPSOffice_Level3"/>
      <w:bookmarkStart w:id="676" w:name="_Toc18936_WPSOffice_Level3"/>
      <w:r>
        <w:rPr>
          <w:rFonts w:hint="eastAsia" w:ascii="宋体" w:hAnsi="宋体" w:eastAsia="宋体" w:cs="宋体"/>
          <w:sz w:val="28"/>
          <w:szCs w:val="28"/>
        </w:rPr>
        <w:t>确定危害系数（Y）</w:t>
      </w:r>
      <w:bookmarkEnd w:id="674"/>
      <w:bookmarkEnd w:id="675"/>
      <w:bookmarkEnd w:id="676"/>
    </w:p>
    <w:p>
      <w:pPr>
        <w:keepNext w:val="0"/>
        <w:keepLines w:val="0"/>
        <w:pageBreakBefore w:val="0"/>
        <w:widowControl w:val="0"/>
        <w:numPr>
          <w:ilvl w:val="0"/>
          <w:numId w:val="9"/>
        </w:numPr>
        <w:kinsoku/>
        <w:wordWrap/>
        <w:overflowPunct/>
        <w:topLinePunct w:val="0"/>
        <w:autoSpaceDE/>
        <w:autoSpaceDN/>
        <w:bidi w:val="0"/>
        <w:adjustRightInd/>
        <w:snapToGrid/>
        <w:spacing w:line="560" w:lineRule="exact"/>
        <w:jc w:val="both"/>
        <w:textAlignment w:val="auto"/>
        <w:rPr>
          <w:rFonts w:hint="eastAsia" w:ascii="宋体" w:hAnsi="宋体" w:eastAsia="宋体" w:cs="宋体"/>
          <w:sz w:val="28"/>
          <w:szCs w:val="28"/>
        </w:rPr>
      </w:pPr>
      <w:bookmarkStart w:id="677" w:name="_Toc20554_WPSOffice_Level3"/>
      <w:bookmarkStart w:id="678" w:name="_Toc31218_WPSOffice_Level3"/>
      <w:bookmarkStart w:id="679" w:name="_Toc28264_WPSOffice_Level3"/>
      <w:r>
        <w:rPr>
          <w:rFonts w:hint="eastAsia" w:ascii="宋体" w:hAnsi="宋体" w:eastAsia="宋体" w:cs="宋体"/>
          <w:sz w:val="28"/>
          <w:szCs w:val="28"/>
        </w:rPr>
        <w:t>确定基本最大可能财产损失（基本 MPPD）</w:t>
      </w:r>
      <w:bookmarkEnd w:id="677"/>
      <w:bookmarkEnd w:id="678"/>
      <w:bookmarkEnd w:id="679"/>
    </w:p>
    <w:p>
      <w:pPr>
        <w:keepNext w:val="0"/>
        <w:keepLines w:val="0"/>
        <w:pageBreakBefore w:val="0"/>
        <w:widowControl w:val="0"/>
        <w:numPr>
          <w:ilvl w:val="0"/>
          <w:numId w:val="9"/>
        </w:numPr>
        <w:kinsoku/>
        <w:wordWrap/>
        <w:overflowPunct/>
        <w:topLinePunct w:val="0"/>
        <w:autoSpaceDE/>
        <w:autoSpaceDN/>
        <w:bidi w:val="0"/>
        <w:adjustRightInd/>
        <w:snapToGrid/>
        <w:spacing w:line="560" w:lineRule="exact"/>
        <w:jc w:val="both"/>
        <w:textAlignment w:val="auto"/>
        <w:rPr>
          <w:rFonts w:hint="eastAsia" w:ascii="宋体" w:hAnsi="宋体" w:eastAsia="宋体" w:cs="宋体"/>
          <w:sz w:val="28"/>
          <w:szCs w:val="28"/>
        </w:rPr>
      </w:pPr>
      <w:bookmarkStart w:id="680" w:name="_Toc5630_WPSOffice_Level3"/>
      <w:bookmarkStart w:id="681" w:name="_Toc3912_WPSOffice_Level3"/>
      <w:bookmarkStart w:id="682" w:name="_Toc30131_WPSOffice_Level3"/>
      <w:r>
        <w:rPr>
          <w:rFonts w:hint="eastAsia" w:ascii="宋体" w:hAnsi="宋体" w:eastAsia="宋体" w:cs="宋体"/>
          <w:sz w:val="28"/>
          <w:szCs w:val="28"/>
        </w:rPr>
        <w:t>确定实际最大可能财产损失（实际 MPPD）</w:t>
      </w:r>
      <w:bookmarkEnd w:id="680"/>
      <w:bookmarkEnd w:id="681"/>
      <w:bookmarkEnd w:id="682"/>
    </w:p>
    <w:p>
      <w:pPr>
        <w:ind w:firstLine="440" w:firstLineChars="200"/>
        <w:rPr>
          <w:rFonts w:hint="eastAsia" w:ascii="宋体" w:hAnsi="宋体" w:eastAsia="宋体" w:cs="宋体"/>
        </w:rPr>
        <w:sectPr>
          <w:pgSz w:w="11910" w:h="16840"/>
          <w:pgMar w:top="1417" w:right="1134" w:bottom="1134" w:left="1587" w:header="720" w:footer="720" w:gutter="0"/>
          <w:pgNumType w:fmt="decimal"/>
          <w:cols w:space="0" w:num="1"/>
        </w:sectPr>
      </w:pPr>
    </w:p>
    <w:p>
      <w:pPr>
        <w:ind w:firstLine="440" w:firstLineChars="200"/>
        <w:rPr>
          <w:rFonts w:hint="eastAsia" w:ascii="宋体" w:hAnsi="宋体" w:eastAsia="宋体" w:cs="宋体"/>
        </w:rPr>
      </w:pPr>
    </w:p>
    <w:p>
      <w:pPr>
        <w:ind w:firstLine="440" w:firstLineChars="200"/>
        <w:rPr>
          <w:rFonts w:hint="eastAsia" w:ascii="宋体" w:hAnsi="宋体" w:eastAsia="宋体" w:cs="宋体"/>
        </w:rPr>
      </w:pPr>
      <w:r>
        <w:rPr>
          <w:rFonts w:hint="eastAsia" w:ascii="宋体" w:hAnsi="宋体" w:eastAsia="宋体" w:cs="宋体"/>
          <w:lang w:val="en-US" w:bidi="ar-SA"/>
        </w:rPr>
        <w:drawing>
          <wp:inline distT="0" distB="0" distL="0" distR="0">
            <wp:extent cx="5618480" cy="6590030"/>
            <wp:effectExtent l="0" t="0" r="1270" b="1270"/>
            <wp:docPr id="2027" name="图片 2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7" name="图片 2027"/>
                    <pic:cNvPicPr>
                      <a:picLocks noChangeAspect="1"/>
                    </pic:cNvPicPr>
                  </pic:nvPicPr>
                  <pic:blipFill>
                    <a:blip r:embed="rId66"/>
                    <a:stretch>
                      <a:fillRect/>
                    </a:stretch>
                  </pic:blipFill>
                  <pic:spPr>
                    <a:xfrm>
                      <a:off x="0" y="0"/>
                      <a:ext cx="5619048" cy="6590476"/>
                    </a:xfrm>
                    <a:prstGeom prst="rect">
                      <a:avLst/>
                    </a:prstGeom>
                  </pic:spPr>
                </pic:pic>
              </a:graphicData>
            </a:graphic>
          </wp:inline>
        </w:drawing>
      </w:r>
    </w:p>
    <w:p>
      <w:pPr>
        <w:ind w:firstLine="560" w:firstLineChars="200"/>
        <w:jc w:val="center"/>
        <w:rPr>
          <w:rFonts w:hint="eastAsia" w:ascii="宋体" w:hAnsi="宋体" w:eastAsia="宋体" w:cs="宋体"/>
          <w:sz w:val="28"/>
          <w:szCs w:val="28"/>
        </w:rPr>
      </w:pPr>
      <w:bookmarkStart w:id="683" w:name="_Toc9640_WPSOffice_Level3"/>
      <w:r>
        <w:rPr>
          <w:rFonts w:hint="eastAsia" w:ascii="宋体" w:hAnsi="宋体" w:eastAsia="宋体" w:cs="宋体"/>
          <w:sz w:val="28"/>
          <w:szCs w:val="28"/>
        </w:rPr>
        <w:t>图2.</w:t>
      </w:r>
      <w:r>
        <w:rPr>
          <w:rFonts w:hint="eastAsia" w:ascii="宋体" w:hAnsi="宋体" w:eastAsia="宋体" w:cs="宋体"/>
          <w:sz w:val="28"/>
          <w:szCs w:val="28"/>
          <w:lang w:val="en-US" w:eastAsia="zh-CN"/>
        </w:rPr>
        <w:t>2</w:t>
      </w:r>
      <w:r>
        <w:rPr>
          <w:rFonts w:hint="eastAsia" w:ascii="宋体" w:hAnsi="宋体" w:eastAsia="宋体" w:cs="宋体"/>
          <w:sz w:val="28"/>
          <w:szCs w:val="28"/>
        </w:rPr>
        <w:t>-1 道化法（第七版）评价程序图</w:t>
      </w:r>
      <w:bookmarkEnd w:id="683"/>
    </w:p>
    <w:p>
      <w:pPr>
        <w:ind w:firstLine="440" w:firstLineChars="200"/>
        <w:rPr>
          <w:rFonts w:hint="eastAsia" w:ascii="宋体" w:hAnsi="宋体" w:eastAsia="宋体" w:cs="宋体"/>
        </w:rPr>
        <w:sectPr>
          <w:pgSz w:w="11910" w:h="16840"/>
          <w:pgMar w:top="1417" w:right="1134" w:bottom="1134" w:left="1587" w:header="720" w:footer="720" w:gutter="0"/>
          <w:pgNumType w:fmt="decimal"/>
          <w:cols w:space="0" w:num="1"/>
        </w:sectPr>
      </w:pPr>
    </w:p>
    <w:p>
      <w:pPr>
        <w:pStyle w:val="2"/>
        <w:pageBreakBefore w:val="0"/>
        <w:widowControl w:val="0"/>
        <w:kinsoku/>
        <w:wordWrap/>
        <w:overflowPunct/>
        <w:topLinePunct w:val="0"/>
        <w:autoSpaceDE w:val="0"/>
        <w:autoSpaceDN w:val="0"/>
        <w:bidi w:val="0"/>
        <w:adjustRightInd/>
        <w:snapToGrid/>
        <w:spacing w:before="120" w:beforeLines="50" w:after="240" w:afterLines="100" w:line="560" w:lineRule="exact"/>
        <w:ind w:firstLine="0"/>
        <w:jc w:val="center"/>
        <w:textAlignment w:val="auto"/>
        <w:rPr>
          <w:rFonts w:hint="eastAsia" w:ascii="宋体" w:hAnsi="宋体" w:eastAsia="宋体" w:cs="宋体"/>
        </w:rPr>
      </w:pPr>
      <w:bookmarkStart w:id="684" w:name="_Toc4595_WPSOffice_Level1"/>
      <w:bookmarkStart w:id="685" w:name="_Toc5737_WPSOffice_Level1"/>
      <w:bookmarkStart w:id="686" w:name="_Toc12924"/>
      <w:bookmarkStart w:id="687" w:name="_Toc31906_WPSOffice_Level1"/>
      <w:bookmarkStart w:id="688" w:name="_Toc12526"/>
      <w:bookmarkStart w:id="689" w:name="_Toc18786"/>
      <w:r>
        <w:rPr>
          <w:rFonts w:hint="eastAsia" w:ascii="宋体" w:hAnsi="宋体" w:eastAsia="宋体" w:cs="宋体"/>
        </w:rPr>
        <w:t>附件3</w:t>
      </w:r>
      <w:r>
        <w:rPr>
          <w:rFonts w:hint="eastAsia" w:ascii="宋体" w:hAnsi="宋体" w:eastAsia="宋体" w:cs="宋体"/>
          <w:spacing w:val="78"/>
        </w:rPr>
        <w:t xml:space="preserve"> </w:t>
      </w:r>
      <w:r>
        <w:rPr>
          <w:rFonts w:hint="eastAsia" w:ascii="宋体" w:hAnsi="宋体" w:eastAsia="宋体" w:cs="宋体"/>
        </w:rPr>
        <w:t>危险、有害因素辨识与分析过程</w:t>
      </w:r>
      <w:bookmarkEnd w:id="684"/>
      <w:bookmarkEnd w:id="685"/>
      <w:bookmarkEnd w:id="686"/>
      <w:bookmarkEnd w:id="687"/>
      <w:bookmarkEnd w:id="688"/>
      <w:bookmarkEnd w:id="689"/>
    </w:p>
    <w:p>
      <w:pPr>
        <w:pStyle w:val="3"/>
        <w:pageBreakBefore w:val="0"/>
        <w:widowControl w:val="0"/>
        <w:kinsoku/>
        <w:wordWrap/>
        <w:overflowPunct/>
        <w:topLinePunct w:val="0"/>
        <w:autoSpaceDE w:val="0"/>
        <w:autoSpaceDN w:val="0"/>
        <w:bidi w:val="0"/>
        <w:adjustRightInd/>
        <w:snapToGrid/>
        <w:spacing w:before="120" w:beforeLines="50" w:after="240" w:afterLines="100" w:line="560" w:lineRule="exact"/>
        <w:jc w:val="center"/>
        <w:textAlignment w:val="auto"/>
        <w:rPr>
          <w:rFonts w:hint="eastAsia" w:ascii="宋体" w:hAnsi="宋体" w:eastAsia="宋体" w:cs="宋体"/>
          <w:b/>
          <w:bCs/>
        </w:rPr>
      </w:pPr>
      <w:bookmarkStart w:id="690" w:name="_Toc12446_WPSOffice_Level2"/>
      <w:bookmarkStart w:id="691" w:name="_Toc31532"/>
      <w:bookmarkStart w:id="692" w:name="_Toc13155_WPSOffice_Level2"/>
      <w:bookmarkStart w:id="693" w:name="_Toc21732"/>
      <w:bookmarkStart w:id="694" w:name="_Toc31411"/>
      <w:bookmarkStart w:id="695" w:name="_Toc12517_WPSOffice_Level2"/>
      <w:r>
        <w:rPr>
          <w:rFonts w:hint="eastAsia" w:ascii="宋体" w:hAnsi="宋体" w:eastAsia="宋体" w:cs="宋体"/>
          <w:b/>
          <w:bCs/>
        </w:rPr>
        <w:t xml:space="preserve">3.1 </w:t>
      </w:r>
      <w:bookmarkStart w:id="696" w:name="_Hlk531013309"/>
      <w:r>
        <w:rPr>
          <w:rFonts w:hint="eastAsia" w:ascii="宋体" w:hAnsi="宋体" w:eastAsia="宋体" w:cs="宋体"/>
          <w:b/>
          <w:bCs/>
        </w:rPr>
        <w:t>危险、有害因素辨识与分析</w:t>
      </w:r>
      <w:bookmarkEnd w:id="690"/>
      <w:bookmarkEnd w:id="691"/>
      <w:bookmarkEnd w:id="692"/>
      <w:bookmarkEnd w:id="693"/>
      <w:bookmarkEnd w:id="694"/>
      <w:bookmarkEnd w:id="695"/>
      <w:bookmarkEnd w:id="696"/>
    </w:p>
    <w:p>
      <w:pPr>
        <w:pStyle w:val="4"/>
        <w:pageBreakBefore w:val="0"/>
        <w:widowControl w:val="0"/>
        <w:kinsoku/>
        <w:wordWrap/>
        <w:overflowPunct/>
        <w:topLinePunct w:val="0"/>
        <w:autoSpaceDE w:val="0"/>
        <w:autoSpaceDN w:val="0"/>
        <w:bidi w:val="0"/>
        <w:adjustRightInd/>
        <w:snapToGrid/>
        <w:spacing w:before="240" w:beforeLines="100" w:after="240" w:afterLines="100" w:line="560" w:lineRule="exact"/>
        <w:ind w:firstLine="562" w:firstLineChars="200"/>
        <w:textAlignment w:val="auto"/>
        <w:rPr>
          <w:rFonts w:hint="eastAsia" w:ascii="宋体" w:hAnsi="宋体" w:eastAsia="宋体" w:cs="宋体"/>
          <w:sz w:val="28"/>
          <w:szCs w:val="28"/>
          <w:lang w:val="en-US"/>
        </w:rPr>
      </w:pPr>
      <w:bookmarkStart w:id="697" w:name="_Toc32274_WPSOffice_Level3"/>
      <w:bookmarkStart w:id="698" w:name="_Toc23121_WPSOffice_Level3"/>
      <w:bookmarkStart w:id="699" w:name="_Hlk531013287"/>
      <w:r>
        <w:rPr>
          <w:rFonts w:hint="eastAsia" w:ascii="宋体" w:hAnsi="宋体" w:eastAsia="宋体" w:cs="宋体"/>
          <w:sz w:val="28"/>
          <w:szCs w:val="28"/>
          <w:lang w:val="en-US"/>
        </w:rPr>
        <w:t>3.1.1 物质危险特性分析</w:t>
      </w:r>
      <w:bookmarkEnd w:id="697"/>
      <w:bookmarkEnd w:id="698"/>
      <w:bookmarkEnd w:id="699"/>
    </w:p>
    <w:p>
      <w:pPr>
        <w:pageBreakBefore w:val="0"/>
        <w:widowControl w:val="0"/>
        <w:kinsoku/>
        <w:wordWrap/>
        <w:overflowPunct/>
        <w:topLinePunct w:val="0"/>
        <w:autoSpaceDE w:val="0"/>
        <w:autoSpaceDN w:val="0"/>
        <w:bidi w:val="0"/>
        <w:adjustRightInd/>
        <w:snapToGrid/>
        <w:spacing w:line="560" w:lineRule="exact"/>
        <w:ind w:firstLine="524" w:firstLineChars="200"/>
        <w:jc w:val="both"/>
        <w:textAlignment w:val="auto"/>
        <w:rPr>
          <w:rFonts w:hint="eastAsia" w:ascii="宋体" w:hAnsi="宋体" w:eastAsia="宋体" w:cs="宋体"/>
          <w:spacing w:val="-9"/>
          <w:sz w:val="28"/>
          <w:szCs w:val="28"/>
          <w:lang w:val="zh-CN" w:eastAsia="zh-CN" w:bidi="zh-CN"/>
        </w:rPr>
      </w:pPr>
      <w:bookmarkStart w:id="700" w:name="_Hlk531013445"/>
      <w:r>
        <w:rPr>
          <w:rFonts w:hint="eastAsia" w:ascii="宋体" w:hAnsi="宋体" w:eastAsia="宋体" w:cs="宋体"/>
          <w:spacing w:val="-9"/>
          <w:sz w:val="28"/>
          <w:szCs w:val="28"/>
          <w:lang w:val="zh-CN" w:eastAsia="zh-CN" w:bidi="zh-CN"/>
        </w:rPr>
        <w:t>横坑加油站主要经营汽油和柴油，根据《危险化学品目录》（2015版），汽油和柴油[闭杯闪点≤60℃]确定为危险化学品。根据《全球化学品统一分类和标签制度》（GHS），汽油属易燃液体（类别2），即高度易燃液体；柴油[闭杯闪点≤60℃]属易燃液体（类别3）。根据《重点监管的危险化学品名录》（2013年完整版），汽油为国家重点监管危险化学品，火灾爆炸危险性较大。汽油和柴油的理化性质详见下表3.1-1、表3.1-2，其危险特性分析如下：</w:t>
      </w:r>
      <w:bookmarkEnd w:id="700"/>
    </w:p>
    <w:p>
      <w:pPr>
        <w:pageBreakBefore w:val="0"/>
        <w:widowControl w:val="0"/>
        <w:kinsoku/>
        <w:wordWrap/>
        <w:overflowPunct/>
        <w:topLinePunct w:val="0"/>
        <w:autoSpaceDE w:val="0"/>
        <w:autoSpaceDN w:val="0"/>
        <w:bidi w:val="0"/>
        <w:adjustRightInd/>
        <w:snapToGrid/>
        <w:spacing w:line="560" w:lineRule="exact"/>
        <w:ind w:firstLine="524" w:firstLineChars="200"/>
        <w:jc w:val="both"/>
        <w:textAlignment w:val="auto"/>
        <w:rPr>
          <w:rFonts w:hint="eastAsia" w:ascii="宋体" w:hAnsi="宋体" w:eastAsia="宋体" w:cs="宋体"/>
          <w:spacing w:val="-9"/>
          <w:sz w:val="28"/>
          <w:szCs w:val="28"/>
          <w:lang w:val="zh-CN" w:eastAsia="zh-CN" w:bidi="zh-CN"/>
        </w:rPr>
      </w:pPr>
      <w:r>
        <w:rPr>
          <w:rFonts w:hint="eastAsia" w:ascii="宋体" w:hAnsi="宋体" w:eastAsia="宋体" w:cs="宋体"/>
          <w:spacing w:val="-9"/>
          <w:sz w:val="28"/>
          <w:szCs w:val="28"/>
          <w:lang w:val="zh-CN" w:eastAsia="zh-CN" w:bidi="zh-CN"/>
        </w:rPr>
        <w:t>1）易燃性</w:t>
      </w:r>
    </w:p>
    <w:p>
      <w:pPr>
        <w:pageBreakBefore w:val="0"/>
        <w:widowControl w:val="0"/>
        <w:kinsoku/>
        <w:wordWrap/>
        <w:overflowPunct/>
        <w:topLinePunct w:val="0"/>
        <w:autoSpaceDE w:val="0"/>
        <w:autoSpaceDN w:val="0"/>
        <w:bidi w:val="0"/>
        <w:adjustRightInd/>
        <w:snapToGrid/>
        <w:spacing w:line="560" w:lineRule="exact"/>
        <w:ind w:firstLine="524" w:firstLineChars="200"/>
        <w:jc w:val="both"/>
        <w:textAlignment w:val="auto"/>
        <w:rPr>
          <w:rFonts w:hint="eastAsia" w:ascii="宋体" w:hAnsi="宋体" w:eastAsia="宋体" w:cs="宋体"/>
          <w:spacing w:val="-9"/>
          <w:sz w:val="28"/>
          <w:szCs w:val="28"/>
          <w:lang w:val="zh-CN" w:eastAsia="zh-CN" w:bidi="zh-CN"/>
        </w:rPr>
      </w:pPr>
      <w:r>
        <w:rPr>
          <w:rFonts w:hint="eastAsia" w:ascii="宋体" w:hAnsi="宋体" w:eastAsia="宋体" w:cs="宋体"/>
          <w:spacing w:val="-9"/>
          <w:sz w:val="28"/>
          <w:szCs w:val="28"/>
          <w:lang w:val="zh-CN" w:eastAsia="zh-CN" w:bidi="zh-CN"/>
        </w:rPr>
        <w:t>油品闪点越低，其火灾危险性就越大。汽油闪点较低，着火所需的能量极小（最小点火能量约为0.2</w:t>
      </w:r>
      <w:r>
        <w:rPr>
          <w:rFonts w:hint="eastAsia" w:ascii="宋体" w:hAnsi="宋体" w:eastAsia="宋体" w:cs="宋体"/>
          <w:spacing w:val="-9"/>
          <w:sz w:val="28"/>
          <w:szCs w:val="28"/>
          <w:lang w:val="en-US" w:eastAsia="zh-CN" w:bidi="zh-CN"/>
        </w:rPr>
        <w:t>mJ</w:t>
      </w:r>
      <w:r>
        <w:rPr>
          <w:rFonts w:hint="eastAsia" w:ascii="宋体" w:hAnsi="宋体" w:eastAsia="宋体" w:cs="宋体"/>
          <w:spacing w:val="-9"/>
          <w:sz w:val="28"/>
          <w:szCs w:val="28"/>
          <w:lang w:val="zh-CN" w:eastAsia="zh-CN" w:bidi="zh-CN"/>
        </w:rPr>
        <w:t>），具有高度的易燃性。汽油一旦发生燃烧，速度很快，如有充足的空气，很容易造成更大的危险性。</w:t>
      </w:r>
    </w:p>
    <w:p>
      <w:pPr>
        <w:pageBreakBefore w:val="0"/>
        <w:widowControl w:val="0"/>
        <w:kinsoku/>
        <w:wordWrap/>
        <w:overflowPunct/>
        <w:topLinePunct w:val="0"/>
        <w:autoSpaceDE w:val="0"/>
        <w:autoSpaceDN w:val="0"/>
        <w:bidi w:val="0"/>
        <w:adjustRightInd/>
        <w:snapToGrid/>
        <w:spacing w:line="560" w:lineRule="exact"/>
        <w:ind w:firstLine="524" w:firstLineChars="200"/>
        <w:jc w:val="both"/>
        <w:textAlignment w:val="auto"/>
        <w:rPr>
          <w:rFonts w:hint="eastAsia" w:ascii="宋体" w:hAnsi="宋体" w:eastAsia="宋体" w:cs="宋体"/>
          <w:spacing w:val="-9"/>
          <w:sz w:val="28"/>
          <w:szCs w:val="28"/>
          <w:lang w:val="zh-CN" w:eastAsia="zh-CN" w:bidi="zh-CN"/>
        </w:rPr>
      </w:pPr>
      <w:r>
        <w:rPr>
          <w:rFonts w:hint="eastAsia" w:ascii="宋体" w:hAnsi="宋体" w:eastAsia="宋体" w:cs="宋体"/>
          <w:spacing w:val="-9"/>
          <w:sz w:val="28"/>
          <w:szCs w:val="28"/>
          <w:lang w:val="zh-CN" w:eastAsia="zh-CN" w:bidi="zh-CN"/>
        </w:rPr>
        <w:t>根据闪点不同，油品的火灾危险性等级分为甲、乙、丙三类。汽油闪点-</w:t>
      </w:r>
      <w:r>
        <w:rPr>
          <w:rFonts w:hint="eastAsia" w:ascii="宋体" w:hAnsi="宋体" w:eastAsia="宋体" w:cs="宋体"/>
          <w:spacing w:val="-9"/>
          <w:sz w:val="28"/>
          <w:szCs w:val="28"/>
          <w:lang w:val="en-US" w:eastAsia="zh-CN" w:bidi="zh-CN"/>
        </w:rPr>
        <w:t>46</w:t>
      </w:r>
      <w:r>
        <w:rPr>
          <w:rFonts w:hint="eastAsia" w:ascii="宋体" w:hAnsi="宋体" w:eastAsia="宋体" w:cs="宋体"/>
          <w:spacing w:val="-9"/>
          <w:sz w:val="28"/>
          <w:szCs w:val="28"/>
          <w:lang w:val="zh-CN" w:eastAsia="zh-CN" w:bidi="zh-CN"/>
        </w:rPr>
        <w:t>℃，属甲类油品。柴油闪点≤</w:t>
      </w:r>
      <w:r>
        <w:rPr>
          <w:rFonts w:hint="eastAsia" w:ascii="宋体" w:hAnsi="宋体" w:eastAsia="宋体" w:cs="宋体"/>
          <w:spacing w:val="-9"/>
          <w:sz w:val="28"/>
          <w:szCs w:val="28"/>
          <w:lang w:val="en-US" w:eastAsia="zh-CN" w:bidi="zh-CN"/>
        </w:rPr>
        <w:t>60</w:t>
      </w:r>
      <w:r>
        <w:rPr>
          <w:rFonts w:hint="eastAsia" w:ascii="宋体" w:hAnsi="宋体" w:eastAsia="宋体" w:cs="宋体"/>
          <w:spacing w:val="-9"/>
          <w:sz w:val="28"/>
          <w:szCs w:val="28"/>
          <w:lang w:val="zh-CN" w:eastAsia="zh-CN" w:bidi="zh-CN"/>
        </w:rPr>
        <w:t>℃，属乙类油品。根据《建筑设计防火规范》分级，汽油的火灾危险性类别为甲类，柴油的火灾危险性类别为乙类。</w:t>
      </w:r>
    </w:p>
    <w:p>
      <w:pPr>
        <w:pageBreakBefore w:val="0"/>
        <w:widowControl w:val="0"/>
        <w:kinsoku/>
        <w:wordWrap/>
        <w:overflowPunct/>
        <w:topLinePunct w:val="0"/>
        <w:autoSpaceDE w:val="0"/>
        <w:autoSpaceDN w:val="0"/>
        <w:bidi w:val="0"/>
        <w:adjustRightInd/>
        <w:snapToGrid/>
        <w:spacing w:line="560" w:lineRule="exact"/>
        <w:ind w:firstLine="524" w:firstLineChars="200"/>
        <w:jc w:val="both"/>
        <w:textAlignment w:val="auto"/>
        <w:rPr>
          <w:rFonts w:hint="eastAsia" w:ascii="宋体" w:hAnsi="宋体" w:eastAsia="宋体" w:cs="宋体"/>
          <w:spacing w:val="-9"/>
          <w:sz w:val="28"/>
          <w:szCs w:val="28"/>
          <w:lang w:val="zh-CN" w:eastAsia="zh-CN" w:bidi="zh-CN"/>
        </w:rPr>
      </w:pPr>
      <w:r>
        <w:rPr>
          <w:rFonts w:hint="eastAsia" w:ascii="宋体" w:hAnsi="宋体" w:eastAsia="宋体" w:cs="宋体"/>
          <w:spacing w:val="-9"/>
          <w:sz w:val="28"/>
          <w:szCs w:val="28"/>
          <w:lang w:val="zh-CN" w:eastAsia="zh-CN" w:bidi="zh-CN"/>
        </w:rPr>
        <w:t>2）易爆性</w:t>
      </w:r>
    </w:p>
    <w:p>
      <w:pPr>
        <w:pageBreakBefore w:val="0"/>
        <w:widowControl w:val="0"/>
        <w:kinsoku/>
        <w:wordWrap/>
        <w:overflowPunct/>
        <w:topLinePunct w:val="0"/>
        <w:autoSpaceDE w:val="0"/>
        <w:autoSpaceDN w:val="0"/>
        <w:bidi w:val="0"/>
        <w:adjustRightInd/>
        <w:snapToGrid/>
        <w:spacing w:line="560" w:lineRule="exact"/>
        <w:ind w:firstLine="524" w:firstLineChars="200"/>
        <w:jc w:val="both"/>
        <w:textAlignment w:val="auto"/>
        <w:rPr>
          <w:rFonts w:hint="eastAsia" w:ascii="宋体" w:hAnsi="宋体" w:eastAsia="宋体" w:cs="宋体"/>
          <w:spacing w:val="-9"/>
          <w:sz w:val="28"/>
          <w:szCs w:val="28"/>
          <w:lang w:val="zh-CN" w:eastAsia="zh-CN" w:bidi="zh-CN"/>
        </w:rPr>
      </w:pPr>
      <w:r>
        <w:rPr>
          <w:rFonts w:hint="eastAsia" w:ascii="宋体" w:hAnsi="宋体" w:eastAsia="宋体" w:cs="宋体"/>
          <w:spacing w:val="-9"/>
          <w:sz w:val="28"/>
          <w:szCs w:val="28"/>
          <w:lang w:val="zh-CN" w:eastAsia="zh-CN" w:bidi="zh-CN"/>
        </w:rPr>
        <w:t>油蒸气与空气可形成爆炸性混合气体，当达到一定混合比例范围时遇点火源即能发生爆炸。爆炸的危险性取决于爆炸下限和爆炸范围，爆炸下限越低或爆炸范围越宽，爆炸的危险性就越大。汽油的爆炸下限极低，混合气体中汽油蒸汽浓度达到1.4%，在极小的点火能量下即可引起混合气体爆炸。汽油的爆炸极限范围为1.4%至7.6%（体积比），爆炸危险性很大。</w:t>
      </w:r>
    </w:p>
    <w:p>
      <w:pPr>
        <w:pageBreakBefore w:val="0"/>
        <w:widowControl w:val="0"/>
        <w:kinsoku/>
        <w:wordWrap/>
        <w:overflowPunct/>
        <w:topLinePunct w:val="0"/>
        <w:autoSpaceDE w:val="0"/>
        <w:autoSpaceDN w:val="0"/>
        <w:bidi w:val="0"/>
        <w:adjustRightInd/>
        <w:snapToGrid/>
        <w:spacing w:line="560" w:lineRule="exact"/>
        <w:ind w:firstLine="524" w:firstLineChars="200"/>
        <w:jc w:val="both"/>
        <w:textAlignment w:val="auto"/>
        <w:rPr>
          <w:rFonts w:hint="eastAsia" w:ascii="宋体" w:hAnsi="宋体" w:eastAsia="宋体" w:cs="宋体"/>
          <w:spacing w:val="-9"/>
          <w:sz w:val="28"/>
          <w:szCs w:val="28"/>
          <w:lang w:val="zh-CN" w:eastAsia="zh-CN" w:bidi="zh-CN"/>
        </w:rPr>
      </w:pPr>
      <w:r>
        <w:rPr>
          <w:rFonts w:hint="eastAsia" w:ascii="宋体" w:hAnsi="宋体" w:eastAsia="宋体" w:cs="宋体"/>
          <w:spacing w:val="-9"/>
          <w:sz w:val="28"/>
          <w:szCs w:val="28"/>
          <w:lang w:val="zh-CN" w:eastAsia="zh-CN" w:bidi="zh-CN"/>
        </w:rPr>
        <w:t>3）易积聚静电荷性</w:t>
      </w:r>
    </w:p>
    <w:p>
      <w:pPr>
        <w:pageBreakBefore w:val="0"/>
        <w:widowControl w:val="0"/>
        <w:kinsoku/>
        <w:wordWrap/>
        <w:overflowPunct/>
        <w:topLinePunct w:val="0"/>
        <w:autoSpaceDE w:val="0"/>
        <w:autoSpaceDN w:val="0"/>
        <w:bidi w:val="0"/>
        <w:adjustRightInd/>
        <w:snapToGrid/>
        <w:spacing w:line="560" w:lineRule="exact"/>
        <w:ind w:firstLine="524" w:firstLineChars="200"/>
        <w:jc w:val="both"/>
        <w:textAlignment w:val="auto"/>
        <w:rPr>
          <w:rFonts w:hint="eastAsia" w:ascii="宋体" w:hAnsi="宋体" w:eastAsia="宋体" w:cs="宋体"/>
          <w:spacing w:val="-9"/>
          <w:sz w:val="28"/>
          <w:szCs w:val="28"/>
          <w:lang w:val="zh-CN" w:eastAsia="zh-CN" w:bidi="zh-CN"/>
        </w:rPr>
      </w:pPr>
      <w:r>
        <w:rPr>
          <w:rFonts w:hint="eastAsia" w:ascii="宋体" w:hAnsi="宋体" w:eastAsia="宋体" w:cs="宋体"/>
          <w:spacing w:val="-9"/>
          <w:sz w:val="28"/>
          <w:szCs w:val="28"/>
          <w:lang w:val="zh-CN" w:eastAsia="zh-CN" w:bidi="zh-CN"/>
        </w:rPr>
        <w:t>油品为非极性物质，电阻率高，导电性能差，积累电荷的能力较强。油品在输送、灌装等过程中，由于摩擦容易产生静电。当静电荷积聚到一定程度时，就会产生电火花，如果静电火花能量达到或大于油品蒸气的最小点火能量时，就会立即引起燃烧和爆炸。</w:t>
      </w:r>
    </w:p>
    <w:p>
      <w:pPr>
        <w:pageBreakBefore w:val="0"/>
        <w:widowControl w:val="0"/>
        <w:kinsoku/>
        <w:wordWrap/>
        <w:overflowPunct/>
        <w:topLinePunct w:val="0"/>
        <w:autoSpaceDE w:val="0"/>
        <w:autoSpaceDN w:val="0"/>
        <w:bidi w:val="0"/>
        <w:adjustRightInd/>
        <w:snapToGrid/>
        <w:spacing w:line="560" w:lineRule="exact"/>
        <w:ind w:firstLine="524" w:firstLineChars="200"/>
        <w:jc w:val="both"/>
        <w:textAlignment w:val="auto"/>
        <w:rPr>
          <w:rFonts w:hint="eastAsia" w:ascii="宋体" w:hAnsi="宋体" w:eastAsia="宋体" w:cs="宋体"/>
          <w:spacing w:val="-9"/>
          <w:sz w:val="28"/>
          <w:szCs w:val="28"/>
          <w:lang w:val="zh-CN" w:eastAsia="zh-CN" w:bidi="zh-CN"/>
        </w:rPr>
      </w:pPr>
      <w:r>
        <w:rPr>
          <w:rFonts w:hint="eastAsia" w:ascii="宋体" w:hAnsi="宋体" w:eastAsia="宋体" w:cs="宋体"/>
          <w:spacing w:val="-9"/>
          <w:sz w:val="28"/>
          <w:szCs w:val="28"/>
          <w:lang w:val="zh-CN" w:eastAsia="zh-CN" w:bidi="zh-CN"/>
        </w:rPr>
        <w:t>油品在储运、经营过程中，其静电的产生和积聚量大小与流速、摩擦、阻力、冲击、晃动、气候等有关。如不采取有效的措施去防止静电的产生和积聚，就容易引起放电闪火，成为引火源，引发火灾事故。</w:t>
      </w:r>
    </w:p>
    <w:p>
      <w:pPr>
        <w:pageBreakBefore w:val="0"/>
        <w:widowControl w:val="0"/>
        <w:kinsoku/>
        <w:wordWrap/>
        <w:overflowPunct/>
        <w:topLinePunct w:val="0"/>
        <w:autoSpaceDE w:val="0"/>
        <w:autoSpaceDN w:val="0"/>
        <w:bidi w:val="0"/>
        <w:adjustRightInd/>
        <w:snapToGrid/>
        <w:spacing w:line="560" w:lineRule="exact"/>
        <w:ind w:firstLine="524" w:firstLineChars="200"/>
        <w:jc w:val="both"/>
        <w:textAlignment w:val="auto"/>
        <w:rPr>
          <w:rFonts w:hint="eastAsia" w:ascii="宋体" w:hAnsi="宋体" w:eastAsia="宋体" w:cs="宋体"/>
          <w:spacing w:val="-9"/>
          <w:sz w:val="28"/>
          <w:szCs w:val="28"/>
          <w:lang w:val="zh-CN" w:eastAsia="zh-CN" w:bidi="zh-CN"/>
        </w:rPr>
      </w:pPr>
      <w:r>
        <w:rPr>
          <w:rFonts w:hint="eastAsia" w:ascii="宋体" w:hAnsi="宋体" w:eastAsia="宋体" w:cs="宋体"/>
          <w:spacing w:val="-9"/>
          <w:sz w:val="28"/>
          <w:szCs w:val="28"/>
          <w:lang w:val="zh-CN" w:eastAsia="zh-CN" w:bidi="zh-CN"/>
        </w:rPr>
        <w:t>4）易受热膨胀、不可压缩性</w:t>
      </w:r>
    </w:p>
    <w:p>
      <w:pPr>
        <w:pageBreakBefore w:val="0"/>
        <w:widowControl w:val="0"/>
        <w:kinsoku/>
        <w:wordWrap/>
        <w:overflowPunct/>
        <w:topLinePunct w:val="0"/>
        <w:autoSpaceDE w:val="0"/>
        <w:autoSpaceDN w:val="0"/>
        <w:bidi w:val="0"/>
        <w:adjustRightInd/>
        <w:snapToGrid/>
        <w:spacing w:line="560" w:lineRule="exact"/>
        <w:ind w:firstLine="524" w:firstLineChars="200"/>
        <w:jc w:val="both"/>
        <w:textAlignment w:val="auto"/>
        <w:rPr>
          <w:rFonts w:hint="eastAsia" w:ascii="宋体" w:hAnsi="宋体" w:eastAsia="宋体" w:cs="宋体"/>
          <w:spacing w:val="-9"/>
          <w:sz w:val="28"/>
          <w:szCs w:val="28"/>
          <w:lang w:val="zh-CN" w:eastAsia="zh-CN" w:bidi="zh-CN"/>
        </w:rPr>
      </w:pPr>
      <w:r>
        <w:rPr>
          <w:rFonts w:hint="eastAsia" w:ascii="宋体" w:hAnsi="宋体" w:eastAsia="宋体" w:cs="宋体"/>
          <w:spacing w:val="-9"/>
          <w:sz w:val="28"/>
          <w:szCs w:val="28"/>
          <w:lang w:val="zh-CN" w:eastAsia="zh-CN" w:bidi="zh-CN"/>
        </w:rPr>
        <w:t>油品受热后温度升高，体积膨胀。储存油品的密闭容器如靠近高温或受日光曝晒，会因内部压力升高而胀坏容器，故油罐容积必须留有裕量。另一方面如果温度降低，体积缩小，容器内出现负压，则密闭容器在大气压的作用下可能会发生变形。因此油罐必须设置通气管，以便释放和吸入气体，维持油罐内部和外部气压相对平衡。油罐应埋地敷设，以减轻气温对储存油品的影响。</w:t>
      </w:r>
    </w:p>
    <w:p>
      <w:pPr>
        <w:pageBreakBefore w:val="0"/>
        <w:widowControl w:val="0"/>
        <w:kinsoku/>
        <w:wordWrap/>
        <w:overflowPunct/>
        <w:topLinePunct w:val="0"/>
        <w:autoSpaceDE w:val="0"/>
        <w:autoSpaceDN w:val="0"/>
        <w:bidi w:val="0"/>
        <w:adjustRightInd/>
        <w:snapToGrid/>
        <w:spacing w:line="560" w:lineRule="exact"/>
        <w:ind w:firstLine="524" w:firstLineChars="200"/>
        <w:jc w:val="both"/>
        <w:textAlignment w:val="auto"/>
        <w:rPr>
          <w:rFonts w:hint="eastAsia" w:ascii="宋体" w:hAnsi="宋体" w:eastAsia="宋体" w:cs="宋体"/>
          <w:spacing w:val="-9"/>
          <w:sz w:val="28"/>
          <w:szCs w:val="28"/>
          <w:lang w:val="zh-CN" w:eastAsia="zh-CN" w:bidi="zh-CN"/>
        </w:rPr>
      </w:pPr>
      <w:r>
        <w:rPr>
          <w:rFonts w:hint="eastAsia" w:ascii="宋体" w:hAnsi="宋体" w:eastAsia="宋体" w:cs="宋体"/>
          <w:spacing w:val="-9"/>
          <w:sz w:val="28"/>
          <w:szCs w:val="28"/>
          <w:lang w:val="zh-CN" w:eastAsia="zh-CN" w:bidi="zh-CN"/>
        </w:rPr>
        <w:t xml:space="preserve">5）易蒸发和易扩散 </w:t>
      </w:r>
    </w:p>
    <w:p>
      <w:pPr>
        <w:pageBreakBefore w:val="0"/>
        <w:widowControl w:val="0"/>
        <w:kinsoku/>
        <w:wordWrap/>
        <w:overflowPunct/>
        <w:topLinePunct w:val="0"/>
        <w:autoSpaceDE w:val="0"/>
        <w:autoSpaceDN w:val="0"/>
        <w:bidi w:val="0"/>
        <w:adjustRightInd/>
        <w:snapToGrid/>
        <w:spacing w:line="560" w:lineRule="exact"/>
        <w:ind w:firstLine="524" w:firstLineChars="200"/>
        <w:jc w:val="both"/>
        <w:textAlignment w:val="auto"/>
        <w:rPr>
          <w:rFonts w:hint="eastAsia" w:ascii="宋体" w:hAnsi="宋体" w:eastAsia="宋体" w:cs="宋体"/>
          <w:spacing w:val="-9"/>
          <w:sz w:val="28"/>
          <w:szCs w:val="28"/>
          <w:lang w:val="zh-CN" w:eastAsia="zh-CN" w:bidi="zh-CN"/>
        </w:rPr>
      </w:pPr>
      <w:r>
        <w:rPr>
          <w:rFonts w:hint="eastAsia" w:ascii="宋体" w:hAnsi="宋体" w:eastAsia="宋体" w:cs="宋体"/>
          <w:spacing w:val="-9"/>
          <w:sz w:val="28"/>
          <w:szCs w:val="28"/>
          <w:lang w:val="zh-CN" w:eastAsia="zh-CN" w:bidi="zh-CN"/>
        </w:rPr>
        <w:t>油品中的轻质组分很容易离开液体挥发到大气中去，沸点越低，蒸发性越强。汽油在较低的气温下就能蒸发，柴油在常温下蒸发相对较慢。随着温度升高，蒸发速度加快。蒸发形成的油蒸气相对密度较大（比重大于空气），容易扩散，可能贴地面、水面流动飘散，还能存积在坑洼处与空气混合形成爆炸气体，油品这种易蒸发、易扩散的特性，往往是引起火灾爆炸的根源。</w:t>
      </w:r>
    </w:p>
    <w:p>
      <w:pPr>
        <w:pageBreakBefore w:val="0"/>
        <w:widowControl w:val="0"/>
        <w:kinsoku/>
        <w:wordWrap/>
        <w:overflowPunct/>
        <w:topLinePunct w:val="0"/>
        <w:autoSpaceDE w:val="0"/>
        <w:autoSpaceDN w:val="0"/>
        <w:bidi w:val="0"/>
        <w:adjustRightInd/>
        <w:snapToGrid/>
        <w:spacing w:line="560" w:lineRule="exact"/>
        <w:ind w:firstLine="524" w:firstLineChars="200"/>
        <w:jc w:val="both"/>
        <w:textAlignment w:val="auto"/>
        <w:rPr>
          <w:rFonts w:hint="eastAsia" w:ascii="宋体" w:hAnsi="宋体" w:eastAsia="宋体" w:cs="宋体"/>
          <w:spacing w:val="-9"/>
          <w:sz w:val="28"/>
          <w:szCs w:val="28"/>
          <w:lang w:val="zh-CN" w:eastAsia="zh-CN" w:bidi="zh-CN"/>
        </w:rPr>
      </w:pPr>
      <w:r>
        <w:rPr>
          <w:rFonts w:hint="eastAsia" w:ascii="宋体" w:hAnsi="宋体" w:eastAsia="宋体" w:cs="宋体"/>
          <w:spacing w:val="-9"/>
          <w:sz w:val="28"/>
          <w:szCs w:val="28"/>
          <w:lang w:val="zh-CN" w:eastAsia="zh-CN" w:bidi="zh-CN"/>
        </w:rPr>
        <w:t>6）有毒性</w:t>
      </w:r>
    </w:p>
    <w:p>
      <w:pPr>
        <w:pageBreakBefore w:val="0"/>
        <w:widowControl w:val="0"/>
        <w:kinsoku/>
        <w:wordWrap/>
        <w:overflowPunct/>
        <w:topLinePunct w:val="0"/>
        <w:autoSpaceDE w:val="0"/>
        <w:autoSpaceDN w:val="0"/>
        <w:bidi w:val="0"/>
        <w:adjustRightInd/>
        <w:snapToGrid/>
        <w:spacing w:line="560" w:lineRule="exact"/>
        <w:ind w:firstLine="524" w:firstLineChars="200"/>
        <w:jc w:val="both"/>
        <w:textAlignment w:val="auto"/>
        <w:rPr>
          <w:rFonts w:hint="eastAsia" w:ascii="宋体" w:hAnsi="宋体" w:eastAsia="宋体" w:cs="宋体"/>
          <w:spacing w:val="-9"/>
          <w:sz w:val="28"/>
          <w:szCs w:val="28"/>
          <w:lang w:val="zh-CN" w:eastAsia="zh-CN" w:bidi="zh-CN"/>
        </w:rPr>
      </w:pPr>
      <w:r>
        <w:rPr>
          <w:rFonts w:hint="eastAsia" w:ascii="宋体" w:hAnsi="宋体" w:eastAsia="宋体" w:cs="宋体"/>
          <w:spacing w:val="-9"/>
          <w:sz w:val="28"/>
          <w:szCs w:val="28"/>
          <w:lang w:val="zh-CN" w:eastAsia="zh-CN" w:bidi="zh-CN"/>
        </w:rPr>
        <w:t>油品大多含有烯烃、芳香烃、硫化物等烃类有机物和无机物，具有一定的毒性。油蒸气经口、鼻进入呼吸系统，能使人体器官受损。少则刺激人体肌肤，重则破坏生理机能，引起功能障碍、疾病等。按照《职业性接触毒物危害程度分级》进行毒性危害程度分级，汽油和柴油毒性属“轻度危害”。</w:t>
      </w:r>
    </w:p>
    <w:p>
      <w:pPr>
        <w:pStyle w:val="6"/>
        <w:pageBreakBefore w:val="0"/>
        <w:widowControl w:val="0"/>
        <w:kinsoku/>
        <w:wordWrap/>
        <w:overflowPunct/>
        <w:topLinePunct w:val="0"/>
        <w:autoSpaceDE w:val="0"/>
        <w:autoSpaceDN w:val="0"/>
        <w:bidi w:val="0"/>
        <w:adjustRightInd/>
        <w:snapToGrid/>
        <w:spacing w:line="560" w:lineRule="exact"/>
        <w:ind w:firstLine="562" w:firstLineChars="200"/>
        <w:jc w:val="both"/>
        <w:textAlignment w:val="auto"/>
        <w:rPr>
          <w:rFonts w:hint="eastAsia" w:ascii="宋体" w:hAnsi="宋体" w:eastAsia="宋体" w:cs="宋体"/>
          <w:b/>
          <w:bCs/>
        </w:rPr>
      </w:pPr>
      <w:r>
        <w:rPr>
          <w:rFonts w:hint="eastAsia" w:ascii="宋体" w:hAnsi="宋体" w:eastAsia="宋体" w:cs="宋体"/>
          <w:b/>
          <w:bCs/>
        </w:rPr>
        <w:t>从该加油站涉及的油品的理化常数和危险特性可知，该加油站主要的危险因素为火灾、爆炸，主要有害因素为毒性危害。</w:t>
      </w:r>
    </w:p>
    <w:p>
      <w:pPr>
        <w:pStyle w:val="6"/>
        <w:spacing w:line="500" w:lineRule="exact"/>
        <w:ind w:firstLine="560" w:firstLineChars="200"/>
        <w:rPr>
          <w:rFonts w:hint="eastAsia" w:ascii="宋体" w:hAnsi="宋体" w:eastAsia="宋体" w:cs="宋体"/>
        </w:rPr>
      </w:pPr>
    </w:p>
    <w:p>
      <w:pPr>
        <w:pStyle w:val="6"/>
        <w:tabs>
          <w:tab w:val="left" w:pos="6844"/>
        </w:tabs>
        <w:spacing w:before="70"/>
        <w:jc w:val="center"/>
        <w:rPr>
          <w:rFonts w:hint="eastAsia" w:ascii="宋体" w:hAnsi="宋体" w:eastAsia="宋体" w:cs="宋体"/>
          <w:sz w:val="24"/>
          <w:szCs w:val="24"/>
        </w:rPr>
      </w:pPr>
      <w:bookmarkStart w:id="701" w:name="_Toc18555_WPSOffice_Level3"/>
      <w:bookmarkStart w:id="702" w:name="_Toc9257_WPSOffice_Level3"/>
      <w:bookmarkStart w:id="703" w:name="_Toc22039_WPSOffice_Level3"/>
      <w:r>
        <w:rPr>
          <w:rFonts w:hint="eastAsia" w:ascii="宋体" w:hAnsi="宋体" w:eastAsia="宋体" w:cs="宋体"/>
          <w:sz w:val="24"/>
          <w:szCs w:val="24"/>
        </w:rPr>
        <w:t>附表</w:t>
      </w:r>
      <w:r>
        <w:rPr>
          <w:rFonts w:hint="eastAsia" w:ascii="宋体" w:hAnsi="宋体" w:eastAsia="宋体" w:cs="宋体"/>
          <w:spacing w:val="6"/>
          <w:sz w:val="24"/>
          <w:szCs w:val="24"/>
        </w:rPr>
        <w:t xml:space="preserve">3.1-1 </w:t>
      </w:r>
      <w:r>
        <w:rPr>
          <w:rFonts w:hint="eastAsia" w:ascii="宋体" w:hAnsi="宋体" w:eastAsia="宋体" w:cs="宋体"/>
          <w:spacing w:val="19"/>
          <w:sz w:val="24"/>
          <w:szCs w:val="24"/>
        </w:rPr>
        <w:t>汽油的理化性质及危险特</w:t>
      </w:r>
      <w:r>
        <w:rPr>
          <w:rFonts w:hint="eastAsia" w:ascii="宋体" w:hAnsi="宋体" w:eastAsia="宋体" w:cs="宋体"/>
          <w:sz w:val="24"/>
          <w:szCs w:val="24"/>
        </w:rPr>
        <w:t>性</w:t>
      </w:r>
      <w:bookmarkEnd w:id="701"/>
      <w:bookmarkEnd w:id="702"/>
      <w:bookmarkEnd w:id="703"/>
    </w:p>
    <w:tbl>
      <w:tblPr>
        <w:tblStyle w:val="21"/>
        <w:tblW w:w="9173"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92"/>
        <w:gridCol w:w="1846"/>
        <w:gridCol w:w="1420"/>
        <w:gridCol w:w="398"/>
        <w:gridCol w:w="215"/>
        <w:gridCol w:w="484"/>
        <w:gridCol w:w="877"/>
        <w:gridCol w:w="761"/>
        <w:gridCol w:w="1126"/>
        <w:gridCol w:w="155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0" w:hRule="atLeast"/>
        </w:trPr>
        <w:tc>
          <w:tcPr>
            <w:tcW w:w="492" w:type="dxa"/>
            <w:vMerge w:val="restart"/>
          </w:tcPr>
          <w:p>
            <w:pPr>
              <w:pStyle w:val="23"/>
              <w:spacing w:before="98" w:line="400" w:lineRule="atLeast"/>
              <w:ind w:left="126" w:right="131"/>
              <w:rPr>
                <w:rFonts w:hint="eastAsia" w:ascii="宋体" w:hAnsi="宋体" w:eastAsia="宋体" w:cs="宋体"/>
                <w:sz w:val="21"/>
                <w:szCs w:val="21"/>
              </w:rPr>
            </w:pPr>
            <w:r>
              <w:rPr>
                <w:rFonts w:hint="eastAsia" w:ascii="宋体" w:hAnsi="宋体" w:eastAsia="宋体" w:cs="宋体"/>
                <w:sz w:val="21"/>
                <w:szCs w:val="21"/>
              </w:rPr>
              <w:t>标识</w:t>
            </w:r>
          </w:p>
        </w:tc>
        <w:tc>
          <w:tcPr>
            <w:tcW w:w="1846" w:type="dxa"/>
          </w:tcPr>
          <w:p>
            <w:pPr>
              <w:pStyle w:val="23"/>
              <w:spacing w:before="166"/>
              <w:ind w:left="566"/>
              <w:rPr>
                <w:rFonts w:hint="eastAsia" w:ascii="宋体" w:hAnsi="宋体" w:eastAsia="宋体" w:cs="宋体"/>
                <w:sz w:val="21"/>
                <w:szCs w:val="21"/>
              </w:rPr>
            </w:pPr>
            <w:r>
              <w:rPr>
                <w:rFonts w:hint="eastAsia" w:ascii="宋体" w:hAnsi="宋体" w:eastAsia="宋体" w:cs="宋体"/>
                <w:sz w:val="21"/>
                <w:szCs w:val="21"/>
              </w:rPr>
              <w:t>中文名</w:t>
            </w:r>
          </w:p>
        </w:tc>
        <w:tc>
          <w:tcPr>
            <w:tcW w:w="3394" w:type="dxa"/>
            <w:gridSpan w:val="5"/>
          </w:tcPr>
          <w:p>
            <w:pPr>
              <w:pStyle w:val="23"/>
              <w:spacing w:before="166"/>
              <w:ind w:left="1271" w:right="1255"/>
              <w:jc w:val="center"/>
              <w:rPr>
                <w:rFonts w:hint="eastAsia" w:ascii="宋体" w:hAnsi="宋体" w:eastAsia="宋体" w:cs="宋体"/>
                <w:sz w:val="21"/>
                <w:szCs w:val="21"/>
              </w:rPr>
            </w:pPr>
            <w:r>
              <w:rPr>
                <w:rFonts w:hint="eastAsia" w:ascii="宋体" w:hAnsi="宋体" w:eastAsia="宋体" w:cs="宋体"/>
                <w:sz w:val="21"/>
                <w:szCs w:val="21"/>
              </w:rPr>
              <w:t>汽油</w:t>
            </w:r>
          </w:p>
        </w:tc>
        <w:tc>
          <w:tcPr>
            <w:tcW w:w="1887" w:type="dxa"/>
            <w:gridSpan w:val="2"/>
          </w:tcPr>
          <w:p>
            <w:pPr>
              <w:pStyle w:val="23"/>
              <w:spacing w:before="166"/>
              <w:ind w:left="112"/>
              <w:rPr>
                <w:rFonts w:hint="eastAsia" w:ascii="宋体" w:hAnsi="宋体" w:eastAsia="宋体" w:cs="宋体"/>
                <w:sz w:val="21"/>
                <w:szCs w:val="21"/>
              </w:rPr>
            </w:pPr>
            <w:r>
              <w:rPr>
                <w:rFonts w:hint="eastAsia" w:ascii="宋体" w:hAnsi="宋体" w:eastAsia="宋体" w:cs="宋体"/>
                <w:sz w:val="21"/>
                <w:szCs w:val="21"/>
              </w:rPr>
              <w:t>危险化学品序号</w:t>
            </w:r>
          </w:p>
        </w:tc>
        <w:tc>
          <w:tcPr>
            <w:tcW w:w="1554" w:type="dxa"/>
          </w:tcPr>
          <w:p>
            <w:pPr>
              <w:pStyle w:val="23"/>
              <w:spacing w:before="166"/>
              <w:ind w:left="237" w:right="146"/>
              <w:jc w:val="center"/>
              <w:rPr>
                <w:rFonts w:hint="eastAsia" w:ascii="宋体" w:hAnsi="宋体" w:eastAsia="宋体" w:cs="宋体"/>
                <w:sz w:val="21"/>
                <w:szCs w:val="21"/>
              </w:rPr>
            </w:pPr>
            <w:r>
              <w:rPr>
                <w:rFonts w:hint="eastAsia" w:ascii="宋体" w:hAnsi="宋体" w:eastAsia="宋体" w:cs="宋体"/>
                <w:sz w:val="21"/>
                <w:szCs w:val="21"/>
              </w:rPr>
              <w:t>1630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0" w:hRule="atLeast"/>
        </w:trPr>
        <w:tc>
          <w:tcPr>
            <w:tcW w:w="492" w:type="dxa"/>
            <w:vMerge w:val="continue"/>
            <w:tcBorders>
              <w:top w:val="nil"/>
            </w:tcBorders>
          </w:tcPr>
          <w:p>
            <w:pPr>
              <w:rPr>
                <w:rFonts w:hint="eastAsia" w:ascii="宋体" w:hAnsi="宋体" w:eastAsia="宋体" w:cs="宋体"/>
                <w:sz w:val="21"/>
                <w:szCs w:val="21"/>
              </w:rPr>
            </w:pPr>
          </w:p>
        </w:tc>
        <w:tc>
          <w:tcPr>
            <w:tcW w:w="1846" w:type="dxa"/>
          </w:tcPr>
          <w:p>
            <w:pPr>
              <w:pStyle w:val="23"/>
              <w:spacing w:before="164"/>
              <w:ind w:left="566"/>
              <w:rPr>
                <w:rFonts w:hint="eastAsia" w:ascii="宋体" w:hAnsi="宋体" w:eastAsia="宋体" w:cs="宋体"/>
                <w:sz w:val="21"/>
                <w:szCs w:val="21"/>
              </w:rPr>
            </w:pPr>
            <w:r>
              <w:rPr>
                <w:rFonts w:hint="eastAsia" w:ascii="宋体" w:hAnsi="宋体" w:eastAsia="宋体" w:cs="宋体"/>
                <w:sz w:val="21"/>
                <w:szCs w:val="21"/>
              </w:rPr>
              <w:t>英文名</w:t>
            </w:r>
          </w:p>
        </w:tc>
        <w:tc>
          <w:tcPr>
            <w:tcW w:w="3394" w:type="dxa"/>
            <w:gridSpan w:val="5"/>
          </w:tcPr>
          <w:p>
            <w:pPr>
              <w:pStyle w:val="23"/>
              <w:spacing w:before="164"/>
              <w:ind w:left="871"/>
              <w:rPr>
                <w:rFonts w:hint="eastAsia" w:ascii="宋体" w:hAnsi="宋体" w:eastAsia="宋体" w:cs="宋体"/>
                <w:sz w:val="21"/>
                <w:szCs w:val="21"/>
              </w:rPr>
            </w:pPr>
            <w:r>
              <w:rPr>
                <w:rFonts w:hint="eastAsia" w:ascii="宋体" w:hAnsi="宋体" w:eastAsia="宋体" w:cs="宋体"/>
                <w:spacing w:val="8"/>
                <w:sz w:val="21"/>
                <w:szCs w:val="21"/>
              </w:rPr>
              <w:t>Gasoline；</w:t>
            </w:r>
            <w:r>
              <w:rPr>
                <w:rFonts w:hint="eastAsia" w:ascii="宋体" w:hAnsi="宋体" w:eastAsia="宋体" w:cs="宋体"/>
                <w:spacing w:val="7"/>
                <w:sz w:val="21"/>
                <w:szCs w:val="21"/>
              </w:rPr>
              <w:t>Petrol</w:t>
            </w:r>
          </w:p>
        </w:tc>
        <w:tc>
          <w:tcPr>
            <w:tcW w:w="1887" w:type="dxa"/>
            <w:gridSpan w:val="2"/>
          </w:tcPr>
          <w:p>
            <w:pPr>
              <w:pStyle w:val="23"/>
              <w:spacing w:before="164"/>
              <w:ind w:left="520"/>
              <w:rPr>
                <w:rFonts w:hint="eastAsia" w:ascii="宋体" w:hAnsi="宋体" w:eastAsia="宋体" w:cs="宋体"/>
                <w:sz w:val="21"/>
                <w:szCs w:val="21"/>
              </w:rPr>
            </w:pPr>
            <w:r>
              <w:rPr>
                <w:rFonts w:hint="eastAsia" w:ascii="宋体" w:hAnsi="宋体" w:eastAsia="宋体" w:cs="宋体"/>
                <w:sz w:val="21"/>
                <w:szCs w:val="21"/>
              </w:rPr>
              <w:t>CAS 号</w:t>
            </w:r>
          </w:p>
        </w:tc>
        <w:tc>
          <w:tcPr>
            <w:tcW w:w="1554" w:type="dxa"/>
          </w:tcPr>
          <w:p>
            <w:pPr>
              <w:pStyle w:val="23"/>
              <w:spacing w:before="174"/>
              <w:ind w:left="237" w:right="245"/>
              <w:jc w:val="center"/>
              <w:rPr>
                <w:rFonts w:hint="eastAsia" w:ascii="宋体" w:hAnsi="宋体" w:eastAsia="宋体" w:cs="宋体"/>
                <w:sz w:val="21"/>
                <w:szCs w:val="21"/>
              </w:rPr>
            </w:pPr>
            <w:r>
              <w:rPr>
                <w:rFonts w:hint="eastAsia" w:ascii="宋体" w:hAnsi="宋体" w:eastAsia="宋体" w:cs="宋体"/>
                <w:sz w:val="21"/>
                <w:szCs w:val="21"/>
              </w:rPr>
              <w:t>86290-81-5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5" w:hRule="atLeast"/>
        </w:trPr>
        <w:tc>
          <w:tcPr>
            <w:tcW w:w="492" w:type="dxa"/>
            <w:vMerge w:val="restart"/>
          </w:tcPr>
          <w:p>
            <w:pPr>
              <w:pStyle w:val="23"/>
              <w:spacing w:before="111" w:line="357" w:lineRule="auto"/>
              <w:ind w:left="126" w:right="131"/>
              <w:jc w:val="both"/>
              <w:rPr>
                <w:rFonts w:hint="eastAsia" w:ascii="宋体" w:hAnsi="宋体" w:eastAsia="宋体" w:cs="宋体"/>
                <w:sz w:val="21"/>
                <w:szCs w:val="21"/>
              </w:rPr>
            </w:pPr>
            <w:r>
              <w:rPr>
                <w:rFonts w:hint="eastAsia" w:ascii="宋体" w:hAnsi="宋体" w:eastAsia="宋体" w:cs="宋体"/>
                <w:sz w:val="21"/>
                <w:szCs w:val="21"/>
              </w:rPr>
              <w:t>理化性</w:t>
            </w:r>
          </w:p>
          <w:p>
            <w:pPr>
              <w:pStyle w:val="23"/>
              <w:spacing w:line="267" w:lineRule="exact"/>
              <w:ind w:left="126"/>
              <w:jc w:val="both"/>
              <w:rPr>
                <w:rFonts w:hint="eastAsia" w:ascii="宋体" w:hAnsi="宋体" w:eastAsia="宋体" w:cs="宋体"/>
                <w:sz w:val="21"/>
                <w:szCs w:val="21"/>
              </w:rPr>
            </w:pPr>
            <w:r>
              <w:rPr>
                <w:rFonts w:hint="eastAsia" w:ascii="宋体" w:hAnsi="宋体" w:eastAsia="宋体" w:cs="宋体"/>
                <w:sz w:val="21"/>
                <w:szCs w:val="21"/>
              </w:rPr>
              <w:t>质</w:t>
            </w:r>
          </w:p>
        </w:tc>
        <w:tc>
          <w:tcPr>
            <w:tcW w:w="1846" w:type="dxa"/>
          </w:tcPr>
          <w:p>
            <w:pPr>
              <w:pStyle w:val="23"/>
              <w:spacing w:before="171"/>
              <w:ind w:left="338"/>
              <w:rPr>
                <w:rFonts w:hint="eastAsia" w:ascii="宋体" w:hAnsi="宋体" w:eastAsia="宋体" w:cs="宋体"/>
                <w:sz w:val="21"/>
                <w:szCs w:val="21"/>
              </w:rPr>
            </w:pPr>
            <w:r>
              <w:rPr>
                <w:rFonts w:hint="eastAsia" w:ascii="宋体" w:hAnsi="宋体" w:eastAsia="宋体" w:cs="宋体"/>
                <w:sz w:val="21"/>
                <w:szCs w:val="21"/>
              </w:rPr>
              <w:t>外观与性状</w:t>
            </w:r>
          </w:p>
        </w:tc>
        <w:tc>
          <w:tcPr>
            <w:tcW w:w="6835" w:type="dxa"/>
            <w:gridSpan w:val="8"/>
          </w:tcPr>
          <w:p>
            <w:pPr>
              <w:pStyle w:val="23"/>
              <w:spacing w:before="171"/>
              <w:ind w:left="107"/>
              <w:rPr>
                <w:rFonts w:hint="eastAsia" w:ascii="宋体" w:hAnsi="宋体" w:eastAsia="宋体" w:cs="宋体"/>
                <w:sz w:val="21"/>
                <w:szCs w:val="21"/>
              </w:rPr>
            </w:pPr>
            <w:r>
              <w:rPr>
                <w:rFonts w:hint="eastAsia" w:ascii="宋体" w:hAnsi="宋体" w:eastAsia="宋体" w:cs="宋体"/>
                <w:sz w:val="21"/>
                <w:szCs w:val="21"/>
              </w:rPr>
              <w:t>无色或淡黄色易挥发液体，具有特殊臭味。</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4" w:hRule="atLeast"/>
        </w:trPr>
        <w:tc>
          <w:tcPr>
            <w:tcW w:w="492" w:type="dxa"/>
            <w:vMerge w:val="continue"/>
            <w:tcBorders>
              <w:top w:val="nil"/>
            </w:tcBorders>
          </w:tcPr>
          <w:p>
            <w:pPr>
              <w:rPr>
                <w:rFonts w:hint="eastAsia" w:ascii="宋体" w:hAnsi="宋体" w:eastAsia="宋体" w:cs="宋体"/>
                <w:sz w:val="21"/>
                <w:szCs w:val="21"/>
              </w:rPr>
            </w:pPr>
          </w:p>
        </w:tc>
        <w:tc>
          <w:tcPr>
            <w:tcW w:w="1846" w:type="dxa"/>
          </w:tcPr>
          <w:p>
            <w:pPr>
              <w:pStyle w:val="23"/>
              <w:spacing w:before="171"/>
              <w:ind w:left="340"/>
              <w:rPr>
                <w:rFonts w:hint="eastAsia" w:ascii="宋体" w:hAnsi="宋体" w:eastAsia="宋体" w:cs="宋体"/>
                <w:sz w:val="21"/>
                <w:szCs w:val="21"/>
              </w:rPr>
            </w:pPr>
            <w:r>
              <w:rPr>
                <w:rFonts w:hint="eastAsia" w:ascii="宋体" w:hAnsi="宋体" w:eastAsia="宋体" w:cs="宋体"/>
                <w:spacing w:val="19"/>
                <w:w w:val="110"/>
                <w:sz w:val="21"/>
                <w:szCs w:val="21"/>
              </w:rPr>
              <w:t>熔点</w:t>
            </w:r>
            <w:r>
              <w:rPr>
                <w:rFonts w:hint="eastAsia" w:ascii="宋体" w:hAnsi="宋体" w:eastAsia="宋体" w:cs="宋体"/>
                <w:w w:val="110"/>
                <w:sz w:val="21"/>
                <w:szCs w:val="21"/>
              </w:rPr>
              <w:t>（</w:t>
            </w:r>
            <w:r>
              <w:rPr>
                <w:rFonts w:hint="eastAsia" w:ascii="宋体" w:hAnsi="宋体" w:eastAsia="宋体" w:cs="宋体"/>
                <w:spacing w:val="4"/>
                <w:w w:val="110"/>
                <w:sz w:val="21"/>
                <w:szCs w:val="21"/>
              </w:rPr>
              <w:t>℃）</w:t>
            </w:r>
          </w:p>
        </w:tc>
        <w:tc>
          <w:tcPr>
            <w:tcW w:w="2033" w:type="dxa"/>
            <w:gridSpan w:val="3"/>
          </w:tcPr>
          <w:p>
            <w:pPr>
              <w:pStyle w:val="23"/>
              <w:spacing w:before="171"/>
              <w:ind w:left="740" w:right="727"/>
              <w:jc w:val="center"/>
              <w:rPr>
                <w:rFonts w:hint="eastAsia" w:ascii="宋体" w:hAnsi="宋体" w:eastAsia="宋体" w:cs="宋体"/>
                <w:sz w:val="21"/>
                <w:szCs w:val="21"/>
              </w:rPr>
            </w:pPr>
            <w:r>
              <w:rPr>
                <w:rFonts w:hint="eastAsia" w:ascii="宋体" w:hAnsi="宋体" w:eastAsia="宋体" w:cs="宋体"/>
                <w:sz w:val="21"/>
                <w:szCs w:val="21"/>
              </w:rPr>
              <w:t>＜-60</w:t>
            </w:r>
          </w:p>
        </w:tc>
        <w:tc>
          <w:tcPr>
            <w:tcW w:w="2122" w:type="dxa"/>
            <w:gridSpan w:val="3"/>
          </w:tcPr>
          <w:p>
            <w:pPr>
              <w:pStyle w:val="23"/>
              <w:spacing w:before="171"/>
              <w:ind w:left="277"/>
              <w:rPr>
                <w:rFonts w:hint="eastAsia" w:ascii="宋体" w:hAnsi="宋体" w:eastAsia="宋体" w:cs="宋体"/>
                <w:sz w:val="21"/>
                <w:szCs w:val="21"/>
              </w:rPr>
            </w:pPr>
            <w:r>
              <w:rPr>
                <w:rFonts w:hint="eastAsia" w:ascii="宋体" w:hAnsi="宋体" w:eastAsia="宋体" w:cs="宋体"/>
                <w:sz w:val="21"/>
                <w:szCs w:val="21"/>
              </w:rPr>
              <w:t>相对密度(水=1)</w:t>
            </w:r>
          </w:p>
        </w:tc>
        <w:tc>
          <w:tcPr>
            <w:tcW w:w="2680" w:type="dxa"/>
            <w:gridSpan w:val="2"/>
          </w:tcPr>
          <w:p>
            <w:pPr>
              <w:pStyle w:val="23"/>
              <w:spacing w:before="171"/>
              <w:ind w:left="854"/>
              <w:rPr>
                <w:rFonts w:hint="eastAsia" w:ascii="宋体" w:hAnsi="宋体" w:eastAsia="宋体" w:cs="宋体"/>
                <w:sz w:val="21"/>
                <w:szCs w:val="21"/>
              </w:rPr>
            </w:pPr>
            <w:r>
              <w:rPr>
                <w:rFonts w:hint="eastAsia" w:ascii="宋体" w:hAnsi="宋体" w:eastAsia="宋体" w:cs="宋体"/>
                <w:sz w:val="21"/>
                <w:szCs w:val="21"/>
              </w:rPr>
              <w:t>0.70～0.80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5" w:hRule="atLeast"/>
        </w:trPr>
        <w:tc>
          <w:tcPr>
            <w:tcW w:w="492" w:type="dxa"/>
            <w:vMerge w:val="continue"/>
            <w:tcBorders>
              <w:top w:val="nil"/>
            </w:tcBorders>
          </w:tcPr>
          <w:p>
            <w:pPr>
              <w:rPr>
                <w:rFonts w:hint="eastAsia" w:ascii="宋体" w:hAnsi="宋体" w:eastAsia="宋体" w:cs="宋体"/>
                <w:sz w:val="21"/>
                <w:szCs w:val="21"/>
              </w:rPr>
            </w:pPr>
          </w:p>
        </w:tc>
        <w:tc>
          <w:tcPr>
            <w:tcW w:w="1846" w:type="dxa"/>
          </w:tcPr>
          <w:p>
            <w:pPr>
              <w:pStyle w:val="23"/>
              <w:spacing w:before="172"/>
              <w:ind w:left="340"/>
              <w:rPr>
                <w:rFonts w:hint="eastAsia" w:ascii="宋体" w:hAnsi="宋体" w:eastAsia="宋体" w:cs="宋体"/>
                <w:sz w:val="21"/>
                <w:szCs w:val="21"/>
              </w:rPr>
            </w:pPr>
            <w:r>
              <w:rPr>
                <w:rFonts w:hint="eastAsia" w:ascii="宋体" w:hAnsi="宋体" w:eastAsia="宋体" w:cs="宋体"/>
                <w:spacing w:val="19"/>
                <w:w w:val="110"/>
                <w:sz w:val="21"/>
                <w:szCs w:val="21"/>
              </w:rPr>
              <w:t>沸点</w:t>
            </w:r>
            <w:r>
              <w:rPr>
                <w:rFonts w:hint="eastAsia" w:ascii="宋体" w:hAnsi="宋体" w:eastAsia="宋体" w:cs="宋体"/>
                <w:w w:val="110"/>
                <w:sz w:val="21"/>
                <w:szCs w:val="21"/>
              </w:rPr>
              <w:t>（</w:t>
            </w:r>
            <w:r>
              <w:rPr>
                <w:rFonts w:hint="eastAsia" w:ascii="宋体" w:hAnsi="宋体" w:eastAsia="宋体" w:cs="宋体"/>
                <w:spacing w:val="4"/>
                <w:w w:val="110"/>
                <w:sz w:val="21"/>
                <w:szCs w:val="21"/>
              </w:rPr>
              <w:t>℃）</w:t>
            </w:r>
          </w:p>
        </w:tc>
        <w:tc>
          <w:tcPr>
            <w:tcW w:w="2033" w:type="dxa"/>
            <w:gridSpan w:val="3"/>
          </w:tcPr>
          <w:p>
            <w:pPr>
              <w:pStyle w:val="23"/>
              <w:spacing w:before="172"/>
              <w:ind w:left="604"/>
              <w:rPr>
                <w:rFonts w:hint="eastAsia" w:ascii="宋体" w:hAnsi="宋体" w:eastAsia="宋体" w:cs="宋体"/>
                <w:sz w:val="21"/>
                <w:szCs w:val="21"/>
              </w:rPr>
            </w:pPr>
            <w:r>
              <w:rPr>
                <w:rFonts w:hint="eastAsia" w:ascii="宋体" w:hAnsi="宋体" w:eastAsia="宋体" w:cs="宋体"/>
                <w:spacing w:val="6"/>
                <w:sz w:val="21"/>
                <w:szCs w:val="21"/>
              </w:rPr>
              <w:t>40～</w:t>
            </w:r>
            <w:r>
              <w:rPr>
                <w:rFonts w:hint="eastAsia" w:ascii="宋体" w:hAnsi="宋体" w:eastAsia="宋体" w:cs="宋体"/>
                <w:spacing w:val="9"/>
                <w:sz w:val="21"/>
                <w:szCs w:val="21"/>
              </w:rPr>
              <w:t>200</w:t>
            </w:r>
          </w:p>
        </w:tc>
        <w:tc>
          <w:tcPr>
            <w:tcW w:w="2122" w:type="dxa"/>
            <w:gridSpan w:val="3"/>
          </w:tcPr>
          <w:p>
            <w:pPr>
              <w:pStyle w:val="23"/>
              <w:spacing w:before="172"/>
              <w:ind w:left="111"/>
              <w:rPr>
                <w:rFonts w:hint="eastAsia" w:ascii="宋体" w:hAnsi="宋体" w:eastAsia="宋体" w:cs="宋体"/>
                <w:sz w:val="21"/>
                <w:szCs w:val="21"/>
              </w:rPr>
            </w:pPr>
            <w:r>
              <w:rPr>
                <w:rFonts w:hint="eastAsia" w:ascii="宋体" w:hAnsi="宋体" w:eastAsia="宋体" w:cs="宋体"/>
                <w:spacing w:val="19"/>
                <w:sz w:val="21"/>
                <w:szCs w:val="21"/>
              </w:rPr>
              <w:t>饱和蒸汽压</w:t>
            </w:r>
            <w:r>
              <w:rPr>
                <w:rFonts w:hint="eastAsia" w:ascii="宋体" w:hAnsi="宋体" w:eastAsia="宋体" w:cs="宋体"/>
                <w:sz w:val="21"/>
                <w:szCs w:val="21"/>
              </w:rPr>
              <w:t>（</w:t>
            </w:r>
            <w:r>
              <w:rPr>
                <w:rFonts w:hint="eastAsia" w:ascii="宋体" w:hAnsi="宋体" w:eastAsia="宋体" w:cs="宋体"/>
                <w:spacing w:val="7"/>
                <w:sz w:val="21"/>
                <w:szCs w:val="21"/>
              </w:rPr>
              <w:t>kPa）</w:t>
            </w:r>
          </w:p>
        </w:tc>
        <w:tc>
          <w:tcPr>
            <w:tcW w:w="2680" w:type="dxa"/>
            <w:gridSpan w:val="2"/>
          </w:tcPr>
          <w:p>
            <w:pPr>
              <w:pStyle w:val="23"/>
              <w:spacing w:before="186"/>
              <w:ind w:left="10"/>
              <w:jc w:val="center"/>
              <w:rPr>
                <w:rFonts w:hint="eastAsia" w:ascii="宋体" w:hAnsi="宋体" w:eastAsia="宋体" w:cs="宋体"/>
                <w:sz w:val="21"/>
                <w:szCs w:val="21"/>
              </w:rPr>
            </w:pPr>
            <w:r>
              <w:rPr>
                <w:rFonts w:hint="eastAsia" w:ascii="宋体" w:hAnsi="宋体" w:eastAsia="宋体" w:cs="宋体"/>
                <w:sz w:val="21"/>
                <w:szCs w:val="21"/>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0" w:hRule="atLeast"/>
        </w:trPr>
        <w:tc>
          <w:tcPr>
            <w:tcW w:w="492" w:type="dxa"/>
            <w:vMerge w:val="restart"/>
          </w:tcPr>
          <w:p>
            <w:pPr>
              <w:pStyle w:val="23"/>
              <w:rPr>
                <w:rFonts w:hint="eastAsia" w:ascii="宋体" w:hAnsi="宋体" w:eastAsia="宋体" w:cs="宋体"/>
                <w:sz w:val="21"/>
                <w:szCs w:val="21"/>
              </w:rPr>
            </w:pPr>
          </w:p>
          <w:p>
            <w:pPr>
              <w:pStyle w:val="23"/>
              <w:rPr>
                <w:rFonts w:hint="eastAsia" w:ascii="宋体" w:hAnsi="宋体" w:eastAsia="宋体" w:cs="宋体"/>
                <w:sz w:val="21"/>
                <w:szCs w:val="21"/>
              </w:rPr>
            </w:pPr>
          </w:p>
          <w:p>
            <w:pPr>
              <w:pStyle w:val="23"/>
              <w:rPr>
                <w:rFonts w:hint="eastAsia" w:ascii="宋体" w:hAnsi="宋体" w:eastAsia="宋体" w:cs="宋体"/>
                <w:sz w:val="21"/>
                <w:szCs w:val="21"/>
              </w:rPr>
            </w:pPr>
          </w:p>
          <w:p>
            <w:pPr>
              <w:pStyle w:val="23"/>
              <w:rPr>
                <w:rFonts w:hint="eastAsia" w:ascii="宋体" w:hAnsi="宋体" w:eastAsia="宋体" w:cs="宋体"/>
                <w:sz w:val="21"/>
                <w:szCs w:val="21"/>
              </w:rPr>
            </w:pPr>
          </w:p>
          <w:p>
            <w:pPr>
              <w:pStyle w:val="23"/>
              <w:spacing w:before="1"/>
              <w:rPr>
                <w:rFonts w:hint="eastAsia" w:ascii="宋体" w:hAnsi="宋体" w:eastAsia="宋体" w:cs="宋体"/>
                <w:sz w:val="21"/>
                <w:szCs w:val="21"/>
              </w:rPr>
            </w:pPr>
          </w:p>
          <w:p>
            <w:pPr>
              <w:pStyle w:val="23"/>
              <w:spacing w:line="357" w:lineRule="auto"/>
              <w:ind w:left="126" w:right="131"/>
              <w:jc w:val="both"/>
              <w:rPr>
                <w:rFonts w:hint="eastAsia" w:ascii="宋体" w:hAnsi="宋体" w:eastAsia="宋体" w:cs="宋体"/>
                <w:sz w:val="21"/>
                <w:szCs w:val="21"/>
              </w:rPr>
            </w:pPr>
            <w:r>
              <w:rPr>
                <w:rFonts w:hint="eastAsia" w:ascii="宋体" w:hAnsi="宋体" w:eastAsia="宋体" w:cs="宋体"/>
                <w:sz w:val="21"/>
                <w:szCs w:val="21"/>
              </w:rPr>
              <w:t>健康危害</w:t>
            </w:r>
          </w:p>
        </w:tc>
        <w:tc>
          <w:tcPr>
            <w:tcW w:w="1846" w:type="dxa"/>
          </w:tcPr>
          <w:p>
            <w:pPr>
              <w:pStyle w:val="23"/>
              <w:spacing w:before="109"/>
              <w:ind w:left="453"/>
              <w:rPr>
                <w:rFonts w:hint="eastAsia" w:ascii="宋体" w:hAnsi="宋体" w:eastAsia="宋体" w:cs="宋体"/>
                <w:sz w:val="21"/>
                <w:szCs w:val="21"/>
              </w:rPr>
            </w:pPr>
            <w:r>
              <w:rPr>
                <w:rFonts w:hint="eastAsia" w:ascii="宋体" w:hAnsi="宋体" w:eastAsia="宋体" w:cs="宋体"/>
                <w:sz w:val="21"/>
                <w:szCs w:val="21"/>
              </w:rPr>
              <w:t>侵入途径</w:t>
            </w:r>
          </w:p>
        </w:tc>
        <w:tc>
          <w:tcPr>
            <w:tcW w:w="6835" w:type="dxa"/>
            <w:gridSpan w:val="8"/>
          </w:tcPr>
          <w:p>
            <w:pPr>
              <w:pStyle w:val="23"/>
              <w:spacing w:before="109"/>
              <w:ind w:left="107"/>
              <w:rPr>
                <w:rFonts w:hint="eastAsia" w:ascii="宋体" w:hAnsi="宋体" w:eastAsia="宋体" w:cs="宋体"/>
                <w:sz w:val="21"/>
                <w:szCs w:val="21"/>
              </w:rPr>
            </w:pPr>
            <w:r>
              <w:rPr>
                <w:rFonts w:hint="eastAsia" w:ascii="宋体" w:hAnsi="宋体" w:eastAsia="宋体" w:cs="宋体"/>
                <w:sz w:val="21"/>
                <w:szCs w:val="21"/>
              </w:rPr>
              <w:t>吸入、食入、经皮吸收。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99" w:hRule="atLeast"/>
        </w:trPr>
        <w:tc>
          <w:tcPr>
            <w:tcW w:w="492" w:type="dxa"/>
            <w:vMerge w:val="continue"/>
            <w:tcBorders>
              <w:top w:val="nil"/>
            </w:tcBorders>
          </w:tcPr>
          <w:p>
            <w:pPr>
              <w:rPr>
                <w:rFonts w:hint="eastAsia" w:ascii="宋体" w:hAnsi="宋体" w:eastAsia="宋体" w:cs="宋体"/>
                <w:sz w:val="21"/>
                <w:szCs w:val="21"/>
              </w:rPr>
            </w:pPr>
          </w:p>
        </w:tc>
        <w:tc>
          <w:tcPr>
            <w:tcW w:w="1846" w:type="dxa"/>
          </w:tcPr>
          <w:p>
            <w:pPr>
              <w:pStyle w:val="23"/>
              <w:rPr>
                <w:rFonts w:hint="eastAsia" w:ascii="宋体" w:hAnsi="宋体" w:eastAsia="宋体" w:cs="宋体"/>
                <w:sz w:val="21"/>
                <w:szCs w:val="21"/>
              </w:rPr>
            </w:pPr>
          </w:p>
          <w:p>
            <w:pPr>
              <w:pStyle w:val="23"/>
              <w:rPr>
                <w:rFonts w:hint="eastAsia" w:ascii="宋体" w:hAnsi="宋体" w:eastAsia="宋体" w:cs="宋体"/>
                <w:sz w:val="21"/>
                <w:szCs w:val="21"/>
              </w:rPr>
            </w:pPr>
          </w:p>
          <w:p>
            <w:pPr>
              <w:pStyle w:val="23"/>
              <w:rPr>
                <w:rFonts w:hint="eastAsia" w:ascii="宋体" w:hAnsi="宋体" w:eastAsia="宋体" w:cs="宋体"/>
                <w:sz w:val="21"/>
                <w:szCs w:val="21"/>
              </w:rPr>
            </w:pPr>
          </w:p>
          <w:p>
            <w:pPr>
              <w:pStyle w:val="23"/>
              <w:rPr>
                <w:rFonts w:hint="eastAsia" w:ascii="宋体" w:hAnsi="宋体" w:eastAsia="宋体" w:cs="宋体"/>
                <w:sz w:val="21"/>
                <w:szCs w:val="21"/>
              </w:rPr>
            </w:pPr>
          </w:p>
          <w:p>
            <w:pPr>
              <w:pStyle w:val="23"/>
              <w:rPr>
                <w:rFonts w:hint="eastAsia" w:ascii="宋体" w:hAnsi="宋体" w:eastAsia="宋体" w:cs="宋体"/>
                <w:sz w:val="21"/>
                <w:szCs w:val="21"/>
              </w:rPr>
            </w:pPr>
          </w:p>
          <w:p>
            <w:pPr>
              <w:pStyle w:val="23"/>
              <w:rPr>
                <w:rFonts w:hint="eastAsia" w:ascii="宋体" w:hAnsi="宋体" w:eastAsia="宋体" w:cs="宋体"/>
                <w:sz w:val="21"/>
                <w:szCs w:val="21"/>
              </w:rPr>
            </w:pPr>
          </w:p>
          <w:p>
            <w:pPr>
              <w:pStyle w:val="23"/>
              <w:spacing w:before="128"/>
              <w:ind w:left="453"/>
              <w:rPr>
                <w:rFonts w:hint="eastAsia" w:ascii="宋体" w:hAnsi="宋体" w:eastAsia="宋体" w:cs="宋体"/>
                <w:sz w:val="21"/>
                <w:szCs w:val="21"/>
              </w:rPr>
            </w:pPr>
            <w:r>
              <w:rPr>
                <w:rFonts w:hint="eastAsia" w:ascii="宋体" w:hAnsi="宋体" w:eastAsia="宋体" w:cs="宋体"/>
                <w:sz w:val="21"/>
                <w:szCs w:val="21"/>
              </w:rPr>
              <w:t>健康危害</w:t>
            </w:r>
          </w:p>
        </w:tc>
        <w:tc>
          <w:tcPr>
            <w:tcW w:w="6835" w:type="dxa"/>
            <w:gridSpan w:val="8"/>
          </w:tcPr>
          <w:p>
            <w:pPr>
              <w:pStyle w:val="23"/>
              <w:spacing w:before="109" w:line="357" w:lineRule="auto"/>
              <w:ind w:left="107" w:right="107"/>
              <w:jc w:val="both"/>
              <w:rPr>
                <w:rFonts w:hint="eastAsia" w:ascii="宋体" w:hAnsi="宋体" w:eastAsia="宋体" w:cs="宋体"/>
                <w:sz w:val="21"/>
                <w:szCs w:val="21"/>
              </w:rPr>
            </w:pPr>
            <w:r>
              <w:rPr>
                <w:rFonts w:hint="eastAsia" w:ascii="宋体" w:hAnsi="宋体" w:eastAsia="宋体" w:cs="宋体"/>
                <w:sz w:val="21"/>
                <w:szCs w:val="21"/>
              </w:rPr>
              <w:t>主要作用于中枢神经系统。急性中毒症状有头晕、头痛、恶心、呕吐、步态不稳、共济失调。高浓度吸入出现中毒性脑病。极高浓度吸入引起意识突然丧失、反射性呼吸停止及化学性肺炎。可伴有中毒性周围神经病。液体吸入呼吸道致吸入性肺炎。溅入眼内，可致角膜溃疡、穿孔，甚至失明。皮肤接触致急性接触性皮炎或过敏性皮炎。急性经口中毒引起急性胃肠炎；重者出现类似急性吸入中毒症状。慢性中毒：神经衰弱综合征，周围神经病，皮肤损害。</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0" w:hRule="atLeast"/>
        </w:trPr>
        <w:tc>
          <w:tcPr>
            <w:tcW w:w="492" w:type="dxa"/>
            <w:vMerge w:val="restart"/>
          </w:tcPr>
          <w:p>
            <w:pPr>
              <w:pStyle w:val="23"/>
              <w:rPr>
                <w:rFonts w:hint="eastAsia" w:ascii="宋体" w:hAnsi="宋体" w:eastAsia="宋体" w:cs="宋体"/>
                <w:sz w:val="21"/>
                <w:szCs w:val="21"/>
              </w:rPr>
            </w:pPr>
          </w:p>
          <w:p>
            <w:pPr>
              <w:pStyle w:val="23"/>
              <w:rPr>
                <w:rFonts w:hint="eastAsia" w:ascii="宋体" w:hAnsi="宋体" w:eastAsia="宋体" w:cs="宋体"/>
                <w:sz w:val="21"/>
                <w:szCs w:val="21"/>
              </w:rPr>
            </w:pPr>
          </w:p>
          <w:p>
            <w:pPr>
              <w:pStyle w:val="23"/>
              <w:spacing w:before="2"/>
              <w:rPr>
                <w:rFonts w:hint="eastAsia" w:ascii="宋体" w:hAnsi="宋体" w:eastAsia="宋体" w:cs="宋体"/>
                <w:sz w:val="21"/>
                <w:szCs w:val="21"/>
              </w:rPr>
            </w:pPr>
          </w:p>
          <w:p>
            <w:pPr>
              <w:pStyle w:val="23"/>
              <w:spacing w:line="357" w:lineRule="auto"/>
              <w:ind w:left="126" w:right="131"/>
              <w:jc w:val="both"/>
              <w:rPr>
                <w:rFonts w:hint="eastAsia" w:ascii="宋体" w:hAnsi="宋体" w:eastAsia="宋体" w:cs="宋体"/>
                <w:sz w:val="21"/>
                <w:szCs w:val="21"/>
              </w:rPr>
            </w:pPr>
            <w:r>
              <w:rPr>
                <w:rFonts w:hint="eastAsia" w:ascii="宋体" w:hAnsi="宋体" w:eastAsia="宋体" w:cs="宋体"/>
                <w:sz w:val="21"/>
                <w:szCs w:val="21"/>
              </w:rPr>
              <w:t>燃烧爆炸危险性</w:t>
            </w:r>
          </w:p>
        </w:tc>
        <w:tc>
          <w:tcPr>
            <w:tcW w:w="1846" w:type="dxa"/>
          </w:tcPr>
          <w:p>
            <w:pPr>
              <w:pStyle w:val="23"/>
              <w:spacing w:before="111"/>
              <w:ind w:left="566"/>
              <w:rPr>
                <w:rFonts w:hint="eastAsia" w:ascii="宋体" w:hAnsi="宋体" w:eastAsia="宋体" w:cs="宋体"/>
                <w:sz w:val="21"/>
                <w:szCs w:val="21"/>
              </w:rPr>
            </w:pPr>
            <w:r>
              <w:rPr>
                <w:rFonts w:hint="eastAsia" w:ascii="宋体" w:hAnsi="宋体" w:eastAsia="宋体" w:cs="宋体"/>
                <w:sz w:val="21"/>
                <w:szCs w:val="21"/>
              </w:rPr>
              <w:t>燃烧性</w:t>
            </w:r>
          </w:p>
        </w:tc>
        <w:tc>
          <w:tcPr>
            <w:tcW w:w="1818" w:type="dxa"/>
            <w:gridSpan w:val="2"/>
          </w:tcPr>
          <w:p>
            <w:pPr>
              <w:pStyle w:val="23"/>
              <w:spacing w:before="111"/>
              <w:ind w:left="661" w:right="646"/>
              <w:jc w:val="center"/>
              <w:rPr>
                <w:rFonts w:hint="eastAsia" w:ascii="宋体" w:hAnsi="宋体" w:eastAsia="宋体" w:cs="宋体"/>
                <w:sz w:val="21"/>
                <w:szCs w:val="21"/>
              </w:rPr>
            </w:pPr>
            <w:r>
              <w:rPr>
                <w:rFonts w:hint="eastAsia" w:ascii="宋体" w:hAnsi="宋体" w:eastAsia="宋体" w:cs="宋体"/>
                <w:sz w:val="21"/>
                <w:szCs w:val="21"/>
              </w:rPr>
              <w:t>易燃</w:t>
            </w:r>
          </w:p>
        </w:tc>
        <w:tc>
          <w:tcPr>
            <w:tcW w:w="2337" w:type="dxa"/>
            <w:gridSpan w:val="4"/>
          </w:tcPr>
          <w:p>
            <w:pPr>
              <w:pStyle w:val="23"/>
              <w:spacing w:before="111"/>
              <w:ind w:left="584"/>
              <w:rPr>
                <w:rFonts w:hint="eastAsia" w:ascii="宋体" w:hAnsi="宋体" w:eastAsia="宋体" w:cs="宋体"/>
                <w:sz w:val="21"/>
                <w:szCs w:val="21"/>
              </w:rPr>
            </w:pPr>
            <w:r>
              <w:rPr>
                <w:rFonts w:hint="eastAsia" w:ascii="宋体" w:hAnsi="宋体" w:eastAsia="宋体" w:cs="宋体"/>
                <w:sz w:val="21"/>
                <w:szCs w:val="21"/>
              </w:rPr>
              <w:t>燃烧分解物</w:t>
            </w:r>
          </w:p>
        </w:tc>
        <w:tc>
          <w:tcPr>
            <w:tcW w:w="2680" w:type="dxa"/>
            <w:gridSpan w:val="2"/>
          </w:tcPr>
          <w:p>
            <w:pPr>
              <w:pStyle w:val="23"/>
              <w:spacing w:before="111"/>
              <w:ind w:left="278"/>
              <w:rPr>
                <w:rFonts w:hint="eastAsia" w:ascii="宋体" w:hAnsi="宋体" w:eastAsia="宋体" w:cs="宋体"/>
                <w:sz w:val="21"/>
                <w:szCs w:val="21"/>
              </w:rPr>
            </w:pPr>
            <w:r>
              <w:rPr>
                <w:rFonts w:hint="eastAsia" w:ascii="宋体" w:hAnsi="宋体" w:eastAsia="宋体" w:cs="宋体"/>
                <w:sz w:val="21"/>
                <w:szCs w:val="21"/>
              </w:rPr>
              <w:t>一氧化碳、二氧化碳。</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6" w:hRule="atLeast"/>
        </w:trPr>
        <w:tc>
          <w:tcPr>
            <w:tcW w:w="492" w:type="dxa"/>
            <w:vMerge w:val="continue"/>
            <w:tcBorders>
              <w:top w:val="nil"/>
            </w:tcBorders>
          </w:tcPr>
          <w:p>
            <w:pPr>
              <w:rPr>
                <w:rFonts w:hint="eastAsia" w:ascii="宋体" w:hAnsi="宋体" w:eastAsia="宋体" w:cs="宋体"/>
                <w:sz w:val="21"/>
                <w:szCs w:val="21"/>
              </w:rPr>
            </w:pPr>
          </w:p>
        </w:tc>
        <w:tc>
          <w:tcPr>
            <w:tcW w:w="1846" w:type="dxa"/>
          </w:tcPr>
          <w:p>
            <w:pPr>
              <w:pStyle w:val="23"/>
              <w:spacing w:before="123"/>
              <w:ind w:left="491"/>
              <w:rPr>
                <w:rFonts w:hint="eastAsia" w:ascii="宋体" w:hAnsi="宋体" w:eastAsia="宋体" w:cs="宋体"/>
                <w:sz w:val="21"/>
                <w:szCs w:val="21"/>
              </w:rPr>
            </w:pPr>
            <w:r>
              <w:rPr>
                <w:rFonts w:hint="eastAsia" w:ascii="宋体" w:hAnsi="宋体" w:eastAsia="宋体" w:cs="宋体"/>
                <w:sz w:val="21"/>
                <w:szCs w:val="21"/>
              </w:rPr>
              <w:t xml:space="preserve">闪点(℃) </w:t>
            </w:r>
          </w:p>
        </w:tc>
        <w:tc>
          <w:tcPr>
            <w:tcW w:w="1818" w:type="dxa"/>
            <w:gridSpan w:val="2"/>
          </w:tcPr>
          <w:p>
            <w:pPr>
              <w:pStyle w:val="23"/>
              <w:spacing w:before="137"/>
              <w:ind w:left="661" w:right="651"/>
              <w:jc w:val="center"/>
              <w:rPr>
                <w:rFonts w:hint="eastAsia" w:ascii="宋体" w:hAnsi="宋体" w:eastAsia="宋体" w:cs="宋体"/>
                <w:sz w:val="21"/>
                <w:szCs w:val="21"/>
              </w:rPr>
            </w:pPr>
            <w:r>
              <w:rPr>
                <w:rFonts w:hint="eastAsia" w:ascii="宋体" w:hAnsi="宋体" w:eastAsia="宋体" w:cs="宋体"/>
                <w:sz w:val="21"/>
                <w:szCs w:val="21"/>
              </w:rPr>
              <w:t>-46</w:t>
            </w:r>
          </w:p>
        </w:tc>
        <w:tc>
          <w:tcPr>
            <w:tcW w:w="2337" w:type="dxa"/>
            <w:gridSpan w:val="4"/>
          </w:tcPr>
          <w:p>
            <w:pPr>
              <w:pStyle w:val="23"/>
              <w:spacing w:before="123"/>
              <w:ind w:left="320"/>
              <w:rPr>
                <w:rFonts w:hint="eastAsia" w:ascii="宋体" w:hAnsi="宋体" w:eastAsia="宋体" w:cs="宋体"/>
                <w:sz w:val="21"/>
                <w:szCs w:val="21"/>
              </w:rPr>
            </w:pPr>
            <w:r>
              <w:rPr>
                <w:rFonts w:hint="eastAsia" w:ascii="宋体" w:hAnsi="宋体" w:eastAsia="宋体" w:cs="宋体"/>
                <w:spacing w:val="19"/>
                <w:sz w:val="21"/>
                <w:szCs w:val="21"/>
              </w:rPr>
              <w:t>爆炸上限</w:t>
            </w:r>
            <w:r>
              <w:rPr>
                <w:rFonts w:hint="eastAsia" w:ascii="宋体" w:hAnsi="宋体" w:eastAsia="宋体" w:cs="宋体"/>
                <w:sz w:val="21"/>
                <w:szCs w:val="21"/>
              </w:rPr>
              <w:t>（</w:t>
            </w:r>
            <w:r>
              <w:rPr>
                <w:rFonts w:hint="eastAsia" w:ascii="宋体" w:hAnsi="宋体" w:eastAsia="宋体" w:cs="宋体"/>
                <w:spacing w:val="-86"/>
                <w:sz w:val="21"/>
                <w:szCs w:val="21"/>
              </w:rPr>
              <w:t xml:space="preserve"> </w:t>
            </w:r>
            <w:r>
              <w:rPr>
                <w:rFonts w:hint="eastAsia" w:ascii="宋体" w:hAnsi="宋体" w:eastAsia="宋体" w:cs="宋体"/>
                <w:spacing w:val="5"/>
                <w:sz w:val="21"/>
                <w:szCs w:val="21"/>
              </w:rPr>
              <w:t>v%）</w:t>
            </w:r>
          </w:p>
        </w:tc>
        <w:tc>
          <w:tcPr>
            <w:tcW w:w="2680" w:type="dxa"/>
            <w:gridSpan w:val="2"/>
          </w:tcPr>
          <w:p>
            <w:pPr>
              <w:pStyle w:val="23"/>
              <w:spacing w:before="137"/>
              <w:ind w:left="1171" w:right="1152"/>
              <w:jc w:val="center"/>
              <w:rPr>
                <w:rFonts w:hint="eastAsia" w:ascii="宋体" w:hAnsi="宋体" w:eastAsia="宋体" w:cs="宋体"/>
                <w:sz w:val="21"/>
                <w:szCs w:val="21"/>
              </w:rPr>
            </w:pPr>
            <w:r>
              <w:rPr>
                <w:rFonts w:hint="eastAsia" w:ascii="宋体" w:hAnsi="宋体" w:eastAsia="宋体" w:cs="宋体"/>
                <w:sz w:val="21"/>
                <w:szCs w:val="21"/>
              </w:rPr>
              <w:t>7.6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5" w:hRule="atLeast"/>
        </w:trPr>
        <w:tc>
          <w:tcPr>
            <w:tcW w:w="492" w:type="dxa"/>
            <w:vMerge w:val="continue"/>
            <w:tcBorders>
              <w:top w:val="nil"/>
            </w:tcBorders>
          </w:tcPr>
          <w:p>
            <w:pPr>
              <w:rPr>
                <w:rFonts w:hint="eastAsia" w:ascii="宋体" w:hAnsi="宋体" w:eastAsia="宋体" w:cs="宋体"/>
                <w:sz w:val="21"/>
                <w:szCs w:val="21"/>
              </w:rPr>
            </w:pPr>
          </w:p>
        </w:tc>
        <w:tc>
          <w:tcPr>
            <w:tcW w:w="1846" w:type="dxa"/>
          </w:tcPr>
          <w:p>
            <w:pPr>
              <w:pStyle w:val="23"/>
              <w:spacing w:before="137"/>
              <w:ind w:left="261"/>
              <w:rPr>
                <w:rFonts w:hint="eastAsia" w:ascii="宋体" w:hAnsi="宋体" w:eastAsia="宋体" w:cs="宋体"/>
                <w:sz w:val="21"/>
                <w:szCs w:val="21"/>
              </w:rPr>
            </w:pPr>
            <w:r>
              <w:rPr>
                <w:rFonts w:hint="eastAsia" w:ascii="宋体" w:hAnsi="宋体" w:eastAsia="宋体" w:cs="宋体"/>
                <w:sz w:val="21"/>
                <w:szCs w:val="21"/>
              </w:rPr>
              <w:t>自燃温度(℃)</w:t>
            </w:r>
          </w:p>
        </w:tc>
        <w:tc>
          <w:tcPr>
            <w:tcW w:w="1818" w:type="dxa"/>
            <w:gridSpan w:val="2"/>
          </w:tcPr>
          <w:p>
            <w:pPr>
              <w:pStyle w:val="23"/>
              <w:spacing w:before="137"/>
              <w:ind w:left="439"/>
              <w:rPr>
                <w:rFonts w:hint="eastAsia" w:ascii="宋体" w:hAnsi="宋体" w:eastAsia="宋体" w:cs="宋体"/>
                <w:sz w:val="21"/>
                <w:szCs w:val="21"/>
              </w:rPr>
            </w:pPr>
            <w:r>
              <w:rPr>
                <w:rFonts w:hint="eastAsia" w:ascii="宋体" w:hAnsi="宋体" w:eastAsia="宋体" w:cs="宋体"/>
                <w:spacing w:val="6"/>
                <w:sz w:val="21"/>
                <w:szCs w:val="21"/>
              </w:rPr>
              <w:t>415～</w:t>
            </w:r>
            <w:r>
              <w:rPr>
                <w:rFonts w:hint="eastAsia" w:ascii="宋体" w:hAnsi="宋体" w:eastAsia="宋体" w:cs="宋体"/>
                <w:spacing w:val="-86"/>
                <w:sz w:val="21"/>
                <w:szCs w:val="21"/>
              </w:rPr>
              <w:t xml:space="preserve"> </w:t>
            </w:r>
            <w:r>
              <w:rPr>
                <w:rFonts w:hint="eastAsia" w:ascii="宋体" w:hAnsi="宋体" w:eastAsia="宋体" w:cs="宋体"/>
                <w:spacing w:val="9"/>
                <w:sz w:val="21"/>
                <w:szCs w:val="21"/>
              </w:rPr>
              <w:t>530</w:t>
            </w:r>
          </w:p>
        </w:tc>
        <w:tc>
          <w:tcPr>
            <w:tcW w:w="2337" w:type="dxa"/>
            <w:gridSpan w:val="4"/>
          </w:tcPr>
          <w:p>
            <w:pPr>
              <w:pStyle w:val="23"/>
              <w:spacing w:before="137"/>
              <w:ind w:left="320"/>
              <w:rPr>
                <w:rFonts w:hint="eastAsia" w:ascii="宋体" w:hAnsi="宋体" w:eastAsia="宋体" w:cs="宋体"/>
                <w:sz w:val="21"/>
                <w:szCs w:val="21"/>
              </w:rPr>
            </w:pPr>
            <w:r>
              <w:rPr>
                <w:rFonts w:hint="eastAsia" w:ascii="宋体" w:hAnsi="宋体" w:eastAsia="宋体" w:cs="宋体"/>
                <w:spacing w:val="19"/>
                <w:sz w:val="21"/>
                <w:szCs w:val="21"/>
              </w:rPr>
              <w:t>爆炸下限</w:t>
            </w:r>
            <w:r>
              <w:rPr>
                <w:rFonts w:hint="eastAsia" w:ascii="宋体" w:hAnsi="宋体" w:eastAsia="宋体" w:cs="宋体"/>
                <w:sz w:val="21"/>
                <w:szCs w:val="21"/>
              </w:rPr>
              <w:t>（</w:t>
            </w:r>
            <w:r>
              <w:rPr>
                <w:rFonts w:hint="eastAsia" w:ascii="宋体" w:hAnsi="宋体" w:eastAsia="宋体" w:cs="宋体"/>
                <w:spacing w:val="-86"/>
                <w:sz w:val="21"/>
                <w:szCs w:val="21"/>
              </w:rPr>
              <w:t xml:space="preserve"> </w:t>
            </w:r>
            <w:r>
              <w:rPr>
                <w:rFonts w:hint="eastAsia" w:ascii="宋体" w:hAnsi="宋体" w:eastAsia="宋体" w:cs="宋体"/>
                <w:spacing w:val="5"/>
                <w:sz w:val="21"/>
                <w:szCs w:val="21"/>
              </w:rPr>
              <w:t>v%）</w:t>
            </w:r>
          </w:p>
        </w:tc>
        <w:tc>
          <w:tcPr>
            <w:tcW w:w="2680" w:type="dxa"/>
            <w:gridSpan w:val="2"/>
          </w:tcPr>
          <w:p>
            <w:pPr>
              <w:pStyle w:val="23"/>
              <w:spacing w:before="151"/>
              <w:ind w:left="1166" w:right="1157"/>
              <w:jc w:val="center"/>
              <w:rPr>
                <w:rFonts w:hint="eastAsia" w:ascii="宋体" w:hAnsi="宋体" w:eastAsia="宋体" w:cs="宋体"/>
                <w:sz w:val="21"/>
                <w:szCs w:val="21"/>
              </w:rPr>
            </w:pPr>
            <w:r>
              <w:rPr>
                <w:rFonts w:hint="eastAsia" w:ascii="宋体" w:hAnsi="宋体" w:eastAsia="宋体" w:cs="宋体"/>
                <w:sz w:val="21"/>
                <w:szCs w:val="21"/>
              </w:rPr>
              <w:t>1.4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01" w:hRule="atLeast"/>
        </w:trPr>
        <w:tc>
          <w:tcPr>
            <w:tcW w:w="492" w:type="dxa"/>
            <w:vMerge w:val="continue"/>
            <w:tcBorders>
              <w:top w:val="nil"/>
            </w:tcBorders>
          </w:tcPr>
          <w:p>
            <w:pPr>
              <w:rPr>
                <w:rFonts w:hint="eastAsia" w:ascii="宋体" w:hAnsi="宋体" w:eastAsia="宋体" w:cs="宋体"/>
                <w:sz w:val="21"/>
                <w:szCs w:val="21"/>
              </w:rPr>
            </w:pPr>
          </w:p>
        </w:tc>
        <w:tc>
          <w:tcPr>
            <w:tcW w:w="1846" w:type="dxa"/>
          </w:tcPr>
          <w:p>
            <w:pPr>
              <w:pStyle w:val="23"/>
              <w:rPr>
                <w:rFonts w:hint="eastAsia" w:ascii="宋体" w:hAnsi="宋体" w:eastAsia="宋体" w:cs="宋体"/>
                <w:sz w:val="21"/>
                <w:szCs w:val="21"/>
              </w:rPr>
            </w:pPr>
          </w:p>
          <w:p>
            <w:pPr>
              <w:pStyle w:val="23"/>
              <w:spacing w:before="3"/>
              <w:rPr>
                <w:rFonts w:hint="eastAsia" w:ascii="宋体" w:hAnsi="宋体" w:eastAsia="宋体" w:cs="宋体"/>
                <w:sz w:val="21"/>
                <w:szCs w:val="21"/>
              </w:rPr>
            </w:pPr>
          </w:p>
          <w:p>
            <w:pPr>
              <w:pStyle w:val="23"/>
              <w:ind w:left="453"/>
              <w:rPr>
                <w:rFonts w:hint="eastAsia" w:ascii="宋体" w:hAnsi="宋体" w:eastAsia="宋体" w:cs="宋体"/>
                <w:sz w:val="21"/>
                <w:szCs w:val="21"/>
              </w:rPr>
            </w:pPr>
            <w:r>
              <w:rPr>
                <w:rFonts w:hint="eastAsia" w:ascii="宋体" w:hAnsi="宋体" w:eastAsia="宋体" w:cs="宋体"/>
                <w:sz w:val="21"/>
                <w:szCs w:val="21"/>
              </w:rPr>
              <w:t>危险特性</w:t>
            </w:r>
          </w:p>
        </w:tc>
        <w:tc>
          <w:tcPr>
            <w:tcW w:w="6835" w:type="dxa"/>
            <w:gridSpan w:val="8"/>
          </w:tcPr>
          <w:p>
            <w:pPr>
              <w:pStyle w:val="23"/>
              <w:spacing w:before="111" w:line="355" w:lineRule="auto"/>
              <w:ind w:left="107" w:right="-29"/>
              <w:rPr>
                <w:rFonts w:hint="eastAsia" w:ascii="宋体" w:hAnsi="宋体" w:eastAsia="宋体" w:cs="宋体"/>
                <w:sz w:val="21"/>
                <w:szCs w:val="21"/>
              </w:rPr>
            </w:pPr>
            <w:r>
              <w:rPr>
                <w:rFonts w:hint="eastAsia" w:ascii="宋体" w:hAnsi="宋体" w:eastAsia="宋体" w:cs="宋体"/>
                <w:spacing w:val="15"/>
                <w:sz w:val="21"/>
                <w:szCs w:val="21"/>
              </w:rPr>
              <w:t>其蒸汽能与空气形成爆炸性混合物，遇明火、高热极易燃烧爆炸。</w:t>
            </w:r>
            <w:r>
              <w:rPr>
                <w:rFonts w:hint="eastAsia" w:ascii="宋体" w:hAnsi="宋体" w:eastAsia="宋体" w:cs="宋体"/>
                <w:spacing w:val="13"/>
                <w:sz w:val="21"/>
                <w:szCs w:val="21"/>
              </w:rPr>
              <w:t>与氧化剂能发生强烈反应。其蒸汽比空气重，能在较低处扩散到</w:t>
            </w:r>
          </w:p>
          <w:p>
            <w:pPr>
              <w:pStyle w:val="23"/>
              <w:spacing w:before="3"/>
              <w:ind w:left="107"/>
              <w:rPr>
                <w:rFonts w:hint="eastAsia" w:ascii="宋体" w:hAnsi="宋体" w:eastAsia="宋体" w:cs="宋体"/>
                <w:sz w:val="21"/>
                <w:szCs w:val="21"/>
              </w:rPr>
            </w:pPr>
            <w:r>
              <w:rPr>
                <w:rFonts w:hint="eastAsia" w:ascii="宋体" w:hAnsi="宋体" w:eastAsia="宋体" w:cs="宋体"/>
                <w:sz w:val="21"/>
                <w:szCs w:val="21"/>
              </w:rPr>
              <w:t>相当远的地方，遇明火会引着回燃。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5" w:hRule="atLeast"/>
        </w:trPr>
        <w:tc>
          <w:tcPr>
            <w:tcW w:w="492" w:type="dxa"/>
            <w:vMerge w:val="continue"/>
            <w:tcBorders>
              <w:top w:val="nil"/>
            </w:tcBorders>
          </w:tcPr>
          <w:p>
            <w:pPr>
              <w:rPr>
                <w:rFonts w:hint="eastAsia" w:ascii="宋体" w:hAnsi="宋体" w:eastAsia="宋体" w:cs="宋体"/>
                <w:sz w:val="21"/>
                <w:szCs w:val="21"/>
              </w:rPr>
            </w:pPr>
          </w:p>
        </w:tc>
        <w:tc>
          <w:tcPr>
            <w:tcW w:w="1846" w:type="dxa"/>
          </w:tcPr>
          <w:p>
            <w:pPr>
              <w:pStyle w:val="23"/>
              <w:spacing w:before="138"/>
              <w:ind w:left="107"/>
              <w:rPr>
                <w:rFonts w:hint="eastAsia" w:ascii="宋体" w:hAnsi="宋体" w:eastAsia="宋体" w:cs="宋体"/>
                <w:sz w:val="21"/>
                <w:szCs w:val="21"/>
              </w:rPr>
            </w:pPr>
            <w:r>
              <w:rPr>
                <w:rFonts w:hint="eastAsia" w:ascii="宋体" w:hAnsi="宋体" w:eastAsia="宋体" w:cs="宋体"/>
                <w:sz w:val="21"/>
                <w:szCs w:val="21"/>
              </w:rPr>
              <w:t>火灾危险性分类</w:t>
            </w:r>
          </w:p>
        </w:tc>
        <w:tc>
          <w:tcPr>
            <w:tcW w:w="1420" w:type="dxa"/>
          </w:tcPr>
          <w:p>
            <w:pPr>
              <w:pStyle w:val="23"/>
              <w:spacing w:before="138"/>
              <w:ind w:right="2"/>
              <w:jc w:val="center"/>
              <w:rPr>
                <w:rFonts w:hint="eastAsia" w:ascii="宋体" w:hAnsi="宋体" w:eastAsia="宋体" w:cs="宋体"/>
                <w:sz w:val="21"/>
                <w:szCs w:val="21"/>
              </w:rPr>
            </w:pPr>
            <w:r>
              <w:rPr>
                <w:rFonts w:hint="eastAsia" w:ascii="宋体" w:hAnsi="宋体" w:eastAsia="宋体" w:cs="宋体"/>
                <w:sz w:val="21"/>
                <w:szCs w:val="21"/>
              </w:rPr>
              <w:t>甲</w:t>
            </w:r>
          </w:p>
        </w:tc>
        <w:tc>
          <w:tcPr>
            <w:tcW w:w="1097" w:type="dxa"/>
            <w:gridSpan w:val="3"/>
          </w:tcPr>
          <w:p>
            <w:pPr>
              <w:pStyle w:val="23"/>
              <w:spacing w:before="138"/>
              <w:ind w:left="197"/>
              <w:rPr>
                <w:rFonts w:hint="eastAsia" w:ascii="宋体" w:hAnsi="宋体" w:eastAsia="宋体" w:cs="宋体"/>
                <w:sz w:val="21"/>
                <w:szCs w:val="21"/>
              </w:rPr>
            </w:pPr>
            <w:r>
              <w:rPr>
                <w:rFonts w:hint="eastAsia" w:ascii="宋体" w:hAnsi="宋体" w:eastAsia="宋体" w:cs="宋体"/>
                <w:sz w:val="21"/>
                <w:szCs w:val="21"/>
              </w:rPr>
              <w:t>稳定性</w:t>
            </w:r>
          </w:p>
        </w:tc>
        <w:tc>
          <w:tcPr>
            <w:tcW w:w="1638" w:type="dxa"/>
            <w:gridSpan w:val="2"/>
          </w:tcPr>
          <w:p>
            <w:pPr>
              <w:pStyle w:val="23"/>
              <w:spacing w:before="138"/>
              <w:ind w:left="580" w:right="563"/>
              <w:jc w:val="center"/>
              <w:rPr>
                <w:rFonts w:hint="eastAsia" w:ascii="宋体" w:hAnsi="宋体" w:eastAsia="宋体" w:cs="宋体"/>
                <w:sz w:val="21"/>
                <w:szCs w:val="21"/>
              </w:rPr>
            </w:pPr>
            <w:r>
              <w:rPr>
                <w:rFonts w:hint="eastAsia" w:ascii="宋体" w:hAnsi="宋体" w:eastAsia="宋体" w:cs="宋体"/>
                <w:sz w:val="21"/>
                <w:szCs w:val="21"/>
              </w:rPr>
              <w:t>稳定</w:t>
            </w:r>
          </w:p>
        </w:tc>
        <w:tc>
          <w:tcPr>
            <w:tcW w:w="1126" w:type="dxa"/>
          </w:tcPr>
          <w:p>
            <w:pPr>
              <w:pStyle w:val="23"/>
              <w:spacing w:before="138"/>
              <w:ind w:left="115"/>
              <w:rPr>
                <w:rFonts w:hint="eastAsia" w:ascii="宋体" w:hAnsi="宋体" w:eastAsia="宋体" w:cs="宋体"/>
                <w:sz w:val="21"/>
                <w:szCs w:val="21"/>
              </w:rPr>
            </w:pPr>
            <w:r>
              <w:rPr>
                <w:rFonts w:hint="eastAsia" w:ascii="宋体" w:hAnsi="宋体" w:eastAsia="宋体" w:cs="宋体"/>
                <w:sz w:val="21"/>
                <w:szCs w:val="21"/>
              </w:rPr>
              <w:t>聚合危害</w:t>
            </w:r>
          </w:p>
        </w:tc>
        <w:tc>
          <w:tcPr>
            <w:tcW w:w="1554" w:type="dxa"/>
          </w:tcPr>
          <w:p>
            <w:pPr>
              <w:pStyle w:val="23"/>
              <w:spacing w:before="138"/>
              <w:ind w:left="237" w:right="185"/>
              <w:jc w:val="center"/>
              <w:rPr>
                <w:rFonts w:hint="eastAsia" w:ascii="宋体" w:hAnsi="宋体" w:eastAsia="宋体" w:cs="宋体"/>
                <w:sz w:val="21"/>
                <w:szCs w:val="21"/>
              </w:rPr>
            </w:pPr>
            <w:r>
              <w:rPr>
                <w:rFonts w:hint="eastAsia" w:ascii="宋体" w:hAnsi="宋体" w:eastAsia="宋体" w:cs="宋体"/>
                <w:sz w:val="21"/>
                <w:szCs w:val="21"/>
              </w:rPr>
              <w:t>不出现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1" w:hRule="atLeast"/>
        </w:trPr>
        <w:tc>
          <w:tcPr>
            <w:tcW w:w="492" w:type="dxa"/>
            <w:vMerge w:val="continue"/>
            <w:tcBorders>
              <w:top w:val="nil"/>
            </w:tcBorders>
          </w:tcPr>
          <w:p>
            <w:pPr>
              <w:rPr>
                <w:rFonts w:hint="eastAsia" w:ascii="宋体" w:hAnsi="宋体" w:eastAsia="宋体" w:cs="宋体"/>
                <w:sz w:val="21"/>
                <w:szCs w:val="21"/>
              </w:rPr>
            </w:pPr>
          </w:p>
        </w:tc>
        <w:tc>
          <w:tcPr>
            <w:tcW w:w="1846" w:type="dxa"/>
          </w:tcPr>
          <w:p>
            <w:pPr>
              <w:pStyle w:val="23"/>
              <w:spacing w:before="121"/>
              <w:ind w:left="566"/>
              <w:rPr>
                <w:rFonts w:hint="eastAsia" w:ascii="宋体" w:hAnsi="宋体" w:eastAsia="宋体" w:cs="宋体"/>
                <w:sz w:val="21"/>
                <w:szCs w:val="21"/>
              </w:rPr>
            </w:pPr>
            <w:r>
              <w:rPr>
                <w:rFonts w:hint="eastAsia" w:ascii="宋体" w:hAnsi="宋体" w:eastAsia="宋体" w:cs="宋体"/>
                <w:sz w:val="21"/>
                <w:szCs w:val="21"/>
              </w:rPr>
              <w:t>禁忌物</w:t>
            </w:r>
          </w:p>
        </w:tc>
        <w:tc>
          <w:tcPr>
            <w:tcW w:w="6835" w:type="dxa"/>
            <w:gridSpan w:val="8"/>
          </w:tcPr>
          <w:p>
            <w:pPr>
              <w:pStyle w:val="23"/>
              <w:spacing w:before="121"/>
              <w:ind w:left="107"/>
              <w:rPr>
                <w:rFonts w:hint="eastAsia" w:ascii="宋体" w:hAnsi="宋体" w:eastAsia="宋体" w:cs="宋体"/>
                <w:sz w:val="21"/>
                <w:szCs w:val="21"/>
              </w:rPr>
            </w:pPr>
            <w:r>
              <w:rPr>
                <w:rFonts w:hint="eastAsia" w:ascii="宋体" w:hAnsi="宋体" w:eastAsia="宋体" w:cs="宋体"/>
                <w:sz w:val="21"/>
                <w:szCs w:val="21"/>
              </w:rPr>
              <w:t>强氧化剂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1" w:hRule="atLeast"/>
        </w:trPr>
        <w:tc>
          <w:tcPr>
            <w:tcW w:w="492" w:type="dxa"/>
            <w:vMerge w:val="continue"/>
            <w:tcBorders>
              <w:top w:val="nil"/>
            </w:tcBorders>
          </w:tcPr>
          <w:p>
            <w:pPr>
              <w:rPr>
                <w:rFonts w:hint="eastAsia" w:ascii="宋体" w:hAnsi="宋体" w:eastAsia="宋体" w:cs="宋体"/>
                <w:sz w:val="21"/>
                <w:szCs w:val="21"/>
              </w:rPr>
            </w:pPr>
          </w:p>
        </w:tc>
        <w:tc>
          <w:tcPr>
            <w:tcW w:w="1846" w:type="dxa"/>
          </w:tcPr>
          <w:p>
            <w:pPr>
              <w:pStyle w:val="23"/>
              <w:spacing w:before="121"/>
              <w:ind w:left="453"/>
              <w:rPr>
                <w:rFonts w:hint="eastAsia" w:ascii="宋体" w:hAnsi="宋体" w:eastAsia="宋体" w:cs="宋体"/>
                <w:sz w:val="21"/>
                <w:szCs w:val="21"/>
              </w:rPr>
            </w:pPr>
            <w:r>
              <w:rPr>
                <w:rFonts w:hint="eastAsia" w:ascii="宋体" w:hAnsi="宋体" w:eastAsia="宋体" w:cs="宋体"/>
                <w:sz w:val="21"/>
                <w:szCs w:val="21"/>
              </w:rPr>
              <w:t>灭火方法</w:t>
            </w:r>
          </w:p>
        </w:tc>
        <w:tc>
          <w:tcPr>
            <w:tcW w:w="6835" w:type="dxa"/>
            <w:gridSpan w:val="8"/>
          </w:tcPr>
          <w:p>
            <w:pPr>
              <w:pStyle w:val="23"/>
              <w:spacing w:before="121"/>
              <w:ind w:left="107"/>
              <w:rPr>
                <w:rFonts w:hint="eastAsia" w:ascii="宋体" w:hAnsi="宋体" w:eastAsia="宋体" w:cs="宋体"/>
                <w:sz w:val="21"/>
                <w:szCs w:val="21"/>
              </w:rPr>
            </w:pPr>
            <w:r>
              <w:rPr>
                <w:rFonts w:hint="eastAsia" w:ascii="宋体" w:hAnsi="宋体" w:eastAsia="宋体" w:cs="宋体"/>
                <w:sz w:val="21"/>
                <w:szCs w:val="21"/>
              </w:rPr>
              <w:t>用泡沫、二氧化碳、干粉灭火，用水灭火无效。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919" w:hRule="atLeast"/>
        </w:trPr>
        <w:tc>
          <w:tcPr>
            <w:tcW w:w="492" w:type="dxa"/>
            <w:vMerge w:val="restart"/>
          </w:tcPr>
          <w:p>
            <w:pPr>
              <w:pStyle w:val="23"/>
              <w:rPr>
                <w:rFonts w:hint="eastAsia" w:ascii="宋体" w:hAnsi="宋体" w:eastAsia="宋体" w:cs="宋体"/>
                <w:sz w:val="21"/>
                <w:szCs w:val="21"/>
              </w:rPr>
            </w:pPr>
          </w:p>
          <w:p>
            <w:pPr>
              <w:pStyle w:val="23"/>
              <w:rPr>
                <w:rFonts w:hint="eastAsia" w:ascii="宋体" w:hAnsi="宋体" w:eastAsia="宋体" w:cs="宋体"/>
                <w:sz w:val="21"/>
                <w:szCs w:val="21"/>
              </w:rPr>
            </w:pPr>
          </w:p>
          <w:p>
            <w:pPr>
              <w:pStyle w:val="23"/>
              <w:spacing w:before="136" w:line="357" w:lineRule="auto"/>
              <w:ind w:left="136" w:right="122"/>
              <w:jc w:val="both"/>
              <w:rPr>
                <w:rFonts w:hint="eastAsia" w:ascii="宋体" w:hAnsi="宋体" w:eastAsia="宋体" w:cs="宋体"/>
                <w:sz w:val="21"/>
                <w:szCs w:val="21"/>
              </w:rPr>
            </w:pPr>
            <w:r>
              <w:rPr>
                <w:rFonts w:hint="eastAsia" w:ascii="宋体" w:hAnsi="宋体" w:eastAsia="宋体" w:cs="宋体"/>
                <w:sz w:val="21"/>
                <w:szCs w:val="21"/>
              </w:rPr>
              <w:t>防护措施</w:t>
            </w:r>
          </w:p>
        </w:tc>
        <w:tc>
          <w:tcPr>
            <w:tcW w:w="1846" w:type="dxa"/>
          </w:tcPr>
          <w:p>
            <w:pPr>
              <w:pStyle w:val="23"/>
              <w:rPr>
                <w:rFonts w:hint="eastAsia" w:ascii="宋体" w:hAnsi="宋体" w:eastAsia="宋体" w:cs="宋体"/>
                <w:sz w:val="21"/>
                <w:szCs w:val="21"/>
              </w:rPr>
            </w:pPr>
          </w:p>
          <w:p>
            <w:pPr>
              <w:pStyle w:val="23"/>
              <w:rPr>
                <w:rFonts w:hint="eastAsia" w:ascii="宋体" w:hAnsi="宋体" w:eastAsia="宋体" w:cs="宋体"/>
                <w:sz w:val="21"/>
                <w:szCs w:val="21"/>
              </w:rPr>
            </w:pPr>
          </w:p>
          <w:p>
            <w:pPr>
              <w:pStyle w:val="23"/>
              <w:rPr>
                <w:rFonts w:hint="eastAsia" w:ascii="宋体" w:hAnsi="宋体" w:eastAsia="宋体" w:cs="宋体"/>
                <w:sz w:val="21"/>
                <w:szCs w:val="21"/>
              </w:rPr>
            </w:pPr>
          </w:p>
          <w:p>
            <w:pPr>
              <w:pStyle w:val="23"/>
              <w:spacing w:before="158"/>
              <w:ind w:left="283"/>
              <w:rPr>
                <w:rFonts w:hint="eastAsia" w:ascii="宋体" w:hAnsi="宋体" w:eastAsia="宋体" w:cs="宋体"/>
                <w:sz w:val="21"/>
                <w:szCs w:val="21"/>
              </w:rPr>
            </w:pPr>
            <w:r>
              <w:rPr>
                <w:rFonts w:hint="eastAsia" w:ascii="宋体" w:hAnsi="宋体" w:eastAsia="宋体" w:cs="宋体"/>
                <w:sz w:val="21"/>
                <w:szCs w:val="21"/>
              </w:rPr>
              <w:t>泄漏应急处理</w:t>
            </w:r>
          </w:p>
        </w:tc>
        <w:tc>
          <w:tcPr>
            <w:tcW w:w="6835" w:type="dxa"/>
            <w:gridSpan w:val="8"/>
          </w:tcPr>
          <w:p>
            <w:pPr>
              <w:pStyle w:val="23"/>
              <w:spacing w:before="46" w:line="285" w:lineRule="auto"/>
              <w:ind w:left="107" w:right="84"/>
              <w:jc w:val="both"/>
              <w:rPr>
                <w:rFonts w:hint="eastAsia" w:ascii="宋体" w:hAnsi="宋体" w:eastAsia="宋体" w:cs="宋体"/>
                <w:sz w:val="21"/>
                <w:szCs w:val="21"/>
              </w:rPr>
            </w:pPr>
            <w:r>
              <w:rPr>
                <w:rFonts w:hint="eastAsia" w:ascii="宋体" w:hAnsi="宋体" w:eastAsia="宋体" w:cs="宋体"/>
                <w:sz w:val="21"/>
                <w:szCs w:val="21"/>
              </w:rPr>
              <w:t>迅速撤离泄漏污染区人员至安全区，并进行隔离，严格限制出入。切断火源。建议应急处理人员戴自给正压式呼吸器，穿防静电工作服。尽可能切断泄漏源。防止流入下水道、排洪沟等限制性区域。小量泄漏：用砂土、蛭石或其它惰性材料吸收。或在保证安全的情况下，就地焚烧。大量泄漏：构筑围堤或挖坑收容。用泡沫覆盖，降低蒸汽灾害。用防爆</w:t>
            </w:r>
          </w:p>
          <w:p>
            <w:pPr>
              <w:pStyle w:val="23"/>
              <w:spacing w:line="252" w:lineRule="exact"/>
              <w:ind w:left="107"/>
              <w:jc w:val="both"/>
              <w:rPr>
                <w:rFonts w:hint="eastAsia" w:ascii="宋体" w:hAnsi="宋体" w:eastAsia="宋体" w:cs="宋体"/>
                <w:sz w:val="21"/>
                <w:szCs w:val="21"/>
              </w:rPr>
            </w:pPr>
            <w:r>
              <w:rPr>
                <w:rFonts w:hint="eastAsia" w:ascii="宋体" w:hAnsi="宋体" w:eastAsia="宋体" w:cs="宋体"/>
                <w:sz w:val="21"/>
                <w:szCs w:val="21"/>
              </w:rPr>
              <w:t>泵转移至槽车或专用收集器，回收或运至废物处理场所处理。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0" w:hRule="atLeast"/>
        </w:trPr>
        <w:tc>
          <w:tcPr>
            <w:tcW w:w="492" w:type="dxa"/>
            <w:vMerge w:val="continue"/>
            <w:tcBorders>
              <w:top w:val="nil"/>
            </w:tcBorders>
          </w:tcPr>
          <w:p>
            <w:pPr>
              <w:rPr>
                <w:rFonts w:hint="eastAsia" w:ascii="宋体" w:hAnsi="宋体" w:eastAsia="宋体" w:cs="宋体"/>
                <w:sz w:val="21"/>
                <w:szCs w:val="21"/>
              </w:rPr>
            </w:pPr>
          </w:p>
        </w:tc>
        <w:tc>
          <w:tcPr>
            <w:tcW w:w="1846" w:type="dxa"/>
          </w:tcPr>
          <w:p>
            <w:pPr>
              <w:pStyle w:val="23"/>
              <w:rPr>
                <w:rFonts w:hint="eastAsia" w:ascii="宋体" w:hAnsi="宋体" w:eastAsia="宋体" w:cs="宋体"/>
                <w:sz w:val="21"/>
                <w:szCs w:val="21"/>
              </w:rPr>
            </w:pPr>
          </w:p>
          <w:p>
            <w:pPr>
              <w:pStyle w:val="23"/>
              <w:ind w:left="283"/>
              <w:rPr>
                <w:rFonts w:hint="eastAsia" w:ascii="宋体" w:hAnsi="宋体" w:eastAsia="宋体" w:cs="宋体"/>
                <w:sz w:val="21"/>
                <w:szCs w:val="21"/>
              </w:rPr>
            </w:pPr>
            <w:r>
              <w:rPr>
                <w:rFonts w:hint="eastAsia" w:ascii="宋体" w:hAnsi="宋体" w:eastAsia="宋体" w:cs="宋体"/>
                <w:sz w:val="21"/>
                <w:szCs w:val="21"/>
              </w:rPr>
              <w:t>储运注意事项</w:t>
            </w:r>
          </w:p>
        </w:tc>
        <w:tc>
          <w:tcPr>
            <w:tcW w:w="6835" w:type="dxa"/>
            <w:gridSpan w:val="8"/>
          </w:tcPr>
          <w:p>
            <w:pPr>
              <w:pStyle w:val="23"/>
              <w:spacing w:before="3" w:line="320" w:lineRule="exact"/>
              <w:ind w:left="107" w:right="-29"/>
              <w:rPr>
                <w:rFonts w:hint="eastAsia" w:ascii="宋体" w:hAnsi="宋体" w:eastAsia="宋体" w:cs="宋体"/>
                <w:sz w:val="21"/>
                <w:szCs w:val="21"/>
              </w:rPr>
            </w:pPr>
            <w:r>
              <w:rPr>
                <w:rFonts w:hint="eastAsia" w:ascii="宋体" w:hAnsi="宋体" w:eastAsia="宋体" w:cs="宋体"/>
                <w:spacing w:val="-8"/>
                <w:sz w:val="21"/>
                <w:szCs w:val="21"/>
              </w:rPr>
              <w:t>储存于阴凉、通风的仓库或储罐。远离热源和火种。与可燃物、有机物、</w:t>
            </w:r>
            <w:r>
              <w:rPr>
                <w:rFonts w:hint="eastAsia" w:ascii="宋体" w:hAnsi="宋体" w:eastAsia="宋体" w:cs="宋体"/>
                <w:spacing w:val="-5"/>
                <w:sz w:val="21"/>
                <w:szCs w:val="21"/>
              </w:rPr>
              <w:t>氧化剂隔离储运。夏令炎热季节，早晚运输。</w:t>
            </w:r>
          </w:p>
        </w:tc>
      </w:tr>
    </w:tbl>
    <w:p>
      <w:pPr>
        <w:spacing w:line="320" w:lineRule="exact"/>
        <w:rPr>
          <w:rFonts w:hint="eastAsia" w:ascii="宋体" w:hAnsi="宋体" w:eastAsia="宋体" w:cs="宋体"/>
          <w:sz w:val="21"/>
        </w:rPr>
        <w:sectPr>
          <w:pgSz w:w="11910" w:h="16840"/>
          <w:pgMar w:top="1417" w:right="1134" w:bottom="1134" w:left="1587" w:header="720" w:footer="720" w:gutter="0"/>
          <w:pgNumType w:fmt="decimal"/>
          <w:cols w:space="0" w:num="1"/>
        </w:sectPr>
      </w:pPr>
    </w:p>
    <w:p>
      <w:pPr>
        <w:pStyle w:val="6"/>
        <w:tabs>
          <w:tab w:val="left" w:pos="6844"/>
        </w:tabs>
        <w:spacing w:before="70" w:after="20"/>
        <w:jc w:val="center"/>
        <w:rPr>
          <w:rFonts w:hint="eastAsia" w:ascii="宋体" w:hAnsi="宋体" w:eastAsia="宋体" w:cs="宋体"/>
          <w:sz w:val="24"/>
          <w:szCs w:val="24"/>
        </w:rPr>
      </w:pPr>
      <w:bookmarkStart w:id="704" w:name="_Toc24988_WPSOffice_Level3"/>
      <w:bookmarkStart w:id="705" w:name="_Toc10705_WPSOffice_Level3"/>
      <w:bookmarkStart w:id="706" w:name="_Toc21287_WPSOffice_Level3"/>
      <w:r>
        <w:rPr>
          <w:rFonts w:hint="eastAsia" w:ascii="宋体" w:hAnsi="宋体" w:eastAsia="宋体" w:cs="宋体"/>
          <w:sz w:val="24"/>
          <w:szCs w:val="24"/>
        </w:rPr>
        <w:t>附表</w:t>
      </w:r>
      <w:r>
        <w:rPr>
          <w:rFonts w:hint="eastAsia" w:ascii="宋体" w:hAnsi="宋体" w:eastAsia="宋体" w:cs="宋体"/>
          <w:spacing w:val="6"/>
          <w:sz w:val="24"/>
          <w:szCs w:val="24"/>
        </w:rPr>
        <w:t xml:space="preserve">3.1-2 </w:t>
      </w:r>
      <w:r>
        <w:rPr>
          <w:rFonts w:hint="eastAsia" w:ascii="宋体" w:hAnsi="宋体" w:eastAsia="宋体" w:cs="宋体"/>
          <w:spacing w:val="19"/>
          <w:sz w:val="24"/>
          <w:szCs w:val="24"/>
        </w:rPr>
        <w:t>柴油的理化性质及危险特</w:t>
      </w:r>
      <w:r>
        <w:rPr>
          <w:rFonts w:hint="eastAsia" w:ascii="宋体" w:hAnsi="宋体" w:eastAsia="宋体" w:cs="宋体"/>
          <w:sz w:val="24"/>
          <w:szCs w:val="24"/>
        </w:rPr>
        <w:t>性</w:t>
      </w:r>
      <w:bookmarkEnd w:id="704"/>
      <w:bookmarkEnd w:id="705"/>
      <w:bookmarkEnd w:id="706"/>
    </w:p>
    <w:tbl>
      <w:tblPr>
        <w:tblStyle w:val="21"/>
        <w:tblW w:w="9173"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92"/>
        <w:gridCol w:w="1847"/>
        <w:gridCol w:w="1422"/>
        <w:gridCol w:w="396"/>
        <w:gridCol w:w="216"/>
        <w:gridCol w:w="703"/>
        <w:gridCol w:w="657"/>
        <w:gridCol w:w="343"/>
        <w:gridCol w:w="505"/>
        <w:gridCol w:w="1038"/>
        <w:gridCol w:w="155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599" w:hRule="atLeast"/>
        </w:trPr>
        <w:tc>
          <w:tcPr>
            <w:tcW w:w="492" w:type="dxa"/>
            <w:vMerge w:val="restart"/>
          </w:tcPr>
          <w:p>
            <w:pPr>
              <w:pStyle w:val="23"/>
              <w:spacing w:before="83" w:line="460" w:lineRule="atLeast"/>
              <w:ind w:left="126" w:right="131"/>
              <w:rPr>
                <w:rFonts w:hint="eastAsia" w:ascii="宋体" w:hAnsi="宋体" w:eastAsia="宋体" w:cs="宋体"/>
                <w:sz w:val="21"/>
                <w:szCs w:val="21"/>
              </w:rPr>
            </w:pPr>
            <w:r>
              <w:rPr>
                <w:rFonts w:hint="eastAsia" w:ascii="宋体" w:hAnsi="宋体" w:eastAsia="宋体" w:cs="宋体"/>
                <w:sz w:val="21"/>
                <w:szCs w:val="21"/>
              </w:rPr>
              <w:t>标识</w:t>
            </w:r>
          </w:p>
        </w:tc>
        <w:tc>
          <w:tcPr>
            <w:tcW w:w="1847" w:type="dxa"/>
            <w:vAlign w:val="center"/>
          </w:tcPr>
          <w:p>
            <w:pPr>
              <w:pStyle w:val="23"/>
              <w:ind w:left="154" w:right="143"/>
              <w:jc w:val="center"/>
              <w:rPr>
                <w:rFonts w:hint="eastAsia" w:ascii="宋体" w:hAnsi="宋体" w:eastAsia="宋体" w:cs="宋体"/>
                <w:sz w:val="21"/>
                <w:szCs w:val="21"/>
              </w:rPr>
            </w:pPr>
            <w:r>
              <w:rPr>
                <w:rFonts w:hint="eastAsia" w:ascii="宋体" w:hAnsi="宋体" w:eastAsia="宋体" w:cs="宋体"/>
                <w:sz w:val="21"/>
                <w:szCs w:val="21"/>
              </w:rPr>
              <w:t>中文名</w:t>
            </w:r>
          </w:p>
        </w:tc>
        <w:tc>
          <w:tcPr>
            <w:tcW w:w="3394" w:type="dxa"/>
            <w:gridSpan w:val="5"/>
            <w:vAlign w:val="center"/>
          </w:tcPr>
          <w:p>
            <w:pPr>
              <w:pStyle w:val="23"/>
              <w:ind w:left="1271" w:right="1255"/>
              <w:jc w:val="center"/>
              <w:rPr>
                <w:rFonts w:hint="eastAsia" w:ascii="宋体" w:hAnsi="宋体" w:eastAsia="宋体" w:cs="宋体"/>
                <w:sz w:val="21"/>
                <w:szCs w:val="21"/>
              </w:rPr>
            </w:pPr>
            <w:r>
              <w:rPr>
                <w:rFonts w:hint="eastAsia" w:ascii="宋体" w:hAnsi="宋体" w:eastAsia="宋体" w:cs="宋体"/>
                <w:sz w:val="21"/>
                <w:szCs w:val="21"/>
              </w:rPr>
              <w:t>柴油</w:t>
            </w:r>
          </w:p>
        </w:tc>
        <w:tc>
          <w:tcPr>
            <w:tcW w:w="1886" w:type="dxa"/>
            <w:gridSpan w:val="3"/>
            <w:vAlign w:val="center"/>
          </w:tcPr>
          <w:p>
            <w:pPr>
              <w:pStyle w:val="23"/>
              <w:ind w:left="112"/>
              <w:jc w:val="center"/>
              <w:rPr>
                <w:rFonts w:hint="eastAsia" w:ascii="宋体" w:hAnsi="宋体" w:eastAsia="宋体" w:cs="宋体"/>
                <w:sz w:val="21"/>
                <w:szCs w:val="21"/>
              </w:rPr>
            </w:pPr>
            <w:r>
              <w:rPr>
                <w:rFonts w:hint="eastAsia" w:ascii="宋体" w:hAnsi="宋体" w:eastAsia="宋体" w:cs="宋体"/>
                <w:sz w:val="21"/>
                <w:szCs w:val="21"/>
              </w:rPr>
              <w:t>危险化学品序号</w:t>
            </w:r>
          </w:p>
        </w:tc>
        <w:tc>
          <w:tcPr>
            <w:tcW w:w="1554" w:type="dxa"/>
            <w:vAlign w:val="center"/>
          </w:tcPr>
          <w:p>
            <w:pPr>
              <w:pStyle w:val="23"/>
              <w:ind w:right="428"/>
              <w:jc w:val="center"/>
              <w:rPr>
                <w:rFonts w:hint="eastAsia" w:ascii="宋体" w:hAnsi="宋体" w:eastAsia="宋体" w:cs="宋体"/>
                <w:sz w:val="21"/>
                <w:szCs w:val="21"/>
              </w:rPr>
            </w:pPr>
            <w:r>
              <w:rPr>
                <w:rFonts w:hint="eastAsia" w:ascii="宋体" w:hAnsi="宋体" w:eastAsia="宋体" w:cs="宋体"/>
                <w:sz w:val="21"/>
                <w:szCs w:val="21"/>
              </w:rPr>
              <w:t>1674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1" w:hRule="atLeast"/>
        </w:trPr>
        <w:tc>
          <w:tcPr>
            <w:tcW w:w="492" w:type="dxa"/>
            <w:vMerge w:val="continue"/>
            <w:tcBorders>
              <w:top w:val="nil"/>
            </w:tcBorders>
          </w:tcPr>
          <w:p>
            <w:pPr>
              <w:rPr>
                <w:rFonts w:hint="eastAsia" w:ascii="宋体" w:hAnsi="宋体" w:eastAsia="宋体" w:cs="宋体"/>
                <w:sz w:val="21"/>
                <w:szCs w:val="21"/>
              </w:rPr>
            </w:pPr>
          </w:p>
        </w:tc>
        <w:tc>
          <w:tcPr>
            <w:tcW w:w="1847" w:type="dxa"/>
            <w:vAlign w:val="center"/>
          </w:tcPr>
          <w:p>
            <w:pPr>
              <w:pStyle w:val="23"/>
              <w:ind w:left="154" w:right="143"/>
              <w:jc w:val="center"/>
              <w:rPr>
                <w:rFonts w:hint="eastAsia" w:ascii="宋体" w:hAnsi="宋体" w:eastAsia="宋体" w:cs="宋体"/>
                <w:sz w:val="21"/>
                <w:szCs w:val="21"/>
              </w:rPr>
            </w:pPr>
            <w:r>
              <w:rPr>
                <w:rFonts w:hint="eastAsia" w:ascii="宋体" w:hAnsi="宋体" w:eastAsia="宋体" w:cs="宋体"/>
                <w:sz w:val="21"/>
                <w:szCs w:val="21"/>
              </w:rPr>
              <w:t>英文名</w:t>
            </w:r>
          </w:p>
        </w:tc>
        <w:tc>
          <w:tcPr>
            <w:tcW w:w="3394" w:type="dxa"/>
            <w:gridSpan w:val="5"/>
            <w:vAlign w:val="center"/>
          </w:tcPr>
          <w:p>
            <w:pPr>
              <w:pStyle w:val="23"/>
              <w:ind w:right="1268"/>
              <w:jc w:val="center"/>
              <w:rPr>
                <w:rFonts w:hint="eastAsia" w:ascii="宋体" w:hAnsi="宋体" w:eastAsia="宋体" w:cs="宋体"/>
                <w:sz w:val="21"/>
                <w:szCs w:val="21"/>
                <w:lang w:val="en-US"/>
              </w:rPr>
            </w:pPr>
            <w:r>
              <w:rPr>
                <w:rFonts w:hint="eastAsia" w:ascii="宋体" w:hAnsi="宋体" w:eastAsia="宋体" w:cs="宋体"/>
                <w:sz w:val="21"/>
                <w:szCs w:val="21"/>
                <w:lang w:val="en-US"/>
              </w:rPr>
              <w:t xml:space="preserve">      </w:t>
            </w:r>
            <w:r>
              <w:rPr>
                <w:rFonts w:hint="eastAsia" w:ascii="宋体" w:hAnsi="宋体" w:eastAsia="宋体" w:cs="宋体"/>
                <w:sz w:val="21"/>
                <w:szCs w:val="21"/>
              </w:rPr>
              <w:t>Diesel</w:t>
            </w:r>
            <w:r>
              <w:rPr>
                <w:rFonts w:hint="eastAsia" w:ascii="宋体" w:hAnsi="宋体" w:eastAsia="宋体" w:cs="宋体"/>
                <w:sz w:val="21"/>
                <w:szCs w:val="21"/>
                <w:lang w:val="en-US"/>
              </w:rPr>
              <w:t xml:space="preserve">  </w:t>
            </w:r>
            <w:r>
              <w:rPr>
                <w:rFonts w:hint="eastAsia" w:ascii="宋体" w:hAnsi="宋体" w:eastAsia="宋体" w:cs="宋体"/>
                <w:sz w:val="21"/>
                <w:szCs w:val="21"/>
              </w:rPr>
              <w:t>oil</w:t>
            </w:r>
            <w:r>
              <w:rPr>
                <w:rFonts w:hint="eastAsia" w:ascii="宋体" w:hAnsi="宋体" w:eastAsia="宋体" w:cs="宋体"/>
                <w:sz w:val="21"/>
                <w:szCs w:val="21"/>
                <w:lang w:val="en-US"/>
              </w:rPr>
              <w:t xml:space="preserve">     </w:t>
            </w:r>
          </w:p>
        </w:tc>
        <w:tc>
          <w:tcPr>
            <w:tcW w:w="1886" w:type="dxa"/>
            <w:gridSpan w:val="3"/>
            <w:vAlign w:val="center"/>
          </w:tcPr>
          <w:p>
            <w:pPr>
              <w:pStyle w:val="23"/>
              <w:spacing w:before="197"/>
              <w:ind w:left="554"/>
              <w:jc w:val="center"/>
              <w:rPr>
                <w:rFonts w:hint="eastAsia" w:ascii="宋体" w:hAnsi="宋体" w:eastAsia="宋体" w:cs="宋体"/>
                <w:sz w:val="21"/>
                <w:szCs w:val="21"/>
              </w:rPr>
            </w:pPr>
            <w:r>
              <w:rPr>
                <w:rFonts w:hint="eastAsia" w:ascii="宋体" w:hAnsi="宋体" w:eastAsia="宋体" w:cs="宋体"/>
                <w:sz w:val="21"/>
                <w:szCs w:val="21"/>
              </w:rPr>
              <w:t>CAS 号</w:t>
            </w:r>
          </w:p>
        </w:tc>
        <w:tc>
          <w:tcPr>
            <w:tcW w:w="1554" w:type="dxa"/>
            <w:vAlign w:val="center"/>
          </w:tcPr>
          <w:p>
            <w:pPr>
              <w:pStyle w:val="23"/>
              <w:ind w:right="17"/>
              <w:jc w:val="center"/>
              <w:rPr>
                <w:rFonts w:hint="eastAsia" w:ascii="宋体" w:hAnsi="宋体" w:eastAsia="宋体" w:cs="宋体"/>
                <w:sz w:val="21"/>
                <w:szCs w:val="21"/>
              </w:rPr>
            </w:pPr>
            <w:r>
              <w:rPr>
                <w:rFonts w:hint="eastAsia" w:ascii="宋体" w:hAnsi="宋体" w:eastAsia="宋体" w:cs="宋体"/>
                <w:sz w:val="21"/>
                <w:szCs w:val="21"/>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04" w:hRule="atLeast"/>
        </w:trPr>
        <w:tc>
          <w:tcPr>
            <w:tcW w:w="492" w:type="dxa"/>
            <w:vMerge w:val="restart"/>
          </w:tcPr>
          <w:p>
            <w:pPr>
              <w:pStyle w:val="23"/>
              <w:spacing w:before="159" w:line="410" w:lineRule="auto"/>
              <w:ind w:left="126" w:right="131"/>
              <w:jc w:val="both"/>
              <w:rPr>
                <w:rFonts w:hint="eastAsia" w:ascii="宋体" w:hAnsi="宋体" w:eastAsia="宋体" w:cs="宋体"/>
                <w:sz w:val="21"/>
                <w:szCs w:val="21"/>
              </w:rPr>
            </w:pPr>
            <w:r>
              <w:rPr>
                <w:rFonts w:hint="eastAsia" w:ascii="宋体" w:hAnsi="宋体" w:eastAsia="宋体" w:cs="宋体"/>
                <w:sz w:val="21"/>
                <w:szCs w:val="21"/>
              </w:rPr>
              <w:t>理化性</w:t>
            </w:r>
          </w:p>
          <w:p>
            <w:pPr>
              <w:pStyle w:val="23"/>
              <w:ind w:left="126"/>
              <w:jc w:val="both"/>
              <w:rPr>
                <w:rFonts w:hint="eastAsia" w:ascii="宋体" w:hAnsi="宋体" w:eastAsia="宋体" w:cs="宋体"/>
                <w:sz w:val="21"/>
                <w:szCs w:val="21"/>
              </w:rPr>
            </w:pPr>
            <w:r>
              <w:rPr>
                <w:rFonts w:hint="eastAsia" w:ascii="宋体" w:hAnsi="宋体" w:eastAsia="宋体" w:cs="宋体"/>
                <w:sz w:val="21"/>
                <w:szCs w:val="21"/>
              </w:rPr>
              <w:t>质</w:t>
            </w:r>
          </w:p>
        </w:tc>
        <w:tc>
          <w:tcPr>
            <w:tcW w:w="1847" w:type="dxa"/>
            <w:vAlign w:val="center"/>
          </w:tcPr>
          <w:p>
            <w:pPr>
              <w:pStyle w:val="23"/>
              <w:ind w:left="159" w:right="143"/>
              <w:jc w:val="center"/>
              <w:rPr>
                <w:rFonts w:hint="eastAsia" w:ascii="宋体" w:hAnsi="宋体" w:eastAsia="宋体" w:cs="宋体"/>
                <w:sz w:val="21"/>
                <w:szCs w:val="21"/>
              </w:rPr>
            </w:pPr>
            <w:r>
              <w:rPr>
                <w:rFonts w:hint="eastAsia" w:ascii="宋体" w:hAnsi="宋体" w:eastAsia="宋体" w:cs="宋体"/>
                <w:sz w:val="21"/>
                <w:szCs w:val="21"/>
              </w:rPr>
              <w:t>外观与性状</w:t>
            </w:r>
          </w:p>
        </w:tc>
        <w:tc>
          <w:tcPr>
            <w:tcW w:w="6834" w:type="dxa"/>
            <w:gridSpan w:val="9"/>
            <w:vAlign w:val="center"/>
          </w:tcPr>
          <w:p>
            <w:pPr>
              <w:pStyle w:val="23"/>
              <w:ind w:left="107"/>
              <w:jc w:val="center"/>
              <w:rPr>
                <w:rFonts w:hint="eastAsia" w:ascii="宋体" w:hAnsi="宋体" w:eastAsia="宋体" w:cs="宋体"/>
                <w:sz w:val="21"/>
                <w:szCs w:val="21"/>
              </w:rPr>
            </w:pPr>
            <w:r>
              <w:rPr>
                <w:rFonts w:hint="eastAsia" w:ascii="宋体" w:hAnsi="宋体" w:eastAsia="宋体" w:cs="宋体"/>
                <w:sz w:val="21"/>
                <w:szCs w:val="21"/>
              </w:rPr>
              <w:t>稍有粘性的棕色液体</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04" w:hRule="atLeast"/>
        </w:trPr>
        <w:tc>
          <w:tcPr>
            <w:tcW w:w="492" w:type="dxa"/>
            <w:vMerge w:val="continue"/>
            <w:tcBorders>
              <w:top w:val="nil"/>
            </w:tcBorders>
          </w:tcPr>
          <w:p>
            <w:pPr>
              <w:rPr>
                <w:rFonts w:hint="eastAsia" w:ascii="宋体" w:hAnsi="宋体" w:eastAsia="宋体" w:cs="宋体"/>
                <w:sz w:val="21"/>
                <w:szCs w:val="21"/>
              </w:rPr>
            </w:pPr>
          </w:p>
        </w:tc>
        <w:tc>
          <w:tcPr>
            <w:tcW w:w="1847" w:type="dxa"/>
            <w:vAlign w:val="center"/>
          </w:tcPr>
          <w:p>
            <w:pPr>
              <w:pStyle w:val="23"/>
              <w:ind w:left="143" w:right="143"/>
              <w:jc w:val="center"/>
              <w:rPr>
                <w:rFonts w:hint="eastAsia" w:ascii="宋体" w:hAnsi="宋体" w:eastAsia="宋体" w:cs="宋体"/>
                <w:sz w:val="21"/>
                <w:szCs w:val="21"/>
              </w:rPr>
            </w:pPr>
            <w:r>
              <w:rPr>
                <w:rFonts w:hint="eastAsia" w:ascii="宋体" w:hAnsi="宋体" w:eastAsia="宋体" w:cs="宋体"/>
                <w:spacing w:val="19"/>
                <w:w w:val="110"/>
                <w:sz w:val="21"/>
                <w:szCs w:val="21"/>
              </w:rPr>
              <w:t>熔点</w:t>
            </w:r>
            <w:r>
              <w:rPr>
                <w:rFonts w:hint="eastAsia" w:ascii="宋体" w:hAnsi="宋体" w:eastAsia="宋体" w:cs="宋体"/>
                <w:w w:val="110"/>
                <w:sz w:val="21"/>
                <w:szCs w:val="21"/>
              </w:rPr>
              <w:t>（</w:t>
            </w:r>
            <w:r>
              <w:rPr>
                <w:rFonts w:hint="eastAsia" w:ascii="宋体" w:hAnsi="宋体" w:eastAsia="宋体" w:cs="宋体"/>
                <w:spacing w:val="4"/>
                <w:w w:val="110"/>
                <w:sz w:val="21"/>
                <w:szCs w:val="21"/>
              </w:rPr>
              <w:t>℃）</w:t>
            </w:r>
          </w:p>
        </w:tc>
        <w:tc>
          <w:tcPr>
            <w:tcW w:w="2034" w:type="dxa"/>
            <w:gridSpan w:val="3"/>
            <w:vAlign w:val="center"/>
          </w:tcPr>
          <w:p>
            <w:pPr>
              <w:pStyle w:val="23"/>
              <w:ind w:left="631"/>
              <w:jc w:val="center"/>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pacing w:val="9"/>
                <w:sz w:val="21"/>
                <w:szCs w:val="21"/>
              </w:rPr>
              <w:t>29.56</w:t>
            </w:r>
          </w:p>
        </w:tc>
        <w:tc>
          <w:tcPr>
            <w:tcW w:w="2208" w:type="dxa"/>
            <w:gridSpan w:val="4"/>
            <w:vAlign w:val="center"/>
          </w:tcPr>
          <w:p>
            <w:pPr>
              <w:pStyle w:val="23"/>
              <w:ind w:left="318"/>
              <w:jc w:val="center"/>
              <w:rPr>
                <w:rFonts w:hint="eastAsia" w:ascii="宋体" w:hAnsi="宋体" w:eastAsia="宋体" w:cs="宋体"/>
                <w:sz w:val="21"/>
                <w:szCs w:val="21"/>
              </w:rPr>
            </w:pPr>
            <w:r>
              <w:rPr>
                <w:rFonts w:hint="eastAsia" w:ascii="宋体" w:hAnsi="宋体" w:eastAsia="宋体" w:cs="宋体"/>
                <w:sz w:val="21"/>
                <w:szCs w:val="21"/>
              </w:rPr>
              <w:t>相对密度(水=1)</w:t>
            </w:r>
          </w:p>
        </w:tc>
        <w:tc>
          <w:tcPr>
            <w:tcW w:w="2592" w:type="dxa"/>
            <w:gridSpan w:val="2"/>
            <w:vAlign w:val="center"/>
          </w:tcPr>
          <w:p>
            <w:pPr>
              <w:pStyle w:val="23"/>
              <w:ind w:left="1084" w:right="1057"/>
              <w:jc w:val="center"/>
              <w:rPr>
                <w:rFonts w:hint="eastAsia" w:ascii="宋体" w:hAnsi="宋体" w:eastAsia="宋体" w:cs="宋体"/>
                <w:sz w:val="21"/>
                <w:szCs w:val="21"/>
              </w:rPr>
            </w:pPr>
            <w:r>
              <w:rPr>
                <w:rFonts w:hint="eastAsia" w:ascii="宋体" w:hAnsi="宋体" w:eastAsia="宋体" w:cs="宋体"/>
                <w:sz w:val="21"/>
                <w:szCs w:val="21"/>
              </w:rPr>
              <w:t>0.85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606" w:hRule="atLeast"/>
        </w:trPr>
        <w:tc>
          <w:tcPr>
            <w:tcW w:w="492" w:type="dxa"/>
            <w:vMerge w:val="continue"/>
            <w:tcBorders>
              <w:top w:val="nil"/>
            </w:tcBorders>
          </w:tcPr>
          <w:p>
            <w:pPr>
              <w:rPr>
                <w:rFonts w:hint="eastAsia" w:ascii="宋体" w:hAnsi="宋体" w:eastAsia="宋体" w:cs="宋体"/>
                <w:sz w:val="21"/>
                <w:szCs w:val="21"/>
              </w:rPr>
            </w:pPr>
          </w:p>
        </w:tc>
        <w:tc>
          <w:tcPr>
            <w:tcW w:w="1847" w:type="dxa"/>
            <w:vAlign w:val="center"/>
          </w:tcPr>
          <w:p>
            <w:pPr>
              <w:pStyle w:val="23"/>
              <w:ind w:left="143" w:right="143"/>
              <w:jc w:val="center"/>
              <w:rPr>
                <w:rFonts w:hint="eastAsia" w:ascii="宋体" w:hAnsi="宋体" w:eastAsia="宋体" w:cs="宋体"/>
                <w:sz w:val="21"/>
                <w:szCs w:val="21"/>
              </w:rPr>
            </w:pPr>
            <w:r>
              <w:rPr>
                <w:rFonts w:hint="eastAsia" w:ascii="宋体" w:hAnsi="宋体" w:eastAsia="宋体" w:cs="宋体"/>
                <w:spacing w:val="19"/>
                <w:w w:val="110"/>
                <w:sz w:val="21"/>
                <w:szCs w:val="21"/>
              </w:rPr>
              <w:t>沸点</w:t>
            </w:r>
            <w:r>
              <w:rPr>
                <w:rFonts w:hint="eastAsia" w:ascii="宋体" w:hAnsi="宋体" w:eastAsia="宋体" w:cs="宋体"/>
                <w:w w:val="110"/>
                <w:sz w:val="21"/>
                <w:szCs w:val="21"/>
              </w:rPr>
              <w:t>（</w:t>
            </w:r>
            <w:r>
              <w:rPr>
                <w:rFonts w:hint="eastAsia" w:ascii="宋体" w:hAnsi="宋体" w:eastAsia="宋体" w:cs="宋体"/>
                <w:spacing w:val="4"/>
                <w:w w:val="110"/>
                <w:sz w:val="21"/>
                <w:szCs w:val="21"/>
              </w:rPr>
              <w:t>℃）</w:t>
            </w:r>
          </w:p>
        </w:tc>
        <w:tc>
          <w:tcPr>
            <w:tcW w:w="2034" w:type="dxa"/>
            <w:gridSpan w:val="3"/>
            <w:vAlign w:val="center"/>
          </w:tcPr>
          <w:p>
            <w:pPr>
              <w:pStyle w:val="23"/>
              <w:ind w:left="547"/>
              <w:jc w:val="center"/>
              <w:rPr>
                <w:rFonts w:hint="eastAsia" w:ascii="宋体" w:hAnsi="宋体" w:eastAsia="宋体" w:cs="宋体"/>
                <w:sz w:val="21"/>
                <w:szCs w:val="21"/>
              </w:rPr>
            </w:pPr>
            <w:r>
              <w:rPr>
                <w:rFonts w:hint="eastAsia" w:ascii="宋体" w:hAnsi="宋体" w:eastAsia="宋体" w:cs="宋体"/>
                <w:spacing w:val="6"/>
                <w:sz w:val="21"/>
                <w:szCs w:val="21"/>
              </w:rPr>
              <w:t>180～</w:t>
            </w:r>
            <w:r>
              <w:rPr>
                <w:rFonts w:hint="eastAsia" w:ascii="宋体" w:hAnsi="宋体" w:eastAsia="宋体" w:cs="宋体"/>
                <w:spacing w:val="9"/>
                <w:sz w:val="21"/>
                <w:szCs w:val="21"/>
              </w:rPr>
              <w:t>370</w:t>
            </w:r>
          </w:p>
        </w:tc>
        <w:tc>
          <w:tcPr>
            <w:tcW w:w="2208" w:type="dxa"/>
            <w:gridSpan w:val="4"/>
            <w:vAlign w:val="center"/>
          </w:tcPr>
          <w:p>
            <w:pPr>
              <w:pStyle w:val="23"/>
              <w:ind w:left="116"/>
              <w:jc w:val="center"/>
              <w:rPr>
                <w:rFonts w:hint="eastAsia" w:ascii="宋体" w:hAnsi="宋体" w:eastAsia="宋体" w:cs="宋体"/>
                <w:sz w:val="21"/>
                <w:szCs w:val="21"/>
              </w:rPr>
            </w:pPr>
            <w:r>
              <w:rPr>
                <w:rFonts w:hint="eastAsia" w:ascii="宋体" w:hAnsi="宋体" w:eastAsia="宋体" w:cs="宋体"/>
                <w:spacing w:val="19"/>
                <w:sz w:val="21"/>
                <w:szCs w:val="21"/>
              </w:rPr>
              <w:t>饱和蒸汽压</w:t>
            </w:r>
            <w:r>
              <w:rPr>
                <w:rFonts w:hint="eastAsia" w:ascii="宋体" w:hAnsi="宋体" w:eastAsia="宋体" w:cs="宋体"/>
                <w:sz w:val="21"/>
                <w:szCs w:val="21"/>
              </w:rPr>
              <w:t>（</w:t>
            </w:r>
            <w:r>
              <w:rPr>
                <w:rFonts w:hint="eastAsia" w:ascii="宋体" w:hAnsi="宋体" w:eastAsia="宋体" w:cs="宋体"/>
                <w:spacing w:val="7"/>
                <w:sz w:val="21"/>
                <w:szCs w:val="21"/>
              </w:rPr>
              <w:t>kPa）</w:t>
            </w:r>
          </w:p>
        </w:tc>
        <w:tc>
          <w:tcPr>
            <w:tcW w:w="2592" w:type="dxa"/>
            <w:gridSpan w:val="2"/>
            <w:vAlign w:val="center"/>
          </w:tcPr>
          <w:p>
            <w:pPr>
              <w:pStyle w:val="23"/>
              <w:ind w:left="14"/>
              <w:jc w:val="center"/>
              <w:rPr>
                <w:rFonts w:hint="eastAsia" w:ascii="宋体" w:hAnsi="宋体" w:eastAsia="宋体" w:cs="宋体"/>
                <w:sz w:val="21"/>
                <w:szCs w:val="21"/>
              </w:rPr>
            </w:pPr>
            <w:r>
              <w:rPr>
                <w:rFonts w:hint="eastAsia" w:ascii="宋体" w:hAnsi="宋体" w:eastAsia="宋体" w:cs="宋体"/>
                <w:sz w:val="21"/>
                <w:szCs w:val="21"/>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556" w:hRule="atLeast"/>
        </w:trPr>
        <w:tc>
          <w:tcPr>
            <w:tcW w:w="492" w:type="dxa"/>
            <w:vMerge w:val="restart"/>
          </w:tcPr>
          <w:p>
            <w:pPr>
              <w:pStyle w:val="23"/>
              <w:spacing w:before="5"/>
              <w:rPr>
                <w:rFonts w:hint="eastAsia" w:ascii="宋体" w:hAnsi="宋体" w:eastAsia="宋体" w:cs="宋体"/>
                <w:sz w:val="21"/>
                <w:szCs w:val="21"/>
              </w:rPr>
            </w:pPr>
          </w:p>
          <w:p>
            <w:pPr>
              <w:pStyle w:val="23"/>
              <w:spacing w:line="410" w:lineRule="auto"/>
              <w:ind w:left="126" w:right="131"/>
              <w:jc w:val="both"/>
              <w:rPr>
                <w:rFonts w:hint="eastAsia" w:ascii="宋体" w:hAnsi="宋体" w:eastAsia="宋体" w:cs="宋体"/>
                <w:sz w:val="21"/>
                <w:szCs w:val="21"/>
              </w:rPr>
            </w:pPr>
            <w:r>
              <w:rPr>
                <w:rFonts w:hint="eastAsia" w:ascii="宋体" w:hAnsi="宋体" w:eastAsia="宋体" w:cs="宋体"/>
                <w:sz w:val="21"/>
                <w:szCs w:val="21"/>
              </w:rPr>
              <w:t>健康危</w:t>
            </w:r>
          </w:p>
          <w:p>
            <w:pPr>
              <w:pStyle w:val="23"/>
              <w:spacing w:line="269" w:lineRule="exact"/>
              <w:ind w:left="126"/>
              <w:jc w:val="both"/>
              <w:rPr>
                <w:rFonts w:hint="eastAsia" w:ascii="宋体" w:hAnsi="宋体" w:eastAsia="宋体" w:cs="宋体"/>
                <w:sz w:val="21"/>
                <w:szCs w:val="21"/>
              </w:rPr>
            </w:pPr>
            <w:r>
              <w:rPr>
                <w:rFonts w:hint="eastAsia" w:ascii="宋体" w:hAnsi="宋体" w:eastAsia="宋体" w:cs="宋体"/>
                <w:sz w:val="21"/>
                <w:szCs w:val="21"/>
              </w:rPr>
              <w:t>害</w:t>
            </w:r>
          </w:p>
        </w:tc>
        <w:tc>
          <w:tcPr>
            <w:tcW w:w="1847" w:type="dxa"/>
            <w:vAlign w:val="center"/>
          </w:tcPr>
          <w:p>
            <w:pPr>
              <w:pStyle w:val="23"/>
              <w:ind w:left="159" w:right="143"/>
              <w:jc w:val="center"/>
              <w:rPr>
                <w:rFonts w:hint="eastAsia" w:ascii="宋体" w:hAnsi="宋体" w:eastAsia="宋体" w:cs="宋体"/>
                <w:sz w:val="21"/>
                <w:szCs w:val="21"/>
              </w:rPr>
            </w:pPr>
            <w:r>
              <w:rPr>
                <w:rFonts w:hint="eastAsia" w:ascii="宋体" w:hAnsi="宋体" w:eastAsia="宋体" w:cs="宋体"/>
                <w:sz w:val="21"/>
                <w:szCs w:val="21"/>
              </w:rPr>
              <w:t>侵入途径</w:t>
            </w:r>
          </w:p>
        </w:tc>
        <w:tc>
          <w:tcPr>
            <w:tcW w:w="6834" w:type="dxa"/>
            <w:gridSpan w:val="9"/>
            <w:vAlign w:val="center"/>
          </w:tcPr>
          <w:p>
            <w:pPr>
              <w:pStyle w:val="23"/>
              <w:ind w:left="107"/>
              <w:jc w:val="center"/>
              <w:rPr>
                <w:rFonts w:hint="eastAsia" w:ascii="宋体" w:hAnsi="宋体" w:eastAsia="宋体" w:cs="宋体"/>
                <w:sz w:val="21"/>
                <w:szCs w:val="21"/>
              </w:rPr>
            </w:pPr>
            <w:r>
              <w:rPr>
                <w:rFonts w:hint="eastAsia" w:ascii="宋体" w:hAnsi="宋体" w:eastAsia="宋体" w:cs="宋体"/>
                <w:sz w:val="21"/>
                <w:szCs w:val="21"/>
              </w:rPr>
              <w:t>吸入、食入、经皮吸收。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381" w:hRule="atLeast"/>
        </w:trPr>
        <w:tc>
          <w:tcPr>
            <w:tcW w:w="492" w:type="dxa"/>
            <w:vMerge w:val="continue"/>
            <w:tcBorders>
              <w:top w:val="nil"/>
            </w:tcBorders>
          </w:tcPr>
          <w:p>
            <w:pPr>
              <w:rPr>
                <w:rFonts w:hint="eastAsia" w:ascii="宋体" w:hAnsi="宋体" w:eastAsia="宋体" w:cs="宋体"/>
                <w:sz w:val="21"/>
                <w:szCs w:val="21"/>
              </w:rPr>
            </w:pPr>
          </w:p>
        </w:tc>
        <w:tc>
          <w:tcPr>
            <w:tcW w:w="1847" w:type="dxa"/>
          </w:tcPr>
          <w:p>
            <w:pPr>
              <w:pStyle w:val="23"/>
              <w:rPr>
                <w:rFonts w:hint="eastAsia" w:ascii="宋体" w:hAnsi="宋体" w:eastAsia="宋体" w:cs="宋体"/>
                <w:sz w:val="21"/>
                <w:szCs w:val="21"/>
              </w:rPr>
            </w:pPr>
          </w:p>
          <w:p>
            <w:pPr>
              <w:pStyle w:val="23"/>
              <w:rPr>
                <w:rFonts w:hint="eastAsia" w:ascii="宋体" w:hAnsi="宋体" w:eastAsia="宋体" w:cs="宋体"/>
                <w:sz w:val="21"/>
                <w:szCs w:val="21"/>
              </w:rPr>
            </w:pPr>
          </w:p>
          <w:p>
            <w:pPr>
              <w:pStyle w:val="23"/>
              <w:spacing w:before="157"/>
              <w:ind w:left="159" w:right="143"/>
              <w:jc w:val="center"/>
              <w:rPr>
                <w:rFonts w:hint="eastAsia" w:ascii="宋体" w:hAnsi="宋体" w:eastAsia="宋体" w:cs="宋体"/>
                <w:sz w:val="21"/>
                <w:szCs w:val="21"/>
              </w:rPr>
            </w:pPr>
            <w:r>
              <w:rPr>
                <w:rFonts w:hint="eastAsia" w:ascii="宋体" w:hAnsi="宋体" w:eastAsia="宋体" w:cs="宋体"/>
                <w:sz w:val="21"/>
                <w:szCs w:val="21"/>
              </w:rPr>
              <w:t>健康危害</w:t>
            </w:r>
          </w:p>
        </w:tc>
        <w:tc>
          <w:tcPr>
            <w:tcW w:w="6834" w:type="dxa"/>
            <w:gridSpan w:val="9"/>
          </w:tcPr>
          <w:p>
            <w:pPr>
              <w:pStyle w:val="23"/>
              <w:spacing w:before="159" w:line="408" w:lineRule="auto"/>
              <w:ind w:left="107" w:right="-15"/>
              <w:rPr>
                <w:rFonts w:hint="eastAsia" w:ascii="宋体" w:hAnsi="宋体" w:eastAsia="宋体" w:cs="宋体"/>
                <w:sz w:val="21"/>
                <w:szCs w:val="21"/>
              </w:rPr>
            </w:pPr>
            <w:r>
              <w:rPr>
                <w:rFonts w:hint="eastAsia" w:ascii="宋体" w:hAnsi="宋体" w:eastAsia="宋体" w:cs="宋体"/>
                <w:spacing w:val="20"/>
                <w:sz w:val="21"/>
                <w:szCs w:val="21"/>
              </w:rPr>
              <w:t>皮肤接触柴油可引起接触性皮炎、油性座疮。吸入可引起吸入性</w:t>
            </w:r>
            <w:r>
              <w:rPr>
                <w:rFonts w:hint="eastAsia" w:ascii="宋体" w:hAnsi="宋体" w:eastAsia="宋体" w:cs="宋体"/>
                <w:spacing w:val="15"/>
                <w:sz w:val="21"/>
                <w:szCs w:val="21"/>
              </w:rPr>
              <w:t>肺炎。能经胎盘进入胎儿血中。柴油废气可引起眼、鼻刺激症状、</w:t>
            </w:r>
            <w:r>
              <w:rPr>
                <w:rFonts w:hint="eastAsia" w:ascii="宋体" w:hAnsi="宋体" w:eastAsia="宋体" w:cs="宋体"/>
                <w:sz w:val="21"/>
                <w:szCs w:val="21"/>
              </w:rPr>
              <w:t>头昏及头痛。</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460" w:hRule="atLeast"/>
        </w:trPr>
        <w:tc>
          <w:tcPr>
            <w:tcW w:w="492" w:type="dxa"/>
            <w:vMerge w:val="restart"/>
          </w:tcPr>
          <w:p>
            <w:pPr>
              <w:pStyle w:val="23"/>
              <w:rPr>
                <w:rFonts w:hint="eastAsia" w:ascii="宋体" w:hAnsi="宋体" w:eastAsia="宋体" w:cs="宋体"/>
                <w:sz w:val="21"/>
                <w:szCs w:val="21"/>
              </w:rPr>
            </w:pPr>
          </w:p>
          <w:p>
            <w:pPr>
              <w:pStyle w:val="23"/>
              <w:spacing w:before="11"/>
              <w:rPr>
                <w:rFonts w:hint="eastAsia" w:ascii="宋体" w:hAnsi="宋体" w:eastAsia="宋体" w:cs="宋体"/>
                <w:sz w:val="21"/>
                <w:szCs w:val="21"/>
              </w:rPr>
            </w:pPr>
          </w:p>
          <w:p>
            <w:pPr>
              <w:pStyle w:val="23"/>
              <w:spacing w:line="410" w:lineRule="auto"/>
              <w:ind w:left="126" w:right="131"/>
              <w:jc w:val="both"/>
              <w:rPr>
                <w:rFonts w:hint="eastAsia" w:ascii="宋体" w:hAnsi="宋体" w:eastAsia="宋体" w:cs="宋体"/>
                <w:sz w:val="21"/>
                <w:szCs w:val="21"/>
              </w:rPr>
            </w:pPr>
            <w:r>
              <w:rPr>
                <w:rFonts w:hint="eastAsia" w:ascii="宋体" w:hAnsi="宋体" w:eastAsia="宋体" w:cs="宋体"/>
                <w:sz w:val="21"/>
                <w:szCs w:val="21"/>
              </w:rPr>
              <w:t>燃烧爆炸危险性</w:t>
            </w:r>
          </w:p>
        </w:tc>
        <w:tc>
          <w:tcPr>
            <w:tcW w:w="1847" w:type="dxa"/>
          </w:tcPr>
          <w:p>
            <w:pPr>
              <w:pStyle w:val="23"/>
              <w:spacing w:before="157"/>
              <w:ind w:left="154" w:right="143"/>
              <w:jc w:val="center"/>
              <w:rPr>
                <w:rFonts w:hint="eastAsia" w:ascii="宋体" w:hAnsi="宋体" w:eastAsia="宋体" w:cs="宋体"/>
                <w:sz w:val="21"/>
                <w:szCs w:val="21"/>
              </w:rPr>
            </w:pPr>
            <w:r>
              <w:rPr>
                <w:rFonts w:hint="eastAsia" w:ascii="宋体" w:hAnsi="宋体" w:eastAsia="宋体" w:cs="宋体"/>
                <w:sz w:val="21"/>
                <w:szCs w:val="21"/>
              </w:rPr>
              <w:t>燃烧性</w:t>
            </w:r>
          </w:p>
        </w:tc>
        <w:tc>
          <w:tcPr>
            <w:tcW w:w="1818" w:type="dxa"/>
            <w:gridSpan w:val="2"/>
          </w:tcPr>
          <w:p>
            <w:pPr>
              <w:pStyle w:val="23"/>
              <w:spacing w:before="157"/>
              <w:ind w:left="653" w:right="654"/>
              <w:jc w:val="center"/>
              <w:rPr>
                <w:rFonts w:hint="eastAsia" w:ascii="宋体" w:hAnsi="宋体" w:eastAsia="宋体" w:cs="宋体"/>
                <w:sz w:val="21"/>
                <w:szCs w:val="21"/>
              </w:rPr>
            </w:pPr>
            <w:r>
              <w:rPr>
                <w:rFonts w:hint="eastAsia" w:ascii="宋体" w:hAnsi="宋体" w:eastAsia="宋体" w:cs="宋体"/>
                <w:sz w:val="21"/>
                <w:szCs w:val="21"/>
              </w:rPr>
              <w:t>易燃</w:t>
            </w:r>
          </w:p>
        </w:tc>
        <w:tc>
          <w:tcPr>
            <w:tcW w:w="2424" w:type="dxa"/>
            <w:gridSpan w:val="5"/>
          </w:tcPr>
          <w:p>
            <w:pPr>
              <w:pStyle w:val="23"/>
              <w:spacing w:before="157"/>
              <w:ind w:left="627"/>
              <w:rPr>
                <w:rFonts w:hint="eastAsia" w:ascii="宋体" w:hAnsi="宋体" w:eastAsia="宋体" w:cs="宋体"/>
                <w:sz w:val="21"/>
                <w:szCs w:val="21"/>
              </w:rPr>
            </w:pPr>
            <w:r>
              <w:rPr>
                <w:rFonts w:hint="eastAsia" w:ascii="宋体" w:hAnsi="宋体" w:eastAsia="宋体" w:cs="宋体"/>
                <w:sz w:val="21"/>
                <w:szCs w:val="21"/>
              </w:rPr>
              <w:t>燃烧分解物</w:t>
            </w:r>
          </w:p>
        </w:tc>
        <w:tc>
          <w:tcPr>
            <w:tcW w:w="2592" w:type="dxa"/>
            <w:gridSpan w:val="2"/>
          </w:tcPr>
          <w:p>
            <w:pPr>
              <w:pStyle w:val="23"/>
              <w:spacing w:before="157"/>
              <w:ind w:left="237"/>
              <w:rPr>
                <w:rFonts w:hint="eastAsia" w:ascii="宋体" w:hAnsi="宋体" w:eastAsia="宋体" w:cs="宋体"/>
                <w:sz w:val="21"/>
                <w:szCs w:val="21"/>
              </w:rPr>
            </w:pPr>
            <w:r>
              <w:rPr>
                <w:rFonts w:hint="eastAsia" w:ascii="宋体" w:hAnsi="宋体" w:eastAsia="宋体" w:cs="宋体"/>
                <w:sz w:val="21"/>
                <w:szCs w:val="21"/>
              </w:rPr>
              <w:t>一氧化碳、二氧化碳。</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8" w:hRule="atLeast"/>
        </w:trPr>
        <w:tc>
          <w:tcPr>
            <w:tcW w:w="492" w:type="dxa"/>
            <w:vMerge w:val="continue"/>
            <w:tcBorders>
              <w:top w:val="nil"/>
            </w:tcBorders>
          </w:tcPr>
          <w:p>
            <w:pPr>
              <w:rPr>
                <w:rFonts w:hint="eastAsia" w:ascii="宋体" w:hAnsi="宋体" w:eastAsia="宋体" w:cs="宋体"/>
                <w:sz w:val="21"/>
                <w:szCs w:val="21"/>
              </w:rPr>
            </w:pPr>
          </w:p>
        </w:tc>
        <w:tc>
          <w:tcPr>
            <w:tcW w:w="1847" w:type="dxa"/>
          </w:tcPr>
          <w:p>
            <w:pPr>
              <w:pStyle w:val="23"/>
              <w:spacing w:before="157"/>
              <w:ind w:left="145" w:right="143"/>
              <w:jc w:val="center"/>
              <w:rPr>
                <w:rFonts w:hint="eastAsia" w:ascii="宋体" w:hAnsi="宋体" w:eastAsia="宋体" w:cs="宋体"/>
                <w:sz w:val="21"/>
                <w:szCs w:val="21"/>
              </w:rPr>
            </w:pPr>
            <w:r>
              <w:rPr>
                <w:rFonts w:hint="eastAsia" w:ascii="宋体" w:hAnsi="宋体" w:eastAsia="宋体" w:cs="宋体"/>
                <w:sz w:val="21"/>
                <w:szCs w:val="21"/>
              </w:rPr>
              <w:t>闪点(℃)</w:t>
            </w:r>
          </w:p>
        </w:tc>
        <w:tc>
          <w:tcPr>
            <w:tcW w:w="1818" w:type="dxa"/>
            <w:gridSpan w:val="2"/>
          </w:tcPr>
          <w:p>
            <w:pPr>
              <w:pStyle w:val="23"/>
              <w:spacing w:before="157"/>
              <w:ind w:left="139"/>
              <w:rPr>
                <w:rFonts w:hint="eastAsia" w:ascii="宋体" w:hAnsi="宋体" w:eastAsia="宋体" w:cs="宋体"/>
                <w:sz w:val="21"/>
                <w:szCs w:val="21"/>
              </w:rPr>
            </w:pPr>
            <w:r>
              <w:rPr>
                <w:rFonts w:hint="eastAsia" w:ascii="宋体" w:hAnsi="宋体" w:eastAsia="宋体" w:cs="宋体"/>
                <w:w w:val="105"/>
                <w:sz w:val="21"/>
                <w:szCs w:val="21"/>
              </w:rPr>
              <w:t>[闭杯闪点≤60℃]</w:t>
            </w:r>
          </w:p>
        </w:tc>
        <w:tc>
          <w:tcPr>
            <w:tcW w:w="2424" w:type="dxa"/>
            <w:gridSpan w:val="5"/>
          </w:tcPr>
          <w:p>
            <w:pPr>
              <w:pStyle w:val="23"/>
              <w:spacing w:before="157"/>
              <w:ind w:left="363"/>
              <w:rPr>
                <w:rFonts w:hint="eastAsia" w:ascii="宋体" w:hAnsi="宋体" w:eastAsia="宋体" w:cs="宋体"/>
                <w:sz w:val="21"/>
                <w:szCs w:val="21"/>
              </w:rPr>
            </w:pPr>
            <w:r>
              <w:rPr>
                <w:rFonts w:hint="eastAsia" w:ascii="宋体" w:hAnsi="宋体" w:eastAsia="宋体" w:cs="宋体"/>
                <w:spacing w:val="19"/>
                <w:sz w:val="21"/>
                <w:szCs w:val="21"/>
              </w:rPr>
              <w:t>爆炸上限</w:t>
            </w:r>
            <w:r>
              <w:rPr>
                <w:rFonts w:hint="eastAsia" w:ascii="宋体" w:hAnsi="宋体" w:eastAsia="宋体" w:cs="宋体"/>
                <w:sz w:val="21"/>
                <w:szCs w:val="21"/>
              </w:rPr>
              <w:t>（</w:t>
            </w:r>
            <w:r>
              <w:rPr>
                <w:rFonts w:hint="eastAsia" w:ascii="宋体" w:hAnsi="宋体" w:eastAsia="宋体" w:cs="宋体"/>
                <w:spacing w:val="5"/>
                <w:sz w:val="21"/>
                <w:szCs w:val="21"/>
              </w:rPr>
              <w:t>v%）</w:t>
            </w:r>
          </w:p>
        </w:tc>
        <w:tc>
          <w:tcPr>
            <w:tcW w:w="2592" w:type="dxa"/>
            <w:gridSpan w:val="2"/>
          </w:tcPr>
          <w:p>
            <w:pPr>
              <w:pStyle w:val="23"/>
              <w:spacing w:before="171"/>
              <w:ind w:left="1079" w:right="1057"/>
              <w:jc w:val="center"/>
              <w:rPr>
                <w:rFonts w:hint="eastAsia" w:ascii="宋体" w:hAnsi="宋体" w:eastAsia="宋体" w:cs="宋体"/>
                <w:sz w:val="21"/>
                <w:szCs w:val="21"/>
              </w:rPr>
            </w:pPr>
            <w:r>
              <w:rPr>
                <w:rFonts w:hint="eastAsia" w:ascii="宋体" w:hAnsi="宋体" w:eastAsia="宋体" w:cs="宋体"/>
                <w:sz w:val="21"/>
                <w:szCs w:val="21"/>
              </w:rPr>
              <w:t>6.5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0" w:hRule="atLeast"/>
        </w:trPr>
        <w:tc>
          <w:tcPr>
            <w:tcW w:w="492" w:type="dxa"/>
            <w:vMerge w:val="continue"/>
            <w:tcBorders>
              <w:top w:val="nil"/>
            </w:tcBorders>
          </w:tcPr>
          <w:p>
            <w:pPr>
              <w:rPr>
                <w:rFonts w:hint="eastAsia" w:ascii="宋体" w:hAnsi="宋体" w:eastAsia="宋体" w:cs="宋体"/>
                <w:sz w:val="21"/>
                <w:szCs w:val="21"/>
              </w:rPr>
            </w:pPr>
          </w:p>
        </w:tc>
        <w:tc>
          <w:tcPr>
            <w:tcW w:w="1847" w:type="dxa"/>
          </w:tcPr>
          <w:p>
            <w:pPr>
              <w:pStyle w:val="23"/>
              <w:spacing w:before="159"/>
              <w:ind w:left="145" w:right="143"/>
              <w:jc w:val="center"/>
              <w:rPr>
                <w:rFonts w:hint="eastAsia" w:ascii="宋体" w:hAnsi="宋体" w:eastAsia="宋体" w:cs="宋体"/>
                <w:sz w:val="21"/>
                <w:szCs w:val="21"/>
              </w:rPr>
            </w:pPr>
            <w:r>
              <w:rPr>
                <w:rFonts w:hint="eastAsia" w:ascii="宋体" w:hAnsi="宋体" w:eastAsia="宋体" w:cs="宋体"/>
                <w:sz w:val="21"/>
                <w:szCs w:val="21"/>
              </w:rPr>
              <w:t>引燃温度(℃)</w:t>
            </w:r>
          </w:p>
        </w:tc>
        <w:tc>
          <w:tcPr>
            <w:tcW w:w="1818" w:type="dxa"/>
            <w:gridSpan w:val="2"/>
          </w:tcPr>
          <w:p>
            <w:pPr>
              <w:pStyle w:val="23"/>
              <w:spacing w:before="159"/>
              <w:ind w:left="439"/>
              <w:rPr>
                <w:rFonts w:hint="eastAsia" w:ascii="宋体" w:hAnsi="宋体" w:eastAsia="宋体" w:cs="宋体"/>
                <w:sz w:val="21"/>
                <w:szCs w:val="21"/>
              </w:rPr>
            </w:pPr>
            <w:r>
              <w:rPr>
                <w:rFonts w:hint="eastAsia" w:ascii="宋体" w:hAnsi="宋体" w:eastAsia="宋体" w:cs="宋体"/>
                <w:spacing w:val="6"/>
                <w:sz w:val="21"/>
                <w:szCs w:val="21"/>
              </w:rPr>
              <w:t>350～</w:t>
            </w:r>
            <w:r>
              <w:rPr>
                <w:rFonts w:hint="eastAsia" w:ascii="宋体" w:hAnsi="宋体" w:eastAsia="宋体" w:cs="宋体"/>
                <w:spacing w:val="9"/>
                <w:sz w:val="21"/>
                <w:szCs w:val="21"/>
              </w:rPr>
              <w:t>380</w:t>
            </w:r>
          </w:p>
        </w:tc>
        <w:tc>
          <w:tcPr>
            <w:tcW w:w="2424" w:type="dxa"/>
            <w:gridSpan w:val="5"/>
          </w:tcPr>
          <w:p>
            <w:pPr>
              <w:pStyle w:val="23"/>
              <w:spacing w:before="159"/>
              <w:ind w:left="363"/>
              <w:rPr>
                <w:rFonts w:hint="eastAsia" w:ascii="宋体" w:hAnsi="宋体" w:eastAsia="宋体" w:cs="宋体"/>
                <w:sz w:val="21"/>
                <w:szCs w:val="21"/>
              </w:rPr>
            </w:pPr>
            <w:r>
              <w:rPr>
                <w:rFonts w:hint="eastAsia" w:ascii="宋体" w:hAnsi="宋体" w:eastAsia="宋体" w:cs="宋体"/>
                <w:spacing w:val="19"/>
                <w:sz w:val="21"/>
                <w:szCs w:val="21"/>
              </w:rPr>
              <w:t>爆炸下限</w:t>
            </w:r>
            <w:r>
              <w:rPr>
                <w:rFonts w:hint="eastAsia" w:ascii="宋体" w:hAnsi="宋体" w:eastAsia="宋体" w:cs="宋体"/>
                <w:sz w:val="21"/>
                <w:szCs w:val="21"/>
              </w:rPr>
              <w:t>（</w:t>
            </w:r>
            <w:r>
              <w:rPr>
                <w:rFonts w:hint="eastAsia" w:ascii="宋体" w:hAnsi="宋体" w:eastAsia="宋体" w:cs="宋体"/>
                <w:spacing w:val="5"/>
                <w:sz w:val="21"/>
                <w:szCs w:val="21"/>
              </w:rPr>
              <w:t>v%）</w:t>
            </w:r>
          </w:p>
        </w:tc>
        <w:tc>
          <w:tcPr>
            <w:tcW w:w="2592" w:type="dxa"/>
            <w:gridSpan w:val="2"/>
          </w:tcPr>
          <w:p>
            <w:pPr>
              <w:pStyle w:val="23"/>
              <w:spacing w:before="173"/>
              <w:ind w:left="1079" w:right="1057"/>
              <w:jc w:val="center"/>
              <w:rPr>
                <w:rFonts w:hint="eastAsia" w:ascii="宋体" w:hAnsi="宋体" w:eastAsia="宋体" w:cs="宋体"/>
                <w:sz w:val="21"/>
                <w:szCs w:val="21"/>
              </w:rPr>
            </w:pPr>
            <w:r>
              <w:rPr>
                <w:rFonts w:hint="eastAsia" w:ascii="宋体" w:hAnsi="宋体" w:eastAsia="宋体" w:cs="宋体"/>
                <w:sz w:val="21"/>
                <w:szCs w:val="21"/>
              </w:rPr>
              <w:t>1.5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78" w:hRule="atLeast"/>
        </w:trPr>
        <w:tc>
          <w:tcPr>
            <w:tcW w:w="492" w:type="dxa"/>
            <w:vMerge w:val="continue"/>
            <w:tcBorders>
              <w:top w:val="nil"/>
            </w:tcBorders>
          </w:tcPr>
          <w:p>
            <w:pPr>
              <w:rPr>
                <w:rFonts w:hint="eastAsia" w:ascii="宋体" w:hAnsi="宋体" w:eastAsia="宋体" w:cs="宋体"/>
                <w:sz w:val="21"/>
                <w:szCs w:val="21"/>
              </w:rPr>
            </w:pPr>
          </w:p>
        </w:tc>
        <w:tc>
          <w:tcPr>
            <w:tcW w:w="1847" w:type="dxa"/>
          </w:tcPr>
          <w:p>
            <w:pPr>
              <w:pStyle w:val="23"/>
              <w:rPr>
                <w:rFonts w:hint="eastAsia" w:ascii="宋体" w:hAnsi="宋体" w:eastAsia="宋体" w:cs="宋体"/>
                <w:sz w:val="21"/>
                <w:szCs w:val="21"/>
              </w:rPr>
            </w:pPr>
          </w:p>
          <w:p>
            <w:pPr>
              <w:pStyle w:val="23"/>
              <w:spacing w:before="2"/>
              <w:rPr>
                <w:rFonts w:hint="eastAsia" w:ascii="宋体" w:hAnsi="宋体" w:eastAsia="宋体" w:cs="宋体"/>
                <w:sz w:val="21"/>
                <w:szCs w:val="21"/>
              </w:rPr>
            </w:pPr>
          </w:p>
          <w:p>
            <w:pPr>
              <w:pStyle w:val="23"/>
              <w:ind w:left="159" w:right="143"/>
              <w:jc w:val="center"/>
              <w:rPr>
                <w:rFonts w:hint="eastAsia" w:ascii="宋体" w:hAnsi="宋体" w:eastAsia="宋体" w:cs="宋体"/>
                <w:sz w:val="21"/>
                <w:szCs w:val="21"/>
              </w:rPr>
            </w:pPr>
            <w:r>
              <w:rPr>
                <w:rFonts w:hint="eastAsia" w:ascii="宋体" w:hAnsi="宋体" w:eastAsia="宋体" w:cs="宋体"/>
                <w:sz w:val="21"/>
                <w:szCs w:val="21"/>
              </w:rPr>
              <w:t>危险特性</w:t>
            </w:r>
          </w:p>
        </w:tc>
        <w:tc>
          <w:tcPr>
            <w:tcW w:w="6834" w:type="dxa"/>
            <w:gridSpan w:val="9"/>
          </w:tcPr>
          <w:p>
            <w:pPr>
              <w:pStyle w:val="23"/>
              <w:spacing w:before="31" w:line="458" w:lineRule="exact"/>
              <w:ind w:left="107" w:right="111"/>
              <w:rPr>
                <w:rFonts w:hint="eastAsia" w:ascii="宋体" w:hAnsi="宋体" w:eastAsia="宋体" w:cs="宋体"/>
                <w:sz w:val="21"/>
                <w:szCs w:val="21"/>
              </w:rPr>
            </w:pPr>
            <w:r>
              <w:rPr>
                <w:rFonts w:hint="eastAsia" w:ascii="宋体" w:hAnsi="宋体" w:eastAsia="宋体" w:cs="宋体"/>
                <w:sz w:val="21"/>
                <w:szCs w:val="21"/>
              </w:rPr>
              <w:t>遇明火、高热或与氧化剂接触有可能引起燃烧爆炸的危险。若遇高热，容器内压增大，有开裂和爆炸的危险。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460" w:hRule="atLeast"/>
        </w:trPr>
        <w:tc>
          <w:tcPr>
            <w:tcW w:w="492" w:type="dxa"/>
            <w:vMerge w:val="continue"/>
            <w:tcBorders>
              <w:top w:val="nil"/>
            </w:tcBorders>
          </w:tcPr>
          <w:p>
            <w:pPr>
              <w:rPr>
                <w:rFonts w:hint="eastAsia" w:ascii="宋体" w:hAnsi="宋体" w:eastAsia="宋体" w:cs="宋体"/>
                <w:sz w:val="21"/>
                <w:szCs w:val="21"/>
              </w:rPr>
            </w:pPr>
          </w:p>
        </w:tc>
        <w:tc>
          <w:tcPr>
            <w:tcW w:w="1847" w:type="dxa"/>
          </w:tcPr>
          <w:p>
            <w:pPr>
              <w:pStyle w:val="23"/>
              <w:spacing w:before="157"/>
              <w:ind w:left="159" w:right="143"/>
              <w:jc w:val="center"/>
              <w:rPr>
                <w:rFonts w:hint="eastAsia" w:ascii="宋体" w:hAnsi="宋体" w:eastAsia="宋体" w:cs="宋体"/>
                <w:sz w:val="21"/>
                <w:szCs w:val="21"/>
              </w:rPr>
            </w:pPr>
            <w:r>
              <w:rPr>
                <w:rFonts w:hint="eastAsia" w:ascii="宋体" w:hAnsi="宋体" w:eastAsia="宋体" w:cs="宋体"/>
                <w:sz w:val="21"/>
                <w:szCs w:val="21"/>
              </w:rPr>
              <w:t>火灾危险性分类</w:t>
            </w:r>
          </w:p>
        </w:tc>
        <w:tc>
          <w:tcPr>
            <w:tcW w:w="1422" w:type="dxa"/>
          </w:tcPr>
          <w:p>
            <w:pPr>
              <w:pStyle w:val="23"/>
              <w:spacing w:before="157"/>
              <w:ind w:right="2"/>
              <w:jc w:val="center"/>
              <w:rPr>
                <w:rFonts w:hint="eastAsia" w:ascii="宋体" w:hAnsi="宋体" w:eastAsia="宋体" w:cs="宋体"/>
                <w:sz w:val="21"/>
                <w:szCs w:val="21"/>
              </w:rPr>
            </w:pPr>
            <w:r>
              <w:rPr>
                <w:rFonts w:hint="eastAsia" w:ascii="宋体" w:hAnsi="宋体" w:eastAsia="宋体" w:cs="宋体"/>
                <w:sz w:val="21"/>
                <w:szCs w:val="21"/>
              </w:rPr>
              <w:t>乙</w:t>
            </w:r>
          </w:p>
        </w:tc>
        <w:tc>
          <w:tcPr>
            <w:tcW w:w="1315" w:type="dxa"/>
            <w:gridSpan w:val="3"/>
          </w:tcPr>
          <w:p>
            <w:pPr>
              <w:pStyle w:val="23"/>
              <w:spacing w:before="157"/>
              <w:ind w:left="305"/>
              <w:rPr>
                <w:rFonts w:hint="eastAsia" w:ascii="宋体" w:hAnsi="宋体" w:eastAsia="宋体" w:cs="宋体"/>
                <w:sz w:val="21"/>
                <w:szCs w:val="21"/>
              </w:rPr>
            </w:pPr>
            <w:r>
              <w:rPr>
                <w:rFonts w:hint="eastAsia" w:ascii="宋体" w:hAnsi="宋体" w:eastAsia="宋体" w:cs="宋体"/>
                <w:sz w:val="21"/>
                <w:szCs w:val="21"/>
              </w:rPr>
              <w:t>稳定性</w:t>
            </w:r>
          </w:p>
        </w:tc>
        <w:tc>
          <w:tcPr>
            <w:tcW w:w="1000" w:type="dxa"/>
            <w:gridSpan w:val="2"/>
          </w:tcPr>
          <w:p>
            <w:pPr>
              <w:pStyle w:val="23"/>
              <w:spacing w:before="157"/>
              <w:ind w:left="265"/>
              <w:rPr>
                <w:rFonts w:hint="eastAsia" w:ascii="宋体" w:hAnsi="宋体" w:eastAsia="宋体" w:cs="宋体"/>
                <w:sz w:val="21"/>
                <w:szCs w:val="21"/>
              </w:rPr>
            </w:pPr>
            <w:r>
              <w:rPr>
                <w:rFonts w:hint="eastAsia" w:ascii="宋体" w:hAnsi="宋体" w:eastAsia="宋体" w:cs="宋体"/>
                <w:sz w:val="21"/>
                <w:szCs w:val="21"/>
              </w:rPr>
              <w:t>稳定</w:t>
            </w:r>
          </w:p>
        </w:tc>
        <w:tc>
          <w:tcPr>
            <w:tcW w:w="1543" w:type="dxa"/>
            <w:gridSpan w:val="2"/>
          </w:tcPr>
          <w:p>
            <w:pPr>
              <w:pStyle w:val="23"/>
              <w:spacing w:before="157"/>
              <w:ind w:left="322"/>
              <w:rPr>
                <w:rFonts w:hint="eastAsia" w:ascii="宋体" w:hAnsi="宋体" w:eastAsia="宋体" w:cs="宋体"/>
                <w:sz w:val="21"/>
                <w:szCs w:val="21"/>
              </w:rPr>
            </w:pPr>
            <w:r>
              <w:rPr>
                <w:rFonts w:hint="eastAsia" w:ascii="宋体" w:hAnsi="宋体" w:eastAsia="宋体" w:cs="宋体"/>
                <w:sz w:val="21"/>
                <w:szCs w:val="21"/>
              </w:rPr>
              <w:t>聚合危害</w:t>
            </w:r>
          </w:p>
        </w:tc>
        <w:tc>
          <w:tcPr>
            <w:tcW w:w="1554" w:type="dxa"/>
          </w:tcPr>
          <w:p>
            <w:pPr>
              <w:pStyle w:val="23"/>
              <w:spacing w:before="157"/>
              <w:ind w:right="385"/>
              <w:jc w:val="right"/>
              <w:rPr>
                <w:rFonts w:hint="eastAsia" w:ascii="宋体" w:hAnsi="宋体" w:eastAsia="宋体" w:cs="宋体"/>
                <w:sz w:val="21"/>
                <w:szCs w:val="21"/>
              </w:rPr>
            </w:pPr>
            <w:r>
              <w:rPr>
                <w:rFonts w:hint="eastAsia" w:ascii="宋体" w:hAnsi="宋体" w:eastAsia="宋体" w:cs="宋体"/>
                <w:sz w:val="21"/>
                <w:szCs w:val="21"/>
              </w:rPr>
              <w:t>不出现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460" w:hRule="atLeast"/>
        </w:trPr>
        <w:tc>
          <w:tcPr>
            <w:tcW w:w="492" w:type="dxa"/>
            <w:vMerge w:val="continue"/>
            <w:tcBorders>
              <w:top w:val="nil"/>
            </w:tcBorders>
          </w:tcPr>
          <w:p>
            <w:pPr>
              <w:rPr>
                <w:rFonts w:hint="eastAsia" w:ascii="宋体" w:hAnsi="宋体" w:eastAsia="宋体" w:cs="宋体"/>
                <w:sz w:val="21"/>
                <w:szCs w:val="21"/>
              </w:rPr>
            </w:pPr>
          </w:p>
        </w:tc>
        <w:tc>
          <w:tcPr>
            <w:tcW w:w="1847" w:type="dxa"/>
          </w:tcPr>
          <w:p>
            <w:pPr>
              <w:pStyle w:val="23"/>
              <w:spacing w:before="157"/>
              <w:ind w:left="154" w:right="143"/>
              <w:jc w:val="center"/>
              <w:rPr>
                <w:rFonts w:hint="eastAsia" w:ascii="宋体" w:hAnsi="宋体" w:eastAsia="宋体" w:cs="宋体"/>
                <w:sz w:val="21"/>
                <w:szCs w:val="21"/>
              </w:rPr>
            </w:pPr>
            <w:r>
              <w:rPr>
                <w:rFonts w:hint="eastAsia" w:ascii="宋体" w:hAnsi="宋体" w:eastAsia="宋体" w:cs="宋体"/>
                <w:sz w:val="21"/>
                <w:szCs w:val="21"/>
              </w:rPr>
              <w:t>禁忌物</w:t>
            </w:r>
          </w:p>
        </w:tc>
        <w:tc>
          <w:tcPr>
            <w:tcW w:w="6834" w:type="dxa"/>
            <w:gridSpan w:val="9"/>
          </w:tcPr>
          <w:p>
            <w:pPr>
              <w:pStyle w:val="23"/>
              <w:spacing w:before="157"/>
              <w:ind w:left="107"/>
              <w:rPr>
                <w:rFonts w:hint="eastAsia" w:ascii="宋体" w:hAnsi="宋体" w:eastAsia="宋体" w:cs="宋体"/>
                <w:sz w:val="21"/>
                <w:szCs w:val="21"/>
              </w:rPr>
            </w:pPr>
            <w:r>
              <w:rPr>
                <w:rFonts w:hint="eastAsia" w:ascii="宋体" w:hAnsi="宋体" w:eastAsia="宋体" w:cs="宋体"/>
                <w:sz w:val="21"/>
                <w:szCs w:val="21"/>
              </w:rPr>
              <w:t>强氧化剂、卤素。</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457" w:hRule="atLeast"/>
        </w:trPr>
        <w:tc>
          <w:tcPr>
            <w:tcW w:w="492" w:type="dxa"/>
            <w:vMerge w:val="continue"/>
            <w:tcBorders>
              <w:top w:val="nil"/>
            </w:tcBorders>
          </w:tcPr>
          <w:p>
            <w:pPr>
              <w:rPr>
                <w:rFonts w:hint="eastAsia" w:ascii="宋体" w:hAnsi="宋体" w:eastAsia="宋体" w:cs="宋体"/>
                <w:sz w:val="21"/>
                <w:szCs w:val="21"/>
              </w:rPr>
            </w:pPr>
          </w:p>
        </w:tc>
        <w:tc>
          <w:tcPr>
            <w:tcW w:w="1847" w:type="dxa"/>
          </w:tcPr>
          <w:p>
            <w:pPr>
              <w:pStyle w:val="23"/>
              <w:spacing w:before="157"/>
              <w:ind w:left="159" w:right="143"/>
              <w:jc w:val="center"/>
              <w:rPr>
                <w:rFonts w:hint="eastAsia" w:ascii="宋体" w:hAnsi="宋体" w:eastAsia="宋体" w:cs="宋体"/>
                <w:sz w:val="21"/>
                <w:szCs w:val="21"/>
              </w:rPr>
            </w:pPr>
            <w:r>
              <w:rPr>
                <w:rFonts w:hint="eastAsia" w:ascii="宋体" w:hAnsi="宋体" w:eastAsia="宋体" w:cs="宋体"/>
                <w:sz w:val="21"/>
                <w:szCs w:val="21"/>
              </w:rPr>
              <w:t>灭火方法</w:t>
            </w:r>
          </w:p>
        </w:tc>
        <w:tc>
          <w:tcPr>
            <w:tcW w:w="6834" w:type="dxa"/>
            <w:gridSpan w:val="9"/>
          </w:tcPr>
          <w:p>
            <w:pPr>
              <w:pStyle w:val="23"/>
              <w:spacing w:before="157"/>
              <w:ind w:left="107"/>
              <w:rPr>
                <w:rFonts w:hint="eastAsia" w:ascii="宋体" w:hAnsi="宋体" w:eastAsia="宋体" w:cs="宋体"/>
                <w:sz w:val="21"/>
                <w:szCs w:val="21"/>
              </w:rPr>
            </w:pPr>
            <w:r>
              <w:rPr>
                <w:rFonts w:hint="eastAsia" w:ascii="宋体" w:hAnsi="宋体" w:eastAsia="宋体" w:cs="宋体"/>
                <w:sz w:val="21"/>
                <w:szCs w:val="21"/>
              </w:rPr>
              <w:t>用泡沫、二氧化碳、干粉灭火，用水灭火无效。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62" w:hRule="atLeast"/>
        </w:trPr>
        <w:tc>
          <w:tcPr>
            <w:tcW w:w="492" w:type="dxa"/>
            <w:vMerge w:val="restart"/>
          </w:tcPr>
          <w:p>
            <w:pPr>
              <w:pStyle w:val="23"/>
              <w:rPr>
                <w:rFonts w:hint="eastAsia" w:ascii="宋体" w:hAnsi="宋体" w:eastAsia="宋体" w:cs="宋体"/>
                <w:sz w:val="21"/>
                <w:szCs w:val="21"/>
              </w:rPr>
            </w:pPr>
          </w:p>
          <w:p>
            <w:pPr>
              <w:pStyle w:val="23"/>
              <w:rPr>
                <w:rFonts w:hint="eastAsia" w:ascii="宋体" w:hAnsi="宋体" w:eastAsia="宋体" w:cs="宋体"/>
                <w:sz w:val="21"/>
                <w:szCs w:val="21"/>
              </w:rPr>
            </w:pPr>
          </w:p>
          <w:p>
            <w:pPr>
              <w:pStyle w:val="23"/>
              <w:rPr>
                <w:rFonts w:hint="eastAsia" w:ascii="宋体" w:hAnsi="宋体" w:eastAsia="宋体" w:cs="宋体"/>
                <w:sz w:val="21"/>
                <w:szCs w:val="21"/>
              </w:rPr>
            </w:pPr>
          </w:p>
          <w:p>
            <w:pPr>
              <w:pStyle w:val="23"/>
              <w:rPr>
                <w:rFonts w:hint="eastAsia" w:ascii="宋体" w:hAnsi="宋体" w:eastAsia="宋体" w:cs="宋体"/>
                <w:sz w:val="21"/>
                <w:szCs w:val="21"/>
              </w:rPr>
            </w:pPr>
          </w:p>
          <w:p>
            <w:pPr>
              <w:pStyle w:val="23"/>
              <w:rPr>
                <w:rFonts w:hint="eastAsia" w:ascii="宋体" w:hAnsi="宋体" w:eastAsia="宋体" w:cs="宋体"/>
                <w:sz w:val="21"/>
                <w:szCs w:val="21"/>
              </w:rPr>
            </w:pPr>
          </w:p>
          <w:p>
            <w:pPr>
              <w:pStyle w:val="23"/>
              <w:spacing w:before="166" w:line="410" w:lineRule="auto"/>
              <w:ind w:left="136" w:right="122"/>
              <w:jc w:val="both"/>
              <w:rPr>
                <w:rFonts w:hint="eastAsia" w:ascii="宋体" w:hAnsi="宋体" w:eastAsia="宋体" w:cs="宋体"/>
                <w:sz w:val="21"/>
                <w:szCs w:val="21"/>
              </w:rPr>
            </w:pPr>
            <w:r>
              <w:rPr>
                <w:rFonts w:hint="eastAsia" w:ascii="宋体" w:hAnsi="宋体" w:eastAsia="宋体" w:cs="宋体"/>
                <w:sz w:val="21"/>
                <w:szCs w:val="21"/>
              </w:rPr>
              <w:t>防护措施</w:t>
            </w:r>
          </w:p>
        </w:tc>
        <w:tc>
          <w:tcPr>
            <w:tcW w:w="1847" w:type="dxa"/>
          </w:tcPr>
          <w:p>
            <w:pPr>
              <w:pStyle w:val="23"/>
              <w:rPr>
                <w:rFonts w:hint="eastAsia" w:ascii="宋体" w:hAnsi="宋体" w:eastAsia="宋体" w:cs="宋体"/>
                <w:sz w:val="21"/>
                <w:szCs w:val="21"/>
              </w:rPr>
            </w:pPr>
          </w:p>
          <w:p>
            <w:pPr>
              <w:pStyle w:val="23"/>
              <w:rPr>
                <w:rFonts w:hint="eastAsia" w:ascii="宋体" w:hAnsi="宋体" w:eastAsia="宋体" w:cs="宋体"/>
                <w:sz w:val="21"/>
                <w:szCs w:val="21"/>
              </w:rPr>
            </w:pPr>
          </w:p>
          <w:p>
            <w:pPr>
              <w:pStyle w:val="23"/>
              <w:rPr>
                <w:rFonts w:hint="eastAsia" w:ascii="宋体" w:hAnsi="宋体" w:eastAsia="宋体" w:cs="宋体"/>
                <w:sz w:val="21"/>
                <w:szCs w:val="21"/>
              </w:rPr>
            </w:pPr>
          </w:p>
          <w:p>
            <w:pPr>
              <w:pStyle w:val="23"/>
              <w:rPr>
                <w:rFonts w:hint="eastAsia" w:ascii="宋体" w:hAnsi="宋体" w:eastAsia="宋体" w:cs="宋体"/>
                <w:sz w:val="21"/>
                <w:szCs w:val="21"/>
              </w:rPr>
            </w:pPr>
          </w:p>
          <w:p>
            <w:pPr>
              <w:pStyle w:val="23"/>
              <w:rPr>
                <w:rFonts w:hint="eastAsia" w:ascii="宋体" w:hAnsi="宋体" w:eastAsia="宋体" w:cs="宋体"/>
                <w:sz w:val="21"/>
                <w:szCs w:val="21"/>
              </w:rPr>
            </w:pPr>
          </w:p>
          <w:p>
            <w:pPr>
              <w:pStyle w:val="23"/>
              <w:spacing w:before="159"/>
              <w:ind w:left="159" w:right="143"/>
              <w:jc w:val="center"/>
              <w:rPr>
                <w:rFonts w:hint="eastAsia" w:ascii="宋体" w:hAnsi="宋体" w:eastAsia="宋体" w:cs="宋体"/>
                <w:sz w:val="21"/>
                <w:szCs w:val="21"/>
              </w:rPr>
            </w:pPr>
            <w:r>
              <w:rPr>
                <w:rFonts w:hint="eastAsia" w:ascii="宋体" w:hAnsi="宋体" w:eastAsia="宋体" w:cs="宋体"/>
                <w:sz w:val="21"/>
                <w:szCs w:val="21"/>
              </w:rPr>
              <w:t>泄漏应急处理</w:t>
            </w:r>
          </w:p>
        </w:tc>
        <w:tc>
          <w:tcPr>
            <w:tcW w:w="6834" w:type="dxa"/>
            <w:gridSpan w:val="9"/>
          </w:tcPr>
          <w:p>
            <w:pPr>
              <w:pStyle w:val="23"/>
              <w:spacing w:before="160" w:line="410" w:lineRule="auto"/>
              <w:ind w:left="107" w:right="82"/>
              <w:jc w:val="both"/>
              <w:rPr>
                <w:rFonts w:hint="eastAsia" w:ascii="宋体" w:hAnsi="宋体" w:eastAsia="宋体" w:cs="宋体"/>
                <w:sz w:val="21"/>
                <w:szCs w:val="21"/>
              </w:rPr>
            </w:pPr>
            <w:r>
              <w:rPr>
                <w:rFonts w:hint="eastAsia" w:ascii="宋体" w:hAnsi="宋体" w:eastAsia="宋体" w:cs="宋体"/>
                <w:sz w:val="21"/>
                <w:szCs w:val="21"/>
              </w:rPr>
              <w:t>迅速撤离泄漏污染区人员至安全区，并进行隔离，严格限制出入。切断火源。建议应急处理人员戴自给正压式呼吸器，穿一般作业工作服。尽可能切断泄漏源。防止流入下水道、排洪沟等限制性区域。小量泄漏：用活性碳或其它惰性材料吸收。或在保证安全的情况下，就地焚烧。大量泄漏：构筑围堤或挖坑收容。用转移至槽车或专用收集器，回收或运</w:t>
            </w:r>
          </w:p>
          <w:p>
            <w:pPr>
              <w:pStyle w:val="23"/>
              <w:spacing w:line="268" w:lineRule="exact"/>
              <w:ind w:left="107"/>
              <w:jc w:val="both"/>
              <w:rPr>
                <w:rFonts w:hint="eastAsia" w:ascii="宋体" w:hAnsi="宋体" w:eastAsia="宋体" w:cs="宋体"/>
                <w:sz w:val="21"/>
                <w:szCs w:val="21"/>
              </w:rPr>
            </w:pPr>
            <w:r>
              <w:rPr>
                <w:rFonts w:hint="eastAsia" w:ascii="宋体" w:hAnsi="宋体" w:eastAsia="宋体" w:cs="宋体"/>
                <w:sz w:val="21"/>
                <w:szCs w:val="21"/>
              </w:rPr>
              <w:t>至废物处理场所处理。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79" w:hRule="atLeast"/>
        </w:trPr>
        <w:tc>
          <w:tcPr>
            <w:tcW w:w="492" w:type="dxa"/>
            <w:vMerge w:val="continue"/>
            <w:tcBorders>
              <w:top w:val="nil"/>
            </w:tcBorders>
          </w:tcPr>
          <w:p>
            <w:pPr>
              <w:rPr>
                <w:rFonts w:hint="eastAsia" w:ascii="宋体" w:hAnsi="宋体" w:eastAsia="宋体" w:cs="宋体"/>
                <w:sz w:val="21"/>
                <w:szCs w:val="21"/>
              </w:rPr>
            </w:pPr>
          </w:p>
        </w:tc>
        <w:tc>
          <w:tcPr>
            <w:tcW w:w="1847" w:type="dxa"/>
          </w:tcPr>
          <w:p>
            <w:pPr>
              <w:pStyle w:val="23"/>
              <w:rPr>
                <w:rFonts w:hint="eastAsia" w:ascii="宋体" w:hAnsi="宋体" w:eastAsia="宋体" w:cs="宋体"/>
                <w:sz w:val="21"/>
                <w:szCs w:val="21"/>
              </w:rPr>
            </w:pPr>
          </w:p>
          <w:p>
            <w:pPr>
              <w:pStyle w:val="23"/>
              <w:rPr>
                <w:rFonts w:hint="eastAsia" w:ascii="宋体" w:hAnsi="宋体" w:eastAsia="宋体" w:cs="宋体"/>
                <w:sz w:val="21"/>
                <w:szCs w:val="21"/>
              </w:rPr>
            </w:pPr>
          </w:p>
          <w:p>
            <w:pPr>
              <w:pStyle w:val="23"/>
              <w:spacing w:before="158"/>
              <w:ind w:left="159" w:right="143"/>
              <w:jc w:val="center"/>
              <w:rPr>
                <w:rFonts w:hint="eastAsia" w:ascii="宋体" w:hAnsi="宋体" w:eastAsia="宋体" w:cs="宋体"/>
                <w:sz w:val="21"/>
                <w:szCs w:val="21"/>
              </w:rPr>
            </w:pPr>
            <w:r>
              <w:rPr>
                <w:rFonts w:hint="eastAsia" w:ascii="宋体" w:hAnsi="宋体" w:eastAsia="宋体" w:cs="宋体"/>
                <w:sz w:val="21"/>
                <w:szCs w:val="21"/>
              </w:rPr>
              <w:t>储运注意事项</w:t>
            </w:r>
          </w:p>
        </w:tc>
        <w:tc>
          <w:tcPr>
            <w:tcW w:w="6834" w:type="dxa"/>
            <w:gridSpan w:val="9"/>
          </w:tcPr>
          <w:p>
            <w:pPr>
              <w:pStyle w:val="23"/>
              <w:spacing w:before="157"/>
              <w:ind w:left="107"/>
              <w:rPr>
                <w:rFonts w:hint="eastAsia" w:ascii="宋体" w:hAnsi="宋体" w:eastAsia="宋体" w:cs="宋体"/>
                <w:sz w:val="21"/>
                <w:szCs w:val="21"/>
              </w:rPr>
            </w:pPr>
            <w:r>
              <w:rPr>
                <w:rFonts w:hint="eastAsia" w:ascii="宋体" w:hAnsi="宋体" w:eastAsia="宋体" w:cs="宋体"/>
                <w:sz w:val="21"/>
                <w:szCs w:val="21"/>
              </w:rPr>
              <w:t>储存于阴凉、通风的库房。远离火种、热源。应与氧化剂、卤素分开存</w:t>
            </w:r>
          </w:p>
          <w:p>
            <w:pPr>
              <w:pStyle w:val="23"/>
              <w:spacing w:before="1" w:line="460" w:lineRule="atLeast"/>
              <w:ind w:left="107" w:right="81"/>
              <w:rPr>
                <w:rFonts w:hint="eastAsia" w:ascii="宋体" w:hAnsi="宋体" w:eastAsia="宋体" w:cs="宋体"/>
                <w:sz w:val="21"/>
                <w:szCs w:val="21"/>
              </w:rPr>
            </w:pPr>
            <w:r>
              <w:rPr>
                <w:rFonts w:hint="eastAsia" w:ascii="宋体" w:hAnsi="宋体" w:eastAsia="宋体" w:cs="宋体"/>
                <w:sz w:val="21"/>
                <w:szCs w:val="21"/>
              </w:rPr>
              <w:t>放，切忌混储。采用防爆型照明、通风设施。禁止使用易产生火花的机械设备和工具。</w:t>
            </w:r>
          </w:p>
        </w:tc>
      </w:tr>
    </w:tbl>
    <w:p>
      <w:pPr>
        <w:spacing w:line="460" w:lineRule="atLeast"/>
        <w:rPr>
          <w:rFonts w:hint="eastAsia" w:ascii="宋体" w:hAnsi="宋体" w:eastAsia="宋体" w:cs="宋体"/>
          <w:sz w:val="21"/>
        </w:rPr>
        <w:sectPr>
          <w:pgSz w:w="11910" w:h="16840"/>
          <w:pgMar w:top="1417" w:right="1134" w:bottom="1134" w:left="1587" w:header="720" w:footer="720" w:gutter="0"/>
          <w:pgNumType w:fmt="decimal"/>
          <w:cols w:space="0" w:num="1"/>
        </w:sectPr>
      </w:pPr>
    </w:p>
    <w:p>
      <w:pPr>
        <w:jc w:val="center"/>
        <w:rPr>
          <w:rFonts w:hint="eastAsia" w:ascii="宋体" w:hAnsi="宋体" w:eastAsia="宋体" w:cs="宋体"/>
          <w:bCs/>
          <w:sz w:val="28"/>
          <w:szCs w:val="28"/>
        </w:rPr>
      </w:pPr>
      <w:bookmarkStart w:id="707" w:name="_Toc19893_WPSOffice_Level3"/>
      <w:bookmarkStart w:id="708" w:name="_Toc8451_WPSOffice_Level3"/>
      <w:bookmarkStart w:id="709" w:name="_Toc24572_WPSOffice_Level3"/>
      <w:r>
        <w:rPr>
          <w:rFonts w:hint="eastAsia" w:ascii="宋体" w:hAnsi="宋体" w:eastAsia="宋体" w:cs="宋体"/>
          <w:bCs/>
          <w:sz w:val="24"/>
          <w:szCs w:val="24"/>
        </w:rPr>
        <w:t>附表3</w:t>
      </w:r>
      <w:r>
        <w:rPr>
          <w:rFonts w:hint="eastAsia" w:ascii="宋体" w:hAnsi="宋体" w:eastAsia="宋体" w:cs="宋体"/>
          <w:bCs/>
          <w:sz w:val="24"/>
          <w:szCs w:val="24"/>
          <w:lang w:val="en-US"/>
        </w:rPr>
        <w:t>.1</w:t>
      </w:r>
      <w:r>
        <w:rPr>
          <w:rFonts w:hint="eastAsia" w:ascii="宋体" w:hAnsi="宋体" w:eastAsia="宋体" w:cs="宋体"/>
          <w:bCs/>
          <w:sz w:val="24"/>
          <w:szCs w:val="24"/>
        </w:rPr>
        <w:t>-</w:t>
      </w:r>
      <w:r>
        <w:rPr>
          <w:rFonts w:hint="eastAsia" w:ascii="宋体" w:hAnsi="宋体" w:eastAsia="宋体" w:cs="宋体"/>
          <w:bCs/>
          <w:sz w:val="24"/>
          <w:szCs w:val="24"/>
          <w:lang w:val="en-US"/>
        </w:rPr>
        <w:t>3</w:t>
      </w:r>
      <w:r>
        <w:rPr>
          <w:rFonts w:hint="eastAsia" w:ascii="宋体" w:hAnsi="宋体" w:eastAsia="宋体" w:cs="宋体"/>
          <w:bCs/>
          <w:sz w:val="24"/>
          <w:szCs w:val="24"/>
        </w:rPr>
        <w:t xml:space="preserve"> 化学品辨识一览表</w:t>
      </w:r>
      <w:bookmarkEnd w:id="707"/>
      <w:bookmarkEnd w:id="708"/>
      <w:bookmarkEnd w:id="709"/>
    </w:p>
    <w:tbl>
      <w:tblPr>
        <w:tblStyle w:val="15"/>
        <w:tblW w:w="917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64"/>
        <w:gridCol w:w="1134"/>
        <w:gridCol w:w="1138"/>
        <w:gridCol w:w="1205"/>
        <w:gridCol w:w="910"/>
        <w:gridCol w:w="979"/>
        <w:gridCol w:w="910"/>
        <w:gridCol w:w="1330"/>
        <w:gridCol w:w="100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6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序号</w:t>
            </w:r>
          </w:p>
        </w:tc>
        <w:tc>
          <w:tcPr>
            <w:tcW w:w="113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名称</w:t>
            </w:r>
          </w:p>
        </w:tc>
        <w:tc>
          <w:tcPr>
            <w:tcW w:w="113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危险化学品目录序号</w:t>
            </w:r>
          </w:p>
        </w:tc>
        <w:tc>
          <w:tcPr>
            <w:tcW w:w="1205" w:type="dxa"/>
            <w:tcBorders>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危险性类别</w:t>
            </w:r>
          </w:p>
        </w:tc>
        <w:tc>
          <w:tcPr>
            <w:tcW w:w="910" w:type="dxa"/>
            <w:tcBorders>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是否</w:t>
            </w:r>
          </w:p>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剧毒</w:t>
            </w:r>
          </w:p>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化学品</w:t>
            </w:r>
          </w:p>
        </w:tc>
        <w:tc>
          <w:tcPr>
            <w:tcW w:w="979" w:type="dxa"/>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是否</w:t>
            </w:r>
          </w:p>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易制毒</w:t>
            </w:r>
          </w:p>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化学品</w:t>
            </w:r>
          </w:p>
        </w:tc>
        <w:tc>
          <w:tcPr>
            <w:tcW w:w="910" w:type="dxa"/>
            <w:tcBorders>
              <w:lef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是否</w:t>
            </w:r>
          </w:p>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监控</w:t>
            </w:r>
          </w:p>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化学品</w:t>
            </w:r>
          </w:p>
        </w:tc>
        <w:tc>
          <w:tcPr>
            <w:tcW w:w="1330" w:type="dxa"/>
            <w:tcBorders>
              <w:lef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是否</w:t>
            </w:r>
          </w:p>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重点监管</w:t>
            </w:r>
          </w:p>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危险化学品</w:t>
            </w:r>
          </w:p>
        </w:tc>
        <w:tc>
          <w:tcPr>
            <w:tcW w:w="1008" w:type="dxa"/>
            <w:tcBorders>
              <w:lef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是否</w:t>
            </w:r>
          </w:p>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易制爆</w:t>
            </w:r>
          </w:p>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化学品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64" w:type="dxa"/>
            <w:vAlign w:val="center"/>
          </w:tcPr>
          <w:p>
            <w:pPr>
              <w:pStyle w:val="22"/>
              <w:keepNext w:val="0"/>
              <w:keepLines w:val="0"/>
              <w:numPr>
                <w:ilvl w:val="0"/>
                <w:numId w:val="4"/>
              </w:numPr>
              <w:suppressLineNumbers w:val="0"/>
              <w:spacing w:before="0" w:beforeAutospacing="0" w:after="0" w:afterAutospacing="0"/>
              <w:ind w:right="0"/>
              <w:jc w:val="center"/>
              <w:rPr>
                <w:rFonts w:hint="eastAsia" w:ascii="宋体" w:hAnsi="宋体" w:eastAsia="宋体" w:cs="宋体"/>
                <w:kern w:val="2"/>
                <w:sz w:val="21"/>
                <w:szCs w:val="21"/>
              </w:rPr>
            </w:pPr>
          </w:p>
        </w:tc>
        <w:tc>
          <w:tcPr>
            <w:tcW w:w="113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汽油</w:t>
            </w:r>
          </w:p>
        </w:tc>
        <w:tc>
          <w:tcPr>
            <w:tcW w:w="113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1630</w:t>
            </w:r>
          </w:p>
        </w:tc>
        <w:tc>
          <w:tcPr>
            <w:tcW w:w="1205"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r>
              <w:rPr>
                <w:rFonts w:hint="eastAsia" w:ascii="宋体" w:hAnsi="宋体" w:eastAsia="宋体" w:cs="宋体"/>
                <w:kern w:val="2"/>
                <w:sz w:val="21"/>
                <w:szCs w:val="21"/>
              </w:rPr>
              <w:t>易燃液体，类别2</w:t>
            </w:r>
          </w:p>
        </w:tc>
        <w:tc>
          <w:tcPr>
            <w:tcW w:w="91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否</w:t>
            </w:r>
          </w:p>
        </w:tc>
        <w:tc>
          <w:tcPr>
            <w:tcW w:w="979"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否</w:t>
            </w:r>
          </w:p>
        </w:tc>
        <w:tc>
          <w:tcPr>
            <w:tcW w:w="91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否</w:t>
            </w:r>
          </w:p>
        </w:tc>
        <w:tc>
          <w:tcPr>
            <w:tcW w:w="133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是</w:t>
            </w:r>
          </w:p>
        </w:tc>
        <w:tc>
          <w:tcPr>
            <w:tcW w:w="100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564" w:type="dxa"/>
            <w:vAlign w:val="center"/>
          </w:tcPr>
          <w:p>
            <w:pPr>
              <w:pStyle w:val="22"/>
              <w:keepNext w:val="0"/>
              <w:keepLines w:val="0"/>
              <w:numPr>
                <w:ilvl w:val="0"/>
                <w:numId w:val="4"/>
              </w:numPr>
              <w:suppressLineNumbers w:val="0"/>
              <w:spacing w:before="0" w:beforeAutospacing="0" w:after="0" w:afterAutospacing="0"/>
              <w:ind w:right="0"/>
              <w:jc w:val="center"/>
              <w:rPr>
                <w:rFonts w:hint="eastAsia" w:ascii="宋体" w:hAnsi="宋体" w:eastAsia="宋体" w:cs="宋体"/>
                <w:kern w:val="2"/>
                <w:sz w:val="21"/>
                <w:szCs w:val="21"/>
              </w:rPr>
            </w:pPr>
          </w:p>
        </w:tc>
        <w:tc>
          <w:tcPr>
            <w:tcW w:w="113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柴油[闭杯闪点≤60℃]</w:t>
            </w:r>
          </w:p>
        </w:tc>
        <w:tc>
          <w:tcPr>
            <w:tcW w:w="113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1674</w:t>
            </w:r>
          </w:p>
        </w:tc>
        <w:tc>
          <w:tcPr>
            <w:tcW w:w="1205" w:type="dxa"/>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r>
              <w:rPr>
                <w:rFonts w:hint="eastAsia" w:ascii="宋体" w:hAnsi="宋体" w:eastAsia="宋体" w:cs="宋体"/>
                <w:kern w:val="2"/>
                <w:sz w:val="21"/>
                <w:szCs w:val="21"/>
              </w:rPr>
              <w:t>易燃液体，类别3</w:t>
            </w:r>
          </w:p>
        </w:tc>
        <w:tc>
          <w:tcPr>
            <w:tcW w:w="91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否</w:t>
            </w:r>
          </w:p>
        </w:tc>
        <w:tc>
          <w:tcPr>
            <w:tcW w:w="979"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否</w:t>
            </w:r>
          </w:p>
        </w:tc>
        <w:tc>
          <w:tcPr>
            <w:tcW w:w="91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否</w:t>
            </w:r>
          </w:p>
        </w:tc>
        <w:tc>
          <w:tcPr>
            <w:tcW w:w="1330"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否</w:t>
            </w:r>
          </w:p>
        </w:tc>
        <w:tc>
          <w:tcPr>
            <w:tcW w:w="100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否</w:t>
            </w:r>
          </w:p>
        </w:tc>
      </w:tr>
    </w:tbl>
    <w:p>
      <w:pPr>
        <w:rPr>
          <w:rFonts w:hint="eastAsia" w:ascii="宋体" w:hAnsi="宋体" w:eastAsia="宋体" w:cs="宋体"/>
          <w:lang w:val="en-US"/>
        </w:rPr>
      </w:pPr>
    </w:p>
    <w:p>
      <w:pPr>
        <w:jc w:val="center"/>
        <w:rPr>
          <w:rFonts w:hint="eastAsia" w:ascii="宋体" w:hAnsi="宋体" w:eastAsia="宋体" w:cs="宋体"/>
          <w:bCs/>
          <w:sz w:val="24"/>
          <w:szCs w:val="24"/>
        </w:rPr>
      </w:pPr>
      <w:bookmarkStart w:id="710" w:name="_Toc11648_WPSOffice_Level3"/>
      <w:bookmarkStart w:id="711" w:name="_Toc24955_WPSOffice_Level3"/>
      <w:bookmarkStart w:id="712" w:name="_Toc23643_WPSOffice_Level3"/>
      <w:r>
        <w:rPr>
          <w:rFonts w:hint="eastAsia" w:ascii="宋体" w:hAnsi="宋体" w:eastAsia="宋体" w:cs="宋体"/>
          <w:bCs/>
          <w:sz w:val="24"/>
          <w:szCs w:val="24"/>
        </w:rPr>
        <w:t>附表3</w:t>
      </w:r>
      <w:r>
        <w:rPr>
          <w:rFonts w:hint="eastAsia" w:ascii="宋体" w:hAnsi="宋体" w:eastAsia="宋体" w:cs="宋体"/>
          <w:bCs/>
          <w:sz w:val="24"/>
          <w:szCs w:val="24"/>
          <w:lang w:val="en-US"/>
        </w:rPr>
        <w:t>.1</w:t>
      </w:r>
      <w:r>
        <w:rPr>
          <w:rFonts w:hint="eastAsia" w:ascii="宋体" w:hAnsi="宋体" w:eastAsia="宋体" w:cs="宋体"/>
          <w:bCs/>
          <w:sz w:val="24"/>
          <w:szCs w:val="24"/>
        </w:rPr>
        <w:t>-</w:t>
      </w:r>
      <w:r>
        <w:rPr>
          <w:rFonts w:hint="eastAsia" w:ascii="宋体" w:hAnsi="宋体" w:eastAsia="宋体" w:cs="宋体"/>
          <w:bCs/>
          <w:sz w:val="24"/>
          <w:szCs w:val="24"/>
          <w:lang w:val="en-US"/>
        </w:rPr>
        <w:t xml:space="preserve">4 </w:t>
      </w:r>
      <w:r>
        <w:rPr>
          <w:rFonts w:hint="eastAsia" w:ascii="宋体" w:hAnsi="宋体" w:eastAsia="宋体" w:cs="宋体"/>
          <w:bCs/>
          <w:sz w:val="24"/>
          <w:szCs w:val="24"/>
        </w:rPr>
        <w:t>危险物料理化性质及危险特性汇总表</w:t>
      </w:r>
      <w:bookmarkEnd w:id="710"/>
      <w:bookmarkEnd w:id="711"/>
      <w:bookmarkEnd w:id="712"/>
    </w:p>
    <w:tbl>
      <w:tblPr>
        <w:tblStyle w:val="15"/>
        <w:tblW w:w="89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9"/>
        <w:gridCol w:w="1134"/>
        <w:gridCol w:w="1134"/>
        <w:gridCol w:w="1418"/>
        <w:gridCol w:w="1701"/>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9" w:type="dxa"/>
            <w:vAlign w:val="center"/>
          </w:tcPr>
          <w:p>
            <w:pPr>
              <w:keepNext w:val="0"/>
              <w:keepLines w:val="0"/>
              <w:suppressLineNumbers w:val="0"/>
              <w:spacing w:before="0" w:beforeAutospacing="0" w:after="0" w:afterAutospacing="0" w:line="28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化学品名称</w:t>
            </w:r>
          </w:p>
        </w:tc>
        <w:tc>
          <w:tcPr>
            <w:tcW w:w="1134" w:type="dxa"/>
            <w:vAlign w:val="center"/>
          </w:tcPr>
          <w:p>
            <w:pPr>
              <w:keepNext w:val="0"/>
              <w:keepLines w:val="0"/>
              <w:suppressLineNumbers w:val="0"/>
              <w:spacing w:before="0" w:beforeAutospacing="0" w:after="0" w:afterAutospacing="0" w:line="28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闪点</w:t>
            </w:r>
          </w:p>
          <w:p>
            <w:pPr>
              <w:keepNext w:val="0"/>
              <w:keepLines w:val="0"/>
              <w:suppressLineNumbers w:val="0"/>
              <w:spacing w:before="0" w:beforeAutospacing="0" w:after="0" w:afterAutospacing="0" w:line="28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1134" w:type="dxa"/>
            <w:vAlign w:val="center"/>
          </w:tcPr>
          <w:p>
            <w:pPr>
              <w:keepNext w:val="0"/>
              <w:keepLines w:val="0"/>
              <w:suppressLineNumbers w:val="0"/>
              <w:spacing w:before="0" w:beforeAutospacing="0" w:after="0" w:afterAutospacing="0" w:line="28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爆炸极限</w:t>
            </w:r>
          </w:p>
          <w:p>
            <w:pPr>
              <w:keepNext w:val="0"/>
              <w:keepLines w:val="0"/>
              <w:suppressLineNumbers w:val="0"/>
              <w:spacing w:before="0" w:beforeAutospacing="0" w:after="0" w:afterAutospacing="0" w:line="28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%（V）</w:t>
            </w:r>
          </w:p>
        </w:tc>
        <w:tc>
          <w:tcPr>
            <w:tcW w:w="1418" w:type="dxa"/>
            <w:vAlign w:val="center"/>
          </w:tcPr>
          <w:p>
            <w:pPr>
              <w:keepNext w:val="0"/>
              <w:keepLines w:val="0"/>
              <w:suppressLineNumbers w:val="0"/>
              <w:spacing w:before="0" w:beforeAutospacing="0" w:after="0" w:afterAutospacing="0" w:line="28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火灾危险性</w:t>
            </w:r>
          </w:p>
          <w:p>
            <w:pPr>
              <w:keepNext w:val="0"/>
              <w:keepLines w:val="0"/>
              <w:suppressLineNumbers w:val="0"/>
              <w:spacing w:before="0" w:beforeAutospacing="0" w:after="0" w:afterAutospacing="0" w:line="28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类别</w:t>
            </w:r>
          </w:p>
        </w:tc>
        <w:tc>
          <w:tcPr>
            <w:tcW w:w="1701" w:type="dxa"/>
            <w:vAlign w:val="center"/>
          </w:tcPr>
          <w:p>
            <w:pPr>
              <w:keepNext w:val="0"/>
              <w:keepLines w:val="0"/>
              <w:suppressLineNumbers w:val="0"/>
              <w:spacing w:before="0" w:beforeAutospacing="0" w:after="0" w:afterAutospacing="0" w:line="28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短时间接触容许浓度mg/m</w:t>
            </w:r>
            <w:r>
              <w:rPr>
                <w:rFonts w:hint="eastAsia" w:ascii="宋体" w:hAnsi="宋体" w:eastAsia="宋体" w:cs="宋体"/>
                <w:kern w:val="2"/>
                <w:sz w:val="21"/>
                <w:szCs w:val="21"/>
                <w:vertAlign w:val="superscript"/>
              </w:rPr>
              <w:t>3</w:t>
            </w:r>
          </w:p>
        </w:tc>
        <w:tc>
          <w:tcPr>
            <w:tcW w:w="1984" w:type="dxa"/>
            <w:vAlign w:val="center"/>
          </w:tcPr>
          <w:p>
            <w:pPr>
              <w:keepNext w:val="0"/>
              <w:keepLines w:val="0"/>
              <w:suppressLineNumbers w:val="0"/>
              <w:spacing w:before="0" w:beforeAutospacing="0" w:after="0" w:afterAutospacing="0" w:line="28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毒物危害</w:t>
            </w:r>
          </w:p>
          <w:p>
            <w:pPr>
              <w:keepNext w:val="0"/>
              <w:keepLines w:val="0"/>
              <w:suppressLineNumbers w:val="0"/>
              <w:spacing w:before="0" w:beforeAutospacing="0" w:after="0" w:afterAutospacing="0" w:line="28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程度分级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9"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汽油</w:t>
            </w:r>
          </w:p>
        </w:tc>
        <w:tc>
          <w:tcPr>
            <w:tcW w:w="113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-46</w:t>
            </w:r>
          </w:p>
        </w:tc>
        <w:tc>
          <w:tcPr>
            <w:tcW w:w="113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1.3～6</w:t>
            </w:r>
          </w:p>
        </w:tc>
        <w:tc>
          <w:tcPr>
            <w:tcW w:w="141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甲类</w:t>
            </w:r>
          </w:p>
        </w:tc>
        <w:tc>
          <w:tcPr>
            <w:tcW w:w="1701"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300</w:t>
            </w:r>
          </w:p>
        </w:tc>
        <w:tc>
          <w:tcPr>
            <w:tcW w:w="198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Ⅳ级（轻度危害）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59"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柴油[闭杯闪点≤60℃]</w:t>
            </w:r>
          </w:p>
        </w:tc>
        <w:tc>
          <w:tcPr>
            <w:tcW w:w="113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≤60</w:t>
            </w:r>
          </w:p>
        </w:tc>
        <w:tc>
          <w:tcPr>
            <w:tcW w:w="113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1418"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乙类</w:t>
            </w:r>
          </w:p>
        </w:tc>
        <w:tc>
          <w:tcPr>
            <w:tcW w:w="1701"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1984" w:type="dxa"/>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r>
    </w:tbl>
    <w:p>
      <w:pPr>
        <w:rPr>
          <w:rFonts w:hint="eastAsia" w:ascii="宋体" w:hAnsi="宋体" w:eastAsia="宋体" w:cs="宋体"/>
          <w:lang w:val="en-US"/>
        </w:rPr>
      </w:pPr>
    </w:p>
    <w:p>
      <w:pPr>
        <w:pStyle w:val="4"/>
        <w:spacing w:before="240" w:beforeLines="100" w:after="240" w:afterLines="100" w:line="240" w:lineRule="auto"/>
        <w:ind w:firstLine="562" w:firstLineChars="200"/>
        <w:rPr>
          <w:rFonts w:hint="eastAsia" w:ascii="宋体" w:hAnsi="宋体" w:eastAsia="宋体" w:cs="宋体"/>
          <w:sz w:val="28"/>
          <w:szCs w:val="28"/>
          <w:lang w:val="en-US"/>
        </w:rPr>
      </w:pPr>
      <w:bookmarkStart w:id="713" w:name="_Toc12858_WPSOffice_Level3"/>
      <w:bookmarkStart w:id="714" w:name="_Toc29094_WPSOffice_Level3"/>
      <w:r>
        <w:rPr>
          <w:rFonts w:hint="eastAsia" w:ascii="宋体" w:hAnsi="宋体" w:eastAsia="宋体" w:cs="宋体"/>
          <w:sz w:val="28"/>
          <w:szCs w:val="28"/>
          <w:lang w:val="en-US"/>
        </w:rPr>
        <w:t>3.1.2 作业过程主要危险、有害因素辨识结果</w:t>
      </w:r>
      <w:bookmarkEnd w:id="713"/>
      <w:bookmarkEnd w:id="714"/>
    </w:p>
    <w:p>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jc w:val="both"/>
        <w:textAlignment w:val="auto"/>
        <w:rPr>
          <w:rFonts w:hint="eastAsia" w:ascii="宋体" w:hAnsi="宋体" w:eastAsia="宋体" w:cs="宋体"/>
          <w:bCs/>
          <w:sz w:val="28"/>
          <w:szCs w:val="28"/>
        </w:rPr>
      </w:pPr>
      <w:r>
        <w:rPr>
          <w:rFonts w:hint="eastAsia" w:ascii="宋体" w:hAnsi="宋体" w:eastAsia="宋体" w:cs="宋体"/>
          <w:bCs/>
          <w:sz w:val="28"/>
          <w:szCs w:val="28"/>
        </w:rPr>
        <w:t>该加油站经营储存的危险化学品为易燃液体，结合项目的实际情况，该项目主要危险场所有：卸油区、油罐区、加油区、配电间等。参照《企业职工伤亡事故分类》GB6441-86，对该几个区域存在的危险有害因素进行辨识，具体内容如下：</w:t>
      </w:r>
    </w:p>
    <w:p>
      <w:pPr>
        <w:jc w:val="center"/>
        <w:rPr>
          <w:rFonts w:hint="eastAsia" w:ascii="宋体" w:hAnsi="宋体" w:eastAsia="宋体" w:cs="宋体"/>
          <w:bCs/>
          <w:sz w:val="24"/>
          <w:szCs w:val="24"/>
        </w:rPr>
      </w:pPr>
      <w:r>
        <w:rPr>
          <w:rFonts w:hint="eastAsia" w:ascii="宋体" w:hAnsi="宋体" w:eastAsia="宋体" w:cs="宋体"/>
          <w:bCs/>
          <w:sz w:val="24"/>
          <w:szCs w:val="24"/>
        </w:rPr>
        <w:t>附表3</w:t>
      </w:r>
      <w:r>
        <w:rPr>
          <w:rFonts w:hint="eastAsia" w:ascii="宋体" w:hAnsi="宋体" w:eastAsia="宋体" w:cs="宋体"/>
          <w:bCs/>
          <w:sz w:val="24"/>
          <w:szCs w:val="24"/>
          <w:lang w:val="en-US"/>
        </w:rPr>
        <w:t>.1</w:t>
      </w:r>
      <w:r>
        <w:rPr>
          <w:rFonts w:hint="eastAsia" w:ascii="宋体" w:hAnsi="宋体" w:eastAsia="宋体" w:cs="宋体"/>
          <w:bCs/>
          <w:sz w:val="24"/>
          <w:szCs w:val="24"/>
        </w:rPr>
        <w:t>-</w:t>
      </w:r>
      <w:r>
        <w:rPr>
          <w:rFonts w:hint="eastAsia" w:ascii="宋体" w:hAnsi="宋体" w:eastAsia="宋体" w:cs="宋体"/>
          <w:bCs/>
          <w:sz w:val="24"/>
          <w:szCs w:val="24"/>
          <w:lang w:val="en-US"/>
        </w:rPr>
        <w:t xml:space="preserve">5 </w:t>
      </w:r>
      <w:r>
        <w:rPr>
          <w:rFonts w:hint="eastAsia" w:ascii="宋体" w:hAnsi="宋体" w:eastAsia="宋体" w:cs="宋体"/>
          <w:bCs/>
          <w:sz w:val="24"/>
          <w:szCs w:val="24"/>
        </w:rPr>
        <w:t>危险有害因素辨识表</w:t>
      </w:r>
    </w:p>
    <w:tbl>
      <w:tblPr>
        <w:tblStyle w:val="15"/>
        <w:tblW w:w="91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84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720" w:type="dxa"/>
            <w:vAlign w:val="center"/>
          </w:tcPr>
          <w:p>
            <w:pPr>
              <w:pStyle w:val="36"/>
              <w:keepNext w:val="0"/>
              <w:keepLines w:val="0"/>
              <w:widowControl w:val="0"/>
              <w:suppressLineNumbers w:val="0"/>
              <w:spacing w:before="0" w:beforeAutospacing="0" w:after="0" w:afterAutospacing="0" w:line="240" w:lineRule="auto"/>
              <w:ind w:left="0" w:right="0"/>
              <w:rPr>
                <w:rFonts w:hint="eastAsia" w:ascii="宋体" w:hAnsi="宋体" w:eastAsia="宋体" w:cs="宋体"/>
                <w:b/>
                <w:kern w:val="2"/>
                <w:sz w:val="21"/>
                <w:szCs w:val="21"/>
              </w:rPr>
            </w:pPr>
            <w:bookmarkStart w:id="715" w:name="_Hlk529174863"/>
            <w:r>
              <w:rPr>
                <w:rFonts w:hint="eastAsia" w:ascii="宋体" w:hAnsi="宋体" w:eastAsia="宋体" w:cs="宋体"/>
                <w:b/>
                <w:kern w:val="2"/>
                <w:sz w:val="21"/>
                <w:szCs w:val="21"/>
              </w:rPr>
              <w:t>危险</w:t>
            </w:r>
          </w:p>
          <w:p>
            <w:pPr>
              <w:pStyle w:val="36"/>
              <w:keepNext w:val="0"/>
              <w:keepLines w:val="0"/>
              <w:widowControl w:val="0"/>
              <w:suppressLineNumbers w:val="0"/>
              <w:spacing w:before="0" w:beforeAutospacing="0" w:after="0" w:afterAutospacing="0" w:line="240" w:lineRule="auto"/>
              <w:ind w:left="0" w:right="0"/>
              <w:rPr>
                <w:rFonts w:hint="eastAsia" w:ascii="宋体" w:hAnsi="宋体" w:eastAsia="宋体" w:cs="宋体"/>
                <w:b/>
                <w:kern w:val="2"/>
                <w:sz w:val="21"/>
                <w:szCs w:val="21"/>
              </w:rPr>
            </w:pPr>
            <w:r>
              <w:rPr>
                <w:rFonts w:hint="eastAsia" w:ascii="宋体" w:hAnsi="宋体" w:eastAsia="宋体" w:cs="宋体"/>
                <w:b/>
                <w:kern w:val="2"/>
                <w:sz w:val="21"/>
                <w:szCs w:val="21"/>
              </w:rPr>
              <w:t>场所</w:t>
            </w:r>
          </w:p>
        </w:tc>
        <w:tc>
          <w:tcPr>
            <w:tcW w:w="8430" w:type="dxa"/>
            <w:vAlign w:val="center"/>
          </w:tcPr>
          <w:p>
            <w:pPr>
              <w:keepNext w:val="0"/>
              <w:keepLines w:val="0"/>
              <w:suppressLineNumbers w:val="0"/>
              <w:spacing w:before="0" w:beforeAutospacing="0" w:after="120" w:afterAutospacing="0"/>
              <w:ind w:left="0" w:right="0"/>
              <w:jc w:val="center"/>
              <w:rPr>
                <w:rFonts w:hint="eastAsia" w:ascii="宋体" w:hAnsi="宋体" w:eastAsia="宋体" w:cs="宋体"/>
                <w:b/>
                <w:bCs/>
                <w:kern w:val="2"/>
                <w:sz w:val="21"/>
                <w:szCs w:val="21"/>
              </w:rPr>
            </w:pPr>
            <w:r>
              <w:rPr>
                <w:rFonts w:hint="eastAsia" w:ascii="宋体" w:hAnsi="宋体" w:eastAsia="宋体" w:cs="宋体"/>
                <w:b/>
                <w:bCs/>
                <w:kern w:val="2"/>
                <w:sz w:val="21"/>
                <w:szCs w:val="21"/>
              </w:rPr>
              <w:t>危险有害因素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0" w:type="dxa"/>
            <w:vMerge w:val="restart"/>
            <w:vAlign w:val="center"/>
          </w:tcPr>
          <w:p>
            <w:pPr>
              <w:pStyle w:val="36"/>
              <w:keepNext w:val="0"/>
              <w:keepLines w:val="0"/>
              <w:widowControl w:val="0"/>
              <w:suppressLineNumbers w:val="0"/>
              <w:spacing w:before="0" w:beforeAutospacing="0" w:after="0" w:afterAutospacing="0" w:line="240"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一</w:t>
            </w:r>
          </w:p>
          <w:p>
            <w:pPr>
              <w:pStyle w:val="36"/>
              <w:keepNext w:val="0"/>
              <w:keepLines w:val="0"/>
              <w:widowControl w:val="0"/>
              <w:suppressLineNumbers w:val="0"/>
              <w:spacing w:before="0" w:beforeAutospacing="0" w:after="0" w:afterAutospacing="0" w:line="240"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p>
            <w:pPr>
              <w:pStyle w:val="36"/>
              <w:keepNext w:val="0"/>
              <w:keepLines w:val="0"/>
              <w:widowControl w:val="0"/>
              <w:suppressLineNumbers w:val="0"/>
              <w:spacing w:before="0" w:beforeAutospacing="0" w:after="0" w:afterAutospacing="0" w:line="240"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卸</w:t>
            </w:r>
          </w:p>
          <w:p>
            <w:pPr>
              <w:pStyle w:val="36"/>
              <w:keepNext w:val="0"/>
              <w:keepLines w:val="0"/>
              <w:widowControl w:val="0"/>
              <w:suppressLineNumbers w:val="0"/>
              <w:spacing w:before="0" w:beforeAutospacing="0" w:after="0" w:afterAutospacing="0" w:line="240"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油</w:t>
            </w:r>
          </w:p>
          <w:p>
            <w:pPr>
              <w:pStyle w:val="36"/>
              <w:keepNext w:val="0"/>
              <w:keepLines w:val="0"/>
              <w:widowControl w:val="0"/>
              <w:suppressLineNumbers w:val="0"/>
              <w:spacing w:before="0" w:beforeAutospacing="0" w:after="0" w:afterAutospacing="0" w:line="240"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区</w:t>
            </w:r>
          </w:p>
        </w:tc>
        <w:tc>
          <w:tcPr>
            <w:tcW w:w="8430" w:type="dxa"/>
          </w:tcPr>
          <w:p>
            <w:pPr>
              <w:pStyle w:val="36"/>
              <w:keepNext w:val="0"/>
              <w:keepLines w:val="0"/>
              <w:widowControl w:val="0"/>
              <w:suppressLineNumbers w:val="0"/>
              <w:spacing w:before="0" w:beforeAutospacing="0" w:after="0" w:afterAutospacing="0" w:line="240" w:lineRule="auto"/>
              <w:ind w:left="0" w:right="0"/>
              <w:jc w:val="both"/>
              <w:rPr>
                <w:rFonts w:hint="eastAsia" w:ascii="宋体" w:hAnsi="宋体" w:eastAsia="宋体" w:cs="宋体"/>
                <w:kern w:val="2"/>
                <w:sz w:val="21"/>
                <w:szCs w:val="21"/>
              </w:rPr>
            </w:pPr>
            <w:r>
              <w:rPr>
                <w:rFonts w:hint="eastAsia" w:ascii="宋体" w:hAnsi="宋体" w:eastAsia="宋体" w:cs="宋体"/>
                <w:kern w:val="2"/>
                <w:sz w:val="21"/>
                <w:szCs w:val="21"/>
              </w:rPr>
              <w:t>1.火灾和其他爆炸：</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汽油极易挥发，其蒸气与空气可形成爆炸性混合物，遇明火、高热、雷击、静电火花极易燃烧爆炸。和氧化剂能发生强烈反应。汽油蒸气比空气重，能在较低处扩散到当远的地方，遇明火会引着回燃。在卸油时会有油气挥发出来，如果设备、管道泄漏或发生冒油、溢油事故没有做好各种防火防爆准备等，此时遇火源会发生火灾爆炸。</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引起火灾、爆炸的主要原因有：</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（1）易燃液体的存在</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易燃性：卸车时，有可能因卸油管破裂，或未接好，导致油品泄漏，汽油沸点比较低，能较快地气化，与空气混合形成爆炸性气体，遇明火、高热会着火，爆炸。</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（2）点火源</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①明火。</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②铁器撞击、摩擦产生的火花。</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③进入装卸场地的槽车，其尾气管带出的火花和高温尾气也能引燃可燃气体。</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④雷击产生的高热或雷电电弧。</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⑤防火区内：人员违章吸烟或违章使用非防爆电器。</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⑥卸油时，没接防静电接地线，或在接地不良情况下进行作业产生静电火花。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0" w:type="dxa"/>
            <w:vMerge w:val="continue"/>
          </w:tcPr>
          <w:p>
            <w:pPr>
              <w:keepNext w:val="0"/>
              <w:keepLines w:val="0"/>
              <w:suppressLineNumbers w:val="0"/>
              <w:spacing w:before="0" w:beforeAutospacing="0" w:after="120" w:afterAutospacing="0"/>
              <w:ind w:left="440" w:leftChars="200" w:right="0" w:firstLine="480"/>
              <w:rPr>
                <w:rFonts w:hint="eastAsia" w:ascii="宋体" w:hAnsi="宋体" w:eastAsia="宋体" w:cs="宋体"/>
                <w:bCs/>
                <w:kern w:val="2"/>
                <w:sz w:val="21"/>
                <w:szCs w:val="21"/>
              </w:rPr>
            </w:pPr>
          </w:p>
        </w:tc>
        <w:tc>
          <w:tcPr>
            <w:tcW w:w="8430" w:type="dxa"/>
          </w:tcPr>
          <w:p>
            <w:pPr>
              <w:pStyle w:val="36"/>
              <w:keepNext w:val="0"/>
              <w:keepLines w:val="0"/>
              <w:widowControl w:val="0"/>
              <w:suppressLineNumbers w:val="0"/>
              <w:spacing w:before="0" w:beforeAutospacing="0" w:after="0" w:afterAutospacing="0" w:line="240" w:lineRule="auto"/>
              <w:ind w:left="0" w:right="0"/>
              <w:jc w:val="both"/>
              <w:rPr>
                <w:rFonts w:hint="eastAsia" w:ascii="宋体" w:hAnsi="宋体" w:eastAsia="宋体" w:cs="宋体"/>
                <w:kern w:val="2"/>
                <w:sz w:val="21"/>
                <w:szCs w:val="21"/>
              </w:rPr>
            </w:pPr>
            <w:r>
              <w:rPr>
                <w:rFonts w:hint="eastAsia" w:ascii="宋体" w:hAnsi="宋体" w:eastAsia="宋体" w:cs="宋体"/>
                <w:kern w:val="2"/>
                <w:sz w:val="21"/>
                <w:szCs w:val="21"/>
              </w:rPr>
              <w:t>2.车辆伤害：</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车辆伤害指运输车辆在行驶中引起的人体坠落和物体倒塌、下落、挤压伤亡事故。装卸油品的槽车进入罐区装卸场所，如果驾驶员误操作、车况不好、制动不灵或行人不小心都可能发生车辆伤害。车辆伤害可以用划定行车路线、竖立警示牌等办法加以防范，必要时可派人指挥行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0" w:type="dxa"/>
            <w:vMerge w:val="continue"/>
          </w:tcPr>
          <w:p>
            <w:pPr>
              <w:keepNext w:val="0"/>
              <w:keepLines w:val="0"/>
              <w:suppressLineNumbers w:val="0"/>
              <w:spacing w:before="0" w:beforeAutospacing="0" w:after="120" w:afterAutospacing="0"/>
              <w:ind w:left="440" w:leftChars="200" w:right="0" w:firstLine="480"/>
              <w:rPr>
                <w:rFonts w:hint="eastAsia" w:ascii="宋体" w:hAnsi="宋体" w:eastAsia="宋体" w:cs="宋体"/>
                <w:bCs/>
                <w:kern w:val="2"/>
                <w:sz w:val="21"/>
                <w:szCs w:val="21"/>
              </w:rPr>
            </w:pPr>
          </w:p>
        </w:tc>
        <w:tc>
          <w:tcPr>
            <w:tcW w:w="8430" w:type="dxa"/>
          </w:tcPr>
          <w:p>
            <w:pPr>
              <w:pStyle w:val="36"/>
              <w:keepNext w:val="0"/>
              <w:keepLines w:val="0"/>
              <w:widowControl w:val="0"/>
              <w:suppressLineNumbers w:val="0"/>
              <w:spacing w:before="0" w:beforeAutospacing="0" w:after="0" w:afterAutospacing="0" w:line="240" w:lineRule="auto"/>
              <w:ind w:left="0" w:right="0"/>
              <w:jc w:val="both"/>
              <w:rPr>
                <w:rFonts w:hint="eastAsia" w:ascii="宋体" w:hAnsi="宋体" w:eastAsia="宋体" w:cs="宋体"/>
                <w:kern w:val="2"/>
                <w:sz w:val="21"/>
                <w:szCs w:val="21"/>
              </w:rPr>
            </w:pPr>
            <w:r>
              <w:rPr>
                <w:rFonts w:hint="eastAsia" w:ascii="宋体" w:hAnsi="宋体" w:eastAsia="宋体" w:cs="宋体"/>
                <w:kern w:val="2"/>
                <w:sz w:val="21"/>
                <w:szCs w:val="21"/>
              </w:rPr>
              <w:t>3.中毒和窒息伤害：</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按《职业性接触毒物危害程度分级》，汽油属轻度危害物质。</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汽油引起的急性中毒：对中枢神经系统有麻醉作用。轻度中毒症状其蒸气可引起眼及上呼吸道刺激症状，如浓度过高，几分钟即可引起呼吸困难、紫绀等缺氧症状。汽油蒸气比空气重，能在较低处扩散到相当远的地方。</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柴油可引起接触性皮炎、油性痤疮。吸入其雾滴或液体呛入可引起吸入性肺炎。能经胎盘进入胎儿血中。柴油废气可引起眼、鼻刺激症状，头晕及头痛。</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中毒事故发生条件：在发生大量漏油、抢险救灾时吸入有毒有害油气。</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因此，如果油品大量泄漏，抢险救灾人员有可能接触高浓度油品蒸气时应佩戴自吸式防毒面罩。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0" w:type="dxa"/>
            <w:vMerge w:val="continue"/>
          </w:tcPr>
          <w:p>
            <w:pPr>
              <w:keepNext w:val="0"/>
              <w:keepLines w:val="0"/>
              <w:suppressLineNumbers w:val="0"/>
              <w:spacing w:before="0" w:beforeAutospacing="0" w:after="120" w:afterAutospacing="0"/>
              <w:ind w:left="440" w:leftChars="200" w:right="0" w:firstLine="480"/>
              <w:rPr>
                <w:rFonts w:hint="eastAsia" w:ascii="宋体" w:hAnsi="宋体" w:eastAsia="宋体" w:cs="宋体"/>
                <w:bCs/>
                <w:kern w:val="2"/>
                <w:sz w:val="21"/>
                <w:szCs w:val="21"/>
              </w:rPr>
            </w:pPr>
          </w:p>
        </w:tc>
        <w:tc>
          <w:tcPr>
            <w:tcW w:w="8430" w:type="dxa"/>
          </w:tcPr>
          <w:p>
            <w:pPr>
              <w:pStyle w:val="36"/>
              <w:keepNext w:val="0"/>
              <w:keepLines w:val="0"/>
              <w:widowControl w:val="0"/>
              <w:suppressLineNumbers w:val="0"/>
              <w:spacing w:before="0" w:beforeAutospacing="0" w:after="0" w:afterAutospacing="0" w:line="240" w:lineRule="auto"/>
              <w:ind w:left="0" w:right="0"/>
              <w:jc w:val="both"/>
              <w:rPr>
                <w:rFonts w:hint="eastAsia" w:ascii="宋体" w:hAnsi="宋体" w:eastAsia="宋体" w:cs="宋体"/>
                <w:kern w:val="2"/>
                <w:sz w:val="21"/>
                <w:szCs w:val="21"/>
              </w:rPr>
            </w:pPr>
            <w:r>
              <w:rPr>
                <w:rFonts w:hint="eastAsia" w:ascii="宋体" w:hAnsi="宋体" w:eastAsia="宋体" w:cs="宋体"/>
                <w:kern w:val="2"/>
                <w:sz w:val="21"/>
                <w:szCs w:val="21"/>
              </w:rPr>
              <w:t>4.静电危害及雷电危害分析</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（1）雷电危害</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雷电的破坏作用主要为三种：直接雷击破坏、感应雷破坏和雷电波侵入破坏。雷电的危害主要有以下四方面：</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当遇到雷雨天气时，加油站内建、构筑物、油罐、输油管道、电气设备和人员均可能受到雷击伤害。产生雷电危害的原因有：</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1）防雷装置的选型不合理，包括高度、型号、直径等方面，建筑、设备、设施不在防雷保护范围以内。</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2）防雷装置设计不合理。建、构筑物防雷装置有无防反击、侧击等技术措施，电气系统未采取防雷电波侵入措施等。</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3）防雷装置安装存在缺陷。如引下线焊接质量差。</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4）未定期对防雷装置进行定期预防性检查和检测，导致接闪器损坏、接地线生锈、导电能力下降等。</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5）防雷装置失效，防雷接地电阻不符合要求。</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6）人缺乏防雷的基本知识。</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（2）静电危害</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静电放电是导致发生火灾爆炸事故的重要原因之一。下列几种情况下易出现静电：</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1）物料在灌装、管道输送、汽车运输等过程中，由于在管道、储罐、槽车中摩擦、冲击和激溅，尤其在压力大、流速快、摩擦面积大、器壁粗糙等情况下或设备管道静电接地不良，静电荷迅速增加和大量积聚，极易产生静电放电。</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2）禁火区域内工作人员穿化纤服装，活动时易产生静电火花。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0" w:type="dxa"/>
            <w:vMerge w:val="continue"/>
          </w:tcPr>
          <w:p>
            <w:pPr>
              <w:keepNext w:val="0"/>
              <w:keepLines w:val="0"/>
              <w:suppressLineNumbers w:val="0"/>
              <w:spacing w:before="0" w:beforeAutospacing="0" w:after="120" w:afterAutospacing="0"/>
              <w:ind w:left="440" w:leftChars="200" w:right="0" w:firstLine="480"/>
              <w:rPr>
                <w:rFonts w:hint="eastAsia" w:ascii="宋体" w:hAnsi="宋体" w:eastAsia="宋体" w:cs="宋体"/>
                <w:bCs/>
                <w:kern w:val="2"/>
                <w:sz w:val="21"/>
                <w:szCs w:val="21"/>
              </w:rPr>
            </w:pPr>
          </w:p>
        </w:tc>
        <w:tc>
          <w:tcPr>
            <w:tcW w:w="8430" w:type="dxa"/>
          </w:tcPr>
          <w:p>
            <w:pPr>
              <w:keepNext w:val="0"/>
              <w:keepLines w:val="0"/>
              <w:suppressLineNumbers w:val="0"/>
              <w:spacing w:before="0" w:beforeAutospacing="0" w:after="0" w:afterAutospacing="0" w:line="276" w:lineRule="auto"/>
              <w:ind w:left="0" w:right="0"/>
              <w:rPr>
                <w:rFonts w:hint="eastAsia" w:ascii="宋体" w:hAnsi="宋体" w:eastAsia="宋体" w:cs="宋体"/>
                <w:kern w:val="2"/>
                <w:sz w:val="21"/>
                <w:szCs w:val="21"/>
              </w:rPr>
            </w:pPr>
            <w:r>
              <w:rPr>
                <w:rFonts w:hint="eastAsia" w:ascii="宋体" w:hAnsi="宋体" w:eastAsia="宋体" w:cs="宋体"/>
                <w:kern w:val="2"/>
                <w:sz w:val="21"/>
                <w:szCs w:val="21"/>
              </w:rPr>
              <w:t>5.高温危害：</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卸油作业时，作业人员要在现场监护，当地夏季室外温度较高，作业人员可能长时间在室外高温环境下，导致高温中暑。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0" w:type="dxa"/>
            <w:vMerge w:val="continue"/>
          </w:tcPr>
          <w:p>
            <w:pPr>
              <w:keepNext w:val="0"/>
              <w:keepLines w:val="0"/>
              <w:suppressLineNumbers w:val="0"/>
              <w:spacing w:before="0" w:beforeAutospacing="0" w:after="120" w:afterAutospacing="0"/>
              <w:ind w:left="440" w:leftChars="200" w:right="0" w:firstLine="480"/>
              <w:rPr>
                <w:rFonts w:hint="eastAsia" w:ascii="宋体" w:hAnsi="宋体" w:eastAsia="宋体" w:cs="宋体"/>
                <w:bCs/>
                <w:kern w:val="2"/>
                <w:sz w:val="21"/>
                <w:szCs w:val="21"/>
              </w:rPr>
            </w:pPr>
          </w:p>
        </w:tc>
        <w:tc>
          <w:tcPr>
            <w:tcW w:w="8430" w:type="dxa"/>
          </w:tcPr>
          <w:p>
            <w:pPr>
              <w:keepNext w:val="0"/>
              <w:keepLines w:val="0"/>
              <w:suppressLineNumbers w:val="0"/>
              <w:spacing w:before="0" w:beforeAutospacing="0" w:after="0" w:afterAutospacing="0" w:line="276" w:lineRule="auto"/>
              <w:ind w:left="0" w:right="0"/>
              <w:rPr>
                <w:rFonts w:hint="eastAsia" w:ascii="宋体" w:hAnsi="宋体" w:eastAsia="宋体" w:cs="宋体"/>
                <w:kern w:val="2"/>
                <w:sz w:val="21"/>
                <w:szCs w:val="21"/>
              </w:rPr>
            </w:pPr>
            <w:r>
              <w:rPr>
                <w:rFonts w:hint="eastAsia" w:ascii="宋体" w:hAnsi="宋体" w:eastAsia="宋体" w:cs="宋体"/>
                <w:kern w:val="2"/>
                <w:sz w:val="21"/>
                <w:szCs w:val="21"/>
              </w:rPr>
              <w:t>6.物体打击：</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装、卸槽车油管时可能由于操作不当，发生物体打击事故。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0" w:type="dxa"/>
            <w:vMerge w:val="restart"/>
            <w:vAlign w:val="center"/>
          </w:tcPr>
          <w:p>
            <w:pPr>
              <w:pStyle w:val="36"/>
              <w:keepNext w:val="0"/>
              <w:keepLines w:val="0"/>
              <w:widowControl w:val="0"/>
              <w:suppressLineNumbers w:val="0"/>
              <w:spacing w:before="0" w:beforeAutospacing="0" w:after="0" w:afterAutospacing="0" w:line="240"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二</w:t>
            </w:r>
          </w:p>
          <w:p>
            <w:pPr>
              <w:pStyle w:val="36"/>
              <w:keepNext w:val="0"/>
              <w:keepLines w:val="0"/>
              <w:widowControl w:val="0"/>
              <w:suppressLineNumbers w:val="0"/>
              <w:spacing w:before="0" w:beforeAutospacing="0" w:after="0" w:afterAutospacing="0" w:line="240"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p>
            <w:pPr>
              <w:pStyle w:val="36"/>
              <w:keepNext w:val="0"/>
              <w:keepLines w:val="0"/>
              <w:widowControl w:val="0"/>
              <w:suppressLineNumbers w:val="0"/>
              <w:spacing w:before="0" w:beforeAutospacing="0" w:after="0" w:afterAutospacing="0" w:line="240"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加</w:t>
            </w:r>
          </w:p>
          <w:p>
            <w:pPr>
              <w:pStyle w:val="36"/>
              <w:keepNext w:val="0"/>
              <w:keepLines w:val="0"/>
              <w:widowControl w:val="0"/>
              <w:suppressLineNumbers w:val="0"/>
              <w:spacing w:before="0" w:beforeAutospacing="0" w:after="0" w:afterAutospacing="0" w:line="240"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油</w:t>
            </w:r>
          </w:p>
          <w:p>
            <w:pPr>
              <w:pStyle w:val="36"/>
              <w:keepNext w:val="0"/>
              <w:keepLines w:val="0"/>
              <w:widowControl w:val="0"/>
              <w:suppressLineNumbers w:val="0"/>
              <w:spacing w:before="0" w:beforeAutospacing="0" w:after="0" w:afterAutospacing="0" w:line="240"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区</w:t>
            </w:r>
          </w:p>
        </w:tc>
        <w:tc>
          <w:tcPr>
            <w:tcW w:w="8430" w:type="dxa"/>
          </w:tcPr>
          <w:p>
            <w:pPr>
              <w:pStyle w:val="36"/>
              <w:keepNext w:val="0"/>
              <w:keepLines w:val="0"/>
              <w:widowControl w:val="0"/>
              <w:suppressLineNumbers w:val="0"/>
              <w:spacing w:before="0" w:beforeAutospacing="0" w:after="0" w:afterAutospacing="0" w:line="240" w:lineRule="auto"/>
              <w:ind w:left="0" w:right="0"/>
              <w:jc w:val="both"/>
              <w:rPr>
                <w:rFonts w:hint="eastAsia" w:ascii="宋体" w:hAnsi="宋体" w:eastAsia="宋体" w:cs="宋体"/>
                <w:kern w:val="2"/>
                <w:sz w:val="21"/>
                <w:szCs w:val="21"/>
              </w:rPr>
            </w:pPr>
            <w:r>
              <w:rPr>
                <w:rFonts w:hint="eastAsia" w:ascii="宋体" w:hAnsi="宋体" w:eastAsia="宋体" w:cs="宋体"/>
                <w:kern w:val="2"/>
                <w:sz w:val="21"/>
                <w:szCs w:val="21"/>
              </w:rPr>
              <w:t>1.火灾、爆炸：</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加油站经营油品有汽油和柴油，汽油为甲类火灾危险物质，柴油为乙类火灾危险物质，汽柴油蒸气与空气可形成爆炸性混合物，遇明火、高热、雷击、静电火花极易燃烧爆炸。</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引起火灾、爆炸的主要原因有：</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（1）加油棚内易燃液体的存在</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加油罩棚内车辆油箱漏油或加油过程中油箱过满，油品溢出，加油工误操作，加错油需要倒油等都可能导致油品泄漏。汽油极易挥发，其蒸气与空气可形成爆炸性混合物，遇明火、高热、雷击、静电火花极易燃烧爆炸。</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（2）加油棚内存在的点火源</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①明火带入站内，如站内吸烟。</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②铁器撞击、摩擦产生的火花，采用铁制容器。</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③进入加油棚内的运输车辆，未熄火就开始加油。</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④雷击产生的高热或雷电电弧。</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⑤人员违章吸烟或违章使用非防爆电器产生火花（如手机）。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0" w:type="dxa"/>
            <w:vMerge w:val="continue"/>
          </w:tcPr>
          <w:p>
            <w:pPr>
              <w:keepNext w:val="0"/>
              <w:keepLines w:val="0"/>
              <w:suppressLineNumbers w:val="0"/>
              <w:spacing w:before="0" w:beforeAutospacing="0" w:after="120" w:afterAutospacing="0"/>
              <w:ind w:left="440" w:leftChars="200" w:right="0" w:firstLine="480"/>
              <w:rPr>
                <w:rFonts w:hint="eastAsia" w:ascii="宋体" w:hAnsi="宋体" w:eastAsia="宋体" w:cs="宋体"/>
                <w:bCs/>
                <w:kern w:val="2"/>
                <w:sz w:val="21"/>
                <w:szCs w:val="21"/>
              </w:rPr>
            </w:pPr>
          </w:p>
        </w:tc>
        <w:tc>
          <w:tcPr>
            <w:tcW w:w="8430" w:type="dxa"/>
          </w:tcPr>
          <w:p>
            <w:pPr>
              <w:pStyle w:val="36"/>
              <w:keepNext w:val="0"/>
              <w:keepLines w:val="0"/>
              <w:widowControl w:val="0"/>
              <w:suppressLineNumbers w:val="0"/>
              <w:spacing w:before="0" w:beforeAutospacing="0" w:after="0" w:afterAutospacing="0" w:line="240" w:lineRule="auto"/>
              <w:ind w:left="0" w:right="0"/>
              <w:jc w:val="both"/>
              <w:rPr>
                <w:rFonts w:hint="eastAsia" w:ascii="宋体" w:hAnsi="宋体" w:eastAsia="宋体" w:cs="宋体"/>
                <w:kern w:val="2"/>
                <w:sz w:val="21"/>
                <w:szCs w:val="21"/>
              </w:rPr>
            </w:pPr>
            <w:r>
              <w:rPr>
                <w:rFonts w:hint="eastAsia" w:ascii="宋体" w:hAnsi="宋体" w:eastAsia="宋体" w:cs="宋体"/>
                <w:kern w:val="2"/>
                <w:sz w:val="21"/>
                <w:szCs w:val="21"/>
              </w:rPr>
              <w:t>2.中毒和窒息伤害：</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按《职业性接触毒物危害程度分级》，汽油、柴油均属轻度危害物质。</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汽油引起的急性中毒：对中枢神经系统有麻醉作用。轻度中毒症状其蒸气可引起眼及上呼吸道刺激症状，如浓度过高，几分钟即可引起呼吸困难、紫绀等缺氧症状。汽油蒸气比空气重，能在较低处扩散到相当远的地方。</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柴油可引起接触性皮炎、油性痤疮。吸入其雾滴或液体呛入可引起吸入性肺炎。能经胎盘进入胎儿血中。柴油废气可引起眼、鼻刺激症状，头晕及头痛。</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中毒事故发生条件：工艺设计不合理；设备未按时检测、检修、保养；作业人员操作失误、违反规程作业；发生交通事故造成油品较大量泄漏又不能及时处理。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0" w:type="dxa"/>
            <w:vMerge w:val="continue"/>
          </w:tcPr>
          <w:p>
            <w:pPr>
              <w:keepNext w:val="0"/>
              <w:keepLines w:val="0"/>
              <w:suppressLineNumbers w:val="0"/>
              <w:spacing w:before="0" w:beforeAutospacing="0" w:after="120" w:afterAutospacing="0"/>
              <w:ind w:left="440" w:leftChars="200" w:right="0" w:firstLine="480"/>
              <w:rPr>
                <w:rFonts w:hint="eastAsia" w:ascii="宋体" w:hAnsi="宋体" w:eastAsia="宋体" w:cs="宋体"/>
                <w:bCs/>
                <w:kern w:val="2"/>
                <w:sz w:val="21"/>
                <w:szCs w:val="21"/>
              </w:rPr>
            </w:pPr>
          </w:p>
        </w:tc>
        <w:tc>
          <w:tcPr>
            <w:tcW w:w="8430" w:type="dxa"/>
          </w:tcPr>
          <w:p>
            <w:pPr>
              <w:pStyle w:val="36"/>
              <w:keepNext w:val="0"/>
              <w:keepLines w:val="0"/>
              <w:widowControl w:val="0"/>
              <w:suppressLineNumbers w:val="0"/>
              <w:spacing w:before="0" w:beforeAutospacing="0" w:after="0" w:afterAutospacing="0" w:line="240" w:lineRule="auto"/>
              <w:ind w:left="0" w:right="0"/>
              <w:jc w:val="both"/>
              <w:rPr>
                <w:rFonts w:hint="eastAsia" w:ascii="宋体" w:hAnsi="宋体" w:eastAsia="宋体" w:cs="宋体"/>
                <w:kern w:val="2"/>
                <w:sz w:val="21"/>
                <w:szCs w:val="21"/>
              </w:rPr>
            </w:pPr>
            <w:r>
              <w:rPr>
                <w:rFonts w:hint="eastAsia" w:ascii="宋体" w:hAnsi="宋体" w:eastAsia="宋体" w:cs="宋体"/>
                <w:kern w:val="2"/>
                <w:sz w:val="21"/>
                <w:szCs w:val="21"/>
              </w:rPr>
              <w:t>3.车辆伤害：</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加油站内如果业务量大，到零售店面的人员较多，车辆进入站内如果无人指挥交通，站内道路放置了妨碍交通和视线的物品，司机驾驶失误等都有可能发生车辆伤害。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0" w:type="dxa"/>
            <w:vMerge w:val="continue"/>
          </w:tcPr>
          <w:p>
            <w:pPr>
              <w:keepNext w:val="0"/>
              <w:keepLines w:val="0"/>
              <w:suppressLineNumbers w:val="0"/>
              <w:spacing w:before="0" w:beforeAutospacing="0" w:after="120" w:afterAutospacing="0"/>
              <w:ind w:left="440" w:leftChars="200" w:right="0" w:firstLine="480"/>
              <w:rPr>
                <w:rFonts w:hint="eastAsia" w:ascii="宋体" w:hAnsi="宋体" w:eastAsia="宋体" w:cs="宋体"/>
                <w:bCs/>
                <w:kern w:val="2"/>
                <w:sz w:val="21"/>
                <w:szCs w:val="21"/>
              </w:rPr>
            </w:pPr>
          </w:p>
        </w:tc>
        <w:tc>
          <w:tcPr>
            <w:tcW w:w="8430" w:type="dxa"/>
          </w:tcPr>
          <w:p>
            <w:pPr>
              <w:pStyle w:val="36"/>
              <w:keepNext w:val="0"/>
              <w:keepLines w:val="0"/>
              <w:widowControl w:val="0"/>
              <w:suppressLineNumbers w:val="0"/>
              <w:spacing w:before="0" w:beforeAutospacing="0" w:after="0" w:afterAutospacing="0" w:line="240" w:lineRule="auto"/>
              <w:ind w:left="0" w:right="0"/>
              <w:jc w:val="both"/>
              <w:rPr>
                <w:rFonts w:hint="eastAsia" w:ascii="宋体" w:hAnsi="宋体" w:eastAsia="宋体" w:cs="宋体"/>
                <w:kern w:val="2"/>
                <w:sz w:val="21"/>
                <w:szCs w:val="21"/>
              </w:rPr>
            </w:pPr>
            <w:r>
              <w:rPr>
                <w:rFonts w:hint="eastAsia" w:ascii="宋体" w:hAnsi="宋体" w:eastAsia="宋体" w:cs="宋体"/>
                <w:kern w:val="2"/>
                <w:sz w:val="21"/>
                <w:szCs w:val="21"/>
              </w:rPr>
              <w:t>4.静电危害及雷电危害分析</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（1）雷电危害</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雷电的破坏作用主要为三种：直接雷击破坏、感应雷破坏和雷电波侵入破坏。雷电的危害主要有以下四方面：</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当遇到雷雨天气时，加油站内建、构筑物、油罐、输油管道、电气设备和人员均可能受到雷击伤害。产生雷电危害的原因有：</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1）防雷装置的选型不合理，包括高度、型号、直径等方面，建筑、设备、设施不在防雷保护范围以内。</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2）防雷装置设计不合理。建、构筑物防雷装置有无防反击、侧击等技术措施，电气系统未采取防雷电波侵入措施等。</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3）防雷装置安装存在缺陷。如引下线焊接质量差。</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4）未定期对防雷装置进行定期预防性检查和检测，导致接闪器损坏、接地线生锈、导电能力下降等。</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5）防雷装置失效，防雷接地电阻不符合要求。</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6）人缺乏防雷的基本知识。</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（2）静电危害</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静电放电是导致发生火灾爆炸事故的重要原因之一。下列几种情况下易出现静电：</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1）物料在灌装、管道输送、汽车运输等过程中，由于在管道、储罐、槽车中摩擦、冲击和激溅，尤其在压力大、流速快、摩擦面积大、器壁粗糙等情况下或设备管道静电接地不良，静电荷迅速增加和大量积聚，极易产生静电放电。</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2）禁火区域内工作人员穿化纤服装，活动时易产生静电火花。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0" w:type="dxa"/>
            <w:vMerge w:val="continue"/>
          </w:tcPr>
          <w:p>
            <w:pPr>
              <w:keepNext w:val="0"/>
              <w:keepLines w:val="0"/>
              <w:suppressLineNumbers w:val="0"/>
              <w:spacing w:before="0" w:beforeAutospacing="0" w:after="120" w:afterAutospacing="0"/>
              <w:ind w:left="440" w:leftChars="200" w:right="0" w:firstLine="480"/>
              <w:rPr>
                <w:rFonts w:hint="eastAsia" w:ascii="宋体" w:hAnsi="宋体" w:eastAsia="宋体" w:cs="宋体"/>
                <w:bCs/>
                <w:kern w:val="2"/>
                <w:sz w:val="21"/>
                <w:szCs w:val="21"/>
              </w:rPr>
            </w:pPr>
          </w:p>
        </w:tc>
        <w:tc>
          <w:tcPr>
            <w:tcW w:w="8430" w:type="dxa"/>
          </w:tcPr>
          <w:p>
            <w:pPr>
              <w:keepNext w:val="0"/>
              <w:keepLines w:val="0"/>
              <w:suppressLineNumbers w:val="0"/>
              <w:spacing w:before="0" w:beforeAutospacing="0" w:after="0" w:afterAutospacing="0" w:line="276" w:lineRule="auto"/>
              <w:ind w:left="0" w:right="0"/>
              <w:rPr>
                <w:rFonts w:hint="eastAsia" w:ascii="宋体" w:hAnsi="宋体" w:eastAsia="宋体" w:cs="宋体"/>
                <w:kern w:val="2"/>
                <w:sz w:val="21"/>
                <w:szCs w:val="21"/>
              </w:rPr>
            </w:pPr>
            <w:r>
              <w:rPr>
                <w:rFonts w:hint="eastAsia" w:ascii="宋体" w:hAnsi="宋体" w:eastAsia="宋体" w:cs="宋体"/>
                <w:kern w:val="2"/>
                <w:sz w:val="21"/>
                <w:szCs w:val="21"/>
              </w:rPr>
              <w:t>5.物体打击：</w:t>
            </w:r>
          </w:p>
          <w:p>
            <w:pPr>
              <w:keepNext w:val="0"/>
              <w:keepLines w:val="0"/>
              <w:suppressLineNumbers w:val="0"/>
              <w:spacing w:before="0" w:beforeAutospacing="0" w:after="0" w:afterAutospacing="0" w:line="276" w:lineRule="auto"/>
              <w:ind w:left="0" w:right="0" w:firstLine="420" w:firstLineChars="200"/>
              <w:rPr>
                <w:rFonts w:hint="eastAsia" w:ascii="宋体" w:hAnsi="宋体" w:eastAsia="宋体" w:cs="宋体"/>
                <w:kern w:val="2"/>
                <w:sz w:val="21"/>
                <w:szCs w:val="21"/>
              </w:rPr>
            </w:pPr>
            <w:r>
              <w:rPr>
                <w:rFonts w:hint="eastAsia" w:ascii="宋体" w:hAnsi="宋体" w:eastAsia="宋体" w:cs="宋体"/>
                <w:kern w:val="2"/>
                <w:sz w:val="21"/>
                <w:szCs w:val="21"/>
              </w:rPr>
              <w:t>作业人员不规范使用加油枪，或加注油品完毕后未及时取枪，车辆行驶导致的物体打击。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0" w:type="dxa"/>
            <w:vMerge w:val="continue"/>
          </w:tcPr>
          <w:p>
            <w:pPr>
              <w:keepNext w:val="0"/>
              <w:keepLines w:val="0"/>
              <w:suppressLineNumbers w:val="0"/>
              <w:spacing w:before="0" w:beforeAutospacing="0" w:after="120" w:afterAutospacing="0"/>
              <w:ind w:left="440" w:leftChars="200" w:right="0" w:firstLine="480"/>
              <w:rPr>
                <w:rFonts w:hint="eastAsia" w:ascii="宋体" w:hAnsi="宋体" w:eastAsia="宋体" w:cs="宋体"/>
                <w:bCs/>
                <w:kern w:val="2"/>
                <w:sz w:val="21"/>
                <w:szCs w:val="21"/>
              </w:rPr>
            </w:pPr>
          </w:p>
        </w:tc>
        <w:tc>
          <w:tcPr>
            <w:tcW w:w="8430" w:type="dxa"/>
          </w:tcPr>
          <w:p>
            <w:pPr>
              <w:keepNext w:val="0"/>
              <w:keepLines w:val="0"/>
              <w:suppressLineNumbers w:val="0"/>
              <w:spacing w:before="0" w:beforeAutospacing="0" w:after="0" w:afterAutospacing="0" w:line="276" w:lineRule="auto"/>
              <w:ind w:left="0" w:right="0"/>
              <w:rPr>
                <w:rFonts w:hint="eastAsia" w:ascii="宋体" w:hAnsi="宋体" w:eastAsia="宋体" w:cs="宋体"/>
                <w:kern w:val="2"/>
                <w:sz w:val="21"/>
                <w:szCs w:val="21"/>
              </w:rPr>
            </w:pPr>
            <w:r>
              <w:rPr>
                <w:rFonts w:hint="eastAsia" w:ascii="宋体" w:hAnsi="宋体" w:eastAsia="宋体" w:cs="宋体"/>
                <w:kern w:val="2"/>
                <w:sz w:val="21"/>
                <w:szCs w:val="21"/>
              </w:rPr>
              <w:t>6.高处坠落：</w:t>
            </w:r>
          </w:p>
          <w:p>
            <w:pPr>
              <w:keepNext w:val="0"/>
              <w:keepLines w:val="0"/>
              <w:suppressLineNumbers w:val="0"/>
              <w:spacing w:before="0" w:beforeAutospacing="0" w:after="0" w:afterAutospacing="0" w:line="276" w:lineRule="auto"/>
              <w:ind w:left="0" w:right="0" w:firstLine="420" w:firstLineChars="200"/>
              <w:rPr>
                <w:rFonts w:hint="eastAsia" w:ascii="宋体" w:hAnsi="宋体" w:eastAsia="宋体" w:cs="宋体"/>
                <w:bCs/>
                <w:kern w:val="2"/>
                <w:sz w:val="21"/>
                <w:szCs w:val="21"/>
              </w:rPr>
            </w:pPr>
            <w:r>
              <w:rPr>
                <w:rFonts w:hint="eastAsia" w:ascii="宋体" w:hAnsi="宋体" w:eastAsia="宋体" w:cs="宋体"/>
                <w:kern w:val="2"/>
                <w:sz w:val="21"/>
                <w:szCs w:val="21"/>
              </w:rPr>
              <w:t>定期对加油罩棚维护，未按规定执行特殊作业审批制度，作业人员未按要求佩戴个体防护用品登高作业或现场监护不到位，可能导致高处坠落事故。大风天气登高作业也可能导致事故的发生。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0" w:type="dxa"/>
            <w:vMerge w:val="continue"/>
          </w:tcPr>
          <w:p>
            <w:pPr>
              <w:keepNext w:val="0"/>
              <w:keepLines w:val="0"/>
              <w:suppressLineNumbers w:val="0"/>
              <w:spacing w:before="0" w:beforeAutospacing="0" w:after="120" w:afterAutospacing="0"/>
              <w:ind w:left="440" w:leftChars="200" w:right="0" w:firstLine="480"/>
              <w:rPr>
                <w:rFonts w:hint="eastAsia" w:ascii="宋体" w:hAnsi="宋体" w:eastAsia="宋体" w:cs="宋体"/>
                <w:bCs/>
                <w:kern w:val="2"/>
                <w:sz w:val="21"/>
                <w:szCs w:val="21"/>
              </w:rPr>
            </w:pPr>
          </w:p>
        </w:tc>
        <w:tc>
          <w:tcPr>
            <w:tcW w:w="8430" w:type="dxa"/>
          </w:tcPr>
          <w:p>
            <w:pPr>
              <w:keepNext w:val="0"/>
              <w:keepLines w:val="0"/>
              <w:suppressLineNumbers w:val="0"/>
              <w:spacing w:before="0" w:beforeAutospacing="0" w:after="0" w:afterAutospacing="0" w:line="276" w:lineRule="auto"/>
              <w:ind w:left="0" w:right="0"/>
              <w:rPr>
                <w:rFonts w:hint="eastAsia" w:ascii="宋体" w:hAnsi="宋体" w:eastAsia="宋体" w:cs="宋体"/>
                <w:kern w:val="2"/>
                <w:sz w:val="21"/>
                <w:szCs w:val="21"/>
              </w:rPr>
            </w:pPr>
            <w:r>
              <w:rPr>
                <w:rFonts w:hint="eastAsia" w:ascii="宋体" w:hAnsi="宋体" w:eastAsia="宋体" w:cs="宋体"/>
                <w:kern w:val="2"/>
                <w:sz w:val="21"/>
                <w:szCs w:val="21"/>
              </w:rPr>
              <w:t>7.坍塌：</w:t>
            </w:r>
          </w:p>
          <w:p>
            <w:pPr>
              <w:keepNext w:val="0"/>
              <w:keepLines w:val="0"/>
              <w:suppressLineNumbers w:val="0"/>
              <w:spacing w:before="0" w:beforeAutospacing="0" w:after="0" w:afterAutospacing="0" w:line="276" w:lineRule="auto"/>
              <w:ind w:left="0" w:right="0" w:firstLine="420" w:firstLineChars="200"/>
              <w:rPr>
                <w:rFonts w:hint="eastAsia" w:ascii="宋体" w:hAnsi="宋体" w:eastAsia="宋体" w:cs="宋体"/>
                <w:kern w:val="2"/>
                <w:sz w:val="21"/>
                <w:szCs w:val="21"/>
              </w:rPr>
            </w:pPr>
            <w:r>
              <w:rPr>
                <w:rFonts w:hint="eastAsia" w:ascii="宋体" w:hAnsi="宋体" w:eastAsia="宋体" w:cs="宋体"/>
                <w:kern w:val="2"/>
                <w:sz w:val="21"/>
                <w:szCs w:val="21"/>
              </w:rPr>
              <w:t>由于罩棚支柱等承重结构出现严重裂纹，罩棚的基础出现松动或者严重下陷，超限车辆向罩棚行驶、进入加油站的车辆行进路线偏差均可能导致坍塌事故的发生。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0" w:type="dxa"/>
            <w:vMerge w:val="continue"/>
          </w:tcPr>
          <w:p>
            <w:pPr>
              <w:keepNext w:val="0"/>
              <w:keepLines w:val="0"/>
              <w:suppressLineNumbers w:val="0"/>
              <w:spacing w:before="0" w:beforeAutospacing="0" w:after="120" w:afterAutospacing="0"/>
              <w:ind w:left="440" w:leftChars="200" w:right="0" w:firstLine="480"/>
              <w:rPr>
                <w:rFonts w:hint="eastAsia" w:ascii="宋体" w:hAnsi="宋体" w:eastAsia="宋体" w:cs="宋体"/>
                <w:bCs/>
                <w:kern w:val="2"/>
                <w:sz w:val="21"/>
                <w:szCs w:val="21"/>
              </w:rPr>
            </w:pPr>
          </w:p>
        </w:tc>
        <w:tc>
          <w:tcPr>
            <w:tcW w:w="8430" w:type="dxa"/>
          </w:tcPr>
          <w:p>
            <w:pPr>
              <w:keepNext w:val="0"/>
              <w:keepLines w:val="0"/>
              <w:suppressLineNumbers w:val="0"/>
              <w:spacing w:before="0" w:beforeAutospacing="0" w:after="0" w:afterAutospacing="0" w:line="276" w:lineRule="auto"/>
              <w:ind w:left="0" w:right="0"/>
              <w:rPr>
                <w:rFonts w:hint="eastAsia" w:ascii="宋体" w:hAnsi="宋体" w:eastAsia="宋体" w:cs="宋体"/>
                <w:kern w:val="2"/>
                <w:sz w:val="21"/>
                <w:szCs w:val="21"/>
              </w:rPr>
            </w:pPr>
            <w:r>
              <w:rPr>
                <w:rFonts w:hint="eastAsia" w:ascii="宋体" w:hAnsi="宋体" w:eastAsia="宋体" w:cs="宋体"/>
                <w:kern w:val="2"/>
                <w:sz w:val="21"/>
                <w:szCs w:val="21"/>
              </w:rPr>
              <w:t>8.高温危害：</w:t>
            </w:r>
          </w:p>
          <w:p>
            <w:pPr>
              <w:keepNext w:val="0"/>
              <w:keepLines w:val="0"/>
              <w:suppressLineNumbers w:val="0"/>
              <w:spacing w:before="0" w:beforeAutospacing="0" w:after="0" w:afterAutospacing="0" w:line="276" w:lineRule="auto"/>
              <w:ind w:left="0" w:right="0" w:firstLine="420" w:firstLineChars="200"/>
              <w:rPr>
                <w:rFonts w:hint="eastAsia" w:ascii="宋体" w:hAnsi="宋体" w:eastAsia="宋体" w:cs="宋体"/>
                <w:kern w:val="2"/>
                <w:sz w:val="21"/>
                <w:szCs w:val="21"/>
              </w:rPr>
            </w:pPr>
            <w:r>
              <w:rPr>
                <w:rFonts w:hint="eastAsia" w:ascii="宋体" w:hAnsi="宋体" w:eastAsia="宋体" w:cs="宋体"/>
                <w:kern w:val="2"/>
                <w:sz w:val="21"/>
                <w:szCs w:val="21"/>
              </w:rPr>
              <w:t>加油作业时，当地夏季室外温度较高，作业人员可能长时间在室外高温环境中，导致高温中暑。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0" w:type="dxa"/>
            <w:vMerge w:val="restart"/>
            <w:vAlign w:val="center"/>
          </w:tcPr>
          <w:p>
            <w:pPr>
              <w:pStyle w:val="36"/>
              <w:keepNext w:val="0"/>
              <w:keepLines w:val="0"/>
              <w:widowControl w:val="0"/>
              <w:suppressLineNumbers w:val="0"/>
              <w:spacing w:before="0" w:beforeAutospacing="0" w:after="0" w:afterAutospacing="0" w:line="240"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三</w:t>
            </w:r>
          </w:p>
          <w:p>
            <w:pPr>
              <w:pStyle w:val="36"/>
              <w:keepNext w:val="0"/>
              <w:keepLines w:val="0"/>
              <w:widowControl w:val="0"/>
              <w:suppressLineNumbers w:val="0"/>
              <w:spacing w:before="0" w:beforeAutospacing="0" w:after="0" w:afterAutospacing="0" w:line="240"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p>
            <w:pPr>
              <w:pStyle w:val="36"/>
              <w:keepNext w:val="0"/>
              <w:keepLines w:val="0"/>
              <w:widowControl w:val="0"/>
              <w:suppressLineNumbers w:val="0"/>
              <w:spacing w:before="0" w:beforeAutospacing="0" w:after="0" w:afterAutospacing="0" w:line="240"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油</w:t>
            </w:r>
          </w:p>
          <w:p>
            <w:pPr>
              <w:pStyle w:val="36"/>
              <w:keepNext w:val="0"/>
              <w:keepLines w:val="0"/>
              <w:widowControl w:val="0"/>
              <w:suppressLineNumbers w:val="0"/>
              <w:spacing w:before="0" w:beforeAutospacing="0" w:after="0" w:afterAutospacing="0" w:line="240"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罐</w:t>
            </w:r>
          </w:p>
          <w:p>
            <w:pPr>
              <w:pStyle w:val="36"/>
              <w:keepNext w:val="0"/>
              <w:keepLines w:val="0"/>
              <w:widowControl w:val="0"/>
              <w:suppressLineNumbers w:val="0"/>
              <w:spacing w:before="0" w:beforeAutospacing="0" w:after="0" w:afterAutospacing="0" w:line="240"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区</w:t>
            </w:r>
          </w:p>
        </w:tc>
        <w:tc>
          <w:tcPr>
            <w:tcW w:w="8430" w:type="dxa"/>
          </w:tcPr>
          <w:p>
            <w:pPr>
              <w:pStyle w:val="36"/>
              <w:keepNext w:val="0"/>
              <w:keepLines w:val="0"/>
              <w:widowControl w:val="0"/>
              <w:suppressLineNumbers w:val="0"/>
              <w:spacing w:before="0" w:beforeAutospacing="0" w:after="0" w:afterAutospacing="0" w:line="240" w:lineRule="auto"/>
              <w:ind w:left="0" w:right="0"/>
              <w:jc w:val="both"/>
              <w:rPr>
                <w:rFonts w:hint="eastAsia" w:ascii="宋体" w:hAnsi="宋体" w:eastAsia="宋体" w:cs="宋体"/>
                <w:kern w:val="2"/>
                <w:sz w:val="21"/>
                <w:szCs w:val="21"/>
              </w:rPr>
            </w:pPr>
            <w:r>
              <w:rPr>
                <w:rFonts w:hint="eastAsia" w:ascii="宋体" w:hAnsi="宋体" w:eastAsia="宋体" w:cs="宋体"/>
                <w:kern w:val="2"/>
                <w:sz w:val="21"/>
                <w:szCs w:val="21"/>
              </w:rPr>
              <w:t>1.火灾和爆炸：</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汽油极易挥发，其蒸气与空气可形成爆炸性混合物，遇明火、高热、雷击、静电火花极易燃烧爆炸。汽油蒸气比空气重，能在较低处扩散到当远的地方，遇明火会引着回燃。</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引起火灾、爆炸的主要原因有：</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（1）易燃液体的存在：油品泄漏</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油罐腐蚀产生泄漏，汽油沸点比较低，极易挥发，从人孔井溢出，与空气混合则形成爆炸性气体，遇明火、高热会着火、爆炸。</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卸油时，若高液位报警器、机械防溢阀等故障、失效使卸油过多造成冒罐；油罐清洗、检修时，未对罐进行吹扫工作，罐内有残余油品，操作人员进入油罐内作业。</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（2）点火源</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①明火：油罐区检修时，动火作业。</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②铁器撞击、摩擦产生的火花：人孔井采用能产生火花的铁盖板，油罐区接地不良等。</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③进入装卸场地的槽车，其尾气管带出的火花和高温尾气也能引燃可燃气体。④雷击产生的高热或雷电电弧。</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④罐区内：人员违章吸烟或违章使用非防爆电器。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0" w:type="dxa"/>
            <w:vMerge w:val="continue"/>
            <w:vAlign w:val="center"/>
          </w:tcPr>
          <w:p>
            <w:pPr>
              <w:keepNext w:val="0"/>
              <w:keepLines w:val="0"/>
              <w:suppressLineNumbers w:val="0"/>
              <w:spacing w:before="0" w:beforeAutospacing="0" w:after="120" w:afterAutospacing="0"/>
              <w:ind w:left="0" w:right="0"/>
              <w:rPr>
                <w:rFonts w:hint="eastAsia" w:ascii="宋体" w:hAnsi="宋体" w:eastAsia="宋体" w:cs="宋体"/>
                <w:bCs/>
                <w:kern w:val="2"/>
                <w:sz w:val="21"/>
                <w:szCs w:val="21"/>
              </w:rPr>
            </w:pPr>
          </w:p>
        </w:tc>
        <w:tc>
          <w:tcPr>
            <w:tcW w:w="8430" w:type="dxa"/>
          </w:tcPr>
          <w:p>
            <w:pPr>
              <w:pStyle w:val="36"/>
              <w:keepNext w:val="0"/>
              <w:keepLines w:val="0"/>
              <w:widowControl w:val="0"/>
              <w:suppressLineNumbers w:val="0"/>
              <w:spacing w:before="0" w:beforeAutospacing="0" w:after="0" w:afterAutospacing="0" w:line="240" w:lineRule="auto"/>
              <w:ind w:left="0" w:right="0"/>
              <w:jc w:val="both"/>
              <w:rPr>
                <w:rFonts w:hint="eastAsia" w:ascii="宋体" w:hAnsi="宋体" w:eastAsia="宋体" w:cs="宋体"/>
                <w:kern w:val="2"/>
                <w:sz w:val="21"/>
                <w:szCs w:val="21"/>
              </w:rPr>
            </w:pPr>
            <w:r>
              <w:rPr>
                <w:rFonts w:hint="eastAsia" w:ascii="宋体" w:hAnsi="宋体" w:eastAsia="宋体" w:cs="宋体"/>
                <w:kern w:val="2"/>
                <w:sz w:val="21"/>
                <w:szCs w:val="21"/>
              </w:rPr>
              <w:t>2.中毒和窒息伤害：</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按《职业性接触毒物危害程度分级》，汽油、柴油均属轻度危害物质。</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汽油引起的急性中毒：对中枢神经系统有麻醉作用。轻度中毒症状其蒸气可引起眼及上呼吸道刺激症状，如浓度过高，几分钟即可引起呼吸困难、紫绀等缺氧症状。汽油蒸气比空气重，能在较低处扩散到相当远的地方。</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柴油可引起接触性皮炎、油性痤疮。吸入其雾滴或液体呛入可引起吸入性肺炎。能经胎盘进入胎儿血中。柴油废气可引起眼、鼻刺激症状，头晕及头痛。</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中毒事故发生条件：油罐因腐蚀产生泄漏，加油站操作工误吸入油品蒸气；工艺设计不合理导致油品泄漏；油罐检修、清洗时，油罐未进行吹扫，也没有进行气体浓度分析检测，操作人员贸然进入油罐内作业无人监护，罐内油品未清除干净，操作人员吸入油品蒸气产生中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0" w:type="dxa"/>
            <w:vMerge w:val="continue"/>
            <w:vAlign w:val="center"/>
          </w:tcPr>
          <w:p>
            <w:pPr>
              <w:keepNext w:val="0"/>
              <w:keepLines w:val="0"/>
              <w:suppressLineNumbers w:val="0"/>
              <w:spacing w:before="0" w:beforeAutospacing="0" w:after="120" w:afterAutospacing="0"/>
              <w:ind w:left="0" w:right="0"/>
              <w:rPr>
                <w:rFonts w:hint="eastAsia" w:ascii="宋体" w:hAnsi="宋体" w:eastAsia="宋体" w:cs="宋体"/>
                <w:bCs/>
                <w:kern w:val="2"/>
                <w:sz w:val="21"/>
                <w:szCs w:val="21"/>
              </w:rPr>
            </w:pPr>
          </w:p>
        </w:tc>
        <w:tc>
          <w:tcPr>
            <w:tcW w:w="8430" w:type="dxa"/>
          </w:tcPr>
          <w:p>
            <w:pPr>
              <w:pStyle w:val="36"/>
              <w:keepNext w:val="0"/>
              <w:keepLines w:val="0"/>
              <w:widowControl w:val="0"/>
              <w:suppressLineNumbers w:val="0"/>
              <w:spacing w:before="0" w:beforeAutospacing="0" w:after="0" w:afterAutospacing="0" w:line="240" w:lineRule="auto"/>
              <w:ind w:left="0" w:right="0"/>
              <w:jc w:val="both"/>
              <w:rPr>
                <w:rFonts w:hint="eastAsia" w:ascii="宋体" w:hAnsi="宋体" w:eastAsia="宋体" w:cs="宋体"/>
                <w:kern w:val="2"/>
                <w:sz w:val="21"/>
                <w:szCs w:val="21"/>
              </w:rPr>
            </w:pPr>
            <w:r>
              <w:rPr>
                <w:rFonts w:hint="eastAsia" w:ascii="宋体" w:hAnsi="宋体" w:eastAsia="宋体" w:cs="宋体"/>
                <w:kern w:val="2"/>
                <w:sz w:val="21"/>
                <w:szCs w:val="21"/>
              </w:rPr>
              <w:t>3.静电危害及雷电危害分析</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（1）雷电危害</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雷电的破坏作用主要为三种：直接雷击破坏、感应雷破坏和雷电波侵入破坏。雷电的危害主要有以下四方面：</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当遇到雷雨天气时，加油站内建、构筑物、油罐、输油管道、电气设备和人员均可能受到雷击伤害。产生雷电危害的原因有：</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1）防雷装置的选型不合理，包括高度、型号、直径等方面，建筑、设备、设施不在防雷保护范围以内。</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2）防雷装置设计不合理。建、构筑物防雷装置有无防反击、侧击等技术措施，电气系统未采取防雷电波侵入措施等。</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3）防雷装置安装存在缺陷。如引下线焊接质量差。</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4）未定期对防雷装置进行定期预防性检查和检测，导致接闪器损坏、接地线生锈、导电能力下降等。</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5）防雷装置失效，防雷接地电阻不符合要求。</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6）人缺乏防雷的基本知识。</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（2）静电危害</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静电放电是导致发生火灾爆炸事故的重要原因之一。下列几种情况下易出现静电：</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1）物料在灌装、管道输送、汽车运输等过程中，由于在管道、储罐、槽车中摩擦、冲击和激溅，尤其在压力大、流速快、摩擦面积大、器壁粗糙等情况下或设备管道静电接地不良，静电荷迅速增加和大量积聚，极易产生静电放电。</w:t>
            </w:r>
          </w:p>
          <w:p>
            <w:pPr>
              <w:pStyle w:val="36"/>
              <w:keepNext w:val="0"/>
              <w:keepLines w:val="0"/>
              <w:widowControl w:val="0"/>
              <w:suppressLineNumbers w:val="0"/>
              <w:spacing w:before="0" w:beforeAutospacing="0" w:after="0" w:afterAutospacing="0" w:line="240" w:lineRule="auto"/>
              <w:ind w:left="0" w:right="0"/>
              <w:jc w:val="both"/>
              <w:rPr>
                <w:rFonts w:hint="eastAsia" w:ascii="宋体" w:hAnsi="宋体" w:eastAsia="宋体" w:cs="宋体"/>
                <w:kern w:val="2"/>
                <w:sz w:val="21"/>
                <w:szCs w:val="21"/>
              </w:rPr>
            </w:pPr>
            <w:r>
              <w:rPr>
                <w:rFonts w:hint="eastAsia" w:ascii="宋体" w:hAnsi="宋体" w:eastAsia="宋体" w:cs="宋体"/>
                <w:kern w:val="2"/>
                <w:sz w:val="21"/>
                <w:szCs w:val="21"/>
              </w:rPr>
              <w:t>2）禁火区域内工作人员穿化纤服装，活动时易产生静电火花。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0" w:type="dxa"/>
            <w:vMerge w:val="continue"/>
            <w:vAlign w:val="center"/>
          </w:tcPr>
          <w:p>
            <w:pPr>
              <w:keepNext w:val="0"/>
              <w:keepLines w:val="0"/>
              <w:suppressLineNumbers w:val="0"/>
              <w:spacing w:before="0" w:beforeAutospacing="0" w:after="120" w:afterAutospacing="0"/>
              <w:ind w:left="0" w:right="0"/>
              <w:rPr>
                <w:rFonts w:hint="eastAsia" w:ascii="宋体" w:hAnsi="宋体" w:eastAsia="宋体" w:cs="宋体"/>
                <w:bCs/>
                <w:kern w:val="2"/>
                <w:sz w:val="21"/>
                <w:szCs w:val="21"/>
              </w:rPr>
            </w:pPr>
          </w:p>
        </w:tc>
        <w:tc>
          <w:tcPr>
            <w:tcW w:w="8430" w:type="dxa"/>
          </w:tcPr>
          <w:p>
            <w:pPr>
              <w:pStyle w:val="36"/>
              <w:keepNext w:val="0"/>
              <w:keepLines w:val="0"/>
              <w:widowControl w:val="0"/>
              <w:suppressLineNumbers w:val="0"/>
              <w:spacing w:before="0" w:beforeAutospacing="0" w:after="0" w:afterAutospacing="0" w:line="240" w:lineRule="auto"/>
              <w:ind w:left="0" w:right="0"/>
              <w:jc w:val="both"/>
              <w:rPr>
                <w:rFonts w:hint="eastAsia" w:ascii="宋体" w:hAnsi="宋体" w:eastAsia="宋体" w:cs="宋体"/>
                <w:kern w:val="2"/>
                <w:sz w:val="21"/>
                <w:szCs w:val="21"/>
              </w:rPr>
            </w:pPr>
            <w:r>
              <w:rPr>
                <w:rFonts w:hint="eastAsia" w:ascii="宋体" w:hAnsi="宋体" w:eastAsia="宋体" w:cs="宋体"/>
                <w:kern w:val="2"/>
                <w:sz w:val="21"/>
                <w:szCs w:val="21"/>
              </w:rPr>
              <w:t>4.车辆伤害：</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油罐车进入站内如果无人指挥交通，站内道路放置了妨碍交通和视线的物品，司机驾驶失误等都有可能发生车辆伤害。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0" w:type="dxa"/>
            <w:vMerge w:val="continue"/>
          </w:tcPr>
          <w:p>
            <w:pPr>
              <w:keepNext w:val="0"/>
              <w:keepLines w:val="0"/>
              <w:suppressLineNumbers w:val="0"/>
              <w:spacing w:before="0" w:beforeAutospacing="0" w:after="120" w:afterAutospacing="0"/>
              <w:ind w:left="440" w:leftChars="200" w:right="0" w:firstLine="480"/>
              <w:rPr>
                <w:rFonts w:hint="eastAsia" w:ascii="宋体" w:hAnsi="宋体" w:eastAsia="宋体" w:cs="宋体"/>
                <w:bCs/>
                <w:kern w:val="2"/>
                <w:sz w:val="21"/>
                <w:szCs w:val="21"/>
              </w:rPr>
            </w:pPr>
          </w:p>
        </w:tc>
        <w:tc>
          <w:tcPr>
            <w:tcW w:w="8430" w:type="dxa"/>
          </w:tcPr>
          <w:p>
            <w:pPr>
              <w:keepNext w:val="0"/>
              <w:keepLines w:val="0"/>
              <w:suppressLineNumbers w:val="0"/>
              <w:spacing w:before="0" w:beforeAutospacing="0" w:after="0" w:afterAutospacing="0" w:line="276" w:lineRule="auto"/>
              <w:ind w:left="0" w:right="0"/>
              <w:rPr>
                <w:rFonts w:hint="eastAsia" w:ascii="宋体" w:hAnsi="宋体" w:eastAsia="宋体" w:cs="宋体"/>
                <w:kern w:val="2"/>
                <w:sz w:val="21"/>
                <w:szCs w:val="21"/>
              </w:rPr>
            </w:pPr>
            <w:r>
              <w:rPr>
                <w:rFonts w:hint="eastAsia" w:ascii="宋体" w:hAnsi="宋体" w:eastAsia="宋体" w:cs="宋体"/>
                <w:kern w:val="2"/>
                <w:sz w:val="21"/>
                <w:szCs w:val="21"/>
              </w:rPr>
              <w:t>5.高温危害：</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储罐定期人工检尺作业时或储罐清理、操作井内设备、管道维修时，当地夏季室外温度较高，作业人员可能长时间在室外高温环境中，导致高温中暑。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0" w:type="dxa"/>
            <w:vMerge w:val="restart"/>
            <w:vAlign w:val="center"/>
          </w:tcPr>
          <w:p>
            <w:pPr>
              <w:pStyle w:val="36"/>
              <w:keepNext w:val="0"/>
              <w:keepLines w:val="0"/>
              <w:widowControl w:val="0"/>
              <w:suppressLineNumbers w:val="0"/>
              <w:spacing w:before="0" w:beforeAutospacing="0" w:after="0" w:afterAutospacing="0" w:line="240"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四</w:t>
            </w:r>
          </w:p>
          <w:p>
            <w:pPr>
              <w:pStyle w:val="36"/>
              <w:keepNext w:val="0"/>
              <w:keepLines w:val="0"/>
              <w:widowControl w:val="0"/>
              <w:suppressLineNumbers w:val="0"/>
              <w:spacing w:before="0" w:beforeAutospacing="0" w:after="0" w:afterAutospacing="0" w:line="240"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p>
            <w:pPr>
              <w:pStyle w:val="36"/>
              <w:keepNext w:val="0"/>
              <w:keepLines w:val="0"/>
              <w:widowControl w:val="0"/>
              <w:suppressLineNumbers w:val="0"/>
              <w:spacing w:before="0" w:beforeAutospacing="0" w:after="0" w:afterAutospacing="0" w:line="240"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配</w:t>
            </w:r>
          </w:p>
          <w:p>
            <w:pPr>
              <w:pStyle w:val="36"/>
              <w:keepNext w:val="0"/>
              <w:keepLines w:val="0"/>
              <w:widowControl w:val="0"/>
              <w:suppressLineNumbers w:val="0"/>
              <w:spacing w:before="0" w:beforeAutospacing="0" w:after="0" w:afterAutospacing="0" w:line="240"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电</w:t>
            </w:r>
          </w:p>
          <w:p>
            <w:pPr>
              <w:pStyle w:val="36"/>
              <w:keepNext w:val="0"/>
              <w:keepLines w:val="0"/>
              <w:widowControl w:val="0"/>
              <w:suppressLineNumbers w:val="0"/>
              <w:spacing w:before="0" w:beforeAutospacing="0" w:after="0" w:afterAutospacing="0" w:line="240" w:lineRule="auto"/>
              <w:ind w:left="0" w:right="0"/>
              <w:jc w:val="center"/>
              <w:rPr>
                <w:rFonts w:hint="eastAsia" w:ascii="宋体" w:hAnsi="宋体" w:eastAsia="宋体" w:cs="宋体"/>
                <w:kern w:val="2"/>
                <w:sz w:val="21"/>
                <w:szCs w:val="21"/>
                <w:lang w:eastAsia="zh-CN"/>
              </w:rPr>
            </w:pPr>
            <w:r>
              <w:rPr>
                <w:rFonts w:hint="eastAsia" w:ascii="宋体" w:hAnsi="宋体" w:eastAsia="宋体" w:cs="宋体"/>
                <w:kern w:val="2"/>
                <w:sz w:val="21"/>
                <w:szCs w:val="21"/>
                <w:lang w:eastAsia="zh-CN"/>
              </w:rPr>
              <w:t>房</w:t>
            </w:r>
          </w:p>
        </w:tc>
        <w:tc>
          <w:tcPr>
            <w:tcW w:w="8430" w:type="dxa"/>
          </w:tcPr>
          <w:p>
            <w:pPr>
              <w:pStyle w:val="36"/>
              <w:keepNext w:val="0"/>
              <w:keepLines w:val="0"/>
              <w:widowControl w:val="0"/>
              <w:suppressLineNumbers w:val="0"/>
              <w:spacing w:before="0" w:beforeAutospacing="0" w:after="0" w:afterAutospacing="0" w:line="240" w:lineRule="auto"/>
              <w:ind w:left="0" w:right="0"/>
              <w:jc w:val="both"/>
              <w:rPr>
                <w:rFonts w:hint="eastAsia" w:ascii="宋体" w:hAnsi="宋体" w:eastAsia="宋体" w:cs="宋体"/>
                <w:kern w:val="2"/>
                <w:sz w:val="21"/>
                <w:szCs w:val="21"/>
              </w:rPr>
            </w:pPr>
            <w:r>
              <w:rPr>
                <w:rFonts w:hint="eastAsia" w:ascii="宋体" w:hAnsi="宋体" w:eastAsia="宋体" w:cs="宋体"/>
                <w:kern w:val="2"/>
                <w:sz w:val="21"/>
                <w:szCs w:val="21"/>
              </w:rPr>
              <w:t>1.触电：</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配电间发生触电事故的原因有：灯具、电缆、电线等电器设施因电气故障、误操作、过负荷、老化失修、接地不良、雷击等原因，可能直接造成人身触电伤害。</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预防措施：带电作业或设备维修时应严格落实“挂牌”作业制度；非电工人员不得从事电工作业；责任人员应定时检查电气设备；将电气设备的外壳良好接地；避免因漏电而产生触电事故。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20" w:type="dxa"/>
            <w:vMerge w:val="continue"/>
          </w:tcPr>
          <w:p>
            <w:pPr>
              <w:keepNext w:val="0"/>
              <w:keepLines w:val="0"/>
              <w:suppressLineNumbers w:val="0"/>
              <w:spacing w:before="0" w:beforeAutospacing="0" w:after="120" w:afterAutospacing="0"/>
              <w:ind w:left="440" w:leftChars="200" w:right="0" w:firstLine="480"/>
              <w:rPr>
                <w:rFonts w:hint="eastAsia" w:ascii="宋体" w:hAnsi="宋体" w:eastAsia="宋体" w:cs="宋体"/>
                <w:bCs/>
                <w:kern w:val="2"/>
                <w:sz w:val="21"/>
                <w:szCs w:val="21"/>
              </w:rPr>
            </w:pPr>
          </w:p>
        </w:tc>
        <w:tc>
          <w:tcPr>
            <w:tcW w:w="8430" w:type="dxa"/>
          </w:tcPr>
          <w:p>
            <w:pPr>
              <w:pStyle w:val="36"/>
              <w:keepNext w:val="0"/>
              <w:keepLines w:val="0"/>
              <w:widowControl w:val="0"/>
              <w:suppressLineNumbers w:val="0"/>
              <w:spacing w:before="0" w:beforeAutospacing="0" w:after="0" w:afterAutospacing="0" w:line="240" w:lineRule="auto"/>
              <w:ind w:left="0" w:right="0"/>
              <w:jc w:val="both"/>
              <w:rPr>
                <w:rFonts w:hint="eastAsia" w:ascii="宋体" w:hAnsi="宋体" w:eastAsia="宋体" w:cs="宋体"/>
                <w:kern w:val="2"/>
                <w:sz w:val="21"/>
                <w:szCs w:val="21"/>
              </w:rPr>
            </w:pPr>
            <w:r>
              <w:rPr>
                <w:rFonts w:hint="eastAsia" w:ascii="宋体" w:hAnsi="宋体" w:eastAsia="宋体" w:cs="宋体"/>
                <w:kern w:val="2"/>
                <w:sz w:val="21"/>
                <w:szCs w:val="21"/>
              </w:rPr>
              <w:t>2.火灾：</w:t>
            </w:r>
          </w:p>
          <w:p>
            <w:pPr>
              <w:pStyle w:val="36"/>
              <w:keepNext w:val="0"/>
              <w:keepLines w:val="0"/>
              <w:widowControl w:val="0"/>
              <w:suppressLineNumbers w:val="0"/>
              <w:spacing w:before="0" w:beforeAutospacing="0" w:after="0" w:afterAutospacing="0" w:line="240" w:lineRule="auto"/>
              <w:ind w:left="0" w:right="0" w:firstLine="420" w:firstLineChars="200"/>
              <w:jc w:val="both"/>
              <w:rPr>
                <w:rFonts w:hint="eastAsia" w:ascii="宋体" w:hAnsi="宋体" w:eastAsia="宋体" w:cs="宋体"/>
                <w:kern w:val="2"/>
                <w:sz w:val="21"/>
                <w:szCs w:val="21"/>
              </w:rPr>
            </w:pPr>
            <w:r>
              <w:rPr>
                <w:rFonts w:hint="eastAsia" w:ascii="宋体" w:hAnsi="宋体" w:eastAsia="宋体" w:cs="宋体"/>
                <w:kern w:val="2"/>
                <w:sz w:val="21"/>
                <w:szCs w:val="21"/>
              </w:rPr>
              <w:t>电气线路往往因短路、过载和接触电阻过大等原因产生电火花、电弧，或因电线、电缆达到危险高温而发生火灾。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20" w:type="dxa"/>
            <w:vMerge w:val="restart"/>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bCs/>
                <w:kern w:val="2"/>
                <w:sz w:val="21"/>
                <w:szCs w:val="21"/>
              </w:rPr>
            </w:pPr>
            <w:r>
              <w:rPr>
                <w:rFonts w:hint="eastAsia" w:ascii="宋体" w:hAnsi="宋体" w:eastAsia="宋体" w:cs="宋体"/>
                <w:bCs/>
                <w:kern w:val="2"/>
                <w:sz w:val="21"/>
                <w:szCs w:val="21"/>
              </w:rPr>
              <w:t>五、</w:t>
            </w:r>
          </w:p>
          <w:p>
            <w:pPr>
              <w:keepNext w:val="0"/>
              <w:keepLines w:val="0"/>
              <w:suppressLineNumbers w:val="0"/>
              <w:spacing w:before="0" w:beforeAutospacing="0" w:after="0" w:afterAutospacing="0" w:line="276" w:lineRule="auto"/>
              <w:ind w:left="0" w:right="0"/>
              <w:jc w:val="center"/>
              <w:rPr>
                <w:rFonts w:hint="eastAsia" w:ascii="宋体" w:hAnsi="宋体" w:eastAsia="宋体" w:cs="宋体"/>
                <w:bCs/>
                <w:kern w:val="2"/>
                <w:sz w:val="21"/>
                <w:szCs w:val="21"/>
              </w:rPr>
            </w:pPr>
            <w:r>
              <w:rPr>
                <w:rFonts w:hint="eastAsia" w:ascii="宋体" w:hAnsi="宋体" w:eastAsia="宋体" w:cs="宋体"/>
                <w:bCs/>
                <w:kern w:val="2"/>
                <w:sz w:val="21"/>
                <w:szCs w:val="21"/>
              </w:rPr>
              <w:t>站房、休息室、办公室</w:t>
            </w:r>
          </w:p>
        </w:tc>
        <w:tc>
          <w:tcPr>
            <w:tcW w:w="8430" w:type="dxa"/>
            <w:vAlign w:val="center"/>
          </w:tcPr>
          <w:p>
            <w:pPr>
              <w:keepNext w:val="0"/>
              <w:keepLines w:val="0"/>
              <w:suppressLineNumbers w:val="0"/>
              <w:spacing w:before="0" w:beforeAutospacing="0" w:after="0" w:afterAutospacing="0" w:line="276" w:lineRule="auto"/>
              <w:ind w:left="0" w:right="0"/>
              <w:rPr>
                <w:rFonts w:hint="eastAsia" w:ascii="宋体" w:hAnsi="宋体" w:eastAsia="宋体" w:cs="宋体"/>
                <w:kern w:val="2"/>
                <w:sz w:val="21"/>
                <w:szCs w:val="21"/>
              </w:rPr>
            </w:pPr>
            <w:r>
              <w:rPr>
                <w:rFonts w:hint="eastAsia" w:ascii="宋体" w:hAnsi="宋体" w:eastAsia="宋体" w:cs="宋体"/>
                <w:kern w:val="2"/>
                <w:sz w:val="21"/>
                <w:szCs w:val="21"/>
              </w:rPr>
              <w:t>1.火灾：</w:t>
            </w:r>
          </w:p>
          <w:p>
            <w:pPr>
              <w:keepNext w:val="0"/>
              <w:keepLines w:val="0"/>
              <w:suppressLineNumbers w:val="0"/>
              <w:spacing w:before="0" w:beforeAutospacing="0" w:after="0" w:afterAutospacing="0" w:line="276" w:lineRule="auto"/>
              <w:ind w:left="0" w:right="0" w:firstLine="420" w:firstLineChars="200"/>
              <w:rPr>
                <w:rFonts w:hint="eastAsia" w:ascii="宋体" w:hAnsi="宋体" w:eastAsia="宋体" w:cs="宋体"/>
                <w:bCs/>
                <w:kern w:val="2"/>
                <w:sz w:val="21"/>
                <w:szCs w:val="21"/>
              </w:rPr>
            </w:pPr>
            <w:r>
              <w:rPr>
                <w:rFonts w:hint="eastAsia" w:ascii="宋体" w:hAnsi="宋体" w:eastAsia="宋体" w:cs="宋体"/>
                <w:kern w:val="2"/>
                <w:sz w:val="21"/>
                <w:szCs w:val="21"/>
              </w:rPr>
              <w:t>电气线路往往因短路、过载和接触电阻过大等原因产生电火花、电弧，或因电线、电缆达到危险高温而发生火灾。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20" w:type="dxa"/>
            <w:vMerge w:val="continue"/>
          </w:tcPr>
          <w:p>
            <w:pPr>
              <w:keepNext w:val="0"/>
              <w:keepLines w:val="0"/>
              <w:suppressLineNumbers w:val="0"/>
              <w:spacing w:before="0" w:beforeAutospacing="0" w:after="120" w:afterAutospacing="0"/>
              <w:ind w:left="440" w:leftChars="200" w:right="0" w:firstLine="480"/>
              <w:rPr>
                <w:rFonts w:hint="eastAsia" w:ascii="宋体" w:hAnsi="宋体" w:eastAsia="宋体" w:cs="宋体"/>
                <w:bCs/>
                <w:kern w:val="2"/>
                <w:sz w:val="21"/>
                <w:szCs w:val="21"/>
              </w:rPr>
            </w:pPr>
          </w:p>
        </w:tc>
        <w:tc>
          <w:tcPr>
            <w:tcW w:w="8430" w:type="dxa"/>
            <w:vAlign w:val="center"/>
          </w:tcPr>
          <w:p>
            <w:pPr>
              <w:keepNext w:val="0"/>
              <w:keepLines w:val="0"/>
              <w:suppressLineNumbers w:val="0"/>
              <w:spacing w:before="0" w:beforeAutospacing="0" w:after="0" w:afterAutospacing="0" w:line="276" w:lineRule="auto"/>
              <w:ind w:left="0" w:right="0"/>
              <w:rPr>
                <w:rFonts w:hint="eastAsia" w:ascii="宋体" w:hAnsi="宋体" w:eastAsia="宋体" w:cs="宋体"/>
                <w:kern w:val="2"/>
                <w:sz w:val="21"/>
                <w:szCs w:val="21"/>
              </w:rPr>
            </w:pPr>
            <w:r>
              <w:rPr>
                <w:rFonts w:hint="eastAsia" w:ascii="宋体" w:hAnsi="宋体" w:eastAsia="宋体" w:cs="宋体"/>
                <w:kern w:val="2"/>
                <w:sz w:val="21"/>
                <w:szCs w:val="21"/>
              </w:rPr>
              <w:t>2.触电：</w:t>
            </w:r>
          </w:p>
          <w:p>
            <w:pPr>
              <w:pStyle w:val="36"/>
              <w:keepNext w:val="0"/>
              <w:keepLines w:val="0"/>
              <w:widowControl w:val="0"/>
              <w:suppressLineNumbers w:val="0"/>
              <w:spacing w:before="0" w:beforeAutospacing="0" w:after="0" w:afterAutospacing="0" w:line="240" w:lineRule="auto"/>
              <w:ind w:left="0" w:right="0"/>
              <w:jc w:val="both"/>
              <w:rPr>
                <w:rFonts w:hint="eastAsia" w:ascii="宋体" w:hAnsi="宋体" w:eastAsia="宋体" w:cs="宋体"/>
                <w:kern w:val="2"/>
                <w:sz w:val="21"/>
                <w:szCs w:val="21"/>
              </w:rPr>
            </w:pPr>
            <w:r>
              <w:rPr>
                <w:rFonts w:hint="eastAsia" w:ascii="宋体" w:hAnsi="宋体" w:eastAsia="宋体" w:cs="宋体"/>
                <w:kern w:val="2"/>
                <w:sz w:val="21"/>
                <w:szCs w:val="21"/>
              </w:rPr>
              <w:t>灯具、电线等电器设施因电气故障、误操作、过负荷、老化失修等原因，可能直接造成人身触电伤害。</w:t>
            </w:r>
          </w:p>
        </w:tc>
      </w:tr>
      <w:bookmarkEnd w:id="715"/>
    </w:tbl>
    <w:p>
      <w:pPr>
        <w:pStyle w:val="4"/>
        <w:spacing w:before="120" w:after="120" w:line="240" w:lineRule="auto"/>
        <w:ind w:firstLine="562" w:firstLineChars="200"/>
        <w:rPr>
          <w:rFonts w:hint="eastAsia" w:ascii="宋体" w:hAnsi="宋体" w:eastAsia="宋体" w:cs="宋体"/>
          <w:sz w:val="28"/>
          <w:szCs w:val="28"/>
        </w:rPr>
      </w:pPr>
      <w:bookmarkStart w:id="716" w:name="_Toc7928_WPSOffice_Level3"/>
      <w:bookmarkStart w:id="717" w:name="_Toc26835_WPSOffice_Level3"/>
      <w:r>
        <w:rPr>
          <w:rFonts w:hint="eastAsia" w:ascii="宋体" w:hAnsi="宋体" w:eastAsia="宋体" w:cs="宋体"/>
          <w:sz w:val="28"/>
          <w:szCs w:val="28"/>
        </w:rPr>
        <w:t>3.</w:t>
      </w:r>
      <w:r>
        <w:rPr>
          <w:rFonts w:hint="eastAsia" w:ascii="宋体" w:hAnsi="宋体" w:eastAsia="宋体" w:cs="宋体"/>
          <w:sz w:val="28"/>
          <w:szCs w:val="28"/>
          <w:lang w:val="en-US"/>
        </w:rPr>
        <w:t>1</w:t>
      </w:r>
      <w:r>
        <w:rPr>
          <w:rFonts w:hint="eastAsia" w:ascii="宋体" w:hAnsi="宋体" w:eastAsia="宋体" w:cs="宋体"/>
          <w:sz w:val="28"/>
          <w:szCs w:val="28"/>
        </w:rPr>
        <w:t>.</w:t>
      </w:r>
      <w:r>
        <w:rPr>
          <w:rFonts w:hint="eastAsia" w:ascii="宋体" w:hAnsi="宋体" w:eastAsia="宋体" w:cs="宋体"/>
          <w:sz w:val="28"/>
          <w:szCs w:val="28"/>
          <w:lang w:val="en-US"/>
        </w:rPr>
        <w:t xml:space="preserve">3 </w:t>
      </w:r>
      <w:r>
        <w:rPr>
          <w:rFonts w:hint="eastAsia" w:ascii="宋体" w:hAnsi="宋体" w:eastAsia="宋体" w:cs="宋体"/>
          <w:sz w:val="28"/>
          <w:szCs w:val="28"/>
        </w:rPr>
        <w:t>特殊作业过程及检维修过程中的危险有害因素辨识</w:t>
      </w:r>
      <w:bookmarkEnd w:id="716"/>
      <w:bookmarkEnd w:id="717"/>
    </w:p>
    <w:p>
      <w:pPr>
        <w:pageBreakBefore w:val="0"/>
        <w:widowControl w:val="0"/>
        <w:kinsoku/>
        <w:wordWrap/>
        <w:overflowPunct/>
        <w:topLinePunct w:val="0"/>
        <w:autoSpaceDE w:val="0"/>
        <w:autoSpaceDN w:val="0"/>
        <w:bidi w:val="0"/>
        <w:adjustRightInd/>
        <w:snapToGrid/>
        <w:spacing w:line="560" w:lineRule="exact"/>
        <w:ind w:firstLine="524" w:firstLineChars="200"/>
        <w:jc w:val="both"/>
        <w:textAlignment w:val="auto"/>
        <w:rPr>
          <w:rFonts w:hint="eastAsia" w:ascii="宋体" w:hAnsi="宋体" w:eastAsia="宋体" w:cs="宋体"/>
          <w:spacing w:val="-9"/>
          <w:sz w:val="28"/>
          <w:szCs w:val="28"/>
          <w:lang w:val="zh-CN" w:eastAsia="zh-CN" w:bidi="zh-CN"/>
        </w:rPr>
      </w:pPr>
      <w:r>
        <w:rPr>
          <w:rFonts w:hint="eastAsia" w:ascii="宋体" w:hAnsi="宋体" w:eastAsia="宋体" w:cs="宋体"/>
          <w:spacing w:val="-9"/>
          <w:sz w:val="28"/>
          <w:szCs w:val="28"/>
          <w:lang w:val="zh-CN" w:eastAsia="zh-CN" w:bidi="zh-CN"/>
        </w:rPr>
        <w:t>该加油站建成投产后，在经营过程中存在的特殊作业过程有：动火作业、有限空间作业、高处作业、临时用电作业、动土作业、断路作业等，特殊作业均出现在检维修过程中，其存在的危险性分析如下：</w:t>
      </w:r>
    </w:p>
    <w:p>
      <w:pPr>
        <w:pageBreakBefore w:val="0"/>
        <w:widowControl w:val="0"/>
        <w:kinsoku/>
        <w:wordWrap/>
        <w:overflowPunct/>
        <w:topLinePunct w:val="0"/>
        <w:autoSpaceDE w:val="0"/>
        <w:autoSpaceDN w:val="0"/>
        <w:bidi w:val="0"/>
        <w:adjustRightInd/>
        <w:snapToGrid/>
        <w:spacing w:line="560" w:lineRule="exact"/>
        <w:ind w:firstLine="524" w:firstLineChars="200"/>
        <w:jc w:val="both"/>
        <w:textAlignment w:val="auto"/>
        <w:rPr>
          <w:rFonts w:hint="eastAsia" w:ascii="宋体" w:hAnsi="宋体" w:eastAsia="宋体" w:cs="宋体"/>
          <w:spacing w:val="-9"/>
          <w:sz w:val="28"/>
          <w:szCs w:val="28"/>
          <w:lang w:val="zh-CN" w:eastAsia="zh-CN" w:bidi="zh-CN"/>
        </w:rPr>
      </w:pPr>
      <w:r>
        <w:rPr>
          <w:rFonts w:hint="eastAsia" w:ascii="宋体" w:hAnsi="宋体" w:eastAsia="宋体" w:cs="宋体"/>
          <w:spacing w:val="-9"/>
          <w:sz w:val="28"/>
          <w:szCs w:val="28"/>
          <w:lang w:val="zh-CN" w:eastAsia="zh-CN" w:bidi="zh-CN"/>
        </w:rPr>
        <w:t>1）在油罐区、加油区等处动火作业时，无人监护、未清除动火作业区域的易燃易爆物品，特殊动火时，未制订动火作业方案；未对动火作业进行分级，未办理动火作业票等可能会引发火灾、爆炸、触电等危险；</w:t>
      </w:r>
    </w:p>
    <w:p>
      <w:pPr>
        <w:pageBreakBefore w:val="0"/>
        <w:widowControl w:val="0"/>
        <w:kinsoku/>
        <w:wordWrap/>
        <w:overflowPunct/>
        <w:topLinePunct w:val="0"/>
        <w:autoSpaceDE w:val="0"/>
        <w:autoSpaceDN w:val="0"/>
        <w:bidi w:val="0"/>
        <w:adjustRightInd/>
        <w:snapToGrid/>
        <w:spacing w:line="560" w:lineRule="exact"/>
        <w:ind w:firstLine="524" w:firstLineChars="200"/>
        <w:jc w:val="both"/>
        <w:textAlignment w:val="auto"/>
        <w:rPr>
          <w:rFonts w:hint="eastAsia" w:ascii="宋体" w:hAnsi="宋体" w:eastAsia="宋体" w:cs="宋体"/>
          <w:spacing w:val="-9"/>
          <w:sz w:val="28"/>
          <w:szCs w:val="28"/>
          <w:lang w:val="zh-CN" w:eastAsia="zh-CN" w:bidi="zh-CN"/>
        </w:rPr>
      </w:pPr>
      <w:r>
        <w:rPr>
          <w:rFonts w:hint="eastAsia" w:ascii="宋体" w:hAnsi="宋体" w:eastAsia="宋体" w:cs="宋体"/>
          <w:spacing w:val="-9"/>
          <w:sz w:val="28"/>
          <w:szCs w:val="28"/>
          <w:lang w:val="zh-CN" w:eastAsia="zh-CN" w:bidi="zh-CN"/>
        </w:rPr>
        <w:t>2）进入油罐进行有限空间作业，未办理作业票；作业前，未对油罐进行安全隔绝，未清洗、置换；未执行先通风后作业，未对油罐内的氧含量进行检测等可能会引发中毒、窒息、火灾、爆炸等危险；</w:t>
      </w:r>
    </w:p>
    <w:p>
      <w:pPr>
        <w:pageBreakBefore w:val="0"/>
        <w:widowControl w:val="0"/>
        <w:kinsoku/>
        <w:wordWrap/>
        <w:overflowPunct/>
        <w:topLinePunct w:val="0"/>
        <w:autoSpaceDE w:val="0"/>
        <w:autoSpaceDN w:val="0"/>
        <w:bidi w:val="0"/>
        <w:adjustRightInd/>
        <w:snapToGrid/>
        <w:spacing w:line="560" w:lineRule="exact"/>
        <w:ind w:firstLine="524" w:firstLineChars="200"/>
        <w:jc w:val="both"/>
        <w:textAlignment w:val="auto"/>
        <w:rPr>
          <w:rFonts w:hint="eastAsia" w:ascii="宋体" w:hAnsi="宋体" w:eastAsia="宋体" w:cs="宋体"/>
          <w:spacing w:val="-9"/>
          <w:sz w:val="28"/>
          <w:szCs w:val="28"/>
          <w:lang w:val="zh-CN" w:eastAsia="zh-CN" w:bidi="zh-CN"/>
        </w:rPr>
      </w:pPr>
      <w:r>
        <w:rPr>
          <w:rFonts w:hint="eastAsia" w:ascii="宋体" w:hAnsi="宋体" w:eastAsia="宋体" w:cs="宋体"/>
          <w:spacing w:val="-9"/>
          <w:sz w:val="28"/>
          <w:szCs w:val="28"/>
          <w:lang w:val="zh-CN" w:eastAsia="zh-CN" w:bidi="zh-CN"/>
        </w:rPr>
        <w:t>3）高处作业时，未系安全带、在恶劣天气进行相关作业，在作业区域休息；作业时无监护等可能会引发高处坠落的危险；</w:t>
      </w:r>
    </w:p>
    <w:p>
      <w:pPr>
        <w:pageBreakBefore w:val="0"/>
        <w:widowControl w:val="0"/>
        <w:kinsoku/>
        <w:wordWrap/>
        <w:overflowPunct/>
        <w:topLinePunct w:val="0"/>
        <w:autoSpaceDE w:val="0"/>
        <w:autoSpaceDN w:val="0"/>
        <w:bidi w:val="0"/>
        <w:adjustRightInd/>
        <w:snapToGrid/>
        <w:spacing w:line="560" w:lineRule="exact"/>
        <w:ind w:firstLine="524" w:firstLineChars="200"/>
        <w:jc w:val="both"/>
        <w:textAlignment w:val="auto"/>
        <w:rPr>
          <w:rFonts w:hint="eastAsia" w:ascii="宋体" w:hAnsi="宋体" w:eastAsia="宋体" w:cs="宋体"/>
          <w:spacing w:val="-9"/>
          <w:sz w:val="28"/>
          <w:szCs w:val="28"/>
          <w:lang w:val="zh-CN" w:eastAsia="zh-CN" w:bidi="zh-CN"/>
        </w:rPr>
      </w:pPr>
      <w:r>
        <w:rPr>
          <w:rFonts w:hint="eastAsia" w:ascii="宋体" w:hAnsi="宋体" w:eastAsia="宋体" w:cs="宋体"/>
          <w:spacing w:val="-9"/>
          <w:sz w:val="28"/>
          <w:szCs w:val="28"/>
          <w:lang w:val="zh-CN" w:eastAsia="zh-CN" w:bidi="zh-CN"/>
        </w:rPr>
        <w:t>4）临时用电作业时，照明线未与施工线路分开，在施工现场未设置安全警示标识；易燃易爆区域的化工装置区的移动电源、工具不防爆等可能会引发触电、火灾、爆炸等危险；</w:t>
      </w:r>
    </w:p>
    <w:p>
      <w:pPr>
        <w:pageBreakBefore w:val="0"/>
        <w:widowControl w:val="0"/>
        <w:kinsoku/>
        <w:wordWrap/>
        <w:overflowPunct/>
        <w:topLinePunct w:val="0"/>
        <w:autoSpaceDE w:val="0"/>
        <w:autoSpaceDN w:val="0"/>
        <w:bidi w:val="0"/>
        <w:adjustRightInd/>
        <w:snapToGrid/>
        <w:spacing w:line="560" w:lineRule="exact"/>
        <w:ind w:firstLine="524" w:firstLineChars="200"/>
        <w:jc w:val="both"/>
        <w:textAlignment w:val="auto"/>
        <w:rPr>
          <w:rFonts w:hint="eastAsia" w:ascii="宋体" w:hAnsi="宋体" w:eastAsia="宋体" w:cs="宋体"/>
          <w:spacing w:val="-9"/>
          <w:sz w:val="28"/>
          <w:szCs w:val="28"/>
          <w:lang w:val="zh-CN" w:eastAsia="zh-CN" w:bidi="zh-CN"/>
        </w:rPr>
      </w:pPr>
      <w:r>
        <w:rPr>
          <w:rFonts w:hint="eastAsia" w:ascii="宋体" w:hAnsi="宋体" w:eastAsia="宋体" w:cs="宋体"/>
          <w:spacing w:val="-9"/>
          <w:sz w:val="28"/>
          <w:szCs w:val="28"/>
          <w:lang w:val="zh-CN" w:eastAsia="zh-CN" w:bidi="zh-CN"/>
        </w:rPr>
        <w:t>5）动土作业时，未将作业区域进行有效隔离，未设置安全警示标志牌，可能导致油站人员及外来人员发生跌倒、车辆伤害等危险。</w:t>
      </w:r>
    </w:p>
    <w:p>
      <w:pPr>
        <w:pageBreakBefore w:val="0"/>
        <w:widowControl w:val="0"/>
        <w:kinsoku/>
        <w:wordWrap/>
        <w:overflowPunct/>
        <w:topLinePunct w:val="0"/>
        <w:autoSpaceDE w:val="0"/>
        <w:autoSpaceDN w:val="0"/>
        <w:bidi w:val="0"/>
        <w:adjustRightInd/>
        <w:snapToGrid/>
        <w:spacing w:line="560" w:lineRule="exact"/>
        <w:ind w:firstLine="524" w:firstLineChars="200"/>
        <w:jc w:val="both"/>
        <w:textAlignment w:val="auto"/>
        <w:rPr>
          <w:rFonts w:hint="eastAsia" w:ascii="宋体" w:hAnsi="宋体" w:eastAsia="宋体" w:cs="宋体"/>
          <w:bCs/>
          <w:sz w:val="28"/>
          <w:szCs w:val="28"/>
        </w:rPr>
      </w:pPr>
      <w:r>
        <w:rPr>
          <w:rFonts w:hint="eastAsia" w:ascii="宋体" w:hAnsi="宋体" w:eastAsia="宋体" w:cs="宋体"/>
          <w:spacing w:val="-9"/>
          <w:sz w:val="28"/>
          <w:szCs w:val="28"/>
          <w:lang w:val="zh-CN" w:eastAsia="zh-CN" w:bidi="zh-CN"/>
        </w:rPr>
        <w:t>6）断路作业时，未设置安全警示标识，在夜间断路时未设置警示灯；施工结束时未清理现场等可能会引发车辆伤害、交通事故等危险。</w:t>
      </w:r>
    </w:p>
    <w:p>
      <w:pPr>
        <w:pStyle w:val="4"/>
        <w:pageBreakBefore w:val="0"/>
        <w:widowControl w:val="0"/>
        <w:kinsoku/>
        <w:wordWrap/>
        <w:overflowPunct/>
        <w:topLinePunct w:val="0"/>
        <w:autoSpaceDE w:val="0"/>
        <w:autoSpaceDN w:val="0"/>
        <w:bidi w:val="0"/>
        <w:adjustRightInd/>
        <w:snapToGrid/>
        <w:spacing w:before="120" w:after="120" w:line="560" w:lineRule="exact"/>
        <w:ind w:firstLine="562" w:firstLineChars="200"/>
        <w:jc w:val="both"/>
        <w:textAlignment w:val="auto"/>
        <w:rPr>
          <w:rFonts w:hint="eastAsia" w:ascii="宋体" w:hAnsi="宋体" w:eastAsia="宋体" w:cs="宋体"/>
          <w:sz w:val="28"/>
          <w:szCs w:val="28"/>
        </w:rPr>
      </w:pPr>
      <w:bookmarkStart w:id="718" w:name="_Toc11743_WPSOffice_Level3"/>
      <w:bookmarkStart w:id="719" w:name="_Toc15225_WPSOffice_Level3"/>
      <w:r>
        <w:rPr>
          <w:rFonts w:hint="eastAsia" w:ascii="宋体" w:hAnsi="宋体" w:eastAsia="宋体" w:cs="宋体"/>
          <w:sz w:val="28"/>
          <w:szCs w:val="28"/>
        </w:rPr>
        <w:t>3.</w:t>
      </w:r>
      <w:r>
        <w:rPr>
          <w:rFonts w:hint="eastAsia" w:ascii="宋体" w:hAnsi="宋体" w:eastAsia="宋体" w:cs="宋体"/>
          <w:sz w:val="28"/>
          <w:szCs w:val="28"/>
          <w:lang w:val="en-US"/>
        </w:rPr>
        <w:t>1</w:t>
      </w:r>
      <w:r>
        <w:rPr>
          <w:rFonts w:hint="eastAsia" w:ascii="宋体" w:hAnsi="宋体" w:eastAsia="宋体" w:cs="宋体"/>
          <w:sz w:val="28"/>
          <w:szCs w:val="28"/>
        </w:rPr>
        <w:t>.</w:t>
      </w:r>
      <w:r>
        <w:rPr>
          <w:rFonts w:hint="eastAsia" w:ascii="宋体" w:hAnsi="宋体" w:eastAsia="宋体" w:cs="宋体"/>
          <w:sz w:val="28"/>
          <w:szCs w:val="28"/>
          <w:lang w:val="en-US"/>
        </w:rPr>
        <w:t xml:space="preserve">4 </w:t>
      </w:r>
      <w:r>
        <w:rPr>
          <w:rFonts w:hint="eastAsia" w:ascii="宋体" w:hAnsi="宋体" w:eastAsia="宋体" w:cs="宋体"/>
          <w:sz w:val="28"/>
          <w:szCs w:val="28"/>
        </w:rPr>
        <w:t>站内主要建、构筑物危险有害因素辨识</w:t>
      </w:r>
      <w:bookmarkEnd w:id="718"/>
      <w:bookmarkEnd w:id="719"/>
    </w:p>
    <w:p>
      <w:pPr>
        <w:pageBreakBefore w:val="0"/>
        <w:widowControl w:val="0"/>
        <w:kinsoku/>
        <w:wordWrap/>
        <w:overflowPunct/>
        <w:topLinePunct w:val="0"/>
        <w:autoSpaceDE w:val="0"/>
        <w:autoSpaceDN w:val="0"/>
        <w:bidi w:val="0"/>
        <w:adjustRightInd/>
        <w:snapToGrid/>
        <w:spacing w:line="560" w:lineRule="exact"/>
        <w:ind w:firstLine="584" w:firstLineChars="200"/>
        <w:jc w:val="both"/>
        <w:textAlignment w:val="auto"/>
        <w:rPr>
          <w:rFonts w:hint="eastAsia" w:ascii="宋体" w:hAnsi="宋体" w:eastAsia="宋体" w:cs="宋体"/>
          <w:spacing w:val="6"/>
          <w:sz w:val="28"/>
          <w:szCs w:val="28"/>
        </w:rPr>
      </w:pPr>
      <w:r>
        <w:rPr>
          <w:rFonts w:hint="eastAsia" w:ascii="宋体" w:hAnsi="宋体" w:eastAsia="宋体" w:cs="宋体"/>
          <w:spacing w:val="6"/>
          <w:sz w:val="28"/>
          <w:szCs w:val="28"/>
        </w:rPr>
        <w:t>该加油站站内主要建、构筑物包括站房、配电房、加油</w:t>
      </w:r>
      <w:r>
        <w:rPr>
          <w:rFonts w:hint="eastAsia" w:cs="宋体"/>
          <w:spacing w:val="6"/>
          <w:sz w:val="28"/>
          <w:szCs w:val="28"/>
          <w:lang w:eastAsia="zh-CN"/>
        </w:rPr>
        <w:t>亭</w:t>
      </w:r>
      <w:r>
        <w:rPr>
          <w:rFonts w:hint="eastAsia" w:ascii="宋体" w:hAnsi="宋体" w:eastAsia="宋体" w:cs="宋体"/>
          <w:spacing w:val="6"/>
          <w:sz w:val="28"/>
          <w:szCs w:val="28"/>
        </w:rPr>
        <w:t>、</w:t>
      </w:r>
      <w:r>
        <w:rPr>
          <w:rFonts w:hint="eastAsia" w:cs="宋体"/>
          <w:spacing w:val="6"/>
          <w:sz w:val="28"/>
          <w:szCs w:val="28"/>
          <w:lang w:eastAsia="zh-CN"/>
        </w:rPr>
        <w:t>简易洗车机、综合楼</w:t>
      </w:r>
      <w:r>
        <w:rPr>
          <w:rFonts w:hint="eastAsia" w:ascii="宋体" w:hAnsi="宋体" w:eastAsia="宋体" w:cs="宋体"/>
          <w:spacing w:val="6"/>
          <w:sz w:val="28"/>
          <w:szCs w:val="28"/>
        </w:rPr>
        <w:t>等，其危险有害因素主要考虑自然灾害的影响导致其他次生事故，具体分析如下：</w:t>
      </w:r>
    </w:p>
    <w:p>
      <w:pPr>
        <w:pageBreakBefore w:val="0"/>
        <w:widowControl w:val="0"/>
        <w:kinsoku/>
        <w:wordWrap/>
        <w:overflowPunct/>
        <w:topLinePunct w:val="0"/>
        <w:autoSpaceDE w:val="0"/>
        <w:autoSpaceDN w:val="0"/>
        <w:bidi w:val="0"/>
        <w:adjustRightInd/>
        <w:snapToGrid/>
        <w:spacing w:line="560" w:lineRule="exact"/>
        <w:ind w:firstLine="584" w:firstLineChars="200"/>
        <w:jc w:val="both"/>
        <w:textAlignment w:val="auto"/>
        <w:rPr>
          <w:rFonts w:hint="eastAsia" w:ascii="宋体" w:hAnsi="宋体" w:eastAsia="宋体" w:cs="宋体"/>
          <w:spacing w:val="6"/>
          <w:sz w:val="28"/>
          <w:szCs w:val="28"/>
        </w:rPr>
      </w:pPr>
      <w:r>
        <w:rPr>
          <w:rFonts w:hint="eastAsia" w:ascii="宋体" w:hAnsi="宋体" w:eastAsia="宋体" w:cs="宋体"/>
          <w:spacing w:val="6"/>
          <w:sz w:val="28"/>
          <w:szCs w:val="28"/>
        </w:rPr>
        <w:t>1）雷击：当防雷设施设计不合理、损坏或防雷接地达不到相关技术要求，造成不能完全避雷时，雷击可能击中建、构筑物，造成火灾或建筑物破坏。</w:t>
      </w:r>
    </w:p>
    <w:p>
      <w:pPr>
        <w:pageBreakBefore w:val="0"/>
        <w:widowControl w:val="0"/>
        <w:kinsoku/>
        <w:wordWrap/>
        <w:overflowPunct/>
        <w:topLinePunct w:val="0"/>
        <w:autoSpaceDE w:val="0"/>
        <w:autoSpaceDN w:val="0"/>
        <w:bidi w:val="0"/>
        <w:adjustRightInd/>
        <w:snapToGrid/>
        <w:spacing w:line="560" w:lineRule="exact"/>
        <w:ind w:firstLine="584" w:firstLineChars="200"/>
        <w:jc w:val="both"/>
        <w:textAlignment w:val="auto"/>
        <w:rPr>
          <w:rFonts w:hint="eastAsia" w:ascii="宋体" w:hAnsi="宋体" w:eastAsia="宋体" w:cs="宋体"/>
          <w:spacing w:val="6"/>
          <w:sz w:val="28"/>
          <w:szCs w:val="28"/>
        </w:rPr>
      </w:pPr>
      <w:r>
        <w:rPr>
          <w:rFonts w:hint="eastAsia" w:ascii="宋体" w:hAnsi="宋体" w:eastAsia="宋体" w:cs="宋体"/>
          <w:spacing w:val="6"/>
          <w:sz w:val="28"/>
          <w:szCs w:val="28"/>
        </w:rPr>
        <w:t>2）台风和降雨：台风所经过的地方，因狂风、暴雨及风暴潮等天气灾害，可能会对建筑物造成破坏导致倒塌。建筑物倒塌将导致人员伤亡、设备损坏，并可能因工艺设备、输油管道等遭受破坏，引发油品泄漏、火灾、爆炸等其他安全事故。</w:t>
      </w:r>
    </w:p>
    <w:p>
      <w:pPr>
        <w:pageBreakBefore w:val="0"/>
        <w:widowControl w:val="0"/>
        <w:kinsoku/>
        <w:wordWrap/>
        <w:overflowPunct/>
        <w:topLinePunct w:val="0"/>
        <w:autoSpaceDE w:val="0"/>
        <w:autoSpaceDN w:val="0"/>
        <w:bidi w:val="0"/>
        <w:adjustRightInd/>
        <w:snapToGrid/>
        <w:spacing w:line="560" w:lineRule="exact"/>
        <w:ind w:firstLine="584" w:firstLineChars="200"/>
        <w:jc w:val="both"/>
        <w:textAlignment w:val="auto"/>
        <w:rPr>
          <w:rFonts w:hint="eastAsia" w:ascii="宋体" w:hAnsi="宋体" w:eastAsia="宋体" w:cs="宋体"/>
          <w:sz w:val="28"/>
          <w:szCs w:val="28"/>
        </w:rPr>
      </w:pPr>
      <w:r>
        <w:rPr>
          <w:rFonts w:hint="eastAsia" w:ascii="宋体" w:hAnsi="宋体" w:eastAsia="宋体" w:cs="宋体"/>
          <w:spacing w:val="6"/>
          <w:sz w:val="28"/>
          <w:szCs w:val="28"/>
        </w:rPr>
        <w:t>3）地震：</w:t>
      </w:r>
      <w:r>
        <w:rPr>
          <w:rFonts w:hint="eastAsia" w:ascii="宋体" w:hAnsi="宋体" w:eastAsia="宋体" w:cs="宋体"/>
          <w:sz w:val="28"/>
          <w:szCs w:val="28"/>
        </w:rPr>
        <w:t>若发生地震将导致设备倾倒、管线移位，从而可能使建设物、设备变形拉裂，甚至坍塌，从而引起生产安全事故。</w:t>
      </w:r>
    </w:p>
    <w:p>
      <w:pPr>
        <w:pageBreakBefore w:val="0"/>
        <w:widowControl w:val="0"/>
        <w:kinsoku/>
        <w:wordWrap/>
        <w:overflowPunct/>
        <w:topLinePunct w:val="0"/>
        <w:autoSpaceDE w:val="0"/>
        <w:autoSpaceDN w:val="0"/>
        <w:bidi w:val="0"/>
        <w:adjustRightInd/>
        <w:snapToGrid/>
        <w:spacing w:line="56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依据《企业职工伤亡事故分类》GB6441-86，并按同类型加油站的设施设备，现场操作等方面进行类比，对加油站进行辨识。存在的危险有害因素为：1）火灾、爆炸；2）中毒和窒息；3）车辆伤害；4）机械伤害；5）触电；6）高处坠落；</w:t>
      </w:r>
      <w:r>
        <w:rPr>
          <w:rFonts w:hint="eastAsia" w:ascii="宋体" w:hAnsi="宋体" w:eastAsia="宋体" w:cs="宋体"/>
          <w:sz w:val="28"/>
          <w:szCs w:val="28"/>
          <w:lang w:val="en-US"/>
        </w:rPr>
        <w:t>7）物体打击；8）坍塌</w:t>
      </w:r>
      <w:r>
        <w:rPr>
          <w:rFonts w:hint="eastAsia" w:ascii="宋体" w:hAnsi="宋体" w:eastAsia="宋体" w:cs="宋体"/>
          <w:sz w:val="28"/>
          <w:szCs w:val="28"/>
        </w:rPr>
        <w:t>等。</w:t>
      </w:r>
    </w:p>
    <w:p>
      <w:pPr>
        <w:pStyle w:val="6"/>
        <w:pageBreakBefore w:val="0"/>
        <w:widowControl w:val="0"/>
        <w:kinsoku/>
        <w:wordWrap/>
        <w:overflowPunct/>
        <w:topLinePunct w:val="0"/>
        <w:autoSpaceDE w:val="0"/>
        <w:autoSpaceDN w:val="0"/>
        <w:bidi w:val="0"/>
        <w:adjustRightInd/>
        <w:snapToGrid/>
        <w:spacing w:line="560" w:lineRule="exact"/>
        <w:ind w:right="-24" w:rightChars="-11" w:firstLine="560" w:firstLineChars="200"/>
        <w:jc w:val="both"/>
        <w:textAlignment w:val="auto"/>
        <w:rPr>
          <w:rFonts w:hint="eastAsia" w:ascii="宋体" w:hAnsi="宋体" w:eastAsia="宋体" w:cs="宋体"/>
        </w:rPr>
      </w:pPr>
      <w:r>
        <w:rPr>
          <w:rFonts w:hint="eastAsia" w:ascii="宋体" w:hAnsi="宋体" w:eastAsia="宋体" w:cs="宋体"/>
        </w:rPr>
        <w:t>其中火灾、爆炸是主要的危险、有害因素；加油站埋地储罐区、加油区、装卸点是主要的危险源。主要危险场所、有害因素及其分布情况见下表3.1-1。</w:t>
      </w:r>
    </w:p>
    <w:p>
      <w:pPr>
        <w:jc w:val="center"/>
        <w:rPr>
          <w:rFonts w:hint="eastAsia" w:ascii="宋体" w:hAnsi="宋体" w:eastAsia="宋体" w:cs="宋体"/>
          <w:bCs/>
          <w:sz w:val="24"/>
          <w:szCs w:val="24"/>
        </w:rPr>
      </w:pPr>
      <w:bookmarkStart w:id="720" w:name="_Toc11116_WPSOffice_Level3"/>
      <w:bookmarkStart w:id="721" w:name="_Toc16047_WPSOffice_Level3"/>
      <w:r>
        <w:rPr>
          <w:rFonts w:hint="eastAsia" w:ascii="宋体" w:hAnsi="宋体" w:eastAsia="宋体" w:cs="宋体"/>
          <w:bCs/>
          <w:sz w:val="24"/>
          <w:szCs w:val="24"/>
        </w:rPr>
        <w:t>附表3.1-</w:t>
      </w:r>
      <w:r>
        <w:rPr>
          <w:rFonts w:hint="eastAsia" w:ascii="宋体" w:hAnsi="宋体" w:eastAsia="宋体" w:cs="宋体"/>
          <w:bCs/>
          <w:sz w:val="24"/>
          <w:szCs w:val="24"/>
          <w:lang w:val="en-US"/>
        </w:rPr>
        <w:t>1</w:t>
      </w:r>
      <w:r>
        <w:rPr>
          <w:rFonts w:hint="eastAsia" w:ascii="宋体" w:hAnsi="宋体" w:eastAsia="宋体" w:cs="宋体"/>
          <w:bCs/>
          <w:sz w:val="24"/>
          <w:szCs w:val="24"/>
        </w:rPr>
        <w:t xml:space="preserve"> 主要危险场所及危险、有害因素分布情况表</w:t>
      </w:r>
      <w:bookmarkEnd w:id="720"/>
      <w:bookmarkEnd w:id="721"/>
    </w:p>
    <w:tbl>
      <w:tblPr>
        <w:tblStyle w:val="15"/>
        <w:tblW w:w="80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993"/>
        <w:gridCol w:w="850"/>
        <w:gridCol w:w="851"/>
        <w:gridCol w:w="871"/>
        <w:gridCol w:w="851"/>
        <w:gridCol w:w="850"/>
        <w:gridCol w:w="778"/>
        <w:gridCol w:w="7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186"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b/>
                <w:kern w:val="2"/>
                <w:sz w:val="21"/>
                <w:szCs w:val="21"/>
              </w:rPr>
            </w:pPr>
            <w:bookmarkStart w:id="722" w:name="_Toc9053_WPSOffice_Level2"/>
            <w:bookmarkStart w:id="723" w:name="_Toc5648_WPSOffice_Level2"/>
            <w:r>
              <w:rPr>
                <w:rFonts w:hint="eastAsia" w:ascii="宋体" w:hAnsi="宋体" w:eastAsia="宋体" w:cs="宋体"/>
                <w:b/>
                <w:kern w:val="2"/>
                <w:sz w:val="21"/>
                <w:szCs w:val="21"/>
              </w:rPr>
              <w:t>作业地点</w:t>
            </w:r>
          </w:p>
        </w:tc>
        <w:tc>
          <w:tcPr>
            <w:tcW w:w="6825" w:type="dxa"/>
            <w:gridSpan w:val="8"/>
            <w:tcBorders>
              <w:top w:val="single" w:color="auto" w:sz="4" w:space="0"/>
              <w:left w:val="single" w:color="auto" w:sz="4" w:space="0"/>
              <w:bottom w:val="single" w:color="auto" w:sz="4" w:space="0"/>
              <w:right w:val="single" w:color="auto" w:sz="4" w:space="0"/>
            </w:tcBorders>
            <w:vAlign w:val="center"/>
          </w:tcPr>
          <w:p>
            <w:pPr>
              <w:pStyle w:val="35"/>
              <w:keepNext w:val="0"/>
              <w:keepLines w:val="0"/>
              <w:widowControl w:val="0"/>
              <w:suppressLineNumbers w:val="0"/>
              <w:pBdr>
                <w:left w:val="none" w:color="auto" w:sz="0" w:space="0"/>
                <w:right w:val="none" w:color="auto" w:sz="0" w:space="0"/>
              </w:pBdr>
              <w:spacing w:before="0" w:beforeAutospacing="0" w:after="0" w:afterAutospacing="0"/>
              <w:ind w:left="0" w:right="0"/>
              <w:rPr>
                <w:rFonts w:hint="eastAsia" w:ascii="宋体" w:hAnsi="宋体" w:eastAsia="宋体" w:cs="宋体"/>
                <w:b/>
                <w:kern w:val="2"/>
                <w:sz w:val="21"/>
                <w:szCs w:val="21"/>
              </w:rPr>
            </w:pPr>
            <w:r>
              <w:rPr>
                <w:rFonts w:hint="eastAsia" w:ascii="宋体" w:hAnsi="宋体" w:eastAsia="宋体" w:cs="宋体"/>
                <w:b/>
                <w:kern w:val="2"/>
                <w:sz w:val="21"/>
                <w:szCs w:val="21"/>
              </w:rPr>
              <w:t>危险有害因素类别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186"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rPr>
                <w:rFonts w:hint="eastAsia" w:ascii="宋体" w:hAnsi="宋体" w:eastAsia="宋体" w:cs="宋体"/>
                <w:b/>
                <w:kern w:val="2"/>
                <w:sz w:val="21"/>
                <w:szCs w:val="21"/>
              </w:rPr>
            </w:pPr>
          </w:p>
        </w:tc>
        <w:tc>
          <w:tcPr>
            <w:tcW w:w="9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b/>
                <w:kern w:val="2"/>
                <w:sz w:val="21"/>
                <w:szCs w:val="21"/>
              </w:rPr>
            </w:pPr>
            <w:r>
              <w:rPr>
                <w:rFonts w:hint="eastAsia" w:ascii="宋体" w:hAnsi="宋体" w:eastAsia="宋体" w:cs="宋体"/>
                <w:b/>
                <w:kern w:val="2"/>
                <w:sz w:val="21"/>
                <w:szCs w:val="21"/>
              </w:rPr>
              <w:t>火灾、爆炸</w:t>
            </w:r>
          </w:p>
        </w:tc>
        <w:tc>
          <w:tcPr>
            <w:tcW w:w="85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b/>
                <w:kern w:val="2"/>
                <w:sz w:val="21"/>
                <w:szCs w:val="21"/>
              </w:rPr>
            </w:pPr>
            <w:r>
              <w:rPr>
                <w:rFonts w:hint="eastAsia" w:ascii="宋体" w:hAnsi="宋体" w:eastAsia="宋体" w:cs="宋体"/>
                <w:b/>
                <w:kern w:val="2"/>
                <w:sz w:val="21"/>
                <w:szCs w:val="21"/>
              </w:rPr>
              <w:t>高温危害</w:t>
            </w:r>
          </w:p>
        </w:tc>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b/>
                <w:kern w:val="2"/>
                <w:sz w:val="21"/>
                <w:szCs w:val="21"/>
              </w:rPr>
            </w:pPr>
            <w:r>
              <w:rPr>
                <w:rFonts w:hint="eastAsia" w:ascii="宋体" w:hAnsi="宋体" w:eastAsia="宋体" w:cs="宋体"/>
                <w:b/>
                <w:kern w:val="2"/>
                <w:sz w:val="21"/>
                <w:szCs w:val="21"/>
              </w:rPr>
              <w:t>中毒窒息</w:t>
            </w:r>
          </w:p>
        </w:tc>
        <w:tc>
          <w:tcPr>
            <w:tcW w:w="8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b/>
                <w:kern w:val="2"/>
                <w:sz w:val="21"/>
                <w:szCs w:val="21"/>
              </w:rPr>
            </w:pPr>
            <w:r>
              <w:rPr>
                <w:rFonts w:hint="eastAsia" w:ascii="宋体" w:hAnsi="宋体" w:eastAsia="宋体" w:cs="宋体"/>
                <w:b/>
                <w:kern w:val="2"/>
                <w:sz w:val="21"/>
                <w:szCs w:val="21"/>
              </w:rPr>
              <w:t>车辆伤害</w:t>
            </w:r>
          </w:p>
        </w:tc>
        <w:tc>
          <w:tcPr>
            <w:tcW w:w="851" w:type="dxa"/>
            <w:tcBorders>
              <w:top w:val="single" w:color="auto" w:sz="4" w:space="0"/>
              <w:left w:val="single" w:color="auto" w:sz="4" w:space="0"/>
              <w:bottom w:val="single" w:color="auto" w:sz="4" w:space="0"/>
              <w:right w:val="single" w:color="auto" w:sz="4" w:space="0"/>
            </w:tcBorders>
            <w:vAlign w:val="center"/>
          </w:tcPr>
          <w:p>
            <w:pPr>
              <w:pStyle w:val="35"/>
              <w:keepNext w:val="0"/>
              <w:keepLines w:val="0"/>
              <w:widowControl w:val="0"/>
              <w:suppressLineNumbers w:val="0"/>
              <w:pBdr>
                <w:left w:val="none" w:color="auto" w:sz="0" w:space="0"/>
                <w:right w:val="none" w:color="auto" w:sz="0" w:space="0"/>
              </w:pBdr>
              <w:spacing w:before="0" w:beforeAutospacing="0" w:after="0" w:afterAutospacing="0"/>
              <w:ind w:left="0" w:right="0"/>
              <w:rPr>
                <w:rFonts w:hint="eastAsia" w:ascii="宋体" w:hAnsi="宋体" w:eastAsia="宋体" w:cs="宋体"/>
                <w:b/>
                <w:kern w:val="2"/>
                <w:sz w:val="21"/>
                <w:szCs w:val="21"/>
              </w:rPr>
            </w:pPr>
            <w:r>
              <w:rPr>
                <w:rFonts w:hint="eastAsia" w:ascii="宋体" w:hAnsi="宋体" w:eastAsia="宋体" w:cs="宋体"/>
                <w:b/>
                <w:kern w:val="2"/>
                <w:sz w:val="21"/>
                <w:szCs w:val="21"/>
              </w:rPr>
              <w:t>触电</w:t>
            </w:r>
          </w:p>
        </w:tc>
        <w:tc>
          <w:tcPr>
            <w:tcW w:w="850" w:type="dxa"/>
            <w:tcBorders>
              <w:top w:val="single" w:color="auto" w:sz="4" w:space="0"/>
              <w:left w:val="single" w:color="auto" w:sz="4" w:space="0"/>
              <w:bottom w:val="single" w:color="auto" w:sz="4" w:space="0"/>
              <w:right w:val="single" w:color="auto" w:sz="4" w:space="0"/>
            </w:tcBorders>
            <w:vAlign w:val="center"/>
          </w:tcPr>
          <w:p>
            <w:pPr>
              <w:pStyle w:val="35"/>
              <w:keepNext w:val="0"/>
              <w:keepLines w:val="0"/>
              <w:widowControl w:val="0"/>
              <w:suppressLineNumbers w:val="0"/>
              <w:pBdr>
                <w:left w:val="none" w:color="auto" w:sz="0" w:space="0"/>
                <w:right w:val="none" w:color="auto" w:sz="0" w:space="0"/>
              </w:pBdr>
              <w:spacing w:before="0" w:beforeAutospacing="0" w:after="0" w:afterAutospacing="0"/>
              <w:ind w:left="0" w:right="0"/>
              <w:rPr>
                <w:rFonts w:hint="eastAsia" w:ascii="宋体" w:hAnsi="宋体" w:eastAsia="宋体" w:cs="宋体"/>
                <w:b/>
                <w:kern w:val="2"/>
                <w:sz w:val="21"/>
                <w:szCs w:val="21"/>
              </w:rPr>
            </w:pPr>
            <w:r>
              <w:rPr>
                <w:rFonts w:hint="eastAsia" w:ascii="宋体" w:hAnsi="宋体" w:eastAsia="宋体" w:cs="宋体"/>
                <w:b/>
                <w:kern w:val="2"/>
                <w:sz w:val="21"/>
                <w:szCs w:val="21"/>
              </w:rPr>
              <w:t>高处坠落</w:t>
            </w:r>
          </w:p>
        </w:tc>
        <w:tc>
          <w:tcPr>
            <w:tcW w:w="778" w:type="dxa"/>
            <w:tcBorders>
              <w:top w:val="single" w:color="auto" w:sz="4" w:space="0"/>
              <w:left w:val="single" w:color="auto" w:sz="4" w:space="0"/>
              <w:bottom w:val="single" w:color="auto" w:sz="4" w:space="0"/>
              <w:right w:val="single" w:color="auto" w:sz="4" w:space="0"/>
            </w:tcBorders>
            <w:vAlign w:val="center"/>
          </w:tcPr>
          <w:p>
            <w:pPr>
              <w:pStyle w:val="35"/>
              <w:keepNext w:val="0"/>
              <w:keepLines w:val="0"/>
              <w:widowControl w:val="0"/>
              <w:suppressLineNumbers w:val="0"/>
              <w:pBdr>
                <w:left w:val="none" w:color="auto" w:sz="0" w:space="0"/>
                <w:right w:val="none" w:color="auto" w:sz="0" w:space="0"/>
              </w:pBdr>
              <w:spacing w:before="0" w:beforeAutospacing="0" w:after="0" w:afterAutospacing="0"/>
              <w:ind w:left="0" w:right="0"/>
              <w:rPr>
                <w:rFonts w:hint="eastAsia" w:ascii="宋体" w:hAnsi="宋体" w:eastAsia="宋体" w:cs="宋体"/>
                <w:b/>
                <w:kern w:val="2"/>
                <w:sz w:val="21"/>
                <w:szCs w:val="21"/>
              </w:rPr>
            </w:pPr>
            <w:r>
              <w:rPr>
                <w:rFonts w:hint="eastAsia" w:ascii="宋体" w:hAnsi="宋体" w:eastAsia="宋体" w:cs="宋体"/>
                <w:b/>
                <w:kern w:val="2"/>
                <w:sz w:val="21"/>
                <w:szCs w:val="21"/>
              </w:rPr>
              <w:t>物体打击</w:t>
            </w:r>
          </w:p>
        </w:tc>
        <w:tc>
          <w:tcPr>
            <w:tcW w:w="781" w:type="dxa"/>
            <w:tcBorders>
              <w:top w:val="single" w:color="auto" w:sz="4" w:space="0"/>
              <w:left w:val="single" w:color="auto" w:sz="4" w:space="0"/>
              <w:bottom w:val="single" w:color="auto" w:sz="4" w:space="0"/>
              <w:right w:val="single" w:color="auto" w:sz="4" w:space="0"/>
            </w:tcBorders>
            <w:vAlign w:val="center"/>
          </w:tcPr>
          <w:p>
            <w:pPr>
              <w:pStyle w:val="35"/>
              <w:keepNext w:val="0"/>
              <w:keepLines w:val="0"/>
              <w:widowControl w:val="0"/>
              <w:suppressLineNumbers w:val="0"/>
              <w:pBdr>
                <w:left w:val="none" w:color="auto" w:sz="0" w:space="0"/>
                <w:right w:val="none" w:color="auto" w:sz="0" w:space="0"/>
              </w:pBdr>
              <w:spacing w:before="0" w:beforeAutospacing="0" w:after="0" w:afterAutospacing="0"/>
              <w:ind w:left="0" w:right="0"/>
              <w:rPr>
                <w:rFonts w:hint="eastAsia" w:ascii="宋体" w:hAnsi="宋体" w:eastAsia="宋体" w:cs="宋体"/>
                <w:b/>
                <w:kern w:val="2"/>
                <w:sz w:val="21"/>
                <w:szCs w:val="21"/>
              </w:rPr>
            </w:pPr>
            <w:r>
              <w:rPr>
                <w:rFonts w:hint="eastAsia" w:ascii="宋体" w:hAnsi="宋体" w:eastAsia="宋体" w:cs="宋体"/>
                <w:b/>
                <w:kern w:val="2"/>
                <w:sz w:val="21"/>
                <w:szCs w:val="21"/>
              </w:rPr>
              <w:t>坍塌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18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卸油区</w:t>
            </w:r>
          </w:p>
        </w:tc>
        <w:tc>
          <w:tcPr>
            <w:tcW w:w="9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85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8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85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77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78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18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加油区</w:t>
            </w:r>
          </w:p>
        </w:tc>
        <w:tc>
          <w:tcPr>
            <w:tcW w:w="9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85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8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85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77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78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18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油罐区</w:t>
            </w:r>
          </w:p>
        </w:tc>
        <w:tc>
          <w:tcPr>
            <w:tcW w:w="9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85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8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85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77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78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18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站房</w:t>
            </w:r>
          </w:p>
        </w:tc>
        <w:tc>
          <w:tcPr>
            <w:tcW w:w="9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85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8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85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77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78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18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lang w:eastAsia="zh-CN"/>
              </w:rPr>
              <w:t>配</w:t>
            </w:r>
            <w:r>
              <w:rPr>
                <w:rFonts w:hint="eastAsia" w:ascii="宋体" w:hAnsi="宋体" w:eastAsia="宋体" w:cs="宋体"/>
                <w:kern w:val="2"/>
                <w:sz w:val="21"/>
                <w:szCs w:val="21"/>
              </w:rPr>
              <w:t>电房</w:t>
            </w:r>
          </w:p>
        </w:tc>
        <w:tc>
          <w:tcPr>
            <w:tcW w:w="9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85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8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8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c>
          <w:tcPr>
            <w:tcW w:w="85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77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c>
          <w:tcPr>
            <w:tcW w:w="78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p>
        </w:tc>
      </w:tr>
    </w:tbl>
    <w:p>
      <w:pPr>
        <w:pStyle w:val="3"/>
        <w:tabs>
          <w:tab w:val="left" w:pos="3756"/>
        </w:tabs>
        <w:spacing w:before="240" w:beforeLines="100" w:after="240" w:afterLines="100"/>
        <w:ind w:left="3112" w:firstLine="0"/>
        <w:jc w:val="left"/>
        <w:rPr>
          <w:rFonts w:hint="eastAsia" w:ascii="宋体" w:hAnsi="宋体" w:eastAsia="宋体" w:cs="宋体"/>
          <w:b/>
          <w:bCs/>
        </w:rPr>
      </w:pPr>
      <w:bookmarkStart w:id="724" w:name="_Toc25646_WPSOffice_Level2"/>
      <w:bookmarkStart w:id="725" w:name="_Toc13805"/>
      <w:bookmarkStart w:id="726" w:name="_Toc18858"/>
      <w:bookmarkStart w:id="727" w:name="_Toc10397"/>
      <w:r>
        <w:rPr>
          <w:rFonts w:hint="eastAsia" w:ascii="宋体" w:hAnsi="宋体" w:eastAsia="宋体" w:cs="宋体"/>
          <w:b/>
          <w:bCs/>
          <w:lang w:val="en-US"/>
        </w:rPr>
        <w:t xml:space="preserve">3.2 </w:t>
      </w:r>
      <w:r>
        <w:rPr>
          <w:rFonts w:hint="eastAsia" w:ascii="宋体" w:hAnsi="宋体" w:eastAsia="宋体" w:cs="宋体"/>
          <w:b/>
          <w:bCs/>
        </w:rPr>
        <w:t>危险化学品辨识</w:t>
      </w:r>
      <w:bookmarkEnd w:id="722"/>
      <w:bookmarkEnd w:id="723"/>
      <w:bookmarkEnd w:id="724"/>
      <w:bookmarkEnd w:id="725"/>
      <w:bookmarkEnd w:id="726"/>
      <w:bookmarkEnd w:id="727"/>
    </w:p>
    <w:p>
      <w:pPr>
        <w:pStyle w:val="6"/>
        <w:keepNext w:val="0"/>
        <w:keepLines w:val="0"/>
        <w:pageBreakBefore w:val="0"/>
        <w:widowControl w:val="0"/>
        <w:kinsoku/>
        <w:wordWrap/>
        <w:overflowPunct/>
        <w:topLinePunct w:val="0"/>
        <w:autoSpaceDE w:val="0"/>
        <w:autoSpaceDN w:val="0"/>
        <w:bidi w:val="0"/>
        <w:adjustRightInd/>
        <w:spacing w:line="560" w:lineRule="exact"/>
        <w:ind w:firstLine="560" w:firstLineChars="200"/>
        <w:rPr>
          <w:rFonts w:hint="eastAsia" w:ascii="宋体" w:hAnsi="宋体" w:eastAsia="宋体" w:cs="宋体"/>
        </w:rPr>
      </w:pPr>
      <w:r>
        <w:rPr>
          <w:rFonts w:hint="eastAsia" w:ascii="宋体" w:hAnsi="宋体" w:eastAsia="宋体" w:cs="宋体"/>
        </w:rPr>
        <w:t>依据《危险化学品目录〔2015版〕》（国家安全生产监督管理总局等10部门公告2015年第5号）辨识，该项目不涉及剧毒化学品。</w:t>
      </w:r>
    </w:p>
    <w:p>
      <w:pPr>
        <w:pStyle w:val="6"/>
        <w:keepNext w:val="0"/>
        <w:keepLines w:val="0"/>
        <w:pageBreakBefore w:val="0"/>
        <w:widowControl w:val="0"/>
        <w:kinsoku/>
        <w:wordWrap/>
        <w:overflowPunct/>
        <w:topLinePunct w:val="0"/>
        <w:autoSpaceDE w:val="0"/>
        <w:autoSpaceDN w:val="0"/>
        <w:bidi w:val="0"/>
        <w:adjustRightInd/>
        <w:spacing w:line="560" w:lineRule="exact"/>
        <w:ind w:firstLine="560" w:firstLineChars="200"/>
        <w:rPr>
          <w:rFonts w:hint="eastAsia" w:ascii="宋体" w:hAnsi="宋体" w:eastAsia="宋体" w:cs="宋体"/>
        </w:rPr>
      </w:pPr>
      <w:r>
        <w:rPr>
          <w:rFonts w:hint="eastAsia" w:ascii="宋体" w:hAnsi="宋体" w:eastAsia="宋体" w:cs="宋体"/>
        </w:rPr>
        <w:t>依据《易制毒化学品管理条例》（国务院令[2018]第</w:t>
      </w:r>
      <w:r>
        <w:rPr>
          <w:rFonts w:hint="eastAsia" w:ascii="宋体" w:hAnsi="宋体" w:eastAsia="宋体" w:cs="宋体"/>
          <w:lang w:val="en-US"/>
        </w:rPr>
        <w:t>703</w:t>
      </w:r>
      <w:r>
        <w:rPr>
          <w:rFonts w:hint="eastAsia" w:ascii="宋体" w:hAnsi="宋体" w:eastAsia="宋体" w:cs="宋体"/>
        </w:rPr>
        <w:t>号第三次修订，2018.09.18）辨识，该项目不涉及易制毒化学品。</w:t>
      </w:r>
    </w:p>
    <w:p>
      <w:pPr>
        <w:pStyle w:val="6"/>
        <w:keepNext w:val="0"/>
        <w:keepLines w:val="0"/>
        <w:pageBreakBefore w:val="0"/>
        <w:widowControl w:val="0"/>
        <w:kinsoku/>
        <w:wordWrap/>
        <w:overflowPunct/>
        <w:topLinePunct w:val="0"/>
        <w:autoSpaceDE w:val="0"/>
        <w:autoSpaceDN w:val="0"/>
        <w:bidi w:val="0"/>
        <w:adjustRightInd/>
        <w:spacing w:line="560" w:lineRule="exact"/>
        <w:ind w:firstLine="560" w:firstLineChars="200"/>
        <w:rPr>
          <w:rFonts w:hint="eastAsia" w:ascii="宋体" w:hAnsi="宋体" w:eastAsia="宋体" w:cs="宋体"/>
        </w:rPr>
      </w:pPr>
      <w:r>
        <w:rPr>
          <w:rFonts w:hint="eastAsia" w:ascii="宋体" w:hAnsi="宋体" w:eastAsia="宋体" w:cs="宋体"/>
        </w:rPr>
        <w:t>依据《易制爆危险化学品名录》（201</w:t>
      </w:r>
      <w:r>
        <w:rPr>
          <w:rFonts w:hint="eastAsia" w:ascii="宋体" w:hAnsi="宋体" w:eastAsia="宋体" w:cs="宋体"/>
          <w:lang w:val="en-US"/>
        </w:rPr>
        <w:t>7</w:t>
      </w:r>
      <w:r>
        <w:rPr>
          <w:rFonts w:hint="eastAsia" w:ascii="宋体" w:hAnsi="宋体" w:eastAsia="宋体" w:cs="宋体"/>
        </w:rPr>
        <w:t>年版）辨识，该项目不涉及易制爆危险化学品。</w:t>
      </w:r>
    </w:p>
    <w:p>
      <w:pPr>
        <w:pStyle w:val="6"/>
        <w:keepNext w:val="0"/>
        <w:keepLines w:val="0"/>
        <w:pageBreakBefore w:val="0"/>
        <w:widowControl w:val="0"/>
        <w:kinsoku/>
        <w:wordWrap/>
        <w:overflowPunct/>
        <w:topLinePunct w:val="0"/>
        <w:autoSpaceDE w:val="0"/>
        <w:autoSpaceDN w:val="0"/>
        <w:bidi w:val="0"/>
        <w:adjustRightInd/>
        <w:spacing w:line="560" w:lineRule="exact"/>
        <w:ind w:firstLine="560" w:firstLineChars="200"/>
        <w:rPr>
          <w:rFonts w:hint="eastAsia" w:ascii="宋体" w:hAnsi="宋体" w:eastAsia="宋体" w:cs="宋体"/>
        </w:rPr>
      </w:pPr>
      <w:r>
        <w:rPr>
          <w:rFonts w:hint="eastAsia" w:ascii="宋体" w:hAnsi="宋体" w:eastAsia="宋体" w:cs="宋体"/>
        </w:rPr>
        <w:t>依据《中华人民共和国监控化学品管理条例》（国务令[1995]第190号，2011年修订版）、《中华人民共和国监控化学品管理条例（实施细则）》（工信部</w:t>
      </w:r>
      <w:r>
        <w:rPr>
          <w:rFonts w:hint="eastAsia" w:ascii="宋体" w:hAnsi="宋体" w:eastAsia="宋体" w:cs="宋体"/>
          <w:lang w:val="en-US"/>
        </w:rPr>
        <w:t>[2018]</w:t>
      </w:r>
      <w:r>
        <w:rPr>
          <w:rFonts w:hint="eastAsia" w:ascii="宋体" w:hAnsi="宋体" w:eastAsia="宋体" w:cs="宋体"/>
        </w:rPr>
        <w:t>第48号令）、《各类监控化学品名录》（中华人民共和国化学工业部第11号）、《列入第三类监控化学品的新增品种清单》（1998年6月14日以国家和石油化学工业局令第1号发布）辨识，该项目不涉及国家监控的化学品。</w:t>
      </w:r>
    </w:p>
    <w:p>
      <w:pPr>
        <w:pStyle w:val="6"/>
        <w:keepNext w:val="0"/>
        <w:keepLines w:val="0"/>
        <w:pageBreakBefore w:val="0"/>
        <w:widowControl w:val="0"/>
        <w:kinsoku/>
        <w:wordWrap/>
        <w:overflowPunct/>
        <w:topLinePunct w:val="0"/>
        <w:autoSpaceDE w:val="0"/>
        <w:autoSpaceDN w:val="0"/>
        <w:bidi w:val="0"/>
        <w:adjustRightInd/>
        <w:spacing w:line="560" w:lineRule="exact"/>
        <w:ind w:firstLine="560" w:firstLineChars="200"/>
        <w:rPr>
          <w:rFonts w:hint="eastAsia" w:ascii="宋体" w:hAnsi="宋体" w:eastAsia="宋体" w:cs="宋体"/>
        </w:rPr>
      </w:pPr>
      <w:bookmarkStart w:id="728" w:name="_Toc5834_WPSOffice_Level2"/>
      <w:bookmarkStart w:id="729" w:name="_Toc12425_WPSOffice_Level2"/>
      <w:r>
        <w:rPr>
          <w:rFonts w:hint="eastAsia" w:ascii="宋体" w:hAnsi="宋体" w:eastAsia="宋体" w:cs="宋体"/>
        </w:rPr>
        <w:t>根据《重点监管的危险化学品名录》（2013年完整版）对照辨识，汽油属于重点监管危险化学品。</w:t>
      </w:r>
      <w:r>
        <w:rPr>
          <w:rFonts w:hint="eastAsia" w:ascii="宋体" w:hAnsi="宋体" w:eastAsia="宋体" w:cs="宋体"/>
          <w:lang w:eastAsia="zh-CN"/>
        </w:rPr>
        <w:t>横坑加油站</w:t>
      </w:r>
      <w:r>
        <w:rPr>
          <w:rFonts w:hint="eastAsia" w:ascii="宋体" w:hAnsi="宋体" w:eastAsia="宋体" w:cs="宋体"/>
        </w:rPr>
        <w:t>已委托具有相关资质的设计单位进行设计，根据工艺特点，对生产储存装置，装备带有高液位报警功能的液位计，实现对液位、温度等重要参数的实时监测；严格工艺、设备管理，汽油罐车卸油设计装设卸油油气回收系统，汽油加油机（枪）装设加油油气回收系统，并依照《重点监管的危险化学品名录》（2013年）的规定，结合汽油的危险特性，贯彻落实各项安全监控措施，严格执行各项安全生产规章制度和各项操作规程。</w:t>
      </w:r>
    </w:p>
    <w:p>
      <w:pPr>
        <w:pStyle w:val="3"/>
        <w:keepNext w:val="0"/>
        <w:keepLines w:val="0"/>
        <w:pageBreakBefore w:val="0"/>
        <w:widowControl w:val="0"/>
        <w:tabs>
          <w:tab w:val="left" w:pos="3756"/>
        </w:tabs>
        <w:kinsoku/>
        <w:wordWrap/>
        <w:overflowPunct/>
        <w:topLinePunct w:val="0"/>
        <w:autoSpaceDE w:val="0"/>
        <w:autoSpaceDN w:val="0"/>
        <w:bidi w:val="0"/>
        <w:adjustRightInd/>
        <w:spacing w:before="240" w:beforeLines="100" w:after="240" w:afterLines="100" w:line="560" w:lineRule="exact"/>
        <w:ind w:left="3112" w:firstLine="0"/>
        <w:jc w:val="both"/>
        <w:rPr>
          <w:rFonts w:hint="eastAsia" w:ascii="宋体" w:hAnsi="宋体" w:eastAsia="宋体" w:cs="宋体"/>
          <w:b/>
          <w:bCs/>
          <w:lang w:val="en-US"/>
        </w:rPr>
      </w:pPr>
      <w:bookmarkStart w:id="730" w:name="_Toc18936_WPSOffice_Level2"/>
      <w:bookmarkStart w:id="731" w:name="_Toc19301"/>
      <w:bookmarkStart w:id="732" w:name="_Toc32201"/>
      <w:bookmarkStart w:id="733" w:name="_Toc25541"/>
      <w:r>
        <w:rPr>
          <w:rFonts w:hint="eastAsia" w:ascii="宋体" w:hAnsi="宋体" w:eastAsia="宋体" w:cs="宋体"/>
          <w:b/>
          <w:bCs/>
          <w:lang w:val="en-US"/>
        </w:rPr>
        <w:t>3.3 特种设备辨识</w:t>
      </w:r>
      <w:bookmarkEnd w:id="728"/>
      <w:bookmarkEnd w:id="729"/>
      <w:bookmarkEnd w:id="730"/>
      <w:bookmarkEnd w:id="731"/>
      <w:bookmarkEnd w:id="732"/>
      <w:bookmarkEnd w:id="733"/>
    </w:p>
    <w:p>
      <w:pPr>
        <w:pStyle w:val="6"/>
        <w:keepNext w:val="0"/>
        <w:keepLines w:val="0"/>
        <w:pageBreakBefore w:val="0"/>
        <w:widowControl w:val="0"/>
        <w:kinsoku/>
        <w:wordWrap/>
        <w:overflowPunct/>
        <w:topLinePunct w:val="0"/>
        <w:autoSpaceDE w:val="0"/>
        <w:autoSpaceDN w:val="0"/>
        <w:bidi w:val="0"/>
        <w:adjustRightInd/>
        <w:spacing w:line="560" w:lineRule="exact"/>
        <w:ind w:firstLine="560" w:firstLineChars="200"/>
        <w:jc w:val="both"/>
        <w:rPr>
          <w:rFonts w:hint="eastAsia" w:ascii="宋体" w:hAnsi="宋体" w:eastAsia="宋体" w:cs="宋体"/>
        </w:rPr>
      </w:pPr>
      <w:r>
        <w:rPr>
          <w:rFonts w:hint="eastAsia" w:ascii="宋体" w:hAnsi="宋体" w:eastAsia="宋体" w:cs="宋体"/>
        </w:rPr>
        <w:t>根据国家质量监督检验检疫总局公布的《特种设备目录》进行辨识，</w:t>
      </w:r>
      <w:r>
        <w:rPr>
          <w:rFonts w:hint="eastAsia" w:ascii="宋体" w:hAnsi="宋体" w:eastAsia="宋体" w:cs="宋体"/>
          <w:lang w:eastAsia="zh-CN"/>
        </w:rPr>
        <w:t>横坑加油站</w:t>
      </w:r>
      <w:r>
        <w:rPr>
          <w:rFonts w:hint="eastAsia" w:ascii="宋体" w:hAnsi="宋体" w:eastAsia="宋体" w:cs="宋体"/>
        </w:rPr>
        <w:t>的油罐、油管、加油机等设备均不属于特种设备。</w:t>
      </w:r>
    </w:p>
    <w:p>
      <w:pPr>
        <w:pStyle w:val="3"/>
        <w:keepNext w:val="0"/>
        <w:keepLines w:val="0"/>
        <w:pageBreakBefore w:val="0"/>
        <w:widowControl w:val="0"/>
        <w:tabs>
          <w:tab w:val="left" w:pos="2694"/>
        </w:tabs>
        <w:kinsoku/>
        <w:wordWrap/>
        <w:overflowPunct/>
        <w:topLinePunct w:val="0"/>
        <w:autoSpaceDE w:val="0"/>
        <w:autoSpaceDN w:val="0"/>
        <w:bidi w:val="0"/>
        <w:adjustRightInd/>
        <w:spacing w:before="233" w:after="240" w:afterLines="100" w:line="560" w:lineRule="exact"/>
        <w:ind w:left="1984" w:firstLine="0"/>
        <w:jc w:val="both"/>
        <w:rPr>
          <w:rFonts w:hint="eastAsia" w:ascii="宋体" w:hAnsi="宋体" w:eastAsia="宋体" w:cs="宋体"/>
          <w:b/>
          <w:bCs/>
        </w:rPr>
      </w:pPr>
      <w:bookmarkStart w:id="734" w:name="_bookmark20"/>
      <w:bookmarkEnd w:id="734"/>
      <w:bookmarkStart w:id="735" w:name="_Toc20554_WPSOffice_Level2"/>
      <w:bookmarkStart w:id="736" w:name="_Toc13309"/>
      <w:bookmarkStart w:id="737" w:name="_Hlk531264084"/>
      <w:bookmarkStart w:id="738" w:name="_Toc86"/>
      <w:bookmarkStart w:id="739" w:name="_Toc22753_WPSOffice_Level2"/>
      <w:bookmarkStart w:id="740" w:name="_Toc2562"/>
      <w:bookmarkStart w:id="741" w:name="_Toc20864_WPSOffice_Level2"/>
      <w:r>
        <w:rPr>
          <w:rFonts w:hint="eastAsia" w:ascii="宋体" w:hAnsi="宋体" w:eastAsia="宋体" w:cs="宋体"/>
          <w:b/>
          <w:bCs/>
          <w:lang w:val="en-US"/>
        </w:rPr>
        <w:t xml:space="preserve">3.4 </w:t>
      </w:r>
      <w:r>
        <w:rPr>
          <w:rFonts w:hint="eastAsia" w:ascii="宋体" w:hAnsi="宋体" w:eastAsia="宋体" w:cs="宋体"/>
          <w:b/>
          <w:bCs/>
        </w:rPr>
        <w:t>国家明令淘汰的产品和危险工艺辨识</w:t>
      </w:r>
      <w:bookmarkEnd w:id="735"/>
      <w:bookmarkEnd w:id="736"/>
      <w:bookmarkEnd w:id="737"/>
      <w:bookmarkEnd w:id="738"/>
      <w:bookmarkEnd w:id="739"/>
      <w:bookmarkEnd w:id="740"/>
      <w:bookmarkEnd w:id="741"/>
    </w:p>
    <w:p>
      <w:pPr>
        <w:pStyle w:val="6"/>
        <w:keepNext w:val="0"/>
        <w:keepLines w:val="0"/>
        <w:pageBreakBefore w:val="0"/>
        <w:widowControl w:val="0"/>
        <w:kinsoku/>
        <w:wordWrap/>
        <w:overflowPunct/>
        <w:topLinePunct w:val="0"/>
        <w:autoSpaceDE w:val="0"/>
        <w:autoSpaceDN w:val="0"/>
        <w:bidi w:val="0"/>
        <w:adjustRightInd/>
        <w:spacing w:line="560" w:lineRule="exact"/>
        <w:ind w:firstLine="560" w:firstLineChars="200"/>
        <w:jc w:val="both"/>
        <w:rPr>
          <w:rFonts w:hint="eastAsia" w:ascii="宋体" w:hAnsi="宋体" w:eastAsia="宋体" w:cs="宋体"/>
        </w:rPr>
      </w:pPr>
      <w:r>
        <w:rPr>
          <w:rFonts w:hint="eastAsia" w:ascii="宋体" w:hAnsi="宋体" w:eastAsia="宋体" w:cs="宋体"/>
        </w:rPr>
        <w:t>依据《产业结构调整指导目录（2016年本，修正）》（中华人民共和国国家发展和改革委员会令21号）、《广东省产业结构调整指导目录》（2007年本）及《重点监管危险化工工艺目录（2013年完整版）》（安监总管〔2013〕3号）辨识，不属于淘汰产品，工艺过程是简单的物理过程，不存在危险工艺。</w:t>
      </w:r>
    </w:p>
    <w:p>
      <w:pPr>
        <w:pStyle w:val="3"/>
        <w:keepNext w:val="0"/>
        <w:keepLines w:val="0"/>
        <w:pageBreakBefore w:val="0"/>
        <w:widowControl w:val="0"/>
        <w:tabs>
          <w:tab w:val="left" w:pos="2694"/>
        </w:tabs>
        <w:kinsoku/>
        <w:wordWrap/>
        <w:overflowPunct/>
        <w:topLinePunct w:val="0"/>
        <w:autoSpaceDE w:val="0"/>
        <w:autoSpaceDN w:val="0"/>
        <w:bidi w:val="0"/>
        <w:adjustRightInd/>
        <w:spacing w:before="233" w:after="240" w:afterLines="100" w:line="560" w:lineRule="exact"/>
        <w:ind w:left="1984" w:firstLine="0"/>
        <w:jc w:val="both"/>
        <w:rPr>
          <w:rFonts w:hint="eastAsia" w:ascii="宋体" w:hAnsi="宋体" w:eastAsia="宋体" w:cs="宋体"/>
          <w:b/>
          <w:bCs/>
          <w:lang w:val="en-US"/>
        </w:rPr>
      </w:pPr>
      <w:bookmarkStart w:id="742" w:name="_Toc30131_WPSOffice_Level2"/>
      <w:bookmarkStart w:id="743" w:name="_Toc16987_WPSOffice_Level2"/>
      <w:bookmarkStart w:id="744" w:name="_Toc5036"/>
      <w:bookmarkStart w:id="745" w:name="_Toc11649"/>
      <w:bookmarkStart w:id="746" w:name="_Toc17836"/>
      <w:bookmarkStart w:id="747" w:name="_Toc23891_WPSOffice_Level2"/>
      <w:r>
        <w:rPr>
          <w:rFonts w:hint="eastAsia" w:ascii="宋体" w:hAnsi="宋体" w:eastAsia="宋体" w:cs="宋体"/>
          <w:b/>
          <w:bCs/>
          <w:lang w:val="en-US"/>
        </w:rPr>
        <w:t>3.5 危险化学品重大危险源辨识</w:t>
      </w:r>
      <w:bookmarkEnd w:id="742"/>
      <w:bookmarkEnd w:id="743"/>
      <w:bookmarkEnd w:id="744"/>
      <w:bookmarkEnd w:id="745"/>
      <w:bookmarkEnd w:id="746"/>
      <w:bookmarkEnd w:id="747"/>
    </w:p>
    <w:p>
      <w:pPr>
        <w:pStyle w:val="46"/>
        <w:keepNext w:val="0"/>
        <w:keepLines w:val="0"/>
        <w:pageBreakBefore w:val="0"/>
        <w:widowControl w:val="0"/>
        <w:kinsoku/>
        <w:wordWrap/>
        <w:overflowPunct/>
        <w:topLinePunct w:val="0"/>
        <w:autoSpaceDE w:val="0"/>
        <w:autoSpaceDN w:val="0"/>
        <w:bidi w:val="0"/>
        <w:adjustRightInd/>
        <w:spacing w:before="0" w:beforeLines="0" w:line="560" w:lineRule="exact"/>
        <w:ind w:firstLine="560"/>
        <w:jc w:val="both"/>
        <w:rPr>
          <w:rFonts w:hint="eastAsia" w:ascii="宋体" w:hAnsi="宋体" w:eastAsia="宋体" w:cs="宋体"/>
          <w:snapToGrid/>
          <w:color w:val="auto"/>
          <w:szCs w:val="24"/>
        </w:rPr>
      </w:pPr>
      <w:r>
        <w:rPr>
          <w:rFonts w:hint="eastAsia" w:ascii="宋体" w:hAnsi="宋体" w:eastAsia="宋体" w:cs="宋体"/>
          <w:snapToGrid/>
          <w:color w:val="auto"/>
          <w:szCs w:val="24"/>
        </w:rPr>
        <w:t>根据《危险化学品重大危险源辨识》（GB18218-20</w:t>
      </w:r>
      <w:r>
        <w:rPr>
          <w:rFonts w:hint="eastAsia" w:ascii="宋体" w:hAnsi="宋体" w:eastAsia="宋体" w:cs="宋体"/>
          <w:snapToGrid/>
          <w:color w:val="auto"/>
          <w:szCs w:val="24"/>
          <w:lang w:val="en-US"/>
        </w:rPr>
        <w:t>18</w:t>
      </w:r>
      <w:r>
        <w:rPr>
          <w:rFonts w:hint="eastAsia" w:ascii="宋体" w:hAnsi="宋体" w:eastAsia="宋体" w:cs="宋体"/>
          <w:snapToGrid/>
          <w:color w:val="auto"/>
          <w:szCs w:val="24"/>
        </w:rPr>
        <w:t>）规定：“危险化学品重大危险源”指长期地或临时地生产、储存、使用和经营危险化学品，且危险化学品的数量等于或超过临界量的单元。其中单元是指涉及危险化学品的生产、储存装置、设施或场所，分为生产单元和储存单元。临界量是指某种或某类危险化学品构成重大危险源所规定的最小数量。</w:t>
      </w:r>
    </w:p>
    <w:p>
      <w:pPr>
        <w:keepNext w:val="0"/>
        <w:keepLines w:val="0"/>
        <w:pageBreakBefore w:val="0"/>
        <w:widowControl w:val="0"/>
        <w:kinsoku/>
        <w:wordWrap/>
        <w:overflowPunct/>
        <w:topLinePunct w:val="0"/>
        <w:autoSpaceDE w:val="0"/>
        <w:autoSpaceDN w:val="0"/>
        <w:bidi w:val="0"/>
        <w:adjustRightInd/>
        <w:spacing w:line="560" w:lineRule="exact"/>
        <w:jc w:val="both"/>
        <w:rPr>
          <w:rFonts w:hint="eastAsia" w:ascii="宋体" w:hAnsi="宋体" w:eastAsia="宋体" w:cs="宋体"/>
        </w:rPr>
      </w:pPr>
    </w:p>
    <w:p>
      <w:pPr>
        <w:keepNext w:val="0"/>
        <w:keepLines w:val="0"/>
        <w:pageBreakBefore w:val="0"/>
        <w:widowControl w:val="0"/>
        <w:kinsoku/>
        <w:wordWrap/>
        <w:overflowPunct/>
        <w:topLinePunct w:val="0"/>
        <w:autoSpaceDE w:val="0"/>
        <w:autoSpaceDN w:val="0"/>
        <w:bidi w:val="0"/>
        <w:adjustRightInd/>
        <w:spacing w:line="560" w:lineRule="exact"/>
        <w:jc w:val="both"/>
        <w:rPr>
          <w:rFonts w:hint="eastAsia" w:ascii="宋体" w:hAnsi="宋体" w:eastAsia="宋体" w:cs="宋体"/>
        </w:rPr>
      </w:pPr>
    </w:p>
    <w:p>
      <w:pPr>
        <w:keepNext w:val="0"/>
        <w:keepLines w:val="0"/>
        <w:pageBreakBefore w:val="0"/>
        <w:widowControl w:val="0"/>
        <w:tabs>
          <w:tab w:val="left" w:pos="9600"/>
        </w:tabs>
        <w:kinsoku/>
        <w:wordWrap/>
        <w:overflowPunct/>
        <w:topLinePunct w:val="0"/>
        <w:autoSpaceDE w:val="0"/>
        <w:autoSpaceDN w:val="0"/>
        <w:bidi w:val="0"/>
        <w:adjustRightInd/>
        <w:spacing w:line="560" w:lineRule="exact"/>
        <w:ind w:right="38" w:firstLine="480"/>
        <w:jc w:val="both"/>
        <w:rPr>
          <w:rFonts w:hint="eastAsia" w:ascii="宋体" w:hAnsi="宋体" w:eastAsia="宋体" w:cs="宋体"/>
          <w:b/>
          <w:sz w:val="28"/>
          <w:szCs w:val="28"/>
        </w:rPr>
      </w:pPr>
      <w:bookmarkStart w:id="748" w:name="_Toc26178_WPSOffice_Level3"/>
      <w:bookmarkStart w:id="749" w:name="_Toc3414_WPSOffice_Level3"/>
      <w:r>
        <w:rPr>
          <w:rFonts w:hint="eastAsia" w:ascii="宋体" w:hAnsi="宋体" w:eastAsia="宋体" w:cs="宋体"/>
          <w:b/>
          <w:sz w:val="28"/>
          <w:szCs w:val="28"/>
        </w:rPr>
        <w:t>1）危险化学品重大危险源的辨识指标</w:t>
      </w:r>
      <w:bookmarkEnd w:id="748"/>
      <w:bookmarkEnd w:id="749"/>
    </w:p>
    <w:p>
      <w:pPr>
        <w:pStyle w:val="46"/>
        <w:keepNext w:val="0"/>
        <w:keepLines w:val="0"/>
        <w:pageBreakBefore w:val="0"/>
        <w:widowControl w:val="0"/>
        <w:kinsoku/>
        <w:wordWrap/>
        <w:overflowPunct/>
        <w:topLinePunct w:val="0"/>
        <w:autoSpaceDE w:val="0"/>
        <w:autoSpaceDN w:val="0"/>
        <w:bidi w:val="0"/>
        <w:adjustRightInd/>
        <w:spacing w:before="0" w:beforeLines="0" w:line="560" w:lineRule="exact"/>
        <w:ind w:firstLine="560"/>
        <w:jc w:val="both"/>
        <w:rPr>
          <w:rFonts w:hint="eastAsia" w:ascii="宋体" w:hAnsi="宋体" w:eastAsia="宋体" w:cs="宋体"/>
          <w:snapToGrid/>
          <w:color w:val="auto"/>
          <w:szCs w:val="24"/>
        </w:rPr>
      </w:pPr>
      <w:r>
        <w:rPr>
          <w:rFonts w:hint="eastAsia" w:ascii="宋体" w:hAnsi="宋体" w:eastAsia="宋体" w:cs="宋体"/>
          <w:snapToGrid/>
          <w:color w:val="auto"/>
          <w:szCs w:val="24"/>
        </w:rPr>
        <w:t>a．生产单元、储存单元内存在的危险化学品为单一品种，该危险化学品的数量即为单元内危险化学品的总量，若等于或超过相应的临界量，则定为重大危险源。</w:t>
      </w:r>
    </w:p>
    <w:p>
      <w:pPr>
        <w:pStyle w:val="46"/>
        <w:keepNext w:val="0"/>
        <w:keepLines w:val="0"/>
        <w:pageBreakBefore w:val="0"/>
        <w:widowControl w:val="0"/>
        <w:kinsoku/>
        <w:wordWrap/>
        <w:overflowPunct/>
        <w:topLinePunct w:val="0"/>
        <w:autoSpaceDE w:val="0"/>
        <w:autoSpaceDN w:val="0"/>
        <w:bidi w:val="0"/>
        <w:adjustRightInd/>
        <w:spacing w:before="0" w:beforeLines="0" w:line="560" w:lineRule="exact"/>
        <w:ind w:firstLine="560"/>
        <w:jc w:val="both"/>
        <w:rPr>
          <w:rFonts w:hint="eastAsia" w:ascii="宋体" w:hAnsi="宋体" w:eastAsia="宋体" w:cs="宋体"/>
          <w:snapToGrid/>
          <w:color w:val="auto"/>
          <w:szCs w:val="24"/>
        </w:rPr>
      </w:pPr>
      <w:r>
        <w:rPr>
          <w:rFonts w:hint="eastAsia" w:ascii="宋体" w:hAnsi="宋体" w:eastAsia="宋体" w:cs="宋体"/>
          <w:snapToGrid/>
          <w:color w:val="auto"/>
          <w:szCs w:val="24"/>
        </w:rPr>
        <w:t>b.生产单元、储存单元内存在的危险化学品为多品种时，则按下式计算，若满足下式的规定，则定为重大危险源。</w:t>
      </w:r>
    </w:p>
    <w:p>
      <w:pPr>
        <w:pStyle w:val="46"/>
        <w:keepNext w:val="0"/>
        <w:keepLines w:val="0"/>
        <w:pageBreakBefore w:val="0"/>
        <w:widowControl w:val="0"/>
        <w:kinsoku/>
        <w:wordWrap/>
        <w:overflowPunct/>
        <w:topLinePunct w:val="0"/>
        <w:autoSpaceDE w:val="0"/>
        <w:autoSpaceDN w:val="0"/>
        <w:bidi w:val="0"/>
        <w:adjustRightInd/>
        <w:spacing w:before="120" w:beforeLines="0" w:line="560" w:lineRule="exact"/>
        <w:ind w:firstLine="3640" w:firstLineChars="1300"/>
        <w:rPr>
          <w:rFonts w:hint="eastAsia" w:ascii="宋体" w:hAnsi="宋体" w:eastAsia="宋体" w:cs="宋体"/>
          <w:snapToGrid/>
          <w:color w:val="auto"/>
          <w:szCs w:val="24"/>
        </w:rPr>
      </w:pPr>
      <w:r>
        <w:rPr>
          <w:rFonts w:hint="eastAsia" w:ascii="宋体" w:hAnsi="宋体" w:eastAsia="宋体" w:cs="宋体"/>
          <w:snapToGrid/>
          <w:color w:val="auto"/>
          <w:szCs w:val="24"/>
          <w:lang w:val="en-US" w:bidi="ar-SA"/>
        </w:rPr>
        <w:drawing>
          <wp:anchor distT="0" distB="0" distL="114300" distR="114300" simplePos="0" relativeHeight="251662336" behindDoc="0" locked="0" layoutInCell="1" allowOverlap="1">
            <wp:simplePos x="0" y="0"/>
            <wp:positionH relativeFrom="column">
              <wp:posOffset>1295400</wp:posOffset>
            </wp:positionH>
            <wp:positionV relativeFrom="paragraph">
              <wp:posOffset>19050</wp:posOffset>
            </wp:positionV>
            <wp:extent cx="3055620" cy="601980"/>
            <wp:effectExtent l="0" t="0" r="7620" b="7620"/>
            <wp:wrapSquare wrapText="bothSides"/>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67"/>
                    <a:stretch>
                      <a:fillRect/>
                    </a:stretch>
                  </pic:blipFill>
                  <pic:spPr>
                    <a:xfrm>
                      <a:off x="0" y="0"/>
                      <a:ext cx="3055620" cy="601980"/>
                    </a:xfrm>
                    <a:prstGeom prst="rect">
                      <a:avLst/>
                    </a:prstGeom>
                    <a:noFill/>
                    <a:ln>
                      <a:noFill/>
                    </a:ln>
                  </pic:spPr>
                </pic:pic>
              </a:graphicData>
            </a:graphic>
          </wp:anchor>
        </w:drawing>
      </w:r>
    </w:p>
    <w:p>
      <w:pPr>
        <w:pStyle w:val="46"/>
        <w:keepNext w:val="0"/>
        <w:keepLines w:val="0"/>
        <w:pageBreakBefore w:val="0"/>
        <w:widowControl w:val="0"/>
        <w:kinsoku/>
        <w:wordWrap/>
        <w:overflowPunct/>
        <w:topLinePunct w:val="0"/>
        <w:autoSpaceDE w:val="0"/>
        <w:autoSpaceDN w:val="0"/>
        <w:bidi w:val="0"/>
        <w:adjustRightInd/>
        <w:spacing w:before="120" w:beforeLines="0" w:line="560" w:lineRule="exact"/>
        <w:ind w:firstLine="3640" w:firstLineChars="1300"/>
        <w:rPr>
          <w:rFonts w:hint="eastAsia" w:ascii="宋体" w:hAnsi="宋体" w:eastAsia="宋体" w:cs="宋体"/>
          <w:snapToGrid/>
          <w:color w:val="auto"/>
          <w:szCs w:val="24"/>
        </w:rPr>
      </w:pPr>
    </w:p>
    <w:p>
      <w:pPr>
        <w:pStyle w:val="46"/>
        <w:keepNext w:val="0"/>
        <w:keepLines w:val="0"/>
        <w:pageBreakBefore w:val="0"/>
        <w:widowControl w:val="0"/>
        <w:kinsoku/>
        <w:wordWrap/>
        <w:overflowPunct/>
        <w:topLinePunct w:val="0"/>
        <w:autoSpaceDE w:val="0"/>
        <w:autoSpaceDN w:val="0"/>
        <w:bidi w:val="0"/>
        <w:adjustRightInd/>
        <w:spacing w:before="0" w:beforeLines="0" w:line="560" w:lineRule="exact"/>
        <w:ind w:firstLine="560"/>
        <w:rPr>
          <w:rFonts w:hint="eastAsia" w:ascii="宋体" w:hAnsi="宋体" w:eastAsia="宋体" w:cs="宋体"/>
          <w:snapToGrid/>
          <w:color w:val="auto"/>
          <w:szCs w:val="24"/>
        </w:rPr>
      </w:pPr>
      <w:r>
        <w:rPr>
          <w:rFonts w:hint="eastAsia" w:ascii="宋体" w:hAnsi="宋体" w:eastAsia="宋体" w:cs="宋体"/>
          <w:snapToGrid/>
          <w:color w:val="auto"/>
          <w:szCs w:val="24"/>
        </w:rPr>
        <w:t>式中：q</w:t>
      </w:r>
      <w:r>
        <w:rPr>
          <w:rFonts w:hint="eastAsia" w:ascii="宋体" w:hAnsi="宋体" w:eastAsia="宋体" w:cs="宋体"/>
          <w:snapToGrid/>
          <w:color w:val="auto"/>
          <w:szCs w:val="24"/>
          <w:vertAlign w:val="subscript"/>
        </w:rPr>
        <w:t>1</w:t>
      </w:r>
      <w:r>
        <w:rPr>
          <w:rFonts w:hint="eastAsia" w:ascii="宋体" w:hAnsi="宋体" w:eastAsia="宋体" w:cs="宋体"/>
          <w:snapToGrid/>
          <w:color w:val="auto"/>
          <w:szCs w:val="24"/>
        </w:rPr>
        <w:t>、q</w:t>
      </w:r>
      <w:r>
        <w:rPr>
          <w:rFonts w:hint="eastAsia" w:ascii="宋体" w:hAnsi="宋体" w:eastAsia="宋体" w:cs="宋体"/>
          <w:snapToGrid/>
          <w:color w:val="auto"/>
          <w:szCs w:val="24"/>
          <w:vertAlign w:val="subscript"/>
        </w:rPr>
        <w:t>2</w:t>
      </w:r>
      <w:r>
        <w:rPr>
          <w:rFonts w:hint="eastAsia" w:ascii="宋体" w:hAnsi="宋体" w:eastAsia="宋体" w:cs="宋体"/>
          <w:snapToGrid/>
          <w:color w:val="auto"/>
          <w:szCs w:val="24"/>
        </w:rPr>
        <w:t>……q</w:t>
      </w:r>
      <w:r>
        <w:rPr>
          <w:rFonts w:hint="eastAsia" w:ascii="宋体" w:hAnsi="宋体" w:eastAsia="宋体" w:cs="宋体"/>
          <w:snapToGrid/>
          <w:color w:val="auto"/>
          <w:szCs w:val="24"/>
          <w:vertAlign w:val="subscript"/>
        </w:rPr>
        <w:t>n</w:t>
      </w:r>
      <w:r>
        <w:rPr>
          <w:rFonts w:hint="eastAsia" w:ascii="宋体" w:hAnsi="宋体" w:eastAsia="宋体" w:cs="宋体"/>
          <w:snapToGrid/>
          <w:color w:val="auto"/>
          <w:szCs w:val="24"/>
        </w:rPr>
        <w:t>——每种危险物质实际存在量，t；</w:t>
      </w:r>
    </w:p>
    <w:p>
      <w:pPr>
        <w:pStyle w:val="46"/>
        <w:keepNext w:val="0"/>
        <w:keepLines w:val="0"/>
        <w:pageBreakBefore w:val="0"/>
        <w:widowControl w:val="0"/>
        <w:kinsoku/>
        <w:wordWrap/>
        <w:overflowPunct/>
        <w:topLinePunct w:val="0"/>
        <w:autoSpaceDE w:val="0"/>
        <w:autoSpaceDN w:val="0"/>
        <w:bidi w:val="0"/>
        <w:adjustRightInd/>
        <w:spacing w:beforeLines="0" w:line="560" w:lineRule="exact"/>
        <w:ind w:firstLine="560"/>
        <w:rPr>
          <w:rFonts w:hint="eastAsia" w:ascii="宋体" w:hAnsi="宋体" w:eastAsia="宋体" w:cs="宋体"/>
          <w:color w:val="auto"/>
          <w:szCs w:val="24"/>
        </w:rPr>
      </w:pPr>
      <w:r>
        <w:rPr>
          <w:rFonts w:hint="eastAsia" w:ascii="宋体" w:hAnsi="宋体" w:eastAsia="宋体" w:cs="宋体"/>
          <w:snapToGrid/>
          <w:color w:val="auto"/>
          <w:szCs w:val="24"/>
        </w:rPr>
        <w:t>Q</w:t>
      </w:r>
      <w:r>
        <w:rPr>
          <w:rFonts w:hint="eastAsia" w:ascii="宋体" w:hAnsi="宋体" w:eastAsia="宋体" w:cs="宋体"/>
          <w:snapToGrid/>
          <w:color w:val="auto"/>
          <w:szCs w:val="24"/>
          <w:vertAlign w:val="subscript"/>
        </w:rPr>
        <w:t>1</w:t>
      </w:r>
      <w:r>
        <w:rPr>
          <w:rFonts w:hint="eastAsia" w:ascii="宋体" w:hAnsi="宋体" w:eastAsia="宋体" w:cs="宋体"/>
          <w:snapToGrid/>
          <w:color w:val="auto"/>
          <w:szCs w:val="24"/>
        </w:rPr>
        <w:t>、Q</w:t>
      </w:r>
      <w:r>
        <w:rPr>
          <w:rFonts w:hint="eastAsia" w:ascii="宋体" w:hAnsi="宋体" w:eastAsia="宋体" w:cs="宋体"/>
          <w:snapToGrid/>
          <w:color w:val="auto"/>
          <w:szCs w:val="24"/>
          <w:vertAlign w:val="subscript"/>
        </w:rPr>
        <w:t>2</w:t>
      </w:r>
      <w:r>
        <w:rPr>
          <w:rFonts w:hint="eastAsia" w:ascii="宋体" w:hAnsi="宋体" w:eastAsia="宋体" w:cs="宋体"/>
          <w:snapToGrid/>
          <w:color w:val="auto"/>
          <w:szCs w:val="24"/>
        </w:rPr>
        <w:t>……Q</w:t>
      </w:r>
      <w:r>
        <w:rPr>
          <w:rFonts w:hint="eastAsia" w:ascii="宋体" w:hAnsi="宋体" w:eastAsia="宋体" w:cs="宋体"/>
          <w:snapToGrid/>
          <w:color w:val="auto"/>
          <w:szCs w:val="24"/>
          <w:vertAlign w:val="subscript"/>
        </w:rPr>
        <w:t>n</w:t>
      </w:r>
      <w:r>
        <w:rPr>
          <w:rFonts w:hint="eastAsia" w:ascii="宋体" w:hAnsi="宋体" w:eastAsia="宋体" w:cs="宋体"/>
          <w:snapToGrid/>
          <w:color w:val="auto"/>
          <w:szCs w:val="24"/>
        </w:rPr>
        <w:t>——与各危险物质相对应的临界量，t。</w:t>
      </w:r>
    </w:p>
    <w:p>
      <w:pPr>
        <w:keepNext w:val="0"/>
        <w:keepLines w:val="0"/>
        <w:pageBreakBefore w:val="0"/>
        <w:widowControl w:val="0"/>
        <w:tabs>
          <w:tab w:val="left" w:pos="7920"/>
          <w:tab w:val="left" w:pos="8040"/>
        </w:tabs>
        <w:kinsoku/>
        <w:wordWrap/>
        <w:overflowPunct/>
        <w:topLinePunct w:val="0"/>
        <w:autoSpaceDE w:val="0"/>
        <w:autoSpaceDN w:val="0"/>
        <w:bidi w:val="0"/>
        <w:adjustRightInd/>
        <w:spacing w:line="560" w:lineRule="exact"/>
        <w:ind w:right="26" w:firstLine="480"/>
        <w:rPr>
          <w:rFonts w:hint="eastAsia" w:ascii="宋体" w:hAnsi="宋体" w:eastAsia="宋体" w:cs="宋体"/>
          <w:sz w:val="28"/>
        </w:rPr>
      </w:pPr>
      <w:bookmarkStart w:id="750" w:name="_Toc15667_WPSOffice_Level3"/>
      <w:bookmarkStart w:id="751" w:name="_Toc31567_WPSOffice_Level3"/>
      <w:r>
        <w:rPr>
          <w:rFonts w:hint="eastAsia" w:ascii="宋体" w:hAnsi="宋体" w:eastAsia="宋体" w:cs="宋体"/>
          <w:b/>
          <w:sz w:val="28"/>
          <w:szCs w:val="28"/>
        </w:rPr>
        <w:t>2）重大危险源的辨识</w:t>
      </w:r>
      <w:bookmarkEnd w:id="750"/>
      <w:bookmarkEnd w:id="751"/>
    </w:p>
    <w:p>
      <w:pPr>
        <w:pStyle w:val="47"/>
        <w:keepNext w:val="0"/>
        <w:keepLines w:val="0"/>
        <w:pageBreakBefore w:val="0"/>
        <w:widowControl w:val="0"/>
        <w:kinsoku/>
        <w:wordWrap/>
        <w:overflowPunct/>
        <w:topLinePunct w:val="0"/>
        <w:autoSpaceDE w:val="0"/>
        <w:autoSpaceDN w:val="0"/>
        <w:bidi w:val="0"/>
        <w:adjustRightInd/>
        <w:spacing w:line="560" w:lineRule="exact"/>
        <w:rPr>
          <w:rFonts w:hint="eastAsia" w:ascii="宋体" w:hAnsi="宋体" w:eastAsia="宋体" w:cs="宋体"/>
          <w:color w:val="auto"/>
        </w:rPr>
      </w:pPr>
      <w:r>
        <w:rPr>
          <w:rFonts w:hint="eastAsia" w:ascii="宋体" w:hAnsi="宋体" w:eastAsia="宋体" w:cs="宋体"/>
          <w:color w:val="auto"/>
        </w:rPr>
        <w:t>根据《危险化学品重大危险源辨识》（GB18218-2018），汽油的临界量为200t，柴油[闭杯闪点≤60℃]的临界量为5000t。</w:t>
      </w:r>
    </w:p>
    <w:p>
      <w:pPr>
        <w:pStyle w:val="47"/>
        <w:keepNext w:val="0"/>
        <w:keepLines w:val="0"/>
        <w:pageBreakBefore w:val="0"/>
        <w:widowControl w:val="0"/>
        <w:kinsoku/>
        <w:wordWrap/>
        <w:overflowPunct/>
        <w:topLinePunct w:val="0"/>
        <w:autoSpaceDE w:val="0"/>
        <w:autoSpaceDN w:val="0"/>
        <w:bidi w:val="0"/>
        <w:adjustRightInd/>
        <w:spacing w:line="560" w:lineRule="exact"/>
        <w:rPr>
          <w:rFonts w:hint="eastAsia" w:ascii="宋体" w:hAnsi="宋体" w:eastAsia="宋体" w:cs="宋体"/>
          <w:color w:val="auto"/>
        </w:rPr>
      </w:pPr>
      <w:r>
        <w:rPr>
          <w:rFonts w:hint="eastAsia" w:ascii="宋体" w:hAnsi="宋体" w:eastAsia="宋体" w:cs="宋体"/>
          <w:color w:val="auto"/>
        </w:rPr>
        <w:t>根据</w:t>
      </w:r>
      <w:r>
        <w:rPr>
          <w:rFonts w:hint="eastAsia" w:ascii="宋体" w:hAnsi="宋体" w:eastAsia="宋体" w:cs="宋体"/>
          <w:color w:val="auto"/>
          <w:lang w:eastAsia="zh-CN"/>
        </w:rPr>
        <w:t>横坑加油站</w:t>
      </w:r>
      <w:r>
        <w:rPr>
          <w:rFonts w:hint="eastAsia" w:ascii="宋体" w:hAnsi="宋体" w:eastAsia="宋体" w:cs="宋体"/>
          <w:color w:val="auto"/>
        </w:rPr>
        <w:t>的实际情况，</w:t>
      </w:r>
      <w:r>
        <w:rPr>
          <w:rFonts w:hint="eastAsia" w:ascii="宋体" w:hAnsi="宋体" w:eastAsia="宋体" w:cs="宋体"/>
          <w:color w:val="auto"/>
          <w:lang w:eastAsia="zh-CN"/>
        </w:rPr>
        <w:t>横坑加油站</w:t>
      </w:r>
      <w:r>
        <w:rPr>
          <w:rFonts w:hint="eastAsia" w:ascii="宋体" w:hAnsi="宋体" w:eastAsia="宋体" w:cs="宋体"/>
          <w:color w:val="auto"/>
        </w:rPr>
        <w:t>设有</w:t>
      </w:r>
      <w:r>
        <w:rPr>
          <w:rFonts w:hint="eastAsia" w:ascii="宋体" w:hAnsi="宋体" w:eastAsia="宋体" w:cs="宋体"/>
          <w:color w:val="auto"/>
          <w:lang w:val="en-US" w:eastAsia="zh-CN"/>
        </w:rPr>
        <w:t>5</w:t>
      </w:r>
      <w:r>
        <w:rPr>
          <w:rFonts w:hint="eastAsia" w:ascii="宋体" w:hAnsi="宋体" w:eastAsia="宋体" w:cs="宋体"/>
          <w:color w:val="auto"/>
        </w:rPr>
        <w:t>0m</w:t>
      </w:r>
      <w:r>
        <w:rPr>
          <w:rFonts w:hint="eastAsia" w:ascii="宋体" w:hAnsi="宋体" w:eastAsia="宋体" w:cs="宋体"/>
          <w:color w:val="auto"/>
          <w:vertAlign w:val="superscript"/>
        </w:rPr>
        <w:t>3</w:t>
      </w:r>
      <w:r>
        <w:rPr>
          <w:rFonts w:hint="eastAsia" w:ascii="宋体" w:hAnsi="宋体" w:eastAsia="宋体" w:cs="宋体"/>
          <w:color w:val="auto"/>
        </w:rPr>
        <w:t>汽油罐</w:t>
      </w:r>
      <w:r>
        <w:rPr>
          <w:rFonts w:hint="eastAsia" w:ascii="宋体" w:hAnsi="宋体" w:eastAsia="宋体" w:cs="宋体"/>
          <w:color w:val="auto"/>
          <w:lang w:val="en-US" w:eastAsia="zh-CN"/>
        </w:rPr>
        <w:t>1</w:t>
      </w:r>
      <w:r>
        <w:rPr>
          <w:rFonts w:hint="eastAsia" w:ascii="宋体" w:hAnsi="宋体" w:eastAsia="宋体" w:cs="宋体"/>
          <w:color w:val="auto"/>
        </w:rPr>
        <w:t>个</w:t>
      </w:r>
      <w:r>
        <w:rPr>
          <w:rFonts w:hint="eastAsia" w:ascii="宋体" w:hAnsi="宋体" w:eastAsia="宋体" w:cs="宋体"/>
          <w:color w:val="auto"/>
          <w:lang w:eastAsia="zh-CN"/>
        </w:rPr>
        <w:t>，</w:t>
      </w:r>
      <w:r>
        <w:rPr>
          <w:rFonts w:hint="eastAsia" w:ascii="宋体" w:hAnsi="宋体" w:eastAsia="宋体" w:cs="宋体"/>
          <w:color w:val="auto"/>
          <w:lang w:val="en-US" w:eastAsia="zh-CN"/>
        </w:rPr>
        <w:t>3</w:t>
      </w:r>
      <w:r>
        <w:rPr>
          <w:rFonts w:hint="eastAsia" w:ascii="宋体" w:hAnsi="宋体" w:eastAsia="宋体" w:cs="宋体"/>
          <w:color w:val="auto"/>
        </w:rPr>
        <w:t>0m</w:t>
      </w:r>
      <w:r>
        <w:rPr>
          <w:rFonts w:hint="eastAsia" w:ascii="宋体" w:hAnsi="宋体" w:eastAsia="宋体" w:cs="宋体"/>
          <w:color w:val="auto"/>
          <w:vertAlign w:val="superscript"/>
        </w:rPr>
        <w:t>3</w:t>
      </w:r>
      <w:r>
        <w:rPr>
          <w:rFonts w:hint="eastAsia" w:ascii="宋体" w:hAnsi="宋体" w:eastAsia="宋体" w:cs="宋体"/>
          <w:color w:val="auto"/>
        </w:rPr>
        <w:t>汽油罐</w:t>
      </w:r>
      <w:r>
        <w:rPr>
          <w:rFonts w:hint="eastAsia" w:ascii="宋体" w:hAnsi="宋体" w:eastAsia="宋体" w:cs="宋体"/>
          <w:color w:val="auto"/>
          <w:lang w:val="en-US" w:eastAsia="zh-CN"/>
        </w:rPr>
        <w:t>1</w:t>
      </w:r>
      <w:r>
        <w:rPr>
          <w:rFonts w:hint="eastAsia" w:ascii="宋体" w:hAnsi="宋体" w:eastAsia="宋体" w:cs="宋体"/>
          <w:color w:val="auto"/>
        </w:rPr>
        <w:t>个、</w:t>
      </w:r>
      <w:r>
        <w:rPr>
          <w:rFonts w:hint="eastAsia" w:ascii="宋体" w:hAnsi="宋体" w:eastAsia="宋体" w:cs="宋体"/>
          <w:color w:val="auto"/>
          <w:lang w:val="en-US" w:eastAsia="zh-CN"/>
        </w:rPr>
        <w:t>15</w:t>
      </w:r>
      <w:r>
        <w:rPr>
          <w:rFonts w:hint="eastAsia" w:ascii="宋体" w:hAnsi="宋体" w:eastAsia="宋体" w:cs="宋体"/>
          <w:color w:val="auto"/>
        </w:rPr>
        <w:t>m</w:t>
      </w:r>
      <w:r>
        <w:rPr>
          <w:rFonts w:hint="eastAsia" w:ascii="宋体" w:hAnsi="宋体" w:eastAsia="宋体" w:cs="宋体"/>
          <w:color w:val="auto"/>
          <w:vertAlign w:val="superscript"/>
        </w:rPr>
        <w:t>3</w:t>
      </w:r>
      <w:r>
        <w:rPr>
          <w:rFonts w:hint="eastAsia" w:ascii="宋体" w:hAnsi="宋体" w:eastAsia="宋体" w:cs="宋体"/>
          <w:color w:val="auto"/>
        </w:rPr>
        <w:t>汽油罐</w:t>
      </w:r>
      <w:r>
        <w:rPr>
          <w:rFonts w:hint="eastAsia" w:ascii="宋体" w:hAnsi="宋体" w:eastAsia="宋体" w:cs="宋体"/>
          <w:color w:val="auto"/>
          <w:lang w:val="en-US" w:eastAsia="zh-CN"/>
        </w:rPr>
        <w:t>1</w:t>
      </w:r>
      <w:r>
        <w:rPr>
          <w:rFonts w:hint="eastAsia" w:ascii="宋体" w:hAnsi="宋体" w:eastAsia="宋体" w:cs="宋体"/>
          <w:color w:val="auto"/>
        </w:rPr>
        <w:t>个、</w:t>
      </w:r>
      <w:r>
        <w:rPr>
          <w:rFonts w:hint="eastAsia" w:ascii="宋体" w:hAnsi="宋体" w:eastAsia="宋体" w:cs="宋体"/>
          <w:color w:val="auto"/>
          <w:lang w:val="en-US" w:eastAsia="zh-CN"/>
        </w:rPr>
        <w:t>50</w:t>
      </w:r>
      <w:r>
        <w:rPr>
          <w:rFonts w:hint="eastAsia" w:ascii="宋体" w:hAnsi="宋体" w:eastAsia="宋体" w:cs="宋体"/>
          <w:color w:val="auto"/>
        </w:rPr>
        <w:t>m</w:t>
      </w:r>
      <w:r>
        <w:rPr>
          <w:rFonts w:hint="eastAsia" w:ascii="宋体" w:hAnsi="宋体" w:eastAsia="宋体" w:cs="宋体"/>
          <w:color w:val="auto"/>
          <w:vertAlign w:val="superscript"/>
        </w:rPr>
        <w:t>3</w:t>
      </w:r>
      <w:r>
        <w:rPr>
          <w:rFonts w:hint="eastAsia" w:ascii="宋体" w:hAnsi="宋体" w:eastAsia="宋体" w:cs="宋体"/>
          <w:color w:val="auto"/>
        </w:rPr>
        <w:t>柴油罐</w:t>
      </w:r>
      <w:r>
        <w:rPr>
          <w:rFonts w:hint="eastAsia" w:ascii="宋体" w:hAnsi="宋体" w:eastAsia="宋体" w:cs="宋体"/>
          <w:color w:val="auto"/>
          <w:lang w:val="en-US" w:eastAsia="zh-CN"/>
        </w:rPr>
        <w:t>1</w:t>
      </w:r>
      <w:r>
        <w:rPr>
          <w:rFonts w:hint="eastAsia" w:ascii="宋体" w:hAnsi="宋体" w:eastAsia="宋体" w:cs="宋体"/>
          <w:color w:val="auto"/>
        </w:rPr>
        <w:t>个。</w:t>
      </w:r>
    </w:p>
    <w:p>
      <w:pPr>
        <w:pStyle w:val="47"/>
        <w:keepNext w:val="0"/>
        <w:keepLines w:val="0"/>
        <w:pageBreakBefore w:val="0"/>
        <w:widowControl w:val="0"/>
        <w:kinsoku/>
        <w:wordWrap/>
        <w:overflowPunct/>
        <w:topLinePunct w:val="0"/>
        <w:autoSpaceDE w:val="0"/>
        <w:autoSpaceDN w:val="0"/>
        <w:bidi w:val="0"/>
        <w:adjustRightInd/>
        <w:spacing w:line="560" w:lineRule="exact"/>
        <w:rPr>
          <w:rFonts w:hint="eastAsia" w:ascii="宋体" w:hAnsi="宋体" w:eastAsia="宋体" w:cs="宋体"/>
          <w:color w:val="auto"/>
        </w:rPr>
      </w:pPr>
      <w:r>
        <w:rPr>
          <w:rFonts w:hint="eastAsia" w:ascii="宋体" w:hAnsi="宋体" w:eastAsia="宋体" w:cs="宋体"/>
          <w:color w:val="auto"/>
        </w:rPr>
        <w:t>汽油贮罐的总储量为：</w:t>
      </w:r>
      <w:r>
        <w:rPr>
          <w:rFonts w:hint="eastAsia" w:ascii="宋体" w:hAnsi="宋体" w:eastAsia="宋体" w:cs="宋体"/>
          <w:color w:val="auto"/>
          <w:lang w:val="en-US" w:eastAsia="zh-CN"/>
        </w:rPr>
        <w:t>95</w:t>
      </w:r>
      <w:r>
        <w:rPr>
          <w:rFonts w:hint="eastAsia" w:ascii="宋体" w:hAnsi="宋体" w:eastAsia="宋体" w:cs="宋体"/>
          <w:color w:val="auto"/>
        </w:rPr>
        <w:t>m</w:t>
      </w:r>
      <w:r>
        <w:rPr>
          <w:rFonts w:hint="eastAsia" w:ascii="宋体" w:hAnsi="宋体" w:eastAsia="宋体" w:cs="宋体"/>
          <w:color w:val="auto"/>
          <w:vertAlign w:val="superscript"/>
        </w:rPr>
        <w:t>3</w:t>
      </w:r>
      <w:r>
        <w:rPr>
          <w:rFonts w:hint="eastAsia" w:ascii="宋体" w:hAnsi="宋体" w:eastAsia="宋体" w:cs="宋体"/>
          <w:color w:val="auto"/>
        </w:rPr>
        <w:t>×0.73t/m</w:t>
      </w:r>
      <w:r>
        <w:rPr>
          <w:rFonts w:hint="eastAsia" w:ascii="宋体" w:hAnsi="宋体" w:eastAsia="宋体" w:cs="宋体"/>
          <w:color w:val="auto"/>
          <w:vertAlign w:val="superscript"/>
        </w:rPr>
        <w:t>3</w:t>
      </w:r>
      <w:r>
        <w:rPr>
          <w:rFonts w:hint="eastAsia" w:ascii="宋体" w:hAnsi="宋体" w:eastAsia="宋体" w:cs="宋体"/>
          <w:color w:val="auto"/>
        </w:rPr>
        <w:t>＝</w:t>
      </w:r>
      <w:r>
        <w:rPr>
          <w:rFonts w:hint="eastAsia" w:ascii="宋体" w:hAnsi="宋体" w:eastAsia="宋体" w:cs="宋体"/>
          <w:color w:val="auto"/>
          <w:lang w:val="en-US" w:eastAsia="zh-CN"/>
        </w:rPr>
        <w:t>69.35</w:t>
      </w:r>
      <w:r>
        <w:rPr>
          <w:rFonts w:hint="eastAsia" w:ascii="宋体" w:hAnsi="宋体" w:eastAsia="宋体" w:cs="宋体"/>
          <w:color w:val="auto"/>
        </w:rPr>
        <w:t>t。</w:t>
      </w:r>
    </w:p>
    <w:p>
      <w:pPr>
        <w:pStyle w:val="47"/>
        <w:keepNext w:val="0"/>
        <w:keepLines w:val="0"/>
        <w:pageBreakBefore w:val="0"/>
        <w:widowControl w:val="0"/>
        <w:kinsoku/>
        <w:wordWrap/>
        <w:overflowPunct/>
        <w:topLinePunct w:val="0"/>
        <w:autoSpaceDE w:val="0"/>
        <w:autoSpaceDN w:val="0"/>
        <w:bidi w:val="0"/>
        <w:adjustRightInd/>
        <w:spacing w:line="560" w:lineRule="exact"/>
        <w:rPr>
          <w:rFonts w:hint="eastAsia" w:ascii="宋体" w:hAnsi="宋体" w:eastAsia="宋体" w:cs="宋体"/>
          <w:color w:val="auto"/>
        </w:rPr>
      </w:pPr>
      <w:r>
        <w:rPr>
          <w:rFonts w:hint="eastAsia" w:ascii="宋体" w:hAnsi="宋体" w:eastAsia="宋体" w:cs="宋体"/>
          <w:color w:val="auto"/>
        </w:rPr>
        <w:t>柴油贮罐的总储量为：</w:t>
      </w:r>
      <w:r>
        <w:rPr>
          <w:rFonts w:hint="eastAsia" w:ascii="宋体" w:hAnsi="宋体" w:eastAsia="宋体" w:cs="宋体"/>
          <w:color w:val="auto"/>
          <w:lang w:val="en-US" w:eastAsia="zh-CN"/>
        </w:rPr>
        <w:t>5</w:t>
      </w:r>
      <w:r>
        <w:rPr>
          <w:rFonts w:hint="eastAsia" w:ascii="宋体" w:hAnsi="宋体" w:eastAsia="宋体" w:cs="宋体"/>
          <w:color w:val="auto"/>
        </w:rPr>
        <w:t>0m</w:t>
      </w:r>
      <w:r>
        <w:rPr>
          <w:rFonts w:hint="eastAsia" w:ascii="宋体" w:hAnsi="宋体" w:eastAsia="宋体" w:cs="宋体"/>
          <w:color w:val="auto"/>
          <w:vertAlign w:val="superscript"/>
        </w:rPr>
        <w:t>3</w:t>
      </w:r>
      <w:r>
        <w:rPr>
          <w:rFonts w:hint="eastAsia" w:ascii="宋体" w:hAnsi="宋体" w:eastAsia="宋体" w:cs="宋体"/>
          <w:color w:val="auto"/>
        </w:rPr>
        <w:t>×0.84t/m</w:t>
      </w:r>
      <w:r>
        <w:rPr>
          <w:rFonts w:hint="eastAsia" w:ascii="宋体" w:hAnsi="宋体" w:eastAsia="宋体" w:cs="宋体"/>
          <w:color w:val="auto"/>
          <w:vertAlign w:val="superscript"/>
        </w:rPr>
        <w:t>3</w:t>
      </w:r>
      <w:r>
        <w:rPr>
          <w:rFonts w:hint="eastAsia" w:ascii="宋体" w:hAnsi="宋体" w:eastAsia="宋体" w:cs="宋体"/>
          <w:color w:val="auto"/>
        </w:rPr>
        <w:t>＝</w:t>
      </w:r>
      <w:r>
        <w:rPr>
          <w:rFonts w:hint="eastAsia" w:ascii="宋体" w:hAnsi="宋体" w:eastAsia="宋体" w:cs="宋体"/>
          <w:color w:val="auto"/>
          <w:lang w:val="en-US" w:eastAsia="zh-CN"/>
        </w:rPr>
        <w:t>42</w:t>
      </w:r>
      <w:r>
        <w:rPr>
          <w:rFonts w:hint="eastAsia" w:ascii="宋体" w:hAnsi="宋体" w:eastAsia="宋体" w:cs="宋体"/>
          <w:color w:val="auto"/>
        </w:rPr>
        <w:t>t。</w:t>
      </w:r>
    </w:p>
    <w:p>
      <w:pPr>
        <w:pStyle w:val="47"/>
        <w:keepNext w:val="0"/>
        <w:keepLines w:val="0"/>
        <w:pageBreakBefore w:val="0"/>
        <w:widowControl w:val="0"/>
        <w:kinsoku/>
        <w:wordWrap/>
        <w:overflowPunct/>
        <w:topLinePunct w:val="0"/>
        <w:autoSpaceDE w:val="0"/>
        <w:autoSpaceDN w:val="0"/>
        <w:bidi w:val="0"/>
        <w:adjustRightInd/>
        <w:spacing w:line="560" w:lineRule="exact"/>
        <w:ind w:firstLine="480"/>
        <w:rPr>
          <w:rFonts w:hint="eastAsia" w:ascii="宋体" w:hAnsi="宋体" w:eastAsia="宋体" w:cs="宋体"/>
          <w:color w:val="auto"/>
          <w:sz w:val="24"/>
          <w:szCs w:val="24"/>
        </w:rPr>
      </w:pPr>
      <w:r>
        <w:rPr>
          <w:rFonts w:hint="eastAsia" w:ascii="宋体" w:hAnsi="宋体" w:eastAsia="宋体" w:cs="宋体"/>
          <w:color w:val="auto"/>
          <w:sz w:val="24"/>
          <w:szCs w:val="24"/>
        </w:rPr>
        <w:t>注：汽油密度选取为0.73g/cm</w:t>
      </w:r>
      <w:r>
        <w:rPr>
          <w:rFonts w:hint="eastAsia" w:ascii="宋体" w:hAnsi="宋体" w:eastAsia="宋体" w:cs="宋体"/>
          <w:color w:val="auto"/>
          <w:sz w:val="24"/>
          <w:szCs w:val="24"/>
          <w:vertAlign w:val="superscript"/>
        </w:rPr>
        <w:t>3</w:t>
      </w:r>
      <w:r>
        <w:rPr>
          <w:rFonts w:hint="eastAsia" w:ascii="宋体" w:hAnsi="宋体" w:eastAsia="宋体" w:cs="宋体"/>
          <w:color w:val="auto"/>
          <w:sz w:val="24"/>
          <w:szCs w:val="24"/>
        </w:rPr>
        <w:t>=0.73t/m</w:t>
      </w:r>
      <w:r>
        <w:rPr>
          <w:rFonts w:hint="eastAsia" w:ascii="宋体" w:hAnsi="宋体" w:eastAsia="宋体" w:cs="宋体"/>
          <w:color w:val="auto"/>
          <w:sz w:val="24"/>
          <w:szCs w:val="24"/>
          <w:vertAlign w:val="superscript"/>
        </w:rPr>
        <w:t>3</w:t>
      </w:r>
      <w:r>
        <w:rPr>
          <w:rFonts w:hint="eastAsia" w:ascii="宋体" w:hAnsi="宋体" w:eastAsia="宋体" w:cs="宋体"/>
          <w:color w:val="auto"/>
          <w:sz w:val="24"/>
          <w:szCs w:val="24"/>
        </w:rPr>
        <w:t>；柴油密度选取为0.84g/cm</w:t>
      </w:r>
      <w:r>
        <w:rPr>
          <w:rFonts w:hint="eastAsia" w:ascii="宋体" w:hAnsi="宋体" w:eastAsia="宋体" w:cs="宋体"/>
          <w:color w:val="auto"/>
          <w:sz w:val="24"/>
          <w:szCs w:val="24"/>
          <w:vertAlign w:val="superscript"/>
        </w:rPr>
        <w:t>3</w:t>
      </w:r>
      <w:r>
        <w:rPr>
          <w:rFonts w:hint="eastAsia" w:ascii="宋体" w:hAnsi="宋体" w:eastAsia="宋体" w:cs="宋体"/>
          <w:color w:val="auto"/>
          <w:sz w:val="24"/>
          <w:szCs w:val="24"/>
        </w:rPr>
        <w:t>=0.84t/m</w:t>
      </w:r>
      <w:r>
        <w:rPr>
          <w:rFonts w:hint="eastAsia" w:ascii="宋体" w:hAnsi="宋体" w:eastAsia="宋体" w:cs="宋体"/>
          <w:color w:val="auto"/>
          <w:sz w:val="24"/>
          <w:szCs w:val="24"/>
          <w:vertAlign w:val="superscript"/>
        </w:rPr>
        <w:t>3</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autoSpaceDE w:val="0"/>
        <w:autoSpaceDN w:val="0"/>
        <w:bidi w:val="0"/>
        <w:adjustRightInd/>
        <w:spacing w:line="560" w:lineRule="exact"/>
        <w:ind w:firstLine="570"/>
        <w:rPr>
          <w:rFonts w:hint="eastAsia" w:ascii="宋体" w:hAnsi="宋体" w:eastAsia="宋体" w:cs="宋体"/>
          <w:sz w:val="28"/>
          <w:szCs w:val="28"/>
          <w:lang w:val="en-US"/>
        </w:rPr>
      </w:pPr>
      <w:r>
        <w:rPr>
          <w:rFonts w:hint="eastAsia" w:ascii="宋体" w:hAnsi="宋体" w:eastAsia="宋体" w:cs="宋体"/>
          <w:sz w:val="28"/>
          <w:szCs w:val="28"/>
        </w:rPr>
        <w:t>该加油站无生产单元。只</w:t>
      </w:r>
      <w:r>
        <w:rPr>
          <w:rFonts w:hint="eastAsia" w:ascii="宋体" w:hAnsi="宋体" w:eastAsia="宋体" w:cs="宋体"/>
          <w:sz w:val="28"/>
          <w:szCs w:val="28"/>
          <w:lang w:eastAsia="zh-CN"/>
        </w:rPr>
        <w:t>有</w:t>
      </w:r>
      <w:r>
        <w:rPr>
          <w:rFonts w:hint="eastAsia" w:ascii="宋体" w:hAnsi="宋体" w:eastAsia="宋体" w:cs="宋体"/>
          <w:snapToGrid/>
          <w:color w:val="auto"/>
          <w:sz w:val="28"/>
          <w:szCs w:val="28"/>
        </w:rPr>
        <w:t>储存</w:t>
      </w:r>
      <w:r>
        <w:rPr>
          <w:rFonts w:hint="eastAsia" w:ascii="宋体" w:hAnsi="宋体" w:eastAsia="宋体" w:cs="宋体"/>
          <w:sz w:val="28"/>
          <w:szCs w:val="28"/>
        </w:rPr>
        <w:t>单元。储存单元具体计算结果如下：</w:t>
      </w:r>
    </w:p>
    <w:p>
      <w:pPr>
        <w:tabs>
          <w:tab w:val="left" w:pos="3889"/>
        </w:tabs>
        <w:spacing w:before="211"/>
        <w:ind w:left="2268"/>
        <w:rPr>
          <w:rFonts w:hint="eastAsia" w:ascii="宋体" w:hAnsi="宋体" w:eastAsia="宋体" w:cs="宋体"/>
          <w:sz w:val="28"/>
          <w:szCs w:val="28"/>
        </w:rPr>
      </w:pPr>
      <w:r>
        <w:rPr>
          <w:rFonts w:hint="eastAsia" w:ascii="宋体" w:hAnsi="宋体" w:eastAsia="宋体" w:cs="宋体"/>
          <w:sz w:val="28"/>
          <w:szCs w:val="28"/>
        </w:rPr>
        <w:t>表3.</w:t>
      </w:r>
      <w:r>
        <w:rPr>
          <w:rFonts w:hint="eastAsia" w:ascii="宋体" w:hAnsi="宋体" w:eastAsia="宋体" w:cs="宋体"/>
          <w:sz w:val="28"/>
          <w:szCs w:val="28"/>
          <w:lang w:val="en-US"/>
        </w:rPr>
        <w:t>5</w:t>
      </w:r>
      <w:r>
        <w:rPr>
          <w:rFonts w:hint="eastAsia" w:ascii="宋体" w:hAnsi="宋体" w:eastAsia="宋体" w:cs="宋体"/>
          <w:sz w:val="28"/>
          <w:szCs w:val="28"/>
        </w:rPr>
        <w:t>-1</w:t>
      </w:r>
      <w:r>
        <w:rPr>
          <w:rFonts w:hint="eastAsia" w:ascii="宋体" w:hAnsi="宋体" w:eastAsia="宋体" w:cs="宋体"/>
          <w:sz w:val="28"/>
          <w:szCs w:val="28"/>
          <w:lang w:val="en-US"/>
        </w:rPr>
        <w:t xml:space="preserve"> </w:t>
      </w:r>
      <w:r>
        <w:rPr>
          <w:rFonts w:hint="eastAsia" w:ascii="宋体" w:hAnsi="宋体" w:eastAsia="宋体" w:cs="宋体"/>
          <w:sz w:val="28"/>
          <w:szCs w:val="28"/>
        </w:rPr>
        <w:t>危险化学品重大危险源辨识表</w:t>
      </w:r>
    </w:p>
    <w:p>
      <w:pPr>
        <w:pStyle w:val="6"/>
        <w:spacing w:before="5"/>
        <w:rPr>
          <w:rFonts w:hint="eastAsia" w:ascii="宋体" w:hAnsi="宋体" w:eastAsia="宋体" w:cs="宋体"/>
          <w:b/>
          <w:sz w:val="6"/>
        </w:rPr>
      </w:pPr>
    </w:p>
    <w:tbl>
      <w:tblPr>
        <w:tblStyle w:val="21"/>
        <w:tblW w:w="9772" w:type="dxa"/>
        <w:tblInd w:w="-283"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665"/>
        <w:gridCol w:w="1337"/>
        <w:gridCol w:w="1289"/>
        <w:gridCol w:w="1309"/>
        <w:gridCol w:w="1500"/>
        <w:gridCol w:w="1511"/>
        <w:gridCol w:w="1161"/>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23" w:hRule="atLeast"/>
        </w:trPr>
        <w:tc>
          <w:tcPr>
            <w:tcW w:w="1665" w:type="dxa"/>
            <w:tcBorders>
              <w:bottom w:val="single" w:color="000000" w:sz="4" w:space="0"/>
              <w:right w:val="single" w:color="000000" w:sz="4" w:space="0"/>
            </w:tcBorders>
          </w:tcPr>
          <w:p>
            <w:pPr>
              <w:pStyle w:val="23"/>
              <w:spacing w:before="22"/>
              <w:ind w:left="124" w:right="103"/>
              <w:jc w:val="center"/>
              <w:rPr>
                <w:rFonts w:hint="eastAsia" w:ascii="宋体" w:hAnsi="宋体" w:eastAsia="宋体" w:cs="宋体"/>
                <w:sz w:val="21"/>
                <w:szCs w:val="21"/>
              </w:rPr>
            </w:pPr>
            <w:r>
              <w:rPr>
                <w:rFonts w:hint="eastAsia" w:ascii="宋体" w:hAnsi="宋体" w:eastAsia="宋体" w:cs="宋体"/>
                <w:sz w:val="21"/>
                <w:szCs w:val="21"/>
              </w:rPr>
              <w:t>危险化学品</w:t>
            </w:r>
          </w:p>
          <w:p>
            <w:pPr>
              <w:pStyle w:val="23"/>
              <w:spacing w:before="43"/>
              <w:ind w:left="124" w:right="105"/>
              <w:jc w:val="center"/>
              <w:rPr>
                <w:rFonts w:hint="eastAsia" w:ascii="宋体" w:hAnsi="宋体" w:eastAsia="宋体" w:cs="宋体"/>
                <w:sz w:val="21"/>
                <w:szCs w:val="21"/>
              </w:rPr>
            </w:pPr>
            <w:r>
              <w:rPr>
                <w:rFonts w:hint="eastAsia" w:ascii="宋体" w:hAnsi="宋体" w:eastAsia="宋体" w:cs="宋体"/>
                <w:sz w:val="21"/>
                <w:szCs w:val="21"/>
              </w:rPr>
              <w:t>名称</w:t>
            </w:r>
          </w:p>
        </w:tc>
        <w:tc>
          <w:tcPr>
            <w:tcW w:w="1337" w:type="dxa"/>
            <w:tcBorders>
              <w:left w:val="single" w:color="000000" w:sz="4" w:space="0"/>
              <w:bottom w:val="single" w:color="000000" w:sz="4" w:space="0"/>
              <w:right w:val="single" w:color="000000" w:sz="4" w:space="0"/>
            </w:tcBorders>
          </w:tcPr>
          <w:p>
            <w:pPr>
              <w:pStyle w:val="23"/>
              <w:spacing w:before="178"/>
              <w:ind w:left="137" w:right="106"/>
              <w:jc w:val="center"/>
              <w:rPr>
                <w:rFonts w:hint="eastAsia" w:ascii="宋体" w:hAnsi="宋体" w:eastAsia="宋体" w:cs="宋体"/>
                <w:sz w:val="21"/>
                <w:szCs w:val="21"/>
              </w:rPr>
            </w:pPr>
            <w:r>
              <w:rPr>
                <w:rFonts w:hint="eastAsia" w:ascii="宋体" w:hAnsi="宋体" w:eastAsia="宋体" w:cs="宋体"/>
                <w:sz w:val="21"/>
                <w:szCs w:val="21"/>
              </w:rPr>
              <w:t>危险性类别</w:t>
            </w:r>
          </w:p>
        </w:tc>
        <w:tc>
          <w:tcPr>
            <w:tcW w:w="1289" w:type="dxa"/>
            <w:tcBorders>
              <w:left w:val="single" w:color="000000" w:sz="4" w:space="0"/>
              <w:bottom w:val="single" w:color="000000" w:sz="4" w:space="0"/>
              <w:right w:val="single" w:color="000000" w:sz="4" w:space="0"/>
            </w:tcBorders>
          </w:tcPr>
          <w:p>
            <w:pPr>
              <w:pStyle w:val="23"/>
              <w:spacing w:before="178"/>
              <w:ind w:left="73" w:right="23"/>
              <w:jc w:val="center"/>
              <w:rPr>
                <w:rFonts w:hint="eastAsia" w:ascii="宋体" w:hAnsi="宋体" w:eastAsia="宋体" w:cs="宋体"/>
                <w:sz w:val="21"/>
                <w:szCs w:val="21"/>
              </w:rPr>
            </w:pPr>
            <w:r>
              <w:rPr>
                <w:rFonts w:hint="eastAsia" w:ascii="宋体" w:hAnsi="宋体" w:eastAsia="宋体" w:cs="宋体"/>
                <w:sz w:val="21"/>
                <w:szCs w:val="21"/>
              </w:rPr>
              <w:t>临界量 Q（t）</w:t>
            </w:r>
          </w:p>
        </w:tc>
        <w:tc>
          <w:tcPr>
            <w:tcW w:w="1309" w:type="dxa"/>
            <w:tcBorders>
              <w:left w:val="single" w:color="000000" w:sz="4" w:space="0"/>
              <w:bottom w:val="single" w:color="000000" w:sz="4" w:space="0"/>
              <w:right w:val="single" w:color="000000" w:sz="4" w:space="0"/>
            </w:tcBorders>
          </w:tcPr>
          <w:p>
            <w:pPr>
              <w:pStyle w:val="23"/>
              <w:spacing w:before="178"/>
              <w:ind w:left="268" w:right="233"/>
              <w:jc w:val="center"/>
              <w:rPr>
                <w:rFonts w:hint="eastAsia" w:ascii="宋体" w:hAnsi="宋体" w:eastAsia="宋体" w:cs="宋体"/>
                <w:sz w:val="21"/>
                <w:szCs w:val="21"/>
              </w:rPr>
            </w:pPr>
            <w:r>
              <w:rPr>
                <w:rFonts w:hint="eastAsia" w:ascii="宋体" w:hAnsi="宋体" w:eastAsia="宋体" w:cs="宋体"/>
                <w:sz w:val="21"/>
                <w:szCs w:val="21"/>
              </w:rPr>
              <w:t>罐容</w:t>
            </w:r>
          </w:p>
        </w:tc>
        <w:tc>
          <w:tcPr>
            <w:tcW w:w="1500" w:type="dxa"/>
            <w:tcBorders>
              <w:left w:val="single" w:color="000000" w:sz="4" w:space="0"/>
              <w:bottom w:val="single" w:color="000000" w:sz="4" w:space="0"/>
              <w:right w:val="single" w:color="000000" w:sz="4" w:space="0"/>
            </w:tcBorders>
          </w:tcPr>
          <w:p>
            <w:pPr>
              <w:pStyle w:val="23"/>
              <w:spacing w:before="178"/>
              <w:ind w:left="122" w:right="-29"/>
              <w:jc w:val="center"/>
              <w:rPr>
                <w:rFonts w:hint="eastAsia" w:ascii="宋体" w:hAnsi="宋体" w:eastAsia="宋体" w:cs="宋体"/>
                <w:sz w:val="21"/>
                <w:szCs w:val="21"/>
              </w:rPr>
            </w:pPr>
            <w:r>
              <w:rPr>
                <w:rFonts w:hint="eastAsia" w:ascii="宋体" w:hAnsi="宋体" w:eastAsia="宋体" w:cs="宋体"/>
                <w:sz w:val="21"/>
                <w:szCs w:val="21"/>
              </w:rPr>
              <w:t>密度（</w:t>
            </w:r>
            <w:r>
              <w:rPr>
                <w:rFonts w:hint="eastAsia" w:ascii="宋体" w:hAnsi="宋体" w:eastAsia="宋体" w:cs="宋体"/>
                <w:spacing w:val="-1"/>
                <w:sz w:val="21"/>
                <w:szCs w:val="21"/>
              </w:rPr>
              <w:t>t/m</w:t>
            </w:r>
            <w:r>
              <w:rPr>
                <w:rFonts w:hint="eastAsia" w:ascii="宋体" w:hAnsi="宋体" w:eastAsia="宋体" w:cs="宋体"/>
                <w:spacing w:val="-1"/>
                <w:sz w:val="21"/>
                <w:szCs w:val="21"/>
                <w:vertAlign w:val="superscript"/>
              </w:rPr>
              <w:t>3</w:t>
            </w:r>
            <w:r>
              <w:rPr>
                <w:rFonts w:hint="eastAsia" w:ascii="宋体" w:hAnsi="宋体" w:eastAsia="宋体" w:cs="宋体"/>
                <w:spacing w:val="-1"/>
                <w:sz w:val="21"/>
                <w:szCs w:val="21"/>
              </w:rPr>
              <w:t>）</w:t>
            </w:r>
          </w:p>
        </w:tc>
        <w:tc>
          <w:tcPr>
            <w:tcW w:w="1511" w:type="dxa"/>
            <w:tcBorders>
              <w:left w:val="single" w:color="000000" w:sz="4" w:space="0"/>
              <w:bottom w:val="single" w:color="000000" w:sz="4" w:space="0"/>
              <w:right w:val="single" w:color="000000" w:sz="4" w:space="0"/>
            </w:tcBorders>
          </w:tcPr>
          <w:p>
            <w:pPr>
              <w:pStyle w:val="23"/>
              <w:spacing w:before="22"/>
              <w:ind w:left="327"/>
              <w:rPr>
                <w:rFonts w:hint="eastAsia" w:ascii="宋体" w:hAnsi="宋体" w:eastAsia="宋体" w:cs="宋体"/>
                <w:sz w:val="21"/>
                <w:szCs w:val="21"/>
              </w:rPr>
            </w:pPr>
            <w:r>
              <w:rPr>
                <w:rFonts w:hint="eastAsia" w:ascii="宋体" w:hAnsi="宋体" w:eastAsia="宋体" w:cs="宋体"/>
                <w:sz w:val="21"/>
                <w:szCs w:val="21"/>
              </w:rPr>
              <w:t>储存量</w:t>
            </w:r>
          </w:p>
          <w:p>
            <w:pPr>
              <w:pStyle w:val="23"/>
              <w:spacing w:before="43"/>
              <w:ind w:left="351"/>
              <w:rPr>
                <w:rFonts w:hint="eastAsia" w:ascii="宋体" w:hAnsi="宋体" w:eastAsia="宋体" w:cs="宋体"/>
                <w:sz w:val="21"/>
                <w:szCs w:val="21"/>
              </w:rPr>
            </w:pPr>
            <w:r>
              <w:rPr>
                <w:rFonts w:hint="eastAsia" w:ascii="宋体" w:hAnsi="宋体" w:eastAsia="宋体" w:cs="宋体"/>
                <w:sz w:val="21"/>
                <w:szCs w:val="21"/>
              </w:rPr>
              <w:t>q（t）</w:t>
            </w:r>
          </w:p>
        </w:tc>
        <w:tc>
          <w:tcPr>
            <w:tcW w:w="1161" w:type="dxa"/>
            <w:tcBorders>
              <w:left w:val="single" w:color="000000" w:sz="4" w:space="0"/>
              <w:bottom w:val="single" w:color="000000" w:sz="4" w:space="0"/>
            </w:tcBorders>
          </w:tcPr>
          <w:p>
            <w:pPr>
              <w:pStyle w:val="23"/>
              <w:spacing w:before="189"/>
              <w:ind w:right="381"/>
              <w:jc w:val="right"/>
              <w:rPr>
                <w:rFonts w:hint="eastAsia" w:ascii="宋体" w:hAnsi="宋体" w:eastAsia="宋体" w:cs="宋体"/>
                <w:sz w:val="21"/>
                <w:szCs w:val="21"/>
              </w:rPr>
            </w:pPr>
            <w:r>
              <w:rPr>
                <w:rFonts w:hint="eastAsia" w:ascii="宋体" w:hAnsi="宋体" w:eastAsia="宋体" w:cs="宋体"/>
                <w:sz w:val="21"/>
                <w:szCs w:val="21"/>
              </w:rPr>
              <w:t>q / Q</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3" w:hRule="atLeast"/>
        </w:trPr>
        <w:tc>
          <w:tcPr>
            <w:tcW w:w="1665" w:type="dxa"/>
            <w:tcBorders>
              <w:top w:val="single" w:color="000000" w:sz="4" w:space="0"/>
              <w:bottom w:val="single" w:color="000000" w:sz="4" w:space="0"/>
              <w:right w:val="single" w:color="000000" w:sz="4" w:space="0"/>
            </w:tcBorders>
          </w:tcPr>
          <w:p>
            <w:pPr>
              <w:pStyle w:val="23"/>
              <w:spacing w:before="94"/>
              <w:ind w:left="124" w:right="105"/>
              <w:jc w:val="center"/>
              <w:rPr>
                <w:rFonts w:hint="eastAsia" w:ascii="宋体" w:hAnsi="宋体" w:eastAsia="宋体" w:cs="宋体"/>
                <w:sz w:val="21"/>
                <w:szCs w:val="21"/>
              </w:rPr>
            </w:pPr>
            <w:r>
              <w:rPr>
                <w:rFonts w:hint="eastAsia" w:ascii="宋体" w:hAnsi="宋体" w:eastAsia="宋体" w:cs="宋体"/>
                <w:sz w:val="21"/>
                <w:szCs w:val="21"/>
              </w:rPr>
              <w:t>汽油</w:t>
            </w:r>
          </w:p>
        </w:tc>
        <w:tc>
          <w:tcPr>
            <w:tcW w:w="1337" w:type="dxa"/>
            <w:tcBorders>
              <w:top w:val="single" w:color="000000" w:sz="4" w:space="0"/>
              <w:left w:val="single" w:color="000000" w:sz="4" w:space="0"/>
              <w:bottom w:val="single" w:color="000000" w:sz="4" w:space="0"/>
              <w:right w:val="single" w:color="000000" w:sz="4" w:space="0"/>
            </w:tcBorders>
          </w:tcPr>
          <w:p>
            <w:pPr>
              <w:pStyle w:val="23"/>
              <w:spacing w:before="94"/>
              <w:ind w:left="137" w:right="106"/>
              <w:jc w:val="center"/>
              <w:rPr>
                <w:rFonts w:hint="eastAsia" w:ascii="宋体" w:hAnsi="宋体" w:eastAsia="宋体" w:cs="宋体"/>
                <w:sz w:val="21"/>
                <w:szCs w:val="21"/>
              </w:rPr>
            </w:pPr>
            <w:r>
              <w:rPr>
                <w:rFonts w:hint="eastAsia" w:ascii="宋体" w:hAnsi="宋体" w:eastAsia="宋体" w:cs="宋体"/>
                <w:sz w:val="21"/>
                <w:szCs w:val="21"/>
              </w:rPr>
              <w:t>易燃液体</w:t>
            </w:r>
          </w:p>
        </w:tc>
        <w:tc>
          <w:tcPr>
            <w:tcW w:w="1289" w:type="dxa"/>
            <w:tcBorders>
              <w:top w:val="single" w:color="000000" w:sz="4" w:space="0"/>
              <w:left w:val="single" w:color="000000" w:sz="4" w:space="0"/>
              <w:bottom w:val="single" w:color="000000" w:sz="4" w:space="0"/>
              <w:right w:val="single" w:color="000000" w:sz="4" w:space="0"/>
            </w:tcBorders>
          </w:tcPr>
          <w:p>
            <w:pPr>
              <w:pStyle w:val="23"/>
              <w:spacing w:before="106"/>
              <w:ind w:left="54" w:right="23"/>
              <w:jc w:val="center"/>
              <w:rPr>
                <w:rFonts w:hint="eastAsia" w:ascii="宋体" w:hAnsi="宋体" w:eastAsia="宋体" w:cs="宋体"/>
                <w:sz w:val="21"/>
                <w:szCs w:val="21"/>
              </w:rPr>
            </w:pPr>
            <w:r>
              <w:rPr>
                <w:rFonts w:hint="eastAsia" w:ascii="宋体" w:hAnsi="宋体" w:eastAsia="宋体" w:cs="宋体"/>
                <w:sz w:val="21"/>
                <w:szCs w:val="21"/>
              </w:rPr>
              <w:t>200</w:t>
            </w:r>
          </w:p>
        </w:tc>
        <w:tc>
          <w:tcPr>
            <w:tcW w:w="1309" w:type="dxa"/>
            <w:tcBorders>
              <w:top w:val="single" w:color="000000" w:sz="4" w:space="0"/>
              <w:left w:val="single" w:color="000000" w:sz="4" w:space="0"/>
              <w:bottom w:val="single" w:color="000000" w:sz="4" w:space="0"/>
              <w:right w:val="single" w:color="000000" w:sz="4" w:space="0"/>
            </w:tcBorders>
          </w:tcPr>
          <w:p>
            <w:pPr>
              <w:pStyle w:val="23"/>
              <w:spacing w:before="106"/>
              <w:ind w:left="268" w:right="233"/>
              <w:jc w:val="center"/>
              <w:rPr>
                <w:rFonts w:hint="eastAsia" w:ascii="宋体" w:hAnsi="宋体" w:eastAsia="宋体" w:cs="宋体"/>
                <w:sz w:val="21"/>
                <w:szCs w:val="21"/>
              </w:rPr>
            </w:pPr>
            <w:r>
              <w:rPr>
                <w:rFonts w:hint="eastAsia" w:ascii="宋体" w:hAnsi="宋体" w:eastAsia="宋体" w:cs="宋体"/>
                <w:sz w:val="21"/>
                <w:szCs w:val="21"/>
                <w:lang w:val="en-US" w:eastAsia="zh-CN"/>
              </w:rPr>
              <w:t>90</w:t>
            </w:r>
            <w:r>
              <w:rPr>
                <w:rFonts w:hint="eastAsia" w:ascii="宋体" w:hAnsi="宋体" w:eastAsia="宋体" w:cs="宋体"/>
                <w:sz w:val="21"/>
                <w:szCs w:val="21"/>
              </w:rPr>
              <w:t>m</w:t>
            </w:r>
            <w:r>
              <w:rPr>
                <w:rFonts w:hint="eastAsia" w:ascii="宋体" w:hAnsi="宋体" w:eastAsia="宋体" w:cs="宋体"/>
                <w:sz w:val="21"/>
                <w:szCs w:val="21"/>
                <w:vertAlign w:val="superscript"/>
              </w:rPr>
              <w:t>3</w:t>
            </w:r>
          </w:p>
        </w:tc>
        <w:tc>
          <w:tcPr>
            <w:tcW w:w="1500" w:type="dxa"/>
            <w:tcBorders>
              <w:top w:val="single" w:color="000000" w:sz="4" w:space="0"/>
              <w:left w:val="single" w:color="000000" w:sz="4" w:space="0"/>
              <w:bottom w:val="single" w:color="000000" w:sz="4" w:space="0"/>
              <w:right w:val="single" w:color="000000" w:sz="4" w:space="0"/>
            </w:tcBorders>
          </w:tcPr>
          <w:p>
            <w:pPr>
              <w:pStyle w:val="23"/>
              <w:spacing w:before="106"/>
              <w:ind w:left="122" w:right="82"/>
              <w:jc w:val="center"/>
              <w:rPr>
                <w:rFonts w:hint="eastAsia" w:ascii="宋体" w:hAnsi="宋体" w:eastAsia="宋体" w:cs="宋体"/>
                <w:sz w:val="21"/>
                <w:szCs w:val="21"/>
              </w:rPr>
            </w:pPr>
            <w:r>
              <w:rPr>
                <w:rFonts w:hint="eastAsia" w:ascii="宋体" w:hAnsi="宋体" w:eastAsia="宋体" w:cs="宋体"/>
                <w:sz w:val="21"/>
                <w:szCs w:val="21"/>
              </w:rPr>
              <w:t>0.7</w:t>
            </w:r>
            <w:r>
              <w:rPr>
                <w:rFonts w:hint="eastAsia" w:ascii="宋体" w:hAnsi="宋体" w:eastAsia="宋体" w:cs="宋体"/>
                <w:sz w:val="21"/>
                <w:szCs w:val="21"/>
                <w:lang w:val="en-US"/>
              </w:rPr>
              <w:t>3</w:t>
            </w:r>
          </w:p>
        </w:tc>
        <w:tc>
          <w:tcPr>
            <w:tcW w:w="1511" w:type="dxa"/>
            <w:tcBorders>
              <w:top w:val="single" w:color="000000" w:sz="4" w:space="0"/>
              <w:left w:val="single" w:color="000000" w:sz="4" w:space="0"/>
              <w:bottom w:val="single" w:color="000000" w:sz="4" w:space="0"/>
              <w:right w:val="single" w:color="000000" w:sz="4" w:space="0"/>
            </w:tcBorders>
          </w:tcPr>
          <w:p>
            <w:pPr>
              <w:pStyle w:val="23"/>
              <w:spacing w:before="106"/>
              <w:ind w:left="406" w:right="372"/>
              <w:jc w:val="center"/>
              <w:rPr>
                <w:rFonts w:hint="eastAsia" w:ascii="宋体" w:hAnsi="宋体" w:eastAsia="宋体" w:cs="宋体"/>
                <w:sz w:val="21"/>
                <w:szCs w:val="21"/>
              </w:rPr>
            </w:pPr>
            <w:r>
              <w:rPr>
                <w:rFonts w:hint="eastAsia" w:ascii="宋体" w:hAnsi="宋体" w:eastAsia="宋体" w:cs="宋体"/>
                <w:sz w:val="21"/>
                <w:szCs w:val="21"/>
                <w:lang w:val="en-US" w:eastAsia="zh-CN"/>
              </w:rPr>
              <w:t>69.35</w:t>
            </w:r>
            <w:r>
              <w:rPr>
                <w:rFonts w:hint="eastAsia" w:ascii="宋体" w:hAnsi="宋体" w:eastAsia="宋体" w:cs="宋体"/>
                <w:sz w:val="21"/>
                <w:szCs w:val="21"/>
              </w:rPr>
              <w:t>t</w:t>
            </w:r>
          </w:p>
        </w:tc>
        <w:tc>
          <w:tcPr>
            <w:tcW w:w="1161" w:type="dxa"/>
            <w:tcBorders>
              <w:top w:val="single" w:color="000000" w:sz="4" w:space="0"/>
              <w:left w:val="single" w:color="000000" w:sz="4" w:space="0"/>
              <w:bottom w:val="single" w:color="000000" w:sz="4" w:space="0"/>
            </w:tcBorders>
          </w:tcPr>
          <w:p>
            <w:pPr>
              <w:pStyle w:val="23"/>
              <w:spacing w:before="106"/>
              <w:ind w:right="354"/>
              <w:jc w:val="righ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0.3468</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23" w:hRule="atLeast"/>
        </w:trPr>
        <w:tc>
          <w:tcPr>
            <w:tcW w:w="1665" w:type="dxa"/>
            <w:tcBorders>
              <w:top w:val="single" w:color="000000" w:sz="4" w:space="0"/>
              <w:bottom w:val="single" w:color="000000" w:sz="4" w:space="0"/>
              <w:right w:val="single" w:color="000000" w:sz="4" w:space="0"/>
            </w:tcBorders>
          </w:tcPr>
          <w:p>
            <w:pPr>
              <w:pStyle w:val="23"/>
              <w:spacing w:before="22"/>
              <w:ind w:left="124" w:right="106"/>
              <w:jc w:val="center"/>
              <w:rPr>
                <w:rFonts w:hint="eastAsia" w:ascii="宋体" w:hAnsi="宋体" w:eastAsia="宋体" w:cs="宋体"/>
                <w:sz w:val="21"/>
                <w:szCs w:val="21"/>
              </w:rPr>
            </w:pPr>
            <w:r>
              <w:rPr>
                <w:rFonts w:hint="eastAsia" w:ascii="宋体" w:hAnsi="宋体" w:eastAsia="宋体" w:cs="宋体"/>
                <w:sz w:val="21"/>
                <w:szCs w:val="21"/>
              </w:rPr>
              <w:t>柴油[闭杯闪</w:t>
            </w:r>
          </w:p>
          <w:p>
            <w:pPr>
              <w:pStyle w:val="23"/>
              <w:spacing w:before="44"/>
              <w:ind w:left="124" w:right="102"/>
              <w:jc w:val="center"/>
              <w:rPr>
                <w:rFonts w:hint="eastAsia" w:ascii="宋体" w:hAnsi="宋体" w:eastAsia="宋体" w:cs="宋体"/>
                <w:sz w:val="21"/>
                <w:szCs w:val="21"/>
              </w:rPr>
            </w:pPr>
            <w:r>
              <w:rPr>
                <w:rFonts w:hint="eastAsia" w:ascii="宋体" w:hAnsi="宋体" w:eastAsia="宋体" w:cs="宋体"/>
                <w:w w:val="105"/>
                <w:sz w:val="21"/>
                <w:szCs w:val="21"/>
              </w:rPr>
              <w:t>点≤60℃]</w:t>
            </w:r>
          </w:p>
        </w:tc>
        <w:tc>
          <w:tcPr>
            <w:tcW w:w="1337" w:type="dxa"/>
            <w:tcBorders>
              <w:top w:val="single" w:color="000000" w:sz="4" w:space="0"/>
              <w:left w:val="single" w:color="000000" w:sz="4" w:space="0"/>
              <w:bottom w:val="single" w:color="000000" w:sz="4" w:space="0"/>
              <w:right w:val="single" w:color="000000" w:sz="4" w:space="0"/>
            </w:tcBorders>
          </w:tcPr>
          <w:p>
            <w:pPr>
              <w:pStyle w:val="23"/>
              <w:spacing w:before="178"/>
              <w:ind w:left="137" w:right="106"/>
              <w:jc w:val="center"/>
              <w:rPr>
                <w:rFonts w:hint="eastAsia" w:ascii="宋体" w:hAnsi="宋体" w:eastAsia="宋体" w:cs="宋体"/>
                <w:sz w:val="21"/>
                <w:szCs w:val="21"/>
              </w:rPr>
            </w:pPr>
            <w:r>
              <w:rPr>
                <w:rFonts w:hint="eastAsia" w:ascii="宋体" w:hAnsi="宋体" w:eastAsia="宋体" w:cs="宋体"/>
                <w:sz w:val="21"/>
                <w:szCs w:val="21"/>
              </w:rPr>
              <w:t>易燃液体</w:t>
            </w:r>
          </w:p>
        </w:tc>
        <w:tc>
          <w:tcPr>
            <w:tcW w:w="1289" w:type="dxa"/>
            <w:tcBorders>
              <w:top w:val="single" w:color="000000" w:sz="4" w:space="0"/>
              <w:left w:val="single" w:color="000000" w:sz="4" w:space="0"/>
              <w:bottom w:val="single" w:color="000000" w:sz="4" w:space="0"/>
              <w:right w:val="single" w:color="000000" w:sz="4" w:space="0"/>
            </w:tcBorders>
          </w:tcPr>
          <w:p>
            <w:pPr>
              <w:pStyle w:val="23"/>
              <w:spacing w:before="190"/>
              <w:ind w:left="54" w:right="23"/>
              <w:jc w:val="center"/>
              <w:rPr>
                <w:rFonts w:hint="eastAsia" w:ascii="宋体" w:hAnsi="宋体" w:eastAsia="宋体" w:cs="宋体"/>
                <w:sz w:val="21"/>
                <w:szCs w:val="21"/>
              </w:rPr>
            </w:pPr>
            <w:r>
              <w:rPr>
                <w:rFonts w:hint="eastAsia" w:ascii="宋体" w:hAnsi="宋体" w:eastAsia="宋体" w:cs="宋体"/>
                <w:sz w:val="21"/>
                <w:szCs w:val="21"/>
              </w:rPr>
              <w:t>5000</w:t>
            </w:r>
          </w:p>
        </w:tc>
        <w:tc>
          <w:tcPr>
            <w:tcW w:w="1309" w:type="dxa"/>
            <w:tcBorders>
              <w:top w:val="single" w:color="000000" w:sz="4" w:space="0"/>
              <w:left w:val="single" w:color="000000" w:sz="4" w:space="0"/>
              <w:bottom w:val="single" w:color="000000" w:sz="4" w:space="0"/>
              <w:right w:val="single" w:color="000000" w:sz="4" w:space="0"/>
            </w:tcBorders>
          </w:tcPr>
          <w:p>
            <w:pPr>
              <w:pStyle w:val="23"/>
              <w:spacing w:before="190"/>
              <w:ind w:left="268" w:right="233"/>
              <w:jc w:val="center"/>
              <w:rPr>
                <w:rFonts w:hint="eastAsia" w:ascii="宋体" w:hAnsi="宋体" w:eastAsia="宋体" w:cs="宋体"/>
                <w:sz w:val="21"/>
                <w:szCs w:val="21"/>
              </w:rPr>
            </w:pPr>
            <w:r>
              <w:rPr>
                <w:rFonts w:hint="eastAsia" w:cs="宋体"/>
                <w:sz w:val="21"/>
                <w:szCs w:val="21"/>
                <w:lang w:val="en-US" w:eastAsia="zh-CN"/>
              </w:rPr>
              <w:t>5</w:t>
            </w:r>
            <w:r>
              <w:rPr>
                <w:rFonts w:hint="eastAsia" w:ascii="宋体" w:hAnsi="宋体" w:eastAsia="宋体" w:cs="宋体"/>
                <w:sz w:val="21"/>
                <w:szCs w:val="21"/>
                <w:lang w:val="en-US"/>
              </w:rPr>
              <w:t>0</w:t>
            </w:r>
            <w:r>
              <w:rPr>
                <w:rFonts w:hint="eastAsia" w:ascii="宋体" w:hAnsi="宋体" w:eastAsia="宋体" w:cs="宋体"/>
                <w:sz w:val="21"/>
                <w:szCs w:val="21"/>
              </w:rPr>
              <w:t>m</w:t>
            </w:r>
            <w:r>
              <w:rPr>
                <w:rFonts w:hint="eastAsia" w:ascii="宋体" w:hAnsi="宋体" w:eastAsia="宋体" w:cs="宋体"/>
                <w:sz w:val="21"/>
                <w:szCs w:val="21"/>
                <w:vertAlign w:val="superscript"/>
              </w:rPr>
              <w:t>3</w:t>
            </w:r>
          </w:p>
        </w:tc>
        <w:tc>
          <w:tcPr>
            <w:tcW w:w="1500" w:type="dxa"/>
            <w:tcBorders>
              <w:top w:val="single" w:color="000000" w:sz="4" w:space="0"/>
              <w:left w:val="single" w:color="000000" w:sz="4" w:space="0"/>
              <w:bottom w:val="single" w:color="000000" w:sz="4" w:space="0"/>
              <w:right w:val="single" w:color="000000" w:sz="4" w:space="0"/>
            </w:tcBorders>
          </w:tcPr>
          <w:p>
            <w:pPr>
              <w:pStyle w:val="23"/>
              <w:spacing w:before="190"/>
              <w:ind w:left="122" w:right="82"/>
              <w:jc w:val="center"/>
              <w:rPr>
                <w:rFonts w:hint="eastAsia" w:ascii="宋体" w:hAnsi="宋体" w:eastAsia="宋体" w:cs="宋体"/>
                <w:sz w:val="21"/>
                <w:szCs w:val="21"/>
              </w:rPr>
            </w:pPr>
            <w:r>
              <w:rPr>
                <w:rFonts w:hint="eastAsia" w:ascii="宋体" w:hAnsi="宋体" w:eastAsia="宋体" w:cs="宋体"/>
                <w:sz w:val="21"/>
                <w:szCs w:val="21"/>
              </w:rPr>
              <w:t>0.8</w:t>
            </w:r>
            <w:r>
              <w:rPr>
                <w:rFonts w:hint="eastAsia" w:ascii="宋体" w:hAnsi="宋体" w:eastAsia="宋体" w:cs="宋体"/>
                <w:sz w:val="21"/>
                <w:szCs w:val="21"/>
                <w:lang w:val="en-US"/>
              </w:rPr>
              <w:t>4</w:t>
            </w:r>
          </w:p>
        </w:tc>
        <w:tc>
          <w:tcPr>
            <w:tcW w:w="1511" w:type="dxa"/>
            <w:tcBorders>
              <w:top w:val="single" w:color="000000" w:sz="4" w:space="0"/>
              <w:left w:val="single" w:color="000000" w:sz="4" w:space="0"/>
              <w:bottom w:val="single" w:color="000000" w:sz="4" w:space="0"/>
              <w:right w:val="single" w:color="000000" w:sz="4" w:space="0"/>
            </w:tcBorders>
          </w:tcPr>
          <w:p>
            <w:pPr>
              <w:pStyle w:val="23"/>
              <w:spacing w:before="190"/>
              <w:ind w:left="412" w:right="372"/>
              <w:jc w:val="center"/>
              <w:rPr>
                <w:rFonts w:hint="eastAsia" w:ascii="宋体" w:hAnsi="宋体" w:eastAsia="宋体" w:cs="宋体"/>
                <w:sz w:val="21"/>
                <w:szCs w:val="21"/>
              </w:rPr>
            </w:pPr>
            <w:r>
              <w:rPr>
                <w:rFonts w:hint="eastAsia" w:ascii="宋体" w:hAnsi="宋体" w:eastAsia="宋体" w:cs="宋体"/>
                <w:sz w:val="21"/>
                <w:szCs w:val="21"/>
                <w:lang w:val="en-US" w:eastAsia="zh-CN"/>
              </w:rPr>
              <w:t>42</w:t>
            </w:r>
            <w:r>
              <w:rPr>
                <w:rFonts w:hint="eastAsia" w:ascii="宋体" w:hAnsi="宋体" w:eastAsia="宋体" w:cs="宋体"/>
                <w:sz w:val="21"/>
                <w:szCs w:val="21"/>
              </w:rPr>
              <w:t>t</w:t>
            </w:r>
          </w:p>
        </w:tc>
        <w:tc>
          <w:tcPr>
            <w:tcW w:w="1161" w:type="dxa"/>
            <w:tcBorders>
              <w:top w:val="single" w:color="000000" w:sz="4" w:space="0"/>
              <w:left w:val="single" w:color="000000" w:sz="4" w:space="0"/>
              <w:bottom w:val="single" w:color="000000" w:sz="4" w:space="0"/>
            </w:tcBorders>
          </w:tcPr>
          <w:p>
            <w:pPr>
              <w:pStyle w:val="23"/>
              <w:spacing w:before="190"/>
              <w:ind w:right="301"/>
              <w:jc w:val="righ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0.0084</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2" w:hRule="atLeast"/>
        </w:trPr>
        <w:tc>
          <w:tcPr>
            <w:tcW w:w="1665" w:type="dxa"/>
            <w:tcBorders>
              <w:top w:val="single" w:color="000000" w:sz="4" w:space="0"/>
              <w:right w:val="single" w:color="000000" w:sz="4" w:space="0"/>
            </w:tcBorders>
          </w:tcPr>
          <w:p>
            <w:pPr>
              <w:pStyle w:val="23"/>
              <w:spacing w:before="103"/>
              <w:ind w:left="123" w:right="106"/>
              <w:jc w:val="center"/>
              <w:rPr>
                <w:rFonts w:hint="eastAsia" w:ascii="宋体" w:hAnsi="宋体" w:eastAsia="宋体" w:cs="宋体"/>
                <w:sz w:val="21"/>
                <w:szCs w:val="21"/>
              </w:rPr>
            </w:pPr>
            <w:r>
              <w:rPr>
                <w:rFonts w:hint="eastAsia" w:ascii="宋体" w:hAnsi="宋体" w:eastAsia="宋体" w:cs="宋体"/>
                <w:sz w:val="21"/>
                <w:szCs w:val="21"/>
              </w:rPr>
              <w:t>∑q / Q</w:t>
            </w:r>
          </w:p>
        </w:tc>
        <w:tc>
          <w:tcPr>
            <w:tcW w:w="8107" w:type="dxa"/>
            <w:gridSpan w:val="6"/>
            <w:tcBorders>
              <w:top w:val="single" w:color="000000" w:sz="4" w:space="0"/>
              <w:left w:val="single" w:color="000000" w:sz="4" w:space="0"/>
            </w:tcBorders>
          </w:tcPr>
          <w:p>
            <w:pPr>
              <w:pStyle w:val="23"/>
              <w:spacing w:before="103"/>
              <w:ind w:left="3613" w:right="3566"/>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0.3552</w:t>
            </w:r>
          </w:p>
        </w:tc>
      </w:tr>
    </w:tbl>
    <w:p>
      <w:pPr>
        <w:pStyle w:val="6"/>
        <w:pageBreakBefore w:val="0"/>
        <w:widowControl w:val="0"/>
        <w:kinsoku/>
        <w:wordWrap/>
        <w:overflowPunct/>
        <w:topLinePunct w:val="0"/>
        <w:autoSpaceDE w:val="0"/>
        <w:autoSpaceDN w:val="0"/>
        <w:bidi w:val="0"/>
        <w:adjustRightInd/>
        <w:snapToGrid/>
        <w:spacing w:line="560" w:lineRule="exact"/>
        <w:ind w:firstLine="560" w:firstLineChars="200"/>
        <w:jc w:val="both"/>
        <w:textAlignment w:val="auto"/>
        <w:rPr>
          <w:rFonts w:hint="eastAsia" w:ascii="宋体" w:hAnsi="宋体" w:eastAsia="宋体" w:cs="宋体"/>
        </w:rPr>
      </w:pPr>
      <w:r>
        <w:rPr>
          <w:rFonts w:hint="eastAsia" w:ascii="宋体" w:hAnsi="宋体" w:eastAsia="宋体" w:cs="宋体"/>
        </w:rPr>
        <w:t>根据</w:t>
      </w:r>
      <w:r>
        <w:rPr>
          <w:rFonts w:hint="eastAsia" w:ascii="宋体" w:hAnsi="宋体" w:eastAsia="宋体" w:cs="宋体"/>
          <w:lang w:eastAsia="zh-CN"/>
        </w:rPr>
        <w:t>横坑加油站</w:t>
      </w:r>
      <w:r>
        <w:rPr>
          <w:rFonts w:hint="eastAsia" w:ascii="宋体" w:hAnsi="宋体" w:eastAsia="宋体" w:cs="宋体"/>
        </w:rPr>
        <w:t>可能储存的危险化学品最大数量，∑q/Q=</w:t>
      </w:r>
      <w:r>
        <w:rPr>
          <w:rFonts w:hint="eastAsia" w:ascii="宋体" w:hAnsi="宋体" w:eastAsia="宋体" w:cs="宋体"/>
          <w:lang w:val="en-US" w:eastAsia="zh-CN"/>
        </w:rPr>
        <w:t>0.3552</w:t>
      </w:r>
      <w:r>
        <w:rPr>
          <w:rFonts w:hint="eastAsia" w:ascii="宋体" w:hAnsi="宋体" w:eastAsia="宋体" w:cs="宋体"/>
        </w:rPr>
        <w:t>＜1， 因此，按照《危险化学品重大危险源辨识》（GB18218-2018）辨识，该加油站危险化学品储存量</w:t>
      </w:r>
      <w:r>
        <w:rPr>
          <w:rFonts w:hint="eastAsia" w:ascii="宋体" w:hAnsi="宋体" w:eastAsia="宋体" w:cs="宋体"/>
          <w:lang w:eastAsia="zh-CN"/>
        </w:rPr>
        <w:t>不</w:t>
      </w:r>
      <w:r>
        <w:rPr>
          <w:rFonts w:hint="eastAsia" w:ascii="宋体" w:hAnsi="宋体" w:eastAsia="宋体" w:cs="宋体"/>
        </w:rPr>
        <w:t>构成危险化学品重大危险源。</w:t>
      </w:r>
    </w:p>
    <w:p>
      <w:pPr>
        <w:pStyle w:val="3"/>
        <w:bidi w:val="0"/>
        <w:rPr>
          <w:rFonts w:hint="eastAsia" w:ascii="宋体" w:hAnsi="宋体" w:eastAsia="宋体" w:cs="宋体"/>
        </w:rPr>
      </w:pPr>
      <w:bookmarkStart w:id="752" w:name="_Toc4248_WPSOffice_Level2"/>
      <w:bookmarkStart w:id="753" w:name="_Toc32274_WPSOffice_Level2"/>
      <w:bookmarkStart w:id="754" w:name="_Toc32218"/>
      <w:bookmarkStart w:id="755" w:name="_Toc31985_WPSOffice_Level2"/>
      <w:r>
        <w:rPr>
          <w:rFonts w:hint="eastAsia" w:ascii="宋体" w:hAnsi="宋体" w:eastAsia="宋体" w:cs="宋体"/>
        </w:rPr>
        <w:t>3.</w:t>
      </w:r>
      <w:r>
        <w:rPr>
          <w:rFonts w:hint="eastAsia" w:ascii="宋体" w:hAnsi="宋体" w:eastAsia="宋体" w:cs="宋体"/>
          <w:lang w:val="en-US"/>
        </w:rPr>
        <w:t>6</w:t>
      </w:r>
      <w:r>
        <w:rPr>
          <w:rFonts w:hint="eastAsia" w:ascii="宋体" w:hAnsi="宋体" w:eastAsia="宋体" w:cs="宋体"/>
        </w:rPr>
        <w:t xml:space="preserve"> 固有危险程度分析过程</w:t>
      </w:r>
      <w:bookmarkEnd w:id="752"/>
      <w:bookmarkEnd w:id="753"/>
      <w:bookmarkEnd w:id="754"/>
      <w:bookmarkEnd w:id="755"/>
    </w:p>
    <w:p>
      <w:pPr>
        <w:pageBreakBefore w:val="0"/>
        <w:widowControl w:val="0"/>
        <w:kinsoku/>
        <w:wordWrap/>
        <w:overflowPunct/>
        <w:topLinePunct w:val="0"/>
        <w:autoSpaceDE w:val="0"/>
        <w:autoSpaceDN w:val="0"/>
        <w:bidi w:val="0"/>
        <w:adjustRightInd/>
        <w:snapToGrid/>
        <w:spacing w:line="56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lang w:eastAsia="zh-CN"/>
        </w:rPr>
        <w:t>横坑加油站</w:t>
      </w:r>
      <w:r>
        <w:rPr>
          <w:rFonts w:hint="eastAsia" w:ascii="宋体" w:hAnsi="宋体" w:eastAsia="宋体" w:cs="宋体"/>
          <w:sz w:val="28"/>
          <w:szCs w:val="28"/>
        </w:rPr>
        <w:t>经营的油品包括汽油和柴油，其经营流程是：油品通过槽车运输到加油站，经密闭卸油口、输油管道卸入相应的埋地油罐储存，埋地油罐通过相应的通气管管口调节罐内压力以保持常压；卸油时储罐内的油蒸汽通过油气回收管道回收至槽车油罐。加油工艺采用潜油泵方式进行加油，油品通过潜油泵、埋地发油管道至加油机，再通过自封式加油枪零售给过往的车辆。</w:t>
      </w:r>
    </w:p>
    <w:p>
      <w:pPr>
        <w:pageBreakBefore w:val="0"/>
        <w:widowControl w:val="0"/>
        <w:kinsoku/>
        <w:wordWrap/>
        <w:overflowPunct/>
        <w:topLinePunct w:val="0"/>
        <w:autoSpaceDE w:val="0"/>
        <w:autoSpaceDN w:val="0"/>
        <w:bidi w:val="0"/>
        <w:adjustRightInd/>
        <w:snapToGrid/>
        <w:spacing w:line="560" w:lineRule="exact"/>
        <w:ind w:firstLine="560" w:firstLineChars="200"/>
        <w:jc w:val="both"/>
        <w:textAlignment w:val="auto"/>
        <w:rPr>
          <w:rFonts w:hint="eastAsia" w:ascii="宋体" w:hAnsi="宋体" w:eastAsia="宋体" w:cs="宋体"/>
          <w:color w:val="auto"/>
          <w:sz w:val="28"/>
          <w:szCs w:val="28"/>
        </w:rPr>
      </w:pPr>
      <w:r>
        <w:rPr>
          <w:rFonts w:hint="eastAsia" w:ascii="宋体" w:hAnsi="宋体" w:eastAsia="宋体" w:cs="宋体"/>
          <w:sz w:val="28"/>
          <w:szCs w:val="28"/>
        </w:rPr>
        <w:t>加油站的固有危险来源于油品的危险特性，汽油属于易燃液体、柴油属于可燃液体，具有易燃、易爆等危险特性。通常以TNT当量法来预测危险化学品的固有危险程度。</w:t>
      </w:r>
      <w:r>
        <w:rPr>
          <w:rFonts w:hint="eastAsia" w:ascii="宋体" w:hAnsi="宋体" w:eastAsia="宋体" w:cs="宋体"/>
          <w:sz w:val="28"/>
          <w:szCs w:val="28"/>
          <w:lang w:eastAsia="zh-CN"/>
        </w:rPr>
        <w:t>横坑加油站</w:t>
      </w:r>
      <w:r>
        <w:rPr>
          <w:rFonts w:hint="eastAsia" w:ascii="宋体" w:hAnsi="宋体" w:eastAsia="宋体" w:cs="宋体"/>
          <w:sz w:val="28"/>
          <w:szCs w:val="28"/>
        </w:rPr>
        <w:t>油罐区共有</w:t>
      </w:r>
      <w:r>
        <w:rPr>
          <w:rFonts w:hint="eastAsia" w:ascii="宋体" w:hAnsi="宋体" w:eastAsia="宋体" w:cs="宋体"/>
          <w:sz w:val="28"/>
          <w:szCs w:val="28"/>
          <w:lang w:val="en-US"/>
        </w:rPr>
        <w:t>4</w:t>
      </w:r>
      <w:r>
        <w:rPr>
          <w:rFonts w:hint="eastAsia" w:ascii="宋体" w:hAnsi="宋体" w:eastAsia="宋体" w:cs="宋体"/>
          <w:sz w:val="28"/>
          <w:szCs w:val="28"/>
        </w:rPr>
        <w:t>个埋地油罐，包括</w:t>
      </w:r>
      <w:r>
        <w:rPr>
          <w:rFonts w:hint="eastAsia" w:ascii="宋体" w:hAnsi="宋体" w:eastAsia="宋体" w:cs="宋体"/>
          <w:sz w:val="28"/>
          <w:szCs w:val="28"/>
          <w:lang w:val="en-US" w:eastAsia="zh-CN"/>
        </w:rPr>
        <w:t>5</w:t>
      </w:r>
      <w:r>
        <w:rPr>
          <w:rFonts w:hint="eastAsia" w:ascii="宋体" w:hAnsi="宋体" w:eastAsia="宋体" w:cs="宋体"/>
          <w:sz w:val="28"/>
          <w:szCs w:val="28"/>
        </w:rPr>
        <w:t>0m</w:t>
      </w:r>
      <w:r>
        <w:rPr>
          <w:rFonts w:hint="eastAsia" w:ascii="宋体" w:hAnsi="宋体" w:eastAsia="宋体" w:cs="宋体"/>
          <w:sz w:val="28"/>
          <w:szCs w:val="28"/>
          <w:vertAlign w:val="superscript"/>
        </w:rPr>
        <w:t>3</w:t>
      </w:r>
      <w:r>
        <w:rPr>
          <w:rFonts w:hint="eastAsia" w:ascii="宋体" w:hAnsi="宋体" w:eastAsia="宋体" w:cs="宋体"/>
          <w:sz w:val="28"/>
          <w:szCs w:val="28"/>
        </w:rPr>
        <w:t>汽油罐</w:t>
      </w:r>
      <w:r>
        <w:rPr>
          <w:rFonts w:hint="eastAsia" w:ascii="宋体" w:hAnsi="宋体" w:eastAsia="宋体" w:cs="宋体"/>
          <w:sz w:val="28"/>
          <w:szCs w:val="28"/>
          <w:lang w:val="en-US" w:eastAsia="zh-CN"/>
        </w:rPr>
        <w:t>1</w:t>
      </w:r>
      <w:r>
        <w:rPr>
          <w:rFonts w:hint="eastAsia" w:ascii="宋体" w:hAnsi="宋体" w:eastAsia="宋体" w:cs="宋体"/>
          <w:sz w:val="28"/>
          <w:szCs w:val="28"/>
        </w:rPr>
        <w:t>个、</w:t>
      </w:r>
      <w:r>
        <w:rPr>
          <w:rFonts w:hint="eastAsia" w:ascii="宋体" w:hAnsi="宋体" w:eastAsia="宋体" w:cs="宋体"/>
          <w:sz w:val="28"/>
          <w:szCs w:val="28"/>
          <w:lang w:val="en-US" w:eastAsia="zh-CN"/>
        </w:rPr>
        <w:t>3</w:t>
      </w:r>
      <w:r>
        <w:rPr>
          <w:rFonts w:hint="eastAsia" w:ascii="宋体" w:hAnsi="宋体" w:eastAsia="宋体" w:cs="宋体"/>
          <w:sz w:val="28"/>
          <w:szCs w:val="28"/>
        </w:rPr>
        <w:t>0m</w:t>
      </w:r>
      <w:r>
        <w:rPr>
          <w:rFonts w:hint="eastAsia" w:ascii="宋体" w:hAnsi="宋体" w:eastAsia="宋体" w:cs="宋体"/>
          <w:sz w:val="28"/>
          <w:szCs w:val="28"/>
          <w:vertAlign w:val="superscript"/>
        </w:rPr>
        <w:t>3</w:t>
      </w:r>
      <w:r>
        <w:rPr>
          <w:rFonts w:hint="eastAsia" w:ascii="宋体" w:hAnsi="宋体" w:eastAsia="宋体" w:cs="宋体"/>
          <w:sz w:val="28"/>
          <w:szCs w:val="28"/>
        </w:rPr>
        <w:t>汽油罐</w:t>
      </w:r>
      <w:r>
        <w:rPr>
          <w:rFonts w:hint="eastAsia" w:ascii="宋体" w:hAnsi="宋体" w:eastAsia="宋体" w:cs="宋体"/>
          <w:sz w:val="28"/>
          <w:szCs w:val="28"/>
          <w:lang w:val="en-US" w:eastAsia="zh-CN"/>
        </w:rPr>
        <w:t>1</w:t>
      </w:r>
      <w:r>
        <w:rPr>
          <w:rFonts w:hint="eastAsia" w:ascii="宋体" w:hAnsi="宋体" w:eastAsia="宋体" w:cs="宋体"/>
          <w:sz w:val="28"/>
          <w:szCs w:val="28"/>
        </w:rPr>
        <w:t>个、</w:t>
      </w:r>
      <w:r>
        <w:rPr>
          <w:rFonts w:hint="eastAsia" w:ascii="宋体" w:hAnsi="宋体" w:eastAsia="宋体" w:cs="宋体"/>
          <w:sz w:val="28"/>
          <w:szCs w:val="28"/>
          <w:lang w:val="en-US" w:eastAsia="zh-CN"/>
        </w:rPr>
        <w:t>15</w:t>
      </w:r>
      <w:r>
        <w:rPr>
          <w:rFonts w:hint="eastAsia" w:ascii="宋体" w:hAnsi="宋体" w:eastAsia="宋体" w:cs="宋体"/>
          <w:sz w:val="28"/>
          <w:szCs w:val="28"/>
        </w:rPr>
        <w:t>m</w:t>
      </w:r>
      <w:r>
        <w:rPr>
          <w:rFonts w:hint="eastAsia" w:ascii="宋体" w:hAnsi="宋体" w:eastAsia="宋体" w:cs="宋体"/>
          <w:sz w:val="28"/>
          <w:szCs w:val="28"/>
          <w:vertAlign w:val="superscript"/>
        </w:rPr>
        <w:t>3</w:t>
      </w:r>
      <w:r>
        <w:rPr>
          <w:rFonts w:hint="eastAsia" w:ascii="宋体" w:hAnsi="宋体" w:eastAsia="宋体" w:cs="宋体"/>
          <w:sz w:val="28"/>
          <w:szCs w:val="28"/>
        </w:rPr>
        <w:t>汽油罐</w:t>
      </w:r>
      <w:r>
        <w:rPr>
          <w:rFonts w:hint="eastAsia" w:ascii="宋体" w:hAnsi="宋体" w:eastAsia="宋体" w:cs="宋体"/>
          <w:sz w:val="28"/>
          <w:szCs w:val="28"/>
          <w:lang w:val="en-US" w:eastAsia="zh-CN"/>
        </w:rPr>
        <w:t>1</w:t>
      </w:r>
      <w:r>
        <w:rPr>
          <w:rFonts w:hint="eastAsia" w:ascii="宋体" w:hAnsi="宋体" w:eastAsia="宋体" w:cs="宋体"/>
          <w:sz w:val="28"/>
          <w:szCs w:val="28"/>
        </w:rPr>
        <w:t>个、</w:t>
      </w:r>
      <w:r>
        <w:rPr>
          <w:rFonts w:hint="eastAsia" w:ascii="宋体" w:hAnsi="宋体" w:eastAsia="宋体" w:cs="宋体"/>
          <w:sz w:val="28"/>
          <w:szCs w:val="28"/>
          <w:lang w:val="en-US" w:eastAsia="zh-CN"/>
        </w:rPr>
        <w:t>50</w:t>
      </w:r>
      <w:r>
        <w:rPr>
          <w:rFonts w:hint="eastAsia" w:ascii="宋体" w:hAnsi="宋体" w:eastAsia="宋体" w:cs="宋体"/>
          <w:sz w:val="28"/>
          <w:szCs w:val="28"/>
        </w:rPr>
        <w:t>m</w:t>
      </w:r>
      <w:r>
        <w:rPr>
          <w:rFonts w:hint="eastAsia" w:ascii="宋体" w:hAnsi="宋体" w:eastAsia="宋体" w:cs="宋体"/>
          <w:sz w:val="28"/>
          <w:szCs w:val="28"/>
          <w:vertAlign w:val="superscript"/>
        </w:rPr>
        <w:t>3</w:t>
      </w:r>
      <w:r>
        <w:rPr>
          <w:rFonts w:hint="eastAsia" w:ascii="宋体" w:hAnsi="宋体" w:eastAsia="宋体" w:cs="宋体"/>
          <w:sz w:val="28"/>
          <w:szCs w:val="28"/>
        </w:rPr>
        <w:t>柴油罐</w:t>
      </w:r>
      <w:r>
        <w:rPr>
          <w:rFonts w:hint="eastAsia" w:ascii="宋体" w:hAnsi="宋体" w:eastAsia="宋体" w:cs="宋体"/>
          <w:sz w:val="28"/>
          <w:szCs w:val="28"/>
          <w:lang w:val="en-US" w:eastAsia="zh-CN"/>
        </w:rPr>
        <w:t>1</w:t>
      </w:r>
      <w:r>
        <w:rPr>
          <w:rFonts w:hint="eastAsia" w:ascii="宋体" w:hAnsi="宋体" w:eastAsia="宋体" w:cs="宋体"/>
          <w:sz w:val="28"/>
          <w:szCs w:val="28"/>
        </w:rPr>
        <w:t>个。汽油罐最大储存量W</w:t>
      </w:r>
      <w:r>
        <w:rPr>
          <w:rFonts w:hint="eastAsia" w:ascii="宋体" w:hAnsi="宋体" w:eastAsia="宋体" w:cs="宋体"/>
          <w:sz w:val="28"/>
          <w:szCs w:val="28"/>
          <w:vertAlign w:val="subscript"/>
        </w:rPr>
        <w:t>t</w:t>
      </w:r>
      <w:r>
        <w:rPr>
          <w:rFonts w:hint="eastAsia" w:ascii="宋体" w:hAnsi="宋体" w:eastAsia="宋体" w:cs="宋体"/>
          <w:sz w:val="28"/>
          <w:szCs w:val="28"/>
        </w:rPr>
        <w:t>约</w:t>
      </w:r>
      <w:r>
        <w:rPr>
          <w:rFonts w:hint="eastAsia" w:ascii="宋体" w:hAnsi="宋体" w:eastAsia="宋体" w:cs="宋体"/>
          <w:color w:val="auto"/>
          <w:sz w:val="28"/>
          <w:szCs w:val="28"/>
          <w:lang w:val="en-US" w:eastAsia="zh-CN"/>
        </w:rPr>
        <w:t>69350</w:t>
      </w:r>
      <w:r>
        <w:rPr>
          <w:rFonts w:hint="eastAsia" w:ascii="宋体" w:hAnsi="宋体" w:eastAsia="宋体" w:cs="宋体"/>
          <w:color w:val="auto"/>
          <w:sz w:val="28"/>
          <w:szCs w:val="28"/>
        </w:rPr>
        <w:t>kg；柴油罐最大储存量W</w:t>
      </w:r>
      <w:r>
        <w:rPr>
          <w:rFonts w:hint="eastAsia" w:ascii="宋体" w:hAnsi="宋体" w:eastAsia="宋体" w:cs="宋体"/>
          <w:color w:val="auto"/>
          <w:sz w:val="28"/>
          <w:szCs w:val="28"/>
          <w:vertAlign w:val="subscript"/>
        </w:rPr>
        <w:t>t</w:t>
      </w:r>
      <w:r>
        <w:rPr>
          <w:rFonts w:hint="eastAsia" w:ascii="宋体" w:hAnsi="宋体" w:eastAsia="宋体" w:cs="宋体"/>
          <w:color w:val="auto"/>
          <w:sz w:val="28"/>
          <w:szCs w:val="28"/>
        </w:rPr>
        <w:t>约</w:t>
      </w:r>
      <w:r>
        <w:rPr>
          <w:rFonts w:hint="eastAsia" w:ascii="宋体" w:hAnsi="宋体" w:eastAsia="宋体" w:cs="宋体"/>
          <w:color w:val="auto"/>
          <w:sz w:val="28"/>
          <w:szCs w:val="28"/>
          <w:lang w:val="en-US" w:eastAsia="zh-CN"/>
        </w:rPr>
        <w:t>42000</w:t>
      </w:r>
      <w:r>
        <w:rPr>
          <w:rFonts w:hint="eastAsia" w:ascii="宋体" w:hAnsi="宋体" w:eastAsia="宋体" w:cs="宋体"/>
          <w:color w:val="auto"/>
          <w:sz w:val="28"/>
          <w:szCs w:val="28"/>
        </w:rPr>
        <w:t>kg。</w:t>
      </w:r>
    </w:p>
    <w:p>
      <w:pPr>
        <w:pageBreakBefore w:val="0"/>
        <w:widowControl w:val="0"/>
        <w:kinsoku/>
        <w:wordWrap/>
        <w:overflowPunct/>
        <w:topLinePunct w:val="0"/>
        <w:autoSpaceDE w:val="0"/>
        <w:autoSpaceDN w:val="0"/>
        <w:bidi w:val="0"/>
        <w:adjustRightInd/>
        <w:snapToGrid/>
        <w:spacing w:line="56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查物质系数和特性表可知，汽油的燃烧热</w:t>
      </w:r>
      <w:r>
        <w:rPr>
          <w:rFonts w:hint="eastAsia" w:ascii="宋体" w:hAnsi="宋体" w:eastAsia="宋体" w:cs="宋体"/>
          <w:sz w:val="28"/>
          <w:szCs w:val="28"/>
        </w:rPr>
        <w:tab/>
      </w:r>
    </w:p>
    <w:p>
      <w:pPr>
        <w:pageBreakBefore w:val="0"/>
        <w:widowControl w:val="0"/>
        <w:kinsoku/>
        <w:wordWrap/>
        <w:overflowPunct/>
        <w:topLinePunct w:val="0"/>
        <w:autoSpaceDE w:val="0"/>
        <w:autoSpaceDN w:val="0"/>
        <w:bidi w:val="0"/>
        <w:adjustRightInd/>
        <w:snapToGrid/>
        <w:spacing w:line="560" w:lineRule="exact"/>
        <w:jc w:val="both"/>
        <w:textAlignment w:val="auto"/>
        <w:rPr>
          <w:rFonts w:hint="eastAsia" w:ascii="宋体" w:hAnsi="宋体" w:eastAsia="宋体" w:cs="宋体"/>
          <w:sz w:val="28"/>
          <w:szCs w:val="28"/>
          <w:lang w:val="en-US"/>
        </w:rPr>
      </w:pPr>
      <w:r>
        <w:rPr>
          <w:rFonts w:hint="eastAsia" w:ascii="宋体" w:hAnsi="宋体" w:eastAsia="宋体" w:cs="宋体"/>
          <w:sz w:val="28"/>
          <w:szCs w:val="28"/>
        </w:rPr>
        <w:t>q</w:t>
      </w:r>
      <w:r>
        <w:rPr>
          <w:rFonts w:hint="eastAsia" w:ascii="宋体" w:hAnsi="宋体" w:eastAsia="宋体" w:cs="宋体"/>
          <w:sz w:val="28"/>
          <w:szCs w:val="28"/>
          <w:vertAlign w:val="subscript"/>
        </w:rPr>
        <w:t>t汽</w:t>
      </w:r>
      <w:r>
        <w:rPr>
          <w:rFonts w:hint="eastAsia" w:ascii="宋体" w:hAnsi="宋体" w:eastAsia="宋体" w:cs="宋体"/>
          <w:sz w:val="28"/>
          <w:szCs w:val="28"/>
        </w:rPr>
        <w:t>＝4.6×10</w:t>
      </w:r>
      <w:r>
        <w:rPr>
          <w:rFonts w:hint="eastAsia" w:ascii="宋体" w:hAnsi="宋体" w:eastAsia="宋体" w:cs="宋体"/>
          <w:sz w:val="28"/>
          <w:szCs w:val="28"/>
          <w:vertAlign w:val="superscript"/>
        </w:rPr>
        <w:t>4</w:t>
      </w:r>
      <w:r>
        <w:rPr>
          <w:rFonts w:hint="eastAsia" w:ascii="宋体" w:hAnsi="宋体" w:eastAsia="宋体" w:cs="宋体"/>
          <w:bCs/>
          <w:sz w:val="28"/>
          <w:szCs w:val="28"/>
        </w:rPr>
        <w:t>kJ/kg</w:t>
      </w:r>
    </w:p>
    <w:p>
      <w:pPr>
        <w:pageBreakBefore w:val="0"/>
        <w:widowControl w:val="0"/>
        <w:kinsoku/>
        <w:wordWrap/>
        <w:overflowPunct/>
        <w:topLinePunct w:val="0"/>
        <w:autoSpaceDE w:val="0"/>
        <w:autoSpaceDN w:val="0"/>
        <w:bidi w:val="0"/>
        <w:adjustRightInd/>
        <w:snapToGrid/>
        <w:spacing w:line="56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柴油的燃烧热</w:t>
      </w:r>
      <w:r>
        <w:rPr>
          <w:rFonts w:hint="eastAsia" w:ascii="宋体" w:hAnsi="宋体" w:eastAsia="宋体" w:cs="宋体"/>
          <w:sz w:val="28"/>
          <w:szCs w:val="28"/>
        </w:rPr>
        <w:tab/>
      </w:r>
    </w:p>
    <w:p>
      <w:pPr>
        <w:pageBreakBefore w:val="0"/>
        <w:widowControl w:val="0"/>
        <w:kinsoku/>
        <w:wordWrap/>
        <w:overflowPunct/>
        <w:topLinePunct w:val="0"/>
        <w:autoSpaceDE w:val="0"/>
        <w:autoSpaceDN w:val="0"/>
        <w:bidi w:val="0"/>
        <w:adjustRightInd/>
        <w:snapToGrid/>
        <w:spacing w:line="560" w:lineRule="exact"/>
        <w:jc w:val="both"/>
        <w:textAlignment w:val="auto"/>
        <w:rPr>
          <w:rFonts w:hint="eastAsia" w:ascii="宋体" w:hAnsi="宋体" w:eastAsia="宋体" w:cs="宋体"/>
          <w:sz w:val="28"/>
          <w:szCs w:val="28"/>
        </w:rPr>
      </w:pPr>
      <w:r>
        <w:rPr>
          <w:rFonts w:hint="eastAsia" w:ascii="宋体" w:hAnsi="宋体" w:eastAsia="宋体" w:cs="宋体"/>
          <w:sz w:val="28"/>
          <w:szCs w:val="28"/>
        </w:rPr>
        <w:t>q</w:t>
      </w:r>
      <w:r>
        <w:rPr>
          <w:rFonts w:hint="eastAsia" w:ascii="宋体" w:hAnsi="宋体" w:eastAsia="宋体" w:cs="宋体"/>
          <w:sz w:val="28"/>
          <w:szCs w:val="28"/>
          <w:vertAlign w:val="subscript"/>
        </w:rPr>
        <w:t>t柴</w:t>
      </w:r>
      <w:r>
        <w:rPr>
          <w:rFonts w:hint="eastAsia" w:ascii="宋体" w:hAnsi="宋体" w:eastAsia="宋体" w:cs="宋体"/>
          <w:sz w:val="28"/>
          <w:szCs w:val="28"/>
        </w:rPr>
        <w:t>＝4.26×10</w:t>
      </w:r>
      <w:r>
        <w:rPr>
          <w:rFonts w:hint="eastAsia" w:ascii="宋体" w:hAnsi="宋体" w:eastAsia="宋体" w:cs="宋体"/>
          <w:sz w:val="28"/>
          <w:szCs w:val="28"/>
          <w:vertAlign w:val="superscript"/>
        </w:rPr>
        <w:t>4</w:t>
      </w:r>
      <w:r>
        <w:rPr>
          <w:rFonts w:hint="eastAsia" w:ascii="宋体" w:hAnsi="宋体" w:eastAsia="宋体" w:cs="宋体"/>
          <w:sz w:val="28"/>
          <w:szCs w:val="28"/>
        </w:rPr>
        <w:t>kJ/kg</w:t>
      </w:r>
    </w:p>
    <w:p>
      <w:pPr>
        <w:pageBreakBefore w:val="0"/>
        <w:widowControl w:val="0"/>
        <w:kinsoku/>
        <w:wordWrap/>
        <w:overflowPunct/>
        <w:topLinePunct w:val="0"/>
        <w:autoSpaceDE w:val="0"/>
        <w:autoSpaceDN w:val="0"/>
        <w:bidi w:val="0"/>
        <w:adjustRightInd/>
        <w:snapToGrid/>
        <w:spacing w:line="560" w:lineRule="exact"/>
        <w:ind w:left="660" w:leftChars="300"/>
        <w:jc w:val="both"/>
        <w:textAlignment w:val="auto"/>
        <w:rPr>
          <w:rFonts w:hint="eastAsia" w:ascii="宋体" w:hAnsi="宋体" w:eastAsia="宋体" w:cs="宋体"/>
          <w:sz w:val="28"/>
          <w:szCs w:val="28"/>
        </w:rPr>
      </w:pPr>
      <w:r>
        <w:rPr>
          <w:rFonts w:hint="eastAsia" w:ascii="宋体" w:hAnsi="宋体" w:eastAsia="宋体" w:cs="宋体"/>
          <w:sz w:val="28"/>
          <w:szCs w:val="28"/>
        </w:rPr>
        <w:t>汽油的最大储量为</w:t>
      </w:r>
      <w:r>
        <w:rPr>
          <w:rFonts w:hint="eastAsia" w:ascii="宋体" w:hAnsi="宋体" w:eastAsia="宋体" w:cs="宋体"/>
          <w:sz w:val="28"/>
          <w:szCs w:val="28"/>
          <w:lang w:val="en-US" w:eastAsia="zh-CN"/>
        </w:rPr>
        <w:t>69.35</w:t>
      </w:r>
      <w:r>
        <w:rPr>
          <w:rFonts w:hint="eastAsia" w:ascii="宋体" w:hAnsi="宋体" w:eastAsia="宋体" w:cs="宋体"/>
          <w:sz w:val="28"/>
          <w:szCs w:val="28"/>
        </w:rPr>
        <w:t>t，TNT的爆炸热（Q</w:t>
      </w:r>
      <w:r>
        <w:rPr>
          <w:rFonts w:hint="eastAsia" w:ascii="宋体" w:hAnsi="宋体" w:eastAsia="宋体" w:cs="宋体"/>
          <w:sz w:val="28"/>
          <w:szCs w:val="28"/>
          <w:vertAlign w:val="subscript"/>
        </w:rPr>
        <w:t>t</w:t>
      </w:r>
      <w:r>
        <w:rPr>
          <w:rFonts w:hint="eastAsia" w:ascii="宋体" w:hAnsi="宋体" w:eastAsia="宋体" w:cs="宋体"/>
          <w:sz w:val="28"/>
          <w:szCs w:val="28"/>
        </w:rPr>
        <w:t>）取</w:t>
      </w:r>
      <w:r>
        <w:rPr>
          <w:rFonts w:hint="eastAsia" w:ascii="宋体" w:hAnsi="宋体" w:eastAsia="宋体" w:cs="宋体"/>
          <w:sz w:val="28"/>
          <w:szCs w:val="28"/>
          <w:lang w:val="en-US" w:eastAsia="zh-CN"/>
        </w:rPr>
        <w:t>4500</w:t>
      </w:r>
      <w:r>
        <w:rPr>
          <w:rFonts w:hint="eastAsia" w:ascii="宋体" w:hAnsi="宋体" w:eastAsia="宋体" w:cs="宋体"/>
          <w:sz w:val="28"/>
          <w:szCs w:val="28"/>
        </w:rPr>
        <w:t>kJ/kg。</w:t>
      </w:r>
    </w:p>
    <w:p>
      <w:pPr>
        <w:pageBreakBefore w:val="0"/>
        <w:widowControl w:val="0"/>
        <w:kinsoku/>
        <w:wordWrap/>
        <w:overflowPunct/>
        <w:topLinePunct w:val="0"/>
        <w:autoSpaceDE w:val="0"/>
        <w:autoSpaceDN w:val="0"/>
        <w:bidi w:val="0"/>
        <w:adjustRightInd/>
        <w:snapToGrid/>
        <w:spacing w:line="56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假设当油品形成蒸气云遇延迟点火源发生地面蒸气云爆炸,考虑参与爆炸并对形成冲击波有实际贡献的蒸气云的量，根据地面蒸气云TNT当量计算公式W</w:t>
      </w:r>
      <w:r>
        <w:rPr>
          <w:rFonts w:hint="eastAsia" w:ascii="宋体" w:hAnsi="宋体" w:eastAsia="宋体" w:cs="宋体"/>
          <w:sz w:val="28"/>
          <w:szCs w:val="28"/>
          <w:vertAlign w:val="subscript"/>
        </w:rPr>
        <w:t>TNT</w:t>
      </w:r>
      <w:r>
        <w:rPr>
          <w:rFonts w:hint="eastAsia" w:ascii="宋体" w:hAnsi="宋体" w:eastAsia="宋体" w:cs="宋体"/>
          <w:sz w:val="28"/>
          <w:szCs w:val="28"/>
        </w:rPr>
        <w:t>=1.8aW</w:t>
      </w:r>
      <w:r>
        <w:rPr>
          <w:rFonts w:hint="eastAsia" w:ascii="宋体" w:hAnsi="宋体" w:eastAsia="宋体" w:cs="宋体"/>
          <w:sz w:val="28"/>
          <w:szCs w:val="28"/>
          <w:vertAlign w:val="subscript"/>
        </w:rPr>
        <w:t>t</w:t>
      </w:r>
      <w:r>
        <w:rPr>
          <w:rFonts w:hint="eastAsia" w:ascii="宋体" w:hAnsi="宋体" w:eastAsia="宋体" w:cs="宋体"/>
          <w:sz w:val="28"/>
          <w:szCs w:val="28"/>
        </w:rPr>
        <w:t>•q</w:t>
      </w:r>
      <w:r>
        <w:rPr>
          <w:rFonts w:hint="eastAsia" w:ascii="宋体" w:hAnsi="宋体" w:eastAsia="宋体" w:cs="宋体"/>
          <w:sz w:val="28"/>
          <w:szCs w:val="28"/>
          <w:vertAlign w:val="subscript"/>
        </w:rPr>
        <w:t>t</w:t>
      </w:r>
      <w:r>
        <w:rPr>
          <w:rFonts w:hint="eastAsia" w:ascii="宋体" w:hAnsi="宋体" w:eastAsia="宋体" w:cs="宋体"/>
          <w:sz w:val="28"/>
          <w:szCs w:val="28"/>
        </w:rPr>
        <w:t>/Q</w:t>
      </w:r>
      <w:r>
        <w:rPr>
          <w:rFonts w:hint="eastAsia" w:ascii="宋体" w:hAnsi="宋体" w:eastAsia="宋体" w:cs="宋体"/>
          <w:sz w:val="28"/>
          <w:szCs w:val="28"/>
          <w:vertAlign w:val="subscript"/>
        </w:rPr>
        <w:t>t</w:t>
      </w:r>
      <w:r>
        <w:rPr>
          <w:rFonts w:hint="eastAsia" w:ascii="宋体" w:hAnsi="宋体" w:eastAsia="宋体" w:cs="宋体"/>
          <w:sz w:val="28"/>
          <w:szCs w:val="28"/>
        </w:rPr>
        <w:t>，可得到汽油和柴油的地面蒸气云TNT当量。式中</w:t>
      </w:r>
    </w:p>
    <w:p>
      <w:pPr>
        <w:pageBreakBefore w:val="0"/>
        <w:widowControl w:val="0"/>
        <w:kinsoku/>
        <w:wordWrap/>
        <w:overflowPunct/>
        <w:topLinePunct w:val="0"/>
        <w:autoSpaceDE w:val="0"/>
        <w:autoSpaceDN w:val="0"/>
        <w:bidi w:val="0"/>
        <w:adjustRightInd/>
        <w:snapToGrid/>
        <w:spacing w:line="560" w:lineRule="exact"/>
        <w:ind w:firstLine="560" w:firstLineChars="200"/>
        <w:jc w:val="both"/>
        <w:textAlignment w:val="auto"/>
        <w:rPr>
          <w:rFonts w:hint="eastAsia" w:ascii="宋体" w:hAnsi="宋体" w:eastAsia="宋体" w:cs="宋体"/>
          <w:sz w:val="28"/>
          <w:szCs w:val="28"/>
        </w:rPr>
      </w:pPr>
      <w:bookmarkStart w:id="756" w:name="_Toc7115_WPSOffice_Level2"/>
      <w:bookmarkStart w:id="757" w:name="_Toc11116_WPSOffice_Level2"/>
      <w:bookmarkStart w:id="758" w:name="_Toc27352_WPSOffice_Level2"/>
      <w:bookmarkStart w:id="759" w:name="_Toc22039_WPSOffice_Level2"/>
      <w:bookmarkStart w:id="760" w:name="_Toc30950_WPSOffice_Level2"/>
      <w:bookmarkStart w:id="761" w:name="_Toc19053_WPSOffice_Level2"/>
      <w:r>
        <w:rPr>
          <w:rFonts w:hint="eastAsia" w:ascii="宋体" w:hAnsi="宋体" w:eastAsia="宋体" w:cs="宋体"/>
          <w:sz w:val="28"/>
          <w:szCs w:val="28"/>
        </w:rPr>
        <w:t>1.8——地面爆炸系数</w:t>
      </w:r>
      <w:bookmarkEnd w:id="756"/>
      <w:bookmarkEnd w:id="757"/>
      <w:bookmarkEnd w:id="758"/>
      <w:bookmarkEnd w:id="759"/>
      <w:bookmarkEnd w:id="760"/>
      <w:bookmarkEnd w:id="761"/>
    </w:p>
    <w:p>
      <w:pPr>
        <w:pageBreakBefore w:val="0"/>
        <w:widowControl w:val="0"/>
        <w:kinsoku/>
        <w:wordWrap/>
        <w:overflowPunct/>
        <w:topLinePunct w:val="0"/>
        <w:autoSpaceDE w:val="0"/>
        <w:autoSpaceDN w:val="0"/>
        <w:bidi w:val="0"/>
        <w:adjustRightInd/>
        <w:snapToGrid/>
        <w:spacing w:line="56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a——可燃气体蒸气云的当量系数，一般取0.04。</w:t>
      </w:r>
    </w:p>
    <w:p>
      <w:pPr>
        <w:pageBreakBefore w:val="0"/>
        <w:widowControl w:val="0"/>
        <w:kinsoku/>
        <w:wordWrap/>
        <w:overflowPunct/>
        <w:topLinePunct w:val="0"/>
        <w:autoSpaceDE w:val="0"/>
        <w:autoSpaceDN w:val="0"/>
        <w:bidi w:val="0"/>
        <w:adjustRightInd/>
        <w:snapToGrid/>
        <w:spacing w:line="56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计算得到汽油的地面蒸气云TNT当量为</w:t>
      </w:r>
      <w:r>
        <w:rPr>
          <w:rFonts w:hint="eastAsia" w:ascii="宋体" w:hAnsi="宋体" w:eastAsia="宋体" w:cs="宋体"/>
          <w:sz w:val="28"/>
          <w:szCs w:val="28"/>
          <w:lang w:val="en-US" w:eastAsia="zh-CN"/>
        </w:rPr>
        <w:t>49.93</w:t>
      </w:r>
      <w:r>
        <w:rPr>
          <w:rFonts w:hint="eastAsia" w:ascii="宋体" w:hAnsi="宋体" w:eastAsia="宋体" w:cs="宋体"/>
          <w:sz w:val="28"/>
          <w:szCs w:val="28"/>
        </w:rPr>
        <w:t>t，柴油的地面蒸气云 TNT当量为</w:t>
      </w:r>
      <w:r>
        <w:rPr>
          <w:rFonts w:hint="eastAsia" w:ascii="宋体" w:hAnsi="宋体" w:eastAsia="宋体" w:cs="宋体"/>
          <w:sz w:val="28"/>
          <w:szCs w:val="28"/>
          <w:lang w:val="en-US" w:eastAsia="zh-CN"/>
        </w:rPr>
        <w:t>11.45</w:t>
      </w:r>
      <w:r>
        <w:rPr>
          <w:rFonts w:hint="eastAsia" w:ascii="宋体" w:hAnsi="宋体" w:eastAsia="宋体" w:cs="宋体"/>
          <w:sz w:val="28"/>
          <w:szCs w:val="28"/>
        </w:rPr>
        <w:t>t。</w:t>
      </w:r>
    </w:p>
    <w:p>
      <w:pPr>
        <w:pageBreakBefore w:val="0"/>
        <w:widowControl w:val="0"/>
        <w:kinsoku/>
        <w:wordWrap/>
        <w:overflowPunct/>
        <w:topLinePunct w:val="0"/>
        <w:autoSpaceDE w:val="0"/>
        <w:autoSpaceDN w:val="0"/>
        <w:bidi w:val="0"/>
        <w:adjustRightInd/>
        <w:snapToGrid/>
        <w:spacing w:line="56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从以上分析计算可知，</w:t>
      </w:r>
      <w:r>
        <w:rPr>
          <w:rFonts w:hint="eastAsia" w:ascii="宋体" w:hAnsi="宋体" w:eastAsia="宋体" w:cs="宋体"/>
          <w:sz w:val="28"/>
          <w:szCs w:val="28"/>
          <w:lang w:eastAsia="zh-CN"/>
        </w:rPr>
        <w:t>横坑加油站</w:t>
      </w:r>
      <w:r>
        <w:rPr>
          <w:rFonts w:hint="eastAsia" w:ascii="宋体" w:hAnsi="宋体" w:eastAsia="宋体" w:cs="宋体"/>
          <w:sz w:val="28"/>
          <w:szCs w:val="28"/>
        </w:rPr>
        <w:t>的固有危险程度如表3.</w:t>
      </w:r>
      <w:r>
        <w:rPr>
          <w:rFonts w:hint="eastAsia" w:ascii="宋体" w:hAnsi="宋体" w:eastAsia="宋体" w:cs="宋体"/>
          <w:sz w:val="28"/>
          <w:szCs w:val="28"/>
          <w:lang w:val="en-US" w:eastAsia="zh-CN"/>
        </w:rPr>
        <w:t>6</w:t>
      </w:r>
      <w:r>
        <w:rPr>
          <w:rFonts w:hint="eastAsia" w:ascii="宋体" w:hAnsi="宋体" w:eastAsia="宋体" w:cs="宋体"/>
          <w:sz w:val="28"/>
          <w:szCs w:val="28"/>
        </w:rPr>
        <w:t>-1 所示：</w:t>
      </w:r>
    </w:p>
    <w:p>
      <w:pPr>
        <w:spacing w:line="500" w:lineRule="exact"/>
        <w:ind w:firstLine="480" w:firstLineChars="200"/>
        <w:jc w:val="center"/>
        <w:rPr>
          <w:rFonts w:hint="eastAsia" w:ascii="宋体" w:hAnsi="宋体" w:eastAsia="宋体" w:cs="宋体"/>
          <w:sz w:val="24"/>
          <w:szCs w:val="24"/>
        </w:rPr>
      </w:pPr>
      <w:bookmarkStart w:id="762" w:name="_Toc19463_WPSOffice_Level3"/>
      <w:bookmarkStart w:id="763" w:name="_Toc32436_WPSOffice_Level3"/>
      <w:bookmarkStart w:id="764" w:name="_Toc25145_WPSOffice_Level3"/>
      <w:r>
        <w:rPr>
          <w:rFonts w:hint="eastAsia" w:ascii="宋体" w:hAnsi="宋体" w:eastAsia="宋体" w:cs="宋体"/>
          <w:sz w:val="24"/>
          <w:szCs w:val="24"/>
        </w:rPr>
        <w:t>附表3.</w:t>
      </w:r>
      <w:r>
        <w:rPr>
          <w:rFonts w:hint="eastAsia" w:ascii="宋体" w:hAnsi="宋体" w:eastAsia="宋体" w:cs="宋体"/>
          <w:sz w:val="24"/>
          <w:szCs w:val="24"/>
          <w:lang w:val="en-US"/>
        </w:rPr>
        <w:t>6</w:t>
      </w:r>
      <w:r>
        <w:rPr>
          <w:rFonts w:hint="eastAsia" w:ascii="宋体" w:hAnsi="宋体" w:eastAsia="宋体" w:cs="宋体"/>
          <w:sz w:val="24"/>
          <w:szCs w:val="24"/>
        </w:rPr>
        <w:t>-1 加油站固有危险程度一览表</w:t>
      </w:r>
      <w:bookmarkEnd w:id="762"/>
      <w:bookmarkEnd w:id="763"/>
      <w:bookmarkEnd w:id="764"/>
    </w:p>
    <w:tbl>
      <w:tblPr>
        <w:tblStyle w:val="21"/>
        <w:tblW w:w="9159" w:type="dxa"/>
        <w:jc w:val="center"/>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056"/>
        <w:gridCol w:w="1160"/>
        <w:gridCol w:w="1196"/>
        <w:gridCol w:w="1112"/>
        <w:gridCol w:w="2369"/>
        <w:gridCol w:w="2266"/>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23" w:hRule="atLeast"/>
          <w:jc w:val="center"/>
        </w:trPr>
        <w:tc>
          <w:tcPr>
            <w:tcW w:w="1056" w:type="dxa"/>
            <w:tcBorders>
              <w:bottom w:val="single" w:color="000000" w:sz="4" w:space="0"/>
              <w:right w:val="single" w:color="000000"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物质名称</w:t>
            </w:r>
          </w:p>
        </w:tc>
        <w:tc>
          <w:tcPr>
            <w:tcW w:w="1160" w:type="dxa"/>
            <w:tcBorders>
              <w:left w:val="single" w:color="000000" w:sz="4" w:space="0"/>
              <w:bottom w:val="single" w:color="000000" w:sz="4" w:space="0"/>
              <w:right w:val="single" w:color="000000"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所在场所</w:t>
            </w:r>
          </w:p>
        </w:tc>
        <w:tc>
          <w:tcPr>
            <w:tcW w:w="1196" w:type="dxa"/>
            <w:tcBorders>
              <w:left w:val="single" w:color="000000" w:sz="4" w:space="0"/>
              <w:bottom w:val="single" w:color="000000" w:sz="4" w:space="0"/>
              <w:right w:val="single" w:color="000000"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存在状况</w:t>
            </w:r>
          </w:p>
        </w:tc>
        <w:tc>
          <w:tcPr>
            <w:tcW w:w="1112" w:type="dxa"/>
            <w:tcBorders>
              <w:left w:val="single" w:color="000000" w:sz="4" w:space="0"/>
              <w:bottom w:val="single" w:color="000000" w:sz="4" w:space="0"/>
              <w:right w:val="single" w:color="000000"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质量（t）</w:t>
            </w:r>
          </w:p>
        </w:tc>
        <w:tc>
          <w:tcPr>
            <w:tcW w:w="2369" w:type="dxa"/>
            <w:tcBorders>
              <w:left w:val="single" w:color="000000" w:sz="4" w:space="0"/>
              <w:bottom w:val="single" w:color="000000" w:sz="4" w:space="0"/>
              <w:right w:val="single" w:color="000000"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燃烧后放出的热量（kJ）</w:t>
            </w:r>
          </w:p>
        </w:tc>
        <w:tc>
          <w:tcPr>
            <w:tcW w:w="2266" w:type="dxa"/>
            <w:tcBorders>
              <w:left w:val="single" w:color="000000" w:sz="4" w:space="0"/>
              <w:bottom w:val="single" w:color="000000"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地面蒸气云 TNT 当量</w:t>
            </w:r>
          </w:p>
          <w:p>
            <w:pPr>
              <w:jc w:val="center"/>
              <w:rPr>
                <w:rFonts w:hint="eastAsia" w:ascii="宋体" w:hAnsi="宋体" w:eastAsia="宋体" w:cs="宋体"/>
                <w:sz w:val="21"/>
                <w:szCs w:val="21"/>
              </w:rPr>
            </w:pPr>
            <w:r>
              <w:rPr>
                <w:rFonts w:hint="eastAsia" w:ascii="宋体" w:hAnsi="宋体" w:eastAsia="宋体" w:cs="宋体"/>
                <w:sz w:val="21"/>
                <w:szCs w:val="21"/>
              </w:rPr>
              <w:t>（t）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0" w:hRule="atLeast"/>
          <w:jc w:val="center"/>
        </w:trPr>
        <w:tc>
          <w:tcPr>
            <w:tcW w:w="1056" w:type="dxa"/>
            <w:tcBorders>
              <w:top w:val="single" w:color="000000" w:sz="4" w:space="0"/>
              <w:bottom w:val="single" w:color="000000" w:sz="4" w:space="0"/>
              <w:right w:val="single" w:color="000000"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汽油</w:t>
            </w:r>
          </w:p>
        </w:tc>
        <w:tc>
          <w:tcPr>
            <w:tcW w:w="116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油罐区</w:t>
            </w:r>
          </w:p>
        </w:tc>
        <w:tc>
          <w:tcPr>
            <w:tcW w:w="119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常温、常压</w:t>
            </w:r>
          </w:p>
        </w:tc>
        <w:tc>
          <w:tcPr>
            <w:tcW w:w="111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69.35</w:t>
            </w:r>
          </w:p>
        </w:tc>
        <w:tc>
          <w:tcPr>
            <w:tcW w:w="236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3.19</w:t>
            </w:r>
            <w:r>
              <w:rPr>
                <w:rFonts w:hint="eastAsia" w:ascii="宋体" w:hAnsi="宋体" w:eastAsia="宋体" w:cs="宋体"/>
                <w:color w:val="auto"/>
                <w:sz w:val="21"/>
                <w:szCs w:val="21"/>
              </w:rPr>
              <w:t>×10</w:t>
            </w:r>
            <w:r>
              <w:rPr>
                <w:rFonts w:hint="eastAsia" w:ascii="宋体" w:hAnsi="宋体" w:eastAsia="宋体" w:cs="宋体"/>
                <w:color w:val="auto"/>
                <w:sz w:val="21"/>
                <w:szCs w:val="21"/>
                <w:vertAlign w:val="superscript"/>
                <w:lang w:val="en-US" w:eastAsia="zh-CN"/>
              </w:rPr>
              <w:t>9</w:t>
            </w:r>
          </w:p>
        </w:tc>
        <w:tc>
          <w:tcPr>
            <w:tcW w:w="2266" w:type="dxa"/>
            <w:tcBorders>
              <w:top w:val="single" w:color="000000" w:sz="4" w:space="0"/>
              <w:left w:val="single" w:color="000000" w:sz="4" w:space="0"/>
              <w:bottom w:val="single" w:color="000000" w:sz="4" w:space="0"/>
            </w:tcBorders>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51.04</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48" w:hRule="atLeast"/>
          <w:jc w:val="center"/>
        </w:trPr>
        <w:tc>
          <w:tcPr>
            <w:tcW w:w="1056" w:type="dxa"/>
            <w:tcBorders>
              <w:top w:val="single" w:color="000000" w:sz="4" w:space="0"/>
              <w:bottom w:val="single" w:color="000000" w:sz="4" w:space="0"/>
              <w:right w:val="single" w:color="000000"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柴油</w:t>
            </w:r>
          </w:p>
        </w:tc>
        <w:tc>
          <w:tcPr>
            <w:tcW w:w="1160"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油罐区</w:t>
            </w:r>
          </w:p>
        </w:tc>
        <w:tc>
          <w:tcPr>
            <w:tcW w:w="119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常温、常压</w:t>
            </w:r>
          </w:p>
        </w:tc>
        <w:tc>
          <w:tcPr>
            <w:tcW w:w="111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42.0</w:t>
            </w:r>
          </w:p>
        </w:tc>
        <w:tc>
          <w:tcPr>
            <w:tcW w:w="236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1.79</w:t>
            </w:r>
            <w:r>
              <w:rPr>
                <w:rFonts w:hint="eastAsia" w:ascii="宋体" w:hAnsi="宋体" w:eastAsia="宋体" w:cs="宋体"/>
                <w:color w:val="auto"/>
                <w:sz w:val="21"/>
                <w:szCs w:val="21"/>
              </w:rPr>
              <w:t>×10</w:t>
            </w:r>
            <w:r>
              <w:rPr>
                <w:rFonts w:hint="eastAsia" w:ascii="宋体" w:hAnsi="宋体" w:eastAsia="宋体" w:cs="宋体"/>
                <w:color w:val="auto"/>
                <w:sz w:val="21"/>
                <w:szCs w:val="21"/>
                <w:vertAlign w:val="superscript"/>
                <w:lang w:val="en-US" w:eastAsia="zh-CN"/>
              </w:rPr>
              <w:t>9</w:t>
            </w:r>
          </w:p>
        </w:tc>
        <w:tc>
          <w:tcPr>
            <w:tcW w:w="2266" w:type="dxa"/>
            <w:tcBorders>
              <w:top w:val="single" w:color="000000" w:sz="4" w:space="0"/>
              <w:left w:val="single" w:color="000000" w:sz="4" w:space="0"/>
              <w:bottom w:val="single" w:color="000000" w:sz="4" w:space="0"/>
            </w:tcBorders>
            <w:vAlign w:val="center"/>
          </w:tcPr>
          <w:p>
            <w:pPr>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28.63</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23" w:hRule="atLeast"/>
          <w:jc w:val="center"/>
        </w:trPr>
        <w:tc>
          <w:tcPr>
            <w:tcW w:w="1056" w:type="dxa"/>
            <w:tcBorders>
              <w:top w:val="single" w:color="000000" w:sz="4" w:space="0"/>
              <w:right w:val="single" w:color="000000"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说明</w:t>
            </w:r>
          </w:p>
        </w:tc>
        <w:tc>
          <w:tcPr>
            <w:tcW w:w="8103" w:type="dxa"/>
            <w:gridSpan w:val="5"/>
            <w:tcBorders>
              <w:top w:val="single" w:color="000000" w:sz="4" w:space="0"/>
              <w:left w:val="single" w:color="000000"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TNT 当量计算采用《易燃、易爆、有毒危险品储运过程定量风险评价》（宇德明著，中国铁道出版社出版）所介绍的方法和TNT 当量评估公式计算。</w:t>
            </w:r>
          </w:p>
        </w:tc>
      </w:tr>
    </w:tbl>
    <w:p>
      <w:pPr>
        <w:spacing w:line="360" w:lineRule="auto"/>
        <w:jc w:val="center"/>
        <w:outlineLvl w:val="1"/>
        <w:rPr>
          <w:rFonts w:hint="eastAsia" w:ascii="宋体" w:hAnsi="宋体" w:eastAsia="宋体" w:cs="宋体"/>
          <w:b/>
          <w:sz w:val="32"/>
          <w:szCs w:val="32"/>
        </w:rPr>
      </w:pPr>
      <w:bookmarkStart w:id="765" w:name="_Toc529176537"/>
      <w:bookmarkStart w:id="766" w:name="_Toc867_WPSOffice_Level2"/>
      <w:bookmarkStart w:id="767" w:name="_Toc26271_WPSOffice_Level2"/>
    </w:p>
    <w:p>
      <w:pPr>
        <w:spacing w:line="360" w:lineRule="auto"/>
        <w:jc w:val="center"/>
        <w:outlineLvl w:val="1"/>
        <w:rPr>
          <w:rFonts w:hint="eastAsia" w:ascii="宋体" w:hAnsi="宋体" w:eastAsia="宋体" w:cs="宋体"/>
          <w:b/>
          <w:sz w:val="32"/>
          <w:szCs w:val="32"/>
        </w:rPr>
      </w:pPr>
      <w:bookmarkStart w:id="768" w:name="_Toc10705_WPSOffice_Level2"/>
      <w:bookmarkStart w:id="769" w:name="_Toc13163"/>
      <w:bookmarkStart w:id="770" w:name="_Toc13148"/>
      <w:bookmarkStart w:id="771" w:name="_Toc9207"/>
      <w:r>
        <w:rPr>
          <w:rFonts w:hint="eastAsia" w:ascii="宋体" w:hAnsi="宋体" w:eastAsia="宋体" w:cs="宋体"/>
          <w:b/>
          <w:sz w:val="32"/>
          <w:szCs w:val="32"/>
        </w:rPr>
        <w:t>3.</w:t>
      </w:r>
      <w:r>
        <w:rPr>
          <w:rFonts w:hint="eastAsia" w:ascii="宋体" w:hAnsi="宋体" w:eastAsia="宋体" w:cs="宋体"/>
          <w:b/>
          <w:sz w:val="32"/>
          <w:szCs w:val="32"/>
          <w:lang w:val="en-US"/>
        </w:rPr>
        <w:t>7</w:t>
      </w:r>
      <w:r>
        <w:rPr>
          <w:rFonts w:hint="eastAsia" w:ascii="宋体" w:hAnsi="宋体" w:eastAsia="宋体" w:cs="宋体"/>
          <w:b/>
          <w:sz w:val="32"/>
          <w:szCs w:val="32"/>
        </w:rPr>
        <w:t xml:space="preserve"> 事故案例分析</w:t>
      </w:r>
      <w:bookmarkEnd w:id="765"/>
      <w:bookmarkEnd w:id="766"/>
      <w:bookmarkEnd w:id="767"/>
      <w:bookmarkEnd w:id="768"/>
      <w:bookmarkEnd w:id="769"/>
      <w:bookmarkEnd w:id="770"/>
      <w:bookmarkEnd w:id="771"/>
    </w:p>
    <w:p>
      <w:pPr>
        <w:pStyle w:val="4"/>
        <w:spacing w:before="120" w:after="120" w:line="240" w:lineRule="auto"/>
        <w:ind w:firstLine="562" w:firstLineChars="200"/>
        <w:rPr>
          <w:rFonts w:hint="eastAsia" w:ascii="宋体" w:hAnsi="宋体" w:eastAsia="宋体" w:cs="宋体"/>
          <w:sz w:val="28"/>
          <w:szCs w:val="28"/>
        </w:rPr>
      </w:pPr>
      <w:bookmarkStart w:id="772" w:name="_Toc527477411"/>
      <w:bookmarkStart w:id="773" w:name="_Toc20648_WPSOffice_Level3"/>
      <w:bookmarkStart w:id="774" w:name="_Toc26620_WPSOffice_Level3"/>
      <w:bookmarkStart w:id="775" w:name="_Toc286325154"/>
      <w:bookmarkStart w:id="776" w:name="_Toc235614109"/>
      <w:bookmarkStart w:id="777" w:name="_Toc235074726"/>
      <w:bookmarkStart w:id="778" w:name="_Toc232044480"/>
      <w:bookmarkStart w:id="779" w:name="_Toc252951869"/>
      <w:bookmarkStart w:id="780" w:name="_Toc231987751"/>
      <w:bookmarkStart w:id="781" w:name="_Toc231987336"/>
      <w:bookmarkStart w:id="782" w:name="_Toc232045014"/>
      <w:r>
        <w:rPr>
          <w:rFonts w:hint="eastAsia" w:ascii="宋体" w:hAnsi="宋体" w:eastAsia="宋体" w:cs="宋体"/>
          <w:sz w:val="28"/>
          <w:szCs w:val="28"/>
        </w:rPr>
        <w:t>3.</w:t>
      </w:r>
      <w:r>
        <w:rPr>
          <w:rFonts w:hint="eastAsia" w:ascii="宋体" w:hAnsi="宋体" w:eastAsia="宋体" w:cs="宋体"/>
          <w:sz w:val="28"/>
          <w:szCs w:val="28"/>
          <w:lang w:val="en-US"/>
        </w:rPr>
        <w:t>7</w:t>
      </w:r>
      <w:r>
        <w:rPr>
          <w:rFonts w:hint="eastAsia" w:ascii="宋体" w:hAnsi="宋体" w:eastAsia="宋体" w:cs="宋体"/>
          <w:sz w:val="28"/>
          <w:szCs w:val="28"/>
        </w:rPr>
        <w:t>.1</w:t>
      </w:r>
      <w:r>
        <w:rPr>
          <w:rFonts w:hint="eastAsia" w:ascii="宋体" w:hAnsi="宋体" w:eastAsia="宋体" w:cs="宋体"/>
          <w:sz w:val="28"/>
          <w:szCs w:val="28"/>
          <w:lang w:val="en-US"/>
        </w:rPr>
        <w:t xml:space="preserve"> </w:t>
      </w:r>
      <w:r>
        <w:rPr>
          <w:rFonts w:hint="eastAsia" w:ascii="宋体" w:hAnsi="宋体" w:eastAsia="宋体" w:cs="宋体"/>
          <w:sz w:val="28"/>
          <w:szCs w:val="28"/>
        </w:rPr>
        <w:t>火灾、爆炸事故案例一</w:t>
      </w:r>
      <w:bookmarkEnd w:id="772"/>
      <w:bookmarkEnd w:id="773"/>
      <w:bookmarkEnd w:id="774"/>
    </w:p>
    <w:p>
      <w:pPr>
        <w:spacing w:line="500" w:lineRule="exact"/>
        <w:ind w:firstLine="523" w:firstLineChars="187"/>
        <w:rPr>
          <w:rFonts w:hint="eastAsia" w:ascii="宋体" w:hAnsi="宋体" w:eastAsia="宋体" w:cs="宋体"/>
          <w:sz w:val="28"/>
          <w:szCs w:val="28"/>
        </w:rPr>
      </w:pPr>
      <w:r>
        <w:rPr>
          <w:rFonts w:hint="eastAsia" w:ascii="宋体" w:hAnsi="宋体" w:eastAsia="宋体" w:cs="宋体"/>
          <w:sz w:val="28"/>
          <w:szCs w:val="28"/>
        </w:rPr>
        <w:t>1）事故经过</w:t>
      </w:r>
    </w:p>
    <w:p>
      <w:pPr>
        <w:spacing w:line="500" w:lineRule="exact"/>
        <w:ind w:firstLine="523" w:firstLineChars="187"/>
        <w:jc w:val="both"/>
        <w:rPr>
          <w:rFonts w:hint="eastAsia" w:ascii="宋体" w:hAnsi="宋体" w:eastAsia="宋体" w:cs="宋体"/>
          <w:sz w:val="28"/>
          <w:szCs w:val="28"/>
        </w:rPr>
      </w:pPr>
      <w:r>
        <w:rPr>
          <w:rFonts w:hint="eastAsia" w:ascii="宋体" w:hAnsi="宋体" w:eastAsia="宋体" w:cs="宋体"/>
          <w:sz w:val="28"/>
          <w:szCs w:val="28"/>
        </w:rPr>
        <w:t>2014年6月1日中午，满载汽油（29.48吨）的浙BR257大油罐车到达临海市顺风加油站，并在11点50分左右开始向加油站地下储油罐卸油，当时加油站卸油作业现场人员有林某（浙BR257大油罐车驾驶员，事故发生时在副驾驶室）、潘某（浙BR257大油罐车押送员）、朱某（加油站工作人员，小油罐车浙J76829驾驶员）等3人。在汽油槽罐车卸油的同时，加油站工作人员朱某考虑到地下储油罐装不下这么多油，就开来一辆小油罐车，停到大油罐车旁，从大油罐吸油，来分装一部分汽油。现场由潘某跟朱某两人负责卸油和抽油作业，潘某站在大油罐车车顶负责看护，朱某操作浙J76829小型油罐车从大油罐车吸油。因为抽油时，需要开启抽油泵，抽油泵利用小油罐车的发动机作为动力，因此整个抽油作业过程中小油罐车的发动机并未熄火。大概12点30分左右，当朱某从小油罐车车顶下来，去开车门的时候，突然发生爆燃，瞬间火焰高窜，朱某被火焰烧伤。火焰甚至喷到距地面大概有四、五米高的潘某，将其右脸颊和手灼伤。12时40分，临海市消防大队接到临海市公安局指挥中心指令，立即出动7辆消防车和42名消防官兵赶往火灾现场。经过消防官兵奋力扑救，大火于15时左右被扑灭，此次火灾造成2人受伤。</w:t>
      </w:r>
    </w:p>
    <w:p>
      <w:pPr>
        <w:spacing w:line="500" w:lineRule="exact"/>
        <w:ind w:firstLine="523" w:firstLineChars="187"/>
        <w:rPr>
          <w:rFonts w:hint="eastAsia" w:ascii="宋体" w:hAnsi="宋体" w:eastAsia="宋体" w:cs="宋体"/>
          <w:sz w:val="28"/>
          <w:szCs w:val="28"/>
        </w:rPr>
      </w:pPr>
      <w:r>
        <w:rPr>
          <w:rFonts w:hint="eastAsia" w:ascii="宋体" w:hAnsi="宋体" w:eastAsia="宋体" w:cs="宋体"/>
          <w:sz w:val="28"/>
          <w:szCs w:val="28"/>
        </w:rPr>
        <w:t>2）事故原因</w:t>
      </w:r>
    </w:p>
    <w:p>
      <w:pPr>
        <w:spacing w:line="500" w:lineRule="exact"/>
        <w:ind w:firstLine="523" w:firstLineChars="187"/>
        <w:jc w:val="both"/>
        <w:rPr>
          <w:rFonts w:hint="eastAsia" w:ascii="宋体" w:hAnsi="宋体" w:eastAsia="宋体" w:cs="宋体"/>
          <w:sz w:val="28"/>
          <w:szCs w:val="28"/>
        </w:rPr>
      </w:pPr>
      <w:r>
        <w:rPr>
          <w:rFonts w:hint="eastAsia" w:ascii="宋体" w:hAnsi="宋体" w:eastAsia="宋体" w:cs="宋体"/>
          <w:sz w:val="28"/>
          <w:szCs w:val="28"/>
        </w:rPr>
        <w:t>根据当事人笔录反映，及现场勘验情况，消防部门事故调查结论认为：此次火灾爆燃部位初步确定为小油罐车车头部分，火灾原因不能排除朱某伸手开车门时触发静电、车辆排气管高温过热、车辆发动机及抽油泵过热引发挥发聚集的油蒸气而产生爆燃。</w:t>
      </w:r>
    </w:p>
    <w:p>
      <w:pPr>
        <w:spacing w:line="500" w:lineRule="exact"/>
        <w:ind w:firstLine="523" w:firstLineChars="187"/>
        <w:rPr>
          <w:rFonts w:hint="eastAsia" w:ascii="宋体" w:hAnsi="宋体" w:eastAsia="宋体" w:cs="宋体"/>
          <w:sz w:val="28"/>
          <w:szCs w:val="28"/>
        </w:rPr>
      </w:pPr>
      <w:r>
        <w:rPr>
          <w:rFonts w:hint="eastAsia" w:ascii="宋体" w:hAnsi="宋体" w:eastAsia="宋体" w:cs="宋体"/>
          <w:sz w:val="28"/>
          <w:szCs w:val="28"/>
        </w:rPr>
        <w:t>3）事故教训</w:t>
      </w:r>
    </w:p>
    <w:p>
      <w:pPr>
        <w:spacing w:line="500" w:lineRule="exact"/>
        <w:ind w:firstLine="523" w:firstLineChars="187"/>
        <w:jc w:val="both"/>
        <w:rPr>
          <w:rFonts w:hint="eastAsia" w:ascii="宋体" w:hAnsi="宋体" w:eastAsia="宋体" w:cs="宋体"/>
          <w:sz w:val="28"/>
          <w:szCs w:val="28"/>
        </w:rPr>
      </w:pPr>
      <w:r>
        <w:rPr>
          <w:rFonts w:hint="eastAsia" w:ascii="宋体" w:hAnsi="宋体" w:eastAsia="宋体" w:cs="宋体"/>
          <w:sz w:val="28"/>
          <w:szCs w:val="28"/>
        </w:rPr>
        <w:t>（1）加油站工作人员安全意识淡薄。加油站工作人员朱某用来分装汽油的小型油罐车没有独立的抽油泵，利用外部抽油泵并利用车辆发动机作为动力，因此整个抽油作业过程中小油罐车的发动机并未熄火，且该车排气管未安装阻火器，在这种极不安全的情况下，当事人还是贸然利用此车抽吸汽油，导致发生爆燃事故。</w:t>
      </w:r>
    </w:p>
    <w:p>
      <w:pPr>
        <w:spacing w:line="500" w:lineRule="exact"/>
        <w:ind w:firstLine="523" w:firstLineChars="187"/>
        <w:jc w:val="both"/>
        <w:rPr>
          <w:rFonts w:hint="eastAsia" w:ascii="宋体" w:hAnsi="宋体" w:eastAsia="宋体" w:cs="宋体"/>
          <w:sz w:val="28"/>
          <w:szCs w:val="28"/>
        </w:rPr>
      </w:pPr>
      <w:r>
        <w:rPr>
          <w:rFonts w:hint="eastAsia" w:ascii="宋体" w:hAnsi="宋体" w:eastAsia="宋体" w:cs="宋体"/>
          <w:sz w:val="28"/>
          <w:szCs w:val="28"/>
        </w:rPr>
        <w:t>（2）加油站安全防范措施不到位。该加油站仅有一个防静电接地保护装置，且已经接到大油罐车尾部，小油罐车吸油的过程中未采取任何防静电接地措施，同时输油管为塑料软管，无法导除汽油在输送过程中产生的静电。</w:t>
      </w:r>
    </w:p>
    <w:p>
      <w:pPr>
        <w:spacing w:line="500" w:lineRule="exact"/>
        <w:ind w:firstLine="523" w:firstLineChars="187"/>
        <w:jc w:val="both"/>
        <w:rPr>
          <w:rFonts w:hint="eastAsia" w:ascii="宋体" w:hAnsi="宋体" w:eastAsia="宋体" w:cs="宋体"/>
          <w:sz w:val="28"/>
          <w:szCs w:val="28"/>
        </w:rPr>
      </w:pPr>
      <w:r>
        <w:rPr>
          <w:rFonts w:hint="eastAsia" w:ascii="宋体" w:hAnsi="宋体" w:eastAsia="宋体" w:cs="宋体"/>
          <w:sz w:val="28"/>
          <w:szCs w:val="28"/>
        </w:rPr>
        <w:t>（3）作业人员抽卸油操作不规范。作业人员在操作时同时对地下储罐和小油罐车进行卸、抽油作业。抽油的过程中塑料管一头接小油罐车下方进油接口处，而另一头则直接插入大油罐车顶部输油口，管线连接密封不到位，导致有大量油蒸气挥发，甚至有汽油外漏，致使小油罐车下方积聚大量油气。</w:t>
      </w:r>
    </w:p>
    <w:p>
      <w:pPr>
        <w:pStyle w:val="4"/>
        <w:spacing w:before="120" w:after="120" w:line="240" w:lineRule="auto"/>
        <w:ind w:firstLine="562" w:firstLineChars="200"/>
        <w:rPr>
          <w:rFonts w:hint="eastAsia" w:ascii="宋体" w:hAnsi="宋体" w:eastAsia="宋体" w:cs="宋体"/>
          <w:sz w:val="28"/>
          <w:szCs w:val="28"/>
        </w:rPr>
      </w:pPr>
      <w:bookmarkStart w:id="783" w:name="_Toc527477412"/>
      <w:bookmarkStart w:id="784" w:name="_Toc19030_WPSOffice_Level3"/>
      <w:bookmarkStart w:id="785" w:name="_Toc23468_WPSOffice_Level3"/>
      <w:r>
        <w:rPr>
          <w:rFonts w:hint="eastAsia" w:ascii="宋体" w:hAnsi="宋体" w:eastAsia="宋体" w:cs="宋体"/>
          <w:sz w:val="28"/>
          <w:szCs w:val="28"/>
        </w:rPr>
        <w:t>3.</w:t>
      </w:r>
      <w:r>
        <w:rPr>
          <w:rFonts w:hint="eastAsia" w:ascii="宋体" w:hAnsi="宋体" w:eastAsia="宋体" w:cs="宋体"/>
          <w:sz w:val="28"/>
          <w:szCs w:val="28"/>
          <w:lang w:val="en-US"/>
        </w:rPr>
        <w:t>7</w:t>
      </w:r>
      <w:r>
        <w:rPr>
          <w:rFonts w:hint="eastAsia" w:ascii="宋体" w:hAnsi="宋体" w:eastAsia="宋体" w:cs="宋体"/>
          <w:sz w:val="28"/>
          <w:szCs w:val="28"/>
        </w:rPr>
        <w:t>.2</w:t>
      </w:r>
      <w:r>
        <w:rPr>
          <w:rFonts w:hint="eastAsia" w:ascii="宋体" w:hAnsi="宋体" w:eastAsia="宋体" w:cs="宋体"/>
          <w:sz w:val="28"/>
          <w:szCs w:val="28"/>
          <w:lang w:val="en-US"/>
        </w:rPr>
        <w:t xml:space="preserve"> </w:t>
      </w:r>
      <w:r>
        <w:rPr>
          <w:rFonts w:hint="eastAsia" w:ascii="宋体" w:hAnsi="宋体" w:eastAsia="宋体" w:cs="宋体"/>
          <w:sz w:val="28"/>
          <w:szCs w:val="28"/>
        </w:rPr>
        <w:t>火灾、爆炸事故案例二</w:t>
      </w:r>
      <w:bookmarkEnd w:id="783"/>
      <w:bookmarkEnd w:id="784"/>
      <w:bookmarkEnd w:id="785"/>
    </w:p>
    <w:p>
      <w:pPr>
        <w:spacing w:line="500" w:lineRule="exact"/>
        <w:ind w:firstLine="523" w:firstLineChars="187"/>
        <w:jc w:val="both"/>
        <w:rPr>
          <w:rFonts w:hint="eastAsia" w:ascii="宋体" w:hAnsi="宋体" w:eastAsia="宋体" w:cs="宋体"/>
          <w:sz w:val="28"/>
          <w:szCs w:val="28"/>
        </w:rPr>
      </w:pPr>
      <w:r>
        <w:rPr>
          <w:rFonts w:hint="eastAsia" w:ascii="宋体" w:hAnsi="宋体" w:eastAsia="宋体" w:cs="宋体"/>
          <w:sz w:val="28"/>
          <w:szCs w:val="28"/>
        </w:rPr>
        <w:t>1）事故经过</w:t>
      </w:r>
    </w:p>
    <w:p>
      <w:pPr>
        <w:spacing w:line="500" w:lineRule="exact"/>
        <w:ind w:firstLine="523" w:firstLineChars="187"/>
        <w:jc w:val="both"/>
        <w:rPr>
          <w:rFonts w:hint="eastAsia" w:ascii="宋体" w:hAnsi="宋体" w:eastAsia="宋体" w:cs="宋体"/>
          <w:sz w:val="28"/>
          <w:szCs w:val="28"/>
        </w:rPr>
      </w:pPr>
      <w:r>
        <w:rPr>
          <w:rFonts w:hint="eastAsia" w:ascii="宋体" w:hAnsi="宋体" w:eastAsia="宋体" w:cs="宋体"/>
          <w:sz w:val="28"/>
          <w:szCs w:val="28"/>
        </w:rPr>
        <w:t>2014年9月8日15:40左右，山东济南分公司第63加油站在安装加油机和潜油泵过程中，由于油罐人孔盖不符合安装潜油泵的条件，对油罐人孔盖进行改造，承包商天津华北有色建设工程公司山东分公司的施工人员，擅自用自带泵将2号埋地罐中的注水抽空，并在无人监控的情况下，在操作井边沿用气割对油罐法兰盘、管线短管开坡口，切割过程中，引燃油罐内残余油气发生闪爆，李洪革当即受伤，送医院经抢救无效，于9月9日凌晨死亡。</w:t>
      </w:r>
    </w:p>
    <w:p>
      <w:pPr>
        <w:spacing w:line="500" w:lineRule="exact"/>
        <w:ind w:firstLine="523" w:firstLineChars="187"/>
        <w:jc w:val="both"/>
        <w:rPr>
          <w:rFonts w:hint="eastAsia" w:ascii="宋体" w:hAnsi="宋体" w:eastAsia="宋体" w:cs="宋体"/>
          <w:sz w:val="28"/>
          <w:szCs w:val="28"/>
        </w:rPr>
      </w:pPr>
      <w:r>
        <w:rPr>
          <w:rFonts w:hint="eastAsia" w:ascii="宋体" w:hAnsi="宋体" w:eastAsia="宋体" w:cs="宋体"/>
          <w:sz w:val="28"/>
          <w:szCs w:val="28"/>
        </w:rPr>
        <w:t>2）事故原因</w:t>
      </w:r>
    </w:p>
    <w:p>
      <w:pPr>
        <w:spacing w:line="500" w:lineRule="exact"/>
        <w:ind w:firstLine="523" w:firstLineChars="187"/>
        <w:jc w:val="both"/>
        <w:rPr>
          <w:rFonts w:hint="eastAsia" w:ascii="宋体" w:hAnsi="宋体" w:eastAsia="宋体" w:cs="宋体"/>
          <w:sz w:val="28"/>
          <w:szCs w:val="28"/>
        </w:rPr>
      </w:pPr>
      <w:r>
        <w:rPr>
          <w:rFonts w:hint="eastAsia" w:ascii="宋体" w:hAnsi="宋体" w:eastAsia="宋体" w:cs="宋体"/>
          <w:sz w:val="28"/>
          <w:szCs w:val="28"/>
        </w:rPr>
        <w:t>（1）直接原因：施工单位施工人员严重违反施工安全规定，安装潜油泵过程中将油罐注水抽出，造成油罐及操作井口油气积聚。在当天无动火作业计划、没有办理动火作业票的情况下，施工人员擅自变更作业地点，在靠近油罐口的区域内进行动火作业，造成闪爆。</w:t>
      </w:r>
    </w:p>
    <w:p>
      <w:pPr>
        <w:spacing w:line="500" w:lineRule="exact"/>
        <w:ind w:firstLine="523" w:firstLineChars="187"/>
        <w:jc w:val="both"/>
        <w:rPr>
          <w:rFonts w:hint="eastAsia" w:ascii="宋体" w:hAnsi="宋体" w:eastAsia="宋体" w:cs="宋体"/>
          <w:sz w:val="28"/>
          <w:szCs w:val="28"/>
        </w:rPr>
      </w:pPr>
      <w:r>
        <w:rPr>
          <w:rFonts w:hint="eastAsia" w:ascii="宋体" w:hAnsi="宋体" w:eastAsia="宋体" w:cs="宋体"/>
          <w:sz w:val="28"/>
          <w:szCs w:val="28"/>
        </w:rPr>
        <w:t>（2）间接原因：</w:t>
      </w:r>
    </w:p>
    <w:p>
      <w:pPr>
        <w:spacing w:line="500" w:lineRule="exact"/>
        <w:ind w:firstLine="523" w:firstLineChars="187"/>
        <w:jc w:val="both"/>
        <w:rPr>
          <w:rFonts w:hint="eastAsia" w:ascii="宋体" w:hAnsi="宋体" w:eastAsia="宋体" w:cs="宋体"/>
          <w:sz w:val="28"/>
          <w:szCs w:val="28"/>
        </w:rPr>
      </w:pPr>
      <w:r>
        <w:rPr>
          <w:rFonts w:hint="eastAsia" w:ascii="宋体" w:hAnsi="宋体" w:eastAsia="宋体" w:cs="宋体"/>
          <w:sz w:val="28"/>
          <w:szCs w:val="28"/>
        </w:rPr>
        <w:t>济南分公司没有落实集团公司新、改、扩建项目“三同时”管理规定，对施工单位资质审查不严，导致不具备安全施工资质的单位进站施工，为事故的发生埋下了隐患。</w:t>
      </w:r>
    </w:p>
    <w:p>
      <w:pPr>
        <w:spacing w:line="500" w:lineRule="exact"/>
        <w:ind w:firstLine="523" w:firstLineChars="187"/>
        <w:jc w:val="both"/>
        <w:rPr>
          <w:rFonts w:hint="eastAsia" w:ascii="宋体" w:hAnsi="宋体" w:eastAsia="宋体" w:cs="宋体"/>
          <w:sz w:val="28"/>
          <w:szCs w:val="28"/>
        </w:rPr>
      </w:pPr>
      <w:r>
        <w:rPr>
          <w:rFonts w:hint="eastAsia" w:ascii="宋体" w:hAnsi="宋体" w:eastAsia="宋体" w:cs="宋体"/>
          <w:sz w:val="28"/>
          <w:szCs w:val="28"/>
        </w:rPr>
        <w:t>济南分公司企管部门负责加油站改造项目，没有制定施工安全措施，对施工现场的监督检查流于形式，对安全防护、作业票开具、施工人员持证上岗等方面无一条检查记录，无一条整改要求，对该站施工中多次动火仅办理了一张动火作业票的事实视而不见。</w:t>
      </w:r>
    </w:p>
    <w:p>
      <w:pPr>
        <w:spacing w:line="500" w:lineRule="exact"/>
        <w:ind w:firstLine="523" w:firstLineChars="187"/>
        <w:jc w:val="both"/>
        <w:rPr>
          <w:rFonts w:hint="eastAsia" w:ascii="宋体" w:hAnsi="宋体" w:eastAsia="宋体" w:cs="宋体"/>
          <w:sz w:val="28"/>
          <w:szCs w:val="28"/>
        </w:rPr>
      </w:pPr>
      <w:r>
        <w:rPr>
          <w:rFonts w:hint="eastAsia" w:ascii="宋体" w:hAnsi="宋体" w:eastAsia="宋体" w:cs="宋体"/>
          <w:sz w:val="28"/>
          <w:szCs w:val="28"/>
        </w:rPr>
        <w:t>施工现场监管严重失职，现场监管责任人（站长）对动火等重大安全作业监管不力，现场安全监督职责未执行到位。</w:t>
      </w:r>
    </w:p>
    <w:p>
      <w:pPr>
        <w:spacing w:line="500" w:lineRule="exact"/>
        <w:ind w:firstLine="523" w:firstLineChars="187"/>
        <w:jc w:val="both"/>
        <w:rPr>
          <w:rFonts w:hint="eastAsia" w:ascii="宋体" w:hAnsi="宋体" w:eastAsia="宋体" w:cs="宋体"/>
          <w:sz w:val="28"/>
          <w:szCs w:val="28"/>
        </w:rPr>
      </w:pPr>
      <w:r>
        <w:rPr>
          <w:rFonts w:hint="eastAsia" w:ascii="宋体" w:hAnsi="宋体" w:eastAsia="宋体" w:cs="宋体"/>
          <w:sz w:val="28"/>
          <w:szCs w:val="28"/>
        </w:rPr>
        <w:t>济南分公司对施工人员安全教育制度落实不到位，对外来施工人员安全教育没有针对性、走过场，施工人员对危害不了解，违规施工成必然。</w:t>
      </w:r>
    </w:p>
    <w:p>
      <w:pPr>
        <w:spacing w:line="500" w:lineRule="exact"/>
        <w:ind w:firstLine="523" w:firstLineChars="187"/>
        <w:jc w:val="both"/>
        <w:rPr>
          <w:rFonts w:hint="eastAsia" w:ascii="宋体" w:hAnsi="宋体" w:eastAsia="宋体" w:cs="宋体"/>
          <w:sz w:val="28"/>
          <w:szCs w:val="28"/>
        </w:rPr>
      </w:pPr>
      <w:r>
        <w:rPr>
          <w:rFonts w:hint="eastAsia" w:ascii="宋体" w:hAnsi="宋体" w:eastAsia="宋体" w:cs="宋体"/>
          <w:sz w:val="28"/>
          <w:szCs w:val="28"/>
        </w:rPr>
        <w:t>3）事故教训</w:t>
      </w:r>
    </w:p>
    <w:p>
      <w:pPr>
        <w:spacing w:line="500" w:lineRule="exact"/>
        <w:ind w:firstLine="523" w:firstLineChars="187"/>
        <w:jc w:val="both"/>
        <w:rPr>
          <w:rFonts w:hint="eastAsia" w:ascii="宋体" w:hAnsi="宋体" w:eastAsia="宋体" w:cs="宋体"/>
          <w:sz w:val="28"/>
          <w:szCs w:val="28"/>
        </w:rPr>
      </w:pPr>
      <w:r>
        <w:rPr>
          <w:rFonts w:hint="eastAsia" w:ascii="宋体" w:hAnsi="宋体" w:eastAsia="宋体" w:cs="宋体"/>
          <w:sz w:val="28"/>
          <w:szCs w:val="28"/>
        </w:rPr>
        <w:t>（1）这起事故充分暴露出安全管理中存在的漏洞，尤其是对施工单位和作业现场安全监管上存在的缺陷，主要表现在对施工方审核不严；各级管理人员安全防范意识淡薄、责任心不强。</w:t>
      </w:r>
    </w:p>
    <w:p>
      <w:pPr>
        <w:spacing w:line="500" w:lineRule="exact"/>
        <w:ind w:firstLine="523" w:firstLineChars="187"/>
        <w:jc w:val="both"/>
        <w:rPr>
          <w:rFonts w:hint="eastAsia" w:ascii="宋体" w:hAnsi="宋体" w:eastAsia="宋体" w:cs="宋体"/>
          <w:sz w:val="28"/>
          <w:szCs w:val="28"/>
        </w:rPr>
      </w:pPr>
      <w:r>
        <w:rPr>
          <w:rFonts w:hint="eastAsia" w:ascii="宋体" w:hAnsi="宋体" w:eastAsia="宋体" w:cs="宋体"/>
          <w:sz w:val="28"/>
          <w:szCs w:val="28"/>
        </w:rPr>
        <w:t>（2）对施工方进场施工安全教育流于形式，放松了现场监管，存在“以包代管”现象。对“安全生产禁令”和“安全纪律”落实不彻底。</w:t>
      </w:r>
    </w:p>
    <w:p>
      <w:pPr>
        <w:pStyle w:val="4"/>
        <w:spacing w:before="120" w:after="120" w:line="240" w:lineRule="auto"/>
        <w:ind w:firstLine="562" w:firstLineChars="200"/>
        <w:jc w:val="both"/>
        <w:rPr>
          <w:rFonts w:hint="eastAsia" w:ascii="宋体" w:hAnsi="宋体" w:eastAsia="宋体" w:cs="宋体"/>
          <w:sz w:val="28"/>
          <w:szCs w:val="28"/>
        </w:rPr>
      </w:pPr>
      <w:bookmarkStart w:id="786" w:name="_Toc17097_WPSOffice_Level3"/>
      <w:bookmarkStart w:id="787" w:name="_Toc527477413"/>
      <w:bookmarkStart w:id="788" w:name="_Toc22702_WPSOffice_Level3"/>
      <w:r>
        <w:rPr>
          <w:rFonts w:hint="eastAsia" w:ascii="宋体" w:hAnsi="宋体" w:eastAsia="宋体" w:cs="宋体"/>
          <w:sz w:val="28"/>
          <w:szCs w:val="28"/>
        </w:rPr>
        <w:t>3.</w:t>
      </w:r>
      <w:r>
        <w:rPr>
          <w:rFonts w:hint="eastAsia" w:ascii="宋体" w:hAnsi="宋体" w:eastAsia="宋体" w:cs="宋体"/>
          <w:sz w:val="28"/>
          <w:szCs w:val="28"/>
          <w:lang w:val="en-US"/>
        </w:rPr>
        <w:t>7</w:t>
      </w:r>
      <w:r>
        <w:rPr>
          <w:rFonts w:hint="eastAsia" w:ascii="宋体" w:hAnsi="宋体" w:eastAsia="宋体" w:cs="宋体"/>
          <w:sz w:val="28"/>
          <w:szCs w:val="28"/>
        </w:rPr>
        <w:t>.3</w:t>
      </w:r>
      <w:r>
        <w:rPr>
          <w:rFonts w:hint="eastAsia" w:ascii="宋体" w:hAnsi="宋体" w:eastAsia="宋体" w:cs="宋体"/>
          <w:sz w:val="28"/>
          <w:szCs w:val="28"/>
          <w:lang w:val="en-US"/>
        </w:rPr>
        <w:t xml:space="preserve"> </w:t>
      </w:r>
      <w:r>
        <w:rPr>
          <w:rFonts w:hint="eastAsia" w:ascii="宋体" w:hAnsi="宋体" w:eastAsia="宋体" w:cs="宋体"/>
          <w:sz w:val="28"/>
          <w:szCs w:val="28"/>
        </w:rPr>
        <w:t>电气火灾事故案例</w:t>
      </w:r>
      <w:bookmarkEnd w:id="786"/>
      <w:bookmarkEnd w:id="787"/>
      <w:bookmarkEnd w:id="788"/>
    </w:p>
    <w:p>
      <w:pPr>
        <w:spacing w:line="500" w:lineRule="exact"/>
        <w:ind w:firstLine="523" w:firstLineChars="187"/>
        <w:jc w:val="both"/>
        <w:rPr>
          <w:rFonts w:hint="eastAsia" w:ascii="宋体" w:hAnsi="宋体" w:eastAsia="宋体" w:cs="宋体"/>
          <w:sz w:val="28"/>
          <w:szCs w:val="28"/>
        </w:rPr>
      </w:pPr>
      <w:r>
        <w:rPr>
          <w:rFonts w:hint="eastAsia" w:ascii="宋体" w:hAnsi="宋体" w:eastAsia="宋体" w:cs="宋体"/>
          <w:sz w:val="28"/>
          <w:szCs w:val="28"/>
        </w:rPr>
        <w:t>1）事故经过</w:t>
      </w:r>
    </w:p>
    <w:p>
      <w:pPr>
        <w:spacing w:line="500" w:lineRule="exact"/>
        <w:ind w:firstLine="523" w:firstLineChars="187"/>
        <w:jc w:val="both"/>
        <w:rPr>
          <w:rFonts w:hint="eastAsia" w:ascii="宋体" w:hAnsi="宋体" w:eastAsia="宋体" w:cs="宋体"/>
          <w:sz w:val="28"/>
          <w:szCs w:val="28"/>
        </w:rPr>
      </w:pPr>
      <w:r>
        <w:rPr>
          <w:rFonts w:hint="eastAsia" w:ascii="宋体" w:hAnsi="宋体" w:eastAsia="宋体" w:cs="宋体"/>
          <w:sz w:val="28"/>
          <w:szCs w:val="28"/>
        </w:rPr>
        <w:t>2000年10月23日深夜，位于山西临夏公路的某石油公司加油站，零点30分，卫某和另一当班的加油员忽然发现巨型硬化标识广告牌顶端射灯时闪时灭，转瞬间便全部熄灭。有多年工作经验的卫某</w:t>
      </w:r>
      <w:r>
        <w:rPr>
          <w:rFonts w:hint="eastAsia" w:ascii="宋体" w:hAnsi="宋体" w:eastAsia="宋体" w:cs="宋体"/>
          <w:sz w:val="28"/>
          <w:szCs w:val="28"/>
          <w:lang w:eastAsia="zh-CN"/>
        </w:rPr>
        <w:t>凭</w:t>
      </w:r>
      <w:r>
        <w:rPr>
          <w:rFonts w:hint="eastAsia" w:ascii="宋体" w:hAnsi="宋体" w:eastAsia="宋体" w:cs="宋体"/>
          <w:sz w:val="28"/>
          <w:szCs w:val="28"/>
        </w:rPr>
        <w:t>直觉断定，是电器出了故障，于是返身直冲配电间，只见配电箱内浓烟四冒，伴随着噼啪声火星四处乱溅。卫某迅速拉掉电源总闸，顺手拿起干粉灭火器，对着冒烟的地方喷去，直到确认险情排除。避免了一起火灾事故的发生，把事故消灭在初始阶段。</w:t>
      </w:r>
    </w:p>
    <w:p>
      <w:pPr>
        <w:spacing w:line="500" w:lineRule="exact"/>
        <w:ind w:firstLine="523" w:firstLineChars="187"/>
        <w:jc w:val="both"/>
        <w:rPr>
          <w:rFonts w:hint="eastAsia" w:ascii="宋体" w:hAnsi="宋体" w:eastAsia="宋体" w:cs="宋体"/>
          <w:sz w:val="28"/>
          <w:szCs w:val="28"/>
        </w:rPr>
      </w:pPr>
      <w:r>
        <w:rPr>
          <w:rFonts w:hint="eastAsia" w:ascii="宋体" w:hAnsi="宋体" w:eastAsia="宋体" w:cs="宋体"/>
          <w:sz w:val="28"/>
          <w:szCs w:val="28"/>
        </w:rPr>
        <w:t>2）事故分析</w:t>
      </w:r>
    </w:p>
    <w:p>
      <w:pPr>
        <w:pStyle w:val="6"/>
        <w:spacing w:line="500" w:lineRule="exact"/>
        <w:ind w:firstLine="560" w:firstLineChars="200"/>
        <w:jc w:val="both"/>
        <w:rPr>
          <w:rFonts w:hint="eastAsia" w:ascii="宋体" w:hAnsi="宋体" w:eastAsia="宋体" w:cs="宋体"/>
        </w:rPr>
      </w:pPr>
      <w:r>
        <w:rPr>
          <w:rFonts w:hint="eastAsia" w:ascii="宋体" w:hAnsi="宋体" w:eastAsia="宋体" w:cs="宋体"/>
        </w:rPr>
        <w:t>该站为公司新建加油站，不存在电气线路老化问题，后经调查发现，是由于广告牌射灯底座电源线被雨淋湿从而导致电线短路引起配电箱电线胶皮烧毁。</w:t>
      </w:r>
      <w:bookmarkEnd w:id="775"/>
      <w:bookmarkEnd w:id="776"/>
      <w:bookmarkEnd w:id="777"/>
      <w:bookmarkEnd w:id="778"/>
      <w:bookmarkEnd w:id="779"/>
      <w:bookmarkEnd w:id="780"/>
      <w:bookmarkEnd w:id="781"/>
      <w:bookmarkEnd w:id="782"/>
    </w:p>
    <w:p>
      <w:pPr>
        <w:rPr>
          <w:rFonts w:hint="eastAsia" w:ascii="宋体" w:hAnsi="宋体" w:eastAsia="宋体" w:cs="宋体"/>
          <w:b/>
          <w:sz w:val="32"/>
          <w:szCs w:val="32"/>
        </w:rPr>
      </w:pPr>
      <w:bookmarkStart w:id="789" w:name="_Toc529176538"/>
      <w:bookmarkStart w:id="790" w:name="_Toc14866_WPSOffice_Level1"/>
      <w:bookmarkStart w:id="791" w:name="_Toc29001_WPSOffice_Level1"/>
      <w:r>
        <w:rPr>
          <w:rFonts w:hint="eastAsia" w:ascii="宋体" w:hAnsi="宋体" w:eastAsia="宋体" w:cs="宋体"/>
          <w:b/>
          <w:sz w:val="32"/>
          <w:szCs w:val="32"/>
        </w:rPr>
        <w:br w:type="page"/>
      </w:r>
    </w:p>
    <w:p>
      <w:pPr>
        <w:spacing w:before="240" w:beforeLines="100" w:after="240" w:afterLines="100"/>
        <w:jc w:val="center"/>
        <w:outlineLvl w:val="0"/>
        <w:rPr>
          <w:rFonts w:hint="eastAsia" w:ascii="宋体" w:hAnsi="宋体" w:eastAsia="宋体" w:cs="宋体"/>
          <w:b/>
          <w:sz w:val="32"/>
          <w:szCs w:val="32"/>
        </w:rPr>
      </w:pPr>
      <w:bookmarkStart w:id="792" w:name="_Toc20501"/>
      <w:bookmarkStart w:id="793" w:name="_Toc700"/>
      <w:bookmarkStart w:id="794" w:name="_Toc14009"/>
      <w:bookmarkStart w:id="795" w:name="_Toc10178_WPSOffice_Level1"/>
      <w:r>
        <w:rPr>
          <w:rFonts w:hint="eastAsia" w:ascii="宋体" w:hAnsi="宋体" w:eastAsia="宋体" w:cs="宋体"/>
          <w:b/>
          <w:sz w:val="32"/>
          <w:szCs w:val="32"/>
        </w:rPr>
        <w:t>附件</w:t>
      </w:r>
      <w:r>
        <w:rPr>
          <w:rFonts w:hint="eastAsia" w:ascii="宋体" w:hAnsi="宋体" w:eastAsia="宋体" w:cs="宋体"/>
          <w:b/>
          <w:sz w:val="32"/>
          <w:szCs w:val="32"/>
          <w:lang w:val="en-US"/>
        </w:rPr>
        <w:t>4</w:t>
      </w:r>
      <w:r>
        <w:rPr>
          <w:rFonts w:hint="eastAsia" w:ascii="宋体" w:hAnsi="宋体" w:eastAsia="宋体" w:cs="宋体"/>
          <w:b/>
          <w:sz w:val="32"/>
          <w:szCs w:val="32"/>
        </w:rPr>
        <w:t xml:space="preserve"> 安全条件和安全生产条件的分析过程</w:t>
      </w:r>
      <w:bookmarkEnd w:id="789"/>
      <w:bookmarkEnd w:id="790"/>
      <w:bookmarkEnd w:id="791"/>
      <w:bookmarkEnd w:id="792"/>
      <w:bookmarkEnd w:id="793"/>
      <w:bookmarkEnd w:id="794"/>
      <w:bookmarkEnd w:id="795"/>
    </w:p>
    <w:p>
      <w:pPr>
        <w:spacing w:before="240" w:beforeLines="100" w:after="240" w:afterLines="100"/>
        <w:jc w:val="center"/>
        <w:outlineLvl w:val="1"/>
        <w:rPr>
          <w:rFonts w:hint="eastAsia" w:ascii="宋体" w:hAnsi="宋体" w:eastAsia="宋体" w:cs="宋体"/>
          <w:b/>
          <w:sz w:val="32"/>
          <w:szCs w:val="32"/>
        </w:rPr>
      </w:pPr>
      <w:bookmarkStart w:id="796" w:name="_Toc16624_WPSOffice_Level2"/>
      <w:bookmarkStart w:id="797" w:name="_Toc31750"/>
      <w:bookmarkStart w:id="798" w:name="_Toc529176539"/>
      <w:bookmarkStart w:id="799" w:name="_Toc19893_WPSOffice_Level2"/>
      <w:bookmarkStart w:id="800" w:name="_Toc1157"/>
      <w:bookmarkStart w:id="801" w:name="_Toc2680_WPSOffice_Level2"/>
      <w:bookmarkStart w:id="802" w:name="_Toc2128"/>
      <w:r>
        <w:rPr>
          <w:rFonts w:hint="eastAsia" w:ascii="宋体" w:hAnsi="宋体" w:eastAsia="宋体" w:cs="宋体"/>
          <w:b/>
          <w:sz w:val="32"/>
          <w:szCs w:val="32"/>
        </w:rPr>
        <w:t>4.1 加油站站址分析评价</w:t>
      </w:r>
      <w:bookmarkEnd w:id="796"/>
      <w:bookmarkEnd w:id="797"/>
      <w:bookmarkEnd w:id="798"/>
      <w:bookmarkEnd w:id="799"/>
      <w:bookmarkEnd w:id="800"/>
      <w:bookmarkEnd w:id="801"/>
      <w:bookmarkEnd w:id="802"/>
    </w:p>
    <w:p>
      <w:pPr>
        <w:spacing w:line="6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根据《汽车加油加气站设计与施工规范》（GB50156-2012，2014版），编制站址安</w:t>
      </w:r>
      <w:r>
        <w:rPr>
          <w:rFonts w:hint="eastAsia" w:ascii="宋体" w:hAnsi="宋体" w:eastAsia="宋体" w:cs="宋体"/>
          <w:spacing w:val="-3"/>
          <w:sz w:val="28"/>
          <w:szCs w:val="28"/>
        </w:rPr>
        <w:t>全</w:t>
      </w:r>
      <w:r>
        <w:rPr>
          <w:rFonts w:hint="eastAsia" w:ascii="宋体" w:hAnsi="宋体" w:eastAsia="宋体" w:cs="宋体"/>
          <w:sz w:val="28"/>
          <w:szCs w:val="28"/>
        </w:rPr>
        <w:t>检查表如下：</w:t>
      </w:r>
    </w:p>
    <w:p>
      <w:pPr>
        <w:pStyle w:val="6"/>
        <w:spacing w:line="500" w:lineRule="exact"/>
        <w:ind w:firstLine="560" w:firstLineChars="200"/>
        <w:jc w:val="center"/>
        <w:rPr>
          <w:rFonts w:hint="eastAsia" w:ascii="宋体" w:hAnsi="宋体" w:eastAsia="宋体" w:cs="宋体"/>
          <w:sz w:val="28"/>
          <w:szCs w:val="28"/>
        </w:rPr>
      </w:pPr>
      <w:bookmarkStart w:id="803" w:name="_Toc20557_WPSOffice_Level3"/>
      <w:bookmarkStart w:id="804" w:name="_Toc27897_WPSOffice_Level3"/>
      <w:bookmarkStart w:id="805" w:name="_Toc29803_WPSOffice_Level3"/>
      <w:r>
        <w:rPr>
          <w:rFonts w:hint="eastAsia" w:ascii="宋体" w:hAnsi="宋体" w:eastAsia="宋体" w:cs="宋体"/>
          <w:sz w:val="28"/>
          <w:szCs w:val="28"/>
        </w:rPr>
        <w:t>附表</w:t>
      </w:r>
      <w:r>
        <w:rPr>
          <w:rFonts w:hint="eastAsia" w:ascii="宋体" w:hAnsi="宋体" w:eastAsia="宋体" w:cs="宋体"/>
          <w:sz w:val="28"/>
          <w:szCs w:val="28"/>
          <w:lang w:val="en-US"/>
        </w:rPr>
        <w:t>4.1</w:t>
      </w:r>
      <w:r>
        <w:rPr>
          <w:rFonts w:hint="eastAsia" w:ascii="宋体" w:hAnsi="宋体" w:eastAsia="宋体" w:cs="宋体"/>
          <w:sz w:val="28"/>
          <w:szCs w:val="28"/>
        </w:rPr>
        <w:t>-</w:t>
      </w:r>
      <w:r>
        <w:rPr>
          <w:rFonts w:hint="eastAsia" w:ascii="宋体" w:hAnsi="宋体" w:eastAsia="宋体" w:cs="宋体"/>
          <w:sz w:val="28"/>
          <w:szCs w:val="28"/>
          <w:lang w:val="en-US"/>
        </w:rPr>
        <w:t xml:space="preserve">1 </w:t>
      </w:r>
      <w:r>
        <w:rPr>
          <w:rFonts w:hint="eastAsia" w:ascii="宋体" w:hAnsi="宋体" w:eastAsia="宋体" w:cs="宋体"/>
          <w:sz w:val="28"/>
          <w:szCs w:val="28"/>
        </w:rPr>
        <w:t>站址安</w:t>
      </w:r>
      <w:r>
        <w:rPr>
          <w:rFonts w:hint="eastAsia" w:ascii="宋体" w:hAnsi="宋体" w:eastAsia="宋体" w:cs="宋体"/>
          <w:spacing w:val="-3"/>
          <w:sz w:val="28"/>
          <w:szCs w:val="28"/>
        </w:rPr>
        <w:t>全</w:t>
      </w:r>
      <w:r>
        <w:rPr>
          <w:rFonts w:hint="eastAsia" w:ascii="宋体" w:hAnsi="宋体" w:eastAsia="宋体" w:cs="宋体"/>
          <w:sz w:val="28"/>
          <w:szCs w:val="28"/>
        </w:rPr>
        <w:t>检查表</w:t>
      </w:r>
      <w:bookmarkEnd w:id="803"/>
      <w:bookmarkEnd w:id="804"/>
      <w:bookmarkEnd w:id="805"/>
    </w:p>
    <w:tbl>
      <w:tblPr>
        <w:tblStyle w:val="21"/>
        <w:tblW w:w="9231"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97"/>
        <w:gridCol w:w="3151"/>
        <w:gridCol w:w="2014"/>
        <w:gridCol w:w="2837"/>
        <w:gridCol w:w="73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blHeader/>
        </w:trPr>
        <w:tc>
          <w:tcPr>
            <w:tcW w:w="497" w:type="dxa"/>
            <w:tcMar>
              <w:top w:w="57" w:type="dxa"/>
              <w:left w:w="57" w:type="dxa"/>
              <w:bottom w:w="57" w:type="dxa"/>
              <w:right w:w="57" w:type="dxa"/>
            </w:tcMar>
            <w:vAlign w:val="center"/>
          </w:tcPr>
          <w:p>
            <w:pPr>
              <w:jc w:val="center"/>
              <w:rPr>
                <w:rFonts w:hint="eastAsia" w:ascii="宋体" w:hAnsi="宋体" w:eastAsia="宋体" w:cs="宋体"/>
                <w:b/>
                <w:bCs/>
                <w:sz w:val="21"/>
                <w:szCs w:val="21"/>
              </w:rPr>
            </w:pPr>
            <w:r>
              <w:rPr>
                <w:rFonts w:hint="eastAsia" w:ascii="宋体" w:hAnsi="宋体" w:eastAsia="宋体" w:cs="宋体"/>
                <w:b/>
                <w:bCs/>
                <w:sz w:val="21"/>
                <w:szCs w:val="21"/>
              </w:rPr>
              <w:t>序号</w:t>
            </w:r>
          </w:p>
        </w:tc>
        <w:tc>
          <w:tcPr>
            <w:tcW w:w="3151" w:type="dxa"/>
            <w:tcMar>
              <w:top w:w="57" w:type="dxa"/>
              <w:left w:w="57" w:type="dxa"/>
              <w:bottom w:w="57" w:type="dxa"/>
              <w:right w:w="57" w:type="dxa"/>
            </w:tcMar>
            <w:vAlign w:val="center"/>
          </w:tcPr>
          <w:p>
            <w:pPr>
              <w:jc w:val="center"/>
              <w:rPr>
                <w:rFonts w:hint="eastAsia" w:ascii="宋体" w:hAnsi="宋体" w:eastAsia="宋体" w:cs="宋体"/>
                <w:b/>
                <w:bCs/>
                <w:sz w:val="21"/>
                <w:szCs w:val="21"/>
              </w:rPr>
            </w:pPr>
            <w:r>
              <w:rPr>
                <w:rFonts w:hint="eastAsia" w:ascii="宋体" w:hAnsi="宋体" w:eastAsia="宋体" w:cs="宋体"/>
                <w:b/>
                <w:bCs/>
                <w:sz w:val="21"/>
                <w:szCs w:val="21"/>
              </w:rPr>
              <w:t>规范要求</w:t>
            </w:r>
          </w:p>
        </w:tc>
        <w:tc>
          <w:tcPr>
            <w:tcW w:w="2014" w:type="dxa"/>
            <w:tcMar>
              <w:top w:w="57" w:type="dxa"/>
              <w:left w:w="57" w:type="dxa"/>
              <w:bottom w:w="57" w:type="dxa"/>
              <w:right w:w="57" w:type="dxa"/>
            </w:tcMar>
            <w:vAlign w:val="center"/>
          </w:tcPr>
          <w:p>
            <w:pPr>
              <w:jc w:val="center"/>
              <w:rPr>
                <w:rFonts w:hint="eastAsia" w:ascii="宋体" w:hAnsi="宋体" w:eastAsia="宋体" w:cs="宋体"/>
                <w:b/>
                <w:bCs/>
                <w:sz w:val="21"/>
                <w:szCs w:val="21"/>
              </w:rPr>
            </w:pPr>
            <w:r>
              <w:rPr>
                <w:rFonts w:hint="eastAsia" w:ascii="宋体" w:hAnsi="宋体" w:eastAsia="宋体" w:cs="宋体"/>
                <w:b/>
                <w:bCs/>
                <w:sz w:val="21"/>
                <w:szCs w:val="21"/>
              </w:rPr>
              <w:t>依据</w:t>
            </w:r>
          </w:p>
        </w:tc>
        <w:tc>
          <w:tcPr>
            <w:tcW w:w="2837" w:type="dxa"/>
            <w:tcMar>
              <w:top w:w="57" w:type="dxa"/>
              <w:left w:w="57" w:type="dxa"/>
              <w:bottom w:w="57" w:type="dxa"/>
              <w:right w:w="57" w:type="dxa"/>
            </w:tcMar>
            <w:vAlign w:val="center"/>
          </w:tcPr>
          <w:p>
            <w:pPr>
              <w:jc w:val="center"/>
              <w:rPr>
                <w:rFonts w:hint="eastAsia" w:ascii="宋体" w:hAnsi="宋体" w:eastAsia="宋体" w:cs="宋体"/>
                <w:b/>
                <w:bCs/>
                <w:sz w:val="21"/>
                <w:szCs w:val="21"/>
              </w:rPr>
            </w:pPr>
            <w:r>
              <w:rPr>
                <w:rFonts w:hint="eastAsia" w:ascii="宋体" w:hAnsi="宋体" w:eastAsia="宋体" w:cs="宋体"/>
                <w:b/>
                <w:bCs/>
                <w:sz w:val="21"/>
                <w:szCs w:val="21"/>
              </w:rPr>
              <w:t>检查情况</w:t>
            </w:r>
          </w:p>
        </w:tc>
        <w:tc>
          <w:tcPr>
            <w:tcW w:w="732" w:type="dxa"/>
            <w:tcMar>
              <w:top w:w="57" w:type="dxa"/>
              <w:left w:w="57" w:type="dxa"/>
              <w:bottom w:w="57" w:type="dxa"/>
              <w:right w:w="57" w:type="dxa"/>
            </w:tcMar>
            <w:vAlign w:val="center"/>
          </w:tcPr>
          <w:p>
            <w:pPr>
              <w:jc w:val="center"/>
              <w:rPr>
                <w:rFonts w:hint="eastAsia" w:ascii="宋体" w:hAnsi="宋体" w:eastAsia="宋体" w:cs="宋体"/>
                <w:b/>
                <w:bCs/>
                <w:sz w:val="21"/>
                <w:szCs w:val="21"/>
              </w:rPr>
            </w:pPr>
            <w:r>
              <w:rPr>
                <w:rFonts w:hint="eastAsia" w:ascii="宋体" w:hAnsi="宋体" w:eastAsia="宋体" w:cs="宋体"/>
                <w:b/>
                <w:bCs/>
                <w:sz w:val="21"/>
                <w:szCs w:val="21"/>
              </w:rPr>
              <w:t>结论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497" w:type="dxa"/>
            <w:tcMar>
              <w:top w:w="57" w:type="dxa"/>
              <w:left w:w="57" w:type="dxa"/>
              <w:bottom w:w="57" w:type="dxa"/>
              <w:right w:w="57"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3151" w:type="dxa"/>
            <w:tcMar>
              <w:top w:w="57" w:type="dxa"/>
              <w:left w:w="57" w:type="dxa"/>
              <w:bottom w:w="57" w:type="dxa"/>
              <w:right w:w="57" w:type="dxa"/>
            </w:tcMar>
            <w:vAlign w:val="center"/>
          </w:tcPr>
          <w:p>
            <w:pPr>
              <w:jc w:val="both"/>
              <w:rPr>
                <w:rFonts w:hint="eastAsia" w:ascii="宋体" w:hAnsi="宋体" w:eastAsia="宋体" w:cs="宋体"/>
                <w:sz w:val="21"/>
                <w:szCs w:val="21"/>
              </w:rPr>
            </w:pPr>
            <w:r>
              <w:rPr>
                <w:rFonts w:hint="eastAsia" w:ascii="宋体" w:hAnsi="宋体" w:eastAsia="宋体" w:cs="宋体"/>
                <w:sz w:val="21"/>
                <w:szCs w:val="21"/>
              </w:rPr>
              <w:t>加油加气站的站址选择，应符合城乡规划、环境保护和防火安全的要求，并应选在交通便利的地方。</w:t>
            </w:r>
          </w:p>
        </w:tc>
        <w:tc>
          <w:tcPr>
            <w:tcW w:w="2014" w:type="dxa"/>
            <w:tcMar>
              <w:top w:w="57" w:type="dxa"/>
              <w:left w:w="57" w:type="dxa"/>
              <w:bottom w:w="57" w:type="dxa"/>
              <w:right w:w="57"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《汽车加油加气站设计与施工规范》（GB50156-2012，2014版）第4.0.</w:t>
            </w:r>
            <w:r>
              <w:rPr>
                <w:rFonts w:hint="eastAsia" w:ascii="宋体" w:hAnsi="宋体" w:eastAsia="宋体" w:cs="宋体"/>
                <w:sz w:val="21"/>
                <w:szCs w:val="21"/>
                <w:lang w:val="en-US"/>
              </w:rPr>
              <w:t>1</w:t>
            </w:r>
            <w:r>
              <w:rPr>
                <w:rFonts w:hint="eastAsia" w:ascii="宋体" w:hAnsi="宋体" w:eastAsia="宋体" w:cs="宋体"/>
                <w:sz w:val="21"/>
                <w:szCs w:val="21"/>
              </w:rPr>
              <w:t>条</w:t>
            </w:r>
          </w:p>
        </w:tc>
        <w:tc>
          <w:tcPr>
            <w:tcW w:w="2837" w:type="dxa"/>
            <w:tcMar>
              <w:top w:w="57" w:type="dxa"/>
              <w:left w:w="57" w:type="dxa"/>
              <w:bottom w:w="57" w:type="dxa"/>
              <w:right w:w="57" w:type="dxa"/>
            </w:tcMar>
            <w:vAlign w:val="center"/>
          </w:tcPr>
          <w:p>
            <w:pPr>
              <w:jc w:val="both"/>
              <w:rPr>
                <w:rFonts w:hint="eastAsia" w:ascii="宋体" w:hAnsi="宋体" w:eastAsia="宋体" w:cs="宋体"/>
                <w:sz w:val="21"/>
                <w:szCs w:val="21"/>
              </w:rPr>
            </w:pPr>
            <w:r>
              <w:rPr>
                <w:rFonts w:hint="eastAsia" w:ascii="宋体" w:hAnsi="宋体" w:eastAsia="宋体" w:cs="宋体"/>
                <w:sz w:val="21"/>
                <w:szCs w:val="21"/>
              </w:rPr>
              <w:t>为原址改造、更新设备设施的项目，有原用地证明文件。</w:t>
            </w:r>
          </w:p>
        </w:tc>
        <w:tc>
          <w:tcPr>
            <w:tcW w:w="732" w:type="dxa"/>
            <w:tcMar>
              <w:top w:w="57" w:type="dxa"/>
              <w:left w:w="57" w:type="dxa"/>
              <w:bottom w:w="57" w:type="dxa"/>
              <w:right w:w="57"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497" w:type="dxa"/>
            <w:tcMar>
              <w:top w:w="57" w:type="dxa"/>
              <w:left w:w="57" w:type="dxa"/>
              <w:bottom w:w="57" w:type="dxa"/>
              <w:right w:w="57"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3151" w:type="dxa"/>
            <w:tcMar>
              <w:top w:w="57" w:type="dxa"/>
              <w:left w:w="57" w:type="dxa"/>
              <w:bottom w:w="57" w:type="dxa"/>
              <w:right w:w="57" w:type="dxa"/>
            </w:tcMar>
            <w:vAlign w:val="center"/>
          </w:tcPr>
          <w:p>
            <w:pPr>
              <w:jc w:val="both"/>
              <w:rPr>
                <w:rFonts w:hint="eastAsia" w:ascii="宋体" w:hAnsi="宋体" w:eastAsia="宋体" w:cs="宋体"/>
                <w:sz w:val="21"/>
                <w:szCs w:val="21"/>
              </w:rPr>
            </w:pPr>
            <w:r>
              <w:rPr>
                <w:rFonts w:hint="eastAsia" w:ascii="宋体" w:hAnsi="宋体" w:eastAsia="宋体" w:cs="宋体"/>
                <w:sz w:val="21"/>
                <w:szCs w:val="21"/>
              </w:rPr>
              <w:t>在城市建成区内不应建一级加油站。在城市中心区不应建一级加油站。</w:t>
            </w:r>
          </w:p>
        </w:tc>
        <w:tc>
          <w:tcPr>
            <w:tcW w:w="2014" w:type="dxa"/>
            <w:tcMar>
              <w:top w:w="57" w:type="dxa"/>
              <w:left w:w="57" w:type="dxa"/>
              <w:bottom w:w="57" w:type="dxa"/>
              <w:right w:w="57"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《汽车加油加气站设计与施工规范》（GB50156-2012，2014版）第4.0.</w:t>
            </w:r>
            <w:r>
              <w:rPr>
                <w:rFonts w:hint="eastAsia" w:ascii="宋体" w:hAnsi="宋体" w:eastAsia="宋体" w:cs="宋体"/>
                <w:sz w:val="21"/>
                <w:szCs w:val="21"/>
                <w:lang w:val="en-US"/>
              </w:rPr>
              <w:t>2</w:t>
            </w:r>
            <w:r>
              <w:rPr>
                <w:rFonts w:hint="eastAsia" w:ascii="宋体" w:hAnsi="宋体" w:eastAsia="宋体" w:cs="宋体"/>
                <w:sz w:val="21"/>
                <w:szCs w:val="21"/>
              </w:rPr>
              <w:t>条</w:t>
            </w:r>
          </w:p>
        </w:tc>
        <w:tc>
          <w:tcPr>
            <w:tcW w:w="2837" w:type="dxa"/>
            <w:tcMar>
              <w:top w:w="57" w:type="dxa"/>
              <w:left w:w="57" w:type="dxa"/>
              <w:bottom w:w="57" w:type="dxa"/>
              <w:right w:w="57" w:type="dxa"/>
            </w:tcMar>
            <w:vAlign w:val="center"/>
          </w:tcPr>
          <w:p>
            <w:pPr>
              <w:jc w:val="both"/>
              <w:rPr>
                <w:rFonts w:hint="eastAsia" w:ascii="宋体" w:hAnsi="宋体" w:eastAsia="宋体" w:cs="宋体"/>
                <w:sz w:val="21"/>
                <w:szCs w:val="21"/>
              </w:rPr>
            </w:pPr>
            <w:r>
              <w:rPr>
                <w:rFonts w:hint="eastAsia" w:ascii="宋体" w:hAnsi="宋体" w:eastAsia="宋体" w:cs="宋体"/>
                <w:sz w:val="21"/>
                <w:szCs w:val="21"/>
                <w:lang w:eastAsia="zh-CN"/>
              </w:rPr>
              <w:t>在</w:t>
            </w:r>
            <w:r>
              <w:rPr>
                <w:rFonts w:hint="eastAsia" w:ascii="宋体" w:hAnsi="宋体" w:eastAsia="宋体" w:cs="宋体"/>
                <w:sz w:val="21"/>
                <w:szCs w:val="21"/>
              </w:rPr>
              <w:t>莞樟路</w:t>
            </w:r>
            <w:r>
              <w:rPr>
                <w:rFonts w:hint="eastAsia" w:ascii="宋体" w:hAnsi="宋体" w:eastAsia="宋体" w:cs="宋体"/>
                <w:sz w:val="21"/>
                <w:szCs w:val="21"/>
                <w:lang w:eastAsia="zh-CN"/>
              </w:rPr>
              <w:t>边上</w:t>
            </w:r>
            <w:r>
              <w:rPr>
                <w:rFonts w:hint="eastAsia" w:ascii="宋体" w:hAnsi="宋体" w:eastAsia="宋体" w:cs="宋体"/>
                <w:sz w:val="21"/>
                <w:szCs w:val="21"/>
              </w:rPr>
              <w:t>，</w:t>
            </w:r>
            <w:r>
              <w:rPr>
                <w:rFonts w:hint="eastAsia" w:ascii="宋体" w:hAnsi="宋体" w:eastAsia="宋体" w:cs="宋体"/>
                <w:sz w:val="21"/>
                <w:szCs w:val="21"/>
                <w:lang w:val="en-US" w:eastAsia="zh-CN"/>
              </w:rPr>
              <w:t>不属于城市中心区，加油站为</w:t>
            </w:r>
            <w:r>
              <w:rPr>
                <w:rFonts w:hint="eastAsia" w:ascii="宋体" w:hAnsi="宋体" w:eastAsia="宋体" w:cs="宋体"/>
                <w:sz w:val="21"/>
                <w:szCs w:val="21"/>
                <w:lang w:eastAsia="zh-CN"/>
              </w:rPr>
              <w:t>二</w:t>
            </w:r>
            <w:r>
              <w:rPr>
                <w:rFonts w:hint="eastAsia" w:ascii="宋体" w:hAnsi="宋体" w:eastAsia="宋体" w:cs="宋体"/>
                <w:sz w:val="21"/>
                <w:szCs w:val="21"/>
              </w:rPr>
              <w:t>级油站。</w:t>
            </w:r>
          </w:p>
        </w:tc>
        <w:tc>
          <w:tcPr>
            <w:tcW w:w="732" w:type="dxa"/>
            <w:tcMar>
              <w:top w:w="57" w:type="dxa"/>
              <w:left w:w="57" w:type="dxa"/>
              <w:bottom w:w="57" w:type="dxa"/>
              <w:right w:w="57"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497" w:type="dxa"/>
            <w:tcMar>
              <w:top w:w="57" w:type="dxa"/>
              <w:left w:w="57" w:type="dxa"/>
              <w:bottom w:w="57" w:type="dxa"/>
              <w:right w:w="57"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3</w:t>
            </w:r>
          </w:p>
        </w:tc>
        <w:tc>
          <w:tcPr>
            <w:tcW w:w="3151" w:type="dxa"/>
            <w:tcMar>
              <w:top w:w="57" w:type="dxa"/>
              <w:left w:w="57" w:type="dxa"/>
              <w:bottom w:w="57" w:type="dxa"/>
              <w:right w:w="57" w:type="dxa"/>
            </w:tcMar>
            <w:vAlign w:val="center"/>
          </w:tcPr>
          <w:p>
            <w:pPr>
              <w:jc w:val="both"/>
              <w:rPr>
                <w:rFonts w:hint="eastAsia" w:ascii="宋体" w:hAnsi="宋体" w:eastAsia="宋体" w:cs="宋体"/>
                <w:sz w:val="21"/>
                <w:szCs w:val="21"/>
              </w:rPr>
            </w:pPr>
            <w:r>
              <w:rPr>
                <w:rFonts w:hint="eastAsia" w:ascii="宋体" w:hAnsi="宋体" w:eastAsia="宋体" w:cs="宋体"/>
                <w:sz w:val="21"/>
                <w:szCs w:val="21"/>
              </w:rPr>
              <w:t>城市建成区内的加油加气站，宜靠近城市道路，但不宜选在城市干道的交叉路口附近。</w:t>
            </w:r>
          </w:p>
        </w:tc>
        <w:tc>
          <w:tcPr>
            <w:tcW w:w="2014" w:type="dxa"/>
            <w:tcMar>
              <w:top w:w="57" w:type="dxa"/>
              <w:left w:w="57" w:type="dxa"/>
              <w:bottom w:w="57" w:type="dxa"/>
              <w:right w:w="57"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《汽车加油加气站设计与施工规范》（GB50156-2012，2014版）第4.0.</w:t>
            </w:r>
            <w:r>
              <w:rPr>
                <w:rFonts w:hint="eastAsia" w:ascii="宋体" w:hAnsi="宋体" w:eastAsia="宋体" w:cs="宋体"/>
                <w:sz w:val="21"/>
                <w:szCs w:val="21"/>
                <w:lang w:val="en-US"/>
              </w:rPr>
              <w:t>3</w:t>
            </w:r>
            <w:r>
              <w:rPr>
                <w:rFonts w:hint="eastAsia" w:ascii="宋体" w:hAnsi="宋体" w:eastAsia="宋体" w:cs="宋体"/>
                <w:sz w:val="21"/>
                <w:szCs w:val="21"/>
              </w:rPr>
              <w:t>条</w:t>
            </w:r>
          </w:p>
        </w:tc>
        <w:tc>
          <w:tcPr>
            <w:tcW w:w="2837" w:type="dxa"/>
            <w:tcMar>
              <w:top w:w="57" w:type="dxa"/>
              <w:left w:w="57" w:type="dxa"/>
              <w:bottom w:w="57" w:type="dxa"/>
              <w:right w:w="57" w:type="dxa"/>
            </w:tcMar>
            <w:vAlign w:val="center"/>
          </w:tcPr>
          <w:p>
            <w:pPr>
              <w:jc w:val="both"/>
              <w:rPr>
                <w:rFonts w:hint="eastAsia" w:ascii="宋体" w:hAnsi="宋体" w:eastAsia="宋体" w:cs="宋体"/>
                <w:sz w:val="21"/>
                <w:szCs w:val="21"/>
              </w:rPr>
            </w:pPr>
            <w:r>
              <w:rPr>
                <w:rFonts w:hint="eastAsia" w:ascii="宋体" w:hAnsi="宋体" w:eastAsia="宋体" w:cs="宋体"/>
                <w:sz w:val="21"/>
                <w:szCs w:val="21"/>
              </w:rPr>
              <w:t>加油站靠近城市道路。</w:t>
            </w:r>
          </w:p>
        </w:tc>
        <w:tc>
          <w:tcPr>
            <w:tcW w:w="732" w:type="dxa"/>
            <w:tcMar>
              <w:top w:w="57" w:type="dxa"/>
              <w:left w:w="57" w:type="dxa"/>
              <w:bottom w:w="57" w:type="dxa"/>
              <w:right w:w="57"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497" w:type="dxa"/>
            <w:tcMar>
              <w:top w:w="57" w:type="dxa"/>
              <w:left w:w="57" w:type="dxa"/>
              <w:bottom w:w="57" w:type="dxa"/>
              <w:right w:w="57"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4</w:t>
            </w:r>
          </w:p>
        </w:tc>
        <w:tc>
          <w:tcPr>
            <w:tcW w:w="3151" w:type="dxa"/>
            <w:tcMar>
              <w:top w:w="57" w:type="dxa"/>
              <w:left w:w="57" w:type="dxa"/>
              <w:bottom w:w="57" w:type="dxa"/>
              <w:right w:w="57" w:type="dxa"/>
            </w:tcMar>
            <w:vAlign w:val="center"/>
          </w:tcPr>
          <w:p>
            <w:pPr>
              <w:jc w:val="both"/>
              <w:rPr>
                <w:rFonts w:hint="eastAsia" w:ascii="宋体" w:hAnsi="宋体" w:eastAsia="宋体" w:cs="宋体"/>
                <w:sz w:val="21"/>
                <w:szCs w:val="21"/>
              </w:rPr>
            </w:pPr>
            <w:r>
              <w:rPr>
                <w:rFonts w:hint="eastAsia" w:ascii="宋体" w:hAnsi="宋体" w:eastAsia="宋体" w:cs="宋体"/>
                <w:sz w:val="21"/>
                <w:szCs w:val="21"/>
              </w:rPr>
              <w:t>加油站的汽油设备与站外建（构）筑物的安全间距，不应小于表 4.0.4 的规定。</w:t>
            </w:r>
          </w:p>
        </w:tc>
        <w:tc>
          <w:tcPr>
            <w:tcW w:w="2014" w:type="dxa"/>
            <w:tcMar>
              <w:top w:w="57" w:type="dxa"/>
              <w:left w:w="57" w:type="dxa"/>
              <w:bottom w:w="57" w:type="dxa"/>
              <w:right w:w="57"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《汽车加油加气站设计与施工规范》（GB50156-2012，2014版）第4.0.4条</w:t>
            </w:r>
          </w:p>
        </w:tc>
        <w:tc>
          <w:tcPr>
            <w:tcW w:w="2837" w:type="dxa"/>
            <w:tcMar>
              <w:top w:w="57" w:type="dxa"/>
              <w:left w:w="57" w:type="dxa"/>
              <w:bottom w:w="57" w:type="dxa"/>
              <w:right w:w="57" w:type="dxa"/>
            </w:tcMar>
            <w:vAlign w:val="center"/>
          </w:tcPr>
          <w:p>
            <w:pPr>
              <w:jc w:val="both"/>
              <w:rPr>
                <w:rFonts w:hint="eastAsia" w:ascii="宋体" w:hAnsi="宋体" w:eastAsia="宋体" w:cs="宋体"/>
                <w:sz w:val="21"/>
                <w:szCs w:val="21"/>
              </w:rPr>
            </w:pPr>
            <w:r>
              <w:rPr>
                <w:rFonts w:hint="eastAsia" w:ascii="宋体" w:hAnsi="宋体" w:eastAsia="宋体" w:cs="宋体"/>
                <w:sz w:val="21"/>
                <w:szCs w:val="21"/>
              </w:rPr>
              <w:t>汽油设备与站外建、构筑物的安全间距符合要求，具体情况见表 2</w:t>
            </w:r>
            <w:r>
              <w:rPr>
                <w:rFonts w:hint="eastAsia" w:ascii="宋体" w:hAnsi="宋体" w:eastAsia="宋体" w:cs="宋体"/>
                <w:sz w:val="21"/>
                <w:szCs w:val="21"/>
                <w:lang w:val="en-US"/>
              </w:rPr>
              <w:t>.2</w:t>
            </w:r>
            <w:r>
              <w:rPr>
                <w:rFonts w:hint="eastAsia" w:ascii="宋体" w:hAnsi="宋体" w:eastAsia="宋体" w:cs="宋体"/>
                <w:sz w:val="21"/>
                <w:szCs w:val="21"/>
              </w:rPr>
              <w:t>-</w:t>
            </w:r>
            <w:r>
              <w:rPr>
                <w:rFonts w:hint="eastAsia" w:ascii="宋体" w:hAnsi="宋体" w:eastAsia="宋体" w:cs="宋体"/>
                <w:sz w:val="21"/>
                <w:szCs w:val="21"/>
                <w:lang w:val="en-US"/>
              </w:rPr>
              <w:t>1。</w:t>
            </w:r>
          </w:p>
        </w:tc>
        <w:tc>
          <w:tcPr>
            <w:tcW w:w="732" w:type="dxa"/>
            <w:tcMar>
              <w:top w:w="57" w:type="dxa"/>
              <w:left w:w="57" w:type="dxa"/>
              <w:bottom w:w="57" w:type="dxa"/>
              <w:right w:w="57"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497" w:type="dxa"/>
            <w:tcMar>
              <w:top w:w="57" w:type="dxa"/>
              <w:left w:w="57" w:type="dxa"/>
              <w:bottom w:w="57" w:type="dxa"/>
              <w:right w:w="57"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5</w:t>
            </w:r>
          </w:p>
        </w:tc>
        <w:tc>
          <w:tcPr>
            <w:tcW w:w="3151" w:type="dxa"/>
            <w:tcMar>
              <w:top w:w="57" w:type="dxa"/>
              <w:left w:w="57" w:type="dxa"/>
              <w:bottom w:w="57" w:type="dxa"/>
              <w:right w:w="57" w:type="dxa"/>
            </w:tcMar>
            <w:vAlign w:val="center"/>
          </w:tcPr>
          <w:p>
            <w:pPr>
              <w:jc w:val="both"/>
              <w:rPr>
                <w:rFonts w:hint="eastAsia" w:ascii="宋体" w:hAnsi="宋体" w:eastAsia="宋体" w:cs="宋体"/>
                <w:sz w:val="21"/>
                <w:szCs w:val="21"/>
              </w:rPr>
            </w:pPr>
            <w:r>
              <w:rPr>
                <w:rFonts w:hint="eastAsia" w:ascii="宋体" w:hAnsi="宋体" w:eastAsia="宋体" w:cs="宋体"/>
                <w:sz w:val="21"/>
                <w:szCs w:val="21"/>
              </w:rPr>
              <w:t>加油站的柴油设备与站外建（构）筑物的安全间距，不应小于表 4.0.5 的规定。</w:t>
            </w:r>
          </w:p>
        </w:tc>
        <w:tc>
          <w:tcPr>
            <w:tcW w:w="2014" w:type="dxa"/>
            <w:tcMar>
              <w:top w:w="57" w:type="dxa"/>
              <w:left w:w="57" w:type="dxa"/>
              <w:bottom w:w="57" w:type="dxa"/>
              <w:right w:w="57"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《汽车加油加气站设计与施工规范》（GB50156-2012，2014版）第4.0.</w:t>
            </w:r>
            <w:r>
              <w:rPr>
                <w:rFonts w:hint="eastAsia" w:ascii="宋体" w:hAnsi="宋体" w:eastAsia="宋体" w:cs="宋体"/>
                <w:sz w:val="21"/>
                <w:szCs w:val="21"/>
                <w:lang w:val="en-US"/>
              </w:rPr>
              <w:t>5</w:t>
            </w:r>
            <w:r>
              <w:rPr>
                <w:rFonts w:hint="eastAsia" w:ascii="宋体" w:hAnsi="宋体" w:eastAsia="宋体" w:cs="宋体"/>
                <w:sz w:val="21"/>
                <w:szCs w:val="21"/>
              </w:rPr>
              <w:t>条</w:t>
            </w:r>
          </w:p>
        </w:tc>
        <w:tc>
          <w:tcPr>
            <w:tcW w:w="2837" w:type="dxa"/>
            <w:tcMar>
              <w:top w:w="57" w:type="dxa"/>
              <w:left w:w="57" w:type="dxa"/>
              <w:bottom w:w="57" w:type="dxa"/>
              <w:right w:w="57" w:type="dxa"/>
            </w:tcMar>
            <w:vAlign w:val="center"/>
          </w:tcPr>
          <w:p>
            <w:pPr>
              <w:jc w:val="both"/>
              <w:rPr>
                <w:rFonts w:hint="eastAsia" w:ascii="宋体" w:hAnsi="宋体" w:eastAsia="宋体" w:cs="宋体"/>
                <w:sz w:val="21"/>
                <w:szCs w:val="21"/>
              </w:rPr>
            </w:pPr>
            <w:r>
              <w:rPr>
                <w:rFonts w:hint="eastAsia" w:ascii="宋体" w:hAnsi="宋体" w:eastAsia="宋体" w:cs="宋体"/>
                <w:sz w:val="21"/>
                <w:szCs w:val="21"/>
              </w:rPr>
              <w:t>柴油设备与站外建、构筑物的安全间距符合要求，具体情况见表 2</w:t>
            </w:r>
            <w:r>
              <w:rPr>
                <w:rFonts w:hint="eastAsia" w:ascii="宋体" w:hAnsi="宋体" w:eastAsia="宋体" w:cs="宋体"/>
                <w:sz w:val="21"/>
                <w:szCs w:val="21"/>
                <w:lang w:val="en-US"/>
              </w:rPr>
              <w:t>.2</w:t>
            </w:r>
            <w:r>
              <w:rPr>
                <w:rFonts w:hint="eastAsia" w:ascii="宋体" w:hAnsi="宋体" w:eastAsia="宋体" w:cs="宋体"/>
                <w:sz w:val="21"/>
                <w:szCs w:val="21"/>
              </w:rPr>
              <w:t>-</w:t>
            </w:r>
            <w:r>
              <w:rPr>
                <w:rFonts w:hint="eastAsia" w:ascii="宋体" w:hAnsi="宋体" w:eastAsia="宋体" w:cs="宋体"/>
                <w:sz w:val="21"/>
                <w:szCs w:val="21"/>
                <w:lang w:val="en-US"/>
              </w:rPr>
              <w:t>2</w:t>
            </w:r>
            <w:r>
              <w:rPr>
                <w:rFonts w:hint="eastAsia" w:ascii="宋体" w:hAnsi="宋体" w:eastAsia="宋体" w:cs="宋体"/>
                <w:sz w:val="21"/>
                <w:szCs w:val="21"/>
              </w:rPr>
              <w:t>。</w:t>
            </w:r>
          </w:p>
        </w:tc>
        <w:tc>
          <w:tcPr>
            <w:tcW w:w="732" w:type="dxa"/>
            <w:tcMar>
              <w:top w:w="57" w:type="dxa"/>
              <w:left w:w="57" w:type="dxa"/>
              <w:bottom w:w="57" w:type="dxa"/>
              <w:right w:w="57"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497" w:type="dxa"/>
            <w:tcMar>
              <w:top w:w="57" w:type="dxa"/>
              <w:left w:w="57" w:type="dxa"/>
              <w:bottom w:w="57" w:type="dxa"/>
              <w:right w:w="57"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6</w:t>
            </w:r>
          </w:p>
        </w:tc>
        <w:tc>
          <w:tcPr>
            <w:tcW w:w="3151" w:type="dxa"/>
            <w:tcMar>
              <w:top w:w="57" w:type="dxa"/>
              <w:left w:w="57" w:type="dxa"/>
              <w:bottom w:w="57" w:type="dxa"/>
              <w:right w:w="57" w:type="dxa"/>
            </w:tcMar>
            <w:vAlign w:val="center"/>
          </w:tcPr>
          <w:p>
            <w:pPr>
              <w:jc w:val="both"/>
              <w:rPr>
                <w:rFonts w:hint="eastAsia" w:ascii="宋体" w:hAnsi="宋体" w:eastAsia="宋体" w:cs="宋体"/>
                <w:sz w:val="21"/>
                <w:szCs w:val="21"/>
              </w:rPr>
            </w:pPr>
            <w:r>
              <w:rPr>
                <w:rFonts w:hint="eastAsia" w:ascii="宋体" w:hAnsi="宋体" w:eastAsia="宋体" w:cs="宋体"/>
                <w:sz w:val="21"/>
                <w:szCs w:val="21"/>
              </w:rPr>
              <w:t>架空电力线路不应跨越加油加气站的加油加气作业区。</w:t>
            </w:r>
          </w:p>
        </w:tc>
        <w:tc>
          <w:tcPr>
            <w:tcW w:w="2014" w:type="dxa"/>
            <w:tcMar>
              <w:top w:w="57" w:type="dxa"/>
              <w:left w:w="57" w:type="dxa"/>
              <w:bottom w:w="57" w:type="dxa"/>
              <w:right w:w="57"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《汽车加油加气站设计与施工规范》（GB50156-2012，2014版）第4.0.</w:t>
            </w:r>
            <w:r>
              <w:rPr>
                <w:rFonts w:hint="eastAsia" w:ascii="宋体" w:hAnsi="宋体" w:eastAsia="宋体" w:cs="宋体"/>
                <w:sz w:val="21"/>
                <w:szCs w:val="21"/>
                <w:lang w:val="en-US"/>
              </w:rPr>
              <w:t>13</w:t>
            </w:r>
            <w:r>
              <w:rPr>
                <w:rFonts w:hint="eastAsia" w:ascii="宋体" w:hAnsi="宋体" w:eastAsia="宋体" w:cs="宋体"/>
                <w:sz w:val="21"/>
                <w:szCs w:val="21"/>
              </w:rPr>
              <w:t>条</w:t>
            </w:r>
          </w:p>
        </w:tc>
        <w:tc>
          <w:tcPr>
            <w:tcW w:w="2837" w:type="dxa"/>
            <w:tcMar>
              <w:top w:w="57" w:type="dxa"/>
              <w:left w:w="57" w:type="dxa"/>
              <w:bottom w:w="57" w:type="dxa"/>
              <w:right w:w="57" w:type="dxa"/>
            </w:tcMar>
            <w:vAlign w:val="center"/>
          </w:tcPr>
          <w:p>
            <w:pPr>
              <w:jc w:val="both"/>
              <w:rPr>
                <w:rFonts w:hint="eastAsia" w:ascii="宋体" w:hAnsi="宋体" w:eastAsia="宋体" w:cs="宋体"/>
                <w:sz w:val="21"/>
                <w:szCs w:val="21"/>
              </w:rPr>
            </w:pPr>
            <w:r>
              <w:rPr>
                <w:rFonts w:hint="eastAsia" w:ascii="宋体" w:hAnsi="宋体" w:eastAsia="宋体" w:cs="宋体"/>
                <w:sz w:val="21"/>
                <w:szCs w:val="21"/>
              </w:rPr>
              <w:t>没有跨越加油站加油作业区的架空电力线。</w:t>
            </w:r>
          </w:p>
        </w:tc>
        <w:tc>
          <w:tcPr>
            <w:tcW w:w="732" w:type="dxa"/>
            <w:tcMar>
              <w:top w:w="57" w:type="dxa"/>
              <w:left w:w="57" w:type="dxa"/>
              <w:bottom w:w="57" w:type="dxa"/>
              <w:right w:w="57"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符合要求</w:t>
            </w:r>
          </w:p>
        </w:tc>
      </w:tr>
    </w:tbl>
    <w:p>
      <w:pPr>
        <w:rPr>
          <w:rFonts w:hint="eastAsia" w:ascii="宋体" w:hAnsi="宋体" w:eastAsia="宋体" w:cs="宋体"/>
        </w:rPr>
      </w:pPr>
    </w:p>
    <w:p>
      <w:pPr>
        <w:pStyle w:val="6"/>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hd w:val="clear" w:color="auto" w:fill="FFFFFF"/>
        </w:rPr>
      </w:pPr>
      <w:r>
        <w:rPr>
          <w:rFonts w:hint="eastAsia" w:ascii="宋体" w:hAnsi="宋体" w:eastAsia="宋体" w:cs="宋体"/>
          <w:szCs w:val="30"/>
        </w:rPr>
        <w:t>综上所述，该加油站与周边建构筑物的防火间</w:t>
      </w:r>
      <w:r>
        <w:rPr>
          <w:rFonts w:hint="eastAsia" w:ascii="宋体" w:hAnsi="宋体" w:eastAsia="宋体" w:cs="宋体"/>
        </w:rPr>
        <w:t>距符合《汽车加油加气站设计与施工规范》（GB50156-2012，2014版）第4.0.4条</w:t>
      </w:r>
      <w:r>
        <w:rPr>
          <w:rFonts w:hint="eastAsia" w:ascii="宋体" w:hAnsi="宋体" w:eastAsia="宋体" w:cs="宋体"/>
          <w:shd w:val="clear" w:color="auto" w:fill="FFFFFF"/>
        </w:rPr>
        <w:t>的规定（详细见“2.2加油站站址”）。</w:t>
      </w:r>
    </w:p>
    <w:p>
      <w:pPr>
        <w:pStyle w:val="6"/>
        <w:spacing w:line="500" w:lineRule="exact"/>
        <w:ind w:firstLine="560" w:firstLineChars="200"/>
        <w:rPr>
          <w:rFonts w:hint="eastAsia" w:ascii="宋体" w:hAnsi="宋体" w:eastAsia="宋体" w:cs="宋体"/>
          <w:shd w:val="clear" w:color="auto" w:fill="FFFFFF"/>
        </w:rPr>
      </w:pPr>
    </w:p>
    <w:p>
      <w:pPr>
        <w:pStyle w:val="6"/>
        <w:spacing w:line="500" w:lineRule="exact"/>
        <w:ind w:firstLine="560" w:firstLineChars="200"/>
        <w:rPr>
          <w:rFonts w:hint="eastAsia" w:ascii="宋体" w:hAnsi="宋体" w:eastAsia="宋体" w:cs="宋体"/>
          <w:shd w:val="clear" w:color="auto" w:fill="FFFFFF"/>
        </w:rPr>
      </w:pPr>
    </w:p>
    <w:p>
      <w:pPr>
        <w:spacing w:line="360" w:lineRule="auto"/>
        <w:jc w:val="center"/>
        <w:outlineLvl w:val="1"/>
        <w:rPr>
          <w:rFonts w:hint="eastAsia" w:ascii="宋体" w:hAnsi="宋体" w:eastAsia="宋体" w:cs="宋体"/>
          <w:b/>
          <w:sz w:val="32"/>
          <w:szCs w:val="32"/>
        </w:rPr>
      </w:pPr>
      <w:bookmarkStart w:id="806" w:name="_Toc528252868"/>
      <w:bookmarkStart w:id="807" w:name="_Toc29965_WPSOffice_Level2"/>
      <w:bookmarkStart w:id="808" w:name="_Toc16455"/>
      <w:bookmarkStart w:id="809" w:name="_Toc9582"/>
      <w:bookmarkStart w:id="810" w:name="_Toc11648_WPSOffice_Level2"/>
      <w:bookmarkStart w:id="811" w:name="_Toc529176540"/>
      <w:bookmarkStart w:id="812" w:name="_Toc10478_WPSOffice_Level2"/>
      <w:bookmarkStart w:id="813" w:name="_Toc528343595"/>
      <w:bookmarkStart w:id="814" w:name="_Toc6621"/>
      <w:r>
        <w:rPr>
          <w:rFonts w:hint="eastAsia" w:ascii="宋体" w:hAnsi="宋体" w:eastAsia="宋体" w:cs="宋体"/>
          <w:b/>
          <w:sz w:val="32"/>
          <w:szCs w:val="32"/>
        </w:rPr>
        <w:t>4.2</w:t>
      </w:r>
      <w:r>
        <w:rPr>
          <w:rFonts w:hint="eastAsia" w:ascii="宋体" w:hAnsi="宋体" w:eastAsia="宋体" w:cs="宋体"/>
          <w:b/>
          <w:sz w:val="32"/>
          <w:szCs w:val="32"/>
          <w:lang w:val="en-US"/>
        </w:rPr>
        <w:t xml:space="preserve"> </w:t>
      </w:r>
      <w:r>
        <w:rPr>
          <w:rFonts w:hint="eastAsia" w:ascii="宋体" w:hAnsi="宋体" w:eastAsia="宋体" w:cs="宋体"/>
          <w:b/>
          <w:sz w:val="32"/>
          <w:szCs w:val="32"/>
        </w:rPr>
        <w:t>总平面布置评价</w:t>
      </w:r>
      <w:bookmarkEnd w:id="806"/>
      <w:bookmarkEnd w:id="807"/>
      <w:bookmarkEnd w:id="808"/>
      <w:bookmarkEnd w:id="809"/>
      <w:bookmarkEnd w:id="810"/>
      <w:bookmarkEnd w:id="811"/>
      <w:bookmarkEnd w:id="812"/>
      <w:bookmarkEnd w:id="813"/>
      <w:bookmarkEnd w:id="814"/>
    </w:p>
    <w:p>
      <w:pPr>
        <w:pStyle w:val="6"/>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szCs w:val="30"/>
        </w:rPr>
      </w:pPr>
      <w:r>
        <w:rPr>
          <w:rFonts w:hint="eastAsia" w:ascii="宋体" w:hAnsi="宋体" w:eastAsia="宋体" w:cs="宋体"/>
          <w:szCs w:val="30"/>
        </w:rPr>
        <w:t>根据《汽车加油加气站设计与施工规范》（GB50156-2012，2014版），编制站内平面布置安全检查表如下：</w:t>
      </w:r>
    </w:p>
    <w:p>
      <w:pPr>
        <w:pStyle w:val="22"/>
        <w:keepNext w:val="0"/>
        <w:keepLines w:val="0"/>
        <w:pageBreakBefore w:val="0"/>
        <w:widowControl w:val="0"/>
        <w:tabs>
          <w:tab w:val="left" w:pos="1704"/>
          <w:tab w:val="left" w:pos="8285"/>
        </w:tabs>
        <w:kinsoku/>
        <w:wordWrap/>
        <w:overflowPunct/>
        <w:topLinePunct w:val="0"/>
        <w:autoSpaceDE w:val="0"/>
        <w:autoSpaceDN w:val="0"/>
        <w:bidi w:val="0"/>
        <w:adjustRightInd/>
        <w:snapToGrid/>
        <w:spacing w:after="41" w:line="560" w:lineRule="exact"/>
        <w:ind w:left="0" w:firstLine="0"/>
        <w:jc w:val="center"/>
        <w:textAlignment w:val="auto"/>
        <w:rPr>
          <w:rFonts w:hint="eastAsia" w:ascii="宋体" w:hAnsi="宋体" w:eastAsia="宋体" w:cs="宋体"/>
          <w:sz w:val="28"/>
          <w:szCs w:val="28"/>
        </w:rPr>
      </w:pPr>
      <w:bookmarkStart w:id="815" w:name="_Toc18414_WPSOffice_Level3"/>
      <w:bookmarkStart w:id="816" w:name="_Toc27715_WPSOffice_Level3"/>
      <w:bookmarkStart w:id="817" w:name="_Toc8452_WPSOffice_Level3"/>
      <w:r>
        <w:rPr>
          <w:rFonts w:hint="eastAsia" w:ascii="宋体" w:hAnsi="宋体" w:eastAsia="宋体" w:cs="宋体"/>
          <w:sz w:val="28"/>
          <w:szCs w:val="28"/>
        </w:rPr>
        <w:t>附表</w:t>
      </w:r>
      <w:r>
        <w:rPr>
          <w:rFonts w:hint="eastAsia" w:ascii="宋体" w:hAnsi="宋体" w:eastAsia="宋体" w:cs="宋体"/>
          <w:sz w:val="28"/>
          <w:szCs w:val="28"/>
          <w:lang w:val="en-US"/>
        </w:rPr>
        <w:t>4.2</w:t>
      </w:r>
      <w:r>
        <w:rPr>
          <w:rFonts w:hint="eastAsia" w:ascii="宋体" w:hAnsi="宋体" w:eastAsia="宋体" w:cs="宋体"/>
          <w:sz w:val="28"/>
          <w:szCs w:val="28"/>
        </w:rPr>
        <w:t>-</w:t>
      </w:r>
      <w:r>
        <w:rPr>
          <w:rFonts w:hint="eastAsia" w:ascii="宋体" w:hAnsi="宋体" w:eastAsia="宋体" w:cs="宋体"/>
          <w:sz w:val="28"/>
          <w:szCs w:val="28"/>
          <w:lang w:val="en-US"/>
        </w:rPr>
        <w:t xml:space="preserve">1 </w:t>
      </w:r>
      <w:r>
        <w:rPr>
          <w:rFonts w:hint="eastAsia" w:ascii="宋体" w:hAnsi="宋体" w:eastAsia="宋体" w:cs="宋体"/>
          <w:sz w:val="28"/>
          <w:szCs w:val="28"/>
        </w:rPr>
        <w:t>站内</w:t>
      </w:r>
      <w:r>
        <w:rPr>
          <w:rFonts w:hint="eastAsia" w:ascii="宋体" w:hAnsi="宋体" w:eastAsia="宋体" w:cs="宋体"/>
          <w:spacing w:val="-3"/>
          <w:sz w:val="28"/>
          <w:szCs w:val="28"/>
        </w:rPr>
        <w:t>平</w:t>
      </w:r>
      <w:r>
        <w:rPr>
          <w:rFonts w:hint="eastAsia" w:ascii="宋体" w:hAnsi="宋体" w:eastAsia="宋体" w:cs="宋体"/>
          <w:sz w:val="28"/>
          <w:szCs w:val="28"/>
        </w:rPr>
        <w:t>面布</w:t>
      </w:r>
      <w:r>
        <w:rPr>
          <w:rFonts w:hint="eastAsia" w:ascii="宋体" w:hAnsi="宋体" w:eastAsia="宋体" w:cs="宋体"/>
          <w:spacing w:val="-3"/>
          <w:sz w:val="28"/>
          <w:szCs w:val="28"/>
        </w:rPr>
        <w:t>置</w:t>
      </w:r>
      <w:r>
        <w:rPr>
          <w:rFonts w:hint="eastAsia" w:ascii="宋体" w:hAnsi="宋体" w:eastAsia="宋体" w:cs="宋体"/>
          <w:sz w:val="28"/>
          <w:szCs w:val="28"/>
        </w:rPr>
        <w:t>安全检</w:t>
      </w:r>
      <w:r>
        <w:rPr>
          <w:rFonts w:hint="eastAsia" w:ascii="宋体" w:hAnsi="宋体" w:eastAsia="宋体" w:cs="宋体"/>
          <w:spacing w:val="-3"/>
          <w:sz w:val="28"/>
          <w:szCs w:val="28"/>
        </w:rPr>
        <w:t>查</w:t>
      </w:r>
      <w:r>
        <w:rPr>
          <w:rFonts w:hint="eastAsia" w:ascii="宋体" w:hAnsi="宋体" w:eastAsia="宋体" w:cs="宋体"/>
          <w:sz w:val="28"/>
          <w:szCs w:val="28"/>
        </w:rPr>
        <w:t>表</w:t>
      </w:r>
      <w:bookmarkEnd w:id="815"/>
      <w:bookmarkEnd w:id="816"/>
      <w:bookmarkEnd w:id="817"/>
    </w:p>
    <w:tbl>
      <w:tblPr>
        <w:tblStyle w:val="21"/>
        <w:tblW w:w="9219" w:type="dxa"/>
        <w:tblInd w:w="11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87"/>
        <w:gridCol w:w="2975"/>
        <w:gridCol w:w="2594"/>
        <w:gridCol w:w="2422"/>
        <w:gridCol w:w="74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blHeader/>
        </w:trPr>
        <w:tc>
          <w:tcPr>
            <w:tcW w:w="487" w:type="dxa"/>
            <w:tcMar>
              <w:top w:w="57" w:type="dxa"/>
              <w:left w:w="57" w:type="dxa"/>
              <w:bottom w:w="57" w:type="dxa"/>
              <w:right w:w="57" w:type="dxa"/>
            </w:tcMar>
            <w:vAlign w:val="center"/>
          </w:tcPr>
          <w:p>
            <w:pPr>
              <w:jc w:val="center"/>
              <w:rPr>
                <w:rFonts w:hint="eastAsia" w:ascii="宋体" w:hAnsi="宋体" w:eastAsia="宋体" w:cs="宋体"/>
                <w:b/>
                <w:bCs/>
                <w:sz w:val="21"/>
                <w:szCs w:val="21"/>
              </w:rPr>
            </w:pPr>
            <w:r>
              <w:rPr>
                <w:rFonts w:hint="eastAsia" w:ascii="宋体" w:hAnsi="宋体" w:eastAsia="宋体" w:cs="宋体"/>
                <w:b/>
                <w:bCs/>
                <w:sz w:val="21"/>
                <w:szCs w:val="21"/>
              </w:rPr>
              <w:t>序号</w:t>
            </w:r>
          </w:p>
        </w:tc>
        <w:tc>
          <w:tcPr>
            <w:tcW w:w="2975" w:type="dxa"/>
            <w:tcMar>
              <w:top w:w="57" w:type="dxa"/>
              <w:left w:w="57" w:type="dxa"/>
              <w:bottom w:w="57" w:type="dxa"/>
              <w:right w:w="57" w:type="dxa"/>
            </w:tcMar>
            <w:vAlign w:val="center"/>
          </w:tcPr>
          <w:p>
            <w:pPr>
              <w:jc w:val="center"/>
              <w:rPr>
                <w:rFonts w:hint="eastAsia" w:ascii="宋体" w:hAnsi="宋体" w:eastAsia="宋体" w:cs="宋体"/>
                <w:b/>
                <w:bCs/>
                <w:sz w:val="21"/>
                <w:szCs w:val="21"/>
              </w:rPr>
            </w:pPr>
            <w:r>
              <w:rPr>
                <w:rFonts w:hint="eastAsia" w:ascii="宋体" w:hAnsi="宋体" w:eastAsia="宋体" w:cs="宋体"/>
                <w:b/>
                <w:bCs/>
                <w:sz w:val="21"/>
                <w:szCs w:val="21"/>
              </w:rPr>
              <w:t>规范要求</w:t>
            </w:r>
          </w:p>
        </w:tc>
        <w:tc>
          <w:tcPr>
            <w:tcW w:w="2594" w:type="dxa"/>
            <w:tcMar>
              <w:top w:w="57" w:type="dxa"/>
              <w:left w:w="57" w:type="dxa"/>
              <w:bottom w:w="57" w:type="dxa"/>
              <w:right w:w="57" w:type="dxa"/>
            </w:tcMar>
            <w:vAlign w:val="center"/>
          </w:tcPr>
          <w:p>
            <w:pPr>
              <w:jc w:val="center"/>
              <w:rPr>
                <w:rFonts w:hint="eastAsia" w:ascii="宋体" w:hAnsi="宋体" w:eastAsia="宋体" w:cs="宋体"/>
                <w:b/>
                <w:bCs/>
                <w:sz w:val="21"/>
                <w:szCs w:val="21"/>
              </w:rPr>
            </w:pPr>
            <w:r>
              <w:rPr>
                <w:rFonts w:hint="eastAsia" w:ascii="宋体" w:hAnsi="宋体" w:eastAsia="宋体" w:cs="宋体"/>
                <w:b/>
                <w:bCs/>
                <w:sz w:val="21"/>
                <w:szCs w:val="21"/>
              </w:rPr>
              <w:t>依据</w:t>
            </w:r>
          </w:p>
        </w:tc>
        <w:tc>
          <w:tcPr>
            <w:tcW w:w="2422" w:type="dxa"/>
            <w:tcMar>
              <w:top w:w="57" w:type="dxa"/>
              <w:left w:w="57" w:type="dxa"/>
              <w:bottom w:w="57" w:type="dxa"/>
              <w:right w:w="57" w:type="dxa"/>
            </w:tcMar>
            <w:vAlign w:val="center"/>
          </w:tcPr>
          <w:p>
            <w:pPr>
              <w:jc w:val="center"/>
              <w:rPr>
                <w:rFonts w:hint="eastAsia" w:ascii="宋体" w:hAnsi="宋体" w:eastAsia="宋体" w:cs="宋体"/>
                <w:b/>
                <w:bCs/>
                <w:sz w:val="21"/>
                <w:szCs w:val="21"/>
              </w:rPr>
            </w:pPr>
            <w:r>
              <w:rPr>
                <w:rFonts w:hint="eastAsia" w:ascii="宋体" w:hAnsi="宋体" w:eastAsia="宋体" w:cs="宋体"/>
                <w:b/>
                <w:bCs/>
                <w:sz w:val="21"/>
                <w:szCs w:val="21"/>
              </w:rPr>
              <w:t>检查情况</w:t>
            </w:r>
          </w:p>
        </w:tc>
        <w:tc>
          <w:tcPr>
            <w:tcW w:w="741" w:type="dxa"/>
            <w:tcMar>
              <w:top w:w="57" w:type="dxa"/>
              <w:left w:w="57" w:type="dxa"/>
              <w:bottom w:w="57" w:type="dxa"/>
              <w:right w:w="57" w:type="dxa"/>
            </w:tcMar>
            <w:vAlign w:val="center"/>
          </w:tcPr>
          <w:p>
            <w:pPr>
              <w:jc w:val="center"/>
              <w:rPr>
                <w:rFonts w:hint="eastAsia" w:ascii="宋体" w:hAnsi="宋体" w:eastAsia="宋体" w:cs="宋体"/>
                <w:b/>
                <w:bCs/>
                <w:sz w:val="21"/>
                <w:szCs w:val="21"/>
              </w:rPr>
            </w:pPr>
            <w:r>
              <w:rPr>
                <w:rFonts w:hint="eastAsia" w:ascii="宋体" w:hAnsi="宋体" w:eastAsia="宋体" w:cs="宋体"/>
                <w:b/>
                <w:bCs/>
                <w:sz w:val="21"/>
                <w:szCs w:val="21"/>
              </w:rPr>
              <w:t>结论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487" w:type="dxa"/>
            <w:tcMar>
              <w:top w:w="57" w:type="dxa"/>
              <w:left w:w="57" w:type="dxa"/>
              <w:bottom w:w="57" w:type="dxa"/>
              <w:right w:w="57"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2975" w:type="dxa"/>
            <w:tcMar>
              <w:top w:w="57" w:type="dxa"/>
              <w:left w:w="57" w:type="dxa"/>
              <w:bottom w:w="57" w:type="dxa"/>
              <w:right w:w="57" w:type="dxa"/>
            </w:tcMar>
            <w:vAlign w:val="center"/>
          </w:tcPr>
          <w:p>
            <w:pPr>
              <w:jc w:val="both"/>
              <w:rPr>
                <w:rFonts w:hint="eastAsia" w:ascii="宋体" w:hAnsi="宋体" w:eastAsia="宋体" w:cs="宋体"/>
                <w:sz w:val="21"/>
                <w:szCs w:val="21"/>
              </w:rPr>
            </w:pPr>
            <w:r>
              <w:rPr>
                <w:rFonts w:hint="eastAsia" w:ascii="宋体" w:hAnsi="宋体" w:eastAsia="宋体" w:cs="宋体"/>
                <w:sz w:val="21"/>
                <w:szCs w:val="21"/>
              </w:rPr>
              <w:t>加油站的车辆入口和出口应分开设置。</w:t>
            </w:r>
          </w:p>
        </w:tc>
        <w:tc>
          <w:tcPr>
            <w:tcW w:w="2594" w:type="dxa"/>
            <w:tcMar>
              <w:top w:w="57" w:type="dxa"/>
              <w:left w:w="57" w:type="dxa"/>
              <w:bottom w:w="57" w:type="dxa"/>
              <w:right w:w="57" w:type="dxa"/>
            </w:tcMar>
            <w:vAlign w:val="center"/>
          </w:tcPr>
          <w:p>
            <w:pPr>
              <w:jc w:val="both"/>
              <w:rPr>
                <w:rFonts w:hint="eastAsia" w:ascii="宋体" w:hAnsi="宋体" w:eastAsia="宋体" w:cs="宋体"/>
                <w:sz w:val="21"/>
                <w:szCs w:val="21"/>
              </w:rPr>
            </w:pPr>
            <w:r>
              <w:rPr>
                <w:rFonts w:hint="eastAsia" w:ascii="宋体" w:hAnsi="宋体" w:eastAsia="宋体" w:cs="宋体"/>
                <w:sz w:val="21"/>
                <w:szCs w:val="21"/>
              </w:rPr>
              <w:t>《汽车加油加气站设计与施工规范》（GB50156-2012，2014版）第</w:t>
            </w:r>
            <w:r>
              <w:rPr>
                <w:rFonts w:hint="eastAsia" w:ascii="宋体" w:hAnsi="宋体" w:eastAsia="宋体" w:cs="宋体"/>
                <w:sz w:val="21"/>
                <w:szCs w:val="21"/>
                <w:lang w:val="en-US"/>
              </w:rPr>
              <w:t>5</w:t>
            </w:r>
            <w:r>
              <w:rPr>
                <w:rFonts w:hint="eastAsia" w:ascii="宋体" w:hAnsi="宋体" w:eastAsia="宋体" w:cs="宋体"/>
                <w:sz w:val="21"/>
                <w:szCs w:val="21"/>
              </w:rPr>
              <w:t>.0.</w:t>
            </w:r>
            <w:r>
              <w:rPr>
                <w:rFonts w:hint="eastAsia" w:ascii="宋体" w:hAnsi="宋体" w:eastAsia="宋体" w:cs="宋体"/>
                <w:sz w:val="21"/>
                <w:szCs w:val="21"/>
                <w:lang w:val="en-US"/>
              </w:rPr>
              <w:t>1</w:t>
            </w:r>
            <w:r>
              <w:rPr>
                <w:rFonts w:hint="eastAsia" w:ascii="宋体" w:hAnsi="宋体" w:eastAsia="宋体" w:cs="宋体"/>
                <w:sz w:val="21"/>
                <w:szCs w:val="21"/>
              </w:rPr>
              <w:t>条</w:t>
            </w:r>
          </w:p>
        </w:tc>
        <w:tc>
          <w:tcPr>
            <w:tcW w:w="2422" w:type="dxa"/>
            <w:tcMar>
              <w:top w:w="57" w:type="dxa"/>
              <w:left w:w="57" w:type="dxa"/>
              <w:bottom w:w="57" w:type="dxa"/>
              <w:right w:w="57" w:type="dxa"/>
            </w:tcMar>
            <w:vAlign w:val="center"/>
          </w:tcPr>
          <w:p>
            <w:pPr>
              <w:jc w:val="both"/>
              <w:rPr>
                <w:rFonts w:hint="eastAsia" w:ascii="宋体" w:hAnsi="宋体" w:eastAsia="宋体" w:cs="宋体"/>
                <w:sz w:val="21"/>
                <w:szCs w:val="21"/>
              </w:rPr>
            </w:pPr>
            <w:r>
              <w:rPr>
                <w:rFonts w:hint="eastAsia" w:ascii="宋体" w:hAnsi="宋体" w:eastAsia="宋体" w:cs="宋体"/>
                <w:sz w:val="21"/>
                <w:szCs w:val="21"/>
              </w:rPr>
              <w:t>车辆入口和出口分开设置。</w:t>
            </w:r>
          </w:p>
        </w:tc>
        <w:tc>
          <w:tcPr>
            <w:tcW w:w="741" w:type="dxa"/>
            <w:tcMar>
              <w:top w:w="57" w:type="dxa"/>
              <w:left w:w="57" w:type="dxa"/>
              <w:bottom w:w="57" w:type="dxa"/>
              <w:right w:w="57"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487" w:type="dxa"/>
            <w:tcMar>
              <w:top w:w="57" w:type="dxa"/>
              <w:left w:w="57" w:type="dxa"/>
              <w:bottom w:w="57" w:type="dxa"/>
              <w:right w:w="57"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2975" w:type="dxa"/>
            <w:tcMar>
              <w:top w:w="57" w:type="dxa"/>
              <w:left w:w="57" w:type="dxa"/>
              <w:bottom w:w="57" w:type="dxa"/>
              <w:right w:w="57" w:type="dxa"/>
            </w:tcMar>
            <w:vAlign w:val="center"/>
          </w:tcPr>
          <w:p>
            <w:pPr>
              <w:jc w:val="both"/>
              <w:rPr>
                <w:rFonts w:hint="eastAsia" w:ascii="宋体" w:hAnsi="宋体" w:eastAsia="宋体" w:cs="宋体"/>
                <w:sz w:val="21"/>
                <w:szCs w:val="21"/>
              </w:rPr>
            </w:pPr>
            <w:r>
              <w:rPr>
                <w:rFonts w:hint="eastAsia" w:ascii="宋体" w:hAnsi="宋体" w:eastAsia="宋体" w:cs="宋体"/>
                <w:sz w:val="21"/>
                <w:szCs w:val="21"/>
              </w:rPr>
              <w:t>站区内单车道或单车停车位宽度不应小于4m，双车道或双车停车位不应小于6m。</w:t>
            </w:r>
          </w:p>
        </w:tc>
        <w:tc>
          <w:tcPr>
            <w:tcW w:w="2594" w:type="dxa"/>
            <w:tcMar>
              <w:top w:w="57" w:type="dxa"/>
              <w:left w:w="57" w:type="dxa"/>
              <w:bottom w:w="57" w:type="dxa"/>
              <w:right w:w="57" w:type="dxa"/>
            </w:tcMar>
            <w:vAlign w:val="center"/>
          </w:tcPr>
          <w:p>
            <w:pPr>
              <w:jc w:val="both"/>
              <w:rPr>
                <w:rFonts w:hint="eastAsia" w:ascii="宋体" w:hAnsi="宋体" w:eastAsia="宋体" w:cs="宋体"/>
                <w:sz w:val="21"/>
                <w:szCs w:val="21"/>
              </w:rPr>
            </w:pPr>
            <w:r>
              <w:rPr>
                <w:rFonts w:hint="eastAsia" w:ascii="宋体" w:hAnsi="宋体" w:eastAsia="宋体" w:cs="宋体"/>
                <w:sz w:val="21"/>
                <w:szCs w:val="21"/>
              </w:rPr>
              <w:t>《汽车加油加气站设计与施工规范》（GB50156-2012，2014版）第</w:t>
            </w:r>
            <w:r>
              <w:rPr>
                <w:rFonts w:hint="eastAsia" w:ascii="宋体" w:hAnsi="宋体" w:eastAsia="宋体" w:cs="宋体"/>
                <w:sz w:val="21"/>
                <w:szCs w:val="21"/>
                <w:lang w:val="en-US"/>
              </w:rPr>
              <w:t>5</w:t>
            </w:r>
            <w:r>
              <w:rPr>
                <w:rFonts w:hint="eastAsia" w:ascii="宋体" w:hAnsi="宋体" w:eastAsia="宋体" w:cs="宋体"/>
                <w:sz w:val="21"/>
                <w:szCs w:val="21"/>
              </w:rPr>
              <w:t>.0.</w:t>
            </w:r>
            <w:r>
              <w:rPr>
                <w:rFonts w:hint="eastAsia" w:ascii="宋体" w:hAnsi="宋体" w:eastAsia="宋体" w:cs="宋体"/>
                <w:sz w:val="21"/>
                <w:szCs w:val="21"/>
                <w:lang w:val="en-US"/>
              </w:rPr>
              <w:t>2.1</w:t>
            </w:r>
            <w:r>
              <w:rPr>
                <w:rFonts w:hint="eastAsia" w:ascii="宋体" w:hAnsi="宋体" w:eastAsia="宋体" w:cs="宋体"/>
                <w:sz w:val="21"/>
                <w:szCs w:val="21"/>
              </w:rPr>
              <w:t>条</w:t>
            </w:r>
          </w:p>
        </w:tc>
        <w:tc>
          <w:tcPr>
            <w:tcW w:w="2422" w:type="dxa"/>
            <w:tcMar>
              <w:top w:w="57" w:type="dxa"/>
              <w:left w:w="57" w:type="dxa"/>
              <w:bottom w:w="57" w:type="dxa"/>
              <w:right w:w="57" w:type="dxa"/>
            </w:tcMar>
            <w:vAlign w:val="center"/>
          </w:tcPr>
          <w:p>
            <w:pPr>
              <w:jc w:val="both"/>
              <w:rPr>
                <w:rFonts w:hint="eastAsia" w:ascii="宋体" w:hAnsi="宋体" w:eastAsia="宋体" w:cs="宋体"/>
                <w:sz w:val="21"/>
                <w:szCs w:val="21"/>
              </w:rPr>
            </w:pPr>
            <w:r>
              <w:rPr>
                <w:rFonts w:hint="eastAsia" w:ascii="宋体" w:hAnsi="宋体" w:eastAsia="宋体" w:cs="宋体"/>
                <w:sz w:val="21"/>
                <w:szCs w:val="21"/>
              </w:rPr>
              <w:t>单车道宽</w:t>
            </w:r>
            <w:r>
              <w:rPr>
                <w:rFonts w:hint="eastAsia" w:ascii="宋体" w:hAnsi="宋体" w:eastAsia="宋体" w:cs="宋体"/>
                <w:sz w:val="21"/>
                <w:szCs w:val="21"/>
                <w:lang w:val="en-US" w:eastAsia="zh-CN"/>
              </w:rPr>
              <w:t>8.5</w:t>
            </w:r>
            <w:r>
              <w:rPr>
                <w:rFonts w:hint="eastAsia" w:ascii="宋体" w:hAnsi="宋体" w:eastAsia="宋体" w:cs="宋体"/>
                <w:sz w:val="21"/>
                <w:szCs w:val="21"/>
              </w:rPr>
              <w:t>m，双车道宽</w:t>
            </w:r>
            <w:r>
              <w:rPr>
                <w:rFonts w:hint="eastAsia" w:ascii="宋体" w:hAnsi="宋体" w:eastAsia="宋体" w:cs="宋体"/>
                <w:sz w:val="21"/>
                <w:szCs w:val="21"/>
                <w:lang w:val="en-US" w:eastAsia="zh-CN"/>
              </w:rPr>
              <w:t>10.5m</w:t>
            </w:r>
            <w:r>
              <w:rPr>
                <w:rFonts w:hint="eastAsia" w:ascii="宋体" w:hAnsi="宋体" w:eastAsia="宋体" w:cs="宋体"/>
                <w:sz w:val="21"/>
                <w:szCs w:val="21"/>
              </w:rPr>
              <w:t>。</w:t>
            </w:r>
          </w:p>
        </w:tc>
        <w:tc>
          <w:tcPr>
            <w:tcW w:w="741" w:type="dxa"/>
            <w:tcMar>
              <w:top w:w="57" w:type="dxa"/>
              <w:left w:w="57" w:type="dxa"/>
              <w:bottom w:w="57" w:type="dxa"/>
              <w:right w:w="57"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487" w:type="dxa"/>
            <w:tcMar>
              <w:top w:w="57" w:type="dxa"/>
              <w:left w:w="57" w:type="dxa"/>
              <w:bottom w:w="57" w:type="dxa"/>
              <w:right w:w="57"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3</w:t>
            </w:r>
          </w:p>
        </w:tc>
        <w:tc>
          <w:tcPr>
            <w:tcW w:w="2975" w:type="dxa"/>
            <w:tcMar>
              <w:top w:w="57" w:type="dxa"/>
              <w:left w:w="57" w:type="dxa"/>
              <w:bottom w:w="57" w:type="dxa"/>
              <w:right w:w="57" w:type="dxa"/>
            </w:tcMar>
            <w:vAlign w:val="center"/>
          </w:tcPr>
          <w:p>
            <w:pPr>
              <w:jc w:val="both"/>
              <w:rPr>
                <w:rFonts w:hint="eastAsia" w:ascii="宋体" w:hAnsi="宋体" w:eastAsia="宋体" w:cs="宋体"/>
                <w:sz w:val="21"/>
                <w:szCs w:val="21"/>
              </w:rPr>
            </w:pPr>
            <w:r>
              <w:rPr>
                <w:rFonts w:hint="eastAsia" w:ascii="宋体" w:hAnsi="宋体" w:eastAsia="宋体" w:cs="宋体"/>
                <w:sz w:val="21"/>
                <w:szCs w:val="21"/>
              </w:rPr>
              <w:t>站内停车位应为平坡，道路坡度不应大于8%，且宜坡向站外。</w:t>
            </w:r>
          </w:p>
        </w:tc>
        <w:tc>
          <w:tcPr>
            <w:tcW w:w="2594" w:type="dxa"/>
            <w:tcMar>
              <w:top w:w="57" w:type="dxa"/>
              <w:left w:w="57" w:type="dxa"/>
              <w:bottom w:w="57" w:type="dxa"/>
              <w:right w:w="57" w:type="dxa"/>
            </w:tcMar>
            <w:vAlign w:val="center"/>
          </w:tcPr>
          <w:p>
            <w:pPr>
              <w:jc w:val="both"/>
              <w:rPr>
                <w:rFonts w:hint="eastAsia" w:ascii="宋体" w:hAnsi="宋体" w:eastAsia="宋体" w:cs="宋体"/>
                <w:sz w:val="21"/>
                <w:szCs w:val="21"/>
              </w:rPr>
            </w:pPr>
            <w:r>
              <w:rPr>
                <w:rFonts w:hint="eastAsia" w:ascii="宋体" w:hAnsi="宋体" w:eastAsia="宋体" w:cs="宋体"/>
                <w:sz w:val="21"/>
                <w:szCs w:val="21"/>
              </w:rPr>
              <w:t>《汽车加油加气站设计与施工规范》（GB50156-2012，2014版）第</w:t>
            </w:r>
            <w:r>
              <w:rPr>
                <w:rFonts w:hint="eastAsia" w:ascii="宋体" w:hAnsi="宋体" w:eastAsia="宋体" w:cs="宋体"/>
                <w:sz w:val="21"/>
                <w:szCs w:val="21"/>
                <w:lang w:val="en-US"/>
              </w:rPr>
              <w:t>5</w:t>
            </w:r>
            <w:r>
              <w:rPr>
                <w:rFonts w:hint="eastAsia" w:ascii="宋体" w:hAnsi="宋体" w:eastAsia="宋体" w:cs="宋体"/>
                <w:sz w:val="21"/>
                <w:szCs w:val="21"/>
              </w:rPr>
              <w:t>.0.</w:t>
            </w:r>
            <w:r>
              <w:rPr>
                <w:rFonts w:hint="eastAsia" w:ascii="宋体" w:hAnsi="宋体" w:eastAsia="宋体" w:cs="宋体"/>
                <w:sz w:val="21"/>
                <w:szCs w:val="21"/>
                <w:lang w:val="en-US"/>
              </w:rPr>
              <w:t>2.3</w:t>
            </w:r>
            <w:r>
              <w:rPr>
                <w:rFonts w:hint="eastAsia" w:ascii="宋体" w:hAnsi="宋体" w:eastAsia="宋体" w:cs="宋体"/>
                <w:sz w:val="21"/>
                <w:szCs w:val="21"/>
              </w:rPr>
              <w:t>条</w:t>
            </w:r>
          </w:p>
        </w:tc>
        <w:tc>
          <w:tcPr>
            <w:tcW w:w="2422" w:type="dxa"/>
            <w:tcMar>
              <w:top w:w="57" w:type="dxa"/>
              <w:left w:w="57" w:type="dxa"/>
              <w:bottom w:w="57" w:type="dxa"/>
              <w:right w:w="57" w:type="dxa"/>
            </w:tcMar>
            <w:vAlign w:val="center"/>
          </w:tcPr>
          <w:p>
            <w:pPr>
              <w:jc w:val="both"/>
              <w:rPr>
                <w:rFonts w:hint="eastAsia" w:ascii="宋体" w:hAnsi="宋体" w:eastAsia="宋体" w:cs="宋体"/>
                <w:sz w:val="21"/>
                <w:szCs w:val="21"/>
              </w:rPr>
            </w:pPr>
            <w:r>
              <w:rPr>
                <w:rFonts w:hint="eastAsia" w:ascii="宋体" w:hAnsi="宋体" w:eastAsia="宋体" w:cs="宋体"/>
                <w:sz w:val="21"/>
                <w:szCs w:val="21"/>
              </w:rPr>
              <w:t>站内停车位为平坡。</w:t>
            </w:r>
          </w:p>
        </w:tc>
        <w:tc>
          <w:tcPr>
            <w:tcW w:w="741" w:type="dxa"/>
            <w:tcMar>
              <w:top w:w="57" w:type="dxa"/>
              <w:left w:w="57" w:type="dxa"/>
              <w:bottom w:w="57" w:type="dxa"/>
              <w:right w:w="57"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487" w:type="dxa"/>
            <w:tcMar>
              <w:top w:w="57" w:type="dxa"/>
              <w:left w:w="57" w:type="dxa"/>
              <w:bottom w:w="57" w:type="dxa"/>
              <w:right w:w="57"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4</w:t>
            </w:r>
          </w:p>
        </w:tc>
        <w:tc>
          <w:tcPr>
            <w:tcW w:w="2975" w:type="dxa"/>
            <w:tcMar>
              <w:top w:w="57" w:type="dxa"/>
              <w:left w:w="57" w:type="dxa"/>
              <w:bottom w:w="57" w:type="dxa"/>
              <w:right w:w="57" w:type="dxa"/>
            </w:tcMar>
            <w:vAlign w:val="center"/>
          </w:tcPr>
          <w:p>
            <w:pPr>
              <w:jc w:val="both"/>
              <w:rPr>
                <w:rFonts w:hint="eastAsia" w:ascii="宋体" w:hAnsi="宋体" w:eastAsia="宋体" w:cs="宋体"/>
                <w:sz w:val="21"/>
                <w:szCs w:val="21"/>
              </w:rPr>
            </w:pPr>
            <w:r>
              <w:rPr>
                <w:rFonts w:hint="eastAsia" w:ascii="宋体" w:hAnsi="宋体" w:eastAsia="宋体" w:cs="宋体"/>
                <w:sz w:val="21"/>
                <w:szCs w:val="21"/>
              </w:rPr>
              <w:t>加油作业区内的停车位和道路路面不应采用沥青路面。</w:t>
            </w:r>
          </w:p>
        </w:tc>
        <w:tc>
          <w:tcPr>
            <w:tcW w:w="2594" w:type="dxa"/>
            <w:tcMar>
              <w:top w:w="57" w:type="dxa"/>
              <w:left w:w="57" w:type="dxa"/>
              <w:bottom w:w="57" w:type="dxa"/>
              <w:right w:w="57" w:type="dxa"/>
            </w:tcMar>
            <w:vAlign w:val="center"/>
          </w:tcPr>
          <w:p>
            <w:pPr>
              <w:jc w:val="both"/>
              <w:rPr>
                <w:rFonts w:hint="eastAsia" w:ascii="宋体" w:hAnsi="宋体" w:eastAsia="宋体" w:cs="宋体"/>
                <w:sz w:val="21"/>
                <w:szCs w:val="21"/>
              </w:rPr>
            </w:pPr>
            <w:r>
              <w:rPr>
                <w:rFonts w:hint="eastAsia" w:ascii="宋体" w:hAnsi="宋体" w:eastAsia="宋体" w:cs="宋体"/>
                <w:sz w:val="21"/>
                <w:szCs w:val="21"/>
              </w:rPr>
              <w:t>《汽车加油加气站设计与施工规范》（GB50156-2012，2014版）第</w:t>
            </w:r>
            <w:r>
              <w:rPr>
                <w:rFonts w:hint="eastAsia" w:ascii="宋体" w:hAnsi="宋体" w:eastAsia="宋体" w:cs="宋体"/>
                <w:sz w:val="21"/>
                <w:szCs w:val="21"/>
                <w:lang w:val="en-US"/>
              </w:rPr>
              <w:t>5</w:t>
            </w:r>
            <w:r>
              <w:rPr>
                <w:rFonts w:hint="eastAsia" w:ascii="宋体" w:hAnsi="宋体" w:eastAsia="宋体" w:cs="宋体"/>
                <w:sz w:val="21"/>
                <w:szCs w:val="21"/>
              </w:rPr>
              <w:t>.0.</w:t>
            </w:r>
            <w:r>
              <w:rPr>
                <w:rFonts w:hint="eastAsia" w:ascii="宋体" w:hAnsi="宋体" w:eastAsia="宋体" w:cs="宋体"/>
                <w:sz w:val="21"/>
                <w:szCs w:val="21"/>
                <w:lang w:val="en-US"/>
              </w:rPr>
              <w:t>2.4</w:t>
            </w:r>
            <w:r>
              <w:rPr>
                <w:rFonts w:hint="eastAsia" w:ascii="宋体" w:hAnsi="宋体" w:eastAsia="宋体" w:cs="宋体"/>
                <w:sz w:val="21"/>
                <w:szCs w:val="21"/>
              </w:rPr>
              <w:t>条</w:t>
            </w:r>
          </w:p>
        </w:tc>
        <w:tc>
          <w:tcPr>
            <w:tcW w:w="2422" w:type="dxa"/>
            <w:tcMar>
              <w:top w:w="57" w:type="dxa"/>
              <w:left w:w="57" w:type="dxa"/>
              <w:bottom w:w="57" w:type="dxa"/>
              <w:right w:w="57" w:type="dxa"/>
            </w:tcMar>
            <w:vAlign w:val="center"/>
          </w:tcPr>
          <w:p>
            <w:pPr>
              <w:jc w:val="both"/>
              <w:rPr>
                <w:rFonts w:hint="eastAsia" w:ascii="宋体" w:hAnsi="宋体" w:eastAsia="宋体" w:cs="宋体"/>
                <w:sz w:val="21"/>
                <w:szCs w:val="21"/>
              </w:rPr>
            </w:pPr>
            <w:r>
              <w:rPr>
                <w:rFonts w:hint="eastAsia" w:ascii="宋体" w:hAnsi="宋体" w:eastAsia="宋体" w:cs="宋体"/>
                <w:sz w:val="21"/>
                <w:szCs w:val="21"/>
              </w:rPr>
              <w:t>停车场和道路路面采用水泥路面。</w:t>
            </w:r>
          </w:p>
        </w:tc>
        <w:tc>
          <w:tcPr>
            <w:tcW w:w="741" w:type="dxa"/>
            <w:tcMar>
              <w:top w:w="57" w:type="dxa"/>
              <w:left w:w="57" w:type="dxa"/>
              <w:bottom w:w="57" w:type="dxa"/>
              <w:right w:w="57"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487" w:type="dxa"/>
            <w:tcMar>
              <w:top w:w="57" w:type="dxa"/>
              <w:left w:w="57" w:type="dxa"/>
              <w:bottom w:w="57" w:type="dxa"/>
              <w:right w:w="57"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5</w:t>
            </w:r>
          </w:p>
        </w:tc>
        <w:tc>
          <w:tcPr>
            <w:tcW w:w="2975" w:type="dxa"/>
            <w:tcMar>
              <w:top w:w="57" w:type="dxa"/>
              <w:left w:w="57" w:type="dxa"/>
              <w:bottom w:w="57" w:type="dxa"/>
              <w:right w:w="57" w:type="dxa"/>
            </w:tcMar>
            <w:vAlign w:val="center"/>
          </w:tcPr>
          <w:p>
            <w:pPr>
              <w:jc w:val="both"/>
              <w:rPr>
                <w:rFonts w:hint="eastAsia" w:ascii="宋体" w:hAnsi="宋体" w:eastAsia="宋体" w:cs="宋体"/>
                <w:sz w:val="21"/>
                <w:szCs w:val="21"/>
              </w:rPr>
            </w:pPr>
            <w:r>
              <w:rPr>
                <w:rFonts w:hint="eastAsia" w:ascii="宋体" w:hAnsi="宋体" w:eastAsia="宋体" w:cs="宋体"/>
                <w:sz w:val="21"/>
                <w:szCs w:val="21"/>
              </w:rPr>
              <w:t>加油作业区与辅助服务区之间应有界线标识。</w:t>
            </w:r>
          </w:p>
        </w:tc>
        <w:tc>
          <w:tcPr>
            <w:tcW w:w="2594" w:type="dxa"/>
            <w:tcMar>
              <w:top w:w="57" w:type="dxa"/>
              <w:left w:w="57" w:type="dxa"/>
              <w:bottom w:w="57" w:type="dxa"/>
              <w:right w:w="57" w:type="dxa"/>
            </w:tcMar>
            <w:vAlign w:val="center"/>
          </w:tcPr>
          <w:p>
            <w:pPr>
              <w:jc w:val="both"/>
              <w:rPr>
                <w:rFonts w:hint="eastAsia" w:ascii="宋体" w:hAnsi="宋体" w:eastAsia="宋体" w:cs="宋体"/>
                <w:sz w:val="21"/>
                <w:szCs w:val="21"/>
              </w:rPr>
            </w:pPr>
            <w:r>
              <w:rPr>
                <w:rFonts w:hint="eastAsia" w:ascii="宋体" w:hAnsi="宋体" w:eastAsia="宋体" w:cs="宋体"/>
                <w:sz w:val="21"/>
                <w:szCs w:val="21"/>
              </w:rPr>
              <w:t>《汽车加油加气站设计与施工规范》（GB50156-2012，2014版）第</w:t>
            </w:r>
            <w:r>
              <w:rPr>
                <w:rFonts w:hint="eastAsia" w:ascii="宋体" w:hAnsi="宋体" w:eastAsia="宋体" w:cs="宋体"/>
                <w:sz w:val="21"/>
                <w:szCs w:val="21"/>
                <w:lang w:val="en-US"/>
              </w:rPr>
              <w:t>5</w:t>
            </w:r>
            <w:r>
              <w:rPr>
                <w:rFonts w:hint="eastAsia" w:ascii="宋体" w:hAnsi="宋体" w:eastAsia="宋体" w:cs="宋体"/>
                <w:sz w:val="21"/>
                <w:szCs w:val="21"/>
              </w:rPr>
              <w:t>.0.</w:t>
            </w:r>
            <w:r>
              <w:rPr>
                <w:rFonts w:hint="eastAsia" w:ascii="宋体" w:hAnsi="宋体" w:eastAsia="宋体" w:cs="宋体"/>
                <w:sz w:val="21"/>
                <w:szCs w:val="21"/>
                <w:lang w:val="en-US"/>
              </w:rPr>
              <w:t>3</w:t>
            </w:r>
            <w:r>
              <w:rPr>
                <w:rFonts w:hint="eastAsia" w:ascii="宋体" w:hAnsi="宋体" w:eastAsia="宋体" w:cs="宋体"/>
                <w:sz w:val="21"/>
                <w:szCs w:val="21"/>
              </w:rPr>
              <w:t>条</w:t>
            </w:r>
          </w:p>
        </w:tc>
        <w:tc>
          <w:tcPr>
            <w:tcW w:w="2422" w:type="dxa"/>
            <w:tcMar>
              <w:top w:w="57" w:type="dxa"/>
              <w:left w:w="57" w:type="dxa"/>
              <w:bottom w:w="57" w:type="dxa"/>
              <w:right w:w="57" w:type="dxa"/>
            </w:tcMar>
            <w:vAlign w:val="center"/>
          </w:tcPr>
          <w:p>
            <w:pPr>
              <w:jc w:val="both"/>
              <w:rPr>
                <w:rFonts w:hint="eastAsia" w:ascii="宋体" w:hAnsi="宋体" w:eastAsia="宋体" w:cs="宋体"/>
                <w:sz w:val="21"/>
                <w:szCs w:val="21"/>
              </w:rPr>
            </w:pPr>
            <w:r>
              <w:rPr>
                <w:rFonts w:hint="eastAsia" w:ascii="宋体" w:hAnsi="宋体" w:eastAsia="宋体" w:cs="宋体"/>
                <w:sz w:val="21"/>
                <w:szCs w:val="21"/>
              </w:rPr>
              <w:t>加油作业区与辅助服务区之间有分界线标识。</w:t>
            </w:r>
          </w:p>
        </w:tc>
        <w:tc>
          <w:tcPr>
            <w:tcW w:w="741" w:type="dxa"/>
            <w:tcMar>
              <w:top w:w="57" w:type="dxa"/>
              <w:left w:w="57" w:type="dxa"/>
              <w:bottom w:w="57" w:type="dxa"/>
              <w:right w:w="57"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487" w:type="dxa"/>
            <w:tcMar>
              <w:top w:w="57" w:type="dxa"/>
              <w:left w:w="57" w:type="dxa"/>
              <w:bottom w:w="57" w:type="dxa"/>
              <w:right w:w="57"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6</w:t>
            </w:r>
          </w:p>
        </w:tc>
        <w:tc>
          <w:tcPr>
            <w:tcW w:w="2975" w:type="dxa"/>
            <w:tcMar>
              <w:top w:w="57" w:type="dxa"/>
              <w:left w:w="57" w:type="dxa"/>
              <w:bottom w:w="57" w:type="dxa"/>
              <w:right w:w="57" w:type="dxa"/>
            </w:tcMar>
            <w:vAlign w:val="center"/>
          </w:tcPr>
          <w:p>
            <w:pPr>
              <w:jc w:val="both"/>
              <w:rPr>
                <w:rFonts w:hint="eastAsia" w:ascii="宋体" w:hAnsi="宋体" w:eastAsia="宋体" w:cs="宋体"/>
                <w:sz w:val="21"/>
                <w:szCs w:val="21"/>
              </w:rPr>
            </w:pPr>
            <w:r>
              <w:rPr>
                <w:rFonts w:hint="eastAsia" w:ascii="宋体" w:hAnsi="宋体" w:eastAsia="宋体" w:cs="宋体"/>
                <w:sz w:val="21"/>
                <w:szCs w:val="21"/>
              </w:rPr>
              <w:t>加油加气作业区内，不得有“明火地点”或“散发火花地点”。</w:t>
            </w:r>
          </w:p>
        </w:tc>
        <w:tc>
          <w:tcPr>
            <w:tcW w:w="2594" w:type="dxa"/>
            <w:tcMar>
              <w:top w:w="57" w:type="dxa"/>
              <w:left w:w="57" w:type="dxa"/>
              <w:bottom w:w="57" w:type="dxa"/>
              <w:right w:w="57" w:type="dxa"/>
            </w:tcMar>
            <w:vAlign w:val="center"/>
          </w:tcPr>
          <w:p>
            <w:pPr>
              <w:jc w:val="both"/>
              <w:rPr>
                <w:rFonts w:hint="eastAsia" w:ascii="宋体" w:hAnsi="宋体" w:eastAsia="宋体" w:cs="宋体"/>
                <w:sz w:val="21"/>
                <w:szCs w:val="21"/>
              </w:rPr>
            </w:pPr>
            <w:r>
              <w:rPr>
                <w:rFonts w:hint="eastAsia" w:ascii="宋体" w:hAnsi="宋体" w:eastAsia="宋体" w:cs="宋体"/>
                <w:sz w:val="21"/>
                <w:szCs w:val="21"/>
              </w:rPr>
              <w:t>《汽车加油加气站设计与施工规范》（GB50156-2012，2014版）第</w:t>
            </w:r>
            <w:r>
              <w:rPr>
                <w:rFonts w:hint="eastAsia" w:ascii="宋体" w:hAnsi="宋体" w:eastAsia="宋体" w:cs="宋体"/>
                <w:sz w:val="21"/>
                <w:szCs w:val="21"/>
                <w:lang w:val="en-US"/>
              </w:rPr>
              <w:t>5</w:t>
            </w:r>
            <w:r>
              <w:rPr>
                <w:rFonts w:hint="eastAsia" w:ascii="宋体" w:hAnsi="宋体" w:eastAsia="宋体" w:cs="宋体"/>
                <w:sz w:val="21"/>
                <w:szCs w:val="21"/>
              </w:rPr>
              <w:t>.0.</w:t>
            </w:r>
            <w:r>
              <w:rPr>
                <w:rFonts w:hint="eastAsia" w:ascii="宋体" w:hAnsi="宋体" w:eastAsia="宋体" w:cs="宋体"/>
                <w:sz w:val="21"/>
                <w:szCs w:val="21"/>
                <w:lang w:val="en-US"/>
              </w:rPr>
              <w:t>5</w:t>
            </w:r>
            <w:r>
              <w:rPr>
                <w:rFonts w:hint="eastAsia" w:ascii="宋体" w:hAnsi="宋体" w:eastAsia="宋体" w:cs="宋体"/>
                <w:sz w:val="21"/>
                <w:szCs w:val="21"/>
              </w:rPr>
              <w:t>条</w:t>
            </w:r>
          </w:p>
        </w:tc>
        <w:tc>
          <w:tcPr>
            <w:tcW w:w="2422" w:type="dxa"/>
            <w:tcMar>
              <w:top w:w="57" w:type="dxa"/>
              <w:left w:w="57" w:type="dxa"/>
              <w:bottom w:w="57" w:type="dxa"/>
              <w:right w:w="57" w:type="dxa"/>
            </w:tcMar>
            <w:vAlign w:val="center"/>
          </w:tcPr>
          <w:p>
            <w:pPr>
              <w:jc w:val="both"/>
              <w:rPr>
                <w:rFonts w:hint="eastAsia" w:ascii="宋体" w:hAnsi="宋体" w:eastAsia="宋体" w:cs="宋体"/>
                <w:sz w:val="21"/>
                <w:szCs w:val="21"/>
              </w:rPr>
            </w:pPr>
            <w:r>
              <w:rPr>
                <w:rFonts w:hint="eastAsia" w:ascii="宋体" w:hAnsi="宋体" w:eastAsia="宋体" w:cs="宋体"/>
                <w:sz w:val="21"/>
                <w:szCs w:val="21"/>
              </w:rPr>
              <w:t>加油作业区内，无“明火地点”或“散发火花地点”。</w:t>
            </w:r>
          </w:p>
        </w:tc>
        <w:tc>
          <w:tcPr>
            <w:tcW w:w="741" w:type="dxa"/>
            <w:tcMar>
              <w:top w:w="57" w:type="dxa"/>
              <w:left w:w="57" w:type="dxa"/>
              <w:bottom w:w="57" w:type="dxa"/>
              <w:right w:w="57"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487" w:type="dxa"/>
            <w:tcMar>
              <w:top w:w="57" w:type="dxa"/>
              <w:left w:w="57" w:type="dxa"/>
              <w:bottom w:w="57" w:type="dxa"/>
              <w:right w:w="57"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7</w:t>
            </w:r>
          </w:p>
        </w:tc>
        <w:tc>
          <w:tcPr>
            <w:tcW w:w="2975" w:type="dxa"/>
            <w:tcMar>
              <w:top w:w="57" w:type="dxa"/>
              <w:left w:w="57" w:type="dxa"/>
              <w:bottom w:w="57" w:type="dxa"/>
              <w:right w:w="57" w:type="dxa"/>
            </w:tcMar>
            <w:vAlign w:val="center"/>
          </w:tcPr>
          <w:p>
            <w:pPr>
              <w:jc w:val="both"/>
              <w:rPr>
                <w:rFonts w:hint="eastAsia" w:ascii="宋体" w:hAnsi="宋体" w:eastAsia="宋体" w:cs="宋体"/>
                <w:sz w:val="21"/>
                <w:szCs w:val="21"/>
              </w:rPr>
            </w:pPr>
            <w:r>
              <w:rPr>
                <w:rFonts w:hint="eastAsia" w:ascii="宋体" w:hAnsi="宋体" w:eastAsia="宋体" w:cs="宋体"/>
                <w:sz w:val="21"/>
                <w:szCs w:val="21"/>
              </w:rPr>
              <w:t>加油的变配电间或室外变压器应布置在爆炸危险区域之外，且与爆炸危险区域边界线的距离不应小于3m。</w:t>
            </w:r>
          </w:p>
        </w:tc>
        <w:tc>
          <w:tcPr>
            <w:tcW w:w="2594" w:type="dxa"/>
            <w:tcMar>
              <w:top w:w="57" w:type="dxa"/>
              <w:left w:w="57" w:type="dxa"/>
              <w:bottom w:w="57" w:type="dxa"/>
              <w:right w:w="57" w:type="dxa"/>
            </w:tcMar>
            <w:vAlign w:val="center"/>
          </w:tcPr>
          <w:p>
            <w:pPr>
              <w:jc w:val="both"/>
              <w:rPr>
                <w:rFonts w:hint="eastAsia" w:ascii="宋体" w:hAnsi="宋体" w:eastAsia="宋体" w:cs="宋体"/>
                <w:sz w:val="21"/>
                <w:szCs w:val="21"/>
              </w:rPr>
            </w:pPr>
            <w:r>
              <w:rPr>
                <w:rFonts w:hint="eastAsia" w:ascii="宋体" w:hAnsi="宋体" w:eastAsia="宋体" w:cs="宋体"/>
                <w:sz w:val="21"/>
                <w:szCs w:val="21"/>
              </w:rPr>
              <w:t>《汽车加油加气站设计与施工规范》（GB50156-2012，2014版）第</w:t>
            </w:r>
            <w:r>
              <w:rPr>
                <w:rFonts w:hint="eastAsia" w:ascii="宋体" w:hAnsi="宋体" w:eastAsia="宋体" w:cs="宋体"/>
                <w:sz w:val="21"/>
                <w:szCs w:val="21"/>
                <w:lang w:val="en-US"/>
              </w:rPr>
              <w:t>5</w:t>
            </w:r>
            <w:r>
              <w:rPr>
                <w:rFonts w:hint="eastAsia" w:ascii="宋体" w:hAnsi="宋体" w:eastAsia="宋体" w:cs="宋体"/>
                <w:sz w:val="21"/>
                <w:szCs w:val="21"/>
              </w:rPr>
              <w:t>.0.</w:t>
            </w:r>
            <w:r>
              <w:rPr>
                <w:rFonts w:hint="eastAsia" w:ascii="宋体" w:hAnsi="宋体" w:eastAsia="宋体" w:cs="宋体"/>
                <w:sz w:val="21"/>
                <w:szCs w:val="21"/>
                <w:lang w:val="en-US"/>
              </w:rPr>
              <w:t>8</w:t>
            </w:r>
            <w:r>
              <w:rPr>
                <w:rFonts w:hint="eastAsia" w:ascii="宋体" w:hAnsi="宋体" w:eastAsia="宋体" w:cs="宋体"/>
                <w:sz w:val="21"/>
                <w:szCs w:val="21"/>
              </w:rPr>
              <w:t>条</w:t>
            </w:r>
          </w:p>
        </w:tc>
        <w:tc>
          <w:tcPr>
            <w:tcW w:w="2422" w:type="dxa"/>
            <w:tcMar>
              <w:top w:w="57" w:type="dxa"/>
              <w:left w:w="57" w:type="dxa"/>
              <w:bottom w:w="57" w:type="dxa"/>
              <w:right w:w="57" w:type="dxa"/>
            </w:tcMar>
            <w:vAlign w:val="center"/>
          </w:tcPr>
          <w:p>
            <w:pPr>
              <w:jc w:val="both"/>
              <w:rPr>
                <w:rFonts w:hint="eastAsia" w:ascii="宋体" w:hAnsi="宋体" w:eastAsia="宋体" w:cs="宋体"/>
                <w:sz w:val="21"/>
                <w:szCs w:val="21"/>
              </w:rPr>
            </w:pPr>
            <w:r>
              <w:rPr>
                <w:rFonts w:hint="eastAsia" w:ascii="宋体" w:hAnsi="宋体" w:eastAsia="宋体" w:cs="宋体"/>
                <w:sz w:val="21"/>
                <w:szCs w:val="21"/>
              </w:rPr>
              <w:t>电房在爆炸危险区域外，无室外变压器。</w:t>
            </w:r>
          </w:p>
        </w:tc>
        <w:tc>
          <w:tcPr>
            <w:tcW w:w="741" w:type="dxa"/>
            <w:tcMar>
              <w:top w:w="57" w:type="dxa"/>
              <w:left w:w="57" w:type="dxa"/>
              <w:bottom w:w="57" w:type="dxa"/>
              <w:right w:w="57"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487" w:type="dxa"/>
            <w:tcMar>
              <w:top w:w="57" w:type="dxa"/>
              <w:left w:w="57" w:type="dxa"/>
              <w:bottom w:w="57" w:type="dxa"/>
              <w:right w:w="57"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8</w:t>
            </w:r>
          </w:p>
        </w:tc>
        <w:tc>
          <w:tcPr>
            <w:tcW w:w="2975" w:type="dxa"/>
            <w:tcMar>
              <w:top w:w="57" w:type="dxa"/>
              <w:left w:w="57" w:type="dxa"/>
              <w:bottom w:w="57" w:type="dxa"/>
              <w:right w:w="57" w:type="dxa"/>
            </w:tcMar>
            <w:vAlign w:val="center"/>
          </w:tcPr>
          <w:p>
            <w:pPr>
              <w:jc w:val="both"/>
              <w:rPr>
                <w:rFonts w:hint="eastAsia" w:ascii="宋体" w:hAnsi="宋体" w:eastAsia="宋体" w:cs="宋体"/>
                <w:sz w:val="21"/>
                <w:szCs w:val="21"/>
                <w:highlight w:val="yellow"/>
              </w:rPr>
            </w:pPr>
            <w:r>
              <w:rPr>
                <w:rFonts w:hint="eastAsia" w:ascii="宋体" w:hAnsi="宋体" w:eastAsia="宋体" w:cs="宋体"/>
                <w:sz w:val="21"/>
                <w:szCs w:val="21"/>
              </w:rPr>
              <w:t>加油的工艺设备与站外建（构）筑物之间，宜设置高度不低于2.2m不燃烧体实体围墙。当加油的工艺设备与站外建（构）筑物之间的距离大于表4.0.4中安全间距的1.5倍，且大于 25m时，可设置非实体围墙。面向车辆入口和出口道路一侧可设非实体围墙或不设围墙。</w:t>
            </w:r>
          </w:p>
        </w:tc>
        <w:tc>
          <w:tcPr>
            <w:tcW w:w="2594" w:type="dxa"/>
            <w:tcMar>
              <w:top w:w="57" w:type="dxa"/>
              <w:left w:w="57" w:type="dxa"/>
              <w:bottom w:w="57" w:type="dxa"/>
              <w:right w:w="57" w:type="dxa"/>
            </w:tcMar>
            <w:vAlign w:val="center"/>
          </w:tcPr>
          <w:p>
            <w:pPr>
              <w:jc w:val="both"/>
              <w:rPr>
                <w:rFonts w:hint="eastAsia" w:ascii="宋体" w:hAnsi="宋体" w:eastAsia="宋体" w:cs="宋体"/>
                <w:sz w:val="21"/>
                <w:szCs w:val="21"/>
              </w:rPr>
            </w:pPr>
            <w:r>
              <w:rPr>
                <w:rFonts w:hint="eastAsia" w:ascii="宋体" w:hAnsi="宋体" w:eastAsia="宋体" w:cs="宋体"/>
                <w:sz w:val="21"/>
                <w:szCs w:val="21"/>
              </w:rPr>
              <w:t>《汽车加油加气站设计与施工规范》（GB50156-2012，2014版）第</w:t>
            </w:r>
            <w:r>
              <w:rPr>
                <w:rFonts w:hint="eastAsia" w:ascii="宋体" w:hAnsi="宋体" w:eastAsia="宋体" w:cs="宋体"/>
                <w:sz w:val="21"/>
                <w:szCs w:val="21"/>
                <w:lang w:val="en-US"/>
              </w:rPr>
              <w:t>5</w:t>
            </w:r>
            <w:r>
              <w:rPr>
                <w:rFonts w:hint="eastAsia" w:ascii="宋体" w:hAnsi="宋体" w:eastAsia="宋体" w:cs="宋体"/>
                <w:sz w:val="21"/>
                <w:szCs w:val="21"/>
              </w:rPr>
              <w:t>.0.</w:t>
            </w:r>
            <w:r>
              <w:rPr>
                <w:rFonts w:hint="eastAsia" w:ascii="宋体" w:hAnsi="宋体" w:eastAsia="宋体" w:cs="宋体"/>
                <w:sz w:val="21"/>
                <w:szCs w:val="21"/>
                <w:lang w:val="en-US"/>
              </w:rPr>
              <w:t>12</w:t>
            </w:r>
            <w:r>
              <w:rPr>
                <w:rFonts w:hint="eastAsia" w:ascii="宋体" w:hAnsi="宋体" w:eastAsia="宋体" w:cs="宋体"/>
                <w:sz w:val="21"/>
                <w:szCs w:val="21"/>
              </w:rPr>
              <w:t>条</w:t>
            </w:r>
          </w:p>
        </w:tc>
        <w:tc>
          <w:tcPr>
            <w:tcW w:w="2422" w:type="dxa"/>
            <w:tcMar>
              <w:top w:w="57" w:type="dxa"/>
              <w:left w:w="57" w:type="dxa"/>
              <w:bottom w:w="57" w:type="dxa"/>
              <w:right w:w="57" w:type="dxa"/>
            </w:tcMar>
            <w:vAlign w:val="center"/>
          </w:tcPr>
          <w:p>
            <w:pPr>
              <w:jc w:val="both"/>
              <w:rPr>
                <w:rFonts w:hint="eastAsia" w:ascii="宋体" w:hAnsi="宋体" w:eastAsia="宋体" w:cs="宋体"/>
                <w:sz w:val="21"/>
                <w:szCs w:val="21"/>
                <w:highlight w:val="yellow"/>
              </w:rPr>
            </w:pPr>
            <w:r>
              <w:rPr>
                <w:rFonts w:hint="eastAsia" w:ascii="宋体" w:hAnsi="宋体" w:eastAsia="宋体" w:cs="宋体"/>
                <w:sz w:val="21"/>
                <w:szCs w:val="21"/>
              </w:rPr>
              <w:t>油站与四周站外建构筑物之间设置了实体围墙。经实际测量，间距大于规范要求，</w:t>
            </w:r>
            <w:r>
              <w:rPr>
                <w:rFonts w:hint="eastAsia" w:ascii="宋体" w:hAnsi="宋体" w:eastAsia="宋体" w:cs="宋体"/>
                <w:sz w:val="21"/>
                <w:szCs w:val="21"/>
                <w:lang w:val="en-US"/>
              </w:rPr>
              <w:t>设置围墙高度2.2m</w:t>
            </w:r>
            <w:r>
              <w:rPr>
                <w:rFonts w:hint="eastAsia" w:ascii="宋体" w:hAnsi="宋体" w:eastAsia="宋体" w:cs="宋体"/>
                <w:sz w:val="21"/>
                <w:szCs w:val="21"/>
              </w:rPr>
              <w:t>。面向进、出口的道路开放。</w:t>
            </w:r>
          </w:p>
        </w:tc>
        <w:tc>
          <w:tcPr>
            <w:tcW w:w="741" w:type="dxa"/>
            <w:tcMar>
              <w:top w:w="57" w:type="dxa"/>
              <w:left w:w="57" w:type="dxa"/>
              <w:bottom w:w="57" w:type="dxa"/>
              <w:right w:w="57"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487" w:type="dxa"/>
            <w:tcMar>
              <w:top w:w="57" w:type="dxa"/>
              <w:left w:w="57" w:type="dxa"/>
              <w:bottom w:w="57" w:type="dxa"/>
              <w:right w:w="57"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9</w:t>
            </w:r>
          </w:p>
        </w:tc>
        <w:tc>
          <w:tcPr>
            <w:tcW w:w="2975" w:type="dxa"/>
            <w:tcMar>
              <w:top w:w="57" w:type="dxa"/>
              <w:left w:w="57" w:type="dxa"/>
              <w:bottom w:w="57" w:type="dxa"/>
              <w:right w:w="57" w:type="dxa"/>
            </w:tcMar>
            <w:vAlign w:val="center"/>
          </w:tcPr>
          <w:p>
            <w:pPr>
              <w:jc w:val="both"/>
              <w:rPr>
                <w:rFonts w:hint="eastAsia" w:ascii="宋体" w:hAnsi="宋体" w:eastAsia="宋体" w:cs="宋体"/>
                <w:sz w:val="21"/>
                <w:szCs w:val="21"/>
              </w:rPr>
            </w:pPr>
            <w:r>
              <w:rPr>
                <w:rFonts w:hint="eastAsia" w:ascii="宋体" w:hAnsi="宋体" w:eastAsia="宋体" w:cs="宋体"/>
                <w:sz w:val="21"/>
                <w:szCs w:val="21"/>
              </w:rPr>
              <w:t>加油站内设施之间的防火距离，不应小于表5.0.13-1的规定。</w:t>
            </w:r>
          </w:p>
        </w:tc>
        <w:tc>
          <w:tcPr>
            <w:tcW w:w="2594" w:type="dxa"/>
            <w:tcMar>
              <w:top w:w="57" w:type="dxa"/>
              <w:left w:w="57" w:type="dxa"/>
              <w:bottom w:w="57" w:type="dxa"/>
              <w:right w:w="57" w:type="dxa"/>
            </w:tcMar>
            <w:vAlign w:val="center"/>
          </w:tcPr>
          <w:p>
            <w:pPr>
              <w:jc w:val="both"/>
              <w:rPr>
                <w:rFonts w:hint="eastAsia" w:ascii="宋体" w:hAnsi="宋体" w:eastAsia="宋体" w:cs="宋体"/>
                <w:sz w:val="21"/>
                <w:szCs w:val="21"/>
              </w:rPr>
            </w:pPr>
            <w:r>
              <w:rPr>
                <w:rFonts w:hint="eastAsia" w:ascii="宋体" w:hAnsi="宋体" w:eastAsia="宋体" w:cs="宋体"/>
                <w:sz w:val="21"/>
                <w:szCs w:val="21"/>
              </w:rPr>
              <w:t>《汽车加油加气站设计与施工规范》（GB50156-2012，2014版）第</w:t>
            </w:r>
            <w:r>
              <w:rPr>
                <w:rFonts w:hint="eastAsia" w:ascii="宋体" w:hAnsi="宋体" w:eastAsia="宋体" w:cs="宋体"/>
                <w:sz w:val="21"/>
                <w:szCs w:val="21"/>
                <w:lang w:val="en-US"/>
              </w:rPr>
              <w:t>5</w:t>
            </w:r>
            <w:r>
              <w:rPr>
                <w:rFonts w:hint="eastAsia" w:ascii="宋体" w:hAnsi="宋体" w:eastAsia="宋体" w:cs="宋体"/>
                <w:sz w:val="21"/>
                <w:szCs w:val="21"/>
              </w:rPr>
              <w:t>.0.</w:t>
            </w:r>
            <w:r>
              <w:rPr>
                <w:rFonts w:hint="eastAsia" w:ascii="宋体" w:hAnsi="宋体" w:eastAsia="宋体" w:cs="宋体"/>
                <w:sz w:val="21"/>
                <w:szCs w:val="21"/>
                <w:lang w:val="en-US"/>
              </w:rPr>
              <w:t>13</w:t>
            </w:r>
            <w:r>
              <w:rPr>
                <w:rFonts w:hint="eastAsia" w:ascii="宋体" w:hAnsi="宋体" w:eastAsia="宋体" w:cs="宋体"/>
                <w:sz w:val="21"/>
                <w:szCs w:val="21"/>
              </w:rPr>
              <w:t>条</w:t>
            </w:r>
          </w:p>
        </w:tc>
        <w:tc>
          <w:tcPr>
            <w:tcW w:w="2422" w:type="dxa"/>
            <w:tcMar>
              <w:top w:w="57" w:type="dxa"/>
              <w:left w:w="57" w:type="dxa"/>
              <w:bottom w:w="57" w:type="dxa"/>
              <w:right w:w="57" w:type="dxa"/>
            </w:tcMar>
            <w:vAlign w:val="center"/>
          </w:tcPr>
          <w:p>
            <w:pPr>
              <w:jc w:val="both"/>
              <w:rPr>
                <w:rFonts w:hint="eastAsia" w:ascii="宋体" w:hAnsi="宋体" w:eastAsia="宋体" w:cs="宋体"/>
                <w:sz w:val="21"/>
                <w:szCs w:val="21"/>
              </w:rPr>
            </w:pPr>
            <w:r>
              <w:rPr>
                <w:rFonts w:hint="eastAsia" w:ascii="宋体" w:hAnsi="宋体" w:eastAsia="宋体" w:cs="宋体"/>
                <w:sz w:val="21"/>
                <w:szCs w:val="21"/>
              </w:rPr>
              <w:t>符合要求，具体情况见表 2</w:t>
            </w:r>
            <w:r>
              <w:rPr>
                <w:rFonts w:hint="eastAsia" w:ascii="宋体" w:hAnsi="宋体" w:eastAsia="宋体" w:cs="宋体"/>
                <w:sz w:val="21"/>
                <w:szCs w:val="21"/>
                <w:lang w:val="en-US"/>
              </w:rPr>
              <w:t>.3</w:t>
            </w:r>
            <w:r>
              <w:rPr>
                <w:rFonts w:hint="eastAsia" w:ascii="宋体" w:hAnsi="宋体" w:eastAsia="宋体" w:cs="宋体"/>
                <w:sz w:val="21"/>
                <w:szCs w:val="21"/>
              </w:rPr>
              <w:t>-</w:t>
            </w:r>
            <w:r>
              <w:rPr>
                <w:rFonts w:hint="eastAsia" w:ascii="宋体" w:hAnsi="宋体" w:eastAsia="宋体" w:cs="宋体"/>
                <w:sz w:val="21"/>
                <w:szCs w:val="21"/>
                <w:lang w:val="en-US"/>
              </w:rPr>
              <w:t>1</w:t>
            </w:r>
            <w:r>
              <w:rPr>
                <w:rFonts w:hint="eastAsia" w:ascii="宋体" w:hAnsi="宋体" w:eastAsia="宋体" w:cs="宋体"/>
                <w:sz w:val="21"/>
                <w:szCs w:val="21"/>
              </w:rPr>
              <w:t>。</w:t>
            </w:r>
          </w:p>
        </w:tc>
        <w:tc>
          <w:tcPr>
            <w:tcW w:w="741" w:type="dxa"/>
            <w:tcMar>
              <w:top w:w="57" w:type="dxa"/>
              <w:left w:w="57" w:type="dxa"/>
              <w:bottom w:w="57" w:type="dxa"/>
              <w:right w:w="57"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487" w:type="dxa"/>
            <w:tcMar>
              <w:top w:w="57" w:type="dxa"/>
              <w:left w:w="57" w:type="dxa"/>
              <w:bottom w:w="57" w:type="dxa"/>
              <w:right w:w="57" w:type="dxa"/>
            </w:tcMar>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lang w:val="en-US"/>
              </w:rPr>
              <w:t>10</w:t>
            </w:r>
          </w:p>
        </w:tc>
        <w:tc>
          <w:tcPr>
            <w:tcW w:w="2975" w:type="dxa"/>
            <w:tcMar>
              <w:top w:w="57" w:type="dxa"/>
              <w:left w:w="57" w:type="dxa"/>
              <w:bottom w:w="57" w:type="dxa"/>
              <w:right w:w="57" w:type="dxa"/>
            </w:tcMar>
            <w:vAlign w:val="center"/>
          </w:tcPr>
          <w:p>
            <w:pPr>
              <w:jc w:val="both"/>
              <w:rPr>
                <w:rFonts w:hint="eastAsia" w:ascii="宋体" w:hAnsi="宋体" w:eastAsia="宋体" w:cs="宋体"/>
                <w:sz w:val="21"/>
                <w:szCs w:val="21"/>
              </w:rPr>
            </w:pPr>
            <w:r>
              <w:rPr>
                <w:rFonts w:hint="eastAsia" w:ascii="宋体" w:hAnsi="宋体" w:eastAsia="宋体" w:cs="宋体"/>
                <w:sz w:val="21"/>
                <w:szCs w:val="21"/>
                <w:lang w:val="en-US"/>
              </w:rPr>
              <w:t>油罐设在非车行道下面时，罐顶的覆土厚度不应小于0.5m；设在车行道下面时，罐顶低于混凝土地面不宜小于0.9m。钢制油罐的周围应回填中性沙或细土，其厚度不应小于0.3m；外层为玻璃纤维增强塑料材料的油罐，其回填料应符合产品说明书的要求。</w:t>
            </w:r>
          </w:p>
        </w:tc>
        <w:tc>
          <w:tcPr>
            <w:tcW w:w="2594" w:type="dxa"/>
            <w:tcMar>
              <w:top w:w="57" w:type="dxa"/>
              <w:left w:w="57" w:type="dxa"/>
              <w:bottom w:w="57" w:type="dxa"/>
              <w:right w:w="57" w:type="dxa"/>
            </w:tcMar>
            <w:vAlign w:val="center"/>
          </w:tcPr>
          <w:p>
            <w:pPr>
              <w:jc w:val="both"/>
              <w:rPr>
                <w:rFonts w:hint="eastAsia" w:ascii="宋体" w:hAnsi="宋体" w:eastAsia="宋体" w:cs="宋体"/>
                <w:sz w:val="21"/>
                <w:szCs w:val="21"/>
                <w:lang w:val="en-US"/>
              </w:rPr>
            </w:pPr>
            <w:r>
              <w:rPr>
                <w:rFonts w:hint="eastAsia" w:ascii="宋体" w:hAnsi="宋体" w:eastAsia="宋体" w:cs="宋体"/>
                <w:sz w:val="21"/>
                <w:szCs w:val="21"/>
              </w:rPr>
              <w:t>《汽车加油加气站设计与施工规范》（GB50156-2012，2014版）第</w:t>
            </w:r>
            <w:r>
              <w:rPr>
                <w:rFonts w:hint="eastAsia" w:ascii="宋体" w:hAnsi="宋体" w:eastAsia="宋体" w:cs="宋体"/>
                <w:sz w:val="21"/>
                <w:szCs w:val="21"/>
                <w:lang w:val="en-US"/>
              </w:rPr>
              <w:t>6</w:t>
            </w:r>
            <w:r>
              <w:rPr>
                <w:rFonts w:hint="eastAsia" w:ascii="宋体" w:hAnsi="宋体" w:eastAsia="宋体" w:cs="宋体"/>
                <w:sz w:val="21"/>
                <w:szCs w:val="21"/>
              </w:rPr>
              <w:t>.</w:t>
            </w:r>
            <w:r>
              <w:rPr>
                <w:rFonts w:hint="eastAsia" w:ascii="宋体" w:hAnsi="宋体" w:eastAsia="宋体" w:cs="宋体"/>
                <w:sz w:val="21"/>
                <w:szCs w:val="21"/>
                <w:lang w:val="en-US"/>
              </w:rPr>
              <w:t>1</w:t>
            </w:r>
            <w:r>
              <w:rPr>
                <w:rFonts w:hint="eastAsia" w:ascii="宋体" w:hAnsi="宋体" w:eastAsia="宋体" w:cs="宋体"/>
                <w:sz w:val="21"/>
                <w:szCs w:val="21"/>
              </w:rPr>
              <w:t>.</w:t>
            </w:r>
            <w:r>
              <w:rPr>
                <w:rFonts w:hint="eastAsia" w:ascii="宋体" w:hAnsi="宋体" w:eastAsia="宋体" w:cs="宋体"/>
                <w:sz w:val="21"/>
                <w:szCs w:val="21"/>
                <w:lang w:val="en-US"/>
              </w:rPr>
              <w:t>10</w:t>
            </w:r>
            <w:r>
              <w:rPr>
                <w:rFonts w:hint="eastAsia" w:ascii="宋体" w:hAnsi="宋体" w:eastAsia="宋体" w:cs="宋体"/>
                <w:sz w:val="21"/>
                <w:szCs w:val="21"/>
              </w:rPr>
              <w:t>条</w:t>
            </w:r>
          </w:p>
        </w:tc>
        <w:tc>
          <w:tcPr>
            <w:tcW w:w="2422" w:type="dxa"/>
            <w:tcMar>
              <w:top w:w="57" w:type="dxa"/>
              <w:left w:w="57" w:type="dxa"/>
              <w:bottom w:w="57" w:type="dxa"/>
              <w:right w:w="57" w:type="dxa"/>
            </w:tcMar>
            <w:vAlign w:val="center"/>
          </w:tcPr>
          <w:p>
            <w:pPr>
              <w:jc w:val="both"/>
              <w:rPr>
                <w:rFonts w:hint="eastAsia" w:ascii="宋体" w:hAnsi="宋体" w:eastAsia="宋体" w:cs="宋体"/>
                <w:sz w:val="21"/>
                <w:szCs w:val="21"/>
                <w:lang w:eastAsia="zh-CN"/>
              </w:rPr>
            </w:pPr>
            <w:r>
              <w:rPr>
                <w:rFonts w:hint="eastAsia" w:ascii="宋体" w:hAnsi="宋体" w:eastAsia="宋体" w:cs="宋体"/>
                <w:sz w:val="21"/>
                <w:szCs w:val="21"/>
                <w:lang w:val="en-US"/>
              </w:rPr>
              <w:t>油罐设在非车行道下面，罐顶的覆土厚度</w:t>
            </w:r>
            <w:r>
              <w:rPr>
                <w:rFonts w:hint="eastAsia" w:ascii="宋体" w:hAnsi="宋体" w:eastAsia="宋体" w:cs="宋体"/>
                <w:sz w:val="21"/>
                <w:szCs w:val="21"/>
                <w:lang w:val="en-US" w:eastAsia="zh-CN"/>
              </w:rPr>
              <w:t>大</w:t>
            </w:r>
            <w:r>
              <w:rPr>
                <w:rFonts w:hint="eastAsia" w:ascii="宋体" w:hAnsi="宋体" w:eastAsia="宋体" w:cs="宋体"/>
                <w:sz w:val="21"/>
                <w:szCs w:val="21"/>
                <w:lang w:val="en-US"/>
              </w:rPr>
              <w:t>于0.5m。钢制油罐的周围回填中性沙或细土，其厚度</w:t>
            </w:r>
            <w:r>
              <w:rPr>
                <w:rFonts w:hint="eastAsia" w:ascii="宋体" w:hAnsi="宋体" w:eastAsia="宋体" w:cs="宋体"/>
                <w:sz w:val="21"/>
                <w:szCs w:val="21"/>
                <w:lang w:val="en-US" w:eastAsia="zh-CN"/>
              </w:rPr>
              <w:t>不小</w:t>
            </w:r>
            <w:r>
              <w:rPr>
                <w:rFonts w:hint="eastAsia" w:ascii="宋体" w:hAnsi="宋体" w:eastAsia="宋体" w:cs="宋体"/>
                <w:sz w:val="21"/>
                <w:szCs w:val="21"/>
                <w:lang w:val="en-US"/>
              </w:rPr>
              <w:t>于0.3m</w:t>
            </w:r>
            <w:r>
              <w:rPr>
                <w:rFonts w:hint="eastAsia" w:ascii="宋体" w:hAnsi="宋体" w:eastAsia="宋体" w:cs="宋体"/>
                <w:sz w:val="21"/>
                <w:szCs w:val="21"/>
                <w:lang w:val="en-US" w:eastAsia="zh-CN"/>
              </w:rPr>
              <w:t>。</w:t>
            </w:r>
          </w:p>
        </w:tc>
        <w:tc>
          <w:tcPr>
            <w:tcW w:w="741" w:type="dxa"/>
            <w:tcMar>
              <w:top w:w="57" w:type="dxa"/>
              <w:left w:w="57" w:type="dxa"/>
              <w:bottom w:w="57" w:type="dxa"/>
              <w:right w:w="57"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符合要求</w:t>
            </w:r>
          </w:p>
        </w:tc>
      </w:tr>
    </w:tbl>
    <w:p>
      <w:pPr>
        <w:pStyle w:val="6"/>
        <w:pageBreakBefore w:val="0"/>
        <w:widowControl w:val="0"/>
        <w:kinsoku/>
        <w:wordWrap/>
        <w:overflowPunct/>
        <w:topLinePunct w:val="0"/>
        <w:autoSpaceDE w:val="0"/>
        <w:autoSpaceDN w:val="0"/>
        <w:bidi w:val="0"/>
        <w:spacing w:line="560" w:lineRule="exact"/>
        <w:ind w:firstLine="584" w:firstLineChars="200"/>
        <w:jc w:val="both"/>
        <w:textAlignment w:val="auto"/>
        <w:rPr>
          <w:rFonts w:hint="eastAsia" w:ascii="宋体" w:hAnsi="宋体" w:eastAsia="宋体" w:cs="宋体"/>
          <w:spacing w:val="6"/>
        </w:rPr>
      </w:pPr>
      <w:r>
        <w:rPr>
          <w:rFonts w:hint="eastAsia" w:ascii="宋体" w:hAnsi="宋体" w:eastAsia="宋体" w:cs="宋体"/>
          <w:spacing w:val="6"/>
        </w:rPr>
        <w:t>根据本表分析可知，该加油站改建后的平面布置符合《汽车加油加气站设计与施工规范》GB50156-2012（2014年版）第5章的相关要求。</w:t>
      </w:r>
    </w:p>
    <w:p>
      <w:pPr>
        <w:pageBreakBefore w:val="0"/>
        <w:widowControl w:val="0"/>
        <w:kinsoku/>
        <w:wordWrap/>
        <w:overflowPunct/>
        <w:topLinePunct w:val="0"/>
        <w:autoSpaceDE w:val="0"/>
        <w:autoSpaceDN w:val="0"/>
        <w:bidi w:val="0"/>
        <w:spacing w:before="240" w:beforeLines="100" w:after="240" w:afterLines="100" w:line="560" w:lineRule="exact"/>
        <w:jc w:val="center"/>
        <w:textAlignment w:val="auto"/>
        <w:outlineLvl w:val="1"/>
        <w:rPr>
          <w:rFonts w:hint="eastAsia" w:ascii="宋体" w:hAnsi="宋体" w:eastAsia="宋体" w:cs="宋体"/>
          <w:b/>
          <w:spacing w:val="6"/>
          <w:sz w:val="32"/>
          <w:szCs w:val="32"/>
        </w:rPr>
      </w:pPr>
      <w:bookmarkStart w:id="818" w:name="_Toc14204"/>
      <w:bookmarkStart w:id="819" w:name="_Toc27446"/>
      <w:bookmarkStart w:id="820" w:name="_Toc529176541"/>
      <w:bookmarkStart w:id="821" w:name="_Toc9041"/>
      <w:bookmarkStart w:id="822" w:name="_Toc16687_WPSOffice_Level2"/>
      <w:bookmarkStart w:id="823" w:name="_Toc7009_WPSOffice_Level2"/>
      <w:bookmarkStart w:id="824" w:name="_Toc29094_WPSOffice_Level2"/>
      <w:r>
        <w:rPr>
          <w:rFonts w:hint="eastAsia" w:ascii="宋体" w:hAnsi="宋体" w:eastAsia="宋体" w:cs="宋体"/>
          <w:b/>
          <w:spacing w:val="6"/>
          <w:sz w:val="32"/>
          <w:szCs w:val="32"/>
        </w:rPr>
        <w:t>4.3</w:t>
      </w:r>
      <w:r>
        <w:rPr>
          <w:rFonts w:hint="eastAsia" w:ascii="宋体" w:hAnsi="宋体" w:eastAsia="宋体" w:cs="宋体"/>
          <w:b/>
          <w:spacing w:val="6"/>
          <w:sz w:val="32"/>
          <w:szCs w:val="32"/>
          <w:lang w:val="en-US"/>
        </w:rPr>
        <w:t xml:space="preserve"> </w:t>
      </w:r>
      <w:r>
        <w:rPr>
          <w:rFonts w:hint="eastAsia" w:ascii="宋体" w:hAnsi="宋体" w:eastAsia="宋体" w:cs="宋体"/>
          <w:b/>
          <w:spacing w:val="6"/>
          <w:sz w:val="32"/>
          <w:szCs w:val="32"/>
        </w:rPr>
        <w:t>主要设备、设施评价</w:t>
      </w:r>
      <w:bookmarkEnd w:id="818"/>
      <w:bookmarkEnd w:id="819"/>
      <w:bookmarkEnd w:id="820"/>
      <w:bookmarkEnd w:id="821"/>
      <w:bookmarkEnd w:id="822"/>
      <w:bookmarkEnd w:id="823"/>
      <w:bookmarkEnd w:id="824"/>
    </w:p>
    <w:p>
      <w:pPr>
        <w:pStyle w:val="4"/>
        <w:pageBreakBefore w:val="0"/>
        <w:widowControl w:val="0"/>
        <w:kinsoku/>
        <w:wordWrap/>
        <w:overflowPunct/>
        <w:topLinePunct w:val="0"/>
        <w:autoSpaceDE w:val="0"/>
        <w:autoSpaceDN w:val="0"/>
        <w:bidi w:val="0"/>
        <w:spacing w:before="240" w:beforeLines="100" w:after="240" w:afterLines="100" w:line="560" w:lineRule="exact"/>
        <w:textAlignment w:val="auto"/>
        <w:rPr>
          <w:rFonts w:hint="eastAsia" w:ascii="宋体" w:hAnsi="宋体" w:eastAsia="宋体" w:cs="宋体"/>
          <w:sz w:val="28"/>
          <w:szCs w:val="28"/>
          <w:lang w:val="en-US"/>
        </w:rPr>
      </w:pPr>
      <w:bookmarkStart w:id="825" w:name="_Toc13712_WPSOffice_Level3"/>
      <w:bookmarkStart w:id="826" w:name="_Toc1396_WPSOffice_Level3"/>
      <w:r>
        <w:rPr>
          <w:rFonts w:hint="eastAsia" w:ascii="宋体" w:hAnsi="宋体" w:eastAsia="宋体" w:cs="宋体"/>
          <w:sz w:val="28"/>
          <w:szCs w:val="28"/>
        </w:rPr>
        <w:t>4.3.1</w:t>
      </w:r>
      <w:r>
        <w:rPr>
          <w:rFonts w:hint="eastAsia" w:ascii="宋体" w:hAnsi="宋体" w:eastAsia="宋体" w:cs="宋体"/>
          <w:sz w:val="28"/>
          <w:szCs w:val="28"/>
          <w:lang w:val="en-US"/>
        </w:rPr>
        <w:t xml:space="preserve"> </w:t>
      </w:r>
      <w:bookmarkEnd w:id="825"/>
      <w:r>
        <w:rPr>
          <w:rFonts w:hint="eastAsia" w:ascii="宋体" w:hAnsi="宋体" w:eastAsia="宋体" w:cs="宋体"/>
          <w:sz w:val="28"/>
          <w:szCs w:val="28"/>
          <w:lang w:val="en-US"/>
        </w:rPr>
        <w:t>油罐、工艺管道、防渗设施、防雷防静电设施安全验收检查</w:t>
      </w:r>
      <w:bookmarkEnd w:id="826"/>
    </w:p>
    <w:p>
      <w:pPr>
        <w:pStyle w:val="6"/>
        <w:keepNext w:val="0"/>
        <w:keepLines w:val="0"/>
        <w:pageBreakBefore w:val="0"/>
        <w:widowControl w:val="0"/>
        <w:kinsoku/>
        <w:wordWrap/>
        <w:overflowPunct/>
        <w:topLinePunct w:val="0"/>
        <w:autoSpaceDE w:val="0"/>
        <w:autoSpaceDN w:val="0"/>
        <w:bidi w:val="0"/>
        <w:spacing w:line="560" w:lineRule="exact"/>
        <w:ind w:right="-165" w:rightChars="-75" w:firstLine="560" w:firstLineChars="200"/>
        <w:textAlignment w:val="auto"/>
        <w:rPr>
          <w:rFonts w:hint="eastAsia" w:ascii="宋体" w:hAnsi="宋体" w:eastAsia="宋体" w:cs="宋体"/>
        </w:rPr>
      </w:pPr>
      <w:bookmarkStart w:id="827" w:name="_Toc13835_WPSOffice_Level3"/>
      <w:r>
        <w:rPr>
          <w:rFonts w:hint="eastAsia" w:ascii="宋体" w:hAnsi="宋体" w:eastAsia="宋体" w:cs="宋体"/>
          <w:lang w:eastAsia="zh-CN"/>
        </w:rPr>
        <w:t>横坑加油站</w:t>
      </w:r>
      <w:r>
        <w:rPr>
          <w:rFonts w:hint="eastAsia" w:ascii="宋体" w:hAnsi="宋体" w:eastAsia="宋体" w:cs="宋体"/>
        </w:rPr>
        <w:t>改造工程内容主要如下：</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工艺部分改造：</w:t>
      </w:r>
    </w:p>
    <w:p>
      <w:pPr>
        <w:pStyle w:val="48"/>
        <w:keepNext w:val="0"/>
        <w:keepLines w:val="0"/>
        <w:pageBreakBefore w:val="0"/>
        <w:widowControl w:val="0"/>
        <w:numPr>
          <w:ilvl w:val="0"/>
          <w:numId w:val="0"/>
        </w:numPr>
        <w:kinsoku/>
        <w:wordWrap/>
        <w:overflowPunct/>
        <w:topLinePunct w:val="0"/>
        <w:autoSpaceDE w:val="0"/>
        <w:autoSpaceDN w:val="0"/>
        <w:bidi w:val="0"/>
        <w:adjustRightInd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1</w:t>
      </w:r>
      <w:r>
        <w:rPr>
          <w:rFonts w:hint="eastAsia" w:ascii="宋体" w:hAnsi="宋体" w:eastAsia="宋体" w:cs="宋体"/>
          <w:sz w:val="28"/>
          <w:szCs w:val="28"/>
          <w:lang w:eastAsia="zh-CN"/>
        </w:rPr>
        <w:t>）</w:t>
      </w:r>
      <w:r>
        <w:rPr>
          <w:rFonts w:hint="eastAsia" w:ascii="宋体" w:hAnsi="宋体" w:eastAsia="宋体" w:cs="宋体"/>
          <w:sz w:val="28"/>
          <w:szCs w:val="28"/>
        </w:rPr>
        <w:t>本次改造</w:t>
      </w:r>
      <w:r>
        <w:rPr>
          <w:rFonts w:hint="eastAsia" w:ascii="宋体" w:hAnsi="宋体" w:eastAsia="宋体" w:cs="宋体"/>
          <w:sz w:val="28"/>
          <w:szCs w:val="28"/>
          <w:lang w:eastAsia="zh-CN"/>
        </w:rPr>
        <w:t>在</w:t>
      </w:r>
      <w:r>
        <w:rPr>
          <w:rFonts w:hint="eastAsia" w:ascii="宋体" w:hAnsi="宋体" w:eastAsia="宋体" w:cs="宋体"/>
          <w:sz w:val="28"/>
          <w:szCs w:val="28"/>
        </w:rPr>
        <w:t>原址油罐区</w:t>
      </w:r>
      <w:r>
        <w:rPr>
          <w:rFonts w:hint="eastAsia" w:ascii="宋体" w:hAnsi="宋体" w:eastAsia="宋体" w:cs="宋体"/>
          <w:sz w:val="28"/>
          <w:szCs w:val="28"/>
          <w:lang w:eastAsia="zh-CN"/>
        </w:rPr>
        <w:t>将</w:t>
      </w:r>
      <w:r>
        <w:rPr>
          <w:rFonts w:hint="eastAsia" w:ascii="宋体" w:hAnsi="宋体" w:eastAsia="宋体" w:cs="宋体"/>
          <w:sz w:val="28"/>
          <w:szCs w:val="28"/>
        </w:rPr>
        <w:t>4个埋地油罐更换为4个新的SF双层埋地储罐。改造后为1个50m³SF双层埋地柴油罐、1个15m³SF双层埋地汽油罐、1个30m³SF双层埋地汽油罐、1个50m³SF双层埋地汽油罐，油罐总容积120m³（柴油罐容积折半计入总容积），加油站设计级别为二级</w:t>
      </w:r>
      <w:r>
        <w:rPr>
          <w:rFonts w:hint="eastAsia" w:ascii="宋体" w:hAnsi="宋体" w:eastAsia="宋体" w:cs="宋体"/>
          <w:sz w:val="28"/>
          <w:szCs w:val="28"/>
          <w:lang w:eastAsia="zh-CN"/>
        </w:rPr>
        <w:t>，保持不变</w:t>
      </w:r>
      <w:r>
        <w:rPr>
          <w:rFonts w:hint="eastAsia" w:ascii="宋体" w:hAnsi="宋体" w:eastAsia="宋体" w:cs="宋体"/>
          <w:sz w:val="28"/>
          <w:szCs w:val="28"/>
        </w:rPr>
        <w:t>。</w:t>
      </w:r>
    </w:p>
    <w:p>
      <w:pPr>
        <w:pStyle w:val="48"/>
        <w:keepNext w:val="0"/>
        <w:keepLines w:val="0"/>
        <w:pageBreakBefore w:val="0"/>
        <w:widowControl w:val="0"/>
        <w:numPr>
          <w:ilvl w:val="0"/>
          <w:numId w:val="0"/>
        </w:numPr>
        <w:kinsoku/>
        <w:wordWrap/>
        <w:overflowPunct/>
        <w:topLinePunct w:val="0"/>
        <w:autoSpaceDE w:val="0"/>
        <w:autoSpaceDN w:val="0"/>
        <w:bidi w:val="0"/>
        <w:adjustRightInd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2</w:t>
      </w:r>
      <w:r>
        <w:rPr>
          <w:rFonts w:hint="eastAsia" w:ascii="宋体" w:hAnsi="宋体" w:eastAsia="宋体" w:cs="宋体"/>
          <w:sz w:val="28"/>
          <w:szCs w:val="28"/>
          <w:lang w:eastAsia="zh-CN"/>
        </w:rPr>
        <w:t>）</w:t>
      </w:r>
      <w:r>
        <w:rPr>
          <w:rFonts w:hint="eastAsia" w:ascii="宋体" w:hAnsi="宋体" w:eastAsia="宋体" w:cs="宋体"/>
          <w:sz w:val="28"/>
          <w:szCs w:val="28"/>
        </w:rPr>
        <w:t>保留原有8台8枪加油机。</w:t>
      </w:r>
    </w:p>
    <w:p>
      <w:pPr>
        <w:pStyle w:val="48"/>
        <w:keepNext w:val="0"/>
        <w:keepLines w:val="0"/>
        <w:pageBreakBefore w:val="0"/>
        <w:widowControl w:val="0"/>
        <w:kinsoku/>
        <w:wordWrap/>
        <w:overflowPunct/>
        <w:topLinePunct w:val="0"/>
        <w:autoSpaceDE w:val="0"/>
        <w:autoSpaceDN w:val="0"/>
        <w:bidi w:val="0"/>
        <w:adjustRightInd w:val="0"/>
        <w:spacing w:line="560" w:lineRule="exact"/>
        <w:ind w:firstLineChars="200"/>
        <w:textAlignment w:val="auto"/>
        <w:rPr>
          <w:rFonts w:hint="eastAsia" w:ascii="宋体" w:hAnsi="宋体" w:eastAsia="宋体" w:cs="宋体"/>
          <w:sz w:val="28"/>
          <w:szCs w:val="28"/>
        </w:rPr>
      </w:pPr>
      <w:r>
        <w:rPr>
          <w:rFonts w:hint="eastAsia" w:ascii="宋体" w:hAnsi="宋体" w:eastAsia="宋体" w:cs="宋体"/>
          <w:sz w:val="28"/>
          <w:szCs w:val="28"/>
        </w:rPr>
        <w:t>（3）更换加油设备（潜油泵、液位器、渗漏在线监测仪、油气回收在线检测仪）及工艺管道（出油管、卸油管、通气管、加油及卸油油气回收管）。</w:t>
      </w:r>
    </w:p>
    <w:p>
      <w:pPr>
        <w:pStyle w:val="48"/>
        <w:keepNext w:val="0"/>
        <w:keepLines w:val="0"/>
        <w:pageBreakBefore w:val="0"/>
        <w:widowControl w:val="0"/>
        <w:kinsoku/>
        <w:wordWrap/>
        <w:overflowPunct/>
        <w:topLinePunct w:val="0"/>
        <w:autoSpaceDE w:val="0"/>
        <w:autoSpaceDN w:val="0"/>
        <w:bidi w:val="0"/>
        <w:adjustRightInd w:val="0"/>
        <w:spacing w:line="560" w:lineRule="exact"/>
        <w:ind w:firstLineChars="200"/>
        <w:textAlignment w:val="auto"/>
        <w:rPr>
          <w:rFonts w:hint="eastAsia" w:ascii="宋体" w:hAnsi="宋体" w:eastAsia="宋体" w:cs="宋体"/>
          <w:sz w:val="28"/>
          <w:szCs w:val="28"/>
        </w:rPr>
      </w:pPr>
      <w:r>
        <w:rPr>
          <w:rFonts w:hint="eastAsia" w:ascii="宋体" w:hAnsi="宋体" w:eastAsia="宋体" w:cs="宋体"/>
          <w:sz w:val="28"/>
          <w:szCs w:val="28"/>
        </w:rPr>
        <w:t>（4）更换设备控制与动力电缆。</w:t>
      </w:r>
    </w:p>
    <w:p>
      <w:pPr>
        <w:pStyle w:val="48"/>
        <w:keepNext w:val="0"/>
        <w:keepLines w:val="0"/>
        <w:pageBreakBefore w:val="0"/>
        <w:widowControl w:val="0"/>
        <w:kinsoku/>
        <w:wordWrap/>
        <w:overflowPunct/>
        <w:topLinePunct w:val="0"/>
        <w:autoSpaceDE w:val="0"/>
        <w:autoSpaceDN w:val="0"/>
        <w:bidi w:val="0"/>
        <w:adjustRightInd w:val="0"/>
        <w:spacing w:line="560" w:lineRule="exact"/>
        <w:ind w:firstLineChars="200"/>
        <w:textAlignment w:val="auto"/>
        <w:rPr>
          <w:rFonts w:hint="eastAsia" w:ascii="宋体" w:hAnsi="宋体" w:eastAsia="宋体" w:cs="宋体"/>
          <w:sz w:val="28"/>
          <w:szCs w:val="28"/>
        </w:rPr>
      </w:pPr>
      <w:r>
        <w:rPr>
          <w:rFonts w:hint="eastAsia" w:ascii="宋体" w:hAnsi="宋体" w:eastAsia="宋体" w:cs="宋体"/>
          <w:sz w:val="28"/>
          <w:szCs w:val="28"/>
        </w:rPr>
        <w:t>（5）安装应急照明、实时监控系统。</w:t>
      </w:r>
    </w:p>
    <w:p>
      <w:pPr>
        <w:pStyle w:val="48"/>
        <w:keepNext w:val="0"/>
        <w:keepLines w:val="0"/>
        <w:pageBreakBefore w:val="0"/>
        <w:widowControl w:val="0"/>
        <w:kinsoku/>
        <w:wordWrap/>
        <w:overflowPunct/>
        <w:topLinePunct w:val="0"/>
        <w:autoSpaceDE w:val="0"/>
        <w:autoSpaceDN w:val="0"/>
        <w:bidi w:val="0"/>
        <w:adjustRightInd w:val="0"/>
        <w:spacing w:line="560" w:lineRule="exact"/>
        <w:ind w:firstLineChars="200"/>
        <w:textAlignment w:val="auto"/>
        <w:rPr>
          <w:rFonts w:hint="eastAsia" w:ascii="宋体" w:hAnsi="宋体" w:eastAsia="宋体" w:cs="宋体"/>
          <w:sz w:val="28"/>
          <w:szCs w:val="28"/>
        </w:rPr>
      </w:pPr>
      <w:r>
        <w:rPr>
          <w:rFonts w:hint="eastAsia" w:ascii="宋体" w:hAnsi="宋体" w:eastAsia="宋体" w:cs="宋体"/>
          <w:sz w:val="28"/>
          <w:szCs w:val="28"/>
        </w:rPr>
        <w:t>（6）安装双层油罐和加油双层管道渗漏在线监测系统。</w:t>
      </w:r>
    </w:p>
    <w:p>
      <w:pPr>
        <w:pStyle w:val="48"/>
        <w:keepNext w:val="0"/>
        <w:keepLines w:val="0"/>
        <w:pageBreakBefore w:val="0"/>
        <w:widowControl w:val="0"/>
        <w:kinsoku/>
        <w:wordWrap/>
        <w:overflowPunct/>
        <w:topLinePunct w:val="0"/>
        <w:autoSpaceDE w:val="0"/>
        <w:autoSpaceDN w:val="0"/>
        <w:bidi w:val="0"/>
        <w:adjustRightInd w:val="0"/>
        <w:spacing w:line="560" w:lineRule="exact"/>
        <w:ind w:firstLineChars="200"/>
        <w:textAlignment w:val="auto"/>
        <w:rPr>
          <w:rFonts w:hint="eastAsia" w:ascii="宋体" w:hAnsi="宋体" w:eastAsia="宋体" w:cs="宋体"/>
          <w:sz w:val="28"/>
          <w:szCs w:val="28"/>
        </w:rPr>
      </w:pPr>
      <w:r>
        <w:rPr>
          <w:rFonts w:hint="eastAsia" w:ascii="宋体" w:hAnsi="宋体" w:eastAsia="宋体" w:cs="宋体"/>
          <w:sz w:val="28"/>
          <w:szCs w:val="28"/>
        </w:rPr>
        <w:t>土建部分改造：</w:t>
      </w:r>
    </w:p>
    <w:p>
      <w:pPr>
        <w:pStyle w:val="48"/>
        <w:keepNext w:val="0"/>
        <w:keepLines w:val="0"/>
        <w:pageBreakBefore w:val="0"/>
        <w:widowControl w:val="0"/>
        <w:numPr>
          <w:ilvl w:val="0"/>
          <w:numId w:val="2"/>
        </w:numPr>
        <w:kinsoku/>
        <w:wordWrap/>
        <w:overflowPunct/>
        <w:topLinePunct w:val="0"/>
        <w:autoSpaceDE w:val="0"/>
        <w:autoSpaceDN w:val="0"/>
        <w:bidi w:val="0"/>
        <w:adjustRightInd w:val="0"/>
        <w:spacing w:line="560" w:lineRule="exact"/>
        <w:ind w:firstLineChars="200"/>
        <w:textAlignment w:val="auto"/>
        <w:rPr>
          <w:rFonts w:hint="eastAsia" w:ascii="宋体" w:hAnsi="宋体" w:eastAsia="宋体" w:cs="宋体"/>
          <w:sz w:val="28"/>
          <w:szCs w:val="28"/>
        </w:rPr>
      </w:pPr>
      <w:r>
        <w:rPr>
          <w:rFonts w:hint="eastAsia" w:ascii="宋体" w:hAnsi="宋体" w:eastAsia="宋体" w:cs="宋体"/>
          <w:sz w:val="28"/>
          <w:szCs w:val="28"/>
        </w:rPr>
        <w:t>站区混凝土路面部分新建。</w:t>
      </w:r>
    </w:p>
    <w:p>
      <w:pPr>
        <w:pStyle w:val="48"/>
        <w:keepNext w:val="0"/>
        <w:keepLines w:val="0"/>
        <w:pageBreakBefore w:val="0"/>
        <w:widowControl w:val="0"/>
        <w:numPr>
          <w:ilvl w:val="0"/>
          <w:numId w:val="2"/>
        </w:numPr>
        <w:kinsoku/>
        <w:wordWrap/>
        <w:overflowPunct/>
        <w:topLinePunct w:val="0"/>
        <w:autoSpaceDE w:val="0"/>
        <w:autoSpaceDN w:val="0"/>
        <w:bidi w:val="0"/>
        <w:adjustRightInd w:val="0"/>
        <w:spacing w:line="560" w:lineRule="exact"/>
        <w:ind w:firstLineChars="200"/>
        <w:textAlignment w:val="auto"/>
        <w:rPr>
          <w:rFonts w:hint="eastAsia" w:ascii="宋体" w:hAnsi="宋体" w:eastAsia="宋体" w:cs="宋体"/>
          <w:sz w:val="28"/>
          <w:szCs w:val="28"/>
        </w:rPr>
      </w:pPr>
      <w:r>
        <w:rPr>
          <w:rFonts w:hint="eastAsia" w:ascii="宋体" w:hAnsi="宋体" w:eastAsia="宋体" w:cs="宋体"/>
          <w:sz w:val="28"/>
          <w:szCs w:val="28"/>
        </w:rPr>
        <w:t>密闭卸油口、2m³消防沙池、消防器材间、计量工具间等站内配套构筑物的恢复重建。</w:t>
      </w:r>
    </w:p>
    <w:p>
      <w:pPr>
        <w:pStyle w:val="48"/>
        <w:keepNext w:val="0"/>
        <w:keepLines w:val="0"/>
        <w:pageBreakBefore w:val="0"/>
        <w:widowControl w:val="0"/>
        <w:numPr>
          <w:ilvl w:val="0"/>
          <w:numId w:val="2"/>
        </w:numPr>
        <w:kinsoku/>
        <w:wordWrap/>
        <w:overflowPunct/>
        <w:topLinePunct w:val="0"/>
        <w:autoSpaceDE w:val="0"/>
        <w:autoSpaceDN w:val="0"/>
        <w:bidi w:val="0"/>
        <w:adjustRightInd w:val="0"/>
        <w:spacing w:line="560" w:lineRule="exact"/>
        <w:ind w:firstLineChars="200"/>
        <w:textAlignment w:val="auto"/>
        <w:rPr>
          <w:rFonts w:hint="eastAsia" w:ascii="宋体" w:hAnsi="宋体" w:eastAsia="宋体" w:cs="宋体"/>
          <w:sz w:val="28"/>
          <w:szCs w:val="28"/>
        </w:rPr>
      </w:pPr>
      <w:r>
        <w:rPr>
          <w:rFonts w:hint="eastAsia" w:ascii="宋体" w:hAnsi="宋体" w:eastAsia="宋体" w:cs="宋体"/>
          <w:sz w:val="28"/>
          <w:szCs w:val="28"/>
        </w:rPr>
        <w:t>站区油罐、加油设备、接地报警仪的防雷防静电恢复重建。</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横坑加油站其他建构筑物保持不变</w:t>
      </w:r>
    </w:p>
    <w:p>
      <w:pPr>
        <w:pStyle w:val="6"/>
        <w:pageBreakBefore w:val="0"/>
        <w:widowControl w:val="0"/>
        <w:kinsoku/>
        <w:wordWrap/>
        <w:overflowPunct/>
        <w:topLinePunct w:val="0"/>
        <w:autoSpaceDE w:val="0"/>
        <w:autoSpaceDN w:val="0"/>
        <w:bidi w:val="0"/>
        <w:spacing w:line="560" w:lineRule="exact"/>
        <w:ind w:right="-165" w:rightChars="-75" w:firstLine="532" w:firstLineChars="200"/>
        <w:textAlignment w:val="auto"/>
        <w:rPr>
          <w:rFonts w:hint="eastAsia" w:ascii="宋体" w:hAnsi="宋体" w:eastAsia="宋体" w:cs="宋体"/>
          <w:spacing w:val="-7"/>
        </w:rPr>
      </w:pPr>
      <w:r>
        <w:rPr>
          <w:rFonts w:hint="eastAsia" w:ascii="宋体" w:hAnsi="宋体" w:eastAsia="宋体" w:cs="宋体"/>
          <w:spacing w:val="-7"/>
        </w:rPr>
        <w:t>根据改造工程情况，评价组根据《</w:t>
      </w:r>
      <w:r>
        <w:rPr>
          <w:rFonts w:hint="eastAsia" w:ascii="宋体" w:hAnsi="宋体" w:eastAsia="宋体" w:cs="宋体"/>
          <w:shd w:val="clear" w:color="auto" w:fill="FFFFFF"/>
        </w:rPr>
        <w:t>汽车加油加气站设计与施工规范</w:t>
      </w:r>
      <w:r>
        <w:rPr>
          <w:rFonts w:hint="eastAsia" w:ascii="宋体" w:hAnsi="宋体" w:eastAsia="宋体" w:cs="宋体"/>
          <w:spacing w:val="-7"/>
        </w:rPr>
        <w:t>》</w:t>
      </w:r>
      <w:r>
        <w:rPr>
          <w:rFonts w:hint="eastAsia" w:ascii="宋体" w:hAnsi="宋体" w:eastAsia="宋体" w:cs="宋体"/>
          <w:shd w:val="clear" w:color="auto" w:fill="FFFFFF"/>
        </w:rPr>
        <w:t>（</w:t>
      </w:r>
      <w:r>
        <w:rPr>
          <w:rStyle w:val="18"/>
          <w:rFonts w:hint="eastAsia" w:ascii="宋体" w:hAnsi="宋体" w:eastAsia="宋体" w:cs="宋体"/>
          <w:b w:val="0"/>
          <w:shd w:val="clear" w:color="auto" w:fill="FFFFFF"/>
        </w:rPr>
        <w:t>GB 50156-2012，</w:t>
      </w:r>
      <w:r>
        <w:rPr>
          <w:rFonts w:hint="eastAsia" w:ascii="宋体" w:hAnsi="宋体" w:eastAsia="宋体" w:cs="宋体"/>
          <w:shd w:val="clear" w:color="auto" w:fill="FFFFFF"/>
        </w:rPr>
        <w:t>2014年版）</w:t>
      </w:r>
      <w:r>
        <w:rPr>
          <w:rFonts w:hint="eastAsia" w:ascii="宋体" w:hAnsi="宋体" w:eastAsia="宋体" w:cs="宋体"/>
          <w:spacing w:val="-7"/>
        </w:rPr>
        <w:t>相关要求及设计、施工情况和现场检查情况，结合相关资料编制安全验收检查表，具体如下：</w:t>
      </w:r>
    </w:p>
    <w:p>
      <w:pPr>
        <w:pStyle w:val="6"/>
        <w:pageBreakBefore w:val="0"/>
        <w:widowControl w:val="0"/>
        <w:kinsoku/>
        <w:wordWrap/>
        <w:overflowPunct/>
        <w:topLinePunct w:val="0"/>
        <w:autoSpaceDE w:val="0"/>
        <w:autoSpaceDN w:val="0"/>
        <w:bidi w:val="0"/>
        <w:spacing w:line="560" w:lineRule="exact"/>
        <w:jc w:val="center"/>
        <w:textAlignment w:val="auto"/>
        <w:rPr>
          <w:rFonts w:hint="eastAsia" w:ascii="宋体" w:hAnsi="宋体" w:eastAsia="宋体" w:cs="宋体"/>
          <w:spacing w:val="-7"/>
          <w:sz w:val="28"/>
          <w:szCs w:val="28"/>
        </w:rPr>
      </w:pPr>
      <w:bookmarkStart w:id="828" w:name="_Toc19252_WPSOffice_Level3"/>
      <w:r>
        <w:rPr>
          <w:rFonts w:hint="eastAsia" w:ascii="宋体" w:hAnsi="宋体" w:eastAsia="宋体" w:cs="宋体"/>
          <w:sz w:val="28"/>
          <w:szCs w:val="28"/>
        </w:rPr>
        <w:t>附表</w:t>
      </w:r>
      <w:r>
        <w:rPr>
          <w:rFonts w:hint="eastAsia" w:ascii="宋体" w:hAnsi="宋体" w:eastAsia="宋体" w:cs="宋体"/>
          <w:sz w:val="28"/>
          <w:szCs w:val="28"/>
          <w:lang w:val="en-US"/>
        </w:rPr>
        <w:t xml:space="preserve">4.3-1 </w:t>
      </w:r>
      <w:r>
        <w:rPr>
          <w:rFonts w:hint="eastAsia" w:ascii="宋体" w:hAnsi="宋体" w:eastAsia="宋体" w:cs="宋体"/>
          <w:sz w:val="28"/>
          <w:szCs w:val="28"/>
        </w:rPr>
        <w:t>加油站改建项目安全验收检查表</w:t>
      </w:r>
      <w:bookmarkEnd w:id="828"/>
    </w:p>
    <w:tbl>
      <w:tblPr>
        <w:tblStyle w:val="21"/>
        <w:tblW w:w="912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79"/>
        <w:gridCol w:w="3160"/>
        <w:gridCol w:w="1104"/>
        <w:gridCol w:w="1380"/>
        <w:gridCol w:w="1812"/>
        <w:gridCol w:w="10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67" w:hRule="atLeast"/>
          <w:tblHeader/>
          <w:jc w:val="center"/>
        </w:trPr>
        <w:tc>
          <w:tcPr>
            <w:tcW w:w="579" w:type="dxa"/>
            <w:vAlign w:val="center"/>
          </w:tcPr>
          <w:p>
            <w:pPr>
              <w:jc w:val="center"/>
              <w:rPr>
                <w:rFonts w:hint="eastAsia" w:ascii="宋体" w:hAnsi="宋体" w:eastAsia="宋体" w:cs="宋体"/>
                <w:b/>
                <w:bCs/>
                <w:sz w:val="21"/>
                <w:szCs w:val="21"/>
              </w:rPr>
            </w:pPr>
            <w:r>
              <w:rPr>
                <w:rFonts w:hint="eastAsia" w:ascii="宋体" w:hAnsi="宋体" w:eastAsia="宋体" w:cs="宋体"/>
                <w:b/>
                <w:bCs/>
                <w:sz w:val="21"/>
                <w:szCs w:val="21"/>
              </w:rPr>
              <w:t>序号</w:t>
            </w:r>
          </w:p>
        </w:tc>
        <w:tc>
          <w:tcPr>
            <w:tcW w:w="3160" w:type="dxa"/>
            <w:tcBorders>
              <w:right w:val="single" w:color="000000" w:sz="6" w:space="0"/>
            </w:tcBorders>
            <w:vAlign w:val="center"/>
          </w:tcPr>
          <w:p>
            <w:pPr>
              <w:jc w:val="center"/>
              <w:rPr>
                <w:rFonts w:hint="eastAsia" w:ascii="宋体" w:hAnsi="宋体" w:eastAsia="宋体" w:cs="宋体"/>
                <w:b/>
                <w:bCs/>
                <w:sz w:val="21"/>
                <w:szCs w:val="21"/>
              </w:rPr>
            </w:pPr>
            <w:r>
              <w:rPr>
                <w:rFonts w:hint="eastAsia" w:ascii="宋体" w:hAnsi="宋体" w:eastAsia="宋体" w:cs="宋体"/>
                <w:b/>
                <w:bCs/>
                <w:sz w:val="21"/>
                <w:szCs w:val="21"/>
              </w:rPr>
              <w:t>规范要求</w:t>
            </w:r>
          </w:p>
        </w:tc>
        <w:tc>
          <w:tcPr>
            <w:tcW w:w="1104" w:type="dxa"/>
            <w:tcBorders>
              <w:left w:val="single" w:color="000000" w:sz="6" w:space="0"/>
            </w:tcBorders>
            <w:vAlign w:val="center"/>
          </w:tcPr>
          <w:p>
            <w:pPr>
              <w:jc w:val="center"/>
              <w:rPr>
                <w:rFonts w:hint="eastAsia" w:ascii="宋体" w:hAnsi="宋体" w:eastAsia="宋体" w:cs="宋体"/>
                <w:b/>
                <w:bCs/>
                <w:sz w:val="21"/>
                <w:szCs w:val="21"/>
              </w:rPr>
            </w:pPr>
            <w:r>
              <w:rPr>
                <w:rFonts w:hint="eastAsia" w:ascii="宋体" w:hAnsi="宋体" w:eastAsia="宋体" w:cs="宋体"/>
                <w:b/>
                <w:bCs/>
                <w:sz w:val="21"/>
                <w:szCs w:val="21"/>
              </w:rPr>
              <w:t>设计情况</w:t>
            </w:r>
          </w:p>
        </w:tc>
        <w:tc>
          <w:tcPr>
            <w:tcW w:w="1380" w:type="dxa"/>
            <w:tcBorders>
              <w:left w:val="single" w:color="000000" w:sz="6" w:space="0"/>
            </w:tcBorders>
            <w:vAlign w:val="center"/>
          </w:tcPr>
          <w:p>
            <w:pPr>
              <w:jc w:val="center"/>
              <w:rPr>
                <w:rFonts w:hint="eastAsia" w:ascii="宋体" w:hAnsi="宋体" w:eastAsia="宋体" w:cs="宋体"/>
                <w:b/>
                <w:bCs/>
                <w:sz w:val="21"/>
                <w:szCs w:val="21"/>
              </w:rPr>
            </w:pPr>
            <w:r>
              <w:rPr>
                <w:rFonts w:hint="eastAsia" w:ascii="宋体" w:hAnsi="宋体" w:eastAsia="宋体" w:cs="宋体"/>
                <w:b/>
                <w:bCs/>
                <w:sz w:val="21"/>
                <w:szCs w:val="21"/>
              </w:rPr>
              <w:t>施工情况</w:t>
            </w:r>
          </w:p>
        </w:tc>
        <w:tc>
          <w:tcPr>
            <w:tcW w:w="1812" w:type="dxa"/>
            <w:tcBorders>
              <w:left w:val="single" w:color="000000" w:sz="6" w:space="0"/>
            </w:tcBorders>
            <w:vAlign w:val="center"/>
          </w:tcPr>
          <w:p>
            <w:pPr>
              <w:jc w:val="center"/>
              <w:rPr>
                <w:rFonts w:hint="eastAsia" w:ascii="宋体" w:hAnsi="宋体" w:eastAsia="宋体" w:cs="宋体"/>
                <w:b/>
                <w:bCs/>
                <w:sz w:val="21"/>
                <w:szCs w:val="21"/>
              </w:rPr>
            </w:pPr>
            <w:r>
              <w:rPr>
                <w:rFonts w:hint="eastAsia" w:ascii="宋体" w:hAnsi="宋体" w:eastAsia="宋体" w:cs="宋体"/>
                <w:b/>
                <w:bCs/>
                <w:sz w:val="21"/>
                <w:szCs w:val="21"/>
              </w:rPr>
              <w:t>检查情况</w:t>
            </w:r>
          </w:p>
        </w:tc>
        <w:tc>
          <w:tcPr>
            <w:tcW w:w="1092" w:type="dxa"/>
            <w:vAlign w:val="center"/>
          </w:tcPr>
          <w:p>
            <w:pPr>
              <w:jc w:val="center"/>
              <w:rPr>
                <w:rFonts w:hint="eastAsia" w:ascii="宋体" w:hAnsi="宋体" w:eastAsia="宋体" w:cs="宋体"/>
                <w:sz w:val="21"/>
                <w:szCs w:val="21"/>
              </w:rPr>
            </w:pPr>
            <w:r>
              <w:rPr>
                <w:rFonts w:hint="eastAsia" w:ascii="宋体" w:hAnsi="宋体" w:eastAsia="宋体" w:cs="宋体"/>
                <w:b/>
                <w:bCs/>
                <w:sz w:val="21"/>
                <w:szCs w:val="21"/>
              </w:rPr>
              <w:t>结论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jc w:val="center"/>
        </w:trPr>
        <w:tc>
          <w:tcPr>
            <w:tcW w:w="9127" w:type="dxa"/>
            <w:gridSpan w:val="6"/>
            <w:vAlign w:val="center"/>
          </w:tcPr>
          <w:p>
            <w:pPr>
              <w:jc w:val="center"/>
              <w:rPr>
                <w:rFonts w:hint="eastAsia" w:ascii="宋体" w:hAnsi="宋体" w:eastAsia="宋体" w:cs="宋体"/>
                <w:sz w:val="21"/>
                <w:szCs w:val="21"/>
              </w:rPr>
            </w:pPr>
            <w:r>
              <w:rPr>
                <w:rFonts w:hint="eastAsia" w:ascii="宋体" w:hAnsi="宋体" w:eastAsia="宋体" w:cs="宋体"/>
                <w:b/>
                <w:bCs/>
                <w:sz w:val="21"/>
                <w:szCs w:val="21"/>
              </w:rPr>
              <w:t>一</w:t>
            </w:r>
            <w:r>
              <w:rPr>
                <w:rFonts w:hint="eastAsia" w:ascii="宋体" w:hAnsi="宋体" w:eastAsia="宋体" w:cs="宋体"/>
                <w:b/>
                <w:bCs/>
                <w:sz w:val="21"/>
                <w:szCs w:val="21"/>
                <w:lang w:val="en-US" w:eastAsia="zh-CN"/>
              </w:rPr>
              <w:t>、</w:t>
            </w:r>
            <w:r>
              <w:rPr>
                <w:rFonts w:hint="eastAsia" w:ascii="宋体" w:hAnsi="宋体" w:eastAsia="宋体" w:cs="宋体"/>
                <w:b/>
                <w:bCs/>
                <w:sz w:val="21"/>
                <w:szCs w:val="21"/>
              </w:rPr>
              <w:t>油罐检查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8" w:hRule="atLeast"/>
          <w:jc w:val="center"/>
        </w:trPr>
        <w:tc>
          <w:tcPr>
            <w:tcW w:w="579"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3160" w:type="dxa"/>
            <w:tcBorders>
              <w:right w:val="single" w:color="000000" w:sz="6" w:space="0"/>
            </w:tcBorders>
            <w:vAlign w:val="center"/>
          </w:tcPr>
          <w:p>
            <w:pPr>
              <w:rPr>
                <w:rFonts w:hint="eastAsia" w:ascii="宋体" w:hAnsi="宋体" w:eastAsia="宋体" w:cs="宋体"/>
                <w:sz w:val="21"/>
                <w:szCs w:val="21"/>
              </w:rPr>
            </w:pPr>
            <w:r>
              <w:rPr>
                <w:rStyle w:val="18"/>
                <w:rFonts w:hint="eastAsia" w:ascii="宋体" w:hAnsi="宋体" w:eastAsia="宋体" w:cs="宋体"/>
                <w:b w:val="0"/>
                <w:sz w:val="21"/>
                <w:szCs w:val="21"/>
                <w:shd w:val="clear" w:color="auto" w:fill="FFFFFF"/>
              </w:rPr>
              <w:t>6．1．1 除橇装式加油装置所配置的防火防爆油罐外，加油站的汽油罐和柴油罐应埋地设置，严禁设在室内或地下室内。</w:t>
            </w:r>
          </w:p>
        </w:tc>
        <w:tc>
          <w:tcPr>
            <w:tcW w:w="1104"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设计为埋地储罐。</w:t>
            </w:r>
          </w:p>
        </w:tc>
        <w:tc>
          <w:tcPr>
            <w:tcW w:w="1380"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设置埋地罐区基础及预埋件，油罐安装完后回填土方和河沙；做好隐蔽工程验收。</w:t>
            </w:r>
          </w:p>
        </w:tc>
        <w:tc>
          <w:tcPr>
            <w:tcW w:w="1812"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汽油罐、柴油罐均在室外埋地设置，检查时已经回填完毕，为埋地油罐。</w:t>
            </w:r>
          </w:p>
        </w:tc>
        <w:tc>
          <w:tcPr>
            <w:tcW w:w="1092"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8" w:hRule="atLeast"/>
          <w:jc w:val="center"/>
        </w:trPr>
        <w:tc>
          <w:tcPr>
            <w:tcW w:w="579" w:type="dxa"/>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lang w:val="en-US"/>
              </w:rPr>
              <w:t>2</w:t>
            </w:r>
          </w:p>
        </w:tc>
        <w:tc>
          <w:tcPr>
            <w:tcW w:w="3160" w:type="dxa"/>
            <w:tcBorders>
              <w:right w:val="single" w:color="000000" w:sz="6" w:space="0"/>
            </w:tcBorders>
            <w:vAlign w:val="center"/>
          </w:tcPr>
          <w:p>
            <w:pPr>
              <w:rPr>
                <w:rStyle w:val="18"/>
                <w:rFonts w:hint="eastAsia" w:ascii="宋体" w:hAnsi="宋体" w:eastAsia="宋体" w:cs="宋体"/>
                <w:b w:val="0"/>
                <w:sz w:val="21"/>
                <w:szCs w:val="21"/>
                <w:u w:val="single"/>
                <w:shd w:val="clear" w:color="auto" w:fill="FFFFFF"/>
              </w:rPr>
            </w:pPr>
            <w:r>
              <w:rPr>
                <w:rFonts w:hint="eastAsia" w:ascii="宋体" w:hAnsi="宋体" w:eastAsia="宋体" w:cs="宋体"/>
                <w:sz w:val="21"/>
                <w:szCs w:val="21"/>
                <w:shd w:val="clear" w:color="auto" w:fill="FFFFFF"/>
              </w:rPr>
              <w:t>6．1．2 汽车加油站的储油罐，应采用卧式油罐。</w:t>
            </w:r>
          </w:p>
        </w:tc>
        <w:tc>
          <w:tcPr>
            <w:tcW w:w="1104"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设计为卧式储罐。</w:t>
            </w:r>
          </w:p>
        </w:tc>
        <w:tc>
          <w:tcPr>
            <w:tcW w:w="1380" w:type="dxa"/>
            <w:tcBorders>
              <w:left w:val="single" w:color="000000" w:sz="6" w:space="0"/>
            </w:tcBorders>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rPr>
              <w:t>安装油罐为卧式</w:t>
            </w:r>
            <w:r>
              <w:rPr>
                <w:rFonts w:hint="eastAsia" w:ascii="宋体" w:hAnsi="宋体" w:eastAsia="宋体" w:cs="宋体"/>
                <w:sz w:val="21"/>
                <w:szCs w:val="21"/>
                <w:lang w:val="en-US"/>
              </w:rPr>
              <w:t>SF双层油罐。</w:t>
            </w:r>
          </w:p>
        </w:tc>
        <w:tc>
          <w:tcPr>
            <w:tcW w:w="1812" w:type="dxa"/>
            <w:tcBorders>
              <w:left w:val="single" w:color="000000" w:sz="6" w:space="0"/>
            </w:tcBorders>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rPr>
              <w:t>根据提供的油罐产品合格证及相关资料，均为卧式油罐</w:t>
            </w:r>
            <w:r>
              <w:rPr>
                <w:rFonts w:hint="eastAsia" w:ascii="宋体" w:hAnsi="宋体" w:eastAsia="宋体" w:cs="宋体"/>
                <w:sz w:val="21"/>
                <w:szCs w:val="21"/>
                <w:lang w:eastAsia="zh-CN"/>
              </w:rPr>
              <w:t>。</w:t>
            </w:r>
          </w:p>
        </w:tc>
        <w:tc>
          <w:tcPr>
            <w:tcW w:w="1092"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98" w:hRule="atLeast"/>
          <w:jc w:val="center"/>
        </w:trPr>
        <w:tc>
          <w:tcPr>
            <w:tcW w:w="579" w:type="dxa"/>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lang w:val="en-US"/>
              </w:rPr>
              <w:t>3</w:t>
            </w:r>
          </w:p>
        </w:tc>
        <w:tc>
          <w:tcPr>
            <w:tcW w:w="3160" w:type="dxa"/>
            <w:tcBorders>
              <w:right w:val="single" w:color="000000" w:sz="6" w:space="0"/>
            </w:tcBorders>
            <w:vAlign w:val="center"/>
          </w:tcPr>
          <w:p>
            <w:pPr>
              <w:rPr>
                <w:rFonts w:hint="eastAsia" w:ascii="宋体" w:hAnsi="宋体" w:eastAsia="宋体" w:cs="宋体"/>
                <w:sz w:val="21"/>
                <w:szCs w:val="21"/>
                <w:shd w:val="clear" w:color="auto" w:fill="FFFFFF"/>
              </w:rPr>
            </w:pPr>
            <w:r>
              <w:rPr>
                <w:rFonts w:hint="eastAsia" w:ascii="宋体" w:hAnsi="宋体" w:eastAsia="宋体" w:cs="宋体"/>
                <w:sz w:val="21"/>
                <w:szCs w:val="21"/>
                <w:shd w:val="clear" w:color="auto" w:fill="FFFFFF"/>
              </w:rPr>
              <w:t>6．1．3 埋地油罐需要采用双层油罐时，可采用双层钢制油罐、双层玻璃纤维增强塑料油罐、内钢外玻璃纤维增强塑料双层油罐。既有加油站的埋地单层钢制油罐改造为双层油罐时，可采用玻璃纤维增强塑料等满足强度和防渗要求的材料进行衬里改造。</w:t>
            </w:r>
          </w:p>
        </w:tc>
        <w:tc>
          <w:tcPr>
            <w:tcW w:w="1104" w:type="dxa"/>
            <w:tcBorders>
              <w:left w:val="single" w:color="000000" w:sz="6" w:space="0"/>
            </w:tcBorders>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rPr>
              <w:t>设计为</w:t>
            </w:r>
            <w:r>
              <w:rPr>
                <w:rFonts w:hint="eastAsia" w:ascii="宋体" w:hAnsi="宋体" w:eastAsia="宋体" w:cs="宋体"/>
                <w:sz w:val="21"/>
                <w:szCs w:val="21"/>
                <w:lang w:val="en-US"/>
              </w:rPr>
              <w:t>SF双层罐，即</w:t>
            </w:r>
            <w:r>
              <w:rPr>
                <w:rFonts w:hint="eastAsia" w:ascii="宋体" w:hAnsi="宋体" w:eastAsia="宋体" w:cs="宋体"/>
                <w:sz w:val="21"/>
                <w:szCs w:val="21"/>
                <w:shd w:val="clear" w:color="auto" w:fill="FFFFFF"/>
              </w:rPr>
              <w:t>内钢外玻璃纤维增强塑料双层油罐。</w:t>
            </w:r>
          </w:p>
        </w:tc>
        <w:tc>
          <w:tcPr>
            <w:tcW w:w="1380"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根据工程竣工验收报告的工程验收结论，施工安装油罐为</w:t>
            </w:r>
            <w:r>
              <w:rPr>
                <w:rFonts w:hint="eastAsia" w:ascii="宋体" w:hAnsi="宋体" w:eastAsia="宋体" w:cs="宋体"/>
                <w:sz w:val="21"/>
                <w:szCs w:val="21"/>
                <w:lang w:val="en-US"/>
              </w:rPr>
              <w:t>SF双层罐。</w:t>
            </w:r>
          </w:p>
        </w:tc>
        <w:tc>
          <w:tcPr>
            <w:tcW w:w="1812"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根据提供的油罐产品合格证及相关资料，均为</w:t>
            </w:r>
            <w:r>
              <w:rPr>
                <w:rFonts w:hint="eastAsia" w:ascii="宋体" w:hAnsi="宋体" w:eastAsia="宋体" w:cs="宋体"/>
                <w:sz w:val="21"/>
                <w:szCs w:val="21"/>
                <w:lang w:val="en-US"/>
              </w:rPr>
              <w:t>SF</w:t>
            </w:r>
            <w:r>
              <w:rPr>
                <w:rFonts w:hint="eastAsia" w:ascii="宋体" w:hAnsi="宋体" w:eastAsia="宋体" w:cs="宋体"/>
                <w:sz w:val="21"/>
                <w:szCs w:val="21"/>
              </w:rPr>
              <w:t>双层油罐。</w:t>
            </w:r>
          </w:p>
        </w:tc>
        <w:tc>
          <w:tcPr>
            <w:tcW w:w="1092"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98" w:hRule="atLeast"/>
          <w:jc w:val="center"/>
        </w:trPr>
        <w:tc>
          <w:tcPr>
            <w:tcW w:w="579" w:type="dxa"/>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lang w:val="en-US"/>
              </w:rPr>
              <w:t>4</w:t>
            </w:r>
          </w:p>
        </w:tc>
        <w:tc>
          <w:tcPr>
            <w:tcW w:w="3160" w:type="dxa"/>
            <w:tcBorders>
              <w:right w:val="single" w:color="000000" w:sz="6" w:space="0"/>
            </w:tcBorders>
            <w:vAlign w:val="center"/>
          </w:tcPr>
          <w:p>
            <w:pPr>
              <w:rPr>
                <w:rFonts w:hint="eastAsia" w:ascii="宋体" w:hAnsi="宋体" w:eastAsia="宋体" w:cs="宋体"/>
                <w:sz w:val="21"/>
                <w:szCs w:val="21"/>
                <w:shd w:val="clear" w:color="auto" w:fill="FFFFFF"/>
              </w:rPr>
            </w:pPr>
            <w:r>
              <w:rPr>
                <w:rFonts w:hint="eastAsia" w:ascii="宋体" w:hAnsi="宋体" w:eastAsia="宋体" w:cs="宋体"/>
                <w:sz w:val="21"/>
                <w:szCs w:val="21"/>
                <w:shd w:val="clear" w:color="auto" w:fill="FFFFFF"/>
              </w:rPr>
              <w:t>6．1．4 单层钢制油罐、双层钢制油罐和内钢外玻璃纤维增强塑料双层油罐的内层罐的罐体结构设计，可按现行行业标准《钢制常压储罐 第一部分：储存对水有污染的易燃和不易燃液体的埋地卧式圆筒形单层和双层储罐》AQ 3020的有关规定执行，并应符合下列规定：</w:t>
            </w:r>
          </w:p>
          <w:p>
            <w:pPr>
              <w:ind w:firstLine="420" w:firstLineChars="200"/>
              <w:rPr>
                <w:rFonts w:hint="eastAsia" w:ascii="宋体" w:hAnsi="宋体" w:eastAsia="宋体" w:cs="宋体"/>
                <w:sz w:val="21"/>
                <w:szCs w:val="21"/>
                <w:shd w:val="clear" w:color="auto" w:fill="FFFFFF"/>
                <w:lang w:val="en-US"/>
              </w:rPr>
            </w:pPr>
            <w:r>
              <w:rPr>
                <w:rFonts w:hint="eastAsia" w:ascii="宋体" w:hAnsi="宋体" w:eastAsia="宋体" w:cs="宋体"/>
                <w:sz w:val="21"/>
                <w:szCs w:val="21"/>
                <w:shd w:val="clear" w:color="auto" w:fill="FFFFFF"/>
              </w:rPr>
              <w:t>1 钢制油罐的罐体和封头所用钢板的公称厚度规定：双层油罐内层为钢罐，直径</w:t>
            </w:r>
            <w:r>
              <w:rPr>
                <w:rFonts w:hint="eastAsia" w:ascii="宋体" w:hAnsi="宋体" w:eastAsia="宋体" w:cs="宋体"/>
                <w:sz w:val="21"/>
                <w:szCs w:val="21"/>
                <w:shd w:val="clear" w:color="auto" w:fill="FFFFFF"/>
                <w:lang w:val="en-US"/>
              </w:rPr>
              <w:t>2501-3000mm的罐体厚度不小于6mm；封头厚度不小于7mm。</w:t>
            </w:r>
          </w:p>
          <w:p>
            <w:pPr>
              <w:ind w:firstLine="420" w:firstLineChars="200"/>
              <w:rPr>
                <w:rFonts w:hint="eastAsia" w:ascii="宋体" w:hAnsi="宋体" w:eastAsia="宋体" w:cs="宋体"/>
                <w:sz w:val="21"/>
                <w:szCs w:val="21"/>
                <w:shd w:val="clear" w:color="auto" w:fill="FFFFFF"/>
              </w:rPr>
            </w:pPr>
            <w:r>
              <w:rPr>
                <w:rFonts w:hint="eastAsia" w:ascii="宋体" w:hAnsi="宋体" w:eastAsia="宋体" w:cs="宋体"/>
                <w:sz w:val="21"/>
                <w:szCs w:val="21"/>
                <w:shd w:val="clear" w:color="auto" w:fill="FFFFFF"/>
              </w:rPr>
              <w:t>2 钢制油罐的设计内压不应低于0．08MPa。</w:t>
            </w:r>
          </w:p>
        </w:tc>
        <w:tc>
          <w:tcPr>
            <w:tcW w:w="1104"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设计要求按照规范要求选型油罐。</w:t>
            </w:r>
          </w:p>
        </w:tc>
        <w:tc>
          <w:tcPr>
            <w:tcW w:w="1380" w:type="dxa"/>
            <w:tcBorders>
              <w:left w:val="single" w:color="000000" w:sz="6" w:space="0"/>
            </w:tcBorders>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rPr>
              <w:t>根据选型油罐：</w:t>
            </w:r>
            <w:r>
              <w:rPr>
                <w:rFonts w:hint="eastAsia" w:ascii="宋体" w:hAnsi="宋体" w:eastAsia="宋体" w:cs="宋体"/>
                <w:sz w:val="21"/>
                <w:szCs w:val="21"/>
                <w:lang w:val="en-US"/>
              </w:rPr>
              <w:t>SF双层罐；内层为钢罐；具体资料见产品合格证及相关资料。</w:t>
            </w:r>
          </w:p>
        </w:tc>
        <w:tc>
          <w:tcPr>
            <w:tcW w:w="1812" w:type="dxa"/>
            <w:tcBorders>
              <w:left w:val="single" w:color="000000" w:sz="6" w:space="0"/>
            </w:tcBorders>
            <w:vAlign w:val="center"/>
          </w:tcPr>
          <w:p>
            <w:pPr>
              <w:jc w:val="both"/>
              <w:rPr>
                <w:rFonts w:hint="eastAsia" w:ascii="宋体" w:hAnsi="宋体" w:eastAsia="宋体" w:cs="宋体"/>
                <w:sz w:val="21"/>
                <w:szCs w:val="21"/>
                <w:lang w:val="en-US"/>
              </w:rPr>
            </w:pPr>
            <w:r>
              <w:rPr>
                <w:rFonts w:hint="eastAsia" w:ascii="宋体" w:hAnsi="宋体" w:eastAsia="宋体" w:cs="宋体"/>
                <w:sz w:val="21"/>
                <w:szCs w:val="21"/>
              </w:rPr>
              <w:t>油罐产品具有合格证及相关资料</w:t>
            </w:r>
          </w:p>
        </w:tc>
        <w:tc>
          <w:tcPr>
            <w:tcW w:w="1092"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8" w:hRule="atLeast"/>
          <w:jc w:val="center"/>
        </w:trPr>
        <w:tc>
          <w:tcPr>
            <w:tcW w:w="579" w:type="dxa"/>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lang w:val="en-US"/>
              </w:rPr>
              <w:t>5</w:t>
            </w:r>
          </w:p>
        </w:tc>
        <w:tc>
          <w:tcPr>
            <w:tcW w:w="3160" w:type="dxa"/>
            <w:tcBorders>
              <w:right w:val="single" w:color="000000" w:sz="6" w:space="0"/>
            </w:tcBorders>
            <w:vAlign w:val="center"/>
          </w:tcPr>
          <w:p>
            <w:pPr>
              <w:rPr>
                <w:rStyle w:val="18"/>
                <w:rFonts w:hint="eastAsia" w:ascii="宋体" w:hAnsi="宋体" w:eastAsia="宋体" w:cs="宋体"/>
                <w:b w:val="0"/>
                <w:sz w:val="21"/>
                <w:szCs w:val="21"/>
                <w:u w:val="single"/>
                <w:shd w:val="clear" w:color="auto" w:fill="FFFFFF"/>
              </w:rPr>
            </w:pPr>
            <w:r>
              <w:rPr>
                <w:rFonts w:hint="eastAsia" w:ascii="宋体" w:hAnsi="宋体" w:eastAsia="宋体" w:cs="宋体"/>
                <w:sz w:val="21"/>
                <w:szCs w:val="21"/>
                <w:shd w:val="clear" w:color="auto" w:fill="FFFFFF"/>
              </w:rPr>
              <w:t>6．1．7 双层油罐内壁与外壁之间应有满足渗漏检测要求的贯通间隙。</w:t>
            </w:r>
          </w:p>
        </w:tc>
        <w:tc>
          <w:tcPr>
            <w:tcW w:w="1104"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设计要求按照规范要求选型油罐。</w:t>
            </w:r>
          </w:p>
        </w:tc>
        <w:tc>
          <w:tcPr>
            <w:tcW w:w="1380"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根据选型油罐：</w:t>
            </w:r>
            <w:r>
              <w:rPr>
                <w:rFonts w:hint="eastAsia" w:ascii="宋体" w:hAnsi="宋体" w:eastAsia="宋体" w:cs="宋体"/>
                <w:sz w:val="21"/>
                <w:szCs w:val="21"/>
                <w:lang w:val="en-US"/>
              </w:rPr>
              <w:t>SF双层罐；内层为钢罐；具体资料见产品合格证及相关资料。</w:t>
            </w:r>
          </w:p>
        </w:tc>
        <w:tc>
          <w:tcPr>
            <w:tcW w:w="1812"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根据提供的油罐产品合格证及相关资料，储罐内层和外层有</w:t>
            </w:r>
            <w:r>
              <w:rPr>
                <w:rFonts w:hint="eastAsia" w:ascii="宋体" w:hAnsi="宋体" w:eastAsia="宋体" w:cs="宋体"/>
                <w:sz w:val="21"/>
                <w:szCs w:val="21"/>
                <w:shd w:val="clear" w:color="auto" w:fill="FFFFFF"/>
              </w:rPr>
              <w:t>贯通间隙，外壳有气密性检查。</w:t>
            </w:r>
          </w:p>
        </w:tc>
        <w:tc>
          <w:tcPr>
            <w:tcW w:w="1092"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8" w:hRule="atLeast"/>
          <w:jc w:val="center"/>
        </w:trPr>
        <w:tc>
          <w:tcPr>
            <w:tcW w:w="579" w:type="dxa"/>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lang w:val="en-US"/>
              </w:rPr>
              <w:t>6</w:t>
            </w:r>
          </w:p>
        </w:tc>
        <w:tc>
          <w:tcPr>
            <w:tcW w:w="3160" w:type="dxa"/>
            <w:tcBorders>
              <w:right w:val="single" w:color="000000" w:sz="6" w:space="0"/>
            </w:tcBorders>
            <w:vAlign w:val="center"/>
          </w:tcPr>
          <w:p>
            <w:pPr>
              <w:rPr>
                <w:rStyle w:val="18"/>
                <w:rFonts w:hint="eastAsia" w:ascii="宋体" w:hAnsi="宋体" w:eastAsia="宋体" w:cs="宋体"/>
                <w:b w:val="0"/>
                <w:sz w:val="21"/>
                <w:szCs w:val="21"/>
                <w:u w:val="single"/>
                <w:shd w:val="clear" w:color="auto" w:fill="FFFFFF"/>
              </w:rPr>
            </w:pPr>
            <w:r>
              <w:rPr>
                <w:rFonts w:hint="eastAsia" w:ascii="宋体" w:hAnsi="宋体" w:eastAsia="宋体" w:cs="宋体"/>
                <w:sz w:val="21"/>
                <w:szCs w:val="21"/>
                <w:shd w:val="clear" w:color="auto" w:fill="FFFFFF"/>
              </w:rPr>
              <w:t>6．1．8 双层钢制油罐、内钢外玻璃纤维增强塑料双层油罐和玻璃纤维增强塑料等非金属防渗衬里的双层油罐，应设渗漏检测立管，并应符合下列规定：</w:t>
            </w:r>
            <w:r>
              <w:rPr>
                <w:rFonts w:hint="eastAsia" w:ascii="宋体" w:hAnsi="宋体" w:eastAsia="宋体" w:cs="宋体"/>
                <w:sz w:val="21"/>
                <w:szCs w:val="21"/>
                <w:shd w:val="clear" w:color="auto" w:fill="FFFFFF"/>
              </w:rPr>
              <w:br w:type="textWrapping"/>
            </w:r>
            <w:r>
              <w:rPr>
                <w:rFonts w:hint="eastAsia" w:ascii="宋体" w:hAnsi="宋体" w:eastAsia="宋体" w:cs="宋体"/>
                <w:sz w:val="21"/>
                <w:szCs w:val="21"/>
                <w:shd w:val="clear" w:color="auto" w:fill="FFFFFF"/>
                <w:lang w:val="en-US"/>
              </w:rPr>
              <w:t xml:space="preserve"> </w:t>
            </w:r>
            <w:r>
              <w:rPr>
                <w:rFonts w:hint="eastAsia" w:ascii="宋体" w:hAnsi="宋体" w:eastAsia="宋体" w:cs="宋体"/>
                <w:sz w:val="21"/>
                <w:szCs w:val="21"/>
                <w:shd w:val="clear" w:color="auto" w:fill="FFFFFF"/>
              </w:rPr>
              <w:t>1 检测立管应采用钢管，直径宜为80mm，壁厚不宜小于4mm。</w:t>
            </w:r>
            <w:r>
              <w:rPr>
                <w:rFonts w:hint="eastAsia" w:ascii="宋体" w:hAnsi="宋体" w:eastAsia="宋体" w:cs="宋体"/>
                <w:sz w:val="21"/>
                <w:szCs w:val="21"/>
                <w:shd w:val="clear" w:color="auto" w:fill="FFFFFF"/>
              </w:rPr>
              <w:br w:type="textWrapping"/>
            </w:r>
            <w:r>
              <w:rPr>
                <w:rFonts w:hint="eastAsia" w:ascii="宋体" w:hAnsi="宋体" w:eastAsia="宋体" w:cs="宋体"/>
                <w:sz w:val="21"/>
                <w:szCs w:val="21"/>
                <w:shd w:val="clear" w:color="auto" w:fill="FFFFFF"/>
                <w:lang w:val="en-US"/>
              </w:rPr>
              <w:t xml:space="preserve"> </w:t>
            </w:r>
            <w:r>
              <w:rPr>
                <w:rFonts w:hint="eastAsia" w:ascii="宋体" w:hAnsi="宋体" w:eastAsia="宋体" w:cs="宋体"/>
                <w:sz w:val="21"/>
                <w:szCs w:val="21"/>
                <w:shd w:val="clear" w:color="auto" w:fill="FFFFFF"/>
              </w:rPr>
              <w:t>2 检测立管应位于油罐顶部的纵向中心线上。</w:t>
            </w:r>
            <w:r>
              <w:rPr>
                <w:rFonts w:hint="eastAsia" w:ascii="宋体" w:hAnsi="宋体" w:eastAsia="宋体" w:cs="宋体"/>
                <w:sz w:val="21"/>
                <w:szCs w:val="21"/>
                <w:shd w:val="clear" w:color="auto" w:fill="FFFFFF"/>
              </w:rPr>
              <w:br w:type="textWrapping"/>
            </w:r>
            <w:r>
              <w:rPr>
                <w:rFonts w:hint="eastAsia" w:ascii="宋体" w:hAnsi="宋体" w:eastAsia="宋体" w:cs="宋体"/>
                <w:sz w:val="21"/>
                <w:szCs w:val="21"/>
                <w:shd w:val="clear" w:color="auto" w:fill="FFFFFF"/>
                <w:lang w:val="en-US"/>
              </w:rPr>
              <w:t xml:space="preserve"> </w:t>
            </w:r>
            <w:r>
              <w:rPr>
                <w:rFonts w:hint="eastAsia" w:ascii="宋体" w:hAnsi="宋体" w:eastAsia="宋体" w:cs="宋体"/>
                <w:sz w:val="21"/>
                <w:szCs w:val="21"/>
                <w:shd w:val="clear" w:color="auto" w:fill="FFFFFF"/>
              </w:rPr>
              <w:t>3 检测立管的底部管口应与油罐内、外壁间隙相连通，顶部管口应装防尘盖。</w:t>
            </w:r>
            <w:r>
              <w:rPr>
                <w:rFonts w:hint="eastAsia" w:ascii="宋体" w:hAnsi="宋体" w:eastAsia="宋体" w:cs="宋体"/>
                <w:sz w:val="21"/>
                <w:szCs w:val="21"/>
                <w:shd w:val="clear" w:color="auto" w:fill="FFFFFF"/>
              </w:rPr>
              <w:br w:type="textWrapping"/>
            </w:r>
            <w:r>
              <w:rPr>
                <w:rFonts w:hint="eastAsia" w:ascii="宋体" w:hAnsi="宋体" w:eastAsia="宋体" w:cs="宋体"/>
                <w:sz w:val="21"/>
                <w:szCs w:val="21"/>
                <w:shd w:val="clear" w:color="auto" w:fill="FFFFFF"/>
                <w:lang w:val="en-US"/>
              </w:rPr>
              <w:t xml:space="preserve"> </w:t>
            </w:r>
            <w:r>
              <w:rPr>
                <w:rFonts w:hint="eastAsia" w:ascii="宋体" w:hAnsi="宋体" w:eastAsia="宋体" w:cs="宋体"/>
                <w:sz w:val="21"/>
                <w:szCs w:val="21"/>
                <w:shd w:val="clear" w:color="auto" w:fill="FFFFFF"/>
              </w:rPr>
              <w:t>4 检测立管应满足人工检测和在线监测的要求，并应保证油罐内、外壁任何部位出现渗漏均能被发现。</w:t>
            </w:r>
          </w:p>
        </w:tc>
        <w:tc>
          <w:tcPr>
            <w:tcW w:w="1104"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设计要求按照规范要求选型油罐。</w:t>
            </w:r>
          </w:p>
        </w:tc>
        <w:tc>
          <w:tcPr>
            <w:tcW w:w="1380"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根据选型油罐：</w:t>
            </w:r>
            <w:r>
              <w:rPr>
                <w:rFonts w:hint="eastAsia" w:ascii="宋体" w:hAnsi="宋体" w:eastAsia="宋体" w:cs="宋体"/>
                <w:sz w:val="21"/>
                <w:szCs w:val="21"/>
                <w:lang w:val="en-US"/>
              </w:rPr>
              <w:t>SF双层罐；内层为钢罐；具体资料见产品合格证及相关资料。</w:t>
            </w:r>
          </w:p>
        </w:tc>
        <w:tc>
          <w:tcPr>
            <w:tcW w:w="1812" w:type="dxa"/>
            <w:tcBorders>
              <w:left w:val="single" w:color="000000" w:sz="6" w:space="0"/>
            </w:tcBorders>
            <w:vAlign w:val="center"/>
          </w:tcPr>
          <w:p>
            <w:pPr>
              <w:rPr>
                <w:rFonts w:hint="eastAsia" w:ascii="宋体" w:hAnsi="宋体" w:eastAsia="宋体" w:cs="宋体"/>
                <w:sz w:val="21"/>
                <w:szCs w:val="21"/>
              </w:rPr>
            </w:pPr>
            <w:r>
              <w:rPr>
                <w:rFonts w:hint="eastAsia" w:ascii="宋体" w:hAnsi="宋体" w:eastAsia="宋体" w:cs="宋体"/>
                <w:sz w:val="21"/>
                <w:szCs w:val="21"/>
              </w:rPr>
              <w:t>根据提供的油罐产品合格证及相关资料，储罐有社会渗漏检测立管，</w:t>
            </w:r>
            <w:r>
              <w:rPr>
                <w:rFonts w:hint="eastAsia" w:ascii="宋体" w:hAnsi="宋体" w:eastAsia="宋体" w:cs="宋体"/>
                <w:sz w:val="21"/>
                <w:szCs w:val="21"/>
                <w:shd w:val="clear" w:color="auto" w:fill="FFFFFF"/>
              </w:rPr>
              <w:t>检测立管采用钢管，直径为80mm，壁厚4mm；检测立管位于油罐顶部的纵向中心线上；检测立管的底部管口与油罐内、外壁间隙相连通，顶部管口装防尘盖；检测立管满足人工检测和在线监测的要求，并保证油罐内、外壁任何部位出现渗漏均能被发现。</w:t>
            </w:r>
          </w:p>
        </w:tc>
        <w:tc>
          <w:tcPr>
            <w:tcW w:w="1092"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98" w:hRule="atLeast"/>
          <w:jc w:val="center"/>
        </w:trPr>
        <w:tc>
          <w:tcPr>
            <w:tcW w:w="579" w:type="dxa"/>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lang w:val="en-US"/>
              </w:rPr>
              <w:t>7</w:t>
            </w:r>
          </w:p>
        </w:tc>
        <w:tc>
          <w:tcPr>
            <w:tcW w:w="3160" w:type="dxa"/>
            <w:tcBorders>
              <w:right w:val="single" w:color="000000" w:sz="6" w:space="0"/>
            </w:tcBorders>
            <w:vAlign w:val="center"/>
          </w:tcPr>
          <w:p>
            <w:pPr>
              <w:rPr>
                <w:rStyle w:val="18"/>
                <w:rFonts w:hint="eastAsia" w:ascii="宋体" w:hAnsi="宋体" w:eastAsia="宋体" w:cs="宋体"/>
                <w:b w:val="0"/>
                <w:sz w:val="21"/>
                <w:szCs w:val="21"/>
                <w:u w:val="single"/>
                <w:shd w:val="clear" w:color="auto" w:fill="FFFFFF"/>
              </w:rPr>
            </w:pPr>
            <w:r>
              <w:rPr>
                <w:rFonts w:hint="eastAsia" w:ascii="宋体" w:hAnsi="宋体" w:eastAsia="宋体" w:cs="宋体"/>
                <w:sz w:val="21"/>
                <w:szCs w:val="21"/>
                <w:shd w:val="clear" w:color="auto" w:fill="FFFFFF"/>
              </w:rPr>
              <w:t>6．1．9 油罐应采用钢制人孔盖。</w:t>
            </w:r>
          </w:p>
        </w:tc>
        <w:tc>
          <w:tcPr>
            <w:tcW w:w="1104"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设计为钢制</w:t>
            </w:r>
            <w:r>
              <w:rPr>
                <w:rFonts w:hint="eastAsia" w:ascii="宋体" w:hAnsi="宋体" w:eastAsia="宋体" w:cs="宋体"/>
                <w:sz w:val="21"/>
                <w:szCs w:val="21"/>
                <w:shd w:val="clear" w:color="auto" w:fill="FFFFFF"/>
              </w:rPr>
              <w:t>人孔盖。</w:t>
            </w:r>
          </w:p>
        </w:tc>
        <w:tc>
          <w:tcPr>
            <w:tcW w:w="1380"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施工安装为</w:t>
            </w:r>
            <w:r>
              <w:rPr>
                <w:rFonts w:hint="eastAsia" w:ascii="宋体" w:hAnsi="宋体" w:eastAsia="宋体" w:cs="宋体"/>
                <w:sz w:val="21"/>
                <w:szCs w:val="21"/>
                <w:shd w:val="clear" w:color="auto" w:fill="FFFFFF"/>
              </w:rPr>
              <w:t>钢制人孔盖。</w:t>
            </w:r>
          </w:p>
        </w:tc>
        <w:tc>
          <w:tcPr>
            <w:tcW w:w="1812"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根据油罐产品合格证及相关资料，为</w:t>
            </w:r>
            <w:r>
              <w:rPr>
                <w:rFonts w:hint="eastAsia" w:ascii="宋体" w:hAnsi="宋体" w:eastAsia="宋体" w:cs="宋体"/>
                <w:sz w:val="21"/>
                <w:szCs w:val="21"/>
                <w:shd w:val="clear" w:color="auto" w:fill="FFFFFF"/>
              </w:rPr>
              <w:t>钢制人孔盖。</w:t>
            </w:r>
          </w:p>
        </w:tc>
        <w:tc>
          <w:tcPr>
            <w:tcW w:w="1092"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98" w:hRule="atLeast"/>
          <w:jc w:val="center"/>
        </w:trPr>
        <w:tc>
          <w:tcPr>
            <w:tcW w:w="579" w:type="dxa"/>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lang w:val="en-US"/>
              </w:rPr>
              <w:t>8</w:t>
            </w:r>
          </w:p>
        </w:tc>
        <w:tc>
          <w:tcPr>
            <w:tcW w:w="3160" w:type="dxa"/>
            <w:tcBorders>
              <w:right w:val="single" w:color="000000" w:sz="6" w:space="0"/>
            </w:tcBorders>
            <w:vAlign w:val="center"/>
          </w:tcPr>
          <w:p>
            <w:pPr>
              <w:rPr>
                <w:rStyle w:val="18"/>
                <w:rFonts w:hint="eastAsia" w:ascii="宋体" w:hAnsi="宋体" w:eastAsia="宋体" w:cs="宋体"/>
                <w:b w:val="0"/>
                <w:sz w:val="21"/>
                <w:szCs w:val="21"/>
                <w:u w:val="single"/>
                <w:shd w:val="clear" w:color="auto" w:fill="FFFFFF"/>
              </w:rPr>
            </w:pPr>
            <w:r>
              <w:rPr>
                <w:rFonts w:hint="eastAsia" w:ascii="宋体" w:hAnsi="宋体" w:eastAsia="宋体" w:cs="宋体"/>
                <w:sz w:val="21"/>
                <w:szCs w:val="21"/>
                <w:shd w:val="clear" w:color="auto" w:fill="FFFFFF"/>
              </w:rPr>
              <w:t>6．1．10 油罐设在非车行道下面时，罐顶的覆土厚度不应小于0．5m；设在车行道下面时，罐顶低于混凝土路面不宜小于0．9m。钢制油罐的周围应回填中性沙或细土，其厚度不应小于0．3m；外层为玻璃纤维增强塑料材料的油罐，其回填料应符合产品说明书的要求。</w:t>
            </w:r>
          </w:p>
        </w:tc>
        <w:tc>
          <w:tcPr>
            <w:tcW w:w="1104" w:type="dxa"/>
            <w:tcBorders>
              <w:left w:val="single" w:color="000000" w:sz="6" w:space="0"/>
            </w:tcBorders>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rPr>
              <w:t>油罐设在非车行道下面，设计</w:t>
            </w:r>
            <w:r>
              <w:rPr>
                <w:rFonts w:hint="eastAsia" w:ascii="宋体" w:hAnsi="宋体" w:eastAsia="宋体" w:cs="宋体"/>
                <w:sz w:val="21"/>
                <w:szCs w:val="21"/>
                <w:shd w:val="clear" w:color="auto" w:fill="FFFFFF"/>
              </w:rPr>
              <w:t>罐顶的覆土厚度</w:t>
            </w:r>
            <w:r>
              <w:rPr>
                <w:rFonts w:hint="eastAsia" w:ascii="宋体" w:hAnsi="宋体" w:eastAsia="宋体" w:cs="宋体"/>
                <w:sz w:val="21"/>
                <w:szCs w:val="21"/>
                <w:lang w:val="en-US"/>
              </w:rPr>
              <w:t>0.9m，</w:t>
            </w:r>
            <w:r>
              <w:rPr>
                <w:rFonts w:hint="eastAsia" w:ascii="宋体" w:hAnsi="宋体" w:eastAsia="宋体" w:cs="宋体"/>
                <w:sz w:val="21"/>
                <w:szCs w:val="21"/>
                <w:shd w:val="clear" w:color="auto" w:fill="FFFFFF"/>
              </w:rPr>
              <w:t>钢制油罐的周围应回填中性沙或细土，其厚度不应小于0．3m。</w:t>
            </w:r>
          </w:p>
        </w:tc>
        <w:tc>
          <w:tcPr>
            <w:tcW w:w="1380"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按照设计要求施工。</w:t>
            </w:r>
          </w:p>
        </w:tc>
        <w:tc>
          <w:tcPr>
            <w:tcW w:w="1812"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根据</w:t>
            </w:r>
            <w:r>
              <w:rPr>
                <w:rFonts w:hint="eastAsia" w:ascii="宋体" w:hAnsi="宋体" w:eastAsia="宋体" w:cs="宋体"/>
                <w:sz w:val="21"/>
                <w:szCs w:val="21"/>
                <w:lang w:eastAsia="zh-CN"/>
              </w:rPr>
              <w:t>施工</w:t>
            </w:r>
            <w:r>
              <w:rPr>
                <w:rFonts w:hint="eastAsia" w:ascii="宋体" w:hAnsi="宋体" w:eastAsia="宋体" w:cs="宋体"/>
                <w:sz w:val="21"/>
                <w:szCs w:val="21"/>
              </w:rPr>
              <w:t>情况</w:t>
            </w:r>
            <w:r>
              <w:rPr>
                <w:rFonts w:hint="eastAsia" w:ascii="宋体" w:hAnsi="宋体" w:eastAsia="宋体" w:cs="宋体"/>
                <w:sz w:val="21"/>
                <w:szCs w:val="21"/>
                <w:lang w:eastAsia="zh-CN"/>
              </w:rPr>
              <w:t>报告</w:t>
            </w:r>
            <w:r>
              <w:rPr>
                <w:rFonts w:hint="eastAsia" w:ascii="宋体" w:hAnsi="宋体" w:eastAsia="宋体" w:cs="宋体"/>
                <w:sz w:val="21"/>
                <w:szCs w:val="21"/>
              </w:rPr>
              <w:t>说明，</w:t>
            </w:r>
            <w:r>
              <w:rPr>
                <w:rFonts w:hint="eastAsia" w:ascii="宋体" w:hAnsi="宋体" w:eastAsia="宋体" w:cs="宋体"/>
                <w:sz w:val="21"/>
                <w:szCs w:val="21"/>
                <w:shd w:val="clear" w:color="auto" w:fill="FFFFFF"/>
              </w:rPr>
              <w:t>罐顶的覆土厚度</w:t>
            </w:r>
            <w:r>
              <w:rPr>
                <w:rFonts w:hint="eastAsia" w:ascii="宋体" w:hAnsi="宋体" w:eastAsia="宋体" w:cs="宋体"/>
                <w:sz w:val="21"/>
                <w:szCs w:val="21"/>
                <w:shd w:val="clear" w:color="auto" w:fill="FFFFFF"/>
                <w:lang w:eastAsia="zh-CN"/>
              </w:rPr>
              <w:t>不少于</w:t>
            </w:r>
            <w:r>
              <w:rPr>
                <w:rFonts w:hint="eastAsia" w:ascii="宋体" w:hAnsi="宋体" w:eastAsia="宋体" w:cs="宋体"/>
                <w:sz w:val="21"/>
                <w:szCs w:val="21"/>
                <w:lang w:val="en-US"/>
              </w:rPr>
              <w:t>0.9m，油罐周边</w:t>
            </w:r>
            <w:r>
              <w:rPr>
                <w:rFonts w:hint="eastAsia" w:ascii="宋体" w:hAnsi="宋体" w:eastAsia="宋体" w:cs="宋体"/>
                <w:sz w:val="21"/>
                <w:szCs w:val="21"/>
                <w:shd w:val="clear" w:color="auto" w:fill="FFFFFF"/>
              </w:rPr>
              <w:t>回填中性沙或细土，其厚度大于0</w:t>
            </w:r>
            <w:r>
              <w:rPr>
                <w:rFonts w:hint="eastAsia" w:ascii="宋体" w:hAnsi="宋体" w:eastAsia="宋体" w:cs="宋体"/>
                <w:sz w:val="21"/>
                <w:szCs w:val="21"/>
                <w:shd w:val="clear" w:color="auto" w:fill="FFFFFF"/>
                <w:lang w:val="en-US"/>
              </w:rPr>
              <w:t>.</w:t>
            </w:r>
            <w:r>
              <w:rPr>
                <w:rFonts w:hint="eastAsia" w:ascii="宋体" w:hAnsi="宋体" w:eastAsia="宋体" w:cs="宋体"/>
                <w:sz w:val="21"/>
                <w:szCs w:val="21"/>
                <w:shd w:val="clear" w:color="auto" w:fill="FFFFFF"/>
              </w:rPr>
              <w:t>3m</w:t>
            </w:r>
          </w:p>
        </w:tc>
        <w:tc>
          <w:tcPr>
            <w:tcW w:w="1092"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98" w:hRule="atLeast"/>
          <w:jc w:val="center"/>
        </w:trPr>
        <w:tc>
          <w:tcPr>
            <w:tcW w:w="579" w:type="dxa"/>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lang w:val="en-US"/>
              </w:rPr>
              <w:t>9</w:t>
            </w:r>
          </w:p>
        </w:tc>
        <w:tc>
          <w:tcPr>
            <w:tcW w:w="3160" w:type="dxa"/>
            <w:tcBorders>
              <w:right w:val="single" w:color="000000" w:sz="6" w:space="0"/>
            </w:tcBorders>
            <w:vAlign w:val="center"/>
          </w:tcPr>
          <w:p>
            <w:pPr>
              <w:rPr>
                <w:rFonts w:hint="eastAsia" w:ascii="宋体" w:hAnsi="宋体" w:eastAsia="宋体" w:cs="宋体"/>
                <w:sz w:val="21"/>
                <w:szCs w:val="21"/>
                <w:shd w:val="clear" w:color="auto" w:fill="FFFFFF"/>
              </w:rPr>
            </w:pPr>
            <w:r>
              <w:rPr>
                <w:rFonts w:hint="eastAsia" w:ascii="宋体" w:hAnsi="宋体" w:eastAsia="宋体" w:cs="宋体"/>
                <w:sz w:val="21"/>
                <w:szCs w:val="21"/>
                <w:shd w:val="clear" w:color="auto" w:fill="FFFFFF"/>
              </w:rPr>
              <w:t>6．1．11 当埋地油罐受地下水或雨水作用有上浮的可能时，应采取防止油罐上浮的措施。</w:t>
            </w:r>
          </w:p>
        </w:tc>
        <w:tc>
          <w:tcPr>
            <w:tcW w:w="1104"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设计预埋件与罐区基础和防漂浮措施。</w:t>
            </w:r>
          </w:p>
        </w:tc>
        <w:tc>
          <w:tcPr>
            <w:tcW w:w="1380"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设置罐区基础和预埋件，采用防漂带抗浮。</w:t>
            </w:r>
          </w:p>
        </w:tc>
        <w:tc>
          <w:tcPr>
            <w:tcW w:w="1812"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根据</w:t>
            </w:r>
            <w:r>
              <w:rPr>
                <w:rFonts w:hint="eastAsia" w:ascii="宋体" w:hAnsi="宋体" w:eastAsia="宋体" w:cs="宋体"/>
                <w:sz w:val="21"/>
                <w:szCs w:val="21"/>
                <w:lang w:eastAsia="zh-CN"/>
              </w:rPr>
              <w:t>施工</w:t>
            </w:r>
            <w:r>
              <w:rPr>
                <w:rFonts w:hint="eastAsia" w:ascii="宋体" w:hAnsi="宋体" w:eastAsia="宋体" w:cs="宋体"/>
                <w:sz w:val="21"/>
                <w:szCs w:val="21"/>
              </w:rPr>
              <w:t>情况说明，已经采取抗浮措施。</w:t>
            </w:r>
          </w:p>
        </w:tc>
        <w:tc>
          <w:tcPr>
            <w:tcW w:w="1092"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98" w:hRule="atLeast"/>
          <w:jc w:val="center"/>
        </w:trPr>
        <w:tc>
          <w:tcPr>
            <w:tcW w:w="579" w:type="dxa"/>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lang w:val="en-US"/>
              </w:rPr>
              <w:t>10</w:t>
            </w:r>
          </w:p>
        </w:tc>
        <w:tc>
          <w:tcPr>
            <w:tcW w:w="3160" w:type="dxa"/>
            <w:tcBorders>
              <w:right w:val="single" w:color="000000" w:sz="6" w:space="0"/>
            </w:tcBorders>
            <w:vAlign w:val="center"/>
          </w:tcPr>
          <w:p>
            <w:pPr>
              <w:rPr>
                <w:rFonts w:hint="eastAsia" w:ascii="宋体" w:hAnsi="宋体" w:eastAsia="宋体" w:cs="宋体"/>
                <w:sz w:val="21"/>
                <w:szCs w:val="21"/>
                <w:shd w:val="clear" w:color="auto" w:fill="FFFFFF"/>
              </w:rPr>
            </w:pPr>
            <w:r>
              <w:rPr>
                <w:rFonts w:hint="eastAsia" w:ascii="宋体" w:hAnsi="宋体" w:eastAsia="宋体" w:cs="宋体"/>
                <w:sz w:val="21"/>
                <w:szCs w:val="21"/>
                <w:shd w:val="clear" w:color="auto" w:fill="FFFFFF"/>
              </w:rPr>
              <w:t>6．1．12 埋地油罐的人孔应设操作井。设在行车道下面的人孔井应采用加油站车行道下专用的密闭井盖和井座。</w:t>
            </w:r>
          </w:p>
        </w:tc>
        <w:tc>
          <w:tcPr>
            <w:tcW w:w="1104"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设计有操作井。</w:t>
            </w:r>
          </w:p>
        </w:tc>
        <w:tc>
          <w:tcPr>
            <w:tcW w:w="1380"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shd w:val="clear" w:color="auto" w:fill="FFFFFF"/>
                <w:lang w:eastAsia="zh-CN"/>
              </w:rPr>
              <w:t>设置操作井</w:t>
            </w:r>
            <w:r>
              <w:rPr>
                <w:rFonts w:hint="eastAsia" w:ascii="宋体" w:hAnsi="宋体" w:eastAsia="宋体" w:cs="宋体"/>
                <w:sz w:val="21"/>
                <w:szCs w:val="21"/>
                <w:shd w:val="clear" w:color="auto" w:fill="FFFFFF"/>
              </w:rPr>
              <w:t>。</w:t>
            </w:r>
          </w:p>
        </w:tc>
        <w:tc>
          <w:tcPr>
            <w:tcW w:w="1812" w:type="dxa"/>
            <w:tcBorders>
              <w:left w:val="single" w:color="000000" w:sz="6" w:space="0"/>
            </w:tcBorders>
            <w:vAlign w:val="center"/>
          </w:tcPr>
          <w:p>
            <w:pPr>
              <w:jc w:val="center"/>
              <w:rPr>
                <w:rFonts w:hint="eastAsia" w:ascii="宋体" w:hAnsi="宋体" w:eastAsia="宋体" w:cs="宋体"/>
                <w:sz w:val="21"/>
                <w:szCs w:val="21"/>
                <w:lang w:eastAsia="zh-CN"/>
              </w:rPr>
            </w:pPr>
            <w:r>
              <w:rPr>
                <w:rFonts w:hint="eastAsia" w:ascii="宋体" w:hAnsi="宋体" w:eastAsia="宋体" w:cs="宋体"/>
                <w:sz w:val="21"/>
                <w:szCs w:val="21"/>
                <w:shd w:val="clear" w:color="auto" w:fill="FFFFFF"/>
                <w:lang w:eastAsia="zh-CN"/>
              </w:rPr>
              <w:t>埋地油罐设置人孔井</w:t>
            </w:r>
            <w:r>
              <w:rPr>
                <w:rFonts w:hint="eastAsia" w:ascii="宋体" w:hAnsi="宋体" w:eastAsia="宋体" w:cs="宋体"/>
                <w:sz w:val="21"/>
                <w:szCs w:val="21"/>
                <w:shd w:val="clear" w:color="auto" w:fill="FFFFFF"/>
              </w:rPr>
              <w:t>。行车道下</w:t>
            </w:r>
            <w:r>
              <w:rPr>
                <w:rFonts w:hint="eastAsia" w:ascii="宋体" w:hAnsi="宋体" w:eastAsia="宋体" w:cs="宋体"/>
                <w:sz w:val="21"/>
                <w:szCs w:val="21"/>
                <w:shd w:val="clear" w:color="auto" w:fill="FFFFFF"/>
                <w:lang w:eastAsia="zh-CN"/>
              </w:rPr>
              <w:t>的人孔井采用了专用的密闭井盖和井座。</w:t>
            </w:r>
          </w:p>
        </w:tc>
        <w:tc>
          <w:tcPr>
            <w:tcW w:w="1092"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98" w:hRule="atLeast"/>
          <w:jc w:val="center"/>
        </w:trPr>
        <w:tc>
          <w:tcPr>
            <w:tcW w:w="579" w:type="dxa"/>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lang w:val="en-US"/>
              </w:rPr>
              <w:t>11</w:t>
            </w:r>
          </w:p>
        </w:tc>
        <w:tc>
          <w:tcPr>
            <w:tcW w:w="3160" w:type="dxa"/>
            <w:tcBorders>
              <w:right w:val="single" w:color="000000" w:sz="6" w:space="0"/>
            </w:tcBorders>
            <w:vAlign w:val="center"/>
          </w:tcPr>
          <w:p>
            <w:pPr>
              <w:rPr>
                <w:rFonts w:hint="eastAsia" w:ascii="宋体" w:hAnsi="宋体" w:eastAsia="宋体" w:cs="宋体"/>
                <w:sz w:val="21"/>
                <w:szCs w:val="21"/>
                <w:shd w:val="clear" w:color="auto" w:fill="FFFFFF"/>
              </w:rPr>
            </w:pPr>
            <w:r>
              <w:rPr>
                <w:rFonts w:hint="eastAsia" w:ascii="宋体" w:hAnsi="宋体" w:eastAsia="宋体" w:cs="宋体"/>
                <w:sz w:val="21"/>
                <w:szCs w:val="21"/>
                <w:shd w:val="clear" w:color="auto" w:fill="FFFFFF"/>
              </w:rPr>
              <w:t>6．1．13 油罐应采取卸油时的防满溢措施。油料达到油罐容量90％时，应能触动高液位报警装置；油料达到油罐容量95％时，应能自动停止油料继续进罐。</w:t>
            </w:r>
            <w:r>
              <w:rPr>
                <w:rFonts w:hint="eastAsia" w:ascii="宋体" w:hAnsi="宋体" w:eastAsia="宋体" w:cs="宋体"/>
                <w:sz w:val="21"/>
                <w:szCs w:val="21"/>
                <w:u w:val="single"/>
                <w:shd w:val="clear" w:color="auto" w:fill="FFFFFF"/>
              </w:rPr>
              <w:t>高</w:t>
            </w:r>
            <w:r>
              <w:rPr>
                <w:rFonts w:hint="eastAsia" w:ascii="宋体" w:hAnsi="宋体" w:eastAsia="宋体" w:cs="宋体"/>
                <w:sz w:val="21"/>
                <w:szCs w:val="21"/>
                <w:u w:val="none"/>
                <w:shd w:val="clear" w:color="auto" w:fill="FFFFFF"/>
              </w:rPr>
              <w:t>液位报警装置应位于工作人员便于觉察的地点</w:t>
            </w:r>
            <w:r>
              <w:rPr>
                <w:rFonts w:hint="eastAsia" w:ascii="宋体" w:hAnsi="宋体" w:eastAsia="宋体" w:cs="宋体"/>
                <w:sz w:val="21"/>
                <w:szCs w:val="21"/>
                <w:u w:val="single"/>
                <w:shd w:val="clear" w:color="auto" w:fill="FFFFFF"/>
              </w:rPr>
              <w:t>。</w:t>
            </w:r>
          </w:p>
        </w:tc>
        <w:tc>
          <w:tcPr>
            <w:tcW w:w="1104"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设计有高低液位报警和高高液位联锁；报警装置设置在站房内。</w:t>
            </w:r>
          </w:p>
        </w:tc>
        <w:tc>
          <w:tcPr>
            <w:tcW w:w="1380"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相关系统按照设计施工，油罐对应更换液位计，对应电气线路重新敷设和连接。</w:t>
            </w:r>
          </w:p>
        </w:tc>
        <w:tc>
          <w:tcPr>
            <w:tcW w:w="1812"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该项目装有溢流阀及高液位报警装置。</w:t>
            </w:r>
          </w:p>
        </w:tc>
        <w:tc>
          <w:tcPr>
            <w:tcW w:w="1092"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98" w:hRule="atLeast"/>
          <w:jc w:val="center"/>
        </w:trPr>
        <w:tc>
          <w:tcPr>
            <w:tcW w:w="579" w:type="dxa"/>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lang w:val="en-US"/>
              </w:rPr>
              <w:t>12</w:t>
            </w:r>
          </w:p>
        </w:tc>
        <w:tc>
          <w:tcPr>
            <w:tcW w:w="3160" w:type="dxa"/>
            <w:tcBorders>
              <w:right w:val="single" w:color="000000" w:sz="6" w:space="0"/>
            </w:tcBorders>
            <w:vAlign w:val="center"/>
          </w:tcPr>
          <w:p>
            <w:pPr>
              <w:rPr>
                <w:rFonts w:hint="eastAsia" w:ascii="宋体" w:hAnsi="宋体" w:eastAsia="宋体" w:cs="宋体"/>
                <w:sz w:val="21"/>
                <w:szCs w:val="21"/>
                <w:shd w:val="clear" w:color="auto" w:fill="FFFFFF"/>
              </w:rPr>
            </w:pPr>
            <w:r>
              <w:rPr>
                <w:rFonts w:hint="eastAsia" w:ascii="宋体" w:hAnsi="宋体" w:eastAsia="宋体" w:cs="宋体"/>
                <w:sz w:val="21"/>
                <w:szCs w:val="21"/>
                <w:shd w:val="clear" w:color="auto" w:fill="FFFFFF"/>
              </w:rPr>
              <w:t>6．1．14 设有油气回收系统的加油加气站，其站内油罐应设带有高液位报警功能的液位监测系统。单层油罐的液位监测系统尚应具备渗漏检测功能，其渗漏检测分辨率不宜大于0．8L／h。</w:t>
            </w:r>
          </w:p>
        </w:tc>
        <w:tc>
          <w:tcPr>
            <w:tcW w:w="1104"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设计有卸油和加油</w:t>
            </w:r>
            <w:r>
              <w:rPr>
                <w:rFonts w:hint="eastAsia" w:ascii="宋体" w:hAnsi="宋体" w:eastAsia="宋体" w:cs="宋体"/>
                <w:sz w:val="21"/>
                <w:szCs w:val="21"/>
                <w:shd w:val="clear" w:color="auto" w:fill="FFFFFF"/>
              </w:rPr>
              <w:t>油气回收系统，油罐设计有高液位报警。</w:t>
            </w:r>
          </w:p>
        </w:tc>
        <w:tc>
          <w:tcPr>
            <w:tcW w:w="1380"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按照要求敷设相关电气线路及设施设备。</w:t>
            </w:r>
          </w:p>
        </w:tc>
        <w:tc>
          <w:tcPr>
            <w:tcW w:w="1812"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设有高液位报警装置。</w:t>
            </w:r>
          </w:p>
        </w:tc>
        <w:tc>
          <w:tcPr>
            <w:tcW w:w="1092"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98" w:hRule="atLeast"/>
          <w:jc w:val="center"/>
        </w:trPr>
        <w:tc>
          <w:tcPr>
            <w:tcW w:w="9127" w:type="dxa"/>
            <w:gridSpan w:val="6"/>
            <w:vAlign w:val="center"/>
          </w:tcPr>
          <w:p>
            <w:pPr>
              <w:jc w:val="center"/>
              <w:rPr>
                <w:rFonts w:hint="eastAsia" w:ascii="宋体" w:hAnsi="宋体" w:eastAsia="宋体" w:cs="宋体"/>
                <w:sz w:val="21"/>
                <w:szCs w:val="21"/>
              </w:rPr>
            </w:pPr>
            <w:r>
              <w:rPr>
                <w:rFonts w:hint="eastAsia" w:ascii="宋体" w:hAnsi="宋体" w:eastAsia="宋体" w:cs="宋体"/>
                <w:b/>
                <w:sz w:val="21"/>
                <w:szCs w:val="21"/>
                <w:shd w:val="clear" w:color="auto" w:fill="FFFFFF"/>
                <w:lang w:val="en-US" w:eastAsia="zh-CN"/>
              </w:rPr>
              <w:t>二</w:t>
            </w:r>
            <w:r>
              <w:rPr>
                <w:rFonts w:hint="eastAsia" w:ascii="宋体" w:hAnsi="宋体" w:eastAsia="宋体" w:cs="宋体"/>
                <w:b/>
                <w:bCs/>
                <w:sz w:val="21"/>
                <w:szCs w:val="21"/>
                <w:lang w:val="en-US" w:eastAsia="zh-CN"/>
              </w:rPr>
              <w:t>、</w:t>
            </w:r>
            <w:r>
              <w:rPr>
                <w:rFonts w:hint="eastAsia" w:ascii="宋体" w:hAnsi="宋体" w:eastAsia="宋体" w:cs="宋体"/>
                <w:b/>
                <w:sz w:val="21"/>
                <w:szCs w:val="21"/>
                <w:shd w:val="clear" w:color="auto" w:fill="FFFFFF"/>
              </w:rPr>
              <w:t>工艺管道系统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98" w:hRule="atLeast"/>
          <w:jc w:val="center"/>
        </w:trPr>
        <w:tc>
          <w:tcPr>
            <w:tcW w:w="579" w:type="dxa"/>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lang w:val="en-US"/>
              </w:rPr>
              <w:t>1</w:t>
            </w:r>
          </w:p>
        </w:tc>
        <w:tc>
          <w:tcPr>
            <w:tcW w:w="3160" w:type="dxa"/>
            <w:tcBorders>
              <w:right w:val="single" w:color="000000" w:sz="6" w:space="0"/>
            </w:tcBorders>
            <w:vAlign w:val="center"/>
          </w:tcPr>
          <w:p>
            <w:pPr>
              <w:rPr>
                <w:rFonts w:hint="eastAsia" w:ascii="宋体" w:hAnsi="宋体" w:eastAsia="宋体" w:cs="宋体"/>
                <w:b/>
                <w:sz w:val="21"/>
                <w:szCs w:val="21"/>
                <w:shd w:val="clear" w:color="auto" w:fill="FFFFFF"/>
              </w:rPr>
            </w:pPr>
            <w:r>
              <w:rPr>
                <w:rStyle w:val="18"/>
                <w:rFonts w:hint="eastAsia" w:ascii="宋体" w:hAnsi="宋体" w:eastAsia="宋体" w:cs="宋体"/>
                <w:b w:val="0"/>
                <w:bCs/>
                <w:sz w:val="21"/>
                <w:szCs w:val="21"/>
                <w:shd w:val="clear" w:color="auto" w:fill="FFFFFF"/>
              </w:rPr>
              <w:t>6．3．1 油罐车卸油必须采用密闭卸油方式。</w:t>
            </w:r>
          </w:p>
        </w:tc>
        <w:tc>
          <w:tcPr>
            <w:tcW w:w="1104"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卸油台设计密闭卸油口</w:t>
            </w:r>
          </w:p>
        </w:tc>
        <w:tc>
          <w:tcPr>
            <w:tcW w:w="1380" w:type="dxa"/>
            <w:tcBorders>
              <w:left w:val="single" w:color="000000" w:sz="6" w:space="0"/>
            </w:tcBorders>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rPr>
              <w:t>新建卸油台设置密闭卸油口</w:t>
            </w:r>
            <w:r>
              <w:rPr>
                <w:rFonts w:hint="eastAsia" w:ascii="宋体" w:hAnsi="宋体" w:eastAsia="宋体" w:cs="宋体"/>
                <w:sz w:val="21"/>
                <w:szCs w:val="21"/>
                <w:lang w:val="en-US"/>
              </w:rPr>
              <w:t>4个，油气回收口1个。</w:t>
            </w:r>
          </w:p>
        </w:tc>
        <w:tc>
          <w:tcPr>
            <w:tcW w:w="1812"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卸油口采用密闭卸油方式。</w:t>
            </w:r>
          </w:p>
        </w:tc>
        <w:tc>
          <w:tcPr>
            <w:tcW w:w="1092"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8" w:hRule="atLeast"/>
          <w:jc w:val="center"/>
        </w:trPr>
        <w:tc>
          <w:tcPr>
            <w:tcW w:w="579" w:type="dxa"/>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lang w:val="en-US"/>
              </w:rPr>
              <w:t>2</w:t>
            </w:r>
          </w:p>
        </w:tc>
        <w:tc>
          <w:tcPr>
            <w:tcW w:w="3160" w:type="dxa"/>
            <w:tcBorders>
              <w:right w:val="single" w:color="000000" w:sz="6" w:space="0"/>
            </w:tcBorders>
            <w:vAlign w:val="center"/>
          </w:tcPr>
          <w:p>
            <w:pPr>
              <w:rPr>
                <w:rFonts w:hint="eastAsia" w:ascii="宋体" w:hAnsi="宋体" w:eastAsia="宋体" w:cs="宋体"/>
                <w:b/>
                <w:sz w:val="21"/>
                <w:szCs w:val="21"/>
                <w:shd w:val="clear" w:color="auto" w:fill="FFFFFF"/>
              </w:rPr>
            </w:pPr>
            <w:r>
              <w:rPr>
                <w:rFonts w:hint="eastAsia" w:ascii="宋体" w:hAnsi="宋体" w:eastAsia="宋体" w:cs="宋体"/>
                <w:sz w:val="21"/>
                <w:szCs w:val="21"/>
                <w:shd w:val="clear" w:color="auto" w:fill="FFFFFF"/>
              </w:rPr>
              <w:t>6．3．2 每个油罐应各自设置卸油管道和卸油接口。各卸油接口及油气回收接口，应有明显的标识。</w:t>
            </w:r>
          </w:p>
        </w:tc>
        <w:tc>
          <w:tcPr>
            <w:tcW w:w="1104"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不同油品分开设计卸油管道，单独设置油气回收井口。</w:t>
            </w:r>
          </w:p>
        </w:tc>
        <w:tc>
          <w:tcPr>
            <w:tcW w:w="1380"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建卸油台设置密闭卸油口</w:t>
            </w:r>
            <w:r>
              <w:rPr>
                <w:rFonts w:hint="eastAsia" w:ascii="宋体" w:hAnsi="宋体" w:eastAsia="宋体" w:cs="宋体"/>
                <w:sz w:val="21"/>
                <w:szCs w:val="21"/>
                <w:lang w:val="en-US"/>
              </w:rPr>
              <w:t>4个，油气回收口1个。</w:t>
            </w:r>
          </w:p>
        </w:tc>
        <w:tc>
          <w:tcPr>
            <w:tcW w:w="1812" w:type="dxa"/>
            <w:tcBorders>
              <w:left w:val="single" w:color="000000" w:sz="6" w:space="0"/>
            </w:tcBorders>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rPr>
              <w:t>新卸油台设置</w:t>
            </w:r>
            <w:r>
              <w:rPr>
                <w:rFonts w:hint="eastAsia" w:ascii="宋体" w:hAnsi="宋体" w:eastAsia="宋体" w:cs="宋体"/>
                <w:sz w:val="21"/>
                <w:szCs w:val="21"/>
                <w:lang w:val="en-US"/>
              </w:rPr>
              <w:t>0#卸油口1个，92#汽油卸油口</w:t>
            </w:r>
            <w:r>
              <w:rPr>
                <w:rFonts w:hint="eastAsia" w:ascii="宋体" w:hAnsi="宋体" w:eastAsia="宋体" w:cs="宋体"/>
                <w:sz w:val="21"/>
                <w:szCs w:val="21"/>
                <w:lang w:val="en-US" w:eastAsia="zh-CN"/>
              </w:rPr>
              <w:t>1</w:t>
            </w:r>
            <w:r>
              <w:rPr>
                <w:rFonts w:hint="eastAsia" w:ascii="宋体" w:hAnsi="宋体" w:eastAsia="宋体" w:cs="宋体"/>
                <w:sz w:val="21"/>
                <w:szCs w:val="21"/>
                <w:lang w:val="en-US"/>
              </w:rPr>
              <w:t>个，95#卸油口1个；9</w:t>
            </w:r>
            <w:r>
              <w:rPr>
                <w:rFonts w:hint="eastAsia" w:ascii="宋体" w:hAnsi="宋体" w:eastAsia="宋体" w:cs="宋体"/>
                <w:sz w:val="21"/>
                <w:szCs w:val="21"/>
                <w:lang w:val="en-US" w:eastAsia="zh-CN"/>
              </w:rPr>
              <w:t>8</w:t>
            </w:r>
            <w:r>
              <w:rPr>
                <w:rFonts w:hint="eastAsia" w:ascii="宋体" w:hAnsi="宋体" w:eastAsia="宋体" w:cs="宋体"/>
                <w:sz w:val="21"/>
                <w:szCs w:val="21"/>
                <w:lang w:val="en-US"/>
              </w:rPr>
              <w:t>#卸油口1个。</w:t>
            </w:r>
          </w:p>
        </w:tc>
        <w:tc>
          <w:tcPr>
            <w:tcW w:w="1092"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8" w:hRule="atLeast"/>
          <w:jc w:val="center"/>
        </w:trPr>
        <w:tc>
          <w:tcPr>
            <w:tcW w:w="579" w:type="dxa"/>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lang w:val="en-US"/>
              </w:rPr>
              <w:t>3</w:t>
            </w:r>
          </w:p>
        </w:tc>
        <w:tc>
          <w:tcPr>
            <w:tcW w:w="3160" w:type="dxa"/>
            <w:tcBorders>
              <w:right w:val="single" w:color="000000" w:sz="6" w:space="0"/>
            </w:tcBorders>
            <w:vAlign w:val="center"/>
          </w:tcPr>
          <w:p>
            <w:pPr>
              <w:rPr>
                <w:rFonts w:hint="eastAsia" w:ascii="宋体" w:hAnsi="宋体" w:eastAsia="宋体" w:cs="宋体"/>
                <w:b/>
                <w:sz w:val="21"/>
                <w:szCs w:val="21"/>
                <w:shd w:val="clear" w:color="auto" w:fill="FFFFFF"/>
              </w:rPr>
            </w:pPr>
            <w:r>
              <w:rPr>
                <w:rFonts w:hint="eastAsia" w:ascii="宋体" w:hAnsi="宋体" w:eastAsia="宋体" w:cs="宋体"/>
                <w:sz w:val="21"/>
                <w:szCs w:val="21"/>
                <w:shd w:val="clear" w:color="auto" w:fill="FFFFFF"/>
              </w:rPr>
              <w:t>6．3．3 卸油接口应装设快速接头及密封盖。</w:t>
            </w:r>
          </w:p>
        </w:tc>
        <w:tc>
          <w:tcPr>
            <w:tcW w:w="1104"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设计有快速接头及密封盖</w:t>
            </w:r>
          </w:p>
        </w:tc>
        <w:tc>
          <w:tcPr>
            <w:tcW w:w="1380"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有设置</w:t>
            </w:r>
            <w:r>
              <w:rPr>
                <w:rFonts w:hint="eastAsia" w:ascii="宋体" w:hAnsi="宋体" w:eastAsia="宋体" w:cs="宋体"/>
                <w:sz w:val="21"/>
                <w:szCs w:val="21"/>
                <w:shd w:val="clear" w:color="auto" w:fill="FFFFFF"/>
              </w:rPr>
              <w:t>快速接头及密封盖。</w:t>
            </w:r>
          </w:p>
        </w:tc>
        <w:tc>
          <w:tcPr>
            <w:tcW w:w="1812"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新卸油台有设置</w:t>
            </w:r>
            <w:r>
              <w:rPr>
                <w:rFonts w:hint="eastAsia" w:ascii="宋体" w:hAnsi="宋体" w:eastAsia="宋体" w:cs="宋体"/>
                <w:sz w:val="21"/>
                <w:szCs w:val="21"/>
                <w:shd w:val="clear" w:color="auto" w:fill="FFFFFF"/>
              </w:rPr>
              <w:t>快速接头及密封盖。</w:t>
            </w:r>
          </w:p>
        </w:tc>
        <w:tc>
          <w:tcPr>
            <w:tcW w:w="1092"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8" w:hRule="atLeast"/>
          <w:jc w:val="center"/>
        </w:trPr>
        <w:tc>
          <w:tcPr>
            <w:tcW w:w="579" w:type="dxa"/>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lang w:val="en-US"/>
              </w:rPr>
              <w:t>4</w:t>
            </w:r>
          </w:p>
        </w:tc>
        <w:tc>
          <w:tcPr>
            <w:tcW w:w="3160" w:type="dxa"/>
            <w:tcBorders>
              <w:right w:val="single" w:color="000000" w:sz="6" w:space="0"/>
            </w:tcBorders>
            <w:vAlign w:val="center"/>
          </w:tcPr>
          <w:p>
            <w:pPr>
              <w:rPr>
                <w:rFonts w:hint="eastAsia" w:ascii="宋体" w:hAnsi="宋体" w:eastAsia="宋体" w:cs="宋体"/>
                <w:b/>
                <w:sz w:val="21"/>
                <w:szCs w:val="21"/>
                <w:shd w:val="clear" w:color="auto" w:fill="FFFFFF"/>
              </w:rPr>
            </w:pPr>
            <w:r>
              <w:rPr>
                <w:rFonts w:hint="eastAsia" w:ascii="宋体" w:hAnsi="宋体" w:eastAsia="宋体" w:cs="宋体"/>
                <w:sz w:val="21"/>
                <w:szCs w:val="21"/>
                <w:shd w:val="clear" w:color="auto" w:fill="FFFFFF"/>
              </w:rPr>
              <w:t>6．3．4 加油站采用卸油油气回收系统时，其设计应符合下列规定：</w:t>
            </w:r>
            <w:r>
              <w:rPr>
                <w:rFonts w:hint="eastAsia" w:ascii="宋体" w:hAnsi="宋体" w:eastAsia="宋体" w:cs="宋体"/>
                <w:sz w:val="21"/>
                <w:szCs w:val="21"/>
                <w:shd w:val="clear" w:color="auto" w:fill="FFFFFF"/>
              </w:rPr>
              <w:br w:type="textWrapping"/>
            </w:r>
            <w:r>
              <w:rPr>
                <w:rFonts w:hint="eastAsia" w:ascii="宋体" w:hAnsi="宋体" w:eastAsia="宋体" w:cs="宋体"/>
                <w:sz w:val="21"/>
                <w:szCs w:val="21"/>
                <w:shd w:val="clear" w:color="auto" w:fill="FFFFFF"/>
              </w:rPr>
              <w:t>    1 汽油罐车向站内油罐卸油应采用平衡式密闭油气回收系统。</w:t>
            </w:r>
            <w:r>
              <w:rPr>
                <w:rFonts w:hint="eastAsia" w:ascii="宋体" w:hAnsi="宋体" w:eastAsia="宋体" w:cs="宋体"/>
                <w:sz w:val="21"/>
                <w:szCs w:val="21"/>
                <w:shd w:val="clear" w:color="auto" w:fill="FFFFFF"/>
              </w:rPr>
              <w:br w:type="textWrapping"/>
            </w:r>
            <w:r>
              <w:rPr>
                <w:rFonts w:hint="eastAsia" w:ascii="宋体" w:hAnsi="宋体" w:eastAsia="宋体" w:cs="宋体"/>
                <w:sz w:val="21"/>
                <w:szCs w:val="21"/>
                <w:shd w:val="clear" w:color="auto" w:fill="FFFFFF"/>
              </w:rPr>
              <w:t>    2 各汽油罐可共用一根卸油油气回收主管，回收主管的公称直径不宜小于80mm。</w:t>
            </w:r>
            <w:r>
              <w:rPr>
                <w:rFonts w:hint="eastAsia" w:ascii="宋体" w:hAnsi="宋体" w:eastAsia="宋体" w:cs="宋体"/>
                <w:sz w:val="21"/>
                <w:szCs w:val="21"/>
                <w:shd w:val="clear" w:color="auto" w:fill="FFFFFF"/>
              </w:rPr>
              <w:br w:type="textWrapping"/>
            </w:r>
            <w:r>
              <w:rPr>
                <w:rFonts w:hint="eastAsia" w:ascii="宋体" w:hAnsi="宋体" w:eastAsia="宋体" w:cs="宋体"/>
                <w:sz w:val="21"/>
                <w:szCs w:val="21"/>
                <w:shd w:val="clear" w:color="auto" w:fill="FFFFFF"/>
              </w:rPr>
              <w:t>    3 卸油油气回收管道的接口宜采用自闭式快速接头。采用非自闭式快速接头时，应在靠近快速接头的连接管道上装设阀门。</w:t>
            </w:r>
          </w:p>
        </w:tc>
        <w:tc>
          <w:tcPr>
            <w:tcW w:w="1104" w:type="dxa"/>
            <w:tcBorders>
              <w:left w:val="single" w:color="000000" w:sz="6" w:space="0"/>
            </w:tcBorders>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lang w:val="en-US"/>
              </w:rPr>
              <w:t>设计采用平衡式密闭油气回收系统；3个汽油罐共用1根DN80回收管，采用</w:t>
            </w:r>
            <w:r>
              <w:rPr>
                <w:rFonts w:hint="eastAsia" w:ascii="宋体" w:hAnsi="宋体" w:eastAsia="宋体" w:cs="宋体"/>
                <w:sz w:val="21"/>
                <w:szCs w:val="21"/>
                <w:shd w:val="clear" w:color="auto" w:fill="FFFFFF"/>
              </w:rPr>
              <w:t>非自闭式快速接头，有设置阀门。</w:t>
            </w:r>
          </w:p>
        </w:tc>
        <w:tc>
          <w:tcPr>
            <w:tcW w:w="1380"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按照设计要求施工和安装</w:t>
            </w:r>
          </w:p>
        </w:tc>
        <w:tc>
          <w:tcPr>
            <w:tcW w:w="1812"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现场检查卸油台，有相关设施。</w:t>
            </w:r>
          </w:p>
        </w:tc>
        <w:tc>
          <w:tcPr>
            <w:tcW w:w="1092"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98" w:hRule="atLeast"/>
          <w:jc w:val="center"/>
        </w:trPr>
        <w:tc>
          <w:tcPr>
            <w:tcW w:w="579" w:type="dxa"/>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lang w:val="en-US"/>
              </w:rPr>
              <w:t>5</w:t>
            </w:r>
          </w:p>
        </w:tc>
        <w:tc>
          <w:tcPr>
            <w:tcW w:w="3160" w:type="dxa"/>
            <w:tcBorders>
              <w:right w:val="single" w:color="000000" w:sz="6" w:space="0"/>
            </w:tcBorders>
            <w:vAlign w:val="center"/>
          </w:tcPr>
          <w:p>
            <w:pPr>
              <w:rPr>
                <w:rFonts w:hint="eastAsia" w:ascii="宋体" w:hAnsi="宋体" w:eastAsia="宋体" w:cs="宋体"/>
                <w:b/>
                <w:sz w:val="21"/>
                <w:szCs w:val="21"/>
                <w:shd w:val="clear" w:color="auto" w:fill="FFFFFF"/>
              </w:rPr>
            </w:pPr>
            <w:r>
              <w:rPr>
                <w:rFonts w:hint="eastAsia" w:ascii="宋体" w:hAnsi="宋体" w:eastAsia="宋体" w:cs="宋体"/>
                <w:sz w:val="21"/>
                <w:szCs w:val="21"/>
                <w:shd w:val="clear" w:color="auto" w:fill="FFFFFF"/>
              </w:rPr>
              <w:t>6．3．5 加油站宜采用油罐装设潜油泵的一泵供多机(枪)的加油工艺。采用自吸式加油机时，每台加油机应按加油品种单独设置进油管和罐内底阀。</w:t>
            </w:r>
          </w:p>
        </w:tc>
        <w:tc>
          <w:tcPr>
            <w:tcW w:w="1104"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设计采用</w:t>
            </w:r>
            <w:r>
              <w:rPr>
                <w:rFonts w:hint="eastAsia" w:ascii="宋体" w:hAnsi="宋体" w:eastAsia="宋体" w:cs="宋体"/>
                <w:sz w:val="21"/>
                <w:szCs w:val="21"/>
                <w:shd w:val="clear" w:color="auto" w:fill="FFFFFF"/>
              </w:rPr>
              <w:t>潜油泵的一泵供多机(枪)的加油工艺。</w:t>
            </w:r>
          </w:p>
        </w:tc>
        <w:tc>
          <w:tcPr>
            <w:tcW w:w="1380"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对应油罐有更换新潜液泵。</w:t>
            </w:r>
          </w:p>
        </w:tc>
        <w:tc>
          <w:tcPr>
            <w:tcW w:w="1812"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根据提供潜液泵资料，采用的是</w:t>
            </w:r>
            <w:r>
              <w:rPr>
                <w:rFonts w:hint="eastAsia" w:ascii="宋体" w:hAnsi="宋体" w:eastAsia="宋体" w:cs="宋体"/>
                <w:sz w:val="21"/>
                <w:szCs w:val="21"/>
                <w:shd w:val="clear" w:color="auto" w:fill="FFFFFF"/>
              </w:rPr>
              <w:t>潜油泵的一泵供多机(枪)的加油工艺。</w:t>
            </w:r>
          </w:p>
        </w:tc>
        <w:tc>
          <w:tcPr>
            <w:tcW w:w="1092"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98" w:hRule="atLeast"/>
          <w:jc w:val="center"/>
        </w:trPr>
        <w:tc>
          <w:tcPr>
            <w:tcW w:w="579" w:type="dxa"/>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lang w:val="en-US"/>
              </w:rPr>
              <w:t>6</w:t>
            </w:r>
          </w:p>
        </w:tc>
        <w:tc>
          <w:tcPr>
            <w:tcW w:w="3160" w:type="dxa"/>
            <w:tcBorders>
              <w:right w:val="single" w:color="000000" w:sz="6" w:space="0"/>
            </w:tcBorders>
            <w:vAlign w:val="center"/>
          </w:tcPr>
          <w:p>
            <w:pPr>
              <w:rPr>
                <w:rFonts w:hint="eastAsia" w:ascii="宋体" w:hAnsi="宋体" w:eastAsia="宋体" w:cs="宋体"/>
                <w:sz w:val="21"/>
                <w:szCs w:val="21"/>
                <w:shd w:val="clear" w:color="auto" w:fill="FFFFFF"/>
              </w:rPr>
            </w:pPr>
            <w:r>
              <w:rPr>
                <w:rFonts w:hint="eastAsia" w:ascii="宋体" w:hAnsi="宋体" w:eastAsia="宋体" w:cs="宋体"/>
                <w:sz w:val="21"/>
                <w:szCs w:val="21"/>
                <w:shd w:val="clear" w:color="auto" w:fill="FFFFFF"/>
              </w:rPr>
              <w:t>6．3．6 加油站采用加油油气回收系统时，其设计应符合下列规定：</w:t>
            </w:r>
            <w:r>
              <w:rPr>
                <w:rFonts w:hint="eastAsia" w:ascii="宋体" w:hAnsi="宋体" w:eastAsia="宋体" w:cs="宋体"/>
                <w:sz w:val="21"/>
                <w:szCs w:val="21"/>
                <w:shd w:val="clear" w:color="auto" w:fill="FFFFFF"/>
              </w:rPr>
              <w:br w:type="textWrapping"/>
            </w:r>
            <w:r>
              <w:rPr>
                <w:rFonts w:hint="eastAsia" w:ascii="宋体" w:hAnsi="宋体" w:eastAsia="宋体" w:cs="宋体"/>
                <w:sz w:val="21"/>
                <w:szCs w:val="21"/>
                <w:shd w:val="clear" w:color="auto" w:fill="FFFFFF"/>
              </w:rPr>
              <w:t>1 应采用真空辅助式油气回收系统。</w:t>
            </w:r>
            <w:r>
              <w:rPr>
                <w:rFonts w:hint="eastAsia" w:ascii="宋体" w:hAnsi="宋体" w:eastAsia="宋体" w:cs="宋体"/>
                <w:sz w:val="21"/>
                <w:szCs w:val="21"/>
                <w:shd w:val="clear" w:color="auto" w:fill="FFFFFF"/>
              </w:rPr>
              <w:br w:type="textWrapping"/>
            </w:r>
            <w:r>
              <w:rPr>
                <w:rFonts w:hint="eastAsia" w:ascii="宋体" w:hAnsi="宋体" w:eastAsia="宋体" w:cs="宋体"/>
                <w:sz w:val="21"/>
                <w:szCs w:val="21"/>
                <w:shd w:val="clear" w:color="auto" w:fill="FFFFFF"/>
              </w:rPr>
              <w:t>2 汽油加油机与油罐之间应设油气回收管道，多台汽油加油机可共用1根油气回收主管，油气回收主管的公称直径不应小于50mm。</w:t>
            </w:r>
            <w:r>
              <w:rPr>
                <w:rFonts w:hint="eastAsia" w:ascii="宋体" w:hAnsi="宋体" w:eastAsia="宋体" w:cs="宋体"/>
                <w:sz w:val="21"/>
                <w:szCs w:val="21"/>
                <w:shd w:val="clear" w:color="auto" w:fill="FFFFFF"/>
              </w:rPr>
              <w:br w:type="textWrapping"/>
            </w:r>
            <w:r>
              <w:rPr>
                <w:rFonts w:hint="eastAsia" w:ascii="宋体" w:hAnsi="宋体" w:eastAsia="宋体" w:cs="宋体"/>
                <w:sz w:val="21"/>
                <w:szCs w:val="21"/>
                <w:shd w:val="clear" w:color="auto" w:fill="FFFFFF"/>
              </w:rPr>
              <w:t>3 加油油气回收系统应采取防止油气反向流至加油枪的措施。</w:t>
            </w:r>
            <w:r>
              <w:rPr>
                <w:rFonts w:hint="eastAsia" w:ascii="宋体" w:hAnsi="宋体" w:eastAsia="宋体" w:cs="宋体"/>
                <w:sz w:val="21"/>
                <w:szCs w:val="21"/>
                <w:shd w:val="clear" w:color="auto" w:fill="FFFFFF"/>
              </w:rPr>
              <w:br w:type="textWrapping"/>
            </w:r>
            <w:r>
              <w:rPr>
                <w:rFonts w:hint="eastAsia" w:ascii="宋体" w:hAnsi="宋体" w:eastAsia="宋体" w:cs="宋体"/>
                <w:sz w:val="21"/>
                <w:szCs w:val="21"/>
                <w:shd w:val="clear" w:color="auto" w:fill="FFFFFF"/>
              </w:rPr>
              <w:t>4 加油机应具备回收油气功能，其气液比宜设定为1．0～1．2。</w:t>
            </w:r>
            <w:r>
              <w:rPr>
                <w:rFonts w:hint="eastAsia" w:ascii="宋体" w:hAnsi="宋体" w:eastAsia="宋体" w:cs="宋体"/>
                <w:sz w:val="21"/>
                <w:szCs w:val="21"/>
                <w:shd w:val="clear" w:color="auto" w:fill="FFFFFF"/>
              </w:rPr>
              <w:br w:type="textWrapping"/>
            </w:r>
            <w:r>
              <w:rPr>
                <w:rFonts w:hint="eastAsia" w:ascii="宋体" w:hAnsi="宋体" w:eastAsia="宋体" w:cs="宋体"/>
                <w:sz w:val="21"/>
                <w:szCs w:val="21"/>
                <w:shd w:val="clear" w:color="auto" w:fill="FFFFFF"/>
              </w:rPr>
              <w:t>5 在加油机底部与油气回收立管的连接处，应安装一个用于检测液阻和系统密闭性的丝接三通，其旁通短管上应设公称直径为25mm的球阀及丝堵。</w:t>
            </w:r>
          </w:p>
        </w:tc>
        <w:tc>
          <w:tcPr>
            <w:tcW w:w="1104" w:type="dxa"/>
            <w:tcBorders>
              <w:left w:val="single" w:color="000000" w:sz="6" w:space="0"/>
            </w:tcBorders>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rPr>
              <w:t>设计采用</w:t>
            </w:r>
            <w:r>
              <w:rPr>
                <w:rFonts w:hint="eastAsia" w:ascii="宋体" w:hAnsi="宋体" w:eastAsia="宋体" w:cs="宋体"/>
                <w:sz w:val="21"/>
                <w:szCs w:val="21"/>
                <w:lang w:val="en-US"/>
              </w:rPr>
              <w:t>Mini9000系统无电真空集中式回收方式。</w:t>
            </w:r>
          </w:p>
          <w:p>
            <w:pPr>
              <w:jc w:val="center"/>
              <w:rPr>
                <w:rFonts w:hint="eastAsia" w:ascii="宋体" w:hAnsi="宋体" w:eastAsia="宋体" w:cs="宋体"/>
                <w:sz w:val="21"/>
                <w:szCs w:val="21"/>
                <w:lang w:val="en-US"/>
              </w:rPr>
            </w:pPr>
            <w:r>
              <w:rPr>
                <w:rFonts w:hint="eastAsia" w:ascii="宋体" w:hAnsi="宋体" w:eastAsia="宋体" w:cs="宋体"/>
                <w:sz w:val="21"/>
                <w:szCs w:val="21"/>
                <w:shd w:val="clear" w:color="auto" w:fill="FFFFFF"/>
              </w:rPr>
              <w:t>油气回收主管的公称直径50mm，材质</w:t>
            </w:r>
            <w:r>
              <w:rPr>
                <w:rFonts w:hint="eastAsia" w:ascii="宋体" w:hAnsi="宋体" w:eastAsia="宋体" w:cs="宋体"/>
                <w:sz w:val="21"/>
                <w:szCs w:val="21"/>
                <w:shd w:val="clear" w:color="auto" w:fill="FFFFFF"/>
                <w:lang w:val="en-US"/>
              </w:rPr>
              <w:t>KFS。</w:t>
            </w:r>
          </w:p>
        </w:tc>
        <w:tc>
          <w:tcPr>
            <w:tcW w:w="1380"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按照设计施工；加油机未改动，全部为原有加油机。</w:t>
            </w:r>
          </w:p>
        </w:tc>
        <w:tc>
          <w:tcPr>
            <w:tcW w:w="1812" w:type="dxa"/>
            <w:tcBorders>
              <w:left w:val="single" w:color="000000" w:sz="6" w:space="0"/>
            </w:tcBorders>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rPr>
              <w:t>根据</w:t>
            </w:r>
            <w:r>
              <w:rPr>
                <w:rFonts w:hint="eastAsia" w:ascii="宋体" w:hAnsi="宋体" w:eastAsia="宋体" w:cs="宋体"/>
                <w:sz w:val="21"/>
                <w:szCs w:val="21"/>
                <w:lang w:eastAsia="zh-CN"/>
              </w:rPr>
              <w:t>工艺流程图及现场检查，</w:t>
            </w:r>
            <w:r>
              <w:rPr>
                <w:rFonts w:hint="eastAsia" w:ascii="宋体" w:hAnsi="宋体" w:eastAsia="宋体" w:cs="宋体"/>
                <w:sz w:val="21"/>
                <w:szCs w:val="21"/>
                <w:highlight w:val="none"/>
                <w:lang w:eastAsia="zh-CN"/>
              </w:rPr>
              <w:t>加油时</w:t>
            </w:r>
            <w:r>
              <w:rPr>
                <w:rFonts w:hint="eastAsia" w:ascii="宋体" w:hAnsi="宋体" w:eastAsia="宋体" w:cs="宋体"/>
                <w:sz w:val="21"/>
                <w:szCs w:val="21"/>
                <w:highlight w:val="none"/>
              </w:rPr>
              <w:t>油气回收至</w:t>
            </w:r>
            <w:r>
              <w:rPr>
                <w:rFonts w:hint="eastAsia" w:ascii="宋体" w:hAnsi="宋体" w:eastAsia="宋体" w:cs="宋体"/>
                <w:sz w:val="21"/>
                <w:szCs w:val="21"/>
                <w:highlight w:val="none"/>
                <w:lang w:val="en-US"/>
              </w:rPr>
              <w:t>92#汽油罐内。</w:t>
            </w:r>
          </w:p>
        </w:tc>
        <w:tc>
          <w:tcPr>
            <w:tcW w:w="1092"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98" w:hRule="atLeast"/>
          <w:jc w:val="center"/>
        </w:trPr>
        <w:tc>
          <w:tcPr>
            <w:tcW w:w="579" w:type="dxa"/>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lang w:val="en-US"/>
              </w:rPr>
              <w:t>7</w:t>
            </w:r>
          </w:p>
        </w:tc>
        <w:tc>
          <w:tcPr>
            <w:tcW w:w="3160" w:type="dxa"/>
            <w:tcBorders>
              <w:right w:val="single" w:color="000000" w:sz="6" w:space="0"/>
            </w:tcBorders>
            <w:vAlign w:val="center"/>
          </w:tcPr>
          <w:p>
            <w:pPr>
              <w:rPr>
                <w:rFonts w:hint="eastAsia" w:ascii="宋体" w:hAnsi="宋体" w:eastAsia="宋体" w:cs="宋体"/>
                <w:sz w:val="21"/>
                <w:szCs w:val="21"/>
                <w:shd w:val="clear" w:color="auto" w:fill="FFFFFF"/>
              </w:rPr>
            </w:pPr>
            <w:r>
              <w:rPr>
                <w:rFonts w:hint="eastAsia" w:ascii="宋体" w:hAnsi="宋体" w:eastAsia="宋体" w:cs="宋体"/>
                <w:sz w:val="21"/>
                <w:szCs w:val="21"/>
                <w:shd w:val="clear" w:color="auto" w:fill="FFFFFF"/>
              </w:rPr>
              <w:t>6．3．7 油罐的接合管设置应符合下列规定：</w:t>
            </w:r>
            <w:r>
              <w:rPr>
                <w:rFonts w:hint="eastAsia" w:ascii="宋体" w:hAnsi="宋体" w:eastAsia="宋体" w:cs="宋体"/>
                <w:sz w:val="21"/>
                <w:szCs w:val="21"/>
                <w:shd w:val="clear" w:color="auto" w:fill="FFFFFF"/>
              </w:rPr>
              <w:br w:type="textWrapping"/>
            </w:r>
            <w:r>
              <w:rPr>
                <w:rFonts w:hint="eastAsia" w:ascii="宋体" w:hAnsi="宋体" w:eastAsia="宋体" w:cs="宋体"/>
                <w:sz w:val="21"/>
                <w:szCs w:val="21"/>
                <w:shd w:val="clear" w:color="auto" w:fill="FFFFFF"/>
              </w:rPr>
              <w:t>1 接合管应为金属材质。</w:t>
            </w:r>
            <w:r>
              <w:rPr>
                <w:rFonts w:hint="eastAsia" w:ascii="宋体" w:hAnsi="宋体" w:eastAsia="宋体" w:cs="宋体"/>
                <w:sz w:val="21"/>
                <w:szCs w:val="21"/>
                <w:shd w:val="clear" w:color="auto" w:fill="FFFFFF"/>
              </w:rPr>
              <w:br w:type="textWrapping"/>
            </w:r>
            <w:r>
              <w:rPr>
                <w:rFonts w:hint="eastAsia" w:ascii="宋体" w:hAnsi="宋体" w:eastAsia="宋体" w:cs="宋体"/>
                <w:sz w:val="21"/>
                <w:szCs w:val="21"/>
                <w:shd w:val="clear" w:color="auto" w:fill="FFFFFF"/>
              </w:rPr>
              <w:t>2 接合管应设在油罐的顶部，其中进油接合管、出油接合管或潜油泵安装口，应设在人孔盖上。</w:t>
            </w:r>
            <w:r>
              <w:rPr>
                <w:rFonts w:hint="eastAsia" w:ascii="宋体" w:hAnsi="宋体" w:eastAsia="宋体" w:cs="宋体"/>
                <w:sz w:val="21"/>
                <w:szCs w:val="21"/>
                <w:shd w:val="clear" w:color="auto" w:fill="FFFFFF"/>
              </w:rPr>
              <w:br w:type="textWrapping"/>
            </w:r>
            <w:r>
              <w:rPr>
                <w:rFonts w:hint="eastAsia" w:ascii="宋体" w:hAnsi="宋体" w:eastAsia="宋体" w:cs="宋体"/>
                <w:sz w:val="21"/>
                <w:szCs w:val="21"/>
                <w:shd w:val="clear" w:color="auto" w:fill="FFFFFF"/>
              </w:rPr>
              <w:t>3 进油管应伸至罐内距罐底50mm～100mm处。进油立管的底端应为45°斜管口或T形管口。进油管管壁上不得有与油罐气相空间相通的开口。</w:t>
            </w:r>
            <w:r>
              <w:rPr>
                <w:rFonts w:hint="eastAsia" w:ascii="宋体" w:hAnsi="宋体" w:eastAsia="宋体" w:cs="宋体"/>
                <w:sz w:val="21"/>
                <w:szCs w:val="21"/>
                <w:shd w:val="clear" w:color="auto" w:fill="FFFFFF"/>
              </w:rPr>
              <w:br w:type="textWrapping"/>
            </w:r>
            <w:r>
              <w:rPr>
                <w:rFonts w:hint="eastAsia" w:ascii="宋体" w:hAnsi="宋体" w:eastAsia="宋体" w:cs="宋体"/>
                <w:sz w:val="21"/>
                <w:szCs w:val="21"/>
                <w:shd w:val="clear" w:color="auto" w:fill="FFFFFF"/>
              </w:rPr>
              <w:t>4 罐内潜油泵的入油口或通往自吸式加油机管道的罐内底阀，应高于罐底150mm～200mm。</w:t>
            </w:r>
            <w:r>
              <w:rPr>
                <w:rFonts w:hint="eastAsia" w:ascii="宋体" w:hAnsi="宋体" w:eastAsia="宋体" w:cs="宋体"/>
                <w:sz w:val="21"/>
                <w:szCs w:val="21"/>
                <w:shd w:val="clear" w:color="auto" w:fill="FFFFFF"/>
              </w:rPr>
              <w:br w:type="textWrapping"/>
            </w:r>
            <w:r>
              <w:rPr>
                <w:rFonts w:hint="eastAsia" w:ascii="宋体" w:hAnsi="宋体" w:eastAsia="宋体" w:cs="宋体"/>
                <w:sz w:val="21"/>
                <w:szCs w:val="21"/>
                <w:shd w:val="clear" w:color="auto" w:fill="FFFFFF"/>
              </w:rPr>
              <w:t>5 油罐的量油孔应设带锁的量油帽。量油孔下部的接合管宜向下伸至罐内距罐底200mm处，并应有检尺时使接合管内液位与罐内液位相一致的技术措施。</w:t>
            </w:r>
            <w:r>
              <w:rPr>
                <w:rFonts w:hint="eastAsia" w:ascii="宋体" w:hAnsi="宋体" w:eastAsia="宋体" w:cs="宋体"/>
                <w:sz w:val="21"/>
                <w:szCs w:val="21"/>
                <w:shd w:val="clear" w:color="auto" w:fill="FFFFFF"/>
              </w:rPr>
              <w:br w:type="textWrapping"/>
            </w:r>
            <w:r>
              <w:rPr>
                <w:rFonts w:hint="eastAsia" w:ascii="宋体" w:hAnsi="宋体" w:eastAsia="宋体" w:cs="宋体"/>
                <w:sz w:val="21"/>
                <w:szCs w:val="21"/>
                <w:shd w:val="clear" w:color="auto" w:fill="FFFFFF"/>
              </w:rPr>
              <w:t>6 油罐人孔井内的管道及设备，应保证油罐人孔盖的可拆装性。</w:t>
            </w:r>
            <w:r>
              <w:rPr>
                <w:rFonts w:hint="eastAsia" w:ascii="宋体" w:hAnsi="宋体" w:eastAsia="宋体" w:cs="宋体"/>
                <w:sz w:val="21"/>
                <w:szCs w:val="21"/>
                <w:shd w:val="clear" w:color="auto" w:fill="FFFFFF"/>
              </w:rPr>
              <w:br w:type="textWrapping"/>
            </w:r>
            <w:r>
              <w:rPr>
                <w:rFonts w:hint="eastAsia" w:ascii="宋体" w:hAnsi="宋体" w:eastAsia="宋体" w:cs="宋体"/>
                <w:sz w:val="21"/>
                <w:szCs w:val="21"/>
                <w:shd w:val="clear" w:color="auto" w:fill="FFFFFF"/>
              </w:rPr>
              <w:t>7 人孔盖上的接合管与引出井外管道的连接，宜采用金属软管过渡连接(包括潜油泵出油管)。</w:t>
            </w:r>
          </w:p>
        </w:tc>
        <w:tc>
          <w:tcPr>
            <w:tcW w:w="1104"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设计接合管为金属管线；</w:t>
            </w:r>
          </w:p>
          <w:p>
            <w:pPr>
              <w:jc w:val="center"/>
              <w:rPr>
                <w:rFonts w:hint="eastAsia" w:ascii="宋体" w:hAnsi="宋体" w:eastAsia="宋体" w:cs="宋体"/>
                <w:sz w:val="21"/>
                <w:szCs w:val="21"/>
              </w:rPr>
            </w:pPr>
            <w:r>
              <w:rPr>
                <w:rFonts w:hint="eastAsia" w:ascii="宋体" w:hAnsi="宋体" w:eastAsia="宋体" w:cs="宋体"/>
                <w:sz w:val="21"/>
                <w:szCs w:val="21"/>
              </w:rPr>
              <w:t>相关接合管集中设置在人孔盖和操作井内；</w:t>
            </w:r>
          </w:p>
          <w:p>
            <w:pPr>
              <w:jc w:val="center"/>
              <w:rPr>
                <w:rFonts w:hint="eastAsia" w:ascii="宋体" w:hAnsi="宋体" w:eastAsia="宋体" w:cs="宋体"/>
                <w:sz w:val="21"/>
                <w:szCs w:val="21"/>
                <w:shd w:val="clear" w:color="auto" w:fill="FFFFFF"/>
              </w:rPr>
            </w:pPr>
            <w:r>
              <w:rPr>
                <w:rFonts w:hint="eastAsia" w:ascii="宋体" w:hAnsi="宋体" w:eastAsia="宋体" w:cs="宋体"/>
                <w:sz w:val="21"/>
                <w:szCs w:val="21"/>
              </w:rPr>
              <w:t>设计进油管伸至</w:t>
            </w:r>
            <w:r>
              <w:rPr>
                <w:rFonts w:hint="eastAsia" w:ascii="宋体" w:hAnsi="宋体" w:eastAsia="宋体" w:cs="宋体"/>
                <w:sz w:val="21"/>
                <w:szCs w:val="21"/>
                <w:shd w:val="clear" w:color="auto" w:fill="FFFFFF"/>
              </w:rPr>
              <w:t>罐底100mm处；</w:t>
            </w:r>
          </w:p>
          <w:p>
            <w:pPr>
              <w:jc w:val="center"/>
              <w:rPr>
                <w:rFonts w:hint="eastAsia" w:ascii="宋体" w:hAnsi="宋体" w:eastAsia="宋体" w:cs="宋体"/>
                <w:sz w:val="21"/>
                <w:szCs w:val="21"/>
                <w:shd w:val="clear" w:color="auto" w:fill="FFFFFF"/>
              </w:rPr>
            </w:pPr>
            <w:r>
              <w:rPr>
                <w:rFonts w:hint="eastAsia" w:ascii="宋体" w:hAnsi="宋体" w:eastAsia="宋体" w:cs="宋体"/>
                <w:sz w:val="21"/>
                <w:szCs w:val="21"/>
                <w:shd w:val="clear" w:color="auto" w:fill="FFFFFF"/>
              </w:rPr>
              <w:t>设计潜油泵入油口设计高于罐底</w:t>
            </w:r>
            <w:r>
              <w:rPr>
                <w:rFonts w:hint="eastAsia" w:ascii="宋体" w:hAnsi="宋体" w:eastAsia="宋体" w:cs="宋体"/>
                <w:sz w:val="21"/>
                <w:szCs w:val="21"/>
                <w:shd w:val="clear" w:color="auto" w:fill="FFFFFF"/>
                <w:lang w:val="en-US"/>
              </w:rPr>
              <w:t>2</w:t>
            </w:r>
            <w:r>
              <w:rPr>
                <w:rFonts w:hint="eastAsia" w:ascii="宋体" w:hAnsi="宋体" w:eastAsia="宋体" w:cs="宋体"/>
                <w:sz w:val="21"/>
                <w:szCs w:val="21"/>
                <w:shd w:val="clear" w:color="auto" w:fill="FFFFFF"/>
              </w:rPr>
              <w:t>00mm；</w:t>
            </w:r>
          </w:p>
          <w:p>
            <w:pPr>
              <w:jc w:val="center"/>
              <w:rPr>
                <w:rFonts w:hint="eastAsia" w:ascii="宋体" w:hAnsi="宋体" w:eastAsia="宋体" w:cs="宋体"/>
                <w:sz w:val="21"/>
                <w:szCs w:val="21"/>
                <w:shd w:val="clear" w:color="auto" w:fill="FFFFFF"/>
              </w:rPr>
            </w:pPr>
            <w:r>
              <w:rPr>
                <w:rFonts w:hint="eastAsia" w:ascii="宋体" w:hAnsi="宋体" w:eastAsia="宋体" w:cs="宋体"/>
                <w:sz w:val="21"/>
                <w:szCs w:val="21"/>
                <w:shd w:val="clear" w:color="auto" w:fill="FFFFFF"/>
              </w:rPr>
              <w:t>油罐的量油孔接合管向下伸至罐内距罐底200mm；</w:t>
            </w:r>
          </w:p>
          <w:p>
            <w:pPr>
              <w:jc w:val="center"/>
              <w:rPr>
                <w:rFonts w:hint="eastAsia" w:ascii="宋体" w:hAnsi="宋体" w:eastAsia="宋体" w:cs="宋体"/>
                <w:sz w:val="21"/>
                <w:szCs w:val="21"/>
                <w:shd w:val="clear" w:color="auto" w:fill="FFFFFF"/>
              </w:rPr>
            </w:pPr>
            <w:r>
              <w:rPr>
                <w:rFonts w:hint="eastAsia" w:ascii="宋体" w:hAnsi="宋体" w:eastAsia="宋体" w:cs="宋体"/>
                <w:sz w:val="21"/>
                <w:szCs w:val="21"/>
                <w:shd w:val="clear" w:color="auto" w:fill="FFFFFF"/>
              </w:rPr>
              <w:t>人孔盖可拆卸；</w:t>
            </w:r>
          </w:p>
          <w:p>
            <w:pPr>
              <w:jc w:val="center"/>
              <w:rPr>
                <w:rFonts w:hint="eastAsia" w:ascii="宋体" w:hAnsi="宋体" w:eastAsia="宋体" w:cs="宋体"/>
                <w:sz w:val="21"/>
                <w:szCs w:val="21"/>
                <w:shd w:val="clear" w:color="auto" w:fill="FFFFFF"/>
              </w:rPr>
            </w:pPr>
            <w:r>
              <w:rPr>
                <w:rFonts w:hint="eastAsia" w:ascii="宋体" w:hAnsi="宋体" w:eastAsia="宋体" w:cs="宋体"/>
                <w:sz w:val="21"/>
                <w:szCs w:val="21"/>
                <w:shd w:val="clear" w:color="auto" w:fill="FFFFFF"/>
              </w:rPr>
              <w:t>接合管与输油、卸油管线连接采用软管连接。</w:t>
            </w:r>
          </w:p>
        </w:tc>
        <w:tc>
          <w:tcPr>
            <w:tcW w:w="1380"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按照设计方案施工</w:t>
            </w:r>
          </w:p>
        </w:tc>
        <w:tc>
          <w:tcPr>
            <w:tcW w:w="1812" w:type="dxa"/>
            <w:tcBorders>
              <w:left w:val="single" w:color="000000" w:sz="6" w:space="0"/>
            </w:tcBorders>
            <w:vAlign w:val="center"/>
          </w:tcPr>
          <w:p>
            <w:pPr>
              <w:rPr>
                <w:rFonts w:hint="eastAsia" w:ascii="宋体" w:hAnsi="宋体" w:eastAsia="宋体" w:cs="宋体"/>
                <w:sz w:val="21"/>
                <w:szCs w:val="21"/>
                <w:shd w:val="clear" w:color="auto" w:fill="FFFFFF"/>
              </w:rPr>
            </w:pPr>
            <w:r>
              <w:rPr>
                <w:rFonts w:hint="eastAsia" w:ascii="宋体" w:hAnsi="宋体" w:eastAsia="宋体" w:cs="宋体"/>
                <w:sz w:val="21"/>
                <w:szCs w:val="21"/>
              </w:rPr>
              <w:t>根据</w:t>
            </w:r>
            <w:r>
              <w:rPr>
                <w:rFonts w:hint="eastAsia" w:ascii="宋体" w:hAnsi="宋体" w:eastAsia="宋体" w:cs="宋体"/>
                <w:sz w:val="21"/>
                <w:szCs w:val="21"/>
                <w:lang w:eastAsia="zh-CN"/>
              </w:rPr>
              <w:t>施工情况</w:t>
            </w:r>
            <w:r>
              <w:rPr>
                <w:rFonts w:hint="eastAsia" w:ascii="宋体" w:hAnsi="宋体" w:eastAsia="宋体" w:cs="宋体"/>
                <w:sz w:val="21"/>
                <w:szCs w:val="21"/>
              </w:rPr>
              <w:t>情况</w:t>
            </w:r>
            <w:r>
              <w:rPr>
                <w:rFonts w:hint="eastAsia" w:ascii="宋体" w:hAnsi="宋体" w:eastAsia="宋体" w:cs="宋体"/>
                <w:sz w:val="21"/>
                <w:szCs w:val="21"/>
                <w:lang w:eastAsia="zh-CN"/>
              </w:rPr>
              <w:t>报告</w:t>
            </w:r>
            <w:r>
              <w:rPr>
                <w:rFonts w:hint="eastAsia" w:ascii="宋体" w:hAnsi="宋体" w:eastAsia="宋体" w:cs="宋体"/>
                <w:sz w:val="21"/>
                <w:szCs w:val="21"/>
              </w:rPr>
              <w:t>及现场查看接合管为金属管线；相关接合管集中设置在人孔盖和操作井内；进油管伸至</w:t>
            </w:r>
            <w:r>
              <w:rPr>
                <w:rFonts w:hint="eastAsia" w:ascii="宋体" w:hAnsi="宋体" w:eastAsia="宋体" w:cs="宋体"/>
                <w:sz w:val="21"/>
                <w:szCs w:val="21"/>
                <w:shd w:val="clear" w:color="auto" w:fill="FFFFFF"/>
              </w:rPr>
              <w:t>罐底100mm处；</w:t>
            </w:r>
          </w:p>
          <w:p>
            <w:pPr>
              <w:rPr>
                <w:rFonts w:hint="eastAsia" w:ascii="宋体" w:hAnsi="宋体" w:eastAsia="宋体" w:cs="宋体"/>
                <w:sz w:val="21"/>
                <w:szCs w:val="21"/>
                <w:shd w:val="clear" w:color="auto" w:fill="FFFFFF"/>
              </w:rPr>
            </w:pPr>
            <w:r>
              <w:rPr>
                <w:rFonts w:hint="eastAsia" w:ascii="宋体" w:hAnsi="宋体" w:eastAsia="宋体" w:cs="宋体"/>
                <w:sz w:val="21"/>
                <w:szCs w:val="21"/>
                <w:shd w:val="clear" w:color="auto" w:fill="FFFFFF"/>
              </w:rPr>
              <w:t>潜油泵入油口高于罐底</w:t>
            </w:r>
            <w:r>
              <w:rPr>
                <w:rFonts w:hint="eastAsia" w:ascii="宋体" w:hAnsi="宋体" w:eastAsia="宋体" w:cs="宋体"/>
                <w:sz w:val="21"/>
                <w:szCs w:val="21"/>
                <w:shd w:val="clear" w:color="auto" w:fill="FFFFFF"/>
                <w:lang w:val="en-US"/>
              </w:rPr>
              <w:t>2</w:t>
            </w:r>
            <w:r>
              <w:rPr>
                <w:rFonts w:hint="eastAsia" w:ascii="宋体" w:hAnsi="宋体" w:eastAsia="宋体" w:cs="宋体"/>
                <w:sz w:val="21"/>
                <w:szCs w:val="21"/>
                <w:shd w:val="clear" w:color="auto" w:fill="FFFFFF"/>
              </w:rPr>
              <w:t>00mm；</w:t>
            </w:r>
          </w:p>
          <w:p>
            <w:pPr>
              <w:rPr>
                <w:rFonts w:hint="eastAsia" w:ascii="宋体" w:hAnsi="宋体" w:eastAsia="宋体" w:cs="宋体"/>
                <w:sz w:val="21"/>
                <w:szCs w:val="21"/>
                <w:shd w:val="clear" w:color="auto" w:fill="FFFFFF"/>
              </w:rPr>
            </w:pPr>
            <w:r>
              <w:rPr>
                <w:rFonts w:hint="eastAsia" w:ascii="宋体" w:hAnsi="宋体" w:eastAsia="宋体" w:cs="宋体"/>
                <w:sz w:val="21"/>
                <w:szCs w:val="21"/>
                <w:shd w:val="clear" w:color="auto" w:fill="FFFFFF"/>
              </w:rPr>
              <w:t>油罐的量油孔接合管向下伸至罐内距罐底200mm；</w:t>
            </w:r>
          </w:p>
          <w:p>
            <w:pPr>
              <w:rPr>
                <w:rFonts w:hint="eastAsia" w:ascii="宋体" w:hAnsi="宋体" w:eastAsia="宋体" w:cs="宋体"/>
                <w:sz w:val="21"/>
                <w:szCs w:val="21"/>
                <w:shd w:val="clear" w:color="auto" w:fill="FFFFFF"/>
              </w:rPr>
            </w:pPr>
            <w:r>
              <w:rPr>
                <w:rFonts w:hint="eastAsia" w:ascii="宋体" w:hAnsi="宋体" w:eastAsia="宋体" w:cs="宋体"/>
                <w:sz w:val="21"/>
                <w:szCs w:val="21"/>
                <w:shd w:val="clear" w:color="auto" w:fill="FFFFFF"/>
              </w:rPr>
              <w:t>人孔盖可拆卸；</w:t>
            </w:r>
          </w:p>
          <w:p>
            <w:pPr>
              <w:rPr>
                <w:rFonts w:hint="eastAsia" w:ascii="宋体" w:hAnsi="宋体" w:eastAsia="宋体" w:cs="宋体"/>
                <w:sz w:val="21"/>
                <w:szCs w:val="21"/>
              </w:rPr>
            </w:pPr>
            <w:r>
              <w:rPr>
                <w:rFonts w:hint="eastAsia" w:ascii="宋体" w:hAnsi="宋体" w:eastAsia="宋体" w:cs="宋体"/>
                <w:sz w:val="21"/>
                <w:szCs w:val="21"/>
                <w:shd w:val="clear" w:color="auto" w:fill="FFFFFF"/>
              </w:rPr>
              <w:t>接合管与输油、卸油管线连接采用软管连接。</w:t>
            </w:r>
          </w:p>
        </w:tc>
        <w:tc>
          <w:tcPr>
            <w:tcW w:w="1092"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98" w:hRule="atLeast"/>
          <w:jc w:val="center"/>
        </w:trPr>
        <w:tc>
          <w:tcPr>
            <w:tcW w:w="579" w:type="dxa"/>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lang w:val="en-US"/>
              </w:rPr>
              <w:t>8</w:t>
            </w:r>
          </w:p>
        </w:tc>
        <w:tc>
          <w:tcPr>
            <w:tcW w:w="3160" w:type="dxa"/>
            <w:tcBorders>
              <w:right w:val="single" w:color="000000" w:sz="6" w:space="0"/>
            </w:tcBorders>
            <w:vAlign w:val="center"/>
          </w:tcPr>
          <w:p>
            <w:pPr>
              <w:rPr>
                <w:rFonts w:hint="eastAsia" w:ascii="宋体" w:hAnsi="宋体" w:eastAsia="宋体" w:cs="宋体"/>
                <w:sz w:val="21"/>
                <w:szCs w:val="21"/>
                <w:shd w:val="clear" w:color="auto" w:fill="FFFFFF"/>
              </w:rPr>
            </w:pPr>
            <w:r>
              <w:rPr>
                <w:rFonts w:hint="eastAsia" w:ascii="宋体" w:hAnsi="宋体" w:eastAsia="宋体" w:cs="宋体"/>
                <w:sz w:val="21"/>
                <w:szCs w:val="21"/>
                <w:shd w:val="clear" w:color="auto" w:fill="FFFFFF"/>
              </w:rPr>
              <w:t>6．3．8 汽油罐与柴油罐的通气管应分开设置。通气管管口高出地面的高度不应小于4m。沿建(构)筑物的墙(柱)向上敷设的通气管，其管口应高出建筑物的顶面1．5m及以上。通气管管口应设置阻火器。</w:t>
            </w:r>
          </w:p>
          <w:p>
            <w:pPr>
              <w:rPr>
                <w:rFonts w:hint="eastAsia" w:ascii="宋体" w:hAnsi="宋体" w:eastAsia="宋体" w:cs="宋体"/>
                <w:sz w:val="21"/>
                <w:szCs w:val="21"/>
                <w:shd w:val="clear" w:color="auto" w:fill="FFFFFF"/>
              </w:rPr>
            </w:pPr>
            <w:r>
              <w:rPr>
                <w:rFonts w:hint="eastAsia" w:ascii="宋体" w:hAnsi="宋体" w:eastAsia="宋体" w:cs="宋体"/>
                <w:sz w:val="21"/>
                <w:szCs w:val="21"/>
                <w:shd w:val="clear" w:color="auto" w:fill="FFFFFF"/>
              </w:rPr>
              <w:t>6．3．9 通气管的公称直径不应小于50mm。</w:t>
            </w:r>
          </w:p>
        </w:tc>
        <w:tc>
          <w:tcPr>
            <w:tcW w:w="1104" w:type="dxa"/>
            <w:tcBorders>
              <w:left w:val="single" w:color="000000" w:sz="6" w:space="0"/>
            </w:tcBorders>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rPr>
              <w:t>设计通气管是分开设置，通气管高</w:t>
            </w:r>
            <w:r>
              <w:rPr>
                <w:rFonts w:hint="eastAsia" w:ascii="宋体" w:hAnsi="宋体" w:eastAsia="宋体" w:cs="宋体"/>
                <w:sz w:val="21"/>
                <w:szCs w:val="21"/>
                <w:lang w:val="en-US"/>
              </w:rPr>
              <w:t>4m，不沿着建构筑物；关口有设置阻火器；管径50mm；有设置呼吸阀等</w:t>
            </w:r>
          </w:p>
        </w:tc>
        <w:tc>
          <w:tcPr>
            <w:tcW w:w="1380" w:type="dxa"/>
            <w:tcBorders>
              <w:left w:val="single" w:color="000000" w:sz="6" w:space="0"/>
            </w:tcBorders>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rPr>
              <w:t>通气管</w:t>
            </w:r>
            <w:r>
              <w:rPr>
                <w:rFonts w:hint="eastAsia" w:ascii="宋体" w:hAnsi="宋体" w:eastAsia="宋体" w:cs="宋体"/>
                <w:sz w:val="21"/>
                <w:szCs w:val="21"/>
                <w:lang w:eastAsia="zh-CN"/>
              </w:rPr>
              <w:t>油罐区，</w:t>
            </w:r>
            <w:r>
              <w:rPr>
                <w:rFonts w:hint="eastAsia" w:ascii="宋体" w:hAnsi="宋体" w:eastAsia="宋体" w:cs="宋体"/>
                <w:sz w:val="21"/>
                <w:szCs w:val="21"/>
              </w:rPr>
              <w:t>是分开设置，通气管高</w:t>
            </w:r>
            <w:r>
              <w:rPr>
                <w:rFonts w:hint="eastAsia" w:ascii="宋体" w:hAnsi="宋体" w:eastAsia="宋体" w:cs="宋体"/>
                <w:sz w:val="21"/>
                <w:szCs w:val="21"/>
                <w:lang w:eastAsia="zh-CN"/>
              </w:rPr>
              <w:t>于地面</w:t>
            </w:r>
            <w:r>
              <w:rPr>
                <w:rFonts w:hint="eastAsia" w:ascii="宋体" w:hAnsi="宋体" w:eastAsia="宋体" w:cs="宋体"/>
                <w:sz w:val="21"/>
                <w:szCs w:val="21"/>
                <w:lang w:val="en-US" w:eastAsia="zh-CN"/>
              </w:rPr>
              <w:t>4</w:t>
            </w:r>
            <w:r>
              <w:rPr>
                <w:rFonts w:hint="eastAsia" w:ascii="宋体" w:hAnsi="宋体" w:eastAsia="宋体" w:cs="宋体"/>
                <w:sz w:val="21"/>
                <w:szCs w:val="21"/>
                <w:lang w:val="en-US"/>
              </w:rPr>
              <w:t>m；</w:t>
            </w:r>
            <w:r>
              <w:rPr>
                <w:rFonts w:hint="eastAsia" w:ascii="宋体" w:hAnsi="宋体" w:eastAsia="宋体" w:cs="宋体"/>
                <w:sz w:val="21"/>
                <w:szCs w:val="21"/>
                <w:lang w:val="en-US" w:eastAsia="zh-CN"/>
              </w:rPr>
              <w:t>管</w:t>
            </w:r>
            <w:r>
              <w:rPr>
                <w:rFonts w:hint="eastAsia" w:ascii="宋体" w:hAnsi="宋体" w:eastAsia="宋体" w:cs="宋体"/>
                <w:sz w:val="21"/>
                <w:szCs w:val="21"/>
                <w:lang w:val="en-US"/>
              </w:rPr>
              <w:t>口有设置阻火器；管径50mm；有设置呼吸阀等.</w:t>
            </w:r>
          </w:p>
        </w:tc>
        <w:tc>
          <w:tcPr>
            <w:tcW w:w="1812"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现场检查通气管</w:t>
            </w:r>
            <w:r>
              <w:rPr>
                <w:rFonts w:hint="eastAsia" w:ascii="宋体" w:hAnsi="宋体" w:eastAsia="宋体" w:cs="宋体"/>
                <w:sz w:val="21"/>
                <w:szCs w:val="21"/>
                <w:lang w:eastAsia="zh-CN"/>
              </w:rPr>
              <w:t>管口</w:t>
            </w:r>
            <w:r>
              <w:rPr>
                <w:rFonts w:hint="eastAsia" w:ascii="宋体" w:hAnsi="宋体" w:eastAsia="宋体" w:cs="宋体"/>
                <w:sz w:val="21"/>
                <w:szCs w:val="21"/>
              </w:rPr>
              <w:t>高</w:t>
            </w:r>
            <w:r>
              <w:rPr>
                <w:rFonts w:hint="eastAsia" w:ascii="宋体" w:hAnsi="宋体" w:eastAsia="宋体" w:cs="宋体"/>
                <w:sz w:val="21"/>
                <w:szCs w:val="21"/>
                <w:lang w:eastAsia="zh-CN"/>
              </w:rPr>
              <w:t>于地面</w:t>
            </w:r>
            <w:r>
              <w:rPr>
                <w:rFonts w:hint="eastAsia" w:ascii="宋体" w:hAnsi="宋体" w:eastAsia="宋体" w:cs="宋体"/>
                <w:sz w:val="21"/>
                <w:szCs w:val="21"/>
                <w:lang w:val="en-US" w:eastAsia="zh-CN"/>
              </w:rPr>
              <w:t>4</w:t>
            </w:r>
            <w:r>
              <w:rPr>
                <w:rFonts w:hint="eastAsia" w:ascii="宋体" w:hAnsi="宋体" w:eastAsia="宋体" w:cs="宋体"/>
                <w:sz w:val="21"/>
                <w:szCs w:val="21"/>
                <w:lang w:val="en-US"/>
              </w:rPr>
              <w:t>m</w:t>
            </w:r>
            <w:r>
              <w:rPr>
                <w:rFonts w:hint="eastAsia" w:ascii="宋体" w:hAnsi="宋体" w:eastAsia="宋体" w:cs="宋体"/>
                <w:sz w:val="21"/>
                <w:szCs w:val="21"/>
              </w:rPr>
              <w:t>，直径均符合要求；有设置相关呼吸阀和阻火器。</w:t>
            </w:r>
          </w:p>
        </w:tc>
        <w:tc>
          <w:tcPr>
            <w:tcW w:w="1092"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98" w:hRule="atLeast"/>
          <w:jc w:val="center"/>
        </w:trPr>
        <w:tc>
          <w:tcPr>
            <w:tcW w:w="579" w:type="dxa"/>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lang w:val="en-US"/>
              </w:rPr>
              <w:t>9</w:t>
            </w:r>
          </w:p>
        </w:tc>
        <w:tc>
          <w:tcPr>
            <w:tcW w:w="3160" w:type="dxa"/>
            <w:tcBorders>
              <w:right w:val="single" w:color="000000" w:sz="6" w:space="0"/>
            </w:tcBorders>
            <w:vAlign w:val="center"/>
          </w:tcPr>
          <w:p>
            <w:pPr>
              <w:rPr>
                <w:rFonts w:hint="eastAsia" w:ascii="宋体" w:hAnsi="宋体" w:eastAsia="宋体" w:cs="宋体"/>
                <w:sz w:val="21"/>
                <w:szCs w:val="21"/>
                <w:shd w:val="clear" w:color="auto" w:fill="FFFFFF"/>
              </w:rPr>
            </w:pPr>
            <w:r>
              <w:rPr>
                <w:rFonts w:hint="eastAsia" w:ascii="宋体" w:hAnsi="宋体" w:eastAsia="宋体" w:cs="宋体"/>
                <w:sz w:val="21"/>
                <w:szCs w:val="21"/>
                <w:shd w:val="clear" w:color="auto" w:fill="FFFFFF"/>
              </w:rPr>
              <w:t>6．3．11 加油站工艺管道的选用，应符合下列规定：</w:t>
            </w:r>
            <w:r>
              <w:rPr>
                <w:rFonts w:hint="eastAsia" w:ascii="宋体" w:hAnsi="宋体" w:eastAsia="宋体" w:cs="宋体"/>
                <w:sz w:val="21"/>
                <w:szCs w:val="21"/>
                <w:shd w:val="clear" w:color="auto" w:fill="FFFFFF"/>
              </w:rPr>
              <w:br w:type="textWrapping"/>
            </w:r>
            <w:r>
              <w:rPr>
                <w:rFonts w:hint="eastAsia" w:ascii="宋体" w:hAnsi="宋体" w:eastAsia="宋体" w:cs="宋体"/>
                <w:sz w:val="21"/>
                <w:szCs w:val="21"/>
                <w:shd w:val="clear" w:color="auto" w:fill="FFFFFF"/>
              </w:rPr>
              <w:t>1 油罐通气管道和露出地面的管道，应采用符合现行国家标准《输送流体用无缝钢管》GB／T 8163的无缝钢管。</w:t>
            </w:r>
            <w:r>
              <w:rPr>
                <w:rFonts w:hint="eastAsia" w:ascii="宋体" w:hAnsi="宋体" w:eastAsia="宋体" w:cs="宋体"/>
                <w:sz w:val="21"/>
                <w:szCs w:val="21"/>
                <w:shd w:val="clear" w:color="auto" w:fill="FFFFFF"/>
              </w:rPr>
              <w:br w:type="textWrapping"/>
            </w:r>
            <w:r>
              <w:rPr>
                <w:rFonts w:hint="eastAsia" w:ascii="宋体" w:hAnsi="宋体" w:eastAsia="宋体" w:cs="宋体"/>
                <w:sz w:val="21"/>
                <w:szCs w:val="21"/>
                <w:shd w:val="clear" w:color="auto" w:fill="FFFFFF"/>
              </w:rPr>
              <w:t>2 其他管道应采用输送流体用无缝钢管或适于输送油品的热塑性塑料管道。所采用的热塑性塑料管道应有质量证明文件。非烃类车用燃料不得采用不导静电的热塑性塑料管道。 </w:t>
            </w:r>
            <w:r>
              <w:rPr>
                <w:rFonts w:hint="eastAsia" w:ascii="宋体" w:hAnsi="宋体" w:eastAsia="宋体" w:cs="宋体"/>
                <w:sz w:val="21"/>
                <w:szCs w:val="21"/>
                <w:shd w:val="clear" w:color="auto" w:fill="FFFFFF"/>
              </w:rPr>
              <w:br w:type="textWrapping"/>
            </w:r>
            <w:r>
              <w:rPr>
                <w:rFonts w:hint="eastAsia" w:ascii="宋体" w:hAnsi="宋体" w:eastAsia="宋体" w:cs="宋体"/>
                <w:sz w:val="21"/>
                <w:szCs w:val="21"/>
                <w:shd w:val="clear" w:color="auto" w:fill="FFFFFF"/>
              </w:rPr>
              <w:t>3 无缝钢管的公称壁厚不应小于4mm，埋地钢管的连接应采用焊接。</w:t>
            </w:r>
            <w:r>
              <w:rPr>
                <w:rFonts w:hint="eastAsia" w:ascii="宋体" w:hAnsi="宋体" w:eastAsia="宋体" w:cs="宋体"/>
                <w:sz w:val="21"/>
                <w:szCs w:val="21"/>
                <w:shd w:val="clear" w:color="auto" w:fill="FFFFFF"/>
              </w:rPr>
              <w:br w:type="textWrapping"/>
            </w:r>
            <w:r>
              <w:rPr>
                <w:rFonts w:hint="eastAsia" w:ascii="宋体" w:hAnsi="宋体" w:eastAsia="宋体" w:cs="宋体"/>
                <w:sz w:val="21"/>
                <w:szCs w:val="21"/>
                <w:shd w:val="clear" w:color="auto" w:fill="FFFFFF"/>
              </w:rPr>
              <w:t>4 热塑性塑料管道的主体结构层应为无孔隙聚乙烯材料，壁厚不应小于4mm。埋地部分的热塑性塑料管道应采用配套的专用连接管件电熔连接。</w:t>
            </w:r>
            <w:r>
              <w:rPr>
                <w:rFonts w:hint="eastAsia" w:ascii="宋体" w:hAnsi="宋体" w:eastAsia="宋体" w:cs="宋体"/>
                <w:sz w:val="21"/>
                <w:szCs w:val="21"/>
                <w:shd w:val="clear" w:color="auto" w:fill="FFFFFF"/>
              </w:rPr>
              <w:br w:type="textWrapping"/>
            </w:r>
            <w:r>
              <w:rPr>
                <w:rFonts w:hint="eastAsia" w:ascii="宋体" w:hAnsi="宋体" w:eastAsia="宋体" w:cs="宋体"/>
                <w:sz w:val="21"/>
                <w:szCs w:val="21"/>
                <w:shd w:val="clear" w:color="auto" w:fill="FFFFFF"/>
              </w:rPr>
              <w:t>5 导静电热塑性塑料管道导静电衬层的体电阻率应小于10</w:t>
            </w:r>
            <w:r>
              <w:rPr>
                <w:rFonts w:hint="eastAsia" w:ascii="宋体" w:hAnsi="宋体" w:eastAsia="宋体" w:cs="宋体"/>
                <w:sz w:val="21"/>
                <w:szCs w:val="21"/>
                <w:shd w:val="clear" w:color="auto" w:fill="FFFFFF"/>
                <w:vertAlign w:val="superscript"/>
              </w:rPr>
              <w:t>8</w:t>
            </w:r>
            <w:r>
              <w:rPr>
                <w:rFonts w:hint="eastAsia" w:ascii="宋体" w:hAnsi="宋体" w:eastAsia="宋体" w:cs="宋体"/>
                <w:sz w:val="21"/>
                <w:szCs w:val="21"/>
                <w:shd w:val="clear" w:color="auto" w:fill="FFFFFF"/>
              </w:rPr>
              <w:t>Ω·m，表面电阻率应小于10</w:t>
            </w:r>
            <w:r>
              <w:rPr>
                <w:rFonts w:hint="eastAsia" w:ascii="宋体" w:hAnsi="宋体" w:eastAsia="宋体" w:cs="宋体"/>
                <w:sz w:val="21"/>
                <w:szCs w:val="21"/>
                <w:shd w:val="clear" w:color="auto" w:fill="FFFFFF"/>
                <w:vertAlign w:val="superscript"/>
              </w:rPr>
              <w:t>10</w:t>
            </w:r>
            <w:r>
              <w:rPr>
                <w:rFonts w:hint="eastAsia" w:ascii="宋体" w:hAnsi="宋体" w:eastAsia="宋体" w:cs="宋体"/>
                <w:sz w:val="21"/>
                <w:szCs w:val="21"/>
                <w:shd w:val="clear" w:color="auto" w:fill="FFFFFF"/>
              </w:rPr>
              <w:t>Ω。</w:t>
            </w:r>
            <w:r>
              <w:rPr>
                <w:rFonts w:hint="eastAsia" w:ascii="宋体" w:hAnsi="宋体" w:eastAsia="宋体" w:cs="宋体"/>
                <w:sz w:val="21"/>
                <w:szCs w:val="21"/>
                <w:shd w:val="clear" w:color="auto" w:fill="FFFFFF"/>
              </w:rPr>
              <w:br w:type="textWrapping"/>
            </w:r>
            <w:r>
              <w:rPr>
                <w:rFonts w:hint="eastAsia" w:ascii="宋体" w:hAnsi="宋体" w:eastAsia="宋体" w:cs="宋体"/>
                <w:sz w:val="21"/>
                <w:szCs w:val="21"/>
                <w:shd w:val="clear" w:color="auto" w:fill="FFFFFF"/>
              </w:rPr>
              <w:t>6 不导静电热塑性塑料管道主体结构层的介电击穿强度应大于100kV。</w:t>
            </w:r>
          </w:p>
        </w:tc>
        <w:tc>
          <w:tcPr>
            <w:tcW w:w="1104" w:type="dxa"/>
            <w:tcBorders>
              <w:left w:val="single" w:color="000000" w:sz="6" w:space="0"/>
            </w:tcBorders>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rPr>
              <w:t>加油站输油管线设计采用双层</w:t>
            </w:r>
            <w:r>
              <w:rPr>
                <w:rFonts w:hint="eastAsia" w:ascii="宋体" w:hAnsi="宋体" w:eastAsia="宋体" w:cs="宋体"/>
                <w:sz w:val="21"/>
                <w:szCs w:val="21"/>
                <w:lang w:val="en-US"/>
              </w:rPr>
              <w:t>输油管线，属于热塑性塑料管道。</w:t>
            </w:r>
          </w:p>
        </w:tc>
        <w:tc>
          <w:tcPr>
            <w:tcW w:w="1380"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lang w:val="en-US"/>
              </w:rPr>
              <w:t>按照设计要求施工</w:t>
            </w:r>
          </w:p>
        </w:tc>
        <w:tc>
          <w:tcPr>
            <w:tcW w:w="1812"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shd w:val="clear" w:color="auto" w:fill="FFFFFF"/>
              </w:rPr>
              <w:t>油罐通气管道和露出地面的管道，采用无缝钢管；其他管道采用适于输送油品的热塑性塑料管道，所采用的热塑性塑料管道有质量证明文件，无缝钢管的公称壁厚大于4mm，埋地钢管的连接采用焊接。热塑性塑料管道的主体结构层为无孔隙聚乙烯材料，壁厚大于4mm。埋地部分的热塑性塑料管道应采用配套的专用连接管件电熔连接。使用不导静电热塑性塑料管道主体结构层的介电击穿强度大于100kV。</w:t>
            </w:r>
            <w:r>
              <w:rPr>
                <w:rFonts w:hint="eastAsia" w:ascii="宋体" w:hAnsi="宋体" w:eastAsia="宋体" w:cs="宋体"/>
                <w:sz w:val="21"/>
                <w:szCs w:val="21"/>
                <w:shd w:val="clear" w:color="auto" w:fill="FFFFFF"/>
              </w:rPr>
              <w:br w:type="textWrapping"/>
            </w:r>
          </w:p>
        </w:tc>
        <w:tc>
          <w:tcPr>
            <w:tcW w:w="1092"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98" w:hRule="atLeast"/>
          <w:jc w:val="center"/>
        </w:trPr>
        <w:tc>
          <w:tcPr>
            <w:tcW w:w="579" w:type="dxa"/>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lang w:val="en-US"/>
              </w:rPr>
              <w:t>10</w:t>
            </w:r>
          </w:p>
        </w:tc>
        <w:tc>
          <w:tcPr>
            <w:tcW w:w="3160" w:type="dxa"/>
            <w:tcBorders>
              <w:right w:val="single" w:color="000000" w:sz="6" w:space="0"/>
            </w:tcBorders>
            <w:vAlign w:val="center"/>
          </w:tcPr>
          <w:p>
            <w:pPr>
              <w:rPr>
                <w:rFonts w:hint="eastAsia" w:ascii="宋体" w:hAnsi="宋体" w:eastAsia="宋体" w:cs="宋体"/>
                <w:sz w:val="21"/>
                <w:szCs w:val="21"/>
                <w:shd w:val="clear" w:color="auto" w:fill="FFFFFF"/>
              </w:rPr>
            </w:pPr>
            <w:r>
              <w:rPr>
                <w:rFonts w:hint="eastAsia" w:ascii="宋体" w:hAnsi="宋体" w:eastAsia="宋体" w:cs="宋体"/>
                <w:sz w:val="21"/>
                <w:szCs w:val="21"/>
                <w:shd w:val="clear" w:color="auto" w:fill="FFFFFF"/>
              </w:rPr>
              <w:t>6．3．12 油罐车卸油时用的卸油连通软管、油气回收连通软管，应采用导静电耐油软管，其体电阻率应小于10</w:t>
            </w:r>
            <w:r>
              <w:rPr>
                <w:rFonts w:hint="eastAsia" w:ascii="宋体" w:hAnsi="宋体" w:eastAsia="宋体" w:cs="宋体"/>
                <w:sz w:val="21"/>
                <w:szCs w:val="21"/>
                <w:shd w:val="clear" w:color="auto" w:fill="FFFFFF"/>
                <w:vertAlign w:val="superscript"/>
              </w:rPr>
              <w:t>8</w:t>
            </w:r>
            <w:r>
              <w:rPr>
                <w:rFonts w:hint="eastAsia" w:ascii="宋体" w:hAnsi="宋体" w:eastAsia="宋体" w:cs="宋体"/>
                <w:sz w:val="21"/>
                <w:szCs w:val="21"/>
                <w:shd w:val="clear" w:color="auto" w:fill="FFFFFF"/>
              </w:rPr>
              <w:t>Ω·m，表面电阻率应小于10</w:t>
            </w:r>
            <w:r>
              <w:rPr>
                <w:rFonts w:hint="eastAsia" w:ascii="宋体" w:hAnsi="宋体" w:eastAsia="宋体" w:cs="宋体"/>
                <w:sz w:val="21"/>
                <w:szCs w:val="21"/>
                <w:shd w:val="clear" w:color="auto" w:fill="FFFFFF"/>
                <w:vertAlign w:val="superscript"/>
              </w:rPr>
              <w:t>10</w:t>
            </w:r>
            <w:r>
              <w:rPr>
                <w:rFonts w:hint="eastAsia" w:ascii="宋体" w:hAnsi="宋体" w:eastAsia="宋体" w:cs="宋体"/>
                <w:sz w:val="21"/>
                <w:szCs w:val="21"/>
                <w:shd w:val="clear" w:color="auto" w:fill="FFFFFF"/>
              </w:rPr>
              <w:t>Ω，或采用内附金属丝(网)的橡胶软管。</w:t>
            </w:r>
          </w:p>
        </w:tc>
        <w:tc>
          <w:tcPr>
            <w:tcW w:w="1104"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加油站输油管线设计采用</w:t>
            </w:r>
            <w:r>
              <w:rPr>
                <w:rFonts w:hint="eastAsia" w:ascii="宋体" w:hAnsi="宋体" w:eastAsia="宋体" w:cs="宋体"/>
                <w:sz w:val="21"/>
                <w:szCs w:val="21"/>
                <w:shd w:val="clear" w:color="auto" w:fill="FFFFFF"/>
              </w:rPr>
              <w:t>导静电耐油软管，其体电阻率小于10</w:t>
            </w:r>
            <w:r>
              <w:rPr>
                <w:rFonts w:hint="eastAsia" w:ascii="宋体" w:hAnsi="宋体" w:eastAsia="宋体" w:cs="宋体"/>
                <w:sz w:val="21"/>
                <w:szCs w:val="21"/>
                <w:shd w:val="clear" w:color="auto" w:fill="FFFFFF"/>
                <w:vertAlign w:val="superscript"/>
              </w:rPr>
              <w:t>8</w:t>
            </w:r>
            <w:r>
              <w:rPr>
                <w:rFonts w:hint="eastAsia" w:ascii="宋体" w:hAnsi="宋体" w:eastAsia="宋体" w:cs="宋体"/>
                <w:sz w:val="21"/>
                <w:szCs w:val="21"/>
                <w:shd w:val="clear" w:color="auto" w:fill="FFFFFF"/>
              </w:rPr>
              <w:t>Ω·m，表面电阻率小于10</w:t>
            </w:r>
            <w:r>
              <w:rPr>
                <w:rFonts w:hint="eastAsia" w:ascii="宋体" w:hAnsi="宋体" w:eastAsia="宋体" w:cs="宋体"/>
                <w:sz w:val="21"/>
                <w:szCs w:val="21"/>
                <w:shd w:val="clear" w:color="auto" w:fill="FFFFFF"/>
                <w:vertAlign w:val="superscript"/>
              </w:rPr>
              <w:t>10</w:t>
            </w:r>
            <w:r>
              <w:rPr>
                <w:rFonts w:hint="eastAsia" w:ascii="宋体" w:hAnsi="宋体" w:eastAsia="宋体" w:cs="宋体"/>
                <w:sz w:val="21"/>
                <w:szCs w:val="21"/>
                <w:shd w:val="clear" w:color="auto" w:fill="FFFFFF"/>
              </w:rPr>
              <w:t>Ω。</w:t>
            </w:r>
          </w:p>
        </w:tc>
        <w:tc>
          <w:tcPr>
            <w:tcW w:w="1380"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lang w:val="en-US"/>
              </w:rPr>
              <w:t>按照设计要求施工</w:t>
            </w:r>
          </w:p>
        </w:tc>
        <w:tc>
          <w:tcPr>
            <w:tcW w:w="1812"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加油站输油管线采用</w:t>
            </w:r>
            <w:r>
              <w:rPr>
                <w:rFonts w:hint="eastAsia" w:ascii="宋体" w:hAnsi="宋体" w:eastAsia="宋体" w:cs="宋体"/>
                <w:sz w:val="21"/>
                <w:szCs w:val="21"/>
                <w:shd w:val="clear" w:color="auto" w:fill="FFFFFF"/>
              </w:rPr>
              <w:t>导静电耐油软管，其体电阻率小于10</w:t>
            </w:r>
            <w:r>
              <w:rPr>
                <w:rFonts w:hint="eastAsia" w:ascii="宋体" w:hAnsi="宋体" w:eastAsia="宋体" w:cs="宋体"/>
                <w:sz w:val="21"/>
                <w:szCs w:val="21"/>
                <w:shd w:val="clear" w:color="auto" w:fill="FFFFFF"/>
                <w:vertAlign w:val="superscript"/>
              </w:rPr>
              <w:t>8</w:t>
            </w:r>
            <w:r>
              <w:rPr>
                <w:rFonts w:hint="eastAsia" w:ascii="宋体" w:hAnsi="宋体" w:eastAsia="宋体" w:cs="宋体"/>
                <w:sz w:val="21"/>
                <w:szCs w:val="21"/>
                <w:shd w:val="clear" w:color="auto" w:fill="FFFFFF"/>
              </w:rPr>
              <w:t>Ω·m，表面电阻率小于10</w:t>
            </w:r>
            <w:r>
              <w:rPr>
                <w:rFonts w:hint="eastAsia" w:ascii="宋体" w:hAnsi="宋体" w:eastAsia="宋体" w:cs="宋体"/>
                <w:sz w:val="21"/>
                <w:szCs w:val="21"/>
                <w:shd w:val="clear" w:color="auto" w:fill="FFFFFF"/>
                <w:vertAlign w:val="superscript"/>
              </w:rPr>
              <w:t>10</w:t>
            </w:r>
            <w:r>
              <w:rPr>
                <w:rFonts w:hint="eastAsia" w:ascii="宋体" w:hAnsi="宋体" w:eastAsia="宋体" w:cs="宋体"/>
                <w:sz w:val="21"/>
                <w:szCs w:val="21"/>
                <w:shd w:val="clear" w:color="auto" w:fill="FFFFFF"/>
              </w:rPr>
              <w:t>Ω。</w:t>
            </w:r>
          </w:p>
        </w:tc>
        <w:tc>
          <w:tcPr>
            <w:tcW w:w="1092"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98" w:hRule="atLeast"/>
          <w:jc w:val="center"/>
        </w:trPr>
        <w:tc>
          <w:tcPr>
            <w:tcW w:w="579" w:type="dxa"/>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lang w:val="en-US"/>
              </w:rPr>
              <w:t>11</w:t>
            </w:r>
          </w:p>
        </w:tc>
        <w:tc>
          <w:tcPr>
            <w:tcW w:w="3160" w:type="dxa"/>
            <w:tcBorders>
              <w:right w:val="single" w:color="000000" w:sz="6" w:space="0"/>
            </w:tcBorders>
            <w:vAlign w:val="center"/>
          </w:tcPr>
          <w:p>
            <w:pPr>
              <w:rPr>
                <w:rFonts w:hint="eastAsia" w:ascii="宋体" w:hAnsi="宋体" w:eastAsia="宋体" w:cs="宋体"/>
                <w:sz w:val="21"/>
                <w:szCs w:val="21"/>
                <w:shd w:val="clear" w:color="auto" w:fill="FFFFFF"/>
              </w:rPr>
            </w:pPr>
            <w:r>
              <w:rPr>
                <w:rStyle w:val="18"/>
                <w:rFonts w:hint="eastAsia" w:ascii="宋体" w:hAnsi="宋体" w:eastAsia="宋体" w:cs="宋体"/>
                <w:b w:val="0"/>
                <w:bCs/>
                <w:sz w:val="21"/>
                <w:szCs w:val="21"/>
                <w:shd w:val="clear" w:color="auto" w:fill="FFFFFF"/>
              </w:rPr>
              <w:t>6．3．13 加油站内的工艺管道除必须露出地面的以外，均应埋地敷设。当采用管沟敷设时，管沟必须用中性沙子或细土填满、填实。</w:t>
            </w:r>
          </w:p>
        </w:tc>
        <w:tc>
          <w:tcPr>
            <w:tcW w:w="1104"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输油管道设计为埋地敷设；加油机内下方管沟填沙子。</w:t>
            </w:r>
          </w:p>
        </w:tc>
        <w:tc>
          <w:tcPr>
            <w:tcW w:w="1380"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lang w:val="en-US"/>
              </w:rPr>
              <w:t>按照设计要求施工</w:t>
            </w:r>
          </w:p>
        </w:tc>
        <w:tc>
          <w:tcPr>
            <w:tcW w:w="1812"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根据</w:t>
            </w:r>
            <w:r>
              <w:rPr>
                <w:rFonts w:hint="eastAsia" w:ascii="宋体" w:hAnsi="宋体" w:eastAsia="宋体" w:cs="宋体"/>
                <w:sz w:val="21"/>
                <w:szCs w:val="21"/>
                <w:lang w:eastAsia="zh-CN"/>
              </w:rPr>
              <w:t>施工情况报告，</w:t>
            </w:r>
            <w:r>
              <w:rPr>
                <w:rFonts w:hint="eastAsia" w:ascii="宋体" w:hAnsi="宋体" w:eastAsia="宋体" w:cs="宋体"/>
                <w:sz w:val="21"/>
                <w:szCs w:val="21"/>
              </w:rPr>
              <w:t>管道施工及回填符合要求。</w:t>
            </w:r>
          </w:p>
        </w:tc>
        <w:tc>
          <w:tcPr>
            <w:tcW w:w="1092"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98" w:hRule="atLeast"/>
          <w:jc w:val="center"/>
        </w:trPr>
        <w:tc>
          <w:tcPr>
            <w:tcW w:w="579" w:type="dxa"/>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lang w:val="en-US"/>
              </w:rPr>
              <w:t>12</w:t>
            </w:r>
          </w:p>
        </w:tc>
        <w:tc>
          <w:tcPr>
            <w:tcW w:w="3160" w:type="dxa"/>
            <w:tcBorders>
              <w:right w:val="single" w:color="000000" w:sz="6" w:space="0"/>
            </w:tcBorders>
            <w:vAlign w:val="center"/>
          </w:tcPr>
          <w:p>
            <w:pPr>
              <w:rPr>
                <w:rStyle w:val="18"/>
                <w:rFonts w:hint="eastAsia" w:ascii="宋体" w:hAnsi="宋体" w:eastAsia="宋体" w:cs="宋体"/>
                <w:sz w:val="21"/>
                <w:szCs w:val="21"/>
                <w:shd w:val="clear" w:color="auto" w:fill="FFFFFF"/>
              </w:rPr>
            </w:pPr>
            <w:r>
              <w:rPr>
                <w:rFonts w:hint="eastAsia" w:ascii="宋体" w:hAnsi="宋体" w:eastAsia="宋体" w:cs="宋体"/>
                <w:sz w:val="21"/>
                <w:szCs w:val="21"/>
                <w:shd w:val="clear" w:color="auto" w:fill="FFFFFF"/>
              </w:rPr>
              <w:t>6．3．14 卸油管道、卸油油气回收管道、加油油气回收管道和油罐通气管横管，应坡向埋地油罐。卸油管道的坡度不应小于2‰，卸油油气回收管道、加油油气回收管道和油罐通气管横管的坡度，不应小于1％。</w:t>
            </w:r>
          </w:p>
        </w:tc>
        <w:tc>
          <w:tcPr>
            <w:tcW w:w="1104"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根据工艺管道系统图，坡度设置均符合要求。</w:t>
            </w:r>
          </w:p>
        </w:tc>
        <w:tc>
          <w:tcPr>
            <w:tcW w:w="1380"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lang w:val="en-US"/>
              </w:rPr>
              <w:t>按照设计要求施工</w:t>
            </w:r>
          </w:p>
        </w:tc>
        <w:tc>
          <w:tcPr>
            <w:tcW w:w="1812"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根据</w:t>
            </w:r>
            <w:r>
              <w:rPr>
                <w:rFonts w:hint="eastAsia" w:ascii="宋体" w:hAnsi="宋体" w:eastAsia="宋体" w:cs="宋体"/>
                <w:sz w:val="21"/>
                <w:szCs w:val="21"/>
                <w:lang w:eastAsia="zh-CN"/>
              </w:rPr>
              <w:t>施工</w:t>
            </w:r>
            <w:r>
              <w:rPr>
                <w:rFonts w:hint="eastAsia" w:ascii="宋体" w:hAnsi="宋体" w:eastAsia="宋体" w:cs="宋体"/>
                <w:sz w:val="21"/>
                <w:szCs w:val="21"/>
              </w:rPr>
              <w:t>情况</w:t>
            </w:r>
            <w:r>
              <w:rPr>
                <w:rFonts w:hint="eastAsia" w:ascii="宋体" w:hAnsi="宋体" w:eastAsia="宋体" w:cs="宋体"/>
                <w:sz w:val="21"/>
                <w:szCs w:val="21"/>
                <w:lang w:eastAsia="zh-CN"/>
              </w:rPr>
              <w:t>报告</w:t>
            </w:r>
            <w:r>
              <w:rPr>
                <w:rFonts w:hint="eastAsia" w:ascii="宋体" w:hAnsi="宋体" w:eastAsia="宋体" w:cs="宋体"/>
                <w:sz w:val="21"/>
                <w:szCs w:val="21"/>
              </w:rPr>
              <w:t>说明，管道施工及回填符合要求。</w:t>
            </w:r>
          </w:p>
        </w:tc>
        <w:tc>
          <w:tcPr>
            <w:tcW w:w="1092"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98" w:hRule="atLeast"/>
          <w:jc w:val="center"/>
        </w:trPr>
        <w:tc>
          <w:tcPr>
            <w:tcW w:w="579" w:type="dxa"/>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lang w:val="en-US"/>
              </w:rPr>
              <w:t>13</w:t>
            </w:r>
          </w:p>
        </w:tc>
        <w:tc>
          <w:tcPr>
            <w:tcW w:w="3160" w:type="dxa"/>
            <w:tcBorders>
              <w:right w:val="single" w:color="000000" w:sz="6" w:space="0"/>
            </w:tcBorders>
            <w:vAlign w:val="center"/>
          </w:tcPr>
          <w:p>
            <w:pPr>
              <w:rPr>
                <w:rStyle w:val="18"/>
                <w:rFonts w:hint="eastAsia" w:ascii="宋体" w:hAnsi="宋体" w:eastAsia="宋体" w:cs="宋体"/>
                <w:sz w:val="21"/>
                <w:szCs w:val="21"/>
                <w:shd w:val="clear" w:color="auto" w:fill="FFFFFF"/>
              </w:rPr>
            </w:pPr>
            <w:r>
              <w:rPr>
                <w:rFonts w:hint="eastAsia" w:ascii="宋体" w:hAnsi="宋体" w:eastAsia="宋体" w:cs="宋体"/>
                <w:sz w:val="21"/>
                <w:szCs w:val="21"/>
                <w:shd w:val="clear" w:color="auto" w:fill="FFFFFF"/>
              </w:rPr>
              <w:t>6．3．16 埋地工艺管道的埋设深度不得小于0．4m。敷设在混凝土场地或道路下面的管道，管顶低于混凝土层下表面不得小于0．2m。管道周围应回填不小于100mm厚的中性沙子或细土。</w:t>
            </w:r>
          </w:p>
        </w:tc>
        <w:tc>
          <w:tcPr>
            <w:tcW w:w="1104"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按照要求设计</w:t>
            </w:r>
          </w:p>
        </w:tc>
        <w:tc>
          <w:tcPr>
            <w:tcW w:w="1380"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lang w:val="en-US"/>
              </w:rPr>
              <w:t>按照设计要求施工</w:t>
            </w:r>
          </w:p>
        </w:tc>
        <w:tc>
          <w:tcPr>
            <w:tcW w:w="1812"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根据</w:t>
            </w:r>
            <w:r>
              <w:rPr>
                <w:rFonts w:hint="eastAsia" w:ascii="宋体" w:hAnsi="宋体" w:eastAsia="宋体" w:cs="宋体"/>
                <w:sz w:val="21"/>
                <w:szCs w:val="21"/>
                <w:lang w:eastAsia="zh-CN"/>
              </w:rPr>
              <w:t>施工情况报告</w:t>
            </w:r>
            <w:r>
              <w:rPr>
                <w:rFonts w:hint="eastAsia" w:ascii="宋体" w:hAnsi="宋体" w:eastAsia="宋体" w:cs="宋体"/>
                <w:sz w:val="21"/>
                <w:szCs w:val="21"/>
              </w:rPr>
              <w:t>说明，管道施工及回填符合要求。</w:t>
            </w:r>
          </w:p>
        </w:tc>
        <w:tc>
          <w:tcPr>
            <w:tcW w:w="1092"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98" w:hRule="atLeast"/>
          <w:jc w:val="center"/>
        </w:trPr>
        <w:tc>
          <w:tcPr>
            <w:tcW w:w="9127" w:type="dxa"/>
            <w:gridSpan w:val="6"/>
            <w:vAlign w:val="center"/>
          </w:tcPr>
          <w:p>
            <w:pPr>
              <w:jc w:val="center"/>
              <w:rPr>
                <w:rFonts w:hint="eastAsia" w:ascii="宋体" w:hAnsi="宋体" w:eastAsia="宋体" w:cs="宋体"/>
                <w:sz w:val="21"/>
                <w:szCs w:val="21"/>
              </w:rPr>
            </w:pPr>
            <w:r>
              <w:rPr>
                <w:rFonts w:hint="eastAsia" w:ascii="宋体" w:hAnsi="宋体" w:eastAsia="宋体" w:cs="宋体"/>
                <w:b/>
                <w:bCs/>
                <w:sz w:val="21"/>
                <w:szCs w:val="21"/>
                <w:lang w:val="en-US"/>
              </w:rPr>
              <w:t>三</w:t>
            </w:r>
            <w:r>
              <w:rPr>
                <w:rFonts w:hint="eastAsia" w:ascii="宋体" w:hAnsi="宋体" w:eastAsia="宋体" w:cs="宋体"/>
                <w:b/>
                <w:bCs/>
                <w:sz w:val="21"/>
                <w:szCs w:val="21"/>
                <w:lang w:val="en-US" w:eastAsia="zh-CN"/>
              </w:rPr>
              <w:t>、</w:t>
            </w:r>
            <w:r>
              <w:rPr>
                <w:rFonts w:hint="eastAsia" w:ascii="宋体" w:hAnsi="宋体" w:eastAsia="宋体" w:cs="宋体"/>
                <w:b/>
                <w:bCs/>
                <w:sz w:val="21"/>
                <w:szCs w:val="21"/>
                <w:shd w:val="clear" w:color="auto" w:fill="FFFFFF"/>
              </w:rPr>
              <w:t>防渗措施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98" w:hRule="atLeast"/>
          <w:jc w:val="center"/>
        </w:trPr>
        <w:tc>
          <w:tcPr>
            <w:tcW w:w="579" w:type="dxa"/>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lang w:val="en-US"/>
              </w:rPr>
              <w:t>1</w:t>
            </w:r>
          </w:p>
        </w:tc>
        <w:tc>
          <w:tcPr>
            <w:tcW w:w="3160" w:type="dxa"/>
            <w:tcBorders>
              <w:right w:val="single" w:color="000000" w:sz="6" w:space="0"/>
            </w:tcBorders>
            <w:vAlign w:val="center"/>
          </w:tcPr>
          <w:p>
            <w:pPr>
              <w:rPr>
                <w:rStyle w:val="18"/>
                <w:rFonts w:hint="eastAsia" w:ascii="宋体" w:hAnsi="宋体" w:eastAsia="宋体" w:cs="宋体"/>
                <w:sz w:val="21"/>
                <w:szCs w:val="21"/>
                <w:shd w:val="clear" w:color="auto" w:fill="FFFFFF"/>
              </w:rPr>
            </w:pPr>
            <w:r>
              <w:rPr>
                <w:rFonts w:hint="eastAsia" w:ascii="宋体" w:hAnsi="宋体" w:eastAsia="宋体" w:cs="宋体"/>
                <w:sz w:val="21"/>
                <w:szCs w:val="21"/>
                <w:shd w:val="clear" w:color="auto" w:fill="FFFFFF"/>
              </w:rPr>
              <w:t>6．5．1 加油站应按国家有关环境保护标准或政府有关环境保护法规、法令的要求，采取防止油品渗漏的措施。</w:t>
            </w:r>
          </w:p>
        </w:tc>
        <w:tc>
          <w:tcPr>
            <w:tcW w:w="1104" w:type="dxa"/>
            <w:tcBorders>
              <w:left w:val="single" w:color="000000" w:sz="6" w:space="0"/>
            </w:tcBorders>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rPr>
              <w:t>设计</w:t>
            </w:r>
            <w:r>
              <w:rPr>
                <w:rFonts w:hint="eastAsia" w:ascii="宋体" w:hAnsi="宋体" w:eastAsia="宋体" w:cs="宋体"/>
                <w:sz w:val="21"/>
                <w:szCs w:val="21"/>
                <w:lang w:val="en-US"/>
              </w:rPr>
              <w:t>SF双层油罐</w:t>
            </w:r>
          </w:p>
        </w:tc>
        <w:tc>
          <w:tcPr>
            <w:tcW w:w="1380"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按照设计选型设备</w:t>
            </w:r>
          </w:p>
        </w:tc>
        <w:tc>
          <w:tcPr>
            <w:tcW w:w="1812" w:type="dxa"/>
            <w:tcBorders>
              <w:left w:val="single" w:color="000000" w:sz="6" w:space="0"/>
            </w:tcBorders>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rPr>
              <w:t>根据油罐合格证确定为</w:t>
            </w:r>
            <w:r>
              <w:rPr>
                <w:rFonts w:hint="eastAsia" w:ascii="宋体" w:hAnsi="宋体" w:eastAsia="宋体" w:cs="宋体"/>
                <w:sz w:val="21"/>
                <w:szCs w:val="21"/>
                <w:lang w:val="en-US"/>
              </w:rPr>
              <w:t>SF双层油罐</w:t>
            </w:r>
            <w:r>
              <w:rPr>
                <w:rFonts w:hint="eastAsia" w:ascii="宋体" w:hAnsi="宋体" w:eastAsia="宋体" w:cs="宋体"/>
                <w:sz w:val="21"/>
                <w:szCs w:val="21"/>
                <w:lang w:val="en-US" w:eastAsia="zh-CN"/>
              </w:rPr>
              <w:t>，有</w:t>
            </w:r>
            <w:r>
              <w:rPr>
                <w:rFonts w:hint="eastAsia" w:ascii="宋体" w:hAnsi="宋体" w:eastAsia="宋体" w:cs="宋体"/>
                <w:sz w:val="21"/>
                <w:szCs w:val="21"/>
                <w:shd w:val="clear" w:color="auto" w:fill="FFFFFF"/>
              </w:rPr>
              <w:t>防止油品渗漏的措施。</w:t>
            </w:r>
          </w:p>
        </w:tc>
        <w:tc>
          <w:tcPr>
            <w:tcW w:w="1092"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05" w:hRule="atLeast"/>
          <w:jc w:val="center"/>
        </w:trPr>
        <w:tc>
          <w:tcPr>
            <w:tcW w:w="579" w:type="dxa"/>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lang w:val="en-US"/>
              </w:rPr>
              <w:t>2</w:t>
            </w:r>
          </w:p>
        </w:tc>
        <w:tc>
          <w:tcPr>
            <w:tcW w:w="3160" w:type="dxa"/>
            <w:tcBorders>
              <w:right w:val="single" w:color="000000" w:sz="6" w:space="0"/>
            </w:tcBorders>
            <w:vAlign w:val="center"/>
          </w:tcPr>
          <w:p>
            <w:pPr>
              <w:rPr>
                <w:rFonts w:hint="eastAsia" w:ascii="宋体" w:hAnsi="宋体" w:eastAsia="宋体" w:cs="宋体"/>
                <w:sz w:val="21"/>
                <w:szCs w:val="21"/>
                <w:shd w:val="clear" w:color="auto" w:fill="FFFFFF"/>
              </w:rPr>
            </w:pPr>
            <w:r>
              <w:rPr>
                <w:rFonts w:hint="eastAsia" w:ascii="宋体" w:hAnsi="宋体" w:eastAsia="宋体" w:cs="宋体"/>
                <w:sz w:val="21"/>
                <w:szCs w:val="21"/>
                <w:shd w:val="clear" w:color="auto" w:fill="FFFFFF"/>
              </w:rPr>
              <w:t>6．5．2 采取防止油品渗漏保护措施的加油站，其埋地油罐应采用下列之一的防渗方式：</w:t>
            </w:r>
            <w:r>
              <w:rPr>
                <w:rFonts w:hint="eastAsia" w:ascii="宋体" w:hAnsi="宋体" w:eastAsia="宋体" w:cs="宋体"/>
                <w:sz w:val="21"/>
                <w:szCs w:val="21"/>
                <w:shd w:val="clear" w:color="auto" w:fill="FFFFFF"/>
              </w:rPr>
              <w:br w:type="textWrapping"/>
            </w:r>
            <w:r>
              <w:rPr>
                <w:rFonts w:hint="eastAsia" w:ascii="宋体" w:hAnsi="宋体" w:eastAsia="宋体" w:cs="宋体"/>
                <w:sz w:val="21"/>
                <w:szCs w:val="21"/>
                <w:shd w:val="clear" w:color="auto" w:fill="FFFFFF"/>
              </w:rPr>
              <w:t>1 单层油罐设置防渗罐池；</w:t>
            </w:r>
            <w:r>
              <w:rPr>
                <w:rFonts w:hint="eastAsia" w:ascii="宋体" w:hAnsi="宋体" w:eastAsia="宋体" w:cs="宋体"/>
                <w:sz w:val="21"/>
                <w:szCs w:val="21"/>
                <w:shd w:val="clear" w:color="auto" w:fill="FFFFFF"/>
              </w:rPr>
              <w:br w:type="textWrapping"/>
            </w:r>
            <w:r>
              <w:rPr>
                <w:rFonts w:hint="eastAsia" w:ascii="宋体" w:hAnsi="宋体" w:eastAsia="宋体" w:cs="宋体"/>
                <w:sz w:val="21"/>
                <w:szCs w:val="21"/>
                <w:shd w:val="clear" w:color="auto" w:fill="FFFFFF"/>
              </w:rPr>
              <w:t>2 采用双层油罐。</w:t>
            </w:r>
          </w:p>
        </w:tc>
        <w:tc>
          <w:tcPr>
            <w:tcW w:w="1104"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设计</w:t>
            </w:r>
            <w:r>
              <w:rPr>
                <w:rFonts w:hint="eastAsia" w:ascii="宋体" w:hAnsi="宋体" w:eastAsia="宋体" w:cs="宋体"/>
                <w:sz w:val="21"/>
                <w:szCs w:val="21"/>
                <w:lang w:val="en-US"/>
              </w:rPr>
              <w:t>SF双层油罐</w:t>
            </w:r>
          </w:p>
        </w:tc>
        <w:tc>
          <w:tcPr>
            <w:tcW w:w="1380"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按照设计选型设备</w:t>
            </w:r>
          </w:p>
        </w:tc>
        <w:tc>
          <w:tcPr>
            <w:tcW w:w="1812" w:type="dxa"/>
            <w:tcBorders>
              <w:left w:val="single" w:color="000000" w:sz="6" w:space="0"/>
            </w:tcBorders>
            <w:vAlign w:val="center"/>
          </w:tcPr>
          <w:p>
            <w:pPr>
              <w:jc w:val="center"/>
              <w:rPr>
                <w:rFonts w:hint="eastAsia" w:ascii="宋体" w:hAnsi="宋体" w:eastAsia="宋体" w:cs="宋体"/>
                <w:sz w:val="21"/>
                <w:szCs w:val="21"/>
                <w:lang w:eastAsia="zh-CN"/>
              </w:rPr>
            </w:pPr>
            <w:r>
              <w:rPr>
                <w:rFonts w:hint="eastAsia" w:ascii="宋体" w:hAnsi="宋体" w:eastAsia="宋体" w:cs="宋体"/>
                <w:sz w:val="21"/>
                <w:szCs w:val="21"/>
              </w:rPr>
              <w:t>根据油罐合格证确定为</w:t>
            </w:r>
            <w:r>
              <w:rPr>
                <w:rFonts w:hint="eastAsia" w:ascii="宋体" w:hAnsi="宋体" w:eastAsia="宋体" w:cs="宋体"/>
                <w:sz w:val="21"/>
                <w:szCs w:val="21"/>
                <w:lang w:val="en-US"/>
              </w:rPr>
              <w:t>SF双层油罐</w:t>
            </w:r>
            <w:r>
              <w:rPr>
                <w:rFonts w:hint="eastAsia" w:ascii="宋体" w:hAnsi="宋体" w:eastAsia="宋体" w:cs="宋体"/>
                <w:sz w:val="21"/>
                <w:szCs w:val="21"/>
                <w:lang w:val="en-US" w:eastAsia="zh-CN"/>
              </w:rPr>
              <w:t>。</w:t>
            </w:r>
          </w:p>
        </w:tc>
        <w:tc>
          <w:tcPr>
            <w:tcW w:w="1092"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98" w:hRule="atLeast"/>
          <w:jc w:val="center"/>
        </w:trPr>
        <w:tc>
          <w:tcPr>
            <w:tcW w:w="579" w:type="dxa"/>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lang w:val="en-US"/>
              </w:rPr>
              <w:t>3</w:t>
            </w:r>
          </w:p>
        </w:tc>
        <w:tc>
          <w:tcPr>
            <w:tcW w:w="3160" w:type="dxa"/>
            <w:tcBorders>
              <w:right w:val="single" w:color="000000" w:sz="6" w:space="0"/>
            </w:tcBorders>
            <w:vAlign w:val="center"/>
          </w:tcPr>
          <w:p>
            <w:pPr>
              <w:rPr>
                <w:rFonts w:hint="eastAsia" w:ascii="宋体" w:hAnsi="宋体" w:eastAsia="宋体" w:cs="宋体"/>
                <w:sz w:val="21"/>
                <w:szCs w:val="21"/>
                <w:shd w:val="clear" w:color="auto" w:fill="FFFFFF"/>
              </w:rPr>
            </w:pPr>
            <w:r>
              <w:rPr>
                <w:rFonts w:hint="eastAsia" w:ascii="宋体" w:hAnsi="宋体" w:eastAsia="宋体" w:cs="宋体"/>
                <w:sz w:val="21"/>
                <w:szCs w:val="21"/>
                <w:shd w:val="clear" w:color="auto" w:fill="FFFFFF"/>
              </w:rPr>
              <w:t>6．5．5 装有潜油泵的油罐人孔操作井、加油机底槽等可能发生油品渗漏的部位，也应采取相应的防渗措施。</w:t>
            </w:r>
          </w:p>
        </w:tc>
        <w:tc>
          <w:tcPr>
            <w:tcW w:w="1104" w:type="dxa"/>
            <w:tcBorders>
              <w:left w:val="single" w:color="000000" w:sz="6" w:space="0"/>
            </w:tcBorders>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lang w:val="en-US"/>
              </w:rPr>
              <w:t>人孔井内设置测漏装置，加油机底槽填沙。</w:t>
            </w:r>
          </w:p>
        </w:tc>
        <w:tc>
          <w:tcPr>
            <w:tcW w:w="1380"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按照设计施工</w:t>
            </w:r>
          </w:p>
        </w:tc>
        <w:tc>
          <w:tcPr>
            <w:tcW w:w="1812"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lang w:val="en-US"/>
              </w:rPr>
              <w:t>人孔井内设置测漏装置，加油机底槽填沙。</w:t>
            </w:r>
          </w:p>
        </w:tc>
        <w:tc>
          <w:tcPr>
            <w:tcW w:w="1092"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98" w:hRule="atLeast"/>
          <w:jc w:val="center"/>
        </w:trPr>
        <w:tc>
          <w:tcPr>
            <w:tcW w:w="579" w:type="dxa"/>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lang w:val="en-US"/>
              </w:rPr>
              <w:t>4</w:t>
            </w:r>
          </w:p>
        </w:tc>
        <w:tc>
          <w:tcPr>
            <w:tcW w:w="3160" w:type="dxa"/>
            <w:tcBorders>
              <w:right w:val="single" w:color="000000" w:sz="6" w:space="0"/>
            </w:tcBorders>
            <w:vAlign w:val="center"/>
          </w:tcPr>
          <w:p>
            <w:pPr>
              <w:rPr>
                <w:rFonts w:hint="eastAsia" w:ascii="宋体" w:hAnsi="宋体" w:eastAsia="宋体" w:cs="宋体"/>
                <w:sz w:val="21"/>
                <w:szCs w:val="21"/>
                <w:shd w:val="clear" w:color="auto" w:fill="FFFFFF"/>
              </w:rPr>
            </w:pPr>
            <w:r>
              <w:rPr>
                <w:rFonts w:hint="eastAsia" w:ascii="宋体" w:hAnsi="宋体" w:eastAsia="宋体" w:cs="宋体"/>
                <w:sz w:val="21"/>
                <w:szCs w:val="21"/>
                <w:shd w:val="clear" w:color="auto" w:fill="FFFFFF"/>
              </w:rPr>
              <w:t>6．5．6 采取防渗漏措施的加油站，其埋地加油管道应采用双层管道。双层管道的设计，应符合下列规定：</w:t>
            </w:r>
            <w:r>
              <w:rPr>
                <w:rFonts w:hint="eastAsia" w:ascii="宋体" w:hAnsi="宋体" w:eastAsia="宋体" w:cs="宋体"/>
                <w:sz w:val="21"/>
                <w:szCs w:val="21"/>
                <w:shd w:val="clear" w:color="auto" w:fill="FFFFFF"/>
              </w:rPr>
              <w:br w:type="textWrapping"/>
            </w:r>
            <w:r>
              <w:rPr>
                <w:rFonts w:hint="eastAsia" w:ascii="宋体" w:hAnsi="宋体" w:eastAsia="宋体" w:cs="宋体"/>
                <w:sz w:val="21"/>
                <w:szCs w:val="21"/>
                <w:shd w:val="clear" w:color="auto" w:fill="FFFFFF"/>
              </w:rPr>
              <w:t>1 双层管道的内层管应符合本规范第6．3节的有关规定。</w:t>
            </w:r>
            <w:r>
              <w:rPr>
                <w:rFonts w:hint="eastAsia" w:ascii="宋体" w:hAnsi="宋体" w:eastAsia="宋体" w:cs="宋体"/>
                <w:sz w:val="21"/>
                <w:szCs w:val="21"/>
                <w:shd w:val="clear" w:color="auto" w:fill="FFFFFF"/>
              </w:rPr>
              <w:br w:type="textWrapping"/>
            </w:r>
            <w:r>
              <w:rPr>
                <w:rFonts w:hint="eastAsia" w:ascii="宋体" w:hAnsi="宋体" w:eastAsia="宋体" w:cs="宋体"/>
                <w:sz w:val="21"/>
                <w:szCs w:val="21"/>
                <w:shd w:val="clear" w:color="auto" w:fill="FFFFFF"/>
              </w:rPr>
              <w:t>2 采用双层非金属管道时，外层管应满足耐油、耐腐蚀、耐老化和系统试验压力的要求。</w:t>
            </w:r>
            <w:r>
              <w:rPr>
                <w:rFonts w:hint="eastAsia" w:ascii="宋体" w:hAnsi="宋体" w:eastAsia="宋体" w:cs="宋体"/>
                <w:sz w:val="21"/>
                <w:szCs w:val="21"/>
                <w:shd w:val="clear" w:color="auto" w:fill="FFFFFF"/>
              </w:rPr>
              <w:br w:type="textWrapping"/>
            </w:r>
            <w:r>
              <w:rPr>
                <w:rFonts w:hint="eastAsia" w:ascii="宋体" w:hAnsi="宋体" w:eastAsia="宋体" w:cs="宋体"/>
                <w:sz w:val="21"/>
                <w:szCs w:val="21"/>
                <w:shd w:val="clear" w:color="auto" w:fill="FFFFFF"/>
              </w:rPr>
              <w:t>3 采用双层钢质管道时，外层管的壁厚不应小于5mm。</w:t>
            </w:r>
            <w:r>
              <w:rPr>
                <w:rFonts w:hint="eastAsia" w:ascii="宋体" w:hAnsi="宋体" w:eastAsia="宋体" w:cs="宋体"/>
                <w:sz w:val="21"/>
                <w:szCs w:val="21"/>
                <w:shd w:val="clear" w:color="auto" w:fill="FFFFFF"/>
              </w:rPr>
              <w:br w:type="textWrapping"/>
            </w:r>
            <w:r>
              <w:rPr>
                <w:rFonts w:hint="eastAsia" w:ascii="宋体" w:hAnsi="宋体" w:eastAsia="宋体" w:cs="宋体"/>
                <w:sz w:val="21"/>
                <w:szCs w:val="21"/>
                <w:shd w:val="clear" w:color="auto" w:fill="FFFFFF"/>
              </w:rPr>
              <w:t>4 双层管道系统的内层管与外层管之间的缝隙应贯通。</w:t>
            </w:r>
            <w:r>
              <w:rPr>
                <w:rFonts w:hint="eastAsia" w:ascii="宋体" w:hAnsi="宋体" w:eastAsia="宋体" w:cs="宋体"/>
                <w:sz w:val="21"/>
                <w:szCs w:val="21"/>
                <w:shd w:val="clear" w:color="auto" w:fill="FFFFFF"/>
              </w:rPr>
              <w:br w:type="textWrapping"/>
            </w:r>
            <w:r>
              <w:rPr>
                <w:rFonts w:hint="eastAsia" w:ascii="宋体" w:hAnsi="宋体" w:eastAsia="宋体" w:cs="宋体"/>
                <w:sz w:val="21"/>
                <w:szCs w:val="21"/>
                <w:shd w:val="clear" w:color="auto" w:fill="FFFFFF"/>
              </w:rPr>
              <w:t>5 双层管道系统的最低点应设检漏点。</w:t>
            </w:r>
            <w:r>
              <w:rPr>
                <w:rFonts w:hint="eastAsia" w:ascii="宋体" w:hAnsi="宋体" w:eastAsia="宋体" w:cs="宋体"/>
                <w:sz w:val="21"/>
                <w:szCs w:val="21"/>
                <w:shd w:val="clear" w:color="auto" w:fill="FFFFFF"/>
              </w:rPr>
              <w:br w:type="textWrapping"/>
            </w:r>
            <w:r>
              <w:rPr>
                <w:rFonts w:hint="eastAsia" w:ascii="宋体" w:hAnsi="宋体" w:eastAsia="宋体" w:cs="宋体"/>
                <w:sz w:val="21"/>
                <w:szCs w:val="21"/>
                <w:shd w:val="clear" w:color="auto" w:fill="FFFFFF"/>
              </w:rPr>
              <w:t>6 双层管道坡向检漏点的坡度，不应小于5‰，并应保证内层管和外层管任何部位出现渗漏均能在检漏点处被发现。</w:t>
            </w:r>
            <w:r>
              <w:rPr>
                <w:rFonts w:hint="eastAsia" w:ascii="宋体" w:hAnsi="宋体" w:eastAsia="宋体" w:cs="宋体"/>
                <w:sz w:val="21"/>
                <w:szCs w:val="21"/>
                <w:shd w:val="clear" w:color="auto" w:fill="FFFFFF"/>
              </w:rPr>
              <w:br w:type="textWrapping"/>
            </w:r>
            <w:r>
              <w:rPr>
                <w:rFonts w:hint="eastAsia" w:ascii="宋体" w:hAnsi="宋体" w:eastAsia="宋体" w:cs="宋体"/>
                <w:sz w:val="21"/>
                <w:szCs w:val="21"/>
                <w:shd w:val="clear" w:color="auto" w:fill="FFFFFF"/>
              </w:rPr>
              <w:t>7 管道系统的渗漏检测宜采用在线监测系统。</w:t>
            </w:r>
          </w:p>
        </w:tc>
        <w:tc>
          <w:tcPr>
            <w:tcW w:w="1104"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设计的双层热塑性塑料管线。</w:t>
            </w:r>
          </w:p>
        </w:tc>
        <w:tc>
          <w:tcPr>
            <w:tcW w:w="1380"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按照设计选型设备</w:t>
            </w:r>
          </w:p>
        </w:tc>
        <w:tc>
          <w:tcPr>
            <w:tcW w:w="1812"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根据选型管线，</w:t>
            </w:r>
            <w:r>
              <w:rPr>
                <w:rFonts w:hint="eastAsia" w:ascii="宋体" w:hAnsi="宋体" w:eastAsia="宋体" w:cs="宋体"/>
                <w:sz w:val="21"/>
                <w:szCs w:val="21"/>
                <w:shd w:val="clear" w:color="auto" w:fill="FFFFFF"/>
              </w:rPr>
              <w:t>采用双层非金属管道时，外层管满足耐油、耐腐蚀、耐老化系统试验压力的要求</w:t>
            </w:r>
            <w:r>
              <w:rPr>
                <w:rFonts w:hint="eastAsia" w:ascii="宋体" w:hAnsi="宋体" w:eastAsia="宋体" w:cs="宋体"/>
                <w:sz w:val="21"/>
                <w:szCs w:val="21"/>
              </w:rPr>
              <w:t>；双</w:t>
            </w:r>
            <w:r>
              <w:rPr>
                <w:rFonts w:hint="eastAsia" w:ascii="宋体" w:hAnsi="宋体" w:eastAsia="宋体" w:cs="宋体"/>
                <w:sz w:val="21"/>
                <w:szCs w:val="21"/>
                <w:shd w:val="clear" w:color="auto" w:fill="FFFFFF"/>
              </w:rPr>
              <w:t>层管道系统的内层管与外层管之间的缝隙贯通；</w:t>
            </w:r>
            <w:r>
              <w:rPr>
                <w:rFonts w:hint="eastAsia" w:ascii="宋体" w:hAnsi="宋体" w:eastAsia="宋体" w:cs="宋体"/>
                <w:sz w:val="21"/>
                <w:szCs w:val="21"/>
              </w:rPr>
              <w:t>管线最低点即操作井处有设置测漏传感器，</w:t>
            </w:r>
            <w:r>
              <w:rPr>
                <w:rFonts w:hint="eastAsia" w:ascii="宋体" w:hAnsi="宋体" w:eastAsia="宋体" w:cs="宋体"/>
                <w:sz w:val="21"/>
                <w:szCs w:val="21"/>
                <w:shd w:val="clear" w:color="auto" w:fill="FFFFFF"/>
              </w:rPr>
              <w:t>采用在线监测系统。</w:t>
            </w:r>
          </w:p>
        </w:tc>
        <w:tc>
          <w:tcPr>
            <w:tcW w:w="1092"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98" w:hRule="atLeast"/>
          <w:jc w:val="center"/>
        </w:trPr>
        <w:tc>
          <w:tcPr>
            <w:tcW w:w="579" w:type="dxa"/>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lang w:val="en-US"/>
              </w:rPr>
              <w:t>5</w:t>
            </w:r>
          </w:p>
        </w:tc>
        <w:tc>
          <w:tcPr>
            <w:tcW w:w="3160" w:type="dxa"/>
            <w:tcBorders>
              <w:right w:val="single" w:color="000000" w:sz="6" w:space="0"/>
            </w:tcBorders>
            <w:vAlign w:val="center"/>
          </w:tcPr>
          <w:p>
            <w:pPr>
              <w:rPr>
                <w:rFonts w:hint="eastAsia" w:ascii="宋体" w:hAnsi="宋体" w:eastAsia="宋体" w:cs="宋体"/>
                <w:sz w:val="21"/>
                <w:szCs w:val="21"/>
                <w:shd w:val="clear" w:color="auto" w:fill="FFFFFF"/>
              </w:rPr>
            </w:pPr>
            <w:r>
              <w:rPr>
                <w:rFonts w:hint="eastAsia" w:ascii="宋体" w:hAnsi="宋体" w:eastAsia="宋体" w:cs="宋体"/>
                <w:sz w:val="21"/>
                <w:szCs w:val="21"/>
                <w:shd w:val="clear" w:color="auto" w:fill="FFFFFF"/>
              </w:rPr>
              <w:t>6．5．7 双层油罐、防渗罐池的渗漏检测宜采用在线监测系统。采用液体传感器监测时，传感器的检测精度不应大于3．5mm。</w:t>
            </w:r>
          </w:p>
        </w:tc>
        <w:tc>
          <w:tcPr>
            <w:tcW w:w="1104"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有设计检测措施和设施。</w:t>
            </w:r>
          </w:p>
        </w:tc>
        <w:tc>
          <w:tcPr>
            <w:tcW w:w="1380"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按照设计选型相关探棒、双壁罐传感器等检漏及报警系统。</w:t>
            </w:r>
          </w:p>
        </w:tc>
        <w:tc>
          <w:tcPr>
            <w:tcW w:w="1812" w:type="dxa"/>
            <w:tcBorders>
              <w:left w:val="single" w:color="000000" w:sz="6" w:space="0"/>
            </w:tcBorders>
            <w:vAlign w:val="center"/>
          </w:tcPr>
          <w:p>
            <w:pPr>
              <w:jc w:val="center"/>
              <w:rPr>
                <w:rFonts w:hint="eastAsia" w:ascii="宋体" w:hAnsi="宋体" w:eastAsia="宋体" w:cs="宋体"/>
                <w:sz w:val="21"/>
                <w:szCs w:val="21"/>
                <w:lang w:eastAsia="zh-CN"/>
              </w:rPr>
            </w:pPr>
            <w:r>
              <w:rPr>
                <w:rFonts w:hint="eastAsia" w:ascii="宋体" w:hAnsi="宋体" w:eastAsia="宋体" w:cs="宋体"/>
                <w:sz w:val="21"/>
                <w:szCs w:val="21"/>
                <w:shd w:val="clear" w:color="auto" w:fill="FFFFFF"/>
              </w:rPr>
              <w:t>双层油罐、防渗罐池的渗漏检测采用在线监测系统</w:t>
            </w:r>
            <w:r>
              <w:rPr>
                <w:rFonts w:hint="eastAsia" w:ascii="宋体" w:hAnsi="宋体" w:eastAsia="宋体" w:cs="宋体"/>
                <w:sz w:val="21"/>
                <w:szCs w:val="21"/>
                <w:shd w:val="clear" w:color="auto" w:fill="FFFFFF"/>
                <w:lang w:eastAsia="zh-CN"/>
              </w:rPr>
              <w:t>。</w:t>
            </w:r>
          </w:p>
        </w:tc>
        <w:tc>
          <w:tcPr>
            <w:tcW w:w="1092"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98" w:hRule="atLeast"/>
          <w:jc w:val="center"/>
        </w:trPr>
        <w:tc>
          <w:tcPr>
            <w:tcW w:w="9127" w:type="dxa"/>
            <w:gridSpan w:val="6"/>
            <w:vAlign w:val="center"/>
          </w:tcPr>
          <w:p>
            <w:pPr>
              <w:jc w:val="center"/>
              <w:rPr>
                <w:rFonts w:hint="eastAsia" w:ascii="宋体" w:hAnsi="宋体" w:eastAsia="宋体" w:cs="宋体"/>
                <w:sz w:val="21"/>
                <w:szCs w:val="21"/>
              </w:rPr>
            </w:pPr>
            <w:r>
              <w:rPr>
                <w:rFonts w:hint="eastAsia" w:ascii="宋体" w:hAnsi="宋体" w:eastAsia="宋体" w:cs="宋体"/>
                <w:b/>
                <w:bCs/>
                <w:sz w:val="21"/>
                <w:szCs w:val="21"/>
                <w:lang w:val="en-US"/>
              </w:rPr>
              <w:t>四</w:t>
            </w:r>
            <w:r>
              <w:rPr>
                <w:rFonts w:hint="eastAsia" w:ascii="宋体" w:hAnsi="宋体" w:eastAsia="宋体" w:cs="宋体"/>
                <w:b/>
                <w:bCs/>
                <w:sz w:val="21"/>
                <w:szCs w:val="21"/>
                <w:lang w:val="en-US" w:eastAsia="zh-CN"/>
              </w:rPr>
              <w:t>、</w:t>
            </w:r>
            <w:r>
              <w:rPr>
                <w:rFonts w:hint="eastAsia" w:ascii="宋体" w:hAnsi="宋体" w:eastAsia="宋体" w:cs="宋体"/>
                <w:b/>
                <w:bCs/>
                <w:sz w:val="21"/>
                <w:szCs w:val="21"/>
                <w:shd w:val="clear" w:color="auto" w:fill="FFFFFF"/>
              </w:rPr>
              <w:t>防雷、防静电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98" w:hRule="atLeast"/>
          <w:jc w:val="center"/>
        </w:trPr>
        <w:tc>
          <w:tcPr>
            <w:tcW w:w="579" w:type="dxa"/>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lang w:val="en-US"/>
              </w:rPr>
              <w:t>1</w:t>
            </w:r>
          </w:p>
        </w:tc>
        <w:tc>
          <w:tcPr>
            <w:tcW w:w="3160" w:type="dxa"/>
            <w:tcBorders>
              <w:right w:val="single" w:color="000000" w:sz="6" w:space="0"/>
            </w:tcBorders>
            <w:vAlign w:val="center"/>
          </w:tcPr>
          <w:p>
            <w:pPr>
              <w:rPr>
                <w:rFonts w:hint="eastAsia" w:ascii="宋体" w:hAnsi="宋体" w:eastAsia="宋体" w:cs="宋体"/>
                <w:sz w:val="21"/>
                <w:szCs w:val="21"/>
                <w:shd w:val="clear" w:color="auto" w:fill="FFFFFF"/>
              </w:rPr>
            </w:pPr>
            <w:r>
              <w:rPr>
                <w:rFonts w:hint="eastAsia" w:ascii="宋体" w:hAnsi="宋体" w:eastAsia="宋体" w:cs="宋体"/>
                <w:sz w:val="21"/>
                <w:szCs w:val="21"/>
                <w:shd w:val="clear" w:color="auto" w:fill="FFFFFF"/>
              </w:rPr>
              <w:t>11．2．11 加油加气站的汽油罐车、LPG罐车</w:t>
            </w:r>
            <w:r>
              <w:rPr>
                <w:rFonts w:hint="eastAsia" w:ascii="宋体" w:hAnsi="宋体" w:eastAsia="宋体" w:cs="宋体"/>
                <w:sz w:val="21"/>
                <w:szCs w:val="21"/>
                <w:u w:val="none"/>
                <w:shd w:val="clear" w:color="auto" w:fill="FFFFFF"/>
              </w:rPr>
              <w:t>和LNG罐车卸车场地，应设卸车或卸气时用的防静电接地装置，并应设置能检</w:t>
            </w:r>
            <w:r>
              <w:rPr>
                <w:rFonts w:hint="eastAsia" w:ascii="宋体" w:hAnsi="宋体" w:eastAsia="宋体" w:cs="宋体"/>
                <w:sz w:val="21"/>
                <w:szCs w:val="21"/>
                <w:shd w:val="clear" w:color="auto" w:fill="FFFFFF"/>
              </w:rPr>
              <w:t>测跨接线及监视接地装置状态的静电接地仪。</w:t>
            </w:r>
          </w:p>
        </w:tc>
        <w:tc>
          <w:tcPr>
            <w:tcW w:w="1104"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原有防静电接地报警器</w:t>
            </w:r>
          </w:p>
        </w:tc>
        <w:tc>
          <w:tcPr>
            <w:tcW w:w="1380"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重新安装原有防静电接地报警器</w:t>
            </w:r>
          </w:p>
        </w:tc>
        <w:tc>
          <w:tcPr>
            <w:tcW w:w="1812" w:type="dxa"/>
            <w:tcBorders>
              <w:left w:val="single" w:color="000000" w:sz="6" w:space="0"/>
            </w:tcBorders>
            <w:vAlign w:val="center"/>
          </w:tcPr>
          <w:p>
            <w:pPr>
              <w:jc w:val="center"/>
              <w:rPr>
                <w:rFonts w:hint="eastAsia" w:ascii="宋体" w:hAnsi="宋体" w:eastAsia="宋体" w:cs="宋体"/>
                <w:sz w:val="21"/>
                <w:szCs w:val="21"/>
                <w:lang w:eastAsia="zh-CN"/>
              </w:rPr>
            </w:pPr>
            <w:r>
              <w:rPr>
                <w:rFonts w:hint="eastAsia" w:ascii="宋体" w:hAnsi="宋体" w:eastAsia="宋体" w:cs="宋体"/>
                <w:sz w:val="21"/>
                <w:szCs w:val="21"/>
              </w:rPr>
              <w:t>现场检查有防静电接地报警器</w:t>
            </w:r>
            <w:r>
              <w:rPr>
                <w:rFonts w:hint="eastAsia" w:ascii="宋体" w:hAnsi="宋体" w:eastAsia="宋体" w:cs="宋体"/>
                <w:sz w:val="21"/>
                <w:szCs w:val="21"/>
                <w:lang w:eastAsia="zh-CN"/>
              </w:rPr>
              <w:t>。</w:t>
            </w:r>
          </w:p>
        </w:tc>
        <w:tc>
          <w:tcPr>
            <w:tcW w:w="1092"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8" w:hRule="atLeast"/>
          <w:jc w:val="center"/>
        </w:trPr>
        <w:tc>
          <w:tcPr>
            <w:tcW w:w="579" w:type="dxa"/>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lang w:val="en-US"/>
              </w:rPr>
              <w:t>2</w:t>
            </w:r>
          </w:p>
        </w:tc>
        <w:tc>
          <w:tcPr>
            <w:tcW w:w="3160" w:type="dxa"/>
            <w:tcBorders>
              <w:right w:val="single" w:color="000000" w:sz="6" w:space="0"/>
            </w:tcBorders>
            <w:vAlign w:val="center"/>
          </w:tcPr>
          <w:p>
            <w:pPr>
              <w:rPr>
                <w:rFonts w:hint="eastAsia" w:ascii="宋体" w:hAnsi="宋体" w:eastAsia="宋体" w:cs="宋体"/>
                <w:sz w:val="21"/>
                <w:szCs w:val="21"/>
                <w:shd w:val="clear" w:color="auto" w:fill="FFFFFF"/>
              </w:rPr>
            </w:pPr>
            <w:r>
              <w:rPr>
                <w:rFonts w:hint="eastAsia" w:ascii="宋体" w:hAnsi="宋体" w:eastAsia="宋体" w:cs="宋体"/>
                <w:sz w:val="21"/>
                <w:szCs w:val="21"/>
                <w:shd w:val="clear" w:color="auto" w:fill="FFFFFF"/>
              </w:rPr>
              <w:t>11．2．12 在爆炸危险区域内工艺管道上的法兰、胶管两端等连接处，应用金属线跨接。当法兰的连接螺栓不少于5根时，在非腐蚀环境下可不跨接。</w:t>
            </w:r>
          </w:p>
        </w:tc>
        <w:tc>
          <w:tcPr>
            <w:tcW w:w="1104"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设计有跨接措施</w:t>
            </w:r>
          </w:p>
        </w:tc>
        <w:tc>
          <w:tcPr>
            <w:tcW w:w="1380"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按照设计施工</w:t>
            </w:r>
          </w:p>
        </w:tc>
        <w:tc>
          <w:tcPr>
            <w:tcW w:w="1812" w:type="dxa"/>
            <w:tcBorders>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油罐、操作井、通气管等法兰连接螺栓有跨接。</w:t>
            </w:r>
          </w:p>
        </w:tc>
        <w:tc>
          <w:tcPr>
            <w:tcW w:w="1092"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8" w:hRule="atLeast"/>
          <w:jc w:val="center"/>
        </w:trPr>
        <w:tc>
          <w:tcPr>
            <w:tcW w:w="9127" w:type="dxa"/>
            <w:gridSpan w:val="6"/>
            <w:vAlign w:val="center"/>
          </w:tcPr>
          <w:p>
            <w:pPr>
              <w:jc w:val="center"/>
              <w:rPr>
                <w:rFonts w:hint="eastAsia" w:ascii="宋体" w:hAnsi="宋体" w:eastAsia="宋体" w:cs="宋体"/>
                <w:sz w:val="21"/>
                <w:szCs w:val="21"/>
              </w:rPr>
            </w:pPr>
            <w:r>
              <w:rPr>
                <w:rFonts w:hint="eastAsia" w:ascii="宋体" w:hAnsi="宋体" w:eastAsia="宋体" w:cs="宋体"/>
                <w:b/>
                <w:bCs/>
                <w:sz w:val="21"/>
                <w:szCs w:val="21"/>
                <w:lang w:val="en-US"/>
              </w:rPr>
              <w:t>五</w:t>
            </w:r>
            <w:r>
              <w:rPr>
                <w:rFonts w:hint="eastAsia" w:ascii="宋体" w:hAnsi="宋体" w:eastAsia="宋体" w:cs="宋体"/>
                <w:b/>
                <w:bCs/>
                <w:sz w:val="21"/>
                <w:szCs w:val="21"/>
                <w:lang w:val="en-US" w:eastAsia="zh-CN"/>
              </w:rPr>
              <w:t>、</w:t>
            </w:r>
            <w:r>
              <w:rPr>
                <w:rFonts w:hint="eastAsia" w:ascii="宋体" w:hAnsi="宋体" w:eastAsia="宋体" w:cs="宋体"/>
                <w:b/>
                <w:sz w:val="21"/>
                <w:szCs w:val="21"/>
                <w:shd w:val="clear" w:color="auto" w:fill="FFFFFF"/>
                <w:lang w:val="en-US"/>
              </w:rPr>
              <w:t>紧急切断系统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8" w:hRule="atLeast"/>
          <w:jc w:val="center"/>
        </w:trPr>
        <w:tc>
          <w:tcPr>
            <w:tcW w:w="579" w:type="dxa"/>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lang w:val="en-US"/>
              </w:rPr>
              <w:t>1</w:t>
            </w:r>
          </w:p>
        </w:tc>
        <w:tc>
          <w:tcPr>
            <w:tcW w:w="3160" w:type="dxa"/>
            <w:tcBorders>
              <w:right w:val="single" w:color="000000" w:sz="6" w:space="0"/>
            </w:tcBorders>
            <w:vAlign w:val="center"/>
          </w:tcPr>
          <w:p>
            <w:pPr>
              <w:rPr>
                <w:rFonts w:hint="eastAsia" w:ascii="宋体" w:hAnsi="宋体" w:eastAsia="宋体" w:cs="宋体"/>
                <w:sz w:val="21"/>
                <w:szCs w:val="21"/>
                <w:shd w:val="clear" w:color="auto" w:fill="FFFFFF"/>
              </w:rPr>
            </w:pPr>
            <w:r>
              <w:rPr>
                <w:rFonts w:hint="eastAsia" w:ascii="宋体" w:hAnsi="宋体" w:eastAsia="宋体" w:cs="宋体"/>
                <w:sz w:val="21"/>
                <w:szCs w:val="21"/>
                <w:lang w:val="en-US"/>
              </w:rPr>
              <w:t>11.5.3紧急切断系统应至少在下列位置设置启动开关：</w:t>
            </w:r>
            <w:r>
              <w:rPr>
                <w:rFonts w:hint="eastAsia" w:ascii="宋体" w:hAnsi="宋体" w:eastAsia="宋体" w:cs="宋体"/>
                <w:sz w:val="21"/>
                <w:szCs w:val="21"/>
                <w:lang w:val="en-US"/>
              </w:rPr>
              <w:br w:type="textWrapping"/>
            </w:r>
            <w:r>
              <w:rPr>
                <w:rFonts w:hint="eastAsia" w:ascii="宋体" w:hAnsi="宋体" w:eastAsia="宋体" w:cs="宋体"/>
                <w:sz w:val="21"/>
                <w:szCs w:val="21"/>
                <w:lang w:val="en-US"/>
              </w:rPr>
              <w:t>1 距加气站卸车点5m以内。</w:t>
            </w:r>
            <w:r>
              <w:rPr>
                <w:rFonts w:hint="eastAsia" w:ascii="宋体" w:hAnsi="宋体" w:eastAsia="宋体" w:cs="宋体"/>
                <w:sz w:val="21"/>
                <w:szCs w:val="21"/>
                <w:lang w:val="en-US"/>
              </w:rPr>
              <w:br w:type="textWrapping"/>
            </w:r>
            <w:r>
              <w:rPr>
                <w:rFonts w:hint="eastAsia" w:ascii="宋体" w:hAnsi="宋体" w:eastAsia="宋体" w:cs="宋体"/>
                <w:sz w:val="21"/>
                <w:szCs w:val="21"/>
                <w:lang w:val="en-US"/>
              </w:rPr>
              <w:t>2 在加油加气现场工作人员容易接近的位置。</w:t>
            </w:r>
            <w:r>
              <w:rPr>
                <w:rFonts w:hint="eastAsia" w:ascii="宋体" w:hAnsi="宋体" w:eastAsia="宋体" w:cs="宋体"/>
                <w:sz w:val="21"/>
                <w:szCs w:val="21"/>
                <w:lang w:val="en-US"/>
              </w:rPr>
              <w:br w:type="textWrapping"/>
            </w:r>
            <w:r>
              <w:rPr>
                <w:rFonts w:hint="eastAsia" w:ascii="宋体" w:hAnsi="宋体" w:eastAsia="宋体" w:cs="宋体"/>
                <w:sz w:val="21"/>
                <w:szCs w:val="21"/>
                <w:lang w:val="en-US"/>
              </w:rPr>
              <w:t>3 在控制室或值班室内。</w:t>
            </w:r>
          </w:p>
        </w:tc>
        <w:tc>
          <w:tcPr>
            <w:tcW w:w="1104" w:type="dxa"/>
            <w:tcBorders>
              <w:left w:val="single" w:color="000000" w:sz="6" w:space="0"/>
            </w:tcBorders>
            <w:vAlign w:val="center"/>
          </w:tcPr>
          <w:p>
            <w:pPr>
              <w:rPr>
                <w:rFonts w:hint="eastAsia" w:ascii="宋体" w:hAnsi="宋体" w:eastAsia="宋体" w:cs="宋体"/>
                <w:sz w:val="21"/>
                <w:szCs w:val="21"/>
              </w:rPr>
            </w:pPr>
            <w:r>
              <w:rPr>
                <w:rFonts w:hint="eastAsia" w:ascii="宋体" w:hAnsi="宋体" w:eastAsia="宋体" w:cs="宋体"/>
                <w:sz w:val="21"/>
                <w:szCs w:val="21"/>
              </w:rPr>
              <w:t>设计有</w:t>
            </w:r>
            <w:r>
              <w:rPr>
                <w:rFonts w:hint="eastAsia" w:ascii="宋体" w:hAnsi="宋体" w:eastAsia="宋体" w:cs="宋体"/>
                <w:sz w:val="21"/>
                <w:szCs w:val="21"/>
                <w:lang w:val="en-US"/>
              </w:rPr>
              <w:t>紧急切断系统和启动开关</w:t>
            </w:r>
          </w:p>
        </w:tc>
        <w:tc>
          <w:tcPr>
            <w:tcW w:w="1380" w:type="dxa"/>
            <w:tcBorders>
              <w:left w:val="single" w:color="000000" w:sz="6" w:space="0"/>
            </w:tcBorders>
            <w:vAlign w:val="center"/>
          </w:tcPr>
          <w:p>
            <w:pPr>
              <w:rPr>
                <w:rFonts w:hint="eastAsia" w:ascii="宋体" w:hAnsi="宋体" w:eastAsia="宋体" w:cs="宋体"/>
                <w:sz w:val="21"/>
                <w:szCs w:val="21"/>
              </w:rPr>
            </w:pPr>
            <w:r>
              <w:rPr>
                <w:rFonts w:hint="eastAsia" w:ascii="宋体" w:hAnsi="宋体" w:eastAsia="宋体" w:cs="宋体"/>
                <w:sz w:val="21"/>
                <w:szCs w:val="21"/>
              </w:rPr>
              <w:t>按照设计施工</w:t>
            </w:r>
          </w:p>
        </w:tc>
        <w:tc>
          <w:tcPr>
            <w:tcW w:w="1812" w:type="dxa"/>
            <w:tcBorders>
              <w:left w:val="single" w:color="000000" w:sz="6" w:space="0"/>
            </w:tcBorders>
            <w:vAlign w:val="center"/>
          </w:tcPr>
          <w:p>
            <w:pPr>
              <w:rPr>
                <w:rFonts w:hint="eastAsia" w:ascii="宋体" w:hAnsi="宋体" w:eastAsia="宋体" w:cs="宋体"/>
                <w:sz w:val="21"/>
                <w:szCs w:val="21"/>
              </w:rPr>
            </w:pPr>
            <w:r>
              <w:rPr>
                <w:rFonts w:hint="eastAsia" w:ascii="宋体" w:hAnsi="宋体" w:eastAsia="宋体" w:cs="宋体"/>
                <w:sz w:val="21"/>
                <w:szCs w:val="21"/>
                <w:lang w:val="en-US"/>
              </w:rPr>
              <w:t>紧急切断系统在站房前台处工作人员容易接近的位置设置了启动开关,加油机设置了紧急切断按钮。</w:t>
            </w:r>
          </w:p>
        </w:tc>
        <w:tc>
          <w:tcPr>
            <w:tcW w:w="1092"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8" w:hRule="atLeast"/>
          <w:jc w:val="center"/>
        </w:trPr>
        <w:tc>
          <w:tcPr>
            <w:tcW w:w="579" w:type="dxa"/>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lang w:val="en-US"/>
              </w:rPr>
              <w:t>2</w:t>
            </w:r>
          </w:p>
        </w:tc>
        <w:tc>
          <w:tcPr>
            <w:tcW w:w="3160" w:type="dxa"/>
            <w:tcBorders>
              <w:right w:val="single" w:color="000000" w:sz="6" w:space="0"/>
            </w:tcBorders>
            <w:vAlign w:val="center"/>
          </w:tcPr>
          <w:p>
            <w:pPr>
              <w:rPr>
                <w:rFonts w:hint="eastAsia" w:ascii="宋体" w:hAnsi="宋体" w:eastAsia="宋体" w:cs="宋体"/>
                <w:sz w:val="21"/>
                <w:szCs w:val="21"/>
                <w:shd w:val="clear" w:color="auto" w:fill="FFFFFF"/>
              </w:rPr>
            </w:pPr>
            <w:r>
              <w:rPr>
                <w:rFonts w:hint="eastAsia" w:ascii="宋体" w:hAnsi="宋体" w:eastAsia="宋体" w:cs="宋体"/>
                <w:sz w:val="21"/>
                <w:szCs w:val="21"/>
                <w:lang w:val="en-US"/>
              </w:rPr>
              <w:t>11.5.4紧急切断系统应只能手动复位</w:t>
            </w:r>
          </w:p>
        </w:tc>
        <w:tc>
          <w:tcPr>
            <w:tcW w:w="1104" w:type="dxa"/>
            <w:tcBorders>
              <w:left w:val="single" w:color="000000" w:sz="6" w:space="0"/>
            </w:tcBorders>
            <w:vAlign w:val="center"/>
          </w:tcPr>
          <w:p>
            <w:pPr>
              <w:rPr>
                <w:rFonts w:hint="eastAsia" w:ascii="宋体" w:hAnsi="宋体" w:eastAsia="宋体" w:cs="宋体"/>
                <w:sz w:val="21"/>
                <w:szCs w:val="21"/>
              </w:rPr>
            </w:pPr>
            <w:r>
              <w:rPr>
                <w:rFonts w:hint="eastAsia" w:ascii="宋体" w:hAnsi="宋体" w:eastAsia="宋体" w:cs="宋体"/>
                <w:sz w:val="21"/>
                <w:szCs w:val="21"/>
              </w:rPr>
              <w:t>设计有</w:t>
            </w:r>
            <w:r>
              <w:rPr>
                <w:rFonts w:hint="eastAsia" w:ascii="宋体" w:hAnsi="宋体" w:eastAsia="宋体" w:cs="宋体"/>
                <w:sz w:val="21"/>
                <w:szCs w:val="21"/>
                <w:lang w:val="en-US"/>
              </w:rPr>
              <w:t>紧急切断系统和启动开关</w:t>
            </w:r>
          </w:p>
        </w:tc>
        <w:tc>
          <w:tcPr>
            <w:tcW w:w="1380" w:type="dxa"/>
            <w:tcBorders>
              <w:left w:val="single" w:color="000000" w:sz="6" w:space="0"/>
            </w:tcBorders>
            <w:vAlign w:val="center"/>
          </w:tcPr>
          <w:p>
            <w:pPr>
              <w:rPr>
                <w:rFonts w:hint="eastAsia" w:ascii="宋体" w:hAnsi="宋体" w:eastAsia="宋体" w:cs="宋体"/>
                <w:sz w:val="21"/>
                <w:szCs w:val="21"/>
              </w:rPr>
            </w:pPr>
            <w:r>
              <w:rPr>
                <w:rFonts w:hint="eastAsia" w:ascii="宋体" w:hAnsi="宋体" w:eastAsia="宋体" w:cs="宋体"/>
                <w:sz w:val="21"/>
                <w:szCs w:val="21"/>
              </w:rPr>
              <w:t>按照设计施工</w:t>
            </w:r>
          </w:p>
        </w:tc>
        <w:tc>
          <w:tcPr>
            <w:tcW w:w="1812" w:type="dxa"/>
            <w:tcBorders>
              <w:left w:val="single" w:color="000000" w:sz="6" w:space="0"/>
            </w:tcBorders>
            <w:vAlign w:val="center"/>
          </w:tcPr>
          <w:p>
            <w:pPr>
              <w:rPr>
                <w:rFonts w:hint="eastAsia" w:ascii="宋体" w:hAnsi="宋体" w:eastAsia="宋体" w:cs="宋体"/>
                <w:sz w:val="21"/>
                <w:szCs w:val="21"/>
                <w:lang w:eastAsia="zh-CN"/>
              </w:rPr>
            </w:pPr>
            <w:r>
              <w:rPr>
                <w:rFonts w:hint="eastAsia" w:ascii="宋体" w:hAnsi="宋体" w:eastAsia="宋体" w:cs="宋体"/>
                <w:sz w:val="21"/>
                <w:szCs w:val="21"/>
                <w:lang w:val="en-US"/>
              </w:rPr>
              <w:t>紧急切断系统只能手动复位</w:t>
            </w:r>
            <w:r>
              <w:rPr>
                <w:rFonts w:hint="eastAsia" w:ascii="宋体" w:hAnsi="宋体" w:eastAsia="宋体" w:cs="宋体"/>
                <w:sz w:val="21"/>
                <w:szCs w:val="21"/>
                <w:lang w:val="en-US" w:eastAsia="zh-CN"/>
              </w:rPr>
              <w:t>。</w:t>
            </w:r>
          </w:p>
        </w:tc>
        <w:tc>
          <w:tcPr>
            <w:tcW w:w="1092"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符合要求</w:t>
            </w:r>
          </w:p>
        </w:tc>
      </w:tr>
    </w:tbl>
    <w:p>
      <w:pPr>
        <w:pStyle w:val="6"/>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jc w:val="both"/>
        <w:textAlignment w:val="auto"/>
        <w:rPr>
          <w:rFonts w:hint="eastAsia" w:ascii="宋体" w:hAnsi="宋体" w:eastAsia="宋体" w:cs="宋体"/>
        </w:rPr>
      </w:pPr>
      <w:r>
        <w:rPr>
          <w:rFonts w:hint="eastAsia" w:ascii="宋体" w:hAnsi="宋体" w:eastAsia="宋体" w:cs="宋体"/>
        </w:rPr>
        <w:t>由检查表可知，</w:t>
      </w:r>
      <w:r>
        <w:rPr>
          <w:rFonts w:hint="eastAsia" w:ascii="宋体" w:hAnsi="宋体" w:eastAsia="宋体" w:cs="宋体"/>
          <w:lang w:eastAsia="zh-CN"/>
        </w:rPr>
        <w:t>横坑加油站</w:t>
      </w:r>
      <w:r>
        <w:rPr>
          <w:rFonts w:hint="eastAsia" w:ascii="宋体" w:hAnsi="宋体" w:eastAsia="宋体" w:cs="宋体"/>
        </w:rPr>
        <w:t>的油罐、工艺管线、防雷防静电、防渗措施等符合《汽车加油加气站设计与施工规范》GB50156-2012（2014 年版）的相关要求。</w:t>
      </w:r>
    </w:p>
    <w:p>
      <w:pPr>
        <w:rPr>
          <w:rFonts w:hint="eastAsia" w:ascii="宋体" w:hAnsi="宋体" w:eastAsia="宋体" w:cs="宋体"/>
        </w:rPr>
      </w:pPr>
    </w:p>
    <w:p>
      <w:pPr>
        <w:rPr>
          <w:rFonts w:hint="eastAsia" w:ascii="宋体" w:hAnsi="宋体" w:eastAsia="宋体" w:cs="宋体"/>
          <w:sz w:val="28"/>
          <w:szCs w:val="28"/>
        </w:rPr>
      </w:pPr>
      <w:bookmarkStart w:id="829" w:name="_Toc741_WPSOffice_Level3"/>
      <w:r>
        <w:rPr>
          <w:rFonts w:hint="eastAsia" w:ascii="宋体" w:hAnsi="宋体" w:eastAsia="宋体" w:cs="宋体"/>
          <w:sz w:val="28"/>
          <w:szCs w:val="28"/>
        </w:rPr>
        <w:br w:type="page"/>
      </w:r>
    </w:p>
    <w:p>
      <w:pPr>
        <w:pStyle w:val="4"/>
        <w:spacing w:before="120" w:after="120" w:line="240" w:lineRule="auto"/>
        <w:ind w:firstLine="562" w:firstLineChars="200"/>
        <w:rPr>
          <w:rFonts w:hint="eastAsia" w:ascii="宋体" w:hAnsi="宋体" w:eastAsia="宋体" w:cs="宋体"/>
          <w:sz w:val="28"/>
          <w:szCs w:val="28"/>
        </w:rPr>
      </w:pPr>
      <w:r>
        <w:rPr>
          <w:rFonts w:hint="eastAsia" w:ascii="宋体" w:hAnsi="宋体" w:eastAsia="宋体" w:cs="宋体"/>
          <w:sz w:val="28"/>
          <w:szCs w:val="28"/>
        </w:rPr>
        <w:t>4.3.</w:t>
      </w:r>
      <w:r>
        <w:rPr>
          <w:rFonts w:hint="eastAsia" w:ascii="宋体" w:hAnsi="宋体" w:eastAsia="宋体" w:cs="宋体"/>
          <w:sz w:val="28"/>
          <w:szCs w:val="28"/>
          <w:lang w:val="en-US"/>
        </w:rPr>
        <w:t>2 加油机</w:t>
      </w:r>
      <w:r>
        <w:rPr>
          <w:rFonts w:hint="eastAsia" w:ascii="宋体" w:hAnsi="宋体" w:eastAsia="宋体" w:cs="宋体"/>
          <w:sz w:val="28"/>
          <w:szCs w:val="28"/>
        </w:rPr>
        <w:t>评价</w:t>
      </w:r>
      <w:bookmarkEnd w:id="827"/>
      <w:bookmarkEnd w:id="829"/>
    </w:p>
    <w:p>
      <w:pPr>
        <w:jc w:val="center"/>
        <w:rPr>
          <w:rFonts w:hint="eastAsia" w:ascii="宋体" w:hAnsi="宋体" w:eastAsia="宋体" w:cs="宋体"/>
          <w:bCs/>
          <w:sz w:val="28"/>
          <w:szCs w:val="28"/>
        </w:rPr>
      </w:pPr>
      <w:bookmarkStart w:id="830" w:name="_Toc17578_WPSOffice_Level3"/>
      <w:bookmarkStart w:id="831" w:name="_Toc3572_WPSOffice_Level3"/>
      <w:bookmarkStart w:id="832" w:name="_Toc17318_WPSOffice_Level3"/>
      <w:r>
        <w:rPr>
          <w:rFonts w:hint="eastAsia" w:ascii="宋体" w:hAnsi="宋体" w:eastAsia="宋体" w:cs="宋体"/>
          <w:bCs/>
          <w:sz w:val="28"/>
          <w:szCs w:val="28"/>
        </w:rPr>
        <w:t>附表4</w:t>
      </w:r>
      <w:r>
        <w:rPr>
          <w:rFonts w:hint="eastAsia" w:ascii="宋体" w:hAnsi="宋体" w:eastAsia="宋体" w:cs="宋体"/>
          <w:bCs/>
          <w:sz w:val="28"/>
          <w:szCs w:val="28"/>
          <w:lang w:val="en-US"/>
        </w:rPr>
        <w:t>.3</w:t>
      </w:r>
      <w:r>
        <w:rPr>
          <w:rFonts w:hint="eastAsia" w:ascii="宋体" w:hAnsi="宋体" w:eastAsia="宋体" w:cs="宋体"/>
          <w:bCs/>
          <w:sz w:val="28"/>
          <w:szCs w:val="28"/>
        </w:rPr>
        <w:t>-</w:t>
      </w:r>
      <w:r>
        <w:rPr>
          <w:rFonts w:hint="eastAsia" w:ascii="宋体" w:hAnsi="宋体" w:eastAsia="宋体" w:cs="宋体"/>
          <w:bCs/>
          <w:sz w:val="28"/>
          <w:szCs w:val="28"/>
          <w:lang w:val="en-US"/>
        </w:rPr>
        <w:t xml:space="preserve">2 </w:t>
      </w:r>
      <w:r>
        <w:rPr>
          <w:rFonts w:hint="eastAsia" w:ascii="宋体" w:hAnsi="宋体" w:eastAsia="宋体" w:cs="宋体"/>
          <w:bCs/>
          <w:sz w:val="28"/>
          <w:szCs w:val="28"/>
        </w:rPr>
        <w:t>加油机及相关建（构）筑物安全检查表</w:t>
      </w:r>
      <w:bookmarkEnd w:id="830"/>
      <w:bookmarkEnd w:id="831"/>
      <w:bookmarkEnd w:id="832"/>
    </w:p>
    <w:tbl>
      <w:tblPr>
        <w:tblStyle w:val="15"/>
        <w:tblW w:w="942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41"/>
        <w:gridCol w:w="2783"/>
        <w:gridCol w:w="2592"/>
        <w:gridCol w:w="2270"/>
        <w:gridCol w:w="114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7" w:hRule="atLeast"/>
          <w:tblHeader/>
          <w:jc w:val="center"/>
        </w:trPr>
        <w:tc>
          <w:tcPr>
            <w:tcW w:w="6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b/>
                <w:kern w:val="2"/>
                <w:sz w:val="21"/>
                <w:szCs w:val="21"/>
              </w:rPr>
            </w:pPr>
            <w:r>
              <w:rPr>
                <w:rFonts w:hint="eastAsia" w:ascii="宋体" w:hAnsi="宋体" w:eastAsia="宋体" w:cs="宋体"/>
                <w:b/>
                <w:kern w:val="2"/>
                <w:sz w:val="21"/>
                <w:szCs w:val="21"/>
              </w:rPr>
              <w:t>序号</w:t>
            </w:r>
          </w:p>
        </w:tc>
        <w:tc>
          <w:tcPr>
            <w:tcW w:w="278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b/>
                <w:kern w:val="2"/>
                <w:sz w:val="21"/>
                <w:szCs w:val="21"/>
              </w:rPr>
            </w:pPr>
            <w:r>
              <w:rPr>
                <w:rFonts w:hint="eastAsia" w:ascii="宋体" w:hAnsi="宋体" w:eastAsia="宋体" w:cs="宋体"/>
                <w:b/>
                <w:kern w:val="2"/>
                <w:sz w:val="21"/>
                <w:szCs w:val="21"/>
              </w:rPr>
              <w:t>检查内容</w:t>
            </w:r>
          </w:p>
        </w:tc>
        <w:tc>
          <w:tcPr>
            <w:tcW w:w="2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b/>
                <w:kern w:val="2"/>
                <w:sz w:val="21"/>
                <w:szCs w:val="21"/>
              </w:rPr>
            </w:pPr>
            <w:r>
              <w:rPr>
                <w:rFonts w:hint="eastAsia" w:ascii="宋体" w:hAnsi="宋体" w:eastAsia="宋体" w:cs="宋体"/>
                <w:b/>
                <w:kern w:val="2"/>
                <w:sz w:val="21"/>
                <w:szCs w:val="21"/>
              </w:rPr>
              <w:t>标准依据</w:t>
            </w:r>
          </w:p>
        </w:tc>
        <w:tc>
          <w:tcPr>
            <w:tcW w:w="227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b/>
                <w:kern w:val="2"/>
                <w:sz w:val="21"/>
                <w:szCs w:val="21"/>
              </w:rPr>
            </w:pPr>
            <w:r>
              <w:rPr>
                <w:rFonts w:hint="eastAsia" w:ascii="宋体" w:hAnsi="宋体" w:eastAsia="宋体" w:cs="宋体"/>
                <w:b/>
                <w:kern w:val="2"/>
                <w:sz w:val="21"/>
                <w:szCs w:val="21"/>
              </w:rPr>
              <w:t>实际情况</w:t>
            </w:r>
          </w:p>
        </w:tc>
        <w:tc>
          <w:tcPr>
            <w:tcW w:w="114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b/>
                <w:kern w:val="2"/>
                <w:sz w:val="21"/>
                <w:szCs w:val="21"/>
              </w:rPr>
            </w:pPr>
            <w:r>
              <w:rPr>
                <w:rFonts w:hint="eastAsia" w:ascii="宋体" w:hAnsi="宋体" w:eastAsia="宋体" w:cs="宋体"/>
                <w:b/>
                <w:kern w:val="2"/>
                <w:sz w:val="21"/>
                <w:szCs w:val="21"/>
              </w:rPr>
              <w:t>结论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6" w:hRule="atLeast"/>
          <w:jc w:val="center"/>
        </w:trPr>
        <w:tc>
          <w:tcPr>
            <w:tcW w:w="6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1</w:t>
            </w:r>
          </w:p>
        </w:tc>
        <w:tc>
          <w:tcPr>
            <w:tcW w:w="278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加油机不得设在室内。</w:t>
            </w:r>
          </w:p>
        </w:tc>
        <w:tc>
          <w:tcPr>
            <w:tcW w:w="2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《汽车加油加气站设计与施工规范》GB50156-2012（2014年版）第6.2.1条</w:t>
            </w:r>
          </w:p>
        </w:tc>
        <w:tc>
          <w:tcPr>
            <w:tcW w:w="227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加油机未设在室内，设置钢架结构罩棚下。</w:t>
            </w:r>
          </w:p>
        </w:tc>
        <w:tc>
          <w:tcPr>
            <w:tcW w:w="114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符合要求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6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2</w:t>
            </w:r>
          </w:p>
        </w:tc>
        <w:tc>
          <w:tcPr>
            <w:tcW w:w="278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加油枪应采用自封式加油枪，汽油加油枪的流量不应大于50 L/min。</w:t>
            </w:r>
          </w:p>
        </w:tc>
        <w:tc>
          <w:tcPr>
            <w:tcW w:w="2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《汽车加油加气站设计与施工规范》GB50156-2012（2014年版）第6.2.2条</w:t>
            </w:r>
          </w:p>
        </w:tc>
        <w:tc>
          <w:tcPr>
            <w:tcW w:w="227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站内加油枪采用自封式加油枪，加油枪的流量不超过50L/min。</w:t>
            </w:r>
          </w:p>
        </w:tc>
        <w:tc>
          <w:tcPr>
            <w:tcW w:w="114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符合要求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9" w:hRule="atLeast"/>
          <w:jc w:val="center"/>
        </w:trPr>
        <w:tc>
          <w:tcPr>
            <w:tcW w:w="64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3</w:t>
            </w:r>
          </w:p>
        </w:tc>
        <w:tc>
          <w:tcPr>
            <w:tcW w:w="278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以正压（潜油泵）供油的加油机，其底部的供油管道上应设剪切阀，当加油机被撞或起火时，剪切阀应能自动关闭。</w:t>
            </w:r>
          </w:p>
        </w:tc>
        <w:tc>
          <w:tcPr>
            <w:tcW w:w="2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《汽车加油加气站设计与施工规范》GB50156-2012（2014年版）第6.2.4条</w:t>
            </w:r>
          </w:p>
        </w:tc>
        <w:tc>
          <w:tcPr>
            <w:tcW w:w="227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该加油站采用潜油泵供油的加油工艺，其加油机按规范要求。</w:t>
            </w:r>
          </w:p>
        </w:tc>
        <w:tc>
          <w:tcPr>
            <w:tcW w:w="114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符合要求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7" w:hRule="atLeast"/>
          <w:jc w:val="center"/>
        </w:trPr>
        <w:tc>
          <w:tcPr>
            <w:tcW w:w="64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4</w:t>
            </w:r>
          </w:p>
        </w:tc>
        <w:tc>
          <w:tcPr>
            <w:tcW w:w="278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采用一机多油品的加油机时，加油机上的放枪位应有各油品的文字标识，加油枪应有颜色标识。</w:t>
            </w:r>
          </w:p>
        </w:tc>
        <w:tc>
          <w:tcPr>
            <w:tcW w:w="2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《汽车加油加气站设计与施工规范》GB50156-2012（2014年版）第6.2.5条</w:t>
            </w:r>
          </w:p>
        </w:tc>
        <w:tc>
          <w:tcPr>
            <w:tcW w:w="227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加油机上的放枪位已有各油品的文字标识。</w:t>
            </w:r>
          </w:p>
        </w:tc>
        <w:tc>
          <w:tcPr>
            <w:tcW w:w="114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符合要求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64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5</w:t>
            </w:r>
          </w:p>
        </w:tc>
        <w:tc>
          <w:tcPr>
            <w:tcW w:w="278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位于加油岛端部的加油机附近应设防撞柱(栏)，其高度不应小于0.5m。</w:t>
            </w:r>
          </w:p>
        </w:tc>
        <w:tc>
          <w:tcPr>
            <w:tcW w:w="2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《汽车加油加气站设计与施工规范》GB50156-2012（2014年版）</w:t>
            </w:r>
          </w:p>
        </w:tc>
        <w:tc>
          <w:tcPr>
            <w:tcW w:w="227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站内加油岛端部设置了防撞栏，其高度为0.</w:t>
            </w:r>
            <w:r>
              <w:rPr>
                <w:rFonts w:hint="eastAsia" w:ascii="宋体" w:hAnsi="宋体" w:eastAsia="宋体" w:cs="宋体"/>
                <w:kern w:val="2"/>
                <w:sz w:val="21"/>
                <w:szCs w:val="21"/>
                <w:lang w:val="en-US" w:eastAsia="zh-CN"/>
              </w:rPr>
              <w:t>5</w:t>
            </w:r>
            <w:r>
              <w:rPr>
                <w:rFonts w:hint="eastAsia" w:ascii="宋体" w:hAnsi="宋体" w:eastAsia="宋体" w:cs="宋体"/>
                <w:kern w:val="2"/>
                <w:sz w:val="21"/>
                <w:szCs w:val="21"/>
              </w:rPr>
              <w:t>m。</w:t>
            </w:r>
          </w:p>
        </w:tc>
        <w:tc>
          <w:tcPr>
            <w:tcW w:w="114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符合要求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82" w:hRule="atLeast"/>
          <w:jc w:val="center"/>
        </w:trPr>
        <w:tc>
          <w:tcPr>
            <w:tcW w:w="6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left" w:pos="352"/>
                <w:tab w:val="left" w:pos="759"/>
                <w:tab w:val="left" w:pos="825"/>
              </w:tabs>
              <w:adjustRightInd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6</w:t>
            </w:r>
          </w:p>
        </w:tc>
        <w:tc>
          <w:tcPr>
            <w:tcW w:w="278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加油岛的设计应符合下列规定：1）加油岛应高出停车位的地坪0.15m ~0.2m；2）加油岛、加气岛两端的宽度不应小于1.2m；3）加油岛上的罩棚立柱边缘距岛端部，不应小于0.6m。</w:t>
            </w:r>
          </w:p>
        </w:tc>
        <w:tc>
          <w:tcPr>
            <w:tcW w:w="2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《汽车加油加气站设计与施工规范》GB50156-2012（2014年版））第12.2.3条</w:t>
            </w:r>
          </w:p>
        </w:tc>
        <w:tc>
          <w:tcPr>
            <w:tcW w:w="227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高出停车位的地坪0.2 m，加油岛宽1.2m，罩棚支柱距岛端部为0.6m。</w:t>
            </w:r>
          </w:p>
        </w:tc>
        <w:tc>
          <w:tcPr>
            <w:tcW w:w="114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符合要求</w:t>
            </w:r>
          </w:p>
        </w:tc>
      </w:tr>
    </w:tbl>
    <w:p>
      <w:pPr>
        <w:pStyle w:val="6"/>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jc w:val="both"/>
        <w:textAlignment w:val="auto"/>
        <w:rPr>
          <w:rFonts w:hint="eastAsia" w:ascii="宋体" w:hAnsi="宋体" w:eastAsia="宋体" w:cs="宋体"/>
          <w:spacing w:val="6"/>
        </w:rPr>
      </w:pPr>
      <w:r>
        <w:rPr>
          <w:rFonts w:hint="eastAsia" w:ascii="宋体" w:hAnsi="宋体" w:eastAsia="宋体" w:cs="宋体"/>
        </w:rPr>
        <w:t>由上述检查表可知，改建项目加油机满足《汽车加油加气站设计与施工规范》（GB50156-2012，2014年版）的要求。</w:t>
      </w:r>
    </w:p>
    <w:p>
      <w:pPr>
        <w:spacing w:before="240" w:beforeLines="100" w:after="240" w:afterLines="100"/>
        <w:jc w:val="center"/>
        <w:outlineLvl w:val="1"/>
        <w:rPr>
          <w:rFonts w:hint="eastAsia" w:ascii="宋体" w:hAnsi="宋体" w:eastAsia="宋体" w:cs="宋体"/>
          <w:b/>
          <w:spacing w:val="6"/>
          <w:sz w:val="32"/>
          <w:szCs w:val="32"/>
        </w:rPr>
      </w:pPr>
      <w:bookmarkStart w:id="833" w:name="_Toc529176542"/>
      <w:bookmarkStart w:id="834" w:name="_Toc26835_WPSOffice_Level2"/>
      <w:bookmarkStart w:id="835" w:name="_Toc12586_WPSOffice_Level2"/>
      <w:bookmarkStart w:id="836" w:name="_Toc6525"/>
      <w:bookmarkStart w:id="837" w:name="_Toc29021"/>
      <w:bookmarkStart w:id="838" w:name="_Toc528343597"/>
      <w:bookmarkStart w:id="839" w:name="_Toc3687"/>
      <w:bookmarkStart w:id="840" w:name="_Toc31967_WPSOffice_Level2"/>
      <w:r>
        <w:rPr>
          <w:rFonts w:hint="eastAsia" w:ascii="宋体" w:hAnsi="宋体" w:eastAsia="宋体" w:cs="宋体"/>
          <w:b/>
          <w:spacing w:val="6"/>
          <w:sz w:val="32"/>
          <w:szCs w:val="32"/>
        </w:rPr>
        <w:t>4.4</w:t>
      </w:r>
      <w:r>
        <w:rPr>
          <w:rFonts w:hint="eastAsia" w:ascii="宋体" w:hAnsi="宋体" w:eastAsia="宋体" w:cs="宋体"/>
          <w:b/>
          <w:spacing w:val="6"/>
          <w:sz w:val="32"/>
          <w:szCs w:val="32"/>
          <w:lang w:val="en-US"/>
        </w:rPr>
        <w:t xml:space="preserve"> </w:t>
      </w:r>
      <w:r>
        <w:rPr>
          <w:rFonts w:hint="eastAsia" w:ascii="宋体" w:hAnsi="宋体" w:eastAsia="宋体" w:cs="宋体"/>
          <w:b/>
          <w:spacing w:val="6"/>
          <w:sz w:val="32"/>
          <w:szCs w:val="32"/>
        </w:rPr>
        <w:t>公用工程评价</w:t>
      </w:r>
      <w:bookmarkEnd w:id="833"/>
      <w:bookmarkEnd w:id="834"/>
      <w:bookmarkEnd w:id="835"/>
      <w:bookmarkEnd w:id="836"/>
      <w:bookmarkEnd w:id="837"/>
      <w:bookmarkEnd w:id="838"/>
      <w:bookmarkEnd w:id="839"/>
      <w:bookmarkEnd w:id="840"/>
    </w:p>
    <w:p>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根据《汽车加油加气站设计与施工规范》（GB50156-2012（2014年版）等相关规范的规定，对该加油站内公辅设施（如电气装置、消防设施及给排水等）进行安全检查，具体情况如下。</w:t>
      </w:r>
    </w:p>
    <w:p>
      <w:pPr>
        <w:rPr>
          <w:rFonts w:hint="eastAsia" w:ascii="宋体" w:hAnsi="宋体" w:eastAsia="宋体" w:cs="宋体"/>
          <w:sz w:val="28"/>
          <w:szCs w:val="28"/>
        </w:rPr>
      </w:pPr>
      <w:bookmarkStart w:id="841" w:name="_Toc1874_WPSOffice_Level3"/>
      <w:bookmarkStart w:id="842" w:name="_Toc28246"/>
      <w:bookmarkStart w:id="843" w:name="_Toc11440"/>
      <w:bookmarkStart w:id="844" w:name="_Toc15549_WPSOffice_Level3"/>
      <w:r>
        <w:rPr>
          <w:rFonts w:hint="eastAsia" w:ascii="宋体" w:hAnsi="宋体" w:eastAsia="宋体" w:cs="宋体"/>
          <w:sz w:val="28"/>
          <w:szCs w:val="28"/>
        </w:rPr>
        <w:br w:type="page"/>
      </w:r>
    </w:p>
    <w:p>
      <w:pPr>
        <w:pStyle w:val="4"/>
        <w:pageBreakBefore w:val="0"/>
        <w:widowControl w:val="0"/>
        <w:kinsoku/>
        <w:wordWrap/>
        <w:overflowPunct/>
        <w:topLinePunct w:val="0"/>
        <w:autoSpaceDE w:val="0"/>
        <w:autoSpaceDN w:val="0"/>
        <w:bidi w:val="0"/>
        <w:adjustRightInd/>
        <w:snapToGrid/>
        <w:spacing w:before="120" w:after="120" w:line="560" w:lineRule="exact"/>
        <w:ind w:firstLine="562" w:firstLineChars="200"/>
        <w:textAlignment w:val="auto"/>
        <w:rPr>
          <w:rFonts w:hint="eastAsia" w:ascii="宋体" w:hAnsi="宋体" w:eastAsia="宋体" w:cs="宋体"/>
          <w:sz w:val="28"/>
          <w:szCs w:val="28"/>
        </w:rPr>
      </w:pPr>
      <w:r>
        <w:rPr>
          <w:rFonts w:hint="eastAsia" w:ascii="宋体" w:hAnsi="宋体" w:eastAsia="宋体" w:cs="宋体"/>
          <w:sz w:val="28"/>
          <w:szCs w:val="28"/>
        </w:rPr>
        <w:t>4.4.1</w:t>
      </w:r>
      <w:r>
        <w:rPr>
          <w:rFonts w:hint="eastAsia" w:ascii="宋体" w:hAnsi="宋体" w:eastAsia="宋体" w:cs="宋体"/>
          <w:sz w:val="28"/>
          <w:szCs w:val="28"/>
          <w:lang w:val="en-US"/>
        </w:rPr>
        <w:t xml:space="preserve"> </w:t>
      </w:r>
      <w:r>
        <w:rPr>
          <w:rFonts w:hint="eastAsia" w:ascii="宋体" w:hAnsi="宋体" w:eastAsia="宋体" w:cs="宋体"/>
          <w:sz w:val="28"/>
          <w:szCs w:val="28"/>
        </w:rPr>
        <w:t>电气装置评价</w:t>
      </w:r>
      <w:bookmarkEnd w:id="841"/>
      <w:bookmarkEnd w:id="842"/>
      <w:bookmarkEnd w:id="843"/>
      <w:bookmarkEnd w:id="844"/>
    </w:p>
    <w:p>
      <w:pPr>
        <w:pageBreakBefore w:val="0"/>
        <w:widowControl w:val="0"/>
        <w:tabs>
          <w:tab w:val="left" w:pos="2880"/>
          <w:tab w:val="center" w:pos="4654"/>
          <w:tab w:val="left" w:pos="5415"/>
        </w:tabs>
        <w:kinsoku/>
        <w:wordWrap/>
        <w:overflowPunct/>
        <w:topLinePunct w:val="0"/>
        <w:autoSpaceDE w:val="0"/>
        <w:autoSpaceDN w:val="0"/>
        <w:bidi w:val="0"/>
        <w:adjustRightInd/>
        <w:snapToGrid/>
        <w:spacing w:line="560" w:lineRule="exact"/>
        <w:jc w:val="left"/>
        <w:textAlignment w:val="auto"/>
        <w:rPr>
          <w:rFonts w:hint="eastAsia" w:ascii="宋体" w:hAnsi="宋体" w:eastAsia="宋体" w:cs="宋体"/>
          <w:bCs/>
          <w:sz w:val="28"/>
          <w:szCs w:val="28"/>
        </w:rPr>
      </w:pPr>
      <w:r>
        <w:rPr>
          <w:rFonts w:hint="eastAsia" w:ascii="宋体" w:hAnsi="宋体" w:eastAsia="宋体" w:cs="宋体"/>
          <w:bCs/>
          <w:sz w:val="24"/>
          <w:szCs w:val="24"/>
          <w:lang w:eastAsia="zh-CN"/>
        </w:rPr>
        <w:tab/>
      </w:r>
      <w:r>
        <w:rPr>
          <w:rFonts w:hint="eastAsia" w:ascii="宋体" w:hAnsi="宋体" w:eastAsia="宋体" w:cs="宋体"/>
          <w:bCs/>
          <w:sz w:val="28"/>
          <w:szCs w:val="28"/>
        </w:rPr>
        <w:t>附表4</w:t>
      </w:r>
      <w:r>
        <w:rPr>
          <w:rFonts w:hint="eastAsia" w:ascii="宋体" w:hAnsi="宋体" w:eastAsia="宋体" w:cs="宋体"/>
          <w:bCs/>
          <w:sz w:val="28"/>
          <w:szCs w:val="28"/>
          <w:lang w:val="en-US"/>
        </w:rPr>
        <w:t>.4</w:t>
      </w:r>
      <w:r>
        <w:rPr>
          <w:rFonts w:hint="eastAsia" w:ascii="宋体" w:hAnsi="宋体" w:eastAsia="宋体" w:cs="宋体"/>
          <w:bCs/>
          <w:sz w:val="28"/>
          <w:szCs w:val="28"/>
        </w:rPr>
        <w:t>-</w:t>
      </w:r>
      <w:r>
        <w:rPr>
          <w:rFonts w:hint="eastAsia" w:ascii="宋体" w:hAnsi="宋体" w:eastAsia="宋体" w:cs="宋体"/>
          <w:bCs/>
          <w:sz w:val="28"/>
          <w:szCs w:val="28"/>
          <w:lang w:val="en-US"/>
        </w:rPr>
        <w:t xml:space="preserve">1 </w:t>
      </w:r>
      <w:r>
        <w:rPr>
          <w:rFonts w:hint="eastAsia" w:ascii="宋体" w:hAnsi="宋体" w:eastAsia="宋体" w:cs="宋体"/>
          <w:bCs/>
          <w:sz w:val="28"/>
          <w:szCs w:val="28"/>
        </w:rPr>
        <w:t>电气装置安全检查表</w:t>
      </w:r>
    </w:p>
    <w:tbl>
      <w:tblPr>
        <w:tblStyle w:val="15"/>
        <w:tblpPr w:leftFromText="180" w:rightFromText="180" w:vertAnchor="text" w:horzAnchor="page" w:tblpX="1636" w:tblpY="1"/>
        <w:tblOverlap w:val="never"/>
        <w:tblW w:w="925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11"/>
        <w:gridCol w:w="2547"/>
        <w:gridCol w:w="2385"/>
        <w:gridCol w:w="2814"/>
        <w:gridCol w:w="79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71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leftChars="0" w:right="0" w:rightChars="0"/>
              <w:jc w:val="center"/>
              <w:rPr>
                <w:rFonts w:hint="eastAsia" w:ascii="宋体" w:hAnsi="宋体" w:eastAsia="宋体" w:cs="宋体"/>
                <w:b/>
                <w:kern w:val="2"/>
                <w:sz w:val="21"/>
                <w:szCs w:val="21"/>
                <w:lang w:val="zh-CN" w:eastAsia="zh-CN" w:bidi="zh-CN"/>
              </w:rPr>
            </w:pPr>
            <w:bookmarkStart w:id="845" w:name="_Toc7558_WPSOffice_Level3"/>
            <w:bookmarkStart w:id="846" w:name="_Toc15507_WPSOffice_Level3"/>
            <w:bookmarkStart w:id="847" w:name="_Toc15603_WPSOffice_Level3"/>
            <w:r>
              <w:rPr>
                <w:rFonts w:hint="eastAsia" w:ascii="宋体" w:hAnsi="宋体" w:eastAsia="宋体" w:cs="宋体"/>
                <w:b/>
                <w:kern w:val="2"/>
                <w:sz w:val="21"/>
                <w:szCs w:val="21"/>
              </w:rPr>
              <w:t>序号</w:t>
            </w:r>
          </w:p>
        </w:tc>
        <w:tc>
          <w:tcPr>
            <w:tcW w:w="254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leftChars="0" w:right="0" w:rightChars="0"/>
              <w:jc w:val="center"/>
              <w:rPr>
                <w:rFonts w:hint="eastAsia" w:ascii="宋体" w:hAnsi="宋体" w:eastAsia="宋体" w:cs="宋体"/>
                <w:b/>
                <w:kern w:val="2"/>
                <w:sz w:val="21"/>
                <w:szCs w:val="21"/>
                <w:lang w:val="zh-CN" w:eastAsia="zh-CN" w:bidi="zh-CN"/>
              </w:rPr>
            </w:pPr>
            <w:r>
              <w:rPr>
                <w:rFonts w:hint="eastAsia" w:ascii="宋体" w:hAnsi="宋体" w:eastAsia="宋体" w:cs="宋体"/>
                <w:b/>
                <w:kern w:val="2"/>
                <w:sz w:val="21"/>
                <w:szCs w:val="21"/>
              </w:rPr>
              <w:t>检查内容</w:t>
            </w:r>
          </w:p>
        </w:tc>
        <w:tc>
          <w:tcPr>
            <w:tcW w:w="23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leftChars="0" w:right="0" w:rightChars="0"/>
              <w:jc w:val="center"/>
              <w:rPr>
                <w:rFonts w:hint="eastAsia" w:ascii="宋体" w:hAnsi="宋体" w:eastAsia="宋体" w:cs="宋体"/>
                <w:b/>
                <w:bCs/>
                <w:kern w:val="2"/>
                <w:sz w:val="21"/>
                <w:szCs w:val="21"/>
                <w:lang w:val="zh-CN" w:eastAsia="zh-CN" w:bidi="zh-CN"/>
              </w:rPr>
            </w:pPr>
            <w:r>
              <w:rPr>
                <w:rFonts w:hint="eastAsia" w:ascii="宋体" w:hAnsi="宋体" w:eastAsia="宋体" w:cs="宋体"/>
                <w:b/>
                <w:bCs/>
                <w:kern w:val="2"/>
                <w:sz w:val="21"/>
                <w:szCs w:val="21"/>
              </w:rPr>
              <w:t>检查依据</w:t>
            </w:r>
          </w:p>
        </w:tc>
        <w:tc>
          <w:tcPr>
            <w:tcW w:w="28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leftChars="0" w:right="0" w:rightChars="0"/>
              <w:jc w:val="center"/>
              <w:rPr>
                <w:rFonts w:hint="eastAsia" w:ascii="宋体" w:hAnsi="宋体" w:eastAsia="宋体" w:cs="宋体"/>
                <w:b/>
                <w:bCs/>
                <w:kern w:val="2"/>
                <w:sz w:val="21"/>
                <w:szCs w:val="21"/>
                <w:lang w:val="zh-CN" w:eastAsia="zh-CN" w:bidi="zh-CN"/>
              </w:rPr>
            </w:pPr>
            <w:r>
              <w:rPr>
                <w:rFonts w:hint="eastAsia" w:ascii="宋体" w:hAnsi="宋体" w:eastAsia="宋体" w:cs="宋体"/>
                <w:b/>
                <w:bCs/>
                <w:kern w:val="2"/>
                <w:sz w:val="21"/>
                <w:szCs w:val="21"/>
              </w:rPr>
              <w:t>检查情况</w:t>
            </w:r>
          </w:p>
        </w:tc>
        <w:tc>
          <w:tcPr>
            <w:tcW w:w="7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leftChars="0" w:right="0" w:rightChars="0"/>
              <w:jc w:val="center"/>
              <w:rPr>
                <w:rFonts w:hint="eastAsia" w:ascii="宋体" w:hAnsi="宋体" w:eastAsia="宋体" w:cs="宋体"/>
                <w:b/>
                <w:bCs/>
                <w:kern w:val="2"/>
                <w:sz w:val="21"/>
                <w:szCs w:val="21"/>
                <w:lang w:val="zh-CN" w:eastAsia="zh-CN" w:bidi="zh-CN"/>
              </w:rPr>
            </w:pPr>
            <w:r>
              <w:rPr>
                <w:rFonts w:hint="eastAsia" w:ascii="宋体" w:hAnsi="宋体" w:eastAsia="宋体" w:cs="宋体"/>
                <w:b/>
                <w:bCs/>
                <w:kern w:val="2"/>
                <w:sz w:val="21"/>
                <w:szCs w:val="21"/>
              </w:rPr>
              <w:t>结论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9" w:hRule="atLeast"/>
        </w:trPr>
        <w:tc>
          <w:tcPr>
            <w:tcW w:w="9250"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b/>
                <w:bCs/>
                <w:kern w:val="2"/>
                <w:sz w:val="21"/>
                <w:szCs w:val="21"/>
              </w:rPr>
              <w:t>供配电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93" w:hRule="atLeast"/>
        </w:trPr>
        <w:tc>
          <w:tcPr>
            <w:tcW w:w="711" w:type="dxa"/>
            <w:tcBorders>
              <w:top w:val="single" w:color="auto" w:sz="4" w:space="0"/>
              <w:left w:val="single" w:color="auto" w:sz="4" w:space="0"/>
              <w:bottom w:val="single" w:color="auto" w:sz="4" w:space="0"/>
              <w:right w:val="single" w:color="auto" w:sz="4" w:space="0"/>
            </w:tcBorders>
            <w:vAlign w:val="center"/>
          </w:tcPr>
          <w:p>
            <w:pPr>
              <w:keepNext w:val="0"/>
              <w:keepLines w:val="0"/>
              <w:numPr>
                <w:ilvl w:val="0"/>
                <w:numId w:val="10"/>
              </w:numPr>
              <w:suppressLineNumbers w:val="0"/>
              <w:tabs>
                <w:tab w:val="left" w:pos="352"/>
                <w:tab w:val="left" w:pos="420"/>
                <w:tab w:val="left" w:pos="759"/>
                <w:tab w:val="left" w:pos="825"/>
                <w:tab w:val="clear" w:pos="360"/>
              </w:tabs>
              <w:adjustRightInd w:val="0"/>
              <w:spacing w:before="0" w:beforeAutospacing="0" w:after="0" w:afterAutospacing="0" w:line="300" w:lineRule="exact"/>
              <w:ind w:right="0"/>
              <w:jc w:val="center"/>
              <w:rPr>
                <w:rFonts w:hint="eastAsia" w:ascii="宋体" w:hAnsi="宋体" w:eastAsia="宋体" w:cs="宋体"/>
                <w:kern w:val="2"/>
                <w:sz w:val="21"/>
                <w:szCs w:val="21"/>
              </w:rPr>
            </w:pPr>
          </w:p>
        </w:tc>
        <w:tc>
          <w:tcPr>
            <w:tcW w:w="254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加油加气站的供电负荷等级可为</w:t>
            </w:r>
            <w:r>
              <w:rPr>
                <w:rFonts w:hint="eastAsia" w:ascii="宋体" w:hAnsi="宋体" w:eastAsia="宋体" w:cs="宋体"/>
                <w:kern w:val="2"/>
                <w:sz w:val="21"/>
                <w:szCs w:val="21"/>
                <w:lang w:eastAsia="zh-CN"/>
              </w:rPr>
              <w:t>二</w:t>
            </w:r>
            <w:r>
              <w:rPr>
                <w:rFonts w:hint="eastAsia" w:ascii="宋体" w:hAnsi="宋体" w:eastAsia="宋体" w:cs="宋体"/>
                <w:kern w:val="2"/>
                <w:sz w:val="21"/>
                <w:szCs w:val="21"/>
              </w:rPr>
              <w:t>级，信息系统应设不间断供电电源。</w:t>
            </w:r>
          </w:p>
        </w:tc>
        <w:tc>
          <w:tcPr>
            <w:tcW w:w="23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《汽车加油加气站设计与施工规范》GB50156-2012（2014年版）第11.1.1条</w:t>
            </w:r>
          </w:p>
        </w:tc>
        <w:tc>
          <w:tcPr>
            <w:tcW w:w="28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lang w:val="en-US"/>
              </w:rPr>
            </w:pPr>
            <w:r>
              <w:rPr>
                <w:rFonts w:hint="eastAsia" w:ascii="宋体" w:hAnsi="宋体" w:eastAsia="宋体" w:cs="宋体"/>
                <w:kern w:val="2"/>
                <w:sz w:val="21"/>
                <w:szCs w:val="21"/>
              </w:rPr>
              <w:t>加油站供电负荷等级为</w:t>
            </w:r>
            <w:r>
              <w:rPr>
                <w:rFonts w:hint="eastAsia" w:ascii="宋体" w:hAnsi="宋体" w:eastAsia="宋体" w:cs="宋体"/>
                <w:kern w:val="2"/>
                <w:sz w:val="21"/>
                <w:szCs w:val="21"/>
                <w:lang w:eastAsia="zh-CN"/>
              </w:rPr>
              <w:t>二</w:t>
            </w:r>
            <w:r>
              <w:rPr>
                <w:rFonts w:hint="eastAsia" w:ascii="宋体" w:hAnsi="宋体" w:eastAsia="宋体" w:cs="宋体"/>
                <w:kern w:val="2"/>
                <w:sz w:val="21"/>
                <w:szCs w:val="21"/>
              </w:rPr>
              <w:t>级。信息系统设置</w:t>
            </w:r>
            <w:r>
              <w:rPr>
                <w:rFonts w:hint="eastAsia" w:ascii="宋体" w:hAnsi="宋体" w:eastAsia="宋体" w:cs="宋体"/>
                <w:kern w:val="2"/>
                <w:sz w:val="21"/>
                <w:szCs w:val="21"/>
                <w:lang w:val="en-US"/>
              </w:rPr>
              <w:t>UPS。</w:t>
            </w:r>
          </w:p>
        </w:tc>
        <w:tc>
          <w:tcPr>
            <w:tcW w:w="7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符合要求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711" w:type="dxa"/>
            <w:tcBorders>
              <w:top w:val="single" w:color="auto" w:sz="4" w:space="0"/>
              <w:left w:val="single" w:color="auto" w:sz="4" w:space="0"/>
              <w:bottom w:val="single" w:color="auto" w:sz="4" w:space="0"/>
              <w:right w:val="single" w:color="auto" w:sz="4" w:space="0"/>
            </w:tcBorders>
            <w:vAlign w:val="center"/>
          </w:tcPr>
          <w:p>
            <w:pPr>
              <w:keepNext w:val="0"/>
              <w:keepLines w:val="0"/>
              <w:numPr>
                <w:ilvl w:val="0"/>
                <w:numId w:val="10"/>
              </w:numPr>
              <w:suppressLineNumbers w:val="0"/>
              <w:tabs>
                <w:tab w:val="left" w:pos="352"/>
                <w:tab w:val="left" w:pos="420"/>
                <w:tab w:val="left" w:pos="759"/>
                <w:tab w:val="left" w:pos="825"/>
                <w:tab w:val="clear" w:pos="360"/>
              </w:tabs>
              <w:adjustRightInd w:val="0"/>
              <w:spacing w:before="0" w:beforeAutospacing="0" w:after="0" w:afterAutospacing="0" w:line="300" w:lineRule="exact"/>
              <w:ind w:right="0"/>
              <w:jc w:val="center"/>
              <w:rPr>
                <w:rFonts w:hint="eastAsia" w:ascii="宋体" w:hAnsi="宋体" w:eastAsia="宋体" w:cs="宋体"/>
                <w:kern w:val="2"/>
                <w:sz w:val="21"/>
                <w:szCs w:val="21"/>
              </w:rPr>
            </w:pPr>
          </w:p>
        </w:tc>
        <w:tc>
          <w:tcPr>
            <w:tcW w:w="254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加油站的供电电源，宜采用电压为380/220V的外接电源；加油和CNG加气合建站的供电电源，宜采用电压为6/10kV的外接电源。加油站的供电系统应设独立的计量装置。</w:t>
            </w:r>
          </w:p>
        </w:tc>
        <w:tc>
          <w:tcPr>
            <w:tcW w:w="23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《汽车加油加气站设计与施工规范》GB50156-2012（2014年版）第11.1.2条</w:t>
            </w:r>
          </w:p>
        </w:tc>
        <w:tc>
          <w:tcPr>
            <w:tcW w:w="28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该加油站电源引自当地市政供电网，供电系统设独立的计量装置。</w:t>
            </w:r>
          </w:p>
        </w:tc>
        <w:tc>
          <w:tcPr>
            <w:tcW w:w="7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符合要求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93" w:hRule="atLeast"/>
        </w:trPr>
        <w:tc>
          <w:tcPr>
            <w:tcW w:w="711" w:type="dxa"/>
            <w:tcBorders>
              <w:top w:val="single" w:color="auto" w:sz="4" w:space="0"/>
              <w:left w:val="single" w:color="auto" w:sz="4" w:space="0"/>
              <w:bottom w:val="single" w:color="auto" w:sz="4" w:space="0"/>
              <w:right w:val="single" w:color="auto" w:sz="4" w:space="0"/>
            </w:tcBorders>
            <w:vAlign w:val="center"/>
          </w:tcPr>
          <w:p>
            <w:pPr>
              <w:keepNext w:val="0"/>
              <w:keepLines w:val="0"/>
              <w:numPr>
                <w:ilvl w:val="0"/>
                <w:numId w:val="10"/>
              </w:numPr>
              <w:suppressLineNumbers w:val="0"/>
              <w:tabs>
                <w:tab w:val="left" w:pos="352"/>
                <w:tab w:val="left" w:pos="420"/>
                <w:tab w:val="left" w:pos="759"/>
                <w:tab w:val="left" w:pos="825"/>
                <w:tab w:val="clear" w:pos="360"/>
              </w:tabs>
              <w:adjustRightInd w:val="0"/>
              <w:spacing w:before="0" w:beforeAutospacing="0" w:after="0" w:afterAutospacing="0" w:line="300" w:lineRule="exact"/>
              <w:ind w:right="0"/>
              <w:jc w:val="center"/>
              <w:rPr>
                <w:rFonts w:hint="eastAsia" w:ascii="宋体" w:hAnsi="宋体" w:eastAsia="宋体" w:cs="宋体"/>
                <w:kern w:val="2"/>
                <w:sz w:val="21"/>
                <w:szCs w:val="21"/>
              </w:rPr>
            </w:pPr>
          </w:p>
        </w:tc>
        <w:tc>
          <w:tcPr>
            <w:tcW w:w="254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加油站、加油加气合建站的消防泵房、罩棚、营业室、压缩机间等处，均应设事故照明。</w:t>
            </w:r>
          </w:p>
        </w:tc>
        <w:tc>
          <w:tcPr>
            <w:tcW w:w="23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《汽车加油加气站设计与施工规范》GB50156-2012（2014年版）第11.1.3条</w:t>
            </w:r>
          </w:p>
        </w:tc>
        <w:tc>
          <w:tcPr>
            <w:tcW w:w="28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该加油站罩棚、营业室内分别设置了事故照明。</w:t>
            </w:r>
          </w:p>
        </w:tc>
        <w:tc>
          <w:tcPr>
            <w:tcW w:w="7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符合要求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08" w:hRule="atLeast"/>
        </w:trPr>
        <w:tc>
          <w:tcPr>
            <w:tcW w:w="711" w:type="dxa"/>
            <w:tcBorders>
              <w:top w:val="single" w:color="auto" w:sz="4" w:space="0"/>
              <w:left w:val="single" w:color="auto" w:sz="4" w:space="0"/>
              <w:bottom w:val="single" w:color="auto" w:sz="4" w:space="0"/>
              <w:right w:val="single" w:color="auto" w:sz="4" w:space="0"/>
            </w:tcBorders>
            <w:vAlign w:val="center"/>
          </w:tcPr>
          <w:p>
            <w:pPr>
              <w:keepNext w:val="0"/>
              <w:keepLines w:val="0"/>
              <w:numPr>
                <w:ilvl w:val="0"/>
                <w:numId w:val="10"/>
              </w:numPr>
              <w:suppressLineNumbers w:val="0"/>
              <w:tabs>
                <w:tab w:val="left" w:pos="352"/>
                <w:tab w:val="left" w:pos="420"/>
                <w:tab w:val="left" w:pos="759"/>
                <w:tab w:val="left" w:pos="825"/>
                <w:tab w:val="clear" w:pos="360"/>
              </w:tabs>
              <w:adjustRightInd w:val="0"/>
              <w:spacing w:before="0" w:beforeAutospacing="0" w:after="0" w:afterAutospacing="0" w:line="300" w:lineRule="exact"/>
              <w:ind w:right="0"/>
              <w:jc w:val="center"/>
              <w:rPr>
                <w:rFonts w:hint="eastAsia" w:ascii="宋体" w:hAnsi="宋体" w:eastAsia="宋体" w:cs="宋体"/>
                <w:kern w:val="2"/>
                <w:sz w:val="21"/>
                <w:szCs w:val="21"/>
              </w:rPr>
            </w:pPr>
          </w:p>
        </w:tc>
        <w:tc>
          <w:tcPr>
            <w:tcW w:w="254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当引用外电源有困难时，加油加气站可设置小型内燃发电机组。内燃机的排烟管口，应安装阻火器。排烟管口至各爆炸危险区域边界的水平距离，应符合下列规定：</w:t>
            </w:r>
          </w:p>
          <w:p>
            <w:pPr>
              <w:keepNext w:val="0"/>
              <w:keepLines w:val="0"/>
              <w:suppressLineNumbers w:val="0"/>
              <w:spacing w:before="0" w:beforeAutospacing="0" w:after="0" w:afterAutospacing="0" w:line="30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排烟口高出地面4.5m以下时，不应小于5m。</w:t>
            </w:r>
          </w:p>
          <w:p>
            <w:pPr>
              <w:keepNext w:val="0"/>
              <w:keepLines w:val="0"/>
              <w:suppressLineNumbers w:val="0"/>
              <w:spacing w:before="0" w:beforeAutospacing="0" w:after="0" w:afterAutospacing="0" w:line="30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排烟口高出地面4.5m及以上时，不应小于3m。</w:t>
            </w:r>
          </w:p>
        </w:tc>
        <w:tc>
          <w:tcPr>
            <w:tcW w:w="23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《汽车加油加气站设计与施工规范》GB50156-2012（2014年版）第11.1.4条</w:t>
            </w:r>
          </w:p>
        </w:tc>
        <w:tc>
          <w:tcPr>
            <w:tcW w:w="28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加油站</w:t>
            </w:r>
            <w:r>
              <w:rPr>
                <w:rFonts w:hint="eastAsia" w:ascii="宋体" w:hAnsi="宋体" w:eastAsia="宋体" w:cs="宋体"/>
                <w:color w:val="auto"/>
                <w:kern w:val="2"/>
                <w:sz w:val="21"/>
                <w:szCs w:val="21"/>
                <w:lang w:eastAsia="zh-CN"/>
              </w:rPr>
              <w:t>未</w:t>
            </w:r>
            <w:r>
              <w:rPr>
                <w:rFonts w:hint="eastAsia" w:ascii="宋体" w:hAnsi="宋体" w:eastAsia="宋体" w:cs="宋体"/>
                <w:color w:val="auto"/>
                <w:kern w:val="2"/>
                <w:sz w:val="21"/>
                <w:szCs w:val="21"/>
              </w:rPr>
              <w:t>设置小型内燃发电机组作为应急电源。</w:t>
            </w:r>
          </w:p>
        </w:tc>
        <w:tc>
          <w:tcPr>
            <w:tcW w:w="7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不涉及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4" w:hRule="atLeast"/>
        </w:trPr>
        <w:tc>
          <w:tcPr>
            <w:tcW w:w="711" w:type="dxa"/>
            <w:tcBorders>
              <w:top w:val="single" w:color="auto" w:sz="4" w:space="0"/>
              <w:left w:val="single" w:color="auto" w:sz="4" w:space="0"/>
              <w:bottom w:val="single" w:color="auto" w:sz="4" w:space="0"/>
              <w:right w:val="single" w:color="auto" w:sz="4" w:space="0"/>
            </w:tcBorders>
            <w:vAlign w:val="center"/>
          </w:tcPr>
          <w:p>
            <w:pPr>
              <w:keepNext w:val="0"/>
              <w:keepLines w:val="0"/>
              <w:numPr>
                <w:ilvl w:val="0"/>
                <w:numId w:val="10"/>
              </w:numPr>
              <w:suppressLineNumbers w:val="0"/>
              <w:tabs>
                <w:tab w:val="left" w:pos="352"/>
                <w:tab w:val="left" w:pos="420"/>
                <w:tab w:val="left" w:pos="759"/>
                <w:tab w:val="left" w:pos="825"/>
                <w:tab w:val="clear" w:pos="360"/>
              </w:tabs>
              <w:adjustRightInd w:val="0"/>
              <w:spacing w:before="0" w:beforeAutospacing="0" w:after="0" w:afterAutospacing="0" w:line="300" w:lineRule="exact"/>
              <w:ind w:right="0"/>
              <w:jc w:val="center"/>
              <w:rPr>
                <w:rFonts w:hint="eastAsia" w:ascii="宋体" w:hAnsi="宋体" w:eastAsia="宋体" w:cs="宋体"/>
                <w:kern w:val="2"/>
                <w:sz w:val="21"/>
                <w:szCs w:val="21"/>
              </w:rPr>
            </w:pPr>
          </w:p>
        </w:tc>
        <w:tc>
          <w:tcPr>
            <w:tcW w:w="254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加油加气站的电力线路宜采用电缆并直埋敷设。电缆穿越行车道部分，应穿钢管保护。</w:t>
            </w:r>
          </w:p>
        </w:tc>
        <w:tc>
          <w:tcPr>
            <w:tcW w:w="23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《汽车加油加气站设计与施工规范》GB50156-2012（2014年版）第11.1.5条</w:t>
            </w:r>
          </w:p>
        </w:tc>
        <w:tc>
          <w:tcPr>
            <w:tcW w:w="28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站内电力线路采用电缆直埋敷设，穿越行车道部分，穿钢管保护。</w:t>
            </w:r>
          </w:p>
        </w:tc>
        <w:tc>
          <w:tcPr>
            <w:tcW w:w="7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符合要求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11" w:hRule="atLeast"/>
        </w:trPr>
        <w:tc>
          <w:tcPr>
            <w:tcW w:w="711" w:type="dxa"/>
            <w:tcBorders>
              <w:top w:val="single" w:color="auto" w:sz="4" w:space="0"/>
              <w:left w:val="single" w:color="auto" w:sz="4" w:space="0"/>
              <w:bottom w:val="single" w:color="auto" w:sz="4" w:space="0"/>
              <w:right w:val="single" w:color="auto" w:sz="4" w:space="0"/>
            </w:tcBorders>
            <w:vAlign w:val="center"/>
          </w:tcPr>
          <w:p>
            <w:pPr>
              <w:keepNext w:val="0"/>
              <w:keepLines w:val="0"/>
              <w:numPr>
                <w:ilvl w:val="0"/>
                <w:numId w:val="10"/>
              </w:numPr>
              <w:suppressLineNumbers w:val="0"/>
              <w:tabs>
                <w:tab w:val="left" w:pos="352"/>
                <w:tab w:val="left" w:pos="420"/>
                <w:tab w:val="left" w:pos="759"/>
                <w:tab w:val="left" w:pos="825"/>
                <w:tab w:val="clear" w:pos="360"/>
              </w:tabs>
              <w:adjustRightInd w:val="0"/>
              <w:spacing w:before="0" w:beforeAutospacing="0" w:after="0" w:afterAutospacing="0" w:line="300" w:lineRule="exact"/>
              <w:ind w:right="0"/>
              <w:jc w:val="center"/>
              <w:rPr>
                <w:rFonts w:hint="eastAsia" w:ascii="宋体" w:hAnsi="宋体" w:eastAsia="宋体" w:cs="宋体"/>
                <w:kern w:val="2"/>
                <w:sz w:val="21"/>
                <w:szCs w:val="21"/>
              </w:rPr>
            </w:pPr>
          </w:p>
        </w:tc>
        <w:tc>
          <w:tcPr>
            <w:tcW w:w="254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当采用电缆沟敷设电缆时，加油加气作业区内的电缆沟内必须充沙填实。电缆不得与油品以及热力管道敷设在同一沟内。</w:t>
            </w:r>
          </w:p>
        </w:tc>
        <w:tc>
          <w:tcPr>
            <w:tcW w:w="23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《汽车加油加气站设计与施工规范》GB50156-2012（2014年版）第11.1.6条</w:t>
            </w:r>
          </w:p>
        </w:tc>
        <w:tc>
          <w:tcPr>
            <w:tcW w:w="28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电力线路与油品管道分开设置。加油机下方为填沙。</w:t>
            </w:r>
          </w:p>
        </w:tc>
        <w:tc>
          <w:tcPr>
            <w:tcW w:w="7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符合要求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79" w:hRule="atLeast"/>
        </w:trPr>
        <w:tc>
          <w:tcPr>
            <w:tcW w:w="711" w:type="dxa"/>
            <w:tcBorders>
              <w:top w:val="single" w:color="auto" w:sz="4" w:space="0"/>
              <w:left w:val="single" w:color="auto" w:sz="4" w:space="0"/>
              <w:bottom w:val="single" w:color="auto" w:sz="4" w:space="0"/>
              <w:right w:val="single" w:color="auto" w:sz="4" w:space="0"/>
            </w:tcBorders>
            <w:vAlign w:val="center"/>
          </w:tcPr>
          <w:p>
            <w:pPr>
              <w:keepNext w:val="0"/>
              <w:keepLines w:val="0"/>
              <w:numPr>
                <w:ilvl w:val="0"/>
                <w:numId w:val="10"/>
              </w:numPr>
              <w:suppressLineNumbers w:val="0"/>
              <w:tabs>
                <w:tab w:val="left" w:pos="352"/>
                <w:tab w:val="left" w:pos="420"/>
                <w:tab w:val="left" w:pos="759"/>
                <w:tab w:val="left" w:pos="825"/>
                <w:tab w:val="clear" w:pos="360"/>
              </w:tabs>
              <w:adjustRightInd w:val="0"/>
              <w:spacing w:before="0" w:beforeAutospacing="0" w:after="0" w:afterAutospacing="0" w:line="300" w:lineRule="exact"/>
              <w:ind w:right="0"/>
              <w:jc w:val="center"/>
              <w:rPr>
                <w:rFonts w:hint="eastAsia" w:ascii="宋体" w:hAnsi="宋体" w:eastAsia="宋体" w:cs="宋体"/>
                <w:kern w:val="2"/>
                <w:sz w:val="21"/>
                <w:szCs w:val="21"/>
              </w:rPr>
            </w:pPr>
          </w:p>
        </w:tc>
        <w:tc>
          <w:tcPr>
            <w:tcW w:w="254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爆炸危险区域内的电气设备选型安装、电力线路敷设等。应符合现行国家标准《爆炸和火灾危险环境电力装置设计规范》GB50058的油罐规定。</w:t>
            </w:r>
          </w:p>
        </w:tc>
        <w:tc>
          <w:tcPr>
            <w:tcW w:w="23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《汽车加油加气站设计与施工规范》GB50156-2012（2014年版）第11.1.7条</w:t>
            </w:r>
          </w:p>
        </w:tc>
        <w:tc>
          <w:tcPr>
            <w:tcW w:w="28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both"/>
              <w:rPr>
                <w:rFonts w:hint="eastAsia" w:ascii="宋体" w:hAnsi="宋体" w:eastAsia="宋体" w:cs="宋体"/>
                <w:kern w:val="2"/>
                <w:sz w:val="21"/>
                <w:szCs w:val="21"/>
              </w:rPr>
            </w:pPr>
            <w:r>
              <w:rPr>
                <w:rFonts w:hint="eastAsia" w:ascii="宋体" w:hAnsi="宋体" w:eastAsia="宋体" w:cs="宋体"/>
                <w:kern w:val="2"/>
                <w:sz w:val="21"/>
                <w:szCs w:val="21"/>
              </w:rPr>
              <w:t>有爆炸危险的区域电气设备和电气线路的设置符合要求。</w:t>
            </w:r>
          </w:p>
        </w:tc>
        <w:tc>
          <w:tcPr>
            <w:tcW w:w="7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符合要求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trPr>
        <w:tc>
          <w:tcPr>
            <w:tcW w:w="711" w:type="dxa"/>
            <w:tcBorders>
              <w:top w:val="single" w:color="auto" w:sz="4" w:space="0"/>
              <w:left w:val="single" w:color="auto" w:sz="4" w:space="0"/>
              <w:bottom w:val="single" w:color="auto" w:sz="4" w:space="0"/>
              <w:right w:val="single" w:color="auto" w:sz="4" w:space="0"/>
            </w:tcBorders>
            <w:vAlign w:val="center"/>
          </w:tcPr>
          <w:p>
            <w:pPr>
              <w:keepNext w:val="0"/>
              <w:keepLines w:val="0"/>
              <w:numPr>
                <w:ilvl w:val="0"/>
                <w:numId w:val="10"/>
              </w:numPr>
              <w:suppressLineNumbers w:val="0"/>
              <w:tabs>
                <w:tab w:val="left" w:pos="352"/>
                <w:tab w:val="left" w:pos="420"/>
                <w:tab w:val="left" w:pos="759"/>
                <w:tab w:val="left" w:pos="825"/>
                <w:tab w:val="clear" w:pos="360"/>
              </w:tabs>
              <w:adjustRightInd w:val="0"/>
              <w:spacing w:before="0" w:beforeAutospacing="0" w:after="0" w:afterAutospacing="0" w:line="300" w:lineRule="exact"/>
              <w:ind w:right="0"/>
              <w:jc w:val="center"/>
              <w:rPr>
                <w:rFonts w:hint="eastAsia" w:ascii="宋体" w:hAnsi="宋体" w:eastAsia="宋体" w:cs="宋体"/>
                <w:kern w:val="2"/>
                <w:sz w:val="21"/>
                <w:szCs w:val="21"/>
              </w:rPr>
            </w:pPr>
          </w:p>
        </w:tc>
        <w:tc>
          <w:tcPr>
            <w:tcW w:w="254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加油加气站内爆炸危险区域以外的照明灯具，可选用非防爆型。罩棚下处于非爆炸危险区域的灯具，应选用防护等级不低于IP44级的照明灯具。</w:t>
            </w:r>
          </w:p>
        </w:tc>
        <w:tc>
          <w:tcPr>
            <w:tcW w:w="23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《汽车加油加气站设计与施工规范》GB50156-2012（2014年版）第11.1.8条</w:t>
            </w:r>
          </w:p>
        </w:tc>
        <w:tc>
          <w:tcPr>
            <w:tcW w:w="28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站内加油加气罩棚下装设了IP44级照明灯。</w:t>
            </w:r>
          </w:p>
        </w:tc>
        <w:tc>
          <w:tcPr>
            <w:tcW w:w="7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符合要求</w:t>
            </w:r>
          </w:p>
        </w:tc>
      </w:tr>
      <w:bookmarkEnd w:id="845"/>
      <w:bookmarkEnd w:id="846"/>
      <w:bookmarkEnd w:id="847"/>
    </w:tbl>
    <w:p>
      <w:pPr>
        <w:pStyle w:val="4"/>
        <w:pageBreakBefore w:val="0"/>
        <w:widowControl w:val="0"/>
        <w:kinsoku/>
        <w:wordWrap/>
        <w:overflowPunct/>
        <w:topLinePunct w:val="0"/>
        <w:autoSpaceDE w:val="0"/>
        <w:autoSpaceDN w:val="0"/>
        <w:bidi w:val="0"/>
        <w:adjustRightInd/>
        <w:snapToGrid/>
        <w:spacing w:before="240" w:beforeLines="100" w:after="240" w:afterLines="100" w:line="560" w:lineRule="exact"/>
        <w:ind w:firstLine="562" w:firstLineChars="200"/>
        <w:textAlignment w:val="auto"/>
        <w:rPr>
          <w:rFonts w:hint="eastAsia" w:ascii="宋体" w:hAnsi="宋体" w:eastAsia="宋体" w:cs="宋体"/>
          <w:sz w:val="28"/>
          <w:szCs w:val="28"/>
        </w:rPr>
      </w:pPr>
      <w:bookmarkStart w:id="848" w:name="_Toc7732_WPSOffice_Level3"/>
      <w:bookmarkStart w:id="849" w:name="_Toc31311_WPSOffice_Level3"/>
      <w:r>
        <w:rPr>
          <w:rFonts w:hint="eastAsia" w:ascii="宋体" w:hAnsi="宋体" w:eastAsia="宋体" w:cs="宋体"/>
          <w:sz w:val="28"/>
          <w:szCs w:val="28"/>
        </w:rPr>
        <w:t>4.4.</w:t>
      </w:r>
      <w:r>
        <w:rPr>
          <w:rFonts w:hint="eastAsia" w:ascii="宋体" w:hAnsi="宋体" w:eastAsia="宋体" w:cs="宋体"/>
          <w:sz w:val="28"/>
          <w:szCs w:val="28"/>
          <w:lang w:val="en-US"/>
        </w:rPr>
        <w:t xml:space="preserve">2 </w:t>
      </w:r>
      <w:r>
        <w:rPr>
          <w:rFonts w:hint="eastAsia" w:ascii="宋体" w:hAnsi="宋体" w:eastAsia="宋体" w:cs="宋体"/>
          <w:sz w:val="28"/>
          <w:szCs w:val="28"/>
        </w:rPr>
        <w:t>安防监控系统安全检查表</w:t>
      </w:r>
      <w:bookmarkEnd w:id="848"/>
      <w:bookmarkEnd w:id="849"/>
    </w:p>
    <w:p>
      <w:pPr>
        <w:pageBreakBefore w:val="0"/>
        <w:widowControl w:val="0"/>
        <w:kinsoku/>
        <w:wordWrap/>
        <w:overflowPunct/>
        <w:topLinePunct w:val="0"/>
        <w:autoSpaceDE w:val="0"/>
        <w:autoSpaceDN w:val="0"/>
        <w:bidi w:val="0"/>
        <w:adjustRightInd/>
        <w:snapToGrid/>
        <w:spacing w:line="560" w:lineRule="exact"/>
        <w:jc w:val="center"/>
        <w:textAlignment w:val="auto"/>
        <w:rPr>
          <w:rFonts w:hint="eastAsia" w:ascii="宋体" w:hAnsi="宋体" w:eastAsia="宋体" w:cs="宋体"/>
          <w:sz w:val="28"/>
          <w:szCs w:val="28"/>
        </w:rPr>
      </w:pPr>
      <w:bookmarkStart w:id="850" w:name="_Toc26700_WPSOffice_Level3"/>
      <w:bookmarkStart w:id="851" w:name="_Toc13244_WPSOffice_Level3"/>
      <w:bookmarkStart w:id="852" w:name="_Toc17401_WPSOffice_Level3"/>
      <w:r>
        <w:rPr>
          <w:rFonts w:hint="eastAsia" w:ascii="宋体" w:hAnsi="宋体" w:eastAsia="宋体" w:cs="宋体"/>
          <w:sz w:val="28"/>
          <w:szCs w:val="28"/>
        </w:rPr>
        <w:t>附表4</w:t>
      </w:r>
      <w:r>
        <w:rPr>
          <w:rFonts w:hint="eastAsia" w:ascii="宋体" w:hAnsi="宋体" w:eastAsia="宋体" w:cs="宋体"/>
          <w:sz w:val="28"/>
          <w:szCs w:val="28"/>
          <w:lang w:val="en-US"/>
        </w:rPr>
        <w:t>.4</w:t>
      </w:r>
      <w:r>
        <w:rPr>
          <w:rFonts w:hint="eastAsia" w:ascii="宋体" w:hAnsi="宋体" w:eastAsia="宋体" w:cs="宋体"/>
          <w:sz w:val="28"/>
          <w:szCs w:val="28"/>
        </w:rPr>
        <w:t>-</w:t>
      </w:r>
      <w:r>
        <w:rPr>
          <w:rFonts w:hint="eastAsia" w:ascii="宋体" w:hAnsi="宋体" w:eastAsia="宋体" w:cs="宋体"/>
          <w:sz w:val="28"/>
          <w:szCs w:val="28"/>
          <w:lang w:val="en-US"/>
        </w:rPr>
        <w:t>2</w:t>
      </w:r>
      <w:r>
        <w:rPr>
          <w:rFonts w:hint="eastAsia" w:ascii="宋体" w:hAnsi="宋体" w:eastAsia="宋体" w:cs="宋体"/>
          <w:sz w:val="28"/>
          <w:szCs w:val="28"/>
        </w:rPr>
        <w:t xml:space="preserve"> 安防监控系统安全检查表</w:t>
      </w:r>
      <w:bookmarkEnd w:id="850"/>
      <w:bookmarkEnd w:id="851"/>
      <w:bookmarkEnd w:id="852"/>
    </w:p>
    <w:tbl>
      <w:tblPr>
        <w:tblStyle w:val="15"/>
        <w:tblW w:w="902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26"/>
        <w:gridCol w:w="2943"/>
        <w:gridCol w:w="2605"/>
        <w:gridCol w:w="2384"/>
        <w:gridCol w:w="67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5" w:hRule="atLeast"/>
          <w:tblHeader/>
          <w:jc w:val="center"/>
        </w:trPr>
        <w:tc>
          <w:tcPr>
            <w:tcW w:w="42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b/>
                <w:bCs/>
                <w:kern w:val="2"/>
                <w:sz w:val="21"/>
                <w:szCs w:val="21"/>
              </w:rPr>
            </w:pPr>
            <w:r>
              <w:rPr>
                <w:rFonts w:hint="eastAsia" w:ascii="宋体" w:hAnsi="宋体" w:eastAsia="宋体" w:cs="宋体"/>
                <w:b/>
                <w:bCs/>
                <w:kern w:val="2"/>
                <w:sz w:val="21"/>
                <w:szCs w:val="21"/>
              </w:rPr>
              <w:t>序号</w:t>
            </w:r>
          </w:p>
        </w:tc>
        <w:tc>
          <w:tcPr>
            <w:tcW w:w="294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b/>
                <w:bCs/>
                <w:kern w:val="2"/>
                <w:sz w:val="21"/>
                <w:szCs w:val="21"/>
              </w:rPr>
            </w:pPr>
            <w:r>
              <w:rPr>
                <w:rFonts w:hint="eastAsia" w:ascii="宋体" w:hAnsi="宋体" w:eastAsia="宋体" w:cs="宋体"/>
                <w:b/>
                <w:bCs/>
                <w:kern w:val="2"/>
                <w:sz w:val="21"/>
                <w:szCs w:val="21"/>
              </w:rPr>
              <w:t>检查内容</w:t>
            </w:r>
          </w:p>
        </w:tc>
        <w:tc>
          <w:tcPr>
            <w:tcW w:w="260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b/>
                <w:bCs/>
                <w:kern w:val="2"/>
                <w:sz w:val="21"/>
                <w:szCs w:val="21"/>
              </w:rPr>
            </w:pPr>
            <w:r>
              <w:rPr>
                <w:rFonts w:hint="eastAsia" w:ascii="宋体" w:hAnsi="宋体" w:eastAsia="宋体" w:cs="宋体"/>
                <w:b/>
                <w:bCs/>
                <w:kern w:val="2"/>
                <w:sz w:val="21"/>
                <w:szCs w:val="21"/>
              </w:rPr>
              <w:t>标准依据</w:t>
            </w:r>
          </w:p>
        </w:tc>
        <w:tc>
          <w:tcPr>
            <w:tcW w:w="238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b/>
                <w:bCs/>
                <w:kern w:val="2"/>
                <w:sz w:val="21"/>
                <w:szCs w:val="21"/>
              </w:rPr>
            </w:pPr>
            <w:r>
              <w:rPr>
                <w:rFonts w:hint="eastAsia" w:ascii="宋体" w:hAnsi="宋体" w:eastAsia="宋体" w:cs="宋体"/>
                <w:b/>
                <w:bCs/>
                <w:kern w:val="2"/>
                <w:sz w:val="21"/>
                <w:szCs w:val="21"/>
              </w:rPr>
              <w:t>实际情况</w:t>
            </w:r>
          </w:p>
        </w:tc>
        <w:tc>
          <w:tcPr>
            <w:tcW w:w="6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b/>
                <w:bCs/>
                <w:kern w:val="2"/>
                <w:sz w:val="21"/>
                <w:szCs w:val="21"/>
              </w:rPr>
            </w:pPr>
            <w:r>
              <w:rPr>
                <w:rFonts w:hint="eastAsia" w:ascii="宋体" w:hAnsi="宋体" w:eastAsia="宋体" w:cs="宋体"/>
                <w:b/>
                <w:bCs/>
                <w:kern w:val="2"/>
                <w:sz w:val="21"/>
                <w:szCs w:val="21"/>
              </w:rPr>
              <w:t>结论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43" w:hRule="atLeast"/>
          <w:jc w:val="center"/>
        </w:trPr>
        <w:tc>
          <w:tcPr>
            <w:tcW w:w="42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r>
              <w:rPr>
                <w:rFonts w:hint="eastAsia" w:ascii="宋体" w:hAnsi="宋体" w:eastAsia="宋体" w:cs="宋体"/>
                <w:kern w:val="2"/>
                <w:sz w:val="21"/>
                <w:szCs w:val="21"/>
              </w:rPr>
              <w:t>1</w:t>
            </w:r>
          </w:p>
        </w:tc>
        <w:tc>
          <w:tcPr>
            <w:tcW w:w="294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接入平台设在加油加气站站长室或收银台，应能满足无人值守运行的要求。</w:t>
            </w:r>
          </w:p>
        </w:tc>
        <w:tc>
          <w:tcPr>
            <w:tcW w:w="260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bookmarkStart w:id="853" w:name="_Toc302659959"/>
            <w:bookmarkStart w:id="854" w:name="_Toc346527132"/>
            <w:bookmarkStart w:id="855" w:name="_Toc196728005"/>
            <w:r>
              <w:rPr>
                <w:rFonts w:hint="eastAsia" w:ascii="宋体" w:hAnsi="宋体" w:eastAsia="宋体" w:cs="宋体"/>
                <w:kern w:val="2"/>
                <w:sz w:val="21"/>
                <w:szCs w:val="21"/>
              </w:rPr>
              <w:t>《加油加气站视频安防监控系统技术要求</w:t>
            </w:r>
            <w:bookmarkEnd w:id="853"/>
            <w:bookmarkEnd w:id="854"/>
            <w:bookmarkEnd w:id="855"/>
            <w:r>
              <w:rPr>
                <w:rFonts w:hint="eastAsia" w:ascii="宋体" w:hAnsi="宋体" w:eastAsia="宋体" w:cs="宋体"/>
                <w:kern w:val="2"/>
                <w:sz w:val="21"/>
                <w:szCs w:val="21"/>
              </w:rPr>
              <w:t>》（AQ/T30350-2013）</w:t>
            </w:r>
          </w:p>
          <w:p>
            <w:pPr>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 xml:space="preserve">第6.1.1.1条 </w:t>
            </w:r>
          </w:p>
        </w:tc>
        <w:tc>
          <w:tcPr>
            <w:tcW w:w="238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both"/>
              <w:rPr>
                <w:rFonts w:hint="eastAsia" w:ascii="宋体" w:hAnsi="宋体" w:eastAsia="宋体" w:cs="宋体"/>
                <w:bCs/>
                <w:kern w:val="2"/>
                <w:sz w:val="21"/>
                <w:szCs w:val="21"/>
              </w:rPr>
            </w:pPr>
            <w:r>
              <w:rPr>
                <w:rFonts w:hint="eastAsia" w:ascii="宋体" w:hAnsi="宋体" w:eastAsia="宋体" w:cs="宋体"/>
                <w:bCs/>
                <w:kern w:val="2"/>
                <w:sz w:val="21"/>
                <w:szCs w:val="21"/>
              </w:rPr>
              <w:t>该加油站设置的视频监控中心设在营业室单独房间，可以满足无人值守运行的要求。</w:t>
            </w:r>
          </w:p>
        </w:tc>
        <w:tc>
          <w:tcPr>
            <w:tcW w:w="6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符合要求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11" w:hRule="atLeast"/>
          <w:jc w:val="center"/>
        </w:trPr>
        <w:tc>
          <w:tcPr>
            <w:tcW w:w="42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r>
              <w:rPr>
                <w:rFonts w:hint="eastAsia" w:ascii="宋体" w:hAnsi="宋体" w:eastAsia="宋体" w:cs="宋体"/>
                <w:kern w:val="2"/>
                <w:sz w:val="21"/>
                <w:szCs w:val="21"/>
              </w:rPr>
              <w:t>2</w:t>
            </w:r>
          </w:p>
        </w:tc>
        <w:tc>
          <w:tcPr>
            <w:tcW w:w="294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加油加气站进、出口应分别配置一台高分辨率智能一体化摄像机，应能广角监控加油站进、出口整体情况，包括：汽车车型，汽车驶入、驶出的路径，行人走入、走出的动作、行为。该摄像机应具备车辆牌照和车型的识别功能。</w:t>
            </w:r>
          </w:p>
        </w:tc>
        <w:tc>
          <w:tcPr>
            <w:tcW w:w="260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《加油加气站视频安防监控系统技术要求》（AQ/T30350-2013）</w:t>
            </w:r>
          </w:p>
          <w:p>
            <w:pPr>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 xml:space="preserve">第6.2.2.1条 </w:t>
            </w:r>
          </w:p>
        </w:tc>
        <w:tc>
          <w:tcPr>
            <w:tcW w:w="238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both"/>
              <w:rPr>
                <w:rFonts w:hint="eastAsia" w:ascii="宋体" w:hAnsi="宋体" w:eastAsia="宋体" w:cs="宋体"/>
                <w:bCs/>
                <w:kern w:val="2"/>
                <w:sz w:val="21"/>
                <w:szCs w:val="21"/>
              </w:rPr>
            </w:pPr>
            <w:r>
              <w:rPr>
                <w:rFonts w:hint="eastAsia" w:ascii="宋体" w:hAnsi="宋体" w:eastAsia="宋体" w:cs="宋体"/>
                <w:bCs/>
                <w:kern w:val="2"/>
                <w:sz w:val="21"/>
                <w:szCs w:val="21"/>
              </w:rPr>
              <w:t>该加油站在靠近车辆出入口处的罩棚支柱上分别设置了摄像头，可以满足监控要求。</w:t>
            </w:r>
          </w:p>
        </w:tc>
        <w:tc>
          <w:tcPr>
            <w:tcW w:w="6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符合要求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93" w:hRule="atLeast"/>
          <w:jc w:val="center"/>
        </w:trPr>
        <w:tc>
          <w:tcPr>
            <w:tcW w:w="42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r>
              <w:rPr>
                <w:rFonts w:hint="eastAsia" w:ascii="宋体" w:hAnsi="宋体" w:eastAsia="宋体" w:cs="宋体"/>
                <w:kern w:val="2"/>
                <w:sz w:val="21"/>
                <w:szCs w:val="21"/>
              </w:rPr>
              <w:t>3</w:t>
            </w:r>
          </w:p>
        </w:tc>
        <w:tc>
          <w:tcPr>
            <w:tcW w:w="2943" w:type="dxa"/>
            <w:tcBorders>
              <w:top w:val="single" w:color="auto" w:sz="4" w:space="0"/>
              <w:left w:val="single" w:color="auto" w:sz="4" w:space="0"/>
              <w:bottom w:val="single" w:color="auto" w:sz="4" w:space="0"/>
              <w:right w:val="single" w:color="auto" w:sz="4" w:space="0"/>
            </w:tcBorders>
            <w:vAlign w:val="center"/>
          </w:tcPr>
          <w:p>
            <w:pPr>
              <w:pStyle w:val="38"/>
              <w:keepNext w:val="0"/>
              <w:keepLines w:val="0"/>
              <w:widowControl/>
              <w:suppressLineNumbers w:val="0"/>
              <w:spacing w:before="0" w:beforeAutospacing="0" w:after="0" w:afterAutospacing="0"/>
              <w:ind w:left="0" w:right="0" w:firstLine="0" w:firstLineChars="0"/>
              <w:rPr>
                <w:rFonts w:hint="eastAsia" w:ascii="宋体" w:hAnsi="宋体" w:eastAsia="宋体" w:cs="宋体"/>
                <w:kern w:val="2"/>
                <w:szCs w:val="21"/>
              </w:rPr>
            </w:pPr>
            <w:r>
              <w:rPr>
                <w:rFonts w:hint="eastAsia" w:ascii="宋体" w:hAnsi="宋体" w:eastAsia="宋体" w:cs="宋体"/>
                <w:kern w:val="2"/>
                <w:szCs w:val="21"/>
              </w:rPr>
              <w:t>加油加气区应根据加油机的数量配置一定数量的高分辨率智能一体化摄像机和拾音器，应能全面监控加油加气操作工位中加油人员具体操作及现金交易情况，并能在某一焦点清晰看清汽车车牌。</w:t>
            </w:r>
          </w:p>
        </w:tc>
        <w:tc>
          <w:tcPr>
            <w:tcW w:w="260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《加油加气站视频安防监控系统技术要求》（AQ/T30350-2013）</w:t>
            </w:r>
          </w:p>
          <w:p>
            <w:pPr>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 xml:space="preserve">第6.2.2.2条 </w:t>
            </w:r>
          </w:p>
        </w:tc>
        <w:tc>
          <w:tcPr>
            <w:tcW w:w="238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bCs/>
                <w:kern w:val="2"/>
                <w:sz w:val="21"/>
                <w:szCs w:val="21"/>
              </w:rPr>
            </w:pPr>
            <w:r>
              <w:rPr>
                <w:rFonts w:hint="eastAsia" w:ascii="宋体" w:hAnsi="宋体" w:eastAsia="宋体" w:cs="宋体"/>
                <w:bCs/>
                <w:kern w:val="2"/>
                <w:sz w:val="21"/>
                <w:szCs w:val="21"/>
              </w:rPr>
              <w:t>站内加油罩棚支柱上设置了摄像头，可以监控到加油员工等的整体情况。</w:t>
            </w:r>
          </w:p>
        </w:tc>
        <w:tc>
          <w:tcPr>
            <w:tcW w:w="6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符合要求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32" w:hRule="atLeast"/>
          <w:jc w:val="center"/>
        </w:trPr>
        <w:tc>
          <w:tcPr>
            <w:tcW w:w="42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r>
              <w:rPr>
                <w:rFonts w:hint="eastAsia" w:ascii="宋体" w:hAnsi="宋体" w:eastAsia="宋体" w:cs="宋体"/>
                <w:kern w:val="2"/>
                <w:sz w:val="21"/>
                <w:szCs w:val="21"/>
              </w:rPr>
              <w:t>4</w:t>
            </w:r>
          </w:p>
        </w:tc>
        <w:tc>
          <w:tcPr>
            <w:tcW w:w="2943" w:type="dxa"/>
            <w:tcBorders>
              <w:top w:val="single" w:color="auto" w:sz="4" w:space="0"/>
              <w:left w:val="single" w:color="auto" w:sz="4" w:space="0"/>
              <w:bottom w:val="single" w:color="auto" w:sz="4" w:space="0"/>
              <w:right w:val="single" w:color="auto" w:sz="4" w:space="0"/>
            </w:tcBorders>
            <w:vAlign w:val="center"/>
          </w:tcPr>
          <w:p>
            <w:pPr>
              <w:pStyle w:val="38"/>
              <w:keepNext w:val="0"/>
              <w:keepLines w:val="0"/>
              <w:widowControl/>
              <w:suppressLineNumbers w:val="0"/>
              <w:spacing w:before="0" w:beforeAutospacing="0" w:after="0" w:afterAutospacing="0"/>
              <w:ind w:left="0" w:right="0" w:firstLine="0" w:firstLineChars="0"/>
              <w:rPr>
                <w:rFonts w:hint="eastAsia" w:ascii="宋体" w:hAnsi="宋体" w:eastAsia="宋体" w:cs="宋体"/>
                <w:kern w:val="2"/>
                <w:szCs w:val="21"/>
              </w:rPr>
            </w:pPr>
            <w:r>
              <w:rPr>
                <w:rFonts w:hint="eastAsia" w:ascii="宋体" w:hAnsi="宋体" w:eastAsia="宋体" w:cs="宋体"/>
                <w:kern w:val="2"/>
                <w:szCs w:val="21"/>
              </w:rPr>
              <w:t>应在站房外墙上或单独设置的立杆上安装红外一体化摄像机，应能对卸油口及整个油罐区域进行全面监控，并能清晰看到卸油员具体操作动作。</w:t>
            </w:r>
          </w:p>
        </w:tc>
        <w:tc>
          <w:tcPr>
            <w:tcW w:w="260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《加油加气站视频安防监控系统技术要求》（AQ/T30350-2013）</w:t>
            </w:r>
          </w:p>
          <w:p>
            <w:pPr>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 xml:space="preserve">第6.2.2.3条 </w:t>
            </w:r>
          </w:p>
        </w:tc>
        <w:tc>
          <w:tcPr>
            <w:tcW w:w="238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bCs/>
                <w:kern w:val="2"/>
                <w:sz w:val="21"/>
                <w:szCs w:val="21"/>
              </w:rPr>
            </w:pPr>
            <w:r>
              <w:rPr>
                <w:rFonts w:hint="eastAsia" w:ascii="宋体" w:hAnsi="宋体" w:eastAsia="宋体" w:cs="宋体"/>
                <w:bCs/>
                <w:kern w:val="2"/>
                <w:sz w:val="21"/>
                <w:szCs w:val="21"/>
              </w:rPr>
              <w:t>该加油站在</w:t>
            </w:r>
            <w:r>
              <w:rPr>
                <w:rFonts w:hint="eastAsia" w:ascii="宋体" w:hAnsi="宋体" w:eastAsia="宋体" w:cs="宋体"/>
                <w:kern w:val="2"/>
                <w:sz w:val="21"/>
                <w:szCs w:val="21"/>
              </w:rPr>
              <w:t>站房靠近卸油区、油罐区一侧</w:t>
            </w:r>
            <w:r>
              <w:rPr>
                <w:rFonts w:hint="eastAsia" w:ascii="宋体" w:hAnsi="宋体" w:eastAsia="宋体" w:cs="宋体"/>
                <w:bCs/>
                <w:kern w:val="2"/>
                <w:sz w:val="21"/>
                <w:szCs w:val="21"/>
              </w:rPr>
              <w:t>设置了的摄像头，可对卸油口、油罐区进行监控。</w:t>
            </w:r>
          </w:p>
        </w:tc>
        <w:tc>
          <w:tcPr>
            <w:tcW w:w="6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符合要求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42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r>
              <w:rPr>
                <w:rFonts w:hint="eastAsia" w:ascii="宋体" w:hAnsi="宋体" w:eastAsia="宋体" w:cs="宋体"/>
                <w:kern w:val="2"/>
                <w:sz w:val="21"/>
                <w:szCs w:val="21"/>
              </w:rPr>
              <w:t>5</w:t>
            </w:r>
          </w:p>
        </w:tc>
        <w:tc>
          <w:tcPr>
            <w:tcW w:w="2943" w:type="dxa"/>
            <w:tcBorders>
              <w:top w:val="single" w:color="auto" w:sz="4" w:space="0"/>
              <w:left w:val="single" w:color="auto" w:sz="4" w:space="0"/>
              <w:bottom w:val="single" w:color="auto" w:sz="4" w:space="0"/>
              <w:right w:val="single" w:color="auto" w:sz="4" w:space="0"/>
            </w:tcBorders>
            <w:vAlign w:val="center"/>
          </w:tcPr>
          <w:p>
            <w:pPr>
              <w:pStyle w:val="38"/>
              <w:keepNext w:val="0"/>
              <w:keepLines w:val="0"/>
              <w:widowControl/>
              <w:suppressLineNumbers w:val="0"/>
              <w:spacing w:before="0" w:beforeAutospacing="0" w:after="0" w:afterAutospacing="0"/>
              <w:ind w:left="0" w:right="0" w:firstLine="0" w:firstLineChars="0"/>
              <w:rPr>
                <w:rFonts w:hint="eastAsia" w:ascii="宋体" w:hAnsi="宋体" w:eastAsia="宋体" w:cs="宋体"/>
                <w:kern w:val="2"/>
                <w:szCs w:val="21"/>
              </w:rPr>
            </w:pPr>
            <w:r>
              <w:rPr>
                <w:rFonts w:hint="eastAsia" w:ascii="宋体" w:hAnsi="宋体" w:eastAsia="宋体" w:cs="宋体"/>
                <w:kern w:val="2"/>
                <w:szCs w:val="21"/>
              </w:rPr>
              <w:t>应在便利店内墙顶部，与收银服务区成斜俯视角度的适当位置安装高分辨率日夜转换变焦半球摄像机一台，并在适当位置安装拾音器，全面监控收银服务区域，应能清晰看到顾客相貌、衣着特征，收银员与顾客现金交易、商品买卖详细情况，收银员往投币口投币情况，及收银服务区商品。</w:t>
            </w:r>
          </w:p>
        </w:tc>
        <w:tc>
          <w:tcPr>
            <w:tcW w:w="260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《加油加气站视频安防监控系统技术要求》（AQ/T30350-2013）</w:t>
            </w:r>
          </w:p>
          <w:p>
            <w:pPr>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 xml:space="preserve">第6.2.2.6条 </w:t>
            </w:r>
          </w:p>
        </w:tc>
        <w:tc>
          <w:tcPr>
            <w:tcW w:w="238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both"/>
              <w:rPr>
                <w:rFonts w:hint="eastAsia" w:ascii="宋体" w:hAnsi="宋体" w:eastAsia="宋体" w:cs="宋体"/>
                <w:bCs/>
                <w:kern w:val="2"/>
                <w:sz w:val="21"/>
                <w:szCs w:val="21"/>
              </w:rPr>
            </w:pPr>
            <w:r>
              <w:rPr>
                <w:rFonts w:hint="eastAsia" w:ascii="宋体" w:hAnsi="宋体" w:eastAsia="宋体" w:cs="宋体"/>
                <w:bCs/>
                <w:kern w:val="2"/>
                <w:sz w:val="21"/>
                <w:szCs w:val="21"/>
              </w:rPr>
              <w:t>该加油站营业室收银台上方设置了摄像头，可对</w:t>
            </w:r>
            <w:r>
              <w:rPr>
                <w:rFonts w:hint="eastAsia" w:ascii="宋体" w:hAnsi="宋体" w:eastAsia="宋体" w:cs="宋体"/>
                <w:kern w:val="2"/>
                <w:sz w:val="21"/>
                <w:szCs w:val="21"/>
              </w:rPr>
              <w:t>收银服务区域进行全面监控</w:t>
            </w:r>
            <w:r>
              <w:rPr>
                <w:rFonts w:hint="eastAsia" w:ascii="宋体" w:hAnsi="宋体" w:eastAsia="宋体" w:cs="宋体"/>
                <w:bCs/>
                <w:kern w:val="2"/>
                <w:sz w:val="21"/>
                <w:szCs w:val="21"/>
              </w:rPr>
              <w:t>。</w:t>
            </w:r>
          </w:p>
        </w:tc>
        <w:tc>
          <w:tcPr>
            <w:tcW w:w="6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符合要求</w:t>
            </w:r>
          </w:p>
        </w:tc>
      </w:tr>
    </w:tbl>
    <w:p>
      <w:pPr>
        <w:rPr>
          <w:rFonts w:hint="eastAsia" w:ascii="宋体" w:hAnsi="宋体" w:eastAsia="宋体" w:cs="宋体"/>
          <w:sz w:val="28"/>
          <w:szCs w:val="28"/>
        </w:rPr>
      </w:pPr>
      <w:bookmarkStart w:id="856" w:name="_Toc28334_WPSOffice_Level3"/>
    </w:p>
    <w:p>
      <w:pPr>
        <w:pStyle w:val="4"/>
        <w:pageBreakBefore w:val="0"/>
        <w:widowControl w:val="0"/>
        <w:kinsoku/>
        <w:wordWrap/>
        <w:overflowPunct/>
        <w:topLinePunct w:val="0"/>
        <w:autoSpaceDE w:val="0"/>
        <w:autoSpaceDN w:val="0"/>
        <w:bidi w:val="0"/>
        <w:adjustRightInd/>
        <w:snapToGrid/>
        <w:spacing w:before="120" w:after="120" w:line="560" w:lineRule="exact"/>
        <w:ind w:firstLine="562" w:firstLineChars="200"/>
        <w:textAlignment w:val="auto"/>
        <w:rPr>
          <w:rFonts w:hint="eastAsia" w:ascii="宋体" w:hAnsi="宋体" w:eastAsia="宋体" w:cs="宋体"/>
          <w:sz w:val="28"/>
          <w:szCs w:val="28"/>
        </w:rPr>
      </w:pPr>
      <w:bookmarkStart w:id="857" w:name="_Toc18460_WPSOffice_Level3"/>
      <w:r>
        <w:rPr>
          <w:rFonts w:hint="eastAsia" w:ascii="宋体" w:hAnsi="宋体" w:eastAsia="宋体" w:cs="宋体"/>
          <w:sz w:val="28"/>
          <w:szCs w:val="28"/>
        </w:rPr>
        <w:t>4.</w:t>
      </w:r>
      <w:r>
        <w:rPr>
          <w:rFonts w:hint="eastAsia" w:ascii="宋体" w:hAnsi="宋体" w:eastAsia="宋体" w:cs="宋体"/>
          <w:sz w:val="28"/>
          <w:szCs w:val="28"/>
          <w:lang w:val="en-US"/>
        </w:rPr>
        <w:t>4</w:t>
      </w:r>
      <w:r>
        <w:rPr>
          <w:rFonts w:hint="eastAsia" w:ascii="宋体" w:hAnsi="宋体" w:eastAsia="宋体" w:cs="宋体"/>
          <w:sz w:val="28"/>
          <w:szCs w:val="28"/>
        </w:rPr>
        <w:t>.</w:t>
      </w:r>
      <w:r>
        <w:rPr>
          <w:rFonts w:hint="eastAsia" w:ascii="宋体" w:hAnsi="宋体" w:eastAsia="宋体" w:cs="宋体"/>
          <w:sz w:val="28"/>
          <w:szCs w:val="28"/>
          <w:lang w:val="en-US"/>
        </w:rPr>
        <w:t>3 消防设施及给排水</w:t>
      </w:r>
      <w:r>
        <w:rPr>
          <w:rFonts w:hint="eastAsia" w:ascii="宋体" w:hAnsi="宋体" w:eastAsia="宋体" w:cs="宋体"/>
          <w:sz w:val="28"/>
          <w:szCs w:val="28"/>
        </w:rPr>
        <w:t>评价</w:t>
      </w:r>
      <w:bookmarkEnd w:id="856"/>
      <w:bookmarkEnd w:id="857"/>
    </w:p>
    <w:p>
      <w:pPr>
        <w:pStyle w:val="22"/>
        <w:pageBreakBefore w:val="0"/>
        <w:widowControl w:val="0"/>
        <w:tabs>
          <w:tab w:val="left" w:pos="1704"/>
          <w:tab w:val="left" w:pos="7862"/>
        </w:tabs>
        <w:kinsoku/>
        <w:wordWrap/>
        <w:overflowPunct/>
        <w:topLinePunct w:val="0"/>
        <w:autoSpaceDE w:val="0"/>
        <w:autoSpaceDN w:val="0"/>
        <w:bidi w:val="0"/>
        <w:adjustRightInd/>
        <w:snapToGrid/>
        <w:spacing w:before="53" w:line="560" w:lineRule="exact"/>
        <w:ind w:left="0" w:firstLine="0"/>
        <w:jc w:val="center"/>
        <w:textAlignment w:val="auto"/>
        <w:rPr>
          <w:rFonts w:hint="eastAsia" w:ascii="宋体" w:hAnsi="宋体" w:eastAsia="宋体" w:cs="宋体"/>
          <w:sz w:val="24"/>
          <w:szCs w:val="21"/>
        </w:rPr>
      </w:pPr>
      <w:bookmarkStart w:id="858" w:name="_Toc30984_WPSOffice_Level3"/>
      <w:bookmarkStart w:id="859" w:name="_Toc28833_WPSOffice_Level3"/>
      <w:bookmarkStart w:id="860" w:name="_Toc21727_WPSOffice_Level3"/>
      <w:r>
        <w:rPr>
          <w:rFonts w:hint="eastAsia" w:ascii="宋体" w:hAnsi="宋体" w:eastAsia="宋体" w:cs="宋体"/>
          <w:sz w:val="28"/>
          <w:szCs w:val="28"/>
          <w:lang w:val="en-US"/>
        </w:rPr>
        <w:t xml:space="preserve">附表4.4-3 </w:t>
      </w:r>
      <w:r>
        <w:rPr>
          <w:rFonts w:hint="eastAsia" w:ascii="宋体" w:hAnsi="宋体" w:eastAsia="宋体" w:cs="宋体"/>
          <w:sz w:val="28"/>
          <w:szCs w:val="28"/>
        </w:rPr>
        <w:t>消防</w:t>
      </w:r>
      <w:r>
        <w:rPr>
          <w:rFonts w:hint="eastAsia" w:ascii="宋体" w:hAnsi="宋体" w:eastAsia="宋体" w:cs="宋体"/>
          <w:spacing w:val="-3"/>
          <w:sz w:val="28"/>
          <w:szCs w:val="28"/>
        </w:rPr>
        <w:t>设</w:t>
      </w:r>
      <w:r>
        <w:rPr>
          <w:rFonts w:hint="eastAsia" w:ascii="宋体" w:hAnsi="宋体" w:eastAsia="宋体" w:cs="宋体"/>
          <w:sz w:val="28"/>
          <w:szCs w:val="28"/>
        </w:rPr>
        <w:t>施及</w:t>
      </w:r>
      <w:r>
        <w:rPr>
          <w:rFonts w:hint="eastAsia" w:ascii="宋体" w:hAnsi="宋体" w:eastAsia="宋体" w:cs="宋体"/>
          <w:spacing w:val="-3"/>
          <w:sz w:val="28"/>
          <w:szCs w:val="28"/>
        </w:rPr>
        <w:t>给</w:t>
      </w:r>
      <w:r>
        <w:rPr>
          <w:rFonts w:hint="eastAsia" w:ascii="宋体" w:hAnsi="宋体" w:eastAsia="宋体" w:cs="宋体"/>
          <w:sz w:val="28"/>
          <w:szCs w:val="28"/>
        </w:rPr>
        <w:t>排水安</w:t>
      </w:r>
      <w:r>
        <w:rPr>
          <w:rFonts w:hint="eastAsia" w:ascii="宋体" w:hAnsi="宋体" w:eastAsia="宋体" w:cs="宋体"/>
          <w:spacing w:val="-3"/>
          <w:sz w:val="28"/>
          <w:szCs w:val="28"/>
        </w:rPr>
        <w:t>全</w:t>
      </w:r>
      <w:r>
        <w:rPr>
          <w:rFonts w:hint="eastAsia" w:ascii="宋体" w:hAnsi="宋体" w:eastAsia="宋体" w:cs="宋体"/>
          <w:sz w:val="28"/>
          <w:szCs w:val="28"/>
        </w:rPr>
        <w:t>检查表</w:t>
      </w:r>
      <w:bookmarkEnd w:id="858"/>
      <w:bookmarkEnd w:id="859"/>
      <w:bookmarkEnd w:id="860"/>
    </w:p>
    <w:tbl>
      <w:tblPr>
        <w:tblStyle w:val="15"/>
        <w:tblW w:w="90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2"/>
        <w:gridCol w:w="3245"/>
        <w:gridCol w:w="2355"/>
        <w:gridCol w:w="2204"/>
        <w:gridCol w:w="7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blHeader/>
          <w:jc w:val="center"/>
        </w:trPr>
        <w:tc>
          <w:tcPr>
            <w:tcW w:w="4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b/>
                <w:bCs/>
                <w:kern w:val="2"/>
                <w:sz w:val="21"/>
                <w:szCs w:val="21"/>
              </w:rPr>
            </w:pPr>
            <w:r>
              <w:rPr>
                <w:rFonts w:hint="eastAsia" w:ascii="宋体" w:hAnsi="宋体" w:eastAsia="宋体" w:cs="宋体"/>
                <w:b/>
                <w:bCs/>
                <w:kern w:val="2"/>
                <w:sz w:val="21"/>
                <w:szCs w:val="21"/>
              </w:rPr>
              <w:t>序号</w:t>
            </w:r>
          </w:p>
        </w:tc>
        <w:tc>
          <w:tcPr>
            <w:tcW w:w="3245" w:type="dxa"/>
            <w:tcBorders>
              <w:top w:val="single" w:color="auto" w:sz="4" w:space="0"/>
              <w:left w:val="single" w:color="auto" w:sz="4" w:space="0"/>
              <w:bottom w:val="single" w:color="auto" w:sz="4" w:space="0"/>
              <w:right w:val="single" w:color="auto" w:sz="4" w:space="0"/>
            </w:tcBorders>
            <w:vAlign w:val="center"/>
          </w:tcPr>
          <w:p>
            <w:pPr>
              <w:pStyle w:val="39"/>
              <w:keepNext w:val="0"/>
              <w:keepLines w:val="0"/>
              <w:suppressLineNumbers w:val="0"/>
              <w:tabs>
                <w:tab w:val="left" w:pos="420"/>
              </w:tabs>
              <w:spacing w:before="0" w:beforeAutospacing="0" w:after="0" w:afterAutospacing="0" w:line="300" w:lineRule="exact"/>
              <w:ind w:left="0" w:right="0"/>
              <w:jc w:val="center"/>
              <w:rPr>
                <w:rFonts w:hint="eastAsia" w:ascii="宋体" w:hAnsi="宋体" w:eastAsia="宋体" w:cs="宋体"/>
                <w:b/>
                <w:bCs/>
                <w:kern w:val="21"/>
                <w:sz w:val="21"/>
                <w:szCs w:val="21"/>
              </w:rPr>
            </w:pPr>
            <w:r>
              <w:rPr>
                <w:rFonts w:hint="eastAsia" w:ascii="宋体" w:hAnsi="宋体" w:eastAsia="宋体" w:cs="宋体"/>
                <w:b/>
                <w:bCs/>
                <w:kern w:val="21"/>
                <w:sz w:val="21"/>
                <w:szCs w:val="21"/>
              </w:rPr>
              <w:t>检查内容</w:t>
            </w:r>
          </w:p>
        </w:tc>
        <w:tc>
          <w:tcPr>
            <w:tcW w:w="23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b/>
                <w:bCs/>
                <w:kern w:val="2"/>
                <w:sz w:val="21"/>
                <w:szCs w:val="21"/>
              </w:rPr>
            </w:pPr>
            <w:r>
              <w:rPr>
                <w:rFonts w:hint="eastAsia" w:ascii="宋体" w:hAnsi="宋体" w:eastAsia="宋体" w:cs="宋体"/>
                <w:b/>
                <w:bCs/>
                <w:kern w:val="2"/>
                <w:sz w:val="21"/>
                <w:szCs w:val="21"/>
              </w:rPr>
              <w:t>检查依据</w:t>
            </w:r>
          </w:p>
        </w:tc>
        <w:tc>
          <w:tcPr>
            <w:tcW w:w="220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b/>
                <w:bCs/>
                <w:kern w:val="2"/>
                <w:sz w:val="21"/>
                <w:szCs w:val="21"/>
              </w:rPr>
            </w:pPr>
            <w:r>
              <w:rPr>
                <w:rFonts w:hint="eastAsia" w:ascii="宋体" w:hAnsi="宋体" w:eastAsia="宋体" w:cs="宋体"/>
                <w:b/>
                <w:bCs/>
                <w:kern w:val="2"/>
                <w:sz w:val="21"/>
                <w:szCs w:val="21"/>
              </w:rPr>
              <w:t>实际情况</w:t>
            </w:r>
          </w:p>
        </w:tc>
        <w:tc>
          <w:tcPr>
            <w:tcW w:w="7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b/>
                <w:bCs/>
                <w:kern w:val="2"/>
                <w:sz w:val="21"/>
                <w:szCs w:val="21"/>
              </w:rPr>
            </w:pPr>
            <w:r>
              <w:rPr>
                <w:rFonts w:hint="eastAsia" w:ascii="宋体" w:hAnsi="宋体" w:eastAsia="宋体" w:cs="宋体"/>
                <w:b/>
                <w:bCs/>
                <w:kern w:val="2"/>
                <w:sz w:val="21"/>
                <w:szCs w:val="21"/>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9093"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b/>
                <w:bCs/>
                <w:kern w:val="2"/>
                <w:sz w:val="21"/>
                <w:szCs w:val="21"/>
              </w:rPr>
              <w:t>消防设施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3" w:hRule="atLeast"/>
          <w:jc w:val="center"/>
        </w:trPr>
        <w:tc>
          <w:tcPr>
            <w:tcW w:w="492" w:type="dxa"/>
            <w:tcBorders>
              <w:top w:val="single" w:color="auto" w:sz="4" w:space="0"/>
              <w:left w:val="single" w:color="auto" w:sz="4" w:space="0"/>
              <w:bottom w:val="single" w:color="auto" w:sz="4" w:space="0"/>
              <w:right w:val="single" w:color="auto" w:sz="4" w:space="0"/>
            </w:tcBorders>
            <w:vAlign w:val="center"/>
          </w:tcPr>
          <w:p>
            <w:pPr>
              <w:keepNext w:val="0"/>
              <w:keepLines w:val="0"/>
              <w:numPr>
                <w:ilvl w:val="0"/>
                <w:numId w:val="11"/>
              </w:numPr>
              <w:suppressLineNumbers w:val="0"/>
              <w:spacing w:before="0" w:beforeAutospacing="0" w:after="0" w:afterAutospacing="0" w:line="300" w:lineRule="exact"/>
              <w:ind w:right="0"/>
              <w:jc w:val="center"/>
              <w:rPr>
                <w:rFonts w:hint="eastAsia" w:ascii="宋体" w:hAnsi="宋体" w:eastAsia="宋体" w:cs="宋体"/>
                <w:kern w:val="2"/>
                <w:sz w:val="21"/>
                <w:szCs w:val="21"/>
              </w:rPr>
            </w:pPr>
          </w:p>
        </w:tc>
        <w:tc>
          <w:tcPr>
            <w:tcW w:w="324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加油站工艺设备应配置灭火器材，并应符合下列规定：1）地下储罐应配置1台不小于35kg推车式干粉灭火器。当两种介质储罐之间的距离超过15 m时，应分别配置。2）一、二级加油站应配置灭火毯5块、沙子2 m</w:t>
            </w:r>
            <w:r>
              <w:rPr>
                <w:rFonts w:hint="eastAsia" w:ascii="宋体" w:hAnsi="宋体" w:eastAsia="宋体" w:cs="宋体"/>
                <w:color w:val="auto"/>
                <w:kern w:val="2"/>
                <w:sz w:val="21"/>
                <w:szCs w:val="21"/>
                <w:vertAlign w:val="superscript"/>
              </w:rPr>
              <w:t>3</w:t>
            </w:r>
            <w:r>
              <w:rPr>
                <w:rFonts w:hint="eastAsia" w:ascii="宋体" w:hAnsi="宋体" w:eastAsia="宋体" w:cs="宋体"/>
                <w:color w:val="auto"/>
                <w:kern w:val="2"/>
                <w:sz w:val="21"/>
                <w:szCs w:val="21"/>
              </w:rPr>
              <w:t>；三级加油站应配置灭火毯不少于2块、沙子2 m</w:t>
            </w:r>
            <w:r>
              <w:rPr>
                <w:rFonts w:hint="eastAsia" w:ascii="宋体" w:hAnsi="宋体" w:eastAsia="宋体" w:cs="宋体"/>
                <w:color w:val="auto"/>
                <w:kern w:val="2"/>
                <w:sz w:val="21"/>
                <w:szCs w:val="21"/>
                <w:vertAlign w:val="superscript"/>
              </w:rPr>
              <w:t>3</w:t>
            </w:r>
            <w:r>
              <w:rPr>
                <w:rFonts w:hint="eastAsia" w:ascii="宋体" w:hAnsi="宋体" w:eastAsia="宋体" w:cs="宋体"/>
                <w:color w:val="auto"/>
                <w:kern w:val="2"/>
                <w:sz w:val="21"/>
                <w:szCs w:val="21"/>
              </w:rPr>
              <w:t>。加油加气合建站应按同级别的加油站配置灭火毯和沙子。</w:t>
            </w:r>
          </w:p>
        </w:tc>
        <w:tc>
          <w:tcPr>
            <w:tcW w:w="23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《汽车加油加气站设计与施工规范》GB50156-2012（2014年版）第10.1.1条</w:t>
            </w:r>
          </w:p>
        </w:tc>
        <w:tc>
          <w:tcPr>
            <w:tcW w:w="220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rPr>
              <w:t>（1）站内油罐区设置2台35kg推车式干粉灭火器，其它</w:t>
            </w:r>
            <w:r>
              <w:rPr>
                <w:rFonts w:hint="eastAsia" w:ascii="宋体" w:hAnsi="宋体" w:eastAsia="宋体" w:cs="宋体"/>
                <w:color w:val="auto"/>
                <w:kern w:val="2"/>
                <w:sz w:val="21"/>
                <w:szCs w:val="21"/>
                <w:lang w:eastAsia="zh-CN"/>
              </w:rPr>
              <w:t>各</w:t>
            </w:r>
            <w:r>
              <w:rPr>
                <w:rFonts w:hint="eastAsia" w:ascii="宋体" w:hAnsi="宋体" w:eastAsia="宋体" w:cs="宋体"/>
                <w:color w:val="auto"/>
                <w:kern w:val="2"/>
                <w:sz w:val="21"/>
                <w:szCs w:val="21"/>
              </w:rPr>
              <w:t>处共设置4kg手提式干粉灭火器</w:t>
            </w:r>
            <w:r>
              <w:rPr>
                <w:rFonts w:hint="eastAsia" w:ascii="宋体" w:hAnsi="宋体" w:eastAsia="宋体" w:cs="宋体"/>
                <w:color w:val="auto"/>
                <w:kern w:val="2"/>
                <w:sz w:val="21"/>
                <w:szCs w:val="21"/>
                <w:lang w:val="en-US"/>
              </w:rPr>
              <w:t>1</w:t>
            </w:r>
            <w:r>
              <w:rPr>
                <w:rFonts w:hint="eastAsia" w:ascii="宋体" w:hAnsi="宋体" w:eastAsia="宋体" w:cs="宋体"/>
                <w:color w:val="auto"/>
                <w:kern w:val="2"/>
                <w:sz w:val="21"/>
                <w:szCs w:val="21"/>
                <w:lang w:val="en-US" w:eastAsia="zh-CN"/>
              </w:rPr>
              <w:t>0</w:t>
            </w:r>
            <w:r>
              <w:rPr>
                <w:rFonts w:hint="eastAsia" w:ascii="宋体" w:hAnsi="宋体" w:eastAsia="宋体" w:cs="宋体"/>
                <w:color w:val="auto"/>
                <w:kern w:val="2"/>
                <w:sz w:val="21"/>
                <w:szCs w:val="21"/>
              </w:rPr>
              <w:t>具.</w:t>
            </w:r>
            <w:r>
              <w:rPr>
                <w:rFonts w:hint="eastAsia" w:ascii="宋体" w:hAnsi="宋体" w:eastAsia="宋体" w:cs="宋体"/>
                <w:color w:val="auto"/>
                <w:kern w:val="2"/>
                <w:sz w:val="21"/>
                <w:szCs w:val="21"/>
                <w:lang w:val="en-US" w:eastAsia="zh-CN"/>
              </w:rPr>
              <w:t>8</w:t>
            </w:r>
            <w:r>
              <w:rPr>
                <w:rFonts w:hint="eastAsia" w:ascii="宋体" w:hAnsi="宋体" w:eastAsia="宋体" w:cs="宋体"/>
                <w:color w:val="auto"/>
                <w:kern w:val="2"/>
                <w:sz w:val="21"/>
                <w:szCs w:val="21"/>
              </w:rPr>
              <w:t>kg手提式干粉灭火器</w:t>
            </w:r>
            <w:r>
              <w:rPr>
                <w:rFonts w:hint="eastAsia" w:ascii="宋体" w:hAnsi="宋体" w:eastAsia="宋体" w:cs="宋体"/>
                <w:color w:val="auto"/>
                <w:kern w:val="2"/>
                <w:sz w:val="21"/>
                <w:szCs w:val="21"/>
                <w:lang w:val="en-US" w:eastAsia="zh-CN"/>
              </w:rPr>
              <w:t>8</w:t>
            </w:r>
            <w:r>
              <w:rPr>
                <w:rFonts w:hint="eastAsia" w:ascii="宋体" w:hAnsi="宋体" w:eastAsia="宋体" w:cs="宋体"/>
                <w:color w:val="auto"/>
                <w:kern w:val="2"/>
                <w:sz w:val="21"/>
                <w:szCs w:val="21"/>
              </w:rPr>
              <w:t>具</w:t>
            </w:r>
            <w:r>
              <w:rPr>
                <w:rFonts w:hint="eastAsia" w:ascii="宋体" w:hAnsi="宋体" w:eastAsia="宋体" w:cs="宋体"/>
                <w:color w:val="auto"/>
                <w:kern w:val="2"/>
                <w:sz w:val="21"/>
                <w:szCs w:val="21"/>
                <w:lang w:eastAsia="zh-CN"/>
              </w:rPr>
              <w:t>。</w:t>
            </w:r>
          </w:p>
          <w:p>
            <w:pPr>
              <w:keepNext w:val="0"/>
              <w:keepLines w:val="0"/>
              <w:suppressLineNumbers w:val="0"/>
              <w:spacing w:before="0" w:beforeAutospacing="0" w:after="0" w:afterAutospacing="0" w:line="30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（2）该加油站级别为</w:t>
            </w:r>
            <w:r>
              <w:rPr>
                <w:rFonts w:hint="eastAsia" w:ascii="宋体" w:hAnsi="宋体" w:eastAsia="宋体" w:cs="宋体"/>
                <w:color w:val="auto"/>
                <w:kern w:val="2"/>
                <w:sz w:val="21"/>
                <w:szCs w:val="21"/>
                <w:lang w:eastAsia="zh-CN"/>
              </w:rPr>
              <w:t>二</w:t>
            </w:r>
            <w:r>
              <w:rPr>
                <w:rFonts w:hint="eastAsia" w:ascii="宋体" w:hAnsi="宋体" w:eastAsia="宋体" w:cs="宋体"/>
                <w:color w:val="auto"/>
                <w:kern w:val="2"/>
                <w:sz w:val="21"/>
                <w:szCs w:val="21"/>
              </w:rPr>
              <w:t>级，加油站内配置了5块灭火毯，2</w:t>
            </w:r>
            <w:r>
              <w:rPr>
                <w:rFonts w:hint="eastAsia" w:ascii="宋体" w:hAnsi="宋体" w:eastAsia="宋体" w:cs="宋体"/>
                <w:color w:val="auto"/>
                <w:kern w:val="2"/>
                <w:sz w:val="21"/>
                <w:szCs w:val="21"/>
                <w:lang w:val="en-US"/>
              </w:rPr>
              <w:t>m</w:t>
            </w:r>
            <w:r>
              <w:rPr>
                <w:rFonts w:hint="eastAsia" w:ascii="宋体" w:hAnsi="宋体" w:eastAsia="宋体" w:cs="宋体"/>
                <w:color w:val="auto"/>
                <w:kern w:val="2"/>
                <w:sz w:val="21"/>
                <w:szCs w:val="21"/>
                <w:vertAlign w:val="superscript"/>
                <w:lang w:val="en-US"/>
              </w:rPr>
              <w:t>3</w:t>
            </w:r>
            <w:r>
              <w:rPr>
                <w:rFonts w:hint="eastAsia" w:ascii="宋体" w:hAnsi="宋体" w:eastAsia="宋体" w:cs="宋体"/>
                <w:color w:val="auto"/>
                <w:kern w:val="2"/>
                <w:sz w:val="21"/>
                <w:szCs w:val="21"/>
              </w:rPr>
              <w:t>消防沙，满足所述要求。</w:t>
            </w:r>
          </w:p>
        </w:tc>
        <w:tc>
          <w:tcPr>
            <w:tcW w:w="7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4" w:hRule="atLeast"/>
          <w:jc w:val="center"/>
        </w:trPr>
        <w:tc>
          <w:tcPr>
            <w:tcW w:w="492" w:type="dxa"/>
            <w:tcBorders>
              <w:top w:val="single" w:color="auto" w:sz="4" w:space="0"/>
              <w:left w:val="single" w:color="auto" w:sz="4" w:space="0"/>
              <w:bottom w:val="single" w:color="auto" w:sz="4" w:space="0"/>
              <w:right w:val="single" w:color="auto" w:sz="4" w:space="0"/>
            </w:tcBorders>
            <w:vAlign w:val="center"/>
          </w:tcPr>
          <w:p>
            <w:pPr>
              <w:keepNext w:val="0"/>
              <w:keepLines w:val="0"/>
              <w:numPr>
                <w:ilvl w:val="0"/>
                <w:numId w:val="11"/>
              </w:numPr>
              <w:suppressLineNumbers w:val="0"/>
              <w:spacing w:before="0" w:beforeAutospacing="0" w:after="0" w:afterAutospacing="0" w:line="300" w:lineRule="exact"/>
              <w:ind w:right="0"/>
              <w:jc w:val="center"/>
              <w:rPr>
                <w:rFonts w:hint="eastAsia" w:ascii="宋体" w:hAnsi="宋体" w:eastAsia="宋体" w:cs="宋体"/>
                <w:kern w:val="2"/>
                <w:sz w:val="21"/>
                <w:szCs w:val="21"/>
              </w:rPr>
            </w:pPr>
          </w:p>
        </w:tc>
        <w:tc>
          <w:tcPr>
            <w:tcW w:w="324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其余建筑的灭火器配置，应符合现行国家标准《建筑灭火器配置设计规范》GB 50140的有关规定。</w:t>
            </w:r>
          </w:p>
        </w:tc>
        <w:tc>
          <w:tcPr>
            <w:tcW w:w="23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《汽车加油加气站设计与施工规范》GB50156-2012（2014年版）第10.1.2条</w:t>
            </w:r>
          </w:p>
        </w:tc>
        <w:tc>
          <w:tcPr>
            <w:tcW w:w="220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站房、加油亭、配电房等建筑配置有灭火器。</w:t>
            </w:r>
          </w:p>
        </w:tc>
        <w:tc>
          <w:tcPr>
            <w:tcW w:w="7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9093"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b/>
                <w:kern w:val="2"/>
                <w:sz w:val="21"/>
                <w:szCs w:val="21"/>
              </w:rPr>
              <w:t>给排水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1</w:t>
            </w:r>
          </w:p>
        </w:tc>
        <w:tc>
          <w:tcPr>
            <w:tcW w:w="324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加油站的排水应符合下列规定：1）站内地面雨水可散流排出站外。当雨水由明沟排到站外时，应在围墙内设置水封装置。2）加油站排出建筑物或围墙的污水，在建筑物墙外或围墙内应分别设水封井（独立的生活污水除外）。水封井的水封高度不应小于0.25m；水封井应设沉泥段，沉泥段高度不应小于0.25m。3）清洗油罐的污水应集中收集处理，不应直接进入排水管道。4）排出站外的污水应符合国家有关的污水排放标准。5）加油站不应采用暗沟排水。</w:t>
            </w:r>
          </w:p>
        </w:tc>
        <w:tc>
          <w:tcPr>
            <w:tcW w:w="23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《汽车加油加气站设计与施工规范》GB50156-2012（2014年版）第10.3.2条</w:t>
            </w:r>
          </w:p>
        </w:tc>
        <w:tc>
          <w:tcPr>
            <w:tcW w:w="2204"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该加油站内地面雨水散流排出站外；排出建筑物或围墙的污水，在排出前设置了油水分离池；清洗油罐的污水集中收集处理，不直接进入排水管道。</w:t>
            </w:r>
          </w:p>
        </w:tc>
        <w:tc>
          <w:tcPr>
            <w:tcW w:w="797"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符合要求</w:t>
            </w:r>
          </w:p>
        </w:tc>
      </w:tr>
    </w:tbl>
    <w:p>
      <w:pPr>
        <w:pStyle w:val="6"/>
        <w:keepNext w:val="0"/>
        <w:keepLines w:val="0"/>
        <w:pageBreakBefore w:val="0"/>
        <w:widowControl w:val="0"/>
        <w:kinsoku/>
        <w:wordWrap/>
        <w:overflowPunct/>
        <w:topLinePunct w:val="0"/>
        <w:autoSpaceDE w:val="0"/>
        <w:autoSpaceDN w:val="0"/>
        <w:bidi w:val="0"/>
        <w:spacing w:line="560" w:lineRule="exact"/>
        <w:ind w:firstLine="560" w:firstLineChars="200"/>
        <w:textAlignment w:val="auto"/>
        <w:rPr>
          <w:rFonts w:hint="eastAsia" w:ascii="宋体" w:hAnsi="宋体" w:eastAsia="宋体" w:cs="宋体"/>
        </w:rPr>
      </w:pPr>
      <w:r>
        <w:rPr>
          <w:rFonts w:hint="eastAsia" w:ascii="宋体" w:hAnsi="宋体" w:eastAsia="宋体" w:cs="宋体"/>
        </w:rPr>
        <w:t>由检查表可知，</w:t>
      </w:r>
      <w:r>
        <w:rPr>
          <w:rFonts w:hint="eastAsia" w:ascii="宋体" w:hAnsi="宋体" w:eastAsia="宋体" w:cs="宋体"/>
          <w:lang w:eastAsia="zh-CN"/>
        </w:rPr>
        <w:t>横坑加油站</w:t>
      </w:r>
      <w:r>
        <w:rPr>
          <w:rFonts w:hint="eastAsia" w:ascii="宋体" w:hAnsi="宋体" w:eastAsia="宋体" w:cs="宋体"/>
        </w:rPr>
        <w:t>的消防设施及给排水符合《汽车加油加气站设计与施工规范》GB50156-2012（2014 年版）的相关要求。</w:t>
      </w:r>
    </w:p>
    <w:p>
      <w:pPr>
        <w:keepNext w:val="0"/>
        <w:keepLines w:val="0"/>
        <w:pageBreakBefore w:val="0"/>
        <w:widowControl w:val="0"/>
        <w:kinsoku/>
        <w:wordWrap/>
        <w:overflowPunct/>
        <w:topLinePunct w:val="0"/>
        <w:autoSpaceDE w:val="0"/>
        <w:autoSpaceDN w:val="0"/>
        <w:bidi w:val="0"/>
        <w:spacing w:before="240" w:beforeLines="100" w:after="240" w:afterLines="100" w:line="560" w:lineRule="exact"/>
        <w:jc w:val="center"/>
        <w:textAlignment w:val="auto"/>
        <w:outlineLvl w:val="1"/>
        <w:rPr>
          <w:rFonts w:hint="eastAsia" w:ascii="宋体" w:hAnsi="宋体" w:eastAsia="宋体" w:cs="宋体"/>
          <w:b/>
          <w:spacing w:val="6"/>
          <w:sz w:val="32"/>
          <w:szCs w:val="32"/>
        </w:rPr>
      </w:pPr>
      <w:bookmarkStart w:id="861" w:name="_Toc18542"/>
      <w:bookmarkStart w:id="862" w:name="_Toc529176543"/>
      <w:bookmarkStart w:id="863" w:name="_Toc11743_WPSOffice_Level2"/>
      <w:bookmarkStart w:id="864" w:name="_Toc3345"/>
      <w:bookmarkStart w:id="865" w:name="_Toc31410_WPSOffice_Level2"/>
      <w:bookmarkStart w:id="866" w:name="_Toc9064"/>
      <w:bookmarkStart w:id="867" w:name="_Toc528343598"/>
      <w:bookmarkStart w:id="868" w:name="_Toc1766_WPSOffice_Level2"/>
      <w:r>
        <w:rPr>
          <w:rFonts w:hint="eastAsia" w:ascii="宋体" w:hAnsi="宋体" w:eastAsia="宋体" w:cs="宋体"/>
          <w:b/>
          <w:spacing w:val="6"/>
          <w:sz w:val="32"/>
          <w:szCs w:val="32"/>
        </w:rPr>
        <w:t>4.5</w:t>
      </w:r>
      <w:r>
        <w:rPr>
          <w:rFonts w:hint="eastAsia" w:ascii="宋体" w:hAnsi="宋体" w:eastAsia="宋体" w:cs="宋体"/>
          <w:b/>
          <w:spacing w:val="6"/>
          <w:sz w:val="32"/>
          <w:szCs w:val="32"/>
          <w:lang w:val="en-US"/>
        </w:rPr>
        <w:t xml:space="preserve"> </w:t>
      </w:r>
      <w:r>
        <w:rPr>
          <w:rFonts w:hint="eastAsia" w:ascii="宋体" w:hAnsi="宋体" w:eastAsia="宋体" w:cs="宋体"/>
          <w:b/>
          <w:spacing w:val="6"/>
          <w:sz w:val="32"/>
          <w:szCs w:val="32"/>
        </w:rPr>
        <w:t>安全管理评价</w:t>
      </w:r>
      <w:bookmarkEnd w:id="861"/>
      <w:bookmarkEnd w:id="862"/>
      <w:bookmarkEnd w:id="863"/>
      <w:bookmarkEnd w:id="864"/>
      <w:bookmarkEnd w:id="865"/>
      <w:bookmarkEnd w:id="866"/>
      <w:bookmarkEnd w:id="867"/>
      <w:bookmarkEnd w:id="868"/>
    </w:p>
    <w:p>
      <w:pPr>
        <w:keepNext w:val="0"/>
        <w:keepLines w:val="0"/>
        <w:pageBreakBefore w:val="0"/>
        <w:widowControl w:val="0"/>
        <w:kinsoku/>
        <w:wordWrap/>
        <w:overflowPunct/>
        <w:topLinePunct w:val="0"/>
        <w:autoSpaceDE w:val="0"/>
        <w:autoSpaceDN w:val="0"/>
        <w:bidi w:val="0"/>
        <w:adjustRightInd w:val="0"/>
        <w:snapToGrid w:val="0"/>
        <w:spacing w:line="560" w:lineRule="exact"/>
        <w:jc w:val="center"/>
        <w:textAlignment w:val="auto"/>
        <w:rPr>
          <w:rFonts w:hint="eastAsia" w:ascii="宋体" w:hAnsi="宋体" w:eastAsia="宋体" w:cs="宋体"/>
          <w:sz w:val="28"/>
          <w:szCs w:val="28"/>
        </w:rPr>
      </w:pPr>
      <w:bookmarkStart w:id="869" w:name="_Toc22786_WPSOffice_Level3"/>
      <w:bookmarkStart w:id="870" w:name="_Toc1997_WPSOffice_Level3"/>
      <w:bookmarkStart w:id="871" w:name="_Toc12542_WPSOffice_Level3"/>
      <w:r>
        <w:rPr>
          <w:rFonts w:hint="eastAsia" w:ascii="宋体" w:hAnsi="宋体" w:eastAsia="宋体" w:cs="宋体"/>
          <w:sz w:val="28"/>
          <w:szCs w:val="28"/>
        </w:rPr>
        <w:t>附表4</w:t>
      </w:r>
      <w:r>
        <w:rPr>
          <w:rFonts w:hint="eastAsia" w:ascii="宋体" w:hAnsi="宋体" w:eastAsia="宋体" w:cs="宋体"/>
          <w:sz w:val="28"/>
          <w:szCs w:val="28"/>
          <w:lang w:val="en-US"/>
        </w:rPr>
        <w:t>.5</w:t>
      </w:r>
      <w:r>
        <w:rPr>
          <w:rFonts w:hint="eastAsia" w:ascii="宋体" w:hAnsi="宋体" w:eastAsia="宋体" w:cs="宋体"/>
          <w:sz w:val="28"/>
          <w:szCs w:val="28"/>
        </w:rPr>
        <w:t>-</w:t>
      </w:r>
      <w:r>
        <w:rPr>
          <w:rFonts w:hint="eastAsia" w:ascii="宋体" w:hAnsi="宋体" w:eastAsia="宋体" w:cs="宋体"/>
          <w:sz w:val="28"/>
          <w:szCs w:val="28"/>
          <w:lang w:val="en-US"/>
        </w:rPr>
        <w:t xml:space="preserve">1 </w:t>
      </w:r>
      <w:r>
        <w:rPr>
          <w:rFonts w:hint="eastAsia" w:ascii="宋体" w:hAnsi="宋体" w:eastAsia="宋体" w:cs="宋体"/>
          <w:sz w:val="28"/>
          <w:szCs w:val="28"/>
        </w:rPr>
        <w:t>安全管理安全检查表</w:t>
      </w:r>
      <w:bookmarkEnd w:id="869"/>
      <w:bookmarkEnd w:id="870"/>
      <w:bookmarkEnd w:id="871"/>
    </w:p>
    <w:tbl>
      <w:tblPr>
        <w:tblStyle w:val="15"/>
        <w:tblW w:w="91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7"/>
        <w:gridCol w:w="3309"/>
        <w:gridCol w:w="2551"/>
        <w:gridCol w:w="1985"/>
        <w:gridCol w:w="8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3" w:hRule="atLeast"/>
          <w:tblHeader/>
          <w:jc w:val="center"/>
        </w:trPr>
        <w:tc>
          <w:tcPr>
            <w:tcW w:w="427" w:type="dxa"/>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b/>
                <w:kern w:val="2"/>
                <w:sz w:val="21"/>
                <w:szCs w:val="21"/>
              </w:rPr>
            </w:pPr>
            <w:r>
              <w:rPr>
                <w:rFonts w:hint="eastAsia" w:ascii="宋体" w:hAnsi="宋体" w:eastAsia="宋体" w:cs="宋体"/>
                <w:b/>
                <w:kern w:val="2"/>
                <w:sz w:val="21"/>
                <w:szCs w:val="21"/>
              </w:rPr>
              <w:t>项目</w:t>
            </w:r>
          </w:p>
        </w:tc>
        <w:tc>
          <w:tcPr>
            <w:tcW w:w="3309" w:type="dxa"/>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b/>
                <w:kern w:val="2"/>
                <w:sz w:val="21"/>
                <w:szCs w:val="21"/>
              </w:rPr>
            </w:pPr>
            <w:r>
              <w:rPr>
                <w:rFonts w:hint="eastAsia" w:ascii="宋体" w:hAnsi="宋体" w:eastAsia="宋体" w:cs="宋体"/>
                <w:b/>
                <w:kern w:val="2"/>
                <w:sz w:val="21"/>
                <w:szCs w:val="21"/>
              </w:rPr>
              <w:t>检 查 内 容</w:t>
            </w:r>
          </w:p>
        </w:tc>
        <w:tc>
          <w:tcPr>
            <w:tcW w:w="2551" w:type="dxa"/>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b/>
                <w:kern w:val="2"/>
                <w:sz w:val="21"/>
                <w:szCs w:val="21"/>
              </w:rPr>
            </w:pPr>
            <w:r>
              <w:rPr>
                <w:rFonts w:hint="eastAsia" w:ascii="宋体" w:hAnsi="宋体" w:eastAsia="宋体" w:cs="宋体"/>
                <w:b/>
                <w:kern w:val="2"/>
                <w:sz w:val="21"/>
                <w:szCs w:val="21"/>
              </w:rPr>
              <w:t>依据</w:t>
            </w:r>
          </w:p>
        </w:tc>
        <w:tc>
          <w:tcPr>
            <w:tcW w:w="1985" w:type="dxa"/>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b/>
                <w:kern w:val="2"/>
                <w:sz w:val="21"/>
                <w:szCs w:val="21"/>
              </w:rPr>
            </w:pPr>
            <w:r>
              <w:rPr>
                <w:rFonts w:hint="eastAsia" w:ascii="宋体" w:hAnsi="宋体" w:eastAsia="宋体" w:cs="宋体"/>
                <w:b/>
                <w:kern w:val="2"/>
                <w:sz w:val="21"/>
                <w:szCs w:val="21"/>
              </w:rPr>
              <w:t>检 查 记 录</w:t>
            </w:r>
          </w:p>
        </w:tc>
        <w:tc>
          <w:tcPr>
            <w:tcW w:w="838" w:type="dxa"/>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b/>
                <w:kern w:val="2"/>
                <w:sz w:val="21"/>
                <w:szCs w:val="21"/>
              </w:rPr>
            </w:pPr>
            <w:r>
              <w:rPr>
                <w:rFonts w:hint="eastAsia" w:ascii="宋体" w:hAnsi="宋体" w:eastAsia="宋体" w:cs="宋体"/>
                <w:b/>
                <w:kern w:val="2"/>
                <w:sz w:val="21"/>
                <w:szCs w:val="21"/>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9110" w:type="dxa"/>
            <w:gridSpan w:val="5"/>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b/>
                <w:bCs/>
                <w:kern w:val="2"/>
                <w:sz w:val="21"/>
                <w:szCs w:val="21"/>
              </w:rPr>
              <w:t>证照文书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3" w:hRule="atLeast"/>
          <w:jc w:val="center"/>
        </w:trPr>
        <w:tc>
          <w:tcPr>
            <w:tcW w:w="427" w:type="dxa"/>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1</w:t>
            </w:r>
          </w:p>
        </w:tc>
        <w:tc>
          <w:tcPr>
            <w:tcW w:w="3309" w:type="dxa"/>
            <w:shd w:val="clear" w:color="auto" w:fill="auto"/>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r>
              <w:rPr>
                <w:rFonts w:hint="eastAsia" w:ascii="宋体" w:hAnsi="宋体" w:eastAsia="宋体" w:cs="宋体"/>
                <w:kern w:val="2"/>
                <w:sz w:val="21"/>
                <w:szCs w:val="21"/>
              </w:rPr>
              <w:t>从事危险化学品经营的单位应当依法登记注册为企业。</w:t>
            </w:r>
          </w:p>
        </w:tc>
        <w:tc>
          <w:tcPr>
            <w:tcW w:w="2551" w:type="dxa"/>
            <w:shd w:val="clear" w:color="auto" w:fill="auto"/>
            <w:vAlign w:val="center"/>
          </w:tcPr>
          <w:p>
            <w:pPr>
              <w:pStyle w:val="40"/>
              <w:keepNext w:val="0"/>
              <w:keepLines w:val="0"/>
              <w:suppressLineNumbers w:val="0"/>
              <w:spacing w:before="0" w:beforeAutospacing="0" w:after="0" w:afterAutospacing="0"/>
              <w:ind w:left="0" w:right="0"/>
              <w:rPr>
                <w:rFonts w:hint="eastAsia" w:ascii="宋体" w:hAnsi="宋体" w:eastAsia="宋体" w:cs="宋体"/>
                <w:kern w:val="2"/>
                <w:sz w:val="21"/>
                <w:szCs w:val="21"/>
              </w:rPr>
            </w:pPr>
            <w:r>
              <w:rPr>
                <w:rFonts w:hint="eastAsia" w:ascii="宋体" w:hAnsi="宋体" w:eastAsia="宋体" w:cs="宋体"/>
                <w:kern w:val="2"/>
                <w:sz w:val="21"/>
                <w:szCs w:val="21"/>
              </w:rPr>
              <w:t>《危险化学品经营许可证管理办法》（国家安全监督总局令第55号，第79号修正）第六条</w:t>
            </w:r>
          </w:p>
        </w:tc>
        <w:tc>
          <w:tcPr>
            <w:tcW w:w="1985" w:type="dxa"/>
            <w:shd w:val="clear" w:color="auto" w:fill="auto"/>
            <w:vAlign w:val="center"/>
          </w:tcPr>
          <w:p>
            <w:pPr>
              <w:pStyle w:val="40"/>
              <w:keepNext w:val="0"/>
              <w:keepLines w:val="0"/>
              <w:suppressLineNumbers w:val="0"/>
              <w:spacing w:before="0" w:beforeAutospacing="0" w:after="0" w:afterAutospacing="0"/>
              <w:ind w:left="0" w:right="0"/>
              <w:rPr>
                <w:rFonts w:hint="eastAsia" w:ascii="宋体" w:hAnsi="宋体" w:eastAsia="宋体" w:cs="宋体"/>
                <w:kern w:val="2"/>
                <w:sz w:val="21"/>
                <w:szCs w:val="21"/>
              </w:rPr>
            </w:pPr>
            <w:r>
              <w:rPr>
                <w:rFonts w:hint="eastAsia" w:ascii="宋体" w:hAnsi="宋体" w:eastAsia="宋体" w:cs="宋体"/>
                <w:kern w:val="2"/>
                <w:sz w:val="21"/>
                <w:szCs w:val="21"/>
              </w:rPr>
              <w:t>有营业执照。（详见附录）</w:t>
            </w:r>
          </w:p>
        </w:tc>
        <w:tc>
          <w:tcPr>
            <w:tcW w:w="838" w:type="dxa"/>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3" w:hRule="atLeast"/>
          <w:jc w:val="center"/>
        </w:trPr>
        <w:tc>
          <w:tcPr>
            <w:tcW w:w="427" w:type="dxa"/>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2</w:t>
            </w:r>
          </w:p>
        </w:tc>
        <w:tc>
          <w:tcPr>
            <w:tcW w:w="3309" w:type="dxa"/>
            <w:shd w:val="clear" w:color="auto" w:fill="auto"/>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r>
              <w:rPr>
                <w:rFonts w:hint="eastAsia" w:ascii="宋体" w:hAnsi="宋体" w:eastAsia="宋体" w:cs="宋体"/>
                <w:kern w:val="2"/>
                <w:sz w:val="21"/>
                <w:szCs w:val="21"/>
              </w:rPr>
              <w:t>消防验收意见书。</w:t>
            </w:r>
          </w:p>
        </w:tc>
        <w:tc>
          <w:tcPr>
            <w:tcW w:w="2551" w:type="dxa"/>
            <w:shd w:val="clear" w:color="auto" w:fill="auto"/>
            <w:vAlign w:val="center"/>
          </w:tcPr>
          <w:p>
            <w:pPr>
              <w:keepNext w:val="0"/>
              <w:keepLines w:val="0"/>
              <w:suppressLineNumbers w:val="0"/>
              <w:spacing w:before="0" w:beforeAutospacing="0" w:after="0" w:afterAutospacing="0"/>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《中华人民共和国消防法》第十三条</w:t>
            </w:r>
          </w:p>
        </w:tc>
        <w:tc>
          <w:tcPr>
            <w:tcW w:w="1985" w:type="dxa"/>
            <w:shd w:val="clear" w:color="auto" w:fill="auto"/>
            <w:vAlign w:val="center"/>
          </w:tcPr>
          <w:p>
            <w:pPr>
              <w:keepNext w:val="0"/>
              <w:keepLines w:val="0"/>
              <w:suppressLineNumbers w:val="0"/>
              <w:spacing w:before="0" w:beforeAutospacing="0" w:after="0" w:afterAutospacing="0"/>
              <w:ind w:left="0" w:right="0"/>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改建前已取得消防验收意见书。改建后的检测和相关手续同步办理中。</w:t>
            </w:r>
          </w:p>
        </w:tc>
        <w:tc>
          <w:tcPr>
            <w:tcW w:w="838" w:type="dxa"/>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2" w:hRule="atLeast"/>
          <w:jc w:val="center"/>
        </w:trPr>
        <w:tc>
          <w:tcPr>
            <w:tcW w:w="427" w:type="dxa"/>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3</w:t>
            </w:r>
          </w:p>
        </w:tc>
        <w:tc>
          <w:tcPr>
            <w:tcW w:w="3309" w:type="dxa"/>
            <w:shd w:val="clear" w:color="auto" w:fill="auto"/>
            <w:vAlign w:val="center"/>
          </w:tcPr>
          <w:p>
            <w:pPr>
              <w:keepNext w:val="0"/>
              <w:keepLines w:val="0"/>
              <w:suppressLineNumbers w:val="0"/>
              <w:spacing w:before="0" w:beforeAutospacing="0" w:after="0" w:afterAutospacing="0"/>
              <w:ind w:left="0" w:right="0"/>
              <w:rPr>
                <w:rFonts w:hint="eastAsia" w:ascii="宋体" w:hAnsi="宋体" w:eastAsia="宋体" w:cs="宋体"/>
                <w:kern w:val="2"/>
                <w:sz w:val="21"/>
                <w:szCs w:val="21"/>
              </w:rPr>
            </w:pPr>
            <w:r>
              <w:rPr>
                <w:rFonts w:hint="eastAsia" w:ascii="宋体" w:hAnsi="宋体" w:eastAsia="宋体" w:cs="宋体"/>
                <w:kern w:val="2"/>
                <w:sz w:val="21"/>
                <w:szCs w:val="21"/>
              </w:rPr>
              <w:t>广东省防雷设施有效合格证。</w:t>
            </w:r>
          </w:p>
        </w:tc>
        <w:tc>
          <w:tcPr>
            <w:tcW w:w="2551" w:type="dxa"/>
            <w:shd w:val="clear" w:color="auto" w:fill="auto"/>
            <w:vAlign w:val="center"/>
          </w:tcPr>
          <w:p>
            <w:pPr>
              <w:keepNext w:val="0"/>
              <w:keepLines w:val="0"/>
              <w:suppressLineNumbers w:val="0"/>
              <w:spacing w:before="0" w:beforeAutospacing="0" w:after="0" w:afterAutospacing="0"/>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w:t>
            </w:r>
            <w:r>
              <w:rPr>
                <w:rFonts w:hint="eastAsia" w:ascii="宋体" w:hAnsi="宋体" w:eastAsia="宋体" w:cs="宋体"/>
                <w:color w:val="auto"/>
                <w:kern w:val="2"/>
                <w:sz w:val="21"/>
                <w:szCs w:val="21"/>
                <w:lang w:eastAsia="zh-Hans"/>
              </w:rPr>
              <w:t>广东省防御雷电灾害管理规定</w:t>
            </w:r>
            <w:r>
              <w:rPr>
                <w:rFonts w:hint="eastAsia" w:ascii="宋体" w:hAnsi="宋体" w:eastAsia="宋体" w:cs="宋体"/>
                <w:color w:val="auto"/>
                <w:kern w:val="2"/>
                <w:sz w:val="21"/>
                <w:szCs w:val="21"/>
              </w:rPr>
              <w:t>》（粤府[1999]21号）</w:t>
            </w:r>
            <w:r>
              <w:rPr>
                <w:rFonts w:hint="eastAsia" w:ascii="宋体" w:hAnsi="宋体" w:eastAsia="宋体" w:cs="宋体"/>
                <w:color w:val="auto"/>
                <w:kern w:val="2"/>
                <w:sz w:val="21"/>
                <w:szCs w:val="21"/>
                <w:lang w:eastAsia="zh-Hans"/>
              </w:rPr>
              <w:t>第十条</w:t>
            </w:r>
          </w:p>
        </w:tc>
        <w:tc>
          <w:tcPr>
            <w:tcW w:w="1985" w:type="dxa"/>
            <w:shd w:val="clear" w:color="auto" w:fill="auto"/>
            <w:vAlign w:val="center"/>
          </w:tcPr>
          <w:p>
            <w:pPr>
              <w:keepNext w:val="0"/>
              <w:keepLines w:val="0"/>
              <w:suppressLineNumbers w:val="0"/>
              <w:spacing w:before="0" w:beforeAutospacing="0" w:after="0" w:afterAutospacing="0"/>
              <w:ind w:left="0" w:right="0"/>
              <w:rPr>
                <w:rFonts w:hint="eastAsia" w:ascii="宋体" w:hAnsi="宋体" w:eastAsia="宋体" w:cs="宋体"/>
                <w:color w:val="auto"/>
                <w:kern w:val="2"/>
                <w:sz w:val="21"/>
                <w:szCs w:val="21"/>
                <w:lang w:eastAsia="zh-CN"/>
              </w:rPr>
            </w:pPr>
            <w:r>
              <w:rPr>
                <w:rFonts w:hint="eastAsia" w:ascii="宋体" w:hAnsi="宋体" w:eastAsia="宋体" w:cs="宋体"/>
                <w:color w:val="auto"/>
                <w:kern w:val="2"/>
                <w:sz w:val="21"/>
                <w:szCs w:val="21"/>
                <w:lang w:eastAsia="zh-CN"/>
              </w:rPr>
              <w:t>已安排重新检测，相关手续同步办理中。</w:t>
            </w:r>
          </w:p>
        </w:tc>
        <w:tc>
          <w:tcPr>
            <w:tcW w:w="838" w:type="dxa"/>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2" w:hRule="atLeast"/>
          <w:jc w:val="center"/>
        </w:trPr>
        <w:tc>
          <w:tcPr>
            <w:tcW w:w="427" w:type="dxa"/>
            <w:shd w:val="clear" w:color="auto" w:fill="auto"/>
            <w:vAlign w:val="center"/>
          </w:tcPr>
          <w:p>
            <w:pPr>
              <w:keepNext w:val="0"/>
              <w:keepLines w:val="0"/>
              <w:suppressLineNumbers w:val="0"/>
              <w:spacing w:before="0" w:beforeAutospacing="0" w:after="0" w:afterAutospacing="0"/>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4</w:t>
            </w:r>
          </w:p>
        </w:tc>
        <w:tc>
          <w:tcPr>
            <w:tcW w:w="3309" w:type="dxa"/>
            <w:shd w:val="clear" w:color="auto" w:fill="auto"/>
            <w:vAlign w:val="center"/>
          </w:tcPr>
          <w:p>
            <w:pPr>
              <w:keepNext w:val="0"/>
              <w:keepLines w:val="0"/>
              <w:suppressLineNumbers w:val="0"/>
              <w:adjustRightInd w:val="0"/>
              <w:snapToGrid w:val="0"/>
              <w:spacing w:before="0" w:beforeAutospacing="0" w:after="0" w:afterAutospacing="0" w:line="44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生产、储存、办公场所产权证明或租赁合同。</w:t>
            </w:r>
          </w:p>
        </w:tc>
        <w:tc>
          <w:tcPr>
            <w:tcW w:w="2551" w:type="dxa"/>
            <w:shd w:val="clear" w:color="auto" w:fill="auto"/>
            <w:vAlign w:val="center"/>
          </w:tcPr>
          <w:p>
            <w:pPr>
              <w:keepNext w:val="0"/>
              <w:keepLines w:val="0"/>
              <w:suppressLineNumbers w:val="0"/>
              <w:adjustRightInd w:val="0"/>
              <w:snapToGrid w:val="0"/>
              <w:spacing w:before="0" w:beforeAutospacing="0" w:after="0" w:afterAutospacing="0"/>
              <w:ind w:left="0" w:right="0"/>
              <w:rPr>
                <w:rFonts w:hint="eastAsia" w:ascii="宋体" w:hAnsi="宋体" w:eastAsia="宋体" w:cs="宋体"/>
                <w:kern w:val="2"/>
                <w:sz w:val="21"/>
                <w:szCs w:val="21"/>
              </w:rPr>
            </w:pPr>
            <w:r>
              <w:rPr>
                <w:rFonts w:hint="eastAsia" w:ascii="宋体" w:hAnsi="宋体" w:eastAsia="宋体" w:cs="宋体"/>
                <w:kern w:val="2"/>
                <w:sz w:val="21"/>
                <w:szCs w:val="21"/>
              </w:rPr>
              <w:t>《危险化学品安全管理条例》（国务院第591号）</w:t>
            </w:r>
          </w:p>
        </w:tc>
        <w:tc>
          <w:tcPr>
            <w:tcW w:w="1985" w:type="dxa"/>
            <w:shd w:val="clear" w:color="auto" w:fill="auto"/>
            <w:vAlign w:val="center"/>
          </w:tcPr>
          <w:p>
            <w:pPr>
              <w:keepNext w:val="0"/>
              <w:keepLines w:val="0"/>
              <w:suppressLineNumbers w:val="0"/>
              <w:adjustRightInd w:val="0"/>
              <w:snapToGrid w:val="0"/>
              <w:spacing w:before="0" w:beforeAutospacing="0" w:after="0" w:afterAutospacing="0"/>
              <w:ind w:left="20" w:right="0"/>
              <w:rPr>
                <w:rFonts w:hint="eastAsia" w:ascii="宋体" w:hAnsi="宋体" w:eastAsia="宋体" w:cs="宋体"/>
                <w:kern w:val="2"/>
                <w:sz w:val="21"/>
                <w:szCs w:val="21"/>
              </w:rPr>
            </w:pPr>
            <w:r>
              <w:rPr>
                <w:rFonts w:hint="eastAsia" w:ascii="宋体" w:hAnsi="宋体" w:eastAsia="宋体" w:cs="宋体"/>
                <w:kern w:val="2"/>
                <w:sz w:val="21"/>
                <w:szCs w:val="21"/>
              </w:rPr>
              <w:t>有</w:t>
            </w:r>
            <w:r>
              <w:rPr>
                <w:rFonts w:hint="eastAsia" w:ascii="宋体" w:hAnsi="宋体" w:eastAsia="宋体" w:cs="宋体"/>
                <w:kern w:val="2"/>
                <w:sz w:val="21"/>
                <w:szCs w:val="21"/>
                <w:lang w:eastAsia="zh-CN"/>
              </w:rPr>
              <w:t>经营场所产权证明书等</w:t>
            </w:r>
            <w:r>
              <w:rPr>
                <w:rFonts w:hint="eastAsia" w:ascii="宋体" w:hAnsi="宋体" w:eastAsia="宋体" w:cs="宋体"/>
                <w:kern w:val="2"/>
                <w:sz w:val="21"/>
                <w:szCs w:val="21"/>
              </w:rPr>
              <w:t>。</w:t>
            </w:r>
          </w:p>
        </w:tc>
        <w:tc>
          <w:tcPr>
            <w:tcW w:w="838" w:type="dxa"/>
            <w:shd w:val="clear" w:color="auto" w:fill="auto"/>
            <w:vAlign w:val="center"/>
          </w:tcPr>
          <w:p>
            <w:pPr>
              <w:keepNext w:val="0"/>
              <w:keepLines w:val="0"/>
              <w:suppressLineNumbers w:val="0"/>
              <w:adjustRightInd w:val="0"/>
              <w:snapToGrid w:val="0"/>
              <w:spacing w:before="0" w:beforeAutospacing="0" w:after="0" w:afterAutospacing="0" w:line="44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符合要求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7" w:hRule="atLeast"/>
          <w:jc w:val="center"/>
        </w:trPr>
        <w:tc>
          <w:tcPr>
            <w:tcW w:w="9110"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80" w:lineRule="exact"/>
              <w:ind w:left="0" w:right="0"/>
              <w:jc w:val="center"/>
              <w:rPr>
                <w:rFonts w:hint="eastAsia" w:ascii="宋体" w:hAnsi="宋体" w:eastAsia="宋体" w:cs="宋体"/>
                <w:b/>
                <w:kern w:val="2"/>
                <w:sz w:val="21"/>
                <w:szCs w:val="21"/>
              </w:rPr>
            </w:pPr>
            <w:r>
              <w:rPr>
                <w:rFonts w:hint="eastAsia" w:ascii="宋体" w:hAnsi="宋体" w:eastAsia="宋体" w:cs="宋体"/>
                <w:b/>
                <w:kern w:val="2"/>
                <w:sz w:val="21"/>
                <w:szCs w:val="21"/>
              </w:rPr>
              <w:t>安全管理组织机构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jc w:val="center"/>
        </w:trPr>
        <w:tc>
          <w:tcPr>
            <w:tcW w:w="427" w:type="dxa"/>
            <w:tcBorders>
              <w:top w:val="single" w:color="auto" w:sz="4" w:space="0"/>
              <w:left w:val="single" w:color="auto" w:sz="4" w:space="0"/>
              <w:bottom w:val="single" w:color="auto" w:sz="4" w:space="0"/>
              <w:right w:val="single" w:color="auto" w:sz="4" w:space="0"/>
            </w:tcBorders>
            <w:vAlign w:val="center"/>
          </w:tcPr>
          <w:p>
            <w:pPr>
              <w:keepNext w:val="0"/>
              <w:keepLines w:val="0"/>
              <w:numPr>
                <w:ilvl w:val="0"/>
                <w:numId w:val="12"/>
              </w:numPr>
              <w:suppressLineNumbers w:val="0"/>
              <w:spacing w:before="0" w:beforeAutospacing="0" w:after="0" w:afterAutospacing="0" w:line="280" w:lineRule="exact"/>
              <w:ind w:right="0"/>
              <w:jc w:val="center"/>
              <w:rPr>
                <w:rFonts w:hint="eastAsia" w:ascii="宋体" w:hAnsi="宋体" w:eastAsia="宋体" w:cs="宋体"/>
                <w:kern w:val="2"/>
                <w:sz w:val="21"/>
                <w:szCs w:val="21"/>
              </w:rPr>
            </w:pPr>
          </w:p>
        </w:tc>
        <w:tc>
          <w:tcPr>
            <w:tcW w:w="3309"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矿山、金属冶炼、建筑施工、道路运输单位和危险物品的生产、经营、储存单位，应当设置安全生产管理机构或者配备专职安全生产管理人员。前款规定以外的其他生产经营单位，从业人员超过一百人的，应当设置安全生产管理机构或者配备专职安全生产管理人员；从业人员在一百人以下的，应当配备专职或者兼职的安全生产管理人员。</w:t>
            </w:r>
          </w:p>
        </w:tc>
        <w:tc>
          <w:tcPr>
            <w:tcW w:w="25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《中华人民共和国安全生产法（2014年修订）》（中华人民共和国主席令第13号）第二十一条</w:t>
            </w:r>
          </w:p>
        </w:tc>
        <w:tc>
          <w:tcPr>
            <w:tcW w:w="19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该加油站成立了安全领导小组，配备了安全管理人员。</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8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符合要求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jc w:val="center"/>
        </w:trPr>
        <w:tc>
          <w:tcPr>
            <w:tcW w:w="9110"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80" w:lineRule="exact"/>
              <w:ind w:left="0" w:right="0"/>
              <w:jc w:val="center"/>
              <w:rPr>
                <w:rFonts w:hint="eastAsia" w:ascii="宋体" w:hAnsi="宋体" w:eastAsia="宋体" w:cs="宋体"/>
                <w:kern w:val="2"/>
                <w:sz w:val="21"/>
                <w:szCs w:val="21"/>
              </w:rPr>
            </w:pPr>
            <w:r>
              <w:rPr>
                <w:rFonts w:hint="eastAsia" w:ascii="宋体" w:hAnsi="宋体" w:eastAsia="宋体" w:cs="宋体"/>
                <w:b/>
                <w:bCs/>
                <w:kern w:val="2"/>
                <w:sz w:val="21"/>
                <w:szCs w:val="21"/>
              </w:rPr>
              <w:t>安全规章管理制度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jc w:val="center"/>
        </w:trPr>
        <w:tc>
          <w:tcPr>
            <w:tcW w:w="4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8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1</w:t>
            </w:r>
          </w:p>
        </w:tc>
        <w:tc>
          <w:tcPr>
            <w:tcW w:w="3309"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生产经营单位必须遵守本法和其他有关安全生产的法律、法规，加强安全生产管理，建立、健全安全生产责任制和安全生产规章制度，改善安全生产条件，推进安全生产标准化建设，提高安全生产水平，确保安全生产。</w:t>
            </w:r>
          </w:p>
        </w:tc>
        <w:tc>
          <w:tcPr>
            <w:tcW w:w="2551"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p>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p>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《中华人民共和国安全生产法（2014年修订）》（中华人民共和国主席令第13号）第四条</w:t>
            </w:r>
          </w:p>
        </w:tc>
        <w:tc>
          <w:tcPr>
            <w:tcW w:w="19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该加油站制定了各级人员的安全责任制度及安全生产规章制度。</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8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符合要求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jc w:val="center"/>
        </w:trPr>
        <w:tc>
          <w:tcPr>
            <w:tcW w:w="4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8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2</w:t>
            </w:r>
          </w:p>
        </w:tc>
        <w:tc>
          <w:tcPr>
            <w:tcW w:w="3309"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生产经营单位的主要负责人对本单位的安全生产工作全面负责。</w:t>
            </w:r>
          </w:p>
        </w:tc>
        <w:tc>
          <w:tcPr>
            <w:tcW w:w="2551"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《中华人民共和国安全生产法（2014年修订）》（中华人民共和国主席令第13号）第五条</w:t>
            </w:r>
          </w:p>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p>
        </w:tc>
        <w:tc>
          <w:tcPr>
            <w:tcW w:w="19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根据加油站制定的安全责任制，加油站主要负责人对本站的安全经营全面负责。</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8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符合要求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jc w:val="center"/>
        </w:trPr>
        <w:tc>
          <w:tcPr>
            <w:tcW w:w="4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8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3</w:t>
            </w:r>
          </w:p>
        </w:tc>
        <w:tc>
          <w:tcPr>
            <w:tcW w:w="33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从事危险化学品经营的单位应当有健全的安全生产规章制度和岗位操作规程。其中安全生产规章制度，是指全员安全生产责任制度、危险化学品购销管理制度、危险化学品安全管理制度（包括防火、防爆、防中毒、防泄漏管理等内容）、安全投入保障制度、安全生产奖惩制度、安全生产教育培训制度、隐患排查治理制度、安全风险管理制度、应急管理制度、事故管理制度、职业卫生管理制度等。</w:t>
            </w:r>
          </w:p>
        </w:tc>
        <w:tc>
          <w:tcPr>
            <w:tcW w:w="25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《危险化学品经营许可证管理办法》（2012年7月17日国家安全监管总局令第55号公布 根据2015年5月27日国家安全监管总局令第79号修正）第六条第三款</w:t>
            </w:r>
          </w:p>
        </w:tc>
        <w:tc>
          <w:tcPr>
            <w:tcW w:w="19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加油站已按相关规定，制定了相应的安全管理制度及操作规程。</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8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符合要求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jc w:val="center"/>
        </w:trPr>
        <w:tc>
          <w:tcPr>
            <w:tcW w:w="4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8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4</w:t>
            </w:r>
          </w:p>
        </w:tc>
        <w:tc>
          <w:tcPr>
            <w:tcW w:w="33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生产经营单位应当按照安全生产法和有关法律、行政法规和本规定，建立健全安全培训工作制度。</w:t>
            </w:r>
          </w:p>
        </w:tc>
        <w:tc>
          <w:tcPr>
            <w:tcW w:w="25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《生产经营单位安全培训规定》（国家安监总局令第3号）第三条及《国家安全监管总局关于修改〈生产经营单位安全培训规定〉等11件规章的决定》（国家安全生产监督管理总局令第63号）</w:t>
            </w:r>
          </w:p>
        </w:tc>
        <w:tc>
          <w:tcPr>
            <w:tcW w:w="19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该加油站制定了安全教育培训制度。</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8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符合要求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jc w:val="center"/>
        </w:trPr>
        <w:tc>
          <w:tcPr>
            <w:tcW w:w="4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8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5</w:t>
            </w:r>
          </w:p>
        </w:tc>
        <w:tc>
          <w:tcPr>
            <w:tcW w:w="33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生产经营单位应当建立健全生产安全事故隐患排查治理制度，采取技术、管理措施，及时发现并消除事故隐患。事故隐患排查治理情况应当如实记录，并向从业人员通报。</w:t>
            </w:r>
          </w:p>
        </w:tc>
        <w:tc>
          <w:tcPr>
            <w:tcW w:w="25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《中华人民共和国安全生产法（2014年修订）》（中华人民共和国主席令第13号）第三十八条</w:t>
            </w:r>
          </w:p>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p>
        </w:tc>
        <w:tc>
          <w:tcPr>
            <w:tcW w:w="19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该加油站制定的管理制度中包含了隐患排查治理内容。</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8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符合要求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jc w:val="center"/>
        </w:trPr>
        <w:tc>
          <w:tcPr>
            <w:tcW w:w="9110"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spacing w:val="8"/>
                <w:kern w:val="2"/>
                <w:sz w:val="21"/>
                <w:szCs w:val="21"/>
              </w:rPr>
            </w:pPr>
            <w:r>
              <w:rPr>
                <w:rFonts w:hint="eastAsia" w:ascii="宋体" w:hAnsi="宋体" w:eastAsia="宋体" w:cs="宋体"/>
                <w:b/>
                <w:bCs/>
                <w:spacing w:val="8"/>
                <w:kern w:val="2"/>
                <w:sz w:val="21"/>
                <w:szCs w:val="21"/>
              </w:rPr>
              <w:t>安全教育培训及人员持证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jc w:val="center"/>
        </w:trPr>
        <w:tc>
          <w:tcPr>
            <w:tcW w:w="427" w:type="dxa"/>
            <w:tcBorders>
              <w:top w:val="single" w:color="auto" w:sz="4" w:space="0"/>
              <w:left w:val="single" w:color="auto" w:sz="4" w:space="0"/>
              <w:bottom w:val="single" w:color="auto" w:sz="4" w:space="0"/>
              <w:right w:val="single" w:color="auto" w:sz="4" w:space="0"/>
            </w:tcBorders>
            <w:vAlign w:val="center"/>
          </w:tcPr>
          <w:p>
            <w:pPr>
              <w:keepNext w:val="0"/>
              <w:keepLines w:val="0"/>
              <w:numPr>
                <w:ilvl w:val="0"/>
                <w:numId w:val="13"/>
              </w:numPr>
              <w:suppressLineNumbers w:val="0"/>
              <w:spacing w:before="0" w:beforeAutospacing="0" w:after="0" w:afterAutospacing="0" w:line="280" w:lineRule="exact"/>
              <w:ind w:left="0" w:right="0"/>
              <w:jc w:val="center"/>
              <w:rPr>
                <w:rFonts w:hint="eastAsia" w:ascii="宋体" w:hAnsi="宋体" w:eastAsia="宋体" w:cs="宋体"/>
                <w:kern w:val="2"/>
                <w:sz w:val="21"/>
                <w:szCs w:val="21"/>
              </w:rPr>
            </w:pPr>
          </w:p>
        </w:tc>
        <w:tc>
          <w:tcPr>
            <w:tcW w:w="33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从事危险化学品经营的单位（以下统称申请人）的企业主要负责人和安全生产管理人员具备与本企业危险化学品经营活动相适应的安全生产知识和管理能力，经专门的安全生产培训和安全生产监督管理部门考核合格，取得相应安全资格证书；特种作业人员经专门的安全作业培训，取得特种作业操作证书；其他从业人员依照有关规定经安全生产教育和专业技术培训合格。</w:t>
            </w:r>
          </w:p>
        </w:tc>
        <w:tc>
          <w:tcPr>
            <w:tcW w:w="25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《危险化学品经营许可证管理办法》（2012年7月17日国家安全监管总局令第55号公布 根据2015年5月27日国家安全监管总局令第79号修正）第六条第二款</w:t>
            </w:r>
          </w:p>
        </w:tc>
        <w:tc>
          <w:tcPr>
            <w:tcW w:w="19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both"/>
              <w:rPr>
                <w:rFonts w:hint="eastAsia" w:ascii="宋体" w:hAnsi="宋体" w:eastAsia="宋体" w:cs="宋体"/>
                <w:kern w:val="2"/>
                <w:sz w:val="21"/>
                <w:szCs w:val="21"/>
              </w:rPr>
            </w:pPr>
            <w:r>
              <w:rPr>
                <w:rFonts w:hint="eastAsia" w:ascii="宋体" w:hAnsi="宋体" w:eastAsia="宋体" w:cs="宋体"/>
                <w:kern w:val="2"/>
                <w:sz w:val="21"/>
                <w:szCs w:val="21"/>
              </w:rPr>
              <w:t>加油站</w:t>
            </w:r>
            <w:r>
              <w:rPr>
                <w:rFonts w:hint="eastAsia" w:ascii="宋体" w:hAnsi="宋体" w:eastAsia="宋体" w:cs="宋体"/>
                <w:kern w:val="2"/>
                <w:sz w:val="21"/>
                <w:szCs w:val="21"/>
                <w:lang w:eastAsia="zh-CN"/>
              </w:rPr>
              <w:t>主要</w:t>
            </w:r>
            <w:r>
              <w:rPr>
                <w:rFonts w:hint="eastAsia" w:ascii="宋体" w:hAnsi="宋体" w:eastAsia="宋体" w:cs="宋体"/>
                <w:kern w:val="2"/>
                <w:sz w:val="21"/>
                <w:szCs w:val="21"/>
              </w:rPr>
              <w:t>负责人、安全管理人员均已取得相应资质证。</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8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符合要求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jc w:val="center"/>
        </w:trPr>
        <w:tc>
          <w:tcPr>
            <w:tcW w:w="427" w:type="dxa"/>
            <w:tcBorders>
              <w:top w:val="single" w:color="auto" w:sz="4" w:space="0"/>
              <w:left w:val="single" w:color="auto" w:sz="4" w:space="0"/>
              <w:bottom w:val="single" w:color="auto" w:sz="4" w:space="0"/>
              <w:right w:val="single" w:color="auto" w:sz="4" w:space="0"/>
            </w:tcBorders>
            <w:vAlign w:val="center"/>
          </w:tcPr>
          <w:p>
            <w:pPr>
              <w:keepNext w:val="0"/>
              <w:keepLines w:val="0"/>
              <w:numPr>
                <w:ilvl w:val="0"/>
                <w:numId w:val="13"/>
              </w:numPr>
              <w:suppressLineNumbers w:val="0"/>
              <w:spacing w:before="0" w:beforeAutospacing="0" w:after="0" w:afterAutospacing="0" w:line="280" w:lineRule="exact"/>
              <w:ind w:left="0" w:right="0"/>
              <w:jc w:val="center"/>
              <w:rPr>
                <w:rFonts w:hint="eastAsia" w:ascii="宋体" w:hAnsi="宋体" w:eastAsia="宋体" w:cs="宋体"/>
                <w:kern w:val="2"/>
                <w:sz w:val="21"/>
                <w:szCs w:val="21"/>
              </w:rPr>
            </w:pPr>
          </w:p>
        </w:tc>
        <w:tc>
          <w:tcPr>
            <w:tcW w:w="33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条生产经营单位应当对从业人员进行安全生产教育和培训，保证从业人员具备必要的安全生产知识，熟悉有关的安全生产规章制度和安全操作规程，掌握本岗位的安全操作技能，了解事故应急处理措施，知悉自身在安全生产方面的权利和义务。未经安全生产教育和培训合格的从业人员，不得上岗作业。</w:t>
            </w:r>
          </w:p>
        </w:tc>
        <w:tc>
          <w:tcPr>
            <w:tcW w:w="25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《中华人民共和国安全生产法（2014年修订）》（中华人民共和国主席令第13号）第二十五条</w:t>
            </w:r>
          </w:p>
        </w:tc>
        <w:tc>
          <w:tcPr>
            <w:tcW w:w="19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该加油站对站内作业人员进行安全教育和培训合格后上岗。</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8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符合要求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1" w:hRule="atLeast"/>
          <w:jc w:val="center"/>
        </w:trPr>
        <w:tc>
          <w:tcPr>
            <w:tcW w:w="9110"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80" w:lineRule="exact"/>
              <w:ind w:left="0" w:right="0"/>
              <w:jc w:val="center"/>
              <w:rPr>
                <w:rFonts w:hint="eastAsia" w:ascii="宋体" w:hAnsi="宋体" w:eastAsia="宋体" w:cs="宋体"/>
                <w:kern w:val="2"/>
                <w:sz w:val="21"/>
                <w:szCs w:val="21"/>
              </w:rPr>
            </w:pPr>
            <w:r>
              <w:rPr>
                <w:rFonts w:hint="eastAsia" w:ascii="宋体" w:hAnsi="宋体" w:eastAsia="宋体" w:cs="宋体"/>
                <w:b/>
                <w:bCs/>
                <w:kern w:val="2"/>
                <w:sz w:val="21"/>
                <w:szCs w:val="21"/>
              </w:rPr>
              <w:t>事故应急救援管理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jc w:val="center"/>
        </w:trPr>
        <w:tc>
          <w:tcPr>
            <w:tcW w:w="427" w:type="dxa"/>
            <w:tcBorders>
              <w:top w:val="single" w:color="auto" w:sz="4" w:space="0"/>
              <w:left w:val="single" w:color="auto" w:sz="4" w:space="0"/>
              <w:bottom w:val="single" w:color="auto" w:sz="4" w:space="0"/>
              <w:right w:val="single" w:color="auto" w:sz="4" w:space="0"/>
            </w:tcBorders>
            <w:vAlign w:val="center"/>
          </w:tcPr>
          <w:p>
            <w:pPr>
              <w:keepNext w:val="0"/>
              <w:keepLines w:val="0"/>
              <w:numPr>
                <w:ilvl w:val="0"/>
                <w:numId w:val="14"/>
              </w:numPr>
              <w:suppressLineNumbers w:val="0"/>
              <w:spacing w:before="0" w:beforeAutospacing="0" w:after="0" w:afterAutospacing="0" w:line="280" w:lineRule="exact"/>
              <w:ind w:right="0"/>
              <w:jc w:val="center"/>
              <w:rPr>
                <w:rFonts w:hint="eastAsia" w:ascii="宋体" w:hAnsi="宋体" w:eastAsia="宋体" w:cs="宋体"/>
                <w:bCs/>
                <w:kern w:val="2"/>
                <w:sz w:val="21"/>
                <w:szCs w:val="21"/>
              </w:rPr>
            </w:pPr>
          </w:p>
        </w:tc>
        <w:tc>
          <w:tcPr>
            <w:tcW w:w="33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bCs/>
                <w:kern w:val="2"/>
                <w:sz w:val="21"/>
                <w:szCs w:val="21"/>
              </w:rPr>
            </w:pPr>
            <w:r>
              <w:rPr>
                <w:rFonts w:hint="eastAsia" w:ascii="宋体" w:hAnsi="宋体" w:eastAsia="宋体" w:cs="宋体"/>
                <w:bCs/>
                <w:kern w:val="2"/>
                <w:sz w:val="21"/>
                <w:szCs w:val="21"/>
              </w:rPr>
              <w:t xml:space="preserve"> 生产经营单位应当制定本单位生产安全事故应急救援预案，与所在地县级以上地方人民政府组织制定的生产安全事故应急救援预案相衔接，并定期组织演练。</w:t>
            </w:r>
          </w:p>
        </w:tc>
        <w:tc>
          <w:tcPr>
            <w:tcW w:w="25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bCs/>
                <w:kern w:val="2"/>
                <w:sz w:val="21"/>
                <w:szCs w:val="21"/>
              </w:rPr>
            </w:pPr>
            <w:r>
              <w:rPr>
                <w:rFonts w:hint="eastAsia" w:ascii="宋体" w:hAnsi="宋体" w:eastAsia="宋体" w:cs="宋体"/>
                <w:bCs/>
                <w:kern w:val="2"/>
                <w:sz w:val="21"/>
                <w:szCs w:val="21"/>
              </w:rPr>
              <w:t>《中华人民共和国安全生产法（2014年修订）》（中华人民共和国主席令第13号）第七十八条</w:t>
            </w:r>
          </w:p>
        </w:tc>
        <w:tc>
          <w:tcPr>
            <w:tcW w:w="19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both"/>
              <w:rPr>
                <w:rFonts w:hint="eastAsia" w:ascii="宋体" w:hAnsi="宋体" w:eastAsia="宋体" w:cs="宋体"/>
                <w:bCs/>
                <w:color w:val="auto"/>
                <w:kern w:val="2"/>
                <w:sz w:val="21"/>
                <w:szCs w:val="21"/>
              </w:rPr>
            </w:pPr>
            <w:r>
              <w:rPr>
                <w:rFonts w:hint="eastAsia" w:ascii="宋体" w:hAnsi="宋体" w:eastAsia="宋体" w:cs="宋体"/>
                <w:bCs/>
                <w:color w:val="auto"/>
                <w:kern w:val="2"/>
                <w:sz w:val="21"/>
                <w:szCs w:val="21"/>
              </w:rPr>
              <w:t>该加油站</w:t>
            </w:r>
            <w:r>
              <w:rPr>
                <w:rFonts w:hint="eastAsia" w:ascii="宋体" w:hAnsi="宋体" w:eastAsia="宋体" w:cs="宋体"/>
                <w:bCs/>
                <w:color w:val="auto"/>
                <w:kern w:val="2"/>
                <w:sz w:val="21"/>
                <w:szCs w:val="21"/>
                <w:lang w:eastAsia="zh-CN"/>
              </w:rPr>
              <w:t>改建前</w:t>
            </w:r>
            <w:r>
              <w:rPr>
                <w:rFonts w:hint="eastAsia" w:ascii="宋体" w:hAnsi="宋体" w:eastAsia="宋体" w:cs="宋体"/>
                <w:bCs/>
                <w:color w:val="auto"/>
                <w:kern w:val="2"/>
                <w:sz w:val="21"/>
                <w:szCs w:val="21"/>
              </w:rPr>
              <w:t>编制了事故应急预案，并进行了演练。</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8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符合要求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jc w:val="center"/>
        </w:trPr>
        <w:tc>
          <w:tcPr>
            <w:tcW w:w="427" w:type="dxa"/>
            <w:tcBorders>
              <w:top w:val="single" w:color="auto" w:sz="4" w:space="0"/>
              <w:left w:val="single" w:color="auto" w:sz="4" w:space="0"/>
              <w:bottom w:val="single" w:color="auto" w:sz="4" w:space="0"/>
              <w:right w:val="single" w:color="auto" w:sz="4" w:space="0"/>
            </w:tcBorders>
            <w:vAlign w:val="center"/>
          </w:tcPr>
          <w:p>
            <w:pPr>
              <w:keepNext w:val="0"/>
              <w:keepLines w:val="0"/>
              <w:numPr>
                <w:ilvl w:val="0"/>
                <w:numId w:val="14"/>
              </w:numPr>
              <w:suppressLineNumbers w:val="0"/>
              <w:spacing w:before="0" w:beforeAutospacing="0" w:after="0" w:afterAutospacing="0" w:line="280" w:lineRule="exact"/>
              <w:ind w:right="0"/>
              <w:jc w:val="center"/>
              <w:rPr>
                <w:rFonts w:hint="eastAsia" w:ascii="宋体" w:hAnsi="宋体" w:eastAsia="宋体" w:cs="宋体"/>
                <w:bCs/>
                <w:kern w:val="2"/>
                <w:sz w:val="21"/>
                <w:szCs w:val="21"/>
              </w:rPr>
            </w:pPr>
          </w:p>
        </w:tc>
        <w:tc>
          <w:tcPr>
            <w:tcW w:w="33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bCs/>
                <w:kern w:val="2"/>
                <w:sz w:val="21"/>
                <w:szCs w:val="21"/>
              </w:rPr>
            </w:pPr>
            <w:r>
              <w:rPr>
                <w:rFonts w:hint="eastAsia" w:ascii="宋体" w:hAnsi="宋体" w:eastAsia="宋体" w:cs="宋体"/>
                <w:bCs/>
                <w:kern w:val="2"/>
                <w:sz w:val="21"/>
                <w:szCs w:val="21"/>
              </w:rPr>
              <w:t>危险物品的生产、经营、储存单位以及矿山、金属冶炼、城市轨道交通运营、建筑施工单位应当建立应急救援组织；生产经营规模较小的，可以不建立应急救援组织，但应当指定兼职的应急救援人员。</w:t>
            </w:r>
          </w:p>
          <w:p>
            <w:pPr>
              <w:keepNext w:val="0"/>
              <w:keepLines w:val="0"/>
              <w:suppressLineNumbers w:val="0"/>
              <w:spacing w:before="0" w:beforeAutospacing="0" w:after="0" w:afterAutospacing="0" w:line="300" w:lineRule="exact"/>
              <w:ind w:left="0" w:right="0"/>
              <w:rPr>
                <w:rFonts w:hint="eastAsia" w:ascii="宋体" w:hAnsi="宋体" w:eastAsia="宋体" w:cs="宋体"/>
                <w:bCs/>
                <w:kern w:val="2"/>
                <w:sz w:val="21"/>
                <w:szCs w:val="21"/>
              </w:rPr>
            </w:pPr>
            <w:r>
              <w:rPr>
                <w:rFonts w:hint="eastAsia" w:ascii="宋体" w:hAnsi="宋体" w:eastAsia="宋体" w:cs="宋体"/>
                <w:bCs/>
                <w:kern w:val="2"/>
                <w:sz w:val="21"/>
                <w:szCs w:val="21"/>
              </w:rPr>
              <w:t>危险物品的生产、经营、储存、运输单位以及矿山、金属冶炼、城市轨道交通运营、建筑施工单位应当配备必要的应急救援器材、设备和物资，并进行经常性维护、保养，保证正常运转。</w:t>
            </w:r>
          </w:p>
        </w:tc>
        <w:tc>
          <w:tcPr>
            <w:tcW w:w="25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bCs/>
                <w:kern w:val="2"/>
                <w:sz w:val="21"/>
                <w:szCs w:val="21"/>
              </w:rPr>
            </w:pPr>
            <w:r>
              <w:rPr>
                <w:rFonts w:hint="eastAsia" w:ascii="宋体" w:hAnsi="宋体" w:eastAsia="宋体" w:cs="宋体"/>
                <w:bCs/>
                <w:kern w:val="2"/>
                <w:sz w:val="21"/>
                <w:szCs w:val="21"/>
              </w:rPr>
              <w:t>《中华人民共和国安全生产法（2014年修订）》（中华人民共和国主席令第13号）第七十九条</w:t>
            </w:r>
          </w:p>
          <w:p>
            <w:pPr>
              <w:keepNext w:val="0"/>
              <w:keepLines w:val="0"/>
              <w:suppressLineNumbers w:val="0"/>
              <w:spacing w:before="0" w:beforeAutospacing="0" w:after="0" w:afterAutospacing="0" w:line="300" w:lineRule="exact"/>
              <w:ind w:left="0" w:right="0"/>
              <w:rPr>
                <w:rFonts w:hint="eastAsia" w:ascii="宋体" w:hAnsi="宋体" w:eastAsia="宋体" w:cs="宋体"/>
                <w:bCs/>
                <w:kern w:val="2"/>
                <w:sz w:val="21"/>
                <w:szCs w:val="21"/>
              </w:rPr>
            </w:pPr>
          </w:p>
        </w:tc>
        <w:tc>
          <w:tcPr>
            <w:tcW w:w="19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bCs/>
                <w:kern w:val="2"/>
                <w:sz w:val="21"/>
                <w:szCs w:val="21"/>
              </w:rPr>
            </w:pPr>
            <w:r>
              <w:rPr>
                <w:rFonts w:hint="eastAsia" w:ascii="宋体" w:hAnsi="宋体" w:eastAsia="宋体" w:cs="宋体"/>
                <w:bCs/>
                <w:kern w:val="2"/>
                <w:sz w:val="21"/>
                <w:szCs w:val="21"/>
              </w:rPr>
              <w:t>根据该加油站编制的事故应急预案内容，站内成立了应急救援组织。</w:t>
            </w:r>
          </w:p>
          <w:p>
            <w:pPr>
              <w:keepNext w:val="0"/>
              <w:keepLines w:val="0"/>
              <w:suppressLineNumbers w:val="0"/>
              <w:spacing w:before="0" w:beforeAutospacing="0" w:after="0" w:afterAutospacing="0" w:line="300" w:lineRule="exact"/>
              <w:ind w:left="0" w:right="0"/>
              <w:rPr>
                <w:rFonts w:hint="eastAsia" w:ascii="宋体" w:hAnsi="宋体" w:eastAsia="宋体" w:cs="宋体"/>
                <w:bCs/>
                <w:kern w:val="2"/>
                <w:sz w:val="21"/>
                <w:szCs w:val="21"/>
              </w:rPr>
            </w:pPr>
            <w:r>
              <w:rPr>
                <w:rFonts w:hint="eastAsia" w:ascii="宋体" w:hAnsi="宋体" w:eastAsia="宋体" w:cs="宋体"/>
                <w:bCs/>
                <w:kern w:val="2"/>
                <w:sz w:val="21"/>
                <w:szCs w:val="21"/>
              </w:rPr>
              <w:t>该加油站配备了相应的应急救援器材和设备，并进行日常维护和保养。</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8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符合要求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jc w:val="center"/>
        </w:trPr>
        <w:tc>
          <w:tcPr>
            <w:tcW w:w="427" w:type="dxa"/>
            <w:tcBorders>
              <w:top w:val="single" w:color="auto" w:sz="4" w:space="0"/>
              <w:left w:val="single" w:color="auto" w:sz="4" w:space="0"/>
              <w:bottom w:val="single" w:color="auto" w:sz="4" w:space="0"/>
              <w:right w:val="single" w:color="auto" w:sz="4" w:space="0"/>
            </w:tcBorders>
            <w:vAlign w:val="center"/>
          </w:tcPr>
          <w:p>
            <w:pPr>
              <w:keepNext w:val="0"/>
              <w:keepLines w:val="0"/>
              <w:numPr>
                <w:ilvl w:val="0"/>
                <w:numId w:val="14"/>
              </w:numPr>
              <w:suppressLineNumbers w:val="0"/>
              <w:spacing w:before="0" w:beforeAutospacing="0" w:after="0" w:afterAutospacing="0" w:line="280" w:lineRule="exact"/>
              <w:ind w:right="0"/>
              <w:jc w:val="center"/>
              <w:rPr>
                <w:rFonts w:hint="eastAsia" w:ascii="宋体" w:hAnsi="宋体" w:eastAsia="宋体" w:cs="宋体"/>
                <w:kern w:val="2"/>
                <w:sz w:val="21"/>
                <w:szCs w:val="21"/>
              </w:rPr>
            </w:pPr>
          </w:p>
        </w:tc>
        <w:tc>
          <w:tcPr>
            <w:tcW w:w="33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消防安全重点单位应当按照灭火和应急疏散预案，至少每半年进行一次演练，并结合实际，不断完善预案。其他单位应当结合本单位实际，参照制定相应的应急方案，至少每年组织一次演练。</w:t>
            </w:r>
          </w:p>
        </w:tc>
        <w:tc>
          <w:tcPr>
            <w:tcW w:w="25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《机关、团体、企业、事业单位消防安全管理规定》（公安部令第61号）第四十条</w:t>
            </w:r>
          </w:p>
        </w:tc>
        <w:tc>
          <w:tcPr>
            <w:tcW w:w="19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lang w:eastAsia="zh-CN"/>
              </w:rPr>
              <w:t>改建前</w:t>
            </w:r>
            <w:r>
              <w:rPr>
                <w:rFonts w:hint="eastAsia" w:ascii="宋体" w:hAnsi="宋体" w:eastAsia="宋体" w:cs="宋体"/>
                <w:color w:val="auto"/>
                <w:kern w:val="2"/>
                <w:sz w:val="21"/>
                <w:szCs w:val="21"/>
              </w:rPr>
              <w:t>该加油站根据</w:t>
            </w:r>
            <w:r>
              <w:rPr>
                <w:rFonts w:hint="eastAsia" w:ascii="宋体" w:hAnsi="宋体" w:eastAsia="宋体" w:cs="宋体"/>
                <w:color w:val="auto"/>
                <w:kern w:val="2"/>
                <w:sz w:val="21"/>
                <w:szCs w:val="21"/>
                <w:lang w:eastAsia="zh-CN"/>
              </w:rPr>
              <w:t>编制的</w:t>
            </w:r>
            <w:r>
              <w:rPr>
                <w:rFonts w:hint="eastAsia" w:ascii="宋体" w:hAnsi="宋体" w:eastAsia="宋体" w:cs="宋体"/>
                <w:color w:val="auto"/>
                <w:kern w:val="2"/>
                <w:sz w:val="21"/>
                <w:szCs w:val="21"/>
              </w:rPr>
              <w:t>应急预案内容进行了演练。</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8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符合要求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jc w:val="center"/>
        </w:trPr>
        <w:tc>
          <w:tcPr>
            <w:tcW w:w="427" w:type="dxa"/>
            <w:tcBorders>
              <w:top w:val="single" w:color="auto" w:sz="4" w:space="0"/>
              <w:left w:val="single" w:color="auto" w:sz="4" w:space="0"/>
              <w:bottom w:val="single" w:color="auto" w:sz="4" w:space="0"/>
              <w:right w:val="single" w:color="auto" w:sz="4" w:space="0"/>
            </w:tcBorders>
            <w:vAlign w:val="center"/>
          </w:tcPr>
          <w:p>
            <w:pPr>
              <w:keepNext w:val="0"/>
              <w:keepLines w:val="0"/>
              <w:numPr>
                <w:ilvl w:val="0"/>
                <w:numId w:val="14"/>
              </w:numPr>
              <w:suppressLineNumbers w:val="0"/>
              <w:spacing w:before="0" w:beforeAutospacing="0" w:after="0" w:afterAutospacing="0" w:line="280" w:lineRule="exact"/>
              <w:ind w:right="0"/>
              <w:jc w:val="center"/>
              <w:rPr>
                <w:rFonts w:hint="eastAsia" w:ascii="宋体" w:hAnsi="宋体" w:eastAsia="宋体" w:cs="宋体"/>
                <w:kern w:val="2"/>
                <w:sz w:val="21"/>
                <w:szCs w:val="21"/>
              </w:rPr>
            </w:pPr>
          </w:p>
        </w:tc>
        <w:tc>
          <w:tcPr>
            <w:tcW w:w="33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生产经营单位应急预案按企业隶属关系报送备案。中区直企业和煤矿企业的应急预案报送自治区安监部门备案；市属企业的应急预案报送市安监部门备案；其他生产经营单位的应急预案报送县安监部门备案。</w:t>
            </w:r>
          </w:p>
        </w:tc>
        <w:tc>
          <w:tcPr>
            <w:tcW w:w="25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color w:val="auto"/>
                <w:kern w:val="2"/>
                <w:sz w:val="21"/>
                <w:szCs w:val="21"/>
              </w:rPr>
            </w:pPr>
            <w:r>
              <w:rPr>
                <w:rFonts w:hint="eastAsia" w:ascii="宋体" w:hAnsi="宋体" w:eastAsia="宋体" w:cs="宋体"/>
                <w:color w:val="auto"/>
                <w:kern w:val="2"/>
                <w:sz w:val="21"/>
                <w:szCs w:val="21"/>
                <w:shd w:val="clear" w:color="auto" w:fill="auto"/>
              </w:rPr>
              <w:t>《广东省安全生产监督管理局关于〈生产安全事故应急预案管理办法〉的实施细则》（粤安监</w:t>
            </w:r>
            <w:r>
              <w:rPr>
                <w:rFonts w:hint="eastAsia" w:ascii="宋体" w:hAnsi="宋体" w:eastAsia="宋体" w:cs="宋体"/>
                <w:color w:val="auto"/>
                <w:kern w:val="2"/>
                <w:sz w:val="21"/>
                <w:szCs w:val="21"/>
                <w:shd w:val="clear" w:color="auto" w:fill="auto"/>
                <w:lang w:val="en-US"/>
              </w:rPr>
              <w:t>应急</w:t>
            </w:r>
            <w:r>
              <w:rPr>
                <w:rFonts w:hint="eastAsia" w:ascii="宋体" w:hAnsi="宋体" w:eastAsia="宋体" w:cs="宋体"/>
                <w:color w:val="auto"/>
                <w:kern w:val="2"/>
                <w:sz w:val="21"/>
                <w:szCs w:val="21"/>
                <w:shd w:val="clear" w:color="auto" w:fill="auto"/>
              </w:rPr>
              <w:t>〔201</w:t>
            </w:r>
            <w:r>
              <w:rPr>
                <w:rFonts w:hint="eastAsia" w:ascii="宋体" w:hAnsi="宋体" w:eastAsia="宋体" w:cs="宋体"/>
                <w:color w:val="auto"/>
                <w:kern w:val="2"/>
                <w:sz w:val="21"/>
                <w:szCs w:val="21"/>
                <w:shd w:val="clear" w:color="auto" w:fill="auto"/>
                <w:lang w:val="en-US"/>
              </w:rPr>
              <w:t>7</w:t>
            </w:r>
            <w:r>
              <w:rPr>
                <w:rFonts w:hint="eastAsia" w:ascii="宋体" w:hAnsi="宋体" w:eastAsia="宋体" w:cs="宋体"/>
                <w:color w:val="auto"/>
                <w:kern w:val="2"/>
                <w:sz w:val="21"/>
                <w:szCs w:val="21"/>
                <w:shd w:val="clear" w:color="auto" w:fill="auto"/>
              </w:rPr>
              <w:t>〕</w:t>
            </w:r>
            <w:r>
              <w:rPr>
                <w:rFonts w:hint="eastAsia" w:ascii="宋体" w:hAnsi="宋体" w:eastAsia="宋体" w:cs="宋体"/>
                <w:color w:val="auto"/>
                <w:kern w:val="2"/>
                <w:sz w:val="21"/>
                <w:szCs w:val="21"/>
                <w:shd w:val="clear" w:color="auto" w:fill="auto"/>
                <w:lang w:val="en-US"/>
              </w:rPr>
              <w:t>9</w:t>
            </w:r>
            <w:r>
              <w:rPr>
                <w:rFonts w:hint="eastAsia" w:ascii="宋体" w:hAnsi="宋体" w:eastAsia="宋体" w:cs="宋体"/>
                <w:color w:val="auto"/>
                <w:kern w:val="2"/>
                <w:sz w:val="21"/>
                <w:szCs w:val="21"/>
                <w:shd w:val="clear" w:color="auto" w:fill="auto"/>
              </w:rPr>
              <w:t>号）第</w:t>
            </w:r>
            <w:r>
              <w:rPr>
                <w:rFonts w:hint="eastAsia" w:ascii="宋体" w:hAnsi="宋体" w:eastAsia="宋体" w:cs="宋体"/>
                <w:color w:val="auto"/>
                <w:kern w:val="2"/>
                <w:sz w:val="21"/>
                <w:szCs w:val="21"/>
                <w:shd w:val="clear" w:color="auto" w:fill="auto"/>
                <w:lang w:val="en-US"/>
              </w:rPr>
              <w:t>28</w:t>
            </w:r>
            <w:r>
              <w:rPr>
                <w:rFonts w:hint="eastAsia" w:ascii="宋体" w:hAnsi="宋体" w:eastAsia="宋体" w:cs="宋体"/>
                <w:color w:val="auto"/>
                <w:kern w:val="2"/>
                <w:sz w:val="21"/>
                <w:szCs w:val="21"/>
                <w:shd w:val="clear" w:color="auto" w:fill="auto"/>
              </w:rPr>
              <w:t>条</w:t>
            </w:r>
          </w:p>
        </w:tc>
        <w:tc>
          <w:tcPr>
            <w:tcW w:w="19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rPr>
              <w:t>该加油站</w:t>
            </w:r>
            <w:r>
              <w:rPr>
                <w:rFonts w:hint="eastAsia" w:ascii="宋体" w:hAnsi="宋体" w:eastAsia="宋体" w:cs="宋体"/>
                <w:color w:val="auto"/>
                <w:kern w:val="2"/>
                <w:sz w:val="21"/>
                <w:szCs w:val="21"/>
                <w:lang w:eastAsia="zh-CN"/>
              </w:rPr>
              <w:t>改建前</w:t>
            </w:r>
            <w:r>
              <w:rPr>
                <w:rFonts w:hint="eastAsia" w:ascii="宋体" w:hAnsi="宋体" w:eastAsia="宋体" w:cs="宋体"/>
                <w:color w:val="auto"/>
                <w:kern w:val="2"/>
                <w:sz w:val="21"/>
                <w:szCs w:val="21"/>
              </w:rPr>
              <w:t>制定的事故应急救援预案已到</w:t>
            </w:r>
            <w:r>
              <w:rPr>
                <w:rFonts w:hint="eastAsia" w:ascii="宋体" w:hAnsi="宋体" w:eastAsia="宋体" w:cs="宋体"/>
                <w:color w:val="auto"/>
                <w:kern w:val="2"/>
                <w:sz w:val="21"/>
                <w:szCs w:val="21"/>
                <w:lang w:eastAsia="zh-CN"/>
              </w:rPr>
              <w:t>东莞市应急</w:t>
            </w:r>
            <w:r>
              <w:rPr>
                <w:rFonts w:hint="eastAsia" w:ascii="宋体" w:hAnsi="宋体" w:eastAsia="宋体" w:cs="宋体"/>
                <w:color w:val="auto"/>
                <w:kern w:val="2"/>
                <w:sz w:val="21"/>
                <w:szCs w:val="21"/>
              </w:rPr>
              <w:t>管理局进行备案</w:t>
            </w:r>
            <w:r>
              <w:rPr>
                <w:rFonts w:hint="eastAsia" w:ascii="宋体" w:hAnsi="宋体" w:eastAsia="宋体" w:cs="宋体"/>
                <w:color w:val="auto"/>
                <w:kern w:val="2"/>
                <w:sz w:val="21"/>
                <w:szCs w:val="21"/>
                <w:lang w:eastAsia="zh-CN"/>
              </w:rPr>
              <w:t>，备案号：</w:t>
            </w:r>
            <w:r>
              <w:rPr>
                <w:rFonts w:hint="eastAsia" w:ascii="宋体" w:hAnsi="宋体" w:eastAsia="宋体" w:cs="宋体"/>
                <w:color w:val="auto"/>
                <w:kern w:val="2"/>
                <w:sz w:val="21"/>
                <w:szCs w:val="21"/>
                <w:lang w:val="en-US" w:eastAsia="zh-CN"/>
              </w:rPr>
              <w:t>441900-2018-0205，改建后的应急预案备案手续正在同步办理中。</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8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符合要求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jc w:val="center"/>
        </w:trPr>
        <w:tc>
          <w:tcPr>
            <w:tcW w:w="9110"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80" w:lineRule="exact"/>
              <w:ind w:left="0" w:right="0"/>
              <w:jc w:val="center"/>
              <w:rPr>
                <w:rFonts w:hint="eastAsia" w:ascii="宋体" w:hAnsi="宋体" w:eastAsia="宋体" w:cs="宋体"/>
                <w:kern w:val="2"/>
                <w:sz w:val="21"/>
                <w:szCs w:val="21"/>
              </w:rPr>
            </w:pPr>
            <w:r>
              <w:rPr>
                <w:rFonts w:hint="eastAsia" w:ascii="宋体" w:hAnsi="宋体" w:eastAsia="宋体" w:cs="宋体"/>
                <w:b/>
                <w:bCs/>
                <w:kern w:val="2"/>
                <w:sz w:val="21"/>
                <w:szCs w:val="21"/>
              </w:rPr>
              <w:t>其他方面安全管理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jc w:val="center"/>
        </w:trPr>
        <w:tc>
          <w:tcPr>
            <w:tcW w:w="4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8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1</w:t>
            </w:r>
          </w:p>
        </w:tc>
        <w:tc>
          <w:tcPr>
            <w:tcW w:w="33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8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生产经营单位应当在有较大危险因素的生产经营场所和有关设施、设备上，设置明显的安全警示标志。</w:t>
            </w:r>
          </w:p>
        </w:tc>
        <w:tc>
          <w:tcPr>
            <w:tcW w:w="25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8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《中华人民共和国安全生产法（2014年修订）》（中华人民共和国主席令第13号）第三十二条</w:t>
            </w:r>
          </w:p>
        </w:tc>
        <w:tc>
          <w:tcPr>
            <w:tcW w:w="19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80" w:lineRule="exact"/>
              <w:ind w:left="0" w:right="0"/>
              <w:jc w:val="both"/>
              <w:rPr>
                <w:rFonts w:hint="eastAsia" w:ascii="宋体" w:hAnsi="宋体" w:eastAsia="宋体" w:cs="宋体"/>
                <w:kern w:val="2"/>
                <w:sz w:val="21"/>
                <w:szCs w:val="21"/>
              </w:rPr>
            </w:pPr>
            <w:r>
              <w:rPr>
                <w:rFonts w:hint="eastAsia" w:ascii="宋体" w:hAnsi="宋体" w:eastAsia="宋体" w:cs="宋体"/>
                <w:kern w:val="2"/>
                <w:sz w:val="21"/>
                <w:szCs w:val="21"/>
              </w:rPr>
              <w:t>该加油站在加油区、油罐区、卸油区等处设置了安全警示标识。</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8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符合要求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jc w:val="center"/>
        </w:trPr>
        <w:tc>
          <w:tcPr>
            <w:tcW w:w="4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8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2</w:t>
            </w:r>
          </w:p>
        </w:tc>
        <w:tc>
          <w:tcPr>
            <w:tcW w:w="33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8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生产经营单位必须对安全设备进行经常性维护、保养，并定期检测，保证正常运转。维护、保养、检测应当作好记录，并由有关人员签字。</w:t>
            </w:r>
          </w:p>
        </w:tc>
        <w:tc>
          <w:tcPr>
            <w:tcW w:w="25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8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《中华人民共和国安全生产法（2014年修订）》（中华人民共和国主席令第13号）第三十三条</w:t>
            </w:r>
          </w:p>
        </w:tc>
        <w:tc>
          <w:tcPr>
            <w:tcW w:w="19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8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该加油站能做到对安全设备进行经常性维护、保养。</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8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符合要求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jc w:val="center"/>
        </w:trPr>
        <w:tc>
          <w:tcPr>
            <w:tcW w:w="4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8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3</w:t>
            </w:r>
          </w:p>
        </w:tc>
        <w:tc>
          <w:tcPr>
            <w:tcW w:w="33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8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生产经营单位必须为从业人员提供符合国家标准或者行业标准的劳动防护用品，并监督、教育从业人员按照使用规则佩戴、使用。</w:t>
            </w:r>
          </w:p>
        </w:tc>
        <w:tc>
          <w:tcPr>
            <w:tcW w:w="25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8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《中华人民共和国安全生产法（2014年修订）》（中华人民共和国主席令第13号）第四十二条</w:t>
            </w:r>
          </w:p>
        </w:tc>
        <w:tc>
          <w:tcPr>
            <w:tcW w:w="19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8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该加油站为从业人员配发了相应的劳动防护用品，并进行日常监督使用。</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8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符合要求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89" w:hRule="atLeast"/>
          <w:jc w:val="center"/>
        </w:trPr>
        <w:tc>
          <w:tcPr>
            <w:tcW w:w="4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8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4</w:t>
            </w:r>
          </w:p>
        </w:tc>
        <w:tc>
          <w:tcPr>
            <w:tcW w:w="33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8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生产经营单位应当安排用于配备劳动防护用品、进行安全生产培训的经费。</w:t>
            </w:r>
          </w:p>
        </w:tc>
        <w:tc>
          <w:tcPr>
            <w:tcW w:w="2551"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line="28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《中华人民共和国安全生产法（2014年修订）》（中华人民共和国主席令第13号）第四十四条</w:t>
            </w:r>
          </w:p>
        </w:tc>
        <w:tc>
          <w:tcPr>
            <w:tcW w:w="19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8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站内安排了相应的经费投入。</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8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符合要求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jc w:val="center"/>
        </w:trPr>
        <w:tc>
          <w:tcPr>
            <w:tcW w:w="4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8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5</w:t>
            </w:r>
          </w:p>
        </w:tc>
        <w:tc>
          <w:tcPr>
            <w:tcW w:w="33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8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生产经营单位必须依法参加工伤保险，为从业人员缴纳保险费。</w:t>
            </w:r>
          </w:p>
        </w:tc>
        <w:tc>
          <w:tcPr>
            <w:tcW w:w="2551"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line="28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《中华人民共和国安全生产法（2014年修订）》（中华人民共和国主席令第13号）第四十八条</w:t>
            </w:r>
          </w:p>
        </w:tc>
        <w:tc>
          <w:tcPr>
            <w:tcW w:w="19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80" w:lineRule="exact"/>
              <w:ind w:left="0" w:right="0"/>
              <w:jc w:val="both"/>
              <w:rPr>
                <w:rFonts w:hint="eastAsia" w:ascii="宋体" w:hAnsi="宋体" w:eastAsia="宋体" w:cs="宋体"/>
                <w:kern w:val="2"/>
                <w:sz w:val="21"/>
                <w:szCs w:val="21"/>
              </w:rPr>
            </w:pPr>
            <w:r>
              <w:rPr>
                <w:rFonts w:hint="eastAsia" w:ascii="宋体" w:hAnsi="宋体" w:eastAsia="宋体" w:cs="宋体"/>
                <w:kern w:val="2"/>
                <w:sz w:val="21"/>
                <w:szCs w:val="21"/>
              </w:rPr>
              <w:t>该加油站</w:t>
            </w:r>
            <w:r>
              <w:rPr>
                <w:rFonts w:hint="eastAsia" w:ascii="宋体" w:hAnsi="宋体" w:eastAsia="宋体" w:cs="宋体"/>
                <w:kern w:val="2"/>
                <w:sz w:val="21"/>
                <w:szCs w:val="21"/>
                <w:lang w:eastAsia="zh-CN"/>
              </w:rPr>
              <w:t>已</w:t>
            </w:r>
            <w:r>
              <w:rPr>
                <w:rFonts w:hint="eastAsia" w:ascii="宋体" w:hAnsi="宋体" w:eastAsia="宋体" w:cs="宋体"/>
                <w:kern w:val="2"/>
                <w:sz w:val="21"/>
                <w:szCs w:val="21"/>
              </w:rPr>
              <w:t>为从业人员缴纳工伤保险</w:t>
            </w:r>
            <w:r>
              <w:rPr>
                <w:rFonts w:hint="eastAsia" w:ascii="宋体" w:hAnsi="宋体" w:eastAsia="宋体" w:cs="宋体"/>
                <w:kern w:val="2"/>
                <w:sz w:val="21"/>
                <w:szCs w:val="21"/>
                <w:lang w:eastAsia="zh-CN"/>
              </w:rPr>
              <w:t>。</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8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符合要求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jc w:val="center"/>
        </w:trPr>
        <w:tc>
          <w:tcPr>
            <w:tcW w:w="4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8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7</w:t>
            </w:r>
          </w:p>
        </w:tc>
        <w:tc>
          <w:tcPr>
            <w:tcW w:w="33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生产经营单位的安全生产管理人员应当根据本单位的生产经营特点，对安全生产状况进行经常性检查；对检查中发现的安全问题，应当立即处理；不能处理的，应当及时报告本单位有关负责人，有关负责人应当及时处理。检查及处理情况应当如实记录在案。</w:t>
            </w:r>
          </w:p>
        </w:tc>
        <w:tc>
          <w:tcPr>
            <w:tcW w:w="25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《中华人民共和国安全生产法（2014年修订）》（中华人民共和国主席令第13号）第四十三条</w:t>
            </w:r>
          </w:p>
        </w:tc>
        <w:tc>
          <w:tcPr>
            <w:tcW w:w="19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制定了安全监督检查管理办法。</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8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符合要求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72" w:hRule="atLeast"/>
          <w:jc w:val="center"/>
        </w:trPr>
        <w:tc>
          <w:tcPr>
            <w:tcW w:w="4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8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8</w:t>
            </w:r>
          </w:p>
        </w:tc>
        <w:tc>
          <w:tcPr>
            <w:tcW w:w="33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8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危险化学品单位应当按照《危险化学品重大危险源辨识》标准，对本单位的危险化学品生产、经营、储存和使用装置、设施或者场所进行重大危险源辨识，并记录辨识过程与结果。</w:t>
            </w:r>
          </w:p>
        </w:tc>
        <w:tc>
          <w:tcPr>
            <w:tcW w:w="25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8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《危险化学品重大危险源监督管理暂行规定》（2011年8月5日国家安全监管总局令第40号公布 根据2015年5月27日国家安全监管总局令第79号修正）第七条</w:t>
            </w:r>
          </w:p>
        </w:tc>
        <w:tc>
          <w:tcPr>
            <w:tcW w:w="19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8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本报告已按照《危险化学品重大危险源辨识》的相关要求对加油站进行了重大危险源辨识。加油站不构成危险化学品重大危险源。</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8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符合要求</w:t>
            </w:r>
          </w:p>
        </w:tc>
      </w:tr>
    </w:tbl>
    <w:p>
      <w:pPr>
        <w:keepNext w:val="0"/>
        <w:keepLines w:val="0"/>
        <w:pageBreakBefore w:val="0"/>
        <w:widowControl w:val="0"/>
        <w:kinsoku/>
        <w:wordWrap/>
        <w:overflowPunct/>
        <w:topLinePunct w:val="0"/>
        <w:autoSpaceDE w:val="0"/>
        <w:autoSpaceDN w:val="0"/>
        <w:bidi w:val="0"/>
        <w:adjustRightInd/>
        <w:snapToGrid/>
        <w:spacing w:line="560" w:lineRule="exact"/>
        <w:ind w:firstLine="584" w:firstLineChars="200"/>
        <w:textAlignment w:val="auto"/>
        <w:rPr>
          <w:rFonts w:hint="eastAsia" w:ascii="宋体" w:hAnsi="宋体" w:eastAsia="宋体" w:cs="宋体"/>
          <w:spacing w:val="6"/>
          <w:sz w:val="28"/>
          <w:szCs w:val="28"/>
        </w:rPr>
      </w:pPr>
      <w:r>
        <w:rPr>
          <w:rFonts w:hint="eastAsia" w:ascii="宋体" w:hAnsi="宋体" w:eastAsia="宋体" w:cs="宋体"/>
          <w:spacing w:val="6"/>
          <w:sz w:val="28"/>
          <w:szCs w:val="28"/>
        </w:rPr>
        <w:t>由上表可知该加油站持有营业执照、消防、防雷设施检测报告、人员资格证书等证件，证照文书齐全，符合国家相关规定。</w:t>
      </w:r>
    </w:p>
    <w:p>
      <w:pPr>
        <w:keepNext w:val="0"/>
        <w:keepLines w:val="0"/>
        <w:pageBreakBefore w:val="0"/>
        <w:widowControl w:val="0"/>
        <w:kinsoku/>
        <w:wordWrap/>
        <w:overflowPunct/>
        <w:topLinePunct w:val="0"/>
        <w:autoSpaceDE w:val="0"/>
        <w:autoSpaceDN w:val="0"/>
        <w:bidi w:val="0"/>
        <w:adjustRightInd/>
        <w:snapToGrid/>
        <w:spacing w:before="240" w:beforeLines="100" w:after="240" w:afterLines="100" w:line="560" w:lineRule="exact"/>
        <w:jc w:val="center"/>
        <w:textAlignment w:val="auto"/>
        <w:outlineLvl w:val="1"/>
        <w:rPr>
          <w:rFonts w:hint="eastAsia" w:ascii="宋体" w:hAnsi="宋体" w:eastAsia="宋体" w:cs="宋体"/>
          <w:b/>
          <w:sz w:val="32"/>
          <w:szCs w:val="32"/>
        </w:rPr>
      </w:pPr>
      <w:bookmarkStart w:id="872" w:name="_Toc16047_WPSOffice_Level2"/>
      <w:bookmarkStart w:id="873" w:name="_Toc5144"/>
      <w:bookmarkStart w:id="874" w:name="_Toc19345"/>
      <w:bookmarkStart w:id="875" w:name="_Toc18170"/>
      <w:bookmarkStart w:id="876" w:name="_Toc529176544"/>
      <w:bookmarkStart w:id="877" w:name="_Toc18080_WPSOffice_Level2"/>
      <w:bookmarkStart w:id="878" w:name="_Toc6526_WPSOffice_Level2"/>
      <w:r>
        <w:rPr>
          <w:rFonts w:hint="eastAsia" w:ascii="宋体" w:hAnsi="宋体" w:eastAsia="宋体" w:cs="宋体"/>
          <w:b/>
          <w:sz w:val="32"/>
          <w:szCs w:val="32"/>
        </w:rPr>
        <w:t>4.6 “三同时”符合性评价单元</w:t>
      </w:r>
      <w:bookmarkEnd w:id="872"/>
      <w:bookmarkEnd w:id="873"/>
      <w:bookmarkEnd w:id="874"/>
      <w:bookmarkEnd w:id="875"/>
      <w:bookmarkEnd w:id="876"/>
      <w:bookmarkEnd w:id="877"/>
      <w:bookmarkEnd w:id="878"/>
    </w:p>
    <w:p>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根据《中华人民共和国安全生产法》（中华人民共和国主席令第13号）、《危险化学品建设项目安全监督管理办法》（2012年1月30日国家安全监管总局令第45号公布，根据2015年5月27日国家安全监管总局令第79号修正）等法律、部门规章的要求，对建设项目进行“三同时”符合性评价，具体情况如下表所示。</w:t>
      </w:r>
    </w:p>
    <w:p>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eastAsia" w:ascii="宋体" w:hAnsi="宋体" w:eastAsia="宋体" w:cs="宋体"/>
          <w:sz w:val="28"/>
          <w:szCs w:val="28"/>
        </w:rPr>
      </w:pPr>
      <w:bookmarkStart w:id="879" w:name="_Toc1210_WPSOffice_Level3"/>
      <w:bookmarkStart w:id="880" w:name="_Toc7437_WPSOffice_Level3"/>
      <w:bookmarkStart w:id="881" w:name="_Toc27424_WPSOffice_Level3"/>
    </w:p>
    <w:p>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eastAsia" w:ascii="宋体" w:hAnsi="宋体" w:eastAsia="宋体" w:cs="宋体"/>
          <w:sz w:val="28"/>
          <w:szCs w:val="28"/>
        </w:rPr>
      </w:pPr>
    </w:p>
    <w:p>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eastAsia" w:ascii="宋体" w:hAnsi="宋体" w:eastAsia="宋体" w:cs="宋体"/>
          <w:sz w:val="28"/>
          <w:szCs w:val="28"/>
        </w:rPr>
      </w:pPr>
    </w:p>
    <w:p>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eastAsia" w:ascii="宋体" w:hAnsi="宋体" w:eastAsia="宋体" w:cs="宋体"/>
          <w:sz w:val="28"/>
          <w:szCs w:val="28"/>
        </w:rPr>
      </w:pPr>
    </w:p>
    <w:p>
      <w:pPr>
        <w:keepNext w:val="0"/>
        <w:keepLines w:val="0"/>
        <w:pageBreakBefore w:val="0"/>
        <w:widowControl w:val="0"/>
        <w:kinsoku/>
        <w:wordWrap/>
        <w:overflowPunct/>
        <w:topLinePunct w:val="0"/>
        <w:autoSpaceDE w:val="0"/>
        <w:autoSpaceDN w:val="0"/>
        <w:bidi w:val="0"/>
        <w:adjustRightInd/>
        <w:snapToGrid/>
        <w:spacing w:line="560" w:lineRule="exact"/>
        <w:jc w:val="center"/>
        <w:textAlignment w:val="auto"/>
        <w:rPr>
          <w:rFonts w:hint="eastAsia" w:ascii="宋体" w:hAnsi="宋体" w:eastAsia="宋体" w:cs="宋体"/>
          <w:sz w:val="28"/>
          <w:szCs w:val="28"/>
        </w:rPr>
      </w:pPr>
      <w:r>
        <w:rPr>
          <w:rFonts w:hint="eastAsia" w:ascii="宋体" w:hAnsi="宋体" w:eastAsia="宋体" w:cs="宋体"/>
          <w:sz w:val="28"/>
          <w:szCs w:val="28"/>
        </w:rPr>
        <w:t>附表4</w:t>
      </w:r>
      <w:r>
        <w:rPr>
          <w:rFonts w:hint="eastAsia" w:ascii="宋体" w:hAnsi="宋体" w:eastAsia="宋体" w:cs="宋体"/>
          <w:sz w:val="28"/>
          <w:szCs w:val="28"/>
          <w:lang w:val="en-US"/>
        </w:rPr>
        <w:t>.6</w:t>
      </w:r>
      <w:r>
        <w:rPr>
          <w:rFonts w:hint="eastAsia" w:ascii="宋体" w:hAnsi="宋体" w:eastAsia="宋体" w:cs="宋体"/>
          <w:sz w:val="28"/>
          <w:szCs w:val="28"/>
        </w:rPr>
        <w:t>-1</w:t>
      </w:r>
      <w:r>
        <w:rPr>
          <w:rFonts w:hint="eastAsia" w:ascii="宋体" w:hAnsi="宋体" w:eastAsia="宋体" w:cs="宋体"/>
          <w:sz w:val="28"/>
          <w:szCs w:val="28"/>
          <w:lang w:val="en-US"/>
        </w:rPr>
        <w:t xml:space="preserve"> </w:t>
      </w:r>
      <w:r>
        <w:rPr>
          <w:rFonts w:hint="eastAsia" w:ascii="宋体" w:hAnsi="宋体" w:eastAsia="宋体" w:cs="宋体"/>
          <w:sz w:val="28"/>
          <w:szCs w:val="28"/>
        </w:rPr>
        <w:t>政策法规符合性检查表</w:t>
      </w:r>
      <w:bookmarkEnd w:id="879"/>
      <w:bookmarkEnd w:id="880"/>
      <w:bookmarkEnd w:id="881"/>
    </w:p>
    <w:tbl>
      <w:tblPr>
        <w:tblStyle w:val="15"/>
        <w:tblW w:w="90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9"/>
        <w:gridCol w:w="3098"/>
        <w:gridCol w:w="2126"/>
        <w:gridCol w:w="2421"/>
        <w:gridCol w:w="7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blHeader/>
          <w:jc w:val="center"/>
        </w:trPr>
        <w:tc>
          <w:tcPr>
            <w:tcW w:w="63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b/>
                <w:kern w:val="2"/>
                <w:sz w:val="21"/>
                <w:szCs w:val="21"/>
              </w:rPr>
            </w:pPr>
            <w:r>
              <w:rPr>
                <w:rFonts w:hint="eastAsia" w:ascii="宋体" w:hAnsi="宋体" w:eastAsia="宋体" w:cs="宋体"/>
                <w:b/>
                <w:kern w:val="2"/>
                <w:sz w:val="21"/>
                <w:szCs w:val="21"/>
              </w:rPr>
              <w:t>序号</w:t>
            </w:r>
          </w:p>
        </w:tc>
        <w:tc>
          <w:tcPr>
            <w:tcW w:w="309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b/>
                <w:kern w:val="2"/>
                <w:sz w:val="21"/>
                <w:szCs w:val="21"/>
              </w:rPr>
            </w:pPr>
            <w:r>
              <w:rPr>
                <w:rFonts w:hint="eastAsia" w:ascii="宋体" w:hAnsi="宋体" w:eastAsia="宋体" w:cs="宋体"/>
                <w:b/>
                <w:kern w:val="2"/>
                <w:sz w:val="21"/>
                <w:szCs w:val="21"/>
              </w:rPr>
              <w:t>检查内容</w:t>
            </w:r>
          </w:p>
        </w:tc>
        <w:tc>
          <w:tcPr>
            <w:tcW w:w="212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b/>
                <w:kern w:val="2"/>
                <w:sz w:val="21"/>
                <w:szCs w:val="21"/>
              </w:rPr>
            </w:pPr>
            <w:r>
              <w:rPr>
                <w:rFonts w:hint="eastAsia" w:ascii="宋体" w:hAnsi="宋体" w:eastAsia="宋体" w:cs="宋体"/>
                <w:b/>
                <w:kern w:val="2"/>
                <w:sz w:val="21"/>
                <w:szCs w:val="21"/>
              </w:rPr>
              <w:t>检查依据</w:t>
            </w:r>
          </w:p>
        </w:tc>
        <w:tc>
          <w:tcPr>
            <w:tcW w:w="242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b/>
                <w:kern w:val="2"/>
                <w:sz w:val="21"/>
                <w:szCs w:val="21"/>
              </w:rPr>
            </w:pPr>
            <w:r>
              <w:rPr>
                <w:rFonts w:hint="eastAsia" w:ascii="宋体" w:hAnsi="宋体" w:eastAsia="宋体" w:cs="宋体"/>
                <w:b/>
                <w:kern w:val="2"/>
                <w:sz w:val="21"/>
                <w:szCs w:val="21"/>
              </w:rPr>
              <w:t>检查情况</w:t>
            </w:r>
          </w:p>
        </w:tc>
        <w:tc>
          <w:tcPr>
            <w:tcW w:w="7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b/>
                <w:kern w:val="2"/>
                <w:sz w:val="21"/>
                <w:szCs w:val="21"/>
              </w:rPr>
            </w:pPr>
            <w:r>
              <w:rPr>
                <w:rFonts w:hint="eastAsia" w:ascii="宋体" w:hAnsi="宋体" w:eastAsia="宋体" w:cs="宋体"/>
                <w:b/>
                <w:kern w:val="2"/>
                <w:sz w:val="21"/>
                <w:szCs w:val="21"/>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7" w:hRule="atLeast"/>
          <w:jc w:val="center"/>
        </w:trPr>
        <w:tc>
          <w:tcPr>
            <w:tcW w:w="639" w:type="dxa"/>
            <w:tcBorders>
              <w:top w:val="single" w:color="auto" w:sz="4" w:space="0"/>
              <w:left w:val="single" w:color="auto" w:sz="4" w:space="0"/>
              <w:bottom w:val="single" w:color="auto" w:sz="4" w:space="0"/>
              <w:right w:val="single" w:color="auto" w:sz="4" w:space="0"/>
            </w:tcBorders>
            <w:vAlign w:val="center"/>
          </w:tcPr>
          <w:p>
            <w:pPr>
              <w:keepNext w:val="0"/>
              <w:keepLines w:val="0"/>
              <w:numPr>
                <w:ilvl w:val="0"/>
                <w:numId w:val="15"/>
              </w:numPr>
              <w:suppressLineNumbers w:val="0"/>
              <w:tabs>
                <w:tab w:val="left" w:pos="352"/>
                <w:tab w:val="left" w:pos="759"/>
                <w:tab w:val="left" w:pos="825"/>
              </w:tabs>
              <w:adjustRightInd w:val="0"/>
              <w:spacing w:before="0" w:beforeAutospacing="0" w:after="0" w:afterAutospacing="0" w:line="300" w:lineRule="exact"/>
              <w:ind w:right="0"/>
              <w:jc w:val="center"/>
              <w:rPr>
                <w:rFonts w:hint="eastAsia" w:ascii="宋体" w:hAnsi="宋体" w:eastAsia="宋体" w:cs="宋体"/>
                <w:smallCaps/>
                <w:kern w:val="2"/>
                <w:sz w:val="21"/>
                <w:szCs w:val="21"/>
              </w:rPr>
            </w:pPr>
          </w:p>
        </w:tc>
        <w:tc>
          <w:tcPr>
            <w:tcW w:w="309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生产经营单位迁建、改建、改建工程项目（以下统称建设项目）的安全设施，必须与主体工程同时设计、同时施工、同时投入生产和使用。安全设施投资应当纳入建设项目概算。</w:t>
            </w:r>
          </w:p>
        </w:tc>
        <w:tc>
          <w:tcPr>
            <w:tcW w:w="212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《中华人民共和国安全生产法（2014年修订》（中华人民共和国主席令第13号）</w:t>
            </w:r>
          </w:p>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第28条</w:t>
            </w:r>
          </w:p>
        </w:tc>
        <w:tc>
          <w:tcPr>
            <w:tcW w:w="242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加油站的安全设施与主体工程同时设计、同时施工、同时投入生产和使用。安全设施投资纳入了改建项目概算。</w:t>
            </w:r>
          </w:p>
        </w:tc>
        <w:tc>
          <w:tcPr>
            <w:tcW w:w="7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3" w:hRule="atLeast"/>
          <w:jc w:val="center"/>
        </w:trPr>
        <w:tc>
          <w:tcPr>
            <w:tcW w:w="639" w:type="dxa"/>
            <w:tcBorders>
              <w:top w:val="single" w:color="auto" w:sz="4" w:space="0"/>
              <w:left w:val="single" w:color="auto" w:sz="4" w:space="0"/>
              <w:bottom w:val="single" w:color="auto" w:sz="4" w:space="0"/>
              <w:right w:val="single" w:color="auto" w:sz="4" w:space="0"/>
            </w:tcBorders>
            <w:vAlign w:val="center"/>
          </w:tcPr>
          <w:p>
            <w:pPr>
              <w:keepNext w:val="0"/>
              <w:keepLines w:val="0"/>
              <w:numPr>
                <w:ilvl w:val="0"/>
                <w:numId w:val="15"/>
              </w:numPr>
              <w:suppressLineNumbers w:val="0"/>
              <w:tabs>
                <w:tab w:val="left" w:pos="352"/>
                <w:tab w:val="left" w:pos="759"/>
                <w:tab w:val="left" w:pos="825"/>
              </w:tabs>
              <w:adjustRightInd w:val="0"/>
              <w:spacing w:before="0" w:beforeAutospacing="0" w:after="0" w:afterAutospacing="0" w:line="300" w:lineRule="exact"/>
              <w:ind w:right="0"/>
              <w:jc w:val="center"/>
              <w:rPr>
                <w:rFonts w:hint="eastAsia" w:ascii="宋体" w:hAnsi="宋体" w:eastAsia="宋体" w:cs="宋体"/>
                <w:smallCaps/>
                <w:kern w:val="2"/>
                <w:sz w:val="21"/>
                <w:szCs w:val="21"/>
              </w:rPr>
            </w:pPr>
          </w:p>
        </w:tc>
        <w:tc>
          <w:tcPr>
            <w:tcW w:w="309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建设项目的设计、施工、监理单位和安全评价机构应当具备相应的资质，并对其工作成果负责。涉及重点监管危险化工工艺、重点监管危险化学品或者危险化学品重大危险源的建设项目，应当由具有石油化工医药行业相应资质的设计单位设计。</w:t>
            </w:r>
          </w:p>
        </w:tc>
        <w:tc>
          <w:tcPr>
            <w:tcW w:w="212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bCs/>
                <w:kern w:val="2"/>
                <w:sz w:val="21"/>
                <w:szCs w:val="21"/>
              </w:rPr>
            </w:pPr>
            <w:r>
              <w:rPr>
                <w:rFonts w:hint="eastAsia" w:ascii="宋体" w:hAnsi="宋体" w:eastAsia="宋体" w:cs="宋体"/>
                <w:bCs/>
                <w:kern w:val="2"/>
                <w:sz w:val="21"/>
                <w:szCs w:val="21"/>
              </w:rPr>
              <w:t>《危险化学品建设项目安全监督管理办法》（2012年1月30日国家安全监管总局令第45号公布，根据2015年5月27日国家安全监管总局令第79号修正）</w:t>
            </w:r>
            <w:r>
              <w:rPr>
                <w:rFonts w:hint="eastAsia" w:ascii="宋体" w:hAnsi="宋体" w:eastAsia="宋体" w:cs="宋体"/>
                <w:kern w:val="2"/>
                <w:sz w:val="21"/>
                <w:szCs w:val="21"/>
              </w:rPr>
              <w:t>第七条</w:t>
            </w:r>
          </w:p>
        </w:tc>
        <w:tc>
          <w:tcPr>
            <w:tcW w:w="242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both"/>
              <w:rPr>
                <w:rFonts w:hint="eastAsia" w:ascii="宋体" w:hAnsi="宋体" w:eastAsia="宋体" w:cs="宋体"/>
                <w:kern w:val="2"/>
                <w:sz w:val="21"/>
                <w:szCs w:val="21"/>
                <w:lang w:val="en-US"/>
              </w:rPr>
            </w:pPr>
            <w:r>
              <w:rPr>
                <w:rFonts w:hint="eastAsia" w:ascii="宋体" w:hAnsi="宋体" w:eastAsia="宋体" w:cs="宋体"/>
                <w:kern w:val="2"/>
                <w:sz w:val="21"/>
                <w:szCs w:val="21"/>
              </w:rPr>
              <w:t>改建项目的设计、</w:t>
            </w:r>
            <w:r>
              <w:rPr>
                <w:rFonts w:hint="eastAsia" w:ascii="宋体" w:hAnsi="宋体" w:eastAsia="宋体" w:cs="宋体"/>
                <w:kern w:val="2"/>
                <w:sz w:val="21"/>
                <w:szCs w:val="21"/>
                <w:lang w:eastAsia="zh-CN"/>
              </w:rPr>
              <w:t>施工、监理单位和</w:t>
            </w:r>
            <w:r>
              <w:rPr>
                <w:rFonts w:hint="eastAsia" w:ascii="宋体" w:hAnsi="宋体" w:eastAsia="宋体" w:cs="宋体"/>
                <w:kern w:val="2"/>
                <w:sz w:val="21"/>
                <w:szCs w:val="21"/>
              </w:rPr>
              <w:t>安全评价机构具备相应的资质。具体见本报告</w:t>
            </w:r>
            <w:r>
              <w:rPr>
                <w:rFonts w:hint="eastAsia" w:ascii="宋体" w:hAnsi="宋体" w:eastAsia="宋体" w:cs="宋体"/>
                <w:kern w:val="2"/>
                <w:sz w:val="21"/>
                <w:szCs w:val="21"/>
                <w:lang w:val="en-US"/>
              </w:rPr>
              <w:t>2.7部分。</w:t>
            </w:r>
          </w:p>
        </w:tc>
        <w:tc>
          <w:tcPr>
            <w:tcW w:w="7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numPr>
                <w:ilvl w:val="0"/>
                <w:numId w:val="15"/>
              </w:numPr>
              <w:suppressLineNumbers w:val="0"/>
              <w:tabs>
                <w:tab w:val="left" w:pos="352"/>
                <w:tab w:val="left" w:pos="759"/>
                <w:tab w:val="left" w:pos="825"/>
              </w:tabs>
              <w:adjustRightInd w:val="0"/>
              <w:spacing w:before="0" w:beforeAutospacing="0" w:after="0" w:afterAutospacing="0" w:line="300" w:lineRule="exact"/>
              <w:ind w:right="0"/>
              <w:jc w:val="center"/>
              <w:rPr>
                <w:rFonts w:hint="eastAsia" w:ascii="宋体" w:hAnsi="宋体" w:eastAsia="宋体" w:cs="宋体"/>
                <w:smallCaps/>
                <w:kern w:val="2"/>
                <w:sz w:val="21"/>
                <w:szCs w:val="21"/>
              </w:rPr>
            </w:pPr>
          </w:p>
        </w:tc>
        <w:tc>
          <w:tcPr>
            <w:tcW w:w="30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bCs/>
                <w:color w:val="auto"/>
                <w:kern w:val="2"/>
                <w:sz w:val="21"/>
                <w:szCs w:val="21"/>
              </w:rPr>
            </w:pPr>
            <w:r>
              <w:rPr>
                <w:rFonts w:hint="eastAsia" w:ascii="宋体" w:hAnsi="宋体" w:eastAsia="宋体" w:cs="宋体"/>
                <w:bCs/>
                <w:color w:val="auto"/>
                <w:kern w:val="2"/>
                <w:sz w:val="21"/>
                <w:szCs w:val="21"/>
              </w:rPr>
              <w:t>为落实建设单位建设项目“三同时”主体责任，根据《管理办法》第四十六条规定，安全审查实施部门结合实际情况，对属于下列情形规模较小、危险程度较低或工艺路线简单的建设项目，在确保建设项目安全设施竣工验收工作质量的前提下，适当简化建设项目安全审查的程序和内容，对安全条件审查、安全设施设计审查实行告知性备案，并免除试生产（使用）方案备案手续。</w:t>
            </w:r>
          </w:p>
        </w:tc>
        <w:tc>
          <w:tcPr>
            <w:tcW w:w="21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bCs/>
                <w:color w:val="auto"/>
                <w:kern w:val="2"/>
                <w:sz w:val="21"/>
                <w:szCs w:val="21"/>
              </w:rPr>
            </w:pPr>
            <w:r>
              <w:rPr>
                <w:rFonts w:hint="eastAsia" w:ascii="宋体" w:hAnsi="宋体" w:eastAsia="宋体" w:cs="宋体"/>
                <w:bCs/>
                <w:color w:val="auto"/>
                <w:kern w:val="2"/>
                <w:sz w:val="21"/>
                <w:szCs w:val="21"/>
              </w:rPr>
              <w:t>关于印发《广东省安全生产监督管理局于〈危险化学品建设项目安全监督管理办法〉的实施意见》的通知（粤安监〔2012〕62号）第三条</w:t>
            </w:r>
          </w:p>
          <w:p>
            <w:pPr>
              <w:keepNext w:val="0"/>
              <w:keepLines w:val="0"/>
              <w:suppressLineNumbers w:val="0"/>
              <w:spacing w:before="0" w:beforeAutospacing="0" w:after="0" w:afterAutospacing="0" w:line="300" w:lineRule="exact"/>
              <w:ind w:left="0" w:right="0"/>
              <w:rPr>
                <w:rFonts w:hint="eastAsia" w:ascii="宋体" w:hAnsi="宋体" w:eastAsia="宋体" w:cs="宋体"/>
                <w:bCs/>
                <w:color w:val="auto"/>
                <w:kern w:val="2"/>
                <w:sz w:val="21"/>
                <w:szCs w:val="21"/>
              </w:rPr>
            </w:pPr>
          </w:p>
        </w:tc>
        <w:tc>
          <w:tcPr>
            <w:tcW w:w="242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00" w:lineRule="exact"/>
              <w:ind w:left="0" w:right="0"/>
              <w:jc w:val="both"/>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建设单位取得了《安全条件审查</w:t>
            </w:r>
            <w:r>
              <w:rPr>
                <w:rFonts w:hint="eastAsia" w:ascii="宋体" w:hAnsi="宋体" w:eastAsia="宋体" w:cs="宋体"/>
                <w:color w:val="auto"/>
                <w:kern w:val="2"/>
                <w:sz w:val="21"/>
                <w:szCs w:val="21"/>
                <w:lang w:eastAsia="zh-CN"/>
              </w:rPr>
              <w:t>意见书</w:t>
            </w:r>
            <w:r>
              <w:rPr>
                <w:rFonts w:hint="eastAsia" w:ascii="宋体" w:hAnsi="宋体" w:eastAsia="宋体" w:cs="宋体"/>
                <w:color w:val="auto"/>
                <w:kern w:val="2"/>
                <w:sz w:val="21"/>
                <w:szCs w:val="21"/>
              </w:rPr>
              <w:t>》和《安全设施设计审查意见书》。具体见附录。</w:t>
            </w:r>
          </w:p>
        </w:tc>
        <w:tc>
          <w:tcPr>
            <w:tcW w:w="7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color w:val="auto"/>
                <w:kern w:val="2"/>
                <w:sz w:val="21"/>
                <w:szCs w:val="21"/>
              </w:rPr>
            </w:pPr>
            <w:r>
              <w:rPr>
                <w:rFonts w:hint="eastAsia" w:ascii="宋体" w:hAnsi="宋体" w:eastAsia="宋体" w:cs="宋体"/>
                <w:color w:val="auto"/>
                <w:kern w:val="2"/>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39" w:type="dxa"/>
            <w:tcBorders>
              <w:top w:val="single" w:color="auto" w:sz="4" w:space="0"/>
              <w:left w:val="single" w:color="auto" w:sz="4" w:space="0"/>
              <w:bottom w:val="single" w:color="auto" w:sz="4" w:space="0"/>
              <w:right w:val="single" w:color="auto" w:sz="4" w:space="0"/>
            </w:tcBorders>
            <w:vAlign w:val="center"/>
          </w:tcPr>
          <w:p>
            <w:pPr>
              <w:keepNext w:val="0"/>
              <w:keepLines w:val="0"/>
              <w:numPr>
                <w:ilvl w:val="0"/>
                <w:numId w:val="15"/>
              </w:numPr>
              <w:suppressLineNumbers w:val="0"/>
              <w:tabs>
                <w:tab w:val="left" w:pos="352"/>
                <w:tab w:val="left" w:pos="759"/>
                <w:tab w:val="left" w:pos="825"/>
              </w:tabs>
              <w:adjustRightInd w:val="0"/>
              <w:spacing w:before="0" w:beforeAutospacing="0" w:after="0" w:afterAutospacing="0" w:line="300" w:lineRule="exact"/>
              <w:ind w:right="0"/>
              <w:jc w:val="center"/>
              <w:rPr>
                <w:rFonts w:hint="eastAsia" w:ascii="宋体" w:hAnsi="宋体" w:eastAsia="宋体" w:cs="宋体"/>
                <w:smallCaps/>
                <w:kern w:val="2"/>
                <w:sz w:val="21"/>
                <w:szCs w:val="21"/>
              </w:rPr>
            </w:pPr>
          </w:p>
        </w:tc>
        <w:tc>
          <w:tcPr>
            <w:tcW w:w="309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bCs/>
                <w:kern w:val="2"/>
                <w:sz w:val="21"/>
                <w:szCs w:val="21"/>
              </w:rPr>
            </w:pPr>
            <w:r>
              <w:rPr>
                <w:rFonts w:hint="eastAsia" w:ascii="宋体" w:hAnsi="宋体" w:eastAsia="宋体" w:cs="宋体"/>
                <w:bCs/>
                <w:kern w:val="2"/>
                <w:sz w:val="21"/>
                <w:szCs w:val="21"/>
              </w:rPr>
              <w:t>已经通过安全条件审查的建设项目有下列情形之一的，建设单位应当重新进行安全评价，并申请审查：</w:t>
            </w:r>
          </w:p>
          <w:p>
            <w:pPr>
              <w:keepNext w:val="0"/>
              <w:keepLines w:val="0"/>
              <w:suppressLineNumbers w:val="0"/>
              <w:spacing w:before="0" w:beforeAutospacing="0" w:after="0" w:afterAutospacing="0" w:line="300" w:lineRule="exact"/>
              <w:ind w:left="0" w:right="0"/>
              <w:rPr>
                <w:rFonts w:hint="eastAsia" w:ascii="宋体" w:hAnsi="宋体" w:eastAsia="宋体" w:cs="宋体"/>
                <w:bCs/>
                <w:kern w:val="2"/>
                <w:sz w:val="21"/>
                <w:szCs w:val="21"/>
              </w:rPr>
            </w:pPr>
            <w:r>
              <w:rPr>
                <w:rFonts w:hint="eastAsia" w:ascii="宋体" w:hAnsi="宋体" w:eastAsia="宋体" w:cs="宋体"/>
                <w:bCs/>
                <w:kern w:val="2"/>
                <w:sz w:val="21"/>
                <w:szCs w:val="21"/>
              </w:rPr>
              <w:t>（一）建设项目周边条件发生重大变化的；</w:t>
            </w:r>
          </w:p>
          <w:p>
            <w:pPr>
              <w:keepNext w:val="0"/>
              <w:keepLines w:val="0"/>
              <w:suppressLineNumbers w:val="0"/>
              <w:spacing w:before="0" w:beforeAutospacing="0" w:after="0" w:afterAutospacing="0" w:line="300" w:lineRule="exact"/>
              <w:ind w:left="0" w:right="0"/>
              <w:rPr>
                <w:rFonts w:hint="eastAsia" w:ascii="宋体" w:hAnsi="宋体" w:eastAsia="宋体" w:cs="宋体"/>
                <w:bCs/>
                <w:kern w:val="2"/>
                <w:sz w:val="21"/>
                <w:szCs w:val="21"/>
              </w:rPr>
            </w:pPr>
            <w:r>
              <w:rPr>
                <w:rFonts w:hint="eastAsia" w:ascii="宋体" w:hAnsi="宋体" w:eastAsia="宋体" w:cs="宋体"/>
                <w:bCs/>
                <w:kern w:val="2"/>
                <w:sz w:val="21"/>
                <w:szCs w:val="21"/>
              </w:rPr>
              <w:t>（二）变更建设地址的；</w:t>
            </w:r>
          </w:p>
          <w:p>
            <w:pPr>
              <w:keepNext w:val="0"/>
              <w:keepLines w:val="0"/>
              <w:suppressLineNumbers w:val="0"/>
              <w:spacing w:before="0" w:beforeAutospacing="0" w:after="0" w:afterAutospacing="0" w:line="300" w:lineRule="exact"/>
              <w:ind w:left="0" w:right="0"/>
              <w:rPr>
                <w:rFonts w:hint="eastAsia" w:ascii="宋体" w:hAnsi="宋体" w:eastAsia="宋体" w:cs="宋体"/>
                <w:bCs/>
                <w:kern w:val="2"/>
                <w:sz w:val="21"/>
                <w:szCs w:val="21"/>
              </w:rPr>
            </w:pPr>
            <w:r>
              <w:rPr>
                <w:rFonts w:hint="eastAsia" w:ascii="宋体" w:hAnsi="宋体" w:eastAsia="宋体" w:cs="宋体"/>
                <w:bCs/>
                <w:kern w:val="2"/>
                <w:sz w:val="21"/>
                <w:szCs w:val="21"/>
              </w:rPr>
              <w:t>（三）主要技术、工艺路线、产品方案或者装置规模发生重大变化的；</w:t>
            </w:r>
          </w:p>
          <w:p>
            <w:pPr>
              <w:keepNext w:val="0"/>
              <w:keepLines w:val="0"/>
              <w:suppressLineNumbers w:val="0"/>
              <w:spacing w:before="0" w:beforeAutospacing="0" w:after="0" w:afterAutospacing="0" w:line="300" w:lineRule="exact"/>
              <w:ind w:left="0" w:right="0"/>
              <w:rPr>
                <w:rFonts w:hint="eastAsia" w:ascii="宋体" w:hAnsi="宋体" w:eastAsia="宋体" w:cs="宋体"/>
                <w:bCs/>
                <w:kern w:val="2"/>
                <w:sz w:val="21"/>
                <w:szCs w:val="21"/>
              </w:rPr>
            </w:pPr>
            <w:r>
              <w:rPr>
                <w:rFonts w:hint="eastAsia" w:ascii="宋体" w:hAnsi="宋体" w:eastAsia="宋体" w:cs="宋体"/>
                <w:bCs/>
                <w:kern w:val="2"/>
                <w:sz w:val="21"/>
                <w:szCs w:val="21"/>
              </w:rPr>
              <w:t>（四）建设项目在安全条件审查意见书有效期内未开工建设，期限届满后需要开工建设的。</w:t>
            </w:r>
          </w:p>
        </w:tc>
        <w:tc>
          <w:tcPr>
            <w:tcW w:w="212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bCs/>
                <w:kern w:val="2"/>
                <w:sz w:val="21"/>
                <w:szCs w:val="21"/>
              </w:rPr>
            </w:pPr>
            <w:r>
              <w:rPr>
                <w:rFonts w:hint="eastAsia" w:ascii="宋体" w:hAnsi="宋体" w:eastAsia="宋体" w:cs="宋体"/>
                <w:kern w:val="2"/>
                <w:sz w:val="21"/>
                <w:szCs w:val="21"/>
              </w:rPr>
              <w:t>《危险化学品建设项目安全监督管理办法》（</w:t>
            </w:r>
            <w:r>
              <w:rPr>
                <w:rFonts w:hint="eastAsia" w:ascii="宋体" w:hAnsi="宋体" w:eastAsia="宋体" w:cs="宋体"/>
                <w:bCs/>
                <w:kern w:val="2"/>
                <w:sz w:val="21"/>
                <w:szCs w:val="21"/>
              </w:rPr>
              <w:t>（2012年1月30日国家安全监管总局令第45号公布，根据2015年5月27日国家安全监管总局令第79号修正）</w:t>
            </w:r>
            <w:r>
              <w:rPr>
                <w:rFonts w:hint="eastAsia" w:ascii="宋体" w:hAnsi="宋体" w:eastAsia="宋体" w:cs="宋体"/>
                <w:kern w:val="2"/>
                <w:sz w:val="21"/>
                <w:szCs w:val="21"/>
              </w:rPr>
              <w:t>第十四条</w:t>
            </w:r>
          </w:p>
        </w:tc>
        <w:tc>
          <w:tcPr>
            <w:tcW w:w="242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both"/>
              <w:rPr>
                <w:rFonts w:hint="eastAsia" w:ascii="宋体" w:hAnsi="宋体" w:eastAsia="宋体" w:cs="宋体"/>
                <w:kern w:val="2"/>
                <w:sz w:val="21"/>
                <w:szCs w:val="21"/>
              </w:rPr>
            </w:pPr>
            <w:r>
              <w:rPr>
                <w:rFonts w:hint="eastAsia" w:ascii="宋体" w:hAnsi="宋体" w:eastAsia="宋体" w:cs="宋体"/>
                <w:kern w:val="2"/>
                <w:sz w:val="21"/>
                <w:szCs w:val="21"/>
              </w:rPr>
              <w:t>改建项目通过审查后该加油站未发生重大变更，周边条件也未发生重大变化。</w:t>
            </w:r>
          </w:p>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p>
        </w:tc>
        <w:tc>
          <w:tcPr>
            <w:tcW w:w="7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numPr>
                <w:ilvl w:val="0"/>
                <w:numId w:val="15"/>
              </w:numPr>
              <w:suppressLineNumbers w:val="0"/>
              <w:tabs>
                <w:tab w:val="left" w:pos="352"/>
                <w:tab w:val="left" w:pos="759"/>
                <w:tab w:val="left" w:pos="825"/>
              </w:tabs>
              <w:adjustRightInd w:val="0"/>
              <w:spacing w:before="0" w:beforeAutospacing="0" w:after="0" w:afterAutospacing="0" w:line="300" w:lineRule="exact"/>
              <w:ind w:right="0"/>
              <w:jc w:val="center"/>
              <w:rPr>
                <w:rFonts w:hint="eastAsia" w:ascii="宋体" w:hAnsi="宋体" w:eastAsia="宋体" w:cs="宋体"/>
                <w:smallCaps/>
                <w:kern w:val="2"/>
                <w:sz w:val="21"/>
                <w:szCs w:val="21"/>
              </w:rPr>
            </w:pPr>
          </w:p>
        </w:tc>
        <w:tc>
          <w:tcPr>
            <w:tcW w:w="30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设计单位应当根据有关安全生产的法律、法规、规章和国家标准、行业标准以及建设项目安全条件审查意见书，按照《化工建设项目安全设计管理导则》（AQ/T3033），对建设项目安全设施进行设计，并编制建设项目安全设施设计专篇。建设项目安全设施设计专篇应当符合《危险化学品建设项目安全设施设计专篇编制导则》的要求。</w:t>
            </w:r>
          </w:p>
        </w:tc>
        <w:tc>
          <w:tcPr>
            <w:tcW w:w="21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《危险化学品建设项目安全许可实施办法》（</w:t>
            </w:r>
            <w:r>
              <w:rPr>
                <w:rFonts w:hint="eastAsia" w:ascii="宋体" w:hAnsi="宋体" w:eastAsia="宋体" w:cs="宋体"/>
                <w:bCs/>
                <w:kern w:val="2"/>
                <w:sz w:val="21"/>
                <w:szCs w:val="21"/>
              </w:rPr>
              <w:t>2012年1月30日国家安全监管总局令第45号公布，根据2015年5月27日国家安全监管总局令第79号修正）</w:t>
            </w:r>
            <w:r>
              <w:rPr>
                <w:rFonts w:hint="eastAsia" w:ascii="宋体" w:hAnsi="宋体" w:eastAsia="宋体" w:cs="宋体"/>
                <w:kern w:val="2"/>
                <w:sz w:val="21"/>
                <w:szCs w:val="21"/>
              </w:rPr>
              <w:t>第十五条</w:t>
            </w:r>
          </w:p>
        </w:tc>
        <w:tc>
          <w:tcPr>
            <w:tcW w:w="242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lang w:eastAsia="zh-CN"/>
              </w:rPr>
              <w:t>设计按照有关法律法规进行，设计专篇编写符合</w:t>
            </w:r>
            <w:r>
              <w:rPr>
                <w:rFonts w:hint="eastAsia" w:ascii="宋体" w:hAnsi="宋体" w:eastAsia="宋体" w:cs="宋体"/>
                <w:kern w:val="2"/>
                <w:sz w:val="21"/>
                <w:szCs w:val="21"/>
              </w:rPr>
              <w:t>《危险化学品建设项目安全设施设计专篇编制导则》的要求。</w:t>
            </w:r>
          </w:p>
        </w:tc>
        <w:tc>
          <w:tcPr>
            <w:tcW w:w="7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39" w:type="dxa"/>
            <w:tcBorders>
              <w:top w:val="single" w:color="auto" w:sz="4" w:space="0"/>
              <w:left w:val="single" w:color="auto" w:sz="4" w:space="0"/>
              <w:bottom w:val="single" w:color="auto" w:sz="4" w:space="0"/>
              <w:right w:val="single" w:color="auto" w:sz="4" w:space="0"/>
            </w:tcBorders>
            <w:vAlign w:val="center"/>
          </w:tcPr>
          <w:p>
            <w:pPr>
              <w:keepNext w:val="0"/>
              <w:keepLines w:val="0"/>
              <w:numPr>
                <w:ilvl w:val="0"/>
                <w:numId w:val="15"/>
              </w:numPr>
              <w:suppressLineNumbers w:val="0"/>
              <w:tabs>
                <w:tab w:val="left" w:pos="352"/>
                <w:tab w:val="left" w:pos="759"/>
                <w:tab w:val="left" w:pos="825"/>
              </w:tabs>
              <w:adjustRightInd w:val="0"/>
              <w:spacing w:before="0" w:beforeAutospacing="0" w:after="0" w:afterAutospacing="0" w:line="300" w:lineRule="exact"/>
              <w:ind w:right="0"/>
              <w:jc w:val="center"/>
              <w:rPr>
                <w:rFonts w:hint="eastAsia" w:ascii="宋体" w:hAnsi="宋体" w:eastAsia="宋体" w:cs="宋体"/>
                <w:smallCaps/>
                <w:kern w:val="2"/>
                <w:sz w:val="21"/>
                <w:szCs w:val="21"/>
              </w:rPr>
            </w:pPr>
          </w:p>
        </w:tc>
        <w:tc>
          <w:tcPr>
            <w:tcW w:w="309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建设项目安全设施施工完成后，建设单位应当按照有关安全生产法律、法规、规章和国家标准、行业标准的规定，对建设项目安全设施进行检验、检测，保证建设项目安全设施满足危险化学品生产、储存的安全要求，并处于正常适用状态。</w:t>
            </w:r>
          </w:p>
        </w:tc>
        <w:tc>
          <w:tcPr>
            <w:tcW w:w="212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bCs/>
                <w:kern w:val="2"/>
                <w:sz w:val="21"/>
                <w:szCs w:val="21"/>
              </w:rPr>
            </w:pPr>
            <w:r>
              <w:rPr>
                <w:rFonts w:hint="eastAsia" w:ascii="宋体" w:hAnsi="宋体" w:eastAsia="宋体" w:cs="宋体"/>
                <w:kern w:val="2"/>
                <w:sz w:val="21"/>
                <w:szCs w:val="21"/>
              </w:rPr>
              <w:t>《危险化学品建设项目安全监督管理办法》</w:t>
            </w:r>
            <w:r>
              <w:rPr>
                <w:rFonts w:hint="eastAsia" w:ascii="宋体" w:hAnsi="宋体" w:eastAsia="宋体" w:cs="宋体"/>
                <w:bCs/>
                <w:kern w:val="2"/>
                <w:sz w:val="21"/>
                <w:szCs w:val="21"/>
              </w:rPr>
              <w:t>（2012年1月30日国家安全监管总局令第45号公布，根据2015年5月27日国家安全监管总局令第79号修正）</w:t>
            </w:r>
            <w:r>
              <w:rPr>
                <w:rFonts w:hint="eastAsia" w:ascii="宋体" w:hAnsi="宋体" w:eastAsia="宋体" w:cs="宋体"/>
                <w:kern w:val="2"/>
                <w:sz w:val="21"/>
                <w:szCs w:val="21"/>
              </w:rPr>
              <w:t>第二十一条</w:t>
            </w:r>
          </w:p>
        </w:tc>
        <w:tc>
          <w:tcPr>
            <w:tcW w:w="242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加油站安全设施施工完成后，按照相关要求进行了检验、检测。</w:t>
            </w:r>
          </w:p>
        </w:tc>
        <w:tc>
          <w:tcPr>
            <w:tcW w:w="7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39" w:type="dxa"/>
            <w:tcBorders>
              <w:top w:val="single" w:color="auto" w:sz="4" w:space="0"/>
              <w:left w:val="single" w:color="auto" w:sz="4" w:space="0"/>
              <w:bottom w:val="single" w:color="auto" w:sz="4" w:space="0"/>
              <w:right w:val="single" w:color="auto" w:sz="4" w:space="0"/>
            </w:tcBorders>
            <w:vAlign w:val="center"/>
          </w:tcPr>
          <w:p>
            <w:pPr>
              <w:keepNext w:val="0"/>
              <w:keepLines w:val="0"/>
              <w:numPr>
                <w:ilvl w:val="0"/>
                <w:numId w:val="15"/>
              </w:numPr>
              <w:suppressLineNumbers w:val="0"/>
              <w:tabs>
                <w:tab w:val="left" w:pos="352"/>
                <w:tab w:val="left" w:pos="759"/>
                <w:tab w:val="left" w:pos="825"/>
              </w:tabs>
              <w:adjustRightInd w:val="0"/>
              <w:spacing w:before="0" w:beforeAutospacing="0" w:after="0" w:afterAutospacing="0" w:line="300" w:lineRule="exact"/>
              <w:ind w:right="0"/>
              <w:jc w:val="center"/>
              <w:rPr>
                <w:rFonts w:hint="eastAsia" w:ascii="宋体" w:hAnsi="宋体" w:eastAsia="宋体" w:cs="宋体"/>
                <w:smallCaps/>
                <w:kern w:val="2"/>
                <w:sz w:val="21"/>
                <w:szCs w:val="21"/>
              </w:rPr>
            </w:pPr>
          </w:p>
        </w:tc>
        <w:tc>
          <w:tcPr>
            <w:tcW w:w="309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建设项目安全设施施工完成后，施工单位应当编制建设项目安全设施施工情况报告。建设项目安全设施施工情况报告应当包括下列内容：（一）施工单位的基本情况，包括施工单位以往所承担的建设项目施工情况；（二）施工单位的资质情况（提供相关资质证明材料复印件）；（三）施工依据和执行的有关法律、法规、规章和国家标准、行业标准；（四）施工质量控制情况；（五）施工变更情况，包括建设项目在施工和试生产期间有关安全生产的设施改动情况。</w:t>
            </w:r>
          </w:p>
        </w:tc>
        <w:tc>
          <w:tcPr>
            <w:tcW w:w="212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bCs/>
                <w:kern w:val="2"/>
                <w:sz w:val="21"/>
                <w:szCs w:val="21"/>
              </w:rPr>
            </w:pPr>
            <w:r>
              <w:rPr>
                <w:rFonts w:hint="eastAsia" w:ascii="宋体" w:hAnsi="宋体" w:eastAsia="宋体" w:cs="宋体"/>
                <w:kern w:val="2"/>
                <w:sz w:val="21"/>
                <w:szCs w:val="21"/>
              </w:rPr>
              <w:t>《危险化学品建设项目安全监督管理办法》</w:t>
            </w:r>
            <w:r>
              <w:rPr>
                <w:rFonts w:hint="eastAsia" w:ascii="宋体" w:hAnsi="宋体" w:eastAsia="宋体" w:cs="宋体"/>
                <w:bCs/>
                <w:kern w:val="2"/>
                <w:sz w:val="21"/>
                <w:szCs w:val="21"/>
              </w:rPr>
              <w:t>（2012年1月30日国家安全监管总局令第45号公布，根据2015年5月27日国家安全监管总局令第79号修正）</w:t>
            </w:r>
            <w:r>
              <w:rPr>
                <w:rFonts w:hint="eastAsia" w:ascii="宋体" w:hAnsi="宋体" w:eastAsia="宋体" w:cs="宋体"/>
                <w:kern w:val="2"/>
                <w:sz w:val="21"/>
                <w:szCs w:val="21"/>
              </w:rPr>
              <w:t>第二十四条</w:t>
            </w:r>
          </w:p>
        </w:tc>
        <w:tc>
          <w:tcPr>
            <w:tcW w:w="242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有工程竣工报告。</w:t>
            </w:r>
          </w:p>
        </w:tc>
        <w:tc>
          <w:tcPr>
            <w:tcW w:w="7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39" w:type="dxa"/>
            <w:tcBorders>
              <w:top w:val="single" w:color="auto" w:sz="4" w:space="0"/>
              <w:left w:val="single" w:color="auto" w:sz="4" w:space="0"/>
              <w:bottom w:val="single" w:color="auto" w:sz="4" w:space="0"/>
              <w:right w:val="single" w:color="auto" w:sz="4" w:space="0"/>
            </w:tcBorders>
            <w:vAlign w:val="center"/>
          </w:tcPr>
          <w:p>
            <w:pPr>
              <w:keepNext w:val="0"/>
              <w:keepLines w:val="0"/>
              <w:numPr>
                <w:ilvl w:val="0"/>
                <w:numId w:val="15"/>
              </w:numPr>
              <w:suppressLineNumbers w:val="0"/>
              <w:tabs>
                <w:tab w:val="left" w:pos="352"/>
                <w:tab w:val="left" w:pos="759"/>
                <w:tab w:val="left" w:pos="825"/>
              </w:tabs>
              <w:adjustRightInd w:val="0"/>
              <w:spacing w:before="0" w:beforeAutospacing="0" w:after="0" w:afterAutospacing="0" w:line="300" w:lineRule="exact"/>
              <w:ind w:right="0"/>
              <w:jc w:val="center"/>
              <w:rPr>
                <w:rFonts w:hint="eastAsia" w:ascii="宋体" w:hAnsi="宋体" w:eastAsia="宋体" w:cs="宋体"/>
                <w:kern w:val="2"/>
                <w:sz w:val="21"/>
                <w:szCs w:val="21"/>
              </w:rPr>
            </w:pPr>
          </w:p>
        </w:tc>
        <w:tc>
          <w:tcPr>
            <w:tcW w:w="309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建设项目试生产期间，建设单位应当按照本办法的规定委托有相应资质的安全评价机构对建设项目及其安全设施试生产（使用）情况进行安全验收评价，且不得委托在可行性研究阶段进行安全评价的同一安全评价机构。</w:t>
            </w:r>
          </w:p>
        </w:tc>
        <w:tc>
          <w:tcPr>
            <w:tcW w:w="212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《危险化学品建设项目安全监督管理办法》</w:t>
            </w:r>
            <w:r>
              <w:rPr>
                <w:rFonts w:hint="eastAsia" w:ascii="宋体" w:hAnsi="宋体" w:eastAsia="宋体" w:cs="宋体"/>
                <w:bCs/>
                <w:kern w:val="2"/>
                <w:sz w:val="21"/>
                <w:szCs w:val="21"/>
              </w:rPr>
              <w:t>（2012年1月30日国家安全监管总局令第45号公布，根据2015年5月27日国家安全监管总局令第79号修正）</w:t>
            </w:r>
            <w:r>
              <w:rPr>
                <w:rFonts w:hint="eastAsia" w:ascii="宋体" w:hAnsi="宋体" w:eastAsia="宋体" w:cs="宋体"/>
                <w:kern w:val="2"/>
                <w:sz w:val="21"/>
                <w:szCs w:val="21"/>
              </w:rPr>
              <w:t>第二十五条</w:t>
            </w:r>
          </w:p>
        </w:tc>
        <w:tc>
          <w:tcPr>
            <w:tcW w:w="242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宋体" w:hAnsi="宋体" w:eastAsia="宋体" w:cs="宋体"/>
                <w:kern w:val="2"/>
                <w:sz w:val="21"/>
                <w:szCs w:val="21"/>
              </w:rPr>
            </w:pPr>
            <w:r>
              <w:rPr>
                <w:rFonts w:hint="eastAsia" w:ascii="宋体" w:hAnsi="宋体" w:eastAsia="宋体" w:cs="宋体"/>
                <w:kern w:val="2"/>
                <w:sz w:val="21"/>
                <w:szCs w:val="21"/>
              </w:rPr>
              <w:t>建设单位委托</w:t>
            </w:r>
            <w:r>
              <w:rPr>
                <w:rFonts w:hint="eastAsia" w:ascii="宋体" w:hAnsi="宋体" w:eastAsia="宋体" w:cs="宋体"/>
                <w:kern w:val="2"/>
                <w:sz w:val="21"/>
                <w:szCs w:val="21"/>
                <w:lang w:eastAsia="zh-CN"/>
              </w:rPr>
              <w:t>广东</w:t>
            </w:r>
            <w:r>
              <w:rPr>
                <w:rFonts w:hint="eastAsia" w:ascii="宋体" w:hAnsi="宋体" w:eastAsia="宋体" w:cs="宋体"/>
                <w:kern w:val="2"/>
                <w:sz w:val="21"/>
                <w:szCs w:val="21"/>
              </w:rPr>
              <w:t>安源鼎盛公司进行安全验收评价与原安全评价机构不属于同一家机构。</w:t>
            </w:r>
          </w:p>
        </w:tc>
        <w:tc>
          <w:tcPr>
            <w:tcW w:w="7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符合要求</w:t>
            </w:r>
          </w:p>
        </w:tc>
      </w:tr>
    </w:tbl>
    <w:p>
      <w:pPr>
        <w:pStyle w:val="6"/>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hint="eastAsia" w:ascii="宋体" w:hAnsi="宋体" w:eastAsia="宋体" w:cs="宋体"/>
        </w:rPr>
      </w:pPr>
      <w:r>
        <w:rPr>
          <w:rFonts w:hint="eastAsia" w:ascii="宋体" w:hAnsi="宋体" w:eastAsia="宋体" w:cs="宋体"/>
        </w:rPr>
        <w:t>由以上检查表的结果可知：该加油站在设计、施工、验收等过程中，按照国家相关的安全生产法律、法规的要求履行了建设程序，该加油站安全设施做到了与主体工程同时设计、同时施工、同时投入生产和使用，符合国家法律、法规对建设项目“三同时”的要求。</w:t>
      </w:r>
    </w:p>
    <w:p>
      <w:pPr>
        <w:keepNext w:val="0"/>
        <w:keepLines w:val="0"/>
        <w:pageBreakBefore w:val="0"/>
        <w:widowControl w:val="0"/>
        <w:kinsoku/>
        <w:wordWrap/>
        <w:overflowPunct/>
        <w:topLinePunct w:val="0"/>
        <w:autoSpaceDE w:val="0"/>
        <w:autoSpaceDN w:val="0"/>
        <w:bidi w:val="0"/>
        <w:adjustRightInd/>
        <w:snapToGrid/>
        <w:spacing w:before="360" w:beforeLines="150" w:after="240" w:afterLines="100" w:line="560" w:lineRule="exact"/>
        <w:jc w:val="center"/>
        <w:textAlignment w:val="auto"/>
        <w:outlineLvl w:val="1"/>
        <w:rPr>
          <w:rFonts w:hint="eastAsia" w:ascii="宋体" w:hAnsi="宋体" w:eastAsia="宋体" w:cs="宋体"/>
          <w:b/>
          <w:sz w:val="32"/>
          <w:szCs w:val="32"/>
        </w:rPr>
      </w:pPr>
      <w:bookmarkStart w:id="882" w:name="_Toc528325282"/>
      <w:bookmarkStart w:id="883" w:name="_Toc528401308"/>
      <w:bookmarkStart w:id="884" w:name="_Toc22143"/>
      <w:bookmarkStart w:id="885" w:name="_Toc529176545"/>
      <w:bookmarkStart w:id="886" w:name="_Toc3414_WPSOffice_Level2"/>
      <w:bookmarkStart w:id="887" w:name="_Toc28828"/>
      <w:bookmarkStart w:id="888" w:name="_Toc23389"/>
      <w:bookmarkStart w:id="889" w:name="_Toc23329_WPSOffice_Level2"/>
      <w:bookmarkStart w:id="890" w:name="_Toc9682"/>
      <w:bookmarkStart w:id="891" w:name="_Toc19060_WPSOffice_Level2"/>
      <w:r>
        <w:rPr>
          <w:rFonts w:hint="eastAsia" w:ascii="宋体" w:hAnsi="宋体" w:eastAsia="宋体" w:cs="宋体"/>
          <w:b/>
          <w:sz w:val="32"/>
          <w:szCs w:val="32"/>
        </w:rPr>
        <w:t>4.7</w:t>
      </w:r>
      <w:r>
        <w:rPr>
          <w:rFonts w:hint="eastAsia" w:ascii="宋体" w:hAnsi="宋体" w:eastAsia="宋体" w:cs="宋体"/>
          <w:b/>
          <w:sz w:val="32"/>
          <w:szCs w:val="32"/>
          <w:lang w:val="en-US"/>
        </w:rPr>
        <w:t xml:space="preserve"> </w:t>
      </w:r>
      <w:r>
        <w:rPr>
          <w:rFonts w:hint="eastAsia" w:ascii="宋体" w:hAnsi="宋体" w:eastAsia="宋体" w:cs="宋体"/>
          <w:b/>
          <w:sz w:val="32"/>
          <w:szCs w:val="32"/>
        </w:rPr>
        <w:t>重大生产安全事故隐患</w:t>
      </w:r>
      <w:bookmarkEnd w:id="882"/>
      <w:bookmarkEnd w:id="883"/>
      <w:r>
        <w:rPr>
          <w:rFonts w:hint="eastAsia" w:ascii="宋体" w:hAnsi="宋体" w:eastAsia="宋体" w:cs="宋体"/>
          <w:b/>
          <w:sz w:val="32"/>
          <w:szCs w:val="32"/>
        </w:rPr>
        <w:t>分析</w:t>
      </w:r>
      <w:bookmarkEnd w:id="884"/>
      <w:bookmarkEnd w:id="885"/>
      <w:bookmarkEnd w:id="886"/>
      <w:bookmarkEnd w:id="887"/>
      <w:bookmarkEnd w:id="888"/>
      <w:bookmarkEnd w:id="889"/>
      <w:bookmarkEnd w:id="890"/>
      <w:bookmarkEnd w:id="891"/>
    </w:p>
    <w:p>
      <w:pPr>
        <w:pStyle w:val="6"/>
        <w:keepNext w:val="0"/>
        <w:keepLines w:val="0"/>
        <w:pageBreakBefore w:val="0"/>
        <w:widowControl w:val="0"/>
        <w:tabs>
          <w:tab w:val="left" w:pos="8592"/>
        </w:tabs>
        <w:kinsoku/>
        <w:wordWrap/>
        <w:overflowPunct/>
        <w:topLinePunct w:val="0"/>
        <w:autoSpaceDE w:val="0"/>
        <w:autoSpaceDN w:val="0"/>
        <w:bidi w:val="0"/>
        <w:adjustRightInd/>
        <w:snapToGrid/>
        <w:spacing w:line="560" w:lineRule="exact"/>
        <w:ind w:firstLine="560" w:firstLineChars="200"/>
        <w:jc w:val="both"/>
        <w:textAlignment w:val="auto"/>
        <w:rPr>
          <w:rFonts w:hint="eastAsia" w:ascii="宋体" w:hAnsi="宋体" w:eastAsia="宋体" w:cs="宋体"/>
        </w:rPr>
      </w:pPr>
      <w:r>
        <w:rPr>
          <w:rFonts w:hint="eastAsia" w:ascii="宋体" w:hAnsi="宋体" w:eastAsia="宋体" w:cs="宋体"/>
        </w:rPr>
        <w:t>根据《化工和危险化学品生产经营单位重大生产安全事故隐患判定标准（试行）》（安监总管三〔2017〕121号），对该加油站是否存在化工和危险化学品生产经营单位重大生产安全事故隐患进行判定分析。</w:t>
      </w:r>
    </w:p>
    <w:p>
      <w:pPr>
        <w:pStyle w:val="6"/>
        <w:keepNext w:val="0"/>
        <w:keepLines w:val="0"/>
        <w:pageBreakBefore w:val="0"/>
        <w:widowControl w:val="0"/>
        <w:tabs>
          <w:tab w:val="left" w:pos="8592"/>
        </w:tabs>
        <w:kinsoku/>
        <w:wordWrap/>
        <w:overflowPunct/>
        <w:topLinePunct w:val="0"/>
        <w:autoSpaceDE w:val="0"/>
        <w:autoSpaceDN w:val="0"/>
        <w:bidi w:val="0"/>
        <w:adjustRightInd/>
        <w:snapToGrid/>
        <w:spacing w:line="560" w:lineRule="exact"/>
        <w:jc w:val="center"/>
        <w:textAlignment w:val="auto"/>
        <w:rPr>
          <w:rFonts w:hint="eastAsia" w:ascii="宋体" w:hAnsi="宋体" w:eastAsia="宋体" w:cs="宋体"/>
          <w:sz w:val="28"/>
          <w:szCs w:val="28"/>
        </w:rPr>
      </w:pPr>
      <w:bookmarkStart w:id="892" w:name="_Toc30695_WPSOffice_Level3"/>
      <w:bookmarkStart w:id="893" w:name="_Toc3846_WPSOffice_Level3"/>
      <w:bookmarkStart w:id="894" w:name="_Toc1822_WPSOffice_Level3"/>
      <w:r>
        <w:rPr>
          <w:rFonts w:hint="eastAsia" w:ascii="宋体" w:hAnsi="宋体" w:eastAsia="宋体" w:cs="宋体"/>
          <w:sz w:val="28"/>
          <w:szCs w:val="28"/>
        </w:rPr>
        <w:t>附表</w:t>
      </w:r>
      <w:r>
        <w:rPr>
          <w:rFonts w:hint="eastAsia" w:ascii="宋体" w:hAnsi="宋体" w:eastAsia="宋体" w:cs="宋体"/>
          <w:sz w:val="28"/>
          <w:szCs w:val="28"/>
          <w:lang w:val="en-US"/>
        </w:rPr>
        <w:t>4.7</w:t>
      </w:r>
      <w:r>
        <w:rPr>
          <w:rFonts w:hint="eastAsia" w:ascii="宋体" w:hAnsi="宋体" w:eastAsia="宋体" w:cs="宋体"/>
          <w:sz w:val="28"/>
          <w:szCs w:val="28"/>
        </w:rPr>
        <w:t>-1 重大生</w:t>
      </w:r>
      <w:r>
        <w:rPr>
          <w:rFonts w:hint="eastAsia" w:ascii="宋体" w:hAnsi="宋体" w:eastAsia="宋体" w:cs="宋体"/>
          <w:spacing w:val="-3"/>
          <w:sz w:val="28"/>
          <w:szCs w:val="28"/>
        </w:rPr>
        <w:t>产</w:t>
      </w:r>
      <w:r>
        <w:rPr>
          <w:rFonts w:hint="eastAsia" w:ascii="宋体" w:hAnsi="宋体" w:eastAsia="宋体" w:cs="宋体"/>
          <w:sz w:val="28"/>
          <w:szCs w:val="28"/>
        </w:rPr>
        <w:t>安全</w:t>
      </w:r>
      <w:r>
        <w:rPr>
          <w:rFonts w:hint="eastAsia" w:ascii="宋体" w:hAnsi="宋体" w:eastAsia="宋体" w:cs="宋体"/>
          <w:spacing w:val="-3"/>
          <w:sz w:val="28"/>
          <w:szCs w:val="28"/>
        </w:rPr>
        <w:t>事故</w:t>
      </w:r>
      <w:r>
        <w:rPr>
          <w:rFonts w:hint="eastAsia" w:ascii="宋体" w:hAnsi="宋体" w:eastAsia="宋体" w:cs="宋体"/>
          <w:sz w:val="28"/>
          <w:szCs w:val="28"/>
        </w:rPr>
        <w:t>隐患检</w:t>
      </w:r>
      <w:r>
        <w:rPr>
          <w:rFonts w:hint="eastAsia" w:ascii="宋体" w:hAnsi="宋体" w:eastAsia="宋体" w:cs="宋体"/>
          <w:spacing w:val="-3"/>
          <w:sz w:val="28"/>
          <w:szCs w:val="28"/>
        </w:rPr>
        <w:t>查</w:t>
      </w:r>
      <w:r>
        <w:rPr>
          <w:rFonts w:hint="eastAsia" w:ascii="宋体" w:hAnsi="宋体" w:eastAsia="宋体" w:cs="宋体"/>
          <w:sz w:val="28"/>
          <w:szCs w:val="28"/>
        </w:rPr>
        <w:t>表</w:t>
      </w:r>
      <w:bookmarkEnd w:id="892"/>
      <w:bookmarkEnd w:id="893"/>
      <w:bookmarkEnd w:id="894"/>
    </w:p>
    <w:tbl>
      <w:tblPr>
        <w:tblStyle w:val="15"/>
        <w:tblW w:w="90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4"/>
        <w:gridCol w:w="3576"/>
        <w:gridCol w:w="1637"/>
        <w:gridCol w:w="2542"/>
        <w:gridCol w:w="7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57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b/>
                <w:bCs/>
                <w:kern w:val="2"/>
                <w:sz w:val="21"/>
                <w:szCs w:val="21"/>
              </w:rPr>
            </w:pPr>
            <w:r>
              <w:rPr>
                <w:rFonts w:hint="eastAsia" w:ascii="宋体" w:hAnsi="宋体" w:eastAsia="宋体" w:cs="宋体"/>
                <w:b/>
                <w:bCs/>
                <w:kern w:val="2"/>
                <w:sz w:val="21"/>
                <w:szCs w:val="21"/>
              </w:rPr>
              <w:t>序号</w:t>
            </w:r>
          </w:p>
        </w:tc>
        <w:tc>
          <w:tcPr>
            <w:tcW w:w="357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b/>
                <w:bCs/>
                <w:kern w:val="2"/>
                <w:sz w:val="21"/>
                <w:szCs w:val="21"/>
              </w:rPr>
            </w:pPr>
            <w:r>
              <w:rPr>
                <w:rFonts w:hint="eastAsia" w:ascii="宋体" w:hAnsi="宋体" w:eastAsia="宋体" w:cs="宋体"/>
                <w:b/>
                <w:bCs/>
                <w:kern w:val="2"/>
                <w:sz w:val="21"/>
                <w:szCs w:val="21"/>
              </w:rPr>
              <w:t>检查内容</w:t>
            </w:r>
          </w:p>
        </w:tc>
        <w:tc>
          <w:tcPr>
            <w:tcW w:w="163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b/>
                <w:bCs/>
                <w:kern w:val="2"/>
                <w:sz w:val="21"/>
                <w:szCs w:val="21"/>
              </w:rPr>
            </w:pPr>
            <w:r>
              <w:rPr>
                <w:rFonts w:hint="eastAsia" w:ascii="宋体" w:hAnsi="宋体" w:eastAsia="宋体" w:cs="宋体"/>
                <w:b/>
                <w:bCs/>
                <w:kern w:val="2"/>
                <w:sz w:val="21"/>
                <w:szCs w:val="21"/>
              </w:rPr>
              <w:t>依据</w:t>
            </w:r>
          </w:p>
        </w:tc>
        <w:tc>
          <w:tcPr>
            <w:tcW w:w="25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b/>
                <w:bCs/>
                <w:kern w:val="2"/>
                <w:sz w:val="21"/>
                <w:szCs w:val="21"/>
              </w:rPr>
            </w:pPr>
            <w:r>
              <w:rPr>
                <w:rFonts w:hint="eastAsia" w:ascii="宋体" w:hAnsi="宋体" w:eastAsia="宋体" w:cs="宋体"/>
                <w:b/>
                <w:bCs/>
                <w:kern w:val="2"/>
                <w:sz w:val="21"/>
                <w:szCs w:val="21"/>
              </w:rPr>
              <w:t>检查情况</w:t>
            </w:r>
          </w:p>
        </w:tc>
        <w:tc>
          <w:tcPr>
            <w:tcW w:w="76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b/>
                <w:bCs/>
                <w:kern w:val="2"/>
                <w:sz w:val="21"/>
                <w:szCs w:val="21"/>
              </w:rPr>
            </w:pPr>
            <w:r>
              <w:rPr>
                <w:rFonts w:hint="eastAsia" w:ascii="宋体" w:hAnsi="宋体" w:eastAsia="宋体" w:cs="宋体"/>
                <w:b/>
                <w:bCs/>
                <w:kern w:val="2"/>
                <w:sz w:val="21"/>
                <w:szCs w:val="21"/>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7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1</w:t>
            </w:r>
          </w:p>
        </w:tc>
        <w:tc>
          <w:tcPr>
            <w:tcW w:w="357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firstLine="420"/>
              <w:rPr>
                <w:rFonts w:hint="eastAsia" w:ascii="宋体" w:hAnsi="宋体" w:eastAsia="宋体" w:cs="宋体"/>
                <w:kern w:val="2"/>
                <w:sz w:val="21"/>
                <w:szCs w:val="21"/>
              </w:rPr>
            </w:pPr>
            <w:r>
              <w:rPr>
                <w:rFonts w:hint="eastAsia" w:ascii="宋体" w:hAnsi="宋体" w:eastAsia="宋体" w:cs="宋体"/>
                <w:kern w:val="2"/>
                <w:sz w:val="21"/>
                <w:szCs w:val="21"/>
              </w:rPr>
              <w:t>危险化学品生产、经营单位主要负责人和安全生产管理人员未依法经考核合格。</w:t>
            </w:r>
          </w:p>
        </w:tc>
        <w:tc>
          <w:tcPr>
            <w:tcW w:w="1637" w:type="dxa"/>
            <w:vMerge w:val="restart"/>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《化工和危险化学品生产经营单位重大生产安全事故隐患判定标准（试行）》（安监总管三〔2017〕121号）</w:t>
            </w:r>
          </w:p>
        </w:tc>
        <w:tc>
          <w:tcPr>
            <w:tcW w:w="25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rPr>
                <w:rFonts w:hint="eastAsia" w:ascii="宋体" w:hAnsi="宋体" w:eastAsia="宋体" w:cs="宋体"/>
                <w:kern w:val="2"/>
                <w:sz w:val="21"/>
                <w:szCs w:val="21"/>
              </w:rPr>
            </w:pPr>
            <w:r>
              <w:rPr>
                <w:rFonts w:hint="eastAsia" w:ascii="宋体" w:hAnsi="宋体" w:eastAsia="宋体" w:cs="宋体"/>
                <w:kern w:val="2"/>
                <w:sz w:val="21"/>
                <w:szCs w:val="21"/>
              </w:rPr>
              <w:t>主要负责人和安全生产管理人员经考核合格（见附件资料的人员证书）。</w:t>
            </w:r>
          </w:p>
        </w:tc>
        <w:tc>
          <w:tcPr>
            <w:tcW w:w="76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7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2</w:t>
            </w:r>
          </w:p>
        </w:tc>
        <w:tc>
          <w:tcPr>
            <w:tcW w:w="357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firstLine="420"/>
              <w:rPr>
                <w:rFonts w:hint="eastAsia" w:ascii="宋体" w:hAnsi="宋体" w:eastAsia="宋体" w:cs="宋体"/>
                <w:kern w:val="2"/>
                <w:sz w:val="21"/>
                <w:szCs w:val="21"/>
              </w:rPr>
            </w:pPr>
            <w:r>
              <w:rPr>
                <w:rFonts w:hint="eastAsia" w:ascii="宋体" w:hAnsi="宋体" w:eastAsia="宋体" w:cs="宋体"/>
                <w:kern w:val="2"/>
                <w:sz w:val="21"/>
                <w:szCs w:val="21"/>
              </w:rPr>
              <w:t>特种作业人员未持证上岗。</w:t>
            </w:r>
          </w:p>
        </w:tc>
        <w:tc>
          <w:tcPr>
            <w:tcW w:w="1637"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p>
        </w:tc>
        <w:tc>
          <w:tcPr>
            <w:tcW w:w="25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rPr>
                <w:rFonts w:hint="eastAsia" w:ascii="宋体" w:hAnsi="宋体" w:eastAsia="宋体" w:cs="宋体"/>
                <w:kern w:val="2"/>
                <w:sz w:val="21"/>
                <w:szCs w:val="21"/>
              </w:rPr>
            </w:pPr>
            <w:r>
              <w:rPr>
                <w:rFonts w:hint="eastAsia" w:ascii="宋体" w:hAnsi="宋体" w:eastAsia="宋体" w:cs="宋体"/>
                <w:kern w:val="2"/>
                <w:sz w:val="21"/>
                <w:szCs w:val="21"/>
                <w:lang w:eastAsia="zh-CN"/>
              </w:rPr>
              <w:t>该</w:t>
            </w:r>
            <w:r>
              <w:rPr>
                <w:rFonts w:hint="eastAsia" w:ascii="宋体" w:hAnsi="宋体" w:eastAsia="宋体" w:cs="宋体"/>
                <w:kern w:val="2"/>
                <w:sz w:val="21"/>
                <w:szCs w:val="21"/>
              </w:rPr>
              <w:t>加油站</w:t>
            </w:r>
            <w:r>
              <w:rPr>
                <w:rFonts w:hint="eastAsia" w:ascii="宋体" w:hAnsi="宋体" w:eastAsia="宋体" w:cs="宋体"/>
                <w:kern w:val="2"/>
                <w:sz w:val="21"/>
                <w:szCs w:val="21"/>
                <w:lang w:eastAsia="zh-CN"/>
              </w:rPr>
              <w:t>没有</w:t>
            </w:r>
            <w:r>
              <w:rPr>
                <w:rFonts w:hint="eastAsia" w:ascii="宋体" w:hAnsi="宋体" w:eastAsia="宋体" w:cs="宋体"/>
                <w:kern w:val="2"/>
                <w:sz w:val="21"/>
                <w:szCs w:val="21"/>
              </w:rPr>
              <w:t>特种作业人员。</w:t>
            </w:r>
          </w:p>
        </w:tc>
        <w:tc>
          <w:tcPr>
            <w:tcW w:w="76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7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3</w:t>
            </w:r>
          </w:p>
        </w:tc>
        <w:tc>
          <w:tcPr>
            <w:tcW w:w="357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firstLine="420"/>
              <w:rPr>
                <w:rFonts w:hint="eastAsia" w:ascii="宋体" w:hAnsi="宋体" w:eastAsia="宋体" w:cs="宋体"/>
                <w:kern w:val="2"/>
                <w:sz w:val="21"/>
                <w:szCs w:val="21"/>
              </w:rPr>
            </w:pPr>
            <w:r>
              <w:rPr>
                <w:rFonts w:hint="eastAsia" w:ascii="宋体" w:hAnsi="宋体" w:eastAsia="宋体" w:cs="宋体"/>
                <w:kern w:val="2"/>
                <w:sz w:val="21"/>
                <w:szCs w:val="21"/>
              </w:rPr>
              <w:t>涉及“两重点一重大”的生产装置、储存设施外部安全防护距离不符合国家标准要求。</w:t>
            </w:r>
          </w:p>
        </w:tc>
        <w:tc>
          <w:tcPr>
            <w:tcW w:w="1637" w:type="dxa"/>
            <w:vMerge w:val="continue"/>
            <w:tcBorders>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p>
        </w:tc>
        <w:tc>
          <w:tcPr>
            <w:tcW w:w="25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rPr>
                <w:rFonts w:hint="eastAsia" w:ascii="宋体" w:hAnsi="宋体" w:eastAsia="宋体" w:cs="宋体"/>
                <w:kern w:val="2"/>
                <w:sz w:val="21"/>
                <w:szCs w:val="21"/>
              </w:rPr>
            </w:pPr>
            <w:r>
              <w:rPr>
                <w:rFonts w:hint="eastAsia" w:ascii="宋体" w:hAnsi="宋体" w:eastAsia="宋体" w:cs="宋体"/>
                <w:kern w:val="2"/>
                <w:sz w:val="21"/>
                <w:szCs w:val="21"/>
              </w:rPr>
              <w:t>该加油站涉及重点监管的危化品，但没有构成重大危险源，加油站设装置、储存设施和外部安全防护距离符合国家标准要求。</w:t>
            </w:r>
          </w:p>
        </w:tc>
        <w:tc>
          <w:tcPr>
            <w:tcW w:w="76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7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4</w:t>
            </w:r>
          </w:p>
        </w:tc>
        <w:tc>
          <w:tcPr>
            <w:tcW w:w="357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firstLine="420"/>
              <w:rPr>
                <w:rFonts w:hint="eastAsia" w:ascii="宋体" w:hAnsi="宋体" w:eastAsia="宋体" w:cs="宋体"/>
                <w:kern w:val="2"/>
                <w:sz w:val="21"/>
                <w:szCs w:val="21"/>
              </w:rPr>
            </w:pPr>
            <w:r>
              <w:rPr>
                <w:rFonts w:hint="eastAsia" w:ascii="宋体" w:hAnsi="宋体" w:eastAsia="宋体" w:cs="宋体"/>
                <w:kern w:val="2"/>
                <w:sz w:val="21"/>
                <w:szCs w:val="21"/>
              </w:rPr>
              <w:t>涉及重点监管危险化工工艺的装置未实现自动化控制，系统未实现紧急停车功能，装备的自动化控制系统、紧急停车系统未投入使用。</w:t>
            </w:r>
          </w:p>
        </w:tc>
        <w:tc>
          <w:tcPr>
            <w:tcW w:w="1637" w:type="dxa"/>
            <w:vMerge w:val="restart"/>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《化工和危险化学品生产经营单位重大生产安全事故隐患判定标准（试行）》（安监总管三〔2017〕121号）</w:t>
            </w:r>
          </w:p>
        </w:tc>
        <w:tc>
          <w:tcPr>
            <w:tcW w:w="25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rPr>
                <w:rFonts w:hint="eastAsia" w:ascii="宋体" w:hAnsi="宋体" w:eastAsia="宋体" w:cs="宋体"/>
                <w:kern w:val="2"/>
                <w:sz w:val="21"/>
                <w:szCs w:val="21"/>
              </w:rPr>
            </w:pPr>
            <w:r>
              <w:rPr>
                <w:rFonts w:hint="eastAsia" w:ascii="宋体" w:hAnsi="宋体" w:eastAsia="宋体" w:cs="宋体"/>
                <w:kern w:val="2"/>
                <w:sz w:val="21"/>
                <w:szCs w:val="21"/>
              </w:rPr>
              <w:t>该加油站不涉及重点监管危险化工工艺。</w:t>
            </w:r>
          </w:p>
        </w:tc>
        <w:tc>
          <w:tcPr>
            <w:tcW w:w="76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7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5</w:t>
            </w:r>
          </w:p>
        </w:tc>
        <w:tc>
          <w:tcPr>
            <w:tcW w:w="357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firstLine="420"/>
              <w:rPr>
                <w:rFonts w:hint="eastAsia" w:ascii="宋体" w:hAnsi="宋体" w:eastAsia="宋体" w:cs="宋体"/>
                <w:kern w:val="2"/>
                <w:sz w:val="21"/>
                <w:szCs w:val="21"/>
              </w:rPr>
            </w:pPr>
            <w:r>
              <w:rPr>
                <w:rFonts w:hint="eastAsia" w:ascii="宋体" w:hAnsi="宋体" w:eastAsia="宋体" w:cs="宋体"/>
                <w:kern w:val="2"/>
                <w:sz w:val="21"/>
                <w:szCs w:val="21"/>
              </w:rPr>
              <w:t>构成一级、二级重大危险源的危险化学品罐区未实现紧急切断功能；涉及毒性气体、液化气体、剧毒液体的一级、二级重大危险源的危险化学品罐区未配备独立的安全仪表系统。</w:t>
            </w:r>
          </w:p>
        </w:tc>
        <w:tc>
          <w:tcPr>
            <w:tcW w:w="1637" w:type="dxa"/>
            <w:vMerge w:val="continue"/>
            <w:tcBorders>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p>
        </w:tc>
        <w:tc>
          <w:tcPr>
            <w:tcW w:w="25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rPr>
                <w:rFonts w:hint="eastAsia" w:ascii="宋体" w:hAnsi="宋体" w:eastAsia="宋体" w:cs="宋体"/>
                <w:kern w:val="2"/>
                <w:sz w:val="21"/>
                <w:szCs w:val="21"/>
              </w:rPr>
            </w:pPr>
            <w:r>
              <w:rPr>
                <w:rFonts w:hint="eastAsia" w:ascii="宋体" w:hAnsi="宋体" w:eastAsia="宋体" w:cs="宋体"/>
                <w:kern w:val="2"/>
                <w:sz w:val="21"/>
                <w:szCs w:val="21"/>
              </w:rPr>
              <w:t>该加油站没有构成危险化学品重大危险源。</w:t>
            </w:r>
          </w:p>
        </w:tc>
        <w:tc>
          <w:tcPr>
            <w:tcW w:w="76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7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6</w:t>
            </w:r>
          </w:p>
        </w:tc>
        <w:tc>
          <w:tcPr>
            <w:tcW w:w="357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firstLine="420"/>
              <w:rPr>
                <w:rFonts w:hint="eastAsia" w:ascii="宋体" w:hAnsi="宋体" w:eastAsia="宋体" w:cs="宋体"/>
                <w:kern w:val="2"/>
                <w:sz w:val="21"/>
                <w:szCs w:val="21"/>
              </w:rPr>
            </w:pPr>
            <w:r>
              <w:rPr>
                <w:rFonts w:hint="eastAsia" w:ascii="宋体" w:hAnsi="宋体" w:eastAsia="宋体" w:cs="宋体"/>
                <w:kern w:val="2"/>
                <w:sz w:val="21"/>
                <w:szCs w:val="21"/>
              </w:rPr>
              <w:t>全压力式液化烃储罐未按国家标准设置注水措施。</w:t>
            </w:r>
          </w:p>
        </w:tc>
        <w:tc>
          <w:tcPr>
            <w:tcW w:w="1637" w:type="dxa"/>
            <w:vMerge w:val="restart"/>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《化工和危险化学品生产经营单位重大生产安全事故隐患判定标准（试行）》（安监总管三〔2017〕121号）</w:t>
            </w:r>
          </w:p>
        </w:tc>
        <w:tc>
          <w:tcPr>
            <w:tcW w:w="25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rPr>
                <w:rFonts w:hint="eastAsia" w:ascii="宋体" w:hAnsi="宋体" w:eastAsia="宋体" w:cs="宋体"/>
                <w:kern w:val="2"/>
                <w:sz w:val="21"/>
                <w:szCs w:val="21"/>
              </w:rPr>
            </w:pPr>
            <w:r>
              <w:rPr>
                <w:rFonts w:hint="eastAsia" w:ascii="宋体" w:hAnsi="宋体" w:eastAsia="宋体" w:cs="宋体"/>
                <w:kern w:val="2"/>
                <w:sz w:val="21"/>
                <w:szCs w:val="21"/>
              </w:rPr>
              <w:t>该加油站没有全压力式液化烃储罐。</w:t>
            </w:r>
          </w:p>
        </w:tc>
        <w:tc>
          <w:tcPr>
            <w:tcW w:w="76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7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7</w:t>
            </w:r>
          </w:p>
        </w:tc>
        <w:tc>
          <w:tcPr>
            <w:tcW w:w="357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firstLine="420"/>
              <w:rPr>
                <w:rFonts w:hint="eastAsia" w:ascii="宋体" w:hAnsi="宋体" w:eastAsia="宋体" w:cs="宋体"/>
                <w:kern w:val="2"/>
                <w:sz w:val="21"/>
                <w:szCs w:val="21"/>
              </w:rPr>
            </w:pPr>
            <w:r>
              <w:rPr>
                <w:rFonts w:hint="eastAsia" w:ascii="宋体" w:hAnsi="宋体" w:eastAsia="宋体" w:cs="宋体"/>
                <w:kern w:val="2"/>
                <w:sz w:val="21"/>
                <w:szCs w:val="21"/>
              </w:rPr>
              <w:t>液化烃、液氨、液氯等易燃易爆、有毒有害液化气体的充装未使用万向管道充装系统。</w:t>
            </w:r>
          </w:p>
        </w:tc>
        <w:tc>
          <w:tcPr>
            <w:tcW w:w="1637"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p>
        </w:tc>
        <w:tc>
          <w:tcPr>
            <w:tcW w:w="25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rPr>
                <w:rFonts w:hint="eastAsia" w:ascii="宋体" w:hAnsi="宋体" w:eastAsia="宋体" w:cs="宋体"/>
                <w:kern w:val="2"/>
                <w:sz w:val="21"/>
                <w:szCs w:val="21"/>
              </w:rPr>
            </w:pPr>
            <w:r>
              <w:rPr>
                <w:rFonts w:hint="eastAsia" w:ascii="宋体" w:hAnsi="宋体" w:eastAsia="宋体" w:cs="宋体"/>
                <w:kern w:val="2"/>
                <w:sz w:val="21"/>
                <w:szCs w:val="21"/>
              </w:rPr>
              <w:t>该加油站没有液化烃、液氨、液氯等易燃易爆、有毒有害液化气体的充装作业。</w:t>
            </w:r>
          </w:p>
        </w:tc>
        <w:tc>
          <w:tcPr>
            <w:tcW w:w="76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7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8</w:t>
            </w:r>
          </w:p>
        </w:tc>
        <w:tc>
          <w:tcPr>
            <w:tcW w:w="357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firstLine="420"/>
              <w:rPr>
                <w:rFonts w:hint="eastAsia" w:ascii="宋体" w:hAnsi="宋体" w:eastAsia="宋体" w:cs="宋体"/>
                <w:kern w:val="2"/>
                <w:sz w:val="21"/>
                <w:szCs w:val="21"/>
              </w:rPr>
            </w:pPr>
            <w:r>
              <w:rPr>
                <w:rFonts w:hint="eastAsia" w:ascii="宋体" w:hAnsi="宋体" w:eastAsia="宋体" w:cs="宋体"/>
                <w:kern w:val="2"/>
                <w:sz w:val="21"/>
                <w:szCs w:val="21"/>
              </w:rPr>
              <w:t>光气、氯气等剧毒气体及硫化氢气体管道穿越除厂区(包括化工园区、工业园区）外的公共区域。</w:t>
            </w:r>
          </w:p>
        </w:tc>
        <w:tc>
          <w:tcPr>
            <w:tcW w:w="1637"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p>
        </w:tc>
        <w:tc>
          <w:tcPr>
            <w:tcW w:w="25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rPr>
                <w:rFonts w:hint="eastAsia" w:ascii="宋体" w:hAnsi="宋体" w:eastAsia="宋体" w:cs="宋体"/>
                <w:kern w:val="2"/>
                <w:sz w:val="21"/>
                <w:szCs w:val="21"/>
              </w:rPr>
            </w:pPr>
            <w:r>
              <w:rPr>
                <w:rFonts w:hint="eastAsia" w:ascii="宋体" w:hAnsi="宋体" w:eastAsia="宋体" w:cs="宋体"/>
                <w:kern w:val="2"/>
                <w:sz w:val="21"/>
                <w:szCs w:val="21"/>
              </w:rPr>
              <w:t>该加油站没有使用光气、氯气等剧毒气体及硫化氢气体。</w:t>
            </w:r>
          </w:p>
        </w:tc>
        <w:tc>
          <w:tcPr>
            <w:tcW w:w="76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7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9</w:t>
            </w:r>
          </w:p>
        </w:tc>
        <w:tc>
          <w:tcPr>
            <w:tcW w:w="357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firstLine="420"/>
              <w:rPr>
                <w:rFonts w:hint="eastAsia" w:ascii="宋体" w:hAnsi="宋体" w:eastAsia="宋体" w:cs="宋体"/>
                <w:kern w:val="2"/>
                <w:sz w:val="21"/>
                <w:szCs w:val="21"/>
              </w:rPr>
            </w:pPr>
            <w:r>
              <w:rPr>
                <w:rFonts w:hint="eastAsia" w:ascii="宋体" w:hAnsi="宋体" w:eastAsia="宋体" w:cs="宋体"/>
                <w:kern w:val="2"/>
                <w:sz w:val="21"/>
                <w:szCs w:val="21"/>
              </w:rPr>
              <w:t>地区架空电力线路穿越生产区且不符合国家标准要求。</w:t>
            </w:r>
          </w:p>
        </w:tc>
        <w:tc>
          <w:tcPr>
            <w:tcW w:w="1637"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p>
        </w:tc>
        <w:tc>
          <w:tcPr>
            <w:tcW w:w="25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rPr>
                <w:rFonts w:hint="eastAsia" w:ascii="宋体" w:hAnsi="宋体" w:eastAsia="宋体" w:cs="宋体"/>
                <w:kern w:val="2"/>
                <w:sz w:val="21"/>
                <w:szCs w:val="21"/>
              </w:rPr>
            </w:pPr>
            <w:r>
              <w:rPr>
                <w:rFonts w:hint="eastAsia" w:ascii="宋体" w:hAnsi="宋体" w:eastAsia="宋体" w:cs="宋体"/>
                <w:kern w:val="2"/>
                <w:sz w:val="21"/>
                <w:szCs w:val="21"/>
              </w:rPr>
              <w:t>该加油站没有地区架空电力线路穿越生产区。</w:t>
            </w:r>
          </w:p>
        </w:tc>
        <w:tc>
          <w:tcPr>
            <w:tcW w:w="76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7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10</w:t>
            </w:r>
          </w:p>
        </w:tc>
        <w:tc>
          <w:tcPr>
            <w:tcW w:w="357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firstLine="420"/>
              <w:rPr>
                <w:rFonts w:hint="eastAsia" w:ascii="宋体" w:hAnsi="宋体" w:eastAsia="宋体" w:cs="宋体"/>
                <w:kern w:val="2"/>
                <w:sz w:val="21"/>
                <w:szCs w:val="21"/>
              </w:rPr>
            </w:pPr>
            <w:r>
              <w:rPr>
                <w:rFonts w:hint="eastAsia" w:ascii="宋体" w:hAnsi="宋体" w:eastAsia="宋体" w:cs="宋体"/>
                <w:kern w:val="2"/>
                <w:sz w:val="21"/>
                <w:szCs w:val="21"/>
              </w:rPr>
              <w:t>在役化工装置未经正规设计且未进行安全设计诊断。</w:t>
            </w:r>
          </w:p>
        </w:tc>
        <w:tc>
          <w:tcPr>
            <w:tcW w:w="1637" w:type="dxa"/>
            <w:vMerge w:val="continue"/>
            <w:tcBorders>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p>
        </w:tc>
        <w:tc>
          <w:tcPr>
            <w:tcW w:w="25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rPr>
                <w:rFonts w:hint="eastAsia" w:ascii="宋体" w:hAnsi="宋体" w:eastAsia="宋体" w:cs="宋体"/>
                <w:kern w:val="2"/>
                <w:sz w:val="21"/>
                <w:szCs w:val="21"/>
              </w:rPr>
            </w:pPr>
            <w:r>
              <w:rPr>
                <w:rFonts w:hint="eastAsia" w:ascii="宋体" w:hAnsi="宋体" w:eastAsia="宋体" w:cs="宋体"/>
                <w:kern w:val="2"/>
                <w:sz w:val="21"/>
                <w:szCs w:val="21"/>
              </w:rPr>
              <w:t>该加油站在役化工装置经正规设计。</w:t>
            </w:r>
          </w:p>
        </w:tc>
        <w:tc>
          <w:tcPr>
            <w:tcW w:w="76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7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11</w:t>
            </w:r>
          </w:p>
        </w:tc>
        <w:tc>
          <w:tcPr>
            <w:tcW w:w="357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firstLine="420"/>
              <w:rPr>
                <w:rFonts w:hint="eastAsia" w:ascii="宋体" w:hAnsi="宋体" w:eastAsia="宋体" w:cs="宋体"/>
                <w:kern w:val="2"/>
                <w:sz w:val="21"/>
                <w:szCs w:val="21"/>
              </w:rPr>
            </w:pPr>
            <w:r>
              <w:rPr>
                <w:rFonts w:hint="eastAsia" w:ascii="宋体" w:hAnsi="宋体" w:eastAsia="宋体" w:cs="宋体"/>
                <w:kern w:val="2"/>
                <w:sz w:val="21"/>
                <w:szCs w:val="21"/>
              </w:rPr>
              <w:t>使用淘汰落后安全技术工艺、设备目录列出的工艺、设备。</w:t>
            </w:r>
          </w:p>
        </w:tc>
        <w:tc>
          <w:tcPr>
            <w:tcW w:w="1637" w:type="dxa"/>
            <w:vMerge w:val="restart"/>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《化工和危险化学品生产经营单位重大生产安全事故隐患判定标准（试行）》（安监总管三〔2017〕121号）</w:t>
            </w:r>
          </w:p>
        </w:tc>
        <w:tc>
          <w:tcPr>
            <w:tcW w:w="25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rPr>
                <w:rFonts w:hint="eastAsia" w:ascii="宋体" w:hAnsi="宋体" w:eastAsia="宋体" w:cs="宋体"/>
                <w:kern w:val="2"/>
                <w:sz w:val="21"/>
                <w:szCs w:val="21"/>
              </w:rPr>
            </w:pPr>
            <w:r>
              <w:rPr>
                <w:rFonts w:hint="eastAsia" w:ascii="宋体" w:hAnsi="宋体" w:eastAsia="宋体" w:cs="宋体"/>
                <w:kern w:val="2"/>
                <w:sz w:val="21"/>
                <w:szCs w:val="21"/>
              </w:rPr>
              <w:t>该加油站没有使用使用淘汰落后工艺、设备。</w:t>
            </w:r>
          </w:p>
        </w:tc>
        <w:tc>
          <w:tcPr>
            <w:tcW w:w="76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7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12</w:t>
            </w:r>
          </w:p>
        </w:tc>
        <w:tc>
          <w:tcPr>
            <w:tcW w:w="357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firstLine="420"/>
              <w:rPr>
                <w:rFonts w:hint="eastAsia" w:ascii="宋体" w:hAnsi="宋体" w:eastAsia="宋体" w:cs="宋体"/>
                <w:kern w:val="2"/>
                <w:sz w:val="21"/>
                <w:szCs w:val="21"/>
              </w:rPr>
            </w:pPr>
            <w:r>
              <w:rPr>
                <w:rFonts w:hint="eastAsia" w:ascii="宋体" w:hAnsi="宋体" w:eastAsia="宋体" w:cs="宋体"/>
                <w:kern w:val="2"/>
                <w:sz w:val="21"/>
                <w:szCs w:val="21"/>
              </w:rPr>
              <w:t>涉及可燃和有毒有害气体泄漏的场所未按国家标准设置检测报警装置，爆炸危险场所未按国家标准安装使用防爆电气设备。</w:t>
            </w:r>
          </w:p>
        </w:tc>
        <w:tc>
          <w:tcPr>
            <w:tcW w:w="1637"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p>
        </w:tc>
        <w:tc>
          <w:tcPr>
            <w:tcW w:w="25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rPr>
                <w:rFonts w:hint="eastAsia" w:ascii="宋体" w:hAnsi="宋体" w:eastAsia="宋体" w:cs="宋体"/>
                <w:kern w:val="2"/>
                <w:sz w:val="21"/>
                <w:szCs w:val="21"/>
              </w:rPr>
            </w:pPr>
            <w:r>
              <w:rPr>
                <w:rFonts w:hint="eastAsia" w:ascii="宋体" w:hAnsi="宋体" w:eastAsia="宋体" w:cs="宋体"/>
                <w:kern w:val="2"/>
                <w:sz w:val="21"/>
                <w:szCs w:val="21"/>
              </w:rPr>
              <w:t>爆炸危险场所安装使用防爆电气设备。</w:t>
            </w:r>
          </w:p>
        </w:tc>
        <w:tc>
          <w:tcPr>
            <w:tcW w:w="76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7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13</w:t>
            </w:r>
          </w:p>
        </w:tc>
        <w:tc>
          <w:tcPr>
            <w:tcW w:w="357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firstLine="420"/>
              <w:rPr>
                <w:rFonts w:hint="eastAsia" w:ascii="宋体" w:hAnsi="宋体" w:eastAsia="宋体" w:cs="宋体"/>
                <w:kern w:val="2"/>
                <w:sz w:val="21"/>
                <w:szCs w:val="21"/>
              </w:rPr>
            </w:pPr>
            <w:r>
              <w:rPr>
                <w:rFonts w:hint="eastAsia" w:ascii="宋体" w:hAnsi="宋体" w:eastAsia="宋体" w:cs="宋体"/>
                <w:kern w:val="2"/>
                <w:sz w:val="21"/>
                <w:szCs w:val="21"/>
              </w:rPr>
              <w:t>控制室或机柜间面向具有火灾、爆炸危险性装置一侧不满足国家标准关于防火防爆的要求。</w:t>
            </w:r>
          </w:p>
        </w:tc>
        <w:tc>
          <w:tcPr>
            <w:tcW w:w="1637" w:type="dxa"/>
            <w:vMerge w:val="continue"/>
            <w:tcBorders>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p>
        </w:tc>
        <w:tc>
          <w:tcPr>
            <w:tcW w:w="25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rPr>
                <w:rFonts w:hint="eastAsia" w:ascii="宋体" w:hAnsi="宋体" w:eastAsia="宋体" w:cs="宋体"/>
                <w:kern w:val="2"/>
                <w:sz w:val="21"/>
                <w:szCs w:val="21"/>
              </w:rPr>
            </w:pPr>
            <w:r>
              <w:rPr>
                <w:rFonts w:hint="eastAsia" w:ascii="宋体" w:hAnsi="宋体" w:eastAsia="宋体" w:cs="宋体"/>
                <w:kern w:val="2"/>
                <w:sz w:val="21"/>
                <w:szCs w:val="21"/>
              </w:rPr>
              <w:t>控制室或机柜间面向具有火灾、爆炸危险性装置一侧满足国家标准关于防火防爆的要求。</w:t>
            </w:r>
          </w:p>
        </w:tc>
        <w:tc>
          <w:tcPr>
            <w:tcW w:w="76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7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14</w:t>
            </w:r>
          </w:p>
        </w:tc>
        <w:tc>
          <w:tcPr>
            <w:tcW w:w="357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firstLine="420"/>
              <w:rPr>
                <w:rFonts w:hint="eastAsia" w:ascii="宋体" w:hAnsi="宋体" w:eastAsia="宋体" w:cs="宋体"/>
                <w:kern w:val="2"/>
                <w:sz w:val="21"/>
                <w:szCs w:val="21"/>
              </w:rPr>
            </w:pPr>
            <w:r>
              <w:rPr>
                <w:rFonts w:hint="eastAsia" w:ascii="宋体" w:hAnsi="宋体" w:eastAsia="宋体" w:cs="宋体"/>
                <w:kern w:val="2"/>
                <w:sz w:val="21"/>
                <w:szCs w:val="21"/>
              </w:rPr>
              <w:t>化工生产装置未按国家标准要求设置双重电源供电，自动化控制系统未设置不间断电源。</w:t>
            </w:r>
          </w:p>
        </w:tc>
        <w:tc>
          <w:tcPr>
            <w:tcW w:w="1637" w:type="dxa"/>
            <w:vMerge w:val="restart"/>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《化工和危险化学品生产经营单位重大生产安全事故隐患判定标准（试行）》（安监总管三〔2017〕121号）</w:t>
            </w:r>
          </w:p>
        </w:tc>
        <w:tc>
          <w:tcPr>
            <w:tcW w:w="25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rPr>
                <w:rFonts w:hint="eastAsia" w:ascii="宋体" w:hAnsi="宋体" w:eastAsia="宋体" w:cs="宋体"/>
                <w:kern w:val="2"/>
                <w:sz w:val="21"/>
                <w:szCs w:val="21"/>
              </w:rPr>
            </w:pPr>
            <w:r>
              <w:rPr>
                <w:rFonts w:hint="eastAsia" w:ascii="宋体" w:hAnsi="宋体" w:eastAsia="宋体" w:cs="宋体"/>
                <w:kern w:val="2"/>
                <w:sz w:val="21"/>
                <w:szCs w:val="21"/>
              </w:rPr>
              <w:t>该加油站无化工生产装置。</w:t>
            </w:r>
          </w:p>
        </w:tc>
        <w:tc>
          <w:tcPr>
            <w:tcW w:w="76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lang w:val="en-U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7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15</w:t>
            </w:r>
          </w:p>
        </w:tc>
        <w:tc>
          <w:tcPr>
            <w:tcW w:w="357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firstLine="420"/>
              <w:rPr>
                <w:rFonts w:hint="eastAsia" w:ascii="宋体" w:hAnsi="宋体" w:eastAsia="宋体" w:cs="宋体"/>
                <w:kern w:val="2"/>
                <w:sz w:val="21"/>
                <w:szCs w:val="21"/>
              </w:rPr>
            </w:pPr>
            <w:r>
              <w:rPr>
                <w:rFonts w:hint="eastAsia" w:ascii="宋体" w:hAnsi="宋体" w:eastAsia="宋体" w:cs="宋体"/>
                <w:kern w:val="2"/>
                <w:sz w:val="21"/>
                <w:szCs w:val="21"/>
              </w:rPr>
              <w:t>安全阀、爆破片等安全附件未正常投用。</w:t>
            </w:r>
          </w:p>
        </w:tc>
        <w:tc>
          <w:tcPr>
            <w:tcW w:w="1637"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p>
        </w:tc>
        <w:tc>
          <w:tcPr>
            <w:tcW w:w="25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rPr>
                <w:rFonts w:hint="eastAsia" w:ascii="宋体" w:hAnsi="宋体" w:eastAsia="宋体" w:cs="宋体"/>
                <w:kern w:val="2"/>
                <w:sz w:val="21"/>
                <w:szCs w:val="21"/>
              </w:rPr>
            </w:pPr>
            <w:r>
              <w:rPr>
                <w:rFonts w:hint="eastAsia" w:ascii="宋体" w:hAnsi="宋体" w:eastAsia="宋体" w:cs="宋体"/>
                <w:kern w:val="2"/>
                <w:sz w:val="21"/>
                <w:szCs w:val="21"/>
              </w:rPr>
              <w:t>加油站的工艺设施是常压设施，无需安全阀、爆破片等安全附件。</w:t>
            </w:r>
          </w:p>
        </w:tc>
        <w:tc>
          <w:tcPr>
            <w:tcW w:w="76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7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16</w:t>
            </w:r>
          </w:p>
        </w:tc>
        <w:tc>
          <w:tcPr>
            <w:tcW w:w="357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firstLine="420"/>
              <w:rPr>
                <w:rFonts w:hint="eastAsia" w:ascii="宋体" w:hAnsi="宋体" w:eastAsia="宋体" w:cs="宋体"/>
                <w:kern w:val="2"/>
                <w:sz w:val="21"/>
                <w:szCs w:val="21"/>
              </w:rPr>
            </w:pPr>
            <w:r>
              <w:rPr>
                <w:rFonts w:hint="eastAsia" w:ascii="宋体" w:hAnsi="宋体" w:eastAsia="宋体" w:cs="宋体"/>
                <w:kern w:val="2"/>
                <w:sz w:val="21"/>
                <w:szCs w:val="21"/>
              </w:rPr>
              <w:t>未建立与岗位相匹配的全员安全生产责任制或者未制定实施生产安全事故隐患排查治理制度。</w:t>
            </w:r>
          </w:p>
        </w:tc>
        <w:tc>
          <w:tcPr>
            <w:tcW w:w="1637"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p>
        </w:tc>
        <w:tc>
          <w:tcPr>
            <w:tcW w:w="25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rPr>
                <w:rFonts w:hint="eastAsia" w:ascii="宋体" w:hAnsi="宋体" w:eastAsia="宋体" w:cs="宋体"/>
                <w:kern w:val="2"/>
                <w:sz w:val="21"/>
                <w:szCs w:val="21"/>
              </w:rPr>
            </w:pPr>
            <w:r>
              <w:rPr>
                <w:rFonts w:hint="eastAsia" w:ascii="宋体" w:hAnsi="宋体" w:eastAsia="宋体" w:cs="宋体"/>
                <w:kern w:val="2"/>
                <w:sz w:val="21"/>
                <w:szCs w:val="21"/>
              </w:rPr>
              <w:t>该加油站建立了与岗位相匹配的全员安全生产责任制、制定并实施生产安全事故隐患排查治理制度。</w:t>
            </w:r>
          </w:p>
        </w:tc>
        <w:tc>
          <w:tcPr>
            <w:tcW w:w="76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7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17</w:t>
            </w:r>
          </w:p>
        </w:tc>
        <w:tc>
          <w:tcPr>
            <w:tcW w:w="357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firstLine="420"/>
              <w:rPr>
                <w:rFonts w:hint="eastAsia" w:ascii="宋体" w:hAnsi="宋体" w:eastAsia="宋体" w:cs="宋体"/>
                <w:kern w:val="2"/>
                <w:sz w:val="21"/>
                <w:szCs w:val="21"/>
              </w:rPr>
            </w:pPr>
            <w:r>
              <w:rPr>
                <w:rFonts w:hint="eastAsia" w:ascii="宋体" w:hAnsi="宋体" w:eastAsia="宋体" w:cs="宋体"/>
                <w:kern w:val="2"/>
                <w:sz w:val="21"/>
                <w:szCs w:val="21"/>
              </w:rPr>
              <w:t>未制定操作规程和工艺控制指标。</w:t>
            </w:r>
          </w:p>
        </w:tc>
        <w:tc>
          <w:tcPr>
            <w:tcW w:w="1637" w:type="dxa"/>
            <w:vMerge w:val="continue"/>
            <w:tcBorders>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p>
        </w:tc>
        <w:tc>
          <w:tcPr>
            <w:tcW w:w="25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rPr>
                <w:rFonts w:hint="eastAsia" w:ascii="宋体" w:hAnsi="宋体" w:eastAsia="宋体" w:cs="宋体"/>
                <w:kern w:val="2"/>
                <w:sz w:val="21"/>
                <w:szCs w:val="21"/>
              </w:rPr>
            </w:pPr>
            <w:r>
              <w:rPr>
                <w:rFonts w:hint="eastAsia" w:ascii="宋体" w:hAnsi="宋体" w:eastAsia="宋体" w:cs="宋体"/>
                <w:kern w:val="2"/>
                <w:sz w:val="21"/>
                <w:szCs w:val="21"/>
              </w:rPr>
              <w:t>该加油站制定了操作规程和工艺控制指标。</w:t>
            </w:r>
          </w:p>
        </w:tc>
        <w:tc>
          <w:tcPr>
            <w:tcW w:w="76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7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18</w:t>
            </w:r>
          </w:p>
        </w:tc>
        <w:tc>
          <w:tcPr>
            <w:tcW w:w="357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firstLine="420"/>
              <w:rPr>
                <w:rFonts w:hint="eastAsia" w:ascii="宋体" w:hAnsi="宋体" w:eastAsia="宋体" w:cs="宋体"/>
                <w:kern w:val="2"/>
                <w:sz w:val="21"/>
                <w:szCs w:val="21"/>
              </w:rPr>
            </w:pPr>
            <w:r>
              <w:rPr>
                <w:rFonts w:hint="eastAsia" w:ascii="宋体" w:hAnsi="宋体" w:eastAsia="宋体" w:cs="宋体"/>
                <w:kern w:val="2"/>
                <w:sz w:val="21"/>
                <w:szCs w:val="21"/>
              </w:rPr>
              <w:t>未按照国家标准制定动火、进入受限空间等特殊作业管理制度，或者制度未有效执行。</w:t>
            </w:r>
          </w:p>
        </w:tc>
        <w:tc>
          <w:tcPr>
            <w:tcW w:w="1637" w:type="dxa"/>
            <w:vMerge w:val="restart"/>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《化工和危险化学品生产经营单位重大生产安全事故隐患判定标准（试行）》（安监总管三〔2017〕121号）</w:t>
            </w:r>
          </w:p>
        </w:tc>
        <w:tc>
          <w:tcPr>
            <w:tcW w:w="25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rPr>
                <w:rFonts w:hint="eastAsia" w:ascii="宋体" w:hAnsi="宋体" w:eastAsia="宋体" w:cs="宋体"/>
                <w:kern w:val="2"/>
                <w:sz w:val="21"/>
                <w:szCs w:val="21"/>
              </w:rPr>
            </w:pPr>
            <w:r>
              <w:rPr>
                <w:rFonts w:hint="eastAsia" w:ascii="宋体" w:hAnsi="宋体" w:eastAsia="宋体" w:cs="宋体"/>
                <w:kern w:val="2"/>
                <w:sz w:val="21"/>
                <w:szCs w:val="21"/>
              </w:rPr>
              <w:t>该加油站制定了动火、进入受限空间等特殊作业管理制度。</w:t>
            </w:r>
          </w:p>
        </w:tc>
        <w:tc>
          <w:tcPr>
            <w:tcW w:w="76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7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19</w:t>
            </w:r>
          </w:p>
        </w:tc>
        <w:tc>
          <w:tcPr>
            <w:tcW w:w="357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firstLine="420"/>
              <w:rPr>
                <w:rFonts w:hint="eastAsia" w:ascii="宋体" w:hAnsi="宋体" w:eastAsia="宋体" w:cs="宋体"/>
                <w:kern w:val="2"/>
                <w:sz w:val="21"/>
                <w:szCs w:val="21"/>
              </w:rPr>
            </w:pPr>
            <w:r>
              <w:rPr>
                <w:rFonts w:hint="eastAsia" w:ascii="宋体" w:hAnsi="宋体" w:eastAsia="宋体" w:cs="宋体"/>
                <w:kern w:val="2"/>
                <w:sz w:val="21"/>
                <w:szCs w:val="21"/>
              </w:rPr>
              <w:t>新开发的危险化学品生产工艺未经小试、中试、工业化试验直接进行工业化生产；国内首次使用的化工工艺未经过省级人民政府有关部门组织的安全可靠性论证；新建装置未制定试生产方案投料开车；精细化工企业未按规范性文件要求开展反应安全风险评估。</w:t>
            </w:r>
          </w:p>
        </w:tc>
        <w:tc>
          <w:tcPr>
            <w:tcW w:w="1637"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p>
        </w:tc>
        <w:tc>
          <w:tcPr>
            <w:tcW w:w="25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rPr>
                <w:rFonts w:hint="eastAsia" w:ascii="宋体" w:hAnsi="宋体" w:eastAsia="宋体" w:cs="宋体"/>
                <w:kern w:val="2"/>
                <w:sz w:val="21"/>
                <w:szCs w:val="21"/>
              </w:rPr>
            </w:pPr>
            <w:r>
              <w:rPr>
                <w:rFonts w:hint="eastAsia" w:ascii="宋体" w:hAnsi="宋体" w:eastAsia="宋体" w:cs="宋体"/>
                <w:kern w:val="2"/>
                <w:sz w:val="21"/>
                <w:szCs w:val="21"/>
              </w:rPr>
              <w:t>该加油站工艺不属于新开发的危险化学品生产工艺。</w:t>
            </w:r>
          </w:p>
        </w:tc>
        <w:tc>
          <w:tcPr>
            <w:tcW w:w="76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7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20</w:t>
            </w:r>
          </w:p>
        </w:tc>
        <w:tc>
          <w:tcPr>
            <w:tcW w:w="357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firstLine="420"/>
              <w:rPr>
                <w:rFonts w:hint="eastAsia" w:ascii="宋体" w:hAnsi="宋体" w:eastAsia="宋体" w:cs="宋体"/>
                <w:kern w:val="2"/>
                <w:sz w:val="21"/>
                <w:szCs w:val="21"/>
              </w:rPr>
            </w:pPr>
            <w:r>
              <w:rPr>
                <w:rFonts w:hint="eastAsia" w:ascii="宋体" w:hAnsi="宋体" w:eastAsia="宋体" w:cs="宋体"/>
                <w:kern w:val="2"/>
                <w:sz w:val="21"/>
                <w:szCs w:val="21"/>
              </w:rPr>
              <w:t>未按国家标准分区分类储存危险化学品，超量、超品种储存危险化学品，相互禁配物质混放混存。</w:t>
            </w:r>
          </w:p>
        </w:tc>
        <w:tc>
          <w:tcPr>
            <w:tcW w:w="1637" w:type="dxa"/>
            <w:vMerge w:val="continue"/>
            <w:tcBorders>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p>
        </w:tc>
        <w:tc>
          <w:tcPr>
            <w:tcW w:w="25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rPr>
                <w:rFonts w:hint="eastAsia" w:ascii="宋体" w:hAnsi="宋体" w:eastAsia="宋体" w:cs="宋体"/>
                <w:kern w:val="2"/>
                <w:sz w:val="21"/>
                <w:szCs w:val="21"/>
              </w:rPr>
            </w:pPr>
            <w:r>
              <w:rPr>
                <w:rFonts w:hint="eastAsia" w:ascii="宋体" w:hAnsi="宋体" w:eastAsia="宋体" w:cs="宋体"/>
                <w:kern w:val="2"/>
                <w:sz w:val="21"/>
                <w:szCs w:val="21"/>
              </w:rPr>
              <w:t>该加油站危化品储存符合要求。</w:t>
            </w:r>
          </w:p>
        </w:tc>
        <w:tc>
          <w:tcPr>
            <w:tcW w:w="76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76" w:lineRule="auto"/>
              <w:ind w:left="0" w:right="0"/>
              <w:jc w:val="center"/>
              <w:rPr>
                <w:rFonts w:hint="eastAsia" w:ascii="宋体" w:hAnsi="宋体" w:eastAsia="宋体" w:cs="宋体"/>
                <w:kern w:val="2"/>
                <w:sz w:val="21"/>
                <w:szCs w:val="21"/>
              </w:rPr>
            </w:pPr>
            <w:r>
              <w:rPr>
                <w:rFonts w:hint="eastAsia" w:ascii="宋体" w:hAnsi="宋体" w:eastAsia="宋体" w:cs="宋体"/>
                <w:kern w:val="2"/>
                <w:sz w:val="21"/>
                <w:szCs w:val="21"/>
              </w:rPr>
              <w:t>符合要求</w:t>
            </w:r>
          </w:p>
        </w:tc>
      </w:tr>
    </w:tbl>
    <w:p>
      <w:pPr>
        <w:pageBreakBefore w:val="0"/>
        <w:widowControl w:val="0"/>
        <w:kinsoku/>
        <w:wordWrap/>
        <w:overflowPunct/>
        <w:topLinePunct w:val="0"/>
        <w:autoSpaceDE w:val="0"/>
        <w:autoSpaceDN w:val="0"/>
        <w:bidi w:val="0"/>
        <w:adjustRightInd/>
        <w:snapToGrid/>
        <w:spacing w:line="560" w:lineRule="exact"/>
        <w:ind w:firstLine="560" w:firstLineChars="200"/>
        <w:jc w:val="both"/>
        <w:textAlignment w:val="auto"/>
        <w:rPr>
          <w:rFonts w:hint="eastAsia" w:ascii="宋体" w:hAnsi="宋体" w:eastAsia="宋体" w:cs="宋体"/>
          <w:sz w:val="28"/>
          <w:szCs w:val="28"/>
        </w:rPr>
      </w:pPr>
      <w:bookmarkStart w:id="895" w:name="_Toc9361_WPSOffice_Level2"/>
      <w:bookmarkStart w:id="896" w:name="_Toc18341_WPSOffice_Level2"/>
      <w:r>
        <w:rPr>
          <w:rFonts w:hint="eastAsia" w:ascii="宋体" w:hAnsi="宋体" w:eastAsia="宋体" w:cs="宋体"/>
          <w:sz w:val="28"/>
          <w:szCs w:val="28"/>
        </w:rPr>
        <w:t>由上表可知该加油站不存在化工和危险化学品生产经营单位重大生产安全事故隐患。</w:t>
      </w:r>
    </w:p>
    <w:p>
      <w:pPr>
        <w:pageBreakBefore w:val="0"/>
        <w:widowControl w:val="0"/>
        <w:kinsoku/>
        <w:wordWrap/>
        <w:overflowPunct/>
        <w:topLinePunct w:val="0"/>
        <w:autoSpaceDE w:val="0"/>
        <w:autoSpaceDN w:val="0"/>
        <w:bidi w:val="0"/>
        <w:adjustRightInd/>
        <w:snapToGrid/>
        <w:spacing w:before="360" w:beforeLines="150" w:after="240" w:afterLines="100" w:line="560" w:lineRule="exact"/>
        <w:jc w:val="center"/>
        <w:textAlignment w:val="auto"/>
        <w:outlineLvl w:val="1"/>
        <w:rPr>
          <w:rFonts w:hint="eastAsia" w:ascii="宋体" w:hAnsi="宋体" w:eastAsia="宋体" w:cs="宋体"/>
          <w:b/>
          <w:sz w:val="32"/>
          <w:szCs w:val="32"/>
        </w:rPr>
      </w:pPr>
      <w:bookmarkStart w:id="897" w:name="_Toc16030"/>
      <w:bookmarkStart w:id="898" w:name="_Toc22081"/>
      <w:bookmarkStart w:id="899" w:name="_Toc13827"/>
      <w:bookmarkStart w:id="900" w:name="_Toc22293"/>
      <w:bookmarkStart w:id="901" w:name="_Toc31567_WPSOffice_Level2"/>
      <w:r>
        <w:rPr>
          <w:rFonts w:hint="eastAsia" w:ascii="宋体" w:hAnsi="宋体" w:eastAsia="宋体" w:cs="宋体"/>
          <w:b/>
          <w:sz w:val="32"/>
          <w:szCs w:val="32"/>
        </w:rPr>
        <w:t>4.8</w:t>
      </w:r>
      <w:r>
        <w:rPr>
          <w:rFonts w:hint="eastAsia" w:ascii="宋体" w:hAnsi="宋体" w:eastAsia="宋体" w:cs="宋体"/>
          <w:b/>
          <w:sz w:val="32"/>
          <w:szCs w:val="32"/>
          <w:lang w:val="en-US"/>
        </w:rPr>
        <w:t xml:space="preserve"> </w:t>
      </w:r>
      <w:r>
        <w:rPr>
          <w:rFonts w:hint="eastAsia" w:ascii="宋体" w:hAnsi="宋体" w:eastAsia="宋体" w:cs="宋体"/>
          <w:b/>
          <w:sz w:val="32"/>
          <w:szCs w:val="32"/>
        </w:rPr>
        <w:t>风险点危险源评价</w:t>
      </w:r>
      <w:bookmarkEnd w:id="895"/>
      <w:bookmarkEnd w:id="896"/>
      <w:bookmarkEnd w:id="897"/>
      <w:bookmarkEnd w:id="898"/>
      <w:bookmarkEnd w:id="899"/>
      <w:bookmarkEnd w:id="900"/>
      <w:bookmarkEnd w:id="901"/>
    </w:p>
    <w:p>
      <w:pPr>
        <w:pageBreakBefore w:val="0"/>
        <w:widowControl w:val="0"/>
        <w:kinsoku/>
        <w:wordWrap/>
        <w:overflowPunct/>
        <w:topLinePunct w:val="0"/>
        <w:autoSpaceDE w:val="0"/>
        <w:autoSpaceDN w:val="0"/>
        <w:bidi w:val="0"/>
        <w:adjustRightInd/>
        <w:snapToGrid/>
        <w:spacing w:line="560" w:lineRule="exact"/>
        <w:ind w:firstLine="560" w:firstLineChars="200"/>
        <w:jc w:val="both"/>
        <w:textAlignment w:val="auto"/>
        <w:rPr>
          <w:rFonts w:hint="eastAsia" w:ascii="宋体" w:hAnsi="宋体" w:eastAsia="宋体" w:cs="宋体"/>
          <w:lang w:val="en-US"/>
        </w:rPr>
      </w:pPr>
      <w:r>
        <w:rPr>
          <w:rFonts w:hint="eastAsia" w:ascii="宋体" w:hAnsi="宋体" w:eastAsia="宋体" w:cs="宋体"/>
          <w:sz w:val="28"/>
          <w:szCs w:val="28"/>
        </w:rPr>
        <w:t>根据《广东省安全生产监督管理局关于做好危险化学品和烟花爆竹领域风险点危险源排查管控工作的通知》（粤安监〔2016〕121号），对取得安全监管部门安全许可的危险化学品生产、经营（纯批发和港区内从事危险化学品储存、装卸的除外）、使用企业及烟花爆竹经营（批发、零售）单位开展科学评估风险等级，对照《危险度评价取值表》确定企业危险度分值，并根据危险度分值进行风险等级分类：红色等级（非常高危险度，危险度分值≥21）；橙色等级（高危险度，16≤危险度分值≤20）；黄色等级（中危险度，11≤危险度分值≤15）；蓝色等级（低危险度，危险度分值≤10）。危险化学品经营企业：原则上一级石油库，风险等级为红色；二、三级石油库，风险等级为橙色；四、五级石油库，风险等级为黄色；加油站、零售业务的店面，风险等级为蓝色；其他危险化学品经营企业对照《危险度评价取值表》进行风险等级评定分类。</w:t>
      </w:r>
    </w:p>
    <w:p>
      <w:pPr>
        <w:pageBreakBefore w:val="0"/>
        <w:widowControl w:val="0"/>
        <w:kinsoku/>
        <w:wordWrap/>
        <w:overflowPunct/>
        <w:topLinePunct w:val="0"/>
        <w:autoSpaceDE w:val="0"/>
        <w:autoSpaceDN w:val="0"/>
        <w:bidi w:val="0"/>
        <w:adjustRightInd/>
        <w:snapToGrid/>
        <w:spacing w:line="560" w:lineRule="exact"/>
        <w:ind w:firstLine="560" w:firstLineChars="200"/>
        <w:jc w:val="both"/>
        <w:textAlignment w:val="auto"/>
        <w:rPr>
          <w:rFonts w:hint="eastAsia" w:ascii="宋体" w:hAnsi="宋体" w:eastAsia="宋体" w:cs="宋体"/>
          <w:sz w:val="28"/>
        </w:rPr>
      </w:pPr>
      <w:r>
        <w:rPr>
          <w:rFonts w:hint="eastAsia" w:ascii="宋体" w:hAnsi="宋体" w:eastAsia="宋体" w:cs="宋体"/>
          <w:sz w:val="28"/>
        </w:rPr>
        <w:t>根据《广东省安全生产监督管理局关于做好危险化学品和烟花爆竹领域风险点危险源排查管控工作的通知》（粤安监〔2016〕121号）可知，该加油站风险等级为蓝色。</w:t>
      </w:r>
    </w:p>
    <w:p>
      <w:pPr>
        <w:pageBreakBefore w:val="0"/>
        <w:widowControl w:val="0"/>
        <w:kinsoku/>
        <w:wordWrap/>
        <w:overflowPunct/>
        <w:topLinePunct w:val="0"/>
        <w:autoSpaceDE w:val="0"/>
        <w:autoSpaceDN w:val="0"/>
        <w:bidi w:val="0"/>
        <w:adjustRightInd/>
        <w:snapToGrid/>
        <w:spacing w:before="360" w:beforeLines="150" w:after="240" w:afterLines="100" w:line="560" w:lineRule="exact"/>
        <w:jc w:val="center"/>
        <w:textAlignment w:val="auto"/>
        <w:outlineLvl w:val="1"/>
        <w:rPr>
          <w:rFonts w:hint="eastAsia" w:ascii="宋体" w:hAnsi="宋体" w:eastAsia="宋体" w:cs="宋体"/>
          <w:b/>
          <w:sz w:val="32"/>
          <w:szCs w:val="32"/>
          <w:lang w:val="en-US"/>
        </w:rPr>
      </w:pPr>
      <w:bookmarkStart w:id="902" w:name="_Toc2760"/>
      <w:bookmarkStart w:id="903" w:name="_Toc19463_WPSOffice_Level2"/>
      <w:bookmarkStart w:id="904" w:name="_Toc20508_WPSOffice_Level2"/>
      <w:bookmarkStart w:id="905" w:name="_Toc24304"/>
      <w:bookmarkStart w:id="906" w:name="_Toc5867"/>
      <w:bookmarkStart w:id="907" w:name="_Toc21699_WPSOffice_Level2"/>
    </w:p>
    <w:p>
      <w:pPr>
        <w:pageBreakBefore w:val="0"/>
        <w:widowControl w:val="0"/>
        <w:kinsoku/>
        <w:wordWrap/>
        <w:overflowPunct/>
        <w:topLinePunct w:val="0"/>
        <w:autoSpaceDE w:val="0"/>
        <w:autoSpaceDN w:val="0"/>
        <w:bidi w:val="0"/>
        <w:adjustRightInd/>
        <w:snapToGrid/>
        <w:spacing w:before="360" w:beforeLines="150" w:after="240" w:afterLines="100" w:line="560" w:lineRule="exact"/>
        <w:jc w:val="center"/>
        <w:textAlignment w:val="auto"/>
        <w:outlineLvl w:val="1"/>
        <w:rPr>
          <w:rFonts w:hint="eastAsia" w:ascii="宋体" w:hAnsi="宋体" w:eastAsia="宋体" w:cs="宋体"/>
          <w:b/>
          <w:sz w:val="32"/>
          <w:szCs w:val="32"/>
        </w:rPr>
      </w:pPr>
      <w:r>
        <w:rPr>
          <w:rFonts w:hint="eastAsia" w:ascii="宋体" w:hAnsi="宋体" w:eastAsia="宋体" w:cs="宋体"/>
          <w:b/>
          <w:sz w:val="32"/>
          <w:szCs w:val="32"/>
          <w:lang w:val="en-US"/>
        </w:rPr>
        <w:t xml:space="preserve">4.9 </w:t>
      </w:r>
      <w:r>
        <w:rPr>
          <w:rFonts w:hint="eastAsia" w:ascii="宋体" w:hAnsi="宋体" w:eastAsia="宋体" w:cs="宋体"/>
          <w:b/>
          <w:sz w:val="32"/>
          <w:szCs w:val="32"/>
        </w:rPr>
        <w:t>道化学公司火灾，爆炸危险指数法定量分析过程</w:t>
      </w:r>
      <w:bookmarkEnd w:id="902"/>
      <w:bookmarkEnd w:id="903"/>
      <w:bookmarkEnd w:id="904"/>
      <w:bookmarkEnd w:id="905"/>
      <w:bookmarkEnd w:id="906"/>
      <w:bookmarkEnd w:id="907"/>
    </w:p>
    <w:p>
      <w:pPr>
        <w:pStyle w:val="4"/>
        <w:pageBreakBefore w:val="0"/>
        <w:widowControl w:val="0"/>
        <w:kinsoku/>
        <w:wordWrap/>
        <w:overflowPunct/>
        <w:topLinePunct w:val="0"/>
        <w:autoSpaceDE w:val="0"/>
        <w:autoSpaceDN w:val="0"/>
        <w:bidi w:val="0"/>
        <w:adjustRightInd/>
        <w:snapToGrid/>
        <w:spacing w:before="240" w:beforeLines="100" w:after="240" w:afterLines="100" w:line="560" w:lineRule="exact"/>
        <w:ind w:firstLine="562" w:firstLineChars="200"/>
        <w:textAlignment w:val="auto"/>
        <w:rPr>
          <w:rFonts w:hint="eastAsia" w:ascii="宋体" w:hAnsi="宋体" w:eastAsia="宋体" w:cs="宋体"/>
          <w:sz w:val="28"/>
          <w:szCs w:val="28"/>
        </w:rPr>
      </w:pPr>
      <w:bookmarkStart w:id="908" w:name="_Toc31777_WPSOffice_Level3"/>
      <w:bookmarkStart w:id="909" w:name="_Toc12971_WPSOffice_Level3"/>
      <w:r>
        <w:rPr>
          <w:rFonts w:hint="eastAsia" w:ascii="宋体" w:hAnsi="宋体" w:eastAsia="宋体" w:cs="宋体"/>
          <w:sz w:val="28"/>
          <w:szCs w:val="28"/>
          <w:lang w:val="en-US"/>
        </w:rPr>
        <w:t xml:space="preserve">4.9.1 </w:t>
      </w:r>
      <w:r>
        <w:rPr>
          <w:rFonts w:hint="eastAsia" w:ascii="宋体" w:hAnsi="宋体" w:eastAsia="宋体" w:cs="宋体"/>
          <w:sz w:val="28"/>
          <w:szCs w:val="28"/>
        </w:rPr>
        <w:t>分析评价过程</w:t>
      </w:r>
      <w:bookmarkEnd w:id="908"/>
      <w:bookmarkEnd w:id="909"/>
    </w:p>
    <w:p>
      <w:pPr>
        <w:pageBreakBefore w:val="0"/>
        <w:widowControl w:val="0"/>
        <w:kinsoku/>
        <w:wordWrap/>
        <w:overflowPunct/>
        <w:topLinePunct w:val="0"/>
        <w:autoSpaceDE w:val="0"/>
        <w:autoSpaceDN w:val="0"/>
        <w:bidi w:val="0"/>
        <w:adjustRightInd/>
        <w:snapToGrid/>
        <w:spacing w:line="560" w:lineRule="exact"/>
        <w:ind w:firstLine="562" w:firstLineChars="200"/>
        <w:textAlignment w:val="auto"/>
        <w:rPr>
          <w:rFonts w:hint="eastAsia" w:ascii="宋体" w:hAnsi="宋体" w:eastAsia="宋体" w:cs="宋体"/>
          <w:b/>
          <w:sz w:val="28"/>
          <w:szCs w:val="28"/>
        </w:rPr>
      </w:pPr>
      <w:r>
        <w:rPr>
          <w:rFonts w:hint="eastAsia" w:ascii="宋体" w:hAnsi="宋体" w:eastAsia="宋体" w:cs="宋体"/>
          <w:b/>
          <w:sz w:val="28"/>
          <w:szCs w:val="28"/>
        </w:rPr>
        <w:t>1</w:t>
      </w:r>
      <w:r>
        <w:rPr>
          <w:rFonts w:hint="eastAsia" w:ascii="宋体" w:hAnsi="宋体" w:eastAsia="宋体" w:cs="宋体"/>
          <w:b/>
          <w:sz w:val="28"/>
          <w:szCs w:val="28"/>
          <w:lang w:val="en-US"/>
        </w:rPr>
        <w:t>)</w:t>
      </w:r>
      <w:r>
        <w:rPr>
          <w:rFonts w:hint="eastAsia" w:ascii="宋体" w:hAnsi="宋体" w:eastAsia="宋体" w:cs="宋体"/>
          <w:b/>
          <w:sz w:val="28"/>
          <w:szCs w:val="28"/>
        </w:rPr>
        <w:t>选择工艺单元</w:t>
      </w:r>
    </w:p>
    <w:p>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生产单元包括许多工艺单元，但在计算火灾、爆炸指数时，只评价那些从损失预防角度来看对工艺有影响的工艺单元，这些单元简称工艺单元。</w:t>
      </w:r>
    </w:p>
    <w:p>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选择恰当工艺单元的重要参数包括：</w:t>
      </w:r>
    </w:p>
    <w:p>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（1）单元中包含的物质具有潜在的化学能（物质系数）</w:t>
      </w:r>
    </w:p>
    <w:p>
      <w:pPr>
        <w:keepNext w:val="0"/>
        <w:keepLines w:val="0"/>
        <w:pageBreakBefore w:val="0"/>
        <w:widowControl w:val="0"/>
        <w:kinsoku/>
        <w:wordWrap/>
        <w:overflowPunct/>
        <w:topLinePunct w:val="0"/>
        <w:bidi w:val="0"/>
        <w:adjustRightInd/>
        <w:snapToGrid/>
        <w:spacing w:line="56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（2）单元中可燃、易燃或化学活泼物质的最低限量为2268kg，而中小规模实验而言，所处理的上述物质最低限量为</w:t>
      </w:r>
      <w:r>
        <w:rPr>
          <w:rFonts w:hint="eastAsia" w:ascii="宋体" w:hAnsi="宋体" w:eastAsia="宋体" w:cs="宋体"/>
          <w:sz w:val="28"/>
          <w:szCs w:val="28"/>
          <w:lang w:val="en-US"/>
        </w:rPr>
        <w:t>454</w:t>
      </w:r>
      <w:r>
        <w:rPr>
          <w:rFonts w:hint="eastAsia" w:ascii="宋体" w:hAnsi="宋体" w:eastAsia="宋体" w:cs="宋体"/>
          <w:sz w:val="28"/>
          <w:szCs w:val="28"/>
        </w:rPr>
        <w:t>kg；</w:t>
      </w:r>
    </w:p>
    <w:p>
      <w:pPr>
        <w:keepNext w:val="0"/>
        <w:keepLines w:val="0"/>
        <w:pageBreakBefore w:val="0"/>
        <w:widowControl w:val="0"/>
        <w:kinsoku/>
        <w:wordWrap/>
        <w:overflowPunct/>
        <w:topLinePunct w:val="0"/>
        <w:bidi w:val="0"/>
        <w:adjustRightInd/>
        <w:snapToGrid/>
        <w:spacing w:line="56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（3）单元内有一定量的资金或有一定量的资金密度；</w:t>
      </w:r>
    </w:p>
    <w:p>
      <w:pPr>
        <w:keepNext w:val="0"/>
        <w:keepLines w:val="0"/>
        <w:pageBreakBefore w:val="0"/>
        <w:widowControl w:val="0"/>
        <w:kinsoku/>
        <w:wordWrap/>
        <w:overflowPunct/>
        <w:topLinePunct w:val="0"/>
        <w:bidi w:val="0"/>
        <w:adjustRightInd/>
        <w:snapToGrid/>
        <w:spacing w:line="56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（4）单元的操作工艺具有一定的压力和温度；</w:t>
      </w:r>
    </w:p>
    <w:p>
      <w:pPr>
        <w:keepNext w:val="0"/>
        <w:keepLines w:val="0"/>
        <w:pageBreakBefore w:val="0"/>
        <w:widowControl w:val="0"/>
        <w:kinsoku/>
        <w:wordWrap/>
        <w:overflowPunct/>
        <w:topLinePunct w:val="0"/>
        <w:bidi w:val="0"/>
        <w:adjustRightInd/>
        <w:snapToGrid/>
        <w:spacing w:line="56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（5）以往出现事故地点可适当划入单元。</w:t>
      </w:r>
    </w:p>
    <w:p>
      <w:pPr>
        <w:keepNext w:val="0"/>
        <w:keepLines w:val="0"/>
        <w:pageBreakBefore w:val="0"/>
        <w:widowControl w:val="0"/>
        <w:kinsoku/>
        <w:wordWrap/>
        <w:overflowPunct/>
        <w:topLinePunct w:val="0"/>
        <w:bidi w:val="0"/>
        <w:adjustRightInd/>
        <w:snapToGrid/>
        <w:spacing w:line="560" w:lineRule="exact"/>
        <w:ind w:firstLine="560" w:firstLineChars="200"/>
        <w:jc w:val="both"/>
        <w:textAlignment w:val="auto"/>
        <w:rPr>
          <w:rFonts w:hint="eastAsia" w:ascii="宋体" w:hAnsi="宋体" w:eastAsia="宋体" w:cs="宋体"/>
        </w:rPr>
      </w:pPr>
      <w:r>
        <w:rPr>
          <w:rFonts w:hint="eastAsia" w:ascii="宋体" w:hAnsi="宋体" w:eastAsia="宋体" w:cs="宋体"/>
          <w:sz w:val="28"/>
          <w:szCs w:val="28"/>
        </w:rPr>
        <w:t>由于加油站的</w:t>
      </w:r>
      <w:bookmarkStart w:id="910" w:name="_Hlk531188272"/>
      <w:r>
        <w:rPr>
          <w:rFonts w:hint="eastAsia" w:ascii="宋体" w:hAnsi="宋体" w:eastAsia="宋体" w:cs="宋体"/>
          <w:sz w:val="28"/>
          <w:szCs w:val="28"/>
        </w:rPr>
        <w:t>危险物质较单一，工艺过程相对简单，装置相对集中</w:t>
      </w:r>
      <w:bookmarkEnd w:id="910"/>
      <w:r>
        <w:rPr>
          <w:rFonts w:hint="eastAsia" w:ascii="宋体" w:hAnsi="宋体" w:eastAsia="宋体" w:cs="宋体"/>
          <w:sz w:val="28"/>
          <w:szCs w:val="28"/>
        </w:rPr>
        <w:t>，各埋地油罐之间各自独立，且采用了相应的安全措施。所以本次评价中工艺单元的选择，</w:t>
      </w:r>
      <w:bookmarkStart w:id="911" w:name="_Hlk531188355"/>
      <w:r>
        <w:rPr>
          <w:rFonts w:hint="eastAsia" w:ascii="宋体" w:hAnsi="宋体" w:eastAsia="宋体" w:cs="宋体"/>
          <w:sz w:val="28"/>
          <w:szCs w:val="28"/>
        </w:rPr>
        <w:t>主要根据加油站的工艺特点以及各环节可能出现事故的严重程度，并参考国内外加油站发生事故的统计资料的基础上，</w:t>
      </w:r>
      <w:bookmarkEnd w:id="911"/>
      <w:r>
        <w:rPr>
          <w:rFonts w:hint="eastAsia" w:ascii="宋体" w:hAnsi="宋体" w:eastAsia="宋体" w:cs="宋体"/>
          <w:sz w:val="28"/>
          <w:szCs w:val="28"/>
        </w:rPr>
        <w:t>本评价选取1</w:t>
      </w:r>
      <w:r>
        <w:rPr>
          <w:rFonts w:hint="eastAsia" w:ascii="宋体" w:hAnsi="宋体" w:eastAsia="宋体" w:cs="宋体"/>
          <w:sz w:val="28"/>
          <w:szCs w:val="28"/>
          <w:lang w:eastAsia="zh-CN"/>
        </w:rPr>
        <w:t>辆载运容积</w:t>
      </w:r>
      <w:r>
        <w:rPr>
          <w:rFonts w:hint="eastAsia" w:ascii="宋体" w:hAnsi="宋体" w:eastAsia="宋体" w:cs="宋体"/>
          <w:sz w:val="28"/>
          <w:szCs w:val="28"/>
          <w:lang w:val="en-US" w:eastAsia="zh-CN"/>
        </w:rPr>
        <w:t>5</w:t>
      </w:r>
      <w:r>
        <w:rPr>
          <w:rFonts w:hint="eastAsia" w:ascii="宋体" w:hAnsi="宋体" w:eastAsia="宋体" w:cs="宋体"/>
          <w:sz w:val="28"/>
          <w:szCs w:val="28"/>
        </w:rPr>
        <w:t>0m</w:t>
      </w:r>
      <w:r>
        <w:rPr>
          <w:rFonts w:hint="eastAsia" w:ascii="宋体" w:hAnsi="宋体" w:eastAsia="宋体" w:cs="宋体"/>
          <w:sz w:val="28"/>
          <w:szCs w:val="28"/>
          <w:vertAlign w:val="superscript"/>
        </w:rPr>
        <w:t>3</w:t>
      </w:r>
      <w:r>
        <w:rPr>
          <w:rFonts w:hint="eastAsia" w:ascii="宋体" w:hAnsi="宋体" w:eastAsia="宋体" w:cs="宋体"/>
          <w:sz w:val="28"/>
          <w:szCs w:val="28"/>
          <w:vertAlign w:val="baseline"/>
          <w:lang w:eastAsia="zh-CN"/>
        </w:rPr>
        <w:t>的</w:t>
      </w:r>
      <w:r>
        <w:rPr>
          <w:rFonts w:hint="eastAsia" w:ascii="宋体" w:hAnsi="宋体" w:eastAsia="宋体" w:cs="宋体"/>
          <w:sz w:val="28"/>
          <w:szCs w:val="28"/>
        </w:rPr>
        <w:t>油罐</w:t>
      </w:r>
      <w:r>
        <w:rPr>
          <w:rFonts w:hint="eastAsia" w:ascii="宋体" w:hAnsi="宋体" w:eastAsia="宋体" w:cs="宋体"/>
          <w:sz w:val="28"/>
          <w:szCs w:val="28"/>
          <w:lang w:eastAsia="zh-CN"/>
        </w:rPr>
        <w:t>车</w:t>
      </w:r>
      <w:r>
        <w:rPr>
          <w:rFonts w:hint="eastAsia" w:ascii="宋体" w:hAnsi="宋体" w:eastAsia="宋体" w:cs="宋体"/>
          <w:sz w:val="28"/>
          <w:szCs w:val="28"/>
        </w:rPr>
        <w:t>作为评价单元。</w:t>
      </w:r>
    </w:p>
    <w:p>
      <w:pPr>
        <w:keepNext w:val="0"/>
        <w:keepLines w:val="0"/>
        <w:pageBreakBefore w:val="0"/>
        <w:widowControl w:val="0"/>
        <w:kinsoku/>
        <w:wordWrap/>
        <w:overflowPunct/>
        <w:topLinePunct w:val="0"/>
        <w:bidi w:val="0"/>
        <w:adjustRightInd/>
        <w:snapToGrid/>
        <w:spacing w:line="560" w:lineRule="exact"/>
        <w:ind w:firstLine="562" w:firstLineChars="200"/>
        <w:textAlignment w:val="auto"/>
        <w:rPr>
          <w:rFonts w:hint="eastAsia" w:ascii="宋体" w:hAnsi="宋体" w:eastAsia="宋体" w:cs="宋体"/>
          <w:b/>
          <w:sz w:val="28"/>
          <w:szCs w:val="28"/>
        </w:rPr>
      </w:pPr>
      <w:r>
        <w:rPr>
          <w:rFonts w:hint="eastAsia" w:ascii="宋体" w:hAnsi="宋体" w:eastAsia="宋体" w:cs="宋体"/>
          <w:b/>
          <w:sz w:val="28"/>
          <w:szCs w:val="28"/>
        </w:rPr>
        <w:t>2）确定物质系数</w:t>
      </w:r>
    </w:p>
    <w:p>
      <w:pPr>
        <w:keepNext w:val="0"/>
        <w:keepLines w:val="0"/>
        <w:pageBreakBefore w:val="0"/>
        <w:widowControl w:val="0"/>
        <w:kinsoku/>
        <w:wordWrap/>
        <w:overflowPunct/>
        <w:topLinePunct w:val="0"/>
        <w:bidi w:val="0"/>
        <w:adjustRightInd/>
        <w:snapToGrid/>
        <w:spacing w:line="56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物质系数MF是火灾、爆炸危险指数计算和危险性评价过程中最基础的数据，是表述物质在燃烧或其他化学反应引起的火灾、爆炸中所释放能量大小的内在特性，其值越大表示火灾危险性越大，物质越不稳定，潜在能量越大。</w:t>
      </w:r>
    </w:p>
    <w:p>
      <w:pPr>
        <w:keepNext w:val="0"/>
        <w:keepLines w:val="0"/>
        <w:pageBreakBefore w:val="0"/>
        <w:widowControl w:val="0"/>
        <w:kinsoku/>
        <w:wordWrap/>
        <w:overflowPunct/>
        <w:topLinePunct w:val="0"/>
        <w:bidi w:val="0"/>
        <w:adjustRightInd/>
        <w:snapToGrid/>
        <w:spacing w:line="56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物质系数 MF 是由美国消防协会确定的物质的燃烧性N</w:t>
      </w:r>
      <w:r>
        <w:rPr>
          <w:rFonts w:hint="eastAsia" w:ascii="宋体" w:hAnsi="宋体" w:eastAsia="宋体" w:cs="宋体"/>
          <w:sz w:val="28"/>
          <w:szCs w:val="28"/>
          <w:vertAlign w:val="subscript"/>
        </w:rPr>
        <w:t>F</w:t>
      </w:r>
      <w:r>
        <w:rPr>
          <w:rFonts w:hint="eastAsia" w:ascii="宋体" w:hAnsi="宋体" w:eastAsia="宋体" w:cs="宋体"/>
          <w:sz w:val="28"/>
          <w:szCs w:val="28"/>
        </w:rPr>
        <w:t>和化学活性（或不稳定性）N</w:t>
      </w:r>
      <w:r>
        <w:rPr>
          <w:rFonts w:hint="eastAsia" w:ascii="宋体" w:hAnsi="宋体" w:eastAsia="宋体" w:cs="宋体"/>
          <w:sz w:val="28"/>
          <w:szCs w:val="28"/>
          <w:vertAlign w:val="subscript"/>
        </w:rPr>
        <w:t>R</w:t>
      </w:r>
      <w:r>
        <w:rPr>
          <w:rFonts w:hint="eastAsia" w:ascii="宋体" w:hAnsi="宋体" w:eastAsia="宋体" w:cs="宋体"/>
          <w:sz w:val="28"/>
          <w:szCs w:val="28"/>
        </w:rPr>
        <w:t>求得。本报告根据道化学公司评价指南中提供的危险物质的物质系数选取。</w:t>
      </w:r>
    </w:p>
    <w:p>
      <w:pPr>
        <w:keepNext w:val="0"/>
        <w:keepLines w:val="0"/>
        <w:pageBreakBefore w:val="0"/>
        <w:widowControl w:val="0"/>
        <w:kinsoku/>
        <w:wordWrap/>
        <w:overflowPunct/>
        <w:topLinePunct w:val="0"/>
        <w:bidi w:val="0"/>
        <w:adjustRightInd/>
        <w:snapToGrid/>
        <w:spacing w:line="56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单元中存在的危险物质为汽油，查道化学公司火灾、爆炸危险指数评价方法指南可知，单元内代表物质汽油的物质系数MF＝16。</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jc w:val="both"/>
        <w:textAlignment w:val="auto"/>
        <w:rPr>
          <w:rFonts w:hint="eastAsia" w:ascii="宋体" w:hAnsi="宋体" w:eastAsia="宋体" w:cs="宋体"/>
          <w:b/>
          <w:sz w:val="28"/>
          <w:szCs w:val="28"/>
        </w:rPr>
      </w:pPr>
      <w:r>
        <w:rPr>
          <w:rFonts w:hint="eastAsia" w:ascii="宋体" w:hAnsi="宋体" w:eastAsia="宋体" w:cs="宋体"/>
          <w:b/>
          <w:sz w:val="28"/>
          <w:szCs w:val="28"/>
        </w:rPr>
        <w:t>3）确定工艺单元危险系数</w:t>
      </w:r>
    </w:p>
    <w:p>
      <w:pPr>
        <w:keepNext w:val="0"/>
        <w:keepLines w:val="0"/>
        <w:pageBreakBefore w:val="0"/>
        <w:widowControl w:val="0"/>
        <w:kinsoku/>
        <w:wordWrap/>
        <w:overflowPunct/>
        <w:topLinePunct w:val="0"/>
        <w:bidi w:val="0"/>
        <w:adjustRightInd/>
        <w:snapToGrid/>
        <w:spacing w:line="56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确定工艺单元危险系数F</w:t>
      </w:r>
      <w:r>
        <w:rPr>
          <w:rFonts w:hint="eastAsia" w:ascii="宋体" w:hAnsi="宋体" w:eastAsia="宋体" w:cs="宋体"/>
          <w:sz w:val="28"/>
          <w:szCs w:val="28"/>
          <w:vertAlign w:val="subscript"/>
        </w:rPr>
        <w:t>3</w:t>
      </w:r>
      <w:r>
        <w:rPr>
          <w:rFonts w:hint="eastAsia" w:ascii="宋体" w:hAnsi="宋体" w:eastAsia="宋体" w:cs="宋体"/>
          <w:sz w:val="28"/>
          <w:szCs w:val="28"/>
        </w:rPr>
        <w:t>的数值，首先要确定火灾、爆炸危险系数表中的一般工艺危险系数F</w:t>
      </w:r>
      <w:r>
        <w:rPr>
          <w:rFonts w:hint="eastAsia" w:ascii="宋体" w:hAnsi="宋体" w:eastAsia="宋体" w:cs="宋体"/>
          <w:sz w:val="28"/>
          <w:szCs w:val="28"/>
          <w:vertAlign w:val="subscript"/>
        </w:rPr>
        <w:t>1</w:t>
      </w:r>
      <w:r>
        <w:rPr>
          <w:rFonts w:hint="eastAsia" w:ascii="宋体" w:hAnsi="宋体" w:eastAsia="宋体" w:cs="宋体"/>
          <w:sz w:val="28"/>
          <w:szCs w:val="28"/>
        </w:rPr>
        <w:t>和特殊工艺危险系数F</w:t>
      </w:r>
      <w:r>
        <w:rPr>
          <w:rFonts w:hint="eastAsia" w:ascii="宋体" w:hAnsi="宋体" w:eastAsia="宋体" w:cs="宋体"/>
          <w:sz w:val="28"/>
          <w:szCs w:val="28"/>
          <w:vertAlign w:val="subscript"/>
        </w:rPr>
        <w:t>2</w:t>
      </w:r>
      <w:r>
        <w:rPr>
          <w:rFonts w:hint="eastAsia" w:ascii="宋体" w:hAnsi="宋体" w:eastAsia="宋体" w:cs="宋体"/>
          <w:sz w:val="28"/>
          <w:szCs w:val="28"/>
        </w:rPr>
        <w:t>。一般工艺危险系数是确定事故损害大小的主要因素；特殊工艺危险系数是影响事故发生概率的主要因素。工艺单元危险系数可由一般工艺危险系数和特殊工艺危险系数的乘积求得，即F</w:t>
      </w:r>
      <w:r>
        <w:rPr>
          <w:rFonts w:hint="eastAsia" w:ascii="宋体" w:hAnsi="宋体" w:eastAsia="宋体" w:cs="宋体"/>
          <w:sz w:val="28"/>
          <w:szCs w:val="28"/>
          <w:vertAlign w:val="subscript"/>
        </w:rPr>
        <w:t>3</w:t>
      </w:r>
      <w:r>
        <w:rPr>
          <w:rFonts w:hint="eastAsia" w:ascii="宋体" w:hAnsi="宋体" w:eastAsia="宋体" w:cs="宋体"/>
          <w:sz w:val="28"/>
          <w:szCs w:val="28"/>
        </w:rPr>
        <w:t>＝F</w:t>
      </w:r>
      <w:r>
        <w:rPr>
          <w:rFonts w:hint="eastAsia" w:ascii="宋体" w:hAnsi="宋体" w:eastAsia="宋体" w:cs="宋体"/>
          <w:sz w:val="28"/>
          <w:szCs w:val="28"/>
          <w:vertAlign w:val="subscript"/>
        </w:rPr>
        <w:t>1</w:t>
      </w:r>
      <w:r>
        <w:rPr>
          <w:rFonts w:hint="eastAsia" w:ascii="宋体" w:hAnsi="宋体" w:eastAsia="宋体" w:cs="宋体"/>
          <w:sz w:val="28"/>
          <w:szCs w:val="28"/>
        </w:rPr>
        <w:t>×F</w:t>
      </w:r>
      <w:r>
        <w:rPr>
          <w:rFonts w:hint="eastAsia" w:ascii="宋体" w:hAnsi="宋体" w:eastAsia="宋体" w:cs="宋体"/>
          <w:sz w:val="28"/>
          <w:szCs w:val="28"/>
          <w:vertAlign w:val="subscript"/>
        </w:rPr>
        <w:t>2</w:t>
      </w:r>
      <w:r>
        <w:rPr>
          <w:rFonts w:hint="eastAsia" w:ascii="宋体" w:hAnsi="宋体" w:eastAsia="宋体" w:cs="宋体"/>
          <w:sz w:val="28"/>
          <w:szCs w:val="28"/>
        </w:rPr>
        <w:t>。构成工艺危险系数的每一项都可能引起火灾或爆炸事故的扩大或升级。</w:t>
      </w:r>
    </w:p>
    <w:p>
      <w:pPr>
        <w:keepNext w:val="0"/>
        <w:keepLines w:val="0"/>
        <w:pageBreakBefore w:val="0"/>
        <w:widowControl w:val="0"/>
        <w:kinsoku/>
        <w:wordWrap/>
        <w:overflowPunct/>
        <w:topLinePunct w:val="0"/>
        <w:bidi w:val="0"/>
        <w:adjustRightInd/>
        <w:snapToGrid/>
        <w:spacing w:line="56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表</w:t>
      </w:r>
      <w:r>
        <w:rPr>
          <w:rFonts w:hint="eastAsia" w:ascii="宋体" w:hAnsi="宋体" w:eastAsia="宋体" w:cs="宋体"/>
          <w:sz w:val="28"/>
          <w:szCs w:val="28"/>
          <w:lang w:val="en-US"/>
        </w:rPr>
        <w:t>4.9-1</w:t>
      </w:r>
      <w:r>
        <w:rPr>
          <w:rFonts w:hint="eastAsia" w:ascii="宋体" w:hAnsi="宋体" w:eastAsia="宋体" w:cs="宋体"/>
          <w:sz w:val="28"/>
          <w:szCs w:val="28"/>
        </w:rPr>
        <w:t>所列的所有内容适用于大多数作业场合。根据加油站的实际情况以及所划分的评价单元，在确定工艺单元危险系数时，应该选择物质在工艺单元中所处的最危险状态。同时，工艺过程中的温度、压力以及物料装卸方式、单元中代表物质的毒性等均是本次评价当中加以考虑的重要因素。各危险系数的选取、计算值见表</w:t>
      </w:r>
      <w:r>
        <w:rPr>
          <w:rFonts w:hint="eastAsia" w:ascii="宋体" w:hAnsi="宋体" w:eastAsia="宋体" w:cs="宋体"/>
          <w:sz w:val="28"/>
          <w:szCs w:val="28"/>
          <w:lang w:val="en-US"/>
        </w:rPr>
        <w:t>4.9-1</w:t>
      </w:r>
      <w:r>
        <w:rPr>
          <w:rFonts w:hint="eastAsia" w:ascii="宋体" w:hAnsi="宋体" w:eastAsia="宋体" w:cs="宋体"/>
          <w:sz w:val="28"/>
          <w:szCs w:val="28"/>
        </w:rPr>
        <w:t>。</w:t>
      </w:r>
    </w:p>
    <w:p>
      <w:pPr>
        <w:ind w:firstLine="562" w:firstLineChars="200"/>
        <w:rPr>
          <w:rFonts w:hint="eastAsia" w:ascii="宋体" w:hAnsi="宋体" w:eastAsia="宋体" w:cs="宋体"/>
          <w:b/>
          <w:sz w:val="28"/>
          <w:szCs w:val="28"/>
        </w:rPr>
      </w:pPr>
    </w:p>
    <w:p>
      <w:pPr>
        <w:ind w:firstLine="560" w:firstLineChars="200"/>
        <w:jc w:val="center"/>
        <w:rPr>
          <w:rFonts w:hint="eastAsia" w:ascii="宋体" w:hAnsi="宋体" w:eastAsia="宋体" w:cs="宋体"/>
          <w:sz w:val="28"/>
          <w:szCs w:val="28"/>
        </w:rPr>
      </w:pPr>
      <w:bookmarkStart w:id="912" w:name="_Toc25570_WPSOffice_Level2"/>
      <w:bookmarkStart w:id="913" w:name="_Toc9004_WPSOffice_Level3"/>
      <w:bookmarkStart w:id="914" w:name="_Toc8141_WPSOffice_Level2"/>
      <w:bookmarkStart w:id="915" w:name="_Toc16541_WPSOffice_Level2"/>
      <w:bookmarkStart w:id="916" w:name="_Toc9225_WPSOffice_Level3"/>
      <w:r>
        <w:rPr>
          <w:rFonts w:hint="eastAsia" w:ascii="宋体" w:hAnsi="宋体" w:eastAsia="宋体" w:cs="宋体"/>
          <w:sz w:val="28"/>
          <w:szCs w:val="28"/>
          <w:lang w:val="en-US"/>
        </w:rPr>
        <w:t xml:space="preserve">附表4.9-1 </w:t>
      </w:r>
      <w:r>
        <w:rPr>
          <w:rFonts w:hint="eastAsia" w:ascii="宋体" w:hAnsi="宋体" w:eastAsia="宋体" w:cs="宋体"/>
          <w:sz w:val="28"/>
          <w:szCs w:val="28"/>
        </w:rPr>
        <w:t>油罐区火灾、爆炸危险系数表</w:t>
      </w:r>
      <w:bookmarkEnd w:id="912"/>
      <w:bookmarkEnd w:id="913"/>
      <w:bookmarkEnd w:id="914"/>
      <w:bookmarkEnd w:id="915"/>
      <w:bookmarkEnd w:id="916"/>
    </w:p>
    <w:tbl>
      <w:tblPr>
        <w:tblStyle w:val="21"/>
        <w:tblW w:w="9159" w:type="dxa"/>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3589"/>
        <w:gridCol w:w="1268"/>
        <w:gridCol w:w="1003"/>
        <w:gridCol w:w="3299"/>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452" w:hRule="atLeast"/>
        </w:trPr>
        <w:tc>
          <w:tcPr>
            <w:tcW w:w="3589" w:type="dxa"/>
            <w:tcBorders>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项</w:t>
            </w:r>
            <w:r>
              <w:rPr>
                <w:rFonts w:hint="eastAsia" w:ascii="宋体" w:hAnsi="宋体" w:eastAsia="宋体" w:cs="宋体"/>
                <w:sz w:val="21"/>
                <w:szCs w:val="21"/>
              </w:rPr>
              <w:tab/>
            </w:r>
            <w:r>
              <w:rPr>
                <w:rFonts w:hint="eastAsia" w:ascii="宋体" w:hAnsi="宋体" w:eastAsia="宋体" w:cs="宋体"/>
                <w:sz w:val="21"/>
                <w:szCs w:val="21"/>
              </w:rPr>
              <w:t>目</w:t>
            </w:r>
          </w:p>
        </w:tc>
        <w:tc>
          <w:tcPr>
            <w:tcW w:w="1268" w:type="dxa"/>
            <w:tcBorders>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系数范围</w:t>
            </w:r>
          </w:p>
        </w:tc>
        <w:tc>
          <w:tcPr>
            <w:tcW w:w="1003" w:type="dxa"/>
            <w:tcBorders>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汽油罐</w:t>
            </w:r>
          </w:p>
        </w:tc>
        <w:tc>
          <w:tcPr>
            <w:tcW w:w="3299" w:type="dxa"/>
            <w:tcBorders>
              <w:left w:val="single" w:color="000000" w:sz="6" w:space="0"/>
              <w:bottom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危险系数取值说明</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5" w:hRule="atLeast"/>
        </w:trPr>
        <w:tc>
          <w:tcPr>
            <w:tcW w:w="3589" w:type="dxa"/>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代表性物质</w:t>
            </w:r>
          </w:p>
        </w:tc>
        <w:tc>
          <w:tcPr>
            <w:tcW w:w="1268"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p>
        </w:tc>
        <w:tc>
          <w:tcPr>
            <w:tcW w:w="1003"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汽油</w:t>
            </w:r>
          </w:p>
        </w:tc>
        <w:tc>
          <w:tcPr>
            <w:tcW w:w="3299" w:type="dxa"/>
            <w:tcBorders>
              <w:top w:val="single" w:color="000000" w:sz="6" w:space="0"/>
              <w:left w:val="single" w:color="000000" w:sz="6" w:space="0"/>
              <w:bottom w:val="single" w:color="000000" w:sz="6" w:space="0"/>
            </w:tcBorders>
            <w:vAlign w:val="center"/>
          </w:tcPr>
          <w:p>
            <w:pPr>
              <w:jc w:val="center"/>
              <w:rPr>
                <w:rFonts w:hint="eastAsia" w:ascii="宋体" w:hAnsi="宋体" w:eastAsia="宋体" w:cs="宋体"/>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2" w:hRule="atLeast"/>
        </w:trPr>
        <w:tc>
          <w:tcPr>
            <w:tcW w:w="3589" w:type="dxa"/>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物质系数 M</w:t>
            </w:r>
            <w:r>
              <w:rPr>
                <w:rFonts w:hint="eastAsia" w:ascii="宋体" w:hAnsi="宋体" w:eastAsia="宋体" w:cs="宋体"/>
                <w:sz w:val="21"/>
                <w:szCs w:val="21"/>
                <w:vertAlign w:val="subscript"/>
              </w:rPr>
              <w:t>F</w:t>
            </w:r>
          </w:p>
        </w:tc>
        <w:tc>
          <w:tcPr>
            <w:tcW w:w="1268"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p>
        </w:tc>
        <w:tc>
          <w:tcPr>
            <w:tcW w:w="1003"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16</w:t>
            </w:r>
          </w:p>
        </w:tc>
        <w:tc>
          <w:tcPr>
            <w:tcW w:w="3299" w:type="dxa"/>
            <w:tcBorders>
              <w:top w:val="single" w:color="000000" w:sz="6" w:space="0"/>
              <w:left w:val="single" w:color="000000" w:sz="6" w:space="0"/>
              <w:bottom w:val="single" w:color="000000" w:sz="6" w:space="0"/>
            </w:tcBorders>
            <w:vAlign w:val="center"/>
          </w:tcPr>
          <w:p>
            <w:pPr>
              <w:jc w:val="center"/>
              <w:rPr>
                <w:rFonts w:hint="eastAsia" w:ascii="宋体" w:hAnsi="宋体" w:eastAsia="宋体" w:cs="宋体"/>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5" w:hRule="atLeast"/>
        </w:trPr>
        <w:tc>
          <w:tcPr>
            <w:tcW w:w="3589" w:type="dxa"/>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1.一般工艺危险</w:t>
            </w:r>
          </w:p>
        </w:tc>
        <w:tc>
          <w:tcPr>
            <w:tcW w:w="5570" w:type="dxa"/>
            <w:gridSpan w:val="3"/>
            <w:tcBorders>
              <w:top w:val="single" w:color="000000" w:sz="6" w:space="0"/>
              <w:left w:val="single" w:color="000000" w:sz="6" w:space="0"/>
              <w:bottom w:val="single" w:color="000000" w:sz="6" w:space="0"/>
            </w:tcBorders>
            <w:vAlign w:val="center"/>
          </w:tcPr>
          <w:p>
            <w:pPr>
              <w:jc w:val="center"/>
              <w:rPr>
                <w:rFonts w:hint="eastAsia" w:ascii="宋体" w:hAnsi="宋体" w:eastAsia="宋体" w:cs="宋体"/>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3" w:hRule="atLeast"/>
        </w:trPr>
        <w:tc>
          <w:tcPr>
            <w:tcW w:w="3589" w:type="dxa"/>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基本系数</w:t>
            </w:r>
          </w:p>
        </w:tc>
        <w:tc>
          <w:tcPr>
            <w:tcW w:w="1268"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1.00</w:t>
            </w:r>
          </w:p>
        </w:tc>
        <w:tc>
          <w:tcPr>
            <w:tcW w:w="1003"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1.00</w:t>
            </w:r>
          </w:p>
        </w:tc>
        <w:tc>
          <w:tcPr>
            <w:tcW w:w="3299" w:type="dxa"/>
            <w:tcBorders>
              <w:top w:val="single" w:color="000000" w:sz="6" w:space="0"/>
              <w:left w:val="single" w:color="000000" w:sz="6" w:space="0"/>
              <w:bottom w:val="single" w:color="000000" w:sz="6" w:space="0"/>
            </w:tcBorders>
            <w:vAlign w:val="center"/>
          </w:tcPr>
          <w:p>
            <w:pPr>
              <w:jc w:val="center"/>
              <w:rPr>
                <w:rFonts w:hint="eastAsia" w:ascii="宋体" w:hAnsi="宋体" w:eastAsia="宋体" w:cs="宋体"/>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455" w:hRule="atLeast"/>
        </w:trPr>
        <w:tc>
          <w:tcPr>
            <w:tcW w:w="3589" w:type="dxa"/>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A.放热化学反应</w:t>
            </w:r>
          </w:p>
        </w:tc>
        <w:tc>
          <w:tcPr>
            <w:tcW w:w="1268"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0.3～1.25</w:t>
            </w:r>
          </w:p>
        </w:tc>
        <w:tc>
          <w:tcPr>
            <w:tcW w:w="1003"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w:t>
            </w:r>
          </w:p>
        </w:tc>
        <w:tc>
          <w:tcPr>
            <w:tcW w:w="3299" w:type="dxa"/>
            <w:tcBorders>
              <w:top w:val="single" w:color="000000" w:sz="6" w:space="0"/>
              <w:left w:val="single" w:color="000000" w:sz="6" w:space="0"/>
              <w:bottom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工艺单元中无放热化学反应</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452" w:hRule="atLeast"/>
        </w:trPr>
        <w:tc>
          <w:tcPr>
            <w:tcW w:w="3589" w:type="dxa"/>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B.吸热反应</w:t>
            </w:r>
          </w:p>
        </w:tc>
        <w:tc>
          <w:tcPr>
            <w:tcW w:w="1268"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0.20～0.40</w:t>
            </w:r>
          </w:p>
        </w:tc>
        <w:tc>
          <w:tcPr>
            <w:tcW w:w="1003"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w:t>
            </w:r>
          </w:p>
        </w:tc>
        <w:tc>
          <w:tcPr>
            <w:tcW w:w="3299" w:type="dxa"/>
            <w:tcBorders>
              <w:top w:val="single" w:color="000000" w:sz="6" w:space="0"/>
              <w:left w:val="single" w:color="000000" w:sz="6" w:space="0"/>
              <w:bottom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工艺单元中无吸热化学反应</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453" w:hRule="atLeast"/>
        </w:trPr>
        <w:tc>
          <w:tcPr>
            <w:tcW w:w="3589" w:type="dxa"/>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C.物质处理与输送</w:t>
            </w:r>
          </w:p>
        </w:tc>
        <w:tc>
          <w:tcPr>
            <w:tcW w:w="1268"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0.25～1.05</w:t>
            </w:r>
          </w:p>
        </w:tc>
        <w:tc>
          <w:tcPr>
            <w:tcW w:w="1003"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0.50</w:t>
            </w:r>
          </w:p>
        </w:tc>
        <w:tc>
          <w:tcPr>
            <w:tcW w:w="3299" w:type="dxa"/>
            <w:tcBorders>
              <w:top w:val="single" w:color="000000" w:sz="6" w:space="0"/>
              <w:left w:val="single" w:color="000000" w:sz="6" w:space="0"/>
              <w:bottom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汽油为Ⅰ类易燃液体</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455" w:hRule="atLeast"/>
        </w:trPr>
        <w:tc>
          <w:tcPr>
            <w:tcW w:w="3589" w:type="dxa"/>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D.密闭式或室内工艺单元</w:t>
            </w:r>
          </w:p>
        </w:tc>
        <w:tc>
          <w:tcPr>
            <w:tcW w:w="1268"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0.25～0.90</w:t>
            </w:r>
          </w:p>
        </w:tc>
        <w:tc>
          <w:tcPr>
            <w:tcW w:w="1003"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lang w:val="en-US"/>
              </w:rPr>
              <w:t>0.45</w:t>
            </w:r>
          </w:p>
        </w:tc>
        <w:tc>
          <w:tcPr>
            <w:tcW w:w="3299" w:type="dxa"/>
            <w:tcBorders>
              <w:top w:val="single" w:color="000000" w:sz="6" w:space="0"/>
              <w:left w:val="single" w:color="000000" w:sz="6" w:space="0"/>
              <w:bottom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在封闭区域内，在闪点以上处理易燃液体，处理易燃液体的量大于4540㎏</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599" w:hRule="atLeast"/>
        </w:trPr>
        <w:tc>
          <w:tcPr>
            <w:tcW w:w="3589" w:type="dxa"/>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E.通道</w:t>
            </w:r>
          </w:p>
        </w:tc>
        <w:tc>
          <w:tcPr>
            <w:tcW w:w="1268"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0.20～0.35</w:t>
            </w:r>
          </w:p>
        </w:tc>
        <w:tc>
          <w:tcPr>
            <w:tcW w:w="1003"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w:t>
            </w:r>
          </w:p>
        </w:tc>
        <w:tc>
          <w:tcPr>
            <w:tcW w:w="3299" w:type="dxa"/>
            <w:tcBorders>
              <w:top w:val="single" w:color="000000" w:sz="6" w:space="0"/>
              <w:left w:val="single" w:color="000000" w:sz="6" w:space="0"/>
              <w:bottom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储罐区周围有足够空地，可满足消</w:t>
            </w:r>
          </w:p>
          <w:p>
            <w:pPr>
              <w:jc w:val="center"/>
              <w:rPr>
                <w:rFonts w:hint="eastAsia" w:ascii="宋体" w:hAnsi="宋体" w:eastAsia="宋体" w:cs="宋体"/>
                <w:sz w:val="21"/>
                <w:szCs w:val="21"/>
              </w:rPr>
            </w:pPr>
            <w:r>
              <w:rPr>
                <w:rFonts w:hint="eastAsia" w:ascii="宋体" w:hAnsi="宋体" w:eastAsia="宋体" w:cs="宋体"/>
                <w:sz w:val="21"/>
                <w:szCs w:val="21"/>
              </w:rPr>
              <w:t>防救护要求</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453" w:hRule="atLeast"/>
        </w:trPr>
        <w:tc>
          <w:tcPr>
            <w:tcW w:w="3589" w:type="dxa"/>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F.排放和泄漏控制</w:t>
            </w:r>
          </w:p>
        </w:tc>
        <w:tc>
          <w:tcPr>
            <w:tcW w:w="1268"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0.25～0.50</w:t>
            </w:r>
          </w:p>
        </w:tc>
        <w:tc>
          <w:tcPr>
            <w:tcW w:w="1003"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0.50</w:t>
            </w:r>
          </w:p>
        </w:tc>
        <w:tc>
          <w:tcPr>
            <w:tcW w:w="3299" w:type="dxa"/>
            <w:tcBorders>
              <w:top w:val="single" w:color="000000" w:sz="6" w:space="0"/>
              <w:left w:val="single" w:color="000000" w:sz="6" w:space="0"/>
              <w:bottom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单元周围为平坦地</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5" w:hRule="atLeast"/>
        </w:trPr>
        <w:tc>
          <w:tcPr>
            <w:tcW w:w="4857" w:type="dxa"/>
            <w:gridSpan w:val="2"/>
            <w:tcBorders>
              <w:top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一般工艺危险系数（F1）</w:t>
            </w:r>
          </w:p>
        </w:tc>
        <w:tc>
          <w:tcPr>
            <w:tcW w:w="1003" w:type="dxa"/>
            <w:tcBorders>
              <w:top w:val="single" w:color="000000" w:sz="6" w:space="0"/>
              <w:left w:val="single" w:color="000000" w:sz="6" w:space="0"/>
              <w:right w:val="single" w:color="000000" w:sz="6" w:space="0"/>
            </w:tcBorders>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rPr>
              <w:t>2.</w:t>
            </w:r>
            <w:r>
              <w:rPr>
                <w:rFonts w:hint="eastAsia" w:ascii="宋体" w:hAnsi="宋体" w:eastAsia="宋体" w:cs="宋体"/>
                <w:sz w:val="21"/>
                <w:szCs w:val="21"/>
                <w:lang w:val="en-US"/>
              </w:rPr>
              <w:t>45</w:t>
            </w:r>
          </w:p>
        </w:tc>
        <w:tc>
          <w:tcPr>
            <w:tcW w:w="3299" w:type="dxa"/>
            <w:tcBorders>
              <w:top w:val="single" w:color="000000" w:sz="6" w:space="0"/>
              <w:left w:val="single" w:color="000000" w:sz="6" w:space="0"/>
            </w:tcBorders>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rPr>
              <w:t>F1=1.00+0.50+</w:t>
            </w:r>
            <w:r>
              <w:rPr>
                <w:rFonts w:hint="eastAsia" w:ascii="宋体" w:hAnsi="宋体" w:eastAsia="宋体" w:cs="宋体"/>
                <w:sz w:val="21"/>
                <w:szCs w:val="21"/>
                <w:lang w:val="en-US"/>
              </w:rPr>
              <w:t>0.45+</w:t>
            </w:r>
            <w:r>
              <w:rPr>
                <w:rFonts w:hint="eastAsia" w:ascii="宋体" w:hAnsi="宋体" w:eastAsia="宋体" w:cs="宋体"/>
                <w:sz w:val="21"/>
                <w:szCs w:val="21"/>
              </w:rPr>
              <w:t>0.50=2.</w:t>
            </w:r>
            <w:r>
              <w:rPr>
                <w:rFonts w:hint="eastAsia" w:ascii="宋体" w:hAnsi="宋体" w:eastAsia="宋体" w:cs="宋体"/>
                <w:sz w:val="21"/>
                <w:szCs w:val="21"/>
                <w:lang w:val="en-US"/>
              </w:rPr>
              <w:t>45</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3" w:hRule="atLeast"/>
        </w:trPr>
        <w:tc>
          <w:tcPr>
            <w:tcW w:w="3589" w:type="dxa"/>
            <w:tcBorders>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2.特殊工艺危险</w:t>
            </w:r>
          </w:p>
        </w:tc>
        <w:tc>
          <w:tcPr>
            <w:tcW w:w="5570" w:type="dxa"/>
            <w:gridSpan w:val="3"/>
            <w:tcBorders>
              <w:left w:val="single" w:color="000000" w:sz="6" w:space="0"/>
              <w:bottom w:val="single" w:color="000000" w:sz="6" w:space="0"/>
            </w:tcBorders>
            <w:vAlign w:val="center"/>
          </w:tcPr>
          <w:p>
            <w:pPr>
              <w:jc w:val="center"/>
              <w:rPr>
                <w:rFonts w:hint="eastAsia" w:ascii="宋体" w:hAnsi="宋体" w:eastAsia="宋体" w:cs="宋体"/>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5" w:hRule="atLeast"/>
        </w:trPr>
        <w:tc>
          <w:tcPr>
            <w:tcW w:w="3589" w:type="dxa"/>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基本系数</w:t>
            </w:r>
          </w:p>
        </w:tc>
        <w:tc>
          <w:tcPr>
            <w:tcW w:w="1268"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1.00</w:t>
            </w:r>
          </w:p>
        </w:tc>
        <w:tc>
          <w:tcPr>
            <w:tcW w:w="1003"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1.00</w:t>
            </w:r>
          </w:p>
        </w:tc>
        <w:tc>
          <w:tcPr>
            <w:tcW w:w="3299" w:type="dxa"/>
            <w:tcBorders>
              <w:top w:val="single" w:color="000000" w:sz="6" w:space="0"/>
              <w:left w:val="single" w:color="000000" w:sz="6" w:space="0"/>
              <w:bottom w:val="single" w:color="000000" w:sz="6" w:space="0"/>
            </w:tcBorders>
            <w:vAlign w:val="center"/>
          </w:tcPr>
          <w:p>
            <w:pPr>
              <w:jc w:val="center"/>
              <w:rPr>
                <w:rFonts w:hint="eastAsia" w:ascii="宋体" w:hAnsi="宋体" w:eastAsia="宋体" w:cs="宋体"/>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99" w:hRule="atLeast"/>
        </w:trPr>
        <w:tc>
          <w:tcPr>
            <w:tcW w:w="3589" w:type="dxa"/>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A.毒性物质</w:t>
            </w:r>
          </w:p>
        </w:tc>
        <w:tc>
          <w:tcPr>
            <w:tcW w:w="1268"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0.20～0.80</w:t>
            </w:r>
          </w:p>
        </w:tc>
        <w:tc>
          <w:tcPr>
            <w:tcW w:w="1003"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0.20</w:t>
            </w:r>
          </w:p>
        </w:tc>
        <w:tc>
          <w:tcPr>
            <w:tcW w:w="3299" w:type="dxa"/>
            <w:tcBorders>
              <w:top w:val="single" w:color="000000" w:sz="6" w:space="0"/>
              <w:left w:val="single" w:color="000000" w:sz="6" w:space="0"/>
              <w:bottom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短时间接触汽油可引起刺激，致人</w:t>
            </w:r>
          </w:p>
          <w:p>
            <w:pPr>
              <w:jc w:val="center"/>
              <w:rPr>
                <w:rFonts w:hint="eastAsia" w:ascii="宋体" w:hAnsi="宋体" w:eastAsia="宋体" w:cs="宋体"/>
                <w:sz w:val="21"/>
                <w:szCs w:val="21"/>
              </w:rPr>
            </w:pPr>
            <w:r>
              <w:rPr>
                <w:rFonts w:hint="eastAsia" w:ascii="宋体" w:hAnsi="宋体" w:eastAsia="宋体" w:cs="宋体"/>
                <w:sz w:val="21"/>
                <w:szCs w:val="21"/>
              </w:rPr>
              <w:t>轻微伤害，Nh=1</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455" w:hRule="atLeast"/>
        </w:trPr>
        <w:tc>
          <w:tcPr>
            <w:tcW w:w="3589" w:type="dxa"/>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B.负压（66.7kPa）</w:t>
            </w:r>
          </w:p>
        </w:tc>
        <w:tc>
          <w:tcPr>
            <w:tcW w:w="1268"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0.50</w:t>
            </w:r>
          </w:p>
        </w:tc>
        <w:tc>
          <w:tcPr>
            <w:tcW w:w="1003"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w:t>
            </w:r>
          </w:p>
        </w:tc>
        <w:tc>
          <w:tcPr>
            <w:tcW w:w="3299" w:type="dxa"/>
            <w:tcBorders>
              <w:top w:val="single" w:color="000000" w:sz="6" w:space="0"/>
              <w:left w:val="single" w:color="000000" w:sz="6" w:space="0"/>
              <w:bottom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操作在常压下进行</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919" w:hRule="atLeast"/>
        </w:trPr>
        <w:tc>
          <w:tcPr>
            <w:tcW w:w="3589" w:type="dxa"/>
            <w:tcBorders>
              <w:top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C.易燃范围内及接近易燃范围的操作</w:t>
            </w:r>
          </w:p>
          <w:p>
            <w:pPr>
              <w:jc w:val="center"/>
              <w:rPr>
                <w:rFonts w:hint="eastAsia" w:ascii="宋体" w:hAnsi="宋体" w:eastAsia="宋体" w:cs="宋体"/>
                <w:sz w:val="21"/>
                <w:szCs w:val="21"/>
              </w:rPr>
            </w:pPr>
            <w:r>
              <w:rPr>
                <w:rFonts w:hint="eastAsia" w:ascii="宋体" w:hAnsi="宋体" w:eastAsia="宋体" w:cs="宋体"/>
                <w:sz w:val="21"/>
                <w:szCs w:val="21"/>
              </w:rPr>
              <w:t>：惰性化、非惰性化</w:t>
            </w:r>
          </w:p>
        </w:tc>
        <w:tc>
          <w:tcPr>
            <w:tcW w:w="1268" w:type="dxa"/>
            <w:tcBorders>
              <w:top w:val="single" w:color="000000" w:sz="6" w:space="0"/>
              <w:left w:val="single" w:color="000000" w:sz="6" w:space="0"/>
              <w:right w:val="single" w:color="000000" w:sz="6" w:space="0"/>
            </w:tcBorders>
            <w:vAlign w:val="center"/>
          </w:tcPr>
          <w:p>
            <w:pPr>
              <w:jc w:val="center"/>
              <w:rPr>
                <w:rFonts w:hint="eastAsia" w:ascii="宋体" w:hAnsi="宋体" w:eastAsia="宋体" w:cs="宋体"/>
                <w:sz w:val="21"/>
                <w:szCs w:val="21"/>
              </w:rPr>
            </w:pPr>
          </w:p>
        </w:tc>
        <w:tc>
          <w:tcPr>
            <w:tcW w:w="1003" w:type="dxa"/>
            <w:vMerge w:val="restart"/>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0.50</w:t>
            </w:r>
          </w:p>
        </w:tc>
        <w:tc>
          <w:tcPr>
            <w:tcW w:w="3299" w:type="dxa"/>
            <w:vMerge w:val="restart"/>
            <w:tcBorders>
              <w:top w:val="single" w:color="000000" w:sz="6" w:space="0"/>
              <w:left w:val="single" w:color="000000" w:sz="6" w:space="0"/>
              <w:bottom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储罐中泵出汽油时，可能吸入空气</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5" w:hRule="atLeast"/>
        </w:trPr>
        <w:tc>
          <w:tcPr>
            <w:tcW w:w="3589" w:type="dxa"/>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⑴罐装易燃液体</w:t>
            </w:r>
          </w:p>
        </w:tc>
        <w:tc>
          <w:tcPr>
            <w:tcW w:w="1268"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0.50</w:t>
            </w:r>
          </w:p>
        </w:tc>
        <w:tc>
          <w:tcPr>
            <w:tcW w:w="1003" w:type="dxa"/>
            <w:vMerge w:val="continue"/>
            <w:tcBorders>
              <w:top w:val="nil"/>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p>
        </w:tc>
        <w:tc>
          <w:tcPr>
            <w:tcW w:w="3299" w:type="dxa"/>
            <w:vMerge w:val="continue"/>
            <w:tcBorders>
              <w:top w:val="nil"/>
              <w:left w:val="single" w:color="000000" w:sz="6" w:space="0"/>
              <w:bottom w:val="single" w:color="000000" w:sz="6" w:space="0"/>
            </w:tcBorders>
            <w:vAlign w:val="center"/>
          </w:tcPr>
          <w:p>
            <w:pPr>
              <w:jc w:val="center"/>
              <w:rPr>
                <w:rFonts w:hint="eastAsia" w:ascii="宋体" w:hAnsi="宋体" w:eastAsia="宋体" w:cs="宋体"/>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3" w:hRule="atLeast"/>
        </w:trPr>
        <w:tc>
          <w:tcPr>
            <w:tcW w:w="3589" w:type="dxa"/>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⑵过程失常或吹扫故障</w:t>
            </w:r>
          </w:p>
        </w:tc>
        <w:tc>
          <w:tcPr>
            <w:tcW w:w="1268"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0.30</w:t>
            </w:r>
          </w:p>
        </w:tc>
        <w:tc>
          <w:tcPr>
            <w:tcW w:w="1003" w:type="dxa"/>
            <w:vMerge w:val="continue"/>
            <w:tcBorders>
              <w:top w:val="nil"/>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p>
        </w:tc>
        <w:tc>
          <w:tcPr>
            <w:tcW w:w="3299" w:type="dxa"/>
            <w:vMerge w:val="continue"/>
            <w:tcBorders>
              <w:top w:val="nil"/>
              <w:left w:val="single" w:color="000000" w:sz="6" w:space="0"/>
              <w:bottom w:val="single" w:color="000000" w:sz="6" w:space="0"/>
            </w:tcBorders>
            <w:vAlign w:val="center"/>
          </w:tcPr>
          <w:p>
            <w:pPr>
              <w:jc w:val="center"/>
              <w:rPr>
                <w:rFonts w:hint="eastAsia" w:ascii="宋体" w:hAnsi="宋体" w:eastAsia="宋体" w:cs="宋体"/>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5" w:hRule="atLeast"/>
        </w:trPr>
        <w:tc>
          <w:tcPr>
            <w:tcW w:w="3589" w:type="dxa"/>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⑶一直在燃烧范围内</w:t>
            </w:r>
          </w:p>
        </w:tc>
        <w:tc>
          <w:tcPr>
            <w:tcW w:w="1268"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0.80</w:t>
            </w:r>
          </w:p>
        </w:tc>
        <w:tc>
          <w:tcPr>
            <w:tcW w:w="1003" w:type="dxa"/>
            <w:vMerge w:val="continue"/>
            <w:tcBorders>
              <w:top w:val="nil"/>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p>
        </w:tc>
        <w:tc>
          <w:tcPr>
            <w:tcW w:w="3299" w:type="dxa"/>
            <w:vMerge w:val="continue"/>
            <w:tcBorders>
              <w:top w:val="nil"/>
              <w:left w:val="single" w:color="000000" w:sz="6" w:space="0"/>
              <w:bottom w:val="single" w:color="000000" w:sz="6" w:space="0"/>
            </w:tcBorders>
            <w:vAlign w:val="center"/>
          </w:tcPr>
          <w:p>
            <w:pPr>
              <w:jc w:val="center"/>
              <w:rPr>
                <w:rFonts w:hint="eastAsia" w:ascii="宋体" w:hAnsi="宋体" w:eastAsia="宋体" w:cs="宋体"/>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452" w:hRule="atLeast"/>
        </w:trPr>
        <w:tc>
          <w:tcPr>
            <w:tcW w:w="3589" w:type="dxa"/>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D.粉尘爆炸</w:t>
            </w:r>
          </w:p>
        </w:tc>
        <w:tc>
          <w:tcPr>
            <w:tcW w:w="1268"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0.25～2.00</w:t>
            </w:r>
          </w:p>
        </w:tc>
        <w:tc>
          <w:tcPr>
            <w:tcW w:w="1003"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w:t>
            </w:r>
          </w:p>
        </w:tc>
        <w:tc>
          <w:tcPr>
            <w:tcW w:w="3299" w:type="dxa"/>
            <w:tcBorders>
              <w:top w:val="single" w:color="000000" w:sz="6" w:space="0"/>
              <w:left w:val="single" w:color="000000" w:sz="6" w:space="0"/>
              <w:bottom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无爆炸性粉尘</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899" w:hRule="atLeast"/>
        </w:trPr>
        <w:tc>
          <w:tcPr>
            <w:tcW w:w="3589" w:type="dxa"/>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E.压力（查图）</w:t>
            </w:r>
          </w:p>
          <w:p>
            <w:pPr>
              <w:jc w:val="center"/>
              <w:rPr>
                <w:rFonts w:hint="eastAsia" w:ascii="宋体" w:hAnsi="宋体" w:eastAsia="宋体" w:cs="宋体"/>
                <w:sz w:val="21"/>
                <w:szCs w:val="21"/>
              </w:rPr>
            </w:pPr>
            <w:r>
              <w:rPr>
                <w:rFonts w:hint="eastAsia" w:ascii="宋体" w:hAnsi="宋体" w:eastAsia="宋体" w:cs="宋体"/>
                <w:sz w:val="21"/>
                <w:szCs w:val="21"/>
              </w:rPr>
              <w:t>操作压力－kPa 释放压力－kPa</w:t>
            </w:r>
          </w:p>
        </w:tc>
        <w:tc>
          <w:tcPr>
            <w:tcW w:w="1268"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p>
        </w:tc>
        <w:tc>
          <w:tcPr>
            <w:tcW w:w="1003"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p>
          <w:p>
            <w:pPr>
              <w:jc w:val="center"/>
              <w:rPr>
                <w:rFonts w:hint="eastAsia" w:ascii="宋体" w:hAnsi="宋体" w:eastAsia="宋体" w:cs="宋体"/>
                <w:sz w:val="21"/>
                <w:szCs w:val="21"/>
              </w:rPr>
            </w:pPr>
            <w:r>
              <w:rPr>
                <w:rFonts w:hint="eastAsia" w:ascii="宋体" w:hAnsi="宋体" w:eastAsia="宋体" w:cs="宋体"/>
                <w:sz w:val="21"/>
                <w:szCs w:val="21"/>
              </w:rPr>
              <w:t>0.16</w:t>
            </w:r>
          </w:p>
        </w:tc>
        <w:tc>
          <w:tcPr>
            <w:tcW w:w="3299" w:type="dxa"/>
            <w:tcBorders>
              <w:top w:val="single" w:color="000000" w:sz="6" w:space="0"/>
              <w:left w:val="single" w:color="000000" w:sz="6" w:space="0"/>
              <w:bottom w:val="single" w:color="000000" w:sz="6" w:space="0"/>
            </w:tcBorders>
            <w:vAlign w:val="center"/>
          </w:tcPr>
          <w:p>
            <w:pPr>
              <w:jc w:val="center"/>
              <w:rPr>
                <w:rFonts w:hint="eastAsia" w:ascii="宋体" w:hAnsi="宋体" w:eastAsia="宋体" w:cs="宋体"/>
                <w:sz w:val="21"/>
                <w:szCs w:val="21"/>
              </w:rPr>
            </w:pPr>
          </w:p>
          <w:p>
            <w:pPr>
              <w:jc w:val="center"/>
              <w:rPr>
                <w:rFonts w:hint="eastAsia" w:ascii="宋体" w:hAnsi="宋体" w:eastAsia="宋体" w:cs="宋体"/>
                <w:sz w:val="21"/>
                <w:szCs w:val="21"/>
              </w:rPr>
            </w:pPr>
            <w:r>
              <w:rPr>
                <w:rFonts w:hint="eastAsia" w:ascii="宋体" w:hAnsi="宋体" w:eastAsia="宋体" w:cs="宋体"/>
                <w:sz w:val="21"/>
                <w:szCs w:val="21"/>
              </w:rPr>
              <w:t>汽油泵出时有压力，查压力危险系数图取值</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5" w:hRule="atLeast"/>
        </w:trPr>
        <w:tc>
          <w:tcPr>
            <w:tcW w:w="3589" w:type="dxa"/>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F.低温</w:t>
            </w:r>
          </w:p>
        </w:tc>
        <w:tc>
          <w:tcPr>
            <w:tcW w:w="1268"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0.20～0.30</w:t>
            </w:r>
          </w:p>
        </w:tc>
        <w:tc>
          <w:tcPr>
            <w:tcW w:w="1003"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w:t>
            </w:r>
          </w:p>
        </w:tc>
        <w:tc>
          <w:tcPr>
            <w:tcW w:w="3299" w:type="dxa"/>
            <w:tcBorders>
              <w:top w:val="single" w:color="000000" w:sz="6" w:space="0"/>
              <w:left w:val="single" w:color="000000" w:sz="6" w:space="0"/>
              <w:bottom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处于常温状态</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099" w:hRule="atLeast"/>
        </w:trPr>
        <w:tc>
          <w:tcPr>
            <w:tcW w:w="3589" w:type="dxa"/>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G.易燃及不稳定物质物质质量－kg</w:t>
            </w:r>
          </w:p>
          <w:p>
            <w:pPr>
              <w:jc w:val="center"/>
              <w:rPr>
                <w:rFonts w:hint="eastAsia" w:ascii="宋体" w:hAnsi="宋体" w:eastAsia="宋体" w:cs="宋体"/>
                <w:sz w:val="21"/>
                <w:szCs w:val="21"/>
              </w:rPr>
            </w:pPr>
            <w:r>
              <w:rPr>
                <w:rFonts w:hint="eastAsia" w:ascii="宋体" w:hAnsi="宋体" w:eastAsia="宋体" w:cs="宋体"/>
                <w:sz w:val="21"/>
                <w:szCs w:val="21"/>
              </w:rPr>
              <w:t>物质燃烧热 Hc－kJ/kg</w:t>
            </w:r>
          </w:p>
          <w:p>
            <w:pPr>
              <w:jc w:val="center"/>
              <w:rPr>
                <w:rFonts w:hint="eastAsia" w:ascii="宋体" w:hAnsi="宋体" w:eastAsia="宋体" w:cs="宋体"/>
                <w:sz w:val="21"/>
                <w:szCs w:val="21"/>
              </w:rPr>
            </w:pPr>
            <w:r>
              <w:rPr>
                <w:rFonts w:hint="eastAsia" w:ascii="宋体" w:hAnsi="宋体" w:eastAsia="宋体" w:cs="宋体"/>
                <w:sz w:val="21"/>
                <w:szCs w:val="21"/>
              </w:rPr>
              <w:t>⑴工艺中的液体及气体</w:t>
            </w:r>
          </w:p>
          <w:p>
            <w:pPr>
              <w:jc w:val="center"/>
              <w:rPr>
                <w:rFonts w:hint="eastAsia" w:ascii="宋体" w:hAnsi="宋体" w:eastAsia="宋体" w:cs="宋体"/>
                <w:sz w:val="21"/>
                <w:szCs w:val="21"/>
              </w:rPr>
            </w:pPr>
            <w:r>
              <w:rPr>
                <w:rFonts w:hint="eastAsia" w:ascii="宋体" w:hAnsi="宋体" w:eastAsia="宋体" w:cs="宋体"/>
                <w:sz w:val="21"/>
                <w:szCs w:val="21"/>
              </w:rPr>
              <w:t>⑵储存的液体及气体</w:t>
            </w:r>
          </w:p>
          <w:p>
            <w:pPr>
              <w:jc w:val="center"/>
              <w:rPr>
                <w:rFonts w:hint="eastAsia" w:ascii="宋体" w:hAnsi="宋体" w:eastAsia="宋体" w:cs="宋体"/>
                <w:sz w:val="21"/>
                <w:szCs w:val="21"/>
              </w:rPr>
            </w:pPr>
            <w:r>
              <w:rPr>
                <w:rFonts w:hint="eastAsia" w:ascii="宋体" w:hAnsi="宋体" w:eastAsia="宋体" w:cs="宋体"/>
                <w:sz w:val="21"/>
                <w:szCs w:val="21"/>
              </w:rPr>
              <w:t>⑶储存中的可燃固体及工艺中的粉尘</w:t>
            </w:r>
          </w:p>
        </w:tc>
        <w:tc>
          <w:tcPr>
            <w:tcW w:w="1268"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p>
        </w:tc>
        <w:tc>
          <w:tcPr>
            <w:tcW w:w="1003"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0.41</w:t>
            </w:r>
          </w:p>
        </w:tc>
        <w:tc>
          <w:tcPr>
            <w:tcW w:w="3299" w:type="dxa"/>
            <w:tcBorders>
              <w:top w:val="single" w:color="000000" w:sz="6" w:space="0"/>
              <w:left w:val="single" w:color="000000" w:sz="6" w:space="0"/>
              <w:bottom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储存的Ⅰ类易燃液体，根据加油站的储存量，查储存中的液体和气体危险系数图取值（评价单元为一个油罐</w:t>
            </w:r>
            <w:r>
              <w:rPr>
                <w:rFonts w:hint="eastAsia" w:ascii="宋体" w:hAnsi="宋体" w:eastAsia="宋体" w:cs="宋体"/>
                <w:sz w:val="21"/>
                <w:szCs w:val="21"/>
                <w:lang w:eastAsia="zh-CN"/>
              </w:rPr>
              <w:t>车</w:t>
            </w:r>
            <w:r>
              <w:rPr>
                <w:rFonts w:hint="eastAsia" w:ascii="宋体" w:hAnsi="宋体" w:eastAsia="宋体" w:cs="宋体"/>
                <w:sz w:val="21"/>
                <w:szCs w:val="21"/>
              </w:rPr>
              <w:t>即</w:t>
            </w:r>
            <w:r>
              <w:rPr>
                <w:rFonts w:hint="eastAsia" w:ascii="宋体" w:hAnsi="宋体" w:eastAsia="宋体" w:cs="宋体"/>
                <w:sz w:val="21"/>
                <w:szCs w:val="21"/>
                <w:lang w:val="en-US" w:eastAsia="zh-CN"/>
              </w:rPr>
              <w:t>5</w:t>
            </w:r>
            <w:r>
              <w:rPr>
                <w:rFonts w:hint="eastAsia" w:ascii="宋体" w:hAnsi="宋体" w:eastAsia="宋体" w:cs="宋体"/>
                <w:sz w:val="21"/>
                <w:szCs w:val="21"/>
              </w:rPr>
              <w:t>0m</w:t>
            </w:r>
            <w:r>
              <w:rPr>
                <w:rFonts w:hint="eastAsia" w:ascii="宋体" w:hAnsi="宋体" w:eastAsia="宋体" w:cs="宋体"/>
                <w:sz w:val="21"/>
                <w:szCs w:val="21"/>
                <w:vertAlign w:val="superscript"/>
              </w:rPr>
              <w:t>3</w:t>
            </w:r>
            <w:r>
              <w:rPr>
                <w:rFonts w:hint="eastAsia" w:ascii="宋体" w:hAnsi="宋体" w:eastAsia="宋体" w:cs="宋体"/>
                <w:sz w:val="21"/>
                <w:szCs w:val="21"/>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3" w:hRule="atLeast"/>
        </w:trPr>
        <w:tc>
          <w:tcPr>
            <w:tcW w:w="3589" w:type="dxa"/>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H.腐蚀与磨损</w:t>
            </w:r>
          </w:p>
        </w:tc>
        <w:tc>
          <w:tcPr>
            <w:tcW w:w="1268"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0.10～0.75</w:t>
            </w:r>
          </w:p>
        </w:tc>
        <w:tc>
          <w:tcPr>
            <w:tcW w:w="1003"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0.10</w:t>
            </w:r>
          </w:p>
        </w:tc>
        <w:tc>
          <w:tcPr>
            <w:tcW w:w="3299" w:type="dxa"/>
            <w:tcBorders>
              <w:top w:val="single" w:color="000000" w:sz="6" w:space="0"/>
              <w:left w:val="single" w:color="000000" w:sz="6" w:space="0"/>
              <w:bottom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埋地储罐腐蚀速率&lt;0.127mm/年</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01" w:hRule="atLeast"/>
        </w:trPr>
        <w:tc>
          <w:tcPr>
            <w:tcW w:w="3589" w:type="dxa"/>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I.泄漏－－接头和填料</w:t>
            </w:r>
          </w:p>
        </w:tc>
        <w:tc>
          <w:tcPr>
            <w:tcW w:w="1268"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0.10～1.50</w:t>
            </w:r>
          </w:p>
        </w:tc>
        <w:tc>
          <w:tcPr>
            <w:tcW w:w="1003"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0.10</w:t>
            </w:r>
          </w:p>
        </w:tc>
        <w:tc>
          <w:tcPr>
            <w:tcW w:w="3299" w:type="dxa"/>
            <w:tcBorders>
              <w:top w:val="single" w:color="000000" w:sz="6" w:space="0"/>
              <w:left w:val="single" w:color="000000" w:sz="6" w:space="0"/>
              <w:bottom w:val="single" w:color="000000" w:sz="6" w:space="0"/>
            </w:tcBorders>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rPr>
              <w:t>密封及连接法兰处可能产生轻度泄漏</w:t>
            </w:r>
            <w:r>
              <w:rPr>
                <w:rFonts w:hint="eastAsia" w:ascii="宋体" w:hAnsi="宋体" w:eastAsia="宋体" w:cs="宋体"/>
                <w:sz w:val="21"/>
                <w:szCs w:val="21"/>
                <w:lang w:eastAsia="zh-CN"/>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2" w:hRule="atLeast"/>
        </w:trPr>
        <w:tc>
          <w:tcPr>
            <w:tcW w:w="3589" w:type="dxa"/>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J.使用明火设备</w:t>
            </w:r>
          </w:p>
        </w:tc>
        <w:tc>
          <w:tcPr>
            <w:tcW w:w="1268"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p>
        </w:tc>
        <w:tc>
          <w:tcPr>
            <w:tcW w:w="1003"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w:t>
            </w:r>
          </w:p>
        </w:tc>
        <w:tc>
          <w:tcPr>
            <w:tcW w:w="3299" w:type="dxa"/>
            <w:tcBorders>
              <w:top w:val="single" w:color="000000" w:sz="6" w:space="0"/>
              <w:left w:val="single" w:color="000000" w:sz="6" w:space="0"/>
              <w:bottom w:val="single" w:color="000000" w:sz="6" w:space="0"/>
            </w:tcBorders>
            <w:vAlign w:val="center"/>
          </w:tcPr>
          <w:p>
            <w:pPr>
              <w:jc w:val="center"/>
              <w:rPr>
                <w:rFonts w:hint="eastAsia" w:ascii="宋体" w:hAnsi="宋体" w:eastAsia="宋体" w:cs="宋体"/>
                <w:sz w:val="21"/>
                <w:szCs w:val="21"/>
                <w:lang w:eastAsia="zh-CN"/>
              </w:rPr>
            </w:pPr>
            <w:r>
              <w:rPr>
                <w:rFonts w:hint="eastAsia" w:ascii="宋体" w:hAnsi="宋体" w:eastAsia="宋体" w:cs="宋体"/>
                <w:sz w:val="21"/>
                <w:szCs w:val="21"/>
              </w:rPr>
              <w:t>无产生明火设备</w:t>
            </w:r>
            <w:r>
              <w:rPr>
                <w:rFonts w:hint="eastAsia" w:ascii="宋体" w:hAnsi="宋体" w:eastAsia="宋体" w:cs="宋体"/>
                <w:sz w:val="21"/>
                <w:szCs w:val="21"/>
                <w:lang w:eastAsia="zh-CN"/>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453" w:hRule="atLeast"/>
        </w:trPr>
        <w:tc>
          <w:tcPr>
            <w:tcW w:w="3589" w:type="dxa"/>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K.热油热交换系统</w:t>
            </w:r>
          </w:p>
        </w:tc>
        <w:tc>
          <w:tcPr>
            <w:tcW w:w="1268"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0.15～1.15</w:t>
            </w:r>
          </w:p>
        </w:tc>
        <w:tc>
          <w:tcPr>
            <w:tcW w:w="1003"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w:t>
            </w:r>
          </w:p>
        </w:tc>
        <w:tc>
          <w:tcPr>
            <w:tcW w:w="3299" w:type="dxa"/>
            <w:tcBorders>
              <w:top w:val="single" w:color="000000" w:sz="6" w:space="0"/>
              <w:left w:val="single" w:color="000000" w:sz="6" w:space="0"/>
              <w:bottom w:val="single" w:color="000000" w:sz="6" w:space="0"/>
            </w:tcBorders>
            <w:vAlign w:val="center"/>
          </w:tcPr>
          <w:p>
            <w:pPr>
              <w:jc w:val="center"/>
              <w:rPr>
                <w:rFonts w:hint="eastAsia" w:ascii="宋体" w:hAnsi="宋体" w:eastAsia="宋体" w:cs="宋体"/>
                <w:sz w:val="21"/>
                <w:szCs w:val="21"/>
                <w:lang w:eastAsia="zh-CN"/>
              </w:rPr>
            </w:pPr>
            <w:r>
              <w:rPr>
                <w:rFonts w:hint="eastAsia" w:ascii="宋体" w:hAnsi="宋体" w:eastAsia="宋体" w:cs="宋体"/>
                <w:sz w:val="21"/>
                <w:szCs w:val="21"/>
              </w:rPr>
              <w:t>无热油热交换系统</w:t>
            </w:r>
            <w:r>
              <w:rPr>
                <w:rFonts w:hint="eastAsia" w:ascii="宋体" w:hAnsi="宋体" w:eastAsia="宋体" w:cs="宋体"/>
                <w:sz w:val="21"/>
                <w:szCs w:val="21"/>
                <w:lang w:eastAsia="zh-CN"/>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455" w:hRule="atLeast"/>
        </w:trPr>
        <w:tc>
          <w:tcPr>
            <w:tcW w:w="3589" w:type="dxa"/>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L.转动设备</w:t>
            </w:r>
          </w:p>
        </w:tc>
        <w:tc>
          <w:tcPr>
            <w:tcW w:w="1268"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0.50</w:t>
            </w:r>
          </w:p>
        </w:tc>
        <w:tc>
          <w:tcPr>
            <w:tcW w:w="1003"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w:t>
            </w:r>
          </w:p>
        </w:tc>
        <w:tc>
          <w:tcPr>
            <w:tcW w:w="3299" w:type="dxa"/>
            <w:tcBorders>
              <w:top w:val="single" w:color="000000" w:sz="6" w:space="0"/>
              <w:left w:val="single" w:color="000000" w:sz="6" w:space="0"/>
              <w:bottom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单元内无大容量转动设备，不取值</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599" w:hRule="atLeast"/>
        </w:trPr>
        <w:tc>
          <w:tcPr>
            <w:tcW w:w="4857" w:type="dxa"/>
            <w:gridSpan w:val="2"/>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特殊工艺危险系数（F</w:t>
            </w:r>
            <w:r>
              <w:rPr>
                <w:rFonts w:hint="eastAsia" w:ascii="宋体" w:hAnsi="宋体" w:eastAsia="宋体" w:cs="宋体"/>
                <w:sz w:val="21"/>
                <w:szCs w:val="21"/>
                <w:vertAlign w:val="subscript"/>
              </w:rPr>
              <w:t>2</w:t>
            </w:r>
            <w:r>
              <w:rPr>
                <w:rFonts w:hint="eastAsia" w:ascii="宋体" w:hAnsi="宋体" w:eastAsia="宋体" w:cs="宋体"/>
                <w:sz w:val="21"/>
                <w:szCs w:val="21"/>
              </w:rPr>
              <w:t>）</w:t>
            </w:r>
          </w:p>
        </w:tc>
        <w:tc>
          <w:tcPr>
            <w:tcW w:w="1003"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2.47</w:t>
            </w:r>
          </w:p>
        </w:tc>
        <w:tc>
          <w:tcPr>
            <w:tcW w:w="3299" w:type="dxa"/>
            <w:tcBorders>
              <w:top w:val="single" w:color="000000" w:sz="6" w:space="0"/>
              <w:left w:val="single" w:color="000000" w:sz="6" w:space="0"/>
              <w:bottom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F2=1.00+0.20+0.50+0.16+0.41+</w:t>
            </w:r>
          </w:p>
          <w:p>
            <w:pPr>
              <w:jc w:val="center"/>
              <w:rPr>
                <w:rFonts w:hint="eastAsia" w:ascii="宋体" w:hAnsi="宋体" w:eastAsia="宋体" w:cs="宋体"/>
                <w:sz w:val="21"/>
                <w:szCs w:val="21"/>
              </w:rPr>
            </w:pPr>
            <w:r>
              <w:rPr>
                <w:rFonts w:hint="eastAsia" w:ascii="宋体" w:hAnsi="宋体" w:eastAsia="宋体" w:cs="宋体"/>
                <w:sz w:val="21"/>
                <w:szCs w:val="21"/>
              </w:rPr>
              <w:t>0.10+0.10=2.47</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455" w:hRule="atLeast"/>
        </w:trPr>
        <w:tc>
          <w:tcPr>
            <w:tcW w:w="4857" w:type="dxa"/>
            <w:gridSpan w:val="2"/>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工艺单元危险系数（F</w:t>
            </w:r>
            <w:r>
              <w:rPr>
                <w:rFonts w:hint="eastAsia" w:ascii="宋体" w:hAnsi="宋体" w:eastAsia="宋体" w:cs="宋体"/>
                <w:sz w:val="21"/>
                <w:szCs w:val="21"/>
                <w:vertAlign w:val="subscript"/>
              </w:rPr>
              <w:t>1</w:t>
            </w:r>
            <w:r>
              <w:rPr>
                <w:rFonts w:hint="eastAsia" w:ascii="宋体" w:hAnsi="宋体" w:eastAsia="宋体" w:cs="宋体"/>
                <w:sz w:val="21"/>
                <w:szCs w:val="21"/>
              </w:rPr>
              <w:t>×F</w:t>
            </w:r>
            <w:r>
              <w:rPr>
                <w:rFonts w:hint="eastAsia" w:ascii="宋体" w:hAnsi="宋体" w:eastAsia="宋体" w:cs="宋体"/>
                <w:sz w:val="21"/>
                <w:szCs w:val="21"/>
                <w:vertAlign w:val="subscript"/>
              </w:rPr>
              <w:t>2</w:t>
            </w:r>
            <w:r>
              <w:rPr>
                <w:rFonts w:hint="eastAsia" w:ascii="宋体" w:hAnsi="宋体" w:eastAsia="宋体" w:cs="宋体"/>
                <w:sz w:val="21"/>
                <w:szCs w:val="21"/>
              </w:rPr>
              <w:t>）＝F</w:t>
            </w:r>
            <w:r>
              <w:rPr>
                <w:rFonts w:hint="eastAsia" w:ascii="宋体" w:hAnsi="宋体" w:eastAsia="宋体" w:cs="宋体"/>
                <w:sz w:val="21"/>
                <w:szCs w:val="21"/>
                <w:vertAlign w:val="subscript"/>
              </w:rPr>
              <w:t>3</w:t>
            </w:r>
          </w:p>
        </w:tc>
        <w:tc>
          <w:tcPr>
            <w:tcW w:w="1003"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lang w:val="en-US"/>
              </w:rPr>
              <w:t>6</w:t>
            </w:r>
          </w:p>
        </w:tc>
        <w:tc>
          <w:tcPr>
            <w:tcW w:w="3299" w:type="dxa"/>
            <w:tcBorders>
              <w:top w:val="single" w:color="000000" w:sz="6" w:space="0"/>
              <w:left w:val="single" w:color="000000" w:sz="6" w:space="0"/>
              <w:bottom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F</w:t>
            </w:r>
            <w:r>
              <w:rPr>
                <w:rFonts w:hint="eastAsia" w:ascii="宋体" w:hAnsi="宋体" w:eastAsia="宋体" w:cs="宋体"/>
                <w:sz w:val="21"/>
                <w:szCs w:val="21"/>
                <w:vertAlign w:val="subscript"/>
              </w:rPr>
              <w:t>3</w:t>
            </w:r>
            <w:r>
              <w:rPr>
                <w:rFonts w:hint="eastAsia" w:ascii="宋体" w:hAnsi="宋体" w:eastAsia="宋体" w:cs="宋体"/>
                <w:sz w:val="21"/>
                <w:szCs w:val="21"/>
              </w:rPr>
              <w:t>=F</w:t>
            </w:r>
            <w:r>
              <w:rPr>
                <w:rFonts w:hint="eastAsia" w:ascii="宋体" w:hAnsi="宋体" w:eastAsia="宋体" w:cs="宋体"/>
                <w:sz w:val="21"/>
                <w:szCs w:val="21"/>
                <w:vertAlign w:val="subscript"/>
              </w:rPr>
              <w:t>1</w:t>
            </w:r>
            <w:r>
              <w:rPr>
                <w:rFonts w:hint="eastAsia" w:ascii="宋体" w:hAnsi="宋体" w:eastAsia="宋体" w:cs="宋体"/>
                <w:sz w:val="21"/>
                <w:szCs w:val="21"/>
              </w:rPr>
              <w:t>×F</w:t>
            </w:r>
            <w:r>
              <w:rPr>
                <w:rFonts w:hint="eastAsia" w:ascii="宋体" w:hAnsi="宋体" w:eastAsia="宋体" w:cs="宋体"/>
                <w:sz w:val="21"/>
                <w:szCs w:val="21"/>
                <w:vertAlign w:val="subscript"/>
              </w:rPr>
              <w:t>2</w:t>
            </w:r>
            <w:r>
              <w:rPr>
                <w:rFonts w:hint="eastAsia" w:ascii="宋体" w:hAnsi="宋体" w:eastAsia="宋体" w:cs="宋体"/>
                <w:sz w:val="21"/>
                <w:szCs w:val="21"/>
              </w:rPr>
              <w:t>=2.</w:t>
            </w:r>
            <w:r>
              <w:rPr>
                <w:rFonts w:hint="eastAsia" w:ascii="宋体" w:hAnsi="宋体" w:eastAsia="宋体" w:cs="宋体"/>
                <w:sz w:val="21"/>
                <w:szCs w:val="21"/>
                <w:lang w:val="en-US"/>
              </w:rPr>
              <w:t>45</w:t>
            </w:r>
            <w:r>
              <w:rPr>
                <w:rFonts w:hint="eastAsia" w:ascii="宋体" w:hAnsi="宋体" w:eastAsia="宋体" w:cs="宋体"/>
                <w:sz w:val="21"/>
                <w:szCs w:val="21"/>
              </w:rPr>
              <w:t>×2.47=</w:t>
            </w:r>
            <w:r>
              <w:rPr>
                <w:rFonts w:hint="eastAsia" w:ascii="宋体" w:hAnsi="宋体" w:eastAsia="宋体" w:cs="宋体"/>
                <w:sz w:val="21"/>
                <w:szCs w:val="21"/>
                <w:lang w:val="en-US"/>
              </w:rPr>
              <w:t>6</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450" w:hRule="atLeast"/>
        </w:trPr>
        <w:tc>
          <w:tcPr>
            <w:tcW w:w="4857" w:type="dxa"/>
            <w:gridSpan w:val="2"/>
            <w:tcBorders>
              <w:top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火灾、爆炸危险指数（F</w:t>
            </w:r>
            <w:r>
              <w:rPr>
                <w:rFonts w:hint="eastAsia" w:ascii="宋体" w:hAnsi="宋体" w:eastAsia="宋体" w:cs="宋体"/>
                <w:sz w:val="21"/>
                <w:szCs w:val="21"/>
                <w:vertAlign w:val="subscript"/>
              </w:rPr>
              <w:t>3</w:t>
            </w:r>
            <w:r>
              <w:rPr>
                <w:rFonts w:hint="eastAsia" w:ascii="宋体" w:hAnsi="宋体" w:eastAsia="宋体" w:cs="宋体"/>
                <w:sz w:val="21"/>
                <w:szCs w:val="21"/>
              </w:rPr>
              <w:t>×MF）＝F&amp;EI</w:t>
            </w:r>
          </w:p>
        </w:tc>
        <w:tc>
          <w:tcPr>
            <w:tcW w:w="1003" w:type="dxa"/>
            <w:tcBorders>
              <w:top w:val="single" w:color="000000" w:sz="6" w:space="0"/>
              <w:left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96</w:t>
            </w:r>
          </w:p>
        </w:tc>
        <w:tc>
          <w:tcPr>
            <w:tcW w:w="3299" w:type="dxa"/>
            <w:tcBorders>
              <w:top w:val="single" w:color="000000" w:sz="6" w:space="0"/>
              <w:left w:val="single" w:color="000000" w:sz="6" w:space="0"/>
            </w:tcBorders>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rPr>
              <w:t>F&amp;EI=F</w:t>
            </w:r>
            <w:r>
              <w:rPr>
                <w:rFonts w:hint="eastAsia" w:ascii="宋体" w:hAnsi="宋体" w:eastAsia="宋体" w:cs="宋体"/>
                <w:sz w:val="21"/>
                <w:szCs w:val="21"/>
                <w:vertAlign w:val="subscript"/>
              </w:rPr>
              <w:t>3</w:t>
            </w:r>
            <w:r>
              <w:rPr>
                <w:rFonts w:hint="eastAsia" w:ascii="宋体" w:hAnsi="宋体" w:eastAsia="宋体" w:cs="宋体"/>
                <w:sz w:val="21"/>
                <w:szCs w:val="21"/>
              </w:rPr>
              <w:t>×MF=</w:t>
            </w:r>
            <w:r>
              <w:rPr>
                <w:rFonts w:hint="eastAsia" w:ascii="宋体" w:hAnsi="宋体" w:eastAsia="宋体" w:cs="宋体"/>
                <w:sz w:val="21"/>
                <w:szCs w:val="21"/>
                <w:lang w:val="en-US"/>
              </w:rPr>
              <w:t>6</w:t>
            </w:r>
            <w:r>
              <w:rPr>
                <w:rFonts w:hint="eastAsia" w:ascii="宋体" w:hAnsi="宋体" w:eastAsia="宋体" w:cs="宋体"/>
                <w:sz w:val="21"/>
                <w:szCs w:val="21"/>
              </w:rPr>
              <w:t>×16=</w:t>
            </w:r>
            <w:r>
              <w:rPr>
                <w:rFonts w:hint="eastAsia" w:ascii="宋体" w:hAnsi="宋体" w:eastAsia="宋体" w:cs="宋体"/>
                <w:sz w:val="21"/>
                <w:szCs w:val="21"/>
                <w:lang w:val="en-US"/>
              </w:rPr>
              <w:t>96</w:t>
            </w:r>
          </w:p>
        </w:tc>
      </w:tr>
    </w:tbl>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计算火灾、爆炸危险指数:</w:t>
      </w:r>
    </w:p>
    <w:p>
      <w:pPr>
        <w:keepNext w:val="0"/>
        <w:keepLines w:val="0"/>
        <w:pageBreakBefore w:val="0"/>
        <w:widowControl w:val="0"/>
        <w:kinsoku/>
        <w:wordWrap/>
        <w:overflowPunct/>
        <w:topLinePunct w:val="0"/>
        <w:bidi w:val="0"/>
        <w:adjustRightInd/>
        <w:snapToGrid/>
        <w:spacing w:line="560" w:lineRule="exact"/>
        <w:ind w:firstLine="1120" w:firstLineChars="400"/>
        <w:jc w:val="both"/>
        <w:textAlignment w:val="auto"/>
        <w:rPr>
          <w:rFonts w:hint="eastAsia" w:ascii="宋体" w:hAnsi="宋体" w:eastAsia="宋体" w:cs="宋体"/>
          <w:sz w:val="28"/>
          <w:szCs w:val="28"/>
        </w:rPr>
      </w:pPr>
      <w:r>
        <w:rPr>
          <w:rFonts w:hint="eastAsia" w:ascii="宋体" w:hAnsi="宋体" w:eastAsia="宋体" w:cs="宋体"/>
          <w:sz w:val="28"/>
          <w:szCs w:val="28"/>
        </w:rPr>
        <w:t>储罐区：F&amp;EI＝F</w:t>
      </w:r>
      <w:r>
        <w:rPr>
          <w:rFonts w:hint="eastAsia" w:ascii="宋体" w:hAnsi="宋体" w:eastAsia="宋体" w:cs="宋体"/>
          <w:sz w:val="28"/>
          <w:szCs w:val="28"/>
          <w:vertAlign w:val="subscript"/>
        </w:rPr>
        <w:t>3</w:t>
      </w:r>
      <w:r>
        <w:rPr>
          <w:rFonts w:hint="eastAsia" w:ascii="宋体" w:hAnsi="宋体" w:eastAsia="宋体" w:cs="宋体"/>
          <w:sz w:val="28"/>
          <w:szCs w:val="28"/>
        </w:rPr>
        <w:t>×MF=</w:t>
      </w:r>
      <w:r>
        <w:rPr>
          <w:rFonts w:hint="eastAsia" w:ascii="宋体" w:hAnsi="宋体" w:eastAsia="宋体" w:cs="宋体"/>
          <w:sz w:val="28"/>
          <w:szCs w:val="28"/>
          <w:lang w:val="en-US"/>
        </w:rPr>
        <w:t>6</w:t>
      </w:r>
      <w:r>
        <w:rPr>
          <w:rFonts w:hint="eastAsia" w:ascii="宋体" w:hAnsi="宋体" w:eastAsia="宋体" w:cs="宋体"/>
          <w:sz w:val="28"/>
          <w:szCs w:val="28"/>
        </w:rPr>
        <w:t>×16=96</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计算暴露半径和暴露区域</w:t>
      </w:r>
    </w:p>
    <w:p>
      <w:pPr>
        <w:keepNext w:val="0"/>
        <w:keepLines w:val="0"/>
        <w:pageBreakBefore w:val="0"/>
        <w:widowControl w:val="0"/>
        <w:kinsoku/>
        <w:wordWrap/>
        <w:overflowPunct/>
        <w:topLinePunct w:val="0"/>
        <w:bidi w:val="0"/>
        <w:adjustRightInd/>
        <w:snapToGrid/>
        <w:spacing w:line="56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暴露半径R表明了生产单元危险区域的平面分布。暴露区域面积S是以泄漏点（包括排气口、连接处等部位）为中心，以暴露半径R为半径的圆。计算得储罐区的暴露半径和暴露面积如下：</w:t>
      </w:r>
    </w:p>
    <w:p>
      <w:pPr>
        <w:keepNext w:val="0"/>
        <w:keepLines w:val="0"/>
        <w:pageBreakBefore w:val="0"/>
        <w:widowControl w:val="0"/>
        <w:kinsoku/>
        <w:wordWrap/>
        <w:overflowPunct/>
        <w:topLinePunct w:val="0"/>
        <w:bidi w:val="0"/>
        <w:adjustRightInd/>
        <w:snapToGrid/>
        <w:spacing w:line="560" w:lineRule="exact"/>
        <w:ind w:left="840"/>
        <w:jc w:val="both"/>
        <w:textAlignment w:val="auto"/>
        <w:rPr>
          <w:rFonts w:hint="eastAsia" w:ascii="宋体" w:hAnsi="宋体" w:eastAsia="宋体" w:cs="宋体"/>
          <w:sz w:val="28"/>
          <w:szCs w:val="28"/>
        </w:rPr>
      </w:pPr>
      <w:r>
        <w:rPr>
          <w:rFonts w:hint="eastAsia" w:ascii="宋体" w:hAnsi="宋体" w:eastAsia="宋体" w:cs="宋体"/>
          <w:sz w:val="28"/>
          <w:szCs w:val="28"/>
        </w:rPr>
        <w:t>暴露半径：R=0.256×F&amp;EI=24.6m</w:t>
      </w:r>
    </w:p>
    <w:p>
      <w:pPr>
        <w:keepNext w:val="0"/>
        <w:keepLines w:val="0"/>
        <w:pageBreakBefore w:val="0"/>
        <w:widowControl w:val="0"/>
        <w:kinsoku/>
        <w:wordWrap/>
        <w:overflowPunct/>
        <w:topLinePunct w:val="0"/>
        <w:bidi w:val="0"/>
        <w:adjustRightInd/>
        <w:snapToGrid/>
        <w:spacing w:line="560" w:lineRule="exact"/>
        <w:ind w:left="840"/>
        <w:jc w:val="both"/>
        <w:textAlignment w:val="auto"/>
        <w:rPr>
          <w:rFonts w:hint="eastAsia" w:ascii="宋体" w:hAnsi="宋体" w:eastAsia="宋体" w:cs="宋体"/>
          <w:sz w:val="28"/>
          <w:szCs w:val="28"/>
        </w:rPr>
      </w:pPr>
      <w:r>
        <w:rPr>
          <w:rFonts w:hint="eastAsia" w:ascii="宋体" w:hAnsi="宋体" w:eastAsia="宋体" w:cs="宋体"/>
          <w:sz w:val="28"/>
          <w:szCs w:val="28"/>
        </w:rPr>
        <w:t>暴露面积：S=πR</w:t>
      </w:r>
      <w:r>
        <w:rPr>
          <w:rFonts w:hint="eastAsia" w:ascii="宋体" w:hAnsi="宋体" w:eastAsia="宋体" w:cs="宋体"/>
          <w:sz w:val="28"/>
          <w:szCs w:val="28"/>
          <w:vertAlign w:val="superscript"/>
        </w:rPr>
        <w:t>2</w:t>
      </w:r>
      <w:r>
        <w:rPr>
          <w:rFonts w:hint="eastAsia" w:ascii="宋体" w:hAnsi="宋体" w:eastAsia="宋体" w:cs="宋体"/>
          <w:sz w:val="28"/>
          <w:szCs w:val="28"/>
        </w:rPr>
        <w:t>=1900m</w:t>
      </w:r>
      <w:r>
        <w:rPr>
          <w:rFonts w:hint="eastAsia" w:ascii="宋体" w:hAnsi="宋体" w:eastAsia="宋体" w:cs="宋体"/>
          <w:sz w:val="28"/>
          <w:szCs w:val="28"/>
          <w:vertAlign w:val="superscript"/>
        </w:rPr>
        <w:t>2</w:t>
      </w:r>
    </w:p>
    <w:p>
      <w:pPr>
        <w:keepNext w:val="0"/>
        <w:keepLines w:val="0"/>
        <w:pageBreakBefore w:val="0"/>
        <w:widowControl w:val="0"/>
        <w:kinsoku/>
        <w:wordWrap/>
        <w:overflowPunct/>
        <w:topLinePunct w:val="0"/>
        <w:bidi w:val="0"/>
        <w:adjustRightInd/>
        <w:snapToGrid/>
        <w:spacing w:line="560" w:lineRule="exact"/>
        <w:ind w:left="840"/>
        <w:jc w:val="both"/>
        <w:textAlignment w:val="auto"/>
        <w:rPr>
          <w:rFonts w:hint="eastAsia" w:ascii="宋体" w:hAnsi="宋体" w:eastAsia="宋体" w:cs="宋体"/>
          <w:sz w:val="28"/>
          <w:szCs w:val="28"/>
        </w:rPr>
      </w:pPr>
      <w:r>
        <w:rPr>
          <w:rFonts w:hint="eastAsia" w:ascii="宋体" w:hAnsi="宋体" w:eastAsia="宋体" w:cs="宋体"/>
          <w:sz w:val="28"/>
          <w:szCs w:val="28"/>
        </w:rPr>
        <w:t>备注：0.256为道化学火灾、爆炸危险指数法特定的折算系数。</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确定危害系数</w:t>
      </w:r>
    </w:p>
    <w:p>
      <w:pPr>
        <w:keepNext w:val="0"/>
        <w:keepLines w:val="0"/>
        <w:pageBreakBefore w:val="0"/>
        <w:widowControl w:val="0"/>
        <w:kinsoku/>
        <w:wordWrap/>
        <w:overflowPunct/>
        <w:topLinePunct w:val="0"/>
        <w:bidi w:val="0"/>
        <w:adjustRightInd/>
        <w:snapToGrid/>
        <w:spacing w:line="56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破坏系数DF 表示单元中的物料或反应能量释放所引起的火灾、爆炸事故综合效应，它由工艺单元危险系数F</w:t>
      </w:r>
      <w:r>
        <w:rPr>
          <w:rFonts w:hint="eastAsia" w:ascii="宋体" w:hAnsi="宋体" w:eastAsia="宋体" w:cs="宋体"/>
          <w:sz w:val="28"/>
          <w:szCs w:val="28"/>
          <w:vertAlign w:val="subscript"/>
        </w:rPr>
        <w:t>3</w:t>
      </w:r>
      <w:r>
        <w:rPr>
          <w:rFonts w:hint="eastAsia" w:ascii="宋体" w:hAnsi="宋体" w:eastAsia="宋体" w:cs="宋体"/>
          <w:sz w:val="28"/>
          <w:szCs w:val="28"/>
        </w:rPr>
        <w:t>和物质系数MF确定。MF=16、F</w:t>
      </w:r>
      <w:r>
        <w:rPr>
          <w:rFonts w:hint="eastAsia" w:ascii="宋体" w:hAnsi="宋体" w:eastAsia="宋体" w:cs="宋体"/>
          <w:sz w:val="28"/>
          <w:szCs w:val="28"/>
          <w:vertAlign w:val="subscript"/>
        </w:rPr>
        <w:t>3</w:t>
      </w:r>
      <w:r>
        <w:rPr>
          <w:rFonts w:hint="eastAsia" w:ascii="宋体" w:hAnsi="宋体" w:eastAsia="宋体" w:cs="宋体"/>
          <w:sz w:val="28"/>
          <w:szCs w:val="28"/>
        </w:rPr>
        <w:t>=</w:t>
      </w:r>
      <w:r>
        <w:rPr>
          <w:rFonts w:hint="eastAsia" w:ascii="宋体" w:hAnsi="宋体" w:eastAsia="宋体" w:cs="宋体"/>
          <w:sz w:val="28"/>
          <w:szCs w:val="28"/>
          <w:lang w:val="en-US"/>
        </w:rPr>
        <w:t>6</w:t>
      </w:r>
      <w:r>
        <w:rPr>
          <w:rFonts w:hint="eastAsia" w:ascii="宋体" w:hAnsi="宋体" w:eastAsia="宋体" w:cs="宋体"/>
          <w:sz w:val="28"/>
          <w:szCs w:val="28"/>
        </w:rPr>
        <w:t>查表可得储罐区发生事故的破坏系数为0.6</w:t>
      </w:r>
      <w:r>
        <w:rPr>
          <w:rFonts w:hint="eastAsia" w:ascii="宋体" w:hAnsi="宋体" w:eastAsia="宋体" w:cs="宋体"/>
          <w:sz w:val="28"/>
          <w:szCs w:val="28"/>
          <w:lang w:val="en-US"/>
        </w:rPr>
        <w:t>8</w:t>
      </w:r>
      <w:r>
        <w:rPr>
          <w:rFonts w:hint="eastAsia" w:ascii="宋体" w:hAnsi="宋体" w:eastAsia="宋体" w:cs="宋体"/>
          <w:sz w:val="28"/>
          <w:szCs w:val="28"/>
        </w:rPr>
        <w:t>。</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jc w:val="both"/>
        <w:textAlignment w:val="auto"/>
        <w:rPr>
          <w:rFonts w:hint="eastAsia" w:ascii="宋体" w:hAnsi="宋体" w:eastAsia="宋体" w:cs="宋体"/>
          <w:b/>
          <w:bCs/>
          <w:sz w:val="28"/>
          <w:szCs w:val="28"/>
        </w:rPr>
      </w:pPr>
      <w:bookmarkStart w:id="917" w:name="_Toc22940_WPSOffice_Level3"/>
      <w:r>
        <w:rPr>
          <w:rFonts w:hint="eastAsia" w:ascii="宋体" w:hAnsi="宋体" w:eastAsia="宋体" w:cs="宋体"/>
          <w:b/>
          <w:bCs/>
          <w:sz w:val="28"/>
          <w:szCs w:val="28"/>
          <w:lang w:val="en-US"/>
        </w:rPr>
        <w:t>4</w:t>
      </w:r>
      <w:r>
        <w:rPr>
          <w:rFonts w:hint="eastAsia" w:ascii="宋体" w:hAnsi="宋体" w:eastAsia="宋体" w:cs="宋体"/>
          <w:b/>
          <w:bCs/>
          <w:sz w:val="28"/>
          <w:szCs w:val="28"/>
        </w:rPr>
        <w:t>）安全措施补偿系数</w:t>
      </w:r>
      <w:bookmarkEnd w:id="917"/>
    </w:p>
    <w:p>
      <w:pPr>
        <w:keepNext w:val="0"/>
        <w:keepLines w:val="0"/>
        <w:pageBreakBefore w:val="0"/>
        <w:widowControl w:val="0"/>
        <w:kinsoku/>
        <w:wordWrap/>
        <w:overflowPunct/>
        <w:topLinePunct w:val="0"/>
        <w:bidi w:val="0"/>
        <w:adjustRightInd/>
        <w:snapToGrid/>
        <w:spacing w:line="56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考虑到各单元内采取了一系列的安全措施，这些安全措施能预防严重事故的发生，也能降低事故的发生概率和危害。安全措施可分为工艺控制C</w:t>
      </w:r>
      <w:r>
        <w:rPr>
          <w:rFonts w:hint="eastAsia" w:ascii="宋体" w:hAnsi="宋体" w:eastAsia="宋体" w:cs="宋体"/>
          <w:sz w:val="28"/>
          <w:szCs w:val="28"/>
          <w:vertAlign w:val="subscript"/>
        </w:rPr>
        <w:t>1</w:t>
      </w:r>
      <w:r>
        <w:rPr>
          <w:rFonts w:hint="eastAsia" w:ascii="宋体" w:hAnsi="宋体" w:eastAsia="宋体" w:cs="宋体"/>
          <w:sz w:val="28"/>
          <w:szCs w:val="28"/>
        </w:rPr>
        <w:t>、操作规程 C</w:t>
      </w:r>
      <w:r>
        <w:rPr>
          <w:rFonts w:hint="eastAsia" w:ascii="宋体" w:hAnsi="宋体" w:eastAsia="宋体" w:cs="宋体"/>
          <w:sz w:val="28"/>
          <w:szCs w:val="28"/>
          <w:vertAlign w:val="subscript"/>
        </w:rPr>
        <w:t>2</w:t>
      </w:r>
      <w:r>
        <w:rPr>
          <w:rFonts w:hint="eastAsia" w:ascii="宋体" w:hAnsi="宋体" w:eastAsia="宋体" w:cs="宋体"/>
          <w:sz w:val="28"/>
          <w:szCs w:val="28"/>
        </w:rPr>
        <w:t>、防火措施 C</w:t>
      </w:r>
      <w:r>
        <w:rPr>
          <w:rFonts w:hint="eastAsia" w:ascii="宋体" w:hAnsi="宋体" w:eastAsia="宋体" w:cs="宋体"/>
          <w:sz w:val="28"/>
          <w:szCs w:val="28"/>
          <w:vertAlign w:val="subscript"/>
        </w:rPr>
        <w:t>3</w:t>
      </w:r>
      <w:r>
        <w:rPr>
          <w:rFonts w:hint="eastAsia" w:ascii="宋体" w:hAnsi="宋体" w:eastAsia="宋体" w:cs="宋体"/>
          <w:sz w:val="28"/>
          <w:szCs w:val="28"/>
        </w:rPr>
        <w:t xml:space="preserve"> 三类。每一类安全措施补偿系数是该类别中所有系数的乘积，总安全措施补偿系数C=C</w:t>
      </w:r>
      <w:r>
        <w:rPr>
          <w:rFonts w:hint="eastAsia" w:ascii="宋体" w:hAnsi="宋体" w:eastAsia="宋体" w:cs="宋体"/>
          <w:sz w:val="28"/>
          <w:szCs w:val="28"/>
          <w:vertAlign w:val="subscript"/>
        </w:rPr>
        <w:t>1</w:t>
      </w:r>
      <w:r>
        <w:rPr>
          <w:rFonts w:hint="eastAsia" w:ascii="宋体" w:hAnsi="宋体" w:eastAsia="宋体" w:cs="宋体"/>
          <w:sz w:val="28"/>
          <w:szCs w:val="28"/>
        </w:rPr>
        <w:t>×C</w:t>
      </w:r>
      <w:r>
        <w:rPr>
          <w:rFonts w:hint="eastAsia" w:ascii="宋体" w:hAnsi="宋体" w:eastAsia="宋体" w:cs="宋体"/>
          <w:sz w:val="28"/>
          <w:szCs w:val="28"/>
          <w:vertAlign w:val="subscript"/>
        </w:rPr>
        <w:t>2</w:t>
      </w:r>
      <w:r>
        <w:rPr>
          <w:rFonts w:hint="eastAsia" w:ascii="宋体" w:hAnsi="宋体" w:eastAsia="宋体" w:cs="宋体"/>
          <w:sz w:val="28"/>
          <w:szCs w:val="28"/>
        </w:rPr>
        <w:t>×C</w:t>
      </w:r>
      <w:r>
        <w:rPr>
          <w:rFonts w:hint="eastAsia" w:ascii="宋体" w:hAnsi="宋体" w:eastAsia="宋体" w:cs="宋体"/>
          <w:sz w:val="28"/>
          <w:szCs w:val="28"/>
          <w:vertAlign w:val="subscript"/>
        </w:rPr>
        <w:t>3</w:t>
      </w:r>
      <w:r>
        <w:rPr>
          <w:rFonts w:hint="eastAsia" w:ascii="宋体" w:hAnsi="宋体" w:eastAsia="宋体" w:cs="宋体"/>
          <w:sz w:val="28"/>
          <w:szCs w:val="28"/>
        </w:rPr>
        <w:t>（表</w:t>
      </w:r>
      <w:r>
        <w:rPr>
          <w:rFonts w:hint="eastAsia" w:ascii="宋体" w:hAnsi="宋体" w:eastAsia="宋体" w:cs="宋体"/>
          <w:sz w:val="28"/>
          <w:szCs w:val="28"/>
          <w:lang w:val="en-US"/>
        </w:rPr>
        <w:t>4.9</w:t>
      </w:r>
      <w:r>
        <w:rPr>
          <w:rFonts w:hint="eastAsia" w:ascii="宋体" w:hAnsi="宋体" w:eastAsia="宋体" w:cs="宋体"/>
          <w:sz w:val="28"/>
          <w:szCs w:val="28"/>
        </w:rPr>
        <w:t>-2）。</w:t>
      </w:r>
    </w:p>
    <w:p>
      <w:pPr>
        <w:spacing w:line="500" w:lineRule="exact"/>
        <w:ind w:firstLine="560" w:firstLineChars="200"/>
        <w:jc w:val="center"/>
        <w:rPr>
          <w:rFonts w:hint="eastAsia" w:ascii="宋体" w:hAnsi="宋体" w:eastAsia="宋体" w:cs="宋体"/>
          <w:sz w:val="28"/>
          <w:szCs w:val="28"/>
        </w:rPr>
      </w:pPr>
      <w:bookmarkStart w:id="918" w:name="_Toc6755_WPSOffice_Level3"/>
      <w:bookmarkStart w:id="919" w:name="_Toc31915_WPSOffice_Level3"/>
      <w:bookmarkStart w:id="920" w:name="_Toc2160_WPSOffice_Level3"/>
      <w:r>
        <w:rPr>
          <w:rFonts w:hint="eastAsia" w:ascii="宋体" w:hAnsi="宋体" w:eastAsia="宋体" w:cs="宋体"/>
          <w:sz w:val="28"/>
          <w:szCs w:val="28"/>
        </w:rPr>
        <w:t>附表</w:t>
      </w:r>
      <w:r>
        <w:rPr>
          <w:rFonts w:hint="eastAsia" w:ascii="宋体" w:hAnsi="宋体" w:eastAsia="宋体" w:cs="宋体"/>
          <w:sz w:val="28"/>
          <w:szCs w:val="28"/>
          <w:lang w:val="en-US"/>
        </w:rPr>
        <w:t>4.9</w:t>
      </w:r>
      <w:r>
        <w:rPr>
          <w:rFonts w:hint="eastAsia" w:ascii="宋体" w:hAnsi="宋体" w:eastAsia="宋体" w:cs="宋体"/>
          <w:sz w:val="28"/>
          <w:szCs w:val="28"/>
        </w:rPr>
        <w:t>-2</w:t>
      </w:r>
      <w:r>
        <w:rPr>
          <w:rFonts w:hint="eastAsia" w:ascii="宋体" w:hAnsi="宋体" w:eastAsia="宋体" w:cs="宋体"/>
          <w:sz w:val="28"/>
          <w:szCs w:val="28"/>
          <w:lang w:val="en-US"/>
        </w:rPr>
        <w:t xml:space="preserve"> </w:t>
      </w:r>
      <w:r>
        <w:rPr>
          <w:rFonts w:hint="eastAsia" w:ascii="宋体" w:hAnsi="宋体" w:eastAsia="宋体" w:cs="宋体"/>
          <w:sz w:val="28"/>
          <w:szCs w:val="28"/>
        </w:rPr>
        <w:t>各单元安全补偿系数表</w:t>
      </w:r>
      <w:bookmarkEnd w:id="918"/>
      <w:bookmarkEnd w:id="919"/>
      <w:bookmarkEnd w:id="920"/>
    </w:p>
    <w:tbl>
      <w:tblPr>
        <w:tblStyle w:val="21"/>
        <w:tblW w:w="9159" w:type="dxa"/>
        <w:jc w:val="center"/>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3209"/>
        <w:gridCol w:w="1205"/>
        <w:gridCol w:w="1037"/>
        <w:gridCol w:w="3708"/>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452" w:hRule="atLeast"/>
          <w:jc w:val="center"/>
        </w:trPr>
        <w:tc>
          <w:tcPr>
            <w:tcW w:w="3209" w:type="dxa"/>
            <w:tcBorders>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项</w:t>
            </w:r>
            <w:r>
              <w:rPr>
                <w:rFonts w:hint="eastAsia" w:ascii="宋体" w:hAnsi="宋体" w:eastAsia="宋体" w:cs="宋体"/>
                <w:sz w:val="21"/>
                <w:szCs w:val="21"/>
              </w:rPr>
              <w:tab/>
            </w:r>
            <w:r>
              <w:rPr>
                <w:rFonts w:hint="eastAsia" w:ascii="宋体" w:hAnsi="宋体" w:eastAsia="宋体" w:cs="宋体"/>
                <w:sz w:val="21"/>
                <w:szCs w:val="21"/>
              </w:rPr>
              <w:t>目</w:t>
            </w:r>
          </w:p>
        </w:tc>
        <w:tc>
          <w:tcPr>
            <w:tcW w:w="1205" w:type="dxa"/>
            <w:tcBorders>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系数范围</w:t>
            </w:r>
          </w:p>
        </w:tc>
        <w:tc>
          <w:tcPr>
            <w:tcW w:w="1037" w:type="dxa"/>
            <w:tcBorders>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汽油罐</w:t>
            </w:r>
          </w:p>
        </w:tc>
        <w:tc>
          <w:tcPr>
            <w:tcW w:w="3708" w:type="dxa"/>
            <w:tcBorders>
              <w:left w:val="single" w:color="000000" w:sz="6" w:space="0"/>
              <w:bottom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安全补偿系数取值说明</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5" w:hRule="atLeast"/>
          <w:jc w:val="center"/>
        </w:trPr>
        <w:tc>
          <w:tcPr>
            <w:tcW w:w="4414" w:type="dxa"/>
            <w:gridSpan w:val="2"/>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1.工艺控制安全补偿系数（C</w:t>
            </w:r>
            <w:r>
              <w:rPr>
                <w:rFonts w:hint="eastAsia" w:ascii="宋体" w:hAnsi="宋体" w:eastAsia="宋体" w:cs="宋体"/>
                <w:sz w:val="21"/>
                <w:szCs w:val="21"/>
                <w:vertAlign w:val="subscript"/>
              </w:rPr>
              <w:t>1</w:t>
            </w:r>
            <w:r>
              <w:rPr>
                <w:rFonts w:hint="eastAsia" w:ascii="宋体" w:hAnsi="宋体" w:eastAsia="宋体" w:cs="宋体"/>
                <w:sz w:val="21"/>
                <w:szCs w:val="21"/>
              </w:rPr>
              <w:t>）</w:t>
            </w:r>
          </w:p>
        </w:tc>
        <w:tc>
          <w:tcPr>
            <w:tcW w:w="4745" w:type="dxa"/>
            <w:gridSpan w:val="2"/>
            <w:tcBorders>
              <w:top w:val="single" w:color="000000" w:sz="6" w:space="0"/>
              <w:left w:val="single" w:color="000000" w:sz="6" w:space="0"/>
              <w:bottom w:val="single" w:color="000000" w:sz="6" w:space="0"/>
            </w:tcBorders>
            <w:vAlign w:val="center"/>
          </w:tcPr>
          <w:p>
            <w:pPr>
              <w:jc w:val="center"/>
              <w:rPr>
                <w:rFonts w:hint="eastAsia" w:ascii="宋体" w:hAnsi="宋体" w:eastAsia="宋体" w:cs="宋体"/>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3" w:hRule="atLeast"/>
          <w:jc w:val="center"/>
        </w:trPr>
        <w:tc>
          <w:tcPr>
            <w:tcW w:w="3209" w:type="dxa"/>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A.应急电源</w:t>
            </w:r>
          </w:p>
        </w:tc>
        <w:tc>
          <w:tcPr>
            <w:tcW w:w="1205"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0.98</w:t>
            </w:r>
          </w:p>
        </w:tc>
        <w:tc>
          <w:tcPr>
            <w:tcW w:w="1037"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lang w:val="en-US"/>
              </w:rPr>
              <w:t>0.98</w:t>
            </w:r>
          </w:p>
        </w:tc>
        <w:tc>
          <w:tcPr>
            <w:tcW w:w="3708" w:type="dxa"/>
            <w:tcBorders>
              <w:top w:val="single" w:color="000000" w:sz="6" w:space="0"/>
              <w:left w:val="single" w:color="000000" w:sz="6" w:space="0"/>
              <w:bottom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应急电源与工艺中事故的控制无关</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5" w:hRule="atLeast"/>
          <w:jc w:val="center"/>
        </w:trPr>
        <w:tc>
          <w:tcPr>
            <w:tcW w:w="3209" w:type="dxa"/>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B.冷却装置</w:t>
            </w:r>
          </w:p>
        </w:tc>
        <w:tc>
          <w:tcPr>
            <w:tcW w:w="1205"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0.97～0.99</w:t>
            </w:r>
          </w:p>
        </w:tc>
        <w:tc>
          <w:tcPr>
            <w:tcW w:w="1037"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1.00</w:t>
            </w:r>
          </w:p>
        </w:tc>
        <w:tc>
          <w:tcPr>
            <w:tcW w:w="3708" w:type="dxa"/>
            <w:tcBorders>
              <w:top w:val="single" w:color="000000" w:sz="6" w:space="0"/>
              <w:left w:val="single" w:color="000000" w:sz="6" w:space="0"/>
              <w:bottom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无冷却系统</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453" w:hRule="atLeast"/>
          <w:jc w:val="center"/>
        </w:trPr>
        <w:tc>
          <w:tcPr>
            <w:tcW w:w="3209" w:type="dxa"/>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C.抑爆装置</w:t>
            </w:r>
          </w:p>
        </w:tc>
        <w:tc>
          <w:tcPr>
            <w:tcW w:w="1205"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0.84～0.98</w:t>
            </w:r>
          </w:p>
        </w:tc>
        <w:tc>
          <w:tcPr>
            <w:tcW w:w="1037"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1.00</w:t>
            </w:r>
          </w:p>
        </w:tc>
        <w:tc>
          <w:tcPr>
            <w:tcW w:w="3708" w:type="dxa"/>
            <w:tcBorders>
              <w:top w:val="single" w:color="000000" w:sz="6" w:space="0"/>
              <w:left w:val="single" w:color="000000" w:sz="6" w:space="0"/>
              <w:bottom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无抑爆装置</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5" w:hRule="atLeast"/>
          <w:jc w:val="center"/>
        </w:trPr>
        <w:tc>
          <w:tcPr>
            <w:tcW w:w="3209" w:type="dxa"/>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D.紧急切断装置</w:t>
            </w:r>
          </w:p>
        </w:tc>
        <w:tc>
          <w:tcPr>
            <w:tcW w:w="1205"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0.96～0.99</w:t>
            </w:r>
          </w:p>
        </w:tc>
        <w:tc>
          <w:tcPr>
            <w:tcW w:w="1037"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0.98</w:t>
            </w:r>
          </w:p>
        </w:tc>
        <w:tc>
          <w:tcPr>
            <w:tcW w:w="3708" w:type="dxa"/>
            <w:tcBorders>
              <w:top w:val="single" w:color="000000" w:sz="6" w:space="0"/>
              <w:left w:val="single" w:color="000000" w:sz="6" w:space="0"/>
              <w:bottom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有紧急切断装置</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3" w:hRule="atLeast"/>
          <w:jc w:val="center"/>
        </w:trPr>
        <w:tc>
          <w:tcPr>
            <w:tcW w:w="3209" w:type="dxa"/>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E.计算机控制</w:t>
            </w:r>
          </w:p>
        </w:tc>
        <w:tc>
          <w:tcPr>
            <w:tcW w:w="1205"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0.93～0.99</w:t>
            </w:r>
          </w:p>
        </w:tc>
        <w:tc>
          <w:tcPr>
            <w:tcW w:w="1037"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1.00</w:t>
            </w:r>
          </w:p>
        </w:tc>
        <w:tc>
          <w:tcPr>
            <w:tcW w:w="3708" w:type="dxa"/>
            <w:tcBorders>
              <w:top w:val="single" w:color="000000" w:sz="6" w:space="0"/>
              <w:left w:val="single" w:color="000000" w:sz="6" w:space="0"/>
              <w:bottom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无计算机控制</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2" w:hRule="atLeast"/>
          <w:jc w:val="center"/>
        </w:trPr>
        <w:tc>
          <w:tcPr>
            <w:tcW w:w="3209" w:type="dxa"/>
            <w:tcBorders>
              <w:top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F.惰性气体保护</w:t>
            </w:r>
          </w:p>
        </w:tc>
        <w:tc>
          <w:tcPr>
            <w:tcW w:w="1205" w:type="dxa"/>
            <w:tcBorders>
              <w:top w:val="single" w:color="000000" w:sz="6" w:space="0"/>
              <w:left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0.94～0.96</w:t>
            </w:r>
          </w:p>
        </w:tc>
        <w:tc>
          <w:tcPr>
            <w:tcW w:w="1037" w:type="dxa"/>
            <w:tcBorders>
              <w:top w:val="single" w:color="000000" w:sz="6" w:space="0"/>
              <w:left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1.00</w:t>
            </w:r>
          </w:p>
        </w:tc>
        <w:tc>
          <w:tcPr>
            <w:tcW w:w="3708" w:type="dxa"/>
            <w:tcBorders>
              <w:top w:val="single" w:color="000000" w:sz="6" w:space="0"/>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无惰性气体保护</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3" w:hRule="atLeast"/>
          <w:jc w:val="center"/>
        </w:trPr>
        <w:tc>
          <w:tcPr>
            <w:tcW w:w="3209" w:type="dxa"/>
            <w:tcBorders>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G.操作规程/程序</w:t>
            </w:r>
          </w:p>
        </w:tc>
        <w:tc>
          <w:tcPr>
            <w:tcW w:w="1205" w:type="dxa"/>
            <w:tcBorders>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0.91～0.99</w:t>
            </w:r>
          </w:p>
        </w:tc>
        <w:tc>
          <w:tcPr>
            <w:tcW w:w="1037" w:type="dxa"/>
            <w:tcBorders>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lang w:val="en-US"/>
              </w:rPr>
              <w:t>0.93</w:t>
            </w:r>
          </w:p>
        </w:tc>
        <w:tc>
          <w:tcPr>
            <w:tcW w:w="3708" w:type="dxa"/>
            <w:tcBorders>
              <w:left w:val="single" w:color="000000" w:sz="6" w:space="0"/>
              <w:bottom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有安全操作规程</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5" w:hRule="atLeast"/>
          <w:jc w:val="center"/>
        </w:trPr>
        <w:tc>
          <w:tcPr>
            <w:tcW w:w="3209" w:type="dxa"/>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H.化学活泼性物质检查</w:t>
            </w:r>
          </w:p>
        </w:tc>
        <w:tc>
          <w:tcPr>
            <w:tcW w:w="1205"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0.91～0.98</w:t>
            </w:r>
          </w:p>
        </w:tc>
        <w:tc>
          <w:tcPr>
            <w:tcW w:w="1037"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lang w:val="en-US"/>
              </w:rPr>
              <w:t>1</w:t>
            </w:r>
          </w:p>
        </w:tc>
        <w:tc>
          <w:tcPr>
            <w:tcW w:w="3708" w:type="dxa"/>
            <w:tcBorders>
              <w:top w:val="single" w:color="000000" w:sz="6" w:space="0"/>
              <w:left w:val="single" w:color="000000" w:sz="6" w:space="0"/>
              <w:bottom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在需要时才进行检查</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3" w:hRule="atLeast"/>
          <w:jc w:val="center"/>
        </w:trPr>
        <w:tc>
          <w:tcPr>
            <w:tcW w:w="3209" w:type="dxa"/>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I.其他工艺危险分析</w:t>
            </w:r>
          </w:p>
        </w:tc>
        <w:tc>
          <w:tcPr>
            <w:tcW w:w="1205"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0.91～0.98</w:t>
            </w:r>
          </w:p>
        </w:tc>
        <w:tc>
          <w:tcPr>
            <w:tcW w:w="1037"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0.98</w:t>
            </w:r>
          </w:p>
        </w:tc>
        <w:tc>
          <w:tcPr>
            <w:tcW w:w="3708" w:type="dxa"/>
            <w:tcBorders>
              <w:top w:val="single" w:color="000000" w:sz="6" w:space="0"/>
              <w:left w:val="single" w:color="000000" w:sz="6" w:space="0"/>
              <w:bottom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有安全管理和安全检查措施</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5" w:hRule="atLeast"/>
          <w:jc w:val="center"/>
        </w:trPr>
        <w:tc>
          <w:tcPr>
            <w:tcW w:w="4414" w:type="dxa"/>
            <w:gridSpan w:val="2"/>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C</w:t>
            </w:r>
            <w:r>
              <w:rPr>
                <w:rFonts w:hint="eastAsia" w:ascii="宋体" w:hAnsi="宋体" w:eastAsia="宋体" w:cs="宋体"/>
                <w:sz w:val="21"/>
                <w:szCs w:val="21"/>
                <w:vertAlign w:val="subscript"/>
              </w:rPr>
              <w:t>1</w:t>
            </w:r>
            <w:r>
              <w:rPr>
                <w:rFonts w:hint="eastAsia" w:ascii="宋体" w:hAnsi="宋体" w:eastAsia="宋体" w:cs="宋体"/>
                <w:sz w:val="21"/>
                <w:szCs w:val="21"/>
              </w:rPr>
              <w:t>（A～I 系数之积）</w:t>
            </w:r>
          </w:p>
        </w:tc>
        <w:tc>
          <w:tcPr>
            <w:tcW w:w="1037"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0.8</w:t>
            </w:r>
            <w:r>
              <w:rPr>
                <w:rFonts w:hint="eastAsia" w:ascii="宋体" w:hAnsi="宋体" w:eastAsia="宋体" w:cs="宋体"/>
                <w:sz w:val="21"/>
                <w:szCs w:val="21"/>
                <w:lang w:val="en-US"/>
              </w:rPr>
              <w:t>8</w:t>
            </w:r>
          </w:p>
        </w:tc>
        <w:tc>
          <w:tcPr>
            <w:tcW w:w="3708" w:type="dxa"/>
            <w:tcBorders>
              <w:top w:val="single" w:color="000000" w:sz="6" w:space="0"/>
              <w:left w:val="single" w:color="000000" w:sz="6" w:space="0"/>
              <w:bottom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C</w:t>
            </w:r>
            <w:r>
              <w:rPr>
                <w:rFonts w:hint="eastAsia" w:ascii="宋体" w:hAnsi="宋体" w:eastAsia="宋体" w:cs="宋体"/>
                <w:sz w:val="21"/>
                <w:szCs w:val="21"/>
                <w:vertAlign w:val="subscript"/>
              </w:rPr>
              <w:t>1</w:t>
            </w:r>
            <w:r>
              <w:rPr>
                <w:rFonts w:hint="eastAsia" w:ascii="宋体" w:hAnsi="宋体" w:eastAsia="宋体" w:cs="宋体"/>
                <w:sz w:val="21"/>
                <w:szCs w:val="21"/>
              </w:rPr>
              <w:t>=0.98×0.9</w:t>
            </w:r>
            <w:r>
              <w:rPr>
                <w:rFonts w:hint="eastAsia" w:ascii="宋体" w:hAnsi="宋体" w:eastAsia="宋体" w:cs="宋体"/>
                <w:sz w:val="21"/>
                <w:szCs w:val="21"/>
                <w:lang w:val="en-US"/>
              </w:rPr>
              <w:t>8</w:t>
            </w:r>
            <w:r>
              <w:rPr>
                <w:rFonts w:hint="eastAsia" w:ascii="宋体" w:hAnsi="宋体" w:eastAsia="宋体" w:cs="宋体"/>
                <w:sz w:val="21"/>
                <w:szCs w:val="21"/>
              </w:rPr>
              <w:t>×0.9</w:t>
            </w:r>
            <w:r>
              <w:rPr>
                <w:rFonts w:hint="eastAsia" w:ascii="宋体" w:hAnsi="宋体" w:eastAsia="宋体" w:cs="宋体"/>
                <w:sz w:val="21"/>
                <w:szCs w:val="21"/>
                <w:lang w:val="en-US"/>
              </w:rPr>
              <w:t>3</w:t>
            </w:r>
            <w:r>
              <w:rPr>
                <w:rFonts w:hint="eastAsia" w:ascii="宋体" w:hAnsi="宋体" w:eastAsia="宋体" w:cs="宋体"/>
                <w:sz w:val="21"/>
                <w:szCs w:val="21"/>
              </w:rPr>
              <w:t>×0.98=0.8</w:t>
            </w:r>
            <w:r>
              <w:rPr>
                <w:rFonts w:hint="eastAsia" w:ascii="宋体" w:hAnsi="宋体" w:eastAsia="宋体" w:cs="宋体"/>
                <w:sz w:val="21"/>
                <w:szCs w:val="21"/>
                <w:lang w:val="en-US"/>
              </w:rPr>
              <w:t>8</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3" w:hRule="atLeast"/>
          <w:jc w:val="center"/>
        </w:trPr>
        <w:tc>
          <w:tcPr>
            <w:tcW w:w="4414" w:type="dxa"/>
            <w:gridSpan w:val="2"/>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2.物质隔离安全补偿系数（C</w:t>
            </w:r>
            <w:r>
              <w:rPr>
                <w:rFonts w:hint="eastAsia" w:ascii="宋体" w:hAnsi="宋体" w:eastAsia="宋体" w:cs="宋体"/>
                <w:sz w:val="21"/>
                <w:szCs w:val="21"/>
                <w:vertAlign w:val="subscript"/>
              </w:rPr>
              <w:t>2</w:t>
            </w:r>
            <w:r>
              <w:rPr>
                <w:rFonts w:hint="eastAsia" w:ascii="宋体" w:hAnsi="宋体" w:eastAsia="宋体" w:cs="宋体"/>
                <w:sz w:val="21"/>
                <w:szCs w:val="21"/>
              </w:rPr>
              <w:t>）</w:t>
            </w:r>
          </w:p>
        </w:tc>
        <w:tc>
          <w:tcPr>
            <w:tcW w:w="4745" w:type="dxa"/>
            <w:gridSpan w:val="2"/>
            <w:tcBorders>
              <w:top w:val="single" w:color="000000" w:sz="6" w:space="0"/>
              <w:left w:val="single" w:color="000000" w:sz="6" w:space="0"/>
              <w:bottom w:val="single" w:color="000000" w:sz="6" w:space="0"/>
            </w:tcBorders>
            <w:vAlign w:val="center"/>
          </w:tcPr>
          <w:p>
            <w:pPr>
              <w:jc w:val="center"/>
              <w:rPr>
                <w:rFonts w:hint="eastAsia" w:ascii="宋体" w:hAnsi="宋体" w:eastAsia="宋体" w:cs="宋体"/>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455" w:hRule="atLeast"/>
          <w:jc w:val="center"/>
        </w:trPr>
        <w:tc>
          <w:tcPr>
            <w:tcW w:w="3209" w:type="dxa"/>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A.遥控阀</w:t>
            </w:r>
          </w:p>
        </w:tc>
        <w:tc>
          <w:tcPr>
            <w:tcW w:w="1205"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0.96～0.98</w:t>
            </w:r>
          </w:p>
        </w:tc>
        <w:tc>
          <w:tcPr>
            <w:tcW w:w="1037"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1.00</w:t>
            </w:r>
          </w:p>
        </w:tc>
        <w:tc>
          <w:tcPr>
            <w:tcW w:w="3708" w:type="dxa"/>
            <w:tcBorders>
              <w:top w:val="single" w:color="000000" w:sz="6" w:space="0"/>
              <w:left w:val="single" w:color="000000" w:sz="6" w:space="0"/>
              <w:bottom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无远距离遥控阀</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452" w:hRule="atLeast"/>
          <w:jc w:val="center"/>
        </w:trPr>
        <w:tc>
          <w:tcPr>
            <w:tcW w:w="3209" w:type="dxa"/>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B.卸料/排空装置</w:t>
            </w:r>
          </w:p>
        </w:tc>
        <w:tc>
          <w:tcPr>
            <w:tcW w:w="1205"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0.96～0.98</w:t>
            </w:r>
          </w:p>
        </w:tc>
        <w:tc>
          <w:tcPr>
            <w:tcW w:w="1037"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lang w:val="en-US"/>
              </w:rPr>
              <w:t>1.00</w:t>
            </w:r>
          </w:p>
        </w:tc>
        <w:tc>
          <w:tcPr>
            <w:tcW w:w="3708" w:type="dxa"/>
            <w:tcBorders>
              <w:top w:val="single" w:color="000000" w:sz="6" w:space="0"/>
              <w:left w:val="single" w:color="000000" w:sz="6" w:space="0"/>
              <w:bottom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汽油卸油、加油油气回收装置</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3" w:hRule="atLeast"/>
          <w:jc w:val="center"/>
        </w:trPr>
        <w:tc>
          <w:tcPr>
            <w:tcW w:w="3209" w:type="dxa"/>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C.排放系统</w:t>
            </w:r>
          </w:p>
        </w:tc>
        <w:tc>
          <w:tcPr>
            <w:tcW w:w="1205"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0.91～0.97</w:t>
            </w:r>
          </w:p>
        </w:tc>
        <w:tc>
          <w:tcPr>
            <w:tcW w:w="1037"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1.00</w:t>
            </w:r>
          </w:p>
        </w:tc>
        <w:tc>
          <w:tcPr>
            <w:tcW w:w="3708" w:type="dxa"/>
            <w:tcBorders>
              <w:top w:val="single" w:color="000000" w:sz="6" w:space="0"/>
              <w:left w:val="single" w:color="000000" w:sz="6" w:space="0"/>
              <w:bottom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无排放系统</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5" w:hRule="atLeast"/>
          <w:jc w:val="center"/>
        </w:trPr>
        <w:tc>
          <w:tcPr>
            <w:tcW w:w="3209" w:type="dxa"/>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D.连锁装置</w:t>
            </w:r>
          </w:p>
        </w:tc>
        <w:tc>
          <w:tcPr>
            <w:tcW w:w="1205"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0.98</w:t>
            </w:r>
          </w:p>
        </w:tc>
        <w:tc>
          <w:tcPr>
            <w:tcW w:w="1037"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1.00</w:t>
            </w:r>
          </w:p>
        </w:tc>
        <w:tc>
          <w:tcPr>
            <w:tcW w:w="3708" w:type="dxa"/>
            <w:tcBorders>
              <w:top w:val="single" w:color="000000" w:sz="6" w:space="0"/>
              <w:left w:val="single" w:color="000000" w:sz="6" w:space="0"/>
              <w:bottom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无连锁装置</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2" w:hRule="atLeast"/>
          <w:jc w:val="center"/>
        </w:trPr>
        <w:tc>
          <w:tcPr>
            <w:tcW w:w="4414" w:type="dxa"/>
            <w:gridSpan w:val="2"/>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C</w:t>
            </w:r>
            <w:r>
              <w:rPr>
                <w:rFonts w:hint="eastAsia" w:ascii="宋体" w:hAnsi="宋体" w:eastAsia="宋体" w:cs="宋体"/>
                <w:sz w:val="21"/>
                <w:szCs w:val="21"/>
                <w:vertAlign w:val="subscript"/>
              </w:rPr>
              <w:t>2</w:t>
            </w:r>
            <w:r>
              <w:rPr>
                <w:rFonts w:hint="eastAsia" w:ascii="宋体" w:hAnsi="宋体" w:eastAsia="宋体" w:cs="宋体"/>
                <w:sz w:val="21"/>
                <w:szCs w:val="21"/>
              </w:rPr>
              <w:t>（A～D 系数之积）</w:t>
            </w:r>
          </w:p>
        </w:tc>
        <w:tc>
          <w:tcPr>
            <w:tcW w:w="1037"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lang w:val="en-US"/>
              </w:rPr>
              <w:t>1.00</w:t>
            </w:r>
          </w:p>
        </w:tc>
        <w:tc>
          <w:tcPr>
            <w:tcW w:w="3708" w:type="dxa"/>
            <w:tcBorders>
              <w:top w:val="single" w:color="000000" w:sz="6" w:space="0"/>
              <w:left w:val="single" w:color="000000" w:sz="6" w:space="0"/>
              <w:bottom w:val="single" w:color="000000" w:sz="6" w:space="0"/>
            </w:tcBorders>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rPr>
              <w:t>C</w:t>
            </w:r>
            <w:r>
              <w:rPr>
                <w:rFonts w:hint="eastAsia" w:ascii="宋体" w:hAnsi="宋体" w:eastAsia="宋体" w:cs="宋体"/>
                <w:sz w:val="21"/>
                <w:szCs w:val="21"/>
                <w:vertAlign w:val="subscript"/>
              </w:rPr>
              <w:t>2</w:t>
            </w:r>
            <w:r>
              <w:rPr>
                <w:rFonts w:hint="eastAsia" w:ascii="宋体" w:hAnsi="宋体" w:eastAsia="宋体" w:cs="宋体"/>
                <w:sz w:val="21"/>
                <w:szCs w:val="21"/>
              </w:rPr>
              <w:t>=</w:t>
            </w:r>
            <w:r>
              <w:rPr>
                <w:rFonts w:hint="eastAsia" w:ascii="宋体" w:hAnsi="宋体" w:eastAsia="宋体" w:cs="宋体"/>
                <w:sz w:val="21"/>
                <w:szCs w:val="21"/>
                <w:lang w:val="en-US"/>
              </w:rPr>
              <w:t>1.00</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5" w:hRule="atLeast"/>
          <w:jc w:val="center"/>
        </w:trPr>
        <w:tc>
          <w:tcPr>
            <w:tcW w:w="4414" w:type="dxa"/>
            <w:gridSpan w:val="2"/>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3.防火设施安全补偿系数（C</w:t>
            </w:r>
            <w:r>
              <w:rPr>
                <w:rFonts w:hint="eastAsia" w:ascii="宋体" w:hAnsi="宋体" w:eastAsia="宋体" w:cs="宋体"/>
                <w:sz w:val="21"/>
                <w:szCs w:val="21"/>
                <w:vertAlign w:val="subscript"/>
              </w:rPr>
              <w:t>3</w:t>
            </w:r>
            <w:r>
              <w:rPr>
                <w:rFonts w:hint="eastAsia" w:ascii="宋体" w:hAnsi="宋体" w:eastAsia="宋体" w:cs="宋体"/>
                <w:sz w:val="21"/>
                <w:szCs w:val="21"/>
              </w:rPr>
              <w:t>）</w:t>
            </w:r>
          </w:p>
        </w:tc>
        <w:tc>
          <w:tcPr>
            <w:tcW w:w="4745" w:type="dxa"/>
            <w:gridSpan w:val="2"/>
            <w:tcBorders>
              <w:top w:val="single" w:color="000000" w:sz="6" w:space="0"/>
              <w:left w:val="single" w:color="000000" w:sz="6" w:space="0"/>
              <w:bottom w:val="single" w:color="000000" w:sz="6" w:space="0"/>
            </w:tcBorders>
            <w:vAlign w:val="center"/>
          </w:tcPr>
          <w:p>
            <w:pPr>
              <w:jc w:val="center"/>
              <w:rPr>
                <w:rFonts w:hint="eastAsia" w:ascii="宋体" w:hAnsi="宋体" w:eastAsia="宋体" w:cs="宋体"/>
                <w:sz w:val="21"/>
                <w:szCs w:val="21"/>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2" w:hRule="atLeast"/>
          <w:jc w:val="center"/>
        </w:trPr>
        <w:tc>
          <w:tcPr>
            <w:tcW w:w="3209" w:type="dxa"/>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A.泄漏检测装置</w:t>
            </w:r>
          </w:p>
        </w:tc>
        <w:tc>
          <w:tcPr>
            <w:tcW w:w="1205"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0.94～0.98</w:t>
            </w:r>
          </w:p>
        </w:tc>
        <w:tc>
          <w:tcPr>
            <w:tcW w:w="1037"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lang w:val="en-US"/>
              </w:rPr>
              <w:t>0.95</w:t>
            </w:r>
          </w:p>
        </w:tc>
        <w:tc>
          <w:tcPr>
            <w:tcW w:w="3708" w:type="dxa"/>
            <w:tcBorders>
              <w:top w:val="single" w:color="000000" w:sz="6" w:space="0"/>
              <w:left w:val="single" w:color="000000" w:sz="6" w:space="0"/>
              <w:bottom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有泄漏检测装置</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3" w:hRule="atLeast"/>
          <w:jc w:val="center"/>
        </w:trPr>
        <w:tc>
          <w:tcPr>
            <w:tcW w:w="3209" w:type="dxa"/>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B.钢结构</w:t>
            </w:r>
          </w:p>
        </w:tc>
        <w:tc>
          <w:tcPr>
            <w:tcW w:w="1205"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0.95～0.98</w:t>
            </w:r>
          </w:p>
        </w:tc>
        <w:tc>
          <w:tcPr>
            <w:tcW w:w="1037"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1.00</w:t>
            </w:r>
          </w:p>
        </w:tc>
        <w:tc>
          <w:tcPr>
            <w:tcW w:w="3708" w:type="dxa"/>
            <w:tcBorders>
              <w:top w:val="single" w:color="000000" w:sz="6" w:space="0"/>
              <w:left w:val="single" w:color="000000" w:sz="6" w:space="0"/>
              <w:bottom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无防火钢结构及防火涂层</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5" w:hRule="atLeast"/>
          <w:jc w:val="center"/>
        </w:trPr>
        <w:tc>
          <w:tcPr>
            <w:tcW w:w="3209" w:type="dxa"/>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C.消防水供应系统</w:t>
            </w:r>
          </w:p>
        </w:tc>
        <w:tc>
          <w:tcPr>
            <w:tcW w:w="1205"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0.94～0.97</w:t>
            </w:r>
          </w:p>
        </w:tc>
        <w:tc>
          <w:tcPr>
            <w:tcW w:w="1037"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1.00</w:t>
            </w:r>
          </w:p>
        </w:tc>
        <w:tc>
          <w:tcPr>
            <w:tcW w:w="3708" w:type="dxa"/>
            <w:tcBorders>
              <w:top w:val="single" w:color="000000" w:sz="6" w:space="0"/>
              <w:left w:val="single" w:color="000000" w:sz="6" w:space="0"/>
              <w:bottom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消防水供应不满足补偿要求</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3" w:hRule="atLeast"/>
          <w:jc w:val="center"/>
        </w:trPr>
        <w:tc>
          <w:tcPr>
            <w:tcW w:w="3209" w:type="dxa"/>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D.特殊灭火系统</w:t>
            </w:r>
          </w:p>
        </w:tc>
        <w:tc>
          <w:tcPr>
            <w:tcW w:w="1205"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0.91</w:t>
            </w:r>
          </w:p>
        </w:tc>
        <w:tc>
          <w:tcPr>
            <w:tcW w:w="1037"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1.00</w:t>
            </w:r>
          </w:p>
        </w:tc>
        <w:tc>
          <w:tcPr>
            <w:tcW w:w="3708" w:type="dxa"/>
            <w:tcBorders>
              <w:top w:val="single" w:color="000000" w:sz="6" w:space="0"/>
              <w:left w:val="single" w:color="000000" w:sz="6" w:space="0"/>
              <w:bottom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埋地储罐，无特殊灭火系统</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5" w:hRule="atLeast"/>
          <w:jc w:val="center"/>
        </w:trPr>
        <w:tc>
          <w:tcPr>
            <w:tcW w:w="3209" w:type="dxa"/>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E.洒水灭火系统</w:t>
            </w:r>
          </w:p>
        </w:tc>
        <w:tc>
          <w:tcPr>
            <w:tcW w:w="1205"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0.74～0.97</w:t>
            </w:r>
          </w:p>
        </w:tc>
        <w:tc>
          <w:tcPr>
            <w:tcW w:w="1037"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1.00</w:t>
            </w:r>
          </w:p>
        </w:tc>
        <w:tc>
          <w:tcPr>
            <w:tcW w:w="3708" w:type="dxa"/>
            <w:tcBorders>
              <w:top w:val="single" w:color="000000" w:sz="6" w:space="0"/>
              <w:left w:val="single" w:color="000000" w:sz="6" w:space="0"/>
              <w:bottom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无洒水灭火系统</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PrEx>
        <w:trPr>
          <w:trHeight w:val="452" w:hRule="atLeast"/>
          <w:jc w:val="center"/>
        </w:trPr>
        <w:tc>
          <w:tcPr>
            <w:tcW w:w="3209" w:type="dxa"/>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F.水幕</w:t>
            </w:r>
          </w:p>
        </w:tc>
        <w:tc>
          <w:tcPr>
            <w:tcW w:w="1205"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0.97～0.98</w:t>
            </w:r>
          </w:p>
        </w:tc>
        <w:tc>
          <w:tcPr>
            <w:tcW w:w="1037"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1.00</w:t>
            </w:r>
          </w:p>
        </w:tc>
        <w:tc>
          <w:tcPr>
            <w:tcW w:w="3708" w:type="dxa"/>
            <w:tcBorders>
              <w:top w:val="single" w:color="000000" w:sz="6" w:space="0"/>
              <w:left w:val="single" w:color="000000" w:sz="6" w:space="0"/>
              <w:bottom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无自动喷水幕</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5" w:hRule="atLeast"/>
          <w:jc w:val="center"/>
        </w:trPr>
        <w:tc>
          <w:tcPr>
            <w:tcW w:w="3209" w:type="dxa"/>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G.泡沫灭火装置</w:t>
            </w:r>
          </w:p>
        </w:tc>
        <w:tc>
          <w:tcPr>
            <w:tcW w:w="1205"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0.92～0.97</w:t>
            </w:r>
          </w:p>
        </w:tc>
        <w:tc>
          <w:tcPr>
            <w:tcW w:w="1037"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1.00</w:t>
            </w:r>
          </w:p>
        </w:tc>
        <w:tc>
          <w:tcPr>
            <w:tcW w:w="3708" w:type="dxa"/>
            <w:tcBorders>
              <w:top w:val="single" w:color="000000" w:sz="6" w:space="0"/>
              <w:left w:val="single" w:color="000000" w:sz="6" w:space="0"/>
              <w:bottom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无泡沫灭火装置</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3" w:hRule="atLeast"/>
          <w:jc w:val="center"/>
        </w:trPr>
        <w:tc>
          <w:tcPr>
            <w:tcW w:w="3209" w:type="dxa"/>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H.手提式灭火器材/喷水枪</w:t>
            </w:r>
          </w:p>
        </w:tc>
        <w:tc>
          <w:tcPr>
            <w:tcW w:w="1205"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0.93～0.98</w:t>
            </w:r>
          </w:p>
        </w:tc>
        <w:tc>
          <w:tcPr>
            <w:tcW w:w="1037"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0.9</w:t>
            </w:r>
            <w:r>
              <w:rPr>
                <w:rFonts w:hint="eastAsia" w:ascii="宋体" w:hAnsi="宋体" w:eastAsia="宋体" w:cs="宋体"/>
                <w:sz w:val="21"/>
                <w:szCs w:val="21"/>
                <w:lang w:val="en-US"/>
              </w:rPr>
              <w:t>4</w:t>
            </w:r>
          </w:p>
        </w:tc>
        <w:tc>
          <w:tcPr>
            <w:tcW w:w="3708" w:type="dxa"/>
            <w:tcBorders>
              <w:top w:val="single" w:color="000000" w:sz="6" w:space="0"/>
              <w:left w:val="single" w:color="000000" w:sz="6" w:space="0"/>
              <w:bottom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配有相适应的手提式灭火器材</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2" w:hRule="atLeast"/>
          <w:jc w:val="center"/>
        </w:trPr>
        <w:tc>
          <w:tcPr>
            <w:tcW w:w="3209" w:type="dxa"/>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I.电缆防护</w:t>
            </w:r>
          </w:p>
        </w:tc>
        <w:tc>
          <w:tcPr>
            <w:tcW w:w="1205"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0.94～0.98</w:t>
            </w:r>
          </w:p>
        </w:tc>
        <w:tc>
          <w:tcPr>
            <w:tcW w:w="1037"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0.94</w:t>
            </w:r>
          </w:p>
        </w:tc>
        <w:tc>
          <w:tcPr>
            <w:tcW w:w="3708" w:type="dxa"/>
            <w:tcBorders>
              <w:top w:val="single" w:color="000000" w:sz="6" w:space="0"/>
              <w:left w:val="single" w:color="000000" w:sz="6" w:space="0"/>
              <w:bottom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电缆埋在地下</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5" w:hRule="atLeast"/>
          <w:jc w:val="center"/>
        </w:trPr>
        <w:tc>
          <w:tcPr>
            <w:tcW w:w="4414" w:type="dxa"/>
            <w:gridSpan w:val="2"/>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C</w:t>
            </w:r>
            <w:r>
              <w:rPr>
                <w:rFonts w:hint="eastAsia" w:ascii="宋体" w:hAnsi="宋体" w:eastAsia="宋体" w:cs="宋体"/>
                <w:sz w:val="21"/>
                <w:szCs w:val="21"/>
                <w:vertAlign w:val="subscript"/>
              </w:rPr>
              <w:t>3</w:t>
            </w:r>
            <w:r>
              <w:rPr>
                <w:rFonts w:hint="eastAsia" w:ascii="宋体" w:hAnsi="宋体" w:eastAsia="宋体" w:cs="宋体"/>
                <w:sz w:val="21"/>
                <w:szCs w:val="21"/>
              </w:rPr>
              <w:t>（A～I 系数之积）</w:t>
            </w:r>
          </w:p>
        </w:tc>
        <w:tc>
          <w:tcPr>
            <w:tcW w:w="1037" w:type="dxa"/>
            <w:tcBorders>
              <w:top w:val="single" w:color="000000" w:sz="6" w:space="0"/>
              <w:left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rPr>
              <w:t>0.</w:t>
            </w:r>
            <w:r>
              <w:rPr>
                <w:rFonts w:hint="eastAsia" w:ascii="宋体" w:hAnsi="宋体" w:eastAsia="宋体" w:cs="宋体"/>
                <w:sz w:val="21"/>
                <w:szCs w:val="21"/>
                <w:lang w:val="en-US"/>
              </w:rPr>
              <w:t>85</w:t>
            </w:r>
          </w:p>
        </w:tc>
        <w:tc>
          <w:tcPr>
            <w:tcW w:w="3708" w:type="dxa"/>
            <w:tcBorders>
              <w:top w:val="single" w:color="000000" w:sz="6" w:space="0"/>
              <w:left w:val="single" w:color="000000" w:sz="6" w:space="0"/>
              <w:bottom w:val="single" w:color="000000" w:sz="6" w:space="0"/>
            </w:tcBorders>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rPr>
              <w:t>C</w:t>
            </w:r>
            <w:r>
              <w:rPr>
                <w:rFonts w:hint="eastAsia" w:ascii="宋体" w:hAnsi="宋体" w:eastAsia="宋体" w:cs="宋体"/>
                <w:sz w:val="21"/>
                <w:szCs w:val="21"/>
                <w:vertAlign w:val="subscript"/>
              </w:rPr>
              <w:t>3</w:t>
            </w:r>
            <w:r>
              <w:rPr>
                <w:rFonts w:hint="eastAsia" w:ascii="宋体" w:hAnsi="宋体" w:eastAsia="宋体" w:cs="宋体"/>
                <w:sz w:val="21"/>
                <w:szCs w:val="21"/>
              </w:rPr>
              <w:t>=0.9</w:t>
            </w:r>
            <w:r>
              <w:rPr>
                <w:rFonts w:hint="eastAsia" w:ascii="宋体" w:hAnsi="宋体" w:eastAsia="宋体" w:cs="宋体"/>
                <w:sz w:val="21"/>
                <w:szCs w:val="21"/>
                <w:lang w:val="en-US"/>
              </w:rPr>
              <w:t>5</w:t>
            </w:r>
            <w:r>
              <w:rPr>
                <w:rFonts w:hint="eastAsia" w:ascii="宋体" w:hAnsi="宋体" w:eastAsia="宋体" w:cs="宋体"/>
                <w:sz w:val="21"/>
                <w:szCs w:val="21"/>
              </w:rPr>
              <w:t>×0.94×</w:t>
            </w:r>
            <w:r>
              <w:rPr>
                <w:rFonts w:hint="eastAsia" w:ascii="宋体" w:hAnsi="宋体" w:eastAsia="宋体" w:cs="宋体"/>
                <w:sz w:val="21"/>
                <w:szCs w:val="21"/>
                <w:lang w:val="en-US"/>
              </w:rPr>
              <w:t>0.94</w:t>
            </w:r>
            <w:r>
              <w:rPr>
                <w:rFonts w:hint="eastAsia" w:ascii="宋体" w:hAnsi="宋体" w:eastAsia="宋体" w:cs="宋体"/>
                <w:sz w:val="21"/>
                <w:szCs w:val="21"/>
              </w:rPr>
              <w:t>=0.</w:t>
            </w:r>
            <w:r>
              <w:rPr>
                <w:rFonts w:hint="eastAsia" w:ascii="宋体" w:hAnsi="宋体" w:eastAsia="宋体" w:cs="宋体"/>
                <w:sz w:val="21"/>
                <w:szCs w:val="21"/>
                <w:lang w:val="en-US"/>
              </w:rPr>
              <w:t>85</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3" w:hRule="atLeast"/>
          <w:jc w:val="center"/>
        </w:trPr>
        <w:tc>
          <w:tcPr>
            <w:tcW w:w="4414" w:type="dxa"/>
            <w:gridSpan w:val="2"/>
            <w:tcBorders>
              <w:top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安全补偿系数</w:t>
            </w:r>
            <w:r>
              <w:rPr>
                <w:rFonts w:hint="eastAsia" w:ascii="宋体" w:hAnsi="宋体" w:eastAsia="宋体" w:cs="宋体"/>
                <w:sz w:val="21"/>
                <w:szCs w:val="21"/>
              </w:rPr>
              <w:tab/>
            </w:r>
            <w:r>
              <w:rPr>
                <w:rFonts w:hint="eastAsia" w:ascii="宋体" w:hAnsi="宋体" w:eastAsia="宋体" w:cs="宋体"/>
                <w:sz w:val="21"/>
                <w:szCs w:val="21"/>
              </w:rPr>
              <w:t>C=C</w:t>
            </w:r>
            <w:r>
              <w:rPr>
                <w:rFonts w:hint="eastAsia" w:ascii="宋体" w:hAnsi="宋体" w:eastAsia="宋体" w:cs="宋体"/>
                <w:sz w:val="21"/>
                <w:szCs w:val="21"/>
                <w:vertAlign w:val="subscript"/>
              </w:rPr>
              <w:t>1</w:t>
            </w:r>
            <w:r>
              <w:rPr>
                <w:rFonts w:hint="eastAsia" w:ascii="宋体" w:hAnsi="宋体" w:eastAsia="宋体" w:cs="宋体"/>
                <w:sz w:val="21"/>
                <w:szCs w:val="21"/>
              </w:rPr>
              <w:t>×C</w:t>
            </w:r>
            <w:r>
              <w:rPr>
                <w:rFonts w:hint="eastAsia" w:ascii="宋体" w:hAnsi="宋体" w:eastAsia="宋体" w:cs="宋体"/>
                <w:sz w:val="21"/>
                <w:szCs w:val="21"/>
                <w:vertAlign w:val="subscript"/>
              </w:rPr>
              <w:t>2</w:t>
            </w:r>
            <w:r>
              <w:rPr>
                <w:rFonts w:hint="eastAsia" w:ascii="宋体" w:hAnsi="宋体" w:eastAsia="宋体" w:cs="宋体"/>
                <w:sz w:val="21"/>
                <w:szCs w:val="21"/>
              </w:rPr>
              <w:t>×C</w:t>
            </w:r>
            <w:r>
              <w:rPr>
                <w:rFonts w:hint="eastAsia" w:ascii="宋体" w:hAnsi="宋体" w:eastAsia="宋体" w:cs="宋体"/>
                <w:sz w:val="21"/>
                <w:szCs w:val="21"/>
                <w:vertAlign w:val="subscript"/>
              </w:rPr>
              <w:t>3</w:t>
            </w:r>
          </w:p>
        </w:tc>
        <w:tc>
          <w:tcPr>
            <w:tcW w:w="1037" w:type="dxa"/>
            <w:tcBorders>
              <w:top w:val="single" w:color="000000" w:sz="6" w:space="0"/>
              <w:left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0.75</w:t>
            </w:r>
          </w:p>
        </w:tc>
        <w:tc>
          <w:tcPr>
            <w:tcW w:w="3708" w:type="dxa"/>
            <w:tcBorders>
              <w:top w:val="single" w:color="000000" w:sz="6" w:space="0"/>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C=0.8</w:t>
            </w:r>
            <w:r>
              <w:rPr>
                <w:rFonts w:hint="eastAsia" w:ascii="宋体" w:hAnsi="宋体" w:eastAsia="宋体" w:cs="宋体"/>
                <w:sz w:val="21"/>
                <w:szCs w:val="21"/>
                <w:lang w:val="en-US"/>
              </w:rPr>
              <w:t>8</w:t>
            </w:r>
            <w:r>
              <w:rPr>
                <w:rFonts w:hint="eastAsia" w:ascii="宋体" w:hAnsi="宋体" w:eastAsia="宋体" w:cs="宋体"/>
                <w:sz w:val="21"/>
                <w:szCs w:val="21"/>
              </w:rPr>
              <w:t>×</w:t>
            </w:r>
            <w:r>
              <w:rPr>
                <w:rFonts w:hint="eastAsia" w:ascii="宋体" w:hAnsi="宋体" w:eastAsia="宋体" w:cs="宋体"/>
                <w:sz w:val="21"/>
                <w:szCs w:val="21"/>
                <w:lang w:val="en-US"/>
              </w:rPr>
              <w:t>1</w:t>
            </w:r>
            <w:r>
              <w:rPr>
                <w:rFonts w:hint="eastAsia" w:ascii="宋体" w:hAnsi="宋体" w:eastAsia="宋体" w:cs="宋体"/>
                <w:sz w:val="21"/>
                <w:szCs w:val="21"/>
              </w:rPr>
              <w:t>×0.</w:t>
            </w:r>
            <w:r>
              <w:rPr>
                <w:rFonts w:hint="eastAsia" w:ascii="宋体" w:hAnsi="宋体" w:eastAsia="宋体" w:cs="宋体"/>
                <w:sz w:val="21"/>
                <w:szCs w:val="21"/>
                <w:lang w:val="en-US"/>
              </w:rPr>
              <w:t>85</w:t>
            </w:r>
            <w:r>
              <w:rPr>
                <w:rFonts w:hint="eastAsia" w:ascii="宋体" w:hAnsi="宋体" w:eastAsia="宋体" w:cs="宋体"/>
                <w:sz w:val="21"/>
                <w:szCs w:val="21"/>
              </w:rPr>
              <w:t>=0.75</w:t>
            </w:r>
          </w:p>
        </w:tc>
      </w:tr>
    </w:tbl>
    <w:p>
      <w:pPr>
        <w:pageBreakBefore w:val="0"/>
        <w:widowControl w:val="0"/>
        <w:kinsoku/>
        <w:wordWrap/>
        <w:overflowPunct/>
        <w:topLinePunct w:val="0"/>
        <w:bidi w:val="0"/>
        <w:adjustRightInd/>
        <w:snapToGrid/>
        <w:spacing w:line="560" w:lineRule="exact"/>
        <w:ind w:firstLine="440" w:firstLineChars="200"/>
        <w:textAlignment w:val="auto"/>
        <w:rPr>
          <w:rFonts w:hint="eastAsia" w:ascii="宋体" w:hAnsi="宋体" w:eastAsia="宋体" w:cs="宋体"/>
        </w:rPr>
      </w:pPr>
      <w:r>
        <w:rPr>
          <w:rFonts w:hint="eastAsia" w:ascii="宋体" w:hAnsi="宋体" w:eastAsia="宋体" w:cs="宋体"/>
        </w:rPr>
        <w:t>备注：无安全补偿系数时，填入1.00</w:t>
      </w:r>
    </w:p>
    <w:p>
      <w:pPr>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计算补偿后的火灾、爆炸危险指数:</w:t>
      </w:r>
    </w:p>
    <w:p>
      <w:pPr>
        <w:pageBreakBefore w:val="0"/>
        <w:widowControl w:val="0"/>
        <w:kinsoku/>
        <w:wordWrap/>
        <w:overflowPunct/>
        <w:topLinePunct w:val="0"/>
        <w:bidi w:val="0"/>
        <w:adjustRightInd/>
        <w:snapToGrid/>
        <w:spacing w:line="560" w:lineRule="exact"/>
        <w:ind w:firstLine="1120" w:firstLineChars="400"/>
        <w:jc w:val="both"/>
        <w:textAlignment w:val="auto"/>
        <w:rPr>
          <w:rFonts w:hint="eastAsia" w:ascii="宋体" w:hAnsi="宋体" w:eastAsia="宋体" w:cs="宋体"/>
          <w:sz w:val="28"/>
          <w:szCs w:val="28"/>
          <w:lang w:val="en-US"/>
        </w:rPr>
      </w:pPr>
      <w:r>
        <w:rPr>
          <w:rFonts w:hint="eastAsia" w:ascii="宋体" w:hAnsi="宋体" w:eastAsia="宋体" w:cs="宋体"/>
          <w:sz w:val="28"/>
          <w:szCs w:val="28"/>
        </w:rPr>
        <w:t>储罐区：F&amp;EI′＝96×</w:t>
      </w:r>
      <w:r>
        <w:rPr>
          <w:rFonts w:hint="eastAsia" w:ascii="宋体" w:hAnsi="宋体" w:eastAsia="宋体" w:cs="宋体"/>
          <w:sz w:val="28"/>
          <w:szCs w:val="28"/>
          <w:lang w:val="en-US"/>
        </w:rPr>
        <w:t>0.75</w:t>
      </w:r>
      <w:r>
        <w:rPr>
          <w:rFonts w:hint="eastAsia" w:ascii="宋体" w:hAnsi="宋体" w:eastAsia="宋体" w:cs="宋体"/>
          <w:sz w:val="28"/>
          <w:szCs w:val="28"/>
        </w:rPr>
        <w:t>=</w:t>
      </w:r>
      <w:r>
        <w:rPr>
          <w:rFonts w:hint="eastAsia" w:ascii="宋体" w:hAnsi="宋体" w:eastAsia="宋体" w:cs="宋体"/>
          <w:sz w:val="28"/>
          <w:szCs w:val="28"/>
          <w:lang w:val="en-US"/>
        </w:rPr>
        <w:t>72</w:t>
      </w:r>
    </w:p>
    <w:p>
      <w:pPr>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计算补偿后的暴露半径和暴露区域</w:t>
      </w:r>
    </w:p>
    <w:p>
      <w:pPr>
        <w:pageBreakBefore w:val="0"/>
        <w:widowControl w:val="0"/>
        <w:kinsoku/>
        <w:wordWrap/>
        <w:overflowPunct/>
        <w:topLinePunct w:val="0"/>
        <w:bidi w:val="0"/>
        <w:adjustRightInd/>
        <w:snapToGrid/>
        <w:spacing w:line="56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暴露半径R′表明了生产单元危险区域的平面分布。暴露区域面积S′是以泄漏点（包括排气口、连接处等部位）为中心，以暴露半径R′为半径的圆。计算得储罐区的暴露半径和暴露面积如下：</w:t>
      </w:r>
    </w:p>
    <w:p>
      <w:pPr>
        <w:pageBreakBefore w:val="0"/>
        <w:widowControl w:val="0"/>
        <w:kinsoku/>
        <w:wordWrap/>
        <w:overflowPunct/>
        <w:topLinePunct w:val="0"/>
        <w:bidi w:val="0"/>
        <w:adjustRightInd/>
        <w:snapToGrid/>
        <w:spacing w:line="560" w:lineRule="exact"/>
        <w:ind w:left="840"/>
        <w:jc w:val="both"/>
        <w:textAlignment w:val="auto"/>
        <w:rPr>
          <w:rFonts w:hint="eastAsia" w:ascii="宋体" w:hAnsi="宋体" w:eastAsia="宋体" w:cs="宋体"/>
          <w:sz w:val="28"/>
          <w:szCs w:val="28"/>
        </w:rPr>
      </w:pPr>
      <w:r>
        <w:rPr>
          <w:rFonts w:hint="eastAsia" w:ascii="宋体" w:hAnsi="宋体" w:eastAsia="宋体" w:cs="宋体"/>
          <w:sz w:val="28"/>
          <w:szCs w:val="28"/>
        </w:rPr>
        <w:t>暴露半径：R′=0.256×F&amp;EI′=</w:t>
      </w:r>
      <w:r>
        <w:rPr>
          <w:rFonts w:hint="eastAsia" w:ascii="宋体" w:hAnsi="宋体" w:eastAsia="宋体" w:cs="宋体"/>
          <w:sz w:val="28"/>
          <w:szCs w:val="28"/>
          <w:lang w:val="en-US"/>
        </w:rPr>
        <w:t>18.43</w:t>
      </w:r>
      <w:r>
        <w:rPr>
          <w:rFonts w:hint="eastAsia" w:ascii="宋体" w:hAnsi="宋体" w:eastAsia="宋体" w:cs="宋体"/>
          <w:sz w:val="28"/>
          <w:szCs w:val="28"/>
        </w:rPr>
        <w:t>m</w:t>
      </w:r>
    </w:p>
    <w:p>
      <w:pPr>
        <w:pageBreakBefore w:val="0"/>
        <w:widowControl w:val="0"/>
        <w:kinsoku/>
        <w:wordWrap/>
        <w:overflowPunct/>
        <w:topLinePunct w:val="0"/>
        <w:bidi w:val="0"/>
        <w:adjustRightInd/>
        <w:snapToGrid/>
        <w:spacing w:line="560" w:lineRule="exact"/>
        <w:ind w:left="840"/>
        <w:jc w:val="both"/>
        <w:textAlignment w:val="auto"/>
        <w:rPr>
          <w:rFonts w:hint="eastAsia" w:ascii="宋体" w:hAnsi="宋体" w:eastAsia="宋体" w:cs="宋体"/>
          <w:sz w:val="28"/>
          <w:szCs w:val="28"/>
        </w:rPr>
      </w:pPr>
      <w:r>
        <w:rPr>
          <w:rFonts w:hint="eastAsia" w:ascii="宋体" w:hAnsi="宋体" w:eastAsia="宋体" w:cs="宋体"/>
          <w:sz w:val="28"/>
          <w:szCs w:val="28"/>
        </w:rPr>
        <w:t>暴露面积：S′=πR′</w:t>
      </w:r>
      <w:r>
        <w:rPr>
          <w:rFonts w:hint="eastAsia" w:ascii="宋体" w:hAnsi="宋体" w:eastAsia="宋体" w:cs="宋体"/>
          <w:sz w:val="28"/>
          <w:szCs w:val="28"/>
          <w:vertAlign w:val="superscript"/>
        </w:rPr>
        <w:t>2</w:t>
      </w:r>
      <w:r>
        <w:rPr>
          <w:rFonts w:hint="eastAsia" w:ascii="宋体" w:hAnsi="宋体" w:eastAsia="宋体" w:cs="宋体"/>
          <w:sz w:val="28"/>
          <w:szCs w:val="28"/>
        </w:rPr>
        <w:t>=</w:t>
      </w:r>
      <w:r>
        <w:rPr>
          <w:rFonts w:hint="eastAsia" w:ascii="宋体" w:hAnsi="宋体" w:eastAsia="宋体" w:cs="宋体"/>
          <w:sz w:val="28"/>
          <w:szCs w:val="28"/>
          <w:lang w:val="en-US"/>
        </w:rPr>
        <w:t>1066.5</w:t>
      </w:r>
      <w:r>
        <w:rPr>
          <w:rFonts w:hint="eastAsia" w:ascii="宋体" w:hAnsi="宋体" w:eastAsia="宋体" w:cs="宋体"/>
          <w:sz w:val="28"/>
          <w:szCs w:val="28"/>
        </w:rPr>
        <w:t>m</w:t>
      </w:r>
      <w:r>
        <w:rPr>
          <w:rFonts w:hint="eastAsia" w:ascii="宋体" w:hAnsi="宋体" w:eastAsia="宋体" w:cs="宋体"/>
          <w:sz w:val="28"/>
          <w:szCs w:val="28"/>
          <w:vertAlign w:val="superscript"/>
        </w:rPr>
        <w:t>2</w:t>
      </w:r>
    </w:p>
    <w:p>
      <w:pPr>
        <w:pageBreakBefore w:val="0"/>
        <w:widowControl w:val="0"/>
        <w:kinsoku/>
        <w:wordWrap/>
        <w:overflowPunct/>
        <w:topLinePunct w:val="0"/>
        <w:bidi w:val="0"/>
        <w:adjustRightInd/>
        <w:snapToGrid/>
        <w:spacing w:line="560" w:lineRule="exact"/>
        <w:ind w:left="840"/>
        <w:jc w:val="both"/>
        <w:textAlignment w:val="auto"/>
        <w:rPr>
          <w:rFonts w:hint="eastAsia" w:ascii="宋体" w:hAnsi="宋体" w:eastAsia="宋体" w:cs="宋体"/>
          <w:sz w:val="28"/>
          <w:szCs w:val="28"/>
        </w:rPr>
      </w:pPr>
      <w:r>
        <w:rPr>
          <w:rFonts w:hint="eastAsia" w:ascii="宋体" w:hAnsi="宋体" w:eastAsia="宋体" w:cs="宋体"/>
          <w:sz w:val="28"/>
          <w:szCs w:val="28"/>
        </w:rPr>
        <w:t>备注：0.256为道化学火灾、爆炸危险指数法特定的折算系数。</w:t>
      </w:r>
    </w:p>
    <w:p>
      <w:pPr>
        <w:pageBreakBefore w:val="0"/>
        <w:widowControl w:val="0"/>
        <w:kinsoku/>
        <w:wordWrap/>
        <w:overflowPunct/>
        <w:topLinePunct w:val="0"/>
        <w:bidi w:val="0"/>
        <w:adjustRightInd/>
        <w:snapToGrid/>
        <w:spacing w:line="560" w:lineRule="exact"/>
        <w:ind w:left="84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eastAsia="zh-CN"/>
        </w:rPr>
        <w:t>补偿后的破坏系数：</w:t>
      </w:r>
      <w:r>
        <w:rPr>
          <w:rFonts w:hint="eastAsia" w:ascii="宋体" w:hAnsi="宋体" w:eastAsia="宋体" w:cs="宋体"/>
          <w:sz w:val="28"/>
          <w:szCs w:val="28"/>
          <w:lang w:val="en-US" w:eastAsia="zh-CN"/>
        </w:rPr>
        <w:t>0.68</w:t>
      </w:r>
      <w:r>
        <w:rPr>
          <w:rFonts w:hint="eastAsia" w:ascii="宋体" w:hAnsi="宋体" w:eastAsia="宋体" w:cs="宋体"/>
          <w:sz w:val="28"/>
          <w:szCs w:val="28"/>
        </w:rPr>
        <w:t>×</w:t>
      </w:r>
      <w:r>
        <w:rPr>
          <w:rFonts w:hint="eastAsia" w:ascii="宋体" w:hAnsi="宋体" w:eastAsia="宋体" w:cs="宋体"/>
          <w:sz w:val="28"/>
          <w:szCs w:val="28"/>
          <w:lang w:val="en-US" w:eastAsia="zh-CN"/>
        </w:rPr>
        <w:t>0.75=0.51</w:t>
      </w:r>
    </w:p>
    <w:p>
      <w:pPr>
        <w:pStyle w:val="4"/>
        <w:pageBreakBefore w:val="0"/>
        <w:widowControl w:val="0"/>
        <w:kinsoku/>
        <w:wordWrap/>
        <w:overflowPunct/>
        <w:topLinePunct w:val="0"/>
        <w:bidi w:val="0"/>
        <w:adjustRightInd/>
        <w:snapToGrid/>
        <w:spacing w:before="240" w:beforeLines="100" w:after="240" w:afterLines="100" w:line="560" w:lineRule="exact"/>
        <w:ind w:firstLine="562" w:firstLineChars="200"/>
        <w:textAlignment w:val="auto"/>
        <w:rPr>
          <w:rFonts w:hint="eastAsia" w:ascii="宋体" w:hAnsi="宋体" w:eastAsia="宋体" w:cs="宋体"/>
          <w:sz w:val="28"/>
          <w:szCs w:val="28"/>
          <w:lang w:val="en-US"/>
        </w:rPr>
      </w:pPr>
      <w:bookmarkStart w:id="921" w:name="_Toc3823_WPSOffice_Level3"/>
      <w:bookmarkStart w:id="922" w:name="_Toc30525_WPSOffice_Level3"/>
      <w:r>
        <w:rPr>
          <w:rFonts w:hint="eastAsia" w:ascii="宋体" w:hAnsi="宋体" w:eastAsia="宋体" w:cs="宋体"/>
          <w:sz w:val="28"/>
          <w:szCs w:val="28"/>
          <w:lang w:val="en-US"/>
        </w:rPr>
        <w:t>4.9.2 火灾、爆炸危险性评价分析汇总</w:t>
      </w:r>
      <w:bookmarkEnd w:id="921"/>
      <w:bookmarkEnd w:id="922"/>
    </w:p>
    <w:p>
      <w:pPr>
        <w:pageBreakBefore w:val="0"/>
        <w:widowControl w:val="0"/>
        <w:kinsoku/>
        <w:wordWrap/>
        <w:overflowPunct/>
        <w:topLinePunct w:val="0"/>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道化学火灾、爆炸危险指数法计算结果汇总于表</w:t>
      </w:r>
      <w:r>
        <w:rPr>
          <w:rFonts w:hint="eastAsia" w:ascii="宋体" w:hAnsi="宋体" w:eastAsia="宋体" w:cs="宋体"/>
          <w:sz w:val="28"/>
          <w:szCs w:val="28"/>
          <w:lang w:val="en-US"/>
        </w:rPr>
        <w:t>4.9</w:t>
      </w:r>
      <w:r>
        <w:rPr>
          <w:rFonts w:hint="eastAsia" w:ascii="宋体" w:hAnsi="宋体" w:eastAsia="宋体" w:cs="宋体"/>
          <w:sz w:val="28"/>
          <w:szCs w:val="28"/>
        </w:rPr>
        <w:t>-3。</w:t>
      </w:r>
    </w:p>
    <w:p>
      <w:pPr>
        <w:pageBreakBefore w:val="0"/>
        <w:widowControl w:val="0"/>
        <w:kinsoku/>
        <w:wordWrap/>
        <w:overflowPunct/>
        <w:topLinePunct w:val="0"/>
        <w:bidi w:val="0"/>
        <w:adjustRightInd/>
        <w:snapToGrid/>
        <w:spacing w:line="560" w:lineRule="exact"/>
        <w:jc w:val="center"/>
        <w:textAlignment w:val="auto"/>
        <w:rPr>
          <w:rFonts w:hint="eastAsia" w:ascii="宋体" w:hAnsi="宋体" w:eastAsia="宋体" w:cs="宋体"/>
          <w:sz w:val="24"/>
          <w:szCs w:val="24"/>
        </w:rPr>
      </w:pPr>
      <w:bookmarkStart w:id="923" w:name="_Toc1342_WPSOffice_Level2"/>
      <w:bookmarkStart w:id="924" w:name="_Toc20648_WPSOffice_Level2"/>
      <w:bookmarkStart w:id="925" w:name="_Toc26700_WPSOffice_Level2"/>
      <w:r>
        <w:rPr>
          <w:rFonts w:hint="eastAsia" w:ascii="宋体" w:hAnsi="宋体" w:eastAsia="宋体" w:cs="宋体"/>
          <w:sz w:val="28"/>
          <w:szCs w:val="28"/>
        </w:rPr>
        <w:t>附表</w:t>
      </w:r>
      <w:r>
        <w:rPr>
          <w:rFonts w:hint="eastAsia" w:ascii="宋体" w:hAnsi="宋体" w:eastAsia="宋体" w:cs="宋体"/>
          <w:sz w:val="28"/>
          <w:szCs w:val="28"/>
          <w:lang w:val="en-US"/>
        </w:rPr>
        <w:t>4.9</w:t>
      </w:r>
      <w:r>
        <w:rPr>
          <w:rFonts w:hint="eastAsia" w:ascii="宋体" w:hAnsi="宋体" w:eastAsia="宋体" w:cs="宋体"/>
          <w:sz w:val="28"/>
          <w:szCs w:val="28"/>
        </w:rPr>
        <w:t>-3</w:t>
      </w:r>
      <w:r>
        <w:rPr>
          <w:rFonts w:hint="eastAsia" w:ascii="宋体" w:hAnsi="宋体" w:eastAsia="宋体" w:cs="宋体"/>
          <w:sz w:val="28"/>
          <w:szCs w:val="28"/>
          <w:lang w:val="en-US"/>
        </w:rPr>
        <w:t xml:space="preserve"> </w:t>
      </w:r>
      <w:r>
        <w:rPr>
          <w:rFonts w:hint="eastAsia" w:ascii="宋体" w:hAnsi="宋体" w:eastAsia="宋体" w:cs="宋体"/>
          <w:sz w:val="28"/>
          <w:szCs w:val="28"/>
        </w:rPr>
        <w:t>火灾、爆炸危险指数危险性分析汇总表</w:t>
      </w:r>
      <w:bookmarkEnd w:id="923"/>
      <w:bookmarkEnd w:id="924"/>
      <w:bookmarkEnd w:id="925"/>
    </w:p>
    <w:tbl>
      <w:tblPr>
        <w:tblStyle w:val="21"/>
        <w:tblW w:w="9159" w:type="dxa"/>
        <w:jc w:val="center"/>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5373"/>
        <w:gridCol w:w="3786"/>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2" w:hRule="atLeast"/>
          <w:jc w:val="center"/>
        </w:trPr>
        <w:tc>
          <w:tcPr>
            <w:tcW w:w="5373" w:type="dxa"/>
            <w:tcBorders>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项</w:t>
            </w:r>
            <w:r>
              <w:rPr>
                <w:rFonts w:hint="eastAsia" w:ascii="宋体" w:hAnsi="宋体" w:eastAsia="宋体" w:cs="宋体"/>
                <w:sz w:val="21"/>
                <w:szCs w:val="21"/>
              </w:rPr>
              <w:tab/>
            </w:r>
            <w:r>
              <w:rPr>
                <w:rFonts w:hint="eastAsia" w:ascii="宋体" w:hAnsi="宋体" w:eastAsia="宋体" w:cs="宋体"/>
                <w:sz w:val="21"/>
                <w:szCs w:val="21"/>
              </w:rPr>
              <w:t>目</w:t>
            </w:r>
          </w:p>
        </w:tc>
        <w:tc>
          <w:tcPr>
            <w:tcW w:w="3786" w:type="dxa"/>
            <w:tcBorders>
              <w:left w:val="single" w:color="000000" w:sz="6" w:space="0"/>
              <w:bottom w:val="single" w:color="000000" w:sz="6" w:space="0"/>
            </w:tcBorders>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50m</w:t>
            </w:r>
            <w:r>
              <w:rPr>
                <w:rFonts w:hint="eastAsia" w:ascii="宋体" w:hAnsi="宋体" w:eastAsia="宋体" w:cs="宋体"/>
                <w:sz w:val="21"/>
                <w:szCs w:val="21"/>
                <w:vertAlign w:val="superscript"/>
                <w:lang w:val="en-US" w:eastAsia="zh-CN"/>
              </w:rPr>
              <w:t>3</w:t>
            </w:r>
            <w:r>
              <w:rPr>
                <w:rFonts w:hint="eastAsia" w:ascii="宋体" w:hAnsi="宋体" w:eastAsia="宋体" w:cs="宋体"/>
                <w:sz w:val="21"/>
                <w:szCs w:val="21"/>
                <w:lang w:val="en-US" w:eastAsia="zh-CN"/>
              </w:rPr>
              <w:t>汽油槽车</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5" w:hRule="atLeast"/>
          <w:jc w:val="center"/>
        </w:trPr>
        <w:tc>
          <w:tcPr>
            <w:tcW w:w="5373" w:type="dxa"/>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代表物质</w:t>
            </w:r>
          </w:p>
        </w:tc>
        <w:tc>
          <w:tcPr>
            <w:tcW w:w="3786" w:type="dxa"/>
            <w:tcBorders>
              <w:top w:val="single" w:color="000000" w:sz="6" w:space="0"/>
              <w:left w:val="single" w:color="000000" w:sz="6" w:space="0"/>
              <w:bottom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汽油</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2" w:hRule="atLeast"/>
          <w:jc w:val="center"/>
        </w:trPr>
        <w:tc>
          <w:tcPr>
            <w:tcW w:w="5373" w:type="dxa"/>
            <w:tcBorders>
              <w:top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代表物质的物质系数（MF）</w:t>
            </w:r>
          </w:p>
        </w:tc>
        <w:tc>
          <w:tcPr>
            <w:tcW w:w="3786" w:type="dxa"/>
            <w:tcBorders>
              <w:top w:val="single" w:color="000000" w:sz="6" w:space="0"/>
              <w:lef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16</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3" w:hRule="atLeast"/>
          <w:jc w:val="center"/>
        </w:trPr>
        <w:tc>
          <w:tcPr>
            <w:tcW w:w="5373" w:type="dxa"/>
            <w:tcBorders>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火灾、爆炸危险指数（F&amp;EI）</w:t>
            </w:r>
          </w:p>
        </w:tc>
        <w:tc>
          <w:tcPr>
            <w:tcW w:w="3786" w:type="dxa"/>
            <w:tcBorders>
              <w:left w:val="single" w:color="000000" w:sz="6" w:space="0"/>
              <w:bottom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96</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5" w:hRule="atLeast"/>
          <w:jc w:val="center"/>
        </w:trPr>
        <w:tc>
          <w:tcPr>
            <w:tcW w:w="5373" w:type="dxa"/>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暴露半径（m）</w:t>
            </w:r>
          </w:p>
        </w:tc>
        <w:tc>
          <w:tcPr>
            <w:tcW w:w="3786" w:type="dxa"/>
            <w:tcBorders>
              <w:top w:val="single" w:color="000000" w:sz="6" w:space="0"/>
              <w:left w:val="single" w:color="000000" w:sz="6" w:space="0"/>
              <w:bottom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24.6</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3" w:hRule="atLeast"/>
          <w:jc w:val="center"/>
        </w:trPr>
        <w:tc>
          <w:tcPr>
            <w:tcW w:w="5373" w:type="dxa"/>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暴露面积（m</w:t>
            </w:r>
            <w:r>
              <w:rPr>
                <w:rFonts w:hint="eastAsia" w:ascii="宋体" w:hAnsi="宋体" w:eastAsia="宋体" w:cs="宋体"/>
                <w:sz w:val="21"/>
                <w:szCs w:val="21"/>
                <w:vertAlign w:val="superscript"/>
              </w:rPr>
              <w:t>2</w:t>
            </w:r>
            <w:r>
              <w:rPr>
                <w:rFonts w:hint="eastAsia" w:ascii="宋体" w:hAnsi="宋体" w:eastAsia="宋体" w:cs="宋体"/>
                <w:sz w:val="21"/>
                <w:szCs w:val="21"/>
              </w:rPr>
              <w:t>）</w:t>
            </w:r>
          </w:p>
        </w:tc>
        <w:tc>
          <w:tcPr>
            <w:tcW w:w="3786" w:type="dxa"/>
            <w:tcBorders>
              <w:top w:val="single" w:color="000000" w:sz="6" w:space="0"/>
              <w:left w:val="single" w:color="000000" w:sz="6" w:space="0"/>
              <w:bottom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1900</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5" w:hRule="atLeast"/>
          <w:jc w:val="center"/>
        </w:trPr>
        <w:tc>
          <w:tcPr>
            <w:tcW w:w="5373" w:type="dxa"/>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破坏系数（DF）</w:t>
            </w:r>
          </w:p>
        </w:tc>
        <w:tc>
          <w:tcPr>
            <w:tcW w:w="3786" w:type="dxa"/>
            <w:tcBorders>
              <w:top w:val="single" w:color="000000" w:sz="6" w:space="0"/>
              <w:left w:val="single" w:color="000000" w:sz="6" w:space="0"/>
              <w:bottom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0.6</w:t>
            </w:r>
            <w:r>
              <w:rPr>
                <w:rFonts w:hint="eastAsia" w:ascii="宋体" w:hAnsi="宋体" w:eastAsia="宋体" w:cs="宋体"/>
                <w:sz w:val="21"/>
                <w:szCs w:val="21"/>
                <w:lang w:val="en-US"/>
              </w:rPr>
              <w:t>8</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2" w:hRule="atLeast"/>
          <w:jc w:val="center"/>
        </w:trPr>
        <w:tc>
          <w:tcPr>
            <w:tcW w:w="5373" w:type="dxa"/>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安全措施补偿系数C</w:t>
            </w:r>
          </w:p>
        </w:tc>
        <w:tc>
          <w:tcPr>
            <w:tcW w:w="3786" w:type="dxa"/>
            <w:tcBorders>
              <w:top w:val="single" w:color="000000" w:sz="6" w:space="0"/>
              <w:left w:val="single" w:color="000000" w:sz="6" w:space="0"/>
              <w:bottom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0.75</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2" w:hRule="atLeast"/>
          <w:jc w:val="center"/>
        </w:trPr>
        <w:tc>
          <w:tcPr>
            <w:tcW w:w="5373" w:type="dxa"/>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补偿后的火灾、爆炸危险指数（F&amp;EI）</w:t>
            </w:r>
          </w:p>
        </w:tc>
        <w:tc>
          <w:tcPr>
            <w:tcW w:w="3786" w:type="dxa"/>
            <w:tcBorders>
              <w:top w:val="single" w:color="000000" w:sz="6" w:space="0"/>
              <w:left w:val="single" w:color="000000" w:sz="6" w:space="0"/>
              <w:bottom w:val="single" w:color="000000" w:sz="6" w:space="0"/>
            </w:tcBorders>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lang w:val="en-US"/>
              </w:rPr>
              <w:t>72</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2" w:hRule="atLeast"/>
          <w:jc w:val="center"/>
        </w:trPr>
        <w:tc>
          <w:tcPr>
            <w:tcW w:w="5373" w:type="dxa"/>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补偿后的暴露半径（m）</w:t>
            </w:r>
          </w:p>
        </w:tc>
        <w:tc>
          <w:tcPr>
            <w:tcW w:w="3786" w:type="dxa"/>
            <w:tcBorders>
              <w:top w:val="single" w:color="000000" w:sz="6" w:space="0"/>
              <w:left w:val="single" w:color="000000" w:sz="6" w:space="0"/>
              <w:bottom w:val="single" w:color="000000" w:sz="6" w:space="0"/>
            </w:tcBorders>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lang w:val="en-US"/>
              </w:rPr>
              <w:t>18.4</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2" w:hRule="atLeast"/>
          <w:jc w:val="center"/>
        </w:trPr>
        <w:tc>
          <w:tcPr>
            <w:tcW w:w="5373" w:type="dxa"/>
            <w:tcBorders>
              <w:top w:val="single" w:color="000000" w:sz="6" w:space="0"/>
              <w:bottom w:val="single" w:color="000000" w:sz="6" w:space="0"/>
              <w:right w:val="single" w:color="000000" w:sz="6"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rPr>
              <w:t>补偿后的暴露面积（m</w:t>
            </w:r>
            <w:r>
              <w:rPr>
                <w:rFonts w:hint="eastAsia" w:ascii="宋体" w:hAnsi="宋体" w:eastAsia="宋体" w:cs="宋体"/>
                <w:sz w:val="21"/>
                <w:szCs w:val="21"/>
                <w:vertAlign w:val="superscript"/>
              </w:rPr>
              <w:t>2</w:t>
            </w:r>
            <w:r>
              <w:rPr>
                <w:rFonts w:hint="eastAsia" w:ascii="宋体" w:hAnsi="宋体" w:eastAsia="宋体" w:cs="宋体"/>
                <w:sz w:val="21"/>
                <w:szCs w:val="21"/>
              </w:rPr>
              <w:t>）</w:t>
            </w:r>
          </w:p>
        </w:tc>
        <w:tc>
          <w:tcPr>
            <w:tcW w:w="3786" w:type="dxa"/>
            <w:tcBorders>
              <w:top w:val="single" w:color="000000" w:sz="6" w:space="0"/>
              <w:left w:val="single" w:color="000000" w:sz="6" w:space="0"/>
              <w:bottom w:val="single" w:color="000000" w:sz="6" w:space="0"/>
            </w:tcBorders>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lang w:val="en-US"/>
              </w:rPr>
              <w:t>1066.5</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2" w:hRule="atLeast"/>
          <w:jc w:val="center"/>
        </w:trPr>
        <w:tc>
          <w:tcPr>
            <w:tcW w:w="5373" w:type="dxa"/>
            <w:tcBorders>
              <w:top w:val="single" w:color="000000" w:sz="6" w:space="0"/>
              <w:right w:val="single" w:color="000000" w:sz="6" w:space="0"/>
            </w:tcBorders>
            <w:vAlign w:val="center"/>
          </w:tcPr>
          <w:p>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补偿后破坏系数</w:t>
            </w:r>
          </w:p>
        </w:tc>
        <w:tc>
          <w:tcPr>
            <w:tcW w:w="3786" w:type="dxa"/>
            <w:tcBorders>
              <w:top w:val="single" w:color="000000" w:sz="6" w:space="0"/>
              <w:left w:val="single" w:color="000000" w:sz="6" w:space="0"/>
            </w:tcBorders>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0.51</w:t>
            </w:r>
          </w:p>
        </w:tc>
      </w:tr>
    </w:tbl>
    <w:p>
      <w:pPr>
        <w:ind w:firstLine="442" w:firstLineChars="200"/>
        <w:rPr>
          <w:rFonts w:hint="eastAsia" w:ascii="宋体" w:hAnsi="宋体" w:eastAsia="宋体" w:cs="宋体"/>
          <w:b/>
        </w:rPr>
      </w:pPr>
    </w:p>
    <w:p>
      <w:pPr>
        <w:ind w:left="2160" w:firstLine="719" w:firstLineChars="257"/>
        <w:rPr>
          <w:rFonts w:hint="eastAsia" w:ascii="宋体" w:hAnsi="宋体" w:eastAsia="宋体" w:cs="宋体"/>
          <w:sz w:val="28"/>
          <w:szCs w:val="28"/>
        </w:rPr>
      </w:pPr>
      <w:bookmarkStart w:id="926" w:name="_Toc19030_WPSOffice_Level2"/>
      <w:bookmarkStart w:id="927" w:name="_Toc28459_WPSOffice_Level2"/>
      <w:bookmarkStart w:id="928" w:name="_Toc10804_WPSOffice_Level2"/>
      <w:r>
        <w:rPr>
          <w:rFonts w:hint="eastAsia" w:ascii="宋体" w:hAnsi="宋体" w:eastAsia="宋体" w:cs="宋体"/>
          <w:sz w:val="28"/>
          <w:szCs w:val="28"/>
        </w:rPr>
        <w:t>附表</w:t>
      </w:r>
      <w:r>
        <w:rPr>
          <w:rFonts w:hint="eastAsia" w:ascii="宋体" w:hAnsi="宋体" w:eastAsia="宋体" w:cs="宋体"/>
          <w:sz w:val="28"/>
          <w:szCs w:val="28"/>
          <w:lang w:val="en-US"/>
        </w:rPr>
        <w:t>4.9</w:t>
      </w:r>
      <w:r>
        <w:rPr>
          <w:rFonts w:hint="eastAsia" w:ascii="宋体" w:hAnsi="宋体" w:eastAsia="宋体" w:cs="宋体"/>
          <w:sz w:val="28"/>
          <w:szCs w:val="28"/>
        </w:rPr>
        <w:t>-</w:t>
      </w:r>
      <w:r>
        <w:rPr>
          <w:rFonts w:hint="eastAsia" w:ascii="宋体" w:hAnsi="宋体" w:eastAsia="宋体" w:cs="宋体"/>
          <w:sz w:val="28"/>
          <w:szCs w:val="28"/>
          <w:lang w:val="en-US" w:eastAsia="zh-CN"/>
        </w:rPr>
        <w:t>4</w:t>
      </w:r>
      <w:r>
        <w:rPr>
          <w:rFonts w:hint="eastAsia" w:ascii="宋体" w:hAnsi="宋体" w:eastAsia="宋体" w:cs="宋体"/>
          <w:sz w:val="28"/>
          <w:szCs w:val="28"/>
          <w:lang w:val="en-US"/>
        </w:rPr>
        <w:t xml:space="preserve"> </w:t>
      </w:r>
      <w:r>
        <w:rPr>
          <w:rFonts w:hint="eastAsia" w:ascii="宋体" w:hAnsi="宋体" w:eastAsia="宋体" w:cs="宋体"/>
          <w:sz w:val="28"/>
          <w:szCs w:val="28"/>
        </w:rPr>
        <w:t>F&amp;EI及危险等级</w:t>
      </w:r>
      <w:bookmarkEnd w:id="926"/>
      <w:bookmarkEnd w:id="927"/>
      <w:bookmarkEnd w:id="928"/>
    </w:p>
    <w:tbl>
      <w:tblPr>
        <w:tblStyle w:val="21"/>
        <w:tblW w:w="9159" w:type="dxa"/>
        <w:jc w:val="center"/>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603"/>
        <w:gridCol w:w="1484"/>
        <w:gridCol w:w="1553"/>
        <w:gridCol w:w="1557"/>
        <w:gridCol w:w="1555"/>
        <w:gridCol w:w="1407"/>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3" w:hRule="atLeast"/>
          <w:jc w:val="center"/>
        </w:trPr>
        <w:tc>
          <w:tcPr>
            <w:tcW w:w="1603" w:type="dxa"/>
            <w:tcBorders>
              <w:bottom w:val="single" w:color="000000" w:sz="6" w:space="0"/>
              <w:right w:val="single" w:color="000000" w:sz="6" w:space="0"/>
            </w:tcBorders>
          </w:tcPr>
          <w:p>
            <w:pPr>
              <w:ind w:firstLine="420" w:firstLineChars="200"/>
              <w:rPr>
                <w:rFonts w:hint="eastAsia" w:ascii="宋体" w:hAnsi="宋体" w:eastAsia="宋体" w:cs="宋体"/>
                <w:sz w:val="21"/>
                <w:szCs w:val="21"/>
              </w:rPr>
            </w:pPr>
            <w:r>
              <w:rPr>
                <w:rFonts w:hint="eastAsia" w:ascii="宋体" w:hAnsi="宋体" w:eastAsia="宋体" w:cs="宋体"/>
                <w:sz w:val="21"/>
                <w:szCs w:val="21"/>
              </w:rPr>
              <w:t>F&amp;EI 值</w:t>
            </w:r>
          </w:p>
        </w:tc>
        <w:tc>
          <w:tcPr>
            <w:tcW w:w="1484" w:type="dxa"/>
            <w:tcBorders>
              <w:left w:val="single" w:color="000000" w:sz="6" w:space="0"/>
              <w:bottom w:val="single" w:color="000000" w:sz="6" w:space="0"/>
              <w:right w:val="single" w:color="000000" w:sz="6" w:space="0"/>
            </w:tcBorders>
          </w:tcPr>
          <w:p>
            <w:pPr>
              <w:ind w:firstLine="420" w:firstLineChars="200"/>
              <w:rPr>
                <w:rFonts w:hint="eastAsia" w:ascii="宋体" w:hAnsi="宋体" w:eastAsia="宋体" w:cs="宋体"/>
                <w:sz w:val="21"/>
                <w:szCs w:val="21"/>
              </w:rPr>
            </w:pPr>
            <w:r>
              <w:rPr>
                <w:rFonts w:hint="eastAsia" w:ascii="宋体" w:hAnsi="宋体" w:eastAsia="宋体" w:cs="宋体"/>
                <w:sz w:val="21"/>
                <w:szCs w:val="21"/>
              </w:rPr>
              <w:t>1-60</w:t>
            </w:r>
          </w:p>
        </w:tc>
        <w:tc>
          <w:tcPr>
            <w:tcW w:w="1553" w:type="dxa"/>
            <w:tcBorders>
              <w:left w:val="single" w:color="000000" w:sz="6" w:space="0"/>
              <w:bottom w:val="single" w:color="000000" w:sz="6" w:space="0"/>
              <w:right w:val="single" w:color="000000" w:sz="6" w:space="0"/>
            </w:tcBorders>
          </w:tcPr>
          <w:p>
            <w:pPr>
              <w:ind w:firstLine="420" w:firstLineChars="200"/>
              <w:rPr>
                <w:rFonts w:hint="eastAsia" w:ascii="宋体" w:hAnsi="宋体" w:eastAsia="宋体" w:cs="宋体"/>
                <w:sz w:val="21"/>
                <w:szCs w:val="21"/>
              </w:rPr>
            </w:pPr>
            <w:r>
              <w:rPr>
                <w:rFonts w:hint="eastAsia" w:ascii="宋体" w:hAnsi="宋体" w:eastAsia="宋体" w:cs="宋体"/>
                <w:sz w:val="21"/>
                <w:szCs w:val="21"/>
              </w:rPr>
              <w:t>61-96</w:t>
            </w:r>
          </w:p>
        </w:tc>
        <w:tc>
          <w:tcPr>
            <w:tcW w:w="1557" w:type="dxa"/>
            <w:tcBorders>
              <w:left w:val="single" w:color="000000" w:sz="6" w:space="0"/>
              <w:bottom w:val="single" w:color="000000" w:sz="6" w:space="0"/>
              <w:right w:val="single" w:color="000000" w:sz="6" w:space="0"/>
            </w:tcBorders>
          </w:tcPr>
          <w:p>
            <w:pPr>
              <w:ind w:firstLine="420" w:firstLineChars="200"/>
              <w:rPr>
                <w:rFonts w:hint="eastAsia" w:ascii="宋体" w:hAnsi="宋体" w:eastAsia="宋体" w:cs="宋体"/>
                <w:sz w:val="21"/>
                <w:szCs w:val="21"/>
              </w:rPr>
            </w:pPr>
            <w:r>
              <w:rPr>
                <w:rFonts w:hint="eastAsia" w:ascii="宋体" w:hAnsi="宋体" w:eastAsia="宋体" w:cs="宋体"/>
                <w:sz w:val="21"/>
                <w:szCs w:val="21"/>
              </w:rPr>
              <w:t>97-127</w:t>
            </w:r>
          </w:p>
        </w:tc>
        <w:tc>
          <w:tcPr>
            <w:tcW w:w="1555" w:type="dxa"/>
            <w:tcBorders>
              <w:left w:val="single" w:color="000000" w:sz="6" w:space="0"/>
              <w:bottom w:val="single" w:color="000000" w:sz="6" w:space="0"/>
              <w:right w:val="single" w:color="000000" w:sz="6" w:space="0"/>
            </w:tcBorders>
          </w:tcPr>
          <w:p>
            <w:pPr>
              <w:ind w:firstLine="420" w:firstLineChars="200"/>
              <w:rPr>
                <w:rFonts w:hint="eastAsia" w:ascii="宋体" w:hAnsi="宋体" w:eastAsia="宋体" w:cs="宋体"/>
                <w:sz w:val="21"/>
                <w:szCs w:val="21"/>
              </w:rPr>
            </w:pPr>
            <w:r>
              <w:rPr>
                <w:rFonts w:hint="eastAsia" w:ascii="宋体" w:hAnsi="宋体" w:eastAsia="宋体" w:cs="宋体"/>
                <w:sz w:val="21"/>
                <w:szCs w:val="21"/>
              </w:rPr>
              <w:t>128-158</w:t>
            </w:r>
          </w:p>
        </w:tc>
        <w:tc>
          <w:tcPr>
            <w:tcW w:w="1407" w:type="dxa"/>
            <w:tcBorders>
              <w:left w:val="single" w:color="000000" w:sz="6" w:space="0"/>
              <w:bottom w:val="single" w:color="000000" w:sz="6" w:space="0"/>
            </w:tcBorders>
          </w:tcPr>
          <w:p>
            <w:pPr>
              <w:ind w:firstLine="420" w:firstLineChars="200"/>
              <w:rPr>
                <w:rFonts w:hint="eastAsia" w:ascii="宋体" w:hAnsi="宋体" w:eastAsia="宋体" w:cs="宋体"/>
                <w:sz w:val="21"/>
                <w:szCs w:val="21"/>
              </w:rPr>
            </w:pPr>
            <w:r>
              <w:rPr>
                <w:rFonts w:hint="eastAsia" w:ascii="宋体" w:hAnsi="宋体" w:eastAsia="宋体" w:cs="宋体"/>
                <w:sz w:val="21"/>
                <w:szCs w:val="21"/>
              </w:rPr>
              <w:t>＞158</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2" w:hRule="atLeast"/>
          <w:jc w:val="center"/>
        </w:trPr>
        <w:tc>
          <w:tcPr>
            <w:tcW w:w="1603" w:type="dxa"/>
            <w:tcBorders>
              <w:top w:val="single" w:color="000000" w:sz="6" w:space="0"/>
              <w:right w:val="single" w:color="000000" w:sz="6" w:space="0"/>
            </w:tcBorders>
          </w:tcPr>
          <w:p>
            <w:pPr>
              <w:ind w:firstLine="420" w:firstLineChars="200"/>
              <w:rPr>
                <w:rFonts w:hint="eastAsia" w:ascii="宋体" w:hAnsi="宋体" w:eastAsia="宋体" w:cs="宋体"/>
                <w:sz w:val="21"/>
                <w:szCs w:val="21"/>
              </w:rPr>
            </w:pPr>
            <w:r>
              <w:rPr>
                <w:rFonts w:hint="eastAsia" w:ascii="宋体" w:hAnsi="宋体" w:eastAsia="宋体" w:cs="宋体"/>
                <w:sz w:val="21"/>
                <w:szCs w:val="21"/>
              </w:rPr>
              <w:t>危险等级</w:t>
            </w:r>
          </w:p>
        </w:tc>
        <w:tc>
          <w:tcPr>
            <w:tcW w:w="1484" w:type="dxa"/>
            <w:tcBorders>
              <w:top w:val="single" w:color="000000" w:sz="6" w:space="0"/>
              <w:left w:val="single" w:color="000000" w:sz="6" w:space="0"/>
              <w:right w:val="single" w:color="000000" w:sz="6" w:space="0"/>
            </w:tcBorders>
          </w:tcPr>
          <w:p>
            <w:pPr>
              <w:ind w:firstLine="420" w:firstLineChars="200"/>
              <w:rPr>
                <w:rFonts w:hint="eastAsia" w:ascii="宋体" w:hAnsi="宋体" w:eastAsia="宋体" w:cs="宋体"/>
                <w:sz w:val="21"/>
                <w:szCs w:val="21"/>
              </w:rPr>
            </w:pPr>
            <w:r>
              <w:rPr>
                <w:rFonts w:hint="eastAsia" w:ascii="宋体" w:hAnsi="宋体" w:eastAsia="宋体" w:cs="宋体"/>
                <w:sz w:val="21"/>
                <w:szCs w:val="21"/>
              </w:rPr>
              <w:t>最轻</w:t>
            </w:r>
          </w:p>
        </w:tc>
        <w:tc>
          <w:tcPr>
            <w:tcW w:w="1553" w:type="dxa"/>
            <w:tcBorders>
              <w:top w:val="single" w:color="000000" w:sz="6" w:space="0"/>
              <w:left w:val="single" w:color="000000" w:sz="6" w:space="0"/>
              <w:right w:val="single" w:color="000000" w:sz="6" w:space="0"/>
            </w:tcBorders>
          </w:tcPr>
          <w:p>
            <w:pPr>
              <w:ind w:firstLine="420" w:firstLineChars="200"/>
              <w:rPr>
                <w:rFonts w:hint="eastAsia" w:ascii="宋体" w:hAnsi="宋体" w:eastAsia="宋体" w:cs="宋体"/>
                <w:sz w:val="21"/>
                <w:szCs w:val="21"/>
              </w:rPr>
            </w:pPr>
            <w:r>
              <w:rPr>
                <w:rFonts w:hint="eastAsia" w:ascii="宋体" w:hAnsi="宋体" w:eastAsia="宋体" w:cs="宋体"/>
                <w:sz w:val="21"/>
                <w:szCs w:val="21"/>
              </w:rPr>
              <w:t>较轻</w:t>
            </w:r>
          </w:p>
        </w:tc>
        <w:tc>
          <w:tcPr>
            <w:tcW w:w="1557" w:type="dxa"/>
            <w:tcBorders>
              <w:top w:val="single" w:color="000000" w:sz="6" w:space="0"/>
              <w:left w:val="single" w:color="000000" w:sz="6" w:space="0"/>
              <w:right w:val="single" w:color="000000" w:sz="6" w:space="0"/>
            </w:tcBorders>
          </w:tcPr>
          <w:p>
            <w:pPr>
              <w:ind w:firstLine="420" w:firstLineChars="200"/>
              <w:rPr>
                <w:rFonts w:hint="eastAsia" w:ascii="宋体" w:hAnsi="宋体" w:eastAsia="宋体" w:cs="宋体"/>
                <w:sz w:val="21"/>
                <w:szCs w:val="21"/>
              </w:rPr>
            </w:pPr>
            <w:r>
              <w:rPr>
                <w:rFonts w:hint="eastAsia" w:ascii="宋体" w:hAnsi="宋体" w:eastAsia="宋体" w:cs="宋体"/>
                <w:sz w:val="21"/>
                <w:szCs w:val="21"/>
              </w:rPr>
              <w:t>中等</w:t>
            </w:r>
          </w:p>
        </w:tc>
        <w:tc>
          <w:tcPr>
            <w:tcW w:w="1555" w:type="dxa"/>
            <w:tcBorders>
              <w:top w:val="single" w:color="000000" w:sz="6" w:space="0"/>
              <w:left w:val="single" w:color="000000" w:sz="6" w:space="0"/>
              <w:right w:val="single" w:color="000000" w:sz="6" w:space="0"/>
            </w:tcBorders>
          </w:tcPr>
          <w:p>
            <w:pPr>
              <w:ind w:firstLine="420" w:firstLineChars="200"/>
              <w:rPr>
                <w:rFonts w:hint="eastAsia" w:ascii="宋体" w:hAnsi="宋体" w:eastAsia="宋体" w:cs="宋体"/>
                <w:sz w:val="21"/>
                <w:szCs w:val="21"/>
              </w:rPr>
            </w:pPr>
            <w:r>
              <w:rPr>
                <w:rFonts w:hint="eastAsia" w:ascii="宋体" w:hAnsi="宋体" w:eastAsia="宋体" w:cs="宋体"/>
                <w:sz w:val="21"/>
                <w:szCs w:val="21"/>
              </w:rPr>
              <w:t>很大</w:t>
            </w:r>
          </w:p>
        </w:tc>
        <w:tc>
          <w:tcPr>
            <w:tcW w:w="1407" w:type="dxa"/>
            <w:tcBorders>
              <w:top w:val="single" w:color="000000" w:sz="6" w:space="0"/>
              <w:left w:val="single" w:color="000000" w:sz="6" w:space="0"/>
            </w:tcBorders>
          </w:tcPr>
          <w:p>
            <w:pPr>
              <w:ind w:firstLine="420" w:firstLineChars="200"/>
              <w:rPr>
                <w:rFonts w:hint="eastAsia" w:ascii="宋体" w:hAnsi="宋体" w:eastAsia="宋体" w:cs="宋体"/>
                <w:sz w:val="21"/>
                <w:szCs w:val="21"/>
              </w:rPr>
            </w:pPr>
            <w:r>
              <w:rPr>
                <w:rFonts w:hint="eastAsia" w:ascii="宋体" w:hAnsi="宋体" w:eastAsia="宋体" w:cs="宋体"/>
                <w:sz w:val="21"/>
                <w:szCs w:val="21"/>
              </w:rPr>
              <w:t>非常大</w:t>
            </w:r>
          </w:p>
        </w:tc>
      </w:tr>
    </w:tbl>
    <w:p>
      <w:pPr>
        <w:keepNext w:val="0"/>
        <w:keepLines w:val="0"/>
        <w:pageBreakBefore w:val="0"/>
        <w:widowControl w:val="0"/>
        <w:kinsoku/>
        <w:wordWrap/>
        <w:overflowPunct/>
        <w:topLinePunct w:val="0"/>
        <w:autoSpaceDE w:val="0"/>
        <w:autoSpaceDN w:val="0"/>
        <w:bidi w:val="0"/>
        <w:adjustRightInd/>
        <w:snapToGrid/>
        <w:spacing w:line="560" w:lineRule="exact"/>
        <w:ind w:firstLine="560" w:firstLineChars="200"/>
        <w:jc w:val="both"/>
        <w:textAlignment w:val="auto"/>
        <w:rPr>
          <w:rFonts w:hint="eastAsia" w:ascii="宋体" w:hAnsi="宋体" w:eastAsia="宋体" w:cs="宋体"/>
          <w:color w:val="auto"/>
        </w:rPr>
      </w:pPr>
      <w:r>
        <w:rPr>
          <w:rFonts w:hint="eastAsia" w:ascii="宋体" w:hAnsi="宋体" w:eastAsia="宋体" w:cs="宋体"/>
          <w:color w:val="auto"/>
          <w:sz w:val="28"/>
          <w:szCs w:val="28"/>
        </w:rPr>
        <w:t>根据道化学火灾、爆炸危险指数评价法计算分析，从上表可以看出，</w:t>
      </w:r>
      <w:r>
        <w:rPr>
          <w:rFonts w:hint="eastAsia" w:ascii="宋体" w:hAnsi="宋体" w:eastAsia="宋体" w:cs="宋体"/>
          <w:color w:val="auto"/>
          <w:sz w:val="28"/>
          <w:szCs w:val="28"/>
          <w:lang w:val="en-US" w:eastAsia="zh-CN"/>
        </w:rPr>
        <w:t>横坑</w:t>
      </w:r>
      <w:r>
        <w:rPr>
          <w:rFonts w:hint="eastAsia" w:ascii="宋体" w:hAnsi="宋体" w:eastAsia="宋体" w:cs="宋体"/>
          <w:color w:val="auto"/>
          <w:sz w:val="28"/>
          <w:szCs w:val="28"/>
        </w:rPr>
        <w:t>加油站储罐区汽油罐的火灾爆炸危险指数为96，火灾爆炸危险等级为“较轻”，暴露半径为24.6m，暴露区域面积为1900m</w:t>
      </w:r>
      <w:r>
        <w:rPr>
          <w:rFonts w:hint="eastAsia" w:ascii="宋体" w:hAnsi="宋体" w:eastAsia="宋体" w:cs="宋体"/>
          <w:color w:val="auto"/>
          <w:sz w:val="28"/>
          <w:szCs w:val="28"/>
          <w:vertAlign w:val="superscript"/>
        </w:rPr>
        <w:t>2</w:t>
      </w:r>
      <w:r>
        <w:rPr>
          <w:rFonts w:hint="eastAsia" w:ascii="宋体" w:hAnsi="宋体" w:eastAsia="宋体" w:cs="宋体"/>
          <w:color w:val="auto"/>
          <w:sz w:val="28"/>
          <w:szCs w:val="28"/>
        </w:rPr>
        <w:t>，一旦发生事故，暴露半径和暴露区域面积内68%的财产将可能受到破坏。经采用安全措施补偿后，火灾爆炸危险指数降为72，</w:t>
      </w:r>
      <w:r>
        <w:rPr>
          <w:rFonts w:hint="eastAsia" w:ascii="宋体" w:hAnsi="宋体" w:eastAsia="宋体" w:cs="宋体"/>
          <w:color w:val="auto"/>
          <w:sz w:val="28"/>
          <w:szCs w:val="28"/>
          <w:lang w:val="en-US" w:eastAsia="zh-CN"/>
        </w:rPr>
        <w:t>暴露半径最小为18.43m,</w:t>
      </w:r>
      <w:r>
        <w:rPr>
          <w:rFonts w:hint="eastAsia" w:ascii="宋体" w:hAnsi="宋体" w:eastAsia="宋体" w:cs="宋体"/>
          <w:color w:val="auto"/>
          <w:sz w:val="28"/>
          <w:szCs w:val="28"/>
        </w:rPr>
        <w:t>暴露区域面积</w:t>
      </w:r>
      <w:r>
        <w:rPr>
          <w:rFonts w:hint="eastAsia" w:ascii="宋体" w:hAnsi="宋体" w:eastAsia="宋体" w:cs="宋体"/>
          <w:color w:val="auto"/>
          <w:sz w:val="28"/>
          <w:szCs w:val="28"/>
          <w:lang w:eastAsia="zh-CN"/>
        </w:rPr>
        <w:t>降为</w:t>
      </w:r>
      <w:r>
        <w:rPr>
          <w:rFonts w:hint="eastAsia" w:ascii="宋体" w:hAnsi="宋体" w:eastAsia="宋体" w:cs="宋体"/>
          <w:color w:val="auto"/>
          <w:sz w:val="28"/>
          <w:szCs w:val="28"/>
        </w:rPr>
        <w:t>为</w:t>
      </w:r>
      <w:r>
        <w:rPr>
          <w:rFonts w:hint="eastAsia" w:ascii="宋体" w:hAnsi="宋体" w:eastAsia="宋体" w:cs="宋体"/>
          <w:color w:val="auto"/>
          <w:sz w:val="28"/>
          <w:szCs w:val="28"/>
          <w:lang w:val="en-US" w:eastAsia="zh-CN"/>
        </w:rPr>
        <w:t>1066.5</w:t>
      </w:r>
      <w:r>
        <w:rPr>
          <w:rFonts w:hint="eastAsia" w:ascii="宋体" w:hAnsi="宋体" w:eastAsia="宋体" w:cs="宋体"/>
          <w:color w:val="auto"/>
          <w:sz w:val="28"/>
          <w:szCs w:val="28"/>
        </w:rPr>
        <w:t>m</w:t>
      </w:r>
      <w:r>
        <w:rPr>
          <w:rFonts w:hint="eastAsia" w:ascii="宋体" w:hAnsi="宋体" w:eastAsia="宋体" w:cs="宋体"/>
          <w:color w:val="auto"/>
          <w:sz w:val="28"/>
          <w:szCs w:val="28"/>
          <w:vertAlign w:val="superscript"/>
        </w:rPr>
        <w:t>2</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暴露半径和暴露区域面积内的财产损失从</w:t>
      </w:r>
      <w:r>
        <w:rPr>
          <w:rFonts w:hint="eastAsia" w:ascii="宋体" w:hAnsi="宋体" w:eastAsia="宋体" w:cs="宋体"/>
          <w:color w:val="auto"/>
          <w:sz w:val="28"/>
          <w:szCs w:val="28"/>
        </w:rPr>
        <w:t>68%降低</w:t>
      </w:r>
      <w:r>
        <w:rPr>
          <w:rFonts w:hint="eastAsia" w:ascii="宋体" w:hAnsi="宋体" w:eastAsia="宋体" w:cs="宋体"/>
          <w:color w:val="auto"/>
          <w:sz w:val="28"/>
          <w:szCs w:val="28"/>
          <w:lang w:eastAsia="zh-CN"/>
        </w:rPr>
        <w:t>到</w:t>
      </w:r>
      <w:r>
        <w:rPr>
          <w:rFonts w:hint="eastAsia" w:ascii="宋体" w:hAnsi="宋体" w:eastAsia="宋体" w:cs="宋体"/>
          <w:color w:val="auto"/>
          <w:sz w:val="28"/>
          <w:szCs w:val="28"/>
        </w:rPr>
        <w:t>51%。</w:t>
      </w:r>
    </w:p>
    <w:p>
      <w:pPr>
        <w:keepNext w:val="0"/>
        <w:keepLines w:val="0"/>
        <w:pageBreakBefore w:val="0"/>
        <w:widowControl w:val="0"/>
        <w:kinsoku/>
        <w:wordWrap/>
        <w:overflowPunct/>
        <w:topLinePunct w:val="0"/>
        <w:autoSpaceDE w:val="0"/>
        <w:autoSpaceDN w:val="0"/>
        <w:bidi w:val="0"/>
        <w:adjustRightInd/>
        <w:snapToGrid/>
        <w:spacing w:line="560" w:lineRule="exact"/>
        <w:ind w:firstLine="440" w:firstLineChars="200"/>
        <w:textAlignment w:val="auto"/>
        <w:rPr>
          <w:rFonts w:hint="eastAsia" w:ascii="宋体" w:hAnsi="宋体" w:eastAsia="宋体" w:cs="宋体"/>
        </w:rPr>
        <w:sectPr>
          <w:pgSz w:w="11910" w:h="16840"/>
          <w:pgMar w:top="1417" w:right="1134" w:bottom="1134" w:left="1587" w:header="720" w:footer="720" w:gutter="0"/>
          <w:pgNumType w:fmt="decimal"/>
          <w:cols w:space="0" w:num="1"/>
        </w:sectPr>
      </w:pPr>
    </w:p>
    <w:p>
      <w:pPr>
        <w:spacing w:before="240" w:beforeLines="100" w:after="240" w:afterLines="100"/>
        <w:jc w:val="center"/>
        <w:outlineLvl w:val="0"/>
        <w:rPr>
          <w:rFonts w:hint="eastAsia" w:ascii="宋体" w:hAnsi="宋体" w:eastAsia="宋体" w:cs="宋体"/>
          <w:b/>
          <w:sz w:val="32"/>
          <w:szCs w:val="32"/>
        </w:rPr>
      </w:pPr>
      <w:bookmarkStart w:id="929" w:name="_Toc5602"/>
      <w:bookmarkStart w:id="930" w:name="_Toc18352_WPSOffice_Level1"/>
      <w:bookmarkStart w:id="931" w:name="_Toc31027_WPSOffice_Level1"/>
      <w:bookmarkStart w:id="932" w:name="_Toc7676"/>
      <w:bookmarkStart w:id="933" w:name="_Toc22141"/>
      <w:bookmarkStart w:id="934" w:name="_Toc7833_WPSOffice_Level1"/>
      <w:r>
        <w:rPr>
          <w:rFonts w:hint="eastAsia" w:ascii="宋体" w:hAnsi="宋体" w:eastAsia="宋体" w:cs="宋体"/>
          <w:b/>
          <w:sz w:val="32"/>
          <w:szCs w:val="32"/>
        </w:rPr>
        <w:t>附件</w:t>
      </w:r>
      <w:r>
        <w:rPr>
          <w:rFonts w:hint="eastAsia" w:ascii="宋体" w:hAnsi="宋体" w:eastAsia="宋体" w:cs="宋体"/>
          <w:b/>
          <w:sz w:val="32"/>
          <w:szCs w:val="32"/>
          <w:lang w:val="en-US"/>
        </w:rPr>
        <w:t>5</w:t>
      </w:r>
      <w:r>
        <w:rPr>
          <w:rFonts w:hint="eastAsia" w:ascii="宋体" w:hAnsi="宋体" w:eastAsia="宋体" w:cs="宋体"/>
          <w:b/>
          <w:sz w:val="32"/>
          <w:szCs w:val="32"/>
        </w:rPr>
        <w:t xml:space="preserve"> 安全评价依据目录</w:t>
      </w:r>
      <w:bookmarkEnd w:id="929"/>
      <w:bookmarkEnd w:id="930"/>
      <w:bookmarkEnd w:id="931"/>
      <w:bookmarkEnd w:id="932"/>
      <w:bookmarkEnd w:id="933"/>
      <w:bookmarkEnd w:id="934"/>
    </w:p>
    <w:p>
      <w:pPr>
        <w:pStyle w:val="4"/>
        <w:spacing w:before="240" w:beforeLines="100" w:after="240" w:afterLines="100" w:line="240" w:lineRule="auto"/>
        <w:jc w:val="center"/>
        <w:rPr>
          <w:rFonts w:hint="eastAsia" w:ascii="宋体" w:hAnsi="宋体" w:eastAsia="宋体" w:cs="宋体"/>
        </w:rPr>
      </w:pPr>
      <w:bookmarkStart w:id="935" w:name="_Toc17097_WPSOffice_Level2"/>
      <w:bookmarkStart w:id="936" w:name="_Toc25056_WPSOffice_Level2"/>
      <w:bookmarkStart w:id="937" w:name="_Toc31218_WPSOffice_Level2"/>
      <w:r>
        <w:rPr>
          <w:rFonts w:hint="eastAsia" w:ascii="宋体" w:hAnsi="宋体" w:eastAsia="宋体" w:cs="宋体"/>
          <w:lang w:val="en-US"/>
        </w:rPr>
        <w:t>5</w:t>
      </w:r>
      <w:r>
        <w:rPr>
          <w:rFonts w:hint="eastAsia" w:ascii="宋体" w:hAnsi="宋体" w:eastAsia="宋体" w:cs="宋体"/>
        </w:rPr>
        <w:t>.1 相关法律法规、文件</w:t>
      </w:r>
      <w:bookmarkEnd w:id="935"/>
      <w:bookmarkEnd w:id="936"/>
      <w:bookmarkEnd w:id="937"/>
    </w:p>
    <w:p>
      <w:pPr>
        <w:keepNext w:val="0"/>
        <w:keepLines w:val="0"/>
        <w:pageBreakBefore w:val="0"/>
        <w:widowControl w:val="0"/>
        <w:kinsoku/>
        <w:wordWrap/>
        <w:overflowPunct/>
        <w:topLinePunct w:val="0"/>
        <w:autoSpaceDE w:val="0"/>
        <w:autoSpaceDN w:val="0"/>
        <w:bidi w:val="0"/>
        <w:adjustRightInd/>
        <w:spacing w:line="560" w:lineRule="exact"/>
        <w:ind w:firstLine="420" w:firstLineChars="150"/>
        <w:jc w:val="both"/>
        <w:textAlignment w:val="auto"/>
        <w:rPr>
          <w:rFonts w:hint="eastAsia" w:ascii="宋体" w:hAnsi="宋体" w:eastAsia="宋体" w:cs="宋体"/>
          <w:sz w:val="28"/>
          <w:szCs w:val="28"/>
        </w:rPr>
      </w:pPr>
      <w:r>
        <w:rPr>
          <w:rFonts w:hint="eastAsia" w:ascii="宋体" w:hAnsi="宋体" w:eastAsia="宋体" w:cs="宋体"/>
          <w:sz w:val="28"/>
          <w:szCs w:val="28"/>
        </w:rPr>
        <w:t>1）《中华人民共和国安全生产法》（中华人民共和国主席令[2014]第13号；</w:t>
      </w:r>
    </w:p>
    <w:p>
      <w:pPr>
        <w:keepNext w:val="0"/>
        <w:keepLines w:val="0"/>
        <w:pageBreakBefore w:val="0"/>
        <w:widowControl w:val="0"/>
        <w:kinsoku/>
        <w:wordWrap/>
        <w:overflowPunct/>
        <w:topLinePunct w:val="0"/>
        <w:autoSpaceDE w:val="0"/>
        <w:autoSpaceDN w:val="0"/>
        <w:bidi w:val="0"/>
        <w:adjustRightInd/>
        <w:spacing w:line="560" w:lineRule="exact"/>
        <w:ind w:firstLine="420" w:firstLineChars="150"/>
        <w:jc w:val="both"/>
        <w:textAlignment w:val="auto"/>
        <w:rPr>
          <w:rFonts w:hint="eastAsia" w:ascii="宋体" w:hAnsi="宋体" w:eastAsia="宋体" w:cs="宋体"/>
          <w:sz w:val="28"/>
          <w:szCs w:val="28"/>
        </w:rPr>
      </w:pPr>
      <w:r>
        <w:rPr>
          <w:rFonts w:hint="eastAsia" w:ascii="宋体" w:hAnsi="宋体" w:eastAsia="宋体" w:cs="宋体"/>
          <w:sz w:val="28"/>
          <w:szCs w:val="28"/>
        </w:rPr>
        <w:t>2）《中华人民共和国消防法》（根据2019年4月23日第十三届全国人民代表大会常务委员会第十次会议《关于修改《中华人民共和国建筑法》等八部法律的决定》修正）；</w:t>
      </w:r>
    </w:p>
    <w:p>
      <w:pPr>
        <w:keepNext w:val="0"/>
        <w:keepLines w:val="0"/>
        <w:pageBreakBefore w:val="0"/>
        <w:widowControl w:val="0"/>
        <w:kinsoku/>
        <w:wordWrap/>
        <w:overflowPunct/>
        <w:topLinePunct w:val="0"/>
        <w:autoSpaceDE w:val="0"/>
        <w:autoSpaceDN w:val="0"/>
        <w:bidi w:val="0"/>
        <w:adjustRightInd/>
        <w:spacing w:line="560" w:lineRule="exact"/>
        <w:ind w:firstLine="420" w:firstLineChars="150"/>
        <w:jc w:val="both"/>
        <w:textAlignment w:val="auto"/>
        <w:rPr>
          <w:rFonts w:hint="eastAsia" w:ascii="宋体" w:hAnsi="宋体" w:eastAsia="宋体" w:cs="宋体"/>
          <w:sz w:val="28"/>
          <w:szCs w:val="28"/>
        </w:rPr>
      </w:pPr>
      <w:r>
        <w:rPr>
          <w:rFonts w:hint="eastAsia" w:ascii="宋体" w:hAnsi="宋体" w:eastAsia="宋体" w:cs="宋体"/>
          <w:sz w:val="28"/>
          <w:szCs w:val="28"/>
        </w:rPr>
        <w:t>3）《中华人民共和国职业病防治法》（根据2018年12月29日第十三届全国人民代表大会常务委员会第七次会议《关于修改等七部法律的决定》第四次修正）；</w:t>
      </w:r>
    </w:p>
    <w:p>
      <w:pPr>
        <w:keepNext w:val="0"/>
        <w:keepLines w:val="0"/>
        <w:pageBreakBefore w:val="0"/>
        <w:widowControl w:val="0"/>
        <w:kinsoku/>
        <w:wordWrap/>
        <w:overflowPunct/>
        <w:topLinePunct w:val="0"/>
        <w:autoSpaceDE w:val="0"/>
        <w:autoSpaceDN w:val="0"/>
        <w:bidi w:val="0"/>
        <w:adjustRightInd/>
        <w:spacing w:line="560" w:lineRule="exact"/>
        <w:ind w:firstLine="420" w:firstLineChars="150"/>
        <w:jc w:val="both"/>
        <w:textAlignment w:val="auto"/>
        <w:rPr>
          <w:rFonts w:hint="eastAsia" w:ascii="宋体" w:hAnsi="宋体" w:eastAsia="宋体" w:cs="宋体"/>
          <w:sz w:val="28"/>
          <w:szCs w:val="28"/>
        </w:rPr>
      </w:pPr>
      <w:r>
        <w:rPr>
          <w:rFonts w:hint="eastAsia" w:ascii="宋体" w:hAnsi="宋体" w:eastAsia="宋体" w:cs="宋体"/>
          <w:sz w:val="28"/>
          <w:szCs w:val="28"/>
        </w:rPr>
        <w:t>4）《危险化学品安全管理条例》（国务院令[2011]第591号，根据2013年12月4日国务院令第645号修订）；</w:t>
      </w:r>
    </w:p>
    <w:p>
      <w:pPr>
        <w:keepNext w:val="0"/>
        <w:keepLines w:val="0"/>
        <w:pageBreakBefore w:val="0"/>
        <w:widowControl w:val="0"/>
        <w:kinsoku/>
        <w:wordWrap/>
        <w:overflowPunct/>
        <w:topLinePunct w:val="0"/>
        <w:autoSpaceDE w:val="0"/>
        <w:autoSpaceDN w:val="0"/>
        <w:bidi w:val="0"/>
        <w:adjustRightInd/>
        <w:spacing w:line="560" w:lineRule="exact"/>
        <w:ind w:firstLine="420" w:firstLineChars="150"/>
        <w:jc w:val="both"/>
        <w:textAlignment w:val="auto"/>
        <w:rPr>
          <w:rFonts w:hint="eastAsia" w:ascii="宋体" w:hAnsi="宋体" w:eastAsia="宋体" w:cs="宋体"/>
          <w:sz w:val="28"/>
          <w:szCs w:val="28"/>
        </w:rPr>
      </w:pPr>
      <w:r>
        <w:rPr>
          <w:rFonts w:hint="eastAsia" w:ascii="宋体" w:hAnsi="宋体" w:eastAsia="宋体" w:cs="宋体"/>
          <w:sz w:val="28"/>
          <w:szCs w:val="28"/>
        </w:rPr>
        <w:t>5）</w:t>
      </w:r>
      <w:bookmarkStart w:id="938" w:name="_Hlk528419313"/>
      <w:r>
        <w:rPr>
          <w:rFonts w:hint="eastAsia" w:ascii="宋体" w:hAnsi="宋体" w:eastAsia="宋体" w:cs="宋体"/>
          <w:sz w:val="28"/>
          <w:szCs w:val="28"/>
        </w:rPr>
        <w:t>《易制毒化学品管理条例》（国务院令第445号，2018年9月18日国务院令第703号《国务院关于修改部分行政法规的决定》修正）</w:t>
      </w:r>
      <w:bookmarkEnd w:id="938"/>
      <w:r>
        <w:rPr>
          <w:rFonts w:hint="eastAsia" w:ascii="宋体" w:hAnsi="宋体" w:eastAsia="宋体" w:cs="宋体"/>
          <w:sz w:val="28"/>
          <w:szCs w:val="28"/>
        </w:rPr>
        <w:t>；</w:t>
      </w:r>
    </w:p>
    <w:p>
      <w:pPr>
        <w:keepNext w:val="0"/>
        <w:keepLines w:val="0"/>
        <w:pageBreakBefore w:val="0"/>
        <w:widowControl w:val="0"/>
        <w:kinsoku/>
        <w:wordWrap/>
        <w:overflowPunct/>
        <w:topLinePunct w:val="0"/>
        <w:autoSpaceDE w:val="0"/>
        <w:autoSpaceDN w:val="0"/>
        <w:bidi w:val="0"/>
        <w:adjustRightInd/>
        <w:spacing w:line="560" w:lineRule="exact"/>
        <w:ind w:firstLine="420" w:firstLineChars="150"/>
        <w:jc w:val="both"/>
        <w:textAlignment w:val="auto"/>
        <w:rPr>
          <w:rFonts w:hint="eastAsia" w:ascii="宋体" w:hAnsi="宋体" w:eastAsia="宋体" w:cs="宋体"/>
          <w:sz w:val="28"/>
          <w:szCs w:val="28"/>
        </w:rPr>
      </w:pPr>
      <w:r>
        <w:rPr>
          <w:rFonts w:hint="eastAsia" w:ascii="宋体" w:hAnsi="宋体" w:eastAsia="宋体" w:cs="宋体"/>
          <w:sz w:val="28"/>
          <w:szCs w:val="28"/>
        </w:rPr>
        <w:t>6）《危险化学品目录》（国家安全生产监督管理局等十部门公告，2015年第5号）；</w:t>
      </w:r>
    </w:p>
    <w:p>
      <w:pPr>
        <w:keepNext w:val="0"/>
        <w:keepLines w:val="0"/>
        <w:pageBreakBefore w:val="0"/>
        <w:widowControl w:val="0"/>
        <w:kinsoku/>
        <w:wordWrap/>
        <w:overflowPunct/>
        <w:topLinePunct w:val="0"/>
        <w:autoSpaceDE w:val="0"/>
        <w:autoSpaceDN w:val="0"/>
        <w:bidi w:val="0"/>
        <w:adjustRightInd/>
        <w:spacing w:line="560" w:lineRule="exact"/>
        <w:ind w:firstLine="420" w:firstLineChars="150"/>
        <w:jc w:val="both"/>
        <w:textAlignment w:val="auto"/>
        <w:rPr>
          <w:rFonts w:hint="eastAsia" w:ascii="宋体" w:hAnsi="宋体" w:eastAsia="宋体" w:cs="宋体"/>
          <w:sz w:val="28"/>
          <w:szCs w:val="28"/>
        </w:rPr>
      </w:pPr>
      <w:r>
        <w:rPr>
          <w:rFonts w:hint="eastAsia" w:ascii="宋体" w:hAnsi="宋体" w:eastAsia="宋体" w:cs="宋体"/>
          <w:sz w:val="28"/>
          <w:szCs w:val="28"/>
        </w:rPr>
        <w:t>7）《危险化学品经营许可证管理办法》（国家安全监督总局令[2012]第55号，根据2015年5月27日国家安全监管总局令第79号修正）；</w:t>
      </w:r>
    </w:p>
    <w:p>
      <w:pPr>
        <w:keepNext w:val="0"/>
        <w:keepLines w:val="0"/>
        <w:pageBreakBefore w:val="0"/>
        <w:widowControl w:val="0"/>
        <w:kinsoku/>
        <w:wordWrap/>
        <w:overflowPunct/>
        <w:topLinePunct w:val="0"/>
        <w:autoSpaceDE w:val="0"/>
        <w:autoSpaceDN w:val="0"/>
        <w:bidi w:val="0"/>
        <w:adjustRightInd/>
        <w:spacing w:line="560" w:lineRule="exact"/>
        <w:ind w:firstLine="420" w:firstLineChars="150"/>
        <w:jc w:val="both"/>
        <w:textAlignment w:val="auto"/>
        <w:rPr>
          <w:rFonts w:hint="eastAsia" w:ascii="宋体" w:hAnsi="宋体" w:eastAsia="宋体" w:cs="宋体"/>
          <w:sz w:val="28"/>
          <w:szCs w:val="28"/>
        </w:rPr>
      </w:pPr>
      <w:r>
        <w:rPr>
          <w:rFonts w:hint="eastAsia" w:ascii="宋体" w:hAnsi="宋体" w:eastAsia="宋体" w:cs="宋体"/>
          <w:sz w:val="28"/>
          <w:szCs w:val="28"/>
        </w:rPr>
        <w:t>8）《危险化学品建设项目安全监督管理办法》（2012年1月30日国家安全监管总局令第45号公布，根据2015年5月27日国家安全监管总局令第79号修正）；</w:t>
      </w:r>
    </w:p>
    <w:p>
      <w:pPr>
        <w:keepNext w:val="0"/>
        <w:keepLines w:val="0"/>
        <w:pageBreakBefore w:val="0"/>
        <w:widowControl w:val="0"/>
        <w:kinsoku/>
        <w:wordWrap/>
        <w:overflowPunct/>
        <w:topLinePunct w:val="0"/>
        <w:autoSpaceDE w:val="0"/>
        <w:autoSpaceDN w:val="0"/>
        <w:bidi w:val="0"/>
        <w:adjustRightInd/>
        <w:spacing w:line="560" w:lineRule="exact"/>
        <w:ind w:firstLine="420" w:firstLineChars="150"/>
        <w:jc w:val="both"/>
        <w:textAlignment w:val="auto"/>
        <w:rPr>
          <w:rFonts w:hint="eastAsia" w:ascii="宋体" w:hAnsi="宋体" w:eastAsia="宋体" w:cs="宋体"/>
          <w:sz w:val="28"/>
          <w:szCs w:val="28"/>
        </w:rPr>
      </w:pPr>
      <w:r>
        <w:rPr>
          <w:rFonts w:hint="eastAsia" w:ascii="宋体" w:hAnsi="宋体" w:eastAsia="宋体" w:cs="宋体"/>
          <w:sz w:val="28"/>
          <w:szCs w:val="28"/>
        </w:rPr>
        <w:t>9）《生产安全事故应急预案管理办法》（</w:t>
      </w:r>
      <w:r>
        <w:rPr>
          <w:rFonts w:hint="eastAsia" w:ascii="宋体" w:hAnsi="宋体" w:eastAsia="宋体" w:cs="宋体"/>
          <w:sz w:val="28"/>
          <w:szCs w:val="28"/>
          <w:lang w:eastAsia="zh-CN"/>
        </w:rPr>
        <w:t>中华人民共和国应急管理部</w:t>
      </w:r>
      <w:r>
        <w:rPr>
          <w:rFonts w:hint="eastAsia" w:ascii="宋体" w:hAnsi="宋体" w:eastAsia="宋体" w:cs="宋体"/>
          <w:sz w:val="28"/>
          <w:szCs w:val="28"/>
        </w:rPr>
        <w:t>令第</w:t>
      </w:r>
      <w:r>
        <w:rPr>
          <w:rFonts w:hint="eastAsia" w:ascii="宋体" w:hAnsi="宋体" w:eastAsia="宋体" w:cs="宋体"/>
          <w:sz w:val="28"/>
          <w:szCs w:val="28"/>
          <w:lang w:val="en-US" w:eastAsia="zh-CN"/>
        </w:rPr>
        <w:t>2</w:t>
      </w:r>
      <w:r>
        <w:rPr>
          <w:rFonts w:hint="eastAsia" w:ascii="宋体" w:hAnsi="宋体" w:eastAsia="宋体" w:cs="宋体"/>
          <w:sz w:val="28"/>
          <w:szCs w:val="28"/>
        </w:rPr>
        <w:t>号）；</w:t>
      </w:r>
    </w:p>
    <w:p>
      <w:pPr>
        <w:keepNext w:val="0"/>
        <w:keepLines w:val="0"/>
        <w:pageBreakBefore w:val="0"/>
        <w:widowControl w:val="0"/>
        <w:kinsoku/>
        <w:wordWrap/>
        <w:overflowPunct/>
        <w:topLinePunct w:val="0"/>
        <w:autoSpaceDE w:val="0"/>
        <w:autoSpaceDN w:val="0"/>
        <w:bidi w:val="0"/>
        <w:adjustRightInd/>
        <w:spacing w:line="560" w:lineRule="exact"/>
        <w:ind w:firstLine="280" w:firstLineChars="100"/>
        <w:jc w:val="both"/>
        <w:textAlignment w:val="auto"/>
        <w:rPr>
          <w:rFonts w:hint="eastAsia" w:ascii="宋体" w:hAnsi="宋体" w:eastAsia="宋体" w:cs="宋体"/>
          <w:sz w:val="28"/>
          <w:szCs w:val="28"/>
        </w:rPr>
      </w:pPr>
      <w:r>
        <w:rPr>
          <w:rFonts w:hint="eastAsia" w:ascii="宋体" w:hAnsi="宋体" w:eastAsia="宋体" w:cs="宋体"/>
          <w:sz w:val="28"/>
          <w:szCs w:val="28"/>
        </w:rPr>
        <w:t>10）《关于印发&lt;危险化学品建设项目安全评价细则&gt;试行）的通知》（安监总危化[2007]255号）；</w:t>
      </w:r>
    </w:p>
    <w:p>
      <w:pPr>
        <w:keepNext w:val="0"/>
        <w:keepLines w:val="0"/>
        <w:pageBreakBefore w:val="0"/>
        <w:widowControl w:val="0"/>
        <w:kinsoku/>
        <w:wordWrap/>
        <w:overflowPunct/>
        <w:topLinePunct w:val="0"/>
        <w:autoSpaceDE w:val="0"/>
        <w:autoSpaceDN w:val="0"/>
        <w:bidi w:val="0"/>
        <w:adjustRightInd/>
        <w:spacing w:line="560" w:lineRule="exact"/>
        <w:ind w:firstLine="280" w:firstLineChars="100"/>
        <w:jc w:val="both"/>
        <w:textAlignment w:val="auto"/>
        <w:rPr>
          <w:rFonts w:hint="eastAsia" w:ascii="宋体" w:hAnsi="宋体" w:eastAsia="宋体" w:cs="宋体"/>
          <w:sz w:val="28"/>
          <w:szCs w:val="28"/>
        </w:rPr>
      </w:pPr>
      <w:r>
        <w:rPr>
          <w:rFonts w:hint="eastAsia" w:ascii="宋体" w:hAnsi="宋体" w:eastAsia="宋体" w:cs="宋体"/>
          <w:sz w:val="28"/>
          <w:szCs w:val="28"/>
        </w:rPr>
        <w:t>11）《关于危险化学品经营许可有关事项的通知》（安监总厅管三函[2012]179号）；</w:t>
      </w:r>
    </w:p>
    <w:p>
      <w:pPr>
        <w:keepNext w:val="0"/>
        <w:keepLines w:val="0"/>
        <w:pageBreakBefore w:val="0"/>
        <w:widowControl w:val="0"/>
        <w:kinsoku/>
        <w:wordWrap/>
        <w:overflowPunct/>
        <w:topLinePunct w:val="0"/>
        <w:autoSpaceDE w:val="0"/>
        <w:autoSpaceDN w:val="0"/>
        <w:bidi w:val="0"/>
        <w:adjustRightInd/>
        <w:spacing w:line="56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12）《重点监管的危险化学品名录》（2013年完整版）；</w:t>
      </w:r>
    </w:p>
    <w:p>
      <w:pPr>
        <w:keepNext w:val="0"/>
        <w:keepLines w:val="0"/>
        <w:pageBreakBefore w:val="0"/>
        <w:widowControl w:val="0"/>
        <w:kinsoku/>
        <w:wordWrap/>
        <w:overflowPunct/>
        <w:topLinePunct w:val="0"/>
        <w:autoSpaceDE w:val="0"/>
        <w:autoSpaceDN w:val="0"/>
        <w:bidi w:val="0"/>
        <w:adjustRightInd/>
        <w:spacing w:line="56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13）《列入第三类监控化学品的新增品种清单》（1998年6月14日以国家和石油化学工业局令第1号发布）；</w:t>
      </w:r>
    </w:p>
    <w:p>
      <w:pPr>
        <w:keepNext w:val="0"/>
        <w:keepLines w:val="0"/>
        <w:pageBreakBefore w:val="0"/>
        <w:widowControl w:val="0"/>
        <w:kinsoku/>
        <w:wordWrap/>
        <w:overflowPunct/>
        <w:topLinePunct w:val="0"/>
        <w:autoSpaceDE w:val="0"/>
        <w:autoSpaceDN w:val="0"/>
        <w:bidi w:val="0"/>
        <w:adjustRightInd/>
        <w:spacing w:line="56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14）《关于加快推进加油站地下油罐防渗改造工作的通知》（环办水体函〔</w:t>
      </w:r>
      <w:r>
        <w:rPr>
          <w:rFonts w:hint="eastAsia" w:ascii="宋体" w:hAnsi="宋体" w:eastAsia="宋体" w:cs="宋体"/>
          <w:sz w:val="28"/>
          <w:szCs w:val="28"/>
          <w:lang w:val="en-US"/>
        </w:rPr>
        <w:t>2017</w:t>
      </w:r>
      <w:r>
        <w:rPr>
          <w:rFonts w:hint="eastAsia" w:ascii="宋体" w:hAnsi="宋体" w:eastAsia="宋体" w:cs="宋体"/>
          <w:sz w:val="28"/>
          <w:szCs w:val="28"/>
        </w:rPr>
        <w:t>〕</w:t>
      </w:r>
      <w:r>
        <w:rPr>
          <w:rFonts w:hint="eastAsia" w:ascii="宋体" w:hAnsi="宋体" w:eastAsia="宋体" w:cs="宋体"/>
          <w:sz w:val="28"/>
          <w:szCs w:val="28"/>
          <w:lang w:val="en-US"/>
        </w:rPr>
        <w:t>1860</w:t>
      </w:r>
      <w:r>
        <w:rPr>
          <w:rFonts w:hint="eastAsia" w:ascii="宋体" w:hAnsi="宋体" w:eastAsia="宋体" w:cs="宋体"/>
          <w:sz w:val="28"/>
          <w:szCs w:val="28"/>
        </w:rPr>
        <w:t>号）；</w:t>
      </w:r>
    </w:p>
    <w:p>
      <w:pPr>
        <w:keepNext w:val="0"/>
        <w:keepLines w:val="0"/>
        <w:pageBreakBefore w:val="0"/>
        <w:widowControl w:val="0"/>
        <w:kinsoku/>
        <w:wordWrap/>
        <w:overflowPunct/>
        <w:topLinePunct w:val="0"/>
        <w:autoSpaceDE w:val="0"/>
        <w:autoSpaceDN w:val="0"/>
        <w:bidi w:val="0"/>
        <w:adjustRightInd/>
        <w:spacing w:line="56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15）《易制爆危险化学品名录》（2017年版）；</w:t>
      </w:r>
    </w:p>
    <w:p>
      <w:pPr>
        <w:keepNext w:val="0"/>
        <w:keepLines w:val="0"/>
        <w:pageBreakBefore w:val="0"/>
        <w:widowControl w:val="0"/>
        <w:kinsoku/>
        <w:wordWrap/>
        <w:overflowPunct/>
        <w:topLinePunct w:val="0"/>
        <w:autoSpaceDE w:val="0"/>
        <w:autoSpaceDN w:val="0"/>
        <w:bidi w:val="0"/>
        <w:adjustRightInd/>
        <w:spacing w:line="56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16）《广东省安全生产条例》（广东省第十二届人大常委会公告[2013]第3号，省第十二届人民代表大会常务委员会第94号公告[2017]）；</w:t>
      </w:r>
    </w:p>
    <w:p>
      <w:pPr>
        <w:keepNext w:val="0"/>
        <w:keepLines w:val="0"/>
        <w:pageBreakBefore w:val="0"/>
        <w:widowControl w:val="0"/>
        <w:kinsoku/>
        <w:wordWrap/>
        <w:overflowPunct/>
        <w:topLinePunct w:val="0"/>
        <w:autoSpaceDE w:val="0"/>
        <w:autoSpaceDN w:val="0"/>
        <w:bidi w:val="0"/>
        <w:adjustRightInd/>
        <w:spacing w:line="56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17）《广东省安全生产监督管理局关于&lt;危险化学品建设项目安全监督管理办法&gt;的实施意见》（粤安监管三[2017]19号）；</w:t>
      </w:r>
    </w:p>
    <w:p>
      <w:pPr>
        <w:keepNext w:val="0"/>
        <w:keepLines w:val="0"/>
        <w:pageBreakBefore w:val="0"/>
        <w:widowControl w:val="0"/>
        <w:kinsoku/>
        <w:wordWrap/>
        <w:overflowPunct/>
        <w:topLinePunct w:val="0"/>
        <w:autoSpaceDE w:val="0"/>
        <w:autoSpaceDN w:val="0"/>
        <w:bidi w:val="0"/>
        <w:adjustRightInd/>
        <w:spacing w:line="56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18）《关于认真贯彻危险化学品经营许可证管理办法的通知》（粤安监[2012]129号）；</w:t>
      </w:r>
    </w:p>
    <w:p>
      <w:pPr>
        <w:keepNext w:val="0"/>
        <w:keepLines w:val="0"/>
        <w:pageBreakBefore w:val="0"/>
        <w:widowControl w:val="0"/>
        <w:kinsoku/>
        <w:wordWrap/>
        <w:overflowPunct/>
        <w:topLinePunct w:val="0"/>
        <w:autoSpaceDE w:val="0"/>
        <w:autoSpaceDN w:val="0"/>
        <w:bidi w:val="0"/>
        <w:adjustRightInd/>
        <w:spacing w:line="56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19）《广东省安全生产监督管理局监管局关于印发&lt;广东省安全生产监督管理局监管局关于〈生产安全事故应急预案管理办法的实施细则〉的通知》（粤安监应急[2017]9号）；</w:t>
      </w:r>
    </w:p>
    <w:p>
      <w:pPr>
        <w:keepNext w:val="0"/>
        <w:keepLines w:val="0"/>
        <w:pageBreakBefore w:val="0"/>
        <w:widowControl w:val="0"/>
        <w:kinsoku/>
        <w:wordWrap/>
        <w:overflowPunct/>
        <w:topLinePunct w:val="0"/>
        <w:autoSpaceDE w:val="0"/>
        <w:autoSpaceDN w:val="0"/>
        <w:bidi w:val="0"/>
        <w:adjustRightInd/>
        <w:spacing w:line="56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20）《关于印发&lt;广东省安全生产监督管理局关于进一步加强汽车加油站安全管理工作的通知&gt;的通知》（粤安监[2014]53号）；</w:t>
      </w:r>
    </w:p>
    <w:p>
      <w:pPr>
        <w:keepNext w:val="0"/>
        <w:keepLines w:val="0"/>
        <w:pageBreakBefore w:val="0"/>
        <w:widowControl w:val="0"/>
        <w:kinsoku/>
        <w:wordWrap/>
        <w:overflowPunct/>
        <w:topLinePunct w:val="0"/>
        <w:autoSpaceDE w:val="0"/>
        <w:autoSpaceDN w:val="0"/>
        <w:bidi w:val="0"/>
        <w:adjustRightInd/>
        <w:snapToGrid w:val="0"/>
        <w:spacing w:line="56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21）广东省安全生产监督管理局关于做好《危险化学品目录 2015版）》实施工作的通知（粤安监管三[2015]40号）；</w:t>
      </w:r>
    </w:p>
    <w:p>
      <w:pPr>
        <w:keepNext w:val="0"/>
        <w:keepLines w:val="0"/>
        <w:pageBreakBefore w:val="0"/>
        <w:widowControl w:val="0"/>
        <w:kinsoku/>
        <w:wordWrap/>
        <w:overflowPunct/>
        <w:topLinePunct w:val="0"/>
        <w:autoSpaceDE w:val="0"/>
        <w:autoSpaceDN w:val="0"/>
        <w:bidi w:val="0"/>
        <w:adjustRightInd/>
        <w:snapToGrid w:val="0"/>
        <w:spacing w:line="560" w:lineRule="exact"/>
        <w:ind w:firstLine="560" w:firstLineChars="200"/>
        <w:jc w:val="both"/>
        <w:textAlignment w:val="auto"/>
        <w:rPr>
          <w:rFonts w:hint="eastAsia" w:ascii="宋体" w:hAnsi="宋体" w:eastAsia="宋体" w:cs="宋体"/>
          <w:bCs/>
          <w:sz w:val="28"/>
          <w:szCs w:val="28"/>
        </w:rPr>
      </w:pPr>
      <w:r>
        <w:rPr>
          <w:rFonts w:hint="eastAsia" w:ascii="宋体" w:hAnsi="宋体" w:eastAsia="宋体" w:cs="宋体"/>
          <w:sz w:val="28"/>
          <w:szCs w:val="28"/>
        </w:rPr>
        <w:t>22）《</w:t>
      </w:r>
      <w:r>
        <w:rPr>
          <w:rFonts w:hint="eastAsia" w:ascii="宋体" w:hAnsi="宋体" w:eastAsia="宋体" w:cs="宋体"/>
          <w:bCs/>
          <w:sz w:val="28"/>
          <w:szCs w:val="28"/>
        </w:rPr>
        <w:t>广东省安全生产监督管理局关于进一步加强汽车加油站安全管理工作的紧急通知</w:t>
      </w:r>
      <w:r>
        <w:rPr>
          <w:rFonts w:hint="eastAsia" w:ascii="宋体" w:hAnsi="宋体" w:eastAsia="宋体" w:cs="宋体"/>
          <w:sz w:val="28"/>
          <w:szCs w:val="28"/>
        </w:rPr>
        <w:t>》</w:t>
      </w:r>
      <w:r>
        <w:rPr>
          <w:rFonts w:hint="eastAsia" w:ascii="宋体" w:hAnsi="宋体" w:eastAsia="宋体" w:cs="宋体"/>
          <w:bCs/>
          <w:sz w:val="28"/>
          <w:szCs w:val="28"/>
        </w:rPr>
        <w:t>(粤安监管三</w:t>
      </w:r>
      <w:r>
        <w:rPr>
          <w:rFonts w:hint="eastAsia" w:ascii="宋体" w:hAnsi="宋体" w:eastAsia="宋体" w:cs="宋体"/>
          <w:sz w:val="28"/>
          <w:szCs w:val="28"/>
        </w:rPr>
        <w:t>[2017]</w:t>
      </w:r>
      <w:r>
        <w:rPr>
          <w:rFonts w:hint="eastAsia" w:ascii="宋体" w:hAnsi="宋体" w:eastAsia="宋体" w:cs="宋体"/>
          <w:bCs/>
          <w:sz w:val="28"/>
          <w:szCs w:val="28"/>
        </w:rPr>
        <w:t>9号)；</w:t>
      </w:r>
    </w:p>
    <w:p>
      <w:pPr>
        <w:keepNext w:val="0"/>
        <w:keepLines w:val="0"/>
        <w:pageBreakBefore w:val="0"/>
        <w:widowControl w:val="0"/>
        <w:kinsoku/>
        <w:wordWrap/>
        <w:overflowPunct/>
        <w:topLinePunct w:val="0"/>
        <w:autoSpaceDE w:val="0"/>
        <w:autoSpaceDN w:val="0"/>
        <w:bidi w:val="0"/>
        <w:adjustRightInd/>
        <w:snapToGrid w:val="0"/>
        <w:spacing w:line="560" w:lineRule="exact"/>
        <w:ind w:firstLine="560" w:firstLineChars="200"/>
        <w:jc w:val="both"/>
        <w:textAlignment w:val="auto"/>
        <w:rPr>
          <w:rFonts w:hint="eastAsia" w:ascii="宋体" w:hAnsi="宋体" w:eastAsia="宋体" w:cs="宋体"/>
          <w:sz w:val="28"/>
        </w:rPr>
      </w:pPr>
      <w:r>
        <w:rPr>
          <w:rFonts w:hint="eastAsia" w:ascii="宋体" w:hAnsi="宋体" w:eastAsia="宋体" w:cs="宋体"/>
          <w:sz w:val="28"/>
        </w:rPr>
        <w:t>2</w:t>
      </w:r>
      <w:r>
        <w:rPr>
          <w:rFonts w:hint="eastAsia" w:ascii="宋体" w:hAnsi="宋体" w:eastAsia="宋体" w:cs="宋体"/>
          <w:sz w:val="28"/>
          <w:lang w:val="en-US"/>
        </w:rPr>
        <w:t>3</w:t>
      </w:r>
      <w:r>
        <w:rPr>
          <w:rFonts w:hint="eastAsia" w:ascii="宋体" w:hAnsi="宋体" w:eastAsia="宋体" w:cs="宋体"/>
          <w:sz w:val="28"/>
        </w:rPr>
        <w:t>）《化工和危险化学品生产经营单位重大生产安全事故隐患判定标准（试行）》（安监总管三</w:t>
      </w:r>
      <w:r>
        <w:rPr>
          <w:rFonts w:hint="eastAsia" w:ascii="宋体" w:hAnsi="宋体" w:eastAsia="宋体" w:cs="宋体"/>
          <w:sz w:val="28"/>
          <w:szCs w:val="28"/>
        </w:rPr>
        <w:t>[2017]</w:t>
      </w:r>
      <w:r>
        <w:rPr>
          <w:rFonts w:hint="eastAsia" w:ascii="宋体" w:hAnsi="宋体" w:eastAsia="宋体" w:cs="宋体"/>
          <w:sz w:val="28"/>
        </w:rPr>
        <w:t>121号）；</w:t>
      </w:r>
    </w:p>
    <w:p>
      <w:pPr>
        <w:keepNext w:val="0"/>
        <w:keepLines w:val="0"/>
        <w:pageBreakBefore w:val="0"/>
        <w:widowControl w:val="0"/>
        <w:kinsoku/>
        <w:wordWrap/>
        <w:overflowPunct/>
        <w:topLinePunct w:val="0"/>
        <w:autoSpaceDE w:val="0"/>
        <w:autoSpaceDN w:val="0"/>
        <w:bidi w:val="0"/>
        <w:adjustRightInd/>
        <w:snapToGrid w:val="0"/>
        <w:spacing w:line="56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lang w:val="en-US"/>
        </w:rPr>
        <w:t>24</w:t>
      </w:r>
      <w:r>
        <w:rPr>
          <w:rFonts w:hint="eastAsia" w:ascii="宋体" w:hAnsi="宋体" w:eastAsia="宋体" w:cs="宋体"/>
          <w:sz w:val="28"/>
        </w:rPr>
        <w:t>）</w:t>
      </w:r>
      <w:r>
        <w:rPr>
          <w:rFonts w:hint="eastAsia" w:ascii="宋体" w:hAnsi="宋体" w:eastAsia="宋体" w:cs="宋体"/>
          <w:sz w:val="28"/>
          <w:szCs w:val="28"/>
        </w:rPr>
        <w:t>《关于加油站地下油罐防渗改造油罐意见的函》（粤环函</w:t>
      </w:r>
      <w:r>
        <w:rPr>
          <w:rFonts w:hint="eastAsia" w:ascii="宋体" w:hAnsi="宋体" w:eastAsia="宋体" w:cs="宋体"/>
          <w:sz w:val="28"/>
          <w:szCs w:val="28"/>
          <w:lang w:val="en-US"/>
        </w:rPr>
        <w:t>[2018]1795号</w:t>
      </w:r>
      <w:r>
        <w:rPr>
          <w:rFonts w:hint="eastAsia" w:ascii="宋体" w:hAnsi="宋体" w:eastAsia="宋体" w:cs="宋体"/>
          <w:sz w:val="28"/>
          <w:szCs w:val="28"/>
        </w:rPr>
        <w:t>）；</w:t>
      </w:r>
    </w:p>
    <w:p>
      <w:pPr>
        <w:keepNext w:val="0"/>
        <w:keepLines w:val="0"/>
        <w:pageBreakBefore w:val="0"/>
        <w:widowControl w:val="0"/>
        <w:kinsoku/>
        <w:wordWrap/>
        <w:overflowPunct/>
        <w:topLinePunct w:val="0"/>
        <w:autoSpaceDE w:val="0"/>
        <w:autoSpaceDN w:val="0"/>
        <w:bidi w:val="0"/>
        <w:adjustRightInd/>
        <w:snapToGrid w:val="0"/>
        <w:spacing w:line="56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lang w:val="en-US"/>
        </w:rPr>
        <w:t>2</w:t>
      </w:r>
      <w:r>
        <w:rPr>
          <w:rFonts w:hint="eastAsia" w:ascii="宋体" w:hAnsi="宋体" w:eastAsia="宋体" w:cs="宋体"/>
          <w:sz w:val="28"/>
          <w:szCs w:val="28"/>
          <w:lang w:val="en-US" w:eastAsia="zh-CN"/>
        </w:rPr>
        <w:t>5</w:t>
      </w:r>
      <w:r>
        <w:rPr>
          <w:rFonts w:hint="eastAsia" w:ascii="宋体" w:hAnsi="宋体" w:eastAsia="宋体" w:cs="宋体"/>
          <w:sz w:val="28"/>
          <w:szCs w:val="28"/>
          <w:lang w:val="en-US"/>
        </w:rPr>
        <w:t>）</w:t>
      </w:r>
      <w:r>
        <w:rPr>
          <w:rFonts w:hint="eastAsia" w:ascii="宋体" w:hAnsi="宋体" w:eastAsia="宋体" w:cs="宋体"/>
          <w:sz w:val="28"/>
          <w:szCs w:val="28"/>
        </w:rPr>
        <w:t>《中华人民共和国监控化学品管理条例》（国务令[1995]第190号，2011年修订版）；</w:t>
      </w:r>
    </w:p>
    <w:p>
      <w:pPr>
        <w:keepNext w:val="0"/>
        <w:keepLines w:val="0"/>
        <w:pageBreakBefore w:val="0"/>
        <w:widowControl w:val="0"/>
        <w:kinsoku/>
        <w:wordWrap/>
        <w:overflowPunct/>
        <w:topLinePunct w:val="0"/>
        <w:autoSpaceDE w:val="0"/>
        <w:autoSpaceDN w:val="0"/>
        <w:bidi w:val="0"/>
        <w:adjustRightInd/>
        <w:snapToGrid w:val="0"/>
        <w:spacing w:line="56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lang w:val="en-US"/>
        </w:rPr>
        <w:t>2</w:t>
      </w:r>
      <w:r>
        <w:rPr>
          <w:rFonts w:hint="eastAsia" w:ascii="宋体" w:hAnsi="宋体" w:eastAsia="宋体" w:cs="宋体"/>
          <w:sz w:val="28"/>
          <w:szCs w:val="28"/>
          <w:lang w:val="en-US" w:eastAsia="zh-CN"/>
        </w:rPr>
        <w:t>6</w:t>
      </w:r>
      <w:r>
        <w:rPr>
          <w:rFonts w:hint="eastAsia" w:ascii="宋体" w:hAnsi="宋体" w:eastAsia="宋体" w:cs="宋体"/>
          <w:sz w:val="28"/>
          <w:szCs w:val="28"/>
          <w:lang w:val="en-US"/>
        </w:rPr>
        <w:t>）</w:t>
      </w:r>
      <w:r>
        <w:rPr>
          <w:rFonts w:hint="eastAsia" w:ascii="宋体" w:hAnsi="宋体" w:eastAsia="宋体" w:cs="宋体"/>
          <w:sz w:val="28"/>
          <w:szCs w:val="28"/>
        </w:rPr>
        <w:t>《中华人民共和国监控化学品管理条例（实施细则）》（工信部</w:t>
      </w:r>
      <w:r>
        <w:rPr>
          <w:rFonts w:hint="eastAsia" w:ascii="宋体" w:hAnsi="宋体" w:eastAsia="宋体" w:cs="宋体"/>
          <w:sz w:val="28"/>
          <w:szCs w:val="28"/>
          <w:lang w:val="en-US"/>
        </w:rPr>
        <w:t>[2018]</w:t>
      </w:r>
      <w:r>
        <w:rPr>
          <w:rFonts w:hint="eastAsia" w:ascii="宋体" w:hAnsi="宋体" w:eastAsia="宋体" w:cs="宋体"/>
          <w:sz w:val="28"/>
          <w:szCs w:val="28"/>
        </w:rPr>
        <w:t>第48号令）；</w:t>
      </w:r>
    </w:p>
    <w:p>
      <w:pPr>
        <w:pageBreakBefore w:val="0"/>
        <w:widowControl w:val="0"/>
        <w:kinsoku/>
        <w:wordWrap/>
        <w:overflowPunct/>
        <w:topLinePunct w:val="0"/>
        <w:autoSpaceDE w:val="0"/>
        <w:autoSpaceDN w:val="0"/>
        <w:bidi w:val="0"/>
        <w:adjustRightInd/>
        <w:snapToGrid w:val="0"/>
        <w:spacing w:line="56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lang w:val="en-US"/>
        </w:rPr>
        <w:t>2</w:t>
      </w:r>
      <w:r>
        <w:rPr>
          <w:rFonts w:hint="eastAsia" w:ascii="宋体" w:hAnsi="宋体" w:eastAsia="宋体" w:cs="宋体"/>
          <w:sz w:val="28"/>
          <w:szCs w:val="28"/>
          <w:lang w:val="en-US" w:eastAsia="zh-CN"/>
        </w:rPr>
        <w:t>7</w:t>
      </w:r>
      <w:r>
        <w:rPr>
          <w:rFonts w:hint="eastAsia" w:ascii="宋体" w:hAnsi="宋体" w:eastAsia="宋体" w:cs="宋体"/>
          <w:sz w:val="28"/>
          <w:szCs w:val="28"/>
          <w:lang w:val="en-US"/>
        </w:rPr>
        <w:t>）</w:t>
      </w:r>
      <w:r>
        <w:rPr>
          <w:rFonts w:hint="eastAsia" w:ascii="宋体" w:hAnsi="宋体" w:eastAsia="宋体" w:cs="宋体"/>
          <w:sz w:val="28"/>
          <w:szCs w:val="28"/>
        </w:rPr>
        <w:t>《各类监控化学品名录》（中华人民共和国化学工业部第11号）。</w:t>
      </w:r>
    </w:p>
    <w:p>
      <w:pPr>
        <w:pStyle w:val="4"/>
        <w:pageBreakBefore w:val="0"/>
        <w:widowControl w:val="0"/>
        <w:kinsoku/>
        <w:wordWrap/>
        <w:overflowPunct/>
        <w:topLinePunct w:val="0"/>
        <w:autoSpaceDE w:val="0"/>
        <w:autoSpaceDN w:val="0"/>
        <w:bidi w:val="0"/>
        <w:adjustRightInd/>
        <w:spacing w:before="240" w:beforeLines="100" w:after="240" w:afterLines="100" w:line="560" w:lineRule="exact"/>
        <w:jc w:val="center"/>
        <w:textAlignment w:val="auto"/>
        <w:rPr>
          <w:rFonts w:hint="eastAsia" w:ascii="宋体" w:hAnsi="宋体" w:eastAsia="宋体" w:cs="宋体"/>
        </w:rPr>
      </w:pPr>
      <w:bookmarkStart w:id="939" w:name="_Toc3912_WPSOffice_Level2"/>
      <w:bookmarkStart w:id="940" w:name="_Toc13396_WPSOffice_Level2"/>
      <w:bookmarkStart w:id="941" w:name="_Toc29803_WPSOffice_Level2"/>
      <w:r>
        <w:rPr>
          <w:rFonts w:hint="eastAsia" w:ascii="宋体" w:hAnsi="宋体" w:eastAsia="宋体" w:cs="宋体"/>
          <w:lang w:val="en-US"/>
        </w:rPr>
        <w:t>5</w:t>
      </w:r>
      <w:r>
        <w:rPr>
          <w:rFonts w:hint="eastAsia" w:ascii="宋体" w:hAnsi="宋体" w:eastAsia="宋体" w:cs="宋体"/>
        </w:rPr>
        <w:t>.2</w:t>
      </w:r>
      <w:r>
        <w:rPr>
          <w:rFonts w:hint="eastAsia" w:ascii="宋体" w:hAnsi="宋体" w:eastAsia="宋体" w:cs="宋体"/>
          <w:lang w:val="en-US"/>
        </w:rPr>
        <w:t xml:space="preserve"> </w:t>
      </w:r>
      <w:r>
        <w:rPr>
          <w:rFonts w:hint="eastAsia" w:ascii="宋体" w:hAnsi="宋体" w:eastAsia="宋体" w:cs="宋体"/>
        </w:rPr>
        <w:t>技术标准及规范</w:t>
      </w:r>
      <w:bookmarkEnd w:id="939"/>
      <w:bookmarkEnd w:id="940"/>
      <w:bookmarkEnd w:id="941"/>
    </w:p>
    <w:p>
      <w:pPr>
        <w:pageBreakBefore w:val="0"/>
        <w:widowControl w:val="0"/>
        <w:kinsoku/>
        <w:wordWrap/>
        <w:overflowPunct/>
        <w:topLinePunct w:val="0"/>
        <w:autoSpaceDE w:val="0"/>
        <w:autoSpaceDN w:val="0"/>
        <w:bidi w:val="0"/>
        <w:adjustRightInd/>
        <w:spacing w:line="560" w:lineRule="exact"/>
        <w:ind w:firstLine="560" w:firstLineChars="200"/>
        <w:textAlignment w:val="auto"/>
        <w:rPr>
          <w:rFonts w:hint="eastAsia" w:ascii="宋体" w:hAnsi="宋体" w:eastAsia="宋体" w:cs="宋体"/>
          <w:sz w:val="28"/>
          <w:szCs w:val="28"/>
        </w:rPr>
      </w:pPr>
      <w:bookmarkStart w:id="942" w:name="_Toc22920_WPSOffice_Level3"/>
      <w:bookmarkStart w:id="943" w:name="_Toc2411_WPSOffice_Level3"/>
      <w:bookmarkStart w:id="944" w:name="_Toc2221_WPSOffice_Level3"/>
      <w:r>
        <w:rPr>
          <w:rFonts w:hint="eastAsia" w:ascii="宋体" w:hAnsi="宋体" w:eastAsia="宋体" w:cs="宋体"/>
          <w:sz w:val="28"/>
          <w:szCs w:val="28"/>
        </w:rPr>
        <w:t>1）《汽车加油加气站设计与施工规范》（GB50156-2012，2014年版）；</w:t>
      </w:r>
      <w:bookmarkEnd w:id="942"/>
      <w:bookmarkEnd w:id="943"/>
      <w:bookmarkEnd w:id="944"/>
    </w:p>
    <w:p>
      <w:pPr>
        <w:pageBreakBefore w:val="0"/>
        <w:widowControl w:val="0"/>
        <w:kinsoku/>
        <w:wordWrap/>
        <w:overflowPunct/>
        <w:topLinePunct w:val="0"/>
        <w:autoSpaceDE w:val="0"/>
        <w:autoSpaceDN w:val="0"/>
        <w:bidi w:val="0"/>
        <w:adjustRightInd/>
        <w:spacing w:line="560" w:lineRule="exact"/>
        <w:ind w:firstLine="560" w:firstLineChars="200"/>
        <w:textAlignment w:val="auto"/>
        <w:rPr>
          <w:rFonts w:hint="eastAsia" w:ascii="宋体" w:hAnsi="宋体" w:eastAsia="宋体" w:cs="宋体"/>
          <w:sz w:val="28"/>
          <w:szCs w:val="28"/>
        </w:rPr>
      </w:pPr>
      <w:bookmarkStart w:id="945" w:name="_Toc18198_WPSOffice_Level3"/>
      <w:bookmarkStart w:id="946" w:name="_Toc12967_WPSOffice_Level3"/>
      <w:bookmarkStart w:id="947" w:name="_Toc24878_WPSOffice_Level3"/>
      <w:r>
        <w:rPr>
          <w:rFonts w:hint="eastAsia" w:ascii="宋体" w:hAnsi="宋体" w:eastAsia="宋体" w:cs="宋体"/>
          <w:sz w:val="28"/>
          <w:szCs w:val="28"/>
        </w:rPr>
        <w:t>2）《建筑设计防火规范》（GB50016-2014,2018年版）；</w:t>
      </w:r>
      <w:bookmarkEnd w:id="945"/>
      <w:bookmarkEnd w:id="946"/>
      <w:bookmarkEnd w:id="947"/>
    </w:p>
    <w:p>
      <w:pPr>
        <w:pageBreakBefore w:val="0"/>
        <w:widowControl w:val="0"/>
        <w:kinsoku/>
        <w:wordWrap/>
        <w:overflowPunct/>
        <w:topLinePunct w:val="0"/>
        <w:autoSpaceDE w:val="0"/>
        <w:autoSpaceDN w:val="0"/>
        <w:bidi w:val="0"/>
        <w:adjustRightInd/>
        <w:spacing w:line="560" w:lineRule="exact"/>
        <w:ind w:firstLine="560" w:firstLineChars="200"/>
        <w:textAlignment w:val="auto"/>
        <w:rPr>
          <w:rFonts w:hint="eastAsia" w:ascii="宋体" w:hAnsi="宋体" w:eastAsia="宋体" w:cs="宋体"/>
          <w:sz w:val="28"/>
          <w:szCs w:val="28"/>
        </w:rPr>
      </w:pPr>
      <w:bookmarkStart w:id="948" w:name="_Toc25036_WPSOffice_Level3"/>
      <w:bookmarkStart w:id="949" w:name="_Toc18858_WPSOffice_Level3"/>
      <w:bookmarkStart w:id="950" w:name="_Toc32302_WPSOffice_Level3"/>
      <w:r>
        <w:rPr>
          <w:rFonts w:hint="eastAsia" w:ascii="宋体" w:hAnsi="宋体" w:eastAsia="宋体" w:cs="宋体"/>
          <w:sz w:val="28"/>
          <w:szCs w:val="28"/>
        </w:rPr>
        <w:t>3）《危险化学品经营企业</w:t>
      </w:r>
      <w:r>
        <w:rPr>
          <w:rFonts w:hint="eastAsia" w:ascii="宋体" w:hAnsi="宋体" w:eastAsia="宋体" w:cs="宋体"/>
          <w:sz w:val="28"/>
          <w:szCs w:val="28"/>
          <w:lang w:eastAsia="zh-CN"/>
        </w:rPr>
        <w:t>安全</w:t>
      </w:r>
      <w:r>
        <w:rPr>
          <w:rFonts w:hint="eastAsia" w:ascii="宋体" w:hAnsi="宋体" w:eastAsia="宋体" w:cs="宋体"/>
          <w:sz w:val="28"/>
          <w:szCs w:val="28"/>
        </w:rPr>
        <w:t>技术</w:t>
      </w:r>
      <w:r>
        <w:rPr>
          <w:rFonts w:hint="eastAsia" w:ascii="宋体" w:hAnsi="宋体" w:eastAsia="宋体" w:cs="宋体"/>
          <w:sz w:val="28"/>
          <w:szCs w:val="28"/>
          <w:lang w:eastAsia="zh-CN"/>
        </w:rPr>
        <w:t>基本</w:t>
      </w:r>
      <w:r>
        <w:rPr>
          <w:rFonts w:hint="eastAsia" w:ascii="宋体" w:hAnsi="宋体" w:eastAsia="宋体" w:cs="宋体"/>
          <w:sz w:val="28"/>
          <w:szCs w:val="28"/>
        </w:rPr>
        <w:t>要求》（GB18265-20</w:t>
      </w:r>
      <w:r>
        <w:rPr>
          <w:rFonts w:hint="eastAsia" w:ascii="宋体" w:hAnsi="宋体" w:eastAsia="宋体" w:cs="宋体"/>
          <w:sz w:val="28"/>
          <w:szCs w:val="28"/>
          <w:lang w:val="en-US" w:eastAsia="zh-CN"/>
        </w:rPr>
        <w:t>19</w:t>
      </w:r>
      <w:r>
        <w:rPr>
          <w:rFonts w:hint="eastAsia" w:ascii="宋体" w:hAnsi="宋体" w:eastAsia="宋体" w:cs="宋体"/>
          <w:sz w:val="28"/>
          <w:szCs w:val="28"/>
        </w:rPr>
        <w:t>）；</w:t>
      </w:r>
      <w:bookmarkEnd w:id="948"/>
      <w:bookmarkEnd w:id="949"/>
      <w:bookmarkEnd w:id="950"/>
    </w:p>
    <w:p>
      <w:pPr>
        <w:pageBreakBefore w:val="0"/>
        <w:widowControl w:val="0"/>
        <w:kinsoku/>
        <w:wordWrap/>
        <w:overflowPunct/>
        <w:topLinePunct w:val="0"/>
        <w:autoSpaceDE w:val="0"/>
        <w:autoSpaceDN w:val="0"/>
        <w:bidi w:val="0"/>
        <w:adjustRightInd/>
        <w:spacing w:line="560" w:lineRule="exact"/>
        <w:ind w:firstLine="560" w:firstLineChars="200"/>
        <w:textAlignment w:val="auto"/>
        <w:rPr>
          <w:rFonts w:hint="eastAsia" w:ascii="宋体" w:hAnsi="宋体" w:eastAsia="宋体" w:cs="宋体"/>
          <w:sz w:val="28"/>
          <w:szCs w:val="28"/>
        </w:rPr>
      </w:pPr>
      <w:bookmarkStart w:id="951" w:name="_Toc17789_WPSOffice_Level3"/>
      <w:bookmarkStart w:id="952" w:name="_Toc14702_WPSOffice_Level3"/>
      <w:bookmarkStart w:id="953" w:name="_Toc3224_WPSOffice_Level3"/>
      <w:r>
        <w:rPr>
          <w:rFonts w:hint="eastAsia" w:ascii="宋体" w:hAnsi="宋体" w:eastAsia="宋体" w:cs="宋体"/>
          <w:sz w:val="28"/>
          <w:szCs w:val="28"/>
        </w:rPr>
        <w:t>4）《危险化学品重大危险源辨识》（GB18218-2018）；</w:t>
      </w:r>
      <w:bookmarkEnd w:id="951"/>
      <w:bookmarkEnd w:id="952"/>
      <w:bookmarkEnd w:id="953"/>
    </w:p>
    <w:p>
      <w:pPr>
        <w:pageBreakBefore w:val="0"/>
        <w:widowControl w:val="0"/>
        <w:kinsoku/>
        <w:wordWrap/>
        <w:overflowPunct/>
        <w:topLinePunct w:val="0"/>
        <w:autoSpaceDE w:val="0"/>
        <w:autoSpaceDN w:val="0"/>
        <w:bidi w:val="0"/>
        <w:adjustRightInd/>
        <w:spacing w:line="560" w:lineRule="exact"/>
        <w:ind w:firstLine="560" w:firstLineChars="200"/>
        <w:textAlignment w:val="auto"/>
        <w:rPr>
          <w:rFonts w:hint="eastAsia" w:ascii="宋体" w:hAnsi="宋体" w:eastAsia="宋体" w:cs="宋体"/>
          <w:sz w:val="28"/>
          <w:szCs w:val="28"/>
        </w:rPr>
      </w:pPr>
      <w:bookmarkStart w:id="954" w:name="_Toc17644_WPSOffice_Level3"/>
      <w:bookmarkStart w:id="955" w:name="_Toc26183_WPSOffice_Level3"/>
      <w:bookmarkStart w:id="956" w:name="_Toc9504_WPSOffice_Level3"/>
      <w:r>
        <w:rPr>
          <w:rFonts w:hint="eastAsia" w:ascii="宋体" w:hAnsi="宋体" w:eastAsia="宋体" w:cs="宋体"/>
          <w:sz w:val="28"/>
          <w:szCs w:val="28"/>
        </w:rPr>
        <w:t>5）《建筑灭火器配置设计规范》（GB50140-2005）；</w:t>
      </w:r>
      <w:bookmarkEnd w:id="954"/>
      <w:bookmarkEnd w:id="955"/>
      <w:bookmarkEnd w:id="956"/>
    </w:p>
    <w:p>
      <w:pPr>
        <w:pageBreakBefore w:val="0"/>
        <w:widowControl w:val="0"/>
        <w:kinsoku/>
        <w:wordWrap/>
        <w:overflowPunct/>
        <w:topLinePunct w:val="0"/>
        <w:autoSpaceDE w:val="0"/>
        <w:autoSpaceDN w:val="0"/>
        <w:bidi w:val="0"/>
        <w:adjustRightInd/>
        <w:spacing w:line="560" w:lineRule="exact"/>
        <w:ind w:firstLine="560" w:firstLineChars="200"/>
        <w:textAlignment w:val="auto"/>
        <w:rPr>
          <w:rFonts w:hint="eastAsia" w:ascii="宋体" w:hAnsi="宋体" w:eastAsia="宋体" w:cs="宋体"/>
          <w:sz w:val="28"/>
          <w:szCs w:val="28"/>
        </w:rPr>
      </w:pPr>
      <w:bookmarkStart w:id="957" w:name="_Toc26243_WPSOffice_Level3"/>
      <w:bookmarkStart w:id="958" w:name="_Toc27363_WPSOffice_Level3"/>
      <w:bookmarkStart w:id="959" w:name="_Toc13193_WPSOffice_Level3"/>
      <w:r>
        <w:rPr>
          <w:rFonts w:hint="eastAsia" w:ascii="宋体" w:hAnsi="宋体" w:eastAsia="宋体" w:cs="宋体"/>
          <w:sz w:val="28"/>
          <w:szCs w:val="28"/>
        </w:rPr>
        <w:t>6）《安全验收评价导则》（AQ8003-2007）；</w:t>
      </w:r>
      <w:bookmarkEnd w:id="957"/>
      <w:bookmarkEnd w:id="958"/>
      <w:bookmarkEnd w:id="959"/>
    </w:p>
    <w:p>
      <w:pPr>
        <w:pageBreakBefore w:val="0"/>
        <w:widowControl w:val="0"/>
        <w:kinsoku/>
        <w:wordWrap/>
        <w:overflowPunct/>
        <w:topLinePunct w:val="0"/>
        <w:autoSpaceDE w:val="0"/>
        <w:autoSpaceDN w:val="0"/>
        <w:bidi w:val="0"/>
        <w:adjustRightInd/>
        <w:spacing w:line="560" w:lineRule="exact"/>
        <w:ind w:firstLine="560" w:firstLineChars="200"/>
        <w:textAlignment w:val="auto"/>
        <w:rPr>
          <w:rFonts w:hint="eastAsia" w:ascii="宋体" w:hAnsi="宋体" w:eastAsia="宋体" w:cs="宋体"/>
          <w:sz w:val="28"/>
          <w:szCs w:val="28"/>
        </w:rPr>
      </w:pPr>
      <w:bookmarkStart w:id="960" w:name="_Toc30780_WPSOffice_Level3"/>
      <w:bookmarkStart w:id="961" w:name="_Toc22534_WPSOffice_Level3"/>
      <w:bookmarkStart w:id="962" w:name="_Toc1735_WPSOffice_Level3"/>
      <w:r>
        <w:rPr>
          <w:rFonts w:hint="eastAsia" w:ascii="宋体" w:hAnsi="宋体" w:eastAsia="宋体" w:cs="宋体"/>
          <w:sz w:val="28"/>
          <w:szCs w:val="28"/>
        </w:rPr>
        <w:t>7）《工作场所有害因素职业接触限值 第1部分：化学有害因素》</w:t>
      </w:r>
      <w:bookmarkEnd w:id="960"/>
      <w:bookmarkEnd w:id="961"/>
      <w:bookmarkEnd w:id="962"/>
    </w:p>
    <w:p>
      <w:pPr>
        <w:pageBreakBefore w:val="0"/>
        <w:widowControl w:val="0"/>
        <w:kinsoku/>
        <w:wordWrap/>
        <w:overflowPunct/>
        <w:topLinePunct w:val="0"/>
        <w:autoSpaceDE w:val="0"/>
        <w:autoSpaceDN w:val="0"/>
        <w:bidi w:val="0"/>
        <w:adjustRightIn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（GBZ2.1-2007）；</w:t>
      </w:r>
    </w:p>
    <w:p>
      <w:pPr>
        <w:pageBreakBefore w:val="0"/>
        <w:widowControl w:val="0"/>
        <w:kinsoku/>
        <w:wordWrap/>
        <w:overflowPunct/>
        <w:topLinePunct w:val="0"/>
        <w:autoSpaceDE w:val="0"/>
        <w:autoSpaceDN w:val="0"/>
        <w:bidi w:val="0"/>
        <w:adjustRightInd/>
        <w:spacing w:line="560" w:lineRule="exact"/>
        <w:ind w:firstLine="560" w:firstLineChars="200"/>
        <w:textAlignment w:val="auto"/>
        <w:rPr>
          <w:rFonts w:hint="eastAsia" w:ascii="宋体" w:hAnsi="宋体" w:eastAsia="宋体" w:cs="宋体"/>
          <w:sz w:val="28"/>
          <w:szCs w:val="28"/>
        </w:rPr>
      </w:pPr>
      <w:bookmarkStart w:id="963" w:name="_Toc22408_WPSOffice_Level3"/>
      <w:bookmarkStart w:id="964" w:name="_Toc23011_WPSOffice_Level3"/>
      <w:bookmarkStart w:id="965" w:name="_Toc13393_WPSOffice_Level3"/>
      <w:r>
        <w:rPr>
          <w:rFonts w:hint="eastAsia" w:ascii="宋体" w:hAnsi="宋体" w:eastAsia="宋体" w:cs="宋体"/>
          <w:sz w:val="28"/>
          <w:szCs w:val="28"/>
        </w:rPr>
        <w:t>8）《工作场所有害因素职业接触限值 第2部分：物理因素》</w:t>
      </w:r>
      <w:bookmarkEnd w:id="963"/>
      <w:bookmarkEnd w:id="964"/>
      <w:bookmarkEnd w:id="965"/>
    </w:p>
    <w:p>
      <w:pPr>
        <w:pageBreakBefore w:val="0"/>
        <w:widowControl w:val="0"/>
        <w:kinsoku/>
        <w:wordWrap/>
        <w:overflowPunct/>
        <w:topLinePunct w:val="0"/>
        <w:autoSpaceDE w:val="0"/>
        <w:autoSpaceDN w:val="0"/>
        <w:bidi w:val="0"/>
        <w:adjustRightInd/>
        <w:spacing w:line="560" w:lineRule="exact"/>
        <w:textAlignment w:val="auto"/>
        <w:rPr>
          <w:rFonts w:hint="eastAsia" w:ascii="宋体" w:hAnsi="宋体" w:eastAsia="宋体" w:cs="宋体"/>
          <w:sz w:val="28"/>
          <w:szCs w:val="28"/>
        </w:rPr>
      </w:pPr>
      <w:r>
        <w:rPr>
          <w:rFonts w:hint="eastAsia" w:ascii="宋体" w:hAnsi="宋体" w:eastAsia="宋体" w:cs="宋体"/>
          <w:sz w:val="28"/>
          <w:szCs w:val="28"/>
        </w:rPr>
        <w:t>（GBZ2.2-2007）；</w:t>
      </w:r>
    </w:p>
    <w:p>
      <w:pPr>
        <w:pageBreakBefore w:val="0"/>
        <w:widowControl w:val="0"/>
        <w:kinsoku/>
        <w:wordWrap/>
        <w:overflowPunct/>
        <w:topLinePunct w:val="0"/>
        <w:autoSpaceDE w:val="0"/>
        <w:autoSpaceDN w:val="0"/>
        <w:bidi w:val="0"/>
        <w:adjustRightInd/>
        <w:spacing w:line="560" w:lineRule="exact"/>
        <w:ind w:firstLine="560" w:firstLineChars="200"/>
        <w:textAlignment w:val="auto"/>
        <w:rPr>
          <w:rFonts w:hint="eastAsia" w:ascii="宋体" w:hAnsi="宋体" w:eastAsia="宋体" w:cs="宋体"/>
          <w:sz w:val="28"/>
          <w:szCs w:val="28"/>
        </w:rPr>
      </w:pPr>
      <w:bookmarkStart w:id="966" w:name="_Toc16488_WPSOffice_Level3"/>
      <w:bookmarkStart w:id="967" w:name="_Toc21610_WPSOffice_Level3"/>
      <w:bookmarkStart w:id="968" w:name="_Toc22359_WPSOffice_Level3"/>
      <w:r>
        <w:rPr>
          <w:rFonts w:hint="eastAsia" w:ascii="宋体" w:hAnsi="宋体" w:eastAsia="宋体" w:cs="宋体"/>
          <w:sz w:val="28"/>
          <w:szCs w:val="28"/>
        </w:rPr>
        <w:t>9）《企业职工伤亡事故分类》（GB6441-1986）；</w:t>
      </w:r>
      <w:bookmarkEnd w:id="966"/>
      <w:bookmarkEnd w:id="967"/>
      <w:bookmarkEnd w:id="968"/>
    </w:p>
    <w:p>
      <w:pPr>
        <w:pageBreakBefore w:val="0"/>
        <w:widowControl w:val="0"/>
        <w:kinsoku/>
        <w:wordWrap/>
        <w:overflowPunct/>
        <w:topLinePunct w:val="0"/>
        <w:autoSpaceDE w:val="0"/>
        <w:autoSpaceDN w:val="0"/>
        <w:bidi w:val="0"/>
        <w:adjustRightInd/>
        <w:spacing w:line="560" w:lineRule="exact"/>
        <w:ind w:firstLine="560" w:firstLineChars="200"/>
        <w:textAlignment w:val="auto"/>
        <w:rPr>
          <w:rFonts w:hint="eastAsia" w:ascii="宋体" w:hAnsi="宋体" w:eastAsia="宋体" w:cs="宋体"/>
          <w:sz w:val="28"/>
          <w:szCs w:val="28"/>
        </w:rPr>
      </w:pPr>
      <w:bookmarkStart w:id="969" w:name="_Toc18182_WPSOffice_Level3"/>
      <w:bookmarkStart w:id="970" w:name="_Toc12476_WPSOffice_Level3"/>
      <w:bookmarkStart w:id="971" w:name="_Toc17631_WPSOffice_Level3"/>
      <w:r>
        <w:rPr>
          <w:rFonts w:hint="eastAsia" w:ascii="宋体" w:hAnsi="宋体" w:eastAsia="宋体" w:cs="宋体"/>
          <w:sz w:val="28"/>
          <w:szCs w:val="28"/>
        </w:rPr>
        <w:t>10）《防止静电事故通用导则》（GB12158-2006）；</w:t>
      </w:r>
      <w:bookmarkEnd w:id="969"/>
      <w:bookmarkEnd w:id="970"/>
      <w:bookmarkEnd w:id="971"/>
    </w:p>
    <w:p>
      <w:pPr>
        <w:pageBreakBefore w:val="0"/>
        <w:widowControl w:val="0"/>
        <w:kinsoku/>
        <w:wordWrap/>
        <w:overflowPunct/>
        <w:topLinePunct w:val="0"/>
        <w:autoSpaceDE w:val="0"/>
        <w:autoSpaceDN w:val="0"/>
        <w:bidi w:val="0"/>
        <w:adjustRightInd/>
        <w:spacing w:line="560" w:lineRule="exact"/>
        <w:ind w:firstLine="560" w:firstLineChars="200"/>
        <w:textAlignment w:val="auto"/>
        <w:rPr>
          <w:rFonts w:hint="eastAsia" w:ascii="宋体" w:hAnsi="宋体" w:eastAsia="宋体" w:cs="宋体"/>
          <w:sz w:val="28"/>
          <w:szCs w:val="28"/>
        </w:rPr>
      </w:pPr>
      <w:bookmarkStart w:id="972" w:name="_Toc27081_WPSOffice_Level3"/>
      <w:bookmarkStart w:id="973" w:name="_Toc11368_WPSOffice_Level3"/>
      <w:bookmarkStart w:id="974" w:name="_Toc22496_WPSOffice_Level3"/>
      <w:r>
        <w:rPr>
          <w:rFonts w:hint="eastAsia" w:ascii="宋体" w:hAnsi="宋体" w:eastAsia="宋体" w:cs="宋体"/>
          <w:sz w:val="28"/>
          <w:szCs w:val="28"/>
        </w:rPr>
        <w:t>11）《化学品分类和标签规范</w:t>
      </w:r>
      <w:r>
        <w:rPr>
          <w:rFonts w:hint="eastAsia" w:ascii="宋体" w:hAnsi="宋体" w:eastAsia="宋体" w:cs="宋体"/>
          <w:sz w:val="28"/>
          <w:szCs w:val="28"/>
          <w:lang w:val="en-US"/>
        </w:rPr>
        <w:t xml:space="preserve"> </w:t>
      </w:r>
      <w:r>
        <w:rPr>
          <w:rFonts w:hint="eastAsia" w:ascii="宋体" w:hAnsi="宋体" w:eastAsia="宋体" w:cs="宋体"/>
          <w:sz w:val="28"/>
          <w:szCs w:val="28"/>
        </w:rPr>
        <w:t>第7部分：易燃液体 》（GB30000.7-2013）</w:t>
      </w:r>
      <w:bookmarkEnd w:id="972"/>
      <w:r>
        <w:rPr>
          <w:rFonts w:hint="eastAsia" w:ascii="宋体" w:hAnsi="宋体" w:eastAsia="宋体" w:cs="宋体"/>
          <w:sz w:val="28"/>
          <w:szCs w:val="28"/>
        </w:rPr>
        <w:t>；</w:t>
      </w:r>
      <w:bookmarkEnd w:id="973"/>
      <w:bookmarkEnd w:id="974"/>
    </w:p>
    <w:p>
      <w:pPr>
        <w:pageBreakBefore w:val="0"/>
        <w:widowControl w:val="0"/>
        <w:kinsoku/>
        <w:wordWrap/>
        <w:overflowPunct/>
        <w:topLinePunct w:val="0"/>
        <w:autoSpaceDE w:val="0"/>
        <w:autoSpaceDN w:val="0"/>
        <w:bidi w:val="0"/>
        <w:adjustRightInd/>
        <w:spacing w:line="560" w:lineRule="exact"/>
        <w:ind w:firstLine="560" w:firstLineChars="200"/>
        <w:textAlignment w:val="auto"/>
        <w:rPr>
          <w:rFonts w:hint="eastAsia" w:ascii="宋体" w:hAnsi="宋体" w:eastAsia="宋体" w:cs="宋体"/>
          <w:sz w:val="28"/>
          <w:szCs w:val="28"/>
        </w:rPr>
      </w:pPr>
      <w:bookmarkStart w:id="975" w:name="_Toc25314_WPSOffice_Level3"/>
      <w:bookmarkStart w:id="976" w:name="_Toc25775_WPSOffice_Level3"/>
      <w:bookmarkStart w:id="977" w:name="_Toc32625_WPSOffice_Level3"/>
      <w:r>
        <w:rPr>
          <w:rFonts w:hint="eastAsia" w:ascii="宋体" w:hAnsi="宋体" w:eastAsia="宋体" w:cs="宋体"/>
          <w:sz w:val="28"/>
          <w:szCs w:val="28"/>
        </w:rPr>
        <w:t>12）《石油与石油设施雷电安全规范》（GB15599-2009）；</w:t>
      </w:r>
      <w:bookmarkEnd w:id="975"/>
      <w:bookmarkEnd w:id="976"/>
      <w:bookmarkEnd w:id="977"/>
    </w:p>
    <w:p>
      <w:pPr>
        <w:pageBreakBefore w:val="0"/>
        <w:widowControl w:val="0"/>
        <w:kinsoku/>
        <w:wordWrap/>
        <w:overflowPunct/>
        <w:topLinePunct w:val="0"/>
        <w:autoSpaceDE w:val="0"/>
        <w:autoSpaceDN w:val="0"/>
        <w:bidi w:val="0"/>
        <w:adjustRightInd/>
        <w:spacing w:line="560" w:lineRule="exact"/>
        <w:ind w:firstLine="560" w:firstLineChars="200"/>
        <w:textAlignment w:val="auto"/>
        <w:rPr>
          <w:rFonts w:hint="eastAsia" w:ascii="宋体" w:hAnsi="宋体" w:eastAsia="宋体" w:cs="宋体"/>
          <w:sz w:val="28"/>
          <w:szCs w:val="28"/>
        </w:rPr>
      </w:pPr>
      <w:bookmarkStart w:id="978" w:name="_Toc16325_WPSOffice_Level3"/>
      <w:bookmarkStart w:id="979" w:name="_Toc7996_WPSOffice_Level3"/>
      <w:bookmarkStart w:id="980" w:name="_Toc21505_WPSOffice_Level3"/>
      <w:r>
        <w:rPr>
          <w:rFonts w:hint="eastAsia" w:ascii="宋体" w:hAnsi="宋体" w:eastAsia="宋体" w:cs="宋体"/>
          <w:sz w:val="28"/>
          <w:szCs w:val="28"/>
        </w:rPr>
        <w:t>13）《易燃易爆性商品储存养护技术条件》（GB17914-2013）；</w:t>
      </w:r>
      <w:bookmarkEnd w:id="978"/>
      <w:bookmarkEnd w:id="979"/>
      <w:bookmarkEnd w:id="980"/>
    </w:p>
    <w:p>
      <w:pPr>
        <w:pageBreakBefore w:val="0"/>
        <w:widowControl w:val="0"/>
        <w:kinsoku/>
        <w:wordWrap/>
        <w:overflowPunct/>
        <w:topLinePunct w:val="0"/>
        <w:autoSpaceDE w:val="0"/>
        <w:autoSpaceDN w:val="0"/>
        <w:bidi w:val="0"/>
        <w:adjustRightInd/>
        <w:spacing w:line="560" w:lineRule="exact"/>
        <w:ind w:firstLine="560" w:firstLineChars="200"/>
        <w:textAlignment w:val="auto"/>
        <w:rPr>
          <w:rFonts w:hint="eastAsia" w:ascii="宋体" w:hAnsi="宋体" w:eastAsia="宋体" w:cs="宋体"/>
          <w:sz w:val="28"/>
          <w:szCs w:val="28"/>
        </w:rPr>
      </w:pPr>
      <w:bookmarkStart w:id="981" w:name="_Toc20284_WPSOffice_Level3"/>
      <w:bookmarkStart w:id="982" w:name="_Toc19350_WPSOffice_Level3"/>
      <w:bookmarkStart w:id="983" w:name="_Toc29701_WPSOffice_Level3"/>
      <w:r>
        <w:rPr>
          <w:rFonts w:hint="eastAsia" w:ascii="宋体" w:hAnsi="宋体" w:eastAsia="宋体" w:cs="宋体"/>
          <w:sz w:val="28"/>
          <w:szCs w:val="28"/>
        </w:rPr>
        <w:t>14）《低压配电设计规范》（GB50054-2011）；</w:t>
      </w:r>
      <w:bookmarkEnd w:id="981"/>
      <w:bookmarkEnd w:id="982"/>
      <w:bookmarkEnd w:id="983"/>
    </w:p>
    <w:p>
      <w:pPr>
        <w:pageBreakBefore w:val="0"/>
        <w:widowControl w:val="0"/>
        <w:kinsoku/>
        <w:wordWrap/>
        <w:overflowPunct/>
        <w:topLinePunct w:val="0"/>
        <w:autoSpaceDE w:val="0"/>
        <w:autoSpaceDN w:val="0"/>
        <w:bidi w:val="0"/>
        <w:adjustRightInd/>
        <w:spacing w:line="560" w:lineRule="exact"/>
        <w:ind w:firstLine="560" w:firstLineChars="200"/>
        <w:textAlignment w:val="auto"/>
        <w:rPr>
          <w:rFonts w:hint="eastAsia" w:ascii="宋体" w:hAnsi="宋体" w:eastAsia="宋体" w:cs="宋体"/>
          <w:sz w:val="28"/>
          <w:szCs w:val="28"/>
        </w:rPr>
      </w:pPr>
      <w:bookmarkStart w:id="984" w:name="_Toc5604_WPSOffice_Level3"/>
      <w:bookmarkStart w:id="985" w:name="_Toc8874_WPSOffice_Level3"/>
      <w:bookmarkStart w:id="986" w:name="_Toc5735_WPSOffice_Level3"/>
      <w:r>
        <w:rPr>
          <w:rFonts w:hint="eastAsia" w:ascii="宋体" w:hAnsi="宋体" w:eastAsia="宋体" w:cs="宋体"/>
          <w:sz w:val="28"/>
          <w:szCs w:val="28"/>
        </w:rPr>
        <w:t>15）《建筑物防雷设计规范》（GB50057-2010）；</w:t>
      </w:r>
      <w:bookmarkEnd w:id="984"/>
      <w:bookmarkEnd w:id="985"/>
      <w:bookmarkEnd w:id="986"/>
    </w:p>
    <w:p>
      <w:pPr>
        <w:pageBreakBefore w:val="0"/>
        <w:widowControl w:val="0"/>
        <w:kinsoku/>
        <w:wordWrap/>
        <w:overflowPunct/>
        <w:topLinePunct w:val="0"/>
        <w:autoSpaceDE w:val="0"/>
        <w:autoSpaceDN w:val="0"/>
        <w:bidi w:val="0"/>
        <w:adjustRightInd/>
        <w:spacing w:line="560" w:lineRule="exact"/>
        <w:ind w:firstLine="560" w:firstLineChars="200"/>
        <w:textAlignment w:val="auto"/>
        <w:rPr>
          <w:rFonts w:hint="eastAsia" w:ascii="宋体" w:hAnsi="宋体" w:eastAsia="宋体" w:cs="宋体"/>
          <w:sz w:val="28"/>
          <w:szCs w:val="28"/>
        </w:rPr>
      </w:pPr>
      <w:bookmarkStart w:id="987" w:name="_Toc22921_WPSOffice_Level3"/>
      <w:bookmarkStart w:id="988" w:name="_Toc10777_WPSOffice_Level3"/>
      <w:bookmarkStart w:id="989" w:name="_Toc14067_WPSOffice_Level3"/>
      <w:r>
        <w:rPr>
          <w:rFonts w:hint="eastAsia" w:ascii="宋体" w:hAnsi="宋体" w:eastAsia="宋体" w:cs="宋体"/>
          <w:sz w:val="28"/>
          <w:szCs w:val="28"/>
        </w:rPr>
        <w:t>16）《爆炸危险环境电力装置设计规范》（GB50058-2014）；</w:t>
      </w:r>
      <w:bookmarkEnd w:id="987"/>
      <w:bookmarkEnd w:id="988"/>
      <w:bookmarkEnd w:id="989"/>
    </w:p>
    <w:p>
      <w:pPr>
        <w:pageBreakBefore w:val="0"/>
        <w:widowControl w:val="0"/>
        <w:kinsoku/>
        <w:wordWrap/>
        <w:overflowPunct/>
        <w:topLinePunct w:val="0"/>
        <w:autoSpaceDE w:val="0"/>
        <w:autoSpaceDN w:val="0"/>
        <w:bidi w:val="0"/>
        <w:adjustRightInd/>
        <w:spacing w:line="560" w:lineRule="exact"/>
        <w:ind w:firstLine="560" w:firstLineChars="200"/>
        <w:textAlignment w:val="auto"/>
        <w:rPr>
          <w:rFonts w:hint="eastAsia" w:ascii="宋体" w:hAnsi="宋体" w:eastAsia="宋体" w:cs="宋体"/>
          <w:sz w:val="28"/>
          <w:szCs w:val="28"/>
        </w:rPr>
      </w:pPr>
      <w:bookmarkStart w:id="990" w:name="_Toc13567_WPSOffice_Level3"/>
      <w:bookmarkStart w:id="991" w:name="_Toc29835_WPSOffice_Level3"/>
      <w:bookmarkStart w:id="992" w:name="_Toc5568_WPSOffice_Level3"/>
      <w:r>
        <w:rPr>
          <w:rFonts w:hint="eastAsia" w:ascii="宋体" w:hAnsi="宋体" w:eastAsia="宋体" w:cs="宋体"/>
          <w:sz w:val="28"/>
          <w:szCs w:val="28"/>
        </w:rPr>
        <w:t>17）《汽车运输、装卸危险货物作业规程》（JT618-2004）；</w:t>
      </w:r>
      <w:bookmarkEnd w:id="990"/>
      <w:bookmarkEnd w:id="991"/>
      <w:bookmarkEnd w:id="992"/>
    </w:p>
    <w:p>
      <w:pPr>
        <w:pageBreakBefore w:val="0"/>
        <w:widowControl w:val="0"/>
        <w:kinsoku/>
        <w:wordWrap/>
        <w:overflowPunct/>
        <w:topLinePunct w:val="0"/>
        <w:autoSpaceDE w:val="0"/>
        <w:autoSpaceDN w:val="0"/>
        <w:bidi w:val="0"/>
        <w:adjustRightInd/>
        <w:spacing w:line="560" w:lineRule="exact"/>
        <w:ind w:firstLine="560" w:firstLineChars="200"/>
        <w:textAlignment w:val="auto"/>
        <w:rPr>
          <w:rFonts w:hint="eastAsia" w:ascii="宋体" w:hAnsi="宋体" w:eastAsia="宋体" w:cs="宋体"/>
          <w:sz w:val="28"/>
          <w:szCs w:val="28"/>
        </w:rPr>
      </w:pPr>
      <w:bookmarkStart w:id="993" w:name="_Toc2263_WPSOffice_Level3"/>
      <w:bookmarkStart w:id="994" w:name="_Toc6613_WPSOffice_Level3"/>
      <w:bookmarkStart w:id="995" w:name="_Toc5387_WPSOffice_Level3"/>
      <w:r>
        <w:rPr>
          <w:rFonts w:hint="eastAsia" w:ascii="宋体" w:hAnsi="宋体" w:eastAsia="宋体" w:cs="宋体"/>
          <w:sz w:val="28"/>
          <w:szCs w:val="28"/>
        </w:rPr>
        <w:t>18）《石油化工设备和管道涂料防腐蚀设计规范》（SH3022-2011）；</w:t>
      </w:r>
      <w:bookmarkEnd w:id="993"/>
      <w:bookmarkEnd w:id="994"/>
      <w:bookmarkEnd w:id="995"/>
    </w:p>
    <w:p>
      <w:pPr>
        <w:pageBreakBefore w:val="0"/>
        <w:widowControl w:val="0"/>
        <w:kinsoku/>
        <w:wordWrap/>
        <w:overflowPunct/>
        <w:topLinePunct w:val="0"/>
        <w:autoSpaceDE w:val="0"/>
        <w:autoSpaceDN w:val="0"/>
        <w:bidi w:val="0"/>
        <w:adjustRightInd/>
        <w:spacing w:line="560" w:lineRule="exact"/>
        <w:ind w:firstLine="560" w:firstLineChars="200"/>
        <w:textAlignment w:val="auto"/>
        <w:rPr>
          <w:rFonts w:hint="eastAsia" w:ascii="宋体" w:hAnsi="宋体" w:eastAsia="宋体" w:cs="宋体"/>
          <w:sz w:val="28"/>
          <w:szCs w:val="28"/>
        </w:rPr>
      </w:pPr>
      <w:bookmarkStart w:id="996" w:name="_Toc26481_WPSOffice_Level3"/>
      <w:bookmarkStart w:id="997" w:name="_Toc27931_WPSOffice_Level3"/>
      <w:bookmarkStart w:id="998" w:name="_Toc3670_WPSOffice_Level3"/>
      <w:r>
        <w:rPr>
          <w:rFonts w:hint="eastAsia" w:ascii="宋体" w:hAnsi="宋体" w:eastAsia="宋体" w:cs="宋体"/>
          <w:sz w:val="28"/>
          <w:szCs w:val="28"/>
        </w:rPr>
        <w:t>19）《钢质管道外腐蚀控制规范》（GB/T21447-20</w:t>
      </w:r>
      <w:r>
        <w:rPr>
          <w:rFonts w:hint="eastAsia" w:ascii="宋体" w:hAnsi="宋体" w:eastAsia="宋体" w:cs="宋体"/>
          <w:sz w:val="28"/>
          <w:szCs w:val="28"/>
          <w:lang w:val="en-US" w:eastAsia="zh-CN"/>
        </w:rPr>
        <w:t>1</w:t>
      </w:r>
      <w:r>
        <w:rPr>
          <w:rFonts w:hint="eastAsia" w:ascii="宋体" w:hAnsi="宋体" w:eastAsia="宋体" w:cs="宋体"/>
          <w:sz w:val="28"/>
          <w:szCs w:val="28"/>
        </w:rPr>
        <w:t>8）；</w:t>
      </w:r>
      <w:bookmarkEnd w:id="996"/>
      <w:bookmarkEnd w:id="997"/>
      <w:bookmarkEnd w:id="998"/>
    </w:p>
    <w:p>
      <w:pPr>
        <w:pageBreakBefore w:val="0"/>
        <w:widowControl w:val="0"/>
        <w:kinsoku/>
        <w:wordWrap/>
        <w:overflowPunct/>
        <w:topLinePunct w:val="0"/>
        <w:autoSpaceDE w:val="0"/>
        <w:autoSpaceDN w:val="0"/>
        <w:bidi w:val="0"/>
        <w:adjustRightInd/>
        <w:spacing w:line="560" w:lineRule="exact"/>
        <w:ind w:firstLine="560" w:firstLineChars="200"/>
        <w:textAlignment w:val="auto"/>
        <w:rPr>
          <w:rFonts w:hint="eastAsia" w:ascii="宋体" w:hAnsi="宋体" w:eastAsia="宋体" w:cs="宋体"/>
          <w:sz w:val="28"/>
          <w:szCs w:val="28"/>
        </w:rPr>
      </w:pPr>
      <w:bookmarkStart w:id="999" w:name="_Toc8123_WPSOffice_Level3"/>
      <w:bookmarkStart w:id="1000" w:name="_Toc32544_WPSOffice_Level3"/>
      <w:bookmarkStart w:id="1001" w:name="_Toc19716_WPSOffice_Level3"/>
      <w:r>
        <w:rPr>
          <w:rFonts w:hint="eastAsia" w:ascii="宋体" w:hAnsi="宋体" w:eastAsia="宋体" w:cs="宋体"/>
          <w:sz w:val="28"/>
          <w:szCs w:val="28"/>
        </w:rPr>
        <w:t>20）《安全标志及其使用导则》（GB2894-2008）；</w:t>
      </w:r>
      <w:bookmarkEnd w:id="999"/>
      <w:bookmarkEnd w:id="1000"/>
      <w:bookmarkEnd w:id="1001"/>
    </w:p>
    <w:p>
      <w:pPr>
        <w:pStyle w:val="41"/>
        <w:pageBreakBefore w:val="0"/>
        <w:widowControl w:val="0"/>
        <w:kinsoku/>
        <w:wordWrap/>
        <w:overflowPunct/>
        <w:topLinePunct w:val="0"/>
        <w:autoSpaceDE w:val="0"/>
        <w:autoSpaceDN w:val="0"/>
        <w:bidi w:val="0"/>
        <w:adjustRightInd/>
        <w:spacing w:line="560" w:lineRule="exact"/>
        <w:textAlignment w:val="auto"/>
        <w:rPr>
          <w:rFonts w:hint="eastAsia" w:ascii="宋体" w:hAnsi="宋体" w:eastAsia="宋体" w:cs="宋体"/>
          <w:szCs w:val="28"/>
        </w:rPr>
      </w:pPr>
      <w:bookmarkStart w:id="1002" w:name="_Toc30506_WPSOffice_Level3"/>
      <w:bookmarkStart w:id="1003" w:name="_Toc19386_WPSOffice_Level3"/>
      <w:bookmarkStart w:id="1004" w:name="_Toc22292_WPSOffice_Level3"/>
      <w:r>
        <w:rPr>
          <w:rFonts w:hint="eastAsia" w:ascii="宋体" w:hAnsi="宋体" w:eastAsia="宋体" w:cs="宋体"/>
          <w:szCs w:val="28"/>
        </w:rPr>
        <w:t>21）《生产经营单位生产安全事故应急预案编制导则》（GB/T29639-2013）；</w:t>
      </w:r>
      <w:bookmarkEnd w:id="1002"/>
      <w:bookmarkEnd w:id="1003"/>
      <w:bookmarkEnd w:id="1004"/>
    </w:p>
    <w:p>
      <w:pPr>
        <w:pStyle w:val="41"/>
        <w:pageBreakBefore w:val="0"/>
        <w:widowControl w:val="0"/>
        <w:kinsoku/>
        <w:wordWrap/>
        <w:overflowPunct/>
        <w:topLinePunct w:val="0"/>
        <w:autoSpaceDE w:val="0"/>
        <w:autoSpaceDN w:val="0"/>
        <w:bidi w:val="0"/>
        <w:adjustRightInd/>
        <w:spacing w:line="560" w:lineRule="exact"/>
        <w:textAlignment w:val="auto"/>
        <w:rPr>
          <w:rFonts w:hint="eastAsia" w:ascii="宋体" w:hAnsi="宋体" w:eastAsia="宋体" w:cs="宋体"/>
          <w:szCs w:val="28"/>
        </w:rPr>
      </w:pPr>
      <w:bookmarkStart w:id="1005" w:name="_Toc11117_WPSOffice_Level3"/>
      <w:bookmarkStart w:id="1006" w:name="_Toc15072_WPSOffice_Level3"/>
      <w:bookmarkStart w:id="1007" w:name="_Toc21640_WPSOffice_Level3"/>
      <w:r>
        <w:rPr>
          <w:rFonts w:hint="eastAsia" w:ascii="宋体" w:hAnsi="宋体" w:eastAsia="宋体" w:cs="宋体"/>
          <w:szCs w:val="28"/>
        </w:rPr>
        <w:t>22）《职业性接触毒物危害程度分级》（GBZ230-2010）；</w:t>
      </w:r>
      <w:bookmarkEnd w:id="1005"/>
      <w:bookmarkEnd w:id="1006"/>
      <w:bookmarkEnd w:id="1007"/>
    </w:p>
    <w:p>
      <w:pPr>
        <w:pStyle w:val="41"/>
        <w:pageBreakBefore w:val="0"/>
        <w:widowControl w:val="0"/>
        <w:kinsoku/>
        <w:wordWrap/>
        <w:overflowPunct/>
        <w:topLinePunct w:val="0"/>
        <w:autoSpaceDE w:val="0"/>
        <w:autoSpaceDN w:val="0"/>
        <w:bidi w:val="0"/>
        <w:adjustRightInd/>
        <w:spacing w:line="560" w:lineRule="exact"/>
        <w:textAlignment w:val="auto"/>
        <w:rPr>
          <w:rFonts w:hint="eastAsia" w:ascii="宋体" w:hAnsi="宋体" w:eastAsia="宋体" w:cs="宋体"/>
          <w:szCs w:val="28"/>
        </w:rPr>
      </w:pPr>
      <w:bookmarkStart w:id="1008" w:name="_Toc15532_WPSOffice_Level3"/>
      <w:bookmarkStart w:id="1009" w:name="_Toc31364_WPSOffice_Level3"/>
      <w:bookmarkStart w:id="1010" w:name="_Toc19622_WPSOffice_Level3"/>
      <w:r>
        <w:rPr>
          <w:rFonts w:hint="eastAsia" w:ascii="宋体" w:hAnsi="宋体" w:eastAsia="宋体" w:cs="宋体"/>
          <w:szCs w:val="28"/>
        </w:rPr>
        <w:t>23）《加油站作业安全规范》（AQ3010-2007）；</w:t>
      </w:r>
      <w:bookmarkEnd w:id="1008"/>
      <w:bookmarkEnd w:id="1009"/>
      <w:bookmarkEnd w:id="1010"/>
    </w:p>
    <w:p>
      <w:pPr>
        <w:pStyle w:val="41"/>
        <w:pageBreakBefore w:val="0"/>
        <w:widowControl w:val="0"/>
        <w:kinsoku/>
        <w:wordWrap/>
        <w:overflowPunct/>
        <w:topLinePunct w:val="0"/>
        <w:autoSpaceDE w:val="0"/>
        <w:autoSpaceDN w:val="0"/>
        <w:bidi w:val="0"/>
        <w:adjustRightInd/>
        <w:spacing w:line="560" w:lineRule="exact"/>
        <w:textAlignment w:val="auto"/>
        <w:rPr>
          <w:rFonts w:hint="eastAsia" w:ascii="宋体" w:hAnsi="宋体" w:eastAsia="宋体" w:cs="宋体"/>
          <w:szCs w:val="28"/>
        </w:rPr>
      </w:pPr>
      <w:bookmarkStart w:id="1011" w:name="_Toc18077_WPSOffice_Level3"/>
      <w:bookmarkStart w:id="1012" w:name="_Toc4035_WPSOffice_Level3"/>
      <w:bookmarkStart w:id="1013" w:name="_Toc2171_WPSOffice_Level3"/>
      <w:r>
        <w:rPr>
          <w:rFonts w:hint="eastAsia" w:ascii="宋体" w:hAnsi="宋体" w:eastAsia="宋体" w:cs="宋体"/>
          <w:szCs w:val="28"/>
        </w:rPr>
        <w:t>24）《化学品生产单位特殊作业安全规范》（GB30871-2014）；</w:t>
      </w:r>
      <w:bookmarkEnd w:id="1011"/>
      <w:bookmarkEnd w:id="1012"/>
      <w:bookmarkEnd w:id="1013"/>
    </w:p>
    <w:p>
      <w:pPr>
        <w:pStyle w:val="41"/>
        <w:pageBreakBefore w:val="0"/>
        <w:widowControl w:val="0"/>
        <w:kinsoku/>
        <w:wordWrap/>
        <w:overflowPunct/>
        <w:topLinePunct w:val="0"/>
        <w:autoSpaceDE w:val="0"/>
        <w:autoSpaceDN w:val="0"/>
        <w:bidi w:val="0"/>
        <w:adjustRightInd/>
        <w:spacing w:line="560" w:lineRule="exact"/>
        <w:textAlignment w:val="auto"/>
        <w:rPr>
          <w:rFonts w:hint="eastAsia" w:ascii="宋体" w:hAnsi="宋体" w:eastAsia="宋体" w:cs="宋体"/>
          <w:szCs w:val="28"/>
          <w:lang w:val="en-US"/>
        </w:rPr>
      </w:pPr>
      <w:bookmarkStart w:id="1014" w:name="_Toc18830_WPSOffice_Level3"/>
      <w:bookmarkStart w:id="1015" w:name="_Toc27236_WPSOffice_Level3"/>
      <w:r>
        <w:rPr>
          <w:rFonts w:hint="eastAsia" w:ascii="宋体" w:hAnsi="宋体" w:eastAsia="宋体" w:cs="宋体"/>
          <w:szCs w:val="28"/>
          <w:lang w:val="en-US"/>
        </w:rPr>
        <w:t>25）《加油加气站视频安防监控系统技术要求》（AQ/T30350-2013）</w:t>
      </w:r>
      <w:bookmarkEnd w:id="1014"/>
      <w:bookmarkEnd w:id="1015"/>
    </w:p>
    <w:p>
      <w:pPr>
        <w:pStyle w:val="41"/>
        <w:pageBreakBefore w:val="0"/>
        <w:widowControl w:val="0"/>
        <w:kinsoku/>
        <w:wordWrap/>
        <w:overflowPunct/>
        <w:topLinePunct w:val="0"/>
        <w:autoSpaceDE w:val="0"/>
        <w:autoSpaceDN w:val="0"/>
        <w:bidi w:val="0"/>
        <w:adjustRightInd/>
        <w:spacing w:line="560" w:lineRule="exact"/>
        <w:textAlignment w:val="auto"/>
        <w:rPr>
          <w:rFonts w:hint="eastAsia" w:ascii="宋体" w:hAnsi="宋体" w:eastAsia="宋体" w:cs="宋体"/>
          <w:szCs w:val="28"/>
        </w:rPr>
      </w:pPr>
      <w:bookmarkStart w:id="1016" w:name="_Toc3409_WPSOffice_Level3"/>
      <w:bookmarkStart w:id="1017" w:name="_Toc17731_WPSOffice_Level3"/>
      <w:bookmarkStart w:id="1018" w:name="_Toc2634_WPSOffice_Level3"/>
      <w:r>
        <w:rPr>
          <w:rFonts w:hint="eastAsia" w:ascii="宋体" w:hAnsi="宋体" w:eastAsia="宋体" w:cs="宋体"/>
          <w:szCs w:val="28"/>
        </w:rPr>
        <w:t>2</w:t>
      </w:r>
      <w:r>
        <w:rPr>
          <w:rFonts w:hint="eastAsia" w:ascii="宋体" w:hAnsi="宋体" w:eastAsia="宋体" w:cs="宋体"/>
          <w:szCs w:val="28"/>
          <w:lang w:val="en-US"/>
        </w:rPr>
        <w:t>6</w:t>
      </w:r>
      <w:r>
        <w:rPr>
          <w:rFonts w:hint="eastAsia" w:ascii="宋体" w:hAnsi="宋体" w:eastAsia="宋体" w:cs="宋体"/>
          <w:szCs w:val="28"/>
        </w:rPr>
        <w:t>）国家其他相关标准和规范。</w:t>
      </w:r>
      <w:bookmarkEnd w:id="1016"/>
      <w:bookmarkEnd w:id="1017"/>
      <w:bookmarkEnd w:id="1018"/>
    </w:p>
    <w:p>
      <w:pPr>
        <w:spacing w:line="500" w:lineRule="exact"/>
        <w:ind w:firstLine="440" w:firstLineChars="200"/>
        <w:rPr>
          <w:rFonts w:hint="eastAsia" w:ascii="宋体" w:hAnsi="宋体" w:eastAsia="宋体" w:cs="宋体"/>
        </w:rPr>
        <w:sectPr>
          <w:pgSz w:w="11910" w:h="16840"/>
          <w:pgMar w:top="1417" w:right="1134" w:bottom="1134" w:left="1587" w:header="720" w:footer="720" w:gutter="0"/>
          <w:pgNumType w:fmt="decimal"/>
          <w:cols w:space="0" w:num="1"/>
        </w:sectPr>
      </w:pPr>
    </w:p>
    <w:p>
      <w:pPr>
        <w:pStyle w:val="2"/>
        <w:jc w:val="center"/>
        <w:rPr>
          <w:rFonts w:hint="eastAsia" w:ascii="宋体" w:hAnsi="宋体" w:eastAsia="宋体" w:cs="宋体"/>
        </w:rPr>
      </w:pPr>
      <w:bookmarkStart w:id="1019" w:name="_Toc19464"/>
      <w:bookmarkStart w:id="1020" w:name="_Toc20176_WPSOffice_Level1"/>
      <w:bookmarkStart w:id="1021" w:name="_Toc2062_WPSOffice_Level1"/>
      <w:bookmarkStart w:id="1022" w:name="_Toc16314"/>
      <w:bookmarkStart w:id="1023" w:name="_Toc3444_WPSOffice_Level1"/>
      <w:bookmarkStart w:id="1024" w:name="_Toc4634_WPSOffice_Level1"/>
      <w:bookmarkStart w:id="1025" w:name="_Toc25387_WPSOffice_Level1"/>
      <w:bookmarkStart w:id="1026" w:name="_Toc13155_WPSOffice_Level1"/>
      <w:r>
        <w:rPr>
          <w:rFonts w:hint="eastAsia" w:ascii="宋体" w:hAnsi="宋体" w:eastAsia="宋体" w:cs="宋体"/>
        </w:rPr>
        <w:t>附</w:t>
      </w:r>
      <w:r>
        <w:rPr>
          <w:rFonts w:hint="eastAsia" w:ascii="宋体" w:hAnsi="宋体" w:eastAsia="宋体" w:cs="宋体"/>
          <w:lang w:val="en-US"/>
        </w:rPr>
        <w:t xml:space="preserve">  </w:t>
      </w:r>
      <w:r>
        <w:rPr>
          <w:rFonts w:hint="eastAsia" w:ascii="宋体" w:hAnsi="宋体" w:eastAsia="宋体" w:cs="宋体"/>
        </w:rPr>
        <w:t>录</w:t>
      </w:r>
      <w:bookmarkEnd w:id="1019"/>
      <w:bookmarkEnd w:id="1020"/>
      <w:bookmarkEnd w:id="1021"/>
      <w:bookmarkEnd w:id="1022"/>
      <w:bookmarkEnd w:id="1023"/>
    </w:p>
    <w:p>
      <w:pPr>
        <w:pStyle w:val="22"/>
        <w:keepNext w:val="0"/>
        <w:keepLines w:val="0"/>
        <w:pageBreakBefore w:val="0"/>
        <w:widowControl w:val="0"/>
        <w:tabs>
          <w:tab w:val="left" w:pos="1276"/>
        </w:tabs>
        <w:kinsoku/>
        <w:wordWrap/>
        <w:overflowPunct/>
        <w:topLinePunct w:val="0"/>
        <w:autoSpaceDE/>
        <w:autoSpaceDN/>
        <w:bidi w:val="0"/>
        <w:adjustRightInd/>
        <w:snapToGrid/>
        <w:spacing w:line="560" w:lineRule="exact"/>
        <w:ind w:left="0"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1）委托书</w:t>
      </w:r>
    </w:p>
    <w:p>
      <w:pPr>
        <w:pStyle w:val="22"/>
        <w:keepNext w:val="0"/>
        <w:keepLines w:val="0"/>
        <w:pageBreakBefore w:val="0"/>
        <w:widowControl w:val="0"/>
        <w:tabs>
          <w:tab w:val="left" w:pos="1276"/>
        </w:tabs>
        <w:kinsoku/>
        <w:wordWrap/>
        <w:overflowPunct/>
        <w:topLinePunct w:val="0"/>
        <w:autoSpaceDE/>
        <w:autoSpaceDN/>
        <w:bidi w:val="0"/>
        <w:adjustRightInd/>
        <w:snapToGrid/>
        <w:spacing w:line="560" w:lineRule="exact"/>
        <w:ind w:left="0"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）营业执照；</w:t>
      </w:r>
    </w:p>
    <w:p>
      <w:pPr>
        <w:pStyle w:val="22"/>
        <w:keepNext w:val="0"/>
        <w:keepLines w:val="0"/>
        <w:pageBreakBefore w:val="0"/>
        <w:widowControl w:val="0"/>
        <w:tabs>
          <w:tab w:val="left" w:pos="1276"/>
        </w:tabs>
        <w:kinsoku/>
        <w:wordWrap/>
        <w:overflowPunct/>
        <w:topLinePunct w:val="0"/>
        <w:autoSpaceDE/>
        <w:autoSpaceDN/>
        <w:bidi w:val="0"/>
        <w:adjustRightInd/>
        <w:snapToGrid/>
        <w:spacing w:line="560" w:lineRule="exact"/>
        <w:ind w:left="0"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）成品油零售经营批准书；</w:t>
      </w:r>
    </w:p>
    <w:p>
      <w:pPr>
        <w:pStyle w:val="22"/>
        <w:keepNext w:val="0"/>
        <w:keepLines w:val="0"/>
        <w:pageBreakBefore w:val="0"/>
        <w:widowControl w:val="0"/>
        <w:tabs>
          <w:tab w:val="left" w:pos="1276"/>
        </w:tabs>
        <w:kinsoku/>
        <w:wordWrap/>
        <w:overflowPunct/>
        <w:topLinePunct w:val="0"/>
        <w:autoSpaceDE/>
        <w:autoSpaceDN/>
        <w:bidi w:val="0"/>
        <w:adjustRightInd/>
        <w:snapToGrid/>
        <w:spacing w:line="560" w:lineRule="exact"/>
        <w:ind w:left="0"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）危险化学品经营许可证；</w:t>
      </w:r>
    </w:p>
    <w:p>
      <w:pPr>
        <w:pStyle w:val="22"/>
        <w:keepNext w:val="0"/>
        <w:keepLines w:val="0"/>
        <w:pageBreakBefore w:val="0"/>
        <w:widowControl w:val="0"/>
        <w:tabs>
          <w:tab w:val="left" w:pos="1276"/>
        </w:tabs>
        <w:kinsoku/>
        <w:wordWrap/>
        <w:overflowPunct/>
        <w:topLinePunct w:val="0"/>
        <w:autoSpaceDE/>
        <w:autoSpaceDN/>
        <w:bidi w:val="0"/>
        <w:adjustRightInd/>
        <w:snapToGrid/>
        <w:spacing w:line="560" w:lineRule="exact"/>
        <w:ind w:left="0"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w:t>
      </w:r>
      <w:r>
        <w:rPr>
          <w:rFonts w:hint="eastAsia" w:ascii="宋体" w:hAnsi="宋体" w:eastAsia="宋体" w:cs="宋体"/>
          <w:sz w:val="28"/>
          <w:szCs w:val="28"/>
          <w:lang w:eastAsia="zh-CN"/>
        </w:rPr>
        <w:t>土地使用证、</w:t>
      </w:r>
      <w:r>
        <w:rPr>
          <w:rFonts w:hint="eastAsia" w:ascii="宋体" w:hAnsi="宋体" w:eastAsia="宋体" w:cs="宋体"/>
          <w:color w:val="auto"/>
          <w:sz w:val="28"/>
          <w:szCs w:val="28"/>
          <w:lang w:val="en-US" w:eastAsia="zh-CN"/>
        </w:rPr>
        <w:t>租赁合同及三方协议</w:t>
      </w:r>
      <w:r>
        <w:rPr>
          <w:rFonts w:hint="eastAsia" w:ascii="宋体" w:hAnsi="宋体" w:eastAsia="宋体" w:cs="宋体"/>
          <w:sz w:val="28"/>
          <w:szCs w:val="28"/>
        </w:rPr>
        <w:t>；</w:t>
      </w:r>
    </w:p>
    <w:p>
      <w:pPr>
        <w:pStyle w:val="22"/>
        <w:keepNext w:val="0"/>
        <w:keepLines w:val="0"/>
        <w:pageBreakBefore w:val="0"/>
        <w:widowControl w:val="0"/>
        <w:tabs>
          <w:tab w:val="left" w:pos="1276"/>
          <w:tab w:val="left" w:pos="1701"/>
        </w:tabs>
        <w:kinsoku/>
        <w:wordWrap/>
        <w:overflowPunct/>
        <w:topLinePunct w:val="0"/>
        <w:autoSpaceDE/>
        <w:autoSpaceDN/>
        <w:bidi w:val="0"/>
        <w:adjustRightInd/>
        <w:snapToGrid/>
        <w:spacing w:line="560" w:lineRule="exact"/>
        <w:ind w:left="0"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val="en-US" w:eastAsia="zh-CN"/>
        </w:rPr>
        <w:t>6</w:t>
      </w:r>
      <w:r>
        <w:rPr>
          <w:rFonts w:hint="eastAsia" w:ascii="宋体" w:hAnsi="宋体" w:eastAsia="宋体" w:cs="宋体"/>
          <w:color w:val="auto"/>
          <w:sz w:val="28"/>
          <w:szCs w:val="28"/>
        </w:rPr>
        <w:t>）</w:t>
      </w:r>
      <w:r>
        <w:rPr>
          <w:rFonts w:hint="eastAsia" w:ascii="宋体" w:hAnsi="宋体" w:eastAsia="宋体" w:cs="宋体"/>
          <w:sz w:val="28"/>
          <w:szCs w:val="28"/>
        </w:rPr>
        <w:t>加油站</w:t>
      </w:r>
      <w:r>
        <w:rPr>
          <w:rFonts w:hint="eastAsia" w:ascii="宋体" w:hAnsi="宋体" w:eastAsia="宋体" w:cs="宋体"/>
          <w:sz w:val="28"/>
          <w:szCs w:val="28"/>
          <w:lang w:eastAsia="zh-CN"/>
        </w:rPr>
        <w:t>改建批复文件；</w:t>
      </w:r>
    </w:p>
    <w:p>
      <w:pPr>
        <w:pStyle w:val="22"/>
        <w:keepNext w:val="0"/>
        <w:keepLines w:val="0"/>
        <w:pageBreakBefore w:val="0"/>
        <w:widowControl w:val="0"/>
        <w:tabs>
          <w:tab w:val="left" w:pos="1276"/>
          <w:tab w:val="left" w:pos="1701"/>
        </w:tabs>
        <w:kinsoku/>
        <w:wordWrap/>
        <w:overflowPunct/>
        <w:topLinePunct w:val="0"/>
        <w:autoSpaceDE/>
        <w:autoSpaceDN/>
        <w:bidi w:val="0"/>
        <w:adjustRightInd/>
        <w:snapToGrid/>
        <w:spacing w:line="560" w:lineRule="exact"/>
        <w:ind w:left="0"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val="en-US" w:eastAsia="zh-CN"/>
        </w:rPr>
        <w:t>7</w:t>
      </w:r>
      <w:r>
        <w:rPr>
          <w:rFonts w:hint="eastAsia" w:ascii="宋体" w:hAnsi="宋体" w:eastAsia="宋体" w:cs="宋体"/>
          <w:color w:val="auto"/>
          <w:sz w:val="28"/>
          <w:szCs w:val="28"/>
        </w:rPr>
        <w:t>）</w:t>
      </w:r>
      <w:r>
        <w:rPr>
          <w:rFonts w:hint="eastAsia" w:ascii="宋体" w:hAnsi="宋体" w:eastAsia="宋体" w:cs="宋体"/>
          <w:sz w:val="28"/>
          <w:szCs w:val="28"/>
        </w:rPr>
        <w:t>加油站</w:t>
      </w:r>
      <w:r>
        <w:rPr>
          <w:rFonts w:hint="eastAsia" w:ascii="宋体" w:hAnsi="宋体" w:eastAsia="宋体" w:cs="宋体"/>
          <w:sz w:val="28"/>
          <w:szCs w:val="28"/>
          <w:lang w:eastAsia="zh-CN"/>
        </w:rPr>
        <w:t>主要负责人、安全管理</w:t>
      </w:r>
      <w:r>
        <w:rPr>
          <w:rFonts w:hint="eastAsia" w:ascii="宋体" w:hAnsi="宋体" w:eastAsia="宋体" w:cs="宋体"/>
          <w:sz w:val="28"/>
          <w:szCs w:val="28"/>
        </w:rPr>
        <w:t>人员资格证书</w:t>
      </w:r>
      <w:r>
        <w:rPr>
          <w:rFonts w:hint="eastAsia" w:ascii="宋体" w:hAnsi="宋体" w:eastAsia="宋体" w:cs="宋体"/>
          <w:sz w:val="28"/>
          <w:szCs w:val="28"/>
          <w:lang w:eastAsia="zh-CN"/>
        </w:rPr>
        <w:t>；</w:t>
      </w:r>
    </w:p>
    <w:p>
      <w:pPr>
        <w:pStyle w:val="22"/>
        <w:keepNext w:val="0"/>
        <w:keepLines w:val="0"/>
        <w:pageBreakBefore w:val="0"/>
        <w:widowControl w:val="0"/>
        <w:tabs>
          <w:tab w:val="left" w:pos="1276"/>
        </w:tabs>
        <w:kinsoku/>
        <w:wordWrap/>
        <w:overflowPunct/>
        <w:topLinePunct w:val="0"/>
        <w:autoSpaceDE/>
        <w:autoSpaceDN/>
        <w:bidi w:val="0"/>
        <w:adjustRightInd/>
        <w:snapToGrid/>
        <w:spacing w:line="560" w:lineRule="exact"/>
        <w:ind w:left="0"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8</w:t>
      </w:r>
      <w:r>
        <w:rPr>
          <w:rFonts w:hint="eastAsia" w:ascii="宋体" w:hAnsi="宋体" w:eastAsia="宋体" w:cs="宋体"/>
          <w:sz w:val="28"/>
          <w:szCs w:val="28"/>
        </w:rPr>
        <w:t>）</w:t>
      </w:r>
      <w:r>
        <w:rPr>
          <w:rFonts w:hint="eastAsia" w:ascii="宋体" w:hAnsi="宋体" w:eastAsia="宋体" w:cs="宋体"/>
          <w:sz w:val="28"/>
          <w:szCs w:val="28"/>
          <w:lang w:eastAsia="zh-CN"/>
        </w:rPr>
        <w:t>社保证明</w:t>
      </w:r>
      <w:r>
        <w:rPr>
          <w:rFonts w:hint="eastAsia" w:ascii="宋体" w:hAnsi="宋体" w:eastAsia="宋体" w:cs="宋体"/>
          <w:sz w:val="28"/>
          <w:szCs w:val="28"/>
        </w:rPr>
        <w:t>；</w:t>
      </w:r>
    </w:p>
    <w:p>
      <w:pPr>
        <w:keepNext w:val="0"/>
        <w:keepLines w:val="0"/>
        <w:pageBreakBefore w:val="0"/>
        <w:widowControl w:val="0"/>
        <w:tabs>
          <w:tab w:val="left" w:pos="1276"/>
        </w:tabs>
        <w:kinsoku/>
        <w:wordWrap/>
        <w:overflowPunct/>
        <w:topLinePunct w:val="0"/>
        <w:autoSpaceDE/>
        <w:autoSpaceDN/>
        <w:bidi w:val="0"/>
        <w:adjustRightInd/>
        <w:snapToGrid/>
        <w:spacing w:line="56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9</w:t>
      </w:r>
      <w:r>
        <w:rPr>
          <w:rFonts w:hint="eastAsia" w:ascii="宋体" w:hAnsi="宋体" w:eastAsia="宋体" w:cs="宋体"/>
          <w:sz w:val="28"/>
          <w:szCs w:val="28"/>
        </w:rPr>
        <w:t>）</w:t>
      </w:r>
      <w:r>
        <w:rPr>
          <w:rFonts w:hint="eastAsia" w:ascii="宋体" w:hAnsi="宋体" w:eastAsia="宋体" w:cs="宋体"/>
          <w:sz w:val="28"/>
          <w:szCs w:val="28"/>
          <w:lang w:eastAsia="zh-CN"/>
        </w:rPr>
        <w:t>改建前应急预案登记表</w:t>
      </w:r>
      <w:r>
        <w:rPr>
          <w:rFonts w:hint="eastAsia" w:ascii="宋体" w:hAnsi="宋体" w:eastAsia="宋体" w:cs="宋体"/>
          <w:sz w:val="28"/>
          <w:szCs w:val="28"/>
        </w:rPr>
        <w:t>；</w:t>
      </w:r>
    </w:p>
    <w:p>
      <w:pPr>
        <w:keepNext w:val="0"/>
        <w:keepLines w:val="0"/>
        <w:pageBreakBefore w:val="0"/>
        <w:widowControl w:val="0"/>
        <w:tabs>
          <w:tab w:val="left" w:pos="1276"/>
        </w:tabs>
        <w:kinsoku/>
        <w:wordWrap/>
        <w:overflowPunct/>
        <w:topLinePunct w:val="0"/>
        <w:autoSpaceDE/>
        <w:autoSpaceDN/>
        <w:bidi w:val="0"/>
        <w:adjustRightInd/>
        <w:snapToGrid/>
        <w:spacing w:line="560" w:lineRule="exact"/>
        <w:ind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10）改建前消防验收意见书</w:t>
      </w:r>
    </w:p>
    <w:p>
      <w:pPr>
        <w:pStyle w:val="22"/>
        <w:keepNext w:val="0"/>
        <w:keepLines w:val="0"/>
        <w:pageBreakBefore w:val="0"/>
        <w:widowControl w:val="0"/>
        <w:tabs>
          <w:tab w:val="left" w:pos="1276"/>
        </w:tabs>
        <w:kinsoku/>
        <w:wordWrap/>
        <w:overflowPunct/>
        <w:topLinePunct w:val="0"/>
        <w:autoSpaceDE/>
        <w:autoSpaceDN/>
        <w:bidi w:val="0"/>
        <w:adjustRightInd/>
        <w:snapToGrid/>
        <w:spacing w:line="560" w:lineRule="exact"/>
        <w:ind w:left="0"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11</w:t>
      </w:r>
      <w:r>
        <w:rPr>
          <w:rFonts w:hint="eastAsia" w:ascii="宋体" w:hAnsi="宋体" w:eastAsia="宋体" w:cs="宋体"/>
          <w:sz w:val="28"/>
          <w:szCs w:val="28"/>
        </w:rPr>
        <w:t>）</w:t>
      </w:r>
      <w:r>
        <w:rPr>
          <w:rFonts w:hint="eastAsia" w:ascii="宋体" w:hAnsi="宋体" w:eastAsia="宋体" w:cs="宋体"/>
          <w:sz w:val="28"/>
          <w:szCs w:val="28"/>
          <w:lang w:eastAsia="zh-CN"/>
        </w:rPr>
        <w:t>安全条件审查意见书、安全设施设计审查意见书</w:t>
      </w:r>
      <w:r>
        <w:rPr>
          <w:rFonts w:hint="eastAsia" w:ascii="宋体" w:hAnsi="宋体" w:eastAsia="宋体" w:cs="宋体"/>
          <w:sz w:val="28"/>
          <w:szCs w:val="28"/>
        </w:rPr>
        <w:t>；</w:t>
      </w:r>
    </w:p>
    <w:p>
      <w:pPr>
        <w:pStyle w:val="22"/>
        <w:keepNext w:val="0"/>
        <w:keepLines w:val="0"/>
        <w:pageBreakBefore w:val="0"/>
        <w:widowControl w:val="0"/>
        <w:tabs>
          <w:tab w:val="left" w:pos="1276"/>
        </w:tabs>
        <w:kinsoku/>
        <w:wordWrap/>
        <w:overflowPunct/>
        <w:topLinePunct w:val="0"/>
        <w:autoSpaceDE/>
        <w:autoSpaceDN/>
        <w:bidi w:val="0"/>
        <w:adjustRightInd/>
        <w:snapToGrid/>
        <w:spacing w:line="560" w:lineRule="exact"/>
        <w:ind w:left="0"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lang w:val="en-US"/>
        </w:rPr>
        <w:t>1</w:t>
      </w:r>
      <w:r>
        <w:rPr>
          <w:rFonts w:hint="eastAsia" w:ascii="宋体" w:hAnsi="宋体" w:eastAsia="宋体" w:cs="宋体"/>
          <w:sz w:val="28"/>
          <w:szCs w:val="28"/>
          <w:lang w:val="en-US" w:eastAsia="zh-CN"/>
        </w:rPr>
        <w:t>2</w:t>
      </w:r>
      <w:r>
        <w:rPr>
          <w:rFonts w:hint="eastAsia" w:ascii="宋体" w:hAnsi="宋体" w:eastAsia="宋体" w:cs="宋体"/>
          <w:sz w:val="28"/>
          <w:szCs w:val="28"/>
        </w:rPr>
        <w:t>）</w:t>
      </w:r>
      <w:r>
        <w:rPr>
          <w:rFonts w:hint="eastAsia" w:ascii="宋体" w:hAnsi="宋体" w:eastAsia="宋体" w:cs="宋体"/>
          <w:color w:val="auto"/>
          <w:sz w:val="28"/>
          <w:szCs w:val="28"/>
        </w:rPr>
        <w:t>设计单位营业执照、资质证明文件；</w:t>
      </w:r>
    </w:p>
    <w:p>
      <w:pPr>
        <w:pStyle w:val="22"/>
        <w:keepNext w:val="0"/>
        <w:keepLines w:val="0"/>
        <w:pageBreakBefore w:val="0"/>
        <w:widowControl w:val="0"/>
        <w:tabs>
          <w:tab w:val="left" w:pos="1276"/>
        </w:tabs>
        <w:kinsoku/>
        <w:wordWrap/>
        <w:overflowPunct/>
        <w:topLinePunct w:val="0"/>
        <w:autoSpaceDE/>
        <w:autoSpaceDN/>
        <w:bidi w:val="0"/>
        <w:adjustRightInd/>
        <w:snapToGrid/>
        <w:spacing w:line="560" w:lineRule="exact"/>
        <w:ind w:left="0"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lang w:val="en-US"/>
        </w:rPr>
        <w:t>1</w:t>
      </w:r>
      <w:r>
        <w:rPr>
          <w:rFonts w:hint="eastAsia" w:ascii="宋体" w:hAnsi="宋体" w:eastAsia="宋体" w:cs="宋体"/>
          <w:sz w:val="28"/>
          <w:szCs w:val="28"/>
          <w:lang w:val="en-US" w:eastAsia="zh-CN"/>
        </w:rPr>
        <w:t>3</w:t>
      </w:r>
      <w:r>
        <w:rPr>
          <w:rFonts w:hint="eastAsia" w:ascii="宋体" w:hAnsi="宋体" w:eastAsia="宋体" w:cs="宋体"/>
          <w:sz w:val="28"/>
          <w:szCs w:val="28"/>
        </w:rPr>
        <w:t>）施工单位营业执照、资质证明文件；</w:t>
      </w:r>
    </w:p>
    <w:p>
      <w:pPr>
        <w:pStyle w:val="22"/>
        <w:keepNext w:val="0"/>
        <w:keepLines w:val="0"/>
        <w:pageBreakBefore w:val="0"/>
        <w:widowControl w:val="0"/>
        <w:tabs>
          <w:tab w:val="left" w:pos="1276"/>
        </w:tabs>
        <w:kinsoku/>
        <w:wordWrap/>
        <w:overflowPunct/>
        <w:topLinePunct w:val="0"/>
        <w:autoSpaceDE/>
        <w:autoSpaceDN/>
        <w:bidi w:val="0"/>
        <w:adjustRightInd/>
        <w:snapToGrid/>
        <w:spacing w:line="560" w:lineRule="exact"/>
        <w:ind w:left="0"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lang w:val="en-US"/>
        </w:rPr>
        <w:t>1</w:t>
      </w:r>
      <w:r>
        <w:rPr>
          <w:rFonts w:hint="eastAsia" w:ascii="宋体" w:hAnsi="宋体" w:eastAsia="宋体" w:cs="宋体"/>
          <w:sz w:val="28"/>
          <w:szCs w:val="28"/>
          <w:lang w:val="en-US" w:eastAsia="zh-CN"/>
        </w:rPr>
        <w:t>4</w:t>
      </w:r>
      <w:r>
        <w:rPr>
          <w:rFonts w:hint="eastAsia" w:ascii="宋体" w:hAnsi="宋体" w:eastAsia="宋体" w:cs="宋体"/>
          <w:sz w:val="28"/>
          <w:szCs w:val="28"/>
        </w:rPr>
        <w:t>）监理单位营业执照、资质证明文件；</w:t>
      </w:r>
    </w:p>
    <w:p>
      <w:pPr>
        <w:pStyle w:val="22"/>
        <w:keepNext w:val="0"/>
        <w:keepLines w:val="0"/>
        <w:pageBreakBefore w:val="0"/>
        <w:widowControl w:val="0"/>
        <w:tabs>
          <w:tab w:val="left" w:pos="1276"/>
        </w:tabs>
        <w:kinsoku/>
        <w:wordWrap/>
        <w:overflowPunct/>
        <w:topLinePunct w:val="0"/>
        <w:autoSpaceDE/>
        <w:autoSpaceDN/>
        <w:bidi w:val="0"/>
        <w:adjustRightInd/>
        <w:snapToGrid/>
        <w:spacing w:line="560" w:lineRule="exact"/>
        <w:ind w:left="0"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lang w:val="en-US"/>
        </w:rPr>
        <w:t>1</w:t>
      </w:r>
      <w:r>
        <w:rPr>
          <w:rFonts w:hint="eastAsia" w:ascii="宋体" w:hAnsi="宋体" w:eastAsia="宋体" w:cs="宋体"/>
          <w:sz w:val="28"/>
          <w:szCs w:val="28"/>
          <w:lang w:val="en-US" w:eastAsia="zh-CN"/>
        </w:rPr>
        <w:t>5</w:t>
      </w:r>
      <w:r>
        <w:rPr>
          <w:rFonts w:hint="eastAsia" w:ascii="宋体" w:hAnsi="宋体" w:eastAsia="宋体" w:cs="宋体"/>
          <w:sz w:val="28"/>
          <w:szCs w:val="28"/>
        </w:rPr>
        <w:t>）</w:t>
      </w:r>
      <w:r>
        <w:rPr>
          <w:rFonts w:hint="eastAsia" w:ascii="宋体" w:hAnsi="宋体" w:eastAsia="宋体" w:cs="宋体"/>
          <w:sz w:val="28"/>
          <w:szCs w:val="28"/>
          <w:lang w:eastAsia="zh-CN"/>
        </w:rPr>
        <w:t>油罐、加油机及管道和防渗漏系统产品质量合格证书</w:t>
      </w:r>
      <w:r>
        <w:rPr>
          <w:rFonts w:hint="eastAsia" w:ascii="宋体" w:hAnsi="宋体" w:eastAsia="宋体" w:cs="宋体"/>
          <w:sz w:val="28"/>
          <w:szCs w:val="28"/>
        </w:rPr>
        <w:t>；</w:t>
      </w:r>
    </w:p>
    <w:p>
      <w:pPr>
        <w:pStyle w:val="22"/>
        <w:keepNext w:val="0"/>
        <w:keepLines w:val="0"/>
        <w:pageBreakBefore w:val="0"/>
        <w:widowControl w:val="0"/>
        <w:tabs>
          <w:tab w:val="left" w:pos="1276"/>
        </w:tabs>
        <w:kinsoku/>
        <w:wordWrap/>
        <w:overflowPunct/>
        <w:topLinePunct w:val="0"/>
        <w:autoSpaceDE/>
        <w:autoSpaceDN/>
        <w:bidi w:val="0"/>
        <w:adjustRightInd/>
        <w:snapToGrid/>
        <w:spacing w:line="560" w:lineRule="exact"/>
        <w:ind w:left="0"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16）管道试压记录</w:t>
      </w:r>
    </w:p>
    <w:p>
      <w:pPr>
        <w:pStyle w:val="22"/>
        <w:keepNext w:val="0"/>
        <w:keepLines w:val="0"/>
        <w:pageBreakBefore w:val="0"/>
        <w:widowControl w:val="0"/>
        <w:tabs>
          <w:tab w:val="left" w:pos="1276"/>
        </w:tabs>
        <w:kinsoku/>
        <w:wordWrap/>
        <w:overflowPunct/>
        <w:topLinePunct w:val="0"/>
        <w:autoSpaceDE/>
        <w:autoSpaceDN/>
        <w:bidi w:val="0"/>
        <w:adjustRightInd/>
        <w:snapToGrid/>
        <w:spacing w:line="560" w:lineRule="exact"/>
        <w:ind w:left="0"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lang w:val="en-US"/>
        </w:rPr>
        <w:t>1</w:t>
      </w:r>
      <w:r>
        <w:rPr>
          <w:rFonts w:hint="eastAsia" w:ascii="宋体" w:hAnsi="宋体" w:eastAsia="宋体" w:cs="宋体"/>
          <w:sz w:val="28"/>
          <w:szCs w:val="28"/>
          <w:lang w:val="en-US" w:eastAsia="zh-CN"/>
        </w:rPr>
        <w:t>7</w:t>
      </w:r>
      <w:r>
        <w:rPr>
          <w:rFonts w:hint="eastAsia" w:ascii="宋体" w:hAnsi="宋体" w:eastAsia="宋体" w:cs="宋体"/>
          <w:sz w:val="28"/>
          <w:szCs w:val="28"/>
        </w:rPr>
        <w:t>）</w:t>
      </w:r>
      <w:r>
        <w:rPr>
          <w:rFonts w:hint="eastAsia" w:ascii="宋体" w:hAnsi="宋体" w:eastAsia="宋体" w:cs="宋体"/>
          <w:color w:val="auto"/>
          <w:sz w:val="28"/>
          <w:szCs w:val="28"/>
        </w:rPr>
        <w:t>安全设施施工情况报告</w:t>
      </w:r>
      <w:r>
        <w:rPr>
          <w:rFonts w:hint="eastAsia" w:ascii="宋体" w:hAnsi="宋体" w:eastAsia="宋体" w:cs="宋体"/>
          <w:sz w:val="28"/>
          <w:szCs w:val="28"/>
        </w:rPr>
        <w:t>；</w:t>
      </w:r>
    </w:p>
    <w:p>
      <w:pPr>
        <w:pStyle w:val="22"/>
        <w:keepNext w:val="0"/>
        <w:keepLines w:val="0"/>
        <w:pageBreakBefore w:val="0"/>
        <w:widowControl w:val="0"/>
        <w:tabs>
          <w:tab w:val="left" w:pos="1276"/>
        </w:tabs>
        <w:kinsoku/>
        <w:wordWrap/>
        <w:overflowPunct/>
        <w:topLinePunct w:val="0"/>
        <w:autoSpaceDE/>
        <w:autoSpaceDN/>
        <w:bidi w:val="0"/>
        <w:adjustRightInd/>
        <w:snapToGrid/>
        <w:spacing w:line="560" w:lineRule="exact"/>
        <w:ind w:left="0"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lang w:val="en-US"/>
        </w:rPr>
        <w:t>1</w:t>
      </w:r>
      <w:r>
        <w:rPr>
          <w:rFonts w:hint="eastAsia" w:ascii="宋体" w:hAnsi="宋体" w:eastAsia="宋体" w:cs="宋体"/>
          <w:sz w:val="28"/>
          <w:szCs w:val="28"/>
          <w:lang w:val="en-US" w:eastAsia="zh-CN"/>
        </w:rPr>
        <w:t>8</w:t>
      </w:r>
      <w:r>
        <w:rPr>
          <w:rFonts w:hint="eastAsia" w:ascii="宋体" w:hAnsi="宋体" w:eastAsia="宋体" w:cs="宋体"/>
          <w:sz w:val="28"/>
          <w:szCs w:val="28"/>
        </w:rPr>
        <w:t>）</w:t>
      </w:r>
      <w:r>
        <w:rPr>
          <w:rFonts w:hint="eastAsia" w:ascii="宋体" w:hAnsi="宋体" w:eastAsia="宋体" w:cs="宋体"/>
          <w:color w:val="auto"/>
          <w:sz w:val="28"/>
          <w:szCs w:val="28"/>
          <w:lang w:eastAsia="zh-CN"/>
        </w:rPr>
        <w:t>竣工报告</w:t>
      </w:r>
      <w:r>
        <w:rPr>
          <w:rFonts w:hint="eastAsia" w:ascii="宋体" w:hAnsi="宋体" w:eastAsia="宋体" w:cs="宋体"/>
          <w:sz w:val="28"/>
          <w:szCs w:val="28"/>
          <w:lang w:val="en-US" w:eastAsia="zh-CN"/>
        </w:rPr>
        <w:t>；</w:t>
      </w:r>
    </w:p>
    <w:p>
      <w:pPr>
        <w:pStyle w:val="22"/>
        <w:keepNext w:val="0"/>
        <w:keepLines w:val="0"/>
        <w:pageBreakBefore w:val="0"/>
        <w:widowControl w:val="0"/>
        <w:tabs>
          <w:tab w:val="left" w:pos="1276"/>
        </w:tabs>
        <w:kinsoku/>
        <w:wordWrap/>
        <w:overflowPunct/>
        <w:topLinePunct w:val="0"/>
        <w:autoSpaceDE/>
        <w:autoSpaceDN/>
        <w:bidi w:val="0"/>
        <w:adjustRightInd/>
        <w:snapToGrid/>
        <w:spacing w:line="560" w:lineRule="exact"/>
        <w:ind w:left="0" w:firstLine="560" w:firstLineChars="200"/>
        <w:jc w:val="both"/>
        <w:textAlignment w:val="auto"/>
        <w:rPr>
          <w:rFonts w:hint="eastAsia" w:ascii="宋体" w:hAnsi="宋体" w:eastAsia="宋体" w:cs="宋体"/>
          <w:sz w:val="28"/>
          <w:szCs w:val="28"/>
          <w:lang w:val="en-US"/>
        </w:rPr>
      </w:pPr>
      <w:r>
        <w:rPr>
          <w:rFonts w:hint="eastAsia" w:ascii="宋体" w:hAnsi="宋体" w:eastAsia="宋体" w:cs="宋体"/>
          <w:sz w:val="28"/>
          <w:szCs w:val="28"/>
          <w:lang w:val="en-US"/>
        </w:rPr>
        <w:t>1</w:t>
      </w:r>
      <w:r>
        <w:rPr>
          <w:rFonts w:hint="eastAsia" w:ascii="宋体" w:hAnsi="宋体" w:eastAsia="宋体" w:cs="宋体"/>
          <w:sz w:val="28"/>
          <w:szCs w:val="28"/>
          <w:lang w:val="en-US" w:eastAsia="zh-CN"/>
        </w:rPr>
        <w:t>9</w:t>
      </w:r>
      <w:r>
        <w:rPr>
          <w:rFonts w:hint="eastAsia" w:ascii="宋体" w:hAnsi="宋体" w:eastAsia="宋体" w:cs="宋体"/>
          <w:sz w:val="28"/>
          <w:szCs w:val="28"/>
          <w:lang w:val="en-US"/>
        </w:rPr>
        <w:t>）</w:t>
      </w:r>
      <w:r>
        <w:rPr>
          <w:rFonts w:hint="eastAsia" w:ascii="宋体" w:hAnsi="宋体" w:eastAsia="宋体" w:cs="宋体"/>
          <w:sz w:val="28"/>
          <w:szCs w:val="28"/>
        </w:rPr>
        <w:t>现场照片</w:t>
      </w:r>
      <w:r>
        <w:rPr>
          <w:rFonts w:hint="eastAsia" w:ascii="宋体" w:hAnsi="宋体" w:eastAsia="宋体" w:cs="宋体"/>
          <w:color w:val="auto"/>
          <w:sz w:val="28"/>
          <w:szCs w:val="28"/>
          <w:lang w:val="en-US"/>
        </w:rPr>
        <w:t>；</w:t>
      </w:r>
    </w:p>
    <w:p>
      <w:pPr>
        <w:pStyle w:val="22"/>
        <w:keepNext w:val="0"/>
        <w:keepLines w:val="0"/>
        <w:pageBreakBefore w:val="0"/>
        <w:widowControl w:val="0"/>
        <w:tabs>
          <w:tab w:val="left" w:pos="1276"/>
        </w:tabs>
        <w:kinsoku/>
        <w:wordWrap/>
        <w:overflowPunct/>
        <w:topLinePunct w:val="0"/>
        <w:autoSpaceDE/>
        <w:autoSpaceDN/>
        <w:bidi w:val="0"/>
        <w:adjustRightInd/>
        <w:snapToGrid/>
        <w:spacing w:line="560" w:lineRule="exact"/>
        <w:ind w:left="0" w:firstLine="560" w:firstLineChars="200"/>
        <w:jc w:val="both"/>
        <w:textAlignment w:val="auto"/>
        <w:rPr>
          <w:rFonts w:hint="eastAsia" w:ascii="宋体" w:hAnsi="宋体" w:eastAsia="宋体" w:cs="宋体"/>
          <w:sz w:val="28"/>
          <w:szCs w:val="28"/>
          <w:lang w:eastAsia="zh-CN"/>
        </w:rPr>
      </w:pPr>
      <w:r>
        <w:rPr>
          <w:rFonts w:hint="eastAsia" w:ascii="宋体" w:hAnsi="宋体" w:eastAsia="宋体" w:cs="宋体"/>
          <w:sz w:val="28"/>
          <w:szCs w:val="28"/>
          <w:lang w:val="en-US" w:eastAsia="zh-CN"/>
        </w:rPr>
        <w:t>20</w:t>
      </w:r>
      <w:r>
        <w:rPr>
          <w:rFonts w:hint="eastAsia" w:ascii="宋体" w:hAnsi="宋体" w:eastAsia="宋体" w:cs="宋体"/>
          <w:sz w:val="28"/>
          <w:szCs w:val="28"/>
        </w:rPr>
        <w:t>）</w:t>
      </w:r>
      <w:r>
        <w:rPr>
          <w:rFonts w:hint="eastAsia" w:ascii="宋体" w:hAnsi="宋体" w:eastAsia="宋体" w:cs="宋体"/>
          <w:sz w:val="28"/>
          <w:szCs w:val="28"/>
          <w:lang w:eastAsia="zh-CN"/>
        </w:rPr>
        <w:t>竣工图、爆炸危险区域划分图。</w:t>
      </w:r>
    </w:p>
    <w:p>
      <w:pPr>
        <w:pStyle w:val="22"/>
        <w:tabs>
          <w:tab w:val="left" w:pos="1276"/>
        </w:tabs>
        <w:autoSpaceDE/>
        <w:autoSpaceDN/>
        <w:spacing w:line="500" w:lineRule="exact"/>
        <w:ind w:left="0" w:firstLine="480" w:firstLineChars="200"/>
        <w:jc w:val="both"/>
        <w:rPr>
          <w:rFonts w:hint="eastAsia" w:ascii="宋体" w:hAnsi="宋体" w:eastAsia="宋体" w:cs="宋体"/>
          <w:sz w:val="24"/>
          <w:szCs w:val="24"/>
          <w:lang w:val="en-US" w:eastAsia="zh-CN"/>
        </w:rPr>
      </w:pPr>
    </w:p>
    <w:p>
      <w:pPr>
        <w:pStyle w:val="22"/>
        <w:tabs>
          <w:tab w:val="left" w:pos="1276"/>
        </w:tabs>
        <w:autoSpaceDE/>
        <w:autoSpaceDN/>
        <w:spacing w:line="500" w:lineRule="exact"/>
        <w:ind w:left="0" w:firstLine="480" w:firstLineChars="200"/>
        <w:jc w:val="both"/>
        <w:rPr>
          <w:rFonts w:hint="eastAsia" w:ascii="宋体" w:hAnsi="宋体" w:eastAsia="宋体" w:cs="宋体"/>
          <w:sz w:val="24"/>
          <w:szCs w:val="24"/>
          <w:lang w:val="en-US" w:eastAsia="zh-CN"/>
        </w:rPr>
      </w:pPr>
    </w:p>
    <w:p>
      <w:pPr>
        <w:pStyle w:val="22"/>
        <w:tabs>
          <w:tab w:val="left" w:pos="1276"/>
        </w:tabs>
        <w:autoSpaceDE/>
        <w:autoSpaceDN/>
        <w:spacing w:line="500" w:lineRule="exact"/>
        <w:ind w:left="0" w:firstLine="560" w:firstLineChars="200"/>
        <w:jc w:val="center"/>
        <w:rPr>
          <w:rFonts w:hint="eastAsia" w:ascii="宋体" w:hAnsi="宋体" w:eastAsia="宋体" w:cs="宋体"/>
          <w:sz w:val="28"/>
          <w:szCs w:val="28"/>
        </w:rPr>
      </w:pPr>
    </w:p>
    <w:p>
      <w:pPr>
        <w:pStyle w:val="22"/>
        <w:tabs>
          <w:tab w:val="left" w:pos="1276"/>
        </w:tabs>
        <w:autoSpaceDE/>
        <w:autoSpaceDN/>
        <w:spacing w:line="500" w:lineRule="exact"/>
        <w:ind w:left="0" w:firstLine="560" w:firstLineChars="200"/>
        <w:jc w:val="center"/>
        <w:rPr>
          <w:rFonts w:hint="eastAsia" w:ascii="宋体" w:hAnsi="宋体" w:eastAsia="宋体" w:cs="宋体"/>
          <w:sz w:val="28"/>
          <w:szCs w:val="28"/>
        </w:rPr>
      </w:pPr>
    </w:p>
    <w:p>
      <w:pPr>
        <w:pStyle w:val="22"/>
        <w:tabs>
          <w:tab w:val="left" w:pos="1276"/>
        </w:tabs>
        <w:autoSpaceDE/>
        <w:autoSpaceDN/>
        <w:spacing w:line="500" w:lineRule="exact"/>
        <w:ind w:left="0" w:firstLine="560" w:firstLineChars="200"/>
        <w:jc w:val="center"/>
        <w:rPr>
          <w:rFonts w:hint="eastAsia" w:ascii="宋体" w:hAnsi="宋体" w:eastAsia="宋体" w:cs="宋体"/>
          <w:sz w:val="28"/>
          <w:szCs w:val="28"/>
        </w:rPr>
      </w:pPr>
    </w:p>
    <w:p>
      <w:pPr>
        <w:pStyle w:val="22"/>
        <w:tabs>
          <w:tab w:val="left" w:pos="1276"/>
        </w:tabs>
        <w:autoSpaceDE/>
        <w:autoSpaceDN/>
        <w:spacing w:line="500" w:lineRule="exact"/>
        <w:ind w:left="0" w:firstLine="560" w:firstLineChars="200"/>
        <w:jc w:val="center"/>
        <w:rPr>
          <w:rFonts w:hint="eastAsia" w:ascii="宋体" w:hAnsi="宋体" w:eastAsia="宋体" w:cs="宋体"/>
          <w:sz w:val="28"/>
          <w:szCs w:val="28"/>
        </w:rPr>
      </w:pPr>
    </w:p>
    <w:p>
      <w:pPr>
        <w:pStyle w:val="22"/>
        <w:tabs>
          <w:tab w:val="left" w:pos="1276"/>
        </w:tabs>
        <w:autoSpaceDE/>
        <w:autoSpaceDN/>
        <w:spacing w:line="500" w:lineRule="exact"/>
        <w:ind w:left="0" w:firstLine="560" w:firstLineChars="200"/>
        <w:jc w:val="center"/>
        <w:rPr>
          <w:rFonts w:hint="eastAsia" w:ascii="宋体" w:hAnsi="宋体" w:eastAsia="宋体" w:cs="宋体"/>
          <w:sz w:val="28"/>
          <w:szCs w:val="28"/>
        </w:rPr>
      </w:pPr>
    </w:p>
    <w:p>
      <w:pPr>
        <w:pStyle w:val="22"/>
        <w:tabs>
          <w:tab w:val="left" w:pos="1276"/>
        </w:tabs>
        <w:autoSpaceDE/>
        <w:autoSpaceDN/>
        <w:spacing w:line="500" w:lineRule="exact"/>
        <w:ind w:left="0" w:firstLine="560" w:firstLineChars="200"/>
        <w:jc w:val="center"/>
        <w:rPr>
          <w:rFonts w:hint="eastAsia" w:ascii="宋体" w:hAnsi="宋体" w:eastAsia="宋体" w:cs="宋体"/>
          <w:sz w:val="28"/>
          <w:szCs w:val="28"/>
        </w:rPr>
      </w:pPr>
    </w:p>
    <w:p>
      <w:pPr>
        <w:pStyle w:val="22"/>
        <w:tabs>
          <w:tab w:val="left" w:pos="1276"/>
        </w:tabs>
        <w:autoSpaceDE/>
        <w:autoSpaceDN/>
        <w:spacing w:line="500" w:lineRule="exact"/>
        <w:ind w:left="0" w:firstLine="560" w:firstLineChars="200"/>
        <w:jc w:val="center"/>
        <w:rPr>
          <w:rFonts w:hint="eastAsia" w:ascii="宋体" w:hAnsi="宋体" w:eastAsia="宋体" w:cs="宋体"/>
          <w:sz w:val="28"/>
          <w:szCs w:val="28"/>
        </w:rPr>
      </w:pPr>
    </w:p>
    <w:p>
      <w:pPr>
        <w:pStyle w:val="22"/>
        <w:tabs>
          <w:tab w:val="left" w:pos="1276"/>
        </w:tabs>
        <w:autoSpaceDE/>
        <w:autoSpaceDN/>
        <w:spacing w:line="500" w:lineRule="exact"/>
        <w:ind w:left="0" w:firstLine="560" w:firstLineChars="200"/>
        <w:jc w:val="center"/>
        <w:rPr>
          <w:rFonts w:hint="eastAsia" w:ascii="宋体" w:hAnsi="宋体" w:eastAsia="宋体" w:cs="宋体"/>
          <w:sz w:val="28"/>
          <w:szCs w:val="28"/>
        </w:rPr>
      </w:pPr>
    </w:p>
    <w:p>
      <w:pPr>
        <w:jc w:val="center"/>
        <w:rPr>
          <w:rFonts w:hint="eastAsia" w:ascii="宋体" w:hAnsi="宋体" w:eastAsia="宋体" w:cs="宋体"/>
          <w:b/>
          <w:bCs/>
          <w:sz w:val="44"/>
          <w:szCs w:val="44"/>
        </w:rPr>
      </w:pPr>
      <w:r>
        <w:rPr>
          <w:rFonts w:hint="eastAsia" w:ascii="宋体" w:hAnsi="宋体" w:eastAsia="宋体" w:cs="宋体"/>
          <w:b/>
          <w:bCs/>
          <w:sz w:val="44"/>
          <w:szCs w:val="44"/>
          <w:lang w:eastAsia="zh-CN"/>
        </w:rPr>
        <w:t>安全评价项目</w:t>
      </w:r>
      <w:r>
        <w:rPr>
          <w:rFonts w:hint="eastAsia" w:ascii="宋体" w:hAnsi="宋体" w:eastAsia="宋体" w:cs="宋体"/>
          <w:b/>
          <w:bCs/>
          <w:sz w:val="44"/>
          <w:szCs w:val="44"/>
        </w:rPr>
        <w:t>委托书</w:t>
      </w:r>
    </w:p>
    <w:p>
      <w:pPr>
        <w:rPr>
          <w:rFonts w:hint="eastAsia" w:ascii="宋体" w:hAnsi="宋体" w:eastAsia="宋体" w:cs="宋体"/>
        </w:rPr>
      </w:pPr>
    </w:p>
    <w:p>
      <w:pPr>
        <w:rPr>
          <w:rFonts w:hint="eastAsia" w:ascii="宋体" w:hAnsi="宋体" w:eastAsia="宋体" w:cs="宋体"/>
          <w:sz w:val="32"/>
          <w:szCs w:val="32"/>
        </w:rPr>
      </w:pPr>
    </w:p>
    <w:p>
      <w:pPr>
        <w:rPr>
          <w:rFonts w:hint="eastAsia" w:ascii="宋体" w:hAnsi="宋体" w:eastAsia="宋体" w:cs="宋体"/>
          <w:b/>
          <w:sz w:val="32"/>
          <w:szCs w:val="32"/>
        </w:rPr>
      </w:pPr>
      <w:r>
        <w:rPr>
          <w:rFonts w:hint="eastAsia" w:ascii="宋体" w:hAnsi="宋体" w:eastAsia="宋体" w:cs="宋体"/>
          <w:b/>
          <w:sz w:val="32"/>
          <w:szCs w:val="32"/>
        </w:rPr>
        <w:t>广东安源鼎盛检测评价技术服务有限公司：</w:t>
      </w:r>
    </w:p>
    <w:p>
      <w:pPr>
        <w:spacing w:line="480" w:lineRule="auto"/>
        <w:rPr>
          <w:rFonts w:hint="eastAsia" w:ascii="宋体" w:hAnsi="宋体" w:eastAsia="宋体" w:cs="宋体"/>
          <w:sz w:val="32"/>
          <w:szCs w:val="32"/>
        </w:rPr>
      </w:pPr>
    </w:p>
    <w:p>
      <w:pPr>
        <w:spacing w:line="480" w:lineRule="auto"/>
        <w:ind w:firstLine="640" w:firstLineChars="200"/>
        <w:rPr>
          <w:rFonts w:hint="eastAsia" w:ascii="宋体" w:hAnsi="宋体" w:eastAsia="宋体" w:cs="宋体"/>
          <w:sz w:val="32"/>
          <w:szCs w:val="32"/>
          <w:u w:val="single"/>
        </w:rPr>
      </w:pPr>
      <w:r>
        <w:rPr>
          <w:rFonts w:hint="eastAsia" w:ascii="宋体" w:hAnsi="宋体" w:eastAsia="宋体" w:cs="宋体"/>
          <w:sz w:val="32"/>
          <w:szCs w:val="32"/>
        </w:rPr>
        <w:t>根据《中华人民共和国</w:t>
      </w:r>
      <w:r>
        <w:rPr>
          <w:rFonts w:hint="eastAsia" w:ascii="宋体" w:hAnsi="宋体" w:eastAsia="宋体" w:cs="宋体"/>
          <w:sz w:val="32"/>
          <w:szCs w:val="32"/>
          <w:lang w:eastAsia="zh-CN"/>
        </w:rPr>
        <w:t>安全生产法</w:t>
      </w:r>
      <w:r>
        <w:rPr>
          <w:rFonts w:hint="eastAsia" w:ascii="宋体" w:hAnsi="宋体" w:eastAsia="宋体" w:cs="宋体"/>
          <w:sz w:val="32"/>
          <w:szCs w:val="32"/>
        </w:rPr>
        <w:t>》的规定，我公司现委托贵司对我司“</w:t>
      </w:r>
      <w:r>
        <w:rPr>
          <w:rFonts w:hint="eastAsia" w:ascii="宋体" w:hAnsi="宋体" w:eastAsia="宋体" w:cs="宋体"/>
          <w:sz w:val="32"/>
          <w:szCs w:val="32"/>
          <w:u w:val="single"/>
        </w:rPr>
        <w:t xml:space="preserve">  </w:t>
      </w:r>
      <w:r>
        <w:rPr>
          <w:rFonts w:hint="eastAsia" w:ascii="宋体" w:hAnsi="宋体" w:eastAsia="宋体" w:cs="宋体"/>
          <w:sz w:val="32"/>
          <w:szCs w:val="32"/>
          <w:u w:val="single"/>
          <w:lang w:eastAsia="zh-CN"/>
        </w:rPr>
        <w:t>中国石化销售股份有限公司广东东莞寮步横坑加油站</w:t>
      </w:r>
      <w:r>
        <w:rPr>
          <w:rFonts w:hint="eastAsia" w:ascii="宋体" w:hAnsi="宋体" w:eastAsia="宋体" w:cs="宋体"/>
          <w:sz w:val="32"/>
          <w:szCs w:val="32"/>
          <w:u w:val="single"/>
        </w:rPr>
        <w:t>改建项目</w:t>
      </w:r>
      <w:r>
        <w:rPr>
          <w:rFonts w:hint="eastAsia" w:ascii="宋体" w:hAnsi="宋体" w:eastAsia="宋体" w:cs="宋体"/>
          <w:sz w:val="32"/>
          <w:szCs w:val="32"/>
        </w:rPr>
        <w:t>”进行</w:t>
      </w:r>
      <w:r>
        <w:rPr>
          <w:rFonts w:hint="eastAsia" w:ascii="宋体" w:hAnsi="宋体" w:eastAsia="宋体" w:cs="宋体"/>
          <w:sz w:val="32"/>
          <w:szCs w:val="32"/>
          <w:u w:val="single"/>
        </w:rPr>
        <w:t xml:space="preserve"> </w:t>
      </w:r>
      <w:r>
        <w:rPr>
          <w:rFonts w:hint="eastAsia" w:ascii="宋体" w:hAnsi="宋体" w:eastAsia="宋体" w:cs="宋体"/>
          <w:sz w:val="32"/>
          <w:szCs w:val="32"/>
          <w:u w:val="single"/>
          <w:lang w:val="en-US" w:eastAsia="zh-CN"/>
        </w:rPr>
        <w:t xml:space="preserve"> 安全设施竣工验收评价              </w:t>
      </w:r>
      <w:r>
        <w:rPr>
          <w:rFonts w:hint="eastAsia" w:ascii="宋体" w:hAnsi="宋体" w:eastAsia="宋体" w:cs="宋体"/>
          <w:sz w:val="32"/>
          <w:szCs w:val="32"/>
          <w:u w:val="none"/>
          <w:lang w:eastAsia="zh-CN"/>
        </w:rPr>
        <w:t>技术服务</w:t>
      </w:r>
      <w:r>
        <w:rPr>
          <w:rFonts w:hint="eastAsia" w:ascii="宋体" w:hAnsi="宋体" w:eastAsia="宋体" w:cs="宋体"/>
          <w:sz w:val="32"/>
          <w:szCs w:val="32"/>
        </w:rPr>
        <w:t>，评价技术服务过程我司提供的资料是全面、真实、可靠的，并全面配合贵司完成工作。</w:t>
      </w:r>
    </w:p>
    <w:p>
      <w:pPr>
        <w:ind w:left="560" w:firstLine="570"/>
        <w:rPr>
          <w:rFonts w:hint="eastAsia" w:ascii="宋体" w:hAnsi="宋体" w:eastAsia="宋体" w:cs="宋体"/>
          <w:sz w:val="28"/>
        </w:rPr>
      </w:pPr>
    </w:p>
    <w:p>
      <w:pPr>
        <w:ind w:left="560" w:firstLine="570"/>
        <w:rPr>
          <w:rFonts w:hint="eastAsia" w:ascii="宋体" w:hAnsi="宋体" w:eastAsia="宋体" w:cs="宋体"/>
          <w:sz w:val="28"/>
        </w:rPr>
      </w:pPr>
    </w:p>
    <w:p>
      <w:pPr>
        <w:ind w:left="560" w:firstLine="570"/>
        <w:rPr>
          <w:rFonts w:hint="eastAsia" w:ascii="宋体" w:hAnsi="宋体" w:eastAsia="宋体" w:cs="宋体"/>
          <w:sz w:val="28"/>
        </w:rPr>
      </w:pPr>
    </w:p>
    <w:p>
      <w:pPr>
        <w:ind w:left="560" w:firstLine="570"/>
        <w:rPr>
          <w:rFonts w:hint="eastAsia" w:ascii="宋体" w:hAnsi="宋体" w:eastAsia="宋体" w:cs="宋体"/>
          <w:sz w:val="28"/>
        </w:rPr>
      </w:pPr>
    </w:p>
    <w:p>
      <w:pPr>
        <w:ind w:left="560" w:firstLine="570"/>
        <w:rPr>
          <w:rFonts w:hint="eastAsia" w:ascii="宋体" w:hAnsi="宋体" w:eastAsia="宋体" w:cs="宋体"/>
          <w:sz w:val="32"/>
          <w:szCs w:val="32"/>
          <w:u w:val="single"/>
        </w:rPr>
      </w:pPr>
      <w:r>
        <w:rPr>
          <w:rFonts w:hint="eastAsia" w:ascii="宋体" w:hAnsi="宋体" w:eastAsia="宋体" w:cs="宋体"/>
          <w:sz w:val="28"/>
        </w:rPr>
        <w:t xml:space="preserve">                 </w:t>
      </w:r>
      <w:r>
        <w:rPr>
          <w:rFonts w:hint="eastAsia" w:ascii="宋体" w:hAnsi="宋体" w:eastAsia="宋体" w:cs="宋体"/>
          <w:sz w:val="32"/>
          <w:szCs w:val="32"/>
        </w:rPr>
        <w:t>委托方：</w:t>
      </w:r>
      <w:r>
        <w:rPr>
          <w:rFonts w:hint="eastAsia" w:ascii="宋体" w:hAnsi="宋体" w:eastAsia="宋体" w:cs="宋体"/>
          <w:sz w:val="32"/>
          <w:szCs w:val="32"/>
          <w:u w:val="single"/>
        </w:rPr>
        <w:t xml:space="preserve">                           </w:t>
      </w:r>
    </w:p>
    <w:p>
      <w:pPr>
        <w:spacing w:line="360" w:lineRule="auto"/>
        <w:ind w:firstLine="3520" w:firstLineChars="1100"/>
        <w:rPr>
          <w:rFonts w:hint="eastAsia" w:ascii="宋体" w:hAnsi="宋体" w:eastAsia="宋体" w:cs="宋体"/>
          <w:sz w:val="32"/>
          <w:szCs w:val="32"/>
        </w:rPr>
      </w:pPr>
      <w:r>
        <w:rPr>
          <w:rFonts w:hint="eastAsia" w:ascii="宋体" w:hAnsi="宋体" w:eastAsia="宋体" w:cs="宋体"/>
          <w:sz w:val="32"/>
          <w:szCs w:val="32"/>
        </w:rPr>
        <w:t>（盖章）</w:t>
      </w:r>
    </w:p>
    <w:p>
      <w:pPr>
        <w:pStyle w:val="22"/>
        <w:tabs>
          <w:tab w:val="left" w:pos="1276"/>
        </w:tabs>
        <w:autoSpaceDE/>
        <w:autoSpaceDN/>
        <w:spacing w:line="500" w:lineRule="exact"/>
        <w:ind w:left="0" w:firstLine="560" w:firstLineChars="200"/>
        <w:jc w:val="center"/>
        <w:rPr>
          <w:rFonts w:hint="eastAsia" w:ascii="宋体" w:hAnsi="宋体" w:eastAsia="宋体" w:cs="宋体"/>
          <w:sz w:val="28"/>
          <w:szCs w:val="28"/>
        </w:rPr>
      </w:pPr>
    </w:p>
    <w:bookmarkEnd w:id="1024"/>
    <w:bookmarkEnd w:id="1025"/>
    <w:bookmarkEnd w:id="1026"/>
    <w:p>
      <w:pPr>
        <w:rPr>
          <w:rFonts w:hint="eastAsia" w:ascii="宋体" w:hAnsi="宋体" w:eastAsia="宋体" w:cs="宋体"/>
        </w:rPr>
      </w:pPr>
    </w:p>
    <w:sectPr>
      <w:headerReference r:id="rId8" w:type="default"/>
      <w:footerReference r:id="rId9" w:type="default"/>
      <w:pgSz w:w="11910" w:h="16840"/>
      <w:pgMar w:top="1500" w:right="1060" w:bottom="280" w:left="1180" w:header="0" w:footer="0"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Narrow">
    <w:panose1 w:val="020B0606020202030204"/>
    <w:charset w:val="00"/>
    <w:family w:val="swiss"/>
    <w:pitch w:val="default"/>
    <w:sig w:usb0="00000287" w:usb1="00000800" w:usb2="00000000" w:usb3="00000000" w:csb0="2000009F" w:csb1="DFD7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p>
    <w:pPr>
      <w:pStyle w:val="6"/>
      <w:spacing w:line="14" w:lineRule="auto"/>
      <w:rPr>
        <w:sz w:val="19"/>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clear" w:pos="4153"/>
      </w:tabs>
      <w:jc w:val="center"/>
    </w:pPr>
  </w:p>
  <w:p>
    <w:pPr>
      <w:pStyle w:val="6"/>
      <w:spacing w:line="14" w:lineRule="auto"/>
      <w:rPr>
        <w:sz w:val="19"/>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left" w:pos="6510"/>
        <w:tab w:val="clear" w:pos="4153"/>
      </w:tabs>
      <w:rPr>
        <w:rFonts w:hint="default"/>
        <w:lang w:val="en-US"/>
      </w:rPr>
    </w:pPr>
    <w:r>
      <w:rPr>
        <w:sz w:val="18"/>
      </w:rPr>
      <mc:AlternateContent>
        <mc:Choice Requires="wps">
          <w:drawing>
            <wp:anchor distT="0" distB="0" distL="114300" distR="114300" simplePos="0" relativeHeight="251659264" behindDoc="0" locked="0" layoutInCell="1" allowOverlap="1">
              <wp:simplePos x="0" y="0"/>
              <wp:positionH relativeFrom="margin">
                <wp:posOffset>2828290</wp:posOffset>
              </wp:positionH>
              <wp:positionV relativeFrom="paragraph">
                <wp:posOffset>0</wp:posOffset>
              </wp:positionV>
              <wp:extent cx="26162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26162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2.7pt;margin-top:0pt;height:144pt;width:20.6pt;mso-position-horizontal-relative:margin;z-index:251659264;mso-width-relative:page;mso-height-relative:page;" filled="f" stroked="f" coordsize="21600,21600" o:gfxdata="UEsDBAoAAAAAAIdO4kAAAAAAAAAAAAAAAAAEAAAAZHJzL1BLAwQUAAAACACHTuJA1Il04NYAAAAI&#10;AQAADwAAAGRycy9kb3ducmV2LnhtbE2PPU/DMBCGdyT+g3VIbNRuFaIoxOmAoANMpAgxXmMnDsTn&#10;KHbTwq/nmGA8vR/3vNX27Eex2DkOgTSsVwqEpTaYgXoNr/vHmwJETEgGx0BWw5eNsK0vLyosTTjR&#10;i12a1AsuoViiBpfSVEoZW2c9xlWYLLHWhdlj4nPupZnxxOV+lBulculxIP7gcLL3zrafzdEzxtuz&#10;8rvvzr37J+xi4/bL7uFD6+urtboDkew5/ZnhF58zUDPTIRzJRDFqyLLbjK0aeBHLWZHnIA4aNkWh&#10;QNaV/D+g/gFQSwMEFAAAAAgAh07iQHlJIvs4AgAAZAQAAA4AAABkcnMvZTJvRG9jLnhtbK1Uy47T&#10;MBTdI/EPlvc0bRBVVTUdlamKkCpmpAGxdh2nieQXtttk+AD4A1Zs2M939Ts4dpoOGljMgo17c9/n&#10;3Hu7uOqUJEfhfGN0QSejMSVCc1M2el/QTx83r2aU+MB0yaTRoqD3wtOr5csXi9bORW5qI0vhCJJo&#10;P29tQesQ7DzLPK+FYn5krNAwVsYpFvDp9lnpWIvsSmb5eDzNWuNK6wwX3kO77o30nNE9J6GpqoaL&#10;teEHJXToszohWQAkXzfW02XqtqoEDzdV5UUgsqBAGtKLIpB38c2WCzbfO2brhp9bYM9p4QkmxRqN&#10;opdUaxYYObjmr1Sq4c54U4URNyrrgSRGgGIyfsLNXc2sSFhAtbcX0v3/S8s/HG8dacqC5jklmilM&#10;/PTj++nnw+nXNwIdCGqtn8PvzsIzdG9Nh7UZ9B7KiLurnIq/QERgB733F3pFFwiHMp9OpjksHKbJ&#10;LJ/Nxon/7DHaOh/eCaNIFArqML7EKjtufUAncB1cYjFtNo2UaYRSk7ag09dvxingYkGE1AiMGPpe&#10;oxS6XXcGtjPlPXA506+Gt3zToPiW+XDLHHYBDeNawg2eShoUMWeJktq4r//SR3+MCFZKWuxWQf2X&#10;A3OCEvleY3hIGQbBDcJuEPRBXRus6wR3aHkSEeCCHMTKGfUZR7SKVWBimqNWQcMgXod+w3GEXKxW&#10;yelgXbOv+wCsnmVhq+8sj2Uild6uDgF0JpYjRT0vZ+awfIn886HE7f7zO3k9/jksfw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DUiXTg1gAAAAgBAAAPAAAAAAAAAAEAIAAAACIAAABkcnMvZG93bnJl&#10;di54bWxQSwECFAAUAAAACACHTuJAeUki+zgCAABkBAAADgAAAAAAAAABACAAAAAlAQAAZHJzL2Uy&#10;b0RvYy54bWxQSwUGAAAAAAYABgBZAQAAzwUAAAAA&#10;">
              <v:fill on="f" focussize="0,0"/>
              <v:stroke on="f" weight="0.5pt"/>
              <v:imagedata o:title=""/>
              <o:lock v:ext="edit" aspectratio="f"/>
              <v:textbox inset="0mm,0mm,0mm,0mm" style="mso-fit-shape-to-text:t;">
                <w:txbxContent>
                  <w:p>
                    <w:pPr>
                      <w:pStyle w:val="8"/>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v:shape>
          </w:pict>
        </mc:Fallback>
      </mc:AlternateContent>
    </w:r>
    <w:r>
      <w:rPr>
        <w:rFonts w:hint="eastAsia"/>
        <w:lang w:eastAsia="zh-CN"/>
      </w:rPr>
      <w:tab/>
    </w:r>
    <w:r>
      <w:rPr>
        <w:rFonts w:hint="eastAsia"/>
        <w:lang w:val="en-US" w:eastAsia="zh-CN"/>
      </w:rPr>
      <w:t xml:space="preserve">     </w:t>
    </w:r>
  </w:p>
  <w:p>
    <w:pPr>
      <w:pStyle w:val="6"/>
      <w:spacing w:line="14" w:lineRule="auto"/>
      <w:rPr>
        <w:sz w:val="19"/>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
      </w:rPr>
    </w:pPr>
    <w:r>
      <w:rPr>
        <w:sz w:val="2"/>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126</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OJUQ0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6/ejt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OJUQ0zAgAAYwQAAA4AAAAAAAAAAQAgAAAAHwEAAGRycy9lMm9Eb2MueG1sUEsF&#10;BgAAAAAGAAYAWQEAAMQFAAAAAA==&#10;">
              <v:fill on="f" focussize="0,0"/>
              <v:stroke on="f" weight="0.5pt"/>
              <v:imagedata o:title=""/>
              <o:lock v:ext="edit" aspectratio="f"/>
              <v:textbox inset="0mm,0mm,0mm,0mm" style="mso-fit-shape-to-text:t;">
                <w:txbxContent>
                  <w:p>
                    <w:pPr>
                      <w:pStyle w:val="8"/>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126</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4" w:space="0"/>
      </w:pBdr>
      <w:spacing w:line="360" w:lineRule="auto"/>
      <w:jc w:val="center"/>
      <w:rPr>
        <w:rFonts w:hint="default" w:eastAsia="宋体"/>
        <w:b/>
        <w:sz w:val="18"/>
        <w:szCs w:val="18"/>
        <w:u w:val="none"/>
        <w:lang w:val="en-US" w:eastAsia="zh-CN"/>
      </w:rPr>
    </w:pPr>
    <w:r>
      <w:rPr>
        <w:rFonts w:hint="eastAsia"/>
        <w:b/>
        <w:sz w:val="18"/>
        <w:szCs w:val="18"/>
        <w:u w:val="none"/>
        <w:lang w:eastAsia="zh-CN"/>
      </w:rPr>
      <w:t>中国石化销售股份有限公司广东东莞寮步横坑加油站</w:t>
    </w:r>
    <w:r>
      <w:rPr>
        <w:rFonts w:hint="eastAsia"/>
        <w:b/>
        <w:sz w:val="18"/>
        <w:szCs w:val="18"/>
        <w:u w:val="none"/>
      </w:rPr>
      <w:t>改建项目安全设施竣工验收安全评价报告</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28CC39"/>
    <w:multiLevelType w:val="singleLevel"/>
    <w:tmpl w:val="C728CC39"/>
    <w:lvl w:ilvl="0" w:tentative="0">
      <w:start w:val="1"/>
      <w:numFmt w:val="decimal"/>
      <w:suff w:val="nothing"/>
      <w:lvlText w:val="（%1）"/>
      <w:lvlJc w:val="left"/>
    </w:lvl>
  </w:abstractNum>
  <w:abstractNum w:abstractNumId="1">
    <w:nsid w:val="E59C1A6B"/>
    <w:multiLevelType w:val="singleLevel"/>
    <w:tmpl w:val="E59C1A6B"/>
    <w:lvl w:ilvl="0" w:tentative="0">
      <w:start w:val="1"/>
      <w:numFmt w:val="decimal"/>
      <w:suff w:val="nothing"/>
      <w:lvlText w:val="（%1）"/>
      <w:lvlJc w:val="left"/>
    </w:lvl>
  </w:abstractNum>
  <w:abstractNum w:abstractNumId="2">
    <w:nsid w:val="0000001C"/>
    <w:multiLevelType w:val="multilevel"/>
    <w:tmpl w:val="0000001C"/>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000001E"/>
    <w:multiLevelType w:val="multilevel"/>
    <w:tmpl w:val="0000001E"/>
    <w:lvl w:ilvl="0" w:tentative="0">
      <w:start w:val="1"/>
      <w:numFmt w:val="decimal"/>
      <w:suff w:val="nothing"/>
      <w:lvlText w:val="%1."/>
      <w:lvlJc w:val="left"/>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00000029"/>
    <w:multiLevelType w:val="multilevel"/>
    <w:tmpl w:val="00000029"/>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000002B"/>
    <w:multiLevelType w:val="multilevel"/>
    <w:tmpl w:val="0000002B"/>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0000039"/>
    <w:multiLevelType w:val="multilevel"/>
    <w:tmpl w:val="00000039"/>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17B7FB1F"/>
    <w:multiLevelType w:val="singleLevel"/>
    <w:tmpl w:val="17B7FB1F"/>
    <w:lvl w:ilvl="0" w:tentative="0">
      <w:start w:val="1"/>
      <w:numFmt w:val="decimal"/>
      <w:suff w:val="nothing"/>
      <w:lvlText w:val="（%1）"/>
      <w:lvlJc w:val="left"/>
    </w:lvl>
  </w:abstractNum>
  <w:abstractNum w:abstractNumId="8">
    <w:nsid w:val="39F51E07"/>
    <w:multiLevelType w:val="multilevel"/>
    <w:tmpl w:val="39F51E07"/>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41257682"/>
    <w:multiLevelType w:val="multilevel"/>
    <w:tmpl w:val="41257682"/>
    <w:lvl w:ilvl="0" w:tentative="0">
      <w:start w:val="1"/>
      <w:numFmt w:val="decimal"/>
      <w:suff w:val="nothing"/>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55B00F11"/>
    <w:multiLevelType w:val="multilevel"/>
    <w:tmpl w:val="55B00F11"/>
    <w:lvl w:ilvl="0" w:tentative="0">
      <w:start w:val="1"/>
      <w:numFmt w:val="decimal"/>
      <w:lvlText w:val="%1"/>
      <w:lvlJc w:val="left"/>
      <w:pPr>
        <w:tabs>
          <w:tab w:val="left" w:pos="465"/>
        </w:tabs>
        <w:ind w:left="465" w:hanging="360"/>
      </w:pPr>
      <w:rPr>
        <w:rFonts w:hint="default"/>
      </w:rPr>
    </w:lvl>
    <w:lvl w:ilvl="1" w:tentative="0">
      <w:start w:val="1"/>
      <w:numFmt w:val="lowerLetter"/>
      <w:lvlText w:val="%2)"/>
      <w:lvlJc w:val="left"/>
      <w:pPr>
        <w:tabs>
          <w:tab w:val="left" w:pos="945"/>
        </w:tabs>
        <w:ind w:left="945" w:hanging="420"/>
      </w:pPr>
    </w:lvl>
    <w:lvl w:ilvl="2" w:tentative="0">
      <w:start w:val="1"/>
      <w:numFmt w:val="lowerRoman"/>
      <w:lvlText w:val="%3."/>
      <w:lvlJc w:val="right"/>
      <w:pPr>
        <w:tabs>
          <w:tab w:val="left" w:pos="1365"/>
        </w:tabs>
        <w:ind w:left="1365" w:hanging="420"/>
      </w:pPr>
    </w:lvl>
    <w:lvl w:ilvl="3" w:tentative="0">
      <w:start w:val="1"/>
      <w:numFmt w:val="decimal"/>
      <w:lvlText w:val="%4."/>
      <w:lvlJc w:val="left"/>
      <w:pPr>
        <w:tabs>
          <w:tab w:val="left" w:pos="1785"/>
        </w:tabs>
        <w:ind w:left="1785" w:hanging="420"/>
      </w:pPr>
    </w:lvl>
    <w:lvl w:ilvl="4" w:tentative="0">
      <w:start w:val="1"/>
      <w:numFmt w:val="lowerLetter"/>
      <w:lvlText w:val="%5)"/>
      <w:lvlJc w:val="left"/>
      <w:pPr>
        <w:tabs>
          <w:tab w:val="left" w:pos="2205"/>
        </w:tabs>
        <w:ind w:left="2205" w:hanging="420"/>
      </w:pPr>
    </w:lvl>
    <w:lvl w:ilvl="5" w:tentative="0">
      <w:start w:val="1"/>
      <w:numFmt w:val="lowerRoman"/>
      <w:lvlText w:val="%6."/>
      <w:lvlJc w:val="right"/>
      <w:pPr>
        <w:tabs>
          <w:tab w:val="left" w:pos="2625"/>
        </w:tabs>
        <w:ind w:left="2625" w:hanging="420"/>
      </w:pPr>
    </w:lvl>
    <w:lvl w:ilvl="6" w:tentative="0">
      <w:start w:val="1"/>
      <w:numFmt w:val="decimal"/>
      <w:lvlText w:val="%7."/>
      <w:lvlJc w:val="left"/>
      <w:pPr>
        <w:tabs>
          <w:tab w:val="left" w:pos="3045"/>
        </w:tabs>
        <w:ind w:left="3045" w:hanging="420"/>
      </w:pPr>
    </w:lvl>
    <w:lvl w:ilvl="7" w:tentative="0">
      <w:start w:val="1"/>
      <w:numFmt w:val="lowerLetter"/>
      <w:lvlText w:val="%8)"/>
      <w:lvlJc w:val="left"/>
      <w:pPr>
        <w:tabs>
          <w:tab w:val="left" w:pos="3465"/>
        </w:tabs>
        <w:ind w:left="3465" w:hanging="420"/>
      </w:pPr>
    </w:lvl>
    <w:lvl w:ilvl="8" w:tentative="0">
      <w:start w:val="1"/>
      <w:numFmt w:val="lowerRoman"/>
      <w:lvlText w:val="%9."/>
      <w:lvlJc w:val="right"/>
      <w:pPr>
        <w:tabs>
          <w:tab w:val="left" w:pos="3885"/>
        </w:tabs>
        <w:ind w:left="3885" w:hanging="420"/>
      </w:pPr>
    </w:lvl>
  </w:abstractNum>
  <w:abstractNum w:abstractNumId="11">
    <w:nsid w:val="64624525"/>
    <w:multiLevelType w:val="multilevel"/>
    <w:tmpl w:val="64624525"/>
    <w:lvl w:ilvl="0" w:tentative="0">
      <w:start w:val="1"/>
      <w:numFmt w:val="decimal"/>
      <w:lvlText w:val="%1)"/>
      <w:lvlJc w:val="left"/>
      <w:pPr>
        <w:ind w:left="1706" w:hanging="705"/>
      </w:pPr>
      <w:rPr>
        <w:rFonts w:hint="default"/>
        <w:spacing w:val="-3"/>
        <w:w w:val="100"/>
        <w:sz w:val="26"/>
        <w:szCs w:val="26"/>
        <w:lang w:val="zh-CN" w:eastAsia="zh-CN" w:bidi="zh-CN"/>
      </w:rPr>
    </w:lvl>
    <w:lvl w:ilvl="1" w:tentative="0">
      <w:start w:val="0"/>
      <w:numFmt w:val="bullet"/>
      <w:lvlText w:val="•"/>
      <w:lvlJc w:val="left"/>
      <w:pPr>
        <w:ind w:left="2564" w:hanging="705"/>
      </w:pPr>
      <w:rPr>
        <w:rFonts w:hint="default"/>
        <w:lang w:val="zh-CN" w:eastAsia="zh-CN" w:bidi="zh-CN"/>
      </w:rPr>
    </w:lvl>
    <w:lvl w:ilvl="2" w:tentative="0">
      <w:start w:val="0"/>
      <w:numFmt w:val="bullet"/>
      <w:lvlText w:val="•"/>
      <w:lvlJc w:val="left"/>
      <w:pPr>
        <w:ind w:left="3429" w:hanging="705"/>
      </w:pPr>
      <w:rPr>
        <w:rFonts w:hint="default"/>
        <w:lang w:val="zh-CN" w:eastAsia="zh-CN" w:bidi="zh-CN"/>
      </w:rPr>
    </w:lvl>
    <w:lvl w:ilvl="3" w:tentative="0">
      <w:start w:val="0"/>
      <w:numFmt w:val="bullet"/>
      <w:lvlText w:val="•"/>
      <w:lvlJc w:val="left"/>
      <w:pPr>
        <w:ind w:left="4293" w:hanging="705"/>
      </w:pPr>
      <w:rPr>
        <w:rFonts w:hint="default"/>
        <w:lang w:val="zh-CN" w:eastAsia="zh-CN" w:bidi="zh-CN"/>
      </w:rPr>
    </w:lvl>
    <w:lvl w:ilvl="4" w:tentative="0">
      <w:start w:val="0"/>
      <w:numFmt w:val="bullet"/>
      <w:lvlText w:val="•"/>
      <w:lvlJc w:val="left"/>
      <w:pPr>
        <w:ind w:left="5158" w:hanging="705"/>
      </w:pPr>
      <w:rPr>
        <w:rFonts w:hint="default"/>
        <w:lang w:val="zh-CN" w:eastAsia="zh-CN" w:bidi="zh-CN"/>
      </w:rPr>
    </w:lvl>
    <w:lvl w:ilvl="5" w:tentative="0">
      <w:start w:val="0"/>
      <w:numFmt w:val="bullet"/>
      <w:lvlText w:val="•"/>
      <w:lvlJc w:val="left"/>
      <w:pPr>
        <w:ind w:left="6023" w:hanging="705"/>
      </w:pPr>
      <w:rPr>
        <w:rFonts w:hint="default"/>
        <w:lang w:val="zh-CN" w:eastAsia="zh-CN" w:bidi="zh-CN"/>
      </w:rPr>
    </w:lvl>
    <w:lvl w:ilvl="6" w:tentative="0">
      <w:start w:val="0"/>
      <w:numFmt w:val="bullet"/>
      <w:lvlText w:val="•"/>
      <w:lvlJc w:val="left"/>
      <w:pPr>
        <w:ind w:left="6887" w:hanging="705"/>
      </w:pPr>
      <w:rPr>
        <w:rFonts w:hint="default"/>
        <w:lang w:val="zh-CN" w:eastAsia="zh-CN" w:bidi="zh-CN"/>
      </w:rPr>
    </w:lvl>
    <w:lvl w:ilvl="7" w:tentative="0">
      <w:start w:val="0"/>
      <w:numFmt w:val="bullet"/>
      <w:lvlText w:val="•"/>
      <w:lvlJc w:val="left"/>
      <w:pPr>
        <w:ind w:left="7752" w:hanging="705"/>
      </w:pPr>
      <w:rPr>
        <w:rFonts w:hint="default"/>
        <w:lang w:val="zh-CN" w:eastAsia="zh-CN" w:bidi="zh-CN"/>
      </w:rPr>
    </w:lvl>
    <w:lvl w:ilvl="8" w:tentative="0">
      <w:start w:val="0"/>
      <w:numFmt w:val="bullet"/>
      <w:lvlText w:val="•"/>
      <w:lvlJc w:val="left"/>
      <w:pPr>
        <w:ind w:left="8617" w:hanging="705"/>
      </w:pPr>
      <w:rPr>
        <w:rFonts w:hint="default"/>
        <w:lang w:val="zh-CN" w:eastAsia="zh-CN" w:bidi="zh-CN"/>
      </w:rPr>
    </w:lvl>
  </w:abstractNum>
  <w:abstractNum w:abstractNumId="12">
    <w:nsid w:val="64E024B5"/>
    <w:multiLevelType w:val="multilevel"/>
    <w:tmpl w:val="64E024B5"/>
    <w:lvl w:ilvl="0" w:tentative="0">
      <w:start w:val="1"/>
      <w:numFmt w:val="chineseCountingThousand"/>
      <w:lvlText w:val="(%1)"/>
      <w:lvlJc w:val="left"/>
      <w:pPr>
        <w:ind w:left="846" w:hanging="420"/>
      </w:p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13">
    <w:nsid w:val="6D082944"/>
    <w:multiLevelType w:val="multilevel"/>
    <w:tmpl w:val="6D082944"/>
    <w:lvl w:ilvl="0" w:tentative="0">
      <w:start w:val="1"/>
      <w:numFmt w:val="chineseCountingThousand"/>
      <w:lvlText w:val="(%1)"/>
      <w:lvlJc w:val="left"/>
      <w:pPr>
        <w:ind w:left="567" w:hanging="420"/>
      </w:pPr>
    </w:lvl>
    <w:lvl w:ilvl="1" w:tentative="0">
      <w:start w:val="1"/>
      <w:numFmt w:val="lowerLetter"/>
      <w:lvlText w:val="%2)"/>
      <w:lvlJc w:val="left"/>
      <w:pPr>
        <w:ind w:left="987" w:hanging="420"/>
      </w:pPr>
    </w:lvl>
    <w:lvl w:ilvl="2" w:tentative="0">
      <w:start w:val="1"/>
      <w:numFmt w:val="lowerRoman"/>
      <w:lvlText w:val="%3."/>
      <w:lvlJc w:val="right"/>
      <w:pPr>
        <w:ind w:left="1407" w:hanging="420"/>
      </w:pPr>
    </w:lvl>
    <w:lvl w:ilvl="3" w:tentative="0">
      <w:start w:val="1"/>
      <w:numFmt w:val="decimal"/>
      <w:lvlText w:val="%4."/>
      <w:lvlJc w:val="left"/>
      <w:pPr>
        <w:ind w:left="1827" w:hanging="420"/>
      </w:pPr>
    </w:lvl>
    <w:lvl w:ilvl="4" w:tentative="0">
      <w:start w:val="1"/>
      <w:numFmt w:val="lowerLetter"/>
      <w:lvlText w:val="%5)"/>
      <w:lvlJc w:val="left"/>
      <w:pPr>
        <w:ind w:left="2247" w:hanging="420"/>
      </w:pPr>
    </w:lvl>
    <w:lvl w:ilvl="5" w:tentative="0">
      <w:start w:val="1"/>
      <w:numFmt w:val="lowerRoman"/>
      <w:lvlText w:val="%6."/>
      <w:lvlJc w:val="right"/>
      <w:pPr>
        <w:ind w:left="2667" w:hanging="420"/>
      </w:pPr>
    </w:lvl>
    <w:lvl w:ilvl="6" w:tentative="0">
      <w:start w:val="1"/>
      <w:numFmt w:val="decimal"/>
      <w:lvlText w:val="%7."/>
      <w:lvlJc w:val="left"/>
      <w:pPr>
        <w:ind w:left="3087" w:hanging="420"/>
      </w:pPr>
    </w:lvl>
    <w:lvl w:ilvl="7" w:tentative="0">
      <w:start w:val="1"/>
      <w:numFmt w:val="lowerLetter"/>
      <w:lvlText w:val="%8)"/>
      <w:lvlJc w:val="left"/>
      <w:pPr>
        <w:ind w:left="3507" w:hanging="420"/>
      </w:pPr>
    </w:lvl>
    <w:lvl w:ilvl="8" w:tentative="0">
      <w:start w:val="1"/>
      <w:numFmt w:val="lowerRoman"/>
      <w:lvlText w:val="%9."/>
      <w:lvlJc w:val="right"/>
      <w:pPr>
        <w:ind w:left="3927" w:hanging="420"/>
      </w:pPr>
    </w:lvl>
  </w:abstractNum>
  <w:abstractNum w:abstractNumId="14">
    <w:nsid w:val="74A40DE3"/>
    <w:multiLevelType w:val="multilevel"/>
    <w:tmpl w:val="74A40DE3"/>
    <w:lvl w:ilvl="0" w:tentative="0">
      <w:start w:val="0"/>
      <w:numFmt w:val="decimal"/>
      <w:lvlText w:val="%1"/>
      <w:lvlJc w:val="left"/>
      <w:pPr>
        <w:ind w:left="1213" w:hanging="212"/>
      </w:pPr>
      <w:rPr>
        <w:rFonts w:hint="default" w:ascii="Times New Roman" w:hAnsi="Times New Roman" w:eastAsia="Times New Roman" w:cs="Times New Roman"/>
        <w:w w:val="100"/>
        <w:sz w:val="28"/>
        <w:szCs w:val="28"/>
        <w:lang w:val="zh-CN" w:eastAsia="zh-CN" w:bidi="zh-CN"/>
      </w:rPr>
    </w:lvl>
    <w:lvl w:ilvl="1" w:tentative="0">
      <w:start w:val="1"/>
      <w:numFmt w:val="decimal"/>
      <w:lvlText w:val="%2"/>
      <w:lvlJc w:val="left"/>
      <w:pPr>
        <w:ind w:left="1978" w:hanging="420"/>
      </w:pPr>
      <w:rPr>
        <w:rFonts w:hint="default" w:ascii="Times New Roman" w:hAnsi="Times New Roman" w:eastAsia="Times New Roman" w:cs="Times New Roman"/>
        <w:w w:val="100"/>
        <w:sz w:val="28"/>
        <w:szCs w:val="28"/>
        <w:lang w:val="zh-CN" w:eastAsia="zh-CN" w:bidi="zh-CN"/>
      </w:rPr>
    </w:lvl>
    <w:lvl w:ilvl="2" w:tentative="0">
      <w:start w:val="0"/>
      <w:numFmt w:val="bullet"/>
      <w:lvlText w:val="•"/>
      <w:lvlJc w:val="left"/>
      <w:pPr>
        <w:ind w:left="2909" w:hanging="420"/>
      </w:pPr>
      <w:rPr>
        <w:rFonts w:hint="default"/>
        <w:lang w:val="zh-CN" w:eastAsia="zh-CN" w:bidi="zh-CN"/>
      </w:rPr>
    </w:lvl>
    <w:lvl w:ilvl="3" w:tentative="0">
      <w:start w:val="0"/>
      <w:numFmt w:val="bullet"/>
      <w:lvlText w:val="•"/>
      <w:lvlJc w:val="left"/>
      <w:pPr>
        <w:ind w:left="3839" w:hanging="420"/>
      </w:pPr>
      <w:rPr>
        <w:rFonts w:hint="default"/>
        <w:lang w:val="zh-CN" w:eastAsia="zh-CN" w:bidi="zh-CN"/>
      </w:rPr>
    </w:lvl>
    <w:lvl w:ilvl="4" w:tentative="0">
      <w:start w:val="0"/>
      <w:numFmt w:val="bullet"/>
      <w:lvlText w:val="•"/>
      <w:lvlJc w:val="left"/>
      <w:pPr>
        <w:ind w:left="4768" w:hanging="420"/>
      </w:pPr>
      <w:rPr>
        <w:rFonts w:hint="default"/>
        <w:lang w:val="zh-CN" w:eastAsia="zh-CN" w:bidi="zh-CN"/>
      </w:rPr>
    </w:lvl>
    <w:lvl w:ilvl="5" w:tentative="0">
      <w:start w:val="0"/>
      <w:numFmt w:val="bullet"/>
      <w:lvlText w:val="•"/>
      <w:lvlJc w:val="left"/>
      <w:pPr>
        <w:ind w:left="5698" w:hanging="420"/>
      </w:pPr>
      <w:rPr>
        <w:rFonts w:hint="default"/>
        <w:lang w:val="zh-CN" w:eastAsia="zh-CN" w:bidi="zh-CN"/>
      </w:rPr>
    </w:lvl>
    <w:lvl w:ilvl="6" w:tentative="0">
      <w:start w:val="0"/>
      <w:numFmt w:val="bullet"/>
      <w:lvlText w:val="•"/>
      <w:lvlJc w:val="left"/>
      <w:pPr>
        <w:ind w:left="6628" w:hanging="420"/>
      </w:pPr>
      <w:rPr>
        <w:rFonts w:hint="default"/>
        <w:lang w:val="zh-CN" w:eastAsia="zh-CN" w:bidi="zh-CN"/>
      </w:rPr>
    </w:lvl>
    <w:lvl w:ilvl="7" w:tentative="0">
      <w:start w:val="0"/>
      <w:numFmt w:val="bullet"/>
      <w:lvlText w:val="•"/>
      <w:lvlJc w:val="left"/>
      <w:pPr>
        <w:ind w:left="7557" w:hanging="420"/>
      </w:pPr>
      <w:rPr>
        <w:rFonts w:hint="default"/>
        <w:lang w:val="zh-CN" w:eastAsia="zh-CN" w:bidi="zh-CN"/>
      </w:rPr>
    </w:lvl>
    <w:lvl w:ilvl="8" w:tentative="0">
      <w:start w:val="0"/>
      <w:numFmt w:val="bullet"/>
      <w:lvlText w:val="•"/>
      <w:lvlJc w:val="left"/>
      <w:pPr>
        <w:ind w:left="8487" w:hanging="420"/>
      </w:pPr>
      <w:rPr>
        <w:rFonts w:hint="default"/>
        <w:lang w:val="zh-CN" w:eastAsia="zh-CN" w:bidi="zh-CN"/>
      </w:rPr>
    </w:lvl>
  </w:abstractNum>
  <w:num w:numId="1">
    <w:abstractNumId w:val="1"/>
  </w:num>
  <w:num w:numId="2">
    <w:abstractNumId w:val="0"/>
  </w:num>
  <w:num w:numId="3">
    <w:abstractNumId w:val="7"/>
  </w:num>
  <w:num w:numId="4">
    <w:abstractNumId w:val="9"/>
  </w:num>
  <w:num w:numId="5">
    <w:abstractNumId w:val="14"/>
  </w:num>
  <w:num w:numId="6">
    <w:abstractNumId w:val="13"/>
  </w:num>
  <w:num w:numId="7">
    <w:abstractNumId w:val="8"/>
  </w:num>
  <w:num w:numId="8">
    <w:abstractNumId w:val="12"/>
  </w:num>
  <w:num w:numId="9">
    <w:abstractNumId w:val="11"/>
  </w:num>
  <w:num w:numId="10">
    <w:abstractNumId w:val="6"/>
  </w:num>
  <w:num w:numId="11">
    <w:abstractNumId w:val="4"/>
  </w:num>
  <w:num w:numId="12">
    <w:abstractNumId w:val="5"/>
  </w:num>
  <w:num w:numId="13">
    <w:abstractNumId w:val="3"/>
  </w:num>
  <w:num w:numId="14">
    <w:abstractNumId w:val="2"/>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85"/>
  <w:bordersDoNotSurroundHeader w:val="0"/>
  <w:bordersDoNotSurroundFooter w:val="0"/>
  <w:hideSpellingErrors/>
  <w:documentProtection w:enforcement="0"/>
  <w:defaultTabStop w:val="720"/>
  <w:drawingGridHorizontalSpacing w:val="110"/>
  <w:displayHorizontalDrawingGridEvery w:val="1"/>
  <w:displayVerticalDrawingGridEvery w:val="1"/>
  <w:noPunctuationKerning w:val="1"/>
  <w:characterSpacingControl w:val="doNotCompress"/>
  <w:compat>
    <w:balanceSingleByteDoubleByteWidth/>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1D82"/>
    <w:rsid w:val="000120B5"/>
    <w:rsid w:val="0001349B"/>
    <w:rsid w:val="000202A1"/>
    <w:rsid w:val="000224C7"/>
    <w:rsid w:val="000277CA"/>
    <w:rsid w:val="00033E19"/>
    <w:rsid w:val="000360AB"/>
    <w:rsid w:val="00041453"/>
    <w:rsid w:val="00070A66"/>
    <w:rsid w:val="00094A2D"/>
    <w:rsid w:val="000A4E1C"/>
    <w:rsid w:val="000B72DC"/>
    <w:rsid w:val="000C17C0"/>
    <w:rsid w:val="000C6FF6"/>
    <w:rsid w:val="000D01FA"/>
    <w:rsid w:val="000E3475"/>
    <w:rsid w:val="000E6CDD"/>
    <w:rsid w:val="001065EA"/>
    <w:rsid w:val="00113861"/>
    <w:rsid w:val="00130010"/>
    <w:rsid w:val="00131DEF"/>
    <w:rsid w:val="001552C1"/>
    <w:rsid w:val="001553EE"/>
    <w:rsid w:val="001675DC"/>
    <w:rsid w:val="001864AE"/>
    <w:rsid w:val="001A0922"/>
    <w:rsid w:val="001B2791"/>
    <w:rsid w:val="001D4301"/>
    <w:rsid w:val="001D54C0"/>
    <w:rsid w:val="001E041E"/>
    <w:rsid w:val="001E3D2C"/>
    <w:rsid w:val="001F0B3F"/>
    <w:rsid w:val="001F3B07"/>
    <w:rsid w:val="0020133B"/>
    <w:rsid w:val="0020684D"/>
    <w:rsid w:val="00213D17"/>
    <w:rsid w:val="00217264"/>
    <w:rsid w:val="0022100B"/>
    <w:rsid w:val="00223520"/>
    <w:rsid w:val="002277FC"/>
    <w:rsid w:val="002305CD"/>
    <w:rsid w:val="00236D6F"/>
    <w:rsid w:val="0024233C"/>
    <w:rsid w:val="00247590"/>
    <w:rsid w:val="00251698"/>
    <w:rsid w:val="0025258D"/>
    <w:rsid w:val="00283A36"/>
    <w:rsid w:val="00283ECB"/>
    <w:rsid w:val="00297FCE"/>
    <w:rsid w:val="002C4E51"/>
    <w:rsid w:val="002D0EA6"/>
    <w:rsid w:val="002D2089"/>
    <w:rsid w:val="002D63D0"/>
    <w:rsid w:val="002F0EFB"/>
    <w:rsid w:val="00305E65"/>
    <w:rsid w:val="00306084"/>
    <w:rsid w:val="00313AB6"/>
    <w:rsid w:val="00332D74"/>
    <w:rsid w:val="00343085"/>
    <w:rsid w:val="00370E23"/>
    <w:rsid w:val="003712E2"/>
    <w:rsid w:val="003777FE"/>
    <w:rsid w:val="00394071"/>
    <w:rsid w:val="00397421"/>
    <w:rsid w:val="003A3147"/>
    <w:rsid w:val="003B13B1"/>
    <w:rsid w:val="003B3509"/>
    <w:rsid w:val="003C4D1C"/>
    <w:rsid w:val="003C7D14"/>
    <w:rsid w:val="003D3845"/>
    <w:rsid w:val="00403088"/>
    <w:rsid w:val="00433136"/>
    <w:rsid w:val="0044419D"/>
    <w:rsid w:val="0044459A"/>
    <w:rsid w:val="00456C2C"/>
    <w:rsid w:val="00463C21"/>
    <w:rsid w:val="00473EC3"/>
    <w:rsid w:val="00486E91"/>
    <w:rsid w:val="0049458E"/>
    <w:rsid w:val="00496720"/>
    <w:rsid w:val="004A506C"/>
    <w:rsid w:val="004A76B8"/>
    <w:rsid w:val="004B66FB"/>
    <w:rsid w:val="004C420C"/>
    <w:rsid w:val="004E123B"/>
    <w:rsid w:val="004E4C99"/>
    <w:rsid w:val="004F7417"/>
    <w:rsid w:val="00503FA5"/>
    <w:rsid w:val="00511C8F"/>
    <w:rsid w:val="00516134"/>
    <w:rsid w:val="005164EA"/>
    <w:rsid w:val="0052138F"/>
    <w:rsid w:val="005568D1"/>
    <w:rsid w:val="00564862"/>
    <w:rsid w:val="0056564D"/>
    <w:rsid w:val="00576422"/>
    <w:rsid w:val="00580316"/>
    <w:rsid w:val="005824A5"/>
    <w:rsid w:val="0059481B"/>
    <w:rsid w:val="0059785B"/>
    <w:rsid w:val="005A0D81"/>
    <w:rsid w:val="005A30C7"/>
    <w:rsid w:val="005B3630"/>
    <w:rsid w:val="005C1AC7"/>
    <w:rsid w:val="005C1E80"/>
    <w:rsid w:val="005C2433"/>
    <w:rsid w:val="005C6F2A"/>
    <w:rsid w:val="005D3F4E"/>
    <w:rsid w:val="005E44D6"/>
    <w:rsid w:val="005E57EB"/>
    <w:rsid w:val="005E7016"/>
    <w:rsid w:val="006075FB"/>
    <w:rsid w:val="00607CEE"/>
    <w:rsid w:val="00614E13"/>
    <w:rsid w:val="00615B92"/>
    <w:rsid w:val="006277EE"/>
    <w:rsid w:val="00640FE1"/>
    <w:rsid w:val="006526BF"/>
    <w:rsid w:val="00662BE2"/>
    <w:rsid w:val="00665ED5"/>
    <w:rsid w:val="0068477A"/>
    <w:rsid w:val="00684B1A"/>
    <w:rsid w:val="006857C0"/>
    <w:rsid w:val="006A7FF2"/>
    <w:rsid w:val="006D4B44"/>
    <w:rsid w:val="006D7122"/>
    <w:rsid w:val="006E3A6D"/>
    <w:rsid w:val="00705B75"/>
    <w:rsid w:val="00705F90"/>
    <w:rsid w:val="0074052F"/>
    <w:rsid w:val="007608BA"/>
    <w:rsid w:val="007668E2"/>
    <w:rsid w:val="00772161"/>
    <w:rsid w:val="007723D9"/>
    <w:rsid w:val="0079708C"/>
    <w:rsid w:val="007D4FF9"/>
    <w:rsid w:val="007E600D"/>
    <w:rsid w:val="007F51FA"/>
    <w:rsid w:val="008125DE"/>
    <w:rsid w:val="008129FF"/>
    <w:rsid w:val="00814DA8"/>
    <w:rsid w:val="00826412"/>
    <w:rsid w:val="008549F6"/>
    <w:rsid w:val="00876BEC"/>
    <w:rsid w:val="008839E4"/>
    <w:rsid w:val="008B0E38"/>
    <w:rsid w:val="008C0222"/>
    <w:rsid w:val="008C3D94"/>
    <w:rsid w:val="008C6783"/>
    <w:rsid w:val="008D5872"/>
    <w:rsid w:val="008E0837"/>
    <w:rsid w:val="008F750A"/>
    <w:rsid w:val="00905F19"/>
    <w:rsid w:val="00920EAB"/>
    <w:rsid w:val="0092139F"/>
    <w:rsid w:val="00925B1E"/>
    <w:rsid w:val="00934346"/>
    <w:rsid w:val="00934D85"/>
    <w:rsid w:val="00945135"/>
    <w:rsid w:val="0095131B"/>
    <w:rsid w:val="00965C42"/>
    <w:rsid w:val="009739ED"/>
    <w:rsid w:val="00987BF7"/>
    <w:rsid w:val="0099250F"/>
    <w:rsid w:val="009969B0"/>
    <w:rsid w:val="009B00E0"/>
    <w:rsid w:val="009B2C07"/>
    <w:rsid w:val="009C31AC"/>
    <w:rsid w:val="009C62D1"/>
    <w:rsid w:val="009E68C8"/>
    <w:rsid w:val="009F17D2"/>
    <w:rsid w:val="00A0222A"/>
    <w:rsid w:val="00A05304"/>
    <w:rsid w:val="00A111B6"/>
    <w:rsid w:val="00A14203"/>
    <w:rsid w:val="00A2527B"/>
    <w:rsid w:val="00A46226"/>
    <w:rsid w:val="00A5193B"/>
    <w:rsid w:val="00A52E67"/>
    <w:rsid w:val="00A6149B"/>
    <w:rsid w:val="00A6318C"/>
    <w:rsid w:val="00A807B1"/>
    <w:rsid w:val="00A81EF0"/>
    <w:rsid w:val="00A87E23"/>
    <w:rsid w:val="00A936C7"/>
    <w:rsid w:val="00AA4C69"/>
    <w:rsid w:val="00AE70B2"/>
    <w:rsid w:val="00AF091E"/>
    <w:rsid w:val="00AF5A4D"/>
    <w:rsid w:val="00B06AD8"/>
    <w:rsid w:val="00B1256C"/>
    <w:rsid w:val="00B146B9"/>
    <w:rsid w:val="00B32FF1"/>
    <w:rsid w:val="00B53202"/>
    <w:rsid w:val="00B61561"/>
    <w:rsid w:val="00B65673"/>
    <w:rsid w:val="00B7358F"/>
    <w:rsid w:val="00B802D8"/>
    <w:rsid w:val="00B953C3"/>
    <w:rsid w:val="00B97079"/>
    <w:rsid w:val="00BC6C19"/>
    <w:rsid w:val="00BD7B5A"/>
    <w:rsid w:val="00BE5C49"/>
    <w:rsid w:val="00C05250"/>
    <w:rsid w:val="00C118CA"/>
    <w:rsid w:val="00C14177"/>
    <w:rsid w:val="00C262DF"/>
    <w:rsid w:val="00C35F2A"/>
    <w:rsid w:val="00C3658E"/>
    <w:rsid w:val="00C4445F"/>
    <w:rsid w:val="00C52C09"/>
    <w:rsid w:val="00C56AED"/>
    <w:rsid w:val="00C61D68"/>
    <w:rsid w:val="00C63F6E"/>
    <w:rsid w:val="00C74493"/>
    <w:rsid w:val="00C7614E"/>
    <w:rsid w:val="00C76C96"/>
    <w:rsid w:val="00C778DB"/>
    <w:rsid w:val="00C80689"/>
    <w:rsid w:val="00C90A35"/>
    <w:rsid w:val="00C963B9"/>
    <w:rsid w:val="00CA565F"/>
    <w:rsid w:val="00CB54B3"/>
    <w:rsid w:val="00CB634F"/>
    <w:rsid w:val="00CB6AF2"/>
    <w:rsid w:val="00CD026F"/>
    <w:rsid w:val="00CD4CAE"/>
    <w:rsid w:val="00CE75FB"/>
    <w:rsid w:val="00D0223B"/>
    <w:rsid w:val="00D04DBC"/>
    <w:rsid w:val="00D10CFA"/>
    <w:rsid w:val="00D12866"/>
    <w:rsid w:val="00D135B1"/>
    <w:rsid w:val="00D2248F"/>
    <w:rsid w:val="00D3269C"/>
    <w:rsid w:val="00D42043"/>
    <w:rsid w:val="00D75DF8"/>
    <w:rsid w:val="00D8723D"/>
    <w:rsid w:val="00D9037E"/>
    <w:rsid w:val="00DA1C9E"/>
    <w:rsid w:val="00DA5DC5"/>
    <w:rsid w:val="00DC0D10"/>
    <w:rsid w:val="00DD2DEF"/>
    <w:rsid w:val="00DD58C8"/>
    <w:rsid w:val="00DE09A0"/>
    <w:rsid w:val="00DE4D0E"/>
    <w:rsid w:val="00DF1CE6"/>
    <w:rsid w:val="00DF2F41"/>
    <w:rsid w:val="00E05200"/>
    <w:rsid w:val="00E252DE"/>
    <w:rsid w:val="00E2539B"/>
    <w:rsid w:val="00E31850"/>
    <w:rsid w:val="00E436B0"/>
    <w:rsid w:val="00E61EFA"/>
    <w:rsid w:val="00E71D82"/>
    <w:rsid w:val="00E724F3"/>
    <w:rsid w:val="00E731C1"/>
    <w:rsid w:val="00E75A15"/>
    <w:rsid w:val="00E9312C"/>
    <w:rsid w:val="00E93B7E"/>
    <w:rsid w:val="00EB660D"/>
    <w:rsid w:val="00ED6A7E"/>
    <w:rsid w:val="00ED7138"/>
    <w:rsid w:val="00EE0908"/>
    <w:rsid w:val="00F00C98"/>
    <w:rsid w:val="00F03FE8"/>
    <w:rsid w:val="00F07D35"/>
    <w:rsid w:val="00F34007"/>
    <w:rsid w:val="00F409BB"/>
    <w:rsid w:val="00F51E92"/>
    <w:rsid w:val="00F51ECF"/>
    <w:rsid w:val="00F54C49"/>
    <w:rsid w:val="00F6350E"/>
    <w:rsid w:val="00F6607F"/>
    <w:rsid w:val="00F70F8C"/>
    <w:rsid w:val="00F71FCE"/>
    <w:rsid w:val="00F92D68"/>
    <w:rsid w:val="00FB330A"/>
    <w:rsid w:val="00FC3D28"/>
    <w:rsid w:val="00FC608F"/>
    <w:rsid w:val="00FD0BF8"/>
    <w:rsid w:val="00FD160B"/>
    <w:rsid w:val="00FD4643"/>
    <w:rsid w:val="00FF3BEF"/>
    <w:rsid w:val="00FF4065"/>
    <w:rsid w:val="00FF7D73"/>
    <w:rsid w:val="010149A2"/>
    <w:rsid w:val="01027AFD"/>
    <w:rsid w:val="010E2251"/>
    <w:rsid w:val="011338DC"/>
    <w:rsid w:val="01186756"/>
    <w:rsid w:val="011F1643"/>
    <w:rsid w:val="011F373E"/>
    <w:rsid w:val="011F70A0"/>
    <w:rsid w:val="0120346C"/>
    <w:rsid w:val="01210337"/>
    <w:rsid w:val="01217C93"/>
    <w:rsid w:val="01283099"/>
    <w:rsid w:val="012C4016"/>
    <w:rsid w:val="012D3588"/>
    <w:rsid w:val="012D66C8"/>
    <w:rsid w:val="012F0EB0"/>
    <w:rsid w:val="01300654"/>
    <w:rsid w:val="0133439C"/>
    <w:rsid w:val="01351DEC"/>
    <w:rsid w:val="013632B6"/>
    <w:rsid w:val="01390519"/>
    <w:rsid w:val="013F3CC0"/>
    <w:rsid w:val="014167E8"/>
    <w:rsid w:val="01471CEA"/>
    <w:rsid w:val="0149201C"/>
    <w:rsid w:val="014C38F4"/>
    <w:rsid w:val="014E3E48"/>
    <w:rsid w:val="014E541E"/>
    <w:rsid w:val="015549AC"/>
    <w:rsid w:val="015708B1"/>
    <w:rsid w:val="0160522B"/>
    <w:rsid w:val="0165416A"/>
    <w:rsid w:val="0168471D"/>
    <w:rsid w:val="016A5761"/>
    <w:rsid w:val="016B520E"/>
    <w:rsid w:val="0175450C"/>
    <w:rsid w:val="0178082F"/>
    <w:rsid w:val="017D1160"/>
    <w:rsid w:val="0180411A"/>
    <w:rsid w:val="018A05CF"/>
    <w:rsid w:val="018B0FEF"/>
    <w:rsid w:val="019155C7"/>
    <w:rsid w:val="01932249"/>
    <w:rsid w:val="01932274"/>
    <w:rsid w:val="0194012D"/>
    <w:rsid w:val="019406C2"/>
    <w:rsid w:val="01957B1B"/>
    <w:rsid w:val="01986F59"/>
    <w:rsid w:val="019A61D4"/>
    <w:rsid w:val="019C1C3E"/>
    <w:rsid w:val="019F390E"/>
    <w:rsid w:val="01A26F26"/>
    <w:rsid w:val="01A61EA1"/>
    <w:rsid w:val="01A85528"/>
    <w:rsid w:val="01AD5E96"/>
    <w:rsid w:val="01AE5B41"/>
    <w:rsid w:val="01B1091D"/>
    <w:rsid w:val="01B345D0"/>
    <w:rsid w:val="01B4693A"/>
    <w:rsid w:val="01B5633B"/>
    <w:rsid w:val="01B62D72"/>
    <w:rsid w:val="01B84B15"/>
    <w:rsid w:val="01BF02E7"/>
    <w:rsid w:val="01C128DE"/>
    <w:rsid w:val="01C503DC"/>
    <w:rsid w:val="01CB7E4A"/>
    <w:rsid w:val="01CC026E"/>
    <w:rsid w:val="01CD51FB"/>
    <w:rsid w:val="01D47073"/>
    <w:rsid w:val="01D623E0"/>
    <w:rsid w:val="01D67A5D"/>
    <w:rsid w:val="01DB4494"/>
    <w:rsid w:val="01DD3571"/>
    <w:rsid w:val="01E06DC5"/>
    <w:rsid w:val="01EE180E"/>
    <w:rsid w:val="01F216D9"/>
    <w:rsid w:val="01F4506B"/>
    <w:rsid w:val="01F67F30"/>
    <w:rsid w:val="01FA66DF"/>
    <w:rsid w:val="01FB2C44"/>
    <w:rsid w:val="02026499"/>
    <w:rsid w:val="02063B56"/>
    <w:rsid w:val="020678F7"/>
    <w:rsid w:val="020B35C0"/>
    <w:rsid w:val="020B6332"/>
    <w:rsid w:val="020D2D94"/>
    <w:rsid w:val="020F6CA0"/>
    <w:rsid w:val="0212294F"/>
    <w:rsid w:val="021341B1"/>
    <w:rsid w:val="02157C41"/>
    <w:rsid w:val="021834E5"/>
    <w:rsid w:val="021861C6"/>
    <w:rsid w:val="021951F7"/>
    <w:rsid w:val="021B798F"/>
    <w:rsid w:val="021C1873"/>
    <w:rsid w:val="021E792A"/>
    <w:rsid w:val="022278BE"/>
    <w:rsid w:val="0224335D"/>
    <w:rsid w:val="02266A13"/>
    <w:rsid w:val="022B34E1"/>
    <w:rsid w:val="022C124A"/>
    <w:rsid w:val="022F133B"/>
    <w:rsid w:val="023139FB"/>
    <w:rsid w:val="02326ABF"/>
    <w:rsid w:val="023436AC"/>
    <w:rsid w:val="023624CA"/>
    <w:rsid w:val="02370FAF"/>
    <w:rsid w:val="023A52C0"/>
    <w:rsid w:val="02405BDC"/>
    <w:rsid w:val="02412AAC"/>
    <w:rsid w:val="02451AF4"/>
    <w:rsid w:val="02494CF4"/>
    <w:rsid w:val="024B08F8"/>
    <w:rsid w:val="024B093E"/>
    <w:rsid w:val="024B4B17"/>
    <w:rsid w:val="024B5FDA"/>
    <w:rsid w:val="024C2D5C"/>
    <w:rsid w:val="024D1F66"/>
    <w:rsid w:val="02514BC7"/>
    <w:rsid w:val="02533DDA"/>
    <w:rsid w:val="0256634C"/>
    <w:rsid w:val="02576304"/>
    <w:rsid w:val="025C3571"/>
    <w:rsid w:val="0262315A"/>
    <w:rsid w:val="02636617"/>
    <w:rsid w:val="0263731A"/>
    <w:rsid w:val="02670504"/>
    <w:rsid w:val="0267606D"/>
    <w:rsid w:val="026C73E7"/>
    <w:rsid w:val="026F2938"/>
    <w:rsid w:val="02763BA0"/>
    <w:rsid w:val="02801B15"/>
    <w:rsid w:val="02856053"/>
    <w:rsid w:val="02864CD1"/>
    <w:rsid w:val="028A2BAF"/>
    <w:rsid w:val="028A59BA"/>
    <w:rsid w:val="028C093B"/>
    <w:rsid w:val="028D46D8"/>
    <w:rsid w:val="028E1C1D"/>
    <w:rsid w:val="028F6567"/>
    <w:rsid w:val="029F0E86"/>
    <w:rsid w:val="029F3D00"/>
    <w:rsid w:val="029F600D"/>
    <w:rsid w:val="02A13D2A"/>
    <w:rsid w:val="02A7537B"/>
    <w:rsid w:val="02A84B60"/>
    <w:rsid w:val="02AC1409"/>
    <w:rsid w:val="02AD1B93"/>
    <w:rsid w:val="02AD6926"/>
    <w:rsid w:val="02AF2151"/>
    <w:rsid w:val="02AF28D9"/>
    <w:rsid w:val="02B26BF0"/>
    <w:rsid w:val="02BC2A91"/>
    <w:rsid w:val="02BE442D"/>
    <w:rsid w:val="02BE7935"/>
    <w:rsid w:val="02C267F1"/>
    <w:rsid w:val="02C374D4"/>
    <w:rsid w:val="02C77B11"/>
    <w:rsid w:val="02D0059F"/>
    <w:rsid w:val="02D01BC6"/>
    <w:rsid w:val="02D13717"/>
    <w:rsid w:val="02D41579"/>
    <w:rsid w:val="02D42E1F"/>
    <w:rsid w:val="02D50B05"/>
    <w:rsid w:val="02D5783B"/>
    <w:rsid w:val="02DB725A"/>
    <w:rsid w:val="02DD7E6D"/>
    <w:rsid w:val="02DE4476"/>
    <w:rsid w:val="02E11170"/>
    <w:rsid w:val="02E237DA"/>
    <w:rsid w:val="02E3579E"/>
    <w:rsid w:val="02E65ACC"/>
    <w:rsid w:val="02E93569"/>
    <w:rsid w:val="02EE0997"/>
    <w:rsid w:val="02F0051B"/>
    <w:rsid w:val="02F10385"/>
    <w:rsid w:val="02F44E56"/>
    <w:rsid w:val="02F97023"/>
    <w:rsid w:val="02FA1B36"/>
    <w:rsid w:val="02FE3670"/>
    <w:rsid w:val="030036FE"/>
    <w:rsid w:val="03065CFA"/>
    <w:rsid w:val="030662D7"/>
    <w:rsid w:val="03070758"/>
    <w:rsid w:val="03071E62"/>
    <w:rsid w:val="03073135"/>
    <w:rsid w:val="0308314D"/>
    <w:rsid w:val="030C2B96"/>
    <w:rsid w:val="030C4D0F"/>
    <w:rsid w:val="030D0E00"/>
    <w:rsid w:val="03103A6A"/>
    <w:rsid w:val="03176B93"/>
    <w:rsid w:val="03186289"/>
    <w:rsid w:val="03187CE8"/>
    <w:rsid w:val="031A257F"/>
    <w:rsid w:val="03211B6B"/>
    <w:rsid w:val="032166EC"/>
    <w:rsid w:val="032731D7"/>
    <w:rsid w:val="032B33BB"/>
    <w:rsid w:val="032F1119"/>
    <w:rsid w:val="03300454"/>
    <w:rsid w:val="03332A9F"/>
    <w:rsid w:val="033B59F1"/>
    <w:rsid w:val="034A0FBE"/>
    <w:rsid w:val="034A3002"/>
    <w:rsid w:val="03534D39"/>
    <w:rsid w:val="035574FC"/>
    <w:rsid w:val="03560931"/>
    <w:rsid w:val="035C7193"/>
    <w:rsid w:val="035F71DD"/>
    <w:rsid w:val="03653B5E"/>
    <w:rsid w:val="036B2DCD"/>
    <w:rsid w:val="03750BCC"/>
    <w:rsid w:val="0377506C"/>
    <w:rsid w:val="03786D08"/>
    <w:rsid w:val="037D0551"/>
    <w:rsid w:val="037E1DDA"/>
    <w:rsid w:val="03800596"/>
    <w:rsid w:val="0386516B"/>
    <w:rsid w:val="038A52E2"/>
    <w:rsid w:val="038C1173"/>
    <w:rsid w:val="038D0929"/>
    <w:rsid w:val="038E1E03"/>
    <w:rsid w:val="03933A60"/>
    <w:rsid w:val="03993488"/>
    <w:rsid w:val="039F191E"/>
    <w:rsid w:val="03A01150"/>
    <w:rsid w:val="03A03A18"/>
    <w:rsid w:val="03A665EA"/>
    <w:rsid w:val="03A871EA"/>
    <w:rsid w:val="03AD07D5"/>
    <w:rsid w:val="03AE1A3C"/>
    <w:rsid w:val="03AE491B"/>
    <w:rsid w:val="03B22D0B"/>
    <w:rsid w:val="03B24E0A"/>
    <w:rsid w:val="03B27264"/>
    <w:rsid w:val="03B332A9"/>
    <w:rsid w:val="03B3767B"/>
    <w:rsid w:val="03BA7ED6"/>
    <w:rsid w:val="03BD2CF0"/>
    <w:rsid w:val="03C02F31"/>
    <w:rsid w:val="03C339B2"/>
    <w:rsid w:val="03C552B6"/>
    <w:rsid w:val="03C70C8C"/>
    <w:rsid w:val="03CF3197"/>
    <w:rsid w:val="03D10535"/>
    <w:rsid w:val="03D352F3"/>
    <w:rsid w:val="03D61F12"/>
    <w:rsid w:val="03D62B06"/>
    <w:rsid w:val="03DB0B5E"/>
    <w:rsid w:val="03DF3C29"/>
    <w:rsid w:val="03E032A9"/>
    <w:rsid w:val="03E96DDF"/>
    <w:rsid w:val="03EA3281"/>
    <w:rsid w:val="03EA756C"/>
    <w:rsid w:val="03EF737E"/>
    <w:rsid w:val="03F87F19"/>
    <w:rsid w:val="03F90162"/>
    <w:rsid w:val="03FC5C74"/>
    <w:rsid w:val="04001DAA"/>
    <w:rsid w:val="04083F9F"/>
    <w:rsid w:val="0409186E"/>
    <w:rsid w:val="040A75AC"/>
    <w:rsid w:val="040A762A"/>
    <w:rsid w:val="040C1469"/>
    <w:rsid w:val="04152CA2"/>
    <w:rsid w:val="0418595A"/>
    <w:rsid w:val="04191B70"/>
    <w:rsid w:val="041B6B25"/>
    <w:rsid w:val="041D6394"/>
    <w:rsid w:val="041E39FF"/>
    <w:rsid w:val="041E6DE5"/>
    <w:rsid w:val="042118A3"/>
    <w:rsid w:val="0422171C"/>
    <w:rsid w:val="04242791"/>
    <w:rsid w:val="04266EF7"/>
    <w:rsid w:val="042B6937"/>
    <w:rsid w:val="042C2051"/>
    <w:rsid w:val="042C3783"/>
    <w:rsid w:val="0435655E"/>
    <w:rsid w:val="04374D2F"/>
    <w:rsid w:val="043D6606"/>
    <w:rsid w:val="043F3B02"/>
    <w:rsid w:val="04405B71"/>
    <w:rsid w:val="04413982"/>
    <w:rsid w:val="0442026B"/>
    <w:rsid w:val="0446235E"/>
    <w:rsid w:val="04464AEA"/>
    <w:rsid w:val="0449418E"/>
    <w:rsid w:val="044E6B41"/>
    <w:rsid w:val="045006EF"/>
    <w:rsid w:val="04504017"/>
    <w:rsid w:val="045229B0"/>
    <w:rsid w:val="04580A25"/>
    <w:rsid w:val="04584DED"/>
    <w:rsid w:val="045A6B00"/>
    <w:rsid w:val="045C5027"/>
    <w:rsid w:val="045D52F3"/>
    <w:rsid w:val="045E736A"/>
    <w:rsid w:val="046006D0"/>
    <w:rsid w:val="046463D7"/>
    <w:rsid w:val="046812CC"/>
    <w:rsid w:val="04693EC4"/>
    <w:rsid w:val="046C7B22"/>
    <w:rsid w:val="047247E4"/>
    <w:rsid w:val="047476C1"/>
    <w:rsid w:val="0475798D"/>
    <w:rsid w:val="04757E15"/>
    <w:rsid w:val="04761089"/>
    <w:rsid w:val="047A0BF6"/>
    <w:rsid w:val="048134C5"/>
    <w:rsid w:val="04822B88"/>
    <w:rsid w:val="048404A8"/>
    <w:rsid w:val="04864286"/>
    <w:rsid w:val="048A0038"/>
    <w:rsid w:val="048D3076"/>
    <w:rsid w:val="048E4FC8"/>
    <w:rsid w:val="048F7696"/>
    <w:rsid w:val="04922629"/>
    <w:rsid w:val="049C4CAE"/>
    <w:rsid w:val="04A31CD2"/>
    <w:rsid w:val="04A569A8"/>
    <w:rsid w:val="04A615DF"/>
    <w:rsid w:val="04A66497"/>
    <w:rsid w:val="04A67434"/>
    <w:rsid w:val="04A8477F"/>
    <w:rsid w:val="04A92801"/>
    <w:rsid w:val="04AB36C6"/>
    <w:rsid w:val="04AC6BE6"/>
    <w:rsid w:val="04AC71E5"/>
    <w:rsid w:val="04AE7F31"/>
    <w:rsid w:val="04B359C9"/>
    <w:rsid w:val="04B54256"/>
    <w:rsid w:val="04B55F32"/>
    <w:rsid w:val="04BF0D83"/>
    <w:rsid w:val="04C51085"/>
    <w:rsid w:val="04C66675"/>
    <w:rsid w:val="04C6762C"/>
    <w:rsid w:val="04C83815"/>
    <w:rsid w:val="04D74EE9"/>
    <w:rsid w:val="04D83AD1"/>
    <w:rsid w:val="04DA083E"/>
    <w:rsid w:val="04DA6B60"/>
    <w:rsid w:val="04DB6F3B"/>
    <w:rsid w:val="04DE68F6"/>
    <w:rsid w:val="04DF613F"/>
    <w:rsid w:val="04E26904"/>
    <w:rsid w:val="04E355C3"/>
    <w:rsid w:val="04EA38F1"/>
    <w:rsid w:val="04EC49DB"/>
    <w:rsid w:val="04ED4387"/>
    <w:rsid w:val="04ED6BC7"/>
    <w:rsid w:val="04EE7E4F"/>
    <w:rsid w:val="04F22890"/>
    <w:rsid w:val="04F477EB"/>
    <w:rsid w:val="04F60300"/>
    <w:rsid w:val="04F90AA2"/>
    <w:rsid w:val="04FD0DE8"/>
    <w:rsid w:val="04FD68BF"/>
    <w:rsid w:val="04FF597C"/>
    <w:rsid w:val="050172C1"/>
    <w:rsid w:val="050363D3"/>
    <w:rsid w:val="05047E35"/>
    <w:rsid w:val="05047F74"/>
    <w:rsid w:val="050C746C"/>
    <w:rsid w:val="050D45F6"/>
    <w:rsid w:val="050E4E27"/>
    <w:rsid w:val="05124D0D"/>
    <w:rsid w:val="0517125A"/>
    <w:rsid w:val="0519175D"/>
    <w:rsid w:val="052102CA"/>
    <w:rsid w:val="05214532"/>
    <w:rsid w:val="052253E8"/>
    <w:rsid w:val="05232013"/>
    <w:rsid w:val="052441DD"/>
    <w:rsid w:val="05256997"/>
    <w:rsid w:val="05257AA0"/>
    <w:rsid w:val="0527769A"/>
    <w:rsid w:val="052C0315"/>
    <w:rsid w:val="052F3F6E"/>
    <w:rsid w:val="05301546"/>
    <w:rsid w:val="0530749C"/>
    <w:rsid w:val="053C2257"/>
    <w:rsid w:val="053F1830"/>
    <w:rsid w:val="053F18C7"/>
    <w:rsid w:val="054B1B6F"/>
    <w:rsid w:val="054D0846"/>
    <w:rsid w:val="054E0000"/>
    <w:rsid w:val="054E39D3"/>
    <w:rsid w:val="054F5458"/>
    <w:rsid w:val="05574B62"/>
    <w:rsid w:val="0559769B"/>
    <w:rsid w:val="055A34C5"/>
    <w:rsid w:val="055D126C"/>
    <w:rsid w:val="055E092D"/>
    <w:rsid w:val="055E101D"/>
    <w:rsid w:val="056279C5"/>
    <w:rsid w:val="05627D20"/>
    <w:rsid w:val="0563207D"/>
    <w:rsid w:val="056469CA"/>
    <w:rsid w:val="0565794B"/>
    <w:rsid w:val="05696DB8"/>
    <w:rsid w:val="056F1DB9"/>
    <w:rsid w:val="05705D0E"/>
    <w:rsid w:val="0578601A"/>
    <w:rsid w:val="057D2D6C"/>
    <w:rsid w:val="0584091E"/>
    <w:rsid w:val="05866A36"/>
    <w:rsid w:val="05872750"/>
    <w:rsid w:val="0589432A"/>
    <w:rsid w:val="05917B96"/>
    <w:rsid w:val="059E34AE"/>
    <w:rsid w:val="05A52132"/>
    <w:rsid w:val="05A966D0"/>
    <w:rsid w:val="05B21B95"/>
    <w:rsid w:val="05B2224B"/>
    <w:rsid w:val="05B923BD"/>
    <w:rsid w:val="05BA3735"/>
    <w:rsid w:val="05BA39F6"/>
    <w:rsid w:val="05BD7402"/>
    <w:rsid w:val="05C067E3"/>
    <w:rsid w:val="05C11F8C"/>
    <w:rsid w:val="05C87C2E"/>
    <w:rsid w:val="05CA0687"/>
    <w:rsid w:val="05CB07DA"/>
    <w:rsid w:val="05CE6DC8"/>
    <w:rsid w:val="05CE7319"/>
    <w:rsid w:val="05D26BB1"/>
    <w:rsid w:val="05D3047C"/>
    <w:rsid w:val="05D31F24"/>
    <w:rsid w:val="05D86D29"/>
    <w:rsid w:val="05DB0A9F"/>
    <w:rsid w:val="05DE09CC"/>
    <w:rsid w:val="05E20D08"/>
    <w:rsid w:val="05E341D1"/>
    <w:rsid w:val="05EB61B9"/>
    <w:rsid w:val="05F02D94"/>
    <w:rsid w:val="05F13DE4"/>
    <w:rsid w:val="05F326CD"/>
    <w:rsid w:val="05F6565D"/>
    <w:rsid w:val="05F97911"/>
    <w:rsid w:val="05FD7523"/>
    <w:rsid w:val="05FF3C94"/>
    <w:rsid w:val="06002D71"/>
    <w:rsid w:val="06054E09"/>
    <w:rsid w:val="06073566"/>
    <w:rsid w:val="060D215F"/>
    <w:rsid w:val="060E5089"/>
    <w:rsid w:val="060E6D92"/>
    <w:rsid w:val="06110C40"/>
    <w:rsid w:val="06110D06"/>
    <w:rsid w:val="061A5D09"/>
    <w:rsid w:val="061B0800"/>
    <w:rsid w:val="061D0EE4"/>
    <w:rsid w:val="06213EB6"/>
    <w:rsid w:val="06242856"/>
    <w:rsid w:val="062B0535"/>
    <w:rsid w:val="062C3C88"/>
    <w:rsid w:val="062F4531"/>
    <w:rsid w:val="06303D62"/>
    <w:rsid w:val="06333C63"/>
    <w:rsid w:val="063822C2"/>
    <w:rsid w:val="06393BA1"/>
    <w:rsid w:val="063B3B35"/>
    <w:rsid w:val="063E33C7"/>
    <w:rsid w:val="063F672B"/>
    <w:rsid w:val="0641513D"/>
    <w:rsid w:val="06467DA7"/>
    <w:rsid w:val="064B4AFE"/>
    <w:rsid w:val="065061B1"/>
    <w:rsid w:val="06531DF9"/>
    <w:rsid w:val="065616C7"/>
    <w:rsid w:val="065D505F"/>
    <w:rsid w:val="065E37BE"/>
    <w:rsid w:val="06631AD1"/>
    <w:rsid w:val="06641AA3"/>
    <w:rsid w:val="06654525"/>
    <w:rsid w:val="06660289"/>
    <w:rsid w:val="06672B49"/>
    <w:rsid w:val="06672EC8"/>
    <w:rsid w:val="06677D71"/>
    <w:rsid w:val="0669605B"/>
    <w:rsid w:val="066A396A"/>
    <w:rsid w:val="066E5C18"/>
    <w:rsid w:val="067059F5"/>
    <w:rsid w:val="06716157"/>
    <w:rsid w:val="06740320"/>
    <w:rsid w:val="067736B9"/>
    <w:rsid w:val="06800C6A"/>
    <w:rsid w:val="068779F7"/>
    <w:rsid w:val="06881427"/>
    <w:rsid w:val="068E6ACC"/>
    <w:rsid w:val="068F68AF"/>
    <w:rsid w:val="06932992"/>
    <w:rsid w:val="069338A6"/>
    <w:rsid w:val="069A7C98"/>
    <w:rsid w:val="069C35F6"/>
    <w:rsid w:val="069F36D3"/>
    <w:rsid w:val="06A26E72"/>
    <w:rsid w:val="06A52C94"/>
    <w:rsid w:val="06A54016"/>
    <w:rsid w:val="06A76708"/>
    <w:rsid w:val="06AA114F"/>
    <w:rsid w:val="06AC04B0"/>
    <w:rsid w:val="06AC300C"/>
    <w:rsid w:val="06B004A9"/>
    <w:rsid w:val="06B40F3F"/>
    <w:rsid w:val="06B44EB1"/>
    <w:rsid w:val="06BC31B6"/>
    <w:rsid w:val="06BF3437"/>
    <w:rsid w:val="06C129C1"/>
    <w:rsid w:val="06C2477A"/>
    <w:rsid w:val="06C264B9"/>
    <w:rsid w:val="06C630C8"/>
    <w:rsid w:val="06C86963"/>
    <w:rsid w:val="06CB528D"/>
    <w:rsid w:val="06CE25B8"/>
    <w:rsid w:val="06D15855"/>
    <w:rsid w:val="06D23B91"/>
    <w:rsid w:val="06D4092C"/>
    <w:rsid w:val="06DE3A0F"/>
    <w:rsid w:val="06E10E86"/>
    <w:rsid w:val="06E239A5"/>
    <w:rsid w:val="06E443F1"/>
    <w:rsid w:val="06E716E2"/>
    <w:rsid w:val="06F04CD4"/>
    <w:rsid w:val="06F10322"/>
    <w:rsid w:val="06F36D98"/>
    <w:rsid w:val="06F46B90"/>
    <w:rsid w:val="06F82220"/>
    <w:rsid w:val="06F83CE7"/>
    <w:rsid w:val="07011724"/>
    <w:rsid w:val="0701292B"/>
    <w:rsid w:val="0703644C"/>
    <w:rsid w:val="07084E8C"/>
    <w:rsid w:val="070A0456"/>
    <w:rsid w:val="070B0523"/>
    <w:rsid w:val="0711317B"/>
    <w:rsid w:val="07141D27"/>
    <w:rsid w:val="071A7D57"/>
    <w:rsid w:val="072017EA"/>
    <w:rsid w:val="07204A4A"/>
    <w:rsid w:val="07214B12"/>
    <w:rsid w:val="07223E7B"/>
    <w:rsid w:val="07254F17"/>
    <w:rsid w:val="07270F2C"/>
    <w:rsid w:val="072A0AFD"/>
    <w:rsid w:val="072B5C2F"/>
    <w:rsid w:val="072E256E"/>
    <w:rsid w:val="072E60FE"/>
    <w:rsid w:val="07316C1B"/>
    <w:rsid w:val="073203EC"/>
    <w:rsid w:val="07320A1E"/>
    <w:rsid w:val="073754CA"/>
    <w:rsid w:val="07384E88"/>
    <w:rsid w:val="073A4048"/>
    <w:rsid w:val="07417935"/>
    <w:rsid w:val="0746359A"/>
    <w:rsid w:val="07466E2A"/>
    <w:rsid w:val="074766CD"/>
    <w:rsid w:val="07490EF6"/>
    <w:rsid w:val="074C3ACE"/>
    <w:rsid w:val="074F6312"/>
    <w:rsid w:val="07542776"/>
    <w:rsid w:val="07543CD5"/>
    <w:rsid w:val="075569A8"/>
    <w:rsid w:val="075E0DFD"/>
    <w:rsid w:val="075F06F8"/>
    <w:rsid w:val="076034AA"/>
    <w:rsid w:val="0761167A"/>
    <w:rsid w:val="07647D17"/>
    <w:rsid w:val="0766294B"/>
    <w:rsid w:val="07671D7F"/>
    <w:rsid w:val="0768640A"/>
    <w:rsid w:val="076964EF"/>
    <w:rsid w:val="076D29D5"/>
    <w:rsid w:val="076D599F"/>
    <w:rsid w:val="076F0769"/>
    <w:rsid w:val="076F24E7"/>
    <w:rsid w:val="0773222F"/>
    <w:rsid w:val="07750B6B"/>
    <w:rsid w:val="07755CEF"/>
    <w:rsid w:val="07816458"/>
    <w:rsid w:val="07896369"/>
    <w:rsid w:val="079A0D19"/>
    <w:rsid w:val="079A5AF1"/>
    <w:rsid w:val="07A069A8"/>
    <w:rsid w:val="07A138AA"/>
    <w:rsid w:val="07A25952"/>
    <w:rsid w:val="07A72504"/>
    <w:rsid w:val="07AE1B07"/>
    <w:rsid w:val="07B22CD5"/>
    <w:rsid w:val="07B35045"/>
    <w:rsid w:val="07B36D7F"/>
    <w:rsid w:val="07B7082F"/>
    <w:rsid w:val="07B94A8F"/>
    <w:rsid w:val="07B96BC1"/>
    <w:rsid w:val="07B97336"/>
    <w:rsid w:val="07BE1696"/>
    <w:rsid w:val="07BE1E7E"/>
    <w:rsid w:val="07C72C92"/>
    <w:rsid w:val="07CA2054"/>
    <w:rsid w:val="07D0624F"/>
    <w:rsid w:val="07D30E01"/>
    <w:rsid w:val="07D54AC3"/>
    <w:rsid w:val="07D561B2"/>
    <w:rsid w:val="07D6716B"/>
    <w:rsid w:val="07D77C76"/>
    <w:rsid w:val="07DB0D2B"/>
    <w:rsid w:val="07E01D26"/>
    <w:rsid w:val="07E87307"/>
    <w:rsid w:val="07EE029B"/>
    <w:rsid w:val="07EE5EC4"/>
    <w:rsid w:val="07EF748D"/>
    <w:rsid w:val="07F33817"/>
    <w:rsid w:val="07F45D57"/>
    <w:rsid w:val="07F64391"/>
    <w:rsid w:val="07F67F3A"/>
    <w:rsid w:val="07F95DF4"/>
    <w:rsid w:val="07FD1E06"/>
    <w:rsid w:val="07FD577C"/>
    <w:rsid w:val="08013340"/>
    <w:rsid w:val="08071276"/>
    <w:rsid w:val="08085988"/>
    <w:rsid w:val="080923B9"/>
    <w:rsid w:val="08092817"/>
    <w:rsid w:val="080C6D4F"/>
    <w:rsid w:val="080D5C02"/>
    <w:rsid w:val="080F68FD"/>
    <w:rsid w:val="08164660"/>
    <w:rsid w:val="081A3175"/>
    <w:rsid w:val="081E0335"/>
    <w:rsid w:val="0822581A"/>
    <w:rsid w:val="08233B64"/>
    <w:rsid w:val="08244083"/>
    <w:rsid w:val="08263332"/>
    <w:rsid w:val="082C19FE"/>
    <w:rsid w:val="082C53A5"/>
    <w:rsid w:val="082C7EF8"/>
    <w:rsid w:val="082F3273"/>
    <w:rsid w:val="082F44A8"/>
    <w:rsid w:val="08322D2E"/>
    <w:rsid w:val="083445B6"/>
    <w:rsid w:val="0836254D"/>
    <w:rsid w:val="08371A80"/>
    <w:rsid w:val="083C30C6"/>
    <w:rsid w:val="083E6AE1"/>
    <w:rsid w:val="083F4E55"/>
    <w:rsid w:val="08407B68"/>
    <w:rsid w:val="084139BF"/>
    <w:rsid w:val="084265B0"/>
    <w:rsid w:val="0846350B"/>
    <w:rsid w:val="084917B2"/>
    <w:rsid w:val="08496A82"/>
    <w:rsid w:val="084972A7"/>
    <w:rsid w:val="084B61D3"/>
    <w:rsid w:val="0855397B"/>
    <w:rsid w:val="0857027D"/>
    <w:rsid w:val="085B0005"/>
    <w:rsid w:val="085F470C"/>
    <w:rsid w:val="08660C08"/>
    <w:rsid w:val="08695032"/>
    <w:rsid w:val="086F355E"/>
    <w:rsid w:val="08700B20"/>
    <w:rsid w:val="08744527"/>
    <w:rsid w:val="0877510E"/>
    <w:rsid w:val="087A4317"/>
    <w:rsid w:val="08822F68"/>
    <w:rsid w:val="08831BEA"/>
    <w:rsid w:val="08895681"/>
    <w:rsid w:val="088A66A5"/>
    <w:rsid w:val="088E374C"/>
    <w:rsid w:val="088F1BBC"/>
    <w:rsid w:val="0890530C"/>
    <w:rsid w:val="08921D0E"/>
    <w:rsid w:val="089255A7"/>
    <w:rsid w:val="08927988"/>
    <w:rsid w:val="08955A5F"/>
    <w:rsid w:val="08967B81"/>
    <w:rsid w:val="08975246"/>
    <w:rsid w:val="08991247"/>
    <w:rsid w:val="0899290F"/>
    <w:rsid w:val="089B67A9"/>
    <w:rsid w:val="089C4523"/>
    <w:rsid w:val="08A103F1"/>
    <w:rsid w:val="08A16FFC"/>
    <w:rsid w:val="08A44CE7"/>
    <w:rsid w:val="08A53DDB"/>
    <w:rsid w:val="08AD314C"/>
    <w:rsid w:val="08AE3812"/>
    <w:rsid w:val="08B84FB9"/>
    <w:rsid w:val="08C142FF"/>
    <w:rsid w:val="08CD00FF"/>
    <w:rsid w:val="08CD2245"/>
    <w:rsid w:val="08D00F25"/>
    <w:rsid w:val="08D277F6"/>
    <w:rsid w:val="08D57D92"/>
    <w:rsid w:val="08D71A26"/>
    <w:rsid w:val="08E63E7A"/>
    <w:rsid w:val="08E93165"/>
    <w:rsid w:val="08F0716C"/>
    <w:rsid w:val="08F100C6"/>
    <w:rsid w:val="08F11E88"/>
    <w:rsid w:val="08F12A98"/>
    <w:rsid w:val="08F14F90"/>
    <w:rsid w:val="08F1502C"/>
    <w:rsid w:val="08F16C41"/>
    <w:rsid w:val="08F41E27"/>
    <w:rsid w:val="08F54DBE"/>
    <w:rsid w:val="08F6794A"/>
    <w:rsid w:val="08F97E8E"/>
    <w:rsid w:val="08FC76CC"/>
    <w:rsid w:val="08FF6BF4"/>
    <w:rsid w:val="0901468C"/>
    <w:rsid w:val="090D2921"/>
    <w:rsid w:val="091442CE"/>
    <w:rsid w:val="09165125"/>
    <w:rsid w:val="091705D6"/>
    <w:rsid w:val="09170DE2"/>
    <w:rsid w:val="0917697E"/>
    <w:rsid w:val="09207994"/>
    <w:rsid w:val="0925341B"/>
    <w:rsid w:val="09263EDB"/>
    <w:rsid w:val="092A7943"/>
    <w:rsid w:val="092B1312"/>
    <w:rsid w:val="092B75CA"/>
    <w:rsid w:val="09304DAB"/>
    <w:rsid w:val="09314CC8"/>
    <w:rsid w:val="09351268"/>
    <w:rsid w:val="093C765C"/>
    <w:rsid w:val="093F24E8"/>
    <w:rsid w:val="09402748"/>
    <w:rsid w:val="0940435E"/>
    <w:rsid w:val="0942292A"/>
    <w:rsid w:val="09484115"/>
    <w:rsid w:val="094C6411"/>
    <w:rsid w:val="094F43C1"/>
    <w:rsid w:val="09555874"/>
    <w:rsid w:val="0958555A"/>
    <w:rsid w:val="09592D61"/>
    <w:rsid w:val="09595BF7"/>
    <w:rsid w:val="095D2B80"/>
    <w:rsid w:val="095F1777"/>
    <w:rsid w:val="09624B73"/>
    <w:rsid w:val="09626DD9"/>
    <w:rsid w:val="0965615E"/>
    <w:rsid w:val="09657E7C"/>
    <w:rsid w:val="09660EDF"/>
    <w:rsid w:val="09663CB0"/>
    <w:rsid w:val="0967331A"/>
    <w:rsid w:val="09711C63"/>
    <w:rsid w:val="09746963"/>
    <w:rsid w:val="09754B3B"/>
    <w:rsid w:val="09781CE0"/>
    <w:rsid w:val="09783200"/>
    <w:rsid w:val="09797E94"/>
    <w:rsid w:val="097A3C60"/>
    <w:rsid w:val="097F70F4"/>
    <w:rsid w:val="097F7A26"/>
    <w:rsid w:val="0990016C"/>
    <w:rsid w:val="09932005"/>
    <w:rsid w:val="09947F44"/>
    <w:rsid w:val="09974183"/>
    <w:rsid w:val="099B1661"/>
    <w:rsid w:val="099C69E0"/>
    <w:rsid w:val="09AA691C"/>
    <w:rsid w:val="09AC2A24"/>
    <w:rsid w:val="09AD3430"/>
    <w:rsid w:val="09AF14FD"/>
    <w:rsid w:val="09AF3BC0"/>
    <w:rsid w:val="09B317BA"/>
    <w:rsid w:val="09B3374B"/>
    <w:rsid w:val="09BB4B0B"/>
    <w:rsid w:val="09C222A7"/>
    <w:rsid w:val="09C51186"/>
    <w:rsid w:val="09CA7239"/>
    <w:rsid w:val="09CB1786"/>
    <w:rsid w:val="09CE1A58"/>
    <w:rsid w:val="09CF6ACC"/>
    <w:rsid w:val="09D2558B"/>
    <w:rsid w:val="09D3185D"/>
    <w:rsid w:val="09D42743"/>
    <w:rsid w:val="09D641DE"/>
    <w:rsid w:val="09D654BC"/>
    <w:rsid w:val="09E050D8"/>
    <w:rsid w:val="09E70FBA"/>
    <w:rsid w:val="09EC37EA"/>
    <w:rsid w:val="09EC3927"/>
    <w:rsid w:val="09EC5EB0"/>
    <w:rsid w:val="09EC6B57"/>
    <w:rsid w:val="09F262DB"/>
    <w:rsid w:val="0A077E30"/>
    <w:rsid w:val="0A082CFD"/>
    <w:rsid w:val="0A094C84"/>
    <w:rsid w:val="0A0C07AA"/>
    <w:rsid w:val="0A0E40DB"/>
    <w:rsid w:val="0A14600C"/>
    <w:rsid w:val="0A18234F"/>
    <w:rsid w:val="0A185A81"/>
    <w:rsid w:val="0A1F6AC7"/>
    <w:rsid w:val="0A217013"/>
    <w:rsid w:val="0A244F1F"/>
    <w:rsid w:val="0A2C532D"/>
    <w:rsid w:val="0A2D17C7"/>
    <w:rsid w:val="0A313E57"/>
    <w:rsid w:val="0A3300D0"/>
    <w:rsid w:val="0A331D87"/>
    <w:rsid w:val="0A342C58"/>
    <w:rsid w:val="0A380B90"/>
    <w:rsid w:val="0A3E0576"/>
    <w:rsid w:val="0A3F62E0"/>
    <w:rsid w:val="0A462DBA"/>
    <w:rsid w:val="0A491D10"/>
    <w:rsid w:val="0A4B4457"/>
    <w:rsid w:val="0A5277B9"/>
    <w:rsid w:val="0A5327B6"/>
    <w:rsid w:val="0A586BCA"/>
    <w:rsid w:val="0A5A01F5"/>
    <w:rsid w:val="0A5E1204"/>
    <w:rsid w:val="0A5E1D46"/>
    <w:rsid w:val="0A5E1FF3"/>
    <w:rsid w:val="0A605D4E"/>
    <w:rsid w:val="0A6344DD"/>
    <w:rsid w:val="0A645B15"/>
    <w:rsid w:val="0A693B19"/>
    <w:rsid w:val="0A6C16DA"/>
    <w:rsid w:val="0A6F7ED6"/>
    <w:rsid w:val="0A701383"/>
    <w:rsid w:val="0A792811"/>
    <w:rsid w:val="0A7B7A04"/>
    <w:rsid w:val="0A7F5AD6"/>
    <w:rsid w:val="0A7F76B4"/>
    <w:rsid w:val="0A8E36A8"/>
    <w:rsid w:val="0A92127B"/>
    <w:rsid w:val="0A93796A"/>
    <w:rsid w:val="0A9719A9"/>
    <w:rsid w:val="0A986D3B"/>
    <w:rsid w:val="0A9E0C40"/>
    <w:rsid w:val="0A9E2762"/>
    <w:rsid w:val="0AA222EC"/>
    <w:rsid w:val="0AA25644"/>
    <w:rsid w:val="0AA4400A"/>
    <w:rsid w:val="0AAC7538"/>
    <w:rsid w:val="0AAF5E6F"/>
    <w:rsid w:val="0AB16404"/>
    <w:rsid w:val="0AB24353"/>
    <w:rsid w:val="0AB24E37"/>
    <w:rsid w:val="0AB34B2E"/>
    <w:rsid w:val="0AB54D8C"/>
    <w:rsid w:val="0AB63F70"/>
    <w:rsid w:val="0AB85EF7"/>
    <w:rsid w:val="0ABF097C"/>
    <w:rsid w:val="0AC32350"/>
    <w:rsid w:val="0AC333C0"/>
    <w:rsid w:val="0AC42B78"/>
    <w:rsid w:val="0AC45870"/>
    <w:rsid w:val="0AC71529"/>
    <w:rsid w:val="0AC94BE1"/>
    <w:rsid w:val="0AD1092E"/>
    <w:rsid w:val="0AD37066"/>
    <w:rsid w:val="0AD66F08"/>
    <w:rsid w:val="0AD67C9F"/>
    <w:rsid w:val="0ADC43F1"/>
    <w:rsid w:val="0ADF4411"/>
    <w:rsid w:val="0ADF5C30"/>
    <w:rsid w:val="0AE07727"/>
    <w:rsid w:val="0AE11409"/>
    <w:rsid w:val="0AE2772A"/>
    <w:rsid w:val="0AE77738"/>
    <w:rsid w:val="0AE81B73"/>
    <w:rsid w:val="0AF65756"/>
    <w:rsid w:val="0AF67474"/>
    <w:rsid w:val="0AFF4772"/>
    <w:rsid w:val="0B033AEB"/>
    <w:rsid w:val="0B037621"/>
    <w:rsid w:val="0B0861B7"/>
    <w:rsid w:val="0B096421"/>
    <w:rsid w:val="0B0D536B"/>
    <w:rsid w:val="0B1332FB"/>
    <w:rsid w:val="0B134C12"/>
    <w:rsid w:val="0B184583"/>
    <w:rsid w:val="0B1D5099"/>
    <w:rsid w:val="0B1E0FA8"/>
    <w:rsid w:val="0B280DF8"/>
    <w:rsid w:val="0B2D0E2B"/>
    <w:rsid w:val="0B2D7A58"/>
    <w:rsid w:val="0B2F709E"/>
    <w:rsid w:val="0B301963"/>
    <w:rsid w:val="0B301AF2"/>
    <w:rsid w:val="0B32581E"/>
    <w:rsid w:val="0B331278"/>
    <w:rsid w:val="0B332D81"/>
    <w:rsid w:val="0B3C56F8"/>
    <w:rsid w:val="0B3E2B1D"/>
    <w:rsid w:val="0B445E6E"/>
    <w:rsid w:val="0B4547E2"/>
    <w:rsid w:val="0B460C09"/>
    <w:rsid w:val="0B5148B8"/>
    <w:rsid w:val="0B571B02"/>
    <w:rsid w:val="0B59315E"/>
    <w:rsid w:val="0B5B6DAB"/>
    <w:rsid w:val="0B5E5E4F"/>
    <w:rsid w:val="0B5E5F52"/>
    <w:rsid w:val="0B5F530D"/>
    <w:rsid w:val="0B6074D0"/>
    <w:rsid w:val="0B61222E"/>
    <w:rsid w:val="0B614B69"/>
    <w:rsid w:val="0B674779"/>
    <w:rsid w:val="0B684556"/>
    <w:rsid w:val="0B692907"/>
    <w:rsid w:val="0B6942F6"/>
    <w:rsid w:val="0B7731DC"/>
    <w:rsid w:val="0B7A0E31"/>
    <w:rsid w:val="0B7E430F"/>
    <w:rsid w:val="0B7F4D74"/>
    <w:rsid w:val="0B801F69"/>
    <w:rsid w:val="0B80274A"/>
    <w:rsid w:val="0B820D11"/>
    <w:rsid w:val="0B83631C"/>
    <w:rsid w:val="0B8517B6"/>
    <w:rsid w:val="0B9557DF"/>
    <w:rsid w:val="0B9753CA"/>
    <w:rsid w:val="0B9B2B28"/>
    <w:rsid w:val="0BA32A92"/>
    <w:rsid w:val="0BA41EBC"/>
    <w:rsid w:val="0BA60C92"/>
    <w:rsid w:val="0BA615C6"/>
    <w:rsid w:val="0BA853B0"/>
    <w:rsid w:val="0BAA1D35"/>
    <w:rsid w:val="0BAC1853"/>
    <w:rsid w:val="0BB05AAB"/>
    <w:rsid w:val="0BB40DF1"/>
    <w:rsid w:val="0BB57483"/>
    <w:rsid w:val="0BBE64A5"/>
    <w:rsid w:val="0BBF4F3C"/>
    <w:rsid w:val="0BC420A6"/>
    <w:rsid w:val="0BC54882"/>
    <w:rsid w:val="0BC66A77"/>
    <w:rsid w:val="0BC66AC9"/>
    <w:rsid w:val="0BC769D7"/>
    <w:rsid w:val="0BC84958"/>
    <w:rsid w:val="0BCA48BB"/>
    <w:rsid w:val="0BCF6671"/>
    <w:rsid w:val="0BD21839"/>
    <w:rsid w:val="0BD21C74"/>
    <w:rsid w:val="0BD51720"/>
    <w:rsid w:val="0BDA61C6"/>
    <w:rsid w:val="0BDB5434"/>
    <w:rsid w:val="0BDC1F00"/>
    <w:rsid w:val="0BDC4072"/>
    <w:rsid w:val="0BDD564B"/>
    <w:rsid w:val="0BDE3F6D"/>
    <w:rsid w:val="0BE13691"/>
    <w:rsid w:val="0BE60CF4"/>
    <w:rsid w:val="0BEB020E"/>
    <w:rsid w:val="0BEC73D9"/>
    <w:rsid w:val="0BED3626"/>
    <w:rsid w:val="0BF02F21"/>
    <w:rsid w:val="0BF456C6"/>
    <w:rsid w:val="0BF515A2"/>
    <w:rsid w:val="0BF86893"/>
    <w:rsid w:val="0BFB0152"/>
    <w:rsid w:val="0BFC7B18"/>
    <w:rsid w:val="0BFF0F0A"/>
    <w:rsid w:val="0C0128BB"/>
    <w:rsid w:val="0C015B3B"/>
    <w:rsid w:val="0C0228D0"/>
    <w:rsid w:val="0C0B510D"/>
    <w:rsid w:val="0C0C0C9D"/>
    <w:rsid w:val="0C0D25CF"/>
    <w:rsid w:val="0C0D424C"/>
    <w:rsid w:val="0C132DA0"/>
    <w:rsid w:val="0C154DF9"/>
    <w:rsid w:val="0C173B55"/>
    <w:rsid w:val="0C177EB7"/>
    <w:rsid w:val="0C1A73F0"/>
    <w:rsid w:val="0C246811"/>
    <w:rsid w:val="0C27314D"/>
    <w:rsid w:val="0C274AE7"/>
    <w:rsid w:val="0C280C39"/>
    <w:rsid w:val="0C285294"/>
    <w:rsid w:val="0C29528C"/>
    <w:rsid w:val="0C2A3072"/>
    <w:rsid w:val="0C2B5020"/>
    <w:rsid w:val="0C2E3E1D"/>
    <w:rsid w:val="0C2E4D18"/>
    <w:rsid w:val="0C3009F8"/>
    <w:rsid w:val="0C333096"/>
    <w:rsid w:val="0C333D13"/>
    <w:rsid w:val="0C360A69"/>
    <w:rsid w:val="0C374E70"/>
    <w:rsid w:val="0C376096"/>
    <w:rsid w:val="0C387A38"/>
    <w:rsid w:val="0C3A14FF"/>
    <w:rsid w:val="0C475168"/>
    <w:rsid w:val="0C4843FE"/>
    <w:rsid w:val="0C4B3CAA"/>
    <w:rsid w:val="0C4D234B"/>
    <w:rsid w:val="0C5B74C7"/>
    <w:rsid w:val="0C604E60"/>
    <w:rsid w:val="0C636381"/>
    <w:rsid w:val="0C666A87"/>
    <w:rsid w:val="0C681AA1"/>
    <w:rsid w:val="0C68565A"/>
    <w:rsid w:val="0C6F0813"/>
    <w:rsid w:val="0C715FBC"/>
    <w:rsid w:val="0C722092"/>
    <w:rsid w:val="0C732EF3"/>
    <w:rsid w:val="0C741841"/>
    <w:rsid w:val="0C747538"/>
    <w:rsid w:val="0C7734A0"/>
    <w:rsid w:val="0C7B63C1"/>
    <w:rsid w:val="0C7F69D6"/>
    <w:rsid w:val="0C8077D8"/>
    <w:rsid w:val="0C841290"/>
    <w:rsid w:val="0C887C56"/>
    <w:rsid w:val="0C8C6AFA"/>
    <w:rsid w:val="0C9C3BA2"/>
    <w:rsid w:val="0C9F0146"/>
    <w:rsid w:val="0C9F25E8"/>
    <w:rsid w:val="0C9F6E12"/>
    <w:rsid w:val="0CA31AEC"/>
    <w:rsid w:val="0CA4649A"/>
    <w:rsid w:val="0CA657F2"/>
    <w:rsid w:val="0CA76ABB"/>
    <w:rsid w:val="0CA91A76"/>
    <w:rsid w:val="0CB36846"/>
    <w:rsid w:val="0CBA16EC"/>
    <w:rsid w:val="0CBB0E2E"/>
    <w:rsid w:val="0CBD700A"/>
    <w:rsid w:val="0CC8719F"/>
    <w:rsid w:val="0CD21FA3"/>
    <w:rsid w:val="0CD52A3C"/>
    <w:rsid w:val="0CD7310B"/>
    <w:rsid w:val="0CDC15A5"/>
    <w:rsid w:val="0CDC22F6"/>
    <w:rsid w:val="0CE26217"/>
    <w:rsid w:val="0CE47A8D"/>
    <w:rsid w:val="0CE73C1B"/>
    <w:rsid w:val="0CE90DF9"/>
    <w:rsid w:val="0CEA2B89"/>
    <w:rsid w:val="0CF91750"/>
    <w:rsid w:val="0CFB035B"/>
    <w:rsid w:val="0CFD6317"/>
    <w:rsid w:val="0CFF7F6C"/>
    <w:rsid w:val="0D014597"/>
    <w:rsid w:val="0D036A28"/>
    <w:rsid w:val="0D075228"/>
    <w:rsid w:val="0D076225"/>
    <w:rsid w:val="0D126E6F"/>
    <w:rsid w:val="0D162A12"/>
    <w:rsid w:val="0D167975"/>
    <w:rsid w:val="0D1C4568"/>
    <w:rsid w:val="0D1E0B45"/>
    <w:rsid w:val="0D1E71C5"/>
    <w:rsid w:val="0D1F2836"/>
    <w:rsid w:val="0D200384"/>
    <w:rsid w:val="0D2320EC"/>
    <w:rsid w:val="0D235BB4"/>
    <w:rsid w:val="0D2B4433"/>
    <w:rsid w:val="0D3F50CB"/>
    <w:rsid w:val="0D4E748E"/>
    <w:rsid w:val="0D570A1E"/>
    <w:rsid w:val="0D591340"/>
    <w:rsid w:val="0D5C6302"/>
    <w:rsid w:val="0D602D09"/>
    <w:rsid w:val="0D69089B"/>
    <w:rsid w:val="0D6D617C"/>
    <w:rsid w:val="0D740786"/>
    <w:rsid w:val="0D756B2A"/>
    <w:rsid w:val="0D79189B"/>
    <w:rsid w:val="0D791F46"/>
    <w:rsid w:val="0D793B4A"/>
    <w:rsid w:val="0D794A30"/>
    <w:rsid w:val="0D7B5885"/>
    <w:rsid w:val="0D8238C9"/>
    <w:rsid w:val="0D876DFE"/>
    <w:rsid w:val="0D8C6A8F"/>
    <w:rsid w:val="0D8F7C1C"/>
    <w:rsid w:val="0D913C50"/>
    <w:rsid w:val="0D9764D0"/>
    <w:rsid w:val="0D985A11"/>
    <w:rsid w:val="0D992FBC"/>
    <w:rsid w:val="0D9B1192"/>
    <w:rsid w:val="0D9B26CF"/>
    <w:rsid w:val="0D9B7484"/>
    <w:rsid w:val="0D9D3BCA"/>
    <w:rsid w:val="0DA05E2E"/>
    <w:rsid w:val="0DA30C04"/>
    <w:rsid w:val="0DA506E4"/>
    <w:rsid w:val="0DA72C52"/>
    <w:rsid w:val="0DB03AE6"/>
    <w:rsid w:val="0DB2129D"/>
    <w:rsid w:val="0DB253CF"/>
    <w:rsid w:val="0DB307BB"/>
    <w:rsid w:val="0DB42AB3"/>
    <w:rsid w:val="0DB5295A"/>
    <w:rsid w:val="0DB61FDC"/>
    <w:rsid w:val="0DB75C78"/>
    <w:rsid w:val="0DBD1BCE"/>
    <w:rsid w:val="0DBD2EA5"/>
    <w:rsid w:val="0DC05671"/>
    <w:rsid w:val="0DC33B65"/>
    <w:rsid w:val="0DC44EEE"/>
    <w:rsid w:val="0DC70496"/>
    <w:rsid w:val="0DC71976"/>
    <w:rsid w:val="0DC843B1"/>
    <w:rsid w:val="0DCD7B5F"/>
    <w:rsid w:val="0DD02A8B"/>
    <w:rsid w:val="0DD511BF"/>
    <w:rsid w:val="0DD5674C"/>
    <w:rsid w:val="0DD6045E"/>
    <w:rsid w:val="0DDA003A"/>
    <w:rsid w:val="0DDB0B42"/>
    <w:rsid w:val="0DDC5A21"/>
    <w:rsid w:val="0DDD7BC7"/>
    <w:rsid w:val="0DE21BB9"/>
    <w:rsid w:val="0DE72062"/>
    <w:rsid w:val="0DEC17F4"/>
    <w:rsid w:val="0DEF0A4A"/>
    <w:rsid w:val="0DF21A6A"/>
    <w:rsid w:val="0DF45B7C"/>
    <w:rsid w:val="0DF85B69"/>
    <w:rsid w:val="0DF94BA9"/>
    <w:rsid w:val="0DFE3340"/>
    <w:rsid w:val="0DFE4253"/>
    <w:rsid w:val="0DFF765B"/>
    <w:rsid w:val="0E02246A"/>
    <w:rsid w:val="0E082AB0"/>
    <w:rsid w:val="0E116DAE"/>
    <w:rsid w:val="0E1574AA"/>
    <w:rsid w:val="0E1E49E2"/>
    <w:rsid w:val="0E203EE1"/>
    <w:rsid w:val="0E2518C4"/>
    <w:rsid w:val="0E280E30"/>
    <w:rsid w:val="0E2B66E0"/>
    <w:rsid w:val="0E301ABA"/>
    <w:rsid w:val="0E3159E4"/>
    <w:rsid w:val="0E325A1C"/>
    <w:rsid w:val="0E33267C"/>
    <w:rsid w:val="0E345881"/>
    <w:rsid w:val="0E365F86"/>
    <w:rsid w:val="0E3D7DB1"/>
    <w:rsid w:val="0E3E56D4"/>
    <w:rsid w:val="0E406117"/>
    <w:rsid w:val="0E4120A4"/>
    <w:rsid w:val="0E413F21"/>
    <w:rsid w:val="0E4308FA"/>
    <w:rsid w:val="0E432E68"/>
    <w:rsid w:val="0E470565"/>
    <w:rsid w:val="0E477795"/>
    <w:rsid w:val="0E4B644B"/>
    <w:rsid w:val="0E4C59AB"/>
    <w:rsid w:val="0E500BDD"/>
    <w:rsid w:val="0E50198F"/>
    <w:rsid w:val="0E525303"/>
    <w:rsid w:val="0E537B41"/>
    <w:rsid w:val="0E546BD1"/>
    <w:rsid w:val="0E552476"/>
    <w:rsid w:val="0E58022F"/>
    <w:rsid w:val="0E58547D"/>
    <w:rsid w:val="0E5A70F8"/>
    <w:rsid w:val="0E5D4EE8"/>
    <w:rsid w:val="0E601203"/>
    <w:rsid w:val="0E622A2C"/>
    <w:rsid w:val="0E643A7A"/>
    <w:rsid w:val="0E657922"/>
    <w:rsid w:val="0E6641F7"/>
    <w:rsid w:val="0E665C0B"/>
    <w:rsid w:val="0E671188"/>
    <w:rsid w:val="0E677D85"/>
    <w:rsid w:val="0E6A3D7C"/>
    <w:rsid w:val="0E712B81"/>
    <w:rsid w:val="0E724034"/>
    <w:rsid w:val="0E754BC9"/>
    <w:rsid w:val="0E7977BE"/>
    <w:rsid w:val="0E7D7409"/>
    <w:rsid w:val="0E891F77"/>
    <w:rsid w:val="0E8B16DC"/>
    <w:rsid w:val="0E8B5B04"/>
    <w:rsid w:val="0E8E45D8"/>
    <w:rsid w:val="0E90316D"/>
    <w:rsid w:val="0E9110C4"/>
    <w:rsid w:val="0E921F73"/>
    <w:rsid w:val="0E9916A2"/>
    <w:rsid w:val="0E9E5863"/>
    <w:rsid w:val="0E9E5CB5"/>
    <w:rsid w:val="0E9F12DB"/>
    <w:rsid w:val="0EA13F55"/>
    <w:rsid w:val="0EA43814"/>
    <w:rsid w:val="0EA52861"/>
    <w:rsid w:val="0EA73C90"/>
    <w:rsid w:val="0EA74CAB"/>
    <w:rsid w:val="0EA90A51"/>
    <w:rsid w:val="0EAA0A68"/>
    <w:rsid w:val="0EB06ED6"/>
    <w:rsid w:val="0EB1104B"/>
    <w:rsid w:val="0EB80280"/>
    <w:rsid w:val="0EB9005B"/>
    <w:rsid w:val="0EBA6D8B"/>
    <w:rsid w:val="0EBC30ED"/>
    <w:rsid w:val="0EBE2FC9"/>
    <w:rsid w:val="0EC006DC"/>
    <w:rsid w:val="0EC02478"/>
    <w:rsid w:val="0EC30030"/>
    <w:rsid w:val="0EC83D05"/>
    <w:rsid w:val="0ECB12F1"/>
    <w:rsid w:val="0ECC7DD2"/>
    <w:rsid w:val="0ED45A97"/>
    <w:rsid w:val="0ED660F1"/>
    <w:rsid w:val="0EDB4040"/>
    <w:rsid w:val="0EDD7821"/>
    <w:rsid w:val="0EE10E6F"/>
    <w:rsid w:val="0EE11B8A"/>
    <w:rsid w:val="0EE3590D"/>
    <w:rsid w:val="0EE6648E"/>
    <w:rsid w:val="0EE93C97"/>
    <w:rsid w:val="0EE974B0"/>
    <w:rsid w:val="0EEB7B31"/>
    <w:rsid w:val="0EEC43BF"/>
    <w:rsid w:val="0EF03BCB"/>
    <w:rsid w:val="0EF17D0F"/>
    <w:rsid w:val="0EF350B6"/>
    <w:rsid w:val="0EF46205"/>
    <w:rsid w:val="0EF67D36"/>
    <w:rsid w:val="0EFA38BC"/>
    <w:rsid w:val="0F0047AD"/>
    <w:rsid w:val="0F0251B4"/>
    <w:rsid w:val="0F047131"/>
    <w:rsid w:val="0F093277"/>
    <w:rsid w:val="0F0C020D"/>
    <w:rsid w:val="0F0C27D4"/>
    <w:rsid w:val="0F0E278F"/>
    <w:rsid w:val="0F104A20"/>
    <w:rsid w:val="0F1214F7"/>
    <w:rsid w:val="0F142230"/>
    <w:rsid w:val="0F146E1C"/>
    <w:rsid w:val="0F186F0D"/>
    <w:rsid w:val="0F192DDC"/>
    <w:rsid w:val="0F194447"/>
    <w:rsid w:val="0F195459"/>
    <w:rsid w:val="0F1A60B3"/>
    <w:rsid w:val="0F1B43C9"/>
    <w:rsid w:val="0F1F5B65"/>
    <w:rsid w:val="0F207BC1"/>
    <w:rsid w:val="0F280FE8"/>
    <w:rsid w:val="0F2B1F43"/>
    <w:rsid w:val="0F361C4C"/>
    <w:rsid w:val="0F3643CF"/>
    <w:rsid w:val="0F380967"/>
    <w:rsid w:val="0F3D11E8"/>
    <w:rsid w:val="0F3F5471"/>
    <w:rsid w:val="0F491CCE"/>
    <w:rsid w:val="0F4F5753"/>
    <w:rsid w:val="0F504589"/>
    <w:rsid w:val="0F5609AF"/>
    <w:rsid w:val="0F566915"/>
    <w:rsid w:val="0F5711C7"/>
    <w:rsid w:val="0F585A29"/>
    <w:rsid w:val="0F5956F3"/>
    <w:rsid w:val="0F5D08CD"/>
    <w:rsid w:val="0F5D476E"/>
    <w:rsid w:val="0F663BE3"/>
    <w:rsid w:val="0F6E3B27"/>
    <w:rsid w:val="0F7069D0"/>
    <w:rsid w:val="0F756148"/>
    <w:rsid w:val="0F770CB7"/>
    <w:rsid w:val="0F7760ED"/>
    <w:rsid w:val="0F890110"/>
    <w:rsid w:val="0F8D7AE6"/>
    <w:rsid w:val="0F9130CB"/>
    <w:rsid w:val="0F924E11"/>
    <w:rsid w:val="0F934290"/>
    <w:rsid w:val="0F9A0066"/>
    <w:rsid w:val="0F9F3DC4"/>
    <w:rsid w:val="0FA26CD4"/>
    <w:rsid w:val="0FA457CF"/>
    <w:rsid w:val="0FA52D29"/>
    <w:rsid w:val="0FA9762B"/>
    <w:rsid w:val="0FAC723F"/>
    <w:rsid w:val="0FB05DCF"/>
    <w:rsid w:val="0FB3799D"/>
    <w:rsid w:val="0FB552D6"/>
    <w:rsid w:val="0FB66617"/>
    <w:rsid w:val="0FB7465D"/>
    <w:rsid w:val="0FB96DC8"/>
    <w:rsid w:val="0FBF5D00"/>
    <w:rsid w:val="0FC0067F"/>
    <w:rsid w:val="0FC2192F"/>
    <w:rsid w:val="0FC54F35"/>
    <w:rsid w:val="0FC87086"/>
    <w:rsid w:val="0FCB340D"/>
    <w:rsid w:val="0FCE02E1"/>
    <w:rsid w:val="0FCE3D0B"/>
    <w:rsid w:val="0FCF681B"/>
    <w:rsid w:val="0FD237B7"/>
    <w:rsid w:val="0FD85E4D"/>
    <w:rsid w:val="0FD94649"/>
    <w:rsid w:val="0FDD5C49"/>
    <w:rsid w:val="0FDE7518"/>
    <w:rsid w:val="0FE010B8"/>
    <w:rsid w:val="0FE250AB"/>
    <w:rsid w:val="0FE356FF"/>
    <w:rsid w:val="0FE55055"/>
    <w:rsid w:val="0FEB7FA7"/>
    <w:rsid w:val="0FEC675E"/>
    <w:rsid w:val="0FED3161"/>
    <w:rsid w:val="0FED3CF9"/>
    <w:rsid w:val="0FF517D2"/>
    <w:rsid w:val="0FF6611F"/>
    <w:rsid w:val="0FF91203"/>
    <w:rsid w:val="0FFA15A6"/>
    <w:rsid w:val="0FFA161F"/>
    <w:rsid w:val="0FFC1B5F"/>
    <w:rsid w:val="0FFE380C"/>
    <w:rsid w:val="10074365"/>
    <w:rsid w:val="10091F85"/>
    <w:rsid w:val="100B6203"/>
    <w:rsid w:val="10134CCD"/>
    <w:rsid w:val="101608A8"/>
    <w:rsid w:val="101701AA"/>
    <w:rsid w:val="10175313"/>
    <w:rsid w:val="101A5377"/>
    <w:rsid w:val="101D3DBF"/>
    <w:rsid w:val="10204378"/>
    <w:rsid w:val="10264D61"/>
    <w:rsid w:val="1027218D"/>
    <w:rsid w:val="102C60EC"/>
    <w:rsid w:val="102D4F40"/>
    <w:rsid w:val="103A5A45"/>
    <w:rsid w:val="10403571"/>
    <w:rsid w:val="10421732"/>
    <w:rsid w:val="1048388F"/>
    <w:rsid w:val="10496FC8"/>
    <w:rsid w:val="104F34A9"/>
    <w:rsid w:val="105147A9"/>
    <w:rsid w:val="105266EE"/>
    <w:rsid w:val="10592C7C"/>
    <w:rsid w:val="105A5BA4"/>
    <w:rsid w:val="105C251F"/>
    <w:rsid w:val="105E6601"/>
    <w:rsid w:val="10612C54"/>
    <w:rsid w:val="10613436"/>
    <w:rsid w:val="106275B7"/>
    <w:rsid w:val="106C2B6D"/>
    <w:rsid w:val="1073075B"/>
    <w:rsid w:val="10737B4B"/>
    <w:rsid w:val="10755BC9"/>
    <w:rsid w:val="10756317"/>
    <w:rsid w:val="107F313C"/>
    <w:rsid w:val="107F4407"/>
    <w:rsid w:val="108012F6"/>
    <w:rsid w:val="10817668"/>
    <w:rsid w:val="10866F13"/>
    <w:rsid w:val="1097186B"/>
    <w:rsid w:val="10974AE6"/>
    <w:rsid w:val="109A1071"/>
    <w:rsid w:val="109B4D7E"/>
    <w:rsid w:val="109D3135"/>
    <w:rsid w:val="109F7B3A"/>
    <w:rsid w:val="10A12309"/>
    <w:rsid w:val="10A55616"/>
    <w:rsid w:val="10A700E7"/>
    <w:rsid w:val="10A8364E"/>
    <w:rsid w:val="10A87780"/>
    <w:rsid w:val="10AD0DDA"/>
    <w:rsid w:val="10AE4D82"/>
    <w:rsid w:val="10BD7561"/>
    <w:rsid w:val="10BE19E3"/>
    <w:rsid w:val="10BF35BE"/>
    <w:rsid w:val="10C16609"/>
    <w:rsid w:val="10C51C8A"/>
    <w:rsid w:val="10D36D37"/>
    <w:rsid w:val="10D40E0B"/>
    <w:rsid w:val="10D721DF"/>
    <w:rsid w:val="10DB103D"/>
    <w:rsid w:val="10E61099"/>
    <w:rsid w:val="10E61837"/>
    <w:rsid w:val="10E62662"/>
    <w:rsid w:val="10EA649B"/>
    <w:rsid w:val="10EC2C54"/>
    <w:rsid w:val="10ED5CF3"/>
    <w:rsid w:val="10F23673"/>
    <w:rsid w:val="10F370B2"/>
    <w:rsid w:val="10F37836"/>
    <w:rsid w:val="10F46708"/>
    <w:rsid w:val="10F758BF"/>
    <w:rsid w:val="10FF7028"/>
    <w:rsid w:val="110024D9"/>
    <w:rsid w:val="11091129"/>
    <w:rsid w:val="11096E0B"/>
    <w:rsid w:val="110B3B5D"/>
    <w:rsid w:val="110C415A"/>
    <w:rsid w:val="110F7C36"/>
    <w:rsid w:val="111A21DE"/>
    <w:rsid w:val="111B59DB"/>
    <w:rsid w:val="111C1CAB"/>
    <w:rsid w:val="111C5EAC"/>
    <w:rsid w:val="11221334"/>
    <w:rsid w:val="11231B77"/>
    <w:rsid w:val="112C0B4E"/>
    <w:rsid w:val="112D6BEB"/>
    <w:rsid w:val="112E7759"/>
    <w:rsid w:val="11341702"/>
    <w:rsid w:val="11354994"/>
    <w:rsid w:val="113A4B7A"/>
    <w:rsid w:val="113C5273"/>
    <w:rsid w:val="113D1E00"/>
    <w:rsid w:val="113E5C41"/>
    <w:rsid w:val="1142451A"/>
    <w:rsid w:val="11477F12"/>
    <w:rsid w:val="11497F4D"/>
    <w:rsid w:val="114A415D"/>
    <w:rsid w:val="114F127D"/>
    <w:rsid w:val="11533FB8"/>
    <w:rsid w:val="11574C51"/>
    <w:rsid w:val="11597FBA"/>
    <w:rsid w:val="115D7DA9"/>
    <w:rsid w:val="115E4D36"/>
    <w:rsid w:val="115F09E4"/>
    <w:rsid w:val="11634AA5"/>
    <w:rsid w:val="11641AA7"/>
    <w:rsid w:val="116976D9"/>
    <w:rsid w:val="116A0863"/>
    <w:rsid w:val="116E6F23"/>
    <w:rsid w:val="117359F7"/>
    <w:rsid w:val="11737657"/>
    <w:rsid w:val="11754001"/>
    <w:rsid w:val="117977EB"/>
    <w:rsid w:val="117B0A33"/>
    <w:rsid w:val="11817FA1"/>
    <w:rsid w:val="11836BCC"/>
    <w:rsid w:val="11844E21"/>
    <w:rsid w:val="11847CB7"/>
    <w:rsid w:val="11881842"/>
    <w:rsid w:val="118E4599"/>
    <w:rsid w:val="118E66C2"/>
    <w:rsid w:val="118E6AD5"/>
    <w:rsid w:val="118F04DF"/>
    <w:rsid w:val="11903D41"/>
    <w:rsid w:val="1190722E"/>
    <w:rsid w:val="11957571"/>
    <w:rsid w:val="119B4780"/>
    <w:rsid w:val="11A21F29"/>
    <w:rsid w:val="11A31E48"/>
    <w:rsid w:val="11A47D52"/>
    <w:rsid w:val="11A74681"/>
    <w:rsid w:val="11A906FC"/>
    <w:rsid w:val="11AF0E8A"/>
    <w:rsid w:val="11B45CEF"/>
    <w:rsid w:val="11B64ABA"/>
    <w:rsid w:val="11B71B56"/>
    <w:rsid w:val="11B85C12"/>
    <w:rsid w:val="11B95345"/>
    <w:rsid w:val="11BB0D67"/>
    <w:rsid w:val="11BC0FE7"/>
    <w:rsid w:val="11BC2095"/>
    <w:rsid w:val="11C169AE"/>
    <w:rsid w:val="11C460C0"/>
    <w:rsid w:val="11C82D0D"/>
    <w:rsid w:val="11C97C2E"/>
    <w:rsid w:val="11CE1F62"/>
    <w:rsid w:val="11CE4166"/>
    <w:rsid w:val="11D11B9E"/>
    <w:rsid w:val="11D64ABB"/>
    <w:rsid w:val="11DA679A"/>
    <w:rsid w:val="11DD0580"/>
    <w:rsid w:val="11DE2609"/>
    <w:rsid w:val="11E04BB5"/>
    <w:rsid w:val="11E30C13"/>
    <w:rsid w:val="11F13947"/>
    <w:rsid w:val="11F37002"/>
    <w:rsid w:val="11F51EBB"/>
    <w:rsid w:val="11F53AAE"/>
    <w:rsid w:val="1202230D"/>
    <w:rsid w:val="1202725F"/>
    <w:rsid w:val="12117833"/>
    <w:rsid w:val="121D3393"/>
    <w:rsid w:val="121E0EA8"/>
    <w:rsid w:val="122078B6"/>
    <w:rsid w:val="12246B00"/>
    <w:rsid w:val="1228500B"/>
    <w:rsid w:val="122A21F4"/>
    <w:rsid w:val="122C53F5"/>
    <w:rsid w:val="122E672C"/>
    <w:rsid w:val="12323BA7"/>
    <w:rsid w:val="12327307"/>
    <w:rsid w:val="123326A9"/>
    <w:rsid w:val="123738AA"/>
    <w:rsid w:val="124663D2"/>
    <w:rsid w:val="12482814"/>
    <w:rsid w:val="12483F4F"/>
    <w:rsid w:val="124B3E75"/>
    <w:rsid w:val="125037F7"/>
    <w:rsid w:val="1255558E"/>
    <w:rsid w:val="12557E7E"/>
    <w:rsid w:val="125A1556"/>
    <w:rsid w:val="126000C8"/>
    <w:rsid w:val="12620651"/>
    <w:rsid w:val="12622C55"/>
    <w:rsid w:val="126267F9"/>
    <w:rsid w:val="12631F6F"/>
    <w:rsid w:val="126701F2"/>
    <w:rsid w:val="12683FC4"/>
    <w:rsid w:val="126876A3"/>
    <w:rsid w:val="12722CDF"/>
    <w:rsid w:val="127B2935"/>
    <w:rsid w:val="1281129A"/>
    <w:rsid w:val="12884E4C"/>
    <w:rsid w:val="12894D2D"/>
    <w:rsid w:val="128E121C"/>
    <w:rsid w:val="12922DEB"/>
    <w:rsid w:val="12981ABE"/>
    <w:rsid w:val="12981FAA"/>
    <w:rsid w:val="129D3FBB"/>
    <w:rsid w:val="12A005B8"/>
    <w:rsid w:val="12A04FD9"/>
    <w:rsid w:val="12A14B69"/>
    <w:rsid w:val="12A34841"/>
    <w:rsid w:val="12A5497B"/>
    <w:rsid w:val="12A807E0"/>
    <w:rsid w:val="12AB5F08"/>
    <w:rsid w:val="12AC63B9"/>
    <w:rsid w:val="12AD1024"/>
    <w:rsid w:val="12AD7EB9"/>
    <w:rsid w:val="12AE35E3"/>
    <w:rsid w:val="12AF1A6C"/>
    <w:rsid w:val="12AF38E1"/>
    <w:rsid w:val="12B01BDB"/>
    <w:rsid w:val="12B3178C"/>
    <w:rsid w:val="12B50495"/>
    <w:rsid w:val="12B5222B"/>
    <w:rsid w:val="12C02CE3"/>
    <w:rsid w:val="12C07792"/>
    <w:rsid w:val="12C50FCD"/>
    <w:rsid w:val="12C5329A"/>
    <w:rsid w:val="12C70B4B"/>
    <w:rsid w:val="12C84E77"/>
    <w:rsid w:val="12CB0E15"/>
    <w:rsid w:val="12CB3F00"/>
    <w:rsid w:val="12CD3DFE"/>
    <w:rsid w:val="12D40964"/>
    <w:rsid w:val="12D5111F"/>
    <w:rsid w:val="12DF133B"/>
    <w:rsid w:val="12DF6721"/>
    <w:rsid w:val="12E1797D"/>
    <w:rsid w:val="12E468E3"/>
    <w:rsid w:val="12E61263"/>
    <w:rsid w:val="12E91457"/>
    <w:rsid w:val="12EB462E"/>
    <w:rsid w:val="12F811C2"/>
    <w:rsid w:val="12F8747A"/>
    <w:rsid w:val="12FD0B3C"/>
    <w:rsid w:val="12FE7299"/>
    <w:rsid w:val="130179E2"/>
    <w:rsid w:val="1303473C"/>
    <w:rsid w:val="1308695E"/>
    <w:rsid w:val="13096A02"/>
    <w:rsid w:val="130A41FB"/>
    <w:rsid w:val="130E7A70"/>
    <w:rsid w:val="13127DA2"/>
    <w:rsid w:val="13152E5C"/>
    <w:rsid w:val="131A2D9C"/>
    <w:rsid w:val="131E5E8F"/>
    <w:rsid w:val="13231C81"/>
    <w:rsid w:val="132A7232"/>
    <w:rsid w:val="132D0061"/>
    <w:rsid w:val="1331795B"/>
    <w:rsid w:val="13327794"/>
    <w:rsid w:val="13342C8F"/>
    <w:rsid w:val="133B2DED"/>
    <w:rsid w:val="133B3A89"/>
    <w:rsid w:val="133C07EF"/>
    <w:rsid w:val="133C4DCD"/>
    <w:rsid w:val="13402E18"/>
    <w:rsid w:val="13411687"/>
    <w:rsid w:val="1344310C"/>
    <w:rsid w:val="134A4253"/>
    <w:rsid w:val="134E71AF"/>
    <w:rsid w:val="135365BD"/>
    <w:rsid w:val="135F6026"/>
    <w:rsid w:val="13610BF4"/>
    <w:rsid w:val="13614034"/>
    <w:rsid w:val="13621694"/>
    <w:rsid w:val="13633DFA"/>
    <w:rsid w:val="13654E4F"/>
    <w:rsid w:val="136772CD"/>
    <w:rsid w:val="136B77F5"/>
    <w:rsid w:val="136C5D33"/>
    <w:rsid w:val="136D0842"/>
    <w:rsid w:val="136D4CF3"/>
    <w:rsid w:val="13773AA7"/>
    <w:rsid w:val="1378022E"/>
    <w:rsid w:val="137836C9"/>
    <w:rsid w:val="137A58C6"/>
    <w:rsid w:val="137C0D47"/>
    <w:rsid w:val="137F74BC"/>
    <w:rsid w:val="13802BC5"/>
    <w:rsid w:val="138112E8"/>
    <w:rsid w:val="13815181"/>
    <w:rsid w:val="138522FC"/>
    <w:rsid w:val="139061FA"/>
    <w:rsid w:val="13913AC0"/>
    <w:rsid w:val="13941230"/>
    <w:rsid w:val="13984053"/>
    <w:rsid w:val="139874C4"/>
    <w:rsid w:val="13991863"/>
    <w:rsid w:val="13991A86"/>
    <w:rsid w:val="139D1D62"/>
    <w:rsid w:val="13A15CCE"/>
    <w:rsid w:val="13A459BF"/>
    <w:rsid w:val="13A50315"/>
    <w:rsid w:val="13A54BDC"/>
    <w:rsid w:val="13A63314"/>
    <w:rsid w:val="13AA1B54"/>
    <w:rsid w:val="13AC196B"/>
    <w:rsid w:val="13AD11F2"/>
    <w:rsid w:val="13AE5F39"/>
    <w:rsid w:val="13AF1E42"/>
    <w:rsid w:val="13B02528"/>
    <w:rsid w:val="13B419F9"/>
    <w:rsid w:val="13B50B0B"/>
    <w:rsid w:val="13B72787"/>
    <w:rsid w:val="13BF3720"/>
    <w:rsid w:val="13C6154E"/>
    <w:rsid w:val="13C64228"/>
    <w:rsid w:val="13C75F4D"/>
    <w:rsid w:val="13CB3C73"/>
    <w:rsid w:val="13CC0BEE"/>
    <w:rsid w:val="13D33986"/>
    <w:rsid w:val="13D425CD"/>
    <w:rsid w:val="13D76070"/>
    <w:rsid w:val="13DA2B79"/>
    <w:rsid w:val="13DB706F"/>
    <w:rsid w:val="13E30ADD"/>
    <w:rsid w:val="13E525F5"/>
    <w:rsid w:val="13E54323"/>
    <w:rsid w:val="13E65C12"/>
    <w:rsid w:val="13E732F7"/>
    <w:rsid w:val="13EF605E"/>
    <w:rsid w:val="13F33F1D"/>
    <w:rsid w:val="13F42025"/>
    <w:rsid w:val="13F774C8"/>
    <w:rsid w:val="13FA5C57"/>
    <w:rsid w:val="13FC1935"/>
    <w:rsid w:val="1401319A"/>
    <w:rsid w:val="14037A30"/>
    <w:rsid w:val="140853CD"/>
    <w:rsid w:val="140F7147"/>
    <w:rsid w:val="1415071F"/>
    <w:rsid w:val="1416330C"/>
    <w:rsid w:val="14191662"/>
    <w:rsid w:val="141A6DD5"/>
    <w:rsid w:val="141D6D84"/>
    <w:rsid w:val="142772F4"/>
    <w:rsid w:val="142D75E1"/>
    <w:rsid w:val="143047CB"/>
    <w:rsid w:val="1431733C"/>
    <w:rsid w:val="14335BA2"/>
    <w:rsid w:val="143852DA"/>
    <w:rsid w:val="143B1A4B"/>
    <w:rsid w:val="14402523"/>
    <w:rsid w:val="14436147"/>
    <w:rsid w:val="144529D5"/>
    <w:rsid w:val="14460A49"/>
    <w:rsid w:val="14477F6B"/>
    <w:rsid w:val="14485300"/>
    <w:rsid w:val="144D7705"/>
    <w:rsid w:val="14581AF5"/>
    <w:rsid w:val="145C7ED1"/>
    <w:rsid w:val="145E3BCA"/>
    <w:rsid w:val="145F0A02"/>
    <w:rsid w:val="146317A8"/>
    <w:rsid w:val="146A1B1F"/>
    <w:rsid w:val="146F7F90"/>
    <w:rsid w:val="1470793A"/>
    <w:rsid w:val="1474637F"/>
    <w:rsid w:val="14763231"/>
    <w:rsid w:val="147A33A4"/>
    <w:rsid w:val="147C5B7B"/>
    <w:rsid w:val="147C6E50"/>
    <w:rsid w:val="147E5580"/>
    <w:rsid w:val="148129B0"/>
    <w:rsid w:val="14815931"/>
    <w:rsid w:val="148416DD"/>
    <w:rsid w:val="14856EBD"/>
    <w:rsid w:val="14874C17"/>
    <w:rsid w:val="148A22D9"/>
    <w:rsid w:val="148E77CD"/>
    <w:rsid w:val="149166B9"/>
    <w:rsid w:val="149276C4"/>
    <w:rsid w:val="14942EE1"/>
    <w:rsid w:val="14960A91"/>
    <w:rsid w:val="14984659"/>
    <w:rsid w:val="1499219C"/>
    <w:rsid w:val="149A54F2"/>
    <w:rsid w:val="149E0DA6"/>
    <w:rsid w:val="14A21E9F"/>
    <w:rsid w:val="14A2651B"/>
    <w:rsid w:val="14A26FA7"/>
    <w:rsid w:val="14A35A5C"/>
    <w:rsid w:val="14A364CE"/>
    <w:rsid w:val="14A93D4B"/>
    <w:rsid w:val="14AB0742"/>
    <w:rsid w:val="14AF2F31"/>
    <w:rsid w:val="14B21490"/>
    <w:rsid w:val="14B74E7D"/>
    <w:rsid w:val="14B90A57"/>
    <w:rsid w:val="14BB1DF6"/>
    <w:rsid w:val="14BD4D56"/>
    <w:rsid w:val="14BF5EB7"/>
    <w:rsid w:val="14C16B98"/>
    <w:rsid w:val="14C85AF2"/>
    <w:rsid w:val="14CC2DD3"/>
    <w:rsid w:val="14D6179B"/>
    <w:rsid w:val="14DE3612"/>
    <w:rsid w:val="14DE5B3E"/>
    <w:rsid w:val="14E05AFE"/>
    <w:rsid w:val="14E3180C"/>
    <w:rsid w:val="14E5413F"/>
    <w:rsid w:val="14E90443"/>
    <w:rsid w:val="14EA7ABC"/>
    <w:rsid w:val="14EC56BB"/>
    <w:rsid w:val="14F026AC"/>
    <w:rsid w:val="14F42893"/>
    <w:rsid w:val="14F53DAF"/>
    <w:rsid w:val="14F71E7B"/>
    <w:rsid w:val="14FD0190"/>
    <w:rsid w:val="14FF668B"/>
    <w:rsid w:val="15001EE4"/>
    <w:rsid w:val="1502779C"/>
    <w:rsid w:val="1503667B"/>
    <w:rsid w:val="15055177"/>
    <w:rsid w:val="15086BDF"/>
    <w:rsid w:val="1508786C"/>
    <w:rsid w:val="15087C71"/>
    <w:rsid w:val="150B0A2B"/>
    <w:rsid w:val="15126E70"/>
    <w:rsid w:val="1519351F"/>
    <w:rsid w:val="151B46F0"/>
    <w:rsid w:val="152061C4"/>
    <w:rsid w:val="1526619C"/>
    <w:rsid w:val="152A44CA"/>
    <w:rsid w:val="152D73D5"/>
    <w:rsid w:val="152F1D6D"/>
    <w:rsid w:val="15304E12"/>
    <w:rsid w:val="15307292"/>
    <w:rsid w:val="153D08D1"/>
    <w:rsid w:val="153D5A71"/>
    <w:rsid w:val="153F6769"/>
    <w:rsid w:val="15423FCD"/>
    <w:rsid w:val="15434134"/>
    <w:rsid w:val="15451E44"/>
    <w:rsid w:val="154903D5"/>
    <w:rsid w:val="15493C71"/>
    <w:rsid w:val="154A55DE"/>
    <w:rsid w:val="154B1AF2"/>
    <w:rsid w:val="154E042F"/>
    <w:rsid w:val="154E19B0"/>
    <w:rsid w:val="15510E0C"/>
    <w:rsid w:val="15542ECD"/>
    <w:rsid w:val="1556332B"/>
    <w:rsid w:val="1557252D"/>
    <w:rsid w:val="15590B68"/>
    <w:rsid w:val="155A64E8"/>
    <w:rsid w:val="155D20BD"/>
    <w:rsid w:val="155D6B7B"/>
    <w:rsid w:val="155E0E9B"/>
    <w:rsid w:val="156B0AAF"/>
    <w:rsid w:val="156C4A83"/>
    <w:rsid w:val="156D536A"/>
    <w:rsid w:val="157026A7"/>
    <w:rsid w:val="1574266E"/>
    <w:rsid w:val="15771E45"/>
    <w:rsid w:val="15787E1A"/>
    <w:rsid w:val="15793376"/>
    <w:rsid w:val="157C0C67"/>
    <w:rsid w:val="157F260B"/>
    <w:rsid w:val="1581105F"/>
    <w:rsid w:val="158375ED"/>
    <w:rsid w:val="158416BC"/>
    <w:rsid w:val="15841871"/>
    <w:rsid w:val="15854F5D"/>
    <w:rsid w:val="1589166A"/>
    <w:rsid w:val="158D0CB1"/>
    <w:rsid w:val="158D0FE8"/>
    <w:rsid w:val="158D72B8"/>
    <w:rsid w:val="159C4326"/>
    <w:rsid w:val="159F1F33"/>
    <w:rsid w:val="15A847ED"/>
    <w:rsid w:val="15A8480A"/>
    <w:rsid w:val="15AE1694"/>
    <w:rsid w:val="15AF1D1D"/>
    <w:rsid w:val="15AF25C6"/>
    <w:rsid w:val="15B26BB5"/>
    <w:rsid w:val="15B55EFB"/>
    <w:rsid w:val="15BA7B71"/>
    <w:rsid w:val="15BB12C9"/>
    <w:rsid w:val="15BC0290"/>
    <w:rsid w:val="15BC67D3"/>
    <w:rsid w:val="15C01DDD"/>
    <w:rsid w:val="15C63020"/>
    <w:rsid w:val="15C75B8F"/>
    <w:rsid w:val="15C87D4C"/>
    <w:rsid w:val="15CA0152"/>
    <w:rsid w:val="15CD0EEC"/>
    <w:rsid w:val="15CD44D4"/>
    <w:rsid w:val="15CE70A6"/>
    <w:rsid w:val="15D03FC4"/>
    <w:rsid w:val="15D3121B"/>
    <w:rsid w:val="15D70366"/>
    <w:rsid w:val="15D72F61"/>
    <w:rsid w:val="15DF0E51"/>
    <w:rsid w:val="15E41F8D"/>
    <w:rsid w:val="15E476E5"/>
    <w:rsid w:val="15E50992"/>
    <w:rsid w:val="15E545ED"/>
    <w:rsid w:val="15E60598"/>
    <w:rsid w:val="15E95CFE"/>
    <w:rsid w:val="15EA462D"/>
    <w:rsid w:val="15EC41A5"/>
    <w:rsid w:val="15F35AC7"/>
    <w:rsid w:val="15F6396E"/>
    <w:rsid w:val="15F64988"/>
    <w:rsid w:val="15F767CB"/>
    <w:rsid w:val="15F827C8"/>
    <w:rsid w:val="15FA0477"/>
    <w:rsid w:val="15FA3E84"/>
    <w:rsid w:val="15FE739D"/>
    <w:rsid w:val="16065985"/>
    <w:rsid w:val="16067ECE"/>
    <w:rsid w:val="16077614"/>
    <w:rsid w:val="161265B0"/>
    <w:rsid w:val="1612770D"/>
    <w:rsid w:val="16187A7E"/>
    <w:rsid w:val="16194EE6"/>
    <w:rsid w:val="161A0B59"/>
    <w:rsid w:val="16200426"/>
    <w:rsid w:val="16261429"/>
    <w:rsid w:val="16277EA8"/>
    <w:rsid w:val="1628515A"/>
    <w:rsid w:val="16316646"/>
    <w:rsid w:val="16320698"/>
    <w:rsid w:val="163524FC"/>
    <w:rsid w:val="163547B2"/>
    <w:rsid w:val="16371F60"/>
    <w:rsid w:val="16397FCF"/>
    <w:rsid w:val="163B53AD"/>
    <w:rsid w:val="163C2B57"/>
    <w:rsid w:val="163F69CB"/>
    <w:rsid w:val="16400847"/>
    <w:rsid w:val="16401C31"/>
    <w:rsid w:val="16420242"/>
    <w:rsid w:val="1643090C"/>
    <w:rsid w:val="1643250A"/>
    <w:rsid w:val="164328F9"/>
    <w:rsid w:val="1646676E"/>
    <w:rsid w:val="164D6129"/>
    <w:rsid w:val="164F613F"/>
    <w:rsid w:val="16535479"/>
    <w:rsid w:val="165368FA"/>
    <w:rsid w:val="16561E97"/>
    <w:rsid w:val="165C6420"/>
    <w:rsid w:val="165D3C82"/>
    <w:rsid w:val="16601850"/>
    <w:rsid w:val="166423C9"/>
    <w:rsid w:val="1665289A"/>
    <w:rsid w:val="1667645A"/>
    <w:rsid w:val="166770E0"/>
    <w:rsid w:val="16726861"/>
    <w:rsid w:val="16735CA9"/>
    <w:rsid w:val="167468EE"/>
    <w:rsid w:val="16754597"/>
    <w:rsid w:val="16894EF0"/>
    <w:rsid w:val="168A490E"/>
    <w:rsid w:val="168B397F"/>
    <w:rsid w:val="168C2352"/>
    <w:rsid w:val="1690197E"/>
    <w:rsid w:val="169423D4"/>
    <w:rsid w:val="16943B11"/>
    <w:rsid w:val="16970967"/>
    <w:rsid w:val="169F67B2"/>
    <w:rsid w:val="16A10490"/>
    <w:rsid w:val="16A55C40"/>
    <w:rsid w:val="16A77F99"/>
    <w:rsid w:val="16A834E2"/>
    <w:rsid w:val="16A9220E"/>
    <w:rsid w:val="16AA0BD7"/>
    <w:rsid w:val="16AC203F"/>
    <w:rsid w:val="16AC501D"/>
    <w:rsid w:val="16AE4034"/>
    <w:rsid w:val="16AF3AAA"/>
    <w:rsid w:val="16B132D7"/>
    <w:rsid w:val="16B7772B"/>
    <w:rsid w:val="16B92043"/>
    <w:rsid w:val="16BA23B1"/>
    <w:rsid w:val="16BA495B"/>
    <w:rsid w:val="16C251A5"/>
    <w:rsid w:val="16C513EB"/>
    <w:rsid w:val="16C715FF"/>
    <w:rsid w:val="16C81CDC"/>
    <w:rsid w:val="16CF2452"/>
    <w:rsid w:val="16D038E7"/>
    <w:rsid w:val="16D2314A"/>
    <w:rsid w:val="16D35AE6"/>
    <w:rsid w:val="16D44684"/>
    <w:rsid w:val="16D44B16"/>
    <w:rsid w:val="16D9370D"/>
    <w:rsid w:val="16DB464B"/>
    <w:rsid w:val="16DD68FF"/>
    <w:rsid w:val="16E54FC5"/>
    <w:rsid w:val="16E55B88"/>
    <w:rsid w:val="16E6451C"/>
    <w:rsid w:val="16E771D2"/>
    <w:rsid w:val="16EC56C6"/>
    <w:rsid w:val="16ED1732"/>
    <w:rsid w:val="16FD45B7"/>
    <w:rsid w:val="16FF2080"/>
    <w:rsid w:val="17045F4B"/>
    <w:rsid w:val="1708299E"/>
    <w:rsid w:val="170C3A56"/>
    <w:rsid w:val="170C58C4"/>
    <w:rsid w:val="17114439"/>
    <w:rsid w:val="17146EC7"/>
    <w:rsid w:val="171A12A7"/>
    <w:rsid w:val="171A62E2"/>
    <w:rsid w:val="1721452F"/>
    <w:rsid w:val="172D326A"/>
    <w:rsid w:val="17301FA2"/>
    <w:rsid w:val="17302BED"/>
    <w:rsid w:val="17311AF2"/>
    <w:rsid w:val="17340F2D"/>
    <w:rsid w:val="17366281"/>
    <w:rsid w:val="173839B9"/>
    <w:rsid w:val="173E0B69"/>
    <w:rsid w:val="173E20E3"/>
    <w:rsid w:val="17405C57"/>
    <w:rsid w:val="1741620F"/>
    <w:rsid w:val="17433198"/>
    <w:rsid w:val="17434B48"/>
    <w:rsid w:val="17450DA3"/>
    <w:rsid w:val="174A7BA5"/>
    <w:rsid w:val="17542D38"/>
    <w:rsid w:val="17547C34"/>
    <w:rsid w:val="175622C9"/>
    <w:rsid w:val="175C7FE9"/>
    <w:rsid w:val="175D5C75"/>
    <w:rsid w:val="176C79A7"/>
    <w:rsid w:val="176D19A0"/>
    <w:rsid w:val="176F3BC2"/>
    <w:rsid w:val="176F656A"/>
    <w:rsid w:val="176F75F1"/>
    <w:rsid w:val="177209BE"/>
    <w:rsid w:val="177810F5"/>
    <w:rsid w:val="177C4FD9"/>
    <w:rsid w:val="177E3D3A"/>
    <w:rsid w:val="17842137"/>
    <w:rsid w:val="17851D78"/>
    <w:rsid w:val="178B5440"/>
    <w:rsid w:val="178C2E93"/>
    <w:rsid w:val="178D417C"/>
    <w:rsid w:val="178E2E94"/>
    <w:rsid w:val="178F124A"/>
    <w:rsid w:val="17900632"/>
    <w:rsid w:val="17924D30"/>
    <w:rsid w:val="1797142D"/>
    <w:rsid w:val="17983E10"/>
    <w:rsid w:val="17A3203F"/>
    <w:rsid w:val="17A33642"/>
    <w:rsid w:val="17A57B5D"/>
    <w:rsid w:val="17A77A1B"/>
    <w:rsid w:val="17A91646"/>
    <w:rsid w:val="17AB6D13"/>
    <w:rsid w:val="17AE3906"/>
    <w:rsid w:val="17AF009B"/>
    <w:rsid w:val="17B1452A"/>
    <w:rsid w:val="17B603A6"/>
    <w:rsid w:val="17BA5549"/>
    <w:rsid w:val="17C10546"/>
    <w:rsid w:val="17C1146E"/>
    <w:rsid w:val="17C137E7"/>
    <w:rsid w:val="17C53711"/>
    <w:rsid w:val="17C94DD2"/>
    <w:rsid w:val="17D07DE2"/>
    <w:rsid w:val="17D15A15"/>
    <w:rsid w:val="17D15CCE"/>
    <w:rsid w:val="17D3047A"/>
    <w:rsid w:val="17D3324F"/>
    <w:rsid w:val="17D705A1"/>
    <w:rsid w:val="17D840C7"/>
    <w:rsid w:val="17D87140"/>
    <w:rsid w:val="17DA3AC1"/>
    <w:rsid w:val="17DF392E"/>
    <w:rsid w:val="17E42BD4"/>
    <w:rsid w:val="17E458B9"/>
    <w:rsid w:val="17EF3799"/>
    <w:rsid w:val="17F067FE"/>
    <w:rsid w:val="17F17829"/>
    <w:rsid w:val="17F2163D"/>
    <w:rsid w:val="17F54FEA"/>
    <w:rsid w:val="17F7139B"/>
    <w:rsid w:val="17FC720A"/>
    <w:rsid w:val="17FD5CE4"/>
    <w:rsid w:val="18002D28"/>
    <w:rsid w:val="1805182B"/>
    <w:rsid w:val="18082A02"/>
    <w:rsid w:val="180A4016"/>
    <w:rsid w:val="180E4A49"/>
    <w:rsid w:val="180F465A"/>
    <w:rsid w:val="18107D9A"/>
    <w:rsid w:val="18132B67"/>
    <w:rsid w:val="18156A34"/>
    <w:rsid w:val="18171175"/>
    <w:rsid w:val="18210B64"/>
    <w:rsid w:val="18217347"/>
    <w:rsid w:val="18230F9A"/>
    <w:rsid w:val="182343E1"/>
    <w:rsid w:val="18271D80"/>
    <w:rsid w:val="18297288"/>
    <w:rsid w:val="182F6111"/>
    <w:rsid w:val="18306685"/>
    <w:rsid w:val="183067F9"/>
    <w:rsid w:val="18367631"/>
    <w:rsid w:val="183E210B"/>
    <w:rsid w:val="18427E37"/>
    <w:rsid w:val="1843400D"/>
    <w:rsid w:val="18470CA7"/>
    <w:rsid w:val="18482CE0"/>
    <w:rsid w:val="1848701A"/>
    <w:rsid w:val="184C5E14"/>
    <w:rsid w:val="184F4EF6"/>
    <w:rsid w:val="185116FF"/>
    <w:rsid w:val="18540278"/>
    <w:rsid w:val="1856125F"/>
    <w:rsid w:val="185A17AD"/>
    <w:rsid w:val="185A5376"/>
    <w:rsid w:val="185C1186"/>
    <w:rsid w:val="185C56B4"/>
    <w:rsid w:val="185E61AB"/>
    <w:rsid w:val="186812B4"/>
    <w:rsid w:val="186F518A"/>
    <w:rsid w:val="187A55E3"/>
    <w:rsid w:val="187D50F0"/>
    <w:rsid w:val="187E6A5F"/>
    <w:rsid w:val="187F1F1D"/>
    <w:rsid w:val="18850E96"/>
    <w:rsid w:val="18860C29"/>
    <w:rsid w:val="18890647"/>
    <w:rsid w:val="188E39FD"/>
    <w:rsid w:val="189520BF"/>
    <w:rsid w:val="18955A1F"/>
    <w:rsid w:val="18985D3B"/>
    <w:rsid w:val="1899137F"/>
    <w:rsid w:val="189F0BB4"/>
    <w:rsid w:val="18A80CCD"/>
    <w:rsid w:val="18A87B85"/>
    <w:rsid w:val="18AC64AC"/>
    <w:rsid w:val="18AD2A5F"/>
    <w:rsid w:val="18B67A8B"/>
    <w:rsid w:val="18BA06EE"/>
    <w:rsid w:val="18C15646"/>
    <w:rsid w:val="18C90A52"/>
    <w:rsid w:val="18C96D32"/>
    <w:rsid w:val="18CA1A12"/>
    <w:rsid w:val="18CD2FBA"/>
    <w:rsid w:val="18D00184"/>
    <w:rsid w:val="18D465A5"/>
    <w:rsid w:val="18D46A75"/>
    <w:rsid w:val="18D47ED7"/>
    <w:rsid w:val="18D64258"/>
    <w:rsid w:val="18D75DAB"/>
    <w:rsid w:val="18D85DD6"/>
    <w:rsid w:val="18DC22E4"/>
    <w:rsid w:val="18E35336"/>
    <w:rsid w:val="18E420A6"/>
    <w:rsid w:val="18E51FD3"/>
    <w:rsid w:val="18E52BE2"/>
    <w:rsid w:val="18E876F6"/>
    <w:rsid w:val="18EA1329"/>
    <w:rsid w:val="18EA254A"/>
    <w:rsid w:val="18EF320B"/>
    <w:rsid w:val="18F3315E"/>
    <w:rsid w:val="18F411D3"/>
    <w:rsid w:val="18F43044"/>
    <w:rsid w:val="18F56DE1"/>
    <w:rsid w:val="18F87841"/>
    <w:rsid w:val="18F93A79"/>
    <w:rsid w:val="1900414D"/>
    <w:rsid w:val="190051B7"/>
    <w:rsid w:val="19014BAF"/>
    <w:rsid w:val="19025977"/>
    <w:rsid w:val="1902597F"/>
    <w:rsid w:val="19040445"/>
    <w:rsid w:val="19064CE0"/>
    <w:rsid w:val="1908253B"/>
    <w:rsid w:val="19093EF5"/>
    <w:rsid w:val="19113CDD"/>
    <w:rsid w:val="19120796"/>
    <w:rsid w:val="19133093"/>
    <w:rsid w:val="1914006A"/>
    <w:rsid w:val="19156F5A"/>
    <w:rsid w:val="19195252"/>
    <w:rsid w:val="191F780F"/>
    <w:rsid w:val="1923480A"/>
    <w:rsid w:val="19244D61"/>
    <w:rsid w:val="19245F9B"/>
    <w:rsid w:val="192B0114"/>
    <w:rsid w:val="192B653F"/>
    <w:rsid w:val="19301216"/>
    <w:rsid w:val="1932395B"/>
    <w:rsid w:val="19364555"/>
    <w:rsid w:val="19370036"/>
    <w:rsid w:val="19381089"/>
    <w:rsid w:val="19396E0C"/>
    <w:rsid w:val="193B3784"/>
    <w:rsid w:val="19431A0E"/>
    <w:rsid w:val="194F4CBE"/>
    <w:rsid w:val="19507F25"/>
    <w:rsid w:val="19592852"/>
    <w:rsid w:val="19595EB7"/>
    <w:rsid w:val="195B20CF"/>
    <w:rsid w:val="195B537B"/>
    <w:rsid w:val="195F5919"/>
    <w:rsid w:val="195F7887"/>
    <w:rsid w:val="19640EBB"/>
    <w:rsid w:val="19650E26"/>
    <w:rsid w:val="19666B13"/>
    <w:rsid w:val="1967454D"/>
    <w:rsid w:val="19677128"/>
    <w:rsid w:val="196C4669"/>
    <w:rsid w:val="196E1649"/>
    <w:rsid w:val="19730BA8"/>
    <w:rsid w:val="19731037"/>
    <w:rsid w:val="19737D6E"/>
    <w:rsid w:val="1977126B"/>
    <w:rsid w:val="197C59BB"/>
    <w:rsid w:val="197E0950"/>
    <w:rsid w:val="198127BB"/>
    <w:rsid w:val="19870F3A"/>
    <w:rsid w:val="198A7144"/>
    <w:rsid w:val="198D7052"/>
    <w:rsid w:val="19964207"/>
    <w:rsid w:val="19974CAB"/>
    <w:rsid w:val="1999036C"/>
    <w:rsid w:val="199956E6"/>
    <w:rsid w:val="199A4049"/>
    <w:rsid w:val="199F5A10"/>
    <w:rsid w:val="19A72F83"/>
    <w:rsid w:val="19A86AE8"/>
    <w:rsid w:val="19A90007"/>
    <w:rsid w:val="19AA03BC"/>
    <w:rsid w:val="19AE0F4C"/>
    <w:rsid w:val="19AE7515"/>
    <w:rsid w:val="19B70F00"/>
    <w:rsid w:val="19B87E48"/>
    <w:rsid w:val="19BA408B"/>
    <w:rsid w:val="19C00614"/>
    <w:rsid w:val="19C02B6C"/>
    <w:rsid w:val="19C46A37"/>
    <w:rsid w:val="19CA13FF"/>
    <w:rsid w:val="19CC047C"/>
    <w:rsid w:val="19CC5344"/>
    <w:rsid w:val="19CE14D8"/>
    <w:rsid w:val="19D07478"/>
    <w:rsid w:val="19D22177"/>
    <w:rsid w:val="19D324A1"/>
    <w:rsid w:val="19D54A44"/>
    <w:rsid w:val="19D669A4"/>
    <w:rsid w:val="19D74E32"/>
    <w:rsid w:val="19D8567B"/>
    <w:rsid w:val="19D93C19"/>
    <w:rsid w:val="19E67D19"/>
    <w:rsid w:val="19E835CC"/>
    <w:rsid w:val="19E85BB5"/>
    <w:rsid w:val="19E87970"/>
    <w:rsid w:val="19F40084"/>
    <w:rsid w:val="19FC6D59"/>
    <w:rsid w:val="19FD0707"/>
    <w:rsid w:val="19FE491A"/>
    <w:rsid w:val="1A011FF5"/>
    <w:rsid w:val="1A0406BE"/>
    <w:rsid w:val="1A063EE6"/>
    <w:rsid w:val="1A087D65"/>
    <w:rsid w:val="1A0F3410"/>
    <w:rsid w:val="1A0F4C56"/>
    <w:rsid w:val="1A1140A1"/>
    <w:rsid w:val="1A116833"/>
    <w:rsid w:val="1A125391"/>
    <w:rsid w:val="1A152332"/>
    <w:rsid w:val="1A152801"/>
    <w:rsid w:val="1A172123"/>
    <w:rsid w:val="1A175780"/>
    <w:rsid w:val="1A1969EA"/>
    <w:rsid w:val="1A1E1282"/>
    <w:rsid w:val="1A1E4071"/>
    <w:rsid w:val="1A233CD0"/>
    <w:rsid w:val="1A270287"/>
    <w:rsid w:val="1A274814"/>
    <w:rsid w:val="1A293FD2"/>
    <w:rsid w:val="1A2D58FE"/>
    <w:rsid w:val="1A2F42F6"/>
    <w:rsid w:val="1A30587C"/>
    <w:rsid w:val="1A305E52"/>
    <w:rsid w:val="1A33520D"/>
    <w:rsid w:val="1A343AC1"/>
    <w:rsid w:val="1A364AA5"/>
    <w:rsid w:val="1A371773"/>
    <w:rsid w:val="1A3A5668"/>
    <w:rsid w:val="1A3A59BD"/>
    <w:rsid w:val="1A3B193D"/>
    <w:rsid w:val="1A4306DC"/>
    <w:rsid w:val="1A443667"/>
    <w:rsid w:val="1A452592"/>
    <w:rsid w:val="1A493D1A"/>
    <w:rsid w:val="1A493E47"/>
    <w:rsid w:val="1A4A6E6C"/>
    <w:rsid w:val="1A516A15"/>
    <w:rsid w:val="1A527199"/>
    <w:rsid w:val="1A532FA6"/>
    <w:rsid w:val="1A570F83"/>
    <w:rsid w:val="1A58645E"/>
    <w:rsid w:val="1A5D2A35"/>
    <w:rsid w:val="1A633800"/>
    <w:rsid w:val="1A63743B"/>
    <w:rsid w:val="1A6470C0"/>
    <w:rsid w:val="1A654683"/>
    <w:rsid w:val="1A6812FD"/>
    <w:rsid w:val="1A6866D8"/>
    <w:rsid w:val="1A6937D6"/>
    <w:rsid w:val="1A6B7D06"/>
    <w:rsid w:val="1A6C1B83"/>
    <w:rsid w:val="1A6C4ABF"/>
    <w:rsid w:val="1A6E287A"/>
    <w:rsid w:val="1A6F1C40"/>
    <w:rsid w:val="1A716B30"/>
    <w:rsid w:val="1A740C99"/>
    <w:rsid w:val="1A757DAC"/>
    <w:rsid w:val="1A7751EE"/>
    <w:rsid w:val="1A792B5B"/>
    <w:rsid w:val="1A7C2463"/>
    <w:rsid w:val="1A8729B4"/>
    <w:rsid w:val="1A8C2146"/>
    <w:rsid w:val="1A8F4429"/>
    <w:rsid w:val="1A93140B"/>
    <w:rsid w:val="1A961A8D"/>
    <w:rsid w:val="1A9B5443"/>
    <w:rsid w:val="1A9C1EB4"/>
    <w:rsid w:val="1A9E0074"/>
    <w:rsid w:val="1A9E32F5"/>
    <w:rsid w:val="1A9F17D4"/>
    <w:rsid w:val="1AA02DB4"/>
    <w:rsid w:val="1AA40C2C"/>
    <w:rsid w:val="1AA54AD3"/>
    <w:rsid w:val="1AA72B2E"/>
    <w:rsid w:val="1AAB1C64"/>
    <w:rsid w:val="1AAB20C6"/>
    <w:rsid w:val="1AAC6083"/>
    <w:rsid w:val="1AAD1F57"/>
    <w:rsid w:val="1AAF17B9"/>
    <w:rsid w:val="1AB26C64"/>
    <w:rsid w:val="1AB65DF3"/>
    <w:rsid w:val="1ABA5E66"/>
    <w:rsid w:val="1ABC44E7"/>
    <w:rsid w:val="1ABD56C6"/>
    <w:rsid w:val="1ABF4713"/>
    <w:rsid w:val="1AC04FD9"/>
    <w:rsid w:val="1AC43A5B"/>
    <w:rsid w:val="1AC50579"/>
    <w:rsid w:val="1ACA6F29"/>
    <w:rsid w:val="1ACC1BC9"/>
    <w:rsid w:val="1ACD1912"/>
    <w:rsid w:val="1AD05B81"/>
    <w:rsid w:val="1AD11DC2"/>
    <w:rsid w:val="1AD300D0"/>
    <w:rsid w:val="1AD669BF"/>
    <w:rsid w:val="1ADD7A20"/>
    <w:rsid w:val="1AEB69F6"/>
    <w:rsid w:val="1AF70A89"/>
    <w:rsid w:val="1B03116E"/>
    <w:rsid w:val="1B0A0225"/>
    <w:rsid w:val="1B0B2459"/>
    <w:rsid w:val="1B0C1999"/>
    <w:rsid w:val="1B1049DF"/>
    <w:rsid w:val="1B112BDB"/>
    <w:rsid w:val="1B174294"/>
    <w:rsid w:val="1B193D3B"/>
    <w:rsid w:val="1B1E324F"/>
    <w:rsid w:val="1B224649"/>
    <w:rsid w:val="1B2E5569"/>
    <w:rsid w:val="1B327143"/>
    <w:rsid w:val="1B34569E"/>
    <w:rsid w:val="1B35549B"/>
    <w:rsid w:val="1B364FEB"/>
    <w:rsid w:val="1B39462F"/>
    <w:rsid w:val="1B396F3C"/>
    <w:rsid w:val="1B397B61"/>
    <w:rsid w:val="1B3A2FA8"/>
    <w:rsid w:val="1B3B0A3E"/>
    <w:rsid w:val="1B3B7B96"/>
    <w:rsid w:val="1B3C1D4A"/>
    <w:rsid w:val="1B3C2D8F"/>
    <w:rsid w:val="1B3C37FC"/>
    <w:rsid w:val="1B3C65F7"/>
    <w:rsid w:val="1B3C7F85"/>
    <w:rsid w:val="1B3E6CB7"/>
    <w:rsid w:val="1B3F74B7"/>
    <w:rsid w:val="1B41635D"/>
    <w:rsid w:val="1B424411"/>
    <w:rsid w:val="1B461606"/>
    <w:rsid w:val="1B471A29"/>
    <w:rsid w:val="1B4D51B8"/>
    <w:rsid w:val="1B4D635B"/>
    <w:rsid w:val="1B530A9E"/>
    <w:rsid w:val="1B566BCF"/>
    <w:rsid w:val="1B597B0F"/>
    <w:rsid w:val="1B5A5BF6"/>
    <w:rsid w:val="1B5D7F02"/>
    <w:rsid w:val="1B5F17F0"/>
    <w:rsid w:val="1B60112B"/>
    <w:rsid w:val="1B604E83"/>
    <w:rsid w:val="1B615EE8"/>
    <w:rsid w:val="1B616D3F"/>
    <w:rsid w:val="1B634D11"/>
    <w:rsid w:val="1B643347"/>
    <w:rsid w:val="1B6461E6"/>
    <w:rsid w:val="1B6A63C4"/>
    <w:rsid w:val="1B6F46B6"/>
    <w:rsid w:val="1B713716"/>
    <w:rsid w:val="1B717D21"/>
    <w:rsid w:val="1B72412E"/>
    <w:rsid w:val="1B7928A9"/>
    <w:rsid w:val="1B7A48D9"/>
    <w:rsid w:val="1B7F65F2"/>
    <w:rsid w:val="1B812AC7"/>
    <w:rsid w:val="1B81631F"/>
    <w:rsid w:val="1B883E72"/>
    <w:rsid w:val="1B88532B"/>
    <w:rsid w:val="1B897E72"/>
    <w:rsid w:val="1B8A3B5B"/>
    <w:rsid w:val="1B8B5B81"/>
    <w:rsid w:val="1B921BF0"/>
    <w:rsid w:val="1BA013D4"/>
    <w:rsid w:val="1BAC5CC8"/>
    <w:rsid w:val="1BAD1790"/>
    <w:rsid w:val="1BB164FC"/>
    <w:rsid w:val="1BBA2F5A"/>
    <w:rsid w:val="1BBF51D1"/>
    <w:rsid w:val="1BC1033E"/>
    <w:rsid w:val="1BC739ED"/>
    <w:rsid w:val="1BC91CAC"/>
    <w:rsid w:val="1BCE3D9D"/>
    <w:rsid w:val="1BCE7B7A"/>
    <w:rsid w:val="1BD45683"/>
    <w:rsid w:val="1BD5048E"/>
    <w:rsid w:val="1BDA4652"/>
    <w:rsid w:val="1BDE3B2B"/>
    <w:rsid w:val="1BDF5836"/>
    <w:rsid w:val="1BE21F72"/>
    <w:rsid w:val="1BE32C29"/>
    <w:rsid w:val="1BE37E83"/>
    <w:rsid w:val="1BE441B7"/>
    <w:rsid w:val="1BE501FD"/>
    <w:rsid w:val="1BEE32B6"/>
    <w:rsid w:val="1BF262B5"/>
    <w:rsid w:val="1BF525FF"/>
    <w:rsid w:val="1BFA5348"/>
    <w:rsid w:val="1BFF6714"/>
    <w:rsid w:val="1C036F55"/>
    <w:rsid w:val="1C051D66"/>
    <w:rsid w:val="1C052D8A"/>
    <w:rsid w:val="1C0950FD"/>
    <w:rsid w:val="1C0D118C"/>
    <w:rsid w:val="1C0D163C"/>
    <w:rsid w:val="1C132973"/>
    <w:rsid w:val="1C166F07"/>
    <w:rsid w:val="1C175B6B"/>
    <w:rsid w:val="1C1C3EBC"/>
    <w:rsid w:val="1C232DEB"/>
    <w:rsid w:val="1C2635A4"/>
    <w:rsid w:val="1C26490F"/>
    <w:rsid w:val="1C271C95"/>
    <w:rsid w:val="1C342765"/>
    <w:rsid w:val="1C3813A6"/>
    <w:rsid w:val="1C3A141D"/>
    <w:rsid w:val="1C3D785F"/>
    <w:rsid w:val="1C3E779C"/>
    <w:rsid w:val="1C4A3F9C"/>
    <w:rsid w:val="1C512BCF"/>
    <w:rsid w:val="1C517492"/>
    <w:rsid w:val="1C591433"/>
    <w:rsid w:val="1C5A692C"/>
    <w:rsid w:val="1C606EE5"/>
    <w:rsid w:val="1C633DEA"/>
    <w:rsid w:val="1C650849"/>
    <w:rsid w:val="1C690275"/>
    <w:rsid w:val="1C697165"/>
    <w:rsid w:val="1C6A0F04"/>
    <w:rsid w:val="1C6D7CA6"/>
    <w:rsid w:val="1C6E2733"/>
    <w:rsid w:val="1C6F3523"/>
    <w:rsid w:val="1C731C7A"/>
    <w:rsid w:val="1C731D6B"/>
    <w:rsid w:val="1C83753D"/>
    <w:rsid w:val="1C854BAA"/>
    <w:rsid w:val="1C860EB5"/>
    <w:rsid w:val="1C870174"/>
    <w:rsid w:val="1C8710A8"/>
    <w:rsid w:val="1C8B2ED5"/>
    <w:rsid w:val="1C8D6393"/>
    <w:rsid w:val="1C966887"/>
    <w:rsid w:val="1C9A2267"/>
    <w:rsid w:val="1C9C17C5"/>
    <w:rsid w:val="1C9D6565"/>
    <w:rsid w:val="1C9F2DDE"/>
    <w:rsid w:val="1CA347DE"/>
    <w:rsid w:val="1CA70926"/>
    <w:rsid w:val="1CA72639"/>
    <w:rsid w:val="1CA852B2"/>
    <w:rsid w:val="1CA86800"/>
    <w:rsid w:val="1CAC5F87"/>
    <w:rsid w:val="1CB32CC5"/>
    <w:rsid w:val="1CB77008"/>
    <w:rsid w:val="1CB92FF1"/>
    <w:rsid w:val="1CBA09BE"/>
    <w:rsid w:val="1CCC499E"/>
    <w:rsid w:val="1CD21D1E"/>
    <w:rsid w:val="1CD33CB3"/>
    <w:rsid w:val="1CD43142"/>
    <w:rsid w:val="1CDB59DD"/>
    <w:rsid w:val="1CDE30BC"/>
    <w:rsid w:val="1CDE47AD"/>
    <w:rsid w:val="1CE03DD7"/>
    <w:rsid w:val="1CE076D9"/>
    <w:rsid w:val="1CE145BE"/>
    <w:rsid w:val="1CE17D9D"/>
    <w:rsid w:val="1CE47D81"/>
    <w:rsid w:val="1CED7D0E"/>
    <w:rsid w:val="1CEF0112"/>
    <w:rsid w:val="1CF07D66"/>
    <w:rsid w:val="1CF27E0D"/>
    <w:rsid w:val="1CF5253C"/>
    <w:rsid w:val="1CFC17E3"/>
    <w:rsid w:val="1CFF35D0"/>
    <w:rsid w:val="1D007BEA"/>
    <w:rsid w:val="1D0379B6"/>
    <w:rsid w:val="1D0C32AA"/>
    <w:rsid w:val="1D0E2345"/>
    <w:rsid w:val="1D112E4F"/>
    <w:rsid w:val="1D112FA8"/>
    <w:rsid w:val="1D12681E"/>
    <w:rsid w:val="1D136852"/>
    <w:rsid w:val="1D160813"/>
    <w:rsid w:val="1D1A224D"/>
    <w:rsid w:val="1D1B20A8"/>
    <w:rsid w:val="1D1C17C9"/>
    <w:rsid w:val="1D1D4473"/>
    <w:rsid w:val="1D1E2031"/>
    <w:rsid w:val="1D256947"/>
    <w:rsid w:val="1D290598"/>
    <w:rsid w:val="1D311177"/>
    <w:rsid w:val="1D337D4C"/>
    <w:rsid w:val="1D343D89"/>
    <w:rsid w:val="1D3718E9"/>
    <w:rsid w:val="1D384F76"/>
    <w:rsid w:val="1D396743"/>
    <w:rsid w:val="1D3D4D70"/>
    <w:rsid w:val="1D437D15"/>
    <w:rsid w:val="1D437DB2"/>
    <w:rsid w:val="1D464AB8"/>
    <w:rsid w:val="1D49260E"/>
    <w:rsid w:val="1D4C420F"/>
    <w:rsid w:val="1D501BF7"/>
    <w:rsid w:val="1D503E66"/>
    <w:rsid w:val="1D5245E5"/>
    <w:rsid w:val="1D54109F"/>
    <w:rsid w:val="1D5A7589"/>
    <w:rsid w:val="1D5C474C"/>
    <w:rsid w:val="1D5E15B6"/>
    <w:rsid w:val="1D5E6259"/>
    <w:rsid w:val="1D63723A"/>
    <w:rsid w:val="1D643700"/>
    <w:rsid w:val="1D6A7514"/>
    <w:rsid w:val="1D6D2545"/>
    <w:rsid w:val="1D707410"/>
    <w:rsid w:val="1D73737C"/>
    <w:rsid w:val="1D751A66"/>
    <w:rsid w:val="1D7549D3"/>
    <w:rsid w:val="1D781DBE"/>
    <w:rsid w:val="1D7B057B"/>
    <w:rsid w:val="1D7B20FD"/>
    <w:rsid w:val="1D7B7512"/>
    <w:rsid w:val="1D7C4FD4"/>
    <w:rsid w:val="1D7D3E72"/>
    <w:rsid w:val="1D807A14"/>
    <w:rsid w:val="1D8734D8"/>
    <w:rsid w:val="1D8A708F"/>
    <w:rsid w:val="1D8C24AB"/>
    <w:rsid w:val="1D8D2E57"/>
    <w:rsid w:val="1D8D74C6"/>
    <w:rsid w:val="1D943653"/>
    <w:rsid w:val="1D9505D5"/>
    <w:rsid w:val="1D961B5F"/>
    <w:rsid w:val="1D9E5D51"/>
    <w:rsid w:val="1DA128EE"/>
    <w:rsid w:val="1DA13888"/>
    <w:rsid w:val="1DA1432E"/>
    <w:rsid w:val="1DA5443A"/>
    <w:rsid w:val="1DA63C13"/>
    <w:rsid w:val="1DA74B74"/>
    <w:rsid w:val="1DAA5216"/>
    <w:rsid w:val="1DAA7D06"/>
    <w:rsid w:val="1DB101BE"/>
    <w:rsid w:val="1DB46493"/>
    <w:rsid w:val="1DB7287B"/>
    <w:rsid w:val="1DB77B0A"/>
    <w:rsid w:val="1DB863CC"/>
    <w:rsid w:val="1DBB5507"/>
    <w:rsid w:val="1DC13C9C"/>
    <w:rsid w:val="1DC467F6"/>
    <w:rsid w:val="1DC90132"/>
    <w:rsid w:val="1DD533EF"/>
    <w:rsid w:val="1DD56551"/>
    <w:rsid w:val="1DD56758"/>
    <w:rsid w:val="1DD60B51"/>
    <w:rsid w:val="1DDC178C"/>
    <w:rsid w:val="1DDE029D"/>
    <w:rsid w:val="1DDF1C27"/>
    <w:rsid w:val="1DE05EBB"/>
    <w:rsid w:val="1DE220E6"/>
    <w:rsid w:val="1DE4743B"/>
    <w:rsid w:val="1DE720AE"/>
    <w:rsid w:val="1DE74C24"/>
    <w:rsid w:val="1DE9655F"/>
    <w:rsid w:val="1DEA1506"/>
    <w:rsid w:val="1DEF6781"/>
    <w:rsid w:val="1DF2660E"/>
    <w:rsid w:val="1DF4162A"/>
    <w:rsid w:val="1DF54712"/>
    <w:rsid w:val="1DF835A6"/>
    <w:rsid w:val="1DFB722A"/>
    <w:rsid w:val="1DFD0F17"/>
    <w:rsid w:val="1DFD66F9"/>
    <w:rsid w:val="1E01546A"/>
    <w:rsid w:val="1E0365B2"/>
    <w:rsid w:val="1E046D85"/>
    <w:rsid w:val="1E0A5A70"/>
    <w:rsid w:val="1E0B2BF0"/>
    <w:rsid w:val="1E114FCB"/>
    <w:rsid w:val="1E144AD8"/>
    <w:rsid w:val="1E185360"/>
    <w:rsid w:val="1E1B6A3B"/>
    <w:rsid w:val="1E1E400A"/>
    <w:rsid w:val="1E2347CA"/>
    <w:rsid w:val="1E267B44"/>
    <w:rsid w:val="1E306B43"/>
    <w:rsid w:val="1E333FF9"/>
    <w:rsid w:val="1E39577E"/>
    <w:rsid w:val="1E3D741C"/>
    <w:rsid w:val="1E3E03ED"/>
    <w:rsid w:val="1E450C2F"/>
    <w:rsid w:val="1E45124F"/>
    <w:rsid w:val="1E492731"/>
    <w:rsid w:val="1E56675C"/>
    <w:rsid w:val="1E5843FD"/>
    <w:rsid w:val="1E5C72B4"/>
    <w:rsid w:val="1E5D70A3"/>
    <w:rsid w:val="1E5D7A2F"/>
    <w:rsid w:val="1E5E5221"/>
    <w:rsid w:val="1E60797A"/>
    <w:rsid w:val="1E6417F2"/>
    <w:rsid w:val="1E696AE3"/>
    <w:rsid w:val="1E6B0CE7"/>
    <w:rsid w:val="1E6B0D19"/>
    <w:rsid w:val="1E6E3FF9"/>
    <w:rsid w:val="1E726F7C"/>
    <w:rsid w:val="1E731DE1"/>
    <w:rsid w:val="1E737103"/>
    <w:rsid w:val="1E771310"/>
    <w:rsid w:val="1E7C6C30"/>
    <w:rsid w:val="1E7C72A0"/>
    <w:rsid w:val="1E7E0C08"/>
    <w:rsid w:val="1E7F791C"/>
    <w:rsid w:val="1E8064C0"/>
    <w:rsid w:val="1E887D7E"/>
    <w:rsid w:val="1E891079"/>
    <w:rsid w:val="1E893EEE"/>
    <w:rsid w:val="1E8E36F8"/>
    <w:rsid w:val="1E8E7312"/>
    <w:rsid w:val="1E901E4C"/>
    <w:rsid w:val="1E92272E"/>
    <w:rsid w:val="1E966320"/>
    <w:rsid w:val="1E9C6E34"/>
    <w:rsid w:val="1E9E16F4"/>
    <w:rsid w:val="1EA03132"/>
    <w:rsid w:val="1EA85162"/>
    <w:rsid w:val="1EAB74DE"/>
    <w:rsid w:val="1EAD6827"/>
    <w:rsid w:val="1EB47C18"/>
    <w:rsid w:val="1EBA01F0"/>
    <w:rsid w:val="1EBF67F2"/>
    <w:rsid w:val="1EC10BDC"/>
    <w:rsid w:val="1EC26320"/>
    <w:rsid w:val="1EC41CDD"/>
    <w:rsid w:val="1EC57633"/>
    <w:rsid w:val="1EC847E4"/>
    <w:rsid w:val="1ECD4C5B"/>
    <w:rsid w:val="1ECE17BA"/>
    <w:rsid w:val="1ECE2C22"/>
    <w:rsid w:val="1ECE62E0"/>
    <w:rsid w:val="1ECE78DA"/>
    <w:rsid w:val="1ED2183F"/>
    <w:rsid w:val="1ED7363A"/>
    <w:rsid w:val="1EDB7732"/>
    <w:rsid w:val="1EDE0F1E"/>
    <w:rsid w:val="1EE012B9"/>
    <w:rsid w:val="1EE4618B"/>
    <w:rsid w:val="1EE502AD"/>
    <w:rsid w:val="1EE50E5E"/>
    <w:rsid w:val="1EE57D48"/>
    <w:rsid w:val="1EE64538"/>
    <w:rsid w:val="1EE8490A"/>
    <w:rsid w:val="1EEB44A5"/>
    <w:rsid w:val="1EEB6689"/>
    <w:rsid w:val="1EF123C9"/>
    <w:rsid w:val="1EF1485C"/>
    <w:rsid w:val="1EF34923"/>
    <w:rsid w:val="1EF43865"/>
    <w:rsid w:val="1EFB1B08"/>
    <w:rsid w:val="1EFE3D4C"/>
    <w:rsid w:val="1EFF1D39"/>
    <w:rsid w:val="1F010FFA"/>
    <w:rsid w:val="1F0266D6"/>
    <w:rsid w:val="1F0B1388"/>
    <w:rsid w:val="1F0B3399"/>
    <w:rsid w:val="1F10614F"/>
    <w:rsid w:val="1F125AA9"/>
    <w:rsid w:val="1F144DF2"/>
    <w:rsid w:val="1F1564D5"/>
    <w:rsid w:val="1F1E665D"/>
    <w:rsid w:val="1F1E7446"/>
    <w:rsid w:val="1F1F2018"/>
    <w:rsid w:val="1F202538"/>
    <w:rsid w:val="1F262AE5"/>
    <w:rsid w:val="1F283D6C"/>
    <w:rsid w:val="1F2A04D1"/>
    <w:rsid w:val="1F2B233D"/>
    <w:rsid w:val="1F3055C4"/>
    <w:rsid w:val="1F334CC6"/>
    <w:rsid w:val="1F367F38"/>
    <w:rsid w:val="1F3868EF"/>
    <w:rsid w:val="1F3B0C28"/>
    <w:rsid w:val="1F3C78B2"/>
    <w:rsid w:val="1F4438A1"/>
    <w:rsid w:val="1F47753B"/>
    <w:rsid w:val="1F49179C"/>
    <w:rsid w:val="1F4C3CF8"/>
    <w:rsid w:val="1F4E26F0"/>
    <w:rsid w:val="1F577A1F"/>
    <w:rsid w:val="1F5923AC"/>
    <w:rsid w:val="1F5B038D"/>
    <w:rsid w:val="1F5B132E"/>
    <w:rsid w:val="1F6729FC"/>
    <w:rsid w:val="1F691BCD"/>
    <w:rsid w:val="1F6B71EF"/>
    <w:rsid w:val="1F721D23"/>
    <w:rsid w:val="1F767872"/>
    <w:rsid w:val="1F7800E0"/>
    <w:rsid w:val="1F7C6013"/>
    <w:rsid w:val="1F7E19B2"/>
    <w:rsid w:val="1F834FAE"/>
    <w:rsid w:val="1F8564BF"/>
    <w:rsid w:val="1F860E2E"/>
    <w:rsid w:val="1F887100"/>
    <w:rsid w:val="1F891919"/>
    <w:rsid w:val="1F8B6030"/>
    <w:rsid w:val="1F8D1422"/>
    <w:rsid w:val="1F8D655F"/>
    <w:rsid w:val="1F9040E7"/>
    <w:rsid w:val="1F920A46"/>
    <w:rsid w:val="1F9256D7"/>
    <w:rsid w:val="1F93573C"/>
    <w:rsid w:val="1F95552A"/>
    <w:rsid w:val="1F99326D"/>
    <w:rsid w:val="1F9A189E"/>
    <w:rsid w:val="1F9A5795"/>
    <w:rsid w:val="1F9F6E44"/>
    <w:rsid w:val="1FA33094"/>
    <w:rsid w:val="1FA36C0A"/>
    <w:rsid w:val="1FA747D9"/>
    <w:rsid w:val="1FAD66AB"/>
    <w:rsid w:val="1FB14853"/>
    <w:rsid w:val="1FB371D7"/>
    <w:rsid w:val="1FB37674"/>
    <w:rsid w:val="1FB57C52"/>
    <w:rsid w:val="1FB6202E"/>
    <w:rsid w:val="1FB7161E"/>
    <w:rsid w:val="1FBD66AE"/>
    <w:rsid w:val="1FC14F7E"/>
    <w:rsid w:val="1FC23BF6"/>
    <w:rsid w:val="1FC77F3D"/>
    <w:rsid w:val="1FCE01B7"/>
    <w:rsid w:val="1FD52858"/>
    <w:rsid w:val="1FD64FDF"/>
    <w:rsid w:val="1FDB01B5"/>
    <w:rsid w:val="1FE60A0F"/>
    <w:rsid w:val="1FE63477"/>
    <w:rsid w:val="1FEE1298"/>
    <w:rsid w:val="1FF05784"/>
    <w:rsid w:val="1FF45D76"/>
    <w:rsid w:val="1FFA59D3"/>
    <w:rsid w:val="1FFA6417"/>
    <w:rsid w:val="1FFF28EB"/>
    <w:rsid w:val="20046C4A"/>
    <w:rsid w:val="200953C8"/>
    <w:rsid w:val="200B4298"/>
    <w:rsid w:val="200C243D"/>
    <w:rsid w:val="20110FA8"/>
    <w:rsid w:val="201210DE"/>
    <w:rsid w:val="20136E9D"/>
    <w:rsid w:val="20181F0F"/>
    <w:rsid w:val="20202421"/>
    <w:rsid w:val="20234453"/>
    <w:rsid w:val="20241D88"/>
    <w:rsid w:val="2027377D"/>
    <w:rsid w:val="202751D5"/>
    <w:rsid w:val="202D242F"/>
    <w:rsid w:val="202E5A19"/>
    <w:rsid w:val="203449B4"/>
    <w:rsid w:val="20367EC4"/>
    <w:rsid w:val="2037791C"/>
    <w:rsid w:val="20384FB4"/>
    <w:rsid w:val="203B4883"/>
    <w:rsid w:val="203D5655"/>
    <w:rsid w:val="203E4DB2"/>
    <w:rsid w:val="203E548D"/>
    <w:rsid w:val="203F5CD1"/>
    <w:rsid w:val="20454C98"/>
    <w:rsid w:val="204C0E5D"/>
    <w:rsid w:val="204E6902"/>
    <w:rsid w:val="204F7C79"/>
    <w:rsid w:val="20531FE1"/>
    <w:rsid w:val="205616D2"/>
    <w:rsid w:val="2056357A"/>
    <w:rsid w:val="205A331C"/>
    <w:rsid w:val="205B3D1B"/>
    <w:rsid w:val="205E16F0"/>
    <w:rsid w:val="20646438"/>
    <w:rsid w:val="20654A70"/>
    <w:rsid w:val="20670A9C"/>
    <w:rsid w:val="206B5F11"/>
    <w:rsid w:val="206C307F"/>
    <w:rsid w:val="206F38E5"/>
    <w:rsid w:val="20737CED"/>
    <w:rsid w:val="207D6223"/>
    <w:rsid w:val="207F61A2"/>
    <w:rsid w:val="207F7257"/>
    <w:rsid w:val="20801D9C"/>
    <w:rsid w:val="208233A5"/>
    <w:rsid w:val="20833FD3"/>
    <w:rsid w:val="20843175"/>
    <w:rsid w:val="20863A35"/>
    <w:rsid w:val="20895548"/>
    <w:rsid w:val="208B266B"/>
    <w:rsid w:val="208D456D"/>
    <w:rsid w:val="20930C66"/>
    <w:rsid w:val="20944741"/>
    <w:rsid w:val="20944D0A"/>
    <w:rsid w:val="209762F0"/>
    <w:rsid w:val="20991268"/>
    <w:rsid w:val="209D526D"/>
    <w:rsid w:val="20A350DB"/>
    <w:rsid w:val="20A52C7A"/>
    <w:rsid w:val="20A67517"/>
    <w:rsid w:val="20A85ACA"/>
    <w:rsid w:val="20AB3CA6"/>
    <w:rsid w:val="20AC12F5"/>
    <w:rsid w:val="20AC18B7"/>
    <w:rsid w:val="20AC4CC9"/>
    <w:rsid w:val="20AC56EE"/>
    <w:rsid w:val="20AC685D"/>
    <w:rsid w:val="20AE07F9"/>
    <w:rsid w:val="20AF77D6"/>
    <w:rsid w:val="20B307C3"/>
    <w:rsid w:val="20B85F74"/>
    <w:rsid w:val="20BA6266"/>
    <w:rsid w:val="20BD1353"/>
    <w:rsid w:val="20C80F3A"/>
    <w:rsid w:val="20CC0343"/>
    <w:rsid w:val="20CC07A7"/>
    <w:rsid w:val="20CF7A0A"/>
    <w:rsid w:val="20D12A62"/>
    <w:rsid w:val="20D25D27"/>
    <w:rsid w:val="20D507DB"/>
    <w:rsid w:val="20D80BA9"/>
    <w:rsid w:val="20DB173E"/>
    <w:rsid w:val="20DB1D57"/>
    <w:rsid w:val="20DE16EB"/>
    <w:rsid w:val="20DF4D4F"/>
    <w:rsid w:val="20DF6EA8"/>
    <w:rsid w:val="20E07549"/>
    <w:rsid w:val="20E34225"/>
    <w:rsid w:val="20E5436F"/>
    <w:rsid w:val="20EA7642"/>
    <w:rsid w:val="20EB3DE8"/>
    <w:rsid w:val="20ED7F1F"/>
    <w:rsid w:val="20F01919"/>
    <w:rsid w:val="20F0202E"/>
    <w:rsid w:val="20F030FD"/>
    <w:rsid w:val="20F15A4C"/>
    <w:rsid w:val="20F20087"/>
    <w:rsid w:val="20F33B9F"/>
    <w:rsid w:val="20F43E33"/>
    <w:rsid w:val="20FA25B2"/>
    <w:rsid w:val="20FD772C"/>
    <w:rsid w:val="21003432"/>
    <w:rsid w:val="21025075"/>
    <w:rsid w:val="21077F07"/>
    <w:rsid w:val="210A546B"/>
    <w:rsid w:val="210B4595"/>
    <w:rsid w:val="21134807"/>
    <w:rsid w:val="21137382"/>
    <w:rsid w:val="21157E06"/>
    <w:rsid w:val="21171009"/>
    <w:rsid w:val="21173B40"/>
    <w:rsid w:val="211911C9"/>
    <w:rsid w:val="211D7B4F"/>
    <w:rsid w:val="21212096"/>
    <w:rsid w:val="21226BE6"/>
    <w:rsid w:val="21244D74"/>
    <w:rsid w:val="21250533"/>
    <w:rsid w:val="21257D2C"/>
    <w:rsid w:val="212D28BD"/>
    <w:rsid w:val="2137109E"/>
    <w:rsid w:val="2137261B"/>
    <w:rsid w:val="213C5273"/>
    <w:rsid w:val="213C583E"/>
    <w:rsid w:val="213C6FC1"/>
    <w:rsid w:val="213E0DCB"/>
    <w:rsid w:val="213E5B5E"/>
    <w:rsid w:val="21401C71"/>
    <w:rsid w:val="2141147B"/>
    <w:rsid w:val="21446A1C"/>
    <w:rsid w:val="2145529B"/>
    <w:rsid w:val="21470E51"/>
    <w:rsid w:val="214A465B"/>
    <w:rsid w:val="21504577"/>
    <w:rsid w:val="215175D6"/>
    <w:rsid w:val="21562EB3"/>
    <w:rsid w:val="215636CA"/>
    <w:rsid w:val="21566626"/>
    <w:rsid w:val="215A09F5"/>
    <w:rsid w:val="215A5BD3"/>
    <w:rsid w:val="215E1633"/>
    <w:rsid w:val="215F2FB4"/>
    <w:rsid w:val="21604D93"/>
    <w:rsid w:val="216E3111"/>
    <w:rsid w:val="216E6D88"/>
    <w:rsid w:val="217258AC"/>
    <w:rsid w:val="21751BF7"/>
    <w:rsid w:val="217543FA"/>
    <w:rsid w:val="2176346F"/>
    <w:rsid w:val="21765068"/>
    <w:rsid w:val="21766EAD"/>
    <w:rsid w:val="217F1C7F"/>
    <w:rsid w:val="217F72BB"/>
    <w:rsid w:val="218835AE"/>
    <w:rsid w:val="21933F90"/>
    <w:rsid w:val="2197408E"/>
    <w:rsid w:val="2198188E"/>
    <w:rsid w:val="219E79F2"/>
    <w:rsid w:val="219F408C"/>
    <w:rsid w:val="21A0272D"/>
    <w:rsid w:val="21A2566C"/>
    <w:rsid w:val="21A30405"/>
    <w:rsid w:val="21A742A3"/>
    <w:rsid w:val="21B26CC4"/>
    <w:rsid w:val="21B3699F"/>
    <w:rsid w:val="21B5571C"/>
    <w:rsid w:val="21B77C98"/>
    <w:rsid w:val="21BB0D34"/>
    <w:rsid w:val="21BB4816"/>
    <w:rsid w:val="21BD2731"/>
    <w:rsid w:val="21C1038C"/>
    <w:rsid w:val="21C3441C"/>
    <w:rsid w:val="21C67566"/>
    <w:rsid w:val="21C81716"/>
    <w:rsid w:val="21CA1CF2"/>
    <w:rsid w:val="21D01832"/>
    <w:rsid w:val="21D275A8"/>
    <w:rsid w:val="21D87873"/>
    <w:rsid w:val="21DA33B7"/>
    <w:rsid w:val="21DD4FD5"/>
    <w:rsid w:val="21E154B4"/>
    <w:rsid w:val="21E23115"/>
    <w:rsid w:val="21EB0744"/>
    <w:rsid w:val="21EC1F74"/>
    <w:rsid w:val="21F61070"/>
    <w:rsid w:val="21FC19EC"/>
    <w:rsid w:val="21FD697B"/>
    <w:rsid w:val="21FF649B"/>
    <w:rsid w:val="22001A9C"/>
    <w:rsid w:val="220233DC"/>
    <w:rsid w:val="22067318"/>
    <w:rsid w:val="220D5E7A"/>
    <w:rsid w:val="220E4310"/>
    <w:rsid w:val="220F63F4"/>
    <w:rsid w:val="2212045F"/>
    <w:rsid w:val="2212089E"/>
    <w:rsid w:val="22126AEA"/>
    <w:rsid w:val="22180124"/>
    <w:rsid w:val="22191C07"/>
    <w:rsid w:val="221A66D7"/>
    <w:rsid w:val="221D2A68"/>
    <w:rsid w:val="221F1ECD"/>
    <w:rsid w:val="222015E8"/>
    <w:rsid w:val="22201858"/>
    <w:rsid w:val="22297AC0"/>
    <w:rsid w:val="222F43DD"/>
    <w:rsid w:val="22314E32"/>
    <w:rsid w:val="22316F41"/>
    <w:rsid w:val="22325BB1"/>
    <w:rsid w:val="22326D96"/>
    <w:rsid w:val="22343048"/>
    <w:rsid w:val="2234437E"/>
    <w:rsid w:val="223540FE"/>
    <w:rsid w:val="22362480"/>
    <w:rsid w:val="223970F3"/>
    <w:rsid w:val="223B30EC"/>
    <w:rsid w:val="223C4F11"/>
    <w:rsid w:val="22491173"/>
    <w:rsid w:val="224A1550"/>
    <w:rsid w:val="22521346"/>
    <w:rsid w:val="2252240B"/>
    <w:rsid w:val="2252796E"/>
    <w:rsid w:val="22554AC1"/>
    <w:rsid w:val="2258153F"/>
    <w:rsid w:val="22595A4D"/>
    <w:rsid w:val="225D77EA"/>
    <w:rsid w:val="226118AA"/>
    <w:rsid w:val="22611A92"/>
    <w:rsid w:val="22613E4B"/>
    <w:rsid w:val="22684DE1"/>
    <w:rsid w:val="226B4485"/>
    <w:rsid w:val="226C56CB"/>
    <w:rsid w:val="226D7EC0"/>
    <w:rsid w:val="22757D5A"/>
    <w:rsid w:val="22787435"/>
    <w:rsid w:val="2279013D"/>
    <w:rsid w:val="227C7008"/>
    <w:rsid w:val="227D0087"/>
    <w:rsid w:val="22820958"/>
    <w:rsid w:val="22823DED"/>
    <w:rsid w:val="228521C9"/>
    <w:rsid w:val="22855C05"/>
    <w:rsid w:val="22871337"/>
    <w:rsid w:val="22874F62"/>
    <w:rsid w:val="228A1F8F"/>
    <w:rsid w:val="2290183E"/>
    <w:rsid w:val="229A4002"/>
    <w:rsid w:val="229C5EA6"/>
    <w:rsid w:val="229E793A"/>
    <w:rsid w:val="22A0679B"/>
    <w:rsid w:val="22A161DE"/>
    <w:rsid w:val="22A36454"/>
    <w:rsid w:val="22A53354"/>
    <w:rsid w:val="22A93B21"/>
    <w:rsid w:val="22AB562B"/>
    <w:rsid w:val="22AC7467"/>
    <w:rsid w:val="22AD2475"/>
    <w:rsid w:val="22AD65D5"/>
    <w:rsid w:val="22B03D94"/>
    <w:rsid w:val="22B06D1E"/>
    <w:rsid w:val="22B22EE5"/>
    <w:rsid w:val="22B63A11"/>
    <w:rsid w:val="22B74425"/>
    <w:rsid w:val="22BC2356"/>
    <w:rsid w:val="22C20DB3"/>
    <w:rsid w:val="22C214A5"/>
    <w:rsid w:val="22C223A2"/>
    <w:rsid w:val="22C31328"/>
    <w:rsid w:val="22C507F0"/>
    <w:rsid w:val="22CB7BE8"/>
    <w:rsid w:val="22CD01DC"/>
    <w:rsid w:val="22D078B6"/>
    <w:rsid w:val="22D4238C"/>
    <w:rsid w:val="22D825EE"/>
    <w:rsid w:val="22DB4521"/>
    <w:rsid w:val="22E44B2B"/>
    <w:rsid w:val="22E55885"/>
    <w:rsid w:val="22E75F40"/>
    <w:rsid w:val="22E86585"/>
    <w:rsid w:val="22EE3E98"/>
    <w:rsid w:val="22F30917"/>
    <w:rsid w:val="22F338DE"/>
    <w:rsid w:val="22F54E5C"/>
    <w:rsid w:val="22F613C4"/>
    <w:rsid w:val="22FA6294"/>
    <w:rsid w:val="22FE54AC"/>
    <w:rsid w:val="22FF4A7E"/>
    <w:rsid w:val="23065361"/>
    <w:rsid w:val="23082295"/>
    <w:rsid w:val="230E178F"/>
    <w:rsid w:val="230F550A"/>
    <w:rsid w:val="23166D1B"/>
    <w:rsid w:val="231D10BC"/>
    <w:rsid w:val="231D2347"/>
    <w:rsid w:val="231E28FA"/>
    <w:rsid w:val="2324408A"/>
    <w:rsid w:val="232D3847"/>
    <w:rsid w:val="232D3BD2"/>
    <w:rsid w:val="23311ECF"/>
    <w:rsid w:val="233338C4"/>
    <w:rsid w:val="233576F2"/>
    <w:rsid w:val="233938DC"/>
    <w:rsid w:val="23395821"/>
    <w:rsid w:val="23443A1F"/>
    <w:rsid w:val="234A4B2F"/>
    <w:rsid w:val="234C1E9B"/>
    <w:rsid w:val="234F4869"/>
    <w:rsid w:val="23544D27"/>
    <w:rsid w:val="235540E0"/>
    <w:rsid w:val="235E1D1F"/>
    <w:rsid w:val="235E6452"/>
    <w:rsid w:val="236141C3"/>
    <w:rsid w:val="2363639B"/>
    <w:rsid w:val="23644343"/>
    <w:rsid w:val="236639AB"/>
    <w:rsid w:val="236E60BB"/>
    <w:rsid w:val="2375377E"/>
    <w:rsid w:val="23755968"/>
    <w:rsid w:val="237A1199"/>
    <w:rsid w:val="238056A2"/>
    <w:rsid w:val="2386175D"/>
    <w:rsid w:val="23883638"/>
    <w:rsid w:val="23894116"/>
    <w:rsid w:val="238E3F26"/>
    <w:rsid w:val="2390112B"/>
    <w:rsid w:val="23903F7C"/>
    <w:rsid w:val="23912189"/>
    <w:rsid w:val="2393136B"/>
    <w:rsid w:val="23955D52"/>
    <w:rsid w:val="239667B2"/>
    <w:rsid w:val="239A1A7F"/>
    <w:rsid w:val="239A2CEB"/>
    <w:rsid w:val="23A85052"/>
    <w:rsid w:val="23AD47EC"/>
    <w:rsid w:val="23B2035F"/>
    <w:rsid w:val="23B278FE"/>
    <w:rsid w:val="23B51999"/>
    <w:rsid w:val="23B60826"/>
    <w:rsid w:val="23C02542"/>
    <w:rsid w:val="23C07622"/>
    <w:rsid w:val="23C3467A"/>
    <w:rsid w:val="23C87169"/>
    <w:rsid w:val="23C964FA"/>
    <w:rsid w:val="23CA6E30"/>
    <w:rsid w:val="23D24582"/>
    <w:rsid w:val="23D74958"/>
    <w:rsid w:val="23D80749"/>
    <w:rsid w:val="23DD4E2E"/>
    <w:rsid w:val="23DF0E16"/>
    <w:rsid w:val="23E37B7D"/>
    <w:rsid w:val="23E50F34"/>
    <w:rsid w:val="23E51875"/>
    <w:rsid w:val="23E61A4F"/>
    <w:rsid w:val="23E77FA1"/>
    <w:rsid w:val="23EB66AB"/>
    <w:rsid w:val="23EF0513"/>
    <w:rsid w:val="23F049A8"/>
    <w:rsid w:val="23F97111"/>
    <w:rsid w:val="23FC5DEC"/>
    <w:rsid w:val="23FE1E60"/>
    <w:rsid w:val="23FE7D6B"/>
    <w:rsid w:val="2406564B"/>
    <w:rsid w:val="24075D22"/>
    <w:rsid w:val="240A098B"/>
    <w:rsid w:val="240A3891"/>
    <w:rsid w:val="240F75CF"/>
    <w:rsid w:val="24176017"/>
    <w:rsid w:val="24193B3A"/>
    <w:rsid w:val="241A335F"/>
    <w:rsid w:val="2424240B"/>
    <w:rsid w:val="24264809"/>
    <w:rsid w:val="242E2CBD"/>
    <w:rsid w:val="24300980"/>
    <w:rsid w:val="24317654"/>
    <w:rsid w:val="243359EB"/>
    <w:rsid w:val="24354930"/>
    <w:rsid w:val="243616F1"/>
    <w:rsid w:val="24361E07"/>
    <w:rsid w:val="24365C9E"/>
    <w:rsid w:val="24381578"/>
    <w:rsid w:val="2438705A"/>
    <w:rsid w:val="24396CB2"/>
    <w:rsid w:val="243F7AD1"/>
    <w:rsid w:val="244A20E3"/>
    <w:rsid w:val="244F237B"/>
    <w:rsid w:val="244F6AA6"/>
    <w:rsid w:val="24505E17"/>
    <w:rsid w:val="24596CAD"/>
    <w:rsid w:val="245B3A37"/>
    <w:rsid w:val="245C6293"/>
    <w:rsid w:val="245F20EB"/>
    <w:rsid w:val="246245CF"/>
    <w:rsid w:val="24631A10"/>
    <w:rsid w:val="2467630B"/>
    <w:rsid w:val="24684A7D"/>
    <w:rsid w:val="246A1D0F"/>
    <w:rsid w:val="246F617F"/>
    <w:rsid w:val="24711CBA"/>
    <w:rsid w:val="24743E9E"/>
    <w:rsid w:val="24764536"/>
    <w:rsid w:val="247F7E43"/>
    <w:rsid w:val="24845090"/>
    <w:rsid w:val="24895063"/>
    <w:rsid w:val="248A2764"/>
    <w:rsid w:val="24914ACA"/>
    <w:rsid w:val="24915B85"/>
    <w:rsid w:val="24962A1E"/>
    <w:rsid w:val="24985841"/>
    <w:rsid w:val="249A0339"/>
    <w:rsid w:val="249D0CE8"/>
    <w:rsid w:val="249E4721"/>
    <w:rsid w:val="249F21A7"/>
    <w:rsid w:val="249F2633"/>
    <w:rsid w:val="24A02198"/>
    <w:rsid w:val="24A13A8A"/>
    <w:rsid w:val="24A227FB"/>
    <w:rsid w:val="24A25C6F"/>
    <w:rsid w:val="24A35113"/>
    <w:rsid w:val="24AA1198"/>
    <w:rsid w:val="24AA7D1D"/>
    <w:rsid w:val="24AB1324"/>
    <w:rsid w:val="24AB2B80"/>
    <w:rsid w:val="24B07E1C"/>
    <w:rsid w:val="24B2777E"/>
    <w:rsid w:val="24B61BD0"/>
    <w:rsid w:val="24B773A7"/>
    <w:rsid w:val="24B91221"/>
    <w:rsid w:val="24BB0380"/>
    <w:rsid w:val="24BC46F9"/>
    <w:rsid w:val="24BF4458"/>
    <w:rsid w:val="24C85E7F"/>
    <w:rsid w:val="24CA3A98"/>
    <w:rsid w:val="24D835F1"/>
    <w:rsid w:val="24DB36CA"/>
    <w:rsid w:val="24DB3FCE"/>
    <w:rsid w:val="24DC145B"/>
    <w:rsid w:val="24DE6748"/>
    <w:rsid w:val="24DF46BD"/>
    <w:rsid w:val="24E12673"/>
    <w:rsid w:val="24E22236"/>
    <w:rsid w:val="24E63EF2"/>
    <w:rsid w:val="24E72BEA"/>
    <w:rsid w:val="24EE425F"/>
    <w:rsid w:val="24F0771A"/>
    <w:rsid w:val="24F93212"/>
    <w:rsid w:val="2500422E"/>
    <w:rsid w:val="250062E6"/>
    <w:rsid w:val="250118CB"/>
    <w:rsid w:val="250363DC"/>
    <w:rsid w:val="25047FD7"/>
    <w:rsid w:val="250D6E62"/>
    <w:rsid w:val="250E0688"/>
    <w:rsid w:val="25145EC5"/>
    <w:rsid w:val="25171D4F"/>
    <w:rsid w:val="2523287F"/>
    <w:rsid w:val="25236C67"/>
    <w:rsid w:val="252850E5"/>
    <w:rsid w:val="2537340B"/>
    <w:rsid w:val="253C1892"/>
    <w:rsid w:val="253F18F3"/>
    <w:rsid w:val="25426C95"/>
    <w:rsid w:val="2544489A"/>
    <w:rsid w:val="25455BE8"/>
    <w:rsid w:val="2549096E"/>
    <w:rsid w:val="254C2270"/>
    <w:rsid w:val="254E73BA"/>
    <w:rsid w:val="254F6030"/>
    <w:rsid w:val="25526DC1"/>
    <w:rsid w:val="25590C76"/>
    <w:rsid w:val="2559580B"/>
    <w:rsid w:val="255A0BD7"/>
    <w:rsid w:val="255D4888"/>
    <w:rsid w:val="255D6BAB"/>
    <w:rsid w:val="256448AA"/>
    <w:rsid w:val="25647824"/>
    <w:rsid w:val="25692EB3"/>
    <w:rsid w:val="256C2EA5"/>
    <w:rsid w:val="256D2168"/>
    <w:rsid w:val="256F41DE"/>
    <w:rsid w:val="25741A79"/>
    <w:rsid w:val="25743D76"/>
    <w:rsid w:val="2576330C"/>
    <w:rsid w:val="257876CB"/>
    <w:rsid w:val="257B732C"/>
    <w:rsid w:val="257C17A9"/>
    <w:rsid w:val="257F46A3"/>
    <w:rsid w:val="25861FA0"/>
    <w:rsid w:val="2592118A"/>
    <w:rsid w:val="2594048A"/>
    <w:rsid w:val="25947B3E"/>
    <w:rsid w:val="259A66C2"/>
    <w:rsid w:val="259B0170"/>
    <w:rsid w:val="259F0FC0"/>
    <w:rsid w:val="25A34435"/>
    <w:rsid w:val="25AD766B"/>
    <w:rsid w:val="25B032C3"/>
    <w:rsid w:val="25B22A8E"/>
    <w:rsid w:val="25B23491"/>
    <w:rsid w:val="25B518C0"/>
    <w:rsid w:val="25BC4BFB"/>
    <w:rsid w:val="25BD4A96"/>
    <w:rsid w:val="25BD4B3F"/>
    <w:rsid w:val="25BF4CA1"/>
    <w:rsid w:val="25C163DD"/>
    <w:rsid w:val="25C571D5"/>
    <w:rsid w:val="25C73361"/>
    <w:rsid w:val="25CA4658"/>
    <w:rsid w:val="25CA7CE9"/>
    <w:rsid w:val="25CC4EE2"/>
    <w:rsid w:val="25D24A32"/>
    <w:rsid w:val="25D76B7A"/>
    <w:rsid w:val="25DA7B06"/>
    <w:rsid w:val="25DB33B1"/>
    <w:rsid w:val="25DD6EFE"/>
    <w:rsid w:val="25DE5333"/>
    <w:rsid w:val="25DE62BD"/>
    <w:rsid w:val="25E03548"/>
    <w:rsid w:val="25E76863"/>
    <w:rsid w:val="25EC479F"/>
    <w:rsid w:val="25ED23FE"/>
    <w:rsid w:val="25EF5C37"/>
    <w:rsid w:val="25F272BD"/>
    <w:rsid w:val="25F66A38"/>
    <w:rsid w:val="25FA620C"/>
    <w:rsid w:val="26033DE9"/>
    <w:rsid w:val="2603617B"/>
    <w:rsid w:val="26044929"/>
    <w:rsid w:val="26060934"/>
    <w:rsid w:val="26076189"/>
    <w:rsid w:val="260E1076"/>
    <w:rsid w:val="260E72F6"/>
    <w:rsid w:val="26150E13"/>
    <w:rsid w:val="26171802"/>
    <w:rsid w:val="2618484F"/>
    <w:rsid w:val="261B742C"/>
    <w:rsid w:val="261C737C"/>
    <w:rsid w:val="2622157D"/>
    <w:rsid w:val="26265854"/>
    <w:rsid w:val="262B4A18"/>
    <w:rsid w:val="262D1FAD"/>
    <w:rsid w:val="262D2B53"/>
    <w:rsid w:val="26335EC7"/>
    <w:rsid w:val="26385AB1"/>
    <w:rsid w:val="26412D93"/>
    <w:rsid w:val="264214D8"/>
    <w:rsid w:val="264314B4"/>
    <w:rsid w:val="264709B1"/>
    <w:rsid w:val="264E09CE"/>
    <w:rsid w:val="264F61AD"/>
    <w:rsid w:val="26516C1A"/>
    <w:rsid w:val="26540649"/>
    <w:rsid w:val="26571112"/>
    <w:rsid w:val="26582619"/>
    <w:rsid w:val="265869E8"/>
    <w:rsid w:val="265903D6"/>
    <w:rsid w:val="265B20B7"/>
    <w:rsid w:val="2663611B"/>
    <w:rsid w:val="266730F1"/>
    <w:rsid w:val="266B5BDB"/>
    <w:rsid w:val="26742EEF"/>
    <w:rsid w:val="267C20C0"/>
    <w:rsid w:val="268122FD"/>
    <w:rsid w:val="26933C19"/>
    <w:rsid w:val="269A138B"/>
    <w:rsid w:val="269A45C6"/>
    <w:rsid w:val="269D3F56"/>
    <w:rsid w:val="269D5FAE"/>
    <w:rsid w:val="26A177F5"/>
    <w:rsid w:val="26A23DA6"/>
    <w:rsid w:val="26A636FB"/>
    <w:rsid w:val="26A80375"/>
    <w:rsid w:val="26AA0ACA"/>
    <w:rsid w:val="26AC3FFF"/>
    <w:rsid w:val="26AE083E"/>
    <w:rsid w:val="26AE7AC8"/>
    <w:rsid w:val="26B16C00"/>
    <w:rsid w:val="26B176B7"/>
    <w:rsid w:val="26B219F9"/>
    <w:rsid w:val="26BA6D9B"/>
    <w:rsid w:val="26BB2007"/>
    <w:rsid w:val="26BB67B1"/>
    <w:rsid w:val="26C452BE"/>
    <w:rsid w:val="26C54020"/>
    <w:rsid w:val="26C64937"/>
    <w:rsid w:val="26C82F6C"/>
    <w:rsid w:val="26CB3AE7"/>
    <w:rsid w:val="26CF053A"/>
    <w:rsid w:val="26D12204"/>
    <w:rsid w:val="26D159AF"/>
    <w:rsid w:val="26D26B0C"/>
    <w:rsid w:val="26DC3263"/>
    <w:rsid w:val="26DE7D51"/>
    <w:rsid w:val="26E147FD"/>
    <w:rsid w:val="26E378E0"/>
    <w:rsid w:val="26E45AAE"/>
    <w:rsid w:val="26E52168"/>
    <w:rsid w:val="26EA39A8"/>
    <w:rsid w:val="26EF3494"/>
    <w:rsid w:val="26EF5FAC"/>
    <w:rsid w:val="26F31730"/>
    <w:rsid w:val="26F3274E"/>
    <w:rsid w:val="26F40764"/>
    <w:rsid w:val="26F514B0"/>
    <w:rsid w:val="26F629F5"/>
    <w:rsid w:val="26F62BDF"/>
    <w:rsid w:val="26FB53F3"/>
    <w:rsid w:val="27012EBF"/>
    <w:rsid w:val="2702306F"/>
    <w:rsid w:val="27033CAC"/>
    <w:rsid w:val="270C202F"/>
    <w:rsid w:val="270C71CF"/>
    <w:rsid w:val="27100352"/>
    <w:rsid w:val="27116E64"/>
    <w:rsid w:val="271C0BB7"/>
    <w:rsid w:val="27206921"/>
    <w:rsid w:val="27235FA3"/>
    <w:rsid w:val="27295DE4"/>
    <w:rsid w:val="272E5034"/>
    <w:rsid w:val="27315DFB"/>
    <w:rsid w:val="27334FB8"/>
    <w:rsid w:val="27377315"/>
    <w:rsid w:val="273C2B82"/>
    <w:rsid w:val="273C47D6"/>
    <w:rsid w:val="273F7328"/>
    <w:rsid w:val="27400B8E"/>
    <w:rsid w:val="27424E86"/>
    <w:rsid w:val="27482872"/>
    <w:rsid w:val="275B1656"/>
    <w:rsid w:val="27657C95"/>
    <w:rsid w:val="276606CF"/>
    <w:rsid w:val="276C0DF7"/>
    <w:rsid w:val="276D2C40"/>
    <w:rsid w:val="276D4B39"/>
    <w:rsid w:val="277004DA"/>
    <w:rsid w:val="27700E7C"/>
    <w:rsid w:val="277A590B"/>
    <w:rsid w:val="277A7559"/>
    <w:rsid w:val="277E146E"/>
    <w:rsid w:val="277E1521"/>
    <w:rsid w:val="277F38B5"/>
    <w:rsid w:val="27825B7E"/>
    <w:rsid w:val="278545BF"/>
    <w:rsid w:val="27857D97"/>
    <w:rsid w:val="27866748"/>
    <w:rsid w:val="278B24F0"/>
    <w:rsid w:val="278C25ED"/>
    <w:rsid w:val="27913832"/>
    <w:rsid w:val="279612ED"/>
    <w:rsid w:val="279A523A"/>
    <w:rsid w:val="27A03BE8"/>
    <w:rsid w:val="27A12214"/>
    <w:rsid w:val="27A21802"/>
    <w:rsid w:val="27A32597"/>
    <w:rsid w:val="27A438E3"/>
    <w:rsid w:val="27AA049C"/>
    <w:rsid w:val="27AB0E28"/>
    <w:rsid w:val="27AF115D"/>
    <w:rsid w:val="27B1525A"/>
    <w:rsid w:val="27B35E59"/>
    <w:rsid w:val="27BA5BCA"/>
    <w:rsid w:val="27BC3536"/>
    <w:rsid w:val="27BF0418"/>
    <w:rsid w:val="27BF2D40"/>
    <w:rsid w:val="27C76353"/>
    <w:rsid w:val="27C90CAA"/>
    <w:rsid w:val="27CD5B8A"/>
    <w:rsid w:val="27CD76B7"/>
    <w:rsid w:val="27CE3977"/>
    <w:rsid w:val="27CF1762"/>
    <w:rsid w:val="27CF4F2D"/>
    <w:rsid w:val="27D07180"/>
    <w:rsid w:val="27D4158E"/>
    <w:rsid w:val="27D833F3"/>
    <w:rsid w:val="27DD41E2"/>
    <w:rsid w:val="27DE352F"/>
    <w:rsid w:val="27E36E08"/>
    <w:rsid w:val="27E525FC"/>
    <w:rsid w:val="27E93226"/>
    <w:rsid w:val="27EB26A3"/>
    <w:rsid w:val="27EB39EB"/>
    <w:rsid w:val="27EB7936"/>
    <w:rsid w:val="27EC1AD9"/>
    <w:rsid w:val="27EC4E47"/>
    <w:rsid w:val="27ED1FA4"/>
    <w:rsid w:val="27EF0A0D"/>
    <w:rsid w:val="27F06589"/>
    <w:rsid w:val="27F21467"/>
    <w:rsid w:val="27F238C9"/>
    <w:rsid w:val="27F4185C"/>
    <w:rsid w:val="27F71003"/>
    <w:rsid w:val="27FA0B49"/>
    <w:rsid w:val="280047FB"/>
    <w:rsid w:val="28014C1E"/>
    <w:rsid w:val="280229EA"/>
    <w:rsid w:val="28026E79"/>
    <w:rsid w:val="28030360"/>
    <w:rsid w:val="281117FF"/>
    <w:rsid w:val="28114F44"/>
    <w:rsid w:val="28165074"/>
    <w:rsid w:val="28174F8A"/>
    <w:rsid w:val="28184EA7"/>
    <w:rsid w:val="281C1E06"/>
    <w:rsid w:val="281D5B5E"/>
    <w:rsid w:val="28202CAB"/>
    <w:rsid w:val="282066B4"/>
    <w:rsid w:val="282078D1"/>
    <w:rsid w:val="282124C7"/>
    <w:rsid w:val="2822538A"/>
    <w:rsid w:val="282500DA"/>
    <w:rsid w:val="282A6CAF"/>
    <w:rsid w:val="282E533E"/>
    <w:rsid w:val="28337D74"/>
    <w:rsid w:val="28346874"/>
    <w:rsid w:val="2835519B"/>
    <w:rsid w:val="28372D86"/>
    <w:rsid w:val="283C7762"/>
    <w:rsid w:val="2843217E"/>
    <w:rsid w:val="284825F1"/>
    <w:rsid w:val="28537290"/>
    <w:rsid w:val="28541A1D"/>
    <w:rsid w:val="28585B36"/>
    <w:rsid w:val="285D3F4A"/>
    <w:rsid w:val="28632EF7"/>
    <w:rsid w:val="28661FD0"/>
    <w:rsid w:val="28666CB8"/>
    <w:rsid w:val="28676226"/>
    <w:rsid w:val="28711B11"/>
    <w:rsid w:val="287743F6"/>
    <w:rsid w:val="287A79A4"/>
    <w:rsid w:val="287D1FE4"/>
    <w:rsid w:val="287D3D40"/>
    <w:rsid w:val="28897B34"/>
    <w:rsid w:val="288B7BF5"/>
    <w:rsid w:val="28924536"/>
    <w:rsid w:val="289640B7"/>
    <w:rsid w:val="28974986"/>
    <w:rsid w:val="289F20F3"/>
    <w:rsid w:val="28A723DA"/>
    <w:rsid w:val="28AD5E8A"/>
    <w:rsid w:val="28B120CC"/>
    <w:rsid w:val="28B15A0F"/>
    <w:rsid w:val="28B40BEF"/>
    <w:rsid w:val="28B447D1"/>
    <w:rsid w:val="28B674BF"/>
    <w:rsid w:val="28B867FB"/>
    <w:rsid w:val="28B96313"/>
    <w:rsid w:val="28B978F9"/>
    <w:rsid w:val="28BE4DC7"/>
    <w:rsid w:val="28BE5643"/>
    <w:rsid w:val="28C16F4D"/>
    <w:rsid w:val="28C20716"/>
    <w:rsid w:val="28C46C69"/>
    <w:rsid w:val="28C52F64"/>
    <w:rsid w:val="28C86223"/>
    <w:rsid w:val="28CB4638"/>
    <w:rsid w:val="28CC6A5F"/>
    <w:rsid w:val="28CD558B"/>
    <w:rsid w:val="28DC34C2"/>
    <w:rsid w:val="28DD3F50"/>
    <w:rsid w:val="28DE2798"/>
    <w:rsid w:val="28E03AF8"/>
    <w:rsid w:val="28E53E63"/>
    <w:rsid w:val="28EA3F5D"/>
    <w:rsid w:val="28EE1205"/>
    <w:rsid w:val="28FE1AC7"/>
    <w:rsid w:val="28FE51EE"/>
    <w:rsid w:val="29030F5F"/>
    <w:rsid w:val="29047900"/>
    <w:rsid w:val="290B3544"/>
    <w:rsid w:val="291018B5"/>
    <w:rsid w:val="291A69B3"/>
    <w:rsid w:val="291D009A"/>
    <w:rsid w:val="2926637E"/>
    <w:rsid w:val="292A2134"/>
    <w:rsid w:val="29364D4C"/>
    <w:rsid w:val="293804EB"/>
    <w:rsid w:val="29387054"/>
    <w:rsid w:val="293E1F96"/>
    <w:rsid w:val="293F0F30"/>
    <w:rsid w:val="294334A5"/>
    <w:rsid w:val="29453CBB"/>
    <w:rsid w:val="294632C3"/>
    <w:rsid w:val="29484617"/>
    <w:rsid w:val="294F221B"/>
    <w:rsid w:val="29500886"/>
    <w:rsid w:val="29521C6A"/>
    <w:rsid w:val="29522155"/>
    <w:rsid w:val="29531A46"/>
    <w:rsid w:val="29535B92"/>
    <w:rsid w:val="29542910"/>
    <w:rsid w:val="29585A03"/>
    <w:rsid w:val="295960A7"/>
    <w:rsid w:val="29596F87"/>
    <w:rsid w:val="295F060F"/>
    <w:rsid w:val="295F3D7E"/>
    <w:rsid w:val="296108C1"/>
    <w:rsid w:val="29664EEF"/>
    <w:rsid w:val="2967776C"/>
    <w:rsid w:val="29686E93"/>
    <w:rsid w:val="297047A2"/>
    <w:rsid w:val="29787DD9"/>
    <w:rsid w:val="297D39AB"/>
    <w:rsid w:val="297F319F"/>
    <w:rsid w:val="297F7872"/>
    <w:rsid w:val="29807944"/>
    <w:rsid w:val="29853B9F"/>
    <w:rsid w:val="29862881"/>
    <w:rsid w:val="29866E76"/>
    <w:rsid w:val="298B4B45"/>
    <w:rsid w:val="2990770A"/>
    <w:rsid w:val="29932124"/>
    <w:rsid w:val="29996B22"/>
    <w:rsid w:val="299B5EB5"/>
    <w:rsid w:val="29A0482D"/>
    <w:rsid w:val="29A1440D"/>
    <w:rsid w:val="29A71EAC"/>
    <w:rsid w:val="29AA2A9A"/>
    <w:rsid w:val="29AB2C14"/>
    <w:rsid w:val="29B20742"/>
    <w:rsid w:val="29B71BC4"/>
    <w:rsid w:val="29B72D5C"/>
    <w:rsid w:val="29BB71F4"/>
    <w:rsid w:val="29BE247C"/>
    <w:rsid w:val="29BE3F8A"/>
    <w:rsid w:val="29C14FB6"/>
    <w:rsid w:val="29C420D5"/>
    <w:rsid w:val="29C657AD"/>
    <w:rsid w:val="29C70884"/>
    <w:rsid w:val="29C82BB8"/>
    <w:rsid w:val="29C87260"/>
    <w:rsid w:val="29CA39F0"/>
    <w:rsid w:val="29CA651D"/>
    <w:rsid w:val="29CD5135"/>
    <w:rsid w:val="29CF2969"/>
    <w:rsid w:val="29D50DA5"/>
    <w:rsid w:val="29D5216F"/>
    <w:rsid w:val="29DA05BE"/>
    <w:rsid w:val="29DC5BF3"/>
    <w:rsid w:val="29DE6355"/>
    <w:rsid w:val="29DF01C0"/>
    <w:rsid w:val="29E2758D"/>
    <w:rsid w:val="29E70062"/>
    <w:rsid w:val="29E74BF9"/>
    <w:rsid w:val="29EB7B57"/>
    <w:rsid w:val="29EC79E5"/>
    <w:rsid w:val="29ED2EE0"/>
    <w:rsid w:val="29F14E96"/>
    <w:rsid w:val="29F70D52"/>
    <w:rsid w:val="29F81C51"/>
    <w:rsid w:val="29FB7EFF"/>
    <w:rsid w:val="29FF3D5C"/>
    <w:rsid w:val="2A0576A9"/>
    <w:rsid w:val="2A0D0F9F"/>
    <w:rsid w:val="2A107639"/>
    <w:rsid w:val="2A157F3E"/>
    <w:rsid w:val="2A18269B"/>
    <w:rsid w:val="2A1849A9"/>
    <w:rsid w:val="2A1A50B4"/>
    <w:rsid w:val="2A256C28"/>
    <w:rsid w:val="2A2B292D"/>
    <w:rsid w:val="2A30247C"/>
    <w:rsid w:val="2A316948"/>
    <w:rsid w:val="2A316C5D"/>
    <w:rsid w:val="2A320820"/>
    <w:rsid w:val="2A334786"/>
    <w:rsid w:val="2A342920"/>
    <w:rsid w:val="2A356F6D"/>
    <w:rsid w:val="2A374DE6"/>
    <w:rsid w:val="2A3A6DAB"/>
    <w:rsid w:val="2A3F03F0"/>
    <w:rsid w:val="2A4060D9"/>
    <w:rsid w:val="2A463445"/>
    <w:rsid w:val="2A476AD4"/>
    <w:rsid w:val="2A4A02B7"/>
    <w:rsid w:val="2A4A0ABC"/>
    <w:rsid w:val="2A4A55FB"/>
    <w:rsid w:val="2A4A71AB"/>
    <w:rsid w:val="2A510E0F"/>
    <w:rsid w:val="2A542FAD"/>
    <w:rsid w:val="2A54477D"/>
    <w:rsid w:val="2A545788"/>
    <w:rsid w:val="2A5A1217"/>
    <w:rsid w:val="2A5B08FD"/>
    <w:rsid w:val="2A5B5F0C"/>
    <w:rsid w:val="2A5E4863"/>
    <w:rsid w:val="2A627BAB"/>
    <w:rsid w:val="2A64404B"/>
    <w:rsid w:val="2A743E6B"/>
    <w:rsid w:val="2A7D5347"/>
    <w:rsid w:val="2A7D6B4F"/>
    <w:rsid w:val="2A7E4AAA"/>
    <w:rsid w:val="2A835073"/>
    <w:rsid w:val="2A8609D8"/>
    <w:rsid w:val="2A863852"/>
    <w:rsid w:val="2A872DE1"/>
    <w:rsid w:val="2A884D78"/>
    <w:rsid w:val="2A8D67CD"/>
    <w:rsid w:val="2A982FA5"/>
    <w:rsid w:val="2A992502"/>
    <w:rsid w:val="2AA0117F"/>
    <w:rsid w:val="2AA90C06"/>
    <w:rsid w:val="2AA97834"/>
    <w:rsid w:val="2AAB2D35"/>
    <w:rsid w:val="2AB212B1"/>
    <w:rsid w:val="2AB30AC4"/>
    <w:rsid w:val="2AB36D43"/>
    <w:rsid w:val="2AB4080D"/>
    <w:rsid w:val="2AB46ABA"/>
    <w:rsid w:val="2AB53C35"/>
    <w:rsid w:val="2ABA12DD"/>
    <w:rsid w:val="2ABA6D27"/>
    <w:rsid w:val="2ABB7091"/>
    <w:rsid w:val="2ABF767C"/>
    <w:rsid w:val="2AC0742A"/>
    <w:rsid w:val="2AC32289"/>
    <w:rsid w:val="2AC537E8"/>
    <w:rsid w:val="2ACF1C7D"/>
    <w:rsid w:val="2AD1033F"/>
    <w:rsid w:val="2AD6575B"/>
    <w:rsid w:val="2AD933B3"/>
    <w:rsid w:val="2ADD37A6"/>
    <w:rsid w:val="2ADE05DF"/>
    <w:rsid w:val="2AE07922"/>
    <w:rsid w:val="2AE94BDB"/>
    <w:rsid w:val="2AE9767C"/>
    <w:rsid w:val="2AF015AF"/>
    <w:rsid w:val="2AF06954"/>
    <w:rsid w:val="2AF2639C"/>
    <w:rsid w:val="2AF809CF"/>
    <w:rsid w:val="2AFA000A"/>
    <w:rsid w:val="2AFA2A69"/>
    <w:rsid w:val="2AFE3D0C"/>
    <w:rsid w:val="2AFE3E61"/>
    <w:rsid w:val="2AFF7484"/>
    <w:rsid w:val="2B001908"/>
    <w:rsid w:val="2B05332C"/>
    <w:rsid w:val="2B0A756E"/>
    <w:rsid w:val="2B0E3151"/>
    <w:rsid w:val="2B0F593E"/>
    <w:rsid w:val="2B1360DB"/>
    <w:rsid w:val="2B1438D7"/>
    <w:rsid w:val="2B14620B"/>
    <w:rsid w:val="2B156375"/>
    <w:rsid w:val="2B165EB1"/>
    <w:rsid w:val="2B16757C"/>
    <w:rsid w:val="2B190390"/>
    <w:rsid w:val="2B197C8A"/>
    <w:rsid w:val="2B1B6DCA"/>
    <w:rsid w:val="2B1D16B1"/>
    <w:rsid w:val="2B222F8F"/>
    <w:rsid w:val="2B274113"/>
    <w:rsid w:val="2B2C2DE2"/>
    <w:rsid w:val="2B2E0B74"/>
    <w:rsid w:val="2B324E9E"/>
    <w:rsid w:val="2B363F7C"/>
    <w:rsid w:val="2B3960FA"/>
    <w:rsid w:val="2B3B5202"/>
    <w:rsid w:val="2B3E55ED"/>
    <w:rsid w:val="2B424598"/>
    <w:rsid w:val="2B4665C8"/>
    <w:rsid w:val="2B470891"/>
    <w:rsid w:val="2B47156C"/>
    <w:rsid w:val="2B4754D1"/>
    <w:rsid w:val="2B4E045A"/>
    <w:rsid w:val="2B520F73"/>
    <w:rsid w:val="2B525CD6"/>
    <w:rsid w:val="2B54400E"/>
    <w:rsid w:val="2B5D5EE7"/>
    <w:rsid w:val="2B5D73A8"/>
    <w:rsid w:val="2B632E2C"/>
    <w:rsid w:val="2B6430F0"/>
    <w:rsid w:val="2B6570A7"/>
    <w:rsid w:val="2B68052E"/>
    <w:rsid w:val="2B684BE6"/>
    <w:rsid w:val="2B6C7BFE"/>
    <w:rsid w:val="2B6F2C30"/>
    <w:rsid w:val="2B6F32A0"/>
    <w:rsid w:val="2B703D24"/>
    <w:rsid w:val="2B73463D"/>
    <w:rsid w:val="2B744B41"/>
    <w:rsid w:val="2B75076D"/>
    <w:rsid w:val="2B765506"/>
    <w:rsid w:val="2B7729D0"/>
    <w:rsid w:val="2B776D38"/>
    <w:rsid w:val="2B825540"/>
    <w:rsid w:val="2B83623B"/>
    <w:rsid w:val="2B873309"/>
    <w:rsid w:val="2B876B09"/>
    <w:rsid w:val="2B8B5462"/>
    <w:rsid w:val="2B8B5D6C"/>
    <w:rsid w:val="2B8C726F"/>
    <w:rsid w:val="2B8F5D17"/>
    <w:rsid w:val="2B931908"/>
    <w:rsid w:val="2B933347"/>
    <w:rsid w:val="2B936C40"/>
    <w:rsid w:val="2B961E1C"/>
    <w:rsid w:val="2B97396E"/>
    <w:rsid w:val="2B9C36F5"/>
    <w:rsid w:val="2BA84878"/>
    <w:rsid w:val="2BA97506"/>
    <w:rsid w:val="2BAA4D65"/>
    <w:rsid w:val="2BAC1D05"/>
    <w:rsid w:val="2BAD0B53"/>
    <w:rsid w:val="2BAD775A"/>
    <w:rsid w:val="2BB155DE"/>
    <w:rsid w:val="2BB824D7"/>
    <w:rsid w:val="2BBA0B20"/>
    <w:rsid w:val="2BC271E5"/>
    <w:rsid w:val="2BC30EFF"/>
    <w:rsid w:val="2BC44F5C"/>
    <w:rsid w:val="2BC62205"/>
    <w:rsid w:val="2BC840C7"/>
    <w:rsid w:val="2BCD3AF9"/>
    <w:rsid w:val="2BCE0ED2"/>
    <w:rsid w:val="2BD1021D"/>
    <w:rsid w:val="2BD2008F"/>
    <w:rsid w:val="2BD27907"/>
    <w:rsid w:val="2BD41133"/>
    <w:rsid w:val="2BD91412"/>
    <w:rsid w:val="2BD97F9F"/>
    <w:rsid w:val="2BDC64F4"/>
    <w:rsid w:val="2BDD7DB7"/>
    <w:rsid w:val="2BDE7DB0"/>
    <w:rsid w:val="2BE038C5"/>
    <w:rsid w:val="2BE37FB0"/>
    <w:rsid w:val="2BEC70E1"/>
    <w:rsid w:val="2BEF4277"/>
    <w:rsid w:val="2BF15142"/>
    <w:rsid w:val="2BF353E2"/>
    <w:rsid w:val="2BF553F9"/>
    <w:rsid w:val="2BF85151"/>
    <w:rsid w:val="2BF9278D"/>
    <w:rsid w:val="2BF93C2E"/>
    <w:rsid w:val="2BF977D1"/>
    <w:rsid w:val="2BFE745A"/>
    <w:rsid w:val="2C013AB7"/>
    <w:rsid w:val="2C0A1F91"/>
    <w:rsid w:val="2C0A7EDD"/>
    <w:rsid w:val="2C0B1DDA"/>
    <w:rsid w:val="2C0D3E0B"/>
    <w:rsid w:val="2C1040FD"/>
    <w:rsid w:val="2C151F6F"/>
    <w:rsid w:val="2C15276B"/>
    <w:rsid w:val="2C157A7E"/>
    <w:rsid w:val="2C190857"/>
    <w:rsid w:val="2C1C1126"/>
    <w:rsid w:val="2C1F32C5"/>
    <w:rsid w:val="2C27224C"/>
    <w:rsid w:val="2C291C77"/>
    <w:rsid w:val="2C2D18AF"/>
    <w:rsid w:val="2C320572"/>
    <w:rsid w:val="2C32372D"/>
    <w:rsid w:val="2C326D01"/>
    <w:rsid w:val="2C34104C"/>
    <w:rsid w:val="2C3B3C2C"/>
    <w:rsid w:val="2C3C05DD"/>
    <w:rsid w:val="2C3C0AB9"/>
    <w:rsid w:val="2C3C4287"/>
    <w:rsid w:val="2C3D3284"/>
    <w:rsid w:val="2C400F3A"/>
    <w:rsid w:val="2C422D80"/>
    <w:rsid w:val="2C4529EB"/>
    <w:rsid w:val="2C460607"/>
    <w:rsid w:val="2C491434"/>
    <w:rsid w:val="2C4A7690"/>
    <w:rsid w:val="2C4C005E"/>
    <w:rsid w:val="2C5A299D"/>
    <w:rsid w:val="2C600A40"/>
    <w:rsid w:val="2C6040DE"/>
    <w:rsid w:val="2C6041FF"/>
    <w:rsid w:val="2C607FF0"/>
    <w:rsid w:val="2C610E86"/>
    <w:rsid w:val="2C626E93"/>
    <w:rsid w:val="2C63237F"/>
    <w:rsid w:val="2C653B9B"/>
    <w:rsid w:val="2C664910"/>
    <w:rsid w:val="2C675485"/>
    <w:rsid w:val="2C687E92"/>
    <w:rsid w:val="2C6B6802"/>
    <w:rsid w:val="2C6B79F3"/>
    <w:rsid w:val="2C700018"/>
    <w:rsid w:val="2C7423DF"/>
    <w:rsid w:val="2C7451F7"/>
    <w:rsid w:val="2C776666"/>
    <w:rsid w:val="2C7E0371"/>
    <w:rsid w:val="2C7E174B"/>
    <w:rsid w:val="2C8436C6"/>
    <w:rsid w:val="2C84574E"/>
    <w:rsid w:val="2C8474C2"/>
    <w:rsid w:val="2C865771"/>
    <w:rsid w:val="2C867E60"/>
    <w:rsid w:val="2C884E76"/>
    <w:rsid w:val="2C8C16C2"/>
    <w:rsid w:val="2C8C24FE"/>
    <w:rsid w:val="2C8D236D"/>
    <w:rsid w:val="2C9055D9"/>
    <w:rsid w:val="2C921444"/>
    <w:rsid w:val="2C954B2A"/>
    <w:rsid w:val="2C995FA0"/>
    <w:rsid w:val="2C9C4844"/>
    <w:rsid w:val="2CA22907"/>
    <w:rsid w:val="2CA257DD"/>
    <w:rsid w:val="2CA35F8D"/>
    <w:rsid w:val="2CA36230"/>
    <w:rsid w:val="2CAA5692"/>
    <w:rsid w:val="2CAB2BBE"/>
    <w:rsid w:val="2CAD44DA"/>
    <w:rsid w:val="2CAE4792"/>
    <w:rsid w:val="2CAF4704"/>
    <w:rsid w:val="2CB33B24"/>
    <w:rsid w:val="2CB3722A"/>
    <w:rsid w:val="2CB42862"/>
    <w:rsid w:val="2CB65A0D"/>
    <w:rsid w:val="2CBC3FE9"/>
    <w:rsid w:val="2CBD6B3A"/>
    <w:rsid w:val="2CC0021E"/>
    <w:rsid w:val="2CC24E96"/>
    <w:rsid w:val="2CC32B8F"/>
    <w:rsid w:val="2CC34307"/>
    <w:rsid w:val="2CC51735"/>
    <w:rsid w:val="2CC554D7"/>
    <w:rsid w:val="2CC705FF"/>
    <w:rsid w:val="2CCA2138"/>
    <w:rsid w:val="2CCC4D2C"/>
    <w:rsid w:val="2CCC7F8E"/>
    <w:rsid w:val="2CD13631"/>
    <w:rsid w:val="2CD1554E"/>
    <w:rsid w:val="2CD27C35"/>
    <w:rsid w:val="2CD42355"/>
    <w:rsid w:val="2CD63B59"/>
    <w:rsid w:val="2CD826AA"/>
    <w:rsid w:val="2CD871C1"/>
    <w:rsid w:val="2CDA510A"/>
    <w:rsid w:val="2CDC6F35"/>
    <w:rsid w:val="2CE01197"/>
    <w:rsid w:val="2CE16195"/>
    <w:rsid w:val="2CE3392C"/>
    <w:rsid w:val="2CE82E73"/>
    <w:rsid w:val="2CEB4520"/>
    <w:rsid w:val="2CEE19F9"/>
    <w:rsid w:val="2CEE43D1"/>
    <w:rsid w:val="2CF0676C"/>
    <w:rsid w:val="2CF11FEC"/>
    <w:rsid w:val="2CF44AA5"/>
    <w:rsid w:val="2CF45AE4"/>
    <w:rsid w:val="2CF50D97"/>
    <w:rsid w:val="2CF652AE"/>
    <w:rsid w:val="2CFA38C9"/>
    <w:rsid w:val="2CFB0E60"/>
    <w:rsid w:val="2CFD78AD"/>
    <w:rsid w:val="2CFE1110"/>
    <w:rsid w:val="2D002448"/>
    <w:rsid w:val="2D0111A5"/>
    <w:rsid w:val="2D0307E7"/>
    <w:rsid w:val="2D06284E"/>
    <w:rsid w:val="2D062EF1"/>
    <w:rsid w:val="2D0C7288"/>
    <w:rsid w:val="2D105BAF"/>
    <w:rsid w:val="2D1109B4"/>
    <w:rsid w:val="2D113176"/>
    <w:rsid w:val="2D131FEE"/>
    <w:rsid w:val="2D1477F5"/>
    <w:rsid w:val="2D157225"/>
    <w:rsid w:val="2D1D6AEE"/>
    <w:rsid w:val="2D1E6767"/>
    <w:rsid w:val="2D2033AD"/>
    <w:rsid w:val="2D212C45"/>
    <w:rsid w:val="2D2B5630"/>
    <w:rsid w:val="2D2C168D"/>
    <w:rsid w:val="2D2F322A"/>
    <w:rsid w:val="2D321D25"/>
    <w:rsid w:val="2D3337D3"/>
    <w:rsid w:val="2D333A25"/>
    <w:rsid w:val="2D356020"/>
    <w:rsid w:val="2D3851C8"/>
    <w:rsid w:val="2D392951"/>
    <w:rsid w:val="2D3B5555"/>
    <w:rsid w:val="2D3D2559"/>
    <w:rsid w:val="2D3E786C"/>
    <w:rsid w:val="2D416F41"/>
    <w:rsid w:val="2D493D27"/>
    <w:rsid w:val="2D4A2BEB"/>
    <w:rsid w:val="2D4E368F"/>
    <w:rsid w:val="2D504A44"/>
    <w:rsid w:val="2D514E79"/>
    <w:rsid w:val="2D534B44"/>
    <w:rsid w:val="2D560D99"/>
    <w:rsid w:val="2D5B53E0"/>
    <w:rsid w:val="2D5B754F"/>
    <w:rsid w:val="2D5C0F74"/>
    <w:rsid w:val="2D5D75C2"/>
    <w:rsid w:val="2D613555"/>
    <w:rsid w:val="2D661CE6"/>
    <w:rsid w:val="2D6C6E8D"/>
    <w:rsid w:val="2D7012ED"/>
    <w:rsid w:val="2D725077"/>
    <w:rsid w:val="2D77157E"/>
    <w:rsid w:val="2D7A370E"/>
    <w:rsid w:val="2D7E2951"/>
    <w:rsid w:val="2D7E4393"/>
    <w:rsid w:val="2D8031C6"/>
    <w:rsid w:val="2D87525E"/>
    <w:rsid w:val="2D895DF6"/>
    <w:rsid w:val="2D8A236C"/>
    <w:rsid w:val="2D8B7C2B"/>
    <w:rsid w:val="2D8E5D64"/>
    <w:rsid w:val="2D8F0D0C"/>
    <w:rsid w:val="2D910853"/>
    <w:rsid w:val="2D9251D6"/>
    <w:rsid w:val="2D927E12"/>
    <w:rsid w:val="2D944DF2"/>
    <w:rsid w:val="2D9B32BD"/>
    <w:rsid w:val="2D9B34BB"/>
    <w:rsid w:val="2D9C4EAC"/>
    <w:rsid w:val="2D9C69BA"/>
    <w:rsid w:val="2D9D0B7C"/>
    <w:rsid w:val="2D9F4D0B"/>
    <w:rsid w:val="2DA11DB2"/>
    <w:rsid w:val="2DA15EEF"/>
    <w:rsid w:val="2DA26403"/>
    <w:rsid w:val="2DA932FE"/>
    <w:rsid w:val="2DAD20B3"/>
    <w:rsid w:val="2DB13482"/>
    <w:rsid w:val="2DB70D0A"/>
    <w:rsid w:val="2DB714C6"/>
    <w:rsid w:val="2DB71EBF"/>
    <w:rsid w:val="2DBC5EE6"/>
    <w:rsid w:val="2DBF3EE7"/>
    <w:rsid w:val="2DC76B06"/>
    <w:rsid w:val="2DCB2CF3"/>
    <w:rsid w:val="2DCB4AF4"/>
    <w:rsid w:val="2DCC0AC7"/>
    <w:rsid w:val="2DCD0505"/>
    <w:rsid w:val="2DCE5BD6"/>
    <w:rsid w:val="2DD46413"/>
    <w:rsid w:val="2DD61E84"/>
    <w:rsid w:val="2DD759AC"/>
    <w:rsid w:val="2DD912B6"/>
    <w:rsid w:val="2DD94898"/>
    <w:rsid w:val="2DDB1735"/>
    <w:rsid w:val="2DDC0637"/>
    <w:rsid w:val="2DE362D5"/>
    <w:rsid w:val="2DE71D7F"/>
    <w:rsid w:val="2DE751B5"/>
    <w:rsid w:val="2DEB3C3C"/>
    <w:rsid w:val="2DEC1B71"/>
    <w:rsid w:val="2DF93B12"/>
    <w:rsid w:val="2DFC4231"/>
    <w:rsid w:val="2DFE4089"/>
    <w:rsid w:val="2E004AD2"/>
    <w:rsid w:val="2E021D02"/>
    <w:rsid w:val="2E04614A"/>
    <w:rsid w:val="2E076F41"/>
    <w:rsid w:val="2E085E65"/>
    <w:rsid w:val="2E0B588F"/>
    <w:rsid w:val="2E112D9D"/>
    <w:rsid w:val="2E167467"/>
    <w:rsid w:val="2E177543"/>
    <w:rsid w:val="2E1D4E2D"/>
    <w:rsid w:val="2E24445C"/>
    <w:rsid w:val="2E2875F3"/>
    <w:rsid w:val="2E3232FA"/>
    <w:rsid w:val="2E370DA0"/>
    <w:rsid w:val="2E3A10EE"/>
    <w:rsid w:val="2E3C3094"/>
    <w:rsid w:val="2E40095E"/>
    <w:rsid w:val="2E502610"/>
    <w:rsid w:val="2E552899"/>
    <w:rsid w:val="2E5722F8"/>
    <w:rsid w:val="2E594FB3"/>
    <w:rsid w:val="2E5A6829"/>
    <w:rsid w:val="2E5E1632"/>
    <w:rsid w:val="2E60325A"/>
    <w:rsid w:val="2E6217A8"/>
    <w:rsid w:val="2E647826"/>
    <w:rsid w:val="2E667897"/>
    <w:rsid w:val="2E6762F6"/>
    <w:rsid w:val="2E680FCD"/>
    <w:rsid w:val="2E6D44F5"/>
    <w:rsid w:val="2E6F7444"/>
    <w:rsid w:val="2E7074D1"/>
    <w:rsid w:val="2E720BD7"/>
    <w:rsid w:val="2E732C7F"/>
    <w:rsid w:val="2E745AEA"/>
    <w:rsid w:val="2E7663C0"/>
    <w:rsid w:val="2E787824"/>
    <w:rsid w:val="2E793CEF"/>
    <w:rsid w:val="2E7A3221"/>
    <w:rsid w:val="2E816BE6"/>
    <w:rsid w:val="2E8B487D"/>
    <w:rsid w:val="2E981B41"/>
    <w:rsid w:val="2E9B0A7A"/>
    <w:rsid w:val="2E9D2355"/>
    <w:rsid w:val="2E9F3012"/>
    <w:rsid w:val="2EA14447"/>
    <w:rsid w:val="2EA144C0"/>
    <w:rsid w:val="2EA3371D"/>
    <w:rsid w:val="2EA63995"/>
    <w:rsid w:val="2EAD4C27"/>
    <w:rsid w:val="2EAE08C1"/>
    <w:rsid w:val="2EAF7511"/>
    <w:rsid w:val="2EB22540"/>
    <w:rsid w:val="2EB50F34"/>
    <w:rsid w:val="2EBA2213"/>
    <w:rsid w:val="2EBA5991"/>
    <w:rsid w:val="2EBB0585"/>
    <w:rsid w:val="2EBB23B2"/>
    <w:rsid w:val="2EBD3614"/>
    <w:rsid w:val="2EBE01C2"/>
    <w:rsid w:val="2EC067DB"/>
    <w:rsid w:val="2EC16DD7"/>
    <w:rsid w:val="2EC56B12"/>
    <w:rsid w:val="2ECC3275"/>
    <w:rsid w:val="2ED22255"/>
    <w:rsid w:val="2ED4088D"/>
    <w:rsid w:val="2ED60485"/>
    <w:rsid w:val="2EDC2717"/>
    <w:rsid w:val="2EDC4E96"/>
    <w:rsid w:val="2EE5129D"/>
    <w:rsid w:val="2EE57EB6"/>
    <w:rsid w:val="2EF21113"/>
    <w:rsid w:val="2EF76CD5"/>
    <w:rsid w:val="2EF84634"/>
    <w:rsid w:val="2EFA61B1"/>
    <w:rsid w:val="2F067EC9"/>
    <w:rsid w:val="2F0E164A"/>
    <w:rsid w:val="2F12039F"/>
    <w:rsid w:val="2F144D51"/>
    <w:rsid w:val="2F1E18C7"/>
    <w:rsid w:val="2F1E2048"/>
    <w:rsid w:val="2F1F3A16"/>
    <w:rsid w:val="2F204E0F"/>
    <w:rsid w:val="2F241106"/>
    <w:rsid w:val="2F26771C"/>
    <w:rsid w:val="2F283D05"/>
    <w:rsid w:val="2F2A5CE9"/>
    <w:rsid w:val="2F2C59D6"/>
    <w:rsid w:val="2F2D4C98"/>
    <w:rsid w:val="2F30787E"/>
    <w:rsid w:val="2F354FDC"/>
    <w:rsid w:val="2F383BDF"/>
    <w:rsid w:val="2F3B5881"/>
    <w:rsid w:val="2F427678"/>
    <w:rsid w:val="2F44221F"/>
    <w:rsid w:val="2F475A06"/>
    <w:rsid w:val="2F497248"/>
    <w:rsid w:val="2F4A5DDE"/>
    <w:rsid w:val="2F4F494B"/>
    <w:rsid w:val="2F5110E0"/>
    <w:rsid w:val="2F53408C"/>
    <w:rsid w:val="2F587747"/>
    <w:rsid w:val="2F5A0BB2"/>
    <w:rsid w:val="2F5D221E"/>
    <w:rsid w:val="2F65669A"/>
    <w:rsid w:val="2F66082B"/>
    <w:rsid w:val="2F6A5F02"/>
    <w:rsid w:val="2F6B7B34"/>
    <w:rsid w:val="2F6C3DA5"/>
    <w:rsid w:val="2F6E6DB7"/>
    <w:rsid w:val="2F767ED0"/>
    <w:rsid w:val="2F7B697F"/>
    <w:rsid w:val="2F7C0F6E"/>
    <w:rsid w:val="2F853774"/>
    <w:rsid w:val="2F86615B"/>
    <w:rsid w:val="2F8752BC"/>
    <w:rsid w:val="2F882CD5"/>
    <w:rsid w:val="2F895C24"/>
    <w:rsid w:val="2F897A08"/>
    <w:rsid w:val="2F8B327B"/>
    <w:rsid w:val="2F8C3384"/>
    <w:rsid w:val="2F8D6D6D"/>
    <w:rsid w:val="2F8F7702"/>
    <w:rsid w:val="2F9167A9"/>
    <w:rsid w:val="2F972A3D"/>
    <w:rsid w:val="2F991BFC"/>
    <w:rsid w:val="2F9A70E1"/>
    <w:rsid w:val="2F9C536C"/>
    <w:rsid w:val="2FA041B0"/>
    <w:rsid w:val="2FA57F21"/>
    <w:rsid w:val="2FAA2C11"/>
    <w:rsid w:val="2FAB0D73"/>
    <w:rsid w:val="2FAC7216"/>
    <w:rsid w:val="2FAD38BA"/>
    <w:rsid w:val="2FAD437C"/>
    <w:rsid w:val="2FAD4C01"/>
    <w:rsid w:val="2FAE6F13"/>
    <w:rsid w:val="2FAF44EE"/>
    <w:rsid w:val="2FBB07D7"/>
    <w:rsid w:val="2FBC4E6E"/>
    <w:rsid w:val="2FBC5728"/>
    <w:rsid w:val="2FBD3390"/>
    <w:rsid w:val="2FC071F4"/>
    <w:rsid w:val="2FC1769F"/>
    <w:rsid w:val="2FC20AD7"/>
    <w:rsid w:val="2FC45778"/>
    <w:rsid w:val="2FCA2693"/>
    <w:rsid w:val="2FCA301A"/>
    <w:rsid w:val="2FCA4AB4"/>
    <w:rsid w:val="2FCF102E"/>
    <w:rsid w:val="2FD02E0C"/>
    <w:rsid w:val="2FD07286"/>
    <w:rsid w:val="2FD51D32"/>
    <w:rsid w:val="2FD654A3"/>
    <w:rsid w:val="2FD87C06"/>
    <w:rsid w:val="2FDA58A8"/>
    <w:rsid w:val="2FDC1757"/>
    <w:rsid w:val="2FE168E2"/>
    <w:rsid w:val="2FE477FE"/>
    <w:rsid w:val="2FF2396C"/>
    <w:rsid w:val="2FF512D8"/>
    <w:rsid w:val="2FF60984"/>
    <w:rsid w:val="2FFD08AA"/>
    <w:rsid w:val="2FFE5024"/>
    <w:rsid w:val="30002F24"/>
    <w:rsid w:val="30005576"/>
    <w:rsid w:val="30092DD6"/>
    <w:rsid w:val="300C2CA0"/>
    <w:rsid w:val="300D4D4E"/>
    <w:rsid w:val="300E0C29"/>
    <w:rsid w:val="30150329"/>
    <w:rsid w:val="30151098"/>
    <w:rsid w:val="30151D88"/>
    <w:rsid w:val="30152C5F"/>
    <w:rsid w:val="30181A8D"/>
    <w:rsid w:val="30237D88"/>
    <w:rsid w:val="30243566"/>
    <w:rsid w:val="30244224"/>
    <w:rsid w:val="3025272F"/>
    <w:rsid w:val="3027085F"/>
    <w:rsid w:val="3030505A"/>
    <w:rsid w:val="30314129"/>
    <w:rsid w:val="3032126C"/>
    <w:rsid w:val="30327CEA"/>
    <w:rsid w:val="3033432E"/>
    <w:rsid w:val="303379AB"/>
    <w:rsid w:val="303849DB"/>
    <w:rsid w:val="303A3176"/>
    <w:rsid w:val="30451858"/>
    <w:rsid w:val="30485F84"/>
    <w:rsid w:val="304D4DE5"/>
    <w:rsid w:val="305514EC"/>
    <w:rsid w:val="305A11EA"/>
    <w:rsid w:val="305E409B"/>
    <w:rsid w:val="30621472"/>
    <w:rsid w:val="306C25AB"/>
    <w:rsid w:val="306F4345"/>
    <w:rsid w:val="307145F5"/>
    <w:rsid w:val="307347D0"/>
    <w:rsid w:val="30740C44"/>
    <w:rsid w:val="30752608"/>
    <w:rsid w:val="30776B24"/>
    <w:rsid w:val="30776F02"/>
    <w:rsid w:val="30792CAC"/>
    <w:rsid w:val="307A416B"/>
    <w:rsid w:val="307A7177"/>
    <w:rsid w:val="30804F2A"/>
    <w:rsid w:val="30815F7A"/>
    <w:rsid w:val="30876C74"/>
    <w:rsid w:val="308A637B"/>
    <w:rsid w:val="308C5376"/>
    <w:rsid w:val="308D520E"/>
    <w:rsid w:val="30936B13"/>
    <w:rsid w:val="309A385E"/>
    <w:rsid w:val="309C3094"/>
    <w:rsid w:val="309F666A"/>
    <w:rsid w:val="30A140BD"/>
    <w:rsid w:val="30A212CA"/>
    <w:rsid w:val="30AE509D"/>
    <w:rsid w:val="30B0348E"/>
    <w:rsid w:val="30B07748"/>
    <w:rsid w:val="30B12AE4"/>
    <w:rsid w:val="30B25834"/>
    <w:rsid w:val="30B52DC9"/>
    <w:rsid w:val="30B55E62"/>
    <w:rsid w:val="30B60B08"/>
    <w:rsid w:val="30B62847"/>
    <w:rsid w:val="30B767AB"/>
    <w:rsid w:val="30BF4D4F"/>
    <w:rsid w:val="30C01F01"/>
    <w:rsid w:val="30C67D70"/>
    <w:rsid w:val="30C96331"/>
    <w:rsid w:val="30D32C5C"/>
    <w:rsid w:val="30D3701C"/>
    <w:rsid w:val="30D67532"/>
    <w:rsid w:val="30D83C5C"/>
    <w:rsid w:val="30DC3E7A"/>
    <w:rsid w:val="30E10839"/>
    <w:rsid w:val="30E13E7B"/>
    <w:rsid w:val="30E67FA8"/>
    <w:rsid w:val="30EB72BC"/>
    <w:rsid w:val="30EE520B"/>
    <w:rsid w:val="30F1434F"/>
    <w:rsid w:val="30F45CC3"/>
    <w:rsid w:val="30F73CE8"/>
    <w:rsid w:val="30F81C11"/>
    <w:rsid w:val="30FA1AA1"/>
    <w:rsid w:val="30FA534C"/>
    <w:rsid w:val="30FD6B09"/>
    <w:rsid w:val="30FF2927"/>
    <w:rsid w:val="31010241"/>
    <w:rsid w:val="310228B8"/>
    <w:rsid w:val="3107633E"/>
    <w:rsid w:val="310F3B05"/>
    <w:rsid w:val="310F64BA"/>
    <w:rsid w:val="31130DFC"/>
    <w:rsid w:val="31155F02"/>
    <w:rsid w:val="31164D18"/>
    <w:rsid w:val="3117156A"/>
    <w:rsid w:val="31185E80"/>
    <w:rsid w:val="311D1C97"/>
    <w:rsid w:val="311E2DB5"/>
    <w:rsid w:val="311F751C"/>
    <w:rsid w:val="31207510"/>
    <w:rsid w:val="31223D73"/>
    <w:rsid w:val="31263A18"/>
    <w:rsid w:val="31266F9B"/>
    <w:rsid w:val="3129162F"/>
    <w:rsid w:val="312D1BEC"/>
    <w:rsid w:val="312F215B"/>
    <w:rsid w:val="31381310"/>
    <w:rsid w:val="313B6440"/>
    <w:rsid w:val="313D2F6D"/>
    <w:rsid w:val="31426748"/>
    <w:rsid w:val="314868AC"/>
    <w:rsid w:val="31494A73"/>
    <w:rsid w:val="31544283"/>
    <w:rsid w:val="3156137F"/>
    <w:rsid w:val="31586C5C"/>
    <w:rsid w:val="315B66F2"/>
    <w:rsid w:val="315C0ED6"/>
    <w:rsid w:val="3161186F"/>
    <w:rsid w:val="316576AA"/>
    <w:rsid w:val="316A1826"/>
    <w:rsid w:val="316B525D"/>
    <w:rsid w:val="31724C8C"/>
    <w:rsid w:val="317529FF"/>
    <w:rsid w:val="3175709D"/>
    <w:rsid w:val="31765316"/>
    <w:rsid w:val="317668F2"/>
    <w:rsid w:val="31783322"/>
    <w:rsid w:val="3184714C"/>
    <w:rsid w:val="318C75E5"/>
    <w:rsid w:val="318F124A"/>
    <w:rsid w:val="318F3073"/>
    <w:rsid w:val="319425F2"/>
    <w:rsid w:val="3197453C"/>
    <w:rsid w:val="31984701"/>
    <w:rsid w:val="31995E15"/>
    <w:rsid w:val="319D5433"/>
    <w:rsid w:val="319E0C52"/>
    <w:rsid w:val="31A2464E"/>
    <w:rsid w:val="31A64AAC"/>
    <w:rsid w:val="31AB7502"/>
    <w:rsid w:val="31AC4B1F"/>
    <w:rsid w:val="31AD1E27"/>
    <w:rsid w:val="31B12564"/>
    <w:rsid w:val="31B16268"/>
    <w:rsid w:val="31B3295C"/>
    <w:rsid w:val="31BA3169"/>
    <w:rsid w:val="31BE1913"/>
    <w:rsid w:val="31BF51BA"/>
    <w:rsid w:val="31BF7F8F"/>
    <w:rsid w:val="31C71277"/>
    <w:rsid w:val="31C929A6"/>
    <w:rsid w:val="31CC38EE"/>
    <w:rsid w:val="31CE77B9"/>
    <w:rsid w:val="31D3303B"/>
    <w:rsid w:val="31D932A8"/>
    <w:rsid w:val="31D95512"/>
    <w:rsid w:val="31DE7223"/>
    <w:rsid w:val="31E2554D"/>
    <w:rsid w:val="31E50C64"/>
    <w:rsid w:val="31E51779"/>
    <w:rsid w:val="31E53325"/>
    <w:rsid w:val="31E83C58"/>
    <w:rsid w:val="31EA077D"/>
    <w:rsid w:val="31EA1076"/>
    <w:rsid w:val="31ED0F85"/>
    <w:rsid w:val="31F9134C"/>
    <w:rsid w:val="31FC1F34"/>
    <w:rsid w:val="32005D44"/>
    <w:rsid w:val="3203087C"/>
    <w:rsid w:val="320E479E"/>
    <w:rsid w:val="32104F20"/>
    <w:rsid w:val="3210681E"/>
    <w:rsid w:val="32115FF9"/>
    <w:rsid w:val="321429BB"/>
    <w:rsid w:val="321608D2"/>
    <w:rsid w:val="32197C72"/>
    <w:rsid w:val="321A267C"/>
    <w:rsid w:val="321C1A5B"/>
    <w:rsid w:val="321E698D"/>
    <w:rsid w:val="32213DF5"/>
    <w:rsid w:val="32235D5B"/>
    <w:rsid w:val="3225373A"/>
    <w:rsid w:val="322A3C54"/>
    <w:rsid w:val="322E14DA"/>
    <w:rsid w:val="322E323B"/>
    <w:rsid w:val="32327D25"/>
    <w:rsid w:val="323710CC"/>
    <w:rsid w:val="32392FF3"/>
    <w:rsid w:val="323A2578"/>
    <w:rsid w:val="323B62C2"/>
    <w:rsid w:val="323D74F7"/>
    <w:rsid w:val="3243483B"/>
    <w:rsid w:val="324410D4"/>
    <w:rsid w:val="32472815"/>
    <w:rsid w:val="32476A7A"/>
    <w:rsid w:val="32484CDD"/>
    <w:rsid w:val="324A42CD"/>
    <w:rsid w:val="324B0D21"/>
    <w:rsid w:val="324B709C"/>
    <w:rsid w:val="324D3528"/>
    <w:rsid w:val="324E2BBA"/>
    <w:rsid w:val="3256039D"/>
    <w:rsid w:val="32564545"/>
    <w:rsid w:val="32596794"/>
    <w:rsid w:val="32600898"/>
    <w:rsid w:val="32654B1A"/>
    <w:rsid w:val="326A7D19"/>
    <w:rsid w:val="32716772"/>
    <w:rsid w:val="327343BD"/>
    <w:rsid w:val="327866D3"/>
    <w:rsid w:val="327D1AD6"/>
    <w:rsid w:val="327F6A43"/>
    <w:rsid w:val="3281162C"/>
    <w:rsid w:val="32822509"/>
    <w:rsid w:val="328750C8"/>
    <w:rsid w:val="328C5BFF"/>
    <w:rsid w:val="328E25B9"/>
    <w:rsid w:val="328F0F46"/>
    <w:rsid w:val="329304C6"/>
    <w:rsid w:val="3296758F"/>
    <w:rsid w:val="329873CF"/>
    <w:rsid w:val="329B0E3B"/>
    <w:rsid w:val="329D768F"/>
    <w:rsid w:val="32A07B4B"/>
    <w:rsid w:val="32A30B11"/>
    <w:rsid w:val="32A3727A"/>
    <w:rsid w:val="32A45E28"/>
    <w:rsid w:val="32A70725"/>
    <w:rsid w:val="32A71ADE"/>
    <w:rsid w:val="32A9688B"/>
    <w:rsid w:val="32AA3EE1"/>
    <w:rsid w:val="32AE6FF0"/>
    <w:rsid w:val="32B1229E"/>
    <w:rsid w:val="32B35A86"/>
    <w:rsid w:val="32B54B4F"/>
    <w:rsid w:val="32B63C4C"/>
    <w:rsid w:val="32BF610E"/>
    <w:rsid w:val="32C15108"/>
    <w:rsid w:val="32C65B08"/>
    <w:rsid w:val="32CB2B9E"/>
    <w:rsid w:val="32D32D4C"/>
    <w:rsid w:val="32D50CE1"/>
    <w:rsid w:val="32DA0EC4"/>
    <w:rsid w:val="32DF3455"/>
    <w:rsid w:val="32E27CB3"/>
    <w:rsid w:val="32E4499C"/>
    <w:rsid w:val="32E51824"/>
    <w:rsid w:val="32E609A4"/>
    <w:rsid w:val="32E7640E"/>
    <w:rsid w:val="32E76ADD"/>
    <w:rsid w:val="32EC4E74"/>
    <w:rsid w:val="32EC4EBB"/>
    <w:rsid w:val="32EE0DBB"/>
    <w:rsid w:val="32F100C6"/>
    <w:rsid w:val="32F1179B"/>
    <w:rsid w:val="32F12809"/>
    <w:rsid w:val="32FB65FE"/>
    <w:rsid w:val="32FE1478"/>
    <w:rsid w:val="330909AF"/>
    <w:rsid w:val="330C1A88"/>
    <w:rsid w:val="330E1BBA"/>
    <w:rsid w:val="330E445D"/>
    <w:rsid w:val="33131586"/>
    <w:rsid w:val="3314273D"/>
    <w:rsid w:val="33150168"/>
    <w:rsid w:val="331B1FC5"/>
    <w:rsid w:val="331B381E"/>
    <w:rsid w:val="331B3FF7"/>
    <w:rsid w:val="331C2777"/>
    <w:rsid w:val="331C3CEB"/>
    <w:rsid w:val="331F3594"/>
    <w:rsid w:val="33256C23"/>
    <w:rsid w:val="33280FAD"/>
    <w:rsid w:val="33281952"/>
    <w:rsid w:val="332E63A2"/>
    <w:rsid w:val="33312CA5"/>
    <w:rsid w:val="33323041"/>
    <w:rsid w:val="33332636"/>
    <w:rsid w:val="33364962"/>
    <w:rsid w:val="33386ACD"/>
    <w:rsid w:val="3339289C"/>
    <w:rsid w:val="333A013A"/>
    <w:rsid w:val="333C7DD8"/>
    <w:rsid w:val="333D7BE5"/>
    <w:rsid w:val="33424DC3"/>
    <w:rsid w:val="33453491"/>
    <w:rsid w:val="33497514"/>
    <w:rsid w:val="334F40A9"/>
    <w:rsid w:val="33540FF9"/>
    <w:rsid w:val="33587EFA"/>
    <w:rsid w:val="335A5BEB"/>
    <w:rsid w:val="335B5B4D"/>
    <w:rsid w:val="335F7BF4"/>
    <w:rsid w:val="336017F7"/>
    <w:rsid w:val="336A7AFC"/>
    <w:rsid w:val="336D07AE"/>
    <w:rsid w:val="337A33C2"/>
    <w:rsid w:val="337A6044"/>
    <w:rsid w:val="33812406"/>
    <w:rsid w:val="3384314E"/>
    <w:rsid w:val="33857849"/>
    <w:rsid w:val="338C400B"/>
    <w:rsid w:val="338D42A8"/>
    <w:rsid w:val="338D57D6"/>
    <w:rsid w:val="33941EE6"/>
    <w:rsid w:val="3398196A"/>
    <w:rsid w:val="3398293F"/>
    <w:rsid w:val="33987B2E"/>
    <w:rsid w:val="33987EF6"/>
    <w:rsid w:val="33996905"/>
    <w:rsid w:val="339D0DC6"/>
    <w:rsid w:val="33AA3D5E"/>
    <w:rsid w:val="33B4194E"/>
    <w:rsid w:val="33B422B0"/>
    <w:rsid w:val="33C06E24"/>
    <w:rsid w:val="33C30EB7"/>
    <w:rsid w:val="33CA196F"/>
    <w:rsid w:val="33CB449F"/>
    <w:rsid w:val="33CD3478"/>
    <w:rsid w:val="33CE718A"/>
    <w:rsid w:val="33CF1AD5"/>
    <w:rsid w:val="33D13466"/>
    <w:rsid w:val="33D4778C"/>
    <w:rsid w:val="33D74A12"/>
    <w:rsid w:val="33DA2064"/>
    <w:rsid w:val="33DB02A7"/>
    <w:rsid w:val="33DB58AC"/>
    <w:rsid w:val="33E07544"/>
    <w:rsid w:val="33E20A20"/>
    <w:rsid w:val="33E23277"/>
    <w:rsid w:val="33E56FFE"/>
    <w:rsid w:val="33E76944"/>
    <w:rsid w:val="33EA607C"/>
    <w:rsid w:val="33EA7ECB"/>
    <w:rsid w:val="33EB571A"/>
    <w:rsid w:val="33F06BE9"/>
    <w:rsid w:val="33F67BFB"/>
    <w:rsid w:val="33F73115"/>
    <w:rsid w:val="34004B36"/>
    <w:rsid w:val="34010EF5"/>
    <w:rsid w:val="340F7864"/>
    <w:rsid w:val="34134082"/>
    <w:rsid w:val="34162985"/>
    <w:rsid w:val="3417179A"/>
    <w:rsid w:val="34172816"/>
    <w:rsid w:val="3417738F"/>
    <w:rsid w:val="341A0726"/>
    <w:rsid w:val="341D0CAC"/>
    <w:rsid w:val="34332491"/>
    <w:rsid w:val="343325CA"/>
    <w:rsid w:val="34371BDF"/>
    <w:rsid w:val="3439144D"/>
    <w:rsid w:val="344311B0"/>
    <w:rsid w:val="34434BD1"/>
    <w:rsid w:val="344423E6"/>
    <w:rsid w:val="344D4B3B"/>
    <w:rsid w:val="345008FD"/>
    <w:rsid w:val="34533E57"/>
    <w:rsid w:val="34535E28"/>
    <w:rsid w:val="3453604E"/>
    <w:rsid w:val="34556D07"/>
    <w:rsid w:val="346469C8"/>
    <w:rsid w:val="34653A6C"/>
    <w:rsid w:val="346715CE"/>
    <w:rsid w:val="34685271"/>
    <w:rsid w:val="346A0C9B"/>
    <w:rsid w:val="3474348D"/>
    <w:rsid w:val="34761C5D"/>
    <w:rsid w:val="347966E7"/>
    <w:rsid w:val="34797DAA"/>
    <w:rsid w:val="347C3AAE"/>
    <w:rsid w:val="347E2E93"/>
    <w:rsid w:val="347E55F6"/>
    <w:rsid w:val="34804578"/>
    <w:rsid w:val="34805DE7"/>
    <w:rsid w:val="348F2140"/>
    <w:rsid w:val="34952744"/>
    <w:rsid w:val="349677C7"/>
    <w:rsid w:val="34984F12"/>
    <w:rsid w:val="34A1270E"/>
    <w:rsid w:val="34A13946"/>
    <w:rsid w:val="34A768FD"/>
    <w:rsid w:val="34AB0212"/>
    <w:rsid w:val="34AD4158"/>
    <w:rsid w:val="34B03AE6"/>
    <w:rsid w:val="34B23322"/>
    <w:rsid w:val="34B41CF4"/>
    <w:rsid w:val="34B65A29"/>
    <w:rsid w:val="34C2682A"/>
    <w:rsid w:val="34C32BA5"/>
    <w:rsid w:val="34C347C0"/>
    <w:rsid w:val="34C41741"/>
    <w:rsid w:val="34C70511"/>
    <w:rsid w:val="34CE2B4E"/>
    <w:rsid w:val="34CF40B3"/>
    <w:rsid w:val="34D132FB"/>
    <w:rsid w:val="34D26E3D"/>
    <w:rsid w:val="34DA6C82"/>
    <w:rsid w:val="34DC3EBD"/>
    <w:rsid w:val="34E33206"/>
    <w:rsid w:val="34E35257"/>
    <w:rsid w:val="34E64358"/>
    <w:rsid w:val="34E662C1"/>
    <w:rsid w:val="34E75BAD"/>
    <w:rsid w:val="34E90AF9"/>
    <w:rsid w:val="34E94587"/>
    <w:rsid w:val="34F1356C"/>
    <w:rsid w:val="34F33043"/>
    <w:rsid w:val="34F850E2"/>
    <w:rsid w:val="34F92656"/>
    <w:rsid w:val="34F97F9A"/>
    <w:rsid w:val="34FA1034"/>
    <w:rsid w:val="350235BC"/>
    <w:rsid w:val="3502697B"/>
    <w:rsid w:val="3506021A"/>
    <w:rsid w:val="35062122"/>
    <w:rsid w:val="35085050"/>
    <w:rsid w:val="35180295"/>
    <w:rsid w:val="351B7517"/>
    <w:rsid w:val="351F7FE0"/>
    <w:rsid w:val="35214611"/>
    <w:rsid w:val="35271905"/>
    <w:rsid w:val="352C5667"/>
    <w:rsid w:val="352D7A8F"/>
    <w:rsid w:val="35330DE6"/>
    <w:rsid w:val="35340898"/>
    <w:rsid w:val="35343B93"/>
    <w:rsid w:val="35380064"/>
    <w:rsid w:val="353D451E"/>
    <w:rsid w:val="353D5C37"/>
    <w:rsid w:val="353E037C"/>
    <w:rsid w:val="353E7067"/>
    <w:rsid w:val="35433732"/>
    <w:rsid w:val="35482005"/>
    <w:rsid w:val="354901C7"/>
    <w:rsid w:val="354B0687"/>
    <w:rsid w:val="355325F9"/>
    <w:rsid w:val="35532AD1"/>
    <w:rsid w:val="35563B27"/>
    <w:rsid w:val="35570C2D"/>
    <w:rsid w:val="35573DCF"/>
    <w:rsid w:val="35576040"/>
    <w:rsid w:val="355A1EC8"/>
    <w:rsid w:val="356428F7"/>
    <w:rsid w:val="3568247E"/>
    <w:rsid w:val="356B5F61"/>
    <w:rsid w:val="35720B8A"/>
    <w:rsid w:val="357364A1"/>
    <w:rsid w:val="35782C88"/>
    <w:rsid w:val="357A13E7"/>
    <w:rsid w:val="357B59BF"/>
    <w:rsid w:val="357D1605"/>
    <w:rsid w:val="35804F7A"/>
    <w:rsid w:val="35823BAA"/>
    <w:rsid w:val="35836681"/>
    <w:rsid w:val="35837039"/>
    <w:rsid w:val="358812EA"/>
    <w:rsid w:val="35886CC4"/>
    <w:rsid w:val="358A1A42"/>
    <w:rsid w:val="358D0144"/>
    <w:rsid w:val="35902F77"/>
    <w:rsid w:val="35943B28"/>
    <w:rsid w:val="35954825"/>
    <w:rsid w:val="35962BAA"/>
    <w:rsid w:val="359821D6"/>
    <w:rsid w:val="359C4079"/>
    <w:rsid w:val="359C4D07"/>
    <w:rsid w:val="359E55B6"/>
    <w:rsid w:val="359E6E17"/>
    <w:rsid w:val="35A5027F"/>
    <w:rsid w:val="35A73F40"/>
    <w:rsid w:val="35AE3BBE"/>
    <w:rsid w:val="35B02867"/>
    <w:rsid w:val="35B82004"/>
    <w:rsid w:val="35B827FE"/>
    <w:rsid w:val="35BA5EC4"/>
    <w:rsid w:val="35BB28AE"/>
    <w:rsid w:val="35BF597A"/>
    <w:rsid w:val="35C05498"/>
    <w:rsid w:val="35C12D33"/>
    <w:rsid w:val="35C130C5"/>
    <w:rsid w:val="35C72969"/>
    <w:rsid w:val="35C82D93"/>
    <w:rsid w:val="35C907E1"/>
    <w:rsid w:val="35D12AF1"/>
    <w:rsid w:val="35D51DDB"/>
    <w:rsid w:val="35DB3C7A"/>
    <w:rsid w:val="35DE085F"/>
    <w:rsid w:val="35E008CF"/>
    <w:rsid w:val="35E14F6B"/>
    <w:rsid w:val="35E321ED"/>
    <w:rsid w:val="35EB51C3"/>
    <w:rsid w:val="35EB7217"/>
    <w:rsid w:val="35ED2FB1"/>
    <w:rsid w:val="35EF7F0F"/>
    <w:rsid w:val="35F05B4A"/>
    <w:rsid w:val="35F15926"/>
    <w:rsid w:val="35F17010"/>
    <w:rsid w:val="35F3197B"/>
    <w:rsid w:val="35F827D5"/>
    <w:rsid w:val="35FB0A98"/>
    <w:rsid w:val="35FD2488"/>
    <w:rsid w:val="35FF7319"/>
    <w:rsid w:val="3602050A"/>
    <w:rsid w:val="36087E10"/>
    <w:rsid w:val="36094AEF"/>
    <w:rsid w:val="360A27D6"/>
    <w:rsid w:val="360E4D9F"/>
    <w:rsid w:val="360F564A"/>
    <w:rsid w:val="36103D50"/>
    <w:rsid w:val="36122A2C"/>
    <w:rsid w:val="361665B3"/>
    <w:rsid w:val="36196442"/>
    <w:rsid w:val="361B329F"/>
    <w:rsid w:val="361C3833"/>
    <w:rsid w:val="36207C09"/>
    <w:rsid w:val="36250D55"/>
    <w:rsid w:val="362569EB"/>
    <w:rsid w:val="36276C7E"/>
    <w:rsid w:val="362B0C82"/>
    <w:rsid w:val="362D5419"/>
    <w:rsid w:val="36317F98"/>
    <w:rsid w:val="363205D9"/>
    <w:rsid w:val="36340D54"/>
    <w:rsid w:val="363634CE"/>
    <w:rsid w:val="36372638"/>
    <w:rsid w:val="36383B5F"/>
    <w:rsid w:val="3639187E"/>
    <w:rsid w:val="363D24F9"/>
    <w:rsid w:val="363D4818"/>
    <w:rsid w:val="364A2B8A"/>
    <w:rsid w:val="364C79B2"/>
    <w:rsid w:val="36531043"/>
    <w:rsid w:val="36577900"/>
    <w:rsid w:val="36580627"/>
    <w:rsid w:val="365A6F07"/>
    <w:rsid w:val="3667110B"/>
    <w:rsid w:val="36673C94"/>
    <w:rsid w:val="36675207"/>
    <w:rsid w:val="36761533"/>
    <w:rsid w:val="36785247"/>
    <w:rsid w:val="367E1BCE"/>
    <w:rsid w:val="368074DA"/>
    <w:rsid w:val="36812B37"/>
    <w:rsid w:val="368A4828"/>
    <w:rsid w:val="36976963"/>
    <w:rsid w:val="369A628A"/>
    <w:rsid w:val="369B0021"/>
    <w:rsid w:val="369B332C"/>
    <w:rsid w:val="369E2DF3"/>
    <w:rsid w:val="36A23BC9"/>
    <w:rsid w:val="36A26F03"/>
    <w:rsid w:val="36A4096B"/>
    <w:rsid w:val="36A47365"/>
    <w:rsid w:val="36A65EF8"/>
    <w:rsid w:val="36A95673"/>
    <w:rsid w:val="36AA780F"/>
    <w:rsid w:val="36AC3C15"/>
    <w:rsid w:val="36B03B67"/>
    <w:rsid w:val="36B0494E"/>
    <w:rsid w:val="36B47F18"/>
    <w:rsid w:val="36B61DE0"/>
    <w:rsid w:val="36BB423E"/>
    <w:rsid w:val="36BC3C21"/>
    <w:rsid w:val="36BD275A"/>
    <w:rsid w:val="36BF1A53"/>
    <w:rsid w:val="36BF2634"/>
    <w:rsid w:val="36CA175E"/>
    <w:rsid w:val="36CB68D5"/>
    <w:rsid w:val="36D15C7F"/>
    <w:rsid w:val="36D17FF0"/>
    <w:rsid w:val="36D55239"/>
    <w:rsid w:val="36D82A65"/>
    <w:rsid w:val="36DA5CDD"/>
    <w:rsid w:val="36DD1D78"/>
    <w:rsid w:val="36E07791"/>
    <w:rsid w:val="36E12F54"/>
    <w:rsid w:val="36E34C62"/>
    <w:rsid w:val="36E37890"/>
    <w:rsid w:val="36E40E32"/>
    <w:rsid w:val="36E7293E"/>
    <w:rsid w:val="36E851FF"/>
    <w:rsid w:val="36EE14DD"/>
    <w:rsid w:val="36EF6013"/>
    <w:rsid w:val="36F02DB3"/>
    <w:rsid w:val="36F359AE"/>
    <w:rsid w:val="36F41834"/>
    <w:rsid w:val="36FC0CC3"/>
    <w:rsid w:val="370F6506"/>
    <w:rsid w:val="37106B02"/>
    <w:rsid w:val="371E1591"/>
    <w:rsid w:val="37273266"/>
    <w:rsid w:val="37305AE9"/>
    <w:rsid w:val="37314431"/>
    <w:rsid w:val="3732536C"/>
    <w:rsid w:val="373B5886"/>
    <w:rsid w:val="373E0C3C"/>
    <w:rsid w:val="373E6604"/>
    <w:rsid w:val="37406023"/>
    <w:rsid w:val="3744744F"/>
    <w:rsid w:val="374A0CE9"/>
    <w:rsid w:val="374A1EE9"/>
    <w:rsid w:val="374D0564"/>
    <w:rsid w:val="37561047"/>
    <w:rsid w:val="375C39BB"/>
    <w:rsid w:val="375D0946"/>
    <w:rsid w:val="375F24F2"/>
    <w:rsid w:val="375F2F35"/>
    <w:rsid w:val="37600CF7"/>
    <w:rsid w:val="376155E2"/>
    <w:rsid w:val="37661A05"/>
    <w:rsid w:val="376B294C"/>
    <w:rsid w:val="376B4778"/>
    <w:rsid w:val="377C31CC"/>
    <w:rsid w:val="377D23C3"/>
    <w:rsid w:val="377E448C"/>
    <w:rsid w:val="377E4FA5"/>
    <w:rsid w:val="37815DDA"/>
    <w:rsid w:val="3783132C"/>
    <w:rsid w:val="378774BF"/>
    <w:rsid w:val="378829CB"/>
    <w:rsid w:val="378B0FFA"/>
    <w:rsid w:val="378B4505"/>
    <w:rsid w:val="378B5484"/>
    <w:rsid w:val="378C0D49"/>
    <w:rsid w:val="378D175D"/>
    <w:rsid w:val="379528F5"/>
    <w:rsid w:val="37961A01"/>
    <w:rsid w:val="3798117D"/>
    <w:rsid w:val="3799164B"/>
    <w:rsid w:val="379A295F"/>
    <w:rsid w:val="379A6FC6"/>
    <w:rsid w:val="379C261B"/>
    <w:rsid w:val="37A0034E"/>
    <w:rsid w:val="37A0218B"/>
    <w:rsid w:val="37A33775"/>
    <w:rsid w:val="37A91CF7"/>
    <w:rsid w:val="37AC5DD0"/>
    <w:rsid w:val="37B3130D"/>
    <w:rsid w:val="37B627C2"/>
    <w:rsid w:val="37B660B4"/>
    <w:rsid w:val="37BB28F1"/>
    <w:rsid w:val="37BF00CA"/>
    <w:rsid w:val="37C21402"/>
    <w:rsid w:val="37C52FEE"/>
    <w:rsid w:val="37C605C9"/>
    <w:rsid w:val="37C74AA5"/>
    <w:rsid w:val="37C92210"/>
    <w:rsid w:val="37CE3E66"/>
    <w:rsid w:val="37D165A5"/>
    <w:rsid w:val="37D32D9B"/>
    <w:rsid w:val="37DB719F"/>
    <w:rsid w:val="37DD61DD"/>
    <w:rsid w:val="37DE0CF3"/>
    <w:rsid w:val="37E12D86"/>
    <w:rsid w:val="37E44366"/>
    <w:rsid w:val="37E816E5"/>
    <w:rsid w:val="37E91B8F"/>
    <w:rsid w:val="37EC4159"/>
    <w:rsid w:val="37ED23C6"/>
    <w:rsid w:val="37ED6FC0"/>
    <w:rsid w:val="37EF59C5"/>
    <w:rsid w:val="37F1264B"/>
    <w:rsid w:val="37F504D1"/>
    <w:rsid w:val="37F702FA"/>
    <w:rsid w:val="38031C18"/>
    <w:rsid w:val="38036FCD"/>
    <w:rsid w:val="38042A7A"/>
    <w:rsid w:val="38054E2F"/>
    <w:rsid w:val="38092D73"/>
    <w:rsid w:val="380B0F3C"/>
    <w:rsid w:val="380E6007"/>
    <w:rsid w:val="381249CF"/>
    <w:rsid w:val="38166509"/>
    <w:rsid w:val="38176BBC"/>
    <w:rsid w:val="381B366E"/>
    <w:rsid w:val="382C50A9"/>
    <w:rsid w:val="382D6FEB"/>
    <w:rsid w:val="38300843"/>
    <w:rsid w:val="38314731"/>
    <w:rsid w:val="3835518A"/>
    <w:rsid w:val="3837369E"/>
    <w:rsid w:val="383A1196"/>
    <w:rsid w:val="383A33CA"/>
    <w:rsid w:val="38427809"/>
    <w:rsid w:val="384A3D8E"/>
    <w:rsid w:val="384A4F93"/>
    <w:rsid w:val="384E6D06"/>
    <w:rsid w:val="384F11BB"/>
    <w:rsid w:val="384F58C3"/>
    <w:rsid w:val="384F6BC7"/>
    <w:rsid w:val="38501772"/>
    <w:rsid w:val="38563049"/>
    <w:rsid w:val="385B4C9E"/>
    <w:rsid w:val="385E0E27"/>
    <w:rsid w:val="385F6345"/>
    <w:rsid w:val="386152D7"/>
    <w:rsid w:val="38643F8D"/>
    <w:rsid w:val="38682C90"/>
    <w:rsid w:val="38684233"/>
    <w:rsid w:val="38687AFC"/>
    <w:rsid w:val="38690377"/>
    <w:rsid w:val="387F5B15"/>
    <w:rsid w:val="388254A3"/>
    <w:rsid w:val="38846923"/>
    <w:rsid w:val="388635DF"/>
    <w:rsid w:val="38907264"/>
    <w:rsid w:val="389361D2"/>
    <w:rsid w:val="389C1CC8"/>
    <w:rsid w:val="38A4416C"/>
    <w:rsid w:val="38A55A26"/>
    <w:rsid w:val="38A80A68"/>
    <w:rsid w:val="38AC1921"/>
    <w:rsid w:val="38AD610D"/>
    <w:rsid w:val="38AE5634"/>
    <w:rsid w:val="38B16D51"/>
    <w:rsid w:val="38B2684B"/>
    <w:rsid w:val="38B43650"/>
    <w:rsid w:val="38B83E34"/>
    <w:rsid w:val="38B94CD0"/>
    <w:rsid w:val="38B973D8"/>
    <w:rsid w:val="38BA524A"/>
    <w:rsid w:val="38C42F2B"/>
    <w:rsid w:val="38C72DFC"/>
    <w:rsid w:val="38C91078"/>
    <w:rsid w:val="38CC749F"/>
    <w:rsid w:val="38CD0623"/>
    <w:rsid w:val="38CD15E2"/>
    <w:rsid w:val="38D06528"/>
    <w:rsid w:val="38D46D31"/>
    <w:rsid w:val="38D86E34"/>
    <w:rsid w:val="38D932F9"/>
    <w:rsid w:val="38E42B00"/>
    <w:rsid w:val="38F0714D"/>
    <w:rsid w:val="38F45122"/>
    <w:rsid w:val="38F45686"/>
    <w:rsid w:val="38F80DFE"/>
    <w:rsid w:val="38FA4616"/>
    <w:rsid w:val="38FE3669"/>
    <w:rsid w:val="3903732F"/>
    <w:rsid w:val="390A2A9A"/>
    <w:rsid w:val="390C4C30"/>
    <w:rsid w:val="391541A1"/>
    <w:rsid w:val="391711B1"/>
    <w:rsid w:val="391819F6"/>
    <w:rsid w:val="391C1789"/>
    <w:rsid w:val="392049FF"/>
    <w:rsid w:val="39207B3B"/>
    <w:rsid w:val="39232BE8"/>
    <w:rsid w:val="39240640"/>
    <w:rsid w:val="392B47F5"/>
    <w:rsid w:val="392F658B"/>
    <w:rsid w:val="393E695A"/>
    <w:rsid w:val="39402AC6"/>
    <w:rsid w:val="394313DD"/>
    <w:rsid w:val="394731EC"/>
    <w:rsid w:val="39480A02"/>
    <w:rsid w:val="39482247"/>
    <w:rsid w:val="39487A1C"/>
    <w:rsid w:val="39487C7F"/>
    <w:rsid w:val="39492A7D"/>
    <w:rsid w:val="394D5EDE"/>
    <w:rsid w:val="394F2871"/>
    <w:rsid w:val="3958511F"/>
    <w:rsid w:val="39594FD5"/>
    <w:rsid w:val="395B28F0"/>
    <w:rsid w:val="395B3C4D"/>
    <w:rsid w:val="395D2DE3"/>
    <w:rsid w:val="39621259"/>
    <w:rsid w:val="396509F4"/>
    <w:rsid w:val="396C01BC"/>
    <w:rsid w:val="396C6775"/>
    <w:rsid w:val="396D7B94"/>
    <w:rsid w:val="396E2CEE"/>
    <w:rsid w:val="396E4333"/>
    <w:rsid w:val="39752066"/>
    <w:rsid w:val="397F73D4"/>
    <w:rsid w:val="398073E8"/>
    <w:rsid w:val="39816AEE"/>
    <w:rsid w:val="3984529F"/>
    <w:rsid w:val="39905BA1"/>
    <w:rsid w:val="39954BF4"/>
    <w:rsid w:val="39977A1A"/>
    <w:rsid w:val="39982D08"/>
    <w:rsid w:val="39B34E64"/>
    <w:rsid w:val="39B9395D"/>
    <w:rsid w:val="39B968A6"/>
    <w:rsid w:val="39C05C3E"/>
    <w:rsid w:val="39C06F43"/>
    <w:rsid w:val="39C11FCF"/>
    <w:rsid w:val="39C465F1"/>
    <w:rsid w:val="39C566BF"/>
    <w:rsid w:val="39C62240"/>
    <w:rsid w:val="39D32CCE"/>
    <w:rsid w:val="39D36A79"/>
    <w:rsid w:val="39DA0787"/>
    <w:rsid w:val="39DA2EA3"/>
    <w:rsid w:val="39DA2EDB"/>
    <w:rsid w:val="39DF2212"/>
    <w:rsid w:val="39E16FD1"/>
    <w:rsid w:val="39E97751"/>
    <w:rsid w:val="39F02310"/>
    <w:rsid w:val="39F60F6B"/>
    <w:rsid w:val="39F84E37"/>
    <w:rsid w:val="39F939D9"/>
    <w:rsid w:val="39FA0881"/>
    <w:rsid w:val="39FC523F"/>
    <w:rsid w:val="39FF5DE7"/>
    <w:rsid w:val="3A0122A2"/>
    <w:rsid w:val="3A0537A5"/>
    <w:rsid w:val="3A0608CB"/>
    <w:rsid w:val="3A080775"/>
    <w:rsid w:val="3A0A3682"/>
    <w:rsid w:val="3A0B291E"/>
    <w:rsid w:val="3A0E592E"/>
    <w:rsid w:val="3A163409"/>
    <w:rsid w:val="3A1759D8"/>
    <w:rsid w:val="3A18290D"/>
    <w:rsid w:val="3A193532"/>
    <w:rsid w:val="3A265591"/>
    <w:rsid w:val="3A2707EA"/>
    <w:rsid w:val="3A324B54"/>
    <w:rsid w:val="3A340400"/>
    <w:rsid w:val="3A353D38"/>
    <w:rsid w:val="3A367288"/>
    <w:rsid w:val="3A40659A"/>
    <w:rsid w:val="3A42180D"/>
    <w:rsid w:val="3A4469F9"/>
    <w:rsid w:val="3A460D13"/>
    <w:rsid w:val="3A4D201D"/>
    <w:rsid w:val="3A4F034E"/>
    <w:rsid w:val="3A4F5B9F"/>
    <w:rsid w:val="3A50171A"/>
    <w:rsid w:val="3A513583"/>
    <w:rsid w:val="3A543302"/>
    <w:rsid w:val="3A546010"/>
    <w:rsid w:val="3A563B15"/>
    <w:rsid w:val="3A580224"/>
    <w:rsid w:val="3A586AAB"/>
    <w:rsid w:val="3A5870D3"/>
    <w:rsid w:val="3A5B3E42"/>
    <w:rsid w:val="3A5B78CA"/>
    <w:rsid w:val="3A5E08BD"/>
    <w:rsid w:val="3A5E27D4"/>
    <w:rsid w:val="3A6A4D9E"/>
    <w:rsid w:val="3A6A5054"/>
    <w:rsid w:val="3A6E480E"/>
    <w:rsid w:val="3A74559F"/>
    <w:rsid w:val="3A747A86"/>
    <w:rsid w:val="3A752CFF"/>
    <w:rsid w:val="3A7568CA"/>
    <w:rsid w:val="3A792500"/>
    <w:rsid w:val="3A801420"/>
    <w:rsid w:val="3A815C45"/>
    <w:rsid w:val="3A82060F"/>
    <w:rsid w:val="3A826EE4"/>
    <w:rsid w:val="3A876B0B"/>
    <w:rsid w:val="3A88777A"/>
    <w:rsid w:val="3A8C3AC7"/>
    <w:rsid w:val="3A8E485B"/>
    <w:rsid w:val="3A9A49CA"/>
    <w:rsid w:val="3A9E26D3"/>
    <w:rsid w:val="3A9E4513"/>
    <w:rsid w:val="3AA1607B"/>
    <w:rsid w:val="3AA22A26"/>
    <w:rsid w:val="3AA23AFF"/>
    <w:rsid w:val="3AA401C8"/>
    <w:rsid w:val="3AA81816"/>
    <w:rsid w:val="3AAA46DC"/>
    <w:rsid w:val="3AAE11F0"/>
    <w:rsid w:val="3AB02C7D"/>
    <w:rsid w:val="3AB61C80"/>
    <w:rsid w:val="3AB82803"/>
    <w:rsid w:val="3AB90540"/>
    <w:rsid w:val="3ABD5815"/>
    <w:rsid w:val="3AC163AE"/>
    <w:rsid w:val="3AC30937"/>
    <w:rsid w:val="3AC349E1"/>
    <w:rsid w:val="3AC45C17"/>
    <w:rsid w:val="3AC5176A"/>
    <w:rsid w:val="3AC55D3F"/>
    <w:rsid w:val="3AC65EB6"/>
    <w:rsid w:val="3AC76637"/>
    <w:rsid w:val="3AC76C97"/>
    <w:rsid w:val="3ACB4379"/>
    <w:rsid w:val="3ACF0D33"/>
    <w:rsid w:val="3AD06E7B"/>
    <w:rsid w:val="3AD21571"/>
    <w:rsid w:val="3AD5259B"/>
    <w:rsid w:val="3AD64E8F"/>
    <w:rsid w:val="3AD7378E"/>
    <w:rsid w:val="3AE1139C"/>
    <w:rsid w:val="3AEE554E"/>
    <w:rsid w:val="3AF02725"/>
    <w:rsid w:val="3AF74697"/>
    <w:rsid w:val="3AF74F0F"/>
    <w:rsid w:val="3AF930B4"/>
    <w:rsid w:val="3AFC66DF"/>
    <w:rsid w:val="3AFD1F92"/>
    <w:rsid w:val="3AFD2FFE"/>
    <w:rsid w:val="3B007A41"/>
    <w:rsid w:val="3B026B2E"/>
    <w:rsid w:val="3B066F2B"/>
    <w:rsid w:val="3B08110C"/>
    <w:rsid w:val="3B106A36"/>
    <w:rsid w:val="3B1136CB"/>
    <w:rsid w:val="3B2121F2"/>
    <w:rsid w:val="3B28620C"/>
    <w:rsid w:val="3B2A7D12"/>
    <w:rsid w:val="3B2F4E4F"/>
    <w:rsid w:val="3B33485B"/>
    <w:rsid w:val="3B344C31"/>
    <w:rsid w:val="3B3B283E"/>
    <w:rsid w:val="3B3E3747"/>
    <w:rsid w:val="3B4865A7"/>
    <w:rsid w:val="3B4942B3"/>
    <w:rsid w:val="3B4B699C"/>
    <w:rsid w:val="3B520011"/>
    <w:rsid w:val="3B5709D4"/>
    <w:rsid w:val="3B577496"/>
    <w:rsid w:val="3B5B7808"/>
    <w:rsid w:val="3B5C40F8"/>
    <w:rsid w:val="3B5E3F13"/>
    <w:rsid w:val="3B6010B8"/>
    <w:rsid w:val="3B6B6CD3"/>
    <w:rsid w:val="3B6C41FA"/>
    <w:rsid w:val="3B6E166D"/>
    <w:rsid w:val="3B781410"/>
    <w:rsid w:val="3B7C4879"/>
    <w:rsid w:val="3B7D2287"/>
    <w:rsid w:val="3B7E3904"/>
    <w:rsid w:val="3B8550E0"/>
    <w:rsid w:val="3B893ADD"/>
    <w:rsid w:val="3B8F4CD1"/>
    <w:rsid w:val="3B8F4E66"/>
    <w:rsid w:val="3B90613F"/>
    <w:rsid w:val="3B925E9F"/>
    <w:rsid w:val="3B965DD1"/>
    <w:rsid w:val="3B9668DA"/>
    <w:rsid w:val="3B972A8A"/>
    <w:rsid w:val="3B9763C4"/>
    <w:rsid w:val="3B9B6026"/>
    <w:rsid w:val="3B9D2CBC"/>
    <w:rsid w:val="3B9D44B8"/>
    <w:rsid w:val="3B9E33E4"/>
    <w:rsid w:val="3BA240B2"/>
    <w:rsid w:val="3BA83D48"/>
    <w:rsid w:val="3BAB2CFD"/>
    <w:rsid w:val="3BAF7E4B"/>
    <w:rsid w:val="3BB31772"/>
    <w:rsid w:val="3BBB5C66"/>
    <w:rsid w:val="3BBC125C"/>
    <w:rsid w:val="3BC35102"/>
    <w:rsid w:val="3BCB403D"/>
    <w:rsid w:val="3BD0676F"/>
    <w:rsid w:val="3BD14609"/>
    <w:rsid w:val="3BD343B9"/>
    <w:rsid w:val="3BD35858"/>
    <w:rsid w:val="3BDC7860"/>
    <w:rsid w:val="3BDD7F62"/>
    <w:rsid w:val="3BE1379B"/>
    <w:rsid w:val="3BE23350"/>
    <w:rsid w:val="3BE268EB"/>
    <w:rsid w:val="3BE362BD"/>
    <w:rsid w:val="3BE45089"/>
    <w:rsid w:val="3BE536AB"/>
    <w:rsid w:val="3BE6614B"/>
    <w:rsid w:val="3BE946D6"/>
    <w:rsid w:val="3BED7E16"/>
    <w:rsid w:val="3BF167EB"/>
    <w:rsid w:val="3BF20A7C"/>
    <w:rsid w:val="3BF23AC6"/>
    <w:rsid w:val="3BF24BBD"/>
    <w:rsid w:val="3BF2522E"/>
    <w:rsid w:val="3BF350D8"/>
    <w:rsid w:val="3BF35164"/>
    <w:rsid w:val="3BF846CB"/>
    <w:rsid w:val="3BFA4174"/>
    <w:rsid w:val="3BFC5B34"/>
    <w:rsid w:val="3BFD1926"/>
    <w:rsid w:val="3C002D94"/>
    <w:rsid w:val="3C015846"/>
    <w:rsid w:val="3C065E3D"/>
    <w:rsid w:val="3C0857B1"/>
    <w:rsid w:val="3C091FF0"/>
    <w:rsid w:val="3C0D6EEF"/>
    <w:rsid w:val="3C0E106B"/>
    <w:rsid w:val="3C11282D"/>
    <w:rsid w:val="3C167FF5"/>
    <w:rsid w:val="3C1B330A"/>
    <w:rsid w:val="3C21306D"/>
    <w:rsid w:val="3C214850"/>
    <w:rsid w:val="3C253811"/>
    <w:rsid w:val="3C262C80"/>
    <w:rsid w:val="3C2772AF"/>
    <w:rsid w:val="3C2E04A9"/>
    <w:rsid w:val="3C2F6282"/>
    <w:rsid w:val="3C3134C0"/>
    <w:rsid w:val="3C3234A3"/>
    <w:rsid w:val="3C32756A"/>
    <w:rsid w:val="3C337547"/>
    <w:rsid w:val="3C350428"/>
    <w:rsid w:val="3C35733F"/>
    <w:rsid w:val="3C393028"/>
    <w:rsid w:val="3C3C5DEF"/>
    <w:rsid w:val="3C4147C7"/>
    <w:rsid w:val="3C4241B1"/>
    <w:rsid w:val="3C456BD5"/>
    <w:rsid w:val="3C465D13"/>
    <w:rsid w:val="3C490938"/>
    <w:rsid w:val="3C495689"/>
    <w:rsid w:val="3C4A38AC"/>
    <w:rsid w:val="3C4C4ECF"/>
    <w:rsid w:val="3C4E69E4"/>
    <w:rsid w:val="3C503FE3"/>
    <w:rsid w:val="3C564211"/>
    <w:rsid w:val="3C5759AF"/>
    <w:rsid w:val="3C591086"/>
    <w:rsid w:val="3C5E5C05"/>
    <w:rsid w:val="3C5F04E3"/>
    <w:rsid w:val="3C6403EF"/>
    <w:rsid w:val="3C677A16"/>
    <w:rsid w:val="3C6855B2"/>
    <w:rsid w:val="3C6B4F37"/>
    <w:rsid w:val="3C6C0BC1"/>
    <w:rsid w:val="3C6C1A56"/>
    <w:rsid w:val="3C6C6A66"/>
    <w:rsid w:val="3C7042E9"/>
    <w:rsid w:val="3C7729E5"/>
    <w:rsid w:val="3C796765"/>
    <w:rsid w:val="3C7B7DFD"/>
    <w:rsid w:val="3C7D3638"/>
    <w:rsid w:val="3C7D5AAE"/>
    <w:rsid w:val="3C7E7FFD"/>
    <w:rsid w:val="3C83510D"/>
    <w:rsid w:val="3C875AEC"/>
    <w:rsid w:val="3C8B2460"/>
    <w:rsid w:val="3C8C1855"/>
    <w:rsid w:val="3C946E23"/>
    <w:rsid w:val="3C9B169C"/>
    <w:rsid w:val="3C9C59DC"/>
    <w:rsid w:val="3CA246FA"/>
    <w:rsid w:val="3CA36684"/>
    <w:rsid w:val="3CA474FE"/>
    <w:rsid w:val="3CA81362"/>
    <w:rsid w:val="3CAC6BAB"/>
    <w:rsid w:val="3CB17336"/>
    <w:rsid w:val="3CB24487"/>
    <w:rsid w:val="3CB27E9C"/>
    <w:rsid w:val="3CB43463"/>
    <w:rsid w:val="3CC2398A"/>
    <w:rsid w:val="3CC24115"/>
    <w:rsid w:val="3CC37EBA"/>
    <w:rsid w:val="3CC517DE"/>
    <w:rsid w:val="3CC6466E"/>
    <w:rsid w:val="3CCA26A0"/>
    <w:rsid w:val="3CCB5B9C"/>
    <w:rsid w:val="3CCD41D5"/>
    <w:rsid w:val="3CCD66C7"/>
    <w:rsid w:val="3CCF15C2"/>
    <w:rsid w:val="3CD1284D"/>
    <w:rsid w:val="3CD42CF8"/>
    <w:rsid w:val="3CD85AAB"/>
    <w:rsid w:val="3CD87820"/>
    <w:rsid w:val="3CE43926"/>
    <w:rsid w:val="3CE80299"/>
    <w:rsid w:val="3CE8253C"/>
    <w:rsid w:val="3CED1621"/>
    <w:rsid w:val="3CF3429A"/>
    <w:rsid w:val="3CF36BD4"/>
    <w:rsid w:val="3CF44CF4"/>
    <w:rsid w:val="3CF572C4"/>
    <w:rsid w:val="3CF63512"/>
    <w:rsid w:val="3CFC782A"/>
    <w:rsid w:val="3D004AFB"/>
    <w:rsid w:val="3D031509"/>
    <w:rsid w:val="3D073A65"/>
    <w:rsid w:val="3D0A237A"/>
    <w:rsid w:val="3D1166BE"/>
    <w:rsid w:val="3D145D1C"/>
    <w:rsid w:val="3D156654"/>
    <w:rsid w:val="3D1A7D8E"/>
    <w:rsid w:val="3D1E1D71"/>
    <w:rsid w:val="3D1F1EB5"/>
    <w:rsid w:val="3D201F27"/>
    <w:rsid w:val="3D20500D"/>
    <w:rsid w:val="3D274132"/>
    <w:rsid w:val="3D2F7A47"/>
    <w:rsid w:val="3D326B0D"/>
    <w:rsid w:val="3D3917CE"/>
    <w:rsid w:val="3D3A6402"/>
    <w:rsid w:val="3D432CF2"/>
    <w:rsid w:val="3D477BFF"/>
    <w:rsid w:val="3D4931B4"/>
    <w:rsid w:val="3D4A25A8"/>
    <w:rsid w:val="3D4C0CB3"/>
    <w:rsid w:val="3D4C7505"/>
    <w:rsid w:val="3D501518"/>
    <w:rsid w:val="3D5819ED"/>
    <w:rsid w:val="3D5A45B5"/>
    <w:rsid w:val="3D5F2C8D"/>
    <w:rsid w:val="3D672ECE"/>
    <w:rsid w:val="3D6B2127"/>
    <w:rsid w:val="3D6D7682"/>
    <w:rsid w:val="3D6E53CC"/>
    <w:rsid w:val="3D770472"/>
    <w:rsid w:val="3D7A7017"/>
    <w:rsid w:val="3D7B7E06"/>
    <w:rsid w:val="3D7C2E30"/>
    <w:rsid w:val="3D824090"/>
    <w:rsid w:val="3D831595"/>
    <w:rsid w:val="3D831B27"/>
    <w:rsid w:val="3D8A0366"/>
    <w:rsid w:val="3D8B65DD"/>
    <w:rsid w:val="3D8D04DD"/>
    <w:rsid w:val="3D8D1047"/>
    <w:rsid w:val="3D8E4AE8"/>
    <w:rsid w:val="3D931E20"/>
    <w:rsid w:val="3D980406"/>
    <w:rsid w:val="3DA22D13"/>
    <w:rsid w:val="3DA348C1"/>
    <w:rsid w:val="3DA37DAA"/>
    <w:rsid w:val="3DA6132A"/>
    <w:rsid w:val="3DA66C7D"/>
    <w:rsid w:val="3DA74139"/>
    <w:rsid w:val="3DA74971"/>
    <w:rsid w:val="3DA93929"/>
    <w:rsid w:val="3DAA538E"/>
    <w:rsid w:val="3DAB5F7B"/>
    <w:rsid w:val="3DB816E4"/>
    <w:rsid w:val="3DB9149A"/>
    <w:rsid w:val="3DBA73F0"/>
    <w:rsid w:val="3DBD16DF"/>
    <w:rsid w:val="3DC14893"/>
    <w:rsid w:val="3DC15BD6"/>
    <w:rsid w:val="3DC26761"/>
    <w:rsid w:val="3DC37EFE"/>
    <w:rsid w:val="3DC473C4"/>
    <w:rsid w:val="3DD57F7B"/>
    <w:rsid w:val="3DD8506F"/>
    <w:rsid w:val="3DD9326A"/>
    <w:rsid w:val="3DD97449"/>
    <w:rsid w:val="3DE3271B"/>
    <w:rsid w:val="3DE41084"/>
    <w:rsid w:val="3DE71AAC"/>
    <w:rsid w:val="3DE71EA3"/>
    <w:rsid w:val="3DF711E4"/>
    <w:rsid w:val="3DF80D1C"/>
    <w:rsid w:val="3DF943D5"/>
    <w:rsid w:val="3DFF0453"/>
    <w:rsid w:val="3E002504"/>
    <w:rsid w:val="3E031777"/>
    <w:rsid w:val="3E044840"/>
    <w:rsid w:val="3E052F72"/>
    <w:rsid w:val="3E0725E5"/>
    <w:rsid w:val="3E07708C"/>
    <w:rsid w:val="3E0A1DD3"/>
    <w:rsid w:val="3E0A23E4"/>
    <w:rsid w:val="3E0B1EFC"/>
    <w:rsid w:val="3E0B69C5"/>
    <w:rsid w:val="3E0E2B04"/>
    <w:rsid w:val="3E0F1B24"/>
    <w:rsid w:val="3E104990"/>
    <w:rsid w:val="3E112827"/>
    <w:rsid w:val="3E134FB7"/>
    <w:rsid w:val="3E160DE2"/>
    <w:rsid w:val="3E204F4C"/>
    <w:rsid w:val="3E2359A6"/>
    <w:rsid w:val="3E2D4D5A"/>
    <w:rsid w:val="3E2D5FCA"/>
    <w:rsid w:val="3E2E23C4"/>
    <w:rsid w:val="3E2E2719"/>
    <w:rsid w:val="3E31168B"/>
    <w:rsid w:val="3E3244D4"/>
    <w:rsid w:val="3E346382"/>
    <w:rsid w:val="3E3A5FDA"/>
    <w:rsid w:val="3E405DF9"/>
    <w:rsid w:val="3E414022"/>
    <w:rsid w:val="3E4649D4"/>
    <w:rsid w:val="3E486FC1"/>
    <w:rsid w:val="3E494130"/>
    <w:rsid w:val="3E4E09AC"/>
    <w:rsid w:val="3E4F76CF"/>
    <w:rsid w:val="3E505E29"/>
    <w:rsid w:val="3E560E6E"/>
    <w:rsid w:val="3E575B53"/>
    <w:rsid w:val="3E581707"/>
    <w:rsid w:val="3E586C9C"/>
    <w:rsid w:val="3E5A449B"/>
    <w:rsid w:val="3E5D7932"/>
    <w:rsid w:val="3E5E4090"/>
    <w:rsid w:val="3E624CF3"/>
    <w:rsid w:val="3E647322"/>
    <w:rsid w:val="3E6516D1"/>
    <w:rsid w:val="3E672566"/>
    <w:rsid w:val="3E6A733E"/>
    <w:rsid w:val="3E7B6EAE"/>
    <w:rsid w:val="3E804195"/>
    <w:rsid w:val="3E846B2C"/>
    <w:rsid w:val="3E896B76"/>
    <w:rsid w:val="3E897F9F"/>
    <w:rsid w:val="3E8A212B"/>
    <w:rsid w:val="3E8B3A8A"/>
    <w:rsid w:val="3E8B61FB"/>
    <w:rsid w:val="3E8C0AC1"/>
    <w:rsid w:val="3E900C30"/>
    <w:rsid w:val="3E904AA7"/>
    <w:rsid w:val="3E971758"/>
    <w:rsid w:val="3E9830A3"/>
    <w:rsid w:val="3E994FE3"/>
    <w:rsid w:val="3E9B6069"/>
    <w:rsid w:val="3EA37CDC"/>
    <w:rsid w:val="3EAB3280"/>
    <w:rsid w:val="3EAC6D5B"/>
    <w:rsid w:val="3EAF666B"/>
    <w:rsid w:val="3EB44C25"/>
    <w:rsid w:val="3EB47114"/>
    <w:rsid w:val="3EB82B24"/>
    <w:rsid w:val="3EB8313B"/>
    <w:rsid w:val="3EBE546B"/>
    <w:rsid w:val="3EC1079D"/>
    <w:rsid w:val="3EC15266"/>
    <w:rsid w:val="3EC27D9C"/>
    <w:rsid w:val="3ECD68A4"/>
    <w:rsid w:val="3ED25E4C"/>
    <w:rsid w:val="3ED5032E"/>
    <w:rsid w:val="3ED56232"/>
    <w:rsid w:val="3EDA47EE"/>
    <w:rsid w:val="3EE14920"/>
    <w:rsid w:val="3EE805F8"/>
    <w:rsid w:val="3EF2457D"/>
    <w:rsid w:val="3EF24E45"/>
    <w:rsid w:val="3EF635AE"/>
    <w:rsid w:val="3EFC5351"/>
    <w:rsid w:val="3F035016"/>
    <w:rsid w:val="3F0A4F22"/>
    <w:rsid w:val="3F111390"/>
    <w:rsid w:val="3F1347FE"/>
    <w:rsid w:val="3F1713FB"/>
    <w:rsid w:val="3F1B0FB5"/>
    <w:rsid w:val="3F1E2227"/>
    <w:rsid w:val="3F1E3AC0"/>
    <w:rsid w:val="3F1F0BDE"/>
    <w:rsid w:val="3F2018BA"/>
    <w:rsid w:val="3F2051E0"/>
    <w:rsid w:val="3F2203C2"/>
    <w:rsid w:val="3F263E0F"/>
    <w:rsid w:val="3F2F6515"/>
    <w:rsid w:val="3F353F46"/>
    <w:rsid w:val="3F3674AA"/>
    <w:rsid w:val="3F39585D"/>
    <w:rsid w:val="3F3C20E0"/>
    <w:rsid w:val="3F416DDC"/>
    <w:rsid w:val="3F440B56"/>
    <w:rsid w:val="3F461B5D"/>
    <w:rsid w:val="3F4D3068"/>
    <w:rsid w:val="3F522217"/>
    <w:rsid w:val="3F545A45"/>
    <w:rsid w:val="3F562448"/>
    <w:rsid w:val="3F570B35"/>
    <w:rsid w:val="3F585552"/>
    <w:rsid w:val="3F5D048D"/>
    <w:rsid w:val="3F5F6E8F"/>
    <w:rsid w:val="3F677369"/>
    <w:rsid w:val="3F6A34EE"/>
    <w:rsid w:val="3F6B7FF0"/>
    <w:rsid w:val="3F724181"/>
    <w:rsid w:val="3F753AF3"/>
    <w:rsid w:val="3F7767A9"/>
    <w:rsid w:val="3F783D57"/>
    <w:rsid w:val="3F7916EC"/>
    <w:rsid w:val="3F7A4055"/>
    <w:rsid w:val="3F800CC8"/>
    <w:rsid w:val="3F80600F"/>
    <w:rsid w:val="3F8342B8"/>
    <w:rsid w:val="3F8500BB"/>
    <w:rsid w:val="3F8504BA"/>
    <w:rsid w:val="3F851AD9"/>
    <w:rsid w:val="3F871CD5"/>
    <w:rsid w:val="3F8B1E2F"/>
    <w:rsid w:val="3F8B6E56"/>
    <w:rsid w:val="3F9404DB"/>
    <w:rsid w:val="3F965859"/>
    <w:rsid w:val="3F9E2A1A"/>
    <w:rsid w:val="3F9F4497"/>
    <w:rsid w:val="3F9F517A"/>
    <w:rsid w:val="3FA5496D"/>
    <w:rsid w:val="3FA73EE9"/>
    <w:rsid w:val="3FA74F1D"/>
    <w:rsid w:val="3FAC7751"/>
    <w:rsid w:val="3FB60EAC"/>
    <w:rsid w:val="3FB728DB"/>
    <w:rsid w:val="3FB84237"/>
    <w:rsid w:val="3FBA3314"/>
    <w:rsid w:val="3FBD3872"/>
    <w:rsid w:val="3FBE2DD2"/>
    <w:rsid w:val="3FC87CC0"/>
    <w:rsid w:val="3FC92B62"/>
    <w:rsid w:val="3FD33D6D"/>
    <w:rsid w:val="3FD4442F"/>
    <w:rsid w:val="3FD6008E"/>
    <w:rsid w:val="3FD91AAB"/>
    <w:rsid w:val="3FD92AF3"/>
    <w:rsid w:val="3FDA78B3"/>
    <w:rsid w:val="3FDB7D9F"/>
    <w:rsid w:val="3FDD1369"/>
    <w:rsid w:val="3FDE03D1"/>
    <w:rsid w:val="3FE529AD"/>
    <w:rsid w:val="3FE57B04"/>
    <w:rsid w:val="3FEF0612"/>
    <w:rsid w:val="3FF65762"/>
    <w:rsid w:val="3FF74658"/>
    <w:rsid w:val="3FF75CFF"/>
    <w:rsid w:val="3FF97702"/>
    <w:rsid w:val="3FFB25D0"/>
    <w:rsid w:val="3FFB2771"/>
    <w:rsid w:val="3FFB5ED7"/>
    <w:rsid w:val="3FFE2746"/>
    <w:rsid w:val="400474FD"/>
    <w:rsid w:val="400574C7"/>
    <w:rsid w:val="400619FC"/>
    <w:rsid w:val="40080A4B"/>
    <w:rsid w:val="40085CBD"/>
    <w:rsid w:val="400B15E3"/>
    <w:rsid w:val="400F439F"/>
    <w:rsid w:val="400F7C18"/>
    <w:rsid w:val="4012512F"/>
    <w:rsid w:val="4013173B"/>
    <w:rsid w:val="401324BB"/>
    <w:rsid w:val="40141D9D"/>
    <w:rsid w:val="40144975"/>
    <w:rsid w:val="40175D7A"/>
    <w:rsid w:val="40190238"/>
    <w:rsid w:val="401A6C6C"/>
    <w:rsid w:val="402D5E6E"/>
    <w:rsid w:val="4032533B"/>
    <w:rsid w:val="40377A1E"/>
    <w:rsid w:val="40412E98"/>
    <w:rsid w:val="40444AB8"/>
    <w:rsid w:val="40445781"/>
    <w:rsid w:val="40453BD6"/>
    <w:rsid w:val="4049786E"/>
    <w:rsid w:val="404E5B6B"/>
    <w:rsid w:val="405248FD"/>
    <w:rsid w:val="40551C26"/>
    <w:rsid w:val="405F07DA"/>
    <w:rsid w:val="40621C1B"/>
    <w:rsid w:val="40637E12"/>
    <w:rsid w:val="406B6BA1"/>
    <w:rsid w:val="406E4A92"/>
    <w:rsid w:val="40705E38"/>
    <w:rsid w:val="4079126C"/>
    <w:rsid w:val="407B125F"/>
    <w:rsid w:val="407B4B3C"/>
    <w:rsid w:val="40822646"/>
    <w:rsid w:val="40843576"/>
    <w:rsid w:val="40893E9D"/>
    <w:rsid w:val="40900E6E"/>
    <w:rsid w:val="409905E0"/>
    <w:rsid w:val="4099659A"/>
    <w:rsid w:val="409E4214"/>
    <w:rsid w:val="40A000B5"/>
    <w:rsid w:val="40A44EEF"/>
    <w:rsid w:val="40AA0F11"/>
    <w:rsid w:val="40AE78B0"/>
    <w:rsid w:val="40B61D6C"/>
    <w:rsid w:val="40B76970"/>
    <w:rsid w:val="40B87AD0"/>
    <w:rsid w:val="40C13DEE"/>
    <w:rsid w:val="40C504F3"/>
    <w:rsid w:val="40C76416"/>
    <w:rsid w:val="40CF48E2"/>
    <w:rsid w:val="40D324B8"/>
    <w:rsid w:val="40D37500"/>
    <w:rsid w:val="40D54511"/>
    <w:rsid w:val="40D60599"/>
    <w:rsid w:val="40D67D3E"/>
    <w:rsid w:val="40D81B49"/>
    <w:rsid w:val="40DB3AF1"/>
    <w:rsid w:val="40DE01A3"/>
    <w:rsid w:val="40DF1A59"/>
    <w:rsid w:val="40E2005D"/>
    <w:rsid w:val="40E26FC5"/>
    <w:rsid w:val="40E456C7"/>
    <w:rsid w:val="40E828ED"/>
    <w:rsid w:val="40E9121F"/>
    <w:rsid w:val="40E924F1"/>
    <w:rsid w:val="40EB03A2"/>
    <w:rsid w:val="40EF4E37"/>
    <w:rsid w:val="40FB6189"/>
    <w:rsid w:val="410029C3"/>
    <w:rsid w:val="41010BD8"/>
    <w:rsid w:val="41012132"/>
    <w:rsid w:val="410209FE"/>
    <w:rsid w:val="41053962"/>
    <w:rsid w:val="41075935"/>
    <w:rsid w:val="41080422"/>
    <w:rsid w:val="4109000F"/>
    <w:rsid w:val="41096EF3"/>
    <w:rsid w:val="410A0FA0"/>
    <w:rsid w:val="410C553C"/>
    <w:rsid w:val="41197CE8"/>
    <w:rsid w:val="411B4087"/>
    <w:rsid w:val="411E4143"/>
    <w:rsid w:val="411E6A44"/>
    <w:rsid w:val="411F02DE"/>
    <w:rsid w:val="411F7078"/>
    <w:rsid w:val="41222487"/>
    <w:rsid w:val="41256BF0"/>
    <w:rsid w:val="41265194"/>
    <w:rsid w:val="412C12BE"/>
    <w:rsid w:val="41302692"/>
    <w:rsid w:val="41357C43"/>
    <w:rsid w:val="413B4289"/>
    <w:rsid w:val="414557F2"/>
    <w:rsid w:val="41466D60"/>
    <w:rsid w:val="414D4BC6"/>
    <w:rsid w:val="414D6ACB"/>
    <w:rsid w:val="414D7DCF"/>
    <w:rsid w:val="414E52D6"/>
    <w:rsid w:val="41510D3F"/>
    <w:rsid w:val="41523EDC"/>
    <w:rsid w:val="41541DE5"/>
    <w:rsid w:val="415C3C6C"/>
    <w:rsid w:val="415D023B"/>
    <w:rsid w:val="415D0AE7"/>
    <w:rsid w:val="415D1CD2"/>
    <w:rsid w:val="41612554"/>
    <w:rsid w:val="4162631B"/>
    <w:rsid w:val="416F605B"/>
    <w:rsid w:val="416F61CE"/>
    <w:rsid w:val="41707BDC"/>
    <w:rsid w:val="4171300C"/>
    <w:rsid w:val="41721203"/>
    <w:rsid w:val="41756554"/>
    <w:rsid w:val="417626BD"/>
    <w:rsid w:val="41765E72"/>
    <w:rsid w:val="41786FA2"/>
    <w:rsid w:val="417966C3"/>
    <w:rsid w:val="417A012C"/>
    <w:rsid w:val="417C0409"/>
    <w:rsid w:val="417D232C"/>
    <w:rsid w:val="417E09B1"/>
    <w:rsid w:val="417E795E"/>
    <w:rsid w:val="418033B7"/>
    <w:rsid w:val="4189248B"/>
    <w:rsid w:val="41915B7E"/>
    <w:rsid w:val="41933014"/>
    <w:rsid w:val="41950EAE"/>
    <w:rsid w:val="41973300"/>
    <w:rsid w:val="419779DE"/>
    <w:rsid w:val="419852B1"/>
    <w:rsid w:val="4199759D"/>
    <w:rsid w:val="419A2D18"/>
    <w:rsid w:val="419C7B4C"/>
    <w:rsid w:val="419D4192"/>
    <w:rsid w:val="419E1F9D"/>
    <w:rsid w:val="419E6208"/>
    <w:rsid w:val="41A417F2"/>
    <w:rsid w:val="41A4245C"/>
    <w:rsid w:val="41AC1990"/>
    <w:rsid w:val="41AD09AA"/>
    <w:rsid w:val="41B51651"/>
    <w:rsid w:val="41B54853"/>
    <w:rsid w:val="41B92A26"/>
    <w:rsid w:val="41BA24BF"/>
    <w:rsid w:val="41BB5BCD"/>
    <w:rsid w:val="41BB7DA9"/>
    <w:rsid w:val="41C047DF"/>
    <w:rsid w:val="41C13294"/>
    <w:rsid w:val="41C33B2C"/>
    <w:rsid w:val="41C47BC0"/>
    <w:rsid w:val="41C50243"/>
    <w:rsid w:val="41C74882"/>
    <w:rsid w:val="41CB363F"/>
    <w:rsid w:val="41CC153A"/>
    <w:rsid w:val="41D06CB9"/>
    <w:rsid w:val="41D663E4"/>
    <w:rsid w:val="41D7352B"/>
    <w:rsid w:val="41D76737"/>
    <w:rsid w:val="41D83E63"/>
    <w:rsid w:val="41DC72A5"/>
    <w:rsid w:val="41E31A8D"/>
    <w:rsid w:val="41E36A85"/>
    <w:rsid w:val="41E734D8"/>
    <w:rsid w:val="41EE31D4"/>
    <w:rsid w:val="41EE57DD"/>
    <w:rsid w:val="41EF4E8E"/>
    <w:rsid w:val="41FA5374"/>
    <w:rsid w:val="41FA69CA"/>
    <w:rsid w:val="41FB7F87"/>
    <w:rsid w:val="41FF2CAB"/>
    <w:rsid w:val="42002F47"/>
    <w:rsid w:val="42033F5A"/>
    <w:rsid w:val="420B331E"/>
    <w:rsid w:val="420C1B9B"/>
    <w:rsid w:val="420D045E"/>
    <w:rsid w:val="420F5F01"/>
    <w:rsid w:val="421B1D7D"/>
    <w:rsid w:val="421B563C"/>
    <w:rsid w:val="421C3659"/>
    <w:rsid w:val="422161BA"/>
    <w:rsid w:val="4223413B"/>
    <w:rsid w:val="42253D2A"/>
    <w:rsid w:val="42255404"/>
    <w:rsid w:val="42285649"/>
    <w:rsid w:val="422A48DB"/>
    <w:rsid w:val="422D1723"/>
    <w:rsid w:val="42306754"/>
    <w:rsid w:val="4231509A"/>
    <w:rsid w:val="42371412"/>
    <w:rsid w:val="42384FE5"/>
    <w:rsid w:val="423874E0"/>
    <w:rsid w:val="423B5FDB"/>
    <w:rsid w:val="4242767A"/>
    <w:rsid w:val="4246165B"/>
    <w:rsid w:val="4247690A"/>
    <w:rsid w:val="424828EF"/>
    <w:rsid w:val="42492DAD"/>
    <w:rsid w:val="424A7468"/>
    <w:rsid w:val="424E238F"/>
    <w:rsid w:val="424F43E7"/>
    <w:rsid w:val="42515665"/>
    <w:rsid w:val="42532A54"/>
    <w:rsid w:val="425465F6"/>
    <w:rsid w:val="42572CB5"/>
    <w:rsid w:val="42576B5F"/>
    <w:rsid w:val="425B5E1D"/>
    <w:rsid w:val="425C5341"/>
    <w:rsid w:val="425C60F5"/>
    <w:rsid w:val="426703C1"/>
    <w:rsid w:val="42684D28"/>
    <w:rsid w:val="426930A6"/>
    <w:rsid w:val="426A29F1"/>
    <w:rsid w:val="427817C0"/>
    <w:rsid w:val="427C5CB0"/>
    <w:rsid w:val="427D6E52"/>
    <w:rsid w:val="427F70B4"/>
    <w:rsid w:val="428D5484"/>
    <w:rsid w:val="429211B7"/>
    <w:rsid w:val="42923E0B"/>
    <w:rsid w:val="42926016"/>
    <w:rsid w:val="42974307"/>
    <w:rsid w:val="429C001C"/>
    <w:rsid w:val="42A37363"/>
    <w:rsid w:val="42A54773"/>
    <w:rsid w:val="42A71B68"/>
    <w:rsid w:val="42AC4D1C"/>
    <w:rsid w:val="42AF54D1"/>
    <w:rsid w:val="42B05C97"/>
    <w:rsid w:val="42BF734D"/>
    <w:rsid w:val="42C1090F"/>
    <w:rsid w:val="42C1203E"/>
    <w:rsid w:val="42CE2491"/>
    <w:rsid w:val="42D27147"/>
    <w:rsid w:val="42D33B70"/>
    <w:rsid w:val="42D72D63"/>
    <w:rsid w:val="42D91E8D"/>
    <w:rsid w:val="42DB67DE"/>
    <w:rsid w:val="42DB79DB"/>
    <w:rsid w:val="42DF084C"/>
    <w:rsid w:val="42E06F44"/>
    <w:rsid w:val="42E24E32"/>
    <w:rsid w:val="42E76351"/>
    <w:rsid w:val="42EB3691"/>
    <w:rsid w:val="42EF1987"/>
    <w:rsid w:val="42F005A4"/>
    <w:rsid w:val="42F01EBA"/>
    <w:rsid w:val="42F469BA"/>
    <w:rsid w:val="42F64085"/>
    <w:rsid w:val="42F94C68"/>
    <w:rsid w:val="42FA655C"/>
    <w:rsid w:val="42FC5331"/>
    <w:rsid w:val="42FF49EE"/>
    <w:rsid w:val="4304601F"/>
    <w:rsid w:val="4305318C"/>
    <w:rsid w:val="430554FB"/>
    <w:rsid w:val="43065B6D"/>
    <w:rsid w:val="430B04C0"/>
    <w:rsid w:val="430B5B1D"/>
    <w:rsid w:val="430C105C"/>
    <w:rsid w:val="430D2D4E"/>
    <w:rsid w:val="430D506F"/>
    <w:rsid w:val="431271BA"/>
    <w:rsid w:val="43143977"/>
    <w:rsid w:val="43162ED6"/>
    <w:rsid w:val="43174EF9"/>
    <w:rsid w:val="43192521"/>
    <w:rsid w:val="431A2504"/>
    <w:rsid w:val="431A2D9B"/>
    <w:rsid w:val="43233926"/>
    <w:rsid w:val="43252BD7"/>
    <w:rsid w:val="433006F8"/>
    <w:rsid w:val="43356832"/>
    <w:rsid w:val="433A496B"/>
    <w:rsid w:val="433C3EFF"/>
    <w:rsid w:val="43403534"/>
    <w:rsid w:val="434349BF"/>
    <w:rsid w:val="4343777F"/>
    <w:rsid w:val="43513D0C"/>
    <w:rsid w:val="43565C6B"/>
    <w:rsid w:val="435D3E2D"/>
    <w:rsid w:val="435D5584"/>
    <w:rsid w:val="43603CAA"/>
    <w:rsid w:val="43640823"/>
    <w:rsid w:val="436414D0"/>
    <w:rsid w:val="43690B51"/>
    <w:rsid w:val="43692C9A"/>
    <w:rsid w:val="436A2B1E"/>
    <w:rsid w:val="436C139B"/>
    <w:rsid w:val="436C5ECD"/>
    <w:rsid w:val="436E28B0"/>
    <w:rsid w:val="436F59C8"/>
    <w:rsid w:val="4378683D"/>
    <w:rsid w:val="437B66B6"/>
    <w:rsid w:val="437F1DF5"/>
    <w:rsid w:val="438142F5"/>
    <w:rsid w:val="4382463A"/>
    <w:rsid w:val="43833E85"/>
    <w:rsid w:val="43835DDE"/>
    <w:rsid w:val="43836B01"/>
    <w:rsid w:val="43841991"/>
    <w:rsid w:val="4386233E"/>
    <w:rsid w:val="43875E9D"/>
    <w:rsid w:val="438E1F92"/>
    <w:rsid w:val="438F5AFD"/>
    <w:rsid w:val="439433B9"/>
    <w:rsid w:val="43951D92"/>
    <w:rsid w:val="439D0711"/>
    <w:rsid w:val="439F4C6F"/>
    <w:rsid w:val="439F57F1"/>
    <w:rsid w:val="43A25936"/>
    <w:rsid w:val="43A62901"/>
    <w:rsid w:val="43A646D3"/>
    <w:rsid w:val="43A70919"/>
    <w:rsid w:val="43A73362"/>
    <w:rsid w:val="43A73EB8"/>
    <w:rsid w:val="43AB4977"/>
    <w:rsid w:val="43AC488A"/>
    <w:rsid w:val="43AF7755"/>
    <w:rsid w:val="43B0577A"/>
    <w:rsid w:val="43B2785D"/>
    <w:rsid w:val="43B5460E"/>
    <w:rsid w:val="43B91476"/>
    <w:rsid w:val="43BD5FAC"/>
    <w:rsid w:val="43BE1377"/>
    <w:rsid w:val="43BF206A"/>
    <w:rsid w:val="43C8684E"/>
    <w:rsid w:val="43C92414"/>
    <w:rsid w:val="43CD24AA"/>
    <w:rsid w:val="43CF0F18"/>
    <w:rsid w:val="43D04898"/>
    <w:rsid w:val="43D1048A"/>
    <w:rsid w:val="43D54477"/>
    <w:rsid w:val="43D636D8"/>
    <w:rsid w:val="43E47277"/>
    <w:rsid w:val="43E551CC"/>
    <w:rsid w:val="43E617F1"/>
    <w:rsid w:val="43EB6E1C"/>
    <w:rsid w:val="43ED502E"/>
    <w:rsid w:val="43F65815"/>
    <w:rsid w:val="43F81FDA"/>
    <w:rsid w:val="43F91945"/>
    <w:rsid w:val="43FA641D"/>
    <w:rsid w:val="43FD2A24"/>
    <w:rsid w:val="43FE4EBA"/>
    <w:rsid w:val="44002BBB"/>
    <w:rsid w:val="440222C0"/>
    <w:rsid w:val="44032D1D"/>
    <w:rsid w:val="440419B0"/>
    <w:rsid w:val="44056A7C"/>
    <w:rsid w:val="44067697"/>
    <w:rsid w:val="440930B7"/>
    <w:rsid w:val="440B4904"/>
    <w:rsid w:val="440E56A0"/>
    <w:rsid w:val="44121A53"/>
    <w:rsid w:val="44164A45"/>
    <w:rsid w:val="44196335"/>
    <w:rsid w:val="441E7EDC"/>
    <w:rsid w:val="44221B69"/>
    <w:rsid w:val="44227102"/>
    <w:rsid w:val="4425104B"/>
    <w:rsid w:val="442523CA"/>
    <w:rsid w:val="442D017F"/>
    <w:rsid w:val="442F0B3B"/>
    <w:rsid w:val="443265D6"/>
    <w:rsid w:val="44346DFE"/>
    <w:rsid w:val="443B58D2"/>
    <w:rsid w:val="44401221"/>
    <w:rsid w:val="44401478"/>
    <w:rsid w:val="44415873"/>
    <w:rsid w:val="4446380F"/>
    <w:rsid w:val="44473726"/>
    <w:rsid w:val="444D23BA"/>
    <w:rsid w:val="44507813"/>
    <w:rsid w:val="44520FA2"/>
    <w:rsid w:val="445242EF"/>
    <w:rsid w:val="44550BB7"/>
    <w:rsid w:val="44651237"/>
    <w:rsid w:val="4465545C"/>
    <w:rsid w:val="44663CB5"/>
    <w:rsid w:val="4468472C"/>
    <w:rsid w:val="44696AAD"/>
    <w:rsid w:val="446B3594"/>
    <w:rsid w:val="44716B39"/>
    <w:rsid w:val="4475514F"/>
    <w:rsid w:val="44777A56"/>
    <w:rsid w:val="44796A2A"/>
    <w:rsid w:val="44824BEA"/>
    <w:rsid w:val="44880876"/>
    <w:rsid w:val="44893858"/>
    <w:rsid w:val="448C5BBB"/>
    <w:rsid w:val="448C62AE"/>
    <w:rsid w:val="44914B8B"/>
    <w:rsid w:val="4495386B"/>
    <w:rsid w:val="44975694"/>
    <w:rsid w:val="44990A3B"/>
    <w:rsid w:val="44992D85"/>
    <w:rsid w:val="449A5447"/>
    <w:rsid w:val="44A604F7"/>
    <w:rsid w:val="44A87B76"/>
    <w:rsid w:val="44AD6B58"/>
    <w:rsid w:val="44AF6DDB"/>
    <w:rsid w:val="44B003E3"/>
    <w:rsid w:val="44B04A90"/>
    <w:rsid w:val="44B0577D"/>
    <w:rsid w:val="44B341A9"/>
    <w:rsid w:val="44B51760"/>
    <w:rsid w:val="44BA05AB"/>
    <w:rsid w:val="44C410A2"/>
    <w:rsid w:val="44C57254"/>
    <w:rsid w:val="44C67409"/>
    <w:rsid w:val="44C73B38"/>
    <w:rsid w:val="44C90009"/>
    <w:rsid w:val="44D1235F"/>
    <w:rsid w:val="44DB2947"/>
    <w:rsid w:val="44E15EE2"/>
    <w:rsid w:val="44E56779"/>
    <w:rsid w:val="44E66EF6"/>
    <w:rsid w:val="44EF2415"/>
    <w:rsid w:val="44EF6CAD"/>
    <w:rsid w:val="44F0472F"/>
    <w:rsid w:val="44F2470F"/>
    <w:rsid w:val="44F30B28"/>
    <w:rsid w:val="44F54899"/>
    <w:rsid w:val="44FA14C2"/>
    <w:rsid w:val="44FB07B9"/>
    <w:rsid w:val="44FC651F"/>
    <w:rsid w:val="44FF7EFE"/>
    <w:rsid w:val="4504434D"/>
    <w:rsid w:val="450611F0"/>
    <w:rsid w:val="45070062"/>
    <w:rsid w:val="45073859"/>
    <w:rsid w:val="450923AD"/>
    <w:rsid w:val="450C0F13"/>
    <w:rsid w:val="45192C65"/>
    <w:rsid w:val="451A2654"/>
    <w:rsid w:val="451F7836"/>
    <w:rsid w:val="45200702"/>
    <w:rsid w:val="45215405"/>
    <w:rsid w:val="45256807"/>
    <w:rsid w:val="452D5657"/>
    <w:rsid w:val="45305D52"/>
    <w:rsid w:val="45332DE8"/>
    <w:rsid w:val="45371FC2"/>
    <w:rsid w:val="45384DDA"/>
    <w:rsid w:val="453D27F6"/>
    <w:rsid w:val="45421762"/>
    <w:rsid w:val="4544044A"/>
    <w:rsid w:val="45440D76"/>
    <w:rsid w:val="45441FE5"/>
    <w:rsid w:val="45446291"/>
    <w:rsid w:val="454934E8"/>
    <w:rsid w:val="455C4B8E"/>
    <w:rsid w:val="455C7BA3"/>
    <w:rsid w:val="455E638A"/>
    <w:rsid w:val="456657A0"/>
    <w:rsid w:val="456731B7"/>
    <w:rsid w:val="456D0C14"/>
    <w:rsid w:val="456E184F"/>
    <w:rsid w:val="45711C18"/>
    <w:rsid w:val="45733B31"/>
    <w:rsid w:val="45780892"/>
    <w:rsid w:val="45781A43"/>
    <w:rsid w:val="457B69D8"/>
    <w:rsid w:val="457B6BBD"/>
    <w:rsid w:val="457E742B"/>
    <w:rsid w:val="458004A4"/>
    <w:rsid w:val="45815F34"/>
    <w:rsid w:val="45856D4F"/>
    <w:rsid w:val="45857087"/>
    <w:rsid w:val="458602E3"/>
    <w:rsid w:val="45891D34"/>
    <w:rsid w:val="458E3B28"/>
    <w:rsid w:val="45900A53"/>
    <w:rsid w:val="45962096"/>
    <w:rsid w:val="459636C2"/>
    <w:rsid w:val="45972124"/>
    <w:rsid w:val="459D6A3D"/>
    <w:rsid w:val="45A246D9"/>
    <w:rsid w:val="45A2537D"/>
    <w:rsid w:val="45A507D8"/>
    <w:rsid w:val="45A818BC"/>
    <w:rsid w:val="45AB22ED"/>
    <w:rsid w:val="45AC3263"/>
    <w:rsid w:val="45AC6A61"/>
    <w:rsid w:val="45B03DCB"/>
    <w:rsid w:val="45B06604"/>
    <w:rsid w:val="45B265F5"/>
    <w:rsid w:val="45B365C3"/>
    <w:rsid w:val="45B46AB7"/>
    <w:rsid w:val="45B64DE5"/>
    <w:rsid w:val="45B9647A"/>
    <w:rsid w:val="45BA5ACE"/>
    <w:rsid w:val="45C012A4"/>
    <w:rsid w:val="45C23EEF"/>
    <w:rsid w:val="45C24457"/>
    <w:rsid w:val="45C67A00"/>
    <w:rsid w:val="45C7344F"/>
    <w:rsid w:val="45C76955"/>
    <w:rsid w:val="45C77898"/>
    <w:rsid w:val="45C8309F"/>
    <w:rsid w:val="45CA43F0"/>
    <w:rsid w:val="45CA66E9"/>
    <w:rsid w:val="45CB70AF"/>
    <w:rsid w:val="45CC0A67"/>
    <w:rsid w:val="45CD41CC"/>
    <w:rsid w:val="45CF6A40"/>
    <w:rsid w:val="45D371BD"/>
    <w:rsid w:val="45D41466"/>
    <w:rsid w:val="45D5372D"/>
    <w:rsid w:val="45DB7161"/>
    <w:rsid w:val="45DC7AD0"/>
    <w:rsid w:val="45E10D3F"/>
    <w:rsid w:val="45E10F12"/>
    <w:rsid w:val="45E11D89"/>
    <w:rsid w:val="45E23A10"/>
    <w:rsid w:val="45E42BD2"/>
    <w:rsid w:val="45E95CA7"/>
    <w:rsid w:val="45E97B75"/>
    <w:rsid w:val="45EF1C1B"/>
    <w:rsid w:val="45EF4CB5"/>
    <w:rsid w:val="45EF57DF"/>
    <w:rsid w:val="45FA310A"/>
    <w:rsid w:val="45FB3EDF"/>
    <w:rsid w:val="45FC4580"/>
    <w:rsid w:val="45FD18EE"/>
    <w:rsid w:val="460050CB"/>
    <w:rsid w:val="460A0B89"/>
    <w:rsid w:val="460D0564"/>
    <w:rsid w:val="460D0773"/>
    <w:rsid w:val="4611264C"/>
    <w:rsid w:val="46113C0F"/>
    <w:rsid w:val="46162764"/>
    <w:rsid w:val="461869C6"/>
    <w:rsid w:val="46196232"/>
    <w:rsid w:val="461C2B50"/>
    <w:rsid w:val="461D6229"/>
    <w:rsid w:val="46240980"/>
    <w:rsid w:val="462630C3"/>
    <w:rsid w:val="462E0EB2"/>
    <w:rsid w:val="463621D7"/>
    <w:rsid w:val="46372B93"/>
    <w:rsid w:val="4637387B"/>
    <w:rsid w:val="46392EDA"/>
    <w:rsid w:val="463D468C"/>
    <w:rsid w:val="463F31D2"/>
    <w:rsid w:val="46425C57"/>
    <w:rsid w:val="46437BC2"/>
    <w:rsid w:val="464A7838"/>
    <w:rsid w:val="464C43CD"/>
    <w:rsid w:val="464D1331"/>
    <w:rsid w:val="464F631E"/>
    <w:rsid w:val="465030CD"/>
    <w:rsid w:val="465B3F81"/>
    <w:rsid w:val="46611685"/>
    <w:rsid w:val="46613D1C"/>
    <w:rsid w:val="46667599"/>
    <w:rsid w:val="466E2E39"/>
    <w:rsid w:val="46771AB7"/>
    <w:rsid w:val="467755D7"/>
    <w:rsid w:val="4678782A"/>
    <w:rsid w:val="467A442B"/>
    <w:rsid w:val="467A5AA0"/>
    <w:rsid w:val="467E25F9"/>
    <w:rsid w:val="46815BF3"/>
    <w:rsid w:val="468202EB"/>
    <w:rsid w:val="46825EDA"/>
    <w:rsid w:val="46887FD9"/>
    <w:rsid w:val="46891CE5"/>
    <w:rsid w:val="468B707B"/>
    <w:rsid w:val="468E563B"/>
    <w:rsid w:val="46911C92"/>
    <w:rsid w:val="46922212"/>
    <w:rsid w:val="469309E5"/>
    <w:rsid w:val="469739FD"/>
    <w:rsid w:val="46982908"/>
    <w:rsid w:val="46993B95"/>
    <w:rsid w:val="46A64457"/>
    <w:rsid w:val="46AB2836"/>
    <w:rsid w:val="46AE7395"/>
    <w:rsid w:val="46B0201E"/>
    <w:rsid w:val="46B16AB3"/>
    <w:rsid w:val="46B56AED"/>
    <w:rsid w:val="46B92489"/>
    <w:rsid w:val="46B9432D"/>
    <w:rsid w:val="46B9537A"/>
    <w:rsid w:val="46BE22EA"/>
    <w:rsid w:val="46BF55BD"/>
    <w:rsid w:val="46C06E45"/>
    <w:rsid w:val="46C24484"/>
    <w:rsid w:val="46C4562C"/>
    <w:rsid w:val="46C64C55"/>
    <w:rsid w:val="46C66C00"/>
    <w:rsid w:val="46D07E63"/>
    <w:rsid w:val="46D11401"/>
    <w:rsid w:val="46D206D4"/>
    <w:rsid w:val="46D242F1"/>
    <w:rsid w:val="46D32536"/>
    <w:rsid w:val="46D360F4"/>
    <w:rsid w:val="46D7123F"/>
    <w:rsid w:val="46DB61EA"/>
    <w:rsid w:val="46DE2B58"/>
    <w:rsid w:val="46E3446B"/>
    <w:rsid w:val="46E40ACA"/>
    <w:rsid w:val="46E41A73"/>
    <w:rsid w:val="46E96587"/>
    <w:rsid w:val="46EA4304"/>
    <w:rsid w:val="46EA73A7"/>
    <w:rsid w:val="46EB0ED4"/>
    <w:rsid w:val="46EE2512"/>
    <w:rsid w:val="46F21014"/>
    <w:rsid w:val="46F51CFB"/>
    <w:rsid w:val="46F6277F"/>
    <w:rsid w:val="46F671B3"/>
    <w:rsid w:val="46F801CD"/>
    <w:rsid w:val="46FC1540"/>
    <w:rsid w:val="470151E0"/>
    <w:rsid w:val="4703353B"/>
    <w:rsid w:val="47044E3D"/>
    <w:rsid w:val="4705669C"/>
    <w:rsid w:val="470721DE"/>
    <w:rsid w:val="470763DC"/>
    <w:rsid w:val="47080E5B"/>
    <w:rsid w:val="470A2DA3"/>
    <w:rsid w:val="470C164E"/>
    <w:rsid w:val="470D6646"/>
    <w:rsid w:val="47121BC9"/>
    <w:rsid w:val="47134727"/>
    <w:rsid w:val="47154E38"/>
    <w:rsid w:val="47155A32"/>
    <w:rsid w:val="47170D9B"/>
    <w:rsid w:val="471720EC"/>
    <w:rsid w:val="47173E76"/>
    <w:rsid w:val="471C1C7B"/>
    <w:rsid w:val="471E321D"/>
    <w:rsid w:val="471E5E3D"/>
    <w:rsid w:val="47202238"/>
    <w:rsid w:val="47211EA9"/>
    <w:rsid w:val="472872C7"/>
    <w:rsid w:val="472B4FAD"/>
    <w:rsid w:val="472B5716"/>
    <w:rsid w:val="472C007A"/>
    <w:rsid w:val="472F1CB9"/>
    <w:rsid w:val="47313A87"/>
    <w:rsid w:val="47372588"/>
    <w:rsid w:val="473F33D2"/>
    <w:rsid w:val="474319B5"/>
    <w:rsid w:val="4743570A"/>
    <w:rsid w:val="47435EFA"/>
    <w:rsid w:val="474443CA"/>
    <w:rsid w:val="474476A6"/>
    <w:rsid w:val="47472173"/>
    <w:rsid w:val="47482BC2"/>
    <w:rsid w:val="47487E2C"/>
    <w:rsid w:val="474E6D0F"/>
    <w:rsid w:val="47500C72"/>
    <w:rsid w:val="4752048E"/>
    <w:rsid w:val="47531E28"/>
    <w:rsid w:val="47543874"/>
    <w:rsid w:val="4755754D"/>
    <w:rsid w:val="475679C7"/>
    <w:rsid w:val="47582623"/>
    <w:rsid w:val="475C52D3"/>
    <w:rsid w:val="475D7009"/>
    <w:rsid w:val="47620BA9"/>
    <w:rsid w:val="47650A68"/>
    <w:rsid w:val="47665FFB"/>
    <w:rsid w:val="476750A0"/>
    <w:rsid w:val="47681F86"/>
    <w:rsid w:val="47685452"/>
    <w:rsid w:val="476C33EE"/>
    <w:rsid w:val="47732D04"/>
    <w:rsid w:val="47737981"/>
    <w:rsid w:val="4776293F"/>
    <w:rsid w:val="477F6E57"/>
    <w:rsid w:val="478220B1"/>
    <w:rsid w:val="47872FB2"/>
    <w:rsid w:val="478A1E7B"/>
    <w:rsid w:val="478D24C2"/>
    <w:rsid w:val="478D3525"/>
    <w:rsid w:val="478D44A4"/>
    <w:rsid w:val="47934D79"/>
    <w:rsid w:val="479E2FE8"/>
    <w:rsid w:val="47A1410F"/>
    <w:rsid w:val="47A90AEA"/>
    <w:rsid w:val="47AD0985"/>
    <w:rsid w:val="47AD0C60"/>
    <w:rsid w:val="47AE02DC"/>
    <w:rsid w:val="47AE6D42"/>
    <w:rsid w:val="47B05A3E"/>
    <w:rsid w:val="47B17976"/>
    <w:rsid w:val="47B36306"/>
    <w:rsid w:val="47B83305"/>
    <w:rsid w:val="47BA7DC5"/>
    <w:rsid w:val="47BE10FD"/>
    <w:rsid w:val="47BF5461"/>
    <w:rsid w:val="47C0439B"/>
    <w:rsid w:val="47C84271"/>
    <w:rsid w:val="47CA66BD"/>
    <w:rsid w:val="47CB72AB"/>
    <w:rsid w:val="47D05104"/>
    <w:rsid w:val="47D137FB"/>
    <w:rsid w:val="47D3708E"/>
    <w:rsid w:val="47D66E72"/>
    <w:rsid w:val="47D70C5F"/>
    <w:rsid w:val="47D931F9"/>
    <w:rsid w:val="47DB4A6B"/>
    <w:rsid w:val="47DD1081"/>
    <w:rsid w:val="47E127DF"/>
    <w:rsid w:val="47E16397"/>
    <w:rsid w:val="47E7449D"/>
    <w:rsid w:val="47E74B14"/>
    <w:rsid w:val="47EC793E"/>
    <w:rsid w:val="47F00582"/>
    <w:rsid w:val="47F57751"/>
    <w:rsid w:val="47F832E4"/>
    <w:rsid w:val="47F9746F"/>
    <w:rsid w:val="47FA0270"/>
    <w:rsid w:val="47FB4839"/>
    <w:rsid w:val="48017850"/>
    <w:rsid w:val="480403F2"/>
    <w:rsid w:val="480B6769"/>
    <w:rsid w:val="480C109D"/>
    <w:rsid w:val="480F5E7F"/>
    <w:rsid w:val="481408FC"/>
    <w:rsid w:val="48143CAA"/>
    <w:rsid w:val="48192B39"/>
    <w:rsid w:val="48194285"/>
    <w:rsid w:val="4824655E"/>
    <w:rsid w:val="482D132D"/>
    <w:rsid w:val="482F4BE6"/>
    <w:rsid w:val="48307F09"/>
    <w:rsid w:val="48311166"/>
    <w:rsid w:val="48322701"/>
    <w:rsid w:val="48332265"/>
    <w:rsid w:val="48332C94"/>
    <w:rsid w:val="483400EC"/>
    <w:rsid w:val="48380C66"/>
    <w:rsid w:val="48384DE7"/>
    <w:rsid w:val="483F1040"/>
    <w:rsid w:val="48413574"/>
    <w:rsid w:val="48421499"/>
    <w:rsid w:val="48433E38"/>
    <w:rsid w:val="484741A7"/>
    <w:rsid w:val="484861AB"/>
    <w:rsid w:val="4853791D"/>
    <w:rsid w:val="48543A60"/>
    <w:rsid w:val="4856270C"/>
    <w:rsid w:val="485627B5"/>
    <w:rsid w:val="48570EED"/>
    <w:rsid w:val="48654824"/>
    <w:rsid w:val="48661F4B"/>
    <w:rsid w:val="48677E77"/>
    <w:rsid w:val="48695435"/>
    <w:rsid w:val="486C2CC1"/>
    <w:rsid w:val="486F792E"/>
    <w:rsid w:val="487375E5"/>
    <w:rsid w:val="48786478"/>
    <w:rsid w:val="487F16FD"/>
    <w:rsid w:val="487F6603"/>
    <w:rsid w:val="48865473"/>
    <w:rsid w:val="4887224D"/>
    <w:rsid w:val="48881FB3"/>
    <w:rsid w:val="488937C2"/>
    <w:rsid w:val="488B2DF5"/>
    <w:rsid w:val="48937A20"/>
    <w:rsid w:val="48953B24"/>
    <w:rsid w:val="489B21E1"/>
    <w:rsid w:val="489B2701"/>
    <w:rsid w:val="489F30E0"/>
    <w:rsid w:val="48A11B54"/>
    <w:rsid w:val="48A23207"/>
    <w:rsid w:val="48A243B6"/>
    <w:rsid w:val="48A644F4"/>
    <w:rsid w:val="48A86FD6"/>
    <w:rsid w:val="48AA0188"/>
    <w:rsid w:val="48AC191B"/>
    <w:rsid w:val="48AC6A2B"/>
    <w:rsid w:val="48AE27D6"/>
    <w:rsid w:val="48B539FD"/>
    <w:rsid w:val="48B64A53"/>
    <w:rsid w:val="48B72890"/>
    <w:rsid w:val="48B86C4B"/>
    <w:rsid w:val="48BB7F35"/>
    <w:rsid w:val="48BC6B59"/>
    <w:rsid w:val="48C05032"/>
    <w:rsid w:val="48C8134B"/>
    <w:rsid w:val="48C92B12"/>
    <w:rsid w:val="48CA6A2F"/>
    <w:rsid w:val="48CF16EF"/>
    <w:rsid w:val="48D367F7"/>
    <w:rsid w:val="48D82086"/>
    <w:rsid w:val="48DC5B63"/>
    <w:rsid w:val="48DD6E97"/>
    <w:rsid w:val="48E20D76"/>
    <w:rsid w:val="48E5416F"/>
    <w:rsid w:val="48E620A6"/>
    <w:rsid w:val="48E80D37"/>
    <w:rsid w:val="48E84D08"/>
    <w:rsid w:val="48EF08CE"/>
    <w:rsid w:val="48F14CB2"/>
    <w:rsid w:val="48F46257"/>
    <w:rsid w:val="48F60C67"/>
    <w:rsid w:val="48FA2D81"/>
    <w:rsid w:val="48FC675B"/>
    <w:rsid w:val="48FE0EDE"/>
    <w:rsid w:val="4905215D"/>
    <w:rsid w:val="490D0A4C"/>
    <w:rsid w:val="490D1403"/>
    <w:rsid w:val="490F0627"/>
    <w:rsid w:val="490F519F"/>
    <w:rsid w:val="49132118"/>
    <w:rsid w:val="491557B3"/>
    <w:rsid w:val="49163E30"/>
    <w:rsid w:val="49164A4C"/>
    <w:rsid w:val="49180EEB"/>
    <w:rsid w:val="49190FDA"/>
    <w:rsid w:val="491C67CF"/>
    <w:rsid w:val="491E46C4"/>
    <w:rsid w:val="49211B34"/>
    <w:rsid w:val="4923694C"/>
    <w:rsid w:val="492D4A7A"/>
    <w:rsid w:val="49316D9C"/>
    <w:rsid w:val="493368ED"/>
    <w:rsid w:val="49347D2A"/>
    <w:rsid w:val="4935303E"/>
    <w:rsid w:val="493B256A"/>
    <w:rsid w:val="493D4248"/>
    <w:rsid w:val="493D7195"/>
    <w:rsid w:val="494333FE"/>
    <w:rsid w:val="49437862"/>
    <w:rsid w:val="49461C3E"/>
    <w:rsid w:val="49475542"/>
    <w:rsid w:val="49490D69"/>
    <w:rsid w:val="49492105"/>
    <w:rsid w:val="494A667E"/>
    <w:rsid w:val="494E34FB"/>
    <w:rsid w:val="494E6E09"/>
    <w:rsid w:val="495258BC"/>
    <w:rsid w:val="495A2561"/>
    <w:rsid w:val="495B5C4D"/>
    <w:rsid w:val="495F6E98"/>
    <w:rsid w:val="496143F1"/>
    <w:rsid w:val="49645253"/>
    <w:rsid w:val="49663360"/>
    <w:rsid w:val="496A5D8B"/>
    <w:rsid w:val="497760EC"/>
    <w:rsid w:val="497C135A"/>
    <w:rsid w:val="497E6058"/>
    <w:rsid w:val="49820E8A"/>
    <w:rsid w:val="49823BB3"/>
    <w:rsid w:val="49823D24"/>
    <w:rsid w:val="498A24C7"/>
    <w:rsid w:val="498E327E"/>
    <w:rsid w:val="498E5C9C"/>
    <w:rsid w:val="499324FE"/>
    <w:rsid w:val="499349C8"/>
    <w:rsid w:val="49936747"/>
    <w:rsid w:val="499460B9"/>
    <w:rsid w:val="499531A8"/>
    <w:rsid w:val="49961161"/>
    <w:rsid w:val="49974861"/>
    <w:rsid w:val="49976A1B"/>
    <w:rsid w:val="49990850"/>
    <w:rsid w:val="499962D9"/>
    <w:rsid w:val="499F2F29"/>
    <w:rsid w:val="49AA25DB"/>
    <w:rsid w:val="49AE6710"/>
    <w:rsid w:val="49B11878"/>
    <w:rsid w:val="49B46D9E"/>
    <w:rsid w:val="49B82A36"/>
    <w:rsid w:val="49B91C7F"/>
    <w:rsid w:val="49BD5530"/>
    <w:rsid w:val="49BF1C1C"/>
    <w:rsid w:val="49BF2AF8"/>
    <w:rsid w:val="49C96283"/>
    <w:rsid w:val="49C96D44"/>
    <w:rsid w:val="49CC2FBB"/>
    <w:rsid w:val="49CE1727"/>
    <w:rsid w:val="49D27149"/>
    <w:rsid w:val="49D33EE9"/>
    <w:rsid w:val="49D45033"/>
    <w:rsid w:val="49D840E1"/>
    <w:rsid w:val="49D9335B"/>
    <w:rsid w:val="49D93C70"/>
    <w:rsid w:val="49DC05D0"/>
    <w:rsid w:val="49DE1FCA"/>
    <w:rsid w:val="49E24CF0"/>
    <w:rsid w:val="49E34546"/>
    <w:rsid w:val="49E4626E"/>
    <w:rsid w:val="49E56F08"/>
    <w:rsid w:val="49E713E2"/>
    <w:rsid w:val="49E7458C"/>
    <w:rsid w:val="49E87387"/>
    <w:rsid w:val="49F078E9"/>
    <w:rsid w:val="49F72A49"/>
    <w:rsid w:val="49F843F3"/>
    <w:rsid w:val="49FC2C26"/>
    <w:rsid w:val="49FD301A"/>
    <w:rsid w:val="4A0802A4"/>
    <w:rsid w:val="4A0B387D"/>
    <w:rsid w:val="4A0E6236"/>
    <w:rsid w:val="4A0E7F88"/>
    <w:rsid w:val="4A12234C"/>
    <w:rsid w:val="4A1536A7"/>
    <w:rsid w:val="4A1B17E9"/>
    <w:rsid w:val="4A1F7EC2"/>
    <w:rsid w:val="4A216985"/>
    <w:rsid w:val="4A226114"/>
    <w:rsid w:val="4A263C06"/>
    <w:rsid w:val="4A293EDE"/>
    <w:rsid w:val="4A2A7799"/>
    <w:rsid w:val="4A2B1CF5"/>
    <w:rsid w:val="4A2C0D0D"/>
    <w:rsid w:val="4A2C176B"/>
    <w:rsid w:val="4A2D441A"/>
    <w:rsid w:val="4A310158"/>
    <w:rsid w:val="4A337027"/>
    <w:rsid w:val="4A376C79"/>
    <w:rsid w:val="4A3B47FE"/>
    <w:rsid w:val="4A3B51C6"/>
    <w:rsid w:val="4A3F04CA"/>
    <w:rsid w:val="4A436F63"/>
    <w:rsid w:val="4A4A52A8"/>
    <w:rsid w:val="4A4B1CB4"/>
    <w:rsid w:val="4A4D5A8C"/>
    <w:rsid w:val="4A567ACE"/>
    <w:rsid w:val="4A577544"/>
    <w:rsid w:val="4A586C63"/>
    <w:rsid w:val="4A5D5184"/>
    <w:rsid w:val="4A6235A9"/>
    <w:rsid w:val="4A643389"/>
    <w:rsid w:val="4A6E30B4"/>
    <w:rsid w:val="4A7073FA"/>
    <w:rsid w:val="4A7A4718"/>
    <w:rsid w:val="4A7A743C"/>
    <w:rsid w:val="4A7B0DF4"/>
    <w:rsid w:val="4A827746"/>
    <w:rsid w:val="4A835556"/>
    <w:rsid w:val="4A836213"/>
    <w:rsid w:val="4A860AA5"/>
    <w:rsid w:val="4A89442D"/>
    <w:rsid w:val="4A8B29C7"/>
    <w:rsid w:val="4A95231F"/>
    <w:rsid w:val="4A965A77"/>
    <w:rsid w:val="4A966F5A"/>
    <w:rsid w:val="4A9762D3"/>
    <w:rsid w:val="4A982995"/>
    <w:rsid w:val="4A9C1233"/>
    <w:rsid w:val="4A9D5435"/>
    <w:rsid w:val="4A9F698C"/>
    <w:rsid w:val="4AA53D5C"/>
    <w:rsid w:val="4AA946DF"/>
    <w:rsid w:val="4AAB64E9"/>
    <w:rsid w:val="4AAF3245"/>
    <w:rsid w:val="4AAF5169"/>
    <w:rsid w:val="4AB02E86"/>
    <w:rsid w:val="4ABC0713"/>
    <w:rsid w:val="4AC04474"/>
    <w:rsid w:val="4ACF20A8"/>
    <w:rsid w:val="4AD133F5"/>
    <w:rsid w:val="4ADA2B0B"/>
    <w:rsid w:val="4ADD71C6"/>
    <w:rsid w:val="4AE02A2E"/>
    <w:rsid w:val="4AE153EA"/>
    <w:rsid w:val="4AE3196E"/>
    <w:rsid w:val="4AE351FA"/>
    <w:rsid w:val="4AEF4B28"/>
    <w:rsid w:val="4AF76BEE"/>
    <w:rsid w:val="4AFB698B"/>
    <w:rsid w:val="4B000B41"/>
    <w:rsid w:val="4B000D77"/>
    <w:rsid w:val="4B005846"/>
    <w:rsid w:val="4B0F66E1"/>
    <w:rsid w:val="4B1065C3"/>
    <w:rsid w:val="4B117E9F"/>
    <w:rsid w:val="4B137FC9"/>
    <w:rsid w:val="4B1E51B4"/>
    <w:rsid w:val="4B2152D9"/>
    <w:rsid w:val="4B224D5C"/>
    <w:rsid w:val="4B224F6E"/>
    <w:rsid w:val="4B252DAC"/>
    <w:rsid w:val="4B255F54"/>
    <w:rsid w:val="4B257710"/>
    <w:rsid w:val="4B2636B2"/>
    <w:rsid w:val="4B264434"/>
    <w:rsid w:val="4B290C2F"/>
    <w:rsid w:val="4B2910E9"/>
    <w:rsid w:val="4B2A71F4"/>
    <w:rsid w:val="4B326D8D"/>
    <w:rsid w:val="4B34036D"/>
    <w:rsid w:val="4B383CB5"/>
    <w:rsid w:val="4B3A4439"/>
    <w:rsid w:val="4B3B7D93"/>
    <w:rsid w:val="4B3C2050"/>
    <w:rsid w:val="4B4078B6"/>
    <w:rsid w:val="4B4301F0"/>
    <w:rsid w:val="4B4760B4"/>
    <w:rsid w:val="4B54668A"/>
    <w:rsid w:val="4B585E62"/>
    <w:rsid w:val="4B592D71"/>
    <w:rsid w:val="4B5C461B"/>
    <w:rsid w:val="4B5D382B"/>
    <w:rsid w:val="4B5E2368"/>
    <w:rsid w:val="4B632841"/>
    <w:rsid w:val="4B63606B"/>
    <w:rsid w:val="4B667F9A"/>
    <w:rsid w:val="4B7422E7"/>
    <w:rsid w:val="4B742B83"/>
    <w:rsid w:val="4B7B4A7E"/>
    <w:rsid w:val="4B7D30B0"/>
    <w:rsid w:val="4B800738"/>
    <w:rsid w:val="4B827BD5"/>
    <w:rsid w:val="4B867ABD"/>
    <w:rsid w:val="4B88059E"/>
    <w:rsid w:val="4B88305C"/>
    <w:rsid w:val="4B884FF4"/>
    <w:rsid w:val="4B916176"/>
    <w:rsid w:val="4B9300B1"/>
    <w:rsid w:val="4B995AB9"/>
    <w:rsid w:val="4BA268A1"/>
    <w:rsid w:val="4BA806E0"/>
    <w:rsid w:val="4BAD34F8"/>
    <w:rsid w:val="4BAE26F0"/>
    <w:rsid w:val="4BB02E5E"/>
    <w:rsid w:val="4BB2681E"/>
    <w:rsid w:val="4BB64BA8"/>
    <w:rsid w:val="4BB75D8E"/>
    <w:rsid w:val="4BBA0506"/>
    <w:rsid w:val="4BBD633C"/>
    <w:rsid w:val="4BBF4009"/>
    <w:rsid w:val="4BBF5681"/>
    <w:rsid w:val="4BC11C64"/>
    <w:rsid w:val="4BC4288D"/>
    <w:rsid w:val="4BC42B1E"/>
    <w:rsid w:val="4BC500BF"/>
    <w:rsid w:val="4BC86050"/>
    <w:rsid w:val="4BC93269"/>
    <w:rsid w:val="4BCB3F5A"/>
    <w:rsid w:val="4BCD47D5"/>
    <w:rsid w:val="4BD53F7C"/>
    <w:rsid w:val="4BD62F25"/>
    <w:rsid w:val="4BE03A0C"/>
    <w:rsid w:val="4BE63BE2"/>
    <w:rsid w:val="4BED0D06"/>
    <w:rsid w:val="4BF05A7C"/>
    <w:rsid w:val="4BF41F35"/>
    <w:rsid w:val="4BFC4A28"/>
    <w:rsid w:val="4BFF04DB"/>
    <w:rsid w:val="4BFF6D0D"/>
    <w:rsid w:val="4C00145C"/>
    <w:rsid w:val="4C0245C0"/>
    <w:rsid w:val="4C025F83"/>
    <w:rsid w:val="4C1070A5"/>
    <w:rsid w:val="4C1129AC"/>
    <w:rsid w:val="4C136698"/>
    <w:rsid w:val="4C186DDA"/>
    <w:rsid w:val="4C1B0387"/>
    <w:rsid w:val="4C1C0595"/>
    <w:rsid w:val="4C217406"/>
    <w:rsid w:val="4C22391B"/>
    <w:rsid w:val="4C2438C1"/>
    <w:rsid w:val="4C27562F"/>
    <w:rsid w:val="4C2C2CEC"/>
    <w:rsid w:val="4C2C695F"/>
    <w:rsid w:val="4C2D0B1E"/>
    <w:rsid w:val="4C2D11B4"/>
    <w:rsid w:val="4C303744"/>
    <w:rsid w:val="4C32164F"/>
    <w:rsid w:val="4C362668"/>
    <w:rsid w:val="4C3774A5"/>
    <w:rsid w:val="4C3A3ECD"/>
    <w:rsid w:val="4C446959"/>
    <w:rsid w:val="4C463B5F"/>
    <w:rsid w:val="4C470EE5"/>
    <w:rsid w:val="4C484F1A"/>
    <w:rsid w:val="4C4C604A"/>
    <w:rsid w:val="4C4E66C6"/>
    <w:rsid w:val="4C4E7BF6"/>
    <w:rsid w:val="4C500AEB"/>
    <w:rsid w:val="4C536AC9"/>
    <w:rsid w:val="4C550924"/>
    <w:rsid w:val="4C570C6A"/>
    <w:rsid w:val="4C5B659C"/>
    <w:rsid w:val="4C5E6005"/>
    <w:rsid w:val="4C6054AF"/>
    <w:rsid w:val="4C6227D8"/>
    <w:rsid w:val="4C634F55"/>
    <w:rsid w:val="4C681E84"/>
    <w:rsid w:val="4C684D3D"/>
    <w:rsid w:val="4C6B7BF7"/>
    <w:rsid w:val="4C6C4E3C"/>
    <w:rsid w:val="4C6D2755"/>
    <w:rsid w:val="4C703C37"/>
    <w:rsid w:val="4C74756F"/>
    <w:rsid w:val="4C7566A6"/>
    <w:rsid w:val="4C7F3330"/>
    <w:rsid w:val="4C7F3A04"/>
    <w:rsid w:val="4C81433C"/>
    <w:rsid w:val="4C8617D0"/>
    <w:rsid w:val="4C8911ED"/>
    <w:rsid w:val="4C8B4076"/>
    <w:rsid w:val="4C8B5193"/>
    <w:rsid w:val="4C8E72F0"/>
    <w:rsid w:val="4C916AB7"/>
    <w:rsid w:val="4C943F3A"/>
    <w:rsid w:val="4C946A8D"/>
    <w:rsid w:val="4C966133"/>
    <w:rsid w:val="4C9756CB"/>
    <w:rsid w:val="4CA520FC"/>
    <w:rsid w:val="4CAC4675"/>
    <w:rsid w:val="4CAD52B4"/>
    <w:rsid w:val="4CB200A1"/>
    <w:rsid w:val="4CB45EE2"/>
    <w:rsid w:val="4CB47C34"/>
    <w:rsid w:val="4CB91E03"/>
    <w:rsid w:val="4CB94521"/>
    <w:rsid w:val="4CBA563A"/>
    <w:rsid w:val="4CBC6314"/>
    <w:rsid w:val="4CD24408"/>
    <w:rsid w:val="4CD54C90"/>
    <w:rsid w:val="4CD714EF"/>
    <w:rsid w:val="4CD83D93"/>
    <w:rsid w:val="4CD85119"/>
    <w:rsid w:val="4CD921BE"/>
    <w:rsid w:val="4CDC3160"/>
    <w:rsid w:val="4CDC751A"/>
    <w:rsid w:val="4CE525A6"/>
    <w:rsid w:val="4CE54182"/>
    <w:rsid w:val="4CE61DCB"/>
    <w:rsid w:val="4CEB32EF"/>
    <w:rsid w:val="4CEE1229"/>
    <w:rsid w:val="4CF06751"/>
    <w:rsid w:val="4CF8733A"/>
    <w:rsid w:val="4CFB000E"/>
    <w:rsid w:val="4CFB64E4"/>
    <w:rsid w:val="4CFE4597"/>
    <w:rsid w:val="4D0368F1"/>
    <w:rsid w:val="4D062FE8"/>
    <w:rsid w:val="4D0C7968"/>
    <w:rsid w:val="4D1268D1"/>
    <w:rsid w:val="4D1A1D2F"/>
    <w:rsid w:val="4D2475F2"/>
    <w:rsid w:val="4D2A6194"/>
    <w:rsid w:val="4D337A3B"/>
    <w:rsid w:val="4D381B5D"/>
    <w:rsid w:val="4D38302C"/>
    <w:rsid w:val="4D3B0E3A"/>
    <w:rsid w:val="4D4C1CC4"/>
    <w:rsid w:val="4D4E062E"/>
    <w:rsid w:val="4D4E7110"/>
    <w:rsid w:val="4D4F3294"/>
    <w:rsid w:val="4D50133B"/>
    <w:rsid w:val="4D5935EC"/>
    <w:rsid w:val="4D5A2AAC"/>
    <w:rsid w:val="4D5A51AA"/>
    <w:rsid w:val="4D5B6B53"/>
    <w:rsid w:val="4D5F5A61"/>
    <w:rsid w:val="4D610CA1"/>
    <w:rsid w:val="4D6149DB"/>
    <w:rsid w:val="4D623205"/>
    <w:rsid w:val="4D6433AB"/>
    <w:rsid w:val="4D661DB4"/>
    <w:rsid w:val="4D6733C5"/>
    <w:rsid w:val="4D67790B"/>
    <w:rsid w:val="4D6A6BF1"/>
    <w:rsid w:val="4D6D5C36"/>
    <w:rsid w:val="4D734474"/>
    <w:rsid w:val="4D772D2B"/>
    <w:rsid w:val="4D7747D7"/>
    <w:rsid w:val="4D7B42AC"/>
    <w:rsid w:val="4D7C0147"/>
    <w:rsid w:val="4D7E6B17"/>
    <w:rsid w:val="4D815AD2"/>
    <w:rsid w:val="4D821A44"/>
    <w:rsid w:val="4D827B19"/>
    <w:rsid w:val="4D8333D1"/>
    <w:rsid w:val="4D834EA1"/>
    <w:rsid w:val="4D88718E"/>
    <w:rsid w:val="4D896686"/>
    <w:rsid w:val="4D8E6450"/>
    <w:rsid w:val="4D9529D7"/>
    <w:rsid w:val="4D971F4D"/>
    <w:rsid w:val="4D9B0F58"/>
    <w:rsid w:val="4D9B1D73"/>
    <w:rsid w:val="4D9D6AEB"/>
    <w:rsid w:val="4DA331A9"/>
    <w:rsid w:val="4DA65112"/>
    <w:rsid w:val="4DAA70D6"/>
    <w:rsid w:val="4DAB2235"/>
    <w:rsid w:val="4DAD5645"/>
    <w:rsid w:val="4DAF238C"/>
    <w:rsid w:val="4DB06047"/>
    <w:rsid w:val="4DB333F4"/>
    <w:rsid w:val="4DB40D54"/>
    <w:rsid w:val="4DB54A44"/>
    <w:rsid w:val="4DB56542"/>
    <w:rsid w:val="4DBA3258"/>
    <w:rsid w:val="4DBA4B5C"/>
    <w:rsid w:val="4DBC1CCC"/>
    <w:rsid w:val="4DC0733C"/>
    <w:rsid w:val="4DC71FB8"/>
    <w:rsid w:val="4DC87F54"/>
    <w:rsid w:val="4DCA386A"/>
    <w:rsid w:val="4DCA7E0A"/>
    <w:rsid w:val="4DCF1B11"/>
    <w:rsid w:val="4DD32782"/>
    <w:rsid w:val="4DD41A00"/>
    <w:rsid w:val="4DD42702"/>
    <w:rsid w:val="4DD62C25"/>
    <w:rsid w:val="4DD716C4"/>
    <w:rsid w:val="4DDA3868"/>
    <w:rsid w:val="4DDB345E"/>
    <w:rsid w:val="4DE34458"/>
    <w:rsid w:val="4DE92D1B"/>
    <w:rsid w:val="4DEC222A"/>
    <w:rsid w:val="4DF21D78"/>
    <w:rsid w:val="4DF23A63"/>
    <w:rsid w:val="4DF51C67"/>
    <w:rsid w:val="4DFE2D91"/>
    <w:rsid w:val="4E015D1D"/>
    <w:rsid w:val="4E027517"/>
    <w:rsid w:val="4E0410DB"/>
    <w:rsid w:val="4E042E46"/>
    <w:rsid w:val="4E0616CD"/>
    <w:rsid w:val="4E075373"/>
    <w:rsid w:val="4E0756B1"/>
    <w:rsid w:val="4E0D2925"/>
    <w:rsid w:val="4E1136B1"/>
    <w:rsid w:val="4E161090"/>
    <w:rsid w:val="4E163378"/>
    <w:rsid w:val="4E1700FA"/>
    <w:rsid w:val="4E18073B"/>
    <w:rsid w:val="4E1866EC"/>
    <w:rsid w:val="4E1973DB"/>
    <w:rsid w:val="4E1D0769"/>
    <w:rsid w:val="4E1F757F"/>
    <w:rsid w:val="4E254B18"/>
    <w:rsid w:val="4E284F2A"/>
    <w:rsid w:val="4E2B68F7"/>
    <w:rsid w:val="4E30278C"/>
    <w:rsid w:val="4E352364"/>
    <w:rsid w:val="4E37157F"/>
    <w:rsid w:val="4E3A2999"/>
    <w:rsid w:val="4E3B18F1"/>
    <w:rsid w:val="4E3C6CB7"/>
    <w:rsid w:val="4E3F51AB"/>
    <w:rsid w:val="4E40432C"/>
    <w:rsid w:val="4E420AA7"/>
    <w:rsid w:val="4E422860"/>
    <w:rsid w:val="4E476C41"/>
    <w:rsid w:val="4E4A51BC"/>
    <w:rsid w:val="4E4C5567"/>
    <w:rsid w:val="4E57328B"/>
    <w:rsid w:val="4E583706"/>
    <w:rsid w:val="4E592907"/>
    <w:rsid w:val="4E6603FE"/>
    <w:rsid w:val="4E67053B"/>
    <w:rsid w:val="4E690C97"/>
    <w:rsid w:val="4E6C2BA0"/>
    <w:rsid w:val="4E6F237E"/>
    <w:rsid w:val="4E6F7A1A"/>
    <w:rsid w:val="4E71247E"/>
    <w:rsid w:val="4E734ED3"/>
    <w:rsid w:val="4E75128D"/>
    <w:rsid w:val="4E75606A"/>
    <w:rsid w:val="4E766FC3"/>
    <w:rsid w:val="4E7A3A47"/>
    <w:rsid w:val="4E7C5F25"/>
    <w:rsid w:val="4E7D137A"/>
    <w:rsid w:val="4E7D7BCE"/>
    <w:rsid w:val="4E7F2850"/>
    <w:rsid w:val="4E8170C0"/>
    <w:rsid w:val="4E8C174D"/>
    <w:rsid w:val="4E8E2092"/>
    <w:rsid w:val="4E9D104C"/>
    <w:rsid w:val="4E9E423F"/>
    <w:rsid w:val="4E9F47BA"/>
    <w:rsid w:val="4EA036D2"/>
    <w:rsid w:val="4EA427A6"/>
    <w:rsid w:val="4EA846F0"/>
    <w:rsid w:val="4EAA2763"/>
    <w:rsid w:val="4EAE665D"/>
    <w:rsid w:val="4EAE667A"/>
    <w:rsid w:val="4EB21095"/>
    <w:rsid w:val="4EB23BF9"/>
    <w:rsid w:val="4EB24A08"/>
    <w:rsid w:val="4EB264F8"/>
    <w:rsid w:val="4EB26CF8"/>
    <w:rsid w:val="4EB62655"/>
    <w:rsid w:val="4EB63B73"/>
    <w:rsid w:val="4EC47DE7"/>
    <w:rsid w:val="4EC60C1A"/>
    <w:rsid w:val="4ECA6094"/>
    <w:rsid w:val="4ED206FE"/>
    <w:rsid w:val="4ED554D4"/>
    <w:rsid w:val="4ED816C8"/>
    <w:rsid w:val="4ED85244"/>
    <w:rsid w:val="4EDC61F3"/>
    <w:rsid w:val="4EDD2699"/>
    <w:rsid w:val="4EDE53AE"/>
    <w:rsid w:val="4EE3690B"/>
    <w:rsid w:val="4EE407CE"/>
    <w:rsid w:val="4EE430AD"/>
    <w:rsid w:val="4EE47050"/>
    <w:rsid w:val="4EE866F6"/>
    <w:rsid w:val="4EE934C1"/>
    <w:rsid w:val="4EEB19B8"/>
    <w:rsid w:val="4EEB4140"/>
    <w:rsid w:val="4EEC5AE7"/>
    <w:rsid w:val="4EED76C5"/>
    <w:rsid w:val="4EF21CCD"/>
    <w:rsid w:val="4EF56FD4"/>
    <w:rsid w:val="4EF92D4C"/>
    <w:rsid w:val="4EFA7BBC"/>
    <w:rsid w:val="4EFF407B"/>
    <w:rsid w:val="4F001668"/>
    <w:rsid w:val="4F032D94"/>
    <w:rsid w:val="4F0535EC"/>
    <w:rsid w:val="4F076E64"/>
    <w:rsid w:val="4F0A4BCF"/>
    <w:rsid w:val="4F0B0685"/>
    <w:rsid w:val="4F10587B"/>
    <w:rsid w:val="4F11724F"/>
    <w:rsid w:val="4F123B16"/>
    <w:rsid w:val="4F1577B7"/>
    <w:rsid w:val="4F21195B"/>
    <w:rsid w:val="4F2C15FA"/>
    <w:rsid w:val="4F2F3E7E"/>
    <w:rsid w:val="4F351DD5"/>
    <w:rsid w:val="4F361E81"/>
    <w:rsid w:val="4F38371D"/>
    <w:rsid w:val="4F3D5887"/>
    <w:rsid w:val="4F3E5A89"/>
    <w:rsid w:val="4F3F457F"/>
    <w:rsid w:val="4F430F73"/>
    <w:rsid w:val="4F4935C9"/>
    <w:rsid w:val="4F49462C"/>
    <w:rsid w:val="4F4E4D29"/>
    <w:rsid w:val="4F501969"/>
    <w:rsid w:val="4F520BF8"/>
    <w:rsid w:val="4F52215E"/>
    <w:rsid w:val="4F524051"/>
    <w:rsid w:val="4F560D24"/>
    <w:rsid w:val="4F5640E0"/>
    <w:rsid w:val="4F5675F7"/>
    <w:rsid w:val="4F5B07AE"/>
    <w:rsid w:val="4F5B12E5"/>
    <w:rsid w:val="4F5F6D90"/>
    <w:rsid w:val="4F6064C1"/>
    <w:rsid w:val="4F6332ED"/>
    <w:rsid w:val="4F6474A5"/>
    <w:rsid w:val="4F667B52"/>
    <w:rsid w:val="4F690C21"/>
    <w:rsid w:val="4F6C59ED"/>
    <w:rsid w:val="4F6E5C65"/>
    <w:rsid w:val="4F7006C4"/>
    <w:rsid w:val="4F716CF3"/>
    <w:rsid w:val="4F732B7A"/>
    <w:rsid w:val="4F741618"/>
    <w:rsid w:val="4F746DFC"/>
    <w:rsid w:val="4F755164"/>
    <w:rsid w:val="4F765226"/>
    <w:rsid w:val="4F795D30"/>
    <w:rsid w:val="4F7A6C25"/>
    <w:rsid w:val="4F7C5815"/>
    <w:rsid w:val="4F81517E"/>
    <w:rsid w:val="4F816DA4"/>
    <w:rsid w:val="4F8442BE"/>
    <w:rsid w:val="4F851AAB"/>
    <w:rsid w:val="4F8679BA"/>
    <w:rsid w:val="4F87305F"/>
    <w:rsid w:val="4F8E5757"/>
    <w:rsid w:val="4F917386"/>
    <w:rsid w:val="4F970912"/>
    <w:rsid w:val="4F9D0231"/>
    <w:rsid w:val="4F9D47AD"/>
    <w:rsid w:val="4FA46676"/>
    <w:rsid w:val="4FA60727"/>
    <w:rsid w:val="4FA649B7"/>
    <w:rsid w:val="4FA83A5F"/>
    <w:rsid w:val="4FA83FE9"/>
    <w:rsid w:val="4FB51BF5"/>
    <w:rsid w:val="4FB90CBC"/>
    <w:rsid w:val="4FC11493"/>
    <w:rsid w:val="4FC37659"/>
    <w:rsid w:val="4FCD1D07"/>
    <w:rsid w:val="4FCE2841"/>
    <w:rsid w:val="4FD02AC9"/>
    <w:rsid w:val="4FD14C6B"/>
    <w:rsid w:val="4FD156E7"/>
    <w:rsid w:val="4FD50A8D"/>
    <w:rsid w:val="4FD709CA"/>
    <w:rsid w:val="4FDA1E9D"/>
    <w:rsid w:val="4FDB264C"/>
    <w:rsid w:val="4FE1273C"/>
    <w:rsid w:val="4FE77C21"/>
    <w:rsid w:val="4FEB5D6A"/>
    <w:rsid w:val="4FED4C34"/>
    <w:rsid w:val="4FF57700"/>
    <w:rsid w:val="4FFA0535"/>
    <w:rsid w:val="5001483F"/>
    <w:rsid w:val="50077A03"/>
    <w:rsid w:val="501053EF"/>
    <w:rsid w:val="50153886"/>
    <w:rsid w:val="501877A0"/>
    <w:rsid w:val="502026AC"/>
    <w:rsid w:val="50203983"/>
    <w:rsid w:val="50246B6D"/>
    <w:rsid w:val="50247B16"/>
    <w:rsid w:val="5029333B"/>
    <w:rsid w:val="502A428D"/>
    <w:rsid w:val="502C1886"/>
    <w:rsid w:val="50316BC7"/>
    <w:rsid w:val="50332357"/>
    <w:rsid w:val="50395E2F"/>
    <w:rsid w:val="503C5E17"/>
    <w:rsid w:val="503C6418"/>
    <w:rsid w:val="50407E89"/>
    <w:rsid w:val="50436065"/>
    <w:rsid w:val="50455D1E"/>
    <w:rsid w:val="504E5B70"/>
    <w:rsid w:val="5053720A"/>
    <w:rsid w:val="50540548"/>
    <w:rsid w:val="5058722F"/>
    <w:rsid w:val="50671C41"/>
    <w:rsid w:val="506866B9"/>
    <w:rsid w:val="506C182B"/>
    <w:rsid w:val="506D1D55"/>
    <w:rsid w:val="5070721C"/>
    <w:rsid w:val="50737595"/>
    <w:rsid w:val="507E0C36"/>
    <w:rsid w:val="507F23A2"/>
    <w:rsid w:val="507F269C"/>
    <w:rsid w:val="50840ABD"/>
    <w:rsid w:val="5085786E"/>
    <w:rsid w:val="50876DE9"/>
    <w:rsid w:val="508851BC"/>
    <w:rsid w:val="50897E3E"/>
    <w:rsid w:val="508A5804"/>
    <w:rsid w:val="508B2D00"/>
    <w:rsid w:val="508B7A49"/>
    <w:rsid w:val="50907A1F"/>
    <w:rsid w:val="50941061"/>
    <w:rsid w:val="5094713F"/>
    <w:rsid w:val="5096132A"/>
    <w:rsid w:val="50967915"/>
    <w:rsid w:val="50975E09"/>
    <w:rsid w:val="50984E7F"/>
    <w:rsid w:val="5099369D"/>
    <w:rsid w:val="509B68A5"/>
    <w:rsid w:val="50A11FB8"/>
    <w:rsid w:val="50A31501"/>
    <w:rsid w:val="50A42FAA"/>
    <w:rsid w:val="50A723AE"/>
    <w:rsid w:val="50A77792"/>
    <w:rsid w:val="50A90A38"/>
    <w:rsid w:val="50B23846"/>
    <w:rsid w:val="50B55873"/>
    <w:rsid w:val="50C33B66"/>
    <w:rsid w:val="50C47366"/>
    <w:rsid w:val="50CC2E00"/>
    <w:rsid w:val="50D21DFC"/>
    <w:rsid w:val="50D91EB1"/>
    <w:rsid w:val="50DE39DC"/>
    <w:rsid w:val="50DF4CBD"/>
    <w:rsid w:val="50E42DB4"/>
    <w:rsid w:val="50E66A00"/>
    <w:rsid w:val="50EA5F0A"/>
    <w:rsid w:val="50F77526"/>
    <w:rsid w:val="50FA3027"/>
    <w:rsid w:val="50FD5012"/>
    <w:rsid w:val="51014C3C"/>
    <w:rsid w:val="510155B0"/>
    <w:rsid w:val="51025B86"/>
    <w:rsid w:val="51037DC3"/>
    <w:rsid w:val="51096D4D"/>
    <w:rsid w:val="510B370D"/>
    <w:rsid w:val="510B5BE2"/>
    <w:rsid w:val="510F4840"/>
    <w:rsid w:val="51107185"/>
    <w:rsid w:val="511101B5"/>
    <w:rsid w:val="51115F44"/>
    <w:rsid w:val="511A4387"/>
    <w:rsid w:val="511B4023"/>
    <w:rsid w:val="512105D9"/>
    <w:rsid w:val="51281E22"/>
    <w:rsid w:val="512C0D33"/>
    <w:rsid w:val="512E03AB"/>
    <w:rsid w:val="512E5009"/>
    <w:rsid w:val="512E7B59"/>
    <w:rsid w:val="512F40AF"/>
    <w:rsid w:val="51302CF4"/>
    <w:rsid w:val="5132654B"/>
    <w:rsid w:val="51327A58"/>
    <w:rsid w:val="51331F1C"/>
    <w:rsid w:val="51400D98"/>
    <w:rsid w:val="51440B32"/>
    <w:rsid w:val="51492EEB"/>
    <w:rsid w:val="5150779F"/>
    <w:rsid w:val="51510232"/>
    <w:rsid w:val="51556700"/>
    <w:rsid w:val="51575572"/>
    <w:rsid w:val="51596759"/>
    <w:rsid w:val="515C64F9"/>
    <w:rsid w:val="516631E8"/>
    <w:rsid w:val="516B1C14"/>
    <w:rsid w:val="516B5246"/>
    <w:rsid w:val="516D7FA8"/>
    <w:rsid w:val="51702536"/>
    <w:rsid w:val="51786933"/>
    <w:rsid w:val="5184589D"/>
    <w:rsid w:val="5186159D"/>
    <w:rsid w:val="518B1871"/>
    <w:rsid w:val="518E4792"/>
    <w:rsid w:val="5190622A"/>
    <w:rsid w:val="5191462A"/>
    <w:rsid w:val="51945FAD"/>
    <w:rsid w:val="519523C4"/>
    <w:rsid w:val="519A35C4"/>
    <w:rsid w:val="519B1B9D"/>
    <w:rsid w:val="519C7441"/>
    <w:rsid w:val="519F1AAA"/>
    <w:rsid w:val="51A972FF"/>
    <w:rsid w:val="51AC58C5"/>
    <w:rsid w:val="51AD41FF"/>
    <w:rsid w:val="51AD5181"/>
    <w:rsid w:val="51B24475"/>
    <w:rsid w:val="51B26F5E"/>
    <w:rsid w:val="51B2711C"/>
    <w:rsid w:val="51BA407E"/>
    <w:rsid w:val="51BB317D"/>
    <w:rsid w:val="51BF5A20"/>
    <w:rsid w:val="51C6306D"/>
    <w:rsid w:val="51C864EB"/>
    <w:rsid w:val="51CA3418"/>
    <w:rsid w:val="51D1584C"/>
    <w:rsid w:val="51D179CE"/>
    <w:rsid w:val="51D45DB1"/>
    <w:rsid w:val="51D63E17"/>
    <w:rsid w:val="51D943B2"/>
    <w:rsid w:val="51DE5D29"/>
    <w:rsid w:val="51E2278E"/>
    <w:rsid w:val="51E36DA5"/>
    <w:rsid w:val="51E56B58"/>
    <w:rsid w:val="51E6349A"/>
    <w:rsid w:val="51E76A36"/>
    <w:rsid w:val="51E82636"/>
    <w:rsid w:val="51F115A3"/>
    <w:rsid w:val="51F3619F"/>
    <w:rsid w:val="51F51C73"/>
    <w:rsid w:val="51F95D56"/>
    <w:rsid w:val="51FC6B15"/>
    <w:rsid w:val="52020A94"/>
    <w:rsid w:val="520949BD"/>
    <w:rsid w:val="52097B03"/>
    <w:rsid w:val="52207668"/>
    <w:rsid w:val="522238CF"/>
    <w:rsid w:val="52262A3E"/>
    <w:rsid w:val="52267E3A"/>
    <w:rsid w:val="52290703"/>
    <w:rsid w:val="52297F30"/>
    <w:rsid w:val="522C06E6"/>
    <w:rsid w:val="522D4DBD"/>
    <w:rsid w:val="522E79DD"/>
    <w:rsid w:val="522F3E12"/>
    <w:rsid w:val="5230266B"/>
    <w:rsid w:val="52306CCE"/>
    <w:rsid w:val="52312F20"/>
    <w:rsid w:val="52355833"/>
    <w:rsid w:val="5236798F"/>
    <w:rsid w:val="523D6C1A"/>
    <w:rsid w:val="5240418A"/>
    <w:rsid w:val="524417EE"/>
    <w:rsid w:val="52457D77"/>
    <w:rsid w:val="52461E5E"/>
    <w:rsid w:val="5248063C"/>
    <w:rsid w:val="524B1BC4"/>
    <w:rsid w:val="524E6188"/>
    <w:rsid w:val="52507A9B"/>
    <w:rsid w:val="52527606"/>
    <w:rsid w:val="52557B07"/>
    <w:rsid w:val="525C0729"/>
    <w:rsid w:val="525C3878"/>
    <w:rsid w:val="525D5618"/>
    <w:rsid w:val="526671E2"/>
    <w:rsid w:val="52674666"/>
    <w:rsid w:val="526A3175"/>
    <w:rsid w:val="526B643C"/>
    <w:rsid w:val="526D0BDC"/>
    <w:rsid w:val="5270590F"/>
    <w:rsid w:val="52713B92"/>
    <w:rsid w:val="52745092"/>
    <w:rsid w:val="52752936"/>
    <w:rsid w:val="527E438A"/>
    <w:rsid w:val="52872BF5"/>
    <w:rsid w:val="52880A43"/>
    <w:rsid w:val="528B374C"/>
    <w:rsid w:val="528C0744"/>
    <w:rsid w:val="528D3687"/>
    <w:rsid w:val="528E58CC"/>
    <w:rsid w:val="528E6088"/>
    <w:rsid w:val="529018D0"/>
    <w:rsid w:val="52914819"/>
    <w:rsid w:val="52926E23"/>
    <w:rsid w:val="52930F7D"/>
    <w:rsid w:val="529571AD"/>
    <w:rsid w:val="52974F8D"/>
    <w:rsid w:val="52976CDF"/>
    <w:rsid w:val="52983FFC"/>
    <w:rsid w:val="52995270"/>
    <w:rsid w:val="529E5D1F"/>
    <w:rsid w:val="52A121B0"/>
    <w:rsid w:val="52A4150E"/>
    <w:rsid w:val="52A90167"/>
    <w:rsid w:val="52AA5BAD"/>
    <w:rsid w:val="52AD335C"/>
    <w:rsid w:val="52B3569A"/>
    <w:rsid w:val="52B405F3"/>
    <w:rsid w:val="52BA2FFD"/>
    <w:rsid w:val="52BC6C1A"/>
    <w:rsid w:val="52C41D37"/>
    <w:rsid w:val="52C60B0E"/>
    <w:rsid w:val="52C679A1"/>
    <w:rsid w:val="52CC10C0"/>
    <w:rsid w:val="52D177C5"/>
    <w:rsid w:val="52D36522"/>
    <w:rsid w:val="52D36614"/>
    <w:rsid w:val="52D37E91"/>
    <w:rsid w:val="52D90518"/>
    <w:rsid w:val="52D95635"/>
    <w:rsid w:val="52DB72D8"/>
    <w:rsid w:val="52DE74A8"/>
    <w:rsid w:val="52DF1BBB"/>
    <w:rsid w:val="52DF7A16"/>
    <w:rsid w:val="52E1506E"/>
    <w:rsid w:val="52E17973"/>
    <w:rsid w:val="52E260E9"/>
    <w:rsid w:val="52E70749"/>
    <w:rsid w:val="52E827EA"/>
    <w:rsid w:val="52E85187"/>
    <w:rsid w:val="52EB601C"/>
    <w:rsid w:val="52F50F43"/>
    <w:rsid w:val="52F80D39"/>
    <w:rsid w:val="52F91229"/>
    <w:rsid w:val="52F93448"/>
    <w:rsid w:val="52FC5EF7"/>
    <w:rsid w:val="52FE0ABB"/>
    <w:rsid w:val="52FE130D"/>
    <w:rsid w:val="53034F37"/>
    <w:rsid w:val="53060379"/>
    <w:rsid w:val="53074AAC"/>
    <w:rsid w:val="53086C11"/>
    <w:rsid w:val="530B5B9C"/>
    <w:rsid w:val="530E1C39"/>
    <w:rsid w:val="53150CFD"/>
    <w:rsid w:val="5316369B"/>
    <w:rsid w:val="531676BC"/>
    <w:rsid w:val="53190920"/>
    <w:rsid w:val="531937F1"/>
    <w:rsid w:val="531C634B"/>
    <w:rsid w:val="532407C0"/>
    <w:rsid w:val="5324340F"/>
    <w:rsid w:val="53246994"/>
    <w:rsid w:val="532510BA"/>
    <w:rsid w:val="5329301F"/>
    <w:rsid w:val="532A072B"/>
    <w:rsid w:val="533029C6"/>
    <w:rsid w:val="5331340C"/>
    <w:rsid w:val="53355503"/>
    <w:rsid w:val="53391F56"/>
    <w:rsid w:val="533C0B0A"/>
    <w:rsid w:val="533C2736"/>
    <w:rsid w:val="533C7FA5"/>
    <w:rsid w:val="533F0B25"/>
    <w:rsid w:val="533F4DB0"/>
    <w:rsid w:val="533F7BEB"/>
    <w:rsid w:val="534E20AB"/>
    <w:rsid w:val="534F7360"/>
    <w:rsid w:val="5355402D"/>
    <w:rsid w:val="53573550"/>
    <w:rsid w:val="53574882"/>
    <w:rsid w:val="535C09EC"/>
    <w:rsid w:val="535C1ECE"/>
    <w:rsid w:val="536C4E26"/>
    <w:rsid w:val="536C57CA"/>
    <w:rsid w:val="536F59BB"/>
    <w:rsid w:val="537177BC"/>
    <w:rsid w:val="53724A01"/>
    <w:rsid w:val="537F731A"/>
    <w:rsid w:val="5380037E"/>
    <w:rsid w:val="53827740"/>
    <w:rsid w:val="53850D23"/>
    <w:rsid w:val="53852718"/>
    <w:rsid w:val="538530C9"/>
    <w:rsid w:val="538B2523"/>
    <w:rsid w:val="538E4BC7"/>
    <w:rsid w:val="53920B18"/>
    <w:rsid w:val="539526B9"/>
    <w:rsid w:val="53964463"/>
    <w:rsid w:val="53983645"/>
    <w:rsid w:val="53983843"/>
    <w:rsid w:val="539F1142"/>
    <w:rsid w:val="539F36E6"/>
    <w:rsid w:val="539F3CD2"/>
    <w:rsid w:val="53A13E46"/>
    <w:rsid w:val="53A366F4"/>
    <w:rsid w:val="53A8349F"/>
    <w:rsid w:val="53A86BA0"/>
    <w:rsid w:val="53A93F1B"/>
    <w:rsid w:val="53AC0C6E"/>
    <w:rsid w:val="53AD7218"/>
    <w:rsid w:val="53B13594"/>
    <w:rsid w:val="53B513BD"/>
    <w:rsid w:val="53BE1F92"/>
    <w:rsid w:val="53BF6802"/>
    <w:rsid w:val="53C02EDC"/>
    <w:rsid w:val="53C154C1"/>
    <w:rsid w:val="53C22B0C"/>
    <w:rsid w:val="53C273C7"/>
    <w:rsid w:val="53C36BF9"/>
    <w:rsid w:val="53C52B06"/>
    <w:rsid w:val="53C6064A"/>
    <w:rsid w:val="53C62358"/>
    <w:rsid w:val="53C93D2C"/>
    <w:rsid w:val="53CA41AC"/>
    <w:rsid w:val="53CA638B"/>
    <w:rsid w:val="53CB3F37"/>
    <w:rsid w:val="53D344C7"/>
    <w:rsid w:val="53D846FF"/>
    <w:rsid w:val="53DE4920"/>
    <w:rsid w:val="53E35E1A"/>
    <w:rsid w:val="53ED181F"/>
    <w:rsid w:val="53F21FE0"/>
    <w:rsid w:val="53F56692"/>
    <w:rsid w:val="53F61F18"/>
    <w:rsid w:val="53F65EDE"/>
    <w:rsid w:val="53FA1C79"/>
    <w:rsid w:val="53FE26E6"/>
    <w:rsid w:val="53FE420F"/>
    <w:rsid w:val="53FE4C21"/>
    <w:rsid w:val="540053A5"/>
    <w:rsid w:val="54007B91"/>
    <w:rsid w:val="54020E86"/>
    <w:rsid w:val="540C094D"/>
    <w:rsid w:val="54111BAC"/>
    <w:rsid w:val="54143534"/>
    <w:rsid w:val="541726A1"/>
    <w:rsid w:val="541A6093"/>
    <w:rsid w:val="54206FFA"/>
    <w:rsid w:val="5422053D"/>
    <w:rsid w:val="54223A8E"/>
    <w:rsid w:val="5423192A"/>
    <w:rsid w:val="54250D00"/>
    <w:rsid w:val="54254368"/>
    <w:rsid w:val="542A4818"/>
    <w:rsid w:val="542A6329"/>
    <w:rsid w:val="542A7950"/>
    <w:rsid w:val="54314E71"/>
    <w:rsid w:val="543328E1"/>
    <w:rsid w:val="5433396D"/>
    <w:rsid w:val="54386B9E"/>
    <w:rsid w:val="543D3A1B"/>
    <w:rsid w:val="543E1716"/>
    <w:rsid w:val="543E1825"/>
    <w:rsid w:val="543F7F5E"/>
    <w:rsid w:val="54403F41"/>
    <w:rsid w:val="54404ADD"/>
    <w:rsid w:val="544374FC"/>
    <w:rsid w:val="54456AD5"/>
    <w:rsid w:val="54462430"/>
    <w:rsid w:val="544B6BBA"/>
    <w:rsid w:val="54515FE8"/>
    <w:rsid w:val="54531891"/>
    <w:rsid w:val="54591C78"/>
    <w:rsid w:val="54656840"/>
    <w:rsid w:val="54696FC0"/>
    <w:rsid w:val="546C704A"/>
    <w:rsid w:val="546F5CB4"/>
    <w:rsid w:val="547273DE"/>
    <w:rsid w:val="54730A16"/>
    <w:rsid w:val="54731301"/>
    <w:rsid w:val="547F3CB2"/>
    <w:rsid w:val="54822A4F"/>
    <w:rsid w:val="548E3E0E"/>
    <w:rsid w:val="548E6103"/>
    <w:rsid w:val="54921206"/>
    <w:rsid w:val="54922D9F"/>
    <w:rsid w:val="54934A33"/>
    <w:rsid w:val="54951BD5"/>
    <w:rsid w:val="54972D37"/>
    <w:rsid w:val="54976C22"/>
    <w:rsid w:val="5498299D"/>
    <w:rsid w:val="549E7D8B"/>
    <w:rsid w:val="54A22DC8"/>
    <w:rsid w:val="54A64A58"/>
    <w:rsid w:val="54A92DD9"/>
    <w:rsid w:val="54A967D6"/>
    <w:rsid w:val="54AF0CDA"/>
    <w:rsid w:val="54B148DA"/>
    <w:rsid w:val="54B4365D"/>
    <w:rsid w:val="54B44FCE"/>
    <w:rsid w:val="54B60601"/>
    <w:rsid w:val="54B63F5E"/>
    <w:rsid w:val="54C0413C"/>
    <w:rsid w:val="54C12B2D"/>
    <w:rsid w:val="54C12EA8"/>
    <w:rsid w:val="54C222C5"/>
    <w:rsid w:val="54D50521"/>
    <w:rsid w:val="54D73040"/>
    <w:rsid w:val="54D7355C"/>
    <w:rsid w:val="54D93925"/>
    <w:rsid w:val="54D942BA"/>
    <w:rsid w:val="54DB25E1"/>
    <w:rsid w:val="54DD788C"/>
    <w:rsid w:val="54E22E44"/>
    <w:rsid w:val="54E3121D"/>
    <w:rsid w:val="54E3294E"/>
    <w:rsid w:val="54E37C57"/>
    <w:rsid w:val="54E66062"/>
    <w:rsid w:val="54E70B3E"/>
    <w:rsid w:val="54EA2F85"/>
    <w:rsid w:val="54EC2554"/>
    <w:rsid w:val="54ED131E"/>
    <w:rsid w:val="54EE3BD9"/>
    <w:rsid w:val="54F11591"/>
    <w:rsid w:val="54F136D8"/>
    <w:rsid w:val="54F14D21"/>
    <w:rsid w:val="54F200B6"/>
    <w:rsid w:val="54F214D7"/>
    <w:rsid w:val="54F361FE"/>
    <w:rsid w:val="54F5472A"/>
    <w:rsid w:val="54F565F8"/>
    <w:rsid w:val="54F657CB"/>
    <w:rsid w:val="54F7763C"/>
    <w:rsid w:val="55052F8A"/>
    <w:rsid w:val="5507265C"/>
    <w:rsid w:val="55093832"/>
    <w:rsid w:val="550C20B5"/>
    <w:rsid w:val="55100A01"/>
    <w:rsid w:val="55135812"/>
    <w:rsid w:val="55193347"/>
    <w:rsid w:val="551A46EA"/>
    <w:rsid w:val="551B3C5E"/>
    <w:rsid w:val="552018CB"/>
    <w:rsid w:val="552520D6"/>
    <w:rsid w:val="552624A0"/>
    <w:rsid w:val="552A70A3"/>
    <w:rsid w:val="552D4D88"/>
    <w:rsid w:val="552F01E5"/>
    <w:rsid w:val="55300F63"/>
    <w:rsid w:val="5532796E"/>
    <w:rsid w:val="55330784"/>
    <w:rsid w:val="553537BC"/>
    <w:rsid w:val="55382E03"/>
    <w:rsid w:val="55382E11"/>
    <w:rsid w:val="55391F15"/>
    <w:rsid w:val="553A00ED"/>
    <w:rsid w:val="553A59C6"/>
    <w:rsid w:val="553B72DD"/>
    <w:rsid w:val="553E783D"/>
    <w:rsid w:val="5543211E"/>
    <w:rsid w:val="554A64FD"/>
    <w:rsid w:val="554B1E2C"/>
    <w:rsid w:val="55504BB8"/>
    <w:rsid w:val="55507754"/>
    <w:rsid w:val="5556743D"/>
    <w:rsid w:val="5559415D"/>
    <w:rsid w:val="555C59D8"/>
    <w:rsid w:val="5561439F"/>
    <w:rsid w:val="55673943"/>
    <w:rsid w:val="556856FF"/>
    <w:rsid w:val="55722B35"/>
    <w:rsid w:val="5573458E"/>
    <w:rsid w:val="557349F9"/>
    <w:rsid w:val="5574312B"/>
    <w:rsid w:val="557444AD"/>
    <w:rsid w:val="55780AF0"/>
    <w:rsid w:val="557814B4"/>
    <w:rsid w:val="55787D21"/>
    <w:rsid w:val="55805814"/>
    <w:rsid w:val="55812A43"/>
    <w:rsid w:val="55821125"/>
    <w:rsid w:val="55841D90"/>
    <w:rsid w:val="558A638E"/>
    <w:rsid w:val="558B4A14"/>
    <w:rsid w:val="558B6FC2"/>
    <w:rsid w:val="558C2A33"/>
    <w:rsid w:val="558C7300"/>
    <w:rsid w:val="559145B8"/>
    <w:rsid w:val="559215CD"/>
    <w:rsid w:val="55931F20"/>
    <w:rsid w:val="55981B63"/>
    <w:rsid w:val="559D620A"/>
    <w:rsid w:val="559F608D"/>
    <w:rsid w:val="559F62CC"/>
    <w:rsid w:val="55A130C9"/>
    <w:rsid w:val="55A44CAE"/>
    <w:rsid w:val="55A46FB6"/>
    <w:rsid w:val="55A7469F"/>
    <w:rsid w:val="55A84BBC"/>
    <w:rsid w:val="55AC02EC"/>
    <w:rsid w:val="55B1004A"/>
    <w:rsid w:val="55B433C4"/>
    <w:rsid w:val="55B45E63"/>
    <w:rsid w:val="55B907DB"/>
    <w:rsid w:val="55C21F7E"/>
    <w:rsid w:val="55C66BBA"/>
    <w:rsid w:val="55C7429C"/>
    <w:rsid w:val="55C93FA7"/>
    <w:rsid w:val="55CE23DD"/>
    <w:rsid w:val="55CE62F0"/>
    <w:rsid w:val="55CF651C"/>
    <w:rsid w:val="55D36846"/>
    <w:rsid w:val="55D9617C"/>
    <w:rsid w:val="55DB090D"/>
    <w:rsid w:val="55DB1C53"/>
    <w:rsid w:val="55DB4058"/>
    <w:rsid w:val="55DB7E4D"/>
    <w:rsid w:val="55DC23C7"/>
    <w:rsid w:val="55DE5D5A"/>
    <w:rsid w:val="55DE75AA"/>
    <w:rsid w:val="55E03FA4"/>
    <w:rsid w:val="55E06B09"/>
    <w:rsid w:val="55E20CC5"/>
    <w:rsid w:val="55E3421C"/>
    <w:rsid w:val="55E561CE"/>
    <w:rsid w:val="55E65371"/>
    <w:rsid w:val="55E75547"/>
    <w:rsid w:val="55E76F4D"/>
    <w:rsid w:val="55EE6E41"/>
    <w:rsid w:val="55EF3DB7"/>
    <w:rsid w:val="55EF5F51"/>
    <w:rsid w:val="55F13462"/>
    <w:rsid w:val="55F20AB0"/>
    <w:rsid w:val="55F419E6"/>
    <w:rsid w:val="55F73D4F"/>
    <w:rsid w:val="55FA18F8"/>
    <w:rsid w:val="55FB2DFE"/>
    <w:rsid w:val="56036E5F"/>
    <w:rsid w:val="5604343A"/>
    <w:rsid w:val="560841F9"/>
    <w:rsid w:val="560924B1"/>
    <w:rsid w:val="560937CA"/>
    <w:rsid w:val="560B6ED8"/>
    <w:rsid w:val="560D440C"/>
    <w:rsid w:val="56107813"/>
    <w:rsid w:val="5613110A"/>
    <w:rsid w:val="56133084"/>
    <w:rsid w:val="561E7AAB"/>
    <w:rsid w:val="56235BC5"/>
    <w:rsid w:val="56252B60"/>
    <w:rsid w:val="56255896"/>
    <w:rsid w:val="56262053"/>
    <w:rsid w:val="562643A6"/>
    <w:rsid w:val="56292FE0"/>
    <w:rsid w:val="562A73F3"/>
    <w:rsid w:val="562B75F1"/>
    <w:rsid w:val="56321621"/>
    <w:rsid w:val="563541B1"/>
    <w:rsid w:val="56393067"/>
    <w:rsid w:val="563F2A6C"/>
    <w:rsid w:val="56414627"/>
    <w:rsid w:val="56414FEA"/>
    <w:rsid w:val="56431688"/>
    <w:rsid w:val="56476D01"/>
    <w:rsid w:val="5649142A"/>
    <w:rsid w:val="564D4A67"/>
    <w:rsid w:val="564E3C9E"/>
    <w:rsid w:val="564F022B"/>
    <w:rsid w:val="564F4CFF"/>
    <w:rsid w:val="56552097"/>
    <w:rsid w:val="565A714E"/>
    <w:rsid w:val="565C0C73"/>
    <w:rsid w:val="566421C0"/>
    <w:rsid w:val="56651993"/>
    <w:rsid w:val="566B3436"/>
    <w:rsid w:val="56724F5C"/>
    <w:rsid w:val="56757DBA"/>
    <w:rsid w:val="567670C1"/>
    <w:rsid w:val="567A1BA0"/>
    <w:rsid w:val="567D079F"/>
    <w:rsid w:val="5683019D"/>
    <w:rsid w:val="568A2568"/>
    <w:rsid w:val="568D2497"/>
    <w:rsid w:val="56931D42"/>
    <w:rsid w:val="56971EC0"/>
    <w:rsid w:val="56972078"/>
    <w:rsid w:val="569C539C"/>
    <w:rsid w:val="569E3629"/>
    <w:rsid w:val="56A72C28"/>
    <w:rsid w:val="56AE1DCC"/>
    <w:rsid w:val="56B1594A"/>
    <w:rsid w:val="56B43833"/>
    <w:rsid w:val="56B53696"/>
    <w:rsid w:val="56BD0107"/>
    <w:rsid w:val="56BE494B"/>
    <w:rsid w:val="56C0112E"/>
    <w:rsid w:val="56C23B56"/>
    <w:rsid w:val="56D04F7C"/>
    <w:rsid w:val="56D330B0"/>
    <w:rsid w:val="56D55492"/>
    <w:rsid w:val="56D901E4"/>
    <w:rsid w:val="56D97BE4"/>
    <w:rsid w:val="56E07036"/>
    <w:rsid w:val="56E12DC8"/>
    <w:rsid w:val="56E42E67"/>
    <w:rsid w:val="56E44B52"/>
    <w:rsid w:val="56E55DC8"/>
    <w:rsid w:val="56E84110"/>
    <w:rsid w:val="56EA3134"/>
    <w:rsid w:val="56EB52D7"/>
    <w:rsid w:val="56EF6189"/>
    <w:rsid w:val="56F15FE5"/>
    <w:rsid w:val="56F23141"/>
    <w:rsid w:val="56F71595"/>
    <w:rsid w:val="56F90377"/>
    <w:rsid w:val="56F93597"/>
    <w:rsid w:val="56FD2942"/>
    <w:rsid w:val="56FF3D08"/>
    <w:rsid w:val="5708276E"/>
    <w:rsid w:val="57085747"/>
    <w:rsid w:val="570B20C6"/>
    <w:rsid w:val="571246F8"/>
    <w:rsid w:val="57186FC5"/>
    <w:rsid w:val="571A07C9"/>
    <w:rsid w:val="571A371A"/>
    <w:rsid w:val="571F1BB4"/>
    <w:rsid w:val="5723732A"/>
    <w:rsid w:val="57261F3F"/>
    <w:rsid w:val="5726213F"/>
    <w:rsid w:val="57277CF3"/>
    <w:rsid w:val="57284B4D"/>
    <w:rsid w:val="572C1772"/>
    <w:rsid w:val="572D76C8"/>
    <w:rsid w:val="572D7A4B"/>
    <w:rsid w:val="572F0202"/>
    <w:rsid w:val="573125E1"/>
    <w:rsid w:val="573E05C2"/>
    <w:rsid w:val="57413765"/>
    <w:rsid w:val="57435C41"/>
    <w:rsid w:val="57444329"/>
    <w:rsid w:val="574458C4"/>
    <w:rsid w:val="57447D0D"/>
    <w:rsid w:val="5746718E"/>
    <w:rsid w:val="574968C8"/>
    <w:rsid w:val="574A61A1"/>
    <w:rsid w:val="574E09DC"/>
    <w:rsid w:val="575034B0"/>
    <w:rsid w:val="5752168B"/>
    <w:rsid w:val="57522D5E"/>
    <w:rsid w:val="5756171B"/>
    <w:rsid w:val="575A3304"/>
    <w:rsid w:val="575B1509"/>
    <w:rsid w:val="575B6642"/>
    <w:rsid w:val="5760750F"/>
    <w:rsid w:val="5762690E"/>
    <w:rsid w:val="57631C4F"/>
    <w:rsid w:val="57647A77"/>
    <w:rsid w:val="57696182"/>
    <w:rsid w:val="576A5AB3"/>
    <w:rsid w:val="576E4809"/>
    <w:rsid w:val="5776207A"/>
    <w:rsid w:val="5777001D"/>
    <w:rsid w:val="57841AE3"/>
    <w:rsid w:val="578765B1"/>
    <w:rsid w:val="57882655"/>
    <w:rsid w:val="578D0671"/>
    <w:rsid w:val="579173E8"/>
    <w:rsid w:val="579279D3"/>
    <w:rsid w:val="579533F5"/>
    <w:rsid w:val="57972EDD"/>
    <w:rsid w:val="579833C7"/>
    <w:rsid w:val="579C22E5"/>
    <w:rsid w:val="579F124B"/>
    <w:rsid w:val="579F1DAE"/>
    <w:rsid w:val="579F736B"/>
    <w:rsid w:val="57A07919"/>
    <w:rsid w:val="57A175E6"/>
    <w:rsid w:val="57A4735C"/>
    <w:rsid w:val="57AB41DC"/>
    <w:rsid w:val="57AC2DE5"/>
    <w:rsid w:val="57AD6BB1"/>
    <w:rsid w:val="57AE171D"/>
    <w:rsid w:val="57B22477"/>
    <w:rsid w:val="57C00D10"/>
    <w:rsid w:val="57C4752F"/>
    <w:rsid w:val="57D12EAE"/>
    <w:rsid w:val="57D17359"/>
    <w:rsid w:val="57D6210B"/>
    <w:rsid w:val="57DA2864"/>
    <w:rsid w:val="57DB5248"/>
    <w:rsid w:val="57E052C5"/>
    <w:rsid w:val="57E27359"/>
    <w:rsid w:val="57E33345"/>
    <w:rsid w:val="57E3675A"/>
    <w:rsid w:val="57E36AD9"/>
    <w:rsid w:val="57E50C0A"/>
    <w:rsid w:val="57E61006"/>
    <w:rsid w:val="57E702A8"/>
    <w:rsid w:val="57E82B96"/>
    <w:rsid w:val="57EB1789"/>
    <w:rsid w:val="57F162CF"/>
    <w:rsid w:val="57FB0A3E"/>
    <w:rsid w:val="57FB3971"/>
    <w:rsid w:val="57FB7AD2"/>
    <w:rsid w:val="57FD6468"/>
    <w:rsid w:val="57FF0D5D"/>
    <w:rsid w:val="58022111"/>
    <w:rsid w:val="58027FC0"/>
    <w:rsid w:val="58061014"/>
    <w:rsid w:val="58072DD5"/>
    <w:rsid w:val="580D3A80"/>
    <w:rsid w:val="58157530"/>
    <w:rsid w:val="58177E6D"/>
    <w:rsid w:val="58193D57"/>
    <w:rsid w:val="581C290D"/>
    <w:rsid w:val="581D7169"/>
    <w:rsid w:val="581F5AA4"/>
    <w:rsid w:val="58231F02"/>
    <w:rsid w:val="5828033F"/>
    <w:rsid w:val="583038DC"/>
    <w:rsid w:val="583B1CCB"/>
    <w:rsid w:val="583E035B"/>
    <w:rsid w:val="58435840"/>
    <w:rsid w:val="58466A95"/>
    <w:rsid w:val="58494BCF"/>
    <w:rsid w:val="584C6158"/>
    <w:rsid w:val="58503604"/>
    <w:rsid w:val="585A399D"/>
    <w:rsid w:val="585B2B03"/>
    <w:rsid w:val="585D10B1"/>
    <w:rsid w:val="585E547A"/>
    <w:rsid w:val="58684787"/>
    <w:rsid w:val="58696207"/>
    <w:rsid w:val="586F0B01"/>
    <w:rsid w:val="58764345"/>
    <w:rsid w:val="58784CB4"/>
    <w:rsid w:val="5879513E"/>
    <w:rsid w:val="587C715A"/>
    <w:rsid w:val="587D29E3"/>
    <w:rsid w:val="587E456F"/>
    <w:rsid w:val="587F046C"/>
    <w:rsid w:val="587F5544"/>
    <w:rsid w:val="58824883"/>
    <w:rsid w:val="588774CA"/>
    <w:rsid w:val="588C1665"/>
    <w:rsid w:val="58913CAF"/>
    <w:rsid w:val="589173E6"/>
    <w:rsid w:val="58941767"/>
    <w:rsid w:val="589830CF"/>
    <w:rsid w:val="58986716"/>
    <w:rsid w:val="589D362F"/>
    <w:rsid w:val="589D4328"/>
    <w:rsid w:val="58A24967"/>
    <w:rsid w:val="58A27B71"/>
    <w:rsid w:val="58A42DC3"/>
    <w:rsid w:val="58A60785"/>
    <w:rsid w:val="58A97668"/>
    <w:rsid w:val="58AA4E6E"/>
    <w:rsid w:val="58B00A5E"/>
    <w:rsid w:val="58B36CEE"/>
    <w:rsid w:val="58B7741F"/>
    <w:rsid w:val="58BA1B0C"/>
    <w:rsid w:val="58BA4780"/>
    <w:rsid w:val="58C038B9"/>
    <w:rsid w:val="58C14082"/>
    <w:rsid w:val="58C65844"/>
    <w:rsid w:val="58CC2848"/>
    <w:rsid w:val="58D01769"/>
    <w:rsid w:val="58D13699"/>
    <w:rsid w:val="58DD6E1A"/>
    <w:rsid w:val="58DF7128"/>
    <w:rsid w:val="58E036A3"/>
    <w:rsid w:val="58E1668F"/>
    <w:rsid w:val="58E21A2E"/>
    <w:rsid w:val="58E27762"/>
    <w:rsid w:val="58E819C5"/>
    <w:rsid w:val="58EB1C2D"/>
    <w:rsid w:val="58EC0B9A"/>
    <w:rsid w:val="58F01183"/>
    <w:rsid w:val="58F0176B"/>
    <w:rsid w:val="58F36C28"/>
    <w:rsid w:val="58F513AC"/>
    <w:rsid w:val="58F56EAE"/>
    <w:rsid w:val="58F72D5C"/>
    <w:rsid w:val="58F76DD7"/>
    <w:rsid w:val="58FA782D"/>
    <w:rsid w:val="58FB4D93"/>
    <w:rsid w:val="58FC63B8"/>
    <w:rsid w:val="58FF53DC"/>
    <w:rsid w:val="59037838"/>
    <w:rsid w:val="59085D2E"/>
    <w:rsid w:val="59095A74"/>
    <w:rsid w:val="590B1310"/>
    <w:rsid w:val="590D084C"/>
    <w:rsid w:val="590D29AB"/>
    <w:rsid w:val="591449FD"/>
    <w:rsid w:val="5916025C"/>
    <w:rsid w:val="59182DE2"/>
    <w:rsid w:val="59191E98"/>
    <w:rsid w:val="591938B8"/>
    <w:rsid w:val="591E7FC1"/>
    <w:rsid w:val="59203536"/>
    <w:rsid w:val="59210615"/>
    <w:rsid w:val="592224FC"/>
    <w:rsid w:val="5928297C"/>
    <w:rsid w:val="59293254"/>
    <w:rsid w:val="592946F2"/>
    <w:rsid w:val="592A2BB7"/>
    <w:rsid w:val="592D1794"/>
    <w:rsid w:val="59316AF8"/>
    <w:rsid w:val="59353BC4"/>
    <w:rsid w:val="59370A0B"/>
    <w:rsid w:val="593810F1"/>
    <w:rsid w:val="5939790B"/>
    <w:rsid w:val="593A6829"/>
    <w:rsid w:val="593B6B10"/>
    <w:rsid w:val="59412461"/>
    <w:rsid w:val="59457D36"/>
    <w:rsid w:val="59461BD8"/>
    <w:rsid w:val="59470086"/>
    <w:rsid w:val="59471374"/>
    <w:rsid w:val="594B6D76"/>
    <w:rsid w:val="594D6775"/>
    <w:rsid w:val="5951605E"/>
    <w:rsid w:val="59555475"/>
    <w:rsid w:val="595931D6"/>
    <w:rsid w:val="595A4107"/>
    <w:rsid w:val="596233C0"/>
    <w:rsid w:val="59627615"/>
    <w:rsid w:val="59652C95"/>
    <w:rsid w:val="596830D5"/>
    <w:rsid w:val="59685936"/>
    <w:rsid w:val="596C15CC"/>
    <w:rsid w:val="596D7DE5"/>
    <w:rsid w:val="596F0652"/>
    <w:rsid w:val="596F0EAD"/>
    <w:rsid w:val="59704784"/>
    <w:rsid w:val="597306B3"/>
    <w:rsid w:val="59793D01"/>
    <w:rsid w:val="59797D5B"/>
    <w:rsid w:val="597A3BD7"/>
    <w:rsid w:val="597B0129"/>
    <w:rsid w:val="597D1136"/>
    <w:rsid w:val="597D38DA"/>
    <w:rsid w:val="598C3DCE"/>
    <w:rsid w:val="59923AC2"/>
    <w:rsid w:val="59933E32"/>
    <w:rsid w:val="59976019"/>
    <w:rsid w:val="599B0980"/>
    <w:rsid w:val="599B151E"/>
    <w:rsid w:val="599C52CB"/>
    <w:rsid w:val="599D4ABB"/>
    <w:rsid w:val="599D510B"/>
    <w:rsid w:val="599E6FD0"/>
    <w:rsid w:val="599F1B22"/>
    <w:rsid w:val="59A05252"/>
    <w:rsid w:val="59A057E1"/>
    <w:rsid w:val="59A10B73"/>
    <w:rsid w:val="59A62FD5"/>
    <w:rsid w:val="59A839DB"/>
    <w:rsid w:val="59A93543"/>
    <w:rsid w:val="59AC245C"/>
    <w:rsid w:val="59AD2CC6"/>
    <w:rsid w:val="59B27F2E"/>
    <w:rsid w:val="59B62266"/>
    <w:rsid w:val="59B75646"/>
    <w:rsid w:val="59B8093C"/>
    <w:rsid w:val="59BA76A1"/>
    <w:rsid w:val="59BB6DF1"/>
    <w:rsid w:val="59BE5A28"/>
    <w:rsid w:val="59C10811"/>
    <w:rsid w:val="59C10E84"/>
    <w:rsid w:val="59C1557A"/>
    <w:rsid w:val="59C27A9E"/>
    <w:rsid w:val="59CE38F2"/>
    <w:rsid w:val="59CE7714"/>
    <w:rsid w:val="59CF4B19"/>
    <w:rsid w:val="59D27FF0"/>
    <w:rsid w:val="59D3114B"/>
    <w:rsid w:val="59D50BC6"/>
    <w:rsid w:val="59D67F2B"/>
    <w:rsid w:val="59D70C70"/>
    <w:rsid w:val="59D75B77"/>
    <w:rsid w:val="59D92289"/>
    <w:rsid w:val="59E774AC"/>
    <w:rsid w:val="59ED0A36"/>
    <w:rsid w:val="59EF3FB7"/>
    <w:rsid w:val="59EF5056"/>
    <w:rsid w:val="59F241E2"/>
    <w:rsid w:val="59F504D1"/>
    <w:rsid w:val="59F512F2"/>
    <w:rsid w:val="59FC734B"/>
    <w:rsid w:val="5A036E17"/>
    <w:rsid w:val="5A03780B"/>
    <w:rsid w:val="5A0547B0"/>
    <w:rsid w:val="5A065DC1"/>
    <w:rsid w:val="5A090B79"/>
    <w:rsid w:val="5A090EA4"/>
    <w:rsid w:val="5A0B72B0"/>
    <w:rsid w:val="5A0C3FB9"/>
    <w:rsid w:val="5A120381"/>
    <w:rsid w:val="5A1636EB"/>
    <w:rsid w:val="5A1A3A15"/>
    <w:rsid w:val="5A232338"/>
    <w:rsid w:val="5A244D6E"/>
    <w:rsid w:val="5A250B2A"/>
    <w:rsid w:val="5A26091D"/>
    <w:rsid w:val="5A2770A2"/>
    <w:rsid w:val="5A291504"/>
    <w:rsid w:val="5A321DB1"/>
    <w:rsid w:val="5A3C23BC"/>
    <w:rsid w:val="5A401077"/>
    <w:rsid w:val="5A403470"/>
    <w:rsid w:val="5A4057E0"/>
    <w:rsid w:val="5A454148"/>
    <w:rsid w:val="5A464DF5"/>
    <w:rsid w:val="5A481DB3"/>
    <w:rsid w:val="5A487EBE"/>
    <w:rsid w:val="5A4927B3"/>
    <w:rsid w:val="5A4D522C"/>
    <w:rsid w:val="5A507E6C"/>
    <w:rsid w:val="5A537E0A"/>
    <w:rsid w:val="5A561173"/>
    <w:rsid w:val="5A5B3DDF"/>
    <w:rsid w:val="5A5B47A6"/>
    <w:rsid w:val="5A5D2831"/>
    <w:rsid w:val="5A610DE3"/>
    <w:rsid w:val="5A6263E8"/>
    <w:rsid w:val="5A690A60"/>
    <w:rsid w:val="5A6B7A55"/>
    <w:rsid w:val="5A6C04FC"/>
    <w:rsid w:val="5A6C0898"/>
    <w:rsid w:val="5A6F1CE5"/>
    <w:rsid w:val="5A751A77"/>
    <w:rsid w:val="5A774725"/>
    <w:rsid w:val="5A7B2D22"/>
    <w:rsid w:val="5A7B5E3A"/>
    <w:rsid w:val="5A7D241B"/>
    <w:rsid w:val="5A7D51FF"/>
    <w:rsid w:val="5A875654"/>
    <w:rsid w:val="5A883D16"/>
    <w:rsid w:val="5A885A36"/>
    <w:rsid w:val="5A8B64E5"/>
    <w:rsid w:val="5A8D3FFF"/>
    <w:rsid w:val="5A8D43C4"/>
    <w:rsid w:val="5A8E72C7"/>
    <w:rsid w:val="5A914DEB"/>
    <w:rsid w:val="5A97320D"/>
    <w:rsid w:val="5A9A0B39"/>
    <w:rsid w:val="5A9D4C45"/>
    <w:rsid w:val="5A9E17CF"/>
    <w:rsid w:val="5A9F2360"/>
    <w:rsid w:val="5AA07360"/>
    <w:rsid w:val="5AA07C49"/>
    <w:rsid w:val="5AA51487"/>
    <w:rsid w:val="5AA9702B"/>
    <w:rsid w:val="5AAB331D"/>
    <w:rsid w:val="5AB1047C"/>
    <w:rsid w:val="5AB219E0"/>
    <w:rsid w:val="5AB308A8"/>
    <w:rsid w:val="5AB7289D"/>
    <w:rsid w:val="5AB86F9E"/>
    <w:rsid w:val="5AB87384"/>
    <w:rsid w:val="5AB97EEF"/>
    <w:rsid w:val="5ABB5916"/>
    <w:rsid w:val="5ABC5776"/>
    <w:rsid w:val="5ABF1E11"/>
    <w:rsid w:val="5ABF660C"/>
    <w:rsid w:val="5AC05795"/>
    <w:rsid w:val="5AC47B63"/>
    <w:rsid w:val="5AC50892"/>
    <w:rsid w:val="5ACA0A62"/>
    <w:rsid w:val="5ACB4C1B"/>
    <w:rsid w:val="5ACE23E0"/>
    <w:rsid w:val="5ACE7CF3"/>
    <w:rsid w:val="5AD53E82"/>
    <w:rsid w:val="5ADB510F"/>
    <w:rsid w:val="5AE26702"/>
    <w:rsid w:val="5AE61E02"/>
    <w:rsid w:val="5AE63CF3"/>
    <w:rsid w:val="5AE74FA6"/>
    <w:rsid w:val="5AE93627"/>
    <w:rsid w:val="5AF029EE"/>
    <w:rsid w:val="5AF14BDF"/>
    <w:rsid w:val="5AF455BD"/>
    <w:rsid w:val="5AF4607F"/>
    <w:rsid w:val="5AF557B0"/>
    <w:rsid w:val="5AFB1A5A"/>
    <w:rsid w:val="5B016925"/>
    <w:rsid w:val="5B020DFD"/>
    <w:rsid w:val="5B03624F"/>
    <w:rsid w:val="5B0A2B69"/>
    <w:rsid w:val="5B0D5AA4"/>
    <w:rsid w:val="5B16672E"/>
    <w:rsid w:val="5B1A77B0"/>
    <w:rsid w:val="5B1D1EFD"/>
    <w:rsid w:val="5B1F226D"/>
    <w:rsid w:val="5B20126E"/>
    <w:rsid w:val="5B201A2B"/>
    <w:rsid w:val="5B22045D"/>
    <w:rsid w:val="5B251CFE"/>
    <w:rsid w:val="5B2A09FE"/>
    <w:rsid w:val="5B2A2C01"/>
    <w:rsid w:val="5B31631E"/>
    <w:rsid w:val="5B320A63"/>
    <w:rsid w:val="5B337D0F"/>
    <w:rsid w:val="5B3413DA"/>
    <w:rsid w:val="5B3755B0"/>
    <w:rsid w:val="5B3874E7"/>
    <w:rsid w:val="5B393372"/>
    <w:rsid w:val="5B4432D8"/>
    <w:rsid w:val="5B451278"/>
    <w:rsid w:val="5B47337E"/>
    <w:rsid w:val="5B4A3FF7"/>
    <w:rsid w:val="5B4E3A94"/>
    <w:rsid w:val="5B4F748E"/>
    <w:rsid w:val="5B530071"/>
    <w:rsid w:val="5B5C68D5"/>
    <w:rsid w:val="5B5D36F0"/>
    <w:rsid w:val="5B6B360D"/>
    <w:rsid w:val="5B6C436E"/>
    <w:rsid w:val="5B72241E"/>
    <w:rsid w:val="5B7257DB"/>
    <w:rsid w:val="5B7564DE"/>
    <w:rsid w:val="5B7C7512"/>
    <w:rsid w:val="5B7E5C7C"/>
    <w:rsid w:val="5B800747"/>
    <w:rsid w:val="5B831C72"/>
    <w:rsid w:val="5B86391A"/>
    <w:rsid w:val="5B86580D"/>
    <w:rsid w:val="5B877FE6"/>
    <w:rsid w:val="5B896D58"/>
    <w:rsid w:val="5B897265"/>
    <w:rsid w:val="5B9B5885"/>
    <w:rsid w:val="5B9B7598"/>
    <w:rsid w:val="5B9D7EFC"/>
    <w:rsid w:val="5B9E1F4D"/>
    <w:rsid w:val="5B9E4239"/>
    <w:rsid w:val="5BAE35BC"/>
    <w:rsid w:val="5BAE5053"/>
    <w:rsid w:val="5BB172C6"/>
    <w:rsid w:val="5BBD19B7"/>
    <w:rsid w:val="5BC45C62"/>
    <w:rsid w:val="5BC93632"/>
    <w:rsid w:val="5BCC6095"/>
    <w:rsid w:val="5BD04A5E"/>
    <w:rsid w:val="5BD20926"/>
    <w:rsid w:val="5BD353AD"/>
    <w:rsid w:val="5BD71490"/>
    <w:rsid w:val="5BDA54BC"/>
    <w:rsid w:val="5BDC4A8F"/>
    <w:rsid w:val="5BE046F7"/>
    <w:rsid w:val="5BEF09B6"/>
    <w:rsid w:val="5BF32B2B"/>
    <w:rsid w:val="5BF437CE"/>
    <w:rsid w:val="5BF4544C"/>
    <w:rsid w:val="5BF47831"/>
    <w:rsid w:val="5BF83FFC"/>
    <w:rsid w:val="5BFA5586"/>
    <w:rsid w:val="5BFC0BED"/>
    <w:rsid w:val="5BFE6B2A"/>
    <w:rsid w:val="5C0468CB"/>
    <w:rsid w:val="5C065E7F"/>
    <w:rsid w:val="5C066028"/>
    <w:rsid w:val="5C0B0F3F"/>
    <w:rsid w:val="5C0D7851"/>
    <w:rsid w:val="5C124FCE"/>
    <w:rsid w:val="5C147DF0"/>
    <w:rsid w:val="5C147ED7"/>
    <w:rsid w:val="5C1D17FF"/>
    <w:rsid w:val="5C231102"/>
    <w:rsid w:val="5C262CA5"/>
    <w:rsid w:val="5C274260"/>
    <w:rsid w:val="5C2813A3"/>
    <w:rsid w:val="5C283658"/>
    <w:rsid w:val="5C2905B3"/>
    <w:rsid w:val="5C300E69"/>
    <w:rsid w:val="5C303123"/>
    <w:rsid w:val="5C3333F4"/>
    <w:rsid w:val="5C3505C3"/>
    <w:rsid w:val="5C353EC9"/>
    <w:rsid w:val="5C383A2A"/>
    <w:rsid w:val="5C3D1CA8"/>
    <w:rsid w:val="5C3E59F5"/>
    <w:rsid w:val="5C441C9F"/>
    <w:rsid w:val="5C4506E8"/>
    <w:rsid w:val="5C4570F2"/>
    <w:rsid w:val="5C467B31"/>
    <w:rsid w:val="5C4725D1"/>
    <w:rsid w:val="5C4F3C99"/>
    <w:rsid w:val="5C5156BA"/>
    <w:rsid w:val="5C570C9A"/>
    <w:rsid w:val="5C5C77C3"/>
    <w:rsid w:val="5C6115F5"/>
    <w:rsid w:val="5C6162B6"/>
    <w:rsid w:val="5C670823"/>
    <w:rsid w:val="5C6A227A"/>
    <w:rsid w:val="5C73613A"/>
    <w:rsid w:val="5C75532C"/>
    <w:rsid w:val="5C783868"/>
    <w:rsid w:val="5C7B2988"/>
    <w:rsid w:val="5C830D2F"/>
    <w:rsid w:val="5C886D33"/>
    <w:rsid w:val="5C8935F8"/>
    <w:rsid w:val="5C8E0504"/>
    <w:rsid w:val="5C8E5257"/>
    <w:rsid w:val="5C913CEC"/>
    <w:rsid w:val="5C9261CE"/>
    <w:rsid w:val="5C935C62"/>
    <w:rsid w:val="5C98223C"/>
    <w:rsid w:val="5C9C45F5"/>
    <w:rsid w:val="5CA10DCD"/>
    <w:rsid w:val="5CA25B70"/>
    <w:rsid w:val="5CA36085"/>
    <w:rsid w:val="5CAB35FD"/>
    <w:rsid w:val="5CAC1231"/>
    <w:rsid w:val="5CAD69C7"/>
    <w:rsid w:val="5CB33FF3"/>
    <w:rsid w:val="5CB51FC3"/>
    <w:rsid w:val="5CC00A36"/>
    <w:rsid w:val="5CC22F23"/>
    <w:rsid w:val="5CC82BF8"/>
    <w:rsid w:val="5CC83AD1"/>
    <w:rsid w:val="5CCE115B"/>
    <w:rsid w:val="5CCF76BD"/>
    <w:rsid w:val="5CD009A6"/>
    <w:rsid w:val="5CD54825"/>
    <w:rsid w:val="5CD552A1"/>
    <w:rsid w:val="5CD64D1B"/>
    <w:rsid w:val="5CE30257"/>
    <w:rsid w:val="5CE518D4"/>
    <w:rsid w:val="5CE66189"/>
    <w:rsid w:val="5CE7748C"/>
    <w:rsid w:val="5CE842FA"/>
    <w:rsid w:val="5CEB5827"/>
    <w:rsid w:val="5CED0719"/>
    <w:rsid w:val="5CF7440C"/>
    <w:rsid w:val="5CFF0E8F"/>
    <w:rsid w:val="5D013C18"/>
    <w:rsid w:val="5D0156A0"/>
    <w:rsid w:val="5D030BF4"/>
    <w:rsid w:val="5D035E1B"/>
    <w:rsid w:val="5D080127"/>
    <w:rsid w:val="5D08779B"/>
    <w:rsid w:val="5D0A5F21"/>
    <w:rsid w:val="5D0F1BAD"/>
    <w:rsid w:val="5D103D6D"/>
    <w:rsid w:val="5D107299"/>
    <w:rsid w:val="5D136A56"/>
    <w:rsid w:val="5D2004F2"/>
    <w:rsid w:val="5D227E3E"/>
    <w:rsid w:val="5D24102D"/>
    <w:rsid w:val="5D2A3721"/>
    <w:rsid w:val="5D2A42EF"/>
    <w:rsid w:val="5D2C3A70"/>
    <w:rsid w:val="5D2C7BFF"/>
    <w:rsid w:val="5D2F6999"/>
    <w:rsid w:val="5D312BF2"/>
    <w:rsid w:val="5D3A3058"/>
    <w:rsid w:val="5D3B143C"/>
    <w:rsid w:val="5D3C5B9C"/>
    <w:rsid w:val="5D3C67B9"/>
    <w:rsid w:val="5D3D74E6"/>
    <w:rsid w:val="5D417411"/>
    <w:rsid w:val="5D423D5A"/>
    <w:rsid w:val="5D43087B"/>
    <w:rsid w:val="5D4353C2"/>
    <w:rsid w:val="5D452BB8"/>
    <w:rsid w:val="5D4677C4"/>
    <w:rsid w:val="5D492DCC"/>
    <w:rsid w:val="5D493925"/>
    <w:rsid w:val="5D4D6516"/>
    <w:rsid w:val="5D512A0B"/>
    <w:rsid w:val="5D530C15"/>
    <w:rsid w:val="5D54490C"/>
    <w:rsid w:val="5D5959D4"/>
    <w:rsid w:val="5D5A45B7"/>
    <w:rsid w:val="5D6041C1"/>
    <w:rsid w:val="5D664BCF"/>
    <w:rsid w:val="5D666D12"/>
    <w:rsid w:val="5D691AFF"/>
    <w:rsid w:val="5D6A7213"/>
    <w:rsid w:val="5D6B5CED"/>
    <w:rsid w:val="5D7345FF"/>
    <w:rsid w:val="5D743F0E"/>
    <w:rsid w:val="5D760885"/>
    <w:rsid w:val="5D7709E9"/>
    <w:rsid w:val="5D7B6D6A"/>
    <w:rsid w:val="5D815595"/>
    <w:rsid w:val="5D884FE4"/>
    <w:rsid w:val="5D8A1FEE"/>
    <w:rsid w:val="5D8A2ADA"/>
    <w:rsid w:val="5D8E3564"/>
    <w:rsid w:val="5D9230C7"/>
    <w:rsid w:val="5D931F78"/>
    <w:rsid w:val="5D942970"/>
    <w:rsid w:val="5D974700"/>
    <w:rsid w:val="5D985770"/>
    <w:rsid w:val="5D9A1C56"/>
    <w:rsid w:val="5D9A4C2A"/>
    <w:rsid w:val="5DA1220D"/>
    <w:rsid w:val="5DA844B4"/>
    <w:rsid w:val="5DA9754A"/>
    <w:rsid w:val="5DAA0E57"/>
    <w:rsid w:val="5DAA17B3"/>
    <w:rsid w:val="5DAD0945"/>
    <w:rsid w:val="5DAE3079"/>
    <w:rsid w:val="5DAF2504"/>
    <w:rsid w:val="5DB2593A"/>
    <w:rsid w:val="5DB41685"/>
    <w:rsid w:val="5DB82F19"/>
    <w:rsid w:val="5DBA602F"/>
    <w:rsid w:val="5DBC16C2"/>
    <w:rsid w:val="5DC2376F"/>
    <w:rsid w:val="5DC23858"/>
    <w:rsid w:val="5DC46348"/>
    <w:rsid w:val="5DC7240D"/>
    <w:rsid w:val="5DC8108C"/>
    <w:rsid w:val="5DCB065C"/>
    <w:rsid w:val="5DCC5771"/>
    <w:rsid w:val="5DCC702D"/>
    <w:rsid w:val="5DD107C0"/>
    <w:rsid w:val="5DD36B37"/>
    <w:rsid w:val="5DD42BF4"/>
    <w:rsid w:val="5DD52D4F"/>
    <w:rsid w:val="5DD637D3"/>
    <w:rsid w:val="5DD641F9"/>
    <w:rsid w:val="5DD65321"/>
    <w:rsid w:val="5DD76504"/>
    <w:rsid w:val="5DDA3283"/>
    <w:rsid w:val="5DDC6452"/>
    <w:rsid w:val="5DDC6A40"/>
    <w:rsid w:val="5DDD1AD2"/>
    <w:rsid w:val="5DDE0EA2"/>
    <w:rsid w:val="5DE31863"/>
    <w:rsid w:val="5DE43566"/>
    <w:rsid w:val="5DE60730"/>
    <w:rsid w:val="5DEB513C"/>
    <w:rsid w:val="5DEC3199"/>
    <w:rsid w:val="5DED062A"/>
    <w:rsid w:val="5DEF36F0"/>
    <w:rsid w:val="5DF150F3"/>
    <w:rsid w:val="5DF473D6"/>
    <w:rsid w:val="5DF973B5"/>
    <w:rsid w:val="5DFF3E1B"/>
    <w:rsid w:val="5E00221F"/>
    <w:rsid w:val="5E013F56"/>
    <w:rsid w:val="5E020C0E"/>
    <w:rsid w:val="5E051046"/>
    <w:rsid w:val="5E094C5A"/>
    <w:rsid w:val="5E0A157D"/>
    <w:rsid w:val="5E0D378B"/>
    <w:rsid w:val="5E144547"/>
    <w:rsid w:val="5E171C74"/>
    <w:rsid w:val="5E1C3A9C"/>
    <w:rsid w:val="5E1C4AF1"/>
    <w:rsid w:val="5E1C60E8"/>
    <w:rsid w:val="5E1F7B49"/>
    <w:rsid w:val="5E230B5B"/>
    <w:rsid w:val="5E2433D4"/>
    <w:rsid w:val="5E272915"/>
    <w:rsid w:val="5E292ABD"/>
    <w:rsid w:val="5E2B05E8"/>
    <w:rsid w:val="5E2F3CDF"/>
    <w:rsid w:val="5E302FE4"/>
    <w:rsid w:val="5E314CF9"/>
    <w:rsid w:val="5E333414"/>
    <w:rsid w:val="5E334E2D"/>
    <w:rsid w:val="5E3376A4"/>
    <w:rsid w:val="5E351438"/>
    <w:rsid w:val="5E353F79"/>
    <w:rsid w:val="5E362AF1"/>
    <w:rsid w:val="5E390154"/>
    <w:rsid w:val="5E397C26"/>
    <w:rsid w:val="5E3D721F"/>
    <w:rsid w:val="5E3E1EEC"/>
    <w:rsid w:val="5E411479"/>
    <w:rsid w:val="5E413BE2"/>
    <w:rsid w:val="5E441FA6"/>
    <w:rsid w:val="5E4749E4"/>
    <w:rsid w:val="5E495EBE"/>
    <w:rsid w:val="5E4B58FF"/>
    <w:rsid w:val="5E4E045D"/>
    <w:rsid w:val="5E544E9C"/>
    <w:rsid w:val="5E5A1F80"/>
    <w:rsid w:val="5E5C0171"/>
    <w:rsid w:val="5E5E0BCC"/>
    <w:rsid w:val="5E622C58"/>
    <w:rsid w:val="5E6D0AD0"/>
    <w:rsid w:val="5E6F42A4"/>
    <w:rsid w:val="5E723E62"/>
    <w:rsid w:val="5E727BE2"/>
    <w:rsid w:val="5E744E8F"/>
    <w:rsid w:val="5E747E83"/>
    <w:rsid w:val="5E75436B"/>
    <w:rsid w:val="5E761A06"/>
    <w:rsid w:val="5E766775"/>
    <w:rsid w:val="5E7919A2"/>
    <w:rsid w:val="5E7A3CD6"/>
    <w:rsid w:val="5E7E220F"/>
    <w:rsid w:val="5E830A66"/>
    <w:rsid w:val="5E834CD9"/>
    <w:rsid w:val="5E86141F"/>
    <w:rsid w:val="5E8C62E0"/>
    <w:rsid w:val="5E8E0C96"/>
    <w:rsid w:val="5E8F2B97"/>
    <w:rsid w:val="5E90636B"/>
    <w:rsid w:val="5E912640"/>
    <w:rsid w:val="5E9B0341"/>
    <w:rsid w:val="5EA10290"/>
    <w:rsid w:val="5EA44E0B"/>
    <w:rsid w:val="5EA55254"/>
    <w:rsid w:val="5EA7464B"/>
    <w:rsid w:val="5EA772AE"/>
    <w:rsid w:val="5EAA50D7"/>
    <w:rsid w:val="5EAC4746"/>
    <w:rsid w:val="5EAF55A4"/>
    <w:rsid w:val="5EB40C75"/>
    <w:rsid w:val="5EBE50FA"/>
    <w:rsid w:val="5EBF4F29"/>
    <w:rsid w:val="5EC621E8"/>
    <w:rsid w:val="5EC901E9"/>
    <w:rsid w:val="5ECC1DF8"/>
    <w:rsid w:val="5ED10CBD"/>
    <w:rsid w:val="5ED13889"/>
    <w:rsid w:val="5ED65F73"/>
    <w:rsid w:val="5EDA7AFA"/>
    <w:rsid w:val="5EDE157C"/>
    <w:rsid w:val="5EDF3A56"/>
    <w:rsid w:val="5EED79B0"/>
    <w:rsid w:val="5EEE35BC"/>
    <w:rsid w:val="5EEE6BD9"/>
    <w:rsid w:val="5EF30CC0"/>
    <w:rsid w:val="5EF979A1"/>
    <w:rsid w:val="5EFD3B52"/>
    <w:rsid w:val="5F00341D"/>
    <w:rsid w:val="5F064A5A"/>
    <w:rsid w:val="5F071747"/>
    <w:rsid w:val="5F094460"/>
    <w:rsid w:val="5F0E78EF"/>
    <w:rsid w:val="5F0F6C58"/>
    <w:rsid w:val="5F176DF6"/>
    <w:rsid w:val="5F181F15"/>
    <w:rsid w:val="5F1B205C"/>
    <w:rsid w:val="5F271253"/>
    <w:rsid w:val="5F2911F5"/>
    <w:rsid w:val="5F2B5D4D"/>
    <w:rsid w:val="5F2D11E4"/>
    <w:rsid w:val="5F325083"/>
    <w:rsid w:val="5F3308D9"/>
    <w:rsid w:val="5F332C19"/>
    <w:rsid w:val="5F372AAE"/>
    <w:rsid w:val="5F375022"/>
    <w:rsid w:val="5F3A2A01"/>
    <w:rsid w:val="5F3B5B1E"/>
    <w:rsid w:val="5F41052D"/>
    <w:rsid w:val="5F454E99"/>
    <w:rsid w:val="5F456759"/>
    <w:rsid w:val="5F465AED"/>
    <w:rsid w:val="5F482F08"/>
    <w:rsid w:val="5F5472BA"/>
    <w:rsid w:val="5F5571ED"/>
    <w:rsid w:val="5F58097C"/>
    <w:rsid w:val="5F5A520C"/>
    <w:rsid w:val="5F634564"/>
    <w:rsid w:val="5F662463"/>
    <w:rsid w:val="5F6664B5"/>
    <w:rsid w:val="5F6C78E0"/>
    <w:rsid w:val="5F6E1879"/>
    <w:rsid w:val="5F735779"/>
    <w:rsid w:val="5F77798A"/>
    <w:rsid w:val="5F7B0D7E"/>
    <w:rsid w:val="5F7B60A0"/>
    <w:rsid w:val="5F7F5990"/>
    <w:rsid w:val="5F810509"/>
    <w:rsid w:val="5F875EF9"/>
    <w:rsid w:val="5F8908C1"/>
    <w:rsid w:val="5F8E17C3"/>
    <w:rsid w:val="5F8F6706"/>
    <w:rsid w:val="5F90142F"/>
    <w:rsid w:val="5F994BCA"/>
    <w:rsid w:val="5F9A3638"/>
    <w:rsid w:val="5F9D653B"/>
    <w:rsid w:val="5F9E0D42"/>
    <w:rsid w:val="5F9E35EA"/>
    <w:rsid w:val="5FA06044"/>
    <w:rsid w:val="5FA07333"/>
    <w:rsid w:val="5FA31D2D"/>
    <w:rsid w:val="5FA56935"/>
    <w:rsid w:val="5FA73A94"/>
    <w:rsid w:val="5FAA0023"/>
    <w:rsid w:val="5FB40EB1"/>
    <w:rsid w:val="5FB41214"/>
    <w:rsid w:val="5FBA64B5"/>
    <w:rsid w:val="5FBE24A0"/>
    <w:rsid w:val="5FBE32FA"/>
    <w:rsid w:val="5FCA441B"/>
    <w:rsid w:val="5FCB1BE9"/>
    <w:rsid w:val="5FD45A60"/>
    <w:rsid w:val="5FD61BF0"/>
    <w:rsid w:val="5FE54F89"/>
    <w:rsid w:val="5FEF348A"/>
    <w:rsid w:val="5FF075E6"/>
    <w:rsid w:val="5FF75237"/>
    <w:rsid w:val="5FFA0A11"/>
    <w:rsid w:val="5FFD03E4"/>
    <w:rsid w:val="5FFD1E84"/>
    <w:rsid w:val="60007B9E"/>
    <w:rsid w:val="60026E7C"/>
    <w:rsid w:val="60064A7C"/>
    <w:rsid w:val="600A0CA2"/>
    <w:rsid w:val="600C6A93"/>
    <w:rsid w:val="60141957"/>
    <w:rsid w:val="601510B8"/>
    <w:rsid w:val="60167E72"/>
    <w:rsid w:val="601B1D3C"/>
    <w:rsid w:val="601D3839"/>
    <w:rsid w:val="60241965"/>
    <w:rsid w:val="60291A40"/>
    <w:rsid w:val="602B5B6B"/>
    <w:rsid w:val="602E0189"/>
    <w:rsid w:val="60321A8A"/>
    <w:rsid w:val="603261B0"/>
    <w:rsid w:val="6034261D"/>
    <w:rsid w:val="603612D9"/>
    <w:rsid w:val="603705D1"/>
    <w:rsid w:val="603B452F"/>
    <w:rsid w:val="603B6334"/>
    <w:rsid w:val="603E3730"/>
    <w:rsid w:val="60445F5A"/>
    <w:rsid w:val="60455152"/>
    <w:rsid w:val="604B4C48"/>
    <w:rsid w:val="604D4B3D"/>
    <w:rsid w:val="604F0F97"/>
    <w:rsid w:val="60515C03"/>
    <w:rsid w:val="60567CB4"/>
    <w:rsid w:val="605A7C4A"/>
    <w:rsid w:val="605B7309"/>
    <w:rsid w:val="605F6E93"/>
    <w:rsid w:val="60682E24"/>
    <w:rsid w:val="6069385A"/>
    <w:rsid w:val="606A69F6"/>
    <w:rsid w:val="6071300E"/>
    <w:rsid w:val="60767019"/>
    <w:rsid w:val="60786A7E"/>
    <w:rsid w:val="607C7B56"/>
    <w:rsid w:val="60807BAF"/>
    <w:rsid w:val="60817F9C"/>
    <w:rsid w:val="60866A5A"/>
    <w:rsid w:val="608729F1"/>
    <w:rsid w:val="608E042C"/>
    <w:rsid w:val="608E1B76"/>
    <w:rsid w:val="60902549"/>
    <w:rsid w:val="6092678B"/>
    <w:rsid w:val="609A4C5F"/>
    <w:rsid w:val="60A10368"/>
    <w:rsid w:val="60A23C09"/>
    <w:rsid w:val="60A33B34"/>
    <w:rsid w:val="60AB76E1"/>
    <w:rsid w:val="60AE0906"/>
    <w:rsid w:val="60B25A2F"/>
    <w:rsid w:val="60BF74A8"/>
    <w:rsid w:val="60C04EAA"/>
    <w:rsid w:val="60C33F81"/>
    <w:rsid w:val="60C77849"/>
    <w:rsid w:val="60C813F2"/>
    <w:rsid w:val="60CA6A4A"/>
    <w:rsid w:val="60CD0C1D"/>
    <w:rsid w:val="60CF19DE"/>
    <w:rsid w:val="60D868E4"/>
    <w:rsid w:val="60DA52FF"/>
    <w:rsid w:val="60DB58E9"/>
    <w:rsid w:val="60DD1D97"/>
    <w:rsid w:val="60E07ECF"/>
    <w:rsid w:val="60E326DA"/>
    <w:rsid w:val="60E4272A"/>
    <w:rsid w:val="60E443E6"/>
    <w:rsid w:val="60E53A8E"/>
    <w:rsid w:val="60EB739D"/>
    <w:rsid w:val="60F047BA"/>
    <w:rsid w:val="60F202E5"/>
    <w:rsid w:val="60F56C1D"/>
    <w:rsid w:val="60F67A36"/>
    <w:rsid w:val="60FB3A55"/>
    <w:rsid w:val="60FB45C7"/>
    <w:rsid w:val="60FC0ACC"/>
    <w:rsid w:val="61005A34"/>
    <w:rsid w:val="6106282C"/>
    <w:rsid w:val="610F7A37"/>
    <w:rsid w:val="611600CB"/>
    <w:rsid w:val="61177FC4"/>
    <w:rsid w:val="61187F93"/>
    <w:rsid w:val="611A5016"/>
    <w:rsid w:val="611C0079"/>
    <w:rsid w:val="611E5984"/>
    <w:rsid w:val="611E62B2"/>
    <w:rsid w:val="611F00EF"/>
    <w:rsid w:val="6124336F"/>
    <w:rsid w:val="6128688B"/>
    <w:rsid w:val="612917C6"/>
    <w:rsid w:val="612D7872"/>
    <w:rsid w:val="613141FB"/>
    <w:rsid w:val="61316BF5"/>
    <w:rsid w:val="61336FD4"/>
    <w:rsid w:val="613D6DED"/>
    <w:rsid w:val="613E2406"/>
    <w:rsid w:val="613E4A57"/>
    <w:rsid w:val="613E77FB"/>
    <w:rsid w:val="61445FDC"/>
    <w:rsid w:val="61456D20"/>
    <w:rsid w:val="61460C3C"/>
    <w:rsid w:val="614712A0"/>
    <w:rsid w:val="61493412"/>
    <w:rsid w:val="61517162"/>
    <w:rsid w:val="61546C78"/>
    <w:rsid w:val="61550627"/>
    <w:rsid w:val="615558A9"/>
    <w:rsid w:val="61566314"/>
    <w:rsid w:val="615851D8"/>
    <w:rsid w:val="615B1D99"/>
    <w:rsid w:val="61604F19"/>
    <w:rsid w:val="61624570"/>
    <w:rsid w:val="616441DC"/>
    <w:rsid w:val="61670D54"/>
    <w:rsid w:val="616868DE"/>
    <w:rsid w:val="616A0475"/>
    <w:rsid w:val="616A3CC4"/>
    <w:rsid w:val="616B5B76"/>
    <w:rsid w:val="616E71B9"/>
    <w:rsid w:val="61754788"/>
    <w:rsid w:val="617D36E0"/>
    <w:rsid w:val="61835425"/>
    <w:rsid w:val="618715EB"/>
    <w:rsid w:val="618B4654"/>
    <w:rsid w:val="618D1D6F"/>
    <w:rsid w:val="618E565E"/>
    <w:rsid w:val="618F65C8"/>
    <w:rsid w:val="61937C17"/>
    <w:rsid w:val="619453D1"/>
    <w:rsid w:val="619568DC"/>
    <w:rsid w:val="619B4EBE"/>
    <w:rsid w:val="619C6BC6"/>
    <w:rsid w:val="61A73065"/>
    <w:rsid w:val="61AA062E"/>
    <w:rsid w:val="61AB3576"/>
    <w:rsid w:val="61AD3DAB"/>
    <w:rsid w:val="61B3557D"/>
    <w:rsid w:val="61B63E81"/>
    <w:rsid w:val="61B70E98"/>
    <w:rsid w:val="61BB7F48"/>
    <w:rsid w:val="61BE2184"/>
    <w:rsid w:val="61BF6E39"/>
    <w:rsid w:val="61C26F6D"/>
    <w:rsid w:val="61C31AC8"/>
    <w:rsid w:val="61C342F5"/>
    <w:rsid w:val="61C423C9"/>
    <w:rsid w:val="61C55419"/>
    <w:rsid w:val="61CA5F2E"/>
    <w:rsid w:val="61D036B5"/>
    <w:rsid w:val="61D3702C"/>
    <w:rsid w:val="61E03D91"/>
    <w:rsid w:val="61E20A81"/>
    <w:rsid w:val="61F01D56"/>
    <w:rsid w:val="61FE049F"/>
    <w:rsid w:val="620244AB"/>
    <w:rsid w:val="620A038B"/>
    <w:rsid w:val="620A741D"/>
    <w:rsid w:val="620B1481"/>
    <w:rsid w:val="620B14A9"/>
    <w:rsid w:val="620B747A"/>
    <w:rsid w:val="620D7282"/>
    <w:rsid w:val="62107DF5"/>
    <w:rsid w:val="62175B0A"/>
    <w:rsid w:val="621A4B27"/>
    <w:rsid w:val="621E2346"/>
    <w:rsid w:val="62226509"/>
    <w:rsid w:val="622A4F1E"/>
    <w:rsid w:val="622F75D1"/>
    <w:rsid w:val="62351786"/>
    <w:rsid w:val="623607D4"/>
    <w:rsid w:val="62372B22"/>
    <w:rsid w:val="623C4D7A"/>
    <w:rsid w:val="623F618F"/>
    <w:rsid w:val="62404E7B"/>
    <w:rsid w:val="6241158C"/>
    <w:rsid w:val="62413AD3"/>
    <w:rsid w:val="62496C61"/>
    <w:rsid w:val="624B27D7"/>
    <w:rsid w:val="6256159B"/>
    <w:rsid w:val="62566BD1"/>
    <w:rsid w:val="625836DD"/>
    <w:rsid w:val="625E3ACE"/>
    <w:rsid w:val="625E5F76"/>
    <w:rsid w:val="625F36CA"/>
    <w:rsid w:val="626557A0"/>
    <w:rsid w:val="62673A15"/>
    <w:rsid w:val="626769EE"/>
    <w:rsid w:val="626A0220"/>
    <w:rsid w:val="626B4CDC"/>
    <w:rsid w:val="626E3EBC"/>
    <w:rsid w:val="627140D4"/>
    <w:rsid w:val="62740B50"/>
    <w:rsid w:val="62741755"/>
    <w:rsid w:val="62774460"/>
    <w:rsid w:val="62796FB1"/>
    <w:rsid w:val="627B5211"/>
    <w:rsid w:val="627B7D12"/>
    <w:rsid w:val="62807D73"/>
    <w:rsid w:val="628E181F"/>
    <w:rsid w:val="628E20B7"/>
    <w:rsid w:val="629C1FAC"/>
    <w:rsid w:val="62A00521"/>
    <w:rsid w:val="62A2654B"/>
    <w:rsid w:val="62A30961"/>
    <w:rsid w:val="62A57F2A"/>
    <w:rsid w:val="62AA1404"/>
    <w:rsid w:val="62AA4652"/>
    <w:rsid w:val="62AA753D"/>
    <w:rsid w:val="62AC6991"/>
    <w:rsid w:val="62AE1335"/>
    <w:rsid w:val="62B23A1A"/>
    <w:rsid w:val="62B31AB6"/>
    <w:rsid w:val="62B71D9B"/>
    <w:rsid w:val="62BB17C3"/>
    <w:rsid w:val="62BC6282"/>
    <w:rsid w:val="62C23257"/>
    <w:rsid w:val="62C4096B"/>
    <w:rsid w:val="62C53B54"/>
    <w:rsid w:val="62C80F2A"/>
    <w:rsid w:val="62CC14F6"/>
    <w:rsid w:val="62CE2D39"/>
    <w:rsid w:val="62D05AF5"/>
    <w:rsid w:val="62D1172C"/>
    <w:rsid w:val="62DF29DB"/>
    <w:rsid w:val="62E15421"/>
    <w:rsid w:val="62E15680"/>
    <w:rsid w:val="62E2669D"/>
    <w:rsid w:val="62E372B6"/>
    <w:rsid w:val="62E558E8"/>
    <w:rsid w:val="62EB01F8"/>
    <w:rsid w:val="62EB7AA7"/>
    <w:rsid w:val="62EE7F57"/>
    <w:rsid w:val="62F378BB"/>
    <w:rsid w:val="62F628F7"/>
    <w:rsid w:val="62F904A0"/>
    <w:rsid w:val="62FD121F"/>
    <w:rsid w:val="63001A4B"/>
    <w:rsid w:val="630024FF"/>
    <w:rsid w:val="630316D5"/>
    <w:rsid w:val="63032470"/>
    <w:rsid w:val="63033CB4"/>
    <w:rsid w:val="63065919"/>
    <w:rsid w:val="630A5239"/>
    <w:rsid w:val="630A6080"/>
    <w:rsid w:val="630E4BAD"/>
    <w:rsid w:val="63127B1D"/>
    <w:rsid w:val="631569F3"/>
    <w:rsid w:val="631951E1"/>
    <w:rsid w:val="631C7F2C"/>
    <w:rsid w:val="6332254B"/>
    <w:rsid w:val="633251A8"/>
    <w:rsid w:val="633258FF"/>
    <w:rsid w:val="63365B56"/>
    <w:rsid w:val="63395AE9"/>
    <w:rsid w:val="633A5A0B"/>
    <w:rsid w:val="63404F91"/>
    <w:rsid w:val="63437B51"/>
    <w:rsid w:val="63460E68"/>
    <w:rsid w:val="63471C53"/>
    <w:rsid w:val="63471CA6"/>
    <w:rsid w:val="63476711"/>
    <w:rsid w:val="63486652"/>
    <w:rsid w:val="63497B25"/>
    <w:rsid w:val="634C784F"/>
    <w:rsid w:val="634F376A"/>
    <w:rsid w:val="63511D23"/>
    <w:rsid w:val="63522A47"/>
    <w:rsid w:val="635915E2"/>
    <w:rsid w:val="635A4D5C"/>
    <w:rsid w:val="635B795A"/>
    <w:rsid w:val="6366215D"/>
    <w:rsid w:val="6369138E"/>
    <w:rsid w:val="636A5C49"/>
    <w:rsid w:val="638038F5"/>
    <w:rsid w:val="63806271"/>
    <w:rsid w:val="638701D0"/>
    <w:rsid w:val="638C58FA"/>
    <w:rsid w:val="639524F5"/>
    <w:rsid w:val="639620E5"/>
    <w:rsid w:val="639A67FF"/>
    <w:rsid w:val="639B3875"/>
    <w:rsid w:val="639C2691"/>
    <w:rsid w:val="639E11E6"/>
    <w:rsid w:val="639E4803"/>
    <w:rsid w:val="63A70AC7"/>
    <w:rsid w:val="63A97D90"/>
    <w:rsid w:val="63B108EF"/>
    <w:rsid w:val="63B30D8D"/>
    <w:rsid w:val="63B365B6"/>
    <w:rsid w:val="63B43149"/>
    <w:rsid w:val="63B91895"/>
    <w:rsid w:val="63BC7B28"/>
    <w:rsid w:val="63BF13EA"/>
    <w:rsid w:val="63CA295F"/>
    <w:rsid w:val="63CD1F5F"/>
    <w:rsid w:val="63D035C0"/>
    <w:rsid w:val="63D26EBC"/>
    <w:rsid w:val="63D472D0"/>
    <w:rsid w:val="63DA060F"/>
    <w:rsid w:val="63DB0344"/>
    <w:rsid w:val="63DD66CB"/>
    <w:rsid w:val="63E002CD"/>
    <w:rsid w:val="63E22D4E"/>
    <w:rsid w:val="63E50FF0"/>
    <w:rsid w:val="63E51EA5"/>
    <w:rsid w:val="63E77CC5"/>
    <w:rsid w:val="63E96778"/>
    <w:rsid w:val="63ED39F3"/>
    <w:rsid w:val="63EF26A0"/>
    <w:rsid w:val="63EF5744"/>
    <w:rsid w:val="63F06D4A"/>
    <w:rsid w:val="63F15338"/>
    <w:rsid w:val="63F61F66"/>
    <w:rsid w:val="63F93F08"/>
    <w:rsid w:val="63FB6B8B"/>
    <w:rsid w:val="63FF4E0C"/>
    <w:rsid w:val="64003962"/>
    <w:rsid w:val="64003EC2"/>
    <w:rsid w:val="64117B02"/>
    <w:rsid w:val="641413E8"/>
    <w:rsid w:val="64145321"/>
    <w:rsid w:val="641538F4"/>
    <w:rsid w:val="64161D98"/>
    <w:rsid w:val="64176A65"/>
    <w:rsid w:val="641968B9"/>
    <w:rsid w:val="641B2990"/>
    <w:rsid w:val="641D4096"/>
    <w:rsid w:val="641D6282"/>
    <w:rsid w:val="641E1AD2"/>
    <w:rsid w:val="6427266C"/>
    <w:rsid w:val="642C3721"/>
    <w:rsid w:val="642F7926"/>
    <w:rsid w:val="64362806"/>
    <w:rsid w:val="64364389"/>
    <w:rsid w:val="6437542F"/>
    <w:rsid w:val="643A015C"/>
    <w:rsid w:val="643A1704"/>
    <w:rsid w:val="643A3610"/>
    <w:rsid w:val="643D1AFD"/>
    <w:rsid w:val="643D2C1E"/>
    <w:rsid w:val="643F5630"/>
    <w:rsid w:val="644125DA"/>
    <w:rsid w:val="6442686E"/>
    <w:rsid w:val="644309FB"/>
    <w:rsid w:val="64447EB0"/>
    <w:rsid w:val="64507F76"/>
    <w:rsid w:val="6455712B"/>
    <w:rsid w:val="64596A48"/>
    <w:rsid w:val="645A1F86"/>
    <w:rsid w:val="645B5D0B"/>
    <w:rsid w:val="645E6B24"/>
    <w:rsid w:val="645F4029"/>
    <w:rsid w:val="64642C05"/>
    <w:rsid w:val="646560DC"/>
    <w:rsid w:val="646830FA"/>
    <w:rsid w:val="64683EC5"/>
    <w:rsid w:val="64700B31"/>
    <w:rsid w:val="64727795"/>
    <w:rsid w:val="64736B2B"/>
    <w:rsid w:val="647378DE"/>
    <w:rsid w:val="64774844"/>
    <w:rsid w:val="647913E9"/>
    <w:rsid w:val="64796C4A"/>
    <w:rsid w:val="647E4C1E"/>
    <w:rsid w:val="647F3CC9"/>
    <w:rsid w:val="648143B5"/>
    <w:rsid w:val="64892F16"/>
    <w:rsid w:val="648B7FC2"/>
    <w:rsid w:val="648E018D"/>
    <w:rsid w:val="648E2AAC"/>
    <w:rsid w:val="648E4EA3"/>
    <w:rsid w:val="648F1431"/>
    <w:rsid w:val="64975CC0"/>
    <w:rsid w:val="649A08CC"/>
    <w:rsid w:val="649B025B"/>
    <w:rsid w:val="649F5FAE"/>
    <w:rsid w:val="64A413B6"/>
    <w:rsid w:val="64AC13A3"/>
    <w:rsid w:val="64B16996"/>
    <w:rsid w:val="64B178B2"/>
    <w:rsid w:val="64C313E5"/>
    <w:rsid w:val="64C36266"/>
    <w:rsid w:val="64CA746A"/>
    <w:rsid w:val="64CC3D05"/>
    <w:rsid w:val="64CC3F0A"/>
    <w:rsid w:val="64CD7097"/>
    <w:rsid w:val="64D274E2"/>
    <w:rsid w:val="64D5566A"/>
    <w:rsid w:val="64D55963"/>
    <w:rsid w:val="64D93718"/>
    <w:rsid w:val="64DA3864"/>
    <w:rsid w:val="64DA6B84"/>
    <w:rsid w:val="64DB1162"/>
    <w:rsid w:val="64DB2B8A"/>
    <w:rsid w:val="64DC4B91"/>
    <w:rsid w:val="64E00F17"/>
    <w:rsid w:val="64E312B5"/>
    <w:rsid w:val="64E4528E"/>
    <w:rsid w:val="64E46637"/>
    <w:rsid w:val="64E8312D"/>
    <w:rsid w:val="64EA5304"/>
    <w:rsid w:val="64F00F5B"/>
    <w:rsid w:val="64F02E0B"/>
    <w:rsid w:val="65043596"/>
    <w:rsid w:val="650508BB"/>
    <w:rsid w:val="650A6B44"/>
    <w:rsid w:val="650B4CD6"/>
    <w:rsid w:val="650C090B"/>
    <w:rsid w:val="650E47E8"/>
    <w:rsid w:val="651164DB"/>
    <w:rsid w:val="65127BA7"/>
    <w:rsid w:val="65160478"/>
    <w:rsid w:val="651A3296"/>
    <w:rsid w:val="651C1275"/>
    <w:rsid w:val="651C5C75"/>
    <w:rsid w:val="651C78A6"/>
    <w:rsid w:val="65200CE6"/>
    <w:rsid w:val="65244215"/>
    <w:rsid w:val="652D34DD"/>
    <w:rsid w:val="652D6547"/>
    <w:rsid w:val="652F4F01"/>
    <w:rsid w:val="65392BCB"/>
    <w:rsid w:val="653E1D91"/>
    <w:rsid w:val="65403D9B"/>
    <w:rsid w:val="65435EE7"/>
    <w:rsid w:val="654555B7"/>
    <w:rsid w:val="65455B33"/>
    <w:rsid w:val="654647A3"/>
    <w:rsid w:val="654663D6"/>
    <w:rsid w:val="65472B55"/>
    <w:rsid w:val="65477B1A"/>
    <w:rsid w:val="6548145E"/>
    <w:rsid w:val="65486B30"/>
    <w:rsid w:val="654A10B3"/>
    <w:rsid w:val="654F3CFE"/>
    <w:rsid w:val="65530A3B"/>
    <w:rsid w:val="655470EA"/>
    <w:rsid w:val="65547CC3"/>
    <w:rsid w:val="655A05BD"/>
    <w:rsid w:val="655B44B8"/>
    <w:rsid w:val="655E75E4"/>
    <w:rsid w:val="6560175F"/>
    <w:rsid w:val="656200C1"/>
    <w:rsid w:val="65662903"/>
    <w:rsid w:val="65687480"/>
    <w:rsid w:val="6568749E"/>
    <w:rsid w:val="65687C00"/>
    <w:rsid w:val="65691F9F"/>
    <w:rsid w:val="656E0469"/>
    <w:rsid w:val="656F1E51"/>
    <w:rsid w:val="6577235D"/>
    <w:rsid w:val="657756E3"/>
    <w:rsid w:val="657D030F"/>
    <w:rsid w:val="657E52F1"/>
    <w:rsid w:val="6587044C"/>
    <w:rsid w:val="658C24F6"/>
    <w:rsid w:val="658E4E2E"/>
    <w:rsid w:val="65922D23"/>
    <w:rsid w:val="65986907"/>
    <w:rsid w:val="65990339"/>
    <w:rsid w:val="659A60F8"/>
    <w:rsid w:val="659C170D"/>
    <w:rsid w:val="659C2E6C"/>
    <w:rsid w:val="659D3943"/>
    <w:rsid w:val="659D72E6"/>
    <w:rsid w:val="65A628D3"/>
    <w:rsid w:val="65A7173C"/>
    <w:rsid w:val="65A8183B"/>
    <w:rsid w:val="65AD0399"/>
    <w:rsid w:val="65B1303C"/>
    <w:rsid w:val="65B21C5C"/>
    <w:rsid w:val="65B73A0D"/>
    <w:rsid w:val="65BF633D"/>
    <w:rsid w:val="65C347BA"/>
    <w:rsid w:val="65C53F0D"/>
    <w:rsid w:val="65C85391"/>
    <w:rsid w:val="65C8590C"/>
    <w:rsid w:val="65C963BA"/>
    <w:rsid w:val="65CE523E"/>
    <w:rsid w:val="65D875A5"/>
    <w:rsid w:val="65DA0BEE"/>
    <w:rsid w:val="65E6789B"/>
    <w:rsid w:val="65EC6133"/>
    <w:rsid w:val="65EE6E21"/>
    <w:rsid w:val="65EF3E2B"/>
    <w:rsid w:val="65F2501E"/>
    <w:rsid w:val="65F41346"/>
    <w:rsid w:val="65F70627"/>
    <w:rsid w:val="65FC78E4"/>
    <w:rsid w:val="65FF7C78"/>
    <w:rsid w:val="66055601"/>
    <w:rsid w:val="66060CB1"/>
    <w:rsid w:val="66094AF2"/>
    <w:rsid w:val="660C519C"/>
    <w:rsid w:val="660D1498"/>
    <w:rsid w:val="66105D29"/>
    <w:rsid w:val="66191D1F"/>
    <w:rsid w:val="6619380F"/>
    <w:rsid w:val="661B6059"/>
    <w:rsid w:val="661D7029"/>
    <w:rsid w:val="661E0ABF"/>
    <w:rsid w:val="66235DDE"/>
    <w:rsid w:val="662C5B9F"/>
    <w:rsid w:val="662E2742"/>
    <w:rsid w:val="66317C21"/>
    <w:rsid w:val="663759F7"/>
    <w:rsid w:val="6638020B"/>
    <w:rsid w:val="66447F89"/>
    <w:rsid w:val="6649356B"/>
    <w:rsid w:val="664A2917"/>
    <w:rsid w:val="664D1368"/>
    <w:rsid w:val="664E1603"/>
    <w:rsid w:val="664F15B7"/>
    <w:rsid w:val="66512F25"/>
    <w:rsid w:val="66544977"/>
    <w:rsid w:val="66590531"/>
    <w:rsid w:val="665B3ABC"/>
    <w:rsid w:val="665C32C8"/>
    <w:rsid w:val="665D0846"/>
    <w:rsid w:val="6668130E"/>
    <w:rsid w:val="666836DD"/>
    <w:rsid w:val="6673154E"/>
    <w:rsid w:val="66750AAF"/>
    <w:rsid w:val="667572AC"/>
    <w:rsid w:val="66767BC9"/>
    <w:rsid w:val="667711D6"/>
    <w:rsid w:val="667736A0"/>
    <w:rsid w:val="668240F3"/>
    <w:rsid w:val="6686417B"/>
    <w:rsid w:val="668C3278"/>
    <w:rsid w:val="668C6BD6"/>
    <w:rsid w:val="66905D18"/>
    <w:rsid w:val="669658F1"/>
    <w:rsid w:val="669A72A6"/>
    <w:rsid w:val="669E6AEC"/>
    <w:rsid w:val="669F6CFF"/>
    <w:rsid w:val="66AF4920"/>
    <w:rsid w:val="66C42BA9"/>
    <w:rsid w:val="66C802E8"/>
    <w:rsid w:val="66CA4A8D"/>
    <w:rsid w:val="66CC6EFC"/>
    <w:rsid w:val="66D167A6"/>
    <w:rsid w:val="66D27F2E"/>
    <w:rsid w:val="66D711B4"/>
    <w:rsid w:val="66DB0725"/>
    <w:rsid w:val="66DC407A"/>
    <w:rsid w:val="66DE5DCF"/>
    <w:rsid w:val="66E42657"/>
    <w:rsid w:val="66E4413C"/>
    <w:rsid w:val="66E46EE3"/>
    <w:rsid w:val="66E506E3"/>
    <w:rsid w:val="66E8493F"/>
    <w:rsid w:val="66E929D7"/>
    <w:rsid w:val="66ED371A"/>
    <w:rsid w:val="66F02FB3"/>
    <w:rsid w:val="66F452E5"/>
    <w:rsid w:val="66F54172"/>
    <w:rsid w:val="67047F8E"/>
    <w:rsid w:val="67065727"/>
    <w:rsid w:val="670825D2"/>
    <w:rsid w:val="67090C37"/>
    <w:rsid w:val="670C1FC3"/>
    <w:rsid w:val="670D2BE5"/>
    <w:rsid w:val="670E1689"/>
    <w:rsid w:val="671138C9"/>
    <w:rsid w:val="671318E9"/>
    <w:rsid w:val="6716502F"/>
    <w:rsid w:val="671A0760"/>
    <w:rsid w:val="671A256E"/>
    <w:rsid w:val="671D1E66"/>
    <w:rsid w:val="67230695"/>
    <w:rsid w:val="67235D32"/>
    <w:rsid w:val="67284F50"/>
    <w:rsid w:val="67296D14"/>
    <w:rsid w:val="672A432F"/>
    <w:rsid w:val="672E257E"/>
    <w:rsid w:val="672F4846"/>
    <w:rsid w:val="67322AC8"/>
    <w:rsid w:val="67350EA1"/>
    <w:rsid w:val="673603B9"/>
    <w:rsid w:val="673663A4"/>
    <w:rsid w:val="67376401"/>
    <w:rsid w:val="673E06F4"/>
    <w:rsid w:val="6743727D"/>
    <w:rsid w:val="674546CB"/>
    <w:rsid w:val="6746782A"/>
    <w:rsid w:val="6747083E"/>
    <w:rsid w:val="67505F6E"/>
    <w:rsid w:val="67547AE8"/>
    <w:rsid w:val="67564F3A"/>
    <w:rsid w:val="675A2447"/>
    <w:rsid w:val="675B27A0"/>
    <w:rsid w:val="675B6A57"/>
    <w:rsid w:val="675D0D1F"/>
    <w:rsid w:val="67670ECB"/>
    <w:rsid w:val="67677ACA"/>
    <w:rsid w:val="676B4BB8"/>
    <w:rsid w:val="676F20E6"/>
    <w:rsid w:val="6771083F"/>
    <w:rsid w:val="677424A9"/>
    <w:rsid w:val="6779499F"/>
    <w:rsid w:val="677B1779"/>
    <w:rsid w:val="677C2993"/>
    <w:rsid w:val="67865D1C"/>
    <w:rsid w:val="67867E67"/>
    <w:rsid w:val="678A6087"/>
    <w:rsid w:val="678B67B6"/>
    <w:rsid w:val="678D5658"/>
    <w:rsid w:val="678F6E68"/>
    <w:rsid w:val="6793111C"/>
    <w:rsid w:val="67931E7C"/>
    <w:rsid w:val="67942C67"/>
    <w:rsid w:val="6797142E"/>
    <w:rsid w:val="67A05CAE"/>
    <w:rsid w:val="67A10FE5"/>
    <w:rsid w:val="67A43207"/>
    <w:rsid w:val="67B40AD7"/>
    <w:rsid w:val="67B42EA1"/>
    <w:rsid w:val="67BC136B"/>
    <w:rsid w:val="67C20081"/>
    <w:rsid w:val="67C24AC9"/>
    <w:rsid w:val="67C51979"/>
    <w:rsid w:val="67C808C9"/>
    <w:rsid w:val="67CD5582"/>
    <w:rsid w:val="67D33C3D"/>
    <w:rsid w:val="67D43394"/>
    <w:rsid w:val="67D66396"/>
    <w:rsid w:val="67D82148"/>
    <w:rsid w:val="67D82D1D"/>
    <w:rsid w:val="67D91AFD"/>
    <w:rsid w:val="67DA08D2"/>
    <w:rsid w:val="67DA1171"/>
    <w:rsid w:val="67EC1DC8"/>
    <w:rsid w:val="67F3758A"/>
    <w:rsid w:val="67F6139C"/>
    <w:rsid w:val="67F9694F"/>
    <w:rsid w:val="67FD3BEB"/>
    <w:rsid w:val="67FE256D"/>
    <w:rsid w:val="68035450"/>
    <w:rsid w:val="680547BD"/>
    <w:rsid w:val="68055A12"/>
    <w:rsid w:val="68067A41"/>
    <w:rsid w:val="680C14EB"/>
    <w:rsid w:val="681220BC"/>
    <w:rsid w:val="68132F14"/>
    <w:rsid w:val="68163C6B"/>
    <w:rsid w:val="68172470"/>
    <w:rsid w:val="68193618"/>
    <w:rsid w:val="681B1AAD"/>
    <w:rsid w:val="681D3CE3"/>
    <w:rsid w:val="681E6A33"/>
    <w:rsid w:val="68210A03"/>
    <w:rsid w:val="68212DA5"/>
    <w:rsid w:val="68232BE3"/>
    <w:rsid w:val="682461F9"/>
    <w:rsid w:val="682866A6"/>
    <w:rsid w:val="682D7772"/>
    <w:rsid w:val="68313CC1"/>
    <w:rsid w:val="68323A21"/>
    <w:rsid w:val="68366B92"/>
    <w:rsid w:val="68367F37"/>
    <w:rsid w:val="68380866"/>
    <w:rsid w:val="68427AA7"/>
    <w:rsid w:val="6843252F"/>
    <w:rsid w:val="684C4D56"/>
    <w:rsid w:val="684E1CD5"/>
    <w:rsid w:val="684F33F0"/>
    <w:rsid w:val="68547DB6"/>
    <w:rsid w:val="685A190E"/>
    <w:rsid w:val="685B011E"/>
    <w:rsid w:val="685C0712"/>
    <w:rsid w:val="685D13F2"/>
    <w:rsid w:val="685D636C"/>
    <w:rsid w:val="685E03C6"/>
    <w:rsid w:val="686620AD"/>
    <w:rsid w:val="68676798"/>
    <w:rsid w:val="686C256C"/>
    <w:rsid w:val="686E2464"/>
    <w:rsid w:val="68765DC9"/>
    <w:rsid w:val="687D7298"/>
    <w:rsid w:val="6880329D"/>
    <w:rsid w:val="68811BF2"/>
    <w:rsid w:val="68852FBD"/>
    <w:rsid w:val="68860B22"/>
    <w:rsid w:val="68872689"/>
    <w:rsid w:val="688A2B4F"/>
    <w:rsid w:val="688F4B2D"/>
    <w:rsid w:val="68901555"/>
    <w:rsid w:val="68916E54"/>
    <w:rsid w:val="68943EE8"/>
    <w:rsid w:val="68966290"/>
    <w:rsid w:val="689669B2"/>
    <w:rsid w:val="689C266F"/>
    <w:rsid w:val="68A16353"/>
    <w:rsid w:val="68A92A1A"/>
    <w:rsid w:val="68AD394F"/>
    <w:rsid w:val="68B6153B"/>
    <w:rsid w:val="68B861B1"/>
    <w:rsid w:val="68BC7C63"/>
    <w:rsid w:val="68BD472D"/>
    <w:rsid w:val="68BD62F8"/>
    <w:rsid w:val="68C044B8"/>
    <w:rsid w:val="68C704DB"/>
    <w:rsid w:val="68C73241"/>
    <w:rsid w:val="68CB6361"/>
    <w:rsid w:val="68CC57F0"/>
    <w:rsid w:val="68CF66DE"/>
    <w:rsid w:val="68D46977"/>
    <w:rsid w:val="68D73FD5"/>
    <w:rsid w:val="68D821B6"/>
    <w:rsid w:val="68DA4CDB"/>
    <w:rsid w:val="68DC2AC7"/>
    <w:rsid w:val="68DE67BE"/>
    <w:rsid w:val="68E01EDC"/>
    <w:rsid w:val="68E20FD1"/>
    <w:rsid w:val="68E4159E"/>
    <w:rsid w:val="68E66A0C"/>
    <w:rsid w:val="68F05EB4"/>
    <w:rsid w:val="68F307BD"/>
    <w:rsid w:val="68F7194C"/>
    <w:rsid w:val="69014B4F"/>
    <w:rsid w:val="69045724"/>
    <w:rsid w:val="69060B46"/>
    <w:rsid w:val="690A4296"/>
    <w:rsid w:val="690C5A8E"/>
    <w:rsid w:val="691000D2"/>
    <w:rsid w:val="69117899"/>
    <w:rsid w:val="69160F76"/>
    <w:rsid w:val="691E2A4E"/>
    <w:rsid w:val="692260A5"/>
    <w:rsid w:val="69230B73"/>
    <w:rsid w:val="6923722E"/>
    <w:rsid w:val="69244D26"/>
    <w:rsid w:val="692A4EBA"/>
    <w:rsid w:val="692C5ADF"/>
    <w:rsid w:val="693414FD"/>
    <w:rsid w:val="69353F21"/>
    <w:rsid w:val="693574A1"/>
    <w:rsid w:val="69364185"/>
    <w:rsid w:val="69365292"/>
    <w:rsid w:val="693A56B0"/>
    <w:rsid w:val="693B2699"/>
    <w:rsid w:val="693B3DDA"/>
    <w:rsid w:val="69423D3F"/>
    <w:rsid w:val="69470628"/>
    <w:rsid w:val="694C3E5E"/>
    <w:rsid w:val="69515B9F"/>
    <w:rsid w:val="69525489"/>
    <w:rsid w:val="695B7F0C"/>
    <w:rsid w:val="695E4553"/>
    <w:rsid w:val="69604797"/>
    <w:rsid w:val="69617BD0"/>
    <w:rsid w:val="69626BBA"/>
    <w:rsid w:val="69661726"/>
    <w:rsid w:val="69662B3F"/>
    <w:rsid w:val="6968025D"/>
    <w:rsid w:val="69683220"/>
    <w:rsid w:val="69690D42"/>
    <w:rsid w:val="696B0D7D"/>
    <w:rsid w:val="696D1AD2"/>
    <w:rsid w:val="69767FEA"/>
    <w:rsid w:val="697E5641"/>
    <w:rsid w:val="69877382"/>
    <w:rsid w:val="698A78FF"/>
    <w:rsid w:val="698C21D1"/>
    <w:rsid w:val="698F6A8B"/>
    <w:rsid w:val="69974EC1"/>
    <w:rsid w:val="699D34FB"/>
    <w:rsid w:val="69A060F1"/>
    <w:rsid w:val="69A70BD9"/>
    <w:rsid w:val="69AB347C"/>
    <w:rsid w:val="69AC73A5"/>
    <w:rsid w:val="69AD2420"/>
    <w:rsid w:val="69AF4E35"/>
    <w:rsid w:val="69B21A4C"/>
    <w:rsid w:val="69B33CFD"/>
    <w:rsid w:val="69B537EB"/>
    <w:rsid w:val="69B60638"/>
    <w:rsid w:val="69B945A6"/>
    <w:rsid w:val="69B96032"/>
    <w:rsid w:val="69BD04E9"/>
    <w:rsid w:val="69BD443B"/>
    <w:rsid w:val="69BF3ECE"/>
    <w:rsid w:val="69C60D57"/>
    <w:rsid w:val="69CD5FDE"/>
    <w:rsid w:val="69D14B42"/>
    <w:rsid w:val="69D31A93"/>
    <w:rsid w:val="69D329F9"/>
    <w:rsid w:val="69D37F7E"/>
    <w:rsid w:val="69D7185C"/>
    <w:rsid w:val="69D8758C"/>
    <w:rsid w:val="69DE0FC4"/>
    <w:rsid w:val="69DE7ED8"/>
    <w:rsid w:val="69DF19BF"/>
    <w:rsid w:val="69EA4B16"/>
    <w:rsid w:val="69EB2100"/>
    <w:rsid w:val="69ED36B7"/>
    <w:rsid w:val="69EF280F"/>
    <w:rsid w:val="69F132DC"/>
    <w:rsid w:val="69F43E89"/>
    <w:rsid w:val="69FD0B6F"/>
    <w:rsid w:val="69FF57E6"/>
    <w:rsid w:val="6A0127D2"/>
    <w:rsid w:val="6A052A07"/>
    <w:rsid w:val="6A0B6234"/>
    <w:rsid w:val="6A0F71A6"/>
    <w:rsid w:val="6A103DF9"/>
    <w:rsid w:val="6A1539E7"/>
    <w:rsid w:val="6A155F40"/>
    <w:rsid w:val="6A1E1AB2"/>
    <w:rsid w:val="6A1F3ED9"/>
    <w:rsid w:val="6A283686"/>
    <w:rsid w:val="6A2B69E8"/>
    <w:rsid w:val="6A2D35E9"/>
    <w:rsid w:val="6A3108A0"/>
    <w:rsid w:val="6A31482C"/>
    <w:rsid w:val="6A331271"/>
    <w:rsid w:val="6A382CB4"/>
    <w:rsid w:val="6A384118"/>
    <w:rsid w:val="6A385061"/>
    <w:rsid w:val="6A3C54FF"/>
    <w:rsid w:val="6A3C5972"/>
    <w:rsid w:val="6A4B363B"/>
    <w:rsid w:val="6A4B7E5E"/>
    <w:rsid w:val="6A4E401F"/>
    <w:rsid w:val="6A540D9D"/>
    <w:rsid w:val="6A5464DB"/>
    <w:rsid w:val="6A572CFC"/>
    <w:rsid w:val="6A5A67D3"/>
    <w:rsid w:val="6A5C1E84"/>
    <w:rsid w:val="6A5C20A9"/>
    <w:rsid w:val="6A5C2891"/>
    <w:rsid w:val="6A5E7C9B"/>
    <w:rsid w:val="6A6360C2"/>
    <w:rsid w:val="6A660CFD"/>
    <w:rsid w:val="6A6615C7"/>
    <w:rsid w:val="6A682D2C"/>
    <w:rsid w:val="6A6A7BB3"/>
    <w:rsid w:val="6A6C63BC"/>
    <w:rsid w:val="6A7C7344"/>
    <w:rsid w:val="6A7F0B07"/>
    <w:rsid w:val="6A7F5DA1"/>
    <w:rsid w:val="6A80662E"/>
    <w:rsid w:val="6A8139BC"/>
    <w:rsid w:val="6A880C21"/>
    <w:rsid w:val="6A8E1FEF"/>
    <w:rsid w:val="6A8E5F77"/>
    <w:rsid w:val="6A9049DA"/>
    <w:rsid w:val="6A99267A"/>
    <w:rsid w:val="6A9A7CE6"/>
    <w:rsid w:val="6A9B7763"/>
    <w:rsid w:val="6AA03D2E"/>
    <w:rsid w:val="6AA16881"/>
    <w:rsid w:val="6AA1765C"/>
    <w:rsid w:val="6AA21348"/>
    <w:rsid w:val="6AA64FA8"/>
    <w:rsid w:val="6AB16A8E"/>
    <w:rsid w:val="6ABD3554"/>
    <w:rsid w:val="6ABF7703"/>
    <w:rsid w:val="6AC5530D"/>
    <w:rsid w:val="6AC728B0"/>
    <w:rsid w:val="6AC753D3"/>
    <w:rsid w:val="6AC91C62"/>
    <w:rsid w:val="6AC96E5E"/>
    <w:rsid w:val="6ACF44E8"/>
    <w:rsid w:val="6AD027D7"/>
    <w:rsid w:val="6AD351A5"/>
    <w:rsid w:val="6AD47129"/>
    <w:rsid w:val="6AD674B0"/>
    <w:rsid w:val="6AD70732"/>
    <w:rsid w:val="6AD93CAC"/>
    <w:rsid w:val="6ADA1EA7"/>
    <w:rsid w:val="6ADB75AE"/>
    <w:rsid w:val="6ADD33B6"/>
    <w:rsid w:val="6AE41702"/>
    <w:rsid w:val="6AE6790E"/>
    <w:rsid w:val="6AE72788"/>
    <w:rsid w:val="6AE831EE"/>
    <w:rsid w:val="6AE91644"/>
    <w:rsid w:val="6AE970A9"/>
    <w:rsid w:val="6AEF5EDF"/>
    <w:rsid w:val="6AF07A2D"/>
    <w:rsid w:val="6AF1503F"/>
    <w:rsid w:val="6AF37A94"/>
    <w:rsid w:val="6AF47104"/>
    <w:rsid w:val="6B0067AE"/>
    <w:rsid w:val="6B0310B0"/>
    <w:rsid w:val="6B063551"/>
    <w:rsid w:val="6B086684"/>
    <w:rsid w:val="6B0D2366"/>
    <w:rsid w:val="6B190A88"/>
    <w:rsid w:val="6B1A4BB3"/>
    <w:rsid w:val="6B1E42B1"/>
    <w:rsid w:val="6B1F3C07"/>
    <w:rsid w:val="6B200EED"/>
    <w:rsid w:val="6B2B3084"/>
    <w:rsid w:val="6B2C01A0"/>
    <w:rsid w:val="6B2E028B"/>
    <w:rsid w:val="6B2F3D6A"/>
    <w:rsid w:val="6B352AA6"/>
    <w:rsid w:val="6B381B71"/>
    <w:rsid w:val="6B382B13"/>
    <w:rsid w:val="6B3E027A"/>
    <w:rsid w:val="6B3F0D34"/>
    <w:rsid w:val="6B404A3B"/>
    <w:rsid w:val="6B42109A"/>
    <w:rsid w:val="6B4E2B58"/>
    <w:rsid w:val="6B4E6F56"/>
    <w:rsid w:val="6B530617"/>
    <w:rsid w:val="6B547487"/>
    <w:rsid w:val="6B592909"/>
    <w:rsid w:val="6B5C06E1"/>
    <w:rsid w:val="6B5E1AD0"/>
    <w:rsid w:val="6B632A47"/>
    <w:rsid w:val="6B686B4A"/>
    <w:rsid w:val="6B6C08BB"/>
    <w:rsid w:val="6B6E4B52"/>
    <w:rsid w:val="6B6F079C"/>
    <w:rsid w:val="6B705318"/>
    <w:rsid w:val="6B751FA7"/>
    <w:rsid w:val="6B7B3986"/>
    <w:rsid w:val="6B814F13"/>
    <w:rsid w:val="6B817439"/>
    <w:rsid w:val="6B8459C2"/>
    <w:rsid w:val="6B845F7C"/>
    <w:rsid w:val="6B8A7266"/>
    <w:rsid w:val="6B8B3FD5"/>
    <w:rsid w:val="6B9C31A0"/>
    <w:rsid w:val="6B9F2722"/>
    <w:rsid w:val="6BA07DDF"/>
    <w:rsid w:val="6BA4707C"/>
    <w:rsid w:val="6BA83882"/>
    <w:rsid w:val="6BAA7876"/>
    <w:rsid w:val="6BAD47E6"/>
    <w:rsid w:val="6BB328F2"/>
    <w:rsid w:val="6BB47C0E"/>
    <w:rsid w:val="6BB648E3"/>
    <w:rsid w:val="6BB66BBF"/>
    <w:rsid w:val="6BBD1EDB"/>
    <w:rsid w:val="6BBD5D95"/>
    <w:rsid w:val="6BBE42F0"/>
    <w:rsid w:val="6BC63E38"/>
    <w:rsid w:val="6BC91F35"/>
    <w:rsid w:val="6BC96FFD"/>
    <w:rsid w:val="6BC97055"/>
    <w:rsid w:val="6BCF2E48"/>
    <w:rsid w:val="6BD63913"/>
    <w:rsid w:val="6BDF290D"/>
    <w:rsid w:val="6BE11939"/>
    <w:rsid w:val="6BE33A9E"/>
    <w:rsid w:val="6BE9673C"/>
    <w:rsid w:val="6BEA7762"/>
    <w:rsid w:val="6BEC07B7"/>
    <w:rsid w:val="6BEE0924"/>
    <w:rsid w:val="6BF04BE9"/>
    <w:rsid w:val="6C020150"/>
    <w:rsid w:val="6C020398"/>
    <w:rsid w:val="6C020EFB"/>
    <w:rsid w:val="6C071842"/>
    <w:rsid w:val="6C0840BF"/>
    <w:rsid w:val="6C0B6259"/>
    <w:rsid w:val="6C0B6354"/>
    <w:rsid w:val="6C0C1156"/>
    <w:rsid w:val="6C0C2490"/>
    <w:rsid w:val="6C0C59D3"/>
    <w:rsid w:val="6C13036E"/>
    <w:rsid w:val="6C13567B"/>
    <w:rsid w:val="6C1944D5"/>
    <w:rsid w:val="6C1A76D5"/>
    <w:rsid w:val="6C1C1618"/>
    <w:rsid w:val="6C1D77B4"/>
    <w:rsid w:val="6C2255A7"/>
    <w:rsid w:val="6C251CD0"/>
    <w:rsid w:val="6C2715AB"/>
    <w:rsid w:val="6C28040D"/>
    <w:rsid w:val="6C285158"/>
    <w:rsid w:val="6C292E4D"/>
    <w:rsid w:val="6C2C681E"/>
    <w:rsid w:val="6C2D4F9F"/>
    <w:rsid w:val="6C310D29"/>
    <w:rsid w:val="6C3126A9"/>
    <w:rsid w:val="6C3D5256"/>
    <w:rsid w:val="6C4026D4"/>
    <w:rsid w:val="6C43763E"/>
    <w:rsid w:val="6C464C8F"/>
    <w:rsid w:val="6C4916DC"/>
    <w:rsid w:val="6C4C4382"/>
    <w:rsid w:val="6C567E08"/>
    <w:rsid w:val="6C592EC8"/>
    <w:rsid w:val="6C632B01"/>
    <w:rsid w:val="6C673B64"/>
    <w:rsid w:val="6C6D06AB"/>
    <w:rsid w:val="6C755715"/>
    <w:rsid w:val="6C76485E"/>
    <w:rsid w:val="6C776A78"/>
    <w:rsid w:val="6C7A742C"/>
    <w:rsid w:val="6C7D2343"/>
    <w:rsid w:val="6C7D7790"/>
    <w:rsid w:val="6C7E3041"/>
    <w:rsid w:val="6C814CAE"/>
    <w:rsid w:val="6C840289"/>
    <w:rsid w:val="6C874248"/>
    <w:rsid w:val="6C893158"/>
    <w:rsid w:val="6C8932D4"/>
    <w:rsid w:val="6C8A7220"/>
    <w:rsid w:val="6C8C4A87"/>
    <w:rsid w:val="6C8D59D2"/>
    <w:rsid w:val="6C90028D"/>
    <w:rsid w:val="6C93181A"/>
    <w:rsid w:val="6C937FD4"/>
    <w:rsid w:val="6C9A3043"/>
    <w:rsid w:val="6C9C4572"/>
    <w:rsid w:val="6C9D33E1"/>
    <w:rsid w:val="6CA1352D"/>
    <w:rsid w:val="6CA56D6D"/>
    <w:rsid w:val="6CAA0298"/>
    <w:rsid w:val="6CAC6B4A"/>
    <w:rsid w:val="6CAF70A6"/>
    <w:rsid w:val="6CB12D85"/>
    <w:rsid w:val="6CB142ED"/>
    <w:rsid w:val="6CB264A0"/>
    <w:rsid w:val="6CB60CF1"/>
    <w:rsid w:val="6CB83705"/>
    <w:rsid w:val="6CB96C2E"/>
    <w:rsid w:val="6CBA7A3D"/>
    <w:rsid w:val="6CBD5143"/>
    <w:rsid w:val="6CBF1D87"/>
    <w:rsid w:val="6CBF62EE"/>
    <w:rsid w:val="6CC10D60"/>
    <w:rsid w:val="6CC428D7"/>
    <w:rsid w:val="6CC67BF6"/>
    <w:rsid w:val="6CC95437"/>
    <w:rsid w:val="6CCB2AD3"/>
    <w:rsid w:val="6CD275DD"/>
    <w:rsid w:val="6CD322C6"/>
    <w:rsid w:val="6CD71CED"/>
    <w:rsid w:val="6CD95258"/>
    <w:rsid w:val="6CDF1F01"/>
    <w:rsid w:val="6CDF7CC7"/>
    <w:rsid w:val="6CE0610D"/>
    <w:rsid w:val="6CF0360D"/>
    <w:rsid w:val="6CF13FD1"/>
    <w:rsid w:val="6CF14E15"/>
    <w:rsid w:val="6CF3176B"/>
    <w:rsid w:val="6CF552B2"/>
    <w:rsid w:val="6D0274D1"/>
    <w:rsid w:val="6D047035"/>
    <w:rsid w:val="6D1179EC"/>
    <w:rsid w:val="6D132368"/>
    <w:rsid w:val="6D1657DA"/>
    <w:rsid w:val="6D181FD6"/>
    <w:rsid w:val="6D185054"/>
    <w:rsid w:val="6D21289F"/>
    <w:rsid w:val="6D247903"/>
    <w:rsid w:val="6D253E91"/>
    <w:rsid w:val="6D2953F4"/>
    <w:rsid w:val="6D2A186D"/>
    <w:rsid w:val="6D2D37FB"/>
    <w:rsid w:val="6D3303BF"/>
    <w:rsid w:val="6D367F3A"/>
    <w:rsid w:val="6D3A2370"/>
    <w:rsid w:val="6D3C3C42"/>
    <w:rsid w:val="6D3D3B4A"/>
    <w:rsid w:val="6D3F6569"/>
    <w:rsid w:val="6D3F77CC"/>
    <w:rsid w:val="6D4451DF"/>
    <w:rsid w:val="6D472D77"/>
    <w:rsid w:val="6D4E0091"/>
    <w:rsid w:val="6D520ABF"/>
    <w:rsid w:val="6D522FB6"/>
    <w:rsid w:val="6D5471D4"/>
    <w:rsid w:val="6D556A86"/>
    <w:rsid w:val="6D56177D"/>
    <w:rsid w:val="6D565024"/>
    <w:rsid w:val="6D5A2BA4"/>
    <w:rsid w:val="6D5C45D6"/>
    <w:rsid w:val="6D645FA7"/>
    <w:rsid w:val="6D662299"/>
    <w:rsid w:val="6D676631"/>
    <w:rsid w:val="6D6C7888"/>
    <w:rsid w:val="6D7549D9"/>
    <w:rsid w:val="6D811366"/>
    <w:rsid w:val="6D81620D"/>
    <w:rsid w:val="6D824940"/>
    <w:rsid w:val="6D8356F7"/>
    <w:rsid w:val="6D8722BB"/>
    <w:rsid w:val="6D885834"/>
    <w:rsid w:val="6D8D63DF"/>
    <w:rsid w:val="6D937377"/>
    <w:rsid w:val="6D941330"/>
    <w:rsid w:val="6D9C537F"/>
    <w:rsid w:val="6DA14616"/>
    <w:rsid w:val="6DA2098D"/>
    <w:rsid w:val="6DA3794C"/>
    <w:rsid w:val="6DA82FD9"/>
    <w:rsid w:val="6DAD57EF"/>
    <w:rsid w:val="6DB359F3"/>
    <w:rsid w:val="6DB4000E"/>
    <w:rsid w:val="6DB642FE"/>
    <w:rsid w:val="6DBA5776"/>
    <w:rsid w:val="6DBD12BB"/>
    <w:rsid w:val="6DBD617E"/>
    <w:rsid w:val="6DC32743"/>
    <w:rsid w:val="6DC65617"/>
    <w:rsid w:val="6DC67DB7"/>
    <w:rsid w:val="6DCB3F4F"/>
    <w:rsid w:val="6DCD286B"/>
    <w:rsid w:val="6DD23E2A"/>
    <w:rsid w:val="6DDD0763"/>
    <w:rsid w:val="6DDE2975"/>
    <w:rsid w:val="6DE0157D"/>
    <w:rsid w:val="6DE15820"/>
    <w:rsid w:val="6DE47BC5"/>
    <w:rsid w:val="6DE564D4"/>
    <w:rsid w:val="6DE960C0"/>
    <w:rsid w:val="6DEB5AB7"/>
    <w:rsid w:val="6DF020E3"/>
    <w:rsid w:val="6DF230F0"/>
    <w:rsid w:val="6DF2791F"/>
    <w:rsid w:val="6DF53AA8"/>
    <w:rsid w:val="6DFB1E2A"/>
    <w:rsid w:val="6DFB1FCD"/>
    <w:rsid w:val="6DFD2C4C"/>
    <w:rsid w:val="6E0071E8"/>
    <w:rsid w:val="6E015660"/>
    <w:rsid w:val="6E021838"/>
    <w:rsid w:val="6E036DAF"/>
    <w:rsid w:val="6E044B6F"/>
    <w:rsid w:val="6E070434"/>
    <w:rsid w:val="6E081EF0"/>
    <w:rsid w:val="6E0835F8"/>
    <w:rsid w:val="6E0E1158"/>
    <w:rsid w:val="6E104EF4"/>
    <w:rsid w:val="6E144C9C"/>
    <w:rsid w:val="6E146261"/>
    <w:rsid w:val="6E151699"/>
    <w:rsid w:val="6E1921A0"/>
    <w:rsid w:val="6E1D284C"/>
    <w:rsid w:val="6E1E0580"/>
    <w:rsid w:val="6E20047B"/>
    <w:rsid w:val="6E2172A1"/>
    <w:rsid w:val="6E246349"/>
    <w:rsid w:val="6E272F4A"/>
    <w:rsid w:val="6E297592"/>
    <w:rsid w:val="6E2D5D67"/>
    <w:rsid w:val="6E2F04B6"/>
    <w:rsid w:val="6E33485A"/>
    <w:rsid w:val="6E337CF2"/>
    <w:rsid w:val="6E3610E3"/>
    <w:rsid w:val="6E391DB7"/>
    <w:rsid w:val="6E3A28A9"/>
    <w:rsid w:val="6E3C5E43"/>
    <w:rsid w:val="6E450942"/>
    <w:rsid w:val="6E4B2B81"/>
    <w:rsid w:val="6E4C0019"/>
    <w:rsid w:val="6E4C62B5"/>
    <w:rsid w:val="6E527041"/>
    <w:rsid w:val="6E54573D"/>
    <w:rsid w:val="6E597266"/>
    <w:rsid w:val="6E5A6147"/>
    <w:rsid w:val="6E604B6D"/>
    <w:rsid w:val="6E617AB9"/>
    <w:rsid w:val="6E632B41"/>
    <w:rsid w:val="6E6433FE"/>
    <w:rsid w:val="6E674539"/>
    <w:rsid w:val="6E6766BA"/>
    <w:rsid w:val="6E6A4540"/>
    <w:rsid w:val="6E7152F1"/>
    <w:rsid w:val="6E7428EC"/>
    <w:rsid w:val="6E745705"/>
    <w:rsid w:val="6E75299C"/>
    <w:rsid w:val="6E7E0738"/>
    <w:rsid w:val="6E7E08EA"/>
    <w:rsid w:val="6E7E1E7A"/>
    <w:rsid w:val="6E861FC0"/>
    <w:rsid w:val="6E88421F"/>
    <w:rsid w:val="6E895D74"/>
    <w:rsid w:val="6E8974B0"/>
    <w:rsid w:val="6E8A193D"/>
    <w:rsid w:val="6E8A5653"/>
    <w:rsid w:val="6E8B7AB3"/>
    <w:rsid w:val="6E8F0C78"/>
    <w:rsid w:val="6E9854EC"/>
    <w:rsid w:val="6E9D211A"/>
    <w:rsid w:val="6E9F03B8"/>
    <w:rsid w:val="6E9F5986"/>
    <w:rsid w:val="6EA118B1"/>
    <w:rsid w:val="6EA1743E"/>
    <w:rsid w:val="6EA3327E"/>
    <w:rsid w:val="6EA35FEF"/>
    <w:rsid w:val="6EA54B2D"/>
    <w:rsid w:val="6EAE3064"/>
    <w:rsid w:val="6EB607F6"/>
    <w:rsid w:val="6EB632AA"/>
    <w:rsid w:val="6EBB4C17"/>
    <w:rsid w:val="6EBD6918"/>
    <w:rsid w:val="6EBE2FF2"/>
    <w:rsid w:val="6EBE3CB1"/>
    <w:rsid w:val="6EC12D02"/>
    <w:rsid w:val="6EC31505"/>
    <w:rsid w:val="6EC7764A"/>
    <w:rsid w:val="6ECD76C1"/>
    <w:rsid w:val="6ECE3FCA"/>
    <w:rsid w:val="6ED048AC"/>
    <w:rsid w:val="6ED43EB4"/>
    <w:rsid w:val="6ED61C7D"/>
    <w:rsid w:val="6EDC4482"/>
    <w:rsid w:val="6EE03C26"/>
    <w:rsid w:val="6EE15605"/>
    <w:rsid w:val="6EE6532A"/>
    <w:rsid w:val="6EF032C1"/>
    <w:rsid w:val="6EFA58FF"/>
    <w:rsid w:val="6EFE431D"/>
    <w:rsid w:val="6EFF1585"/>
    <w:rsid w:val="6F01073E"/>
    <w:rsid w:val="6F081495"/>
    <w:rsid w:val="6F0D4F45"/>
    <w:rsid w:val="6F1008B6"/>
    <w:rsid w:val="6F131FBC"/>
    <w:rsid w:val="6F1355D5"/>
    <w:rsid w:val="6F166B8B"/>
    <w:rsid w:val="6F1B7446"/>
    <w:rsid w:val="6F204318"/>
    <w:rsid w:val="6F205476"/>
    <w:rsid w:val="6F210576"/>
    <w:rsid w:val="6F291A71"/>
    <w:rsid w:val="6F342013"/>
    <w:rsid w:val="6F38412E"/>
    <w:rsid w:val="6F3D7CB6"/>
    <w:rsid w:val="6F40782A"/>
    <w:rsid w:val="6F44633D"/>
    <w:rsid w:val="6F454418"/>
    <w:rsid w:val="6F4E4146"/>
    <w:rsid w:val="6F563A2B"/>
    <w:rsid w:val="6F576B67"/>
    <w:rsid w:val="6F5B2F99"/>
    <w:rsid w:val="6F5C3A43"/>
    <w:rsid w:val="6F73402E"/>
    <w:rsid w:val="6F7511C6"/>
    <w:rsid w:val="6F795008"/>
    <w:rsid w:val="6F7D193F"/>
    <w:rsid w:val="6F9315FD"/>
    <w:rsid w:val="6F962230"/>
    <w:rsid w:val="6F9A08ED"/>
    <w:rsid w:val="6F9A437A"/>
    <w:rsid w:val="6F9F1E81"/>
    <w:rsid w:val="6F9F2170"/>
    <w:rsid w:val="6FA21621"/>
    <w:rsid w:val="6FA24F23"/>
    <w:rsid w:val="6FA74AF1"/>
    <w:rsid w:val="6FB0707E"/>
    <w:rsid w:val="6FB138FD"/>
    <w:rsid w:val="6FB40787"/>
    <w:rsid w:val="6FB96B61"/>
    <w:rsid w:val="6FBC03D5"/>
    <w:rsid w:val="6FBC4BE0"/>
    <w:rsid w:val="6FBE1FE8"/>
    <w:rsid w:val="6FBF7463"/>
    <w:rsid w:val="6FC17486"/>
    <w:rsid w:val="6FC42D99"/>
    <w:rsid w:val="6FC95C8C"/>
    <w:rsid w:val="6FCA28B2"/>
    <w:rsid w:val="6FCA5BFC"/>
    <w:rsid w:val="6FCB7184"/>
    <w:rsid w:val="6FCF008A"/>
    <w:rsid w:val="6FD201EF"/>
    <w:rsid w:val="6FD220E8"/>
    <w:rsid w:val="6FD26C1A"/>
    <w:rsid w:val="6FD8119A"/>
    <w:rsid w:val="6FDB0BF1"/>
    <w:rsid w:val="6FDB598A"/>
    <w:rsid w:val="6FE13B17"/>
    <w:rsid w:val="6FE34116"/>
    <w:rsid w:val="6FF30411"/>
    <w:rsid w:val="6FF40A74"/>
    <w:rsid w:val="6FF6640A"/>
    <w:rsid w:val="6FFB746A"/>
    <w:rsid w:val="6FFC02F6"/>
    <w:rsid w:val="6FFC54C7"/>
    <w:rsid w:val="70013F4C"/>
    <w:rsid w:val="70022C26"/>
    <w:rsid w:val="70071C7E"/>
    <w:rsid w:val="7009198A"/>
    <w:rsid w:val="70130DA5"/>
    <w:rsid w:val="70177966"/>
    <w:rsid w:val="70182746"/>
    <w:rsid w:val="70182FE3"/>
    <w:rsid w:val="701875D3"/>
    <w:rsid w:val="70187808"/>
    <w:rsid w:val="701C2312"/>
    <w:rsid w:val="701E039E"/>
    <w:rsid w:val="702573B3"/>
    <w:rsid w:val="70262349"/>
    <w:rsid w:val="702632F0"/>
    <w:rsid w:val="702B0A07"/>
    <w:rsid w:val="702C5611"/>
    <w:rsid w:val="7031442E"/>
    <w:rsid w:val="70337B16"/>
    <w:rsid w:val="7034259A"/>
    <w:rsid w:val="703660ED"/>
    <w:rsid w:val="703F7BDA"/>
    <w:rsid w:val="70434537"/>
    <w:rsid w:val="70460F43"/>
    <w:rsid w:val="70480CED"/>
    <w:rsid w:val="704C0E79"/>
    <w:rsid w:val="704C3E49"/>
    <w:rsid w:val="70554896"/>
    <w:rsid w:val="70575B20"/>
    <w:rsid w:val="705F062A"/>
    <w:rsid w:val="70656DCE"/>
    <w:rsid w:val="706E28DC"/>
    <w:rsid w:val="70775E26"/>
    <w:rsid w:val="707812D7"/>
    <w:rsid w:val="70786CAC"/>
    <w:rsid w:val="70787D56"/>
    <w:rsid w:val="70793A12"/>
    <w:rsid w:val="70794CF3"/>
    <w:rsid w:val="707A1F8B"/>
    <w:rsid w:val="707D5486"/>
    <w:rsid w:val="70806F34"/>
    <w:rsid w:val="7084264A"/>
    <w:rsid w:val="70875162"/>
    <w:rsid w:val="70880172"/>
    <w:rsid w:val="708A07F0"/>
    <w:rsid w:val="708B272E"/>
    <w:rsid w:val="70915240"/>
    <w:rsid w:val="7094195B"/>
    <w:rsid w:val="70955892"/>
    <w:rsid w:val="709D275E"/>
    <w:rsid w:val="709D6ACC"/>
    <w:rsid w:val="70A20C9E"/>
    <w:rsid w:val="70A32A76"/>
    <w:rsid w:val="70B46138"/>
    <w:rsid w:val="70BA18AC"/>
    <w:rsid w:val="70C2320D"/>
    <w:rsid w:val="70C36CA1"/>
    <w:rsid w:val="70C3775D"/>
    <w:rsid w:val="70C97DFF"/>
    <w:rsid w:val="70CA1B13"/>
    <w:rsid w:val="70CB46E8"/>
    <w:rsid w:val="70CD75D7"/>
    <w:rsid w:val="70D00D38"/>
    <w:rsid w:val="70D0170D"/>
    <w:rsid w:val="70D41CC4"/>
    <w:rsid w:val="70D57637"/>
    <w:rsid w:val="70D969E7"/>
    <w:rsid w:val="70E07781"/>
    <w:rsid w:val="70E13A9D"/>
    <w:rsid w:val="70E173C7"/>
    <w:rsid w:val="70E3458C"/>
    <w:rsid w:val="70E72F6D"/>
    <w:rsid w:val="70F464E8"/>
    <w:rsid w:val="70F7445B"/>
    <w:rsid w:val="70F90E5A"/>
    <w:rsid w:val="71026FB3"/>
    <w:rsid w:val="71070516"/>
    <w:rsid w:val="71082594"/>
    <w:rsid w:val="710A093D"/>
    <w:rsid w:val="710A59D4"/>
    <w:rsid w:val="7112160F"/>
    <w:rsid w:val="711C052A"/>
    <w:rsid w:val="711E0EF7"/>
    <w:rsid w:val="711F1AB5"/>
    <w:rsid w:val="71243B7F"/>
    <w:rsid w:val="712B1673"/>
    <w:rsid w:val="712B327E"/>
    <w:rsid w:val="712C34CD"/>
    <w:rsid w:val="712F11C8"/>
    <w:rsid w:val="712F622D"/>
    <w:rsid w:val="713710A0"/>
    <w:rsid w:val="713E16F4"/>
    <w:rsid w:val="71424A3D"/>
    <w:rsid w:val="71432A60"/>
    <w:rsid w:val="714813BD"/>
    <w:rsid w:val="714918D1"/>
    <w:rsid w:val="714A6C68"/>
    <w:rsid w:val="7150599B"/>
    <w:rsid w:val="7151762D"/>
    <w:rsid w:val="71562E54"/>
    <w:rsid w:val="715973A6"/>
    <w:rsid w:val="715A14AC"/>
    <w:rsid w:val="715A3FAC"/>
    <w:rsid w:val="71612A74"/>
    <w:rsid w:val="7162374F"/>
    <w:rsid w:val="716509E8"/>
    <w:rsid w:val="71677E9A"/>
    <w:rsid w:val="71680270"/>
    <w:rsid w:val="71690033"/>
    <w:rsid w:val="716A231B"/>
    <w:rsid w:val="716E174D"/>
    <w:rsid w:val="717010EB"/>
    <w:rsid w:val="71732A57"/>
    <w:rsid w:val="717417F3"/>
    <w:rsid w:val="71754831"/>
    <w:rsid w:val="71793845"/>
    <w:rsid w:val="717A5D7F"/>
    <w:rsid w:val="717D076A"/>
    <w:rsid w:val="7188113C"/>
    <w:rsid w:val="71885E23"/>
    <w:rsid w:val="71896091"/>
    <w:rsid w:val="718B2CDB"/>
    <w:rsid w:val="718F461B"/>
    <w:rsid w:val="71990967"/>
    <w:rsid w:val="719A09A1"/>
    <w:rsid w:val="719A235D"/>
    <w:rsid w:val="719C3B24"/>
    <w:rsid w:val="719C7369"/>
    <w:rsid w:val="719E6F8F"/>
    <w:rsid w:val="71AE3DF2"/>
    <w:rsid w:val="71B8338B"/>
    <w:rsid w:val="71B9350D"/>
    <w:rsid w:val="71B943DA"/>
    <w:rsid w:val="71BF226F"/>
    <w:rsid w:val="71C22913"/>
    <w:rsid w:val="71C36356"/>
    <w:rsid w:val="71C42142"/>
    <w:rsid w:val="71C459FC"/>
    <w:rsid w:val="71CD199A"/>
    <w:rsid w:val="71CE479A"/>
    <w:rsid w:val="71CF6756"/>
    <w:rsid w:val="71D14280"/>
    <w:rsid w:val="71D42E9C"/>
    <w:rsid w:val="71D53212"/>
    <w:rsid w:val="71D705FE"/>
    <w:rsid w:val="71DF7502"/>
    <w:rsid w:val="71E27DB9"/>
    <w:rsid w:val="71E83569"/>
    <w:rsid w:val="71EA7776"/>
    <w:rsid w:val="71EE514F"/>
    <w:rsid w:val="71F15B88"/>
    <w:rsid w:val="71F4125E"/>
    <w:rsid w:val="71F93613"/>
    <w:rsid w:val="71FE67F6"/>
    <w:rsid w:val="71FF281D"/>
    <w:rsid w:val="72031006"/>
    <w:rsid w:val="720466F7"/>
    <w:rsid w:val="720912F0"/>
    <w:rsid w:val="7210129D"/>
    <w:rsid w:val="72112B95"/>
    <w:rsid w:val="721330AB"/>
    <w:rsid w:val="72164985"/>
    <w:rsid w:val="721B2E6D"/>
    <w:rsid w:val="721C643C"/>
    <w:rsid w:val="721F02A2"/>
    <w:rsid w:val="721F3710"/>
    <w:rsid w:val="72211CFD"/>
    <w:rsid w:val="72214F14"/>
    <w:rsid w:val="72247AB9"/>
    <w:rsid w:val="72291874"/>
    <w:rsid w:val="72337305"/>
    <w:rsid w:val="72405852"/>
    <w:rsid w:val="72411D18"/>
    <w:rsid w:val="724265D4"/>
    <w:rsid w:val="7242792E"/>
    <w:rsid w:val="724355E6"/>
    <w:rsid w:val="72452370"/>
    <w:rsid w:val="72463FF3"/>
    <w:rsid w:val="724705E4"/>
    <w:rsid w:val="724C2081"/>
    <w:rsid w:val="72560EC5"/>
    <w:rsid w:val="7256203E"/>
    <w:rsid w:val="72593576"/>
    <w:rsid w:val="725A3026"/>
    <w:rsid w:val="725B6896"/>
    <w:rsid w:val="72625A8E"/>
    <w:rsid w:val="7263098B"/>
    <w:rsid w:val="72682F2B"/>
    <w:rsid w:val="72690F2F"/>
    <w:rsid w:val="726A6ECC"/>
    <w:rsid w:val="726B7070"/>
    <w:rsid w:val="72727DE0"/>
    <w:rsid w:val="72731195"/>
    <w:rsid w:val="7275156B"/>
    <w:rsid w:val="727A0EEA"/>
    <w:rsid w:val="727B0143"/>
    <w:rsid w:val="727C2BD5"/>
    <w:rsid w:val="72851E0C"/>
    <w:rsid w:val="72862340"/>
    <w:rsid w:val="728D1955"/>
    <w:rsid w:val="728D1DF3"/>
    <w:rsid w:val="72922AED"/>
    <w:rsid w:val="72935389"/>
    <w:rsid w:val="7293553E"/>
    <w:rsid w:val="7296384F"/>
    <w:rsid w:val="729A19FF"/>
    <w:rsid w:val="729C7CFA"/>
    <w:rsid w:val="729F245B"/>
    <w:rsid w:val="72A03AE6"/>
    <w:rsid w:val="72A831C5"/>
    <w:rsid w:val="72AA2FBC"/>
    <w:rsid w:val="72AA4255"/>
    <w:rsid w:val="72AB1D78"/>
    <w:rsid w:val="72AF5189"/>
    <w:rsid w:val="72B01F4E"/>
    <w:rsid w:val="72B426AB"/>
    <w:rsid w:val="72B52CA4"/>
    <w:rsid w:val="72BA6A7E"/>
    <w:rsid w:val="72BE474A"/>
    <w:rsid w:val="72BF295E"/>
    <w:rsid w:val="72BF73F3"/>
    <w:rsid w:val="72C10AF1"/>
    <w:rsid w:val="72C34FE3"/>
    <w:rsid w:val="72C64359"/>
    <w:rsid w:val="72C76963"/>
    <w:rsid w:val="72C81AB2"/>
    <w:rsid w:val="72CD2824"/>
    <w:rsid w:val="72CF2778"/>
    <w:rsid w:val="72D05112"/>
    <w:rsid w:val="72D40F28"/>
    <w:rsid w:val="72D81191"/>
    <w:rsid w:val="72D921AE"/>
    <w:rsid w:val="72DA2D19"/>
    <w:rsid w:val="72E27E39"/>
    <w:rsid w:val="72E84735"/>
    <w:rsid w:val="72EA2F60"/>
    <w:rsid w:val="72EA5550"/>
    <w:rsid w:val="72EA730C"/>
    <w:rsid w:val="72EB6428"/>
    <w:rsid w:val="72EC15B5"/>
    <w:rsid w:val="72EC3507"/>
    <w:rsid w:val="72EF74B4"/>
    <w:rsid w:val="72F47911"/>
    <w:rsid w:val="72F93FF4"/>
    <w:rsid w:val="72FA6AA4"/>
    <w:rsid w:val="72FB5282"/>
    <w:rsid w:val="72FC4753"/>
    <w:rsid w:val="7304021A"/>
    <w:rsid w:val="73057D05"/>
    <w:rsid w:val="73070F6B"/>
    <w:rsid w:val="730B0D73"/>
    <w:rsid w:val="73100BB5"/>
    <w:rsid w:val="7311139B"/>
    <w:rsid w:val="73127782"/>
    <w:rsid w:val="7315419D"/>
    <w:rsid w:val="731C3D0D"/>
    <w:rsid w:val="73207A4E"/>
    <w:rsid w:val="73237731"/>
    <w:rsid w:val="73270B90"/>
    <w:rsid w:val="732B7CE4"/>
    <w:rsid w:val="732D0729"/>
    <w:rsid w:val="732E4B02"/>
    <w:rsid w:val="732F1A3D"/>
    <w:rsid w:val="732F2AF4"/>
    <w:rsid w:val="733C27C3"/>
    <w:rsid w:val="733C6C37"/>
    <w:rsid w:val="73425904"/>
    <w:rsid w:val="73435279"/>
    <w:rsid w:val="73463F1D"/>
    <w:rsid w:val="734965CD"/>
    <w:rsid w:val="734A0AA5"/>
    <w:rsid w:val="734A778A"/>
    <w:rsid w:val="735134D5"/>
    <w:rsid w:val="7354683B"/>
    <w:rsid w:val="735836DC"/>
    <w:rsid w:val="73585C57"/>
    <w:rsid w:val="735C6A2E"/>
    <w:rsid w:val="7360765D"/>
    <w:rsid w:val="73634295"/>
    <w:rsid w:val="736A31AB"/>
    <w:rsid w:val="736A60A7"/>
    <w:rsid w:val="7372568C"/>
    <w:rsid w:val="7375454C"/>
    <w:rsid w:val="7375530B"/>
    <w:rsid w:val="737575B8"/>
    <w:rsid w:val="737C37A2"/>
    <w:rsid w:val="737F4724"/>
    <w:rsid w:val="737F7CCB"/>
    <w:rsid w:val="738D1AE9"/>
    <w:rsid w:val="738F2D9E"/>
    <w:rsid w:val="73906A71"/>
    <w:rsid w:val="739210A6"/>
    <w:rsid w:val="73933234"/>
    <w:rsid w:val="73942776"/>
    <w:rsid w:val="73962D05"/>
    <w:rsid w:val="7396352A"/>
    <w:rsid w:val="739755BC"/>
    <w:rsid w:val="739A66F1"/>
    <w:rsid w:val="73A274B4"/>
    <w:rsid w:val="73A308A4"/>
    <w:rsid w:val="73A71057"/>
    <w:rsid w:val="73A9382D"/>
    <w:rsid w:val="73AF0460"/>
    <w:rsid w:val="73AF3A8E"/>
    <w:rsid w:val="73B31F93"/>
    <w:rsid w:val="73B37153"/>
    <w:rsid w:val="73B41B2E"/>
    <w:rsid w:val="73B51CBC"/>
    <w:rsid w:val="73B674CA"/>
    <w:rsid w:val="73BC6558"/>
    <w:rsid w:val="73BE4AE4"/>
    <w:rsid w:val="73C154B1"/>
    <w:rsid w:val="73C647C2"/>
    <w:rsid w:val="73C65A17"/>
    <w:rsid w:val="73C80DAF"/>
    <w:rsid w:val="73D007B5"/>
    <w:rsid w:val="73D33845"/>
    <w:rsid w:val="73D630B1"/>
    <w:rsid w:val="73DB3D16"/>
    <w:rsid w:val="73DC6387"/>
    <w:rsid w:val="73DD7DA2"/>
    <w:rsid w:val="73E1177B"/>
    <w:rsid w:val="73E42442"/>
    <w:rsid w:val="73E52B0A"/>
    <w:rsid w:val="73E8572A"/>
    <w:rsid w:val="73ED5152"/>
    <w:rsid w:val="73F2663C"/>
    <w:rsid w:val="73F45663"/>
    <w:rsid w:val="73F523F8"/>
    <w:rsid w:val="73F54112"/>
    <w:rsid w:val="74043ED0"/>
    <w:rsid w:val="74047F79"/>
    <w:rsid w:val="74051A72"/>
    <w:rsid w:val="74057709"/>
    <w:rsid w:val="74067CF5"/>
    <w:rsid w:val="740D14AC"/>
    <w:rsid w:val="740D4E84"/>
    <w:rsid w:val="741657A4"/>
    <w:rsid w:val="7418642D"/>
    <w:rsid w:val="74186829"/>
    <w:rsid w:val="741C7103"/>
    <w:rsid w:val="74212B46"/>
    <w:rsid w:val="74212EEE"/>
    <w:rsid w:val="74224E68"/>
    <w:rsid w:val="7422791C"/>
    <w:rsid w:val="7426639C"/>
    <w:rsid w:val="74281759"/>
    <w:rsid w:val="742F6B2E"/>
    <w:rsid w:val="74325CA9"/>
    <w:rsid w:val="74345205"/>
    <w:rsid w:val="743533FE"/>
    <w:rsid w:val="74361FB5"/>
    <w:rsid w:val="74377AF4"/>
    <w:rsid w:val="74393A13"/>
    <w:rsid w:val="74396E23"/>
    <w:rsid w:val="74412A03"/>
    <w:rsid w:val="74434128"/>
    <w:rsid w:val="74477A18"/>
    <w:rsid w:val="74484F83"/>
    <w:rsid w:val="74495FAE"/>
    <w:rsid w:val="744C6C3C"/>
    <w:rsid w:val="744D30BB"/>
    <w:rsid w:val="74504163"/>
    <w:rsid w:val="74521ABD"/>
    <w:rsid w:val="74544975"/>
    <w:rsid w:val="7459302D"/>
    <w:rsid w:val="745B6708"/>
    <w:rsid w:val="74622955"/>
    <w:rsid w:val="746445F7"/>
    <w:rsid w:val="746448E5"/>
    <w:rsid w:val="746908B9"/>
    <w:rsid w:val="746A5CEF"/>
    <w:rsid w:val="746E4CA1"/>
    <w:rsid w:val="747556C0"/>
    <w:rsid w:val="74757474"/>
    <w:rsid w:val="747B7D82"/>
    <w:rsid w:val="748375EE"/>
    <w:rsid w:val="748D0BD2"/>
    <w:rsid w:val="748E30C3"/>
    <w:rsid w:val="748F0113"/>
    <w:rsid w:val="74933011"/>
    <w:rsid w:val="749625DE"/>
    <w:rsid w:val="74971A9B"/>
    <w:rsid w:val="749771B2"/>
    <w:rsid w:val="74A12F9D"/>
    <w:rsid w:val="74A73EE0"/>
    <w:rsid w:val="74A81023"/>
    <w:rsid w:val="74A960A5"/>
    <w:rsid w:val="74B25DDD"/>
    <w:rsid w:val="74B329F8"/>
    <w:rsid w:val="74B33BE4"/>
    <w:rsid w:val="74B34694"/>
    <w:rsid w:val="74B5629C"/>
    <w:rsid w:val="74B6041F"/>
    <w:rsid w:val="74B731EF"/>
    <w:rsid w:val="74B82C7F"/>
    <w:rsid w:val="74BB57FE"/>
    <w:rsid w:val="74BE7BFC"/>
    <w:rsid w:val="74BE7C6B"/>
    <w:rsid w:val="74C0650B"/>
    <w:rsid w:val="74C06CFF"/>
    <w:rsid w:val="74C2677E"/>
    <w:rsid w:val="74C41479"/>
    <w:rsid w:val="74CC4FAF"/>
    <w:rsid w:val="74CE227A"/>
    <w:rsid w:val="74CF7569"/>
    <w:rsid w:val="74D01BC6"/>
    <w:rsid w:val="74D06E6D"/>
    <w:rsid w:val="74D272F3"/>
    <w:rsid w:val="74D46E64"/>
    <w:rsid w:val="74D85ED0"/>
    <w:rsid w:val="74D9683E"/>
    <w:rsid w:val="74DA39D3"/>
    <w:rsid w:val="74DB7073"/>
    <w:rsid w:val="74E2385C"/>
    <w:rsid w:val="74E723F9"/>
    <w:rsid w:val="74E84659"/>
    <w:rsid w:val="74EC1104"/>
    <w:rsid w:val="74F03D8D"/>
    <w:rsid w:val="74F15F82"/>
    <w:rsid w:val="74F4726D"/>
    <w:rsid w:val="74FD1A6A"/>
    <w:rsid w:val="75024442"/>
    <w:rsid w:val="75031CEC"/>
    <w:rsid w:val="75053EF1"/>
    <w:rsid w:val="750563DB"/>
    <w:rsid w:val="750E1A44"/>
    <w:rsid w:val="750F6C2E"/>
    <w:rsid w:val="75116924"/>
    <w:rsid w:val="751736EF"/>
    <w:rsid w:val="751E3F58"/>
    <w:rsid w:val="751F6D48"/>
    <w:rsid w:val="752040B3"/>
    <w:rsid w:val="752121CE"/>
    <w:rsid w:val="7526657A"/>
    <w:rsid w:val="752705E7"/>
    <w:rsid w:val="753868A5"/>
    <w:rsid w:val="753D442A"/>
    <w:rsid w:val="75465E17"/>
    <w:rsid w:val="75477602"/>
    <w:rsid w:val="755009E5"/>
    <w:rsid w:val="75524626"/>
    <w:rsid w:val="7552679B"/>
    <w:rsid w:val="75533528"/>
    <w:rsid w:val="75537BC0"/>
    <w:rsid w:val="75585127"/>
    <w:rsid w:val="755C7CBB"/>
    <w:rsid w:val="755D7BF9"/>
    <w:rsid w:val="755D7E60"/>
    <w:rsid w:val="75636EE0"/>
    <w:rsid w:val="7565665D"/>
    <w:rsid w:val="75660C1B"/>
    <w:rsid w:val="75663954"/>
    <w:rsid w:val="75683E7B"/>
    <w:rsid w:val="7568630B"/>
    <w:rsid w:val="756F0437"/>
    <w:rsid w:val="75704AF7"/>
    <w:rsid w:val="75723904"/>
    <w:rsid w:val="75723A14"/>
    <w:rsid w:val="75731C84"/>
    <w:rsid w:val="75734548"/>
    <w:rsid w:val="75764B20"/>
    <w:rsid w:val="75797261"/>
    <w:rsid w:val="757B58DE"/>
    <w:rsid w:val="7582315B"/>
    <w:rsid w:val="75832774"/>
    <w:rsid w:val="75881101"/>
    <w:rsid w:val="758A31F9"/>
    <w:rsid w:val="758B0C7C"/>
    <w:rsid w:val="758D4783"/>
    <w:rsid w:val="75956F85"/>
    <w:rsid w:val="759A4753"/>
    <w:rsid w:val="75A17BC6"/>
    <w:rsid w:val="75A71DD7"/>
    <w:rsid w:val="75AF607A"/>
    <w:rsid w:val="75BA39BD"/>
    <w:rsid w:val="75C42B30"/>
    <w:rsid w:val="75C45152"/>
    <w:rsid w:val="75C91090"/>
    <w:rsid w:val="75C9167F"/>
    <w:rsid w:val="75CA10A5"/>
    <w:rsid w:val="75CC1395"/>
    <w:rsid w:val="75CE0886"/>
    <w:rsid w:val="75CE2403"/>
    <w:rsid w:val="75D33285"/>
    <w:rsid w:val="75D3435D"/>
    <w:rsid w:val="75D556C8"/>
    <w:rsid w:val="75D72551"/>
    <w:rsid w:val="75DA329E"/>
    <w:rsid w:val="75E4190F"/>
    <w:rsid w:val="75E6530E"/>
    <w:rsid w:val="75E66CCB"/>
    <w:rsid w:val="75EF2BA5"/>
    <w:rsid w:val="75F056F8"/>
    <w:rsid w:val="75F14F5F"/>
    <w:rsid w:val="75F202E1"/>
    <w:rsid w:val="75F25B8E"/>
    <w:rsid w:val="75F93CC6"/>
    <w:rsid w:val="76005062"/>
    <w:rsid w:val="760C6727"/>
    <w:rsid w:val="76160772"/>
    <w:rsid w:val="761843B5"/>
    <w:rsid w:val="761F1AE3"/>
    <w:rsid w:val="761F4764"/>
    <w:rsid w:val="76255592"/>
    <w:rsid w:val="76255D5D"/>
    <w:rsid w:val="7626273B"/>
    <w:rsid w:val="762644CA"/>
    <w:rsid w:val="762761B1"/>
    <w:rsid w:val="76287E4A"/>
    <w:rsid w:val="762D5077"/>
    <w:rsid w:val="762F101C"/>
    <w:rsid w:val="76313649"/>
    <w:rsid w:val="76396073"/>
    <w:rsid w:val="7646788A"/>
    <w:rsid w:val="765249F9"/>
    <w:rsid w:val="76560068"/>
    <w:rsid w:val="765865A9"/>
    <w:rsid w:val="765A0683"/>
    <w:rsid w:val="765E01BF"/>
    <w:rsid w:val="76601F3F"/>
    <w:rsid w:val="7661113B"/>
    <w:rsid w:val="76627ABC"/>
    <w:rsid w:val="766B2549"/>
    <w:rsid w:val="766B480F"/>
    <w:rsid w:val="766E0B49"/>
    <w:rsid w:val="76726B89"/>
    <w:rsid w:val="76726DB6"/>
    <w:rsid w:val="7673165D"/>
    <w:rsid w:val="76733DEB"/>
    <w:rsid w:val="76750A3D"/>
    <w:rsid w:val="767B50DD"/>
    <w:rsid w:val="767C4A2C"/>
    <w:rsid w:val="767E3BDF"/>
    <w:rsid w:val="767F1EB2"/>
    <w:rsid w:val="76811D6C"/>
    <w:rsid w:val="76816397"/>
    <w:rsid w:val="76830195"/>
    <w:rsid w:val="768A2FFC"/>
    <w:rsid w:val="768A6019"/>
    <w:rsid w:val="768D5AFD"/>
    <w:rsid w:val="76945703"/>
    <w:rsid w:val="7697408B"/>
    <w:rsid w:val="769833EF"/>
    <w:rsid w:val="769966EA"/>
    <w:rsid w:val="769C3FE0"/>
    <w:rsid w:val="769F5450"/>
    <w:rsid w:val="76A26FDA"/>
    <w:rsid w:val="76A471F3"/>
    <w:rsid w:val="76A640A2"/>
    <w:rsid w:val="76A9437D"/>
    <w:rsid w:val="76AC64DD"/>
    <w:rsid w:val="76AD35BA"/>
    <w:rsid w:val="76AF625C"/>
    <w:rsid w:val="76B16142"/>
    <w:rsid w:val="76B27694"/>
    <w:rsid w:val="76B34ACE"/>
    <w:rsid w:val="76B470E5"/>
    <w:rsid w:val="76B5315A"/>
    <w:rsid w:val="76BC2C61"/>
    <w:rsid w:val="76C5113A"/>
    <w:rsid w:val="76CC473F"/>
    <w:rsid w:val="76D2405C"/>
    <w:rsid w:val="76D44C42"/>
    <w:rsid w:val="76D71964"/>
    <w:rsid w:val="76DB1F94"/>
    <w:rsid w:val="76DC4913"/>
    <w:rsid w:val="76E36074"/>
    <w:rsid w:val="76E67490"/>
    <w:rsid w:val="76E90930"/>
    <w:rsid w:val="76EC6CE0"/>
    <w:rsid w:val="76F15E96"/>
    <w:rsid w:val="76F2118A"/>
    <w:rsid w:val="76F35AD1"/>
    <w:rsid w:val="76F72BE1"/>
    <w:rsid w:val="76FA1B68"/>
    <w:rsid w:val="76FD0976"/>
    <w:rsid w:val="770013B7"/>
    <w:rsid w:val="77017D3C"/>
    <w:rsid w:val="770F74E2"/>
    <w:rsid w:val="771D0921"/>
    <w:rsid w:val="77203A1F"/>
    <w:rsid w:val="77240B46"/>
    <w:rsid w:val="772603CC"/>
    <w:rsid w:val="772A7001"/>
    <w:rsid w:val="773219EF"/>
    <w:rsid w:val="773348B4"/>
    <w:rsid w:val="77353BE1"/>
    <w:rsid w:val="77386AA1"/>
    <w:rsid w:val="773D227B"/>
    <w:rsid w:val="7743174A"/>
    <w:rsid w:val="77497CE1"/>
    <w:rsid w:val="77506046"/>
    <w:rsid w:val="77513E04"/>
    <w:rsid w:val="77517681"/>
    <w:rsid w:val="77530797"/>
    <w:rsid w:val="77551819"/>
    <w:rsid w:val="775A7F80"/>
    <w:rsid w:val="775B2863"/>
    <w:rsid w:val="775F3DBA"/>
    <w:rsid w:val="775F50CF"/>
    <w:rsid w:val="77642888"/>
    <w:rsid w:val="77645147"/>
    <w:rsid w:val="77657363"/>
    <w:rsid w:val="7768311C"/>
    <w:rsid w:val="776A43C8"/>
    <w:rsid w:val="776B1623"/>
    <w:rsid w:val="7773132D"/>
    <w:rsid w:val="77736E2E"/>
    <w:rsid w:val="777572B9"/>
    <w:rsid w:val="777755E2"/>
    <w:rsid w:val="77780B91"/>
    <w:rsid w:val="7778558B"/>
    <w:rsid w:val="77792FD2"/>
    <w:rsid w:val="77807A70"/>
    <w:rsid w:val="77854F8A"/>
    <w:rsid w:val="77873C46"/>
    <w:rsid w:val="7787494F"/>
    <w:rsid w:val="778A455F"/>
    <w:rsid w:val="778B3237"/>
    <w:rsid w:val="779161B0"/>
    <w:rsid w:val="77931E81"/>
    <w:rsid w:val="7795640B"/>
    <w:rsid w:val="77970021"/>
    <w:rsid w:val="779775E8"/>
    <w:rsid w:val="77990B93"/>
    <w:rsid w:val="7799507B"/>
    <w:rsid w:val="779E0581"/>
    <w:rsid w:val="77A344DD"/>
    <w:rsid w:val="77A67CC4"/>
    <w:rsid w:val="77AA07A6"/>
    <w:rsid w:val="77AC7C3A"/>
    <w:rsid w:val="77AE6B97"/>
    <w:rsid w:val="77AF0C33"/>
    <w:rsid w:val="77B1468C"/>
    <w:rsid w:val="77B23A54"/>
    <w:rsid w:val="77B24151"/>
    <w:rsid w:val="77B53DDA"/>
    <w:rsid w:val="77BA78DF"/>
    <w:rsid w:val="77BD69A2"/>
    <w:rsid w:val="77BF5F73"/>
    <w:rsid w:val="77C41532"/>
    <w:rsid w:val="77C60B3F"/>
    <w:rsid w:val="77C8348F"/>
    <w:rsid w:val="77CB716E"/>
    <w:rsid w:val="77D77DB6"/>
    <w:rsid w:val="77D815B5"/>
    <w:rsid w:val="77D97AEC"/>
    <w:rsid w:val="77DF73A5"/>
    <w:rsid w:val="77DF7DE7"/>
    <w:rsid w:val="77E03EF7"/>
    <w:rsid w:val="77E1525A"/>
    <w:rsid w:val="77E75F86"/>
    <w:rsid w:val="77EC7CB8"/>
    <w:rsid w:val="77ED74B3"/>
    <w:rsid w:val="77EE0822"/>
    <w:rsid w:val="77EF3A68"/>
    <w:rsid w:val="77F24F9A"/>
    <w:rsid w:val="77F51A8B"/>
    <w:rsid w:val="77F53D5B"/>
    <w:rsid w:val="77F64916"/>
    <w:rsid w:val="77F847A1"/>
    <w:rsid w:val="77F9667A"/>
    <w:rsid w:val="77FA22A1"/>
    <w:rsid w:val="77FD0BD4"/>
    <w:rsid w:val="77FE32DF"/>
    <w:rsid w:val="780116D7"/>
    <w:rsid w:val="7804529D"/>
    <w:rsid w:val="780A5570"/>
    <w:rsid w:val="780A5E3F"/>
    <w:rsid w:val="780C30FF"/>
    <w:rsid w:val="780F7C64"/>
    <w:rsid w:val="78114D0F"/>
    <w:rsid w:val="78114D17"/>
    <w:rsid w:val="78122E3F"/>
    <w:rsid w:val="78122FA5"/>
    <w:rsid w:val="781A3615"/>
    <w:rsid w:val="781A48A1"/>
    <w:rsid w:val="781F7E5C"/>
    <w:rsid w:val="78225A5A"/>
    <w:rsid w:val="78254FCC"/>
    <w:rsid w:val="78283C5C"/>
    <w:rsid w:val="78285995"/>
    <w:rsid w:val="782C7002"/>
    <w:rsid w:val="782E2F8B"/>
    <w:rsid w:val="782E7E9B"/>
    <w:rsid w:val="782F5BE4"/>
    <w:rsid w:val="7831526C"/>
    <w:rsid w:val="78346848"/>
    <w:rsid w:val="78357724"/>
    <w:rsid w:val="783B78A6"/>
    <w:rsid w:val="783B7C93"/>
    <w:rsid w:val="784526E8"/>
    <w:rsid w:val="78465890"/>
    <w:rsid w:val="78472320"/>
    <w:rsid w:val="784852CE"/>
    <w:rsid w:val="785C7807"/>
    <w:rsid w:val="7865025B"/>
    <w:rsid w:val="786659FC"/>
    <w:rsid w:val="786A0B4A"/>
    <w:rsid w:val="786F18CB"/>
    <w:rsid w:val="787230A1"/>
    <w:rsid w:val="78723A6D"/>
    <w:rsid w:val="78726F43"/>
    <w:rsid w:val="78773111"/>
    <w:rsid w:val="7879642D"/>
    <w:rsid w:val="787D3337"/>
    <w:rsid w:val="787E6487"/>
    <w:rsid w:val="787E749D"/>
    <w:rsid w:val="78823B29"/>
    <w:rsid w:val="7882461D"/>
    <w:rsid w:val="78855A7C"/>
    <w:rsid w:val="788837A4"/>
    <w:rsid w:val="78890321"/>
    <w:rsid w:val="788913A1"/>
    <w:rsid w:val="788B15AB"/>
    <w:rsid w:val="788C0F1B"/>
    <w:rsid w:val="788F1083"/>
    <w:rsid w:val="789872A6"/>
    <w:rsid w:val="78996492"/>
    <w:rsid w:val="78996B2E"/>
    <w:rsid w:val="789D7370"/>
    <w:rsid w:val="789F402D"/>
    <w:rsid w:val="78A05F3E"/>
    <w:rsid w:val="78A77079"/>
    <w:rsid w:val="78A91133"/>
    <w:rsid w:val="78AB67ED"/>
    <w:rsid w:val="78AC124B"/>
    <w:rsid w:val="78AF66A0"/>
    <w:rsid w:val="78B05B97"/>
    <w:rsid w:val="78BB0CD0"/>
    <w:rsid w:val="78C25848"/>
    <w:rsid w:val="78C30EB1"/>
    <w:rsid w:val="78C50323"/>
    <w:rsid w:val="78C723C6"/>
    <w:rsid w:val="78CC7CFD"/>
    <w:rsid w:val="78D439C9"/>
    <w:rsid w:val="78DF5382"/>
    <w:rsid w:val="78E06FC7"/>
    <w:rsid w:val="78E17365"/>
    <w:rsid w:val="78E304AD"/>
    <w:rsid w:val="78E4033A"/>
    <w:rsid w:val="78E84AD5"/>
    <w:rsid w:val="78E94443"/>
    <w:rsid w:val="78EC7259"/>
    <w:rsid w:val="78ED603A"/>
    <w:rsid w:val="78F2621E"/>
    <w:rsid w:val="78F37BD4"/>
    <w:rsid w:val="78F4106A"/>
    <w:rsid w:val="78F426B4"/>
    <w:rsid w:val="78F82829"/>
    <w:rsid w:val="78F833CE"/>
    <w:rsid w:val="78FC5D2A"/>
    <w:rsid w:val="79083709"/>
    <w:rsid w:val="790A0457"/>
    <w:rsid w:val="790E6946"/>
    <w:rsid w:val="79100C25"/>
    <w:rsid w:val="7911151B"/>
    <w:rsid w:val="791331F1"/>
    <w:rsid w:val="791524C9"/>
    <w:rsid w:val="79152D10"/>
    <w:rsid w:val="791853E8"/>
    <w:rsid w:val="79194F93"/>
    <w:rsid w:val="791A0C57"/>
    <w:rsid w:val="791C4828"/>
    <w:rsid w:val="79211312"/>
    <w:rsid w:val="79297313"/>
    <w:rsid w:val="792F2E17"/>
    <w:rsid w:val="79323D95"/>
    <w:rsid w:val="79356C5A"/>
    <w:rsid w:val="79392FE3"/>
    <w:rsid w:val="793C5B9D"/>
    <w:rsid w:val="793D100A"/>
    <w:rsid w:val="79430A22"/>
    <w:rsid w:val="794450AC"/>
    <w:rsid w:val="79487A6C"/>
    <w:rsid w:val="79490516"/>
    <w:rsid w:val="794C4108"/>
    <w:rsid w:val="794C6175"/>
    <w:rsid w:val="794D154B"/>
    <w:rsid w:val="795A1EE3"/>
    <w:rsid w:val="795C3E12"/>
    <w:rsid w:val="79603147"/>
    <w:rsid w:val="79605EF2"/>
    <w:rsid w:val="79610D28"/>
    <w:rsid w:val="796449FF"/>
    <w:rsid w:val="79672721"/>
    <w:rsid w:val="79692DFF"/>
    <w:rsid w:val="79696B27"/>
    <w:rsid w:val="796A0E28"/>
    <w:rsid w:val="797014C9"/>
    <w:rsid w:val="79772945"/>
    <w:rsid w:val="7979388F"/>
    <w:rsid w:val="798375CD"/>
    <w:rsid w:val="7984406F"/>
    <w:rsid w:val="79867837"/>
    <w:rsid w:val="79870454"/>
    <w:rsid w:val="79897ED8"/>
    <w:rsid w:val="798F3938"/>
    <w:rsid w:val="799023DA"/>
    <w:rsid w:val="79924322"/>
    <w:rsid w:val="79974A88"/>
    <w:rsid w:val="799B0E28"/>
    <w:rsid w:val="799E183A"/>
    <w:rsid w:val="79A34A4F"/>
    <w:rsid w:val="79A414D5"/>
    <w:rsid w:val="79AD2F06"/>
    <w:rsid w:val="79AE5FF2"/>
    <w:rsid w:val="79AF50AE"/>
    <w:rsid w:val="79B02E8B"/>
    <w:rsid w:val="79B32278"/>
    <w:rsid w:val="79B523B3"/>
    <w:rsid w:val="79B7662F"/>
    <w:rsid w:val="79B87B5B"/>
    <w:rsid w:val="79BF1B33"/>
    <w:rsid w:val="79C200CE"/>
    <w:rsid w:val="79C32F7C"/>
    <w:rsid w:val="79C805D7"/>
    <w:rsid w:val="79CF372E"/>
    <w:rsid w:val="79D1521C"/>
    <w:rsid w:val="79D30B0D"/>
    <w:rsid w:val="79DB0515"/>
    <w:rsid w:val="79DC01AB"/>
    <w:rsid w:val="79DC34D8"/>
    <w:rsid w:val="79E1468F"/>
    <w:rsid w:val="79E37C01"/>
    <w:rsid w:val="79E5343F"/>
    <w:rsid w:val="79E749D8"/>
    <w:rsid w:val="79EA5041"/>
    <w:rsid w:val="79EB3600"/>
    <w:rsid w:val="79EC58A7"/>
    <w:rsid w:val="79F32DA6"/>
    <w:rsid w:val="79F44BA2"/>
    <w:rsid w:val="79F521B3"/>
    <w:rsid w:val="79F86C98"/>
    <w:rsid w:val="79F96BF1"/>
    <w:rsid w:val="79FB1291"/>
    <w:rsid w:val="79FC10D1"/>
    <w:rsid w:val="79FC46E6"/>
    <w:rsid w:val="79FE0697"/>
    <w:rsid w:val="79FE7AA3"/>
    <w:rsid w:val="7A046559"/>
    <w:rsid w:val="7A053775"/>
    <w:rsid w:val="7A063A08"/>
    <w:rsid w:val="7A0853AB"/>
    <w:rsid w:val="7A161658"/>
    <w:rsid w:val="7A1D255C"/>
    <w:rsid w:val="7A1F6A82"/>
    <w:rsid w:val="7A223664"/>
    <w:rsid w:val="7A2343C9"/>
    <w:rsid w:val="7A255411"/>
    <w:rsid w:val="7A2930A2"/>
    <w:rsid w:val="7A2B597D"/>
    <w:rsid w:val="7A2F30D3"/>
    <w:rsid w:val="7A365E57"/>
    <w:rsid w:val="7A39492F"/>
    <w:rsid w:val="7A3D12B8"/>
    <w:rsid w:val="7A4172EE"/>
    <w:rsid w:val="7A435E5A"/>
    <w:rsid w:val="7A475A39"/>
    <w:rsid w:val="7A4947E5"/>
    <w:rsid w:val="7A496781"/>
    <w:rsid w:val="7A4B1C58"/>
    <w:rsid w:val="7A4E171C"/>
    <w:rsid w:val="7A52128E"/>
    <w:rsid w:val="7A5B2AE2"/>
    <w:rsid w:val="7A5B3D60"/>
    <w:rsid w:val="7A5D63EE"/>
    <w:rsid w:val="7A5F6543"/>
    <w:rsid w:val="7A652FA5"/>
    <w:rsid w:val="7A654B8F"/>
    <w:rsid w:val="7A6C20F4"/>
    <w:rsid w:val="7A70150A"/>
    <w:rsid w:val="7A7067E0"/>
    <w:rsid w:val="7A7162D5"/>
    <w:rsid w:val="7A717F50"/>
    <w:rsid w:val="7A725085"/>
    <w:rsid w:val="7A753078"/>
    <w:rsid w:val="7A7761FA"/>
    <w:rsid w:val="7A7B750A"/>
    <w:rsid w:val="7A7C7B7F"/>
    <w:rsid w:val="7A827FFB"/>
    <w:rsid w:val="7A8308B8"/>
    <w:rsid w:val="7A85628D"/>
    <w:rsid w:val="7A86412D"/>
    <w:rsid w:val="7A87200C"/>
    <w:rsid w:val="7A892DB3"/>
    <w:rsid w:val="7A8963A2"/>
    <w:rsid w:val="7A935741"/>
    <w:rsid w:val="7A967021"/>
    <w:rsid w:val="7A9729C3"/>
    <w:rsid w:val="7A9A0815"/>
    <w:rsid w:val="7AA303B8"/>
    <w:rsid w:val="7AAB7B5D"/>
    <w:rsid w:val="7AB06A53"/>
    <w:rsid w:val="7AB1159E"/>
    <w:rsid w:val="7AB32AC3"/>
    <w:rsid w:val="7AB842E4"/>
    <w:rsid w:val="7AB923F2"/>
    <w:rsid w:val="7ABD2B1B"/>
    <w:rsid w:val="7ABF1A4C"/>
    <w:rsid w:val="7AC313A8"/>
    <w:rsid w:val="7AC670E6"/>
    <w:rsid w:val="7ACC41F8"/>
    <w:rsid w:val="7ACD7587"/>
    <w:rsid w:val="7AD310F6"/>
    <w:rsid w:val="7AD4723C"/>
    <w:rsid w:val="7AD737AF"/>
    <w:rsid w:val="7ADB55B8"/>
    <w:rsid w:val="7ADF5362"/>
    <w:rsid w:val="7AE30B64"/>
    <w:rsid w:val="7AEB5DF3"/>
    <w:rsid w:val="7AEC2A30"/>
    <w:rsid w:val="7AED23F8"/>
    <w:rsid w:val="7AEF0770"/>
    <w:rsid w:val="7AF031B9"/>
    <w:rsid w:val="7AF05133"/>
    <w:rsid w:val="7AF16B78"/>
    <w:rsid w:val="7AF25986"/>
    <w:rsid w:val="7AF42484"/>
    <w:rsid w:val="7AF8671B"/>
    <w:rsid w:val="7AF95496"/>
    <w:rsid w:val="7AFB22ED"/>
    <w:rsid w:val="7B004C5D"/>
    <w:rsid w:val="7B072F20"/>
    <w:rsid w:val="7B0B5122"/>
    <w:rsid w:val="7B0B682A"/>
    <w:rsid w:val="7B131634"/>
    <w:rsid w:val="7B136740"/>
    <w:rsid w:val="7B1B3D10"/>
    <w:rsid w:val="7B1C2F3F"/>
    <w:rsid w:val="7B2004D0"/>
    <w:rsid w:val="7B206C2D"/>
    <w:rsid w:val="7B237844"/>
    <w:rsid w:val="7B29595C"/>
    <w:rsid w:val="7B2B37A0"/>
    <w:rsid w:val="7B2B387D"/>
    <w:rsid w:val="7B2B5CEA"/>
    <w:rsid w:val="7B2D3CBF"/>
    <w:rsid w:val="7B2E16C4"/>
    <w:rsid w:val="7B3078C9"/>
    <w:rsid w:val="7B3F14E9"/>
    <w:rsid w:val="7B426D7E"/>
    <w:rsid w:val="7B474ECE"/>
    <w:rsid w:val="7B485F33"/>
    <w:rsid w:val="7B4941F3"/>
    <w:rsid w:val="7B4C76DC"/>
    <w:rsid w:val="7B4D4D2B"/>
    <w:rsid w:val="7B4E3167"/>
    <w:rsid w:val="7B530C4B"/>
    <w:rsid w:val="7B533BC8"/>
    <w:rsid w:val="7B595A86"/>
    <w:rsid w:val="7B5A4FC2"/>
    <w:rsid w:val="7B612DB2"/>
    <w:rsid w:val="7B631385"/>
    <w:rsid w:val="7B6804DA"/>
    <w:rsid w:val="7B68126B"/>
    <w:rsid w:val="7B696B8C"/>
    <w:rsid w:val="7B713620"/>
    <w:rsid w:val="7B72386B"/>
    <w:rsid w:val="7B724DAA"/>
    <w:rsid w:val="7B7911C5"/>
    <w:rsid w:val="7B795DED"/>
    <w:rsid w:val="7B797B70"/>
    <w:rsid w:val="7B7D0418"/>
    <w:rsid w:val="7B8266C5"/>
    <w:rsid w:val="7B8B1675"/>
    <w:rsid w:val="7B8E02E0"/>
    <w:rsid w:val="7B932239"/>
    <w:rsid w:val="7B976B38"/>
    <w:rsid w:val="7B987A06"/>
    <w:rsid w:val="7B9918CC"/>
    <w:rsid w:val="7B9D63E4"/>
    <w:rsid w:val="7BA24804"/>
    <w:rsid w:val="7BA45FB8"/>
    <w:rsid w:val="7BA8136E"/>
    <w:rsid w:val="7BAC0CC9"/>
    <w:rsid w:val="7BAD4A3E"/>
    <w:rsid w:val="7BB21113"/>
    <w:rsid w:val="7BB378E3"/>
    <w:rsid w:val="7BBC4B4C"/>
    <w:rsid w:val="7BC41A3C"/>
    <w:rsid w:val="7BC41E82"/>
    <w:rsid w:val="7BCB0816"/>
    <w:rsid w:val="7BCE45E8"/>
    <w:rsid w:val="7BD10183"/>
    <w:rsid w:val="7BD159ED"/>
    <w:rsid w:val="7BD65667"/>
    <w:rsid w:val="7BD67CFC"/>
    <w:rsid w:val="7BDE3A5E"/>
    <w:rsid w:val="7BE32ADE"/>
    <w:rsid w:val="7BE3607C"/>
    <w:rsid w:val="7BE55538"/>
    <w:rsid w:val="7BE57007"/>
    <w:rsid w:val="7BE865C8"/>
    <w:rsid w:val="7BE974F3"/>
    <w:rsid w:val="7BEA3AD2"/>
    <w:rsid w:val="7BEF529F"/>
    <w:rsid w:val="7BF034E9"/>
    <w:rsid w:val="7BF22CFB"/>
    <w:rsid w:val="7BF2369E"/>
    <w:rsid w:val="7BF2451C"/>
    <w:rsid w:val="7BFC00A9"/>
    <w:rsid w:val="7BFE56C1"/>
    <w:rsid w:val="7C073F24"/>
    <w:rsid w:val="7C084C2A"/>
    <w:rsid w:val="7C084FDD"/>
    <w:rsid w:val="7C0960C9"/>
    <w:rsid w:val="7C0A20C0"/>
    <w:rsid w:val="7C0B0855"/>
    <w:rsid w:val="7C1075E5"/>
    <w:rsid w:val="7C123D11"/>
    <w:rsid w:val="7C137FEB"/>
    <w:rsid w:val="7C18771C"/>
    <w:rsid w:val="7C1E1388"/>
    <w:rsid w:val="7C1F6514"/>
    <w:rsid w:val="7C210F4B"/>
    <w:rsid w:val="7C2B4E01"/>
    <w:rsid w:val="7C2E6B74"/>
    <w:rsid w:val="7C346323"/>
    <w:rsid w:val="7C3B12F2"/>
    <w:rsid w:val="7C3F4859"/>
    <w:rsid w:val="7C413EDF"/>
    <w:rsid w:val="7C42114D"/>
    <w:rsid w:val="7C4D7573"/>
    <w:rsid w:val="7C4E7729"/>
    <w:rsid w:val="7C5047F2"/>
    <w:rsid w:val="7C524CEB"/>
    <w:rsid w:val="7C5864DF"/>
    <w:rsid w:val="7C590B54"/>
    <w:rsid w:val="7C59535B"/>
    <w:rsid w:val="7C59592D"/>
    <w:rsid w:val="7C59688B"/>
    <w:rsid w:val="7C5D3C36"/>
    <w:rsid w:val="7C612C44"/>
    <w:rsid w:val="7C622EBC"/>
    <w:rsid w:val="7C635DDA"/>
    <w:rsid w:val="7C65155C"/>
    <w:rsid w:val="7C695BF1"/>
    <w:rsid w:val="7C6D491D"/>
    <w:rsid w:val="7C7050E1"/>
    <w:rsid w:val="7C736363"/>
    <w:rsid w:val="7C7552D8"/>
    <w:rsid w:val="7C7622C1"/>
    <w:rsid w:val="7C776240"/>
    <w:rsid w:val="7C7769B8"/>
    <w:rsid w:val="7C781293"/>
    <w:rsid w:val="7C7B2553"/>
    <w:rsid w:val="7C805411"/>
    <w:rsid w:val="7C844D54"/>
    <w:rsid w:val="7C863D18"/>
    <w:rsid w:val="7C864C2A"/>
    <w:rsid w:val="7C87526B"/>
    <w:rsid w:val="7C896395"/>
    <w:rsid w:val="7C8A11B5"/>
    <w:rsid w:val="7C8F3666"/>
    <w:rsid w:val="7C917240"/>
    <w:rsid w:val="7C947842"/>
    <w:rsid w:val="7C9717C9"/>
    <w:rsid w:val="7C992FAF"/>
    <w:rsid w:val="7C99383D"/>
    <w:rsid w:val="7C996998"/>
    <w:rsid w:val="7C9A1C63"/>
    <w:rsid w:val="7C9A713C"/>
    <w:rsid w:val="7C9B0E9F"/>
    <w:rsid w:val="7C9C7C9F"/>
    <w:rsid w:val="7C9E7DC4"/>
    <w:rsid w:val="7CA70487"/>
    <w:rsid w:val="7CAB5171"/>
    <w:rsid w:val="7CAD62A9"/>
    <w:rsid w:val="7CB1607A"/>
    <w:rsid w:val="7CB21FA8"/>
    <w:rsid w:val="7CB3243D"/>
    <w:rsid w:val="7CB9561C"/>
    <w:rsid w:val="7CBC1998"/>
    <w:rsid w:val="7CBC4E11"/>
    <w:rsid w:val="7CBE3E97"/>
    <w:rsid w:val="7CC352F6"/>
    <w:rsid w:val="7CC47C54"/>
    <w:rsid w:val="7CCA2CFC"/>
    <w:rsid w:val="7CD6710D"/>
    <w:rsid w:val="7CD7137E"/>
    <w:rsid w:val="7CDC0040"/>
    <w:rsid w:val="7CDC1A7F"/>
    <w:rsid w:val="7CDE0231"/>
    <w:rsid w:val="7CDE300B"/>
    <w:rsid w:val="7CDE6788"/>
    <w:rsid w:val="7CE60D62"/>
    <w:rsid w:val="7CEB44B9"/>
    <w:rsid w:val="7CEE5DCD"/>
    <w:rsid w:val="7CEE600B"/>
    <w:rsid w:val="7CEF1D16"/>
    <w:rsid w:val="7CF04A94"/>
    <w:rsid w:val="7CF108C8"/>
    <w:rsid w:val="7CF13553"/>
    <w:rsid w:val="7CF2745F"/>
    <w:rsid w:val="7CFB47B9"/>
    <w:rsid w:val="7D01457C"/>
    <w:rsid w:val="7D0309EC"/>
    <w:rsid w:val="7D075BB5"/>
    <w:rsid w:val="7D0C42B6"/>
    <w:rsid w:val="7D0D656C"/>
    <w:rsid w:val="7D0E453E"/>
    <w:rsid w:val="7D1000D4"/>
    <w:rsid w:val="7D131EF9"/>
    <w:rsid w:val="7D1B7BCB"/>
    <w:rsid w:val="7D1C5830"/>
    <w:rsid w:val="7D1D3C54"/>
    <w:rsid w:val="7D230191"/>
    <w:rsid w:val="7D293724"/>
    <w:rsid w:val="7D2B5134"/>
    <w:rsid w:val="7D2D109E"/>
    <w:rsid w:val="7D3046F7"/>
    <w:rsid w:val="7D311C6D"/>
    <w:rsid w:val="7D314079"/>
    <w:rsid w:val="7D321CFB"/>
    <w:rsid w:val="7D392921"/>
    <w:rsid w:val="7D3C4F37"/>
    <w:rsid w:val="7D3D0ECA"/>
    <w:rsid w:val="7D40225D"/>
    <w:rsid w:val="7D4306E7"/>
    <w:rsid w:val="7D433BE9"/>
    <w:rsid w:val="7D444FD1"/>
    <w:rsid w:val="7D46626B"/>
    <w:rsid w:val="7D5B0E62"/>
    <w:rsid w:val="7D5C4026"/>
    <w:rsid w:val="7D6875BB"/>
    <w:rsid w:val="7D696218"/>
    <w:rsid w:val="7D6D20BA"/>
    <w:rsid w:val="7D732ACE"/>
    <w:rsid w:val="7D761762"/>
    <w:rsid w:val="7D76282C"/>
    <w:rsid w:val="7D863AEB"/>
    <w:rsid w:val="7D893461"/>
    <w:rsid w:val="7D8D4498"/>
    <w:rsid w:val="7D923322"/>
    <w:rsid w:val="7D95115E"/>
    <w:rsid w:val="7D95679A"/>
    <w:rsid w:val="7D995F73"/>
    <w:rsid w:val="7D9B69EF"/>
    <w:rsid w:val="7DA15EA4"/>
    <w:rsid w:val="7DA33ABE"/>
    <w:rsid w:val="7DA532ED"/>
    <w:rsid w:val="7DA67DCD"/>
    <w:rsid w:val="7DAF2F1A"/>
    <w:rsid w:val="7DB43AC1"/>
    <w:rsid w:val="7DB566FF"/>
    <w:rsid w:val="7DB95821"/>
    <w:rsid w:val="7DBC0DA4"/>
    <w:rsid w:val="7DBD4A71"/>
    <w:rsid w:val="7DC101F0"/>
    <w:rsid w:val="7DC47552"/>
    <w:rsid w:val="7DC77365"/>
    <w:rsid w:val="7DC80617"/>
    <w:rsid w:val="7DC90EA2"/>
    <w:rsid w:val="7DCA7EC1"/>
    <w:rsid w:val="7DCD69DD"/>
    <w:rsid w:val="7DD3161A"/>
    <w:rsid w:val="7DDA4A4A"/>
    <w:rsid w:val="7DDB4227"/>
    <w:rsid w:val="7DDD492E"/>
    <w:rsid w:val="7DE332AC"/>
    <w:rsid w:val="7DEE0483"/>
    <w:rsid w:val="7DF22A02"/>
    <w:rsid w:val="7DF344DE"/>
    <w:rsid w:val="7DF606D9"/>
    <w:rsid w:val="7DF9097B"/>
    <w:rsid w:val="7DFF308E"/>
    <w:rsid w:val="7E00798E"/>
    <w:rsid w:val="7E075F84"/>
    <w:rsid w:val="7E0811E2"/>
    <w:rsid w:val="7E0829D4"/>
    <w:rsid w:val="7E0B6C33"/>
    <w:rsid w:val="7E0C5C05"/>
    <w:rsid w:val="7E0D3FC7"/>
    <w:rsid w:val="7E100187"/>
    <w:rsid w:val="7E114876"/>
    <w:rsid w:val="7E142B13"/>
    <w:rsid w:val="7E1B705B"/>
    <w:rsid w:val="7E1F573D"/>
    <w:rsid w:val="7E27368D"/>
    <w:rsid w:val="7E2936D7"/>
    <w:rsid w:val="7E2F3089"/>
    <w:rsid w:val="7E3042DA"/>
    <w:rsid w:val="7E326976"/>
    <w:rsid w:val="7E326D3E"/>
    <w:rsid w:val="7E361EBB"/>
    <w:rsid w:val="7E3868B6"/>
    <w:rsid w:val="7E3D5AAB"/>
    <w:rsid w:val="7E3E1DDC"/>
    <w:rsid w:val="7E3F3994"/>
    <w:rsid w:val="7E3F3D9E"/>
    <w:rsid w:val="7E455EF5"/>
    <w:rsid w:val="7E457C8C"/>
    <w:rsid w:val="7E483DEF"/>
    <w:rsid w:val="7E5044A7"/>
    <w:rsid w:val="7E52719E"/>
    <w:rsid w:val="7E552838"/>
    <w:rsid w:val="7E554251"/>
    <w:rsid w:val="7E590AD3"/>
    <w:rsid w:val="7E5A530F"/>
    <w:rsid w:val="7E5B4820"/>
    <w:rsid w:val="7E5E5D4C"/>
    <w:rsid w:val="7E6075F8"/>
    <w:rsid w:val="7E614B72"/>
    <w:rsid w:val="7E616F0B"/>
    <w:rsid w:val="7E6378C5"/>
    <w:rsid w:val="7E646CB1"/>
    <w:rsid w:val="7E6C28B6"/>
    <w:rsid w:val="7E6F1A1E"/>
    <w:rsid w:val="7E7139FC"/>
    <w:rsid w:val="7E72373C"/>
    <w:rsid w:val="7E726A4B"/>
    <w:rsid w:val="7E7409CD"/>
    <w:rsid w:val="7E776794"/>
    <w:rsid w:val="7E7813B0"/>
    <w:rsid w:val="7E7847AD"/>
    <w:rsid w:val="7E7A7A6B"/>
    <w:rsid w:val="7E7B4F68"/>
    <w:rsid w:val="7E7C3BC4"/>
    <w:rsid w:val="7E7E7612"/>
    <w:rsid w:val="7E82483E"/>
    <w:rsid w:val="7E837E66"/>
    <w:rsid w:val="7E84745C"/>
    <w:rsid w:val="7E891881"/>
    <w:rsid w:val="7E8A1780"/>
    <w:rsid w:val="7E8C76DB"/>
    <w:rsid w:val="7E911BA2"/>
    <w:rsid w:val="7E971B7E"/>
    <w:rsid w:val="7E9929E9"/>
    <w:rsid w:val="7E9A50C4"/>
    <w:rsid w:val="7EA04F17"/>
    <w:rsid w:val="7EA074B2"/>
    <w:rsid w:val="7EA2243C"/>
    <w:rsid w:val="7EA925C6"/>
    <w:rsid w:val="7EAC1A5D"/>
    <w:rsid w:val="7EAC6CA2"/>
    <w:rsid w:val="7EB260A9"/>
    <w:rsid w:val="7EB51B5D"/>
    <w:rsid w:val="7EBD2E44"/>
    <w:rsid w:val="7EC35AA5"/>
    <w:rsid w:val="7EC36A4A"/>
    <w:rsid w:val="7EC74466"/>
    <w:rsid w:val="7ECB17ED"/>
    <w:rsid w:val="7ECB55AA"/>
    <w:rsid w:val="7ECD1479"/>
    <w:rsid w:val="7ECD78BD"/>
    <w:rsid w:val="7ED703B9"/>
    <w:rsid w:val="7ED96436"/>
    <w:rsid w:val="7ED973C1"/>
    <w:rsid w:val="7EDC5ACF"/>
    <w:rsid w:val="7EE07DDA"/>
    <w:rsid w:val="7EE10F00"/>
    <w:rsid w:val="7EE24BFE"/>
    <w:rsid w:val="7EE654E9"/>
    <w:rsid w:val="7EE72973"/>
    <w:rsid w:val="7EE82CB9"/>
    <w:rsid w:val="7EEA6669"/>
    <w:rsid w:val="7EEC3307"/>
    <w:rsid w:val="7EED3CF5"/>
    <w:rsid w:val="7EED5C37"/>
    <w:rsid w:val="7EF60AEA"/>
    <w:rsid w:val="7EF727E1"/>
    <w:rsid w:val="7EF77127"/>
    <w:rsid w:val="7EF82113"/>
    <w:rsid w:val="7EFB31D5"/>
    <w:rsid w:val="7EFB7C90"/>
    <w:rsid w:val="7EFD1502"/>
    <w:rsid w:val="7EFF0272"/>
    <w:rsid w:val="7F045C6B"/>
    <w:rsid w:val="7F070DFC"/>
    <w:rsid w:val="7F072F7E"/>
    <w:rsid w:val="7F085413"/>
    <w:rsid w:val="7F0B0AB6"/>
    <w:rsid w:val="7F0B331C"/>
    <w:rsid w:val="7F0D0AAE"/>
    <w:rsid w:val="7F0D628A"/>
    <w:rsid w:val="7F126EC6"/>
    <w:rsid w:val="7F1614A3"/>
    <w:rsid w:val="7F163F69"/>
    <w:rsid w:val="7F194058"/>
    <w:rsid w:val="7F1F1D85"/>
    <w:rsid w:val="7F2378B9"/>
    <w:rsid w:val="7F2464ED"/>
    <w:rsid w:val="7F2A1F76"/>
    <w:rsid w:val="7F2D7E42"/>
    <w:rsid w:val="7F2E50A5"/>
    <w:rsid w:val="7F312E6B"/>
    <w:rsid w:val="7F340C7E"/>
    <w:rsid w:val="7F35639C"/>
    <w:rsid w:val="7F357F6A"/>
    <w:rsid w:val="7F360F0B"/>
    <w:rsid w:val="7F3E05D3"/>
    <w:rsid w:val="7F407527"/>
    <w:rsid w:val="7F441559"/>
    <w:rsid w:val="7F451A78"/>
    <w:rsid w:val="7F4929D0"/>
    <w:rsid w:val="7F532233"/>
    <w:rsid w:val="7F5557A7"/>
    <w:rsid w:val="7F557D06"/>
    <w:rsid w:val="7F583706"/>
    <w:rsid w:val="7F595127"/>
    <w:rsid w:val="7F5A4677"/>
    <w:rsid w:val="7F641D31"/>
    <w:rsid w:val="7F662C35"/>
    <w:rsid w:val="7F6C0A42"/>
    <w:rsid w:val="7F6C33BD"/>
    <w:rsid w:val="7F71021E"/>
    <w:rsid w:val="7F743BBC"/>
    <w:rsid w:val="7F765A5D"/>
    <w:rsid w:val="7F7B0BED"/>
    <w:rsid w:val="7F7D0755"/>
    <w:rsid w:val="7F7D7785"/>
    <w:rsid w:val="7F805FF8"/>
    <w:rsid w:val="7F810060"/>
    <w:rsid w:val="7F82488F"/>
    <w:rsid w:val="7F873F9F"/>
    <w:rsid w:val="7F882019"/>
    <w:rsid w:val="7F88227F"/>
    <w:rsid w:val="7F8A0DA4"/>
    <w:rsid w:val="7F8D1CA9"/>
    <w:rsid w:val="7F90069F"/>
    <w:rsid w:val="7F901554"/>
    <w:rsid w:val="7F965B84"/>
    <w:rsid w:val="7F9942C9"/>
    <w:rsid w:val="7FA564E5"/>
    <w:rsid w:val="7FA67F55"/>
    <w:rsid w:val="7FA77FBC"/>
    <w:rsid w:val="7FA82BEB"/>
    <w:rsid w:val="7FA91F9F"/>
    <w:rsid w:val="7FB30046"/>
    <w:rsid w:val="7FB34350"/>
    <w:rsid w:val="7FB404B2"/>
    <w:rsid w:val="7FB44F6A"/>
    <w:rsid w:val="7FB46E67"/>
    <w:rsid w:val="7FB67616"/>
    <w:rsid w:val="7FB82ABF"/>
    <w:rsid w:val="7FBA39C1"/>
    <w:rsid w:val="7FBD5FCD"/>
    <w:rsid w:val="7FBF7126"/>
    <w:rsid w:val="7FC05B17"/>
    <w:rsid w:val="7FC118D4"/>
    <w:rsid w:val="7FC23471"/>
    <w:rsid w:val="7FCC6F57"/>
    <w:rsid w:val="7FD20F41"/>
    <w:rsid w:val="7FDC6020"/>
    <w:rsid w:val="7FDD7225"/>
    <w:rsid w:val="7FDE03E0"/>
    <w:rsid w:val="7FDE69C3"/>
    <w:rsid w:val="7FEA7792"/>
    <w:rsid w:val="7FEC1C29"/>
    <w:rsid w:val="7FEC1F13"/>
    <w:rsid w:val="7FED41C6"/>
    <w:rsid w:val="7FEE1117"/>
    <w:rsid w:val="7FF21142"/>
    <w:rsid w:val="7FF90C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1" w:semiHidden="0" w:name="toc 1"/>
    <w:lsdException w:qFormat="1" w:unhideWhenUsed="0" w:uiPriority="1"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nhideWhenUsed="0" w:uiPriority="99" w:semiHidden="0" w:name="Table Web 3"/>
    <w:lsdException w:qFormat="1" w:uiPriority="99" w:name="Balloon Text"/>
    <w:lsdException w:qFormat="1" w:unhideWhenUsed="0" w:uiPriority="3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pPr>
    <w:rPr>
      <w:rFonts w:ascii="宋体" w:hAnsi="宋体" w:eastAsia="宋体" w:cs="宋体"/>
      <w:sz w:val="22"/>
      <w:szCs w:val="22"/>
      <w:lang w:val="zh-CN" w:eastAsia="zh-CN" w:bidi="zh-CN"/>
    </w:rPr>
  </w:style>
  <w:style w:type="paragraph" w:styleId="2">
    <w:name w:val="heading 1"/>
    <w:basedOn w:val="1"/>
    <w:next w:val="1"/>
    <w:link w:val="30"/>
    <w:qFormat/>
    <w:uiPriority w:val="9"/>
    <w:pPr>
      <w:ind w:hanging="802"/>
      <w:outlineLvl w:val="0"/>
    </w:pPr>
    <w:rPr>
      <w:b/>
      <w:bCs/>
      <w:sz w:val="32"/>
      <w:szCs w:val="32"/>
    </w:rPr>
  </w:style>
  <w:style w:type="paragraph" w:styleId="3">
    <w:name w:val="heading 2"/>
    <w:basedOn w:val="1"/>
    <w:next w:val="1"/>
    <w:link w:val="31"/>
    <w:unhideWhenUsed/>
    <w:qFormat/>
    <w:uiPriority w:val="9"/>
    <w:pPr>
      <w:spacing w:before="240" w:after="240"/>
      <w:ind w:hanging="559"/>
      <w:jc w:val="center"/>
      <w:outlineLvl w:val="1"/>
    </w:pPr>
    <w:rPr>
      <w:rFonts w:ascii="楷体" w:hAnsi="楷体" w:eastAsia="楷体" w:cs="楷体"/>
      <w:b/>
      <w:sz w:val="32"/>
      <w:szCs w:val="32"/>
    </w:rPr>
  </w:style>
  <w:style w:type="paragraph" w:styleId="4">
    <w:name w:val="heading 3"/>
    <w:basedOn w:val="1"/>
    <w:next w:val="1"/>
    <w:link w:val="28"/>
    <w:unhideWhenUsed/>
    <w:qFormat/>
    <w:uiPriority w:val="9"/>
    <w:pPr>
      <w:keepNext/>
      <w:keepLines/>
      <w:spacing w:before="260" w:after="260" w:line="416" w:lineRule="auto"/>
      <w:outlineLvl w:val="2"/>
    </w:pPr>
    <w:rPr>
      <w:b/>
      <w:bCs/>
      <w:sz w:val="32"/>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5">
    <w:name w:val="annotation text"/>
    <w:basedOn w:val="1"/>
    <w:link w:val="32"/>
    <w:semiHidden/>
    <w:unhideWhenUsed/>
    <w:qFormat/>
    <w:uiPriority w:val="99"/>
  </w:style>
  <w:style w:type="paragraph" w:styleId="6">
    <w:name w:val="Body Text"/>
    <w:basedOn w:val="1"/>
    <w:link w:val="26"/>
    <w:qFormat/>
    <w:uiPriority w:val="1"/>
    <w:rPr>
      <w:sz w:val="28"/>
      <w:szCs w:val="28"/>
    </w:rPr>
  </w:style>
  <w:style w:type="paragraph" w:styleId="7">
    <w:name w:val="Balloon Text"/>
    <w:basedOn w:val="1"/>
    <w:link w:val="34"/>
    <w:semiHidden/>
    <w:unhideWhenUsed/>
    <w:qFormat/>
    <w:uiPriority w:val="99"/>
    <w:rPr>
      <w:sz w:val="18"/>
      <w:szCs w:val="18"/>
    </w:rPr>
  </w:style>
  <w:style w:type="paragraph" w:styleId="8">
    <w:name w:val="footer"/>
    <w:basedOn w:val="1"/>
    <w:link w:val="25"/>
    <w:unhideWhenUsed/>
    <w:qFormat/>
    <w:uiPriority w:val="99"/>
    <w:pPr>
      <w:tabs>
        <w:tab w:val="center" w:pos="4153"/>
        <w:tab w:val="right" w:pos="8306"/>
      </w:tabs>
      <w:snapToGrid w:val="0"/>
    </w:pPr>
    <w:rPr>
      <w:sz w:val="18"/>
      <w:szCs w:val="18"/>
    </w:rPr>
  </w:style>
  <w:style w:type="paragraph" w:styleId="9">
    <w:name w:val="header"/>
    <w:basedOn w:val="1"/>
    <w:link w:val="24"/>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1"/>
    <w:pPr>
      <w:spacing w:before="107"/>
      <w:ind w:left="702" w:hanging="260"/>
    </w:pPr>
    <w:rPr>
      <w:b/>
      <w:bCs/>
      <w:sz w:val="28"/>
      <w:szCs w:val="28"/>
    </w:rPr>
  </w:style>
  <w:style w:type="paragraph" w:styleId="11">
    <w:name w:val="Body Text Indent 3"/>
    <w:basedOn w:val="1"/>
    <w:qFormat/>
    <w:uiPriority w:val="0"/>
    <w:pPr>
      <w:spacing w:after="120"/>
      <w:ind w:left="420" w:leftChars="200"/>
    </w:pPr>
    <w:rPr>
      <w:sz w:val="16"/>
      <w:szCs w:val="16"/>
    </w:rPr>
  </w:style>
  <w:style w:type="paragraph" w:styleId="12">
    <w:name w:val="toc 2"/>
    <w:basedOn w:val="1"/>
    <w:next w:val="1"/>
    <w:qFormat/>
    <w:uiPriority w:val="1"/>
    <w:pPr>
      <w:spacing w:before="43"/>
      <w:ind w:left="1232" w:hanging="370"/>
    </w:pPr>
    <w:rPr>
      <w:sz w:val="21"/>
      <w:szCs w:val="21"/>
    </w:rPr>
  </w:style>
  <w:style w:type="paragraph" w:styleId="13">
    <w:name w:val="Normal (Web)"/>
    <w:basedOn w:val="1"/>
    <w:semiHidden/>
    <w:unhideWhenUsed/>
    <w:qFormat/>
    <w:uiPriority w:val="99"/>
    <w:rPr>
      <w:sz w:val="24"/>
    </w:rPr>
  </w:style>
  <w:style w:type="paragraph" w:styleId="14">
    <w:name w:val="annotation subject"/>
    <w:basedOn w:val="5"/>
    <w:next w:val="5"/>
    <w:link w:val="33"/>
    <w:semiHidden/>
    <w:unhideWhenUsed/>
    <w:qFormat/>
    <w:uiPriority w:val="99"/>
    <w:rPr>
      <w:b/>
      <w:bCs/>
    </w:rPr>
  </w:style>
  <w:style w:type="table" w:styleId="16">
    <w:name w:val="Table Grid"/>
    <w:basedOn w:val="1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basedOn w:val="17"/>
    <w:qFormat/>
    <w:uiPriority w:val="22"/>
    <w:rPr>
      <w:b/>
    </w:rPr>
  </w:style>
  <w:style w:type="character" w:styleId="19">
    <w:name w:val="Emphasis"/>
    <w:basedOn w:val="17"/>
    <w:qFormat/>
    <w:uiPriority w:val="20"/>
    <w:rPr>
      <w:i/>
    </w:rPr>
  </w:style>
  <w:style w:type="character" w:styleId="20">
    <w:name w:val="annotation reference"/>
    <w:basedOn w:val="17"/>
    <w:semiHidden/>
    <w:unhideWhenUsed/>
    <w:qFormat/>
    <w:uiPriority w:val="99"/>
    <w:rPr>
      <w:sz w:val="21"/>
      <w:szCs w:val="21"/>
    </w:rPr>
  </w:style>
  <w:style w:type="table" w:customStyle="1" w:styleId="21">
    <w:name w:val="Table Normal"/>
    <w:semiHidden/>
    <w:unhideWhenUsed/>
    <w:qFormat/>
    <w:uiPriority w:val="2"/>
    <w:tblPr>
      <w:tblCellMar>
        <w:top w:w="0" w:type="dxa"/>
        <w:left w:w="0" w:type="dxa"/>
        <w:bottom w:w="0" w:type="dxa"/>
        <w:right w:w="0" w:type="dxa"/>
      </w:tblCellMar>
    </w:tblPr>
  </w:style>
  <w:style w:type="paragraph" w:styleId="22">
    <w:name w:val="List Paragraph"/>
    <w:basedOn w:val="1"/>
    <w:qFormat/>
    <w:uiPriority w:val="1"/>
    <w:pPr>
      <w:ind w:left="1706" w:hanging="704"/>
    </w:pPr>
  </w:style>
  <w:style w:type="paragraph" w:customStyle="1" w:styleId="23">
    <w:name w:val="Table Paragraph"/>
    <w:basedOn w:val="1"/>
    <w:qFormat/>
    <w:uiPriority w:val="1"/>
  </w:style>
  <w:style w:type="character" w:customStyle="1" w:styleId="24">
    <w:name w:val="页眉 字符"/>
    <w:basedOn w:val="17"/>
    <w:link w:val="9"/>
    <w:qFormat/>
    <w:uiPriority w:val="99"/>
    <w:rPr>
      <w:rFonts w:ascii="宋体" w:hAnsi="宋体" w:eastAsia="宋体" w:cs="宋体"/>
      <w:sz w:val="18"/>
      <w:szCs w:val="18"/>
      <w:lang w:val="zh-CN" w:eastAsia="zh-CN" w:bidi="zh-CN"/>
    </w:rPr>
  </w:style>
  <w:style w:type="character" w:customStyle="1" w:styleId="25">
    <w:name w:val="页脚 字符"/>
    <w:basedOn w:val="17"/>
    <w:link w:val="8"/>
    <w:qFormat/>
    <w:uiPriority w:val="99"/>
    <w:rPr>
      <w:rFonts w:ascii="宋体" w:hAnsi="宋体" w:eastAsia="宋体" w:cs="宋体"/>
      <w:sz w:val="18"/>
      <w:szCs w:val="18"/>
      <w:lang w:val="zh-CN" w:eastAsia="zh-CN" w:bidi="zh-CN"/>
    </w:rPr>
  </w:style>
  <w:style w:type="character" w:customStyle="1" w:styleId="26">
    <w:name w:val="正文文本 字符"/>
    <w:basedOn w:val="17"/>
    <w:link w:val="6"/>
    <w:qFormat/>
    <w:uiPriority w:val="1"/>
    <w:rPr>
      <w:rFonts w:ascii="宋体" w:hAnsi="宋体" w:eastAsia="宋体" w:cs="宋体"/>
      <w:sz w:val="28"/>
      <w:szCs w:val="28"/>
      <w:lang w:val="zh-CN" w:eastAsia="zh-CN" w:bidi="zh-CN"/>
    </w:rPr>
  </w:style>
  <w:style w:type="paragraph" w:customStyle="1" w:styleId="27">
    <w:name w:val="xl51"/>
    <w:basedOn w:val="1"/>
    <w:qFormat/>
    <w:uiPriority w:val="0"/>
    <w:pPr>
      <w:widowControl/>
      <w:autoSpaceDE/>
      <w:autoSpaceDN/>
      <w:spacing w:before="100" w:beforeAutospacing="1" w:after="100" w:afterAutospacing="1"/>
      <w:jc w:val="center"/>
    </w:pPr>
    <w:rPr>
      <w:rFonts w:hint="eastAsia" w:ascii="仿宋_GB2312" w:eastAsia="仿宋_GB2312" w:cs="Times New Roman"/>
      <w:b/>
      <w:bCs/>
      <w:sz w:val="32"/>
      <w:szCs w:val="32"/>
      <w:lang w:val="en-US" w:bidi="ar-SA"/>
    </w:rPr>
  </w:style>
  <w:style w:type="character" w:customStyle="1" w:styleId="28">
    <w:name w:val="标题 3 字符"/>
    <w:basedOn w:val="17"/>
    <w:link w:val="4"/>
    <w:qFormat/>
    <w:uiPriority w:val="9"/>
    <w:rPr>
      <w:rFonts w:ascii="宋体" w:hAnsi="宋体" w:eastAsia="宋体" w:cs="宋体"/>
      <w:b/>
      <w:bCs/>
      <w:sz w:val="32"/>
      <w:szCs w:val="32"/>
      <w:lang w:val="zh-CN" w:bidi="zh-CN"/>
    </w:rPr>
  </w:style>
  <w:style w:type="character" w:customStyle="1" w:styleId="29">
    <w:name w:val="style311"/>
    <w:qFormat/>
    <w:uiPriority w:val="0"/>
    <w:rPr>
      <w:b/>
      <w:bCs/>
      <w:color w:val="000000"/>
      <w:sz w:val="18"/>
      <w:szCs w:val="18"/>
    </w:rPr>
  </w:style>
  <w:style w:type="character" w:customStyle="1" w:styleId="30">
    <w:name w:val="标题 1 字符"/>
    <w:basedOn w:val="17"/>
    <w:link w:val="2"/>
    <w:qFormat/>
    <w:uiPriority w:val="9"/>
    <w:rPr>
      <w:rFonts w:ascii="宋体" w:hAnsi="宋体" w:eastAsia="宋体" w:cs="宋体"/>
      <w:b/>
      <w:bCs/>
      <w:sz w:val="32"/>
      <w:szCs w:val="32"/>
      <w:lang w:val="zh-CN" w:bidi="zh-CN"/>
    </w:rPr>
  </w:style>
  <w:style w:type="character" w:customStyle="1" w:styleId="31">
    <w:name w:val="标题 2 字符"/>
    <w:basedOn w:val="17"/>
    <w:link w:val="3"/>
    <w:qFormat/>
    <w:uiPriority w:val="9"/>
    <w:rPr>
      <w:rFonts w:ascii="楷体" w:hAnsi="楷体" w:eastAsia="楷体" w:cs="楷体"/>
      <w:b/>
      <w:sz w:val="32"/>
      <w:szCs w:val="32"/>
      <w:lang w:val="zh-CN" w:bidi="zh-CN"/>
    </w:rPr>
  </w:style>
  <w:style w:type="character" w:customStyle="1" w:styleId="32">
    <w:name w:val="批注文字 字符"/>
    <w:basedOn w:val="17"/>
    <w:link w:val="5"/>
    <w:semiHidden/>
    <w:qFormat/>
    <w:uiPriority w:val="99"/>
    <w:rPr>
      <w:rFonts w:ascii="宋体" w:hAnsi="宋体" w:eastAsia="宋体" w:cs="宋体"/>
      <w:sz w:val="22"/>
      <w:szCs w:val="22"/>
      <w:lang w:val="zh-CN" w:bidi="zh-CN"/>
    </w:rPr>
  </w:style>
  <w:style w:type="character" w:customStyle="1" w:styleId="33">
    <w:name w:val="批注主题 字符"/>
    <w:basedOn w:val="32"/>
    <w:link w:val="14"/>
    <w:semiHidden/>
    <w:qFormat/>
    <w:uiPriority w:val="99"/>
    <w:rPr>
      <w:rFonts w:ascii="宋体" w:hAnsi="宋体" w:eastAsia="宋体" w:cs="宋体"/>
      <w:b/>
      <w:bCs/>
      <w:sz w:val="22"/>
      <w:szCs w:val="22"/>
      <w:lang w:val="zh-CN" w:bidi="zh-CN"/>
    </w:rPr>
  </w:style>
  <w:style w:type="character" w:customStyle="1" w:styleId="34">
    <w:name w:val="批注框文本 字符"/>
    <w:basedOn w:val="17"/>
    <w:link w:val="7"/>
    <w:semiHidden/>
    <w:qFormat/>
    <w:uiPriority w:val="99"/>
    <w:rPr>
      <w:rFonts w:ascii="宋体" w:hAnsi="宋体" w:eastAsia="宋体" w:cs="宋体"/>
      <w:sz w:val="18"/>
      <w:szCs w:val="18"/>
      <w:lang w:val="zh-CN" w:bidi="zh-CN"/>
    </w:rPr>
  </w:style>
  <w:style w:type="paragraph" w:customStyle="1" w:styleId="35">
    <w:name w:val="xl33"/>
    <w:basedOn w:val="1"/>
    <w:qFormat/>
    <w:uiPriority w:val="0"/>
    <w:pPr>
      <w:widowControl/>
      <w:pBdr>
        <w:left w:val="single" w:color="auto" w:sz="4" w:space="0"/>
        <w:right w:val="single" w:color="auto" w:sz="4" w:space="0"/>
      </w:pBdr>
      <w:spacing w:before="100" w:beforeAutospacing="1" w:after="100" w:afterAutospacing="1"/>
      <w:jc w:val="center"/>
    </w:pPr>
    <w:rPr>
      <w:sz w:val="24"/>
    </w:rPr>
  </w:style>
  <w:style w:type="paragraph" w:customStyle="1" w:styleId="36">
    <w:name w:val="zw"/>
    <w:basedOn w:val="1"/>
    <w:qFormat/>
    <w:uiPriority w:val="0"/>
    <w:pPr>
      <w:widowControl/>
      <w:spacing w:before="100" w:beforeAutospacing="1" w:after="100" w:afterAutospacing="1" w:line="440" w:lineRule="atLeast"/>
    </w:pPr>
  </w:style>
  <w:style w:type="character" w:customStyle="1" w:styleId="37">
    <w:name w:val="zw1"/>
    <w:qFormat/>
    <w:uiPriority w:val="0"/>
    <w:rPr>
      <w:rFonts w:hint="eastAsia" w:ascii="宋体" w:hAnsi="宋体" w:eastAsia="宋体"/>
      <w:sz w:val="22"/>
      <w:szCs w:val="22"/>
    </w:rPr>
  </w:style>
  <w:style w:type="paragraph" w:customStyle="1" w:styleId="38">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39">
    <w:name w:val="BIG BOLD"/>
    <w:basedOn w:val="1"/>
    <w:qFormat/>
    <w:uiPriority w:val="0"/>
    <w:pPr>
      <w:tabs>
        <w:tab w:val="left" w:leader="underscore" w:pos="1134"/>
      </w:tabs>
    </w:pPr>
    <w:rPr>
      <w:szCs w:val="20"/>
    </w:rPr>
  </w:style>
  <w:style w:type="paragraph" w:customStyle="1" w:styleId="40">
    <w:name w:val="简单回函地址"/>
    <w:basedOn w:val="1"/>
    <w:qFormat/>
    <w:uiPriority w:val="0"/>
  </w:style>
  <w:style w:type="paragraph" w:customStyle="1" w:styleId="41">
    <w:name w:val="样式 (西文) Times New Roman 四号 首行缩进:  2 字符"/>
    <w:basedOn w:val="1"/>
    <w:qFormat/>
    <w:uiPriority w:val="0"/>
    <w:pPr>
      <w:ind w:firstLine="560" w:firstLineChars="200"/>
    </w:pPr>
    <w:rPr>
      <w:rFonts w:hAnsi="Calibri"/>
      <w:sz w:val="28"/>
      <w:szCs w:val="20"/>
    </w:rPr>
  </w:style>
  <w:style w:type="paragraph" w:customStyle="1" w:styleId="42">
    <w:name w:val="WPSOffice手动目录 1"/>
    <w:qFormat/>
    <w:uiPriority w:val="0"/>
    <w:rPr>
      <w:rFonts w:asciiTheme="minorHAnsi" w:hAnsiTheme="minorHAnsi" w:eastAsiaTheme="minorEastAsia" w:cstheme="minorBidi"/>
      <w:lang w:val="en-US" w:eastAsia="zh-CN" w:bidi="ar-SA"/>
    </w:rPr>
  </w:style>
  <w:style w:type="paragraph" w:customStyle="1" w:styleId="43">
    <w:name w:val="WPSOffice手动目录 2"/>
    <w:qFormat/>
    <w:uiPriority w:val="0"/>
    <w:pPr>
      <w:ind w:left="200" w:leftChars="200"/>
    </w:pPr>
    <w:rPr>
      <w:rFonts w:asciiTheme="minorHAnsi" w:hAnsiTheme="minorHAnsi" w:eastAsiaTheme="minorEastAsia" w:cstheme="minorBidi"/>
      <w:lang w:val="en-US" w:eastAsia="zh-CN" w:bidi="ar-SA"/>
    </w:rPr>
  </w:style>
  <w:style w:type="paragraph" w:customStyle="1" w:styleId="44">
    <w:name w:val="WPSOffice手动目录 3"/>
    <w:qFormat/>
    <w:uiPriority w:val="0"/>
    <w:pPr>
      <w:ind w:left="400" w:leftChars="400"/>
    </w:pPr>
    <w:rPr>
      <w:rFonts w:asciiTheme="minorHAnsi" w:hAnsiTheme="minorHAnsi" w:eastAsiaTheme="minorEastAsia" w:cstheme="minorBidi"/>
      <w:lang w:val="en-US" w:eastAsia="zh-CN" w:bidi="ar-SA"/>
    </w:rPr>
  </w:style>
  <w:style w:type="paragraph" w:customStyle="1" w:styleId="45">
    <w:name w:val="样式 正文文本缩进 3 + 行距: 1.5 倍行距"/>
    <w:basedOn w:val="11"/>
    <w:qFormat/>
    <w:uiPriority w:val="0"/>
    <w:pPr>
      <w:spacing w:after="0" w:line="360" w:lineRule="auto"/>
      <w:ind w:left="0" w:leftChars="0" w:firstLine="200" w:firstLineChars="200"/>
    </w:pPr>
    <w:rPr>
      <w:sz w:val="28"/>
      <w:szCs w:val="20"/>
    </w:rPr>
  </w:style>
  <w:style w:type="paragraph" w:customStyle="1" w:styleId="46">
    <w:name w:val="自定正文"/>
    <w:basedOn w:val="1"/>
    <w:qFormat/>
    <w:uiPriority w:val="0"/>
    <w:pPr>
      <w:snapToGrid w:val="0"/>
      <w:spacing w:before="156" w:beforeLines="50" w:line="360" w:lineRule="auto"/>
      <w:ind w:firstLine="200" w:firstLineChars="200"/>
      <w:textAlignment w:val="center"/>
    </w:pPr>
    <w:rPr>
      <w:rFonts w:ascii="Arial Narrow" w:hAnsi="Arial Narrow" w:eastAsia="仿宋_GB2312"/>
      <w:snapToGrid w:val="0"/>
      <w:color w:val="000000"/>
      <w:sz w:val="28"/>
      <w:szCs w:val="20"/>
    </w:rPr>
  </w:style>
  <w:style w:type="paragraph" w:customStyle="1" w:styleId="47">
    <w:name w:val="样式 样式 (符号) 宋体 四号 + (符号) Times New Roman 黑色 行距: 固定值 30 磅"/>
    <w:basedOn w:val="1"/>
    <w:qFormat/>
    <w:uiPriority w:val="0"/>
    <w:pPr>
      <w:spacing w:line="600" w:lineRule="exact"/>
      <w:ind w:firstLine="560" w:firstLineChars="200"/>
    </w:pPr>
    <w:rPr>
      <w:color w:val="000000"/>
      <w:sz w:val="28"/>
      <w:szCs w:val="28"/>
    </w:rPr>
  </w:style>
  <w:style w:type="paragraph" w:customStyle="1" w:styleId="48">
    <w:name w:val="首行缩进"/>
    <w:basedOn w:val="1"/>
    <w:qFormat/>
    <w:uiPriority w:val="0"/>
    <w:pPr>
      <w:snapToGrid w:val="0"/>
      <w:spacing w:line="360" w:lineRule="auto"/>
      <w:ind w:firstLine="560"/>
    </w:pPr>
    <w:rPr>
      <w:rFonts w:cs="宋体"/>
      <w:szCs w:val="20"/>
    </w:rPr>
  </w:style>
  <w:style w:type="paragraph" w:customStyle="1" w:styleId="49">
    <w:name w:val="表内字体"/>
    <w:basedOn w:val="1"/>
    <w:next w:val="1"/>
    <w:qFormat/>
    <w:uiPriority w:val="0"/>
    <w:pPr>
      <w:jc w:val="center"/>
    </w:pPr>
    <w:rPr>
      <w:sz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1" Type="http://schemas.openxmlformats.org/officeDocument/2006/relationships/fontTable" Target="fontTable.xml"/><Relationship Id="rId70" Type="http://schemas.openxmlformats.org/officeDocument/2006/relationships/customXml" Target="../customXml/item2.xml"/><Relationship Id="rId7" Type="http://schemas.openxmlformats.org/officeDocument/2006/relationships/footer" Target="footer3.xml"/><Relationship Id="rId69" Type="http://schemas.openxmlformats.org/officeDocument/2006/relationships/numbering" Target="numbering.xml"/><Relationship Id="rId68" Type="http://schemas.openxmlformats.org/officeDocument/2006/relationships/customXml" Target="../customXml/item1.xml"/><Relationship Id="rId67" Type="http://schemas.openxmlformats.org/officeDocument/2006/relationships/image" Target="media/image57.png"/><Relationship Id="rId66" Type="http://schemas.openxmlformats.org/officeDocument/2006/relationships/image" Target="media/image56.png"/><Relationship Id="rId65" Type="http://schemas.openxmlformats.org/officeDocument/2006/relationships/image" Target="media/image55.png"/><Relationship Id="rId64" Type="http://schemas.openxmlformats.org/officeDocument/2006/relationships/image" Target="media/image54.png"/><Relationship Id="rId63" Type="http://schemas.openxmlformats.org/officeDocument/2006/relationships/image" Target="media/image53.png"/><Relationship Id="rId62" Type="http://schemas.openxmlformats.org/officeDocument/2006/relationships/image" Target="media/image52.png"/><Relationship Id="rId61" Type="http://schemas.openxmlformats.org/officeDocument/2006/relationships/image" Target="media/image51.png"/><Relationship Id="rId60" Type="http://schemas.openxmlformats.org/officeDocument/2006/relationships/image" Target="media/image50.png"/><Relationship Id="rId6" Type="http://schemas.openxmlformats.org/officeDocument/2006/relationships/footer" Target="footer2.xml"/><Relationship Id="rId59" Type="http://schemas.openxmlformats.org/officeDocument/2006/relationships/image" Target="media/image49.png"/><Relationship Id="rId58" Type="http://schemas.openxmlformats.org/officeDocument/2006/relationships/image" Target="media/image48.png"/><Relationship Id="rId57" Type="http://schemas.openxmlformats.org/officeDocument/2006/relationships/image" Target="media/image47.png"/><Relationship Id="rId56" Type="http://schemas.openxmlformats.org/officeDocument/2006/relationships/image" Target="media/image46.png"/><Relationship Id="rId55" Type="http://schemas.openxmlformats.org/officeDocument/2006/relationships/image" Target="media/image45.png"/><Relationship Id="rId54" Type="http://schemas.openxmlformats.org/officeDocument/2006/relationships/image" Target="media/image44.png"/><Relationship Id="rId53" Type="http://schemas.openxmlformats.org/officeDocument/2006/relationships/image" Target="media/image43.png"/><Relationship Id="rId52" Type="http://schemas.openxmlformats.org/officeDocument/2006/relationships/image" Target="media/image42.png"/><Relationship Id="rId51" Type="http://schemas.openxmlformats.org/officeDocument/2006/relationships/image" Target="media/image41.png"/><Relationship Id="rId50" Type="http://schemas.openxmlformats.org/officeDocument/2006/relationships/image" Target="media/image40.png"/><Relationship Id="rId5" Type="http://schemas.openxmlformats.org/officeDocument/2006/relationships/header" Target="header2.xml"/><Relationship Id="rId49" Type="http://schemas.openxmlformats.org/officeDocument/2006/relationships/image" Target="media/image39.png"/><Relationship Id="rId48" Type="http://schemas.openxmlformats.org/officeDocument/2006/relationships/image" Target="media/image38.png"/><Relationship Id="rId47" Type="http://schemas.openxmlformats.org/officeDocument/2006/relationships/image" Target="media/image37.png"/><Relationship Id="rId46" Type="http://schemas.openxmlformats.org/officeDocument/2006/relationships/image" Target="media/image36.png"/><Relationship Id="rId45" Type="http://schemas.openxmlformats.org/officeDocument/2006/relationships/image" Target="media/image35.png"/><Relationship Id="rId44" Type="http://schemas.openxmlformats.org/officeDocument/2006/relationships/image" Target="media/image34.png"/><Relationship Id="rId43" Type="http://schemas.openxmlformats.org/officeDocument/2006/relationships/image" Target="media/image33.png"/><Relationship Id="rId42" Type="http://schemas.openxmlformats.org/officeDocument/2006/relationships/image" Target="media/image32.png"/><Relationship Id="rId41" Type="http://schemas.openxmlformats.org/officeDocument/2006/relationships/image" Target="media/image31.png"/><Relationship Id="rId40" Type="http://schemas.openxmlformats.org/officeDocument/2006/relationships/image" Target="media/image30.png"/><Relationship Id="rId4" Type="http://schemas.openxmlformats.org/officeDocument/2006/relationships/footer" Target="footer1.xml"/><Relationship Id="rId39" Type="http://schemas.openxmlformats.org/officeDocument/2006/relationships/image" Target="media/image29.png"/><Relationship Id="rId38" Type="http://schemas.openxmlformats.org/officeDocument/2006/relationships/image" Target="media/image28.png"/><Relationship Id="rId37" Type="http://schemas.openxmlformats.org/officeDocument/2006/relationships/image" Target="media/image27.png"/><Relationship Id="rId36" Type="http://schemas.openxmlformats.org/officeDocument/2006/relationships/image" Target="media/image26.png"/><Relationship Id="rId35" Type="http://schemas.openxmlformats.org/officeDocument/2006/relationships/image" Target="media/image25.png"/><Relationship Id="rId34" Type="http://schemas.openxmlformats.org/officeDocument/2006/relationships/image" Target="media/image24.png"/><Relationship Id="rId33" Type="http://schemas.openxmlformats.org/officeDocument/2006/relationships/image" Target="media/image23.png"/><Relationship Id="rId32" Type="http://schemas.openxmlformats.org/officeDocument/2006/relationships/image" Target="media/image22.png"/><Relationship Id="rId31" Type="http://schemas.openxmlformats.org/officeDocument/2006/relationships/image" Target="media/image21.png"/><Relationship Id="rId30" Type="http://schemas.openxmlformats.org/officeDocument/2006/relationships/image" Target="media/image20.png"/><Relationship Id="rId3" Type="http://schemas.openxmlformats.org/officeDocument/2006/relationships/header" Target="header1.xml"/><Relationship Id="rId29" Type="http://schemas.openxmlformats.org/officeDocument/2006/relationships/image" Target="media/image19.png"/><Relationship Id="rId28" Type="http://schemas.openxmlformats.org/officeDocument/2006/relationships/image" Target="media/image18.png"/><Relationship Id="rId27" Type="http://schemas.openxmlformats.org/officeDocument/2006/relationships/image" Target="media/image17.png"/><Relationship Id="rId26" Type="http://schemas.openxmlformats.org/officeDocument/2006/relationships/image" Target="media/image16.png"/><Relationship Id="rId25" Type="http://schemas.openxmlformats.org/officeDocument/2006/relationships/image" Target="media/image15.png"/><Relationship Id="rId24" Type="http://schemas.openxmlformats.org/officeDocument/2006/relationships/image" Target="media/image14.png"/><Relationship Id="rId23" Type="http://schemas.openxmlformats.org/officeDocument/2006/relationships/image" Target="media/image13.png"/><Relationship Id="rId22" Type="http://schemas.openxmlformats.org/officeDocument/2006/relationships/image" Target="media/image12.png"/><Relationship Id="rId21" Type="http://schemas.openxmlformats.org/officeDocument/2006/relationships/image" Target="media/image11.png"/><Relationship Id="rId20" Type="http://schemas.openxmlformats.org/officeDocument/2006/relationships/image" Target="media/image10.png"/><Relationship Id="rId2" Type="http://schemas.openxmlformats.org/officeDocument/2006/relationships/settings" Target="settings.xml"/><Relationship Id="rId19" Type="http://schemas.openxmlformats.org/officeDocument/2006/relationships/image" Target="media/image9.png"/><Relationship Id="rId18" Type="http://schemas.openxmlformats.org/officeDocument/2006/relationships/image" Target="media/image8.png"/><Relationship Id="rId17" Type="http://schemas.openxmlformats.org/officeDocument/2006/relationships/image" Target="media/image7.png"/><Relationship Id="rId16" Type="http://schemas.openxmlformats.org/officeDocument/2006/relationships/image" Target="media/image6.png"/><Relationship Id="rId15" Type="http://schemas.openxmlformats.org/officeDocument/2006/relationships/image" Target="media/image5.jpeg"/><Relationship Id="rId14" Type="http://schemas.openxmlformats.org/officeDocument/2006/relationships/image" Target="media/image4.emf"/><Relationship Id="rId13" Type="http://schemas.openxmlformats.org/officeDocument/2006/relationships/image" Target="media/image3.jpeg"/><Relationship Id="rId12" Type="http://schemas.openxmlformats.org/officeDocument/2006/relationships/image" Target="media/image2.emf"/><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096127D-763B-41BE-84E4-E0E51112528F}">
  <ds:schemaRefs/>
</ds:datastoreItem>
</file>

<file path=docProps/app.xml><?xml version="1.0" encoding="utf-8"?>
<Properties xmlns="http://schemas.openxmlformats.org/officeDocument/2006/extended-properties" xmlns:vt="http://schemas.openxmlformats.org/officeDocument/2006/docPropsVTypes">
  <Template>Normal.dotm</Template>
  <Pages>142</Pages>
  <Words>86461</Words>
  <Characters>94013</Characters>
  <Lines>974</Lines>
  <Paragraphs>274</Paragraphs>
  <TotalTime>3</TotalTime>
  <ScaleCrop>false</ScaleCrop>
  <LinksUpToDate>false</LinksUpToDate>
  <CharactersWithSpaces>95666</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2018-11-23T06:18:00Z</dcterms:created>
  <dc:creator>Administrator</dc:creator>
  <cp:lastModifiedBy>珊</cp:lastModifiedBy>
  <cp:lastPrinted>2019-12-11T02:26:00Z</cp:lastPrinted>
  <dcterms:modified xsi:type="dcterms:W3CDTF">2021-08-05T06:24:25Z</dcterms:modified>
  <dc:title>报告</dc:title>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2018-11-13T00:00:00Z</vt:filetime>
  </property>
  <property fmtid="{D5CDD505-2E9C-101B-9397-08002B2CF9AE}" pid="3" name="Creator">
    <vt:lpwstr>Microsoft® Word 2010</vt:lpwstr>
  </property>
  <property fmtid="{D5CDD505-2E9C-101B-9397-08002B2CF9AE}" pid="4" name="LastSaved">
    <vt:filetime>2018-11-23T00:00:00Z</vt:filetime>
  </property>
  <property fmtid="{D5CDD505-2E9C-101B-9397-08002B2CF9AE}" pid="5" name="KSOProductBuildVer">
    <vt:lpwstr>2052-11.1.0.10667</vt:lpwstr>
  </property>
  <property fmtid="{D5CDD505-2E9C-101B-9397-08002B2CF9AE}" pid="6" name="ICV">
    <vt:lpwstr>7E0C288AF0E3486696315AEEFF138492</vt:lpwstr>
  </property>
</Properties>
</file>