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11"/>
        <w:jc w:val="right"/>
        <w:rPr>
          <w:rFonts w:hint="default" w:ascii="Times New Roman" w:hAnsi="Times New Roman" w:cs="Times New Roman"/>
          <w:bCs/>
          <w:lang w:val="en-US"/>
        </w:rPr>
      </w:pPr>
      <w:bookmarkStart w:id="1743" w:name="_GoBack"/>
      <w:bookmarkEnd w:id="1743"/>
      <w:bookmarkStart w:id="0" w:name="_Hlk531335122"/>
      <w:bookmarkEnd w:id="0"/>
      <w:r>
        <w:rPr>
          <w:rFonts w:hint="default" w:ascii="Times New Roman" w:hAnsi="Times New Roman" w:cs="Times New Roman"/>
          <w:b/>
          <w:lang w:val="en-US"/>
        </w:rPr>
        <w:t xml:space="preserve">                                                                        </w:t>
      </w:r>
      <w:r>
        <w:rPr>
          <w:rFonts w:hint="default" w:ascii="Times New Roman" w:hAnsi="Times New Roman" w:cs="Times New Roman"/>
          <w:b/>
        </w:rPr>
        <w:t>编号：AYDS-AS2020-</w:t>
      </w:r>
      <w:r>
        <w:rPr>
          <w:rFonts w:hint="eastAsia" w:ascii="Times New Roman" w:hAnsi="Times New Roman" w:cs="Times New Roman"/>
          <w:b/>
          <w:lang w:val="en-US" w:eastAsia="zh-CN"/>
        </w:rPr>
        <w:t>154</w:t>
      </w:r>
    </w:p>
    <w:p>
      <w:pPr>
        <w:pStyle w:val="11"/>
        <w:jc w:val="center"/>
        <w:rPr>
          <w:rFonts w:hint="default" w:ascii="Times New Roman" w:hAnsi="Times New Roman" w:cs="Times New Roman"/>
          <w:b/>
        </w:rPr>
      </w:pPr>
    </w:p>
    <w:p>
      <w:pPr>
        <w:pStyle w:val="11"/>
        <w:rPr>
          <w:rFonts w:hint="default" w:ascii="Times New Roman" w:hAnsi="Times New Roman" w:cs="Times New Roman"/>
          <w:b/>
          <w:sz w:val="20"/>
        </w:rPr>
      </w:pPr>
    </w:p>
    <w:p>
      <w:pPr>
        <w:pStyle w:val="11"/>
        <w:spacing w:before="6"/>
        <w:rPr>
          <w:rFonts w:hint="default" w:ascii="Times New Roman" w:hAnsi="Times New Roman" w:cs="Times New Roman"/>
          <w:b/>
          <w:sz w:val="17"/>
        </w:rPr>
      </w:pPr>
    </w:p>
    <w:p>
      <w:pPr>
        <w:pStyle w:val="11"/>
        <w:spacing w:before="6"/>
        <w:rPr>
          <w:rFonts w:hint="default" w:ascii="Times New Roman" w:hAnsi="Times New Roman" w:cs="Times New Roman"/>
          <w:b/>
          <w:sz w:val="17"/>
        </w:rPr>
      </w:pPr>
    </w:p>
    <w:p>
      <w:pPr>
        <w:spacing w:line="360" w:lineRule="auto"/>
        <w:ind w:firstLine="210"/>
        <w:jc w:val="center"/>
        <w:rPr>
          <w:rFonts w:hint="default" w:ascii="Times New Roman" w:hAnsi="Times New Roman" w:eastAsia="宋体" w:cs="Times New Roman"/>
          <w:b/>
          <w:sz w:val="36"/>
          <w:szCs w:val="36"/>
          <w:lang w:eastAsia="zh-CN"/>
        </w:rPr>
      </w:pPr>
      <w:r>
        <w:rPr>
          <w:rFonts w:hint="default" w:ascii="Times New Roman" w:hAnsi="Times New Roman" w:cs="Times New Roman"/>
          <w:b/>
          <w:sz w:val="44"/>
          <w:szCs w:val="44"/>
          <w:lang w:eastAsia="zh-CN"/>
        </w:rPr>
        <w:t>中国石化销售股份有限公司</w:t>
      </w:r>
      <w:r>
        <w:rPr>
          <w:rFonts w:hint="eastAsia" w:ascii="Times New Roman" w:hAnsi="Times New Roman" w:cs="Times New Roman"/>
          <w:b/>
          <w:sz w:val="44"/>
          <w:szCs w:val="44"/>
          <w:lang w:eastAsia="zh-CN"/>
        </w:rPr>
        <w:t>广东东莞石碣唐洪东城加油站</w:t>
      </w:r>
      <w:r>
        <w:rPr>
          <w:rFonts w:hint="default" w:ascii="Times New Roman" w:hAnsi="Times New Roman" w:cs="Times New Roman"/>
          <w:b/>
          <w:sz w:val="44"/>
          <w:szCs w:val="44"/>
          <w:lang w:eastAsia="zh-CN"/>
        </w:rPr>
        <w:t>新增洗车机项目</w:t>
      </w:r>
    </w:p>
    <w:p>
      <w:pPr>
        <w:spacing w:line="360" w:lineRule="auto"/>
        <w:ind w:firstLine="210"/>
        <w:jc w:val="center"/>
        <w:rPr>
          <w:rFonts w:hint="eastAsia" w:ascii="Times New Roman" w:hAnsi="Times New Roman" w:eastAsia="宋体" w:cs="Times New Roman"/>
          <w:b/>
          <w:sz w:val="52"/>
          <w:szCs w:val="52"/>
          <w:lang w:eastAsia="zh-CN"/>
        </w:rPr>
      </w:pPr>
      <w:r>
        <w:rPr>
          <w:rFonts w:hint="eastAsia" w:ascii="Times New Roman" w:hAnsi="Times New Roman" w:cs="Times New Roman"/>
          <w:b/>
          <w:sz w:val="52"/>
          <w:szCs w:val="52"/>
          <w:highlight w:val="none"/>
          <w:lang w:eastAsia="zh-CN"/>
        </w:rPr>
        <w:t>安全验收评价报告</w:t>
      </w:r>
    </w:p>
    <w:p>
      <w:pPr>
        <w:pStyle w:val="11"/>
        <w:rPr>
          <w:rFonts w:hint="default" w:ascii="Times New Roman" w:hAnsi="Times New Roman" w:cs="Times New Roman"/>
          <w:b/>
          <w:sz w:val="52"/>
        </w:rPr>
      </w:pPr>
    </w:p>
    <w:p>
      <w:pPr>
        <w:pStyle w:val="11"/>
        <w:rPr>
          <w:rFonts w:hint="default" w:ascii="Times New Roman" w:hAnsi="Times New Roman" w:cs="Times New Roman"/>
          <w:b/>
          <w:sz w:val="52"/>
        </w:rPr>
      </w:pPr>
    </w:p>
    <w:p>
      <w:pPr>
        <w:pStyle w:val="11"/>
        <w:rPr>
          <w:rFonts w:hint="default" w:ascii="Times New Roman" w:hAnsi="Times New Roman" w:cs="Times New Roman"/>
          <w:b/>
          <w:sz w:val="48"/>
        </w:rPr>
      </w:pPr>
    </w:p>
    <w:p>
      <w:pPr>
        <w:spacing w:line="360" w:lineRule="auto"/>
        <w:ind w:left="2244" w:leftChars="290" w:hanging="1606" w:hangingChars="500"/>
        <w:rPr>
          <w:rFonts w:hint="default" w:ascii="Times New Roman" w:hAnsi="Times New Roman" w:cs="Times New Roman"/>
          <w:b/>
          <w:bCs/>
          <w:sz w:val="32"/>
          <w:szCs w:val="32"/>
        </w:rPr>
      </w:pPr>
      <w:r>
        <w:rPr>
          <w:rFonts w:hint="default" w:ascii="Times New Roman" w:hAnsi="Times New Roman" w:cs="Times New Roman"/>
          <w:b/>
          <w:bCs/>
          <w:sz w:val="32"/>
          <w:szCs w:val="32"/>
        </w:rPr>
        <w:t>建设单位：</w:t>
      </w:r>
      <w:r>
        <w:rPr>
          <w:rFonts w:hint="default" w:ascii="Times New Roman" w:hAnsi="Times New Roman" w:cs="Times New Roman"/>
          <w:b/>
          <w:bCs/>
          <w:sz w:val="32"/>
          <w:szCs w:val="32"/>
          <w:lang w:eastAsia="zh-CN"/>
        </w:rPr>
        <w:t>中国石化销售股份有限公司</w:t>
      </w:r>
      <w:r>
        <w:rPr>
          <w:rFonts w:hint="eastAsia" w:ascii="Times New Roman" w:hAnsi="Times New Roman" w:cs="Times New Roman"/>
          <w:b/>
          <w:bCs/>
          <w:sz w:val="32"/>
          <w:szCs w:val="32"/>
          <w:lang w:eastAsia="zh-CN"/>
        </w:rPr>
        <w:t>广东东莞石碣唐洪东城加油站</w:t>
      </w:r>
    </w:p>
    <w:p>
      <w:pPr>
        <w:spacing w:line="360" w:lineRule="auto"/>
        <w:ind w:firstLine="643" w:firstLineChars="200"/>
        <w:rPr>
          <w:rFonts w:hint="default" w:ascii="Times New Roman" w:hAnsi="Times New Roman" w:cs="Times New Roman"/>
          <w:b/>
          <w:bCs/>
          <w:sz w:val="32"/>
          <w:szCs w:val="32"/>
          <w:lang w:val="en-US"/>
        </w:rPr>
      </w:pPr>
      <w:r>
        <w:rPr>
          <w:rFonts w:hint="default" w:ascii="Times New Roman" w:hAnsi="Times New Roman" w:cs="Times New Roman"/>
          <w:b/>
          <w:bCs/>
          <w:sz w:val="32"/>
          <w:szCs w:val="32"/>
        </w:rPr>
        <w:t>建设单位负责人：</w:t>
      </w:r>
      <w:r>
        <w:rPr>
          <w:rFonts w:hint="eastAsia" w:ascii="Times New Roman" w:hAnsi="Times New Roman" w:cs="Times New Roman"/>
          <w:b/>
          <w:bCs/>
          <w:sz w:val="32"/>
          <w:szCs w:val="32"/>
          <w:lang w:eastAsia="zh-CN"/>
        </w:rPr>
        <w:t>江泽彬</w:t>
      </w:r>
    </w:p>
    <w:p>
      <w:pPr>
        <w:spacing w:line="360" w:lineRule="auto"/>
        <w:ind w:left="2894" w:leftChars="293" w:hanging="2249" w:hangingChars="700"/>
        <w:rPr>
          <w:rFonts w:hint="default" w:ascii="Times New Roman" w:hAnsi="Times New Roman" w:cs="Times New Roman"/>
          <w:b/>
          <w:bCs/>
          <w:sz w:val="32"/>
          <w:szCs w:val="32"/>
          <w:lang w:val="en-US"/>
        </w:rPr>
      </w:pPr>
      <w:r>
        <w:rPr>
          <w:rFonts w:hint="default" w:ascii="Times New Roman" w:hAnsi="Times New Roman" w:cs="Times New Roman"/>
          <w:b/>
          <w:bCs/>
          <w:sz w:val="32"/>
          <w:szCs w:val="32"/>
        </w:rPr>
        <w:t>建设项目单位：</w:t>
      </w:r>
      <w:r>
        <w:rPr>
          <w:rFonts w:hint="eastAsia" w:ascii="Times New Roman" w:hAnsi="Times New Roman" w:cs="Times New Roman"/>
          <w:b/>
          <w:bCs/>
          <w:sz w:val="32"/>
          <w:szCs w:val="32"/>
          <w:lang w:eastAsia="zh-CN"/>
        </w:rPr>
        <w:t>中国石化销售股份有限公司广东东莞石碣唐洪东城加油站</w:t>
      </w:r>
    </w:p>
    <w:p>
      <w:pPr>
        <w:spacing w:line="360" w:lineRule="auto"/>
        <w:ind w:firstLine="643" w:firstLineChars="200"/>
        <w:rPr>
          <w:rFonts w:hint="default" w:ascii="Times New Roman" w:hAnsi="Times New Roman" w:cs="Times New Roman"/>
          <w:b/>
          <w:bCs/>
          <w:sz w:val="32"/>
          <w:szCs w:val="32"/>
          <w:lang w:val="en-US"/>
        </w:rPr>
      </w:pPr>
      <w:r>
        <w:rPr>
          <w:rFonts w:hint="default" w:ascii="Times New Roman" w:hAnsi="Times New Roman" w:cs="Times New Roman"/>
          <w:b/>
          <w:bCs/>
          <w:sz w:val="32"/>
          <w:szCs w:val="32"/>
        </w:rPr>
        <w:t>单位主要负责人：</w:t>
      </w:r>
      <w:r>
        <w:rPr>
          <w:rFonts w:hint="eastAsia" w:ascii="Times New Roman" w:hAnsi="Times New Roman" w:cs="Times New Roman"/>
          <w:b/>
          <w:bCs/>
          <w:sz w:val="32"/>
          <w:szCs w:val="32"/>
          <w:lang w:eastAsia="zh-CN"/>
        </w:rPr>
        <w:t>郑宝森</w:t>
      </w:r>
    </w:p>
    <w:p>
      <w:pPr>
        <w:spacing w:line="360" w:lineRule="auto"/>
        <w:ind w:firstLine="643" w:firstLineChars="200"/>
        <w:rPr>
          <w:rFonts w:hint="default" w:ascii="Times New Roman" w:hAnsi="Times New Roman" w:cs="Times New Roman"/>
          <w:b/>
          <w:bCs/>
          <w:sz w:val="32"/>
          <w:szCs w:val="32"/>
          <w:lang w:val="en-US"/>
        </w:rPr>
      </w:pPr>
      <w:r>
        <w:rPr>
          <w:rFonts w:hint="default" w:ascii="Times New Roman" w:hAnsi="Times New Roman" w:cs="Times New Roman"/>
          <w:b/>
          <w:bCs/>
          <w:sz w:val="32"/>
          <w:szCs w:val="32"/>
        </w:rPr>
        <w:t>建设项目单位联系人：</w:t>
      </w:r>
      <w:r>
        <w:rPr>
          <w:rFonts w:hint="eastAsia" w:ascii="Times New Roman" w:hAnsi="Times New Roman" w:cs="Times New Roman"/>
          <w:b/>
          <w:bCs/>
          <w:sz w:val="32"/>
          <w:szCs w:val="32"/>
          <w:lang w:eastAsia="zh-CN"/>
        </w:rPr>
        <w:t>郑宝森</w:t>
      </w:r>
    </w:p>
    <w:p>
      <w:pPr>
        <w:spacing w:line="360" w:lineRule="auto"/>
        <w:ind w:firstLine="643" w:firstLineChars="200"/>
        <w:rPr>
          <w:rFonts w:hint="eastAsia" w:ascii="Times New Roman" w:hAnsi="Times New Roman" w:eastAsia="宋体" w:cs="Times New Roman"/>
          <w:b/>
          <w:sz w:val="32"/>
          <w:szCs w:val="32"/>
          <w:lang w:val="en-US" w:eastAsia="zh-CN"/>
        </w:rPr>
      </w:pPr>
      <w:r>
        <w:rPr>
          <w:rFonts w:hint="default" w:ascii="Times New Roman" w:hAnsi="Times New Roman" w:cs="Times New Roman"/>
          <w:b/>
          <w:bCs/>
          <w:sz w:val="32"/>
          <w:szCs w:val="32"/>
        </w:rPr>
        <w:t>建设项目单位联系电话：</w:t>
      </w:r>
      <w:r>
        <w:rPr>
          <w:rFonts w:hint="eastAsia" w:ascii="Times New Roman" w:hAnsi="Times New Roman" w:cs="Times New Roman"/>
          <w:b/>
          <w:bCs/>
          <w:sz w:val="32"/>
          <w:szCs w:val="32"/>
          <w:highlight w:val="none"/>
          <w:lang w:eastAsia="zh-CN"/>
        </w:rPr>
        <w:t>18819086910</w:t>
      </w:r>
    </w:p>
    <w:p>
      <w:pPr>
        <w:pStyle w:val="11"/>
        <w:spacing w:before="5"/>
        <w:rPr>
          <w:rFonts w:hint="default" w:ascii="Times New Roman" w:hAnsi="Times New Roman" w:cs="Times New Roman"/>
          <w:b/>
          <w:sz w:val="37"/>
          <w:lang w:val="en-US"/>
        </w:rPr>
      </w:pPr>
    </w:p>
    <w:p>
      <w:pPr>
        <w:pStyle w:val="11"/>
        <w:spacing w:before="5"/>
        <w:rPr>
          <w:rFonts w:hint="default" w:ascii="Times New Roman" w:hAnsi="Times New Roman" w:cs="Times New Roman"/>
          <w:b/>
          <w:sz w:val="37"/>
        </w:rPr>
      </w:pPr>
    </w:p>
    <w:p>
      <w:pPr>
        <w:ind w:right="276"/>
        <w:jc w:val="center"/>
        <w:rPr>
          <w:rFonts w:hint="default" w:ascii="Times New Roman" w:hAnsi="Times New Roman" w:cs="Times New Roman"/>
          <w:b/>
          <w:sz w:val="32"/>
          <w:szCs w:val="32"/>
        </w:rPr>
      </w:pPr>
      <w:r>
        <w:rPr>
          <w:rFonts w:hint="default" w:ascii="Times New Roman" w:hAnsi="Times New Roman" w:cs="Times New Roman"/>
          <w:b/>
          <w:sz w:val="32"/>
          <w:szCs w:val="32"/>
        </w:rPr>
        <w:t>20</w:t>
      </w:r>
      <w:r>
        <w:rPr>
          <w:rFonts w:hint="default" w:ascii="Times New Roman" w:hAnsi="Times New Roman" w:cs="Times New Roman"/>
          <w:b/>
          <w:sz w:val="32"/>
          <w:szCs w:val="32"/>
          <w:lang w:val="en-US"/>
        </w:rPr>
        <w:t>20</w:t>
      </w:r>
      <w:r>
        <w:rPr>
          <w:rFonts w:hint="default" w:ascii="Times New Roman" w:hAnsi="Times New Roman" w:cs="Times New Roman"/>
          <w:b/>
          <w:sz w:val="32"/>
          <w:szCs w:val="32"/>
        </w:rPr>
        <w:t>年</w:t>
      </w:r>
      <w:r>
        <w:rPr>
          <w:rFonts w:hint="eastAsia" w:ascii="Times New Roman" w:hAnsi="Times New Roman" w:cs="Times New Roman"/>
          <w:b/>
          <w:sz w:val="32"/>
          <w:szCs w:val="32"/>
          <w:lang w:val="en-US" w:eastAsia="zh-CN"/>
        </w:rPr>
        <w:t>11</w:t>
      </w:r>
      <w:r>
        <w:rPr>
          <w:rFonts w:hint="default" w:ascii="Times New Roman" w:hAnsi="Times New Roman" w:cs="Times New Roman"/>
          <w:b/>
          <w:sz w:val="32"/>
          <w:szCs w:val="32"/>
        </w:rPr>
        <w:t>月</w:t>
      </w:r>
      <w:r>
        <w:rPr>
          <w:rFonts w:hint="eastAsia" w:ascii="Times New Roman" w:hAnsi="Times New Roman" w:cs="Times New Roman"/>
          <w:b/>
          <w:sz w:val="32"/>
          <w:szCs w:val="32"/>
          <w:lang w:val="en-US" w:eastAsia="zh-CN"/>
        </w:rPr>
        <w:t>17</w:t>
      </w:r>
      <w:r>
        <w:rPr>
          <w:rFonts w:hint="default" w:ascii="Times New Roman" w:hAnsi="Times New Roman" w:cs="Times New Roman"/>
          <w:b/>
          <w:sz w:val="32"/>
          <w:szCs w:val="32"/>
        </w:rPr>
        <w:t>日</w:t>
      </w:r>
    </w:p>
    <w:p>
      <w:pPr>
        <w:ind w:right="276"/>
        <w:jc w:val="center"/>
        <w:rPr>
          <w:rFonts w:hint="default" w:ascii="Times New Roman" w:hAnsi="Times New Roman" w:cs="Times New Roman"/>
          <w:b/>
          <w:sz w:val="32"/>
          <w:szCs w:val="32"/>
        </w:rPr>
      </w:pPr>
      <w:r>
        <w:rPr>
          <w:rFonts w:hint="default" w:ascii="Times New Roman" w:hAnsi="Times New Roman" w:cs="Times New Roman"/>
          <w:b/>
          <w:sz w:val="32"/>
          <w:szCs w:val="32"/>
        </w:rPr>
        <w:t>（建设单位公章）</w:t>
      </w:r>
    </w:p>
    <w:p>
      <w:pPr>
        <w:spacing w:before="240"/>
        <w:ind w:right="274"/>
        <w:jc w:val="center"/>
        <w:rPr>
          <w:rFonts w:hint="default" w:ascii="Times New Roman" w:hAnsi="Times New Roman" w:cs="Times New Roman"/>
          <w:b/>
          <w:sz w:val="32"/>
          <w:szCs w:val="32"/>
        </w:rPr>
      </w:pPr>
    </w:p>
    <w:p>
      <w:pPr>
        <w:jc w:val="center"/>
        <w:rPr>
          <w:rFonts w:hint="default" w:ascii="Times New Roman" w:hAnsi="Times New Roman" w:cs="Times New Roman"/>
          <w:bCs/>
          <w:sz w:val="32"/>
          <w:szCs w:val="32"/>
        </w:rPr>
        <w:sectPr>
          <w:pgSz w:w="11910" w:h="16840"/>
          <w:pgMar w:top="1417" w:right="1134" w:bottom="1134" w:left="1587" w:header="720" w:footer="720" w:gutter="0"/>
          <w:cols w:space="0" w:num="1"/>
        </w:sectPr>
      </w:pPr>
    </w:p>
    <w:p>
      <w:pPr>
        <w:rPr>
          <w:rFonts w:hint="default" w:ascii="Times New Roman" w:hAnsi="Times New Roman" w:cs="Times New Roman"/>
          <w:b/>
          <w:sz w:val="20"/>
        </w:rPr>
      </w:pPr>
      <w:r>
        <w:rPr>
          <w:rFonts w:hint="default" w:ascii="Times New Roman" w:hAnsi="Times New Roman" w:cs="Times New Roman"/>
          <w:b/>
          <w:sz w:val="20"/>
        </w:rPr>
        <w:br w:type="page"/>
      </w:r>
    </w:p>
    <w:p>
      <w:pPr>
        <w:spacing w:line="360" w:lineRule="auto"/>
        <w:jc w:val="center"/>
        <w:rPr>
          <w:rFonts w:hint="default" w:ascii="Times New Roman" w:hAnsi="Times New Roman" w:cs="Times New Roman"/>
          <w:b/>
          <w:sz w:val="32"/>
          <w:szCs w:val="32"/>
        </w:rPr>
      </w:pPr>
    </w:p>
    <w:p>
      <w:pPr>
        <w:spacing w:line="360" w:lineRule="auto"/>
        <w:jc w:val="center"/>
        <w:rPr>
          <w:rFonts w:hint="default" w:ascii="Times New Roman" w:hAnsi="Times New Roman" w:cs="Times New Roman"/>
          <w:b/>
          <w:sz w:val="32"/>
          <w:szCs w:val="32"/>
        </w:rPr>
      </w:pPr>
    </w:p>
    <w:p>
      <w:pPr>
        <w:spacing w:line="360" w:lineRule="auto"/>
        <w:jc w:val="center"/>
        <w:rPr>
          <w:rFonts w:hint="default" w:ascii="Times New Roman" w:hAnsi="Times New Roman" w:cs="Times New Roman"/>
          <w:b/>
          <w:sz w:val="32"/>
          <w:szCs w:val="32"/>
        </w:rPr>
      </w:pPr>
    </w:p>
    <w:p>
      <w:pPr>
        <w:spacing w:line="360" w:lineRule="auto"/>
        <w:jc w:val="center"/>
        <w:rPr>
          <w:rFonts w:hint="eastAsia" w:ascii="Times New Roman" w:hAnsi="Times New Roman" w:cs="Times New Roman"/>
          <w:b/>
          <w:sz w:val="32"/>
          <w:szCs w:val="32"/>
          <w:lang w:eastAsia="zh-CN"/>
        </w:rPr>
      </w:pPr>
      <w:r>
        <w:rPr>
          <w:rFonts w:hint="eastAsia" w:ascii="Times New Roman" w:hAnsi="Times New Roman" w:cs="Times New Roman"/>
          <w:b/>
          <w:sz w:val="32"/>
          <w:szCs w:val="32"/>
          <w:lang w:eastAsia="zh-CN"/>
        </w:rPr>
        <w:t>中国石化销售股份有限公司广东东莞石碣唐洪东城加油站</w:t>
      </w:r>
    </w:p>
    <w:p>
      <w:pPr>
        <w:spacing w:line="360" w:lineRule="auto"/>
        <w:jc w:val="center"/>
        <w:rPr>
          <w:rFonts w:hint="default" w:ascii="Times New Roman" w:hAnsi="Times New Roman" w:eastAsia="宋体" w:cs="Times New Roman"/>
          <w:b/>
          <w:sz w:val="44"/>
          <w:szCs w:val="44"/>
          <w:lang w:eastAsia="zh-CN"/>
        </w:rPr>
      </w:pPr>
      <w:r>
        <w:rPr>
          <w:rFonts w:hint="default" w:ascii="Times New Roman" w:hAnsi="Times New Roman" w:cs="Times New Roman"/>
          <w:b/>
          <w:sz w:val="32"/>
          <w:szCs w:val="32"/>
          <w:lang w:eastAsia="zh-CN"/>
        </w:rPr>
        <w:t>新增洗车机项目</w:t>
      </w:r>
    </w:p>
    <w:p>
      <w:pPr>
        <w:spacing w:line="360" w:lineRule="auto"/>
        <w:jc w:val="center"/>
        <w:rPr>
          <w:rFonts w:hint="eastAsia" w:ascii="Times New Roman" w:hAnsi="Times New Roman" w:eastAsia="宋体" w:cs="Times New Roman"/>
          <w:bCs/>
          <w:sz w:val="52"/>
          <w:szCs w:val="52"/>
          <w:lang w:eastAsia="zh-CN"/>
        </w:rPr>
      </w:pPr>
      <w:r>
        <w:rPr>
          <w:rFonts w:hint="eastAsia" w:ascii="Times New Roman" w:hAnsi="Times New Roman" w:cs="Times New Roman"/>
          <w:b/>
          <w:sz w:val="44"/>
          <w:szCs w:val="44"/>
          <w:lang w:eastAsia="zh-CN"/>
        </w:rPr>
        <w:t>安全验收评价报告</w:t>
      </w:r>
    </w:p>
    <w:p>
      <w:pPr>
        <w:pStyle w:val="11"/>
        <w:rPr>
          <w:rFonts w:hint="default" w:ascii="Times New Roman" w:hAnsi="Times New Roman" w:cs="Times New Roman"/>
          <w:b/>
          <w:sz w:val="44"/>
        </w:rPr>
      </w:pPr>
    </w:p>
    <w:p>
      <w:pPr>
        <w:pStyle w:val="11"/>
        <w:rPr>
          <w:rFonts w:hint="default" w:ascii="Times New Roman" w:hAnsi="Times New Roman" w:cs="Times New Roman"/>
          <w:b/>
          <w:sz w:val="44"/>
        </w:rPr>
      </w:pPr>
    </w:p>
    <w:p>
      <w:pPr>
        <w:pStyle w:val="11"/>
        <w:rPr>
          <w:rFonts w:hint="default" w:ascii="Times New Roman" w:hAnsi="Times New Roman" w:cs="Times New Roman"/>
          <w:b/>
          <w:sz w:val="44"/>
        </w:rPr>
      </w:pPr>
    </w:p>
    <w:p>
      <w:pPr>
        <w:pStyle w:val="11"/>
        <w:spacing w:before="7"/>
        <w:rPr>
          <w:rFonts w:hint="default" w:ascii="Times New Roman" w:hAnsi="Times New Roman" w:cs="Times New Roman"/>
          <w:b/>
          <w:sz w:val="50"/>
        </w:rPr>
      </w:pPr>
    </w:p>
    <w:p>
      <w:pPr>
        <w:spacing w:line="360" w:lineRule="auto"/>
        <w:ind w:firstLine="1680" w:firstLineChars="600"/>
        <w:jc w:val="both"/>
        <w:rPr>
          <w:rFonts w:hint="default" w:ascii="Times New Roman" w:hAnsi="Times New Roman" w:cs="Times New Roman"/>
          <w:bCs/>
          <w:sz w:val="28"/>
          <w:szCs w:val="28"/>
          <w:highlight w:val="yellow"/>
        </w:rPr>
      </w:pPr>
      <w:r>
        <w:rPr>
          <w:rFonts w:hint="default" w:ascii="Times New Roman" w:hAnsi="Times New Roman" w:cs="Times New Roman"/>
          <w:bCs/>
          <w:sz w:val="28"/>
          <w:szCs w:val="28"/>
        </w:rPr>
        <w:t>评价机构名称：广东安源鼎盛检测评价技术服务有限公司</w:t>
      </w:r>
    </w:p>
    <w:p>
      <w:pPr>
        <w:spacing w:line="360" w:lineRule="auto"/>
        <w:ind w:firstLine="1680" w:firstLineChars="600"/>
        <w:jc w:val="both"/>
        <w:rPr>
          <w:rFonts w:hint="default" w:ascii="Times New Roman" w:hAnsi="Times New Roman" w:cs="Times New Roman"/>
          <w:bCs/>
          <w:sz w:val="28"/>
          <w:szCs w:val="28"/>
        </w:rPr>
      </w:pPr>
      <w:r>
        <w:rPr>
          <w:rFonts w:hint="default" w:ascii="Times New Roman" w:hAnsi="Times New Roman" w:cs="Times New Roman"/>
          <w:bCs/>
          <w:sz w:val="28"/>
          <w:szCs w:val="28"/>
        </w:rPr>
        <w:t>资质证书编号：APJ-（粤）-333</w:t>
      </w:r>
    </w:p>
    <w:p>
      <w:pPr>
        <w:spacing w:line="360" w:lineRule="auto"/>
        <w:ind w:firstLine="1680" w:firstLineChars="600"/>
        <w:jc w:val="both"/>
        <w:rPr>
          <w:rFonts w:hint="default" w:ascii="Times New Roman" w:hAnsi="Times New Roman" w:cs="Times New Roman"/>
          <w:bCs/>
          <w:sz w:val="28"/>
          <w:szCs w:val="28"/>
        </w:rPr>
      </w:pPr>
      <w:r>
        <w:rPr>
          <w:rFonts w:hint="default" w:ascii="Times New Roman" w:hAnsi="Times New Roman" w:cs="Times New Roman"/>
          <w:bCs/>
          <w:sz w:val="28"/>
          <w:szCs w:val="28"/>
        </w:rPr>
        <w:t>法定代表人：鲍玉朴</w:t>
      </w:r>
    </w:p>
    <w:p>
      <w:pPr>
        <w:spacing w:line="360" w:lineRule="auto"/>
        <w:ind w:firstLine="1680" w:firstLineChars="600"/>
        <w:jc w:val="both"/>
        <w:rPr>
          <w:rFonts w:hint="default" w:ascii="Times New Roman" w:hAnsi="Times New Roman" w:cs="Times New Roman"/>
          <w:bCs/>
          <w:sz w:val="28"/>
          <w:szCs w:val="28"/>
        </w:rPr>
      </w:pPr>
      <w:r>
        <w:rPr>
          <w:rFonts w:hint="default" w:ascii="Times New Roman" w:hAnsi="Times New Roman" w:cs="Times New Roman"/>
          <w:bCs/>
          <w:sz w:val="28"/>
          <w:szCs w:val="28"/>
        </w:rPr>
        <w:t>技术负责人：</w:t>
      </w:r>
      <w:r>
        <w:rPr>
          <w:rFonts w:hint="default" w:ascii="Times New Roman" w:hAnsi="Times New Roman" w:cs="Times New Roman"/>
          <w:bCs/>
          <w:sz w:val="28"/>
          <w:szCs w:val="28"/>
          <w:lang w:eastAsia="zh-CN"/>
        </w:rPr>
        <w:t>刘</w:t>
      </w:r>
      <w:r>
        <w:rPr>
          <w:rFonts w:hint="default" w:ascii="Times New Roman" w:hAnsi="Times New Roman" w:cs="Times New Roman"/>
          <w:bCs/>
          <w:sz w:val="28"/>
          <w:szCs w:val="28"/>
          <w:lang w:val="en-US" w:eastAsia="zh-CN"/>
        </w:rPr>
        <w:t xml:space="preserve">  </w:t>
      </w:r>
      <w:r>
        <w:rPr>
          <w:rFonts w:hint="default" w:ascii="Times New Roman" w:hAnsi="Times New Roman" w:cs="Times New Roman"/>
          <w:bCs/>
          <w:sz w:val="28"/>
          <w:szCs w:val="28"/>
          <w:lang w:eastAsia="zh-CN"/>
        </w:rPr>
        <w:t>钢</w:t>
      </w:r>
    </w:p>
    <w:p>
      <w:pPr>
        <w:spacing w:line="360" w:lineRule="auto"/>
        <w:ind w:firstLine="1680" w:firstLineChars="600"/>
        <w:jc w:val="both"/>
        <w:rPr>
          <w:rFonts w:hint="default" w:ascii="Times New Roman" w:hAnsi="Times New Roman" w:cs="Times New Roman"/>
          <w:bCs/>
          <w:sz w:val="28"/>
          <w:szCs w:val="28"/>
        </w:rPr>
      </w:pPr>
      <w:r>
        <w:rPr>
          <w:rFonts w:hint="default" w:ascii="Times New Roman" w:hAnsi="Times New Roman" w:cs="Times New Roman"/>
          <w:bCs/>
          <w:sz w:val="28"/>
          <w:szCs w:val="28"/>
        </w:rPr>
        <w:t>评价负责人：彭书萍</w:t>
      </w:r>
    </w:p>
    <w:p>
      <w:pPr>
        <w:spacing w:line="360" w:lineRule="auto"/>
        <w:ind w:firstLine="1680" w:firstLineChars="600"/>
        <w:jc w:val="both"/>
        <w:rPr>
          <w:rFonts w:hint="default" w:ascii="Times New Roman" w:hAnsi="Times New Roman" w:cs="Times New Roman"/>
          <w:b/>
          <w:sz w:val="32"/>
          <w:lang w:val="en-US"/>
        </w:rPr>
      </w:pPr>
      <w:r>
        <w:rPr>
          <w:rFonts w:hint="default" w:ascii="Times New Roman" w:hAnsi="Times New Roman" w:cs="Times New Roman"/>
          <w:bCs/>
          <w:sz w:val="28"/>
          <w:szCs w:val="28"/>
        </w:rPr>
        <w:t>评价机构联系电话：</w:t>
      </w:r>
      <w:r>
        <w:rPr>
          <w:rFonts w:hint="default" w:ascii="Times New Roman" w:hAnsi="Times New Roman" w:cs="Times New Roman"/>
          <w:bCs/>
          <w:sz w:val="28"/>
          <w:szCs w:val="28"/>
          <w:lang w:val="en-US"/>
        </w:rPr>
        <w:t>0769-22869222</w:t>
      </w:r>
    </w:p>
    <w:p>
      <w:pPr>
        <w:pStyle w:val="11"/>
        <w:spacing w:before="5"/>
        <w:rPr>
          <w:rFonts w:hint="default" w:ascii="Times New Roman" w:hAnsi="Times New Roman" w:cs="Times New Roman"/>
          <w:b/>
          <w:sz w:val="41"/>
        </w:rPr>
      </w:pPr>
    </w:p>
    <w:p>
      <w:pPr>
        <w:pStyle w:val="11"/>
        <w:spacing w:before="5"/>
        <w:rPr>
          <w:rFonts w:hint="default" w:ascii="Times New Roman" w:hAnsi="Times New Roman" w:cs="Times New Roman"/>
          <w:b/>
          <w:sz w:val="41"/>
        </w:rPr>
      </w:pPr>
    </w:p>
    <w:p>
      <w:pPr>
        <w:pStyle w:val="11"/>
        <w:spacing w:before="5"/>
        <w:rPr>
          <w:rFonts w:hint="default" w:ascii="Times New Roman" w:hAnsi="Times New Roman" w:cs="Times New Roman"/>
          <w:b/>
          <w:sz w:val="41"/>
        </w:rPr>
      </w:pPr>
    </w:p>
    <w:p>
      <w:pPr>
        <w:pStyle w:val="11"/>
        <w:spacing w:before="5"/>
        <w:rPr>
          <w:rFonts w:hint="default" w:ascii="Times New Roman" w:hAnsi="Times New Roman" w:cs="Times New Roman"/>
          <w:b/>
          <w:sz w:val="41"/>
        </w:rPr>
      </w:pPr>
    </w:p>
    <w:p>
      <w:pPr>
        <w:pStyle w:val="11"/>
        <w:spacing w:before="5"/>
        <w:rPr>
          <w:rFonts w:hint="default" w:ascii="Times New Roman" w:hAnsi="Times New Roman" w:cs="Times New Roman"/>
          <w:b/>
          <w:sz w:val="32"/>
          <w:szCs w:val="32"/>
        </w:rPr>
      </w:pPr>
    </w:p>
    <w:p>
      <w:pPr>
        <w:pStyle w:val="11"/>
        <w:spacing w:before="5"/>
        <w:rPr>
          <w:rFonts w:hint="default" w:ascii="Times New Roman" w:hAnsi="Times New Roman" w:cs="Times New Roman"/>
          <w:b/>
          <w:sz w:val="32"/>
          <w:szCs w:val="32"/>
        </w:rPr>
      </w:pPr>
    </w:p>
    <w:p>
      <w:pPr>
        <w:pStyle w:val="11"/>
        <w:spacing w:before="5"/>
        <w:rPr>
          <w:rFonts w:hint="default" w:ascii="Times New Roman" w:hAnsi="Times New Roman" w:cs="Times New Roman"/>
          <w:b/>
          <w:sz w:val="32"/>
          <w:szCs w:val="32"/>
        </w:rPr>
      </w:pPr>
    </w:p>
    <w:p>
      <w:pPr>
        <w:pStyle w:val="11"/>
        <w:spacing w:before="9"/>
        <w:rPr>
          <w:rFonts w:hint="default" w:ascii="Times New Roman" w:hAnsi="Times New Roman" w:cs="Times New Roman"/>
          <w:b/>
          <w:sz w:val="32"/>
          <w:szCs w:val="32"/>
        </w:rPr>
      </w:pPr>
    </w:p>
    <w:p>
      <w:pPr>
        <w:ind w:right="272"/>
        <w:jc w:val="center"/>
        <w:rPr>
          <w:rFonts w:hint="default" w:ascii="Times New Roman" w:hAnsi="Times New Roman" w:cs="Times New Roman"/>
          <w:b/>
          <w:sz w:val="24"/>
          <w:szCs w:val="24"/>
          <w:highlight w:val="yellow"/>
        </w:rPr>
      </w:pPr>
      <w:r>
        <w:rPr>
          <w:rFonts w:hint="default" w:ascii="Times New Roman" w:hAnsi="Times New Roman" w:cs="Times New Roman"/>
          <w:b/>
          <w:sz w:val="24"/>
          <w:szCs w:val="24"/>
        </w:rPr>
        <w:t>20</w:t>
      </w:r>
      <w:r>
        <w:rPr>
          <w:rFonts w:hint="default" w:ascii="Times New Roman" w:hAnsi="Times New Roman" w:cs="Times New Roman"/>
          <w:b/>
          <w:sz w:val="24"/>
          <w:szCs w:val="24"/>
          <w:lang w:val="en-US"/>
        </w:rPr>
        <w:t>20</w:t>
      </w:r>
      <w:r>
        <w:rPr>
          <w:rFonts w:hint="default" w:ascii="Times New Roman" w:hAnsi="Times New Roman" w:cs="Times New Roman"/>
          <w:b/>
          <w:sz w:val="24"/>
          <w:szCs w:val="24"/>
        </w:rPr>
        <w:t>年</w:t>
      </w:r>
      <w:r>
        <w:rPr>
          <w:rFonts w:hint="eastAsia" w:ascii="Times New Roman" w:hAnsi="Times New Roman" w:cs="Times New Roman"/>
          <w:b/>
          <w:sz w:val="24"/>
          <w:szCs w:val="24"/>
          <w:lang w:val="en-US" w:eastAsia="zh-CN"/>
        </w:rPr>
        <w:t>11</w:t>
      </w:r>
      <w:r>
        <w:rPr>
          <w:rFonts w:hint="default" w:ascii="Times New Roman" w:hAnsi="Times New Roman" w:cs="Times New Roman"/>
          <w:b/>
          <w:sz w:val="24"/>
          <w:szCs w:val="24"/>
        </w:rPr>
        <w:t>月</w:t>
      </w:r>
      <w:r>
        <w:rPr>
          <w:rFonts w:hint="eastAsia" w:ascii="Times New Roman" w:hAnsi="Times New Roman" w:cs="Times New Roman"/>
          <w:b/>
          <w:sz w:val="24"/>
          <w:szCs w:val="24"/>
          <w:lang w:val="en-US" w:eastAsia="zh-CN"/>
        </w:rPr>
        <w:t>17</w:t>
      </w:r>
      <w:r>
        <w:rPr>
          <w:rFonts w:hint="default" w:ascii="Times New Roman" w:hAnsi="Times New Roman" w:cs="Times New Roman"/>
          <w:b/>
          <w:sz w:val="24"/>
          <w:szCs w:val="24"/>
        </w:rPr>
        <w:t>日</w:t>
      </w:r>
    </w:p>
    <w:p>
      <w:pPr>
        <w:ind w:right="272"/>
        <w:jc w:val="center"/>
        <w:rPr>
          <w:rFonts w:hint="default" w:ascii="Times New Roman" w:hAnsi="Times New Roman" w:cs="Times New Roman"/>
          <w:b/>
          <w:sz w:val="24"/>
          <w:szCs w:val="24"/>
        </w:rPr>
      </w:pPr>
      <w:r>
        <w:rPr>
          <w:rFonts w:hint="default" w:ascii="Times New Roman" w:hAnsi="Times New Roman" w:cs="Times New Roman"/>
          <w:b/>
          <w:sz w:val="24"/>
          <w:szCs w:val="24"/>
        </w:rPr>
        <w:t>（安全评价机构公章）</w:t>
      </w:r>
    </w:p>
    <w:p>
      <w:pPr>
        <w:ind w:right="272"/>
        <w:jc w:val="center"/>
        <w:rPr>
          <w:rFonts w:hint="default" w:ascii="Times New Roman" w:hAnsi="Times New Roman" w:cs="Times New Roman"/>
          <w:b/>
          <w:sz w:val="32"/>
          <w:szCs w:val="32"/>
        </w:rPr>
      </w:pPr>
    </w:p>
    <w:p>
      <w:pPr>
        <w:pStyle w:val="2"/>
        <w:rPr>
          <w:rFonts w:hint="default" w:ascii="Times New Roman" w:hAnsi="Times New Roman" w:cs="Times New Roman"/>
          <w:b/>
          <w:sz w:val="32"/>
          <w:szCs w:val="32"/>
        </w:rPr>
      </w:pPr>
    </w:p>
    <w:p>
      <w:pPr>
        <w:rPr>
          <w:rFonts w:hint="default" w:ascii="Times New Roman" w:hAnsi="Times New Roman" w:cs="Times New Roman"/>
          <w:b/>
          <w:sz w:val="32"/>
          <w:szCs w:val="32"/>
        </w:rPr>
      </w:pPr>
    </w:p>
    <w:p>
      <w:pPr>
        <w:pStyle w:val="2"/>
        <w:rPr>
          <w:rFonts w:hint="default"/>
        </w:rPr>
      </w:pPr>
    </w:p>
    <w:p>
      <w:pPr>
        <w:rPr>
          <w:rFonts w:hint="default" w:ascii="Times New Roman" w:hAnsi="Times New Roman" w:cs="Times New Roman"/>
          <w:sz w:val="32"/>
          <w:szCs w:val="32"/>
        </w:rPr>
      </w:pPr>
      <w:r>
        <w:rPr>
          <w:rFonts w:hint="default" w:ascii="Times New Roman" w:hAnsi="Times New Roman" w:cs="Times New Roman"/>
          <w:sz w:val="32"/>
          <w:szCs w:val="32"/>
        </w:rPr>
        <w:br w:type="page"/>
      </w:r>
    </w:p>
    <w:p>
      <w:pPr>
        <w:jc w:val="center"/>
        <w:rPr>
          <w:rFonts w:hint="default" w:ascii="Times New Roman" w:hAnsi="Times New Roman" w:cs="Times New Roman"/>
          <w:sz w:val="32"/>
          <w:szCs w:val="32"/>
        </w:rPr>
        <w:sectPr>
          <w:pgSz w:w="11910" w:h="16840"/>
          <w:pgMar w:top="1417" w:right="1134" w:bottom="1134" w:left="1587" w:header="720" w:footer="720" w:gutter="0"/>
          <w:cols w:space="0" w:num="1"/>
        </w:sectPr>
      </w:pPr>
    </w:p>
    <w:p>
      <w:pPr>
        <w:spacing w:line="360" w:lineRule="auto"/>
        <w:jc w:val="center"/>
        <w:rPr>
          <w:rFonts w:hint="eastAsia" w:ascii="Times New Roman" w:hAnsi="Times New Roman" w:cs="Times New Roman"/>
          <w:b/>
          <w:sz w:val="32"/>
          <w:szCs w:val="32"/>
          <w:lang w:eastAsia="zh-CN"/>
        </w:rPr>
      </w:pPr>
      <w:r>
        <w:rPr>
          <w:rFonts w:hint="eastAsia" w:ascii="Times New Roman" w:hAnsi="Times New Roman" w:cs="Times New Roman"/>
          <w:b/>
          <w:sz w:val="32"/>
          <w:szCs w:val="32"/>
          <w:lang w:eastAsia="zh-CN"/>
        </w:rPr>
        <w:t>中国石化销售股份有限公司广东东莞石碣唐洪东城加油站</w:t>
      </w:r>
      <w:r>
        <w:rPr>
          <w:rFonts w:hint="default" w:ascii="Times New Roman" w:hAnsi="Times New Roman" w:cs="Times New Roman"/>
          <w:b/>
          <w:sz w:val="32"/>
          <w:szCs w:val="32"/>
          <w:lang w:eastAsia="zh-CN"/>
        </w:rPr>
        <w:t>新增洗车机项目</w:t>
      </w:r>
      <w:r>
        <w:rPr>
          <w:rFonts w:hint="eastAsia" w:ascii="Times New Roman" w:hAnsi="Times New Roman" w:cs="Times New Roman"/>
          <w:b/>
          <w:sz w:val="32"/>
          <w:szCs w:val="32"/>
          <w:lang w:eastAsia="zh-CN"/>
        </w:rPr>
        <w:t>安全验收安全评价报告</w:t>
      </w:r>
    </w:p>
    <w:p>
      <w:pPr>
        <w:pStyle w:val="2"/>
        <w:jc w:val="center"/>
        <w:rPr>
          <w:rFonts w:hint="eastAsia"/>
          <w:lang w:eastAsia="zh-CN"/>
        </w:rPr>
      </w:pPr>
      <w:r>
        <w:rPr>
          <w:rFonts w:hint="default" w:ascii="Times New Roman" w:hAnsi="Times New Roman" w:cs="Times New Roman"/>
          <w:b/>
          <w:bCs/>
          <w:sz w:val="32"/>
          <w:szCs w:val="32"/>
        </w:rPr>
        <w:t>评价人员</w:t>
      </w:r>
    </w:p>
    <w:tbl>
      <w:tblPr>
        <w:tblStyle w:val="29"/>
        <w:tblpPr w:leftFromText="180" w:rightFromText="180" w:vertAnchor="page" w:horzAnchor="page" w:tblpX="1682" w:tblpY="3514"/>
        <w:tblOverlap w:val="never"/>
        <w:tblW w:w="913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525"/>
        <w:gridCol w:w="1140"/>
        <w:gridCol w:w="2925"/>
        <w:gridCol w:w="1200"/>
        <w:gridCol w:w="1346"/>
        <w:gridCol w:w="100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41" w:hRule="atLeast"/>
        </w:trPr>
        <w:tc>
          <w:tcPr>
            <w:tcW w:w="15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spacing w:before="0" w:beforeAutospacing="0" w:after="0" w:afterAutospacing="0" w:line="440" w:lineRule="exact"/>
              <w:ind w:left="0" w:right="0"/>
              <w:jc w:val="center"/>
              <w:rPr>
                <w:rFonts w:hint="eastAsia" w:ascii="宋体" w:hAnsi="宋体" w:eastAsia="宋体" w:cs="宋体"/>
                <w:b/>
                <w:color w:val="auto"/>
                <w:kern w:val="2"/>
                <w:sz w:val="24"/>
                <w:szCs w:val="24"/>
              </w:rPr>
            </w:pP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spacing w:before="0" w:beforeAutospacing="0" w:after="0" w:afterAutospacing="0" w:line="440" w:lineRule="exact"/>
              <w:ind w:left="0" w:right="0"/>
              <w:jc w:val="center"/>
              <w:rPr>
                <w:rFonts w:hint="eastAsia" w:ascii="宋体" w:hAnsi="宋体" w:eastAsia="宋体" w:cs="宋体"/>
                <w:b/>
                <w:color w:val="auto"/>
                <w:kern w:val="2"/>
                <w:sz w:val="24"/>
                <w:szCs w:val="24"/>
              </w:rPr>
            </w:pPr>
            <w:r>
              <w:rPr>
                <w:rFonts w:hint="eastAsia" w:ascii="宋体" w:hAnsi="宋体" w:eastAsia="宋体" w:cs="宋体"/>
                <w:b/>
                <w:color w:val="auto"/>
                <w:kern w:val="2"/>
                <w:sz w:val="24"/>
                <w:szCs w:val="24"/>
              </w:rPr>
              <w:t>姓  名</w:t>
            </w:r>
          </w:p>
        </w:tc>
        <w:tc>
          <w:tcPr>
            <w:tcW w:w="29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spacing w:before="0" w:beforeAutospacing="0" w:after="0" w:afterAutospacing="0" w:line="440" w:lineRule="exact"/>
              <w:ind w:left="0" w:right="0"/>
              <w:jc w:val="center"/>
              <w:rPr>
                <w:rFonts w:hint="eastAsia" w:ascii="宋体" w:hAnsi="宋体" w:eastAsia="宋体" w:cs="宋体"/>
                <w:b/>
                <w:color w:val="auto"/>
                <w:kern w:val="2"/>
                <w:sz w:val="24"/>
                <w:szCs w:val="24"/>
              </w:rPr>
            </w:pPr>
            <w:r>
              <w:rPr>
                <w:rFonts w:hint="eastAsia" w:ascii="宋体" w:hAnsi="宋体" w:eastAsia="宋体" w:cs="宋体"/>
                <w:b/>
                <w:color w:val="auto"/>
                <w:kern w:val="2"/>
                <w:sz w:val="24"/>
                <w:szCs w:val="24"/>
              </w:rPr>
              <w:t>资格证书号</w:t>
            </w:r>
          </w:p>
        </w:tc>
        <w:tc>
          <w:tcPr>
            <w:tcW w:w="1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spacing w:before="0" w:beforeAutospacing="0" w:after="0" w:afterAutospacing="0" w:line="440" w:lineRule="exact"/>
              <w:ind w:left="0" w:right="0"/>
              <w:jc w:val="center"/>
              <w:rPr>
                <w:rFonts w:hint="eastAsia" w:ascii="宋体" w:hAnsi="宋体" w:eastAsia="宋体" w:cs="宋体"/>
                <w:b/>
                <w:color w:val="auto"/>
                <w:kern w:val="2"/>
                <w:sz w:val="24"/>
                <w:szCs w:val="24"/>
              </w:rPr>
            </w:pPr>
            <w:r>
              <w:rPr>
                <w:rFonts w:hint="eastAsia" w:ascii="宋体" w:hAnsi="宋体" w:eastAsia="宋体" w:cs="宋体"/>
                <w:b/>
                <w:color w:val="auto"/>
                <w:kern w:val="2"/>
                <w:sz w:val="24"/>
                <w:szCs w:val="24"/>
              </w:rPr>
              <w:t>从业</w:t>
            </w:r>
            <w:r>
              <w:rPr>
                <w:rFonts w:hint="eastAsia" w:cs="宋体"/>
                <w:b/>
                <w:color w:val="auto"/>
                <w:kern w:val="2"/>
                <w:sz w:val="24"/>
                <w:szCs w:val="24"/>
                <w:lang w:eastAsia="zh-CN"/>
              </w:rPr>
              <w:t>编</w:t>
            </w:r>
            <w:r>
              <w:rPr>
                <w:rFonts w:hint="eastAsia" w:ascii="宋体" w:hAnsi="宋体" w:eastAsia="宋体" w:cs="宋体"/>
                <w:b/>
                <w:color w:val="auto"/>
                <w:kern w:val="2"/>
                <w:sz w:val="24"/>
                <w:szCs w:val="24"/>
              </w:rPr>
              <w:t>号</w:t>
            </w:r>
          </w:p>
        </w:tc>
        <w:tc>
          <w:tcPr>
            <w:tcW w:w="13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spacing w:before="0" w:beforeAutospacing="0" w:after="0" w:afterAutospacing="0" w:line="440" w:lineRule="exact"/>
              <w:ind w:left="0" w:right="0"/>
              <w:jc w:val="center"/>
              <w:rPr>
                <w:rFonts w:hint="eastAsia" w:ascii="宋体" w:hAnsi="宋体" w:eastAsia="宋体" w:cs="宋体"/>
                <w:b/>
                <w:color w:val="auto"/>
                <w:kern w:val="2"/>
                <w:sz w:val="24"/>
                <w:szCs w:val="24"/>
              </w:rPr>
            </w:pPr>
            <w:r>
              <w:rPr>
                <w:rFonts w:hint="eastAsia"/>
                <w:b/>
                <w:bCs/>
                <w:kern w:val="2"/>
                <w:sz w:val="24"/>
                <w:lang w:eastAsia="zh-CN"/>
              </w:rPr>
              <w:t>专业能力</w:t>
            </w:r>
          </w:p>
        </w:tc>
        <w:tc>
          <w:tcPr>
            <w:tcW w:w="100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spacing w:before="0" w:beforeAutospacing="0" w:after="0" w:afterAutospacing="0" w:line="440" w:lineRule="exact"/>
              <w:ind w:left="0" w:right="0"/>
              <w:jc w:val="center"/>
              <w:rPr>
                <w:rFonts w:hint="eastAsia" w:ascii="宋体" w:hAnsi="宋体" w:eastAsia="宋体" w:cs="宋体"/>
                <w:b/>
                <w:color w:val="auto"/>
                <w:kern w:val="2"/>
                <w:sz w:val="24"/>
                <w:szCs w:val="24"/>
              </w:rPr>
            </w:pPr>
            <w:r>
              <w:rPr>
                <w:rFonts w:hint="eastAsia" w:ascii="宋体" w:hAnsi="宋体" w:eastAsia="宋体" w:cs="宋体"/>
                <w:b/>
                <w:color w:val="auto"/>
                <w:kern w:val="2"/>
                <w:sz w:val="24"/>
                <w:szCs w:val="24"/>
              </w:rPr>
              <w:t>签  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35" w:hRule="atLeast"/>
        </w:trPr>
        <w:tc>
          <w:tcPr>
            <w:tcW w:w="15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项目负责人</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彭书萍</w:t>
            </w:r>
          </w:p>
        </w:tc>
        <w:tc>
          <w:tcPr>
            <w:tcW w:w="29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1800000000201047</w:t>
            </w:r>
          </w:p>
        </w:tc>
        <w:tc>
          <w:tcPr>
            <w:tcW w:w="1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033515</w:t>
            </w:r>
          </w:p>
        </w:tc>
        <w:tc>
          <w:tcPr>
            <w:tcW w:w="13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化工工艺</w:t>
            </w:r>
          </w:p>
        </w:tc>
        <w:tc>
          <w:tcPr>
            <w:tcW w:w="100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auto"/>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50" w:hRule="atLeast"/>
        </w:trPr>
        <w:tc>
          <w:tcPr>
            <w:tcW w:w="1525" w:type="dxa"/>
            <w:vMerge w:val="restart"/>
            <w:tcBorders>
              <w:top w:val="single" w:color="000000" w:sz="4" w:space="0"/>
              <w:left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项目组成员</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梁淑君</w:t>
            </w:r>
          </w:p>
        </w:tc>
        <w:tc>
          <w:tcPr>
            <w:tcW w:w="29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S011044000110192002611</w:t>
            </w:r>
          </w:p>
        </w:tc>
        <w:tc>
          <w:tcPr>
            <w:tcW w:w="1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037285</w:t>
            </w:r>
          </w:p>
        </w:tc>
        <w:tc>
          <w:tcPr>
            <w:tcW w:w="13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化工机械</w:t>
            </w:r>
          </w:p>
        </w:tc>
        <w:tc>
          <w:tcPr>
            <w:tcW w:w="100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auto"/>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35" w:hRule="atLeast"/>
        </w:trPr>
        <w:tc>
          <w:tcPr>
            <w:tcW w:w="1525" w:type="dxa"/>
            <w:vMerge w:val="continue"/>
            <w:tcBorders>
              <w:left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auto"/>
                <w:kern w:val="0"/>
                <w:sz w:val="24"/>
                <w:szCs w:val="24"/>
                <w:u w:val="none"/>
                <w:lang w:val="en-US" w:eastAsia="zh-CN" w:bidi="ar"/>
              </w:rPr>
            </w:pP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高领超</w:t>
            </w:r>
          </w:p>
        </w:tc>
        <w:tc>
          <w:tcPr>
            <w:tcW w:w="29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1600000000300318</w:t>
            </w:r>
          </w:p>
        </w:tc>
        <w:tc>
          <w:tcPr>
            <w:tcW w:w="1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031667</w:t>
            </w:r>
          </w:p>
        </w:tc>
        <w:tc>
          <w:tcPr>
            <w:tcW w:w="13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电  气</w:t>
            </w:r>
          </w:p>
        </w:tc>
        <w:tc>
          <w:tcPr>
            <w:tcW w:w="100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auto"/>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75" w:hRule="atLeast"/>
        </w:trPr>
        <w:tc>
          <w:tcPr>
            <w:tcW w:w="1525" w:type="dxa"/>
            <w:vMerge w:val="continue"/>
            <w:tcBorders>
              <w:left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auto"/>
                <w:kern w:val="0"/>
                <w:sz w:val="24"/>
                <w:szCs w:val="24"/>
                <w:u w:val="none"/>
                <w:lang w:val="en-US" w:eastAsia="zh-CN" w:bidi="ar"/>
              </w:rPr>
            </w:pP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任长江</w:t>
            </w:r>
          </w:p>
        </w:tc>
        <w:tc>
          <w:tcPr>
            <w:tcW w:w="29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1600000000200301</w:t>
            </w:r>
          </w:p>
        </w:tc>
        <w:tc>
          <w:tcPr>
            <w:tcW w:w="1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028500</w:t>
            </w:r>
          </w:p>
        </w:tc>
        <w:tc>
          <w:tcPr>
            <w:tcW w:w="13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自动化</w:t>
            </w:r>
          </w:p>
        </w:tc>
        <w:tc>
          <w:tcPr>
            <w:tcW w:w="100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auto"/>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20" w:hRule="atLeast"/>
        </w:trPr>
        <w:tc>
          <w:tcPr>
            <w:tcW w:w="1525" w:type="dxa"/>
            <w:vMerge w:val="continue"/>
            <w:tcBorders>
              <w:left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auto"/>
                <w:kern w:val="0"/>
                <w:sz w:val="24"/>
                <w:szCs w:val="24"/>
                <w:u w:val="none"/>
                <w:lang w:val="en-US" w:eastAsia="zh-CN" w:bidi="ar"/>
              </w:rPr>
            </w:pP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王卫国</w:t>
            </w:r>
          </w:p>
        </w:tc>
        <w:tc>
          <w:tcPr>
            <w:tcW w:w="29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1100000000301385</w:t>
            </w:r>
          </w:p>
        </w:tc>
        <w:tc>
          <w:tcPr>
            <w:tcW w:w="1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034595</w:t>
            </w:r>
          </w:p>
        </w:tc>
        <w:tc>
          <w:tcPr>
            <w:tcW w:w="13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安  全</w:t>
            </w:r>
          </w:p>
        </w:tc>
        <w:tc>
          <w:tcPr>
            <w:tcW w:w="100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auto"/>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5" w:hRule="atLeast"/>
        </w:trPr>
        <w:tc>
          <w:tcPr>
            <w:tcW w:w="1525" w:type="dxa"/>
            <w:vMerge w:val="continue"/>
            <w:tcBorders>
              <w:left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auto"/>
                <w:kern w:val="0"/>
                <w:sz w:val="24"/>
                <w:szCs w:val="24"/>
                <w:u w:val="none"/>
                <w:lang w:val="en-US" w:eastAsia="zh-CN" w:bidi="ar"/>
              </w:rPr>
            </w:pP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黄孙兴</w:t>
            </w:r>
          </w:p>
        </w:tc>
        <w:tc>
          <w:tcPr>
            <w:tcW w:w="29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S011044000110193002145</w:t>
            </w:r>
          </w:p>
        </w:tc>
        <w:tc>
          <w:tcPr>
            <w:tcW w:w="1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037288</w:t>
            </w:r>
          </w:p>
        </w:tc>
        <w:tc>
          <w:tcPr>
            <w:tcW w:w="13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化工工艺</w:t>
            </w:r>
          </w:p>
        </w:tc>
        <w:tc>
          <w:tcPr>
            <w:tcW w:w="100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auto"/>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5" w:hRule="atLeast"/>
        </w:trPr>
        <w:tc>
          <w:tcPr>
            <w:tcW w:w="1525" w:type="dxa"/>
            <w:vMerge w:val="continue"/>
            <w:tcBorders>
              <w:left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auto"/>
                <w:kern w:val="0"/>
                <w:sz w:val="24"/>
                <w:szCs w:val="24"/>
                <w:u w:val="none"/>
                <w:lang w:val="en-US" w:eastAsia="zh-CN" w:bidi="ar"/>
              </w:rPr>
            </w:pP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魏少卿</w:t>
            </w:r>
          </w:p>
        </w:tc>
        <w:tc>
          <w:tcPr>
            <w:tcW w:w="29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S011044000110193002019</w:t>
            </w:r>
          </w:p>
        </w:tc>
        <w:tc>
          <w:tcPr>
            <w:tcW w:w="1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037286</w:t>
            </w:r>
          </w:p>
        </w:tc>
        <w:tc>
          <w:tcPr>
            <w:tcW w:w="13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矿井通风与安全</w:t>
            </w:r>
          </w:p>
        </w:tc>
        <w:tc>
          <w:tcPr>
            <w:tcW w:w="100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auto"/>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5" w:hRule="atLeast"/>
        </w:trPr>
        <w:tc>
          <w:tcPr>
            <w:tcW w:w="1525" w:type="dxa"/>
            <w:vMerge w:val="continue"/>
            <w:tcBorders>
              <w:left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auto"/>
                <w:kern w:val="0"/>
                <w:sz w:val="24"/>
                <w:szCs w:val="24"/>
                <w:u w:val="none"/>
                <w:lang w:val="en-US" w:eastAsia="zh-CN" w:bidi="ar"/>
              </w:rPr>
            </w:pP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呼达</w:t>
            </w:r>
          </w:p>
        </w:tc>
        <w:tc>
          <w:tcPr>
            <w:tcW w:w="29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1800000000300982</w:t>
            </w:r>
          </w:p>
        </w:tc>
        <w:tc>
          <w:tcPr>
            <w:tcW w:w="1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033591</w:t>
            </w:r>
          </w:p>
        </w:tc>
        <w:tc>
          <w:tcPr>
            <w:tcW w:w="13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安全</w:t>
            </w:r>
          </w:p>
        </w:tc>
        <w:tc>
          <w:tcPr>
            <w:tcW w:w="100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auto"/>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80" w:hRule="atLeast"/>
        </w:trPr>
        <w:tc>
          <w:tcPr>
            <w:tcW w:w="1525" w:type="dxa"/>
            <w:vMerge w:val="restart"/>
            <w:tcBorders>
              <w:top w:val="single" w:color="000000" w:sz="4" w:space="0"/>
              <w:left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报告编制人</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彭书萍</w:t>
            </w:r>
          </w:p>
        </w:tc>
        <w:tc>
          <w:tcPr>
            <w:tcW w:w="29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1800000000201047</w:t>
            </w:r>
          </w:p>
        </w:tc>
        <w:tc>
          <w:tcPr>
            <w:tcW w:w="1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033515</w:t>
            </w:r>
          </w:p>
        </w:tc>
        <w:tc>
          <w:tcPr>
            <w:tcW w:w="13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化工工艺</w:t>
            </w:r>
          </w:p>
        </w:tc>
        <w:tc>
          <w:tcPr>
            <w:tcW w:w="100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auto"/>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80" w:hRule="atLeast"/>
        </w:trPr>
        <w:tc>
          <w:tcPr>
            <w:tcW w:w="1525" w:type="dxa"/>
            <w:vMerge w:val="continue"/>
            <w:tcBorders>
              <w:left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auto"/>
                <w:kern w:val="0"/>
                <w:sz w:val="24"/>
                <w:szCs w:val="24"/>
                <w:u w:val="none"/>
                <w:lang w:val="en-US" w:eastAsia="zh-CN" w:bidi="ar"/>
              </w:rPr>
            </w:pP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梁淑君</w:t>
            </w:r>
          </w:p>
        </w:tc>
        <w:tc>
          <w:tcPr>
            <w:tcW w:w="29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S011044000110192002611</w:t>
            </w:r>
          </w:p>
        </w:tc>
        <w:tc>
          <w:tcPr>
            <w:tcW w:w="1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037285</w:t>
            </w:r>
          </w:p>
        </w:tc>
        <w:tc>
          <w:tcPr>
            <w:tcW w:w="13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化工机械</w:t>
            </w:r>
          </w:p>
        </w:tc>
        <w:tc>
          <w:tcPr>
            <w:tcW w:w="100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auto"/>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35" w:hRule="atLeast"/>
        </w:trPr>
        <w:tc>
          <w:tcPr>
            <w:tcW w:w="1525" w:type="dxa"/>
            <w:vMerge w:val="continue"/>
            <w:tcBorders>
              <w:left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auto"/>
                <w:kern w:val="0"/>
                <w:sz w:val="24"/>
                <w:szCs w:val="24"/>
                <w:u w:val="none"/>
                <w:lang w:val="en-US" w:eastAsia="zh-CN" w:bidi="ar"/>
              </w:rPr>
            </w:pP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高领超</w:t>
            </w:r>
          </w:p>
        </w:tc>
        <w:tc>
          <w:tcPr>
            <w:tcW w:w="29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1600000000300318</w:t>
            </w:r>
          </w:p>
        </w:tc>
        <w:tc>
          <w:tcPr>
            <w:tcW w:w="1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031667</w:t>
            </w:r>
          </w:p>
        </w:tc>
        <w:tc>
          <w:tcPr>
            <w:tcW w:w="13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电  气</w:t>
            </w:r>
          </w:p>
        </w:tc>
        <w:tc>
          <w:tcPr>
            <w:tcW w:w="100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auto"/>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50" w:hRule="atLeast"/>
        </w:trPr>
        <w:tc>
          <w:tcPr>
            <w:tcW w:w="1525" w:type="dxa"/>
            <w:vMerge w:val="continue"/>
            <w:tcBorders>
              <w:left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auto"/>
                <w:kern w:val="0"/>
                <w:sz w:val="24"/>
                <w:szCs w:val="24"/>
                <w:u w:val="none"/>
                <w:lang w:val="en-US" w:eastAsia="zh-CN" w:bidi="ar"/>
              </w:rPr>
            </w:pP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任长江</w:t>
            </w:r>
          </w:p>
        </w:tc>
        <w:tc>
          <w:tcPr>
            <w:tcW w:w="29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1600000000200301</w:t>
            </w:r>
          </w:p>
        </w:tc>
        <w:tc>
          <w:tcPr>
            <w:tcW w:w="1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028500</w:t>
            </w:r>
          </w:p>
        </w:tc>
        <w:tc>
          <w:tcPr>
            <w:tcW w:w="13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自动化</w:t>
            </w:r>
          </w:p>
        </w:tc>
        <w:tc>
          <w:tcPr>
            <w:tcW w:w="100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auto"/>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80" w:hRule="atLeast"/>
        </w:trPr>
        <w:tc>
          <w:tcPr>
            <w:tcW w:w="1525" w:type="dxa"/>
            <w:vMerge w:val="continue"/>
            <w:tcBorders>
              <w:left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auto"/>
                <w:kern w:val="0"/>
                <w:sz w:val="24"/>
                <w:szCs w:val="24"/>
                <w:u w:val="none"/>
                <w:lang w:val="en-US" w:eastAsia="zh-CN" w:bidi="ar"/>
              </w:rPr>
            </w:pP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王卫国</w:t>
            </w:r>
          </w:p>
        </w:tc>
        <w:tc>
          <w:tcPr>
            <w:tcW w:w="29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1100000000301385</w:t>
            </w:r>
          </w:p>
        </w:tc>
        <w:tc>
          <w:tcPr>
            <w:tcW w:w="1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034595</w:t>
            </w:r>
          </w:p>
        </w:tc>
        <w:tc>
          <w:tcPr>
            <w:tcW w:w="13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安  全</w:t>
            </w:r>
          </w:p>
        </w:tc>
        <w:tc>
          <w:tcPr>
            <w:tcW w:w="100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auto"/>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80" w:hRule="atLeast"/>
        </w:trPr>
        <w:tc>
          <w:tcPr>
            <w:tcW w:w="1525" w:type="dxa"/>
            <w:vMerge w:val="continue"/>
            <w:tcBorders>
              <w:left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auto"/>
                <w:kern w:val="0"/>
                <w:sz w:val="24"/>
                <w:szCs w:val="24"/>
                <w:u w:val="none"/>
                <w:lang w:val="en-US" w:eastAsia="zh-CN" w:bidi="ar"/>
              </w:rPr>
            </w:pP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黄孙兴</w:t>
            </w:r>
          </w:p>
        </w:tc>
        <w:tc>
          <w:tcPr>
            <w:tcW w:w="29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S011044000110193002145</w:t>
            </w:r>
          </w:p>
        </w:tc>
        <w:tc>
          <w:tcPr>
            <w:tcW w:w="1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037288</w:t>
            </w:r>
          </w:p>
        </w:tc>
        <w:tc>
          <w:tcPr>
            <w:tcW w:w="13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化工工艺</w:t>
            </w:r>
          </w:p>
        </w:tc>
        <w:tc>
          <w:tcPr>
            <w:tcW w:w="100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auto"/>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80" w:hRule="atLeast"/>
        </w:trPr>
        <w:tc>
          <w:tcPr>
            <w:tcW w:w="1525" w:type="dxa"/>
            <w:vMerge w:val="continue"/>
            <w:tcBorders>
              <w:left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auto"/>
                <w:kern w:val="0"/>
                <w:sz w:val="24"/>
                <w:szCs w:val="24"/>
                <w:u w:val="none"/>
                <w:lang w:val="en-US" w:eastAsia="zh-CN" w:bidi="ar"/>
              </w:rPr>
            </w:pP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魏少卿</w:t>
            </w:r>
          </w:p>
        </w:tc>
        <w:tc>
          <w:tcPr>
            <w:tcW w:w="29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S011044000110193002019</w:t>
            </w:r>
          </w:p>
        </w:tc>
        <w:tc>
          <w:tcPr>
            <w:tcW w:w="1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037286</w:t>
            </w:r>
          </w:p>
        </w:tc>
        <w:tc>
          <w:tcPr>
            <w:tcW w:w="13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矿井通风与安全</w:t>
            </w:r>
          </w:p>
        </w:tc>
        <w:tc>
          <w:tcPr>
            <w:tcW w:w="100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auto"/>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80" w:hRule="atLeast"/>
        </w:trPr>
        <w:tc>
          <w:tcPr>
            <w:tcW w:w="1525" w:type="dxa"/>
            <w:vMerge w:val="continue"/>
            <w:tcBorders>
              <w:left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auto"/>
                <w:kern w:val="0"/>
                <w:sz w:val="24"/>
                <w:szCs w:val="24"/>
                <w:u w:val="none"/>
                <w:lang w:val="en-US" w:eastAsia="zh-CN" w:bidi="ar"/>
              </w:rPr>
            </w:pP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呼达</w:t>
            </w:r>
          </w:p>
        </w:tc>
        <w:tc>
          <w:tcPr>
            <w:tcW w:w="29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1800000000300982</w:t>
            </w:r>
          </w:p>
        </w:tc>
        <w:tc>
          <w:tcPr>
            <w:tcW w:w="1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033591</w:t>
            </w:r>
          </w:p>
        </w:tc>
        <w:tc>
          <w:tcPr>
            <w:tcW w:w="13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安全</w:t>
            </w:r>
          </w:p>
        </w:tc>
        <w:tc>
          <w:tcPr>
            <w:tcW w:w="100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auto"/>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80" w:hRule="atLeast"/>
        </w:trPr>
        <w:tc>
          <w:tcPr>
            <w:tcW w:w="1525" w:type="dxa"/>
            <w:tcBorders>
              <w:left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auto"/>
                <w:kern w:val="0"/>
                <w:sz w:val="24"/>
                <w:szCs w:val="24"/>
                <w:u w:val="none"/>
                <w:lang w:val="zh-CN" w:eastAsia="zh-CN" w:bidi="ar"/>
              </w:rPr>
            </w:pPr>
            <w:r>
              <w:rPr>
                <w:rFonts w:hint="eastAsia" w:ascii="宋体" w:hAnsi="宋体" w:eastAsia="宋体" w:cs="宋体"/>
                <w:i w:val="0"/>
                <w:color w:val="auto"/>
                <w:kern w:val="0"/>
                <w:sz w:val="24"/>
                <w:szCs w:val="24"/>
                <w:u w:val="none"/>
                <w:lang w:val="en-US" w:eastAsia="zh-CN" w:bidi="ar"/>
              </w:rPr>
              <w:t>报告审核人</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段长锋</w:t>
            </w:r>
          </w:p>
        </w:tc>
        <w:tc>
          <w:tcPr>
            <w:tcW w:w="29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1200000000200384</w:t>
            </w:r>
          </w:p>
        </w:tc>
        <w:tc>
          <w:tcPr>
            <w:tcW w:w="1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023267</w:t>
            </w:r>
          </w:p>
        </w:tc>
        <w:tc>
          <w:tcPr>
            <w:tcW w:w="13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安  全</w:t>
            </w:r>
          </w:p>
        </w:tc>
        <w:tc>
          <w:tcPr>
            <w:tcW w:w="100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auto"/>
                <w:kern w:val="0"/>
                <w:sz w:val="24"/>
                <w:szCs w:val="24"/>
                <w:u w:val="none"/>
                <w:lang w:val="zh-CN"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80" w:hRule="atLeast"/>
        </w:trPr>
        <w:tc>
          <w:tcPr>
            <w:tcW w:w="1525" w:type="dxa"/>
            <w:tcBorders>
              <w:left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auto"/>
                <w:kern w:val="0"/>
                <w:sz w:val="24"/>
                <w:szCs w:val="24"/>
                <w:u w:val="none"/>
                <w:lang w:val="zh-CN" w:eastAsia="zh-CN" w:bidi="ar"/>
              </w:rPr>
            </w:pPr>
            <w:r>
              <w:rPr>
                <w:rFonts w:hint="eastAsia" w:ascii="宋体" w:hAnsi="宋体" w:eastAsia="宋体" w:cs="宋体"/>
                <w:i w:val="0"/>
                <w:color w:val="auto"/>
                <w:kern w:val="0"/>
                <w:sz w:val="24"/>
                <w:szCs w:val="24"/>
                <w:u w:val="none"/>
                <w:lang w:val="en-US" w:eastAsia="zh-CN" w:bidi="ar"/>
              </w:rPr>
              <w:t>过程控制负责人</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乔娟</w:t>
            </w:r>
          </w:p>
        </w:tc>
        <w:tc>
          <w:tcPr>
            <w:tcW w:w="29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1500000000200971</w:t>
            </w:r>
          </w:p>
        </w:tc>
        <w:tc>
          <w:tcPr>
            <w:tcW w:w="1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026933</w:t>
            </w:r>
          </w:p>
        </w:tc>
        <w:tc>
          <w:tcPr>
            <w:tcW w:w="13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安  全</w:t>
            </w:r>
          </w:p>
        </w:tc>
        <w:tc>
          <w:tcPr>
            <w:tcW w:w="100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auto"/>
                <w:kern w:val="0"/>
                <w:sz w:val="24"/>
                <w:szCs w:val="24"/>
                <w:u w:val="none"/>
                <w:lang w:val="zh-CN"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80" w:hRule="atLeast"/>
        </w:trPr>
        <w:tc>
          <w:tcPr>
            <w:tcW w:w="1525" w:type="dxa"/>
            <w:tcBorders>
              <w:left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auto"/>
                <w:kern w:val="0"/>
                <w:sz w:val="24"/>
                <w:szCs w:val="24"/>
                <w:u w:val="none"/>
                <w:lang w:val="zh-CN" w:eastAsia="zh-CN" w:bidi="ar"/>
              </w:rPr>
            </w:pPr>
            <w:r>
              <w:rPr>
                <w:rFonts w:hint="eastAsia" w:ascii="宋体" w:hAnsi="宋体" w:eastAsia="宋体" w:cs="宋体"/>
                <w:i w:val="0"/>
                <w:color w:val="auto"/>
                <w:kern w:val="0"/>
                <w:sz w:val="24"/>
                <w:szCs w:val="24"/>
                <w:u w:val="none"/>
                <w:lang w:val="en-US" w:eastAsia="zh-CN" w:bidi="ar"/>
              </w:rPr>
              <w:t>技术负责人</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刘钢</w:t>
            </w:r>
          </w:p>
        </w:tc>
        <w:tc>
          <w:tcPr>
            <w:tcW w:w="29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0800000000104350</w:t>
            </w:r>
          </w:p>
        </w:tc>
        <w:tc>
          <w:tcPr>
            <w:tcW w:w="1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004308</w:t>
            </w:r>
          </w:p>
        </w:tc>
        <w:tc>
          <w:tcPr>
            <w:tcW w:w="13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化工机械</w:t>
            </w:r>
          </w:p>
        </w:tc>
        <w:tc>
          <w:tcPr>
            <w:tcW w:w="100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auto"/>
                <w:kern w:val="0"/>
                <w:sz w:val="24"/>
                <w:szCs w:val="24"/>
                <w:u w:val="none"/>
                <w:lang w:val="zh-CN" w:eastAsia="zh-CN" w:bidi="ar"/>
              </w:rPr>
            </w:pPr>
          </w:p>
        </w:tc>
      </w:tr>
    </w:tbl>
    <w:p/>
    <w:p>
      <w:pPr>
        <w:spacing w:beforeLines="50" w:afterLines="50" w:line="560" w:lineRule="exact"/>
        <w:jc w:val="left"/>
        <w:rPr>
          <w:rFonts w:hint="default" w:ascii="Times New Roman" w:hAnsi="Times New Roman" w:cs="Times New Roman"/>
        </w:rPr>
      </w:pPr>
      <w:bookmarkStart w:id="1" w:name="_Toc22912_WPSOffice_Level1"/>
      <w:bookmarkStart w:id="2" w:name="_Toc5855_WPSOffice_Level1"/>
      <w:bookmarkStart w:id="3" w:name="_Toc1826"/>
      <w:bookmarkStart w:id="4" w:name="_Toc22276_WPSOffice_Level1"/>
    </w:p>
    <w:p>
      <w:pPr>
        <w:pStyle w:val="2"/>
        <w:rPr>
          <w:rFonts w:hint="default" w:ascii="Times New Roman" w:hAnsi="Times New Roman" w:cs="Times New Roman"/>
        </w:rPr>
      </w:pPr>
    </w:p>
    <w:p>
      <w:pPr>
        <w:rPr>
          <w:rFonts w:hint="default" w:ascii="Times New Roman" w:hAnsi="Times New Roman" w:cs="Times New Roman"/>
        </w:rPr>
      </w:pPr>
    </w:p>
    <w:p>
      <w:pPr>
        <w:pStyle w:val="2"/>
        <w:rPr>
          <w:rFonts w:hint="default" w:ascii="Times New Roman" w:hAnsi="Times New Roman" w:cs="Times New Roman"/>
        </w:rPr>
      </w:pPr>
    </w:p>
    <w:p>
      <w:pPr>
        <w:rPr>
          <w:rFonts w:hint="default" w:ascii="Times New Roman" w:hAnsi="Times New Roman" w:cs="Times New Roman"/>
        </w:rPr>
      </w:pPr>
    </w:p>
    <w:p>
      <w:pPr>
        <w:pStyle w:val="2"/>
        <w:rPr>
          <w:rFonts w:hint="default" w:ascii="Times New Roman" w:hAnsi="Times New Roman" w:cs="Times New Roman"/>
        </w:rPr>
      </w:pPr>
    </w:p>
    <w:p>
      <w:pPr>
        <w:rPr>
          <w:rFonts w:hint="default" w:ascii="Times New Roman" w:hAnsi="Times New Roman" w:cs="Times New Roman"/>
        </w:rPr>
      </w:pPr>
    </w:p>
    <w:p>
      <w:pPr>
        <w:pStyle w:val="2"/>
        <w:rPr>
          <w:rFonts w:hint="default" w:ascii="Times New Roman" w:hAnsi="Times New Roman" w:cs="Times New Roman"/>
        </w:rPr>
      </w:pPr>
    </w:p>
    <w:p>
      <w:pPr>
        <w:rPr>
          <w:rFonts w:hint="default" w:ascii="Times New Roman" w:hAnsi="Times New Roman" w:cs="Times New Roman"/>
        </w:rPr>
      </w:pPr>
    </w:p>
    <w:p>
      <w:pPr>
        <w:pStyle w:val="2"/>
        <w:rPr>
          <w:rFonts w:hint="default" w:ascii="Times New Roman" w:hAnsi="Times New Roman" w:cs="Times New Roman"/>
        </w:rPr>
      </w:pPr>
    </w:p>
    <w:p>
      <w:pPr>
        <w:rPr>
          <w:rFonts w:hint="default" w:ascii="Times New Roman" w:hAnsi="Times New Roman" w:cs="Times New Roman"/>
        </w:rPr>
      </w:pPr>
    </w:p>
    <w:p>
      <w:pPr>
        <w:pStyle w:val="2"/>
        <w:rPr>
          <w:rFonts w:hint="default" w:ascii="Times New Roman" w:hAnsi="Times New Roman" w:cs="Times New Roman"/>
        </w:rPr>
      </w:pPr>
    </w:p>
    <w:p>
      <w:pPr>
        <w:rPr>
          <w:rFonts w:hint="default" w:ascii="Times New Roman" w:hAnsi="Times New Roman" w:cs="Times New Roman"/>
        </w:rPr>
      </w:pPr>
    </w:p>
    <w:p>
      <w:pPr>
        <w:pStyle w:val="2"/>
        <w:rPr>
          <w:rFonts w:hint="default" w:ascii="Times New Roman" w:hAnsi="Times New Roman" w:cs="Times New Roman"/>
        </w:rPr>
      </w:pPr>
    </w:p>
    <w:p>
      <w:pPr>
        <w:rPr>
          <w:rFonts w:hint="default" w:ascii="Times New Roman" w:hAnsi="Times New Roman" w:cs="Times New Roman"/>
        </w:rPr>
      </w:pPr>
    </w:p>
    <w:p>
      <w:pPr>
        <w:pStyle w:val="2"/>
        <w:rPr>
          <w:rFonts w:hint="default" w:ascii="Times New Roman" w:hAnsi="Times New Roman" w:cs="Times New Roman"/>
        </w:rPr>
      </w:pPr>
    </w:p>
    <w:p>
      <w:pPr>
        <w:rPr>
          <w:rFonts w:hint="default" w:ascii="Times New Roman" w:hAnsi="Times New Roman" w:cs="Times New Roman"/>
        </w:rPr>
      </w:pPr>
    </w:p>
    <w:p>
      <w:pPr>
        <w:pStyle w:val="2"/>
        <w:rPr>
          <w:rFonts w:hint="default" w:ascii="Times New Roman" w:hAnsi="Times New Roman" w:cs="Times New Roman"/>
        </w:rPr>
      </w:pPr>
    </w:p>
    <w:p>
      <w:pPr>
        <w:rPr>
          <w:rFonts w:hint="default" w:ascii="Times New Roman" w:hAnsi="Times New Roman" w:cs="Times New Roman"/>
        </w:rPr>
      </w:pPr>
    </w:p>
    <w:p>
      <w:pPr>
        <w:pStyle w:val="2"/>
        <w:rPr>
          <w:rFonts w:hint="default" w:ascii="Times New Roman" w:hAnsi="Times New Roman" w:cs="Times New Roman"/>
        </w:rPr>
      </w:pPr>
    </w:p>
    <w:p>
      <w:pPr>
        <w:rPr>
          <w:rFonts w:hint="default" w:ascii="Times New Roman" w:hAnsi="Times New Roman" w:cs="Times New Roman"/>
        </w:rPr>
      </w:pPr>
    </w:p>
    <w:p>
      <w:pPr>
        <w:pStyle w:val="2"/>
        <w:rPr>
          <w:rFonts w:hint="default" w:ascii="Times New Roman" w:hAnsi="Times New Roman" w:cs="Times New Roman"/>
        </w:rPr>
      </w:pPr>
    </w:p>
    <w:p>
      <w:pPr>
        <w:rPr>
          <w:rFonts w:hint="default" w:ascii="Times New Roman" w:hAnsi="Times New Roman" w:cs="Times New Roman"/>
        </w:rPr>
      </w:pPr>
    </w:p>
    <w:p>
      <w:pPr>
        <w:pStyle w:val="2"/>
        <w:rPr>
          <w:rFonts w:hint="default" w:ascii="Times New Roman" w:hAnsi="Times New Roman" w:cs="Times New Roman"/>
        </w:rPr>
      </w:pPr>
    </w:p>
    <w:p>
      <w:pPr>
        <w:rPr>
          <w:rFonts w:hint="default" w:ascii="Times New Roman" w:hAnsi="Times New Roman" w:cs="Times New Roman"/>
        </w:rPr>
      </w:pPr>
    </w:p>
    <w:p>
      <w:pPr>
        <w:pStyle w:val="2"/>
        <w:rPr>
          <w:rFonts w:hint="default" w:ascii="Times New Roman" w:hAnsi="Times New Roman" w:cs="Times New Roman"/>
        </w:rPr>
      </w:pPr>
    </w:p>
    <w:p>
      <w:pPr>
        <w:rPr>
          <w:rFonts w:hint="default" w:ascii="Times New Roman" w:hAnsi="Times New Roman" w:cs="Times New Roman"/>
        </w:rPr>
      </w:pPr>
    </w:p>
    <w:p>
      <w:pPr>
        <w:pStyle w:val="2"/>
        <w:rPr>
          <w:rFonts w:hint="default" w:ascii="Times New Roman" w:hAnsi="Times New Roman" w:cs="Times New Roman"/>
        </w:rPr>
      </w:pPr>
    </w:p>
    <w:p>
      <w:pPr>
        <w:rPr>
          <w:rFonts w:hint="default" w:ascii="Times New Roman" w:hAnsi="Times New Roman" w:cs="Times New Roman"/>
        </w:rPr>
      </w:pPr>
    </w:p>
    <w:p>
      <w:pPr>
        <w:pStyle w:val="2"/>
        <w:rPr>
          <w:rFonts w:hint="default" w:ascii="Times New Roman" w:hAnsi="Times New Roman" w:cs="Times New Roman"/>
        </w:rPr>
      </w:pPr>
    </w:p>
    <w:p>
      <w:pPr>
        <w:rPr>
          <w:rFonts w:hint="default" w:ascii="Times New Roman" w:hAnsi="Times New Roman" w:cs="Times New Roman"/>
        </w:rPr>
      </w:pPr>
    </w:p>
    <w:p>
      <w:pPr>
        <w:pStyle w:val="2"/>
        <w:rPr>
          <w:rFonts w:hint="default" w:ascii="Times New Roman" w:hAnsi="Times New Roman" w:cs="Times New Roman"/>
        </w:rPr>
      </w:pPr>
    </w:p>
    <w:p>
      <w:pPr>
        <w:rPr>
          <w:rFonts w:hint="default" w:ascii="Times New Roman" w:hAnsi="Times New Roman" w:cs="Times New Roman"/>
        </w:rPr>
      </w:pPr>
    </w:p>
    <w:p>
      <w:pPr>
        <w:pStyle w:val="2"/>
        <w:rPr>
          <w:rFonts w:hint="default" w:ascii="Times New Roman" w:hAnsi="Times New Roman" w:cs="Times New Roman"/>
        </w:rPr>
      </w:pPr>
    </w:p>
    <w:p>
      <w:pPr>
        <w:rPr>
          <w:rFonts w:hint="default" w:ascii="Times New Roman" w:hAnsi="Times New Roman" w:cs="Times New Roman"/>
        </w:rPr>
      </w:pPr>
    </w:p>
    <w:p>
      <w:pPr>
        <w:pStyle w:val="2"/>
        <w:rPr>
          <w:rFonts w:hint="default" w:ascii="Times New Roman" w:hAnsi="Times New Roman" w:cs="Times New Roman"/>
        </w:rPr>
      </w:pPr>
    </w:p>
    <w:p>
      <w:pPr>
        <w:rPr>
          <w:rFonts w:hint="default" w:ascii="Times New Roman" w:hAnsi="Times New Roman" w:cs="Times New Roman"/>
        </w:rPr>
      </w:pPr>
    </w:p>
    <w:p>
      <w:pPr>
        <w:pStyle w:val="2"/>
        <w:rPr>
          <w:rFonts w:hint="default" w:ascii="Times New Roman" w:hAnsi="Times New Roman" w:cs="Times New Roman"/>
        </w:rPr>
      </w:pPr>
    </w:p>
    <w:p>
      <w:pPr>
        <w:rPr>
          <w:rFonts w:hint="default" w:ascii="Times New Roman" w:hAnsi="Times New Roman" w:cs="Times New Roman"/>
        </w:rPr>
      </w:pPr>
    </w:p>
    <w:p>
      <w:pPr>
        <w:pStyle w:val="2"/>
        <w:rPr>
          <w:rFonts w:hint="default" w:ascii="Times New Roman" w:hAnsi="Times New Roman" w:cs="Times New Roman"/>
        </w:rPr>
      </w:pPr>
    </w:p>
    <w:p>
      <w:pPr>
        <w:rPr>
          <w:rFonts w:hint="default" w:ascii="Times New Roman" w:hAnsi="Times New Roman" w:cs="Times New Roman"/>
        </w:rPr>
      </w:pPr>
    </w:p>
    <w:p>
      <w:pPr>
        <w:pStyle w:val="2"/>
        <w:rPr>
          <w:rFonts w:hint="default" w:ascii="Times New Roman" w:hAnsi="Times New Roman" w:cs="Times New Roman"/>
        </w:rPr>
      </w:pPr>
    </w:p>
    <w:p>
      <w:pPr>
        <w:rPr>
          <w:rFonts w:hint="default" w:ascii="Times New Roman" w:hAnsi="Times New Roman" w:cs="Times New Roman"/>
        </w:rPr>
      </w:pPr>
    </w:p>
    <w:p>
      <w:pPr>
        <w:pStyle w:val="2"/>
        <w:rPr>
          <w:rFonts w:hint="default" w:ascii="Times New Roman" w:hAnsi="Times New Roman" w:cs="Times New Roman"/>
        </w:rPr>
      </w:pPr>
    </w:p>
    <w:p>
      <w:pPr>
        <w:rPr>
          <w:rFonts w:hint="default" w:ascii="Times New Roman" w:hAnsi="Times New Roman" w:cs="Times New Roman"/>
        </w:rPr>
      </w:pPr>
    </w:p>
    <w:p>
      <w:pPr>
        <w:pStyle w:val="2"/>
        <w:rPr>
          <w:rFonts w:hint="default" w:ascii="Times New Roman" w:hAnsi="Times New Roman" w:cs="Times New Roman"/>
        </w:rPr>
      </w:pPr>
    </w:p>
    <w:p>
      <w:pPr>
        <w:rPr>
          <w:rFonts w:hint="default"/>
        </w:rPr>
      </w:pPr>
    </w:p>
    <w:p>
      <w:pPr>
        <w:spacing w:beforeLines="50" w:afterLines="50" w:line="560" w:lineRule="exact"/>
        <w:jc w:val="center"/>
        <w:rPr>
          <w:rFonts w:hint="default" w:ascii="Times New Roman" w:hAnsi="Times New Roman" w:cs="Times New Roman"/>
        </w:rPr>
      </w:pPr>
    </w:p>
    <w:p>
      <w:pPr>
        <w:spacing w:beforeLines="50" w:afterLines="50" w:line="560" w:lineRule="exact"/>
        <w:jc w:val="center"/>
        <w:rPr>
          <w:rFonts w:hint="default" w:ascii="Times New Roman" w:hAnsi="Times New Roman" w:cs="Times New Roman"/>
        </w:rPr>
      </w:pPr>
    </w:p>
    <w:p>
      <w:pPr>
        <w:spacing w:beforeLines="50" w:afterLines="50" w:line="560" w:lineRule="exact"/>
        <w:jc w:val="center"/>
        <w:rPr>
          <w:rFonts w:hint="default" w:ascii="Times New Roman" w:hAnsi="Times New Roman" w:cs="Times New Roman"/>
        </w:rPr>
      </w:pPr>
    </w:p>
    <w:p>
      <w:pPr>
        <w:spacing w:beforeLines="50" w:afterLines="50" w:line="560" w:lineRule="exact"/>
        <w:jc w:val="center"/>
        <w:rPr>
          <w:rFonts w:hint="default" w:ascii="Times New Roman" w:hAnsi="Times New Roman" w:cs="Times New Roman"/>
          <w:b/>
          <w:sz w:val="36"/>
        </w:rPr>
      </w:pPr>
      <w:r>
        <w:rPr>
          <w:rFonts w:hint="default" w:ascii="Times New Roman" w:hAnsi="Times New Roman" w:cs="Times New Roman"/>
          <w:b/>
          <w:sz w:val="36"/>
        </w:rPr>
        <w:t>前 言</w:t>
      </w:r>
    </w:p>
    <w:p>
      <w:pPr>
        <w:spacing w:line="360" w:lineRule="auto"/>
        <w:ind w:firstLine="532" w:firstLineChars="200"/>
        <w:jc w:val="both"/>
        <w:rPr>
          <w:rFonts w:hint="default" w:ascii="Times New Roman" w:hAnsi="Times New Roman" w:cs="Times New Roman"/>
          <w:spacing w:val="-7"/>
          <w:sz w:val="28"/>
          <w:szCs w:val="28"/>
          <w:lang w:val="en-US" w:eastAsia="zh-CN"/>
        </w:rPr>
      </w:pPr>
      <w:r>
        <w:rPr>
          <w:rFonts w:hint="eastAsia"/>
          <w:spacing w:val="-7"/>
          <w:sz w:val="28"/>
          <w:szCs w:val="28"/>
          <w:lang w:val="en-US" w:eastAsia="zh-CN"/>
        </w:rPr>
        <w:t>中国石化销售股份有限公司广东东莞石碣唐洪东城加油站</w:t>
      </w:r>
      <w:r>
        <w:rPr>
          <w:rFonts w:hint="eastAsia"/>
          <w:spacing w:val="-7"/>
          <w:sz w:val="28"/>
          <w:szCs w:val="28"/>
          <w:lang w:val="en-US"/>
        </w:rPr>
        <w:t>（以下简称“</w:t>
      </w:r>
      <w:r>
        <w:rPr>
          <w:rFonts w:hint="eastAsia"/>
          <w:spacing w:val="-7"/>
          <w:sz w:val="28"/>
          <w:szCs w:val="28"/>
          <w:lang w:val="en-US" w:eastAsia="zh-CN"/>
        </w:rPr>
        <w:t>东城加油站</w:t>
      </w:r>
      <w:r>
        <w:rPr>
          <w:rFonts w:hint="eastAsia"/>
          <w:spacing w:val="-7"/>
          <w:sz w:val="28"/>
          <w:szCs w:val="28"/>
          <w:lang w:val="en-US"/>
        </w:rPr>
        <w:t>”或该站）</w:t>
      </w:r>
      <w:r>
        <w:rPr>
          <w:rFonts w:hint="eastAsia"/>
          <w:spacing w:val="-7"/>
          <w:sz w:val="28"/>
          <w:szCs w:val="28"/>
          <w:lang w:val="en-US" w:eastAsia="zh-CN"/>
        </w:rPr>
        <w:t>位于</w:t>
      </w:r>
      <w:r>
        <w:rPr>
          <w:rFonts w:hint="eastAsia" w:ascii="宋体" w:hAnsi="宋体" w:eastAsia="宋体"/>
          <w:color w:val="auto"/>
          <w:sz w:val="28"/>
          <w:szCs w:val="28"/>
          <w:lang w:eastAsia="zh-CN"/>
        </w:rPr>
        <w:t>广东省</w:t>
      </w:r>
      <w:r>
        <w:rPr>
          <w:rFonts w:hint="eastAsia"/>
          <w:color w:val="auto"/>
          <w:sz w:val="28"/>
          <w:szCs w:val="28"/>
          <w:lang w:eastAsia="zh-CN"/>
        </w:rPr>
        <w:t>东莞市石碣镇唐洪金星南路1号</w:t>
      </w:r>
      <w:r>
        <w:rPr>
          <w:rFonts w:hint="eastAsia" w:ascii="宋体" w:hAnsi="宋体" w:eastAsia="宋体"/>
          <w:color w:val="auto"/>
          <w:sz w:val="28"/>
          <w:szCs w:val="28"/>
          <w:lang w:eastAsia="zh-CN"/>
        </w:rPr>
        <w:t>，成立于20</w:t>
      </w:r>
      <w:r>
        <w:rPr>
          <w:rFonts w:hint="eastAsia"/>
          <w:color w:val="auto"/>
          <w:sz w:val="28"/>
          <w:szCs w:val="28"/>
          <w:lang w:val="en-US" w:eastAsia="zh-CN"/>
        </w:rPr>
        <w:t>12</w:t>
      </w:r>
      <w:r>
        <w:rPr>
          <w:rFonts w:hint="eastAsia" w:ascii="宋体" w:hAnsi="宋体" w:eastAsia="宋体"/>
          <w:color w:val="auto"/>
          <w:sz w:val="28"/>
          <w:szCs w:val="28"/>
          <w:lang w:eastAsia="zh-CN"/>
        </w:rPr>
        <w:t>年0</w:t>
      </w:r>
      <w:r>
        <w:rPr>
          <w:rFonts w:hint="eastAsia"/>
          <w:color w:val="auto"/>
          <w:sz w:val="28"/>
          <w:szCs w:val="28"/>
          <w:lang w:val="en-US" w:eastAsia="zh-CN"/>
        </w:rPr>
        <w:t>9</w:t>
      </w:r>
      <w:r>
        <w:rPr>
          <w:rFonts w:hint="eastAsia" w:ascii="宋体" w:hAnsi="宋体" w:eastAsia="宋体"/>
          <w:color w:val="auto"/>
          <w:sz w:val="28"/>
          <w:szCs w:val="28"/>
          <w:lang w:eastAsia="zh-CN"/>
        </w:rPr>
        <w:t>月</w:t>
      </w:r>
      <w:r>
        <w:rPr>
          <w:rFonts w:hint="eastAsia" w:ascii="宋体" w:hAnsi="宋体" w:eastAsia="宋体"/>
          <w:color w:val="auto"/>
          <w:sz w:val="28"/>
          <w:szCs w:val="28"/>
          <w:lang w:val="en-US" w:eastAsia="zh-CN"/>
        </w:rPr>
        <w:t>06</w:t>
      </w:r>
      <w:r>
        <w:rPr>
          <w:rFonts w:hint="eastAsia" w:ascii="宋体" w:hAnsi="宋体" w:eastAsia="宋体"/>
          <w:color w:val="auto"/>
          <w:sz w:val="28"/>
          <w:szCs w:val="28"/>
          <w:lang w:eastAsia="zh-CN"/>
        </w:rPr>
        <w:t>日，属于分公司企业，负责人：江泽彬，统一社会信用代码：91441900053759301L，</w:t>
      </w:r>
      <w:r>
        <w:rPr>
          <w:rFonts w:hint="eastAsia" w:ascii="宋体" w:hAnsi="宋体" w:eastAsia="宋体"/>
          <w:color w:val="auto"/>
          <w:sz w:val="28"/>
          <w:szCs w:val="28"/>
        </w:rPr>
        <w:t>经营</w:t>
      </w:r>
      <w:r>
        <w:rPr>
          <w:rFonts w:hint="eastAsia" w:ascii="宋体" w:hAnsi="宋体" w:eastAsia="宋体"/>
          <w:color w:val="auto"/>
          <w:sz w:val="28"/>
          <w:szCs w:val="28"/>
          <w:lang w:eastAsia="zh-CN"/>
        </w:rPr>
        <w:t>范围：</w:t>
      </w:r>
      <w:r>
        <w:rPr>
          <w:rFonts w:hint="eastAsia" w:ascii="宋体" w:hAnsi="宋体" w:eastAsia="宋体"/>
          <w:color w:val="auto"/>
          <w:sz w:val="28"/>
          <w:szCs w:val="28"/>
        </w:rPr>
        <w:t>租赁经营东莞市石碣唐洪东城加油站有限公司；零售：汽油、柴油、润滑油、沥青、燃料油、预包装食品(含冷藏冷冻食品)、特殊食品（保健食品、婴幼儿配方乳粉）、纺织、服装、日用品、五金、家用电器及电子产品、充值卡；委托代理收取水电费；票务代理服务</w:t>
      </w:r>
      <w:r>
        <w:rPr>
          <w:rFonts w:hint="eastAsia"/>
          <w:spacing w:val="-7"/>
          <w:sz w:val="28"/>
          <w:szCs w:val="28"/>
          <w:lang w:val="en-US" w:eastAsia="zh-CN"/>
        </w:rPr>
        <w:t>。(依法须经批准的项目,经相关部门批准后方可开展经营活动)。</w:t>
      </w:r>
    </w:p>
    <w:p>
      <w:pPr>
        <w:spacing w:line="360" w:lineRule="auto"/>
        <w:ind w:firstLine="532" w:firstLineChars="200"/>
        <w:jc w:val="both"/>
        <w:rPr>
          <w:rFonts w:hint="default" w:ascii="Times New Roman" w:hAnsi="Times New Roman" w:cs="Times New Roman"/>
          <w:color w:val="auto"/>
          <w:spacing w:val="-7"/>
          <w:sz w:val="28"/>
          <w:szCs w:val="28"/>
          <w:highlight w:val="none"/>
          <w:lang w:val="en-US" w:eastAsia="zh-CN"/>
        </w:rPr>
      </w:pPr>
      <w:r>
        <w:rPr>
          <w:rFonts w:hint="eastAsia" w:ascii="Times New Roman" w:hAnsi="Times New Roman" w:cs="Times New Roman"/>
          <w:color w:val="auto"/>
          <w:spacing w:val="-7"/>
          <w:sz w:val="28"/>
          <w:szCs w:val="28"/>
          <w:shd w:val="clear" w:color="auto" w:fill="auto"/>
          <w:lang w:val="en-US" w:eastAsia="zh-CN"/>
        </w:rPr>
        <w:t>东城加油站</w:t>
      </w:r>
      <w:r>
        <w:rPr>
          <w:rFonts w:hint="default" w:ascii="Times New Roman" w:hAnsi="Times New Roman" w:cs="Times New Roman"/>
          <w:color w:val="auto"/>
          <w:spacing w:val="-7"/>
          <w:sz w:val="28"/>
          <w:szCs w:val="28"/>
          <w:shd w:val="clear" w:color="auto" w:fill="auto"/>
          <w:lang w:val="en-US" w:eastAsia="zh-CN"/>
        </w:rPr>
        <w:t>已经东莞市应急管理局批准并取得《危险化学品经营许可证》，登记编号为粤东危化经字（</w:t>
      </w:r>
      <w:r>
        <w:rPr>
          <w:rFonts w:hint="eastAsia" w:ascii="Times New Roman" w:hAnsi="Times New Roman" w:cs="Times New Roman"/>
          <w:color w:val="auto"/>
          <w:spacing w:val="-7"/>
          <w:sz w:val="28"/>
          <w:szCs w:val="28"/>
          <w:shd w:val="clear" w:color="auto" w:fill="auto"/>
          <w:lang w:val="en-US" w:eastAsia="zh-CN"/>
        </w:rPr>
        <w:t>2020</w:t>
      </w:r>
      <w:r>
        <w:rPr>
          <w:rFonts w:hint="default" w:ascii="Times New Roman" w:hAnsi="Times New Roman" w:cs="Times New Roman"/>
          <w:color w:val="auto"/>
          <w:spacing w:val="-7"/>
          <w:sz w:val="28"/>
          <w:szCs w:val="28"/>
          <w:shd w:val="clear" w:color="auto" w:fill="auto"/>
          <w:lang w:val="en-US" w:eastAsia="zh-CN"/>
        </w:rPr>
        <w:t>）000</w:t>
      </w:r>
      <w:r>
        <w:rPr>
          <w:rFonts w:hint="eastAsia" w:ascii="Times New Roman" w:hAnsi="Times New Roman" w:cs="Times New Roman"/>
          <w:color w:val="auto"/>
          <w:spacing w:val="-7"/>
          <w:sz w:val="28"/>
          <w:szCs w:val="28"/>
          <w:shd w:val="clear" w:color="auto" w:fill="auto"/>
          <w:lang w:val="en-US" w:eastAsia="zh-CN"/>
        </w:rPr>
        <w:t>127</w:t>
      </w:r>
      <w:r>
        <w:rPr>
          <w:rFonts w:hint="default" w:ascii="Times New Roman" w:hAnsi="Times New Roman" w:cs="Times New Roman"/>
          <w:color w:val="auto"/>
          <w:spacing w:val="-7"/>
          <w:sz w:val="28"/>
          <w:szCs w:val="28"/>
          <w:shd w:val="clear" w:color="auto" w:fill="auto"/>
          <w:lang w:val="en-US" w:eastAsia="zh-CN"/>
        </w:rPr>
        <w:t>号，有效期至202</w:t>
      </w:r>
      <w:r>
        <w:rPr>
          <w:rFonts w:hint="eastAsia" w:ascii="Times New Roman" w:hAnsi="Times New Roman" w:cs="Times New Roman"/>
          <w:color w:val="auto"/>
          <w:spacing w:val="-7"/>
          <w:sz w:val="28"/>
          <w:szCs w:val="28"/>
          <w:shd w:val="clear" w:color="auto" w:fill="auto"/>
          <w:lang w:val="en-US" w:eastAsia="zh-CN"/>
        </w:rPr>
        <w:t>3</w:t>
      </w:r>
      <w:r>
        <w:rPr>
          <w:rFonts w:hint="default" w:ascii="Times New Roman" w:hAnsi="Times New Roman" w:cs="Times New Roman"/>
          <w:color w:val="auto"/>
          <w:spacing w:val="-7"/>
          <w:sz w:val="28"/>
          <w:szCs w:val="28"/>
          <w:shd w:val="clear" w:color="auto" w:fill="auto"/>
          <w:lang w:val="en-US" w:eastAsia="zh-CN"/>
        </w:rPr>
        <w:t>年</w:t>
      </w:r>
      <w:r>
        <w:rPr>
          <w:rFonts w:hint="eastAsia" w:ascii="Times New Roman" w:hAnsi="Times New Roman" w:cs="Times New Roman"/>
          <w:color w:val="auto"/>
          <w:spacing w:val="-7"/>
          <w:sz w:val="28"/>
          <w:szCs w:val="28"/>
          <w:shd w:val="clear" w:color="auto" w:fill="auto"/>
          <w:lang w:val="en-US" w:eastAsia="zh-CN"/>
        </w:rPr>
        <w:t>06</w:t>
      </w:r>
      <w:r>
        <w:rPr>
          <w:rFonts w:hint="default" w:ascii="Times New Roman" w:hAnsi="Times New Roman" w:cs="Times New Roman"/>
          <w:color w:val="auto"/>
          <w:spacing w:val="-7"/>
          <w:sz w:val="28"/>
          <w:szCs w:val="28"/>
          <w:shd w:val="clear" w:color="auto" w:fill="auto"/>
          <w:lang w:val="en-US" w:eastAsia="zh-CN"/>
        </w:rPr>
        <w:t>月2</w:t>
      </w:r>
      <w:r>
        <w:rPr>
          <w:rFonts w:hint="eastAsia" w:ascii="Times New Roman" w:hAnsi="Times New Roman" w:cs="Times New Roman"/>
          <w:color w:val="auto"/>
          <w:spacing w:val="-7"/>
          <w:sz w:val="28"/>
          <w:szCs w:val="28"/>
          <w:shd w:val="clear" w:color="auto" w:fill="auto"/>
          <w:lang w:val="en-US" w:eastAsia="zh-CN"/>
        </w:rPr>
        <w:t>7</w:t>
      </w:r>
      <w:r>
        <w:rPr>
          <w:rFonts w:hint="default" w:ascii="Times New Roman" w:hAnsi="Times New Roman" w:cs="Times New Roman"/>
          <w:color w:val="auto"/>
          <w:spacing w:val="-7"/>
          <w:sz w:val="28"/>
          <w:szCs w:val="28"/>
          <w:shd w:val="clear" w:color="auto" w:fill="auto"/>
          <w:lang w:val="en-US" w:eastAsia="zh-CN"/>
        </w:rPr>
        <w:t>日，许可范围：汽油（1630）、柴油[闭杯闪点≤60℃]（1674）***（备注：</w:t>
      </w:r>
      <w:r>
        <w:rPr>
          <w:rFonts w:hint="eastAsia" w:ascii="Times New Roman" w:hAnsi="Times New Roman" w:cs="Times New Roman"/>
          <w:color w:val="auto"/>
          <w:spacing w:val="-7"/>
          <w:sz w:val="28"/>
          <w:szCs w:val="28"/>
          <w:shd w:val="clear" w:color="auto" w:fill="auto"/>
          <w:lang w:val="en-US" w:eastAsia="zh-CN"/>
        </w:rPr>
        <w:t>二</w:t>
      </w:r>
      <w:r>
        <w:rPr>
          <w:rFonts w:hint="default" w:ascii="Times New Roman" w:hAnsi="Times New Roman" w:cs="Times New Roman"/>
          <w:color w:val="auto"/>
          <w:spacing w:val="-7"/>
          <w:sz w:val="28"/>
          <w:szCs w:val="28"/>
          <w:shd w:val="clear" w:color="auto" w:fill="auto"/>
          <w:lang w:val="en-US" w:eastAsia="zh-CN"/>
        </w:rPr>
        <w:t>级加油站，其中汽油罐30m³×</w:t>
      </w:r>
      <w:r>
        <w:rPr>
          <w:rFonts w:hint="eastAsia" w:ascii="Times New Roman" w:hAnsi="Times New Roman" w:cs="Times New Roman"/>
          <w:color w:val="auto"/>
          <w:spacing w:val="-7"/>
          <w:sz w:val="28"/>
          <w:szCs w:val="28"/>
          <w:shd w:val="clear" w:color="auto" w:fill="auto"/>
          <w:lang w:val="en-US" w:eastAsia="zh-CN"/>
        </w:rPr>
        <w:t>3</w:t>
      </w:r>
      <w:r>
        <w:rPr>
          <w:rFonts w:hint="default" w:ascii="Times New Roman" w:hAnsi="Times New Roman" w:cs="Times New Roman"/>
          <w:color w:val="auto"/>
          <w:spacing w:val="-7"/>
          <w:sz w:val="28"/>
          <w:szCs w:val="28"/>
          <w:shd w:val="clear" w:color="auto" w:fill="auto"/>
          <w:lang w:val="en-US" w:eastAsia="zh-CN"/>
        </w:rPr>
        <w:t>个，柴油罐</w:t>
      </w:r>
      <w:r>
        <w:rPr>
          <w:rFonts w:hint="eastAsia" w:ascii="Times New Roman" w:hAnsi="Times New Roman" w:cs="Times New Roman"/>
          <w:color w:val="auto"/>
          <w:spacing w:val="-7"/>
          <w:sz w:val="28"/>
          <w:szCs w:val="28"/>
          <w:shd w:val="clear" w:color="auto" w:fill="auto"/>
          <w:lang w:val="en-US" w:eastAsia="zh-CN"/>
        </w:rPr>
        <w:t>3</w:t>
      </w:r>
      <w:r>
        <w:rPr>
          <w:rFonts w:hint="default" w:ascii="Times New Roman" w:hAnsi="Times New Roman" w:cs="Times New Roman"/>
          <w:color w:val="auto"/>
          <w:spacing w:val="-7"/>
          <w:sz w:val="28"/>
          <w:szCs w:val="28"/>
          <w:shd w:val="clear" w:color="auto" w:fill="auto"/>
          <w:lang w:val="en-US" w:eastAsia="zh-CN"/>
        </w:rPr>
        <w:t>0m³×1个）***。</w:t>
      </w:r>
      <w:r>
        <w:rPr>
          <w:rFonts w:hint="default" w:ascii="Times New Roman" w:hAnsi="Times New Roman" w:cs="Times New Roman"/>
          <w:color w:val="auto"/>
          <w:spacing w:val="-7"/>
          <w:sz w:val="28"/>
          <w:szCs w:val="28"/>
          <w:highlight w:val="none"/>
          <w:shd w:val="clear" w:color="auto" w:fill="auto"/>
          <w:lang w:val="en-US" w:eastAsia="zh-CN"/>
        </w:rPr>
        <w:t>已经广东省能源局批准颁发《成品油零售经营批准证书》，证书编号为：油零售证书第44S</w:t>
      </w:r>
      <w:r>
        <w:rPr>
          <w:rFonts w:hint="eastAsia" w:ascii="Times New Roman" w:hAnsi="Times New Roman" w:cs="Times New Roman"/>
          <w:color w:val="auto"/>
          <w:spacing w:val="-7"/>
          <w:sz w:val="28"/>
          <w:szCs w:val="28"/>
          <w:highlight w:val="none"/>
          <w:shd w:val="clear" w:color="auto" w:fill="auto"/>
          <w:lang w:val="en-US" w:eastAsia="zh-CN"/>
        </w:rPr>
        <w:t>30026</w:t>
      </w:r>
      <w:r>
        <w:rPr>
          <w:rFonts w:hint="default" w:ascii="Times New Roman" w:hAnsi="Times New Roman" w:cs="Times New Roman"/>
          <w:color w:val="auto"/>
          <w:spacing w:val="-7"/>
          <w:sz w:val="28"/>
          <w:szCs w:val="28"/>
          <w:highlight w:val="none"/>
          <w:shd w:val="clear" w:color="auto" w:fill="auto"/>
          <w:lang w:val="en-US" w:eastAsia="zh-CN"/>
        </w:rPr>
        <w:t>号，有效期至202</w:t>
      </w:r>
      <w:r>
        <w:rPr>
          <w:rFonts w:hint="eastAsia" w:ascii="Times New Roman" w:hAnsi="Times New Roman" w:cs="Times New Roman"/>
          <w:color w:val="auto"/>
          <w:spacing w:val="-7"/>
          <w:sz w:val="28"/>
          <w:szCs w:val="28"/>
          <w:highlight w:val="none"/>
          <w:shd w:val="clear" w:color="auto" w:fill="auto"/>
          <w:lang w:val="en-US" w:eastAsia="zh-CN"/>
        </w:rPr>
        <w:t>5</w:t>
      </w:r>
      <w:r>
        <w:rPr>
          <w:rFonts w:hint="default" w:ascii="Times New Roman" w:hAnsi="Times New Roman" w:cs="Times New Roman"/>
          <w:color w:val="auto"/>
          <w:spacing w:val="-7"/>
          <w:sz w:val="28"/>
          <w:szCs w:val="28"/>
          <w:highlight w:val="none"/>
          <w:shd w:val="clear" w:color="auto" w:fill="auto"/>
          <w:lang w:val="en-US" w:eastAsia="zh-CN"/>
        </w:rPr>
        <w:t>年</w:t>
      </w:r>
      <w:r>
        <w:rPr>
          <w:rFonts w:hint="eastAsia" w:ascii="Times New Roman" w:hAnsi="Times New Roman" w:cs="Times New Roman"/>
          <w:color w:val="auto"/>
          <w:spacing w:val="-7"/>
          <w:sz w:val="28"/>
          <w:szCs w:val="28"/>
          <w:highlight w:val="none"/>
          <w:shd w:val="clear" w:color="auto" w:fill="auto"/>
          <w:lang w:val="en-US" w:eastAsia="zh-CN"/>
        </w:rPr>
        <w:t>1</w:t>
      </w:r>
      <w:r>
        <w:rPr>
          <w:rFonts w:hint="default" w:ascii="Times New Roman" w:hAnsi="Times New Roman" w:cs="Times New Roman"/>
          <w:color w:val="auto"/>
          <w:spacing w:val="-7"/>
          <w:sz w:val="28"/>
          <w:szCs w:val="28"/>
          <w:highlight w:val="none"/>
          <w:shd w:val="clear" w:color="auto" w:fill="auto"/>
          <w:lang w:val="en-US" w:eastAsia="zh-CN"/>
        </w:rPr>
        <w:t>月</w:t>
      </w:r>
      <w:r>
        <w:rPr>
          <w:rFonts w:hint="eastAsia" w:ascii="Times New Roman" w:hAnsi="Times New Roman" w:cs="Times New Roman"/>
          <w:color w:val="auto"/>
          <w:spacing w:val="-7"/>
          <w:sz w:val="28"/>
          <w:szCs w:val="28"/>
          <w:highlight w:val="none"/>
          <w:shd w:val="clear" w:color="auto" w:fill="auto"/>
          <w:lang w:val="en-US" w:eastAsia="zh-CN"/>
        </w:rPr>
        <w:t>19</w:t>
      </w:r>
      <w:r>
        <w:rPr>
          <w:rFonts w:hint="default" w:ascii="Times New Roman" w:hAnsi="Times New Roman" w:cs="Times New Roman"/>
          <w:color w:val="auto"/>
          <w:spacing w:val="-7"/>
          <w:sz w:val="28"/>
          <w:szCs w:val="28"/>
          <w:highlight w:val="none"/>
          <w:shd w:val="clear" w:color="auto" w:fill="auto"/>
          <w:lang w:val="en-US" w:eastAsia="zh-CN"/>
        </w:rPr>
        <w:t>日。</w:t>
      </w:r>
    </w:p>
    <w:p>
      <w:pPr>
        <w:spacing w:line="360" w:lineRule="auto"/>
        <w:ind w:firstLine="532" w:firstLineChars="200"/>
        <w:jc w:val="both"/>
        <w:rPr>
          <w:rFonts w:hint="default" w:ascii="Times New Roman" w:hAnsi="Times New Roman" w:cs="Times New Roman"/>
          <w:spacing w:val="-7"/>
          <w:sz w:val="28"/>
          <w:szCs w:val="28"/>
          <w:lang w:val="en-US" w:eastAsia="zh-CN"/>
        </w:rPr>
      </w:pPr>
      <w:r>
        <w:rPr>
          <w:rFonts w:hint="eastAsia" w:ascii="Times New Roman" w:hAnsi="Times New Roman" w:cs="Times New Roman"/>
          <w:spacing w:val="-7"/>
          <w:sz w:val="28"/>
          <w:szCs w:val="28"/>
          <w:lang w:val="en-US" w:eastAsia="zh-CN"/>
        </w:rPr>
        <w:t>东城加油站站内主要设置有站房、综合楼、加油亭（内设6台6枪加油机）、埋地油罐区等，罐区共设置有4个埋地双层SF防渗油罐，其中汽油储罐3个（3×30m³），柴油储罐1个（1×30m³），总储存能力为105m³（柴油折半计算），属于二级加油站。</w:t>
      </w:r>
    </w:p>
    <w:p>
      <w:pPr>
        <w:spacing w:line="360" w:lineRule="auto"/>
        <w:ind w:firstLine="532" w:firstLineChars="200"/>
        <w:jc w:val="both"/>
        <w:rPr>
          <w:rFonts w:hint="default" w:ascii="Times New Roman" w:hAnsi="Times New Roman" w:cs="Times New Roman"/>
          <w:spacing w:val="-7"/>
          <w:sz w:val="28"/>
          <w:szCs w:val="28"/>
          <w:lang w:val="en-US" w:eastAsia="zh-CN"/>
        </w:rPr>
      </w:pPr>
      <w:r>
        <w:rPr>
          <w:rFonts w:hint="eastAsia" w:ascii="Times New Roman" w:hAnsi="Times New Roman" w:cs="Times New Roman"/>
          <w:spacing w:val="-7"/>
          <w:sz w:val="28"/>
          <w:szCs w:val="28"/>
          <w:lang w:val="en-US" w:eastAsia="zh-CN"/>
        </w:rPr>
        <w:t>东城加油站</w:t>
      </w:r>
      <w:r>
        <w:rPr>
          <w:rFonts w:hint="default" w:ascii="Times New Roman" w:hAnsi="Times New Roman" w:cs="Times New Roman"/>
          <w:spacing w:val="-7"/>
          <w:sz w:val="28"/>
          <w:szCs w:val="28"/>
          <w:lang w:val="en-US" w:eastAsia="zh-CN"/>
        </w:rPr>
        <w:t>因为经营发展需要，在站区内投资建设1台洗车机对加油车辆提供自助洗车服务。本次改建项目主要内容：在站区内</w:t>
      </w:r>
      <w:r>
        <w:rPr>
          <w:rFonts w:hint="eastAsia" w:ascii="Times New Roman" w:hAnsi="Times New Roman" w:cs="Times New Roman"/>
          <w:spacing w:val="-7"/>
          <w:sz w:val="28"/>
          <w:szCs w:val="28"/>
          <w:lang w:val="en-US" w:eastAsia="zh-CN"/>
        </w:rPr>
        <w:t>西面</w:t>
      </w:r>
      <w:r>
        <w:rPr>
          <w:rFonts w:hint="default" w:ascii="Times New Roman" w:hAnsi="Times New Roman" w:cs="Times New Roman"/>
          <w:spacing w:val="-7"/>
          <w:sz w:val="28"/>
          <w:szCs w:val="28"/>
          <w:lang w:val="en-US" w:eastAsia="zh-CN"/>
        </w:rPr>
        <w:t>新增1台洗车机，其他不做改动。</w:t>
      </w:r>
      <w:r>
        <w:rPr>
          <w:rFonts w:hint="eastAsia" w:ascii="Times New Roman" w:hAnsi="Times New Roman" w:cs="Times New Roman"/>
          <w:spacing w:val="-7"/>
          <w:sz w:val="28"/>
          <w:szCs w:val="28"/>
          <w:lang w:val="en-US" w:eastAsia="zh-CN"/>
        </w:rPr>
        <w:t>东城加油站</w:t>
      </w:r>
      <w:r>
        <w:rPr>
          <w:rFonts w:hint="default" w:ascii="Times New Roman" w:hAnsi="Times New Roman" w:cs="Times New Roman"/>
          <w:spacing w:val="-7"/>
          <w:sz w:val="28"/>
          <w:szCs w:val="28"/>
          <w:lang w:val="en-US" w:eastAsia="zh-CN"/>
        </w:rPr>
        <w:t>此次改建项目仅为在站内增加自动洗车机，不涉及油罐、加油机及工艺管道等工艺设备设施以及原有建（构）筑物的改建，站内危险化学品的经营储存情况不改变。</w:t>
      </w:r>
    </w:p>
    <w:p>
      <w:pPr>
        <w:spacing w:line="360" w:lineRule="auto"/>
        <w:ind w:firstLine="532" w:firstLineChars="200"/>
        <w:jc w:val="both"/>
        <w:rPr>
          <w:rFonts w:hint="default" w:ascii="Times New Roman" w:hAnsi="Times New Roman" w:cs="Times New Roman"/>
          <w:spacing w:val="-7"/>
          <w:sz w:val="28"/>
          <w:szCs w:val="28"/>
          <w:lang w:val="en-US" w:eastAsia="zh-CN"/>
        </w:rPr>
      </w:pPr>
      <w:r>
        <w:rPr>
          <w:rFonts w:hint="eastAsia" w:ascii="Times New Roman" w:hAnsi="Times New Roman" w:cs="Times New Roman"/>
          <w:spacing w:val="-7"/>
          <w:sz w:val="28"/>
          <w:szCs w:val="28"/>
          <w:lang w:val="en-US" w:eastAsia="zh-CN"/>
        </w:rPr>
        <w:t>东城加油站</w:t>
      </w:r>
      <w:r>
        <w:rPr>
          <w:rFonts w:hint="default" w:ascii="Times New Roman" w:hAnsi="Times New Roman" w:cs="Times New Roman"/>
          <w:spacing w:val="-7"/>
          <w:sz w:val="28"/>
          <w:szCs w:val="28"/>
          <w:lang w:val="en-US" w:eastAsia="zh-CN"/>
        </w:rPr>
        <w:t>根据《中华人民共和国安全生产法》（中华人民共和国主席令第十三号）第二十八条：生产经营单位新建、改建、扩建工程项目（以下统称建设项目）的安全设施，必须与主体工程同时设计、同时施工、同时投入生产和使用。安全设施投资应当纳入建设项目概算。第二十九条矿山、金属冶炼建设项目和用于生产、储存、装卸危险物品的建设项目，应当按照国家有关规定进行安全评价；《危险化学品建设项目安全监督管理办法》（国家安全生产监督管理总局令第45号，国家安全生产监督管理总局令第79号修改）</w:t>
      </w:r>
      <w:r>
        <w:rPr>
          <w:rFonts w:hint="eastAsia" w:ascii="Times New Roman" w:hAnsi="Times New Roman" w:cs="Times New Roman"/>
          <w:spacing w:val="-7"/>
          <w:sz w:val="28"/>
          <w:szCs w:val="28"/>
          <w:lang w:val="en-US" w:eastAsia="zh-CN"/>
        </w:rPr>
        <w:t>的有关要求，建设单位</w:t>
      </w:r>
      <w:r>
        <w:rPr>
          <w:rFonts w:hint="default" w:ascii="Times New Roman" w:hAnsi="Times New Roman" w:cs="Times New Roman"/>
          <w:spacing w:val="-7"/>
          <w:sz w:val="28"/>
          <w:szCs w:val="28"/>
          <w:lang w:val="en-US" w:eastAsia="zh-CN"/>
        </w:rPr>
        <w:t>委托具备相应资质的安全评价机构对建设项目进行安全</w:t>
      </w:r>
      <w:r>
        <w:rPr>
          <w:rFonts w:hint="eastAsia" w:ascii="Times New Roman" w:hAnsi="Times New Roman" w:cs="Times New Roman"/>
          <w:spacing w:val="-7"/>
          <w:sz w:val="28"/>
          <w:szCs w:val="28"/>
          <w:lang w:val="en-US" w:eastAsia="zh-CN"/>
        </w:rPr>
        <w:t>验收</w:t>
      </w:r>
      <w:r>
        <w:rPr>
          <w:rFonts w:hint="default" w:ascii="Times New Roman" w:hAnsi="Times New Roman" w:cs="Times New Roman"/>
          <w:spacing w:val="-7"/>
          <w:sz w:val="28"/>
          <w:szCs w:val="28"/>
          <w:lang w:val="en-US" w:eastAsia="zh-CN"/>
        </w:rPr>
        <w:t>评价。受</w:t>
      </w:r>
      <w:r>
        <w:rPr>
          <w:rFonts w:hint="eastAsia" w:ascii="Times New Roman" w:hAnsi="Times New Roman" w:cs="Times New Roman"/>
          <w:spacing w:val="-7"/>
          <w:sz w:val="28"/>
          <w:szCs w:val="28"/>
          <w:lang w:val="en-US" w:eastAsia="zh-CN"/>
        </w:rPr>
        <w:t>中国石化销售股份有限公司广东东莞石碣唐洪东城加油站</w:t>
      </w:r>
      <w:r>
        <w:rPr>
          <w:rFonts w:hint="default" w:ascii="Times New Roman" w:hAnsi="Times New Roman" w:cs="Times New Roman"/>
          <w:spacing w:val="-7"/>
          <w:sz w:val="28"/>
          <w:szCs w:val="28"/>
          <w:lang w:val="en-US" w:eastAsia="zh-CN"/>
        </w:rPr>
        <w:t>委托，广东安源鼎盛检测评价技术服务有限公司承接了该加油站新增1台洗车机的改建安全验收评价任务。</w:t>
      </w:r>
    </w:p>
    <w:p>
      <w:pPr>
        <w:spacing w:line="360" w:lineRule="auto"/>
        <w:ind w:firstLine="532" w:firstLineChars="200"/>
        <w:jc w:val="both"/>
        <w:rPr>
          <w:rFonts w:hint="default" w:ascii="Times New Roman" w:hAnsi="Times New Roman" w:cs="Times New Roman"/>
          <w:spacing w:val="-7"/>
          <w:sz w:val="28"/>
          <w:szCs w:val="28"/>
          <w:lang w:val="en-US" w:eastAsia="zh-CN"/>
        </w:rPr>
      </w:pPr>
      <w:r>
        <w:rPr>
          <w:rFonts w:hint="default" w:ascii="Times New Roman" w:hAnsi="Times New Roman" w:cs="Times New Roman"/>
          <w:spacing w:val="-7"/>
          <w:sz w:val="28"/>
          <w:szCs w:val="28"/>
          <w:lang w:val="en-US" w:eastAsia="zh-CN"/>
        </w:rPr>
        <w:t>为保证安全评价工作的顺利进行，广东安源鼎盛检测评价技术服务有限公司成立了评价工作组，评价组于2020年</w:t>
      </w:r>
      <w:r>
        <w:rPr>
          <w:rFonts w:hint="eastAsia" w:ascii="Times New Roman" w:hAnsi="Times New Roman" w:cs="Times New Roman"/>
          <w:spacing w:val="-7"/>
          <w:sz w:val="28"/>
          <w:szCs w:val="28"/>
          <w:lang w:val="en-US" w:eastAsia="zh-CN"/>
        </w:rPr>
        <w:t>11</w:t>
      </w:r>
      <w:r>
        <w:rPr>
          <w:rFonts w:hint="default" w:ascii="Times New Roman" w:hAnsi="Times New Roman" w:cs="Times New Roman"/>
          <w:spacing w:val="-7"/>
          <w:sz w:val="28"/>
          <w:szCs w:val="28"/>
          <w:lang w:val="en-US" w:eastAsia="zh-CN"/>
        </w:rPr>
        <w:t>月深入现场进行实地调研和考察，对加油站提供的相关资料及现场情况进行了全面仔细的分析和研究，并咨询有关专家的意见，根据《危险化学品安全管理条例》（国务院令[2011]第591号，国务院令[2013]第645号修改）、《危险化学品建设项目安全评价细则（试行）》（安监总危化[2007]255号）等的要求，编制完成了该加油站新增1台洗车机的改建安全验收评价报告。在评价过程中得到了企业的大力支持和协助，在此特表谢意！</w:t>
      </w:r>
    </w:p>
    <w:p>
      <w:pPr>
        <w:spacing w:line="360" w:lineRule="auto"/>
        <w:ind w:firstLine="532" w:firstLineChars="200"/>
        <w:jc w:val="both"/>
        <w:rPr>
          <w:rFonts w:hint="default" w:ascii="Times New Roman" w:hAnsi="Times New Roman" w:cs="Times New Roman"/>
          <w:sz w:val="28"/>
          <w:szCs w:val="28"/>
        </w:rPr>
        <w:sectPr>
          <w:pgSz w:w="11910" w:h="16840"/>
          <w:pgMar w:top="1417" w:right="1134" w:bottom="1134" w:left="1587" w:header="720" w:footer="720" w:gutter="0"/>
          <w:pgNumType w:start="1"/>
          <w:cols w:space="0" w:num="1"/>
        </w:sectPr>
      </w:pPr>
      <w:r>
        <w:rPr>
          <w:rFonts w:hint="default" w:ascii="Times New Roman" w:hAnsi="Times New Roman" w:cs="Times New Roman"/>
          <w:spacing w:val="-7"/>
          <w:sz w:val="28"/>
          <w:szCs w:val="28"/>
          <w:lang w:val="en-US" w:eastAsia="zh-CN"/>
        </w:rPr>
        <w:t>本报告文件与资料由</w:t>
      </w:r>
      <w:r>
        <w:rPr>
          <w:rFonts w:hint="eastAsia" w:ascii="Times New Roman" w:hAnsi="Times New Roman" w:cs="Times New Roman"/>
          <w:spacing w:val="-7"/>
          <w:sz w:val="28"/>
          <w:szCs w:val="28"/>
          <w:lang w:val="en-US" w:eastAsia="zh-CN"/>
        </w:rPr>
        <w:t>中国石化销售股份有限公司广东东莞石碣唐洪东城加油站</w:t>
      </w:r>
      <w:r>
        <w:rPr>
          <w:rFonts w:hint="default" w:ascii="Times New Roman" w:hAnsi="Times New Roman" w:cs="Times New Roman"/>
          <w:spacing w:val="-7"/>
          <w:sz w:val="28"/>
          <w:szCs w:val="28"/>
          <w:lang w:val="en-US" w:eastAsia="zh-CN"/>
        </w:rPr>
        <w:t>提供，该公司对所提供文件与资料内容的真实性负责</w:t>
      </w:r>
      <w:r>
        <w:rPr>
          <w:rFonts w:hint="eastAsia" w:ascii="Times New Roman" w:hAnsi="Times New Roman" w:cs="Times New Roman"/>
          <w:spacing w:val="-7"/>
          <w:sz w:val="28"/>
          <w:szCs w:val="28"/>
          <w:lang w:val="en-US" w:eastAsia="zh-CN"/>
        </w:rPr>
        <w:t>。</w:t>
      </w:r>
    </w:p>
    <w:p>
      <w:pPr>
        <w:pStyle w:val="24"/>
        <w:tabs>
          <w:tab w:val="right" w:leader="dot" w:pos="9189"/>
        </w:tabs>
        <w:jc w:val="center"/>
        <w:rPr>
          <w:rFonts w:hint="default" w:ascii="Times New Roman" w:hAnsi="Times New Roman" w:cs="Times New Roman"/>
          <w:b/>
          <w:bCs/>
          <w:sz w:val="32"/>
          <w:szCs w:val="32"/>
        </w:rPr>
      </w:pPr>
      <w:r>
        <w:rPr>
          <w:rFonts w:hint="default" w:ascii="Times New Roman" w:hAnsi="Times New Roman" w:cs="Times New Roman"/>
          <w:b/>
          <w:bCs/>
          <w:sz w:val="32"/>
          <w:szCs w:val="32"/>
        </w:rPr>
        <w:t>目录</w:t>
      </w:r>
    </w:p>
    <w:p>
      <w:pPr>
        <w:pStyle w:val="20"/>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rPr>
        <w:fldChar w:fldCharType="begin"/>
      </w:r>
      <w:r>
        <w:rPr>
          <w:rFonts w:hint="default" w:ascii="Times New Roman" w:hAnsi="Times New Roman" w:cs="Times New Roman" w:eastAsiaTheme="minorEastAsia"/>
          <w:sz w:val="28"/>
          <w:szCs w:val="28"/>
        </w:rPr>
        <w:instrText xml:space="preserve">TOC \o "1-2" \h \u </w:instrText>
      </w:r>
      <w:r>
        <w:rPr>
          <w:rFonts w:hint="default" w:ascii="Times New Roman" w:hAnsi="Times New Roman" w:cs="Times New Roman" w:eastAsiaTheme="minorEastAsia"/>
          <w:sz w:val="28"/>
          <w:szCs w:val="28"/>
        </w:rPr>
        <w:fldChar w:fldCharType="separate"/>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_Toc7201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1 安全评价工作经过</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_Toc7201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1</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4"/>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_Toc17956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bCs/>
          <w:sz w:val="28"/>
          <w:szCs w:val="28"/>
          <w:lang w:val="zh-CN" w:eastAsia="zh-CN" w:bidi="zh-CN"/>
        </w:rPr>
        <w:t>1.1</w:t>
      </w:r>
      <w:r>
        <w:rPr>
          <w:rFonts w:hint="default" w:ascii="Times New Roman" w:hAnsi="Times New Roman" w:cs="Times New Roman" w:eastAsiaTheme="minorEastAsia"/>
          <w:bCs/>
          <w:sz w:val="28"/>
          <w:szCs w:val="28"/>
          <w:lang w:val="en-US" w:eastAsia="zh-CN" w:bidi="zh-CN"/>
        </w:rPr>
        <w:t xml:space="preserve"> </w:t>
      </w:r>
      <w:r>
        <w:rPr>
          <w:rFonts w:hint="default" w:ascii="Times New Roman" w:hAnsi="Times New Roman" w:cs="Times New Roman" w:eastAsiaTheme="minorEastAsia"/>
          <w:bCs/>
          <w:sz w:val="28"/>
          <w:szCs w:val="28"/>
          <w:lang w:val="zh-CN" w:eastAsia="zh-CN" w:bidi="zh-CN"/>
        </w:rPr>
        <w:t>前期准备</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_Toc17956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1</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4"/>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_Toc21350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1.2</w:t>
      </w:r>
      <w:r>
        <w:rPr>
          <w:rFonts w:hint="default" w:ascii="Times New Roman" w:hAnsi="Times New Roman" w:cs="Times New Roman" w:eastAsiaTheme="minorEastAsia"/>
          <w:sz w:val="28"/>
          <w:szCs w:val="28"/>
          <w:lang w:val="en-US" w:eastAsia="zh-CN" w:bidi="zh-CN"/>
        </w:rPr>
        <w:t xml:space="preserve"> </w:t>
      </w:r>
      <w:r>
        <w:rPr>
          <w:rFonts w:hint="default" w:ascii="Times New Roman" w:hAnsi="Times New Roman" w:cs="Times New Roman" w:eastAsiaTheme="minorEastAsia"/>
          <w:sz w:val="28"/>
          <w:szCs w:val="28"/>
          <w:lang w:val="zh-CN" w:eastAsia="zh-CN" w:bidi="zh-CN"/>
        </w:rPr>
        <w:t>安全评价的目的</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_Toc21350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1</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4"/>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_Toc6764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bCs/>
          <w:sz w:val="28"/>
          <w:szCs w:val="28"/>
          <w:lang w:val="zh-CN" w:eastAsia="zh-CN" w:bidi="zh-CN"/>
        </w:rPr>
        <w:t>1.</w:t>
      </w:r>
      <w:r>
        <w:rPr>
          <w:rFonts w:hint="default" w:ascii="Times New Roman" w:hAnsi="Times New Roman" w:cs="Times New Roman" w:eastAsiaTheme="minorEastAsia"/>
          <w:bCs/>
          <w:sz w:val="28"/>
          <w:szCs w:val="28"/>
          <w:lang w:val="en-US" w:eastAsia="zh-CN" w:bidi="zh-CN"/>
        </w:rPr>
        <w:t xml:space="preserve">3 </w:t>
      </w:r>
      <w:r>
        <w:rPr>
          <w:rFonts w:hint="default" w:ascii="Times New Roman" w:hAnsi="Times New Roman" w:cs="Times New Roman" w:eastAsiaTheme="minorEastAsia"/>
          <w:bCs/>
          <w:sz w:val="28"/>
          <w:szCs w:val="28"/>
          <w:lang w:val="zh-CN" w:eastAsia="zh-CN" w:bidi="zh-CN"/>
        </w:rPr>
        <w:t>安全评价对象及范围</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_Toc6764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1</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4"/>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_Toc1768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bCs/>
          <w:sz w:val="28"/>
          <w:szCs w:val="28"/>
          <w:lang w:val="zh-CN" w:eastAsia="zh-CN" w:bidi="zh-CN"/>
        </w:rPr>
        <w:t>1.</w:t>
      </w:r>
      <w:r>
        <w:rPr>
          <w:rFonts w:hint="default" w:ascii="Times New Roman" w:hAnsi="Times New Roman" w:cs="Times New Roman" w:eastAsiaTheme="minorEastAsia"/>
          <w:bCs/>
          <w:sz w:val="28"/>
          <w:szCs w:val="28"/>
          <w:lang w:val="en-US" w:eastAsia="zh-CN" w:bidi="zh-CN"/>
        </w:rPr>
        <w:t xml:space="preserve">4 </w:t>
      </w:r>
      <w:r>
        <w:rPr>
          <w:rFonts w:hint="default" w:ascii="Times New Roman" w:hAnsi="Times New Roman" w:cs="Times New Roman" w:eastAsiaTheme="minorEastAsia"/>
          <w:bCs/>
          <w:sz w:val="28"/>
          <w:szCs w:val="28"/>
          <w:lang w:val="zh-CN" w:eastAsia="zh-CN" w:bidi="zh-CN"/>
        </w:rPr>
        <w:t>安全评价程序</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_Toc1768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2</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0"/>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_Toc4853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2</w:t>
      </w:r>
      <w:r>
        <w:rPr>
          <w:rFonts w:hint="default" w:ascii="Times New Roman" w:hAnsi="Times New Roman" w:cs="Times New Roman" w:eastAsiaTheme="minorEastAsia"/>
          <w:spacing w:val="78"/>
          <w:sz w:val="28"/>
          <w:szCs w:val="28"/>
          <w:lang w:val="zh-CN" w:eastAsia="zh-CN" w:bidi="zh-CN"/>
        </w:rPr>
        <w:t xml:space="preserve"> </w:t>
      </w:r>
      <w:r>
        <w:rPr>
          <w:rFonts w:hint="default" w:ascii="Times New Roman" w:hAnsi="Times New Roman" w:cs="Times New Roman" w:eastAsiaTheme="minorEastAsia"/>
          <w:sz w:val="28"/>
          <w:szCs w:val="28"/>
          <w:lang w:val="zh-CN" w:eastAsia="zh-CN" w:bidi="zh-CN"/>
        </w:rPr>
        <w:t>建设项目概况</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_Toc4853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3</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4"/>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_Toc30652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bCs/>
          <w:sz w:val="28"/>
          <w:szCs w:val="28"/>
          <w:lang w:val="en-US" w:eastAsia="zh-CN" w:bidi="zh-CN"/>
        </w:rPr>
        <w:t xml:space="preserve">2.1 </w:t>
      </w:r>
      <w:r>
        <w:rPr>
          <w:rFonts w:hint="default" w:ascii="Times New Roman" w:hAnsi="Times New Roman" w:cs="Times New Roman" w:eastAsiaTheme="minorEastAsia"/>
          <w:bCs/>
          <w:sz w:val="28"/>
          <w:szCs w:val="28"/>
          <w:lang w:val="zh-CN" w:eastAsia="zh-CN" w:bidi="zh-CN"/>
        </w:rPr>
        <w:t>建设项目基本情况</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_Toc30652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3</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4"/>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_Toc30286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bCs/>
          <w:sz w:val="28"/>
          <w:szCs w:val="28"/>
          <w:lang w:val="en-US" w:eastAsia="zh-CN" w:bidi="zh-CN"/>
        </w:rPr>
        <w:t xml:space="preserve">2.2 </w:t>
      </w:r>
      <w:r>
        <w:rPr>
          <w:rFonts w:hint="default" w:ascii="Times New Roman" w:hAnsi="Times New Roman" w:cs="Times New Roman" w:eastAsiaTheme="minorEastAsia"/>
          <w:bCs/>
          <w:sz w:val="28"/>
          <w:szCs w:val="28"/>
          <w:lang w:val="zh-CN" w:eastAsia="zh-CN" w:bidi="zh-CN"/>
        </w:rPr>
        <w:t>项目所在地及周围环境状况</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_Toc30286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5</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4"/>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_Toc23768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bCs/>
          <w:sz w:val="28"/>
          <w:szCs w:val="28"/>
          <w:lang w:val="en-US" w:eastAsia="zh-CN" w:bidi="zh-CN"/>
        </w:rPr>
        <w:t xml:space="preserve">2.3 </w:t>
      </w:r>
      <w:r>
        <w:rPr>
          <w:rFonts w:hint="default" w:ascii="Times New Roman" w:hAnsi="Times New Roman" w:cs="Times New Roman" w:eastAsiaTheme="minorEastAsia"/>
          <w:bCs/>
          <w:sz w:val="28"/>
          <w:szCs w:val="28"/>
          <w:lang w:val="zh-CN" w:eastAsia="zh-CN" w:bidi="zh-CN"/>
        </w:rPr>
        <w:t>平面布置</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_Toc23768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9</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4"/>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_Toc1961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bCs/>
          <w:sz w:val="28"/>
          <w:szCs w:val="28"/>
          <w:lang w:val="en-US" w:eastAsia="zh-CN" w:bidi="zh-CN"/>
        </w:rPr>
        <w:t xml:space="preserve">2.4 </w:t>
      </w:r>
      <w:r>
        <w:rPr>
          <w:rFonts w:hint="default" w:ascii="Times New Roman" w:hAnsi="Times New Roman" w:cs="Times New Roman" w:eastAsiaTheme="minorEastAsia"/>
          <w:bCs/>
          <w:sz w:val="28"/>
          <w:szCs w:val="28"/>
          <w:lang w:val="zh-CN" w:eastAsia="zh-CN" w:bidi="zh-CN"/>
        </w:rPr>
        <w:t>储存规模及工艺流程</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_Toc1961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11</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4"/>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_Toc7251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bCs/>
          <w:sz w:val="28"/>
          <w:szCs w:val="28"/>
          <w:lang w:val="en-US" w:eastAsia="zh-CN" w:bidi="zh-CN"/>
        </w:rPr>
        <w:t>2.5 选用的主要装置（设备）和设施的布局及其上下游生产装置的关系</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_Toc7251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14</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4"/>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_Toc19891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bCs/>
          <w:sz w:val="28"/>
          <w:szCs w:val="28"/>
          <w:lang w:val="en-US" w:eastAsia="zh-CN" w:bidi="zh-CN"/>
        </w:rPr>
        <w:t>2.6 建设项目配套和辅助工名称、能力、介质来源情况</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_Toc19891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15</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4"/>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_Toc8045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bCs/>
          <w:sz w:val="28"/>
          <w:szCs w:val="28"/>
          <w:lang w:val="en-US" w:eastAsia="zh-CN" w:bidi="zh-CN"/>
        </w:rPr>
        <w:t>2.7 建设项目选用的主要装置（设备）和设施名称、型号（或者规格）、材质、数量和主要特种设备</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_Toc8045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18</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4"/>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_Toc7388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highlight w:val="none"/>
          <w:lang w:val="zh-CN" w:eastAsia="zh-CN" w:bidi="zh-CN"/>
        </w:rPr>
        <w:t>2.</w:t>
      </w:r>
      <w:r>
        <w:rPr>
          <w:rFonts w:hint="default" w:ascii="Times New Roman" w:hAnsi="Times New Roman" w:cs="Times New Roman" w:eastAsiaTheme="minorEastAsia"/>
          <w:sz w:val="28"/>
          <w:szCs w:val="28"/>
          <w:highlight w:val="none"/>
          <w:lang w:val="en-US" w:eastAsia="zh-CN" w:bidi="zh-CN"/>
        </w:rPr>
        <w:t>8</w:t>
      </w:r>
      <w:r>
        <w:rPr>
          <w:rFonts w:hint="default" w:ascii="Times New Roman" w:hAnsi="Times New Roman" w:cs="Times New Roman" w:eastAsiaTheme="minorEastAsia"/>
          <w:sz w:val="28"/>
          <w:szCs w:val="28"/>
          <w:highlight w:val="none"/>
          <w:lang w:val="zh-CN" w:eastAsia="zh-CN" w:bidi="zh-CN"/>
        </w:rPr>
        <w:t>安全生产管理机构及安全管理制度</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_Toc7388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18</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4"/>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_Toc8230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2.</w:t>
      </w:r>
      <w:r>
        <w:rPr>
          <w:rFonts w:hint="default" w:ascii="Times New Roman" w:hAnsi="Times New Roman" w:cs="Times New Roman" w:eastAsiaTheme="minorEastAsia"/>
          <w:sz w:val="28"/>
          <w:szCs w:val="28"/>
          <w:lang w:val="en-US" w:eastAsia="zh-CN" w:bidi="zh-CN"/>
        </w:rPr>
        <w:t xml:space="preserve">9 </w:t>
      </w:r>
      <w:r>
        <w:rPr>
          <w:rFonts w:hint="default" w:ascii="Times New Roman" w:hAnsi="Times New Roman" w:cs="Times New Roman" w:eastAsiaTheme="minorEastAsia"/>
          <w:sz w:val="28"/>
          <w:szCs w:val="28"/>
          <w:lang w:val="zh-CN" w:eastAsia="zh-CN" w:bidi="zh-CN"/>
        </w:rPr>
        <w:t>安全设施的施工、检验、检测和调试情况</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_Toc8230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20</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0"/>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_Toc26936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en-US" w:eastAsia="zh-CN" w:bidi="zh-CN"/>
        </w:rPr>
        <w:t>3</w:t>
      </w:r>
      <w:r>
        <w:rPr>
          <w:rFonts w:hint="default" w:ascii="Times New Roman" w:hAnsi="Times New Roman" w:cs="Times New Roman" w:eastAsiaTheme="minorEastAsia"/>
          <w:sz w:val="28"/>
          <w:szCs w:val="28"/>
          <w:lang w:val="zh-CN" w:eastAsia="zh-CN" w:bidi="zh-CN"/>
        </w:rPr>
        <w:t xml:space="preserve"> 危险、有害因素的辨识结果及依据说明</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_Toc26936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21</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4"/>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_Toc1060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3.1</w:t>
      </w:r>
      <w:r>
        <w:rPr>
          <w:rFonts w:hint="default" w:ascii="Times New Roman" w:hAnsi="Times New Roman" w:cs="Times New Roman" w:eastAsiaTheme="minorEastAsia"/>
          <w:sz w:val="28"/>
          <w:szCs w:val="28"/>
          <w:lang w:val="en-US" w:eastAsia="zh-CN" w:bidi="zh-CN"/>
        </w:rPr>
        <w:t xml:space="preserve"> </w:t>
      </w:r>
      <w:r>
        <w:rPr>
          <w:rFonts w:hint="default" w:ascii="Times New Roman" w:hAnsi="Times New Roman" w:cs="Times New Roman" w:eastAsiaTheme="minorEastAsia"/>
          <w:sz w:val="28"/>
          <w:szCs w:val="28"/>
          <w:lang w:val="zh-CN" w:eastAsia="zh-CN" w:bidi="zh-CN"/>
        </w:rPr>
        <w:t>相关化学品辨识结果</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_Toc1060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21</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4"/>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_Toc17446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3.2</w:t>
      </w:r>
      <w:r>
        <w:rPr>
          <w:rFonts w:hint="default" w:ascii="Times New Roman" w:hAnsi="Times New Roman" w:cs="Times New Roman" w:eastAsiaTheme="minorEastAsia"/>
          <w:sz w:val="28"/>
          <w:szCs w:val="28"/>
          <w:lang w:val="en-US" w:eastAsia="zh-CN" w:bidi="zh-CN"/>
        </w:rPr>
        <w:t xml:space="preserve"> </w:t>
      </w:r>
      <w:r>
        <w:rPr>
          <w:rFonts w:hint="default" w:ascii="Times New Roman" w:hAnsi="Times New Roman" w:cs="Times New Roman" w:eastAsiaTheme="minorEastAsia"/>
          <w:sz w:val="28"/>
          <w:szCs w:val="28"/>
          <w:lang w:val="zh-CN" w:eastAsia="zh-CN" w:bidi="zh-CN"/>
        </w:rPr>
        <w:t>物质固有危险有害因素的辨识结果</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_Toc17446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21</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4"/>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_Toc14397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3.3</w:t>
      </w:r>
      <w:r>
        <w:rPr>
          <w:rFonts w:hint="default" w:ascii="Times New Roman" w:hAnsi="Times New Roman" w:cs="Times New Roman" w:eastAsiaTheme="minorEastAsia"/>
          <w:sz w:val="28"/>
          <w:szCs w:val="28"/>
          <w:lang w:val="en-US" w:eastAsia="zh-CN" w:bidi="zh-CN"/>
        </w:rPr>
        <w:t xml:space="preserve"> </w:t>
      </w:r>
      <w:r>
        <w:rPr>
          <w:rFonts w:hint="default" w:ascii="Times New Roman" w:hAnsi="Times New Roman" w:cs="Times New Roman" w:eastAsiaTheme="minorEastAsia"/>
          <w:sz w:val="28"/>
          <w:szCs w:val="28"/>
          <w:lang w:val="zh-CN" w:eastAsia="zh-CN" w:bidi="zh-CN"/>
        </w:rPr>
        <w:t>作业场所的危险有害因素辨识结果</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_Toc14397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22</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4"/>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_Toc19542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3.4</w:t>
      </w:r>
      <w:r>
        <w:rPr>
          <w:rFonts w:hint="default" w:ascii="Times New Roman" w:hAnsi="Times New Roman" w:cs="Times New Roman" w:eastAsiaTheme="minorEastAsia"/>
          <w:sz w:val="28"/>
          <w:szCs w:val="28"/>
          <w:lang w:val="en-US" w:eastAsia="zh-CN" w:bidi="zh-CN"/>
        </w:rPr>
        <w:t xml:space="preserve"> </w:t>
      </w:r>
      <w:r>
        <w:rPr>
          <w:rFonts w:hint="default" w:ascii="Times New Roman" w:hAnsi="Times New Roman" w:cs="Times New Roman" w:eastAsiaTheme="minorEastAsia"/>
          <w:sz w:val="28"/>
          <w:szCs w:val="28"/>
          <w:lang w:val="zh-CN" w:eastAsia="zh-CN" w:bidi="zh-CN"/>
        </w:rPr>
        <w:t>重大危险源辨识结果</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_Toc19542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22</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4"/>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_Toc22752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3.5</w:t>
      </w:r>
      <w:r>
        <w:rPr>
          <w:rFonts w:hint="default" w:ascii="Times New Roman" w:hAnsi="Times New Roman" w:cs="Times New Roman" w:eastAsiaTheme="minorEastAsia"/>
          <w:sz w:val="28"/>
          <w:szCs w:val="28"/>
          <w:lang w:val="en-US" w:eastAsia="zh-CN" w:bidi="zh-CN"/>
        </w:rPr>
        <w:t xml:space="preserve"> </w:t>
      </w:r>
      <w:r>
        <w:rPr>
          <w:rFonts w:hint="default" w:ascii="Times New Roman" w:hAnsi="Times New Roman" w:cs="Times New Roman" w:eastAsiaTheme="minorEastAsia"/>
          <w:sz w:val="28"/>
          <w:szCs w:val="28"/>
          <w:lang w:val="zh-CN" w:eastAsia="zh-CN" w:bidi="zh-CN"/>
        </w:rPr>
        <w:t>爆炸危险区域的划分结果</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_Toc22752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22</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4"/>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_Toc19183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3.6</w:t>
      </w:r>
      <w:r>
        <w:rPr>
          <w:rFonts w:hint="default" w:ascii="Times New Roman" w:hAnsi="Times New Roman" w:cs="Times New Roman" w:eastAsiaTheme="minorEastAsia"/>
          <w:sz w:val="28"/>
          <w:szCs w:val="28"/>
          <w:lang w:val="en-US" w:eastAsia="zh-CN" w:bidi="zh-CN"/>
        </w:rPr>
        <w:t xml:space="preserve"> </w:t>
      </w:r>
      <w:r>
        <w:rPr>
          <w:rFonts w:hint="default" w:ascii="Times New Roman" w:hAnsi="Times New Roman" w:cs="Times New Roman" w:eastAsiaTheme="minorEastAsia"/>
          <w:sz w:val="28"/>
          <w:szCs w:val="28"/>
          <w:lang w:val="zh-CN" w:eastAsia="zh-CN" w:bidi="zh-CN"/>
        </w:rPr>
        <w:t>危险化工工艺辨识结果</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_Toc19183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23</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4"/>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_Toc5934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3.7</w:t>
      </w:r>
      <w:r>
        <w:rPr>
          <w:rFonts w:hint="default" w:ascii="Times New Roman" w:hAnsi="Times New Roman" w:cs="Times New Roman" w:eastAsiaTheme="minorEastAsia"/>
          <w:sz w:val="28"/>
          <w:szCs w:val="28"/>
          <w:lang w:val="en-US" w:eastAsia="zh-CN" w:bidi="zh-CN"/>
        </w:rPr>
        <w:t xml:space="preserve"> </w:t>
      </w:r>
      <w:r>
        <w:rPr>
          <w:rFonts w:hint="default" w:ascii="Times New Roman" w:hAnsi="Times New Roman" w:cs="Times New Roman" w:eastAsiaTheme="minorEastAsia"/>
          <w:sz w:val="28"/>
          <w:szCs w:val="28"/>
          <w:lang w:val="zh-CN" w:eastAsia="zh-CN" w:bidi="zh-CN"/>
        </w:rPr>
        <w:t>特种设备辩识结果</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_Toc5934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23</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0"/>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_Toc20186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4 安全评价单元的划分结果及理由说明</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_Toc20186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25</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4"/>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_Toc1931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bCs/>
          <w:sz w:val="28"/>
          <w:szCs w:val="28"/>
          <w:lang w:val="en-US" w:eastAsia="zh-CN" w:bidi="zh-CN"/>
        </w:rPr>
        <w:t>4</w:t>
      </w:r>
      <w:r>
        <w:rPr>
          <w:rFonts w:hint="default" w:ascii="Times New Roman" w:hAnsi="Times New Roman" w:cs="Times New Roman" w:eastAsiaTheme="minorEastAsia"/>
          <w:bCs/>
          <w:sz w:val="28"/>
          <w:szCs w:val="28"/>
          <w:lang w:val="zh-CN" w:eastAsia="zh-CN" w:bidi="zh-CN"/>
        </w:rPr>
        <w:t>.1 评价单元的划分</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_Toc1931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25</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4"/>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_Toc24453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bCs/>
          <w:sz w:val="28"/>
          <w:szCs w:val="28"/>
          <w:lang w:val="en-US" w:eastAsia="zh-CN" w:bidi="zh-CN"/>
        </w:rPr>
        <w:t>4</w:t>
      </w:r>
      <w:r>
        <w:rPr>
          <w:rFonts w:hint="default" w:ascii="Times New Roman" w:hAnsi="Times New Roman" w:cs="Times New Roman" w:eastAsiaTheme="minorEastAsia"/>
          <w:bCs/>
          <w:sz w:val="28"/>
          <w:szCs w:val="28"/>
          <w:lang w:val="zh-CN" w:eastAsia="zh-CN" w:bidi="zh-CN"/>
        </w:rPr>
        <w:t>.</w:t>
      </w:r>
      <w:r>
        <w:rPr>
          <w:rFonts w:hint="default" w:ascii="Times New Roman" w:hAnsi="Times New Roman" w:cs="Times New Roman" w:eastAsiaTheme="minorEastAsia"/>
          <w:bCs/>
          <w:sz w:val="28"/>
          <w:szCs w:val="28"/>
          <w:lang w:val="en-US" w:eastAsia="zh-CN" w:bidi="zh-CN"/>
        </w:rPr>
        <w:t>2</w:t>
      </w:r>
      <w:r>
        <w:rPr>
          <w:rFonts w:hint="default" w:ascii="Times New Roman" w:hAnsi="Times New Roman" w:cs="Times New Roman" w:eastAsiaTheme="minorEastAsia"/>
          <w:bCs/>
          <w:sz w:val="28"/>
          <w:szCs w:val="28"/>
          <w:lang w:val="zh-CN" w:eastAsia="zh-CN" w:bidi="zh-CN"/>
        </w:rPr>
        <w:t xml:space="preserve"> 采用的安全评价方法及理由说明</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_Toc24453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25</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0"/>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_Toc11748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5 定性、定量分析危险、有害程度的结果</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_Toc11748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27</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4"/>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_Toc27286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bCs/>
          <w:sz w:val="28"/>
          <w:szCs w:val="28"/>
          <w:lang w:val="en-US" w:eastAsia="zh-CN" w:bidi="zh-CN"/>
        </w:rPr>
        <w:t>5</w:t>
      </w:r>
      <w:r>
        <w:rPr>
          <w:rFonts w:hint="default" w:ascii="Times New Roman" w:hAnsi="Times New Roman" w:cs="Times New Roman" w:eastAsiaTheme="minorEastAsia"/>
          <w:bCs/>
          <w:sz w:val="28"/>
          <w:szCs w:val="28"/>
          <w:lang w:val="zh-CN" w:eastAsia="zh-CN" w:bidi="zh-CN"/>
        </w:rPr>
        <w:t>.1 物料固有危险程度分析结果</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_Toc27286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27</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4"/>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_Toc32000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bCs/>
          <w:sz w:val="28"/>
          <w:szCs w:val="28"/>
          <w:lang w:val="en-US" w:eastAsia="zh-CN" w:bidi="zh-CN"/>
        </w:rPr>
        <w:t>5</w:t>
      </w:r>
      <w:r>
        <w:rPr>
          <w:rFonts w:hint="default" w:ascii="Times New Roman" w:hAnsi="Times New Roman" w:cs="Times New Roman" w:eastAsiaTheme="minorEastAsia"/>
          <w:bCs/>
          <w:sz w:val="28"/>
          <w:szCs w:val="28"/>
          <w:lang w:val="zh-CN" w:eastAsia="zh-CN" w:bidi="zh-CN"/>
        </w:rPr>
        <w:t>.</w:t>
      </w:r>
      <w:r>
        <w:rPr>
          <w:rFonts w:hint="default" w:ascii="Times New Roman" w:hAnsi="Times New Roman" w:cs="Times New Roman" w:eastAsiaTheme="minorEastAsia"/>
          <w:bCs/>
          <w:sz w:val="28"/>
          <w:szCs w:val="28"/>
          <w:lang w:val="en-US" w:eastAsia="zh-CN" w:bidi="zh-CN"/>
        </w:rPr>
        <w:t>2</w:t>
      </w:r>
      <w:r>
        <w:rPr>
          <w:rFonts w:hint="default" w:ascii="Times New Roman" w:hAnsi="Times New Roman" w:cs="Times New Roman" w:eastAsiaTheme="minorEastAsia"/>
          <w:bCs/>
          <w:sz w:val="28"/>
          <w:szCs w:val="28"/>
          <w:lang w:val="zh-CN" w:eastAsia="zh-CN" w:bidi="zh-CN"/>
        </w:rPr>
        <w:t xml:space="preserve"> 风险程度分析结果</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_Toc32000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27</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0"/>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_Toc27755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6 建设项目安全条件和安全生产条件分析结果</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_Toc27755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29</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4"/>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_Toc27039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bCs/>
          <w:sz w:val="28"/>
          <w:szCs w:val="28"/>
          <w:lang w:val="zh-CN" w:eastAsia="zh-CN" w:bidi="zh-CN"/>
        </w:rPr>
        <w:t>6.1 安全条件分析</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_Toc27039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29</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4"/>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_Toc4439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bCs/>
          <w:sz w:val="28"/>
          <w:szCs w:val="28"/>
          <w:lang w:val="zh-CN" w:eastAsia="zh-CN" w:bidi="zh-CN"/>
        </w:rPr>
        <w:t>6.</w:t>
      </w:r>
      <w:r>
        <w:rPr>
          <w:rFonts w:hint="default" w:ascii="Times New Roman" w:hAnsi="Times New Roman" w:cs="Times New Roman" w:eastAsiaTheme="minorEastAsia"/>
          <w:bCs/>
          <w:sz w:val="28"/>
          <w:szCs w:val="28"/>
          <w:lang w:val="en-US" w:eastAsia="zh-CN" w:bidi="zh-CN"/>
        </w:rPr>
        <w:t>2</w:t>
      </w:r>
      <w:r>
        <w:rPr>
          <w:rFonts w:hint="default" w:ascii="Times New Roman" w:hAnsi="Times New Roman" w:cs="Times New Roman" w:eastAsiaTheme="minorEastAsia"/>
          <w:bCs/>
          <w:sz w:val="28"/>
          <w:szCs w:val="28"/>
          <w:lang w:val="zh-CN" w:eastAsia="zh-CN" w:bidi="zh-CN"/>
        </w:rPr>
        <w:t xml:space="preserve"> 安全生产条件分析</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_Toc4439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29</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4"/>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_Toc30505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bCs/>
          <w:sz w:val="28"/>
          <w:szCs w:val="28"/>
          <w:lang w:val="en-US" w:eastAsia="zh-CN" w:bidi="zh-CN"/>
        </w:rPr>
        <w:t xml:space="preserve">6.3 </w:t>
      </w:r>
      <w:r>
        <w:rPr>
          <w:rFonts w:hint="default" w:ascii="Times New Roman" w:hAnsi="Times New Roman" w:cs="Times New Roman" w:eastAsiaTheme="minorEastAsia"/>
          <w:bCs/>
          <w:sz w:val="28"/>
          <w:szCs w:val="28"/>
          <w:lang w:val="zh-CN" w:eastAsia="zh-CN" w:bidi="zh-CN"/>
        </w:rPr>
        <w:t>可能发生的危险化学品事故及后果、对策</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_Toc30505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31</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0"/>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_Toc15861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en-US" w:eastAsia="zh-CN" w:bidi="zh-CN"/>
        </w:rPr>
        <w:t>7</w:t>
      </w:r>
      <w:r>
        <w:rPr>
          <w:rFonts w:hint="default" w:ascii="Times New Roman" w:hAnsi="Times New Roman" w:cs="Times New Roman" w:eastAsiaTheme="minorEastAsia"/>
          <w:spacing w:val="78"/>
          <w:sz w:val="28"/>
          <w:szCs w:val="28"/>
          <w:lang w:val="zh-CN" w:eastAsia="zh-CN" w:bidi="zh-CN"/>
        </w:rPr>
        <w:t xml:space="preserve"> </w:t>
      </w:r>
      <w:r>
        <w:rPr>
          <w:rFonts w:hint="default" w:ascii="Times New Roman" w:hAnsi="Times New Roman" w:cs="Times New Roman" w:eastAsiaTheme="minorEastAsia"/>
          <w:sz w:val="28"/>
          <w:szCs w:val="28"/>
          <w:lang w:val="zh-CN" w:eastAsia="zh-CN" w:bidi="zh-CN"/>
        </w:rPr>
        <w:t>建议与对策措施</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_Toc15861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34</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4"/>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_Toc4924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en-US" w:eastAsia="zh-CN" w:bidi="zh-CN"/>
        </w:rPr>
        <w:t>7</w:t>
      </w:r>
      <w:r>
        <w:rPr>
          <w:rFonts w:hint="default" w:ascii="Times New Roman" w:hAnsi="Times New Roman" w:cs="Times New Roman" w:eastAsiaTheme="minorEastAsia"/>
          <w:sz w:val="28"/>
          <w:szCs w:val="28"/>
          <w:lang w:val="zh-CN" w:eastAsia="zh-CN" w:bidi="zh-CN"/>
        </w:rPr>
        <w:t>.</w:t>
      </w:r>
      <w:r>
        <w:rPr>
          <w:rFonts w:hint="default" w:ascii="Times New Roman" w:hAnsi="Times New Roman" w:cs="Times New Roman" w:eastAsiaTheme="minorEastAsia"/>
          <w:sz w:val="28"/>
          <w:szCs w:val="28"/>
          <w:lang w:val="en-US" w:eastAsia="zh-CN" w:bidi="zh-CN"/>
        </w:rPr>
        <w:t xml:space="preserve">1 </w:t>
      </w:r>
      <w:r>
        <w:rPr>
          <w:rFonts w:hint="default" w:ascii="Times New Roman" w:hAnsi="Times New Roman" w:cs="Times New Roman" w:eastAsiaTheme="minorEastAsia"/>
          <w:sz w:val="28"/>
          <w:szCs w:val="28"/>
          <w:lang w:val="zh-CN" w:eastAsia="zh-CN" w:bidi="zh-CN"/>
        </w:rPr>
        <w:t>建设项目建议</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_Toc4924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34</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4"/>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_Toc7959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en-US" w:eastAsia="zh-CN" w:bidi="zh-CN"/>
        </w:rPr>
        <w:t xml:space="preserve">7.2 </w:t>
      </w:r>
      <w:r>
        <w:rPr>
          <w:rFonts w:hint="default" w:ascii="Times New Roman" w:hAnsi="Times New Roman" w:cs="Times New Roman" w:eastAsiaTheme="minorEastAsia"/>
          <w:sz w:val="28"/>
          <w:szCs w:val="28"/>
          <w:lang w:val="zh-CN" w:eastAsia="zh-CN" w:bidi="zh-CN"/>
        </w:rPr>
        <w:t>重点监管的危险化学品安全对策措施</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_Toc7959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37</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0"/>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_Toc32356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9 安全评价结论</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_Toc32356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39</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0"/>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_Toc9745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10 与建设单位交换意见情况</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_Toc9745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41</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4"/>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_Toc13239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安全评价报告附件</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_Toc13239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42</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0"/>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_Toc3628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附件1 安全评价相关图表</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_Toc3628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42</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0"/>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_Toc4712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附件2 安全评价方法简介</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_Toc4712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46</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0"/>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_Toc8686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附件3</w:t>
      </w:r>
      <w:r>
        <w:rPr>
          <w:rFonts w:hint="default" w:ascii="Times New Roman" w:hAnsi="Times New Roman" w:cs="Times New Roman" w:eastAsiaTheme="minorEastAsia"/>
          <w:spacing w:val="78"/>
          <w:sz w:val="28"/>
          <w:szCs w:val="28"/>
          <w:lang w:val="zh-CN" w:eastAsia="zh-CN" w:bidi="zh-CN"/>
        </w:rPr>
        <w:t xml:space="preserve"> </w:t>
      </w:r>
      <w:r>
        <w:rPr>
          <w:rFonts w:hint="default" w:ascii="Times New Roman" w:hAnsi="Times New Roman" w:cs="Times New Roman" w:eastAsiaTheme="minorEastAsia"/>
          <w:sz w:val="28"/>
          <w:szCs w:val="28"/>
          <w:lang w:val="zh-CN" w:eastAsia="zh-CN" w:bidi="zh-CN"/>
        </w:rPr>
        <w:t>危险、有害因素辨识与分析过程</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_Toc8686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51</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4"/>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_Toc12533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bCs/>
          <w:sz w:val="28"/>
          <w:szCs w:val="28"/>
          <w:lang w:val="zh-CN" w:eastAsia="zh-CN" w:bidi="zh-CN"/>
        </w:rPr>
        <w:t>3.1 危险、有害因素辨识与分析</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_Toc12533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51</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4"/>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_Toc18598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bCs/>
          <w:sz w:val="28"/>
          <w:szCs w:val="28"/>
          <w:lang w:val="en-US" w:eastAsia="zh-CN" w:bidi="zh-CN"/>
        </w:rPr>
        <w:t xml:space="preserve">3.2 </w:t>
      </w:r>
      <w:r>
        <w:rPr>
          <w:rFonts w:hint="default" w:ascii="Times New Roman" w:hAnsi="Times New Roman" w:cs="Times New Roman" w:eastAsiaTheme="minorEastAsia"/>
          <w:bCs/>
          <w:sz w:val="28"/>
          <w:szCs w:val="28"/>
          <w:lang w:val="zh-CN" w:eastAsia="zh-CN" w:bidi="zh-CN"/>
        </w:rPr>
        <w:t>危险化学品辨识</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_Toc18598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55</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4"/>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_Toc7591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bCs/>
          <w:sz w:val="28"/>
          <w:szCs w:val="28"/>
          <w:lang w:val="en-US" w:eastAsia="zh-CN" w:bidi="zh-CN"/>
        </w:rPr>
        <w:t>3.3 特种设备辨识</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_Toc7591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56</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4"/>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_Toc2072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bCs/>
          <w:sz w:val="28"/>
          <w:szCs w:val="28"/>
          <w:lang w:val="en-US" w:eastAsia="zh-CN" w:bidi="zh-CN"/>
        </w:rPr>
        <w:t xml:space="preserve">3.4 </w:t>
      </w:r>
      <w:r>
        <w:rPr>
          <w:rFonts w:hint="default" w:ascii="Times New Roman" w:hAnsi="Times New Roman" w:cs="Times New Roman" w:eastAsiaTheme="minorEastAsia"/>
          <w:bCs/>
          <w:sz w:val="28"/>
          <w:szCs w:val="28"/>
          <w:lang w:val="zh-CN" w:eastAsia="zh-CN" w:bidi="zh-CN"/>
        </w:rPr>
        <w:t>国家明令淘汰的产品和危险工艺辨识</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_Toc2072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56</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4"/>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_Toc4951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bCs/>
          <w:sz w:val="28"/>
          <w:szCs w:val="28"/>
          <w:lang w:val="en-US" w:eastAsia="zh-CN" w:bidi="zh-CN"/>
        </w:rPr>
        <w:t>3.5 危险化学品重大危险源辨识</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_Toc4951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56</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4"/>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_Toc15637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bCs/>
          <w:sz w:val="28"/>
          <w:szCs w:val="28"/>
          <w:lang w:val="en-US" w:eastAsia="zh-CN" w:bidi="zh-CN"/>
        </w:rPr>
        <w:t>3.6 固有危险程度分析过程</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_Toc15637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58</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4"/>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_Toc7125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bCs/>
          <w:sz w:val="28"/>
          <w:szCs w:val="28"/>
          <w:lang w:val="en-US" w:eastAsia="zh-CN" w:bidi="zh-CN"/>
        </w:rPr>
        <w:t>3.7 经营、储存过程主要危险、有害因素辨识与分析</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_Toc7125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59</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0"/>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_Toc28762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附件</w:t>
      </w:r>
      <w:r>
        <w:rPr>
          <w:rFonts w:hint="default" w:ascii="Times New Roman" w:hAnsi="Times New Roman" w:cs="Times New Roman" w:eastAsiaTheme="minorEastAsia"/>
          <w:sz w:val="28"/>
          <w:szCs w:val="28"/>
          <w:lang w:val="en-US" w:eastAsia="zh-CN" w:bidi="zh-CN"/>
        </w:rPr>
        <w:t>4</w:t>
      </w:r>
      <w:r>
        <w:rPr>
          <w:rFonts w:hint="default" w:ascii="Times New Roman" w:hAnsi="Times New Roman" w:cs="Times New Roman" w:eastAsiaTheme="minorEastAsia"/>
          <w:sz w:val="28"/>
          <w:szCs w:val="28"/>
          <w:lang w:val="zh-CN" w:eastAsia="zh-CN" w:bidi="zh-CN"/>
        </w:rPr>
        <w:t xml:space="preserve"> 定性、定量分析危险、有害程度的过程</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_Toc28762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66</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4"/>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_Toc21103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4.1 建设项目的安全条件分析</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_Toc21103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66</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4"/>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_Toc14193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pacing w:val="6"/>
          <w:sz w:val="28"/>
          <w:szCs w:val="28"/>
          <w:lang w:val="zh-CN" w:eastAsia="zh-CN" w:bidi="zh-CN"/>
        </w:rPr>
        <w:t>4.</w:t>
      </w:r>
      <w:r>
        <w:rPr>
          <w:rFonts w:hint="default" w:ascii="Times New Roman" w:hAnsi="Times New Roman" w:cs="Times New Roman" w:eastAsiaTheme="minorEastAsia"/>
          <w:spacing w:val="6"/>
          <w:sz w:val="28"/>
          <w:szCs w:val="28"/>
          <w:lang w:val="en-US" w:eastAsia="zh-CN" w:bidi="zh-CN"/>
        </w:rPr>
        <w:t xml:space="preserve">2 </w:t>
      </w:r>
      <w:r>
        <w:rPr>
          <w:rFonts w:hint="default" w:ascii="Times New Roman" w:hAnsi="Times New Roman" w:cs="Times New Roman" w:eastAsiaTheme="minorEastAsia"/>
          <w:spacing w:val="6"/>
          <w:sz w:val="28"/>
          <w:szCs w:val="28"/>
          <w:lang w:val="zh-CN" w:eastAsia="zh-CN" w:bidi="zh-CN"/>
        </w:rPr>
        <w:t>建设项目的安全生产条件分析</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_Toc14193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67</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4"/>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_Toc10263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pacing w:val="6"/>
          <w:sz w:val="28"/>
          <w:szCs w:val="28"/>
          <w:lang w:val="zh-CN" w:eastAsia="zh-CN" w:bidi="zh-CN"/>
        </w:rPr>
        <w:t>4.</w:t>
      </w:r>
      <w:r>
        <w:rPr>
          <w:rFonts w:hint="default" w:ascii="Times New Roman" w:hAnsi="Times New Roman" w:cs="Times New Roman" w:eastAsiaTheme="minorEastAsia"/>
          <w:spacing w:val="6"/>
          <w:sz w:val="28"/>
          <w:szCs w:val="28"/>
          <w:lang w:val="en-US" w:eastAsia="zh-CN" w:bidi="zh-CN"/>
        </w:rPr>
        <w:t xml:space="preserve">2 </w:t>
      </w:r>
      <w:r>
        <w:rPr>
          <w:rFonts w:hint="default" w:ascii="Times New Roman" w:hAnsi="Times New Roman" w:cs="Times New Roman" w:eastAsiaTheme="minorEastAsia"/>
          <w:spacing w:val="6"/>
          <w:sz w:val="28"/>
          <w:szCs w:val="28"/>
          <w:lang w:val="zh-CN" w:eastAsia="zh-CN" w:bidi="zh-CN"/>
        </w:rPr>
        <w:t>道化学公司火灾，爆炸危险指数法定量分析过程</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_Toc10263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82</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4"/>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_Toc29396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pacing w:val="6"/>
          <w:sz w:val="28"/>
          <w:szCs w:val="28"/>
          <w:lang w:val="zh-CN" w:eastAsia="zh-CN" w:bidi="zh-CN"/>
        </w:rPr>
        <w:t>4.</w:t>
      </w:r>
      <w:r>
        <w:rPr>
          <w:rFonts w:hint="default" w:ascii="Times New Roman" w:hAnsi="Times New Roman" w:cs="Times New Roman" w:eastAsiaTheme="minorEastAsia"/>
          <w:spacing w:val="6"/>
          <w:sz w:val="28"/>
          <w:szCs w:val="28"/>
          <w:lang w:val="en-US" w:eastAsia="zh-CN" w:bidi="zh-CN"/>
        </w:rPr>
        <w:t xml:space="preserve">3 </w:t>
      </w:r>
      <w:r>
        <w:rPr>
          <w:rFonts w:hint="default" w:ascii="Times New Roman" w:hAnsi="Times New Roman" w:cs="Times New Roman" w:eastAsiaTheme="minorEastAsia"/>
          <w:spacing w:val="6"/>
          <w:sz w:val="28"/>
          <w:szCs w:val="28"/>
          <w:lang w:val="zh-CN" w:eastAsia="zh-CN" w:bidi="zh-CN"/>
        </w:rPr>
        <w:t>事故树分析评价</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_Toc29396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87</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4"/>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_Toc2435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pacing w:val="6"/>
          <w:sz w:val="28"/>
          <w:szCs w:val="28"/>
          <w:lang w:val="zh-CN" w:eastAsia="zh-CN" w:bidi="zh-CN"/>
        </w:rPr>
        <w:t>4.</w:t>
      </w:r>
      <w:r>
        <w:rPr>
          <w:rFonts w:hint="default" w:ascii="Times New Roman" w:hAnsi="Times New Roman" w:cs="Times New Roman" w:eastAsiaTheme="minorEastAsia"/>
          <w:spacing w:val="6"/>
          <w:sz w:val="28"/>
          <w:szCs w:val="28"/>
          <w:lang w:val="en-US" w:eastAsia="zh-CN" w:bidi="zh-CN"/>
        </w:rPr>
        <w:t xml:space="preserve">4 </w:t>
      </w:r>
      <w:r>
        <w:rPr>
          <w:rFonts w:hint="default" w:ascii="Times New Roman" w:hAnsi="Times New Roman" w:cs="Times New Roman" w:eastAsiaTheme="minorEastAsia"/>
          <w:spacing w:val="6"/>
          <w:sz w:val="28"/>
          <w:szCs w:val="28"/>
          <w:lang w:val="zh-CN" w:eastAsia="zh-CN" w:bidi="zh-CN"/>
        </w:rPr>
        <w:t>作业条件危险性评价法</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_Toc2435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92</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0"/>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_Toc14840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附件</w:t>
      </w:r>
      <w:r>
        <w:rPr>
          <w:rFonts w:hint="default" w:ascii="Times New Roman" w:hAnsi="Times New Roman" w:cs="Times New Roman" w:eastAsiaTheme="minorEastAsia"/>
          <w:sz w:val="28"/>
          <w:szCs w:val="28"/>
          <w:lang w:val="en-US" w:eastAsia="zh-CN" w:bidi="zh-CN"/>
        </w:rPr>
        <w:t>5</w:t>
      </w:r>
      <w:r>
        <w:rPr>
          <w:rFonts w:hint="default" w:ascii="Times New Roman" w:hAnsi="Times New Roman" w:cs="Times New Roman" w:eastAsiaTheme="minorEastAsia"/>
          <w:sz w:val="28"/>
          <w:szCs w:val="28"/>
          <w:lang w:val="zh-CN" w:eastAsia="zh-CN" w:bidi="zh-CN"/>
        </w:rPr>
        <w:t xml:space="preserve"> 安全评价依据目录</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_Toc14840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93</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0"/>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_Toc32642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附</w:t>
      </w:r>
      <w:r>
        <w:rPr>
          <w:rFonts w:hint="default" w:ascii="Times New Roman" w:hAnsi="Times New Roman" w:cs="Times New Roman" w:eastAsiaTheme="minorEastAsia"/>
          <w:sz w:val="28"/>
          <w:szCs w:val="28"/>
          <w:lang w:val="en-US" w:eastAsia="zh-CN" w:bidi="zh-CN"/>
        </w:rPr>
        <w:t xml:space="preserve">  </w:t>
      </w:r>
      <w:r>
        <w:rPr>
          <w:rFonts w:hint="default" w:ascii="Times New Roman" w:hAnsi="Times New Roman" w:cs="Times New Roman" w:eastAsiaTheme="minorEastAsia"/>
          <w:sz w:val="28"/>
          <w:szCs w:val="28"/>
          <w:lang w:val="zh-CN" w:eastAsia="zh-CN" w:bidi="zh-CN"/>
        </w:rPr>
        <w:t>录</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_Toc32642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97</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0"/>
        <w:tabs>
          <w:tab w:val="right" w:leader="dot" w:pos="9189"/>
        </w:tabs>
        <w:rPr>
          <w:rFonts w:hint="default" w:ascii="Times New Roman" w:hAnsi="Times New Roman" w:cs="Times New Roman" w:eastAsiaTheme="minorEastAsia"/>
          <w:sz w:val="28"/>
          <w:szCs w:val="28"/>
          <w:lang w:val="zh-CN" w:eastAsia="zh-CN" w:bidi="zh-CN"/>
        </w:rPr>
      </w:pPr>
    </w:p>
    <w:p>
      <w:pPr>
        <w:rPr>
          <w:rFonts w:hint="default" w:ascii="Times New Roman" w:hAnsi="Times New Roman" w:cs="Times New Roman" w:eastAsiaTheme="minorEastAsia"/>
          <w:sz w:val="28"/>
          <w:szCs w:val="28"/>
        </w:rPr>
        <w:sectPr>
          <w:footerReference r:id="rId3" w:type="default"/>
          <w:pgSz w:w="11910" w:h="16840"/>
          <w:pgMar w:top="1417" w:right="1134" w:bottom="1134" w:left="1587" w:header="720" w:footer="720" w:gutter="0"/>
          <w:pgNumType w:start="1"/>
          <w:cols w:space="0" w:num="1"/>
        </w:sectPr>
      </w:pPr>
      <w:r>
        <w:rPr>
          <w:rFonts w:hint="default" w:ascii="Times New Roman" w:hAnsi="Times New Roman" w:cs="Times New Roman" w:eastAsiaTheme="minorEastAsia"/>
          <w:sz w:val="28"/>
          <w:szCs w:val="28"/>
          <w:lang w:val="zh-CN" w:eastAsia="zh-CN" w:bidi="zh-CN"/>
        </w:rPr>
        <w:fldChar w:fldCharType="end"/>
      </w:r>
    </w:p>
    <w:p>
      <w:pPr>
        <w:keepNext w:val="0"/>
        <w:keepLines w:val="0"/>
        <w:pageBreakBefore w:val="0"/>
        <w:widowControl w:val="0"/>
        <w:kinsoku/>
        <w:wordWrap/>
        <w:overflowPunct/>
        <w:topLinePunct w:val="0"/>
        <w:autoSpaceDE w:val="0"/>
        <w:autoSpaceDN w:val="0"/>
        <w:bidi w:val="0"/>
        <w:adjustRightInd/>
        <w:snapToGrid/>
        <w:spacing w:before="206" w:line="240" w:lineRule="auto"/>
        <w:ind w:left="2795" w:leftChars="0" w:right="0" w:rightChars="0" w:firstLine="0" w:firstLineChars="0"/>
        <w:jc w:val="left"/>
        <w:textAlignment w:val="auto"/>
        <w:outlineLvl w:val="9"/>
        <w:rPr>
          <w:rFonts w:hint="default" w:ascii="Times New Roman" w:hAnsi="Times New Roman" w:eastAsia="宋体" w:cs="Times New Roman"/>
          <w:b/>
          <w:bCs/>
          <w:sz w:val="32"/>
          <w:szCs w:val="32"/>
          <w:lang w:val="zh-CN" w:eastAsia="zh-CN" w:bidi="zh-CN"/>
        </w:rPr>
      </w:pPr>
      <w:bookmarkStart w:id="5" w:name="_Toc29734"/>
      <w:bookmarkStart w:id="6" w:name="_Toc15475"/>
      <w:bookmarkStart w:id="7" w:name="_Toc24705"/>
      <w:bookmarkStart w:id="8" w:name="_Toc25368"/>
      <w:bookmarkStart w:id="9" w:name="_Toc5540"/>
      <w:bookmarkStart w:id="10" w:name="_Toc9910"/>
      <w:bookmarkStart w:id="11" w:name="_Toc5779"/>
      <w:bookmarkStart w:id="12" w:name="_Toc1462"/>
      <w:bookmarkStart w:id="13" w:name="_Toc7605"/>
      <w:bookmarkStart w:id="14" w:name="_Toc13908"/>
      <w:bookmarkStart w:id="15" w:name="_Toc8046"/>
      <w:bookmarkStart w:id="16" w:name="_Toc3801"/>
      <w:bookmarkStart w:id="17" w:name="_Toc28700"/>
      <w:bookmarkStart w:id="18" w:name="_Toc185"/>
      <w:bookmarkStart w:id="19" w:name="_Toc27300"/>
      <w:bookmarkStart w:id="20" w:name="_Toc9403"/>
      <w:bookmarkStart w:id="21" w:name="_Toc11852"/>
      <w:bookmarkStart w:id="22" w:name="_Toc27811"/>
      <w:r>
        <w:rPr>
          <w:rFonts w:hint="default" w:ascii="Times New Roman" w:hAnsi="Times New Roman" w:eastAsia="宋体" w:cs="Times New Roman"/>
          <w:b/>
          <w:bCs/>
          <w:sz w:val="32"/>
          <w:szCs w:val="32"/>
          <w:lang w:val="zh-CN" w:eastAsia="zh-CN" w:bidi="zh-CN"/>
        </w:rPr>
        <w:t>非常用的术语、符号和代号说明</w:t>
      </w: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p>
    <w:p>
      <w:pPr>
        <w:pStyle w:val="11"/>
        <w:spacing w:before="10"/>
        <w:rPr>
          <w:rFonts w:hint="default" w:ascii="Times New Roman" w:hAnsi="Times New Roman" w:eastAsia="宋体" w:cs="Times New Roman"/>
          <w:b/>
          <w:bCs/>
          <w:sz w:val="32"/>
          <w:szCs w:val="32"/>
          <w:lang w:val="zh-CN" w:eastAsia="zh-CN" w:bidi="zh-CN"/>
        </w:rPr>
      </w:pPr>
    </w:p>
    <w:p>
      <w:pPr>
        <w:spacing w:line="500" w:lineRule="exact"/>
        <w:ind w:firstLine="720"/>
        <w:rPr>
          <w:rFonts w:hint="default" w:ascii="Times New Roman" w:hAnsi="Times New Roman" w:cs="Times New Roman"/>
          <w:b/>
          <w:sz w:val="28"/>
          <w:szCs w:val="28"/>
        </w:rPr>
      </w:pPr>
      <w:bookmarkStart w:id="23" w:name="_Toc17149_WPSOffice_Level1"/>
      <w:bookmarkStart w:id="24" w:name="_Toc6867_WPSOffice_Level1"/>
      <w:bookmarkStart w:id="25" w:name="_Toc24714_WPSOffice_Level1"/>
      <w:bookmarkStart w:id="26" w:name="_Toc31208_WPSOffice_Level1"/>
      <w:bookmarkStart w:id="27" w:name="_Toc12199_WPSOffice_Level1"/>
      <w:bookmarkStart w:id="28" w:name="_Toc29012_WPSOffice_Level1"/>
      <w:bookmarkStart w:id="29" w:name="_Toc56_WPSOffice_Level1"/>
      <w:bookmarkStart w:id="30" w:name="_Toc4880_WPSOffice_Level1"/>
      <w:r>
        <w:rPr>
          <w:rFonts w:hint="default" w:ascii="Times New Roman" w:hAnsi="Times New Roman" w:cs="Times New Roman"/>
          <w:b/>
          <w:sz w:val="28"/>
          <w:szCs w:val="28"/>
          <w:lang w:val="en-US"/>
        </w:rPr>
        <w:t>1</w:t>
      </w:r>
      <w:r>
        <w:rPr>
          <w:rFonts w:hint="default" w:ascii="Times New Roman" w:hAnsi="Times New Roman" w:cs="Times New Roman"/>
          <w:b/>
          <w:sz w:val="28"/>
          <w:szCs w:val="28"/>
        </w:rPr>
        <w:t>）站房</w:t>
      </w:r>
      <w:bookmarkEnd w:id="23"/>
      <w:bookmarkEnd w:id="24"/>
      <w:bookmarkEnd w:id="25"/>
      <w:bookmarkEnd w:id="26"/>
      <w:bookmarkEnd w:id="27"/>
      <w:bookmarkEnd w:id="28"/>
      <w:bookmarkEnd w:id="29"/>
      <w:bookmarkEnd w:id="30"/>
    </w:p>
    <w:p>
      <w:pPr>
        <w:spacing w:line="500" w:lineRule="exact"/>
        <w:ind w:firstLine="720"/>
        <w:rPr>
          <w:rFonts w:hint="default" w:ascii="Times New Roman" w:hAnsi="Times New Roman" w:cs="Times New Roman"/>
          <w:b/>
          <w:sz w:val="28"/>
          <w:szCs w:val="28"/>
        </w:rPr>
      </w:pPr>
      <w:r>
        <w:rPr>
          <w:rFonts w:hint="default" w:ascii="Times New Roman" w:hAnsi="Times New Roman" w:cs="Times New Roman"/>
          <w:sz w:val="28"/>
          <w:szCs w:val="28"/>
        </w:rPr>
        <w:t>用于加油加气站管理、经营和提供其他便利性服务的建筑物。</w:t>
      </w:r>
    </w:p>
    <w:p>
      <w:pPr>
        <w:spacing w:line="500" w:lineRule="exact"/>
        <w:ind w:firstLine="720"/>
        <w:rPr>
          <w:rFonts w:hint="default" w:ascii="Times New Roman" w:hAnsi="Times New Roman" w:cs="Times New Roman"/>
          <w:b/>
          <w:sz w:val="28"/>
          <w:szCs w:val="28"/>
        </w:rPr>
      </w:pPr>
      <w:bookmarkStart w:id="31" w:name="_Toc18845_WPSOffice_Level1"/>
      <w:bookmarkStart w:id="32" w:name="_Toc7820_WPSOffice_Level1"/>
      <w:bookmarkStart w:id="33" w:name="_Toc22214_WPSOffice_Level1"/>
      <w:bookmarkStart w:id="34" w:name="_Toc14304_WPSOffice_Level1"/>
      <w:bookmarkStart w:id="35" w:name="_Toc31604_WPSOffice_Level1"/>
      <w:bookmarkStart w:id="36" w:name="_Toc7036_WPSOffice_Level1"/>
      <w:bookmarkStart w:id="37" w:name="_Toc23356_WPSOffice_Level1"/>
      <w:bookmarkStart w:id="38" w:name="_Toc7105_WPSOffice_Level1"/>
      <w:r>
        <w:rPr>
          <w:rFonts w:hint="default" w:ascii="Times New Roman" w:hAnsi="Times New Roman" w:cs="Times New Roman"/>
          <w:b/>
          <w:spacing w:val="-2"/>
          <w:sz w:val="28"/>
          <w:szCs w:val="28"/>
          <w:lang w:val="en-US"/>
        </w:rPr>
        <w:t>2</w:t>
      </w:r>
      <w:r>
        <w:rPr>
          <w:rFonts w:hint="default" w:ascii="Times New Roman" w:hAnsi="Times New Roman" w:cs="Times New Roman"/>
          <w:b/>
          <w:spacing w:val="-2"/>
          <w:sz w:val="28"/>
          <w:szCs w:val="28"/>
        </w:rPr>
        <w:t>）加油加气作业区</w:t>
      </w:r>
      <w:bookmarkEnd w:id="31"/>
      <w:bookmarkEnd w:id="32"/>
      <w:bookmarkEnd w:id="33"/>
      <w:bookmarkEnd w:id="34"/>
      <w:bookmarkEnd w:id="35"/>
      <w:bookmarkEnd w:id="36"/>
      <w:bookmarkEnd w:id="37"/>
      <w:bookmarkEnd w:id="38"/>
    </w:p>
    <w:p>
      <w:pPr>
        <w:spacing w:line="500" w:lineRule="exact"/>
        <w:ind w:firstLine="720"/>
        <w:rPr>
          <w:rFonts w:hint="default" w:ascii="Times New Roman" w:hAnsi="Times New Roman" w:cs="Times New Roman"/>
          <w:sz w:val="28"/>
          <w:szCs w:val="28"/>
        </w:rPr>
      </w:pPr>
      <w:r>
        <w:rPr>
          <w:rFonts w:hint="default" w:ascii="Times New Roman" w:hAnsi="Times New Roman" w:cs="Times New Roman"/>
          <w:spacing w:val="-4"/>
          <w:sz w:val="28"/>
          <w:szCs w:val="28"/>
        </w:rPr>
        <w:t>加油加气站内布置油</w:t>
      </w:r>
      <w:r>
        <w:rPr>
          <w:rFonts w:hint="default" w:ascii="Times New Roman" w:hAnsi="Times New Roman" w:cs="Times New Roman"/>
          <w:sz w:val="28"/>
          <w:szCs w:val="28"/>
        </w:rPr>
        <w:t>（</w:t>
      </w:r>
      <w:r>
        <w:rPr>
          <w:rFonts w:hint="default" w:ascii="Times New Roman" w:hAnsi="Times New Roman" w:cs="Times New Roman"/>
          <w:spacing w:val="-3"/>
          <w:sz w:val="28"/>
          <w:szCs w:val="28"/>
        </w:rPr>
        <w:t>气</w:t>
      </w:r>
      <w:r>
        <w:rPr>
          <w:rFonts w:hint="default" w:ascii="Times New Roman" w:hAnsi="Times New Roman" w:cs="Times New Roman"/>
          <w:spacing w:val="-8"/>
          <w:sz w:val="28"/>
          <w:szCs w:val="28"/>
        </w:rPr>
        <w:t>）</w:t>
      </w:r>
      <w:r>
        <w:rPr>
          <w:rFonts w:hint="default" w:ascii="Times New Roman" w:hAnsi="Times New Roman" w:cs="Times New Roman"/>
          <w:spacing w:val="-5"/>
          <w:sz w:val="28"/>
          <w:szCs w:val="28"/>
        </w:rPr>
        <w:t>卸车设施、储油</w:t>
      </w:r>
      <w:r>
        <w:rPr>
          <w:rFonts w:hint="default" w:ascii="Times New Roman" w:hAnsi="Times New Roman" w:cs="Times New Roman"/>
          <w:sz w:val="28"/>
          <w:szCs w:val="28"/>
        </w:rPr>
        <w:t>（</w:t>
      </w:r>
      <w:r>
        <w:rPr>
          <w:rFonts w:hint="default" w:ascii="Times New Roman" w:hAnsi="Times New Roman" w:cs="Times New Roman"/>
          <w:spacing w:val="-2"/>
          <w:sz w:val="28"/>
          <w:szCs w:val="28"/>
        </w:rPr>
        <w:t>储气</w:t>
      </w:r>
      <w:r>
        <w:rPr>
          <w:rFonts w:hint="default" w:ascii="Times New Roman" w:hAnsi="Times New Roman" w:cs="Times New Roman"/>
          <w:spacing w:val="-10"/>
          <w:sz w:val="28"/>
          <w:szCs w:val="28"/>
        </w:rPr>
        <w:t>）</w:t>
      </w:r>
      <w:r>
        <w:rPr>
          <w:rFonts w:hint="default" w:ascii="Times New Roman" w:hAnsi="Times New Roman" w:cs="Times New Roman"/>
          <w:spacing w:val="-5"/>
          <w:sz w:val="28"/>
          <w:szCs w:val="28"/>
        </w:rPr>
        <w:t>设施、加油机、加</w:t>
      </w:r>
      <w:r>
        <w:rPr>
          <w:rFonts w:hint="default" w:ascii="Times New Roman" w:hAnsi="Times New Roman" w:cs="Times New Roman"/>
          <w:spacing w:val="-8"/>
          <w:sz w:val="28"/>
          <w:szCs w:val="28"/>
        </w:rPr>
        <w:t>气、加</w:t>
      </w:r>
      <w:r>
        <w:rPr>
          <w:rFonts w:hint="default" w:ascii="Times New Roman" w:hAnsi="Times New Roman" w:cs="Times New Roman"/>
          <w:spacing w:val="-3"/>
          <w:sz w:val="28"/>
          <w:szCs w:val="28"/>
        </w:rPr>
        <w:t>（</w:t>
      </w:r>
      <w:r>
        <w:rPr>
          <w:rFonts w:hint="default" w:ascii="Times New Roman" w:hAnsi="Times New Roman" w:cs="Times New Roman"/>
          <w:sz w:val="28"/>
          <w:szCs w:val="28"/>
        </w:rPr>
        <w:t>卸</w:t>
      </w:r>
      <w:r>
        <w:rPr>
          <w:rFonts w:hint="default" w:ascii="Times New Roman" w:hAnsi="Times New Roman" w:cs="Times New Roman"/>
          <w:spacing w:val="-8"/>
          <w:sz w:val="28"/>
          <w:szCs w:val="28"/>
        </w:rPr>
        <w:t>）</w:t>
      </w:r>
      <w:r>
        <w:rPr>
          <w:rFonts w:hint="default" w:ascii="Times New Roman" w:hAnsi="Times New Roman" w:cs="Times New Roman"/>
          <w:spacing w:val="-4"/>
          <w:sz w:val="28"/>
          <w:szCs w:val="28"/>
        </w:rPr>
        <w:t>气柱、通气管</w:t>
      </w:r>
      <w:r>
        <w:rPr>
          <w:rFonts w:hint="default" w:ascii="Times New Roman" w:hAnsi="Times New Roman" w:cs="Times New Roman"/>
          <w:sz w:val="28"/>
          <w:szCs w:val="28"/>
        </w:rPr>
        <w:t>（</w:t>
      </w:r>
      <w:r>
        <w:rPr>
          <w:rFonts w:hint="default" w:ascii="Times New Roman" w:hAnsi="Times New Roman" w:cs="Times New Roman"/>
          <w:spacing w:val="-2"/>
          <w:sz w:val="28"/>
          <w:szCs w:val="28"/>
        </w:rPr>
        <w:t>放散管</w:t>
      </w:r>
      <w:r>
        <w:rPr>
          <w:rFonts w:hint="default" w:ascii="Times New Roman" w:hAnsi="Times New Roman" w:cs="Times New Roman"/>
          <w:spacing w:val="-8"/>
          <w:sz w:val="28"/>
          <w:szCs w:val="28"/>
        </w:rPr>
        <w:t>）</w:t>
      </w:r>
      <w:r>
        <w:rPr>
          <w:rFonts w:hint="default" w:ascii="Times New Roman" w:hAnsi="Times New Roman" w:cs="Times New Roman"/>
          <w:spacing w:val="-4"/>
          <w:sz w:val="28"/>
          <w:szCs w:val="28"/>
        </w:rPr>
        <w:t>、停车位、车载</w:t>
      </w:r>
      <w:r>
        <w:rPr>
          <w:rFonts w:hint="default" w:ascii="Times New Roman" w:hAnsi="Times New Roman" w:cs="Times New Roman"/>
          <w:spacing w:val="-7"/>
          <w:sz w:val="28"/>
          <w:szCs w:val="28"/>
        </w:rPr>
        <w:t>储气瓶组拖车停车位、</w:t>
      </w:r>
      <w:r>
        <w:rPr>
          <w:rFonts w:hint="default" w:ascii="Times New Roman" w:hAnsi="Times New Roman" w:cs="Times New Roman"/>
          <w:spacing w:val="-10"/>
          <w:sz w:val="28"/>
          <w:szCs w:val="28"/>
        </w:rPr>
        <w:t>LPG（LNG）</w:t>
      </w:r>
      <w:r>
        <w:rPr>
          <w:rFonts w:hint="default" w:ascii="Times New Roman" w:hAnsi="Times New Roman" w:cs="Times New Roman"/>
          <w:spacing w:val="-16"/>
          <w:sz w:val="28"/>
          <w:szCs w:val="28"/>
        </w:rPr>
        <w:t>泵、</w:t>
      </w:r>
      <w:r>
        <w:rPr>
          <w:rFonts w:hint="default" w:ascii="Times New Roman" w:hAnsi="Times New Roman" w:cs="Times New Roman"/>
          <w:spacing w:val="-9"/>
          <w:sz w:val="28"/>
          <w:szCs w:val="28"/>
        </w:rPr>
        <w:t>CNG（LPG）</w:t>
      </w:r>
      <w:r>
        <w:rPr>
          <w:rFonts w:hint="default" w:ascii="Times New Roman" w:hAnsi="Times New Roman" w:cs="Times New Roman"/>
          <w:spacing w:val="-2"/>
          <w:sz w:val="28"/>
          <w:szCs w:val="28"/>
        </w:rPr>
        <w:t>压缩机等设备的区域。</w:t>
      </w:r>
      <w:r>
        <w:rPr>
          <w:rFonts w:hint="default" w:ascii="Times New Roman" w:hAnsi="Times New Roman" w:cs="Times New Roman"/>
          <w:spacing w:val="-3"/>
          <w:sz w:val="28"/>
          <w:szCs w:val="28"/>
        </w:rPr>
        <w:t>该区域的边界线为设备爆炸危险区域边界线加</w:t>
      </w:r>
      <w:r>
        <w:rPr>
          <w:rFonts w:hint="default" w:ascii="Times New Roman" w:hAnsi="Times New Roman" w:cs="Times New Roman"/>
          <w:sz w:val="28"/>
          <w:szCs w:val="28"/>
        </w:rPr>
        <w:t>3m</w:t>
      </w:r>
      <w:r>
        <w:rPr>
          <w:rFonts w:hint="default" w:ascii="Times New Roman" w:hAnsi="Times New Roman" w:cs="Times New Roman"/>
          <w:spacing w:val="-2"/>
          <w:sz w:val="28"/>
          <w:szCs w:val="28"/>
        </w:rPr>
        <w:t>，对柴油设备为设备外缘</w:t>
      </w:r>
      <w:r>
        <w:rPr>
          <w:rFonts w:hint="default" w:ascii="Times New Roman" w:hAnsi="Times New Roman" w:cs="Times New Roman"/>
          <w:spacing w:val="-37"/>
          <w:sz w:val="28"/>
          <w:szCs w:val="28"/>
        </w:rPr>
        <w:t xml:space="preserve">加 </w:t>
      </w:r>
      <w:r>
        <w:rPr>
          <w:rFonts w:hint="default" w:ascii="Times New Roman" w:hAnsi="Times New Roman" w:cs="Times New Roman"/>
          <w:sz w:val="28"/>
          <w:szCs w:val="28"/>
        </w:rPr>
        <w:t>3m。</w:t>
      </w:r>
    </w:p>
    <w:p>
      <w:pPr>
        <w:spacing w:line="500" w:lineRule="exact"/>
        <w:ind w:firstLine="720"/>
        <w:rPr>
          <w:rFonts w:hint="default" w:ascii="Times New Roman" w:hAnsi="Times New Roman" w:cs="Times New Roman"/>
          <w:b/>
          <w:sz w:val="28"/>
          <w:szCs w:val="28"/>
        </w:rPr>
      </w:pPr>
      <w:bookmarkStart w:id="39" w:name="_Toc3178_WPSOffice_Level1"/>
      <w:bookmarkStart w:id="40" w:name="_Toc1323_WPSOffice_Level1"/>
      <w:bookmarkStart w:id="41" w:name="_Toc21012_WPSOffice_Level1"/>
      <w:bookmarkStart w:id="42" w:name="_Toc26161_WPSOffice_Level1"/>
      <w:bookmarkStart w:id="43" w:name="_Toc13338_WPSOffice_Level1"/>
      <w:bookmarkStart w:id="44" w:name="_Toc28537_WPSOffice_Level1"/>
      <w:bookmarkStart w:id="45" w:name="_Toc8858_WPSOffice_Level1"/>
      <w:bookmarkStart w:id="46" w:name="_Toc13636_WPSOffice_Level1"/>
      <w:r>
        <w:rPr>
          <w:rFonts w:hint="default" w:ascii="Times New Roman" w:hAnsi="Times New Roman" w:cs="Times New Roman"/>
          <w:b/>
          <w:spacing w:val="-1"/>
          <w:sz w:val="28"/>
          <w:szCs w:val="28"/>
          <w:lang w:val="en-US"/>
        </w:rPr>
        <w:t>3</w:t>
      </w:r>
      <w:r>
        <w:rPr>
          <w:rFonts w:hint="default" w:ascii="Times New Roman" w:hAnsi="Times New Roman" w:cs="Times New Roman"/>
          <w:b/>
          <w:spacing w:val="-1"/>
          <w:sz w:val="28"/>
          <w:szCs w:val="28"/>
        </w:rPr>
        <w:t>）辅助服务区</w:t>
      </w:r>
      <w:bookmarkEnd w:id="39"/>
      <w:bookmarkEnd w:id="40"/>
      <w:bookmarkEnd w:id="41"/>
      <w:bookmarkEnd w:id="42"/>
      <w:bookmarkEnd w:id="43"/>
      <w:bookmarkEnd w:id="44"/>
      <w:bookmarkEnd w:id="45"/>
      <w:bookmarkEnd w:id="46"/>
    </w:p>
    <w:p>
      <w:pPr>
        <w:spacing w:line="500" w:lineRule="exact"/>
        <w:ind w:firstLine="720"/>
        <w:rPr>
          <w:rFonts w:hint="default" w:ascii="Times New Roman" w:hAnsi="Times New Roman" w:cs="Times New Roman"/>
          <w:sz w:val="28"/>
          <w:szCs w:val="28"/>
        </w:rPr>
      </w:pPr>
      <w:r>
        <w:rPr>
          <w:rFonts w:hint="default" w:ascii="Times New Roman" w:hAnsi="Times New Roman" w:cs="Times New Roman"/>
          <w:sz w:val="28"/>
          <w:szCs w:val="28"/>
        </w:rPr>
        <w:t>加油加气站用地红线范围内加油加气作业区以外的区域。</w:t>
      </w:r>
    </w:p>
    <w:p>
      <w:pPr>
        <w:spacing w:line="500" w:lineRule="exact"/>
        <w:ind w:firstLine="720"/>
        <w:rPr>
          <w:rFonts w:hint="default" w:ascii="Times New Roman" w:hAnsi="Times New Roman" w:cs="Times New Roman"/>
          <w:b/>
          <w:sz w:val="28"/>
          <w:szCs w:val="28"/>
        </w:rPr>
      </w:pPr>
      <w:bookmarkStart w:id="47" w:name="_Toc25434_WPSOffice_Level1"/>
      <w:bookmarkStart w:id="48" w:name="_Toc13771_WPSOffice_Level1"/>
      <w:bookmarkStart w:id="49" w:name="_Toc18379_WPSOffice_Level1"/>
      <w:bookmarkStart w:id="50" w:name="_Toc24844_WPSOffice_Level1"/>
      <w:bookmarkStart w:id="51" w:name="_Toc25964_WPSOffice_Level1"/>
      <w:bookmarkStart w:id="52" w:name="_Toc1346_WPSOffice_Level1"/>
      <w:bookmarkStart w:id="53" w:name="_Toc32072_WPSOffice_Level1"/>
      <w:bookmarkStart w:id="54" w:name="_Toc26324_WPSOffice_Level1"/>
      <w:r>
        <w:rPr>
          <w:rFonts w:hint="default" w:ascii="Times New Roman" w:hAnsi="Times New Roman" w:cs="Times New Roman"/>
          <w:b/>
          <w:spacing w:val="-1"/>
          <w:sz w:val="28"/>
          <w:szCs w:val="28"/>
          <w:lang w:val="en-US"/>
        </w:rPr>
        <w:t>4</w:t>
      </w:r>
      <w:r>
        <w:rPr>
          <w:rFonts w:hint="default" w:ascii="Times New Roman" w:hAnsi="Times New Roman" w:cs="Times New Roman"/>
          <w:b/>
          <w:spacing w:val="-1"/>
          <w:sz w:val="28"/>
          <w:szCs w:val="28"/>
        </w:rPr>
        <w:t>）管道组成件</w:t>
      </w:r>
      <w:bookmarkEnd w:id="47"/>
      <w:bookmarkEnd w:id="48"/>
      <w:bookmarkEnd w:id="49"/>
      <w:bookmarkEnd w:id="50"/>
      <w:bookmarkEnd w:id="51"/>
      <w:bookmarkEnd w:id="52"/>
      <w:bookmarkEnd w:id="53"/>
      <w:bookmarkEnd w:id="54"/>
    </w:p>
    <w:p>
      <w:pPr>
        <w:spacing w:line="500" w:lineRule="exact"/>
        <w:ind w:firstLine="720"/>
        <w:rPr>
          <w:rFonts w:hint="default" w:ascii="Times New Roman" w:hAnsi="Times New Roman" w:cs="Times New Roman"/>
          <w:sz w:val="28"/>
          <w:szCs w:val="28"/>
        </w:rPr>
      </w:pPr>
      <w:r>
        <w:rPr>
          <w:rFonts w:hint="default" w:ascii="Times New Roman" w:hAnsi="Times New Roman" w:cs="Times New Roman"/>
          <w:sz w:val="28"/>
          <w:szCs w:val="28"/>
        </w:rPr>
        <w:t>用于连接或装配管道的元件（包括管子、管件、阀门、法兰、垫片、紧固件、接头、耐压软管、过滤器、阻火器等）。</w:t>
      </w:r>
    </w:p>
    <w:p>
      <w:pPr>
        <w:spacing w:line="500" w:lineRule="exact"/>
        <w:ind w:firstLine="720"/>
        <w:rPr>
          <w:rFonts w:hint="default" w:ascii="Times New Roman" w:hAnsi="Times New Roman" w:cs="Times New Roman"/>
          <w:b/>
          <w:sz w:val="28"/>
          <w:szCs w:val="28"/>
        </w:rPr>
      </w:pPr>
      <w:bookmarkStart w:id="55" w:name="_Toc3801_WPSOffice_Level1"/>
      <w:bookmarkStart w:id="56" w:name="_Toc11108_WPSOffice_Level1"/>
      <w:bookmarkStart w:id="57" w:name="_Toc29777_WPSOffice_Level1"/>
      <w:bookmarkStart w:id="58" w:name="_Toc5824_WPSOffice_Level1"/>
      <w:bookmarkStart w:id="59" w:name="_Toc13651_WPSOffice_Level1"/>
      <w:bookmarkStart w:id="60" w:name="_Toc3662_WPSOffice_Level1"/>
      <w:bookmarkStart w:id="61" w:name="_Toc28833_WPSOffice_Level1"/>
      <w:bookmarkStart w:id="62" w:name="_Toc4884_WPSOffice_Level1"/>
      <w:r>
        <w:rPr>
          <w:rFonts w:hint="default" w:ascii="Times New Roman" w:hAnsi="Times New Roman" w:cs="Times New Roman"/>
          <w:b/>
          <w:sz w:val="28"/>
          <w:szCs w:val="28"/>
          <w:lang w:val="en-US"/>
        </w:rPr>
        <w:t>5</w:t>
      </w:r>
      <w:r>
        <w:rPr>
          <w:rFonts w:hint="default" w:ascii="Times New Roman" w:hAnsi="Times New Roman" w:cs="Times New Roman"/>
          <w:b/>
          <w:sz w:val="28"/>
          <w:szCs w:val="28"/>
        </w:rPr>
        <w:t>）埋地油罐</w:t>
      </w:r>
      <w:bookmarkEnd w:id="55"/>
      <w:bookmarkEnd w:id="56"/>
      <w:bookmarkEnd w:id="57"/>
      <w:bookmarkEnd w:id="58"/>
      <w:bookmarkEnd w:id="59"/>
      <w:bookmarkEnd w:id="60"/>
      <w:bookmarkEnd w:id="61"/>
      <w:bookmarkEnd w:id="62"/>
    </w:p>
    <w:p>
      <w:pPr>
        <w:spacing w:line="500" w:lineRule="exact"/>
        <w:ind w:firstLine="720"/>
        <w:rPr>
          <w:rFonts w:hint="default" w:ascii="Times New Roman" w:hAnsi="Times New Roman" w:cs="Times New Roman"/>
          <w:sz w:val="28"/>
          <w:szCs w:val="28"/>
        </w:rPr>
      </w:pPr>
      <w:r>
        <w:rPr>
          <w:rFonts w:hint="default" w:ascii="Times New Roman" w:hAnsi="Times New Roman" w:cs="Times New Roman"/>
          <w:sz w:val="28"/>
          <w:szCs w:val="28"/>
        </w:rPr>
        <w:t>罐顶低于周围 4m 范围内的地面，并采用直接覆土或罐池充沙方式埋设在地下的卧式油品储罐。</w:t>
      </w:r>
    </w:p>
    <w:p>
      <w:pPr>
        <w:spacing w:line="500" w:lineRule="exact"/>
        <w:ind w:firstLine="720"/>
        <w:rPr>
          <w:rFonts w:hint="default" w:ascii="Times New Roman" w:hAnsi="Times New Roman" w:cs="Times New Roman"/>
          <w:b/>
          <w:sz w:val="28"/>
          <w:szCs w:val="28"/>
        </w:rPr>
      </w:pPr>
      <w:bookmarkStart w:id="63" w:name="_Toc7491_WPSOffice_Level1"/>
      <w:bookmarkStart w:id="64" w:name="_Toc10359_WPSOffice_Level1"/>
      <w:bookmarkStart w:id="65" w:name="_Toc7142_WPSOffice_Level1"/>
      <w:bookmarkStart w:id="66" w:name="_Toc32626_WPSOffice_Level1"/>
      <w:bookmarkStart w:id="67" w:name="_Toc29598_WPSOffice_Level1"/>
      <w:bookmarkStart w:id="68" w:name="_Toc19315_WPSOffice_Level1"/>
      <w:bookmarkStart w:id="69" w:name="_Toc1482_WPSOffice_Level1"/>
      <w:bookmarkStart w:id="70" w:name="_Toc18166_WPSOffice_Level1"/>
      <w:r>
        <w:rPr>
          <w:rFonts w:hint="default" w:ascii="Times New Roman" w:hAnsi="Times New Roman" w:cs="Times New Roman"/>
          <w:b/>
          <w:sz w:val="28"/>
          <w:szCs w:val="28"/>
          <w:lang w:val="en-US"/>
        </w:rPr>
        <w:t>6)</w:t>
      </w:r>
      <w:r>
        <w:rPr>
          <w:rFonts w:hint="default" w:ascii="Times New Roman" w:hAnsi="Times New Roman" w:cs="Times New Roman"/>
          <w:b/>
          <w:sz w:val="28"/>
          <w:szCs w:val="28"/>
        </w:rPr>
        <w:t>加油岛</w:t>
      </w:r>
      <w:bookmarkEnd w:id="63"/>
      <w:bookmarkEnd w:id="64"/>
      <w:bookmarkEnd w:id="65"/>
      <w:bookmarkEnd w:id="66"/>
      <w:bookmarkEnd w:id="67"/>
      <w:bookmarkEnd w:id="68"/>
      <w:bookmarkEnd w:id="69"/>
      <w:bookmarkEnd w:id="70"/>
    </w:p>
    <w:p>
      <w:pPr>
        <w:spacing w:line="500" w:lineRule="exact"/>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用于安装加油机的平台。</w:t>
      </w:r>
    </w:p>
    <w:p>
      <w:pPr>
        <w:spacing w:line="500" w:lineRule="exact"/>
        <w:ind w:firstLine="720"/>
        <w:rPr>
          <w:rFonts w:hint="default" w:ascii="Times New Roman" w:hAnsi="Times New Roman" w:cs="Times New Roman"/>
          <w:b/>
          <w:sz w:val="28"/>
          <w:szCs w:val="28"/>
        </w:rPr>
      </w:pPr>
      <w:bookmarkStart w:id="71" w:name="_Toc18434_WPSOffice_Level1"/>
      <w:bookmarkStart w:id="72" w:name="_Toc5379_WPSOffice_Level1"/>
      <w:bookmarkStart w:id="73" w:name="_Toc22495_WPSOffice_Level1"/>
      <w:bookmarkStart w:id="74" w:name="_Toc13375_WPSOffice_Level1"/>
      <w:bookmarkStart w:id="75" w:name="_Toc12676_WPSOffice_Level1"/>
      <w:bookmarkStart w:id="76" w:name="_Toc13105_WPSOffice_Level1"/>
      <w:bookmarkStart w:id="77" w:name="_Toc9399_WPSOffice_Level1"/>
      <w:bookmarkStart w:id="78" w:name="_Toc4549_WPSOffice_Level1"/>
      <w:r>
        <w:rPr>
          <w:rFonts w:hint="default" w:ascii="Times New Roman" w:hAnsi="Times New Roman" w:cs="Times New Roman"/>
          <w:b/>
          <w:spacing w:val="-2"/>
          <w:sz w:val="28"/>
          <w:szCs w:val="28"/>
          <w:lang w:val="en-US"/>
        </w:rPr>
        <w:t>7)</w:t>
      </w:r>
      <w:r>
        <w:rPr>
          <w:rFonts w:hint="default" w:ascii="Times New Roman" w:hAnsi="Times New Roman" w:cs="Times New Roman"/>
          <w:b/>
          <w:spacing w:val="-2"/>
          <w:sz w:val="28"/>
          <w:szCs w:val="28"/>
        </w:rPr>
        <w:t>卸油油气回收系统</w:t>
      </w:r>
      <w:bookmarkEnd w:id="71"/>
      <w:bookmarkEnd w:id="72"/>
      <w:bookmarkEnd w:id="73"/>
      <w:bookmarkEnd w:id="74"/>
      <w:bookmarkEnd w:id="75"/>
      <w:bookmarkEnd w:id="76"/>
      <w:bookmarkEnd w:id="77"/>
      <w:bookmarkEnd w:id="78"/>
    </w:p>
    <w:p>
      <w:pPr>
        <w:spacing w:line="500" w:lineRule="exact"/>
        <w:ind w:firstLine="720"/>
        <w:rPr>
          <w:rFonts w:hint="default" w:ascii="Times New Roman" w:hAnsi="Times New Roman" w:cs="Times New Roman"/>
          <w:sz w:val="28"/>
          <w:szCs w:val="28"/>
        </w:rPr>
      </w:pPr>
      <w:r>
        <w:rPr>
          <w:rFonts w:hint="default" w:ascii="Times New Roman" w:hAnsi="Times New Roman" w:cs="Times New Roman"/>
          <w:sz w:val="28"/>
          <w:szCs w:val="28"/>
        </w:rPr>
        <w:t>将油罐车向汽油罐卸油时产生的油气密闭回收至油罐车内的系统。</w:t>
      </w:r>
    </w:p>
    <w:p>
      <w:pPr>
        <w:spacing w:line="500" w:lineRule="exact"/>
        <w:ind w:firstLine="720"/>
        <w:rPr>
          <w:rFonts w:hint="default" w:ascii="Times New Roman" w:hAnsi="Times New Roman" w:cs="Times New Roman"/>
          <w:b/>
          <w:sz w:val="28"/>
          <w:szCs w:val="28"/>
        </w:rPr>
      </w:pPr>
      <w:bookmarkStart w:id="79" w:name="_Toc15718_WPSOffice_Level1"/>
      <w:bookmarkStart w:id="80" w:name="_Toc9345_WPSOffice_Level1"/>
      <w:bookmarkStart w:id="81" w:name="_Toc24431_WPSOffice_Level1"/>
      <w:bookmarkStart w:id="82" w:name="_Toc18172_WPSOffice_Level1"/>
      <w:bookmarkStart w:id="83" w:name="_Toc14824_WPSOffice_Level1"/>
      <w:bookmarkStart w:id="84" w:name="_Toc29789_WPSOffice_Level1"/>
      <w:bookmarkStart w:id="85" w:name="_Toc2786_WPSOffice_Level1"/>
      <w:bookmarkStart w:id="86" w:name="_Toc14515_WPSOffice_Level1"/>
      <w:r>
        <w:rPr>
          <w:rFonts w:hint="default" w:ascii="Times New Roman" w:hAnsi="Times New Roman" w:cs="Times New Roman"/>
          <w:b/>
          <w:spacing w:val="-2"/>
          <w:sz w:val="28"/>
          <w:szCs w:val="28"/>
          <w:lang w:val="en-US"/>
        </w:rPr>
        <w:t>8)</w:t>
      </w:r>
      <w:r>
        <w:rPr>
          <w:rFonts w:hint="default" w:ascii="Times New Roman" w:hAnsi="Times New Roman" w:cs="Times New Roman"/>
          <w:b/>
          <w:spacing w:val="-2"/>
          <w:sz w:val="28"/>
          <w:szCs w:val="28"/>
        </w:rPr>
        <w:t>加油油气回收系统</w:t>
      </w:r>
      <w:bookmarkEnd w:id="79"/>
      <w:bookmarkEnd w:id="80"/>
      <w:bookmarkEnd w:id="81"/>
      <w:bookmarkEnd w:id="82"/>
      <w:bookmarkEnd w:id="83"/>
      <w:bookmarkEnd w:id="84"/>
      <w:bookmarkEnd w:id="85"/>
      <w:bookmarkEnd w:id="86"/>
    </w:p>
    <w:p>
      <w:pPr>
        <w:spacing w:line="500" w:lineRule="exact"/>
        <w:ind w:firstLine="720"/>
        <w:rPr>
          <w:rFonts w:hint="default" w:ascii="Times New Roman" w:hAnsi="Times New Roman" w:cs="Times New Roman"/>
          <w:sz w:val="28"/>
          <w:szCs w:val="28"/>
        </w:rPr>
      </w:pPr>
      <w:r>
        <w:rPr>
          <w:rFonts w:hint="default" w:ascii="Times New Roman" w:hAnsi="Times New Roman" w:cs="Times New Roman"/>
          <w:sz w:val="28"/>
          <w:szCs w:val="28"/>
        </w:rPr>
        <w:t>将给汽油车辆加油时产生的油气密闭回收至埋地汽油罐的系统。</w:t>
      </w:r>
    </w:p>
    <w:p>
      <w:pPr>
        <w:spacing w:line="500" w:lineRule="exact"/>
        <w:ind w:firstLine="720"/>
        <w:rPr>
          <w:rFonts w:hint="default" w:ascii="Times New Roman" w:hAnsi="Times New Roman" w:cs="Times New Roman"/>
          <w:b/>
          <w:bCs/>
          <w:sz w:val="28"/>
          <w:szCs w:val="28"/>
          <w:lang w:val="en-US"/>
        </w:rPr>
      </w:pPr>
      <w:bookmarkStart w:id="87" w:name="_Toc9446_WPSOffice_Level1"/>
      <w:bookmarkStart w:id="88" w:name="_Toc2387_WPSOffice_Level1"/>
      <w:bookmarkStart w:id="89" w:name="_Toc80_WPSOffice_Level1"/>
      <w:bookmarkStart w:id="90" w:name="_Toc5521_WPSOffice_Level1"/>
      <w:bookmarkStart w:id="91" w:name="_Toc2071_WPSOffice_Level1"/>
      <w:bookmarkStart w:id="92" w:name="_Toc9592_WPSOffice_Level1"/>
      <w:bookmarkStart w:id="93" w:name="_Toc29733_WPSOffice_Level1"/>
      <w:bookmarkStart w:id="94" w:name="_Toc20506_WPSOffice_Level1"/>
      <w:r>
        <w:rPr>
          <w:rFonts w:hint="default" w:ascii="Times New Roman" w:hAnsi="Times New Roman" w:cs="Times New Roman"/>
          <w:b/>
          <w:bCs/>
          <w:sz w:val="28"/>
          <w:szCs w:val="28"/>
          <w:lang w:val="en-US"/>
        </w:rPr>
        <w:t>9)安全拉断阀</w:t>
      </w:r>
      <w:bookmarkEnd w:id="87"/>
      <w:bookmarkEnd w:id="88"/>
      <w:bookmarkEnd w:id="89"/>
      <w:bookmarkEnd w:id="90"/>
      <w:bookmarkEnd w:id="91"/>
      <w:bookmarkEnd w:id="92"/>
      <w:bookmarkEnd w:id="93"/>
      <w:bookmarkEnd w:id="94"/>
    </w:p>
    <w:p>
      <w:pPr>
        <w:spacing w:line="500" w:lineRule="exact"/>
        <w:ind w:firstLine="720"/>
        <w:rPr>
          <w:rFonts w:hint="default" w:ascii="Times New Roman" w:hAnsi="Times New Roman" w:cs="Times New Roman"/>
          <w:sz w:val="28"/>
          <w:szCs w:val="28"/>
          <w:shd w:val="clear" w:color="auto" w:fill="FFFFFF"/>
        </w:rPr>
      </w:pPr>
      <w:r>
        <w:rPr>
          <w:rFonts w:hint="default" w:ascii="Times New Roman" w:hAnsi="Times New Roman" w:cs="Times New Roman"/>
          <w:sz w:val="28"/>
          <w:szCs w:val="28"/>
          <w:shd w:val="clear" w:color="auto" w:fill="FFFFFF"/>
        </w:rPr>
        <w:t>在一定外力作用下自动断开，断开后的两节均具有自密封功能的装置。该装置安装在加油机或加气机、加(卸)气柱的软管上，是防止软管被拉断而发生泄漏事故的专用保护装置。</w:t>
      </w:r>
    </w:p>
    <w:p>
      <w:pPr>
        <w:spacing w:line="500" w:lineRule="exact"/>
        <w:ind w:firstLine="720"/>
        <w:rPr>
          <w:rFonts w:hint="default" w:ascii="Times New Roman" w:hAnsi="Times New Roman" w:cs="Times New Roman"/>
          <w:b/>
          <w:bCs/>
          <w:sz w:val="28"/>
          <w:szCs w:val="28"/>
          <w:shd w:val="clear" w:color="auto" w:fill="FFFFFF"/>
          <w:lang w:val="en-US"/>
        </w:rPr>
      </w:pPr>
      <w:bookmarkStart w:id="95" w:name="_Toc13303_WPSOffice_Level1"/>
      <w:bookmarkStart w:id="96" w:name="_Toc23417_WPSOffice_Level1"/>
      <w:bookmarkStart w:id="97" w:name="_Toc22906_WPSOffice_Level1"/>
      <w:bookmarkStart w:id="98" w:name="_Toc7457_WPSOffice_Level1"/>
      <w:bookmarkStart w:id="99" w:name="_Toc11517_WPSOffice_Level1"/>
      <w:bookmarkStart w:id="100" w:name="_Toc28606_WPSOffice_Level1"/>
      <w:bookmarkStart w:id="101" w:name="_Toc29629_WPSOffice_Level1"/>
      <w:bookmarkStart w:id="102" w:name="_Toc7971_WPSOffice_Level1"/>
      <w:r>
        <w:rPr>
          <w:rFonts w:hint="default" w:ascii="Times New Roman" w:hAnsi="Times New Roman" w:cs="Times New Roman"/>
          <w:b/>
          <w:bCs/>
          <w:sz w:val="28"/>
          <w:szCs w:val="28"/>
          <w:shd w:val="clear" w:color="auto" w:fill="FFFFFF"/>
          <w:lang w:val="en-US"/>
        </w:rPr>
        <w:t>10</w:t>
      </w:r>
      <w:r>
        <w:rPr>
          <w:rFonts w:hint="default" w:ascii="Times New Roman" w:hAnsi="Times New Roman" w:cs="Times New Roman"/>
          <w:b/>
          <w:bCs/>
          <w:sz w:val="28"/>
          <w:szCs w:val="28"/>
          <w:shd w:val="clear" w:color="auto" w:fill="FFFFFF"/>
        </w:rPr>
        <w:t>）</w:t>
      </w:r>
      <w:r>
        <w:rPr>
          <w:rFonts w:hint="default" w:ascii="Times New Roman" w:hAnsi="Times New Roman" w:cs="Times New Roman"/>
          <w:b/>
          <w:bCs/>
          <w:sz w:val="28"/>
          <w:szCs w:val="28"/>
          <w:shd w:val="clear" w:color="auto" w:fill="FFFFFF"/>
          <w:lang w:val="en-US"/>
        </w:rPr>
        <w:t>双层油罐</w:t>
      </w:r>
      <w:bookmarkEnd w:id="95"/>
      <w:bookmarkEnd w:id="96"/>
      <w:bookmarkEnd w:id="97"/>
      <w:bookmarkEnd w:id="98"/>
      <w:bookmarkEnd w:id="99"/>
      <w:bookmarkEnd w:id="100"/>
      <w:bookmarkEnd w:id="101"/>
      <w:bookmarkEnd w:id="102"/>
    </w:p>
    <w:p>
      <w:pPr>
        <w:spacing w:line="500" w:lineRule="exact"/>
        <w:ind w:firstLine="720"/>
        <w:rPr>
          <w:rFonts w:hint="default" w:ascii="Times New Roman" w:hAnsi="Times New Roman" w:cs="Times New Roman"/>
          <w:sz w:val="28"/>
          <w:szCs w:val="28"/>
          <w:shd w:val="clear" w:color="auto" w:fill="FFFFFF"/>
          <w:lang w:val="en-US"/>
        </w:rPr>
      </w:pPr>
      <w:r>
        <w:rPr>
          <w:rFonts w:hint="default" w:ascii="Times New Roman" w:hAnsi="Times New Roman" w:cs="Times New Roman"/>
          <w:sz w:val="28"/>
          <w:szCs w:val="28"/>
          <w:shd w:val="clear" w:color="auto" w:fill="FFFFFF"/>
          <w:lang w:val="en-US"/>
        </w:rPr>
        <w:t>双层油罐指</w:t>
      </w:r>
      <w:r>
        <w:rPr>
          <w:rFonts w:hint="default" w:ascii="Times New Roman" w:hAnsi="Times New Roman" w:cs="Times New Roman"/>
          <w:b/>
          <w:bCs/>
          <w:sz w:val="28"/>
          <w:szCs w:val="28"/>
          <w:shd w:val="clear" w:color="auto" w:fill="FFFFFF"/>
          <w:lang w:val="en-US"/>
        </w:rPr>
        <w:t>SS储油罐、SF储油罐、FF储油罐</w:t>
      </w:r>
      <w:r>
        <w:rPr>
          <w:rFonts w:hint="default" w:ascii="Times New Roman" w:hAnsi="Times New Roman" w:cs="Times New Roman"/>
          <w:sz w:val="28"/>
          <w:szCs w:val="28"/>
          <w:shd w:val="clear" w:color="auto" w:fill="FFFFFF"/>
          <w:lang w:val="en-US"/>
        </w:rPr>
        <w:t>三种。</w:t>
      </w:r>
    </w:p>
    <w:p>
      <w:pPr>
        <w:spacing w:line="500" w:lineRule="exact"/>
        <w:ind w:firstLine="720"/>
        <w:rPr>
          <w:rFonts w:hint="default" w:ascii="Times New Roman" w:hAnsi="Times New Roman" w:cs="Times New Roman"/>
          <w:sz w:val="28"/>
          <w:szCs w:val="28"/>
          <w:shd w:val="clear" w:color="auto" w:fill="FFFFFF"/>
          <w:lang w:val="en-US"/>
        </w:rPr>
      </w:pPr>
      <w:r>
        <w:rPr>
          <w:rFonts w:hint="default" w:ascii="Times New Roman" w:hAnsi="Times New Roman" w:cs="Times New Roman"/>
          <w:sz w:val="28"/>
          <w:szCs w:val="28"/>
          <w:shd w:val="clear" w:color="auto" w:fill="FFFFFF"/>
          <w:lang w:val="en-US"/>
        </w:rPr>
        <w:t>SS为双层钢罐。</w:t>
      </w:r>
    </w:p>
    <w:p>
      <w:pPr>
        <w:spacing w:line="500" w:lineRule="exact"/>
        <w:ind w:firstLine="720"/>
        <w:rPr>
          <w:rFonts w:hint="default" w:ascii="Times New Roman" w:hAnsi="Times New Roman" w:cs="Times New Roman"/>
          <w:sz w:val="28"/>
          <w:szCs w:val="28"/>
          <w:shd w:val="clear" w:color="auto" w:fill="FFFFFF"/>
          <w:lang w:val="en-US"/>
        </w:rPr>
      </w:pPr>
      <w:r>
        <w:rPr>
          <w:rFonts w:hint="default" w:ascii="Times New Roman" w:hAnsi="Times New Roman" w:cs="Times New Roman"/>
          <w:sz w:val="28"/>
          <w:szCs w:val="28"/>
          <w:shd w:val="clear" w:color="auto" w:fill="FFFFFF"/>
          <w:lang w:val="en-US"/>
        </w:rPr>
        <w:t>SF全名为钢制强化玻璃纤维制双层结构储油容器，是在单层钢制油罐外附加一层玻璃纤维增强塑料(即玻璃钢)防渗外套，从而构成的双层结构油罐。钢制内罐与FRP外罐之间具有贯通间隙空间。</w:t>
      </w:r>
    </w:p>
    <w:p>
      <w:pPr>
        <w:spacing w:line="500" w:lineRule="exact"/>
        <w:ind w:firstLine="720"/>
        <w:rPr>
          <w:rFonts w:hint="default" w:ascii="Times New Roman" w:hAnsi="Times New Roman" w:cs="Times New Roman"/>
          <w:sz w:val="28"/>
          <w:szCs w:val="28"/>
          <w:shd w:val="clear" w:color="auto" w:fill="FFFFFF"/>
          <w:lang w:val="en-US"/>
        </w:rPr>
      </w:pPr>
      <w:r>
        <w:rPr>
          <w:rFonts w:hint="default" w:ascii="Times New Roman" w:hAnsi="Times New Roman" w:cs="Times New Roman"/>
          <w:sz w:val="28"/>
          <w:szCs w:val="28"/>
          <w:shd w:val="clear" w:color="auto" w:fill="FFFFFF"/>
          <w:lang w:val="en-US"/>
        </w:rPr>
        <w:t>FF全名为玻璃纤维增强塑料双层油罐，内外两层皆为玻璃纤维增强塑料制造而成，中间具有贯通间隙空间。</w:t>
      </w:r>
    </w:p>
    <w:p>
      <w:pPr>
        <w:spacing w:line="500" w:lineRule="exact"/>
        <w:ind w:firstLine="720"/>
        <w:rPr>
          <w:rFonts w:hint="default" w:ascii="Times New Roman" w:hAnsi="Times New Roman" w:cs="Times New Roman"/>
          <w:sz w:val="28"/>
          <w:szCs w:val="28"/>
          <w:shd w:val="clear" w:color="auto" w:fill="FFFFFF"/>
          <w:lang w:val="en-US"/>
        </w:rPr>
      </w:pPr>
      <w:r>
        <w:rPr>
          <w:rFonts w:hint="default" w:ascii="Times New Roman" w:hAnsi="Times New Roman" w:cs="Times New Roman"/>
          <w:sz w:val="28"/>
          <w:szCs w:val="28"/>
          <w:shd w:val="clear" w:color="auto" w:fill="FFFFFF"/>
          <w:lang w:val="en-US"/>
        </w:rPr>
        <w:t>双层罐有配备渗漏检测装置，能对间隙空间进行24小时全程监控。一旦内罐或外罐发生渗漏（漏水或漏油），渗漏检测装置的感应器可以监测到间隙空间底部液位时发出警报，保证油罐的安全使用。</w:t>
      </w:r>
    </w:p>
    <w:p>
      <w:pPr>
        <w:spacing w:line="500" w:lineRule="exact"/>
        <w:ind w:firstLine="720"/>
        <w:rPr>
          <w:rStyle w:val="32"/>
          <w:rFonts w:hint="default" w:ascii="Times New Roman" w:hAnsi="Times New Roman" w:cs="Times New Roman"/>
          <w:bCs/>
          <w:sz w:val="28"/>
          <w:szCs w:val="28"/>
          <w:shd w:val="clear" w:color="auto" w:fill="FFFFFF"/>
        </w:rPr>
      </w:pPr>
      <w:bookmarkStart w:id="103" w:name="_Toc14558_WPSOffice_Level1"/>
      <w:bookmarkStart w:id="104" w:name="_Toc25602_WPSOffice_Level1"/>
      <w:bookmarkStart w:id="105" w:name="_Toc32174_WPSOffice_Level1"/>
      <w:bookmarkStart w:id="106" w:name="_Toc25525_WPSOffice_Level1"/>
      <w:bookmarkStart w:id="107" w:name="_Toc31185_WPSOffice_Level1"/>
      <w:bookmarkStart w:id="108" w:name="_Toc21683_WPSOffice_Level1"/>
      <w:bookmarkStart w:id="109" w:name="_Toc1256_WPSOffice_Level1"/>
      <w:bookmarkStart w:id="110" w:name="_Toc11166_WPSOffice_Level1"/>
      <w:r>
        <w:rPr>
          <w:rFonts w:hint="default" w:ascii="Times New Roman" w:hAnsi="Times New Roman" w:cs="Times New Roman"/>
          <w:b/>
          <w:bCs/>
          <w:sz w:val="28"/>
          <w:szCs w:val="28"/>
          <w:shd w:val="clear" w:color="auto" w:fill="FFFFFF"/>
          <w:lang w:val="en-US"/>
        </w:rPr>
        <w:t>11）</w:t>
      </w:r>
      <w:r>
        <w:rPr>
          <w:rStyle w:val="32"/>
          <w:rFonts w:hint="default" w:ascii="Times New Roman" w:hAnsi="Times New Roman" w:cs="Times New Roman"/>
          <w:bCs/>
          <w:sz w:val="28"/>
          <w:szCs w:val="28"/>
          <w:shd w:val="clear" w:color="auto" w:fill="FFFFFF"/>
        </w:rPr>
        <w:t>双层输油管道</w:t>
      </w:r>
      <w:bookmarkEnd w:id="103"/>
      <w:bookmarkEnd w:id="104"/>
      <w:bookmarkEnd w:id="105"/>
      <w:bookmarkEnd w:id="106"/>
      <w:bookmarkEnd w:id="107"/>
      <w:bookmarkEnd w:id="108"/>
      <w:bookmarkEnd w:id="109"/>
      <w:bookmarkEnd w:id="110"/>
    </w:p>
    <w:p>
      <w:pPr>
        <w:spacing w:line="500" w:lineRule="exact"/>
        <w:ind w:firstLine="720"/>
        <w:rPr>
          <w:rFonts w:hint="default" w:ascii="Times New Roman" w:hAnsi="Times New Roman" w:cs="Times New Roman"/>
          <w:sz w:val="28"/>
          <w:szCs w:val="28"/>
          <w:shd w:val="clear" w:color="auto" w:fill="FFFFFF"/>
        </w:rPr>
      </w:pPr>
      <w:r>
        <w:rPr>
          <w:rStyle w:val="32"/>
          <w:rFonts w:hint="default" w:ascii="Times New Roman" w:hAnsi="Times New Roman" w:cs="Times New Roman"/>
          <w:b w:val="0"/>
          <w:sz w:val="28"/>
          <w:szCs w:val="28"/>
          <w:shd w:val="clear" w:color="auto" w:fill="FFFFFF"/>
        </w:rPr>
        <w:t>双层输油管道</w:t>
      </w:r>
      <w:r>
        <w:rPr>
          <w:rFonts w:hint="default" w:ascii="Times New Roman" w:hAnsi="Times New Roman" w:cs="Times New Roman"/>
          <w:sz w:val="28"/>
          <w:szCs w:val="28"/>
          <w:shd w:val="clear" w:color="auto" w:fill="FFFFFF"/>
        </w:rPr>
        <w:t>使用的是新型复合材料，所有管线、接头、三通等部件全部在工厂预制完成,输油管道系统同样可配备渗漏监测报警装置，使得整个加油站从油罐到加油机的核心工艺流程实现了全程在线监测，为加油站的安全以及数质量管理保驾护航,输油管道的内、外管壁间的夹层间隙应能容纳和监测主管道所输送液体燃料的渗漏。夹层间隙空间保持密闭且全线贯通。</w:t>
      </w:r>
    </w:p>
    <w:p>
      <w:pPr>
        <w:spacing w:line="500" w:lineRule="exact"/>
        <w:ind w:firstLine="720"/>
        <w:rPr>
          <w:rFonts w:hint="eastAsia" w:ascii="Times New Roman" w:hAnsi="Times New Roman" w:cs="Times New Roman"/>
          <w:b/>
          <w:bCs/>
          <w:sz w:val="28"/>
          <w:szCs w:val="28"/>
          <w:shd w:val="clear" w:color="auto" w:fill="FFFFFF"/>
          <w:lang w:val="en-US" w:eastAsia="zh-CN"/>
        </w:rPr>
      </w:pPr>
      <w:r>
        <w:rPr>
          <w:rFonts w:hint="eastAsia" w:ascii="Times New Roman" w:hAnsi="Times New Roman" w:cs="Times New Roman"/>
          <w:b/>
          <w:bCs/>
          <w:sz w:val="28"/>
          <w:szCs w:val="28"/>
          <w:shd w:val="clear" w:color="auto" w:fill="FFFFFF"/>
          <w:lang w:val="en-US" w:eastAsia="zh-CN"/>
        </w:rPr>
        <w:t>12）洗车机</w:t>
      </w:r>
    </w:p>
    <w:p>
      <w:pPr>
        <w:spacing w:line="500" w:lineRule="exact"/>
        <w:ind w:firstLine="720"/>
        <w:rPr>
          <w:rStyle w:val="32"/>
          <w:rFonts w:hint="default" w:ascii="Times New Roman" w:hAnsi="Times New Roman" w:cs="Times New Roman"/>
          <w:b w:val="0"/>
          <w:sz w:val="28"/>
          <w:szCs w:val="28"/>
          <w:shd w:val="clear" w:color="auto" w:fill="FFFFFF"/>
        </w:rPr>
      </w:pPr>
      <w:r>
        <w:rPr>
          <w:rStyle w:val="32"/>
          <w:rFonts w:hint="default" w:ascii="Times New Roman" w:hAnsi="Times New Roman" w:cs="Times New Roman"/>
          <w:b w:val="0"/>
          <w:sz w:val="28"/>
          <w:szCs w:val="28"/>
          <w:shd w:val="clear" w:color="auto" w:fill="FFFFFF"/>
        </w:rPr>
        <w:t>洗车机主要是利用电脑控制毛刷和高压水自动来清洗汽车的一种机器。可分为：自动洗车机、自助洗车机、投币洗车机。主要由控制系统、电路、气路、水路和机械结构构成。</w:t>
      </w:r>
    </w:p>
    <w:p>
      <w:pPr>
        <w:spacing w:line="500" w:lineRule="exact"/>
        <w:ind w:firstLine="720"/>
        <w:rPr>
          <w:rFonts w:hint="default" w:ascii="Times New Roman" w:hAnsi="Times New Roman" w:cs="Times New Roman"/>
          <w:sz w:val="28"/>
          <w:szCs w:val="28"/>
          <w:shd w:val="clear" w:color="auto" w:fill="FFFFFF"/>
        </w:rPr>
      </w:pPr>
    </w:p>
    <w:p>
      <w:pPr>
        <w:spacing w:line="500" w:lineRule="exact"/>
        <w:ind w:firstLine="720"/>
        <w:rPr>
          <w:rFonts w:hint="default" w:ascii="Times New Roman" w:hAnsi="Times New Roman" w:cs="Times New Roman"/>
          <w:sz w:val="28"/>
          <w:szCs w:val="28"/>
          <w:shd w:val="clear" w:color="auto" w:fill="FFFFFF"/>
        </w:rPr>
        <w:sectPr>
          <w:footerReference r:id="rId4" w:type="default"/>
          <w:pgSz w:w="11910" w:h="16840"/>
          <w:pgMar w:top="1417" w:right="1134" w:bottom="1134" w:left="1587" w:header="720" w:footer="720" w:gutter="0"/>
          <w:pgNumType w:start="1"/>
          <w:cols w:space="0" w:num="1"/>
        </w:sectPr>
      </w:pPr>
    </w:p>
    <w:p>
      <w:pPr>
        <w:pStyle w:val="3"/>
        <w:spacing w:beforeLines="100" w:afterLines="100"/>
        <w:ind w:firstLine="0"/>
        <w:jc w:val="center"/>
        <w:rPr>
          <w:rFonts w:hint="default" w:ascii="Times New Roman" w:hAnsi="Times New Roman" w:cs="Times New Roman"/>
        </w:rPr>
      </w:pPr>
      <w:bookmarkStart w:id="111" w:name="_Toc7201"/>
      <w:bookmarkStart w:id="112" w:name="_Toc3675"/>
      <w:bookmarkStart w:id="113" w:name="_Toc29963_WPSOffice_Level1"/>
      <w:bookmarkStart w:id="114" w:name="_Toc23211"/>
      <w:bookmarkStart w:id="115" w:name="_Toc31239"/>
      <w:bookmarkStart w:id="116" w:name="_Toc29565_WPSOffice_Level1"/>
      <w:bookmarkStart w:id="117" w:name="_Toc16366_WPSOffice_Level1"/>
      <w:bookmarkStart w:id="118" w:name="_Toc12957"/>
      <w:bookmarkStart w:id="119" w:name="_Toc16022"/>
      <w:bookmarkStart w:id="120" w:name="_Toc1370"/>
      <w:bookmarkStart w:id="121" w:name="_Toc3565"/>
      <w:bookmarkStart w:id="122" w:name="_Toc10800"/>
      <w:bookmarkStart w:id="123" w:name="_Toc32672"/>
      <w:bookmarkStart w:id="124" w:name="_Toc11797"/>
      <w:bookmarkStart w:id="125" w:name="_Toc29206_WPSOffice_Level1"/>
      <w:bookmarkStart w:id="126" w:name="_Toc32"/>
      <w:bookmarkStart w:id="127" w:name="_Toc29475"/>
      <w:bookmarkStart w:id="128" w:name="_Toc25109"/>
      <w:bookmarkStart w:id="129" w:name="_Toc9404"/>
      <w:bookmarkStart w:id="130" w:name="_Toc3084"/>
      <w:bookmarkStart w:id="131" w:name="_Toc19887"/>
      <w:bookmarkStart w:id="132" w:name="_Toc6515"/>
      <w:bookmarkStart w:id="133" w:name="_Toc29975"/>
      <w:bookmarkStart w:id="134" w:name="_Toc26744"/>
      <w:bookmarkStart w:id="135" w:name="_Toc5453"/>
      <w:bookmarkStart w:id="136" w:name="_Toc9100"/>
      <w:r>
        <w:rPr>
          <w:rFonts w:hint="default" w:ascii="Times New Roman" w:hAnsi="Times New Roman" w:cs="Times New Roman"/>
        </w:rPr>
        <w:t>1 安全评价工作经过</w:t>
      </w:r>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p>
    <w:p>
      <w:pPr>
        <w:pStyle w:val="4"/>
        <w:spacing w:line="360" w:lineRule="auto"/>
        <w:jc w:val="center"/>
        <w:rPr>
          <w:rFonts w:hint="default" w:ascii="Times New Roman" w:hAnsi="Times New Roman" w:eastAsia="宋体" w:cs="Times New Roman"/>
          <w:b/>
          <w:bCs/>
        </w:rPr>
      </w:pPr>
      <w:bookmarkStart w:id="137" w:name="_Toc16720"/>
      <w:bookmarkStart w:id="138" w:name="_Toc24714_WPSOffice_Level2"/>
      <w:bookmarkStart w:id="139" w:name="_Toc22777"/>
      <w:bookmarkStart w:id="140" w:name="_Toc22408"/>
      <w:bookmarkStart w:id="141" w:name="_Toc12432"/>
      <w:bookmarkStart w:id="142" w:name="_Toc5510"/>
      <w:bookmarkStart w:id="143" w:name="_Toc14693"/>
      <w:bookmarkStart w:id="144" w:name="_Toc12199_WPSOffice_Level2"/>
      <w:bookmarkStart w:id="145" w:name="_Toc19705"/>
      <w:bookmarkStart w:id="146" w:name="_Toc2493"/>
      <w:bookmarkStart w:id="147" w:name="_Toc9291"/>
      <w:bookmarkStart w:id="148" w:name="_Toc3583"/>
      <w:bookmarkStart w:id="149" w:name="_Toc6343"/>
      <w:bookmarkStart w:id="150" w:name="_Toc6867_WPSOffice_Level2"/>
      <w:bookmarkStart w:id="151" w:name="_Toc23382"/>
      <w:bookmarkStart w:id="152" w:name="_Toc5646"/>
      <w:bookmarkStart w:id="153" w:name="_Toc6749"/>
      <w:bookmarkStart w:id="154" w:name="_Toc12410"/>
      <w:bookmarkStart w:id="155" w:name="_Toc17956"/>
      <w:bookmarkStart w:id="156" w:name="_Toc21587"/>
      <w:bookmarkStart w:id="157" w:name="_Toc31394"/>
      <w:bookmarkStart w:id="158" w:name="_Toc12726"/>
      <w:bookmarkStart w:id="159" w:name="_Toc25813"/>
      <w:bookmarkStart w:id="160" w:name="_Toc22746"/>
      <w:bookmarkStart w:id="161" w:name="_Toc12526"/>
      <w:r>
        <w:rPr>
          <w:rFonts w:hint="default" w:ascii="Times New Roman" w:hAnsi="Times New Roman" w:eastAsia="宋体" w:cs="Times New Roman"/>
          <w:b/>
          <w:bCs/>
        </w:rPr>
        <w:t>1.1</w:t>
      </w:r>
      <w:r>
        <w:rPr>
          <w:rFonts w:hint="default" w:ascii="Times New Roman" w:hAnsi="Times New Roman" w:eastAsia="宋体" w:cs="Times New Roman"/>
          <w:b/>
          <w:bCs/>
          <w:lang w:val="en-US"/>
        </w:rPr>
        <w:t xml:space="preserve"> </w:t>
      </w:r>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r>
        <w:rPr>
          <w:rFonts w:hint="default" w:ascii="Times New Roman" w:hAnsi="Times New Roman" w:eastAsia="宋体" w:cs="Times New Roman"/>
          <w:b/>
          <w:bCs/>
        </w:rPr>
        <w:t>前期准备</w:t>
      </w:r>
      <w:bookmarkEnd w:id="154"/>
      <w:bookmarkEnd w:id="155"/>
      <w:bookmarkEnd w:id="156"/>
      <w:bookmarkEnd w:id="157"/>
      <w:bookmarkEnd w:id="158"/>
      <w:bookmarkEnd w:id="159"/>
      <w:bookmarkEnd w:id="160"/>
      <w:bookmarkEnd w:id="161"/>
    </w:p>
    <w:p>
      <w:pPr>
        <w:spacing w:line="360" w:lineRule="auto"/>
        <w:ind w:firstLine="532" w:firstLineChars="200"/>
        <w:jc w:val="both"/>
        <w:rPr>
          <w:rFonts w:hint="default" w:ascii="Times New Roman" w:hAnsi="Times New Roman" w:cs="Times New Roman"/>
          <w:spacing w:val="-7"/>
          <w:sz w:val="28"/>
          <w:szCs w:val="28"/>
          <w:lang w:val="en-US" w:eastAsia="zh-CN"/>
        </w:rPr>
      </w:pPr>
      <w:r>
        <w:rPr>
          <w:rFonts w:hint="default" w:ascii="Times New Roman" w:hAnsi="Times New Roman" w:cs="Times New Roman"/>
          <w:spacing w:val="-7"/>
          <w:sz w:val="28"/>
          <w:szCs w:val="28"/>
          <w:lang w:val="en-US" w:eastAsia="zh-CN"/>
        </w:rPr>
        <w:t>受中国石化销售有限公司广东东莞石油分公司的委托，广东安源鼎盛检测评价技术服务有限公司委派业务人员和安全评价人员到</w:t>
      </w:r>
      <w:r>
        <w:rPr>
          <w:rFonts w:hint="eastAsia" w:ascii="Times New Roman" w:hAnsi="Times New Roman" w:cs="Times New Roman"/>
          <w:spacing w:val="-7"/>
          <w:sz w:val="28"/>
          <w:szCs w:val="28"/>
          <w:lang w:val="en-US" w:eastAsia="zh-CN"/>
        </w:rPr>
        <w:t>东城加油站</w:t>
      </w:r>
      <w:r>
        <w:rPr>
          <w:rFonts w:hint="default" w:ascii="Times New Roman" w:hAnsi="Times New Roman" w:cs="Times New Roman"/>
          <w:spacing w:val="-7"/>
          <w:sz w:val="28"/>
          <w:szCs w:val="28"/>
          <w:lang w:val="en-US" w:eastAsia="zh-CN"/>
        </w:rPr>
        <w:t>进行了现场勘查，了解客户委托安全评价的目的和进度要求，了解项目评价的范围、规模、性质等，确认本公司具有该项目评价的资质条件，有能力胜任该项目的评价工作，双方在达成共识后签订了安全评价合同。</w:t>
      </w:r>
    </w:p>
    <w:p>
      <w:pPr>
        <w:spacing w:line="360" w:lineRule="auto"/>
        <w:ind w:firstLine="532" w:firstLineChars="200"/>
        <w:jc w:val="both"/>
        <w:rPr>
          <w:rFonts w:hint="default" w:ascii="Times New Roman" w:hAnsi="Times New Roman" w:cs="Times New Roman"/>
          <w:spacing w:val="-7"/>
          <w:sz w:val="28"/>
          <w:szCs w:val="28"/>
          <w:lang w:val="en-US" w:eastAsia="zh-CN"/>
        </w:rPr>
      </w:pPr>
      <w:r>
        <w:rPr>
          <w:rFonts w:hint="default" w:ascii="Times New Roman" w:hAnsi="Times New Roman" w:cs="Times New Roman"/>
          <w:spacing w:val="-7"/>
          <w:sz w:val="28"/>
          <w:szCs w:val="28"/>
          <w:lang w:val="en-US" w:eastAsia="zh-CN"/>
        </w:rPr>
        <w:t>安全评价合同签定之后，广东安源鼎盛检测评价技术服务有限公司组建了评价组。评价组认真收集、研究相关的法律法规、技术标准和类似项目的技术资料，到项目现场进行检查，收集、整理相关数据和图纸等资料。</w:t>
      </w:r>
    </w:p>
    <w:p>
      <w:pPr>
        <w:spacing w:beforeLines="100" w:afterLines="100"/>
        <w:jc w:val="center"/>
        <w:outlineLvl w:val="1"/>
        <w:rPr>
          <w:rFonts w:hint="default" w:ascii="Times New Roman" w:hAnsi="Times New Roman" w:cs="Times New Roman"/>
          <w:b/>
          <w:sz w:val="32"/>
          <w:szCs w:val="32"/>
        </w:rPr>
      </w:pPr>
      <w:bookmarkStart w:id="162" w:name="_Toc529176474"/>
      <w:bookmarkStart w:id="163" w:name="_Toc19848"/>
      <w:bookmarkStart w:id="164" w:name="_Toc27516"/>
      <w:bookmarkStart w:id="165" w:name="_Toc25751"/>
      <w:bookmarkStart w:id="166" w:name="_Toc1233"/>
      <w:bookmarkStart w:id="167" w:name="_Toc21350"/>
      <w:bookmarkStart w:id="168" w:name="_Toc7105_WPSOffice_Level2"/>
      <w:bookmarkStart w:id="169" w:name="_Toc27912"/>
      <w:bookmarkStart w:id="170" w:name="_Toc19431"/>
      <w:bookmarkStart w:id="171" w:name="_Toc14514"/>
      <w:bookmarkStart w:id="172" w:name="_Toc27726"/>
      <w:bookmarkStart w:id="173" w:name="_Toc22214_WPSOffice_Level2"/>
      <w:bookmarkStart w:id="174" w:name="_Toc32680"/>
      <w:bookmarkStart w:id="175" w:name="_Toc7595"/>
      <w:bookmarkStart w:id="176" w:name="_Toc3490"/>
      <w:bookmarkStart w:id="177" w:name="_Toc14304_WPSOffice_Level2"/>
      <w:bookmarkStart w:id="178" w:name="_Toc26046"/>
      <w:bookmarkStart w:id="179" w:name="_Toc4796"/>
      <w:bookmarkStart w:id="180" w:name="_Toc394"/>
      <w:bookmarkStart w:id="181" w:name="_Toc1848"/>
      <w:bookmarkStart w:id="182" w:name="_Toc5907"/>
      <w:bookmarkStart w:id="183" w:name="_Toc6437"/>
      <w:bookmarkStart w:id="184" w:name="_Toc17758"/>
      <w:bookmarkStart w:id="185" w:name="_Toc11915"/>
      <w:bookmarkStart w:id="186" w:name="_Toc13678"/>
      <w:bookmarkStart w:id="187" w:name="_Toc16581"/>
      <w:r>
        <w:rPr>
          <w:rFonts w:hint="default" w:ascii="Times New Roman" w:hAnsi="Times New Roman" w:cs="Times New Roman"/>
          <w:b/>
          <w:sz w:val="32"/>
          <w:szCs w:val="32"/>
        </w:rPr>
        <w:t>1.2</w:t>
      </w:r>
      <w:r>
        <w:rPr>
          <w:rFonts w:hint="default" w:ascii="Times New Roman" w:hAnsi="Times New Roman" w:cs="Times New Roman"/>
          <w:b/>
          <w:sz w:val="32"/>
          <w:szCs w:val="32"/>
          <w:lang w:val="en-US"/>
        </w:rPr>
        <w:t xml:space="preserve"> </w:t>
      </w:r>
      <w:r>
        <w:rPr>
          <w:rFonts w:hint="default" w:ascii="Times New Roman" w:hAnsi="Times New Roman" w:cs="Times New Roman"/>
          <w:b/>
          <w:sz w:val="32"/>
          <w:szCs w:val="32"/>
        </w:rPr>
        <w:t>安全评价的目的</w:t>
      </w:r>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p>
    <w:p>
      <w:pPr>
        <w:spacing w:line="500" w:lineRule="exact"/>
        <w:ind w:firstLine="532" w:firstLineChars="200"/>
        <w:jc w:val="both"/>
        <w:rPr>
          <w:rFonts w:hint="default" w:ascii="Times New Roman" w:hAnsi="Times New Roman" w:cs="Times New Roman"/>
          <w:spacing w:val="-7"/>
          <w:sz w:val="28"/>
          <w:szCs w:val="28"/>
        </w:rPr>
      </w:pPr>
      <w:r>
        <w:rPr>
          <w:rFonts w:hint="default" w:ascii="Times New Roman" w:hAnsi="Times New Roman" w:cs="Times New Roman"/>
          <w:spacing w:val="-7"/>
          <w:sz w:val="28"/>
          <w:szCs w:val="28"/>
        </w:rPr>
        <w:t>贯彻“安全第一、预防为主、综合治理”的安全生产方针，运用安全系统工程的原理和方法，在项目建成试生产运行正常后，通过对改建项目的设施、设备、装置实际运行状况等的安全评价，查找该改建项目投产后存在的危险、有害因素的种类和程度，提出合理可行的安全对策措施及建议，为改建项目竣工验收提供科学依据，同时提高新建项目的本质安全程度和安全管理水平，减少和控制改建项目在生产中的危险、有害因素，降低生产安全风险，预防事故发生，保护建设单位的财产安全及人员的健康和生命安全，接受政府相关部门监管。</w:t>
      </w:r>
    </w:p>
    <w:p>
      <w:pPr>
        <w:tabs>
          <w:tab w:val="left" w:pos="3876"/>
        </w:tabs>
        <w:spacing w:beforeLines="100" w:afterLines="100"/>
        <w:ind w:left="3152"/>
        <w:rPr>
          <w:rFonts w:hint="default" w:ascii="Times New Roman" w:hAnsi="Times New Roman" w:cs="Times New Roman"/>
          <w:b/>
          <w:bCs/>
        </w:rPr>
      </w:pPr>
      <w:bookmarkStart w:id="188" w:name="_Toc13636_WPSOffice_Level2"/>
      <w:bookmarkStart w:id="189" w:name="_Toc8427"/>
      <w:bookmarkStart w:id="190" w:name="_Toc26161_WPSOffice_Level2"/>
      <w:bookmarkStart w:id="191" w:name="_Toc3178_WPSOffice_Level2"/>
      <w:bookmarkStart w:id="192" w:name="_Toc24710"/>
    </w:p>
    <w:p>
      <w:pPr>
        <w:pStyle w:val="4"/>
        <w:tabs>
          <w:tab w:val="left" w:pos="3876"/>
        </w:tabs>
        <w:spacing w:beforeLines="100" w:afterLines="100"/>
        <w:ind w:left="3152" w:firstLine="0"/>
        <w:rPr>
          <w:rFonts w:hint="default" w:ascii="Times New Roman" w:hAnsi="Times New Roman" w:eastAsia="宋体" w:cs="Times New Roman"/>
          <w:b/>
          <w:bCs/>
        </w:rPr>
      </w:pPr>
      <w:bookmarkStart w:id="193" w:name="_Toc19703"/>
      <w:bookmarkStart w:id="194" w:name="_Toc30510"/>
      <w:bookmarkStart w:id="195" w:name="_Toc6764"/>
      <w:bookmarkStart w:id="196" w:name="_Toc19523"/>
      <w:bookmarkStart w:id="197" w:name="_Toc24908"/>
      <w:bookmarkStart w:id="198" w:name="_Toc9719"/>
      <w:bookmarkStart w:id="199" w:name="_Toc11026"/>
      <w:bookmarkStart w:id="200" w:name="_Toc3466"/>
      <w:bookmarkStart w:id="201" w:name="_Toc23296"/>
      <w:bookmarkStart w:id="202" w:name="_Toc1758"/>
      <w:bookmarkStart w:id="203" w:name="_Toc28952"/>
      <w:bookmarkStart w:id="204" w:name="_Toc14068"/>
      <w:bookmarkStart w:id="205" w:name="_Toc1507"/>
      <w:bookmarkStart w:id="206" w:name="_Toc5219"/>
      <w:bookmarkStart w:id="207" w:name="_Toc22964"/>
      <w:bookmarkStart w:id="208" w:name="_Toc26796"/>
      <w:bookmarkStart w:id="209" w:name="_Toc2869"/>
      <w:bookmarkStart w:id="210" w:name="_Toc27794"/>
      <w:bookmarkStart w:id="211" w:name="_Toc2831"/>
      <w:bookmarkStart w:id="212" w:name="_Toc9314"/>
      <w:r>
        <w:rPr>
          <w:rFonts w:hint="default" w:ascii="Times New Roman" w:hAnsi="Times New Roman" w:eastAsia="宋体" w:cs="Times New Roman"/>
          <w:b/>
          <w:bCs/>
        </w:rPr>
        <w:t>1.</w:t>
      </w:r>
      <w:r>
        <w:rPr>
          <w:rFonts w:hint="default" w:ascii="Times New Roman" w:hAnsi="Times New Roman" w:eastAsia="宋体" w:cs="Times New Roman"/>
          <w:b/>
          <w:bCs/>
          <w:lang w:val="en-US"/>
        </w:rPr>
        <w:t xml:space="preserve">3 </w:t>
      </w:r>
      <w:r>
        <w:rPr>
          <w:rFonts w:hint="default" w:ascii="Times New Roman" w:hAnsi="Times New Roman" w:eastAsia="宋体" w:cs="Times New Roman"/>
          <w:b/>
          <w:bCs/>
        </w:rPr>
        <w:t>安全评价对象及范围</w:t>
      </w:r>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p>
    <w:p>
      <w:pPr>
        <w:pStyle w:val="11"/>
        <w:spacing w:line="500" w:lineRule="exact"/>
        <w:ind w:firstLine="562" w:firstLineChars="200"/>
        <w:rPr>
          <w:rFonts w:hint="default" w:ascii="Times New Roman" w:hAnsi="Times New Roman" w:cs="Times New Roman"/>
          <w:spacing w:val="-7"/>
        </w:rPr>
      </w:pPr>
      <w:r>
        <w:rPr>
          <w:rFonts w:hint="default" w:ascii="Times New Roman" w:hAnsi="Times New Roman" w:cs="Times New Roman"/>
          <w:b/>
          <w:bCs/>
        </w:rPr>
        <w:t>本次安全评价对象：</w:t>
      </w:r>
      <w:r>
        <w:rPr>
          <w:rFonts w:hint="eastAsia" w:ascii="Times New Roman" w:hAnsi="Times New Roman" w:cs="Times New Roman"/>
          <w:spacing w:val="-7"/>
          <w:lang w:eastAsia="zh-CN"/>
        </w:rPr>
        <w:t>中国石化销售股份有限公司广东东莞石碣唐洪东城加油站</w:t>
      </w:r>
      <w:r>
        <w:rPr>
          <w:rFonts w:hint="default" w:ascii="Times New Roman" w:hAnsi="Times New Roman" w:cs="Times New Roman"/>
          <w:spacing w:val="-7"/>
          <w:lang w:eastAsia="zh-CN"/>
        </w:rPr>
        <w:t>新增洗车机项目</w:t>
      </w:r>
      <w:r>
        <w:rPr>
          <w:rFonts w:hint="default" w:ascii="Times New Roman" w:hAnsi="Times New Roman" w:cs="Times New Roman"/>
          <w:spacing w:val="-7"/>
        </w:rPr>
        <w:t>。</w:t>
      </w:r>
    </w:p>
    <w:p>
      <w:pPr>
        <w:pStyle w:val="11"/>
        <w:spacing w:line="500" w:lineRule="exact"/>
        <w:ind w:firstLine="562" w:firstLineChars="200"/>
        <w:rPr>
          <w:rFonts w:hint="default" w:ascii="Times New Roman" w:hAnsi="Times New Roman" w:cs="Times New Roman"/>
          <w:spacing w:val="-7"/>
          <w:lang w:eastAsia="zh-CN"/>
        </w:rPr>
      </w:pPr>
      <w:r>
        <w:rPr>
          <w:rFonts w:hint="default" w:ascii="Times New Roman" w:hAnsi="Times New Roman" w:cs="Times New Roman"/>
          <w:b/>
          <w:bCs/>
        </w:rPr>
        <w:t>本次安全评价的评价范围：</w:t>
      </w:r>
      <w:r>
        <w:rPr>
          <w:rFonts w:hint="default" w:ascii="Times New Roman" w:hAnsi="Times New Roman" w:cs="Times New Roman"/>
          <w:spacing w:val="-7"/>
          <w:lang w:eastAsia="zh-CN"/>
        </w:rPr>
        <w:t>改建项目选址、总平面布置及周边环境、工艺系统、建筑及设备安全、公用工程辅助系统及劳动防护设施和用品等。</w:t>
      </w:r>
    </w:p>
    <w:p>
      <w:pPr>
        <w:spacing w:line="500" w:lineRule="exact"/>
        <w:ind w:firstLine="532" w:firstLineChars="200"/>
        <w:jc w:val="both"/>
        <w:rPr>
          <w:rFonts w:hint="default" w:ascii="Times New Roman" w:hAnsi="Times New Roman" w:cs="Times New Roman"/>
          <w:spacing w:val="-7"/>
          <w:sz w:val="28"/>
          <w:szCs w:val="28"/>
        </w:rPr>
      </w:pPr>
      <w:r>
        <w:rPr>
          <w:rFonts w:hint="default" w:ascii="Times New Roman" w:hAnsi="Times New Roman" w:cs="Times New Roman"/>
          <w:spacing w:val="-7"/>
          <w:sz w:val="28"/>
          <w:szCs w:val="28"/>
        </w:rPr>
        <w:t>该改建项目所涉及的环境保护和消防等方面的内容，以政府有关部门批准或认可的环境影响评价和消防设计等技术文件为准，不包括在本次评价范围内。</w:t>
      </w:r>
    </w:p>
    <w:p>
      <w:pPr>
        <w:spacing w:line="500" w:lineRule="exact"/>
        <w:ind w:firstLine="532" w:firstLineChars="200"/>
        <w:jc w:val="both"/>
        <w:rPr>
          <w:rFonts w:hint="default" w:ascii="Times New Roman" w:hAnsi="Times New Roman" w:cs="Times New Roman"/>
          <w:spacing w:val="-7"/>
          <w:sz w:val="28"/>
          <w:szCs w:val="28"/>
        </w:rPr>
      </w:pPr>
      <w:r>
        <w:rPr>
          <w:rFonts w:hint="default" w:ascii="Times New Roman" w:hAnsi="Times New Roman" w:cs="Times New Roman"/>
          <w:spacing w:val="-7"/>
          <w:sz w:val="28"/>
          <w:szCs w:val="28"/>
        </w:rPr>
        <w:t>本评价报告未提及的其它问题或内容，应严格执行国家有关的法律法规和相关的标准、技术规范。</w:t>
      </w:r>
    </w:p>
    <w:p>
      <w:pPr>
        <w:pStyle w:val="4"/>
        <w:tabs>
          <w:tab w:val="left" w:pos="3876"/>
        </w:tabs>
        <w:spacing w:beforeLines="100" w:afterLines="100"/>
        <w:ind w:left="3152" w:firstLine="0"/>
        <w:rPr>
          <w:rFonts w:hint="default" w:ascii="Times New Roman" w:hAnsi="Times New Roman" w:eastAsia="宋体" w:cs="Times New Roman"/>
          <w:b/>
          <w:bCs/>
        </w:rPr>
      </w:pPr>
      <w:bookmarkStart w:id="213" w:name="_Toc20230"/>
      <w:bookmarkStart w:id="214" w:name="_Toc32508"/>
      <w:bookmarkStart w:id="215" w:name="_Toc23499"/>
      <w:bookmarkStart w:id="216" w:name="_Toc16626"/>
      <w:bookmarkStart w:id="217" w:name="_Toc27842"/>
      <w:bookmarkStart w:id="218" w:name="_Toc27645"/>
      <w:bookmarkStart w:id="219" w:name="_Toc18960"/>
      <w:bookmarkStart w:id="220" w:name="_Toc18197"/>
      <w:bookmarkStart w:id="221" w:name="_Toc1346_WPSOffice_Level2"/>
      <w:bookmarkStart w:id="222" w:name="_Toc11206"/>
      <w:bookmarkStart w:id="223" w:name="_Toc24844_WPSOffice_Level2"/>
      <w:bookmarkStart w:id="224" w:name="_Toc23919"/>
      <w:bookmarkStart w:id="225" w:name="_Toc12876"/>
      <w:bookmarkStart w:id="226" w:name="_Toc6673"/>
      <w:bookmarkStart w:id="227" w:name="_Toc1955"/>
      <w:bookmarkStart w:id="228" w:name="_Toc21113"/>
      <w:bookmarkStart w:id="229" w:name="_Toc16738"/>
      <w:bookmarkStart w:id="230" w:name="_Toc11317"/>
      <w:bookmarkStart w:id="231" w:name="_Toc23025"/>
      <w:bookmarkStart w:id="232" w:name="_Toc25434_WPSOffice_Level2"/>
      <w:bookmarkStart w:id="233" w:name="_Toc6622"/>
      <w:bookmarkStart w:id="234" w:name="_Toc1768"/>
      <w:bookmarkStart w:id="235" w:name="_Toc25825"/>
      <w:bookmarkStart w:id="236" w:name="_Toc7424"/>
      <w:bookmarkStart w:id="237" w:name="_Toc17605"/>
      <w:r>
        <w:rPr>
          <w:rFonts w:hint="default" w:ascii="Times New Roman" w:hAnsi="Times New Roman" w:eastAsia="宋体" w:cs="Times New Roman"/>
          <w:b/>
          <w:bCs/>
        </w:rPr>
        <w:t>1.</w:t>
      </w:r>
      <w:r>
        <w:rPr>
          <w:rFonts w:hint="default" w:ascii="Times New Roman" w:hAnsi="Times New Roman" w:eastAsia="宋体" w:cs="Times New Roman"/>
          <w:b/>
          <w:bCs/>
          <w:lang w:val="en-US"/>
        </w:rPr>
        <w:t xml:space="preserve">4 </w:t>
      </w:r>
      <w:r>
        <w:rPr>
          <w:rFonts w:hint="default" w:ascii="Times New Roman" w:hAnsi="Times New Roman" w:eastAsia="宋体" w:cs="Times New Roman"/>
          <w:b/>
          <w:bCs/>
        </w:rPr>
        <w:t>安全评价程序</w:t>
      </w:r>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p>
    <w:p>
      <w:pPr>
        <w:pStyle w:val="11"/>
        <w:spacing w:line="500" w:lineRule="exact"/>
        <w:ind w:firstLine="532" w:firstLineChars="200"/>
        <w:rPr>
          <w:rFonts w:hint="default" w:ascii="Times New Roman" w:hAnsi="Times New Roman" w:cs="Times New Roman"/>
          <w:spacing w:val="-7"/>
        </w:rPr>
      </w:pPr>
      <w:r>
        <w:rPr>
          <w:rFonts w:hint="default" w:ascii="Times New Roman" w:hAnsi="Times New Roman" w:cs="Times New Roman"/>
          <w:spacing w:val="-7"/>
        </w:rPr>
        <w:t>根据《安全评价通则》（AQ8001-2007）、《危险化学品建设项目安全评价细则（试行）》（安监总危化[2007]255 号）规定，安全评价程序见图1.</w:t>
      </w:r>
      <w:r>
        <w:rPr>
          <w:rFonts w:hint="default" w:ascii="Times New Roman" w:hAnsi="Times New Roman" w:cs="Times New Roman"/>
          <w:spacing w:val="-7"/>
          <w:lang w:val="en-US"/>
        </w:rPr>
        <w:t>4</w:t>
      </w:r>
      <w:r>
        <w:rPr>
          <w:rFonts w:hint="default" w:ascii="Times New Roman" w:hAnsi="Times New Roman" w:cs="Times New Roman"/>
          <w:spacing w:val="-7"/>
        </w:rPr>
        <w:t>-1。</w:t>
      </w:r>
    </w:p>
    <w:p>
      <w:pPr>
        <w:keepNext w:val="0"/>
        <w:keepLines w:val="0"/>
        <w:pageBreakBefore w:val="0"/>
        <w:widowControl w:val="0"/>
        <w:kinsoku/>
        <w:wordWrap/>
        <w:overflowPunct/>
        <w:topLinePunct w:val="0"/>
        <w:autoSpaceDE w:val="0"/>
        <w:autoSpaceDN w:val="0"/>
        <w:bidi w:val="0"/>
        <w:adjustRightInd/>
        <w:snapToGrid/>
        <w:spacing w:line="240" w:lineRule="auto"/>
        <w:ind w:left="0" w:leftChars="0" w:right="0" w:rightChars="0" w:firstLine="560" w:firstLineChars="200"/>
        <w:jc w:val="left"/>
        <w:textAlignment w:val="auto"/>
        <w:outlineLvl w:val="9"/>
        <w:rPr>
          <w:rFonts w:hint="default" w:ascii="Times New Roman" w:hAnsi="Times New Roman" w:cs="Times New Roman"/>
          <w:sz w:val="28"/>
        </w:rPr>
      </w:pPr>
      <w:r>
        <w:rPr>
          <w:rFonts w:hint="default" w:ascii="Times New Roman" w:hAnsi="Times New Roman" w:cs="Times New Roman"/>
          <w:color w:val="auto"/>
          <w:sz w:val="28"/>
          <w:lang w:val="en-US" w:bidi="ar-SA"/>
        </w:rPr>
        <w:pict>
          <v:group id="组合 697" o:spid="_x0000_s1605" o:spt="203" style="position:absolute;left:0pt;margin-left:157.4pt;margin-top:2.3pt;height:367.9pt;width:153pt;z-index:251679744;mso-width-relative:page;mso-height-relative:page;" coordsize="1943100,4672345" o:gfxdata="UEsDBAoAAAAAAIdO4kAAAAAAAAAAAAAAAAAEAAAAZHJzL1BLAwQUAAAACACHTuJAlVRrcdkAAAAJ&#10;AQAADwAAAGRycy9kb3ducmV2LnhtbE2PQUvDQBSE74L/YXmCN7ubNkaJeSlS1FMRbIXS2zb7moRm&#10;34bsNmn/vetJj8MMM98Uy4vtxEiDbx0jJDMFgrhypuUa4Xv7/vAMwgfNRneOCeFKHpbl7U2hc+Mm&#10;/qJxE2oRS9jnGqEJoc+l9FVDVvuZ64mjd3SD1SHKoZZm0FMst52cK5VJq1uOC43uadVQddqcLcLH&#10;pKfXRfI2rk/H1XW/ffzcrRNCvL9L1AuIQJfwF4Zf/IgOZWQ6uDMbLzqERZJG9ICQZiCin81V1AeE&#10;p1SlIMtC/n9Q/gBQSwMEFAAAAAgAh07iQFz0faVcBgAAcy0AAA4AAABkcnMvZTJvRG9jLnhtbO1a&#10;3Y7jNBS+R+IdotwzrfOfajKr1fyskBZYscsDeJK0iUji4HimHa654ApxjwQSAiQk4GrvEOJphuEx&#10;OP5L3Zl2lylMV+qmF20SO659/Pk7x5/P4aNFXVmXOe1K0iQ2OhjbVt6kJCubWWJ/8uLsvci2Ooab&#10;DFekyRP7Ku/sR0fvvnM4bye5QwpSZTm1oJGmm8zbxC4YayejUZcWeY27A9LmDRROCa0xg1s6G2UU&#10;z6H1uho543EwmhOatZSkedfB0xNZaB+J9qfTPGUfTaddzqwqsaFvTHxT8X3Ov0dHh3gyo7gtylR1&#10;A2/RixqXDfxp39QJZti6oOWdpuoypaQjU3aQknpEptMyzcUYYDRofGs0Tyi5aMVYZpP5rO3NBKa9&#10;Zaetm00/vHxGrTJL7CAObavBNUzSze9fXH/9pcWfgH3m7WwC1Z7Q9nn7jKoHM3nHh7yY0pr/wmCs&#10;RWK7MCuh49vWVWI7AfJiV1k5XzArhQoo9lw0hslIoYYHdV1dIy1gsngbUAhl6r20ON34pufzHo50&#10;J0a8r33X+psHNlwYaMOJCbNgSFvYbWXMva0iJ4q0rQIXRWBYAdneVJ4XwbyBtdwwCnSZNhh/WdoZ&#10;jWPRqY2mguXXLRHW/TeEPS9wmwvgdhw6GmFhj7CPYWHiZlblYCxXGkvU5AjjWOrapyT9tLMaclxA&#10;vfwxpWRe5DiDjiFeH2baeIHfdPCqdT7/gGSAYHzBiFiPt8C5xlra1EtbeUEk/kKjCk9a2rEnOakt&#10;fpHYFHovWseXTzsmAairiN6TqszOyqoSN3R2flxR6xIDBZ2Jj2q9M6tVjTVP7NiHCX51E2PxWddE&#10;XTLg0qqsExswAx9VqWqUvbiJ+HruJmxxvoB+88tzkl2B5SiR3AhcDhcFoZ/b1hx4MbG7zy4wzW2r&#10;er8B68fI8wBTTNx4fujADTVLzs0S3KTQVGIz25KXx0yS70VLy1kB/4TEcBvyGGZsWgpjLnul+g3I&#10;lH3dAUTBX0kSfFo2HJ0eNyLvEeD4uJHoTBfN81sAFYh/cdUC9lbwKV/h7/8rfPqxI1ez5/jin/FE&#10;41Mt5MARz/t1fAecFfT7VeBsCEcmDApP/gfMgYdqMtEYw2V12mQWE0ZgtBTrG0CU2HWeAXxyCBD4&#10;FdSG3q8BpUQiL+b2EpO+JHQ+CYrbH5rOYw0BTeeCc+/pBmG6gJQDJ3QdAYjlRK74vwDmM+4dnXJ/&#10;a1hq6QTdcaCggNBr3N8uOJ07GLlgTE4XnkitmjfI6UtbBZ5wM5uXzcDpe8vpEdIQVZyuwtqdcTpQ&#10;OScDz0MqetOcjlwZnflILJjN6BxIfZs9kxF6Ro7GgCZ1EeNtRerICXwnvD2VexWpRwDMu6weG7HQ&#10;G2T1IVIXO+S3PFKPgFTNSB0CEQgdh0jd2PitbDD3MFKPQGWSEFCkDp5eYOBegpWM1FEUO36sFJTe&#10;P+8Xqfc6lRGqg2NcLpuB1Af5RWy+5Vbc3ImrLXm/934YhZBrmSukboqDg/zChZO9J/VegdOkriS4&#10;LUjd8d2x74mw1dBf9ovUe7XKJHWlWBkS+aCpr66czpTlhVqu5fKVBTZo6vc4r9xw7AP65iqpm+rg&#10;QOpvA6lDYK0g0J8tKxBsweou8sMoVKL52lAd+XBKpRWa/qhUBvq92H6qT5VNf2C82atxy0MIfXz2&#10;8OdQcFqrDGbSutKsdkLrK9Zaa2UnHIdy+9Cb6s5p1CCr762sHvcaoZTVI1MefHhaFwfREqROEITy&#10;tHsZ5UEJzy9xAzR+3dHPXonru9mnxb34ZtCTPMfc0akfise+nP3AiQK4BBVjOfsojENRzjHgxIF/&#10;66R04Km3KKWj56mb736+/uP7HaccOZEPkQg//0OOE/HMuFcgldfV+xCduqQzi3aTfGThagaJGimj&#10;D5KHBEtUZGWqvClOFjwxRgr3Q1bSph1UL3TffPPyr69+vPnt1+sfXv7957f8+pefIFPT3PBz36s0&#10;XWnbZSKbytE0fGfsuCB8r2JS+07kR3BCDU1tju86RjFP5DomTQNZcYTKfK4NiXHrc4+slKeZTSvM&#10;wGfXbQYpZ80MEsbuB0SRNVfgLJeZdrGvEuBA+MAMsgLlYwReoU+MUxqAGN/Krp8vuRPcFfIdUSQt&#10;tCHJSZro/ilNYmcBmb2iByoLmacOm/dwbeZKH/0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ggAAFtDb250ZW50X1R5cGVzXS54bWxQSwECFAAK&#10;AAAAAACHTuJAAAAAAAAAAAAAAAAABgAAAAAAAAAAABAAAACwBwAAX3JlbHMvUEsBAhQAFAAAAAgA&#10;h07iQIoUZjzRAAAAlAEAAAsAAAAAAAAAAQAgAAAA1AcAAF9yZWxzLy5yZWxzUEsBAhQACgAAAAAA&#10;h07iQAAAAAAAAAAAAAAAAAQAAAAAAAAAAAAQAAAAAAAAAGRycy9QSwECFAAUAAAACACHTuJAlVRr&#10;cdkAAAAJAQAADwAAAAAAAAABACAAAAAiAAAAZHJzL2Rvd25yZXYueG1sUEsBAhQAFAAAAAgAh07i&#10;QFz0faVcBgAAcy0AAA4AAAAAAAAAAQAgAAAAKAEAAGRycy9lMm9Eb2MueG1sUEsFBgAAAAAGAAYA&#10;WQEAAPYJAAAAAA==&#10;">
            <o:lock v:ext="edit" aspectratio="f"/>
            <v:group id="Group 672" o:spid="_x0000_s1586" o:spt="203" style="position:absolute;left:0;top:0;height:631825;width:1828800;" coordorigin="4487,3786" coordsize="2880,1092" o:gfxdata="UEsDBAoAAAAAAIdO4kAAAAAAAAAAAAAAAAAEAAAAZHJzL1BLAwQUAAAACACHTuJA9ZMeJsAAAADc&#10;AAAADwAAAGRycy9kb3ducmV2LnhtbEWPQWvCQBSE70L/w/IKvZlNWowlzRqKtKUHEdSCeHtkn0lI&#10;9m3IbhP9926h4HGYmW+YvLiYTow0uMaygiSKQRCXVjdcKfg5fM5fQTiPrLGzTAqu5KBYPcxyzLSd&#10;eEfj3lciQNhlqKD2vs+kdGVNBl1ke+Lgne1g0Ac5VFIPOAW46eRzHKfSYMNhocae1jWV7f7XKPia&#10;cHp/ST7GTXteX0+Hxfa4SUipp8ckfgPh6eLv4f/2t1aQLlP4OxOOgFzdAFBLAwQUAAAACACHTuJA&#10;My8FnjsAAAA5AAAAFQAAAGRycy9ncm91cHNoYXBleG1sLnhtbLOxr8jNUShLLSrOzM+zVTLUM1BS&#10;SM1Lzk/JzEu3VQoNcdO1UFIoLknMS0nMyc9LtVWqTC1Wsrfj5QIAUEsDBAoAAAAAAIdO4kAAAAAA&#10;AAAAAAAAAAAGAAAAX3JlbHMvUEsDBBQAAAAIAIdO4kAJLbcE0wAAAJkBAAALAAAAX3JlbHMvLnJl&#10;bHOlkEFLAzEQhe+C/yHM3c22BxFptjeh11rBa0hms8FNJszE1f57U0RwpTcPc5h5zPceb7f/TLNa&#10;kCVSNrDpelCYHfmYg4GX09PdAyipNns7U0YDZxTYD7c3uyPOtrYnmWIR1ShZDEy1lketxU2YrHRU&#10;MDdlJE62tpWDLta92YB62/f3mn8zYFgx1cEb4IPfgjqdS3P+w07RMQmNtXOUNI1jdNeoOjC9l+fJ&#10;FnxNc2NZDlgNeJZvSS5SC9m1AX09w+afGTx95CMua/fLkXH58dWrQocvUEsDBBQAAAAIAIdO4kBU&#10;fegn/gAAAOwBAAATAAAAW0NvbnRlbnRfVHlwZXNdLnhtbJWRy07DMBBF90j8g+UtShxYIISadEGA&#10;HSAoHzCyJ4lFYlseN7R/z7iPDaJIXdoz954je7HcTKOYMZL1rpbXZSUFOu2NdX0tP1dPxZ0UlMAZ&#10;GL3DWm6R5LK5vFistgFJcNpRLYeUwr1SpAecgEof0PGk83GCxMfYqwD6C3pUN1V1q7R3CV0qUu6Q&#10;zaLFDtZjEo8bvt6bRBxJiof9YmbVEkIYrYbEpmp25helOBBKTu52aLCBrlhDqj8JeXIacMi98tNE&#10;a1C8QUwvMLGGMpGU8d8u4lz+X5ItJyp811mNZRup5dg7zkerU+199OtAAwTk/nMZzzn8kcNHjNr9&#10;VfMDUEsBAhQAFAAAAAgAh07iQFR96Cf+AAAA7AEAABMAAAAAAAAAAQAgAAAAnQIAAFtDb250ZW50&#10;X1R5cGVzXS54bWxQSwECFAAKAAAAAACHTuJAAAAAAAAAAAAAAAAABgAAAAAAAAAAABAAAAB9AQAA&#10;X3JlbHMvUEsBAhQAFAAAAAgAh07iQAkttwTTAAAAmQEAAAsAAAAAAAAAAQAgAAAAoQEAAF9yZWxz&#10;Ly5yZWxzUEsBAhQACgAAAAAAh07iQAAAAAAAAAAAAAAAAAQAAAAAAAAAAAAQAAAAAAAAAGRycy9Q&#10;SwECFAAUAAAACACHTuJA9ZMeJsAAAADcAAAADwAAAAAAAAABACAAAAAiAAAAZHJzL2Rvd25yZXYu&#10;eG1sUEsBAhQAFAAAAAgAh07iQDMvBZ47AAAAOQAAABUAAAAAAAAAAQAgAAAADwEAAGRycy9ncm91&#10;cHNoYXBleG1sLnhtbFBLBQYAAAAABgAGAGABAADMAwAAAAA=&#10;">
              <o:lock v:ext="edit" aspectratio="f"/>
              <v:rect id="Rectangle 673" o:spid="_x0000_s1584" o:spt="1" style="position:absolute;left:4487;top:3786;height:468;width:2880;" fillcolor="#FFFFFF" filled="t" stroked="t" coordsize="21600,21600" o:gfxdata="UEsDBAoAAAAAAIdO4kAAAAAAAAAAAAAAAAAEAAAAZHJzL1BLAwQUAAAACACHTuJAl7Rec78AAADc&#10;AAAADwAAAGRycy9kb3ducmV2LnhtbEWPwW7CMBBE70j8g7VIvREbKkFJcXJoRdUeIbn0tsTbJBCv&#10;o9hA2q+vK1XiOJqZN5ptPtpOXGnwrWMNi0SBIK6cabnWUBa7+RMIH5ANdo5Jwzd5yLPpZIupcTfe&#10;0/UQahEh7FPU0ITQp1L6qiGLPnE9cfS+3GAxRDnU0gx4i3DbyaVSK2mx5bjQYE8vDVXnw8VqOLbL&#10;En/2xZuym91j+BiL0+XzVeuH2UI9gwg0hnv4v/1uNKzWa/g7E4+AzH4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e0XnO/&#10;AAAA3AAAAA8AAAAAAAAAAQAgAAAAIgAAAGRycy9kb3ducmV2LnhtbFBLAQIUABQAAAAIAIdO4kAz&#10;LwWeOwAAADkAAAAQAAAAAAAAAAEAIAAAAA4BAABkcnMvc2hhcGV4bWwueG1sUEsFBgAAAAAGAAYA&#10;WwEAALgDAAAAAA==&#10;">
                <v:path/>
                <v:fill on="t" focussize="0,0"/>
                <v:stroke color="#000000" miterlimit="8" joinstyle="miter"/>
                <v:imagedata o:title=""/>
                <o:lock v:ext="edit" aspectratio="f"/>
                <v:textbox>
                  <w:txbxContent>
                    <w:p>
                      <w:pPr>
                        <w:jc w:val="center"/>
                        <w:rPr>
                          <w:szCs w:val="21"/>
                        </w:rPr>
                      </w:pPr>
                      <w:r>
                        <w:rPr>
                          <w:rFonts w:hint="eastAsia"/>
                          <w:szCs w:val="21"/>
                        </w:rPr>
                        <w:t>前期准备</w:t>
                      </w:r>
                    </w:p>
                  </w:txbxContent>
                </v:textbox>
              </v:rect>
              <v:line id="Line 674" o:spid="_x0000_s1585" o:spt="20" style="position:absolute;left:5927;top:4254;height:624;width:0;" filled="f" stroked="t" coordsize="21600,21600" o:gfxdata="UEsDBAoAAAAAAIdO4kAAAAAAAAAAAAAAAAAEAAAAZHJzL1BLAwQUAAAACACHTuJAgGdMqL0AAADc&#10;AAAADwAAAGRycy9kb3ducmV2LnhtbEVPz2vCMBS+D/wfwhO8zbQeulKNHgaKoNuwHcPdHs1bW9a8&#10;lCTW7r9fDoMdP77fm91kejGS851lBekyAUFcW91xo+C92j/mIHxA1thbJgU/5GG3nT1ssND2zhca&#10;y9CIGMK+QAVtCEMhpa9bMuiXdiCO3Jd1BkOErpHa4T2Gm16ukiSTBjuODS0O9NxS/V3ejILLeX/K&#10;P063qXafh/S1eju/XH2u1GKeJmsQgabwL/5zH7WC7CmujWfiEZDb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AZ0yovQAA&#10;ANwAAAAPAAAAAAAAAAEAIAAAACIAAABkcnMvZG93bnJldi54bWxQSwECFAAUAAAACACHTuJAMy8F&#10;njsAAAA5AAAAEAAAAAAAAAABACAAAAAMAQAAZHJzL3NoYXBleG1sLnhtbFBLBQYAAAAABgAGAFsB&#10;AAC2AwAAAAA=&#10;">
                <v:path arrowok="t"/>
                <v:fill on="f" focussize="0,0"/>
                <v:stroke color="#000000" joinstyle="round" endarrow="block"/>
                <v:imagedata o:title=""/>
                <o:lock v:ext="edit" aspectratio="f"/>
              </v:line>
            </v:group>
            <v:group id="Group 675" o:spid="_x0000_s1589" o:spt="203" style="position:absolute;left:0;top:627321;height:662490;width:1943100;" coordorigin="4487,3786" coordsize="3060,1145" o:gfxdata="UEsDBAoAAAAAAIdO4kAAAAAAAAAAAAAAAAAEAAAAZHJzL1BLAwQUAAAACACHTuJAhAyKVMAAAADc&#10;AAAADwAAAGRycy9kb3ducmV2LnhtbEWPQWvCQBSE74X+h+UVetNNLNUaXUVCW3oQwaQg3h7ZZxLM&#10;vg3ZbRL/fbcg9DjMzDfMejuaRvTUudqygngagSAurK65VPCdf0zeQDiPrLGxTApu5GC7eXxYY6Lt&#10;wEfqM1+KAGGXoILK+zaR0hUVGXRT2xIH72I7gz7IrpS6wyHATSNnUTSXBmsOCxW2lFZUXLMfo+Bz&#10;wGH3Er/3++slvZ3z18NpH5NSz09xtALhafT/4Xv7SyuYL5bwdyYcAbn5BVBLAwQUAAAACACHTuJA&#10;My8FnjsAAAA5AAAAFQAAAGRycy9ncm91cHNoYXBleG1sLnhtbLOxr8jNUShLLSrOzM+zVTLUM1BS&#10;SM1Lzk/JzEu3VQoNcdO1UFIoLknMS0nMyc9LtVWqTC1Wsrfj5QIAUEsDBAoAAAAAAIdO4kAAAAAA&#10;AAAAAAAAAAAGAAAAX3JlbHMvUEsDBBQAAAAIAIdO4kAJLbcE0wAAAJkBAAALAAAAX3JlbHMvLnJl&#10;bHOlkEFLAzEQhe+C/yHM3c22BxFptjeh11rBa0hms8FNJszE1f57U0RwpTcPc5h5zPceb7f/TLNa&#10;kCVSNrDpelCYHfmYg4GX09PdAyipNns7U0YDZxTYD7c3uyPOtrYnmWIR1ShZDEy1lketxU2YrHRU&#10;MDdlJE62tpWDLta92YB62/f3mn8zYFgx1cEb4IPfgjqdS3P+w07RMQmNtXOUNI1jdNeoOjC9l+fJ&#10;FnxNc2NZDlgNeJZvSS5SC9m1AX09w+afGTx95CMua/fLkXH58dWrQocvUEsDBBQAAAAIAIdO4kBU&#10;fegn/gAAAOwBAAATAAAAW0NvbnRlbnRfVHlwZXNdLnhtbJWRy07DMBBF90j8g+UtShxYIISadEGA&#10;HSAoHzCyJ4lFYlseN7R/z7iPDaJIXdoz954je7HcTKOYMZL1rpbXZSUFOu2NdX0tP1dPxZ0UlMAZ&#10;GL3DWm6R5LK5vFistgFJcNpRLYeUwr1SpAecgEof0PGk83GCxMfYqwD6C3pUN1V1q7R3CV0qUu6Q&#10;zaLFDtZjEo8bvt6bRBxJiof9YmbVEkIYrYbEpmp25helOBBKTu52aLCBrlhDqj8JeXIacMi98tNE&#10;a1C8QUwvMLGGMpGU8d8u4lz+X5ItJyp811mNZRup5dg7zkerU+199OtAAwTk/nMZzzn8kcNHjNr9&#10;VfMDUEsBAhQAFAAAAAgAh07iQFR96Cf+AAAA7AEAABMAAAAAAAAAAQAgAAAAnQIAAFtDb250ZW50&#10;X1R5cGVzXS54bWxQSwECFAAKAAAAAACHTuJAAAAAAAAAAAAAAAAABgAAAAAAAAAAABAAAAB9AQAA&#10;X3JlbHMvUEsBAhQAFAAAAAgAh07iQAkttwTTAAAAmQEAAAsAAAAAAAAAAQAgAAAAoQEAAF9yZWxz&#10;Ly5yZWxzUEsBAhQACgAAAAAAh07iQAAAAAAAAAAAAAAAAAQAAAAAAAAAAAAQAAAAAAAAAGRycy9Q&#10;SwECFAAUAAAACACHTuJAhAyKVMAAAADcAAAADwAAAAAAAAABACAAAAAiAAAAZHJzL2Rvd25yZXYu&#10;eG1sUEsBAhQAFAAAAAgAh07iQDMvBZ47AAAAOQAAABUAAAAAAAAAAQAgAAAADwEAAGRycy9ncm91&#10;cHNoYXBleG1sLnhtbFBLBQYAAAAABgAGAGABAADMAwAAAAA=&#10;">
              <o:lock v:ext="edit" aspectratio="f"/>
              <v:rect id="Rectangle 676" o:spid="_x0000_s1587" o:spt="1" style="position:absolute;left:4487;top:3786;height:643;width:3060;" fillcolor="#FFFFFF" filled="t" stroked="t" coordsize="21600,21600" o:gfxdata="UEsDBAoAAAAAAIdO4kAAAAAAAAAAAAAAAAAEAAAAZHJzL1BLAwQUAAAACACHTuJALYi2ILoAAADc&#10;AAAADwAAAGRycy9kb3ducmV2LnhtbEVPPW/CMBDdkfofrKvEBjYgIUjjMLQCwQhhYTvia5I2Pkex&#10;gcCvxwMS49P7Tle9bcSVOl871jAZKxDEhTM1lxqO+Xq0AOEDssHGMWm4k4dV9jFIMTHuxnu6HkIp&#10;Ygj7BDVUIbSJlL6oyKIfu5Y4cr+usxgi7EppOrzFcNvIqVJzabHm2FBhS98VFf+Hi9VwrqdHfOzz&#10;jbLL9Szs+vzvcvrRevg5UV8gAvXhLX65t0bDfBHnxzPxCMjsC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tiLYgugAAANwA&#10;AAAPAAAAAAAAAAEAIAAAACIAAABkcnMvZG93bnJldi54bWxQSwECFAAUAAAACACHTuJAMy8FnjsA&#10;AAA5AAAAEAAAAAAAAAABACAAAAAJAQAAZHJzL3NoYXBleG1sLnhtbFBLBQYAAAAABgAGAFsBAACz&#10;AwAAAAA=&#10;">
                <v:path/>
                <v:fill on="t" focussize="0,0"/>
                <v:stroke color="#000000" miterlimit="8" joinstyle="miter"/>
                <v:imagedata o:title=""/>
                <o:lock v:ext="edit" aspectratio="f"/>
                <v:textbox>
                  <w:txbxContent>
                    <w:p>
                      <w:pPr>
                        <w:jc w:val="center"/>
                        <w:rPr>
                          <w:szCs w:val="21"/>
                        </w:rPr>
                      </w:pPr>
                      <w:r>
                        <w:rPr>
                          <w:rFonts w:hint="eastAsia"/>
                          <w:szCs w:val="21"/>
                        </w:rPr>
                        <w:t>辨识与分析危险、有害因素</w:t>
                      </w:r>
                    </w:p>
                  </w:txbxContent>
                </v:textbox>
              </v:rect>
              <v:line id="Line 677" o:spid="_x0000_s1588" o:spt="20" style="position:absolute;left:5954;top:4415;height:516;width:13;" filled="f" stroked="t" coordsize="21600,21600" o:gfxdata="UEsDBAoAAAAAAIdO4kAAAAAAAAAAAAAAAAAEAAAAZHJzL1BLAwQUAAAACACHTuJAJIiVEsAAAADc&#10;AAAADwAAAGRycy9kb3ducmV2LnhtbEWPzWrDMBCE74G+g9hCb4nsHIJxouRQSCnYackPpb0t1tY2&#10;tVZGkh337atCIMdhZr5hNrvJdGIk51vLCtJFAoK4srrlWsHlvJ9nIHxA1thZJgW/5GG3fZhtMNf2&#10;ykcaT6EWEcI+RwVNCH0upa8aMugXtieO3rd1BkOUrpba4TXCTSeXSbKSBluOCw329NxQ9XMajIJj&#10;uS+yj2KYKvf1kr6d38vDp8+UenpMkzWIQFO4h2/tV61glaXwfyYeAbn9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kiJUS&#10;wAAAANwAAAAPAAAAAAAAAAEAIAAAACIAAABkcnMvZG93bnJldi54bWxQSwECFAAUAAAACACHTuJA&#10;My8FnjsAAAA5AAAAEAAAAAAAAAABACAAAAAPAQAAZHJzL3NoYXBleG1sLnhtbFBLBQYAAAAABgAG&#10;AFsBAAC5AwAAAAA=&#10;">
                <v:path arrowok="t"/>
                <v:fill on="f" focussize="0,0"/>
                <v:stroke color="#000000" joinstyle="round" endarrow="block"/>
                <v:imagedata o:title=""/>
                <o:lock v:ext="edit" aspectratio="f"/>
              </v:line>
            </v:group>
            <v:group id="Group 678" o:spid="_x0000_s1592" o:spt="203" style="position:absolute;left:0;top:1265275;height:631825;width:1828800;" coordorigin="4487,3786" coordsize="2880,1092" o:gfxdata="UEsDBAoAAAAAAIdO4kAAAAAAAAAAAAAAAAAEAAAAZHJzL1BLAwQUAAAACACHTuJAv31oAr8AAADc&#10;AAAADwAAAGRycy9kb3ducmV2LnhtbEWPQWvCQBSE7wX/w/KE3uomlopE1yBBpYdQqAri7ZF9JsHs&#10;25BdE/Pvu4VCj8PMfMOs06dpRE+dqy0riGcRCOLC6ppLBefT/m0JwnlkjY1lUjCSg3QzeVljou3A&#10;39QffSkChF2CCirv20RKV1Rk0M1sSxy8m+0M+iC7UuoOhwA3jZxH0UIarDksVNhSVlFxPz6MgsOA&#10;w/Y93vX5/ZaN19PH1yWPSanXaRytQHh6+v/wX/tTK1gs5/B7JhwBufkB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C/fWgCvwAAANwAAAAPAAAAAAAAAAEAIAAAACIAAABkcnMvZG93bnJldi54&#10;bWxQSwECFAAUAAAACACHTuJAMy8FnjsAAAA5AAAAFQAAAAAAAAABACAAAAAOAQAAZHJzL2dyb3Vw&#10;c2hhcGV4bWwueG1sUEsFBgAAAAAGAAYAYAEAAMsDAAAAAA==&#10;">
              <o:lock v:ext="edit" aspectratio="f"/>
              <v:rect id="Rectangle 679" o:spid="_x0000_s1590" o:spt="1" style="position:absolute;left:4487;top:3786;height:468;width:2880;" fillcolor="#FFFFFF" filled="t" stroked="t" coordsize="21600,21600" o:gfxdata="UEsDBAoAAAAAAIdO4kAAAAAAAAAAAAAAAAAEAAAAZHJzL1BLAwQUAAAACACHTuJA3VooV74AAADc&#10;AAAADwAAAGRycy9kb3ducmV2LnhtbEWPwW7CMBBE75X4B2uReis2RIpowHAAUZUjhAu3bbwkaeN1&#10;FJsk5evrSpV6HM3MG816O9pG9NT52rGG+UyBIC6cqbnUcMkPL0sQPiAbbByThm/ysN1MntaYGTfw&#10;ifpzKEWEsM9QQxVCm0npi4os+plriaN3c53FEGVXStPhEOG2kQulUmmx5rhQYUu7ioqv891q+KgX&#10;F3yc8jdlXw9JOI755/261/p5OlcrEIHG8B/+a78bDekygd8z8QjIzQ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3VooV74A&#10;AADcAAAADwAAAAAAAAABACAAAAAiAAAAZHJzL2Rvd25yZXYueG1sUEsBAhQAFAAAAAgAh07iQDMv&#10;BZ47AAAAOQAAABAAAAAAAAAAAQAgAAAADQEAAGRycy9zaGFwZXhtbC54bWxQSwUGAAAAAAYABgBb&#10;AQAAtwMAAAAA&#10;">
                <v:path/>
                <v:fill on="t" focussize="0,0"/>
                <v:stroke color="#000000" miterlimit="8" joinstyle="miter"/>
                <v:imagedata o:title=""/>
                <o:lock v:ext="edit" aspectratio="f"/>
                <v:textbox>
                  <w:txbxContent>
                    <w:p>
                      <w:pPr>
                        <w:jc w:val="center"/>
                        <w:rPr>
                          <w:szCs w:val="21"/>
                        </w:rPr>
                      </w:pPr>
                      <w:r>
                        <w:rPr>
                          <w:rFonts w:hint="eastAsia"/>
                          <w:szCs w:val="21"/>
                        </w:rPr>
                        <w:t>划分评价单元</w:t>
                      </w:r>
                    </w:p>
                  </w:txbxContent>
                </v:textbox>
              </v:rect>
              <v:line id="Line 680" o:spid="_x0000_s1591" o:spt="20" style="position:absolute;left:5927;top:4254;height:624;width:0;" filled="f" stroked="t" coordsize="21600,21600" o:gfxdata="UEsDBAoAAAAAAIdO4kAAAAAAAAAAAAAAAAAEAAAAZHJzL1BLAwQUAAAACACHTuJANP82isAAAADc&#10;AAAADwAAAGRycy9kb3ducmV2LnhtbEWPT2vCQBTE74LfYXmCN92kFAmpq4eCIvinGEtpb4/saxKa&#10;fRt2V43fvisIHoeZ+Q0zX/amFRdyvrGsIJ0mIIhLqxuuFHyeVpMMhA/IGlvLpOBGHpaL4WCOubZX&#10;PtKlCJWIEPY5KqhD6HIpfVmTQT+1HXH0fq0zGKJ0ldQOrxFuWvmSJDNpsOG4UGNH7zWVf8XZKDju&#10;Vtvsa3vuS/ezTg+nj93+22dKjUdp8gYiUB+e4Ud7oxXMsle4n4lHQC7+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0/zaK&#10;wAAAANwAAAAPAAAAAAAAAAEAIAAAACIAAABkcnMvZG93bnJldi54bWxQSwECFAAUAAAACACHTuJA&#10;My8FnjsAAAA5AAAAEAAAAAAAAAABACAAAAAPAQAAZHJzL3NoYXBleG1sLnhtbFBLBQYAAAAABgAG&#10;AFsBAAC5AwAAAAA=&#10;">
                <v:path arrowok="t"/>
                <v:fill on="f" focussize="0,0"/>
                <v:stroke color="#000000" joinstyle="round" endarrow="block"/>
                <v:imagedata o:title=""/>
                <o:lock v:ext="edit" aspectratio="f"/>
              </v:line>
            </v:group>
            <v:group id="Group 681" o:spid="_x0000_s1595" o:spt="203" style="position:absolute;left:0;top:1892596;height:631825;width:1828800;" coordorigin="4487,3786" coordsize="2880,1092" o:gfxdata="UEsDBAoAAAAAAIdO4kAAAAAAAAAAAAAAAAAEAAAAZHJzL1BLAwQUAAAACACHTuJAMJTwdr4AAADc&#10;AAAADwAAAGRycy9kb3ducmV2LnhtbEWPT4vCMBTE74LfITxhb5p2F0WqqYisyx5E8A8se3s0z7a0&#10;eSlNbPXbG0HwOMzMb5jl6mZq0VHrSssK4kkEgjizuuRcwfm0Hc9BOI+ssbZMCu7kYJUOB0tMtO35&#10;QN3R5yJA2CWooPC+SaR0WUEG3cQ2xMG72NagD7LNpW6xD3BTy88omkmDJYeFAhvaFJRVx6tR8NNj&#10;v/6Kv7tdddnc/0/T/d8uJqU+RnG0AOHp5t/hV/tXK5jNp/A8E46ATB9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DCU8Ha+AAAA3AAAAA8AAAAAAAAAAQAgAAAAIgAAAGRycy9kb3ducmV2Lnht&#10;bFBLAQIUABQAAAAIAIdO4kAzLwWeOwAAADkAAAAVAAAAAAAAAAEAIAAAAA0BAABkcnMvZ3JvdXBz&#10;aGFwZXhtbC54bWxQSwUGAAAAAAYABgBgAQAAygMAAAAA&#10;">
              <o:lock v:ext="edit" aspectratio="f"/>
              <v:rect id="Rectangle 682" o:spid="_x0000_s1593" o:spt="1" style="position:absolute;left:4487;top:3786;height:468;width:2880;" fillcolor="#FFFFFF" filled="t" stroked="t" coordsize="21600,21600" o:gfxdata="UEsDBAoAAAAAAIdO4kAAAAAAAAAAAAAAAAAEAAAAZHJzL1BLAwQUAAAACACHTuJAzS2Lz70AAADc&#10;AAAADwAAAGRycy9kb3ducmV2LnhtbEWPQYvCMBSE78L+h/AWvGmiQtGu0cMuLnrUevH2tnm2dZuX&#10;0kSt/nojCB6HmfmGmS87W4sLtb5yrGE0VCCIc2cqLjTss9VgCsIHZIO1Y9JwIw/LxUdvjqlxV97S&#10;ZRcKESHsU9RQhtCkUvq8JIt+6Bri6B1dazFE2RbStHiNcFvLsVKJtFhxXCixoe+S8v/d2Wr4q8Z7&#10;vG+zX2Vnq0nYdNnpfPjRuv85Ul8gAnXhHX6110ZDMk3geSYeAbl4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NLYvPvQAA&#10;ANwAAAAPAAAAAAAAAAEAIAAAACIAAABkcnMvZG93bnJldi54bWxQSwECFAAUAAAACACHTuJAMy8F&#10;njsAAAA5AAAAEAAAAAAAAAABACAAAAAMAQAAZHJzL3NoYXBleG1sLnhtbFBLBQYAAAAABgAGAFsB&#10;AAC2AwAAAAA=&#10;">
                <v:path/>
                <v:fill on="t" focussize="0,0"/>
                <v:stroke color="#000000" miterlimit="8" joinstyle="miter"/>
                <v:imagedata o:title=""/>
                <o:lock v:ext="edit" aspectratio="f"/>
                <v:textbox>
                  <w:txbxContent>
                    <w:p>
                      <w:pPr>
                        <w:jc w:val="center"/>
                        <w:rPr>
                          <w:szCs w:val="21"/>
                        </w:rPr>
                      </w:pPr>
                      <w:r>
                        <w:rPr>
                          <w:rFonts w:hint="eastAsia"/>
                          <w:szCs w:val="21"/>
                        </w:rPr>
                        <w:t>定性、定量评价</w:t>
                      </w:r>
                    </w:p>
                  </w:txbxContent>
                </v:textbox>
              </v:rect>
              <v:line id="Line 683" o:spid="_x0000_s1594" o:spt="20" style="position:absolute;left:5927;top:4254;height:624;width:0;" filled="f" stroked="t" coordsize="21600,21600" o:gfxdata="UEsDBAoAAAAAAIdO4kAAAAAAAAAAAAAAAAAEAAAAZHJzL1BLAwQUAAAACACHTuJAxC2o/b8AAADc&#10;AAAADwAAAGRycy9kb3ducmV2LnhtbEWPQWvCQBSE74L/YXmCN93Egw2pq4eCIqgVtZT29si+JqHZ&#10;t2F31fjvXUHwOMzMN8xs0ZlGXMj52rKCdJyAIC6srrlU8HVajjIQPiBrbCyTght5WMz7vRnm2l75&#10;QJdjKEWEsM9RQRVCm0vpi4oM+rFtiaP3Z53BEKUrpXZ4jXDTyEmSTKXBmuNChS19VFT8H89GwWG7&#10;3GTfm3NXuN9V+nnab3c/PlNqOEiTdxCBuvAKP9trrWCavcHjTDwCcn4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QtqP2/&#10;AAAA3AAAAA8AAAAAAAAAAQAgAAAAIgAAAGRycy9kb3ducmV2LnhtbFBLAQIUABQAAAAIAIdO4kAz&#10;LwWeOwAAADkAAAAQAAAAAAAAAAEAIAAAAA4BAABkcnMvc2hhcGV4bWwueG1sUEsFBgAAAAAGAAYA&#10;WwEAALgDAAAAAA==&#10;">
                <v:path arrowok="t"/>
                <v:fill on="f" focussize="0,0"/>
                <v:stroke color="#000000" joinstyle="round" endarrow="block"/>
                <v:imagedata o:title=""/>
                <o:lock v:ext="edit" aspectratio="f"/>
              </v:line>
            </v:group>
            <v:group id="Group 684" o:spid="_x0000_s1598" o:spt="203" style="position:absolute;left:0;top:2530549;height:631825;width:1828800;" coordorigin="4487,3786" coordsize="2880,1092" o:gfxdata="UEsDBAoAAAAAAIdO4kAAAAAAAAAAAAAAAAAEAAAAZHJzL1BLAwQUAAAACACHTuJA3pVf6LoAAADc&#10;AAAADwAAAGRycy9kb3ducmV2LnhtbEVPTYvCMBC9C/sfwix407SKIl2jLKLiQQSrIN6GZmyLzaQ0&#10;sdV/bw6Cx8f7ni+fphItNa60rCAeRiCIM6tLzhWcT5vBDITzyBory6TgRQ6Wi5/eHBNtOz5Sm/pc&#10;hBB2CSoovK8TKV1WkEE3tDVx4G62MegDbHKpG+xCuKnkKIqm0mDJoaHAmlYFZff0YRRsO+z+x/G6&#10;3d9vq9f1NDlc9jEp1f+Noz8Qnp7+K/64d1rBdBbWhjPhCMjFG1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3pVf6LoAAADcAAAADwAAAAAAAAABACAAAAAiAAAAZHJzL2Rvd25yZXYueG1sUEsB&#10;AhQAFAAAAAgAh07iQDMvBZ47AAAAOQAAABUAAAAAAAAAAQAgAAAACQEAAGRycy9ncm91cHNoYXBl&#10;eG1sLnhtbFBLBQYAAAAABgAGAGABAADGAwAAAAA=&#10;">
              <o:lock v:ext="edit" aspectratio="f"/>
              <v:rect id="Rectangle 685" o:spid="_x0000_s1596" o:spt="1" style="position:absolute;left:4487;top:3786;height:468;width:2880;" fillcolor="#FFFFFF" filled="t" stroked="t" coordsize="21600,21600" o:gfxdata="UEsDBAoAAAAAAIdO4kAAAAAAAAAAAAAAAAAEAAAAZHJzL1BLAwQUAAAACACHTuJAvLIfvb4AAADc&#10;AAAADwAAAGRycy9kb3ducmV2LnhtbEWPwW7CMBBE75X4B2uRemtsUgmRFMMBFFSOEC7ctvE2SYnX&#10;UWwg5evrSpV6HM3MG81yPdpO3GjwrWMNs0SBIK6cabnWcCqLlwUIH5ANdo5Jwzd5WK8mT0vMjbvz&#10;gW7HUIsIYZ+jhiaEPpfSVw1Z9InriaP36QaLIcqhlmbAe4TbTqZKzaXFluNCgz1tGqoux6vV8NGm&#10;J3wcyp2yWfEa9mP5dT1vtX6eztQbiEBj+A//td+Nhvkig98z8QjI1Q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LIfvb4A&#10;AADcAAAADwAAAAAAAAABACAAAAAiAAAAZHJzL2Rvd25yZXYueG1sUEsBAhQAFAAAAAgAh07iQDMv&#10;BZ47AAAAOQAAABAAAAAAAAAAAQAgAAAADQEAAGRycy9zaGFwZXhtbC54bWxQSwUGAAAAAAYABgBb&#10;AQAAtwMAAAAA&#10;">
                <v:path/>
                <v:fill on="t" focussize="0,0"/>
                <v:stroke color="#000000" miterlimit="8" joinstyle="miter"/>
                <v:imagedata o:title=""/>
                <o:lock v:ext="edit" aspectratio="f"/>
                <v:textbox>
                  <w:txbxContent>
                    <w:p>
                      <w:pPr>
                        <w:jc w:val="center"/>
                        <w:rPr>
                          <w:szCs w:val="21"/>
                        </w:rPr>
                      </w:pPr>
                      <w:r>
                        <w:rPr>
                          <w:rFonts w:hint="eastAsia"/>
                          <w:szCs w:val="21"/>
                        </w:rPr>
                        <w:t>提出安全对策措施建议</w:t>
                      </w:r>
                    </w:p>
                  </w:txbxContent>
                </v:textbox>
              </v:rect>
              <v:line id="Line 686" o:spid="_x0000_s1597" o:spt="20" style="position:absolute;left:5927;top:4254;height:624;width:0;" filled="f" stroked="t" coordsize="21600,21600" o:gfxdata="UEsDBAoAAAAAAIdO4kAAAAAAAAAAAAAAAAAEAAAAZHJzL1BLAwQUAAAACACHTuJAzh2mVL0AAADc&#10;AAAADwAAAGRycy9kb3ducmV2LnhtbEVPz2vCMBS+D/wfwhO8zbQeSleNHgaKYLehjuFuj+atLWte&#10;SpLW7r9fDoMdP77fm91kOjGS861lBekyAUFcWd1yreD9un/MQfiArLGzTAp+yMNuO3vYYKHtnc80&#10;XkItYgj7AhU0IfSFlL5qyKBf2p44cl/WGQwRulpqh/cYbjq5SpJMGmw5NjTY03ND1fdlMArO5f6U&#10;f5yGqXKfh/T1+la+3Hyu1GKeJmsQgabwL/5zH7WC7CnOj2fiEZDb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OHaZUvQAA&#10;ANwAAAAPAAAAAAAAAAEAIAAAACIAAABkcnMvZG93bnJldi54bWxQSwECFAAUAAAACACHTuJAMy8F&#10;njsAAAA5AAAAEAAAAAAAAAABACAAAAAMAQAAZHJzL3NoYXBleG1sLnhtbFBLBQYAAAAABgAGAFsB&#10;AAC2AwAAAAA=&#10;">
                <v:path arrowok="t"/>
                <v:fill on="f" focussize="0,0"/>
                <v:stroke color="#000000" joinstyle="round" endarrow="block"/>
                <v:imagedata o:title=""/>
                <o:lock v:ext="edit" aspectratio="f"/>
              </v:line>
            </v:group>
            <v:group id="组合 696" o:spid="_x0000_s1604" o:spt="203" style="position:absolute;left:0;top:3157870;height:1514475;width:1828800;" coordsize="1828800,1514475" o:gfxdata="UEsDBAoAAAAAAIdO4kAAAAAAAAAAAAAAAAAEAAAAZHJzL1BLAwQUAAAACACHTuJARZ/43MAAAADc&#10;AAAADwAAAGRycy9kb3ducmV2LnhtbEWPQWvCQBSE70L/w/IKvZlNWgw2zRqKtKUHEdSCeHtkn0lI&#10;9m3IbhP9926h4HGYmW+YvLiYTow0uMaygiSKQRCXVjdcKfg5fM6XIJxH1thZJgVXclCsHmY5ZtpO&#10;vKNx7ysRIOwyVFB732dSurImgy6yPXHwznYw6IMcKqkHnALcdPI5jlNpsOGwUGNP65rKdv9rFHxN&#10;OL2/JB/jpj2vr6fDYnvcJKTU02MSv4HwdPH38H/7WytIX1P4OxOOgFzdAFBLAwQUAAAACACHTuJA&#10;My8FnjsAAAA5AAAAFQAAAGRycy9ncm91cHNoYXBleG1sLnhtbLOxr8jNUShLLSrOzM+zVTLUM1BS&#10;SM1Lzk/JzEu3VQoNcdO1UFIoLknMS0nMyc9LtVWqTC1Wsrfj5QIAUEsDBAoAAAAAAIdO4kAAAAAA&#10;AAAAAAAAAAAGAAAAX3JlbHMvUEsDBBQAAAAIAIdO4kAJLbcE0wAAAJkBAAALAAAAX3JlbHMvLnJl&#10;bHOlkEFLAzEQhe+C/yHM3c22BxFptjeh11rBa0hms8FNJszE1f57U0RwpTcPc5h5zPceb7f/TLNa&#10;kCVSNrDpelCYHfmYg4GX09PdAyipNns7U0YDZxTYD7c3uyPOtrYnmWIR1ShZDEy1lketxU2YrHRU&#10;MDdlJE62tpWDLta92YB62/f3mn8zYFgx1cEb4IPfgjqdS3P+w07RMQmNtXOUNI1jdNeoOjC9l+fJ&#10;FnxNc2NZDlgNeJZvSS5SC9m1AX09w+afGTx95CMua/fLkXH58dWrQocvUEsDBBQAAAAIAIdO4kBU&#10;fegn/gAAAOwBAAATAAAAW0NvbnRlbnRfVHlwZXNdLnhtbJWRy07DMBBF90j8g+UtShxYIISadEGA&#10;HSAoHzCyJ4lFYlseN7R/z7iPDaJIXdoz954je7HcTKOYMZL1rpbXZSUFOu2NdX0tP1dPxZ0UlMAZ&#10;GL3DWm6R5LK5vFistgFJcNpRLYeUwr1SpAecgEof0PGk83GCxMfYqwD6C3pUN1V1q7R3CV0qUu6Q&#10;zaLFDtZjEo8bvt6bRBxJiof9YmbVEkIYrYbEpmp25helOBBKTu52aLCBrlhDqj8JeXIacMi98tNE&#10;a1C8QUwvMLGGMpGU8d8u4lz+X5ItJyp811mNZRup5dg7zkerU+199OtAAwTk/nMZzzn8kcNHjNr9&#10;VfMDUEsBAhQAFAAAAAgAh07iQFR96Cf+AAAA7AEAABMAAAAAAAAAAQAgAAAAnQIAAFtDb250ZW50&#10;X1R5cGVzXS54bWxQSwECFAAKAAAAAACHTuJAAAAAAAAAAAAAAAAABgAAAAAAAAAAABAAAAB9AQAA&#10;X3JlbHMvUEsBAhQAFAAAAAgAh07iQAkttwTTAAAAmQEAAAsAAAAAAAAAAQAgAAAAoQEAAF9yZWxz&#10;Ly5yZWxzUEsBAhQACgAAAAAAh07iQAAAAAAAAAAAAAAAAAQAAAAAAAAAAAAQAAAAAAAAAGRycy9Q&#10;SwECFAAUAAAACACHTuJARZ/43MAAAADcAAAADwAAAAAAAAABACAAAAAiAAAAZHJzL2Rvd25yZXYu&#10;eG1sUEsBAhQAFAAAAAgAh07iQDMvBZ47AAAAOQAAABUAAAAAAAAAAQAgAAAADwEAAGRycy9ncm91&#10;cHNoYXBleG1sLnhtbFBLBQYAAAAABgAGAGABAADMAwAAAAA=&#10;">
              <o:lock v:ext="edit" aspectratio="f"/>
              <v:rect id="Rectangle 688" o:spid="_x0000_s1599" o:spt="1" style="position:absolute;left:0;top:0;height:270782;width:1828800;" fillcolor="#FFFFFF" filled="t" stroked="t" coordsize="21600,21600" o:gfxdata="UEsDBAoAAAAAAIdO4kAAAAAAAAAAAAAAAAAEAAAAZHJzL1BLAwQUAAAACACHTuJAN88bEb0AAADc&#10;AAAADwAAAGRycy9kb3ducmV2LnhtbEWPQYvCMBSE78L+h/AW9qaJXRDtGj3souhR68Xbs3nbVpuX&#10;0kSt/nojCB6HmfmGmc47W4sLtb5yrGE4UCCIc2cqLjTsskV/DMIHZIO1Y9JwIw/z2UdviqlxV97Q&#10;ZRsKESHsU9RQhtCkUvq8JIt+4Bri6P271mKIsi2kafEa4baWiVIjabHiuFBiQ78l5aft2Wo4VMkO&#10;75tsqexk8R3WXXY87/+0/vocqh8QgbrwDr/aK6NhNEngeSYeATl7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3zxsRvQAA&#10;ANwAAAAPAAAAAAAAAAEAIAAAACIAAABkcnMvZG93bnJldi54bWxQSwECFAAUAAAACACHTuJAMy8F&#10;njsAAAA5AAAAEAAAAAAAAAABACAAAAAMAQAAZHJzL3NoYXBleG1sLnhtbFBLBQYAAAAABgAGAFsB&#10;AAC2AwAAAAA=&#10;">
                <v:path/>
                <v:fill on="t" focussize="0,0"/>
                <v:stroke color="#000000" miterlimit="8" joinstyle="miter"/>
                <v:imagedata o:title=""/>
                <o:lock v:ext="edit" aspectratio="f"/>
                <v:textbox>
                  <w:txbxContent>
                    <w:p>
                      <w:pPr>
                        <w:jc w:val="center"/>
                        <w:rPr>
                          <w:szCs w:val="21"/>
                        </w:rPr>
                      </w:pPr>
                      <w:r>
                        <w:rPr>
                          <w:rFonts w:hint="eastAsia"/>
                          <w:szCs w:val="21"/>
                        </w:rPr>
                        <w:t>作出评价结论</w:t>
                      </w:r>
                    </w:p>
                  </w:txbxContent>
                </v:textbox>
              </v:rect>
              <v:line id="Line 689" o:spid="_x0000_s1600" o:spt="20" style="position:absolute;left:914400;top:266700;height:361043;width:0;" filled="f" stroked="t" coordsize="21600,21600" o:gfxdata="UEsDBAoAAAAAAIdO4kAAAAAAAAAAAAAAAAAEAAAAZHJzL1BLAwQUAAAACACHTuJAPs84I78AAADc&#10;AAAADwAAAGRycy9kb3ducmV2LnhtbEWPQWvCQBSE7wX/w/KE3uomFSRGVw8Fi6C1qKXo7ZF9JqHZ&#10;t2F31fjvXaHgcZiZb5jpvDONuJDztWUF6SABQVxYXXOp4Ge/eMtA+ICssbFMCm7kYT7rvUwx1/bK&#10;W7rsQikihH2OCqoQ2lxKX1Rk0A9sSxy9k3UGQ5SulNrhNcJNI9+TZCQN1hwXKmzpo6Lib3c2Crbr&#10;xSr7XZ27wh0/083+e/118JlSr/00mYAI1IVn+L+91ApG4yE8zsQjIGd3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7POCO/&#10;AAAA3AAAAA8AAAAAAAAAAQAgAAAAIgAAAGRycy9kb3ducmV2LnhtbFBLAQIUABQAAAAIAIdO4kAz&#10;LwWeOwAAADkAAAAQAAAAAAAAAAEAIAAAAA4BAABkcnMvc2hhcGV4bWwueG1sUEsFBgAAAAAGAAYA&#10;WwEAALgDAAAAAA==&#10;">
                <v:path arrowok="t"/>
                <v:fill on="f" focussize="0,0"/>
                <v:stroke color="#000000" joinstyle="round" endarrow="block"/>
                <v:imagedata o:title=""/>
                <o:lock v:ext="edit" aspectratio="f"/>
              </v:line>
              <v:rect id="Rectangle 690" o:spid="_x0000_s1601" o:spt="1" style="position:absolute;left:19050;top:628650;height:296545;width:1797050;" fillcolor="#FFFFFF" filled="t" stroked="t" coordsize="21600,21600" o:gfxdata="UEsDBAoAAAAAAIdO4kAAAAAAAAAAAAAAAAAEAAAAZHJzL1BLAwQUAAAACACHTuJA12om/r0AAADc&#10;AAAADwAAAGRycy9kb3ducmV2LnhtbEWPzW7CMBCE70h9B2srcQObH6GSYjgUgeAI4dLbNl6S0Hgd&#10;xQYCT4+RkDiOZuYbzWzR2kpcqPGlYw2DvgJBnDlTcq7hkK56XyB8QDZYOSYNN/KwmH90ZpgYd+Ud&#10;XfYhFxHCPkENRQh1IqXPCrLo+64mjt7RNRZDlE0uTYPXCLeVHCo1kRZLjgsF1vRTUPa/P1sNf+Xw&#10;gPddulZ2uhqFbZuezr9LrbufA/UNIlAb3uFXe2M0TKZjeJ6JR0DO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Xaib+vQAA&#10;ANwAAAAPAAAAAAAAAAEAIAAAACIAAABkcnMvZG93bnJldi54bWxQSwECFAAUAAAACACHTuJAMy8F&#10;njsAAAA5AAAAEAAAAAAAAAABACAAAAAMAQAAZHJzL3NoYXBleG1sLnhtbFBLBQYAAAAABgAGAFsB&#10;AAC2AwAAAAA=&#10;">
                <v:path/>
                <v:fill on="t" focussize="0,0"/>
                <v:stroke color="#000000" miterlimit="8" joinstyle="miter"/>
                <v:imagedata o:title=""/>
                <o:lock v:ext="edit" aspectratio="f"/>
                <v:textbox>
                  <w:txbxContent>
                    <w:p>
                      <w:pPr>
                        <w:jc w:val="center"/>
                        <w:rPr>
                          <w:szCs w:val="21"/>
                        </w:rPr>
                      </w:pPr>
                      <w:r>
                        <w:rPr>
                          <w:rFonts w:hint="eastAsia"/>
                          <w:szCs w:val="21"/>
                        </w:rPr>
                        <w:t>与建设单位交换意见</w:t>
                      </w:r>
                    </w:p>
                  </w:txbxContent>
                </v:textbox>
              </v:rect>
              <v:rect id="矩形 673" o:spid="_x0000_s1602" o:spt="1" style="position:absolute;left:28575;top:1228725;height:285750;width:1797050;" fillcolor="#FFFFFF" filled="t" stroked="t" coordsize="21600,21600" o:gfxdata="UEsDBAoAAAAAAIdO4kAAAAAAAAAAAAAAAAAEAAAAZHJzL1BLAwQUAAAACACHTuJA6I9YcL0AAADc&#10;AAAADwAAAGRycy9kb3ducmV2LnhtbEWPzW7CMBCE70h9B2srcQMbkPgJGA6tQHCEcOG2xEuSNl5H&#10;sYHA09eVkDiOZuYbzWLV2krcqPGlYw2DvgJBnDlTcq7hmK57UxA+IBusHJOGB3lYLT86C0yMu/Oe&#10;boeQiwhhn6CGIoQ6kdJnBVn0fVcTR+/iGoshyiaXpsF7hNtKDpUaS4slx4UCa/oqKPs9XK2Gczk8&#10;4nOfbpSdrUdh16Y/19O31t3PgZqDCNSGd/jV3hoN48kI/s/EIyCX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oj1hwvQAA&#10;ANwAAAAPAAAAAAAAAAEAIAAAACIAAABkcnMvZG93bnJldi54bWxQSwECFAAUAAAACACHTuJAMy8F&#10;njsAAAA5AAAAEAAAAAAAAAABACAAAAAMAQAAZHJzL3NoYXBleG1sLnhtbFBLBQYAAAAABgAGAFsB&#10;AAC2AwAAAAA=&#10;">
                <v:path/>
                <v:fill on="t" focussize="0,0"/>
                <v:stroke color="#000000" miterlimit="8" joinstyle="miter"/>
                <v:imagedata o:title=""/>
                <o:lock v:ext="edit" aspectratio="f"/>
                <v:textbox>
                  <w:txbxContent>
                    <w:p>
                      <w:pPr>
                        <w:jc w:val="center"/>
                      </w:pPr>
                      <w:r>
                        <w:rPr>
                          <w:rFonts w:hint="eastAsia"/>
                        </w:rPr>
                        <w:t>安全评价报告</w:t>
                      </w:r>
                    </w:p>
                  </w:txbxContent>
                </v:textbox>
              </v:rect>
              <v:shape id="直接箭头连接符 695" o:spid="_x0000_s1603" o:spt="32" type="#_x0000_t32" style="position:absolute;left:914400;top:923925;height:315813;width:0;" filled="f" stroked="t" coordsize="21600,21600" o:gfxdata="UEsDBAoAAAAAAIdO4kAAAAAAAAAAAAAAAAAEAAAAZHJzL1BLAwQUAAAACACHTuJA8qsydb4AAADc&#10;AAAADwAAAGRycy9kb3ducmV2LnhtbEWPT2sCMRTE74V+h/CE3mpWoYuuRsGKuJcW1FI8PjbPTXDz&#10;smziv376RhA8DjPzG2Y6v7pGnKkL1rOCQT8DQVx5bblW8LNbvY9AhIissfFMCm4UYD57fZliof2F&#10;N3TexlokCIcCFZgY20LKUBlyGPq+JU7ewXcOY5JdLXWHlwR3jRxmWS4dWk4LBlv6NFQdtyenIC73&#10;N5P/Voux/d6tv3L7V5blUqm33iCbgIh0jc/wo11qBfn4A+5n0hGQs3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8qsydb4A&#10;AADcAAAADwAAAAAAAAABACAAAAAiAAAAZHJzL2Rvd25yZXYueG1sUEsBAhQAFAAAAAgAh07iQDMv&#10;BZ47AAAAOQAAABAAAAAAAAAAAQAgAAAADQEAAGRycy9zaGFwZXhtbC54bWxQSwUGAAAAAAYABgBb&#10;AQAAtwMAAAAA&#10;">
                <v:path arrowok="t"/>
                <v:fill on="f" focussize="0,0"/>
                <v:stroke color="#000000" joinstyle="round" endarrow="block"/>
                <v:imagedata o:title=""/>
                <o:lock v:ext="edit" aspectratio="f"/>
              </v:shape>
            </v:group>
          </v:group>
        </w:pict>
      </w:r>
    </w:p>
    <w:p>
      <w:pPr>
        <w:spacing w:line="360" w:lineRule="auto"/>
        <w:ind w:firstLine="560" w:firstLineChars="200"/>
        <w:rPr>
          <w:rFonts w:hint="default" w:ascii="Times New Roman" w:hAnsi="Times New Roman" w:cs="Times New Roman"/>
          <w:sz w:val="28"/>
        </w:rPr>
      </w:pPr>
    </w:p>
    <w:p>
      <w:pPr>
        <w:spacing w:line="360" w:lineRule="auto"/>
        <w:ind w:firstLine="560" w:firstLineChars="200"/>
        <w:rPr>
          <w:rFonts w:hint="default" w:ascii="Times New Roman" w:hAnsi="Times New Roman" w:cs="Times New Roman"/>
          <w:sz w:val="28"/>
        </w:rPr>
      </w:pPr>
    </w:p>
    <w:p>
      <w:pPr>
        <w:spacing w:line="360" w:lineRule="auto"/>
        <w:ind w:firstLine="560" w:firstLineChars="200"/>
        <w:rPr>
          <w:rFonts w:hint="default" w:ascii="Times New Roman" w:hAnsi="Times New Roman" w:cs="Times New Roman"/>
          <w:sz w:val="28"/>
        </w:rPr>
      </w:pPr>
    </w:p>
    <w:p>
      <w:pPr>
        <w:spacing w:line="360" w:lineRule="auto"/>
        <w:ind w:firstLine="560" w:firstLineChars="200"/>
        <w:rPr>
          <w:rFonts w:hint="default" w:ascii="Times New Roman" w:hAnsi="Times New Roman" w:cs="Times New Roman"/>
          <w:sz w:val="28"/>
        </w:rPr>
      </w:pPr>
    </w:p>
    <w:p>
      <w:pPr>
        <w:spacing w:line="360" w:lineRule="auto"/>
        <w:ind w:firstLine="560" w:firstLineChars="200"/>
        <w:rPr>
          <w:rFonts w:hint="default" w:ascii="Times New Roman" w:hAnsi="Times New Roman" w:cs="Times New Roman"/>
          <w:sz w:val="28"/>
        </w:rPr>
      </w:pPr>
    </w:p>
    <w:p>
      <w:pPr>
        <w:spacing w:line="360" w:lineRule="auto"/>
        <w:ind w:firstLine="560" w:firstLineChars="200"/>
        <w:rPr>
          <w:rFonts w:hint="default" w:ascii="Times New Roman" w:hAnsi="Times New Roman" w:cs="Times New Roman"/>
          <w:sz w:val="28"/>
        </w:rPr>
      </w:pPr>
    </w:p>
    <w:p>
      <w:pPr>
        <w:spacing w:line="360" w:lineRule="auto"/>
        <w:ind w:firstLine="560" w:firstLineChars="200"/>
        <w:rPr>
          <w:rFonts w:hint="default" w:ascii="Times New Roman" w:hAnsi="Times New Roman" w:cs="Times New Roman"/>
          <w:sz w:val="28"/>
        </w:rPr>
      </w:pPr>
    </w:p>
    <w:p>
      <w:pPr>
        <w:spacing w:line="360" w:lineRule="auto"/>
        <w:ind w:firstLine="560" w:firstLineChars="200"/>
        <w:rPr>
          <w:rFonts w:hint="default" w:ascii="Times New Roman" w:hAnsi="Times New Roman" w:cs="Times New Roman"/>
          <w:sz w:val="28"/>
        </w:rPr>
      </w:pPr>
    </w:p>
    <w:p>
      <w:pPr>
        <w:spacing w:line="360" w:lineRule="auto"/>
        <w:ind w:firstLine="560" w:firstLineChars="200"/>
        <w:rPr>
          <w:rFonts w:hint="default" w:ascii="Times New Roman" w:hAnsi="Times New Roman" w:cs="Times New Roman"/>
          <w:sz w:val="28"/>
        </w:rPr>
      </w:pPr>
    </w:p>
    <w:p>
      <w:pPr>
        <w:spacing w:line="360" w:lineRule="auto"/>
        <w:ind w:firstLine="560" w:firstLineChars="200"/>
        <w:rPr>
          <w:rFonts w:hint="default" w:ascii="Times New Roman" w:hAnsi="Times New Roman" w:cs="Times New Roman"/>
          <w:sz w:val="28"/>
        </w:rPr>
      </w:pPr>
    </w:p>
    <w:p>
      <w:pPr>
        <w:spacing w:line="360" w:lineRule="auto"/>
        <w:ind w:firstLine="110" w:firstLineChars="50"/>
        <w:jc w:val="center"/>
        <w:rPr>
          <w:rFonts w:hint="default" w:ascii="Times New Roman" w:hAnsi="Times New Roman" w:cs="Times New Roman"/>
          <w:szCs w:val="21"/>
        </w:rPr>
      </w:pPr>
      <w:r>
        <w:rPr>
          <w:rFonts w:hint="default" w:ascii="Times New Roman" w:hAnsi="Times New Roman" w:cs="Times New Roman"/>
          <w:szCs w:val="21"/>
        </w:rPr>
        <w:t xml:space="preserve">             </w:t>
      </w:r>
    </w:p>
    <w:p>
      <w:pPr>
        <w:spacing w:line="360" w:lineRule="auto"/>
        <w:jc w:val="both"/>
        <w:rPr>
          <w:rFonts w:hint="default" w:ascii="Times New Roman" w:hAnsi="Times New Roman" w:cs="Times New Roman"/>
          <w:szCs w:val="21"/>
        </w:rPr>
      </w:pPr>
    </w:p>
    <w:p>
      <w:pPr>
        <w:spacing w:line="360" w:lineRule="auto"/>
        <w:jc w:val="both"/>
        <w:rPr>
          <w:rFonts w:hint="default" w:ascii="Times New Roman" w:hAnsi="Times New Roman" w:cs="Times New Roman"/>
          <w:szCs w:val="21"/>
        </w:rPr>
      </w:pPr>
    </w:p>
    <w:p>
      <w:pPr>
        <w:spacing w:line="360" w:lineRule="auto"/>
        <w:jc w:val="both"/>
        <w:rPr>
          <w:rFonts w:hint="default" w:ascii="Times New Roman" w:hAnsi="Times New Roman" w:cs="Times New Roman"/>
          <w:szCs w:val="21"/>
        </w:rPr>
      </w:pPr>
    </w:p>
    <w:p>
      <w:pPr>
        <w:pStyle w:val="11"/>
        <w:rPr>
          <w:rFonts w:hint="default" w:ascii="Times New Roman" w:hAnsi="Times New Roman" w:cs="Times New Roman"/>
          <w:sz w:val="20"/>
        </w:rPr>
      </w:pPr>
    </w:p>
    <w:p>
      <w:pPr>
        <w:tabs>
          <w:tab w:val="left" w:pos="4838"/>
        </w:tabs>
        <w:spacing w:before="67"/>
        <w:rPr>
          <w:rFonts w:hint="default" w:ascii="Times New Roman" w:hAnsi="Times New Roman" w:cs="Times New Roman"/>
          <w:sz w:val="25"/>
          <w:szCs w:val="28"/>
        </w:rPr>
      </w:pPr>
    </w:p>
    <w:p>
      <w:pPr>
        <w:tabs>
          <w:tab w:val="left" w:pos="4838"/>
        </w:tabs>
        <w:spacing w:before="67"/>
        <w:jc w:val="center"/>
        <w:rPr>
          <w:rFonts w:hint="default" w:ascii="Times New Roman" w:hAnsi="Times New Roman" w:cs="Times New Roman"/>
          <w:spacing w:val="20"/>
          <w:w w:val="105"/>
          <w:sz w:val="29"/>
        </w:rPr>
      </w:pPr>
    </w:p>
    <w:p>
      <w:pPr>
        <w:tabs>
          <w:tab w:val="left" w:pos="4838"/>
        </w:tabs>
        <w:spacing w:before="67"/>
        <w:jc w:val="center"/>
        <w:rPr>
          <w:rFonts w:hint="default" w:ascii="Times New Roman" w:hAnsi="Times New Roman" w:cs="Times New Roman"/>
          <w:sz w:val="24"/>
          <w:szCs w:val="24"/>
        </w:rPr>
      </w:pPr>
      <w:bookmarkStart w:id="238" w:name="_Toc3801_WPSOffice_Level2"/>
      <w:bookmarkStart w:id="239" w:name="_Toc4884_WPSOffice_Level2"/>
      <w:bookmarkStart w:id="240" w:name="_Toc11108_WPSOffice_Level2"/>
      <w:bookmarkStart w:id="241" w:name="_Toc5824_WPSOffice_Level2"/>
      <w:r>
        <w:rPr>
          <w:rFonts w:hint="default" w:ascii="Times New Roman" w:hAnsi="Times New Roman" w:cs="Times New Roman"/>
          <w:spacing w:val="20"/>
          <w:w w:val="105"/>
          <w:sz w:val="24"/>
          <w:szCs w:val="24"/>
        </w:rPr>
        <w:t>图</w:t>
      </w:r>
      <w:r>
        <w:rPr>
          <w:rFonts w:hint="default" w:ascii="Times New Roman" w:hAnsi="Times New Roman" w:cs="Times New Roman"/>
          <w:w w:val="105"/>
          <w:sz w:val="24"/>
          <w:szCs w:val="24"/>
        </w:rPr>
        <w:t>1.</w:t>
      </w:r>
      <w:r>
        <w:rPr>
          <w:rFonts w:hint="default" w:ascii="Times New Roman" w:hAnsi="Times New Roman" w:cs="Times New Roman"/>
          <w:w w:val="105"/>
          <w:sz w:val="24"/>
          <w:szCs w:val="24"/>
          <w:lang w:val="en-US"/>
        </w:rPr>
        <w:t>4</w:t>
      </w:r>
      <w:r>
        <w:rPr>
          <w:rFonts w:hint="default" w:ascii="Times New Roman" w:hAnsi="Times New Roman" w:cs="Times New Roman"/>
          <w:w w:val="105"/>
          <w:sz w:val="24"/>
          <w:szCs w:val="24"/>
        </w:rPr>
        <w:t>-1</w:t>
      </w:r>
      <w:r>
        <w:rPr>
          <w:rFonts w:hint="default" w:ascii="Times New Roman" w:hAnsi="Times New Roman" w:cs="Times New Roman"/>
          <w:w w:val="105"/>
          <w:sz w:val="24"/>
          <w:szCs w:val="24"/>
          <w:lang w:val="en-US"/>
        </w:rPr>
        <w:t xml:space="preserve">  </w:t>
      </w:r>
      <w:r>
        <w:rPr>
          <w:rFonts w:hint="default" w:ascii="Times New Roman" w:hAnsi="Times New Roman" w:cs="Times New Roman"/>
          <w:w w:val="105"/>
          <w:sz w:val="24"/>
          <w:szCs w:val="24"/>
        </w:rPr>
        <w:t>安全评价程序框图</w:t>
      </w:r>
      <w:bookmarkEnd w:id="238"/>
      <w:bookmarkEnd w:id="239"/>
      <w:bookmarkEnd w:id="240"/>
      <w:bookmarkEnd w:id="241"/>
    </w:p>
    <w:p>
      <w:pPr>
        <w:rPr>
          <w:rFonts w:hint="default" w:ascii="Times New Roman" w:hAnsi="Times New Roman" w:cs="Times New Roman"/>
          <w:sz w:val="29"/>
        </w:rPr>
        <w:sectPr>
          <w:footerReference r:id="rId5" w:type="default"/>
          <w:pgSz w:w="11910" w:h="16840"/>
          <w:pgMar w:top="1417" w:right="1134" w:bottom="1134" w:left="1587" w:header="720" w:footer="720" w:gutter="0"/>
          <w:pgNumType w:start="1"/>
          <w:cols w:space="0" w:num="1"/>
        </w:sectPr>
      </w:pPr>
    </w:p>
    <w:p>
      <w:pPr>
        <w:pStyle w:val="3"/>
        <w:spacing w:beforeLines="100" w:afterLines="100"/>
        <w:ind w:firstLine="0"/>
        <w:jc w:val="center"/>
        <w:rPr>
          <w:rFonts w:hint="default" w:ascii="Times New Roman" w:hAnsi="Times New Roman" w:cs="Times New Roman"/>
        </w:rPr>
      </w:pPr>
      <w:bookmarkStart w:id="242" w:name="_Toc24075"/>
      <w:bookmarkStart w:id="243" w:name="_Toc10943"/>
      <w:bookmarkStart w:id="244" w:name="_Toc31638"/>
      <w:bookmarkStart w:id="245" w:name="_Toc5056"/>
      <w:bookmarkStart w:id="246" w:name="_Toc16912"/>
      <w:bookmarkStart w:id="247" w:name="_Toc12455_WPSOffice_Level1"/>
      <w:bookmarkStart w:id="248" w:name="_Toc18040"/>
      <w:bookmarkStart w:id="249" w:name="_Toc15510"/>
      <w:bookmarkStart w:id="250" w:name="_Toc13336"/>
      <w:bookmarkStart w:id="251" w:name="_Toc26262"/>
      <w:bookmarkStart w:id="252" w:name="_Toc16419"/>
      <w:bookmarkStart w:id="253" w:name="_Toc4007_WPSOffice_Level1"/>
      <w:bookmarkStart w:id="254" w:name="_Toc18883"/>
      <w:bookmarkStart w:id="255" w:name="_Toc4853"/>
      <w:bookmarkStart w:id="256" w:name="_Toc26207"/>
      <w:bookmarkStart w:id="257" w:name="_Toc6409"/>
      <w:bookmarkStart w:id="258" w:name="_Toc17211"/>
      <w:bookmarkStart w:id="259" w:name="_Toc2805"/>
      <w:bookmarkStart w:id="260" w:name="_Toc10595"/>
      <w:bookmarkStart w:id="261" w:name="_Toc2759_WPSOffice_Level1"/>
      <w:bookmarkStart w:id="262" w:name="_Toc13245"/>
      <w:bookmarkStart w:id="263" w:name="_Toc9997"/>
      <w:bookmarkStart w:id="264" w:name="_Toc20102"/>
      <w:bookmarkStart w:id="265" w:name="_Toc24467"/>
      <w:bookmarkStart w:id="266" w:name="_Toc29814"/>
      <w:r>
        <w:rPr>
          <w:rFonts w:hint="default" w:ascii="Times New Roman" w:hAnsi="Times New Roman" w:cs="Times New Roman"/>
        </w:rPr>
        <w:t>2</w:t>
      </w:r>
      <w:r>
        <w:rPr>
          <w:rFonts w:hint="default" w:ascii="Times New Roman" w:hAnsi="Times New Roman" w:cs="Times New Roman"/>
          <w:spacing w:val="78"/>
        </w:rPr>
        <w:t xml:space="preserve"> </w:t>
      </w:r>
      <w:r>
        <w:rPr>
          <w:rFonts w:hint="default" w:ascii="Times New Roman" w:hAnsi="Times New Roman" w:cs="Times New Roman"/>
        </w:rPr>
        <w:t>建设项目概况</w:t>
      </w:r>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p>
    <w:p>
      <w:pPr>
        <w:pStyle w:val="4"/>
        <w:spacing w:beforeLines="100" w:afterLines="100"/>
        <w:ind w:firstLine="0"/>
        <w:jc w:val="center"/>
        <w:rPr>
          <w:rFonts w:hint="default" w:ascii="Times New Roman" w:hAnsi="Times New Roman" w:eastAsia="宋体" w:cs="Times New Roman"/>
          <w:b/>
          <w:bCs/>
        </w:rPr>
      </w:pPr>
      <w:bookmarkStart w:id="267" w:name="_Toc21875"/>
      <w:bookmarkStart w:id="268" w:name="_Toc7851"/>
      <w:bookmarkStart w:id="269" w:name="_Toc17306"/>
      <w:bookmarkStart w:id="270" w:name="_Toc7491_WPSOffice_Level2"/>
      <w:bookmarkStart w:id="271" w:name="_Toc30652"/>
      <w:bookmarkStart w:id="272" w:name="_Toc27297"/>
      <w:bookmarkStart w:id="273" w:name="_Toc17682"/>
      <w:bookmarkStart w:id="274" w:name="_Toc6496"/>
      <w:bookmarkStart w:id="275" w:name="_Toc6486"/>
      <w:bookmarkStart w:id="276" w:name="_Toc15655"/>
      <w:bookmarkStart w:id="277" w:name="_Toc6545"/>
      <w:bookmarkStart w:id="278" w:name="_Toc23848"/>
      <w:bookmarkStart w:id="279" w:name="_Toc29598_WPSOffice_Level2"/>
      <w:bookmarkStart w:id="280" w:name="_Toc7475"/>
      <w:bookmarkStart w:id="281" w:name="_Toc16078"/>
      <w:bookmarkStart w:id="282" w:name="_Toc29248"/>
      <w:bookmarkStart w:id="283" w:name="_Toc6193"/>
      <w:bookmarkStart w:id="284" w:name="_Toc29417"/>
      <w:bookmarkStart w:id="285" w:name="_Toc27513"/>
      <w:bookmarkStart w:id="286" w:name="_Toc24209"/>
      <w:bookmarkStart w:id="287" w:name="_Toc29777_WPSOffice_Level2"/>
      <w:bookmarkStart w:id="288" w:name="_Toc19711"/>
      <w:bookmarkStart w:id="289" w:name="_Toc17811"/>
      <w:bookmarkStart w:id="290" w:name="_Toc8176"/>
      <w:bookmarkStart w:id="291" w:name="_Toc28906"/>
      <w:r>
        <w:rPr>
          <w:rFonts w:hint="default" w:ascii="Times New Roman" w:hAnsi="Times New Roman" w:eastAsia="宋体" w:cs="Times New Roman"/>
          <w:b/>
          <w:bCs/>
          <w:lang w:val="en-US"/>
        </w:rPr>
        <w:t xml:space="preserve">2.1 </w:t>
      </w:r>
      <w:r>
        <w:rPr>
          <w:rFonts w:hint="default" w:ascii="Times New Roman" w:hAnsi="Times New Roman" w:eastAsia="宋体" w:cs="Times New Roman"/>
          <w:b/>
          <w:bCs/>
        </w:rPr>
        <w:t>建设项目基本情况</w:t>
      </w:r>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p>
    <w:p>
      <w:pPr>
        <w:spacing w:line="360" w:lineRule="auto"/>
        <w:ind w:firstLine="532" w:firstLineChars="200"/>
        <w:jc w:val="both"/>
        <w:rPr>
          <w:rFonts w:hint="default" w:ascii="Times New Roman" w:hAnsi="Times New Roman" w:cs="Times New Roman"/>
          <w:spacing w:val="-7"/>
          <w:sz w:val="28"/>
          <w:szCs w:val="28"/>
          <w:lang w:val="en-US" w:eastAsia="zh-CN"/>
        </w:rPr>
      </w:pPr>
      <w:r>
        <w:rPr>
          <w:rFonts w:hint="eastAsia" w:ascii="Times New Roman" w:hAnsi="Times New Roman" w:cs="Times New Roman"/>
          <w:color w:val="auto"/>
          <w:spacing w:val="-7"/>
          <w:sz w:val="28"/>
          <w:szCs w:val="28"/>
          <w:shd w:val="clear" w:color="auto" w:fill="auto"/>
          <w:lang w:val="en-US" w:eastAsia="zh-CN"/>
        </w:rPr>
        <w:t>东城加油站</w:t>
      </w:r>
      <w:r>
        <w:rPr>
          <w:rFonts w:hint="eastAsia"/>
          <w:spacing w:val="-7"/>
          <w:sz w:val="28"/>
          <w:szCs w:val="28"/>
          <w:lang w:val="en-US" w:eastAsia="zh-CN"/>
        </w:rPr>
        <w:t>位于</w:t>
      </w:r>
      <w:r>
        <w:rPr>
          <w:rFonts w:hint="eastAsia" w:ascii="宋体" w:hAnsi="宋体" w:eastAsia="宋体"/>
          <w:color w:val="auto"/>
          <w:sz w:val="28"/>
          <w:szCs w:val="28"/>
          <w:lang w:eastAsia="zh-CN"/>
        </w:rPr>
        <w:t>广东省</w:t>
      </w:r>
      <w:r>
        <w:rPr>
          <w:rFonts w:hint="eastAsia"/>
          <w:color w:val="auto"/>
          <w:sz w:val="28"/>
          <w:szCs w:val="28"/>
          <w:lang w:eastAsia="zh-CN"/>
        </w:rPr>
        <w:t>东莞市石碣镇唐洪金星南路1号</w:t>
      </w:r>
      <w:r>
        <w:rPr>
          <w:rFonts w:hint="eastAsia" w:ascii="宋体" w:hAnsi="宋体" w:eastAsia="宋体"/>
          <w:color w:val="auto"/>
          <w:sz w:val="28"/>
          <w:szCs w:val="28"/>
          <w:lang w:eastAsia="zh-CN"/>
        </w:rPr>
        <w:t>，成立于20</w:t>
      </w:r>
      <w:r>
        <w:rPr>
          <w:rFonts w:hint="eastAsia"/>
          <w:color w:val="auto"/>
          <w:sz w:val="28"/>
          <w:szCs w:val="28"/>
          <w:lang w:val="en-US" w:eastAsia="zh-CN"/>
        </w:rPr>
        <w:t>12</w:t>
      </w:r>
      <w:r>
        <w:rPr>
          <w:rFonts w:hint="eastAsia" w:ascii="宋体" w:hAnsi="宋体" w:eastAsia="宋体"/>
          <w:color w:val="auto"/>
          <w:sz w:val="28"/>
          <w:szCs w:val="28"/>
          <w:lang w:eastAsia="zh-CN"/>
        </w:rPr>
        <w:t>年0</w:t>
      </w:r>
      <w:r>
        <w:rPr>
          <w:rFonts w:hint="eastAsia"/>
          <w:color w:val="auto"/>
          <w:sz w:val="28"/>
          <w:szCs w:val="28"/>
          <w:lang w:val="en-US" w:eastAsia="zh-CN"/>
        </w:rPr>
        <w:t>9</w:t>
      </w:r>
      <w:r>
        <w:rPr>
          <w:rFonts w:hint="eastAsia" w:ascii="宋体" w:hAnsi="宋体" w:eastAsia="宋体"/>
          <w:color w:val="auto"/>
          <w:sz w:val="28"/>
          <w:szCs w:val="28"/>
          <w:lang w:eastAsia="zh-CN"/>
        </w:rPr>
        <w:t>月</w:t>
      </w:r>
      <w:r>
        <w:rPr>
          <w:rFonts w:hint="eastAsia" w:ascii="宋体" w:hAnsi="宋体" w:eastAsia="宋体"/>
          <w:color w:val="auto"/>
          <w:sz w:val="28"/>
          <w:szCs w:val="28"/>
          <w:lang w:val="en-US" w:eastAsia="zh-CN"/>
        </w:rPr>
        <w:t>06</w:t>
      </w:r>
      <w:r>
        <w:rPr>
          <w:rFonts w:hint="eastAsia" w:ascii="宋体" w:hAnsi="宋体" w:eastAsia="宋体"/>
          <w:color w:val="auto"/>
          <w:sz w:val="28"/>
          <w:szCs w:val="28"/>
          <w:lang w:eastAsia="zh-CN"/>
        </w:rPr>
        <w:t>日，属于分公司企业，负责人：江泽彬，统一社会信用代码：91441900053759301L，</w:t>
      </w:r>
      <w:r>
        <w:rPr>
          <w:rFonts w:hint="eastAsia" w:ascii="宋体" w:hAnsi="宋体" w:eastAsia="宋体"/>
          <w:color w:val="auto"/>
          <w:sz w:val="28"/>
          <w:szCs w:val="28"/>
        </w:rPr>
        <w:t>经营</w:t>
      </w:r>
      <w:r>
        <w:rPr>
          <w:rFonts w:hint="eastAsia" w:ascii="宋体" w:hAnsi="宋体" w:eastAsia="宋体"/>
          <w:color w:val="auto"/>
          <w:sz w:val="28"/>
          <w:szCs w:val="28"/>
          <w:lang w:eastAsia="zh-CN"/>
        </w:rPr>
        <w:t>范围：</w:t>
      </w:r>
      <w:r>
        <w:rPr>
          <w:rFonts w:hint="eastAsia" w:ascii="宋体" w:hAnsi="宋体" w:eastAsia="宋体"/>
          <w:color w:val="auto"/>
          <w:sz w:val="28"/>
          <w:szCs w:val="28"/>
        </w:rPr>
        <w:t>租赁经营东莞市石碣唐洪东城加油站有限公司；零售：汽油、柴油、润滑油、沥青、燃料油、预包装食品(含冷藏冷冻食品)、特殊食品（保健食品、婴幼儿配方乳粉）、纺织、服装、日用品、五金、家用电器及电子产品、充值卡；委托代理收取水电费；票务代理服务</w:t>
      </w:r>
      <w:r>
        <w:rPr>
          <w:rFonts w:hint="eastAsia"/>
          <w:spacing w:val="-7"/>
          <w:sz w:val="28"/>
          <w:szCs w:val="28"/>
          <w:lang w:val="en-US" w:eastAsia="zh-CN"/>
        </w:rPr>
        <w:t>。(依法须经批准的项目,经相关部门批准后方可开展经营活动)。</w:t>
      </w:r>
    </w:p>
    <w:p>
      <w:pPr>
        <w:keepNext w:val="0"/>
        <w:keepLines w:val="0"/>
        <w:pageBreakBefore w:val="0"/>
        <w:widowControl w:val="0"/>
        <w:kinsoku/>
        <w:wordWrap/>
        <w:overflowPunct/>
        <w:topLinePunct w:val="0"/>
        <w:autoSpaceDE w:val="0"/>
        <w:autoSpaceDN w:val="0"/>
        <w:bidi w:val="0"/>
        <w:adjustRightInd/>
        <w:snapToGrid/>
        <w:spacing w:line="360" w:lineRule="auto"/>
        <w:ind w:firstLine="532" w:firstLineChars="200"/>
        <w:jc w:val="both"/>
        <w:textAlignment w:val="auto"/>
        <w:rPr>
          <w:rFonts w:hint="default" w:ascii="Times New Roman" w:hAnsi="Times New Roman" w:cs="Times New Roman"/>
          <w:color w:val="auto"/>
          <w:spacing w:val="-7"/>
          <w:sz w:val="28"/>
          <w:szCs w:val="28"/>
          <w:lang w:val="en-US" w:eastAsia="zh-CN"/>
        </w:rPr>
      </w:pPr>
      <w:r>
        <w:rPr>
          <w:rFonts w:hint="eastAsia" w:ascii="Times New Roman" w:hAnsi="Times New Roman" w:cs="Times New Roman"/>
          <w:color w:val="auto"/>
          <w:spacing w:val="-7"/>
          <w:sz w:val="28"/>
          <w:szCs w:val="28"/>
          <w:shd w:val="clear" w:color="auto" w:fill="auto"/>
          <w:lang w:val="en-US" w:eastAsia="zh-CN"/>
        </w:rPr>
        <w:t>东城加油站</w:t>
      </w:r>
      <w:r>
        <w:rPr>
          <w:rFonts w:hint="default" w:ascii="Times New Roman" w:hAnsi="Times New Roman" w:cs="Times New Roman"/>
          <w:color w:val="auto"/>
          <w:spacing w:val="-7"/>
          <w:sz w:val="28"/>
          <w:szCs w:val="28"/>
          <w:shd w:val="clear" w:color="auto" w:fill="auto"/>
          <w:lang w:val="en-US" w:eastAsia="zh-CN"/>
        </w:rPr>
        <w:t>已经东莞市应急管理局批准并取得《危险化学品经营许可证》，登记编号为粤东危化经字（</w:t>
      </w:r>
      <w:r>
        <w:rPr>
          <w:rFonts w:hint="eastAsia" w:ascii="Times New Roman" w:hAnsi="Times New Roman" w:cs="Times New Roman"/>
          <w:color w:val="auto"/>
          <w:spacing w:val="-7"/>
          <w:sz w:val="28"/>
          <w:szCs w:val="28"/>
          <w:shd w:val="clear" w:color="auto" w:fill="auto"/>
          <w:lang w:val="en-US" w:eastAsia="zh-CN"/>
        </w:rPr>
        <w:t>2020</w:t>
      </w:r>
      <w:r>
        <w:rPr>
          <w:rFonts w:hint="default" w:ascii="Times New Roman" w:hAnsi="Times New Roman" w:cs="Times New Roman"/>
          <w:color w:val="auto"/>
          <w:spacing w:val="-7"/>
          <w:sz w:val="28"/>
          <w:szCs w:val="28"/>
          <w:shd w:val="clear" w:color="auto" w:fill="auto"/>
          <w:lang w:val="en-US" w:eastAsia="zh-CN"/>
        </w:rPr>
        <w:t>）000</w:t>
      </w:r>
      <w:r>
        <w:rPr>
          <w:rFonts w:hint="eastAsia" w:ascii="Times New Roman" w:hAnsi="Times New Roman" w:cs="Times New Roman"/>
          <w:color w:val="auto"/>
          <w:spacing w:val="-7"/>
          <w:sz w:val="28"/>
          <w:szCs w:val="28"/>
          <w:shd w:val="clear" w:color="auto" w:fill="auto"/>
          <w:lang w:val="en-US" w:eastAsia="zh-CN"/>
        </w:rPr>
        <w:t>127</w:t>
      </w:r>
      <w:r>
        <w:rPr>
          <w:rFonts w:hint="default" w:ascii="Times New Roman" w:hAnsi="Times New Roman" w:cs="Times New Roman"/>
          <w:color w:val="auto"/>
          <w:spacing w:val="-7"/>
          <w:sz w:val="28"/>
          <w:szCs w:val="28"/>
          <w:shd w:val="clear" w:color="auto" w:fill="auto"/>
          <w:lang w:val="en-US" w:eastAsia="zh-CN"/>
        </w:rPr>
        <w:t>号，有效期至202</w:t>
      </w:r>
      <w:r>
        <w:rPr>
          <w:rFonts w:hint="eastAsia" w:ascii="Times New Roman" w:hAnsi="Times New Roman" w:cs="Times New Roman"/>
          <w:color w:val="auto"/>
          <w:spacing w:val="-7"/>
          <w:sz w:val="28"/>
          <w:szCs w:val="28"/>
          <w:shd w:val="clear" w:color="auto" w:fill="auto"/>
          <w:lang w:val="en-US" w:eastAsia="zh-CN"/>
        </w:rPr>
        <w:t>3</w:t>
      </w:r>
      <w:r>
        <w:rPr>
          <w:rFonts w:hint="default" w:ascii="Times New Roman" w:hAnsi="Times New Roman" w:cs="Times New Roman"/>
          <w:color w:val="auto"/>
          <w:spacing w:val="-7"/>
          <w:sz w:val="28"/>
          <w:szCs w:val="28"/>
          <w:shd w:val="clear" w:color="auto" w:fill="auto"/>
          <w:lang w:val="en-US" w:eastAsia="zh-CN"/>
        </w:rPr>
        <w:t>年</w:t>
      </w:r>
      <w:r>
        <w:rPr>
          <w:rFonts w:hint="eastAsia" w:ascii="Times New Roman" w:hAnsi="Times New Roman" w:cs="Times New Roman"/>
          <w:color w:val="auto"/>
          <w:spacing w:val="-7"/>
          <w:sz w:val="28"/>
          <w:szCs w:val="28"/>
          <w:shd w:val="clear" w:color="auto" w:fill="auto"/>
          <w:lang w:val="en-US" w:eastAsia="zh-CN"/>
        </w:rPr>
        <w:t>06</w:t>
      </w:r>
      <w:r>
        <w:rPr>
          <w:rFonts w:hint="default" w:ascii="Times New Roman" w:hAnsi="Times New Roman" w:cs="Times New Roman"/>
          <w:color w:val="auto"/>
          <w:spacing w:val="-7"/>
          <w:sz w:val="28"/>
          <w:szCs w:val="28"/>
          <w:shd w:val="clear" w:color="auto" w:fill="auto"/>
          <w:lang w:val="en-US" w:eastAsia="zh-CN"/>
        </w:rPr>
        <w:t>月2</w:t>
      </w:r>
      <w:r>
        <w:rPr>
          <w:rFonts w:hint="eastAsia" w:ascii="Times New Roman" w:hAnsi="Times New Roman" w:cs="Times New Roman"/>
          <w:color w:val="auto"/>
          <w:spacing w:val="-7"/>
          <w:sz w:val="28"/>
          <w:szCs w:val="28"/>
          <w:shd w:val="clear" w:color="auto" w:fill="auto"/>
          <w:lang w:val="en-US" w:eastAsia="zh-CN"/>
        </w:rPr>
        <w:t>7</w:t>
      </w:r>
      <w:r>
        <w:rPr>
          <w:rFonts w:hint="default" w:ascii="Times New Roman" w:hAnsi="Times New Roman" w:cs="Times New Roman"/>
          <w:color w:val="auto"/>
          <w:spacing w:val="-7"/>
          <w:sz w:val="28"/>
          <w:szCs w:val="28"/>
          <w:shd w:val="clear" w:color="auto" w:fill="auto"/>
          <w:lang w:val="en-US" w:eastAsia="zh-CN"/>
        </w:rPr>
        <w:t>日，许可范围：汽油（1630）、柴油[闭杯闪点≤60℃]（1674）***（备注：</w:t>
      </w:r>
      <w:r>
        <w:rPr>
          <w:rFonts w:hint="eastAsia" w:ascii="Times New Roman" w:hAnsi="Times New Roman" w:cs="Times New Roman"/>
          <w:color w:val="auto"/>
          <w:spacing w:val="-7"/>
          <w:sz w:val="28"/>
          <w:szCs w:val="28"/>
          <w:shd w:val="clear" w:color="auto" w:fill="auto"/>
          <w:lang w:val="en-US" w:eastAsia="zh-CN"/>
        </w:rPr>
        <w:t>二</w:t>
      </w:r>
      <w:r>
        <w:rPr>
          <w:rFonts w:hint="default" w:ascii="Times New Roman" w:hAnsi="Times New Roman" w:cs="Times New Roman"/>
          <w:color w:val="auto"/>
          <w:spacing w:val="-7"/>
          <w:sz w:val="28"/>
          <w:szCs w:val="28"/>
          <w:shd w:val="clear" w:color="auto" w:fill="auto"/>
          <w:lang w:val="en-US" w:eastAsia="zh-CN"/>
        </w:rPr>
        <w:t>级加油站，其中汽油罐30m³×</w:t>
      </w:r>
      <w:r>
        <w:rPr>
          <w:rFonts w:hint="eastAsia" w:ascii="Times New Roman" w:hAnsi="Times New Roman" w:cs="Times New Roman"/>
          <w:color w:val="auto"/>
          <w:spacing w:val="-7"/>
          <w:sz w:val="28"/>
          <w:szCs w:val="28"/>
          <w:shd w:val="clear" w:color="auto" w:fill="auto"/>
          <w:lang w:val="en-US" w:eastAsia="zh-CN"/>
        </w:rPr>
        <w:t>3</w:t>
      </w:r>
      <w:r>
        <w:rPr>
          <w:rFonts w:hint="default" w:ascii="Times New Roman" w:hAnsi="Times New Roman" w:cs="Times New Roman"/>
          <w:color w:val="auto"/>
          <w:spacing w:val="-7"/>
          <w:sz w:val="28"/>
          <w:szCs w:val="28"/>
          <w:shd w:val="clear" w:color="auto" w:fill="auto"/>
          <w:lang w:val="en-US" w:eastAsia="zh-CN"/>
        </w:rPr>
        <w:t>个，柴油罐</w:t>
      </w:r>
      <w:r>
        <w:rPr>
          <w:rFonts w:hint="eastAsia" w:ascii="Times New Roman" w:hAnsi="Times New Roman" w:cs="Times New Roman"/>
          <w:color w:val="auto"/>
          <w:spacing w:val="-7"/>
          <w:sz w:val="28"/>
          <w:szCs w:val="28"/>
          <w:shd w:val="clear" w:color="auto" w:fill="auto"/>
          <w:lang w:val="en-US" w:eastAsia="zh-CN"/>
        </w:rPr>
        <w:t>3</w:t>
      </w:r>
      <w:r>
        <w:rPr>
          <w:rFonts w:hint="default" w:ascii="Times New Roman" w:hAnsi="Times New Roman" w:cs="Times New Roman"/>
          <w:color w:val="auto"/>
          <w:spacing w:val="-7"/>
          <w:sz w:val="28"/>
          <w:szCs w:val="28"/>
          <w:shd w:val="clear" w:color="auto" w:fill="auto"/>
          <w:lang w:val="en-US" w:eastAsia="zh-CN"/>
        </w:rPr>
        <w:t>0m³×1个）***。</w:t>
      </w:r>
      <w:r>
        <w:rPr>
          <w:rFonts w:hint="default" w:ascii="Times New Roman" w:hAnsi="Times New Roman" w:cs="Times New Roman"/>
          <w:color w:val="auto"/>
          <w:spacing w:val="-7"/>
          <w:sz w:val="28"/>
          <w:szCs w:val="28"/>
          <w:highlight w:val="none"/>
          <w:shd w:val="clear" w:color="auto" w:fill="auto"/>
          <w:lang w:val="en-US" w:eastAsia="zh-CN"/>
        </w:rPr>
        <w:t>已经广东省能源局批准颁发《成品油零售经营批准证书》，证书编号为：油零售证书第44S</w:t>
      </w:r>
      <w:r>
        <w:rPr>
          <w:rFonts w:hint="eastAsia" w:ascii="Times New Roman" w:hAnsi="Times New Roman" w:cs="Times New Roman"/>
          <w:color w:val="auto"/>
          <w:spacing w:val="-7"/>
          <w:sz w:val="28"/>
          <w:szCs w:val="28"/>
          <w:highlight w:val="none"/>
          <w:shd w:val="clear" w:color="auto" w:fill="auto"/>
          <w:lang w:val="en-US" w:eastAsia="zh-CN"/>
        </w:rPr>
        <w:t>30026</w:t>
      </w:r>
      <w:r>
        <w:rPr>
          <w:rFonts w:hint="default" w:ascii="Times New Roman" w:hAnsi="Times New Roman" w:cs="Times New Roman"/>
          <w:color w:val="auto"/>
          <w:spacing w:val="-7"/>
          <w:sz w:val="28"/>
          <w:szCs w:val="28"/>
          <w:highlight w:val="none"/>
          <w:shd w:val="clear" w:color="auto" w:fill="auto"/>
          <w:lang w:val="en-US" w:eastAsia="zh-CN"/>
        </w:rPr>
        <w:t>号，有效期至202</w:t>
      </w:r>
      <w:r>
        <w:rPr>
          <w:rFonts w:hint="eastAsia" w:ascii="Times New Roman" w:hAnsi="Times New Roman" w:cs="Times New Roman"/>
          <w:color w:val="auto"/>
          <w:spacing w:val="-7"/>
          <w:sz w:val="28"/>
          <w:szCs w:val="28"/>
          <w:highlight w:val="none"/>
          <w:shd w:val="clear" w:color="auto" w:fill="auto"/>
          <w:lang w:val="en-US" w:eastAsia="zh-CN"/>
        </w:rPr>
        <w:t>5</w:t>
      </w:r>
      <w:r>
        <w:rPr>
          <w:rFonts w:hint="default" w:ascii="Times New Roman" w:hAnsi="Times New Roman" w:cs="Times New Roman"/>
          <w:color w:val="auto"/>
          <w:spacing w:val="-7"/>
          <w:sz w:val="28"/>
          <w:szCs w:val="28"/>
          <w:highlight w:val="none"/>
          <w:shd w:val="clear" w:color="auto" w:fill="auto"/>
          <w:lang w:val="en-US" w:eastAsia="zh-CN"/>
        </w:rPr>
        <w:t>年</w:t>
      </w:r>
      <w:r>
        <w:rPr>
          <w:rFonts w:hint="eastAsia" w:ascii="Times New Roman" w:hAnsi="Times New Roman" w:cs="Times New Roman"/>
          <w:color w:val="auto"/>
          <w:spacing w:val="-7"/>
          <w:sz w:val="28"/>
          <w:szCs w:val="28"/>
          <w:highlight w:val="none"/>
          <w:shd w:val="clear" w:color="auto" w:fill="auto"/>
          <w:lang w:val="en-US" w:eastAsia="zh-CN"/>
        </w:rPr>
        <w:t>1</w:t>
      </w:r>
      <w:r>
        <w:rPr>
          <w:rFonts w:hint="default" w:ascii="Times New Roman" w:hAnsi="Times New Roman" w:cs="Times New Roman"/>
          <w:color w:val="auto"/>
          <w:spacing w:val="-7"/>
          <w:sz w:val="28"/>
          <w:szCs w:val="28"/>
          <w:highlight w:val="none"/>
          <w:shd w:val="clear" w:color="auto" w:fill="auto"/>
          <w:lang w:val="en-US" w:eastAsia="zh-CN"/>
        </w:rPr>
        <w:t>月</w:t>
      </w:r>
      <w:r>
        <w:rPr>
          <w:rFonts w:hint="eastAsia" w:ascii="Times New Roman" w:hAnsi="Times New Roman" w:cs="Times New Roman"/>
          <w:color w:val="auto"/>
          <w:spacing w:val="-7"/>
          <w:sz w:val="28"/>
          <w:szCs w:val="28"/>
          <w:highlight w:val="none"/>
          <w:shd w:val="clear" w:color="auto" w:fill="auto"/>
          <w:lang w:val="en-US" w:eastAsia="zh-CN"/>
        </w:rPr>
        <w:t>19</w:t>
      </w:r>
      <w:r>
        <w:rPr>
          <w:rFonts w:hint="default" w:ascii="Times New Roman" w:hAnsi="Times New Roman" w:cs="Times New Roman"/>
          <w:color w:val="auto"/>
          <w:spacing w:val="-7"/>
          <w:sz w:val="28"/>
          <w:szCs w:val="28"/>
          <w:highlight w:val="none"/>
          <w:shd w:val="clear" w:color="auto" w:fill="auto"/>
          <w:lang w:val="en-US" w:eastAsia="zh-CN"/>
        </w:rPr>
        <w:t>日</w:t>
      </w:r>
      <w:r>
        <w:rPr>
          <w:rFonts w:hint="default" w:ascii="Times New Roman" w:hAnsi="Times New Roman" w:cs="Times New Roman"/>
          <w:color w:val="auto"/>
          <w:spacing w:val="-7"/>
          <w:sz w:val="28"/>
          <w:szCs w:val="28"/>
          <w:shd w:val="clear" w:color="auto" w:fill="auto"/>
          <w:lang w:val="en-US" w:eastAsia="zh-CN"/>
        </w:rPr>
        <w:t>。</w:t>
      </w:r>
    </w:p>
    <w:p>
      <w:pPr>
        <w:keepNext w:val="0"/>
        <w:keepLines w:val="0"/>
        <w:pageBreakBefore w:val="0"/>
        <w:widowControl w:val="0"/>
        <w:kinsoku/>
        <w:wordWrap/>
        <w:overflowPunct/>
        <w:topLinePunct w:val="0"/>
        <w:autoSpaceDE w:val="0"/>
        <w:autoSpaceDN w:val="0"/>
        <w:bidi w:val="0"/>
        <w:adjustRightInd/>
        <w:snapToGrid/>
        <w:spacing w:line="360" w:lineRule="auto"/>
        <w:ind w:firstLine="532" w:firstLineChars="200"/>
        <w:jc w:val="both"/>
        <w:textAlignment w:val="auto"/>
        <w:rPr>
          <w:rFonts w:hint="default" w:ascii="Times New Roman" w:hAnsi="Times New Roman" w:cs="Times New Roman"/>
          <w:spacing w:val="-7"/>
          <w:sz w:val="28"/>
          <w:szCs w:val="28"/>
          <w:lang w:eastAsia="zh-CN"/>
        </w:rPr>
      </w:pPr>
      <w:r>
        <w:rPr>
          <w:rFonts w:hint="eastAsia" w:ascii="Times New Roman" w:hAnsi="Times New Roman" w:cs="Times New Roman"/>
          <w:spacing w:val="-7"/>
          <w:sz w:val="28"/>
          <w:szCs w:val="28"/>
          <w:lang w:val="en-US" w:eastAsia="zh-CN"/>
        </w:rPr>
        <w:t>东城加油站站内主要设置有站房、综合楼、加油亭（内设6台6枪加油机）、埋地油罐区等，罐区共设置有4个埋地双层SF防渗油罐，其中汽油储罐3个（3×30m³），柴油储罐1个（1×30m³），总储存能力为105m³（柴油折半计算），属于二级加油站</w:t>
      </w:r>
      <w:r>
        <w:rPr>
          <w:rFonts w:hint="default" w:ascii="Times New Roman" w:hAnsi="Times New Roman" w:cs="Times New Roman"/>
          <w:spacing w:val="-7"/>
          <w:sz w:val="28"/>
          <w:szCs w:val="28"/>
          <w:lang w:eastAsia="zh-CN"/>
        </w:rPr>
        <w:t>。</w:t>
      </w:r>
    </w:p>
    <w:p>
      <w:pPr>
        <w:keepNext w:val="0"/>
        <w:keepLines w:val="0"/>
        <w:pageBreakBefore w:val="0"/>
        <w:widowControl w:val="0"/>
        <w:kinsoku/>
        <w:wordWrap/>
        <w:overflowPunct/>
        <w:topLinePunct w:val="0"/>
        <w:autoSpaceDE w:val="0"/>
        <w:autoSpaceDN w:val="0"/>
        <w:bidi w:val="0"/>
        <w:adjustRightInd/>
        <w:snapToGrid/>
        <w:spacing w:line="360" w:lineRule="auto"/>
        <w:ind w:firstLine="532" w:firstLineChars="200"/>
        <w:jc w:val="both"/>
        <w:textAlignment w:val="auto"/>
        <w:rPr>
          <w:rFonts w:hint="default" w:ascii="Times New Roman" w:hAnsi="Times New Roman" w:cs="Times New Roman"/>
          <w:spacing w:val="-7"/>
          <w:sz w:val="28"/>
          <w:szCs w:val="28"/>
          <w:lang w:eastAsia="zh-CN"/>
        </w:rPr>
      </w:pPr>
      <w:r>
        <w:rPr>
          <w:rFonts w:hint="eastAsia" w:ascii="Times New Roman" w:hAnsi="Times New Roman" w:cs="Times New Roman"/>
          <w:spacing w:val="-7"/>
          <w:sz w:val="28"/>
          <w:szCs w:val="28"/>
          <w:lang w:eastAsia="zh-CN"/>
        </w:rPr>
        <w:t>东城加油站</w:t>
      </w:r>
      <w:r>
        <w:rPr>
          <w:rFonts w:hint="default" w:ascii="Times New Roman" w:hAnsi="Times New Roman" w:cs="Times New Roman"/>
          <w:spacing w:val="-7"/>
          <w:sz w:val="28"/>
          <w:szCs w:val="28"/>
          <w:lang w:eastAsia="zh-CN"/>
        </w:rPr>
        <w:t>因为经营发展需要，在站区内投资建设1台洗车机对加油车辆提供自助洗车服务。本次改建项目主要内容：在站区内</w:t>
      </w:r>
      <w:r>
        <w:rPr>
          <w:rFonts w:hint="eastAsia" w:ascii="Times New Roman" w:hAnsi="Times New Roman" w:cs="Times New Roman"/>
          <w:spacing w:val="-7"/>
          <w:sz w:val="28"/>
          <w:szCs w:val="28"/>
          <w:lang w:eastAsia="zh-CN"/>
        </w:rPr>
        <w:t>西部</w:t>
      </w:r>
      <w:r>
        <w:rPr>
          <w:rFonts w:hint="default" w:ascii="Times New Roman" w:hAnsi="Times New Roman" w:cs="Times New Roman"/>
          <w:spacing w:val="-7"/>
          <w:sz w:val="28"/>
          <w:szCs w:val="28"/>
          <w:lang w:eastAsia="zh-CN"/>
        </w:rPr>
        <w:t>位置新增1台洗车机，其他不做改动。</w:t>
      </w:r>
      <w:r>
        <w:rPr>
          <w:rFonts w:hint="eastAsia" w:ascii="Times New Roman" w:hAnsi="Times New Roman" w:cs="Times New Roman"/>
          <w:spacing w:val="-7"/>
          <w:sz w:val="28"/>
          <w:szCs w:val="28"/>
          <w:lang w:eastAsia="zh-CN"/>
        </w:rPr>
        <w:t>东城加油站</w:t>
      </w:r>
      <w:r>
        <w:rPr>
          <w:rFonts w:hint="default" w:ascii="Times New Roman" w:hAnsi="Times New Roman" w:cs="Times New Roman"/>
          <w:spacing w:val="-7"/>
          <w:sz w:val="28"/>
          <w:szCs w:val="28"/>
          <w:lang w:eastAsia="zh-CN"/>
        </w:rPr>
        <w:t>此次改建项目仅为在站内增加自动洗车机，不涉及油罐、加油机及工艺管道等工艺设备设施以及原有建（构）筑物的改建，站内危险化学品的经营储存情况不改变。</w:t>
      </w:r>
    </w:p>
    <w:p>
      <w:pPr>
        <w:keepNext w:val="0"/>
        <w:keepLines w:val="0"/>
        <w:pageBreakBefore w:val="0"/>
        <w:widowControl w:val="0"/>
        <w:kinsoku/>
        <w:wordWrap/>
        <w:overflowPunct/>
        <w:topLinePunct w:val="0"/>
        <w:autoSpaceDE w:val="0"/>
        <w:autoSpaceDN w:val="0"/>
        <w:bidi w:val="0"/>
        <w:adjustRightInd/>
        <w:snapToGrid/>
        <w:spacing w:line="360" w:lineRule="auto"/>
        <w:ind w:firstLine="532" w:firstLineChars="200"/>
        <w:jc w:val="both"/>
        <w:textAlignment w:val="auto"/>
        <w:rPr>
          <w:rFonts w:hint="default" w:ascii="Times New Roman" w:hAnsi="Times New Roman" w:cs="Times New Roman"/>
          <w:spacing w:val="-7"/>
          <w:sz w:val="28"/>
          <w:szCs w:val="28"/>
          <w:lang w:eastAsia="zh-CN"/>
        </w:rPr>
      </w:pPr>
      <w:r>
        <w:rPr>
          <w:rFonts w:hint="default" w:ascii="Times New Roman" w:hAnsi="Times New Roman" w:cs="Times New Roman"/>
          <w:spacing w:val="-7"/>
          <w:sz w:val="28"/>
          <w:szCs w:val="28"/>
          <w:lang w:eastAsia="zh-CN"/>
        </w:rPr>
        <w:t>改建项目由天津中德工程设计有限公司负责设计，该公司资质证书号为A112002794。</w:t>
      </w:r>
    </w:p>
    <w:p>
      <w:pPr>
        <w:keepNext w:val="0"/>
        <w:keepLines w:val="0"/>
        <w:pageBreakBefore w:val="0"/>
        <w:widowControl w:val="0"/>
        <w:kinsoku/>
        <w:wordWrap/>
        <w:overflowPunct/>
        <w:topLinePunct w:val="0"/>
        <w:autoSpaceDE w:val="0"/>
        <w:autoSpaceDN w:val="0"/>
        <w:bidi w:val="0"/>
        <w:adjustRightInd/>
        <w:snapToGrid/>
        <w:spacing w:line="360" w:lineRule="auto"/>
        <w:ind w:firstLine="420" w:firstLineChars="200"/>
        <w:textAlignment w:val="auto"/>
        <w:rPr>
          <w:rFonts w:hint="default" w:ascii="Times New Roman" w:hAnsi="Times New Roman" w:cs="Times New Roman"/>
          <w:sz w:val="21"/>
        </w:rPr>
        <w:sectPr>
          <w:pgSz w:w="11910" w:h="16840"/>
          <w:pgMar w:top="1417" w:right="1134" w:bottom="1134" w:left="1587" w:header="720" w:footer="720" w:gutter="0"/>
          <w:cols w:space="0" w:num="1"/>
        </w:sectPr>
      </w:pPr>
    </w:p>
    <w:p>
      <w:pPr>
        <w:pStyle w:val="4"/>
        <w:tabs>
          <w:tab w:val="left" w:pos="426"/>
        </w:tabs>
        <w:spacing w:beforeLines="100" w:afterLines="100"/>
        <w:ind w:firstLine="0"/>
        <w:jc w:val="center"/>
        <w:rPr>
          <w:rFonts w:hint="default" w:ascii="Times New Roman" w:hAnsi="Times New Roman" w:eastAsia="宋体" w:cs="Times New Roman"/>
          <w:b/>
          <w:bCs/>
        </w:rPr>
      </w:pPr>
      <w:bookmarkStart w:id="292" w:name="_Toc15294"/>
      <w:bookmarkStart w:id="293" w:name="_Toc20027"/>
      <w:bookmarkStart w:id="294" w:name="_Toc11969"/>
      <w:bookmarkStart w:id="295" w:name="_Toc15548"/>
      <w:bookmarkStart w:id="296" w:name="_Toc10355"/>
      <w:bookmarkStart w:id="297" w:name="_Toc25401"/>
      <w:bookmarkStart w:id="298" w:name="_Toc13375_WPSOffice_Level2"/>
      <w:bookmarkStart w:id="299" w:name="_Toc25413"/>
      <w:bookmarkStart w:id="300" w:name="_Toc1482_WPSOffice_Level2"/>
      <w:bookmarkStart w:id="301" w:name="_Toc15710"/>
      <w:bookmarkStart w:id="302" w:name="_Toc4549_WPSOffice_Level2"/>
      <w:bookmarkStart w:id="303" w:name="_Toc30286"/>
      <w:bookmarkStart w:id="304" w:name="_Toc27363"/>
      <w:bookmarkStart w:id="305" w:name="_Toc7974"/>
      <w:bookmarkStart w:id="306" w:name="_Toc16960"/>
      <w:bookmarkStart w:id="307" w:name="_Toc19417"/>
      <w:bookmarkStart w:id="308" w:name="_Toc4310"/>
      <w:bookmarkStart w:id="309" w:name="_Toc3033"/>
      <w:bookmarkStart w:id="310" w:name="_Toc3034"/>
      <w:bookmarkStart w:id="311" w:name="_Toc7242"/>
      <w:bookmarkStart w:id="312" w:name="_Toc4530"/>
      <w:bookmarkStart w:id="313" w:name="_Toc27172"/>
      <w:bookmarkStart w:id="314" w:name="_Toc7004"/>
      <w:bookmarkStart w:id="315" w:name="_Toc10604"/>
      <w:bookmarkStart w:id="316" w:name="_Toc2934"/>
      <w:r>
        <w:rPr>
          <w:rFonts w:hint="default" w:ascii="Times New Roman" w:hAnsi="Times New Roman" w:eastAsia="宋体" w:cs="Times New Roman"/>
          <w:b/>
          <w:bCs/>
          <w:lang w:val="en-US"/>
        </w:rPr>
        <w:t xml:space="preserve">2.2 </w:t>
      </w:r>
      <w:r>
        <w:rPr>
          <w:rFonts w:hint="default" w:ascii="Times New Roman" w:hAnsi="Times New Roman" w:eastAsia="宋体" w:cs="Times New Roman"/>
          <w:b/>
          <w:bCs/>
        </w:rPr>
        <w:t>项目所在地及周围环境状况</w:t>
      </w:r>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p>
    <w:p>
      <w:pPr>
        <w:pStyle w:val="5"/>
        <w:spacing w:beforeLines="100" w:afterLines="50" w:line="240" w:lineRule="auto"/>
        <w:ind w:firstLine="562" w:firstLineChars="200"/>
        <w:rPr>
          <w:rFonts w:hint="default" w:ascii="Times New Roman" w:hAnsi="Times New Roman" w:cs="Times New Roman"/>
          <w:sz w:val="28"/>
          <w:szCs w:val="28"/>
        </w:rPr>
      </w:pPr>
      <w:bookmarkStart w:id="317" w:name="_Toc24714_WPSOffice_Level3"/>
      <w:bookmarkStart w:id="318" w:name="_Toc26161_WPSOffice_Level3"/>
      <w:r>
        <w:rPr>
          <w:rFonts w:hint="default" w:ascii="Times New Roman" w:hAnsi="Times New Roman" w:cs="Times New Roman"/>
          <w:sz w:val="28"/>
          <w:szCs w:val="28"/>
          <w:lang w:val="en-US"/>
        </w:rPr>
        <w:t xml:space="preserve">2.2.1 </w:t>
      </w:r>
      <w:r>
        <w:rPr>
          <w:rFonts w:hint="default" w:ascii="Times New Roman" w:hAnsi="Times New Roman" w:cs="Times New Roman"/>
          <w:sz w:val="28"/>
          <w:szCs w:val="28"/>
        </w:rPr>
        <w:t>加油站地理位置及周边情况</w:t>
      </w:r>
      <w:bookmarkEnd w:id="317"/>
      <w:bookmarkEnd w:id="318"/>
    </w:p>
    <w:p>
      <w:pPr>
        <w:spacing w:line="500" w:lineRule="exact"/>
        <w:ind w:firstLine="560" w:firstLineChars="200"/>
        <w:jc w:val="both"/>
        <w:rPr>
          <w:rFonts w:hint="eastAsia" w:ascii="Times New Roman" w:hAnsi="Times New Roman" w:cs="Times New Roman"/>
          <w:spacing w:val="-7"/>
          <w:sz w:val="28"/>
          <w:szCs w:val="28"/>
          <w:lang w:eastAsia="zh-CN"/>
        </w:rPr>
      </w:pPr>
      <w:r>
        <w:rPr>
          <w:rFonts w:hint="eastAsia" w:cs="宋体"/>
          <w:sz w:val="28"/>
          <w:szCs w:val="28"/>
          <w:highlight w:val="none"/>
          <w:lang w:eastAsia="zh-CN"/>
        </w:rPr>
        <w:t>东城加油站</w:t>
      </w:r>
      <w:r>
        <w:rPr>
          <w:rFonts w:hint="eastAsia" w:ascii="宋体" w:hAnsi="宋体" w:cs="宋体"/>
          <w:sz w:val="28"/>
          <w:szCs w:val="28"/>
          <w:highlight w:val="none"/>
        </w:rPr>
        <w:t>位于</w:t>
      </w:r>
      <w:r>
        <w:rPr>
          <w:rFonts w:hint="eastAsia" w:cs="宋体"/>
          <w:sz w:val="28"/>
          <w:szCs w:val="28"/>
          <w:highlight w:val="none"/>
          <w:lang w:eastAsia="zh-CN"/>
        </w:rPr>
        <w:t>广东省东莞市石碣镇唐洪金星南路1号</w:t>
      </w:r>
      <w:r>
        <w:rPr>
          <w:rFonts w:hint="eastAsia" w:ascii="宋体" w:hAnsi="宋体" w:cs="宋体"/>
          <w:sz w:val="28"/>
          <w:szCs w:val="28"/>
          <w:highlight w:val="none"/>
        </w:rPr>
        <w:t>，</w:t>
      </w:r>
      <w:r>
        <w:rPr>
          <w:rFonts w:hint="eastAsia" w:cs="宋体"/>
          <w:sz w:val="28"/>
          <w:szCs w:val="28"/>
          <w:highlight w:val="none"/>
          <w:lang w:eastAsia="zh-CN"/>
        </w:rPr>
        <w:t>油站北面为崇焕东路（主干路），西北面为站内</w:t>
      </w:r>
      <w:r>
        <w:rPr>
          <w:rFonts w:hint="eastAsia" w:cs="宋体"/>
          <w:sz w:val="28"/>
          <w:szCs w:val="28"/>
          <w:highlight w:val="none"/>
          <w:lang w:val="en-US" w:eastAsia="zh-CN"/>
        </w:rPr>
        <w:t>3F</w:t>
      </w:r>
      <w:r>
        <w:rPr>
          <w:rFonts w:hint="eastAsia" w:cs="宋体"/>
          <w:sz w:val="28"/>
          <w:szCs w:val="28"/>
          <w:highlight w:val="none"/>
          <w:lang w:eastAsia="zh-CN"/>
        </w:rPr>
        <w:t>综合楼（三类保护物）、站内发配电房（发电机已停用）、垃圾中转站（丙类仓库）、</w:t>
      </w:r>
      <w:r>
        <w:rPr>
          <w:rFonts w:hint="eastAsia" w:cs="宋体"/>
          <w:sz w:val="28"/>
          <w:szCs w:val="28"/>
          <w:highlight w:val="none"/>
          <w:lang w:val="en-US" w:eastAsia="zh-CN"/>
        </w:rPr>
        <w:t>110KV崇焕电缆终端场内的架空电力线（杆高33m,无绝缘层）；西面为废品放置仓（丙类仓库）；西南面是鸡棚（三类保护物）；南面是美车汇二手车、业城二手车及酒水茶商城（三类保护物）、简易杂物房（三类保护物）、停车棚（三类保护物）；东南面架空通信线、架空电力线（杆高7.35m，有绝缘层）、架空电力线（杆高13.3m，有绝缘层）；东面为架空电力线（杆高5.5m,有绝缘层）、架空电力线（杆高7.3m,有绝缘层）、架空通信线、金星南路（主干道）</w:t>
      </w:r>
      <w:r>
        <w:rPr>
          <w:rFonts w:hint="eastAsia" w:ascii="Times New Roman" w:hAnsi="Times New Roman" w:cs="Times New Roman"/>
          <w:spacing w:val="-7"/>
          <w:sz w:val="28"/>
          <w:szCs w:val="28"/>
          <w:lang w:eastAsia="zh-CN"/>
        </w:rPr>
        <w:t>。</w:t>
      </w:r>
    </w:p>
    <w:p>
      <w:pPr>
        <w:spacing w:line="500" w:lineRule="exact"/>
        <w:ind w:firstLine="532" w:firstLineChars="200"/>
        <w:jc w:val="both"/>
        <w:rPr>
          <w:rFonts w:hint="eastAsia" w:ascii="Times New Roman" w:hAnsi="Times New Roman" w:cs="Times New Roman"/>
          <w:spacing w:val="-7"/>
          <w:sz w:val="28"/>
          <w:szCs w:val="28"/>
          <w:lang w:eastAsia="zh-CN"/>
        </w:rPr>
      </w:pPr>
      <w:r>
        <w:rPr>
          <w:rFonts w:hint="eastAsia" w:ascii="Times New Roman" w:hAnsi="Times New Roman" w:cs="Times New Roman"/>
          <w:spacing w:val="-7"/>
          <w:sz w:val="28"/>
          <w:szCs w:val="28"/>
          <w:lang w:eastAsia="zh-CN"/>
        </w:rPr>
        <w:t>本次新增1台全自动洗车机位于站区西部（位于站房西面，按三类保护物计算安全间距）。</w:t>
      </w:r>
    </w:p>
    <w:p>
      <w:pPr>
        <w:spacing w:line="500" w:lineRule="exact"/>
        <w:ind w:firstLine="532" w:firstLineChars="200"/>
        <w:jc w:val="both"/>
        <w:rPr>
          <w:rFonts w:hint="default" w:ascii="Times New Roman" w:hAnsi="Times New Roman" w:cs="Times New Roman"/>
          <w:spacing w:val="-7"/>
          <w:sz w:val="28"/>
          <w:szCs w:val="28"/>
        </w:rPr>
      </w:pPr>
      <w:r>
        <w:rPr>
          <w:rFonts w:hint="eastAsia" w:ascii="Times New Roman" w:hAnsi="Times New Roman" w:cs="Times New Roman"/>
          <w:spacing w:val="-7"/>
          <w:sz w:val="28"/>
          <w:szCs w:val="28"/>
          <w:lang w:eastAsia="zh-CN"/>
        </w:rPr>
        <w:t>东城加油站项目周边地理位置图见图2.2-1，东城加油站埋地储罐、通气管、卸车点、加油机等与站外建、构筑物的防火间距见表2.2-1和表2.2-2。</w:t>
      </w:r>
    </w:p>
    <w:p>
      <w:pPr>
        <w:widowControl/>
        <w:jc w:val="center"/>
        <w:rPr>
          <w:rFonts w:hint="default" w:ascii="Times New Roman" w:hAnsi="Times New Roman" w:cs="Times New Roman"/>
        </w:rPr>
      </w:pPr>
      <w:r>
        <w:drawing>
          <wp:inline distT="0" distB="0" distL="114300" distR="114300">
            <wp:extent cx="4627880" cy="3362325"/>
            <wp:effectExtent l="0" t="0" r="1270" b="9525"/>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12"/>
                    <a:stretch>
                      <a:fillRect/>
                    </a:stretch>
                  </pic:blipFill>
                  <pic:spPr>
                    <a:xfrm>
                      <a:off x="0" y="0"/>
                      <a:ext cx="4627880" cy="3362325"/>
                    </a:xfrm>
                    <a:prstGeom prst="rect">
                      <a:avLst/>
                    </a:prstGeom>
                    <a:noFill/>
                    <a:ln>
                      <a:noFill/>
                    </a:ln>
                  </pic:spPr>
                </pic:pic>
              </a:graphicData>
            </a:graphic>
          </wp:inline>
        </w:drawing>
      </w:r>
    </w:p>
    <w:p>
      <w:pPr>
        <w:spacing w:line="360" w:lineRule="auto"/>
        <w:jc w:val="center"/>
        <w:rPr>
          <w:rFonts w:hint="default" w:ascii="Times New Roman" w:hAnsi="Times New Roman" w:cs="Times New Roman"/>
          <w:sz w:val="28"/>
          <w:szCs w:val="28"/>
        </w:rPr>
      </w:pPr>
      <w:bookmarkStart w:id="319" w:name="_Toc24844_WPSOffice_Level3"/>
      <w:bookmarkStart w:id="320" w:name="_Toc32072_WPSOffice_Level3"/>
      <w:bookmarkStart w:id="321" w:name="_Hlk531611768"/>
      <w:r>
        <w:rPr>
          <w:rFonts w:hint="default" w:ascii="Times New Roman" w:hAnsi="Times New Roman" w:cs="Times New Roman"/>
          <w:sz w:val="28"/>
          <w:szCs w:val="28"/>
        </w:rPr>
        <w:t xml:space="preserve">图2.2-1 </w:t>
      </w:r>
      <w:r>
        <w:rPr>
          <w:rFonts w:hint="eastAsia" w:ascii="Times New Roman" w:hAnsi="Times New Roman" w:cs="Times New Roman"/>
          <w:sz w:val="28"/>
          <w:szCs w:val="28"/>
          <w:lang w:eastAsia="zh-CN"/>
        </w:rPr>
        <w:t>东城加油站</w:t>
      </w:r>
      <w:r>
        <w:rPr>
          <w:rFonts w:hint="default" w:ascii="Times New Roman" w:hAnsi="Times New Roman" w:cs="Times New Roman"/>
          <w:sz w:val="28"/>
          <w:szCs w:val="28"/>
        </w:rPr>
        <w:t>地理位置图</w:t>
      </w:r>
      <w:bookmarkEnd w:id="319"/>
      <w:bookmarkEnd w:id="320"/>
    </w:p>
    <w:bookmarkEnd w:id="321"/>
    <w:p>
      <w:pPr>
        <w:rPr>
          <w:rFonts w:hint="default" w:ascii="Times New Roman" w:hAnsi="Times New Roman" w:cs="Times New Roman"/>
          <w:sz w:val="28"/>
          <w:szCs w:val="28"/>
        </w:rPr>
      </w:pPr>
      <w:bookmarkStart w:id="322" w:name="_Toc3801_WPSOffice_Level3"/>
      <w:bookmarkStart w:id="323" w:name="_Toc4884_WPSOffice_Level3"/>
      <w:r>
        <w:rPr>
          <w:rFonts w:hint="default" w:ascii="Times New Roman" w:hAnsi="Times New Roman" w:cs="Times New Roman"/>
          <w:sz w:val="28"/>
          <w:szCs w:val="28"/>
        </w:rPr>
        <w:br w:type="page"/>
      </w:r>
    </w:p>
    <w:p>
      <w:pPr>
        <w:spacing w:line="360" w:lineRule="auto"/>
        <w:jc w:val="center"/>
        <w:rPr>
          <w:rFonts w:hint="default" w:ascii="Times New Roman" w:hAnsi="Times New Roman" w:cs="Times New Roman"/>
          <w:sz w:val="28"/>
          <w:szCs w:val="28"/>
        </w:rPr>
      </w:pPr>
      <w:r>
        <w:rPr>
          <w:rFonts w:hint="default" w:ascii="Times New Roman" w:hAnsi="Times New Roman" w:cs="Times New Roman"/>
          <w:sz w:val="28"/>
          <w:szCs w:val="28"/>
        </w:rPr>
        <w:t>表2.2-1 站内汽油设施设备与站外建、构筑物防火间距表</w:t>
      </w:r>
      <w:r>
        <w:rPr>
          <w:rFonts w:hint="default" w:ascii="Times New Roman" w:hAnsi="Times New Roman" w:cs="Times New Roman"/>
          <w:sz w:val="21"/>
          <w:szCs w:val="21"/>
        </w:rPr>
        <w:t>（单位：</w:t>
      </w:r>
      <w:r>
        <w:rPr>
          <w:rFonts w:hint="default" w:ascii="Times New Roman" w:hAnsi="Times New Roman" w:cs="Times New Roman"/>
          <w:sz w:val="21"/>
          <w:szCs w:val="21"/>
          <w:lang w:val="en-US"/>
        </w:rPr>
        <w:t>m</w:t>
      </w:r>
      <w:r>
        <w:rPr>
          <w:rFonts w:hint="default" w:ascii="Times New Roman" w:hAnsi="Times New Roman" w:cs="Times New Roman"/>
          <w:sz w:val="21"/>
          <w:szCs w:val="21"/>
        </w:rPr>
        <w:t>）</w:t>
      </w:r>
      <w:bookmarkEnd w:id="322"/>
      <w:bookmarkEnd w:id="323"/>
    </w:p>
    <w:tbl>
      <w:tblPr>
        <w:tblStyle w:val="29"/>
        <w:tblW w:w="93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5"/>
        <w:gridCol w:w="205"/>
        <w:gridCol w:w="632"/>
        <w:gridCol w:w="1050"/>
        <w:gridCol w:w="878"/>
        <w:gridCol w:w="1905"/>
        <w:gridCol w:w="832"/>
        <w:gridCol w:w="663"/>
        <w:gridCol w:w="835"/>
        <w:gridCol w:w="834"/>
        <w:gridCol w:w="7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3500" w:type="dxa"/>
            <w:gridSpan w:val="5"/>
            <w:vMerge w:val="restart"/>
            <w:tcBorders>
              <w:tl2br w:val="single" w:color="auto" w:sz="4" w:space="0"/>
            </w:tcBorders>
            <w:noWrap w:val="0"/>
            <w:vAlign w:val="center"/>
          </w:tcPr>
          <w:p>
            <w:pPr>
              <w:keepNext w:val="0"/>
              <w:keepLines w:val="0"/>
              <w:suppressLineNumbers w:val="0"/>
              <w:spacing w:before="0" w:beforeAutospacing="0" w:after="0" w:afterAutospacing="0" w:line="300" w:lineRule="exact"/>
              <w:ind w:left="0" w:right="0"/>
              <w:jc w:val="center"/>
              <w:rPr>
                <w:rFonts w:hint="default" w:ascii="宋体" w:hAnsi="宋体"/>
                <w:b/>
                <w:kern w:val="2"/>
                <w:sz w:val="21"/>
                <w:szCs w:val="21"/>
              </w:rPr>
            </w:pPr>
            <w:r>
              <w:rPr>
                <w:rFonts w:hint="default" w:ascii="宋体" w:hAnsi="宋体"/>
                <w:b/>
                <w:kern w:val="2"/>
                <w:sz w:val="21"/>
                <w:szCs w:val="21"/>
              </w:rPr>
              <w:t xml:space="preserve">                级别</w:t>
            </w:r>
          </w:p>
          <w:p>
            <w:pPr>
              <w:keepNext w:val="0"/>
              <w:keepLines w:val="0"/>
              <w:suppressLineNumbers w:val="0"/>
              <w:spacing w:before="0" w:beforeAutospacing="0" w:after="0" w:afterAutospacing="0" w:line="300" w:lineRule="exact"/>
              <w:ind w:left="0" w:right="0" w:firstLine="316" w:firstLineChars="150"/>
              <w:rPr>
                <w:rFonts w:hint="default" w:ascii="宋体" w:hAnsi="宋体"/>
                <w:b/>
                <w:kern w:val="2"/>
                <w:sz w:val="21"/>
                <w:szCs w:val="21"/>
              </w:rPr>
            </w:pPr>
            <w:r>
              <w:rPr>
                <w:rFonts w:hint="default" w:ascii="宋体" w:hAnsi="宋体"/>
                <w:b/>
                <w:kern w:val="2"/>
                <w:sz w:val="21"/>
                <w:szCs w:val="21"/>
              </w:rPr>
              <w:t>项目</w:t>
            </w:r>
          </w:p>
        </w:tc>
        <w:tc>
          <w:tcPr>
            <w:tcW w:w="2737" w:type="dxa"/>
            <w:gridSpan w:val="2"/>
            <w:tcBorders>
              <w:bottom w:val="nil"/>
            </w:tcBorders>
            <w:noWrap w:val="0"/>
            <w:vAlign w:val="center"/>
          </w:tcPr>
          <w:p>
            <w:pPr>
              <w:keepNext w:val="0"/>
              <w:keepLines w:val="0"/>
              <w:suppressLineNumbers w:val="0"/>
              <w:spacing w:before="0" w:beforeAutospacing="0" w:after="0" w:afterAutospacing="0" w:line="300" w:lineRule="exact"/>
              <w:ind w:left="0" w:right="0"/>
              <w:jc w:val="center"/>
              <w:rPr>
                <w:rFonts w:hint="eastAsia" w:ascii="宋体" w:hAnsi="宋体" w:eastAsia="宋体"/>
                <w:b/>
                <w:kern w:val="2"/>
                <w:sz w:val="21"/>
                <w:szCs w:val="21"/>
                <w:lang w:eastAsia="zh-CN"/>
              </w:rPr>
            </w:pPr>
            <w:r>
              <w:rPr>
                <w:rFonts w:hint="default" w:ascii="宋体" w:hAnsi="宋体"/>
                <w:b/>
                <w:kern w:val="2"/>
                <w:sz w:val="21"/>
                <w:szCs w:val="21"/>
              </w:rPr>
              <w:t>埋地罐</w:t>
            </w:r>
            <w:r>
              <w:rPr>
                <w:rFonts w:hint="eastAsia"/>
                <w:b/>
                <w:kern w:val="2"/>
                <w:sz w:val="21"/>
                <w:szCs w:val="21"/>
                <w:lang w:eastAsia="zh-CN"/>
              </w:rPr>
              <w:t>（二级站）</w:t>
            </w:r>
          </w:p>
        </w:tc>
        <w:tc>
          <w:tcPr>
            <w:tcW w:w="1498" w:type="dxa"/>
            <w:gridSpan w:val="2"/>
            <w:noWrap w:val="0"/>
            <w:vAlign w:val="center"/>
          </w:tcPr>
          <w:p>
            <w:pPr>
              <w:keepNext w:val="0"/>
              <w:keepLines w:val="0"/>
              <w:suppressLineNumbers w:val="0"/>
              <w:spacing w:before="0" w:beforeAutospacing="0" w:after="0" w:afterAutospacing="0" w:line="300" w:lineRule="exact"/>
              <w:ind w:left="0" w:right="0"/>
              <w:jc w:val="center"/>
              <w:rPr>
                <w:rFonts w:hint="default" w:ascii="宋体" w:hAnsi="宋体"/>
                <w:b/>
                <w:kern w:val="2"/>
                <w:sz w:val="21"/>
                <w:szCs w:val="21"/>
              </w:rPr>
            </w:pPr>
            <w:r>
              <w:rPr>
                <w:rFonts w:hint="default" w:ascii="宋体" w:hAnsi="宋体"/>
                <w:b/>
                <w:kern w:val="2"/>
                <w:sz w:val="21"/>
                <w:szCs w:val="21"/>
              </w:rPr>
              <w:t>通气管管口</w:t>
            </w:r>
          </w:p>
        </w:tc>
        <w:tc>
          <w:tcPr>
            <w:tcW w:w="1621" w:type="dxa"/>
            <w:gridSpan w:val="2"/>
            <w:noWrap w:val="0"/>
            <w:vAlign w:val="center"/>
          </w:tcPr>
          <w:p>
            <w:pPr>
              <w:keepNext w:val="0"/>
              <w:keepLines w:val="0"/>
              <w:suppressLineNumbers w:val="0"/>
              <w:spacing w:before="0" w:beforeAutospacing="0" w:after="0" w:afterAutospacing="0" w:line="300" w:lineRule="exact"/>
              <w:ind w:left="0" w:right="0"/>
              <w:jc w:val="center"/>
              <w:rPr>
                <w:rFonts w:hint="default" w:ascii="宋体" w:hAnsi="宋体"/>
                <w:b/>
                <w:kern w:val="2"/>
                <w:sz w:val="21"/>
                <w:szCs w:val="21"/>
              </w:rPr>
            </w:pPr>
            <w:r>
              <w:rPr>
                <w:rFonts w:hint="default" w:ascii="宋体" w:hAnsi="宋体"/>
                <w:b/>
                <w:kern w:val="2"/>
                <w:sz w:val="21"/>
                <w:szCs w:val="21"/>
              </w:rPr>
              <w:t>加油机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jc w:val="center"/>
        </w:trPr>
        <w:tc>
          <w:tcPr>
            <w:tcW w:w="3500" w:type="dxa"/>
            <w:gridSpan w:val="5"/>
            <w:vMerge w:val="continue"/>
            <w:noWrap w:val="0"/>
            <w:vAlign w:val="center"/>
          </w:tcPr>
          <w:p>
            <w:pPr>
              <w:keepNext w:val="0"/>
              <w:keepLines w:val="0"/>
              <w:suppressLineNumbers w:val="0"/>
              <w:spacing w:before="0" w:beforeAutospacing="0" w:after="0" w:afterAutospacing="0" w:line="300" w:lineRule="exact"/>
              <w:ind w:left="0" w:right="0"/>
              <w:jc w:val="center"/>
              <w:rPr>
                <w:rFonts w:hint="default" w:ascii="宋体" w:hAnsi="宋体"/>
                <w:kern w:val="2"/>
                <w:sz w:val="21"/>
                <w:szCs w:val="21"/>
              </w:rPr>
            </w:pPr>
          </w:p>
        </w:tc>
        <w:tc>
          <w:tcPr>
            <w:tcW w:w="5856" w:type="dxa"/>
            <w:gridSpan w:val="6"/>
            <w:noWrap w:val="0"/>
            <w:vAlign w:val="center"/>
          </w:tcPr>
          <w:p>
            <w:pPr>
              <w:keepNext w:val="0"/>
              <w:keepLines w:val="0"/>
              <w:suppressLineNumbers w:val="0"/>
              <w:spacing w:before="0" w:beforeAutospacing="0" w:after="0" w:afterAutospacing="0" w:line="300" w:lineRule="exact"/>
              <w:ind w:left="0" w:right="0"/>
              <w:jc w:val="center"/>
              <w:rPr>
                <w:rFonts w:hint="eastAsia" w:ascii="宋体" w:hAnsi="宋体" w:eastAsia="宋体"/>
                <w:b/>
                <w:kern w:val="2"/>
                <w:sz w:val="21"/>
                <w:szCs w:val="21"/>
                <w:lang w:eastAsia="zh-CN"/>
              </w:rPr>
            </w:pPr>
            <w:r>
              <w:rPr>
                <w:rFonts w:hint="eastAsia" w:hAnsi="宋体"/>
                <w:b/>
                <w:kern w:val="2"/>
                <w:sz w:val="21"/>
                <w:szCs w:val="21"/>
              </w:rPr>
              <w:t>有卸油和加油油气回收系统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3500" w:type="dxa"/>
            <w:gridSpan w:val="5"/>
            <w:noWrap w:val="0"/>
            <w:vAlign w:val="center"/>
          </w:tcPr>
          <w:p>
            <w:pPr>
              <w:keepNext w:val="0"/>
              <w:keepLines w:val="0"/>
              <w:suppressLineNumbers w:val="0"/>
              <w:spacing w:before="0" w:beforeAutospacing="0" w:after="0" w:afterAutospacing="0" w:line="300" w:lineRule="exact"/>
              <w:ind w:left="0" w:right="0"/>
              <w:jc w:val="center"/>
              <w:rPr>
                <w:rFonts w:hint="default" w:ascii="宋体" w:hAnsi="宋体"/>
                <w:b/>
                <w:kern w:val="2"/>
                <w:sz w:val="21"/>
                <w:szCs w:val="21"/>
              </w:rPr>
            </w:pPr>
            <w:r>
              <w:rPr>
                <w:rFonts w:hint="default" w:ascii="宋体" w:hAnsi="宋体"/>
                <w:b/>
                <w:kern w:val="2"/>
                <w:sz w:val="21"/>
                <w:szCs w:val="21"/>
              </w:rPr>
              <w:t>规范标准与</w:t>
            </w:r>
            <w:r>
              <w:rPr>
                <w:rFonts w:hint="eastAsia" w:ascii="宋体" w:hAnsi="宋体"/>
                <w:b/>
                <w:kern w:val="2"/>
                <w:sz w:val="21"/>
                <w:szCs w:val="21"/>
              </w:rPr>
              <w:t>设计</w:t>
            </w:r>
            <w:r>
              <w:rPr>
                <w:rFonts w:hint="default" w:ascii="宋体" w:hAnsi="宋体"/>
                <w:b/>
                <w:kern w:val="2"/>
                <w:sz w:val="21"/>
                <w:szCs w:val="21"/>
              </w:rPr>
              <w:t>数据</w:t>
            </w:r>
          </w:p>
        </w:tc>
        <w:tc>
          <w:tcPr>
            <w:tcW w:w="1905" w:type="dxa"/>
            <w:tcBorders>
              <w:top w:val="nil"/>
            </w:tcBorders>
            <w:noWrap w:val="0"/>
            <w:vAlign w:val="center"/>
          </w:tcPr>
          <w:p>
            <w:pPr>
              <w:keepNext w:val="0"/>
              <w:keepLines w:val="0"/>
              <w:suppressLineNumbers w:val="0"/>
              <w:spacing w:before="0" w:beforeAutospacing="0" w:after="0" w:afterAutospacing="0" w:line="300" w:lineRule="exact"/>
              <w:ind w:left="0" w:right="0"/>
              <w:jc w:val="center"/>
              <w:rPr>
                <w:rFonts w:hint="default" w:ascii="宋体" w:hAnsi="宋体"/>
                <w:b/>
                <w:kern w:val="2"/>
                <w:sz w:val="21"/>
                <w:szCs w:val="21"/>
              </w:rPr>
            </w:pPr>
            <w:r>
              <w:rPr>
                <w:rFonts w:hint="default" w:ascii="宋体" w:hAnsi="宋体"/>
                <w:b/>
                <w:kern w:val="2"/>
                <w:sz w:val="21"/>
                <w:szCs w:val="21"/>
              </w:rPr>
              <w:t>规范</w:t>
            </w:r>
          </w:p>
        </w:tc>
        <w:tc>
          <w:tcPr>
            <w:tcW w:w="832" w:type="dxa"/>
            <w:tcBorders>
              <w:top w:val="nil"/>
            </w:tcBorders>
            <w:noWrap w:val="0"/>
            <w:vAlign w:val="center"/>
          </w:tcPr>
          <w:p>
            <w:pPr>
              <w:keepNext w:val="0"/>
              <w:keepLines w:val="0"/>
              <w:suppressLineNumbers w:val="0"/>
              <w:spacing w:before="0" w:beforeAutospacing="0" w:after="0" w:afterAutospacing="0" w:line="300" w:lineRule="exact"/>
              <w:ind w:left="0" w:right="0"/>
              <w:jc w:val="center"/>
              <w:rPr>
                <w:rFonts w:hint="eastAsia" w:ascii="宋体" w:hAnsi="宋体" w:eastAsia="宋体"/>
                <w:b/>
                <w:kern w:val="2"/>
                <w:sz w:val="21"/>
                <w:szCs w:val="21"/>
                <w:lang w:eastAsia="zh-CN"/>
              </w:rPr>
            </w:pPr>
            <w:r>
              <w:rPr>
                <w:rFonts w:hint="eastAsia"/>
                <w:b/>
                <w:kern w:val="2"/>
                <w:sz w:val="21"/>
                <w:szCs w:val="21"/>
                <w:lang w:eastAsia="zh-CN"/>
              </w:rPr>
              <w:t>实测</w:t>
            </w:r>
          </w:p>
        </w:tc>
        <w:tc>
          <w:tcPr>
            <w:tcW w:w="663" w:type="dxa"/>
            <w:noWrap w:val="0"/>
            <w:vAlign w:val="center"/>
          </w:tcPr>
          <w:p>
            <w:pPr>
              <w:keepNext w:val="0"/>
              <w:keepLines w:val="0"/>
              <w:suppressLineNumbers w:val="0"/>
              <w:spacing w:before="0" w:beforeAutospacing="0" w:after="0" w:afterAutospacing="0" w:line="300" w:lineRule="exact"/>
              <w:ind w:left="0" w:right="0"/>
              <w:jc w:val="center"/>
              <w:rPr>
                <w:rFonts w:hint="default" w:ascii="宋体" w:hAnsi="宋体"/>
                <w:b/>
                <w:kern w:val="2"/>
                <w:sz w:val="21"/>
                <w:szCs w:val="21"/>
              </w:rPr>
            </w:pPr>
            <w:r>
              <w:rPr>
                <w:rFonts w:hint="default" w:ascii="宋体" w:hAnsi="宋体"/>
                <w:b/>
                <w:kern w:val="2"/>
                <w:sz w:val="21"/>
                <w:szCs w:val="21"/>
              </w:rPr>
              <w:t>规范</w:t>
            </w:r>
          </w:p>
        </w:tc>
        <w:tc>
          <w:tcPr>
            <w:tcW w:w="835" w:type="dxa"/>
            <w:noWrap w:val="0"/>
            <w:vAlign w:val="center"/>
          </w:tcPr>
          <w:p>
            <w:pPr>
              <w:keepNext w:val="0"/>
              <w:keepLines w:val="0"/>
              <w:suppressLineNumbers w:val="0"/>
              <w:spacing w:before="0" w:beforeAutospacing="0" w:after="0" w:afterAutospacing="0" w:line="300" w:lineRule="exact"/>
              <w:ind w:left="0" w:right="0"/>
              <w:jc w:val="center"/>
              <w:rPr>
                <w:rFonts w:hint="eastAsia" w:ascii="宋体" w:hAnsi="宋体" w:eastAsia="宋体"/>
                <w:b/>
                <w:kern w:val="2"/>
                <w:sz w:val="21"/>
                <w:szCs w:val="21"/>
                <w:lang w:eastAsia="zh-CN"/>
              </w:rPr>
            </w:pPr>
            <w:r>
              <w:rPr>
                <w:rFonts w:hint="eastAsia"/>
                <w:b/>
                <w:kern w:val="2"/>
                <w:sz w:val="21"/>
                <w:szCs w:val="21"/>
                <w:lang w:eastAsia="zh-CN"/>
              </w:rPr>
              <w:t>实测</w:t>
            </w:r>
          </w:p>
        </w:tc>
        <w:tc>
          <w:tcPr>
            <w:tcW w:w="834" w:type="dxa"/>
            <w:noWrap w:val="0"/>
            <w:vAlign w:val="center"/>
          </w:tcPr>
          <w:p>
            <w:pPr>
              <w:keepNext w:val="0"/>
              <w:keepLines w:val="0"/>
              <w:suppressLineNumbers w:val="0"/>
              <w:spacing w:before="0" w:beforeAutospacing="0" w:after="0" w:afterAutospacing="0" w:line="300" w:lineRule="exact"/>
              <w:ind w:left="0" w:right="0"/>
              <w:jc w:val="center"/>
              <w:rPr>
                <w:rFonts w:hint="default" w:ascii="宋体" w:hAnsi="宋体"/>
                <w:b/>
                <w:kern w:val="2"/>
                <w:sz w:val="21"/>
                <w:szCs w:val="21"/>
              </w:rPr>
            </w:pPr>
            <w:r>
              <w:rPr>
                <w:rFonts w:hint="default" w:ascii="宋体" w:hAnsi="宋体"/>
                <w:b/>
                <w:kern w:val="2"/>
                <w:sz w:val="21"/>
                <w:szCs w:val="21"/>
              </w:rPr>
              <w:t>规范</w:t>
            </w:r>
          </w:p>
        </w:tc>
        <w:tc>
          <w:tcPr>
            <w:tcW w:w="787" w:type="dxa"/>
            <w:noWrap w:val="0"/>
            <w:vAlign w:val="center"/>
          </w:tcPr>
          <w:p>
            <w:pPr>
              <w:keepNext w:val="0"/>
              <w:keepLines w:val="0"/>
              <w:suppressLineNumbers w:val="0"/>
              <w:spacing w:before="0" w:beforeAutospacing="0" w:after="0" w:afterAutospacing="0" w:line="300" w:lineRule="exact"/>
              <w:ind w:left="0" w:right="0"/>
              <w:jc w:val="center"/>
              <w:rPr>
                <w:rFonts w:hint="eastAsia" w:ascii="宋体" w:hAnsi="宋体" w:eastAsia="宋体"/>
                <w:b/>
                <w:kern w:val="2"/>
                <w:sz w:val="21"/>
                <w:szCs w:val="21"/>
                <w:lang w:eastAsia="zh-CN"/>
              </w:rPr>
            </w:pPr>
            <w:r>
              <w:rPr>
                <w:rFonts w:hint="eastAsia"/>
                <w:b/>
                <w:kern w:val="2"/>
                <w:sz w:val="21"/>
                <w:szCs w:val="21"/>
                <w:lang w:eastAsia="zh-CN"/>
              </w:rPr>
              <w:t>实测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3500" w:type="dxa"/>
            <w:gridSpan w:val="5"/>
            <w:noWrap w:val="0"/>
            <w:vAlign w:val="center"/>
          </w:tcPr>
          <w:p>
            <w:pPr>
              <w:keepNext w:val="0"/>
              <w:keepLines w:val="0"/>
              <w:suppressLineNumbers w:val="0"/>
              <w:spacing w:before="0" w:beforeAutospacing="0" w:after="0" w:afterAutospacing="0" w:line="300" w:lineRule="exact"/>
              <w:ind w:left="0" w:right="0"/>
              <w:jc w:val="center"/>
              <w:rPr>
                <w:rFonts w:hint="eastAsia" w:ascii="宋体" w:hAnsi="宋体"/>
                <w:kern w:val="2"/>
                <w:sz w:val="21"/>
                <w:szCs w:val="21"/>
              </w:rPr>
            </w:pPr>
            <w:r>
              <w:rPr>
                <w:rFonts w:hint="default" w:ascii="宋体" w:hAnsi="宋体"/>
                <w:kern w:val="2"/>
                <w:sz w:val="21"/>
                <w:szCs w:val="21"/>
              </w:rPr>
              <w:t>重要公共建筑</w:t>
            </w:r>
          </w:p>
        </w:tc>
        <w:tc>
          <w:tcPr>
            <w:tcW w:w="1905" w:type="dxa"/>
            <w:noWrap w:val="0"/>
            <w:vAlign w:val="center"/>
          </w:tcPr>
          <w:p>
            <w:pPr>
              <w:keepNext w:val="0"/>
              <w:keepLines w:val="0"/>
              <w:suppressLineNumbers w:val="0"/>
              <w:spacing w:before="0" w:beforeAutospacing="0" w:after="0" w:afterAutospacing="0" w:line="300" w:lineRule="exact"/>
              <w:ind w:left="0" w:right="0"/>
              <w:jc w:val="center"/>
              <w:rPr>
                <w:rFonts w:hint="eastAsia"/>
                <w:b/>
                <w:bCs/>
                <w:kern w:val="2"/>
                <w:sz w:val="21"/>
                <w:szCs w:val="21"/>
              </w:rPr>
            </w:pPr>
            <w:r>
              <w:rPr>
                <w:rFonts w:hint="eastAsia"/>
                <w:b/>
                <w:bCs/>
                <w:kern w:val="2"/>
                <w:sz w:val="21"/>
                <w:szCs w:val="21"/>
              </w:rPr>
              <w:t>35</w:t>
            </w:r>
          </w:p>
        </w:tc>
        <w:tc>
          <w:tcPr>
            <w:tcW w:w="832" w:type="dxa"/>
            <w:noWrap w:val="0"/>
            <w:vAlign w:val="center"/>
          </w:tcPr>
          <w:p>
            <w:pPr>
              <w:keepNext w:val="0"/>
              <w:keepLines w:val="0"/>
              <w:suppressLineNumbers w:val="0"/>
              <w:spacing w:before="0" w:beforeAutospacing="0" w:after="0" w:afterAutospacing="0" w:line="300" w:lineRule="exact"/>
              <w:ind w:left="0" w:right="0"/>
              <w:jc w:val="center"/>
              <w:rPr>
                <w:rFonts w:hint="default"/>
                <w:kern w:val="2"/>
                <w:sz w:val="21"/>
                <w:szCs w:val="21"/>
              </w:rPr>
            </w:pPr>
            <w:r>
              <w:rPr>
                <w:rFonts w:hint="eastAsia"/>
                <w:kern w:val="2"/>
                <w:sz w:val="21"/>
                <w:szCs w:val="21"/>
              </w:rPr>
              <w:t>—</w:t>
            </w:r>
          </w:p>
        </w:tc>
        <w:tc>
          <w:tcPr>
            <w:tcW w:w="663" w:type="dxa"/>
            <w:noWrap w:val="0"/>
            <w:vAlign w:val="center"/>
          </w:tcPr>
          <w:p>
            <w:pPr>
              <w:keepNext w:val="0"/>
              <w:keepLines w:val="0"/>
              <w:suppressLineNumbers w:val="0"/>
              <w:spacing w:before="0" w:beforeAutospacing="0" w:after="0" w:afterAutospacing="0" w:line="300" w:lineRule="exact"/>
              <w:ind w:left="0" w:right="0"/>
              <w:jc w:val="center"/>
              <w:rPr>
                <w:rFonts w:hint="eastAsia"/>
                <w:b/>
                <w:bCs/>
                <w:kern w:val="2"/>
                <w:sz w:val="21"/>
                <w:szCs w:val="21"/>
              </w:rPr>
            </w:pPr>
            <w:r>
              <w:rPr>
                <w:rFonts w:hint="eastAsia"/>
                <w:b/>
                <w:bCs/>
                <w:kern w:val="2"/>
                <w:sz w:val="21"/>
                <w:szCs w:val="21"/>
              </w:rPr>
              <w:t>35</w:t>
            </w:r>
          </w:p>
        </w:tc>
        <w:tc>
          <w:tcPr>
            <w:tcW w:w="835" w:type="dxa"/>
            <w:noWrap w:val="0"/>
            <w:vAlign w:val="center"/>
          </w:tcPr>
          <w:p>
            <w:pPr>
              <w:keepNext w:val="0"/>
              <w:keepLines w:val="0"/>
              <w:suppressLineNumbers w:val="0"/>
              <w:spacing w:before="0" w:beforeAutospacing="0" w:after="0" w:afterAutospacing="0" w:line="300" w:lineRule="exact"/>
              <w:ind w:left="0" w:right="0"/>
              <w:jc w:val="center"/>
              <w:rPr>
                <w:rFonts w:hint="default"/>
                <w:kern w:val="2"/>
                <w:sz w:val="21"/>
                <w:szCs w:val="21"/>
              </w:rPr>
            </w:pPr>
            <w:r>
              <w:rPr>
                <w:rFonts w:hint="eastAsia"/>
                <w:kern w:val="2"/>
                <w:sz w:val="21"/>
                <w:szCs w:val="21"/>
              </w:rPr>
              <w:t>—</w:t>
            </w:r>
          </w:p>
        </w:tc>
        <w:tc>
          <w:tcPr>
            <w:tcW w:w="834" w:type="dxa"/>
            <w:noWrap w:val="0"/>
            <w:vAlign w:val="center"/>
          </w:tcPr>
          <w:p>
            <w:pPr>
              <w:keepNext w:val="0"/>
              <w:keepLines w:val="0"/>
              <w:suppressLineNumbers w:val="0"/>
              <w:spacing w:before="0" w:beforeAutospacing="0" w:after="0" w:afterAutospacing="0" w:line="300" w:lineRule="exact"/>
              <w:ind w:left="0" w:right="0"/>
              <w:jc w:val="center"/>
              <w:rPr>
                <w:rFonts w:hint="eastAsia"/>
                <w:b/>
                <w:bCs/>
                <w:kern w:val="2"/>
                <w:sz w:val="21"/>
                <w:szCs w:val="21"/>
              </w:rPr>
            </w:pPr>
            <w:r>
              <w:rPr>
                <w:rFonts w:hint="eastAsia"/>
                <w:b/>
                <w:bCs/>
                <w:kern w:val="2"/>
                <w:sz w:val="21"/>
                <w:szCs w:val="21"/>
              </w:rPr>
              <w:t>35</w:t>
            </w:r>
          </w:p>
        </w:tc>
        <w:tc>
          <w:tcPr>
            <w:tcW w:w="787" w:type="dxa"/>
            <w:noWrap w:val="0"/>
            <w:vAlign w:val="center"/>
          </w:tcPr>
          <w:p>
            <w:pPr>
              <w:keepNext w:val="0"/>
              <w:keepLines w:val="0"/>
              <w:suppressLineNumbers w:val="0"/>
              <w:spacing w:before="0" w:beforeAutospacing="0" w:after="0" w:afterAutospacing="0" w:line="300" w:lineRule="exact"/>
              <w:ind w:left="0" w:right="0"/>
              <w:jc w:val="center"/>
              <w:rPr>
                <w:rFonts w:hint="default"/>
                <w:kern w:val="2"/>
                <w:sz w:val="21"/>
                <w:szCs w:val="21"/>
              </w:rPr>
            </w:pPr>
            <w:r>
              <w:rPr>
                <w:rFonts w:hint="eastAsia"/>
                <w:kern w:val="2"/>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3500" w:type="dxa"/>
            <w:gridSpan w:val="5"/>
            <w:noWrap w:val="0"/>
            <w:vAlign w:val="center"/>
          </w:tcPr>
          <w:p>
            <w:pPr>
              <w:keepNext w:val="0"/>
              <w:keepLines w:val="0"/>
              <w:suppressLineNumbers w:val="0"/>
              <w:spacing w:before="0" w:beforeAutospacing="0" w:after="0" w:afterAutospacing="0" w:line="300" w:lineRule="exact"/>
              <w:ind w:left="0" w:right="0"/>
              <w:jc w:val="center"/>
              <w:rPr>
                <w:rFonts w:hint="eastAsia" w:ascii="宋体" w:hAnsi="宋体"/>
                <w:kern w:val="2"/>
                <w:sz w:val="21"/>
                <w:szCs w:val="21"/>
              </w:rPr>
            </w:pPr>
            <w:r>
              <w:rPr>
                <w:rFonts w:hint="default" w:hAnsi="宋体"/>
                <w:kern w:val="2"/>
                <w:sz w:val="21"/>
                <w:szCs w:val="21"/>
              </w:rPr>
              <w:t>明火</w:t>
            </w:r>
            <w:r>
              <w:rPr>
                <w:rFonts w:hint="eastAsia" w:hAnsi="宋体"/>
                <w:kern w:val="2"/>
                <w:sz w:val="21"/>
                <w:szCs w:val="21"/>
              </w:rPr>
              <w:t>地点</w:t>
            </w:r>
            <w:r>
              <w:rPr>
                <w:rFonts w:hint="default" w:hAnsi="宋体"/>
                <w:kern w:val="2"/>
                <w:sz w:val="21"/>
                <w:szCs w:val="21"/>
              </w:rPr>
              <w:t>或散发火花</w:t>
            </w:r>
            <w:r>
              <w:rPr>
                <w:rFonts w:hint="eastAsia" w:hAnsi="宋体"/>
                <w:kern w:val="2"/>
                <w:sz w:val="21"/>
                <w:szCs w:val="21"/>
              </w:rPr>
              <w:t>地</w:t>
            </w:r>
            <w:r>
              <w:rPr>
                <w:rFonts w:hint="default" w:hAnsi="宋体"/>
                <w:kern w:val="2"/>
                <w:sz w:val="21"/>
                <w:szCs w:val="21"/>
              </w:rPr>
              <w:t>点</w:t>
            </w:r>
          </w:p>
        </w:tc>
        <w:tc>
          <w:tcPr>
            <w:tcW w:w="1905" w:type="dxa"/>
            <w:noWrap w:val="0"/>
            <w:vAlign w:val="center"/>
          </w:tcPr>
          <w:p>
            <w:pPr>
              <w:keepNext w:val="0"/>
              <w:keepLines w:val="0"/>
              <w:suppressLineNumbers w:val="0"/>
              <w:spacing w:before="0" w:beforeAutospacing="0" w:after="0" w:afterAutospacing="0" w:line="300" w:lineRule="exact"/>
              <w:ind w:left="0" w:right="0"/>
              <w:jc w:val="center"/>
              <w:rPr>
                <w:rFonts w:hint="eastAsia"/>
                <w:b/>
                <w:bCs/>
                <w:kern w:val="2"/>
                <w:sz w:val="21"/>
                <w:szCs w:val="21"/>
              </w:rPr>
            </w:pPr>
            <w:r>
              <w:rPr>
                <w:rFonts w:hint="eastAsia"/>
                <w:b/>
                <w:bCs/>
                <w:kern w:val="2"/>
                <w:sz w:val="21"/>
                <w:szCs w:val="21"/>
              </w:rPr>
              <w:t>17.5</w:t>
            </w:r>
          </w:p>
        </w:tc>
        <w:tc>
          <w:tcPr>
            <w:tcW w:w="832" w:type="dxa"/>
            <w:noWrap w:val="0"/>
            <w:vAlign w:val="center"/>
          </w:tcPr>
          <w:p>
            <w:pPr>
              <w:keepNext w:val="0"/>
              <w:keepLines w:val="0"/>
              <w:suppressLineNumbers w:val="0"/>
              <w:spacing w:before="0" w:beforeAutospacing="0" w:after="0" w:afterAutospacing="0" w:line="300" w:lineRule="exact"/>
              <w:ind w:left="0" w:right="0"/>
              <w:jc w:val="center"/>
              <w:rPr>
                <w:rFonts w:hint="eastAsia"/>
                <w:kern w:val="2"/>
                <w:sz w:val="21"/>
                <w:szCs w:val="21"/>
              </w:rPr>
            </w:pPr>
            <w:r>
              <w:rPr>
                <w:rFonts w:hint="eastAsia"/>
                <w:kern w:val="2"/>
                <w:sz w:val="21"/>
                <w:szCs w:val="21"/>
              </w:rPr>
              <w:t>—</w:t>
            </w:r>
          </w:p>
        </w:tc>
        <w:tc>
          <w:tcPr>
            <w:tcW w:w="663" w:type="dxa"/>
            <w:noWrap w:val="0"/>
            <w:vAlign w:val="center"/>
          </w:tcPr>
          <w:p>
            <w:pPr>
              <w:keepNext w:val="0"/>
              <w:keepLines w:val="0"/>
              <w:suppressLineNumbers w:val="0"/>
              <w:spacing w:before="0" w:beforeAutospacing="0" w:after="0" w:afterAutospacing="0" w:line="300" w:lineRule="exact"/>
              <w:ind w:left="0" w:right="0"/>
              <w:jc w:val="center"/>
              <w:rPr>
                <w:rFonts w:hint="eastAsia"/>
                <w:b/>
                <w:bCs/>
                <w:kern w:val="2"/>
                <w:sz w:val="21"/>
                <w:szCs w:val="21"/>
              </w:rPr>
            </w:pPr>
            <w:r>
              <w:rPr>
                <w:rFonts w:hint="eastAsia"/>
                <w:b/>
                <w:bCs/>
                <w:kern w:val="2"/>
                <w:sz w:val="21"/>
                <w:szCs w:val="21"/>
              </w:rPr>
              <w:t>12.5</w:t>
            </w:r>
          </w:p>
        </w:tc>
        <w:tc>
          <w:tcPr>
            <w:tcW w:w="835" w:type="dxa"/>
            <w:noWrap w:val="0"/>
            <w:vAlign w:val="center"/>
          </w:tcPr>
          <w:p>
            <w:pPr>
              <w:keepNext w:val="0"/>
              <w:keepLines w:val="0"/>
              <w:suppressLineNumbers w:val="0"/>
              <w:spacing w:before="0" w:beforeAutospacing="0" w:after="0" w:afterAutospacing="0" w:line="300" w:lineRule="exact"/>
              <w:ind w:left="0" w:right="0"/>
              <w:jc w:val="center"/>
              <w:rPr>
                <w:rFonts w:hint="eastAsia"/>
                <w:kern w:val="2"/>
                <w:sz w:val="21"/>
                <w:szCs w:val="21"/>
              </w:rPr>
            </w:pPr>
            <w:r>
              <w:rPr>
                <w:rFonts w:hint="eastAsia"/>
                <w:kern w:val="2"/>
                <w:sz w:val="21"/>
                <w:szCs w:val="21"/>
              </w:rPr>
              <w:t>—</w:t>
            </w:r>
          </w:p>
        </w:tc>
        <w:tc>
          <w:tcPr>
            <w:tcW w:w="834" w:type="dxa"/>
            <w:noWrap w:val="0"/>
            <w:vAlign w:val="center"/>
          </w:tcPr>
          <w:p>
            <w:pPr>
              <w:keepNext w:val="0"/>
              <w:keepLines w:val="0"/>
              <w:suppressLineNumbers w:val="0"/>
              <w:spacing w:before="0" w:beforeAutospacing="0" w:after="0" w:afterAutospacing="0" w:line="300" w:lineRule="exact"/>
              <w:ind w:left="0" w:right="0"/>
              <w:jc w:val="center"/>
              <w:rPr>
                <w:rFonts w:hint="eastAsia"/>
                <w:b/>
                <w:bCs/>
                <w:kern w:val="2"/>
                <w:sz w:val="21"/>
                <w:szCs w:val="21"/>
              </w:rPr>
            </w:pPr>
            <w:r>
              <w:rPr>
                <w:rFonts w:hint="eastAsia"/>
                <w:b/>
                <w:bCs/>
                <w:kern w:val="2"/>
                <w:sz w:val="21"/>
                <w:szCs w:val="21"/>
              </w:rPr>
              <w:t>12.5</w:t>
            </w:r>
          </w:p>
        </w:tc>
        <w:tc>
          <w:tcPr>
            <w:tcW w:w="787" w:type="dxa"/>
            <w:noWrap w:val="0"/>
            <w:vAlign w:val="center"/>
          </w:tcPr>
          <w:p>
            <w:pPr>
              <w:keepNext w:val="0"/>
              <w:keepLines w:val="0"/>
              <w:suppressLineNumbers w:val="0"/>
              <w:spacing w:before="0" w:beforeAutospacing="0" w:after="0" w:afterAutospacing="0" w:line="300" w:lineRule="exact"/>
              <w:ind w:left="0" w:right="0"/>
              <w:jc w:val="center"/>
              <w:rPr>
                <w:rFonts w:hint="eastAsia"/>
                <w:kern w:val="2"/>
                <w:sz w:val="21"/>
                <w:szCs w:val="21"/>
              </w:rPr>
            </w:pPr>
            <w:r>
              <w:rPr>
                <w:rFonts w:hint="eastAsia"/>
                <w:kern w:val="2"/>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3500" w:type="dxa"/>
            <w:gridSpan w:val="5"/>
            <w:noWrap w:val="0"/>
            <w:vAlign w:val="center"/>
          </w:tcPr>
          <w:p>
            <w:pPr>
              <w:keepNext w:val="0"/>
              <w:keepLines w:val="0"/>
              <w:suppressLineNumbers w:val="0"/>
              <w:spacing w:before="0" w:beforeAutospacing="0" w:after="0" w:afterAutospacing="0" w:line="300" w:lineRule="exact"/>
              <w:ind w:left="0" w:right="0"/>
              <w:jc w:val="center"/>
              <w:rPr>
                <w:rFonts w:hint="default" w:hAnsi="宋体"/>
                <w:kern w:val="2"/>
                <w:sz w:val="21"/>
                <w:szCs w:val="21"/>
              </w:rPr>
            </w:pPr>
            <w:r>
              <w:rPr>
                <w:rFonts w:hint="default" w:ascii="宋体" w:hAnsi="宋体"/>
                <w:kern w:val="2"/>
                <w:sz w:val="21"/>
                <w:szCs w:val="21"/>
              </w:rPr>
              <w:t>民用一类保护物</w:t>
            </w:r>
          </w:p>
        </w:tc>
        <w:tc>
          <w:tcPr>
            <w:tcW w:w="1905" w:type="dxa"/>
            <w:noWrap w:val="0"/>
            <w:vAlign w:val="center"/>
          </w:tcPr>
          <w:p>
            <w:pPr>
              <w:keepNext w:val="0"/>
              <w:keepLines w:val="0"/>
              <w:suppressLineNumbers w:val="0"/>
              <w:spacing w:before="0" w:beforeAutospacing="0" w:after="0" w:afterAutospacing="0" w:line="300" w:lineRule="exact"/>
              <w:ind w:left="0" w:right="0"/>
              <w:jc w:val="center"/>
              <w:rPr>
                <w:rFonts w:hint="eastAsia"/>
                <w:b/>
                <w:bCs/>
                <w:kern w:val="2"/>
                <w:sz w:val="21"/>
                <w:szCs w:val="21"/>
              </w:rPr>
            </w:pPr>
            <w:r>
              <w:rPr>
                <w:rFonts w:hint="eastAsia"/>
                <w:b/>
                <w:bCs/>
                <w:kern w:val="2"/>
                <w:sz w:val="21"/>
                <w:szCs w:val="21"/>
              </w:rPr>
              <w:t>14</w:t>
            </w:r>
          </w:p>
        </w:tc>
        <w:tc>
          <w:tcPr>
            <w:tcW w:w="832" w:type="dxa"/>
            <w:noWrap w:val="0"/>
            <w:vAlign w:val="center"/>
          </w:tcPr>
          <w:p>
            <w:pPr>
              <w:keepNext w:val="0"/>
              <w:keepLines w:val="0"/>
              <w:suppressLineNumbers w:val="0"/>
              <w:spacing w:before="0" w:beforeAutospacing="0" w:after="0" w:afterAutospacing="0" w:line="300" w:lineRule="exact"/>
              <w:ind w:left="0" w:right="0"/>
              <w:jc w:val="center"/>
              <w:rPr>
                <w:rFonts w:hint="default"/>
                <w:kern w:val="2"/>
                <w:sz w:val="21"/>
                <w:szCs w:val="21"/>
              </w:rPr>
            </w:pPr>
            <w:r>
              <w:rPr>
                <w:rFonts w:hint="eastAsia"/>
                <w:kern w:val="2"/>
                <w:sz w:val="21"/>
                <w:szCs w:val="21"/>
              </w:rPr>
              <w:t>—</w:t>
            </w:r>
          </w:p>
        </w:tc>
        <w:tc>
          <w:tcPr>
            <w:tcW w:w="663" w:type="dxa"/>
            <w:noWrap w:val="0"/>
            <w:vAlign w:val="center"/>
          </w:tcPr>
          <w:p>
            <w:pPr>
              <w:keepNext w:val="0"/>
              <w:keepLines w:val="0"/>
              <w:suppressLineNumbers w:val="0"/>
              <w:spacing w:before="0" w:beforeAutospacing="0" w:after="0" w:afterAutospacing="0" w:line="300" w:lineRule="exact"/>
              <w:ind w:left="0" w:right="0"/>
              <w:jc w:val="center"/>
              <w:rPr>
                <w:rFonts w:hint="eastAsia"/>
                <w:b/>
                <w:bCs/>
                <w:kern w:val="2"/>
                <w:sz w:val="21"/>
                <w:szCs w:val="21"/>
              </w:rPr>
            </w:pPr>
            <w:r>
              <w:rPr>
                <w:rFonts w:hint="eastAsia"/>
                <w:b/>
                <w:bCs/>
                <w:kern w:val="2"/>
                <w:sz w:val="21"/>
                <w:szCs w:val="21"/>
              </w:rPr>
              <w:t>11</w:t>
            </w:r>
          </w:p>
        </w:tc>
        <w:tc>
          <w:tcPr>
            <w:tcW w:w="835" w:type="dxa"/>
            <w:noWrap w:val="0"/>
            <w:vAlign w:val="center"/>
          </w:tcPr>
          <w:p>
            <w:pPr>
              <w:keepNext w:val="0"/>
              <w:keepLines w:val="0"/>
              <w:suppressLineNumbers w:val="0"/>
              <w:spacing w:before="0" w:beforeAutospacing="0" w:after="0" w:afterAutospacing="0" w:line="300" w:lineRule="exact"/>
              <w:ind w:left="0" w:right="0"/>
              <w:jc w:val="center"/>
              <w:rPr>
                <w:rFonts w:hint="default"/>
                <w:kern w:val="2"/>
                <w:sz w:val="21"/>
                <w:szCs w:val="21"/>
              </w:rPr>
            </w:pPr>
            <w:r>
              <w:rPr>
                <w:rFonts w:hint="eastAsia"/>
                <w:kern w:val="2"/>
                <w:sz w:val="21"/>
                <w:szCs w:val="21"/>
              </w:rPr>
              <w:t>—</w:t>
            </w:r>
          </w:p>
        </w:tc>
        <w:tc>
          <w:tcPr>
            <w:tcW w:w="834" w:type="dxa"/>
            <w:noWrap w:val="0"/>
            <w:vAlign w:val="center"/>
          </w:tcPr>
          <w:p>
            <w:pPr>
              <w:keepNext w:val="0"/>
              <w:keepLines w:val="0"/>
              <w:suppressLineNumbers w:val="0"/>
              <w:spacing w:before="0" w:beforeAutospacing="0" w:after="0" w:afterAutospacing="0" w:line="300" w:lineRule="exact"/>
              <w:ind w:left="0" w:right="0"/>
              <w:jc w:val="center"/>
              <w:rPr>
                <w:rFonts w:hint="eastAsia"/>
                <w:b/>
                <w:bCs/>
                <w:kern w:val="2"/>
                <w:sz w:val="21"/>
                <w:szCs w:val="21"/>
              </w:rPr>
            </w:pPr>
            <w:r>
              <w:rPr>
                <w:rFonts w:hint="eastAsia"/>
                <w:b/>
                <w:bCs/>
                <w:kern w:val="2"/>
                <w:sz w:val="21"/>
                <w:szCs w:val="21"/>
              </w:rPr>
              <w:t>11</w:t>
            </w:r>
          </w:p>
        </w:tc>
        <w:tc>
          <w:tcPr>
            <w:tcW w:w="787" w:type="dxa"/>
            <w:noWrap w:val="0"/>
            <w:vAlign w:val="center"/>
          </w:tcPr>
          <w:p>
            <w:pPr>
              <w:keepNext w:val="0"/>
              <w:keepLines w:val="0"/>
              <w:suppressLineNumbers w:val="0"/>
              <w:spacing w:before="0" w:beforeAutospacing="0" w:after="0" w:afterAutospacing="0" w:line="300" w:lineRule="exact"/>
              <w:ind w:left="0" w:right="0"/>
              <w:jc w:val="center"/>
              <w:rPr>
                <w:rFonts w:hint="eastAsia"/>
                <w:kern w:val="2"/>
                <w:sz w:val="21"/>
                <w:szCs w:val="21"/>
              </w:rPr>
            </w:pPr>
            <w:r>
              <w:rPr>
                <w:rFonts w:hint="eastAsia"/>
                <w:kern w:val="2"/>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3500" w:type="dxa"/>
            <w:gridSpan w:val="5"/>
            <w:noWrap w:val="0"/>
            <w:vAlign w:val="center"/>
          </w:tcPr>
          <w:p>
            <w:pPr>
              <w:keepNext w:val="0"/>
              <w:keepLines w:val="0"/>
              <w:suppressLineNumbers w:val="0"/>
              <w:spacing w:before="0" w:beforeAutospacing="0" w:after="0" w:afterAutospacing="0" w:line="300" w:lineRule="exact"/>
              <w:ind w:left="0" w:right="0"/>
              <w:jc w:val="center"/>
              <w:rPr>
                <w:rFonts w:hint="eastAsia" w:hAnsi="宋体"/>
                <w:kern w:val="2"/>
                <w:sz w:val="21"/>
                <w:szCs w:val="21"/>
                <w:lang w:val="en-GB"/>
              </w:rPr>
            </w:pPr>
            <w:r>
              <w:rPr>
                <w:rFonts w:hint="eastAsia" w:ascii="宋体" w:hAnsi="宋体"/>
                <w:kern w:val="2"/>
                <w:sz w:val="21"/>
                <w:szCs w:val="21"/>
              </w:rPr>
              <w:t>民用二类保护物</w:t>
            </w:r>
          </w:p>
        </w:tc>
        <w:tc>
          <w:tcPr>
            <w:tcW w:w="1905" w:type="dxa"/>
            <w:noWrap w:val="0"/>
            <w:vAlign w:val="center"/>
          </w:tcPr>
          <w:p>
            <w:pPr>
              <w:keepNext w:val="0"/>
              <w:keepLines w:val="0"/>
              <w:suppressLineNumbers w:val="0"/>
              <w:spacing w:before="0" w:beforeAutospacing="0" w:after="0" w:afterAutospacing="0" w:line="300" w:lineRule="exact"/>
              <w:ind w:left="0" w:right="0"/>
              <w:jc w:val="center"/>
              <w:rPr>
                <w:rFonts w:hint="eastAsia"/>
                <w:b/>
                <w:bCs/>
                <w:kern w:val="2"/>
                <w:sz w:val="21"/>
                <w:szCs w:val="21"/>
              </w:rPr>
            </w:pPr>
            <w:r>
              <w:rPr>
                <w:rFonts w:hint="eastAsia"/>
                <w:b/>
                <w:bCs/>
                <w:kern w:val="2"/>
                <w:sz w:val="21"/>
                <w:szCs w:val="21"/>
              </w:rPr>
              <w:t>11</w:t>
            </w:r>
          </w:p>
        </w:tc>
        <w:tc>
          <w:tcPr>
            <w:tcW w:w="832" w:type="dxa"/>
            <w:noWrap w:val="0"/>
            <w:vAlign w:val="center"/>
          </w:tcPr>
          <w:p>
            <w:pPr>
              <w:keepNext w:val="0"/>
              <w:keepLines w:val="0"/>
              <w:suppressLineNumbers w:val="0"/>
              <w:spacing w:before="0" w:beforeAutospacing="0" w:after="0" w:afterAutospacing="0" w:line="300" w:lineRule="exact"/>
              <w:ind w:left="0" w:right="0"/>
              <w:jc w:val="center"/>
              <w:rPr>
                <w:rFonts w:hint="default"/>
                <w:kern w:val="2"/>
                <w:sz w:val="21"/>
                <w:szCs w:val="21"/>
              </w:rPr>
            </w:pPr>
            <w:r>
              <w:rPr>
                <w:rFonts w:hint="eastAsia"/>
                <w:kern w:val="2"/>
                <w:sz w:val="21"/>
                <w:szCs w:val="21"/>
              </w:rPr>
              <w:t>—</w:t>
            </w:r>
          </w:p>
        </w:tc>
        <w:tc>
          <w:tcPr>
            <w:tcW w:w="663" w:type="dxa"/>
            <w:noWrap w:val="0"/>
            <w:vAlign w:val="center"/>
          </w:tcPr>
          <w:p>
            <w:pPr>
              <w:keepNext w:val="0"/>
              <w:keepLines w:val="0"/>
              <w:suppressLineNumbers w:val="0"/>
              <w:spacing w:before="0" w:beforeAutospacing="0" w:after="0" w:afterAutospacing="0" w:line="300" w:lineRule="exact"/>
              <w:ind w:left="0" w:right="0"/>
              <w:jc w:val="center"/>
              <w:rPr>
                <w:rFonts w:hint="eastAsia"/>
                <w:b/>
                <w:bCs/>
                <w:kern w:val="2"/>
                <w:sz w:val="21"/>
                <w:szCs w:val="21"/>
              </w:rPr>
            </w:pPr>
            <w:r>
              <w:rPr>
                <w:rFonts w:hint="eastAsia"/>
                <w:b/>
                <w:bCs/>
                <w:kern w:val="2"/>
                <w:sz w:val="21"/>
                <w:szCs w:val="21"/>
              </w:rPr>
              <w:t>8.5</w:t>
            </w:r>
          </w:p>
        </w:tc>
        <w:tc>
          <w:tcPr>
            <w:tcW w:w="835" w:type="dxa"/>
            <w:noWrap w:val="0"/>
            <w:vAlign w:val="center"/>
          </w:tcPr>
          <w:p>
            <w:pPr>
              <w:keepNext w:val="0"/>
              <w:keepLines w:val="0"/>
              <w:suppressLineNumbers w:val="0"/>
              <w:spacing w:before="0" w:beforeAutospacing="0" w:after="0" w:afterAutospacing="0" w:line="300" w:lineRule="exact"/>
              <w:ind w:left="0" w:right="0"/>
              <w:jc w:val="center"/>
              <w:rPr>
                <w:rFonts w:hint="default"/>
                <w:kern w:val="2"/>
                <w:sz w:val="21"/>
                <w:szCs w:val="21"/>
              </w:rPr>
            </w:pPr>
            <w:r>
              <w:rPr>
                <w:rFonts w:hint="eastAsia"/>
                <w:kern w:val="2"/>
                <w:sz w:val="21"/>
                <w:szCs w:val="21"/>
              </w:rPr>
              <w:t>—</w:t>
            </w:r>
          </w:p>
        </w:tc>
        <w:tc>
          <w:tcPr>
            <w:tcW w:w="834" w:type="dxa"/>
            <w:noWrap w:val="0"/>
            <w:vAlign w:val="center"/>
          </w:tcPr>
          <w:p>
            <w:pPr>
              <w:keepNext w:val="0"/>
              <w:keepLines w:val="0"/>
              <w:suppressLineNumbers w:val="0"/>
              <w:spacing w:before="0" w:beforeAutospacing="0" w:after="0" w:afterAutospacing="0" w:line="300" w:lineRule="exact"/>
              <w:ind w:left="0" w:right="0"/>
              <w:jc w:val="center"/>
              <w:rPr>
                <w:rFonts w:hint="eastAsia"/>
                <w:b/>
                <w:bCs/>
                <w:kern w:val="2"/>
                <w:sz w:val="21"/>
                <w:szCs w:val="21"/>
              </w:rPr>
            </w:pPr>
            <w:r>
              <w:rPr>
                <w:rFonts w:hint="eastAsia"/>
                <w:b/>
                <w:bCs/>
                <w:kern w:val="2"/>
                <w:sz w:val="21"/>
                <w:szCs w:val="21"/>
              </w:rPr>
              <w:t>8.5</w:t>
            </w:r>
          </w:p>
        </w:tc>
        <w:tc>
          <w:tcPr>
            <w:tcW w:w="787" w:type="dxa"/>
            <w:noWrap w:val="0"/>
            <w:vAlign w:val="center"/>
          </w:tcPr>
          <w:p>
            <w:pPr>
              <w:keepNext w:val="0"/>
              <w:keepLines w:val="0"/>
              <w:suppressLineNumbers w:val="0"/>
              <w:spacing w:before="0" w:beforeAutospacing="0" w:after="0" w:afterAutospacing="0" w:line="300" w:lineRule="exact"/>
              <w:ind w:left="0" w:right="0"/>
              <w:jc w:val="center"/>
              <w:rPr>
                <w:rFonts w:hint="default"/>
                <w:kern w:val="2"/>
                <w:sz w:val="21"/>
                <w:szCs w:val="21"/>
              </w:rPr>
            </w:pPr>
            <w:r>
              <w:rPr>
                <w:rFonts w:hint="eastAsia"/>
                <w:kern w:val="2"/>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7" w:hRule="atLeast"/>
          <w:jc w:val="center"/>
        </w:trPr>
        <w:tc>
          <w:tcPr>
            <w:tcW w:w="735" w:type="dxa"/>
            <w:vMerge w:val="restart"/>
            <w:noWrap w:val="0"/>
            <w:vAlign w:val="center"/>
          </w:tcPr>
          <w:p>
            <w:pPr>
              <w:keepNext w:val="0"/>
              <w:keepLines w:val="0"/>
              <w:suppressLineNumbers w:val="0"/>
              <w:spacing w:before="0" w:beforeAutospacing="0" w:after="0" w:afterAutospacing="0" w:line="300" w:lineRule="exact"/>
              <w:ind w:left="0" w:right="0"/>
              <w:jc w:val="center"/>
              <w:rPr>
                <w:rFonts w:hint="default" w:ascii="宋体" w:hAnsi="宋体"/>
                <w:kern w:val="2"/>
                <w:sz w:val="21"/>
                <w:szCs w:val="21"/>
              </w:rPr>
            </w:pPr>
            <w:r>
              <w:rPr>
                <w:rFonts w:hint="eastAsia" w:ascii="宋体" w:hAnsi="宋体"/>
                <w:kern w:val="2"/>
                <w:sz w:val="21"/>
                <w:szCs w:val="21"/>
              </w:rPr>
              <w:t>民用三类保护物</w:t>
            </w:r>
          </w:p>
        </w:tc>
        <w:tc>
          <w:tcPr>
            <w:tcW w:w="2765" w:type="dxa"/>
            <w:gridSpan w:val="4"/>
            <w:noWrap w:val="0"/>
            <w:vAlign w:val="center"/>
          </w:tcPr>
          <w:p>
            <w:pPr>
              <w:keepNext w:val="0"/>
              <w:keepLines w:val="0"/>
              <w:suppressLineNumbers w:val="0"/>
              <w:spacing w:before="0" w:beforeAutospacing="0" w:after="0" w:afterAutospacing="0" w:line="300" w:lineRule="exact"/>
              <w:ind w:left="0" w:right="0"/>
              <w:jc w:val="center"/>
              <w:rPr>
                <w:rFonts w:hint="eastAsia" w:hAnsi="宋体"/>
                <w:kern w:val="2"/>
                <w:sz w:val="21"/>
                <w:szCs w:val="21"/>
                <w:lang w:val="en-GB"/>
              </w:rPr>
            </w:pPr>
            <w:r>
              <w:rPr>
                <w:rFonts w:hint="eastAsia"/>
                <w:kern w:val="2"/>
                <w:sz w:val="21"/>
                <w:szCs w:val="21"/>
              </w:rPr>
              <w:t>南面美车汇二手车及酒水茶商城</w:t>
            </w:r>
            <w:r>
              <w:rPr>
                <w:rFonts w:hint="eastAsia"/>
                <w:kern w:val="2"/>
                <w:sz w:val="21"/>
                <w:szCs w:val="21"/>
                <w:lang w:eastAsia="zh-CN"/>
              </w:rPr>
              <w:t>、业城二手车</w:t>
            </w:r>
          </w:p>
        </w:tc>
        <w:tc>
          <w:tcPr>
            <w:tcW w:w="1905" w:type="dxa"/>
            <w:noWrap w:val="0"/>
            <w:vAlign w:val="center"/>
          </w:tcPr>
          <w:p>
            <w:pPr>
              <w:keepNext w:val="0"/>
              <w:keepLines w:val="0"/>
              <w:suppressLineNumbers w:val="0"/>
              <w:spacing w:before="0" w:beforeAutospacing="0" w:after="0" w:afterAutospacing="0" w:line="300" w:lineRule="exact"/>
              <w:ind w:left="0" w:right="0"/>
              <w:jc w:val="center"/>
              <w:rPr>
                <w:rFonts w:hint="eastAsia"/>
                <w:b/>
                <w:bCs/>
                <w:kern w:val="2"/>
                <w:sz w:val="21"/>
                <w:szCs w:val="21"/>
              </w:rPr>
            </w:pPr>
            <w:r>
              <w:rPr>
                <w:rFonts w:hint="eastAsia"/>
                <w:b/>
                <w:bCs/>
                <w:kern w:val="2"/>
                <w:sz w:val="21"/>
                <w:szCs w:val="21"/>
              </w:rPr>
              <w:t>8.5</w:t>
            </w:r>
          </w:p>
        </w:tc>
        <w:tc>
          <w:tcPr>
            <w:tcW w:w="832" w:type="dxa"/>
            <w:noWrap w:val="0"/>
            <w:vAlign w:val="center"/>
          </w:tcPr>
          <w:p>
            <w:pPr>
              <w:keepNext w:val="0"/>
              <w:keepLines w:val="0"/>
              <w:suppressLineNumbers w:val="0"/>
              <w:spacing w:before="0" w:beforeAutospacing="0" w:after="0" w:afterAutospacing="0" w:line="300" w:lineRule="exact"/>
              <w:ind w:left="0" w:right="0"/>
              <w:jc w:val="center"/>
              <w:rPr>
                <w:rFonts w:hint="eastAsia"/>
                <w:kern w:val="2"/>
                <w:sz w:val="21"/>
                <w:szCs w:val="21"/>
              </w:rPr>
            </w:pPr>
            <w:r>
              <w:rPr>
                <w:rFonts w:hint="eastAsia"/>
                <w:kern w:val="2"/>
                <w:sz w:val="21"/>
                <w:szCs w:val="21"/>
              </w:rPr>
              <w:t>8.58</w:t>
            </w:r>
          </w:p>
        </w:tc>
        <w:tc>
          <w:tcPr>
            <w:tcW w:w="663" w:type="dxa"/>
            <w:noWrap w:val="0"/>
            <w:vAlign w:val="center"/>
          </w:tcPr>
          <w:p>
            <w:pPr>
              <w:keepNext w:val="0"/>
              <w:keepLines w:val="0"/>
              <w:suppressLineNumbers w:val="0"/>
              <w:spacing w:before="0" w:beforeAutospacing="0" w:after="0" w:afterAutospacing="0" w:line="300" w:lineRule="exact"/>
              <w:ind w:left="0" w:right="0"/>
              <w:jc w:val="center"/>
              <w:rPr>
                <w:rFonts w:hint="eastAsia"/>
                <w:b/>
                <w:bCs/>
                <w:kern w:val="2"/>
                <w:sz w:val="21"/>
                <w:szCs w:val="21"/>
              </w:rPr>
            </w:pPr>
            <w:r>
              <w:rPr>
                <w:rFonts w:hint="eastAsia"/>
                <w:b/>
                <w:bCs/>
                <w:kern w:val="2"/>
                <w:sz w:val="21"/>
                <w:szCs w:val="21"/>
              </w:rPr>
              <w:t>7</w:t>
            </w:r>
          </w:p>
        </w:tc>
        <w:tc>
          <w:tcPr>
            <w:tcW w:w="835" w:type="dxa"/>
            <w:noWrap w:val="0"/>
            <w:vAlign w:val="center"/>
          </w:tcPr>
          <w:p>
            <w:pPr>
              <w:keepNext w:val="0"/>
              <w:keepLines w:val="0"/>
              <w:suppressLineNumbers w:val="0"/>
              <w:spacing w:before="0" w:beforeAutospacing="0" w:after="0" w:afterAutospacing="0" w:line="300" w:lineRule="exact"/>
              <w:ind w:left="0" w:right="0"/>
              <w:jc w:val="center"/>
              <w:rPr>
                <w:rFonts w:hint="eastAsia"/>
                <w:kern w:val="2"/>
                <w:sz w:val="21"/>
                <w:szCs w:val="21"/>
              </w:rPr>
            </w:pPr>
            <w:r>
              <w:rPr>
                <w:rFonts w:hint="eastAsia"/>
                <w:kern w:val="2"/>
                <w:sz w:val="21"/>
                <w:szCs w:val="21"/>
              </w:rPr>
              <w:t>12.93</w:t>
            </w:r>
          </w:p>
        </w:tc>
        <w:tc>
          <w:tcPr>
            <w:tcW w:w="834" w:type="dxa"/>
            <w:noWrap w:val="0"/>
            <w:vAlign w:val="center"/>
          </w:tcPr>
          <w:p>
            <w:pPr>
              <w:keepNext w:val="0"/>
              <w:keepLines w:val="0"/>
              <w:suppressLineNumbers w:val="0"/>
              <w:spacing w:before="0" w:beforeAutospacing="0" w:after="0" w:afterAutospacing="0" w:line="300" w:lineRule="exact"/>
              <w:ind w:left="0" w:right="0"/>
              <w:jc w:val="center"/>
              <w:rPr>
                <w:rFonts w:hint="eastAsia"/>
                <w:b/>
                <w:bCs/>
                <w:kern w:val="2"/>
                <w:sz w:val="21"/>
                <w:szCs w:val="21"/>
              </w:rPr>
            </w:pPr>
            <w:r>
              <w:rPr>
                <w:rFonts w:hint="eastAsia"/>
                <w:b/>
                <w:bCs/>
                <w:kern w:val="2"/>
                <w:sz w:val="21"/>
                <w:szCs w:val="21"/>
              </w:rPr>
              <w:t>7</w:t>
            </w:r>
          </w:p>
        </w:tc>
        <w:tc>
          <w:tcPr>
            <w:tcW w:w="787" w:type="dxa"/>
            <w:noWrap w:val="0"/>
            <w:vAlign w:val="center"/>
          </w:tcPr>
          <w:p>
            <w:pPr>
              <w:keepNext w:val="0"/>
              <w:keepLines w:val="0"/>
              <w:suppressLineNumbers w:val="0"/>
              <w:spacing w:before="0" w:beforeAutospacing="0" w:after="0" w:afterAutospacing="0" w:line="300" w:lineRule="exact"/>
              <w:ind w:left="0" w:right="0"/>
              <w:jc w:val="center"/>
              <w:rPr>
                <w:rFonts w:hint="default" w:eastAsia="宋体"/>
                <w:kern w:val="2"/>
                <w:sz w:val="21"/>
                <w:szCs w:val="21"/>
                <w:lang w:val="en-US" w:eastAsia="zh-CN"/>
              </w:rPr>
            </w:pPr>
            <w:r>
              <w:rPr>
                <w:rFonts w:hint="eastAsia"/>
                <w:kern w:val="2"/>
                <w:sz w:val="21"/>
                <w:szCs w:val="21"/>
                <w:lang w:val="en-US" w:eastAsia="zh-CN"/>
              </w:rPr>
              <w:t>13.16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1" w:hRule="atLeast"/>
          <w:jc w:val="center"/>
        </w:trPr>
        <w:tc>
          <w:tcPr>
            <w:tcW w:w="735" w:type="dxa"/>
            <w:vMerge w:val="continue"/>
            <w:noWrap w:val="0"/>
            <w:vAlign w:val="center"/>
          </w:tcPr>
          <w:p>
            <w:pPr>
              <w:keepNext w:val="0"/>
              <w:keepLines w:val="0"/>
              <w:suppressLineNumbers w:val="0"/>
              <w:spacing w:before="0" w:beforeAutospacing="0" w:after="0" w:afterAutospacing="0" w:line="300" w:lineRule="exact"/>
              <w:ind w:left="0" w:right="0"/>
              <w:jc w:val="center"/>
              <w:rPr>
                <w:rFonts w:hint="eastAsia" w:ascii="宋体" w:hAnsi="宋体"/>
                <w:kern w:val="2"/>
                <w:sz w:val="21"/>
                <w:szCs w:val="21"/>
              </w:rPr>
            </w:pPr>
          </w:p>
        </w:tc>
        <w:tc>
          <w:tcPr>
            <w:tcW w:w="2765" w:type="dxa"/>
            <w:gridSpan w:val="4"/>
            <w:noWrap w:val="0"/>
            <w:vAlign w:val="center"/>
          </w:tcPr>
          <w:p>
            <w:pPr>
              <w:keepNext w:val="0"/>
              <w:keepLines w:val="0"/>
              <w:suppressLineNumbers w:val="0"/>
              <w:spacing w:before="0" w:beforeAutospacing="0" w:after="0" w:afterAutospacing="0" w:line="300" w:lineRule="exact"/>
              <w:ind w:left="0" w:right="0"/>
              <w:jc w:val="center"/>
              <w:rPr>
                <w:rFonts w:hint="eastAsia"/>
                <w:kern w:val="2"/>
                <w:sz w:val="21"/>
                <w:szCs w:val="21"/>
              </w:rPr>
            </w:pPr>
            <w:r>
              <w:rPr>
                <w:rFonts w:hint="eastAsia"/>
                <w:kern w:val="2"/>
                <w:sz w:val="21"/>
                <w:szCs w:val="21"/>
              </w:rPr>
              <w:t>南面停车棚</w:t>
            </w:r>
          </w:p>
        </w:tc>
        <w:tc>
          <w:tcPr>
            <w:tcW w:w="1905" w:type="dxa"/>
            <w:noWrap w:val="0"/>
            <w:vAlign w:val="center"/>
          </w:tcPr>
          <w:p>
            <w:pPr>
              <w:keepNext w:val="0"/>
              <w:keepLines w:val="0"/>
              <w:suppressLineNumbers w:val="0"/>
              <w:spacing w:before="0" w:beforeAutospacing="0" w:after="0" w:afterAutospacing="0" w:line="300" w:lineRule="exact"/>
              <w:ind w:left="0" w:right="0"/>
              <w:jc w:val="center"/>
              <w:rPr>
                <w:rFonts w:hint="eastAsia"/>
                <w:b/>
                <w:bCs/>
                <w:kern w:val="2"/>
                <w:sz w:val="21"/>
                <w:szCs w:val="21"/>
              </w:rPr>
            </w:pPr>
            <w:r>
              <w:rPr>
                <w:rFonts w:hint="eastAsia"/>
                <w:b/>
                <w:bCs/>
                <w:kern w:val="2"/>
                <w:sz w:val="21"/>
                <w:szCs w:val="21"/>
              </w:rPr>
              <w:t>8.5</w:t>
            </w:r>
          </w:p>
        </w:tc>
        <w:tc>
          <w:tcPr>
            <w:tcW w:w="832" w:type="dxa"/>
            <w:noWrap w:val="0"/>
            <w:vAlign w:val="center"/>
          </w:tcPr>
          <w:p>
            <w:pPr>
              <w:keepNext w:val="0"/>
              <w:keepLines w:val="0"/>
              <w:suppressLineNumbers w:val="0"/>
              <w:spacing w:before="0" w:beforeAutospacing="0" w:after="0" w:afterAutospacing="0" w:line="300" w:lineRule="exact"/>
              <w:ind w:left="0" w:right="0"/>
              <w:jc w:val="center"/>
              <w:rPr>
                <w:rFonts w:hint="default"/>
                <w:kern w:val="2"/>
                <w:sz w:val="21"/>
                <w:szCs w:val="21"/>
              </w:rPr>
            </w:pPr>
            <w:r>
              <w:rPr>
                <w:rFonts w:hint="eastAsia"/>
                <w:kern w:val="2"/>
                <w:sz w:val="21"/>
                <w:szCs w:val="21"/>
              </w:rPr>
              <w:t>1</w:t>
            </w:r>
            <w:r>
              <w:rPr>
                <w:rFonts w:hint="default"/>
                <w:kern w:val="2"/>
                <w:sz w:val="21"/>
                <w:szCs w:val="21"/>
              </w:rPr>
              <w:t>3.0</w:t>
            </w:r>
          </w:p>
        </w:tc>
        <w:tc>
          <w:tcPr>
            <w:tcW w:w="663" w:type="dxa"/>
            <w:noWrap w:val="0"/>
            <w:vAlign w:val="center"/>
          </w:tcPr>
          <w:p>
            <w:pPr>
              <w:keepNext w:val="0"/>
              <w:keepLines w:val="0"/>
              <w:suppressLineNumbers w:val="0"/>
              <w:spacing w:before="0" w:beforeAutospacing="0" w:after="0" w:afterAutospacing="0" w:line="300" w:lineRule="exact"/>
              <w:ind w:left="0" w:right="0"/>
              <w:jc w:val="center"/>
              <w:rPr>
                <w:rFonts w:hint="eastAsia"/>
                <w:b/>
                <w:bCs/>
                <w:kern w:val="2"/>
                <w:sz w:val="21"/>
                <w:szCs w:val="21"/>
              </w:rPr>
            </w:pPr>
            <w:r>
              <w:rPr>
                <w:rFonts w:hint="eastAsia"/>
                <w:b/>
                <w:bCs/>
                <w:kern w:val="2"/>
                <w:sz w:val="21"/>
                <w:szCs w:val="21"/>
              </w:rPr>
              <w:t>7</w:t>
            </w:r>
          </w:p>
        </w:tc>
        <w:tc>
          <w:tcPr>
            <w:tcW w:w="835" w:type="dxa"/>
            <w:noWrap w:val="0"/>
            <w:vAlign w:val="center"/>
          </w:tcPr>
          <w:p>
            <w:pPr>
              <w:keepNext w:val="0"/>
              <w:keepLines w:val="0"/>
              <w:suppressLineNumbers w:val="0"/>
              <w:spacing w:before="0" w:beforeAutospacing="0" w:after="0" w:afterAutospacing="0" w:line="300" w:lineRule="exact"/>
              <w:ind w:left="0" w:right="0"/>
              <w:jc w:val="center"/>
              <w:rPr>
                <w:rFonts w:hint="eastAsia"/>
                <w:kern w:val="2"/>
                <w:sz w:val="21"/>
                <w:szCs w:val="21"/>
              </w:rPr>
            </w:pPr>
            <w:r>
              <w:rPr>
                <w:rFonts w:hint="eastAsia"/>
                <w:kern w:val="2"/>
                <w:sz w:val="21"/>
                <w:szCs w:val="21"/>
              </w:rPr>
              <w:t>16.93</w:t>
            </w:r>
          </w:p>
        </w:tc>
        <w:tc>
          <w:tcPr>
            <w:tcW w:w="834" w:type="dxa"/>
            <w:noWrap w:val="0"/>
            <w:vAlign w:val="center"/>
          </w:tcPr>
          <w:p>
            <w:pPr>
              <w:keepNext w:val="0"/>
              <w:keepLines w:val="0"/>
              <w:suppressLineNumbers w:val="0"/>
              <w:spacing w:before="0" w:beforeAutospacing="0" w:after="0" w:afterAutospacing="0" w:line="300" w:lineRule="exact"/>
              <w:ind w:left="0" w:right="0"/>
              <w:jc w:val="center"/>
              <w:rPr>
                <w:rFonts w:hint="eastAsia"/>
                <w:b/>
                <w:bCs/>
                <w:kern w:val="2"/>
                <w:sz w:val="21"/>
                <w:szCs w:val="21"/>
              </w:rPr>
            </w:pPr>
            <w:r>
              <w:rPr>
                <w:rFonts w:hint="eastAsia"/>
                <w:b/>
                <w:bCs/>
                <w:kern w:val="2"/>
                <w:sz w:val="21"/>
                <w:szCs w:val="21"/>
              </w:rPr>
              <w:t>7</w:t>
            </w:r>
          </w:p>
        </w:tc>
        <w:tc>
          <w:tcPr>
            <w:tcW w:w="787" w:type="dxa"/>
            <w:noWrap w:val="0"/>
            <w:vAlign w:val="center"/>
          </w:tcPr>
          <w:p>
            <w:pPr>
              <w:keepNext w:val="0"/>
              <w:keepLines w:val="0"/>
              <w:suppressLineNumbers w:val="0"/>
              <w:spacing w:before="0" w:beforeAutospacing="0" w:after="0" w:afterAutospacing="0" w:line="300" w:lineRule="exact"/>
              <w:ind w:left="0" w:right="0"/>
              <w:jc w:val="center"/>
              <w:rPr>
                <w:rFonts w:hint="eastAsia"/>
                <w:kern w:val="2"/>
                <w:sz w:val="21"/>
                <w:szCs w:val="21"/>
              </w:rPr>
            </w:pPr>
            <w:r>
              <w:rPr>
                <w:rFonts w:hint="eastAsia"/>
                <w:kern w:val="2"/>
                <w:sz w:val="21"/>
                <w:szCs w:val="21"/>
              </w:rPr>
              <w:t>46.49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1" w:hRule="atLeast"/>
          <w:jc w:val="center"/>
        </w:trPr>
        <w:tc>
          <w:tcPr>
            <w:tcW w:w="735" w:type="dxa"/>
            <w:vMerge w:val="continue"/>
            <w:noWrap w:val="0"/>
            <w:vAlign w:val="center"/>
          </w:tcPr>
          <w:p>
            <w:pPr>
              <w:keepNext w:val="0"/>
              <w:keepLines w:val="0"/>
              <w:suppressLineNumbers w:val="0"/>
              <w:spacing w:before="0" w:beforeAutospacing="0" w:after="0" w:afterAutospacing="0" w:line="300" w:lineRule="exact"/>
              <w:ind w:left="0" w:right="0"/>
              <w:jc w:val="center"/>
              <w:rPr>
                <w:rFonts w:hint="eastAsia" w:ascii="宋体" w:hAnsi="宋体"/>
                <w:kern w:val="2"/>
                <w:sz w:val="21"/>
                <w:szCs w:val="21"/>
              </w:rPr>
            </w:pPr>
          </w:p>
        </w:tc>
        <w:tc>
          <w:tcPr>
            <w:tcW w:w="2765" w:type="dxa"/>
            <w:gridSpan w:val="4"/>
            <w:noWrap w:val="0"/>
            <w:vAlign w:val="center"/>
          </w:tcPr>
          <w:p>
            <w:pPr>
              <w:keepNext w:val="0"/>
              <w:keepLines w:val="0"/>
              <w:suppressLineNumbers w:val="0"/>
              <w:spacing w:before="0" w:beforeAutospacing="0" w:after="0" w:afterAutospacing="0" w:line="300" w:lineRule="exact"/>
              <w:ind w:left="0" w:right="0"/>
              <w:jc w:val="center"/>
              <w:rPr>
                <w:rFonts w:hint="eastAsia" w:eastAsia="宋体"/>
                <w:kern w:val="2"/>
                <w:sz w:val="21"/>
                <w:szCs w:val="21"/>
                <w:lang w:eastAsia="zh-CN"/>
              </w:rPr>
            </w:pPr>
            <w:r>
              <w:rPr>
                <w:rFonts w:hint="eastAsia"/>
                <w:kern w:val="2"/>
                <w:sz w:val="21"/>
                <w:szCs w:val="21"/>
                <w:lang w:eastAsia="zh-CN"/>
              </w:rPr>
              <w:t>南面杂物房</w:t>
            </w:r>
          </w:p>
        </w:tc>
        <w:tc>
          <w:tcPr>
            <w:tcW w:w="1905" w:type="dxa"/>
            <w:noWrap w:val="0"/>
            <w:vAlign w:val="center"/>
          </w:tcPr>
          <w:p>
            <w:pPr>
              <w:keepNext w:val="0"/>
              <w:keepLines w:val="0"/>
              <w:suppressLineNumbers w:val="0"/>
              <w:spacing w:before="0" w:beforeAutospacing="0" w:after="0" w:afterAutospacing="0" w:line="300" w:lineRule="exact"/>
              <w:ind w:left="0" w:right="0"/>
              <w:jc w:val="center"/>
              <w:rPr>
                <w:rFonts w:hint="default" w:eastAsia="宋体"/>
                <w:b/>
                <w:bCs/>
                <w:kern w:val="2"/>
                <w:sz w:val="21"/>
                <w:szCs w:val="21"/>
                <w:lang w:val="en-US" w:eastAsia="zh-CN"/>
              </w:rPr>
            </w:pPr>
            <w:r>
              <w:rPr>
                <w:rFonts w:hint="eastAsia"/>
                <w:b/>
                <w:bCs/>
                <w:kern w:val="2"/>
                <w:sz w:val="21"/>
                <w:szCs w:val="21"/>
                <w:lang w:val="en-US" w:eastAsia="zh-CN"/>
              </w:rPr>
              <w:t>8.5</w:t>
            </w:r>
          </w:p>
        </w:tc>
        <w:tc>
          <w:tcPr>
            <w:tcW w:w="832" w:type="dxa"/>
            <w:noWrap w:val="0"/>
            <w:vAlign w:val="center"/>
          </w:tcPr>
          <w:p>
            <w:pPr>
              <w:keepNext w:val="0"/>
              <w:keepLines w:val="0"/>
              <w:suppressLineNumbers w:val="0"/>
              <w:spacing w:before="0" w:beforeAutospacing="0" w:after="0" w:afterAutospacing="0" w:line="300" w:lineRule="exact"/>
              <w:ind w:left="0" w:right="0"/>
              <w:jc w:val="center"/>
              <w:rPr>
                <w:rFonts w:hint="default" w:eastAsia="宋体"/>
                <w:kern w:val="2"/>
                <w:sz w:val="21"/>
                <w:szCs w:val="21"/>
                <w:lang w:val="en-US" w:eastAsia="zh-CN"/>
              </w:rPr>
            </w:pPr>
            <w:r>
              <w:rPr>
                <w:rFonts w:hint="eastAsia"/>
                <w:kern w:val="2"/>
                <w:sz w:val="21"/>
                <w:szCs w:val="21"/>
                <w:lang w:val="en-US" w:eastAsia="zh-CN"/>
              </w:rPr>
              <w:t>10.0</w:t>
            </w:r>
          </w:p>
        </w:tc>
        <w:tc>
          <w:tcPr>
            <w:tcW w:w="663" w:type="dxa"/>
            <w:noWrap w:val="0"/>
            <w:vAlign w:val="center"/>
          </w:tcPr>
          <w:p>
            <w:pPr>
              <w:keepNext w:val="0"/>
              <w:keepLines w:val="0"/>
              <w:suppressLineNumbers w:val="0"/>
              <w:spacing w:before="0" w:beforeAutospacing="0" w:after="0" w:afterAutospacing="0" w:line="300" w:lineRule="exact"/>
              <w:ind w:left="0" w:right="0"/>
              <w:jc w:val="center"/>
              <w:rPr>
                <w:rFonts w:hint="eastAsia" w:eastAsia="宋体"/>
                <w:b/>
                <w:bCs/>
                <w:kern w:val="2"/>
                <w:sz w:val="21"/>
                <w:szCs w:val="21"/>
                <w:lang w:val="en-US" w:eastAsia="zh-CN"/>
              </w:rPr>
            </w:pPr>
            <w:r>
              <w:rPr>
                <w:rFonts w:hint="eastAsia"/>
                <w:b/>
                <w:bCs/>
                <w:kern w:val="2"/>
                <w:sz w:val="21"/>
                <w:szCs w:val="21"/>
                <w:lang w:val="en-US" w:eastAsia="zh-CN"/>
              </w:rPr>
              <w:t>7</w:t>
            </w:r>
          </w:p>
        </w:tc>
        <w:tc>
          <w:tcPr>
            <w:tcW w:w="835" w:type="dxa"/>
            <w:noWrap w:val="0"/>
            <w:vAlign w:val="center"/>
          </w:tcPr>
          <w:p>
            <w:pPr>
              <w:keepNext w:val="0"/>
              <w:keepLines w:val="0"/>
              <w:suppressLineNumbers w:val="0"/>
              <w:spacing w:before="0" w:beforeAutospacing="0" w:after="0" w:afterAutospacing="0" w:line="300" w:lineRule="exact"/>
              <w:ind w:left="0" w:right="0"/>
              <w:jc w:val="center"/>
              <w:rPr>
                <w:rFonts w:hint="default" w:eastAsia="宋体"/>
                <w:kern w:val="2"/>
                <w:sz w:val="21"/>
                <w:szCs w:val="21"/>
                <w:lang w:val="en-US" w:eastAsia="zh-CN"/>
              </w:rPr>
            </w:pPr>
            <w:r>
              <w:rPr>
                <w:rFonts w:hint="eastAsia"/>
                <w:kern w:val="2"/>
                <w:sz w:val="21"/>
                <w:szCs w:val="21"/>
                <w:lang w:val="en-US" w:eastAsia="zh-CN"/>
              </w:rPr>
              <w:t>8.0</w:t>
            </w:r>
          </w:p>
        </w:tc>
        <w:tc>
          <w:tcPr>
            <w:tcW w:w="834" w:type="dxa"/>
            <w:noWrap w:val="0"/>
            <w:vAlign w:val="center"/>
          </w:tcPr>
          <w:p>
            <w:pPr>
              <w:keepNext w:val="0"/>
              <w:keepLines w:val="0"/>
              <w:suppressLineNumbers w:val="0"/>
              <w:spacing w:before="0" w:beforeAutospacing="0" w:after="0" w:afterAutospacing="0" w:line="300" w:lineRule="exact"/>
              <w:ind w:left="0" w:right="0"/>
              <w:jc w:val="center"/>
              <w:rPr>
                <w:rFonts w:hint="eastAsia" w:eastAsia="宋体"/>
                <w:b/>
                <w:bCs/>
                <w:kern w:val="2"/>
                <w:sz w:val="21"/>
                <w:szCs w:val="21"/>
                <w:lang w:val="en-US" w:eastAsia="zh-CN"/>
              </w:rPr>
            </w:pPr>
            <w:r>
              <w:rPr>
                <w:rFonts w:hint="eastAsia"/>
                <w:b/>
                <w:bCs/>
                <w:kern w:val="2"/>
                <w:sz w:val="21"/>
                <w:szCs w:val="21"/>
                <w:lang w:val="en-US" w:eastAsia="zh-CN"/>
              </w:rPr>
              <w:t>7</w:t>
            </w:r>
          </w:p>
        </w:tc>
        <w:tc>
          <w:tcPr>
            <w:tcW w:w="787" w:type="dxa"/>
            <w:noWrap w:val="0"/>
            <w:vAlign w:val="center"/>
          </w:tcPr>
          <w:p>
            <w:pPr>
              <w:keepNext w:val="0"/>
              <w:keepLines w:val="0"/>
              <w:suppressLineNumbers w:val="0"/>
              <w:spacing w:before="0" w:beforeAutospacing="0" w:after="0" w:afterAutospacing="0" w:line="300" w:lineRule="exact"/>
              <w:ind w:left="0" w:right="0"/>
              <w:jc w:val="center"/>
              <w:rPr>
                <w:rFonts w:hint="default" w:eastAsia="宋体"/>
                <w:kern w:val="2"/>
                <w:sz w:val="21"/>
                <w:szCs w:val="21"/>
                <w:lang w:val="en-US" w:eastAsia="zh-CN"/>
              </w:rPr>
            </w:pPr>
            <w:r>
              <w:rPr>
                <w:rFonts w:hint="eastAsia"/>
                <w:kern w:val="2"/>
                <w:sz w:val="21"/>
                <w:szCs w:val="21"/>
                <w:lang w:val="en-US" w:eastAsia="zh-CN"/>
              </w:rPr>
              <w:t>46.3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735" w:type="dxa"/>
            <w:vMerge w:val="continue"/>
            <w:noWrap w:val="0"/>
            <w:vAlign w:val="center"/>
          </w:tcPr>
          <w:p>
            <w:pPr>
              <w:keepNext w:val="0"/>
              <w:keepLines w:val="0"/>
              <w:suppressLineNumbers w:val="0"/>
              <w:spacing w:before="0" w:beforeAutospacing="0" w:after="0" w:afterAutospacing="0" w:line="300" w:lineRule="exact"/>
              <w:ind w:left="0" w:right="0"/>
              <w:jc w:val="center"/>
              <w:rPr>
                <w:rFonts w:hint="eastAsia" w:ascii="宋体" w:hAnsi="宋体"/>
                <w:kern w:val="2"/>
                <w:sz w:val="21"/>
                <w:szCs w:val="21"/>
              </w:rPr>
            </w:pPr>
          </w:p>
        </w:tc>
        <w:tc>
          <w:tcPr>
            <w:tcW w:w="2765" w:type="dxa"/>
            <w:gridSpan w:val="4"/>
            <w:noWrap w:val="0"/>
            <w:vAlign w:val="center"/>
          </w:tcPr>
          <w:p>
            <w:pPr>
              <w:keepNext w:val="0"/>
              <w:keepLines w:val="0"/>
              <w:suppressLineNumbers w:val="0"/>
              <w:spacing w:before="0" w:beforeAutospacing="0" w:after="0" w:afterAutospacing="0" w:line="300" w:lineRule="exact"/>
              <w:ind w:left="0" w:right="0"/>
              <w:jc w:val="center"/>
              <w:rPr>
                <w:rFonts w:hint="eastAsia"/>
                <w:kern w:val="2"/>
                <w:sz w:val="21"/>
                <w:szCs w:val="21"/>
              </w:rPr>
            </w:pPr>
            <w:r>
              <w:rPr>
                <w:rFonts w:hint="eastAsia"/>
                <w:kern w:val="2"/>
                <w:sz w:val="21"/>
                <w:szCs w:val="21"/>
              </w:rPr>
              <w:t>西北面</w:t>
            </w:r>
            <w:r>
              <w:rPr>
                <w:rFonts w:hint="eastAsia"/>
                <w:kern w:val="2"/>
                <w:sz w:val="21"/>
                <w:szCs w:val="21"/>
                <w:lang w:eastAsia="zh-CN"/>
              </w:rPr>
              <w:t>站内</w:t>
            </w:r>
            <w:r>
              <w:rPr>
                <w:rFonts w:hint="eastAsia"/>
                <w:kern w:val="2"/>
                <w:sz w:val="21"/>
                <w:szCs w:val="21"/>
                <w:lang w:val="en-US" w:eastAsia="zh-CN"/>
              </w:rPr>
              <w:t>3</w:t>
            </w:r>
            <w:r>
              <w:rPr>
                <w:rFonts w:hint="eastAsia"/>
                <w:kern w:val="2"/>
                <w:sz w:val="21"/>
                <w:szCs w:val="21"/>
              </w:rPr>
              <w:t>层综合楼</w:t>
            </w:r>
          </w:p>
        </w:tc>
        <w:tc>
          <w:tcPr>
            <w:tcW w:w="1905" w:type="dxa"/>
            <w:noWrap w:val="0"/>
            <w:vAlign w:val="center"/>
          </w:tcPr>
          <w:p>
            <w:pPr>
              <w:keepNext w:val="0"/>
              <w:keepLines w:val="0"/>
              <w:suppressLineNumbers w:val="0"/>
              <w:spacing w:before="0" w:beforeAutospacing="0" w:after="0" w:afterAutospacing="0" w:line="300" w:lineRule="exact"/>
              <w:ind w:left="0" w:right="0"/>
              <w:jc w:val="center"/>
              <w:rPr>
                <w:rFonts w:hint="eastAsia"/>
                <w:b/>
                <w:bCs/>
                <w:kern w:val="2"/>
                <w:sz w:val="21"/>
                <w:szCs w:val="21"/>
              </w:rPr>
            </w:pPr>
            <w:r>
              <w:rPr>
                <w:rFonts w:hint="eastAsia"/>
                <w:b/>
                <w:bCs/>
                <w:kern w:val="2"/>
                <w:sz w:val="21"/>
                <w:szCs w:val="21"/>
              </w:rPr>
              <w:t>8.5</w:t>
            </w:r>
          </w:p>
        </w:tc>
        <w:tc>
          <w:tcPr>
            <w:tcW w:w="832" w:type="dxa"/>
            <w:noWrap w:val="0"/>
            <w:vAlign w:val="center"/>
          </w:tcPr>
          <w:p>
            <w:pPr>
              <w:keepNext w:val="0"/>
              <w:keepLines w:val="0"/>
              <w:suppressLineNumbers w:val="0"/>
              <w:spacing w:before="0" w:beforeAutospacing="0" w:after="0" w:afterAutospacing="0" w:line="300" w:lineRule="exact"/>
              <w:ind w:left="0" w:right="0"/>
              <w:jc w:val="center"/>
              <w:rPr>
                <w:rFonts w:hint="eastAsia"/>
                <w:kern w:val="2"/>
                <w:sz w:val="21"/>
                <w:szCs w:val="21"/>
              </w:rPr>
            </w:pPr>
            <w:r>
              <w:rPr>
                <w:rFonts w:hint="eastAsia"/>
                <w:kern w:val="2"/>
                <w:sz w:val="21"/>
                <w:szCs w:val="21"/>
              </w:rPr>
              <w:t>41.54</w:t>
            </w:r>
          </w:p>
        </w:tc>
        <w:tc>
          <w:tcPr>
            <w:tcW w:w="663" w:type="dxa"/>
            <w:noWrap w:val="0"/>
            <w:vAlign w:val="center"/>
          </w:tcPr>
          <w:p>
            <w:pPr>
              <w:keepNext w:val="0"/>
              <w:keepLines w:val="0"/>
              <w:suppressLineNumbers w:val="0"/>
              <w:spacing w:before="0" w:beforeAutospacing="0" w:after="0" w:afterAutospacing="0" w:line="300" w:lineRule="exact"/>
              <w:ind w:left="0" w:right="0"/>
              <w:jc w:val="center"/>
              <w:rPr>
                <w:rFonts w:hint="eastAsia"/>
                <w:b/>
                <w:bCs/>
                <w:kern w:val="2"/>
                <w:sz w:val="21"/>
                <w:szCs w:val="21"/>
              </w:rPr>
            </w:pPr>
            <w:r>
              <w:rPr>
                <w:rFonts w:hint="eastAsia"/>
                <w:b/>
                <w:bCs/>
                <w:kern w:val="2"/>
                <w:sz w:val="21"/>
                <w:szCs w:val="21"/>
              </w:rPr>
              <w:t>7</w:t>
            </w:r>
          </w:p>
        </w:tc>
        <w:tc>
          <w:tcPr>
            <w:tcW w:w="835" w:type="dxa"/>
            <w:noWrap w:val="0"/>
            <w:vAlign w:val="center"/>
          </w:tcPr>
          <w:p>
            <w:pPr>
              <w:keepNext w:val="0"/>
              <w:keepLines w:val="0"/>
              <w:suppressLineNumbers w:val="0"/>
              <w:spacing w:before="0" w:beforeAutospacing="0" w:after="0" w:afterAutospacing="0" w:line="300" w:lineRule="exact"/>
              <w:ind w:left="0" w:right="0"/>
              <w:jc w:val="center"/>
              <w:rPr>
                <w:rFonts w:hint="eastAsia"/>
                <w:kern w:val="2"/>
                <w:sz w:val="21"/>
                <w:szCs w:val="21"/>
              </w:rPr>
            </w:pPr>
            <w:r>
              <w:rPr>
                <w:rFonts w:hint="eastAsia"/>
                <w:kern w:val="2"/>
                <w:sz w:val="21"/>
                <w:szCs w:val="21"/>
              </w:rPr>
              <w:t>47.73</w:t>
            </w:r>
          </w:p>
        </w:tc>
        <w:tc>
          <w:tcPr>
            <w:tcW w:w="834" w:type="dxa"/>
            <w:noWrap w:val="0"/>
            <w:vAlign w:val="center"/>
          </w:tcPr>
          <w:p>
            <w:pPr>
              <w:keepNext w:val="0"/>
              <w:keepLines w:val="0"/>
              <w:suppressLineNumbers w:val="0"/>
              <w:spacing w:before="0" w:beforeAutospacing="0" w:after="0" w:afterAutospacing="0" w:line="300" w:lineRule="exact"/>
              <w:ind w:left="0" w:right="0"/>
              <w:jc w:val="center"/>
              <w:rPr>
                <w:rFonts w:hint="eastAsia"/>
                <w:b/>
                <w:bCs/>
                <w:kern w:val="2"/>
                <w:sz w:val="21"/>
                <w:szCs w:val="21"/>
              </w:rPr>
            </w:pPr>
            <w:r>
              <w:rPr>
                <w:rFonts w:hint="eastAsia"/>
                <w:b/>
                <w:bCs/>
                <w:kern w:val="2"/>
                <w:sz w:val="21"/>
                <w:szCs w:val="21"/>
              </w:rPr>
              <w:t>7</w:t>
            </w:r>
          </w:p>
        </w:tc>
        <w:tc>
          <w:tcPr>
            <w:tcW w:w="787" w:type="dxa"/>
            <w:noWrap w:val="0"/>
            <w:vAlign w:val="center"/>
          </w:tcPr>
          <w:p>
            <w:pPr>
              <w:keepNext w:val="0"/>
              <w:keepLines w:val="0"/>
              <w:suppressLineNumbers w:val="0"/>
              <w:spacing w:before="0" w:beforeAutospacing="0" w:after="0" w:afterAutospacing="0" w:line="300" w:lineRule="exact"/>
              <w:ind w:left="0" w:right="0"/>
              <w:jc w:val="center"/>
              <w:rPr>
                <w:rFonts w:hint="default" w:eastAsia="宋体"/>
                <w:kern w:val="2"/>
                <w:sz w:val="21"/>
                <w:szCs w:val="21"/>
                <w:lang w:val="en-US" w:eastAsia="zh-CN"/>
              </w:rPr>
            </w:pPr>
            <w:r>
              <w:rPr>
                <w:rFonts w:hint="eastAsia"/>
                <w:kern w:val="2"/>
                <w:sz w:val="21"/>
                <w:szCs w:val="21"/>
                <w:lang w:val="en-US" w:eastAsia="zh-CN"/>
              </w:rPr>
              <w:t>14.75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7" w:hRule="atLeast"/>
          <w:jc w:val="center"/>
        </w:trPr>
        <w:tc>
          <w:tcPr>
            <w:tcW w:w="735" w:type="dxa"/>
            <w:vMerge w:val="continue"/>
            <w:noWrap w:val="0"/>
            <w:vAlign w:val="center"/>
          </w:tcPr>
          <w:p>
            <w:pPr>
              <w:keepNext w:val="0"/>
              <w:keepLines w:val="0"/>
              <w:suppressLineNumbers w:val="0"/>
              <w:spacing w:before="0" w:beforeAutospacing="0" w:after="0" w:afterAutospacing="0" w:line="300" w:lineRule="exact"/>
              <w:ind w:left="0" w:right="0"/>
              <w:jc w:val="center"/>
              <w:rPr>
                <w:rFonts w:hint="eastAsia" w:ascii="宋体" w:hAnsi="宋体"/>
                <w:kern w:val="2"/>
                <w:sz w:val="21"/>
                <w:szCs w:val="21"/>
              </w:rPr>
            </w:pPr>
          </w:p>
        </w:tc>
        <w:tc>
          <w:tcPr>
            <w:tcW w:w="2765" w:type="dxa"/>
            <w:gridSpan w:val="4"/>
            <w:noWrap w:val="0"/>
            <w:vAlign w:val="center"/>
          </w:tcPr>
          <w:p>
            <w:pPr>
              <w:keepNext w:val="0"/>
              <w:keepLines w:val="0"/>
              <w:suppressLineNumbers w:val="0"/>
              <w:spacing w:before="0" w:beforeAutospacing="0" w:after="0" w:afterAutospacing="0" w:line="300" w:lineRule="exact"/>
              <w:ind w:left="0" w:right="0"/>
              <w:jc w:val="center"/>
              <w:rPr>
                <w:rFonts w:hint="eastAsia"/>
                <w:kern w:val="2"/>
                <w:sz w:val="21"/>
                <w:szCs w:val="21"/>
              </w:rPr>
            </w:pPr>
            <w:r>
              <w:rPr>
                <w:rFonts w:hint="eastAsia"/>
                <w:kern w:val="2"/>
                <w:sz w:val="21"/>
                <w:szCs w:val="21"/>
              </w:rPr>
              <w:t>西南面鸡棚</w:t>
            </w:r>
          </w:p>
        </w:tc>
        <w:tc>
          <w:tcPr>
            <w:tcW w:w="1905" w:type="dxa"/>
            <w:noWrap w:val="0"/>
            <w:vAlign w:val="center"/>
          </w:tcPr>
          <w:p>
            <w:pPr>
              <w:keepNext w:val="0"/>
              <w:keepLines w:val="0"/>
              <w:suppressLineNumbers w:val="0"/>
              <w:spacing w:before="0" w:beforeAutospacing="0" w:after="0" w:afterAutospacing="0" w:line="300" w:lineRule="exact"/>
              <w:ind w:left="0" w:right="0"/>
              <w:jc w:val="center"/>
              <w:rPr>
                <w:rFonts w:hint="default"/>
                <w:b/>
                <w:bCs/>
                <w:kern w:val="2"/>
                <w:sz w:val="21"/>
                <w:szCs w:val="21"/>
              </w:rPr>
            </w:pPr>
            <w:r>
              <w:rPr>
                <w:rFonts w:hint="eastAsia"/>
                <w:b/>
                <w:bCs/>
                <w:kern w:val="2"/>
                <w:sz w:val="21"/>
                <w:szCs w:val="21"/>
              </w:rPr>
              <w:t>8.5</w:t>
            </w:r>
          </w:p>
        </w:tc>
        <w:tc>
          <w:tcPr>
            <w:tcW w:w="832" w:type="dxa"/>
            <w:noWrap w:val="0"/>
            <w:vAlign w:val="center"/>
          </w:tcPr>
          <w:p>
            <w:pPr>
              <w:keepNext w:val="0"/>
              <w:keepLines w:val="0"/>
              <w:suppressLineNumbers w:val="0"/>
              <w:spacing w:before="0" w:beforeAutospacing="0" w:after="0" w:afterAutospacing="0" w:line="300" w:lineRule="exact"/>
              <w:ind w:left="0" w:right="0"/>
              <w:jc w:val="center"/>
              <w:rPr>
                <w:rFonts w:hint="eastAsia"/>
                <w:kern w:val="2"/>
                <w:sz w:val="21"/>
                <w:szCs w:val="21"/>
              </w:rPr>
            </w:pPr>
            <w:r>
              <w:rPr>
                <w:rFonts w:hint="eastAsia"/>
                <w:kern w:val="2"/>
                <w:sz w:val="21"/>
                <w:szCs w:val="21"/>
              </w:rPr>
              <w:t>14.54</w:t>
            </w:r>
          </w:p>
        </w:tc>
        <w:tc>
          <w:tcPr>
            <w:tcW w:w="663" w:type="dxa"/>
            <w:noWrap w:val="0"/>
            <w:vAlign w:val="center"/>
          </w:tcPr>
          <w:p>
            <w:pPr>
              <w:keepNext w:val="0"/>
              <w:keepLines w:val="0"/>
              <w:suppressLineNumbers w:val="0"/>
              <w:spacing w:before="0" w:beforeAutospacing="0" w:after="0" w:afterAutospacing="0" w:line="300" w:lineRule="exact"/>
              <w:ind w:left="0" w:right="0"/>
              <w:jc w:val="center"/>
              <w:rPr>
                <w:rFonts w:hint="default"/>
                <w:b/>
                <w:bCs/>
                <w:kern w:val="2"/>
                <w:sz w:val="21"/>
                <w:szCs w:val="21"/>
              </w:rPr>
            </w:pPr>
            <w:r>
              <w:rPr>
                <w:rFonts w:hint="eastAsia"/>
                <w:b/>
                <w:bCs/>
                <w:kern w:val="2"/>
                <w:sz w:val="21"/>
                <w:szCs w:val="21"/>
              </w:rPr>
              <w:t>7</w:t>
            </w:r>
          </w:p>
        </w:tc>
        <w:tc>
          <w:tcPr>
            <w:tcW w:w="835" w:type="dxa"/>
            <w:noWrap w:val="0"/>
            <w:vAlign w:val="center"/>
          </w:tcPr>
          <w:p>
            <w:pPr>
              <w:keepNext w:val="0"/>
              <w:keepLines w:val="0"/>
              <w:suppressLineNumbers w:val="0"/>
              <w:spacing w:before="0" w:beforeAutospacing="0" w:after="0" w:afterAutospacing="0" w:line="300" w:lineRule="exact"/>
              <w:ind w:left="0" w:right="0"/>
              <w:jc w:val="center"/>
              <w:rPr>
                <w:rFonts w:hint="eastAsia"/>
                <w:kern w:val="2"/>
                <w:sz w:val="21"/>
                <w:szCs w:val="21"/>
              </w:rPr>
            </w:pPr>
            <w:r>
              <w:rPr>
                <w:rFonts w:hint="eastAsia"/>
                <w:kern w:val="2"/>
                <w:sz w:val="21"/>
                <w:szCs w:val="21"/>
              </w:rPr>
              <w:t>16.88</w:t>
            </w:r>
          </w:p>
        </w:tc>
        <w:tc>
          <w:tcPr>
            <w:tcW w:w="834" w:type="dxa"/>
            <w:noWrap w:val="0"/>
            <w:vAlign w:val="center"/>
          </w:tcPr>
          <w:p>
            <w:pPr>
              <w:keepNext w:val="0"/>
              <w:keepLines w:val="0"/>
              <w:suppressLineNumbers w:val="0"/>
              <w:spacing w:before="0" w:beforeAutospacing="0" w:after="0" w:afterAutospacing="0" w:line="300" w:lineRule="exact"/>
              <w:ind w:left="0" w:right="0"/>
              <w:jc w:val="center"/>
              <w:rPr>
                <w:rFonts w:hint="default"/>
                <w:b/>
                <w:bCs/>
                <w:kern w:val="2"/>
                <w:sz w:val="21"/>
                <w:szCs w:val="21"/>
              </w:rPr>
            </w:pPr>
            <w:r>
              <w:rPr>
                <w:rFonts w:hint="eastAsia"/>
                <w:b/>
                <w:bCs/>
                <w:kern w:val="2"/>
                <w:sz w:val="21"/>
                <w:szCs w:val="21"/>
              </w:rPr>
              <w:t>7</w:t>
            </w:r>
          </w:p>
        </w:tc>
        <w:tc>
          <w:tcPr>
            <w:tcW w:w="787" w:type="dxa"/>
            <w:noWrap w:val="0"/>
            <w:vAlign w:val="center"/>
          </w:tcPr>
          <w:p>
            <w:pPr>
              <w:keepNext w:val="0"/>
              <w:keepLines w:val="0"/>
              <w:suppressLineNumbers w:val="0"/>
              <w:spacing w:before="0" w:beforeAutospacing="0" w:after="0" w:afterAutospacing="0" w:line="300" w:lineRule="exact"/>
              <w:ind w:left="0" w:right="0"/>
              <w:jc w:val="center"/>
              <w:rPr>
                <w:rFonts w:hint="eastAsia"/>
                <w:kern w:val="2"/>
                <w:sz w:val="21"/>
                <w:szCs w:val="21"/>
              </w:rPr>
            </w:pPr>
            <w:r>
              <w:rPr>
                <w:rFonts w:hint="eastAsia"/>
                <w:kern w:val="2"/>
                <w:sz w:val="21"/>
                <w:szCs w:val="21"/>
              </w:rPr>
              <w:t>59.65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7" w:hRule="atLeast"/>
          <w:jc w:val="center"/>
        </w:trPr>
        <w:tc>
          <w:tcPr>
            <w:tcW w:w="735" w:type="dxa"/>
            <w:vMerge w:val="continue"/>
            <w:noWrap w:val="0"/>
            <w:vAlign w:val="center"/>
          </w:tcPr>
          <w:p>
            <w:pPr>
              <w:keepNext w:val="0"/>
              <w:keepLines w:val="0"/>
              <w:suppressLineNumbers w:val="0"/>
              <w:spacing w:before="0" w:beforeAutospacing="0" w:after="0" w:afterAutospacing="0" w:line="300" w:lineRule="exact"/>
              <w:ind w:left="0" w:right="0"/>
              <w:jc w:val="center"/>
              <w:rPr>
                <w:rFonts w:hint="eastAsia" w:ascii="宋体" w:hAnsi="宋体"/>
                <w:kern w:val="2"/>
                <w:sz w:val="21"/>
                <w:szCs w:val="21"/>
              </w:rPr>
            </w:pPr>
          </w:p>
        </w:tc>
        <w:tc>
          <w:tcPr>
            <w:tcW w:w="2765" w:type="dxa"/>
            <w:gridSpan w:val="4"/>
            <w:noWrap w:val="0"/>
            <w:vAlign w:val="center"/>
          </w:tcPr>
          <w:p>
            <w:pPr>
              <w:keepNext w:val="0"/>
              <w:keepLines w:val="0"/>
              <w:suppressLineNumbers w:val="0"/>
              <w:spacing w:before="0" w:beforeAutospacing="0" w:after="0" w:afterAutospacing="0" w:line="300" w:lineRule="exact"/>
              <w:ind w:left="0" w:leftChars="0" w:right="0" w:rightChars="0"/>
              <w:jc w:val="center"/>
              <w:rPr>
                <w:rFonts w:hint="eastAsia" w:ascii="宋体" w:hAnsi="宋体" w:eastAsia="宋体" w:cs="宋体"/>
                <w:kern w:val="2"/>
                <w:sz w:val="21"/>
                <w:szCs w:val="21"/>
                <w:lang w:val="zh-CN" w:eastAsia="zh-CN" w:bidi="zh-CN"/>
              </w:rPr>
            </w:pPr>
            <w:r>
              <w:rPr>
                <w:rFonts w:hint="eastAsia"/>
                <w:kern w:val="2"/>
                <w:sz w:val="21"/>
                <w:szCs w:val="21"/>
              </w:rPr>
              <w:t>西面</w:t>
            </w:r>
            <w:r>
              <w:rPr>
                <w:rFonts w:hint="eastAsia"/>
                <w:kern w:val="2"/>
                <w:sz w:val="21"/>
                <w:szCs w:val="21"/>
                <w:lang w:eastAsia="zh-CN"/>
              </w:rPr>
              <w:t>站内</w:t>
            </w:r>
            <w:r>
              <w:rPr>
                <w:rFonts w:hint="eastAsia"/>
                <w:kern w:val="2"/>
                <w:sz w:val="21"/>
                <w:szCs w:val="21"/>
              </w:rPr>
              <w:t>洗车机</w:t>
            </w:r>
          </w:p>
        </w:tc>
        <w:tc>
          <w:tcPr>
            <w:tcW w:w="1905" w:type="dxa"/>
            <w:noWrap w:val="0"/>
            <w:vAlign w:val="center"/>
          </w:tcPr>
          <w:p>
            <w:pPr>
              <w:keepNext w:val="0"/>
              <w:keepLines w:val="0"/>
              <w:suppressLineNumbers w:val="0"/>
              <w:spacing w:before="0" w:beforeAutospacing="0" w:after="0" w:afterAutospacing="0" w:line="300" w:lineRule="exact"/>
              <w:ind w:left="0" w:leftChars="0" w:right="0" w:rightChars="0"/>
              <w:jc w:val="center"/>
              <w:rPr>
                <w:rFonts w:hint="eastAsia" w:ascii="宋体" w:hAnsi="宋体" w:eastAsia="宋体" w:cs="宋体"/>
                <w:b/>
                <w:bCs/>
                <w:kern w:val="2"/>
                <w:sz w:val="21"/>
                <w:szCs w:val="21"/>
                <w:lang w:val="zh-CN" w:eastAsia="zh-CN" w:bidi="zh-CN"/>
              </w:rPr>
            </w:pPr>
            <w:r>
              <w:rPr>
                <w:rFonts w:hint="eastAsia"/>
                <w:b/>
                <w:bCs/>
                <w:kern w:val="2"/>
                <w:sz w:val="21"/>
                <w:szCs w:val="21"/>
              </w:rPr>
              <w:t>8.5</w:t>
            </w:r>
          </w:p>
        </w:tc>
        <w:tc>
          <w:tcPr>
            <w:tcW w:w="832" w:type="dxa"/>
            <w:noWrap w:val="0"/>
            <w:vAlign w:val="center"/>
          </w:tcPr>
          <w:p>
            <w:pPr>
              <w:keepNext w:val="0"/>
              <w:keepLines w:val="0"/>
              <w:suppressLineNumbers w:val="0"/>
              <w:spacing w:before="0" w:beforeAutospacing="0" w:after="0" w:afterAutospacing="0" w:line="300" w:lineRule="exact"/>
              <w:ind w:left="0" w:leftChars="0" w:right="0" w:rightChars="0"/>
              <w:jc w:val="center"/>
              <w:rPr>
                <w:rFonts w:hint="eastAsia" w:ascii="宋体" w:hAnsi="宋体" w:eastAsia="宋体" w:cs="宋体"/>
                <w:kern w:val="2"/>
                <w:sz w:val="21"/>
                <w:szCs w:val="21"/>
                <w:lang w:val="zh-CN" w:eastAsia="zh-CN" w:bidi="zh-CN"/>
              </w:rPr>
            </w:pPr>
            <w:r>
              <w:rPr>
                <w:rFonts w:hint="eastAsia"/>
                <w:kern w:val="2"/>
                <w:sz w:val="21"/>
                <w:szCs w:val="21"/>
              </w:rPr>
              <w:t>22.61</w:t>
            </w:r>
          </w:p>
        </w:tc>
        <w:tc>
          <w:tcPr>
            <w:tcW w:w="663" w:type="dxa"/>
            <w:noWrap w:val="0"/>
            <w:vAlign w:val="center"/>
          </w:tcPr>
          <w:p>
            <w:pPr>
              <w:keepNext w:val="0"/>
              <w:keepLines w:val="0"/>
              <w:suppressLineNumbers w:val="0"/>
              <w:spacing w:before="0" w:beforeAutospacing="0" w:after="0" w:afterAutospacing="0" w:line="300" w:lineRule="exact"/>
              <w:ind w:left="0" w:leftChars="0" w:right="0" w:rightChars="0"/>
              <w:jc w:val="center"/>
              <w:rPr>
                <w:rFonts w:hint="eastAsia" w:ascii="宋体" w:hAnsi="宋体" w:eastAsia="宋体" w:cs="宋体"/>
                <w:b/>
                <w:bCs/>
                <w:kern w:val="2"/>
                <w:sz w:val="21"/>
                <w:szCs w:val="21"/>
                <w:lang w:val="zh-CN" w:eastAsia="zh-CN" w:bidi="zh-CN"/>
              </w:rPr>
            </w:pPr>
            <w:r>
              <w:rPr>
                <w:rFonts w:hint="eastAsia"/>
                <w:b/>
                <w:bCs/>
                <w:kern w:val="2"/>
                <w:sz w:val="21"/>
                <w:szCs w:val="21"/>
              </w:rPr>
              <w:t>7</w:t>
            </w:r>
          </w:p>
        </w:tc>
        <w:tc>
          <w:tcPr>
            <w:tcW w:w="835" w:type="dxa"/>
            <w:noWrap w:val="0"/>
            <w:vAlign w:val="center"/>
          </w:tcPr>
          <w:p>
            <w:pPr>
              <w:keepNext w:val="0"/>
              <w:keepLines w:val="0"/>
              <w:suppressLineNumbers w:val="0"/>
              <w:spacing w:before="0" w:beforeAutospacing="0" w:after="0" w:afterAutospacing="0" w:line="300" w:lineRule="exact"/>
              <w:ind w:left="0" w:leftChars="0" w:right="0" w:rightChars="0"/>
              <w:jc w:val="center"/>
              <w:rPr>
                <w:rFonts w:hint="default" w:ascii="宋体" w:hAnsi="宋体" w:eastAsia="宋体" w:cs="宋体"/>
                <w:kern w:val="2"/>
                <w:sz w:val="21"/>
                <w:szCs w:val="21"/>
                <w:lang w:val="en-US" w:eastAsia="zh-CN" w:bidi="zh-CN"/>
              </w:rPr>
            </w:pPr>
            <w:r>
              <w:rPr>
                <w:rFonts w:hint="eastAsia"/>
                <w:kern w:val="2"/>
                <w:sz w:val="21"/>
                <w:szCs w:val="21"/>
                <w:lang w:val="en-US" w:eastAsia="zh-CN"/>
              </w:rPr>
              <w:t>27.5</w:t>
            </w:r>
          </w:p>
        </w:tc>
        <w:tc>
          <w:tcPr>
            <w:tcW w:w="834" w:type="dxa"/>
            <w:noWrap w:val="0"/>
            <w:vAlign w:val="center"/>
          </w:tcPr>
          <w:p>
            <w:pPr>
              <w:keepNext w:val="0"/>
              <w:keepLines w:val="0"/>
              <w:suppressLineNumbers w:val="0"/>
              <w:spacing w:before="0" w:beforeAutospacing="0" w:after="0" w:afterAutospacing="0" w:line="300" w:lineRule="exact"/>
              <w:ind w:left="0" w:leftChars="0" w:right="0" w:rightChars="0"/>
              <w:jc w:val="center"/>
              <w:rPr>
                <w:rFonts w:hint="eastAsia" w:ascii="宋体" w:hAnsi="宋体" w:eastAsia="宋体" w:cs="宋体"/>
                <w:b/>
                <w:bCs/>
                <w:kern w:val="2"/>
                <w:sz w:val="21"/>
                <w:szCs w:val="21"/>
                <w:lang w:val="zh-CN" w:eastAsia="zh-CN" w:bidi="zh-CN"/>
              </w:rPr>
            </w:pPr>
            <w:r>
              <w:rPr>
                <w:rFonts w:hint="eastAsia"/>
                <w:b/>
                <w:bCs/>
                <w:kern w:val="2"/>
                <w:sz w:val="21"/>
                <w:szCs w:val="21"/>
              </w:rPr>
              <w:t>7</w:t>
            </w:r>
          </w:p>
        </w:tc>
        <w:tc>
          <w:tcPr>
            <w:tcW w:w="787" w:type="dxa"/>
            <w:noWrap w:val="0"/>
            <w:vAlign w:val="center"/>
          </w:tcPr>
          <w:p>
            <w:pPr>
              <w:keepNext w:val="0"/>
              <w:keepLines w:val="0"/>
              <w:suppressLineNumbers w:val="0"/>
              <w:spacing w:before="0" w:beforeAutospacing="0" w:after="0" w:afterAutospacing="0" w:line="300" w:lineRule="exact"/>
              <w:ind w:left="0" w:leftChars="0" w:right="0" w:rightChars="0"/>
              <w:jc w:val="center"/>
              <w:rPr>
                <w:rFonts w:hint="eastAsia" w:ascii="宋体" w:hAnsi="宋体" w:eastAsia="宋体" w:cs="宋体"/>
                <w:kern w:val="2"/>
                <w:sz w:val="21"/>
                <w:szCs w:val="21"/>
                <w:lang w:val="zh-CN" w:eastAsia="zh-CN" w:bidi="zh-CN"/>
              </w:rPr>
            </w:pPr>
            <w:r>
              <w:rPr>
                <w:rFonts w:hint="eastAsia"/>
                <w:kern w:val="2"/>
                <w:sz w:val="21"/>
                <w:szCs w:val="21"/>
              </w:rPr>
              <w:t>26.94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3500" w:type="dxa"/>
            <w:gridSpan w:val="5"/>
            <w:noWrap w:val="0"/>
            <w:vAlign w:val="center"/>
          </w:tcPr>
          <w:p>
            <w:pPr>
              <w:keepNext w:val="0"/>
              <w:keepLines w:val="0"/>
              <w:suppressLineNumbers w:val="0"/>
              <w:spacing w:before="0" w:beforeAutospacing="0" w:after="0" w:afterAutospacing="0" w:line="300" w:lineRule="exact"/>
              <w:ind w:left="0" w:right="0"/>
              <w:jc w:val="center"/>
              <w:rPr>
                <w:rFonts w:hint="eastAsia" w:ascii="宋体" w:hAnsi="宋体"/>
                <w:kern w:val="2"/>
                <w:sz w:val="21"/>
                <w:szCs w:val="21"/>
              </w:rPr>
            </w:pPr>
            <w:r>
              <w:rPr>
                <w:rFonts w:hint="eastAsia" w:ascii="宋体" w:hAnsi="宋体"/>
                <w:kern w:val="2"/>
                <w:sz w:val="21"/>
                <w:szCs w:val="21"/>
              </w:rPr>
              <w:t>甲、乙类物品生产厂房、库房和甲、乙类液体储罐</w:t>
            </w:r>
          </w:p>
        </w:tc>
        <w:tc>
          <w:tcPr>
            <w:tcW w:w="1905" w:type="dxa"/>
            <w:noWrap w:val="0"/>
            <w:vAlign w:val="center"/>
          </w:tcPr>
          <w:p>
            <w:pPr>
              <w:keepNext w:val="0"/>
              <w:keepLines w:val="0"/>
              <w:suppressLineNumbers w:val="0"/>
              <w:spacing w:before="0" w:beforeAutospacing="0" w:after="0" w:afterAutospacing="0" w:line="300" w:lineRule="exact"/>
              <w:ind w:left="0" w:right="0"/>
              <w:jc w:val="center"/>
              <w:rPr>
                <w:rFonts w:hint="eastAsia"/>
                <w:b/>
                <w:bCs/>
                <w:kern w:val="2"/>
                <w:sz w:val="21"/>
                <w:szCs w:val="21"/>
              </w:rPr>
            </w:pPr>
            <w:r>
              <w:rPr>
                <w:rFonts w:hint="eastAsia"/>
                <w:b/>
                <w:bCs/>
                <w:kern w:val="2"/>
                <w:sz w:val="21"/>
                <w:szCs w:val="21"/>
              </w:rPr>
              <w:t>15.5</w:t>
            </w:r>
          </w:p>
        </w:tc>
        <w:tc>
          <w:tcPr>
            <w:tcW w:w="832" w:type="dxa"/>
            <w:noWrap w:val="0"/>
            <w:vAlign w:val="center"/>
          </w:tcPr>
          <w:p>
            <w:pPr>
              <w:keepNext w:val="0"/>
              <w:keepLines w:val="0"/>
              <w:suppressLineNumbers w:val="0"/>
              <w:spacing w:before="0" w:beforeAutospacing="0" w:after="0" w:afterAutospacing="0" w:line="300" w:lineRule="exact"/>
              <w:ind w:left="0" w:right="0"/>
              <w:jc w:val="center"/>
              <w:rPr>
                <w:rFonts w:hint="default"/>
                <w:kern w:val="2"/>
                <w:sz w:val="21"/>
                <w:szCs w:val="21"/>
              </w:rPr>
            </w:pPr>
            <w:r>
              <w:rPr>
                <w:rFonts w:hint="eastAsia"/>
                <w:kern w:val="2"/>
                <w:sz w:val="21"/>
                <w:szCs w:val="21"/>
              </w:rPr>
              <w:t>—</w:t>
            </w:r>
          </w:p>
        </w:tc>
        <w:tc>
          <w:tcPr>
            <w:tcW w:w="663" w:type="dxa"/>
            <w:noWrap w:val="0"/>
            <w:vAlign w:val="center"/>
          </w:tcPr>
          <w:p>
            <w:pPr>
              <w:keepNext w:val="0"/>
              <w:keepLines w:val="0"/>
              <w:suppressLineNumbers w:val="0"/>
              <w:spacing w:before="0" w:beforeAutospacing="0" w:after="0" w:afterAutospacing="0" w:line="300" w:lineRule="exact"/>
              <w:ind w:left="0" w:right="0"/>
              <w:jc w:val="center"/>
              <w:rPr>
                <w:rFonts w:hint="eastAsia"/>
                <w:b/>
                <w:bCs/>
                <w:kern w:val="2"/>
                <w:sz w:val="21"/>
                <w:szCs w:val="21"/>
              </w:rPr>
            </w:pPr>
            <w:r>
              <w:rPr>
                <w:rFonts w:hint="eastAsia"/>
                <w:b/>
                <w:bCs/>
                <w:kern w:val="2"/>
                <w:sz w:val="21"/>
                <w:szCs w:val="21"/>
              </w:rPr>
              <w:t>12.5</w:t>
            </w:r>
          </w:p>
        </w:tc>
        <w:tc>
          <w:tcPr>
            <w:tcW w:w="835" w:type="dxa"/>
            <w:noWrap w:val="0"/>
            <w:vAlign w:val="center"/>
          </w:tcPr>
          <w:p>
            <w:pPr>
              <w:keepNext w:val="0"/>
              <w:keepLines w:val="0"/>
              <w:suppressLineNumbers w:val="0"/>
              <w:spacing w:before="0" w:beforeAutospacing="0" w:after="0" w:afterAutospacing="0" w:line="300" w:lineRule="exact"/>
              <w:ind w:left="0" w:right="0"/>
              <w:jc w:val="center"/>
              <w:rPr>
                <w:rFonts w:hint="default"/>
                <w:kern w:val="2"/>
                <w:sz w:val="21"/>
                <w:szCs w:val="21"/>
              </w:rPr>
            </w:pPr>
            <w:r>
              <w:rPr>
                <w:rFonts w:hint="eastAsia"/>
                <w:kern w:val="2"/>
                <w:sz w:val="21"/>
                <w:szCs w:val="21"/>
              </w:rPr>
              <w:t>—</w:t>
            </w:r>
          </w:p>
        </w:tc>
        <w:tc>
          <w:tcPr>
            <w:tcW w:w="834" w:type="dxa"/>
            <w:noWrap w:val="0"/>
            <w:vAlign w:val="center"/>
          </w:tcPr>
          <w:p>
            <w:pPr>
              <w:keepNext w:val="0"/>
              <w:keepLines w:val="0"/>
              <w:suppressLineNumbers w:val="0"/>
              <w:spacing w:before="0" w:beforeAutospacing="0" w:after="0" w:afterAutospacing="0" w:line="300" w:lineRule="exact"/>
              <w:ind w:left="0" w:right="0"/>
              <w:jc w:val="center"/>
              <w:rPr>
                <w:rFonts w:hint="eastAsia"/>
                <w:b/>
                <w:bCs/>
                <w:kern w:val="2"/>
                <w:sz w:val="21"/>
                <w:szCs w:val="21"/>
              </w:rPr>
            </w:pPr>
            <w:r>
              <w:rPr>
                <w:rFonts w:hint="eastAsia"/>
                <w:b/>
                <w:bCs/>
                <w:kern w:val="2"/>
                <w:sz w:val="21"/>
                <w:szCs w:val="21"/>
              </w:rPr>
              <w:t>12.5</w:t>
            </w:r>
          </w:p>
        </w:tc>
        <w:tc>
          <w:tcPr>
            <w:tcW w:w="787" w:type="dxa"/>
            <w:noWrap w:val="0"/>
            <w:vAlign w:val="center"/>
          </w:tcPr>
          <w:p>
            <w:pPr>
              <w:keepNext w:val="0"/>
              <w:keepLines w:val="0"/>
              <w:suppressLineNumbers w:val="0"/>
              <w:spacing w:before="0" w:beforeAutospacing="0" w:after="0" w:afterAutospacing="0" w:line="300" w:lineRule="exact"/>
              <w:ind w:left="0" w:right="0"/>
              <w:jc w:val="center"/>
              <w:rPr>
                <w:rFonts w:hint="default"/>
                <w:kern w:val="2"/>
                <w:sz w:val="21"/>
                <w:szCs w:val="21"/>
              </w:rPr>
            </w:pPr>
            <w:r>
              <w:rPr>
                <w:rFonts w:hint="eastAsia"/>
                <w:kern w:val="2"/>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622" w:type="dxa"/>
            <w:gridSpan w:val="4"/>
            <w:vMerge w:val="restart"/>
            <w:noWrap w:val="0"/>
            <w:vAlign w:val="center"/>
          </w:tcPr>
          <w:p>
            <w:pPr>
              <w:keepNext w:val="0"/>
              <w:keepLines w:val="0"/>
              <w:suppressLineNumbers w:val="0"/>
              <w:spacing w:before="0" w:beforeAutospacing="0" w:after="0" w:afterAutospacing="0" w:line="300" w:lineRule="exact"/>
              <w:ind w:left="0" w:right="0"/>
              <w:jc w:val="center"/>
              <w:rPr>
                <w:rFonts w:hint="eastAsia" w:ascii="宋体" w:hAnsi="宋体"/>
                <w:kern w:val="2"/>
                <w:sz w:val="21"/>
                <w:szCs w:val="21"/>
              </w:rPr>
            </w:pPr>
            <w:r>
              <w:rPr>
                <w:rFonts w:hint="eastAsia" w:ascii="宋体" w:hAnsi="宋体"/>
                <w:kern w:val="2"/>
                <w:sz w:val="21"/>
                <w:szCs w:val="21"/>
              </w:rPr>
              <w:t>丙、丁、戊类物品生产厂</w:t>
            </w:r>
            <w:r>
              <w:rPr>
                <w:rFonts w:hint="default" w:ascii="宋体" w:hAnsi="宋体"/>
                <w:kern w:val="2"/>
                <w:sz w:val="21"/>
                <w:szCs w:val="21"/>
              </w:rPr>
              <w:t>房、</w:t>
            </w:r>
            <w:r>
              <w:rPr>
                <w:rFonts w:hint="eastAsia" w:ascii="宋体" w:hAnsi="宋体"/>
                <w:kern w:val="2"/>
                <w:sz w:val="21"/>
                <w:szCs w:val="21"/>
              </w:rPr>
              <w:t>库房和</w:t>
            </w:r>
            <w:r>
              <w:rPr>
                <w:rFonts w:hint="default" w:ascii="宋体" w:hAnsi="宋体"/>
                <w:kern w:val="2"/>
                <w:sz w:val="21"/>
                <w:szCs w:val="21"/>
              </w:rPr>
              <w:t>丙类</w:t>
            </w:r>
            <w:r>
              <w:rPr>
                <w:rFonts w:hint="eastAsia" w:ascii="宋体" w:hAnsi="宋体"/>
                <w:kern w:val="2"/>
                <w:sz w:val="21"/>
                <w:szCs w:val="21"/>
              </w:rPr>
              <w:t>液体</w:t>
            </w:r>
            <w:r>
              <w:rPr>
                <w:rFonts w:hint="default" w:ascii="宋体" w:hAnsi="宋体"/>
                <w:kern w:val="2"/>
                <w:sz w:val="21"/>
                <w:szCs w:val="21"/>
              </w:rPr>
              <w:t>储罐</w:t>
            </w:r>
            <w:r>
              <w:rPr>
                <w:rFonts w:hint="eastAsia" w:ascii="宋体" w:hAnsi="宋体"/>
                <w:kern w:val="2"/>
                <w:sz w:val="21"/>
                <w:szCs w:val="21"/>
              </w:rPr>
              <w:t>以及容积不大于</w:t>
            </w:r>
            <w:r>
              <w:rPr>
                <w:rFonts w:hint="default" w:ascii="宋体" w:hAnsi="宋体"/>
                <w:kern w:val="2"/>
                <w:sz w:val="21"/>
                <w:szCs w:val="21"/>
              </w:rPr>
              <w:t>50m</w:t>
            </w:r>
            <w:r>
              <w:rPr>
                <w:rFonts w:hint="default" w:ascii="宋体" w:hAnsi="宋体"/>
                <w:kern w:val="2"/>
                <w:sz w:val="21"/>
                <w:szCs w:val="21"/>
                <w:vertAlign w:val="superscript"/>
              </w:rPr>
              <w:t>3</w:t>
            </w:r>
            <w:r>
              <w:rPr>
                <w:rFonts w:hint="default" w:ascii="宋体" w:hAnsi="宋体"/>
                <w:kern w:val="2"/>
                <w:sz w:val="21"/>
                <w:szCs w:val="21"/>
              </w:rPr>
              <w:t>的埋地甲、乙类</w:t>
            </w:r>
            <w:r>
              <w:rPr>
                <w:rFonts w:hint="eastAsia" w:ascii="宋体" w:hAnsi="宋体"/>
                <w:kern w:val="2"/>
                <w:sz w:val="21"/>
                <w:szCs w:val="21"/>
              </w:rPr>
              <w:t>液体</w:t>
            </w:r>
            <w:r>
              <w:rPr>
                <w:rFonts w:hint="default" w:ascii="宋体" w:hAnsi="宋体"/>
                <w:kern w:val="2"/>
                <w:sz w:val="21"/>
                <w:szCs w:val="21"/>
              </w:rPr>
              <w:t>储罐</w:t>
            </w:r>
          </w:p>
        </w:tc>
        <w:tc>
          <w:tcPr>
            <w:tcW w:w="878" w:type="dxa"/>
            <w:noWrap w:val="0"/>
            <w:vAlign w:val="center"/>
          </w:tcPr>
          <w:p>
            <w:pPr>
              <w:keepNext w:val="0"/>
              <w:keepLines w:val="0"/>
              <w:suppressLineNumbers w:val="0"/>
              <w:spacing w:before="0" w:beforeAutospacing="0" w:after="0" w:afterAutospacing="0" w:line="300" w:lineRule="exact"/>
              <w:ind w:left="0" w:leftChars="0" w:right="0" w:rightChars="0"/>
              <w:jc w:val="center"/>
              <w:rPr>
                <w:rFonts w:hint="eastAsia" w:ascii="宋体" w:hAnsi="宋体" w:eastAsia="宋体" w:cs="宋体"/>
                <w:kern w:val="2"/>
                <w:sz w:val="21"/>
                <w:szCs w:val="21"/>
                <w:lang w:val="zh-CN" w:eastAsia="zh-CN" w:bidi="zh-CN"/>
              </w:rPr>
            </w:pPr>
            <w:r>
              <w:rPr>
                <w:rFonts w:hint="eastAsia"/>
                <w:kern w:val="2"/>
                <w:sz w:val="21"/>
                <w:szCs w:val="21"/>
              </w:rPr>
              <w:t>西北</w:t>
            </w:r>
            <w:r>
              <w:rPr>
                <w:rFonts w:hint="default"/>
                <w:kern w:val="2"/>
                <w:sz w:val="21"/>
                <w:szCs w:val="21"/>
              </w:rPr>
              <w:t>面</w:t>
            </w:r>
            <w:r>
              <w:rPr>
                <w:rFonts w:hint="eastAsia"/>
                <w:kern w:val="2"/>
                <w:sz w:val="21"/>
                <w:szCs w:val="21"/>
              </w:rPr>
              <w:t>垃圾中转站</w:t>
            </w:r>
          </w:p>
        </w:tc>
        <w:tc>
          <w:tcPr>
            <w:tcW w:w="1905" w:type="dxa"/>
            <w:noWrap w:val="0"/>
            <w:vAlign w:val="center"/>
          </w:tcPr>
          <w:p>
            <w:pPr>
              <w:keepNext w:val="0"/>
              <w:keepLines w:val="0"/>
              <w:suppressLineNumbers w:val="0"/>
              <w:spacing w:before="0" w:beforeAutospacing="0" w:after="0" w:afterAutospacing="0" w:line="300" w:lineRule="exact"/>
              <w:ind w:left="0" w:leftChars="0" w:right="0" w:rightChars="0"/>
              <w:jc w:val="center"/>
              <w:rPr>
                <w:rFonts w:hint="eastAsia" w:ascii="宋体" w:hAnsi="宋体" w:eastAsia="宋体" w:cs="宋体"/>
                <w:b/>
                <w:bCs/>
                <w:kern w:val="2"/>
                <w:sz w:val="21"/>
                <w:szCs w:val="21"/>
                <w:lang w:val="zh-CN" w:eastAsia="zh-CN" w:bidi="zh-CN"/>
              </w:rPr>
            </w:pPr>
            <w:r>
              <w:rPr>
                <w:rFonts w:hint="eastAsia"/>
                <w:b/>
                <w:bCs/>
                <w:kern w:val="2"/>
                <w:sz w:val="21"/>
                <w:szCs w:val="21"/>
              </w:rPr>
              <w:t>11</w:t>
            </w:r>
          </w:p>
        </w:tc>
        <w:tc>
          <w:tcPr>
            <w:tcW w:w="832" w:type="dxa"/>
            <w:noWrap w:val="0"/>
            <w:vAlign w:val="center"/>
          </w:tcPr>
          <w:p>
            <w:pPr>
              <w:keepNext w:val="0"/>
              <w:keepLines w:val="0"/>
              <w:suppressLineNumbers w:val="0"/>
              <w:spacing w:before="0" w:beforeAutospacing="0" w:after="0" w:afterAutospacing="0" w:line="300" w:lineRule="exact"/>
              <w:ind w:left="0" w:leftChars="0" w:right="0" w:rightChars="0"/>
              <w:jc w:val="center"/>
              <w:rPr>
                <w:rFonts w:hint="eastAsia" w:ascii="宋体" w:hAnsi="宋体" w:eastAsia="宋体" w:cs="宋体"/>
                <w:kern w:val="2"/>
                <w:sz w:val="21"/>
                <w:szCs w:val="21"/>
                <w:lang w:val="zh-CN" w:eastAsia="zh-CN" w:bidi="zh-CN"/>
              </w:rPr>
            </w:pPr>
            <w:r>
              <w:rPr>
                <w:rFonts w:hint="eastAsia"/>
                <w:kern w:val="2"/>
                <w:sz w:val="21"/>
                <w:szCs w:val="21"/>
              </w:rPr>
              <w:t>43.42</w:t>
            </w:r>
          </w:p>
        </w:tc>
        <w:tc>
          <w:tcPr>
            <w:tcW w:w="663" w:type="dxa"/>
            <w:noWrap w:val="0"/>
            <w:vAlign w:val="center"/>
          </w:tcPr>
          <w:p>
            <w:pPr>
              <w:keepNext w:val="0"/>
              <w:keepLines w:val="0"/>
              <w:suppressLineNumbers w:val="0"/>
              <w:spacing w:before="0" w:beforeAutospacing="0" w:after="0" w:afterAutospacing="0" w:line="300" w:lineRule="exact"/>
              <w:ind w:left="0" w:leftChars="0" w:right="0" w:rightChars="0"/>
              <w:jc w:val="center"/>
              <w:rPr>
                <w:rFonts w:hint="eastAsia" w:ascii="宋体" w:hAnsi="宋体" w:eastAsia="宋体" w:cs="宋体"/>
                <w:b/>
                <w:bCs/>
                <w:kern w:val="2"/>
                <w:sz w:val="21"/>
                <w:szCs w:val="21"/>
                <w:lang w:val="zh-CN" w:eastAsia="zh-CN" w:bidi="zh-CN"/>
              </w:rPr>
            </w:pPr>
            <w:r>
              <w:rPr>
                <w:rFonts w:hint="eastAsia"/>
                <w:b/>
                <w:bCs/>
                <w:kern w:val="2"/>
                <w:sz w:val="21"/>
                <w:szCs w:val="21"/>
              </w:rPr>
              <w:t>10.5</w:t>
            </w:r>
          </w:p>
        </w:tc>
        <w:tc>
          <w:tcPr>
            <w:tcW w:w="835" w:type="dxa"/>
            <w:noWrap w:val="0"/>
            <w:vAlign w:val="center"/>
          </w:tcPr>
          <w:p>
            <w:pPr>
              <w:keepNext w:val="0"/>
              <w:keepLines w:val="0"/>
              <w:suppressLineNumbers w:val="0"/>
              <w:spacing w:before="0" w:beforeAutospacing="0" w:after="0" w:afterAutospacing="0" w:line="300" w:lineRule="exact"/>
              <w:ind w:left="0" w:leftChars="0" w:right="0" w:rightChars="0"/>
              <w:jc w:val="center"/>
              <w:rPr>
                <w:rFonts w:hint="eastAsia" w:ascii="宋体" w:hAnsi="宋体" w:eastAsia="宋体" w:cs="宋体"/>
                <w:kern w:val="2"/>
                <w:sz w:val="21"/>
                <w:szCs w:val="21"/>
                <w:lang w:val="zh-CN" w:eastAsia="zh-CN" w:bidi="zh-CN"/>
              </w:rPr>
            </w:pPr>
            <w:r>
              <w:rPr>
                <w:rFonts w:hint="eastAsia"/>
                <w:kern w:val="2"/>
                <w:sz w:val="21"/>
                <w:szCs w:val="21"/>
              </w:rPr>
              <w:t>49.13</w:t>
            </w:r>
          </w:p>
        </w:tc>
        <w:tc>
          <w:tcPr>
            <w:tcW w:w="834" w:type="dxa"/>
            <w:noWrap w:val="0"/>
            <w:vAlign w:val="center"/>
          </w:tcPr>
          <w:p>
            <w:pPr>
              <w:keepNext w:val="0"/>
              <w:keepLines w:val="0"/>
              <w:suppressLineNumbers w:val="0"/>
              <w:spacing w:before="0" w:beforeAutospacing="0" w:after="0" w:afterAutospacing="0" w:line="300" w:lineRule="exact"/>
              <w:ind w:left="0" w:leftChars="0" w:right="0" w:rightChars="0"/>
              <w:jc w:val="center"/>
              <w:rPr>
                <w:rFonts w:hint="default" w:ascii="宋体" w:hAnsi="宋体" w:eastAsia="宋体" w:cs="宋体"/>
                <w:b/>
                <w:bCs/>
                <w:kern w:val="2"/>
                <w:sz w:val="21"/>
                <w:szCs w:val="21"/>
                <w:lang w:val="zh-CN" w:eastAsia="zh-CN" w:bidi="zh-CN"/>
              </w:rPr>
            </w:pPr>
            <w:r>
              <w:rPr>
                <w:rFonts w:hint="eastAsia"/>
                <w:b/>
                <w:bCs/>
                <w:kern w:val="2"/>
                <w:sz w:val="21"/>
                <w:szCs w:val="21"/>
              </w:rPr>
              <w:t>10.5</w:t>
            </w:r>
          </w:p>
        </w:tc>
        <w:tc>
          <w:tcPr>
            <w:tcW w:w="787" w:type="dxa"/>
            <w:noWrap w:val="0"/>
            <w:vAlign w:val="center"/>
          </w:tcPr>
          <w:p>
            <w:pPr>
              <w:keepNext w:val="0"/>
              <w:keepLines w:val="0"/>
              <w:suppressLineNumbers w:val="0"/>
              <w:spacing w:before="0" w:beforeAutospacing="0" w:after="0" w:afterAutospacing="0" w:line="300" w:lineRule="exact"/>
              <w:ind w:left="0" w:leftChars="0" w:right="0" w:rightChars="0"/>
              <w:jc w:val="center"/>
              <w:rPr>
                <w:rFonts w:hint="eastAsia" w:ascii="宋体" w:hAnsi="宋体" w:eastAsia="宋体" w:cs="宋体"/>
                <w:kern w:val="2"/>
                <w:sz w:val="21"/>
                <w:szCs w:val="21"/>
                <w:lang w:val="zh-CN" w:eastAsia="zh-CN" w:bidi="zh-CN"/>
              </w:rPr>
            </w:pPr>
            <w:r>
              <w:rPr>
                <w:rFonts w:hint="eastAsia"/>
                <w:kern w:val="2"/>
                <w:sz w:val="21"/>
                <w:szCs w:val="21"/>
              </w:rPr>
              <w:t>38.72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622" w:type="dxa"/>
            <w:gridSpan w:val="4"/>
            <w:vMerge w:val="continue"/>
            <w:noWrap w:val="0"/>
            <w:vAlign w:val="center"/>
          </w:tcPr>
          <w:p>
            <w:pPr>
              <w:keepNext w:val="0"/>
              <w:keepLines w:val="0"/>
              <w:suppressLineNumbers w:val="0"/>
              <w:spacing w:before="0" w:beforeAutospacing="0" w:after="0" w:afterAutospacing="0" w:line="300" w:lineRule="exact"/>
              <w:ind w:left="0" w:right="0"/>
              <w:jc w:val="center"/>
              <w:rPr>
                <w:rFonts w:hint="eastAsia" w:ascii="宋体" w:hAnsi="宋体"/>
                <w:kern w:val="2"/>
                <w:sz w:val="21"/>
                <w:szCs w:val="21"/>
              </w:rPr>
            </w:pPr>
          </w:p>
        </w:tc>
        <w:tc>
          <w:tcPr>
            <w:tcW w:w="878" w:type="dxa"/>
            <w:noWrap w:val="0"/>
            <w:vAlign w:val="center"/>
          </w:tcPr>
          <w:p>
            <w:pPr>
              <w:keepNext w:val="0"/>
              <w:keepLines w:val="0"/>
              <w:suppressLineNumbers w:val="0"/>
              <w:spacing w:before="0" w:beforeAutospacing="0" w:after="0" w:afterAutospacing="0" w:line="300" w:lineRule="exact"/>
              <w:ind w:left="0" w:right="0"/>
              <w:jc w:val="center"/>
              <w:rPr>
                <w:rFonts w:hint="eastAsia" w:ascii="宋体" w:hAnsi="宋体"/>
                <w:kern w:val="2"/>
                <w:sz w:val="21"/>
                <w:szCs w:val="21"/>
              </w:rPr>
            </w:pPr>
            <w:r>
              <w:rPr>
                <w:rFonts w:hint="eastAsia" w:ascii="宋体" w:hAnsi="宋体"/>
                <w:kern w:val="2"/>
                <w:sz w:val="21"/>
                <w:szCs w:val="21"/>
              </w:rPr>
              <w:t>西面废品</w:t>
            </w:r>
          </w:p>
          <w:p>
            <w:pPr>
              <w:keepNext w:val="0"/>
              <w:keepLines w:val="0"/>
              <w:suppressLineNumbers w:val="0"/>
              <w:spacing w:before="0" w:beforeAutospacing="0" w:after="0" w:afterAutospacing="0" w:line="300" w:lineRule="exact"/>
              <w:ind w:left="0" w:leftChars="0" w:right="0" w:rightChars="0"/>
              <w:jc w:val="center"/>
              <w:rPr>
                <w:rFonts w:hint="eastAsia" w:ascii="宋体" w:hAnsi="宋体" w:eastAsia="宋体" w:cs="宋体"/>
                <w:kern w:val="2"/>
                <w:sz w:val="21"/>
                <w:szCs w:val="21"/>
                <w:lang w:val="zh-CN" w:eastAsia="zh-CN" w:bidi="zh-CN"/>
              </w:rPr>
            </w:pPr>
            <w:r>
              <w:rPr>
                <w:rFonts w:hint="eastAsia" w:ascii="宋体" w:hAnsi="宋体"/>
                <w:kern w:val="2"/>
                <w:sz w:val="21"/>
                <w:szCs w:val="21"/>
              </w:rPr>
              <w:t>放置房</w:t>
            </w:r>
          </w:p>
        </w:tc>
        <w:tc>
          <w:tcPr>
            <w:tcW w:w="1905" w:type="dxa"/>
            <w:noWrap w:val="0"/>
            <w:vAlign w:val="center"/>
          </w:tcPr>
          <w:p>
            <w:pPr>
              <w:keepNext w:val="0"/>
              <w:keepLines w:val="0"/>
              <w:suppressLineNumbers w:val="0"/>
              <w:spacing w:before="0" w:beforeAutospacing="0" w:after="0" w:afterAutospacing="0" w:line="300" w:lineRule="exact"/>
              <w:ind w:left="0" w:leftChars="0" w:right="0" w:rightChars="0"/>
              <w:jc w:val="center"/>
              <w:rPr>
                <w:rFonts w:hint="eastAsia" w:ascii="宋体" w:hAnsi="宋体" w:eastAsia="宋体" w:cs="宋体"/>
                <w:b/>
                <w:bCs/>
                <w:kern w:val="2"/>
                <w:sz w:val="21"/>
                <w:szCs w:val="21"/>
                <w:lang w:val="zh-CN" w:eastAsia="zh-CN" w:bidi="zh-CN"/>
              </w:rPr>
            </w:pPr>
            <w:r>
              <w:rPr>
                <w:rFonts w:hint="eastAsia"/>
                <w:b/>
                <w:bCs/>
                <w:kern w:val="2"/>
                <w:sz w:val="21"/>
                <w:szCs w:val="21"/>
              </w:rPr>
              <w:t>11</w:t>
            </w:r>
          </w:p>
        </w:tc>
        <w:tc>
          <w:tcPr>
            <w:tcW w:w="832" w:type="dxa"/>
            <w:noWrap w:val="0"/>
            <w:vAlign w:val="center"/>
          </w:tcPr>
          <w:p>
            <w:pPr>
              <w:keepNext w:val="0"/>
              <w:keepLines w:val="0"/>
              <w:suppressLineNumbers w:val="0"/>
              <w:spacing w:before="0" w:beforeAutospacing="0" w:after="0" w:afterAutospacing="0" w:line="300" w:lineRule="exact"/>
              <w:ind w:left="0" w:leftChars="0" w:right="0" w:rightChars="0"/>
              <w:jc w:val="center"/>
              <w:rPr>
                <w:rFonts w:hint="default" w:ascii="宋体" w:hAnsi="宋体" w:eastAsia="宋体" w:cs="宋体"/>
                <w:kern w:val="2"/>
                <w:sz w:val="21"/>
                <w:szCs w:val="21"/>
                <w:lang w:val="en-US" w:eastAsia="zh-CN" w:bidi="zh-CN"/>
              </w:rPr>
            </w:pPr>
            <w:r>
              <w:rPr>
                <w:rFonts w:hint="eastAsia"/>
                <w:kern w:val="2"/>
                <w:sz w:val="21"/>
                <w:szCs w:val="21"/>
              </w:rPr>
              <w:t>17.</w:t>
            </w:r>
            <w:r>
              <w:rPr>
                <w:rFonts w:hint="eastAsia"/>
                <w:kern w:val="2"/>
                <w:sz w:val="21"/>
                <w:szCs w:val="21"/>
                <w:lang w:val="en-US" w:eastAsia="zh-CN"/>
              </w:rPr>
              <w:t>79</w:t>
            </w:r>
          </w:p>
        </w:tc>
        <w:tc>
          <w:tcPr>
            <w:tcW w:w="663" w:type="dxa"/>
            <w:noWrap w:val="0"/>
            <w:vAlign w:val="center"/>
          </w:tcPr>
          <w:p>
            <w:pPr>
              <w:keepNext w:val="0"/>
              <w:keepLines w:val="0"/>
              <w:suppressLineNumbers w:val="0"/>
              <w:spacing w:before="0" w:beforeAutospacing="0" w:after="0" w:afterAutospacing="0" w:line="300" w:lineRule="exact"/>
              <w:ind w:left="0" w:leftChars="0" w:right="0" w:rightChars="0"/>
              <w:jc w:val="center"/>
              <w:rPr>
                <w:rFonts w:hint="eastAsia" w:ascii="宋体" w:hAnsi="宋体" w:eastAsia="宋体" w:cs="宋体"/>
                <w:b/>
                <w:bCs/>
                <w:kern w:val="2"/>
                <w:sz w:val="21"/>
                <w:szCs w:val="21"/>
                <w:lang w:val="zh-CN" w:eastAsia="zh-CN" w:bidi="zh-CN"/>
              </w:rPr>
            </w:pPr>
            <w:r>
              <w:rPr>
                <w:rFonts w:hint="eastAsia"/>
                <w:b/>
                <w:bCs/>
                <w:kern w:val="2"/>
                <w:sz w:val="21"/>
                <w:szCs w:val="21"/>
              </w:rPr>
              <w:t>10.5</w:t>
            </w:r>
          </w:p>
        </w:tc>
        <w:tc>
          <w:tcPr>
            <w:tcW w:w="835" w:type="dxa"/>
            <w:noWrap w:val="0"/>
            <w:vAlign w:val="center"/>
          </w:tcPr>
          <w:p>
            <w:pPr>
              <w:keepNext w:val="0"/>
              <w:keepLines w:val="0"/>
              <w:suppressLineNumbers w:val="0"/>
              <w:spacing w:before="0" w:beforeAutospacing="0" w:after="0" w:afterAutospacing="0" w:line="300" w:lineRule="exact"/>
              <w:ind w:left="0" w:leftChars="0" w:right="0" w:rightChars="0"/>
              <w:jc w:val="center"/>
              <w:rPr>
                <w:rFonts w:hint="eastAsia" w:ascii="宋体" w:hAnsi="宋体" w:eastAsia="宋体" w:cs="宋体"/>
                <w:kern w:val="2"/>
                <w:sz w:val="21"/>
                <w:szCs w:val="21"/>
                <w:lang w:val="zh-CN" w:eastAsia="zh-CN" w:bidi="zh-CN"/>
              </w:rPr>
            </w:pPr>
            <w:r>
              <w:rPr>
                <w:rFonts w:hint="eastAsia"/>
                <w:kern w:val="2"/>
                <w:sz w:val="21"/>
                <w:szCs w:val="21"/>
              </w:rPr>
              <w:t>21.16</w:t>
            </w:r>
          </w:p>
        </w:tc>
        <w:tc>
          <w:tcPr>
            <w:tcW w:w="834" w:type="dxa"/>
            <w:noWrap w:val="0"/>
            <w:vAlign w:val="center"/>
          </w:tcPr>
          <w:p>
            <w:pPr>
              <w:keepNext w:val="0"/>
              <w:keepLines w:val="0"/>
              <w:suppressLineNumbers w:val="0"/>
              <w:spacing w:before="0" w:beforeAutospacing="0" w:after="0" w:afterAutospacing="0" w:line="300" w:lineRule="exact"/>
              <w:ind w:left="0" w:leftChars="0" w:right="0" w:rightChars="0"/>
              <w:jc w:val="center"/>
              <w:rPr>
                <w:rFonts w:hint="default" w:ascii="宋体" w:hAnsi="宋体" w:eastAsia="宋体" w:cs="宋体"/>
                <w:b/>
                <w:bCs/>
                <w:kern w:val="2"/>
                <w:sz w:val="21"/>
                <w:szCs w:val="21"/>
                <w:lang w:val="zh-CN" w:eastAsia="zh-CN" w:bidi="zh-CN"/>
              </w:rPr>
            </w:pPr>
            <w:r>
              <w:rPr>
                <w:rFonts w:hint="eastAsia"/>
                <w:b/>
                <w:bCs/>
                <w:kern w:val="2"/>
                <w:sz w:val="21"/>
                <w:szCs w:val="21"/>
              </w:rPr>
              <w:t>10.5</w:t>
            </w:r>
          </w:p>
        </w:tc>
        <w:tc>
          <w:tcPr>
            <w:tcW w:w="787" w:type="dxa"/>
            <w:noWrap w:val="0"/>
            <w:vAlign w:val="center"/>
          </w:tcPr>
          <w:p>
            <w:pPr>
              <w:keepNext w:val="0"/>
              <w:keepLines w:val="0"/>
              <w:suppressLineNumbers w:val="0"/>
              <w:spacing w:before="0" w:beforeAutospacing="0" w:after="0" w:afterAutospacing="0" w:line="300" w:lineRule="exact"/>
              <w:ind w:left="0" w:leftChars="0" w:right="0" w:rightChars="0"/>
              <w:jc w:val="center"/>
              <w:rPr>
                <w:rFonts w:hint="eastAsia" w:ascii="宋体" w:hAnsi="宋体" w:eastAsia="宋体" w:cs="宋体"/>
                <w:kern w:val="2"/>
                <w:sz w:val="21"/>
                <w:szCs w:val="21"/>
                <w:lang w:val="zh-CN" w:eastAsia="zh-CN" w:bidi="zh-CN"/>
              </w:rPr>
            </w:pPr>
            <w:r>
              <w:rPr>
                <w:rFonts w:hint="eastAsia"/>
                <w:kern w:val="2"/>
                <w:sz w:val="21"/>
                <w:szCs w:val="21"/>
              </w:rPr>
              <w:t>48.90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1572" w:type="dxa"/>
            <w:gridSpan w:val="3"/>
            <w:vMerge w:val="restart"/>
            <w:noWrap w:val="0"/>
            <w:vAlign w:val="center"/>
          </w:tcPr>
          <w:p>
            <w:pPr>
              <w:keepNext w:val="0"/>
              <w:keepLines w:val="0"/>
              <w:suppressLineNumbers w:val="0"/>
              <w:spacing w:before="0" w:beforeAutospacing="0" w:after="0" w:afterAutospacing="0" w:line="300" w:lineRule="exact"/>
              <w:ind w:left="0" w:right="0"/>
              <w:jc w:val="center"/>
              <w:rPr>
                <w:rFonts w:hint="eastAsia" w:ascii="宋体" w:hAnsi="宋体"/>
                <w:kern w:val="2"/>
                <w:sz w:val="21"/>
                <w:szCs w:val="21"/>
              </w:rPr>
            </w:pPr>
            <w:r>
              <w:rPr>
                <w:rFonts w:hint="default" w:ascii="宋体" w:hAnsi="宋体"/>
                <w:kern w:val="2"/>
                <w:sz w:val="21"/>
                <w:szCs w:val="21"/>
              </w:rPr>
              <w:t>快速</w:t>
            </w:r>
            <w:r>
              <w:rPr>
                <w:rFonts w:hint="eastAsia" w:ascii="宋体" w:hAnsi="宋体"/>
                <w:kern w:val="2"/>
                <w:sz w:val="21"/>
                <w:szCs w:val="21"/>
              </w:rPr>
              <w:t>、</w:t>
            </w:r>
            <w:r>
              <w:rPr>
                <w:rFonts w:hint="default" w:ascii="宋体" w:hAnsi="宋体"/>
                <w:kern w:val="2"/>
                <w:sz w:val="21"/>
                <w:szCs w:val="21"/>
              </w:rPr>
              <w:t>主干</w:t>
            </w:r>
          </w:p>
        </w:tc>
        <w:tc>
          <w:tcPr>
            <w:tcW w:w="1928" w:type="dxa"/>
            <w:gridSpan w:val="2"/>
            <w:noWrap w:val="0"/>
            <w:vAlign w:val="center"/>
          </w:tcPr>
          <w:p>
            <w:pPr>
              <w:keepNext w:val="0"/>
              <w:keepLines w:val="0"/>
              <w:suppressLineNumbers w:val="0"/>
              <w:spacing w:before="0" w:beforeAutospacing="0" w:after="0" w:afterAutospacing="0" w:line="300" w:lineRule="exact"/>
              <w:ind w:left="0" w:right="0"/>
              <w:jc w:val="center"/>
              <w:rPr>
                <w:rFonts w:hint="eastAsia"/>
                <w:kern w:val="2"/>
                <w:sz w:val="21"/>
                <w:szCs w:val="21"/>
              </w:rPr>
            </w:pPr>
            <w:r>
              <w:rPr>
                <w:rFonts w:hint="eastAsia"/>
                <w:kern w:val="2"/>
                <w:sz w:val="21"/>
                <w:szCs w:val="21"/>
              </w:rPr>
              <w:t>北面崇焕东路</w:t>
            </w:r>
          </w:p>
        </w:tc>
        <w:tc>
          <w:tcPr>
            <w:tcW w:w="1905" w:type="dxa"/>
            <w:noWrap w:val="0"/>
            <w:vAlign w:val="center"/>
          </w:tcPr>
          <w:p>
            <w:pPr>
              <w:keepNext w:val="0"/>
              <w:keepLines w:val="0"/>
              <w:suppressLineNumbers w:val="0"/>
              <w:spacing w:before="0" w:beforeAutospacing="0" w:after="0" w:afterAutospacing="0" w:line="300" w:lineRule="exact"/>
              <w:ind w:left="0" w:right="0"/>
              <w:jc w:val="center"/>
              <w:rPr>
                <w:rFonts w:hint="eastAsia"/>
                <w:b/>
                <w:bCs/>
                <w:kern w:val="2"/>
                <w:sz w:val="21"/>
                <w:szCs w:val="21"/>
              </w:rPr>
            </w:pPr>
            <w:r>
              <w:rPr>
                <w:rFonts w:hint="eastAsia"/>
                <w:b/>
                <w:bCs/>
                <w:kern w:val="2"/>
                <w:sz w:val="21"/>
                <w:szCs w:val="21"/>
              </w:rPr>
              <w:t>5.5</w:t>
            </w:r>
          </w:p>
        </w:tc>
        <w:tc>
          <w:tcPr>
            <w:tcW w:w="832" w:type="dxa"/>
            <w:noWrap w:val="0"/>
            <w:vAlign w:val="center"/>
          </w:tcPr>
          <w:p>
            <w:pPr>
              <w:keepNext w:val="0"/>
              <w:keepLines w:val="0"/>
              <w:suppressLineNumbers w:val="0"/>
              <w:spacing w:before="0" w:beforeAutospacing="0" w:after="0" w:afterAutospacing="0" w:line="300" w:lineRule="exact"/>
              <w:ind w:left="0" w:right="0"/>
              <w:jc w:val="center"/>
              <w:rPr>
                <w:rFonts w:hint="eastAsia"/>
                <w:kern w:val="2"/>
                <w:sz w:val="21"/>
                <w:szCs w:val="21"/>
              </w:rPr>
            </w:pPr>
            <w:r>
              <w:rPr>
                <w:rFonts w:hint="eastAsia"/>
                <w:kern w:val="2"/>
                <w:sz w:val="21"/>
                <w:szCs w:val="21"/>
              </w:rPr>
              <w:t>65.31</w:t>
            </w:r>
          </w:p>
        </w:tc>
        <w:tc>
          <w:tcPr>
            <w:tcW w:w="663" w:type="dxa"/>
            <w:noWrap w:val="0"/>
            <w:vAlign w:val="center"/>
          </w:tcPr>
          <w:p>
            <w:pPr>
              <w:keepNext w:val="0"/>
              <w:keepLines w:val="0"/>
              <w:suppressLineNumbers w:val="0"/>
              <w:spacing w:before="0" w:beforeAutospacing="0" w:after="0" w:afterAutospacing="0" w:line="300" w:lineRule="exact"/>
              <w:ind w:left="0" w:right="0"/>
              <w:jc w:val="center"/>
              <w:rPr>
                <w:rFonts w:hint="eastAsia"/>
                <w:b/>
                <w:bCs/>
                <w:kern w:val="2"/>
                <w:sz w:val="21"/>
                <w:szCs w:val="21"/>
              </w:rPr>
            </w:pPr>
            <w:r>
              <w:rPr>
                <w:rFonts w:hint="eastAsia"/>
                <w:b/>
                <w:bCs/>
                <w:kern w:val="2"/>
                <w:sz w:val="21"/>
                <w:szCs w:val="21"/>
              </w:rPr>
              <w:t>5</w:t>
            </w:r>
          </w:p>
        </w:tc>
        <w:tc>
          <w:tcPr>
            <w:tcW w:w="835" w:type="dxa"/>
            <w:noWrap w:val="0"/>
            <w:vAlign w:val="center"/>
          </w:tcPr>
          <w:p>
            <w:pPr>
              <w:keepNext w:val="0"/>
              <w:keepLines w:val="0"/>
              <w:suppressLineNumbers w:val="0"/>
              <w:spacing w:before="0" w:beforeAutospacing="0" w:after="0" w:afterAutospacing="0" w:line="300" w:lineRule="exact"/>
              <w:ind w:left="0" w:right="0"/>
              <w:jc w:val="center"/>
              <w:rPr>
                <w:rFonts w:hint="eastAsia"/>
                <w:kern w:val="2"/>
                <w:sz w:val="21"/>
                <w:szCs w:val="21"/>
              </w:rPr>
            </w:pPr>
            <w:r>
              <w:rPr>
                <w:rFonts w:hint="eastAsia"/>
                <w:kern w:val="2"/>
                <w:sz w:val="21"/>
                <w:szCs w:val="21"/>
              </w:rPr>
              <w:t>70.56</w:t>
            </w:r>
          </w:p>
        </w:tc>
        <w:tc>
          <w:tcPr>
            <w:tcW w:w="834" w:type="dxa"/>
            <w:noWrap w:val="0"/>
            <w:vAlign w:val="center"/>
          </w:tcPr>
          <w:p>
            <w:pPr>
              <w:keepNext w:val="0"/>
              <w:keepLines w:val="0"/>
              <w:suppressLineNumbers w:val="0"/>
              <w:spacing w:before="0" w:beforeAutospacing="0" w:after="0" w:afterAutospacing="0" w:line="300" w:lineRule="exact"/>
              <w:ind w:left="0" w:right="0"/>
              <w:jc w:val="center"/>
              <w:rPr>
                <w:rFonts w:hint="eastAsia"/>
                <w:b/>
                <w:bCs/>
                <w:kern w:val="2"/>
                <w:sz w:val="21"/>
                <w:szCs w:val="21"/>
              </w:rPr>
            </w:pPr>
            <w:r>
              <w:rPr>
                <w:rFonts w:hint="eastAsia"/>
                <w:b/>
                <w:bCs/>
                <w:kern w:val="2"/>
                <w:sz w:val="21"/>
                <w:szCs w:val="21"/>
              </w:rPr>
              <w:t>5</w:t>
            </w:r>
          </w:p>
        </w:tc>
        <w:tc>
          <w:tcPr>
            <w:tcW w:w="787" w:type="dxa"/>
            <w:noWrap w:val="0"/>
            <w:vAlign w:val="center"/>
          </w:tcPr>
          <w:p>
            <w:pPr>
              <w:keepNext w:val="0"/>
              <w:keepLines w:val="0"/>
              <w:suppressLineNumbers w:val="0"/>
              <w:spacing w:before="0" w:beforeAutospacing="0" w:after="0" w:afterAutospacing="0" w:line="300" w:lineRule="exact"/>
              <w:ind w:left="0" w:right="0"/>
              <w:jc w:val="center"/>
              <w:rPr>
                <w:rFonts w:hint="eastAsia"/>
                <w:kern w:val="2"/>
                <w:sz w:val="21"/>
                <w:szCs w:val="21"/>
              </w:rPr>
            </w:pPr>
            <w:r>
              <w:rPr>
                <w:rFonts w:hint="eastAsia"/>
                <w:kern w:val="2"/>
                <w:sz w:val="21"/>
                <w:szCs w:val="21"/>
              </w:rPr>
              <w:t>28.6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1572" w:type="dxa"/>
            <w:gridSpan w:val="3"/>
            <w:vMerge w:val="continue"/>
            <w:noWrap w:val="0"/>
            <w:vAlign w:val="center"/>
          </w:tcPr>
          <w:p>
            <w:pPr>
              <w:keepNext w:val="0"/>
              <w:keepLines w:val="0"/>
              <w:suppressLineNumbers w:val="0"/>
              <w:spacing w:before="0" w:beforeAutospacing="0" w:after="0" w:afterAutospacing="0" w:line="300" w:lineRule="exact"/>
              <w:ind w:left="0" w:right="0"/>
              <w:jc w:val="center"/>
              <w:rPr>
                <w:rFonts w:hint="eastAsia" w:ascii="宋体" w:hAnsi="宋体"/>
                <w:kern w:val="2"/>
                <w:sz w:val="21"/>
                <w:szCs w:val="21"/>
              </w:rPr>
            </w:pPr>
          </w:p>
        </w:tc>
        <w:tc>
          <w:tcPr>
            <w:tcW w:w="1928" w:type="dxa"/>
            <w:gridSpan w:val="2"/>
            <w:noWrap w:val="0"/>
            <w:vAlign w:val="center"/>
          </w:tcPr>
          <w:p>
            <w:pPr>
              <w:keepNext w:val="0"/>
              <w:keepLines w:val="0"/>
              <w:suppressLineNumbers w:val="0"/>
              <w:spacing w:before="0" w:beforeAutospacing="0" w:after="0" w:afterAutospacing="0" w:line="300" w:lineRule="exact"/>
              <w:ind w:left="0" w:right="0"/>
              <w:jc w:val="center"/>
              <w:rPr>
                <w:rFonts w:hint="eastAsia" w:eastAsia="宋体"/>
                <w:kern w:val="2"/>
                <w:sz w:val="21"/>
                <w:szCs w:val="21"/>
                <w:lang w:eastAsia="zh-CN"/>
              </w:rPr>
            </w:pPr>
            <w:r>
              <w:rPr>
                <w:rFonts w:hint="eastAsia" w:ascii="宋体" w:hAnsi="宋体"/>
                <w:kern w:val="2"/>
                <w:sz w:val="21"/>
                <w:szCs w:val="21"/>
                <w:highlight w:val="none"/>
              </w:rPr>
              <w:t>东面</w:t>
            </w:r>
            <w:r>
              <w:rPr>
                <w:rFonts w:hint="eastAsia"/>
                <w:kern w:val="2"/>
                <w:sz w:val="21"/>
                <w:szCs w:val="21"/>
                <w:highlight w:val="none"/>
                <w:lang w:eastAsia="zh-CN"/>
              </w:rPr>
              <w:t>金星南路</w:t>
            </w:r>
          </w:p>
        </w:tc>
        <w:tc>
          <w:tcPr>
            <w:tcW w:w="1905" w:type="dxa"/>
            <w:noWrap w:val="0"/>
            <w:vAlign w:val="center"/>
          </w:tcPr>
          <w:p>
            <w:pPr>
              <w:keepNext w:val="0"/>
              <w:keepLines w:val="0"/>
              <w:suppressLineNumbers w:val="0"/>
              <w:spacing w:before="0" w:beforeAutospacing="0" w:after="0" w:afterAutospacing="0" w:line="300" w:lineRule="exact"/>
              <w:ind w:left="0" w:right="0"/>
              <w:jc w:val="center"/>
              <w:rPr>
                <w:rFonts w:hint="default" w:eastAsia="宋体"/>
                <w:b/>
                <w:bCs/>
                <w:kern w:val="2"/>
                <w:sz w:val="21"/>
                <w:szCs w:val="21"/>
                <w:lang w:val="en-US" w:eastAsia="zh-CN"/>
              </w:rPr>
            </w:pPr>
            <w:r>
              <w:rPr>
                <w:rFonts w:hint="eastAsia"/>
                <w:b/>
                <w:bCs/>
                <w:kern w:val="2"/>
                <w:sz w:val="21"/>
                <w:szCs w:val="21"/>
                <w:lang w:val="en-US" w:eastAsia="zh-CN"/>
              </w:rPr>
              <w:t>5.5</w:t>
            </w:r>
          </w:p>
        </w:tc>
        <w:tc>
          <w:tcPr>
            <w:tcW w:w="832" w:type="dxa"/>
            <w:noWrap w:val="0"/>
            <w:vAlign w:val="center"/>
          </w:tcPr>
          <w:p>
            <w:pPr>
              <w:keepNext w:val="0"/>
              <w:keepLines w:val="0"/>
              <w:suppressLineNumbers w:val="0"/>
              <w:spacing w:before="0" w:beforeAutospacing="0" w:after="0" w:afterAutospacing="0" w:line="300" w:lineRule="exact"/>
              <w:ind w:left="0" w:right="0"/>
              <w:jc w:val="center"/>
              <w:rPr>
                <w:rFonts w:hint="eastAsia"/>
                <w:kern w:val="2"/>
                <w:sz w:val="21"/>
                <w:szCs w:val="21"/>
              </w:rPr>
            </w:pPr>
            <w:r>
              <w:rPr>
                <w:rFonts w:hint="eastAsia"/>
                <w:kern w:val="2"/>
                <w:sz w:val="21"/>
                <w:szCs w:val="21"/>
              </w:rPr>
              <w:t>63.42</w:t>
            </w:r>
          </w:p>
        </w:tc>
        <w:tc>
          <w:tcPr>
            <w:tcW w:w="663" w:type="dxa"/>
            <w:noWrap w:val="0"/>
            <w:vAlign w:val="center"/>
          </w:tcPr>
          <w:p>
            <w:pPr>
              <w:keepNext w:val="0"/>
              <w:keepLines w:val="0"/>
              <w:suppressLineNumbers w:val="0"/>
              <w:spacing w:before="0" w:beforeAutospacing="0" w:after="0" w:afterAutospacing="0" w:line="300" w:lineRule="exact"/>
              <w:ind w:left="0" w:right="0"/>
              <w:jc w:val="center"/>
              <w:rPr>
                <w:rFonts w:hint="eastAsia"/>
                <w:b/>
                <w:bCs/>
                <w:kern w:val="2"/>
                <w:sz w:val="21"/>
                <w:szCs w:val="21"/>
              </w:rPr>
            </w:pPr>
            <w:r>
              <w:rPr>
                <w:rFonts w:hint="eastAsia"/>
                <w:b/>
                <w:bCs/>
                <w:kern w:val="2"/>
                <w:sz w:val="21"/>
                <w:szCs w:val="21"/>
              </w:rPr>
              <w:t>5</w:t>
            </w:r>
          </w:p>
        </w:tc>
        <w:tc>
          <w:tcPr>
            <w:tcW w:w="835" w:type="dxa"/>
            <w:noWrap w:val="0"/>
            <w:vAlign w:val="center"/>
          </w:tcPr>
          <w:p>
            <w:pPr>
              <w:keepNext w:val="0"/>
              <w:keepLines w:val="0"/>
              <w:suppressLineNumbers w:val="0"/>
              <w:spacing w:before="0" w:beforeAutospacing="0" w:after="0" w:afterAutospacing="0" w:line="300" w:lineRule="exact"/>
              <w:ind w:left="0" w:right="0"/>
              <w:jc w:val="center"/>
              <w:rPr>
                <w:rFonts w:hint="eastAsia"/>
                <w:kern w:val="2"/>
                <w:sz w:val="21"/>
                <w:szCs w:val="21"/>
              </w:rPr>
            </w:pPr>
            <w:r>
              <w:rPr>
                <w:rFonts w:hint="eastAsia"/>
                <w:kern w:val="2"/>
                <w:sz w:val="21"/>
                <w:szCs w:val="21"/>
              </w:rPr>
              <w:t>68.25</w:t>
            </w:r>
          </w:p>
        </w:tc>
        <w:tc>
          <w:tcPr>
            <w:tcW w:w="834" w:type="dxa"/>
            <w:noWrap w:val="0"/>
            <w:vAlign w:val="center"/>
          </w:tcPr>
          <w:p>
            <w:pPr>
              <w:keepNext w:val="0"/>
              <w:keepLines w:val="0"/>
              <w:suppressLineNumbers w:val="0"/>
              <w:spacing w:before="0" w:beforeAutospacing="0" w:after="0" w:afterAutospacing="0" w:line="300" w:lineRule="exact"/>
              <w:ind w:left="0" w:right="0"/>
              <w:jc w:val="center"/>
              <w:rPr>
                <w:rFonts w:hint="default"/>
                <w:b/>
                <w:bCs/>
                <w:kern w:val="2"/>
                <w:sz w:val="21"/>
                <w:szCs w:val="21"/>
              </w:rPr>
            </w:pPr>
            <w:r>
              <w:rPr>
                <w:rFonts w:hint="default"/>
                <w:b/>
                <w:bCs/>
                <w:kern w:val="2"/>
                <w:sz w:val="21"/>
                <w:szCs w:val="21"/>
              </w:rPr>
              <w:t>5</w:t>
            </w:r>
          </w:p>
        </w:tc>
        <w:tc>
          <w:tcPr>
            <w:tcW w:w="787" w:type="dxa"/>
            <w:noWrap w:val="0"/>
            <w:vAlign w:val="center"/>
          </w:tcPr>
          <w:p>
            <w:pPr>
              <w:keepNext w:val="0"/>
              <w:keepLines w:val="0"/>
              <w:suppressLineNumbers w:val="0"/>
              <w:spacing w:before="0" w:beforeAutospacing="0" w:after="0" w:afterAutospacing="0" w:line="300" w:lineRule="exact"/>
              <w:ind w:left="0" w:right="0"/>
              <w:jc w:val="center"/>
              <w:rPr>
                <w:rFonts w:hint="default" w:eastAsia="宋体"/>
                <w:kern w:val="2"/>
                <w:sz w:val="21"/>
                <w:szCs w:val="21"/>
                <w:lang w:val="en-US" w:eastAsia="zh-CN"/>
              </w:rPr>
            </w:pPr>
            <w:r>
              <w:rPr>
                <w:rFonts w:hint="eastAsia"/>
                <w:kern w:val="2"/>
                <w:sz w:val="21"/>
                <w:szCs w:val="21"/>
              </w:rPr>
              <w:t>16.</w:t>
            </w:r>
            <w:r>
              <w:rPr>
                <w:rFonts w:hint="eastAsia"/>
                <w:kern w:val="2"/>
                <w:sz w:val="21"/>
                <w:szCs w:val="21"/>
                <w:lang w:val="en-US" w:eastAsia="zh-CN"/>
              </w:rPr>
              <w:t>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9" w:hRule="atLeast"/>
          <w:jc w:val="center"/>
        </w:trPr>
        <w:tc>
          <w:tcPr>
            <w:tcW w:w="3500" w:type="dxa"/>
            <w:gridSpan w:val="5"/>
            <w:noWrap w:val="0"/>
            <w:vAlign w:val="center"/>
          </w:tcPr>
          <w:p>
            <w:pPr>
              <w:keepNext w:val="0"/>
              <w:keepLines w:val="0"/>
              <w:suppressLineNumbers w:val="0"/>
              <w:spacing w:before="0" w:beforeAutospacing="0" w:after="0" w:afterAutospacing="0" w:line="300" w:lineRule="exact"/>
              <w:ind w:left="0" w:right="0"/>
              <w:jc w:val="center"/>
              <w:rPr>
                <w:rFonts w:hint="eastAsia"/>
                <w:kern w:val="2"/>
                <w:sz w:val="21"/>
                <w:szCs w:val="21"/>
              </w:rPr>
            </w:pPr>
            <w:r>
              <w:rPr>
                <w:rFonts w:hint="eastAsia"/>
                <w:kern w:val="2"/>
                <w:sz w:val="21"/>
                <w:szCs w:val="21"/>
              </w:rPr>
              <w:t>西北</w:t>
            </w:r>
            <w:r>
              <w:rPr>
                <w:rFonts w:hint="default"/>
                <w:kern w:val="2"/>
                <w:sz w:val="21"/>
                <w:szCs w:val="21"/>
              </w:rPr>
              <w:t>面</w:t>
            </w:r>
            <w:r>
              <w:rPr>
                <w:rFonts w:hint="eastAsia"/>
                <w:kern w:val="2"/>
                <w:sz w:val="21"/>
                <w:szCs w:val="21"/>
              </w:rPr>
              <w:t>线</w:t>
            </w:r>
            <w:r>
              <w:rPr>
                <w:rFonts w:hint="eastAsia" w:ascii="宋体" w:hAnsi="宋体"/>
                <w:kern w:val="2"/>
                <w:sz w:val="21"/>
                <w:szCs w:val="21"/>
              </w:rPr>
              <w:t>高33</w:t>
            </w:r>
            <w:r>
              <w:rPr>
                <w:rFonts w:hint="default" w:ascii="宋体" w:hAnsi="宋体"/>
                <w:kern w:val="2"/>
                <w:sz w:val="21"/>
                <w:szCs w:val="21"/>
              </w:rPr>
              <w:t>m</w:t>
            </w:r>
            <w:r>
              <w:rPr>
                <w:rFonts w:hint="eastAsia" w:ascii="宋体" w:hAnsi="宋体"/>
                <w:kern w:val="2"/>
                <w:sz w:val="21"/>
                <w:szCs w:val="21"/>
              </w:rPr>
              <w:t>无</w:t>
            </w:r>
            <w:r>
              <w:rPr>
                <w:rFonts w:hint="eastAsia" w:hAnsi="宋体"/>
                <w:kern w:val="2"/>
                <w:sz w:val="21"/>
                <w:szCs w:val="21"/>
              </w:rPr>
              <w:t>绝缘层</w:t>
            </w:r>
            <w:r>
              <w:rPr>
                <w:rFonts w:hint="default" w:ascii="宋体" w:hAnsi="宋体"/>
                <w:kern w:val="2"/>
                <w:sz w:val="21"/>
                <w:szCs w:val="21"/>
              </w:rPr>
              <w:t>架空</w:t>
            </w:r>
            <w:r>
              <w:rPr>
                <w:rFonts w:hint="eastAsia" w:ascii="宋体" w:hAnsi="宋体"/>
                <w:kern w:val="2"/>
                <w:sz w:val="21"/>
                <w:szCs w:val="21"/>
              </w:rPr>
              <w:t>高压线线</w:t>
            </w:r>
          </w:p>
        </w:tc>
        <w:tc>
          <w:tcPr>
            <w:tcW w:w="1905" w:type="dxa"/>
            <w:noWrap w:val="0"/>
            <w:vAlign w:val="center"/>
          </w:tcPr>
          <w:p>
            <w:pPr>
              <w:keepNext w:val="0"/>
              <w:keepLines w:val="0"/>
              <w:suppressLineNumbers w:val="0"/>
              <w:adjustRightInd w:val="0"/>
              <w:spacing w:before="0" w:beforeAutospacing="0" w:after="0" w:afterAutospacing="0" w:line="300" w:lineRule="exact"/>
              <w:ind w:left="0" w:right="0"/>
              <w:jc w:val="center"/>
              <w:rPr>
                <w:rFonts w:hint="eastAsia" w:eastAsia="宋体"/>
                <w:b/>
                <w:bCs/>
                <w:snapToGrid w:val="0"/>
                <w:kern w:val="2"/>
                <w:sz w:val="21"/>
                <w:szCs w:val="21"/>
                <w:lang w:eastAsia="zh-CN"/>
              </w:rPr>
            </w:pPr>
            <w:r>
              <w:rPr>
                <w:rFonts w:hint="eastAsia"/>
                <w:b/>
                <w:bCs/>
                <w:snapToGrid w:val="0"/>
                <w:kern w:val="2"/>
                <w:sz w:val="21"/>
                <w:szCs w:val="21"/>
                <w:lang w:val="en-US" w:eastAsia="zh-CN"/>
              </w:rPr>
              <w:t>33m（</w:t>
            </w:r>
            <w:r>
              <w:rPr>
                <w:rFonts w:hint="eastAsia"/>
                <w:b/>
                <w:bCs/>
                <w:snapToGrid w:val="0"/>
                <w:kern w:val="2"/>
                <w:sz w:val="21"/>
                <w:szCs w:val="21"/>
              </w:rPr>
              <w:t>1倍杆（塔）高，且不应小于6.5m</w:t>
            </w:r>
            <w:r>
              <w:rPr>
                <w:rFonts w:hint="eastAsia"/>
                <w:b/>
                <w:bCs/>
                <w:snapToGrid w:val="0"/>
                <w:kern w:val="2"/>
                <w:sz w:val="21"/>
                <w:szCs w:val="21"/>
                <w:lang w:eastAsia="zh-CN"/>
              </w:rPr>
              <w:t>）</w:t>
            </w:r>
          </w:p>
        </w:tc>
        <w:tc>
          <w:tcPr>
            <w:tcW w:w="832" w:type="dxa"/>
            <w:noWrap w:val="0"/>
            <w:vAlign w:val="center"/>
          </w:tcPr>
          <w:p>
            <w:pPr>
              <w:keepNext w:val="0"/>
              <w:keepLines w:val="0"/>
              <w:suppressLineNumbers w:val="0"/>
              <w:spacing w:before="0" w:beforeAutospacing="0" w:after="0" w:afterAutospacing="0" w:line="300" w:lineRule="exact"/>
              <w:ind w:left="0" w:right="0"/>
              <w:jc w:val="center"/>
              <w:rPr>
                <w:rFonts w:hint="eastAsia"/>
                <w:kern w:val="2"/>
                <w:sz w:val="21"/>
                <w:szCs w:val="21"/>
              </w:rPr>
            </w:pPr>
            <w:r>
              <w:rPr>
                <w:rFonts w:hint="eastAsia"/>
                <w:kern w:val="2"/>
                <w:sz w:val="21"/>
                <w:szCs w:val="21"/>
              </w:rPr>
              <w:t>60.17</w:t>
            </w:r>
          </w:p>
        </w:tc>
        <w:tc>
          <w:tcPr>
            <w:tcW w:w="663" w:type="dxa"/>
            <w:noWrap w:val="0"/>
            <w:vAlign w:val="center"/>
          </w:tcPr>
          <w:p>
            <w:pPr>
              <w:keepNext w:val="0"/>
              <w:keepLines w:val="0"/>
              <w:suppressLineNumbers w:val="0"/>
              <w:spacing w:before="0" w:beforeAutospacing="0" w:after="0" w:afterAutospacing="0" w:line="300" w:lineRule="exact"/>
              <w:ind w:left="0" w:right="0"/>
              <w:jc w:val="center"/>
              <w:rPr>
                <w:rFonts w:hint="eastAsia"/>
                <w:b/>
                <w:bCs/>
                <w:kern w:val="2"/>
                <w:sz w:val="21"/>
                <w:szCs w:val="21"/>
              </w:rPr>
            </w:pPr>
            <w:r>
              <w:rPr>
                <w:rFonts w:hint="eastAsia"/>
                <w:b/>
                <w:bCs/>
                <w:kern w:val="2"/>
                <w:sz w:val="21"/>
                <w:szCs w:val="21"/>
              </w:rPr>
              <w:t>6.5</w:t>
            </w:r>
          </w:p>
        </w:tc>
        <w:tc>
          <w:tcPr>
            <w:tcW w:w="835" w:type="dxa"/>
            <w:noWrap w:val="0"/>
            <w:vAlign w:val="center"/>
          </w:tcPr>
          <w:p>
            <w:pPr>
              <w:keepNext w:val="0"/>
              <w:keepLines w:val="0"/>
              <w:suppressLineNumbers w:val="0"/>
              <w:spacing w:before="0" w:beforeAutospacing="0" w:after="0" w:afterAutospacing="0" w:line="300" w:lineRule="exact"/>
              <w:ind w:left="0" w:right="0"/>
              <w:jc w:val="center"/>
              <w:rPr>
                <w:rFonts w:hint="eastAsia"/>
                <w:kern w:val="2"/>
                <w:sz w:val="21"/>
                <w:szCs w:val="21"/>
              </w:rPr>
            </w:pPr>
            <w:r>
              <w:rPr>
                <w:rFonts w:hint="eastAsia"/>
                <w:kern w:val="2"/>
                <w:sz w:val="21"/>
                <w:szCs w:val="21"/>
              </w:rPr>
              <w:t>65.59</w:t>
            </w:r>
          </w:p>
        </w:tc>
        <w:tc>
          <w:tcPr>
            <w:tcW w:w="834" w:type="dxa"/>
            <w:noWrap w:val="0"/>
            <w:vAlign w:val="center"/>
          </w:tcPr>
          <w:p>
            <w:pPr>
              <w:keepNext w:val="0"/>
              <w:keepLines w:val="0"/>
              <w:suppressLineNumbers w:val="0"/>
              <w:spacing w:before="0" w:beforeAutospacing="0" w:after="0" w:afterAutospacing="0" w:line="300" w:lineRule="exact"/>
              <w:ind w:left="0" w:right="0"/>
              <w:jc w:val="center"/>
              <w:rPr>
                <w:rFonts w:hint="eastAsia"/>
                <w:b/>
                <w:bCs/>
                <w:kern w:val="2"/>
                <w:sz w:val="21"/>
                <w:szCs w:val="21"/>
              </w:rPr>
            </w:pPr>
            <w:r>
              <w:rPr>
                <w:rFonts w:hint="eastAsia"/>
                <w:b/>
                <w:bCs/>
                <w:kern w:val="2"/>
                <w:sz w:val="21"/>
                <w:szCs w:val="21"/>
              </w:rPr>
              <w:t>6.5</w:t>
            </w:r>
          </w:p>
        </w:tc>
        <w:tc>
          <w:tcPr>
            <w:tcW w:w="787" w:type="dxa"/>
            <w:noWrap w:val="0"/>
            <w:vAlign w:val="center"/>
          </w:tcPr>
          <w:p>
            <w:pPr>
              <w:keepNext w:val="0"/>
              <w:keepLines w:val="0"/>
              <w:suppressLineNumbers w:val="0"/>
              <w:spacing w:before="0" w:beforeAutospacing="0" w:after="0" w:afterAutospacing="0" w:line="300" w:lineRule="exact"/>
              <w:ind w:left="0" w:right="0"/>
              <w:jc w:val="center"/>
              <w:rPr>
                <w:rFonts w:hint="default"/>
                <w:kern w:val="2"/>
                <w:sz w:val="21"/>
                <w:szCs w:val="21"/>
              </w:rPr>
            </w:pPr>
            <w:r>
              <w:rPr>
                <w:rFonts w:hint="eastAsia"/>
                <w:kern w:val="2"/>
                <w:sz w:val="21"/>
                <w:szCs w:val="21"/>
              </w:rPr>
              <w:t>60.39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2" w:hRule="atLeast"/>
          <w:jc w:val="center"/>
        </w:trPr>
        <w:tc>
          <w:tcPr>
            <w:tcW w:w="940" w:type="dxa"/>
            <w:gridSpan w:val="2"/>
            <w:vMerge w:val="restart"/>
            <w:noWrap w:val="0"/>
            <w:vAlign w:val="center"/>
          </w:tcPr>
          <w:p>
            <w:pPr>
              <w:keepNext w:val="0"/>
              <w:keepLines w:val="0"/>
              <w:suppressLineNumbers w:val="0"/>
              <w:spacing w:before="0" w:beforeAutospacing="0" w:after="0" w:afterAutospacing="0" w:line="300" w:lineRule="exact"/>
              <w:ind w:left="0" w:right="0"/>
              <w:jc w:val="center"/>
              <w:rPr>
                <w:rFonts w:hint="default" w:ascii="宋体" w:hAnsi="宋体"/>
                <w:kern w:val="2"/>
                <w:sz w:val="21"/>
                <w:szCs w:val="21"/>
              </w:rPr>
            </w:pPr>
            <w:r>
              <w:rPr>
                <w:rFonts w:hint="default" w:ascii="宋体" w:hAnsi="宋体"/>
                <w:kern w:val="2"/>
                <w:sz w:val="21"/>
                <w:szCs w:val="21"/>
              </w:rPr>
              <w:t>架空电力线路</w:t>
            </w:r>
          </w:p>
        </w:tc>
        <w:tc>
          <w:tcPr>
            <w:tcW w:w="2560" w:type="dxa"/>
            <w:gridSpan w:val="3"/>
            <w:noWrap w:val="0"/>
            <w:vAlign w:val="center"/>
          </w:tcPr>
          <w:p>
            <w:pPr>
              <w:keepNext w:val="0"/>
              <w:keepLines w:val="0"/>
              <w:suppressLineNumbers w:val="0"/>
              <w:spacing w:before="0" w:beforeAutospacing="0" w:after="0" w:afterAutospacing="0" w:line="300" w:lineRule="exact"/>
              <w:ind w:left="0" w:right="0"/>
              <w:jc w:val="center"/>
              <w:rPr>
                <w:rFonts w:hint="eastAsia" w:ascii="宋体" w:hAnsi="宋体"/>
                <w:kern w:val="2"/>
                <w:sz w:val="21"/>
                <w:szCs w:val="21"/>
              </w:rPr>
            </w:pPr>
            <w:r>
              <w:rPr>
                <w:rFonts w:hint="eastAsia" w:ascii="宋体" w:hAnsi="宋体"/>
                <w:kern w:val="2"/>
                <w:sz w:val="21"/>
                <w:szCs w:val="21"/>
              </w:rPr>
              <w:t>东面杆高5.5</w:t>
            </w:r>
            <w:r>
              <w:rPr>
                <w:rFonts w:hint="default" w:ascii="宋体" w:hAnsi="宋体"/>
                <w:kern w:val="2"/>
                <w:sz w:val="21"/>
                <w:szCs w:val="21"/>
              </w:rPr>
              <w:t>m</w:t>
            </w:r>
            <w:r>
              <w:rPr>
                <w:rFonts w:hint="eastAsia" w:hAnsi="宋体"/>
                <w:kern w:val="2"/>
                <w:sz w:val="21"/>
                <w:szCs w:val="21"/>
              </w:rPr>
              <w:t>有绝缘层</w:t>
            </w:r>
          </w:p>
        </w:tc>
        <w:tc>
          <w:tcPr>
            <w:tcW w:w="1905" w:type="dxa"/>
            <w:noWrap w:val="0"/>
            <w:vAlign w:val="center"/>
          </w:tcPr>
          <w:p>
            <w:pPr>
              <w:keepNext w:val="0"/>
              <w:keepLines w:val="0"/>
              <w:suppressLineNumbers w:val="0"/>
              <w:adjustRightInd w:val="0"/>
              <w:spacing w:before="0" w:beforeAutospacing="0" w:after="0" w:afterAutospacing="0" w:line="300" w:lineRule="exact"/>
              <w:ind w:left="0" w:right="0"/>
              <w:jc w:val="center"/>
              <w:rPr>
                <w:rFonts w:hint="eastAsia" w:eastAsia="宋体"/>
                <w:b/>
                <w:bCs/>
                <w:snapToGrid w:val="0"/>
                <w:kern w:val="2"/>
                <w:sz w:val="21"/>
                <w:szCs w:val="21"/>
                <w:lang w:eastAsia="zh-CN"/>
              </w:rPr>
            </w:pPr>
            <w:r>
              <w:rPr>
                <w:rFonts w:hint="eastAsia"/>
                <w:b/>
                <w:bCs/>
                <w:snapToGrid w:val="0"/>
                <w:kern w:val="2"/>
                <w:sz w:val="21"/>
                <w:szCs w:val="21"/>
                <w:lang w:val="en-US" w:eastAsia="zh-CN"/>
              </w:rPr>
              <w:t>5m</w:t>
            </w:r>
            <w:r>
              <w:rPr>
                <w:rFonts w:hint="eastAsia"/>
                <w:b/>
                <w:bCs/>
                <w:snapToGrid w:val="0"/>
                <w:kern w:val="2"/>
                <w:sz w:val="21"/>
                <w:szCs w:val="21"/>
                <w:lang w:eastAsia="zh-CN"/>
              </w:rPr>
              <w:t>（</w:t>
            </w:r>
            <w:r>
              <w:rPr>
                <w:rFonts w:hint="eastAsia"/>
                <w:b/>
                <w:bCs/>
                <w:snapToGrid w:val="0"/>
                <w:kern w:val="2"/>
                <w:sz w:val="21"/>
                <w:szCs w:val="21"/>
              </w:rPr>
              <w:t>0.75倍杆（塔）高，且不应小于5m</w:t>
            </w:r>
            <w:r>
              <w:rPr>
                <w:rFonts w:hint="eastAsia"/>
                <w:b/>
                <w:bCs/>
                <w:snapToGrid w:val="0"/>
                <w:kern w:val="2"/>
                <w:sz w:val="21"/>
                <w:szCs w:val="21"/>
                <w:lang w:eastAsia="zh-CN"/>
              </w:rPr>
              <w:t>）</w:t>
            </w:r>
          </w:p>
        </w:tc>
        <w:tc>
          <w:tcPr>
            <w:tcW w:w="832" w:type="dxa"/>
            <w:noWrap w:val="0"/>
            <w:vAlign w:val="center"/>
          </w:tcPr>
          <w:p>
            <w:pPr>
              <w:keepNext w:val="0"/>
              <w:keepLines w:val="0"/>
              <w:suppressLineNumbers w:val="0"/>
              <w:spacing w:before="0" w:beforeAutospacing="0" w:after="0" w:afterAutospacing="0" w:line="300" w:lineRule="exact"/>
              <w:ind w:left="0" w:right="0"/>
              <w:jc w:val="center"/>
              <w:rPr>
                <w:rFonts w:hint="eastAsia"/>
                <w:kern w:val="2"/>
                <w:sz w:val="21"/>
                <w:szCs w:val="21"/>
              </w:rPr>
            </w:pPr>
            <w:r>
              <w:rPr>
                <w:rFonts w:hint="eastAsia"/>
                <w:kern w:val="2"/>
                <w:sz w:val="21"/>
                <w:szCs w:val="21"/>
              </w:rPr>
              <w:t>84.79</w:t>
            </w:r>
          </w:p>
        </w:tc>
        <w:tc>
          <w:tcPr>
            <w:tcW w:w="663" w:type="dxa"/>
            <w:noWrap w:val="0"/>
            <w:vAlign w:val="center"/>
          </w:tcPr>
          <w:p>
            <w:pPr>
              <w:keepNext w:val="0"/>
              <w:keepLines w:val="0"/>
              <w:suppressLineNumbers w:val="0"/>
              <w:spacing w:before="0" w:beforeAutospacing="0" w:after="0" w:afterAutospacing="0" w:line="300" w:lineRule="exact"/>
              <w:ind w:left="0" w:right="0"/>
              <w:jc w:val="center"/>
              <w:rPr>
                <w:rFonts w:hint="default"/>
                <w:b/>
                <w:bCs/>
                <w:kern w:val="2"/>
                <w:sz w:val="21"/>
                <w:szCs w:val="21"/>
              </w:rPr>
            </w:pPr>
            <w:r>
              <w:rPr>
                <w:rFonts w:hint="eastAsia"/>
                <w:b/>
                <w:bCs/>
                <w:snapToGrid w:val="0"/>
                <w:kern w:val="2"/>
                <w:sz w:val="21"/>
                <w:szCs w:val="21"/>
              </w:rPr>
              <w:t>5</w:t>
            </w:r>
          </w:p>
        </w:tc>
        <w:tc>
          <w:tcPr>
            <w:tcW w:w="835" w:type="dxa"/>
            <w:noWrap w:val="0"/>
            <w:vAlign w:val="center"/>
          </w:tcPr>
          <w:p>
            <w:pPr>
              <w:keepNext w:val="0"/>
              <w:keepLines w:val="0"/>
              <w:suppressLineNumbers w:val="0"/>
              <w:spacing w:before="0" w:beforeAutospacing="0" w:after="0" w:afterAutospacing="0" w:line="300" w:lineRule="exact"/>
              <w:ind w:left="0" w:right="0"/>
              <w:jc w:val="center"/>
              <w:rPr>
                <w:rFonts w:hint="eastAsia"/>
                <w:kern w:val="2"/>
                <w:sz w:val="21"/>
                <w:szCs w:val="21"/>
              </w:rPr>
            </w:pPr>
            <w:r>
              <w:rPr>
                <w:rFonts w:hint="eastAsia"/>
                <w:kern w:val="2"/>
                <w:sz w:val="21"/>
                <w:szCs w:val="21"/>
              </w:rPr>
              <w:t>90.58</w:t>
            </w:r>
          </w:p>
        </w:tc>
        <w:tc>
          <w:tcPr>
            <w:tcW w:w="834" w:type="dxa"/>
            <w:noWrap w:val="0"/>
            <w:vAlign w:val="center"/>
          </w:tcPr>
          <w:p>
            <w:pPr>
              <w:keepNext w:val="0"/>
              <w:keepLines w:val="0"/>
              <w:suppressLineNumbers w:val="0"/>
              <w:spacing w:before="0" w:beforeAutospacing="0" w:after="0" w:afterAutospacing="0" w:line="300" w:lineRule="exact"/>
              <w:ind w:left="0" w:right="0"/>
              <w:jc w:val="center"/>
              <w:rPr>
                <w:rFonts w:hint="default"/>
                <w:b/>
                <w:bCs/>
                <w:kern w:val="2"/>
                <w:sz w:val="21"/>
                <w:szCs w:val="21"/>
              </w:rPr>
            </w:pPr>
            <w:r>
              <w:rPr>
                <w:rFonts w:hint="eastAsia"/>
                <w:b/>
                <w:bCs/>
                <w:snapToGrid w:val="0"/>
                <w:kern w:val="2"/>
                <w:sz w:val="21"/>
                <w:szCs w:val="21"/>
              </w:rPr>
              <w:t>5</w:t>
            </w:r>
          </w:p>
        </w:tc>
        <w:tc>
          <w:tcPr>
            <w:tcW w:w="787" w:type="dxa"/>
            <w:noWrap w:val="0"/>
            <w:vAlign w:val="center"/>
          </w:tcPr>
          <w:p>
            <w:pPr>
              <w:keepNext w:val="0"/>
              <w:keepLines w:val="0"/>
              <w:suppressLineNumbers w:val="0"/>
              <w:spacing w:before="0" w:beforeAutospacing="0" w:after="0" w:afterAutospacing="0" w:line="300" w:lineRule="exact"/>
              <w:ind w:left="0" w:right="0"/>
              <w:jc w:val="center"/>
              <w:rPr>
                <w:rFonts w:hint="default" w:eastAsia="宋体"/>
                <w:kern w:val="2"/>
                <w:sz w:val="21"/>
                <w:szCs w:val="21"/>
                <w:lang w:val="en-US" w:eastAsia="zh-CN"/>
              </w:rPr>
            </w:pPr>
            <w:r>
              <w:rPr>
                <w:rFonts w:hint="eastAsia"/>
                <w:kern w:val="2"/>
                <w:sz w:val="21"/>
                <w:szCs w:val="21"/>
              </w:rPr>
              <w:t>40.</w:t>
            </w:r>
            <w:r>
              <w:rPr>
                <w:rFonts w:hint="eastAsia"/>
                <w:kern w:val="2"/>
                <w:sz w:val="21"/>
                <w:szCs w:val="21"/>
                <w:lang w:val="en-US" w:eastAsia="zh-CN"/>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2" w:hRule="atLeast"/>
          <w:jc w:val="center"/>
        </w:trPr>
        <w:tc>
          <w:tcPr>
            <w:tcW w:w="940" w:type="dxa"/>
            <w:gridSpan w:val="2"/>
            <w:vMerge w:val="continue"/>
            <w:noWrap w:val="0"/>
            <w:vAlign w:val="center"/>
          </w:tcPr>
          <w:p>
            <w:pPr>
              <w:keepNext w:val="0"/>
              <w:keepLines w:val="0"/>
              <w:suppressLineNumbers w:val="0"/>
              <w:spacing w:before="0" w:beforeAutospacing="0" w:after="0" w:afterAutospacing="0" w:line="300" w:lineRule="exact"/>
              <w:ind w:left="0" w:right="0"/>
              <w:jc w:val="center"/>
              <w:rPr>
                <w:rFonts w:hint="eastAsia" w:ascii="宋体" w:hAnsi="宋体"/>
                <w:kern w:val="2"/>
                <w:sz w:val="21"/>
                <w:szCs w:val="21"/>
              </w:rPr>
            </w:pPr>
          </w:p>
        </w:tc>
        <w:tc>
          <w:tcPr>
            <w:tcW w:w="2560" w:type="dxa"/>
            <w:gridSpan w:val="3"/>
            <w:noWrap w:val="0"/>
            <w:vAlign w:val="center"/>
          </w:tcPr>
          <w:p>
            <w:pPr>
              <w:keepNext w:val="0"/>
              <w:keepLines w:val="0"/>
              <w:suppressLineNumbers w:val="0"/>
              <w:spacing w:before="0" w:beforeAutospacing="0" w:after="0" w:afterAutospacing="0" w:line="300" w:lineRule="exact"/>
              <w:ind w:left="0" w:right="0"/>
              <w:jc w:val="center"/>
              <w:rPr>
                <w:rFonts w:hint="eastAsia" w:ascii="宋体" w:hAnsi="宋体"/>
                <w:kern w:val="2"/>
                <w:sz w:val="21"/>
                <w:szCs w:val="21"/>
              </w:rPr>
            </w:pPr>
            <w:r>
              <w:rPr>
                <w:rFonts w:hint="eastAsia" w:ascii="宋体" w:hAnsi="宋体"/>
                <w:kern w:val="2"/>
                <w:sz w:val="21"/>
                <w:szCs w:val="21"/>
              </w:rPr>
              <w:t>东面杆高7.3</w:t>
            </w:r>
            <w:r>
              <w:rPr>
                <w:rFonts w:hint="default" w:ascii="宋体" w:hAnsi="宋体"/>
                <w:kern w:val="2"/>
                <w:sz w:val="21"/>
                <w:szCs w:val="21"/>
              </w:rPr>
              <w:t>m</w:t>
            </w:r>
            <w:r>
              <w:rPr>
                <w:rFonts w:hint="eastAsia" w:hAnsi="宋体"/>
                <w:kern w:val="2"/>
                <w:sz w:val="21"/>
                <w:szCs w:val="21"/>
              </w:rPr>
              <w:t>有绝缘层</w:t>
            </w:r>
          </w:p>
        </w:tc>
        <w:tc>
          <w:tcPr>
            <w:tcW w:w="1905" w:type="dxa"/>
            <w:noWrap w:val="0"/>
            <w:vAlign w:val="center"/>
          </w:tcPr>
          <w:p>
            <w:pPr>
              <w:keepNext w:val="0"/>
              <w:keepLines w:val="0"/>
              <w:suppressLineNumbers w:val="0"/>
              <w:adjustRightInd w:val="0"/>
              <w:spacing w:before="0" w:beforeAutospacing="0" w:after="0" w:afterAutospacing="0" w:line="300" w:lineRule="exact"/>
              <w:ind w:left="0" w:right="0"/>
              <w:jc w:val="center"/>
              <w:rPr>
                <w:rFonts w:hint="default" w:eastAsia="宋体"/>
                <w:b/>
                <w:bCs/>
                <w:snapToGrid w:val="0"/>
                <w:kern w:val="2"/>
                <w:sz w:val="21"/>
                <w:szCs w:val="21"/>
                <w:lang w:val="en-US" w:eastAsia="zh-CN"/>
              </w:rPr>
            </w:pPr>
            <w:r>
              <w:rPr>
                <w:rFonts w:hint="eastAsia"/>
                <w:b/>
                <w:bCs/>
                <w:snapToGrid w:val="0"/>
                <w:kern w:val="2"/>
                <w:sz w:val="21"/>
                <w:szCs w:val="21"/>
                <w:lang w:val="en-US" w:eastAsia="zh-CN"/>
              </w:rPr>
              <w:t>5.5m</w:t>
            </w:r>
            <w:r>
              <w:rPr>
                <w:rFonts w:hint="eastAsia"/>
                <w:b/>
                <w:bCs/>
                <w:snapToGrid w:val="0"/>
                <w:kern w:val="2"/>
                <w:sz w:val="21"/>
                <w:szCs w:val="21"/>
                <w:lang w:eastAsia="zh-CN"/>
              </w:rPr>
              <w:t>（</w:t>
            </w:r>
            <w:r>
              <w:rPr>
                <w:rFonts w:hint="eastAsia"/>
                <w:b/>
                <w:bCs/>
                <w:snapToGrid w:val="0"/>
                <w:kern w:val="2"/>
                <w:sz w:val="21"/>
                <w:szCs w:val="21"/>
              </w:rPr>
              <w:t>0.75倍杆（塔）高，且不应小于5m</w:t>
            </w:r>
            <w:r>
              <w:rPr>
                <w:rFonts w:hint="eastAsia"/>
                <w:b/>
                <w:bCs/>
                <w:snapToGrid w:val="0"/>
                <w:kern w:val="2"/>
                <w:sz w:val="21"/>
                <w:szCs w:val="21"/>
                <w:lang w:eastAsia="zh-CN"/>
              </w:rPr>
              <w:t>）</w:t>
            </w:r>
          </w:p>
        </w:tc>
        <w:tc>
          <w:tcPr>
            <w:tcW w:w="832" w:type="dxa"/>
            <w:noWrap w:val="0"/>
            <w:vAlign w:val="center"/>
          </w:tcPr>
          <w:p>
            <w:pPr>
              <w:keepNext w:val="0"/>
              <w:keepLines w:val="0"/>
              <w:suppressLineNumbers w:val="0"/>
              <w:spacing w:before="0" w:beforeAutospacing="0" w:after="0" w:afterAutospacing="0" w:line="300" w:lineRule="exact"/>
              <w:ind w:left="0" w:right="0"/>
              <w:jc w:val="center"/>
              <w:rPr>
                <w:rFonts w:hint="eastAsia"/>
                <w:kern w:val="2"/>
                <w:sz w:val="21"/>
                <w:szCs w:val="21"/>
              </w:rPr>
            </w:pPr>
            <w:r>
              <w:rPr>
                <w:rFonts w:hint="eastAsia"/>
                <w:kern w:val="2"/>
                <w:sz w:val="21"/>
                <w:szCs w:val="21"/>
              </w:rPr>
              <w:t>86.29</w:t>
            </w:r>
          </w:p>
        </w:tc>
        <w:tc>
          <w:tcPr>
            <w:tcW w:w="663" w:type="dxa"/>
            <w:noWrap w:val="0"/>
            <w:vAlign w:val="center"/>
          </w:tcPr>
          <w:p>
            <w:pPr>
              <w:keepNext w:val="0"/>
              <w:keepLines w:val="0"/>
              <w:suppressLineNumbers w:val="0"/>
              <w:spacing w:before="0" w:beforeAutospacing="0" w:after="0" w:afterAutospacing="0" w:line="300" w:lineRule="exact"/>
              <w:ind w:left="0" w:right="0"/>
              <w:jc w:val="center"/>
              <w:rPr>
                <w:rFonts w:hint="default"/>
                <w:b/>
                <w:bCs/>
                <w:kern w:val="2"/>
                <w:sz w:val="21"/>
                <w:szCs w:val="21"/>
              </w:rPr>
            </w:pPr>
            <w:r>
              <w:rPr>
                <w:rFonts w:hint="eastAsia"/>
                <w:b/>
                <w:bCs/>
                <w:snapToGrid w:val="0"/>
                <w:kern w:val="2"/>
                <w:sz w:val="21"/>
                <w:szCs w:val="21"/>
              </w:rPr>
              <w:t>5</w:t>
            </w:r>
          </w:p>
        </w:tc>
        <w:tc>
          <w:tcPr>
            <w:tcW w:w="835" w:type="dxa"/>
            <w:noWrap w:val="0"/>
            <w:vAlign w:val="center"/>
          </w:tcPr>
          <w:p>
            <w:pPr>
              <w:keepNext w:val="0"/>
              <w:keepLines w:val="0"/>
              <w:suppressLineNumbers w:val="0"/>
              <w:spacing w:before="0" w:beforeAutospacing="0" w:after="0" w:afterAutospacing="0" w:line="300" w:lineRule="exact"/>
              <w:ind w:left="0" w:right="0"/>
              <w:jc w:val="center"/>
              <w:rPr>
                <w:rFonts w:hint="eastAsia"/>
                <w:kern w:val="2"/>
                <w:sz w:val="21"/>
                <w:szCs w:val="21"/>
              </w:rPr>
            </w:pPr>
            <w:r>
              <w:rPr>
                <w:rFonts w:hint="eastAsia"/>
                <w:kern w:val="2"/>
                <w:sz w:val="21"/>
                <w:szCs w:val="21"/>
              </w:rPr>
              <w:t>91.09</w:t>
            </w:r>
          </w:p>
        </w:tc>
        <w:tc>
          <w:tcPr>
            <w:tcW w:w="834" w:type="dxa"/>
            <w:noWrap w:val="0"/>
            <w:vAlign w:val="center"/>
          </w:tcPr>
          <w:p>
            <w:pPr>
              <w:keepNext w:val="0"/>
              <w:keepLines w:val="0"/>
              <w:suppressLineNumbers w:val="0"/>
              <w:spacing w:before="0" w:beforeAutospacing="0" w:after="0" w:afterAutospacing="0" w:line="300" w:lineRule="exact"/>
              <w:ind w:left="0" w:right="0"/>
              <w:jc w:val="center"/>
              <w:rPr>
                <w:rFonts w:hint="default"/>
                <w:b/>
                <w:bCs/>
                <w:kern w:val="2"/>
                <w:sz w:val="21"/>
                <w:szCs w:val="21"/>
              </w:rPr>
            </w:pPr>
            <w:r>
              <w:rPr>
                <w:rFonts w:hint="eastAsia"/>
                <w:b/>
                <w:bCs/>
                <w:snapToGrid w:val="0"/>
                <w:kern w:val="2"/>
                <w:sz w:val="21"/>
                <w:szCs w:val="21"/>
              </w:rPr>
              <w:t>5</w:t>
            </w:r>
          </w:p>
        </w:tc>
        <w:tc>
          <w:tcPr>
            <w:tcW w:w="787" w:type="dxa"/>
            <w:noWrap w:val="0"/>
            <w:vAlign w:val="center"/>
          </w:tcPr>
          <w:p>
            <w:pPr>
              <w:keepNext w:val="0"/>
              <w:keepLines w:val="0"/>
              <w:suppressLineNumbers w:val="0"/>
              <w:spacing w:before="0" w:beforeAutospacing="0" w:after="0" w:afterAutospacing="0" w:line="300" w:lineRule="exact"/>
              <w:ind w:left="0" w:right="0"/>
              <w:jc w:val="center"/>
              <w:rPr>
                <w:rFonts w:hint="eastAsia"/>
                <w:kern w:val="2"/>
                <w:sz w:val="21"/>
                <w:szCs w:val="21"/>
              </w:rPr>
            </w:pPr>
            <w:r>
              <w:rPr>
                <w:rFonts w:hint="eastAsia"/>
                <w:kern w:val="2"/>
                <w:sz w:val="21"/>
                <w:szCs w:val="21"/>
              </w:rPr>
              <w:t>42.37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2" w:hRule="atLeast"/>
          <w:jc w:val="center"/>
        </w:trPr>
        <w:tc>
          <w:tcPr>
            <w:tcW w:w="940" w:type="dxa"/>
            <w:gridSpan w:val="2"/>
            <w:vMerge w:val="continue"/>
            <w:noWrap w:val="0"/>
            <w:vAlign w:val="center"/>
          </w:tcPr>
          <w:p>
            <w:pPr>
              <w:keepNext w:val="0"/>
              <w:keepLines w:val="0"/>
              <w:suppressLineNumbers w:val="0"/>
              <w:spacing w:before="0" w:beforeAutospacing="0" w:after="0" w:afterAutospacing="0" w:line="300" w:lineRule="exact"/>
              <w:ind w:left="0" w:right="0"/>
              <w:jc w:val="center"/>
              <w:rPr>
                <w:rFonts w:hint="eastAsia" w:ascii="宋体" w:hAnsi="宋体"/>
                <w:kern w:val="2"/>
                <w:sz w:val="21"/>
                <w:szCs w:val="21"/>
              </w:rPr>
            </w:pPr>
          </w:p>
        </w:tc>
        <w:tc>
          <w:tcPr>
            <w:tcW w:w="2560" w:type="dxa"/>
            <w:gridSpan w:val="3"/>
            <w:noWrap w:val="0"/>
            <w:vAlign w:val="center"/>
          </w:tcPr>
          <w:p>
            <w:pPr>
              <w:keepNext w:val="0"/>
              <w:keepLines w:val="0"/>
              <w:suppressLineNumbers w:val="0"/>
              <w:spacing w:before="0" w:beforeAutospacing="0" w:after="0" w:afterAutospacing="0" w:line="300" w:lineRule="exact"/>
              <w:ind w:left="0" w:right="0"/>
              <w:jc w:val="center"/>
              <w:rPr>
                <w:rFonts w:hint="eastAsia" w:ascii="宋体" w:hAnsi="宋体"/>
                <w:kern w:val="2"/>
                <w:sz w:val="21"/>
                <w:szCs w:val="21"/>
              </w:rPr>
            </w:pPr>
            <w:r>
              <w:rPr>
                <w:rFonts w:hint="eastAsia" w:ascii="宋体" w:hAnsi="宋体"/>
                <w:kern w:val="2"/>
                <w:sz w:val="21"/>
                <w:szCs w:val="21"/>
              </w:rPr>
              <w:t>东南面杆高13</w:t>
            </w:r>
            <w:r>
              <w:rPr>
                <w:rFonts w:hint="default" w:ascii="宋体" w:hAnsi="宋体"/>
                <w:kern w:val="2"/>
                <w:sz w:val="21"/>
                <w:szCs w:val="21"/>
              </w:rPr>
              <w:t>.</w:t>
            </w:r>
            <w:r>
              <w:rPr>
                <w:rFonts w:hint="eastAsia" w:ascii="宋体" w:hAnsi="宋体"/>
                <w:kern w:val="2"/>
                <w:sz w:val="21"/>
                <w:szCs w:val="21"/>
              </w:rPr>
              <w:t>3</w:t>
            </w:r>
            <w:r>
              <w:rPr>
                <w:rFonts w:hint="default" w:ascii="宋体" w:hAnsi="宋体"/>
                <w:kern w:val="2"/>
                <w:sz w:val="21"/>
                <w:szCs w:val="21"/>
              </w:rPr>
              <w:t>m</w:t>
            </w:r>
            <w:r>
              <w:rPr>
                <w:rFonts w:hint="eastAsia" w:hAnsi="宋体"/>
                <w:kern w:val="2"/>
                <w:sz w:val="21"/>
                <w:szCs w:val="21"/>
              </w:rPr>
              <w:t>有绝缘层</w:t>
            </w:r>
          </w:p>
        </w:tc>
        <w:tc>
          <w:tcPr>
            <w:tcW w:w="1905" w:type="dxa"/>
            <w:noWrap w:val="0"/>
            <w:vAlign w:val="center"/>
          </w:tcPr>
          <w:p>
            <w:pPr>
              <w:keepNext w:val="0"/>
              <w:keepLines w:val="0"/>
              <w:suppressLineNumbers w:val="0"/>
              <w:adjustRightInd w:val="0"/>
              <w:spacing w:before="0" w:beforeAutospacing="0" w:after="0" w:afterAutospacing="0" w:line="300" w:lineRule="exact"/>
              <w:ind w:left="0" w:right="0"/>
              <w:jc w:val="center"/>
              <w:rPr>
                <w:rFonts w:hint="default" w:eastAsia="宋体"/>
                <w:b/>
                <w:bCs/>
                <w:snapToGrid w:val="0"/>
                <w:kern w:val="2"/>
                <w:sz w:val="21"/>
                <w:szCs w:val="21"/>
                <w:lang w:val="en-US" w:eastAsia="zh-CN"/>
              </w:rPr>
            </w:pPr>
            <w:r>
              <w:rPr>
                <w:rFonts w:hint="eastAsia"/>
                <w:b/>
                <w:bCs/>
                <w:snapToGrid w:val="0"/>
                <w:kern w:val="2"/>
                <w:sz w:val="21"/>
                <w:szCs w:val="21"/>
                <w:lang w:val="en-US" w:eastAsia="zh-CN"/>
              </w:rPr>
              <w:t>10m</w:t>
            </w:r>
            <w:r>
              <w:rPr>
                <w:rFonts w:hint="eastAsia"/>
                <w:b/>
                <w:bCs/>
                <w:snapToGrid w:val="0"/>
                <w:kern w:val="2"/>
                <w:sz w:val="21"/>
                <w:szCs w:val="21"/>
                <w:lang w:eastAsia="zh-CN"/>
              </w:rPr>
              <w:t>（</w:t>
            </w:r>
            <w:r>
              <w:rPr>
                <w:rFonts w:hint="eastAsia"/>
                <w:b/>
                <w:bCs/>
                <w:snapToGrid w:val="0"/>
                <w:kern w:val="2"/>
                <w:sz w:val="21"/>
                <w:szCs w:val="21"/>
              </w:rPr>
              <w:t>0.75倍杆（塔）高，且不应小于5m</w:t>
            </w:r>
            <w:r>
              <w:rPr>
                <w:rFonts w:hint="eastAsia"/>
                <w:b/>
                <w:bCs/>
                <w:snapToGrid w:val="0"/>
                <w:kern w:val="2"/>
                <w:sz w:val="21"/>
                <w:szCs w:val="21"/>
                <w:lang w:eastAsia="zh-CN"/>
              </w:rPr>
              <w:t>）</w:t>
            </w:r>
          </w:p>
        </w:tc>
        <w:tc>
          <w:tcPr>
            <w:tcW w:w="832" w:type="dxa"/>
            <w:noWrap w:val="0"/>
            <w:vAlign w:val="center"/>
          </w:tcPr>
          <w:p>
            <w:pPr>
              <w:keepNext w:val="0"/>
              <w:keepLines w:val="0"/>
              <w:suppressLineNumbers w:val="0"/>
              <w:spacing w:before="0" w:beforeAutospacing="0" w:after="0" w:afterAutospacing="0" w:line="300" w:lineRule="exact"/>
              <w:ind w:left="0" w:right="0"/>
              <w:jc w:val="center"/>
              <w:rPr>
                <w:rFonts w:hint="eastAsia"/>
                <w:kern w:val="2"/>
                <w:sz w:val="21"/>
                <w:szCs w:val="21"/>
              </w:rPr>
            </w:pPr>
            <w:r>
              <w:rPr>
                <w:rFonts w:hint="eastAsia"/>
                <w:kern w:val="2"/>
                <w:sz w:val="21"/>
                <w:szCs w:val="21"/>
              </w:rPr>
              <w:t>85.35</w:t>
            </w:r>
          </w:p>
        </w:tc>
        <w:tc>
          <w:tcPr>
            <w:tcW w:w="663" w:type="dxa"/>
            <w:noWrap w:val="0"/>
            <w:vAlign w:val="center"/>
          </w:tcPr>
          <w:p>
            <w:pPr>
              <w:keepNext w:val="0"/>
              <w:keepLines w:val="0"/>
              <w:suppressLineNumbers w:val="0"/>
              <w:spacing w:before="0" w:beforeAutospacing="0" w:after="0" w:afterAutospacing="0" w:line="300" w:lineRule="exact"/>
              <w:ind w:left="0" w:right="0"/>
              <w:jc w:val="center"/>
              <w:rPr>
                <w:rFonts w:hint="default"/>
                <w:b/>
                <w:bCs/>
                <w:kern w:val="2"/>
                <w:sz w:val="21"/>
                <w:szCs w:val="21"/>
              </w:rPr>
            </w:pPr>
            <w:r>
              <w:rPr>
                <w:rFonts w:hint="eastAsia"/>
                <w:b/>
                <w:bCs/>
                <w:snapToGrid w:val="0"/>
                <w:kern w:val="2"/>
                <w:sz w:val="21"/>
                <w:szCs w:val="21"/>
              </w:rPr>
              <w:t>5</w:t>
            </w:r>
          </w:p>
        </w:tc>
        <w:tc>
          <w:tcPr>
            <w:tcW w:w="835" w:type="dxa"/>
            <w:noWrap w:val="0"/>
            <w:vAlign w:val="center"/>
          </w:tcPr>
          <w:p>
            <w:pPr>
              <w:keepNext w:val="0"/>
              <w:keepLines w:val="0"/>
              <w:suppressLineNumbers w:val="0"/>
              <w:spacing w:before="0" w:beforeAutospacing="0" w:after="0" w:afterAutospacing="0" w:line="300" w:lineRule="exact"/>
              <w:ind w:left="0" w:right="0"/>
              <w:jc w:val="center"/>
              <w:rPr>
                <w:rFonts w:hint="eastAsia"/>
                <w:kern w:val="2"/>
                <w:sz w:val="21"/>
                <w:szCs w:val="21"/>
              </w:rPr>
            </w:pPr>
            <w:r>
              <w:rPr>
                <w:rFonts w:hint="eastAsia"/>
                <w:kern w:val="2"/>
                <w:sz w:val="21"/>
                <w:szCs w:val="21"/>
              </w:rPr>
              <w:t>90.24</w:t>
            </w:r>
          </w:p>
        </w:tc>
        <w:tc>
          <w:tcPr>
            <w:tcW w:w="834" w:type="dxa"/>
            <w:noWrap w:val="0"/>
            <w:vAlign w:val="center"/>
          </w:tcPr>
          <w:p>
            <w:pPr>
              <w:keepNext w:val="0"/>
              <w:keepLines w:val="0"/>
              <w:suppressLineNumbers w:val="0"/>
              <w:spacing w:before="0" w:beforeAutospacing="0" w:after="0" w:afterAutospacing="0" w:line="300" w:lineRule="exact"/>
              <w:ind w:left="0" w:right="0"/>
              <w:jc w:val="center"/>
              <w:rPr>
                <w:rFonts w:hint="default"/>
                <w:b/>
                <w:bCs/>
                <w:kern w:val="2"/>
                <w:sz w:val="21"/>
                <w:szCs w:val="21"/>
              </w:rPr>
            </w:pPr>
            <w:r>
              <w:rPr>
                <w:rFonts w:hint="eastAsia"/>
                <w:b/>
                <w:bCs/>
                <w:snapToGrid w:val="0"/>
                <w:kern w:val="2"/>
                <w:sz w:val="21"/>
                <w:szCs w:val="21"/>
              </w:rPr>
              <w:t>5</w:t>
            </w:r>
          </w:p>
        </w:tc>
        <w:tc>
          <w:tcPr>
            <w:tcW w:w="787" w:type="dxa"/>
            <w:noWrap w:val="0"/>
            <w:vAlign w:val="center"/>
          </w:tcPr>
          <w:p>
            <w:pPr>
              <w:keepNext w:val="0"/>
              <w:keepLines w:val="0"/>
              <w:suppressLineNumbers w:val="0"/>
              <w:spacing w:before="0" w:beforeAutospacing="0" w:after="0" w:afterAutospacing="0" w:line="300" w:lineRule="exact"/>
              <w:ind w:left="0" w:right="0"/>
              <w:jc w:val="center"/>
              <w:rPr>
                <w:rFonts w:hint="eastAsia"/>
                <w:kern w:val="2"/>
                <w:sz w:val="21"/>
                <w:szCs w:val="21"/>
              </w:rPr>
            </w:pPr>
            <w:r>
              <w:rPr>
                <w:rFonts w:hint="eastAsia"/>
                <w:kern w:val="2"/>
                <w:sz w:val="21"/>
                <w:szCs w:val="21"/>
              </w:rPr>
              <w:t>52.87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2" w:hRule="atLeast"/>
          <w:jc w:val="center"/>
        </w:trPr>
        <w:tc>
          <w:tcPr>
            <w:tcW w:w="940" w:type="dxa"/>
            <w:gridSpan w:val="2"/>
            <w:vMerge w:val="continue"/>
            <w:noWrap w:val="0"/>
            <w:vAlign w:val="center"/>
          </w:tcPr>
          <w:p>
            <w:pPr>
              <w:keepNext w:val="0"/>
              <w:keepLines w:val="0"/>
              <w:suppressLineNumbers w:val="0"/>
              <w:spacing w:before="0" w:beforeAutospacing="0" w:after="0" w:afterAutospacing="0" w:line="300" w:lineRule="exact"/>
              <w:ind w:left="0" w:right="0"/>
              <w:jc w:val="center"/>
              <w:rPr>
                <w:rFonts w:hint="eastAsia" w:ascii="宋体" w:hAnsi="宋体"/>
                <w:kern w:val="2"/>
                <w:sz w:val="21"/>
                <w:szCs w:val="21"/>
              </w:rPr>
            </w:pPr>
          </w:p>
        </w:tc>
        <w:tc>
          <w:tcPr>
            <w:tcW w:w="2560" w:type="dxa"/>
            <w:gridSpan w:val="3"/>
            <w:noWrap w:val="0"/>
            <w:vAlign w:val="center"/>
          </w:tcPr>
          <w:p>
            <w:pPr>
              <w:keepNext w:val="0"/>
              <w:keepLines w:val="0"/>
              <w:suppressLineNumbers w:val="0"/>
              <w:spacing w:before="0" w:beforeAutospacing="0" w:after="0" w:afterAutospacing="0" w:line="300" w:lineRule="exact"/>
              <w:ind w:left="0" w:right="0"/>
              <w:jc w:val="center"/>
              <w:rPr>
                <w:rFonts w:hint="eastAsia" w:ascii="宋体" w:hAnsi="宋体"/>
                <w:kern w:val="2"/>
                <w:sz w:val="21"/>
                <w:szCs w:val="21"/>
              </w:rPr>
            </w:pPr>
            <w:r>
              <w:rPr>
                <w:rFonts w:hint="eastAsia" w:ascii="宋体" w:hAnsi="宋体"/>
                <w:kern w:val="2"/>
                <w:sz w:val="21"/>
                <w:szCs w:val="21"/>
              </w:rPr>
              <w:t>东南面杆高</w:t>
            </w:r>
            <w:r>
              <w:rPr>
                <w:rFonts w:hint="default" w:ascii="宋体" w:hAnsi="宋体"/>
                <w:kern w:val="2"/>
                <w:sz w:val="21"/>
                <w:szCs w:val="21"/>
              </w:rPr>
              <w:t>7.</w:t>
            </w:r>
            <w:r>
              <w:rPr>
                <w:rFonts w:hint="eastAsia" w:ascii="宋体" w:hAnsi="宋体"/>
                <w:kern w:val="2"/>
                <w:sz w:val="21"/>
                <w:szCs w:val="21"/>
              </w:rPr>
              <w:t>3</w:t>
            </w:r>
            <w:r>
              <w:rPr>
                <w:rFonts w:hint="eastAsia" w:ascii="宋体" w:hAnsi="宋体"/>
                <w:kern w:val="2"/>
                <w:sz w:val="21"/>
                <w:szCs w:val="21"/>
                <w:lang w:val="en-US" w:eastAsia="zh-CN"/>
              </w:rPr>
              <w:t>5</w:t>
            </w:r>
            <w:r>
              <w:rPr>
                <w:rFonts w:hint="default" w:ascii="宋体" w:hAnsi="宋体"/>
                <w:kern w:val="2"/>
                <w:sz w:val="21"/>
                <w:szCs w:val="21"/>
              </w:rPr>
              <w:t>m</w:t>
            </w:r>
            <w:r>
              <w:rPr>
                <w:rFonts w:hint="eastAsia" w:hAnsi="宋体"/>
                <w:kern w:val="2"/>
                <w:sz w:val="21"/>
                <w:szCs w:val="21"/>
              </w:rPr>
              <w:t>有绝缘层</w:t>
            </w:r>
          </w:p>
        </w:tc>
        <w:tc>
          <w:tcPr>
            <w:tcW w:w="1905" w:type="dxa"/>
            <w:noWrap w:val="0"/>
            <w:vAlign w:val="center"/>
          </w:tcPr>
          <w:p>
            <w:pPr>
              <w:keepNext w:val="0"/>
              <w:keepLines w:val="0"/>
              <w:suppressLineNumbers w:val="0"/>
              <w:adjustRightInd w:val="0"/>
              <w:spacing w:before="0" w:beforeAutospacing="0" w:after="0" w:afterAutospacing="0" w:line="300" w:lineRule="exact"/>
              <w:ind w:left="0" w:right="0"/>
              <w:jc w:val="center"/>
              <w:rPr>
                <w:rFonts w:hint="default" w:eastAsia="宋体"/>
                <w:b/>
                <w:bCs/>
                <w:snapToGrid w:val="0"/>
                <w:kern w:val="2"/>
                <w:sz w:val="21"/>
                <w:szCs w:val="21"/>
                <w:lang w:val="en-US" w:eastAsia="zh-CN"/>
              </w:rPr>
            </w:pPr>
            <w:r>
              <w:rPr>
                <w:rFonts w:hint="eastAsia"/>
                <w:b/>
                <w:bCs/>
                <w:snapToGrid w:val="0"/>
                <w:kern w:val="2"/>
                <w:sz w:val="21"/>
                <w:szCs w:val="21"/>
                <w:lang w:val="en-US" w:eastAsia="zh-CN"/>
              </w:rPr>
              <w:t>5.5m</w:t>
            </w:r>
            <w:r>
              <w:rPr>
                <w:rFonts w:hint="eastAsia"/>
                <w:b/>
                <w:bCs/>
                <w:snapToGrid w:val="0"/>
                <w:kern w:val="2"/>
                <w:sz w:val="21"/>
                <w:szCs w:val="21"/>
                <w:lang w:eastAsia="zh-CN"/>
              </w:rPr>
              <w:t>（</w:t>
            </w:r>
            <w:r>
              <w:rPr>
                <w:rFonts w:hint="eastAsia"/>
                <w:b/>
                <w:bCs/>
                <w:snapToGrid w:val="0"/>
                <w:kern w:val="2"/>
                <w:sz w:val="21"/>
                <w:szCs w:val="21"/>
              </w:rPr>
              <w:t>0.75倍杆（塔）高，且不应小于5m</w:t>
            </w:r>
            <w:r>
              <w:rPr>
                <w:rFonts w:hint="eastAsia"/>
                <w:b/>
                <w:bCs/>
                <w:snapToGrid w:val="0"/>
                <w:kern w:val="2"/>
                <w:sz w:val="21"/>
                <w:szCs w:val="21"/>
                <w:lang w:eastAsia="zh-CN"/>
              </w:rPr>
              <w:t>）</w:t>
            </w:r>
          </w:p>
        </w:tc>
        <w:tc>
          <w:tcPr>
            <w:tcW w:w="832" w:type="dxa"/>
            <w:noWrap w:val="0"/>
            <w:vAlign w:val="center"/>
          </w:tcPr>
          <w:p>
            <w:pPr>
              <w:keepNext w:val="0"/>
              <w:keepLines w:val="0"/>
              <w:suppressLineNumbers w:val="0"/>
              <w:spacing w:before="0" w:beforeAutospacing="0" w:after="0" w:afterAutospacing="0" w:line="300" w:lineRule="exact"/>
              <w:ind w:left="0" w:right="0"/>
              <w:jc w:val="center"/>
              <w:rPr>
                <w:rFonts w:hint="eastAsia"/>
                <w:kern w:val="2"/>
                <w:sz w:val="21"/>
                <w:szCs w:val="21"/>
              </w:rPr>
            </w:pPr>
            <w:r>
              <w:rPr>
                <w:rFonts w:hint="eastAsia"/>
                <w:kern w:val="2"/>
                <w:sz w:val="21"/>
                <w:szCs w:val="21"/>
              </w:rPr>
              <w:t>53.92</w:t>
            </w:r>
          </w:p>
        </w:tc>
        <w:tc>
          <w:tcPr>
            <w:tcW w:w="663" w:type="dxa"/>
            <w:noWrap w:val="0"/>
            <w:vAlign w:val="center"/>
          </w:tcPr>
          <w:p>
            <w:pPr>
              <w:keepNext w:val="0"/>
              <w:keepLines w:val="0"/>
              <w:suppressLineNumbers w:val="0"/>
              <w:spacing w:before="0" w:beforeAutospacing="0" w:after="0" w:afterAutospacing="0" w:line="300" w:lineRule="exact"/>
              <w:ind w:left="0" w:right="0"/>
              <w:jc w:val="center"/>
              <w:rPr>
                <w:rFonts w:hint="default"/>
                <w:b/>
                <w:bCs/>
                <w:kern w:val="2"/>
                <w:sz w:val="21"/>
                <w:szCs w:val="21"/>
              </w:rPr>
            </w:pPr>
            <w:r>
              <w:rPr>
                <w:rFonts w:hint="eastAsia"/>
                <w:b/>
                <w:bCs/>
                <w:snapToGrid w:val="0"/>
                <w:kern w:val="2"/>
                <w:sz w:val="21"/>
                <w:szCs w:val="21"/>
              </w:rPr>
              <w:t>5</w:t>
            </w:r>
          </w:p>
        </w:tc>
        <w:tc>
          <w:tcPr>
            <w:tcW w:w="835" w:type="dxa"/>
            <w:noWrap w:val="0"/>
            <w:vAlign w:val="center"/>
          </w:tcPr>
          <w:p>
            <w:pPr>
              <w:keepNext w:val="0"/>
              <w:keepLines w:val="0"/>
              <w:suppressLineNumbers w:val="0"/>
              <w:spacing w:before="0" w:beforeAutospacing="0" w:after="0" w:afterAutospacing="0" w:line="300" w:lineRule="exact"/>
              <w:ind w:left="0" w:right="0"/>
              <w:jc w:val="center"/>
              <w:rPr>
                <w:rFonts w:hint="eastAsia"/>
                <w:kern w:val="2"/>
                <w:sz w:val="21"/>
                <w:szCs w:val="21"/>
              </w:rPr>
            </w:pPr>
            <w:r>
              <w:rPr>
                <w:rFonts w:hint="eastAsia"/>
                <w:kern w:val="2"/>
                <w:sz w:val="21"/>
                <w:szCs w:val="21"/>
              </w:rPr>
              <w:t>59.17</w:t>
            </w:r>
          </w:p>
        </w:tc>
        <w:tc>
          <w:tcPr>
            <w:tcW w:w="834" w:type="dxa"/>
            <w:noWrap w:val="0"/>
            <w:vAlign w:val="center"/>
          </w:tcPr>
          <w:p>
            <w:pPr>
              <w:keepNext w:val="0"/>
              <w:keepLines w:val="0"/>
              <w:suppressLineNumbers w:val="0"/>
              <w:spacing w:before="0" w:beforeAutospacing="0" w:after="0" w:afterAutospacing="0" w:line="300" w:lineRule="exact"/>
              <w:ind w:left="0" w:right="0"/>
              <w:jc w:val="center"/>
              <w:rPr>
                <w:rFonts w:hint="default"/>
                <w:b/>
                <w:bCs/>
                <w:kern w:val="2"/>
                <w:sz w:val="21"/>
                <w:szCs w:val="21"/>
              </w:rPr>
            </w:pPr>
            <w:r>
              <w:rPr>
                <w:rFonts w:hint="eastAsia"/>
                <w:b/>
                <w:bCs/>
                <w:snapToGrid w:val="0"/>
                <w:kern w:val="2"/>
                <w:sz w:val="21"/>
                <w:szCs w:val="21"/>
              </w:rPr>
              <w:t>5</w:t>
            </w:r>
          </w:p>
        </w:tc>
        <w:tc>
          <w:tcPr>
            <w:tcW w:w="787" w:type="dxa"/>
            <w:noWrap w:val="0"/>
            <w:vAlign w:val="center"/>
          </w:tcPr>
          <w:p>
            <w:pPr>
              <w:keepNext w:val="0"/>
              <w:keepLines w:val="0"/>
              <w:suppressLineNumbers w:val="0"/>
              <w:spacing w:before="0" w:beforeAutospacing="0" w:after="0" w:afterAutospacing="0" w:line="300" w:lineRule="exact"/>
              <w:ind w:left="0" w:right="0"/>
              <w:jc w:val="center"/>
              <w:rPr>
                <w:rFonts w:hint="eastAsia"/>
                <w:kern w:val="2"/>
                <w:sz w:val="21"/>
                <w:szCs w:val="21"/>
              </w:rPr>
            </w:pPr>
            <w:r>
              <w:rPr>
                <w:rFonts w:hint="eastAsia"/>
                <w:kern w:val="2"/>
                <w:sz w:val="21"/>
                <w:szCs w:val="21"/>
              </w:rPr>
              <w:t>46.16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2" w:hRule="atLeast"/>
          <w:jc w:val="center"/>
        </w:trPr>
        <w:tc>
          <w:tcPr>
            <w:tcW w:w="2622" w:type="dxa"/>
            <w:gridSpan w:val="4"/>
            <w:vMerge w:val="restart"/>
            <w:noWrap w:val="0"/>
            <w:vAlign w:val="center"/>
          </w:tcPr>
          <w:p>
            <w:pPr>
              <w:keepNext w:val="0"/>
              <w:keepLines w:val="0"/>
              <w:suppressLineNumbers w:val="0"/>
              <w:spacing w:before="0" w:beforeAutospacing="0" w:after="0" w:afterAutospacing="0" w:line="300" w:lineRule="exact"/>
              <w:ind w:left="0" w:right="0"/>
              <w:jc w:val="center"/>
              <w:rPr>
                <w:rFonts w:hint="eastAsia" w:ascii="宋体" w:hAnsi="宋体" w:eastAsia="宋体"/>
                <w:kern w:val="2"/>
                <w:sz w:val="21"/>
                <w:szCs w:val="21"/>
                <w:lang w:eastAsia="zh-CN"/>
              </w:rPr>
            </w:pPr>
            <w:r>
              <w:rPr>
                <w:rFonts w:hint="eastAsia"/>
                <w:kern w:val="2"/>
                <w:sz w:val="21"/>
                <w:szCs w:val="21"/>
                <w:lang w:eastAsia="zh-CN"/>
              </w:rPr>
              <w:t>架空通信线</w:t>
            </w:r>
          </w:p>
        </w:tc>
        <w:tc>
          <w:tcPr>
            <w:tcW w:w="878" w:type="dxa"/>
            <w:noWrap w:val="0"/>
            <w:vAlign w:val="center"/>
          </w:tcPr>
          <w:p>
            <w:pPr>
              <w:keepNext w:val="0"/>
              <w:keepLines w:val="0"/>
              <w:suppressLineNumbers w:val="0"/>
              <w:spacing w:before="0" w:beforeAutospacing="0" w:after="0" w:afterAutospacing="0" w:line="300" w:lineRule="exact"/>
              <w:ind w:left="0" w:right="0"/>
              <w:jc w:val="center"/>
              <w:rPr>
                <w:rFonts w:hint="eastAsia" w:ascii="宋体" w:hAnsi="宋体" w:eastAsia="宋体"/>
                <w:kern w:val="2"/>
                <w:sz w:val="21"/>
                <w:szCs w:val="21"/>
                <w:lang w:eastAsia="zh-CN"/>
              </w:rPr>
            </w:pPr>
            <w:r>
              <w:rPr>
                <w:rFonts w:hint="eastAsia"/>
                <w:kern w:val="2"/>
                <w:sz w:val="21"/>
                <w:szCs w:val="21"/>
                <w:lang w:eastAsia="zh-CN"/>
              </w:rPr>
              <w:t>东南面</w:t>
            </w:r>
          </w:p>
        </w:tc>
        <w:tc>
          <w:tcPr>
            <w:tcW w:w="1905" w:type="dxa"/>
            <w:noWrap w:val="0"/>
            <w:vAlign w:val="center"/>
          </w:tcPr>
          <w:p>
            <w:pPr>
              <w:keepNext w:val="0"/>
              <w:keepLines w:val="0"/>
              <w:suppressLineNumbers w:val="0"/>
              <w:adjustRightInd w:val="0"/>
              <w:spacing w:before="0" w:beforeAutospacing="0" w:after="0" w:afterAutospacing="0" w:line="300" w:lineRule="exact"/>
              <w:ind w:left="0" w:right="0"/>
              <w:jc w:val="center"/>
              <w:rPr>
                <w:rFonts w:hint="eastAsia" w:eastAsia="宋体"/>
                <w:b/>
                <w:bCs/>
                <w:snapToGrid w:val="0"/>
                <w:kern w:val="2"/>
                <w:sz w:val="21"/>
                <w:szCs w:val="21"/>
                <w:lang w:val="en-US" w:eastAsia="zh-CN"/>
              </w:rPr>
            </w:pPr>
            <w:r>
              <w:rPr>
                <w:rFonts w:hint="eastAsia"/>
                <w:b/>
                <w:bCs/>
                <w:snapToGrid w:val="0"/>
                <w:kern w:val="2"/>
                <w:sz w:val="21"/>
                <w:szCs w:val="21"/>
                <w:lang w:val="en-US" w:eastAsia="zh-CN"/>
              </w:rPr>
              <w:t>5</w:t>
            </w:r>
          </w:p>
        </w:tc>
        <w:tc>
          <w:tcPr>
            <w:tcW w:w="832" w:type="dxa"/>
            <w:noWrap w:val="0"/>
            <w:vAlign w:val="center"/>
          </w:tcPr>
          <w:p>
            <w:pPr>
              <w:keepNext w:val="0"/>
              <w:keepLines w:val="0"/>
              <w:suppressLineNumbers w:val="0"/>
              <w:spacing w:before="0" w:beforeAutospacing="0" w:after="0" w:afterAutospacing="0" w:line="300" w:lineRule="exact"/>
              <w:ind w:left="0" w:right="0"/>
              <w:jc w:val="center"/>
              <w:rPr>
                <w:rFonts w:hint="default" w:eastAsia="宋体"/>
                <w:kern w:val="2"/>
                <w:sz w:val="21"/>
                <w:szCs w:val="21"/>
                <w:lang w:val="en-US" w:eastAsia="zh-CN"/>
              </w:rPr>
            </w:pPr>
            <w:r>
              <w:rPr>
                <w:rFonts w:hint="eastAsia"/>
                <w:kern w:val="2"/>
                <w:sz w:val="21"/>
                <w:szCs w:val="21"/>
                <w:lang w:val="en-US" w:eastAsia="zh-CN"/>
              </w:rPr>
              <w:t>58.8</w:t>
            </w:r>
          </w:p>
        </w:tc>
        <w:tc>
          <w:tcPr>
            <w:tcW w:w="663" w:type="dxa"/>
            <w:noWrap w:val="0"/>
            <w:vAlign w:val="center"/>
          </w:tcPr>
          <w:p>
            <w:pPr>
              <w:keepNext w:val="0"/>
              <w:keepLines w:val="0"/>
              <w:suppressLineNumbers w:val="0"/>
              <w:spacing w:before="0" w:beforeAutospacing="0" w:after="0" w:afterAutospacing="0" w:line="300" w:lineRule="exact"/>
              <w:ind w:left="0" w:right="0"/>
              <w:jc w:val="center"/>
              <w:rPr>
                <w:rFonts w:hint="eastAsia" w:eastAsia="宋体"/>
                <w:b/>
                <w:bCs/>
                <w:snapToGrid w:val="0"/>
                <w:kern w:val="2"/>
                <w:sz w:val="21"/>
                <w:szCs w:val="21"/>
                <w:lang w:val="en-US" w:eastAsia="zh-CN"/>
              </w:rPr>
            </w:pPr>
            <w:r>
              <w:rPr>
                <w:rFonts w:hint="eastAsia"/>
                <w:b/>
                <w:bCs/>
                <w:snapToGrid w:val="0"/>
                <w:kern w:val="2"/>
                <w:sz w:val="21"/>
                <w:szCs w:val="21"/>
                <w:lang w:val="en-US" w:eastAsia="zh-CN"/>
              </w:rPr>
              <w:t>5</w:t>
            </w:r>
          </w:p>
        </w:tc>
        <w:tc>
          <w:tcPr>
            <w:tcW w:w="835" w:type="dxa"/>
            <w:noWrap w:val="0"/>
            <w:vAlign w:val="center"/>
          </w:tcPr>
          <w:p>
            <w:pPr>
              <w:keepNext w:val="0"/>
              <w:keepLines w:val="0"/>
              <w:suppressLineNumbers w:val="0"/>
              <w:spacing w:before="0" w:beforeAutospacing="0" w:after="0" w:afterAutospacing="0" w:line="300" w:lineRule="exact"/>
              <w:ind w:left="0" w:right="0"/>
              <w:jc w:val="center"/>
              <w:rPr>
                <w:rFonts w:hint="default" w:eastAsia="宋体"/>
                <w:kern w:val="2"/>
                <w:sz w:val="21"/>
                <w:szCs w:val="21"/>
                <w:lang w:val="en-US" w:eastAsia="zh-CN"/>
              </w:rPr>
            </w:pPr>
            <w:r>
              <w:rPr>
                <w:rFonts w:hint="eastAsia"/>
                <w:kern w:val="2"/>
                <w:sz w:val="21"/>
                <w:szCs w:val="21"/>
                <w:lang w:val="en-US" w:eastAsia="zh-CN"/>
              </w:rPr>
              <w:t>60.2</w:t>
            </w:r>
          </w:p>
        </w:tc>
        <w:tc>
          <w:tcPr>
            <w:tcW w:w="834" w:type="dxa"/>
            <w:noWrap w:val="0"/>
            <w:vAlign w:val="center"/>
          </w:tcPr>
          <w:p>
            <w:pPr>
              <w:keepNext w:val="0"/>
              <w:keepLines w:val="0"/>
              <w:suppressLineNumbers w:val="0"/>
              <w:spacing w:before="0" w:beforeAutospacing="0" w:after="0" w:afterAutospacing="0" w:line="300" w:lineRule="exact"/>
              <w:ind w:left="0" w:right="0"/>
              <w:jc w:val="center"/>
              <w:rPr>
                <w:rFonts w:hint="eastAsia" w:eastAsia="宋体"/>
                <w:b/>
                <w:bCs/>
                <w:snapToGrid w:val="0"/>
                <w:kern w:val="2"/>
                <w:sz w:val="21"/>
                <w:szCs w:val="21"/>
                <w:lang w:val="en-US" w:eastAsia="zh-CN"/>
              </w:rPr>
            </w:pPr>
            <w:r>
              <w:rPr>
                <w:rFonts w:hint="eastAsia"/>
                <w:b/>
                <w:bCs/>
                <w:snapToGrid w:val="0"/>
                <w:kern w:val="2"/>
                <w:sz w:val="21"/>
                <w:szCs w:val="21"/>
                <w:lang w:val="en-US" w:eastAsia="zh-CN"/>
              </w:rPr>
              <w:t>5</w:t>
            </w:r>
          </w:p>
        </w:tc>
        <w:tc>
          <w:tcPr>
            <w:tcW w:w="787" w:type="dxa"/>
            <w:noWrap w:val="0"/>
            <w:vAlign w:val="center"/>
          </w:tcPr>
          <w:p>
            <w:pPr>
              <w:keepNext w:val="0"/>
              <w:keepLines w:val="0"/>
              <w:suppressLineNumbers w:val="0"/>
              <w:spacing w:before="0" w:beforeAutospacing="0" w:after="0" w:afterAutospacing="0" w:line="300" w:lineRule="exact"/>
              <w:ind w:left="0" w:right="0"/>
              <w:jc w:val="center"/>
              <w:rPr>
                <w:rFonts w:hint="default" w:eastAsia="宋体"/>
                <w:kern w:val="2"/>
                <w:sz w:val="21"/>
                <w:szCs w:val="21"/>
                <w:lang w:val="en-US" w:eastAsia="zh-CN"/>
              </w:rPr>
            </w:pPr>
            <w:r>
              <w:rPr>
                <w:rFonts w:hint="eastAsia"/>
                <w:kern w:val="2"/>
                <w:sz w:val="21"/>
                <w:szCs w:val="21"/>
                <w:lang w:val="en-US" w:eastAsia="zh-CN"/>
              </w:rPr>
              <w:t>44.1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2" w:hRule="atLeast"/>
          <w:jc w:val="center"/>
        </w:trPr>
        <w:tc>
          <w:tcPr>
            <w:tcW w:w="2622" w:type="dxa"/>
            <w:gridSpan w:val="4"/>
            <w:vMerge w:val="continue"/>
            <w:noWrap w:val="0"/>
            <w:vAlign w:val="center"/>
          </w:tcPr>
          <w:p>
            <w:pPr>
              <w:keepNext w:val="0"/>
              <w:keepLines w:val="0"/>
              <w:suppressLineNumbers w:val="0"/>
              <w:spacing w:before="0" w:beforeAutospacing="0" w:after="0" w:afterAutospacing="0" w:line="300" w:lineRule="exact"/>
              <w:ind w:left="0" w:right="0"/>
              <w:jc w:val="center"/>
              <w:rPr>
                <w:rFonts w:hint="eastAsia" w:ascii="宋体" w:hAnsi="宋体"/>
                <w:kern w:val="2"/>
                <w:sz w:val="21"/>
                <w:szCs w:val="21"/>
              </w:rPr>
            </w:pPr>
          </w:p>
        </w:tc>
        <w:tc>
          <w:tcPr>
            <w:tcW w:w="878" w:type="dxa"/>
            <w:noWrap w:val="0"/>
            <w:vAlign w:val="center"/>
          </w:tcPr>
          <w:p>
            <w:pPr>
              <w:keepNext w:val="0"/>
              <w:keepLines w:val="0"/>
              <w:suppressLineNumbers w:val="0"/>
              <w:spacing w:before="0" w:beforeAutospacing="0" w:after="0" w:afterAutospacing="0" w:line="300" w:lineRule="exact"/>
              <w:ind w:left="0" w:right="0"/>
              <w:jc w:val="center"/>
              <w:rPr>
                <w:rFonts w:hint="eastAsia" w:ascii="宋体" w:hAnsi="宋体" w:eastAsia="宋体"/>
                <w:kern w:val="2"/>
                <w:sz w:val="21"/>
                <w:szCs w:val="21"/>
                <w:lang w:eastAsia="zh-CN"/>
              </w:rPr>
            </w:pPr>
            <w:r>
              <w:rPr>
                <w:rFonts w:hint="eastAsia"/>
                <w:kern w:val="2"/>
                <w:sz w:val="21"/>
                <w:szCs w:val="21"/>
                <w:lang w:eastAsia="zh-CN"/>
              </w:rPr>
              <w:t>东面</w:t>
            </w:r>
          </w:p>
        </w:tc>
        <w:tc>
          <w:tcPr>
            <w:tcW w:w="1905" w:type="dxa"/>
            <w:noWrap w:val="0"/>
            <w:vAlign w:val="center"/>
          </w:tcPr>
          <w:p>
            <w:pPr>
              <w:keepNext w:val="0"/>
              <w:keepLines w:val="0"/>
              <w:suppressLineNumbers w:val="0"/>
              <w:adjustRightInd w:val="0"/>
              <w:spacing w:before="0" w:beforeAutospacing="0" w:after="0" w:afterAutospacing="0" w:line="300" w:lineRule="exact"/>
              <w:ind w:left="0" w:right="0"/>
              <w:jc w:val="center"/>
              <w:rPr>
                <w:rFonts w:hint="eastAsia" w:eastAsia="宋体"/>
                <w:b/>
                <w:bCs/>
                <w:snapToGrid w:val="0"/>
                <w:kern w:val="2"/>
                <w:sz w:val="21"/>
                <w:szCs w:val="21"/>
                <w:lang w:val="en-US" w:eastAsia="zh-CN"/>
              </w:rPr>
            </w:pPr>
            <w:r>
              <w:rPr>
                <w:rFonts w:hint="eastAsia"/>
                <w:b/>
                <w:bCs/>
                <w:snapToGrid w:val="0"/>
                <w:kern w:val="2"/>
                <w:sz w:val="21"/>
                <w:szCs w:val="21"/>
                <w:lang w:val="en-US" w:eastAsia="zh-CN"/>
              </w:rPr>
              <w:t>5</w:t>
            </w:r>
          </w:p>
        </w:tc>
        <w:tc>
          <w:tcPr>
            <w:tcW w:w="832" w:type="dxa"/>
            <w:noWrap w:val="0"/>
            <w:vAlign w:val="center"/>
          </w:tcPr>
          <w:p>
            <w:pPr>
              <w:keepNext w:val="0"/>
              <w:keepLines w:val="0"/>
              <w:suppressLineNumbers w:val="0"/>
              <w:spacing w:before="0" w:beforeAutospacing="0" w:after="0" w:afterAutospacing="0" w:line="300" w:lineRule="exact"/>
              <w:ind w:left="0" w:right="0"/>
              <w:jc w:val="center"/>
              <w:rPr>
                <w:rFonts w:hint="default" w:eastAsia="宋体"/>
                <w:kern w:val="2"/>
                <w:sz w:val="21"/>
                <w:szCs w:val="21"/>
                <w:lang w:val="en-US" w:eastAsia="zh-CN"/>
              </w:rPr>
            </w:pPr>
            <w:r>
              <w:rPr>
                <w:rFonts w:hint="eastAsia"/>
                <w:kern w:val="2"/>
                <w:sz w:val="21"/>
                <w:szCs w:val="21"/>
                <w:lang w:val="en-US" w:eastAsia="zh-CN"/>
              </w:rPr>
              <w:t>85.2</w:t>
            </w:r>
          </w:p>
        </w:tc>
        <w:tc>
          <w:tcPr>
            <w:tcW w:w="663" w:type="dxa"/>
            <w:noWrap w:val="0"/>
            <w:vAlign w:val="center"/>
          </w:tcPr>
          <w:p>
            <w:pPr>
              <w:keepNext w:val="0"/>
              <w:keepLines w:val="0"/>
              <w:suppressLineNumbers w:val="0"/>
              <w:spacing w:before="0" w:beforeAutospacing="0" w:after="0" w:afterAutospacing="0" w:line="300" w:lineRule="exact"/>
              <w:ind w:left="0" w:right="0"/>
              <w:jc w:val="center"/>
              <w:rPr>
                <w:rFonts w:hint="eastAsia" w:eastAsia="宋体"/>
                <w:b/>
                <w:bCs/>
                <w:snapToGrid w:val="0"/>
                <w:kern w:val="2"/>
                <w:sz w:val="21"/>
                <w:szCs w:val="21"/>
                <w:lang w:val="en-US" w:eastAsia="zh-CN"/>
              </w:rPr>
            </w:pPr>
            <w:r>
              <w:rPr>
                <w:rFonts w:hint="eastAsia"/>
                <w:b/>
                <w:bCs/>
                <w:snapToGrid w:val="0"/>
                <w:kern w:val="2"/>
                <w:sz w:val="21"/>
                <w:szCs w:val="21"/>
                <w:lang w:val="en-US" w:eastAsia="zh-CN"/>
              </w:rPr>
              <w:t>5</w:t>
            </w:r>
          </w:p>
        </w:tc>
        <w:tc>
          <w:tcPr>
            <w:tcW w:w="835" w:type="dxa"/>
            <w:noWrap w:val="0"/>
            <w:vAlign w:val="center"/>
          </w:tcPr>
          <w:p>
            <w:pPr>
              <w:keepNext w:val="0"/>
              <w:keepLines w:val="0"/>
              <w:suppressLineNumbers w:val="0"/>
              <w:spacing w:before="0" w:beforeAutospacing="0" w:after="0" w:afterAutospacing="0" w:line="300" w:lineRule="exact"/>
              <w:ind w:left="0" w:right="0"/>
              <w:jc w:val="center"/>
              <w:rPr>
                <w:rFonts w:hint="default" w:eastAsia="宋体"/>
                <w:kern w:val="2"/>
                <w:sz w:val="21"/>
                <w:szCs w:val="21"/>
                <w:lang w:val="en-US" w:eastAsia="zh-CN"/>
              </w:rPr>
            </w:pPr>
            <w:r>
              <w:rPr>
                <w:rFonts w:hint="eastAsia"/>
                <w:kern w:val="2"/>
                <w:sz w:val="21"/>
                <w:szCs w:val="21"/>
                <w:lang w:val="en-US" w:eastAsia="zh-CN"/>
              </w:rPr>
              <w:t>89.7</w:t>
            </w:r>
          </w:p>
        </w:tc>
        <w:tc>
          <w:tcPr>
            <w:tcW w:w="834" w:type="dxa"/>
            <w:noWrap w:val="0"/>
            <w:vAlign w:val="center"/>
          </w:tcPr>
          <w:p>
            <w:pPr>
              <w:keepNext w:val="0"/>
              <w:keepLines w:val="0"/>
              <w:suppressLineNumbers w:val="0"/>
              <w:spacing w:before="0" w:beforeAutospacing="0" w:after="0" w:afterAutospacing="0" w:line="300" w:lineRule="exact"/>
              <w:ind w:left="0" w:right="0"/>
              <w:jc w:val="center"/>
              <w:rPr>
                <w:rFonts w:hint="eastAsia" w:eastAsia="宋体"/>
                <w:b/>
                <w:bCs/>
                <w:snapToGrid w:val="0"/>
                <w:kern w:val="2"/>
                <w:sz w:val="21"/>
                <w:szCs w:val="21"/>
                <w:lang w:val="en-US" w:eastAsia="zh-CN"/>
              </w:rPr>
            </w:pPr>
            <w:r>
              <w:rPr>
                <w:rFonts w:hint="eastAsia"/>
                <w:b/>
                <w:bCs/>
                <w:snapToGrid w:val="0"/>
                <w:kern w:val="2"/>
                <w:sz w:val="21"/>
                <w:szCs w:val="21"/>
                <w:lang w:val="en-US" w:eastAsia="zh-CN"/>
              </w:rPr>
              <w:t>5</w:t>
            </w:r>
          </w:p>
        </w:tc>
        <w:tc>
          <w:tcPr>
            <w:tcW w:w="787" w:type="dxa"/>
            <w:noWrap w:val="0"/>
            <w:vAlign w:val="center"/>
          </w:tcPr>
          <w:p>
            <w:pPr>
              <w:keepNext w:val="0"/>
              <w:keepLines w:val="0"/>
              <w:suppressLineNumbers w:val="0"/>
              <w:spacing w:before="0" w:beforeAutospacing="0" w:after="0" w:afterAutospacing="0" w:line="300" w:lineRule="exact"/>
              <w:ind w:left="0" w:right="0"/>
              <w:jc w:val="center"/>
              <w:rPr>
                <w:rFonts w:hint="default" w:eastAsia="宋体"/>
                <w:kern w:val="2"/>
                <w:sz w:val="21"/>
                <w:szCs w:val="21"/>
                <w:lang w:val="en-US" w:eastAsia="zh-CN"/>
              </w:rPr>
            </w:pPr>
            <w:r>
              <w:rPr>
                <w:rFonts w:hint="eastAsia"/>
                <w:kern w:val="2"/>
                <w:sz w:val="21"/>
                <w:szCs w:val="21"/>
                <w:lang w:val="en-US" w:eastAsia="zh-CN"/>
              </w:rPr>
              <w:t>40.11</w:t>
            </w:r>
          </w:p>
        </w:tc>
      </w:tr>
    </w:tbl>
    <w:p>
      <w:pPr>
        <w:adjustRightInd w:val="0"/>
        <w:snapToGrid w:val="0"/>
        <w:spacing w:beforeLines="50" w:line="240" w:lineRule="atLeast"/>
        <w:ind w:left="960" w:leftChars="218" w:hanging="480" w:hangingChars="200"/>
        <w:rPr>
          <w:rFonts w:hint="default" w:ascii="Times New Roman" w:hAnsi="Times New Roman" w:cs="Times New Roman"/>
          <w:sz w:val="24"/>
          <w:szCs w:val="24"/>
        </w:rPr>
      </w:pPr>
    </w:p>
    <w:p>
      <w:pPr>
        <w:adjustRightInd w:val="0"/>
        <w:snapToGrid w:val="0"/>
        <w:spacing w:beforeLines="50" w:line="240" w:lineRule="atLeast"/>
        <w:ind w:left="960" w:leftChars="218" w:hanging="480" w:hangingChars="200"/>
        <w:rPr>
          <w:rFonts w:hint="default" w:ascii="Times New Roman" w:hAnsi="Times New Roman" w:cs="Times New Roman"/>
        </w:rPr>
      </w:pPr>
      <w:r>
        <w:rPr>
          <w:rFonts w:hint="default" w:ascii="Times New Roman" w:hAnsi="Times New Roman" w:cs="Times New Roman"/>
          <w:sz w:val="24"/>
          <w:szCs w:val="24"/>
        </w:rPr>
        <w:t>注：</w:t>
      </w:r>
      <w:r>
        <w:rPr>
          <w:rFonts w:hint="default" w:ascii="Times New Roman" w:hAnsi="Times New Roman" w:cs="Times New Roman"/>
        </w:rPr>
        <w:t>1.“—”、“/”处为油站周边无该类建筑物、该建筑物与油站设施距离远超《汽车加油加气站设计与施工规范》（GB50156-2012，2014版）规定距离。</w:t>
      </w:r>
    </w:p>
    <w:p>
      <w:pPr>
        <w:adjustRightInd w:val="0"/>
        <w:snapToGrid w:val="0"/>
        <w:spacing w:beforeLines="50" w:line="240" w:lineRule="atLeast"/>
        <w:ind w:left="920" w:leftChars="218" w:hanging="440" w:hangingChars="200"/>
        <w:rPr>
          <w:rFonts w:hint="default" w:ascii="Times New Roman" w:hAnsi="Times New Roman" w:cs="Times New Roman"/>
        </w:rPr>
      </w:pPr>
      <w:r>
        <w:rPr>
          <w:rFonts w:hint="eastAsia" w:ascii="Times New Roman" w:hAnsi="Times New Roman" w:cs="Times New Roman"/>
          <w:lang w:val="en-US" w:eastAsia="zh-CN"/>
        </w:rPr>
        <w:t xml:space="preserve">    2</w:t>
      </w:r>
      <w:r>
        <w:rPr>
          <w:rFonts w:hint="default" w:ascii="Times New Roman" w:hAnsi="Times New Roman" w:cs="Times New Roman"/>
        </w:rPr>
        <w:t>.本表根据《汽车加油加气站设计与施工规范》（GB 50156－2012）（2014年版）表4.0.4制得。</w:t>
      </w:r>
    </w:p>
    <w:p>
      <w:pPr>
        <w:spacing w:line="500" w:lineRule="exact"/>
        <w:jc w:val="center"/>
        <w:rPr>
          <w:rFonts w:hint="default" w:ascii="Times New Roman" w:hAnsi="Times New Roman" w:cs="Times New Roman"/>
          <w:sz w:val="21"/>
          <w:szCs w:val="21"/>
        </w:rPr>
      </w:pPr>
      <w:bookmarkStart w:id="324" w:name="_Toc7491_WPSOffice_Level3"/>
      <w:bookmarkStart w:id="325" w:name="_Toc7142_WPSOffice_Level3"/>
      <w:r>
        <w:rPr>
          <w:rFonts w:hint="default" w:ascii="Times New Roman" w:hAnsi="Times New Roman" w:cs="Times New Roman"/>
          <w:sz w:val="28"/>
          <w:szCs w:val="28"/>
        </w:rPr>
        <w:t>表2.2-</w:t>
      </w:r>
      <w:r>
        <w:rPr>
          <w:rFonts w:hint="default" w:ascii="Times New Roman" w:hAnsi="Times New Roman" w:cs="Times New Roman"/>
          <w:sz w:val="28"/>
          <w:szCs w:val="28"/>
          <w:lang w:val="en-US"/>
        </w:rPr>
        <w:t>2</w:t>
      </w:r>
      <w:r>
        <w:rPr>
          <w:rFonts w:hint="default" w:ascii="Times New Roman" w:hAnsi="Times New Roman" w:cs="Times New Roman"/>
          <w:sz w:val="28"/>
          <w:szCs w:val="28"/>
        </w:rPr>
        <w:t xml:space="preserve"> 站内柴油设施设备与站外建、构筑物防火间距表</w:t>
      </w:r>
      <w:r>
        <w:rPr>
          <w:rFonts w:hint="default" w:ascii="Times New Roman" w:hAnsi="Times New Roman" w:cs="Times New Roman"/>
          <w:sz w:val="21"/>
          <w:szCs w:val="21"/>
        </w:rPr>
        <w:t>（单位：</w:t>
      </w:r>
      <w:r>
        <w:rPr>
          <w:rFonts w:hint="default" w:ascii="Times New Roman" w:hAnsi="Times New Roman" w:cs="Times New Roman"/>
          <w:sz w:val="21"/>
          <w:szCs w:val="21"/>
          <w:lang w:val="en-US"/>
        </w:rPr>
        <w:t>m</w:t>
      </w:r>
      <w:r>
        <w:rPr>
          <w:rFonts w:hint="default" w:ascii="Times New Roman" w:hAnsi="Times New Roman" w:cs="Times New Roman"/>
          <w:sz w:val="21"/>
          <w:szCs w:val="21"/>
        </w:rPr>
        <w:t>）</w:t>
      </w:r>
      <w:bookmarkEnd w:id="324"/>
      <w:bookmarkEnd w:id="325"/>
    </w:p>
    <w:tbl>
      <w:tblPr>
        <w:tblStyle w:val="29"/>
        <w:tblW w:w="93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5"/>
        <w:gridCol w:w="821"/>
        <w:gridCol w:w="146"/>
        <w:gridCol w:w="1268"/>
        <w:gridCol w:w="1735"/>
        <w:gridCol w:w="1005"/>
        <w:gridCol w:w="867"/>
        <w:gridCol w:w="827"/>
        <w:gridCol w:w="867"/>
        <w:gridCol w:w="8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4" w:hRule="atLeast"/>
          <w:jc w:val="center"/>
        </w:trPr>
        <w:tc>
          <w:tcPr>
            <w:tcW w:w="3170" w:type="dxa"/>
            <w:gridSpan w:val="4"/>
            <w:tcBorders>
              <w:tl2br w:val="single" w:color="auto" w:sz="4" w:space="0"/>
            </w:tcBorders>
            <w:noWrap w:val="0"/>
            <w:vAlign w:val="top"/>
          </w:tcPr>
          <w:p>
            <w:pPr>
              <w:keepNext w:val="0"/>
              <w:keepLines w:val="0"/>
              <w:suppressLineNumbers w:val="0"/>
              <w:spacing w:before="0" w:beforeAutospacing="0" w:after="0" w:afterAutospacing="0" w:line="300" w:lineRule="exact"/>
              <w:ind w:left="0" w:right="0"/>
              <w:jc w:val="center"/>
              <w:rPr>
                <w:rFonts w:hint="eastAsia" w:ascii="宋体" w:hAnsi="宋体"/>
                <w:b/>
                <w:kern w:val="2"/>
                <w:sz w:val="21"/>
                <w:szCs w:val="21"/>
              </w:rPr>
            </w:pPr>
            <w:r>
              <w:rPr>
                <w:rFonts w:hint="default" w:ascii="宋体" w:hAnsi="宋体"/>
                <w:b/>
                <w:kern w:val="2"/>
                <w:sz w:val="21"/>
                <w:szCs w:val="21"/>
              </w:rPr>
              <w:t xml:space="preserve">        </w:t>
            </w:r>
            <w:r>
              <w:rPr>
                <w:rFonts w:hint="eastAsia" w:ascii="宋体" w:hAnsi="宋体"/>
                <w:b/>
                <w:kern w:val="2"/>
                <w:sz w:val="21"/>
                <w:szCs w:val="21"/>
              </w:rPr>
              <w:t xml:space="preserve">        </w:t>
            </w:r>
          </w:p>
          <w:p>
            <w:pPr>
              <w:keepNext w:val="0"/>
              <w:keepLines w:val="0"/>
              <w:suppressLineNumbers w:val="0"/>
              <w:spacing w:before="0" w:beforeAutospacing="0" w:after="0" w:afterAutospacing="0" w:line="300" w:lineRule="exact"/>
              <w:ind w:left="0" w:right="0"/>
              <w:jc w:val="center"/>
              <w:rPr>
                <w:rFonts w:hint="default" w:ascii="宋体" w:hAnsi="宋体"/>
                <w:b/>
                <w:kern w:val="2"/>
                <w:sz w:val="21"/>
                <w:szCs w:val="21"/>
              </w:rPr>
            </w:pPr>
            <w:r>
              <w:rPr>
                <w:rFonts w:hint="eastAsia" w:ascii="宋体" w:hAnsi="宋体"/>
                <w:b/>
                <w:kern w:val="2"/>
                <w:sz w:val="21"/>
                <w:szCs w:val="21"/>
              </w:rPr>
              <w:t xml:space="preserve">               </w:t>
            </w:r>
            <w:r>
              <w:rPr>
                <w:rFonts w:hint="default" w:ascii="宋体" w:hAnsi="宋体"/>
                <w:b/>
                <w:kern w:val="2"/>
                <w:sz w:val="21"/>
                <w:szCs w:val="21"/>
              </w:rPr>
              <w:t>级别</w:t>
            </w:r>
          </w:p>
          <w:p>
            <w:pPr>
              <w:keepNext w:val="0"/>
              <w:keepLines w:val="0"/>
              <w:suppressLineNumbers w:val="0"/>
              <w:spacing w:before="0" w:beforeAutospacing="0" w:after="0" w:afterAutospacing="0" w:line="300" w:lineRule="exact"/>
              <w:ind w:left="0" w:right="0" w:firstLine="316" w:firstLineChars="150"/>
              <w:rPr>
                <w:rFonts w:hint="default" w:ascii="宋体" w:hAnsi="宋体"/>
                <w:b/>
                <w:kern w:val="2"/>
                <w:sz w:val="21"/>
                <w:szCs w:val="21"/>
              </w:rPr>
            </w:pPr>
            <w:r>
              <w:rPr>
                <w:rFonts w:hint="default" w:ascii="宋体" w:hAnsi="宋体"/>
                <w:b/>
                <w:kern w:val="2"/>
                <w:sz w:val="21"/>
                <w:szCs w:val="21"/>
              </w:rPr>
              <w:t>项目</w:t>
            </w:r>
          </w:p>
        </w:tc>
        <w:tc>
          <w:tcPr>
            <w:tcW w:w="2740" w:type="dxa"/>
            <w:gridSpan w:val="2"/>
            <w:noWrap w:val="0"/>
            <w:vAlign w:val="center"/>
          </w:tcPr>
          <w:p>
            <w:pPr>
              <w:keepNext w:val="0"/>
              <w:keepLines w:val="0"/>
              <w:suppressLineNumbers w:val="0"/>
              <w:spacing w:before="0" w:beforeAutospacing="0" w:after="0" w:afterAutospacing="0" w:line="300" w:lineRule="exact"/>
              <w:ind w:left="0" w:right="0"/>
              <w:jc w:val="center"/>
              <w:rPr>
                <w:rFonts w:hint="default" w:ascii="宋体" w:hAnsi="宋体"/>
                <w:b/>
                <w:kern w:val="2"/>
                <w:sz w:val="21"/>
                <w:szCs w:val="21"/>
              </w:rPr>
            </w:pPr>
            <w:r>
              <w:rPr>
                <w:rFonts w:hint="default" w:ascii="宋体" w:hAnsi="宋体"/>
                <w:b/>
                <w:kern w:val="2"/>
                <w:sz w:val="21"/>
                <w:szCs w:val="21"/>
              </w:rPr>
              <w:t>埋地罐</w:t>
            </w:r>
            <w:r>
              <w:rPr>
                <w:rFonts w:hint="eastAsia" w:ascii="宋体" w:hAnsi="宋体"/>
                <w:b/>
                <w:kern w:val="2"/>
                <w:sz w:val="21"/>
                <w:szCs w:val="21"/>
              </w:rPr>
              <w:t>(</w:t>
            </w:r>
            <w:r>
              <w:rPr>
                <w:rFonts w:hint="eastAsia" w:hAnsi="宋体"/>
                <w:b/>
                <w:kern w:val="2"/>
                <w:sz w:val="21"/>
                <w:szCs w:val="21"/>
              </w:rPr>
              <w:t>二</w:t>
            </w:r>
            <w:r>
              <w:rPr>
                <w:rFonts w:hint="default" w:hAnsi="宋体"/>
                <w:b/>
                <w:kern w:val="2"/>
                <w:sz w:val="21"/>
                <w:szCs w:val="21"/>
              </w:rPr>
              <w:t>级站</w:t>
            </w:r>
            <w:r>
              <w:rPr>
                <w:rFonts w:hint="eastAsia" w:hAnsi="宋体"/>
                <w:b/>
                <w:kern w:val="2"/>
                <w:sz w:val="21"/>
                <w:szCs w:val="21"/>
              </w:rPr>
              <w:t>)</w:t>
            </w:r>
          </w:p>
        </w:tc>
        <w:tc>
          <w:tcPr>
            <w:tcW w:w="1694" w:type="dxa"/>
            <w:gridSpan w:val="2"/>
            <w:noWrap w:val="0"/>
            <w:vAlign w:val="center"/>
          </w:tcPr>
          <w:p>
            <w:pPr>
              <w:keepNext w:val="0"/>
              <w:keepLines w:val="0"/>
              <w:suppressLineNumbers w:val="0"/>
              <w:spacing w:before="0" w:beforeAutospacing="0" w:after="0" w:afterAutospacing="0" w:line="300" w:lineRule="exact"/>
              <w:ind w:left="0" w:right="0"/>
              <w:jc w:val="center"/>
              <w:rPr>
                <w:rFonts w:hint="default" w:ascii="宋体" w:hAnsi="宋体"/>
                <w:b/>
                <w:kern w:val="2"/>
                <w:sz w:val="21"/>
                <w:szCs w:val="21"/>
              </w:rPr>
            </w:pPr>
            <w:r>
              <w:rPr>
                <w:rFonts w:hint="default" w:ascii="宋体" w:hAnsi="宋体"/>
                <w:b/>
                <w:kern w:val="2"/>
                <w:sz w:val="21"/>
                <w:szCs w:val="21"/>
              </w:rPr>
              <w:t>通气管管口</w:t>
            </w:r>
          </w:p>
        </w:tc>
        <w:tc>
          <w:tcPr>
            <w:tcW w:w="1752" w:type="dxa"/>
            <w:gridSpan w:val="2"/>
            <w:noWrap w:val="0"/>
            <w:vAlign w:val="center"/>
          </w:tcPr>
          <w:p>
            <w:pPr>
              <w:keepNext w:val="0"/>
              <w:keepLines w:val="0"/>
              <w:suppressLineNumbers w:val="0"/>
              <w:spacing w:before="0" w:beforeAutospacing="0" w:after="0" w:afterAutospacing="0" w:line="300" w:lineRule="exact"/>
              <w:ind w:left="0" w:right="0"/>
              <w:jc w:val="center"/>
              <w:rPr>
                <w:rFonts w:hint="default" w:ascii="宋体" w:hAnsi="宋体"/>
                <w:b/>
                <w:kern w:val="2"/>
                <w:sz w:val="21"/>
                <w:szCs w:val="21"/>
              </w:rPr>
            </w:pPr>
            <w:r>
              <w:rPr>
                <w:rFonts w:hint="default" w:ascii="宋体" w:hAnsi="宋体"/>
                <w:b/>
                <w:kern w:val="2"/>
                <w:sz w:val="21"/>
                <w:szCs w:val="21"/>
              </w:rPr>
              <w:t>加油机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6" w:hRule="atLeast"/>
          <w:jc w:val="center"/>
        </w:trPr>
        <w:tc>
          <w:tcPr>
            <w:tcW w:w="3170" w:type="dxa"/>
            <w:gridSpan w:val="4"/>
            <w:noWrap w:val="0"/>
            <w:vAlign w:val="center"/>
          </w:tcPr>
          <w:p>
            <w:pPr>
              <w:keepNext w:val="0"/>
              <w:keepLines w:val="0"/>
              <w:suppressLineNumbers w:val="0"/>
              <w:spacing w:before="0" w:beforeAutospacing="0" w:after="0" w:afterAutospacing="0" w:line="300" w:lineRule="exact"/>
              <w:ind w:left="0" w:right="0"/>
              <w:jc w:val="center"/>
              <w:rPr>
                <w:rFonts w:hint="default" w:ascii="宋体" w:hAnsi="宋体"/>
                <w:b/>
                <w:kern w:val="2"/>
                <w:sz w:val="21"/>
                <w:szCs w:val="21"/>
              </w:rPr>
            </w:pPr>
            <w:r>
              <w:rPr>
                <w:rFonts w:hint="default" w:ascii="宋体" w:hAnsi="宋体"/>
                <w:b/>
                <w:kern w:val="2"/>
                <w:sz w:val="21"/>
                <w:szCs w:val="21"/>
              </w:rPr>
              <w:t>规范标准与</w:t>
            </w:r>
            <w:r>
              <w:rPr>
                <w:rFonts w:hint="eastAsia" w:ascii="宋体" w:hAnsi="宋体"/>
                <w:b/>
                <w:kern w:val="2"/>
                <w:sz w:val="21"/>
                <w:szCs w:val="21"/>
              </w:rPr>
              <w:t>设计</w:t>
            </w:r>
            <w:r>
              <w:rPr>
                <w:rFonts w:hint="default" w:ascii="宋体" w:hAnsi="宋体"/>
                <w:b/>
                <w:kern w:val="2"/>
                <w:sz w:val="21"/>
                <w:szCs w:val="21"/>
              </w:rPr>
              <w:t>数据</w:t>
            </w:r>
          </w:p>
        </w:tc>
        <w:tc>
          <w:tcPr>
            <w:tcW w:w="1735" w:type="dxa"/>
            <w:tcBorders>
              <w:top w:val="nil"/>
            </w:tcBorders>
            <w:noWrap w:val="0"/>
            <w:vAlign w:val="center"/>
          </w:tcPr>
          <w:p>
            <w:pPr>
              <w:keepNext w:val="0"/>
              <w:keepLines w:val="0"/>
              <w:suppressLineNumbers w:val="0"/>
              <w:spacing w:before="0" w:beforeAutospacing="0" w:after="0" w:afterAutospacing="0" w:line="300" w:lineRule="exact"/>
              <w:ind w:left="0" w:right="0"/>
              <w:jc w:val="center"/>
              <w:rPr>
                <w:rFonts w:hint="default" w:ascii="宋体" w:hAnsi="宋体"/>
                <w:b/>
                <w:kern w:val="2"/>
                <w:sz w:val="21"/>
                <w:szCs w:val="21"/>
              </w:rPr>
            </w:pPr>
            <w:r>
              <w:rPr>
                <w:rFonts w:hint="default" w:ascii="宋体" w:hAnsi="宋体"/>
                <w:b/>
                <w:kern w:val="2"/>
                <w:sz w:val="21"/>
                <w:szCs w:val="21"/>
              </w:rPr>
              <w:t>规范</w:t>
            </w:r>
          </w:p>
        </w:tc>
        <w:tc>
          <w:tcPr>
            <w:tcW w:w="1005" w:type="dxa"/>
            <w:tcBorders>
              <w:top w:val="nil"/>
            </w:tcBorders>
            <w:noWrap w:val="0"/>
            <w:vAlign w:val="center"/>
          </w:tcPr>
          <w:p>
            <w:pPr>
              <w:keepNext w:val="0"/>
              <w:keepLines w:val="0"/>
              <w:suppressLineNumbers w:val="0"/>
              <w:spacing w:before="0" w:beforeAutospacing="0" w:after="0" w:afterAutospacing="0" w:line="300" w:lineRule="exact"/>
              <w:ind w:left="0" w:right="0"/>
              <w:jc w:val="center"/>
              <w:rPr>
                <w:rFonts w:hint="eastAsia" w:ascii="宋体" w:hAnsi="宋体" w:eastAsia="宋体"/>
                <w:b/>
                <w:kern w:val="2"/>
                <w:sz w:val="21"/>
                <w:szCs w:val="21"/>
                <w:lang w:eastAsia="zh-CN"/>
              </w:rPr>
            </w:pPr>
            <w:r>
              <w:rPr>
                <w:rFonts w:hint="eastAsia"/>
                <w:b/>
                <w:kern w:val="2"/>
                <w:sz w:val="21"/>
                <w:szCs w:val="21"/>
                <w:lang w:eastAsia="zh-CN"/>
              </w:rPr>
              <w:t>实测</w:t>
            </w:r>
          </w:p>
        </w:tc>
        <w:tc>
          <w:tcPr>
            <w:tcW w:w="867" w:type="dxa"/>
            <w:noWrap w:val="0"/>
            <w:vAlign w:val="center"/>
          </w:tcPr>
          <w:p>
            <w:pPr>
              <w:keepNext w:val="0"/>
              <w:keepLines w:val="0"/>
              <w:suppressLineNumbers w:val="0"/>
              <w:spacing w:before="0" w:beforeAutospacing="0" w:after="0" w:afterAutospacing="0" w:line="300" w:lineRule="exact"/>
              <w:ind w:left="0" w:right="0"/>
              <w:jc w:val="center"/>
              <w:rPr>
                <w:rFonts w:hint="default" w:ascii="宋体" w:hAnsi="宋体"/>
                <w:b/>
                <w:kern w:val="2"/>
                <w:sz w:val="21"/>
                <w:szCs w:val="21"/>
              </w:rPr>
            </w:pPr>
            <w:r>
              <w:rPr>
                <w:rFonts w:hint="default" w:ascii="宋体" w:hAnsi="宋体"/>
                <w:b/>
                <w:kern w:val="2"/>
                <w:sz w:val="21"/>
                <w:szCs w:val="21"/>
              </w:rPr>
              <w:t>规范</w:t>
            </w:r>
          </w:p>
        </w:tc>
        <w:tc>
          <w:tcPr>
            <w:tcW w:w="827" w:type="dxa"/>
            <w:noWrap w:val="0"/>
            <w:vAlign w:val="center"/>
          </w:tcPr>
          <w:p>
            <w:pPr>
              <w:keepNext w:val="0"/>
              <w:keepLines w:val="0"/>
              <w:suppressLineNumbers w:val="0"/>
              <w:spacing w:before="0" w:beforeAutospacing="0" w:after="0" w:afterAutospacing="0" w:line="300" w:lineRule="exact"/>
              <w:ind w:left="0" w:right="0"/>
              <w:jc w:val="center"/>
              <w:rPr>
                <w:rFonts w:hint="eastAsia" w:ascii="宋体" w:hAnsi="宋体" w:eastAsia="宋体"/>
                <w:b/>
                <w:kern w:val="2"/>
                <w:sz w:val="21"/>
                <w:szCs w:val="21"/>
                <w:lang w:eastAsia="zh-CN"/>
              </w:rPr>
            </w:pPr>
            <w:r>
              <w:rPr>
                <w:rFonts w:hint="eastAsia"/>
                <w:b/>
                <w:kern w:val="2"/>
                <w:sz w:val="21"/>
                <w:szCs w:val="21"/>
                <w:lang w:eastAsia="zh-CN"/>
              </w:rPr>
              <w:t>实测</w:t>
            </w:r>
          </w:p>
        </w:tc>
        <w:tc>
          <w:tcPr>
            <w:tcW w:w="867" w:type="dxa"/>
            <w:noWrap w:val="0"/>
            <w:vAlign w:val="center"/>
          </w:tcPr>
          <w:p>
            <w:pPr>
              <w:keepNext w:val="0"/>
              <w:keepLines w:val="0"/>
              <w:suppressLineNumbers w:val="0"/>
              <w:spacing w:before="0" w:beforeAutospacing="0" w:after="0" w:afterAutospacing="0" w:line="300" w:lineRule="exact"/>
              <w:ind w:left="0" w:right="0"/>
              <w:jc w:val="center"/>
              <w:rPr>
                <w:rFonts w:hint="default" w:ascii="宋体" w:hAnsi="宋体"/>
                <w:b/>
                <w:kern w:val="2"/>
                <w:sz w:val="21"/>
                <w:szCs w:val="21"/>
              </w:rPr>
            </w:pPr>
            <w:r>
              <w:rPr>
                <w:rFonts w:hint="default" w:ascii="宋体" w:hAnsi="宋体"/>
                <w:b/>
                <w:kern w:val="2"/>
                <w:sz w:val="21"/>
                <w:szCs w:val="21"/>
              </w:rPr>
              <w:t>规范</w:t>
            </w:r>
          </w:p>
        </w:tc>
        <w:tc>
          <w:tcPr>
            <w:tcW w:w="885" w:type="dxa"/>
            <w:noWrap w:val="0"/>
            <w:vAlign w:val="center"/>
          </w:tcPr>
          <w:p>
            <w:pPr>
              <w:keepNext w:val="0"/>
              <w:keepLines w:val="0"/>
              <w:suppressLineNumbers w:val="0"/>
              <w:spacing w:before="0" w:beforeAutospacing="0" w:after="0" w:afterAutospacing="0" w:line="300" w:lineRule="exact"/>
              <w:ind w:left="0" w:right="0"/>
              <w:jc w:val="center"/>
              <w:rPr>
                <w:rFonts w:hint="eastAsia" w:ascii="宋体" w:hAnsi="宋体" w:eastAsia="宋体"/>
                <w:b/>
                <w:kern w:val="2"/>
                <w:sz w:val="21"/>
                <w:szCs w:val="21"/>
                <w:lang w:eastAsia="zh-CN"/>
              </w:rPr>
            </w:pPr>
            <w:r>
              <w:rPr>
                <w:rFonts w:hint="eastAsia"/>
                <w:b/>
                <w:kern w:val="2"/>
                <w:sz w:val="21"/>
                <w:szCs w:val="21"/>
                <w:lang w:eastAsia="zh-CN"/>
              </w:rPr>
              <w:t>实测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170" w:type="dxa"/>
            <w:gridSpan w:val="4"/>
            <w:noWrap w:val="0"/>
            <w:vAlign w:val="center"/>
          </w:tcPr>
          <w:p>
            <w:pPr>
              <w:keepNext w:val="0"/>
              <w:keepLines w:val="0"/>
              <w:suppressLineNumbers w:val="0"/>
              <w:spacing w:before="0" w:beforeAutospacing="0" w:after="0" w:afterAutospacing="0" w:line="300" w:lineRule="exact"/>
              <w:ind w:left="0" w:right="0"/>
              <w:jc w:val="center"/>
              <w:rPr>
                <w:rFonts w:hint="default" w:ascii="宋体" w:hAnsi="宋体"/>
                <w:kern w:val="2"/>
                <w:sz w:val="21"/>
                <w:szCs w:val="21"/>
              </w:rPr>
            </w:pPr>
            <w:r>
              <w:rPr>
                <w:rFonts w:hint="default" w:ascii="宋体" w:hAnsi="宋体"/>
                <w:kern w:val="2"/>
                <w:sz w:val="21"/>
                <w:szCs w:val="21"/>
              </w:rPr>
              <w:t>重要公共建筑</w:t>
            </w:r>
          </w:p>
        </w:tc>
        <w:tc>
          <w:tcPr>
            <w:tcW w:w="1735" w:type="dxa"/>
            <w:noWrap w:val="0"/>
            <w:vAlign w:val="center"/>
          </w:tcPr>
          <w:p>
            <w:pPr>
              <w:keepNext w:val="0"/>
              <w:keepLines w:val="0"/>
              <w:suppressLineNumbers w:val="0"/>
              <w:spacing w:before="0" w:beforeAutospacing="0" w:after="0" w:afterAutospacing="0" w:line="300" w:lineRule="exact"/>
              <w:ind w:left="0" w:right="0"/>
              <w:jc w:val="center"/>
              <w:rPr>
                <w:rFonts w:hint="eastAsia"/>
                <w:b/>
                <w:bCs/>
                <w:kern w:val="2"/>
                <w:sz w:val="21"/>
                <w:szCs w:val="21"/>
              </w:rPr>
            </w:pPr>
            <w:r>
              <w:rPr>
                <w:rFonts w:hint="eastAsia"/>
                <w:b/>
                <w:bCs/>
                <w:kern w:val="2"/>
                <w:sz w:val="21"/>
                <w:szCs w:val="21"/>
              </w:rPr>
              <w:t>25</w:t>
            </w:r>
          </w:p>
        </w:tc>
        <w:tc>
          <w:tcPr>
            <w:tcW w:w="1005" w:type="dxa"/>
            <w:noWrap w:val="0"/>
            <w:vAlign w:val="center"/>
          </w:tcPr>
          <w:p>
            <w:pPr>
              <w:keepNext w:val="0"/>
              <w:keepLines w:val="0"/>
              <w:suppressLineNumbers w:val="0"/>
              <w:spacing w:before="0" w:beforeAutospacing="0" w:after="0" w:afterAutospacing="0" w:line="300" w:lineRule="exact"/>
              <w:ind w:left="0" w:right="0"/>
              <w:jc w:val="center"/>
              <w:rPr>
                <w:rFonts w:hint="default"/>
                <w:kern w:val="2"/>
                <w:sz w:val="21"/>
                <w:szCs w:val="21"/>
              </w:rPr>
            </w:pPr>
            <w:r>
              <w:rPr>
                <w:rFonts w:hint="eastAsia"/>
                <w:kern w:val="2"/>
                <w:sz w:val="21"/>
                <w:szCs w:val="21"/>
              </w:rPr>
              <w:t>—</w:t>
            </w:r>
          </w:p>
        </w:tc>
        <w:tc>
          <w:tcPr>
            <w:tcW w:w="867" w:type="dxa"/>
            <w:noWrap w:val="0"/>
            <w:vAlign w:val="center"/>
          </w:tcPr>
          <w:p>
            <w:pPr>
              <w:keepNext w:val="0"/>
              <w:keepLines w:val="0"/>
              <w:suppressLineNumbers w:val="0"/>
              <w:spacing w:before="0" w:beforeAutospacing="0" w:after="0" w:afterAutospacing="0" w:line="300" w:lineRule="exact"/>
              <w:ind w:left="0" w:right="0"/>
              <w:jc w:val="center"/>
              <w:rPr>
                <w:rFonts w:hint="eastAsia"/>
                <w:b/>
                <w:bCs/>
                <w:kern w:val="2"/>
                <w:sz w:val="21"/>
                <w:szCs w:val="21"/>
              </w:rPr>
            </w:pPr>
            <w:r>
              <w:rPr>
                <w:rFonts w:hint="eastAsia"/>
                <w:b/>
                <w:bCs/>
                <w:kern w:val="2"/>
                <w:sz w:val="21"/>
                <w:szCs w:val="21"/>
              </w:rPr>
              <w:t>25</w:t>
            </w:r>
          </w:p>
        </w:tc>
        <w:tc>
          <w:tcPr>
            <w:tcW w:w="827" w:type="dxa"/>
            <w:noWrap w:val="0"/>
            <w:vAlign w:val="center"/>
          </w:tcPr>
          <w:p>
            <w:pPr>
              <w:keepNext w:val="0"/>
              <w:keepLines w:val="0"/>
              <w:suppressLineNumbers w:val="0"/>
              <w:spacing w:before="0" w:beforeAutospacing="0" w:after="0" w:afterAutospacing="0" w:line="300" w:lineRule="exact"/>
              <w:ind w:left="0" w:right="0"/>
              <w:jc w:val="center"/>
              <w:rPr>
                <w:rFonts w:hint="default"/>
                <w:kern w:val="2"/>
                <w:sz w:val="21"/>
                <w:szCs w:val="21"/>
              </w:rPr>
            </w:pPr>
            <w:r>
              <w:rPr>
                <w:rFonts w:hint="eastAsia"/>
                <w:kern w:val="2"/>
                <w:sz w:val="21"/>
                <w:szCs w:val="21"/>
              </w:rPr>
              <w:t>—</w:t>
            </w:r>
          </w:p>
        </w:tc>
        <w:tc>
          <w:tcPr>
            <w:tcW w:w="867" w:type="dxa"/>
            <w:noWrap w:val="0"/>
            <w:vAlign w:val="center"/>
          </w:tcPr>
          <w:p>
            <w:pPr>
              <w:keepNext w:val="0"/>
              <w:keepLines w:val="0"/>
              <w:suppressLineNumbers w:val="0"/>
              <w:spacing w:before="0" w:beforeAutospacing="0" w:after="0" w:afterAutospacing="0" w:line="300" w:lineRule="exact"/>
              <w:ind w:left="0" w:right="0"/>
              <w:jc w:val="center"/>
              <w:rPr>
                <w:rFonts w:hint="eastAsia"/>
                <w:b/>
                <w:bCs/>
                <w:kern w:val="2"/>
                <w:sz w:val="21"/>
                <w:szCs w:val="21"/>
              </w:rPr>
            </w:pPr>
            <w:r>
              <w:rPr>
                <w:rFonts w:hint="eastAsia"/>
                <w:b/>
                <w:bCs/>
                <w:kern w:val="2"/>
                <w:sz w:val="21"/>
                <w:szCs w:val="21"/>
              </w:rPr>
              <w:t>25</w:t>
            </w:r>
          </w:p>
        </w:tc>
        <w:tc>
          <w:tcPr>
            <w:tcW w:w="885" w:type="dxa"/>
            <w:noWrap w:val="0"/>
            <w:vAlign w:val="center"/>
          </w:tcPr>
          <w:p>
            <w:pPr>
              <w:keepNext w:val="0"/>
              <w:keepLines w:val="0"/>
              <w:suppressLineNumbers w:val="0"/>
              <w:spacing w:before="0" w:beforeAutospacing="0" w:after="0" w:afterAutospacing="0" w:line="300" w:lineRule="exact"/>
              <w:ind w:left="0" w:right="0"/>
              <w:jc w:val="center"/>
              <w:rPr>
                <w:rFonts w:hint="default"/>
                <w:kern w:val="2"/>
                <w:sz w:val="21"/>
                <w:szCs w:val="21"/>
              </w:rPr>
            </w:pPr>
            <w:r>
              <w:rPr>
                <w:rFonts w:hint="eastAsia"/>
                <w:kern w:val="2"/>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170" w:type="dxa"/>
            <w:gridSpan w:val="4"/>
            <w:noWrap w:val="0"/>
            <w:vAlign w:val="center"/>
          </w:tcPr>
          <w:p>
            <w:pPr>
              <w:keepNext w:val="0"/>
              <w:keepLines w:val="0"/>
              <w:suppressLineNumbers w:val="0"/>
              <w:spacing w:before="0" w:beforeAutospacing="0" w:after="0" w:afterAutospacing="0" w:line="300" w:lineRule="exact"/>
              <w:ind w:left="0" w:right="0"/>
              <w:jc w:val="center"/>
              <w:rPr>
                <w:rFonts w:hint="default" w:ascii="宋体" w:hAnsi="宋体"/>
                <w:kern w:val="2"/>
                <w:sz w:val="21"/>
                <w:szCs w:val="21"/>
              </w:rPr>
            </w:pPr>
            <w:r>
              <w:rPr>
                <w:rFonts w:hint="default" w:hAnsi="宋体"/>
                <w:kern w:val="2"/>
                <w:sz w:val="21"/>
                <w:szCs w:val="21"/>
              </w:rPr>
              <w:t>明火</w:t>
            </w:r>
            <w:r>
              <w:rPr>
                <w:rFonts w:hint="eastAsia" w:hAnsi="宋体"/>
                <w:kern w:val="2"/>
                <w:sz w:val="21"/>
                <w:szCs w:val="21"/>
              </w:rPr>
              <w:t>地点</w:t>
            </w:r>
            <w:r>
              <w:rPr>
                <w:rFonts w:hint="default" w:hAnsi="宋体"/>
                <w:kern w:val="2"/>
                <w:sz w:val="21"/>
                <w:szCs w:val="21"/>
              </w:rPr>
              <w:t>或散发火花</w:t>
            </w:r>
            <w:r>
              <w:rPr>
                <w:rFonts w:hint="eastAsia" w:hAnsi="宋体"/>
                <w:kern w:val="2"/>
                <w:sz w:val="21"/>
                <w:szCs w:val="21"/>
              </w:rPr>
              <w:t>地</w:t>
            </w:r>
            <w:r>
              <w:rPr>
                <w:rFonts w:hint="default" w:hAnsi="宋体"/>
                <w:kern w:val="2"/>
                <w:sz w:val="21"/>
                <w:szCs w:val="21"/>
              </w:rPr>
              <w:t>点</w:t>
            </w:r>
          </w:p>
        </w:tc>
        <w:tc>
          <w:tcPr>
            <w:tcW w:w="1735" w:type="dxa"/>
            <w:noWrap w:val="0"/>
            <w:vAlign w:val="center"/>
          </w:tcPr>
          <w:p>
            <w:pPr>
              <w:keepNext w:val="0"/>
              <w:keepLines w:val="0"/>
              <w:suppressLineNumbers w:val="0"/>
              <w:spacing w:before="0" w:beforeAutospacing="0" w:after="0" w:afterAutospacing="0" w:line="300" w:lineRule="exact"/>
              <w:ind w:left="0" w:right="0"/>
              <w:jc w:val="center"/>
              <w:rPr>
                <w:rFonts w:hint="eastAsia"/>
                <w:b/>
                <w:bCs/>
                <w:kern w:val="2"/>
                <w:sz w:val="21"/>
                <w:szCs w:val="21"/>
              </w:rPr>
            </w:pPr>
            <w:r>
              <w:rPr>
                <w:rFonts w:hint="eastAsia"/>
                <w:b/>
                <w:bCs/>
                <w:kern w:val="2"/>
                <w:sz w:val="21"/>
                <w:szCs w:val="21"/>
              </w:rPr>
              <w:t>12.5</w:t>
            </w:r>
          </w:p>
        </w:tc>
        <w:tc>
          <w:tcPr>
            <w:tcW w:w="1005" w:type="dxa"/>
            <w:noWrap w:val="0"/>
            <w:vAlign w:val="center"/>
          </w:tcPr>
          <w:p>
            <w:pPr>
              <w:keepNext w:val="0"/>
              <w:keepLines w:val="0"/>
              <w:suppressLineNumbers w:val="0"/>
              <w:spacing w:before="0" w:beforeAutospacing="0" w:after="0" w:afterAutospacing="0" w:line="300" w:lineRule="exact"/>
              <w:ind w:left="0" w:right="0"/>
              <w:jc w:val="center"/>
              <w:rPr>
                <w:rFonts w:hint="eastAsia"/>
                <w:kern w:val="2"/>
                <w:sz w:val="21"/>
                <w:szCs w:val="21"/>
              </w:rPr>
            </w:pPr>
            <w:r>
              <w:rPr>
                <w:rFonts w:hint="eastAsia"/>
                <w:kern w:val="2"/>
                <w:sz w:val="21"/>
                <w:szCs w:val="21"/>
              </w:rPr>
              <w:t>—</w:t>
            </w:r>
          </w:p>
        </w:tc>
        <w:tc>
          <w:tcPr>
            <w:tcW w:w="867" w:type="dxa"/>
            <w:noWrap w:val="0"/>
            <w:vAlign w:val="center"/>
          </w:tcPr>
          <w:p>
            <w:pPr>
              <w:keepNext w:val="0"/>
              <w:keepLines w:val="0"/>
              <w:suppressLineNumbers w:val="0"/>
              <w:spacing w:before="0" w:beforeAutospacing="0" w:after="0" w:afterAutospacing="0" w:line="300" w:lineRule="exact"/>
              <w:ind w:left="0" w:right="0"/>
              <w:jc w:val="center"/>
              <w:rPr>
                <w:rFonts w:hint="eastAsia"/>
                <w:b/>
                <w:bCs/>
                <w:kern w:val="2"/>
                <w:sz w:val="21"/>
                <w:szCs w:val="21"/>
              </w:rPr>
            </w:pPr>
            <w:r>
              <w:rPr>
                <w:rFonts w:hint="eastAsia"/>
                <w:b/>
                <w:bCs/>
                <w:kern w:val="2"/>
                <w:sz w:val="21"/>
                <w:szCs w:val="21"/>
              </w:rPr>
              <w:t>10</w:t>
            </w:r>
          </w:p>
        </w:tc>
        <w:tc>
          <w:tcPr>
            <w:tcW w:w="827" w:type="dxa"/>
            <w:noWrap w:val="0"/>
            <w:vAlign w:val="center"/>
          </w:tcPr>
          <w:p>
            <w:pPr>
              <w:keepNext w:val="0"/>
              <w:keepLines w:val="0"/>
              <w:suppressLineNumbers w:val="0"/>
              <w:spacing w:before="0" w:beforeAutospacing="0" w:after="0" w:afterAutospacing="0" w:line="300" w:lineRule="exact"/>
              <w:ind w:left="0" w:right="0"/>
              <w:jc w:val="center"/>
              <w:rPr>
                <w:rFonts w:hint="default"/>
                <w:kern w:val="2"/>
                <w:sz w:val="21"/>
                <w:szCs w:val="21"/>
              </w:rPr>
            </w:pPr>
            <w:r>
              <w:rPr>
                <w:rFonts w:hint="eastAsia"/>
                <w:kern w:val="2"/>
                <w:sz w:val="21"/>
                <w:szCs w:val="21"/>
              </w:rPr>
              <w:t>—</w:t>
            </w:r>
          </w:p>
        </w:tc>
        <w:tc>
          <w:tcPr>
            <w:tcW w:w="867" w:type="dxa"/>
            <w:noWrap w:val="0"/>
            <w:vAlign w:val="center"/>
          </w:tcPr>
          <w:p>
            <w:pPr>
              <w:keepNext w:val="0"/>
              <w:keepLines w:val="0"/>
              <w:suppressLineNumbers w:val="0"/>
              <w:spacing w:before="0" w:beforeAutospacing="0" w:after="0" w:afterAutospacing="0" w:line="300" w:lineRule="exact"/>
              <w:ind w:left="0" w:right="0"/>
              <w:jc w:val="center"/>
              <w:rPr>
                <w:rFonts w:hint="eastAsia"/>
                <w:b/>
                <w:bCs/>
                <w:kern w:val="2"/>
                <w:sz w:val="21"/>
                <w:szCs w:val="21"/>
              </w:rPr>
            </w:pPr>
            <w:r>
              <w:rPr>
                <w:rFonts w:hint="eastAsia"/>
                <w:b/>
                <w:bCs/>
                <w:kern w:val="2"/>
                <w:sz w:val="21"/>
                <w:szCs w:val="21"/>
              </w:rPr>
              <w:t>10</w:t>
            </w:r>
          </w:p>
        </w:tc>
        <w:tc>
          <w:tcPr>
            <w:tcW w:w="885" w:type="dxa"/>
            <w:noWrap w:val="0"/>
            <w:vAlign w:val="center"/>
          </w:tcPr>
          <w:p>
            <w:pPr>
              <w:keepNext w:val="0"/>
              <w:keepLines w:val="0"/>
              <w:suppressLineNumbers w:val="0"/>
              <w:spacing w:before="0" w:beforeAutospacing="0" w:after="0" w:afterAutospacing="0" w:line="300" w:lineRule="exact"/>
              <w:ind w:left="0" w:right="0"/>
              <w:jc w:val="center"/>
              <w:rPr>
                <w:rFonts w:hint="default"/>
                <w:kern w:val="2"/>
                <w:sz w:val="21"/>
                <w:szCs w:val="21"/>
              </w:rPr>
            </w:pPr>
            <w:r>
              <w:rPr>
                <w:rFonts w:hint="eastAsia"/>
                <w:kern w:val="2"/>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9" w:hRule="atLeast"/>
          <w:jc w:val="center"/>
        </w:trPr>
        <w:tc>
          <w:tcPr>
            <w:tcW w:w="3170" w:type="dxa"/>
            <w:gridSpan w:val="4"/>
            <w:noWrap w:val="0"/>
            <w:vAlign w:val="center"/>
          </w:tcPr>
          <w:p>
            <w:pPr>
              <w:keepNext w:val="0"/>
              <w:keepLines w:val="0"/>
              <w:suppressLineNumbers w:val="0"/>
              <w:spacing w:before="0" w:beforeAutospacing="0" w:after="0" w:afterAutospacing="0" w:line="300" w:lineRule="exact"/>
              <w:ind w:left="0" w:right="0"/>
              <w:jc w:val="center"/>
              <w:rPr>
                <w:rFonts w:hint="default" w:ascii="宋体" w:hAnsi="宋体"/>
                <w:kern w:val="2"/>
                <w:sz w:val="21"/>
                <w:szCs w:val="21"/>
              </w:rPr>
            </w:pPr>
            <w:r>
              <w:rPr>
                <w:rFonts w:hint="default" w:ascii="宋体" w:hAnsi="宋体"/>
                <w:kern w:val="2"/>
                <w:sz w:val="21"/>
                <w:szCs w:val="21"/>
              </w:rPr>
              <w:t>民用一类保护物</w:t>
            </w:r>
          </w:p>
        </w:tc>
        <w:tc>
          <w:tcPr>
            <w:tcW w:w="1735" w:type="dxa"/>
            <w:noWrap w:val="0"/>
            <w:vAlign w:val="center"/>
          </w:tcPr>
          <w:p>
            <w:pPr>
              <w:keepNext w:val="0"/>
              <w:keepLines w:val="0"/>
              <w:suppressLineNumbers w:val="0"/>
              <w:spacing w:before="0" w:beforeAutospacing="0" w:after="0" w:afterAutospacing="0" w:line="300" w:lineRule="exact"/>
              <w:ind w:left="0" w:right="0"/>
              <w:jc w:val="center"/>
              <w:rPr>
                <w:rFonts w:hint="eastAsia"/>
                <w:b/>
                <w:bCs/>
                <w:kern w:val="2"/>
                <w:sz w:val="21"/>
                <w:szCs w:val="21"/>
              </w:rPr>
            </w:pPr>
            <w:r>
              <w:rPr>
                <w:rFonts w:hint="eastAsia"/>
                <w:b/>
                <w:bCs/>
                <w:kern w:val="2"/>
                <w:sz w:val="21"/>
                <w:szCs w:val="21"/>
              </w:rPr>
              <w:t>6</w:t>
            </w:r>
          </w:p>
        </w:tc>
        <w:tc>
          <w:tcPr>
            <w:tcW w:w="1005" w:type="dxa"/>
            <w:noWrap w:val="0"/>
            <w:vAlign w:val="center"/>
          </w:tcPr>
          <w:p>
            <w:pPr>
              <w:keepNext w:val="0"/>
              <w:keepLines w:val="0"/>
              <w:suppressLineNumbers w:val="0"/>
              <w:spacing w:before="0" w:beforeAutospacing="0" w:after="0" w:afterAutospacing="0" w:line="300" w:lineRule="exact"/>
              <w:ind w:left="0" w:right="0"/>
              <w:jc w:val="center"/>
              <w:rPr>
                <w:rFonts w:hint="default"/>
                <w:kern w:val="2"/>
                <w:sz w:val="21"/>
                <w:szCs w:val="21"/>
              </w:rPr>
            </w:pPr>
            <w:r>
              <w:rPr>
                <w:rFonts w:hint="eastAsia"/>
                <w:kern w:val="2"/>
                <w:sz w:val="21"/>
                <w:szCs w:val="21"/>
              </w:rPr>
              <w:t>—</w:t>
            </w:r>
          </w:p>
        </w:tc>
        <w:tc>
          <w:tcPr>
            <w:tcW w:w="867" w:type="dxa"/>
            <w:noWrap w:val="0"/>
            <w:vAlign w:val="center"/>
          </w:tcPr>
          <w:p>
            <w:pPr>
              <w:keepNext w:val="0"/>
              <w:keepLines w:val="0"/>
              <w:suppressLineNumbers w:val="0"/>
              <w:spacing w:before="0" w:beforeAutospacing="0" w:after="0" w:afterAutospacing="0" w:line="300" w:lineRule="exact"/>
              <w:ind w:left="0" w:right="0"/>
              <w:jc w:val="center"/>
              <w:rPr>
                <w:rFonts w:hint="eastAsia"/>
                <w:b/>
                <w:bCs/>
                <w:kern w:val="2"/>
                <w:sz w:val="21"/>
                <w:szCs w:val="21"/>
              </w:rPr>
            </w:pPr>
            <w:r>
              <w:rPr>
                <w:rFonts w:hint="eastAsia"/>
                <w:b/>
                <w:bCs/>
                <w:kern w:val="2"/>
                <w:sz w:val="21"/>
                <w:szCs w:val="21"/>
              </w:rPr>
              <w:t>6</w:t>
            </w:r>
          </w:p>
        </w:tc>
        <w:tc>
          <w:tcPr>
            <w:tcW w:w="827" w:type="dxa"/>
            <w:noWrap w:val="0"/>
            <w:vAlign w:val="center"/>
          </w:tcPr>
          <w:p>
            <w:pPr>
              <w:keepNext w:val="0"/>
              <w:keepLines w:val="0"/>
              <w:suppressLineNumbers w:val="0"/>
              <w:spacing w:before="0" w:beforeAutospacing="0" w:after="0" w:afterAutospacing="0" w:line="300" w:lineRule="exact"/>
              <w:ind w:left="0" w:right="0"/>
              <w:jc w:val="center"/>
              <w:rPr>
                <w:rFonts w:hint="eastAsia"/>
                <w:kern w:val="2"/>
                <w:sz w:val="21"/>
                <w:szCs w:val="21"/>
              </w:rPr>
            </w:pPr>
            <w:r>
              <w:rPr>
                <w:rFonts w:hint="eastAsia"/>
                <w:kern w:val="2"/>
                <w:sz w:val="21"/>
                <w:szCs w:val="21"/>
              </w:rPr>
              <w:t>—</w:t>
            </w:r>
          </w:p>
        </w:tc>
        <w:tc>
          <w:tcPr>
            <w:tcW w:w="867" w:type="dxa"/>
            <w:noWrap w:val="0"/>
            <w:vAlign w:val="center"/>
          </w:tcPr>
          <w:p>
            <w:pPr>
              <w:keepNext w:val="0"/>
              <w:keepLines w:val="0"/>
              <w:suppressLineNumbers w:val="0"/>
              <w:spacing w:before="0" w:beforeAutospacing="0" w:after="0" w:afterAutospacing="0" w:line="300" w:lineRule="exact"/>
              <w:ind w:left="0" w:right="0"/>
              <w:jc w:val="center"/>
              <w:rPr>
                <w:rFonts w:hint="eastAsia"/>
                <w:b/>
                <w:bCs/>
                <w:kern w:val="2"/>
                <w:sz w:val="21"/>
                <w:szCs w:val="21"/>
              </w:rPr>
            </w:pPr>
            <w:r>
              <w:rPr>
                <w:rFonts w:hint="eastAsia"/>
                <w:b/>
                <w:bCs/>
                <w:kern w:val="2"/>
                <w:sz w:val="21"/>
                <w:szCs w:val="21"/>
              </w:rPr>
              <w:t>6</w:t>
            </w:r>
          </w:p>
        </w:tc>
        <w:tc>
          <w:tcPr>
            <w:tcW w:w="885" w:type="dxa"/>
            <w:noWrap w:val="0"/>
            <w:vAlign w:val="center"/>
          </w:tcPr>
          <w:p>
            <w:pPr>
              <w:keepNext w:val="0"/>
              <w:keepLines w:val="0"/>
              <w:suppressLineNumbers w:val="0"/>
              <w:spacing w:before="0" w:beforeAutospacing="0" w:after="0" w:afterAutospacing="0" w:line="300" w:lineRule="exact"/>
              <w:ind w:left="0" w:right="0"/>
              <w:jc w:val="center"/>
              <w:rPr>
                <w:rFonts w:hint="eastAsia"/>
                <w:kern w:val="2"/>
                <w:sz w:val="21"/>
                <w:szCs w:val="21"/>
              </w:rPr>
            </w:pPr>
            <w:r>
              <w:rPr>
                <w:rFonts w:hint="eastAsia"/>
                <w:kern w:val="2"/>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5" w:hRule="atLeast"/>
          <w:jc w:val="center"/>
        </w:trPr>
        <w:tc>
          <w:tcPr>
            <w:tcW w:w="3170" w:type="dxa"/>
            <w:gridSpan w:val="4"/>
            <w:noWrap w:val="0"/>
            <w:vAlign w:val="center"/>
          </w:tcPr>
          <w:p>
            <w:pPr>
              <w:keepNext w:val="0"/>
              <w:keepLines w:val="0"/>
              <w:suppressLineNumbers w:val="0"/>
              <w:spacing w:before="0" w:beforeAutospacing="0" w:after="0" w:afterAutospacing="0" w:line="300" w:lineRule="exact"/>
              <w:ind w:left="0" w:right="0"/>
              <w:jc w:val="center"/>
              <w:rPr>
                <w:rFonts w:hint="eastAsia" w:ascii="宋体" w:hAnsi="宋体"/>
                <w:kern w:val="2"/>
                <w:sz w:val="21"/>
                <w:szCs w:val="21"/>
              </w:rPr>
            </w:pPr>
            <w:r>
              <w:rPr>
                <w:rFonts w:hint="eastAsia" w:ascii="宋体" w:hAnsi="宋体"/>
                <w:kern w:val="2"/>
                <w:sz w:val="21"/>
                <w:szCs w:val="21"/>
              </w:rPr>
              <w:t>民用二类保护物</w:t>
            </w:r>
          </w:p>
        </w:tc>
        <w:tc>
          <w:tcPr>
            <w:tcW w:w="1735" w:type="dxa"/>
            <w:noWrap w:val="0"/>
            <w:vAlign w:val="center"/>
          </w:tcPr>
          <w:p>
            <w:pPr>
              <w:keepNext w:val="0"/>
              <w:keepLines w:val="0"/>
              <w:suppressLineNumbers w:val="0"/>
              <w:spacing w:before="0" w:beforeAutospacing="0" w:after="0" w:afterAutospacing="0" w:line="300" w:lineRule="exact"/>
              <w:ind w:left="0" w:right="0"/>
              <w:jc w:val="center"/>
              <w:rPr>
                <w:rFonts w:hint="eastAsia"/>
                <w:b/>
                <w:bCs/>
                <w:kern w:val="2"/>
                <w:sz w:val="21"/>
                <w:szCs w:val="21"/>
              </w:rPr>
            </w:pPr>
            <w:r>
              <w:rPr>
                <w:rFonts w:hint="eastAsia"/>
                <w:b/>
                <w:bCs/>
                <w:kern w:val="2"/>
                <w:sz w:val="21"/>
                <w:szCs w:val="21"/>
              </w:rPr>
              <w:t>6</w:t>
            </w:r>
          </w:p>
        </w:tc>
        <w:tc>
          <w:tcPr>
            <w:tcW w:w="1005" w:type="dxa"/>
            <w:noWrap w:val="0"/>
            <w:vAlign w:val="center"/>
          </w:tcPr>
          <w:p>
            <w:pPr>
              <w:keepNext w:val="0"/>
              <w:keepLines w:val="0"/>
              <w:suppressLineNumbers w:val="0"/>
              <w:spacing w:before="0" w:beforeAutospacing="0" w:after="0" w:afterAutospacing="0" w:line="300" w:lineRule="exact"/>
              <w:ind w:left="0" w:right="0"/>
              <w:jc w:val="center"/>
              <w:rPr>
                <w:rFonts w:hint="default"/>
                <w:kern w:val="2"/>
                <w:sz w:val="21"/>
                <w:szCs w:val="21"/>
              </w:rPr>
            </w:pPr>
            <w:r>
              <w:rPr>
                <w:rFonts w:hint="eastAsia"/>
                <w:kern w:val="2"/>
                <w:sz w:val="21"/>
                <w:szCs w:val="21"/>
              </w:rPr>
              <w:t>—</w:t>
            </w:r>
          </w:p>
        </w:tc>
        <w:tc>
          <w:tcPr>
            <w:tcW w:w="867" w:type="dxa"/>
            <w:noWrap w:val="0"/>
            <w:vAlign w:val="center"/>
          </w:tcPr>
          <w:p>
            <w:pPr>
              <w:keepNext w:val="0"/>
              <w:keepLines w:val="0"/>
              <w:suppressLineNumbers w:val="0"/>
              <w:spacing w:before="0" w:beforeAutospacing="0" w:after="0" w:afterAutospacing="0" w:line="300" w:lineRule="exact"/>
              <w:ind w:left="0" w:right="0"/>
              <w:jc w:val="center"/>
              <w:rPr>
                <w:rFonts w:hint="eastAsia"/>
                <w:b/>
                <w:bCs/>
                <w:kern w:val="2"/>
                <w:sz w:val="21"/>
                <w:szCs w:val="21"/>
              </w:rPr>
            </w:pPr>
            <w:r>
              <w:rPr>
                <w:rFonts w:hint="eastAsia"/>
                <w:b/>
                <w:bCs/>
                <w:kern w:val="2"/>
                <w:sz w:val="21"/>
                <w:szCs w:val="21"/>
              </w:rPr>
              <w:t>6</w:t>
            </w:r>
          </w:p>
        </w:tc>
        <w:tc>
          <w:tcPr>
            <w:tcW w:w="827" w:type="dxa"/>
            <w:noWrap w:val="0"/>
            <w:vAlign w:val="center"/>
          </w:tcPr>
          <w:p>
            <w:pPr>
              <w:keepNext w:val="0"/>
              <w:keepLines w:val="0"/>
              <w:suppressLineNumbers w:val="0"/>
              <w:spacing w:before="0" w:beforeAutospacing="0" w:after="0" w:afterAutospacing="0" w:line="300" w:lineRule="exact"/>
              <w:ind w:left="0" w:right="0"/>
              <w:jc w:val="center"/>
              <w:rPr>
                <w:rFonts w:hint="eastAsia"/>
                <w:kern w:val="2"/>
                <w:sz w:val="21"/>
                <w:szCs w:val="21"/>
              </w:rPr>
            </w:pPr>
            <w:r>
              <w:rPr>
                <w:rFonts w:hint="eastAsia"/>
                <w:kern w:val="2"/>
                <w:sz w:val="21"/>
                <w:szCs w:val="21"/>
              </w:rPr>
              <w:t>—</w:t>
            </w:r>
          </w:p>
        </w:tc>
        <w:tc>
          <w:tcPr>
            <w:tcW w:w="867" w:type="dxa"/>
            <w:noWrap w:val="0"/>
            <w:vAlign w:val="center"/>
          </w:tcPr>
          <w:p>
            <w:pPr>
              <w:keepNext w:val="0"/>
              <w:keepLines w:val="0"/>
              <w:suppressLineNumbers w:val="0"/>
              <w:spacing w:before="0" w:beforeAutospacing="0" w:after="0" w:afterAutospacing="0" w:line="300" w:lineRule="exact"/>
              <w:ind w:left="0" w:right="0"/>
              <w:jc w:val="center"/>
              <w:rPr>
                <w:rFonts w:hint="eastAsia"/>
                <w:b/>
                <w:bCs/>
                <w:kern w:val="2"/>
                <w:sz w:val="21"/>
                <w:szCs w:val="21"/>
              </w:rPr>
            </w:pPr>
            <w:r>
              <w:rPr>
                <w:rFonts w:hint="eastAsia"/>
                <w:b/>
                <w:bCs/>
                <w:kern w:val="2"/>
                <w:sz w:val="21"/>
                <w:szCs w:val="21"/>
              </w:rPr>
              <w:t>6</w:t>
            </w:r>
          </w:p>
        </w:tc>
        <w:tc>
          <w:tcPr>
            <w:tcW w:w="885" w:type="dxa"/>
            <w:noWrap w:val="0"/>
            <w:vAlign w:val="center"/>
          </w:tcPr>
          <w:p>
            <w:pPr>
              <w:keepNext w:val="0"/>
              <w:keepLines w:val="0"/>
              <w:suppressLineNumbers w:val="0"/>
              <w:spacing w:before="0" w:beforeAutospacing="0" w:after="0" w:afterAutospacing="0" w:line="300" w:lineRule="exact"/>
              <w:ind w:left="0" w:right="0"/>
              <w:jc w:val="center"/>
              <w:rPr>
                <w:rFonts w:hint="eastAsia"/>
                <w:kern w:val="2"/>
                <w:sz w:val="21"/>
                <w:szCs w:val="21"/>
              </w:rPr>
            </w:pPr>
            <w:r>
              <w:rPr>
                <w:rFonts w:hint="eastAsia"/>
                <w:kern w:val="2"/>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935" w:type="dxa"/>
            <w:vMerge w:val="restart"/>
            <w:noWrap w:val="0"/>
            <w:vAlign w:val="center"/>
          </w:tcPr>
          <w:p>
            <w:pPr>
              <w:keepNext w:val="0"/>
              <w:keepLines w:val="0"/>
              <w:suppressLineNumbers w:val="0"/>
              <w:spacing w:before="0" w:beforeAutospacing="0" w:after="0" w:afterAutospacing="0" w:line="300" w:lineRule="exact"/>
              <w:ind w:left="0" w:right="0"/>
              <w:jc w:val="center"/>
              <w:rPr>
                <w:rFonts w:hint="default" w:ascii="宋体" w:hAnsi="宋体"/>
                <w:kern w:val="2"/>
                <w:sz w:val="21"/>
                <w:szCs w:val="21"/>
              </w:rPr>
            </w:pPr>
            <w:r>
              <w:rPr>
                <w:rFonts w:hint="default" w:ascii="宋体" w:hAnsi="宋体"/>
                <w:kern w:val="2"/>
                <w:sz w:val="21"/>
                <w:szCs w:val="21"/>
              </w:rPr>
              <w:t>民用三类保护物</w:t>
            </w:r>
          </w:p>
        </w:tc>
        <w:tc>
          <w:tcPr>
            <w:tcW w:w="2235" w:type="dxa"/>
            <w:gridSpan w:val="3"/>
            <w:noWrap w:val="0"/>
            <w:vAlign w:val="center"/>
          </w:tcPr>
          <w:p>
            <w:pPr>
              <w:keepNext w:val="0"/>
              <w:keepLines w:val="0"/>
              <w:suppressLineNumbers w:val="0"/>
              <w:spacing w:before="0" w:beforeAutospacing="0" w:after="0" w:afterAutospacing="0" w:line="300" w:lineRule="exact"/>
              <w:ind w:left="0" w:right="0"/>
              <w:jc w:val="center"/>
              <w:rPr>
                <w:rFonts w:hint="eastAsia" w:hAnsi="宋体" w:eastAsia="宋体"/>
                <w:kern w:val="2"/>
                <w:sz w:val="21"/>
                <w:szCs w:val="21"/>
                <w:lang w:val="en-GB" w:eastAsia="zh-CN"/>
              </w:rPr>
            </w:pPr>
            <w:r>
              <w:rPr>
                <w:rFonts w:hint="eastAsia"/>
                <w:kern w:val="2"/>
                <w:sz w:val="21"/>
                <w:szCs w:val="21"/>
              </w:rPr>
              <w:t>南面美车汇二手车及酒水茶商城</w:t>
            </w:r>
            <w:r>
              <w:rPr>
                <w:rFonts w:hint="eastAsia"/>
                <w:kern w:val="2"/>
                <w:sz w:val="21"/>
                <w:szCs w:val="21"/>
                <w:lang w:eastAsia="zh-CN"/>
              </w:rPr>
              <w:t>、业城二手车</w:t>
            </w:r>
          </w:p>
        </w:tc>
        <w:tc>
          <w:tcPr>
            <w:tcW w:w="1735" w:type="dxa"/>
            <w:noWrap w:val="0"/>
            <w:vAlign w:val="center"/>
          </w:tcPr>
          <w:p>
            <w:pPr>
              <w:keepNext w:val="0"/>
              <w:keepLines w:val="0"/>
              <w:suppressLineNumbers w:val="0"/>
              <w:spacing w:before="0" w:beforeAutospacing="0" w:after="0" w:afterAutospacing="0" w:line="300" w:lineRule="exact"/>
              <w:ind w:left="0" w:right="0"/>
              <w:jc w:val="center"/>
              <w:rPr>
                <w:rFonts w:hint="default"/>
                <w:b/>
                <w:bCs/>
                <w:kern w:val="2"/>
                <w:sz w:val="21"/>
                <w:szCs w:val="21"/>
              </w:rPr>
            </w:pPr>
            <w:r>
              <w:rPr>
                <w:rFonts w:hint="eastAsia"/>
                <w:b/>
                <w:bCs/>
                <w:kern w:val="2"/>
                <w:sz w:val="21"/>
                <w:szCs w:val="21"/>
              </w:rPr>
              <w:t>6</w:t>
            </w:r>
          </w:p>
        </w:tc>
        <w:tc>
          <w:tcPr>
            <w:tcW w:w="1005" w:type="dxa"/>
            <w:noWrap w:val="0"/>
            <w:vAlign w:val="center"/>
          </w:tcPr>
          <w:p>
            <w:pPr>
              <w:keepNext w:val="0"/>
              <w:keepLines w:val="0"/>
              <w:suppressLineNumbers w:val="0"/>
              <w:spacing w:before="0" w:beforeAutospacing="0" w:after="0" w:afterAutospacing="0" w:line="300" w:lineRule="exact"/>
              <w:ind w:left="0" w:right="0"/>
              <w:jc w:val="center"/>
              <w:rPr>
                <w:rFonts w:hint="default" w:eastAsia="宋体"/>
                <w:kern w:val="2"/>
                <w:sz w:val="21"/>
                <w:szCs w:val="21"/>
                <w:lang w:val="en-US" w:eastAsia="zh-CN"/>
              </w:rPr>
            </w:pPr>
            <w:r>
              <w:rPr>
                <w:rFonts w:hint="eastAsia"/>
                <w:kern w:val="2"/>
                <w:sz w:val="21"/>
                <w:szCs w:val="21"/>
                <w:lang w:val="en-US" w:eastAsia="zh-CN"/>
              </w:rPr>
              <w:t>8.0</w:t>
            </w:r>
          </w:p>
        </w:tc>
        <w:tc>
          <w:tcPr>
            <w:tcW w:w="867" w:type="dxa"/>
            <w:noWrap w:val="0"/>
            <w:vAlign w:val="center"/>
          </w:tcPr>
          <w:p>
            <w:pPr>
              <w:keepNext w:val="0"/>
              <w:keepLines w:val="0"/>
              <w:suppressLineNumbers w:val="0"/>
              <w:spacing w:before="0" w:beforeAutospacing="0" w:after="0" w:afterAutospacing="0" w:line="300" w:lineRule="exact"/>
              <w:ind w:left="0" w:right="0"/>
              <w:jc w:val="center"/>
              <w:rPr>
                <w:rFonts w:hint="default"/>
                <w:b/>
                <w:bCs/>
                <w:kern w:val="2"/>
                <w:sz w:val="21"/>
                <w:szCs w:val="21"/>
              </w:rPr>
            </w:pPr>
            <w:r>
              <w:rPr>
                <w:rFonts w:hint="eastAsia"/>
                <w:b/>
                <w:bCs/>
                <w:kern w:val="2"/>
                <w:sz w:val="21"/>
                <w:szCs w:val="21"/>
              </w:rPr>
              <w:t>6</w:t>
            </w:r>
          </w:p>
        </w:tc>
        <w:tc>
          <w:tcPr>
            <w:tcW w:w="827" w:type="dxa"/>
            <w:noWrap w:val="0"/>
            <w:vAlign w:val="center"/>
          </w:tcPr>
          <w:p>
            <w:pPr>
              <w:keepNext w:val="0"/>
              <w:keepLines w:val="0"/>
              <w:suppressLineNumbers w:val="0"/>
              <w:spacing w:before="0" w:beforeAutospacing="0" w:after="0" w:afterAutospacing="0" w:line="300" w:lineRule="exact"/>
              <w:ind w:left="0" w:right="0"/>
              <w:jc w:val="center"/>
              <w:rPr>
                <w:rFonts w:hint="eastAsia"/>
                <w:kern w:val="2"/>
                <w:sz w:val="21"/>
                <w:szCs w:val="21"/>
              </w:rPr>
            </w:pPr>
            <w:r>
              <w:rPr>
                <w:rFonts w:hint="eastAsia"/>
                <w:kern w:val="2"/>
                <w:sz w:val="21"/>
                <w:szCs w:val="21"/>
              </w:rPr>
              <w:t>12.93</w:t>
            </w:r>
          </w:p>
        </w:tc>
        <w:tc>
          <w:tcPr>
            <w:tcW w:w="867" w:type="dxa"/>
            <w:noWrap w:val="0"/>
            <w:vAlign w:val="center"/>
          </w:tcPr>
          <w:p>
            <w:pPr>
              <w:keepNext w:val="0"/>
              <w:keepLines w:val="0"/>
              <w:suppressLineNumbers w:val="0"/>
              <w:spacing w:before="0" w:beforeAutospacing="0" w:after="0" w:afterAutospacing="0" w:line="300" w:lineRule="exact"/>
              <w:ind w:left="0" w:right="0"/>
              <w:jc w:val="center"/>
              <w:rPr>
                <w:rFonts w:hint="default"/>
                <w:b/>
                <w:bCs/>
                <w:kern w:val="2"/>
                <w:sz w:val="21"/>
                <w:szCs w:val="21"/>
              </w:rPr>
            </w:pPr>
            <w:r>
              <w:rPr>
                <w:rFonts w:hint="eastAsia"/>
                <w:b/>
                <w:bCs/>
                <w:kern w:val="2"/>
                <w:sz w:val="21"/>
                <w:szCs w:val="21"/>
              </w:rPr>
              <w:t>6</w:t>
            </w:r>
          </w:p>
        </w:tc>
        <w:tc>
          <w:tcPr>
            <w:tcW w:w="885" w:type="dxa"/>
            <w:noWrap w:val="0"/>
            <w:vAlign w:val="center"/>
          </w:tcPr>
          <w:p>
            <w:pPr>
              <w:keepNext w:val="0"/>
              <w:keepLines w:val="0"/>
              <w:suppressLineNumbers w:val="0"/>
              <w:spacing w:before="0" w:beforeAutospacing="0" w:after="0" w:afterAutospacing="0" w:line="300" w:lineRule="exact"/>
              <w:ind w:left="0" w:right="0"/>
              <w:jc w:val="center"/>
              <w:rPr>
                <w:rFonts w:hint="default" w:eastAsia="宋体"/>
                <w:kern w:val="2"/>
                <w:sz w:val="21"/>
                <w:szCs w:val="21"/>
                <w:lang w:val="en-US" w:eastAsia="zh-CN"/>
              </w:rPr>
            </w:pPr>
            <w:r>
              <w:rPr>
                <w:rFonts w:hint="eastAsia"/>
                <w:kern w:val="2"/>
                <w:sz w:val="21"/>
                <w:szCs w:val="21"/>
                <w:lang w:val="en-US" w:eastAsia="zh-CN"/>
              </w:rPr>
              <w:t>28.8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935" w:type="dxa"/>
            <w:vMerge w:val="continue"/>
            <w:noWrap w:val="0"/>
            <w:vAlign w:val="center"/>
          </w:tcPr>
          <w:p>
            <w:pPr>
              <w:keepNext w:val="0"/>
              <w:keepLines w:val="0"/>
              <w:suppressLineNumbers w:val="0"/>
              <w:spacing w:before="0" w:beforeAutospacing="0" w:after="0" w:afterAutospacing="0" w:line="300" w:lineRule="exact"/>
              <w:ind w:left="0" w:right="0"/>
              <w:jc w:val="center"/>
              <w:rPr>
                <w:rFonts w:hint="eastAsia" w:ascii="宋体" w:hAnsi="宋体"/>
                <w:kern w:val="2"/>
                <w:sz w:val="21"/>
                <w:szCs w:val="21"/>
              </w:rPr>
            </w:pPr>
          </w:p>
        </w:tc>
        <w:tc>
          <w:tcPr>
            <w:tcW w:w="2235" w:type="dxa"/>
            <w:gridSpan w:val="3"/>
            <w:noWrap w:val="0"/>
            <w:vAlign w:val="center"/>
          </w:tcPr>
          <w:p>
            <w:pPr>
              <w:keepNext w:val="0"/>
              <w:keepLines w:val="0"/>
              <w:suppressLineNumbers w:val="0"/>
              <w:spacing w:before="0" w:beforeAutospacing="0" w:after="0" w:afterAutospacing="0" w:line="300" w:lineRule="exact"/>
              <w:ind w:left="0" w:right="0"/>
              <w:jc w:val="center"/>
              <w:rPr>
                <w:rFonts w:hint="eastAsia"/>
                <w:kern w:val="2"/>
                <w:sz w:val="21"/>
                <w:szCs w:val="21"/>
              </w:rPr>
            </w:pPr>
            <w:r>
              <w:rPr>
                <w:rFonts w:hint="eastAsia"/>
                <w:kern w:val="2"/>
                <w:sz w:val="21"/>
                <w:szCs w:val="21"/>
              </w:rPr>
              <w:t>南面</w:t>
            </w:r>
            <w:r>
              <w:rPr>
                <w:rFonts w:hint="eastAsia"/>
                <w:kern w:val="2"/>
                <w:sz w:val="21"/>
                <w:szCs w:val="21"/>
                <w:lang w:val="en-US" w:eastAsia="zh-CN"/>
              </w:rPr>
              <w:t xml:space="preserve"> </w:t>
            </w:r>
            <w:r>
              <w:rPr>
                <w:rFonts w:hint="eastAsia"/>
                <w:kern w:val="2"/>
                <w:sz w:val="21"/>
                <w:szCs w:val="21"/>
              </w:rPr>
              <w:t>停车棚</w:t>
            </w:r>
          </w:p>
        </w:tc>
        <w:tc>
          <w:tcPr>
            <w:tcW w:w="1735" w:type="dxa"/>
            <w:noWrap w:val="0"/>
            <w:vAlign w:val="center"/>
          </w:tcPr>
          <w:p>
            <w:pPr>
              <w:keepNext w:val="0"/>
              <w:keepLines w:val="0"/>
              <w:suppressLineNumbers w:val="0"/>
              <w:spacing w:before="0" w:beforeAutospacing="0" w:after="0" w:afterAutospacing="0" w:line="300" w:lineRule="exact"/>
              <w:ind w:left="0" w:right="0"/>
              <w:jc w:val="center"/>
              <w:rPr>
                <w:rFonts w:hint="eastAsia"/>
                <w:b/>
                <w:bCs/>
                <w:kern w:val="2"/>
                <w:sz w:val="21"/>
                <w:szCs w:val="21"/>
              </w:rPr>
            </w:pPr>
            <w:r>
              <w:rPr>
                <w:rFonts w:hint="eastAsia"/>
                <w:b/>
                <w:bCs/>
                <w:kern w:val="2"/>
                <w:sz w:val="21"/>
                <w:szCs w:val="21"/>
              </w:rPr>
              <w:t>6</w:t>
            </w:r>
          </w:p>
        </w:tc>
        <w:tc>
          <w:tcPr>
            <w:tcW w:w="1005" w:type="dxa"/>
            <w:noWrap w:val="0"/>
            <w:vAlign w:val="center"/>
          </w:tcPr>
          <w:p>
            <w:pPr>
              <w:keepNext w:val="0"/>
              <w:keepLines w:val="0"/>
              <w:suppressLineNumbers w:val="0"/>
              <w:spacing w:before="0" w:beforeAutospacing="0" w:after="0" w:afterAutospacing="0" w:line="300" w:lineRule="exact"/>
              <w:ind w:left="0" w:right="0"/>
              <w:jc w:val="center"/>
              <w:rPr>
                <w:rFonts w:hint="default" w:eastAsia="宋体"/>
                <w:kern w:val="2"/>
                <w:sz w:val="21"/>
                <w:szCs w:val="21"/>
                <w:lang w:val="en-US" w:eastAsia="zh-CN"/>
              </w:rPr>
            </w:pPr>
            <w:r>
              <w:rPr>
                <w:rFonts w:hint="eastAsia"/>
                <w:kern w:val="2"/>
                <w:sz w:val="21"/>
                <w:szCs w:val="21"/>
                <w:lang w:val="en-US" w:eastAsia="zh-CN"/>
              </w:rPr>
              <w:t>9.17</w:t>
            </w:r>
          </w:p>
        </w:tc>
        <w:tc>
          <w:tcPr>
            <w:tcW w:w="867" w:type="dxa"/>
            <w:noWrap w:val="0"/>
            <w:vAlign w:val="center"/>
          </w:tcPr>
          <w:p>
            <w:pPr>
              <w:keepNext w:val="0"/>
              <w:keepLines w:val="0"/>
              <w:suppressLineNumbers w:val="0"/>
              <w:spacing w:before="0" w:beforeAutospacing="0" w:after="0" w:afterAutospacing="0" w:line="300" w:lineRule="exact"/>
              <w:ind w:left="0" w:right="0"/>
              <w:jc w:val="center"/>
              <w:rPr>
                <w:rFonts w:hint="eastAsia"/>
                <w:b/>
                <w:bCs/>
                <w:kern w:val="2"/>
                <w:sz w:val="21"/>
                <w:szCs w:val="21"/>
              </w:rPr>
            </w:pPr>
            <w:r>
              <w:rPr>
                <w:rFonts w:hint="eastAsia"/>
                <w:b/>
                <w:bCs/>
                <w:kern w:val="2"/>
                <w:sz w:val="21"/>
                <w:szCs w:val="21"/>
              </w:rPr>
              <w:t>6</w:t>
            </w:r>
          </w:p>
        </w:tc>
        <w:tc>
          <w:tcPr>
            <w:tcW w:w="827" w:type="dxa"/>
            <w:noWrap w:val="0"/>
            <w:vAlign w:val="center"/>
          </w:tcPr>
          <w:p>
            <w:pPr>
              <w:keepNext w:val="0"/>
              <w:keepLines w:val="0"/>
              <w:suppressLineNumbers w:val="0"/>
              <w:spacing w:before="0" w:beforeAutospacing="0" w:after="0" w:afterAutospacing="0" w:line="300" w:lineRule="exact"/>
              <w:ind w:left="0" w:right="0"/>
              <w:jc w:val="center"/>
              <w:rPr>
                <w:rFonts w:hint="eastAsia" w:eastAsia="宋体"/>
                <w:kern w:val="2"/>
                <w:sz w:val="21"/>
                <w:szCs w:val="21"/>
                <w:lang w:val="en-US" w:eastAsia="zh-CN"/>
              </w:rPr>
            </w:pPr>
            <w:r>
              <w:rPr>
                <w:rFonts w:hint="eastAsia"/>
                <w:kern w:val="2"/>
                <w:sz w:val="21"/>
                <w:szCs w:val="21"/>
              </w:rPr>
              <w:t>16.</w:t>
            </w:r>
            <w:r>
              <w:rPr>
                <w:rFonts w:hint="eastAsia"/>
                <w:kern w:val="2"/>
                <w:sz w:val="21"/>
                <w:szCs w:val="21"/>
                <w:lang w:val="en-US" w:eastAsia="zh-CN"/>
              </w:rPr>
              <w:t>0</w:t>
            </w:r>
          </w:p>
        </w:tc>
        <w:tc>
          <w:tcPr>
            <w:tcW w:w="867" w:type="dxa"/>
            <w:noWrap w:val="0"/>
            <w:vAlign w:val="center"/>
          </w:tcPr>
          <w:p>
            <w:pPr>
              <w:keepNext w:val="0"/>
              <w:keepLines w:val="0"/>
              <w:suppressLineNumbers w:val="0"/>
              <w:spacing w:before="0" w:beforeAutospacing="0" w:after="0" w:afterAutospacing="0" w:line="300" w:lineRule="exact"/>
              <w:ind w:left="0" w:right="0"/>
              <w:jc w:val="center"/>
              <w:rPr>
                <w:rFonts w:hint="eastAsia"/>
                <w:b/>
                <w:bCs/>
                <w:kern w:val="2"/>
                <w:sz w:val="21"/>
                <w:szCs w:val="21"/>
              </w:rPr>
            </w:pPr>
            <w:r>
              <w:rPr>
                <w:rFonts w:hint="eastAsia"/>
                <w:b/>
                <w:bCs/>
                <w:kern w:val="2"/>
                <w:sz w:val="21"/>
                <w:szCs w:val="21"/>
              </w:rPr>
              <w:t>6</w:t>
            </w:r>
          </w:p>
        </w:tc>
        <w:tc>
          <w:tcPr>
            <w:tcW w:w="885" w:type="dxa"/>
            <w:noWrap w:val="0"/>
            <w:vAlign w:val="center"/>
          </w:tcPr>
          <w:p>
            <w:pPr>
              <w:keepNext w:val="0"/>
              <w:keepLines w:val="0"/>
              <w:suppressLineNumbers w:val="0"/>
              <w:spacing w:before="0" w:beforeAutospacing="0" w:after="0" w:afterAutospacing="0" w:line="300" w:lineRule="exact"/>
              <w:ind w:left="0" w:right="0"/>
              <w:jc w:val="center"/>
              <w:rPr>
                <w:rFonts w:hint="default" w:eastAsia="宋体"/>
                <w:kern w:val="2"/>
                <w:sz w:val="21"/>
                <w:szCs w:val="21"/>
                <w:lang w:val="en-US" w:eastAsia="zh-CN"/>
              </w:rPr>
            </w:pPr>
            <w:r>
              <w:rPr>
                <w:rFonts w:hint="eastAsia"/>
                <w:kern w:val="2"/>
                <w:sz w:val="21"/>
                <w:szCs w:val="21"/>
                <w:lang w:val="en-US" w:eastAsia="zh-CN"/>
              </w:rPr>
              <w:t>43.1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935" w:type="dxa"/>
            <w:vMerge w:val="continue"/>
            <w:noWrap w:val="0"/>
            <w:vAlign w:val="center"/>
          </w:tcPr>
          <w:p>
            <w:pPr>
              <w:keepNext w:val="0"/>
              <w:keepLines w:val="0"/>
              <w:suppressLineNumbers w:val="0"/>
              <w:spacing w:before="0" w:beforeAutospacing="0" w:after="0" w:afterAutospacing="0" w:line="300" w:lineRule="exact"/>
              <w:ind w:left="0" w:right="0"/>
              <w:jc w:val="center"/>
              <w:rPr>
                <w:rFonts w:hint="eastAsia" w:ascii="宋体" w:hAnsi="宋体"/>
                <w:kern w:val="2"/>
                <w:sz w:val="21"/>
                <w:szCs w:val="21"/>
              </w:rPr>
            </w:pPr>
          </w:p>
        </w:tc>
        <w:tc>
          <w:tcPr>
            <w:tcW w:w="2235" w:type="dxa"/>
            <w:gridSpan w:val="3"/>
            <w:noWrap w:val="0"/>
            <w:vAlign w:val="center"/>
          </w:tcPr>
          <w:p>
            <w:pPr>
              <w:keepNext w:val="0"/>
              <w:keepLines w:val="0"/>
              <w:suppressLineNumbers w:val="0"/>
              <w:spacing w:before="0" w:beforeAutospacing="0" w:after="0" w:afterAutospacing="0" w:line="300" w:lineRule="exact"/>
              <w:ind w:left="0" w:right="0"/>
              <w:jc w:val="center"/>
              <w:rPr>
                <w:rFonts w:hint="eastAsia"/>
                <w:kern w:val="2"/>
                <w:sz w:val="21"/>
                <w:szCs w:val="21"/>
              </w:rPr>
            </w:pPr>
            <w:r>
              <w:rPr>
                <w:rFonts w:hint="eastAsia"/>
                <w:kern w:val="2"/>
                <w:sz w:val="21"/>
                <w:szCs w:val="21"/>
              </w:rPr>
              <w:t>南面</w:t>
            </w:r>
            <w:r>
              <w:rPr>
                <w:rFonts w:hint="eastAsia"/>
                <w:kern w:val="2"/>
                <w:sz w:val="21"/>
                <w:szCs w:val="21"/>
                <w:lang w:val="en-US" w:eastAsia="zh-CN"/>
              </w:rPr>
              <w:t xml:space="preserve"> </w:t>
            </w:r>
            <w:r>
              <w:rPr>
                <w:rFonts w:hint="eastAsia"/>
                <w:kern w:val="2"/>
                <w:sz w:val="21"/>
                <w:szCs w:val="21"/>
              </w:rPr>
              <w:t>杂物房</w:t>
            </w:r>
          </w:p>
        </w:tc>
        <w:tc>
          <w:tcPr>
            <w:tcW w:w="1735" w:type="dxa"/>
            <w:noWrap w:val="0"/>
            <w:vAlign w:val="center"/>
          </w:tcPr>
          <w:p>
            <w:pPr>
              <w:keepNext w:val="0"/>
              <w:keepLines w:val="0"/>
              <w:suppressLineNumbers w:val="0"/>
              <w:spacing w:before="0" w:beforeAutospacing="0" w:after="0" w:afterAutospacing="0" w:line="300" w:lineRule="exact"/>
              <w:ind w:left="0" w:right="0"/>
              <w:jc w:val="center"/>
              <w:rPr>
                <w:rFonts w:hint="eastAsia" w:eastAsia="宋体"/>
                <w:b/>
                <w:bCs/>
                <w:kern w:val="2"/>
                <w:sz w:val="21"/>
                <w:szCs w:val="21"/>
                <w:lang w:val="en-US" w:eastAsia="zh-CN"/>
              </w:rPr>
            </w:pPr>
            <w:r>
              <w:rPr>
                <w:rFonts w:hint="eastAsia"/>
                <w:b/>
                <w:bCs/>
                <w:kern w:val="2"/>
                <w:sz w:val="21"/>
                <w:szCs w:val="21"/>
                <w:lang w:val="en-US" w:eastAsia="zh-CN"/>
              </w:rPr>
              <w:t>6</w:t>
            </w:r>
          </w:p>
        </w:tc>
        <w:tc>
          <w:tcPr>
            <w:tcW w:w="1005" w:type="dxa"/>
            <w:noWrap w:val="0"/>
            <w:vAlign w:val="center"/>
          </w:tcPr>
          <w:p>
            <w:pPr>
              <w:keepNext w:val="0"/>
              <w:keepLines w:val="0"/>
              <w:suppressLineNumbers w:val="0"/>
              <w:spacing w:before="0" w:beforeAutospacing="0" w:after="0" w:afterAutospacing="0" w:line="300" w:lineRule="exact"/>
              <w:ind w:left="0" w:right="0"/>
              <w:jc w:val="center"/>
              <w:rPr>
                <w:rFonts w:hint="default" w:eastAsia="宋体"/>
                <w:kern w:val="2"/>
                <w:sz w:val="21"/>
                <w:szCs w:val="21"/>
                <w:lang w:val="en-US" w:eastAsia="zh-CN"/>
              </w:rPr>
            </w:pPr>
            <w:r>
              <w:rPr>
                <w:rFonts w:hint="eastAsia"/>
                <w:kern w:val="2"/>
                <w:sz w:val="21"/>
                <w:szCs w:val="21"/>
                <w:lang w:val="en-US" w:eastAsia="zh-CN"/>
              </w:rPr>
              <w:t>6.02</w:t>
            </w:r>
          </w:p>
        </w:tc>
        <w:tc>
          <w:tcPr>
            <w:tcW w:w="867" w:type="dxa"/>
            <w:noWrap w:val="0"/>
            <w:vAlign w:val="center"/>
          </w:tcPr>
          <w:p>
            <w:pPr>
              <w:keepNext w:val="0"/>
              <w:keepLines w:val="0"/>
              <w:suppressLineNumbers w:val="0"/>
              <w:spacing w:before="0" w:beforeAutospacing="0" w:after="0" w:afterAutospacing="0" w:line="300" w:lineRule="exact"/>
              <w:ind w:left="0" w:right="0"/>
              <w:jc w:val="center"/>
              <w:rPr>
                <w:rFonts w:hint="eastAsia" w:eastAsia="宋体"/>
                <w:b/>
                <w:bCs/>
                <w:kern w:val="2"/>
                <w:sz w:val="21"/>
                <w:szCs w:val="21"/>
                <w:lang w:val="en-US" w:eastAsia="zh-CN"/>
              </w:rPr>
            </w:pPr>
            <w:r>
              <w:rPr>
                <w:rFonts w:hint="eastAsia"/>
                <w:b/>
                <w:bCs/>
                <w:kern w:val="2"/>
                <w:sz w:val="21"/>
                <w:szCs w:val="21"/>
                <w:lang w:val="en-US" w:eastAsia="zh-CN"/>
              </w:rPr>
              <w:t>6</w:t>
            </w:r>
          </w:p>
        </w:tc>
        <w:tc>
          <w:tcPr>
            <w:tcW w:w="827" w:type="dxa"/>
            <w:noWrap w:val="0"/>
            <w:vAlign w:val="center"/>
          </w:tcPr>
          <w:p>
            <w:pPr>
              <w:keepNext w:val="0"/>
              <w:keepLines w:val="0"/>
              <w:suppressLineNumbers w:val="0"/>
              <w:spacing w:before="0" w:beforeAutospacing="0" w:after="0" w:afterAutospacing="0" w:line="300" w:lineRule="exact"/>
              <w:ind w:left="0" w:right="0"/>
              <w:jc w:val="center"/>
              <w:rPr>
                <w:rFonts w:hint="default" w:eastAsia="宋体"/>
                <w:kern w:val="2"/>
                <w:sz w:val="21"/>
                <w:szCs w:val="21"/>
                <w:lang w:val="en-US" w:eastAsia="zh-CN"/>
              </w:rPr>
            </w:pPr>
            <w:r>
              <w:rPr>
                <w:rFonts w:hint="eastAsia"/>
                <w:kern w:val="2"/>
                <w:sz w:val="21"/>
                <w:szCs w:val="21"/>
                <w:lang w:val="en-US" w:eastAsia="zh-CN"/>
              </w:rPr>
              <w:t>8.0</w:t>
            </w:r>
          </w:p>
        </w:tc>
        <w:tc>
          <w:tcPr>
            <w:tcW w:w="867" w:type="dxa"/>
            <w:noWrap w:val="0"/>
            <w:vAlign w:val="center"/>
          </w:tcPr>
          <w:p>
            <w:pPr>
              <w:keepNext w:val="0"/>
              <w:keepLines w:val="0"/>
              <w:suppressLineNumbers w:val="0"/>
              <w:spacing w:before="0" w:beforeAutospacing="0" w:after="0" w:afterAutospacing="0" w:line="300" w:lineRule="exact"/>
              <w:ind w:left="0" w:right="0"/>
              <w:jc w:val="center"/>
              <w:rPr>
                <w:rFonts w:hint="eastAsia" w:eastAsia="宋体"/>
                <w:b/>
                <w:bCs/>
                <w:kern w:val="2"/>
                <w:sz w:val="21"/>
                <w:szCs w:val="21"/>
                <w:lang w:val="en-US" w:eastAsia="zh-CN"/>
              </w:rPr>
            </w:pPr>
            <w:r>
              <w:rPr>
                <w:rFonts w:hint="eastAsia"/>
                <w:b/>
                <w:bCs/>
                <w:kern w:val="2"/>
                <w:sz w:val="21"/>
                <w:szCs w:val="21"/>
                <w:lang w:val="en-US" w:eastAsia="zh-CN"/>
              </w:rPr>
              <w:t>6</w:t>
            </w:r>
          </w:p>
        </w:tc>
        <w:tc>
          <w:tcPr>
            <w:tcW w:w="885" w:type="dxa"/>
            <w:noWrap w:val="0"/>
            <w:vAlign w:val="center"/>
          </w:tcPr>
          <w:p>
            <w:pPr>
              <w:keepNext w:val="0"/>
              <w:keepLines w:val="0"/>
              <w:suppressLineNumbers w:val="0"/>
              <w:spacing w:before="0" w:beforeAutospacing="0" w:after="0" w:afterAutospacing="0" w:line="300" w:lineRule="exact"/>
              <w:ind w:left="0" w:right="0"/>
              <w:jc w:val="center"/>
              <w:rPr>
                <w:rFonts w:hint="default" w:eastAsia="宋体"/>
                <w:kern w:val="2"/>
                <w:sz w:val="21"/>
                <w:szCs w:val="21"/>
                <w:lang w:val="en-US" w:eastAsia="zh-CN"/>
              </w:rPr>
            </w:pPr>
            <w:r>
              <w:rPr>
                <w:rFonts w:hint="eastAsia"/>
                <w:kern w:val="2"/>
                <w:sz w:val="21"/>
                <w:szCs w:val="21"/>
                <w:lang w:val="en-US" w:eastAsia="zh-CN"/>
              </w:rPr>
              <w:t>58.6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935" w:type="dxa"/>
            <w:vMerge w:val="continue"/>
            <w:noWrap w:val="0"/>
            <w:vAlign w:val="center"/>
          </w:tcPr>
          <w:p>
            <w:pPr>
              <w:keepNext w:val="0"/>
              <w:keepLines w:val="0"/>
              <w:suppressLineNumbers w:val="0"/>
              <w:spacing w:before="0" w:beforeAutospacing="0" w:after="0" w:afterAutospacing="0" w:line="300" w:lineRule="exact"/>
              <w:ind w:left="0" w:right="0"/>
              <w:jc w:val="center"/>
              <w:rPr>
                <w:rFonts w:hint="default" w:ascii="宋体" w:hAnsi="宋体"/>
                <w:kern w:val="2"/>
                <w:sz w:val="21"/>
                <w:szCs w:val="21"/>
              </w:rPr>
            </w:pPr>
          </w:p>
        </w:tc>
        <w:tc>
          <w:tcPr>
            <w:tcW w:w="2235" w:type="dxa"/>
            <w:gridSpan w:val="3"/>
            <w:noWrap w:val="0"/>
            <w:vAlign w:val="center"/>
          </w:tcPr>
          <w:p>
            <w:pPr>
              <w:keepNext w:val="0"/>
              <w:keepLines w:val="0"/>
              <w:suppressLineNumbers w:val="0"/>
              <w:spacing w:before="0" w:beforeAutospacing="0" w:after="0" w:afterAutospacing="0" w:line="300" w:lineRule="exact"/>
              <w:ind w:left="0" w:right="0"/>
              <w:jc w:val="center"/>
              <w:rPr>
                <w:rFonts w:hint="eastAsia"/>
                <w:kern w:val="2"/>
                <w:sz w:val="21"/>
                <w:szCs w:val="21"/>
              </w:rPr>
            </w:pPr>
            <w:r>
              <w:rPr>
                <w:rFonts w:hint="eastAsia"/>
                <w:kern w:val="2"/>
                <w:sz w:val="21"/>
                <w:szCs w:val="21"/>
              </w:rPr>
              <w:t>西北面</w:t>
            </w:r>
            <w:r>
              <w:rPr>
                <w:rFonts w:hint="eastAsia"/>
                <w:kern w:val="2"/>
                <w:sz w:val="21"/>
                <w:szCs w:val="21"/>
                <w:lang w:eastAsia="zh-CN"/>
              </w:rPr>
              <w:t>站内</w:t>
            </w:r>
            <w:r>
              <w:rPr>
                <w:rFonts w:hint="eastAsia"/>
                <w:kern w:val="2"/>
                <w:sz w:val="21"/>
                <w:szCs w:val="21"/>
                <w:lang w:val="en-US" w:eastAsia="zh-CN"/>
              </w:rPr>
              <w:t>3</w:t>
            </w:r>
            <w:r>
              <w:rPr>
                <w:rFonts w:hint="eastAsia"/>
                <w:kern w:val="2"/>
                <w:sz w:val="21"/>
                <w:szCs w:val="21"/>
              </w:rPr>
              <w:t>层综合楼</w:t>
            </w:r>
          </w:p>
        </w:tc>
        <w:tc>
          <w:tcPr>
            <w:tcW w:w="1735" w:type="dxa"/>
            <w:noWrap w:val="0"/>
            <w:vAlign w:val="center"/>
          </w:tcPr>
          <w:p>
            <w:pPr>
              <w:keepNext w:val="0"/>
              <w:keepLines w:val="0"/>
              <w:suppressLineNumbers w:val="0"/>
              <w:spacing w:before="0" w:beforeAutospacing="0" w:after="0" w:afterAutospacing="0" w:line="300" w:lineRule="exact"/>
              <w:ind w:left="0" w:right="0"/>
              <w:jc w:val="center"/>
              <w:rPr>
                <w:rFonts w:hint="default"/>
                <w:b/>
                <w:bCs/>
                <w:kern w:val="2"/>
                <w:sz w:val="21"/>
                <w:szCs w:val="21"/>
              </w:rPr>
            </w:pPr>
            <w:r>
              <w:rPr>
                <w:rFonts w:hint="eastAsia"/>
                <w:b/>
                <w:bCs/>
                <w:kern w:val="2"/>
                <w:sz w:val="21"/>
                <w:szCs w:val="21"/>
              </w:rPr>
              <w:t>6</w:t>
            </w:r>
          </w:p>
        </w:tc>
        <w:tc>
          <w:tcPr>
            <w:tcW w:w="1005" w:type="dxa"/>
            <w:noWrap w:val="0"/>
            <w:vAlign w:val="center"/>
          </w:tcPr>
          <w:p>
            <w:pPr>
              <w:keepNext w:val="0"/>
              <w:keepLines w:val="0"/>
              <w:suppressLineNumbers w:val="0"/>
              <w:spacing w:before="0" w:beforeAutospacing="0" w:after="0" w:afterAutospacing="0" w:line="300" w:lineRule="exact"/>
              <w:ind w:left="0" w:right="0"/>
              <w:jc w:val="center"/>
              <w:rPr>
                <w:rFonts w:hint="eastAsia"/>
                <w:kern w:val="2"/>
                <w:sz w:val="21"/>
                <w:szCs w:val="21"/>
              </w:rPr>
            </w:pPr>
            <w:r>
              <w:rPr>
                <w:rFonts w:hint="eastAsia"/>
                <w:kern w:val="2"/>
                <w:sz w:val="21"/>
                <w:szCs w:val="21"/>
              </w:rPr>
              <w:t>51.14</w:t>
            </w:r>
          </w:p>
        </w:tc>
        <w:tc>
          <w:tcPr>
            <w:tcW w:w="867" w:type="dxa"/>
            <w:noWrap w:val="0"/>
            <w:vAlign w:val="center"/>
          </w:tcPr>
          <w:p>
            <w:pPr>
              <w:keepNext w:val="0"/>
              <w:keepLines w:val="0"/>
              <w:suppressLineNumbers w:val="0"/>
              <w:spacing w:before="0" w:beforeAutospacing="0" w:after="0" w:afterAutospacing="0" w:line="300" w:lineRule="exact"/>
              <w:ind w:left="0" w:right="0"/>
              <w:jc w:val="center"/>
              <w:rPr>
                <w:rFonts w:hint="default"/>
                <w:b/>
                <w:bCs/>
                <w:kern w:val="2"/>
                <w:sz w:val="21"/>
                <w:szCs w:val="21"/>
              </w:rPr>
            </w:pPr>
            <w:r>
              <w:rPr>
                <w:rFonts w:hint="eastAsia"/>
                <w:b/>
                <w:bCs/>
                <w:kern w:val="2"/>
                <w:sz w:val="21"/>
                <w:szCs w:val="21"/>
              </w:rPr>
              <w:t>6</w:t>
            </w:r>
          </w:p>
        </w:tc>
        <w:tc>
          <w:tcPr>
            <w:tcW w:w="827" w:type="dxa"/>
            <w:noWrap w:val="0"/>
            <w:vAlign w:val="center"/>
          </w:tcPr>
          <w:p>
            <w:pPr>
              <w:keepNext w:val="0"/>
              <w:keepLines w:val="0"/>
              <w:suppressLineNumbers w:val="0"/>
              <w:spacing w:before="0" w:beforeAutospacing="0" w:after="0" w:afterAutospacing="0" w:line="300" w:lineRule="exact"/>
              <w:ind w:left="0" w:right="0"/>
              <w:jc w:val="center"/>
              <w:rPr>
                <w:rFonts w:hint="eastAsia"/>
                <w:kern w:val="2"/>
                <w:sz w:val="21"/>
                <w:szCs w:val="21"/>
              </w:rPr>
            </w:pPr>
            <w:r>
              <w:rPr>
                <w:rFonts w:hint="eastAsia"/>
                <w:kern w:val="2"/>
                <w:sz w:val="21"/>
                <w:szCs w:val="21"/>
              </w:rPr>
              <w:t>47.73</w:t>
            </w:r>
          </w:p>
        </w:tc>
        <w:tc>
          <w:tcPr>
            <w:tcW w:w="867" w:type="dxa"/>
            <w:noWrap w:val="0"/>
            <w:vAlign w:val="center"/>
          </w:tcPr>
          <w:p>
            <w:pPr>
              <w:keepNext w:val="0"/>
              <w:keepLines w:val="0"/>
              <w:suppressLineNumbers w:val="0"/>
              <w:spacing w:before="0" w:beforeAutospacing="0" w:after="0" w:afterAutospacing="0" w:line="300" w:lineRule="exact"/>
              <w:ind w:left="0" w:right="0"/>
              <w:jc w:val="center"/>
              <w:rPr>
                <w:rFonts w:hint="default"/>
                <w:b/>
                <w:bCs/>
                <w:kern w:val="2"/>
                <w:sz w:val="21"/>
                <w:szCs w:val="21"/>
              </w:rPr>
            </w:pPr>
            <w:r>
              <w:rPr>
                <w:rFonts w:hint="eastAsia"/>
                <w:b/>
                <w:bCs/>
                <w:kern w:val="2"/>
                <w:sz w:val="21"/>
                <w:szCs w:val="21"/>
              </w:rPr>
              <w:t>6</w:t>
            </w:r>
          </w:p>
        </w:tc>
        <w:tc>
          <w:tcPr>
            <w:tcW w:w="885" w:type="dxa"/>
            <w:noWrap w:val="0"/>
            <w:vAlign w:val="center"/>
          </w:tcPr>
          <w:p>
            <w:pPr>
              <w:keepNext w:val="0"/>
              <w:keepLines w:val="0"/>
              <w:suppressLineNumbers w:val="0"/>
              <w:spacing w:before="0" w:beforeAutospacing="0" w:after="0" w:afterAutospacing="0" w:line="300" w:lineRule="exact"/>
              <w:ind w:left="0" w:right="0"/>
              <w:jc w:val="center"/>
              <w:rPr>
                <w:rFonts w:hint="default" w:eastAsia="宋体"/>
                <w:kern w:val="2"/>
                <w:sz w:val="21"/>
                <w:szCs w:val="21"/>
                <w:lang w:val="en-US" w:eastAsia="zh-CN"/>
              </w:rPr>
            </w:pPr>
            <w:r>
              <w:rPr>
                <w:rFonts w:hint="eastAsia"/>
                <w:kern w:val="2"/>
                <w:sz w:val="21"/>
                <w:szCs w:val="21"/>
                <w:lang w:val="en-US" w:eastAsia="zh-CN"/>
              </w:rPr>
              <w:t>35.1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935" w:type="dxa"/>
            <w:vMerge w:val="continue"/>
            <w:noWrap w:val="0"/>
            <w:vAlign w:val="center"/>
          </w:tcPr>
          <w:p>
            <w:pPr>
              <w:keepNext w:val="0"/>
              <w:keepLines w:val="0"/>
              <w:suppressLineNumbers w:val="0"/>
              <w:spacing w:before="0" w:beforeAutospacing="0" w:after="0" w:afterAutospacing="0" w:line="300" w:lineRule="exact"/>
              <w:ind w:left="0" w:right="0"/>
              <w:jc w:val="center"/>
              <w:rPr>
                <w:rFonts w:hint="default" w:ascii="宋体" w:hAnsi="宋体"/>
                <w:kern w:val="2"/>
                <w:sz w:val="21"/>
                <w:szCs w:val="21"/>
              </w:rPr>
            </w:pPr>
          </w:p>
        </w:tc>
        <w:tc>
          <w:tcPr>
            <w:tcW w:w="2235" w:type="dxa"/>
            <w:gridSpan w:val="3"/>
            <w:noWrap w:val="0"/>
            <w:vAlign w:val="center"/>
          </w:tcPr>
          <w:p>
            <w:pPr>
              <w:keepNext w:val="0"/>
              <w:keepLines w:val="0"/>
              <w:suppressLineNumbers w:val="0"/>
              <w:spacing w:before="0" w:beforeAutospacing="0" w:after="0" w:afterAutospacing="0" w:line="300" w:lineRule="exact"/>
              <w:ind w:left="0" w:right="0"/>
              <w:jc w:val="center"/>
              <w:rPr>
                <w:rFonts w:hint="eastAsia"/>
                <w:kern w:val="2"/>
                <w:sz w:val="21"/>
                <w:szCs w:val="21"/>
              </w:rPr>
            </w:pPr>
            <w:r>
              <w:rPr>
                <w:rFonts w:hint="eastAsia"/>
                <w:kern w:val="2"/>
                <w:sz w:val="21"/>
                <w:szCs w:val="21"/>
              </w:rPr>
              <w:t>西南面鸡棚</w:t>
            </w:r>
          </w:p>
        </w:tc>
        <w:tc>
          <w:tcPr>
            <w:tcW w:w="1735" w:type="dxa"/>
            <w:noWrap w:val="0"/>
            <w:vAlign w:val="center"/>
          </w:tcPr>
          <w:p>
            <w:pPr>
              <w:keepNext w:val="0"/>
              <w:keepLines w:val="0"/>
              <w:suppressLineNumbers w:val="0"/>
              <w:spacing w:before="0" w:beforeAutospacing="0" w:after="0" w:afterAutospacing="0" w:line="300" w:lineRule="exact"/>
              <w:ind w:left="0" w:right="0"/>
              <w:jc w:val="center"/>
              <w:rPr>
                <w:rFonts w:hint="default"/>
                <w:b/>
                <w:bCs/>
                <w:kern w:val="2"/>
                <w:sz w:val="21"/>
                <w:szCs w:val="21"/>
              </w:rPr>
            </w:pPr>
            <w:r>
              <w:rPr>
                <w:rFonts w:hint="eastAsia"/>
                <w:b/>
                <w:bCs/>
                <w:kern w:val="2"/>
                <w:sz w:val="21"/>
                <w:szCs w:val="21"/>
              </w:rPr>
              <w:t>6</w:t>
            </w:r>
          </w:p>
        </w:tc>
        <w:tc>
          <w:tcPr>
            <w:tcW w:w="1005" w:type="dxa"/>
            <w:noWrap w:val="0"/>
            <w:vAlign w:val="center"/>
          </w:tcPr>
          <w:p>
            <w:pPr>
              <w:keepNext w:val="0"/>
              <w:keepLines w:val="0"/>
              <w:suppressLineNumbers w:val="0"/>
              <w:spacing w:before="0" w:beforeAutospacing="0" w:after="0" w:afterAutospacing="0" w:line="300" w:lineRule="exact"/>
              <w:ind w:left="0" w:right="0"/>
              <w:jc w:val="center"/>
              <w:rPr>
                <w:rFonts w:hint="eastAsia"/>
                <w:kern w:val="2"/>
                <w:sz w:val="21"/>
                <w:szCs w:val="21"/>
              </w:rPr>
            </w:pPr>
            <w:r>
              <w:rPr>
                <w:rFonts w:hint="eastAsia"/>
                <w:kern w:val="2"/>
                <w:sz w:val="21"/>
                <w:szCs w:val="21"/>
              </w:rPr>
              <w:t>14.20</w:t>
            </w:r>
          </w:p>
        </w:tc>
        <w:tc>
          <w:tcPr>
            <w:tcW w:w="867" w:type="dxa"/>
            <w:noWrap w:val="0"/>
            <w:vAlign w:val="center"/>
          </w:tcPr>
          <w:p>
            <w:pPr>
              <w:keepNext w:val="0"/>
              <w:keepLines w:val="0"/>
              <w:suppressLineNumbers w:val="0"/>
              <w:spacing w:before="0" w:beforeAutospacing="0" w:after="0" w:afterAutospacing="0" w:line="300" w:lineRule="exact"/>
              <w:ind w:left="0" w:right="0"/>
              <w:jc w:val="center"/>
              <w:rPr>
                <w:rFonts w:hint="default"/>
                <w:b/>
                <w:bCs/>
                <w:kern w:val="2"/>
                <w:sz w:val="21"/>
                <w:szCs w:val="21"/>
              </w:rPr>
            </w:pPr>
            <w:r>
              <w:rPr>
                <w:rFonts w:hint="eastAsia"/>
                <w:b/>
                <w:bCs/>
                <w:kern w:val="2"/>
                <w:sz w:val="21"/>
                <w:szCs w:val="21"/>
              </w:rPr>
              <w:t>6</w:t>
            </w:r>
          </w:p>
        </w:tc>
        <w:tc>
          <w:tcPr>
            <w:tcW w:w="827" w:type="dxa"/>
            <w:noWrap w:val="0"/>
            <w:vAlign w:val="center"/>
          </w:tcPr>
          <w:p>
            <w:pPr>
              <w:keepNext w:val="0"/>
              <w:keepLines w:val="0"/>
              <w:suppressLineNumbers w:val="0"/>
              <w:spacing w:before="0" w:beforeAutospacing="0" w:after="0" w:afterAutospacing="0" w:line="300" w:lineRule="exact"/>
              <w:ind w:left="0" w:right="0"/>
              <w:jc w:val="center"/>
              <w:rPr>
                <w:rFonts w:hint="eastAsia"/>
                <w:kern w:val="2"/>
                <w:sz w:val="21"/>
                <w:szCs w:val="21"/>
              </w:rPr>
            </w:pPr>
            <w:r>
              <w:rPr>
                <w:rFonts w:hint="eastAsia"/>
                <w:kern w:val="2"/>
                <w:sz w:val="21"/>
                <w:szCs w:val="21"/>
              </w:rPr>
              <w:t>16.88</w:t>
            </w:r>
          </w:p>
        </w:tc>
        <w:tc>
          <w:tcPr>
            <w:tcW w:w="867" w:type="dxa"/>
            <w:noWrap w:val="0"/>
            <w:vAlign w:val="center"/>
          </w:tcPr>
          <w:p>
            <w:pPr>
              <w:keepNext w:val="0"/>
              <w:keepLines w:val="0"/>
              <w:suppressLineNumbers w:val="0"/>
              <w:spacing w:before="0" w:beforeAutospacing="0" w:after="0" w:afterAutospacing="0" w:line="300" w:lineRule="exact"/>
              <w:ind w:left="0" w:right="0"/>
              <w:jc w:val="center"/>
              <w:rPr>
                <w:rFonts w:hint="default"/>
                <w:b/>
                <w:bCs/>
                <w:kern w:val="2"/>
                <w:sz w:val="21"/>
                <w:szCs w:val="21"/>
              </w:rPr>
            </w:pPr>
            <w:r>
              <w:rPr>
                <w:rFonts w:hint="eastAsia"/>
                <w:b/>
                <w:bCs/>
                <w:kern w:val="2"/>
                <w:sz w:val="21"/>
                <w:szCs w:val="21"/>
              </w:rPr>
              <w:t>6</w:t>
            </w:r>
          </w:p>
        </w:tc>
        <w:tc>
          <w:tcPr>
            <w:tcW w:w="885" w:type="dxa"/>
            <w:noWrap w:val="0"/>
            <w:vAlign w:val="center"/>
          </w:tcPr>
          <w:p>
            <w:pPr>
              <w:keepNext w:val="0"/>
              <w:keepLines w:val="0"/>
              <w:suppressLineNumbers w:val="0"/>
              <w:spacing w:before="0" w:beforeAutospacing="0" w:after="0" w:afterAutospacing="0" w:line="300" w:lineRule="exact"/>
              <w:ind w:left="0" w:right="0"/>
              <w:jc w:val="center"/>
              <w:rPr>
                <w:rFonts w:hint="default" w:eastAsia="宋体"/>
                <w:kern w:val="2"/>
                <w:sz w:val="21"/>
                <w:szCs w:val="21"/>
                <w:lang w:val="en-US" w:eastAsia="zh-CN"/>
              </w:rPr>
            </w:pPr>
            <w:r>
              <w:rPr>
                <w:rFonts w:hint="eastAsia"/>
                <w:kern w:val="2"/>
                <w:sz w:val="21"/>
                <w:szCs w:val="21"/>
                <w:lang w:val="en-US" w:eastAsia="zh-CN"/>
              </w:rPr>
              <w:t>73.8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935" w:type="dxa"/>
            <w:vMerge w:val="continue"/>
            <w:noWrap w:val="0"/>
            <w:vAlign w:val="center"/>
          </w:tcPr>
          <w:p>
            <w:pPr>
              <w:keepNext w:val="0"/>
              <w:keepLines w:val="0"/>
              <w:suppressLineNumbers w:val="0"/>
              <w:spacing w:before="0" w:beforeAutospacing="0" w:after="0" w:afterAutospacing="0" w:line="300" w:lineRule="exact"/>
              <w:ind w:left="0" w:right="0"/>
              <w:jc w:val="center"/>
              <w:rPr>
                <w:rFonts w:hint="default" w:ascii="宋体" w:hAnsi="宋体"/>
                <w:kern w:val="2"/>
                <w:sz w:val="21"/>
                <w:szCs w:val="21"/>
              </w:rPr>
            </w:pPr>
          </w:p>
        </w:tc>
        <w:tc>
          <w:tcPr>
            <w:tcW w:w="2235" w:type="dxa"/>
            <w:gridSpan w:val="3"/>
            <w:noWrap w:val="0"/>
            <w:vAlign w:val="center"/>
          </w:tcPr>
          <w:p>
            <w:pPr>
              <w:keepNext w:val="0"/>
              <w:keepLines w:val="0"/>
              <w:suppressLineNumbers w:val="0"/>
              <w:spacing w:before="0" w:beforeAutospacing="0" w:after="0" w:afterAutospacing="0" w:line="300" w:lineRule="exact"/>
              <w:ind w:left="0" w:leftChars="0" w:right="0" w:rightChars="0"/>
              <w:jc w:val="center"/>
              <w:rPr>
                <w:rFonts w:hint="eastAsia" w:ascii="宋体" w:hAnsi="宋体" w:eastAsia="宋体" w:cs="宋体"/>
                <w:kern w:val="2"/>
                <w:sz w:val="21"/>
                <w:szCs w:val="21"/>
                <w:lang w:val="zh-CN" w:eastAsia="zh-CN" w:bidi="zh-CN"/>
              </w:rPr>
            </w:pPr>
            <w:r>
              <w:rPr>
                <w:rFonts w:hint="eastAsia"/>
                <w:kern w:val="2"/>
                <w:sz w:val="21"/>
                <w:szCs w:val="21"/>
              </w:rPr>
              <w:t>西面</w:t>
            </w:r>
            <w:r>
              <w:rPr>
                <w:rFonts w:hint="eastAsia"/>
                <w:kern w:val="2"/>
                <w:sz w:val="21"/>
                <w:szCs w:val="21"/>
                <w:lang w:eastAsia="zh-CN"/>
              </w:rPr>
              <w:t>站内</w:t>
            </w:r>
            <w:r>
              <w:rPr>
                <w:rFonts w:hint="eastAsia"/>
                <w:kern w:val="2"/>
                <w:sz w:val="21"/>
                <w:szCs w:val="21"/>
              </w:rPr>
              <w:t>洗车机</w:t>
            </w:r>
          </w:p>
        </w:tc>
        <w:tc>
          <w:tcPr>
            <w:tcW w:w="1735" w:type="dxa"/>
            <w:noWrap w:val="0"/>
            <w:vAlign w:val="center"/>
          </w:tcPr>
          <w:p>
            <w:pPr>
              <w:keepNext w:val="0"/>
              <w:keepLines w:val="0"/>
              <w:suppressLineNumbers w:val="0"/>
              <w:spacing w:before="0" w:beforeAutospacing="0" w:after="0" w:afterAutospacing="0" w:line="300" w:lineRule="exact"/>
              <w:ind w:left="0" w:leftChars="0" w:right="0" w:rightChars="0"/>
              <w:jc w:val="center"/>
              <w:rPr>
                <w:rFonts w:hint="eastAsia" w:ascii="宋体" w:hAnsi="宋体" w:eastAsia="宋体" w:cs="宋体"/>
                <w:b/>
                <w:bCs/>
                <w:kern w:val="2"/>
                <w:sz w:val="21"/>
                <w:szCs w:val="21"/>
                <w:lang w:val="zh-CN" w:eastAsia="zh-CN" w:bidi="zh-CN"/>
              </w:rPr>
            </w:pPr>
            <w:r>
              <w:rPr>
                <w:rFonts w:hint="eastAsia"/>
                <w:b/>
                <w:bCs/>
                <w:kern w:val="2"/>
                <w:sz w:val="21"/>
                <w:szCs w:val="21"/>
              </w:rPr>
              <w:t>6</w:t>
            </w:r>
          </w:p>
        </w:tc>
        <w:tc>
          <w:tcPr>
            <w:tcW w:w="1005" w:type="dxa"/>
            <w:noWrap w:val="0"/>
            <w:vAlign w:val="center"/>
          </w:tcPr>
          <w:p>
            <w:pPr>
              <w:keepNext w:val="0"/>
              <w:keepLines w:val="0"/>
              <w:suppressLineNumbers w:val="0"/>
              <w:spacing w:before="0" w:beforeAutospacing="0" w:after="0" w:afterAutospacing="0" w:line="300" w:lineRule="exact"/>
              <w:ind w:left="0" w:leftChars="0" w:right="0" w:rightChars="0"/>
              <w:jc w:val="center"/>
              <w:rPr>
                <w:rFonts w:hint="default" w:ascii="宋体" w:hAnsi="宋体" w:eastAsia="宋体" w:cs="宋体"/>
                <w:kern w:val="2"/>
                <w:sz w:val="21"/>
                <w:szCs w:val="21"/>
                <w:lang w:val="en-US" w:eastAsia="zh-CN" w:bidi="zh-CN"/>
              </w:rPr>
            </w:pPr>
            <w:r>
              <w:rPr>
                <w:rFonts w:hint="eastAsia"/>
                <w:kern w:val="2"/>
                <w:sz w:val="21"/>
                <w:szCs w:val="21"/>
                <w:lang w:val="en-US" w:eastAsia="zh-CN"/>
              </w:rPr>
              <w:t>32</w:t>
            </w:r>
          </w:p>
        </w:tc>
        <w:tc>
          <w:tcPr>
            <w:tcW w:w="867" w:type="dxa"/>
            <w:noWrap w:val="0"/>
            <w:vAlign w:val="center"/>
          </w:tcPr>
          <w:p>
            <w:pPr>
              <w:keepNext w:val="0"/>
              <w:keepLines w:val="0"/>
              <w:suppressLineNumbers w:val="0"/>
              <w:spacing w:before="0" w:beforeAutospacing="0" w:after="0" w:afterAutospacing="0" w:line="300" w:lineRule="exact"/>
              <w:ind w:left="0" w:leftChars="0" w:right="0" w:rightChars="0"/>
              <w:jc w:val="center"/>
              <w:rPr>
                <w:rFonts w:hint="eastAsia" w:ascii="宋体" w:hAnsi="宋体" w:eastAsia="宋体" w:cs="宋体"/>
                <w:b/>
                <w:bCs/>
                <w:kern w:val="2"/>
                <w:sz w:val="21"/>
                <w:szCs w:val="21"/>
                <w:lang w:val="zh-CN" w:eastAsia="zh-CN" w:bidi="zh-CN"/>
              </w:rPr>
            </w:pPr>
            <w:r>
              <w:rPr>
                <w:rFonts w:hint="eastAsia"/>
                <w:b/>
                <w:bCs/>
                <w:kern w:val="2"/>
                <w:sz w:val="21"/>
                <w:szCs w:val="21"/>
              </w:rPr>
              <w:t>6</w:t>
            </w:r>
          </w:p>
        </w:tc>
        <w:tc>
          <w:tcPr>
            <w:tcW w:w="827" w:type="dxa"/>
            <w:noWrap w:val="0"/>
            <w:vAlign w:val="center"/>
          </w:tcPr>
          <w:p>
            <w:pPr>
              <w:keepNext w:val="0"/>
              <w:keepLines w:val="0"/>
              <w:suppressLineNumbers w:val="0"/>
              <w:spacing w:before="0" w:beforeAutospacing="0" w:after="0" w:afterAutospacing="0" w:line="300" w:lineRule="exact"/>
              <w:ind w:left="0" w:leftChars="0" w:right="0" w:rightChars="0"/>
              <w:jc w:val="center"/>
              <w:rPr>
                <w:rFonts w:hint="default" w:ascii="宋体" w:hAnsi="宋体" w:eastAsia="宋体" w:cs="宋体"/>
                <w:kern w:val="2"/>
                <w:sz w:val="21"/>
                <w:szCs w:val="21"/>
                <w:lang w:val="en-US" w:eastAsia="zh-CN" w:bidi="zh-CN"/>
              </w:rPr>
            </w:pPr>
            <w:r>
              <w:rPr>
                <w:rFonts w:hint="eastAsia" w:cs="宋体"/>
                <w:kern w:val="2"/>
                <w:sz w:val="21"/>
                <w:szCs w:val="21"/>
                <w:lang w:val="en-US" w:eastAsia="zh-CN" w:bidi="zh-CN"/>
              </w:rPr>
              <w:t>27.5</w:t>
            </w:r>
          </w:p>
        </w:tc>
        <w:tc>
          <w:tcPr>
            <w:tcW w:w="867" w:type="dxa"/>
            <w:noWrap w:val="0"/>
            <w:vAlign w:val="center"/>
          </w:tcPr>
          <w:p>
            <w:pPr>
              <w:keepNext w:val="0"/>
              <w:keepLines w:val="0"/>
              <w:suppressLineNumbers w:val="0"/>
              <w:spacing w:before="0" w:beforeAutospacing="0" w:after="0" w:afterAutospacing="0" w:line="300" w:lineRule="exact"/>
              <w:ind w:left="0" w:leftChars="0" w:right="0" w:rightChars="0"/>
              <w:jc w:val="center"/>
              <w:rPr>
                <w:rFonts w:hint="eastAsia" w:ascii="宋体" w:hAnsi="宋体" w:eastAsia="宋体" w:cs="宋体"/>
                <w:b/>
                <w:bCs/>
                <w:kern w:val="2"/>
                <w:sz w:val="21"/>
                <w:szCs w:val="21"/>
                <w:lang w:val="zh-CN" w:eastAsia="zh-CN" w:bidi="zh-CN"/>
              </w:rPr>
            </w:pPr>
            <w:r>
              <w:rPr>
                <w:rFonts w:hint="eastAsia"/>
                <w:b/>
                <w:bCs/>
                <w:kern w:val="2"/>
                <w:sz w:val="21"/>
                <w:szCs w:val="21"/>
              </w:rPr>
              <w:t>6</w:t>
            </w:r>
          </w:p>
        </w:tc>
        <w:tc>
          <w:tcPr>
            <w:tcW w:w="885" w:type="dxa"/>
            <w:noWrap w:val="0"/>
            <w:vAlign w:val="center"/>
          </w:tcPr>
          <w:p>
            <w:pPr>
              <w:keepNext w:val="0"/>
              <w:keepLines w:val="0"/>
              <w:suppressLineNumbers w:val="0"/>
              <w:spacing w:before="0" w:beforeAutospacing="0" w:after="0" w:afterAutospacing="0" w:line="300" w:lineRule="exact"/>
              <w:ind w:left="0" w:leftChars="0" w:right="0" w:rightChars="0"/>
              <w:jc w:val="center"/>
              <w:rPr>
                <w:rFonts w:hint="default" w:ascii="宋体" w:hAnsi="宋体" w:eastAsia="宋体" w:cs="宋体"/>
                <w:kern w:val="2"/>
                <w:sz w:val="21"/>
                <w:szCs w:val="21"/>
                <w:lang w:val="en-US" w:eastAsia="zh-CN" w:bidi="zh-CN"/>
              </w:rPr>
            </w:pPr>
            <w:r>
              <w:rPr>
                <w:rFonts w:hint="eastAsia"/>
                <w:kern w:val="2"/>
                <w:sz w:val="21"/>
                <w:szCs w:val="21"/>
                <w:lang w:val="en-US" w:eastAsia="zh-CN"/>
              </w:rPr>
              <w:t>48.2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170" w:type="dxa"/>
            <w:gridSpan w:val="4"/>
            <w:noWrap w:val="0"/>
            <w:vAlign w:val="center"/>
          </w:tcPr>
          <w:p>
            <w:pPr>
              <w:keepNext w:val="0"/>
              <w:keepLines w:val="0"/>
              <w:suppressLineNumbers w:val="0"/>
              <w:spacing w:before="0" w:beforeAutospacing="0" w:after="0" w:afterAutospacing="0" w:line="300" w:lineRule="exact"/>
              <w:ind w:left="0" w:right="0"/>
              <w:jc w:val="center"/>
              <w:rPr>
                <w:rFonts w:hint="eastAsia" w:ascii="宋体" w:hAnsi="宋体"/>
                <w:kern w:val="2"/>
                <w:sz w:val="21"/>
                <w:szCs w:val="21"/>
              </w:rPr>
            </w:pPr>
            <w:r>
              <w:rPr>
                <w:rFonts w:hint="eastAsia" w:ascii="宋体" w:hAnsi="宋体"/>
                <w:kern w:val="2"/>
                <w:sz w:val="21"/>
                <w:szCs w:val="21"/>
              </w:rPr>
              <w:t>甲、乙类物品生产厂房、库房和甲、乙类液体储罐</w:t>
            </w:r>
          </w:p>
        </w:tc>
        <w:tc>
          <w:tcPr>
            <w:tcW w:w="1735" w:type="dxa"/>
            <w:noWrap w:val="0"/>
            <w:vAlign w:val="center"/>
          </w:tcPr>
          <w:p>
            <w:pPr>
              <w:keepNext w:val="0"/>
              <w:keepLines w:val="0"/>
              <w:suppressLineNumbers w:val="0"/>
              <w:spacing w:before="0" w:beforeAutospacing="0" w:after="0" w:afterAutospacing="0" w:line="300" w:lineRule="exact"/>
              <w:ind w:left="0" w:right="0"/>
              <w:jc w:val="center"/>
              <w:rPr>
                <w:rFonts w:hint="eastAsia"/>
                <w:b/>
                <w:bCs/>
                <w:kern w:val="2"/>
                <w:sz w:val="21"/>
                <w:szCs w:val="21"/>
              </w:rPr>
            </w:pPr>
            <w:r>
              <w:rPr>
                <w:rFonts w:hint="eastAsia"/>
                <w:b/>
                <w:bCs/>
                <w:kern w:val="2"/>
                <w:sz w:val="21"/>
                <w:szCs w:val="21"/>
              </w:rPr>
              <w:t>11</w:t>
            </w:r>
          </w:p>
        </w:tc>
        <w:tc>
          <w:tcPr>
            <w:tcW w:w="1005" w:type="dxa"/>
            <w:noWrap w:val="0"/>
            <w:vAlign w:val="center"/>
          </w:tcPr>
          <w:p>
            <w:pPr>
              <w:keepNext w:val="0"/>
              <w:keepLines w:val="0"/>
              <w:suppressLineNumbers w:val="0"/>
              <w:spacing w:before="0" w:beforeAutospacing="0" w:after="0" w:afterAutospacing="0" w:line="300" w:lineRule="exact"/>
              <w:ind w:left="0" w:right="0"/>
              <w:jc w:val="center"/>
              <w:rPr>
                <w:rFonts w:hint="default"/>
                <w:kern w:val="2"/>
                <w:sz w:val="21"/>
                <w:szCs w:val="21"/>
              </w:rPr>
            </w:pPr>
            <w:r>
              <w:rPr>
                <w:rFonts w:hint="eastAsia"/>
                <w:kern w:val="2"/>
                <w:sz w:val="21"/>
                <w:szCs w:val="21"/>
              </w:rPr>
              <w:t>—</w:t>
            </w:r>
          </w:p>
        </w:tc>
        <w:tc>
          <w:tcPr>
            <w:tcW w:w="867" w:type="dxa"/>
            <w:noWrap w:val="0"/>
            <w:vAlign w:val="center"/>
          </w:tcPr>
          <w:p>
            <w:pPr>
              <w:keepNext w:val="0"/>
              <w:keepLines w:val="0"/>
              <w:suppressLineNumbers w:val="0"/>
              <w:spacing w:before="0" w:beforeAutospacing="0" w:after="0" w:afterAutospacing="0" w:line="300" w:lineRule="exact"/>
              <w:ind w:left="0" w:right="0"/>
              <w:jc w:val="center"/>
              <w:rPr>
                <w:rFonts w:hint="eastAsia"/>
                <w:b/>
                <w:bCs/>
                <w:kern w:val="2"/>
                <w:sz w:val="21"/>
                <w:szCs w:val="21"/>
              </w:rPr>
            </w:pPr>
            <w:r>
              <w:rPr>
                <w:rFonts w:hint="eastAsia"/>
                <w:b/>
                <w:bCs/>
                <w:kern w:val="2"/>
                <w:sz w:val="21"/>
                <w:szCs w:val="21"/>
              </w:rPr>
              <w:t>9</w:t>
            </w:r>
          </w:p>
        </w:tc>
        <w:tc>
          <w:tcPr>
            <w:tcW w:w="827" w:type="dxa"/>
            <w:noWrap w:val="0"/>
            <w:vAlign w:val="center"/>
          </w:tcPr>
          <w:p>
            <w:pPr>
              <w:keepNext w:val="0"/>
              <w:keepLines w:val="0"/>
              <w:suppressLineNumbers w:val="0"/>
              <w:spacing w:before="0" w:beforeAutospacing="0" w:after="0" w:afterAutospacing="0" w:line="300" w:lineRule="exact"/>
              <w:ind w:left="0" w:right="0"/>
              <w:jc w:val="center"/>
              <w:rPr>
                <w:rFonts w:hint="default"/>
                <w:kern w:val="2"/>
                <w:sz w:val="21"/>
                <w:szCs w:val="21"/>
              </w:rPr>
            </w:pPr>
            <w:r>
              <w:rPr>
                <w:rFonts w:hint="eastAsia"/>
                <w:kern w:val="2"/>
                <w:sz w:val="21"/>
                <w:szCs w:val="21"/>
              </w:rPr>
              <w:t>—</w:t>
            </w:r>
          </w:p>
        </w:tc>
        <w:tc>
          <w:tcPr>
            <w:tcW w:w="867" w:type="dxa"/>
            <w:noWrap w:val="0"/>
            <w:vAlign w:val="center"/>
          </w:tcPr>
          <w:p>
            <w:pPr>
              <w:keepNext w:val="0"/>
              <w:keepLines w:val="0"/>
              <w:suppressLineNumbers w:val="0"/>
              <w:spacing w:before="0" w:beforeAutospacing="0" w:after="0" w:afterAutospacing="0" w:line="300" w:lineRule="exact"/>
              <w:ind w:left="0" w:right="0"/>
              <w:jc w:val="center"/>
              <w:rPr>
                <w:rFonts w:hint="eastAsia"/>
                <w:b/>
                <w:bCs/>
                <w:kern w:val="2"/>
                <w:sz w:val="21"/>
                <w:szCs w:val="21"/>
              </w:rPr>
            </w:pPr>
            <w:r>
              <w:rPr>
                <w:rFonts w:hint="eastAsia"/>
                <w:b/>
                <w:bCs/>
                <w:kern w:val="2"/>
                <w:sz w:val="21"/>
                <w:szCs w:val="21"/>
              </w:rPr>
              <w:t>9</w:t>
            </w:r>
          </w:p>
        </w:tc>
        <w:tc>
          <w:tcPr>
            <w:tcW w:w="885" w:type="dxa"/>
            <w:noWrap w:val="0"/>
            <w:vAlign w:val="center"/>
          </w:tcPr>
          <w:p>
            <w:pPr>
              <w:keepNext w:val="0"/>
              <w:keepLines w:val="0"/>
              <w:suppressLineNumbers w:val="0"/>
              <w:spacing w:before="0" w:beforeAutospacing="0" w:after="0" w:afterAutospacing="0" w:line="300" w:lineRule="exact"/>
              <w:ind w:left="0" w:right="0"/>
              <w:jc w:val="center"/>
              <w:rPr>
                <w:rFonts w:hint="default"/>
                <w:kern w:val="2"/>
                <w:sz w:val="21"/>
                <w:szCs w:val="21"/>
              </w:rPr>
            </w:pPr>
            <w:r>
              <w:rPr>
                <w:rFonts w:hint="eastAsia"/>
                <w:kern w:val="2"/>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02" w:type="dxa"/>
            <w:gridSpan w:val="3"/>
            <w:vMerge w:val="restart"/>
            <w:noWrap w:val="0"/>
            <w:vAlign w:val="center"/>
          </w:tcPr>
          <w:p>
            <w:pPr>
              <w:keepNext w:val="0"/>
              <w:keepLines w:val="0"/>
              <w:suppressLineNumbers w:val="0"/>
              <w:spacing w:before="0" w:beforeAutospacing="0" w:after="0" w:afterAutospacing="0" w:line="300" w:lineRule="exact"/>
              <w:ind w:left="0" w:right="0"/>
              <w:jc w:val="center"/>
              <w:rPr>
                <w:rFonts w:hint="eastAsia" w:ascii="宋体" w:hAnsi="宋体"/>
                <w:kern w:val="2"/>
                <w:sz w:val="21"/>
                <w:szCs w:val="21"/>
              </w:rPr>
            </w:pPr>
            <w:r>
              <w:rPr>
                <w:rFonts w:hint="eastAsia" w:ascii="宋体" w:hAnsi="宋体"/>
                <w:kern w:val="2"/>
                <w:sz w:val="21"/>
                <w:szCs w:val="21"/>
              </w:rPr>
              <w:t>丙、丁、戊类物品生产厂</w:t>
            </w:r>
            <w:r>
              <w:rPr>
                <w:rFonts w:hint="default" w:ascii="宋体" w:hAnsi="宋体"/>
                <w:kern w:val="2"/>
                <w:sz w:val="21"/>
                <w:szCs w:val="21"/>
              </w:rPr>
              <w:t>房、</w:t>
            </w:r>
            <w:r>
              <w:rPr>
                <w:rFonts w:hint="eastAsia" w:ascii="宋体" w:hAnsi="宋体"/>
                <w:kern w:val="2"/>
                <w:sz w:val="21"/>
                <w:szCs w:val="21"/>
              </w:rPr>
              <w:t>库房和</w:t>
            </w:r>
            <w:r>
              <w:rPr>
                <w:rFonts w:hint="default" w:ascii="宋体" w:hAnsi="宋体"/>
                <w:kern w:val="2"/>
                <w:sz w:val="21"/>
                <w:szCs w:val="21"/>
              </w:rPr>
              <w:t>丙类</w:t>
            </w:r>
            <w:r>
              <w:rPr>
                <w:rFonts w:hint="eastAsia" w:ascii="宋体" w:hAnsi="宋体"/>
                <w:kern w:val="2"/>
                <w:sz w:val="21"/>
                <w:szCs w:val="21"/>
              </w:rPr>
              <w:t>液体</w:t>
            </w:r>
            <w:r>
              <w:rPr>
                <w:rFonts w:hint="default" w:ascii="宋体" w:hAnsi="宋体"/>
                <w:kern w:val="2"/>
                <w:sz w:val="21"/>
                <w:szCs w:val="21"/>
              </w:rPr>
              <w:t>储罐</w:t>
            </w:r>
            <w:r>
              <w:rPr>
                <w:rFonts w:hint="eastAsia" w:ascii="宋体" w:hAnsi="宋体"/>
                <w:kern w:val="2"/>
                <w:sz w:val="21"/>
                <w:szCs w:val="21"/>
              </w:rPr>
              <w:t>以及单罐容积不大于</w:t>
            </w:r>
            <w:r>
              <w:rPr>
                <w:rFonts w:hint="default" w:ascii="宋体" w:hAnsi="宋体"/>
                <w:kern w:val="2"/>
                <w:sz w:val="21"/>
                <w:szCs w:val="21"/>
              </w:rPr>
              <w:t>50m</w:t>
            </w:r>
            <w:r>
              <w:rPr>
                <w:rFonts w:hint="default" w:ascii="宋体" w:hAnsi="宋体"/>
                <w:kern w:val="2"/>
                <w:sz w:val="21"/>
                <w:szCs w:val="21"/>
                <w:vertAlign w:val="superscript"/>
              </w:rPr>
              <w:t>3</w:t>
            </w:r>
            <w:r>
              <w:rPr>
                <w:rFonts w:hint="default" w:ascii="宋体" w:hAnsi="宋体"/>
                <w:kern w:val="2"/>
                <w:sz w:val="21"/>
                <w:szCs w:val="21"/>
              </w:rPr>
              <w:t>的埋地甲、乙类</w:t>
            </w:r>
            <w:r>
              <w:rPr>
                <w:rFonts w:hint="eastAsia" w:ascii="宋体" w:hAnsi="宋体"/>
                <w:kern w:val="2"/>
                <w:sz w:val="21"/>
                <w:szCs w:val="21"/>
              </w:rPr>
              <w:t>液体</w:t>
            </w:r>
            <w:r>
              <w:rPr>
                <w:rFonts w:hint="default" w:ascii="宋体" w:hAnsi="宋体"/>
                <w:kern w:val="2"/>
                <w:sz w:val="21"/>
                <w:szCs w:val="21"/>
              </w:rPr>
              <w:t>储罐</w:t>
            </w:r>
          </w:p>
        </w:tc>
        <w:tc>
          <w:tcPr>
            <w:tcW w:w="1268" w:type="dxa"/>
            <w:noWrap w:val="0"/>
            <w:vAlign w:val="center"/>
          </w:tcPr>
          <w:p>
            <w:pPr>
              <w:keepNext w:val="0"/>
              <w:keepLines w:val="0"/>
              <w:suppressLineNumbers w:val="0"/>
              <w:spacing w:before="0" w:beforeAutospacing="0" w:after="0" w:afterAutospacing="0" w:line="300" w:lineRule="exact"/>
              <w:ind w:left="0" w:leftChars="0" w:right="0" w:rightChars="0"/>
              <w:jc w:val="center"/>
              <w:rPr>
                <w:rFonts w:hint="eastAsia" w:ascii="宋体" w:hAnsi="宋体" w:eastAsia="宋体" w:cs="宋体"/>
                <w:kern w:val="2"/>
                <w:sz w:val="21"/>
                <w:szCs w:val="21"/>
                <w:lang w:val="zh-CN" w:eastAsia="zh-CN" w:bidi="zh-CN"/>
              </w:rPr>
            </w:pPr>
            <w:r>
              <w:rPr>
                <w:rFonts w:hint="eastAsia"/>
                <w:kern w:val="2"/>
                <w:sz w:val="21"/>
                <w:szCs w:val="21"/>
              </w:rPr>
              <w:t>西北</w:t>
            </w:r>
            <w:r>
              <w:rPr>
                <w:rFonts w:hint="default"/>
                <w:kern w:val="2"/>
                <w:sz w:val="21"/>
                <w:szCs w:val="21"/>
              </w:rPr>
              <w:t>面</w:t>
            </w:r>
            <w:r>
              <w:rPr>
                <w:rFonts w:hint="eastAsia"/>
                <w:kern w:val="2"/>
                <w:sz w:val="21"/>
                <w:szCs w:val="21"/>
              </w:rPr>
              <w:t>垃圾中转站</w:t>
            </w:r>
          </w:p>
        </w:tc>
        <w:tc>
          <w:tcPr>
            <w:tcW w:w="1735" w:type="dxa"/>
            <w:noWrap w:val="0"/>
            <w:vAlign w:val="center"/>
          </w:tcPr>
          <w:p>
            <w:pPr>
              <w:keepNext w:val="0"/>
              <w:keepLines w:val="0"/>
              <w:suppressLineNumbers w:val="0"/>
              <w:spacing w:before="0" w:beforeAutospacing="0" w:after="0" w:afterAutospacing="0" w:line="300" w:lineRule="exact"/>
              <w:ind w:left="0" w:leftChars="0" w:right="0" w:rightChars="0"/>
              <w:jc w:val="center"/>
              <w:rPr>
                <w:rFonts w:hint="eastAsia" w:ascii="宋体" w:hAnsi="宋体" w:eastAsia="宋体" w:cs="宋体"/>
                <w:b/>
                <w:bCs/>
                <w:kern w:val="2"/>
                <w:sz w:val="21"/>
                <w:szCs w:val="21"/>
                <w:lang w:val="zh-CN" w:eastAsia="zh-CN" w:bidi="zh-CN"/>
              </w:rPr>
            </w:pPr>
            <w:r>
              <w:rPr>
                <w:rFonts w:hint="eastAsia"/>
                <w:b/>
                <w:bCs/>
                <w:kern w:val="2"/>
                <w:sz w:val="21"/>
                <w:szCs w:val="21"/>
              </w:rPr>
              <w:t>9</w:t>
            </w:r>
          </w:p>
        </w:tc>
        <w:tc>
          <w:tcPr>
            <w:tcW w:w="1005" w:type="dxa"/>
            <w:noWrap w:val="0"/>
            <w:vAlign w:val="center"/>
          </w:tcPr>
          <w:p>
            <w:pPr>
              <w:keepNext w:val="0"/>
              <w:keepLines w:val="0"/>
              <w:suppressLineNumbers w:val="0"/>
              <w:spacing w:before="0" w:beforeAutospacing="0" w:after="0" w:afterAutospacing="0" w:line="300" w:lineRule="exact"/>
              <w:ind w:left="0" w:leftChars="0" w:right="0" w:rightChars="0"/>
              <w:jc w:val="center"/>
              <w:rPr>
                <w:rFonts w:hint="eastAsia" w:ascii="宋体" w:hAnsi="宋体" w:eastAsia="宋体" w:cs="宋体"/>
                <w:kern w:val="2"/>
                <w:sz w:val="21"/>
                <w:szCs w:val="21"/>
                <w:lang w:val="zh-CN" w:eastAsia="zh-CN" w:bidi="zh-CN"/>
              </w:rPr>
            </w:pPr>
            <w:r>
              <w:rPr>
                <w:rFonts w:hint="eastAsia"/>
                <w:kern w:val="2"/>
                <w:sz w:val="21"/>
                <w:szCs w:val="21"/>
              </w:rPr>
              <w:t>51.86</w:t>
            </w:r>
          </w:p>
        </w:tc>
        <w:tc>
          <w:tcPr>
            <w:tcW w:w="867" w:type="dxa"/>
            <w:noWrap w:val="0"/>
            <w:vAlign w:val="center"/>
          </w:tcPr>
          <w:p>
            <w:pPr>
              <w:keepNext w:val="0"/>
              <w:keepLines w:val="0"/>
              <w:suppressLineNumbers w:val="0"/>
              <w:spacing w:before="0" w:beforeAutospacing="0" w:after="0" w:afterAutospacing="0" w:line="300" w:lineRule="exact"/>
              <w:ind w:left="0" w:leftChars="0" w:right="0" w:rightChars="0"/>
              <w:jc w:val="center"/>
              <w:rPr>
                <w:rFonts w:hint="eastAsia" w:ascii="宋体" w:hAnsi="宋体" w:eastAsia="宋体" w:cs="宋体"/>
                <w:b/>
                <w:bCs/>
                <w:kern w:val="2"/>
                <w:sz w:val="21"/>
                <w:szCs w:val="21"/>
                <w:lang w:val="zh-CN" w:eastAsia="zh-CN" w:bidi="zh-CN"/>
              </w:rPr>
            </w:pPr>
            <w:r>
              <w:rPr>
                <w:rFonts w:hint="eastAsia"/>
                <w:b/>
                <w:bCs/>
                <w:kern w:val="2"/>
                <w:sz w:val="21"/>
                <w:szCs w:val="21"/>
              </w:rPr>
              <w:t>9</w:t>
            </w:r>
          </w:p>
        </w:tc>
        <w:tc>
          <w:tcPr>
            <w:tcW w:w="827" w:type="dxa"/>
            <w:noWrap w:val="0"/>
            <w:vAlign w:val="center"/>
          </w:tcPr>
          <w:p>
            <w:pPr>
              <w:keepNext w:val="0"/>
              <w:keepLines w:val="0"/>
              <w:suppressLineNumbers w:val="0"/>
              <w:spacing w:before="0" w:beforeAutospacing="0" w:after="0" w:afterAutospacing="0" w:line="300" w:lineRule="exact"/>
              <w:ind w:left="0" w:leftChars="0" w:right="0" w:rightChars="0"/>
              <w:jc w:val="center"/>
              <w:rPr>
                <w:rFonts w:hint="eastAsia" w:ascii="宋体" w:hAnsi="宋体" w:eastAsia="宋体" w:cs="宋体"/>
                <w:kern w:val="2"/>
                <w:sz w:val="21"/>
                <w:szCs w:val="21"/>
                <w:lang w:val="zh-CN" w:eastAsia="zh-CN" w:bidi="zh-CN"/>
              </w:rPr>
            </w:pPr>
            <w:r>
              <w:rPr>
                <w:rFonts w:hint="eastAsia"/>
                <w:kern w:val="2"/>
                <w:sz w:val="21"/>
                <w:szCs w:val="21"/>
              </w:rPr>
              <w:t>49.13</w:t>
            </w:r>
          </w:p>
        </w:tc>
        <w:tc>
          <w:tcPr>
            <w:tcW w:w="867" w:type="dxa"/>
            <w:noWrap w:val="0"/>
            <w:vAlign w:val="center"/>
          </w:tcPr>
          <w:p>
            <w:pPr>
              <w:keepNext w:val="0"/>
              <w:keepLines w:val="0"/>
              <w:suppressLineNumbers w:val="0"/>
              <w:spacing w:before="0" w:beforeAutospacing="0" w:after="0" w:afterAutospacing="0" w:line="300" w:lineRule="exact"/>
              <w:ind w:left="0" w:leftChars="0" w:right="0" w:rightChars="0"/>
              <w:jc w:val="center"/>
              <w:rPr>
                <w:rFonts w:hint="eastAsia" w:ascii="宋体" w:hAnsi="宋体" w:eastAsia="宋体" w:cs="宋体"/>
                <w:b/>
                <w:bCs/>
                <w:kern w:val="2"/>
                <w:sz w:val="21"/>
                <w:szCs w:val="21"/>
                <w:lang w:val="zh-CN" w:eastAsia="zh-CN" w:bidi="zh-CN"/>
              </w:rPr>
            </w:pPr>
            <w:r>
              <w:rPr>
                <w:rFonts w:hint="eastAsia"/>
                <w:b/>
                <w:bCs/>
                <w:kern w:val="2"/>
                <w:sz w:val="21"/>
                <w:szCs w:val="21"/>
              </w:rPr>
              <w:t>9</w:t>
            </w:r>
          </w:p>
        </w:tc>
        <w:tc>
          <w:tcPr>
            <w:tcW w:w="885" w:type="dxa"/>
            <w:noWrap w:val="0"/>
            <w:vAlign w:val="center"/>
          </w:tcPr>
          <w:p>
            <w:pPr>
              <w:keepNext w:val="0"/>
              <w:keepLines w:val="0"/>
              <w:suppressLineNumbers w:val="0"/>
              <w:spacing w:before="0" w:beforeAutospacing="0" w:after="0" w:afterAutospacing="0" w:line="300" w:lineRule="exact"/>
              <w:ind w:left="0" w:leftChars="0" w:right="0" w:rightChars="0"/>
              <w:jc w:val="center"/>
              <w:rPr>
                <w:rFonts w:hint="default" w:ascii="宋体" w:hAnsi="宋体" w:eastAsia="宋体" w:cs="宋体"/>
                <w:kern w:val="2"/>
                <w:sz w:val="21"/>
                <w:szCs w:val="21"/>
                <w:lang w:val="en-US" w:eastAsia="zh-CN" w:bidi="zh-CN"/>
              </w:rPr>
            </w:pPr>
            <w:r>
              <w:rPr>
                <w:rFonts w:hint="eastAsia"/>
                <w:kern w:val="2"/>
                <w:sz w:val="21"/>
                <w:szCs w:val="21"/>
                <w:lang w:val="en-US" w:eastAsia="zh-CN"/>
              </w:rPr>
              <w:t>57.9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02" w:type="dxa"/>
            <w:gridSpan w:val="3"/>
            <w:vMerge w:val="continue"/>
            <w:noWrap w:val="0"/>
            <w:vAlign w:val="center"/>
          </w:tcPr>
          <w:p>
            <w:pPr>
              <w:keepNext w:val="0"/>
              <w:keepLines w:val="0"/>
              <w:suppressLineNumbers w:val="0"/>
              <w:spacing w:before="0" w:beforeAutospacing="0" w:after="0" w:afterAutospacing="0" w:line="300" w:lineRule="exact"/>
              <w:ind w:left="0" w:right="0"/>
              <w:jc w:val="center"/>
              <w:rPr>
                <w:rFonts w:hint="eastAsia" w:ascii="宋体" w:hAnsi="宋体"/>
                <w:kern w:val="2"/>
                <w:sz w:val="21"/>
                <w:szCs w:val="21"/>
              </w:rPr>
            </w:pPr>
          </w:p>
        </w:tc>
        <w:tc>
          <w:tcPr>
            <w:tcW w:w="1268" w:type="dxa"/>
            <w:noWrap w:val="0"/>
            <w:vAlign w:val="center"/>
          </w:tcPr>
          <w:p>
            <w:pPr>
              <w:keepNext w:val="0"/>
              <w:keepLines w:val="0"/>
              <w:suppressLineNumbers w:val="0"/>
              <w:spacing w:before="0" w:beforeAutospacing="0" w:after="0" w:afterAutospacing="0" w:line="300" w:lineRule="exact"/>
              <w:ind w:left="0" w:right="0"/>
              <w:jc w:val="center"/>
              <w:rPr>
                <w:rFonts w:hint="eastAsia" w:ascii="宋体" w:hAnsi="宋体"/>
                <w:kern w:val="2"/>
                <w:sz w:val="21"/>
                <w:szCs w:val="21"/>
              </w:rPr>
            </w:pPr>
            <w:r>
              <w:rPr>
                <w:rFonts w:hint="eastAsia" w:ascii="宋体" w:hAnsi="宋体"/>
                <w:kern w:val="2"/>
                <w:sz w:val="21"/>
                <w:szCs w:val="21"/>
              </w:rPr>
              <w:t>西面废品</w:t>
            </w:r>
          </w:p>
          <w:p>
            <w:pPr>
              <w:keepNext w:val="0"/>
              <w:keepLines w:val="0"/>
              <w:suppressLineNumbers w:val="0"/>
              <w:spacing w:before="0" w:beforeAutospacing="0" w:after="0" w:afterAutospacing="0" w:line="300" w:lineRule="exact"/>
              <w:ind w:left="0" w:leftChars="0" w:right="0" w:rightChars="0"/>
              <w:jc w:val="center"/>
              <w:rPr>
                <w:rFonts w:hint="eastAsia" w:ascii="宋体" w:hAnsi="宋体" w:eastAsia="宋体" w:cs="宋体"/>
                <w:kern w:val="2"/>
                <w:sz w:val="21"/>
                <w:szCs w:val="21"/>
                <w:lang w:val="zh-CN" w:eastAsia="zh-CN" w:bidi="zh-CN"/>
              </w:rPr>
            </w:pPr>
            <w:r>
              <w:rPr>
                <w:rFonts w:hint="eastAsia" w:ascii="宋体" w:hAnsi="宋体"/>
                <w:kern w:val="2"/>
                <w:sz w:val="21"/>
                <w:szCs w:val="21"/>
              </w:rPr>
              <w:t>放置房</w:t>
            </w:r>
          </w:p>
        </w:tc>
        <w:tc>
          <w:tcPr>
            <w:tcW w:w="1735" w:type="dxa"/>
            <w:noWrap w:val="0"/>
            <w:vAlign w:val="center"/>
          </w:tcPr>
          <w:p>
            <w:pPr>
              <w:keepNext w:val="0"/>
              <w:keepLines w:val="0"/>
              <w:suppressLineNumbers w:val="0"/>
              <w:spacing w:before="0" w:beforeAutospacing="0" w:after="0" w:afterAutospacing="0" w:line="300" w:lineRule="exact"/>
              <w:ind w:left="0" w:leftChars="0" w:right="0" w:rightChars="0"/>
              <w:jc w:val="center"/>
              <w:rPr>
                <w:rFonts w:hint="eastAsia" w:ascii="宋体" w:hAnsi="宋体" w:eastAsia="宋体" w:cs="宋体"/>
                <w:b/>
                <w:bCs/>
                <w:kern w:val="2"/>
                <w:sz w:val="21"/>
                <w:szCs w:val="21"/>
                <w:lang w:val="zh-CN" w:eastAsia="zh-CN" w:bidi="zh-CN"/>
              </w:rPr>
            </w:pPr>
            <w:r>
              <w:rPr>
                <w:rFonts w:hint="eastAsia"/>
                <w:b/>
                <w:bCs/>
                <w:kern w:val="2"/>
                <w:sz w:val="21"/>
                <w:szCs w:val="21"/>
              </w:rPr>
              <w:t>9</w:t>
            </w:r>
          </w:p>
        </w:tc>
        <w:tc>
          <w:tcPr>
            <w:tcW w:w="1005" w:type="dxa"/>
            <w:noWrap w:val="0"/>
            <w:vAlign w:val="center"/>
          </w:tcPr>
          <w:p>
            <w:pPr>
              <w:keepNext w:val="0"/>
              <w:keepLines w:val="0"/>
              <w:suppressLineNumbers w:val="0"/>
              <w:spacing w:before="0" w:beforeAutospacing="0" w:after="0" w:afterAutospacing="0" w:line="300" w:lineRule="exact"/>
              <w:ind w:left="0" w:leftChars="0" w:right="0" w:rightChars="0"/>
              <w:jc w:val="center"/>
              <w:rPr>
                <w:rFonts w:hint="eastAsia" w:ascii="宋体" w:hAnsi="宋体" w:eastAsia="宋体" w:cs="宋体"/>
                <w:kern w:val="2"/>
                <w:sz w:val="21"/>
                <w:szCs w:val="21"/>
                <w:lang w:val="zh-CN" w:eastAsia="zh-CN" w:bidi="zh-CN"/>
              </w:rPr>
            </w:pPr>
            <w:r>
              <w:rPr>
                <w:rFonts w:hint="eastAsia"/>
                <w:kern w:val="2"/>
                <w:sz w:val="21"/>
                <w:szCs w:val="21"/>
              </w:rPr>
              <w:t>23</w:t>
            </w:r>
          </w:p>
        </w:tc>
        <w:tc>
          <w:tcPr>
            <w:tcW w:w="867" w:type="dxa"/>
            <w:noWrap w:val="0"/>
            <w:vAlign w:val="center"/>
          </w:tcPr>
          <w:p>
            <w:pPr>
              <w:keepNext w:val="0"/>
              <w:keepLines w:val="0"/>
              <w:suppressLineNumbers w:val="0"/>
              <w:spacing w:before="0" w:beforeAutospacing="0" w:after="0" w:afterAutospacing="0" w:line="300" w:lineRule="exact"/>
              <w:ind w:left="0" w:leftChars="0" w:right="0" w:rightChars="0"/>
              <w:jc w:val="center"/>
              <w:rPr>
                <w:rFonts w:hint="eastAsia" w:ascii="宋体" w:hAnsi="宋体" w:eastAsia="宋体" w:cs="宋体"/>
                <w:b/>
                <w:bCs/>
                <w:kern w:val="2"/>
                <w:sz w:val="21"/>
                <w:szCs w:val="21"/>
                <w:lang w:val="zh-CN" w:eastAsia="zh-CN" w:bidi="zh-CN"/>
              </w:rPr>
            </w:pPr>
            <w:r>
              <w:rPr>
                <w:rFonts w:hint="eastAsia"/>
                <w:b/>
                <w:bCs/>
                <w:kern w:val="2"/>
                <w:sz w:val="21"/>
                <w:szCs w:val="21"/>
              </w:rPr>
              <w:t>9</w:t>
            </w:r>
          </w:p>
        </w:tc>
        <w:tc>
          <w:tcPr>
            <w:tcW w:w="827" w:type="dxa"/>
            <w:noWrap w:val="0"/>
            <w:vAlign w:val="center"/>
          </w:tcPr>
          <w:p>
            <w:pPr>
              <w:keepNext w:val="0"/>
              <w:keepLines w:val="0"/>
              <w:suppressLineNumbers w:val="0"/>
              <w:spacing w:before="0" w:beforeAutospacing="0" w:after="0" w:afterAutospacing="0" w:line="300" w:lineRule="exact"/>
              <w:ind w:left="0" w:leftChars="0" w:right="0" w:rightChars="0"/>
              <w:jc w:val="center"/>
              <w:rPr>
                <w:rFonts w:hint="eastAsia" w:ascii="宋体" w:hAnsi="宋体" w:eastAsia="宋体" w:cs="宋体"/>
                <w:kern w:val="2"/>
                <w:sz w:val="21"/>
                <w:szCs w:val="21"/>
                <w:lang w:val="zh-CN" w:eastAsia="zh-CN" w:bidi="zh-CN"/>
              </w:rPr>
            </w:pPr>
            <w:r>
              <w:rPr>
                <w:rFonts w:hint="eastAsia"/>
                <w:kern w:val="2"/>
                <w:sz w:val="21"/>
                <w:szCs w:val="21"/>
              </w:rPr>
              <w:t>21.16</w:t>
            </w:r>
          </w:p>
        </w:tc>
        <w:tc>
          <w:tcPr>
            <w:tcW w:w="867" w:type="dxa"/>
            <w:noWrap w:val="0"/>
            <w:vAlign w:val="center"/>
          </w:tcPr>
          <w:p>
            <w:pPr>
              <w:keepNext w:val="0"/>
              <w:keepLines w:val="0"/>
              <w:suppressLineNumbers w:val="0"/>
              <w:spacing w:before="0" w:beforeAutospacing="0" w:after="0" w:afterAutospacing="0" w:line="300" w:lineRule="exact"/>
              <w:ind w:left="0" w:leftChars="0" w:right="0" w:rightChars="0"/>
              <w:jc w:val="center"/>
              <w:rPr>
                <w:rFonts w:hint="eastAsia" w:ascii="宋体" w:hAnsi="宋体" w:eastAsia="宋体" w:cs="宋体"/>
                <w:b/>
                <w:bCs/>
                <w:kern w:val="2"/>
                <w:sz w:val="21"/>
                <w:szCs w:val="21"/>
                <w:lang w:val="zh-CN" w:eastAsia="zh-CN" w:bidi="zh-CN"/>
              </w:rPr>
            </w:pPr>
            <w:r>
              <w:rPr>
                <w:rFonts w:hint="eastAsia"/>
                <w:b/>
                <w:bCs/>
                <w:kern w:val="2"/>
                <w:sz w:val="21"/>
                <w:szCs w:val="21"/>
              </w:rPr>
              <w:t>9</w:t>
            </w:r>
          </w:p>
        </w:tc>
        <w:tc>
          <w:tcPr>
            <w:tcW w:w="885" w:type="dxa"/>
            <w:noWrap w:val="0"/>
            <w:vAlign w:val="center"/>
          </w:tcPr>
          <w:p>
            <w:pPr>
              <w:keepNext w:val="0"/>
              <w:keepLines w:val="0"/>
              <w:suppressLineNumbers w:val="0"/>
              <w:spacing w:before="0" w:beforeAutospacing="0" w:after="0" w:afterAutospacing="0" w:line="300" w:lineRule="exact"/>
              <w:ind w:left="0" w:leftChars="0" w:right="0" w:rightChars="0"/>
              <w:jc w:val="center"/>
              <w:rPr>
                <w:rFonts w:hint="default" w:ascii="宋体" w:hAnsi="宋体" w:eastAsia="宋体" w:cs="宋体"/>
                <w:kern w:val="2"/>
                <w:sz w:val="21"/>
                <w:szCs w:val="21"/>
                <w:lang w:val="en-US" w:eastAsia="zh-CN" w:bidi="zh-CN"/>
              </w:rPr>
            </w:pPr>
            <w:r>
              <w:rPr>
                <w:rFonts w:hint="eastAsia"/>
                <w:kern w:val="2"/>
                <w:sz w:val="21"/>
                <w:szCs w:val="21"/>
                <w:lang w:val="en-US" w:eastAsia="zh-CN"/>
              </w:rPr>
              <w:t>74.1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jc w:val="center"/>
        </w:trPr>
        <w:tc>
          <w:tcPr>
            <w:tcW w:w="1756" w:type="dxa"/>
            <w:gridSpan w:val="2"/>
            <w:vMerge w:val="restart"/>
            <w:noWrap w:val="0"/>
            <w:vAlign w:val="center"/>
          </w:tcPr>
          <w:p>
            <w:pPr>
              <w:keepNext w:val="0"/>
              <w:keepLines w:val="0"/>
              <w:suppressLineNumbers w:val="0"/>
              <w:spacing w:before="0" w:beforeAutospacing="0" w:after="0" w:afterAutospacing="0" w:line="300" w:lineRule="exact"/>
              <w:ind w:left="0" w:right="0"/>
              <w:jc w:val="center"/>
              <w:rPr>
                <w:rFonts w:hint="eastAsia" w:ascii="宋体" w:hAnsi="宋体"/>
                <w:kern w:val="2"/>
                <w:sz w:val="21"/>
                <w:szCs w:val="21"/>
              </w:rPr>
            </w:pPr>
            <w:r>
              <w:rPr>
                <w:rFonts w:hint="default" w:ascii="宋体" w:hAnsi="宋体"/>
                <w:kern w:val="2"/>
                <w:sz w:val="21"/>
                <w:szCs w:val="21"/>
              </w:rPr>
              <w:t>快速</w:t>
            </w:r>
            <w:r>
              <w:rPr>
                <w:rFonts w:hint="eastAsia" w:ascii="宋体" w:hAnsi="宋体"/>
                <w:kern w:val="2"/>
                <w:sz w:val="21"/>
                <w:szCs w:val="21"/>
              </w:rPr>
              <w:t>、</w:t>
            </w:r>
            <w:r>
              <w:rPr>
                <w:rFonts w:hint="default" w:ascii="宋体" w:hAnsi="宋体"/>
                <w:kern w:val="2"/>
                <w:sz w:val="21"/>
                <w:szCs w:val="21"/>
              </w:rPr>
              <w:t>主干</w:t>
            </w:r>
          </w:p>
        </w:tc>
        <w:tc>
          <w:tcPr>
            <w:tcW w:w="1414" w:type="dxa"/>
            <w:gridSpan w:val="2"/>
            <w:noWrap w:val="0"/>
            <w:vAlign w:val="center"/>
          </w:tcPr>
          <w:p>
            <w:pPr>
              <w:keepNext w:val="0"/>
              <w:keepLines w:val="0"/>
              <w:suppressLineNumbers w:val="0"/>
              <w:spacing w:before="0" w:beforeAutospacing="0" w:after="0" w:afterAutospacing="0" w:line="300" w:lineRule="exact"/>
              <w:ind w:left="0" w:right="0"/>
              <w:jc w:val="center"/>
              <w:rPr>
                <w:rFonts w:hint="eastAsia"/>
                <w:kern w:val="2"/>
                <w:sz w:val="21"/>
                <w:szCs w:val="21"/>
              </w:rPr>
            </w:pPr>
            <w:r>
              <w:rPr>
                <w:rFonts w:hint="eastAsia"/>
                <w:kern w:val="2"/>
                <w:sz w:val="21"/>
                <w:szCs w:val="21"/>
              </w:rPr>
              <w:t>北面崇焕东路</w:t>
            </w:r>
          </w:p>
        </w:tc>
        <w:tc>
          <w:tcPr>
            <w:tcW w:w="1735" w:type="dxa"/>
            <w:noWrap w:val="0"/>
            <w:vAlign w:val="center"/>
          </w:tcPr>
          <w:p>
            <w:pPr>
              <w:keepNext w:val="0"/>
              <w:keepLines w:val="0"/>
              <w:suppressLineNumbers w:val="0"/>
              <w:spacing w:before="0" w:beforeAutospacing="0" w:after="0" w:afterAutospacing="0" w:line="300" w:lineRule="exact"/>
              <w:ind w:left="0" w:right="0"/>
              <w:jc w:val="center"/>
              <w:rPr>
                <w:rFonts w:hint="eastAsia"/>
                <w:b/>
                <w:bCs/>
                <w:kern w:val="2"/>
                <w:sz w:val="21"/>
                <w:szCs w:val="21"/>
              </w:rPr>
            </w:pPr>
            <w:r>
              <w:rPr>
                <w:rFonts w:hint="eastAsia"/>
                <w:b/>
                <w:bCs/>
                <w:kern w:val="2"/>
                <w:sz w:val="21"/>
                <w:szCs w:val="21"/>
              </w:rPr>
              <w:t>3</w:t>
            </w:r>
          </w:p>
        </w:tc>
        <w:tc>
          <w:tcPr>
            <w:tcW w:w="1005" w:type="dxa"/>
            <w:noWrap w:val="0"/>
            <w:vAlign w:val="center"/>
          </w:tcPr>
          <w:p>
            <w:pPr>
              <w:keepNext w:val="0"/>
              <w:keepLines w:val="0"/>
              <w:suppressLineNumbers w:val="0"/>
              <w:spacing w:before="0" w:beforeAutospacing="0" w:after="0" w:afterAutospacing="0" w:line="300" w:lineRule="exact"/>
              <w:ind w:left="0" w:right="0"/>
              <w:jc w:val="center"/>
              <w:rPr>
                <w:rFonts w:hint="eastAsia"/>
                <w:kern w:val="2"/>
                <w:sz w:val="21"/>
                <w:szCs w:val="21"/>
              </w:rPr>
            </w:pPr>
            <w:r>
              <w:rPr>
                <w:rFonts w:hint="eastAsia"/>
                <w:kern w:val="2"/>
                <w:sz w:val="21"/>
                <w:szCs w:val="21"/>
              </w:rPr>
              <w:t>74.23</w:t>
            </w:r>
          </w:p>
        </w:tc>
        <w:tc>
          <w:tcPr>
            <w:tcW w:w="867" w:type="dxa"/>
            <w:noWrap w:val="0"/>
            <w:vAlign w:val="center"/>
          </w:tcPr>
          <w:p>
            <w:pPr>
              <w:keepNext w:val="0"/>
              <w:keepLines w:val="0"/>
              <w:suppressLineNumbers w:val="0"/>
              <w:spacing w:before="0" w:beforeAutospacing="0" w:after="0" w:afterAutospacing="0" w:line="300" w:lineRule="exact"/>
              <w:ind w:left="0" w:right="0"/>
              <w:jc w:val="center"/>
              <w:rPr>
                <w:rFonts w:hint="eastAsia"/>
                <w:b/>
                <w:bCs/>
                <w:kern w:val="2"/>
                <w:sz w:val="21"/>
                <w:szCs w:val="21"/>
              </w:rPr>
            </w:pPr>
            <w:r>
              <w:rPr>
                <w:rFonts w:hint="eastAsia"/>
                <w:b/>
                <w:bCs/>
                <w:kern w:val="2"/>
                <w:sz w:val="21"/>
                <w:szCs w:val="21"/>
              </w:rPr>
              <w:t>3</w:t>
            </w:r>
          </w:p>
        </w:tc>
        <w:tc>
          <w:tcPr>
            <w:tcW w:w="827" w:type="dxa"/>
            <w:noWrap w:val="0"/>
            <w:vAlign w:val="center"/>
          </w:tcPr>
          <w:p>
            <w:pPr>
              <w:keepNext w:val="0"/>
              <w:keepLines w:val="0"/>
              <w:suppressLineNumbers w:val="0"/>
              <w:spacing w:before="0" w:beforeAutospacing="0" w:after="0" w:afterAutospacing="0" w:line="300" w:lineRule="exact"/>
              <w:ind w:left="0" w:right="0"/>
              <w:jc w:val="center"/>
              <w:rPr>
                <w:rFonts w:hint="eastAsia"/>
                <w:kern w:val="2"/>
                <w:sz w:val="21"/>
                <w:szCs w:val="21"/>
              </w:rPr>
            </w:pPr>
            <w:r>
              <w:rPr>
                <w:rFonts w:hint="eastAsia"/>
                <w:kern w:val="2"/>
                <w:sz w:val="21"/>
                <w:szCs w:val="21"/>
              </w:rPr>
              <w:t>70.56</w:t>
            </w:r>
          </w:p>
        </w:tc>
        <w:tc>
          <w:tcPr>
            <w:tcW w:w="867" w:type="dxa"/>
            <w:noWrap w:val="0"/>
            <w:vAlign w:val="center"/>
          </w:tcPr>
          <w:p>
            <w:pPr>
              <w:keepNext w:val="0"/>
              <w:keepLines w:val="0"/>
              <w:suppressLineNumbers w:val="0"/>
              <w:spacing w:before="0" w:beforeAutospacing="0" w:after="0" w:afterAutospacing="0" w:line="300" w:lineRule="exact"/>
              <w:ind w:left="0" w:right="0"/>
              <w:jc w:val="center"/>
              <w:rPr>
                <w:rFonts w:hint="eastAsia"/>
                <w:b/>
                <w:bCs/>
                <w:kern w:val="2"/>
                <w:sz w:val="21"/>
                <w:szCs w:val="21"/>
              </w:rPr>
            </w:pPr>
            <w:r>
              <w:rPr>
                <w:rFonts w:hint="eastAsia"/>
                <w:b/>
                <w:bCs/>
                <w:kern w:val="2"/>
                <w:sz w:val="21"/>
                <w:szCs w:val="21"/>
              </w:rPr>
              <w:t>3</w:t>
            </w:r>
          </w:p>
        </w:tc>
        <w:tc>
          <w:tcPr>
            <w:tcW w:w="885" w:type="dxa"/>
            <w:noWrap w:val="0"/>
            <w:vAlign w:val="center"/>
          </w:tcPr>
          <w:p>
            <w:pPr>
              <w:keepNext w:val="0"/>
              <w:keepLines w:val="0"/>
              <w:suppressLineNumbers w:val="0"/>
              <w:spacing w:before="0" w:beforeAutospacing="0" w:after="0" w:afterAutospacing="0" w:line="300" w:lineRule="exact"/>
              <w:ind w:left="0" w:right="0"/>
              <w:jc w:val="center"/>
              <w:rPr>
                <w:rFonts w:hint="eastAsia"/>
                <w:kern w:val="2"/>
                <w:sz w:val="21"/>
                <w:szCs w:val="21"/>
              </w:rPr>
            </w:pPr>
            <w:r>
              <w:rPr>
                <w:rFonts w:hint="eastAsia"/>
                <w:kern w:val="2"/>
                <w:sz w:val="21"/>
                <w:szCs w:val="21"/>
              </w:rPr>
              <w:t>2</w:t>
            </w:r>
            <w:r>
              <w:rPr>
                <w:rFonts w:hint="eastAsia"/>
                <w:kern w:val="2"/>
                <w:sz w:val="21"/>
                <w:szCs w:val="21"/>
                <w:lang w:val="en-US" w:eastAsia="zh-CN"/>
              </w:rPr>
              <w:t>2</w:t>
            </w:r>
            <w:r>
              <w:rPr>
                <w:rFonts w:hint="eastAsia"/>
                <w:kern w:val="2"/>
                <w:sz w:val="21"/>
                <w:szCs w:val="21"/>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1" w:hRule="atLeast"/>
          <w:jc w:val="center"/>
        </w:trPr>
        <w:tc>
          <w:tcPr>
            <w:tcW w:w="1756" w:type="dxa"/>
            <w:gridSpan w:val="2"/>
            <w:vMerge w:val="continue"/>
            <w:noWrap w:val="0"/>
            <w:vAlign w:val="center"/>
          </w:tcPr>
          <w:p>
            <w:pPr>
              <w:keepNext w:val="0"/>
              <w:keepLines w:val="0"/>
              <w:suppressLineNumbers w:val="0"/>
              <w:spacing w:before="0" w:beforeAutospacing="0" w:after="0" w:afterAutospacing="0" w:line="300" w:lineRule="exact"/>
              <w:ind w:left="0" w:right="0"/>
              <w:jc w:val="center"/>
              <w:rPr>
                <w:rFonts w:hint="eastAsia" w:ascii="宋体" w:hAnsi="宋体"/>
                <w:kern w:val="2"/>
                <w:sz w:val="21"/>
                <w:szCs w:val="21"/>
              </w:rPr>
            </w:pPr>
          </w:p>
        </w:tc>
        <w:tc>
          <w:tcPr>
            <w:tcW w:w="1414" w:type="dxa"/>
            <w:gridSpan w:val="2"/>
            <w:noWrap w:val="0"/>
            <w:vAlign w:val="center"/>
          </w:tcPr>
          <w:p>
            <w:pPr>
              <w:keepNext w:val="0"/>
              <w:keepLines w:val="0"/>
              <w:suppressLineNumbers w:val="0"/>
              <w:spacing w:before="0" w:beforeAutospacing="0" w:after="0" w:afterAutospacing="0" w:line="300" w:lineRule="exact"/>
              <w:ind w:left="0" w:right="0"/>
              <w:jc w:val="center"/>
              <w:rPr>
                <w:rFonts w:hint="eastAsia" w:eastAsia="宋体"/>
                <w:kern w:val="2"/>
                <w:sz w:val="21"/>
                <w:szCs w:val="21"/>
                <w:lang w:eastAsia="zh-CN"/>
              </w:rPr>
            </w:pPr>
            <w:r>
              <w:rPr>
                <w:rFonts w:hint="eastAsia" w:ascii="宋体" w:hAnsi="宋体"/>
                <w:kern w:val="2"/>
                <w:sz w:val="21"/>
                <w:szCs w:val="21"/>
              </w:rPr>
              <w:t>东面</w:t>
            </w:r>
            <w:r>
              <w:rPr>
                <w:rFonts w:hint="eastAsia"/>
                <w:kern w:val="2"/>
                <w:sz w:val="21"/>
                <w:szCs w:val="21"/>
                <w:highlight w:val="none"/>
                <w:lang w:eastAsia="zh-CN"/>
              </w:rPr>
              <w:t>金星南路</w:t>
            </w:r>
          </w:p>
        </w:tc>
        <w:tc>
          <w:tcPr>
            <w:tcW w:w="1735" w:type="dxa"/>
            <w:noWrap w:val="0"/>
            <w:vAlign w:val="center"/>
          </w:tcPr>
          <w:p>
            <w:pPr>
              <w:keepNext w:val="0"/>
              <w:keepLines w:val="0"/>
              <w:suppressLineNumbers w:val="0"/>
              <w:spacing w:before="0" w:beforeAutospacing="0" w:after="0" w:afterAutospacing="0" w:line="300" w:lineRule="exact"/>
              <w:ind w:left="0" w:right="0"/>
              <w:jc w:val="center"/>
              <w:rPr>
                <w:rFonts w:hint="eastAsia"/>
                <w:b/>
                <w:bCs/>
                <w:kern w:val="2"/>
                <w:sz w:val="21"/>
                <w:szCs w:val="21"/>
              </w:rPr>
            </w:pPr>
            <w:r>
              <w:rPr>
                <w:rFonts w:hint="eastAsia"/>
                <w:b/>
                <w:bCs/>
                <w:kern w:val="2"/>
                <w:sz w:val="21"/>
                <w:szCs w:val="21"/>
              </w:rPr>
              <w:t>3</w:t>
            </w:r>
          </w:p>
        </w:tc>
        <w:tc>
          <w:tcPr>
            <w:tcW w:w="1005" w:type="dxa"/>
            <w:noWrap w:val="0"/>
            <w:vAlign w:val="center"/>
          </w:tcPr>
          <w:p>
            <w:pPr>
              <w:keepNext w:val="0"/>
              <w:keepLines w:val="0"/>
              <w:suppressLineNumbers w:val="0"/>
              <w:spacing w:before="0" w:beforeAutospacing="0" w:after="0" w:afterAutospacing="0" w:line="300" w:lineRule="exact"/>
              <w:ind w:left="0" w:right="0"/>
              <w:jc w:val="center"/>
              <w:rPr>
                <w:rFonts w:hint="eastAsia"/>
                <w:kern w:val="2"/>
                <w:sz w:val="21"/>
                <w:szCs w:val="21"/>
              </w:rPr>
            </w:pPr>
            <w:r>
              <w:rPr>
                <w:rFonts w:hint="eastAsia"/>
                <w:kern w:val="2"/>
                <w:sz w:val="21"/>
                <w:szCs w:val="21"/>
              </w:rPr>
              <w:t>63.95</w:t>
            </w:r>
          </w:p>
        </w:tc>
        <w:tc>
          <w:tcPr>
            <w:tcW w:w="867" w:type="dxa"/>
            <w:noWrap w:val="0"/>
            <w:vAlign w:val="center"/>
          </w:tcPr>
          <w:p>
            <w:pPr>
              <w:keepNext w:val="0"/>
              <w:keepLines w:val="0"/>
              <w:suppressLineNumbers w:val="0"/>
              <w:spacing w:before="0" w:beforeAutospacing="0" w:after="0" w:afterAutospacing="0" w:line="300" w:lineRule="exact"/>
              <w:ind w:left="0" w:right="0"/>
              <w:jc w:val="center"/>
              <w:rPr>
                <w:rFonts w:hint="eastAsia"/>
                <w:b/>
                <w:bCs/>
                <w:kern w:val="2"/>
                <w:sz w:val="21"/>
                <w:szCs w:val="21"/>
              </w:rPr>
            </w:pPr>
            <w:r>
              <w:rPr>
                <w:rFonts w:hint="eastAsia"/>
                <w:b/>
                <w:bCs/>
                <w:kern w:val="2"/>
                <w:sz w:val="21"/>
                <w:szCs w:val="21"/>
              </w:rPr>
              <w:t>3</w:t>
            </w:r>
          </w:p>
        </w:tc>
        <w:tc>
          <w:tcPr>
            <w:tcW w:w="827" w:type="dxa"/>
            <w:noWrap w:val="0"/>
            <w:vAlign w:val="center"/>
          </w:tcPr>
          <w:p>
            <w:pPr>
              <w:keepNext w:val="0"/>
              <w:keepLines w:val="0"/>
              <w:suppressLineNumbers w:val="0"/>
              <w:spacing w:before="0" w:beforeAutospacing="0" w:after="0" w:afterAutospacing="0" w:line="300" w:lineRule="exact"/>
              <w:ind w:left="0" w:right="0"/>
              <w:jc w:val="center"/>
              <w:rPr>
                <w:rFonts w:hint="eastAsia"/>
                <w:kern w:val="2"/>
                <w:sz w:val="21"/>
                <w:szCs w:val="21"/>
              </w:rPr>
            </w:pPr>
            <w:r>
              <w:rPr>
                <w:rFonts w:hint="eastAsia"/>
                <w:kern w:val="2"/>
                <w:sz w:val="21"/>
                <w:szCs w:val="21"/>
              </w:rPr>
              <w:t>68.25</w:t>
            </w:r>
          </w:p>
        </w:tc>
        <w:tc>
          <w:tcPr>
            <w:tcW w:w="867" w:type="dxa"/>
            <w:noWrap w:val="0"/>
            <w:vAlign w:val="center"/>
          </w:tcPr>
          <w:p>
            <w:pPr>
              <w:keepNext w:val="0"/>
              <w:keepLines w:val="0"/>
              <w:suppressLineNumbers w:val="0"/>
              <w:spacing w:before="0" w:beforeAutospacing="0" w:after="0" w:afterAutospacing="0" w:line="300" w:lineRule="exact"/>
              <w:ind w:left="0" w:right="0"/>
              <w:jc w:val="center"/>
              <w:rPr>
                <w:rFonts w:hint="eastAsia"/>
                <w:b/>
                <w:bCs/>
                <w:kern w:val="2"/>
                <w:sz w:val="21"/>
                <w:szCs w:val="21"/>
              </w:rPr>
            </w:pPr>
            <w:r>
              <w:rPr>
                <w:rFonts w:hint="eastAsia"/>
                <w:b/>
                <w:bCs/>
                <w:kern w:val="2"/>
                <w:sz w:val="21"/>
                <w:szCs w:val="21"/>
              </w:rPr>
              <w:t>3</w:t>
            </w:r>
          </w:p>
        </w:tc>
        <w:tc>
          <w:tcPr>
            <w:tcW w:w="885" w:type="dxa"/>
            <w:noWrap w:val="0"/>
            <w:vAlign w:val="center"/>
          </w:tcPr>
          <w:p>
            <w:pPr>
              <w:keepNext w:val="0"/>
              <w:keepLines w:val="0"/>
              <w:suppressLineNumbers w:val="0"/>
              <w:spacing w:before="0" w:beforeAutospacing="0" w:after="0" w:afterAutospacing="0" w:line="300" w:lineRule="exact"/>
              <w:ind w:left="0" w:right="0"/>
              <w:jc w:val="center"/>
              <w:rPr>
                <w:rFonts w:hint="default" w:eastAsia="宋体"/>
                <w:kern w:val="2"/>
                <w:sz w:val="21"/>
                <w:szCs w:val="21"/>
                <w:lang w:val="en-US" w:eastAsia="zh-CN"/>
              </w:rPr>
            </w:pPr>
            <w:r>
              <w:rPr>
                <w:rFonts w:hint="eastAsia"/>
                <w:kern w:val="2"/>
                <w:sz w:val="21"/>
                <w:szCs w:val="21"/>
              </w:rPr>
              <w:t>16.</w:t>
            </w:r>
            <w:r>
              <w:rPr>
                <w:rFonts w:hint="eastAsia"/>
                <w:kern w:val="2"/>
                <w:sz w:val="21"/>
                <w:szCs w:val="21"/>
                <w:lang w:val="en-US" w:eastAsia="zh-CN"/>
              </w:rPr>
              <w:t>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1" w:hRule="atLeast"/>
          <w:jc w:val="center"/>
        </w:trPr>
        <w:tc>
          <w:tcPr>
            <w:tcW w:w="3170" w:type="dxa"/>
            <w:gridSpan w:val="4"/>
            <w:noWrap w:val="0"/>
            <w:vAlign w:val="center"/>
          </w:tcPr>
          <w:p>
            <w:pPr>
              <w:keepNext w:val="0"/>
              <w:keepLines w:val="0"/>
              <w:suppressLineNumbers w:val="0"/>
              <w:spacing w:before="0" w:beforeAutospacing="0" w:after="0" w:afterAutospacing="0" w:line="300" w:lineRule="exact"/>
              <w:ind w:left="0" w:right="0"/>
              <w:jc w:val="center"/>
              <w:rPr>
                <w:rFonts w:hint="eastAsia"/>
                <w:kern w:val="2"/>
                <w:sz w:val="21"/>
                <w:szCs w:val="21"/>
              </w:rPr>
            </w:pPr>
            <w:r>
              <w:rPr>
                <w:rFonts w:hint="eastAsia"/>
                <w:kern w:val="2"/>
                <w:sz w:val="21"/>
                <w:szCs w:val="21"/>
              </w:rPr>
              <w:t>西北</w:t>
            </w:r>
            <w:r>
              <w:rPr>
                <w:rFonts w:hint="default"/>
                <w:kern w:val="2"/>
                <w:sz w:val="21"/>
                <w:szCs w:val="21"/>
              </w:rPr>
              <w:t>面</w:t>
            </w:r>
            <w:r>
              <w:rPr>
                <w:rFonts w:hint="eastAsia"/>
                <w:kern w:val="2"/>
                <w:sz w:val="21"/>
                <w:szCs w:val="21"/>
              </w:rPr>
              <w:t>线</w:t>
            </w:r>
            <w:r>
              <w:rPr>
                <w:rFonts w:hint="eastAsia" w:ascii="宋体" w:hAnsi="宋体"/>
                <w:kern w:val="2"/>
                <w:sz w:val="21"/>
                <w:szCs w:val="21"/>
              </w:rPr>
              <w:t>高33</w:t>
            </w:r>
            <w:r>
              <w:rPr>
                <w:rFonts w:hint="default" w:ascii="宋体" w:hAnsi="宋体"/>
                <w:kern w:val="2"/>
                <w:sz w:val="21"/>
                <w:szCs w:val="21"/>
              </w:rPr>
              <w:t>m</w:t>
            </w:r>
            <w:r>
              <w:rPr>
                <w:rFonts w:hint="eastAsia" w:ascii="宋体" w:hAnsi="宋体"/>
                <w:kern w:val="2"/>
                <w:sz w:val="21"/>
                <w:szCs w:val="21"/>
              </w:rPr>
              <w:t>无</w:t>
            </w:r>
            <w:r>
              <w:rPr>
                <w:rFonts w:hint="eastAsia" w:hAnsi="宋体"/>
                <w:kern w:val="2"/>
                <w:sz w:val="21"/>
                <w:szCs w:val="21"/>
              </w:rPr>
              <w:t>绝缘层</w:t>
            </w:r>
            <w:r>
              <w:rPr>
                <w:rFonts w:hint="default" w:ascii="宋体" w:hAnsi="宋体"/>
                <w:kern w:val="2"/>
                <w:sz w:val="21"/>
                <w:szCs w:val="21"/>
              </w:rPr>
              <w:t>架空</w:t>
            </w:r>
            <w:r>
              <w:rPr>
                <w:rFonts w:hint="eastAsia" w:ascii="宋体" w:hAnsi="宋体"/>
                <w:kern w:val="2"/>
                <w:sz w:val="21"/>
                <w:szCs w:val="21"/>
              </w:rPr>
              <w:t>高压线线</w:t>
            </w:r>
          </w:p>
        </w:tc>
        <w:tc>
          <w:tcPr>
            <w:tcW w:w="1735" w:type="dxa"/>
            <w:noWrap w:val="0"/>
            <w:vAlign w:val="center"/>
          </w:tcPr>
          <w:p>
            <w:pPr>
              <w:keepNext w:val="0"/>
              <w:keepLines w:val="0"/>
              <w:suppressLineNumbers w:val="0"/>
              <w:adjustRightInd w:val="0"/>
              <w:spacing w:before="0" w:beforeAutospacing="0" w:after="0" w:afterAutospacing="0" w:line="300" w:lineRule="exact"/>
              <w:ind w:left="0" w:leftChars="0" w:right="0" w:rightChars="0"/>
              <w:jc w:val="center"/>
              <w:rPr>
                <w:rFonts w:hint="eastAsia"/>
                <w:b/>
                <w:bCs/>
                <w:kern w:val="2"/>
                <w:sz w:val="21"/>
                <w:szCs w:val="21"/>
              </w:rPr>
            </w:pPr>
            <w:r>
              <w:rPr>
                <w:rFonts w:hint="eastAsia"/>
                <w:b/>
                <w:bCs/>
                <w:snapToGrid w:val="0"/>
                <w:kern w:val="2"/>
                <w:sz w:val="21"/>
                <w:szCs w:val="21"/>
                <w:lang w:val="en-US" w:eastAsia="zh-CN"/>
              </w:rPr>
              <w:t>24.75m（0.75</w:t>
            </w:r>
            <w:r>
              <w:rPr>
                <w:rFonts w:hint="eastAsia"/>
                <w:b/>
                <w:bCs/>
                <w:snapToGrid w:val="0"/>
                <w:kern w:val="2"/>
                <w:sz w:val="21"/>
                <w:szCs w:val="21"/>
              </w:rPr>
              <w:t>倍杆（塔）高，且不应小于6.5m</w:t>
            </w:r>
            <w:r>
              <w:rPr>
                <w:rFonts w:hint="eastAsia"/>
                <w:b/>
                <w:bCs/>
                <w:snapToGrid w:val="0"/>
                <w:kern w:val="2"/>
                <w:sz w:val="21"/>
                <w:szCs w:val="21"/>
                <w:lang w:eastAsia="zh-CN"/>
              </w:rPr>
              <w:t>）</w:t>
            </w:r>
          </w:p>
        </w:tc>
        <w:tc>
          <w:tcPr>
            <w:tcW w:w="1005" w:type="dxa"/>
            <w:noWrap w:val="0"/>
            <w:vAlign w:val="center"/>
          </w:tcPr>
          <w:p>
            <w:pPr>
              <w:keepNext w:val="0"/>
              <w:keepLines w:val="0"/>
              <w:suppressLineNumbers w:val="0"/>
              <w:spacing w:before="0" w:beforeAutospacing="0" w:after="0" w:afterAutospacing="0" w:line="300" w:lineRule="exact"/>
              <w:ind w:left="0" w:right="0"/>
              <w:jc w:val="center"/>
              <w:rPr>
                <w:rFonts w:hint="eastAsia"/>
                <w:kern w:val="2"/>
                <w:sz w:val="21"/>
                <w:szCs w:val="21"/>
              </w:rPr>
            </w:pPr>
            <w:r>
              <w:rPr>
                <w:rFonts w:hint="eastAsia"/>
                <w:kern w:val="2"/>
                <w:sz w:val="21"/>
                <w:szCs w:val="21"/>
              </w:rPr>
              <w:t>68.58</w:t>
            </w:r>
          </w:p>
        </w:tc>
        <w:tc>
          <w:tcPr>
            <w:tcW w:w="867" w:type="dxa"/>
            <w:noWrap w:val="0"/>
            <w:vAlign w:val="center"/>
          </w:tcPr>
          <w:p>
            <w:pPr>
              <w:keepNext w:val="0"/>
              <w:keepLines w:val="0"/>
              <w:suppressLineNumbers w:val="0"/>
              <w:spacing w:before="0" w:beforeAutospacing="0" w:after="0" w:afterAutospacing="0" w:line="300" w:lineRule="exact"/>
              <w:ind w:left="0" w:right="0"/>
              <w:jc w:val="center"/>
              <w:rPr>
                <w:rFonts w:hint="default"/>
                <w:b/>
                <w:bCs/>
                <w:kern w:val="2"/>
                <w:sz w:val="21"/>
                <w:szCs w:val="21"/>
              </w:rPr>
            </w:pPr>
            <w:r>
              <w:rPr>
                <w:rFonts w:hint="eastAsia"/>
                <w:b/>
                <w:bCs/>
                <w:kern w:val="2"/>
                <w:sz w:val="21"/>
                <w:szCs w:val="21"/>
              </w:rPr>
              <w:t>6.5</w:t>
            </w:r>
          </w:p>
        </w:tc>
        <w:tc>
          <w:tcPr>
            <w:tcW w:w="827" w:type="dxa"/>
            <w:noWrap w:val="0"/>
            <w:vAlign w:val="center"/>
          </w:tcPr>
          <w:p>
            <w:pPr>
              <w:keepNext w:val="0"/>
              <w:keepLines w:val="0"/>
              <w:suppressLineNumbers w:val="0"/>
              <w:spacing w:before="0" w:beforeAutospacing="0" w:after="0" w:afterAutospacing="0" w:line="300" w:lineRule="exact"/>
              <w:ind w:left="0" w:right="0"/>
              <w:jc w:val="center"/>
              <w:rPr>
                <w:rFonts w:hint="eastAsia"/>
                <w:kern w:val="2"/>
                <w:sz w:val="21"/>
                <w:szCs w:val="21"/>
              </w:rPr>
            </w:pPr>
            <w:r>
              <w:rPr>
                <w:rFonts w:hint="eastAsia"/>
                <w:kern w:val="2"/>
                <w:sz w:val="21"/>
                <w:szCs w:val="21"/>
              </w:rPr>
              <w:t>65.59</w:t>
            </w:r>
          </w:p>
        </w:tc>
        <w:tc>
          <w:tcPr>
            <w:tcW w:w="867" w:type="dxa"/>
            <w:noWrap w:val="0"/>
            <w:vAlign w:val="center"/>
          </w:tcPr>
          <w:p>
            <w:pPr>
              <w:keepNext w:val="0"/>
              <w:keepLines w:val="0"/>
              <w:suppressLineNumbers w:val="0"/>
              <w:spacing w:before="0" w:beforeAutospacing="0" w:after="0" w:afterAutospacing="0" w:line="300" w:lineRule="exact"/>
              <w:ind w:left="0" w:right="0"/>
              <w:jc w:val="center"/>
              <w:rPr>
                <w:rFonts w:hint="default"/>
                <w:b/>
                <w:bCs/>
                <w:kern w:val="2"/>
                <w:sz w:val="21"/>
                <w:szCs w:val="21"/>
              </w:rPr>
            </w:pPr>
            <w:r>
              <w:rPr>
                <w:rFonts w:hint="eastAsia"/>
                <w:b/>
                <w:bCs/>
                <w:kern w:val="2"/>
                <w:sz w:val="21"/>
                <w:szCs w:val="21"/>
              </w:rPr>
              <w:t>6.5</w:t>
            </w:r>
          </w:p>
        </w:tc>
        <w:tc>
          <w:tcPr>
            <w:tcW w:w="885" w:type="dxa"/>
            <w:noWrap w:val="0"/>
            <w:vAlign w:val="center"/>
          </w:tcPr>
          <w:p>
            <w:pPr>
              <w:keepNext w:val="0"/>
              <w:keepLines w:val="0"/>
              <w:suppressLineNumbers w:val="0"/>
              <w:spacing w:before="0" w:beforeAutospacing="0" w:after="0" w:afterAutospacing="0" w:line="300" w:lineRule="exact"/>
              <w:ind w:left="0" w:right="0"/>
              <w:jc w:val="center"/>
              <w:rPr>
                <w:rFonts w:hint="default" w:eastAsia="宋体"/>
                <w:kern w:val="2"/>
                <w:sz w:val="21"/>
                <w:szCs w:val="21"/>
                <w:lang w:val="en-US" w:eastAsia="zh-CN"/>
              </w:rPr>
            </w:pPr>
            <w:r>
              <w:rPr>
                <w:rFonts w:hint="eastAsia"/>
                <w:kern w:val="2"/>
                <w:sz w:val="21"/>
                <w:szCs w:val="21"/>
                <w:lang w:val="en-US" w:eastAsia="zh-CN"/>
              </w:rPr>
              <w:t>81.0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1" w:hRule="atLeast"/>
          <w:jc w:val="center"/>
        </w:trPr>
        <w:tc>
          <w:tcPr>
            <w:tcW w:w="935" w:type="dxa"/>
            <w:vMerge w:val="restart"/>
            <w:noWrap w:val="0"/>
            <w:vAlign w:val="center"/>
          </w:tcPr>
          <w:p>
            <w:pPr>
              <w:keepNext w:val="0"/>
              <w:keepLines w:val="0"/>
              <w:suppressLineNumbers w:val="0"/>
              <w:spacing w:before="0" w:beforeAutospacing="0" w:after="0" w:afterAutospacing="0" w:line="300" w:lineRule="exact"/>
              <w:ind w:left="0" w:right="0"/>
              <w:jc w:val="center"/>
              <w:rPr>
                <w:rFonts w:hint="default" w:ascii="宋体" w:hAnsi="宋体"/>
                <w:kern w:val="2"/>
                <w:sz w:val="21"/>
                <w:szCs w:val="21"/>
              </w:rPr>
            </w:pPr>
            <w:r>
              <w:rPr>
                <w:rFonts w:hint="default" w:ascii="宋体" w:hAnsi="宋体"/>
                <w:kern w:val="2"/>
                <w:sz w:val="21"/>
                <w:szCs w:val="21"/>
              </w:rPr>
              <w:t>架空电力线路</w:t>
            </w:r>
            <w:r>
              <w:rPr>
                <w:rFonts w:hint="eastAsia" w:hAnsi="宋体"/>
                <w:kern w:val="2"/>
                <w:sz w:val="21"/>
                <w:szCs w:val="21"/>
              </w:rPr>
              <w:t>有绝缘层</w:t>
            </w:r>
          </w:p>
        </w:tc>
        <w:tc>
          <w:tcPr>
            <w:tcW w:w="2235" w:type="dxa"/>
            <w:gridSpan w:val="3"/>
            <w:noWrap w:val="0"/>
            <w:vAlign w:val="center"/>
          </w:tcPr>
          <w:p>
            <w:pPr>
              <w:keepNext w:val="0"/>
              <w:keepLines w:val="0"/>
              <w:suppressLineNumbers w:val="0"/>
              <w:spacing w:before="0" w:beforeAutospacing="0" w:after="0" w:afterAutospacing="0" w:line="300" w:lineRule="exact"/>
              <w:ind w:left="0" w:right="0"/>
              <w:jc w:val="center"/>
              <w:rPr>
                <w:rFonts w:hint="eastAsia" w:ascii="宋体" w:hAnsi="宋体"/>
                <w:kern w:val="2"/>
                <w:sz w:val="21"/>
                <w:szCs w:val="21"/>
              </w:rPr>
            </w:pPr>
            <w:r>
              <w:rPr>
                <w:rFonts w:hint="eastAsia" w:ascii="宋体" w:hAnsi="宋体"/>
                <w:kern w:val="2"/>
                <w:sz w:val="21"/>
                <w:szCs w:val="21"/>
              </w:rPr>
              <w:t>东面杆高5.5</w:t>
            </w:r>
            <w:r>
              <w:rPr>
                <w:rFonts w:hint="default" w:ascii="宋体" w:hAnsi="宋体"/>
                <w:kern w:val="2"/>
                <w:sz w:val="21"/>
                <w:szCs w:val="21"/>
              </w:rPr>
              <w:t>m</w:t>
            </w:r>
            <w:r>
              <w:rPr>
                <w:rFonts w:hint="eastAsia" w:ascii="宋体" w:hAnsi="宋体"/>
                <w:kern w:val="2"/>
                <w:sz w:val="21"/>
                <w:szCs w:val="21"/>
              </w:rPr>
              <w:t xml:space="preserve"> </w:t>
            </w:r>
          </w:p>
        </w:tc>
        <w:tc>
          <w:tcPr>
            <w:tcW w:w="1735" w:type="dxa"/>
            <w:noWrap w:val="0"/>
            <w:vAlign w:val="center"/>
          </w:tcPr>
          <w:p>
            <w:pPr>
              <w:keepNext w:val="0"/>
              <w:keepLines w:val="0"/>
              <w:suppressLineNumbers w:val="0"/>
              <w:adjustRightInd w:val="0"/>
              <w:spacing w:before="0" w:beforeAutospacing="0" w:after="0" w:afterAutospacing="0" w:line="300" w:lineRule="exact"/>
              <w:ind w:left="0" w:leftChars="0" w:right="0" w:rightChars="0"/>
              <w:jc w:val="center"/>
              <w:rPr>
                <w:rFonts w:hint="default"/>
                <w:b/>
                <w:bCs/>
                <w:kern w:val="2"/>
                <w:sz w:val="21"/>
                <w:szCs w:val="21"/>
              </w:rPr>
            </w:pPr>
            <w:r>
              <w:rPr>
                <w:rFonts w:hint="eastAsia"/>
                <w:b/>
                <w:bCs/>
                <w:snapToGrid w:val="0"/>
                <w:kern w:val="2"/>
                <w:sz w:val="21"/>
                <w:szCs w:val="21"/>
                <w:lang w:val="en-US" w:eastAsia="zh-CN"/>
              </w:rPr>
              <w:t>5m</w:t>
            </w:r>
            <w:r>
              <w:rPr>
                <w:rFonts w:hint="eastAsia"/>
                <w:b/>
                <w:bCs/>
                <w:snapToGrid w:val="0"/>
                <w:kern w:val="2"/>
                <w:sz w:val="21"/>
                <w:szCs w:val="21"/>
                <w:lang w:eastAsia="zh-CN"/>
              </w:rPr>
              <w:t>（</w:t>
            </w:r>
            <w:r>
              <w:rPr>
                <w:rFonts w:hint="eastAsia"/>
                <w:b/>
                <w:bCs/>
                <w:snapToGrid w:val="0"/>
                <w:kern w:val="2"/>
                <w:sz w:val="21"/>
                <w:szCs w:val="21"/>
              </w:rPr>
              <w:t>0.5倍杆（塔）高，且不应小于5m</w:t>
            </w:r>
            <w:r>
              <w:rPr>
                <w:rFonts w:hint="eastAsia"/>
                <w:b/>
                <w:bCs/>
                <w:snapToGrid w:val="0"/>
                <w:kern w:val="2"/>
                <w:sz w:val="21"/>
                <w:szCs w:val="21"/>
                <w:lang w:eastAsia="zh-CN"/>
              </w:rPr>
              <w:t>）</w:t>
            </w:r>
          </w:p>
        </w:tc>
        <w:tc>
          <w:tcPr>
            <w:tcW w:w="1005" w:type="dxa"/>
            <w:noWrap w:val="0"/>
            <w:vAlign w:val="center"/>
          </w:tcPr>
          <w:p>
            <w:pPr>
              <w:keepNext w:val="0"/>
              <w:keepLines w:val="0"/>
              <w:suppressLineNumbers w:val="0"/>
              <w:spacing w:before="0" w:beforeAutospacing="0" w:after="0" w:afterAutospacing="0" w:line="300" w:lineRule="exact"/>
              <w:ind w:left="0" w:right="0"/>
              <w:jc w:val="center"/>
              <w:rPr>
                <w:rFonts w:hint="eastAsia"/>
                <w:kern w:val="2"/>
                <w:sz w:val="21"/>
                <w:szCs w:val="21"/>
              </w:rPr>
            </w:pPr>
            <w:r>
              <w:rPr>
                <w:rFonts w:hint="eastAsia"/>
                <w:kern w:val="2"/>
                <w:sz w:val="21"/>
                <w:szCs w:val="21"/>
              </w:rPr>
              <w:t>85.78</w:t>
            </w:r>
          </w:p>
        </w:tc>
        <w:tc>
          <w:tcPr>
            <w:tcW w:w="867" w:type="dxa"/>
            <w:noWrap w:val="0"/>
            <w:vAlign w:val="center"/>
          </w:tcPr>
          <w:p>
            <w:pPr>
              <w:keepNext w:val="0"/>
              <w:keepLines w:val="0"/>
              <w:suppressLineNumbers w:val="0"/>
              <w:spacing w:before="0" w:beforeAutospacing="0" w:after="0" w:afterAutospacing="0" w:line="300" w:lineRule="exact"/>
              <w:ind w:left="0" w:right="0"/>
              <w:jc w:val="center"/>
              <w:rPr>
                <w:rFonts w:hint="eastAsia"/>
                <w:b/>
                <w:bCs/>
                <w:kern w:val="2"/>
                <w:sz w:val="21"/>
                <w:szCs w:val="21"/>
              </w:rPr>
            </w:pPr>
            <w:r>
              <w:rPr>
                <w:rFonts w:hint="eastAsia"/>
                <w:b/>
                <w:bCs/>
                <w:snapToGrid w:val="0"/>
                <w:kern w:val="2"/>
                <w:sz w:val="21"/>
                <w:szCs w:val="21"/>
              </w:rPr>
              <w:t>5</w:t>
            </w:r>
          </w:p>
        </w:tc>
        <w:tc>
          <w:tcPr>
            <w:tcW w:w="827" w:type="dxa"/>
            <w:noWrap w:val="0"/>
            <w:vAlign w:val="center"/>
          </w:tcPr>
          <w:p>
            <w:pPr>
              <w:keepNext w:val="0"/>
              <w:keepLines w:val="0"/>
              <w:suppressLineNumbers w:val="0"/>
              <w:spacing w:before="0" w:beforeAutospacing="0" w:after="0" w:afterAutospacing="0" w:line="300" w:lineRule="exact"/>
              <w:ind w:left="0" w:right="0"/>
              <w:jc w:val="center"/>
              <w:rPr>
                <w:rFonts w:hint="eastAsia"/>
                <w:kern w:val="2"/>
                <w:sz w:val="21"/>
                <w:szCs w:val="21"/>
              </w:rPr>
            </w:pPr>
            <w:r>
              <w:rPr>
                <w:rFonts w:hint="eastAsia"/>
                <w:kern w:val="2"/>
                <w:sz w:val="21"/>
                <w:szCs w:val="21"/>
              </w:rPr>
              <w:t>90.58</w:t>
            </w:r>
          </w:p>
        </w:tc>
        <w:tc>
          <w:tcPr>
            <w:tcW w:w="867" w:type="dxa"/>
            <w:noWrap w:val="0"/>
            <w:vAlign w:val="center"/>
          </w:tcPr>
          <w:p>
            <w:pPr>
              <w:keepNext w:val="0"/>
              <w:keepLines w:val="0"/>
              <w:suppressLineNumbers w:val="0"/>
              <w:spacing w:before="0" w:beforeAutospacing="0" w:after="0" w:afterAutospacing="0" w:line="300" w:lineRule="exact"/>
              <w:ind w:left="0" w:right="0"/>
              <w:jc w:val="center"/>
              <w:rPr>
                <w:rFonts w:hint="eastAsia"/>
                <w:b/>
                <w:bCs/>
                <w:kern w:val="2"/>
                <w:sz w:val="21"/>
                <w:szCs w:val="21"/>
              </w:rPr>
            </w:pPr>
            <w:r>
              <w:rPr>
                <w:rFonts w:hint="eastAsia"/>
                <w:b/>
                <w:bCs/>
                <w:snapToGrid w:val="0"/>
                <w:kern w:val="2"/>
                <w:sz w:val="21"/>
                <w:szCs w:val="21"/>
              </w:rPr>
              <w:t>5</w:t>
            </w:r>
          </w:p>
        </w:tc>
        <w:tc>
          <w:tcPr>
            <w:tcW w:w="885" w:type="dxa"/>
            <w:noWrap w:val="0"/>
            <w:vAlign w:val="center"/>
          </w:tcPr>
          <w:p>
            <w:pPr>
              <w:keepNext w:val="0"/>
              <w:keepLines w:val="0"/>
              <w:suppressLineNumbers w:val="0"/>
              <w:spacing w:before="0" w:beforeAutospacing="0" w:after="0" w:afterAutospacing="0" w:line="300" w:lineRule="exact"/>
              <w:ind w:left="0" w:right="0"/>
              <w:jc w:val="center"/>
              <w:rPr>
                <w:rFonts w:hint="default" w:eastAsia="宋体"/>
                <w:kern w:val="2"/>
                <w:sz w:val="21"/>
                <w:szCs w:val="21"/>
                <w:lang w:val="en-US" w:eastAsia="zh-CN"/>
              </w:rPr>
            </w:pPr>
            <w:r>
              <w:rPr>
                <w:rFonts w:hint="eastAsia"/>
                <w:kern w:val="2"/>
                <w:sz w:val="21"/>
                <w:szCs w:val="21"/>
              </w:rPr>
              <w:t>40.</w:t>
            </w:r>
            <w:r>
              <w:rPr>
                <w:rFonts w:hint="eastAsia"/>
                <w:kern w:val="2"/>
                <w:sz w:val="21"/>
                <w:szCs w:val="21"/>
                <w:lang w:val="en-US" w:eastAsia="zh-CN"/>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1" w:hRule="atLeast"/>
          <w:jc w:val="center"/>
        </w:trPr>
        <w:tc>
          <w:tcPr>
            <w:tcW w:w="935" w:type="dxa"/>
            <w:vMerge w:val="continue"/>
            <w:noWrap w:val="0"/>
            <w:vAlign w:val="center"/>
          </w:tcPr>
          <w:p>
            <w:pPr>
              <w:keepNext w:val="0"/>
              <w:keepLines w:val="0"/>
              <w:suppressLineNumbers w:val="0"/>
              <w:spacing w:before="0" w:beforeAutospacing="0" w:after="0" w:afterAutospacing="0" w:line="300" w:lineRule="exact"/>
              <w:ind w:left="0" w:right="0"/>
              <w:jc w:val="center"/>
              <w:rPr>
                <w:rFonts w:hint="eastAsia" w:ascii="宋体" w:hAnsi="宋体"/>
                <w:kern w:val="2"/>
                <w:sz w:val="21"/>
                <w:szCs w:val="21"/>
              </w:rPr>
            </w:pPr>
          </w:p>
        </w:tc>
        <w:tc>
          <w:tcPr>
            <w:tcW w:w="2235" w:type="dxa"/>
            <w:gridSpan w:val="3"/>
            <w:noWrap w:val="0"/>
            <w:vAlign w:val="center"/>
          </w:tcPr>
          <w:p>
            <w:pPr>
              <w:keepNext w:val="0"/>
              <w:keepLines w:val="0"/>
              <w:suppressLineNumbers w:val="0"/>
              <w:spacing w:before="0" w:beforeAutospacing="0" w:after="0" w:afterAutospacing="0" w:line="300" w:lineRule="exact"/>
              <w:ind w:left="0" w:right="0"/>
              <w:jc w:val="center"/>
              <w:rPr>
                <w:rFonts w:hint="eastAsia" w:ascii="宋体" w:hAnsi="宋体"/>
                <w:kern w:val="2"/>
                <w:sz w:val="21"/>
                <w:szCs w:val="21"/>
              </w:rPr>
            </w:pPr>
            <w:r>
              <w:rPr>
                <w:rFonts w:hint="eastAsia" w:ascii="宋体" w:hAnsi="宋体"/>
                <w:kern w:val="2"/>
                <w:sz w:val="21"/>
                <w:szCs w:val="21"/>
              </w:rPr>
              <w:t>东面杆高7.3</w:t>
            </w:r>
            <w:r>
              <w:rPr>
                <w:rFonts w:hint="default" w:ascii="宋体" w:hAnsi="宋体"/>
                <w:kern w:val="2"/>
                <w:sz w:val="21"/>
                <w:szCs w:val="21"/>
              </w:rPr>
              <w:t>m</w:t>
            </w:r>
            <w:r>
              <w:rPr>
                <w:rFonts w:hint="eastAsia" w:ascii="宋体" w:hAnsi="宋体"/>
                <w:kern w:val="2"/>
                <w:sz w:val="21"/>
                <w:szCs w:val="21"/>
              </w:rPr>
              <w:t xml:space="preserve"> </w:t>
            </w:r>
          </w:p>
        </w:tc>
        <w:tc>
          <w:tcPr>
            <w:tcW w:w="1735" w:type="dxa"/>
            <w:noWrap w:val="0"/>
            <w:vAlign w:val="center"/>
          </w:tcPr>
          <w:p>
            <w:pPr>
              <w:keepNext w:val="0"/>
              <w:keepLines w:val="0"/>
              <w:suppressLineNumbers w:val="0"/>
              <w:adjustRightInd w:val="0"/>
              <w:spacing w:before="0" w:beforeAutospacing="0" w:after="0" w:afterAutospacing="0" w:line="300" w:lineRule="exact"/>
              <w:ind w:left="0" w:leftChars="0" w:right="0" w:rightChars="0"/>
              <w:jc w:val="center"/>
              <w:rPr>
                <w:rFonts w:hint="eastAsia"/>
                <w:b/>
                <w:bCs/>
                <w:snapToGrid w:val="0"/>
                <w:kern w:val="2"/>
                <w:sz w:val="21"/>
                <w:szCs w:val="21"/>
              </w:rPr>
            </w:pPr>
            <w:r>
              <w:rPr>
                <w:rFonts w:hint="eastAsia"/>
                <w:b/>
                <w:bCs/>
                <w:snapToGrid w:val="0"/>
                <w:kern w:val="2"/>
                <w:sz w:val="21"/>
                <w:szCs w:val="21"/>
                <w:lang w:val="en-US" w:eastAsia="zh-CN"/>
              </w:rPr>
              <w:t>5m</w:t>
            </w:r>
            <w:r>
              <w:rPr>
                <w:rFonts w:hint="eastAsia"/>
                <w:b/>
                <w:bCs/>
                <w:snapToGrid w:val="0"/>
                <w:kern w:val="2"/>
                <w:sz w:val="21"/>
                <w:szCs w:val="21"/>
                <w:lang w:eastAsia="zh-CN"/>
              </w:rPr>
              <w:t>（</w:t>
            </w:r>
            <w:r>
              <w:rPr>
                <w:rFonts w:hint="eastAsia"/>
                <w:b/>
                <w:bCs/>
                <w:snapToGrid w:val="0"/>
                <w:kern w:val="2"/>
                <w:sz w:val="21"/>
                <w:szCs w:val="21"/>
              </w:rPr>
              <w:t>0.5倍杆（塔）高，且不应小于5m</w:t>
            </w:r>
            <w:r>
              <w:rPr>
                <w:rFonts w:hint="eastAsia"/>
                <w:b/>
                <w:bCs/>
                <w:snapToGrid w:val="0"/>
                <w:kern w:val="2"/>
                <w:sz w:val="21"/>
                <w:szCs w:val="21"/>
                <w:lang w:eastAsia="zh-CN"/>
              </w:rPr>
              <w:t>）</w:t>
            </w:r>
          </w:p>
        </w:tc>
        <w:tc>
          <w:tcPr>
            <w:tcW w:w="1005" w:type="dxa"/>
            <w:noWrap w:val="0"/>
            <w:vAlign w:val="center"/>
          </w:tcPr>
          <w:p>
            <w:pPr>
              <w:keepNext w:val="0"/>
              <w:keepLines w:val="0"/>
              <w:suppressLineNumbers w:val="0"/>
              <w:spacing w:before="0" w:beforeAutospacing="0" w:after="0" w:afterAutospacing="0" w:line="300" w:lineRule="exact"/>
              <w:ind w:left="0" w:right="0"/>
              <w:jc w:val="center"/>
              <w:rPr>
                <w:rFonts w:hint="eastAsia"/>
                <w:kern w:val="2"/>
                <w:sz w:val="21"/>
                <w:szCs w:val="21"/>
              </w:rPr>
            </w:pPr>
            <w:r>
              <w:rPr>
                <w:rFonts w:hint="eastAsia"/>
                <w:kern w:val="2"/>
                <w:sz w:val="21"/>
                <w:szCs w:val="21"/>
              </w:rPr>
              <w:t>87.30</w:t>
            </w:r>
          </w:p>
        </w:tc>
        <w:tc>
          <w:tcPr>
            <w:tcW w:w="867" w:type="dxa"/>
            <w:noWrap w:val="0"/>
            <w:vAlign w:val="center"/>
          </w:tcPr>
          <w:p>
            <w:pPr>
              <w:keepNext w:val="0"/>
              <w:keepLines w:val="0"/>
              <w:suppressLineNumbers w:val="0"/>
              <w:spacing w:before="0" w:beforeAutospacing="0" w:after="0" w:afterAutospacing="0" w:line="300" w:lineRule="exact"/>
              <w:ind w:left="0" w:right="0"/>
              <w:jc w:val="center"/>
              <w:rPr>
                <w:rFonts w:hint="eastAsia"/>
                <w:b/>
                <w:bCs/>
                <w:kern w:val="2"/>
                <w:sz w:val="21"/>
                <w:szCs w:val="21"/>
              </w:rPr>
            </w:pPr>
            <w:r>
              <w:rPr>
                <w:rFonts w:hint="eastAsia"/>
                <w:b/>
                <w:bCs/>
                <w:snapToGrid w:val="0"/>
                <w:kern w:val="2"/>
                <w:sz w:val="21"/>
                <w:szCs w:val="21"/>
              </w:rPr>
              <w:t>5</w:t>
            </w:r>
          </w:p>
        </w:tc>
        <w:tc>
          <w:tcPr>
            <w:tcW w:w="827" w:type="dxa"/>
            <w:noWrap w:val="0"/>
            <w:vAlign w:val="center"/>
          </w:tcPr>
          <w:p>
            <w:pPr>
              <w:keepNext w:val="0"/>
              <w:keepLines w:val="0"/>
              <w:suppressLineNumbers w:val="0"/>
              <w:spacing w:before="0" w:beforeAutospacing="0" w:after="0" w:afterAutospacing="0" w:line="300" w:lineRule="exact"/>
              <w:ind w:left="0" w:right="0"/>
              <w:jc w:val="center"/>
              <w:rPr>
                <w:rFonts w:hint="eastAsia"/>
                <w:kern w:val="2"/>
                <w:sz w:val="21"/>
                <w:szCs w:val="21"/>
              </w:rPr>
            </w:pPr>
            <w:r>
              <w:rPr>
                <w:rFonts w:hint="eastAsia"/>
                <w:kern w:val="2"/>
                <w:sz w:val="21"/>
                <w:szCs w:val="21"/>
              </w:rPr>
              <w:t>91.09</w:t>
            </w:r>
          </w:p>
        </w:tc>
        <w:tc>
          <w:tcPr>
            <w:tcW w:w="867" w:type="dxa"/>
            <w:noWrap w:val="0"/>
            <w:vAlign w:val="center"/>
          </w:tcPr>
          <w:p>
            <w:pPr>
              <w:keepNext w:val="0"/>
              <w:keepLines w:val="0"/>
              <w:suppressLineNumbers w:val="0"/>
              <w:spacing w:before="0" w:beforeAutospacing="0" w:after="0" w:afterAutospacing="0" w:line="300" w:lineRule="exact"/>
              <w:ind w:left="0" w:right="0"/>
              <w:jc w:val="center"/>
              <w:rPr>
                <w:rFonts w:hint="eastAsia"/>
                <w:b/>
                <w:bCs/>
                <w:kern w:val="2"/>
                <w:sz w:val="21"/>
                <w:szCs w:val="21"/>
              </w:rPr>
            </w:pPr>
            <w:r>
              <w:rPr>
                <w:rFonts w:hint="eastAsia"/>
                <w:b/>
                <w:bCs/>
                <w:snapToGrid w:val="0"/>
                <w:kern w:val="2"/>
                <w:sz w:val="21"/>
                <w:szCs w:val="21"/>
              </w:rPr>
              <w:t>5</w:t>
            </w:r>
          </w:p>
        </w:tc>
        <w:tc>
          <w:tcPr>
            <w:tcW w:w="885" w:type="dxa"/>
            <w:noWrap w:val="0"/>
            <w:vAlign w:val="center"/>
          </w:tcPr>
          <w:p>
            <w:pPr>
              <w:keepNext w:val="0"/>
              <w:keepLines w:val="0"/>
              <w:suppressLineNumbers w:val="0"/>
              <w:spacing w:before="0" w:beforeAutospacing="0" w:after="0" w:afterAutospacing="0" w:line="300" w:lineRule="exact"/>
              <w:ind w:left="0" w:right="0"/>
              <w:jc w:val="center"/>
              <w:rPr>
                <w:rFonts w:hint="eastAsia"/>
                <w:kern w:val="2"/>
                <w:sz w:val="21"/>
                <w:szCs w:val="21"/>
              </w:rPr>
            </w:pPr>
            <w:r>
              <w:rPr>
                <w:rFonts w:hint="eastAsia"/>
                <w:kern w:val="2"/>
                <w:sz w:val="21"/>
                <w:szCs w:val="21"/>
              </w:rPr>
              <w:t>42.37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1" w:hRule="atLeast"/>
          <w:jc w:val="center"/>
        </w:trPr>
        <w:tc>
          <w:tcPr>
            <w:tcW w:w="935" w:type="dxa"/>
            <w:vMerge w:val="continue"/>
            <w:noWrap w:val="0"/>
            <w:vAlign w:val="center"/>
          </w:tcPr>
          <w:p>
            <w:pPr>
              <w:keepNext w:val="0"/>
              <w:keepLines w:val="0"/>
              <w:suppressLineNumbers w:val="0"/>
              <w:spacing w:before="0" w:beforeAutospacing="0" w:after="0" w:afterAutospacing="0" w:line="300" w:lineRule="exact"/>
              <w:ind w:left="0" w:right="0"/>
              <w:jc w:val="center"/>
              <w:rPr>
                <w:rFonts w:hint="eastAsia" w:ascii="宋体" w:hAnsi="宋体"/>
                <w:kern w:val="2"/>
                <w:sz w:val="21"/>
                <w:szCs w:val="21"/>
              </w:rPr>
            </w:pPr>
          </w:p>
        </w:tc>
        <w:tc>
          <w:tcPr>
            <w:tcW w:w="2235" w:type="dxa"/>
            <w:gridSpan w:val="3"/>
            <w:noWrap w:val="0"/>
            <w:vAlign w:val="center"/>
          </w:tcPr>
          <w:p>
            <w:pPr>
              <w:keepNext w:val="0"/>
              <w:keepLines w:val="0"/>
              <w:suppressLineNumbers w:val="0"/>
              <w:spacing w:before="0" w:beforeAutospacing="0" w:after="0" w:afterAutospacing="0" w:line="300" w:lineRule="exact"/>
              <w:ind w:left="0" w:right="0"/>
              <w:jc w:val="center"/>
              <w:rPr>
                <w:rFonts w:hint="eastAsia" w:ascii="宋体" w:hAnsi="宋体"/>
                <w:kern w:val="2"/>
                <w:sz w:val="21"/>
                <w:szCs w:val="21"/>
              </w:rPr>
            </w:pPr>
            <w:r>
              <w:rPr>
                <w:rFonts w:hint="eastAsia" w:ascii="宋体" w:hAnsi="宋体"/>
                <w:kern w:val="2"/>
                <w:sz w:val="21"/>
                <w:szCs w:val="21"/>
              </w:rPr>
              <w:t>东南面杆高13</w:t>
            </w:r>
            <w:r>
              <w:rPr>
                <w:rFonts w:hint="default" w:ascii="宋体" w:hAnsi="宋体"/>
                <w:kern w:val="2"/>
                <w:sz w:val="21"/>
                <w:szCs w:val="21"/>
              </w:rPr>
              <w:t>.</w:t>
            </w:r>
            <w:r>
              <w:rPr>
                <w:rFonts w:hint="eastAsia" w:ascii="宋体" w:hAnsi="宋体"/>
                <w:kern w:val="2"/>
                <w:sz w:val="21"/>
                <w:szCs w:val="21"/>
              </w:rPr>
              <w:t>3</w:t>
            </w:r>
            <w:r>
              <w:rPr>
                <w:rFonts w:hint="default" w:ascii="宋体" w:hAnsi="宋体"/>
                <w:kern w:val="2"/>
                <w:sz w:val="21"/>
                <w:szCs w:val="21"/>
              </w:rPr>
              <w:t>m</w:t>
            </w:r>
            <w:r>
              <w:rPr>
                <w:rFonts w:hint="eastAsia" w:ascii="宋体" w:hAnsi="宋体"/>
                <w:kern w:val="2"/>
                <w:sz w:val="21"/>
                <w:szCs w:val="21"/>
              </w:rPr>
              <w:t xml:space="preserve"> </w:t>
            </w:r>
          </w:p>
        </w:tc>
        <w:tc>
          <w:tcPr>
            <w:tcW w:w="1735" w:type="dxa"/>
            <w:noWrap w:val="0"/>
            <w:vAlign w:val="center"/>
          </w:tcPr>
          <w:p>
            <w:pPr>
              <w:keepNext w:val="0"/>
              <w:keepLines w:val="0"/>
              <w:suppressLineNumbers w:val="0"/>
              <w:adjustRightInd w:val="0"/>
              <w:spacing w:before="0" w:beforeAutospacing="0" w:after="0" w:afterAutospacing="0" w:line="300" w:lineRule="exact"/>
              <w:ind w:left="0" w:leftChars="0" w:right="0" w:rightChars="0"/>
              <w:jc w:val="center"/>
              <w:rPr>
                <w:rFonts w:hint="eastAsia"/>
                <w:b/>
                <w:bCs/>
                <w:snapToGrid w:val="0"/>
                <w:kern w:val="2"/>
                <w:sz w:val="21"/>
                <w:szCs w:val="21"/>
              </w:rPr>
            </w:pPr>
            <w:r>
              <w:rPr>
                <w:rFonts w:hint="eastAsia"/>
                <w:b/>
                <w:bCs/>
                <w:snapToGrid w:val="0"/>
                <w:kern w:val="2"/>
                <w:sz w:val="21"/>
                <w:szCs w:val="21"/>
                <w:lang w:val="en-US" w:eastAsia="zh-CN"/>
              </w:rPr>
              <w:t>6.65m</w:t>
            </w:r>
            <w:r>
              <w:rPr>
                <w:rFonts w:hint="eastAsia"/>
                <w:b/>
                <w:bCs/>
                <w:snapToGrid w:val="0"/>
                <w:kern w:val="2"/>
                <w:sz w:val="21"/>
                <w:szCs w:val="21"/>
                <w:lang w:eastAsia="zh-CN"/>
              </w:rPr>
              <w:t>（</w:t>
            </w:r>
            <w:r>
              <w:rPr>
                <w:rFonts w:hint="eastAsia"/>
                <w:b/>
                <w:bCs/>
                <w:snapToGrid w:val="0"/>
                <w:kern w:val="2"/>
                <w:sz w:val="21"/>
                <w:szCs w:val="21"/>
              </w:rPr>
              <w:t>0.5倍杆（塔）高，且不应小于5m</w:t>
            </w:r>
            <w:r>
              <w:rPr>
                <w:rFonts w:hint="eastAsia"/>
                <w:b/>
                <w:bCs/>
                <w:snapToGrid w:val="0"/>
                <w:kern w:val="2"/>
                <w:sz w:val="21"/>
                <w:szCs w:val="21"/>
                <w:lang w:eastAsia="zh-CN"/>
              </w:rPr>
              <w:t>）</w:t>
            </w:r>
          </w:p>
        </w:tc>
        <w:tc>
          <w:tcPr>
            <w:tcW w:w="1005" w:type="dxa"/>
            <w:noWrap w:val="0"/>
            <w:vAlign w:val="center"/>
          </w:tcPr>
          <w:p>
            <w:pPr>
              <w:keepNext w:val="0"/>
              <w:keepLines w:val="0"/>
              <w:suppressLineNumbers w:val="0"/>
              <w:spacing w:before="0" w:beforeAutospacing="0" w:after="0" w:afterAutospacing="0" w:line="300" w:lineRule="exact"/>
              <w:ind w:left="0" w:right="0"/>
              <w:jc w:val="center"/>
              <w:rPr>
                <w:rFonts w:hint="eastAsia"/>
                <w:kern w:val="2"/>
                <w:sz w:val="21"/>
                <w:szCs w:val="21"/>
              </w:rPr>
            </w:pPr>
            <w:r>
              <w:rPr>
                <w:rFonts w:hint="eastAsia"/>
                <w:kern w:val="2"/>
                <w:sz w:val="21"/>
                <w:szCs w:val="21"/>
              </w:rPr>
              <w:t>85.20</w:t>
            </w:r>
          </w:p>
        </w:tc>
        <w:tc>
          <w:tcPr>
            <w:tcW w:w="867" w:type="dxa"/>
            <w:noWrap w:val="0"/>
            <w:vAlign w:val="center"/>
          </w:tcPr>
          <w:p>
            <w:pPr>
              <w:keepNext w:val="0"/>
              <w:keepLines w:val="0"/>
              <w:suppressLineNumbers w:val="0"/>
              <w:spacing w:before="0" w:beforeAutospacing="0" w:after="0" w:afterAutospacing="0" w:line="300" w:lineRule="exact"/>
              <w:ind w:left="0" w:right="0"/>
              <w:jc w:val="center"/>
              <w:rPr>
                <w:rFonts w:hint="eastAsia"/>
                <w:b/>
                <w:bCs/>
                <w:kern w:val="2"/>
                <w:sz w:val="21"/>
                <w:szCs w:val="21"/>
              </w:rPr>
            </w:pPr>
            <w:r>
              <w:rPr>
                <w:rFonts w:hint="eastAsia"/>
                <w:b/>
                <w:bCs/>
                <w:snapToGrid w:val="0"/>
                <w:kern w:val="2"/>
                <w:sz w:val="21"/>
                <w:szCs w:val="21"/>
              </w:rPr>
              <w:t>5</w:t>
            </w:r>
          </w:p>
        </w:tc>
        <w:tc>
          <w:tcPr>
            <w:tcW w:w="827" w:type="dxa"/>
            <w:noWrap w:val="0"/>
            <w:vAlign w:val="center"/>
          </w:tcPr>
          <w:p>
            <w:pPr>
              <w:keepNext w:val="0"/>
              <w:keepLines w:val="0"/>
              <w:suppressLineNumbers w:val="0"/>
              <w:spacing w:before="0" w:beforeAutospacing="0" w:after="0" w:afterAutospacing="0" w:line="300" w:lineRule="exact"/>
              <w:ind w:left="0" w:right="0"/>
              <w:jc w:val="center"/>
              <w:rPr>
                <w:rFonts w:hint="eastAsia"/>
                <w:kern w:val="2"/>
                <w:sz w:val="21"/>
                <w:szCs w:val="21"/>
              </w:rPr>
            </w:pPr>
            <w:r>
              <w:rPr>
                <w:rFonts w:hint="eastAsia"/>
                <w:kern w:val="2"/>
                <w:sz w:val="21"/>
                <w:szCs w:val="21"/>
              </w:rPr>
              <w:t>90.24</w:t>
            </w:r>
          </w:p>
        </w:tc>
        <w:tc>
          <w:tcPr>
            <w:tcW w:w="867" w:type="dxa"/>
            <w:noWrap w:val="0"/>
            <w:vAlign w:val="center"/>
          </w:tcPr>
          <w:p>
            <w:pPr>
              <w:keepNext w:val="0"/>
              <w:keepLines w:val="0"/>
              <w:suppressLineNumbers w:val="0"/>
              <w:spacing w:before="0" w:beforeAutospacing="0" w:after="0" w:afterAutospacing="0" w:line="300" w:lineRule="exact"/>
              <w:ind w:left="0" w:right="0"/>
              <w:jc w:val="center"/>
              <w:rPr>
                <w:rFonts w:hint="eastAsia"/>
                <w:b/>
                <w:bCs/>
                <w:kern w:val="2"/>
                <w:sz w:val="21"/>
                <w:szCs w:val="21"/>
              </w:rPr>
            </w:pPr>
            <w:r>
              <w:rPr>
                <w:rFonts w:hint="eastAsia"/>
                <w:b/>
                <w:bCs/>
                <w:snapToGrid w:val="0"/>
                <w:kern w:val="2"/>
                <w:sz w:val="21"/>
                <w:szCs w:val="21"/>
              </w:rPr>
              <w:t>5</w:t>
            </w:r>
          </w:p>
        </w:tc>
        <w:tc>
          <w:tcPr>
            <w:tcW w:w="885" w:type="dxa"/>
            <w:noWrap w:val="0"/>
            <w:vAlign w:val="center"/>
          </w:tcPr>
          <w:p>
            <w:pPr>
              <w:keepNext w:val="0"/>
              <w:keepLines w:val="0"/>
              <w:suppressLineNumbers w:val="0"/>
              <w:spacing w:before="0" w:beforeAutospacing="0" w:after="0" w:afterAutospacing="0" w:line="300" w:lineRule="exact"/>
              <w:ind w:left="0" w:right="0"/>
              <w:jc w:val="center"/>
              <w:rPr>
                <w:rFonts w:hint="default" w:eastAsia="宋体"/>
                <w:kern w:val="2"/>
                <w:sz w:val="21"/>
                <w:szCs w:val="21"/>
                <w:lang w:val="en-US" w:eastAsia="zh-CN"/>
              </w:rPr>
            </w:pPr>
            <w:r>
              <w:rPr>
                <w:rFonts w:hint="eastAsia"/>
                <w:kern w:val="2"/>
                <w:sz w:val="21"/>
                <w:szCs w:val="21"/>
              </w:rPr>
              <w:t>5</w:t>
            </w:r>
            <w:r>
              <w:rPr>
                <w:rFonts w:hint="eastAsia"/>
                <w:kern w:val="2"/>
                <w:sz w:val="21"/>
                <w:szCs w:val="21"/>
                <w:lang w:val="en-US" w:eastAsia="zh-CN"/>
              </w:rPr>
              <w:t>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1" w:hRule="atLeast"/>
          <w:jc w:val="center"/>
        </w:trPr>
        <w:tc>
          <w:tcPr>
            <w:tcW w:w="935" w:type="dxa"/>
            <w:vMerge w:val="continue"/>
            <w:noWrap w:val="0"/>
            <w:vAlign w:val="center"/>
          </w:tcPr>
          <w:p>
            <w:pPr>
              <w:keepNext w:val="0"/>
              <w:keepLines w:val="0"/>
              <w:suppressLineNumbers w:val="0"/>
              <w:spacing w:before="0" w:beforeAutospacing="0" w:after="0" w:afterAutospacing="0" w:line="300" w:lineRule="exact"/>
              <w:ind w:left="0" w:right="0"/>
              <w:jc w:val="center"/>
              <w:rPr>
                <w:rFonts w:hint="default"/>
                <w:kern w:val="2"/>
                <w:sz w:val="21"/>
                <w:szCs w:val="21"/>
              </w:rPr>
            </w:pPr>
          </w:p>
        </w:tc>
        <w:tc>
          <w:tcPr>
            <w:tcW w:w="2235" w:type="dxa"/>
            <w:gridSpan w:val="3"/>
            <w:noWrap w:val="0"/>
            <w:vAlign w:val="center"/>
          </w:tcPr>
          <w:p>
            <w:pPr>
              <w:keepNext w:val="0"/>
              <w:keepLines w:val="0"/>
              <w:suppressLineNumbers w:val="0"/>
              <w:spacing w:before="0" w:beforeAutospacing="0" w:after="0" w:afterAutospacing="0" w:line="300" w:lineRule="exact"/>
              <w:ind w:left="0" w:right="0"/>
              <w:jc w:val="center"/>
              <w:rPr>
                <w:rFonts w:hint="default"/>
                <w:kern w:val="2"/>
                <w:sz w:val="21"/>
                <w:szCs w:val="21"/>
              </w:rPr>
            </w:pPr>
            <w:r>
              <w:rPr>
                <w:rFonts w:hint="eastAsia" w:ascii="宋体" w:hAnsi="宋体"/>
                <w:kern w:val="2"/>
                <w:sz w:val="21"/>
                <w:szCs w:val="21"/>
              </w:rPr>
              <w:t>东南面杆高</w:t>
            </w:r>
            <w:r>
              <w:rPr>
                <w:rFonts w:hint="default" w:ascii="宋体" w:hAnsi="宋体"/>
                <w:kern w:val="2"/>
                <w:sz w:val="21"/>
                <w:szCs w:val="21"/>
              </w:rPr>
              <w:t>7.</w:t>
            </w:r>
            <w:r>
              <w:rPr>
                <w:rFonts w:hint="eastAsia" w:ascii="宋体" w:hAnsi="宋体"/>
                <w:kern w:val="2"/>
                <w:sz w:val="21"/>
                <w:szCs w:val="21"/>
              </w:rPr>
              <w:t>3</w:t>
            </w:r>
            <w:r>
              <w:rPr>
                <w:rFonts w:hint="eastAsia"/>
                <w:kern w:val="2"/>
                <w:sz w:val="21"/>
                <w:szCs w:val="21"/>
                <w:lang w:val="en-US" w:eastAsia="zh-CN"/>
              </w:rPr>
              <w:t>5</w:t>
            </w:r>
            <w:r>
              <w:rPr>
                <w:rFonts w:hint="default" w:ascii="宋体" w:hAnsi="宋体"/>
                <w:kern w:val="2"/>
                <w:sz w:val="21"/>
                <w:szCs w:val="21"/>
              </w:rPr>
              <w:t>m</w:t>
            </w:r>
            <w:r>
              <w:rPr>
                <w:rFonts w:hint="default"/>
                <w:kern w:val="2"/>
                <w:sz w:val="21"/>
                <w:szCs w:val="21"/>
              </w:rPr>
              <w:t xml:space="preserve"> </w:t>
            </w:r>
          </w:p>
        </w:tc>
        <w:tc>
          <w:tcPr>
            <w:tcW w:w="1735" w:type="dxa"/>
            <w:noWrap w:val="0"/>
            <w:vAlign w:val="center"/>
          </w:tcPr>
          <w:p>
            <w:pPr>
              <w:keepNext w:val="0"/>
              <w:keepLines w:val="0"/>
              <w:suppressLineNumbers w:val="0"/>
              <w:adjustRightInd w:val="0"/>
              <w:spacing w:before="0" w:beforeAutospacing="0" w:after="0" w:afterAutospacing="0" w:line="300" w:lineRule="exact"/>
              <w:ind w:left="0" w:leftChars="0" w:right="0" w:rightChars="0"/>
              <w:jc w:val="center"/>
              <w:rPr>
                <w:rFonts w:hint="eastAsia"/>
                <w:b/>
                <w:bCs/>
                <w:kern w:val="2"/>
                <w:sz w:val="21"/>
                <w:szCs w:val="21"/>
              </w:rPr>
            </w:pPr>
            <w:r>
              <w:rPr>
                <w:rFonts w:hint="eastAsia"/>
                <w:b/>
                <w:bCs/>
                <w:snapToGrid w:val="0"/>
                <w:kern w:val="2"/>
                <w:sz w:val="21"/>
                <w:szCs w:val="21"/>
                <w:lang w:val="en-US" w:eastAsia="zh-CN"/>
              </w:rPr>
              <w:t>5m</w:t>
            </w:r>
            <w:r>
              <w:rPr>
                <w:rFonts w:hint="eastAsia"/>
                <w:b/>
                <w:bCs/>
                <w:snapToGrid w:val="0"/>
                <w:kern w:val="2"/>
                <w:sz w:val="21"/>
                <w:szCs w:val="21"/>
                <w:lang w:eastAsia="zh-CN"/>
              </w:rPr>
              <w:t>（</w:t>
            </w:r>
            <w:r>
              <w:rPr>
                <w:rFonts w:hint="eastAsia"/>
                <w:b/>
                <w:bCs/>
                <w:snapToGrid w:val="0"/>
                <w:kern w:val="2"/>
                <w:sz w:val="21"/>
                <w:szCs w:val="21"/>
              </w:rPr>
              <w:t>0.5倍杆（塔）高，且不应小于5m</w:t>
            </w:r>
            <w:r>
              <w:rPr>
                <w:rFonts w:hint="eastAsia"/>
                <w:b/>
                <w:bCs/>
                <w:snapToGrid w:val="0"/>
                <w:kern w:val="2"/>
                <w:sz w:val="21"/>
                <w:szCs w:val="21"/>
                <w:lang w:eastAsia="zh-CN"/>
              </w:rPr>
              <w:t>）</w:t>
            </w:r>
          </w:p>
        </w:tc>
        <w:tc>
          <w:tcPr>
            <w:tcW w:w="1005" w:type="dxa"/>
            <w:noWrap w:val="0"/>
            <w:vAlign w:val="center"/>
          </w:tcPr>
          <w:p>
            <w:pPr>
              <w:keepNext w:val="0"/>
              <w:keepLines w:val="0"/>
              <w:suppressLineNumbers w:val="0"/>
              <w:spacing w:before="0" w:beforeAutospacing="0" w:after="0" w:afterAutospacing="0" w:line="300" w:lineRule="exact"/>
              <w:ind w:left="0" w:right="0"/>
              <w:jc w:val="center"/>
              <w:rPr>
                <w:rFonts w:hint="eastAsia"/>
                <w:kern w:val="2"/>
                <w:sz w:val="21"/>
                <w:szCs w:val="21"/>
              </w:rPr>
            </w:pPr>
            <w:r>
              <w:rPr>
                <w:rFonts w:hint="eastAsia"/>
                <w:kern w:val="2"/>
                <w:sz w:val="21"/>
                <w:szCs w:val="21"/>
              </w:rPr>
              <w:t>54.14</w:t>
            </w:r>
          </w:p>
        </w:tc>
        <w:tc>
          <w:tcPr>
            <w:tcW w:w="867" w:type="dxa"/>
            <w:noWrap w:val="0"/>
            <w:vAlign w:val="center"/>
          </w:tcPr>
          <w:p>
            <w:pPr>
              <w:keepNext w:val="0"/>
              <w:keepLines w:val="0"/>
              <w:suppressLineNumbers w:val="0"/>
              <w:spacing w:before="0" w:beforeAutospacing="0" w:after="0" w:afterAutospacing="0" w:line="300" w:lineRule="exact"/>
              <w:ind w:left="0" w:right="0"/>
              <w:jc w:val="center"/>
              <w:rPr>
                <w:rFonts w:hint="eastAsia"/>
                <w:b/>
                <w:bCs/>
                <w:kern w:val="2"/>
                <w:sz w:val="21"/>
                <w:szCs w:val="21"/>
              </w:rPr>
            </w:pPr>
            <w:r>
              <w:rPr>
                <w:rFonts w:hint="eastAsia"/>
                <w:b/>
                <w:bCs/>
                <w:snapToGrid w:val="0"/>
                <w:kern w:val="2"/>
                <w:sz w:val="21"/>
                <w:szCs w:val="21"/>
              </w:rPr>
              <w:t>5</w:t>
            </w:r>
          </w:p>
        </w:tc>
        <w:tc>
          <w:tcPr>
            <w:tcW w:w="827" w:type="dxa"/>
            <w:noWrap w:val="0"/>
            <w:vAlign w:val="center"/>
          </w:tcPr>
          <w:p>
            <w:pPr>
              <w:keepNext w:val="0"/>
              <w:keepLines w:val="0"/>
              <w:suppressLineNumbers w:val="0"/>
              <w:spacing w:before="0" w:beforeAutospacing="0" w:after="0" w:afterAutospacing="0" w:line="300" w:lineRule="exact"/>
              <w:ind w:left="0" w:right="0"/>
              <w:jc w:val="center"/>
              <w:rPr>
                <w:rFonts w:hint="eastAsia"/>
                <w:kern w:val="2"/>
                <w:sz w:val="21"/>
                <w:szCs w:val="21"/>
              </w:rPr>
            </w:pPr>
            <w:r>
              <w:rPr>
                <w:rFonts w:hint="eastAsia"/>
                <w:kern w:val="2"/>
                <w:sz w:val="21"/>
                <w:szCs w:val="21"/>
              </w:rPr>
              <w:t>59.17</w:t>
            </w:r>
          </w:p>
        </w:tc>
        <w:tc>
          <w:tcPr>
            <w:tcW w:w="867" w:type="dxa"/>
            <w:noWrap w:val="0"/>
            <w:vAlign w:val="center"/>
          </w:tcPr>
          <w:p>
            <w:pPr>
              <w:keepNext w:val="0"/>
              <w:keepLines w:val="0"/>
              <w:suppressLineNumbers w:val="0"/>
              <w:spacing w:before="0" w:beforeAutospacing="0" w:after="0" w:afterAutospacing="0" w:line="300" w:lineRule="exact"/>
              <w:ind w:left="0" w:right="0"/>
              <w:jc w:val="center"/>
              <w:rPr>
                <w:rFonts w:hint="eastAsia"/>
                <w:b/>
                <w:bCs/>
                <w:kern w:val="2"/>
                <w:sz w:val="21"/>
                <w:szCs w:val="21"/>
              </w:rPr>
            </w:pPr>
            <w:r>
              <w:rPr>
                <w:rFonts w:hint="eastAsia"/>
                <w:b/>
                <w:bCs/>
                <w:snapToGrid w:val="0"/>
                <w:kern w:val="2"/>
                <w:sz w:val="21"/>
                <w:szCs w:val="21"/>
              </w:rPr>
              <w:t>5</w:t>
            </w:r>
          </w:p>
        </w:tc>
        <w:tc>
          <w:tcPr>
            <w:tcW w:w="885" w:type="dxa"/>
            <w:noWrap w:val="0"/>
            <w:vAlign w:val="center"/>
          </w:tcPr>
          <w:p>
            <w:pPr>
              <w:keepNext w:val="0"/>
              <w:keepLines w:val="0"/>
              <w:suppressLineNumbers w:val="0"/>
              <w:spacing w:before="0" w:beforeAutospacing="0" w:after="0" w:afterAutospacing="0" w:line="300" w:lineRule="exact"/>
              <w:ind w:left="0" w:right="0"/>
              <w:jc w:val="center"/>
              <w:rPr>
                <w:rFonts w:hint="eastAsia"/>
                <w:kern w:val="2"/>
                <w:sz w:val="21"/>
                <w:szCs w:val="21"/>
              </w:rPr>
            </w:pPr>
            <w:r>
              <w:rPr>
                <w:rFonts w:hint="eastAsia"/>
                <w:kern w:val="2"/>
                <w:sz w:val="21"/>
                <w:szCs w:val="21"/>
              </w:rPr>
              <w:t>46.16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1" w:hRule="atLeast"/>
          <w:jc w:val="center"/>
        </w:trPr>
        <w:tc>
          <w:tcPr>
            <w:tcW w:w="935" w:type="dxa"/>
            <w:vMerge w:val="restart"/>
            <w:noWrap w:val="0"/>
            <w:vAlign w:val="center"/>
          </w:tcPr>
          <w:p>
            <w:pPr>
              <w:keepNext w:val="0"/>
              <w:keepLines w:val="0"/>
              <w:suppressLineNumbers w:val="0"/>
              <w:spacing w:before="0" w:beforeAutospacing="0" w:after="0" w:afterAutospacing="0" w:line="300" w:lineRule="exact"/>
              <w:ind w:left="0" w:right="0"/>
              <w:jc w:val="center"/>
              <w:rPr>
                <w:rFonts w:hint="eastAsia" w:ascii="宋体" w:hAnsi="宋体" w:eastAsia="宋体" w:cs="宋体"/>
                <w:kern w:val="2"/>
                <w:sz w:val="21"/>
                <w:szCs w:val="21"/>
                <w:lang w:val="zh-CN" w:eastAsia="zh-CN" w:bidi="zh-CN"/>
              </w:rPr>
            </w:pPr>
            <w:r>
              <w:rPr>
                <w:rFonts w:hint="eastAsia"/>
                <w:kern w:val="2"/>
                <w:sz w:val="21"/>
                <w:szCs w:val="21"/>
                <w:lang w:eastAsia="zh-CN"/>
              </w:rPr>
              <w:t>架空通信线</w:t>
            </w:r>
          </w:p>
          <w:p>
            <w:pPr>
              <w:keepNext w:val="0"/>
              <w:keepLines w:val="0"/>
              <w:suppressLineNumbers w:val="0"/>
              <w:spacing w:before="0" w:beforeAutospacing="0" w:after="0" w:afterAutospacing="0" w:line="300" w:lineRule="exact"/>
              <w:ind w:left="0" w:right="0"/>
              <w:jc w:val="center"/>
              <w:rPr>
                <w:rFonts w:hint="default"/>
                <w:kern w:val="2"/>
                <w:sz w:val="21"/>
                <w:szCs w:val="21"/>
              </w:rPr>
            </w:pPr>
          </w:p>
        </w:tc>
        <w:tc>
          <w:tcPr>
            <w:tcW w:w="2235" w:type="dxa"/>
            <w:gridSpan w:val="3"/>
            <w:noWrap w:val="0"/>
            <w:vAlign w:val="center"/>
          </w:tcPr>
          <w:p>
            <w:pPr>
              <w:keepNext w:val="0"/>
              <w:keepLines w:val="0"/>
              <w:suppressLineNumbers w:val="0"/>
              <w:spacing w:before="0" w:beforeAutospacing="0" w:after="0" w:afterAutospacing="0" w:line="300" w:lineRule="exact"/>
              <w:ind w:left="0" w:right="0"/>
              <w:jc w:val="center"/>
              <w:rPr>
                <w:rFonts w:hint="eastAsia" w:ascii="宋体" w:hAnsi="宋体" w:eastAsia="宋体" w:cs="宋体"/>
                <w:kern w:val="2"/>
                <w:sz w:val="21"/>
                <w:szCs w:val="21"/>
                <w:lang w:val="zh-CN" w:eastAsia="zh-CN" w:bidi="zh-CN"/>
              </w:rPr>
            </w:pPr>
            <w:r>
              <w:rPr>
                <w:rFonts w:hint="eastAsia"/>
                <w:kern w:val="2"/>
                <w:sz w:val="21"/>
                <w:szCs w:val="21"/>
                <w:lang w:eastAsia="zh-CN"/>
              </w:rPr>
              <w:t>东南面</w:t>
            </w:r>
          </w:p>
        </w:tc>
        <w:tc>
          <w:tcPr>
            <w:tcW w:w="1735" w:type="dxa"/>
            <w:noWrap w:val="0"/>
            <w:vAlign w:val="center"/>
          </w:tcPr>
          <w:p>
            <w:pPr>
              <w:keepNext w:val="0"/>
              <w:keepLines w:val="0"/>
              <w:suppressLineNumbers w:val="0"/>
              <w:spacing w:before="0" w:beforeAutospacing="0" w:after="0" w:afterAutospacing="0" w:line="300" w:lineRule="exact"/>
              <w:ind w:left="0" w:right="0"/>
              <w:jc w:val="center"/>
              <w:rPr>
                <w:rFonts w:hint="eastAsia" w:eastAsia="宋体"/>
                <w:b/>
                <w:bCs/>
                <w:kern w:val="2"/>
                <w:sz w:val="21"/>
                <w:szCs w:val="21"/>
                <w:lang w:val="en-US" w:eastAsia="zh-CN"/>
              </w:rPr>
            </w:pPr>
            <w:r>
              <w:rPr>
                <w:rFonts w:hint="eastAsia"/>
                <w:b/>
                <w:bCs/>
                <w:kern w:val="2"/>
                <w:sz w:val="21"/>
                <w:szCs w:val="21"/>
                <w:lang w:val="en-US" w:eastAsia="zh-CN"/>
              </w:rPr>
              <w:t>5</w:t>
            </w:r>
          </w:p>
        </w:tc>
        <w:tc>
          <w:tcPr>
            <w:tcW w:w="1005" w:type="dxa"/>
            <w:noWrap w:val="0"/>
            <w:vAlign w:val="center"/>
          </w:tcPr>
          <w:p>
            <w:pPr>
              <w:keepNext w:val="0"/>
              <w:keepLines w:val="0"/>
              <w:suppressLineNumbers w:val="0"/>
              <w:spacing w:before="0" w:beforeAutospacing="0" w:after="0" w:afterAutospacing="0" w:line="300" w:lineRule="exact"/>
              <w:ind w:left="0" w:right="0"/>
              <w:jc w:val="center"/>
              <w:rPr>
                <w:rFonts w:hint="default" w:eastAsia="宋体"/>
                <w:kern w:val="2"/>
                <w:sz w:val="21"/>
                <w:szCs w:val="21"/>
                <w:lang w:val="en-US" w:eastAsia="zh-CN"/>
              </w:rPr>
            </w:pPr>
            <w:r>
              <w:rPr>
                <w:rFonts w:hint="eastAsia"/>
                <w:kern w:val="2"/>
                <w:sz w:val="21"/>
                <w:szCs w:val="21"/>
                <w:lang w:val="en-US" w:eastAsia="zh-CN"/>
              </w:rPr>
              <w:t>58.4</w:t>
            </w:r>
          </w:p>
        </w:tc>
        <w:tc>
          <w:tcPr>
            <w:tcW w:w="867" w:type="dxa"/>
            <w:noWrap w:val="0"/>
            <w:vAlign w:val="center"/>
          </w:tcPr>
          <w:p>
            <w:pPr>
              <w:keepNext w:val="0"/>
              <w:keepLines w:val="0"/>
              <w:suppressLineNumbers w:val="0"/>
              <w:spacing w:before="0" w:beforeAutospacing="0" w:after="0" w:afterAutospacing="0" w:line="300" w:lineRule="exact"/>
              <w:ind w:left="0" w:right="0"/>
              <w:jc w:val="center"/>
              <w:rPr>
                <w:rFonts w:hint="eastAsia" w:eastAsia="宋体"/>
                <w:b/>
                <w:bCs/>
                <w:snapToGrid w:val="0"/>
                <w:kern w:val="2"/>
                <w:sz w:val="21"/>
                <w:szCs w:val="21"/>
                <w:lang w:val="en-US" w:eastAsia="zh-CN"/>
              </w:rPr>
            </w:pPr>
            <w:r>
              <w:rPr>
                <w:rFonts w:hint="eastAsia"/>
                <w:b/>
                <w:bCs/>
                <w:snapToGrid w:val="0"/>
                <w:kern w:val="2"/>
                <w:sz w:val="21"/>
                <w:szCs w:val="21"/>
                <w:lang w:val="en-US" w:eastAsia="zh-CN"/>
              </w:rPr>
              <w:t>5</w:t>
            </w:r>
          </w:p>
        </w:tc>
        <w:tc>
          <w:tcPr>
            <w:tcW w:w="827" w:type="dxa"/>
            <w:noWrap w:val="0"/>
            <w:vAlign w:val="center"/>
          </w:tcPr>
          <w:p>
            <w:pPr>
              <w:keepNext w:val="0"/>
              <w:keepLines w:val="0"/>
              <w:suppressLineNumbers w:val="0"/>
              <w:spacing w:before="0" w:beforeAutospacing="0" w:after="0" w:afterAutospacing="0" w:line="300" w:lineRule="exact"/>
              <w:ind w:left="0" w:right="0"/>
              <w:jc w:val="center"/>
              <w:rPr>
                <w:rFonts w:hint="eastAsia" w:ascii="宋体" w:hAnsi="宋体" w:eastAsia="宋体" w:cs="宋体"/>
                <w:kern w:val="2"/>
                <w:sz w:val="21"/>
                <w:szCs w:val="21"/>
                <w:lang w:val="en-US" w:eastAsia="zh-CN" w:bidi="zh-CN"/>
              </w:rPr>
            </w:pPr>
            <w:r>
              <w:rPr>
                <w:rFonts w:hint="eastAsia"/>
                <w:kern w:val="2"/>
                <w:sz w:val="21"/>
                <w:szCs w:val="21"/>
                <w:lang w:val="en-US" w:eastAsia="zh-CN"/>
              </w:rPr>
              <w:t>60.2</w:t>
            </w:r>
          </w:p>
        </w:tc>
        <w:tc>
          <w:tcPr>
            <w:tcW w:w="867" w:type="dxa"/>
            <w:noWrap w:val="0"/>
            <w:vAlign w:val="center"/>
          </w:tcPr>
          <w:p>
            <w:pPr>
              <w:keepNext w:val="0"/>
              <w:keepLines w:val="0"/>
              <w:suppressLineNumbers w:val="0"/>
              <w:spacing w:before="0" w:beforeAutospacing="0" w:after="0" w:afterAutospacing="0" w:line="300" w:lineRule="exact"/>
              <w:ind w:left="0" w:right="0"/>
              <w:jc w:val="center"/>
              <w:rPr>
                <w:rFonts w:hint="eastAsia" w:eastAsia="宋体"/>
                <w:b/>
                <w:bCs/>
                <w:snapToGrid w:val="0"/>
                <w:kern w:val="2"/>
                <w:sz w:val="21"/>
                <w:szCs w:val="21"/>
                <w:lang w:val="en-US" w:eastAsia="zh-CN"/>
              </w:rPr>
            </w:pPr>
            <w:r>
              <w:rPr>
                <w:rFonts w:hint="eastAsia"/>
                <w:b/>
                <w:bCs/>
                <w:snapToGrid w:val="0"/>
                <w:kern w:val="2"/>
                <w:sz w:val="21"/>
                <w:szCs w:val="21"/>
                <w:lang w:val="en-US" w:eastAsia="zh-CN"/>
              </w:rPr>
              <w:t>5</w:t>
            </w:r>
          </w:p>
        </w:tc>
        <w:tc>
          <w:tcPr>
            <w:tcW w:w="885" w:type="dxa"/>
            <w:noWrap w:val="0"/>
            <w:vAlign w:val="center"/>
          </w:tcPr>
          <w:p>
            <w:pPr>
              <w:keepNext w:val="0"/>
              <w:keepLines w:val="0"/>
              <w:suppressLineNumbers w:val="0"/>
              <w:spacing w:before="0" w:beforeAutospacing="0" w:after="0" w:afterAutospacing="0" w:line="300" w:lineRule="exact"/>
              <w:ind w:left="0" w:right="0"/>
              <w:jc w:val="center"/>
              <w:rPr>
                <w:rFonts w:hint="default" w:ascii="宋体" w:hAnsi="宋体" w:eastAsia="宋体" w:cs="宋体"/>
                <w:kern w:val="2"/>
                <w:sz w:val="21"/>
                <w:szCs w:val="21"/>
                <w:lang w:val="en-US" w:eastAsia="zh-CN" w:bidi="zh-CN"/>
              </w:rPr>
            </w:pPr>
            <w:r>
              <w:rPr>
                <w:rFonts w:hint="eastAsia"/>
                <w:kern w:val="2"/>
                <w:sz w:val="21"/>
                <w:szCs w:val="21"/>
                <w:lang w:val="en-US" w:eastAsia="zh-CN"/>
              </w:rPr>
              <w:t>46.16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1" w:hRule="atLeast"/>
          <w:jc w:val="center"/>
        </w:trPr>
        <w:tc>
          <w:tcPr>
            <w:tcW w:w="935" w:type="dxa"/>
            <w:vMerge w:val="continue"/>
            <w:noWrap w:val="0"/>
            <w:vAlign w:val="center"/>
          </w:tcPr>
          <w:p>
            <w:pPr>
              <w:keepNext w:val="0"/>
              <w:keepLines w:val="0"/>
              <w:suppressLineNumbers w:val="0"/>
              <w:spacing w:before="0" w:beforeAutospacing="0" w:after="0" w:afterAutospacing="0" w:line="300" w:lineRule="exact"/>
              <w:ind w:left="0" w:right="0"/>
              <w:jc w:val="center"/>
              <w:rPr>
                <w:rFonts w:hint="default"/>
                <w:kern w:val="2"/>
                <w:sz w:val="21"/>
                <w:szCs w:val="21"/>
              </w:rPr>
            </w:pPr>
          </w:p>
        </w:tc>
        <w:tc>
          <w:tcPr>
            <w:tcW w:w="2235" w:type="dxa"/>
            <w:gridSpan w:val="3"/>
            <w:noWrap w:val="0"/>
            <w:vAlign w:val="center"/>
          </w:tcPr>
          <w:p>
            <w:pPr>
              <w:keepNext w:val="0"/>
              <w:keepLines w:val="0"/>
              <w:suppressLineNumbers w:val="0"/>
              <w:spacing w:before="0" w:beforeAutospacing="0" w:after="0" w:afterAutospacing="0" w:line="300" w:lineRule="exact"/>
              <w:ind w:left="0" w:right="0"/>
              <w:jc w:val="center"/>
              <w:rPr>
                <w:rFonts w:hint="eastAsia" w:ascii="宋体" w:hAnsi="宋体" w:eastAsia="宋体" w:cs="宋体"/>
                <w:kern w:val="2"/>
                <w:sz w:val="21"/>
                <w:szCs w:val="21"/>
                <w:lang w:val="zh-CN" w:eastAsia="zh-CN" w:bidi="zh-CN"/>
              </w:rPr>
            </w:pPr>
            <w:r>
              <w:rPr>
                <w:rFonts w:hint="eastAsia"/>
                <w:kern w:val="2"/>
                <w:sz w:val="21"/>
                <w:szCs w:val="21"/>
                <w:lang w:eastAsia="zh-CN"/>
              </w:rPr>
              <w:t>东面</w:t>
            </w:r>
          </w:p>
        </w:tc>
        <w:tc>
          <w:tcPr>
            <w:tcW w:w="1735" w:type="dxa"/>
            <w:noWrap w:val="0"/>
            <w:vAlign w:val="center"/>
          </w:tcPr>
          <w:p>
            <w:pPr>
              <w:keepNext w:val="0"/>
              <w:keepLines w:val="0"/>
              <w:suppressLineNumbers w:val="0"/>
              <w:spacing w:before="0" w:beforeAutospacing="0" w:after="0" w:afterAutospacing="0" w:line="300" w:lineRule="exact"/>
              <w:ind w:left="0" w:right="0"/>
              <w:jc w:val="center"/>
              <w:rPr>
                <w:rFonts w:hint="eastAsia" w:eastAsia="宋体"/>
                <w:b/>
                <w:bCs/>
                <w:kern w:val="2"/>
                <w:sz w:val="21"/>
                <w:szCs w:val="21"/>
                <w:lang w:val="en-US" w:eastAsia="zh-CN"/>
              </w:rPr>
            </w:pPr>
            <w:r>
              <w:rPr>
                <w:rFonts w:hint="eastAsia"/>
                <w:b/>
                <w:bCs/>
                <w:kern w:val="2"/>
                <w:sz w:val="21"/>
                <w:szCs w:val="21"/>
                <w:lang w:val="en-US" w:eastAsia="zh-CN"/>
              </w:rPr>
              <w:t>5</w:t>
            </w:r>
          </w:p>
        </w:tc>
        <w:tc>
          <w:tcPr>
            <w:tcW w:w="1005" w:type="dxa"/>
            <w:noWrap w:val="0"/>
            <w:vAlign w:val="center"/>
          </w:tcPr>
          <w:p>
            <w:pPr>
              <w:keepNext w:val="0"/>
              <w:keepLines w:val="0"/>
              <w:suppressLineNumbers w:val="0"/>
              <w:spacing w:before="0" w:beforeAutospacing="0" w:after="0" w:afterAutospacing="0" w:line="300" w:lineRule="exact"/>
              <w:ind w:left="0" w:right="0"/>
              <w:jc w:val="center"/>
              <w:rPr>
                <w:rFonts w:hint="default" w:eastAsia="宋体"/>
                <w:kern w:val="2"/>
                <w:sz w:val="21"/>
                <w:szCs w:val="21"/>
                <w:lang w:val="en-US" w:eastAsia="zh-CN"/>
              </w:rPr>
            </w:pPr>
            <w:r>
              <w:rPr>
                <w:rFonts w:hint="eastAsia"/>
                <w:kern w:val="2"/>
                <w:sz w:val="21"/>
                <w:szCs w:val="21"/>
                <w:lang w:val="en-US" w:eastAsia="zh-CN"/>
              </w:rPr>
              <w:t>85.1</w:t>
            </w:r>
          </w:p>
        </w:tc>
        <w:tc>
          <w:tcPr>
            <w:tcW w:w="867" w:type="dxa"/>
            <w:noWrap w:val="0"/>
            <w:vAlign w:val="center"/>
          </w:tcPr>
          <w:p>
            <w:pPr>
              <w:keepNext w:val="0"/>
              <w:keepLines w:val="0"/>
              <w:suppressLineNumbers w:val="0"/>
              <w:spacing w:before="0" w:beforeAutospacing="0" w:after="0" w:afterAutospacing="0" w:line="300" w:lineRule="exact"/>
              <w:ind w:left="0" w:right="0"/>
              <w:jc w:val="center"/>
              <w:rPr>
                <w:rFonts w:hint="eastAsia" w:eastAsia="宋体"/>
                <w:b/>
                <w:bCs/>
                <w:snapToGrid w:val="0"/>
                <w:kern w:val="2"/>
                <w:sz w:val="21"/>
                <w:szCs w:val="21"/>
                <w:lang w:val="en-US" w:eastAsia="zh-CN"/>
              </w:rPr>
            </w:pPr>
            <w:r>
              <w:rPr>
                <w:rFonts w:hint="eastAsia"/>
                <w:b/>
                <w:bCs/>
                <w:snapToGrid w:val="0"/>
                <w:kern w:val="2"/>
                <w:sz w:val="21"/>
                <w:szCs w:val="21"/>
                <w:lang w:val="en-US" w:eastAsia="zh-CN"/>
              </w:rPr>
              <w:t>5</w:t>
            </w:r>
          </w:p>
        </w:tc>
        <w:tc>
          <w:tcPr>
            <w:tcW w:w="827" w:type="dxa"/>
            <w:noWrap w:val="0"/>
            <w:vAlign w:val="center"/>
          </w:tcPr>
          <w:p>
            <w:pPr>
              <w:keepNext w:val="0"/>
              <w:keepLines w:val="0"/>
              <w:suppressLineNumbers w:val="0"/>
              <w:spacing w:before="0" w:beforeAutospacing="0" w:after="0" w:afterAutospacing="0" w:line="300" w:lineRule="exact"/>
              <w:ind w:left="0" w:right="0"/>
              <w:jc w:val="center"/>
              <w:rPr>
                <w:rFonts w:hint="eastAsia" w:ascii="宋体" w:hAnsi="宋体" w:eastAsia="宋体" w:cs="宋体"/>
                <w:kern w:val="2"/>
                <w:sz w:val="21"/>
                <w:szCs w:val="21"/>
                <w:lang w:val="en-US" w:eastAsia="zh-CN" w:bidi="zh-CN"/>
              </w:rPr>
            </w:pPr>
            <w:r>
              <w:rPr>
                <w:rFonts w:hint="eastAsia"/>
                <w:kern w:val="2"/>
                <w:sz w:val="21"/>
                <w:szCs w:val="21"/>
                <w:lang w:val="en-US" w:eastAsia="zh-CN"/>
              </w:rPr>
              <w:t>89.7</w:t>
            </w:r>
          </w:p>
        </w:tc>
        <w:tc>
          <w:tcPr>
            <w:tcW w:w="867" w:type="dxa"/>
            <w:noWrap w:val="0"/>
            <w:vAlign w:val="center"/>
          </w:tcPr>
          <w:p>
            <w:pPr>
              <w:keepNext w:val="0"/>
              <w:keepLines w:val="0"/>
              <w:suppressLineNumbers w:val="0"/>
              <w:spacing w:before="0" w:beforeAutospacing="0" w:after="0" w:afterAutospacing="0" w:line="300" w:lineRule="exact"/>
              <w:ind w:left="0" w:right="0"/>
              <w:jc w:val="center"/>
              <w:rPr>
                <w:rFonts w:hint="eastAsia" w:eastAsia="宋体"/>
                <w:b/>
                <w:bCs/>
                <w:snapToGrid w:val="0"/>
                <w:kern w:val="2"/>
                <w:sz w:val="21"/>
                <w:szCs w:val="21"/>
                <w:lang w:val="en-US" w:eastAsia="zh-CN"/>
              </w:rPr>
            </w:pPr>
            <w:r>
              <w:rPr>
                <w:rFonts w:hint="eastAsia"/>
                <w:b/>
                <w:bCs/>
                <w:snapToGrid w:val="0"/>
                <w:kern w:val="2"/>
                <w:sz w:val="21"/>
                <w:szCs w:val="21"/>
                <w:lang w:val="en-US" w:eastAsia="zh-CN"/>
              </w:rPr>
              <w:t>5</w:t>
            </w:r>
          </w:p>
        </w:tc>
        <w:tc>
          <w:tcPr>
            <w:tcW w:w="885" w:type="dxa"/>
            <w:noWrap w:val="0"/>
            <w:vAlign w:val="center"/>
          </w:tcPr>
          <w:p>
            <w:pPr>
              <w:keepNext w:val="0"/>
              <w:keepLines w:val="0"/>
              <w:suppressLineNumbers w:val="0"/>
              <w:spacing w:before="0" w:beforeAutospacing="0" w:after="0" w:afterAutospacing="0" w:line="300" w:lineRule="exact"/>
              <w:ind w:left="0" w:right="0"/>
              <w:jc w:val="center"/>
              <w:rPr>
                <w:rFonts w:hint="default" w:ascii="宋体" w:hAnsi="宋体" w:eastAsia="宋体" w:cs="宋体"/>
                <w:kern w:val="2"/>
                <w:sz w:val="21"/>
                <w:szCs w:val="21"/>
                <w:lang w:val="en-US" w:eastAsia="zh-CN" w:bidi="zh-CN"/>
              </w:rPr>
            </w:pPr>
            <w:r>
              <w:rPr>
                <w:rFonts w:hint="eastAsia"/>
                <w:kern w:val="2"/>
                <w:sz w:val="21"/>
                <w:szCs w:val="21"/>
                <w:lang w:val="en-US" w:eastAsia="zh-CN"/>
              </w:rPr>
              <w:t>40.11</w:t>
            </w:r>
          </w:p>
        </w:tc>
      </w:tr>
    </w:tbl>
    <w:p>
      <w:pPr>
        <w:adjustRightInd w:val="0"/>
        <w:snapToGrid w:val="0"/>
        <w:spacing w:beforeLines="50" w:line="240" w:lineRule="atLeast"/>
        <w:ind w:firstLine="440" w:firstLineChars="200"/>
        <w:rPr>
          <w:rFonts w:hint="default" w:ascii="Times New Roman" w:hAnsi="Times New Roman" w:cs="Times New Roman"/>
        </w:rPr>
      </w:pPr>
    </w:p>
    <w:p>
      <w:pPr>
        <w:adjustRightInd w:val="0"/>
        <w:snapToGrid w:val="0"/>
        <w:spacing w:beforeLines="50" w:line="240" w:lineRule="atLeast"/>
        <w:ind w:firstLine="440" w:firstLineChars="200"/>
        <w:rPr>
          <w:rFonts w:hint="default" w:ascii="Times New Roman" w:hAnsi="Times New Roman" w:cs="Times New Roman"/>
        </w:rPr>
      </w:pPr>
      <w:r>
        <w:rPr>
          <w:rFonts w:hint="default" w:ascii="Times New Roman" w:hAnsi="Times New Roman" w:cs="Times New Roman"/>
        </w:rPr>
        <w:t>注：1.“—”、“/”处为油站周边无该类建筑物、该建筑物与油站设施距离远超《汽车加油加气站设计与施工规范》（GB50156-2012，2014版）规定距离。</w:t>
      </w:r>
    </w:p>
    <w:p>
      <w:pPr>
        <w:adjustRightInd w:val="0"/>
        <w:snapToGrid w:val="0"/>
        <w:spacing w:beforeLines="50" w:line="240" w:lineRule="atLeast"/>
        <w:ind w:firstLine="440" w:firstLineChars="200"/>
        <w:rPr>
          <w:rFonts w:hint="default" w:ascii="Times New Roman" w:hAnsi="Times New Roman" w:cs="Times New Roman"/>
        </w:rPr>
      </w:pPr>
      <w:r>
        <w:rPr>
          <w:rFonts w:hint="eastAsia" w:ascii="Times New Roman" w:hAnsi="Times New Roman" w:cs="Times New Roman"/>
          <w:lang w:val="en-US" w:eastAsia="zh-CN"/>
        </w:rPr>
        <w:t xml:space="preserve">    2</w:t>
      </w:r>
      <w:r>
        <w:rPr>
          <w:rFonts w:hint="default" w:ascii="Times New Roman" w:hAnsi="Times New Roman" w:cs="Times New Roman"/>
        </w:rPr>
        <w:t>.本表根据《汽车加油加气站设计与施工规范》（GB 50156－2012）（2014年版）表4.0.5制得。</w:t>
      </w:r>
    </w:p>
    <w:p>
      <w:pPr>
        <w:keepNext w:val="0"/>
        <w:keepLines w:val="0"/>
        <w:pageBreakBefore w:val="0"/>
        <w:widowControl w:val="0"/>
        <w:kinsoku/>
        <w:wordWrap/>
        <w:overflowPunct/>
        <w:topLinePunct w:val="0"/>
        <w:autoSpaceDE w:val="0"/>
        <w:autoSpaceDN w:val="0"/>
        <w:bidi w:val="0"/>
        <w:adjustRightInd w:val="0"/>
        <w:snapToGrid w:val="0"/>
        <w:spacing w:before="0" w:beforeLines="50" w:line="500" w:lineRule="exact"/>
        <w:ind w:left="0" w:leftChars="0" w:right="0" w:rightChars="0" w:firstLine="532" w:firstLineChars="200"/>
        <w:jc w:val="left"/>
        <w:textAlignment w:val="auto"/>
        <w:outlineLvl w:val="9"/>
        <w:rPr>
          <w:rFonts w:hint="default" w:ascii="Times New Roman" w:hAnsi="Times New Roman" w:eastAsia="宋体" w:cs="Times New Roman"/>
          <w:spacing w:val="-7"/>
          <w:sz w:val="28"/>
          <w:szCs w:val="28"/>
          <w:lang w:val="zh-CN" w:eastAsia="zh-CN" w:bidi="zh-CN"/>
        </w:rPr>
      </w:pPr>
      <w:r>
        <w:rPr>
          <w:rFonts w:hint="eastAsia" w:ascii="Times New Roman" w:hAnsi="Times New Roman" w:eastAsia="宋体" w:cs="Times New Roman"/>
          <w:spacing w:val="-7"/>
          <w:sz w:val="28"/>
          <w:szCs w:val="28"/>
          <w:lang w:val="en-US" w:eastAsia="zh-CN" w:bidi="zh-CN"/>
        </w:rPr>
        <w:t xml:space="preserve">  </w:t>
      </w:r>
      <w:r>
        <w:rPr>
          <w:rFonts w:hint="default" w:ascii="Times New Roman" w:hAnsi="Times New Roman" w:eastAsia="宋体" w:cs="Times New Roman"/>
          <w:spacing w:val="-7"/>
          <w:sz w:val="28"/>
          <w:szCs w:val="28"/>
          <w:lang w:val="zh-CN" w:eastAsia="zh-CN" w:bidi="zh-CN"/>
        </w:rPr>
        <w:t>通过检查，</w:t>
      </w:r>
      <w:r>
        <w:rPr>
          <w:rFonts w:hint="eastAsia" w:ascii="Times New Roman" w:hAnsi="Times New Roman" w:cs="Times New Roman"/>
          <w:spacing w:val="-7"/>
          <w:sz w:val="28"/>
          <w:szCs w:val="28"/>
          <w:lang w:val="zh-CN" w:eastAsia="zh-CN" w:bidi="zh-CN"/>
        </w:rPr>
        <w:t>东城加油站</w:t>
      </w:r>
      <w:r>
        <w:rPr>
          <w:rFonts w:hint="default" w:ascii="Times New Roman" w:hAnsi="Times New Roman" w:eastAsia="宋体" w:cs="Times New Roman"/>
          <w:spacing w:val="-7"/>
          <w:sz w:val="28"/>
          <w:szCs w:val="28"/>
          <w:lang w:val="zh-CN" w:eastAsia="zh-CN" w:bidi="zh-CN"/>
        </w:rPr>
        <w:t>内油罐、通气管、加油机与站外其他建（构）筑物、设施的防火间距满足《汽车加油加气站设计与施工规范》GB50156-2012（2014年版）规定的有关要求。</w:t>
      </w:r>
    </w:p>
    <w:p>
      <w:pPr>
        <w:pStyle w:val="5"/>
        <w:spacing w:before="120" w:after="120" w:line="240" w:lineRule="auto"/>
        <w:ind w:left="442"/>
        <w:rPr>
          <w:rFonts w:hint="default" w:ascii="Times New Roman" w:hAnsi="Times New Roman" w:cs="Times New Roman"/>
          <w:sz w:val="28"/>
          <w:szCs w:val="28"/>
        </w:rPr>
      </w:pPr>
      <w:bookmarkStart w:id="326" w:name="_Toc14304_WPSOffice_Level3"/>
      <w:bookmarkStart w:id="327" w:name="_Toc4549_WPSOffice_Level3"/>
      <w:r>
        <w:rPr>
          <w:rFonts w:hint="default" w:ascii="Times New Roman" w:hAnsi="Times New Roman" w:cs="Times New Roman"/>
          <w:sz w:val="28"/>
          <w:szCs w:val="28"/>
          <w:lang w:val="en-US"/>
        </w:rPr>
        <w:t xml:space="preserve">2.2.2 </w:t>
      </w:r>
      <w:r>
        <w:rPr>
          <w:rFonts w:hint="default" w:ascii="Times New Roman" w:hAnsi="Times New Roman" w:cs="Times New Roman"/>
          <w:sz w:val="28"/>
          <w:szCs w:val="28"/>
        </w:rPr>
        <w:t>自然条件</w:t>
      </w:r>
      <w:bookmarkEnd w:id="326"/>
      <w:bookmarkEnd w:id="327"/>
    </w:p>
    <w:p>
      <w:pPr>
        <w:pStyle w:val="11"/>
        <w:spacing w:line="500" w:lineRule="exact"/>
        <w:ind w:firstLine="532" w:firstLineChars="200"/>
        <w:jc w:val="both"/>
        <w:rPr>
          <w:rFonts w:hint="default" w:ascii="Times New Roman" w:hAnsi="Times New Roman" w:cs="Times New Roman"/>
          <w:spacing w:val="-7"/>
          <w:lang w:val="en-US"/>
        </w:rPr>
      </w:pPr>
      <w:r>
        <w:rPr>
          <w:rFonts w:hint="default" w:ascii="Times New Roman" w:hAnsi="Times New Roman" w:cs="Times New Roman"/>
          <w:spacing w:val="-7"/>
          <w:lang w:val="en-US"/>
        </w:rPr>
        <w:t>1）地理位置</w:t>
      </w:r>
    </w:p>
    <w:p>
      <w:pPr>
        <w:pStyle w:val="11"/>
        <w:spacing w:line="500" w:lineRule="exact"/>
        <w:ind w:firstLine="532" w:firstLineChars="200"/>
        <w:jc w:val="both"/>
        <w:rPr>
          <w:rFonts w:hint="default" w:ascii="Times New Roman" w:hAnsi="Times New Roman" w:cs="Times New Roman"/>
          <w:spacing w:val="-7"/>
        </w:rPr>
      </w:pPr>
      <w:r>
        <w:rPr>
          <w:rFonts w:hint="eastAsia" w:ascii="Times New Roman" w:hAnsi="Times New Roman" w:cs="Times New Roman"/>
          <w:spacing w:val="-7"/>
          <w:lang w:eastAsia="zh-CN"/>
        </w:rPr>
        <w:t>东城加油站</w:t>
      </w:r>
      <w:r>
        <w:rPr>
          <w:rFonts w:hint="default" w:ascii="Times New Roman" w:hAnsi="Times New Roman" w:cs="Times New Roman"/>
          <w:spacing w:val="-7"/>
        </w:rPr>
        <w:t>选址在位于</w:t>
      </w:r>
      <w:r>
        <w:rPr>
          <w:rFonts w:hint="eastAsia" w:ascii="Times New Roman" w:hAnsi="Times New Roman" w:cs="Times New Roman"/>
          <w:spacing w:val="-7"/>
          <w:lang w:eastAsia="zh-CN"/>
        </w:rPr>
        <w:t>广东省东莞市石碣镇唐洪金星南路1号</w:t>
      </w:r>
      <w:r>
        <w:rPr>
          <w:rFonts w:hint="default" w:ascii="Times New Roman" w:hAnsi="Times New Roman" w:cs="Times New Roman"/>
          <w:spacing w:val="-7"/>
        </w:rPr>
        <w:t>，交通便利。东莞市公路交通十分发达，107国道、广深高速公路、广深沿江高速公路、常虎高速公路和莞深高速公路贯穿南北，境内4条主干公路和13条联网公路均为一级公路。截至2013年底，东莞市公路通车里程5002.49公里，高速公路335.11公里，公路密度202.94公里/百平方公里，居全省前列。</w:t>
      </w:r>
    </w:p>
    <w:p>
      <w:pPr>
        <w:pStyle w:val="11"/>
        <w:spacing w:line="500" w:lineRule="exact"/>
        <w:ind w:firstLine="532" w:firstLineChars="200"/>
        <w:jc w:val="both"/>
        <w:rPr>
          <w:rFonts w:hint="default" w:ascii="Times New Roman" w:hAnsi="Times New Roman" w:cs="Times New Roman"/>
          <w:spacing w:val="-7"/>
        </w:rPr>
      </w:pPr>
      <w:r>
        <w:rPr>
          <w:rFonts w:hint="default" w:ascii="Times New Roman" w:hAnsi="Times New Roman" w:cs="Times New Roman"/>
          <w:spacing w:val="-7"/>
          <w:lang w:val="en-US"/>
        </w:rPr>
        <w:t>2）</w:t>
      </w:r>
      <w:r>
        <w:rPr>
          <w:rFonts w:hint="default" w:ascii="Times New Roman" w:hAnsi="Times New Roman" w:cs="Times New Roman"/>
          <w:spacing w:val="-7"/>
        </w:rPr>
        <w:t>工程地质、抗震设防烈度情况</w:t>
      </w:r>
    </w:p>
    <w:p>
      <w:pPr>
        <w:pStyle w:val="11"/>
        <w:spacing w:line="500" w:lineRule="exact"/>
        <w:ind w:firstLine="532" w:firstLineChars="200"/>
        <w:jc w:val="both"/>
        <w:rPr>
          <w:rFonts w:hint="default" w:ascii="Times New Roman" w:hAnsi="Times New Roman" w:cs="Times New Roman"/>
          <w:spacing w:val="-7"/>
        </w:rPr>
      </w:pPr>
      <w:r>
        <w:rPr>
          <w:rFonts w:hint="default" w:ascii="Times New Roman" w:hAnsi="Times New Roman" w:cs="Times New Roman"/>
          <w:spacing w:val="-7"/>
        </w:rPr>
        <w:t>东莞市地势自西向东倾斜，低山高丘与谷地平原交错相间，分布不均，西北部和西南部多为丘陵、山地，中部、南部和西南部都是广阔肥沃的榕江冲积平原和滨海沉积平原。</w:t>
      </w:r>
    </w:p>
    <w:p>
      <w:pPr>
        <w:pStyle w:val="11"/>
        <w:spacing w:line="500" w:lineRule="exact"/>
        <w:ind w:firstLine="532" w:firstLineChars="200"/>
        <w:jc w:val="both"/>
        <w:rPr>
          <w:rFonts w:hint="default" w:ascii="Times New Roman" w:hAnsi="Times New Roman" w:cs="Times New Roman"/>
          <w:spacing w:val="-7"/>
        </w:rPr>
      </w:pPr>
      <w:r>
        <w:rPr>
          <w:rFonts w:hint="default" w:ascii="Times New Roman" w:hAnsi="Times New Roman" w:cs="Times New Roman"/>
          <w:spacing w:val="-7"/>
          <w:lang w:eastAsia="zh-CN"/>
        </w:rPr>
        <w:t>（</w:t>
      </w:r>
      <w:r>
        <w:rPr>
          <w:rFonts w:hint="default" w:ascii="Times New Roman" w:hAnsi="Times New Roman" w:cs="Times New Roman"/>
          <w:spacing w:val="-7"/>
        </w:rPr>
        <w:t>1）地质条件：该项目选址位置为冲积平原地区，场地平坦、开阔，场区上部为回填土、种植土，属软弱及中软土层，中部为冲击土层，下部为残积岩，属中硬土类型，适宜一般工程的建设。场区内无不良地形、地貌。</w:t>
      </w:r>
    </w:p>
    <w:p>
      <w:pPr>
        <w:pStyle w:val="11"/>
        <w:spacing w:line="500" w:lineRule="exact"/>
        <w:ind w:firstLine="532" w:firstLineChars="200"/>
        <w:jc w:val="both"/>
        <w:rPr>
          <w:rFonts w:hint="default" w:ascii="Times New Roman" w:hAnsi="Times New Roman" w:cs="Times New Roman"/>
          <w:spacing w:val="-7"/>
        </w:rPr>
      </w:pPr>
      <w:r>
        <w:rPr>
          <w:rFonts w:hint="default" w:ascii="Times New Roman" w:hAnsi="Times New Roman" w:cs="Times New Roman"/>
          <w:spacing w:val="-7"/>
          <w:lang w:eastAsia="zh-CN"/>
        </w:rPr>
        <w:t>（</w:t>
      </w:r>
      <w:r>
        <w:rPr>
          <w:rFonts w:hint="default" w:ascii="Times New Roman" w:hAnsi="Times New Roman" w:cs="Times New Roman"/>
          <w:spacing w:val="-7"/>
        </w:rPr>
        <w:t>2）抗震设防烈度：场地土质类别为III类，抗震设防烈度为6度，设计基本加速度值为0.05g，设计地震分组为第一组。</w:t>
      </w:r>
    </w:p>
    <w:p>
      <w:pPr>
        <w:pStyle w:val="11"/>
        <w:spacing w:line="500" w:lineRule="exact"/>
        <w:ind w:firstLine="532" w:firstLineChars="200"/>
        <w:jc w:val="both"/>
        <w:rPr>
          <w:rFonts w:hint="default" w:ascii="Times New Roman" w:hAnsi="Times New Roman" w:cs="Times New Roman"/>
          <w:spacing w:val="-7"/>
        </w:rPr>
      </w:pPr>
      <w:r>
        <w:rPr>
          <w:rFonts w:hint="default" w:ascii="Times New Roman" w:hAnsi="Times New Roman" w:cs="Times New Roman"/>
          <w:spacing w:val="-7"/>
          <w:lang w:val="en-US"/>
        </w:rPr>
        <w:t>3）</w:t>
      </w:r>
      <w:r>
        <w:rPr>
          <w:rFonts w:hint="default" w:ascii="Times New Roman" w:hAnsi="Times New Roman" w:cs="Times New Roman"/>
          <w:spacing w:val="-7"/>
        </w:rPr>
        <w:t>气象条件</w:t>
      </w:r>
    </w:p>
    <w:p>
      <w:pPr>
        <w:pStyle w:val="11"/>
        <w:spacing w:line="500" w:lineRule="exact"/>
        <w:ind w:firstLine="532" w:firstLineChars="200"/>
        <w:jc w:val="both"/>
        <w:rPr>
          <w:rFonts w:hint="default" w:ascii="Times New Roman" w:hAnsi="Times New Roman" w:cs="Times New Roman"/>
          <w:spacing w:val="-7"/>
        </w:rPr>
      </w:pPr>
      <w:r>
        <w:rPr>
          <w:rFonts w:hint="default" w:ascii="Times New Roman" w:hAnsi="Times New Roman" w:cs="Times New Roman"/>
          <w:spacing w:val="-7"/>
        </w:rPr>
        <w:t>东莞市地处低纬度地区、属南亚热带季风气候，冷季受东北季风控制，暖季受西南季风影响，海陆风盛行，具有明显的海洋性气候特点。据东莞市多年气候资料统计，年均气压1011.7百帕、年均气温19.1℃，年均相对湿度79%，年均降雨1367.2mm，年均风速2.9m/s，每年2-3月份有不同程度的低湿阴雨天气，4-5月份为前汛期，常有暴雨出现，7-9月份为后汛期，常有台风侵袭，秋冬多晴好天气，但各半年海风强风较多，据东莞市气象站统计资料显示，常年主导风向以东到东北为主，频率为52%，静风频率也高，为17%，冬春夏秋主导风分别为 NE、ENE、SW、NE，NE、ENE、SW三个风向平均频率为19%、17%、4%。</w:t>
      </w:r>
    </w:p>
    <w:p>
      <w:pPr>
        <w:pStyle w:val="11"/>
        <w:numPr>
          <w:ilvl w:val="0"/>
          <w:numId w:val="1"/>
        </w:numPr>
        <w:spacing w:line="500" w:lineRule="exact"/>
        <w:ind w:firstLine="532" w:firstLineChars="200"/>
        <w:jc w:val="both"/>
        <w:rPr>
          <w:rFonts w:hint="default" w:ascii="Times New Roman" w:hAnsi="Times New Roman" w:cs="Times New Roman"/>
          <w:spacing w:val="-7"/>
        </w:rPr>
      </w:pPr>
      <w:r>
        <w:rPr>
          <w:rFonts w:hint="default" w:ascii="Times New Roman" w:hAnsi="Times New Roman" w:cs="Times New Roman"/>
          <w:spacing w:val="-7"/>
        </w:rPr>
        <w:t>水文条件</w:t>
      </w:r>
    </w:p>
    <w:p>
      <w:pPr>
        <w:pStyle w:val="11"/>
        <w:spacing w:line="500" w:lineRule="exact"/>
        <w:ind w:firstLine="532" w:firstLineChars="200"/>
        <w:jc w:val="both"/>
        <w:rPr>
          <w:rFonts w:hint="default" w:ascii="Times New Roman" w:hAnsi="Times New Roman" w:cs="Times New Roman"/>
          <w:spacing w:val="-7"/>
          <w:lang w:val="zh-CN" w:eastAsia="zh-CN"/>
        </w:rPr>
      </w:pPr>
      <w:r>
        <w:rPr>
          <w:rFonts w:hint="default" w:ascii="Times New Roman" w:hAnsi="Times New Roman" w:cs="Times New Roman"/>
          <w:spacing w:val="-7"/>
          <w:lang w:val="en-US" w:eastAsia="zh-CN"/>
        </w:rPr>
        <w:t>东莞市主要河流有东江、石马河、寒溪水。市境96%属东江流域，东江干流自东北角惠州市惠城区、博罗县之间入境后，沿北部边境自东向西行至桥头镇新开河口。有发源于深圳市宝安区的石马河流入，至企石镇有企石河流入。至石龙镇分出东江南支流后，东江北干流续流至石滩，与来自增城市的支流汇流，经石碣镇、高埗镇、中堂镇、麻涌镇的大盛村注入狮子洋；东江南支流斜向西南，在峡口社区接纳来自市境中部的寒溪水，峡口以下有三支较小的支流牛山水、蛤地水和小沙河，自东向西汇，入流经石碣镇、莞城街道、道滘镇、厚街镇、沙田镇于泗盛注入狮子洋。东江北干流与南支流之间为东江三角洲的河网区。</w:t>
      </w:r>
    </w:p>
    <w:p>
      <w:pPr>
        <w:pStyle w:val="4"/>
        <w:tabs>
          <w:tab w:val="left" w:pos="4716"/>
        </w:tabs>
        <w:spacing w:beforeLines="100" w:afterLines="100"/>
        <w:ind w:left="4076" w:firstLine="0"/>
        <w:rPr>
          <w:rFonts w:hint="default" w:ascii="Times New Roman" w:hAnsi="Times New Roman" w:eastAsia="宋体" w:cs="Times New Roman"/>
        </w:rPr>
      </w:pPr>
      <w:bookmarkStart w:id="328" w:name="_Toc26049"/>
      <w:bookmarkStart w:id="329" w:name="_Toc20683"/>
      <w:bookmarkStart w:id="330" w:name="_Toc28770"/>
      <w:bookmarkStart w:id="331" w:name="_Toc13936"/>
      <w:bookmarkStart w:id="332" w:name="_Toc8825"/>
      <w:bookmarkStart w:id="333" w:name="_Toc2123"/>
      <w:bookmarkStart w:id="334" w:name="_Toc19437"/>
      <w:bookmarkStart w:id="335" w:name="_Toc5707"/>
      <w:bookmarkStart w:id="336" w:name="_Toc17859"/>
      <w:bookmarkStart w:id="337" w:name="_Toc23435"/>
      <w:bookmarkStart w:id="338" w:name="_Toc28880"/>
      <w:bookmarkStart w:id="339" w:name="_Toc23768"/>
      <w:bookmarkStart w:id="340" w:name="_Toc31340"/>
      <w:bookmarkStart w:id="341" w:name="_Toc2786_WPSOffice_Level2"/>
      <w:bookmarkStart w:id="342" w:name="_Toc15954"/>
      <w:bookmarkStart w:id="343" w:name="_Toc30706"/>
      <w:bookmarkStart w:id="344" w:name="_Toc6342"/>
      <w:bookmarkStart w:id="345" w:name="_Toc29976"/>
      <w:bookmarkStart w:id="346" w:name="_Toc7439"/>
      <w:bookmarkStart w:id="347" w:name="_Toc24431_WPSOffice_Level2"/>
      <w:bookmarkStart w:id="348" w:name="_Toc26412"/>
      <w:bookmarkStart w:id="349" w:name="_Toc10975"/>
      <w:bookmarkStart w:id="350" w:name="_Toc27529"/>
      <w:bookmarkStart w:id="351" w:name="_Toc7014"/>
      <w:bookmarkStart w:id="352" w:name="_Toc13105_WPSOffice_Level2"/>
      <w:r>
        <w:rPr>
          <w:rFonts w:hint="default" w:ascii="Times New Roman" w:hAnsi="Times New Roman" w:eastAsia="宋体" w:cs="Times New Roman"/>
          <w:b/>
          <w:bCs/>
          <w:lang w:val="en-US"/>
        </w:rPr>
        <w:t xml:space="preserve">2.3 </w:t>
      </w:r>
      <w:r>
        <w:rPr>
          <w:rFonts w:hint="default" w:ascii="Times New Roman" w:hAnsi="Times New Roman" w:eastAsia="宋体" w:cs="Times New Roman"/>
          <w:b/>
          <w:bCs/>
        </w:rPr>
        <w:t>平面布置</w:t>
      </w:r>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p>
    <w:p>
      <w:pPr>
        <w:spacing w:line="500" w:lineRule="exact"/>
        <w:ind w:firstLine="532" w:firstLineChars="200"/>
        <w:jc w:val="both"/>
        <w:rPr>
          <w:rFonts w:hint="eastAsia" w:ascii="Times New Roman" w:hAnsi="Times New Roman" w:cs="Times New Roman"/>
          <w:spacing w:val="-7"/>
          <w:sz w:val="28"/>
          <w:szCs w:val="28"/>
          <w:lang w:eastAsia="zh-CN"/>
        </w:rPr>
      </w:pPr>
      <w:r>
        <w:rPr>
          <w:rFonts w:hint="eastAsia" w:ascii="Times New Roman" w:hAnsi="Times New Roman" w:cs="Times New Roman"/>
          <w:spacing w:val="-7"/>
          <w:sz w:val="28"/>
          <w:szCs w:val="28"/>
          <w:lang w:eastAsia="zh-CN"/>
        </w:rPr>
        <w:t>东城加油站建设项目选址于广东省东莞市石碣镇唐洪金星南路1号，其现场平面布置见附件《总平面布置图》。</w:t>
      </w:r>
    </w:p>
    <w:p>
      <w:pPr>
        <w:spacing w:line="500" w:lineRule="exact"/>
        <w:ind w:firstLine="532" w:firstLineChars="200"/>
        <w:jc w:val="both"/>
        <w:rPr>
          <w:rFonts w:hint="eastAsia" w:ascii="Times New Roman" w:hAnsi="Times New Roman" w:cs="Times New Roman"/>
          <w:spacing w:val="-7"/>
          <w:sz w:val="28"/>
          <w:szCs w:val="28"/>
          <w:lang w:eastAsia="zh-CN"/>
        </w:rPr>
      </w:pPr>
      <w:r>
        <w:rPr>
          <w:rFonts w:hint="eastAsia" w:ascii="Times New Roman" w:hAnsi="Times New Roman" w:cs="Times New Roman"/>
          <w:spacing w:val="-7"/>
          <w:sz w:val="28"/>
          <w:szCs w:val="28"/>
          <w:lang w:eastAsia="zh-CN"/>
        </w:rPr>
        <w:t>东城加油站站内主要设置有站房、加油亭（内设</w:t>
      </w:r>
      <w:r>
        <w:rPr>
          <w:rFonts w:hint="eastAsia" w:ascii="Times New Roman" w:hAnsi="Times New Roman" w:cs="Times New Roman"/>
          <w:spacing w:val="-7"/>
          <w:sz w:val="28"/>
          <w:szCs w:val="28"/>
          <w:lang w:val="en-US" w:eastAsia="zh-CN"/>
        </w:rPr>
        <w:t>6</w:t>
      </w:r>
      <w:r>
        <w:rPr>
          <w:rFonts w:hint="eastAsia" w:ascii="Times New Roman" w:hAnsi="Times New Roman" w:cs="Times New Roman"/>
          <w:spacing w:val="-7"/>
          <w:sz w:val="28"/>
          <w:szCs w:val="28"/>
          <w:lang w:eastAsia="zh-CN"/>
        </w:rPr>
        <w:t>台一机</w:t>
      </w:r>
      <w:r>
        <w:rPr>
          <w:rFonts w:hint="eastAsia" w:ascii="Times New Roman" w:hAnsi="Times New Roman" w:cs="Times New Roman"/>
          <w:spacing w:val="-7"/>
          <w:sz w:val="28"/>
          <w:szCs w:val="28"/>
          <w:lang w:val="en-US" w:eastAsia="zh-CN"/>
        </w:rPr>
        <w:t>6</w:t>
      </w:r>
      <w:r>
        <w:rPr>
          <w:rFonts w:hint="eastAsia" w:ascii="Times New Roman" w:hAnsi="Times New Roman" w:cs="Times New Roman"/>
          <w:spacing w:val="-7"/>
          <w:sz w:val="28"/>
          <w:szCs w:val="28"/>
          <w:lang w:eastAsia="zh-CN"/>
        </w:rPr>
        <w:t>枪加油机）、埋地油罐区等，罐区共设置有4个埋地双层SF防渗油罐，其中汽油储罐3个（</w:t>
      </w:r>
      <w:r>
        <w:rPr>
          <w:rFonts w:hint="eastAsia" w:ascii="Times New Roman" w:hAnsi="Times New Roman" w:cs="Times New Roman"/>
          <w:spacing w:val="-7"/>
          <w:sz w:val="28"/>
          <w:szCs w:val="28"/>
          <w:lang w:val="en-US" w:eastAsia="zh-CN"/>
        </w:rPr>
        <w:t>3</w:t>
      </w:r>
      <w:r>
        <w:rPr>
          <w:rFonts w:hint="eastAsia" w:ascii="Times New Roman" w:hAnsi="Times New Roman" w:cs="Times New Roman"/>
          <w:spacing w:val="-7"/>
          <w:sz w:val="28"/>
          <w:szCs w:val="28"/>
          <w:lang w:eastAsia="zh-CN"/>
        </w:rPr>
        <w:t>×30m³），柴油储罐1个（1×</w:t>
      </w:r>
      <w:r>
        <w:rPr>
          <w:rFonts w:hint="eastAsia" w:ascii="Times New Roman" w:hAnsi="Times New Roman" w:cs="Times New Roman"/>
          <w:spacing w:val="-7"/>
          <w:sz w:val="28"/>
          <w:szCs w:val="28"/>
          <w:lang w:val="en-US" w:eastAsia="zh-CN"/>
        </w:rPr>
        <w:t>3</w:t>
      </w:r>
      <w:r>
        <w:rPr>
          <w:rFonts w:hint="eastAsia" w:ascii="Times New Roman" w:hAnsi="Times New Roman" w:cs="Times New Roman"/>
          <w:spacing w:val="-7"/>
          <w:sz w:val="28"/>
          <w:szCs w:val="28"/>
          <w:lang w:eastAsia="zh-CN"/>
        </w:rPr>
        <w:t>0m³），总储存能力为</w:t>
      </w:r>
      <w:r>
        <w:rPr>
          <w:rFonts w:hint="eastAsia" w:ascii="Times New Roman" w:hAnsi="Times New Roman" w:cs="Times New Roman"/>
          <w:spacing w:val="-7"/>
          <w:sz w:val="28"/>
          <w:szCs w:val="28"/>
          <w:lang w:val="en-US" w:eastAsia="zh-CN"/>
        </w:rPr>
        <w:t>105</w:t>
      </w:r>
      <w:r>
        <w:rPr>
          <w:rFonts w:hint="eastAsia" w:ascii="Times New Roman" w:hAnsi="Times New Roman" w:cs="Times New Roman"/>
          <w:spacing w:val="-7"/>
          <w:sz w:val="28"/>
          <w:szCs w:val="28"/>
          <w:lang w:eastAsia="zh-CN"/>
        </w:rPr>
        <w:t>m³（柴油折半计算），属于二级加油站。</w:t>
      </w:r>
    </w:p>
    <w:p>
      <w:pPr>
        <w:spacing w:line="500" w:lineRule="exact"/>
        <w:ind w:firstLine="532" w:firstLineChars="200"/>
        <w:jc w:val="both"/>
        <w:rPr>
          <w:rFonts w:hint="eastAsia" w:ascii="Times New Roman" w:hAnsi="Times New Roman" w:cs="Times New Roman"/>
          <w:spacing w:val="-7"/>
          <w:sz w:val="28"/>
          <w:szCs w:val="28"/>
          <w:lang w:eastAsia="zh-CN"/>
        </w:rPr>
      </w:pPr>
      <w:r>
        <w:rPr>
          <w:rFonts w:hint="eastAsia" w:ascii="Times New Roman" w:hAnsi="Times New Roman" w:cs="Times New Roman"/>
          <w:spacing w:val="-7"/>
          <w:sz w:val="28"/>
          <w:szCs w:val="28"/>
          <w:lang w:eastAsia="zh-CN"/>
        </w:rPr>
        <w:t>本次改建项目主要内容：在站区内西面新增1台洗车机，其他不做改动。</w:t>
      </w:r>
    </w:p>
    <w:p>
      <w:pPr>
        <w:spacing w:line="560" w:lineRule="exact"/>
        <w:ind w:firstLine="560" w:firstLineChars="200"/>
        <w:jc w:val="both"/>
        <w:rPr>
          <w:rFonts w:hint="eastAsia" w:ascii="宋体" w:hAnsi="宋体" w:cs="宋体"/>
          <w:sz w:val="28"/>
          <w:lang w:val="en-US" w:eastAsia="zh-CN"/>
        </w:rPr>
      </w:pPr>
      <w:r>
        <w:rPr>
          <w:rFonts w:hint="eastAsia" w:ascii="宋体" w:hAnsi="宋体" w:cs="宋体"/>
          <w:sz w:val="28"/>
          <w:lang w:eastAsia="zh-CN"/>
        </w:rPr>
        <w:t>罩棚</w:t>
      </w:r>
      <w:r>
        <w:rPr>
          <w:rFonts w:hint="eastAsia" w:cs="宋体"/>
          <w:sz w:val="28"/>
          <w:lang w:eastAsia="zh-CN"/>
        </w:rPr>
        <w:t>和站房</w:t>
      </w:r>
      <w:r>
        <w:rPr>
          <w:rFonts w:hint="eastAsia" w:ascii="宋体" w:hAnsi="宋体" w:cs="宋体"/>
          <w:sz w:val="28"/>
          <w:lang w:eastAsia="zh-CN"/>
        </w:rPr>
        <w:t>位于站区</w:t>
      </w:r>
      <w:r>
        <w:rPr>
          <w:rFonts w:hint="eastAsia" w:cs="宋体"/>
          <w:sz w:val="28"/>
          <w:lang w:eastAsia="zh-CN"/>
        </w:rPr>
        <w:t>中部</w:t>
      </w:r>
      <w:r>
        <w:rPr>
          <w:rFonts w:hint="eastAsia" w:ascii="宋体" w:hAnsi="宋体" w:cs="宋体"/>
          <w:sz w:val="28"/>
          <w:lang w:eastAsia="zh-CN"/>
        </w:rPr>
        <w:t>，埋地油罐区位于站区</w:t>
      </w:r>
      <w:r>
        <w:rPr>
          <w:rFonts w:hint="eastAsia" w:cs="宋体"/>
          <w:sz w:val="28"/>
          <w:lang w:eastAsia="zh-CN"/>
        </w:rPr>
        <w:t>西南面</w:t>
      </w:r>
      <w:r>
        <w:rPr>
          <w:rFonts w:hint="eastAsia" w:ascii="宋体" w:hAnsi="宋体" w:cs="宋体"/>
          <w:sz w:val="28"/>
          <w:lang w:eastAsia="zh-CN"/>
        </w:rPr>
        <w:t>，</w:t>
      </w:r>
      <w:r>
        <w:rPr>
          <w:rFonts w:hint="eastAsia" w:cs="宋体"/>
          <w:sz w:val="28"/>
          <w:lang w:eastAsia="zh-CN"/>
        </w:rPr>
        <w:t>综合楼及发配电房（内有小型柴油发电机，已停用）位于站区西北面</w:t>
      </w:r>
      <w:r>
        <w:rPr>
          <w:rFonts w:hint="eastAsia" w:ascii="宋体" w:hAnsi="宋体" w:cs="宋体"/>
          <w:sz w:val="28"/>
          <w:lang w:eastAsia="zh-CN"/>
        </w:rPr>
        <w:t>。罩棚</w:t>
      </w:r>
      <w:r>
        <w:rPr>
          <w:rFonts w:hint="eastAsia" w:cs="宋体"/>
          <w:sz w:val="28"/>
          <w:lang w:eastAsia="zh-CN"/>
        </w:rPr>
        <w:t>为</w:t>
      </w:r>
      <w:r>
        <w:rPr>
          <w:rFonts w:hint="eastAsia" w:ascii="宋体" w:hAnsi="宋体" w:cs="宋体"/>
          <w:sz w:val="28"/>
        </w:rPr>
        <w:t>钢筋混凝土</w:t>
      </w:r>
      <w:r>
        <w:rPr>
          <w:rFonts w:hint="eastAsia" w:ascii="宋体" w:hAnsi="宋体" w:cs="宋体"/>
          <w:sz w:val="28"/>
          <w:lang w:eastAsia="zh-CN"/>
        </w:rPr>
        <w:t>结构</w:t>
      </w:r>
      <w:r>
        <w:rPr>
          <w:rFonts w:hint="eastAsia" w:ascii="宋体" w:hAnsi="宋体" w:cs="宋体"/>
          <w:sz w:val="28"/>
        </w:rPr>
        <w:t>，耐火等级二级，</w:t>
      </w:r>
      <w:r>
        <w:rPr>
          <w:rFonts w:hint="eastAsia" w:ascii="宋体" w:hAnsi="宋体" w:cs="宋体"/>
          <w:sz w:val="28"/>
          <w:szCs w:val="28"/>
          <w:lang w:eastAsia="zh-CN"/>
        </w:rPr>
        <w:t>建筑</w:t>
      </w:r>
      <w:r>
        <w:rPr>
          <w:rFonts w:hint="eastAsia" w:ascii="宋体" w:hAnsi="宋体" w:cs="宋体"/>
          <w:sz w:val="28"/>
          <w:szCs w:val="28"/>
        </w:rPr>
        <w:t>面积</w:t>
      </w:r>
      <w:r>
        <w:rPr>
          <w:rFonts w:hint="eastAsia" w:ascii="宋体" w:hAnsi="宋体" w:cs="宋体"/>
          <w:sz w:val="28"/>
          <w:szCs w:val="28"/>
          <w:lang w:eastAsia="zh-CN"/>
        </w:rPr>
        <w:t>约</w:t>
      </w:r>
      <w:r>
        <w:rPr>
          <w:rFonts w:hint="eastAsia" w:cs="宋体"/>
          <w:sz w:val="28"/>
          <w:szCs w:val="28"/>
          <w:lang w:val="en-US" w:eastAsia="zh-CN"/>
        </w:rPr>
        <w:t>713</w:t>
      </w:r>
      <w:r>
        <w:rPr>
          <w:rFonts w:hint="eastAsia" w:ascii="宋体" w:hAnsi="宋体" w:cs="宋体"/>
          <w:sz w:val="28"/>
          <w:szCs w:val="28"/>
          <w:lang w:val="en-US" w:eastAsia="zh-CN"/>
        </w:rPr>
        <w:t>m</w:t>
      </w:r>
      <w:r>
        <w:rPr>
          <w:rFonts w:hint="eastAsia" w:ascii="宋体" w:hAnsi="宋体" w:cs="宋体"/>
          <w:sz w:val="28"/>
          <w:szCs w:val="28"/>
          <w:vertAlign w:val="superscript"/>
          <w:lang w:val="en-US" w:eastAsia="zh-CN"/>
        </w:rPr>
        <w:t>2</w:t>
      </w:r>
      <w:r>
        <w:rPr>
          <w:rFonts w:hint="eastAsia" w:ascii="宋体" w:hAnsi="宋体" w:cs="宋体"/>
          <w:sz w:val="28"/>
          <w:szCs w:val="28"/>
        </w:rPr>
        <w:t>，设</w:t>
      </w:r>
      <w:r>
        <w:rPr>
          <w:rFonts w:hint="eastAsia" w:cs="宋体"/>
          <w:sz w:val="28"/>
          <w:szCs w:val="28"/>
          <w:lang w:val="en-US" w:eastAsia="zh-CN"/>
        </w:rPr>
        <w:t>6</w:t>
      </w:r>
      <w:r>
        <w:rPr>
          <w:rFonts w:hint="eastAsia" w:ascii="宋体" w:hAnsi="宋体" w:cs="宋体"/>
          <w:sz w:val="28"/>
          <w:szCs w:val="28"/>
        </w:rPr>
        <w:t>台</w:t>
      </w:r>
      <w:r>
        <w:rPr>
          <w:rFonts w:hint="eastAsia" w:cs="宋体"/>
          <w:sz w:val="28"/>
          <w:szCs w:val="28"/>
          <w:lang w:val="en-US" w:eastAsia="zh-CN"/>
        </w:rPr>
        <w:t>6</w:t>
      </w:r>
      <w:r>
        <w:rPr>
          <w:rFonts w:hint="eastAsia" w:ascii="宋体" w:hAnsi="宋体" w:cs="宋体"/>
          <w:sz w:val="28"/>
          <w:szCs w:val="28"/>
        </w:rPr>
        <w:t>枪加油机。</w:t>
      </w:r>
      <w:r>
        <w:rPr>
          <w:rFonts w:hint="eastAsia" w:ascii="宋体" w:hAnsi="宋体" w:cs="宋体"/>
          <w:sz w:val="28"/>
        </w:rPr>
        <w:t>站房</w:t>
      </w:r>
      <w:r>
        <w:rPr>
          <w:rFonts w:hint="eastAsia" w:cs="宋体"/>
          <w:sz w:val="28"/>
          <w:lang w:eastAsia="zh-CN"/>
        </w:rPr>
        <w:t>为</w:t>
      </w:r>
      <w:r>
        <w:rPr>
          <w:rFonts w:hint="eastAsia" w:ascii="宋体" w:hAnsi="宋体" w:cs="宋体"/>
          <w:sz w:val="28"/>
        </w:rPr>
        <w:t>钢筋混凝土结构，</w:t>
      </w:r>
      <w:r>
        <w:rPr>
          <w:rFonts w:hint="eastAsia" w:cs="宋体"/>
          <w:sz w:val="28"/>
          <w:lang w:eastAsia="zh-CN"/>
        </w:rPr>
        <w:t>共一层，</w:t>
      </w:r>
      <w:r>
        <w:rPr>
          <w:rFonts w:hint="eastAsia" w:ascii="宋体" w:hAnsi="宋体" w:cs="宋体"/>
          <w:sz w:val="28"/>
          <w:lang w:eastAsia="zh-CN"/>
        </w:rPr>
        <w:t>建筑面积</w:t>
      </w:r>
      <w:r>
        <w:rPr>
          <w:rFonts w:hint="eastAsia" w:cs="宋体"/>
          <w:sz w:val="28"/>
          <w:lang w:val="en-US" w:eastAsia="zh-CN"/>
        </w:rPr>
        <w:t>130</w:t>
      </w:r>
      <w:r>
        <w:rPr>
          <w:rFonts w:hint="eastAsia" w:ascii="宋体" w:hAnsi="宋体" w:cs="宋体"/>
          <w:sz w:val="28"/>
          <w:szCs w:val="28"/>
          <w:lang w:val="en-US" w:eastAsia="zh-CN"/>
        </w:rPr>
        <w:t>m</w:t>
      </w:r>
      <w:r>
        <w:rPr>
          <w:rFonts w:hint="eastAsia" w:ascii="宋体" w:hAnsi="宋体" w:cs="宋体"/>
          <w:sz w:val="28"/>
          <w:szCs w:val="28"/>
          <w:vertAlign w:val="superscript"/>
          <w:lang w:val="en-US" w:eastAsia="zh-CN"/>
        </w:rPr>
        <w:t>2</w:t>
      </w:r>
      <w:r>
        <w:rPr>
          <w:rFonts w:hint="eastAsia" w:ascii="宋体" w:hAnsi="宋体" w:cs="宋体"/>
          <w:sz w:val="28"/>
          <w:szCs w:val="28"/>
        </w:rPr>
        <w:t>，</w:t>
      </w:r>
      <w:r>
        <w:rPr>
          <w:rFonts w:hint="eastAsia" w:ascii="宋体" w:hAnsi="宋体" w:cs="宋体"/>
          <w:sz w:val="28"/>
        </w:rPr>
        <w:t>内设</w:t>
      </w:r>
      <w:r>
        <w:rPr>
          <w:rFonts w:ascii="宋体" w:hAnsi="宋体" w:cs="宋体"/>
          <w:sz w:val="28"/>
        </w:rPr>
        <w:t>便利店、办公室</w:t>
      </w:r>
      <w:r>
        <w:rPr>
          <w:rFonts w:hint="eastAsia" w:ascii="宋体" w:hAnsi="宋体" w:cs="宋体"/>
          <w:sz w:val="28"/>
        </w:rPr>
        <w:t>等</w:t>
      </w:r>
      <w:r>
        <w:rPr>
          <w:rFonts w:hint="eastAsia" w:ascii="宋体" w:hAnsi="宋体" w:cs="宋体"/>
          <w:sz w:val="28"/>
          <w:lang w:eastAsia="zh-CN"/>
        </w:rPr>
        <w:t>。</w:t>
      </w:r>
    </w:p>
    <w:p>
      <w:pPr>
        <w:spacing w:line="560" w:lineRule="exact"/>
        <w:ind w:firstLine="560" w:firstLineChars="200"/>
        <w:jc w:val="both"/>
        <w:rPr>
          <w:rFonts w:hint="eastAsia"/>
          <w:sz w:val="28"/>
        </w:rPr>
      </w:pPr>
      <w:r>
        <w:rPr>
          <w:rFonts w:hint="eastAsia" w:ascii="宋体" w:hAnsi="宋体" w:eastAsia="宋体" w:cs="宋体"/>
          <w:sz w:val="28"/>
          <w:lang w:eastAsia="zh-CN"/>
        </w:rPr>
        <w:t>埋地油</w:t>
      </w:r>
      <w:r>
        <w:rPr>
          <w:rFonts w:hint="eastAsia" w:ascii="宋体" w:hAnsi="宋体" w:eastAsia="宋体" w:cs="宋体"/>
          <w:sz w:val="28"/>
        </w:rPr>
        <w:t>罐区设</w:t>
      </w:r>
      <w:r>
        <w:rPr>
          <w:rFonts w:hint="eastAsia" w:ascii="宋体" w:hAnsi="宋体" w:eastAsia="宋体" w:cs="宋体"/>
          <w:sz w:val="28"/>
          <w:lang w:val="en-US" w:eastAsia="zh-CN"/>
        </w:rPr>
        <w:t>SF</w:t>
      </w:r>
      <w:r>
        <w:rPr>
          <w:rFonts w:hint="eastAsia" w:ascii="宋体" w:hAnsi="宋体" w:eastAsia="宋体" w:cs="宋体"/>
          <w:sz w:val="28"/>
        </w:rPr>
        <w:t>双层油罐</w:t>
      </w:r>
      <w:r>
        <w:rPr>
          <w:rFonts w:hint="eastAsia" w:ascii="宋体" w:hAnsi="宋体" w:eastAsia="宋体" w:cs="宋体"/>
          <w:sz w:val="28"/>
          <w:lang w:val="en-US" w:eastAsia="zh-CN"/>
        </w:rPr>
        <w:t>4</w:t>
      </w:r>
      <w:r>
        <w:rPr>
          <w:rFonts w:hint="eastAsia" w:ascii="宋体" w:hAnsi="宋体" w:eastAsia="宋体" w:cs="宋体"/>
          <w:sz w:val="28"/>
        </w:rPr>
        <w:t>个，</w:t>
      </w:r>
      <w:r>
        <w:rPr>
          <w:rFonts w:hint="eastAsia" w:ascii="宋体" w:hAnsi="宋体" w:eastAsia="宋体" w:cs="宋体"/>
          <w:sz w:val="28"/>
          <w:lang w:eastAsia="zh-CN"/>
        </w:rPr>
        <w:t>分别为</w:t>
      </w:r>
      <w:r>
        <w:rPr>
          <w:rFonts w:hint="eastAsia" w:ascii="宋体" w:hAnsi="宋体" w:eastAsia="宋体" w:cs="宋体"/>
          <w:sz w:val="28"/>
          <w:szCs w:val="28"/>
        </w:rPr>
        <w:t>1个</w:t>
      </w:r>
      <w:r>
        <w:rPr>
          <w:rFonts w:hint="eastAsia" w:cs="宋体"/>
          <w:sz w:val="28"/>
          <w:szCs w:val="28"/>
          <w:lang w:val="en-US" w:eastAsia="zh-CN"/>
        </w:rPr>
        <w:t>3</w:t>
      </w:r>
      <w:r>
        <w:rPr>
          <w:rFonts w:hint="eastAsia" w:ascii="宋体" w:hAnsi="宋体" w:eastAsia="宋体" w:cs="宋体"/>
          <w:sz w:val="28"/>
          <w:szCs w:val="28"/>
        </w:rPr>
        <w:t>0m³的</w:t>
      </w:r>
      <w:r>
        <w:rPr>
          <w:rFonts w:hint="eastAsia" w:ascii="宋体" w:hAnsi="宋体" w:eastAsia="宋体" w:cs="宋体"/>
          <w:sz w:val="28"/>
          <w:lang w:val="en-US" w:eastAsia="zh-CN"/>
        </w:rPr>
        <w:t>92#</w:t>
      </w:r>
      <w:r>
        <w:rPr>
          <w:rFonts w:hint="eastAsia" w:ascii="宋体" w:hAnsi="宋体" w:eastAsia="宋体" w:cs="宋体"/>
          <w:sz w:val="28"/>
          <w:lang w:eastAsia="zh-CN"/>
        </w:rPr>
        <w:t>汽</w:t>
      </w:r>
      <w:r>
        <w:rPr>
          <w:rFonts w:hint="eastAsia" w:ascii="宋体" w:hAnsi="宋体" w:eastAsia="宋体" w:cs="宋体"/>
          <w:sz w:val="28"/>
        </w:rPr>
        <w:t>油罐</w:t>
      </w:r>
      <w:r>
        <w:rPr>
          <w:rFonts w:hint="eastAsia" w:ascii="宋体" w:hAnsi="宋体" w:eastAsia="宋体" w:cs="宋体"/>
          <w:sz w:val="28"/>
          <w:lang w:eastAsia="zh-CN"/>
        </w:rPr>
        <w:t>、</w:t>
      </w:r>
      <w:r>
        <w:rPr>
          <w:rFonts w:hint="eastAsia" w:ascii="宋体" w:hAnsi="宋体" w:eastAsia="宋体" w:cs="宋体"/>
          <w:sz w:val="28"/>
          <w:szCs w:val="28"/>
        </w:rPr>
        <w:t>1个</w:t>
      </w:r>
      <w:r>
        <w:rPr>
          <w:rFonts w:hint="eastAsia" w:cs="宋体"/>
          <w:sz w:val="28"/>
          <w:szCs w:val="28"/>
          <w:lang w:val="en-US" w:eastAsia="zh-CN"/>
        </w:rPr>
        <w:t>3</w:t>
      </w:r>
      <w:r>
        <w:rPr>
          <w:rFonts w:hint="eastAsia" w:ascii="宋体" w:hAnsi="宋体" w:eastAsia="宋体" w:cs="宋体"/>
          <w:sz w:val="28"/>
          <w:szCs w:val="28"/>
        </w:rPr>
        <w:t>0m³的</w:t>
      </w:r>
      <w:r>
        <w:rPr>
          <w:rFonts w:hint="eastAsia" w:ascii="宋体" w:hAnsi="宋体" w:eastAsia="宋体" w:cs="宋体"/>
          <w:sz w:val="28"/>
          <w:lang w:val="en-US" w:eastAsia="zh-CN"/>
        </w:rPr>
        <w:t>95#汽油罐</w:t>
      </w:r>
      <w:r>
        <w:rPr>
          <w:rFonts w:hint="eastAsia" w:ascii="宋体" w:hAnsi="宋体" w:eastAsia="宋体" w:cs="宋体"/>
          <w:sz w:val="28"/>
          <w:lang w:eastAsia="zh-CN"/>
        </w:rPr>
        <w:t>、</w:t>
      </w:r>
      <w:r>
        <w:rPr>
          <w:rFonts w:hint="eastAsia" w:ascii="宋体" w:hAnsi="宋体" w:eastAsia="宋体" w:cs="宋体"/>
          <w:sz w:val="28"/>
          <w:szCs w:val="28"/>
        </w:rPr>
        <w:t>1个</w:t>
      </w:r>
      <w:r>
        <w:rPr>
          <w:rFonts w:hint="eastAsia" w:ascii="宋体" w:hAnsi="宋体" w:eastAsia="宋体" w:cs="宋体"/>
          <w:sz w:val="28"/>
          <w:szCs w:val="28"/>
          <w:lang w:val="en-US" w:eastAsia="zh-CN"/>
        </w:rPr>
        <w:t>3</w:t>
      </w:r>
      <w:r>
        <w:rPr>
          <w:rFonts w:hint="eastAsia" w:ascii="宋体" w:hAnsi="宋体" w:eastAsia="宋体" w:cs="宋体"/>
          <w:sz w:val="28"/>
          <w:szCs w:val="28"/>
        </w:rPr>
        <w:t>0m³的</w:t>
      </w:r>
      <w:r>
        <w:rPr>
          <w:rFonts w:hint="eastAsia" w:ascii="宋体" w:hAnsi="宋体" w:eastAsia="宋体" w:cs="宋体"/>
          <w:sz w:val="28"/>
          <w:lang w:val="en-US" w:eastAsia="zh-CN"/>
        </w:rPr>
        <w:t>98#汽油罐</w:t>
      </w:r>
      <w:r>
        <w:rPr>
          <w:rFonts w:hint="eastAsia" w:ascii="宋体" w:hAnsi="宋体" w:eastAsia="宋体" w:cs="宋体"/>
          <w:sz w:val="28"/>
          <w:lang w:eastAsia="zh-CN"/>
        </w:rPr>
        <w:t>、</w:t>
      </w:r>
      <w:r>
        <w:rPr>
          <w:rFonts w:hint="eastAsia" w:ascii="宋体" w:hAnsi="宋体" w:eastAsia="宋体" w:cs="宋体"/>
          <w:sz w:val="28"/>
          <w:szCs w:val="28"/>
        </w:rPr>
        <w:t>1个</w:t>
      </w:r>
      <w:r>
        <w:rPr>
          <w:rFonts w:hint="eastAsia" w:cs="宋体"/>
          <w:sz w:val="28"/>
          <w:szCs w:val="28"/>
          <w:lang w:val="en-US" w:eastAsia="zh-CN"/>
        </w:rPr>
        <w:t>3</w:t>
      </w:r>
      <w:r>
        <w:rPr>
          <w:rFonts w:hint="eastAsia" w:ascii="宋体" w:hAnsi="宋体" w:eastAsia="宋体" w:cs="宋体"/>
          <w:sz w:val="28"/>
          <w:szCs w:val="28"/>
        </w:rPr>
        <w:t>0m³的</w:t>
      </w:r>
      <w:r>
        <w:rPr>
          <w:rFonts w:hint="eastAsia" w:ascii="宋体" w:hAnsi="宋体" w:eastAsia="宋体" w:cs="宋体"/>
          <w:sz w:val="28"/>
          <w:lang w:val="en-US" w:eastAsia="zh-CN"/>
        </w:rPr>
        <w:t>0#</w:t>
      </w:r>
      <w:r>
        <w:rPr>
          <w:rFonts w:hint="eastAsia" w:ascii="宋体" w:hAnsi="宋体" w:eastAsia="宋体" w:cs="宋体"/>
          <w:sz w:val="28"/>
          <w:lang w:eastAsia="zh-CN"/>
        </w:rPr>
        <w:t>柴</w:t>
      </w:r>
      <w:r>
        <w:rPr>
          <w:rFonts w:hint="eastAsia" w:ascii="宋体" w:hAnsi="宋体" w:eastAsia="宋体" w:cs="宋体"/>
          <w:sz w:val="28"/>
        </w:rPr>
        <w:t>油罐，储罐总容积</w:t>
      </w:r>
      <w:r>
        <w:rPr>
          <w:rFonts w:hint="eastAsia" w:cs="宋体"/>
          <w:sz w:val="28"/>
          <w:lang w:val="en-US" w:eastAsia="zh-CN"/>
        </w:rPr>
        <w:t>105</w:t>
      </w:r>
      <w:r>
        <w:rPr>
          <w:rFonts w:hint="eastAsia" w:ascii="宋体" w:hAnsi="宋体" w:eastAsia="宋体" w:cs="宋体"/>
          <w:sz w:val="28"/>
        </w:rPr>
        <w:t>m³（柴油折半计算）。</w:t>
      </w:r>
      <w:r>
        <w:rPr>
          <w:rFonts w:hint="eastAsia" w:ascii="宋体" w:hAnsi="宋体" w:eastAsia="宋体" w:cs="宋体"/>
          <w:sz w:val="28"/>
          <w:szCs w:val="28"/>
        </w:rPr>
        <w:t>每个油罐设有人孔操作井，汽油罐与柴油罐的通气管分开设置，通气管</w:t>
      </w:r>
      <w:r>
        <w:rPr>
          <w:rFonts w:hint="eastAsia" w:cs="宋体"/>
          <w:sz w:val="28"/>
          <w:szCs w:val="28"/>
          <w:lang w:eastAsia="zh-CN"/>
        </w:rPr>
        <w:t>设在罐区后，管口</w:t>
      </w:r>
      <w:r>
        <w:rPr>
          <w:rFonts w:hint="eastAsia" w:ascii="宋体" w:hAnsi="宋体" w:eastAsia="宋体" w:cs="宋体"/>
          <w:sz w:val="28"/>
          <w:szCs w:val="28"/>
        </w:rPr>
        <w:t>高于</w:t>
      </w:r>
      <w:r>
        <w:rPr>
          <w:rFonts w:hint="eastAsia" w:cs="宋体"/>
          <w:sz w:val="28"/>
          <w:szCs w:val="28"/>
          <w:lang w:eastAsia="zh-CN"/>
        </w:rPr>
        <w:t>地面</w:t>
      </w:r>
      <w:r>
        <w:rPr>
          <w:rFonts w:hint="eastAsia" w:cs="宋体"/>
          <w:sz w:val="28"/>
          <w:szCs w:val="28"/>
          <w:lang w:val="en-US" w:eastAsia="zh-CN"/>
        </w:rPr>
        <w:t>4.0</w:t>
      </w:r>
      <w:r>
        <w:rPr>
          <w:rFonts w:hint="eastAsia" w:ascii="宋体" w:hAnsi="宋体" w:eastAsia="宋体" w:cs="宋体"/>
          <w:sz w:val="28"/>
          <w:szCs w:val="28"/>
        </w:rPr>
        <w:t>m，管口安装阻火器，汽油通气管管口还安装有呼吸阀；</w:t>
      </w:r>
      <w:r>
        <w:rPr>
          <w:rFonts w:hint="eastAsia" w:cs="宋体"/>
          <w:sz w:val="28"/>
          <w:szCs w:val="28"/>
          <w:lang w:eastAsia="zh-CN"/>
        </w:rPr>
        <w:t>罐区前</w:t>
      </w:r>
      <w:r>
        <w:rPr>
          <w:rFonts w:hint="eastAsia" w:ascii="宋体" w:hAnsi="宋体" w:eastAsia="宋体" w:cs="宋体"/>
          <w:sz w:val="28"/>
          <w:szCs w:val="28"/>
        </w:rPr>
        <w:t>设有密闭式卸油口，采用油气回收系统</w:t>
      </w:r>
      <w:r>
        <w:rPr>
          <w:rFonts w:hint="eastAsia" w:ascii="宋体" w:hAnsi="宋体" w:eastAsia="宋体" w:cs="宋体"/>
          <w:sz w:val="28"/>
        </w:rPr>
        <w:t>。</w:t>
      </w:r>
    </w:p>
    <w:p>
      <w:pPr>
        <w:spacing w:line="560" w:lineRule="exact"/>
        <w:ind w:firstLine="560" w:firstLineChars="200"/>
        <w:jc w:val="both"/>
        <w:rPr>
          <w:rFonts w:hint="eastAsia" w:ascii="宋体" w:hAnsi="宋体" w:eastAsia="宋体" w:cs="宋体"/>
          <w:sz w:val="28"/>
          <w:lang w:val="en-US" w:eastAsia="zh-CN"/>
        </w:rPr>
      </w:pPr>
      <w:r>
        <w:rPr>
          <w:rFonts w:hint="eastAsia" w:ascii="宋体" w:hAnsi="宋体" w:eastAsia="宋体" w:cs="宋体"/>
          <w:sz w:val="28"/>
          <w:lang w:val="en-US" w:eastAsia="zh-CN"/>
        </w:rPr>
        <w:t>配电房</w:t>
      </w:r>
      <w:r>
        <w:rPr>
          <w:rFonts w:hint="eastAsia" w:cs="宋体"/>
          <w:sz w:val="28"/>
          <w:lang w:val="en-US" w:eastAsia="zh-CN"/>
        </w:rPr>
        <w:t>、发电房（</w:t>
      </w:r>
      <w:r>
        <w:rPr>
          <w:rFonts w:hint="eastAsia" w:ascii="宋体" w:hAnsi="宋体" w:eastAsia="宋体" w:cs="宋体"/>
          <w:sz w:val="28"/>
          <w:lang w:val="en-US" w:eastAsia="zh-CN"/>
        </w:rPr>
        <w:t>原设有小型柴油发电机，现已停用</w:t>
      </w:r>
      <w:r>
        <w:rPr>
          <w:rFonts w:hint="eastAsia" w:cs="宋体"/>
          <w:sz w:val="28"/>
          <w:lang w:val="en-US" w:eastAsia="zh-CN"/>
        </w:rPr>
        <w:t>）</w:t>
      </w:r>
      <w:r>
        <w:rPr>
          <w:rFonts w:hint="eastAsia" w:ascii="宋体" w:hAnsi="宋体" w:eastAsia="宋体" w:cs="宋体"/>
          <w:sz w:val="28"/>
          <w:lang w:val="en-US" w:eastAsia="zh-CN"/>
        </w:rPr>
        <w:t>配有防鼠板、应急照明灯、绝缘胶垫和灭火器等。</w:t>
      </w:r>
    </w:p>
    <w:p>
      <w:pPr>
        <w:spacing w:line="500" w:lineRule="exact"/>
        <w:ind w:firstLine="560" w:firstLineChars="200"/>
        <w:jc w:val="both"/>
        <w:rPr>
          <w:rFonts w:hint="eastAsia" w:ascii="Times New Roman" w:hAnsi="Times New Roman" w:cs="Times New Roman"/>
          <w:spacing w:val="-7"/>
          <w:sz w:val="28"/>
          <w:szCs w:val="28"/>
          <w:lang w:eastAsia="zh-CN"/>
        </w:rPr>
      </w:pPr>
      <w:r>
        <w:rPr>
          <w:rFonts w:hint="eastAsia" w:ascii="宋体" w:hAnsi="宋体" w:eastAsia="宋体" w:cs="宋体"/>
          <w:sz w:val="28"/>
          <w:lang w:val="en-US" w:eastAsia="zh-CN"/>
        </w:rPr>
        <w:t>加油站</w:t>
      </w:r>
      <w:r>
        <w:rPr>
          <w:rFonts w:hint="eastAsia" w:cs="宋体"/>
          <w:sz w:val="28"/>
          <w:lang w:val="en-US" w:eastAsia="zh-CN"/>
        </w:rPr>
        <w:t>入口位于北面的崇焕东路</w:t>
      </w:r>
      <w:r>
        <w:rPr>
          <w:rFonts w:hint="eastAsia" w:ascii="宋体" w:hAnsi="宋体" w:eastAsia="宋体" w:cs="宋体"/>
          <w:sz w:val="28"/>
          <w:lang w:val="en-US" w:eastAsia="zh-CN"/>
        </w:rPr>
        <w:t>，</w:t>
      </w:r>
      <w:r>
        <w:rPr>
          <w:rFonts w:hint="eastAsia" w:cs="宋体"/>
          <w:sz w:val="28"/>
          <w:highlight w:val="none"/>
          <w:lang w:val="en-US" w:eastAsia="zh-CN"/>
        </w:rPr>
        <w:t>出口位于东面的金星南路</w:t>
      </w:r>
      <w:r>
        <w:rPr>
          <w:rFonts w:hint="eastAsia" w:cs="宋体"/>
          <w:sz w:val="28"/>
          <w:lang w:val="en-US" w:eastAsia="zh-CN"/>
        </w:rPr>
        <w:t>，</w:t>
      </w:r>
      <w:r>
        <w:rPr>
          <w:rFonts w:hint="eastAsia" w:ascii="宋体" w:hAnsi="宋体" w:eastAsia="宋体" w:cs="宋体"/>
          <w:sz w:val="28"/>
          <w:lang w:val="en-US" w:eastAsia="zh-CN"/>
        </w:rPr>
        <w:t>进出口开敞</w:t>
      </w:r>
      <w:r>
        <w:rPr>
          <w:rFonts w:hint="eastAsia" w:cs="宋体"/>
          <w:sz w:val="28"/>
          <w:lang w:val="en-US" w:eastAsia="zh-CN"/>
        </w:rPr>
        <w:t>，加油站西</w:t>
      </w:r>
      <w:r>
        <w:rPr>
          <w:rFonts w:hint="eastAsia" w:ascii="宋体" w:hAnsi="宋体" w:eastAsia="宋体" w:cs="宋体"/>
          <w:sz w:val="28"/>
          <w:lang w:val="en-US" w:eastAsia="zh-CN"/>
        </w:rPr>
        <w:t>面</w:t>
      </w:r>
      <w:r>
        <w:rPr>
          <w:rFonts w:hint="eastAsia" w:cs="宋体"/>
          <w:sz w:val="28"/>
          <w:lang w:val="en-US" w:eastAsia="zh-CN"/>
        </w:rPr>
        <w:t>和南面</w:t>
      </w:r>
      <w:r>
        <w:rPr>
          <w:rFonts w:hint="eastAsia" w:ascii="宋体" w:hAnsi="宋体" w:eastAsia="宋体" w:cs="宋体"/>
          <w:sz w:val="28"/>
          <w:lang w:val="en-US" w:eastAsia="zh-CN"/>
        </w:rPr>
        <w:t>均设有</w:t>
      </w:r>
      <w:r>
        <w:rPr>
          <w:rFonts w:hint="eastAsia" w:cs="宋体"/>
          <w:sz w:val="28"/>
          <w:lang w:val="en-US" w:eastAsia="zh-CN"/>
        </w:rPr>
        <w:t>2.2m高的</w:t>
      </w:r>
      <w:r>
        <w:rPr>
          <w:rFonts w:hint="eastAsia" w:ascii="宋体" w:hAnsi="宋体" w:eastAsia="宋体" w:cs="宋体"/>
          <w:sz w:val="28"/>
          <w:lang w:val="en-US" w:eastAsia="zh-CN"/>
        </w:rPr>
        <w:t>实体围墙。站内设单车道宽</w:t>
      </w:r>
      <w:r>
        <w:rPr>
          <w:rFonts w:hint="eastAsia" w:cs="宋体"/>
          <w:sz w:val="28"/>
          <w:lang w:val="en-US" w:eastAsia="zh-CN"/>
        </w:rPr>
        <w:t>大于4</w:t>
      </w:r>
      <w:r>
        <w:rPr>
          <w:rFonts w:hint="eastAsia" w:ascii="宋体" w:hAnsi="宋体" w:eastAsia="宋体" w:cs="宋体"/>
          <w:sz w:val="28"/>
          <w:lang w:val="en-US" w:eastAsia="zh-CN"/>
        </w:rPr>
        <w:t>米，双车道宽</w:t>
      </w:r>
      <w:r>
        <w:rPr>
          <w:rFonts w:hint="eastAsia" w:cs="宋体"/>
          <w:sz w:val="28"/>
          <w:lang w:val="en-US" w:eastAsia="zh-CN"/>
        </w:rPr>
        <w:t>大于6</w:t>
      </w:r>
      <w:r>
        <w:rPr>
          <w:rFonts w:hint="eastAsia" w:ascii="宋体" w:hAnsi="宋体" w:eastAsia="宋体" w:cs="宋体"/>
          <w:sz w:val="28"/>
          <w:lang w:val="en-US" w:eastAsia="zh-CN"/>
        </w:rPr>
        <w:t>m。站内道路和槽车卸车停车位均为平坡，路面为非沥青路面</w:t>
      </w:r>
      <w:r>
        <w:rPr>
          <w:rFonts w:hint="eastAsia"/>
          <w:sz w:val="28"/>
          <w:szCs w:val="28"/>
        </w:rPr>
        <w:t>。</w:t>
      </w:r>
    </w:p>
    <w:p>
      <w:pPr>
        <w:spacing w:line="500" w:lineRule="exact"/>
        <w:ind w:firstLine="532" w:firstLineChars="200"/>
        <w:jc w:val="both"/>
        <w:rPr>
          <w:rFonts w:hint="default" w:ascii="Times New Roman" w:hAnsi="Times New Roman" w:cs="Times New Roman"/>
          <w:spacing w:val="-7"/>
          <w:sz w:val="28"/>
          <w:szCs w:val="28"/>
        </w:rPr>
      </w:pPr>
      <w:r>
        <w:rPr>
          <w:rFonts w:hint="default" w:ascii="Times New Roman" w:hAnsi="Times New Roman" w:cs="Times New Roman"/>
          <w:spacing w:val="-7"/>
          <w:sz w:val="28"/>
          <w:szCs w:val="28"/>
        </w:rPr>
        <w:t>站内设施之间的防火间距见表2.3-1。</w:t>
      </w:r>
    </w:p>
    <w:p>
      <w:pPr>
        <w:pStyle w:val="11"/>
        <w:spacing w:before="33" w:line="500" w:lineRule="exact"/>
        <w:ind w:right="135"/>
        <w:jc w:val="center"/>
        <w:rPr>
          <w:rFonts w:hint="default" w:ascii="Times New Roman" w:hAnsi="Times New Roman" w:cs="Times New Roman"/>
        </w:rPr>
      </w:pPr>
      <w:bookmarkStart w:id="353" w:name="_Toc29789_WPSOffice_Level3"/>
      <w:bookmarkStart w:id="354" w:name="_Toc22948_WPSOffice_Level3"/>
      <w:r>
        <w:rPr>
          <w:rFonts w:hint="default" w:ascii="Times New Roman" w:hAnsi="Times New Roman" w:cs="Times New Roman"/>
        </w:rPr>
        <w:t>表2.3-1 站内设施之间的防火间距（m）</w:t>
      </w:r>
      <w:bookmarkEnd w:id="353"/>
      <w:bookmarkEnd w:id="354"/>
    </w:p>
    <w:tbl>
      <w:tblPr>
        <w:tblStyle w:val="29"/>
        <w:tblW w:w="104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8"/>
        <w:gridCol w:w="555"/>
        <w:gridCol w:w="645"/>
        <w:gridCol w:w="585"/>
        <w:gridCol w:w="645"/>
        <w:gridCol w:w="480"/>
        <w:gridCol w:w="705"/>
        <w:gridCol w:w="445"/>
        <w:gridCol w:w="665"/>
        <w:gridCol w:w="585"/>
        <w:gridCol w:w="645"/>
        <w:gridCol w:w="390"/>
        <w:gridCol w:w="645"/>
        <w:gridCol w:w="525"/>
        <w:gridCol w:w="645"/>
        <w:gridCol w:w="615"/>
        <w:gridCol w:w="8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2" w:hRule="atLeast"/>
          <w:jc w:val="center"/>
        </w:trPr>
        <w:tc>
          <w:tcPr>
            <w:tcW w:w="878" w:type="dxa"/>
            <w:vMerge w:val="restart"/>
            <w:noWrap w:val="0"/>
            <w:vAlign w:val="center"/>
          </w:tcPr>
          <w:p>
            <w:pPr>
              <w:keepNext w:val="0"/>
              <w:keepLines w:val="0"/>
              <w:suppressLineNumbers w:val="0"/>
              <w:spacing w:before="0" w:beforeAutospacing="0" w:after="0" w:afterAutospacing="0" w:line="300" w:lineRule="exact"/>
              <w:ind w:left="0" w:right="0"/>
              <w:jc w:val="center"/>
              <w:rPr>
                <w:rFonts w:hint="default"/>
                <w:kern w:val="2"/>
                <w:sz w:val="21"/>
                <w:szCs w:val="21"/>
              </w:rPr>
            </w:pPr>
            <w:r>
              <w:rPr>
                <w:rFonts w:hint="default"/>
                <w:kern w:val="2"/>
                <w:sz w:val="21"/>
                <w:szCs w:val="21"/>
              </w:rPr>
              <w:t>设施名称</w:t>
            </w:r>
          </w:p>
        </w:tc>
        <w:tc>
          <w:tcPr>
            <w:tcW w:w="1200" w:type="dxa"/>
            <w:gridSpan w:val="2"/>
            <w:noWrap w:val="0"/>
            <w:vAlign w:val="center"/>
          </w:tcPr>
          <w:p>
            <w:pPr>
              <w:keepNext w:val="0"/>
              <w:keepLines w:val="0"/>
              <w:suppressLineNumbers w:val="0"/>
              <w:spacing w:before="0" w:beforeAutospacing="0" w:after="0" w:afterAutospacing="0" w:line="300" w:lineRule="exact"/>
              <w:ind w:left="0" w:right="0"/>
              <w:jc w:val="center"/>
              <w:rPr>
                <w:rFonts w:hint="default"/>
                <w:b/>
                <w:bCs/>
                <w:kern w:val="2"/>
                <w:sz w:val="21"/>
                <w:szCs w:val="21"/>
              </w:rPr>
            </w:pPr>
            <w:r>
              <w:rPr>
                <w:rFonts w:hint="default"/>
                <w:b/>
                <w:bCs/>
                <w:kern w:val="2"/>
                <w:sz w:val="21"/>
                <w:szCs w:val="21"/>
              </w:rPr>
              <w:t>汽油罐</w:t>
            </w:r>
          </w:p>
        </w:tc>
        <w:tc>
          <w:tcPr>
            <w:tcW w:w="1230" w:type="dxa"/>
            <w:gridSpan w:val="2"/>
            <w:noWrap w:val="0"/>
            <w:vAlign w:val="center"/>
          </w:tcPr>
          <w:p>
            <w:pPr>
              <w:keepNext w:val="0"/>
              <w:keepLines w:val="0"/>
              <w:suppressLineNumbers w:val="0"/>
              <w:spacing w:before="0" w:beforeAutospacing="0" w:after="0" w:afterAutospacing="0" w:line="300" w:lineRule="exact"/>
              <w:ind w:left="0" w:right="0"/>
              <w:jc w:val="center"/>
              <w:rPr>
                <w:rFonts w:hint="default"/>
                <w:b/>
                <w:bCs/>
                <w:kern w:val="2"/>
                <w:sz w:val="21"/>
                <w:szCs w:val="21"/>
              </w:rPr>
            </w:pPr>
            <w:r>
              <w:rPr>
                <w:rFonts w:hint="default"/>
                <w:b/>
                <w:bCs/>
                <w:kern w:val="2"/>
                <w:sz w:val="21"/>
                <w:szCs w:val="21"/>
              </w:rPr>
              <w:t>柴油罐</w:t>
            </w:r>
          </w:p>
        </w:tc>
        <w:tc>
          <w:tcPr>
            <w:tcW w:w="1185" w:type="dxa"/>
            <w:gridSpan w:val="2"/>
            <w:noWrap w:val="0"/>
            <w:vAlign w:val="center"/>
          </w:tcPr>
          <w:p>
            <w:pPr>
              <w:keepNext w:val="0"/>
              <w:keepLines w:val="0"/>
              <w:suppressLineNumbers w:val="0"/>
              <w:spacing w:before="0" w:beforeAutospacing="0" w:after="0" w:afterAutospacing="0" w:line="300" w:lineRule="exact"/>
              <w:ind w:left="0" w:right="0"/>
              <w:jc w:val="center"/>
              <w:rPr>
                <w:rFonts w:hint="default"/>
                <w:b/>
                <w:bCs/>
                <w:kern w:val="2"/>
                <w:sz w:val="21"/>
                <w:szCs w:val="21"/>
              </w:rPr>
            </w:pPr>
            <w:r>
              <w:rPr>
                <w:rFonts w:hint="default"/>
                <w:b/>
                <w:bCs/>
                <w:kern w:val="2"/>
                <w:sz w:val="21"/>
                <w:szCs w:val="21"/>
              </w:rPr>
              <w:t>汽油通气管管口</w:t>
            </w:r>
          </w:p>
        </w:tc>
        <w:tc>
          <w:tcPr>
            <w:tcW w:w="1110" w:type="dxa"/>
            <w:gridSpan w:val="2"/>
            <w:noWrap w:val="0"/>
            <w:vAlign w:val="center"/>
          </w:tcPr>
          <w:p>
            <w:pPr>
              <w:keepNext w:val="0"/>
              <w:keepLines w:val="0"/>
              <w:suppressLineNumbers w:val="0"/>
              <w:spacing w:before="0" w:beforeAutospacing="0" w:after="0" w:afterAutospacing="0" w:line="300" w:lineRule="exact"/>
              <w:ind w:left="0" w:right="0"/>
              <w:jc w:val="center"/>
              <w:rPr>
                <w:rFonts w:hint="default"/>
                <w:b/>
                <w:bCs/>
                <w:kern w:val="2"/>
                <w:sz w:val="21"/>
                <w:szCs w:val="21"/>
              </w:rPr>
            </w:pPr>
            <w:r>
              <w:rPr>
                <w:rFonts w:hint="default"/>
                <w:b/>
                <w:bCs/>
                <w:kern w:val="2"/>
                <w:sz w:val="21"/>
                <w:szCs w:val="21"/>
              </w:rPr>
              <w:t>柴油通气管管口</w:t>
            </w:r>
          </w:p>
        </w:tc>
        <w:tc>
          <w:tcPr>
            <w:tcW w:w="1230" w:type="dxa"/>
            <w:gridSpan w:val="2"/>
            <w:noWrap w:val="0"/>
            <w:vAlign w:val="center"/>
          </w:tcPr>
          <w:p>
            <w:pPr>
              <w:keepNext w:val="0"/>
              <w:keepLines w:val="0"/>
              <w:suppressLineNumbers w:val="0"/>
              <w:spacing w:before="0" w:beforeAutospacing="0" w:after="0" w:afterAutospacing="0" w:line="300" w:lineRule="exact"/>
              <w:ind w:left="0" w:right="0"/>
              <w:jc w:val="center"/>
              <w:rPr>
                <w:rFonts w:hint="default"/>
                <w:b/>
                <w:bCs/>
                <w:kern w:val="2"/>
                <w:sz w:val="21"/>
                <w:szCs w:val="21"/>
              </w:rPr>
            </w:pPr>
            <w:r>
              <w:rPr>
                <w:rFonts w:hint="default"/>
                <w:b/>
                <w:bCs/>
                <w:kern w:val="2"/>
                <w:sz w:val="21"/>
                <w:szCs w:val="21"/>
              </w:rPr>
              <w:t>油品卸车点</w:t>
            </w:r>
          </w:p>
        </w:tc>
        <w:tc>
          <w:tcPr>
            <w:tcW w:w="1035" w:type="dxa"/>
            <w:gridSpan w:val="2"/>
            <w:noWrap w:val="0"/>
            <w:vAlign w:val="center"/>
          </w:tcPr>
          <w:p>
            <w:pPr>
              <w:keepNext w:val="0"/>
              <w:keepLines w:val="0"/>
              <w:suppressLineNumbers w:val="0"/>
              <w:spacing w:before="0" w:beforeAutospacing="0" w:after="0" w:afterAutospacing="0" w:line="300" w:lineRule="exact"/>
              <w:ind w:left="0" w:right="0"/>
              <w:jc w:val="center"/>
              <w:rPr>
                <w:rFonts w:hint="default"/>
                <w:b/>
                <w:bCs/>
                <w:kern w:val="2"/>
                <w:sz w:val="21"/>
                <w:szCs w:val="21"/>
              </w:rPr>
            </w:pPr>
            <w:r>
              <w:rPr>
                <w:rFonts w:hint="default"/>
                <w:b/>
                <w:bCs/>
                <w:kern w:val="2"/>
                <w:sz w:val="21"/>
                <w:szCs w:val="21"/>
              </w:rPr>
              <w:t>加油机</w:t>
            </w:r>
          </w:p>
        </w:tc>
        <w:tc>
          <w:tcPr>
            <w:tcW w:w="1170" w:type="dxa"/>
            <w:gridSpan w:val="2"/>
            <w:noWrap w:val="0"/>
            <w:vAlign w:val="center"/>
          </w:tcPr>
          <w:p>
            <w:pPr>
              <w:keepNext w:val="0"/>
              <w:keepLines w:val="0"/>
              <w:suppressLineNumbers w:val="0"/>
              <w:spacing w:before="0" w:beforeAutospacing="0" w:after="0" w:afterAutospacing="0" w:line="300" w:lineRule="exact"/>
              <w:ind w:left="0" w:right="0"/>
              <w:jc w:val="center"/>
              <w:rPr>
                <w:rFonts w:hint="default"/>
                <w:b/>
                <w:bCs/>
                <w:kern w:val="2"/>
                <w:sz w:val="21"/>
                <w:szCs w:val="21"/>
              </w:rPr>
            </w:pPr>
            <w:r>
              <w:rPr>
                <w:rFonts w:hint="default"/>
                <w:b/>
                <w:bCs/>
                <w:kern w:val="2"/>
                <w:sz w:val="21"/>
                <w:szCs w:val="21"/>
              </w:rPr>
              <w:t>站房</w:t>
            </w:r>
          </w:p>
        </w:tc>
        <w:tc>
          <w:tcPr>
            <w:tcW w:w="1435" w:type="dxa"/>
            <w:gridSpan w:val="2"/>
            <w:noWrap w:val="0"/>
            <w:vAlign w:val="center"/>
          </w:tcPr>
          <w:p>
            <w:pPr>
              <w:keepNext w:val="0"/>
              <w:keepLines w:val="0"/>
              <w:suppressLineNumbers w:val="0"/>
              <w:spacing w:before="0" w:beforeAutospacing="0" w:after="0" w:afterAutospacing="0" w:line="300" w:lineRule="exact"/>
              <w:ind w:left="0" w:right="0"/>
              <w:jc w:val="center"/>
              <w:rPr>
                <w:rFonts w:hint="eastAsia" w:eastAsia="宋体"/>
                <w:b/>
                <w:bCs/>
                <w:kern w:val="2"/>
                <w:sz w:val="21"/>
                <w:szCs w:val="21"/>
                <w:lang w:eastAsia="zh-CN"/>
              </w:rPr>
            </w:pPr>
            <w:r>
              <w:rPr>
                <w:rFonts w:hint="eastAsia"/>
                <w:b/>
                <w:bCs/>
                <w:kern w:val="2"/>
                <w:sz w:val="21"/>
                <w:szCs w:val="21"/>
                <w:lang w:eastAsia="zh-CN"/>
              </w:rPr>
              <w:t>洗车机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78" w:type="dxa"/>
            <w:vMerge w:val="continue"/>
            <w:shd w:val="clear" w:color="auto" w:fill="auto"/>
            <w:noWrap w:val="0"/>
            <w:vAlign w:val="center"/>
          </w:tcPr>
          <w:p>
            <w:pPr>
              <w:keepNext w:val="0"/>
              <w:keepLines w:val="0"/>
              <w:suppressLineNumbers w:val="0"/>
              <w:spacing w:before="0" w:beforeAutospacing="0" w:after="0" w:afterAutospacing="0" w:line="300" w:lineRule="exact"/>
              <w:ind w:left="0" w:right="0"/>
              <w:jc w:val="center"/>
              <w:rPr>
                <w:rFonts w:hint="default"/>
                <w:kern w:val="2"/>
                <w:sz w:val="21"/>
                <w:szCs w:val="21"/>
              </w:rPr>
            </w:pPr>
          </w:p>
        </w:tc>
        <w:tc>
          <w:tcPr>
            <w:tcW w:w="555" w:type="dxa"/>
            <w:shd w:val="clear" w:color="auto" w:fill="B3B3B3"/>
            <w:noWrap w:val="0"/>
            <w:vAlign w:val="center"/>
          </w:tcPr>
          <w:p>
            <w:pPr>
              <w:keepNext w:val="0"/>
              <w:keepLines w:val="0"/>
              <w:suppressLineNumbers w:val="0"/>
              <w:spacing w:before="0" w:beforeAutospacing="0" w:after="0" w:afterAutospacing="0" w:line="300" w:lineRule="exact"/>
              <w:ind w:left="0" w:right="0"/>
              <w:jc w:val="center"/>
              <w:rPr>
                <w:rFonts w:hint="default"/>
                <w:b/>
                <w:kern w:val="2"/>
                <w:sz w:val="21"/>
                <w:szCs w:val="21"/>
              </w:rPr>
            </w:pPr>
            <w:r>
              <w:rPr>
                <w:rFonts w:hint="default"/>
                <w:b/>
                <w:kern w:val="2"/>
                <w:sz w:val="21"/>
                <w:szCs w:val="21"/>
              </w:rPr>
              <w:t>规</w:t>
            </w:r>
          </w:p>
          <w:p>
            <w:pPr>
              <w:keepNext w:val="0"/>
              <w:keepLines w:val="0"/>
              <w:suppressLineNumbers w:val="0"/>
              <w:spacing w:before="0" w:beforeAutospacing="0" w:after="0" w:afterAutospacing="0" w:line="300" w:lineRule="exact"/>
              <w:ind w:left="0" w:right="0"/>
              <w:jc w:val="center"/>
              <w:rPr>
                <w:rFonts w:hint="default"/>
                <w:b/>
                <w:kern w:val="2"/>
                <w:sz w:val="21"/>
                <w:szCs w:val="21"/>
              </w:rPr>
            </w:pPr>
            <w:r>
              <w:rPr>
                <w:rFonts w:hint="default"/>
                <w:b/>
                <w:kern w:val="2"/>
                <w:sz w:val="21"/>
                <w:szCs w:val="21"/>
              </w:rPr>
              <w:t>范</w:t>
            </w:r>
          </w:p>
        </w:tc>
        <w:tc>
          <w:tcPr>
            <w:tcW w:w="645" w:type="dxa"/>
            <w:shd w:val="clear" w:color="auto" w:fill="auto"/>
            <w:noWrap w:val="0"/>
            <w:vAlign w:val="center"/>
          </w:tcPr>
          <w:p>
            <w:pPr>
              <w:keepNext w:val="0"/>
              <w:keepLines w:val="0"/>
              <w:suppressLineNumbers w:val="0"/>
              <w:spacing w:before="0" w:beforeAutospacing="0" w:after="0" w:afterAutospacing="0" w:line="300" w:lineRule="exact"/>
              <w:ind w:left="0" w:right="0"/>
              <w:jc w:val="center"/>
              <w:rPr>
                <w:rFonts w:hint="eastAsia"/>
                <w:kern w:val="2"/>
                <w:sz w:val="21"/>
                <w:szCs w:val="21"/>
                <w:lang w:eastAsia="zh-CN"/>
              </w:rPr>
            </w:pPr>
            <w:r>
              <w:rPr>
                <w:rFonts w:hint="eastAsia"/>
                <w:kern w:val="2"/>
                <w:sz w:val="21"/>
                <w:szCs w:val="21"/>
                <w:lang w:eastAsia="zh-CN"/>
              </w:rPr>
              <w:t>实</w:t>
            </w:r>
          </w:p>
          <w:p>
            <w:pPr>
              <w:keepNext w:val="0"/>
              <w:keepLines w:val="0"/>
              <w:suppressLineNumbers w:val="0"/>
              <w:spacing w:before="0" w:beforeAutospacing="0" w:after="0" w:afterAutospacing="0" w:line="300" w:lineRule="exact"/>
              <w:ind w:left="0" w:right="0"/>
              <w:jc w:val="center"/>
              <w:rPr>
                <w:rFonts w:hint="eastAsia" w:eastAsia="宋体"/>
                <w:kern w:val="2"/>
                <w:sz w:val="21"/>
                <w:szCs w:val="21"/>
                <w:lang w:eastAsia="zh-CN"/>
              </w:rPr>
            </w:pPr>
            <w:r>
              <w:rPr>
                <w:rFonts w:hint="eastAsia"/>
                <w:kern w:val="2"/>
                <w:sz w:val="21"/>
                <w:szCs w:val="21"/>
                <w:lang w:eastAsia="zh-CN"/>
              </w:rPr>
              <w:t>测</w:t>
            </w:r>
          </w:p>
        </w:tc>
        <w:tc>
          <w:tcPr>
            <w:tcW w:w="585" w:type="dxa"/>
            <w:shd w:val="clear" w:color="auto" w:fill="B3B3B3"/>
            <w:noWrap w:val="0"/>
            <w:vAlign w:val="center"/>
          </w:tcPr>
          <w:p>
            <w:pPr>
              <w:keepNext w:val="0"/>
              <w:keepLines w:val="0"/>
              <w:suppressLineNumbers w:val="0"/>
              <w:spacing w:before="0" w:beforeAutospacing="0" w:after="0" w:afterAutospacing="0" w:line="300" w:lineRule="exact"/>
              <w:ind w:left="0" w:right="0"/>
              <w:jc w:val="center"/>
              <w:rPr>
                <w:rFonts w:hint="default"/>
                <w:b/>
                <w:kern w:val="2"/>
                <w:sz w:val="21"/>
                <w:szCs w:val="21"/>
              </w:rPr>
            </w:pPr>
            <w:r>
              <w:rPr>
                <w:rFonts w:hint="default"/>
                <w:b/>
                <w:kern w:val="2"/>
                <w:sz w:val="21"/>
                <w:szCs w:val="21"/>
              </w:rPr>
              <w:t>规</w:t>
            </w:r>
          </w:p>
          <w:p>
            <w:pPr>
              <w:keepNext w:val="0"/>
              <w:keepLines w:val="0"/>
              <w:suppressLineNumbers w:val="0"/>
              <w:spacing w:before="0" w:beforeAutospacing="0" w:after="0" w:afterAutospacing="0" w:line="300" w:lineRule="exact"/>
              <w:ind w:left="0" w:right="0"/>
              <w:jc w:val="center"/>
              <w:rPr>
                <w:rFonts w:hint="default"/>
                <w:b/>
                <w:kern w:val="2"/>
                <w:sz w:val="21"/>
                <w:szCs w:val="21"/>
              </w:rPr>
            </w:pPr>
            <w:r>
              <w:rPr>
                <w:rFonts w:hint="default"/>
                <w:b/>
                <w:kern w:val="2"/>
                <w:sz w:val="21"/>
                <w:szCs w:val="21"/>
              </w:rPr>
              <w:t>范</w:t>
            </w:r>
          </w:p>
        </w:tc>
        <w:tc>
          <w:tcPr>
            <w:tcW w:w="645" w:type="dxa"/>
            <w:shd w:val="clear" w:color="auto" w:fill="auto"/>
            <w:noWrap w:val="0"/>
            <w:vAlign w:val="center"/>
          </w:tcPr>
          <w:p>
            <w:pPr>
              <w:keepNext w:val="0"/>
              <w:keepLines w:val="0"/>
              <w:suppressLineNumbers w:val="0"/>
              <w:spacing w:before="0" w:beforeAutospacing="0" w:after="0" w:afterAutospacing="0" w:line="300" w:lineRule="exact"/>
              <w:ind w:left="0" w:right="0"/>
              <w:jc w:val="center"/>
              <w:rPr>
                <w:rFonts w:hint="eastAsia"/>
                <w:kern w:val="2"/>
                <w:sz w:val="21"/>
                <w:szCs w:val="21"/>
                <w:lang w:eastAsia="zh-CN"/>
              </w:rPr>
            </w:pPr>
            <w:r>
              <w:rPr>
                <w:rFonts w:hint="eastAsia"/>
                <w:kern w:val="2"/>
                <w:sz w:val="21"/>
                <w:szCs w:val="21"/>
                <w:lang w:eastAsia="zh-CN"/>
              </w:rPr>
              <w:t>实</w:t>
            </w:r>
          </w:p>
          <w:p>
            <w:pPr>
              <w:keepNext w:val="0"/>
              <w:keepLines w:val="0"/>
              <w:suppressLineNumbers w:val="0"/>
              <w:spacing w:before="0" w:beforeAutospacing="0" w:after="0" w:afterAutospacing="0" w:line="300" w:lineRule="exact"/>
              <w:ind w:left="0" w:right="0"/>
              <w:jc w:val="center"/>
              <w:rPr>
                <w:rFonts w:hint="eastAsia" w:eastAsia="宋体"/>
                <w:kern w:val="2"/>
                <w:sz w:val="21"/>
                <w:szCs w:val="21"/>
                <w:lang w:eastAsia="zh-CN"/>
              </w:rPr>
            </w:pPr>
            <w:r>
              <w:rPr>
                <w:rFonts w:hint="eastAsia"/>
                <w:kern w:val="2"/>
                <w:sz w:val="21"/>
                <w:szCs w:val="21"/>
                <w:lang w:eastAsia="zh-CN"/>
              </w:rPr>
              <w:t>测</w:t>
            </w:r>
          </w:p>
        </w:tc>
        <w:tc>
          <w:tcPr>
            <w:tcW w:w="480" w:type="dxa"/>
            <w:shd w:val="clear" w:color="auto" w:fill="B3B3B3"/>
            <w:noWrap w:val="0"/>
            <w:vAlign w:val="center"/>
          </w:tcPr>
          <w:p>
            <w:pPr>
              <w:keepNext w:val="0"/>
              <w:keepLines w:val="0"/>
              <w:suppressLineNumbers w:val="0"/>
              <w:spacing w:before="0" w:beforeAutospacing="0" w:after="0" w:afterAutospacing="0" w:line="300" w:lineRule="exact"/>
              <w:ind w:left="0" w:right="0"/>
              <w:jc w:val="center"/>
              <w:rPr>
                <w:rFonts w:hint="default"/>
                <w:b/>
                <w:kern w:val="2"/>
                <w:sz w:val="21"/>
                <w:szCs w:val="21"/>
              </w:rPr>
            </w:pPr>
            <w:r>
              <w:rPr>
                <w:rFonts w:hint="default"/>
                <w:b/>
                <w:kern w:val="2"/>
                <w:sz w:val="21"/>
                <w:szCs w:val="21"/>
              </w:rPr>
              <w:t>规范</w:t>
            </w:r>
          </w:p>
        </w:tc>
        <w:tc>
          <w:tcPr>
            <w:tcW w:w="705" w:type="dxa"/>
            <w:shd w:val="clear" w:color="auto" w:fill="auto"/>
            <w:noWrap w:val="0"/>
            <w:vAlign w:val="center"/>
          </w:tcPr>
          <w:p>
            <w:pPr>
              <w:keepNext w:val="0"/>
              <w:keepLines w:val="0"/>
              <w:suppressLineNumbers w:val="0"/>
              <w:spacing w:before="0" w:beforeAutospacing="0" w:after="0" w:afterAutospacing="0" w:line="300" w:lineRule="exact"/>
              <w:ind w:left="0" w:right="0"/>
              <w:jc w:val="center"/>
              <w:rPr>
                <w:rFonts w:hint="eastAsia"/>
                <w:kern w:val="2"/>
                <w:sz w:val="21"/>
                <w:szCs w:val="21"/>
                <w:lang w:eastAsia="zh-CN"/>
              </w:rPr>
            </w:pPr>
            <w:r>
              <w:rPr>
                <w:rFonts w:hint="eastAsia"/>
                <w:kern w:val="2"/>
                <w:sz w:val="21"/>
                <w:szCs w:val="21"/>
                <w:lang w:eastAsia="zh-CN"/>
              </w:rPr>
              <w:t>实</w:t>
            </w:r>
          </w:p>
          <w:p>
            <w:pPr>
              <w:keepNext w:val="0"/>
              <w:keepLines w:val="0"/>
              <w:suppressLineNumbers w:val="0"/>
              <w:spacing w:before="0" w:beforeAutospacing="0" w:after="0" w:afterAutospacing="0" w:line="300" w:lineRule="exact"/>
              <w:ind w:left="0" w:right="0"/>
              <w:jc w:val="center"/>
              <w:rPr>
                <w:rFonts w:hint="eastAsia" w:eastAsia="宋体"/>
                <w:kern w:val="2"/>
                <w:sz w:val="21"/>
                <w:szCs w:val="21"/>
                <w:lang w:eastAsia="zh-CN"/>
              </w:rPr>
            </w:pPr>
            <w:r>
              <w:rPr>
                <w:rFonts w:hint="eastAsia"/>
                <w:kern w:val="2"/>
                <w:sz w:val="21"/>
                <w:szCs w:val="21"/>
                <w:lang w:eastAsia="zh-CN"/>
              </w:rPr>
              <w:t>测</w:t>
            </w:r>
          </w:p>
        </w:tc>
        <w:tc>
          <w:tcPr>
            <w:tcW w:w="445" w:type="dxa"/>
            <w:shd w:val="clear" w:color="auto" w:fill="C0C0C0"/>
            <w:noWrap w:val="0"/>
            <w:vAlign w:val="center"/>
          </w:tcPr>
          <w:p>
            <w:pPr>
              <w:keepNext w:val="0"/>
              <w:keepLines w:val="0"/>
              <w:suppressLineNumbers w:val="0"/>
              <w:spacing w:before="0" w:beforeAutospacing="0" w:after="0" w:afterAutospacing="0" w:line="300" w:lineRule="exact"/>
              <w:ind w:left="0" w:right="0"/>
              <w:jc w:val="center"/>
              <w:rPr>
                <w:rFonts w:hint="default"/>
                <w:b/>
                <w:kern w:val="2"/>
                <w:sz w:val="21"/>
                <w:szCs w:val="21"/>
              </w:rPr>
            </w:pPr>
            <w:r>
              <w:rPr>
                <w:rFonts w:hint="default"/>
                <w:b/>
                <w:kern w:val="2"/>
                <w:sz w:val="21"/>
                <w:szCs w:val="21"/>
              </w:rPr>
              <w:t>规范</w:t>
            </w:r>
          </w:p>
        </w:tc>
        <w:tc>
          <w:tcPr>
            <w:tcW w:w="665" w:type="dxa"/>
            <w:shd w:val="clear" w:color="auto" w:fill="auto"/>
            <w:noWrap w:val="0"/>
            <w:vAlign w:val="center"/>
          </w:tcPr>
          <w:p>
            <w:pPr>
              <w:keepNext w:val="0"/>
              <w:keepLines w:val="0"/>
              <w:suppressLineNumbers w:val="0"/>
              <w:spacing w:before="0" w:beforeAutospacing="0" w:after="0" w:afterAutospacing="0" w:line="300" w:lineRule="exact"/>
              <w:ind w:left="0" w:right="0"/>
              <w:jc w:val="center"/>
              <w:rPr>
                <w:rFonts w:hint="eastAsia"/>
                <w:kern w:val="2"/>
                <w:sz w:val="21"/>
                <w:szCs w:val="21"/>
                <w:lang w:eastAsia="zh-CN"/>
              </w:rPr>
            </w:pPr>
            <w:r>
              <w:rPr>
                <w:rFonts w:hint="eastAsia"/>
                <w:kern w:val="2"/>
                <w:sz w:val="21"/>
                <w:szCs w:val="21"/>
                <w:lang w:eastAsia="zh-CN"/>
              </w:rPr>
              <w:t>实</w:t>
            </w:r>
          </w:p>
          <w:p>
            <w:pPr>
              <w:keepNext w:val="0"/>
              <w:keepLines w:val="0"/>
              <w:suppressLineNumbers w:val="0"/>
              <w:spacing w:before="0" w:beforeAutospacing="0" w:after="0" w:afterAutospacing="0" w:line="300" w:lineRule="exact"/>
              <w:ind w:left="0" w:right="0"/>
              <w:jc w:val="center"/>
              <w:rPr>
                <w:rFonts w:hint="eastAsia" w:eastAsia="宋体"/>
                <w:kern w:val="2"/>
                <w:sz w:val="21"/>
                <w:szCs w:val="21"/>
                <w:lang w:eastAsia="zh-CN"/>
              </w:rPr>
            </w:pPr>
            <w:r>
              <w:rPr>
                <w:rFonts w:hint="eastAsia"/>
                <w:kern w:val="2"/>
                <w:sz w:val="21"/>
                <w:szCs w:val="21"/>
                <w:lang w:eastAsia="zh-CN"/>
              </w:rPr>
              <w:t>测</w:t>
            </w:r>
          </w:p>
        </w:tc>
        <w:tc>
          <w:tcPr>
            <w:tcW w:w="585" w:type="dxa"/>
            <w:shd w:val="clear" w:color="auto" w:fill="C0C0C0"/>
            <w:noWrap w:val="0"/>
            <w:vAlign w:val="center"/>
          </w:tcPr>
          <w:p>
            <w:pPr>
              <w:keepNext w:val="0"/>
              <w:keepLines w:val="0"/>
              <w:suppressLineNumbers w:val="0"/>
              <w:spacing w:before="0" w:beforeAutospacing="0" w:after="0" w:afterAutospacing="0" w:line="300" w:lineRule="exact"/>
              <w:ind w:left="0" w:right="0"/>
              <w:jc w:val="center"/>
              <w:rPr>
                <w:rFonts w:hint="default"/>
                <w:b/>
                <w:kern w:val="2"/>
                <w:sz w:val="21"/>
                <w:szCs w:val="21"/>
              </w:rPr>
            </w:pPr>
            <w:r>
              <w:rPr>
                <w:rFonts w:hint="default"/>
                <w:b/>
                <w:kern w:val="2"/>
                <w:sz w:val="21"/>
                <w:szCs w:val="21"/>
              </w:rPr>
              <w:t>规范</w:t>
            </w:r>
          </w:p>
        </w:tc>
        <w:tc>
          <w:tcPr>
            <w:tcW w:w="645" w:type="dxa"/>
            <w:shd w:val="clear" w:color="auto" w:fill="auto"/>
            <w:noWrap w:val="0"/>
            <w:vAlign w:val="center"/>
          </w:tcPr>
          <w:p>
            <w:pPr>
              <w:keepNext w:val="0"/>
              <w:keepLines w:val="0"/>
              <w:suppressLineNumbers w:val="0"/>
              <w:spacing w:before="0" w:beforeAutospacing="0" w:after="0" w:afterAutospacing="0" w:line="300" w:lineRule="exact"/>
              <w:ind w:left="0" w:right="0"/>
              <w:jc w:val="center"/>
              <w:rPr>
                <w:rFonts w:hint="eastAsia"/>
                <w:kern w:val="2"/>
                <w:sz w:val="21"/>
                <w:szCs w:val="21"/>
                <w:lang w:eastAsia="zh-CN"/>
              </w:rPr>
            </w:pPr>
            <w:r>
              <w:rPr>
                <w:rFonts w:hint="eastAsia"/>
                <w:kern w:val="2"/>
                <w:sz w:val="21"/>
                <w:szCs w:val="21"/>
                <w:lang w:eastAsia="zh-CN"/>
              </w:rPr>
              <w:t>实</w:t>
            </w:r>
          </w:p>
          <w:p>
            <w:pPr>
              <w:keepNext w:val="0"/>
              <w:keepLines w:val="0"/>
              <w:suppressLineNumbers w:val="0"/>
              <w:spacing w:before="0" w:beforeAutospacing="0" w:after="0" w:afterAutospacing="0" w:line="300" w:lineRule="exact"/>
              <w:ind w:left="0" w:right="0"/>
              <w:jc w:val="center"/>
              <w:rPr>
                <w:rFonts w:hint="eastAsia" w:eastAsia="宋体"/>
                <w:kern w:val="2"/>
                <w:sz w:val="21"/>
                <w:szCs w:val="21"/>
                <w:lang w:eastAsia="zh-CN"/>
              </w:rPr>
            </w:pPr>
            <w:r>
              <w:rPr>
                <w:rFonts w:hint="eastAsia"/>
                <w:kern w:val="2"/>
                <w:sz w:val="21"/>
                <w:szCs w:val="21"/>
                <w:lang w:eastAsia="zh-CN"/>
              </w:rPr>
              <w:t>测</w:t>
            </w:r>
          </w:p>
        </w:tc>
        <w:tc>
          <w:tcPr>
            <w:tcW w:w="390" w:type="dxa"/>
            <w:shd w:val="clear" w:color="auto" w:fill="C0C0C0"/>
            <w:noWrap w:val="0"/>
            <w:vAlign w:val="center"/>
          </w:tcPr>
          <w:p>
            <w:pPr>
              <w:keepNext w:val="0"/>
              <w:keepLines w:val="0"/>
              <w:suppressLineNumbers w:val="0"/>
              <w:spacing w:before="0" w:beforeAutospacing="0" w:after="0" w:afterAutospacing="0" w:line="300" w:lineRule="exact"/>
              <w:ind w:left="0" w:right="0"/>
              <w:jc w:val="center"/>
              <w:rPr>
                <w:rFonts w:hint="default"/>
                <w:b/>
                <w:kern w:val="2"/>
                <w:sz w:val="21"/>
                <w:szCs w:val="21"/>
              </w:rPr>
            </w:pPr>
            <w:r>
              <w:rPr>
                <w:rFonts w:hint="default"/>
                <w:b/>
                <w:kern w:val="2"/>
                <w:sz w:val="21"/>
                <w:szCs w:val="21"/>
              </w:rPr>
              <w:t>规范</w:t>
            </w:r>
          </w:p>
        </w:tc>
        <w:tc>
          <w:tcPr>
            <w:tcW w:w="645" w:type="dxa"/>
            <w:shd w:val="clear" w:color="auto" w:fill="auto"/>
            <w:noWrap w:val="0"/>
            <w:vAlign w:val="center"/>
          </w:tcPr>
          <w:p>
            <w:pPr>
              <w:keepNext w:val="0"/>
              <w:keepLines w:val="0"/>
              <w:suppressLineNumbers w:val="0"/>
              <w:spacing w:before="0" w:beforeAutospacing="0" w:after="0" w:afterAutospacing="0" w:line="300" w:lineRule="exact"/>
              <w:ind w:left="0" w:right="0"/>
              <w:jc w:val="center"/>
              <w:rPr>
                <w:rFonts w:hint="eastAsia"/>
                <w:kern w:val="2"/>
                <w:sz w:val="21"/>
                <w:szCs w:val="21"/>
                <w:lang w:eastAsia="zh-CN"/>
              </w:rPr>
            </w:pPr>
            <w:r>
              <w:rPr>
                <w:rFonts w:hint="eastAsia"/>
                <w:kern w:val="2"/>
                <w:sz w:val="21"/>
                <w:szCs w:val="21"/>
                <w:lang w:eastAsia="zh-CN"/>
              </w:rPr>
              <w:t>实</w:t>
            </w:r>
          </w:p>
          <w:p>
            <w:pPr>
              <w:keepNext w:val="0"/>
              <w:keepLines w:val="0"/>
              <w:suppressLineNumbers w:val="0"/>
              <w:spacing w:before="0" w:beforeAutospacing="0" w:after="0" w:afterAutospacing="0" w:line="300" w:lineRule="exact"/>
              <w:ind w:left="0" w:right="0"/>
              <w:jc w:val="center"/>
              <w:rPr>
                <w:rFonts w:hint="eastAsia" w:eastAsia="宋体"/>
                <w:kern w:val="2"/>
                <w:sz w:val="21"/>
                <w:szCs w:val="21"/>
                <w:lang w:eastAsia="zh-CN"/>
              </w:rPr>
            </w:pPr>
            <w:r>
              <w:rPr>
                <w:rFonts w:hint="eastAsia"/>
                <w:kern w:val="2"/>
                <w:sz w:val="21"/>
                <w:szCs w:val="21"/>
                <w:lang w:eastAsia="zh-CN"/>
              </w:rPr>
              <w:t>测</w:t>
            </w:r>
          </w:p>
        </w:tc>
        <w:tc>
          <w:tcPr>
            <w:tcW w:w="525" w:type="dxa"/>
            <w:shd w:val="clear" w:color="auto" w:fill="C0C0C0"/>
            <w:noWrap w:val="0"/>
            <w:vAlign w:val="center"/>
          </w:tcPr>
          <w:p>
            <w:pPr>
              <w:keepNext w:val="0"/>
              <w:keepLines w:val="0"/>
              <w:suppressLineNumbers w:val="0"/>
              <w:spacing w:before="0" w:beforeAutospacing="0" w:after="0" w:afterAutospacing="0" w:line="300" w:lineRule="exact"/>
              <w:ind w:left="0" w:right="0"/>
              <w:jc w:val="center"/>
              <w:rPr>
                <w:rFonts w:hint="default"/>
                <w:b/>
                <w:kern w:val="2"/>
                <w:sz w:val="21"/>
                <w:szCs w:val="21"/>
              </w:rPr>
            </w:pPr>
            <w:r>
              <w:rPr>
                <w:rFonts w:hint="default"/>
                <w:b/>
                <w:kern w:val="2"/>
                <w:sz w:val="21"/>
                <w:szCs w:val="21"/>
              </w:rPr>
              <w:t>规范</w:t>
            </w:r>
          </w:p>
        </w:tc>
        <w:tc>
          <w:tcPr>
            <w:tcW w:w="645" w:type="dxa"/>
            <w:noWrap w:val="0"/>
            <w:vAlign w:val="center"/>
          </w:tcPr>
          <w:p>
            <w:pPr>
              <w:keepNext w:val="0"/>
              <w:keepLines w:val="0"/>
              <w:suppressLineNumbers w:val="0"/>
              <w:spacing w:before="0" w:beforeAutospacing="0" w:after="0" w:afterAutospacing="0" w:line="300" w:lineRule="exact"/>
              <w:ind w:left="0" w:right="0"/>
              <w:jc w:val="center"/>
              <w:rPr>
                <w:rFonts w:hint="eastAsia"/>
                <w:kern w:val="2"/>
                <w:sz w:val="21"/>
                <w:szCs w:val="21"/>
                <w:lang w:eastAsia="zh-CN"/>
              </w:rPr>
            </w:pPr>
            <w:r>
              <w:rPr>
                <w:rFonts w:hint="eastAsia"/>
                <w:kern w:val="2"/>
                <w:sz w:val="21"/>
                <w:szCs w:val="21"/>
                <w:lang w:eastAsia="zh-CN"/>
              </w:rPr>
              <w:t>实</w:t>
            </w:r>
          </w:p>
          <w:p>
            <w:pPr>
              <w:keepNext w:val="0"/>
              <w:keepLines w:val="0"/>
              <w:suppressLineNumbers w:val="0"/>
              <w:spacing w:before="0" w:beforeAutospacing="0" w:after="0" w:afterAutospacing="0" w:line="300" w:lineRule="exact"/>
              <w:ind w:left="0" w:right="0"/>
              <w:jc w:val="center"/>
              <w:rPr>
                <w:rFonts w:hint="eastAsia" w:eastAsia="宋体"/>
                <w:kern w:val="2"/>
                <w:sz w:val="21"/>
                <w:szCs w:val="21"/>
                <w:lang w:eastAsia="zh-CN"/>
              </w:rPr>
            </w:pPr>
            <w:r>
              <w:rPr>
                <w:rFonts w:hint="eastAsia"/>
                <w:kern w:val="2"/>
                <w:sz w:val="21"/>
                <w:szCs w:val="21"/>
                <w:lang w:eastAsia="zh-CN"/>
              </w:rPr>
              <w:t>测</w:t>
            </w:r>
          </w:p>
        </w:tc>
        <w:tc>
          <w:tcPr>
            <w:tcW w:w="615" w:type="dxa"/>
            <w:shd w:val="clear" w:color="auto" w:fill="E6E0EC" w:themeFill="accent4" w:themeFillTint="32"/>
            <w:noWrap w:val="0"/>
            <w:vAlign w:val="center"/>
          </w:tcPr>
          <w:p>
            <w:pPr>
              <w:keepNext w:val="0"/>
              <w:keepLines w:val="0"/>
              <w:suppressLineNumbers w:val="0"/>
              <w:spacing w:before="0" w:beforeAutospacing="0" w:after="0" w:afterAutospacing="0" w:line="300" w:lineRule="exact"/>
              <w:ind w:left="0" w:right="0"/>
              <w:jc w:val="center"/>
              <w:rPr>
                <w:rFonts w:hint="eastAsia"/>
                <w:b/>
                <w:bCs/>
                <w:kern w:val="2"/>
                <w:sz w:val="21"/>
                <w:szCs w:val="21"/>
                <w:highlight w:val="none"/>
              </w:rPr>
            </w:pPr>
            <w:r>
              <w:rPr>
                <w:rFonts w:hint="eastAsia"/>
                <w:b/>
                <w:bCs/>
                <w:kern w:val="2"/>
                <w:sz w:val="21"/>
                <w:szCs w:val="21"/>
                <w:highlight w:val="none"/>
              </w:rPr>
              <w:t>规</w:t>
            </w:r>
          </w:p>
          <w:p>
            <w:pPr>
              <w:keepNext w:val="0"/>
              <w:keepLines w:val="0"/>
              <w:suppressLineNumbers w:val="0"/>
              <w:spacing w:before="0" w:beforeAutospacing="0" w:after="0" w:afterAutospacing="0" w:line="300" w:lineRule="exact"/>
              <w:ind w:left="0" w:right="0"/>
              <w:jc w:val="center"/>
              <w:rPr>
                <w:rFonts w:hint="eastAsia"/>
                <w:b/>
                <w:bCs/>
                <w:kern w:val="2"/>
                <w:sz w:val="21"/>
                <w:szCs w:val="21"/>
                <w:highlight w:val="none"/>
                <w:lang w:val="zh-CN" w:eastAsia="zh-CN"/>
              </w:rPr>
            </w:pPr>
            <w:r>
              <w:rPr>
                <w:rFonts w:hint="eastAsia"/>
                <w:b/>
                <w:bCs/>
                <w:kern w:val="2"/>
                <w:sz w:val="21"/>
                <w:szCs w:val="21"/>
                <w:highlight w:val="none"/>
              </w:rPr>
              <w:t>范</w:t>
            </w:r>
          </w:p>
        </w:tc>
        <w:tc>
          <w:tcPr>
            <w:tcW w:w="820" w:type="dxa"/>
            <w:noWrap w:val="0"/>
            <w:vAlign w:val="center"/>
          </w:tcPr>
          <w:p>
            <w:pPr>
              <w:keepNext w:val="0"/>
              <w:keepLines w:val="0"/>
              <w:suppressLineNumbers w:val="0"/>
              <w:spacing w:before="0" w:beforeAutospacing="0" w:after="0" w:afterAutospacing="0" w:line="300" w:lineRule="exact"/>
              <w:ind w:left="0" w:leftChars="0" w:right="0" w:rightChars="0"/>
              <w:jc w:val="center"/>
              <w:rPr>
                <w:rFonts w:hint="eastAsia"/>
                <w:kern w:val="2"/>
                <w:sz w:val="21"/>
                <w:szCs w:val="21"/>
                <w:lang w:eastAsia="zh-CN"/>
              </w:rPr>
            </w:pPr>
            <w:r>
              <w:rPr>
                <w:rFonts w:hint="eastAsia"/>
                <w:kern w:val="2"/>
                <w:sz w:val="21"/>
                <w:szCs w:val="21"/>
                <w:lang w:eastAsia="zh-CN"/>
              </w:rPr>
              <w:t>实</w:t>
            </w:r>
          </w:p>
          <w:p>
            <w:pPr>
              <w:keepNext w:val="0"/>
              <w:keepLines w:val="0"/>
              <w:suppressLineNumbers w:val="0"/>
              <w:spacing w:before="0" w:beforeAutospacing="0" w:after="0" w:afterAutospacing="0" w:line="300" w:lineRule="exact"/>
              <w:ind w:left="0" w:leftChars="0" w:right="0" w:rightChars="0"/>
              <w:jc w:val="center"/>
              <w:rPr>
                <w:rFonts w:hint="eastAsia" w:ascii="宋体" w:hAnsi="宋体" w:eastAsia="宋体" w:cs="宋体"/>
                <w:kern w:val="2"/>
                <w:sz w:val="21"/>
                <w:szCs w:val="21"/>
                <w:lang w:val="zh-CN" w:eastAsia="zh-CN" w:bidi="zh-CN"/>
              </w:rPr>
            </w:pPr>
            <w:r>
              <w:rPr>
                <w:rFonts w:hint="eastAsia"/>
                <w:kern w:val="2"/>
                <w:sz w:val="21"/>
                <w:szCs w:val="21"/>
                <w:lang w:eastAsia="zh-CN"/>
              </w:rPr>
              <w:t>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78" w:type="dxa"/>
            <w:shd w:val="clear" w:color="auto" w:fill="auto"/>
            <w:noWrap w:val="0"/>
            <w:vAlign w:val="center"/>
          </w:tcPr>
          <w:p>
            <w:pPr>
              <w:keepNext w:val="0"/>
              <w:keepLines w:val="0"/>
              <w:suppressLineNumbers w:val="0"/>
              <w:spacing w:before="0" w:beforeAutospacing="0" w:after="0" w:afterAutospacing="0" w:line="300" w:lineRule="exact"/>
              <w:ind w:left="0" w:right="0"/>
              <w:jc w:val="center"/>
              <w:rPr>
                <w:rFonts w:hint="default"/>
                <w:b w:val="0"/>
                <w:bCs w:val="0"/>
                <w:kern w:val="2"/>
                <w:sz w:val="21"/>
                <w:szCs w:val="21"/>
              </w:rPr>
            </w:pPr>
            <w:r>
              <w:rPr>
                <w:rFonts w:hint="default"/>
                <w:b w:val="0"/>
                <w:bCs w:val="0"/>
                <w:kern w:val="2"/>
                <w:sz w:val="21"/>
                <w:szCs w:val="21"/>
              </w:rPr>
              <w:t>汽油罐</w:t>
            </w:r>
          </w:p>
        </w:tc>
        <w:tc>
          <w:tcPr>
            <w:tcW w:w="555" w:type="dxa"/>
            <w:shd w:val="clear" w:color="auto" w:fill="B3B3B3"/>
            <w:noWrap w:val="0"/>
            <w:vAlign w:val="center"/>
          </w:tcPr>
          <w:p>
            <w:pPr>
              <w:keepNext w:val="0"/>
              <w:keepLines w:val="0"/>
              <w:suppressLineNumbers w:val="0"/>
              <w:spacing w:before="0" w:beforeAutospacing="0" w:after="0" w:afterAutospacing="0" w:line="300" w:lineRule="exact"/>
              <w:ind w:left="0" w:right="0"/>
              <w:jc w:val="center"/>
              <w:rPr>
                <w:rFonts w:hint="default"/>
                <w:b/>
                <w:bCs/>
                <w:kern w:val="2"/>
                <w:sz w:val="21"/>
                <w:szCs w:val="21"/>
              </w:rPr>
            </w:pPr>
            <w:r>
              <w:rPr>
                <w:rFonts w:hint="default"/>
                <w:b/>
                <w:bCs/>
                <w:kern w:val="2"/>
                <w:sz w:val="21"/>
                <w:szCs w:val="21"/>
              </w:rPr>
              <w:t>0.5</w:t>
            </w:r>
          </w:p>
        </w:tc>
        <w:tc>
          <w:tcPr>
            <w:tcW w:w="645" w:type="dxa"/>
            <w:shd w:val="clear" w:color="auto" w:fill="auto"/>
            <w:noWrap w:val="0"/>
            <w:vAlign w:val="center"/>
          </w:tcPr>
          <w:p>
            <w:pPr>
              <w:keepNext w:val="0"/>
              <w:keepLines w:val="0"/>
              <w:suppressLineNumbers w:val="0"/>
              <w:spacing w:before="0" w:beforeAutospacing="0" w:after="0" w:afterAutospacing="0" w:line="300" w:lineRule="exact"/>
              <w:ind w:left="0" w:right="0"/>
              <w:jc w:val="center"/>
              <w:rPr>
                <w:rFonts w:hint="default"/>
                <w:kern w:val="2"/>
                <w:sz w:val="21"/>
                <w:szCs w:val="21"/>
              </w:rPr>
            </w:pPr>
            <w:r>
              <w:rPr>
                <w:rFonts w:hint="default"/>
                <w:kern w:val="2"/>
                <w:sz w:val="21"/>
                <w:szCs w:val="21"/>
              </w:rPr>
              <w:t>0</w:t>
            </w:r>
            <w:r>
              <w:rPr>
                <w:rFonts w:hint="eastAsia"/>
                <w:kern w:val="2"/>
                <w:sz w:val="21"/>
                <w:szCs w:val="21"/>
              </w:rPr>
              <w:t>.6</w:t>
            </w:r>
          </w:p>
        </w:tc>
        <w:tc>
          <w:tcPr>
            <w:tcW w:w="585" w:type="dxa"/>
            <w:shd w:val="clear" w:color="auto" w:fill="B3B3B3"/>
            <w:noWrap w:val="0"/>
            <w:vAlign w:val="center"/>
          </w:tcPr>
          <w:p>
            <w:pPr>
              <w:keepNext w:val="0"/>
              <w:keepLines w:val="0"/>
              <w:suppressLineNumbers w:val="0"/>
              <w:spacing w:before="0" w:beforeAutospacing="0" w:after="0" w:afterAutospacing="0" w:line="300" w:lineRule="exact"/>
              <w:ind w:left="0" w:right="0"/>
              <w:jc w:val="center"/>
              <w:rPr>
                <w:rFonts w:hint="default"/>
                <w:b/>
                <w:bCs/>
                <w:kern w:val="2"/>
                <w:sz w:val="21"/>
                <w:szCs w:val="21"/>
              </w:rPr>
            </w:pPr>
            <w:r>
              <w:rPr>
                <w:rFonts w:hint="default"/>
                <w:b/>
                <w:bCs/>
                <w:kern w:val="2"/>
                <w:sz w:val="21"/>
                <w:szCs w:val="21"/>
              </w:rPr>
              <w:t>0.5</w:t>
            </w:r>
          </w:p>
        </w:tc>
        <w:tc>
          <w:tcPr>
            <w:tcW w:w="645" w:type="dxa"/>
            <w:shd w:val="clear" w:color="auto" w:fill="auto"/>
            <w:noWrap w:val="0"/>
            <w:vAlign w:val="center"/>
          </w:tcPr>
          <w:p>
            <w:pPr>
              <w:keepNext w:val="0"/>
              <w:keepLines w:val="0"/>
              <w:suppressLineNumbers w:val="0"/>
              <w:spacing w:before="0" w:beforeAutospacing="0" w:after="0" w:afterAutospacing="0" w:line="300" w:lineRule="exact"/>
              <w:ind w:left="0" w:right="0"/>
              <w:jc w:val="center"/>
              <w:rPr>
                <w:rFonts w:hint="default"/>
                <w:kern w:val="2"/>
                <w:sz w:val="21"/>
                <w:szCs w:val="21"/>
              </w:rPr>
            </w:pPr>
            <w:r>
              <w:rPr>
                <w:rFonts w:hint="default"/>
                <w:kern w:val="2"/>
                <w:sz w:val="21"/>
                <w:szCs w:val="21"/>
              </w:rPr>
              <w:t>0</w:t>
            </w:r>
            <w:r>
              <w:rPr>
                <w:rFonts w:hint="eastAsia"/>
                <w:kern w:val="2"/>
                <w:sz w:val="21"/>
                <w:szCs w:val="21"/>
              </w:rPr>
              <w:t>.6</w:t>
            </w:r>
          </w:p>
        </w:tc>
        <w:tc>
          <w:tcPr>
            <w:tcW w:w="480" w:type="dxa"/>
            <w:shd w:val="clear" w:color="auto" w:fill="B3B3B3"/>
            <w:noWrap w:val="0"/>
            <w:vAlign w:val="center"/>
          </w:tcPr>
          <w:p>
            <w:pPr>
              <w:keepNext w:val="0"/>
              <w:keepLines w:val="0"/>
              <w:suppressLineNumbers w:val="0"/>
              <w:spacing w:before="0" w:beforeAutospacing="0" w:after="0" w:afterAutospacing="0" w:line="300" w:lineRule="exact"/>
              <w:ind w:left="0" w:right="0"/>
              <w:jc w:val="center"/>
              <w:rPr>
                <w:rFonts w:hint="default"/>
                <w:b/>
                <w:bCs/>
                <w:kern w:val="2"/>
                <w:sz w:val="21"/>
                <w:szCs w:val="21"/>
              </w:rPr>
            </w:pPr>
            <w:r>
              <w:rPr>
                <w:rFonts w:hint="default"/>
                <w:b/>
                <w:bCs/>
                <w:kern w:val="2"/>
                <w:sz w:val="21"/>
                <w:szCs w:val="21"/>
              </w:rPr>
              <w:t>—</w:t>
            </w:r>
          </w:p>
        </w:tc>
        <w:tc>
          <w:tcPr>
            <w:tcW w:w="705" w:type="dxa"/>
            <w:shd w:val="clear" w:color="auto" w:fill="auto"/>
            <w:noWrap w:val="0"/>
            <w:vAlign w:val="center"/>
          </w:tcPr>
          <w:p>
            <w:pPr>
              <w:keepNext w:val="0"/>
              <w:keepLines w:val="0"/>
              <w:suppressLineNumbers w:val="0"/>
              <w:spacing w:before="0" w:beforeAutospacing="0" w:after="0" w:afterAutospacing="0" w:line="300" w:lineRule="exact"/>
              <w:ind w:left="0" w:right="0"/>
              <w:jc w:val="center"/>
              <w:rPr>
                <w:rFonts w:hint="default"/>
                <w:kern w:val="2"/>
                <w:sz w:val="21"/>
                <w:szCs w:val="21"/>
              </w:rPr>
            </w:pPr>
            <w:r>
              <w:rPr>
                <w:rFonts w:hint="default"/>
                <w:kern w:val="2"/>
                <w:sz w:val="21"/>
                <w:szCs w:val="21"/>
              </w:rPr>
              <w:t>—</w:t>
            </w:r>
          </w:p>
        </w:tc>
        <w:tc>
          <w:tcPr>
            <w:tcW w:w="445" w:type="dxa"/>
            <w:shd w:val="clear" w:color="auto" w:fill="C0C0C0"/>
            <w:noWrap w:val="0"/>
            <w:vAlign w:val="center"/>
          </w:tcPr>
          <w:p>
            <w:pPr>
              <w:keepNext w:val="0"/>
              <w:keepLines w:val="0"/>
              <w:suppressLineNumbers w:val="0"/>
              <w:spacing w:before="0" w:beforeAutospacing="0" w:after="0" w:afterAutospacing="0" w:line="300" w:lineRule="exact"/>
              <w:ind w:left="0" w:right="0"/>
              <w:jc w:val="center"/>
              <w:rPr>
                <w:rFonts w:hint="default"/>
                <w:b/>
                <w:bCs/>
                <w:kern w:val="2"/>
                <w:sz w:val="21"/>
                <w:szCs w:val="21"/>
              </w:rPr>
            </w:pPr>
            <w:r>
              <w:rPr>
                <w:rFonts w:hint="default"/>
                <w:b/>
                <w:bCs/>
                <w:kern w:val="2"/>
                <w:sz w:val="21"/>
                <w:szCs w:val="21"/>
              </w:rPr>
              <w:t>—</w:t>
            </w:r>
          </w:p>
        </w:tc>
        <w:tc>
          <w:tcPr>
            <w:tcW w:w="665" w:type="dxa"/>
            <w:shd w:val="clear" w:color="auto" w:fill="auto"/>
            <w:noWrap w:val="0"/>
            <w:vAlign w:val="center"/>
          </w:tcPr>
          <w:p>
            <w:pPr>
              <w:keepNext w:val="0"/>
              <w:keepLines w:val="0"/>
              <w:suppressLineNumbers w:val="0"/>
              <w:spacing w:before="0" w:beforeAutospacing="0" w:after="0" w:afterAutospacing="0" w:line="300" w:lineRule="exact"/>
              <w:ind w:left="0" w:right="0"/>
              <w:jc w:val="center"/>
              <w:rPr>
                <w:rFonts w:hint="default"/>
                <w:kern w:val="2"/>
                <w:sz w:val="21"/>
                <w:szCs w:val="21"/>
              </w:rPr>
            </w:pPr>
            <w:r>
              <w:rPr>
                <w:rFonts w:hint="default"/>
                <w:kern w:val="2"/>
                <w:sz w:val="21"/>
                <w:szCs w:val="21"/>
              </w:rPr>
              <w:t>—</w:t>
            </w:r>
          </w:p>
        </w:tc>
        <w:tc>
          <w:tcPr>
            <w:tcW w:w="585" w:type="dxa"/>
            <w:shd w:val="clear" w:color="auto" w:fill="C0C0C0"/>
            <w:noWrap w:val="0"/>
            <w:vAlign w:val="center"/>
          </w:tcPr>
          <w:p>
            <w:pPr>
              <w:keepNext w:val="0"/>
              <w:keepLines w:val="0"/>
              <w:suppressLineNumbers w:val="0"/>
              <w:spacing w:before="0" w:beforeAutospacing="0" w:after="0" w:afterAutospacing="0" w:line="300" w:lineRule="exact"/>
              <w:ind w:left="0" w:right="0"/>
              <w:jc w:val="center"/>
              <w:rPr>
                <w:rFonts w:hint="default"/>
                <w:b/>
                <w:bCs/>
                <w:kern w:val="2"/>
                <w:sz w:val="21"/>
                <w:szCs w:val="21"/>
              </w:rPr>
            </w:pPr>
            <w:r>
              <w:rPr>
                <w:rFonts w:hint="default"/>
                <w:b/>
                <w:bCs/>
                <w:kern w:val="2"/>
                <w:sz w:val="21"/>
                <w:szCs w:val="21"/>
              </w:rPr>
              <w:t>—</w:t>
            </w:r>
          </w:p>
        </w:tc>
        <w:tc>
          <w:tcPr>
            <w:tcW w:w="645" w:type="dxa"/>
            <w:shd w:val="clear" w:color="auto" w:fill="auto"/>
            <w:noWrap w:val="0"/>
            <w:vAlign w:val="center"/>
          </w:tcPr>
          <w:p>
            <w:pPr>
              <w:keepNext w:val="0"/>
              <w:keepLines w:val="0"/>
              <w:suppressLineNumbers w:val="0"/>
              <w:spacing w:before="0" w:beforeAutospacing="0" w:after="0" w:afterAutospacing="0" w:line="300" w:lineRule="exact"/>
              <w:ind w:left="0" w:right="0"/>
              <w:jc w:val="center"/>
              <w:rPr>
                <w:rFonts w:hint="default"/>
                <w:kern w:val="2"/>
                <w:sz w:val="21"/>
                <w:szCs w:val="21"/>
              </w:rPr>
            </w:pPr>
            <w:r>
              <w:rPr>
                <w:rFonts w:hint="default"/>
                <w:kern w:val="2"/>
                <w:sz w:val="21"/>
                <w:szCs w:val="21"/>
              </w:rPr>
              <w:t>—</w:t>
            </w:r>
          </w:p>
        </w:tc>
        <w:tc>
          <w:tcPr>
            <w:tcW w:w="390" w:type="dxa"/>
            <w:shd w:val="clear" w:color="auto" w:fill="C0C0C0"/>
            <w:noWrap w:val="0"/>
            <w:vAlign w:val="center"/>
          </w:tcPr>
          <w:p>
            <w:pPr>
              <w:keepNext w:val="0"/>
              <w:keepLines w:val="0"/>
              <w:suppressLineNumbers w:val="0"/>
              <w:spacing w:before="0" w:beforeAutospacing="0" w:after="0" w:afterAutospacing="0" w:line="300" w:lineRule="exact"/>
              <w:ind w:left="0" w:right="0"/>
              <w:jc w:val="center"/>
              <w:rPr>
                <w:rFonts w:hint="default"/>
                <w:b/>
                <w:bCs/>
                <w:kern w:val="2"/>
                <w:sz w:val="21"/>
                <w:szCs w:val="21"/>
              </w:rPr>
            </w:pPr>
            <w:r>
              <w:rPr>
                <w:rFonts w:hint="default"/>
                <w:b/>
                <w:bCs/>
                <w:kern w:val="2"/>
                <w:sz w:val="21"/>
                <w:szCs w:val="21"/>
              </w:rPr>
              <w:t>—</w:t>
            </w:r>
          </w:p>
        </w:tc>
        <w:tc>
          <w:tcPr>
            <w:tcW w:w="645" w:type="dxa"/>
            <w:shd w:val="clear" w:color="auto" w:fill="auto"/>
            <w:noWrap w:val="0"/>
            <w:vAlign w:val="center"/>
          </w:tcPr>
          <w:p>
            <w:pPr>
              <w:keepNext w:val="0"/>
              <w:keepLines w:val="0"/>
              <w:suppressLineNumbers w:val="0"/>
              <w:spacing w:before="0" w:beforeAutospacing="0" w:after="0" w:afterAutospacing="0" w:line="300" w:lineRule="exact"/>
              <w:ind w:left="0" w:right="0"/>
              <w:jc w:val="center"/>
              <w:rPr>
                <w:rFonts w:hint="default"/>
                <w:kern w:val="2"/>
                <w:sz w:val="21"/>
                <w:szCs w:val="21"/>
              </w:rPr>
            </w:pPr>
            <w:r>
              <w:rPr>
                <w:rFonts w:hint="default"/>
                <w:kern w:val="2"/>
                <w:sz w:val="21"/>
                <w:szCs w:val="21"/>
              </w:rPr>
              <w:t>—</w:t>
            </w:r>
          </w:p>
        </w:tc>
        <w:tc>
          <w:tcPr>
            <w:tcW w:w="525" w:type="dxa"/>
            <w:shd w:val="clear" w:color="auto" w:fill="C0C0C0"/>
            <w:noWrap w:val="0"/>
            <w:vAlign w:val="center"/>
          </w:tcPr>
          <w:p>
            <w:pPr>
              <w:keepNext w:val="0"/>
              <w:keepLines w:val="0"/>
              <w:suppressLineNumbers w:val="0"/>
              <w:spacing w:before="0" w:beforeAutospacing="0" w:after="0" w:afterAutospacing="0" w:line="300" w:lineRule="exact"/>
              <w:ind w:left="0" w:right="0"/>
              <w:jc w:val="center"/>
              <w:rPr>
                <w:rFonts w:hint="default"/>
                <w:b/>
                <w:bCs/>
                <w:kern w:val="2"/>
                <w:sz w:val="21"/>
                <w:szCs w:val="21"/>
              </w:rPr>
            </w:pPr>
            <w:r>
              <w:rPr>
                <w:rFonts w:hint="default"/>
                <w:b/>
                <w:bCs/>
                <w:kern w:val="2"/>
                <w:sz w:val="21"/>
                <w:szCs w:val="21"/>
              </w:rPr>
              <w:t>4</w:t>
            </w:r>
          </w:p>
        </w:tc>
        <w:tc>
          <w:tcPr>
            <w:tcW w:w="645" w:type="dxa"/>
            <w:noWrap w:val="0"/>
            <w:vAlign w:val="center"/>
          </w:tcPr>
          <w:p>
            <w:pPr>
              <w:keepNext w:val="0"/>
              <w:keepLines w:val="0"/>
              <w:suppressLineNumbers w:val="0"/>
              <w:spacing w:before="0" w:beforeAutospacing="0" w:after="0" w:afterAutospacing="0" w:line="300" w:lineRule="exact"/>
              <w:ind w:left="0" w:right="0"/>
              <w:jc w:val="center"/>
              <w:rPr>
                <w:rFonts w:hint="default"/>
                <w:kern w:val="2"/>
                <w:sz w:val="21"/>
                <w:szCs w:val="21"/>
              </w:rPr>
            </w:pPr>
            <w:r>
              <w:rPr>
                <w:rFonts w:hint="eastAsia"/>
                <w:kern w:val="2"/>
                <w:sz w:val="21"/>
                <w:szCs w:val="21"/>
              </w:rPr>
              <w:t>23.6</w:t>
            </w:r>
          </w:p>
        </w:tc>
        <w:tc>
          <w:tcPr>
            <w:tcW w:w="615" w:type="dxa"/>
            <w:shd w:val="clear" w:color="auto" w:fill="E6E0EC" w:themeFill="accent4" w:themeFillTint="32"/>
            <w:noWrap w:val="0"/>
            <w:vAlign w:val="center"/>
          </w:tcPr>
          <w:p>
            <w:pPr>
              <w:keepNext w:val="0"/>
              <w:keepLines w:val="0"/>
              <w:suppressLineNumbers w:val="0"/>
              <w:spacing w:before="0" w:beforeAutospacing="0" w:after="0" w:afterAutospacing="0" w:line="300" w:lineRule="exact"/>
              <w:ind w:left="0" w:right="0"/>
              <w:jc w:val="center"/>
              <w:rPr>
                <w:rFonts w:hint="default"/>
                <w:b/>
                <w:bCs/>
                <w:kern w:val="2"/>
                <w:sz w:val="21"/>
                <w:szCs w:val="21"/>
                <w:highlight w:val="none"/>
                <w:lang w:val="en-US" w:eastAsia="zh-CN"/>
              </w:rPr>
            </w:pPr>
            <w:r>
              <w:rPr>
                <w:rFonts w:hint="eastAsia"/>
                <w:b/>
                <w:bCs/>
                <w:kern w:val="2"/>
                <w:sz w:val="21"/>
                <w:szCs w:val="21"/>
                <w:highlight w:val="none"/>
                <w:lang w:val="en-US" w:eastAsia="zh-CN"/>
              </w:rPr>
              <w:t>8.5</w:t>
            </w:r>
          </w:p>
        </w:tc>
        <w:tc>
          <w:tcPr>
            <w:tcW w:w="820" w:type="dxa"/>
            <w:noWrap w:val="0"/>
            <w:vAlign w:val="center"/>
          </w:tcPr>
          <w:p>
            <w:pPr>
              <w:keepNext w:val="0"/>
              <w:keepLines w:val="0"/>
              <w:suppressLineNumbers w:val="0"/>
              <w:spacing w:before="0" w:beforeAutospacing="0" w:after="0" w:afterAutospacing="0" w:line="300" w:lineRule="exact"/>
              <w:ind w:left="0" w:right="0"/>
              <w:jc w:val="center"/>
              <w:rPr>
                <w:rFonts w:hint="default" w:eastAsia="宋体"/>
                <w:kern w:val="2"/>
                <w:sz w:val="21"/>
                <w:szCs w:val="21"/>
                <w:lang w:val="en-US" w:eastAsia="zh-CN"/>
              </w:rPr>
            </w:pPr>
            <w:r>
              <w:rPr>
                <w:rFonts w:hint="eastAsia"/>
                <w:kern w:val="2"/>
                <w:sz w:val="21"/>
                <w:szCs w:val="21"/>
              </w:rPr>
              <w:t>22.</w:t>
            </w:r>
            <w:r>
              <w:rPr>
                <w:rFonts w:hint="eastAsia"/>
                <w:kern w:val="2"/>
                <w:sz w:val="21"/>
                <w:szCs w:val="21"/>
                <w:lang w:val="en-US" w:eastAsia="zh-CN"/>
              </w:rPr>
              <w:t>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jc w:val="center"/>
        </w:trPr>
        <w:tc>
          <w:tcPr>
            <w:tcW w:w="878" w:type="dxa"/>
            <w:shd w:val="clear" w:color="auto" w:fill="auto"/>
            <w:noWrap w:val="0"/>
            <w:vAlign w:val="center"/>
          </w:tcPr>
          <w:p>
            <w:pPr>
              <w:keepNext w:val="0"/>
              <w:keepLines w:val="0"/>
              <w:suppressLineNumbers w:val="0"/>
              <w:spacing w:before="0" w:beforeAutospacing="0" w:after="0" w:afterAutospacing="0" w:line="300" w:lineRule="exact"/>
              <w:ind w:left="0" w:right="0"/>
              <w:jc w:val="center"/>
              <w:rPr>
                <w:rFonts w:hint="default"/>
                <w:b w:val="0"/>
                <w:bCs w:val="0"/>
                <w:kern w:val="2"/>
                <w:sz w:val="21"/>
                <w:szCs w:val="21"/>
              </w:rPr>
            </w:pPr>
            <w:r>
              <w:rPr>
                <w:rFonts w:hint="default"/>
                <w:b w:val="0"/>
                <w:bCs w:val="0"/>
                <w:kern w:val="2"/>
                <w:sz w:val="21"/>
                <w:szCs w:val="21"/>
              </w:rPr>
              <w:t>柴油罐</w:t>
            </w:r>
          </w:p>
        </w:tc>
        <w:tc>
          <w:tcPr>
            <w:tcW w:w="555" w:type="dxa"/>
            <w:shd w:val="clear" w:color="auto" w:fill="B3B3B3"/>
            <w:noWrap w:val="0"/>
            <w:vAlign w:val="center"/>
          </w:tcPr>
          <w:p>
            <w:pPr>
              <w:keepNext w:val="0"/>
              <w:keepLines w:val="0"/>
              <w:suppressLineNumbers w:val="0"/>
              <w:spacing w:before="0" w:beforeAutospacing="0" w:after="0" w:afterAutospacing="0" w:line="300" w:lineRule="exact"/>
              <w:ind w:left="0" w:right="0"/>
              <w:jc w:val="center"/>
              <w:rPr>
                <w:rFonts w:hint="default"/>
                <w:b/>
                <w:bCs/>
                <w:kern w:val="2"/>
                <w:sz w:val="21"/>
                <w:szCs w:val="21"/>
              </w:rPr>
            </w:pPr>
            <w:r>
              <w:rPr>
                <w:rFonts w:hint="default"/>
                <w:b/>
                <w:bCs/>
                <w:kern w:val="2"/>
                <w:sz w:val="21"/>
                <w:szCs w:val="21"/>
              </w:rPr>
              <w:t>0.5</w:t>
            </w:r>
          </w:p>
        </w:tc>
        <w:tc>
          <w:tcPr>
            <w:tcW w:w="645" w:type="dxa"/>
            <w:shd w:val="clear" w:color="auto" w:fill="auto"/>
            <w:noWrap w:val="0"/>
            <w:vAlign w:val="center"/>
          </w:tcPr>
          <w:p>
            <w:pPr>
              <w:keepNext w:val="0"/>
              <w:keepLines w:val="0"/>
              <w:suppressLineNumbers w:val="0"/>
              <w:spacing w:before="0" w:beforeAutospacing="0" w:after="0" w:afterAutospacing="0" w:line="300" w:lineRule="exact"/>
              <w:ind w:left="0" w:right="0"/>
              <w:jc w:val="center"/>
              <w:rPr>
                <w:rFonts w:hint="default"/>
                <w:kern w:val="2"/>
                <w:sz w:val="21"/>
                <w:szCs w:val="21"/>
              </w:rPr>
            </w:pPr>
            <w:r>
              <w:rPr>
                <w:rFonts w:hint="default"/>
                <w:kern w:val="2"/>
                <w:sz w:val="21"/>
                <w:szCs w:val="21"/>
              </w:rPr>
              <w:t>0</w:t>
            </w:r>
            <w:r>
              <w:rPr>
                <w:rFonts w:hint="eastAsia"/>
                <w:kern w:val="2"/>
                <w:sz w:val="21"/>
                <w:szCs w:val="21"/>
              </w:rPr>
              <w:t>.6</w:t>
            </w:r>
          </w:p>
        </w:tc>
        <w:tc>
          <w:tcPr>
            <w:tcW w:w="585" w:type="dxa"/>
            <w:shd w:val="clear" w:color="auto" w:fill="B3B3B3"/>
            <w:noWrap w:val="0"/>
            <w:vAlign w:val="center"/>
          </w:tcPr>
          <w:p>
            <w:pPr>
              <w:keepNext w:val="0"/>
              <w:keepLines w:val="0"/>
              <w:suppressLineNumbers w:val="0"/>
              <w:spacing w:before="0" w:beforeAutospacing="0" w:after="0" w:afterAutospacing="0" w:line="300" w:lineRule="exact"/>
              <w:ind w:left="0" w:right="0"/>
              <w:jc w:val="center"/>
              <w:rPr>
                <w:rFonts w:hint="default"/>
                <w:b/>
                <w:bCs/>
                <w:kern w:val="2"/>
                <w:sz w:val="21"/>
                <w:szCs w:val="21"/>
              </w:rPr>
            </w:pPr>
            <w:r>
              <w:rPr>
                <w:rFonts w:hint="default"/>
                <w:b/>
                <w:bCs/>
                <w:kern w:val="2"/>
                <w:sz w:val="21"/>
                <w:szCs w:val="21"/>
              </w:rPr>
              <w:t>0.5</w:t>
            </w:r>
          </w:p>
        </w:tc>
        <w:tc>
          <w:tcPr>
            <w:tcW w:w="645" w:type="dxa"/>
            <w:shd w:val="clear" w:color="auto" w:fill="auto"/>
            <w:noWrap w:val="0"/>
            <w:vAlign w:val="center"/>
          </w:tcPr>
          <w:p>
            <w:pPr>
              <w:keepNext w:val="0"/>
              <w:keepLines w:val="0"/>
              <w:suppressLineNumbers w:val="0"/>
              <w:spacing w:before="0" w:beforeAutospacing="0" w:after="0" w:afterAutospacing="0" w:line="300" w:lineRule="exact"/>
              <w:ind w:left="0" w:right="0"/>
              <w:jc w:val="center"/>
              <w:rPr>
                <w:rFonts w:hint="default"/>
                <w:kern w:val="2"/>
                <w:sz w:val="21"/>
                <w:szCs w:val="21"/>
              </w:rPr>
            </w:pPr>
            <w:r>
              <w:rPr>
                <w:rFonts w:hint="default"/>
                <w:kern w:val="2"/>
                <w:sz w:val="21"/>
                <w:szCs w:val="21"/>
              </w:rPr>
              <w:t>—</w:t>
            </w:r>
          </w:p>
        </w:tc>
        <w:tc>
          <w:tcPr>
            <w:tcW w:w="480" w:type="dxa"/>
            <w:shd w:val="clear" w:color="auto" w:fill="B3B3B3"/>
            <w:noWrap w:val="0"/>
            <w:vAlign w:val="center"/>
          </w:tcPr>
          <w:p>
            <w:pPr>
              <w:keepNext w:val="0"/>
              <w:keepLines w:val="0"/>
              <w:suppressLineNumbers w:val="0"/>
              <w:spacing w:before="0" w:beforeAutospacing="0" w:after="0" w:afterAutospacing="0" w:line="300" w:lineRule="exact"/>
              <w:ind w:left="0" w:right="0"/>
              <w:jc w:val="center"/>
              <w:rPr>
                <w:rFonts w:hint="default"/>
                <w:b/>
                <w:bCs/>
                <w:kern w:val="2"/>
                <w:sz w:val="21"/>
                <w:szCs w:val="21"/>
              </w:rPr>
            </w:pPr>
            <w:r>
              <w:rPr>
                <w:rFonts w:hint="default"/>
                <w:b/>
                <w:bCs/>
                <w:kern w:val="2"/>
                <w:sz w:val="21"/>
                <w:szCs w:val="21"/>
              </w:rPr>
              <w:t>—</w:t>
            </w:r>
          </w:p>
        </w:tc>
        <w:tc>
          <w:tcPr>
            <w:tcW w:w="705" w:type="dxa"/>
            <w:shd w:val="clear" w:color="auto" w:fill="auto"/>
            <w:noWrap w:val="0"/>
            <w:vAlign w:val="center"/>
          </w:tcPr>
          <w:p>
            <w:pPr>
              <w:keepNext w:val="0"/>
              <w:keepLines w:val="0"/>
              <w:suppressLineNumbers w:val="0"/>
              <w:spacing w:before="0" w:beforeAutospacing="0" w:after="0" w:afterAutospacing="0" w:line="300" w:lineRule="exact"/>
              <w:ind w:left="0" w:right="0"/>
              <w:jc w:val="center"/>
              <w:rPr>
                <w:rFonts w:hint="default"/>
                <w:kern w:val="2"/>
                <w:sz w:val="21"/>
                <w:szCs w:val="21"/>
              </w:rPr>
            </w:pPr>
            <w:r>
              <w:rPr>
                <w:rFonts w:hint="default"/>
                <w:kern w:val="2"/>
                <w:sz w:val="21"/>
                <w:szCs w:val="21"/>
              </w:rPr>
              <w:t>—</w:t>
            </w:r>
          </w:p>
        </w:tc>
        <w:tc>
          <w:tcPr>
            <w:tcW w:w="445" w:type="dxa"/>
            <w:shd w:val="clear" w:color="auto" w:fill="C0C0C0"/>
            <w:noWrap w:val="0"/>
            <w:vAlign w:val="center"/>
          </w:tcPr>
          <w:p>
            <w:pPr>
              <w:keepNext w:val="0"/>
              <w:keepLines w:val="0"/>
              <w:suppressLineNumbers w:val="0"/>
              <w:spacing w:before="0" w:beforeAutospacing="0" w:after="0" w:afterAutospacing="0" w:line="300" w:lineRule="exact"/>
              <w:ind w:left="0" w:right="0"/>
              <w:jc w:val="center"/>
              <w:rPr>
                <w:rFonts w:hint="default"/>
                <w:b/>
                <w:bCs/>
                <w:kern w:val="2"/>
                <w:sz w:val="21"/>
                <w:szCs w:val="21"/>
              </w:rPr>
            </w:pPr>
            <w:r>
              <w:rPr>
                <w:rFonts w:hint="default"/>
                <w:b/>
                <w:bCs/>
                <w:kern w:val="2"/>
                <w:sz w:val="21"/>
                <w:szCs w:val="21"/>
              </w:rPr>
              <w:t>—</w:t>
            </w:r>
          </w:p>
        </w:tc>
        <w:tc>
          <w:tcPr>
            <w:tcW w:w="665" w:type="dxa"/>
            <w:shd w:val="clear" w:color="auto" w:fill="auto"/>
            <w:noWrap w:val="0"/>
            <w:vAlign w:val="center"/>
          </w:tcPr>
          <w:p>
            <w:pPr>
              <w:keepNext w:val="0"/>
              <w:keepLines w:val="0"/>
              <w:suppressLineNumbers w:val="0"/>
              <w:spacing w:before="0" w:beforeAutospacing="0" w:after="0" w:afterAutospacing="0" w:line="300" w:lineRule="exact"/>
              <w:ind w:left="0" w:right="0"/>
              <w:jc w:val="center"/>
              <w:rPr>
                <w:rFonts w:hint="default"/>
                <w:kern w:val="2"/>
                <w:sz w:val="21"/>
                <w:szCs w:val="21"/>
              </w:rPr>
            </w:pPr>
            <w:r>
              <w:rPr>
                <w:rFonts w:hint="default"/>
                <w:kern w:val="2"/>
                <w:sz w:val="21"/>
                <w:szCs w:val="21"/>
              </w:rPr>
              <w:t>—</w:t>
            </w:r>
          </w:p>
        </w:tc>
        <w:tc>
          <w:tcPr>
            <w:tcW w:w="585" w:type="dxa"/>
            <w:shd w:val="clear" w:color="auto" w:fill="C0C0C0"/>
            <w:noWrap w:val="0"/>
            <w:vAlign w:val="center"/>
          </w:tcPr>
          <w:p>
            <w:pPr>
              <w:keepNext w:val="0"/>
              <w:keepLines w:val="0"/>
              <w:suppressLineNumbers w:val="0"/>
              <w:spacing w:before="0" w:beforeAutospacing="0" w:after="0" w:afterAutospacing="0" w:line="300" w:lineRule="exact"/>
              <w:ind w:left="0" w:right="0"/>
              <w:jc w:val="center"/>
              <w:rPr>
                <w:rFonts w:hint="default"/>
                <w:b/>
                <w:bCs/>
                <w:kern w:val="2"/>
                <w:sz w:val="21"/>
                <w:szCs w:val="21"/>
              </w:rPr>
            </w:pPr>
            <w:r>
              <w:rPr>
                <w:rFonts w:hint="default"/>
                <w:b/>
                <w:bCs/>
                <w:kern w:val="2"/>
                <w:sz w:val="21"/>
                <w:szCs w:val="21"/>
              </w:rPr>
              <w:t>—</w:t>
            </w:r>
          </w:p>
        </w:tc>
        <w:tc>
          <w:tcPr>
            <w:tcW w:w="645" w:type="dxa"/>
            <w:shd w:val="clear" w:color="auto" w:fill="auto"/>
            <w:noWrap w:val="0"/>
            <w:vAlign w:val="center"/>
          </w:tcPr>
          <w:p>
            <w:pPr>
              <w:keepNext w:val="0"/>
              <w:keepLines w:val="0"/>
              <w:suppressLineNumbers w:val="0"/>
              <w:spacing w:before="0" w:beforeAutospacing="0" w:after="0" w:afterAutospacing="0" w:line="300" w:lineRule="exact"/>
              <w:ind w:left="0" w:right="0"/>
              <w:jc w:val="center"/>
              <w:rPr>
                <w:rFonts w:hint="default"/>
                <w:kern w:val="2"/>
                <w:sz w:val="21"/>
                <w:szCs w:val="21"/>
              </w:rPr>
            </w:pPr>
            <w:r>
              <w:rPr>
                <w:rFonts w:hint="default"/>
                <w:kern w:val="2"/>
                <w:sz w:val="21"/>
                <w:szCs w:val="21"/>
              </w:rPr>
              <w:t>—</w:t>
            </w:r>
          </w:p>
        </w:tc>
        <w:tc>
          <w:tcPr>
            <w:tcW w:w="390" w:type="dxa"/>
            <w:shd w:val="clear" w:color="auto" w:fill="C0C0C0"/>
            <w:noWrap w:val="0"/>
            <w:vAlign w:val="center"/>
          </w:tcPr>
          <w:p>
            <w:pPr>
              <w:keepNext w:val="0"/>
              <w:keepLines w:val="0"/>
              <w:suppressLineNumbers w:val="0"/>
              <w:spacing w:before="0" w:beforeAutospacing="0" w:after="0" w:afterAutospacing="0" w:line="300" w:lineRule="exact"/>
              <w:ind w:left="0" w:right="0"/>
              <w:jc w:val="center"/>
              <w:rPr>
                <w:rFonts w:hint="default"/>
                <w:b/>
                <w:bCs/>
                <w:kern w:val="2"/>
                <w:sz w:val="21"/>
                <w:szCs w:val="21"/>
              </w:rPr>
            </w:pPr>
            <w:r>
              <w:rPr>
                <w:rFonts w:hint="default"/>
                <w:b/>
                <w:bCs/>
                <w:kern w:val="2"/>
                <w:sz w:val="21"/>
                <w:szCs w:val="21"/>
              </w:rPr>
              <w:t>—</w:t>
            </w:r>
          </w:p>
        </w:tc>
        <w:tc>
          <w:tcPr>
            <w:tcW w:w="645" w:type="dxa"/>
            <w:shd w:val="clear" w:color="auto" w:fill="auto"/>
            <w:noWrap w:val="0"/>
            <w:vAlign w:val="center"/>
          </w:tcPr>
          <w:p>
            <w:pPr>
              <w:keepNext w:val="0"/>
              <w:keepLines w:val="0"/>
              <w:suppressLineNumbers w:val="0"/>
              <w:spacing w:before="0" w:beforeAutospacing="0" w:after="0" w:afterAutospacing="0" w:line="300" w:lineRule="exact"/>
              <w:ind w:left="0" w:right="0"/>
              <w:jc w:val="center"/>
              <w:rPr>
                <w:rFonts w:hint="default"/>
                <w:kern w:val="2"/>
                <w:sz w:val="21"/>
                <w:szCs w:val="21"/>
              </w:rPr>
            </w:pPr>
            <w:r>
              <w:rPr>
                <w:rFonts w:hint="default"/>
                <w:kern w:val="2"/>
                <w:sz w:val="21"/>
                <w:szCs w:val="21"/>
              </w:rPr>
              <w:t>—</w:t>
            </w:r>
          </w:p>
        </w:tc>
        <w:tc>
          <w:tcPr>
            <w:tcW w:w="525" w:type="dxa"/>
            <w:shd w:val="clear" w:color="auto" w:fill="C0C0C0"/>
            <w:noWrap w:val="0"/>
            <w:vAlign w:val="center"/>
          </w:tcPr>
          <w:p>
            <w:pPr>
              <w:keepNext w:val="0"/>
              <w:keepLines w:val="0"/>
              <w:suppressLineNumbers w:val="0"/>
              <w:spacing w:before="0" w:beforeAutospacing="0" w:after="0" w:afterAutospacing="0" w:line="300" w:lineRule="exact"/>
              <w:ind w:left="0" w:right="0"/>
              <w:jc w:val="center"/>
              <w:rPr>
                <w:rFonts w:hint="default"/>
                <w:b/>
                <w:bCs/>
                <w:kern w:val="2"/>
                <w:sz w:val="21"/>
                <w:szCs w:val="21"/>
              </w:rPr>
            </w:pPr>
            <w:r>
              <w:rPr>
                <w:rFonts w:hint="default"/>
                <w:b/>
                <w:bCs/>
                <w:kern w:val="2"/>
                <w:sz w:val="21"/>
                <w:szCs w:val="21"/>
              </w:rPr>
              <w:t>3</w:t>
            </w:r>
          </w:p>
        </w:tc>
        <w:tc>
          <w:tcPr>
            <w:tcW w:w="645" w:type="dxa"/>
            <w:noWrap w:val="0"/>
            <w:vAlign w:val="center"/>
          </w:tcPr>
          <w:p>
            <w:pPr>
              <w:keepNext w:val="0"/>
              <w:keepLines w:val="0"/>
              <w:suppressLineNumbers w:val="0"/>
              <w:spacing w:before="0" w:beforeAutospacing="0" w:after="0" w:afterAutospacing="0" w:line="300" w:lineRule="exact"/>
              <w:ind w:left="0" w:right="0"/>
              <w:jc w:val="center"/>
              <w:rPr>
                <w:rFonts w:hint="default"/>
                <w:kern w:val="2"/>
                <w:sz w:val="21"/>
                <w:szCs w:val="21"/>
              </w:rPr>
            </w:pPr>
            <w:r>
              <w:rPr>
                <w:rFonts w:hint="eastAsia"/>
                <w:kern w:val="2"/>
                <w:sz w:val="21"/>
                <w:szCs w:val="21"/>
              </w:rPr>
              <w:t>32.3</w:t>
            </w:r>
          </w:p>
        </w:tc>
        <w:tc>
          <w:tcPr>
            <w:tcW w:w="615" w:type="dxa"/>
            <w:shd w:val="clear" w:color="auto" w:fill="E6E0EC" w:themeFill="accent4" w:themeFillTint="32"/>
            <w:noWrap w:val="0"/>
            <w:vAlign w:val="center"/>
          </w:tcPr>
          <w:p>
            <w:pPr>
              <w:keepNext w:val="0"/>
              <w:keepLines w:val="0"/>
              <w:suppressLineNumbers w:val="0"/>
              <w:spacing w:before="0" w:beforeAutospacing="0" w:after="0" w:afterAutospacing="0" w:line="300" w:lineRule="exact"/>
              <w:ind w:left="0" w:right="0"/>
              <w:jc w:val="center"/>
              <w:rPr>
                <w:rFonts w:hint="eastAsia"/>
                <w:b/>
                <w:bCs/>
                <w:kern w:val="2"/>
                <w:sz w:val="21"/>
                <w:szCs w:val="21"/>
                <w:highlight w:val="none"/>
                <w:lang w:val="en-US" w:eastAsia="zh-CN"/>
              </w:rPr>
            </w:pPr>
            <w:r>
              <w:rPr>
                <w:rFonts w:hint="eastAsia"/>
                <w:b/>
                <w:bCs/>
                <w:kern w:val="2"/>
                <w:sz w:val="21"/>
                <w:szCs w:val="21"/>
                <w:highlight w:val="none"/>
                <w:lang w:val="en-US" w:eastAsia="zh-CN"/>
              </w:rPr>
              <w:t>6</w:t>
            </w:r>
          </w:p>
        </w:tc>
        <w:tc>
          <w:tcPr>
            <w:tcW w:w="820" w:type="dxa"/>
            <w:noWrap w:val="0"/>
            <w:vAlign w:val="center"/>
          </w:tcPr>
          <w:p>
            <w:pPr>
              <w:keepNext w:val="0"/>
              <w:keepLines w:val="0"/>
              <w:suppressLineNumbers w:val="0"/>
              <w:spacing w:before="0" w:beforeAutospacing="0" w:after="0" w:afterAutospacing="0" w:line="300" w:lineRule="exact"/>
              <w:ind w:left="0" w:right="0"/>
              <w:jc w:val="center"/>
              <w:rPr>
                <w:rFonts w:hint="default" w:eastAsia="宋体"/>
                <w:kern w:val="2"/>
                <w:sz w:val="21"/>
                <w:szCs w:val="21"/>
                <w:lang w:val="en-US" w:eastAsia="zh-CN"/>
              </w:rPr>
            </w:pPr>
            <w:r>
              <w:rPr>
                <w:rFonts w:hint="eastAsia"/>
                <w:kern w:val="2"/>
                <w:sz w:val="21"/>
                <w:szCs w:val="21"/>
                <w:lang w:val="en-US" w:eastAsia="zh-CN"/>
              </w:rPr>
              <w:t>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78" w:type="dxa"/>
            <w:shd w:val="clear" w:color="auto" w:fill="auto"/>
            <w:noWrap w:val="0"/>
            <w:vAlign w:val="center"/>
          </w:tcPr>
          <w:p>
            <w:pPr>
              <w:keepNext w:val="0"/>
              <w:keepLines w:val="0"/>
              <w:suppressLineNumbers w:val="0"/>
              <w:spacing w:before="0" w:beforeAutospacing="0" w:after="0" w:afterAutospacing="0" w:line="300" w:lineRule="exact"/>
              <w:ind w:left="0" w:right="0"/>
              <w:jc w:val="center"/>
              <w:rPr>
                <w:rFonts w:hint="default"/>
                <w:b w:val="0"/>
                <w:bCs w:val="0"/>
                <w:kern w:val="2"/>
                <w:sz w:val="21"/>
                <w:szCs w:val="21"/>
              </w:rPr>
            </w:pPr>
            <w:r>
              <w:rPr>
                <w:rFonts w:hint="default"/>
                <w:b w:val="0"/>
                <w:bCs w:val="0"/>
                <w:kern w:val="2"/>
                <w:sz w:val="21"/>
                <w:szCs w:val="21"/>
              </w:rPr>
              <w:t>汽油通气管管口</w:t>
            </w:r>
          </w:p>
        </w:tc>
        <w:tc>
          <w:tcPr>
            <w:tcW w:w="555" w:type="dxa"/>
            <w:shd w:val="clear" w:color="auto" w:fill="B3B3B3"/>
            <w:noWrap w:val="0"/>
            <w:vAlign w:val="center"/>
          </w:tcPr>
          <w:p>
            <w:pPr>
              <w:keepNext w:val="0"/>
              <w:keepLines w:val="0"/>
              <w:suppressLineNumbers w:val="0"/>
              <w:spacing w:before="0" w:beforeAutospacing="0" w:after="0" w:afterAutospacing="0" w:line="300" w:lineRule="exact"/>
              <w:ind w:left="0" w:right="0"/>
              <w:jc w:val="center"/>
              <w:rPr>
                <w:rFonts w:hint="default"/>
                <w:b/>
                <w:bCs/>
                <w:kern w:val="2"/>
                <w:sz w:val="21"/>
                <w:szCs w:val="21"/>
              </w:rPr>
            </w:pPr>
            <w:r>
              <w:rPr>
                <w:rFonts w:hint="default"/>
                <w:b/>
                <w:bCs/>
                <w:kern w:val="2"/>
                <w:sz w:val="21"/>
                <w:szCs w:val="21"/>
              </w:rPr>
              <w:t>—</w:t>
            </w:r>
          </w:p>
        </w:tc>
        <w:tc>
          <w:tcPr>
            <w:tcW w:w="645" w:type="dxa"/>
            <w:shd w:val="clear" w:color="auto" w:fill="auto"/>
            <w:noWrap w:val="0"/>
            <w:vAlign w:val="center"/>
          </w:tcPr>
          <w:p>
            <w:pPr>
              <w:keepNext w:val="0"/>
              <w:keepLines w:val="0"/>
              <w:suppressLineNumbers w:val="0"/>
              <w:spacing w:before="0" w:beforeAutospacing="0" w:after="0" w:afterAutospacing="0" w:line="300" w:lineRule="exact"/>
              <w:ind w:left="0" w:right="0"/>
              <w:jc w:val="center"/>
              <w:rPr>
                <w:rFonts w:hint="default"/>
                <w:kern w:val="2"/>
                <w:sz w:val="21"/>
                <w:szCs w:val="21"/>
              </w:rPr>
            </w:pPr>
            <w:r>
              <w:rPr>
                <w:rFonts w:hint="default"/>
                <w:kern w:val="2"/>
                <w:sz w:val="21"/>
                <w:szCs w:val="21"/>
              </w:rPr>
              <w:t>—</w:t>
            </w:r>
          </w:p>
        </w:tc>
        <w:tc>
          <w:tcPr>
            <w:tcW w:w="585" w:type="dxa"/>
            <w:shd w:val="clear" w:color="auto" w:fill="B3B3B3"/>
            <w:noWrap w:val="0"/>
            <w:vAlign w:val="center"/>
          </w:tcPr>
          <w:p>
            <w:pPr>
              <w:keepNext w:val="0"/>
              <w:keepLines w:val="0"/>
              <w:suppressLineNumbers w:val="0"/>
              <w:spacing w:before="0" w:beforeAutospacing="0" w:after="0" w:afterAutospacing="0" w:line="300" w:lineRule="exact"/>
              <w:ind w:left="0" w:right="0"/>
              <w:jc w:val="center"/>
              <w:rPr>
                <w:rFonts w:hint="default"/>
                <w:b/>
                <w:bCs/>
                <w:kern w:val="2"/>
                <w:sz w:val="21"/>
                <w:szCs w:val="21"/>
              </w:rPr>
            </w:pPr>
            <w:r>
              <w:rPr>
                <w:rFonts w:hint="default"/>
                <w:b/>
                <w:bCs/>
                <w:kern w:val="2"/>
                <w:sz w:val="21"/>
                <w:szCs w:val="21"/>
              </w:rPr>
              <w:t>—</w:t>
            </w:r>
          </w:p>
        </w:tc>
        <w:tc>
          <w:tcPr>
            <w:tcW w:w="645" w:type="dxa"/>
            <w:shd w:val="clear" w:color="auto" w:fill="auto"/>
            <w:noWrap w:val="0"/>
            <w:vAlign w:val="center"/>
          </w:tcPr>
          <w:p>
            <w:pPr>
              <w:keepNext w:val="0"/>
              <w:keepLines w:val="0"/>
              <w:suppressLineNumbers w:val="0"/>
              <w:spacing w:before="0" w:beforeAutospacing="0" w:after="0" w:afterAutospacing="0" w:line="300" w:lineRule="exact"/>
              <w:ind w:left="0" w:right="0"/>
              <w:jc w:val="center"/>
              <w:rPr>
                <w:rFonts w:hint="default"/>
                <w:kern w:val="2"/>
                <w:sz w:val="21"/>
                <w:szCs w:val="21"/>
              </w:rPr>
            </w:pPr>
            <w:r>
              <w:rPr>
                <w:rFonts w:hint="default"/>
                <w:kern w:val="2"/>
                <w:sz w:val="21"/>
                <w:szCs w:val="21"/>
              </w:rPr>
              <w:t>—</w:t>
            </w:r>
          </w:p>
        </w:tc>
        <w:tc>
          <w:tcPr>
            <w:tcW w:w="480" w:type="dxa"/>
            <w:shd w:val="clear" w:color="auto" w:fill="B3B3B3"/>
            <w:noWrap w:val="0"/>
            <w:vAlign w:val="center"/>
          </w:tcPr>
          <w:p>
            <w:pPr>
              <w:keepNext w:val="0"/>
              <w:keepLines w:val="0"/>
              <w:suppressLineNumbers w:val="0"/>
              <w:spacing w:before="0" w:beforeAutospacing="0" w:after="0" w:afterAutospacing="0" w:line="300" w:lineRule="exact"/>
              <w:ind w:left="0" w:right="0"/>
              <w:jc w:val="center"/>
              <w:rPr>
                <w:rFonts w:hint="default"/>
                <w:b/>
                <w:bCs/>
                <w:kern w:val="2"/>
                <w:sz w:val="21"/>
                <w:szCs w:val="21"/>
              </w:rPr>
            </w:pPr>
            <w:r>
              <w:rPr>
                <w:rFonts w:hint="default"/>
                <w:b/>
                <w:bCs/>
                <w:kern w:val="2"/>
                <w:sz w:val="21"/>
                <w:szCs w:val="21"/>
              </w:rPr>
              <w:t>—</w:t>
            </w:r>
          </w:p>
        </w:tc>
        <w:tc>
          <w:tcPr>
            <w:tcW w:w="705" w:type="dxa"/>
            <w:shd w:val="clear" w:color="auto" w:fill="auto"/>
            <w:noWrap w:val="0"/>
            <w:vAlign w:val="center"/>
          </w:tcPr>
          <w:p>
            <w:pPr>
              <w:keepNext w:val="0"/>
              <w:keepLines w:val="0"/>
              <w:suppressLineNumbers w:val="0"/>
              <w:spacing w:before="0" w:beforeAutospacing="0" w:after="0" w:afterAutospacing="0" w:line="300" w:lineRule="exact"/>
              <w:ind w:left="0" w:right="0"/>
              <w:jc w:val="center"/>
              <w:rPr>
                <w:rFonts w:hint="default"/>
                <w:kern w:val="2"/>
                <w:sz w:val="21"/>
                <w:szCs w:val="21"/>
              </w:rPr>
            </w:pPr>
            <w:r>
              <w:rPr>
                <w:rFonts w:hint="default"/>
                <w:kern w:val="2"/>
                <w:sz w:val="21"/>
                <w:szCs w:val="21"/>
              </w:rPr>
              <w:t>—</w:t>
            </w:r>
          </w:p>
        </w:tc>
        <w:tc>
          <w:tcPr>
            <w:tcW w:w="445" w:type="dxa"/>
            <w:shd w:val="clear" w:color="auto" w:fill="C0C0C0"/>
            <w:noWrap w:val="0"/>
            <w:vAlign w:val="center"/>
          </w:tcPr>
          <w:p>
            <w:pPr>
              <w:keepNext w:val="0"/>
              <w:keepLines w:val="0"/>
              <w:suppressLineNumbers w:val="0"/>
              <w:spacing w:before="0" w:beforeAutospacing="0" w:after="0" w:afterAutospacing="0" w:line="300" w:lineRule="exact"/>
              <w:ind w:left="0" w:right="0"/>
              <w:jc w:val="center"/>
              <w:rPr>
                <w:rFonts w:hint="default"/>
                <w:b/>
                <w:bCs/>
                <w:kern w:val="2"/>
                <w:sz w:val="21"/>
                <w:szCs w:val="21"/>
              </w:rPr>
            </w:pPr>
            <w:r>
              <w:rPr>
                <w:rFonts w:hint="default"/>
                <w:b/>
                <w:bCs/>
                <w:kern w:val="2"/>
                <w:sz w:val="21"/>
                <w:szCs w:val="21"/>
              </w:rPr>
              <w:t>—</w:t>
            </w:r>
          </w:p>
        </w:tc>
        <w:tc>
          <w:tcPr>
            <w:tcW w:w="665" w:type="dxa"/>
            <w:shd w:val="clear" w:color="auto" w:fill="auto"/>
            <w:noWrap w:val="0"/>
            <w:vAlign w:val="center"/>
          </w:tcPr>
          <w:p>
            <w:pPr>
              <w:keepNext w:val="0"/>
              <w:keepLines w:val="0"/>
              <w:suppressLineNumbers w:val="0"/>
              <w:spacing w:before="0" w:beforeAutospacing="0" w:after="0" w:afterAutospacing="0" w:line="300" w:lineRule="exact"/>
              <w:ind w:left="0" w:right="0"/>
              <w:jc w:val="center"/>
              <w:rPr>
                <w:rFonts w:hint="default"/>
                <w:kern w:val="2"/>
                <w:sz w:val="21"/>
                <w:szCs w:val="21"/>
              </w:rPr>
            </w:pPr>
            <w:r>
              <w:rPr>
                <w:rFonts w:hint="default"/>
                <w:kern w:val="2"/>
                <w:sz w:val="21"/>
                <w:szCs w:val="21"/>
              </w:rPr>
              <w:t>—</w:t>
            </w:r>
          </w:p>
        </w:tc>
        <w:tc>
          <w:tcPr>
            <w:tcW w:w="585" w:type="dxa"/>
            <w:shd w:val="clear" w:color="auto" w:fill="C0C0C0"/>
            <w:noWrap w:val="0"/>
            <w:vAlign w:val="center"/>
          </w:tcPr>
          <w:p>
            <w:pPr>
              <w:keepNext w:val="0"/>
              <w:keepLines w:val="0"/>
              <w:suppressLineNumbers w:val="0"/>
              <w:spacing w:before="0" w:beforeAutospacing="0" w:after="0" w:afterAutospacing="0" w:line="300" w:lineRule="exact"/>
              <w:ind w:left="0" w:right="0"/>
              <w:jc w:val="center"/>
              <w:rPr>
                <w:rFonts w:hint="default"/>
                <w:b/>
                <w:bCs/>
                <w:kern w:val="2"/>
                <w:sz w:val="21"/>
                <w:szCs w:val="21"/>
              </w:rPr>
            </w:pPr>
            <w:r>
              <w:rPr>
                <w:rFonts w:hint="default"/>
                <w:b/>
                <w:bCs/>
                <w:kern w:val="2"/>
                <w:sz w:val="21"/>
                <w:szCs w:val="21"/>
              </w:rPr>
              <w:t>3</w:t>
            </w:r>
          </w:p>
        </w:tc>
        <w:tc>
          <w:tcPr>
            <w:tcW w:w="645" w:type="dxa"/>
            <w:shd w:val="clear" w:color="auto" w:fill="auto"/>
            <w:noWrap w:val="0"/>
            <w:vAlign w:val="center"/>
          </w:tcPr>
          <w:p>
            <w:pPr>
              <w:keepNext w:val="0"/>
              <w:keepLines w:val="0"/>
              <w:suppressLineNumbers w:val="0"/>
              <w:spacing w:before="0" w:beforeAutospacing="0" w:after="0" w:afterAutospacing="0" w:line="300" w:lineRule="exact"/>
              <w:ind w:left="0" w:right="0"/>
              <w:jc w:val="center"/>
              <w:rPr>
                <w:rFonts w:hint="default" w:eastAsia="宋体"/>
                <w:kern w:val="2"/>
                <w:sz w:val="21"/>
                <w:szCs w:val="21"/>
                <w:lang w:val="en-US" w:eastAsia="zh-CN"/>
              </w:rPr>
            </w:pPr>
            <w:r>
              <w:rPr>
                <w:rFonts w:hint="eastAsia"/>
                <w:kern w:val="2"/>
                <w:sz w:val="21"/>
                <w:szCs w:val="21"/>
                <w:lang w:val="en-US" w:eastAsia="zh-CN"/>
              </w:rPr>
              <w:t>8.9</w:t>
            </w:r>
          </w:p>
        </w:tc>
        <w:tc>
          <w:tcPr>
            <w:tcW w:w="390" w:type="dxa"/>
            <w:shd w:val="clear" w:color="auto" w:fill="C0C0C0"/>
            <w:noWrap w:val="0"/>
            <w:vAlign w:val="center"/>
          </w:tcPr>
          <w:p>
            <w:pPr>
              <w:keepNext w:val="0"/>
              <w:keepLines w:val="0"/>
              <w:suppressLineNumbers w:val="0"/>
              <w:spacing w:before="0" w:beforeAutospacing="0" w:after="0" w:afterAutospacing="0" w:line="300" w:lineRule="exact"/>
              <w:ind w:left="0" w:right="0"/>
              <w:jc w:val="center"/>
              <w:rPr>
                <w:rFonts w:hint="default"/>
                <w:b/>
                <w:bCs/>
                <w:kern w:val="2"/>
                <w:sz w:val="21"/>
                <w:szCs w:val="21"/>
              </w:rPr>
            </w:pPr>
            <w:r>
              <w:rPr>
                <w:rFonts w:hint="default"/>
                <w:b/>
                <w:bCs/>
                <w:kern w:val="2"/>
                <w:sz w:val="21"/>
                <w:szCs w:val="21"/>
              </w:rPr>
              <w:t>—</w:t>
            </w:r>
          </w:p>
        </w:tc>
        <w:tc>
          <w:tcPr>
            <w:tcW w:w="645" w:type="dxa"/>
            <w:shd w:val="clear" w:color="auto" w:fill="auto"/>
            <w:noWrap w:val="0"/>
            <w:vAlign w:val="center"/>
          </w:tcPr>
          <w:p>
            <w:pPr>
              <w:keepNext w:val="0"/>
              <w:keepLines w:val="0"/>
              <w:suppressLineNumbers w:val="0"/>
              <w:spacing w:before="0" w:beforeAutospacing="0" w:after="0" w:afterAutospacing="0" w:line="300" w:lineRule="exact"/>
              <w:ind w:left="0" w:right="0"/>
              <w:jc w:val="center"/>
              <w:rPr>
                <w:rFonts w:hint="default"/>
                <w:kern w:val="2"/>
                <w:sz w:val="21"/>
                <w:szCs w:val="21"/>
              </w:rPr>
            </w:pPr>
            <w:r>
              <w:rPr>
                <w:rFonts w:hint="default"/>
                <w:kern w:val="2"/>
                <w:sz w:val="21"/>
                <w:szCs w:val="21"/>
              </w:rPr>
              <w:t>—</w:t>
            </w:r>
          </w:p>
        </w:tc>
        <w:tc>
          <w:tcPr>
            <w:tcW w:w="525" w:type="dxa"/>
            <w:shd w:val="clear" w:color="auto" w:fill="C0C0C0"/>
            <w:noWrap w:val="0"/>
            <w:vAlign w:val="center"/>
          </w:tcPr>
          <w:p>
            <w:pPr>
              <w:keepNext w:val="0"/>
              <w:keepLines w:val="0"/>
              <w:suppressLineNumbers w:val="0"/>
              <w:spacing w:before="0" w:beforeAutospacing="0" w:after="0" w:afterAutospacing="0" w:line="300" w:lineRule="exact"/>
              <w:ind w:left="0" w:right="0"/>
              <w:jc w:val="center"/>
              <w:rPr>
                <w:rFonts w:hint="default"/>
                <w:b/>
                <w:bCs/>
                <w:kern w:val="2"/>
                <w:sz w:val="21"/>
                <w:szCs w:val="21"/>
              </w:rPr>
            </w:pPr>
            <w:r>
              <w:rPr>
                <w:rFonts w:hint="default"/>
                <w:b/>
                <w:bCs/>
                <w:kern w:val="2"/>
                <w:sz w:val="21"/>
                <w:szCs w:val="21"/>
              </w:rPr>
              <w:t>4</w:t>
            </w:r>
          </w:p>
        </w:tc>
        <w:tc>
          <w:tcPr>
            <w:tcW w:w="645" w:type="dxa"/>
            <w:noWrap w:val="0"/>
            <w:vAlign w:val="center"/>
          </w:tcPr>
          <w:p>
            <w:pPr>
              <w:keepNext w:val="0"/>
              <w:keepLines w:val="0"/>
              <w:suppressLineNumbers w:val="0"/>
              <w:spacing w:before="0" w:beforeAutospacing="0" w:after="0" w:afterAutospacing="0" w:line="300" w:lineRule="exact"/>
              <w:ind w:left="0" w:right="0"/>
              <w:jc w:val="center"/>
              <w:rPr>
                <w:rFonts w:hint="default"/>
                <w:kern w:val="2"/>
                <w:sz w:val="21"/>
                <w:szCs w:val="21"/>
              </w:rPr>
            </w:pPr>
            <w:r>
              <w:rPr>
                <w:rFonts w:hint="eastAsia"/>
                <w:kern w:val="2"/>
                <w:sz w:val="21"/>
                <w:szCs w:val="21"/>
              </w:rPr>
              <w:t>30.5</w:t>
            </w:r>
          </w:p>
        </w:tc>
        <w:tc>
          <w:tcPr>
            <w:tcW w:w="615" w:type="dxa"/>
            <w:shd w:val="clear" w:color="auto" w:fill="E6E0EC" w:themeFill="accent4" w:themeFillTint="32"/>
            <w:noWrap w:val="0"/>
            <w:vAlign w:val="center"/>
          </w:tcPr>
          <w:p>
            <w:pPr>
              <w:keepNext w:val="0"/>
              <w:keepLines w:val="0"/>
              <w:suppressLineNumbers w:val="0"/>
              <w:spacing w:before="0" w:beforeAutospacing="0" w:after="0" w:afterAutospacing="0" w:line="300" w:lineRule="exact"/>
              <w:ind w:left="0" w:right="0"/>
              <w:jc w:val="center"/>
              <w:rPr>
                <w:rFonts w:hint="eastAsia"/>
                <w:b/>
                <w:bCs/>
                <w:kern w:val="2"/>
                <w:sz w:val="21"/>
                <w:szCs w:val="21"/>
                <w:highlight w:val="none"/>
                <w:lang w:val="en-US" w:eastAsia="zh-CN"/>
              </w:rPr>
            </w:pPr>
            <w:r>
              <w:rPr>
                <w:rFonts w:hint="eastAsia"/>
                <w:b/>
                <w:bCs/>
                <w:kern w:val="2"/>
                <w:sz w:val="21"/>
                <w:szCs w:val="21"/>
                <w:highlight w:val="none"/>
                <w:lang w:val="en-US" w:eastAsia="zh-CN"/>
              </w:rPr>
              <w:t>7</w:t>
            </w:r>
          </w:p>
        </w:tc>
        <w:tc>
          <w:tcPr>
            <w:tcW w:w="820" w:type="dxa"/>
            <w:noWrap w:val="0"/>
            <w:vAlign w:val="center"/>
          </w:tcPr>
          <w:p>
            <w:pPr>
              <w:keepNext w:val="0"/>
              <w:keepLines w:val="0"/>
              <w:suppressLineNumbers w:val="0"/>
              <w:spacing w:before="0" w:beforeAutospacing="0" w:after="0" w:afterAutospacing="0" w:line="300" w:lineRule="exact"/>
              <w:ind w:left="0" w:right="0"/>
              <w:jc w:val="center"/>
              <w:rPr>
                <w:rFonts w:hint="default" w:eastAsia="宋体"/>
                <w:kern w:val="2"/>
                <w:sz w:val="21"/>
                <w:szCs w:val="21"/>
                <w:lang w:val="en-US" w:eastAsia="zh-CN"/>
              </w:rPr>
            </w:pPr>
            <w:r>
              <w:rPr>
                <w:rFonts w:hint="eastAsia"/>
                <w:kern w:val="2"/>
                <w:sz w:val="21"/>
                <w:szCs w:val="21"/>
                <w:lang w:val="en-US" w:eastAsia="zh-CN"/>
              </w:rPr>
              <w:t>27.5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78" w:type="dxa"/>
            <w:shd w:val="clear" w:color="auto" w:fill="auto"/>
            <w:noWrap w:val="0"/>
            <w:vAlign w:val="center"/>
          </w:tcPr>
          <w:p>
            <w:pPr>
              <w:keepNext w:val="0"/>
              <w:keepLines w:val="0"/>
              <w:suppressLineNumbers w:val="0"/>
              <w:spacing w:before="0" w:beforeAutospacing="0" w:after="0" w:afterAutospacing="0" w:line="300" w:lineRule="exact"/>
              <w:ind w:left="0" w:right="0"/>
              <w:jc w:val="center"/>
              <w:rPr>
                <w:rFonts w:hint="default"/>
                <w:b w:val="0"/>
                <w:bCs w:val="0"/>
                <w:kern w:val="2"/>
                <w:sz w:val="21"/>
                <w:szCs w:val="21"/>
              </w:rPr>
            </w:pPr>
            <w:r>
              <w:rPr>
                <w:rFonts w:hint="default"/>
                <w:b w:val="0"/>
                <w:bCs w:val="0"/>
                <w:kern w:val="2"/>
                <w:sz w:val="21"/>
                <w:szCs w:val="21"/>
              </w:rPr>
              <w:t>柴油通气管管口</w:t>
            </w:r>
          </w:p>
        </w:tc>
        <w:tc>
          <w:tcPr>
            <w:tcW w:w="555" w:type="dxa"/>
            <w:shd w:val="clear" w:color="auto" w:fill="B3B3B3"/>
            <w:noWrap w:val="0"/>
            <w:vAlign w:val="center"/>
          </w:tcPr>
          <w:p>
            <w:pPr>
              <w:keepNext w:val="0"/>
              <w:keepLines w:val="0"/>
              <w:suppressLineNumbers w:val="0"/>
              <w:spacing w:before="0" w:beforeAutospacing="0" w:after="0" w:afterAutospacing="0" w:line="300" w:lineRule="exact"/>
              <w:ind w:left="0" w:right="0"/>
              <w:jc w:val="center"/>
              <w:rPr>
                <w:rFonts w:hint="default"/>
                <w:b/>
                <w:bCs/>
                <w:kern w:val="2"/>
                <w:sz w:val="21"/>
                <w:szCs w:val="21"/>
              </w:rPr>
            </w:pPr>
            <w:r>
              <w:rPr>
                <w:rFonts w:hint="default"/>
                <w:b/>
                <w:bCs/>
                <w:kern w:val="2"/>
                <w:sz w:val="21"/>
                <w:szCs w:val="21"/>
              </w:rPr>
              <w:t>—</w:t>
            </w:r>
          </w:p>
        </w:tc>
        <w:tc>
          <w:tcPr>
            <w:tcW w:w="645" w:type="dxa"/>
            <w:shd w:val="clear" w:color="auto" w:fill="auto"/>
            <w:noWrap w:val="0"/>
            <w:vAlign w:val="center"/>
          </w:tcPr>
          <w:p>
            <w:pPr>
              <w:keepNext w:val="0"/>
              <w:keepLines w:val="0"/>
              <w:suppressLineNumbers w:val="0"/>
              <w:spacing w:before="0" w:beforeAutospacing="0" w:after="0" w:afterAutospacing="0" w:line="300" w:lineRule="exact"/>
              <w:ind w:left="0" w:right="0"/>
              <w:jc w:val="center"/>
              <w:rPr>
                <w:rFonts w:hint="default"/>
                <w:kern w:val="2"/>
                <w:sz w:val="21"/>
                <w:szCs w:val="21"/>
              </w:rPr>
            </w:pPr>
            <w:r>
              <w:rPr>
                <w:rFonts w:hint="default"/>
                <w:kern w:val="2"/>
                <w:sz w:val="21"/>
                <w:szCs w:val="21"/>
              </w:rPr>
              <w:t>—</w:t>
            </w:r>
          </w:p>
        </w:tc>
        <w:tc>
          <w:tcPr>
            <w:tcW w:w="585" w:type="dxa"/>
            <w:shd w:val="clear" w:color="auto" w:fill="B3B3B3"/>
            <w:noWrap w:val="0"/>
            <w:vAlign w:val="center"/>
          </w:tcPr>
          <w:p>
            <w:pPr>
              <w:keepNext w:val="0"/>
              <w:keepLines w:val="0"/>
              <w:suppressLineNumbers w:val="0"/>
              <w:spacing w:before="0" w:beforeAutospacing="0" w:after="0" w:afterAutospacing="0" w:line="300" w:lineRule="exact"/>
              <w:ind w:left="0" w:right="0"/>
              <w:jc w:val="center"/>
              <w:rPr>
                <w:rFonts w:hint="default"/>
                <w:b/>
                <w:bCs/>
                <w:kern w:val="2"/>
                <w:sz w:val="21"/>
                <w:szCs w:val="21"/>
              </w:rPr>
            </w:pPr>
            <w:r>
              <w:rPr>
                <w:rFonts w:hint="default"/>
                <w:b/>
                <w:bCs/>
                <w:kern w:val="2"/>
                <w:sz w:val="21"/>
                <w:szCs w:val="21"/>
              </w:rPr>
              <w:t>—</w:t>
            </w:r>
          </w:p>
        </w:tc>
        <w:tc>
          <w:tcPr>
            <w:tcW w:w="645" w:type="dxa"/>
            <w:shd w:val="clear" w:color="auto" w:fill="auto"/>
            <w:noWrap w:val="0"/>
            <w:vAlign w:val="center"/>
          </w:tcPr>
          <w:p>
            <w:pPr>
              <w:keepNext w:val="0"/>
              <w:keepLines w:val="0"/>
              <w:suppressLineNumbers w:val="0"/>
              <w:spacing w:before="0" w:beforeAutospacing="0" w:after="0" w:afterAutospacing="0" w:line="300" w:lineRule="exact"/>
              <w:ind w:left="0" w:right="0"/>
              <w:jc w:val="center"/>
              <w:rPr>
                <w:rFonts w:hint="default"/>
                <w:kern w:val="2"/>
                <w:sz w:val="21"/>
                <w:szCs w:val="21"/>
              </w:rPr>
            </w:pPr>
            <w:r>
              <w:rPr>
                <w:rFonts w:hint="default"/>
                <w:kern w:val="2"/>
                <w:sz w:val="21"/>
                <w:szCs w:val="21"/>
              </w:rPr>
              <w:t>—</w:t>
            </w:r>
          </w:p>
        </w:tc>
        <w:tc>
          <w:tcPr>
            <w:tcW w:w="480" w:type="dxa"/>
            <w:shd w:val="clear" w:color="auto" w:fill="B3B3B3"/>
            <w:noWrap w:val="0"/>
            <w:vAlign w:val="center"/>
          </w:tcPr>
          <w:p>
            <w:pPr>
              <w:keepNext w:val="0"/>
              <w:keepLines w:val="0"/>
              <w:suppressLineNumbers w:val="0"/>
              <w:spacing w:before="0" w:beforeAutospacing="0" w:after="0" w:afterAutospacing="0" w:line="300" w:lineRule="exact"/>
              <w:ind w:left="0" w:right="0"/>
              <w:jc w:val="center"/>
              <w:rPr>
                <w:rFonts w:hint="default"/>
                <w:b/>
                <w:bCs/>
                <w:kern w:val="2"/>
                <w:sz w:val="21"/>
                <w:szCs w:val="21"/>
              </w:rPr>
            </w:pPr>
            <w:r>
              <w:rPr>
                <w:rFonts w:hint="default"/>
                <w:b/>
                <w:bCs/>
                <w:kern w:val="2"/>
                <w:sz w:val="21"/>
                <w:szCs w:val="21"/>
              </w:rPr>
              <w:t>—</w:t>
            </w:r>
          </w:p>
        </w:tc>
        <w:tc>
          <w:tcPr>
            <w:tcW w:w="705" w:type="dxa"/>
            <w:shd w:val="clear" w:color="auto" w:fill="auto"/>
            <w:noWrap w:val="0"/>
            <w:vAlign w:val="center"/>
          </w:tcPr>
          <w:p>
            <w:pPr>
              <w:keepNext w:val="0"/>
              <w:keepLines w:val="0"/>
              <w:suppressLineNumbers w:val="0"/>
              <w:spacing w:before="0" w:beforeAutospacing="0" w:after="0" w:afterAutospacing="0" w:line="300" w:lineRule="exact"/>
              <w:ind w:left="0" w:right="0"/>
              <w:jc w:val="center"/>
              <w:rPr>
                <w:rFonts w:hint="default"/>
                <w:kern w:val="2"/>
                <w:sz w:val="21"/>
                <w:szCs w:val="21"/>
              </w:rPr>
            </w:pPr>
            <w:r>
              <w:rPr>
                <w:rFonts w:hint="default"/>
                <w:kern w:val="2"/>
                <w:sz w:val="21"/>
                <w:szCs w:val="21"/>
              </w:rPr>
              <w:t>—</w:t>
            </w:r>
          </w:p>
        </w:tc>
        <w:tc>
          <w:tcPr>
            <w:tcW w:w="445" w:type="dxa"/>
            <w:shd w:val="clear" w:color="auto" w:fill="C0C0C0"/>
            <w:noWrap w:val="0"/>
            <w:vAlign w:val="center"/>
          </w:tcPr>
          <w:p>
            <w:pPr>
              <w:keepNext w:val="0"/>
              <w:keepLines w:val="0"/>
              <w:suppressLineNumbers w:val="0"/>
              <w:spacing w:before="0" w:beforeAutospacing="0" w:after="0" w:afterAutospacing="0" w:line="300" w:lineRule="exact"/>
              <w:ind w:left="0" w:right="0"/>
              <w:jc w:val="center"/>
              <w:rPr>
                <w:rFonts w:hint="default"/>
                <w:b/>
                <w:bCs/>
                <w:kern w:val="2"/>
                <w:sz w:val="21"/>
                <w:szCs w:val="21"/>
              </w:rPr>
            </w:pPr>
            <w:r>
              <w:rPr>
                <w:rFonts w:hint="default"/>
                <w:b/>
                <w:bCs/>
                <w:kern w:val="2"/>
                <w:sz w:val="21"/>
                <w:szCs w:val="21"/>
              </w:rPr>
              <w:t>—</w:t>
            </w:r>
          </w:p>
        </w:tc>
        <w:tc>
          <w:tcPr>
            <w:tcW w:w="665" w:type="dxa"/>
            <w:shd w:val="clear" w:color="auto" w:fill="auto"/>
            <w:noWrap w:val="0"/>
            <w:vAlign w:val="center"/>
          </w:tcPr>
          <w:p>
            <w:pPr>
              <w:keepNext w:val="0"/>
              <w:keepLines w:val="0"/>
              <w:suppressLineNumbers w:val="0"/>
              <w:spacing w:before="0" w:beforeAutospacing="0" w:after="0" w:afterAutospacing="0" w:line="300" w:lineRule="exact"/>
              <w:ind w:left="0" w:right="0"/>
              <w:jc w:val="center"/>
              <w:rPr>
                <w:rFonts w:hint="default"/>
                <w:kern w:val="2"/>
                <w:sz w:val="21"/>
                <w:szCs w:val="21"/>
              </w:rPr>
            </w:pPr>
            <w:r>
              <w:rPr>
                <w:rFonts w:hint="default"/>
                <w:kern w:val="2"/>
                <w:sz w:val="21"/>
                <w:szCs w:val="21"/>
              </w:rPr>
              <w:t>—</w:t>
            </w:r>
          </w:p>
        </w:tc>
        <w:tc>
          <w:tcPr>
            <w:tcW w:w="585" w:type="dxa"/>
            <w:shd w:val="clear" w:color="auto" w:fill="C0C0C0"/>
            <w:noWrap w:val="0"/>
            <w:vAlign w:val="center"/>
          </w:tcPr>
          <w:p>
            <w:pPr>
              <w:keepNext w:val="0"/>
              <w:keepLines w:val="0"/>
              <w:suppressLineNumbers w:val="0"/>
              <w:spacing w:before="0" w:beforeAutospacing="0" w:after="0" w:afterAutospacing="0" w:line="300" w:lineRule="exact"/>
              <w:ind w:left="0" w:right="0"/>
              <w:jc w:val="center"/>
              <w:rPr>
                <w:rFonts w:hint="default"/>
                <w:b/>
                <w:bCs/>
                <w:kern w:val="2"/>
                <w:sz w:val="21"/>
                <w:szCs w:val="21"/>
              </w:rPr>
            </w:pPr>
            <w:r>
              <w:rPr>
                <w:rFonts w:hint="default"/>
                <w:b/>
                <w:bCs/>
                <w:kern w:val="2"/>
                <w:sz w:val="21"/>
                <w:szCs w:val="21"/>
              </w:rPr>
              <w:t>2</w:t>
            </w:r>
          </w:p>
        </w:tc>
        <w:tc>
          <w:tcPr>
            <w:tcW w:w="645" w:type="dxa"/>
            <w:shd w:val="clear" w:color="auto" w:fill="auto"/>
            <w:noWrap w:val="0"/>
            <w:vAlign w:val="center"/>
          </w:tcPr>
          <w:p>
            <w:pPr>
              <w:keepNext w:val="0"/>
              <w:keepLines w:val="0"/>
              <w:suppressLineNumbers w:val="0"/>
              <w:spacing w:before="0" w:beforeAutospacing="0" w:after="0" w:afterAutospacing="0" w:line="300" w:lineRule="exact"/>
              <w:ind w:left="0" w:right="0"/>
              <w:jc w:val="center"/>
              <w:rPr>
                <w:rFonts w:hint="default" w:eastAsia="宋体"/>
                <w:kern w:val="2"/>
                <w:sz w:val="21"/>
                <w:szCs w:val="21"/>
                <w:lang w:val="en-US" w:eastAsia="zh-CN"/>
              </w:rPr>
            </w:pPr>
            <w:r>
              <w:rPr>
                <w:rFonts w:hint="eastAsia"/>
                <w:kern w:val="2"/>
                <w:sz w:val="21"/>
                <w:szCs w:val="21"/>
                <w:lang w:val="en-US" w:eastAsia="zh-CN"/>
              </w:rPr>
              <w:t>8.9</w:t>
            </w:r>
          </w:p>
        </w:tc>
        <w:tc>
          <w:tcPr>
            <w:tcW w:w="390" w:type="dxa"/>
            <w:shd w:val="clear" w:color="auto" w:fill="C0C0C0"/>
            <w:noWrap w:val="0"/>
            <w:vAlign w:val="center"/>
          </w:tcPr>
          <w:p>
            <w:pPr>
              <w:keepNext w:val="0"/>
              <w:keepLines w:val="0"/>
              <w:suppressLineNumbers w:val="0"/>
              <w:spacing w:before="0" w:beforeAutospacing="0" w:after="0" w:afterAutospacing="0" w:line="300" w:lineRule="exact"/>
              <w:ind w:left="0" w:right="0"/>
              <w:jc w:val="center"/>
              <w:rPr>
                <w:rFonts w:hint="default"/>
                <w:b/>
                <w:bCs/>
                <w:kern w:val="2"/>
                <w:sz w:val="21"/>
                <w:szCs w:val="21"/>
              </w:rPr>
            </w:pPr>
            <w:r>
              <w:rPr>
                <w:rFonts w:hint="default"/>
                <w:b/>
                <w:bCs/>
                <w:kern w:val="2"/>
                <w:sz w:val="21"/>
                <w:szCs w:val="21"/>
              </w:rPr>
              <w:t>—</w:t>
            </w:r>
          </w:p>
        </w:tc>
        <w:tc>
          <w:tcPr>
            <w:tcW w:w="645" w:type="dxa"/>
            <w:shd w:val="clear" w:color="auto" w:fill="auto"/>
            <w:noWrap w:val="0"/>
            <w:vAlign w:val="center"/>
          </w:tcPr>
          <w:p>
            <w:pPr>
              <w:keepNext w:val="0"/>
              <w:keepLines w:val="0"/>
              <w:suppressLineNumbers w:val="0"/>
              <w:spacing w:before="0" w:beforeAutospacing="0" w:after="0" w:afterAutospacing="0" w:line="300" w:lineRule="exact"/>
              <w:ind w:left="0" w:right="0"/>
              <w:jc w:val="center"/>
              <w:rPr>
                <w:rFonts w:hint="default"/>
                <w:kern w:val="2"/>
                <w:sz w:val="21"/>
                <w:szCs w:val="21"/>
              </w:rPr>
            </w:pPr>
            <w:r>
              <w:rPr>
                <w:rFonts w:hint="default"/>
                <w:kern w:val="2"/>
                <w:sz w:val="21"/>
                <w:szCs w:val="21"/>
              </w:rPr>
              <w:t>—</w:t>
            </w:r>
          </w:p>
        </w:tc>
        <w:tc>
          <w:tcPr>
            <w:tcW w:w="525" w:type="dxa"/>
            <w:shd w:val="clear" w:color="auto" w:fill="C0C0C0"/>
            <w:noWrap w:val="0"/>
            <w:vAlign w:val="center"/>
          </w:tcPr>
          <w:p>
            <w:pPr>
              <w:keepNext w:val="0"/>
              <w:keepLines w:val="0"/>
              <w:suppressLineNumbers w:val="0"/>
              <w:spacing w:before="0" w:beforeAutospacing="0" w:after="0" w:afterAutospacing="0" w:line="300" w:lineRule="exact"/>
              <w:ind w:left="0" w:right="0"/>
              <w:jc w:val="center"/>
              <w:rPr>
                <w:rFonts w:hint="default"/>
                <w:b/>
                <w:bCs/>
                <w:kern w:val="2"/>
                <w:sz w:val="21"/>
                <w:szCs w:val="21"/>
              </w:rPr>
            </w:pPr>
            <w:r>
              <w:rPr>
                <w:rFonts w:hint="default"/>
                <w:b/>
                <w:bCs/>
                <w:kern w:val="2"/>
                <w:sz w:val="18"/>
                <w:szCs w:val="18"/>
              </w:rPr>
              <w:t>3.5</w:t>
            </w:r>
          </w:p>
        </w:tc>
        <w:tc>
          <w:tcPr>
            <w:tcW w:w="645" w:type="dxa"/>
            <w:noWrap w:val="0"/>
            <w:vAlign w:val="center"/>
          </w:tcPr>
          <w:p>
            <w:pPr>
              <w:keepNext w:val="0"/>
              <w:keepLines w:val="0"/>
              <w:suppressLineNumbers w:val="0"/>
              <w:spacing w:before="0" w:beforeAutospacing="0" w:after="0" w:afterAutospacing="0" w:line="300" w:lineRule="exact"/>
              <w:ind w:left="0" w:right="0"/>
              <w:jc w:val="center"/>
              <w:rPr>
                <w:rFonts w:hint="default"/>
                <w:kern w:val="2"/>
                <w:sz w:val="21"/>
                <w:szCs w:val="21"/>
              </w:rPr>
            </w:pPr>
            <w:r>
              <w:rPr>
                <w:rFonts w:hint="eastAsia"/>
                <w:kern w:val="2"/>
                <w:sz w:val="21"/>
                <w:szCs w:val="21"/>
              </w:rPr>
              <w:t>30.5</w:t>
            </w:r>
          </w:p>
        </w:tc>
        <w:tc>
          <w:tcPr>
            <w:tcW w:w="615" w:type="dxa"/>
            <w:shd w:val="clear" w:color="auto" w:fill="E6E0EC" w:themeFill="accent4" w:themeFillTint="32"/>
            <w:noWrap w:val="0"/>
            <w:vAlign w:val="center"/>
          </w:tcPr>
          <w:p>
            <w:pPr>
              <w:keepNext w:val="0"/>
              <w:keepLines w:val="0"/>
              <w:suppressLineNumbers w:val="0"/>
              <w:spacing w:before="0" w:beforeAutospacing="0" w:after="0" w:afterAutospacing="0" w:line="300" w:lineRule="exact"/>
              <w:ind w:left="0" w:right="0"/>
              <w:jc w:val="center"/>
              <w:rPr>
                <w:rFonts w:hint="eastAsia"/>
                <w:b/>
                <w:bCs/>
                <w:kern w:val="2"/>
                <w:sz w:val="21"/>
                <w:szCs w:val="21"/>
                <w:highlight w:val="none"/>
                <w:lang w:val="en-US" w:eastAsia="zh-CN"/>
              </w:rPr>
            </w:pPr>
            <w:r>
              <w:rPr>
                <w:rFonts w:hint="eastAsia"/>
                <w:b/>
                <w:bCs/>
                <w:kern w:val="2"/>
                <w:sz w:val="21"/>
                <w:szCs w:val="21"/>
                <w:highlight w:val="none"/>
                <w:lang w:val="en-US" w:eastAsia="zh-CN"/>
              </w:rPr>
              <w:t>6</w:t>
            </w:r>
          </w:p>
        </w:tc>
        <w:tc>
          <w:tcPr>
            <w:tcW w:w="820" w:type="dxa"/>
            <w:noWrap w:val="0"/>
            <w:vAlign w:val="center"/>
          </w:tcPr>
          <w:p>
            <w:pPr>
              <w:keepNext w:val="0"/>
              <w:keepLines w:val="0"/>
              <w:suppressLineNumbers w:val="0"/>
              <w:spacing w:before="0" w:beforeAutospacing="0" w:after="0" w:afterAutospacing="0" w:line="300" w:lineRule="exact"/>
              <w:ind w:left="0" w:right="0"/>
              <w:jc w:val="center"/>
              <w:rPr>
                <w:rFonts w:hint="default" w:eastAsia="宋体"/>
                <w:kern w:val="2"/>
                <w:sz w:val="21"/>
                <w:szCs w:val="21"/>
                <w:lang w:val="en-US" w:eastAsia="zh-CN"/>
              </w:rPr>
            </w:pPr>
            <w:r>
              <w:rPr>
                <w:rFonts w:hint="eastAsia"/>
                <w:kern w:val="2"/>
                <w:sz w:val="21"/>
                <w:szCs w:val="21"/>
                <w:lang w:val="en-US" w:eastAsia="zh-CN"/>
              </w:rPr>
              <w:t>27.5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78" w:type="dxa"/>
            <w:shd w:val="clear" w:color="auto" w:fill="auto"/>
            <w:noWrap w:val="0"/>
            <w:vAlign w:val="center"/>
          </w:tcPr>
          <w:p>
            <w:pPr>
              <w:keepNext w:val="0"/>
              <w:keepLines w:val="0"/>
              <w:suppressLineNumbers w:val="0"/>
              <w:spacing w:before="0" w:beforeAutospacing="0" w:after="0" w:afterAutospacing="0" w:line="300" w:lineRule="exact"/>
              <w:ind w:left="0" w:right="0"/>
              <w:jc w:val="center"/>
              <w:rPr>
                <w:rFonts w:hint="eastAsia"/>
                <w:b w:val="0"/>
                <w:bCs w:val="0"/>
                <w:kern w:val="2"/>
                <w:sz w:val="21"/>
                <w:szCs w:val="21"/>
              </w:rPr>
            </w:pPr>
            <w:r>
              <w:rPr>
                <w:rFonts w:hint="default"/>
                <w:b w:val="0"/>
                <w:bCs w:val="0"/>
                <w:kern w:val="2"/>
                <w:sz w:val="21"/>
                <w:szCs w:val="21"/>
              </w:rPr>
              <w:t>油品</w:t>
            </w:r>
          </w:p>
          <w:p>
            <w:pPr>
              <w:keepNext w:val="0"/>
              <w:keepLines w:val="0"/>
              <w:suppressLineNumbers w:val="0"/>
              <w:spacing w:before="0" w:beforeAutospacing="0" w:after="0" w:afterAutospacing="0" w:line="300" w:lineRule="exact"/>
              <w:ind w:left="0" w:right="0"/>
              <w:jc w:val="center"/>
              <w:rPr>
                <w:rFonts w:hint="default"/>
                <w:b w:val="0"/>
                <w:bCs w:val="0"/>
                <w:kern w:val="2"/>
                <w:sz w:val="21"/>
                <w:szCs w:val="21"/>
              </w:rPr>
            </w:pPr>
            <w:r>
              <w:rPr>
                <w:rFonts w:hint="default"/>
                <w:b w:val="0"/>
                <w:bCs w:val="0"/>
                <w:kern w:val="2"/>
                <w:sz w:val="21"/>
                <w:szCs w:val="21"/>
              </w:rPr>
              <w:t>卸油点</w:t>
            </w:r>
          </w:p>
        </w:tc>
        <w:tc>
          <w:tcPr>
            <w:tcW w:w="555" w:type="dxa"/>
            <w:shd w:val="clear" w:color="auto" w:fill="B3B3B3"/>
            <w:noWrap w:val="0"/>
            <w:vAlign w:val="center"/>
          </w:tcPr>
          <w:p>
            <w:pPr>
              <w:keepNext w:val="0"/>
              <w:keepLines w:val="0"/>
              <w:suppressLineNumbers w:val="0"/>
              <w:spacing w:before="0" w:beforeAutospacing="0" w:after="0" w:afterAutospacing="0" w:line="300" w:lineRule="exact"/>
              <w:ind w:left="0" w:right="0"/>
              <w:jc w:val="center"/>
              <w:rPr>
                <w:rFonts w:hint="default"/>
                <w:b/>
                <w:bCs/>
                <w:kern w:val="2"/>
                <w:sz w:val="21"/>
                <w:szCs w:val="21"/>
              </w:rPr>
            </w:pPr>
            <w:r>
              <w:rPr>
                <w:rFonts w:hint="default"/>
                <w:b/>
                <w:bCs/>
                <w:kern w:val="2"/>
                <w:sz w:val="21"/>
                <w:szCs w:val="21"/>
              </w:rPr>
              <w:t>—</w:t>
            </w:r>
          </w:p>
        </w:tc>
        <w:tc>
          <w:tcPr>
            <w:tcW w:w="645" w:type="dxa"/>
            <w:shd w:val="clear" w:color="auto" w:fill="auto"/>
            <w:noWrap w:val="0"/>
            <w:vAlign w:val="center"/>
          </w:tcPr>
          <w:p>
            <w:pPr>
              <w:keepNext w:val="0"/>
              <w:keepLines w:val="0"/>
              <w:suppressLineNumbers w:val="0"/>
              <w:spacing w:before="0" w:beforeAutospacing="0" w:after="0" w:afterAutospacing="0" w:line="300" w:lineRule="exact"/>
              <w:ind w:left="0" w:right="0"/>
              <w:jc w:val="center"/>
              <w:rPr>
                <w:rFonts w:hint="default"/>
                <w:kern w:val="2"/>
                <w:sz w:val="21"/>
                <w:szCs w:val="21"/>
              </w:rPr>
            </w:pPr>
            <w:r>
              <w:rPr>
                <w:rFonts w:hint="default"/>
                <w:kern w:val="2"/>
                <w:sz w:val="21"/>
                <w:szCs w:val="21"/>
              </w:rPr>
              <w:t>—</w:t>
            </w:r>
          </w:p>
        </w:tc>
        <w:tc>
          <w:tcPr>
            <w:tcW w:w="585" w:type="dxa"/>
            <w:shd w:val="clear" w:color="auto" w:fill="B3B3B3"/>
            <w:noWrap w:val="0"/>
            <w:vAlign w:val="center"/>
          </w:tcPr>
          <w:p>
            <w:pPr>
              <w:keepNext w:val="0"/>
              <w:keepLines w:val="0"/>
              <w:suppressLineNumbers w:val="0"/>
              <w:spacing w:before="0" w:beforeAutospacing="0" w:after="0" w:afterAutospacing="0" w:line="300" w:lineRule="exact"/>
              <w:ind w:left="0" w:right="0"/>
              <w:jc w:val="center"/>
              <w:rPr>
                <w:rFonts w:hint="default"/>
                <w:b/>
                <w:bCs/>
                <w:kern w:val="2"/>
                <w:sz w:val="21"/>
                <w:szCs w:val="21"/>
              </w:rPr>
            </w:pPr>
            <w:r>
              <w:rPr>
                <w:rFonts w:hint="default"/>
                <w:b/>
                <w:bCs/>
                <w:kern w:val="2"/>
                <w:sz w:val="21"/>
                <w:szCs w:val="21"/>
              </w:rPr>
              <w:t>—</w:t>
            </w:r>
          </w:p>
        </w:tc>
        <w:tc>
          <w:tcPr>
            <w:tcW w:w="645" w:type="dxa"/>
            <w:shd w:val="clear" w:color="auto" w:fill="auto"/>
            <w:noWrap w:val="0"/>
            <w:vAlign w:val="center"/>
          </w:tcPr>
          <w:p>
            <w:pPr>
              <w:keepNext w:val="0"/>
              <w:keepLines w:val="0"/>
              <w:suppressLineNumbers w:val="0"/>
              <w:spacing w:before="0" w:beforeAutospacing="0" w:after="0" w:afterAutospacing="0" w:line="300" w:lineRule="exact"/>
              <w:ind w:left="0" w:right="0"/>
              <w:jc w:val="center"/>
              <w:rPr>
                <w:rFonts w:hint="default"/>
                <w:kern w:val="2"/>
                <w:sz w:val="21"/>
                <w:szCs w:val="21"/>
              </w:rPr>
            </w:pPr>
            <w:r>
              <w:rPr>
                <w:rFonts w:hint="default"/>
                <w:kern w:val="2"/>
                <w:sz w:val="21"/>
                <w:szCs w:val="21"/>
              </w:rPr>
              <w:t>—</w:t>
            </w:r>
          </w:p>
        </w:tc>
        <w:tc>
          <w:tcPr>
            <w:tcW w:w="480" w:type="dxa"/>
            <w:shd w:val="clear" w:color="auto" w:fill="B3B3B3"/>
            <w:noWrap w:val="0"/>
            <w:vAlign w:val="center"/>
          </w:tcPr>
          <w:p>
            <w:pPr>
              <w:keepNext w:val="0"/>
              <w:keepLines w:val="0"/>
              <w:suppressLineNumbers w:val="0"/>
              <w:spacing w:before="0" w:beforeAutospacing="0" w:after="0" w:afterAutospacing="0" w:line="300" w:lineRule="exact"/>
              <w:ind w:left="0" w:right="0"/>
              <w:jc w:val="center"/>
              <w:rPr>
                <w:rFonts w:hint="default"/>
                <w:b/>
                <w:bCs/>
                <w:kern w:val="2"/>
                <w:sz w:val="21"/>
                <w:szCs w:val="21"/>
              </w:rPr>
            </w:pPr>
            <w:r>
              <w:rPr>
                <w:rFonts w:hint="default"/>
                <w:b/>
                <w:bCs/>
                <w:kern w:val="2"/>
                <w:sz w:val="21"/>
                <w:szCs w:val="21"/>
              </w:rPr>
              <w:t>3</w:t>
            </w:r>
          </w:p>
        </w:tc>
        <w:tc>
          <w:tcPr>
            <w:tcW w:w="705" w:type="dxa"/>
            <w:shd w:val="clear" w:color="auto" w:fill="auto"/>
            <w:noWrap w:val="0"/>
            <w:vAlign w:val="center"/>
          </w:tcPr>
          <w:p>
            <w:pPr>
              <w:keepNext w:val="0"/>
              <w:keepLines w:val="0"/>
              <w:suppressLineNumbers w:val="0"/>
              <w:spacing w:before="0" w:beforeAutospacing="0" w:after="0" w:afterAutospacing="0" w:line="300" w:lineRule="exact"/>
              <w:ind w:left="0" w:right="0"/>
              <w:jc w:val="center"/>
              <w:rPr>
                <w:rFonts w:hint="default"/>
                <w:kern w:val="2"/>
                <w:sz w:val="21"/>
                <w:szCs w:val="21"/>
              </w:rPr>
            </w:pPr>
            <w:r>
              <w:rPr>
                <w:rFonts w:hint="eastAsia"/>
                <w:kern w:val="2"/>
                <w:sz w:val="21"/>
                <w:szCs w:val="21"/>
              </w:rPr>
              <w:t>7.3</w:t>
            </w:r>
          </w:p>
        </w:tc>
        <w:tc>
          <w:tcPr>
            <w:tcW w:w="445" w:type="dxa"/>
            <w:shd w:val="clear" w:color="auto" w:fill="C0C0C0"/>
            <w:noWrap w:val="0"/>
            <w:vAlign w:val="center"/>
          </w:tcPr>
          <w:p>
            <w:pPr>
              <w:keepNext w:val="0"/>
              <w:keepLines w:val="0"/>
              <w:suppressLineNumbers w:val="0"/>
              <w:spacing w:before="0" w:beforeAutospacing="0" w:after="0" w:afterAutospacing="0" w:line="300" w:lineRule="exact"/>
              <w:ind w:left="0" w:right="0"/>
              <w:jc w:val="center"/>
              <w:rPr>
                <w:rFonts w:hint="default"/>
                <w:b/>
                <w:bCs/>
                <w:kern w:val="2"/>
                <w:sz w:val="21"/>
                <w:szCs w:val="21"/>
              </w:rPr>
            </w:pPr>
            <w:r>
              <w:rPr>
                <w:rFonts w:hint="default"/>
                <w:b/>
                <w:bCs/>
                <w:kern w:val="2"/>
                <w:sz w:val="21"/>
                <w:szCs w:val="21"/>
              </w:rPr>
              <w:t>2</w:t>
            </w:r>
          </w:p>
        </w:tc>
        <w:tc>
          <w:tcPr>
            <w:tcW w:w="665" w:type="dxa"/>
            <w:shd w:val="clear" w:color="auto" w:fill="auto"/>
            <w:noWrap w:val="0"/>
            <w:vAlign w:val="center"/>
          </w:tcPr>
          <w:p>
            <w:pPr>
              <w:keepNext w:val="0"/>
              <w:keepLines w:val="0"/>
              <w:suppressLineNumbers w:val="0"/>
              <w:spacing w:before="0" w:beforeAutospacing="0" w:after="0" w:afterAutospacing="0" w:line="300" w:lineRule="exact"/>
              <w:ind w:left="0" w:right="0"/>
              <w:jc w:val="center"/>
              <w:rPr>
                <w:rFonts w:hint="default"/>
                <w:kern w:val="2"/>
                <w:sz w:val="21"/>
                <w:szCs w:val="21"/>
              </w:rPr>
            </w:pPr>
            <w:r>
              <w:rPr>
                <w:rFonts w:hint="eastAsia"/>
                <w:kern w:val="2"/>
                <w:sz w:val="21"/>
                <w:szCs w:val="21"/>
              </w:rPr>
              <w:t>7.3</w:t>
            </w:r>
          </w:p>
        </w:tc>
        <w:tc>
          <w:tcPr>
            <w:tcW w:w="585" w:type="dxa"/>
            <w:shd w:val="clear" w:color="auto" w:fill="C0C0C0"/>
            <w:noWrap w:val="0"/>
            <w:vAlign w:val="center"/>
          </w:tcPr>
          <w:p>
            <w:pPr>
              <w:keepNext w:val="0"/>
              <w:keepLines w:val="0"/>
              <w:suppressLineNumbers w:val="0"/>
              <w:spacing w:before="0" w:beforeAutospacing="0" w:after="0" w:afterAutospacing="0" w:line="300" w:lineRule="exact"/>
              <w:ind w:left="0" w:right="0"/>
              <w:jc w:val="center"/>
              <w:rPr>
                <w:rFonts w:hint="default"/>
                <w:b/>
                <w:bCs/>
                <w:kern w:val="2"/>
                <w:sz w:val="21"/>
                <w:szCs w:val="21"/>
              </w:rPr>
            </w:pPr>
            <w:r>
              <w:rPr>
                <w:rFonts w:hint="default"/>
                <w:b/>
                <w:bCs/>
                <w:kern w:val="2"/>
                <w:sz w:val="21"/>
                <w:szCs w:val="21"/>
              </w:rPr>
              <w:t>—</w:t>
            </w:r>
          </w:p>
        </w:tc>
        <w:tc>
          <w:tcPr>
            <w:tcW w:w="645" w:type="dxa"/>
            <w:shd w:val="clear" w:color="auto" w:fill="auto"/>
            <w:noWrap w:val="0"/>
            <w:vAlign w:val="center"/>
          </w:tcPr>
          <w:p>
            <w:pPr>
              <w:keepNext w:val="0"/>
              <w:keepLines w:val="0"/>
              <w:suppressLineNumbers w:val="0"/>
              <w:spacing w:before="0" w:beforeAutospacing="0" w:after="0" w:afterAutospacing="0" w:line="300" w:lineRule="exact"/>
              <w:ind w:left="0" w:right="0"/>
              <w:jc w:val="center"/>
              <w:rPr>
                <w:rFonts w:hint="default"/>
                <w:kern w:val="2"/>
                <w:sz w:val="21"/>
                <w:szCs w:val="21"/>
              </w:rPr>
            </w:pPr>
            <w:r>
              <w:rPr>
                <w:rFonts w:hint="default"/>
                <w:kern w:val="2"/>
                <w:sz w:val="21"/>
                <w:szCs w:val="21"/>
              </w:rPr>
              <w:t>—</w:t>
            </w:r>
          </w:p>
        </w:tc>
        <w:tc>
          <w:tcPr>
            <w:tcW w:w="390" w:type="dxa"/>
            <w:shd w:val="clear" w:color="auto" w:fill="C0C0C0"/>
            <w:noWrap w:val="0"/>
            <w:vAlign w:val="center"/>
          </w:tcPr>
          <w:p>
            <w:pPr>
              <w:keepNext w:val="0"/>
              <w:keepLines w:val="0"/>
              <w:suppressLineNumbers w:val="0"/>
              <w:spacing w:before="0" w:beforeAutospacing="0" w:after="0" w:afterAutospacing="0" w:line="300" w:lineRule="exact"/>
              <w:ind w:left="0" w:right="0"/>
              <w:jc w:val="center"/>
              <w:rPr>
                <w:rFonts w:hint="default"/>
                <w:b/>
                <w:bCs/>
                <w:kern w:val="2"/>
                <w:sz w:val="21"/>
                <w:szCs w:val="21"/>
              </w:rPr>
            </w:pPr>
            <w:r>
              <w:rPr>
                <w:rFonts w:hint="default"/>
                <w:b/>
                <w:bCs/>
                <w:kern w:val="2"/>
                <w:sz w:val="21"/>
                <w:szCs w:val="21"/>
              </w:rPr>
              <w:t>—</w:t>
            </w:r>
          </w:p>
        </w:tc>
        <w:tc>
          <w:tcPr>
            <w:tcW w:w="645" w:type="dxa"/>
            <w:shd w:val="clear" w:color="auto" w:fill="auto"/>
            <w:noWrap w:val="0"/>
            <w:vAlign w:val="center"/>
          </w:tcPr>
          <w:p>
            <w:pPr>
              <w:keepNext w:val="0"/>
              <w:keepLines w:val="0"/>
              <w:suppressLineNumbers w:val="0"/>
              <w:spacing w:before="0" w:beforeAutospacing="0" w:after="0" w:afterAutospacing="0" w:line="300" w:lineRule="exact"/>
              <w:ind w:left="0" w:right="0"/>
              <w:jc w:val="center"/>
              <w:rPr>
                <w:rFonts w:hint="default"/>
                <w:kern w:val="2"/>
                <w:sz w:val="21"/>
                <w:szCs w:val="21"/>
              </w:rPr>
            </w:pPr>
            <w:r>
              <w:rPr>
                <w:rFonts w:hint="default"/>
                <w:kern w:val="2"/>
                <w:sz w:val="21"/>
                <w:szCs w:val="21"/>
              </w:rPr>
              <w:t>—</w:t>
            </w:r>
          </w:p>
        </w:tc>
        <w:tc>
          <w:tcPr>
            <w:tcW w:w="525" w:type="dxa"/>
            <w:shd w:val="clear" w:color="auto" w:fill="C0C0C0"/>
            <w:noWrap w:val="0"/>
            <w:vAlign w:val="center"/>
          </w:tcPr>
          <w:p>
            <w:pPr>
              <w:keepNext w:val="0"/>
              <w:keepLines w:val="0"/>
              <w:suppressLineNumbers w:val="0"/>
              <w:spacing w:before="0" w:beforeAutospacing="0" w:after="0" w:afterAutospacing="0" w:line="300" w:lineRule="exact"/>
              <w:ind w:left="0" w:right="0"/>
              <w:jc w:val="center"/>
              <w:rPr>
                <w:rFonts w:hint="default"/>
                <w:b/>
                <w:bCs/>
                <w:kern w:val="2"/>
                <w:sz w:val="21"/>
                <w:szCs w:val="21"/>
              </w:rPr>
            </w:pPr>
            <w:r>
              <w:rPr>
                <w:rFonts w:hint="default"/>
                <w:b/>
                <w:bCs/>
                <w:kern w:val="2"/>
                <w:sz w:val="21"/>
                <w:szCs w:val="21"/>
              </w:rPr>
              <w:t>5</w:t>
            </w:r>
          </w:p>
        </w:tc>
        <w:tc>
          <w:tcPr>
            <w:tcW w:w="645" w:type="dxa"/>
            <w:noWrap w:val="0"/>
            <w:vAlign w:val="center"/>
          </w:tcPr>
          <w:p>
            <w:pPr>
              <w:keepNext w:val="0"/>
              <w:keepLines w:val="0"/>
              <w:suppressLineNumbers w:val="0"/>
              <w:spacing w:before="0" w:beforeAutospacing="0" w:after="0" w:afterAutospacing="0" w:line="300" w:lineRule="exact"/>
              <w:ind w:left="0" w:right="0"/>
              <w:jc w:val="center"/>
              <w:rPr>
                <w:rFonts w:hint="eastAsia"/>
                <w:kern w:val="2"/>
                <w:sz w:val="21"/>
                <w:szCs w:val="21"/>
              </w:rPr>
            </w:pPr>
            <w:r>
              <w:rPr>
                <w:rFonts w:hint="eastAsia"/>
                <w:kern w:val="2"/>
                <w:sz w:val="21"/>
                <w:szCs w:val="21"/>
              </w:rPr>
              <w:t>27.0</w:t>
            </w:r>
          </w:p>
        </w:tc>
        <w:tc>
          <w:tcPr>
            <w:tcW w:w="615" w:type="dxa"/>
            <w:shd w:val="clear" w:color="auto" w:fill="E6E0EC" w:themeFill="accent4" w:themeFillTint="32"/>
            <w:noWrap w:val="0"/>
            <w:vAlign w:val="center"/>
          </w:tcPr>
          <w:p>
            <w:pPr>
              <w:keepNext w:val="0"/>
              <w:keepLines w:val="0"/>
              <w:suppressLineNumbers w:val="0"/>
              <w:spacing w:before="0" w:beforeAutospacing="0" w:after="0" w:afterAutospacing="0" w:line="300" w:lineRule="exact"/>
              <w:ind w:left="0" w:right="0"/>
              <w:jc w:val="center"/>
              <w:rPr>
                <w:rFonts w:hint="default" w:eastAsia="宋体"/>
                <w:b/>
                <w:bCs/>
                <w:kern w:val="2"/>
                <w:sz w:val="21"/>
                <w:szCs w:val="21"/>
                <w:highlight w:val="none"/>
                <w:lang w:val="en-US" w:eastAsia="zh-CN"/>
              </w:rPr>
            </w:pPr>
            <w:r>
              <w:rPr>
                <w:rFonts w:hint="eastAsia"/>
                <w:b/>
                <w:bCs/>
                <w:kern w:val="2"/>
                <w:sz w:val="21"/>
                <w:szCs w:val="21"/>
                <w:highlight w:val="none"/>
                <w:lang w:val="en-US" w:eastAsia="zh-CN"/>
              </w:rPr>
              <w:t>4.5</w:t>
            </w:r>
          </w:p>
        </w:tc>
        <w:tc>
          <w:tcPr>
            <w:tcW w:w="820" w:type="dxa"/>
            <w:noWrap w:val="0"/>
            <w:vAlign w:val="center"/>
          </w:tcPr>
          <w:p>
            <w:pPr>
              <w:keepNext w:val="0"/>
              <w:keepLines w:val="0"/>
              <w:suppressLineNumbers w:val="0"/>
              <w:spacing w:before="0" w:beforeAutospacing="0" w:after="0" w:afterAutospacing="0" w:line="300" w:lineRule="exact"/>
              <w:ind w:left="0" w:leftChars="0" w:right="0" w:rightChars="0"/>
              <w:jc w:val="center"/>
              <w:rPr>
                <w:rFonts w:hint="default" w:ascii="宋体" w:hAnsi="宋体" w:eastAsia="宋体" w:cs="宋体"/>
                <w:b/>
                <w:bCs/>
                <w:kern w:val="2"/>
                <w:sz w:val="21"/>
                <w:szCs w:val="21"/>
                <w:lang w:val="en-US" w:eastAsia="zh-CN" w:bidi="zh-CN"/>
              </w:rPr>
            </w:pPr>
            <w:r>
              <w:rPr>
                <w:rFonts w:hint="eastAsia"/>
                <w:b w:val="0"/>
                <w:bCs w:val="0"/>
                <w:kern w:val="2"/>
                <w:sz w:val="21"/>
                <w:szCs w:val="21"/>
                <w:lang w:val="en-US" w:eastAsia="zh-CN"/>
              </w:rPr>
              <w:t>28.2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2" w:hRule="atLeast"/>
          <w:jc w:val="center"/>
        </w:trPr>
        <w:tc>
          <w:tcPr>
            <w:tcW w:w="878" w:type="dxa"/>
            <w:vMerge w:val="restart"/>
            <w:shd w:val="clear" w:color="auto" w:fill="auto"/>
            <w:noWrap w:val="0"/>
            <w:vAlign w:val="center"/>
          </w:tcPr>
          <w:p>
            <w:pPr>
              <w:keepNext w:val="0"/>
              <w:keepLines w:val="0"/>
              <w:suppressLineNumbers w:val="0"/>
              <w:spacing w:before="0" w:beforeAutospacing="0" w:after="0" w:afterAutospacing="0" w:line="300" w:lineRule="exact"/>
              <w:ind w:left="0" w:right="0"/>
              <w:jc w:val="center"/>
              <w:rPr>
                <w:rFonts w:hint="default"/>
                <w:b w:val="0"/>
                <w:bCs w:val="0"/>
                <w:kern w:val="2"/>
                <w:sz w:val="21"/>
                <w:szCs w:val="21"/>
              </w:rPr>
            </w:pPr>
            <w:r>
              <w:rPr>
                <w:rFonts w:hint="default"/>
                <w:b w:val="0"/>
                <w:bCs w:val="0"/>
                <w:kern w:val="2"/>
                <w:sz w:val="21"/>
                <w:szCs w:val="21"/>
              </w:rPr>
              <w:t>加油机</w:t>
            </w:r>
          </w:p>
        </w:tc>
        <w:tc>
          <w:tcPr>
            <w:tcW w:w="555" w:type="dxa"/>
            <w:vMerge w:val="restart"/>
            <w:shd w:val="clear" w:color="auto" w:fill="B3B3B3"/>
            <w:noWrap w:val="0"/>
            <w:vAlign w:val="center"/>
          </w:tcPr>
          <w:p>
            <w:pPr>
              <w:keepNext w:val="0"/>
              <w:keepLines w:val="0"/>
              <w:suppressLineNumbers w:val="0"/>
              <w:spacing w:before="0" w:beforeAutospacing="0" w:after="0" w:afterAutospacing="0" w:line="300" w:lineRule="exact"/>
              <w:ind w:left="0" w:right="0"/>
              <w:jc w:val="center"/>
              <w:rPr>
                <w:rFonts w:hint="default"/>
                <w:b/>
                <w:bCs/>
                <w:kern w:val="2"/>
                <w:sz w:val="21"/>
                <w:szCs w:val="21"/>
              </w:rPr>
            </w:pPr>
            <w:r>
              <w:rPr>
                <w:rFonts w:hint="default"/>
                <w:b/>
                <w:bCs/>
                <w:kern w:val="2"/>
                <w:sz w:val="21"/>
                <w:szCs w:val="21"/>
              </w:rPr>
              <w:t>—</w:t>
            </w:r>
          </w:p>
        </w:tc>
        <w:tc>
          <w:tcPr>
            <w:tcW w:w="645" w:type="dxa"/>
            <w:vMerge w:val="restart"/>
            <w:shd w:val="clear" w:color="auto" w:fill="auto"/>
            <w:noWrap w:val="0"/>
            <w:vAlign w:val="center"/>
          </w:tcPr>
          <w:p>
            <w:pPr>
              <w:keepNext w:val="0"/>
              <w:keepLines w:val="0"/>
              <w:suppressLineNumbers w:val="0"/>
              <w:spacing w:before="0" w:beforeAutospacing="0" w:after="0" w:afterAutospacing="0" w:line="300" w:lineRule="exact"/>
              <w:ind w:left="0" w:right="0"/>
              <w:jc w:val="center"/>
              <w:rPr>
                <w:rFonts w:hint="default"/>
                <w:kern w:val="2"/>
                <w:sz w:val="21"/>
                <w:szCs w:val="21"/>
              </w:rPr>
            </w:pPr>
            <w:r>
              <w:rPr>
                <w:rFonts w:hint="default"/>
                <w:kern w:val="2"/>
                <w:sz w:val="21"/>
                <w:szCs w:val="21"/>
              </w:rPr>
              <w:t>—</w:t>
            </w:r>
          </w:p>
        </w:tc>
        <w:tc>
          <w:tcPr>
            <w:tcW w:w="585" w:type="dxa"/>
            <w:vMerge w:val="restart"/>
            <w:shd w:val="clear" w:color="auto" w:fill="B3B3B3"/>
            <w:noWrap w:val="0"/>
            <w:vAlign w:val="center"/>
          </w:tcPr>
          <w:p>
            <w:pPr>
              <w:keepNext w:val="0"/>
              <w:keepLines w:val="0"/>
              <w:suppressLineNumbers w:val="0"/>
              <w:spacing w:before="0" w:beforeAutospacing="0" w:after="0" w:afterAutospacing="0" w:line="300" w:lineRule="exact"/>
              <w:ind w:left="0" w:right="0"/>
              <w:jc w:val="center"/>
              <w:rPr>
                <w:rFonts w:hint="default"/>
                <w:b/>
                <w:bCs/>
                <w:kern w:val="2"/>
                <w:sz w:val="21"/>
                <w:szCs w:val="21"/>
              </w:rPr>
            </w:pPr>
            <w:r>
              <w:rPr>
                <w:rFonts w:hint="default"/>
                <w:b/>
                <w:bCs/>
                <w:kern w:val="2"/>
                <w:sz w:val="21"/>
                <w:szCs w:val="21"/>
              </w:rPr>
              <w:t>—</w:t>
            </w:r>
          </w:p>
        </w:tc>
        <w:tc>
          <w:tcPr>
            <w:tcW w:w="645" w:type="dxa"/>
            <w:vMerge w:val="restart"/>
            <w:shd w:val="clear" w:color="auto" w:fill="auto"/>
            <w:noWrap w:val="0"/>
            <w:vAlign w:val="center"/>
          </w:tcPr>
          <w:p>
            <w:pPr>
              <w:keepNext w:val="0"/>
              <w:keepLines w:val="0"/>
              <w:suppressLineNumbers w:val="0"/>
              <w:spacing w:before="0" w:beforeAutospacing="0" w:after="0" w:afterAutospacing="0" w:line="300" w:lineRule="exact"/>
              <w:ind w:left="0" w:right="0"/>
              <w:jc w:val="center"/>
              <w:rPr>
                <w:rFonts w:hint="default"/>
                <w:kern w:val="2"/>
                <w:sz w:val="21"/>
                <w:szCs w:val="21"/>
              </w:rPr>
            </w:pPr>
            <w:r>
              <w:rPr>
                <w:rFonts w:hint="default"/>
                <w:kern w:val="2"/>
                <w:sz w:val="21"/>
                <w:szCs w:val="21"/>
              </w:rPr>
              <w:t>—</w:t>
            </w:r>
          </w:p>
        </w:tc>
        <w:tc>
          <w:tcPr>
            <w:tcW w:w="480" w:type="dxa"/>
            <w:vMerge w:val="restart"/>
            <w:shd w:val="clear" w:color="auto" w:fill="B3B3B3"/>
            <w:noWrap w:val="0"/>
            <w:vAlign w:val="center"/>
          </w:tcPr>
          <w:p>
            <w:pPr>
              <w:keepNext w:val="0"/>
              <w:keepLines w:val="0"/>
              <w:suppressLineNumbers w:val="0"/>
              <w:spacing w:before="0" w:beforeAutospacing="0" w:after="0" w:afterAutospacing="0" w:line="300" w:lineRule="exact"/>
              <w:ind w:left="0" w:right="0"/>
              <w:jc w:val="center"/>
              <w:rPr>
                <w:rFonts w:hint="default"/>
                <w:b/>
                <w:bCs/>
                <w:kern w:val="2"/>
                <w:sz w:val="21"/>
                <w:szCs w:val="21"/>
              </w:rPr>
            </w:pPr>
            <w:r>
              <w:rPr>
                <w:rFonts w:hint="default"/>
                <w:b/>
                <w:bCs/>
                <w:kern w:val="2"/>
                <w:sz w:val="21"/>
                <w:szCs w:val="21"/>
              </w:rPr>
              <w:t>—</w:t>
            </w:r>
          </w:p>
        </w:tc>
        <w:tc>
          <w:tcPr>
            <w:tcW w:w="705" w:type="dxa"/>
            <w:vMerge w:val="restart"/>
            <w:shd w:val="clear" w:color="auto" w:fill="auto"/>
            <w:noWrap w:val="0"/>
            <w:vAlign w:val="center"/>
          </w:tcPr>
          <w:p>
            <w:pPr>
              <w:keepNext w:val="0"/>
              <w:keepLines w:val="0"/>
              <w:suppressLineNumbers w:val="0"/>
              <w:spacing w:before="0" w:beforeAutospacing="0" w:after="0" w:afterAutospacing="0" w:line="300" w:lineRule="exact"/>
              <w:ind w:left="0" w:right="0"/>
              <w:jc w:val="center"/>
              <w:rPr>
                <w:rFonts w:hint="default"/>
                <w:kern w:val="2"/>
                <w:sz w:val="21"/>
                <w:szCs w:val="21"/>
              </w:rPr>
            </w:pPr>
            <w:r>
              <w:rPr>
                <w:rFonts w:hint="default"/>
                <w:kern w:val="2"/>
                <w:sz w:val="21"/>
                <w:szCs w:val="21"/>
              </w:rPr>
              <w:t>—</w:t>
            </w:r>
          </w:p>
        </w:tc>
        <w:tc>
          <w:tcPr>
            <w:tcW w:w="445" w:type="dxa"/>
            <w:vMerge w:val="restart"/>
            <w:shd w:val="clear" w:color="auto" w:fill="C0C0C0"/>
            <w:noWrap w:val="0"/>
            <w:vAlign w:val="center"/>
          </w:tcPr>
          <w:p>
            <w:pPr>
              <w:keepNext w:val="0"/>
              <w:keepLines w:val="0"/>
              <w:suppressLineNumbers w:val="0"/>
              <w:spacing w:before="0" w:beforeAutospacing="0" w:after="0" w:afterAutospacing="0" w:line="300" w:lineRule="exact"/>
              <w:ind w:left="0" w:right="0"/>
              <w:jc w:val="center"/>
              <w:rPr>
                <w:rFonts w:hint="default"/>
                <w:b/>
                <w:bCs/>
                <w:kern w:val="2"/>
                <w:sz w:val="21"/>
                <w:szCs w:val="21"/>
              </w:rPr>
            </w:pPr>
            <w:r>
              <w:rPr>
                <w:rFonts w:hint="default"/>
                <w:b/>
                <w:bCs/>
                <w:kern w:val="2"/>
                <w:sz w:val="21"/>
                <w:szCs w:val="21"/>
              </w:rPr>
              <w:t>—</w:t>
            </w:r>
          </w:p>
        </w:tc>
        <w:tc>
          <w:tcPr>
            <w:tcW w:w="665" w:type="dxa"/>
            <w:vMerge w:val="restart"/>
            <w:shd w:val="clear" w:color="auto" w:fill="auto"/>
            <w:noWrap w:val="0"/>
            <w:vAlign w:val="center"/>
          </w:tcPr>
          <w:p>
            <w:pPr>
              <w:keepNext w:val="0"/>
              <w:keepLines w:val="0"/>
              <w:suppressLineNumbers w:val="0"/>
              <w:spacing w:before="0" w:beforeAutospacing="0" w:after="0" w:afterAutospacing="0" w:line="300" w:lineRule="exact"/>
              <w:ind w:left="0" w:right="0"/>
              <w:jc w:val="center"/>
              <w:rPr>
                <w:rFonts w:hint="default"/>
                <w:kern w:val="2"/>
                <w:sz w:val="21"/>
                <w:szCs w:val="21"/>
              </w:rPr>
            </w:pPr>
            <w:r>
              <w:rPr>
                <w:rFonts w:hint="default"/>
                <w:kern w:val="2"/>
                <w:sz w:val="21"/>
                <w:szCs w:val="21"/>
              </w:rPr>
              <w:t>—</w:t>
            </w:r>
          </w:p>
        </w:tc>
        <w:tc>
          <w:tcPr>
            <w:tcW w:w="585" w:type="dxa"/>
            <w:vMerge w:val="restart"/>
            <w:shd w:val="clear" w:color="auto" w:fill="C0C0C0"/>
            <w:noWrap w:val="0"/>
            <w:vAlign w:val="center"/>
          </w:tcPr>
          <w:p>
            <w:pPr>
              <w:keepNext w:val="0"/>
              <w:keepLines w:val="0"/>
              <w:suppressLineNumbers w:val="0"/>
              <w:spacing w:before="0" w:beforeAutospacing="0" w:after="0" w:afterAutospacing="0" w:line="300" w:lineRule="exact"/>
              <w:ind w:left="0" w:right="0"/>
              <w:jc w:val="center"/>
              <w:rPr>
                <w:rFonts w:hint="default"/>
                <w:b/>
                <w:bCs/>
                <w:kern w:val="2"/>
                <w:sz w:val="21"/>
                <w:szCs w:val="21"/>
              </w:rPr>
            </w:pPr>
            <w:r>
              <w:rPr>
                <w:rFonts w:hint="default"/>
                <w:b/>
                <w:bCs/>
                <w:kern w:val="2"/>
                <w:sz w:val="21"/>
                <w:szCs w:val="21"/>
              </w:rPr>
              <w:t>—</w:t>
            </w:r>
          </w:p>
        </w:tc>
        <w:tc>
          <w:tcPr>
            <w:tcW w:w="645" w:type="dxa"/>
            <w:vMerge w:val="restart"/>
            <w:shd w:val="clear" w:color="auto" w:fill="auto"/>
            <w:noWrap w:val="0"/>
            <w:vAlign w:val="center"/>
          </w:tcPr>
          <w:p>
            <w:pPr>
              <w:keepNext w:val="0"/>
              <w:keepLines w:val="0"/>
              <w:suppressLineNumbers w:val="0"/>
              <w:spacing w:before="0" w:beforeAutospacing="0" w:after="0" w:afterAutospacing="0" w:line="300" w:lineRule="exact"/>
              <w:ind w:left="0" w:right="0"/>
              <w:jc w:val="center"/>
              <w:rPr>
                <w:rFonts w:hint="default"/>
                <w:kern w:val="2"/>
                <w:sz w:val="21"/>
                <w:szCs w:val="21"/>
              </w:rPr>
            </w:pPr>
            <w:r>
              <w:rPr>
                <w:rFonts w:hint="default"/>
                <w:kern w:val="2"/>
                <w:sz w:val="21"/>
                <w:szCs w:val="21"/>
              </w:rPr>
              <w:t>—</w:t>
            </w:r>
          </w:p>
        </w:tc>
        <w:tc>
          <w:tcPr>
            <w:tcW w:w="390" w:type="dxa"/>
            <w:vMerge w:val="restart"/>
            <w:shd w:val="clear" w:color="auto" w:fill="C0C0C0"/>
            <w:noWrap w:val="0"/>
            <w:vAlign w:val="center"/>
          </w:tcPr>
          <w:p>
            <w:pPr>
              <w:keepNext w:val="0"/>
              <w:keepLines w:val="0"/>
              <w:suppressLineNumbers w:val="0"/>
              <w:spacing w:before="0" w:beforeAutospacing="0" w:after="0" w:afterAutospacing="0" w:line="300" w:lineRule="exact"/>
              <w:ind w:left="0" w:right="0"/>
              <w:jc w:val="center"/>
              <w:rPr>
                <w:rFonts w:hint="default"/>
                <w:b/>
                <w:bCs/>
                <w:kern w:val="2"/>
                <w:sz w:val="21"/>
                <w:szCs w:val="21"/>
              </w:rPr>
            </w:pPr>
            <w:r>
              <w:rPr>
                <w:rFonts w:hint="default"/>
                <w:b/>
                <w:bCs/>
                <w:kern w:val="2"/>
                <w:sz w:val="21"/>
                <w:szCs w:val="21"/>
              </w:rPr>
              <w:t>—</w:t>
            </w:r>
          </w:p>
        </w:tc>
        <w:tc>
          <w:tcPr>
            <w:tcW w:w="645" w:type="dxa"/>
            <w:vMerge w:val="restart"/>
            <w:shd w:val="clear" w:color="auto" w:fill="auto"/>
            <w:noWrap w:val="0"/>
            <w:vAlign w:val="center"/>
          </w:tcPr>
          <w:p>
            <w:pPr>
              <w:keepNext w:val="0"/>
              <w:keepLines w:val="0"/>
              <w:suppressLineNumbers w:val="0"/>
              <w:spacing w:before="0" w:beforeAutospacing="0" w:after="0" w:afterAutospacing="0" w:line="300" w:lineRule="exact"/>
              <w:ind w:left="0" w:right="0"/>
              <w:jc w:val="center"/>
              <w:rPr>
                <w:rFonts w:hint="default"/>
                <w:kern w:val="2"/>
                <w:sz w:val="21"/>
                <w:szCs w:val="21"/>
              </w:rPr>
            </w:pPr>
            <w:r>
              <w:rPr>
                <w:rFonts w:hint="default"/>
                <w:kern w:val="2"/>
                <w:sz w:val="21"/>
                <w:szCs w:val="21"/>
              </w:rPr>
              <w:t>—</w:t>
            </w:r>
          </w:p>
        </w:tc>
        <w:tc>
          <w:tcPr>
            <w:tcW w:w="525" w:type="dxa"/>
            <w:vMerge w:val="restart"/>
            <w:shd w:val="clear" w:color="auto" w:fill="C0C0C0"/>
            <w:noWrap w:val="0"/>
            <w:vAlign w:val="center"/>
          </w:tcPr>
          <w:p>
            <w:pPr>
              <w:keepNext w:val="0"/>
              <w:keepLines w:val="0"/>
              <w:suppressLineNumbers w:val="0"/>
              <w:spacing w:before="0" w:beforeAutospacing="0" w:after="0" w:afterAutospacing="0" w:line="300" w:lineRule="exact"/>
              <w:ind w:left="0" w:right="0"/>
              <w:jc w:val="center"/>
              <w:rPr>
                <w:rFonts w:hint="default"/>
                <w:b/>
                <w:bCs/>
                <w:kern w:val="2"/>
                <w:sz w:val="21"/>
                <w:szCs w:val="21"/>
              </w:rPr>
            </w:pPr>
            <w:r>
              <w:rPr>
                <w:rFonts w:hint="default"/>
                <w:b/>
                <w:bCs/>
                <w:kern w:val="2"/>
                <w:sz w:val="21"/>
                <w:szCs w:val="21"/>
              </w:rPr>
              <w:t>5</w:t>
            </w:r>
          </w:p>
        </w:tc>
        <w:tc>
          <w:tcPr>
            <w:tcW w:w="645" w:type="dxa"/>
            <w:vMerge w:val="restart"/>
            <w:noWrap w:val="0"/>
            <w:vAlign w:val="center"/>
          </w:tcPr>
          <w:p>
            <w:pPr>
              <w:keepNext w:val="0"/>
              <w:keepLines w:val="0"/>
              <w:suppressLineNumbers w:val="0"/>
              <w:spacing w:before="0" w:beforeAutospacing="0" w:after="0" w:afterAutospacing="0" w:line="300" w:lineRule="exact"/>
              <w:ind w:left="0" w:right="0"/>
              <w:jc w:val="center"/>
              <w:rPr>
                <w:rFonts w:hint="default" w:eastAsia="宋体"/>
                <w:kern w:val="2"/>
                <w:sz w:val="21"/>
                <w:szCs w:val="21"/>
                <w:lang w:val="en-US" w:eastAsia="zh-CN"/>
              </w:rPr>
            </w:pPr>
            <w:r>
              <w:rPr>
                <w:rFonts w:hint="eastAsia"/>
                <w:kern w:val="2"/>
                <w:sz w:val="21"/>
                <w:szCs w:val="21"/>
              </w:rPr>
              <w:t>7.</w:t>
            </w:r>
            <w:r>
              <w:rPr>
                <w:rFonts w:hint="eastAsia"/>
                <w:kern w:val="2"/>
                <w:sz w:val="21"/>
                <w:szCs w:val="21"/>
                <w:lang w:val="en-US" w:eastAsia="zh-CN"/>
              </w:rPr>
              <w:t>49</w:t>
            </w:r>
          </w:p>
        </w:tc>
        <w:tc>
          <w:tcPr>
            <w:tcW w:w="615" w:type="dxa"/>
            <w:vMerge w:val="restart"/>
            <w:shd w:val="clear" w:color="auto" w:fill="E6E0EC" w:themeFill="accent4" w:themeFillTint="32"/>
            <w:noWrap w:val="0"/>
            <w:vAlign w:val="center"/>
          </w:tcPr>
          <w:p>
            <w:pPr>
              <w:keepNext w:val="0"/>
              <w:keepLines w:val="0"/>
              <w:suppressLineNumbers w:val="0"/>
              <w:spacing w:before="0" w:beforeAutospacing="0" w:after="0" w:afterAutospacing="0" w:line="300" w:lineRule="exact"/>
              <w:ind w:left="0" w:right="0"/>
              <w:jc w:val="center"/>
              <w:rPr>
                <w:rFonts w:hint="eastAsia"/>
                <w:b/>
                <w:bCs/>
                <w:kern w:val="2"/>
                <w:sz w:val="21"/>
                <w:szCs w:val="21"/>
                <w:highlight w:val="none"/>
                <w:lang w:val="en-US" w:eastAsia="zh-CN"/>
              </w:rPr>
            </w:pPr>
            <w:r>
              <w:rPr>
                <w:rFonts w:hint="eastAsia"/>
                <w:b/>
                <w:bCs/>
                <w:kern w:val="2"/>
                <w:sz w:val="21"/>
                <w:szCs w:val="21"/>
                <w:highlight w:val="none"/>
                <w:lang w:val="en-US" w:eastAsia="zh-CN"/>
              </w:rPr>
              <w:t>7</w:t>
            </w:r>
          </w:p>
        </w:tc>
        <w:tc>
          <w:tcPr>
            <w:tcW w:w="820" w:type="dxa"/>
            <w:noWrap w:val="0"/>
            <w:vAlign w:val="center"/>
          </w:tcPr>
          <w:p>
            <w:pPr>
              <w:keepNext w:val="0"/>
              <w:keepLines w:val="0"/>
              <w:suppressLineNumbers w:val="0"/>
              <w:spacing w:before="0" w:beforeAutospacing="0" w:after="0" w:afterAutospacing="0" w:line="300" w:lineRule="exact"/>
              <w:ind w:left="0" w:right="0"/>
              <w:jc w:val="left"/>
              <w:rPr>
                <w:rFonts w:hint="eastAsia"/>
                <w:kern w:val="2"/>
                <w:sz w:val="13"/>
                <w:szCs w:val="13"/>
              </w:rPr>
            </w:pPr>
            <w:r>
              <w:rPr>
                <w:rFonts w:hint="eastAsia"/>
                <w:kern w:val="2"/>
                <w:sz w:val="13"/>
                <w:szCs w:val="13"/>
                <w:lang w:eastAsia="zh-CN"/>
              </w:rPr>
              <w:t>汽油：</w:t>
            </w:r>
            <w:r>
              <w:rPr>
                <w:rFonts w:hint="eastAsia"/>
                <w:kern w:val="2"/>
                <w:sz w:val="15"/>
                <w:szCs w:val="15"/>
              </w:rPr>
              <w:t>26.94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2" w:hRule="atLeast"/>
          <w:jc w:val="center"/>
        </w:trPr>
        <w:tc>
          <w:tcPr>
            <w:tcW w:w="878" w:type="dxa"/>
            <w:vMerge w:val="continue"/>
            <w:shd w:val="clear" w:color="auto" w:fill="auto"/>
            <w:noWrap w:val="0"/>
            <w:vAlign w:val="center"/>
          </w:tcPr>
          <w:p>
            <w:pPr>
              <w:keepNext w:val="0"/>
              <w:keepLines w:val="0"/>
              <w:suppressLineNumbers w:val="0"/>
              <w:spacing w:before="0" w:beforeAutospacing="0" w:after="0" w:afterAutospacing="0" w:line="300" w:lineRule="exact"/>
              <w:ind w:left="0" w:right="0"/>
              <w:jc w:val="center"/>
              <w:rPr>
                <w:rFonts w:hint="default"/>
              </w:rPr>
            </w:pPr>
          </w:p>
        </w:tc>
        <w:tc>
          <w:tcPr>
            <w:tcW w:w="555" w:type="dxa"/>
            <w:vMerge w:val="continue"/>
            <w:shd w:val="clear" w:color="auto" w:fill="B3B3B3"/>
            <w:noWrap w:val="0"/>
            <w:vAlign w:val="center"/>
          </w:tcPr>
          <w:p>
            <w:pPr>
              <w:keepNext w:val="0"/>
              <w:keepLines w:val="0"/>
              <w:suppressLineNumbers w:val="0"/>
              <w:spacing w:before="0" w:beforeAutospacing="0" w:after="0" w:afterAutospacing="0" w:line="300" w:lineRule="exact"/>
              <w:ind w:left="0" w:right="0"/>
              <w:jc w:val="center"/>
              <w:rPr>
                <w:rFonts w:hint="default"/>
              </w:rPr>
            </w:pPr>
          </w:p>
        </w:tc>
        <w:tc>
          <w:tcPr>
            <w:tcW w:w="645" w:type="dxa"/>
            <w:vMerge w:val="continue"/>
            <w:shd w:val="clear" w:color="auto" w:fill="auto"/>
            <w:noWrap w:val="0"/>
            <w:vAlign w:val="center"/>
          </w:tcPr>
          <w:p>
            <w:pPr>
              <w:keepNext w:val="0"/>
              <w:keepLines w:val="0"/>
              <w:suppressLineNumbers w:val="0"/>
              <w:spacing w:before="0" w:beforeAutospacing="0" w:after="0" w:afterAutospacing="0" w:line="300" w:lineRule="exact"/>
              <w:ind w:left="0" w:right="0"/>
              <w:jc w:val="center"/>
              <w:rPr>
                <w:rFonts w:hint="default"/>
              </w:rPr>
            </w:pPr>
          </w:p>
        </w:tc>
        <w:tc>
          <w:tcPr>
            <w:tcW w:w="585" w:type="dxa"/>
            <w:vMerge w:val="continue"/>
            <w:shd w:val="clear" w:color="auto" w:fill="B3B3B3"/>
            <w:noWrap w:val="0"/>
            <w:vAlign w:val="center"/>
          </w:tcPr>
          <w:p>
            <w:pPr>
              <w:keepNext w:val="0"/>
              <w:keepLines w:val="0"/>
              <w:suppressLineNumbers w:val="0"/>
              <w:spacing w:before="0" w:beforeAutospacing="0" w:after="0" w:afterAutospacing="0" w:line="300" w:lineRule="exact"/>
              <w:ind w:left="0" w:right="0"/>
              <w:jc w:val="center"/>
              <w:rPr>
                <w:rFonts w:hint="default"/>
              </w:rPr>
            </w:pPr>
          </w:p>
        </w:tc>
        <w:tc>
          <w:tcPr>
            <w:tcW w:w="645" w:type="dxa"/>
            <w:vMerge w:val="continue"/>
            <w:shd w:val="clear" w:color="auto" w:fill="auto"/>
            <w:noWrap w:val="0"/>
            <w:vAlign w:val="center"/>
          </w:tcPr>
          <w:p>
            <w:pPr>
              <w:keepNext w:val="0"/>
              <w:keepLines w:val="0"/>
              <w:suppressLineNumbers w:val="0"/>
              <w:spacing w:before="0" w:beforeAutospacing="0" w:after="0" w:afterAutospacing="0" w:line="300" w:lineRule="exact"/>
              <w:ind w:left="0" w:right="0"/>
              <w:jc w:val="center"/>
              <w:rPr>
                <w:rFonts w:hint="default"/>
              </w:rPr>
            </w:pPr>
          </w:p>
        </w:tc>
        <w:tc>
          <w:tcPr>
            <w:tcW w:w="480" w:type="dxa"/>
            <w:vMerge w:val="continue"/>
            <w:shd w:val="clear" w:color="auto" w:fill="B3B3B3"/>
            <w:noWrap w:val="0"/>
            <w:vAlign w:val="center"/>
          </w:tcPr>
          <w:p>
            <w:pPr>
              <w:keepNext w:val="0"/>
              <w:keepLines w:val="0"/>
              <w:suppressLineNumbers w:val="0"/>
              <w:spacing w:before="0" w:beforeAutospacing="0" w:after="0" w:afterAutospacing="0" w:line="300" w:lineRule="exact"/>
              <w:ind w:left="0" w:right="0"/>
              <w:jc w:val="center"/>
              <w:rPr>
                <w:rFonts w:hint="default"/>
              </w:rPr>
            </w:pPr>
          </w:p>
        </w:tc>
        <w:tc>
          <w:tcPr>
            <w:tcW w:w="705" w:type="dxa"/>
            <w:vMerge w:val="continue"/>
            <w:shd w:val="clear" w:color="auto" w:fill="auto"/>
            <w:noWrap w:val="0"/>
            <w:vAlign w:val="center"/>
          </w:tcPr>
          <w:p>
            <w:pPr>
              <w:keepNext w:val="0"/>
              <w:keepLines w:val="0"/>
              <w:suppressLineNumbers w:val="0"/>
              <w:spacing w:before="0" w:beforeAutospacing="0" w:after="0" w:afterAutospacing="0" w:line="300" w:lineRule="exact"/>
              <w:ind w:left="0" w:right="0"/>
              <w:jc w:val="center"/>
              <w:rPr>
                <w:rFonts w:hint="default"/>
              </w:rPr>
            </w:pPr>
          </w:p>
        </w:tc>
        <w:tc>
          <w:tcPr>
            <w:tcW w:w="445" w:type="dxa"/>
            <w:vMerge w:val="continue"/>
            <w:shd w:val="clear" w:color="auto" w:fill="C0C0C0"/>
            <w:noWrap w:val="0"/>
            <w:vAlign w:val="center"/>
          </w:tcPr>
          <w:p>
            <w:pPr>
              <w:keepNext w:val="0"/>
              <w:keepLines w:val="0"/>
              <w:suppressLineNumbers w:val="0"/>
              <w:spacing w:before="0" w:beforeAutospacing="0" w:after="0" w:afterAutospacing="0" w:line="300" w:lineRule="exact"/>
              <w:ind w:left="0" w:right="0"/>
              <w:jc w:val="center"/>
              <w:rPr>
                <w:rFonts w:hint="default"/>
              </w:rPr>
            </w:pPr>
          </w:p>
        </w:tc>
        <w:tc>
          <w:tcPr>
            <w:tcW w:w="665" w:type="dxa"/>
            <w:vMerge w:val="continue"/>
            <w:shd w:val="clear" w:color="auto" w:fill="auto"/>
            <w:noWrap w:val="0"/>
            <w:vAlign w:val="center"/>
          </w:tcPr>
          <w:p>
            <w:pPr>
              <w:keepNext w:val="0"/>
              <w:keepLines w:val="0"/>
              <w:suppressLineNumbers w:val="0"/>
              <w:spacing w:before="0" w:beforeAutospacing="0" w:after="0" w:afterAutospacing="0" w:line="300" w:lineRule="exact"/>
              <w:ind w:left="0" w:right="0"/>
              <w:jc w:val="center"/>
              <w:rPr>
                <w:rFonts w:hint="default"/>
              </w:rPr>
            </w:pPr>
          </w:p>
        </w:tc>
        <w:tc>
          <w:tcPr>
            <w:tcW w:w="585" w:type="dxa"/>
            <w:vMerge w:val="continue"/>
            <w:shd w:val="clear" w:color="auto" w:fill="C0C0C0"/>
            <w:noWrap w:val="0"/>
            <w:vAlign w:val="center"/>
          </w:tcPr>
          <w:p>
            <w:pPr>
              <w:keepNext w:val="0"/>
              <w:keepLines w:val="0"/>
              <w:suppressLineNumbers w:val="0"/>
              <w:spacing w:before="0" w:beforeAutospacing="0" w:after="0" w:afterAutospacing="0" w:line="300" w:lineRule="exact"/>
              <w:ind w:left="0" w:right="0"/>
              <w:jc w:val="center"/>
              <w:rPr>
                <w:rFonts w:hint="default"/>
              </w:rPr>
            </w:pPr>
          </w:p>
        </w:tc>
        <w:tc>
          <w:tcPr>
            <w:tcW w:w="645" w:type="dxa"/>
            <w:vMerge w:val="continue"/>
            <w:shd w:val="clear" w:color="auto" w:fill="auto"/>
            <w:noWrap w:val="0"/>
            <w:vAlign w:val="center"/>
          </w:tcPr>
          <w:p>
            <w:pPr>
              <w:keepNext w:val="0"/>
              <w:keepLines w:val="0"/>
              <w:suppressLineNumbers w:val="0"/>
              <w:spacing w:before="0" w:beforeAutospacing="0" w:after="0" w:afterAutospacing="0" w:line="300" w:lineRule="exact"/>
              <w:ind w:left="0" w:right="0"/>
              <w:jc w:val="center"/>
              <w:rPr>
                <w:rFonts w:hint="default"/>
              </w:rPr>
            </w:pPr>
          </w:p>
        </w:tc>
        <w:tc>
          <w:tcPr>
            <w:tcW w:w="390" w:type="dxa"/>
            <w:vMerge w:val="continue"/>
            <w:shd w:val="clear" w:color="auto" w:fill="C0C0C0"/>
            <w:noWrap w:val="0"/>
            <w:vAlign w:val="center"/>
          </w:tcPr>
          <w:p>
            <w:pPr>
              <w:keepNext w:val="0"/>
              <w:keepLines w:val="0"/>
              <w:suppressLineNumbers w:val="0"/>
              <w:spacing w:before="0" w:beforeAutospacing="0" w:after="0" w:afterAutospacing="0" w:line="300" w:lineRule="exact"/>
              <w:ind w:left="0" w:right="0"/>
              <w:jc w:val="center"/>
              <w:rPr>
                <w:rFonts w:hint="default"/>
              </w:rPr>
            </w:pPr>
          </w:p>
        </w:tc>
        <w:tc>
          <w:tcPr>
            <w:tcW w:w="645" w:type="dxa"/>
            <w:vMerge w:val="continue"/>
            <w:shd w:val="clear" w:color="auto" w:fill="auto"/>
            <w:noWrap w:val="0"/>
            <w:vAlign w:val="center"/>
          </w:tcPr>
          <w:p>
            <w:pPr>
              <w:keepNext w:val="0"/>
              <w:keepLines w:val="0"/>
              <w:suppressLineNumbers w:val="0"/>
              <w:spacing w:before="0" w:beforeAutospacing="0" w:after="0" w:afterAutospacing="0" w:line="300" w:lineRule="exact"/>
              <w:ind w:left="0" w:right="0"/>
              <w:jc w:val="center"/>
              <w:rPr>
                <w:rFonts w:hint="default"/>
              </w:rPr>
            </w:pPr>
          </w:p>
        </w:tc>
        <w:tc>
          <w:tcPr>
            <w:tcW w:w="525" w:type="dxa"/>
            <w:vMerge w:val="continue"/>
            <w:shd w:val="clear" w:color="auto" w:fill="C0C0C0"/>
            <w:noWrap w:val="0"/>
            <w:vAlign w:val="center"/>
          </w:tcPr>
          <w:p>
            <w:pPr>
              <w:keepNext w:val="0"/>
              <w:keepLines w:val="0"/>
              <w:suppressLineNumbers w:val="0"/>
              <w:spacing w:before="0" w:beforeAutospacing="0" w:after="0" w:afterAutospacing="0" w:line="300" w:lineRule="exact"/>
              <w:ind w:left="0" w:right="0"/>
              <w:jc w:val="center"/>
              <w:rPr>
                <w:rFonts w:hint="default"/>
              </w:rPr>
            </w:pPr>
          </w:p>
        </w:tc>
        <w:tc>
          <w:tcPr>
            <w:tcW w:w="645" w:type="dxa"/>
            <w:vMerge w:val="continue"/>
            <w:noWrap w:val="0"/>
            <w:vAlign w:val="center"/>
          </w:tcPr>
          <w:p>
            <w:pPr>
              <w:keepNext w:val="0"/>
              <w:keepLines w:val="0"/>
              <w:suppressLineNumbers w:val="0"/>
              <w:spacing w:before="0" w:beforeAutospacing="0" w:after="0" w:afterAutospacing="0" w:line="300" w:lineRule="exact"/>
              <w:ind w:left="0" w:right="0"/>
              <w:jc w:val="center"/>
              <w:rPr>
                <w:rFonts w:hint="default"/>
              </w:rPr>
            </w:pPr>
          </w:p>
        </w:tc>
        <w:tc>
          <w:tcPr>
            <w:tcW w:w="615" w:type="dxa"/>
            <w:vMerge w:val="continue"/>
            <w:shd w:val="clear" w:color="auto" w:fill="E6E0EC" w:themeFill="accent4" w:themeFillTint="32"/>
            <w:noWrap w:val="0"/>
            <w:vAlign w:val="center"/>
          </w:tcPr>
          <w:p>
            <w:pPr>
              <w:keepNext w:val="0"/>
              <w:keepLines w:val="0"/>
              <w:suppressLineNumbers w:val="0"/>
              <w:spacing w:before="0" w:beforeAutospacing="0" w:after="0" w:afterAutospacing="0" w:line="300" w:lineRule="exact"/>
              <w:ind w:left="0" w:right="0"/>
              <w:jc w:val="center"/>
              <w:rPr>
                <w:rFonts w:hint="default"/>
              </w:rPr>
            </w:pPr>
          </w:p>
        </w:tc>
        <w:tc>
          <w:tcPr>
            <w:tcW w:w="820" w:type="dxa"/>
            <w:noWrap w:val="0"/>
            <w:vAlign w:val="center"/>
          </w:tcPr>
          <w:p>
            <w:pPr>
              <w:keepNext w:val="0"/>
              <w:keepLines w:val="0"/>
              <w:suppressLineNumbers w:val="0"/>
              <w:spacing w:before="0" w:beforeAutospacing="0" w:after="0" w:afterAutospacing="0" w:line="300" w:lineRule="exact"/>
              <w:ind w:left="0" w:right="0"/>
              <w:jc w:val="center"/>
              <w:rPr>
                <w:rFonts w:hint="default" w:eastAsia="宋体"/>
                <w:kern w:val="2"/>
                <w:sz w:val="13"/>
                <w:szCs w:val="13"/>
                <w:lang w:val="en-US" w:eastAsia="zh-CN"/>
              </w:rPr>
            </w:pPr>
            <w:r>
              <w:rPr>
                <w:rFonts w:hint="eastAsia"/>
                <w:kern w:val="2"/>
                <w:sz w:val="13"/>
                <w:szCs w:val="13"/>
                <w:lang w:val="en-US" w:eastAsia="zh-CN"/>
              </w:rPr>
              <w:t>柴油：</w:t>
            </w:r>
            <w:r>
              <w:rPr>
                <w:rFonts w:hint="eastAsia"/>
                <w:kern w:val="2"/>
                <w:sz w:val="15"/>
                <w:szCs w:val="15"/>
                <w:lang w:val="en-US" w:eastAsia="zh-CN"/>
              </w:rPr>
              <w:t>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78" w:type="dxa"/>
            <w:shd w:val="clear" w:color="auto" w:fill="auto"/>
            <w:noWrap w:val="0"/>
            <w:vAlign w:val="center"/>
          </w:tcPr>
          <w:p>
            <w:pPr>
              <w:keepNext w:val="0"/>
              <w:keepLines w:val="0"/>
              <w:suppressLineNumbers w:val="0"/>
              <w:spacing w:before="0" w:beforeAutospacing="0" w:after="0" w:afterAutospacing="0" w:line="300" w:lineRule="exact"/>
              <w:ind w:left="0" w:right="0"/>
              <w:jc w:val="center"/>
              <w:rPr>
                <w:rFonts w:hint="default"/>
                <w:b w:val="0"/>
                <w:bCs w:val="0"/>
                <w:kern w:val="2"/>
                <w:sz w:val="21"/>
                <w:szCs w:val="21"/>
              </w:rPr>
            </w:pPr>
            <w:r>
              <w:rPr>
                <w:rFonts w:hint="default"/>
                <w:b w:val="0"/>
                <w:bCs w:val="0"/>
                <w:kern w:val="2"/>
                <w:sz w:val="21"/>
                <w:szCs w:val="21"/>
              </w:rPr>
              <w:t>站区</w:t>
            </w:r>
          </w:p>
          <w:p>
            <w:pPr>
              <w:keepNext w:val="0"/>
              <w:keepLines w:val="0"/>
              <w:suppressLineNumbers w:val="0"/>
              <w:spacing w:before="0" w:beforeAutospacing="0" w:after="0" w:afterAutospacing="0" w:line="300" w:lineRule="exact"/>
              <w:ind w:left="0" w:right="0"/>
              <w:jc w:val="center"/>
              <w:rPr>
                <w:rFonts w:hint="default"/>
                <w:b w:val="0"/>
                <w:bCs w:val="0"/>
                <w:kern w:val="2"/>
                <w:sz w:val="21"/>
                <w:szCs w:val="21"/>
              </w:rPr>
            </w:pPr>
            <w:r>
              <w:rPr>
                <w:rFonts w:hint="default"/>
                <w:b w:val="0"/>
                <w:bCs w:val="0"/>
                <w:kern w:val="2"/>
                <w:sz w:val="21"/>
                <w:szCs w:val="21"/>
              </w:rPr>
              <w:t>围墙</w:t>
            </w:r>
          </w:p>
        </w:tc>
        <w:tc>
          <w:tcPr>
            <w:tcW w:w="555" w:type="dxa"/>
            <w:shd w:val="clear" w:color="auto" w:fill="B3B3B3"/>
            <w:noWrap w:val="0"/>
            <w:vAlign w:val="center"/>
          </w:tcPr>
          <w:p>
            <w:pPr>
              <w:keepNext w:val="0"/>
              <w:keepLines w:val="0"/>
              <w:suppressLineNumbers w:val="0"/>
              <w:spacing w:before="0" w:beforeAutospacing="0" w:after="0" w:afterAutospacing="0" w:line="300" w:lineRule="exact"/>
              <w:ind w:left="0" w:right="0"/>
              <w:jc w:val="center"/>
              <w:rPr>
                <w:rFonts w:hint="default"/>
                <w:b/>
                <w:bCs/>
                <w:kern w:val="2"/>
                <w:sz w:val="21"/>
                <w:szCs w:val="21"/>
              </w:rPr>
            </w:pPr>
            <w:r>
              <w:rPr>
                <w:rFonts w:hint="default"/>
                <w:b/>
                <w:bCs/>
                <w:kern w:val="2"/>
                <w:sz w:val="21"/>
                <w:szCs w:val="21"/>
              </w:rPr>
              <w:t>3</w:t>
            </w:r>
          </w:p>
        </w:tc>
        <w:tc>
          <w:tcPr>
            <w:tcW w:w="645" w:type="dxa"/>
            <w:shd w:val="clear" w:color="auto" w:fill="auto"/>
            <w:noWrap w:val="0"/>
            <w:vAlign w:val="center"/>
          </w:tcPr>
          <w:p>
            <w:pPr>
              <w:keepNext w:val="0"/>
              <w:keepLines w:val="0"/>
              <w:suppressLineNumbers w:val="0"/>
              <w:spacing w:before="0" w:beforeAutospacing="0" w:after="0" w:afterAutospacing="0" w:line="300" w:lineRule="exact"/>
              <w:ind w:left="0" w:right="0"/>
              <w:jc w:val="center"/>
              <w:rPr>
                <w:rFonts w:hint="default" w:eastAsia="宋体"/>
                <w:kern w:val="2"/>
                <w:sz w:val="21"/>
                <w:szCs w:val="21"/>
                <w:lang w:val="en-US" w:eastAsia="zh-CN"/>
              </w:rPr>
            </w:pPr>
            <w:r>
              <w:rPr>
                <w:rFonts w:hint="eastAsia"/>
                <w:kern w:val="2"/>
                <w:sz w:val="21"/>
                <w:szCs w:val="21"/>
                <w:lang w:val="en-US" w:eastAsia="zh-CN"/>
              </w:rPr>
              <w:t>5.0</w:t>
            </w:r>
          </w:p>
        </w:tc>
        <w:tc>
          <w:tcPr>
            <w:tcW w:w="585" w:type="dxa"/>
            <w:shd w:val="clear" w:color="auto" w:fill="B3B3B3"/>
            <w:noWrap w:val="0"/>
            <w:vAlign w:val="center"/>
          </w:tcPr>
          <w:p>
            <w:pPr>
              <w:keepNext w:val="0"/>
              <w:keepLines w:val="0"/>
              <w:suppressLineNumbers w:val="0"/>
              <w:spacing w:before="0" w:beforeAutospacing="0" w:after="0" w:afterAutospacing="0" w:line="300" w:lineRule="exact"/>
              <w:ind w:left="0" w:right="0"/>
              <w:jc w:val="center"/>
              <w:rPr>
                <w:rFonts w:hint="default"/>
                <w:b/>
                <w:bCs/>
                <w:kern w:val="2"/>
                <w:sz w:val="21"/>
                <w:szCs w:val="21"/>
              </w:rPr>
            </w:pPr>
            <w:r>
              <w:rPr>
                <w:rFonts w:hint="default"/>
                <w:b/>
                <w:bCs/>
                <w:kern w:val="2"/>
                <w:sz w:val="21"/>
                <w:szCs w:val="21"/>
              </w:rPr>
              <w:t>2</w:t>
            </w:r>
          </w:p>
        </w:tc>
        <w:tc>
          <w:tcPr>
            <w:tcW w:w="645" w:type="dxa"/>
            <w:shd w:val="clear" w:color="auto" w:fill="auto"/>
            <w:noWrap w:val="0"/>
            <w:vAlign w:val="center"/>
          </w:tcPr>
          <w:p>
            <w:pPr>
              <w:keepNext w:val="0"/>
              <w:keepLines w:val="0"/>
              <w:suppressLineNumbers w:val="0"/>
              <w:spacing w:before="0" w:beforeAutospacing="0" w:after="0" w:afterAutospacing="0" w:line="300" w:lineRule="exact"/>
              <w:ind w:left="0" w:right="0"/>
              <w:jc w:val="center"/>
              <w:rPr>
                <w:rFonts w:hint="default" w:eastAsia="宋体"/>
                <w:kern w:val="2"/>
                <w:sz w:val="21"/>
                <w:szCs w:val="21"/>
                <w:lang w:val="en-US" w:eastAsia="zh-CN"/>
              </w:rPr>
            </w:pPr>
            <w:r>
              <w:rPr>
                <w:rFonts w:hint="eastAsia"/>
                <w:kern w:val="2"/>
                <w:sz w:val="21"/>
                <w:szCs w:val="21"/>
                <w:lang w:val="en-US" w:eastAsia="zh-CN"/>
              </w:rPr>
              <w:t>6.02</w:t>
            </w:r>
          </w:p>
        </w:tc>
        <w:tc>
          <w:tcPr>
            <w:tcW w:w="480" w:type="dxa"/>
            <w:shd w:val="clear" w:color="auto" w:fill="B3B3B3"/>
            <w:noWrap w:val="0"/>
            <w:vAlign w:val="center"/>
          </w:tcPr>
          <w:p>
            <w:pPr>
              <w:keepNext w:val="0"/>
              <w:keepLines w:val="0"/>
              <w:suppressLineNumbers w:val="0"/>
              <w:spacing w:before="0" w:beforeAutospacing="0" w:after="0" w:afterAutospacing="0" w:line="300" w:lineRule="exact"/>
              <w:ind w:left="0" w:right="0"/>
              <w:jc w:val="center"/>
              <w:rPr>
                <w:rFonts w:hint="default"/>
                <w:b/>
                <w:bCs/>
                <w:kern w:val="2"/>
                <w:sz w:val="21"/>
                <w:szCs w:val="21"/>
              </w:rPr>
            </w:pPr>
            <w:r>
              <w:rPr>
                <w:rFonts w:hint="eastAsia"/>
                <w:b/>
                <w:bCs/>
                <w:kern w:val="2"/>
                <w:sz w:val="21"/>
                <w:szCs w:val="21"/>
              </w:rPr>
              <w:t>2</w:t>
            </w:r>
          </w:p>
        </w:tc>
        <w:tc>
          <w:tcPr>
            <w:tcW w:w="705" w:type="dxa"/>
            <w:shd w:val="clear" w:color="auto" w:fill="auto"/>
            <w:noWrap w:val="0"/>
            <w:vAlign w:val="center"/>
          </w:tcPr>
          <w:p>
            <w:pPr>
              <w:keepNext w:val="0"/>
              <w:keepLines w:val="0"/>
              <w:suppressLineNumbers w:val="0"/>
              <w:spacing w:before="0" w:beforeAutospacing="0" w:after="0" w:afterAutospacing="0" w:line="300" w:lineRule="exact"/>
              <w:ind w:left="0" w:right="0"/>
              <w:jc w:val="center"/>
              <w:rPr>
                <w:rFonts w:hint="eastAsia"/>
                <w:kern w:val="2"/>
                <w:sz w:val="21"/>
                <w:szCs w:val="21"/>
                <w:highlight w:val="yellow"/>
              </w:rPr>
            </w:pPr>
            <w:r>
              <w:rPr>
                <w:rFonts w:hint="eastAsia"/>
                <w:kern w:val="2"/>
                <w:sz w:val="21"/>
                <w:szCs w:val="21"/>
              </w:rPr>
              <w:t>5.0</w:t>
            </w:r>
          </w:p>
        </w:tc>
        <w:tc>
          <w:tcPr>
            <w:tcW w:w="445" w:type="dxa"/>
            <w:shd w:val="clear" w:color="auto" w:fill="C0C0C0"/>
            <w:noWrap w:val="0"/>
            <w:vAlign w:val="center"/>
          </w:tcPr>
          <w:p>
            <w:pPr>
              <w:keepNext w:val="0"/>
              <w:keepLines w:val="0"/>
              <w:suppressLineNumbers w:val="0"/>
              <w:spacing w:before="0" w:beforeAutospacing="0" w:after="0" w:afterAutospacing="0" w:line="300" w:lineRule="exact"/>
              <w:ind w:left="0" w:right="0"/>
              <w:jc w:val="center"/>
              <w:rPr>
                <w:rFonts w:hint="default"/>
                <w:b/>
                <w:bCs/>
                <w:kern w:val="2"/>
                <w:sz w:val="21"/>
                <w:szCs w:val="21"/>
              </w:rPr>
            </w:pPr>
            <w:r>
              <w:rPr>
                <w:rFonts w:hint="default"/>
                <w:b/>
                <w:bCs/>
                <w:kern w:val="2"/>
                <w:sz w:val="21"/>
                <w:szCs w:val="21"/>
              </w:rPr>
              <w:t>2</w:t>
            </w:r>
          </w:p>
        </w:tc>
        <w:tc>
          <w:tcPr>
            <w:tcW w:w="665" w:type="dxa"/>
            <w:shd w:val="clear" w:color="auto" w:fill="auto"/>
            <w:noWrap w:val="0"/>
            <w:vAlign w:val="center"/>
          </w:tcPr>
          <w:p>
            <w:pPr>
              <w:keepNext w:val="0"/>
              <w:keepLines w:val="0"/>
              <w:suppressLineNumbers w:val="0"/>
              <w:spacing w:before="0" w:beforeAutospacing="0" w:after="0" w:afterAutospacing="0" w:line="300" w:lineRule="exact"/>
              <w:ind w:left="0" w:right="0"/>
              <w:jc w:val="center"/>
              <w:rPr>
                <w:rFonts w:hint="eastAsia"/>
                <w:kern w:val="2"/>
                <w:sz w:val="21"/>
                <w:szCs w:val="21"/>
              </w:rPr>
            </w:pPr>
            <w:r>
              <w:rPr>
                <w:rFonts w:hint="eastAsia"/>
                <w:kern w:val="2"/>
                <w:sz w:val="21"/>
                <w:szCs w:val="21"/>
              </w:rPr>
              <w:t>5.0</w:t>
            </w:r>
          </w:p>
        </w:tc>
        <w:tc>
          <w:tcPr>
            <w:tcW w:w="585" w:type="dxa"/>
            <w:shd w:val="clear" w:color="auto" w:fill="C0C0C0"/>
            <w:noWrap w:val="0"/>
            <w:vAlign w:val="center"/>
          </w:tcPr>
          <w:p>
            <w:pPr>
              <w:keepNext w:val="0"/>
              <w:keepLines w:val="0"/>
              <w:suppressLineNumbers w:val="0"/>
              <w:spacing w:before="0" w:beforeAutospacing="0" w:after="0" w:afterAutospacing="0" w:line="300" w:lineRule="exact"/>
              <w:ind w:left="0" w:right="0"/>
              <w:jc w:val="center"/>
              <w:rPr>
                <w:rFonts w:hint="default"/>
                <w:b/>
                <w:bCs/>
                <w:kern w:val="2"/>
                <w:sz w:val="21"/>
                <w:szCs w:val="21"/>
              </w:rPr>
            </w:pPr>
            <w:r>
              <w:rPr>
                <w:rFonts w:hint="default"/>
                <w:b/>
                <w:bCs/>
                <w:kern w:val="2"/>
                <w:sz w:val="21"/>
                <w:szCs w:val="21"/>
              </w:rPr>
              <w:t>—</w:t>
            </w:r>
          </w:p>
        </w:tc>
        <w:tc>
          <w:tcPr>
            <w:tcW w:w="645" w:type="dxa"/>
            <w:shd w:val="clear" w:color="auto" w:fill="auto"/>
            <w:noWrap w:val="0"/>
            <w:vAlign w:val="center"/>
          </w:tcPr>
          <w:p>
            <w:pPr>
              <w:keepNext w:val="0"/>
              <w:keepLines w:val="0"/>
              <w:suppressLineNumbers w:val="0"/>
              <w:spacing w:before="0" w:beforeAutospacing="0" w:after="0" w:afterAutospacing="0" w:line="300" w:lineRule="exact"/>
              <w:ind w:left="0" w:right="0"/>
              <w:jc w:val="center"/>
              <w:rPr>
                <w:rFonts w:hint="default"/>
                <w:kern w:val="2"/>
                <w:sz w:val="21"/>
                <w:szCs w:val="21"/>
              </w:rPr>
            </w:pPr>
            <w:r>
              <w:rPr>
                <w:rFonts w:hint="default"/>
                <w:kern w:val="2"/>
                <w:sz w:val="21"/>
                <w:szCs w:val="21"/>
              </w:rPr>
              <w:t>—</w:t>
            </w:r>
          </w:p>
        </w:tc>
        <w:tc>
          <w:tcPr>
            <w:tcW w:w="390" w:type="dxa"/>
            <w:shd w:val="clear" w:color="auto" w:fill="C0C0C0"/>
            <w:noWrap w:val="0"/>
            <w:vAlign w:val="center"/>
          </w:tcPr>
          <w:p>
            <w:pPr>
              <w:keepNext w:val="0"/>
              <w:keepLines w:val="0"/>
              <w:suppressLineNumbers w:val="0"/>
              <w:spacing w:before="0" w:beforeAutospacing="0" w:after="0" w:afterAutospacing="0" w:line="300" w:lineRule="exact"/>
              <w:ind w:left="0" w:right="0"/>
              <w:jc w:val="center"/>
              <w:rPr>
                <w:rFonts w:hint="default"/>
                <w:b/>
                <w:bCs/>
                <w:kern w:val="2"/>
                <w:sz w:val="21"/>
                <w:szCs w:val="21"/>
              </w:rPr>
            </w:pPr>
            <w:r>
              <w:rPr>
                <w:rFonts w:hint="default"/>
                <w:b/>
                <w:bCs/>
                <w:kern w:val="2"/>
                <w:sz w:val="21"/>
                <w:szCs w:val="21"/>
              </w:rPr>
              <w:t>—</w:t>
            </w:r>
          </w:p>
        </w:tc>
        <w:tc>
          <w:tcPr>
            <w:tcW w:w="645" w:type="dxa"/>
            <w:shd w:val="clear" w:color="auto" w:fill="auto"/>
            <w:noWrap w:val="0"/>
            <w:vAlign w:val="center"/>
          </w:tcPr>
          <w:p>
            <w:pPr>
              <w:keepNext w:val="0"/>
              <w:keepLines w:val="0"/>
              <w:suppressLineNumbers w:val="0"/>
              <w:spacing w:before="0" w:beforeAutospacing="0" w:after="0" w:afterAutospacing="0" w:line="300" w:lineRule="exact"/>
              <w:ind w:left="0" w:right="0"/>
              <w:jc w:val="center"/>
              <w:rPr>
                <w:rFonts w:hint="default"/>
                <w:kern w:val="2"/>
                <w:sz w:val="21"/>
                <w:szCs w:val="21"/>
              </w:rPr>
            </w:pPr>
            <w:r>
              <w:rPr>
                <w:rFonts w:hint="default"/>
                <w:kern w:val="2"/>
                <w:sz w:val="21"/>
                <w:szCs w:val="21"/>
              </w:rPr>
              <w:t>—</w:t>
            </w:r>
          </w:p>
        </w:tc>
        <w:tc>
          <w:tcPr>
            <w:tcW w:w="525" w:type="dxa"/>
            <w:shd w:val="clear" w:color="auto" w:fill="C0C0C0"/>
            <w:noWrap w:val="0"/>
            <w:vAlign w:val="center"/>
          </w:tcPr>
          <w:p>
            <w:pPr>
              <w:keepNext w:val="0"/>
              <w:keepLines w:val="0"/>
              <w:suppressLineNumbers w:val="0"/>
              <w:spacing w:before="0" w:beforeAutospacing="0" w:after="0" w:afterAutospacing="0" w:line="300" w:lineRule="exact"/>
              <w:ind w:left="0" w:right="0"/>
              <w:jc w:val="center"/>
              <w:rPr>
                <w:rFonts w:hint="default"/>
                <w:b/>
                <w:bCs/>
                <w:kern w:val="2"/>
                <w:sz w:val="21"/>
                <w:szCs w:val="21"/>
              </w:rPr>
            </w:pPr>
            <w:r>
              <w:rPr>
                <w:rFonts w:hint="default"/>
                <w:b/>
                <w:bCs/>
                <w:kern w:val="2"/>
                <w:sz w:val="21"/>
                <w:szCs w:val="21"/>
              </w:rPr>
              <w:t>—</w:t>
            </w:r>
          </w:p>
        </w:tc>
        <w:tc>
          <w:tcPr>
            <w:tcW w:w="645" w:type="dxa"/>
            <w:noWrap w:val="0"/>
            <w:vAlign w:val="center"/>
          </w:tcPr>
          <w:p>
            <w:pPr>
              <w:keepNext w:val="0"/>
              <w:keepLines w:val="0"/>
              <w:suppressLineNumbers w:val="0"/>
              <w:spacing w:before="0" w:beforeAutospacing="0" w:after="0" w:afterAutospacing="0" w:line="300" w:lineRule="exact"/>
              <w:ind w:left="0" w:right="0"/>
              <w:jc w:val="center"/>
              <w:rPr>
                <w:rFonts w:hint="default"/>
                <w:kern w:val="2"/>
                <w:sz w:val="21"/>
                <w:szCs w:val="21"/>
              </w:rPr>
            </w:pPr>
            <w:r>
              <w:rPr>
                <w:rFonts w:hint="default"/>
                <w:kern w:val="2"/>
                <w:sz w:val="21"/>
                <w:szCs w:val="21"/>
              </w:rPr>
              <w:t>—</w:t>
            </w:r>
          </w:p>
        </w:tc>
        <w:tc>
          <w:tcPr>
            <w:tcW w:w="615" w:type="dxa"/>
            <w:shd w:val="clear" w:color="auto" w:fill="E6E0EC" w:themeFill="accent4" w:themeFillTint="32"/>
            <w:noWrap w:val="0"/>
            <w:vAlign w:val="center"/>
          </w:tcPr>
          <w:p>
            <w:pPr>
              <w:keepNext w:val="0"/>
              <w:keepLines w:val="0"/>
              <w:suppressLineNumbers w:val="0"/>
              <w:spacing w:before="0" w:beforeAutospacing="0" w:after="0" w:afterAutospacing="0" w:line="300" w:lineRule="exact"/>
              <w:ind w:left="0" w:right="0"/>
              <w:jc w:val="center"/>
              <w:rPr>
                <w:rFonts w:hint="eastAsia"/>
                <w:b/>
                <w:bCs/>
                <w:kern w:val="2"/>
                <w:sz w:val="21"/>
                <w:szCs w:val="21"/>
                <w:highlight w:val="none"/>
              </w:rPr>
            </w:pPr>
            <w:r>
              <w:rPr>
                <w:rFonts w:hint="eastAsia"/>
                <w:b/>
                <w:bCs/>
                <w:kern w:val="2"/>
                <w:sz w:val="21"/>
                <w:szCs w:val="21"/>
                <w:highlight w:val="none"/>
              </w:rPr>
              <w:t>—</w:t>
            </w:r>
          </w:p>
        </w:tc>
        <w:tc>
          <w:tcPr>
            <w:tcW w:w="820" w:type="dxa"/>
            <w:noWrap w:val="0"/>
            <w:vAlign w:val="center"/>
          </w:tcPr>
          <w:p>
            <w:pPr>
              <w:keepNext w:val="0"/>
              <w:keepLines w:val="0"/>
              <w:suppressLineNumbers w:val="0"/>
              <w:spacing w:before="0" w:beforeAutospacing="0" w:after="0" w:afterAutospacing="0" w:line="300" w:lineRule="exact"/>
              <w:ind w:left="0" w:leftChars="0" w:right="0" w:rightChars="0"/>
              <w:jc w:val="center"/>
              <w:rPr>
                <w:rFonts w:hint="default"/>
                <w:kern w:val="2"/>
                <w:sz w:val="21"/>
                <w:szCs w:val="21"/>
              </w:rPr>
            </w:pPr>
            <w:r>
              <w:rPr>
                <w:rFonts w:hint="default"/>
                <w:kern w:val="2"/>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78" w:type="dxa"/>
            <w:shd w:val="clear" w:color="auto" w:fill="auto"/>
            <w:noWrap w:val="0"/>
            <w:vAlign w:val="center"/>
          </w:tcPr>
          <w:p>
            <w:pPr>
              <w:keepNext w:val="0"/>
              <w:keepLines w:val="0"/>
              <w:suppressLineNumbers w:val="0"/>
              <w:spacing w:before="0" w:beforeAutospacing="0" w:after="0" w:afterAutospacing="0" w:line="300" w:lineRule="exact"/>
              <w:ind w:left="0" w:right="0"/>
              <w:jc w:val="center"/>
              <w:rPr>
                <w:rFonts w:hint="default"/>
                <w:b w:val="0"/>
                <w:bCs w:val="0"/>
                <w:kern w:val="2"/>
                <w:sz w:val="21"/>
                <w:szCs w:val="21"/>
              </w:rPr>
            </w:pPr>
            <w:r>
              <w:rPr>
                <w:rFonts w:hint="eastAsia"/>
                <w:b w:val="0"/>
                <w:bCs w:val="0"/>
                <w:kern w:val="2"/>
                <w:sz w:val="21"/>
                <w:szCs w:val="21"/>
              </w:rPr>
              <w:t>配电房</w:t>
            </w:r>
          </w:p>
        </w:tc>
        <w:tc>
          <w:tcPr>
            <w:tcW w:w="555" w:type="dxa"/>
            <w:shd w:val="clear" w:color="auto" w:fill="B3B3B3"/>
            <w:noWrap w:val="0"/>
            <w:vAlign w:val="center"/>
          </w:tcPr>
          <w:p>
            <w:pPr>
              <w:keepNext w:val="0"/>
              <w:keepLines w:val="0"/>
              <w:suppressLineNumbers w:val="0"/>
              <w:spacing w:before="0" w:beforeAutospacing="0" w:after="0" w:afterAutospacing="0" w:line="300" w:lineRule="exact"/>
              <w:ind w:left="0" w:right="0"/>
              <w:jc w:val="center"/>
              <w:rPr>
                <w:rFonts w:hint="default"/>
                <w:b/>
                <w:bCs/>
                <w:kern w:val="2"/>
                <w:sz w:val="21"/>
                <w:szCs w:val="21"/>
              </w:rPr>
            </w:pPr>
            <w:r>
              <w:rPr>
                <w:rFonts w:hint="eastAsia"/>
                <w:b/>
                <w:bCs/>
                <w:kern w:val="2"/>
                <w:sz w:val="21"/>
                <w:szCs w:val="21"/>
              </w:rPr>
              <w:t>4.5</w:t>
            </w:r>
          </w:p>
        </w:tc>
        <w:tc>
          <w:tcPr>
            <w:tcW w:w="645" w:type="dxa"/>
            <w:shd w:val="clear" w:color="auto" w:fill="auto"/>
            <w:noWrap w:val="0"/>
            <w:vAlign w:val="center"/>
          </w:tcPr>
          <w:p>
            <w:pPr>
              <w:keepNext w:val="0"/>
              <w:keepLines w:val="0"/>
              <w:suppressLineNumbers w:val="0"/>
              <w:spacing w:before="0" w:beforeAutospacing="0" w:after="0" w:afterAutospacing="0" w:line="300" w:lineRule="exact"/>
              <w:ind w:left="0" w:right="0"/>
              <w:jc w:val="center"/>
              <w:rPr>
                <w:rFonts w:hint="default" w:eastAsia="宋体"/>
                <w:kern w:val="2"/>
                <w:sz w:val="21"/>
                <w:szCs w:val="21"/>
                <w:lang w:val="en-US" w:eastAsia="zh-CN"/>
              </w:rPr>
            </w:pPr>
            <w:r>
              <w:rPr>
                <w:rFonts w:hint="eastAsia"/>
                <w:kern w:val="2"/>
                <w:sz w:val="21"/>
                <w:szCs w:val="21"/>
                <w:lang w:val="en-US" w:eastAsia="zh-CN"/>
              </w:rPr>
              <w:t>39.4</w:t>
            </w:r>
          </w:p>
        </w:tc>
        <w:tc>
          <w:tcPr>
            <w:tcW w:w="585" w:type="dxa"/>
            <w:shd w:val="clear" w:color="auto" w:fill="B3B3B3"/>
            <w:noWrap w:val="0"/>
            <w:vAlign w:val="center"/>
          </w:tcPr>
          <w:p>
            <w:pPr>
              <w:keepNext w:val="0"/>
              <w:keepLines w:val="0"/>
              <w:suppressLineNumbers w:val="0"/>
              <w:spacing w:before="0" w:beforeAutospacing="0" w:after="0" w:afterAutospacing="0" w:line="300" w:lineRule="exact"/>
              <w:ind w:left="0" w:right="0"/>
              <w:jc w:val="center"/>
              <w:rPr>
                <w:rFonts w:hint="default"/>
                <w:b/>
                <w:bCs/>
                <w:kern w:val="2"/>
                <w:sz w:val="21"/>
                <w:szCs w:val="21"/>
              </w:rPr>
            </w:pPr>
            <w:r>
              <w:rPr>
                <w:rFonts w:hint="eastAsia"/>
                <w:b/>
                <w:bCs/>
                <w:kern w:val="2"/>
                <w:sz w:val="21"/>
                <w:szCs w:val="21"/>
              </w:rPr>
              <w:t>—</w:t>
            </w:r>
          </w:p>
        </w:tc>
        <w:tc>
          <w:tcPr>
            <w:tcW w:w="645" w:type="dxa"/>
            <w:shd w:val="clear" w:color="auto" w:fill="auto"/>
            <w:noWrap w:val="0"/>
            <w:vAlign w:val="center"/>
          </w:tcPr>
          <w:p>
            <w:pPr>
              <w:keepNext w:val="0"/>
              <w:keepLines w:val="0"/>
              <w:suppressLineNumbers w:val="0"/>
              <w:spacing w:before="0" w:beforeAutospacing="0" w:after="0" w:afterAutospacing="0" w:line="300" w:lineRule="exact"/>
              <w:ind w:left="0" w:right="0"/>
              <w:jc w:val="center"/>
              <w:rPr>
                <w:rFonts w:hint="default" w:eastAsia="宋体"/>
                <w:kern w:val="2"/>
                <w:sz w:val="21"/>
                <w:szCs w:val="21"/>
                <w:lang w:val="en-US" w:eastAsia="zh-CN"/>
              </w:rPr>
            </w:pPr>
            <w:r>
              <w:rPr>
                <w:rFonts w:hint="eastAsia"/>
                <w:kern w:val="2"/>
                <w:sz w:val="21"/>
                <w:szCs w:val="21"/>
                <w:lang w:val="en-US" w:eastAsia="zh-CN"/>
              </w:rPr>
              <w:t>47.6</w:t>
            </w:r>
          </w:p>
        </w:tc>
        <w:tc>
          <w:tcPr>
            <w:tcW w:w="480" w:type="dxa"/>
            <w:shd w:val="clear" w:color="auto" w:fill="B3B3B3"/>
            <w:noWrap w:val="0"/>
            <w:vAlign w:val="center"/>
          </w:tcPr>
          <w:p>
            <w:pPr>
              <w:keepNext w:val="0"/>
              <w:keepLines w:val="0"/>
              <w:suppressLineNumbers w:val="0"/>
              <w:spacing w:before="0" w:beforeAutospacing="0" w:after="0" w:afterAutospacing="0" w:line="300" w:lineRule="exact"/>
              <w:ind w:left="0" w:right="0"/>
              <w:jc w:val="center"/>
              <w:rPr>
                <w:rFonts w:hint="default"/>
                <w:b/>
                <w:bCs/>
                <w:kern w:val="2"/>
                <w:sz w:val="21"/>
                <w:szCs w:val="21"/>
              </w:rPr>
            </w:pPr>
            <w:r>
              <w:rPr>
                <w:rFonts w:hint="eastAsia"/>
                <w:b/>
                <w:bCs/>
                <w:kern w:val="2"/>
                <w:sz w:val="21"/>
                <w:szCs w:val="21"/>
              </w:rPr>
              <w:t>5</w:t>
            </w:r>
          </w:p>
        </w:tc>
        <w:tc>
          <w:tcPr>
            <w:tcW w:w="705" w:type="dxa"/>
            <w:shd w:val="clear" w:color="auto" w:fill="auto"/>
            <w:noWrap w:val="0"/>
            <w:vAlign w:val="center"/>
          </w:tcPr>
          <w:p>
            <w:pPr>
              <w:keepNext w:val="0"/>
              <w:keepLines w:val="0"/>
              <w:suppressLineNumbers w:val="0"/>
              <w:spacing w:before="0" w:beforeAutospacing="0" w:after="0" w:afterAutospacing="0" w:line="300" w:lineRule="exact"/>
              <w:ind w:left="0" w:right="0"/>
              <w:jc w:val="center"/>
              <w:rPr>
                <w:rFonts w:hint="eastAsia"/>
                <w:kern w:val="2"/>
                <w:sz w:val="21"/>
                <w:szCs w:val="21"/>
              </w:rPr>
            </w:pPr>
            <w:r>
              <w:rPr>
                <w:rFonts w:hint="eastAsia"/>
                <w:kern w:val="2"/>
                <w:sz w:val="21"/>
                <w:szCs w:val="21"/>
              </w:rPr>
              <w:t>4</w:t>
            </w:r>
            <w:r>
              <w:rPr>
                <w:rFonts w:hint="eastAsia"/>
                <w:kern w:val="2"/>
                <w:sz w:val="21"/>
                <w:szCs w:val="21"/>
                <w:lang w:val="en-US" w:eastAsia="zh-CN"/>
              </w:rPr>
              <w:t>4</w:t>
            </w:r>
            <w:r>
              <w:rPr>
                <w:rFonts w:hint="eastAsia"/>
                <w:kern w:val="2"/>
                <w:sz w:val="21"/>
                <w:szCs w:val="21"/>
              </w:rPr>
              <w:t>.1</w:t>
            </w:r>
          </w:p>
        </w:tc>
        <w:tc>
          <w:tcPr>
            <w:tcW w:w="445" w:type="dxa"/>
            <w:shd w:val="clear" w:color="auto" w:fill="C0C0C0"/>
            <w:noWrap w:val="0"/>
            <w:vAlign w:val="center"/>
          </w:tcPr>
          <w:p>
            <w:pPr>
              <w:keepNext w:val="0"/>
              <w:keepLines w:val="0"/>
              <w:suppressLineNumbers w:val="0"/>
              <w:spacing w:before="0" w:beforeAutospacing="0" w:after="0" w:afterAutospacing="0" w:line="300" w:lineRule="exact"/>
              <w:ind w:left="0" w:right="0"/>
              <w:jc w:val="center"/>
              <w:rPr>
                <w:rFonts w:hint="default"/>
                <w:b/>
                <w:bCs/>
                <w:kern w:val="2"/>
                <w:sz w:val="21"/>
                <w:szCs w:val="21"/>
              </w:rPr>
            </w:pPr>
            <w:r>
              <w:rPr>
                <w:rFonts w:hint="eastAsia"/>
                <w:b/>
                <w:bCs/>
                <w:kern w:val="2"/>
                <w:sz w:val="21"/>
                <w:szCs w:val="21"/>
              </w:rPr>
              <w:t>—</w:t>
            </w:r>
          </w:p>
        </w:tc>
        <w:tc>
          <w:tcPr>
            <w:tcW w:w="665" w:type="dxa"/>
            <w:shd w:val="clear" w:color="auto" w:fill="auto"/>
            <w:noWrap w:val="0"/>
            <w:vAlign w:val="center"/>
          </w:tcPr>
          <w:p>
            <w:pPr>
              <w:keepNext w:val="0"/>
              <w:keepLines w:val="0"/>
              <w:suppressLineNumbers w:val="0"/>
              <w:spacing w:before="0" w:beforeAutospacing="0" w:after="0" w:afterAutospacing="0" w:line="300" w:lineRule="exact"/>
              <w:ind w:left="0" w:right="0"/>
              <w:jc w:val="center"/>
              <w:rPr>
                <w:rFonts w:hint="eastAsia"/>
                <w:kern w:val="2"/>
                <w:sz w:val="21"/>
                <w:szCs w:val="21"/>
              </w:rPr>
            </w:pPr>
            <w:r>
              <w:rPr>
                <w:rFonts w:hint="eastAsia"/>
                <w:kern w:val="2"/>
                <w:sz w:val="21"/>
                <w:szCs w:val="21"/>
              </w:rPr>
              <w:t>4</w:t>
            </w:r>
            <w:r>
              <w:rPr>
                <w:rFonts w:hint="eastAsia"/>
                <w:kern w:val="2"/>
                <w:sz w:val="21"/>
                <w:szCs w:val="21"/>
                <w:lang w:val="en-US" w:eastAsia="zh-CN"/>
              </w:rPr>
              <w:t>4</w:t>
            </w:r>
            <w:r>
              <w:rPr>
                <w:rFonts w:hint="eastAsia"/>
                <w:kern w:val="2"/>
                <w:sz w:val="21"/>
                <w:szCs w:val="21"/>
              </w:rPr>
              <w:t>.1</w:t>
            </w:r>
          </w:p>
        </w:tc>
        <w:tc>
          <w:tcPr>
            <w:tcW w:w="585" w:type="dxa"/>
            <w:shd w:val="clear" w:color="auto" w:fill="C0C0C0"/>
            <w:noWrap w:val="0"/>
            <w:vAlign w:val="center"/>
          </w:tcPr>
          <w:p>
            <w:pPr>
              <w:keepNext w:val="0"/>
              <w:keepLines w:val="0"/>
              <w:suppressLineNumbers w:val="0"/>
              <w:spacing w:before="0" w:beforeAutospacing="0" w:after="0" w:afterAutospacing="0" w:line="300" w:lineRule="exact"/>
              <w:ind w:left="0" w:right="0"/>
              <w:jc w:val="center"/>
              <w:rPr>
                <w:rFonts w:hint="default"/>
                <w:b/>
                <w:bCs/>
                <w:kern w:val="2"/>
                <w:sz w:val="21"/>
                <w:szCs w:val="21"/>
              </w:rPr>
            </w:pPr>
            <w:r>
              <w:rPr>
                <w:rFonts w:hint="eastAsia"/>
                <w:b/>
                <w:bCs/>
                <w:kern w:val="2"/>
                <w:sz w:val="21"/>
                <w:szCs w:val="21"/>
              </w:rPr>
              <w:t>4.5</w:t>
            </w:r>
          </w:p>
        </w:tc>
        <w:tc>
          <w:tcPr>
            <w:tcW w:w="645" w:type="dxa"/>
            <w:shd w:val="clear" w:color="auto" w:fill="auto"/>
            <w:noWrap w:val="0"/>
            <w:vAlign w:val="center"/>
          </w:tcPr>
          <w:p>
            <w:pPr>
              <w:keepNext w:val="0"/>
              <w:keepLines w:val="0"/>
              <w:suppressLineNumbers w:val="0"/>
              <w:spacing w:before="0" w:beforeAutospacing="0" w:after="0" w:afterAutospacing="0" w:line="300" w:lineRule="exact"/>
              <w:ind w:left="0" w:right="0"/>
              <w:jc w:val="center"/>
              <w:rPr>
                <w:rFonts w:hint="eastAsia"/>
                <w:kern w:val="2"/>
                <w:sz w:val="21"/>
                <w:szCs w:val="21"/>
              </w:rPr>
            </w:pPr>
            <w:r>
              <w:rPr>
                <w:rFonts w:hint="eastAsia"/>
                <w:kern w:val="2"/>
                <w:sz w:val="21"/>
                <w:szCs w:val="21"/>
              </w:rPr>
              <w:t>47.2</w:t>
            </w:r>
          </w:p>
        </w:tc>
        <w:tc>
          <w:tcPr>
            <w:tcW w:w="390" w:type="dxa"/>
            <w:shd w:val="clear" w:color="auto" w:fill="C0C0C0"/>
            <w:noWrap w:val="0"/>
            <w:vAlign w:val="center"/>
          </w:tcPr>
          <w:p>
            <w:pPr>
              <w:keepNext w:val="0"/>
              <w:keepLines w:val="0"/>
              <w:suppressLineNumbers w:val="0"/>
              <w:spacing w:before="0" w:beforeAutospacing="0" w:after="0" w:afterAutospacing="0" w:line="300" w:lineRule="exact"/>
              <w:ind w:left="0" w:right="0"/>
              <w:jc w:val="center"/>
              <w:rPr>
                <w:rFonts w:hint="default"/>
                <w:b/>
                <w:bCs/>
                <w:kern w:val="2"/>
                <w:sz w:val="21"/>
                <w:szCs w:val="21"/>
              </w:rPr>
            </w:pPr>
            <w:r>
              <w:rPr>
                <w:rFonts w:hint="eastAsia"/>
                <w:b/>
                <w:bCs/>
                <w:kern w:val="2"/>
                <w:sz w:val="21"/>
                <w:szCs w:val="21"/>
              </w:rPr>
              <w:t>6</w:t>
            </w:r>
          </w:p>
        </w:tc>
        <w:tc>
          <w:tcPr>
            <w:tcW w:w="645" w:type="dxa"/>
            <w:shd w:val="clear" w:color="auto" w:fill="auto"/>
            <w:noWrap w:val="0"/>
            <w:vAlign w:val="center"/>
          </w:tcPr>
          <w:p>
            <w:pPr>
              <w:keepNext w:val="0"/>
              <w:keepLines w:val="0"/>
              <w:suppressLineNumbers w:val="0"/>
              <w:spacing w:before="0" w:beforeAutospacing="0" w:after="0" w:afterAutospacing="0" w:line="300" w:lineRule="exact"/>
              <w:ind w:left="0" w:right="0"/>
              <w:jc w:val="center"/>
              <w:rPr>
                <w:rFonts w:hint="eastAsia"/>
                <w:kern w:val="2"/>
                <w:sz w:val="21"/>
                <w:szCs w:val="21"/>
              </w:rPr>
            </w:pPr>
            <w:r>
              <w:rPr>
                <w:rFonts w:hint="eastAsia"/>
                <w:kern w:val="2"/>
                <w:sz w:val="21"/>
                <w:szCs w:val="21"/>
              </w:rPr>
              <w:t>30.3</w:t>
            </w:r>
          </w:p>
        </w:tc>
        <w:tc>
          <w:tcPr>
            <w:tcW w:w="525" w:type="dxa"/>
            <w:shd w:val="clear" w:color="auto" w:fill="C0C0C0"/>
            <w:noWrap w:val="0"/>
            <w:vAlign w:val="center"/>
          </w:tcPr>
          <w:p>
            <w:pPr>
              <w:keepNext w:val="0"/>
              <w:keepLines w:val="0"/>
              <w:suppressLineNumbers w:val="0"/>
              <w:spacing w:before="0" w:beforeAutospacing="0" w:after="0" w:afterAutospacing="0" w:line="300" w:lineRule="exact"/>
              <w:ind w:left="0" w:right="0"/>
              <w:jc w:val="center"/>
              <w:rPr>
                <w:rFonts w:hint="default"/>
                <w:b/>
                <w:bCs/>
                <w:kern w:val="2"/>
                <w:sz w:val="21"/>
                <w:szCs w:val="21"/>
              </w:rPr>
            </w:pPr>
            <w:r>
              <w:rPr>
                <w:rFonts w:hint="eastAsia"/>
                <w:b/>
                <w:bCs/>
                <w:kern w:val="2"/>
                <w:sz w:val="21"/>
                <w:szCs w:val="21"/>
              </w:rPr>
              <w:t>—</w:t>
            </w:r>
          </w:p>
        </w:tc>
        <w:tc>
          <w:tcPr>
            <w:tcW w:w="645" w:type="dxa"/>
            <w:noWrap w:val="0"/>
            <w:vAlign w:val="center"/>
          </w:tcPr>
          <w:p>
            <w:pPr>
              <w:keepNext w:val="0"/>
              <w:keepLines w:val="0"/>
              <w:suppressLineNumbers w:val="0"/>
              <w:spacing w:before="0" w:beforeAutospacing="0" w:after="0" w:afterAutospacing="0" w:line="300" w:lineRule="exact"/>
              <w:ind w:left="0" w:right="0"/>
              <w:jc w:val="center"/>
              <w:rPr>
                <w:rFonts w:hint="eastAsia"/>
                <w:kern w:val="2"/>
                <w:sz w:val="21"/>
                <w:szCs w:val="21"/>
              </w:rPr>
            </w:pPr>
            <w:r>
              <w:rPr>
                <w:rFonts w:hint="default"/>
                <w:kern w:val="2"/>
                <w:sz w:val="21"/>
                <w:szCs w:val="21"/>
              </w:rPr>
              <w:t>—</w:t>
            </w:r>
          </w:p>
        </w:tc>
        <w:tc>
          <w:tcPr>
            <w:tcW w:w="615" w:type="dxa"/>
            <w:shd w:val="clear" w:color="auto" w:fill="E6E0EC" w:themeFill="accent4" w:themeFillTint="32"/>
            <w:noWrap w:val="0"/>
            <w:vAlign w:val="center"/>
          </w:tcPr>
          <w:p>
            <w:pPr>
              <w:keepNext w:val="0"/>
              <w:keepLines w:val="0"/>
              <w:suppressLineNumbers w:val="0"/>
              <w:spacing w:before="0" w:beforeAutospacing="0" w:after="0" w:afterAutospacing="0" w:line="300" w:lineRule="exact"/>
              <w:ind w:left="0" w:right="0"/>
              <w:jc w:val="center"/>
              <w:rPr>
                <w:rFonts w:hint="eastAsia"/>
                <w:b/>
                <w:bCs/>
                <w:kern w:val="2"/>
                <w:sz w:val="21"/>
                <w:szCs w:val="21"/>
                <w:highlight w:val="none"/>
              </w:rPr>
            </w:pPr>
            <w:r>
              <w:rPr>
                <w:rFonts w:hint="eastAsia"/>
                <w:b/>
                <w:bCs/>
                <w:kern w:val="2"/>
                <w:sz w:val="21"/>
                <w:szCs w:val="21"/>
                <w:highlight w:val="none"/>
              </w:rPr>
              <w:t>—</w:t>
            </w:r>
          </w:p>
        </w:tc>
        <w:tc>
          <w:tcPr>
            <w:tcW w:w="820" w:type="dxa"/>
            <w:noWrap w:val="0"/>
            <w:vAlign w:val="center"/>
          </w:tcPr>
          <w:p>
            <w:pPr>
              <w:keepNext w:val="0"/>
              <w:keepLines w:val="0"/>
              <w:suppressLineNumbers w:val="0"/>
              <w:spacing w:before="0" w:beforeAutospacing="0" w:after="0" w:afterAutospacing="0" w:line="300" w:lineRule="exact"/>
              <w:ind w:left="0" w:leftChars="0" w:right="0" w:rightChars="0"/>
              <w:jc w:val="center"/>
              <w:rPr>
                <w:rFonts w:hint="default"/>
                <w:kern w:val="2"/>
                <w:sz w:val="21"/>
                <w:szCs w:val="21"/>
              </w:rPr>
            </w:pPr>
            <w:r>
              <w:rPr>
                <w:rFonts w:hint="default"/>
                <w:kern w:val="2"/>
                <w:sz w:val="21"/>
                <w:szCs w:val="21"/>
              </w:rPr>
              <w:t>—</w:t>
            </w:r>
          </w:p>
        </w:tc>
      </w:tr>
    </w:tbl>
    <w:p>
      <w:pPr>
        <w:spacing w:before="23"/>
        <w:ind w:left="442"/>
        <w:rPr>
          <w:rFonts w:hint="default" w:ascii="Times New Roman" w:hAnsi="Times New Roman" w:cs="Times New Roman"/>
          <w:sz w:val="21"/>
          <w:szCs w:val="21"/>
        </w:rPr>
      </w:pPr>
    </w:p>
    <w:p>
      <w:pPr>
        <w:spacing w:before="23"/>
        <w:ind w:left="442"/>
        <w:rPr>
          <w:rFonts w:hint="default" w:ascii="Times New Roman" w:hAnsi="Times New Roman" w:cs="Times New Roman"/>
          <w:sz w:val="21"/>
          <w:szCs w:val="21"/>
        </w:rPr>
      </w:pPr>
      <w:r>
        <w:rPr>
          <w:rFonts w:hint="default" w:ascii="Times New Roman" w:hAnsi="Times New Roman" w:cs="Times New Roman"/>
          <w:sz w:val="21"/>
          <w:szCs w:val="21"/>
        </w:rPr>
        <w:t>注：</w:t>
      </w:r>
    </w:p>
    <w:p>
      <w:pPr>
        <w:spacing w:before="23"/>
        <w:ind w:left="442" w:firstLine="420"/>
        <w:rPr>
          <w:rFonts w:hint="default" w:ascii="Times New Roman" w:hAnsi="Times New Roman" w:cs="Times New Roman"/>
          <w:sz w:val="21"/>
          <w:szCs w:val="21"/>
        </w:rPr>
      </w:pPr>
      <w:r>
        <w:rPr>
          <w:rFonts w:hint="default" w:ascii="Times New Roman" w:hAnsi="Times New Roman" w:cs="Times New Roman"/>
          <w:sz w:val="21"/>
          <w:szCs w:val="21"/>
          <w:lang w:val="en-US"/>
        </w:rPr>
        <w:t>1.</w:t>
      </w:r>
      <w:r>
        <w:rPr>
          <w:rFonts w:hint="default" w:ascii="Times New Roman" w:hAnsi="Times New Roman" w:cs="Times New Roman"/>
          <w:sz w:val="21"/>
          <w:szCs w:val="21"/>
        </w:rPr>
        <w:t>“—”表示无防火间距要求；</w:t>
      </w:r>
    </w:p>
    <w:p>
      <w:pPr>
        <w:pStyle w:val="11"/>
        <w:ind w:firstLine="420"/>
        <w:rPr>
          <w:rFonts w:hint="default" w:ascii="Times New Roman" w:hAnsi="Times New Roman" w:cs="Times New Roman"/>
        </w:rPr>
      </w:pPr>
      <w:r>
        <w:rPr>
          <w:rFonts w:hint="default" w:ascii="Times New Roman" w:hAnsi="Times New Roman" w:cs="Times New Roman"/>
          <w:sz w:val="21"/>
          <w:szCs w:val="21"/>
          <w:lang w:val="en-US" w:eastAsia="zh-CN"/>
        </w:rPr>
        <w:t xml:space="preserve">    2</w:t>
      </w:r>
      <w:r>
        <w:rPr>
          <w:rFonts w:hint="default" w:ascii="Times New Roman" w:hAnsi="Times New Roman" w:cs="Times New Roman"/>
          <w:sz w:val="21"/>
          <w:szCs w:val="21"/>
          <w:lang w:val="en-US"/>
        </w:rPr>
        <w:t>.</w:t>
      </w:r>
      <w:r>
        <w:rPr>
          <w:rFonts w:hint="default" w:ascii="Times New Roman" w:hAnsi="Times New Roman" w:cs="Times New Roman"/>
          <w:sz w:val="21"/>
          <w:szCs w:val="21"/>
        </w:rPr>
        <w:t>站房的起算点为门窗。</w:t>
      </w:r>
    </w:p>
    <w:p>
      <w:pPr>
        <w:spacing w:before="23"/>
        <w:ind w:left="442"/>
        <w:rPr>
          <w:rFonts w:hint="default" w:ascii="Times New Roman" w:hAnsi="Times New Roman" w:cs="Times New Roman"/>
          <w:sz w:val="21"/>
          <w:szCs w:val="21"/>
          <w:lang w:val="en-US"/>
        </w:rPr>
      </w:pPr>
      <w:r>
        <w:rPr>
          <w:rFonts w:hint="default" w:ascii="Times New Roman" w:hAnsi="Times New Roman" w:cs="Times New Roman"/>
          <w:sz w:val="21"/>
          <w:szCs w:val="21"/>
          <w:lang w:val="en-US" w:eastAsia="zh-CN"/>
        </w:rPr>
        <w:t xml:space="preserve">    3</w:t>
      </w:r>
      <w:r>
        <w:rPr>
          <w:rFonts w:hint="default" w:ascii="Times New Roman" w:hAnsi="Times New Roman" w:cs="Times New Roman"/>
          <w:sz w:val="21"/>
          <w:szCs w:val="21"/>
          <w:lang w:val="en-US"/>
        </w:rPr>
        <w:t>.表中“-”表示无防火间距要求。</w:t>
      </w:r>
    </w:p>
    <w:p>
      <w:pPr>
        <w:spacing w:line="500" w:lineRule="exact"/>
        <w:ind w:firstLine="532" w:firstLineChars="200"/>
        <w:jc w:val="both"/>
        <w:rPr>
          <w:rFonts w:hint="default" w:ascii="Times New Roman" w:hAnsi="Times New Roman" w:cs="Times New Roman"/>
          <w:spacing w:val="-7"/>
          <w:sz w:val="28"/>
          <w:szCs w:val="28"/>
          <w:lang w:eastAsia="zh-CN"/>
        </w:rPr>
      </w:pPr>
      <w:r>
        <w:rPr>
          <w:rFonts w:hint="default" w:ascii="Times New Roman" w:hAnsi="Times New Roman" w:cs="Times New Roman"/>
          <w:spacing w:val="-7"/>
          <w:sz w:val="28"/>
          <w:szCs w:val="28"/>
          <w:lang w:eastAsia="zh-CN"/>
        </w:rPr>
        <w:t>从上表可以看出</w:t>
      </w:r>
      <w:r>
        <w:rPr>
          <w:rFonts w:hint="eastAsia" w:ascii="Times New Roman" w:hAnsi="Times New Roman" w:cs="Times New Roman"/>
          <w:spacing w:val="-7"/>
          <w:sz w:val="28"/>
          <w:szCs w:val="28"/>
          <w:lang w:eastAsia="zh-CN"/>
        </w:rPr>
        <w:t>东城加油站</w:t>
      </w:r>
      <w:r>
        <w:rPr>
          <w:rFonts w:hint="default" w:ascii="Times New Roman" w:hAnsi="Times New Roman" w:cs="Times New Roman"/>
          <w:spacing w:val="-7"/>
          <w:sz w:val="28"/>
          <w:szCs w:val="28"/>
          <w:lang w:eastAsia="zh-CN"/>
        </w:rPr>
        <w:t>站内各主要设施之间的设计防火距离均符合《汽车加油加气站设计与施工规范》（GB50156-2012，2014版）第5.0.8条和第5.0.13条的规定。</w:t>
      </w:r>
    </w:p>
    <w:p>
      <w:pPr>
        <w:pStyle w:val="4"/>
        <w:tabs>
          <w:tab w:val="left" w:pos="3119"/>
        </w:tabs>
        <w:spacing w:beforeLines="100" w:afterLines="100"/>
        <w:ind w:firstLine="0"/>
        <w:jc w:val="center"/>
        <w:rPr>
          <w:rFonts w:hint="default" w:ascii="Times New Roman" w:hAnsi="Times New Roman" w:eastAsia="宋体" w:cs="Times New Roman"/>
          <w:b/>
          <w:bCs/>
        </w:rPr>
      </w:pPr>
      <w:bookmarkStart w:id="355" w:name="_Toc24504"/>
      <w:bookmarkStart w:id="356" w:name="_Toc20233"/>
      <w:bookmarkStart w:id="357" w:name="_Toc1187"/>
      <w:bookmarkStart w:id="358" w:name="_Toc22948_WPSOffice_Level2"/>
      <w:bookmarkStart w:id="359" w:name="_Toc9616"/>
      <w:bookmarkStart w:id="360" w:name="_Toc3575"/>
      <w:bookmarkStart w:id="361" w:name="_Toc15383"/>
      <w:bookmarkStart w:id="362" w:name="_Toc24657"/>
      <w:bookmarkStart w:id="363" w:name="_Toc20877"/>
      <w:bookmarkStart w:id="364" w:name="_Toc12697"/>
      <w:bookmarkStart w:id="365" w:name="_Toc14089"/>
      <w:bookmarkStart w:id="366" w:name="_Toc14515_WPSOffice_Level2"/>
      <w:bookmarkStart w:id="367" w:name="_Toc23656"/>
      <w:bookmarkStart w:id="368" w:name="_Toc16310"/>
      <w:bookmarkStart w:id="369" w:name="_Toc12515"/>
      <w:bookmarkStart w:id="370" w:name="_Toc19538"/>
      <w:bookmarkStart w:id="371" w:name="_Toc2373"/>
      <w:bookmarkStart w:id="372" w:name="_Toc28661"/>
      <w:bookmarkStart w:id="373" w:name="_Toc5475"/>
      <w:bookmarkStart w:id="374" w:name="_Toc7818"/>
      <w:bookmarkStart w:id="375" w:name="_Toc11638"/>
      <w:bookmarkStart w:id="376" w:name="_Toc1961"/>
      <w:bookmarkStart w:id="377" w:name="_Toc24329"/>
      <w:bookmarkStart w:id="378" w:name="_Toc25607"/>
      <w:bookmarkStart w:id="379" w:name="_Toc20506_WPSOffice_Level2"/>
      <w:r>
        <w:rPr>
          <w:rFonts w:hint="default" w:ascii="Times New Roman" w:hAnsi="Times New Roman" w:eastAsia="宋体" w:cs="Times New Roman"/>
          <w:b/>
          <w:bCs/>
          <w:lang w:val="en-US"/>
        </w:rPr>
        <w:br w:type="column"/>
      </w:r>
      <w:r>
        <w:rPr>
          <w:rFonts w:hint="default" w:ascii="Times New Roman" w:hAnsi="Times New Roman" w:eastAsia="宋体" w:cs="Times New Roman"/>
          <w:b/>
          <w:bCs/>
          <w:lang w:val="en-US"/>
        </w:rPr>
        <w:t xml:space="preserve">2.4 </w:t>
      </w:r>
      <w:r>
        <w:rPr>
          <w:rFonts w:hint="default" w:ascii="Times New Roman" w:hAnsi="Times New Roman" w:eastAsia="宋体" w:cs="Times New Roman"/>
          <w:b/>
          <w:bCs/>
        </w:rPr>
        <w:t>储存规模及工艺流程</w:t>
      </w:r>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p>
    <w:p>
      <w:pPr>
        <w:pStyle w:val="5"/>
        <w:spacing w:before="20" w:afterLines="100" w:line="240" w:lineRule="auto"/>
        <w:ind w:firstLine="562" w:firstLineChars="200"/>
        <w:rPr>
          <w:rFonts w:hint="default" w:ascii="Times New Roman" w:hAnsi="Times New Roman" w:cs="Times New Roman"/>
          <w:sz w:val="28"/>
          <w:szCs w:val="28"/>
        </w:rPr>
      </w:pPr>
      <w:bookmarkStart w:id="380" w:name="_Toc9446_WPSOffice_Level3"/>
      <w:bookmarkStart w:id="381" w:name="_Toc7310_WPSOffice_Level3"/>
      <w:bookmarkStart w:id="382" w:name="_Toc3178_WPSOffice_Level3"/>
      <w:r>
        <w:rPr>
          <w:rFonts w:hint="default" w:ascii="Times New Roman" w:hAnsi="Times New Roman" w:cs="Times New Roman"/>
          <w:sz w:val="28"/>
          <w:szCs w:val="28"/>
        </w:rPr>
        <w:t>2.4.1 储存规模</w:t>
      </w:r>
      <w:bookmarkEnd w:id="380"/>
      <w:bookmarkEnd w:id="381"/>
      <w:bookmarkEnd w:id="382"/>
    </w:p>
    <w:p>
      <w:pPr>
        <w:pStyle w:val="11"/>
        <w:pageBreakBefore w:val="0"/>
        <w:widowControl w:val="0"/>
        <w:kinsoku/>
        <w:wordWrap/>
        <w:overflowPunct/>
        <w:topLinePunct w:val="0"/>
        <w:autoSpaceDE w:val="0"/>
        <w:autoSpaceDN w:val="0"/>
        <w:bidi w:val="0"/>
        <w:adjustRightInd/>
        <w:snapToGrid/>
        <w:spacing w:line="500" w:lineRule="exact"/>
        <w:ind w:left="0" w:leftChars="0" w:right="0" w:rightChars="0" w:firstLine="532" w:firstLineChars="200"/>
        <w:jc w:val="both"/>
        <w:textAlignment w:val="auto"/>
        <w:rPr>
          <w:rFonts w:hint="default" w:ascii="Times New Roman" w:hAnsi="Times New Roman" w:cs="Times New Roman"/>
          <w:spacing w:val="-7"/>
        </w:rPr>
      </w:pPr>
      <w:r>
        <w:rPr>
          <w:rFonts w:hint="eastAsia" w:ascii="Times New Roman" w:hAnsi="Times New Roman" w:cs="Times New Roman"/>
          <w:spacing w:val="-7"/>
          <w:lang w:eastAsia="zh-CN"/>
        </w:rPr>
        <w:t>东城加油站共有4个埋地加油储罐，其中</w:t>
      </w:r>
      <w:r>
        <w:rPr>
          <w:rFonts w:hint="eastAsia" w:ascii="Times New Roman" w:hAnsi="Times New Roman" w:cs="Times New Roman"/>
          <w:spacing w:val="-7"/>
          <w:lang w:val="en-US" w:eastAsia="zh-CN"/>
        </w:rPr>
        <w:t>3</w:t>
      </w:r>
      <w:r>
        <w:rPr>
          <w:rFonts w:hint="eastAsia" w:ascii="Times New Roman" w:hAnsi="Times New Roman" w:cs="Times New Roman"/>
          <w:spacing w:val="-7"/>
          <w:lang w:eastAsia="zh-CN"/>
        </w:rPr>
        <w:t>0m³汽油罐</w:t>
      </w:r>
      <w:r>
        <w:rPr>
          <w:rFonts w:hint="eastAsia" w:ascii="Times New Roman" w:hAnsi="Times New Roman" w:cs="Times New Roman"/>
          <w:spacing w:val="-7"/>
          <w:lang w:val="en-US" w:eastAsia="zh-CN"/>
        </w:rPr>
        <w:t>3</w:t>
      </w:r>
      <w:r>
        <w:rPr>
          <w:rFonts w:hint="eastAsia" w:ascii="Times New Roman" w:hAnsi="Times New Roman" w:cs="Times New Roman"/>
          <w:spacing w:val="-7"/>
          <w:lang w:eastAsia="zh-CN"/>
        </w:rPr>
        <w:t>个，</w:t>
      </w:r>
      <w:r>
        <w:rPr>
          <w:rFonts w:hint="eastAsia" w:ascii="Times New Roman" w:hAnsi="Times New Roman" w:cs="Times New Roman"/>
          <w:spacing w:val="-7"/>
          <w:lang w:val="en-US" w:eastAsia="zh-CN"/>
        </w:rPr>
        <w:t>3</w:t>
      </w:r>
      <w:r>
        <w:rPr>
          <w:rFonts w:hint="eastAsia" w:ascii="Times New Roman" w:hAnsi="Times New Roman" w:cs="Times New Roman"/>
          <w:spacing w:val="-7"/>
          <w:lang w:eastAsia="zh-CN"/>
        </w:rPr>
        <w:t>0m³柴油罐1个。汽油按满罐计算（取汽油的平均密度为0.7</w:t>
      </w:r>
      <w:r>
        <w:rPr>
          <w:rFonts w:hint="eastAsia" w:ascii="Times New Roman" w:hAnsi="Times New Roman" w:cs="Times New Roman"/>
          <w:spacing w:val="-7"/>
          <w:lang w:val="en-US" w:eastAsia="zh-CN"/>
        </w:rPr>
        <w:t>5</w:t>
      </w:r>
      <w:r>
        <w:rPr>
          <w:rFonts w:hint="eastAsia" w:ascii="Times New Roman" w:hAnsi="Times New Roman" w:cs="Times New Roman"/>
          <w:spacing w:val="-7"/>
          <w:lang w:eastAsia="zh-CN"/>
        </w:rPr>
        <w:t>t/m³），其最大储存量约</w:t>
      </w:r>
      <w:r>
        <w:rPr>
          <w:rFonts w:hint="eastAsia" w:ascii="Times New Roman" w:hAnsi="Times New Roman" w:cs="Times New Roman"/>
          <w:spacing w:val="-7"/>
          <w:lang w:val="en-US" w:eastAsia="zh-CN"/>
        </w:rPr>
        <w:t>67.5</w:t>
      </w:r>
      <w:r>
        <w:rPr>
          <w:rFonts w:hint="eastAsia" w:ascii="Times New Roman" w:hAnsi="Times New Roman" w:cs="Times New Roman"/>
          <w:spacing w:val="-7"/>
          <w:lang w:eastAsia="zh-CN"/>
        </w:rPr>
        <w:t>t；柴油按照满罐计算（取柴油的平均密度0.8</w:t>
      </w:r>
      <w:r>
        <w:rPr>
          <w:rFonts w:hint="eastAsia" w:ascii="Times New Roman" w:hAnsi="Times New Roman" w:cs="Times New Roman"/>
          <w:spacing w:val="-7"/>
          <w:lang w:val="en-US" w:eastAsia="zh-CN"/>
        </w:rPr>
        <w:t>5</w:t>
      </w:r>
      <w:r>
        <w:rPr>
          <w:rFonts w:hint="eastAsia" w:ascii="Times New Roman" w:hAnsi="Times New Roman" w:cs="Times New Roman"/>
          <w:spacing w:val="-7"/>
          <w:lang w:eastAsia="zh-CN"/>
        </w:rPr>
        <w:t>t/m³），其最大储存量约</w:t>
      </w:r>
      <w:r>
        <w:rPr>
          <w:rFonts w:hint="eastAsia" w:ascii="Times New Roman" w:hAnsi="Times New Roman" w:cs="Times New Roman"/>
          <w:spacing w:val="-7"/>
          <w:lang w:val="en-US" w:eastAsia="zh-CN"/>
        </w:rPr>
        <w:t>25.5</w:t>
      </w:r>
      <w:r>
        <w:rPr>
          <w:rFonts w:hint="eastAsia" w:ascii="Times New Roman" w:hAnsi="Times New Roman" w:cs="Times New Roman"/>
          <w:spacing w:val="-7"/>
          <w:lang w:eastAsia="zh-CN"/>
        </w:rPr>
        <w:t>t。</w:t>
      </w:r>
    </w:p>
    <w:p>
      <w:pPr>
        <w:pStyle w:val="5"/>
        <w:pageBreakBefore w:val="0"/>
        <w:widowControl w:val="0"/>
        <w:kinsoku/>
        <w:wordWrap/>
        <w:overflowPunct/>
        <w:topLinePunct w:val="0"/>
        <w:autoSpaceDE w:val="0"/>
        <w:autoSpaceDN w:val="0"/>
        <w:bidi w:val="0"/>
        <w:adjustRightInd/>
        <w:snapToGrid/>
        <w:spacing w:before="0" w:afterLines="100" w:line="500" w:lineRule="exact"/>
        <w:ind w:left="0" w:leftChars="0" w:right="0" w:rightChars="0" w:firstLine="562" w:firstLineChars="200"/>
        <w:jc w:val="left"/>
        <w:textAlignment w:val="auto"/>
        <w:rPr>
          <w:rFonts w:hint="default" w:ascii="Times New Roman" w:hAnsi="Times New Roman" w:cs="Times New Roman"/>
          <w:sz w:val="28"/>
          <w:szCs w:val="28"/>
        </w:rPr>
      </w:pPr>
      <w:bookmarkStart w:id="383" w:name="_Toc17456_WPSOffice_Level3"/>
      <w:bookmarkStart w:id="384" w:name="_Toc25434_WPSOffice_Level3"/>
      <w:bookmarkStart w:id="385" w:name="_Toc23417_WPSOffice_Level3"/>
      <w:r>
        <w:rPr>
          <w:rFonts w:hint="default" w:ascii="Times New Roman" w:hAnsi="Times New Roman" w:cs="Times New Roman"/>
          <w:sz w:val="28"/>
          <w:szCs w:val="28"/>
        </w:rPr>
        <w:t>2.4.</w:t>
      </w:r>
      <w:r>
        <w:rPr>
          <w:rFonts w:hint="default" w:ascii="Times New Roman" w:hAnsi="Times New Roman" w:cs="Times New Roman"/>
          <w:sz w:val="28"/>
          <w:szCs w:val="28"/>
          <w:lang w:val="en-US"/>
        </w:rPr>
        <w:t>2</w:t>
      </w:r>
      <w:r>
        <w:rPr>
          <w:rFonts w:hint="default" w:ascii="Times New Roman" w:hAnsi="Times New Roman" w:cs="Times New Roman"/>
          <w:sz w:val="28"/>
          <w:szCs w:val="28"/>
        </w:rPr>
        <w:t xml:space="preserve"> 工艺流程</w:t>
      </w:r>
      <w:bookmarkEnd w:id="383"/>
      <w:bookmarkEnd w:id="384"/>
      <w:bookmarkEnd w:id="385"/>
    </w:p>
    <w:p>
      <w:pPr>
        <w:pStyle w:val="15"/>
        <w:spacing w:line="360" w:lineRule="auto"/>
        <w:ind w:firstLine="560" w:firstLineChars="200"/>
        <w:jc w:val="both"/>
        <w:rPr>
          <w:rFonts w:hint="default" w:ascii="Times New Roman" w:hAnsi="Times New Roman" w:cs="Times New Roman"/>
          <w:sz w:val="28"/>
          <w:szCs w:val="28"/>
        </w:rPr>
      </w:pPr>
      <w:bookmarkStart w:id="386" w:name="_Hlk531000383"/>
      <w:r>
        <w:rPr>
          <w:rFonts w:hint="default" w:ascii="Times New Roman" w:hAnsi="Times New Roman" w:cs="Times New Roman"/>
          <w:sz w:val="28"/>
          <w:szCs w:val="28"/>
        </w:rPr>
        <w:t>本改建项目采用国内外通用的成品油流程及加油工艺，即成品油从批发库经油罐车运输至加油站，通过卸油管将油品卸至埋地油罐。加油时，油品从埋地油罐经管道、潜油泵加油机、自封式加油枪给车辆加油。</w:t>
      </w:r>
    </w:p>
    <w:p>
      <w:pPr>
        <w:spacing w:line="360" w:lineRule="auto"/>
        <w:ind w:firstLine="422" w:firstLineChars="150"/>
        <w:rPr>
          <w:rFonts w:hint="default" w:ascii="Times New Roman" w:hAnsi="Times New Roman" w:cs="Times New Roman"/>
          <w:b/>
          <w:sz w:val="28"/>
          <w:szCs w:val="28"/>
          <w:lang w:eastAsia="zh-CN"/>
        </w:rPr>
      </w:pPr>
      <w:r>
        <w:rPr>
          <w:rFonts w:hint="default" w:ascii="Times New Roman" w:hAnsi="Times New Roman" w:cs="Times New Roman"/>
          <w:b/>
          <w:sz w:val="28"/>
          <w:szCs w:val="28"/>
          <w:lang w:eastAsia="zh-CN"/>
        </w:rPr>
        <w:t>1）卸油</w:t>
      </w:r>
    </w:p>
    <w:p>
      <w:pPr>
        <w:pStyle w:val="15"/>
        <w:spacing w:line="360" w:lineRule="auto"/>
        <w:ind w:firstLine="560" w:firstLineChars="200"/>
        <w:jc w:val="both"/>
        <w:rPr>
          <w:rFonts w:hint="default" w:ascii="Times New Roman" w:hAnsi="Times New Roman" w:cs="Times New Roman"/>
          <w:sz w:val="28"/>
          <w:szCs w:val="28"/>
        </w:rPr>
      </w:pPr>
      <w:r>
        <w:rPr>
          <w:rFonts w:hint="default" w:ascii="Times New Roman" w:hAnsi="Times New Roman" w:cs="Times New Roman"/>
          <w:sz w:val="28"/>
          <w:szCs w:val="28"/>
        </w:rPr>
        <w:t>采用油罐车经连通软管与油罐密闭卸油口快速接头连通卸油的方式卸油。装有汽油（或柴油）的油罐车到达加油站卸油点后，在油罐密闭卸油口附近停稳熄火，接好静电接地装置后静止15 min。用连通软管将油罐车与油罐的密闭卸油口快速接头接好开始卸油（汽油卸油过程中进行油气回收），卸油完毕后静置5min拆除连通软管，人工封闭好油罐卸油口快速接头，拆除静电接地装置，发动油品罐车缓慢离开罐区。</w:t>
      </w:r>
    </w:p>
    <w:p>
      <w:pPr>
        <w:spacing w:line="360" w:lineRule="auto"/>
        <w:ind w:firstLine="422" w:firstLineChars="150"/>
        <w:rPr>
          <w:rFonts w:hint="default" w:ascii="Times New Roman" w:hAnsi="Times New Roman" w:cs="Times New Roman"/>
          <w:b/>
          <w:sz w:val="28"/>
          <w:szCs w:val="28"/>
          <w:lang w:eastAsia="zh-CN"/>
        </w:rPr>
      </w:pPr>
      <w:r>
        <w:rPr>
          <w:rFonts w:hint="default" w:ascii="Times New Roman" w:hAnsi="Times New Roman" w:cs="Times New Roman"/>
          <w:b/>
          <w:sz w:val="28"/>
          <w:szCs w:val="28"/>
          <w:lang w:eastAsia="zh-CN"/>
        </w:rPr>
        <w:t>2）加油</w:t>
      </w:r>
    </w:p>
    <w:p>
      <w:pPr>
        <w:pStyle w:val="15"/>
        <w:spacing w:line="360" w:lineRule="auto"/>
        <w:ind w:firstLine="560" w:firstLineChars="200"/>
        <w:jc w:val="both"/>
        <w:rPr>
          <w:rFonts w:hint="default" w:ascii="Times New Roman" w:hAnsi="Times New Roman" w:cs="Times New Roman"/>
          <w:sz w:val="28"/>
          <w:szCs w:val="28"/>
        </w:rPr>
      </w:pPr>
      <w:r>
        <w:rPr>
          <w:rFonts w:hint="default" w:ascii="Times New Roman" w:hAnsi="Times New Roman" w:cs="Times New Roman"/>
          <w:sz w:val="28"/>
          <w:szCs w:val="28"/>
        </w:rPr>
        <w:t>通过潜油泵将油品从储油罐抽出，经过加油机的油气分离器、计量器（加入油品的量可以从加油机的计数器上观察到），然后用加油枪加到汽车油箱（汽油加油过程中进行油气回收，采用集中式油气回收系统）。</w:t>
      </w:r>
    </w:p>
    <w:p>
      <w:pPr>
        <w:pStyle w:val="15"/>
        <w:spacing w:line="360" w:lineRule="auto"/>
        <w:ind w:firstLine="560" w:firstLineChars="200"/>
        <w:jc w:val="both"/>
        <w:rPr>
          <w:rFonts w:hint="default" w:ascii="Times New Roman" w:hAnsi="Times New Roman" w:cs="Times New Roman"/>
          <w:sz w:val="28"/>
          <w:szCs w:val="28"/>
        </w:rPr>
      </w:pPr>
      <w:r>
        <w:rPr>
          <w:rFonts w:hint="default" w:ascii="Times New Roman" w:hAnsi="Times New Roman" w:cs="Times New Roman"/>
          <w:sz w:val="28"/>
          <w:szCs w:val="28"/>
        </w:rPr>
        <w:t>卸油和加油的流程框图见下图：</w:t>
      </w:r>
    </w:p>
    <w:p>
      <w:pPr>
        <w:ind w:firstLine="200" w:firstLineChars="200"/>
        <w:rPr>
          <w:rFonts w:hint="default" w:ascii="Times New Roman" w:hAnsi="Times New Roman" w:cs="Times New Roman"/>
          <w:sz w:val="10"/>
          <w:szCs w:val="10"/>
        </w:rPr>
      </w:pPr>
    </w:p>
    <w:p>
      <w:pPr>
        <w:jc w:val="center"/>
        <w:rPr>
          <w:rFonts w:hint="default" w:ascii="Times New Roman" w:hAnsi="Times New Roman" w:cs="Times New Roman"/>
          <w:sz w:val="24"/>
          <w:bdr w:val="single" w:color="auto" w:sz="4" w:space="0"/>
        </w:rPr>
      </w:pPr>
      <w:r>
        <w:rPr>
          <w:rFonts w:hint="default" w:ascii="Times New Roman" w:hAnsi="Times New Roman" w:cs="Times New Roman"/>
        </w:rPr>
        <w:pict>
          <v:line id="_x0000_s1561" o:spid="_x0000_s1561" o:spt="20" style="position:absolute;left:0pt;margin-left:379pt;margin-top:15.2pt;height:23.45pt;width:0.05pt;z-index:251669504;mso-width-relative:page;mso-height-relative:page;" coordsize="21600,21600" o:gfxdata="UEsDBAoAAAAAAIdO4kAAAAAAAAAAAAAAAAAEAAAAZHJzL1BLAwQUAAAACACHTuJABHSbqtgAAAAJ&#10;AQAADwAAAGRycy9kb3ducmV2LnhtbE2PvU7DQBCEeyTe4bRINFFydoKcxPicAnBHQwDRbnyLbeHb&#10;c3yXH3h6liqUszOa/abYnF2vjjSGzrOBdJaAIq697bgx8PZaTVegQkS22HsmA98UYFNeXxWYW3/i&#10;FzpuY6OkhEOOBtoYh1zrULfkMMz8QCzepx8dRpFjo+2IJyl3vZ4nSaYddiwfWhzooaX6a3twBkL1&#10;TvvqZ1JPko9F42m+f3x+QmNub9LkHlSkc7yE4Q9f0KEUpp0/sA2qN7DMUtkSDdxla1ASkEMKamdg&#10;vViBLgv9f0H5C1BLAwQUAAAACACHTuJApLMwZt0BAACZAwAADgAAAGRycy9lMm9Eb2MueG1srVPN&#10;bhMxEL4j9R0s35tNUqW0q2x6aNpeEEQCHmBie3ct+U8eN5u8BC+AxA1OHLnzNi2PwdgJKT8XhNjD&#10;7Hhm/O1838zOr7bWsI2KqL1r+GQ05kw54aV2XcPfvrk9veAMEzgJxjvV8J1CfrU4eTYfQq2mvvdG&#10;qsgIxGE9hIb3KYW6qlD0ygKOfFCOkq2PFhIdY1fJCAOhW1NNx+PzavBRhuiFQqTocp/ki4Lftkqk&#10;V22LKjHTcOotFRuLXWdbLeZQdxFCr8WhDfiHLixoRx89Qi0hAbuP+g8oq0X06Ns0Et5Wvm21UIUD&#10;sZmMf2PzuoegChcSB8NRJvx/sOLlZhWZljS7M84cWJrR4/svD+8+fvv6gezj50+MMiTTELCm6mu3&#10;iocThlXMnLdttPlNbNi2SLs7Squ2iQkKnp/NOBMUn14+v5jMMmD1dDNETHfKW5adhhvtMm2oYfMC&#10;0770R0kOG8eGhl/OphkTaGtaA4lcG4gHuq7cRW+0vNXG5BsYu/W1iWwDeQ/Kc2jhl7L8kSVgv68r&#10;qVwGda9A3jjJ0i6QQI5WmecWrJKcGUWbn71SmUCbv6kk9saRCFnWvZDZW3u5o3nch6i7npSYlC5z&#10;huZfJDvsal6wn88F6emPWnwH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BHSbqtgAAAAJAQAADwAA&#10;AAAAAAABACAAAAAiAAAAZHJzL2Rvd25yZXYueG1sUEsBAhQAFAAAAAgAh07iQKSzMGbdAQAAmQMA&#10;AA4AAAAAAAAAAQAgAAAAJwEAAGRycy9lMm9Eb2MueG1sUEsFBgAAAAAGAAYAWQEAAHYFAAAAAA==&#10;">
            <v:path arrowok="t"/>
            <v:fill focussize="0,0"/>
            <v:stroke/>
            <v:imagedata o:title=""/>
            <o:lock v:ext="edit"/>
          </v:line>
        </w:pict>
      </w:r>
      <w:r>
        <w:rPr>
          <w:rFonts w:hint="default" w:ascii="Times New Roman" w:hAnsi="Times New Roman" w:cs="Times New Roman"/>
        </w:rPr>
        <w:pict>
          <v:line id="_x0000_s1556" o:spid="_x0000_s1556" o:spt="20" style="position:absolute;left:0pt;flip:y;margin-left:258.2pt;margin-top:16.5pt;height:24.15pt;width:0.05pt;z-index:251671552;mso-width-relative:page;mso-height-relative:page;" coordsize="21600,21600" o:gfxdata="UEsDBAoAAAAAAIdO4kAAAAAAAAAAAAAAAAAEAAAAZHJzL1BLAwQUAAAACACHTuJA2LEInNgAAAAJ&#10;AQAADwAAAGRycy9kb3ducmV2LnhtbE2PTU/DMAyG70j7D5EncWNpUVuN0nSHaUicEGwIiVvWmLas&#10;cUqSrYNfjzmNmz8evX5crc52ECf0oXekIF0kIJAaZ3pqFbzuHm6WIELUZPTgCBV8Y4BVPbuqdGnc&#10;RC942sZWcAiFUivoYhxLKUPTodVh4UYk3n04b3Xk1rfSeD1xuB3kbZIU0uqe+EKnR1x32By2R6vg&#10;bjfl7tkf3rK0/3r/2XzG8fEpKnU9T5N7EBHP8QLDnz6rQ81Oe3ckE8SgIE+LjFEFWZGDYIAHXOw5&#10;PVuCrCv5/4P6F1BLAwQUAAAACACHTuJAy7P1rOkBAACnAwAADgAAAGRycy9lMm9Eb2MueG1srVNL&#10;jhMxEN0jzR0s7yfdySgBWunMYjLDBkEkPvuKP92W/JPtSSeX4AJI7GDFkj23YTgGZXfI8BEbNF6U&#10;ylXPz1XP5eXl3miyEyEqZ1s6ndSUCMscV7Zr6ZvXN+dPKIkJLAftrGjpQUR6uTp7tBx8I2aud5qL&#10;QJDExmbwLe1T8k1VRdYLA3HivLCYlC4YSLgNXcUDDMhudDWr60U1uMB9cEzEiNH1mKSrwi+lYOml&#10;lFEkoluKtaViQ7HbbKvVEpougO8VO5YB/1GFAWXx0hPVGhKQ26D+ojKKBRedTBPmTOWkVEyUHrCb&#10;af1HN6968KL0guJEf5IpPhwte7HbBKI4vt2MEgsG3+ju/Zdv7z5+//oB7d3nTwQzKNPgY4PoK7sJ&#10;x130m5B73stgiNTKv0WWogL2RfZF5MNJZLFPhGFwcTGnhGH8ol48rueZuho5MpcPMT0TzpDstFQr&#10;mwWABnbPYxqhPyE5rC0ZWvp0PsucgPMjNSR0jceOou3K2ei04jdK63wihm57pQPZQZ6Iso4l/AbL&#10;l6wh9iOupDIMml4Av7acpINHqSwONc0lGMEp0QL/QPYKMoHS98gUFNhO/wONCmiLQmSRR1mzt3X8&#10;gK9z64PqelRjWirNGZyGIttxcvO4/bovTPf/a/U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2LEI&#10;nNgAAAAJAQAADwAAAAAAAAABACAAAAAiAAAAZHJzL2Rvd25yZXYueG1sUEsBAhQAFAAAAAgAh07i&#10;QMuz9azpAQAApwMAAA4AAAAAAAAAAQAgAAAAJwEAAGRycy9lMm9Eb2MueG1sUEsFBgAAAAAGAAYA&#10;WQEAAIIFAAAAAA==&#10;">
            <v:path arrowok="t"/>
            <v:fill focussize="0,0"/>
            <v:stroke endarrow="block"/>
            <v:imagedata o:title=""/>
            <o:lock v:ext="edit"/>
          </v:line>
        </w:pict>
      </w:r>
      <w:r>
        <w:rPr>
          <w:rFonts w:hint="default" w:ascii="Times New Roman" w:hAnsi="Times New Roman" w:cs="Times New Roman"/>
        </w:rPr>
        <w:pict>
          <v:line id="_x0000_s1560" o:spid="_x0000_s1560" o:spt="20" style="position:absolute;left:0pt;margin-left:240.2pt;margin-top:15.2pt;height:23.45pt;width:0.05pt;z-index:251673600;mso-width-relative:page;mso-height-relative:page;" coordsize="21600,21600" o:gfxdata="UEsDBAoAAAAAAIdO4kAAAAAAAAAAAAAAAAAEAAAAZHJzL1BLAwQUAAAACACHTuJAJYmkktYAAAAJ&#10;AQAADwAAAGRycy9kb3ducmV2LnhtbE2Py07DMBBF90j8gzVIbCpq90GVhjhdANmxoYDYTuMhiYjH&#10;aew+4OsZVrCbx9GdM8Xm7Ht1pDF2gS3MpgYUcR1cx42F15fqJgMVE7LDPjBZ+KIIm/LyosDchRM/&#10;03GbGiUhHHO00KY05FrHuiWPcRoGYtl9hNFjknZstBvxJOG+13NjVtpjx3KhxYHuW6o/twdvIVZv&#10;tK++J/XEvC+aQPP9w9MjWnt9NTN3oBKd0x8Mv/qiDqU47cKBXVS9hWVmloJKsVqDEkAGt6B2FtaL&#10;DHRZ6P8flD9QSwMEFAAAAAgAh07iQLRZsJXbAQAAlwMAAA4AAABkcnMvZTJvRG9jLnhtbK1TS44T&#10;MRDdI80dLO8nnQQlzLTSmcWEYYMgEnCAiu3utuSfXJ50cgkugMQOVizZcxtmjjFlJ2T4bBCiF9Xl&#10;8vPres/Vi6udNWyrImrvGj4ZjTlTTnipXdfwd29vzi84wwROgvFONXyvkF8tz54shlCrqe+9kSoy&#10;InFYD6HhfUqhrioUvbKAIx+Uo83WRwuJlrGrZISB2K2ppuPxvBp8lCF6oRCpujps8mXhb1sl0uu2&#10;RZWYaTj1lkqMJW5yrJYLqLsIodfi2Ab8QxcWtKOPnqhWkIDdRv0HldUievRtGglvK9+2WqiigdRM&#10;xr+pedNDUEULmYPhZBP+P1rxaruOTMuGzzlzYOmK7j58/f7+0/23jxTvvnxm82zSELAm7LVbx+MK&#10;wzpmxbs22vwmLWxXjN2fjFW7xAQV509nnAmqTy+fXUxmmbB6PBkiphfKW5aThhvtsmioYfsS0wH6&#10;A5LLxrGh4ZezaeYEmpnWQKLUBlKBritn0Rstb7Qx+QTGbnNtIttCnoLyHFv4BZY/sgLsD7iylWFQ&#10;9wrkcydZ2gfyx9Eg89yCVZIzo2juc1aQCbT5GySpN45MyLYejMzZxss93cZtiLrryYlJ6TLv0O0X&#10;y46Tmsfr53Vhevyflg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AliaSS1gAAAAkBAAAPAAAAAAAA&#10;AAEAIAAAACIAAABkcnMvZG93bnJldi54bWxQSwECFAAUAAAACACHTuJAtFmwldsBAACXAwAADgAA&#10;AAAAAAABACAAAAAlAQAAZHJzL2Uyb0RvYy54bWxQSwUGAAAAAAYABgBZAQAAcgUAAAAA&#10;">
            <v:path arrowok="t"/>
            <v:fill focussize="0,0"/>
            <v:stroke/>
            <v:imagedata o:title=""/>
            <o:lock v:ext="edit"/>
          </v:line>
        </w:pict>
      </w:r>
      <w:r>
        <w:rPr>
          <w:rFonts w:hint="default" w:ascii="Times New Roman" w:hAnsi="Times New Roman" w:cs="Times New Roman"/>
        </w:rPr>
        <w:pict>
          <v:line id="_x0000_s1558" o:spid="_x0000_s1558" o:spt="20" style="position:absolute;left:0pt;flip:y;margin-left:85.7pt;margin-top:15pt;height:24.15pt;width:0.05pt;z-index:251675648;mso-width-relative:page;mso-height-relative:page;" coordsize="21600,21600" o:gfxdata="UEsDBAoAAAAAAIdO4kAAAAAAAAAAAAAAAAAEAAAAZHJzL1BLAwQUAAAACACHTuJAqr+ygdgAAAAJ&#10;AQAADwAAAGRycy9kb3ducmV2LnhtbE2PTU/DMAyG70j8h8hI3Fga1H2VpjsgkDgh2BDSbllj2rLG&#10;KUm2Dn493glufuVXjx+Xq5PrxRFD7DxpUJMMBFLtbUeNhrfN480CREyGrOk9oYZvjLCqLi9KU1g/&#10;0ise16kRDKFYGA1tSkMhZaxbdCZO/IDEuw8fnEkcQyNtMCPDXS9vs2wmnemIL7RmwPsW6/364DQs&#10;N+PUv4T9e666r+3Pw2canp6T1tdXKrsDkfCU/spw1md1qNhp5w9ko+g5z1XOVQ35bAriXJgrHnZM&#10;zxcgq1L+/6D6BVBLAwQUAAAACACHTuJAz2EeVOkBAACnAwAADgAAAGRycy9lMm9Eb2MueG1srVNL&#10;jhMxEN0jzR0s7yfdySgBWunMYjLDBkEkPvuKP92W/JPtSSeX4AJI7GDFkj23YTgGZXfI8BEbNL0o&#10;laueX1e9Ki8v90aTnQhROdvS6aSmRFjmuLJdS9+8vjl/QklMYDloZ0VLDyLSy9XZo+XgGzFzvdNc&#10;BIIkNjaDb2mfkm+qKrJeGIgT54XFpHTBQMJj6CoeYEB2o6tZXS+qwQXug2MiRoyuxyRdFX4pBUsv&#10;pYwiEd1SrC0VG4rdZlutltB0AXyv2LEM+I8qDCiLPz1RrSEBuQ3qLyqjWHDRyTRhzlROSsVE6QG7&#10;mdZ/dPOqBy9KLyhO9CeZ4sPRshe7TSCK4+ymlFgwOKO791++vfv4/esHtHefPxHMoEyDjw2ir+wm&#10;HE/Rb0LueS+DIVIr/xZZigrYF9kXkQ8nkcU+EYbBxcWcEobxi3rxuJ5n6mrkyFw+xPRMOEOy01Kt&#10;bBYAGtg9j2mE/oTksLZkaOnT+SxzAu6P1JDQNR47irYrd6PTit8orfONGLrtlQ5kB3kjyncs4TdY&#10;/skaYj/iSirDoOkF8GvLSTp4lMriUtNcghGcEi3wDWSvIBMofY9MQYHt9D/QqIC2KEQWeZQ1e1vH&#10;DzidWx9U16MaZQ4Fg9tQZDtubl63X8+F6f59rX4A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qr+y&#10;gdgAAAAJAQAADwAAAAAAAAABACAAAAAiAAAAZHJzL2Rvd25yZXYueG1sUEsBAhQAFAAAAAgAh07i&#10;QM9hHlTpAQAApwMAAA4AAAAAAAAAAQAgAAAAJwEAAGRycy9lMm9Eb2MueG1sUEsFBgAAAAAGAAYA&#10;WQEAAIIFAAAAAA==&#10;">
            <v:path arrowok="t"/>
            <v:fill focussize="0,0"/>
            <v:stroke endarrow="block"/>
            <v:imagedata o:title=""/>
            <o:lock v:ext="edit"/>
          </v:line>
        </w:pict>
      </w:r>
      <w:r>
        <w:rPr>
          <w:rFonts w:hint="default" w:ascii="Times New Roman" w:hAnsi="Times New Roman" w:cs="Times New Roman"/>
          <w:sz w:val="24"/>
          <w:bdr w:val="single" w:color="auto" w:sz="4" w:space="0"/>
        </w:rPr>
        <w:t xml:space="preserve">油库 </w:t>
      </w:r>
      <w:r>
        <w:rPr>
          <w:rFonts w:hint="default" w:ascii="Times New Roman" w:hAnsi="Times New Roman" w:cs="Times New Roman"/>
          <w:sz w:val="24"/>
        </w:rPr>
        <w:t>→</w:t>
      </w:r>
      <w:r>
        <w:rPr>
          <w:rFonts w:hint="default" w:ascii="Times New Roman" w:hAnsi="Times New Roman" w:cs="Times New Roman"/>
          <w:sz w:val="24"/>
          <w:bdr w:val="single" w:color="auto" w:sz="4" w:space="0"/>
        </w:rPr>
        <w:t xml:space="preserve">油罐车 </w:t>
      </w:r>
      <w:r>
        <w:rPr>
          <w:rFonts w:hint="default" w:ascii="Times New Roman" w:hAnsi="Times New Roman" w:cs="Times New Roman"/>
          <w:sz w:val="24"/>
        </w:rPr>
        <w:t>→</w:t>
      </w:r>
      <w:r>
        <w:rPr>
          <w:rFonts w:hint="default" w:ascii="Times New Roman" w:hAnsi="Times New Roman" w:cs="Times New Roman"/>
          <w:sz w:val="24"/>
          <w:bdr w:val="single" w:color="auto" w:sz="4" w:space="0"/>
        </w:rPr>
        <w:t xml:space="preserve">加油站 </w:t>
      </w:r>
      <w:r>
        <w:rPr>
          <w:rFonts w:hint="default" w:ascii="Times New Roman" w:hAnsi="Times New Roman" w:cs="Times New Roman"/>
          <w:sz w:val="24"/>
        </w:rPr>
        <w:t>→</w:t>
      </w:r>
      <w:r>
        <w:rPr>
          <w:rFonts w:hint="default" w:ascii="Times New Roman" w:hAnsi="Times New Roman" w:cs="Times New Roman"/>
          <w:sz w:val="24"/>
          <w:bdr w:val="single" w:color="auto" w:sz="4" w:space="0"/>
        </w:rPr>
        <w:t xml:space="preserve">卸油 </w:t>
      </w:r>
      <w:r>
        <w:rPr>
          <w:rFonts w:hint="default" w:ascii="Times New Roman" w:hAnsi="Times New Roman" w:cs="Times New Roman"/>
          <w:sz w:val="24"/>
        </w:rPr>
        <w:t>→</w:t>
      </w:r>
      <w:r>
        <w:rPr>
          <w:rFonts w:hint="default" w:ascii="Times New Roman" w:hAnsi="Times New Roman" w:cs="Times New Roman"/>
          <w:sz w:val="24"/>
          <w:bdr w:val="single" w:color="auto" w:sz="4" w:space="0"/>
        </w:rPr>
        <w:t xml:space="preserve">埋地汽油罐 </w:t>
      </w:r>
      <w:r>
        <w:rPr>
          <w:rFonts w:hint="default" w:ascii="Times New Roman" w:hAnsi="Times New Roman" w:cs="Times New Roman"/>
          <w:sz w:val="24"/>
        </w:rPr>
        <w:t>→</w:t>
      </w:r>
      <w:r>
        <w:rPr>
          <w:rFonts w:hint="default" w:ascii="Times New Roman" w:hAnsi="Times New Roman" w:cs="Times New Roman"/>
          <w:sz w:val="24"/>
          <w:bdr w:val="single" w:color="auto" w:sz="4" w:space="0"/>
        </w:rPr>
        <w:t xml:space="preserve">油品管道 </w:t>
      </w:r>
      <w:r>
        <w:rPr>
          <w:rFonts w:hint="default" w:ascii="Times New Roman" w:hAnsi="Times New Roman" w:cs="Times New Roman"/>
          <w:sz w:val="24"/>
        </w:rPr>
        <w:t>→</w:t>
      </w:r>
      <w:r>
        <w:rPr>
          <w:rFonts w:hint="default" w:ascii="Times New Roman" w:hAnsi="Times New Roman" w:cs="Times New Roman"/>
          <w:sz w:val="24"/>
          <w:bdr w:val="single" w:color="auto" w:sz="4" w:space="0"/>
        </w:rPr>
        <w:t xml:space="preserve">加油机 </w:t>
      </w:r>
      <w:r>
        <w:rPr>
          <w:rFonts w:hint="default" w:ascii="Times New Roman" w:hAnsi="Times New Roman" w:cs="Times New Roman"/>
          <w:sz w:val="24"/>
        </w:rPr>
        <w:t>→</w:t>
      </w:r>
      <w:r>
        <w:rPr>
          <w:rFonts w:hint="default" w:ascii="Times New Roman" w:hAnsi="Times New Roman" w:cs="Times New Roman"/>
          <w:sz w:val="24"/>
          <w:bdr w:val="single" w:color="auto" w:sz="4" w:space="0"/>
        </w:rPr>
        <w:t>车辆</w:t>
      </w:r>
    </w:p>
    <w:p>
      <w:pPr>
        <w:jc w:val="center"/>
        <w:rPr>
          <w:rFonts w:hint="default" w:ascii="Times New Roman" w:hAnsi="Times New Roman" w:cs="Times New Roman"/>
          <w:sz w:val="24"/>
          <w:bdr w:val="single" w:color="auto" w:sz="4" w:space="0"/>
        </w:rPr>
      </w:pPr>
      <w:r>
        <w:rPr>
          <w:rFonts w:hint="default" w:ascii="Times New Roman" w:hAnsi="Times New Roman" w:cs="Times New Roman"/>
        </w:rPr>
        <w:pict>
          <v:shape id="_x0000_s1557" o:spid="_x0000_s1557" o:spt="202" type="#_x0000_t202" style="position:absolute;left:0pt;margin-left:281.35pt;margin-top:2.3pt;height:22.5pt;width:78.7pt;z-index:251672576;mso-width-relative:page;mso-height-relative:page;" filled="f" stroked="f" coordsize="21600,21600" o:gfxdata="UEsDBAoAAAAAAIdO4kAAAAAAAAAAAAAAAAAEAAAAZHJzL1BLAwQUAAAACACHTuJABbNrwdgAAAAJ&#10;AQAADwAAAGRycy9kb3ducmV2LnhtbE2Py07DMBBF90j9B2sqsaN2+ghNiNNFEVsQ5SGxc+NpEjUe&#10;R7HbhL9nWMFuRnN059xiN7lOXHEIrScNyUKBQKq8banW8P72dLcFEaIhazpPqOEbA+zK2U1hcutH&#10;esXrIdaCQyjkRkMTY59LGaoGnQkL3yPx7eQHZyKvQy3tYEYOd51cKpVKZ1riD43pcd9gdT5cnIaP&#10;59PX51q91I9u049+UpJcJrW+nSfqAUTEKf7B8KvP6lCy09FfyAbRadikyZJRHtYrEAzcJ9sUxFFD&#10;lq1AloX836D8AVBLAwQUAAAACACHTuJAD5hrK5gBAAAKAwAADgAAAGRycy9lMm9Eb2MueG1srVJN&#10;ThsxFN5X6h0s75sJUQNklAlSheimAiTaAzgeO2PJ9rNsk5lcAG7Aqpvue66co9+YEKp2h9g82+/n&#10;e+/7npcXg7Nsq2Iy5Bt+Mplypryk1vhNw398v/p0zlnKwrfCklcN36nEL1YfPyz7UKsZdWRbFRlA&#10;fKr70PAu51BXVZKdciJNKCiPoKboRMYzbqo2ih7ozlaz6fS06im2IZJUKcF7+Rzkq4KvtZL5Ruuk&#10;MrMNx2y52FjserTVainqTRShM/IwhnjDFE4Yj6ZHqEuRBbuP5j8oZ2SkRDpPJLmKtDZSFQ5gczL9&#10;h81dJ4IqXCBOCkeZ0vvByuvtbWSmxe4gjxcOO9o/Pe5//t7/emDwQaA+pBp5dwGZefhCA5Jf/AnO&#10;kfegoxtPMGKIA2t3lFcNmUk4F4vF5wUiEqHZ+fxsXtCr1+IQU/6qyLHx0vCI7RVRxfZbyhgEqS8p&#10;Yy9PV8baskHrWY8G89m8FBwjqLAehSOF51HHWx7Ww4HXmtodaN2HaDYdehZiJR2Cl46HzzFu9O93&#10;AX39wqs/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CQQAAFtDb250ZW50X1R5cGVzXS54bWxQSwECFAAKAAAAAACHTuJAAAAAAAAAAAAAAAAABgAA&#10;AAAAAAAAABAAAADrAgAAX3JlbHMvUEsBAhQAFAAAAAgAh07iQIoUZjzRAAAAlAEAAAsAAAAAAAAA&#10;AQAgAAAADwMAAF9yZWxzLy5yZWxzUEsBAhQACgAAAAAAh07iQAAAAAAAAAAAAAAAAAQAAAAAAAAA&#10;AAAQAAAAAAAAAGRycy9QSwECFAAUAAAACACHTuJABbNrwdgAAAAJAQAADwAAAAAAAAABACAAAAAi&#10;AAAAZHJzL2Rvd25yZXYueG1sUEsBAhQAFAAAAAgAh07iQA+YayuYAQAACgMAAA4AAAAAAAAAAQAg&#10;AAAAJwEAAGRycy9lMm9Eb2MueG1sUEsFBgAAAAAGAAYAWQEAADEFAAAAAA==&#10;">
            <v:path/>
            <v:fill on="f" focussize="0,0"/>
            <v:stroke on="f" joinstyle="miter"/>
            <v:imagedata o:title=""/>
            <o:lock v:ext="edit"/>
            <v:textbox>
              <w:txbxContent>
                <w:p>
                  <w:pPr>
                    <w:jc w:val="center"/>
                    <w:rPr>
                      <w:szCs w:val="21"/>
                    </w:rPr>
                  </w:pPr>
                  <w:r>
                    <w:rPr>
                      <w:rFonts w:hint="eastAsia"/>
                      <w:szCs w:val="21"/>
                    </w:rPr>
                    <w:t>加油油气回收</w:t>
                  </w:r>
                </w:p>
              </w:txbxContent>
            </v:textbox>
          </v:shape>
        </w:pict>
      </w:r>
      <w:r>
        <w:rPr>
          <w:rFonts w:hint="default" w:ascii="Times New Roman" w:hAnsi="Times New Roman" w:cs="Times New Roman"/>
        </w:rPr>
        <w:pict>
          <v:shape id="_x0000_s1559" o:spid="_x0000_s1559" o:spt="202" type="#_x0000_t202" style="position:absolute;left:0pt;margin-left:120.1pt;margin-top:2.3pt;height:22.5pt;width:78.7pt;z-index:251676672;mso-width-relative:page;mso-height-relative:page;" filled="f" stroked="f" coordsize="21600,21600" o:gfxdata="UEsDBAoAAAAAAIdO4kAAAAAAAAAAAAAAAAAEAAAAZHJzL1BLAwQUAAAACACHTuJA8oSlhNcAAAAK&#10;AQAADwAAAGRycy9kb3ducmV2LnhtbE2PQU/CQBCF7yb+h82YeJNdKkWo3XLQeJUISMJt6Q5tY3e2&#10;6S60/nuHkxwn8+W97+Wr0bXign1oPGmYThQIpNLbhioNu+3H0wJEiIasaT2hhl8MsCru73KTWT/Q&#10;F142sRIcQiEzGuoYu0zKUNboTJj4Dol/J987E/nsK2l7M3C4a2Wi1Fw60xA31KbDtxrLn83Zafj+&#10;PB32M7Wu3l3aDX5UktxSav34MFWvICKO8R+Gqz6rQ8FOR38mG0SrIZmphFENacoTGHhevsxBHJlU&#10;agGyyOXthOIPUEsDBBQAAAAIAIdO4kDN8CnelgEAAAoDAAAOAAAAZHJzL2Uyb0RvYy54bWytUktO&#10;wzAQ3SNxB8t7mjZqgUZNKiEEGwRIwAFcx24s2R7LNk16AbgBKzbsOVfPwcSUFsEOsRnb83kz741n&#10;885oshI+KLAlHQ2GlAjLoVZ2WdKH+4ujU0pCZLZmGqwo6VoEOq8OD2atK0QODehaeIIgNhStK2kT&#10;oyuyLPBGGBYG4ITFoARvWMSnX2a1Zy2iG53lw+Fx1oKvnQcuQkDv+WeQVglfSsHjjZRBRKJLirPF&#10;ZH2yi95m1YwVS89co/h2DPaHKQxTFpvuoM5ZZOTRq19QRnEPAWQccDAZSKm4SByQzWj4g81dw5xI&#10;XFCc4HYyhf+D5derW09UjbsbU2KZwR1tXp43r++btyeCPhSodaHAvDuHmbE7gw6Tv/wBnT3vTnrT&#10;n8iIYBylXu/kFV0kHJ3T6XQ8xQjHUH46OZkk+bN9sfMhXgowpL+U1OP2kqhsdRUiDoKpXyl9LwsX&#10;Suu0QW1Jiw0m+SQV7CJYoS0W9hQ+R+1vsVt0W14LqNdI69F5tWywZyKW0lHw1HH7OfqNfn8n0P0X&#10;rj4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BgQAAFtDb250ZW50X1R5cGVzXS54bWxQSwECFAAKAAAAAACHTuJAAAAAAAAAAAAAAAAABgAAAAAA&#10;AAAAABAAAADoAgAAX3JlbHMvUEsBAhQAFAAAAAgAh07iQIoUZjzRAAAAlAEAAAsAAAAAAAAAAQAg&#10;AAAADAMAAF9yZWxzLy5yZWxzUEsBAhQACgAAAAAAh07iQAAAAAAAAAAAAAAAAAQAAAAAAAAAAAAQ&#10;AAAAAAAAAGRycy9QSwECFAAUAAAACACHTuJA8oSlhNcAAAAKAQAADwAAAAAAAAABACAAAAAiAAAA&#10;ZHJzL2Rvd25yZXYueG1sUEsBAhQAFAAAAAgAh07iQM3wKd6WAQAACgMAAA4AAAAAAAAAAQAgAAAA&#10;JgEAAGRycy9lMm9Eb2MueG1sUEsFBgAAAAAGAAYAWQEAAC4FAAAAAA==&#10;">
            <v:path/>
            <v:fill on="f" focussize="0,0"/>
            <v:stroke on="f" joinstyle="miter"/>
            <v:imagedata o:title=""/>
            <o:lock v:ext="edit"/>
            <v:textbox>
              <w:txbxContent>
                <w:p>
                  <w:pPr>
                    <w:jc w:val="center"/>
                    <w:rPr>
                      <w:szCs w:val="21"/>
                    </w:rPr>
                  </w:pPr>
                  <w:r>
                    <w:rPr>
                      <w:rFonts w:hint="eastAsia"/>
                      <w:szCs w:val="21"/>
                    </w:rPr>
                    <w:t>卸油油气回收</w:t>
                  </w:r>
                </w:p>
              </w:txbxContent>
            </v:textbox>
          </v:shape>
        </w:pict>
      </w:r>
    </w:p>
    <w:p>
      <w:pPr>
        <w:jc w:val="center"/>
        <w:rPr>
          <w:rFonts w:hint="default" w:ascii="Times New Roman" w:hAnsi="Times New Roman" w:cs="Times New Roman"/>
          <w:sz w:val="24"/>
          <w:bdr w:val="single" w:color="auto" w:sz="4" w:space="0"/>
        </w:rPr>
      </w:pPr>
      <w:r>
        <w:rPr>
          <w:rFonts w:hint="default" w:ascii="Times New Roman" w:hAnsi="Times New Roman" w:cs="Times New Roman"/>
        </w:rPr>
        <w:pict>
          <v:line id="_x0000_s1554" o:spid="_x0000_s1554" o:spt="20" style="position:absolute;left:0pt;flip:x;margin-left:258.8pt;margin-top:7.75pt;height:0.05pt;width:121.45pt;z-index:251670528;mso-width-relative:page;mso-height-relative:page;" coordsize="21600,21600" o:gfxdata="UEsDBAoAAAAAAIdO4kAAAAAAAAAAAAAAAAAEAAAAZHJzL1BLAwQUAAAACACHTuJA3KgXx9cAAAAJ&#10;AQAADwAAAGRycy9kb3ducmV2LnhtbE2PwU7DMAyG70i8Q2QkbixJp3WsNJ0QAi5ISIyyc9qYtiJx&#10;qibrxtuTndjR9qff319uT86yGacweFIgFwIYUuvNQJ2C+vPl7h5YiJqMtp5QwS8G2FbXV6UujD/S&#10;B8672LEUQqHQCvoYx4Lz0PbodFj4ESndvv3kdEzj1HEz6WMKd5ZnQuTc6YHSh16P+NRj+7M7OAWP&#10;+7fn5fvcOG/Npqu/jKvFa6bU7Y0UD8AinuI/DGf9pA5Vcmr8gUxgVsFKrvOEKlhKCSwB61ysgDXn&#10;RQa8Kvllg+oPUEsDBBQAAAAIAIdO4kD0vpXa5AEAAKQDAAAOAAAAZHJzL2Uyb0RvYy54bWytU0uO&#10;EzEQ3SNxB8t70kmYjKCVziwmDCwQjAQcoOJPtyX/5PKkk0twASR2sGLJfm7DcAzKTgi/DUJ4USq7&#10;yq/qPZeXFztn2VYlNMF3fDaZcqa8CNL4vuNvXl89eMQZZvASbPCq43uF/GJ1/95yjK2ahyFYqRIj&#10;EI/tGDs+5BzbpkExKAc4CVF5CuqQHGTapr6RCUZCd7aZT6fnzRiSjCkIhUin60OQryq+1krkl1qj&#10;ysx2nHrL1aZqN8U2qyW0fYI4GHFsA/6hCwfGU9ET1BoysJtk/oByRqSAQeeJCK4JWhuhKgdiM5v+&#10;xubVAFFVLiQOxpNM+P9gxYvtdWJG0tstOPPg6I3u3n3+8vbD19v3ZO8+fWQUIZnGiC1lX/rrdNxh&#10;vE6F804nx7Q18RmhVBWIF9tVkfcnkdUuM0GHs8XZ/KwUExQ7f1ixmwNIAYsJ81MVHCtOx63xRQFo&#10;YfscMxWm1O8p5dh6Nnb88WJeAIEGSFvI5LpIlND39S4Ga+SVsbbcwNRvLm1iWygjUVehR7i/pJUi&#10;a8DhkFdDh2EZFMgnXrK8j6SVp6nmpQWnJGdW0ScoHgFCm8HYv8mk0tZTB0Xhg6bF2wS5p6e5icn0&#10;Aykxq12WCI1C7fc4tmXWft5XpB+fa/UN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3KgXx9cAAAAJ&#10;AQAADwAAAAAAAAABACAAAAAiAAAAZHJzL2Rvd25yZXYueG1sUEsBAhQAFAAAAAgAh07iQPS+ldrk&#10;AQAApAMAAA4AAAAAAAAAAQAgAAAAJgEAAGRycy9lMm9Eb2MueG1sUEsFBgAAAAAGAAYAWQEAAHwF&#10;AAAAAA==&#10;">
            <v:path arrowok="t"/>
            <v:fill focussize="0,0"/>
            <v:stroke/>
            <v:imagedata o:title=""/>
            <o:lock v:ext="edit"/>
          </v:line>
        </w:pict>
      </w:r>
      <w:r>
        <w:rPr>
          <w:rFonts w:hint="default" w:ascii="Times New Roman" w:hAnsi="Times New Roman" w:cs="Times New Roman"/>
        </w:rPr>
        <w:pict>
          <v:line id="_x0000_s1555" o:spid="_x0000_s1555" o:spt="20" style="position:absolute;left:0pt;flip:x;margin-left:86.3pt;margin-top:6.3pt;height:0.05pt;width:153.65pt;z-index:251674624;mso-width-relative:page;mso-height-relative:page;" coordsize="21600,21600" o:gfxdata="UEsDBAoAAAAAAIdO4kAAAAAAAAAAAAAAAAAEAAAAZHJzL1BLAwQUAAAACACHTuJAPfBmGdYAAAAJ&#10;AQAADwAAAGRycy9kb3ducmV2LnhtbE2PwU7DMAyG70i8Q2QkbixpizZamk4IARckJEbhnDamrWic&#10;qsm68fZ4J3b87U+/P5fboxvFgnMYPGlIVgoEUuvtQJ2G+uP55g5EiIasGT2hhl8MsK0uL0pTWH+g&#10;d1x2sRNcQqEwGvoYp0LK0PboTFj5CYl33352JnKcO2lnc+ByN8pUqbV0ZiC+0JsJH3tsf3Z7p+Hh&#10;6/Upe1sa50ebd/WndbV6SbW+vkrUPYiIx/gPw0mf1aFip8bvyQYxct6ka0Y1ZEkKgoHbTZ6DaE6D&#10;DGRVyvMPqj9QSwMEFAAAAAgAh07iQNRAXv/iAQAAogMAAA4AAABkcnMvZTJvRG9jLnhtbK1TS44T&#10;MRDdI3EHy3vS6Yx6RFrpzGLCwAJBJOAAFX+6Lfkn25NOLsEFkNjBiiV7bjPDMSi7Q/htEKIXpbLr&#10;+XW95/Lq6mA02YsQlbMdrWdzSoRljivbd/TN65tHjymJCSwH7azo6FFEerV++GA1+lYs3OA0F4Eg&#10;iY3t6Ds6pOTbqopsEAbizHlhsShdMJBwGfqKBxiR3ehqMZ9fVqML3AfHRIy4u5mKdF34pRQsvZQy&#10;ikR0R7G3VGIocZdjtV5B2wfwg2KnNuAfujCgLP70TLWBBOQ2qD+ojGLBRSfTjDlTOSkVE0UDqqnn&#10;v6l5NYAXRQuaE/3Zpvj/aNmL/TYQxTu6pMSCwSu6f/f57u2Hr1/eY7z/9JEss0mjjy1ir+02nFbR&#10;b0NWfJDBEKmVf4b3XzxAVeRQLD6eLRaHRBhu1sumvmgaShjWLi+azF1NJJnMh5ieCmdITjqqlc36&#10;oYX985gm6HdI3taWjNh5s8iEgOMjNSRMjUdB0fblbHRa8RuldT4RQ7+71oHsIQ9E+U4t/ALLP9lA&#10;HCZcKWUYtIMA/sRyko4erbI40zS3YASnRAt8AjkryARK/w0S1WuLJmSHJ09ztnP8iBdz64PqB3Si&#10;Ll3mCg5Csew0tHnSfl4Xph9Pa/0N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PfBmGdYAAAAJAQAA&#10;DwAAAAAAAAABACAAAAAiAAAAZHJzL2Rvd25yZXYueG1sUEsBAhQAFAAAAAgAh07iQNRAXv/iAQAA&#10;ogMAAA4AAAAAAAAAAQAgAAAAJQEAAGRycy9lMm9Eb2MueG1sUEsFBgAAAAAGAAYAWQEAAHkFAAAA&#10;AA==&#10;">
            <v:path arrowok="t"/>
            <v:fill focussize="0,0"/>
            <v:stroke/>
            <v:imagedata o:title=""/>
            <o:lock v:ext="edit"/>
          </v:line>
        </w:pict>
      </w:r>
    </w:p>
    <w:p>
      <w:pPr>
        <w:rPr>
          <w:rFonts w:hint="default" w:ascii="Times New Roman" w:hAnsi="Times New Roman" w:cs="Times New Roman"/>
        </w:rPr>
      </w:pPr>
      <w:r>
        <w:rPr>
          <w:rFonts w:hint="default" w:ascii="Times New Roman" w:hAnsi="Times New Roman" w:cs="Times New Roman"/>
          <w:sz w:val="24"/>
          <w:bdr w:val="single" w:color="auto" w:sz="4" w:space="0"/>
        </w:rPr>
        <w:t xml:space="preserve">油库 </w:t>
      </w:r>
      <w:r>
        <w:rPr>
          <w:rFonts w:hint="default" w:ascii="Times New Roman" w:hAnsi="Times New Roman" w:cs="Times New Roman"/>
          <w:sz w:val="24"/>
        </w:rPr>
        <w:t>→</w:t>
      </w:r>
      <w:r>
        <w:rPr>
          <w:rFonts w:hint="default" w:ascii="Times New Roman" w:hAnsi="Times New Roman" w:cs="Times New Roman"/>
          <w:sz w:val="24"/>
          <w:bdr w:val="single" w:color="auto" w:sz="4" w:space="0"/>
        </w:rPr>
        <w:t xml:space="preserve">油罐车 </w:t>
      </w:r>
      <w:r>
        <w:rPr>
          <w:rFonts w:hint="default" w:ascii="Times New Roman" w:hAnsi="Times New Roman" w:cs="Times New Roman"/>
          <w:sz w:val="24"/>
        </w:rPr>
        <w:t>→</w:t>
      </w:r>
      <w:r>
        <w:rPr>
          <w:rFonts w:hint="default" w:ascii="Times New Roman" w:hAnsi="Times New Roman" w:cs="Times New Roman"/>
          <w:sz w:val="24"/>
          <w:bdr w:val="single" w:color="auto" w:sz="4" w:space="0"/>
        </w:rPr>
        <w:t xml:space="preserve">加油站 </w:t>
      </w:r>
      <w:r>
        <w:rPr>
          <w:rFonts w:hint="default" w:ascii="Times New Roman" w:hAnsi="Times New Roman" w:cs="Times New Roman"/>
          <w:sz w:val="24"/>
        </w:rPr>
        <w:t>→</w:t>
      </w:r>
      <w:r>
        <w:rPr>
          <w:rFonts w:hint="default" w:ascii="Times New Roman" w:hAnsi="Times New Roman" w:cs="Times New Roman"/>
          <w:sz w:val="24"/>
          <w:bdr w:val="single" w:color="auto" w:sz="4" w:space="0"/>
        </w:rPr>
        <w:t xml:space="preserve">卸油 </w:t>
      </w:r>
      <w:r>
        <w:rPr>
          <w:rFonts w:hint="default" w:ascii="Times New Roman" w:hAnsi="Times New Roman" w:cs="Times New Roman"/>
          <w:sz w:val="24"/>
        </w:rPr>
        <w:t>→</w:t>
      </w:r>
      <w:r>
        <w:rPr>
          <w:rFonts w:hint="default" w:ascii="Times New Roman" w:hAnsi="Times New Roman" w:cs="Times New Roman"/>
          <w:sz w:val="24"/>
          <w:bdr w:val="single" w:color="auto" w:sz="4" w:space="0"/>
        </w:rPr>
        <w:t xml:space="preserve">埋地柴油罐 </w:t>
      </w:r>
      <w:r>
        <w:rPr>
          <w:rFonts w:hint="default" w:ascii="Times New Roman" w:hAnsi="Times New Roman" w:cs="Times New Roman"/>
          <w:sz w:val="24"/>
        </w:rPr>
        <w:t>→</w:t>
      </w:r>
      <w:r>
        <w:rPr>
          <w:rFonts w:hint="default" w:ascii="Times New Roman" w:hAnsi="Times New Roman" w:cs="Times New Roman"/>
          <w:sz w:val="24"/>
          <w:bdr w:val="single" w:color="auto" w:sz="4" w:space="0"/>
        </w:rPr>
        <w:t xml:space="preserve">油品管道 </w:t>
      </w:r>
      <w:r>
        <w:rPr>
          <w:rFonts w:hint="default" w:ascii="Times New Roman" w:hAnsi="Times New Roman" w:cs="Times New Roman"/>
          <w:sz w:val="24"/>
        </w:rPr>
        <w:t>→</w:t>
      </w:r>
      <w:r>
        <w:rPr>
          <w:rFonts w:hint="default" w:ascii="Times New Roman" w:hAnsi="Times New Roman" w:cs="Times New Roman"/>
          <w:sz w:val="24"/>
          <w:bdr w:val="single" w:color="auto" w:sz="4" w:space="0"/>
        </w:rPr>
        <w:t xml:space="preserve">加油机 </w:t>
      </w:r>
      <w:r>
        <w:rPr>
          <w:rFonts w:hint="default" w:ascii="Times New Roman" w:hAnsi="Times New Roman" w:cs="Times New Roman"/>
          <w:sz w:val="24"/>
        </w:rPr>
        <w:t>→</w:t>
      </w:r>
      <w:r>
        <w:rPr>
          <w:rFonts w:hint="default" w:ascii="Times New Roman" w:hAnsi="Times New Roman" w:cs="Times New Roman"/>
          <w:sz w:val="24"/>
          <w:bdr w:val="single" w:color="auto" w:sz="4" w:space="0"/>
        </w:rPr>
        <w:t>车辆</w:t>
      </w:r>
    </w:p>
    <w:p>
      <w:pPr>
        <w:spacing w:line="560" w:lineRule="exact"/>
        <w:jc w:val="center"/>
        <w:rPr>
          <w:rFonts w:hint="default" w:ascii="Times New Roman" w:hAnsi="Times New Roman" w:cs="Times New Roman"/>
          <w:b/>
          <w:sz w:val="24"/>
        </w:rPr>
      </w:pPr>
      <w:r>
        <w:rPr>
          <w:rFonts w:hint="default" w:ascii="Times New Roman" w:hAnsi="Times New Roman" w:cs="Times New Roman"/>
          <w:b/>
          <w:sz w:val="24"/>
        </w:rPr>
        <w:t>图2.</w:t>
      </w:r>
      <w:r>
        <w:rPr>
          <w:rFonts w:hint="default" w:ascii="Times New Roman" w:hAnsi="Times New Roman" w:cs="Times New Roman"/>
          <w:b/>
          <w:sz w:val="24"/>
          <w:lang w:val="en-US"/>
        </w:rPr>
        <w:t>4</w:t>
      </w:r>
      <w:r>
        <w:rPr>
          <w:rFonts w:hint="default" w:ascii="Times New Roman" w:hAnsi="Times New Roman" w:cs="Times New Roman"/>
          <w:b/>
          <w:sz w:val="24"/>
        </w:rPr>
        <w:t>-1 成品油流程及加油工艺流程图</w:t>
      </w:r>
    </w:p>
    <w:p>
      <w:pPr>
        <w:spacing w:line="360" w:lineRule="auto"/>
        <w:ind w:firstLine="422" w:firstLineChars="150"/>
        <w:rPr>
          <w:rFonts w:hint="default" w:ascii="Times New Roman" w:hAnsi="Times New Roman" w:cs="Times New Roman"/>
          <w:b/>
          <w:sz w:val="28"/>
          <w:szCs w:val="28"/>
          <w:lang w:eastAsia="zh-CN"/>
        </w:rPr>
      </w:pPr>
      <w:r>
        <w:rPr>
          <w:rFonts w:hint="default" w:ascii="Times New Roman" w:hAnsi="Times New Roman" w:cs="Times New Roman"/>
          <w:b/>
          <w:sz w:val="28"/>
          <w:szCs w:val="28"/>
          <w:lang w:eastAsia="zh-CN"/>
        </w:rPr>
        <w:t>3）油气回收系统</w:t>
      </w:r>
    </w:p>
    <w:p>
      <w:pPr>
        <w:spacing w:line="360" w:lineRule="auto"/>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汽油是一种易挥发的石油产品，在储运、收发过程中会向大气散发大量油气，大量油气散发到大气中去，既严重污染了环境，又浪费宝贵的能源，还对安全构成严重威胁，因此，该项目根据国家标准《汽车加油加气站设计施工规范》（GB50156—2012，2014年版）的要求装设了汽油油气回收系统。</w:t>
      </w:r>
    </w:p>
    <w:p>
      <w:pPr>
        <w:spacing w:line="360" w:lineRule="auto"/>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加油站油气回收分别由二个系统组成。第一个系统是指油罐车密闭式卸油，目的是防止卸油时油气溢散及挥发；第二个系统是指车辆在加油时油气回收，目的也是防止车辆在加油时油气挥发。</w:t>
      </w:r>
    </w:p>
    <w:p>
      <w:pPr>
        <w:spacing w:line="360" w:lineRule="auto"/>
        <w:ind w:firstLine="420" w:firstLineChars="150"/>
        <w:rPr>
          <w:rFonts w:hint="default" w:ascii="Times New Roman" w:hAnsi="Times New Roman" w:cs="Times New Roman"/>
          <w:b w:val="0"/>
          <w:bCs/>
          <w:sz w:val="28"/>
          <w:szCs w:val="28"/>
        </w:rPr>
      </w:pPr>
      <w:r>
        <w:rPr>
          <w:rFonts w:hint="eastAsia" w:ascii="Times New Roman" w:hAnsi="Times New Roman" w:cs="Times New Roman"/>
          <w:b w:val="0"/>
          <w:bCs/>
          <w:sz w:val="28"/>
          <w:szCs w:val="28"/>
          <w:lang w:eastAsia="zh-CN"/>
        </w:rPr>
        <w:t>（</w:t>
      </w:r>
      <w:r>
        <w:rPr>
          <w:rFonts w:hint="default" w:ascii="Times New Roman" w:hAnsi="Times New Roman" w:cs="Times New Roman"/>
          <w:b w:val="0"/>
          <w:bCs/>
          <w:sz w:val="28"/>
          <w:szCs w:val="28"/>
        </w:rPr>
        <w:t>1）卸油油气回收介绍</w:t>
      </w:r>
    </w:p>
    <w:p>
      <w:pPr>
        <w:spacing w:line="360" w:lineRule="auto"/>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卸油油气回收是指油罐车卸油时采用密封式卸油，减少油气向外界溢散。其基本原理是 ：油罐车卸下一定数量的油品，就需吸人大致相等的气体补气，而加油站内的埋地油罐也因注入油品而向外排出相当数量的油气，此油气经过导管重新输回油罐车内，完成油气循环的卸油过程，工艺流程见下图。</w:t>
      </w:r>
    </w:p>
    <w:p>
      <w:pPr>
        <w:spacing w:line="360" w:lineRule="auto"/>
        <w:jc w:val="center"/>
        <w:rPr>
          <w:rFonts w:hint="default" w:ascii="Times New Roman" w:hAnsi="Times New Roman" w:cs="Times New Roman"/>
          <w:color w:val="FF0000"/>
          <w:sz w:val="28"/>
          <w:szCs w:val="28"/>
        </w:rPr>
      </w:pPr>
      <w:r>
        <w:rPr>
          <w:rFonts w:hint="default" w:ascii="Times New Roman" w:hAnsi="Times New Roman" w:cs="Times New Roman"/>
          <w:color w:val="FF0000"/>
          <w:sz w:val="28"/>
          <w:szCs w:val="28"/>
        </w:rPr>
        <w:pict>
          <v:line id="_x0000_s1553" o:spid="_x0000_s1553" o:spt="20" style="position:absolute;left:0pt;flip:x y;margin-left:238.05pt;margin-top:95.55pt;height:1pt;width:14.35pt;rotation:-791344f;z-index:251678720;mso-width-relative:page;mso-height-relative:page;" coordsize="21600,21600" o:gfxdata="UEsDBAoAAAAAAIdO4kAAAAAAAAAAAAAAAAAEAAAAZHJzL1BLAwQUAAAACACHTuJAvyfVutgAAAAL&#10;AQAADwAAAGRycy9kb3ducmV2LnhtbE2PzU7DMBCE70i8g7VI3Kht+gOEOJVA4oQKoSDB0Y2XJCJe&#10;R7GTtm/P9gS33Z3R7Df5+uA7MeEQ20AG9EyBQKqCa6k28PH+dHULIiZLznaB0MARI6yL87PcZi7s&#10;6Q2nbaoFh1DMrIEmpT6TMlYNehtnoUdi7TsM3iZeh1q6we453HfyWqmV9LYl/tDYHh8brH62ozew&#10;+FTPY01YLl8e5puveio3x9fSmMsLre5BJDykPzOc8BkdCmbahZFcFB1n3Kw0W1m40zywY6kWXGZ3&#10;usw1yCKX/zsUv1BLAwQUAAAACACHTuJAgsT67/sBAAC8AwAADgAAAGRycy9lMm9Eb2MueG1srVNL&#10;jhMxEN0jcQfLe6Y7DWFCK51ZTBhYIIjEZ1/xp9uSf7I96eQSXACJHaxYsuc2DMeg7A4ZGHaIXpTK&#10;rufnqufXy4u90WQnQlTOdnR2VlMiLHNc2b6jb99cPVhQEhNYDtpZ0dGDiPRidf/ecvStaNzgNBeB&#10;IImN7eg7OqTk26qKbBAG4pnzwmJRumAg4TL0FQ8wIrvRVVPXj6vRBe6DYyJG3F1PRboq/FIKll5J&#10;GUUiuqPYWyoxlLjNsVotoe0D+EGxYxvwD10YUBYvPVGtIQG5DuovKqNYcNHJdMacqZyUiokyA04z&#10;q+9M83oAL8osKE70J5ni/6NlL3ebQBTvKD6UBYNPdPPh6/f3n358+4jx5stnssgijT62iL20m3Bc&#10;Rb8JeeK9DIYEh8o29eJ8Pq8fUiK18s/RDlP2LmcZiuOSfdH+cNJe7BNhuDlbNM2jOSUMS7PmvC5P&#10;U030+awPMT0TzpCcdFQrm5WBFnYvYsKWEPoLkre1JWNHn8ybTAloLKkhYWo8jhptX85GpxW/Ulrn&#10;EzH020sdyA6yVcqXB0feP2D5kjXEYcKV0mSiQQB/ajlJB48iWnQ7zS0YwSnRAn+OnCEhtAmUvkVC&#10;CG68A43meLW22EHWflI7Z1vHD/hk1z6ofkAlZgWaK2iR0u/RztmDv68L0+1Pt/oJ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vyfVutgAAAALAQAADwAAAAAAAAABACAAAAAiAAAAZHJzL2Rvd25yZXYu&#10;eG1sUEsBAhQAFAAAAAgAh07iQILE+u/7AQAAvAMAAA4AAAAAAAAAAQAgAAAAJwEAAGRycy9lMm9E&#10;b2MueG1sUEsFBgAAAAAGAAYAWQEAAJQFAAAAAA==&#10;">
            <v:path arrowok="t"/>
            <v:fill focussize="0,0"/>
            <v:stroke endarrow="open" endarrowlength="short"/>
            <v:imagedata o:title=""/>
            <o:lock v:ext="edit"/>
          </v:line>
        </w:pict>
      </w:r>
      <w:r>
        <w:rPr>
          <w:rFonts w:hint="default" w:ascii="Times New Roman" w:hAnsi="Times New Roman" w:cs="Times New Roman"/>
          <w:color w:val="FF0000"/>
          <w:sz w:val="28"/>
          <w:szCs w:val="28"/>
        </w:rPr>
        <w:pict>
          <v:line id="_x0000_s1552" o:spid="_x0000_s1552" o:spt="20" style="position:absolute;left:0pt;margin-left:188.9pt;margin-top:76.45pt;height:0.3pt;width:15.75pt;rotation:-791344f;z-index:251677696;mso-width-relative:page;mso-height-relative:page;" coordsize="21600,21600" o:gfxdata="UEsDBAoAAAAAAIdO4kAAAAAAAAAAAAAAAAAEAAAAZHJzL1BLAwQUAAAACACHTuJA2WfcjNgAAAAL&#10;AQAADwAAAGRycy9kb3ducmV2LnhtbE2PQVPCMBCF7874HzLrjBcHEii1UJty0PHCDXA8L+3aVpuk&#10;JguUf2844fHte/Pet8V6NL04kQ+dsxpmUwWCbOXqzjYaPvbvkyWIwGhr7J0lDRcKsC7v7wrMa3e2&#10;WzrtuBGxxIYcNbTMQy5lqFoyGKZuIBu9L+cNcpS+kbXHcyw3vZwr9SwNdjYutDjQa0vVz+5oNDzx&#10;Pmw2PG5/s0/6XlxS+YZeav34MFMvIJhGvoXhih/RoYxMB3e0dRC9hiTLIjpHI52vQMTEQq0SEIfr&#10;JUlBloX8/0P5B1BLAwQUAAAACACHTuJAoxrRHu0BAACnAwAADgAAAGRycy9lMm9Eb2MueG1srVNL&#10;jhMxEN0jcQfLe9KdjAKhlc4sJgwbBJGAA1Rsd7cl/1T2pJNLcAEkdrBiyZ7bzHAMyk7IwLBD9KJk&#10;u16/qvdcXl7urWE7hVF71/LppOZMOeGldn3L37+7frLgLCZwEox3quUHFfnl6vGj5RgaNfODN1Ih&#10;IxIXmzG0fEgpNFUVxaAsxIkPylGy82gh0Rb7SiKMxG5NNavrp9XoUQb0QsVIp+tjkq8Kf9cpkd50&#10;XVSJmZZTb6lELHGbY7VaQtMjhEGLUxvwD11Y0I6KnqnWkIDdoP6LymqBPvouTYS3le86LVTRQGqm&#10;9QM1bwcIqmghc2I42xT/H614vdsg07Llc84cWLqiu4/fbj98/vH9E8W7r1/YPJs0htgQ9spt8LSL&#10;YYNZ8b5Dy9CTs7N68Ww+ry+KESSN7YvPh7PPap+YoEO6uHpG9QSlLhbTcgvVkSkzBozppfKW5UXL&#10;jXbZBGhg9yomqk7QX5B8bBwbW/58XhiBZqgzkIjcBlIVXV/+jd5oea2NyX9E7LdXBtkO8lSUL2sk&#10;3j9gucga4nDEldRxXgYF8oWTLB0C+eVosHluwSrJmVH0DvKKCKFJoM09EhD9+AAa7am0cdRBtvlo&#10;bF5tvTzQ7dwE1P1ATkwLNGdoGkq/p8nN4/b7vjDdv6/VT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Nln3IzYAAAACwEAAA8AAAAAAAAAAQAgAAAAIgAAAGRycy9kb3ducmV2LnhtbFBLAQIUABQAAAAI&#10;AIdO4kCjGtEe7QEAAKcDAAAOAAAAAAAAAAEAIAAAACcBAABkcnMvZTJvRG9jLnhtbFBLBQYAAAAA&#10;BgAGAFkBAACGBQAAAAA=&#10;">
            <v:path arrowok="t"/>
            <v:fill focussize="0,0"/>
            <v:stroke endarrow="open" endarrowlength="short"/>
            <v:imagedata o:title=""/>
            <o:lock v:ext="edit"/>
          </v:line>
        </w:pict>
      </w:r>
      <w:r>
        <w:rPr>
          <w:rFonts w:hint="default" w:ascii="Times New Roman" w:hAnsi="Times New Roman" w:cs="Times New Roman"/>
          <w:color w:val="FF0000"/>
          <w:sz w:val="28"/>
          <w:szCs w:val="28"/>
          <w:lang w:val="en-US" w:bidi="ar-SA"/>
        </w:rPr>
        <w:drawing>
          <wp:inline distT="0" distB="0" distL="114300" distR="114300">
            <wp:extent cx="5676265" cy="3295650"/>
            <wp:effectExtent l="0" t="0" r="635" b="0"/>
            <wp:docPr id="17" name="图片 1" descr="油气回收"/>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 descr="油气回收"/>
                    <pic:cNvPicPr>
                      <a:picLocks noChangeAspect="1"/>
                    </pic:cNvPicPr>
                  </pic:nvPicPr>
                  <pic:blipFill>
                    <a:blip r:embed="rId13"/>
                    <a:stretch>
                      <a:fillRect/>
                    </a:stretch>
                  </pic:blipFill>
                  <pic:spPr>
                    <a:xfrm>
                      <a:off x="0" y="0"/>
                      <a:ext cx="5676265" cy="3295650"/>
                    </a:xfrm>
                    <a:prstGeom prst="rect">
                      <a:avLst/>
                    </a:prstGeom>
                    <a:noFill/>
                    <a:ln w="9525">
                      <a:noFill/>
                    </a:ln>
                  </pic:spPr>
                </pic:pic>
              </a:graphicData>
            </a:graphic>
          </wp:inline>
        </w:drawing>
      </w:r>
    </w:p>
    <w:p>
      <w:pPr>
        <w:spacing w:line="360" w:lineRule="auto"/>
        <w:ind w:firstLine="420" w:firstLineChars="150"/>
        <w:rPr>
          <w:rFonts w:hint="default" w:ascii="Times New Roman" w:hAnsi="Times New Roman" w:cs="Times New Roman"/>
          <w:b w:val="0"/>
          <w:bCs/>
          <w:sz w:val="28"/>
          <w:szCs w:val="28"/>
        </w:rPr>
      </w:pPr>
      <w:r>
        <w:rPr>
          <w:rFonts w:hint="eastAsia" w:ascii="Times New Roman" w:hAnsi="Times New Roman" w:cs="Times New Roman"/>
          <w:b w:val="0"/>
          <w:bCs/>
          <w:sz w:val="28"/>
          <w:szCs w:val="28"/>
          <w:lang w:eastAsia="zh-CN"/>
        </w:rPr>
        <w:t>（</w:t>
      </w:r>
      <w:r>
        <w:rPr>
          <w:rFonts w:hint="default" w:ascii="Times New Roman" w:hAnsi="Times New Roman" w:cs="Times New Roman"/>
          <w:b w:val="0"/>
          <w:bCs/>
          <w:sz w:val="28"/>
          <w:szCs w:val="28"/>
        </w:rPr>
        <w:t>2）加油油气回收介绍</w:t>
      </w:r>
    </w:p>
    <w:p>
      <w:pPr>
        <w:spacing w:line="360" w:lineRule="auto"/>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加油油气回收是指汽车加油时，利用加油枪上的特殊装置 ，将原本会由汽车油箱溢散于空气中的油气 ，经加油枪、抽气马达 、回收管道回收入油罐内。工艺流程见下图。</w:t>
      </w:r>
    </w:p>
    <w:p>
      <w:pPr>
        <w:spacing w:line="360" w:lineRule="auto"/>
        <w:jc w:val="center"/>
        <w:rPr>
          <w:rFonts w:hint="default" w:ascii="Times New Roman" w:hAnsi="Times New Roman" w:cs="Times New Roman"/>
          <w:color w:val="FF0000"/>
          <w:sz w:val="28"/>
          <w:szCs w:val="28"/>
          <w:lang w:val="en-US" w:bidi="ar-SA"/>
        </w:rPr>
      </w:pPr>
      <w:r>
        <w:rPr>
          <w:rFonts w:hint="default" w:ascii="Times New Roman" w:hAnsi="Times New Roman" w:cs="Times New Roman"/>
          <w:color w:val="FF0000"/>
          <w:sz w:val="28"/>
          <w:szCs w:val="28"/>
          <w:lang w:val="en-US" w:bidi="ar-SA"/>
        </w:rPr>
        <w:drawing>
          <wp:inline distT="0" distB="0" distL="114300" distR="114300">
            <wp:extent cx="5828030" cy="2970530"/>
            <wp:effectExtent l="0" t="0" r="1270" b="1270"/>
            <wp:docPr id="1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2"/>
                    <pic:cNvPicPr>
                      <a:picLocks noChangeAspect="1"/>
                    </pic:cNvPicPr>
                  </pic:nvPicPr>
                  <pic:blipFill>
                    <a:blip r:embed="rId14"/>
                    <a:stretch>
                      <a:fillRect/>
                    </a:stretch>
                  </pic:blipFill>
                  <pic:spPr>
                    <a:xfrm>
                      <a:off x="0" y="0"/>
                      <a:ext cx="5828030" cy="2970530"/>
                    </a:xfrm>
                    <a:prstGeom prst="rect">
                      <a:avLst/>
                    </a:prstGeom>
                    <a:noFill/>
                    <a:ln w="9525">
                      <a:noFill/>
                    </a:ln>
                  </pic:spPr>
                </pic:pic>
              </a:graphicData>
            </a:graphic>
          </wp:inline>
        </w:drawing>
      </w:r>
    </w:p>
    <w:bookmarkEnd w:id="386"/>
    <w:p>
      <w:pPr>
        <w:pStyle w:val="4"/>
        <w:pageBreakBefore w:val="0"/>
        <w:widowControl w:val="0"/>
        <w:tabs>
          <w:tab w:val="left" w:pos="3119"/>
        </w:tabs>
        <w:kinsoku/>
        <w:wordWrap/>
        <w:overflowPunct/>
        <w:topLinePunct w:val="0"/>
        <w:autoSpaceDE w:val="0"/>
        <w:autoSpaceDN w:val="0"/>
        <w:bidi w:val="0"/>
        <w:adjustRightInd/>
        <w:snapToGrid/>
        <w:spacing w:beforeLines="100" w:afterLines="100" w:line="500" w:lineRule="exact"/>
        <w:ind w:left="0" w:leftChars="0" w:right="0" w:rightChars="0" w:firstLine="0"/>
        <w:jc w:val="center"/>
        <w:textAlignment w:val="auto"/>
        <w:rPr>
          <w:rFonts w:hint="default" w:ascii="Times New Roman" w:hAnsi="Times New Roman" w:eastAsia="宋体" w:cs="Times New Roman"/>
          <w:b/>
          <w:bCs/>
          <w:lang w:val="en-US"/>
        </w:rPr>
      </w:pPr>
      <w:bookmarkStart w:id="387" w:name="_Toc11517_WPSOffice_Level2"/>
      <w:bookmarkStart w:id="388" w:name="_Toc9592_WPSOffice_Level2"/>
      <w:bookmarkStart w:id="389" w:name="_Toc14100"/>
      <w:bookmarkStart w:id="390" w:name="_Toc29262"/>
      <w:bookmarkStart w:id="391" w:name="_Toc26447"/>
      <w:bookmarkStart w:id="392" w:name="_Toc30107"/>
      <w:bookmarkStart w:id="393" w:name="_Toc6530"/>
      <w:bookmarkStart w:id="394" w:name="_Toc5653"/>
      <w:bookmarkStart w:id="395" w:name="_Toc14823"/>
      <w:bookmarkStart w:id="396" w:name="_Toc7310_WPSOffice_Level2"/>
      <w:bookmarkStart w:id="397" w:name="_Toc21213"/>
      <w:bookmarkStart w:id="398" w:name="_Toc7448"/>
      <w:bookmarkStart w:id="399" w:name="_Toc27812"/>
      <w:bookmarkStart w:id="400" w:name="_Toc3405"/>
      <w:bookmarkStart w:id="401" w:name="_Toc3289"/>
      <w:bookmarkStart w:id="402" w:name="_Toc23671"/>
      <w:bookmarkStart w:id="403" w:name="_Toc29439"/>
      <w:bookmarkStart w:id="404" w:name="_Toc31091"/>
      <w:bookmarkStart w:id="405" w:name="_Toc28357"/>
      <w:bookmarkStart w:id="406" w:name="_Toc19662"/>
      <w:bookmarkStart w:id="407" w:name="_Toc27924"/>
      <w:bookmarkStart w:id="408" w:name="_Toc25878"/>
      <w:bookmarkStart w:id="409" w:name="_Toc8685"/>
      <w:bookmarkStart w:id="410" w:name="_Toc19633"/>
      <w:bookmarkStart w:id="411" w:name="_Toc7251"/>
      <w:r>
        <w:rPr>
          <w:rFonts w:hint="default" w:ascii="Times New Roman" w:hAnsi="Times New Roman" w:eastAsia="宋体" w:cs="Times New Roman"/>
          <w:b/>
          <w:bCs/>
          <w:lang w:val="en-US"/>
        </w:rPr>
        <w:t xml:space="preserve">2.5 </w:t>
      </w:r>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r>
        <w:rPr>
          <w:rFonts w:hint="default" w:ascii="Times New Roman" w:hAnsi="Times New Roman" w:eastAsia="宋体" w:cs="Times New Roman"/>
          <w:b/>
          <w:bCs/>
          <w:lang w:val="en-US"/>
        </w:rPr>
        <w:t>选用的主要装置（设备）和设施的布局及其上下游生产装置的关系</w:t>
      </w:r>
      <w:bookmarkEnd w:id="404"/>
      <w:bookmarkEnd w:id="405"/>
      <w:bookmarkEnd w:id="406"/>
      <w:bookmarkEnd w:id="407"/>
      <w:bookmarkEnd w:id="408"/>
      <w:bookmarkEnd w:id="409"/>
      <w:bookmarkEnd w:id="410"/>
      <w:bookmarkEnd w:id="411"/>
    </w:p>
    <w:p>
      <w:pPr>
        <w:pStyle w:val="5"/>
        <w:pageBreakBefore w:val="0"/>
        <w:widowControl w:val="0"/>
        <w:kinsoku/>
        <w:wordWrap/>
        <w:overflowPunct/>
        <w:topLinePunct w:val="0"/>
        <w:autoSpaceDE w:val="0"/>
        <w:autoSpaceDN w:val="0"/>
        <w:bidi w:val="0"/>
        <w:adjustRightInd/>
        <w:snapToGrid/>
        <w:spacing w:before="20" w:afterLines="100" w:line="500" w:lineRule="exact"/>
        <w:ind w:left="0" w:leftChars="0" w:right="0" w:rightChars="0" w:firstLine="562" w:firstLineChars="200"/>
        <w:textAlignment w:val="auto"/>
        <w:rPr>
          <w:rFonts w:hint="default" w:ascii="Times New Roman" w:hAnsi="Times New Roman" w:cs="Times New Roman"/>
          <w:sz w:val="28"/>
          <w:szCs w:val="28"/>
        </w:rPr>
      </w:pPr>
      <w:bookmarkStart w:id="412" w:name="_Toc2288"/>
      <w:bookmarkStart w:id="413" w:name="_Toc5139"/>
      <w:bookmarkStart w:id="414" w:name="_Toc30380"/>
      <w:bookmarkStart w:id="415" w:name="_Toc2163"/>
      <w:bookmarkStart w:id="416" w:name="_Toc25945"/>
      <w:bookmarkStart w:id="417" w:name="_Toc17456_WPSOffice_Level2"/>
      <w:bookmarkStart w:id="418" w:name="_Toc4250"/>
      <w:bookmarkStart w:id="419" w:name="_Toc13303_WPSOffice_Level2"/>
      <w:bookmarkStart w:id="420" w:name="_Toc4779"/>
      <w:bookmarkStart w:id="421" w:name="_Toc9892"/>
      <w:bookmarkStart w:id="422" w:name="_Toc26713"/>
      <w:bookmarkStart w:id="423" w:name="_Toc234"/>
      <w:bookmarkStart w:id="424" w:name="_Toc20515"/>
      <w:bookmarkStart w:id="425" w:name="_Toc14558_WPSOffice_Level2"/>
      <w:bookmarkStart w:id="426" w:name="_Toc23653"/>
      <w:bookmarkStart w:id="427" w:name="_Toc29204"/>
      <w:bookmarkStart w:id="428" w:name="_Toc2775"/>
      <w:r>
        <w:rPr>
          <w:rFonts w:hint="default" w:ascii="Times New Roman" w:hAnsi="Times New Roman" w:cs="Times New Roman"/>
          <w:sz w:val="28"/>
          <w:szCs w:val="28"/>
        </w:rPr>
        <w:t>2.</w:t>
      </w:r>
      <w:r>
        <w:rPr>
          <w:rFonts w:hint="default" w:ascii="Times New Roman" w:hAnsi="Times New Roman" w:cs="Times New Roman"/>
          <w:sz w:val="28"/>
          <w:szCs w:val="28"/>
          <w:lang w:val="en-US" w:eastAsia="zh-CN"/>
        </w:rPr>
        <w:t>5</w:t>
      </w:r>
      <w:r>
        <w:rPr>
          <w:rFonts w:hint="default" w:ascii="Times New Roman" w:hAnsi="Times New Roman" w:cs="Times New Roman"/>
          <w:sz w:val="28"/>
          <w:szCs w:val="28"/>
        </w:rPr>
        <w:t>.1 主要装置和设施布局</w:t>
      </w:r>
    </w:p>
    <w:p>
      <w:pPr>
        <w:keepNext w:val="0"/>
        <w:keepLines w:val="0"/>
        <w:pageBreakBefore w:val="0"/>
        <w:widowControl w:val="0"/>
        <w:kinsoku/>
        <w:wordWrap/>
        <w:overflowPunct/>
        <w:topLinePunct w:val="0"/>
        <w:autoSpaceDE w:val="0"/>
        <w:autoSpaceDN w:val="0"/>
        <w:bidi w:val="0"/>
        <w:adjustRightInd/>
        <w:snapToGrid/>
        <w:spacing w:line="500" w:lineRule="exact"/>
        <w:ind w:left="0" w:leftChars="0" w:right="0" w:rightChars="0" w:firstLine="532" w:firstLineChars="200"/>
        <w:jc w:val="both"/>
        <w:textAlignment w:val="auto"/>
        <w:outlineLvl w:val="9"/>
        <w:rPr>
          <w:rFonts w:hint="default" w:ascii="Times New Roman" w:hAnsi="Times New Roman" w:cs="Times New Roman"/>
          <w:spacing w:val="-7"/>
          <w:sz w:val="28"/>
          <w:szCs w:val="28"/>
          <w:lang w:val="en-US" w:eastAsia="zh-CN"/>
        </w:rPr>
      </w:pPr>
      <w:r>
        <w:rPr>
          <w:rFonts w:hint="default" w:ascii="Times New Roman" w:hAnsi="Times New Roman" w:cs="Times New Roman"/>
          <w:spacing w:val="-7"/>
          <w:sz w:val="28"/>
          <w:szCs w:val="28"/>
          <w:lang w:val="en-US" w:eastAsia="zh-CN"/>
        </w:rPr>
        <w:t>1）储罐区</w:t>
      </w:r>
    </w:p>
    <w:p>
      <w:pPr>
        <w:keepNext w:val="0"/>
        <w:keepLines w:val="0"/>
        <w:pageBreakBefore w:val="0"/>
        <w:widowControl w:val="0"/>
        <w:kinsoku/>
        <w:wordWrap/>
        <w:overflowPunct/>
        <w:topLinePunct w:val="0"/>
        <w:autoSpaceDE w:val="0"/>
        <w:autoSpaceDN w:val="0"/>
        <w:bidi w:val="0"/>
        <w:adjustRightInd/>
        <w:snapToGrid/>
        <w:spacing w:line="500" w:lineRule="exact"/>
        <w:ind w:left="0" w:leftChars="0" w:right="0" w:rightChars="0" w:firstLine="532" w:firstLineChars="200"/>
        <w:jc w:val="both"/>
        <w:textAlignment w:val="auto"/>
        <w:outlineLvl w:val="9"/>
        <w:rPr>
          <w:rFonts w:hint="default" w:ascii="Times New Roman" w:hAnsi="Times New Roman" w:cs="Times New Roman"/>
          <w:spacing w:val="-7"/>
          <w:sz w:val="28"/>
          <w:szCs w:val="28"/>
          <w:lang w:val="en-US" w:eastAsia="zh-CN"/>
        </w:rPr>
      </w:pPr>
      <w:r>
        <w:rPr>
          <w:rFonts w:hint="default" w:ascii="Times New Roman" w:hAnsi="Times New Roman" w:cs="Times New Roman"/>
          <w:spacing w:val="-7"/>
          <w:sz w:val="28"/>
          <w:szCs w:val="28"/>
          <w:lang w:val="en-US" w:eastAsia="zh-CN"/>
        </w:rPr>
        <w:t>该油站罐区配置3个卧式埋地汽油油罐，1个卧式埋地柴油油罐。潜油泵采用每罐配置1台的方式，共设置</w:t>
      </w:r>
      <w:r>
        <w:rPr>
          <w:rFonts w:hint="eastAsia" w:ascii="Times New Roman" w:hAnsi="Times New Roman" w:cs="Times New Roman"/>
          <w:spacing w:val="-7"/>
          <w:sz w:val="28"/>
          <w:szCs w:val="28"/>
          <w:lang w:val="en-US" w:eastAsia="zh-CN"/>
        </w:rPr>
        <w:t>4</w:t>
      </w:r>
      <w:r>
        <w:rPr>
          <w:rFonts w:hint="default" w:ascii="Times New Roman" w:hAnsi="Times New Roman" w:cs="Times New Roman"/>
          <w:spacing w:val="-7"/>
          <w:sz w:val="28"/>
          <w:szCs w:val="28"/>
          <w:lang w:val="en-US" w:eastAsia="zh-CN"/>
        </w:rPr>
        <w:t>台。埋地罐区位于加油亭</w:t>
      </w:r>
      <w:r>
        <w:rPr>
          <w:rFonts w:hint="eastAsia" w:ascii="Times New Roman" w:hAnsi="Times New Roman" w:cs="Times New Roman"/>
          <w:spacing w:val="-7"/>
          <w:sz w:val="28"/>
          <w:szCs w:val="28"/>
          <w:lang w:val="en-US" w:eastAsia="zh-CN"/>
        </w:rPr>
        <w:t>西南</w:t>
      </w:r>
      <w:r>
        <w:rPr>
          <w:rFonts w:hint="default" w:ascii="Times New Roman" w:hAnsi="Times New Roman" w:cs="Times New Roman"/>
          <w:spacing w:val="-7"/>
          <w:sz w:val="28"/>
          <w:szCs w:val="28"/>
          <w:lang w:val="en-US" w:eastAsia="zh-CN"/>
        </w:rPr>
        <w:t>面。</w:t>
      </w:r>
    </w:p>
    <w:p>
      <w:pPr>
        <w:keepNext w:val="0"/>
        <w:keepLines w:val="0"/>
        <w:pageBreakBefore w:val="0"/>
        <w:widowControl w:val="0"/>
        <w:kinsoku/>
        <w:wordWrap/>
        <w:overflowPunct/>
        <w:topLinePunct w:val="0"/>
        <w:autoSpaceDE w:val="0"/>
        <w:autoSpaceDN w:val="0"/>
        <w:bidi w:val="0"/>
        <w:adjustRightInd/>
        <w:snapToGrid/>
        <w:spacing w:line="500" w:lineRule="exact"/>
        <w:ind w:left="0" w:leftChars="0" w:right="0" w:rightChars="0" w:firstLine="532" w:firstLineChars="200"/>
        <w:jc w:val="both"/>
        <w:textAlignment w:val="auto"/>
        <w:outlineLvl w:val="9"/>
        <w:rPr>
          <w:rFonts w:hint="default" w:ascii="Times New Roman" w:hAnsi="Times New Roman" w:cs="Times New Roman"/>
          <w:spacing w:val="-7"/>
          <w:sz w:val="28"/>
          <w:szCs w:val="28"/>
          <w:lang w:val="en-US" w:eastAsia="zh-CN"/>
        </w:rPr>
      </w:pPr>
      <w:r>
        <w:rPr>
          <w:rFonts w:hint="default" w:ascii="Times New Roman" w:hAnsi="Times New Roman" w:cs="Times New Roman"/>
          <w:spacing w:val="-7"/>
          <w:sz w:val="28"/>
          <w:szCs w:val="28"/>
          <w:lang w:val="en-US" w:eastAsia="zh-CN"/>
        </w:rPr>
        <w:t>该油站埋地油罐工艺优点有：</w:t>
      </w:r>
    </w:p>
    <w:p>
      <w:pPr>
        <w:keepNext w:val="0"/>
        <w:keepLines w:val="0"/>
        <w:pageBreakBefore w:val="0"/>
        <w:widowControl w:val="0"/>
        <w:kinsoku/>
        <w:wordWrap/>
        <w:overflowPunct/>
        <w:topLinePunct w:val="0"/>
        <w:autoSpaceDE w:val="0"/>
        <w:autoSpaceDN w:val="0"/>
        <w:bidi w:val="0"/>
        <w:adjustRightInd/>
        <w:snapToGrid/>
        <w:spacing w:line="500" w:lineRule="exact"/>
        <w:ind w:left="0" w:leftChars="0" w:right="0" w:rightChars="0" w:firstLine="532" w:firstLineChars="200"/>
        <w:jc w:val="both"/>
        <w:textAlignment w:val="auto"/>
        <w:outlineLvl w:val="9"/>
        <w:rPr>
          <w:rFonts w:hint="default" w:ascii="Times New Roman" w:hAnsi="Times New Roman" w:cs="Times New Roman"/>
          <w:spacing w:val="-7"/>
          <w:sz w:val="28"/>
          <w:szCs w:val="28"/>
          <w:lang w:val="en-US" w:eastAsia="zh-CN"/>
        </w:rPr>
      </w:pPr>
      <w:r>
        <w:rPr>
          <w:rFonts w:hint="default" w:ascii="Times New Roman" w:hAnsi="Times New Roman" w:cs="Times New Roman"/>
          <w:spacing w:val="-7"/>
          <w:sz w:val="28"/>
          <w:szCs w:val="28"/>
          <w:lang w:val="en-US" w:eastAsia="zh-CN"/>
        </w:rPr>
        <w:t>①</w:t>
      </w:r>
      <w:r>
        <w:rPr>
          <w:rFonts w:hint="default" w:ascii="Times New Roman" w:hAnsi="Times New Roman" w:cs="Times New Roman"/>
          <w:spacing w:val="-7"/>
          <w:sz w:val="28"/>
          <w:szCs w:val="28"/>
          <w:lang w:val="zh-CN" w:eastAsia="zh-CN"/>
        </w:rPr>
        <w:t>埋地油罐均为</w:t>
      </w:r>
      <w:r>
        <w:rPr>
          <w:rFonts w:hint="default" w:ascii="Times New Roman" w:hAnsi="Times New Roman" w:cs="Times New Roman"/>
          <w:spacing w:val="-7"/>
          <w:sz w:val="28"/>
          <w:szCs w:val="28"/>
          <w:lang w:val="en-US" w:eastAsia="zh-CN"/>
        </w:rPr>
        <w:t>S/F</w:t>
      </w:r>
      <w:r>
        <w:rPr>
          <w:rFonts w:hint="default" w:ascii="Times New Roman" w:hAnsi="Times New Roman" w:cs="Times New Roman"/>
          <w:spacing w:val="-7"/>
          <w:sz w:val="28"/>
          <w:szCs w:val="28"/>
          <w:lang w:val="zh-CN" w:eastAsia="zh-CN"/>
        </w:rPr>
        <w:t>双层油罐，</w:t>
      </w:r>
      <w:r>
        <w:rPr>
          <w:rFonts w:hint="default" w:ascii="Times New Roman" w:hAnsi="Times New Roman" w:cs="Times New Roman"/>
          <w:spacing w:val="-7"/>
          <w:sz w:val="28"/>
          <w:szCs w:val="28"/>
          <w:lang w:val="en-US" w:eastAsia="zh-CN"/>
        </w:rPr>
        <w:t>配备双层油罐防渗漏报警系统。</w:t>
      </w:r>
      <w:r>
        <w:rPr>
          <w:rFonts w:hint="default" w:ascii="Times New Roman" w:hAnsi="Times New Roman" w:cs="Times New Roman"/>
          <w:spacing w:val="-7"/>
          <w:sz w:val="28"/>
          <w:szCs w:val="28"/>
          <w:lang w:val="zh-CN" w:eastAsia="zh-CN"/>
        </w:rPr>
        <w:t>具有良好的防渗漏效果。</w:t>
      </w:r>
    </w:p>
    <w:p>
      <w:pPr>
        <w:keepNext w:val="0"/>
        <w:keepLines w:val="0"/>
        <w:pageBreakBefore w:val="0"/>
        <w:widowControl w:val="0"/>
        <w:kinsoku/>
        <w:wordWrap/>
        <w:overflowPunct/>
        <w:topLinePunct w:val="0"/>
        <w:autoSpaceDE w:val="0"/>
        <w:autoSpaceDN w:val="0"/>
        <w:bidi w:val="0"/>
        <w:adjustRightInd/>
        <w:snapToGrid/>
        <w:spacing w:line="500" w:lineRule="exact"/>
        <w:ind w:left="0" w:leftChars="0" w:right="0" w:rightChars="0" w:firstLine="532" w:firstLineChars="200"/>
        <w:jc w:val="both"/>
        <w:textAlignment w:val="auto"/>
        <w:outlineLvl w:val="9"/>
        <w:rPr>
          <w:rFonts w:hint="default" w:ascii="Times New Roman" w:hAnsi="Times New Roman" w:cs="Times New Roman"/>
          <w:spacing w:val="-7"/>
          <w:sz w:val="28"/>
          <w:szCs w:val="28"/>
          <w:lang w:val="en-US" w:eastAsia="zh-CN"/>
        </w:rPr>
      </w:pPr>
      <w:r>
        <w:rPr>
          <w:rFonts w:hint="default" w:ascii="Times New Roman" w:hAnsi="Times New Roman" w:cs="Times New Roman"/>
          <w:spacing w:val="-7"/>
          <w:sz w:val="28"/>
          <w:szCs w:val="28"/>
          <w:lang w:val="en-US" w:eastAsia="zh-CN"/>
        </w:rPr>
        <w:t>②设有卸油防溢漏措施，埋地油罐设带有高液位报警功能的液位计，设定油料达到油罐容积90%时，触动高液位报警装置，达到95%时，能自动停止油料进罐。</w:t>
      </w:r>
    </w:p>
    <w:p>
      <w:pPr>
        <w:keepNext w:val="0"/>
        <w:keepLines w:val="0"/>
        <w:pageBreakBefore w:val="0"/>
        <w:widowControl w:val="0"/>
        <w:kinsoku/>
        <w:wordWrap/>
        <w:overflowPunct/>
        <w:topLinePunct w:val="0"/>
        <w:autoSpaceDE w:val="0"/>
        <w:autoSpaceDN w:val="0"/>
        <w:bidi w:val="0"/>
        <w:adjustRightInd/>
        <w:snapToGrid/>
        <w:spacing w:line="500" w:lineRule="exact"/>
        <w:ind w:left="0" w:leftChars="0" w:right="0" w:rightChars="0" w:firstLine="532" w:firstLineChars="200"/>
        <w:jc w:val="both"/>
        <w:textAlignment w:val="auto"/>
        <w:outlineLvl w:val="9"/>
        <w:rPr>
          <w:rFonts w:hint="default" w:ascii="Times New Roman" w:hAnsi="Times New Roman" w:cs="Times New Roman"/>
          <w:spacing w:val="-7"/>
          <w:sz w:val="28"/>
          <w:szCs w:val="28"/>
          <w:lang w:val="en-US" w:eastAsia="zh-CN"/>
        </w:rPr>
      </w:pPr>
      <w:r>
        <w:rPr>
          <w:rFonts w:hint="default" w:ascii="Times New Roman" w:hAnsi="Times New Roman" w:cs="Times New Roman"/>
          <w:spacing w:val="-7"/>
          <w:sz w:val="28"/>
          <w:szCs w:val="28"/>
          <w:lang w:val="en-US" w:eastAsia="zh-CN"/>
        </w:rPr>
        <w:t>③埋地罐采用防止油罐上浮的措施，有效的保证了油站的安全生产。</w:t>
      </w:r>
    </w:p>
    <w:p>
      <w:pPr>
        <w:keepNext w:val="0"/>
        <w:keepLines w:val="0"/>
        <w:pageBreakBefore w:val="0"/>
        <w:widowControl w:val="0"/>
        <w:kinsoku/>
        <w:wordWrap/>
        <w:overflowPunct/>
        <w:topLinePunct w:val="0"/>
        <w:autoSpaceDE w:val="0"/>
        <w:autoSpaceDN w:val="0"/>
        <w:bidi w:val="0"/>
        <w:adjustRightInd/>
        <w:snapToGrid/>
        <w:spacing w:line="500" w:lineRule="exact"/>
        <w:ind w:left="0" w:leftChars="0" w:right="0" w:rightChars="0" w:firstLine="532" w:firstLineChars="200"/>
        <w:jc w:val="both"/>
        <w:textAlignment w:val="auto"/>
        <w:outlineLvl w:val="9"/>
        <w:rPr>
          <w:rFonts w:hint="default" w:ascii="Times New Roman" w:hAnsi="Times New Roman" w:cs="Times New Roman"/>
          <w:spacing w:val="-7"/>
          <w:sz w:val="28"/>
          <w:szCs w:val="28"/>
          <w:lang w:val="en-US" w:eastAsia="zh-CN"/>
        </w:rPr>
      </w:pPr>
      <w:r>
        <w:rPr>
          <w:rFonts w:hint="default" w:ascii="Times New Roman" w:hAnsi="Times New Roman" w:cs="Times New Roman"/>
          <w:spacing w:val="-7"/>
          <w:sz w:val="28"/>
          <w:szCs w:val="28"/>
          <w:lang w:val="en-US" w:eastAsia="zh-CN"/>
        </w:rPr>
        <w:t>2）加油机</w:t>
      </w:r>
    </w:p>
    <w:p>
      <w:pPr>
        <w:keepNext w:val="0"/>
        <w:keepLines w:val="0"/>
        <w:pageBreakBefore w:val="0"/>
        <w:widowControl w:val="0"/>
        <w:kinsoku/>
        <w:wordWrap/>
        <w:overflowPunct/>
        <w:topLinePunct w:val="0"/>
        <w:autoSpaceDE w:val="0"/>
        <w:autoSpaceDN w:val="0"/>
        <w:bidi w:val="0"/>
        <w:adjustRightInd/>
        <w:snapToGrid/>
        <w:spacing w:line="500" w:lineRule="exact"/>
        <w:ind w:left="0" w:leftChars="0" w:right="0" w:rightChars="0" w:firstLine="532" w:firstLineChars="200"/>
        <w:jc w:val="both"/>
        <w:textAlignment w:val="auto"/>
        <w:outlineLvl w:val="9"/>
        <w:rPr>
          <w:rFonts w:hint="default" w:ascii="Times New Roman" w:hAnsi="Times New Roman" w:cs="Times New Roman"/>
          <w:spacing w:val="-7"/>
          <w:sz w:val="28"/>
          <w:szCs w:val="28"/>
          <w:lang w:val="en-US" w:eastAsia="zh-CN"/>
        </w:rPr>
      </w:pPr>
      <w:r>
        <w:rPr>
          <w:rFonts w:hint="default" w:ascii="Times New Roman" w:hAnsi="Times New Roman" w:cs="Times New Roman"/>
          <w:spacing w:val="-7"/>
          <w:sz w:val="28"/>
          <w:szCs w:val="28"/>
          <w:lang w:val="en-US" w:eastAsia="zh-CN"/>
        </w:rPr>
        <w:t>共设</w:t>
      </w:r>
      <w:r>
        <w:rPr>
          <w:rFonts w:hint="eastAsia" w:ascii="Times New Roman" w:hAnsi="Times New Roman" w:cs="Times New Roman"/>
          <w:spacing w:val="-7"/>
          <w:sz w:val="28"/>
          <w:szCs w:val="28"/>
          <w:lang w:val="en-US" w:eastAsia="zh-CN"/>
        </w:rPr>
        <w:t>6</w:t>
      </w:r>
      <w:r>
        <w:rPr>
          <w:rFonts w:hint="default" w:ascii="Times New Roman" w:hAnsi="Times New Roman" w:cs="Times New Roman"/>
          <w:spacing w:val="-7"/>
          <w:sz w:val="28"/>
          <w:szCs w:val="28"/>
          <w:lang w:val="en-US" w:eastAsia="zh-CN"/>
        </w:rPr>
        <w:t>台</w:t>
      </w:r>
      <w:r>
        <w:rPr>
          <w:rFonts w:hint="eastAsia" w:ascii="Times New Roman" w:hAnsi="Times New Roman" w:cs="Times New Roman"/>
          <w:spacing w:val="-7"/>
          <w:sz w:val="28"/>
          <w:szCs w:val="28"/>
          <w:lang w:val="en-US" w:eastAsia="zh-CN"/>
        </w:rPr>
        <w:t>6</w:t>
      </w:r>
      <w:r>
        <w:rPr>
          <w:rFonts w:hint="default" w:ascii="Times New Roman" w:hAnsi="Times New Roman" w:cs="Times New Roman"/>
          <w:spacing w:val="-7"/>
          <w:sz w:val="28"/>
          <w:szCs w:val="28"/>
          <w:lang w:val="en-US" w:eastAsia="zh-CN"/>
        </w:rPr>
        <w:t>枪加油机，设置在站房</w:t>
      </w:r>
      <w:r>
        <w:rPr>
          <w:rFonts w:hint="eastAsia" w:ascii="Times New Roman" w:hAnsi="Times New Roman" w:cs="Times New Roman"/>
          <w:spacing w:val="-7"/>
          <w:sz w:val="28"/>
          <w:szCs w:val="28"/>
          <w:lang w:val="en-US" w:eastAsia="zh-CN"/>
        </w:rPr>
        <w:t>南</w:t>
      </w:r>
      <w:r>
        <w:rPr>
          <w:rFonts w:hint="default" w:ascii="Times New Roman" w:hAnsi="Times New Roman" w:cs="Times New Roman"/>
          <w:spacing w:val="-7"/>
          <w:sz w:val="28"/>
          <w:szCs w:val="28"/>
          <w:lang w:val="en-US" w:eastAsia="zh-CN"/>
        </w:rPr>
        <w:t>面的罩棚下的加油岛上。</w:t>
      </w:r>
    </w:p>
    <w:p>
      <w:pPr>
        <w:keepNext w:val="0"/>
        <w:keepLines w:val="0"/>
        <w:pageBreakBefore w:val="0"/>
        <w:widowControl w:val="0"/>
        <w:kinsoku/>
        <w:wordWrap/>
        <w:overflowPunct/>
        <w:topLinePunct w:val="0"/>
        <w:autoSpaceDE w:val="0"/>
        <w:autoSpaceDN w:val="0"/>
        <w:bidi w:val="0"/>
        <w:adjustRightInd/>
        <w:snapToGrid/>
        <w:spacing w:line="500" w:lineRule="exact"/>
        <w:ind w:left="0" w:leftChars="0" w:right="0" w:rightChars="0" w:firstLine="532" w:firstLineChars="200"/>
        <w:jc w:val="both"/>
        <w:textAlignment w:val="auto"/>
        <w:outlineLvl w:val="9"/>
        <w:rPr>
          <w:rFonts w:hint="default" w:ascii="Times New Roman" w:hAnsi="Times New Roman" w:cs="Times New Roman"/>
          <w:spacing w:val="-7"/>
          <w:sz w:val="28"/>
          <w:szCs w:val="28"/>
          <w:lang w:val="en-US" w:eastAsia="zh-CN"/>
        </w:rPr>
      </w:pPr>
      <w:r>
        <w:rPr>
          <w:rFonts w:hint="default" w:ascii="Times New Roman" w:hAnsi="Times New Roman" w:cs="Times New Roman"/>
          <w:spacing w:val="-7"/>
          <w:sz w:val="28"/>
          <w:szCs w:val="28"/>
          <w:lang w:val="en-US" w:eastAsia="zh-CN"/>
        </w:rPr>
        <w:t>3）配套管道</w:t>
      </w:r>
    </w:p>
    <w:p>
      <w:pPr>
        <w:keepNext w:val="0"/>
        <w:keepLines w:val="0"/>
        <w:pageBreakBefore w:val="0"/>
        <w:widowControl w:val="0"/>
        <w:kinsoku/>
        <w:wordWrap/>
        <w:overflowPunct/>
        <w:topLinePunct w:val="0"/>
        <w:autoSpaceDE w:val="0"/>
        <w:autoSpaceDN w:val="0"/>
        <w:bidi w:val="0"/>
        <w:adjustRightInd/>
        <w:snapToGrid/>
        <w:spacing w:line="500" w:lineRule="exact"/>
        <w:ind w:left="0" w:leftChars="0" w:right="0" w:rightChars="0" w:firstLine="532" w:firstLineChars="200"/>
        <w:jc w:val="both"/>
        <w:textAlignment w:val="auto"/>
        <w:outlineLvl w:val="9"/>
        <w:rPr>
          <w:rFonts w:hint="default" w:ascii="Times New Roman" w:hAnsi="Times New Roman" w:cs="Times New Roman"/>
          <w:spacing w:val="-7"/>
          <w:sz w:val="28"/>
          <w:szCs w:val="28"/>
          <w:lang w:val="en-US" w:eastAsia="zh-CN"/>
        </w:rPr>
      </w:pPr>
      <w:r>
        <w:rPr>
          <w:rFonts w:hint="default" w:ascii="Times New Roman" w:hAnsi="Times New Roman" w:cs="Times New Roman"/>
          <w:spacing w:val="-7"/>
          <w:sz w:val="28"/>
          <w:szCs w:val="28"/>
          <w:lang w:val="en-US" w:eastAsia="zh-CN"/>
        </w:rPr>
        <w:t>配套有加油管、卸油管、排气管等，配备油气回收系统；埋地加油管采用双层复合管，其余埋地管线均采用单层复合管，地上管线采用无缝钢管，配备双层管道防渗漏监测报警系统</w:t>
      </w:r>
      <w:r>
        <w:rPr>
          <w:rFonts w:hint="default" w:ascii="Times New Roman" w:hAnsi="Times New Roman" w:cs="Times New Roman"/>
          <w:spacing w:val="-7"/>
          <w:sz w:val="28"/>
          <w:szCs w:val="28"/>
          <w:lang w:val="zh-CN" w:eastAsia="zh-CN"/>
        </w:rPr>
        <w:t>。</w:t>
      </w:r>
    </w:p>
    <w:p>
      <w:pPr>
        <w:pStyle w:val="5"/>
        <w:pageBreakBefore w:val="0"/>
        <w:widowControl w:val="0"/>
        <w:kinsoku/>
        <w:wordWrap/>
        <w:overflowPunct/>
        <w:topLinePunct w:val="0"/>
        <w:autoSpaceDE w:val="0"/>
        <w:autoSpaceDN w:val="0"/>
        <w:bidi w:val="0"/>
        <w:adjustRightInd/>
        <w:snapToGrid/>
        <w:spacing w:before="20" w:afterLines="100" w:line="500" w:lineRule="exact"/>
        <w:ind w:left="0" w:leftChars="0" w:right="0" w:rightChars="0" w:firstLine="562" w:firstLineChars="200"/>
        <w:textAlignment w:val="auto"/>
        <w:rPr>
          <w:rFonts w:hint="default" w:ascii="Times New Roman" w:hAnsi="Times New Roman" w:cs="Times New Roman"/>
          <w:sz w:val="28"/>
          <w:szCs w:val="28"/>
        </w:rPr>
      </w:pPr>
      <w:r>
        <w:rPr>
          <w:rFonts w:hint="default" w:ascii="Times New Roman" w:hAnsi="Times New Roman" w:cs="Times New Roman"/>
          <w:sz w:val="28"/>
          <w:szCs w:val="28"/>
        </w:rPr>
        <w:t>2.</w:t>
      </w:r>
      <w:r>
        <w:rPr>
          <w:rFonts w:hint="default" w:ascii="Times New Roman" w:hAnsi="Times New Roman" w:cs="Times New Roman"/>
          <w:sz w:val="28"/>
          <w:szCs w:val="28"/>
          <w:lang w:val="en-US" w:eastAsia="zh-CN"/>
        </w:rPr>
        <w:t>5</w:t>
      </w:r>
      <w:r>
        <w:rPr>
          <w:rFonts w:hint="default" w:ascii="Times New Roman" w:hAnsi="Times New Roman" w:cs="Times New Roman"/>
          <w:sz w:val="28"/>
          <w:szCs w:val="28"/>
        </w:rPr>
        <w:t>.</w:t>
      </w:r>
      <w:r>
        <w:rPr>
          <w:rFonts w:hint="default" w:ascii="Times New Roman" w:hAnsi="Times New Roman" w:cs="Times New Roman"/>
          <w:sz w:val="28"/>
          <w:szCs w:val="28"/>
          <w:lang w:val="en-US" w:eastAsia="zh-CN"/>
        </w:rPr>
        <w:t>2</w:t>
      </w:r>
      <w:r>
        <w:rPr>
          <w:rFonts w:hint="default" w:ascii="Times New Roman" w:hAnsi="Times New Roman" w:cs="Times New Roman"/>
          <w:sz w:val="28"/>
          <w:szCs w:val="28"/>
        </w:rPr>
        <w:t xml:space="preserve"> 上下游装置的关系</w:t>
      </w:r>
    </w:p>
    <w:p>
      <w:pPr>
        <w:keepNext w:val="0"/>
        <w:keepLines w:val="0"/>
        <w:pageBreakBefore w:val="0"/>
        <w:widowControl w:val="0"/>
        <w:kinsoku/>
        <w:wordWrap/>
        <w:overflowPunct/>
        <w:topLinePunct w:val="0"/>
        <w:autoSpaceDE w:val="0"/>
        <w:autoSpaceDN w:val="0"/>
        <w:bidi w:val="0"/>
        <w:adjustRightInd/>
        <w:snapToGrid/>
        <w:spacing w:line="500" w:lineRule="exact"/>
        <w:ind w:left="0" w:leftChars="0" w:right="0" w:rightChars="0" w:firstLine="532" w:firstLineChars="200"/>
        <w:jc w:val="both"/>
        <w:textAlignment w:val="auto"/>
        <w:outlineLvl w:val="9"/>
        <w:rPr>
          <w:rFonts w:hint="default" w:ascii="Times New Roman" w:hAnsi="Times New Roman" w:cs="Times New Roman"/>
          <w:spacing w:val="-7"/>
          <w:sz w:val="28"/>
          <w:szCs w:val="28"/>
          <w:lang w:val="en-US" w:eastAsia="zh-CN"/>
        </w:rPr>
      </w:pPr>
      <w:r>
        <w:rPr>
          <w:rFonts w:hint="default" w:ascii="Times New Roman" w:hAnsi="Times New Roman" w:cs="Times New Roman"/>
          <w:spacing w:val="-7"/>
          <w:sz w:val="28"/>
          <w:szCs w:val="28"/>
          <w:lang w:val="en-US" w:eastAsia="zh-CN"/>
        </w:rPr>
        <w:t>该油站所需的汽油和柴油均由外拉供应，运输方式为汽运，汽运由有运输资质的运输单位用油罐车运输至站区。油站通过加油机将商品零售给用户。</w:t>
      </w:r>
    </w:p>
    <w:p>
      <w:pPr>
        <w:pStyle w:val="5"/>
        <w:pageBreakBefore w:val="0"/>
        <w:widowControl w:val="0"/>
        <w:kinsoku/>
        <w:wordWrap/>
        <w:overflowPunct/>
        <w:topLinePunct w:val="0"/>
        <w:autoSpaceDE w:val="0"/>
        <w:autoSpaceDN w:val="0"/>
        <w:bidi w:val="0"/>
        <w:adjustRightInd/>
        <w:snapToGrid/>
        <w:spacing w:before="0" w:afterLines="100" w:line="500" w:lineRule="exact"/>
        <w:ind w:left="0" w:leftChars="0" w:right="0" w:rightChars="0" w:firstLine="562" w:firstLineChars="200"/>
        <w:textAlignment w:val="auto"/>
        <w:rPr>
          <w:rFonts w:hint="default" w:ascii="Times New Roman" w:hAnsi="Times New Roman" w:cs="Times New Roman"/>
          <w:sz w:val="28"/>
          <w:szCs w:val="28"/>
        </w:rPr>
      </w:pPr>
      <w:r>
        <w:rPr>
          <w:rFonts w:hint="default" w:ascii="Times New Roman" w:hAnsi="Times New Roman" w:cs="Times New Roman"/>
          <w:sz w:val="28"/>
          <w:szCs w:val="28"/>
        </w:rPr>
        <w:t>2.</w:t>
      </w:r>
      <w:r>
        <w:rPr>
          <w:rFonts w:hint="default" w:ascii="Times New Roman" w:hAnsi="Times New Roman" w:cs="Times New Roman"/>
          <w:sz w:val="28"/>
          <w:szCs w:val="28"/>
          <w:lang w:val="en-US" w:eastAsia="zh-CN"/>
        </w:rPr>
        <w:t>5</w:t>
      </w:r>
      <w:r>
        <w:rPr>
          <w:rFonts w:hint="default" w:ascii="Times New Roman" w:hAnsi="Times New Roman" w:cs="Times New Roman"/>
          <w:sz w:val="28"/>
          <w:szCs w:val="28"/>
        </w:rPr>
        <w:t>.</w:t>
      </w:r>
      <w:r>
        <w:rPr>
          <w:rFonts w:hint="default" w:ascii="Times New Roman" w:hAnsi="Times New Roman" w:cs="Times New Roman"/>
          <w:sz w:val="28"/>
          <w:szCs w:val="28"/>
          <w:lang w:val="en-US" w:eastAsia="zh-CN"/>
        </w:rPr>
        <w:t>3</w:t>
      </w:r>
      <w:r>
        <w:rPr>
          <w:rFonts w:hint="default" w:ascii="Times New Roman" w:hAnsi="Times New Roman" w:cs="Times New Roman"/>
          <w:sz w:val="28"/>
          <w:szCs w:val="28"/>
        </w:rPr>
        <w:t xml:space="preserve"> 工艺自控系统</w:t>
      </w:r>
    </w:p>
    <w:p>
      <w:pPr>
        <w:keepNext w:val="0"/>
        <w:keepLines w:val="0"/>
        <w:pageBreakBefore w:val="0"/>
        <w:widowControl w:val="0"/>
        <w:kinsoku/>
        <w:wordWrap/>
        <w:overflowPunct/>
        <w:topLinePunct w:val="0"/>
        <w:autoSpaceDE w:val="0"/>
        <w:autoSpaceDN w:val="0"/>
        <w:bidi w:val="0"/>
        <w:adjustRightInd/>
        <w:snapToGrid/>
        <w:spacing w:line="500" w:lineRule="exact"/>
        <w:ind w:left="0" w:leftChars="0" w:right="0" w:rightChars="0" w:firstLine="532" w:firstLineChars="200"/>
        <w:jc w:val="both"/>
        <w:textAlignment w:val="auto"/>
        <w:outlineLvl w:val="9"/>
        <w:rPr>
          <w:rFonts w:hint="default" w:ascii="Times New Roman" w:hAnsi="Times New Roman" w:cs="Times New Roman"/>
          <w:spacing w:val="-7"/>
          <w:sz w:val="28"/>
          <w:szCs w:val="28"/>
          <w:lang w:val="en-US" w:eastAsia="zh-CN"/>
        </w:rPr>
      </w:pPr>
      <w:bookmarkStart w:id="429" w:name="_Toc131999619"/>
      <w:bookmarkStart w:id="430" w:name="_Toc152925345"/>
      <w:r>
        <w:rPr>
          <w:rFonts w:hint="default" w:ascii="Times New Roman" w:hAnsi="Times New Roman" w:cs="Times New Roman"/>
          <w:spacing w:val="-7"/>
          <w:sz w:val="28"/>
          <w:szCs w:val="28"/>
          <w:lang w:val="en-US" w:eastAsia="zh-CN"/>
        </w:rPr>
        <w:t>（1）自控原则</w:t>
      </w:r>
      <w:bookmarkEnd w:id="429"/>
      <w:bookmarkEnd w:id="430"/>
    </w:p>
    <w:p>
      <w:pPr>
        <w:keepNext w:val="0"/>
        <w:keepLines w:val="0"/>
        <w:pageBreakBefore w:val="0"/>
        <w:widowControl w:val="0"/>
        <w:kinsoku/>
        <w:wordWrap/>
        <w:overflowPunct/>
        <w:topLinePunct w:val="0"/>
        <w:autoSpaceDE w:val="0"/>
        <w:autoSpaceDN w:val="0"/>
        <w:bidi w:val="0"/>
        <w:adjustRightInd/>
        <w:snapToGrid/>
        <w:spacing w:line="500" w:lineRule="exact"/>
        <w:ind w:left="0" w:leftChars="0" w:right="0" w:rightChars="0" w:firstLine="532" w:firstLineChars="200"/>
        <w:jc w:val="both"/>
        <w:textAlignment w:val="auto"/>
        <w:outlineLvl w:val="9"/>
        <w:rPr>
          <w:rFonts w:hint="default" w:ascii="Times New Roman" w:hAnsi="Times New Roman" w:cs="Times New Roman"/>
          <w:spacing w:val="-7"/>
          <w:sz w:val="28"/>
          <w:szCs w:val="28"/>
          <w:lang w:val="en-US" w:eastAsia="zh-CN"/>
        </w:rPr>
      </w:pPr>
      <w:r>
        <w:rPr>
          <w:rFonts w:hint="default" w:ascii="Times New Roman" w:hAnsi="Times New Roman" w:cs="Times New Roman"/>
          <w:spacing w:val="-7"/>
          <w:sz w:val="28"/>
          <w:szCs w:val="28"/>
          <w:lang w:val="en-US" w:eastAsia="zh-CN"/>
        </w:rPr>
        <w:t>该油站自动化控制系统的设置以有效监控油罐区和加油棚的生产安全、可靠运行，确保卸油、加油工作快速、可靠和质量稳定，以获得最大的经济效益为原则。</w:t>
      </w:r>
    </w:p>
    <w:p>
      <w:pPr>
        <w:keepNext w:val="0"/>
        <w:keepLines w:val="0"/>
        <w:pageBreakBefore w:val="0"/>
        <w:widowControl w:val="0"/>
        <w:kinsoku/>
        <w:wordWrap/>
        <w:overflowPunct/>
        <w:topLinePunct w:val="0"/>
        <w:autoSpaceDE w:val="0"/>
        <w:autoSpaceDN w:val="0"/>
        <w:bidi w:val="0"/>
        <w:adjustRightInd/>
        <w:snapToGrid/>
        <w:spacing w:line="500" w:lineRule="exact"/>
        <w:ind w:left="0" w:leftChars="0" w:right="0" w:rightChars="0" w:firstLine="532" w:firstLineChars="200"/>
        <w:jc w:val="both"/>
        <w:textAlignment w:val="auto"/>
        <w:outlineLvl w:val="9"/>
        <w:rPr>
          <w:rFonts w:hint="default" w:ascii="Times New Roman" w:hAnsi="Times New Roman" w:cs="Times New Roman"/>
          <w:spacing w:val="-7"/>
          <w:sz w:val="28"/>
          <w:szCs w:val="28"/>
          <w:lang w:val="en-US" w:eastAsia="zh-CN"/>
        </w:rPr>
      </w:pPr>
      <w:bookmarkStart w:id="431" w:name="_Toc152925346"/>
      <w:bookmarkStart w:id="432" w:name="_Toc131999620"/>
      <w:r>
        <w:rPr>
          <w:rFonts w:hint="default" w:ascii="Times New Roman" w:hAnsi="Times New Roman" w:cs="Times New Roman"/>
          <w:spacing w:val="-7"/>
          <w:sz w:val="28"/>
          <w:szCs w:val="28"/>
          <w:lang w:val="en-US" w:eastAsia="zh-CN"/>
        </w:rPr>
        <w:t>（2）自动化控制系统的水平</w:t>
      </w:r>
      <w:bookmarkEnd w:id="431"/>
      <w:bookmarkEnd w:id="432"/>
    </w:p>
    <w:p>
      <w:pPr>
        <w:keepNext w:val="0"/>
        <w:keepLines w:val="0"/>
        <w:pageBreakBefore w:val="0"/>
        <w:widowControl w:val="0"/>
        <w:kinsoku/>
        <w:wordWrap/>
        <w:overflowPunct/>
        <w:topLinePunct w:val="0"/>
        <w:autoSpaceDE w:val="0"/>
        <w:autoSpaceDN w:val="0"/>
        <w:bidi w:val="0"/>
        <w:adjustRightInd/>
        <w:snapToGrid/>
        <w:spacing w:line="500" w:lineRule="exact"/>
        <w:ind w:left="0" w:leftChars="0" w:right="0" w:rightChars="0" w:firstLine="532" w:firstLineChars="200"/>
        <w:jc w:val="both"/>
        <w:textAlignment w:val="auto"/>
        <w:outlineLvl w:val="9"/>
        <w:rPr>
          <w:rFonts w:hint="default" w:ascii="Times New Roman" w:hAnsi="Times New Roman" w:cs="Times New Roman"/>
          <w:spacing w:val="-7"/>
          <w:sz w:val="28"/>
          <w:szCs w:val="28"/>
          <w:lang w:val="en-US" w:eastAsia="zh-CN"/>
        </w:rPr>
      </w:pPr>
      <w:r>
        <w:rPr>
          <w:rFonts w:hint="default" w:ascii="Times New Roman" w:hAnsi="Times New Roman" w:cs="Times New Roman"/>
          <w:spacing w:val="-7"/>
          <w:sz w:val="28"/>
          <w:szCs w:val="28"/>
          <w:lang w:val="en-US" w:eastAsia="zh-CN"/>
        </w:rPr>
        <w:t>该油站自动化控制系统实现对油罐液位等主要工艺参数进行监视记录，加油机流量计量和油箱液位联锁，事故状态的紧急停泵等，并通过电脑监控油站的进销存状况。</w:t>
      </w:r>
    </w:p>
    <w:p>
      <w:pPr>
        <w:keepNext w:val="0"/>
        <w:keepLines w:val="0"/>
        <w:pageBreakBefore w:val="0"/>
        <w:widowControl w:val="0"/>
        <w:kinsoku/>
        <w:wordWrap/>
        <w:overflowPunct/>
        <w:topLinePunct w:val="0"/>
        <w:autoSpaceDE w:val="0"/>
        <w:autoSpaceDN w:val="0"/>
        <w:bidi w:val="0"/>
        <w:adjustRightInd/>
        <w:snapToGrid/>
        <w:spacing w:line="500" w:lineRule="exact"/>
        <w:ind w:left="0" w:leftChars="0" w:right="0" w:rightChars="0" w:firstLine="532" w:firstLineChars="200"/>
        <w:jc w:val="both"/>
        <w:textAlignment w:val="auto"/>
        <w:outlineLvl w:val="9"/>
        <w:rPr>
          <w:rFonts w:hint="default" w:ascii="Times New Roman" w:hAnsi="Times New Roman" w:cs="Times New Roman"/>
          <w:spacing w:val="-7"/>
          <w:sz w:val="28"/>
          <w:szCs w:val="28"/>
          <w:lang w:val="en-US" w:eastAsia="zh-CN"/>
        </w:rPr>
      </w:pPr>
      <w:bookmarkStart w:id="433" w:name="_Toc152925347"/>
      <w:bookmarkStart w:id="434" w:name="_Toc131999621"/>
      <w:r>
        <w:rPr>
          <w:rFonts w:hint="default" w:ascii="Times New Roman" w:hAnsi="Times New Roman" w:cs="Times New Roman"/>
          <w:spacing w:val="-7"/>
          <w:sz w:val="28"/>
          <w:szCs w:val="28"/>
          <w:lang w:val="en-US" w:eastAsia="zh-CN"/>
        </w:rPr>
        <w:t>（3）自动化控制系统的构成</w:t>
      </w:r>
      <w:bookmarkEnd w:id="433"/>
      <w:bookmarkEnd w:id="434"/>
    </w:p>
    <w:p>
      <w:pPr>
        <w:keepNext w:val="0"/>
        <w:keepLines w:val="0"/>
        <w:pageBreakBefore w:val="0"/>
        <w:widowControl w:val="0"/>
        <w:kinsoku/>
        <w:wordWrap/>
        <w:overflowPunct/>
        <w:topLinePunct w:val="0"/>
        <w:autoSpaceDE w:val="0"/>
        <w:autoSpaceDN w:val="0"/>
        <w:bidi w:val="0"/>
        <w:adjustRightInd/>
        <w:snapToGrid/>
        <w:spacing w:line="500" w:lineRule="exact"/>
        <w:ind w:left="0" w:leftChars="0" w:right="0" w:rightChars="0" w:firstLine="532" w:firstLineChars="200"/>
        <w:jc w:val="both"/>
        <w:textAlignment w:val="auto"/>
        <w:outlineLvl w:val="9"/>
        <w:rPr>
          <w:rFonts w:hint="default" w:ascii="Times New Roman" w:hAnsi="Times New Roman" w:cs="Times New Roman"/>
          <w:spacing w:val="-7"/>
          <w:sz w:val="28"/>
          <w:szCs w:val="28"/>
          <w:lang w:val="en-US" w:eastAsia="zh-CN"/>
        </w:rPr>
      </w:pPr>
      <w:r>
        <w:rPr>
          <w:rFonts w:hint="default" w:ascii="Times New Roman" w:hAnsi="Times New Roman" w:cs="Times New Roman"/>
          <w:spacing w:val="-7"/>
          <w:sz w:val="28"/>
          <w:szCs w:val="28"/>
          <w:lang w:val="en-US" w:eastAsia="zh-CN"/>
        </w:rPr>
        <w:t>该油站自动化控制系统包括：油罐液位监测系统，加油机中控系统，紧急切断系统，渗漏监测报警系统。加油站应建立统一信息管理系统预留网络连接端口。</w:t>
      </w:r>
    </w:p>
    <w:p>
      <w:pPr>
        <w:pStyle w:val="5"/>
        <w:pageBreakBefore w:val="0"/>
        <w:widowControl w:val="0"/>
        <w:kinsoku/>
        <w:wordWrap/>
        <w:overflowPunct/>
        <w:topLinePunct w:val="0"/>
        <w:autoSpaceDE w:val="0"/>
        <w:autoSpaceDN w:val="0"/>
        <w:bidi w:val="0"/>
        <w:adjustRightInd/>
        <w:snapToGrid/>
        <w:spacing w:before="0" w:afterLines="100" w:line="500" w:lineRule="exact"/>
        <w:ind w:left="0" w:leftChars="0" w:right="0" w:rightChars="0" w:firstLine="562" w:firstLineChars="200"/>
        <w:textAlignment w:val="auto"/>
        <w:rPr>
          <w:rFonts w:hint="default" w:ascii="Times New Roman" w:hAnsi="Times New Roman" w:cs="Times New Roman"/>
          <w:sz w:val="28"/>
          <w:szCs w:val="28"/>
          <w:highlight w:val="none"/>
        </w:rPr>
      </w:pPr>
      <w:r>
        <w:rPr>
          <w:rFonts w:hint="default" w:ascii="Times New Roman" w:hAnsi="Times New Roman" w:cs="Times New Roman"/>
          <w:sz w:val="28"/>
          <w:szCs w:val="28"/>
          <w:highlight w:val="none"/>
        </w:rPr>
        <w:t>2.</w:t>
      </w:r>
      <w:r>
        <w:rPr>
          <w:rFonts w:hint="default" w:ascii="Times New Roman" w:hAnsi="Times New Roman" w:cs="Times New Roman"/>
          <w:sz w:val="28"/>
          <w:szCs w:val="28"/>
          <w:highlight w:val="none"/>
          <w:lang w:val="en-US" w:eastAsia="zh-CN"/>
        </w:rPr>
        <w:t>5</w:t>
      </w:r>
      <w:r>
        <w:rPr>
          <w:rFonts w:hint="default" w:ascii="Times New Roman" w:hAnsi="Times New Roman" w:cs="Times New Roman"/>
          <w:sz w:val="28"/>
          <w:szCs w:val="28"/>
          <w:highlight w:val="none"/>
        </w:rPr>
        <w:t>.</w:t>
      </w:r>
      <w:r>
        <w:rPr>
          <w:rFonts w:hint="eastAsia" w:ascii="Times New Roman" w:hAnsi="Times New Roman" w:cs="Times New Roman"/>
          <w:sz w:val="28"/>
          <w:szCs w:val="28"/>
          <w:highlight w:val="none"/>
          <w:lang w:val="en-US" w:eastAsia="zh-CN"/>
        </w:rPr>
        <w:t>4</w:t>
      </w:r>
      <w:r>
        <w:rPr>
          <w:rFonts w:hint="default" w:ascii="Times New Roman" w:hAnsi="Times New Roman" w:cs="Times New Roman"/>
          <w:sz w:val="28"/>
          <w:szCs w:val="28"/>
          <w:highlight w:val="none"/>
        </w:rPr>
        <w:t xml:space="preserve"> </w:t>
      </w:r>
      <w:r>
        <w:rPr>
          <w:rFonts w:hint="eastAsia" w:ascii="Times New Roman" w:hAnsi="Times New Roman" w:cs="Times New Roman"/>
          <w:sz w:val="28"/>
          <w:szCs w:val="28"/>
          <w:highlight w:val="none"/>
          <w:lang w:eastAsia="zh-CN"/>
        </w:rPr>
        <w:t>自助洗车装置</w:t>
      </w:r>
    </w:p>
    <w:p>
      <w:pPr>
        <w:keepNext w:val="0"/>
        <w:keepLines w:val="0"/>
        <w:pageBreakBefore w:val="0"/>
        <w:widowControl w:val="0"/>
        <w:kinsoku/>
        <w:wordWrap/>
        <w:overflowPunct/>
        <w:topLinePunct w:val="0"/>
        <w:autoSpaceDE w:val="0"/>
        <w:autoSpaceDN w:val="0"/>
        <w:bidi w:val="0"/>
        <w:adjustRightInd/>
        <w:snapToGrid/>
        <w:spacing w:line="500" w:lineRule="exact"/>
        <w:ind w:left="0" w:leftChars="0" w:right="0" w:rightChars="0" w:firstLine="532" w:firstLineChars="200"/>
        <w:jc w:val="both"/>
        <w:textAlignment w:val="auto"/>
        <w:outlineLvl w:val="9"/>
        <w:rPr>
          <w:rFonts w:hint="default" w:ascii="Times New Roman" w:hAnsi="Times New Roman" w:cs="Times New Roman"/>
          <w:spacing w:val="-7"/>
          <w:sz w:val="28"/>
          <w:szCs w:val="28"/>
          <w:highlight w:val="none"/>
          <w:lang w:val="en-US" w:eastAsia="zh-CN"/>
        </w:rPr>
      </w:pPr>
      <w:r>
        <w:rPr>
          <w:rFonts w:hint="eastAsia" w:ascii="Times New Roman" w:hAnsi="Times New Roman" w:cs="Times New Roman"/>
          <w:spacing w:val="-7"/>
          <w:sz w:val="28"/>
          <w:szCs w:val="28"/>
          <w:highlight w:val="none"/>
          <w:lang w:val="en-US" w:eastAsia="zh-CN"/>
        </w:rPr>
        <w:t>该洗车机属于成套自助洗车设备，洗车机为正规厂家生产和安装，持有产品合格证。状况良好，能有效和自动清洗车辆上灰尘等污物，达到干净车辆的要求。</w:t>
      </w:r>
    </w:p>
    <w:p>
      <w:pPr>
        <w:pStyle w:val="4"/>
        <w:pageBreakBefore w:val="0"/>
        <w:widowControl w:val="0"/>
        <w:tabs>
          <w:tab w:val="left" w:pos="3119"/>
        </w:tabs>
        <w:kinsoku/>
        <w:wordWrap/>
        <w:overflowPunct/>
        <w:topLinePunct w:val="0"/>
        <w:autoSpaceDE w:val="0"/>
        <w:autoSpaceDN w:val="0"/>
        <w:bidi w:val="0"/>
        <w:adjustRightInd/>
        <w:snapToGrid/>
        <w:spacing w:beforeLines="100" w:afterLines="100" w:line="500" w:lineRule="exact"/>
        <w:ind w:left="0" w:leftChars="0" w:right="0" w:rightChars="0" w:firstLine="0"/>
        <w:jc w:val="center"/>
        <w:textAlignment w:val="auto"/>
        <w:rPr>
          <w:rFonts w:hint="default" w:ascii="Times New Roman" w:hAnsi="Times New Roman" w:eastAsia="宋体" w:cs="Times New Roman"/>
          <w:b/>
          <w:bCs/>
          <w:lang w:val="en-US"/>
        </w:rPr>
      </w:pPr>
      <w:bookmarkStart w:id="435" w:name="_Toc29032"/>
      <w:bookmarkStart w:id="436" w:name="_Toc12736"/>
      <w:bookmarkStart w:id="437" w:name="_Toc6419"/>
      <w:bookmarkStart w:id="438" w:name="_Toc16372"/>
      <w:bookmarkStart w:id="439" w:name="_Toc31605"/>
      <w:bookmarkStart w:id="440" w:name="_Toc20058"/>
      <w:bookmarkStart w:id="441" w:name="_Toc10872"/>
      <w:bookmarkStart w:id="442" w:name="_Toc19891"/>
      <w:r>
        <w:rPr>
          <w:rFonts w:hint="default" w:ascii="Times New Roman" w:hAnsi="Times New Roman" w:eastAsia="宋体" w:cs="Times New Roman"/>
          <w:b/>
          <w:bCs/>
          <w:lang w:val="en-US"/>
        </w:rPr>
        <w:t xml:space="preserve">2.6 </w:t>
      </w:r>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r>
        <w:rPr>
          <w:rFonts w:hint="default" w:ascii="Times New Roman" w:hAnsi="Times New Roman" w:eastAsia="宋体" w:cs="Times New Roman"/>
          <w:b/>
          <w:bCs/>
          <w:lang w:val="en-US"/>
        </w:rPr>
        <w:t>建设项目配套和辅助工名称、能力、介质来源情况</w:t>
      </w:r>
      <w:bookmarkEnd w:id="435"/>
      <w:bookmarkEnd w:id="436"/>
      <w:bookmarkEnd w:id="437"/>
      <w:bookmarkEnd w:id="438"/>
      <w:bookmarkEnd w:id="439"/>
      <w:bookmarkEnd w:id="440"/>
      <w:bookmarkEnd w:id="441"/>
      <w:bookmarkEnd w:id="442"/>
    </w:p>
    <w:p>
      <w:pPr>
        <w:pStyle w:val="5"/>
        <w:spacing w:beforeLines="100" w:afterLines="100" w:line="240" w:lineRule="auto"/>
        <w:ind w:firstLine="562" w:firstLineChars="200"/>
        <w:rPr>
          <w:rFonts w:hint="default" w:ascii="Times New Roman" w:hAnsi="Times New Roman" w:cs="Times New Roman"/>
          <w:sz w:val="28"/>
          <w:szCs w:val="28"/>
        </w:rPr>
      </w:pPr>
      <w:bookmarkStart w:id="443" w:name="_Toc32141_WPSOffice_Level3"/>
      <w:bookmarkStart w:id="444" w:name="_Toc29777_WPSOffice_Level3"/>
      <w:bookmarkStart w:id="445" w:name="_Toc19469"/>
      <w:bookmarkStart w:id="446" w:name="_Toc12725"/>
      <w:bookmarkStart w:id="447" w:name="_Toc100"/>
      <w:bookmarkStart w:id="448" w:name="_Toc16263"/>
      <w:bookmarkStart w:id="449" w:name="_Toc23423"/>
      <w:bookmarkStart w:id="450" w:name="_Toc6155"/>
      <w:bookmarkStart w:id="451" w:name="_Toc2391_WPSOffice_Level2"/>
      <w:bookmarkStart w:id="452" w:name="_Toc29963_WPSOffice_Level2"/>
      <w:r>
        <w:rPr>
          <w:rFonts w:hint="default" w:ascii="Times New Roman" w:hAnsi="Times New Roman" w:cs="Times New Roman"/>
          <w:sz w:val="28"/>
          <w:szCs w:val="28"/>
          <w:lang w:val="en-US"/>
        </w:rPr>
        <w:t xml:space="preserve">2.6.1 </w:t>
      </w:r>
      <w:r>
        <w:rPr>
          <w:rFonts w:hint="default" w:ascii="Times New Roman" w:hAnsi="Times New Roman" w:cs="Times New Roman"/>
          <w:sz w:val="28"/>
          <w:szCs w:val="28"/>
        </w:rPr>
        <w:t>供配电</w:t>
      </w:r>
      <w:bookmarkEnd w:id="443"/>
      <w:bookmarkEnd w:id="444"/>
      <w:bookmarkStart w:id="453" w:name="_Toc29481_WPSOffice_Level3"/>
    </w:p>
    <w:p>
      <w:pPr>
        <w:spacing w:line="500" w:lineRule="exact"/>
        <w:ind w:firstLine="532" w:firstLineChars="200"/>
        <w:jc w:val="both"/>
        <w:rPr>
          <w:rFonts w:hint="default" w:ascii="Times New Roman" w:hAnsi="Times New Roman" w:cs="Times New Roman"/>
          <w:spacing w:val="-7"/>
          <w:sz w:val="28"/>
          <w:szCs w:val="28"/>
        </w:rPr>
      </w:pPr>
      <w:r>
        <w:rPr>
          <w:rFonts w:hint="eastAsia" w:ascii="Times New Roman" w:hAnsi="Times New Roman" w:cs="Times New Roman"/>
          <w:spacing w:val="-7"/>
          <w:sz w:val="28"/>
          <w:szCs w:val="28"/>
          <w:lang w:eastAsia="zh-CN"/>
        </w:rPr>
        <w:t>东城加油站</w:t>
      </w:r>
      <w:r>
        <w:rPr>
          <w:rFonts w:hint="default" w:ascii="Times New Roman" w:hAnsi="Times New Roman" w:cs="Times New Roman"/>
          <w:spacing w:val="-7"/>
          <w:sz w:val="28"/>
          <w:szCs w:val="28"/>
        </w:rPr>
        <w:t>供配电系统包括动力、照明等，内容包括加油机、潜油泵的动力配电；加油棚和站房等的照明、空调用电，标志牌及道路场地照明。</w:t>
      </w:r>
    </w:p>
    <w:p>
      <w:pPr>
        <w:spacing w:line="500" w:lineRule="exact"/>
        <w:ind w:firstLine="532" w:firstLineChars="200"/>
        <w:jc w:val="both"/>
        <w:rPr>
          <w:rFonts w:hint="default" w:ascii="Times New Roman" w:hAnsi="Times New Roman" w:cs="Times New Roman"/>
          <w:spacing w:val="-7"/>
          <w:sz w:val="28"/>
          <w:szCs w:val="28"/>
        </w:rPr>
      </w:pPr>
      <w:r>
        <w:rPr>
          <w:rFonts w:hint="default" w:ascii="Times New Roman" w:hAnsi="Times New Roman" w:cs="Times New Roman"/>
          <w:spacing w:val="-7"/>
          <w:sz w:val="28"/>
          <w:szCs w:val="28"/>
        </w:rPr>
        <w:t>（1）电源及负荷等级</w:t>
      </w:r>
    </w:p>
    <w:p>
      <w:pPr>
        <w:spacing w:line="500" w:lineRule="exact"/>
        <w:ind w:firstLine="532" w:firstLineChars="200"/>
        <w:jc w:val="both"/>
        <w:rPr>
          <w:rFonts w:hint="default" w:ascii="Times New Roman" w:hAnsi="Times New Roman" w:cs="Times New Roman"/>
          <w:spacing w:val="-7"/>
          <w:sz w:val="28"/>
          <w:szCs w:val="28"/>
        </w:rPr>
      </w:pPr>
      <w:r>
        <w:rPr>
          <w:rFonts w:hint="default" w:ascii="Times New Roman" w:hAnsi="Times New Roman" w:cs="Times New Roman"/>
          <w:spacing w:val="-7"/>
          <w:sz w:val="28"/>
          <w:szCs w:val="28"/>
        </w:rPr>
        <w:t>①电源</w:t>
      </w:r>
    </w:p>
    <w:p>
      <w:pPr>
        <w:spacing w:line="500" w:lineRule="exact"/>
        <w:ind w:firstLine="532" w:firstLineChars="200"/>
        <w:jc w:val="both"/>
        <w:rPr>
          <w:rFonts w:hint="default" w:ascii="Times New Roman" w:hAnsi="Times New Roman" w:cs="Times New Roman"/>
          <w:spacing w:val="-7"/>
          <w:sz w:val="28"/>
          <w:szCs w:val="28"/>
        </w:rPr>
      </w:pPr>
      <w:r>
        <w:rPr>
          <w:rFonts w:hint="default" w:ascii="Times New Roman" w:hAnsi="Times New Roman" w:cs="Times New Roman"/>
          <w:spacing w:val="-7"/>
          <w:sz w:val="28"/>
          <w:szCs w:val="28"/>
        </w:rPr>
        <w:t>供电电源来自站外市政电源，由当地供电部门接入380</w:t>
      </w:r>
      <w:r>
        <w:rPr>
          <w:rFonts w:hint="default" w:ascii="Times New Roman" w:hAnsi="Times New Roman" w:cs="Times New Roman"/>
          <w:spacing w:val="-7"/>
          <w:sz w:val="28"/>
          <w:szCs w:val="28"/>
          <w:lang w:val="en-US"/>
        </w:rPr>
        <w:t>/</w:t>
      </w:r>
      <w:r>
        <w:rPr>
          <w:rFonts w:hint="default" w:ascii="Times New Roman" w:hAnsi="Times New Roman" w:cs="Times New Roman"/>
          <w:spacing w:val="-7"/>
          <w:sz w:val="28"/>
          <w:szCs w:val="28"/>
        </w:rPr>
        <w:t>220V电源设在配电房的低压配电箱，以380</w:t>
      </w:r>
      <w:r>
        <w:rPr>
          <w:rFonts w:hint="default" w:ascii="Times New Roman" w:hAnsi="Times New Roman" w:cs="Times New Roman"/>
          <w:spacing w:val="-7"/>
          <w:sz w:val="28"/>
          <w:szCs w:val="28"/>
          <w:lang w:val="en-US"/>
        </w:rPr>
        <w:t>/</w:t>
      </w:r>
      <w:r>
        <w:rPr>
          <w:rFonts w:hint="default" w:ascii="Times New Roman" w:hAnsi="Times New Roman" w:cs="Times New Roman"/>
          <w:spacing w:val="-7"/>
          <w:sz w:val="28"/>
          <w:szCs w:val="28"/>
        </w:rPr>
        <w:t>220V电源供各用电点。</w:t>
      </w:r>
    </w:p>
    <w:p>
      <w:pPr>
        <w:spacing w:line="500" w:lineRule="exact"/>
        <w:ind w:firstLine="532" w:firstLineChars="200"/>
        <w:jc w:val="both"/>
        <w:rPr>
          <w:rFonts w:hint="default" w:ascii="Times New Roman" w:hAnsi="Times New Roman" w:cs="Times New Roman"/>
          <w:spacing w:val="-7"/>
          <w:sz w:val="28"/>
          <w:szCs w:val="28"/>
        </w:rPr>
      </w:pPr>
      <w:r>
        <w:rPr>
          <w:rFonts w:hint="default" w:ascii="Times New Roman" w:hAnsi="Times New Roman" w:cs="Times New Roman"/>
          <w:spacing w:val="-7"/>
          <w:sz w:val="28"/>
          <w:szCs w:val="28"/>
        </w:rPr>
        <w:t>②负荷等级</w:t>
      </w:r>
    </w:p>
    <w:p>
      <w:pPr>
        <w:spacing w:line="500" w:lineRule="exact"/>
        <w:ind w:firstLine="532" w:firstLineChars="200"/>
        <w:jc w:val="both"/>
        <w:rPr>
          <w:rFonts w:hint="default" w:ascii="Times New Roman" w:hAnsi="Times New Roman" w:cs="Times New Roman"/>
          <w:spacing w:val="-7"/>
          <w:sz w:val="28"/>
          <w:szCs w:val="28"/>
        </w:rPr>
      </w:pPr>
      <w:r>
        <w:rPr>
          <w:rFonts w:hint="default" w:ascii="Times New Roman" w:hAnsi="Times New Roman" w:cs="Times New Roman"/>
          <w:spacing w:val="-7"/>
          <w:sz w:val="28"/>
          <w:szCs w:val="28"/>
        </w:rPr>
        <w:t>根据</w:t>
      </w:r>
      <w:r>
        <w:rPr>
          <w:rFonts w:hint="eastAsia" w:ascii="Times New Roman" w:hAnsi="Times New Roman" w:cs="Times New Roman"/>
          <w:spacing w:val="-7"/>
          <w:sz w:val="28"/>
          <w:szCs w:val="28"/>
          <w:lang w:eastAsia="zh-CN"/>
        </w:rPr>
        <w:t>东城加油站</w:t>
      </w:r>
      <w:r>
        <w:rPr>
          <w:rFonts w:hint="default" w:ascii="Times New Roman" w:hAnsi="Times New Roman" w:cs="Times New Roman"/>
          <w:spacing w:val="-7"/>
          <w:sz w:val="28"/>
          <w:szCs w:val="28"/>
        </w:rPr>
        <w:t>供电设备对供电系统可靠性的要求，生产负荷定为三级负荷。疏散及应急照明负荷由自带蓄电池提供应急电能。</w:t>
      </w:r>
    </w:p>
    <w:p>
      <w:pPr>
        <w:spacing w:line="500" w:lineRule="exact"/>
        <w:ind w:firstLine="532" w:firstLineChars="200"/>
        <w:jc w:val="both"/>
        <w:rPr>
          <w:rFonts w:hint="default" w:ascii="Times New Roman" w:hAnsi="Times New Roman" w:cs="Times New Roman"/>
          <w:spacing w:val="-7"/>
          <w:sz w:val="28"/>
          <w:szCs w:val="28"/>
        </w:rPr>
      </w:pPr>
      <w:r>
        <w:rPr>
          <w:rFonts w:hint="default" w:ascii="Times New Roman" w:hAnsi="Times New Roman" w:cs="Times New Roman"/>
          <w:spacing w:val="-7"/>
          <w:sz w:val="28"/>
          <w:szCs w:val="28"/>
        </w:rPr>
        <w:t>（2）线路敷设方式</w:t>
      </w:r>
    </w:p>
    <w:p>
      <w:pPr>
        <w:spacing w:line="500" w:lineRule="exact"/>
        <w:ind w:firstLine="532" w:firstLineChars="200"/>
        <w:jc w:val="both"/>
        <w:rPr>
          <w:rFonts w:hint="default" w:ascii="Times New Roman" w:hAnsi="Times New Roman" w:cs="Times New Roman"/>
          <w:spacing w:val="-7"/>
          <w:sz w:val="28"/>
          <w:szCs w:val="28"/>
        </w:rPr>
      </w:pPr>
      <w:r>
        <w:rPr>
          <w:rFonts w:hint="default" w:ascii="Times New Roman" w:hAnsi="Times New Roman" w:cs="Times New Roman"/>
          <w:spacing w:val="-7"/>
          <w:sz w:val="28"/>
          <w:szCs w:val="28"/>
        </w:rPr>
        <w:t>电源进线采用电缆直埋敷设。站内主要用电处为加油机、站区照明、建筑物照明等，加油机电线套管保护，埋地引至加油机底座，照明线路敷设方式为绝缘导线穿镀锌钢管沿墙及顶棚暗敷设和埋地敷设，爆炸危险区域内电力装置选用性能优良、密封绝缘良好的电缆及电气设备。</w:t>
      </w:r>
    </w:p>
    <w:p>
      <w:pPr>
        <w:pStyle w:val="5"/>
        <w:spacing w:beforeLines="100" w:afterLines="100" w:line="240" w:lineRule="auto"/>
        <w:ind w:firstLine="562" w:firstLineChars="200"/>
        <w:rPr>
          <w:rFonts w:hint="default" w:ascii="Times New Roman" w:hAnsi="Times New Roman" w:cs="Times New Roman"/>
          <w:sz w:val="28"/>
          <w:szCs w:val="28"/>
          <w:lang w:val="en-US"/>
        </w:rPr>
      </w:pPr>
      <w:bookmarkStart w:id="454" w:name="_Toc1482_WPSOffice_Level3"/>
      <w:r>
        <w:rPr>
          <w:rFonts w:hint="default" w:ascii="Times New Roman" w:hAnsi="Times New Roman" w:cs="Times New Roman"/>
          <w:sz w:val="28"/>
          <w:szCs w:val="28"/>
          <w:lang w:val="en-US"/>
        </w:rPr>
        <w:t>2.6.2 给排水</w:t>
      </w:r>
      <w:bookmarkEnd w:id="453"/>
      <w:bookmarkEnd w:id="454"/>
    </w:p>
    <w:p>
      <w:pPr>
        <w:spacing w:line="500" w:lineRule="exact"/>
        <w:ind w:firstLine="532" w:firstLineChars="200"/>
        <w:jc w:val="both"/>
        <w:rPr>
          <w:rFonts w:hint="default" w:ascii="Times New Roman" w:hAnsi="Times New Roman" w:cs="Times New Roman"/>
          <w:spacing w:val="-7"/>
          <w:sz w:val="28"/>
          <w:szCs w:val="28"/>
        </w:rPr>
      </w:pPr>
      <w:bookmarkStart w:id="455" w:name="_Toc32218_WPSOffice_Level3"/>
      <w:r>
        <w:rPr>
          <w:rFonts w:hint="default" w:ascii="Times New Roman" w:hAnsi="Times New Roman" w:cs="Times New Roman"/>
          <w:spacing w:val="-7"/>
          <w:sz w:val="28"/>
          <w:szCs w:val="28"/>
        </w:rPr>
        <w:t>生活给水由市政给水管接入，主要供应站房等生活用水及站内的绿化用水。站内地面雨水散流排出站外。当雨水有明沟排到站外时，在排出围墙之前设置水封井。</w:t>
      </w:r>
    </w:p>
    <w:p>
      <w:pPr>
        <w:spacing w:line="500" w:lineRule="exact"/>
        <w:ind w:firstLine="532" w:firstLineChars="200"/>
        <w:jc w:val="both"/>
        <w:rPr>
          <w:rFonts w:hint="default" w:ascii="Times New Roman" w:hAnsi="Times New Roman" w:cs="Times New Roman"/>
          <w:spacing w:val="-7"/>
          <w:sz w:val="28"/>
          <w:szCs w:val="28"/>
        </w:rPr>
      </w:pPr>
      <w:r>
        <w:rPr>
          <w:rFonts w:hint="default" w:ascii="Times New Roman" w:hAnsi="Times New Roman" w:cs="Times New Roman"/>
          <w:spacing w:val="-7"/>
          <w:sz w:val="28"/>
          <w:szCs w:val="28"/>
        </w:rPr>
        <w:t>加油岛洗地污水等集中收集到隔油池，经水封井排至市政排水沟内。清洗油罐的污水集中收集到隔油池，不直接进入市政排水管道，或采用活动式回收桶集中收集。</w:t>
      </w:r>
    </w:p>
    <w:p>
      <w:pPr>
        <w:spacing w:line="500" w:lineRule="exact"/>
        <w:ind w:firstLine="532" w:firstLineChars="200"/>
        <w:jc w:val="both"/>
        <w:rPr>
          <w:rFonts w:hint="default" w:ascii="Times New Roman" w:hAnsi="Times New Roman" w:cs="Times New Roman"/>
          <w:spacing w:val="-7"/>
          <w:sz w:val="28"/>
          <w:szCs w:val="28"/>
        </w:rPr>
      </w:pPr>
      <w:r>
        <w:rPr>
          <w:rFonts w:hint="default" w:ascii="Times New Roman" w:hAnsi="Times New Roman" w:cs="Times New Roman"/>
          <w:spacing w:val="-7"/>
          <w:sz w:val="28"/>
          <w:szCs w:val="28"/>
        </w:rPr>
        <w:t>卫生间粪便污水经化粪池处理后排至市政排水沟。</w:t>
      </w:r>
    </w:p>
    <w:p>
      <w:pPr>
        <w:pStyle w:val="5"/>
        <w:spacing w:beforeLines="100" w:afterLines="100" w:line="240" w:lineRule="auto"/>
        <w:ind w:firstLine="562" w:firstLineChars="200"/>
        <w:rPr>
          <w:rFonts w:hint="default" w:ascii="Times New Roman" w:hAnsi="Times New Roman" w:cs="Times New Roman"/>
          <w:sz w:val="28"/>
          <w:szCs w:val="28"/>
          <w:lang w:val="en-US"/>
        </w:rPr>
      </w:pPr>
      <w:bookmarkStart w:id="456" w:name="_Toc13105_WPSOffice_Level3"/>
      <w:r>
        <w:rPr>
          <w:rFonts w:hint="default" w:ascii="Times New Roman" w:hAnsi="Times New Roman" w:cs="Times New Roman"/>
          <w:sz w:val="28"/>
          <w:szCs w:val="28"/>
          <w:lang w:val="en-US"/>
        </w:rPr>
        <w:t>2.6.3 消防设施</w:t>
      </w:r>
      <w:bookmarkEnd w:id="455"/>
      <w:bookmarkEnd w:id="456"/>
    </w:p>
    <w:p>
      <w:pPr>
        <w:pStyle w:val="11"/>
        <w:spacing w:line="500" w:lineRule="exact"/>
        <w:ind w:firstLine="532" w:firstLineChars="200"/>
        <w:jc w:val="both"/>
        <w:rPr>
          <w:rFonts w:hint="default" w:ascii="Times New Roman" w:hAnsi="Times New Roman" w:cs="Times New Roman"/>
          <w:spacing w:val="-7"/>
        </w:rPr>
      </w:pPr>
      <w:r>
        <w:rPr>
          <w:rFonts w:hint="eastAsia" w:ascii="Times New Roman" w:hAnsi="Times New Roman" w:cs="Times New Roman"/>
          <w:spacing w:val="-7"/>
          <w:lang w:eastAsia="zh-CN"/>
        </w:rPr>
        <w:t>该油站消防外援为东莞市消防大队。东城加油站为二级加油站，采用埋地油罐，加油机</w:t>
      </w:r>
      <w:r>
        <w:rPr>
          <w:rFonts w:hint="eastAsia" w:ascii="Times New Roman" w:hAnsi="Times New Roman" w:cs="Times New Roman"/>
          <w:spacing w:val="-7"/>
          <w:lang w:val="en-US" w:eastAsia="zh-CN"/>
        </w:rPr>
        <w:t>6</w:t>
      </w:r>
      <w:r>
        <w:rPr>
          <w:rFonts w:hint="eastAsia" w:ascii="Times New Roman" w:hAnsi="Times New Roman" w:cs="Times New Roman"/>
          <w:spacing w:val="-7"/>
          <w:lang w:eastAsia="zh-CN"/>
        </w:rPr>
        <w:t>台。灭火器材预配置：每2台加油机设置2只4kg手提式干粉灭火器，地下储罐区设置1台35kg推车式干粉灭火器，配电箱柜处配置2具手提式二氧化碳灭火器，站内配置灭火毯5块，沙子2m³。其余建筑（综合楼、站房等）的灭火器材按照《建筑灭火器配置设计规范》（GB50140-2005）的规定的要求设置若干手提式干粉灭火器。本次增加自动洗车机项目不涉及到消防设施改变。</w:t>
      </w:r>
    </w:p>
    <w:p>
      <w:pPr>
        <w:pStyle w:val="5"/>
        <w:spacing w:beforeLines="100" w:afterLines="100" w:line="240" w:lineRule="auto"/>
        <w:ind w:firstLine="562" w:firstLineChars="200"/>
        <w:rPr>
          <w:rFonts w:hint="default" w:ascii="Times New Roman" w:hAnsi="Times New Roman" w:cs="Times New Roman"/>
          <w:sz w:val="28"/>
          <w:szCs w:val="28"/>
          <w:lang w:val="en-US"/>
        </w:rPr>
      </w:pPr>
      <w:bookmarkStart w:id="457" w:name="_Toc14515_WPSOffice_Level3"/>
      <w:bookmarkStart w:id="458" w:name="_Toc5737_WPSOffice_Level3"/>
      <w:r>
        <w:rPr>
          <w:rFonts w:hint="default" w:ascii="Times New Roman" w:hAnsi="Times New Roman" w:cs="Times New Roman"/>
          <w:sz w:val="28"/>
          <w:szCs w:val="28"/>
          <w:lang w:val="en-US"/>
        </w:rPr>
        <w:t>2.6.4 防雷设施</w:t>
      </w:r>
      <w:bookmarkEnd w:id="457"/>
      <w:bookmarkEnd w:id="458"/>
    </w:p>
    <w:p>
      <w:pPr>
        <w:pStyle w:val="11"/>
        <w:spacing w:line="500" w:lineRule="exact"/>
        <w:ind w:firstLine="532" w:firstLineChars="200"/>
        <w:rPr>
          <w:rFonts w:hint="default" w:ascii="Times New Roman" w:hAnsi="Times New Roman" w:cs="Times New Roman"/>
          <w:spacing w:val="-7"/>
        </w:rPr>
      </w:pPr>
      <w:r>
        <w:rPr>
          <w:rFonts w:hint="default" w:ascii="Times New Roman" w:hAnsi="Times New Roman" w:cs="Times New Roman"/>
          <w:spacing w:val="-7"/>
        </w:rPr>
        <w:t>（1）防雷</w:t>
      </w:r>
      <w:r>
        <w:rPr>
          <w:rFonts w:hint="eastAsia" w:ascii="Times New Roman" w:hAnsi="Times New Roman" w:cs="Times New Roman"/>
          <w:spacing w:val="-7"/>
          <w:lang w:eastAsia="zh-CN"/>
        </w:rPr>
        <w:t>设施</w:t>
      </w:r>
    </w:p>
    <w:p>
      <w:pPr>
        <w:pStyle w:val="11"/>
        <w:spacing w:line="500" w:lineRule="exact"/>
        <w:ind w:firstLine="532" w:firstLineChars="200"/>
        <w:rPr>
          <w:rFonts w:hint="default" w:ascii="Times New Roman" w:hAnsi="Times New Roman" w:cs="Times New Roman"/>
          <w:spacing w:val="-7"/>
        </w:rPr>
      </w:pPr>
      <w:r>
        <w:rPr>
          <w:rFonts w:hint="default" w:ascii="Times New Roman" w:hAnsi="Times New Roman" w:cs="Times New Roman"/>
          <w:spacing w:val="-7"/>
        </w:rPr>
        <w:t>本次增加自动洗车机防雷防静电部分与站内防雷防静电总接地连接。其他与其相关的根据《建筑物防雷设计规范》</w:t>
      </w:r>
      <w:r>
        <w:rPr>
          <w:rFonts w:hint="default" w:ascii="Times New Roman" w:hAnsi="Times New Roman" w:cs="Times New Roman"/>
          <w:spacing w:val="-7"/>
          <w:lang w:eastAsia="zh-CN"/>
        </w:rPr>
        <w:t>（</w:t>
      </w:r>
      <w:r>
        <w:rPr>
          <w:rFonts w:hint="default" w:ascii="Times New Roman" w:hAnsi="Times New Roman" w:cs="Times New Roman"/>
          <w:spacing w:val="-7"/>
        </w:rPr>
        <w:t>GB50057-2010</w:t>
      </w:r>
      <w:r>
        <w:rPr>
          <w:rFonts w:hint="default" w:ascii="Times New Roman" w:hAnsi="Times New Roman" w:cs="Times New Roman"/>
          <w:spacing w:val="-7"/>
          <w:lang w:eastAsia="zh-CN"/>
        </w:rPr>
        <w:t>）</w:t>
      </w:r>
      <w:r>
        <w:rPr>
          <w:rFonts w:hint="default" w:ascii="Times New Roman" w:hAnsi="Times New Roman" w:cs="Times New Roman"/>
          <w:spacing w:val="-7"/>
        </w:rPr>
        <w:t>及《汽车加油加气站设计与施工规范》（GB50156-2012</w:t>
      </w:r>
      <w:r>
        <w:rPr>
          <w:rFonts w:hint="default" w:ascii="Times New Roman" w:hAnsi="Times New Roman" w:cs="Times New Roman"/>
          <w:spacing w:val="-7"/>
          <w:lang w:eastAsia="zh-CN"/>
        </w:rPr>
        <w:t>，</w:t>
      </w:r>
      <w:r>
        <w:rPr>
          <w:rFonts w:hint="default" w:ascii="Times New Roman" w:hAnsi="Times New Roman" w:cs="Times New Roman"/>
          <w:spacing w:val="-7"/>
        </w:rPr>
        <w:t>2014版）的规定要求进行排查，符合要求。</w:t>
      </w:r>
    </w:p>
    <w:p>
      <w:pPr>
        <w:pStyle w:val="11"/>
        <w:spacing w:line="500" w:lineRule="exact"/>
        <w:ind w:firstLine="532" w:firstLineChars="200"/>
        <w:rPr>
          <w:rFonts w:hint="default" w:ascii="Times New Roman" w:hAnsi="Times New Roman" w:cs="Times New Roman"/>
          <w:spacing w:val="-7"/>
        </w:rPr>
      </w:pPr>
      <w:r>
        <w:rPr>
          <w:rFonts w:hint="default" w:ascii="Times New Roman" w:hAnsi="Times New Roman" w:cs="Times New Roman"/>
          <w:spacing w:val="-7"/>
        </w:rPr>
        <w:t>①防直击雷措施</w:t>
      </w:r>
    </w:p>
    <w:p>
      <w:pPr>
        <w:pStyle w:val="11"/>
        <w:spacing w:line="500" w:lineRule="exact"/>
        <w:ind w:firstLine="532" w:firstLineChars="200"/>
        <w:jc w:val="both"/>
        <w:rPr>
          <w:rFonts w:hint="default" w:ascii="Times New Roman" w:hAnsi="Times New Roman" w:cs="Times New Roman"/>
          <w:spacing w:val="-7"/>
        </w:rPr>
      </w:pPr>
      <w:r>
        <w:rPr>
          <w:rFonts w:hint="default" w:ascii="Times New Roman" w:hAnsi="Times New Roman" w:cs="Times New Roman"/>
          <w:spacing w:val="-7"/>
        </w:rPr>
        <w:t>站区加油棚、站房及辅助配套用房的防雷采用在屋顶面装设避雷带的方式，避雷带按规范要求沿屋角、屋脊和屋檐等易受雷击的部位敷设，并在整个屋面组成不大于10×10m或12×8m的网格。加油棚采用柱内钢筋作引下线，站房沿墙或柱子敷设，每隔1.5米设一个支持卡子。避雷带及防雷引下线均用Φ7mm热镀锌圆钢，加油棚上避雷带引下线采用暗设，站房处引下线明设，并引接入地极。埋地油罐用镀锌扁钢做水平接地体，与罐体相连，接地点不少于两处，防雷接地电阻R≤4Ω。该项目的整个接地系统连成一体。电气设备工作（系统）接地、保护接地、防雷接地、防静电接地共用一个总的接地装置，其接地电阻R≤4Ω。</w:t>
      </w:r>
    </w:p>
    <w:p>
      <w:pPr>
        <w:pStyle w:val="11"/>
        <w:spacing w:line="500" w:lineRule="exact"/>
        <w:ind w:firstLine="532" w:firstLineChars="200"/>
        <w:jc w:val="both"/>
        <w:rPr>
          <w:rFonts w:hint="default" w:ascii="Times New Roman" w:hAnsi="Times New Roman" w:cs="Times New Roman"/>
          <w:spacing w:val="-7"/>
        </w:rPr>
      </w:pPr>
      <w:r>
        <w:rPr>
          <w:rFonts w:hint="default" w:ascii="Times New Roman" w:hAnsi="Times New Roman" w:cs="Times New Roman"/>
          <w:spacing w:val="-7"/>
        </w:rPr>
        <w:t>②防雷电感应措施</w:t>
      </w:r>
    </w:p>
    <w:p>
      <w:pPr>
        <w:pStyle w:val="11"/>
        <w:spacing w:line="500" w:lineRule="exact"/>
        <w:ind w:firstLine="532" w:firstLineChars="200"/>
        <w:jc w:val="both"/>
        <w:rPr>
          <w:rFonts w:hint="default" w:ascii="Times New Roman" w:hAnsi="Times New Roman" w:cs="Times New Roman"/>
          <w:spacing w:val="-7"/>
        </w:rPr>
      </w:pPr>
      <w:r>
        <w:rPr>
          <w:rFonts w:hint="default" w:ascii="Times New Roman" w:hAnsi="Times New Roman" w:cs="Times New Roman"/>
          <w:spacing w:val="-7"/>
        </w:rPr>
        <w:t>建筑物内主要金属物，如设备、管道、钢屋架及钢窗等均与接地装置可靠连接。管道连接处、法兰、阀门等也用金属线跨接。</w:t>
      </w:r>
    </w:p>
    <w:p>
      <w:pPr>
        <w:pStyle w:val="11"/>
        <w:spacing w:line="500" w:lineRule="exact"/>
        <w:ind w:firstLine="532" w:firstLineChars="200"/>
        <w:jc w:val="both"/>
        <w:rPr>
          <w:rFonts w:hint="default" w:ascii="Times New Roman" w:hAnsi="Times New Roman" w:cs="Times New Roman"/>
          <w:spacing w:val="-7"/>
        </w:rPr>
      </w:pPr>
      <w:r>
        <w:rPr>
          <w:rFonts w:hint="default" w:ascii="Times New Roman" w:hAnsi="Times New Roman" w:cs="Times New Roman"/>
          <w:spacing w:val="-7"/>
        </w:rPr>
        <w:t>（2）防静电</w:t>
      </w:r>
      <w:r>
        <w:rPr>
          <w:rFonts w:hint="eastAsia" w:ascii="Times New Roman" w:hAnsi="Times New Roman" w:cs="Times New Roman"/>
          <w:spacing w:val="-7"/>
          <w:lang w:eastAsia="zh-CN"/>
        </w:rPr>
        <w:t>设施</w:t>
      </w:r>
    </w:p>
    <w:p>
      <w:pPr>
        <w:pStyle w:val="11"/>
        <w:spacing w:line="500" w:lineRule="exact"/>
        <w:ind w:firstLine="532" w:firstLineChars="200"/>
        <w:jc w:val="both"/>
        <w:rPr>
          <w:rFonts w:hint="default" w:ascii="Times New Roman" w:hAnsi="Times New Roman" w:cs="Times New Roman"/>
          <w:spacing w:val="-7"/>
        </w:rPr>
      </w:pPr>
      <w:r>
        <w:rPr>
          <w:rFonts w:hint="default" w:ascii="Times New Roman" w:hAnsi="Times New Roman" w:cs="Times New Roman"/>
          <w:spacing w:val="-7"/>
        </w:rPr>
        <w:t>该项目的防静电</w:t>
      </w:r>
      <w:r>
        <w:rPr>
          <w:rFonts w:hint="eastAsia" w:ascii="Times New Roman" w:hAnsi="Times New Roman" w:cs="Times New Roman"/>
          <w:spacing w:val="-7"/>
          <w:lang w:eastAsia="zh-CN"/>
        </w:rPr>
        <w:t>设施</w:t>
      </w:r>
      <w:r>
        <w:rPr>
          <w:rFonts w:hint="default" w:ascii="Times New Roman" w:hAnsi="Times New Roman" w:cs="Times New Roman"/>
          <w:spacing w:val="-7"/>
        </w:rPr>
        <w:t>按《汽车加油加气站设计与施工规范（2014版）》（GB50156-2012）的要求。</w:t>
      </w:r>
    </w:p>
    <w:p>
      <w:pPr>
        <w:pStyle w:val="11"/>
        <w:spacing w:line="500" w:lineRule="exact"/>
        <w:ind w:firstLine="532" w:firstLineChars="200"/>
        <w:rPr>
          <w:rFonts w:hint="default" w:ascii="Times New Roman" w:hAnsi="Times New Roman" w:cs="Times New Roman"/>
          <w:spacing w:val="-7"/>
        </w:rPr>
      </w:pPr>
      <w:r>
        <w:rPr>
          <w:rFonts w:hint="default" w:ascii="Times New Roman" w:hAnsi="Times New Roman" w:cs="Times New Roman"/>
          <w:spacing w:val="-7"/>
        </w:rPr>
        <w:t>该项目所有设备接地线路进行并联，不串联，并在生产装置旁设置供油罐车用的静电接地桩。所有的设备都做了防静电接地，静电接地系统的各个固定连接处，采用焊接或螺栓紧固连接，埋地部分采用焊接。管沟敷设的输油管线的始末端、转弯、分支处及直线每隔100m作1次接地；平行敷设于管沟的金属管道，其净距小于100mm时做电气跨接，接跨点间距小于30m，管道交叉点净距小于100mm时也做电气跨接。防雷防静电及电气保护接地均连成一体，组成接地网，接地电阻小于4Ω。所有设备上的电机均利用专用PE线作接地线。防静电的接地装置与防感应雷和电器设备的接地装置共同设置，其接地电阻值符合防感应雷和电气设备接地规定；对于只作防静电接地的装置，电阻值小于4Ω。加油站内加油区、卸油区地面均采用不发火地面。卸油区设人体静电释放球和卸车专用接地端子，与站内防雷防静电总接地连接，并配备一套卸车静电接地报警仪。</w:t>
      </w:r>
    </w:p>
    <w:p>
      <w:pPr>
        <w:pStyle w:val="4"/>
        <w:tabs>
          <w:tab w:val="left" w:pos="3119"/>
        </w:tabs>
        <w:spacing w:beforeLines="100" w:afterLines="100"/>
        <w:ind w:firstLine="0"/>
        <w:jc w:val="center"/>
        <w:rPr>
          <w:rFonts w:hint="default" w:ascii="Times New Roman" w:hAnsi="Times New Roman" w:eastAsia="宋体" w:cs="Times New Roman"/>
          <w:b/>
          <w:bCs/>
          <w:lang w:val="en-US"/>
        </w:rPr>
      </w:pPr>
      <w:bookmarkStart w:id="459" w:name="_Toc8045"/>
      <w:bookmarkStart w:id="460" w:name="_Toc21969"/>
      <w:r>
        <w:rPr>
          <w:rFonts w:hint="default" w:ascii="Times New Roman" w:hAnsi="Times New Roman" w:eastAsia="宋体" w:cs="Times New Roman"/>
          <w:b/>
          <w:bCs/>
          <w:lang w:val="en-US"/>
        </w:rPr>
        <w:t>2.7 建设项目选用的主要装置（设备）和设施名称、型号（或者规格）、材质、数量和主要特种设备</w:t>
      </w:r>
      <w:bookmarkEnd w:id="445"/>
      <w:bookmarkEnd w:id="446"/>
      <w:bookmarkEnd w:id="447"/>
      <w:bookmarkEnd w:id="448"/>
      <w:bookmarkEnd w:id="449"/>
      <w:bookmarkEnd w:id="450"/>
      <w:bookmarkEnd w:id="459"/>
      <w:bookmarkEnd w:id="460"/>
    </w:p>
    <w:p>
      <w:pPr>
        <w:spacing w:line="500" w:lineRule="exact"/>
        <w:ind w:firstLine="532" w:firstLineChars="200"/>
        <w:rPr>
          <w:rFonts w:hint="default" w:ascii="Times New Roman" w:hAnsi="Times New Roman" w:cs="Times New Roman"/>
          <w:spacing w:val="-7"/>
          <w:sz w:val="28"/>
          <w:szCs w:val="28"/>
          <w:highlight w:val="none"/>
          <w:lang w:val="en-US" w:eastAsia="zh-CN"/>
        </w:rPr>
      </w:pPr>
      <w:r>
        <w:rPr>
          <w:rFonts w:hint="default" w:ascii="Times New Roman" w:hAnsi="Times New Roman" w:cs="Times New Roman"/>
          <w:spacing w:val="-7"/>
          <w:sz w:val="28"/>
          <w:szCs w:val="28"/>
          <w:highlight w:val="none"/>
          <w:lang w:val="en-US" w:eastAsia="zh-CN"/>
        </w:rPr>
        <w:t>该油站主要工艺设备及型号见下表：</w:t>
      </w:r>
    </w:p>
    <w:p>
      <w:pPr>
        <w:pStyle w:val="11"/>
        <w:spacing w:line="500" w:lineRule="exact"/>
        <w:ind w:firstLine="560" w:firstLineChars="200"/>
        <w:jc w:val="center"/>
        <w:rPr>
          <w:rFonts w:hint="default" w:ascii="Times New Roman" w:hAnsi="Times New Roman" w:cs="Times New Roman"/>
          <w:highlight w:val="yellow"/>
          <w:lang w:val="en-US"/>
        </w:rPr>
      </w:pPr>
      <w:r>
        <w:rPr>
          <w:rFonts w:hint="default" w:ascii="Times New Roman" w:hAnsi="Times New Roman" w:cs="Times New Roman"/>
        </w:rPr>
        <w:t>表</w:t>
      </w:r>
      <w:r>
        <w:rPr>
          <w:rFonts w:hint="default" w:ascii="Times New Roman" w:hAnsi="Times New Roman" w:cs="Times New Roman"/>
          <w:lang w:val="en-US"/>
        </w:rPr>
        <w:t>2.7-1 主要工艺设备一览表</w:t>
      </w:r>
    </w:p>
    <w:tbl>
      <w:tblPr>
        <w:tblStyle w:val="29"/>
        <w:tblW w:w="90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5"/>
        <w:gridCol w:w="2162"/>
        <w:gridCol w:w="1958"/>
        <w:gridCol w:w="900"/>
        <w:gridCol w:w="855"/>
        <w:gridCol w:w="22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905" w:type="dxa"/>
            <w:vAlign w:val="center"/>
          </w:tcPr>
          <w:p>
            <w:pPr>
              <w:pStyle w:val="38"/>
              <w:keepNext w:val="0"/>
              <w:keepLines w:val="0"/>
              <w:suppressLineNumbers w:val="0"/>
              <w:spacing w:before="0" w:beforeAutospacing="0" w:after="0" w:afterAutospacing="0"/>
              <w:ind w:left="78" w:right="69"/>
              <w:jc w:val="center"/>
              <w:rPr>
                <w:rFonts w:hint="default" w:ascii="Times New Roman" w:hAnsi="Times New Roman" w:cs="Times New Roman"/>
                <w:b/>
                <w:bCs/>
                <w:sz w:val="21"/>
                <w:szCs w:val="21"/>
              </w:rPr>
            </w:pPr>
            <w:r>
              <w:rPr>
                <w:rFonts w:hint="default" w:ascii="Times New Roman" w:hAnsi="Times New Roman" w:cs="Times New Roman"/>
                <w:b/>
                <w:bCs/>
                <w:sz w:val="21"/>
                <w:szCs w:val="21"/>
              </w:rPr>
              <w:t>序号</w:t>
            </w:r>
          </w:p>
        </w:tc>
        <w:tc>
          <w:tcPr>
            <w:tcW w:w="2162" w:type="dxa"/>
            <w:vAlign w:val="center"/>
          </w:tcPr>
          <w:p>
            <w:pPr>
              <w:pStyle w:val="38"/>
              <w:keepNext w:val="0"/>
              <w:keepLines w:val="0"/>
              <w:suppressLineNumbers w:val="0"/>
              <w:spacing w:before="0" w:beforeAutospacing="0" w:after="0" w:afterAutospacing="0"/>
              <w:ind w:left="78" w:right="69"/>
              <w:jc w:val="center"/>
              <w:rPr>
                <w:rFonts w:hint="default" w:ascii="Times New Roman" w:hAnsi="Times New Roman" w:cs="Times New Roman"/>
                <w:b/>
                <w:bCs/>
                <w:sz w:val="21"/>
                <w:szCs w:val="21"/>
              </w:rPr>
            </w:pPr>
            <w:r>
              <w:rPr>
                <w:rFonts w:hint="default" w:ascii="Times New Roman" w:hAnsi="Times New Roman" w:cs="Times New Roman"/>
                <w:b/>
                <w:bCs/>
                <w:sz w:val="21"/>
                <w:szCs w:val="21"/>
              </w:rPr>
              <w:t>名称</w:t>
            </w:r>
          </w:p>
        </w:tc>
        <w:tc>
          <w:tcPr>
            <w:tcW w:w="1958" w:type="dxa"/>
            <w:vAlign w:val="center"/>
          </w:tcPr>
          <w:p>
            <w:pPr>
              <w:pStyle w:val="38"/>
              <w:keepNext w:val="0"/>
              <w:keepLines w:val="0"/>
              <w:suppressLineNumbers w:val="0"/>
              <w:spacing w:before="0" w:beforeAutospacing="0" w:after="0" w:afterAutospacing="0"/>
              <w:ind w:left="78" w:right="69"/>
              <w:jc w:val="center"/>
              <w:rPr>
                <w:rFonts w:hint="default" w:ascii="Times New Roman" w:hAnsi="Times New Roman" w:cs="Times New Roman"/>
                <w:b/>
                <w:bCs/>
                <w:sz w:val="21"/>
                <w:szCs w:val="21"/>
              </w:rPr>
            </w:pPr>
            <w:r>
              <w:rPr>
                <w:rFonts w:hint="default" w:ascii="Times New Roman" w:hAnsi="Times New Roman" w:cs="Times New Roman"/>
                <w:b/>
                <w:bCs/>
                <w:sz w:val="21"/>
                <w:szCs w:val="21"/>
              </w:rPr>
              <w:t>设备型号</w:t>
            </w:r>
          </w:p>
        </w:tc>
        <w:tc>
          <w:tcPr>
            <w:tcW w:w="900" w:type="dxa"/>
            <w:vAlign w:val="center"/>
          </w:tcPr>
          <w:p>
            <w:pPr>
              <w:pStyle w:val="38"/>
              <w:keepNext w:val="0"/>
              <w:keepLines w:val="0"/>
              <w:suppressLineNumbers w:val="0"/>
              <w:spacing w:before="0" w:beforeAutospacing="0" w:after="0" w:afterAutospacing="0"/>
              <w:ind w:left="78" w:right="69"/>
              <w:jc w:val="center"/>
              <w:rPr>
                <w:rFonts w:hint="default" w:ascii="Times New Roman" w:hAnsi="Times New Roman" w:cs="Times New Roman"/>
                <w:b/>
                <w:bCs/>
                <w:sz w:val="21"/>
                <w:szCs w:val="21"/>
              </w:rPr>
            </w:pPr>
            <w:r>
              <w:rPr>
                <w:rFonts w:hint="default" w:ascii="Times New Roman" w:hAnsi="Times New Roman" w:cs="Times New Roman"/>
                <w:b/>
                <w:bCs/>
                <w:sz w:val="21"/>
                <w:szCs w:val="21"/>
              </w:rPr>
              <w:t>数量</w:t>
            </w:r>
          </w:p>
        </w:tc>
        <w:tc>
          <w:tcPr>
            <w:tcW w:w="855" w:type="dxa"/>
            <w:vAlign w:val="center"/>
          </w:tcPr>
          <w:p>
            <w:pPr>
              <w:pStyle w:val="38"/>
              <w:keepNext w:val="0"/>
              <w:keepLines w:val="0"/>
              <w:suppressLineNumbers w:val="0"/>
              <w:spacing w:before="0" w:beforeAutospacing="0" w:after="0" w:afterAutospacing="0"/>
              <w:ind w:left="78" w:right="69"/>
              <w:jc w:val="center"/>
              <w:rPr>
                <w:rFonts w:hint="default" w:ascii="Times New Roman" w:hAnsi="Times New Roman" w:cs="Times New Roman"/>
                <w:b/>
                <w:bCs/>
                <w:sz w:val="21"/>
                <w:szCs w:val="21"/>
              </w:rPr>
            </w:pPr>
            <w:r>
              <w:rPr>
                <w:rFonts w:hint="default" w:ascii="Times New Roman" w:hAnsi="Times New Roman" w:cs="Times New Roman"/>
                <w:b/>
                <w:bCs/>
                <w:sz w:val="21"/>
                <w:szCs w:val="21"/>
              </w:rPr>
              <w:t>单位</w:t>
            </w:r>
          </w:p>
        </w:tc>
        <w:tc>
          <w:tcPr>
            <w:tcW w:w="2283" w:type="dxa"/>
            <w:vAlign w:val="center"/>
          </w:tcPr>
          <w:p>
            <w:pPr>
              <w:pStyle w:val="38"/>
              <w:keepNext w:val="0"/>
              <w:keepLines w:val="0"/>
              <w:suppressLineNumbers w:val="0"/>
              <w:spacing w:before="0" w:beforeAutospacing="0" w:after="0" w:afterAutospacing="0"/>
              <w:ind w:left="78" w:right="69"/>
              <w:jc w:val="center"/>
              <w:rPr>
                <w:rFonts w:hint="default" w:ascii="Times New Roman" w:hAnsi="Times New Roman" w:cs="Times New Roman"/>
                <w:b/>
                <w:bCs/>
                <w:sz w:val="21"/>
                <w:szCs w:val="21"/>
              </w:rPr>
            </w:pPr>
            <w:r>
              <w:rPr>
                <w:rFonts w:hint="default" w:ascii="Times New Roman" w:hAnsi="Times New Roman" w:cs="Times New Roman"/>
                <w:b/>
                <w:bCs/>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05" w:type="dxa"/>
            <w:vAlign w:val="center"/>
          </w:tcPr>
          <w:p>
            <w:pPr>
              <w:pStyle w:val="38"/>
              <w:keepNext w:val="0"/>
              <w:keepLines w:val="0"/>
              <w:suppressLineNumbers w:val="0"/>
              <w:spacing w:before="0" w:beforeAutospacing="0" w:after="0" w:afterAutospacing="0"/>
              <w:ind w:left="78" w:right="69"/>
              <w:jc w:val="center"/>
              <w:rPr>
                <w:rFonts w:hint="default" w:ascii="Times New Roman" w:hAnsi="Times New Roman" w:cs="Times New Roman"/>
                <w:b w:val="0"/>
                <w:bCs w:val="0"/>
                <w:sz w:val="21"/>
                <w:szCs w:val="21"/>
              </w:rPr>
            </w:pPr>
            <w:r>
              <w:rPr>
                <w:rFonts w:hint="default" w:ascii="Times New Roman" w:hAnsi="Times New Roman" w:cs="Times New Roman"/>
                <w:b w:val="0"/>
                <w:bCs w:val="0"/>
                <w:sz w:val="21"/>
                <w:szCs w:val="21"/>
              </w:rPr>
              <w:t>1</w:t>
            </w:r>
          </w:p>
        </w:tc>
        <w:tc>
          <w:tcPr>
            <w:tcW w:w="2162" w:type="dxa"/>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b w:val="0"/>
                <w:bCs w:val="0"/>
                <w:sz w:val="21"/>
                <w:szCs w:val="21"/>
              </w:rPr>
            </w:pPr>
            <w:r>
              <w:rPr>
                <w:rFonts w:hint="default" w:ascii="Times New Roman" w:hAnsi="Times New Roman" w:cs="Times New Roman"/>
                <w:color w:val="000000"/>
                <w:kern w:val="1"/>
              </w:rPr>
              <w:t>加油机</w:t>
            </w:r>
          </w:p>
        </w:tc>
        <w:tc>
          <w:tcPr>
            <w:tcW w:w="1958" w:type="dxa"/>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b w:val="0"/>
                <w:bCs w:val="0"/>
                <w:sz w:val="21"/>
                <w:szCs w:val="21"/>
              </w:rPr>
            </w:pPr>
            <w:r>
              <w:rPr>
                <w:rFonts w:hint="default" w:ascii="Times New Roman" w:hAnsi="Times New Roman" w:cs="Times New Roman"/>
                <w:color w:val="000000"/>
                <w:kern w:val="1"/>
              </w:rPr>
              <w:t>潜油泵型</w:t>
            </w:r>
          </w:p>
        </w:tc>
        <w:tc>
          <w:tcPr>
            <w:tcW w:w="900" w:type="dxa"/>
            <w:vAlign w:val="center"/>
          </w:tcPr>
          <w:p>
            <w:pPr>
              <w:keepNext w:val="0"/>
              <w:keepLines w:val="0"/>
              <w:suppressLineNumbers w:val="0"/>
              <w:spacing w:before="0" w:beforeAutospacing="0" w:after="0" w:afterAutospacing="0" w:line="300" w:lineRule="exact"/>
              <w:ind w:left="0" w:right="0"/>
              <w:jc w:val="center"/>
              <w:rPr>
                <w:rFonts w:hint="eastAsia" w:ascii="Times New Roman" w:hAnsi="Times New Roman" w:eastAsia="宋体" w:cs="Times New Roman"/>
                <w:b w:val="0"/>
                <w:bCs w:val="0"/>
                <w:sz w:val="21"/>
                <w:szCs w:val="21"/>
                <w:lang w:eastAsia="zh-CN"/>
              </w:rPr>
            </w:pPr>
            <w:r>
              <w:rPr>
                <w:rFonts w:hint="eastAsia" w:ascii="Times New Roman" w:hAnsi="Times New Roman" w:cs="Times New Roman"/>
                <w:color w:val="000000"/>
                <w:kern w:val="1"/>
                <w:lang w:val="en-US" w:eastAsia="zh-CN"/>
              </w:rPr>
              <w:t>6</w:t>
            </w:r>
          </w:p>
        </w:tc>
        <w:tc>
          <w:tcPr>
            <w:tcW w:w="855" w:type="dxa"/>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b w:val="0"/>
                <w:bCs w:val="0"/>
                <w:sz w:val="21"/>
                <w:szCs w:val="21"/>
              </w:rPr>
            </w:pPr>
            <w:r>
              <w:rPr>
                <w:rFonts w:hint="default" w:ascii="Times New Roman" w:hAnsi="Times New Roman" w:cs="Times New Roman"/>
                <w:color w:val="000000"/>
                <w:kern w:val="1"/>
              </w:rPr>
              <w:t>台</w:t>
            </w:r>
          </w:p>
        </w:tc>
        <w:tc>
          <w:tcPr>
            <w:tcW w:w="2283" w:type="dxa"/>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b w:val="0"/>
                <w:bCs w:val="0"/>
                <w:sz w:val="21"/>
                <w:szCs w:val="21"/>
              </w:rPr>
            </w:pPr>
            <w:r>
              <w:rPr>
                <w:rFonts w:hint="default" w:ascii="Times New Roman" w:hAnsi="Times New Roman" w:cs="Times New Roman"/>
                <w:color w:val="000000"/>
                <w:kern w:val="1"/>
              </w:rPr>
              <w:t>各</w:t>
            </w:r>
            <w:r>
              <w:rPr>
                <w:rFonts w:hint="eastAsia" w:ascii="Times New Roman" w:hAnsi="Times New Roman" w:cs="Times New Roman"/>
                <w:color w:val="000000"/>
                <w:kern w:val="1"/>
                <w:lang w:val="en-US" w:eastAsia="zh-CN"/>
              </w:rPr>
              <w:t>6</w:t>
            </w:r>
            <w:r>
              <w:rPr>
                <w:rFonts w:hint="default" w:ascii="Times New Roman" w:hAnsi="Times New Roman" w:cs="Times New Roman"/>
                <w:color w:val="000000"/>
                <w:kern w:val="1"/>
              </w:rPr>
              <w:t>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05" w:type="dxa"/>
            <w:vAlign w:val="center"/>
          </w:tcPr>
          <w:p>
            <w:pPr>
              <w:pStyle w:val="38"/>
              <w:keepNext w:val="0"/>
              <w:keepLines w:val="0"/>
              <w:suppressLineNumbers w:val="0"/>
              <w:spacing w:before="0" w:beforeAutospacing="0" w:after="0" w:afterAutospacing="0"/>
              <w:ind w:left="78" w:right="69"/>
              <w:jc w:val="center"/>
              <w:rPr>
                <w:rFonts w:hint="default" w:ascii="Times New Roman" w:hAnsi="Times New Roman" w:cs="Times New Roman"/>
                <w:b w:val="0"/>
                <w:bCs w:val="0"/>
                <w:sz w:val="21"/>
                <w:szCs w:val="21"/>
              </w:rPr>
            </w:pPr>
            <w:r>
              <w:rPr>
                <w:rFonts w:hint="default" w:ascii="Times New Roman" w:hAnsi="Times New Roman" w:cs="Times New Roman"/>
                <w:b w:val="0"/>
                <w:bCs w:val="0"/>
                <w:sz w:val="21"/>
                <w:szCs w:val="21"/>
              </w:rPr>
              <w:t>2</w:t>
            </w:r>
          </w:p>
        </w:tc>
        <w:tc>
          <w:tcPr>
            <w:tcW w:w="2162" w:type="dxa"/>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b w:val="0"/>
                <w:bCs w:val="0"/>
                <w:sz w:val="21"/>
                <w:szCs w:val="21"/>
              </w:rPr>
            </w:pPr>
            <w:r>
              <w:rPr>
                <w:rFonts w:hint="default" w:ascii="Times New Roman" w:hAnsi="Times New Roman" w:cs="Times New Roman"/>
                <w:color w:val="000000"/>
                <w:kern w:val="1"/>
              </w:rPr>
              <w:t>柴油储罐</w:t>
            </w:r>
          </w:p>
        </w:tc>
        <w:tc>
          <w:tcPr>
            <w:tcW w:w="1958" w:type="dxa"/>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b w:val="0"/>
                <w:bCs w:val="0"/>
                <w:sz w:val="21"/>
                <w:szCs w:val="21"/>
              </w:rPr>
            </w:pPr>
            <w:r>
              <w:rPr>
                <w:rFonts w:hint="default" w:ascii="Times New Roman" w:hAnsi="Times New Roman" w:cs="Times New Roman"/>
                <w:color w:val="000000"/>
                <w:kern w:val="1"/>
              </w:rPr>
              <w:t>S/F双层油罐</w:t>
            </w:r>
          </w:p>
        </w:tc>
        <w:tc>
          <w:tcPr>
            <w:tcW w:w="900" w:type="dxa"/>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b w:val="0"/>
                <w:bCs w:val="0"/>
                <w:sz w:val="21"/>
                <w:szCs w:val="21"/>
              </w:rPr>
            </w:pPr>
            <w:r>
              <w:rPr>
                <w:rFonts w:hint="default" w:ascii="Times New Roman" w:hAnsi="Times New Roman" w:cs="Times New Roman"/>
                <w:color w:val="000000"/>
                <w:kern w:val="1"/>
              </w:rPr>
              <w:t>1</w:t>
            </w:r>
          </w:p>
        </w:tc>
        <w:tc>
          <w:tcPr>
            <w:tcW w:w="855" w:type="dxa"/>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b w:val="0"/>
                <w:bCs w:val="0"/>
                <w:sz w:val="21"/>
                <w:szCs w:val="21"/>
              </w:rPr>
            </w:pPr>
            <w:r>
              <w:rPr>
                <w:rFonts w:hint="default" w:ascii="Times New Roman" w:hAnsi="Times New Roman" w:cs="Times New Roman"/>
                <w:color w:val="000000"/>
                <w:kern w:val="1"/>
              </w:rPr>
              <w:t>个</w:t>
            </w:r>
          </w:p>
        </w:tc>
        <w:tc>
          <w:tcPr>
            <w:tcW w:w="2283" w:type="dxa"/>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b w:val="0"/>
                <w:bCs w:val="0"/>
                <w:sz w:val="21"/>
                <w:szCs w:val="21"/>
              </w:rPr>
            </w:pPr>
            <w:r>
              <w:rPr>
                <w:rFonts w:hint="eastAsia" w:ascii="Times New Roman" w:hAnsi="Times New Roman" w:cs="Times New Roman"/>
                <w:color w:val="000000"/>
                <w:kern w:val="1"/>
                <w:lang w:val="en-US" w:eastAsia="zh-CN"/>
              </w:rPr>
              <w:t>3</w:t>
            </w:r>
            <w:r>
              <w:rPr>
                <w:rFonts w:hint="default" w:ascii="Times New Roman" w:hAnsi="Times New Roman" w:cs="Times New Roman"/>
                <w:color w:val="000000"/>
                <w:kern w:val="1"/>
              </w:rPr>
              <w:t>0m³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05" w:type="dxa"/>
            <w:vAlign w:val="center"/>
          </w:tcPr>
          <w:p>
            <w:pPr>
              <w:pStyle w:val="38"/>
              <w:keepNext w:val="0"/>
              <w:keepLines w:val="0"/>
              <w:suppressLineNumbers w:val="0"/>
              <w:spacing w:before="0" w:beforeAutospacing="0" w:after="0" w:afterAutospacing="0"/>
              <w:ind w:left="78" w:right="69"/>
              <w:jc w:val="center"/>
              <w:rPr>
                <w:rFonts w:hint="eastAsia" w:ascii="Times New Roman" w:hAnsi="Times New Roman" w:eastAsia="宋体" w:cs="Times New Roman"/>
                <w:b w:val="0"/>
                <w:bCs w:val="0"/>
                <w:sz w:val="21"/>
                <w:szCs w:val="21"/>
                <w:lang w:val="en-US" w:eastAsia="zh-CN"/>
              </w:rPr>
            </w:pPr>
            <w:r>
              <w:rPr>
                <w:rFonts w:hint="default" w:ascii="Times New Roman" w:hAnsi="Times New Roman" w:cs="Times New Roman"/>
                <w:b w:val="0"/>
                <w:bCs w:val="0"/>
                <w:sz w:val="21"/>
                <w:szCs w:val="21"/>
              </w:rPr>
              <w:t>3</w:t>
            </w:r>
          </w:p>
        </w:tc>
        <w:tc>
          <w:tcPr>
            <w:tcW w:w="2162" w:type="dxa"/>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kern w:val="1"/>
              </w:rPr>
            </w:pPr>
            <w:r>
              <w:rPr>
                <w:rFonts w:hint="default" w:ascii="Times New Roman" w:hAnsi="Times New Roman" w:cs="Times New Roman"/>
                <w:color w:val="000000"/>
                <w:kern w:val="1"/>
              </w:rPr>
              <w:t>汽油储罐</w:t>
            </w:r>
          </w:p>
        </w:tc>
        <w:tc>
          <w:tcPr>
            <w:tcW w:w="1958" w:type="dxa"/>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kern w:val="1"/>
              </w:rPr>
            </w:pPr>
            <w:r>
              <w:rPr>
                <w:rFonts w:hint="default" w:ascii="Times New Roman" w:hAnsi="Times New Roman" w:cs="Times New Roman"/>
                <w:color w:val="000000"/>
                <w:kern w:val="1"/>
              </w:rPr>
              <w:t>S/F双层油罐</w:t>
            </w:r>
          </w:p>
        </w:tc>
        <w:tc>
          <w:tcPr>
            <w:tcW w:w="900" w:type="dxa"/>
            <w:vAlign w:val="center"/>
          </w:tcPr>
          <w:p>
            <w:pPr>
              <w:keepNext w:val="0"/>
              <w:keepLines w:val="0"/>
              <w:suppressLineNumbers w:val="0"/>
              <w:spacing w:before="0" w:beforeAutospacing="0" w:after="0" w:afterAutospacing="0" w:line="300" w:lineRule="exact"/>
              <w:ind w:left="0" w:right="0"/>
              <w:jc w:val="center"/>
              <w:rPr>
                <w:rFonts w:hint="eastAsia" w:ascii="Times New Roman" w:hAnsi="Times New Roman" w:eastAsia="宋体" w:cs="Times New Roman"/>
                <w:kern w:val="1"/>
                <w:lang w:eastAsia="zh-CN"/>
              </w:rPr>
            </w:pPr>
            <w:r>
              <w:rPr>
                <w:rFonts w:hint="eastAsia" w:ascii="Times New Roman" w:hAnsi="Times New Roman" w:cs="Times New Roman"/>
                <w:color w:val="000000"/>
                <w:kern w:val="1"/>
                <w:lang w:val="en-US" w:eastAsia="zh-CN"/>
              </w:rPr>
              <w:t>3</w:t>
            </w:r>
          </w:p>
        </w:tc>
        <w:tc>
          <w:tcPr>
            <w:tcW w:w="855" w:type="dxa"/>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kern w:val="1"/>
              </w:rPr>
            </w:pPr>
            <w:r>
              <w:rPr>
                <w:rFonts w:hint="default" w:ascii="Times New Roman" w:hAnsi="Times New Roman" w:cs="Times New Roman"/>
                <w:color w:val="000000"/>
                <w:kern w:val="1"/>
              </w:rPr>
              <w:t>个</w:t>
            </w:r>
          </w:p>
        </w:tc>
        <w:tc>
          <w:tcPr>
            <w:tcW w:w="2283" w:type="dxa"/>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kern w:val="1"/>
              </w:rPr>
            </w:pPr>
            <w:r>
              <w:rPr>
                <w:rFonts w:hint="eastAsia" w:ascii="Times New Roman" w:hAnsi="Times New Roman" w:cs="Times New Roman"/>
                <w:color w:val="000000"/>
                <w:kern w:val="1"/>
                <w:lang w:val="en-US" w:eastAsia="zh-CN"/>
              </w:rPr>
              <w:t>3</w:t>
            </w:r>
            <w:r>
              <w:rPr>
                <w:rFonts w:hint="default" w:ascii="Times New Roman" w:hAnsi="Times New Roman" w:cs="Times New Roman"/>
                <w:color w:val="000000"/>
                <w:kern w:val="1"/>
              </w:rPr>
              <w:t>0m³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05" w:type="dxa"/>
            <w:vAlign w:val="center"/>
          </w:tcPr>
          <w:p>
            <w:pPr>
              <w:pStyle w:val="38"/>
              <w:keepNext w:val="0"/>
              <w:keepLines w:val="0"/>
              <w:suppressLineNumbers w:val="0"/>
              <w:spacing w:before="0" w:beforeAutospacing="0" w:after="0" w:afterAutospacing="0"/>
              <w:ind w:left="78" w:right="69"/>
              <w:jc w:val="center"/>
              <w:rPr>
                <w:rFonts w:hint="default" w:ascii="Times New Roman" w:hAnsi="Times New Roman" w:cs="Times New Roman"/>
                <w:b w:val="0"/>
                <w:bCs w:val="0"/>
                <w:sz w:val="21"/>
                <w:szCs w:val="21"/>
              </w:rPr>
            </w:pPr>
            <w:r>
              <w:rPr>
                <w:rFonts w:hint="eastAsia" w:ascii="Times New Roman" w:hAnsi="Times New Roman" w:cs="Times New Roman"/>
                <w:b w:val="0"/>
                <w:bCs w:val="0"/>
                <w:sz w:val="21"/>
                <w:szCs w:val="21"/>
                <w:lang w:val="en-US" w:eastAsia="zh-CN"/>
              </w:rPr>
              <w:t>4</w:t>
            </w:r>
          </w:p>
        </w:tc>
        <w:tc>
          <w:tcPr>
            <w:tcW w:w="2162" w:type="dxa"/>
            <w:vAlign w:val="center"/>
          </w:tcPr>
          <w:p>
            <w:pPr>
              <w:keepNext w:val="0"/>
              <w:keepLines w:val="0"/>
              <w:suppressLineNumbers w:val="0"/>
              <w:spacing w:before="0" w:beforeAutospacing="0" w:after="0" w:afterAutospacing="0" w:line="300" w:lineRule="exact"/>
              <w:ind w:left="0" w:leftChars="0" w:right="0" w:rightChars="0"/>
              <w:jc w:val="center"/>
              <w:rPr>
                <w:rFonts w:hint="default" w:ascii="Times New Roman" w:hAnsi="Times New Roman" w:eastAsia="宋体" w:cs="Times New Roman"/>
                <w:b w:val="0"/>
                <w:bCs w:val="0"/>
                <w:sz w:val="21"/>
                <w:szCs w:val="21"/>
                <w:lang w:val="zh-CN" w:eastAsia="zh-CN" w:bidi="zh-CN"/>
              </w:rPr>
            </w:pPr>
            <w:r>
              <w:rPr>
                <w:rFonts w:hint="default" w:ascii="Times New Roman" w:hAnsi="Times New Roman" w:cs="Times New Roman"/>
                <w:color w:val="000000"/>
                <w:kern w:val="1"/>
              </w:rPr>
              <w:t>液位监测报警系统</w:t>
            </w:r>
          </w:p>
        </w:tc>
        <w:tc>
          <w:tcPr>
            <w:tcW w:w="1958" w:type="dxa"/>
            <w:vAlign w:val="center"/>
          </w:tcPr>
          <w:p>
            <w:pPr>
              <w:keepNext w:val="0"/>
              <w:keepLines w:val="0"/>
              <w:suppressLineNumbers w:val="0"/>
              <w:spacing w:before="0" w:beforeAutospacing="0" w:after="0" w:afterAutospacing="0" w:line="300" w:lineRule="exact"/>
              <w:ind w:left="0" w:leftChars="0" w:right="0" w:rightChars="0"/>
              <w:jc w:val="center"/>
              <w:rPr>
                <w:rFonts w:hint="default" w:ascii="Times New Roman" w:hAnsi="Times New Roman" w:eastAsia="宋体" w:cs="Times New Roman"/>
                <w:b w:val="0"/>
                <w:bCs w:val="0"/>
                <w:sz w:val="21"/>
                <w:szCs w:val="21"/>
                <w:lang w:val="zh-CN" w:eastAsia="zh-CN" w:bidi="zh-CN"/>
              </w:rPr>
            </w:pPr>
            <w:r>
              <w:rPr>
                <w:rFonts w:hint="default" w:ascii="Times New Roman" w:hAnsi="Times New Roman" w:cs="Times New Roman"/>
                <w:color w:val="000000"/>
                <w:kern w:val="1"/>
              </w:rPr>
              <w:t>--</w:t>
            </w:r>
          </w:p>
        </w:tc>
        <w:tc>
          <w:tcPr>
            <w:tcW w:w="900" w:type="dxa"/>
            <w:vAlign w:val="center"/>
          </w:tcPr>
          <w:p>
            <w:pPr>
              <w:keepNext w:val="0"/>
              <w:keepLines w:val="0"/>
              <w:suppressLineNumbers w:val="0"/>
              <w:spacing w:before="0" w:beforeAutospacing="0" w:after="0" w:afterAutospacing="0" w:line="300" w:lineRule="exact"/>
              <w:ind w:left="0" w:leftChars="0" w:right="0" w:rightChars="0"/>
              <w:jc w:val="center"/>
              <w:rPr>
                <w:rFonts w:hint="default" w:ascii="Times New Roman" w:hAnsi="Times New Roman" w:eastAsia="宋体" w:cs="Times New Roman"/>
                <w:b w:val="0"/>
                <w:bCs w:val="0"/>
                <w:sz w:val="21"/>
                <w:szCs w:val="21"/>
                <w:lang w:val="zh-CN" w:eastAsia="zh-CN" w:bidi="zh-CN"/>
              </w:rPr>
            </w:pPr>
            <w:r>
              <w:rPr>
                <w:rFonts w:hint="default" w:ascii="Times New Roman" w:hAnsi="Times New Roman" w:cs="Times New Roman"/>
                <w:color w:val="000000"/>
                <w:kern w:val="1"/>
              </w:rPr>
              <w:t>1</w:t>
            </w:r>
          </w:p>
        </w:tc>
        <w:tc>
          <w:tcPr>
            <w:tcW w:w="855" w:type="dxa"/>
            <w:vAlign w:val="center"/>
          </w:tcPr>
          <w:p>
            <w:pPr>
              <w:keepNext w:val="0"/>
              <w:keepLines w:val="0"/>
              <w:suppressLineNumbers w:val="0"/>
              <w:spacing w:before="0" w:beforeAutospacing="0" w:after="0" w:afterAutospacing="0" w:line="300" w:lineRule="exact"/>
              <w:ind w:left="0" w:leftChars="0" w:right="0" w:rightChars="0"/>
              <w:jc w:val="center"/>
              <w:rPr>
                <w:rFonts w:hint="default" w:ascii="Times New Roman" w:hAnsi="Times New Roman" w:eastAsia="宋体" w:cs="Times New Roman"/>
                <w:b w:val="0"/>
                <w:bCs w:val="0"/>
                <w:sz w:val="21"/>
                <w:szCs w:val="21"/>
                <w:lang w:val="zh-CN" w:eastAsia="zh-CN" w:bidi="zh-CN"/>
              </w:rPr>
            </w:pPr>
            <w:r>
              <w:rPr>
                <w:rFonts w:hint="default" w:ascii="Times New Roman" w:hAnsi="Times New Roman" w:cs="Times New Roman"/>
                <w:color w:val="000000"/>
                <w:kern w:val="1"/>
              </w:rPr>
              <w:t>套</w:t>
            </w:r>
          </w:p>
        </w:tc>
        <w:tc>
          <w:tcPr>
            <w:tcW w:w="2283" w:type="dxa"/>
            <w:vAlign w:val="center"/>
          </w:tcPr>
          <w:p>
            <w:pPr>
              <w:keepNext w:val="0"/>
              <w:keepLines w:val="0"/>
              <w:suppressLineNumbers w:val="0"/>
              <w:spacing w:before="0" w:beforeAutospacing="0" w:after="0" w:afterAutospacing="0" w:line="300" w:lineRule="exact"/>
              <w:ind w:left="0" w:leftChars="0" w:right="0" w:rightChars="0"/>
              <w:jc w:val="center"/>
              <w:rPr>
                <w:rFonts w:hint="default" w:ascii="Times New Roman" w:hAnsi="Times New Roman" w:eastAsia="宋体" w:cs="Times New Roman"/>
                <w:b w:val="0"/>
                <w:bCs w:val="0"/>
                <w:sz w:val="21"/>
                <w:szCs w:val="21"/>
                <w:lang w:val="zh-CN" w:eastAsia="zh-CN" w:bidi="zh-CN"/>
              </w:rPr>
            </w:pPr>
            <w:r>
              <w:rPr>
                <w:rFonts w:hint="default" w:ascii="Times New Roman" w:hAnsi="Times New Roman" w:cs="Times New Roman"/>
                <w:color w:val="000000"/>
                <w:kern w:val="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05" w:type="dxa"/>
            <w:vAlign w:val="center"/>
          </w:tcPr>
          <w:p>
            <w:pPr>
              <w:pStyle w:val="38"/>
              <w:keepNext w:val="0"/>
              <w:keepLines w:val="0"/>
              <w:suppressLineNumbers w:val="0"/>
              <w:spacing w:before="0" w:beforeAutospacing="0" w:after="0" w:afterAutospacing="0"/>
              <w:ind w:left="78" w:leftChars="0" w:right="69" w:rightChars="0"/>
              <w:jc w:val="center"/>
              <w:rPr>
                <w:rFonts w:hint="default" w:ascii="Times New Roman" w:hAnsi="Times New Roman" w:cs="Times New Roman"/>
                <w:b w:val="0"/>
                <w:bCs w:val="0"/>
                <w:sz w:val="21"/>
                <w:szCs w:val="21"/>
              </w:rPr>
            </w:pPr>
            <w:r>
              <w:rPr>
                <w:rFonts w:hint="default" w:ascii="Times New Roman" w:hAnsi="Times New Roman" w:cs="Times New Roman"/>
                <w:b w:val="0"/>
                <w:bCs w:val="0"/>
                <w:sz w:val="21"/>
                <w:szCs w:val="21"/>
              </w:rPr>
              <w:t>5</w:t>
            </w:r>
          </w:p>
        </w:tc>
        <w:tc>
          <w:tcPr>
            <w:tcW w:w="2162" w:type="dxa"/>
            <w:vAlign w:val="center"/>
          </w:tcPr>
          <w:p>
            <w:pPr>
              <w:keepNext w:val="0"/>
              <w:keepLines w:val="0"/>
              <w:suppressLineNumbers w:val="0"/>
              <w:spacing w:before="0" w:beforeAutospacing="0" w:after="0" w:afterAutospacing="0" w:line="300" w:lineRule="exact"/>
              <w:ind w:left="0" w:leftChars="0" w:right="0" w:rightChars="0"/>
              <w:jc w:val="center"/>
              <w:rPr>
                <w:rFonts w:hint="default" w:ascii="Times New Roman" w:hAnsi="Times New Roman" w:eastAsia="宋体" w:cs="Times New Roman"/>
                <w:b w:val="0"/>
                <w:bCs w:val="0"/>
                <w:sz w:val="21"/>
                <w:szCs w:val="21"/>
                <w:lang w:val="zh-CN" w:eastAsia="zh-CN" w:bidi="zh-CN"/>
              </w:rPr>
            </w:pPr>
            <w:r>
              <w:rPr>
                <w:rFonts w:hint="default" w:ascii="Times New Roman" w:hAnsi="Times New Roman" w:cs="Times New Roman"/>
                <w:color w:val="000000"/>
                <w:kern w:val="1"/>
              </w:rPr>
              <w:t>渗漏监测报警系统</w:t>
            </w:r>
          </w:p>
        </w:tc>
        <w:tc>
          <w:tcPr>
            <w:tcW w:w="1958" w:type="dxa"/>
            <w:vAlign w:val="center"/>
          </w:tcPr>
          <w:p>
            <w:pPr>
              <w:keepNext w:val="0"/>
              <w:keepLines w:val="0"/>
              <w:suppressLineNumbers w:val="0"/>
              <w:spacing w:before="0" w:beforeAutospacing="0" w:after="0" w:afterAutospacing="0" w:line="300" w:lineRule="exact"/>
              <w:ind w:left="0" w:leftChars="0" w:right="0" w:rightChars="0"/>
              <w:jc w:val="center"/>
              <w:rPr>
                <w:rFonts w:hint="default" w:ascii="Times New Roman" w:hAnsi="Times New Roman" w:eastAsia="宋体" w:cs="Times New Roman"/>
                <w:b w:val="0"/>
                <w:bCs w:val="0"/>
                <w:sz w:val="21"/>
                <w:szCs w:val="21"/>
                <w:lang w:val="zh-CN" w:eastAsia="zh-CN" w:bidi="zh-CN"/>
              </w:rPr>
            </w:pPr>
            <w:r>
              <w:rPr>
                <w:rFonts w:hint="default" w:ascii="Times New Roman" w:hAnsi="Times New Roman" w:cs="Times New Roman"/>
                <w:color w:val="000000"/>
                <w:kern w:val="1"/>
              </w:rPr>
              <w:t>--</w:t>
            </w:r>
          </w:p>
        </w:tc>
        <w:tc>
          <w:tcPr>
            <w:tcW w:w="900" w:type="dxa"/>
            <w:vAlign w:val="center"/>
          </w:tcPr>
          <w:p>
            <w:pPr>
              <w:keepNext w:val="0"/>
              <w:keepLines w:val="0"/>
              <w:suppressLineNumbers w:val="0"/>
              <w:spacing w:before="0" w:beforeAutospacing="0" w:after="0" w:afterAutospacing="0" w:line="300" w:lineRule="exact"/>
              <w:ind w:left="0" w:leftChars="0" w:right="0" w:rightChars="0"/>
              <w:jc w:val="center"/>
              <w:rPr>
                <w:rFonts w:hint="default" w:ascii="Times New Roman" w:hAnsi="Times New Roman" w:eastAsia="宋体" w:cs="Times New Roman"/>
                <w:b w:val="0"/>
                <w:bCs w:val="0"/>
                <w:sz w:val="21"/>
                <w:szCs w:val="21"/>
                <w:lang w:val="zh-CN" w:eastAsia="zh-CN" w:bidi="zh-CN"/>
              </w:rPr>
            </w:pPr>
            <w:r>
              <w:rPr>
                <w:rFonts w:hint="default" w:ascii="Times New Roman" w:hAnsi="Times New Roman" w:cs="Times New Roman"/>
                <w:color w:val="000000"/>
                <w:kern w:val="1"/>
              </w:rPr>
              <w:t>1</w:t>
            </w:r>
          </w:p>
        </w:tc>
        <w:tc>
          <w:tcPr>
            <w:tcW w:w="855" w:type="dxa"/>
            <w:vAlign w:val="center"/>
          </w:tcPr>
          <w:p>
            <w:pPr>
              <w:keepNext w:val="0"/>
              <w:keepLines w:val="0"/>
              <w:suppressLineNumbers w:val="0"/>
              <w:spacing w:before="0" w:beforeAutospacing="0" w:after="0" w:afterAutospacing="0" w:line="300" w:lineRule="exact"/>
              <w:ind w:left="0" w:leftChars="0" w:right="0" w:rightChars="0"/>
              <w:jc w:val="center"/>
              <w:rPr>
                <w:rFonts w:hint="default" w:ascii="Times New Roman" w:hAnsi="Times New Roman" w:eastAsia="宋体" w:cs="Times New Roman"/>
                <w:b w:val="0"/>
                <w:bCs w:val="0"/>
                <w:sz w:val="21"/>
                <w:szCs w:val="21"/>
                <w:lang w:val="zh-CN" w:eastAsia="zh-CN" w:bidi="zh-CN"/>
              </w:rPr>
            </w:pPr>
            <w:r>
              <w:rPr>
                <w:rFonts w:hint="default" w:ascii="Times New Roman" w:hAnsi="Times New Roman" w:cs="Times New Roman"/>
                <w:color w:val="000000"/>
                <w:kern w:val="1"/>
              </w:rPr>
              <w:t>套</w:t>
            </w:r>
          </w:p>
        </w:tc>
        <w:tc>
          <w:tcPr>
            <w:tcW w:w="2283" w:type="dxa"/>
            <w:vAlign w:val="center"/>
          </w:tcPr>
          <w:p>
            <w:pPr>
              <w:keepNext w:val="0"/>
              <w:keepLines w:val="0"/>
              <w:suppressLineNumbers w:val="0"/>
              <w:spacing w:before="0" w:beforeAutospacing="0" w:after="0" w:afterAutospacing="0" w:line="300" w:lineRule="exact"/>
              <w:ind w:left="0" w:leftChars="0" w:right="0" w:rightChars="0"/>
              <w:jc w:val="center"/>
              <w:rPr>
                <w:rFonts w:hint="default" w:ascii="Times New Roman" w:hAnsi="Times New Roman" w:eastAsia="宋体" w:cs="Times New Roman"/>
                <w:b w:val="0"/>
                <w:bCs w:val="0"/>
                <w:sz w:val="21"/>
                <w:szCs w:val="21"/>
                <w:lang w:val="zh-CN" w:eastAsia="zh-CN" w:bidi="zh-CN"/>
              </w:rPr>
            </w:pPr>
            <w:r>
              <w:rPr>
                <w:rFonts w:hint="default" w:ascii="Times New Roman" w:hAnsi="Times New Roman" w:cs="Times New Roman"/>
                <w:color w:val="000000"/>
                <w:kern w:val="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05" w:type="dxa"/>
            <w:vAlign w:val="center"/>
          </w:tcPr>
          <w:p>
            <w:pPr>
              <w:pStyle w:val="38"/>
              <w:keepNext w:val="0"/>
              <w:keepLines w:val="0"/>
              <w:suppressLineNumbers w:val="0"/>
              <w:spacing w:before="0" w:beforeAutospacing="0" w:after="0" w:afterAutospacing="0"/>
              <w:ind w:left="78" w:leftChars="0" w:right="69" w:rightChars="0"/>
              <w:jc w:val="center"/>
              <w:rPr>
                <w:rFonts w:hint="default" w:ascii="Times New Roman" w:hAnsi="Times New Roman" w:cs="Times New Roman"/>
                <w:b w:val="0"/>
                <w:bCs w:val="0"/>
                <w:sz w:val="21"/>
                <w:szCs w:val="21"/>
              </w:rPr>
            </w:pPr>
            <w:r>
              <w:rPr>
                <w:rFonts w:hint="default" w:ascii="Times New Roman" w:hAnsi="Times New Roman" w:cs="Times New Roman"/>
                <w:b w:val="0"/>
                <w:bCs w:val="0"/>
                <w:sz w:val="21"/>
                <w:szCs w:val="21"/>
              </w:rPr>
              <w:t>6</w:t>
            </w:r>
          </w:p>
        </w:tc>
        <w:tc>
          <w:tcPr>
            <w:tcW w:w="2162" w:type="dxa"/>
            <w:vAlign w:val="center"/>
          </w:tcPr>
          <w:p>
            <w:pPr>
              <w:keepNext w:val="0"/>
              <w:keepLines w:val="0"/>
              <w:suppressLineNumbers w:val="0"/>
              <w:spacing w:before="0" w:beforeAutospacing="0" w:after="0" w:afterAutospacing="0" w:line="300" w:lineRule="exact"/>
              <w:ind w:left="0" w:leftChars="0" w:right="0" w:rightChars="0"/>
              <w:jc w:val="center"/>
              <w:rPr>
                <w:rFonts w:hint="default" w:ascii="Times New Roman" w:hAnsi="Times New Roman" w:eastAsia="宋体" w:cs="Times New Roman"/>
                <w:b w:val="0"/>
                <w:bCs w:val="0"/>
                <w:sz w:val="21"/>
                <w:szCs w:val="21"/>
                <w:highlight w:val="none"/>
                <w:lang w:val="zh-CN" w:eastAsia="zh-CN" w:bidi="zh-CN"/>
              </w:rPr>
            </w:pPr>
            <w:r>
              <w:rPr>
                <w:rFonts w:hint="default" w:ascii="Times New Roman" w:hAnsi="Times New Roman" w:cs="Times New Roman"/>
                <w:color w:val="000000"/>
                <w:kern w:val="1"/>
              </w:rPr>
              <w:t>潜油泵</w:t>
            </w:r>
          </w:p>
        </w:tc>
        <w:tc>
          <w:tcPr>
            <w:tcW w:w="1958" w:type="dxa"/>
            <w:vAlign w:val="center"/>
          </w:tcPr>
          <w:p>
            <w:pPr>
              <w:keepNext w:val="0"/>
              <w:keepLines w:val="0"/>
              <w:suppressLineNumbers w:val="0"/>
              <w:spacing w:before="0" w:beforeAutospacing="0" w:after="0" w:afterAutospacing="0" w:line="300" w:lineRule="exact"/>
              <w:ind w:left="0" w:leftChars="0" w:right="0" w:rightChars="0"/>
              <w:jc w:val="center"/>
              <w:rPr>
                <w:rFonts w:hint="default" w:ascii="Times New Roman" w:hAnsi="Times New Roman" w:eastAsia="宋体" w:cs="Times New Roman"/>
                <w:b w:val="0"/>
                <w:bCs w:val="0"/>
                <w:sz w:val="21"/>
                <w:szCs w:val="21"/>
                <w:highlight w:val="none"/>
                <w:lang w:val="zh-CN" w:eastAsia="zh-CN" w:bidi="zh-CN"/>
              </w:rPr>
            </w:pPr>
            <w:r>
              <w:rPr>
                <w:rFonts w:hint="default" w:ascii="Times New Roman" w:hAnsi="Times New Roman" w:cs="Times New Roman"/>
                <w:color w:val="000000"/>
                <w:kern w:val="1"/>
              </w:rPr>
              <w:t>--</w:t>
            </w:r>
          </w:p>
        </w:tc>
        <w:tc>
          <w:tcPr>
            <w:tcW w:w="900" w:type="dxa"/>
            <w:vAlign w:val="center"/>
          </w:tcPr>
          <w:p>
            <w:pPr>
              <w:keepNext w:val="0"/>
              <w:keepLines w:val="0"/>
              <w:suppressLineNumbers w:val="0"/>
              <w:spacing w:before="0" w:beforeAutospacing="0" w:after="0" w:afterAutospacing="0" w:line="300" w:lineRule="exact"/>
              <w:ind w:left="0" w:leftChars="0" w:right="0" w:rightChars="0"/>
              <w:jc w:val="center"/>
              <w:rPr>
                <w:rFonts w:hint="default" w:ascii="Times New Roman" w:hAnsi="Times New Roman" w:eastAsia="宋体" w:cs="Times New Roman"/>
                <w:b w:val="0"/>
                <w:bCs w:val="0"/>
                <w:sz w:val="21"/>
                <w:szCs w:val="21"/>
                <w:highlight w:val="none"/>
                <w:lang w:val="zh-CN" w:eastAsia="zh-CN" w:bidi="zh-CN"/>
              </w:rPr>
            </w:pPr>
            <w:r>
              <w:rPr>
                <w:rFonts w:hint="eastAsia" w:ascii="Times New Roman" w:hAnsi="Times New Roman" w:cs="Times New Roman"/>
                <w:color w:val="000000"/>
                <w:kern w:val="1"/>
                <w:lang w:val="en-US" w:eastAsia="zh-CN"/>
              </w:rPr>
              <w:t>4</w:t>
            </w:r>
          </w:p>
        </w:tc>
        <w:tc>
          <w:tcPr>
            <w:tcW w:w="855" w:type="dxa"/>
            <w:vAlign w:val="center"/>
          </w:tcPr>
          <w:p>
            <w:pPr>
              <w:keepNext w:val="0"/>
              <w:keepLines w:val="0"/>
              <w:suppressLineNumbers w:val="0"/>
              <w:spacing w:before="0" w:beforeAutospacing="0" w:after="0" w:afterAutospacing="0" w:line="300" w:lineRule="exact"/>
              <w:ind w:left="0" w:leftChars="0" w:right="0" w:rightChars="0"/>
              <w:jc w:val="center"/>
              <w:rPr>
                <w:rFonts w:hint="default" w:ascii="Times New Roman" w:hAnsi="Times New Roman" w:eastAsia="宋体" w:cs="Times New Roman"/>
                <w:b w:val="0"/>
                <w:bCs w:val="0"/>
                <w:sz w:val="21"/>
                <w:szCs w:val="21"/>
                <w:highlight w:val="none"/>
                <w:lang w:val="zh-CN" w:eastAsia="zh-CN" w:bidi="zh-CN"/>
              </w:rPr>
            </w:pPr>
            <w:r>
              <w:rPr>
                <w:rFonts w:hint="default" w:ascii="Times New Roman" w:hAnsi="Times New Roman" w:cs="Times New Roman"/>
                <w:color w:val="000000"/>
                <w:kern w:val="1"/>
              </w:rPr>
              <w:t>台</w:t>
            </w:r>
          </w:p>
        </w:tc>
        <w:tc>
          <w:tcPr>
            <w:tcW w:w="2283" w:type="dxa"/>
            <w:vAlign w:val="center"/>
          </w:tcPr>
          <w:p>
            <w:pPr>
              <w:keepNext w:val="0"/>
              <w:keepLines w:val="0"/>
              <w:suppressLineNumbers w:val="0"/>
              <w:spacing w:before="0" w:beforeAutospacing="0" w:after="0" w:afterAutospacing="0" w:line="300" w:lineRule="exact"/>
              <w:ind w:left="0" w:leftChars="0" w:right="0" w:rightChars="0"/>
              <w:jc w:val="center"/>
              <w:rPr>
                <w:rFonts w:hint="default" w:ascii="Times New Roman" w:hAnsi="Times New Roman" w:eastAsia="宋体" w:cs="Times New Roman"/>
                <w:b w:val="0"/>
                <w:bCs w:val="0"/>
                <w:sz w:val="21"/>
                <w:szCs w:val="21"/>
                <w:highlight w:val="none"/>
                <w:lang w:val="zh-CN" w:eastAsia="zh-CN" w:bidi="zh-CN"/>
              </w:rPr>
            </w:pPr>
            <w:r>
              <w:rPr>
                <w:rFonts w:hint="default" w:ascii="Times New Roman" w:hAnsi="Times New Roman" w:cs="Times New Roman"/>
                <w:color w:val="000000"/>
                <w:kern w:val="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05" w:type="dxa"/>
            <w:vAlign w:val="center"/>
          </w:tcPr>
          <w:p>
            <w:pPr>
              <w:pStyle w:val="38"/>
              <w:keepNext w:val="0"/>
              <w:keepLines w:val="0"/>
              <w:suppressLineNumbers w:val="0"/>
              <w:spacing w:before="0" w:beforeAutospacing="0" w:after="0" w:afterAutospacing="0"/>
              <w:ind w:left="78" w:leftChars="0" w:right="69" w:rightChars="0"/>
              <w:jc w:val="center"/>
              <w:rPr>
                <w:rFonts w:hint="default" w:ascii="Times New Roman" w:hAnsi="Times New Roman" w:cs="Times New Roman"/>
                <w:b w:val="0"/>
                <w:bCs w:val="0"/>
                <w:sz w:val="21"/>
                <w:szCs w:val="21"/>
                <w:highlight w:val="none"/>
              </w:rPr>
            </w:pPr>
            <w:r>
              <w:rPr>
                <w:rFonts w:hint="eastAsia" w:ascii="Times New Roman" w:hAnsi="Times New Roman" w:cs="Times New Roman"/>
                <w:b w:val="0"/>
                <w:bCs w:val="0"/>
                <w:sz w:val="21"/>
                <w:szCs w:val="21"/>
                <w:highlight w:val="none"/>
                <w:lang w:val="en-US" w:eastAsia="zh-CN"/>
              </w:rPr>
              <w:t>7</w:t>
            </w:r>
          </w:p>
        </w:tc>
        <w:tc>
          <w:tcPr>
            <w:tcW w:w="2162" w:type="dxa"/>
            <w:vAlign w:val="center"/>
          </w:tcPr>
          <w:p>
            <w:pPr>
              <w:pStyle w:val="38"/>
              <w:keepNext w:val="0"/>
              <w:keepLines w:val="0"/>
              <w:suppressLineNumbers w:val="0"/>
              <w:spacing w:before="0" w:beforeAutospacing="0" w:after="0" w:afterAutospacing="0"/>
              <w:ind w:left="78" w:leftChars="0" w:right="69" w:rightChars="0"/>
              <w:jc w:val="center"/>
              <w:rPr>
                <w:rFonts w:hint="default" w:ascii="Times New Roman" w:hAnsi="Times New Roman" w:eastAsia="宋体" w:cs="Times New Roman"/>
                <w:b w:val="0"/>
                <w:bCs w:val="0"/>
                <w:sz w:val="21"/>
                <w:szCs w:val="21"/>
                <w:highlight w:val="none"/>
                <w:lang w:val="zh-CN" w:eastAsia="zh-CN" w:bidi="zh-CN"/>
              </w:rPr>
            </w:pPr>
            <w:r>
              <w:rPr>
                <w:rFonts w:hint="eastAsia" w:ascii="Times New Roman" w:hAnsi="Times New Roman" w:cs="Times New Roman"/>
                <w:b w:val="0"/>
                <w:bCs w:val="0"/>
                <w:sz w:val="21"/>
                <w:szCs w:val="21"/>
                <w:highlight w:val="none"/>
                <w:lang w:eastAsia="zh-CN"/>
              </w:rPr>
              <w:t>洗车机</w:t>
            </w:r>
          </w:p>
        </w:tc>
        <w:tc>
          <w:tcPr>
            <w:tcW w:w="1958" w:type="dxa"/>
            <w:vAlign w:val="center"/>
          </w:tcPr>
          <w:p>
            <w:pPr>
              <w:pStyle w:val="38"/>
              <w:keepNext w:val="0"/>
              <w:keepLines w:val="0"/>
              <w:suppressLineNumbers w:val="0"/>
              <w:spacing w:before="0" w:beforeAutospacing="0" w:after="0" w:afterAutospacing="0"/>
              <w:ind w:left="78" w:leftChars="0" w:right="69" w:rightChars="0"/>
              <w:jc w:val="center"/>
              <w:rPr>
                <w:rFonts w:hint="default" w:ascii="Times New Roman" w:hAnsi="Times New Roman" w:eastAsia="宋体" w:cs="Times New Roman"/>
                <w:b w:val="0"/>
                <w:bCs w:val="0"/>
                <w:sz w:val="21"/>
                <w:szCs w:val="21"/>
                <w:highlight w:val="none"/>
                <w:lang w:val="zh-CN" w:eastAsia="zh-CN" w:bidi="zh-CN"/>
              </w:rPr>
            </w:pPr>
          </w:p>
        </w:tc>
        <w:tc>
          <w:tcPr>
            <w:tcW w:w="900" w:type="dxa"/>
            <w:vAlign w:val="center"/>
          </w:tcPr>
          <w:p>
            <w:pPr>
              <w:pStyle w:val="38"/>
              <w:keepNext w:val="0"/>
              <w:keepLines w:val="0"/>
              <w:suppressLineNumbers w:val="0"/>
              <w:spacing w:before="0" w:beforeAutospacing="0" w:after="0" w:afterAutospacing="0"/>
              <w:ind w:left="78" w:leftChars="0" w:right="69" w:rightChars="0"/>
              <w:jc w:val="center"/>
              <w:rPr>
                <w:rFonts w:hint="eastAsia" w:ascii="Times New Roman" w:hAnsi="Times New Roman" w:eastAsia="宋体" w:cs="Times New Roman"/>
                <w:b w:val="0"/>
                <w:bCs w:val="0"/>
                <w:sz w:val="21"/>
                <w:szCs w:val="21"/>
                <w:highlight w:val="none"/>
                <w:lang w:val="en-US" w:eastAsia="zh-CN" w:bidi="zh-CN"/>
              </w:rPr>
            </w:pPr>
            <w:r>
              <w:rPr>
                <w:rFonts w:hint="eastAsia" w:ascii="Times New Roman" w:hAnsi="Times New Roman" w:cs="Times New Roman"/>
                <w:b w:val="0"/>
                <w:bCs w:val="0"/>
                <w:sz w:val="21"/>
                <w:szCs w:val="21"/>
                <w:highlight w:val="none"/>
                <w:lang w:val="en-US" w:eastAsia="zh-CN"/>
              </w:rPr>
              <w:t>1</w:t>
            </w:r>
          </w:p>
        </w:tc>
        <w:tc>
          <w:tcPr>
            <w:tcW w:w="855" w:type="dxa"/>
            <w:vAlign w:val="center"/>
          </w:tcPr>
          <w:p>
            <w:pPr>
              <w:pStyle w:val="38"/>
              <w:keepNext w:val="0"/>
              <w:keepLines w:val="0"/>
              <w:suppressLineNumbers w:val="0"/>
              <w:spacing w:before="0" w:beforeAutospacing="0" w:after="0" w:afterAutospacing="0"/>
              <w:ind w:left="78" w:leftChars="0" w:right="69" w:rightChars="0"/>
              <w:jc w:val="center"/>
              <w:rPr>
                <w:rFonts w:hint="default" w:ascii="Times New Roman" w:hAnsi="Times New Roman" w:eastAsia="宋体" w:cs="Times New Roman"/>
                <w:b w:val="0"/>
                <w:bCs w:val="0"/>
                <w:sz w:val="21"/>
                <w:szCs w:val="21"/>
                <w:highlight w:val="none"/>
                <w:lang w:val="zh-CN" w:eastAsia="zh-CN" w:bidi="zh-CN"/>
              </w:rPr>
            </w:pPr>
            <w:r>
              <w:rPr>
                <w:rFonts w:hint="eastAsia" w:ascii="Times New Roman" w:hAnsi="Times New Roman" w:cs="Times New Roman"/>
                <w:b w:val="0"/>
                <w:bCs w:val="0"/>
                <w:sz w:val="21"/>
                <w:szCs w:val="21"/>
                <w:highlight w:val="none"/>
                <w:lang w:eastAsia="zh-CN"/>
              </w:rPr>
              <w:t>台</w:t>
            </w:r>
          </w:p>
        </w:tc>
        <w:tc>
          <w:tcPr>
            <w:tcW w:w="2283" w:type="dxa"/>
            <w:vAlign w:val="center"/>
          </w:tcPr>
          <w:p>
            <w:pPr>
              <w:pStyle w:val="38"/>
              <w:keepNext w:val="0"/>
              <w:keepLines w:val="0"/>
              <w:suppressLineNumbers w:val="0"/>
              <w:spacing w:before="0" w:beforeAutospacing="0" w:after="0" w:afterAutospacing="0"/>
              <w:ind w:left="78" w:leftChars="0" w:right="69" w:rightChars="0"/>
              <w:jc w:val="center"/>
              <w:rPr>
                <w:rFonts w:hint="default" w:ascii="Times New Roman" w:hAnsi="Times New Roman" w:eastAsia="宋体" w:cs="Times New Roman"/>
                <w:b w:val="0"/>
                <w:bCs w:val="0"/>
                <w:sz w:val="21"/>
                <w:szCs w:val="21"/>
                <w:highlight w:val="none"/>
                <w:lang w:val="zh-CN" w:eastAsia="zh-CN" w:bidi="zh-CN"/>
              </w:rPr>
            </w:pPr>
            <w:r>
              <w:rPr>
                <w:rFonts w:hint="eastAsia" w:ascii="Times New Roman" w:hAnsi="Times New Roman" w:cs="Times New Roman"/>
                <w:b w:val="0"/>
                <w:bCs w:val="0"/>
                <w:sz w:val="21"/>
                <w:szCs w:val="21"/>
                <w:highlight w:val="none"/>
                <w:lang w:eastAsia="zh-CN"/>
              </w:rPr>
              <w:t>成套设备</w:t>
            </w:r>
          </w:p>
        </w:tc>
      </w:tr>
    </w:tbl>
    <w:p>
      <w:pPr>
        <w:pStyle w:val="11"/>
        <w:rPr>
          <w:rFonts w:hint="default" w:ascii="Times New Roman" w:hAnsi="Times New Roman" w:cs="Times New Roman"/>
          <w:lang w:val="en-US"/>
        </w:rPr>
      </w:pPr>
    </w:p>
    <w:bookmarkEnd w:id="451"/>
    <w:bookmarkEnd w:id="452"/>
    <w:p>
      <w:pPr>
        <w:spacing w:beforeLines="100" w:afterLines="100"/>
        <w:jc w:val="center"/>
        <w:outlineLvl w:val="1"/>
        <w:rPr>
          <w:rFonts w:hint="default" w:ascii="Times New Roman" w:hAnsi="Times New Roman" w:cs="Times New Roman"/>
          <w:b/>
          <w:sz w:val="32"/>
          <w:szCs w:val="32"/>
          <w:highlight w:val="none"/>
        </w:rPr>
      </w:pPr>
      <w:bookmarkStart w:id="461" w:name="_Toc108"/>
      <w:bookmarkStart w:id="462" w:name="_Toc31079"/>
      <w:bookmarkStart w:id="463" w:name="_Toc26714"/>
      <w:bookmarkStart w:id="464" w:name="_Toc29565_WPSOffice_Level2"/>
      <w:bookmarkStart w:id="465" w:name="_Toc17371"/>
      <w:bookmarkStart w:id="466" w:name="_Toc13055"/>
      <w:bookmarkStart w:id="467" w:name="_Toc7728_WPSOffice_Level2"/>
      <w:bookmarkStart w:id="468" w:name="_Toc8576"/>
      <w:bookmarkStart w:id="469" w:name="_Toc6224"/>
      <w:bookmarkStart w:id="470" w:name="_Toc18548"/>
      <w:bookmarkStart w:id="471" w:name="_Toc11778"/>
      <w:bookmarkStart w:id="472" w:name="_Toc20165"/>
      <w:bookmarkStart w:id="473" w:name="_Toc5467"/>
      <w:bookmarkStart w:id="474" w:name="_Toc7388"/>
      <w:bookmarkStart w:id="475" w:name="_Toc2759_WPSOffice_Level2"/>
      <w:bookmarkStart w:id="476" w:name="_Toc529176486"/>
      <w:bookmarkStart w:id="477" w:name="_Toc25922"/>
      <w:bookmarkStart w:id="478" w:name="_Toc31868"/>
      <w:bookmarkStart w:id="479" w:name="_Toc19038"/>
      <w:bookmarkStart w:id="480" w:name="_Toc25835"/>
      <w:bookmarkStart w:id="481" w:name="_Toc26617"/>
      <w:bookmarkStart w:id="482" w:name="_Toc20459"/>
      <w:bookmarkStart w:id="483" w:name="_Toc11516"/>
      <w:bookmarkStart w:id="484" w:name="_Toc567"/>
      <w:bookmarkStart w:id="485" w:name="_Toc3333"/>
      <w:bookmarkStart w:id="486" w:name="_Toc31974"/>
      <w:r>
        <w:rPr>
          <w:rFonts w:hint="default" w:ascii="Times New Roman" w:hAnsi="Times New Roman" w:cs="Times New Roman"/>
          <w:b/>
          <w:sz w:val="32"/>
          <w:szCs w:val="32"/>
          <w:highlight w:val="none"/>
        </w:rPr>
        <w:t>2.</w:t>
      </w:r>
      <w:r>
        <w:rPr>
          <w:rFonts w:hint="default" w:ascii="Times New Roman" w:hAnsi="Times New Roman" w:cs="Times New Roman"/>
          <w:b/>
          <w:sz w:val="32"/>
          <w:szCs w:val="32"/>
          <w:highlight w:val="none"/>
          <w:lang w:val="en-US"/>
        </w:rPr>
        <w:t>8</w:t>
      </w:r>
      <w:r>
        <w:rPr>
          <w:rFonts w:hint="default" w:ascii="Times New Roman" w:hAnsi="Times New Roman" w:cs="Times New Roman"/>
          <w:b/>
          <w:sz w:val="32"/>
          <w:szCs w:val="32"/>
          <w:highlight w:val="none"/>
        </w:rPr>
        <w:t>安全生产管理机构及安全管理制度</w:t>
      </w:r>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p>
    <w:p>
      <w:pPr>
        <w:spacing w:line="500" w:lineRule="exact"/>
        <w:ind w:firstLine="560" w:firstLineChars="200"/>
        <w:rPr>
          <w:rFonts w:hint="default" w:ascii="Times New Roman" w:hAnsi="Times New Roman" w:cs="Times New Roman"/>
          <w:sz w:val="28"/>
          <w:szCs w:val="28"/>
          <w:highlight w:val="none"/>
        </w:rPr>
      </w:pPr>
      <w:bookmarkStart w:id="487" w:name="_Toc29565_WPSOffice_Level3"/>
      <w:bookmarkStart w:id="488" w:name="_Toc23171_WPSOffice_Level3"/>
      <w:bookmarkStart w:id="489" w:name="_Toc14945_WPSOffice_Level3"/>
      <w:bookmarkStart w:id="490" w:name="_Toc25945_WPSOffice_Level3"/>
      <w:bookmarkStart w:id="491" w:name="_Hlk528255380"/>
      <w:r>
        <w:rPr>
          <w:rFonts w:hint="default" w:ascii="Times New Roman" w:hAnsi="Times New Roman" w:cs="Times New Roman"/>
          <w:sz w:val="28"/>
          <w:szCs w:val="28"/>
          <w:highlight w:val="none"/>
        </w:rPr>
        <w:t>1）安全生产管理机构的设置情况</w:t>
      </w:r>
      <w:bookmarkEnd w:id="487"/>
      <w:bookmarkEnd w:id="488"/>
      <w:bookmarkEnd w:id="489"/>
      <w:bookmarkEnd w:id="490"/>
    </w:p>
    <w:p>
      <w:pPr>
        <w:spacing w:line="500" w:lineRule="exact"/>
        <w:ind w:firstLine="532" w:firstLineChars="200"/>
        <w:rPr>
          <w:rFonts w:hint="default" w:ascii="Times New Roman" w:hAnsi="Times New Roman" w:cs="Times New Roman"/>
          <w:sz w:val="28"/>
          <w:szCs w:val="28"/>
          <w:highlight w:val="none"/>
        </w:rPr>
      </w:pPr>
      <w:r>
        <w:rPr>
          <w:rFonts w:hint="default" w:ascii="Times New Roman" w:hAnsi="Times New Roman" w:cs="Times New Roman"/>
          <w:spacing w:val="-7"/>
          <w:sz w:val="28"/>
          <w:szCs w:val="28"/>
          <w:highlight w:val="none"/>
        </w:rPr>
        <w:t>该加油站负责人：</w:t>
      </w:r>
      <w:r>
        <w:rPr>
          <w:rFonts w:hint="eastAsia" w:ascii="Times New Roman" w:hAnsi="Times New Roman" w:cs="Times New Roman"/>
          <w:spacing w:val="-7"/>
          <w:sz w:val="28"/>
          <w:szCs w:val="28"/>
          <w:highlight w:val="none"/>
          <w:lang w:eastAsia="zh-CN"/>
        </w:rPr>
        <w:t>郑宝森</w:t>
      </w:r>
      <w:r>
        <w:rPr>
          <w:rFonts w:hint="default" w:ascii="Times New Roman" w:hAnsi="Times New Roman" w:cs="Times New Roman"/>
          <w:spacing w:val="-7"/>
          <w:sz w:val="28"/>
          <w:szCs w:val="28"/>
          <w:highlight w:val="none"/>
        </w:rPr>
        <w:t>为加油站主要责任人。加油站建立了以主要负责人为第一责任人的安全管理小组和全体员工参加的义务消防安全及应急救援组织。</w:t>
      </w:r>
    </w:p>
    <w:p>
      <w:pPr>
        <w:adjustRightInd w:val="0"/>
        <w:snapToGrid w:val="0"/>
        <w:spacing w:line="500" w:lineRule="exact"/>
        <w:ind w:firstLine="560" w:firstLineChars="200"/>
        <w:rPr>
          <w:rFonts w:hint="default" w:ascii="Times New Roman" w:hAnsi="Times New Roman" w:cs="Times New Roman"/>
          <w:sz w:val="28"/>
          <w:szCs w:val="28"/>
          <w:highlight w:val="none"/>
        </w:rPr>
      </w:pPr>
      <w:bookmarkStart w:id="492" w:name="_Toc32699_WPSOffice_Level3"/>
      <w:bookmarkStart w:id="493" w:name="_Toc27546_WPSOffice_Level3"/>
      <w:bookmarkStart w:id="494" w:name="_Toc1722_WPSOffice_Level3"/>
      <w:bookmarkStart w:id="495" w:name="_Toc4007_WPSOffice_Level3"/>
      <w:r>
        <w:rPr>
          <w:rFonts w:hint="default" w:ascii="Times New Roman" w:hAnsi="Times New Roman" w:cs="Times New Roman"/>
          <w:sz w:val="28"/>
          <w:szCs w:val="28"/>
          <w:highlight w:val="none"/>
        </w:rPr>
        <w:t>2）该加油站设置主要负责人</w:t>
      </w:r>
      <w:r>
        <w:rPr>
          <w:rFonts w:hint="default" w:ascii="Times New Roman" w:hAnsi="Times New Roman" w:cs="Times New Roman"/>
          <w:sz w:val="28"/>
          <w:szCs w:val="28"/>
          <w:highlight w:val="none"/>
          <w:lang w:val="en-US"/>
        </w:rPr>
        <w:t>1</w:t>
      </w:r>
      <w:r>
        <w:rPr>
          <w:rFonts w:hint="default" w:ascii="Times New Roman" w:hAnsi="Times New Roman" w:cs="Times New Roman"/>
          <w:sz w:val="28"/>
          <w:szCs w:val="28"/>
          <w:highlight w:val="none"/>
        </w:rPr>
        <w:t>人，安全管理人员</w:t>
      </w:r>
      <w:r>
        <w:rPr>
          <w:rFonts w:hint="default" w:ascii="Times New Roman" w:hAnsi="Times New Roman" w:cs="Times New Roman"/>
          <w:sz w:val="28"/>
          <w:szCs w:val="28"/>
          <w:highlight w:val="none"/>
          <w:lang w:val="en-US"/>
        </w:rPr>
        <w:t>2人</w:t>
      </w:r>
      <w:r>
        <w:rPr>
          <w:rFonts w:hint="default" w:ascii="Times New Roman" w:hAnsi="Times New Roman" w:cs="Times New Roman"/>
          <w:sz w:val="28"/>
          <w:szCs w:val="28"/>
          <w:highlight w:val="none"/>
        </w:rPr>
        <w:t>。</w:t>
      </w:r>
      <w:bookmarkEnd w:id="492"/>
      <w:bookmarkEnd w:id="493"/>
      <w:bookmarkEnd w:id="494"/>
      <w:bookmarkEnd w:id="495"/>
    </w:p>
    <w:p>
      <w:pPr>
        <w:adjustRightInd w:val="0"/>
        <w:snapToGrid w:val="0"/>
        <w:spacing w:line="500" w:lineRule="exact"/>
        <w:ind w:firstLine="3640" w:firstLineChars="1300"/>
        <w:rPr>
          <w:rFonts w:hint="default" w:ascii="Times New Roman" w:hAnsi="Times New Roman" w:cs="Times New Roman"/>
          <w:sz w:val="28"/>
          <w:szCs w:val="28"/>
          <w:highlight w:val="none"/>
        </w:rPr>
      </w:pPr>
    </w:p>
    <w:p>
      <w:pPr>
        <w:adjustRightInd w:val="0"/>
        <w:snapToGrid w:val="0"/>
        <w:spacing w:line="500" w:lineRule="exact"/>
        <w:ind w:firstLine="3640" w:firstLineChars="1300"/>
        <w:rPr>
          <w:rFonts w:hint="default" w:ascii="Times New Roman" w:hAnsi="Times New Roman" w:cs="Times New Roman"/>
          <w:sz w:val="28"/>
          <w:szCs w:val="28"/>
          <w:highlight w:val="none"/>
        </w:rPr>
      </w:pPr>
      <w:r>
        <w:rPr>
          <w:rFonts w:hint="default" w:ascii="Times New Roman" w:hAnsi="Times New Roman" w:cs="Times New Roman"/>
          <w:sz w:val="28"/>
          <w:szCs w:val="28"/>
          <w:highlight w:val="none"/>
        </w:rPr>
        <w:t>表2</w:t>
      </w:r>
      <w:r>
        <w:rPr>
          <w:rFonts w:hint="default" w:ascii="Times New Roman" w:hAnsi="Times New Roman" w:cs="Times New Roman"/>
          <w:sz w:val="28"/>
          <w:szCs w:val="28"/>
          <w:highlight w:val="none"/>
          <w:lang w:val="en-US"/>
        </w:rPr>
        <w:t>.8</w:t>
      </w:r>
      <w:r>
        <w:rPr>
          <w:rFonts w:hint="default" w:ascii="Times New Roman" w:hAnsi="Times New Roman" w:cs="Times New Roman"/>
          <w:sz w:val="28"/>
          <w:szCs w:val="28"/>
          <w:highlight w:val="none"/>
        </w:rPr>
        <w:t>-1 人员持证情况表</w:t>
      </w:r>
    </w:p>
    <w:tbl>
      <w:tblPr>
        <w:tblStyle w:val="29"/>
        <w:tblW w:w="91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2"/>
        <w:gridCol w:w="1528"/>
        <w:gridCol w:w="2804"/>
        <w:gridCol w:w="2157"/>
        <w:gridCol w:w="16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jc w:val="center"/>
        </w:trPr>
        <w:tc>
          <w:tcPr>
            <w:tcW w:w="992" w:type="dxa"/>
            <w:shd w:val="clear" w:color="auto" w:fill="auto"/>
            <w:vAlign w:val="center"/>
          </w:tcPr>
          <w:p>
            <w:pPr>
              <w:pStyle w:val="23"/>
              <w:keepNext w:val="0"/>
              <w:keepLines w:val="0"/>
              <w:suppressLineNumbers w:val="0"/>
              <w:adjustRightInd w:val="0"/>
              <w:spacing w:before="0" w:beforeAutospacing="0" w:after="0" w:afterAutospacing="0"/>
              <w:ind w:left="0" w:leftChars="0" w:right="0"/>
              <w:jc w:val="center"/>
              <w:rPr>
                <w:rFonts w:hint="default"/>
                <w:color w:val="auto"/>
                <w:kern w:val="2"/>
                <w:sz w:val="21"/>
                <w:szCs w:val="21"/>
                <w:lang w:val="en-US"/>
              </w:rPr>
            </w:pPr>
            <w:bookmarkStart w:id="496" w:name="_Toc206825461"/>
            <w:bookmarkStart w:id="497" w:name="_Toc206513742"/>
            <w:r>
              <w:rPr>
                <w:rFonts w:hint="default"/>
                <w:color w:val="auto"/>
                <w:kern w:val="2"/>
                <w:sz w:val="21"/>
                <w:szCs w:val="21"/>
                <w:lang w:val="en-US"/>
              </w:rPr>
              <w:t>姓名</w:t>
            </w:r>
            <w:bookmarkEnd w:id="496"/>
            <w:bookmarkEnd w:id="497"/>
          </w:p>
        </w:tc>
        <w:tc>
          <w:tcPr>
            <w:tcW w:w="1528" w:type="dxa"/>
            <w:shd w:val="clear" w:color="auto" w:fill="auto"/>
            <w:vAlign w:val="center"/>
          </w:tcPr>
          <w:p>
            <w:pPr>
              <w:pStyle w:val="23"/>
              <w:keepNext w:val="0"/>
              <w:keepLines w:val="0"/>
              <w:suppressLineNumbers w:val="0"/>
              <w:adjustRightInd w:val="0"/>
              <w:spacing w:before="0" w:beforeAutospacing="0" w:after="0" w:afterAutospacing="0"/>
              <w:ind w:left="0" w:leftChars="0" w:right="0"/>
              <w:jc w:val="center"/>
              <w:rPr>
                <w:rFonts w:hint="default"/>
                <w:color w:val="auto"/>
                <w:kern w:val="2"/>
                <w:sz w:val="21"/>
                <w:szCs w:val="21"/>
                <w:lang w:val="en-US"/>
              </w:rPr>
            </w:pPr>
            <w:r>
              <w:rPr>
                <w:rFonts w:hint="default"/>
                <w:color w:val="auto"/>
                <w:kern w:val="2"/>
                <w:sz w:val="21"/>
                <w:szCs w:val="21"/>
                <w:lang w:val="en-US"/>
              </w:rPr>
              <w:t>资格类型</w:t>
            </w:r>
          </w:p>
        </w:tc>
        <w:tc>
          <w:tcPr>
            <w:tcW w:w="2804" w:type="dxa"/>
            <w:shd w:val="clear" w:color="auto" w:fill="auto"/>
            <w:vAlign w:val="center"/>
          </w:tcPr>
          <w:p>
            <w:pPr>
              <w:pStyle w:val="23"/>
              <w:keepNext w:val="0"/>
              <w:keepLines w:val="0"/>
              <w:suppressLineNumbers w:val="0"/>
              <w:adjustRightInd w:val="0"/>
              <w:spacing w:before="0" w:beforeAutospacing="0" w:after="0" w:afterAutospacing="0"/>
              <w:ind w:left="0" w:leftChars="0" w:right="0"/>
              <w:jc w:val="center"/>
              <w:rPr>
                <w:rFonts w:hint="default"/>
                <w:color w:val="auto"/>
                <w:kern w:val="2"/>
                <w:sz w:val="21"/>
                <w:szCs w:val="21"/>
                <w:lang w:val="en-US"/>
              </w:rPr>
            </w:pPr>
            <w:r>
              <w:rPr>
                <w:rFonts w:hint="eastAsia"/>
                <w:color w:val="auto"/>
                <w:kern w:val="2"/>
                <w:sz w:val="21"/>
                <w:szCs w:val="21"/>
                <w:lang w:val="en-US"/>
              </w:rPr>
              <w:t>签发机关</w:t>
            </w:r>
          </w:p>
        </w:tc>
        <w:tc>
          <w:tcPr>
            <w:tcW w:w="2157" w:type="dxa"/>
            <w:shd w:val="clear" w:color="auto" w:fill="auto"/>
            <w:vAlign w:val="center"/>
          </w:tcPr>
          <w:p>
            <w:pPr>
              <w:pStyle w:val="23"/>
              <w:keepNext w:val="0"/>
              <w:keepLines w:val="0"/>
              <w:suppressLineNumbers w:val="0"/>
              <w:adjustRightInd w:val="0"/>
              <w:spacing w:before="0" w:beforeAutospacing="0" w:after="0" w:afterAutospacing="0"/>
              <w:ind w:left="0" w:leftChars="0" w:right="0"/>
              <w:jc w:val="center"/>
              <w:rPr>
                <w:rFonts w:hint="default"/>
                <w:color w:val="auto"/>
                <w:kern w:val="2"/>
                <w:sz w:val="21"/>
                <w:szCs w:val="21"/>
                <w:lang w:val="en-US"/>
              </w:rPr>
            </w:pPr>
            <w:bookmarkStart w:id="498" w:name="_Toc206513744"/>
            <w:bookmarkStart w:id="499" w:name="_Toc206825463"/>
            <w:r>
              <w:rPr>
                <w:rFonts w:hint="default"/>
                <w:color w:val="auto"/>
                <w:kern w:val="2"/>
                <w:sz w:val="21"/>
                <w:szCs w:val="21"/>
                <w:lang w:val="en-US"/>
              </w:rPr>
              <w:t>证书编号</w:t>
            </w:r>
            <w:bookmarkEnd w:id="498"/>
            <w:bookmarkEnd w:id="499"/>
          </w:p>
        </w:tc>
        <w:tc>
          <w:tcPr>
            <w:tcW w:w="1639" w:type="dxa"/>
            <w:shd w:val="clear" w:color="auto" w:fill="auto"/>
            <w:vAlign w:val="center"/>
          </w:tcPr>
          <w:p>
            <w:pPr>
              <w:pStyle w:val="23"/>
              <w:keepNext w:val="0"/>
              <w:keepLines w:val="0"/>
              <w:suppressLineNumbers w:val="0"/>
              <w:adjustRightInd w:val="0"/>
              <w:spacing w:before="0" w:beforeAutospacing="0" w:after="0" w:afterAutospacing="0"/>
              <w:ind w:left="0" w:leftChars="0" w:right="0"/>
              <w:jc w:val="center"/>
              <w:rPr>
                <w:rFonts w:hint="default"/>
                <w:color w:val="auto"/>
                <w:kern w:val="2"/>
                <w:sz w:val="21"/>
                <w:szCs w:val="21"/>
                <w:lang w:val="en-US"/>
              </w:rPr>
            </w:pPr>
            <w:r>
              <w:rPr>
                <w:rFonts w:hint="default"/>
                <w:color w:val="auto"/>
                <w:kern w:val="2"/>
                <w:sz w:val="21"/>
                <w:szCs w:val="21"/>
                <w:lang w:val="en-US"/>
              </w:rPr>
              <w:t>有效期</w:t>
            </w:r>
            <w:r>
              <w:rPr>
                <w:rFonts w:hint="eastAsia"/>
                <w:color w:val="auto"/>
                <w:kern w:val="2"/>
                <w:sz w:val="21"/>
                <w:szCs w:val="21"/>
                <w:lang w:val="en-US"/>
              </w:rPr>
              <w:t>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992" w:type="dxa"/>
            <w:shd w:val="clear" w:color="auto" w:fill="auto"/>
            <w:vAlign w:val="center"/>
          </w:tcPr>
          <w:p>
            <w:pPr>
              <w:pStyle w:val="23"/>
              <w:keepNext w:val="0"/>
              <w:keepLines w:val="0"/>
              <w:suppressLineNumbers w:val="0"/>
              <w:adjustRightInd w:val="0"/>
              <w:spacing w:before="0" w:beforeAutospacing="0" w:after="0" w:afterAutospacing="0"/>
              <w:ind w:left="0" w:leftChars="0" w:right="0"/>
              <w:jc w:val="center"/>
              <w:rPr>
                <w:rFonts w:hint="eastAsia" w:eastAsia="宋体"/>
                <w:color w:val="auto"/>
                <w:kern w:val="2"/>
                <w:sz w:val="21"/>
                <w:szCs w:val="21"/>
                <w:highlight w:val="none"/>
                <w:lang w:val="en-US" w:eastAsia="zh-CN"/>
              </w:rPr>
            </w:pPr>
            <w:r>
              <w:rPr>
                <w:rFonts w:hint="eastAsia"/>
                <w:color w:val="auto"/>
                <w:kern w:val="2"/>
                <w:sz w:val="21"/>
                <w:szCs w:val="21"/>
                <w:highlight w:val="none"/>
                <w:lang w:val="en-US" w:eastAsia="zh-CN"/>
              </w:rPr>
              <w:t>郑宝森</w:t>
            </w:r>
          </w:p>
        </w:tc>
        <w:tc>
          <w:tcPr>
            <w:tcW w:w="1528" w:type="dxa"/>
            <w:shd w:val="clear" w:color="auto" w:fill="auto"/>
            <w:vAlign w:val="center"/>
          </w:tcPr>
          <w:p>
            <w:pPr>
              <w:pStyle w:val="23"/>
              <w:keepNext w:val="0"/>
              <w:keepLines w:val="0"/>
              <w:suppressLineNumbers w:val="0"/>
              <w:adjustRightInd w:val="0"/>
              <w:spacing w:before="0" w:beforeAutospacing="0" w:after="0" w:afterAutospacing="0"/>
              <w:ind w:left="0" w:leftChars="0" w:right="0"/>
              <w:jc w:val="center"/>
              <w:rPr>
                <w:rFonts w:hint="default"/>
                <w:color w:val="auto"/>
                <w:kern w:val="2"/>
                <w:sz w:val="21"/>
                <w:szCs w:val="21"/>
                <w:highlight w:val="none"/>
                <w:lang w:val="en-US"/>
              </w:rPr>
            </w:pPr>
            <w:r>
              <w:rPr>
                <w:rFonts w:hint="eastAsia"/>
                <w:bCs/>
                <w:color w:val="auto"/>
                <w:kern w:val="2"/>
                <w:sz w:val="21"/>
                <w:szCs w:val="21"/>
                <w:highlight w:val="none"/>
                <w:lang w:val="en-US"/>
              </w:rPr>
              <w:t>主要负责人</w:t>
            </w:r>
          </w:p>
        </w:tc>
        <w:tc>
          <w:tcPr>
            <w:tcW w:w="2804" w:type="dxa"/>
            <w:shd w:val="clear" w:color="auto" w:fill="auto"/>
            <w:vAlign w:val="center"/>
          </w:tcPr>
          <w:p>
            <w:pPr>
              <w:pStyle w:val="23"/>
              <w:keepNext w:val="0"/>
              <w:keepLines w:val="0"/>
              <w:suppressLineNumbers w:val="0"/>
              <w:adjustRightInd w:val="0"/>
              <w:spacing w:before="0" w:beforeAutospacing="0" w:after="0" w:afterAutospacing="0"/>
              <w:ind w:left="0" w:leftChars="0" w:right="0"/>
              <w:jc w:val="center"/>
              <w:rPr>
                <w:rFonts w:hint="eastAsia" w:eastAsia="宋体"/>
                <w:color w:val="auto"/>
                <w:kern w:val="2"/>
                <w:sz w:val="21"/>
                <w:szCs w:val="21"/>
                <w:highlight w:val="none"/>
                <w:lang w:val="en-US" w:eastAsia="zh-CN"/>
              </w:rPr>
            </w:pPr>
            <w:r>
              <w:rPr>
                <w:rFonts w:hint="eastAsia"/>
                <w:bCs/>
                <w:color w:val="auto"/>
                <w:kern w:val="2"/>
                <w:sz w:val="21"/>
                <w:szCs w:val="21"/>
                <w:highlight w:val="none"/>
                <w:lang w:val="en-US" w:eastAsia="zh-CN"/>
              </w:rPr>
              <w:t>东莞市安全生产监督管理局</w:t>
            </w:r>
          </w:p>
        </w:tc>
        <w:tc>
          <w:tcPr>
            <w:tcW w:w="2157" w:type="dxa"/>
            <w:shd w:val="clear" w:color="auto" w:fill="auto"/>
            <w:vAlign w:val="center"/>
          </w:tcPr>
          <w:p>
            <w:pPr>
              <w:pStyle w:val="23"/>
              <w:keepNext w:val="0"/>
              <w:keepLines w:val="0"/>
              <w:suppressLineNumbers w:val="0"/>
              <w:adjustRightInd w:val="0"/>
              <w:spacing w:before="0" w:beforeAutospacing="0" w:after="0" w:afterAutospacing="0"/>
              <w:ind w:left="0" w:leftChars="0" w:right="0"/>
              <w:jc w:val="center"/>
              <w:rPr>
                <w:rFonts w:hint="default" w:eastAsia="宋体"/>
                <w:color w:val="auto"/>
                <w:kern w:val="2"/>
                <w:sz w:val="21"/>
                <w:szCs w:val="21"/>
                <w:highlight w:val="none"/>
                <w:lang w:val="en-US" w:eastAsia="zh-CN"/>
              </w:rPr>
            </w:pPr>
            <w:r>
              <w:rPr>
                <w:rFonts w:hint="eastAsia"/>
                <w:color w:val="auto"/>
                <w:kern w:val="2"/>
                <w:sz w:val="21"/>
                <w:szCs w:val="21"/>
                <w:highlight w:val="none"/>
                <w:lang w:val="en-US" w:eastAsia="zh-CN"/>
              </w:rPr>
              <w:t>445281198501035634</w:t>
            </w:r>
          </w:p>
        </w:tc>
        <w:tc>
          <w:tcPr>
            <w:tcW w:w="1639" w:type="dxa"/>
            <w:shd w:val="clear" w:color="auto" w:fill="auto"/>
            <w:vAlign w:val="center"/>
          </w:tcPr>
          <w:p>
            <w:pPr>
              <w:pStyle w:val="23"/>
              <w:keepNext w:val="0"/>
              <w:keepLines w:val="0"/>
              <w:suppressLineNumbers w:val="0"/>
              <w:adjustRightInd w:val="0"/>
              <w:spacing w:before="0" w:beforeAutospacing="0" w:after="0" w:afterAutospacing="0"/>
              <w:ind w:left="0" w:leftChars="0" w:right="0"/>
              <w:jc w:val="center"/>
              <w:rPr>
                <w:rFonts w:hint="default" w:eastAsia="宋体"/>
                <w:color w:val="auto"/>
                <w:kern w:val="2"/>
                <w:sz w:val="21"/>
                <w:szCs w:val="21"/>
                <w:highlight w:val="none"/>
                <w:lang w:val="en-US" w:eastAsia="zh-CN"/>
              </w:rPr>
            </w:pPr>
            <w:r>
              <w:rPr>
                <w:rFonts w:hint="eastAsia"/>
                <w:color w:val="auto"/>
                <w:kern w:val="2"/>
                <w:sz w:val="21"/>
                <w:szCs w:val="21"/>
                <w:highlight w:val="none"/>
                <w:lang w:val="en-US" w:eastAsia="zh-CN"/>
              </w:rPr>
              <w:t>2021-07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jc w:val="center"/>
        </w:trPr>
        <w:tc>
          <w:tcPr>
            <w:tcW w:w="992" w:type="dxa"/>
            <w:shd w:val="clear" w:color="auto" w:fill="auto"/>
            <w:vAlign w:val="center"/>
          </w:tcPr>
          <w:p>
            <w:pPr>
              <w:pStyle w:val="23"/>
              <w:keepNext w:val="0"/>
              <w:keepLines w:val="0"/>
              <w:suppressLineNumbers w:val="0"/>
              <w:adjustRightInd w:val="0"/>
              <w:spacing w:before="0" w:beforeAutospacing="0" w:after="0" w:afterAutospacing="0"/>
              <w:ind w:left="0" w:leftChars="0" w:right="0"/>
              <w:jc w:val="center"/>
              <w:rPr>
                <w:rFonts w:hint="eastAsia" w:eastAsia="宋体"/>
                <w:color w:val="auto"/>
                <w:kern w:val="2"/>
                <w:sz w:val="21"/>
                <w:szCs w:val="21"/>
                <w:highlight w:val="none"/>
                <w:lang w:val="en-US" w:eastAsia="zh-CN"/>
              </w:rPr>
            </w:pPr>
            <w:r>
              <w:rPr>
                <w:rFonts w:hint="eastAsia"/>
                <w:color w:val="auto"/>
                <w:kern w:val="2"/>
                <w:sz w:val="21"/>
                <w:szCs w:val="21"/>
                <w:highlight w:val="none"/>
                <w:lang w:val="en-US" w:eastAsia="zh-CN"/>
              </w:rPr>
              <w:t>邓精燕</w:t>
            </w:r>
          </w:p>
        </w:tc>
        <w:tc>
          <w:tcPr>
            <w:tcW w:w="1528" w:type="dxa"/>
            <w:shd w:val="clear" w:color="auto" w:fill="auto"/>
            <w:vAlign w:val="center"/>
          </w:tcPr>
          <w:p>
            <w:pPr>
              <w:pStyle w:val="23"/>
              <w:keepNext w:val="0"/>
              <w:keepLines w:val="0"/>
              <w:suppressLineNumbers w:val="0"/>
              <w:adjustRightInd w:val="0"/>
              <w:spacing w:before="0" w:beforeAutospacing="0" w:after="0" w:afterAutospacing="0"/>
              <w:ind w:left="0" w:leftChars="0" w:right="0"/>
              <w:jc w:val="center"/>
              <w:rPr>
                <w:rFonts w:hint="default"/>
                <w:bCs/>
                <w:color w:val="auto"/>
                <w:kern w:val="2"/>
                <w:sz w:val="21"/>
                <w:szCs w:val="21"/>
                <w:highlight w:val="none"/>
                <w:lang w:val="en-US"/>
              </w:rPr>
            </w:pPr>
            <w:r>
              <w:rPr>
                <w:rFonts w:hint="eastAsia"/>
                <w:bCs/>
                <w:color w:val="auto"/>
                <w:kern w:val="2"/>
                <w:sz w:val="21"/>
                <w:szCs w:val="21"/>
                <w:highlight w:val="none"/>
                <w:lang w:val="en-US"/>
              </w:rPr>
              <w:t>安全生产管理人员</w:t>
            </w:r>
          </w:p>
        </w:tc>
        <w:tc>
          <w:tcPr>
            <w:tcW w:w="2804" w:type="dxa"/>
            <w:shd w:val="clear" w:color="auto" w:fill="auto"/>
            <w:vAlign w:val="center"/>
          </w:tcPr>
          <w:p>
            <w:pPr>
              <w:pStyle w:val="23"/>
              <w:keepNext w:val="0"/>
              <w:keepLines w:val="0"/>
              <w:suppressLineNumbers w:val="0"/>
              <w:adjustRightInd w:val="0"/>
              <w:spacing w:before="0" w:beforeAutospacing="0" w:after="0" w:afterAutospacing="0"/>
              <w:ind w:left="0" w:leftChars="0" w:right="0"/>
              <w:jc w:val="center"/>
              <w:rPr>
                <w:rFonts w:hint="eastAsia" w:eastAsia="宋体"/>
                <w:bCs/>
                <w:color w:val="auto"/>
                <w:kern w:val="2"/>
                <w:sz w:val="21"/>
                <w:szCs w:val="21"/>
                <w:highlight w:val="none"/>
                <w:lang w:val="en-US" w:eastAsia="zh-CN"/>
              </w:rPr>
            </w:pPr>
            <w:r>
              <w:rPr>
                <w:rFonts w:hint="eastAsia"/>
                <w:bCs/>
                <w:color w:val="auto"/>
                <w:kern w:val="2"/>
                <w:sz w:val="21"/>
                <w:szCs w:val="21"/>
                <w:highlight w:val="none"/>
                <w:lang w:val="en-US" w:eastAsia="zh-CN"/>
              </w:rPr>
              <w:t>东莞市安全生产监督管理局</w:t>
            </w:r>
          </w:p>
        </w:tc>
        <w:tc>
          <w:tcPr>
            <w:tcW w:w="2157" w:type="dxa"/>
            <w:shd w:val="clear" w:color="auto" w:fill="auto"/>
            <w:vAlign w:val="center"/>
          </w:tcPr>
          <w:p>
            <w:pPr>
              <w:pStyle w:val="23"/>
              <w:keepNext w:val="0"/>
              <w:keepLines w:val="0"/>
              <w:suppressLineNumbers w:val="0"/>
              <w:adjustRightInd w:val="0"/>
              <w:spacing w:before="0" w:beforeAutospacing="0" w:after="0" w:afterAutospacing="0"/>
              <w:ind w:left="0" w:leftChars="0" w:right="0"/>
              <w:jc w:val="center"/>
              <w:rPr>
                <w:rFonts w:hint="default" w:eastAsia="宋体"/>
                <w:color w:val="auto"/>
                <w:kern w:val="2"/>
                <w:sz w:val="21"/>
                <w:szCs w:val="21"/>
                <w:highlight w:val="none"/>
                <w:lang w:val="en-US" w:eastAsia="zh-CN"/>
              </w:rPr>
            </w:pPr>
            <w:r>
              <w:rPr>
                <w:rFonts w:hint="eastAsia"/>
                <w:color w:val="auto"/>
                <w:kern w:val="2"/>
                <w:sz w:val="21"/>
                <w:szCs w:val="21"/>
                <w:highlight w:val="none"/>
                <w:lang w:val="en-US" w:eastAsia="zh-CN"/>
              </w:rPr>
              <w:t>460028199112060466</w:t>
            </w:r>
          </w:p>
        </w:tc>
        <w:tc>
          <w:tcPr>
            <w:tcW w:w="1639" w:type="dxa"/>
            <w:shd w:val="clear" w:color="auto" w:fill="auto"/>
            <w:vAlign w:val="center"/>
          </w:tcPr>
          <w:p>
            <w:pPr>
              <w:pStyle w:val="23"/>
              <w:keepNext w:val="0"/>
              <w:keepLines w:val="0"/>
              <w:suppressLineNumbers w:val="0"/>
              <w:adjustRightInd w:val="0"/>
              <w:spacing w:before="0" w:beforeAutospacing="0" w:after="0" w:afterAutospacing="0"/>
              <w:ind w:left="0" w:leftChars="0" w:right="0"/>
              <w:jc w:val="center"/>
              <w:rPr>
                <w:rFonts w:hint="default" w:eastAsia="宋体"/>
                <w:color w:val="auto"/>
                <w:kern w:val="2"/>
                <w:sz w:val="21"/>
                <w:szCs w:val="21"/>
                <w:highlight w:val="none"/>
                <w:lang w:val="en-US" w:eastAsia="zh-CN"/>
              </w:rPr>
            </w:pPr>
            <w:r>
              <w:rPr>
                <w:rFonts w:hint="eastAsia"/>
                <w:color w:val="auto"/>
                <w:kern w:val="2"/>
                <w:sz w:val="21"/>
                <w:szCs w:val="21"/>
                <w:highlight w:val="none"/>
                <w:lang w:val="en-US" w:eastAsia="zh-CN"/>
              </w:rPr>
              <w:t>2021-07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992" w:type="dxa"/>
            <w:shd w:val="clear" w:color="auto" w:fill="auto"/>
            <w:vAlign w:val="center"/>
          </w:tcPr>
          <w:p>
            <w:pPr>
              <w:pStyle w:val="23"/>
              <w:keepNext w:val="0"/>
              <w:keepLines w:val="0"/>
              <w:suppressLineNumbers w:val="0"/>
              <w:adjustRightInd w:val="0"/>
              <w:spacing w:before="0" w:beforeAutospacing="0" w:after="0" w:afterAutospacing="0"/>
              <w:ind w:left="0" w:leftChars="0" w:right="0"/>
              <w:jc w:val="center"/>
              <w:rPr>
                <w:rFonts w:hint="eastAsia" w:eastAsia="宋体"/>
                <w:bCs/>
                <w:color w:val="auto"/>
                <w:kern w:val="2"/>
                <w:sz w:val="21"/>
                <w:szCs w:val="21"/>
                <w:highlight w:val="none"/>
                <w:lang w:val="en-US" w:eastAsia="zh-CN"/>
              </w:rPr>
            </w:pPr>
            <w:r>
              <w:rPr>
                <w:rFonts w:hint="eastAsia"/>
                <w:bCs/>
                <w:color w:val="auto"/>
                <w:kern w:val="2"/>
                <w:sz w:val="21"/>
                <w:szCs w:val="21"/>
                <w:highlight w:val="none"/>
                <w:lang w:val="en-US" w:eastAsia="zh-CN"/>
              </w:rPr>
              <w:t>李伟洪</w:t>
            </w:r>
          </w:p>
        </w:tc>
        <w:tc>
          <w:tcPr>
            <w:tcW w:w="1528" w:type="dxa"/>
            <w:shd w:val="clear" w:color="auto" w:fill="auto"/>
            <w:vAlign w:val="center"/>
          </w:tcPr>
          <w:p>
            <w:pPr>
              <w:pStyle w:val="23"/>
              <w:keepNext w:val="0"/>
              <w:keepLines w:val="0"/>
              <w:suppressLineNumbers w:val="0"/>
              <w:adjustRightInd w:val="0"/>
              <w:spacing w:before="0" w:beforeAutospacing="0" w:after="0" w:afterAutospacing="0"/>
              <w:ind w:left="0" w:leftChars="0" w:right="0"/>
              <w:jc w:val="center"/>
              <w:rPr>
                <w:rFonts w:hint="default"/>
                <w:bCs/>
                <w:color w:val="auto"/>
                <w:kern w:val="2"/>
                <w:sz w:val="21"/>
                <w:szCs w:val="21"/>
                <w:highlight w:val="none"/>
                <w:lang w:val="en-US"/>
              </w:rPr>
            </w:pPr>
            <w:r>
              <w:rPr>
                <w:rFonts w:hint="eastAsia"/>
                <w:bCs/>
                <w:color w:val="auto"/>
                <w:kern w:val="2"/>
                <w:sz w:val="21"/>
                <w:szCs w:val="21"/>
                <w:highlight w:val="none"/>
                <w:lang w:val="en-US"/>
              </w:rPr>
              <w:t>安全生产管理人员</w:t>
            </w:r>
          </w:p>
        </w:tc>
        <w:tc>
          <w:tcPr>
            <w:tcW w:w="2804" w:type="dxa"/>
            <w:shd w:val="clear" w:color="auto" w:fill="auto"/>
            <w:vAlign w:val="center"/>
          </w:tcPr>
          <w:p>
            <w:pPr>
              <w:pStyle w:val="23"/>
              <w:keepNext w:val="0"/>
              <w:keepLines w:val="0"/>
              <w:suppressLineNumbers w:val="0"/>
              <w:adjustRightInd w:val="0"/>
              <w:spacing w:before="0" w:beforeAutospacing="0" w:after="0" w:afterAutospacing="0"/>
              <w:ind w:left="0" w:leftChars="0" w:right="0"/>
              <w:jc w:val="center"/>
              <w:rPr>
                <w:rFonts w:hint="default"/>
                <w:bCs/>
                <w:color w:val="auto"/>
                <w:kern w:val="2"/>
                <w:sz w:val="21"/>
                <w:szCs w:val="21"/>
                <w:highlight w:val="none"/>
                <w:lang w:val="en-US"/>
              </w:rPr>
            </w:pPr>
            <w:r>
              <w:rPr>
                <w:rFonts w:hint="eastAsia"/>
                <w:bCs/>
                <w:color w:val="auto"/>
                <w:kern w:val="2"/>
                <w:sz w:val="21"/>
                <w:szCs w:val="21"/>
                <w:highlight w:val="none"/>
                <w:lang w:val="en-US" w:eastAsia="zh-CN"/>
              </w:rPr>
              <w:t>东莞市应急管理局</w:t>
            </w:r>
          </w:p>
        </w:tc>
        <w:tc>
          <w:tcPr>
            <w:tcW w:w="2157" w:type="dxa"/>
            <w:shd w:val="clear" w:color="auto" w:fill="auto"/>
            <w:vAlign w:val="center"/>
          </w:tcPr>
          <w:p>
            <w:pPr>
              <w:pStyle w:val="23"/>
              <w:keepNext w:val="0"/>
              <w:keepLines w:val="0"/>
              <w:suppressLineNumbers w:val="0"/>
              <w:adjustRightInd w:val="0"/>
              <w:spacing w:before="0" w:beforeAutospacing="0" w:after="0" w:afterAutospacing="0"/>
              <w:ind w:left="0" w:leftChars="0" w:right="0" w:rightChars="0"/>
              <w:jc w:val="center"/>
              <w:rPr>
                <w:rFonts w:hint="default" w:eastAsia="宋体"/>
                <w:bCs/>
                <w:color w:val="auto"/>
                <w:kern w:val="2"/>
                <w:sz w:val="21"/>
                <w:szCs w:val="21"/>
                <w:highlight w:val="none"/>
                <w:lang w:val="en-US" w:eastAsia="zh-CN"/>
              </w:rPr>
            </w:pPr>
            <w:r>
              <w:rPr>
                <w:rFonts w:hint="eastAsia"/>
                <w:color w:val="auto"/>
                <w:kern w:val="2"/>
                <w:sz w:val="21"/>
                <w:szCs w:val="21"/>
                <w:highlight w:val="none"/>
                <w:lang w:val="en-US" w:eastAsia="zh-CN"/>
              </w:rPr>
              <w:t>441900198001012619</w:t>
            </w:r>
          </w:p>
        </w:tc>
        <w:tc>
          <w:tcPr>
            <w:tcW w:w="1639" w:type="dxa"/>
            <w:shd w:val="clear" w:color="auto" w:fill="auto"/>
            <w:vAlign w:val="center"/>
          </w:tcPr>
          <w:p>
            <w:pPr>
              <w:pStyle w:val="23"/>
              <w:keepNext w:val="0"/>
              <w:keepLines w:val="0"/>
              <w:suppressLineNumbers w:val="0"/>
              <w:adjustRightInd w:val="0"/>
              <w:spacing w:before="0" w:beforeAutospacing="0" w:after="0" w:afterAutospacing="0"/>
              <w:ind w:left="0" w:leftChars="0" w:right="0" w:rightChars="0"/>
              <w:jc w:val="center"/>
              <w:rPr>
                <w:rFonts w:hint="default" w:eastAsia="宋体"/>
                <w:bCs/>
                <w:color w:val="auto"/>
                <w:kern w:val="2"/>
                <w:sz w:val="21"/>
                <w:szCs w:val="21"/>
                <w:highlight w:val="none"/>
                <w:lang w:val="en-US" w:eastAsia="zh-CN"/>
              </w:rPr>
            </w:pPr>
            <w:r>
              <w:rPr>
                <w:rFonts w:hint="eastAsia"/>
                <w:color w:val="auto"/>
                <w:kern w:val="2"/>
                <w:sz w:val="21"/>
                <w:szCs w:val="21"/>
                <w:highlight w:val="none"/>
                <w:lang w:val="en-US" w:eastAsia="zh-CN"/>
              </w:rPr>
              <w:t>2023-01-01</w:t>
            </w:r>
          </w:p>
        </w:tc>
      </w:tr>
    </w:tbl>
    <w:p>
      <w:pPr>
        <w:spacing w:line="500" w:lineRule="exact"/>
        <w:ind w:firstLine="560" w:firstLineChars="200"/>
        <w:rPr>
          <w:rFonts w:hint="default" w:ascii="Times New Roman" w:hAnsi="Times New Roman" w:cs="Times New Roman"/>
          <w:sz w:val="28"/>
          <w:highlight w:val="none"/>
        </w:rPr>
      </w:pPr>
      <w:r>
        <w:rPr>
          <w:rFonts w:hint="default" w:ascii="Times New Roman" w:hAnsi="Times New Roman" w:cs="Times New Roman"/>
          <w:sz w:val="28"/>
          <w:highlight w:val="none"/>
        </w:rPr>
        <w:t>加油站其他人员经过公司培训合格后上岗。</w:t>
      </w:r>
    </w:p>
    <w:p>
      <w:pPr>
        <w:spacing w:line="240" w:lineRule="auto"/>
        <w:ind w:firstLine="440" w:firstLineChars="200"/>
        <w:jc w:val="center"/>
        <w:rPr>
          <w:rFonts w:hint="default" w:ascii="Times New Roman" w:hAnsi="Times New Roman" w:cs="Times New Roman"/>
          <w:b/>
          <w:sz w:val="24"/>
          <w:highlight w:val="none"/>
        </w:rPr>
      </w:pPr>
      <w:r>
        <w:rPr>
          <w:rFonts w:hint="default" w:ascii="Times New Roman" w:hAnsi="Times New Roman" w:cs="Times New Roman"/>
          <w:highlight w:val="none"/>
          <w:lang w:val="en-US" w:bidi="ar-SA"/>
        </w:rPr>
        <w:drawing>
          <wp:inline distT="0" distB="0" distL="114300" distR="114300">
            <wp:extent cx="3428365" cy="3173095"/>
            <wp:effectExtent l="0" t="0" r="635" b="8255"/>
            <wp:docPr id="451" name="图片 4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1" name="图片 451"/>
                    <pic:cNvPicPr>
                      <a:picLocks noChangeAspect="1"/>
                    </pic:cNvPicPr>
                  </pic:nvPicPr>
                  <pic:blipFill>
                    <a:blip r:embed="rId15"/>
                    <a:stretch>
                      <a:fillRect/>
                    </a:stretch>
                  </pic:blipFill>
                  <pic:spPr>
                    <a:xfrm>
                      <a:off x="0" y="0"/>
                      <a:ext cx="3428365" cy="3173095"/>
                    </a:xfrm>
                    <a:prstGeom prst="rect">
                      <a:avLst/>
                    </a:prstGeom>
                    <a:noFill/>
                    <a:ln>
                      <a:noFill/>
                    </a:ln>
                  </pic:spPr>
                </pic:pic>
              </a:graphicData>
            </a:graphic>
          </wp:inline>
        </w:drawing>
      </w:r>
    </w:p>
    <w:p>
      <w:pPr>
        <w:spacing w:line="500" w:lineRule="exact"/>
        <w:ind w:firstLine="482" w:firstLineChars="200"/>
        <w:jc w:val="center"/>
        <w:rPr>
          <w:rFonts w:hint="default" w:ascii="Times New Roman" w:hAnsi="Times New Roman" w:cs="Times New Roman"/>
          <w:sz w:val="28"/>
          <w:highlight w:val="none"/>
        </w:rPr>
      </w:pPr>
      <w:r>
        <w:rPr>
          <w:rFonts w:hint="default" w:ascii="Times New Roman" w:hAnsi="Times New Roman" w:cs="Times New Roman"/>
          <w:b/>
          <w:sz w:val="24"/>
          <w:highlight w:val="none"/>
        </w:rPr>
        <w:t>图 2-8</w:t>
      </w:r>
      <w:r>
        <w:rPr>
          <w:rFonts w:hint="default" w:ascii="Times New Roman" w:hAnsi="Times New Roman" w:cs="Times New Roman"/>
          <w:b/>
          <w:sz w:val="24"/>
          <w:highlight w:val="none"/>
          <w:lang w:val="en-US"/>
        </w:rPr>
        <w:t xml:space="preserve"> </w:t>
      </w:r>
      <w:r>
        <w:rPr>
          <w:rFonts w:hint="default" w:ascii="Times New Roman" w:hAnsi="Times New Roman" w:cs="Times New Roman"/>
          <w:b/>
          <w:sz w:val="24"/>
          <w:highlight w:val="none"/>
        </w:rPr>
        <w:t>加油站安全管理组织网络图</w:t>
      </w:r>
    </w:p>
    <w:p>
      <w:pPr>
        <w:rPr>
          <w:rFonts w:hint="default" w:ascii="Times New Roman" w:hAnsi="Times New Roman" w:cs="Times New Roman"/>
        </w:rPr>
      </w:pPr>
    </w:p>
    <w:bookmarkEnd w:id="491"/>
    <w:p>
      <w:pPr>
        <w:spacing w:line="500" w:lineRule="exact"/>
        <w:rPr>
          <w:rFonts w:hint="default" w:ascii="Times New Roman" w:hAnsi="Times New Roman" w:cs="Times New Roman"/>
          <w:sz w:val="28"/>
          <w:highlight w:val="none"/>
        </w:rPr>
      </w:pPr>
      <w:r>
        <w:rPr>
          <w:rFonts w:hint="default" w:ascii="Times New Roman" w:hAnsi="Times New Roman" w:cs="Times New Roman"/>
          <w:sz w:val="28"/>
          <w:highlight w:val="none"/>
        </w:rPr>
        <w:t>3）安全管理制度及操作规程</w:t>
      </w:r>
    </w:p>
    <w:tbl>
      <w:tblPr>
        <w:tblStyle w:val="30"/>
        <w:tblW w:w="94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86"/>
        <w:gridCol w:w="3599"/>
        <w:gridCol w:w="2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9405" w:type="dxa"/>
            <w:gridSpan w:val="3"/>
            <w:vAlign w:val="center"/>
          </w:tcPr>
          <w:p>
            <w:pPr>
              <w:pStyle w:val="23"/>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b/>
                <w:sz w:val="21"/>
                <w:szCs w:val="21"/>
                <w:highlight w:val="none"/>
                <w:lang w:val="en-US"/>
              </w:rPr>
            </w:pPr>
            <w:r>
              <w:rPr>
                <w:rFonts w:hint="default" w:ascii="Times New Roman" w:hAnsi="Times New Roman" w:cs="Times New Roman"/>
                <w:b/>
                <w:sz w:val="21"/>
                <w:szCs w:val="21"/>
                <w:highlight w:val="none"/>
                <w:lang w:val="en-US"/>
              </w:rPr>
              <w:t>安全管理制度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186" w:type="dxa"/>
            <w:vAlign w:val="center"/>
          </w:tcPr>
          <w:p>
            <w:pPr>
              <w:pStyle w:val="23"/>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lang w:val="en-US"/>
              </w:rPr>
              <w:t>危险化学品购销管理制度</w:t>
            </w:r>
          </w:p>
        </w:tc>
        <w:tc>
          <w:tcPr>
            <w:tcW w:w="3599" w:type="dxa"/>
            <w:vAlign w:val="center"/>
          </w:tcPr>
          <w:p>
            <w:pPr>
              <w:pStyle w:val="23"/>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lang w:val="en-US"/>
              </w:rPr>
              <w:t>危险化学品安全管理制度（包括防火、防爆、防中毒、防泄漏管理等内容）</w:t>
            </w:r>
          </w:p>
        </w:tc>
        <w:tc>
          <w:tcPr>
            <w:tcW w:w="2620" w:type="dxa"/>
            <w:vAlign w:val="center"/>
          </w:tcPr>
          <w:p>
            <w:pPr>
              <w:pStyle w:val="23"/>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lang w:val="en-US"/>
              </w:rPr>
              <w:t>安全投入保障制度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186" w:type="dxa"/>
            <w:vAlign w:val="center"/>
          </w:tcPr>
          <w:p>
            <w:pPr>
              <w:pStyle w:val="23"/>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lang w:val="en-US"/>
              </w:rPr>
              <w:t>安全生产奖惩制度</w:t>
            </w:r>
          </w:p>
        </w:tc>
        <w:tc>
          <w:tcPr>
            <w:tcW w:w="3599" w:type="dxa"/>
            <w:vAlign w:val="center"/>
          </w:tcPr>
          <w:p>
            <w:pPr>
              <w:keepNext w:val="0"/>
              <w:keepLines w:val="0"/>
              <w:suppressLineNumbers w:val="0"/>
              <w:spacing w:before="0" w:beforeAutospacing="0" w:after="0" w:afterAutospacing="0" w:line="500" w:lineRule="exact"/>
              <w:ind w:left="0" w:right="0"/>
              <w:jc w:val="center"/>
              <w:rPr>
                <w:rFonts w:hint="default" w:ascii="Times New Roman" w:hAnsi="Times New Roman" w:cs="Times New Roman"/>
                <w:sz w:val="21"/>
                <w:szCs w:val="21"/>
                <w:highlight w:val="none"/>
              </w:rPr>
            </w:pPr>
            <w:r>
              <w:rPr>
                <w:rFonts w:hint="default" w:ascii="Times New Roman" w:hAnsi="Times New Roman" w:cs="Times New Roman"/>
                <w:spacing w:val="-7"/>
                <w:sz w:val="21"/>
                <w:szCs w:val="21"/>
                <w:highlight w:val="none"/>
              </w:rPr>
              <w:t>安全风险管理制度</w:t>
            </w:r>
          </w:p>
        </w:tc>
        <w:tc>
          <w:tcPr>
            <w:tcW w:w="2620" w:type="dxa"/>
            <w:vAlign w:val="center"/>
          </w:tcPr>
          <w:p>
            <w:pPr>
              <w:pStyle w:val="23"/>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lang w:val="en-US"/>
              </w:rPr>
              <w:t>应急管理制度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186" w:type="dxa"/>
            <w:vAlign w:val="center"/>
          </w:tcPr>
          <w:p>
            <w:pPr>
              <w:pStyle w:val="23"/>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lang w:val="en-US"/>
              </w:rPr>
              <w:t>事故管理制度</w:t>
            </w:r>
          </w:p>
        </w:tc>
        <w:tc>
          <w:tcPr>
            <w:tcW w:w="3599" w:type="dxa"/>
            <w:vAlign w:val="center"/>
          </w:tcPr>
          <w:p>
            <w:pPr>
              <w:pStyle w:val="23"/>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lang w:val="en-US"/>
              </w:rPr>
              <w:t>职业卫生管理制度</w:t>
            </w:r>
          </w:p>
        </w:tc>
        <w:tc>
          <w:tcPr>
            <w:tcW w:w="2620" w:type="dxa"/>
            <w:vAlign w:val="center"/>
          </w:tcPr>
          <w:p>
            <w:pPr>
              <w:pStyle w:val="23"/>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lang w:val="en-US"/>
              </w:rPr>
              <w:t>加油站消防安全管理制度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186" w:type="dxa"/>
            <w:vAlign w:val="center"/>
          </w:tcPr>
          <w:p>
            <w:pPr>
              <w:pStyle w:val="23"/>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lang w:val="en-US"/>
              </w:rPr>
              <w:t>安全检修制度</w:t>
            </w:r>
          </w:p>
        </w:tc>
        <w:tc>
          <w:tcPr>
            <w:tcW w:w="3599" w:type="dxa"/>
            <w:vAlign w:val="center"/>
          </w:tcPr>
          <w:p>
            <w:pPr>
              <w:pStyle w:val="23"/>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lang w:val="en-US"/>
              </w:rPr>
              <w:t>安全设施管理制度</w:t>
            </w:r>
          </w:p>
        </w:tc>
        <w:tc>
          <w:tcPr>
            <w:tcW w:w="2620" w:type="dxa"/>
            <w:vAlign w:val="center"/>
          </w:tcPr>
          <w:p>
            <w:pPr>
              <w:pStyle w:val="23"/>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lang w:val="en-US"/>
              </w:rPr>
              <w:t>加油站交接班制度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186" w:type="dxa"/>
            <w:vAlign w:val="center"/>
          </w:tcPr>
          <w:p>
            <w:pPr>
              <w:pStyle w:val="23"/>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lang w:val="en-US"/>
              </w:rPr>
              <w:t>加油站用电安全管理制度</w:t>
            </w:r>
          </w:p>
        </w:tc>
        <w:tc>
          <w:tcPr>
            <w:tcW w:w="3599" w:type="dxa"/>
            <w:vAlign w:val="center"/>
          </w:tcPr>
          <w:p>
            <w:pPr>
              <w:pStyle w:val="23"/>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lang w:val="en-US"/>
              </w:rPr>
              <w:t>安全管理制度</w:t>
            </w:r>
          </w:p>
        </w:tc>
        <w:tc>
          <w:tcPr>
            <w:tcW w:w="2620" w:type="dxa"/>
            <w:vAlign w:val="center"/>
          </w:tcPr>
          <w:p>
            <w:pPr>
              <w:pStyle w:val="23"/>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lang w:val="en-US"/>
              </w:rPr>
              <w:t>操作规程定期评审制度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186" w:type="dxa"/>
            <w:vAlign w:val="center"/>
          </w:tcPr>
          <w:p>
            <w:pPr>
              <w:pStyle w:val="23"/>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lang w:val="en-US"/>
              </w:rPr>
              <w:t>进油核查登记制度</w:t>
            </w:r>
          </w:p>
        </w:tc>
        <w:tc>
          <w:tcPr>
            <w:tcW w:w="3599" w:type="dxa"/>
            <w:vAlign w:val="center"/>
          </w:tcPr>
          <w:p>
            <w:pPr>
              <w:pStyle w:val="23"/>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lang w:val="en-US"/>
              </w:rPr>
              <w:t>隐患排查治理制度</w:t>
            </w:r>
          </w:p>
        </w:tc>
        <w:tc>
          <w:tcPr>
            <w:tcW w:w="2620" w:type="dxa"/>
            <w:vAlign w:val="center"/>
          </w:tcPr>
          <w:p>
            <w:pPr>
              <w:pStyle w:val="23"/>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lang w:val="en-US"/>
              </w:rPr>
              <w:t>安全生产教育培训制度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9405" w:type="dxa"/>
            <w:gridSpan w:val="3"/>
            <w:vAlign w:val="center"/>
          </w:tcPr>
          <w:p>
            <w:pPr>
              <w:pStyle w:val="23"/>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b/>
                <w:sz w:val="21"/>
                <w:szCs w:val="21"/>
                <w:highlight w:val="none"/>
                <w:lang w:val="en-US"/>
              </w:rPr>
            </w:pPr>
            <w:r>
              <w:rPr>
                <w:rFonts w:hint="default" w:ascii="Times New Roman" w:hAnsi="Times New Roman" w:cs="Times New Roman"/>
                <w:b/>
                <w:sz w:val="21"/>
                <w:szCs w:val="21"/>
                <w:highlight w:val="none"/>
                <w:lang w:val="en-US"/>
              </w:rPr>
              <w:t>安全生产责任制度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186" w:type="dxa"/>
            <w:vAlign w:val="center"/>
          </w:tcPr>
          <w:p>
            <w:pPr>
              <w:pStyle w:val="23"/>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lang w:val="en-US"/>
              </w:rPr>
              <w:t>加油站站长安全生产责任制</w:t>
            </w:r>
          </w:p>
        </w:tc>
        <w:tc>
          <w:tcPr>
            <w:tcW w:w="3599" w:type="dxa"/>
            <w:vAlign w:val="center"/>
          </w:tcPr>
          <w:p>
            <w:pPr>
              <w:pStyle w:val="23"/>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lang w:val="en-US"/>
              </w:rPr>
              <w:t>安全管理员安全生产责任制</w:t>
            </w:r>
          </w:p>
        </w:tc>
        <w:tc>
          <w:tcPr>
            <w:tcW w:w="2620" w:type="dxa"/>
            <w:vAlign w:val="center"/>
          </w:tcPr>
          <w:p>
            <w:pPr>
              <w:pStyle w:val="23"/>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lang w:val="en-US"/>
              </w:rPr>
              <w:t>计量员安全生产责任制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186" w:type="dxa"/>
            <w:vAlign w:val="center"/>
          </w:tcPr>
          <w:p>
            <w:pPr>
              <w:pStyle w:val="23"/>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lang w:val="en-US"/>
              </w:rPr>
              <w:t>卸油员安全生产责任制</w:t>
            </w:r>
          </w:p>
        </w:tc>
        <w:tc>
          <w:tcPr>
            <w:tcW w:w="3599" w:type="dxa"/>
            <w:vAlign w:val="center"/>
          </w:tcPr>
          <w:p>
            <w:pPr>
              <w:pStyle w:val="23"/>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lang w:val="en-US"/>
              </w:rPr>
              <w:t>加油员安全生产责任制</w:t>
            </w:r>
          </w:p>
        </w:tc>
        <w:tc>
          <w:tcPr>
            <w:tcW w:w="2620" w:type="dxa"/>
            <w:vAlign w:val="center"/>
          </w:tcPr>
          <w:p>
            <w:pPr>
              <w:pStyle w:val="23"/>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lang w:val="en-US"/>
              </w:rPr>
              <w:t>收款员安全生产责任制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9405" w:type="dxa"/>
            <w:gridSpan w:val="3"/>
            <w:vAlign w:val="center"/>
          </w:tcPr>
          <w:p>
            <w:pPr>
              <w:pStyle w:val="23"/>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b/>
                <w:sz w:val="21"/>
                <w:szCs w:val="21"/>
                <w:highlight w:val="none"/>
                <w:lang w:val="en-US"/>
              </w:rPr>
            </w:pPr>
            <w:r>
              <w:rPr>
                <w:rFonts w:hint="default" w:ascii="Times New Roman" w:hAnsi="Times New Roman" w:cs="Times New Roman"/>
                <w:b/>
                <w:sz w:val="21"/>
                <w:szCs w:val="21"/>
                <w:highlight w:val="none"/>
                <w:lang w:val="en-US"/>
              </w:rPr>
              <w:t>安全操作规程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186" w:type="dxa"/>
            <w:vAlign w:val="center"/>
          </w:tcPr>
          <w:p>
            <w:pPr>
              <w:pStyle w:val="23"/>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lang w:val="en-US"/>
              </w:rPr>
              <w:t>卸油作业安全操作规程</w:t>
            </w:r>
          </w:p>
        </w:tc>
        <w:tc>
          <w:tcPr>
            <w:tcW w:w="3599" w:type="dxa"/>
            <w:vAlign w:val="center"/>
          </w:tcPr>
          <w:p>
            <w:pPr>
              <w:pStyle w:val="23"/>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lang w:val="en-US"/>
              </w:rPr>
              <w:t>加油作业安全操作规程</w:t>
            </w:r>
          </w:p>
        </w:tc>
        <w:tc>
          <w:tcPr>
            <w:tcW w:w="2620" w:type="dxa"/>
            <w:vAlign w:val="center"/>
          </w:tcPr>
          <w:p>
            <w:pPr>
              <w:pStyle w:val="23"/>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lang w:val="en-US"/>
              </w:rPr>
              <w:t>油罐计量安全操作规程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186" w:type="dxa"/>
            <w:vAlign w:val="center"/>
          </w:tcPr>
          <w:p>
            <w:pPr>
              <w:pStyle w:val="23"/>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lang w:val="en-US"/>
              </w:rPr>
              <w:t>动火作业安全规程</w:t>
            </w:r>
          </w:p>
        </w:tc>
        <w:tc>
          <w:tcPr>
            <w:tcW w:w="3599" w:type="dxa"/>
            <w:vAlign w:val="center"/>
          </w:tcPr>
          <w:p>
            <w:pPr>
              <w:pStyle w:val="23"/>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lang w:val="en-US"/>
              </w:rPr>
              <w:t>电气作业安全规程</w:t>
            </w:r>
          </w:p>
        </w:tc>
        <w:tc>
          <w:tcPr>
            <w:tcW w:w="2620" w:type="dxa"/>
            <w:vAlign w:val="center"/>
          </w:tcPr>
          <w:p>
            <w:pPr>
              <w:pStyle w:val="23"/>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lang w:val="en-US"/>
              </w:rPr>
              <w:t>高处作业安全操作规程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186" w:type="dxa"/>
            <w:vAlign w:val="center"/>
          </w:tcPr>
          <w:p>
            <w:pPr>
              <w:pStyle w:val="23"/>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lang w:val="en-US"/>
              </w:rPr>
              <w:t>进入受限空间安全操作规程</w:t>
            </w:r>
          </w:p>
        </w:tc>
        <w:tc>
          <w:tcPr>
            <w:tcW w:w="3599" w:type="dxa"/>
            <w:vAlign w:val="center"/>
          </w:tcPr>
          <w:p>
            <w:pPr>
              <w:pStyle w:val="23"/>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lang w:val="en-US"/>
              </w:rPr>
              <w:t>临时用电作业安全操作规程</w:t>
            </w:r>
          </w:p>
        </w:tc>
        <w:tc>
          <w:tcPr>
            <w:tcW w:w="2620" w:type="dxa"/>
            <w:vAlign w:val="center"/>
          </w:tcPr>
          <w:p>
            <w:pPr>
              <w:pStyle w:val="23"/>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lang w:val="en-US"/>
              </w:rPr>
              <w:t>破土作业安全操作规程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186" w:type="dxa"/>
            <w:vAlign w:val="center"/>
          </w:tcPr>
          <w:p>
            <w:pPr>
              <w:pStyle w:val="23"/>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lang w:val="en-US"/>
              </w:rPr>
              <w:t>抽取罐底水作业安全操作规程</w:t>
            </w:r>
          </w:p>
        </w:tc>
        <w:tc>
          <w:tcPr>
            <w:tcW w:w="3599" w:type="dxa"/>
            <w:vAlign w:val="center"/>
          </w:tcPr>
          <w:p>
            <w:pPr>
              <w:pStyle w:val="23"/>
              <w:keepNext w:val="0"/>
              <w:keepLines w:val="0"/>
              <w:suppressLineNumbers w:val="0"/>
              <w:adjustRightInd w:val="0"/>
              <w:spacing w:before="0" w:beforeAutospacing="0" w:after="0" w:afterAutospacing="0"/>
              <w:ind w:left="0" w:leftChars="0" w:right="0"/>
              <w:jc w:val="center"/>
              <w:rPr>
                <w:rFonts w:hint="eastAsia" w:ascii="Times New Roman" w:hAnsi="Times New Roman" w:eastAsia="宋体" w:cs="Times New Roman"/>
                <w:bCs/>
                <w:sz w:val="21"/>
                <w:szCs w:val="21"/>
                <w:highlight w:val="none"/>
                <w:lang w:val="en-US" w:eastAsia="zh-CN"/>
              </w:rPr>
            </w:pPr>
            <w:r>
              <w:rPr>
                <w:rFonts w:hint="eastAsia" w:ascii="Times New Roman" w:hAnsi="Times New Roman" w:cs="Times New Roman"/>
                <w:bCs/>
                <w:sz w:val="21"/>
                <w:szCs w:val="21"/>
                <w:highlight w:val="none"/>
                <w:lang w:val="en-US" w:eastAsia="zh-CN"/>
              </w:rPr>
              <w:t>全自动洗车机安全操作规程</w:t>
            </w:r>
          </w:p>
        </w:tc>
        <w:tc>
          <w:tcPr>
            <w:tcW w:w="2620" w:type="dxa"/>
            <w:vAlign w:val="center"/>
          </w:tcPr>
          <w:p>
            <w:pPr>
              <w:pStyle w:val="23"/>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bCs/>
                <w:sz w:val="21"/>
                <w:szCs w:val="21"/>
                <w:highlight w:val="none"/>
                <w:lang w:val="en-US"/>
              </w:rPr>
            </w:pPr>
          </w:p>
        </w:tc>
      </w:tr>
    </w:tbl>
    <w:p>
      <w:pPr>
        <w:spacing w:line="500" w:lineRule="exact"/>
        <w:ind w:firstLine="560" w:firstLineChars="200"/>
        <w:rPr>
          <w:rFonts w:hint="default" w:ascii="Times New Roman" w:hAnsi="Times New Roman" w:cs="Times New Roman"/>
          <w:sz w:val="28"/>
          <w:highlight w:val="none"/>
        </w:rPr>
      </w:pPr>
      <w:r>
        <w:rPr>
          <w:rFonts w:hint="default" w:ascii="Times New Roman" w:hAnsi="Times New Roman" w:cs="Times New Roman"/>
          <w:sz w:val="28"/>
          <w:highlight w:val="none"/>
          <w:lang w:val="en-US"/>
        </w:rPr>
        <w:t>4</w:t>
      </w:r>
      <w:r>
        <w:rPr>
          <w:rFonts w:hint="default" w:ascii="Times New Roman" w:hAnsi="Times New Roman" w:cs="Times New Roman"/>
          <w:sz w:val="28"/>
          <w:highlight w:val="none"/>
        </w:rPr>
        <w:t>）应急预案</w:t>
      </w:r>
    </w:p>
    <w:p>
      <w:pPr>
        <w:pStyle w:val="11"/>
        <w:spacing w:line="500" w:lineRule="exact"/>
        <w:ind w:firstLine="532" w:firstLineChars="200"/>
        <w:rPr>
          <w:rFonts w:hint="default" w:ascii="Times New Roman" w:hAnsi="Times New Roman" w:cs="Times New Roman"/>
          <w:spacing w:val="-7"/>
          <w:highlight w:val="yellow"/>
        </w:rPr>
      </w:pPr>
      <w:r>
        <w:rPr>
          <w:rFonts w:hint="default" w:ascii="Times New Roman" w:hAnsi="Times New Roman" w:cs="Times New Roman"/>
          <w:spacing w:val="-7"/>
          <w:highlight w:val="none"/>
        </w:rPr>
        <w:t>该加油站按照《生产经营单位生产安全事故应急救援预案编制导则》（GB/T29639-2013）的要求，编制了《</w:t>
      </w:r>
      <w:r>
        <w:rPr>
          <w:rFonts w:hint="eastAsia" w:ascii="Times New Roman" w:hAnsi="Times New Roman" w:cs="Times New Roman"/>
          <w:spacing w:val="-7"/>
          <w:highlight w:val="none"/>
          <w:lang w:eastAsia="zh-CN"/>
        </w:rPr>
        <w:t>中国石化销售股份有限公司广东东莞石碣唐洪东城加油站</w:t>
      </w:r>
      <w:r>
        <w:rPr>
          <w:rFonts w:hint="default" w:ascii="Times New Roman" w:hAnsi="Times New Roman" w:cs="Times New Roman"/>
          <w:spacing w:val="-7"/>
          <w:highlight w:val="none"/>
        </w:rPr>
        <w:t>生产安全事故应急预案》，并</w:t>
      </w:r>
      <w:r>
        <w:rPr>
          <w:rFonts w:hint="eastAsia" w:ascii="Times New Roman" w:hAnsi="Times New Roman" w:cs="Times New Roman"/>
          <w:spacing w:val="-7"/>
          <w:highlight w:val="none"/>
          <w:lang w:eastAsia="zh-CN"/>
        </w:rPr>
        <w:t>经专家评审通过后</w:t>
      </w:r>
      <w:r>
        <w:rPr>
          <w:rFonts w:hint="default" w:ascii="Times New Roman" w:hAnsi="Times New Roman" w:cs="Times New Roman"/>
          <w:spacing w:val="-7"/>
          <w:highlight w:val="none"/>
        </w:rPr>
        <w:t>取得东莞市应急管理局出具的《生产经营单位生产安全事故应急预案备案登记表》。</w:t>
      </w:r>
    </w:p>
    <w:p>
      <w:pPr>
        <w:pStyle w:val="11"/>
        <w:spacing w:line="500" w:lineRule="exact"/>
        <w:rPr>
          <w:rFonts w:hint="default" w:ascii="Times New Roman" w:hAnsi="Times New Roman" w:cs="Times New Roman"/>
        </w:rPr>
      </w:pPr>
    </w:p>
    <w:p>
      <w:pPr>
        <w:spacing w:beforeLines="100" w:afterLines="100"/>
        <w:jc w:val="center"/>
        <w:outlineLvl w:val="1"/>
        <w:rPr>
          <w:rFonts w:hint="default" w:ascii="Times New Roman" w:hAnsi="Times New Roman" w:cs="Times New Roman"/>
          <w:b/>
          <w:sz w:val="32"/>
          <w:szCs w:val="32"/>
        </w:rPr>
      </w:pPr>
      <w:bookmarkStart w:id="500" w:name="_Toc16750"/>
      <w:bookmarkStart w:id="501" w:name="_Toc10248_WPSOffice_Level2"/>
      <w:bookmarkStart w:id="502" w:name="_Toc5911"/>
      <w:bookmarkStart w:id="503" w:name="_Toc26186"/>
      <w:bookmarkStart w:id="504" w:name="_Toc24164"/>
      <w:bookmarkStart w:id="505" w:name="_Toc5360"/>
      <w:bookmarkStart w:id="506" w:name="_Toc8412"/>
      <w:bookmarkStart w:id="507" w:name="_Toc27076"/>
      <w:bookmarkStart w:id="508" w:name="_Toc8989"/>
      <w:bookmarkStart w:id="509" w:name="_Toc31625"/>
      <w:bookmarkStart w:id="510" w:name="_Toc11368"/>
      <w:bookmarkStart w:id="511" w:name="_Toc7751"/>
      <w:bookmarkStart w:id="512" w:name="_Toc24438_WPSOffice_Level2"/>
      <w:bookmarkStart w:id="513" w:name="_Toc9640"/>
      <w:bookmarkStart w:id="514" w:name="_Toc4902"/>
      <w:bookmarkStart w:id="515" w:name="_Toc9025"/>
      <w:bookmarkStart w:id="516" w:name="_Toc32520"/>
      <w:bookmarkStart w:id="517" w:name="_Toc22935"/>
      <w:bookmarkStart w:id="518" w:name="_Toc13217"/>
      <w:bookmarkStart w:id="519" w:name="_Toc22146"/>
      <w:bookmarkStart w:id="520" w:name="_Toc31993"/>
      <w:bookmarkStart w:id="521" w:name="_Toc5925"/>
      <w:bookmarkStart w:id="522" w:name="_Toc21860"/>
      <w:bookmarkStart w:id="523" w:name="_Toc3576"/>
      <w:bookmarkStart w:id="524" w:name="_Toc32500"/>
      <w:bookmarkStart w:id="525" w:name="_Toc11566"/>
      <w:bookmarkStart w:id="526" w:name="_Toc10962_WPSOffice_Level2"/>
      <w:bookmarkStart w:id="527" w:name="_Toc2032"/>
      <w:bookmarkStart w:id="528" w:name="_Toc27735"/>
      <w:bookmarkStart w:id="529" w:name="_Toc1274"/>
      <w:bookmarkStart w:id="530" w:name="_Toc13759"/>
      <w:bookmarkStart w:id="531" w:name="_Toc30004"/>
      <w:bookmarkStart w:id="532" w:name="_Toc32701"/>
      <w:bookmarkStart w:id="533" w:name="_Toc27714"/>
      <w:bookmarkStart w:id="534" w:name="_Toc31053"/>
      <w:bookmarkStart w:id="535" w:name="_Toc14452"/>
      <w:bookmarkStart w:id="536" w:name="_Toc20925"/>
      <w:bookmarkStart w:id="537" w:name="_Toc27468"/>
      <w:bookmarkStart w:id="538" w:name="_Toc11746"/>
      <w:bookmarkStart w:id="539" w:name="_Toc24454"/>
      <w:bookmarkStart w:id="540" w:name="_Toc32371"/>
      <w:bookmarkStart w:id="541" w:name="_Toc8251"/>
      <w:bookmarkStart w:id="542" w:name="_Toc11451"/>
      <w:bookmarkStart w:id="543" w:name="_Toc11318"/>
      <w:bookmarkStart w:id="544" w:name="_Toc4978"/>
      <w:bookmarkStart w:id="545" w:name="_Toc27026"/>
      <w:bookmarkStart w:id="546" w:name="_Toc16217"/>
      <w:bookmarkStart w:id="547" w:name="_Toc306"/>
      <w:bookmarkStart w:id="548" w:name="_Toc22989"/>
      <w:bookmarkStart w:id="549" w:name="_Toc17196"/>
      <w:bookmarkStart w:id="550" w:name="_Toc4013"/>
      <w:bookmarkStart w:id="551" w:name="_Toc14347"/>
      <w:bookmarkStart w:id="552" w:name="_Toc14898"/>
      <w:bookmarkStart w:id="553" w:name="_Toc21809"/>
      <w:bookmarkStart w:id="554" w:name="_Toc13729"/>
      <w:bookmarkStart w:id="555" w:name="_Toc15002"/>
      <w:bookmarkStart w:id="556" w:name="_Toc31555"/>
      <w:bookmarkStart w:id="557" w:name="_Toc103"/>
      <w:bookmarkStart w:id="558" w:name="_Toc28517"/>
      <w:bookmarkStart w:id="559" w:name="_Toc26761"/>
      <w:bookmarkStart w:id="560" w:name="_Toc6582"/>
      <w:bookmarkStart w:id="561" w:name="_Toc31237"/>
      <w:bookmarkStart w:id="562" w:name="_Toc2678"/>
      <w:bookmarkStart w:id="563" w:name="_Toc13357"/>
      <w:bookmarkStart w:id="564" w:name="_Toc2199"/>
      <w:bookmarkStart w:id="565" w:name="_Toc4007_WPSOffice_Level2"/>
      <w:bookmarkStart w:id="566" w:name="_Toc14543"/>
      <w:bookmarkStart w:id="567" w:name="_Toc14959"/>
      <w:bookmarkStart w:id="568" w:name="_Toc8988"/>
      <w:bookmarkStart w:id="569" w:name="_Toc8230"/>
      <w:r>
        <w:rPr>
          <w:rFonts w:hint="default" w:ascii="Times New Roman" w:hAnsi="Times New Roman" w:cs="Times New Roman"/>
          <w:b/>
          <w:sz w:val="32"/>
          <w:szCs w:val="32"/>
        </w:rPr>
        <w:t>2.</w:t>
      </w:r>
      <w:r>
        <w:rPr>
          <w:rFonts w:hint="default" w:ascii="Times New Roman" w:hAnsi="Times New Roman" w:cs="Times New Roman"/>
          <w:b/>
          <w:sz w:val="32"/>
          <w:szCs w:val="32"/>
          <w:lang w:val="en-US"/>
        </w:rPr>
        <w:t xml:space="preserve">9 </w:t>
      </w:r>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r>
        <w:rPr>
          <w:rFonts w:hint="default" w:ascii="Times New Roman" w:hAnsi="Times New Roman" w:cs="Times New Roman"/>
          <w:b/>
          <w:sz w:val="32"/>
          <w:szCs w:val="32"/>
        </w:rPr>
        <w:t>安全设施的施工、检验、检测和调试情况</w:t>
      </w:r>
      <w:bookmarkEnd w:id="567"/>
      <w:bookmarkEnd w:id="568"/>
      <w:bookmarkEnd w:id="569"/>
    </w:p>
    <w:p>
      <w:pPr>
        <w:pStyle w:val="5"/>
        <w:spacing w:beforeLines="100" w:afterLines="50" w:line="240" w:lineRule="auto"/>
        <w:ind w:firstLine="562" w:firstLineChars="200"/>
        <w:rPr>
          <w:rFonts w:hint="default" w:ascii="Times New Roman" w:hAnsi="Times New Roman" w:cs="Times New Roman"/>
          <w:sz w:val="28"/>
          <w:szCs w:val="28"/>
          <w:lang w:val="en-US"/>
        </w:rPr>
      </w:pPr>
      <w:r>
        <w:rPr>
          <w:rFonts w:hint="default" w:ascii="Times New Roman" w:hAnsi="Times New Roman" w:cs="Times New Roman"/>
          <w:sz w:val="28"/>
          <w:szCs w:val="28"/>
          <w:lang w:val="en-US"/>
        </w:rPr>
        <w:t>2.</w:t>
      </w:r>
      <w:r>
        <w:rPr>
          <w:rFonts w:hint="eastAsia" w:ascii="Times New Roman" w:hAnsi="Times New Roman" w:cs="Times New Roman"/>
          <w:sz w:val="28"/>
          <w:szCs w:val="28"/>
          <w:lang w:val="en-US" w:eastAsia="zh-CN"/>
        </w:rPr>
        <w:t>9</w:t>
      </w:r>
      <w:r>
        <w:rPr>
          <w:rFonts w:hint="default" w:ascii="Times New Roman" w:hAnsi="Times New Roman" w:cs="Times New Roman"/>
          <w:sz w:val="28"/>
          <w:szCs w:val="28"/>
          <w:lang w:val="en-US"/>
        </w:rPr>
        <w:t>.1 项目建设情况</w:t>
      </w:r>
    </w:p>
    <w:p>
      <w:pPr>
        <w:spacing w:line="500" w:lineRule="exact"/>
        <w:ind w:firstLine="560" w:firstLineChars="200"/>
        <w:rPr>
          <w:rFonts w:hint="default" w:ascii="Times New Roman" w:hAnsi="Times New Roman" w:cs="Times New Roman"/>
          <w:sz w:val="28"/>
          <w:lang w:val="en-US"/>
        </w:rPr>
      </w:pPr>
      <w:r>
        <w:rPr>
          <w:rFonts w:hint="eastAsia" w:ascii="Times New Roman" w:hAnsi="Times New Roman" w:cs="Times New Roman"/>
          <w:sz w:val="28"/>
          <w:lang w:val="en-US" w:eastAsia="zh-CN"/>
        </w:rPr>
        <w:t>东城加油站</w:t>
      </w:r>
      <w:r>
        <w:rPr>
          <w:rFonts w:hint="default" w:ascii="Times New Roman" w:hAnsi="Times New Roman" w:cs="Times New Roman"/>
          <w:sz w:val="28"/>
          <w:lang w:val="en-US"/>
        </w:rPr>
        <w:t>新增洗自动车机项目由天津中德工程设计有限公司承担设计</w:t>
      </w:r>
      <w:r>
        <w:rPr>
          <w:rFonts w:hint="eastAsia" w:ascii="Times New Roman" w:hAnsi="Times New Roman" w:cs="Times New Roman"/>
          <w:sz w:val="28"/>
          <w:lang w:val="en-US" w:eastAsia="zh-CN"/>
        </w:rPr>
        <w:t>，洗车机</w:t>
      </w:r>
      <w:r>
        <w:rPr>
          <w:rFonts w:hint="default" w:ascii="Times New Roman" w:hAnsi="Times New Roman" w:cs="Times New Roman"/>
          <w:sz w:val="28"/>
          <w:lang w:val="en-US"/>
        </w:rPr>
        <w:t>设备由</w:t>
      </w:r>
      <w:r>
        <w:rPr>
          <w:rFonts w:hint="eastAsia" w:ascii="Times New Roman" w:hAnsi="Times New Roman" w:cs="Times New Roman"/>
          <w:color w:val="auto"/>
          <w:sz w:val="28"/>
          <w:highlight w:val="none"/>
          <w:lang w:val="en-US" w:eastAsia="zh-CN"/>
        </w:rPr>
        <w:t>洗车机设备供应商</w:t>
      </w:r>
      <w:r>
        <w:rPr>
          <w:rFonts w:hint="default" w:ascii="Times New Roman" w:hAnsi="Times New Roman" w:cs="Times New Roman"/>
          <w:sz w:val="28"/>
          <w:lang w:val="en-US"/>
        </w:rPr>
        <w:t>进行安装</w:t>
      </w:r>
      <w:r>
        <w:rPr>
          <w:rFonts w:hint="eastAsia" w:ascii="Times New Roman" w:hAnsi="Times New Roman" w:cs="Times New Roman"/>
          <w:sz w:val="28"/>
          <w:lang w:val="en-US" w:eastAsia="zh-CN"/>
        </w:rPr>
        <w:t>，</w:t>
      </w:r>
      <w:r>
        <w:rPr>
          <w:rFonts w:hint="default" w:ascii="Times New Roman" w:hAnsi="Times New Roman" w:cs="Times New Roman"/>
          <w:sz w:val="28"/>
          <w:lang w:val="en-US"/>
        </w:rPr>
        <w:t>已完工。</w:t>
      </w:r>
    </w:p>
    <w:p>
      <w:pPr>
        <w:pStyle w:val="5"/>
        <w:spacing w:beforeLines="100" w:afterLines="50" w:line="240" w:lineRule="auto"/>
        <w:ind w:firstLine="562" w:firstLineChars="200"/>
        <w:rPr>
          <w:rFonts w:hint="default" w:ascii="Times New Roman" w:hAnsi="Times New Roman" w:cs="Times New Roman"/>
          <w:sz w:val="28"/>
          <w:szCs w:val="28"/>
          <w:lang w:val="en-US"/>
        </w:rPr>
      </w:pPr>
      <w:r>
        <w:rPr>
          <w:rFonts w:hint="default" w:ascii="Times New Roman" w:hAnsi="Times New Roman" w:cs="Times New Roman"/>
          <w:sz w:val="28"/>
          <w:szCs w:val="28"/>
          <w:lang w:val="en-US"/>
        </w:rPr>
        <w:t>2.</w:t>
      </w:r>
      <w:r>
        <w:rPr>
          <w:rFonts w:hint="eastAsia" w:ascii="Times New Roman" w:hAnsi="Times New Roman" w:cs="Times New Roman"/>
          <w:sz w:val="28"/>
          <w:szCs w:val="28"/>
          <w:lang w:val="en-US" w:eastAsia="zh-CN"/>
        </w:rPr>
        <w:t>9</w:t>
      </w:r>
      <w:r>
        <w:rPr>
          <w:rFonts w:hint="default" w:ascii="Times New Roman" w:hAnsi="Times New Roman" w:cs="Times New Roman"/>
          <w:sz w:val="28"/>
          <w:szCs w:val="28"/>
          <w:lang w:val="en-US"/>
        </w:rPr>
        <w:t>.2 建设项目安全设施的施工质量情况</w:t>
      </w:r>
    </w:p>
    <w:p>
      <w:pPr>
        <w:spacing w:line="500" w:lineRule="exact"/>
        <w:ind w:firstLine="560" w:firstLineChars="200"/>
        <w:rPr>
          <w:rFonts w:hint="default" w:ascii="Times New Roman" w:hAnsi="Times New Roman" w:cs="Times New Roman"/>
          <w:sz w:val="28"/>
          <w:lang w:val="en-US"/>
        </w:rPr>
      </w:pPr>
      <w:r>
        <w:rPr>
          <w:rFonts w:hint="default" w:ascii="Times New Roman" w:hAnsi="Times New Roman" w:cs="Times New Roman"/>
          <w:sz w:val="28"/>
          <w:lang w:val="en-US"/>
        </w:rPr>
        <w:t>加油站消防器材状况良好，加油站设备、设施、管道、仪表等安装符合《汽车加油加气站设计与施工规范》（GB50156-2012，2014版）要求。建筑物站房、加油亭等未发现有不良情况。建设项目施工过程均进行了有效监控，并对施工过程进行了记录。</w:t>
      </w:r>
    </w:p>
    <w:p>
      <w:pPr>
        <w:pStyle w:val="5"/>
        <w:spacing w:beforeLines="100" w:afterLines="50" w:line="240" w:lineRule="auto"/>
        <w:ind w:firstLine="562" w:firstLineChars="200"/>
        <w:rPr>
          <w:rFonts w:hint="default" w:ascii="Times New Roman" w:hAnsi="Times New Roman" w:cs="Times New Roman"/>
          <w:sz w:val="28"/>
          <w:szCs w:val="28"/>
          <w:lang w:val="en-US"/>
        </w:rPr>
      </w:pPr>
      <w:r>
        <w:rPr>
          <w:rFonts w:hint="default" w:ascii="Times New Roman" w:hAnsi="Times New Roman" w:cs="Times New Roman"/>
          <w:sz w:val="28"/>
          <w:szCs w:val="28"/>
          <w:lang w:val="en-US"/>
        </w:rPr>
        <w:t>2.</w:t>
      </w:r>
      <w:r>
        <w:rPr>
          <w:rFonts w:hint="eastAsia" w:ascii="Times New Roman" w:hAnsi="Times New Roman" w:cs="Times New Roman"/>
          <w:sz w:val="28"/>
          <w:szCs w:val="28"/>
          <w:lang w:val="en-US" w:eastAsia="zh-CN"/>
        </w:rPr>
        <w:t>9</w:t>
      </w:r>
      <w:r>
        <w:rPr>
          <w:rFonts w:hint="default" w:ascii="Times New Roman" w:hAnsi="Times New Roman" w:cs="Times New Roman"/>
          <w:sz w:val="28"/>
          <w:szCs w:val="28"/>
          <w:lang w:val="en-US"/>
        </w:rPr>
        <w:t>.3 建设项目安全设施在施工前后的检验、检测情况及有效性情况</w:t>
      </w:r>
    </w:p>
    <w:p>
      <w:pPr>
        <w:spacing w:line="500" w:lineRule="exact"/>
        <w:ind w:firstLine="560" w:firstLineChars="200"/>
        <w:rPr>
          <w:rFonts w:hint="default" w:ascii="Times New Roman" w:hAnsi="Times New Roman" w:cs="Times New Roman"/>
          <w:sz w:val="28"/>
          <w:lang w:val="en-US"/>
        </w:rPr>
      </w:pPr>
      <w:r>
        <w:rPr>
          <w:rFonts w:hint="default" w:ascii="Times New Roman" w:hAnsi="Times New Roman" w:cs="Times New Roman"/>
          <w:sz w:val="28"/>
          <w:lang w:val="en-US"/>
        </w:rPr>
        <w:t>加油站防雷装置经检测符合要求，加油站建筑工程整体原已经消防部门进行验收符合要求，建设项目无特种设备。</w:t>
      </w:r>
    </w:p>
    <w:p>
      <w:pPr>
        <w:pStyle w:val="5"/>
        <w:spacing w:beforeLines="100" w:afterLines="50" w:line="240" w:lineRule="auto"/>
        <w:ind w:firstLine="562" w:firstLineChars="200"/>
        <w:rPr>
          <w:rFonts w:hint="default" w:ascii="Times New Roman" w:hAnsi="Times New Roman" w:cs="Times New Roman"/>
          <w:sz w:val="28"/>
          <w:szCs w:val="28"/>
          <w:lang w:val="en-US"/>
        </w:rPr>
      </w:pPr>
      <w:r>
        <w:rPr>
          <w:rFonts w:hint="default" w:ascii="Times New Roman" w:hAnsi="Times New Roman" w:cs="Times New Roman"/>
          <w:sz w:val="28"/>
          <w:szCs w:val="28"/>
          <w:lang w:val="en-US"/>
        </w:rPr>
        <w:t>2.</w:t>
      </w:r>
      <w:r>
        <w:rPr>
          <w:rFonts w:hint="eastAsia" w:ascii="Times New Roman" w:hAnsi="Times New Roman" w:cs="Times New Roman"/>
          <w:sz w:val="28"/>
          <w:szCs w:val="28"/>
          <w:lang w:val="en-US" w:eastAsia="zh-CN"/>
        </w:rPr>
        <w:t>9</w:t>
      </w:r>
      <w:r>
        <w:rPr>
          <w:rFonts w:hint="default" w:ascii="Times New Roman" w:hAnsi="Times New Roman" w:cs="Times New Roman"/>
          <w:sz w:val="28"/>
          <w:szCs w:val="28"/>
          <w:lang w:val="en-US"/>
        </w:rPr>
        <w:t>.4 建设项目安全设施试生产（使用）前的调试情况</w:t>
      </w:r>
    </w:p>
    <w:p>
      <w:pPr>
        <w:spacing w:line="500" w:lineRule="exact"/>
        <w:ind w:firstLine="560" w:firstLineChars="200"/>
        <w:rPr>
          <w:rFonts w:hint="default" w:ascii="Times New Roman" w:hAnsi="Times New Roman" w:cs="Times New Roman"/>
          <w:sz w:val="28"/>
        </w:rPr>
      </w:pPr>
      <w:r>
        <w:rPr>
          <w:rFonts w:hint="default" w:ascii="Times New Roman" w:hAnsi="Times New Roman" w:cs="Times New Roman"/>
          <w:sz w:val="28"/>
          <w:lang w:val="en-US"/>
        </w:rPr>
        <w:t>建设项目安全设施试生产（使用）前均对新增自动洗车机</w:t>
      </w:r>
      <w:r>
        <w:rPr>
          <w:rFonts w:hint="eastAsia" w:ascii="Times New Roman" w:hAnsi="Times New Roman" w:cs="Times New Roman"/>
          <w:sz w:val="28"/>
          <w:lang w:val="en-US" w:eastAsia="zh-CN"/>
        </w:rPr>
        <w:t>设备</w:t>
      </w:r>
      <w:r>
        <w:rPr>
          <w:rFonts w:hint="default" w:ascii="Times New Roman" w:hAnsi="Times New Roman" w:cs="Times New Roman"/>
          <w:sz w:val="28"/>
          <w:lang w:val="en-US"/>
        </w:rPr>
        <w:t>设施进行了全面调试和检查，设备设施均处于良好状态。未发生其它问题和其它种类事故，调试情况良好。</w:t>
      </w:r>
    </w:p>
    <w:p>
      <w:pPr>
        <w:rPr>
          <w:rFonts w:hint="default" w:ascii="Times New Roman" w:hAnsi="Times New Roman" w:cs="Times New Roman"/>
          <w:lang w:val="en-US"/>
        </w:rPr>
      </w:pPr>
      <w:bookmarkStart w:id="570" w:name="_Toc30254"/>
      <w:bookmarkStart w:id="571" w:name="_Toc22948_WPSOffice_Level1"/>
      <w:bookmarkStart w:id="572" w:name="_Toc28088_WPSOffice_Level1"/>
      <w:bookmarkStart w:id="573" w:name="_Toc16226"/>
      <w:bookmarkStart w:id="574" w:name="_Toc529176488"/>
      <w:bookmarkStart w:id="575" w:name="_Toc7938_WPSOffice_Level1"/>
      <w:r>
        <w:rPr>
          <w:rFonts w:hint="default" w:ascii="Times New Roman" w:hAnsi="Times New Roman" w:cs="Times New Roman"/>
          <w:lang w:val="en-US"/>
        </w:rPr>
        <w:br w:type="page"/>
      </w:r>
    </w:p>
    <w:bookmarkEnd w:id="570"/>
    <w:bookmarkEnd w:id="571"/>
    <w:bookmarkEnd w:id="572"/>
    <w:bookmarkEnd w:id="573"/>
    <w:bookmarkEnd w:id="574"/>
    <w:bookmarkEnd w:id="575"/>
    <w:p>
      <w:pPr>
        <w:pStyle w:val="3"/>
        <w:spacing w:beforeLines="100" w:afterLines="100"/>
        <w:ind w:firstLine="0"/>
        <w:jc w:val="center"/>
        <w:rPr>
          <w:rFonts w:hint="default" w:ascii="Times New Roman" w:hAnsi="Times New Roman" w:cs="Times New Roman"/>
        </w:rPr>
      </w:pPr>
      <w:bookmarkStart w:id="576" w:name="_Toc26936"/>
      <w:bookmarkStart w:id="577" w:name="_Toc20844"/>
      <w:bookmarkStart w:id="578" w:name="_Toc8931"/>
      <w:bookmarkStart w:id="579" w:name="_Toc7862"/>
      <w:bookmarkStart w:id="580" w:name="_Toc26424"/>
      <w:bookmarkStart w:id="581" w:name="_Toc8196"/>
      <w:bookmarkStart w:id="582" w:name="_Toc23491"/>
      <w:bookmarkStart w:id="583" w:name="_Toc744"/>
      <w:bookmarkStart w:id="584" w:name="_Toc1650"/>
      <w:bookmarkStart w:id="585" w:name="_Toc7334"/>
      <w:bookmarkStart w:id="586" w:name="_Toc31628"/>
      <w:bookmarkStart w:id="587" w:name="_Toc17962"/>
      <w:bookmarkStart w:id="588" w:name="_Toc19714"/>
      <w:bookmarkStart w:id="589" w:name="_Toc27797"/>
      <w:bookmarkStart w:id="590" w:name="_Toc6477"/>
      <w:bookmarkStart w:id="591" w:name="_Toc15341"/>
      <w:bookmarkStart w:id="592" w:name="_Toc8957"/>
      <w:bookmarkStart w:id="593" w:name="_Toc8512"/>
      <w:bookmarkStart w:id="594" w:name="_Toc24952"/>
      <w:bookmarkStart w:id="595" w:name="_Toc7310_WPSOffice_Level1"/>
      <w:bookmarkStart w:id="596" w:name="_Toc4009_WPSOffice_Level1"/>
      <w:bookmarkStart w:id="597" w:name="_Toc15072"/>
      <w:bookmarkStart w:id="598" w:name="_Toc14935_WPSOffice_Level1"/>
      <w:r>
        <w:rPr>
          <w:rFonts w:hint="default" w:ascii="Times New Roman" w:hAnsi="Times New Roman" w:cs="Times New Roman"/>
          <w:lang w:val="en-US"/>
        </w:rPr>
        <w:t>3</w:t>
      </w:r>
      <w:r>
        <w:rPr>
          <w:rFonts w:hint="default" w:ascii="Times New Roman" w:hAnsi="Times New Roman" w:cs="Times New Roman"/>
        </w:rPr>
        <w:t xml:space="preserve"> 危险、有害因素的辨识结果及依据说明</w:t>
      </w:r>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p>
    <w:p>
      <w:pPr>
        <w:spacing w:line="360" w:lineRule="auto"/>
        <w:jc w:val="center"/>
        <w:outlineLvl w:val="1"/>
        <w:rPr>
          <w:rFonts w:hint="default" w:ascii="Times New Roman" w:hAnsi="Times New Roman" w:cs="Times New Roman"/>
          <w:b/>
          <w:sz w:val="32"/>
          <w:szCs w:val="32"/>
        </w:rPr>
      </w:pPr>
      <w:bookmarkStart w:id="599" w:name="_Toc1060"/>
      <w:bookmarkStart w:id="600" w:name="_Toc20786"/>
      <w:bookmarkStart w:id="601" w:name="_Toc28459"/>
      <w:bookmarkStart w:id="602" w:name="_Toc19363"/>
      <w:bookmarkStart w:id="603" w:name="_Toc20364"/>
      <w:bookmarkStart w:id="604" w:name="_Toc10991"/>
      <w:bookmarkStart w:id="605" w:name="_Toc6801"/>
      <w:bookmarkStart w:id="606" w:name="_Toc528343540"/>
      <w:bookmarkStart w:id="607" w:name="_Toc529176489"/>
      <w:bookmarkStart w:id="608" w:name="_Toc1434"/>
      <w:bookmarkStart w:id="609" w:name="_Toc28088_WPSOffice_Level2"/>
      <w:bookmarkStart w:id="610" w:name="_Toc10603_WPSOffice_Level2"/>
      <w:bookmarkStart w:id="611" w:name="_Toc22307"/>
      <w:bookmarkStart w:id="612" w:name="_Toc25709"/>
      <w:bookmarkStart w:id="613" w:name="_Toc26913"/>
      <w:bookmarkStart w:id="614" w:name="_Toc32073"/>
      <w:bookmarkStart w:id="615" w:name="_Toc12337"/>
      <w:bookmarkStart w:id="616" w:name="_Toc21924"/>
      <w:bookmarkStart w:id="617" w:name="_Toc7675"/>
      <w:bookmarkStart w:id="618" w:name="_Toc18277"/>
      <w:bookmarkStart w:id="619" w:name="_Toc22901"/>
      <w:bookmarkStart w:id="620" w:name="_Toc29072"/>
      <w:bookmarkStart w:id="621" w:name="_Toc30758"/>
      <w:bookmarkStart w:id="622" w:name="_Toc28628"/>
      <w:bookmarkStart w:id="623" w:name="_Toc7938_WPSOffice_Level2"/>
      <w:r>
        <w:rPr>
          <w:rFonts w:hint="default" w:ascii="Times New Roman" w:hAnsi="Times New Roman" w:cs="Times New Roman"/>
          <w:b/>
          <w:sz w:val="32"/>
          <w:szCs w:val="32"/>
        </w:rPr>
        <w:t>3.1</w:t>
      </w:r>
      <w:r>
        <w:rPr>
          <w:rFonts w:hint="default" w:ascii="Times New Roman" w:hAnsi="Times New Roman" w:cs="Times New Roman"/>
          <w:b/>
          <w:sz w:val="32"/>
          <w:szCs w:val="32"/>
          <w:lang w:val="en-US"/>
        </w:rPr>
        <w:t xml:space="preserve"> </w:t>
      </w:r>
      <w:r>
        <w:rPr>
          <w:rFonts w:hint="default" w:ascii="Times New Roman" w:hAnsi="Times New Roman" w:cs="Times New Roman"/>
          <w:b/>
          <w:sz w:val="32"/>
          <w:szCs w:val="32"/>
        </w:rPr>
        <w:t>相关化学品辨识结果</w:t>
      </w:r>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p>
    <w:p>
      <w:pPr>
        <w:spacing w:line="500" w:lineRule="exact"/>
        <w:ind w:firstLine="532" w:firstLineChars="200"/>
        <w:rPr>
          <w:rFonts w:hint="eastAsia" w:ascii="Times New Roman" w:hAnsi="Times New Roman" w:eastAsia="宋体" w:cs="Times New Roman"/>
          <w:spacing w:val="-7"/>
          <w:sz w:val="28"/>
          <w:szCs w:val="28"/>
          <w:lang w:val="zh-CN" w:eastAsia="zh-CN" w:bidi="zh-CN"/>
        </w:rPr>
      </w:pPr>
      <w:bookmarkStart w:id="624" w:name="_Hlk528173427"/>
      <w:r>
        <w:rPr>
          <w:rFonts w:hint="eastAsia" w:ascii="Times New Roman" w:hAnsi="Times New Roman" w:eastAsia="宋体" w:cs="Times New Roman"/>
          <w:spacing w:val="-7"/>
          <w:sz w:val="28"/>
          <w:szCs w:val="28"/>
          <w:lang w:val="zh-CN" w:eastAsia="zh-CN" w:bidi="zh-CN"/>
        </w:rPr>
        <w:t>该油站新增自动洗车机后，油站的危险化学品经营储存情况未改变，仍为汽油和柴油，其他设备设施也不改变。</w:t>
      </w:r>
    </w:p>
    <w:p>
      <w:pPr>
        <w:spacing w:line="500" w:lineRule="exact"/>
        <w:ind w:firstLine="532" w:firstLineChars="200"/>
        <w:rPr>
          <w:rFonts w:hint="default" w:ascii="Times New Roman" w:hAnsi="Times New Roman" w:cs="Times New Roman"/>
          <w:sz w:val="28"/>
          <w:szCs w:val="28"/>
        </w:rPr>
      </w:pPr>
      <w:r>
        <w:rPr>
          <w:rFonts w:hint="default" w:ascii="Times New Roman" w:hAnsi="Times New Roman" w:cs="Times New Roman"/>
          <w:spacing w:val="-7"/>
          <w:sz w:val="28"/>
          <w:szCs w:val="28"/>
        </w:rPr>
        <w:t>根据《危险化学品目录》（2015版）、《易制毒化学品的分类和品种目录》、《各类监控化学品名录》、《易制爆危险化学品名录》（2017年版）、《重点监管的危险化学品名录》（2013年完整版）</w:t>
      </w:r>
      <w:r>
        <w:rPr>
          <w:rFonts w:hint="default" w:ascii="Times New Roman" w:hAnsi="Times New Roman" w:cs="Times New Roman"/>
          <w:spacing w:val="-7"/>
          <w:sz w:val="28"/>
          <w:szCs w:val="28"/>
          <w:lang w:eastAsia="zh-CN"/>
        </w:rPr>
        <w:t>、《特别管控危险化学品名录（第一版）》（应急管理部、工业和信息化部、公安部、交通运输部公告[2020]第3号）</w:t>
      </w:r>
      <w:r>
        <w:rPr>
          <w:rFonts w:hint="default" w:ascii="Times New Roman" w:hAnsi="Times New Roman" w:cs="Times New Roman"/>
          <w:spacing w:val="-7"/>
          <w:sz w:val="28"/>
          <w:szCs w:val="28"/>
        </w:rPr>
        <w:t>等适用法规、标准对涉及危险化学品进行辨识，结果如下表所示：</w:t>
      </w:r>
    </w:p>
    <w:bookmarkEnd w:id="624"/>
    <w:p>
      <w:pPr>
        <w:spacing w:line="500" w:lineRule="exact"/>
        <w:jc w:val="center"/>
        <w:rPr>
          <w:rFonts w:hint="default" w:ascii="Times New Roman" w:hAnsi="Times New Roman" w:cs="Times New Roman"/>
          <w:bCs/>
          <w:sz w:val="28"/>
          <w:szCs w:val="28"/>
        </w:rPr>
      </w:pPr>
      <w:bookmarkStart w:id="625" w:name="_Toc2212_WPSOffice_Level3"/>
      <w:bookmarkStart w:id="626" w:name="_Toc23623_WPSOffice_Level3"/>
      <w:r>
        <w:rPr>
          <w:rFonts w:hint="default" w:ascii="Times New Roman" w:hAnsi="Times New Roman" w:cs="Times New Roman"/>
          <w:bCs/>
          <w:sz w:val="28"/>
          <w:szCs w:val="28"/>
        </w:rPr>
        <w:t>表3</w:t>
      </w:r>
      <w:r>
        <w:rPr>
          <w:rFonts w:hint="default" w:ascii="Times New Roman" w:hAnsi="Times New Roman" w:cs="Times New Roman"/>
          <w:bCs/>
          <w:sz w:val="28"/>
          <w:szCs w:val="28"/>
          <w:lang w:val="en-US"/>
        </w:rPr>
        <w:t>.1</w:t>
      </w:r>
      <w:r>
        <w:rPr>
          <w:rFonts w:hint="default" w:ascii="Times New Roman" w:hAnsi="Times New Roman" w:cs="Times New Roman"/>
          <w:bCs/>
          <w:sz w:val="28"/>
          <w:szCs w:val="28"/>
        </w:rPr>
        <w:t>-1 化学品辨识一览表</w:t>
      </w:r>
      <w:bookmarkEnd w:id="625"/>
      <w:bookmarkEnd w:id="626"/>
    </w:p>
    <w:tbl>
      <w:tblPr>
        <w:tblStyle w:val="29"/>
        <w:tblW w:w="937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19"/>
        <w:gridCol w:w="1048"/>
        <w:gridCol w:w="1044"/>
        <w:gridCol w:w="861"/>
        <w:gridCol w:w="1087"/>
        <w:gridCol w:w="902"/>
        <w:gridCol w:w="838"/>
        <w:gridCol w:w="1225"/>
        <w:gridCol w:w="928"/>
        <w:gridCol w:w="92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519"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序号</w:t>
            </w:r>
          </w:p>
        </w:tc>
        <w:tc>
          <w:tcPr>
            <w:tcW w:w="1048"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名称</w:t>
            </w:r>
          </w:p>
        </w:tc>
        <w:tc>
          <w:tcPr>
            <w:tcW w:w="1044"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危险化学品目录序号</w:t>
            </w:r>
          </w:p>
        </w:tc>
        <w:tc>
          <w:tcPr>
            <w:tcW w:w="861" w:type="dxa"/>
            <w:tcBorders>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危险性类别</w:t>
            </w:r>
          </w:p>
        </w:tc>
        <w:tc>
          <w:tcPr>
            <w:tcW w:w="1087" w:type="dxa"/>
            <w:tcBorders>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是否</w:t>
            </w:r>
          </w:p>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剧毒危险化学品</w:t>
            </w:r>
          </w:p>
        </w:tc>
        <w:tc>
          <w:tcPr>
            <w:tcW w:w="902" w:type="dxa"/>
            <w:tcBorders>
              <w:left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是否</w:t>
            </w:r>
          </w:p>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易制毒</w:t>
            </w:r>
          </w:p>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危险化学品</w:t>
            </w:r>
          </w:p>
        </w:tc>
        <w:tc>
          <w:tcPr>
            <w:tcW w:w="838" w:type="dxa"/>
            <w:tcBorders>
              <w:lef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是否</w:t>
            </w:r>
          </w:p>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监控</w:t>
            </w:r>
          </w:p>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化学品</w:t>
            </w:r>
          </w:p>
        </w:tc>
        <w:tc>
          <w:tcPr>
            <w:tcW w:w="1225" w:type="dxa"/>
            <w:tcBorders>
              <w:lef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是否</w:t>
            </w:r>
          </w:p>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重点监管</w:t>
            </w:r>
          </w:p>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危险化学品</w:t>
            </w:r>
          </w:p>
        </w:tc>
        <w:tc>
          <w:tcPr>
            <w:tcW w:w="928" w:type="dxa"/>
            <w:tcBorders>
              <w:lef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是否</w:t>
            </w:r>
          </w:p>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易制爆</w:t>
            </w:r>
          </w:p>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危险化学品</w:t>
            </w:r>
          </w:p>
        </w:tc>
        <w:tc>
          <w:tcPr>
            <w:tcW w:w="921" w:type="dxa"/>
            <w:tcBorders>
              <w:lef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是否</w:t>
            </w:r>
          </w:p>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szCs w:val="21"/>
              </w:rPr>
            </w:pPr>
            <w:r>
              <w:rPr>
                <w:rFonts w:hint="default" w:ascii="Times New Roman" w:hAnsi="Times New Roman" w:cs="Times New Roman"/>
                <w:szCs w:val="21"/>
              </w:rPr>
              <w:t>特别管控危险化学品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519" w:type="dxa"/>
            <w:vAlign w:val="center"/>
          </w:tcPr>
          <w:p>
            <w:pPr>
              <w:pStyle w:val="37"/>
              <w:keepNext w:val="0"/>
              <w:keepLines w:val="0"/>
              <w:numPr>
                <w:ilvl w:val="0"/>
                <w:numId w:val="2"/>
              </w:numPr>
              <w:suppressLineNumbers w:val="0"/>
              <w:spacing w:before="0" w:beforeAutospacing="0" w:after="0" w:afterAutospacing="0"/>
              <w:ind w:right="0"/>
              <w:jc w:val="center"/>
              <w:rPr>
                <w:rFonts w:hint="default" w:ascii="Times New Roman" w:hAnsi="Times New Roman" w:cs="Times New Roman"/>
                <w:szCs w:val="21"/>
              </w:rPr>
            </w:pPr>
          </w:p>
        </w:tc>
        <w:tc>
          <w:tcPr>
            <w:tcW w:w="1048"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汽油</w:t>
            </w:r>
          </w:p>
        </w:tc>
        <w:tc>
          <w:tcPr>
            <w:tcW w:w="1044"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rPr>
            </w:pPr>
            <w:r>
              <w:rPr>
                <w:rFonts w:hint="default" w:ascii="Times New Roman" w:hAnsi="Times New Roman" w:cs="Times New Roman"/>
              </w:rPr>
              <w:t>1630</w:t>
            </w:r>
          </w:p>
        </w:tc>
        <w:tc>
          <w:tcPr>
            <w:tcW w:w="861" w:type="dxa"/>
            <w:vAlign w:val="center"/>
          </w:tcPr>
          <w:p>
            <w:pPr>
              <w:keepNext w:val="0"/>
              <w:keepLines w:val="0"/>
              <w:suppressLineNumbers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rPr>
              <w:t>易燃液体，类别2</w:t>
            </w:r>
          </w:p>
        </w:tc>
        <w:tc>
          <w:tcPr>
            <w:tcW w:w="1087"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否</w:t>
            </w:r>
          </w:p>
        </w:tc>
        <w:tc>
          <w:tcPr>
            <w:tcW w:w="902"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否</w:t>
            </w:r>
          </w:p>
        </w:tc>
        <w:tc>
          <w:tcPr>
            <w:tcW w:w="838"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否</w:t>
            </w:r>
          </w:p>
        </w:tc>
        <w:tc>
          <w:tcPr>
            <w:tcW w:w="1225"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是</w:t>
            </w:r>
          </w:p>
        </w:tc>
        <w:tc>
          <w:tcPr>
            <w:tcW w:w="928"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否</w:t>
            </w:r>
          </w:p>
        </w:tc>
        <w:tc>
          <w:tcPr>
            <w:tcW w:w="921"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szCs w:val="21"/>
              </w:rPr>
            </w:pPr>
            <w:r>
              <w:rPr>
                <w:rFonts w:hint="default" w:ascii="Times New Roman" w:hAnsi="Times New Roman" w:cs="Times New Roman"/>
                <w:szCs w:val="21"/>
              </w:rPr>
              <w:t>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jc w:val="center"/>
        </w:trPr>
        <w:tc>
          <w:tcPr>
            <w:tcW w:w="519" w:type="dxa"/>
            <w:vAlign w:val="center"/>
          </w:tcPr>
          <w:p>
            <w:pPr>
              <w:pStyle w:val="37"/>
              <w:keepNext w:val="0"/>
              <w:keepLines w:val="0"/>
              <w:numPr>
                <w:ilvl w:val="0"/>
                <w:numId w:val="2"/>
              </w:numPr>
              <w:suppressLineNumbers w:val="0"/>
              <w:spacing w:before="0" w:beforeAutospacing="0" w:after="0" w:afterAutospacing="0"/>
              <w:ind w:right="0"/>
              <w:jc w:val="center"/>
              <w:rPr>
                <w:rFonts w:hint="default" w:ascii="Times New Roman" w:hAnsi="Times New Roman" w:cs="Times New Roman"/>
                <w:szCs w:val="21"/>
              </w:rPr>
            </w:pPr>
          </w:p>
        </w:tc>
        <w:tc>
          <w:tcPr>
            <w:tcW w:w="1048"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rPr>
              <w:t>柴油[闭杯闪点≤60℃]</w:t>
            </w:r>
          </w:p>
        </w:tc>
        <w:tc>
          <w:tcPr>
            <w:tcW w:w="1044"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rPr>
            </w:pPr>
            <w:r>
              <w:rPr>
                <w:rFonts w:hint="default" w:ascii="Times New Roman" w:hAnsi="Times New Roman" w:cs="Times New Roman"/>
              </w:rPr>
              <w:t>1674</w:t>
            </w:r>
          </w:p>
        </w:tc>
        <w:tc>
          <w:tcPr>
            <w:tcW w:w="861" w:type="dxa"/>
            <w:vAlign w:val="center"/>
          </w:tcPr>
          <w:p>
            <w:pPr>
              <w:keepNext w:val="0"/>
              <w:keepLines w:val="0"/>
              <w:suppressLineNumbers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rPr>
              <w:t>易燃液体，类别3</w:t>
            </w:r>
          </w:p>
        </w:tc>
        <w:tc>
          <w:tcPr>
            <w:tcW w:w="1087"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否</w:t>
            </w:r>
          </w:p>
        </w:tc>
        <w:tc>
          <w:tcPr>
            <w:tcW w:w="902"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否</w:t>
            </w:r>
          </w:p>
        </w:tc>
        <w:tc>
          <w:tcPr>
            <w:tcW w:w="838"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否</w:t>
            </w:r>
          </w:p>
        </w:tc>
        <w:tc>
          <w:tcPr>
            <w:tcW w:w="1225"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否</w:t>
            </w:r>
          </w:p>
        </w:tc>
        <w:tc>
          <w:tcPr>
            <w:tcW w:w="928"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否</w:t>
            </w:r>
          </w:p>
        </w:tc>
        <w:tc>
          <w:tcPr>
            <w:tcW w:w="921"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szCs w:val="21"/>
              </w:rPr>
            </w:pPr>
            <w:r>
              <w:rPr>
                <w:rFonts w:hint="default" w:ascii="Times New Roman" w:hAnsi="Times New Roman" w:cs="Times New Roman"/>
                <w:szCs w:val="21"/>
              </w:rPr>
              <w:t>否</w:t>
            </w:r>
          </w:p>
        </w:tc>
      </w:tr>
    </w:tbl>
    <w:p>
      <w:pPr>
        <w:spacing w:beforeLines="100" w:afterLines="100"/>
        <w:jc w:val="center"/>
        <w:rPr>
          <w:rFonts w:hint="default" w:ascii="Times New Roman" w:hAnsi="Times New Roman" w:cs="Times New Roman"/>
          <w:b/>
          <w:sz w:val="32"/>
          <w:szCs w:val="32"/>
        </w:rPr>
      </w:pPr>
      <w:bookmarkStart w:id="627" w:name="_Toc1622_WPSOffice_Level2"/>
      <w:bookmarkStart w:id="628" w:name="_Toc528343541"/>
      <w:bookmarkStart w:id="629" w:name="_Toc529176490"/>
      <w:bookmarkStart w:id="630" w:name="_Toc4009_WPSOffice_Level2"/>
    </w:p>
    <w:p>
      <w:pPr>
        <w:spacing w:beforeLines="100" w:afterLines="100"/>
        <w:jc w:val="center"/>
        <w:outlineLvl w:val="1"/>
        <w:rPr>
          <w:rFonts w:hint="default" w:ascii="Times New Roman" w:hAnsi="Times New Roman" w:cs="Times New Roman"/>
          <w:b/>
          <w:sz w:val="32"/>
          <w:szCs w:val="32"/>
        </w:rPr>
      </w:pPr>
      <w:bookmarkStart w:id="631" w:name="_Toc5143"/>
      <w:bookmarkStart w:id="632" w:name="_Toc30746"/>
      <w:bookmarkStart w:id="633" w:name="_Toc31363"/>
      <w:bookmarkStart w:id="634" w:name="_Toc32346"/>
      <w:bookmarkStart w:id="635" w:name="_Toc14935_WPSOffice_Level2"/>
      <w:bookmarkStart w:id="636" w:name="_Toc28398"/>
      <w:bookmarkStart w:id="637" w:name="_Toc21002"/>
      <w:bookmarkStart w:id="638" w:name="_Toc27340"/>
      <w:bookmarkStart w:id="639" w:name="_Toc14346"/>
      <w:bookmarkStart w:id="640" w:name="_Toc447"/>
      <w:bookmarkStart w:id="641" w:name="_Toc8059"/>
      <w:bookmarkStart w:id="642" w:name="_Toc14639"/>
      <w:bookmarkStart w:id="643" w:name="_Toc12776"/>
      <w:bookmarkStart w:id="644" w:name="_Toc17446"/>
      <w:bookmarkStart w:id="645" w:name="_Toc19769"/>
      <w:bookmarkStart w:id="646" w:name="_Toc17041"/>
      <w:bookmarkStart w:id="647" w:name="_Toc6964"/>
      <w:bookmarkStart w:id="648" w:name="_Toc20048"/>
      <w:bookmarkStart w:id="649" w:name="_Toc23108"/>
      <w:bookmarkStart w:id="650" w:name="_Toc270"/>
      <w:bookmarkStart w:id="651" w:name="_Toc23622"/>
      <w:r>
        <w:rPr>
          <w:rFonts w:hint="default" w:ascii="Times New Roman" w:hAnsi="Times New Roman" w:cs="Times New Roman"/>
          <w:b/>
          <w:sz w:val="32"/>
          <w:szCs w:val="32"/>
        </w:rPr>
        <w:t>3.2</w:t>
      </w:r>
      <w:r>
        <w:rPr>
          <w:rFonts w:hint="default" w:ascii="Times New Roman" w:hAnsi="Times New Roman" w:cs="Times New Roman"/>
          <w:b/>
          <w:sz w:val="32"/>
          <w:szCs w:val="32"/>
          <w:lang w:val="en-US"/>
        </w:rPr>
        <w:t xml:space="preserve"> </w:t>
      </w:r>
      <w:r>
        <w:rPr>
          <w:rFonts w:hint="default" w:ascii="Times New Roman" w:hAnsi="Times New Roman" w:cs="Times New Roman"/>
          <w:b/>
          <w:sz w:val="32"/>
          <w:szCs w:val="32"/>
        </w:rPr>
        <w:t>物质固有危险有害因素的辨识结果</w:t>
      </w:r>
      <w:bookmarkEnd w:id="627"/>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p>
    <w:p>
      <w:pPr>
        <w:spacing w:line="500" w:lineRule="exact"/>
        <w:ind w:firstLine="532" w:firstLineChars="200"/>
        <w:rPr>
          <w:rFonts w:hint="default" w:ascii="Times New Roman" w:hAnsi="Times New Roman" w:cs="Times New Roman"/>
          <w:sz w:val="28"/>
          <w:szCs w:val="28"/>
        </w:rPr>
      </w:pPr>
      <w:r>
        <w:rPr>
          <w:rFonts w:hint="default" w:ascii="Times New Roman" w:hAnsi="Times New Roman" w:cs="Times New Roman"/>
          <w:spacing w:val="-7"/>
          <w:sz w:val="28"/>
          <w:szCs w:val="28"/>
        </w:rPr>
        <w:t>该</w:t>
      </w:r>
      <w:r>
        <w:rPr>
          <w:rFonts w:hint="default" w:ascii="Times New Roman" w:hAnsi="Times New Roman" w:cs="Times New Roman"/>
          <w:spacing w:val="-7"/>
          <w:sz w:val="28"/>
          <w:szCs w:val="28"/>
          <w:lang w:eastAsia="zh-CN"/>
        </w:rPr>
        <w:t>加油站增加洗车机项目</w:t>
      </w:r>
      <w:r>
        <w:rPr>
          <w:rFonts w:hint="default" w:ascii="Times New Roman" w:hAnsi="Times New Roman" w:cs="Times New Roman"/>
          <w:spacing w:val="-7"/>
          <w:sz w:val="28"/>
          <w:szCs w:val="28"/>
        </w:rPr>
        <w:t>储存、经营的危险物质有汽油和柴油，其主要的危险有害因素为火灾、爆炸、中毒和窒息，其它的危险特性和数据见下表。</w:t>
      </w:r>
    </w:p>
    <w:p>
      <w:pPr>
        <w:spacing w:line="500" w:lineRule="exact"/>
        <w:jc w:val="center"/>
        <w:rPr>
          <w:rFonts w:hint="default" w:ascii="Times New Roman" w:hAnsi="Times New Roman" w:cs="Times New Roman"/>
          <w:bCs/>
          <w:sz w:val="28"/>
          <w:szCs w:val="28"/>
        </w:rPr>
      </w:pPr>
      <w:bookmarkStart w:id="652" w:name="_Toc12912_WPSOffice_Level3"/>
      <w:bookmarkStart w:id="653" w:name="_Toc9831_WPSOffice_Level3"/>
      <w:r>
        <w:rPr>
          <w:rFonts w:hint="default" w:ascii="Times New Roman" w:hAnsi="Times New Roman" w:cs="Times New Roman"/>
          <w:bCs/>
          <w:sz w:val="28"/>
          <w:szCs w:val="28"/>
        </w:rPr>
        <w:t>表3</w:t>
      </w:r>
      <w:r>
        <w:rPr>
          <w:rFonts w:hint="default" w:ascii="Times New Roman" w:hAnsi="Times New Roman" w:cs="Times New Roman"/>
          <w:bCs/>
          <w:sz w:val="28"/>
          <w:szCs w:val="28"/>
          <w:lang w:val="en-US"/>
        </w:rPr>
        <w:t>.2</w:t>
      </w:r>
      <w:r>
        <w:rPr>
          <w:rFonts w:hint="default" w:ascii="Times New Roman" w:hAnsi="Times New Roman" w:cs="Times New Roman"/>
          <w:bCs/>
          <w:sz w:val="28"/>
          <w:szCs w:val="28"/>
        </w:rPr>
        <w:t>-</w:t>
      </w:r>
      <w:r>
        <w:rPr>
          <w:rFonts w:hint="default" w:ascii="Times New Roman" w:hAnsi="Times New Roman" w:cs="Times New Roman"/>
          <w:bCs/>
          <w:sz w:val="28"/>
          <w:szCs w:val="28"/>
          <w:lang w:val="en-US"/>
        </w:rPr>
        <w:t xml:space="preserve">1 </w:t>
      </w:r>
      <w:r>
        <w:rPr>
          <w:rFonts w:hint="default" w:ascii="Times New Roman" w:hAnsi="Times New Roman" w:cs="Times New Roman"/>
          <w:bCs/>
          <w:sz w:val="28"/>
          <w:szCs w:val="28"/>
        </w:rPr>
        <w:t>危险物料理化性质及危险特性汇总表</w:t>
      </w:r>
      <w:bookmarkEnd w:id="652"/>
      <w:bookmarkEnd w:id="653"/>
    </w:p>
    <w:tbl>
      <w:tblPr>
        <w:tblStyle w:val="29"/>
        <w:tblW w:w="8930" w:type="dxa"/>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9"/>
        <w:gridCol w:w="1134"/>
        <w:gridCol w:w="1134"/>
        <w:gridCol w:w="1418"/>
        <w:gridCol w:w="1701"/>
        <w:gridCol w:w="19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559" w:type="dxa"/>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Cs w:val="21"/>
              </w:rPr>
            </w:pPr>
            <w:r>
              <w:rPr>
                <w:rFonts w:hint="default" w:ascii="Times New Roman" w:hAnsi="Times New Roman" w:cs="Times New Roman"/>
                <w:szCs w:val="21"/>
              </w:rPr>
              <w:t>化学品名称</w:t>
            </w:r>
          </w:p>
        </w:tc>
        <w:tc>
          <w:tcPr>
            <w:tcW w:w="1134" w:type="dxa"/>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Cs w:val="21"/>
              </w:rPr>
            </w:pPr>
            <w:r>
              <w:rPr>
                <w:rFonts w:hint="default" w:ascii="Times New Roman" w:hAnsi="Times New Roman" w:cs="Times New Roman"/>
                <w:szCs w:val="21"/>
              </w:rPr>
              <w:t>闪点</w:t>
            </w:r>
          </w:p>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Cs w:val="21"/>
              </w:rPr>
            </w:pPr>
            <w:r>
              <w:rPr>
                <w:rFonts w:hint="default" w:ascii="Times New Roman" w:hAnsi="Times New Roman" w:cs="Times New Roman"/>
                <w:szCs w:val="21"/>
              </w:rPr>
              <w:t>℃</w:t>
            </w:r>
          </w:p>
        </w:tc>
        <w:tc>
          <w:tcPr>
            <w:tcW w:w="1134" w:type="dxa"/>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Cs w:val="21"/>
              </w:rPr>
            </w:pPr>
            <w:r>
              <w:rPr>
                <w:rFonts w:hint="default" w:ascii="Times New Roman" w:hAnsi="Times New Roman" w:cs="Times New Roman"/>
                <w:szCs w:val="21"/>
              </w:rPr>
              <w:t>爆炸极限</w:t>
            </w:r>
          </w:p>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Cs w:val="21"/>
              </w:rPr>
            </w:pPr>
            <w:r>
              <w:rPr>
                <w:rFonts w:hint="default" w:ascii="Times New Roman" w:hAnsi="Times New Roman" w:cs="Times New Roman"/>
                <w:szCs w:val="21"/>
              </w:rPr>
              <w:t>%（V）</w:t>
            </w:r>
          </w:p>
        </w:tc>
        <w:tc>
          <w:tcPr>
            <w:tcW w:w="1418" w:type="dxa"/>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Cs w:val="21"/>
              </w:rPr>
            </w:pPr>
            <w:r>
              <w:rPr>
                <w:rFonts w:hint="default" w:ascii="Times New Roman" w:hAnsi="Times New Roman" w:cs="Times New Roman"/>
                <w:szCs w:val="21"/>
              </w:rPr>
              <w:t>火灾危险性</w:t>
            </w:r>
          </w:p>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Cs w:val="21"/>
              </w:rPr>
            </w:pPr>
            <w:r>
              <w:rPr>
                <w:rFonts w:hint="default" w:ascii="Times New Roman" w:hAnsi="Times New Roman" w:cs="Times New Roman"/>
                <w:szCs w:val="21"/>
              </w:rPr>
              <w:t>类别</w:t>
            </w:r>
          </w:p>
        </w:tc>
        <w:tc>
          <w:tcPr>
            <w:tcW w:w="1701" w:type="dxa"/>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Cs w:val="21"/>
              </w:rPr>
            </w:pPr>
            <w:r>
              <w:rPr>
                <w:rFonts w:hint="default" w:ascii="Times New Roman" w:hAnsi="Times New Roman" w:cs="Times New Roman"/>
                <w:szCs w:val="21"/>
              </w:rPr>
              <w:t>短时间接触容许浓度mg/</w:t>
            </w:r>
            <w:r>
              <w:rPr>
                <w:rFonts w:hint="default" w:ascii="Times New Roman" w:hAnsi="Times New Roman" w:cs="Times New Roman"/>
                <w:szCs w:val="21"/>
                <w:lang w:eastAsia="zh-CN"/>
              </w:rPr>
              <w:t>m³</w:t>
            </w:r>
          </w:p>
        </w:tc>
        <w:tc>
          <w:tcPr>
            <w:tcW w:w="1984" w:type="dxa"/>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Cs w:val="21"/>
              </w:rPr>
            </w:pPr>
            <w:r>
              <w:rPr>
                <w:rFonts w:hint="default" w:ascii="Times New Roman" w:hAnsi="Times New Roman" w:cs="Times New Roman"/>
                <w:szCs w:val="21"/>
              </w:rPr>
              <w:t>毒物危害</w:t>
            </w:r>
          </w:p>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Cs w:val="21"/>
              </w:rPr>
            </w:pPr>
            <w:r>
              <w:rPr>
                <w:rFonts w:hint="default" w:ascii="Times New Roman" w:hAnsi="Times New Roman" w:cs="Times New Roman"/>
                <w:szCs w:val="21"/>
              </w:rPr>
              <w:t>程度分级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559"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汽油</w:t>
            </w:r>
          </w:p>
        </w:tc>
        <w:tc>
          <w:tcPr>
            <w:tcW w:w="1134"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-46</w:t>
            </w:r>
          </w:p>
        </w:tc>
        <w:tc>
          <w:tcPr>
            <w:tcW w:w="1134"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1.3～6</w:t>
            </w:r>
          </w:p>
        </w:tc>
        <w:tc>
          <w:tcPr>
            <w:tcW w:w="1418"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甲类</w:t>
            </w:r>
          </w:p>
        </w:tc>
        <w:tc>
          <w:tcPr>
            <w:tcW w:w="1701"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300</w:t>
            </w:r>
          </w:p>
        </w:tc>
        <w:tc>
          <w:tcPr>
            <w:tcW w:w="1984"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Ⅳ级（轻度危害）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trPr>
        <w:tc>
          <w:tcPr>
            <w:tcW w:w="1559"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柴油[闭杯闪点≤60℃]</w:t>
            </w:r>
          </w:p>
        </w:tc>
        <w:tc>
          <w:tcPr>
            <w:tcW w:w="1134"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≤60</w:t>
            </w:r>
          </w:p>
        </w:tc>
        <w:tc>
          <w:tcPr>
            <w:tcW w:w="1134"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w:t>
            </w:r>
          </w:p>
        </w:tc>
        <w:tc>
          <w:tcPr>
            <w:tcW w:w="1418"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乙类</w:t>
            </w:r>
          </w:p>
        </w:tc>
        <w:tc>
          <w:tcPr>
            <w:tcW w:w="1701"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w:t>
            </w:r>
          </w:p>
        </w:tc>
        <w:tc>
          <w:tcPr>
            <w:tcW w:w="1984"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w:t>
            </w:r>
          </w:p>
        </w:tc>
      </w:tr>
    </w:tbl>
    <w:p>
      <w:pPr>
        <w:keepNext w:val="0"/>
        <w:keepLines w:val="0"/>
        <w:pageBreakBefore w:val="0"/>
        <w:widowControl w:val="0"/>
        <w:kinsoku/>
        <w:wordWrap/>
        <w:overflowPunct/>
        <w:topLinePunct w:val="0"/>
        <w:autoSpaceDE w:val="0"/>
        <w:autoSpaceDN w:val="0"/>
        <w:bidi w:val="0"/>
        <w:adjustRightInd/>
        <w:snapToGrid/>
        <w:spacing w:before="0" w:beforeLines="100" w:after="0" w:afterLines="100" w:line="240" w:lineRule="auto"/>
        <w:ind w:left="0" w:leftChars="0" w:right="0" w:rightChars="0" w:firstLine="0" w:firstLineChars="0"/>
        <w:jc w:val="center"/>
        <w:textAlignment w:val="auto"/>
        <w:outlineLvl w:val="9"/>
        <w:rPr>
          <w:rFonts w:hint="default" w:ascii="Times New Roman" w:hAnsi="Times New Roman" w:cs="Times New Roman"/>
          <w:b/>
          <w:sz w:val="32"/>
          <w:szCs w:val="32"/>
        </w:rPr>
      </w:pPr>
      <w:bookmarkStart w:id="654" w:name="_Toc19992"/>
      <w:bookmarkStart w:id="655" w:name="_Toc24337"/>
      <w:bookmarkStart w:id="656" w:name="_Toc13687"/>
      <w:bookmarkStart w:id="657" w:name="_Toc528343542"/>
      <w:bookmarkStart w:id="658" w:name="_Toc12988"/>
      <w:bookmarkStart w:id="659" w:name="_Toc11731"/>
      <w:bookmarkStart w:id="660" w:name="_Toc6369"/>
      <w:bookmarkStart w:id="661" w:name="_Toc27989_WPSOffice_Level2"/>
      <w:bookmarkStart w:id="662" w:name="_Toc12598"/>
      <w:bookmarkStart w:id="663" w:name="_Toc16374"/>
      <w:bookmarkStart w:id="664" w:name="_Toc25989"/>
      <w:bookmarkStart w:id="665" w:name="_Toc21150"/>
      <w:bookmarkStart w:id="666" w:name="_Toc8174_WPSOffice_Level2"/>
      <w:bookmarkStart w:id="667" w:name="_Toc529176491"/>
      <w:bookmarkStart w:id="668" w:name="_Toc17919"/>
      <w:bookmarkStart w:id="669" w:name="_Toc21038"/>
      <w:bookmarkStart w:id="670" w:name="_Toc22393"/>
      <w:bookmarkStart w:id="671" w:name="_Toc30936"/>
      <w:bookmarkStart w:id="672" w:name="_Toc4366"/>
      <w:bookmarkStart w:id="673" w:name="_Toc2103"/>
      <w:bookmarkStart w:id="674" w:name="_Toc25593_WPSOffice_Level2"/>
      <w:r>
        <w:rPr>
          <w:rFonts w:hint="default" w:ascii="Times New Roman" w:hAnsi="Times New Roman" w:cs="Times New Roman"/>
          <w:b/>
          <w:sz w:val="32"/>
          <w:szCs w:val="32"/>
        </w:rPr>
        <w:br w:type="page"/>
      </w:r>
    </w:p>
    <w:p>
      <w:pPr>
        <w:spacing w:beforeLines="100" w:afterLines="100"/>
        <w:jc w:val="center"/>
        <w:outlineLvl w:val="1"/>
        <w:rPr>
          <w:rFonts w:hint="default" w:ascii="Times New Roman" w:hAnsi="Times New Roman" w:cs="Times New Roman"/>
          <w:b/>
          <w:sz w:val="32"/>
          <w:szCs w:val="32"/>
        </w:rPr>
      </w:pPr>
      <w:bookmarkStart w:id="675" w:name="_Toc14397"/>
      <w:bookmarkStart w:id="676" w:name="_Toc30065"/>
      <w:bookmarkStart w:id="677" w:name="_Toc16603"/>
      <w:bookmarkStart w:id="678" w:name="_Toc21453"/>
      <w:r>
        <w:rPr>
          <w:rFonts w:hint="default" w:ascii="Times New Roman" w:hAnsi="Times New Roman" w:cs="Times New Roman"/>
          <w:b/>
          <w:sz w:val="32"/>
          <w:szCs w:val="32"/>
        </w:rPr>
        <w:t>3.3</w:t>
      </w:r>
      <w:r>
        <w:rPr>
          <w:rFonts w:hint="default" w:ascii="Times New Roman" w:hAnsi="Times New Roman" w:cs="Times New Roman"/>
          <w:b/>
          <w:sz w:val="32"/>
          <w:szCs w:val="32"/>
          <w:lang w:val="en-US"/>
        </w:rPr>
        <w:t xml:space="preserve"> </w:t>
      </w:r>
      <w:r>
        <w:rPr>
          <w:rFonts w:hint="default" w:ascii="Times New Roman" w:hAnsi="Times New Roman" w:cs="Times New Roman"/>
          <w:b/>
          <w:sz w:val="32"/>
          <w:szCs w:val="32"/>
        </w:rPr>
        <w:t>作业场所的危险有害因素辨识结果</w:t>
      </w:r>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bookmarkEnd w:id="676"/>
      <w:bookmarkEnd w:id="677"/>
      <w:bookmarkEnd w:id="678"/>
    </w:p>
    <w:p>
      <w:pPr>
        <w:spacing w:line="500" w:lineRule="exact"/>
        <w:ind w:firstLine="532" w:firstLineChars="200"/>
        <w:jc w:val="both"/>
        <w:rPr>
          <w:rFonts w:hint="default" w:ascii="Times New Roman" w:hAnsi="Times New Roman" w:cs="Times New Roman"/>
          <w:spacing w:val="-7"/>
          <w:sz w:val="28"/>
          <w:szCs w:val="28"/>
        </w:rPr>
      </w:pPr>
      <w:bookmarkStart w:id="679" w:name="_Hlk529174097"/>
      <w:r>
        <w:rPr>
          <w:rFonts w:hint="default" w:ascii="Times New Roman" w:hAnsi="Times New Roman" w:cs="Times New Roman"/>
          <w:spacing w:val="-7"/>
          <w:sz w:val="28"/>
          <w:szCs w:val="28"/>
        </w:rPr>
        <w:t>参照《企业职工伤亡事故分类》（GB6441-1986），综合考虑起因物、引起事故的诱导性原因、致害物、伤害方式等，本评价组认为</w:t>
      </w:r>
      <w:r>
        <w:rPr>
          <w:rFonts w:hint="eastAsia" w:ascii="Times New Roman" w:hAnsi="Times New Roman" w:cs="Times New Roman"/>
          <w:spacing w:val="-7"/>
          <w:sz w:val="28"/>
          <w:szCs w:val="28"/>
          <w:lang w:eastAsia="zh-CN"/>
        </w:rPr>
        <w:t>东城加油站</w:t>
      </w:r>
      <w:r>
        <w:rPr>
          <w:rFonts w:hint="default" w:ascii="Times New Roman" w:hAnsi="Times New Roman" w:cs="Times New Roman"/>
          <w:spacing w:val="-7"/>
          <w:sz w:val="28"/>
          <w:szCs w:val="28"/>
        </w:rPr>
        <w:t>主要的危险、有害因素有：火灾</w:t>
      </w:r>
      <w:r>
        <w:rPr>
          <w:rFonts w:hint="eastAsia" w:ascii="Times New Roman" w:hAnsi="Times New Roman" w:cs="Times New Roman"/>
          <w:spacing w:val="-7"/>
          <w:sz w:val="28"/>
          <w:szCs w:val="28"/>
          <w:lang w:eastAsia="zh-CN"/>
        </w:rPr>
        <w:t>、</w:t>
      </w:r>
      <w:r>
        <w:rPr>
          <w:rFonts w:hint="default" w:ascii="Times New Roman" w:hAnsi="Times New Roman" w:cs="Times New Roman"/>
          <w:spacing w:val="-7"/>
          <w:sz w:val="28"/>
          <w:szCs w:val="28"/>
        </w:rPr>
        <w:t>爆炸、中毒和窒息</w:t>
      </w:r>
      <w:r>
        <w:rPr>
          <w:rFonts w:hint="eastAsia" w:ascii="Times New Roman" w:hAnsi="Times New Roman" w:cs="Times New Roman"/>
          <w:spacing w:val="-7"/>
          <w:sz w:val="28"/>
          <w:szCs w:val="28"/>
          <w:lang w:eastAsia="zh-CN"/>
        </w:rPr>
        <w:t>、触电、车辆伤害、高处坠落、机械伤害、物体打击</w:t>
      </w:r>
      <w:r>
        <w:rPr>
          <w:rFonts w:hint="default" w:ascii="Times New Roman" w:hAnsi="Times New Roman" w:cs="Times New Roman"/>
          <w:spacing w:val="-7"/>
          <w:sz w:val="28"/>
          <w:szCs w:val="28"/>
        </w:rPr>
        <w:t>。</w:t>
      </w:r>
    </w:p>
    <w:bookmarkEnd w:id="679"/>
    <w:p>
      <w:pPr>
        <w:spacing w:line="500" w:lineRule="exact"/>
        <w:jc w:val="center"/>
        <w:rPr>
          <w:rFonts w:hint="default" w:ascii="Times New Roman" w:hAnsi="Times New Roman" w:cs="Times New Roman"/>
          <w:bCs/>
          <w:sz w:val="28"/>
          <w:szCs w:val="28"/>
        </w:rPr>
      </w:pPr>
      <w:bookmarkStart w:id="680" w:name="_Toc16734_WPSOffice_Level3"/>
      <w:bookmarkStart w:id="681" w:name="_Toc14339_WPSOffice_Level3"/>
      <w:r>
        <w:rPr>
          <w:rFonts w:hint="default" w:ascii="Times New Roman" w:hAnsi="Times New Roman" w:cs="Times New Roman"/>
          <w:bCs/>
          <w:sz w:val="28"/>
          <w:szCs w:val="28"/>
        </w:rPr>
        <w:t>表3</w:t>
      </w:r>
      <w:r>
        <w:rPr>
          <w:rFonts w:hint="default" w:ascii="Times New Roman" w:hAnsi="Times New Roman" w:cs="Times New Roman"/>
          <w:bCs/>
          <w:sz w:val="28"/>
          <w:szCs w:val="28"/>
          <w:lang w:val="en-US"/>
        </w:rPr>
        <w:t>.3</w:t>
      </w:r>
      <w:r>
        <w:rPr>
          <w:rFonts w:hint="default" w:ascii="Times New Roman" w:hAnsi="Times New Roman" w:cs="Times New Roman"/>
          <w:bCs/>
          <w:sz w:val="28"/>
          <w:szCs w:val="28"/>
        </w:rPr>
        <w:t>-</w:t>
      </w:r>
      <w:r>
        <w:rPr>
          <w:rFonts w:hint="default" w:ascii="Times New Roman" w:hAnsi="Times New Roman" w:cs="Times New Roman"/>
          <w:bCs/>
          <w:sz w:val="28"/>
          <w:szCs w:val="28"/>
          <w:lang w:val="en-US"/>
        </w:rPr>
        <w:t xml:space="preserve">1 </w:t>
      </w:r>
      <w:r>
        <w:rPr>
          <w:rFonts w:hint="default" w:ascii="Times New Roman" w:hAnsi="Times New Roman" w:cs="Times New Roman"/>
          <w:bCs/>
          <w:sz w:val="28"/>
          <w:szCs w:val="28"/>
        </w:rPr>
        <w:t>主要危险、有害因素表</w:t>
      </w:r>
      <w:bookmarkEnd w:id="680"/>
      <w:bookmarkEnd w:id="681"/>
    </w:p>
    <w:tbl>
      <w:tblPr>
        <w:tblStyle w:val="29"/>
        <w:tblW w:w="94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97"/>
        <w:gridCol w:w="1072"/>
        <w:gridCol w:w="1072"/>
        <w:gridCol w:w="1072"/>
        <w:gridCol w:w="1072"/>
        <w:gridCol w:w="872"/>
        <w:gridCol w:w="1155"/>
        <w:gridCol w:w="11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jc w:val="center"/>
        </w:trPr>
        <w:tc>
          <w:tcPr>
            <w:tcW w:w="1897" w:type="dxa"/>
            <w:vMerge w:val="restart"/>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b/>
                <w:bCs/>
                <w:szCs w:val="21"/>
              </w:rPr>
            </w:pPr>
            <w:bookmarkStart w:id="682" w:name="_Toc32141_WPSOffice_Level2"/>
            <w:bookmarkStart w:id="683" w:name="_Toc10572_WPSOffice_Level2"/>
            <w:bookmarkStart w:id="684" w:name="_Toc529176492"/>
            <w:r>
              <w:rPr>
                <w:rFonts w:hint="default" w:ascii="Times New Roman" w:hAnsi="Times New Roman" w:cs="Times New Roman"/>
                <w:b/>
                <w:bCs/>
                <w:szCs w:val="21"/>
              </w:rPr>
              <w:t>存在部位</w:t>
            </w:r>
          </w:p>
        </w:tc>
        <w:tc>
          <w:tcPr>
            <w:tcW w:w="7508" w:type="dxa"/>
            <w:gridSpan w:val="7"/>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b/>
                <w:bCs/>
                <w:szCs w:val="21"/>
              </w:rPr>
            </w:pPr>
            <w:r>
              <w:rPr>
                <w:rFonts w:hint="default" w:ascii="Times New Roman" w:hAnsi="Times New Roman" w:cs="Times New Roman"/>
                <w:b/>
                <w:bCs/>
                <w:szCs w:val="21"/>
              </w:rPr>
              <w:t>危险、有害因素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5" w:hRule="exact"/>
          <w:jc w:val="center"/>
        </w:trPr>
        <w:tc>
          <w:tcPr>
            <w:tcW w:w="1897" w:type="dxa"/>
            <w:vMerge w:val="continue"/>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b/>
                <w:bCs/>
                <w:szCs w:val="21"/>
              </w:rPr>
            </w:pPr>
          </w:p>
        </w:tc>
        <w:tc>
          <w:tcPr>
            <w:tcW w:w="1072" w:type="dxa"/>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b/>
                <w:bCs/>
                <w:szCs w:val="21"/>
              </w:rPr>
            </w:pPr>
            <w:r>
              <w:rPr>
                <w:rFonts w:hint="default" w:ascii="Times New Roman" w:hAnsi="Times New Roman" w:cs="Times New Roman"/>
                <w:b/>
                <w:bCs/>
                <w:szCs w:val="21"/>
              </w:rPr>
              <w:t>火灾</w:t>
            </w:r>
          </w:p>
        </w:tc>
        <w:tc>
          <w:tcPr>
            <w:tcW w:w="1072" w:type="dxa"/>
            <w:vAlign w:val="center"/>
          </w:tcPr>
          <w:p>
            <w:pPr>
              <w:keepNext w:val="0"/>
              <w:keepLines w:val="0"/>
              <w:suppressLineNumbers w:val="0"/>
              <w:spacing w:before="0" w:beforeAutospacing="0" w:after="0" w:afterAutospacing="0" w:line="280" w:lineRule="exact"/>
              <w:ind w:left="0" w:leftChars="0" w:right="0" w:rightChars="0"/>
              <w:jc w:val="center"/>
              <w:rPr>
                <w:rFonts w:hint="default" w:ascii="Times New Roman" w:hAnsi="Times New Roman" w:cs="Times New Roman"/>
                <w:b/>
                <w:bCs/>
                <w:szCs w:val="21"/>
              </w:rPr>
            </w:pPr>
            <w:r>
              <w:rPr>
                <w:rFonts w:hint="default" w:ascii="Times New Roman" w:hAnsi="Times New Roman" w:cs="Times New Roman"/>
                <w:b/>
                <w:bCs/>
                <w:szCs w:val="21"/>
              </w:rPr>
              <w:t>爆炸</w:t>
            </w:r>
          </w:p>
        </w:tc>
        <w:tc>
          <w:tcPr>
            <w:tcW w:w="1072" w:type="dxa"/>
            <w:vAlign w:val="center"/>
          </w:tcPr>
          <w:p>
            <w:pPr>
              <w:keepNext w:val="0"/>
              <w:keepLines w:val="0"/>
              <w:suppressLineNumbers w:val="0"/>
              <w:spacing w:before="0" w:beforeAutospacing="0" w:after="0" w:afterAutospacing="0" w:line="280" w:lineRule="exact"/>
              <w:ind w:left="0" w:leftChars="0" w:right="0" w:rightChars="0"/>
              <w:jc w:val="center"/>
              <w:rPr>
                <w:rFonts w:hint="default" w:ascii="Times New Roman" w:hAnsi="Times New Roman" w:cs="Times New Roman"/>
                <w:b/>
                <w:bCs/>
                <w:szCs w:val="21"/>
              </w:rPr>
            </w:pPr>
            <w:r>
              <w:rPr>
                <w:rFonts w:hint="default" w:ascii="Times New Roman" w:hAnsi="Times New Roman" w:cs="Times New Roman"/>
                <w:b/>
                <w:bCs/>
                <w:szCs w:val="21"/>
              </w:rPr>
              <w:t>中毒和窒息</w:t>
            </w:r>
          </w:p>
        </w:tc>
        <w:tc>
          <w:tcPr>
            <w:tcW w:w="1072"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b/>
                <w:bCs/>
                <w:szCs w:val="21"/>
              </w:rPr>
            </w:pPr>
            <w:r>
              <w:rPr>
                <w:rFonts w:hint="default" w:ascii="Times New Roman" w:hAnsi="Times New Roman" w:cs="Times New Roman"/>
                <w:b/>
                <w:color w:val="auto"/>
                <w:sz w:val="21"/>
                <w:szCs w:val="21"/>
              </w:rPr>
              <w:t>车辆伤害</w:t>
            </w:r>
          </w:p>
        </w:tc>
        <w:tc>
          <w:tcPr>
            <w:tcW w:w="872" w:type="dxa"/>
            <w:vAlign w:val="center"/>
          </w:tcPr>
          <w:p>
            <w:pPr>
              <w:pStyle w:val="49"/>
              <w:keepNext w:val="0"/>
              <w:keepLines w:val="0"/>
              <w:widowControl w:val="0"/>
              <w:suppressLineNumbers w:val="0"/>
              <w:pBdr>
                <w:left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b/>
                <w:bCs/>
                <w:szCs w:val="21"/>
              </w:rPr>
            </w:pPr>
            <w:r>
              <w:rPr>
                <w:rFonts w:hint="default" w:ascii="Times New Roman" w:hAnsi="Times New Roman" w:cs="Times New Roman"/>
                <w:b/>
                <w:color w:val="auto"/>
                <w:kern w:val="2"/>
                <w:sz w:val="21"/>
                <w:szCs w:val="21"/>
              </w:rPr>
              <w:t>触电</w:t>
            </w:r>
          </w:p>
        </w:tc>
        <w:tc>
          <w:tcPr>
            <w:tcW w:w="1155" w:type="dxa"/>
            <w:vAlign w:val="center"/>
          </w:tcPr>
          <w:p>
            <w:pPr>
              <w:pStyle w:val="49"/>
              <w:keepNext w:val="0"/>
              <w:keepLines w:val="0"/>
              <w:widowControl w:val="0"/>
              <w:suppressLineNumbers w:val="0"/>
              <w:pBdr>
                <w:left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b/>
                <w:bCs/>
                <w:szCs w:val="21"/>
              </w:rPr>
            </w:pPr>
            <w:r>
              <w:rPr>
                <w:rFonts w:hint="default" w:ascii="Times New Roman" w:hAnsi="Times New Roman" w:cs="Times New Roman"/>
                <w:b/>
                <w:color w:val="auto"/>
                <w:kern w:val="2"/>
                <w:sz w:val="21"/>
                <w:szCs w:val="21"/>
              </w:rPr>
              <w:t>高处坠落</w:t>
            </w:r>
          </w:p>
        </w:tc>
        <w:tc>
          <w:tcPr>
            <w:tcW w:w="1193" w:type="dxa"/>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b/>
                <w:bCs/>
                <w:szCs w:val="21"/>
              </w:rPr>
            </w:pPr>
            <w:r>
              <w:rPr>
                <w:rFonts w:hint="eastAsia" w:ascii="Times New Roman" w:hAnsi="Times New Roman" w:cs="Times New Roman"/>
                <w:b/>
                <w:bCs/>
                <w:szCs w:val="21"/>
                <w:lang w:eastAsia="zh-CN"/>
              </w:rPr>
              <w:t>机械伤害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jc w:val="center"/>
        </w:trPr>
        <w:tc>
          <w:tcPr>
            <w:tcW w:w="1897" w:type="dxa"/>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Cs w:val="21"/>
              </w:rPr>
            </w:pPr>
            <w:r>
              <w:rPr>
                <w:rFonts w:hint="default" w:ascii="Times New Roman" w:hAnsi="Times New Roman" w:cs="Times New Roman"/>
                <w:szCs w:val="21"/>
              </w:rPr>
              <w:t>加油区</w:t>
            </w:r>
          </w:p>
        </w:tc>
        <w:tc>
          <w:tcPr>
            <w:tcW w:w="1072" w:type="dxa"/>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Cs w:val="21"/>
              </w:rPr>
            </w:pPr>
            <w:r>
              <w:rPr>
                <w:rFonts w:hint="default" w:ascii="Times New Roman" w:hAnsi="Times New Roman" w:cs="Times New Roman"/>
                <w:szCs w:val="21"/>
              </w:rPr>
              <w:t>√</w:t>
            </w:r>
          </w:p>
        </w:tc>
        <w:tc>
          <w:tcPr>
            <w:tcW w:w="1072" w:type="dxa"/>
            <w:vAlign w:val="center"/>
          </w:tcPr>
          <w:p>
            <w:pPr>
              <w:keepNext w:val="0"/>
              <w:keepLines w:val="0"/>
              <w:suppressLineNumbers w:val="0"/>
              <w:spacing w:before="0" w:beforeAutospacing="0" w:after="0" w:afterAutospacing="0" w:line="280" w:lineRule="exact"/>
              <w:ind w:left="0" w:leftChars="0" w:right="0" w:rightChars="0"/>
              <w:jc w:val="center"/>
              <w:rPr>
                <w:rFonts w:hint="default" w:ascii="Times New Roman" w:hAnsi="Times New Roman" w:cs="Times New Roman"/>
                <w:szCs w:val="21"/>
              </w:rPr>
            </w:pPr>
            <w:r>
              <w:rPr>
                <w:rFonts w:hint="default" w:ascii="Times New Roman" w:hAnsi="Times New Roman" w:cs="Times New Roman"/>
                <w:szCs w:val="21"/>
              </w:rPr>
              <w:t>√</w:t>
            </w:r>
          </w:p>
        </w:tc>
        <w:tc>
          <w:tcPr>
            <w:tcW w:w="1072" w:type="dxa"/>
            <w:vAlign w:val="center"/>
          </w:tcPr>
          <w:p>
            <w:pPr>
              <w:keepNext w:val="0"/>
              <w:keepLines w:val="0"/>
              <w:suppressLineNumbers w:val="0"/>
              <w:spacing w:before="0" w:beforeAutospacing="0" w:after="0" w:afterAutospacing="0" w:line="280" w:lineRule="exact"/>
              <w:ind w:left="0" w:leftChars="0" w:right="0" w:rightChars="0"/>
              <w:jc w:val="center"/>
              <w:rPr>
                <w:rFonts w:hint="default" w:ascii="Times New Roman" w:hAnsi="Times New Roman" w:cs="Times New Roman"/>
                <w:szCs w:val="21"/>
              </w:rPr>
            </w:pPr>
            <w:r>
              <w:rPr>
                <w:rFonts w:hint="default" w:ascii="Times New Roman" w:hAnsi="Times New Roman" w:cs="Times New Roman"/>
                <w:szCs w:val="21"/>
              </w:rPr>
              <w:t>√</w:t>
            </w:r>
          </w:p>
        </w:tc>
        <w:tc>
          <w:tcPr>
            <w:tcW w:w="1072"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szCs w:val="21"/>
              </w:rPr>
            </w:pPr>
            <w:r>
              <w:rPr>
                <w:rFonts w:hint="default" w:ascii="Times New Roman" w:hAnsi="Times New Roman" w:cs="Times New Roman"/>
                <w:color w:val="auto"/>
                <w:sz w:val="21"/>
                <w:szCs w:val="21"/>
              </w:rPr>
              <w:t>√</w:t>
            </w:r>
          </w:p>
        </w:tc>
        <w:tc>
          <w:tcPr>
            <w:tcW w:w="872"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szCs w:val="21"/>
              </w:rPr>
            </w:pPr>
            <w:r>
              <w:rPr>
                <w:rFonts w:hint="default" w:ascii="Times New Roman" w:hAnsi="Times New Roman" w:cs="Times New Roman"/>
                <w:color w:val="auto"/>
                <w:sz w:val="21"/>
                <w:szCs w:val="21"/>
              </w:rPr>
              <w:t>√</w:t>
            </w:r>
          </w:p>
        </w:tc>
        <w:tc>
          <w:tcPr>
            <w:tcW w:w="1155"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szCs w:val="21"/>
              </w:rPr>
            </w:pPr>
            <w:r>
              <w:rPr>
                <w:rFonts w:hint="default" w:ascii="Times New Roman" w:hAnsi="Times New Roman" w:cs="Times New Roman"/>
                <w:color w:val="auto"/>
                <w:sz w:val="21"/>
                <w:szCs w:val="21"/>
              </w:rPr>
              <w:t>√</w:t>
            </w:r>
          </w:p>
        </w:tc>
        <w:tc>
          <w:tcPr>
            <w:tcW w:w="1193" w:type="dxa"/>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jc w:val="center"/>
        </w:trPr>
        <w:tc>
          <w:tcPr>
            <w:tcW w:w="1897" w:type="dxa"/>
            <w:vAlign w:val="center"/>
          </w:tcPr>
          <w:p>
            <w:pPr>
              <w:keepNext w:val="0"/>
              <w:keepLines w:val="0"/>
              <w:suppressLineNumbers w:val="0"/>
              <w:spacing w:before="0" w:beforeAutospacing="0" w:after="0" w:afterAutospacing="0" w:line="280" w:lineRule="exact"/>
              <w:ind w:left="0" w:right="0"/>
              <w:jc w:val="center"/>
              <w:rPr>
                <w:rFonts w:hint="eastAsia" w:ascii="Times New Roman" w:hAnsi="Times New Roman" w:eastAsia="宋体" w:cs="Times New Roman"/>
                <w:szCs w:val="21"/>
                <w:lang w:eastAsia="zh-CN"/>
              </w:rPr>
            </w:pPr>
            <w:r>
              <w:rPr>
                <w:rFonts w:hint="eastAsia" w:ascii="Times New Roman" w:hAnsi="Times New Roman" w:cs="Times New Roman"/>
                <w:szCs w:val="21"/>
                <w:lang w:eastAsia="zh-CN"/>
              </w:rPr>
              <w:t>卸油区</w:t>
            </w:r>
          </w:p>
        </w:tc>
        <w:tc>
          <w:tcPr>
            <w:tcW w:w="1072" w:type="dxa"/>
            <w:vAlign w:val="center"/>
          </w:tcPr>
          <w:p>
            <w:pPr>
              <w:keepNext w:val="0"/>
              <w:keepLines w:val="0"/>
              <w:suppressLineNumbers w:val="0"/>
              <w:spacing w:before="0" w:beforeAutospacing="0" w:after="0" w:afterAutospacing="0" w:line="280" w:lineRule="exact"/>
              <w:ind w:left="0" w:leftChars="0" w:right="0" w:rightChars="0"/>
              <w:jc w:val="center"/>
              <w:rPr>
                <w:rFonts w:hint="default" w:ascii="Times New Roman" w:hAnsi="Times New Roman" w:cs="Times New Roman"/>
                <w:szCs w:val="21"/>
              </w:rPr>
            </w:pPr>
            <w:r>
              <w:rPr>
                <w:rFonts w:hint="default" w:ascii="Times New Roman" w:hAnsi="Times New Roman" w:cs="Times New Roman"/>
                <w:szCs w:val="21"/>
              </w:rPr>
              <w:t>√</w:t>
            </w:r>
          </w:p>
        </w:tc>
        <w:tc>
          <w:tcPr>
            <w:tcW w:w="1072" w:type="dxa"/>
            <w:vAlign w:val="center"/>
          </w:tcPr>
          <w:p>
            <w:pPr>
              <w:keepNext w:val="0"/>
              <w:keepLines w:val="0"/>
              <w:suppressLineNumbers w:val="0"/>
              <w:spacing w:before="0" w:beforeAutospacing="0" w:after="0" w:afterAutospacing="0" w:line="280" w:lineRule="exact"/>
              <w:ind w:left="0" w:leftChars="0" w:right="0" w:rightChars="0"/>
              <w:jc w:val="center"/>
              <w:rPr>
                <w:rFonts w:hint="default" w:ascii="Times New Roman" w:hAnsi="Times New Roman" w:cs="Times New Roman"/>
                <w:szCs w:val="21"/>
              </w:rPr>
            </w:pPr>
            <w:r>
              <w:rPr>
                <w:rFonts w:hint="default" w:ascii="Times New Roman" w:hAnsi="Times New Roman" w:cs="Times New Roman"/>
                <w:szCs w:val="21"/>
              </w:rPr>
              <w:t>√</w:t>
            </w:r>
          </w:p>
        </w:tc>
        <w:tc>
          <w:tcPr>
            <w:tcW w:w="1072" w:type="dxa"/>
            <w:vAlign w:val="center"/>
          </w:tcPr>
          <w:p>
            <w:pPr>
              <w:keepNext w:val="0"/>
              <w:keepLines w:val="0"/>
              <w:suppressLineNumbers w:val="0"/>
              <w:spacing w:before="0" w:beforeAutospacing="0" w:after="0" w:afterAutospacing="0" w:line="280" w:lineRule="exact"/>
              <w:ind w:left="0" w:leftChars="0" w:right="0" w:rightChars="0"/>
              <w:jc w:val="center"/>
              <w:rPr>
                <w:rFonts w:hint="default" w:ascii="Times New Roman" w:hAnsi="Times New Roman" w:cs="Times New Roman"/>
                <w:szCs w:val="21"/>
              </w:rPr>
            </w:pPr>
            <w:r>
              <w:rPr>
                <w:rFonts w:hint="default" w:ascii="Times New Roman" w:hAnsi="Times New Roman" w:cs="Times New Roman"/>
                <w:szCs w:val="21"/>
              </w:rPr>
              <w:t>√</w:t>
            </w:r>
          </w:p>
        </w:tc>
        <w:tc>
          <w:tcPr>
            <w:tcW w:w="1072"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szCs w:val="21"/>
              </w:rPr>
            </w:pPr>
            <w:r>
              <w:rPr>
                <w:rFonts w:hint="default" w:ascii="Times New Roman" w:hAnsi="Times New Roman" w:cs="Times New Roman"/>
                <w:color w:val="auto"/>
                <w:sz w:val="21"/>
                <w:szCs w:val="21"/>
              </w:rPr>
              <w:t>√</w:t>
            </w:r>
          </w:p>
        </w:tc>
        <w:tc>
          <w:tcPr>
            <w:tcW w:w="872"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szCs w:val="21"/>
              </w:rPr>
            </w:pPr>
            <w:r>
              <w:rPr>
                <w:rFonts w:hint="default" w:ascii="Times New Roman" w:hAnsi="Times New Roman" w:cs="Times New Roman"/>
                <w:color w:val="auto"/>
                <w:sz w:val="21"/>
                <w:szCs w:val="21"/>
              </w:rPr>
              <w:t>√</w:t>
            </w:r>
          </w:p>
        </w:tc>
        <w:tc>
          <w:tcPr>
            <w:tcW w:w="1155"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szCs w:val="21"/>
              </w:rPr>
            </w:pPr>
          </w:p>
        </w:tc>
        <w:tc>
          <w:tcPr>
            <w:tcW w:w="1193" w:type="dxa"/>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jc w:val="center"/>
        </w:trPr>
        <w:tc>
          <w:tcPr>
            <w:tcW w:w="1897" w:type="dxa"/>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Cs w:val="21"/>
              </w:rPr>
            </w:pPr>
            <w:r>
              <w:rPr>
                <w:rFonts w:hint="default" w:ascii="Times New Roman" w:hAnsi="Times New Roman" w:cs="Times New Roman"/>
                <w:szCs w:val="21"/>
              </w:rPr>
              <w:t>埋地油罐区</w:t>
            </w:r>
          </w:p>
        </w:tc>
        <w:tc>
          <w:tcPr>
            <w:tcW w:w="1072" w:type="dxa"/>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Cs w:val="21"/>
              </w:rPr>
            </w:pPr>
            <w:r>
              <w:rPr>
                <w:rFonts w:hint="default" w:ascii="Times New Roman" w:hAnsi="Times New Roman" w:cs="Times New Roman"/>
                <w:szCs w:val="21"/>
              </w:rPr>
              <w:t>√</w:t>
            </w:r>
          </w:p>
        </w:tc>
        <w:tc>
          <w:tcPr>
            <w:tcW w:w="1072" w:type="dxa"/>
            <w:vAlign w:val="center"/>
          </w:tcPr>
          <w:p>
            <w:pPr>
              <w:keepNext w:val="0"/>
              <w:keepLines w:val="0"/>
              <w:suppressLineNumbers w:val="0"/>
              <w:spacing w:before="0" w:beforeAutospacing="0" w:after="0" w:afterAutospacing="0" w:line="280" w:lineRule="exact"/>
              <w:ind w:left="0" w:leftChars="0" w:right="0" w:rightChars="0"/>
              <w:jc w:val="center"/>
              <w:rPr>
                <w:rFonts w:hint="default" w:ascii="Times New Roman" w:hAnsi="Times New Roman" w:cs="Times New Roman"/>
                <w:szCs w:val="21"/>
              </w:rPr>
            </w:pPr>
            <w:r>
              <w:rPr>
                <w:rFonts w:hint="default" w:ascii="Times New Roman" w:hAnsi="Times New Roman" w:cs="Times New Roman"/>
                <w:szCs w:val="21"/>
              </w:rPr>
              <w:t>√</w:t>
            </w:r>
          </w:p>
        </w:tc>
        <w:tc>
          <w:tcPr>
            <w:tcW w:w="1072" w:type="dxa"/>
            <w:vAlign w:val="center"/>
          </w:tcPr>
          <w:p>
            <w:pPr>
              <w:keepNext w:val="0"/>
              <w:keepLines w:val="0"/>
              <w:suppressLineNumbers w:val="0"/>
              <w:spacing w:before="0" w:beforeAutospacing="0" w:after="0" w:afterAutospacing="0" w:line="280" w:lineRule="exact"/>
              <w:ind w:left="0" w:leftChars="0" w:right="0" w:rightChars="0"/>
              <w:jc w:val="center"/>
              <w:rPr>
                <w:rFonts w:hint="default" w:ascii="Times New Roman" w:hAnsi="Times New Roman" w:cs="Times New Roman"/>
                <w:szCs w:val="21"/>
              </w:rPr>
            </w:pPr>
            <w:r>
              <w:rPr>
                <w:rFonts w:hint="default" w:ascii="Times New Roman" w:hAnsi="Times New Roman" w:cs="Times New Roman"/>
                <w:szCs w:val="21"/>
              </w:rPr>
              <w:t>√</w:t>
            </w:r>
          </w:p>
        </w:tc>
        <w:tc>
          <w:tcPr>
            <w:tcW w:w="1072"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szCs w:val="21"/>
              </w:rPr>
            </w:pPr>
          </w:p>
        </w:tc>
        <w:tc>
          <w:tcPr>
            <w:tcW w:w="872"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szCs w:val="21"/>
              </w:rPr>
            </w:pPr>
            <w:r>
              <w:rPr>
                <w:rFonts w:hint="default" w:ascii="Times New Roman" w:hAnsi="Times New Roman" w:cs="Times New Roman"/>
                <w:color w:val="auto"/>
                <w:sz w:val="21"/>
                <w:szCs w:val="21"/>
              </w:rPr>
              <w:t>√</w:t>
            </w:r>
          </w:p>
        </w:tc>
        <w:tc>
          <w:tcPr>
            <w:tcW w:w="1155"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szCs w:val="21"/>
              </w:rPr>
            </w:pPr>
          </w:p>
        </w:tc>
        <w:tc>
          <w:tcPr>
            <w:tcW w:w="1193" w:type="dxa"/>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jc w:val="center"/>
        </w:trPr>
        <w:tc>
          <w:tcPr>
            <w:tcW w:w="1897" w:type="dxa"/>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Cs w:val="21"/>
              </w:rPr>
            </w:pPr>
            <w:r>
              <w:rPr>
                <w:rFonts w:hint="default" w:ascii="Times New Roman" w:hAnsi="Times New Roman" w:cs="Times New Roman"/>
                <w:szCs w:val="21"/>
              </w:rPr>
              <w:t>站房</w:t>
            </w:r>
          </w:p>
        </w:tc>
        <w:tc>
          <w:tcPr>
            <w:tcW w:w="1072" w:type="dxa"/>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Cs w:val="21"/>
              </w:rPr>
            </w:pPr>
            <w:r>
              <w:rPr>
                <w:rFonts w:hint="default" w:ascii="Times New Roman" w:hAnsi="Times New Roman" w:cs="Times New Roman"/>
                <w:szCs w:val="21"/>
              </w:rPr>
              <w:t>√</w:t>
            </w:r>
          </w:p>
        </w:tc>
        <w:tc>
          <w:tcPr>
            <w:tcW w:w="1072" w:type="dxa"/>
            <w:vAlign w:val="center"/>
          </w:tcPr>
          <w:p>
            <w:pPr>
              <w:keepNext w:val="0"/>
              <w:keepLines w:val="0"/>
              <w:suppressLineNumbers w:val="0"/>
              <w:spacing w:before="0" w:beforeAutospacing="0" w:after="0" w:afterAutospacing="0" w:line="280" w:lineRule="exact"/>
              <w:ind w:left="0" w:leftChars="0" w:right="0" w:rightChars="0"/>
              <w:jc w:val="center"/>
              <w:rPr>
                <w:rFonts w:hint="default" w:ascii="Times New Roman" w:hAnsi="Times New Roman" w:cs="Times New Roman"/>
                <w:szCs w:val="21"/>
              </w:rPr>
            </w:pPr>
          </w:p>
        </w:tc>
        <w:tc>
          <w:tcPr>
            <w:tcW w:w="1072" w:type="dxa"/>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Cs w:val="21"/>
              </w:rPr>
            </w:pPr>
          </w:p>
        </w:tc>
        <w:tc>
          <w:tcPr>
            <w:tcW w:w="1072" w:type="dxa"/>
            <w:vAlign w:val="center"/>
          </w:tcPr>
          <w:p>
            <w:pPr>
              <w:keepNext w:val="0"/>
              <w:keepLines w:val="0"/>
              <w:suppressLineNumbers w:val="0"/>
              <w:spacing w:before="0" w:beforeAutospacing="0" w:after="0" w:afterAutospacing="0" w:line="280" w:lineRule="exact"/>
              <w:ind w:left="0" w:right="0"/>
              <w:jc w:val="center"/>
              <w:rPr>
                <w:rFonts w:hint="eastAsia" w:ascii="Times New Roman" w:hAnsi="Times New Roman" w:eastAsia="宋体" w:cs="Times New Roman"/>
                <w:szCs w:val="21"/>
                <w:lang w:eastAsia="zh-CN"/>
              </w:rPr>
            </w:pPr>
          </w:p>
        </w:tc>
        <w:tc>
          <w:tcPr>
            <w:tcW w:w="872"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szCs w:val="21"/>
              </w:rPr>
            </w:pPr>
            <w:r>
              <w:rPr>
                <w:rFonts w:hint="default" w:ascii="Times New Roman" w:hAnsi="Times New Roman" w:cs="Times New Roman"/>
                <w:color w:val="auto"/>
                <w:sz w:val="21"/>
                <w:szCs w:val="21"/>
              </w:rPr>
              <w:t>√</w:t>
            </w:r>
          </w:p>
        </w:tc>
        <w:tc>
          <w:tcPr>
            <w:tcW w:w="1155" w:type="dxa"/>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Cs w:val="21"/>
              </w:rPr>
            </w:pPr>
          </w:p>
        </w:tc>
        <w:tc>
          <w:tcPr>
            <w:tcW w:w="1193" w:type="dxa"/>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jc w:val="center"/>
        </w:trPr>
        <w:tc>
          <w:tcPr>
            <w:tcW w:w="1897" w:type="dxa"/>
            <w:vAlign w:val="center"/>
          </w:tcPr>
          <w:p>
            <w:pPr>
              <w:keepNext w:val="0"/>
              <w:keepLines w:val="0"/>
              <w:suppressLineNumbers w:val="0"/>
              <w:spacing w:before="0" w:beforeAutospacing="0" w:after="0" w:afterAutospacing="0" w:line="280" w:lineRule="exact"/>
              <w:ind w:left="0" w:right="0"/>
              <w:jc w:val="center"/>
              <w:rPr>
                <w:rFonts w:hint="eastAsia" w:ascii="Times New Roman" w:hAnsi="Times New Roman" w:eastAsia="宋体" w:cs="Times New Roman"/>
                <w:szCs w:val="21"/>
                <w:lang w:eastAsia="zh-CN"/>
              </w:rPr>
            </w:pPr>
            <w:r>
              <w:rPr>
                <w:rFonts w:hint="default" w:ascii="Times New Roman" w:hAnsi="Times New Roman" w:cs="Times New Roman"/>
                <w:szCs w:val="21"/>
              </w:rPr>
              <w:t>配电</w:t>
            </w:r>
            <w:r>
              <w:rPr>
                <w:rFonts w:hint="eastAsia" w:ascii="Times New Roman" w:hAnsi="Times New Roman" w:cs="Times New Roman"/>
                <w:szCs w:val="21"/>
                <w:lang w:eastAsia="zh-CN"/>
              </w:rPr>
              <w:t>房</w:t>
            </w:r>
          </w:p>
        </w:tc>
        <w:tc>
          <w:tcPr>
            <w:tcW w:w="1072" w:type="dxa"/>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Cs w:val="21"/>
              </w:rPr>
            </w:pPr>
            <w:r>
              <w:rPr>
                <w:rFonts w:hint="default" w:ascii="Times New Roman" w:hAnsi="Times New Roman" w:cs="Times New Roman"/>
                <w:szCs w:val="21"/>
              </w:rPr>
              <w:t>√</w:t>
            </w:r>
          </w:p>
        </w:tc>
        <w:tc>
          <w:tcPr>
            <w:tcW w:w="1072" w:type="dxa"/>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Cs w:val="21"/>
              </w:rPr>
            </w:pPr>
          </w:p>
        </w:tc>
        <w:tc>
          <w:tcPr>
            <w:tcW w:w="1072" w:type="dxa"/>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Cs w:val="21"/>
              </w:rPr>
            </w:pPr>
          </w:p>
        </w:tc>
        <w:tc>
          <w:tcPr>
            <w:tcW w:w="1072" w:type="dxa"/>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Cs w:val="21"/>
              </w:rPr>
            </w:pPr>
          </w:p>
        </w:tc>
        <w:tc>
          <w:tcPr>
            <w:tcW w:w="872"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szCs w:val="21"/>
              </w:rPr>
            </w:pPr>
            <w:r>
              <w:rPr>
                <w:rFonts w:hint="default" w:ascii="Times New Roman" w:hAnsi="Times New Roman" w:cs="Times New Roman"/>
                <w:color w:val="auto"/>
                <w:sz w:val="21"/>
                <w:szCs w:val="21"/>
              </w:rPr>
              <w:t>√</w:t>
            </w:r>
          </w:p>
        </w:tc>
        <w:tc>
          <w:tcPr>
            <w:tcW w:w="1155" w:type="dxa"/>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Cs w:val="21"/>
              </w:rPr>
            </w:pPr>
          </w:p>
        </w:tc>
        <w:tc>
          <w:tcPr>
            <w:tcW w:w="1193" w:type="dxa"/>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jc w:val="center"/>
        </w:trPr>
        <w:tc>
          <w:tcPr>
            <w:tcW w:w="1897" w:type="dxa"/>
            <w:vAlign w:val="center"/>
          </w:tcPr>
          <w:p>
            <w:pPr>
              <w:keepNext w:val="0"/>
              <w:keepLines w:val="0"/>
              <w:suppressLineNumbers w:val="0"/>
              <w:spacing w:before="0" w:beforeAutospacing="0" w:after="0" w:afterAutospacing="0" w:line="280" w:lineRule="exact"/>
              <w:ind w:left="0" w:right="0"/>
              <w:jc w:val="center"/>
              <w:rPr>
                <w:rFonts w:hint="eastAsia" w:ascii="Times New Roman" w:hAnsi="Times New Roman" w:eastAsia="宋体" w:cs="Times New Roman"/>
                <w:szCs w:val="21"/>
                <w:lang w:eastAsia="zh-CN"/>
              </w:rPr>
            </w:pPr>
            <w:r>
              <w:rPr>
                <w:rFonts w:hint="eastAsia" w:ascii="Times New Roman" w:hAnsi="Times New Roman" w:cs="Times New Roman"/>
                <w:szCs w:val="21"/>
                <w:lang w:eastAsia="zh-CN"/>
              </w:rPr>
              <w:t>洗车区</w:t>
            </w:r>
          </w:p>
        </w:tc>
        <w:tc>
          <w:tcPr>
            <w:tcW w:w="1072" w:type="dxa"/>
            <w:vAlign w:val="center"/>
          </w:tcPr>
          <w:p>
            <w:pPr>
              <w:keepNext w:val="0"/>
              <w:keepLines w:val="0"/>
              <w:suppressLineNumbers w:val="0"/>
              <w:spacing w:before="0" w:beforeAutospacing="0" w:after="0" w:afterAutospacing="0" w:line="280" w:lineRule="exact"/>
              <w:ind w:left="0" w:leftChars="0" w:right="0" w:rightChars="0"/>
              <w:jc w:val="center"/>
              <w:rPr>
                <w:rFonts w:hint="default" w:ascii="Times New Roman" w:hAnsi="Times New Roman" w:cs="Times New Roman"/>
                <w:szCs w:val="21"/>
              </w:rPr>
            </w:pPr>
            <w:r>
              <w:rPr>
                <w:rFonts w:hint="default" w:ascii="Times New Roman" w:hAnsi="Times New Roman" w:cs="Times New Roman"/>
                <w:szCs w:val="21"/>
              </w:rPr>
              <w:t>√</w:t>
            </w:r>
          </w:p>
        </w:tc>
        <w:tc>
          <w:tcPr>
            <w:tcW w:w="1072" w:type="dxa"/>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Cs w:val="21"/>
              </w:rPr>
            </w:pPr>
          </w:p>
        </w:tc>
        <w:tc>
          <w:tcPr>
            <w:tcW w:w="1072" w:type="dxa"/>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Cs w:val="21"/>
              </w:rPr>
            </w:pPr>
          </w:p>
        </w:tc>
        <w:tc>
          <w:tcPr>
            <w:tcW w:w="1072" w:type="dxa"/>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Cs w:val="21"/>
              </w:rPr>
            </w:pPr>
            <w:r>
              <w:rPr>
                <w:rFonts w:hint="default" w:ascii="Times New Roman" w:hAnsi="Times New Roman" w:cs="Times New Roman"/>
                <w:color w:val="auto"/>
                <w:sz w:val="21"/>
                <w:szCs w:val="21"/>
              </w:rPr>
              <w:t>√</w:t>
            </w:r>
          </w:p>
        </w:tc>
        <w:tc>
          <w:tcPr>
            <w:tcW w:w="872"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szCs w:val="21"/>
              </w:rPr>
            </w:pPr>
            <w:r>
              <w:rPr>
                <w:rFonts w:hint="default" w:ascii="Times New Roman" w:hAnsi="Times New Roman" w:cs="Times New Roman"/>
                <w:color w:val="auto"/>
                <w:sz w:val="21"/>
                <w:szCs w:val="21"/>
              </w:rPr>
              <w:t>√</w:t>
            </w:r>
          </w:p>
        </w:tc>
        <w:tc>
          <w:tcPr>
            <w:tcW w:w="1155" w:type="dxa"/>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Cs w:val="21"/>
              </w:rPr>
            </w:pPr>
          </w:p>
        </w:tc>
        <w:tc>
          <w:tcPr>
            <w:tcW w:w="1193"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szCs w:val="21"/>
              </w:rPr>
            </w:pPr>
            <w:r>
              <w:rPr>
                <w:rFonts w:hint="default" w:ascii="Times New Roman" w:hAnsi="Times New Roman" w:cs="Times New Roman"/>
                <w:color w:val="auto"/>
                <w:sz w:val="21"/>
                <w:szCs w:val="21"/>
              </w:rPr>
              <w:t>√</w:t>
            </w:r>
          </w:p>
        </w:tc>
      </w:tr>
    </w:tbl>
    <w:p>
      <w:pPr>
        <w:pStyle w:val="11"/>
        <w:rPr>
          <w:rFonts w:hint="default"/>
          <w:lang w:val="en-US"/>
        </w:rPr>
      </w:pPr>
    </w:p>
    <w:p>
      <w:pPr>
        <w:spacing w:beforeLines="100" w:afterLines="100"/>
        <w:jc w:val="center"/>
        <w:outlineLvl w:val="1"/>
        <w:rPr>
          <w:rFonts w:hint="default" w:ascii="Times New Roman" w:hAnsi="Times New Roman" w:cs="Times New Roman"/>
          <w:b/>
          <w:sz w:val="32"/>
          <w:szCs w:val="32"/>
        </w:rPr>
      </w:pPr>
      <w:bookmarkStart w:id="685" w:name="_Toc19542"/>
      <w:bookmarkStart w:id="686" w:name="_Toc18570"/>
      <w:bookmarkStart w:id="687" w:name="_Toc31507"/>
      <w:bookmarkStart w:id="688" w:name="_Toc7801"/>
      <w:bookmarkStart w:id="689" w:name="_Toc10630"/>
      <w:bookmarkStart w:id="690" w:name="_Toc32180"/>
      <w:bookmarkStart w:id="691" w:name="_Toc10864"/>
      <w:bookmarkStart w:id="692" w:name="_Toc30511"/>
      <w:bookmarkStart w:id="693" w:name="_Toc12836"/>
      <w:bookmarkStart w:id="694" w:name="_Toc493"/>
      <w:bookmarkStart w:id="695" w:name="_Toc8457"/>
      <w:bookmarkStart w:id="696" w:name="_Toc1199"/>
      <w:bookmarkStart w:id="697" w:name="_Toc33"/>
      <w:bookmarkStart w:id="698" w:name="_Toc10893"/>
      <w:bookmarkStart w:id="699" w:name="_Toc25918"/>
      <w:bookmarkStart w:id="700" w:name="_Toc7173"/>
      <w:bookmarkStart w:id="701" w:name="_Toc18596"/>
      <w:bookmarkStart w:id="702" w:name="_Toc10541"/>
      <w:bookmarkStart w:id="703" w:name="_Toc3614"/>
      <w:bookmarkStart w:id="704" w:name="_Toc25048_WPSOffice_Level2"/>
      <w:bookmarkStart w:id="705" w:name="_Toc32609"/>
      <w:r>
        <w:rPr>
          <w:rFonts w:hint="default" w:ascii="Times New Roman" w:hAnsi="Times New Roman" w:cs="Times New Roman"/>
          <w:b/>
          <w:sz w:val="32"/>
          <w:szCs w:val="32"/>
        </w:rPr>
        <w:t>3.4</w:t>
      </w:r>
      <w:r>
        <w:rPr>
          <w:rFonts w:hint="default" w:ascii="Times New Roman" w:hAnsi="Times New Roman" w:cs="Times New Roman"/>
          <w:b/>
          <w:sz w:val="32"/>
          <w:szCs w:val="32"/>
          <w:lang w:val="en-US"/>
        </w:rPr>
        <w:t xml:space="preserve"> </w:t>
      </w:r>
      <w:r>
        <w:rPr>
          <w:rFonts w:hint="default" w:ascii="Times New Roman" w:hAnsi="Times New Roman" w:cs="Times New Roman"/>
          <w:b/>
          <w:sz w:val="32"/>
          <w:szCs w:val="32"/>
        </w:rPr>
        <w:t>重大危险源辨识结果</w:t>
      </w:r>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p>
    <w:p>
      <w:pPr>
        <w:spacing w:line="500" w:lineRule="exact"/>
        <w:ind w:firstLine="532" w:firstLineChars="200"/>
        <w:jc w:val="both"/>
        <w:rPr>
          <w:rFonts w:hint="default" w:ascii="Times New Roman" w:hAnsi="Times New Roman" w:cs="Times New Roman"/>
          <w:spacing w:val="-7"/>
          <w:sz w:val="28"/>
          <w:szCs w:val="28"/>
        </w:rPr>
      </w:pPr>
      <w:r>
        <w:rPr>
          <w:rFonts w:hint="default" w:ascii="Times New Roman" w:hAnsi="Times New Roman" w:cs="Times New Roman"/>
          <w:spacing w:val="-7"/>
          <w:sz w:val="28"/>
          <w:szCs w:val="28"/>
        </w:rPr>
        <w:t>根据《危险化学品重大危险源辨识》（GB18218-2018）的规定，对该改建项目进行重大危险源辨识，该加油站储存的危险化学品数量未构成危险化学品重大危险源。</w:t>
      </w:r>
    </w:p>
    <w:p>
      <w:pPr>
        <w:spacing w:beforeLines="100" w:afterLines="100" w:line="360" w:lineRule="auto"/>
        <w:jc w:val="center"/>
        <w:rPr>
          <w:rFonts w:hint="default" w:ascii="Times New Roman" w:hAnsi="Times New Roman" w:cs="Times New Roman"/>
          <w:b/>
          <w:sz w:val="32"/>
          <w:szCs w:val="32"/>
        </w:rPr>
      </w:pPr>
      <w:bookmarkStart w:id="706" w:name="_Toc529176493"/>
      <w:bookmarkStart w:id="707" w:name="_Toc123_WPSOffice_Level2"/>
      <w:bookmarkStart w:id="708" w:name="_Toc29481_WPSOffice_Level2"/>
    </w:p>
    <w:p>
      <w:pPr>
        <w:spacing w:beforeLines="100" w:afterLines="100" w:line="360" w:lineRule="auto"/>
        <w:jc w:val="center"/>
        <w:outlineLvl w:val="1"/>
        <w:rPr>
          <w:rFonts w:hint="default" w:ascii="Times New Roman" w:hAnsi="Times New Roman" w:cs="Times New Roman"/>
          <w:b/>
          <w:sz w:val="32"/>
          <w:szCs w:val="32"/>
        </w:rPr>
      </w:pPr>
      <w:bookmarkStart w:id="709" w:name="_Toc9128"/>
      <w:bookmarkStart w:id="710" w:name="_Toc4934"/>
      <w:bookmarkStart w:id="711" w:name="_Toc25909"/>
      <w:bookmarkStart w:id="712" w:name="_Toc13637"/>
      <w:bookmarkStart w:id="713" w:name="_Toc22752"/>
      <w:bookmarkStart w:id="714" w:name="_Toc32505"/>
      <w:bookmarkStart w:id="715" w:name="_Toc10622"/>
      <w:bookmarkStart w:id="716" w:name="_Toc1573"/>
      <w:bookmarkStart w:id="717" w:name="_Toc1145"/>
      <w:bookmarkStart w:id="718" w:name="_Toc295"/>
      <w:bookmarkStart w:id="719" w:name="_Toc19097"/>
      <w:bookmarkStart w:id="720" w:name="_Toc9603"/>
      <w:bookmarkStart w:id="721" w:name="_Toc7485"/>
      <w:bookmarkStart w:id="722" w:name="_Toc17646"/>
      <w:bookmarkStart w:id="723" w:name="_Toc12253"/>
      <w:bookmarkStart w:id="724" w:name="_Toc24079"/>
      <w:bookmarkStart w:id="725" w:name="_Toc18206"/>
      <w:bookmarkStart w:id="726" w:name="_Toc18063_WPSOffice_Level2"/>
      <w:bookmarkStart w:id="727" w:name="_Toc3523"/>
      <w:bookmarkStart w:id="728" w:name="_Toc21912"/>
      <w:bookmarkStart w:id="729" w:name="_Toc24906"/>
      <w:r>
        <w:rPr>
          <w:rFonts w:hint="default" w:ascii="Times New Roman" w:hAnsi="Times New Roman" w:cs="Times New Roman"/>
          <w:b/>
          <w:sz w:val="32"/>
          <w:szCs w:val="32"/>
        </w:rPr>
        <w:t>3.5</w:t>
      </w:r>
      <w:r>
        <w:rPr>
          <w:rFonts w:hint="default" w:ascii="Times New Roman" w:hAnsi="Times New Roman" w:cs="Times New Roman"/>
          <w:b/>
          <w:sz w:val="32"/>
          <w:szCs w:val="32"/>
          <w:lang w:val="en-US"/>
        </w:rPr>
        <w:t xml:space="preserve"> </w:t>
      </w:r>
      <w:r>
        <w:rPr>
          <w:rFonts w:hint="default" w:ascii="Times New Roman" w:hAnsi="Times New Roman" w:cs="Times New Roman"/>
          <w:b/>
          <w:sz w:val="32"/>
          <w:szCs w:val="32"/>
        </w:rPr>
        <w:t>爆炸危险区域的划分结果</w:t>
      </w:r>
      <w:bookmarkEnd w:id="706"/>
      <w:bookmarkEnd w:id="707"/>
      <w:bookmarkEnd w:id="708"/>
      <w:bookmarkEnd w:id="709"/>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p>
    <w:p>
      <w:pPr>
        <w:spacing w:line="500" w:lineRule="exact"/>
        <w:ind w:firstLine="532" w:firstLineChars="200"/>
        <w:jc w:val="both"/>
        <w:rPr>
          <w:rFonts w:hint="default" w:ascii="Times New Roman" w:hAnsi="Times New Roman" w:cs="Times New Roman"/>
          <w:spacing w:val="-7"/>
          <w:sz w:val="28"/>
          <w:szCs w:val="28"/>
        </w:rPr>
      </w:pPr>
      <w:bookmarkStart w:id="730" w:name="_Toc406658109"/>
      <w:r>
        <w:rPr>
          <w:rFonts w:hint="default" w:ascii="Times New Roman" w:hAnsi="Times New Roman" w:cs="Times New Roman"/>
          <w:spacing w:val="-7"/>
          <w:sz w:val="28"/>
          <w:szCs w:val="28"/>
        </w:rPr>
        <w:t>根据《汽车加油加气站设计与施工规范》（GB50156-2012，2014年版）规定，加油站内爆炸危险区域的等级和范围划分如下：</w:t>
      </w:r>
    </w:p>
    <w:p>
      <w:pPr>
        <w:spacing w:line="500" w:lineRule="exact"/>
        <w:ind w:firstLine="532" w:firstLineChars="200"/>
        <w:jc w:val="both"/>
        <w:rPr>
          <w:rFonts w:hint="default" w:ascii="Times New Roman" w:hAnsi="Times New Roman" w:cs="Times New Roman"/>
          <w:spacing w:val="-7"/>
          <w:sz w:val="28"/>
          <w:szCs w:val="28"/>
        </w:rPr>
      </w:pPr>
      <w:bookmarkStart w:id="731" w:name="_Toc7938_WPSOffice_Level3"/>
      <w:bookmarkStart w:id="732" w:name="_Toc9703_WPSOffice_Level3"/>
      <w:bookmarkStart w:id="733" w:name="_Toc11786_WPSOffice_Level3"/>
      <w:bookmarkStart w:id="734" w:name="_Toc24270_WPSOffice_Level3"/>
      <w:r>
        <w:rPr>
          <w:rFonts w:hint="default" w:ascii="Times New Roman" w:hAnsi="Times New Roman" w:cs="Times New Roman"/>
          <w:spacing w:val="-7"/>
          <w:sz w:val="28"/>
          <w:szCs w:val="28"/>
        </w:rPr>
        <w:t>1）加油设施的爆炸危险区域内地坪以下的坑或沟应划分为1区。</w:t>
      </w:r>
      <w:bookmarkEnd w:id="731"/>
      <w:bookmarkEnd w:id="732"/>
      <w:bookmarkEnd w:id="733"/>
      <w:bookmarkEnd w:id="734"/>
    </w:p>
    <w:p>
      <w:pPr>
        <w:spacing w:line="500" w:lineRule="exact"/>
        <w:ind w:firstLine="532" w:firstLineChars="200"/>
        <w:jc w:val="both"/>
        <w:rPr>
          <w:rFonts w:hint="default" w:ascii="Times New Roman" w:hAnsi="Times New Roman" w:cs="Times New Roman"/>
          <w:spacing w:val="-7"/>
          <w:sz w:val="28"/>
          <w:szCs w:val="28"/>
        </w:rPr>
      </w:pPr>
      <w:bookmarkStart w:id="735" w:name="_Toc17252_WPSOffice_Level3"/>
      <w:bookmarkStart w:id="736" w:name="_Toc14935_WPSOffice_Level3"/>
      <w:bookmarkStart w:id="737" w:name="_Toc6722_WPSOffice_Level3"/>
      <w:bookmarkStart w:id="738" w:name="_Toc23552_WPSOffice_Level3"/>
      <w:r>
        <w:rPr>
          <w:rFonts w:hint="default" w:ascii="Times New Roman" w:hAnsi="Times New Roman" w:cs="Times New Roman"/>
          <w:spacing w:val="-7"/>
          <w:sz w:val="28"/>
          <w:szCs w:val="28"/>
        </w:rPr>
        <w:t>2）埋地卧式储罐区爆炸危险区域划分如下：</w:t>
      </w:r>
      <w:bookmarkEnd w:id="735"/>
      <w:bookmarkEnd w:id="736"/>
      <w:bookmarkEnd w:id="737"/>
      <w:bookmarkEnd w:id="738"/>
    </w:p>
    <w:p>
      <w:pPr>
        <w:spacing w:line="500" w:lineRule="exact"/>
        <w:ind w:firstLine="532" w:firstLineChars="200"/>
        <w:jc w:val="both"/>
        <w:rPr>
          <w:rFonts w:hint="default" w:ascii="Times New Roman" w:hAnsi="Times New Roman" w:cs="Times New Roman"/>
          <w:spacing w:val="-7"/>
          <w:sz w:val="28"/>
          <w:szCs w:val="28"/>
        </w:rPr>
      </w:pPr>
      <w:r>
        <w:rPr>
          <w:rFonts w:hint="default" w:ascii="Times New Roman" w:hAnsi="Times New Roman" w:cs="Times New Roman"/>
          <w:spacing w:val="-7"/>
          <w:sz w:val="28"/>
          <w:szCs w:val="28"/>
        </w:rPr>
        <w:t>①罐内部油品表面以上的空间应划分为0区。</w:t>
      </w:r>
    </w:p>
    <w:p>
      <w:pPr>
        <w:spacing w:line="500" w:lineRule="exact"/>
        <w:ind w:firstLine="532" w:firstLineChars="200"/>
        <w:jc w:val="both"/>
        <w:rPr>
          <w:rFonts w:hint="default" w:ascii="Times New Roman" w:hAnsi="Times New Roman" w:cs="Times New Roman"/>
          <w:spacing w:val="-7"/>
          <w:sz w:val="28"/>
          <w:szCs w:val="28"/>
        </w:rPr>
      </w:pPr>
      <w:r>
        <w:rPr>
          <w:rFonts w:hint="default" w:ascii="Times New Roman" w:hAnsi="Times New Roman" w:cs="Times New Roman"/>
          <w:spacing w:val="-7"/>
          <w:sz w:val="28"/>
          <w:szCs w:val="28"/>
        </w:rPr>
        <w:t>②人孔（阀）井内部空间、以通气管管口为中心，半径为0.75 m的球形空间和以密闭卸油口为中心，半径为0.5m的球形空间，应划分为1区；</w:t>
      </w:r>
    </w:p>
    <w:p>
      <w:pPr>
        <w:spacing w:line="500" w:lineRule="exact"/>
        <w:ind w:firstLine="532" w:firstLineChars="200"/>
        <w:jc w:val="both"/>
        <w:rPr>
          <w:rFonts w:hint="default" w:ascii="Times New Roman" w:hAnsi="Times New Roman" w:cs="Times New Roman"/>
          <w:spacing w:val="-7"/>
          <w:sz w:val="28"/>
          <w:szCs w:val="28"/>
        </w:rPr>
      </w:pPr>
      <w:r>
        <w:rPr>
          <w:rFonts w:hint="default" w:ascii="Times New Roman" w:hAnsi="Times New Roman" w:cs="Times New Roman"/>
          <w:spacing w:val="-7"/>
          <w:sz w:val="28"/>
          <w:szCs w:val="28"/>
        </w:rPr>
        <w:t>③距人孔（阀）井外边缘1.5m以内，自地面算起1m高的圆柱形空间、以通气管管口为中心，半径为2m的球形空间和以密闭卸油口为中心，半径为1.5m的球形并延至地面的空间，应划分为2区。</w:t>
      </w:r>
    </w:p>
    <w:p>
      <w:pPr>
        <w:spacing w:line="500" w:lineRule="exact"/>
        <w:ind w:firstLine="532" w:firstLineChars="200"/>
        <w:jc w:val="both"/>
        <w:rPr>
          <w:rFonts w:hint="default" w:ascii="Times New Roman" w:hAnsi="Times New Roman" w:cs="Times New Roman"/>
          <w:spacing w:val="-7"/>
          <w:sz w:val="28"/>
          <w:szCs w:val="28"/>
        </w:rPr>
      </w:pPr>
      <w:bookmarkStart w:id="739" w:name="_Toc27989_WPSOffice_Level3"/>
      <w:bookmarkStart w:id="740" w:name="_Toc17048_WPSOffice_Level3"/>
      <w:bookmarkStart w:id="741" w:name="_Toc29687_WPSOffice_Level3"/>
      <w:bookmarkStart w:id="742" w:name="_Toc5454_WPSOffice_Level3"/>
      <w:r>
        <w:rPr>
          <w:rFonts w:hint="default" w:ascii="Times New Roman" w:hAnsi="Times New Roman" w:cs="Times New Roman"/>
          <w:spacing w:val="-7"/>
          <w:sz w:val="28"/>
          <w:szCs w:val="28"/>
        </w:rPr>
        <w:t>3）油罐车和密闭卸油口的爆炸危险区域划分如下：</w:t>
      </w:r>
      <w:bookmarkEnd w:id="739"/>
      <w:bookmarkEnd w:id="740"/>
      <w:bookmarkEnd w:id="741"/>
      <w:bookmarkEnd w:id="742"/>
    </w:p>
    <w:p>
      <w:pPr>
        <w:spacing w:line="500" w:lineRule="exact"/>
        <w:ind w:firstLine="532" w:firstLineChars="200"/>
        <w:jc w:val="both"/>
        <w:rPr>
          <w:rFonts w:hint="default" w:ascii="Times New Roman" w:hAnsi="Times New Roman" w:cs="Times New Roman"/>
          <w:spacing w:val="-7"/>
          <w:sz w:val="28"/>
          <w:szCs w:val="28"/>
        </w:rPr>
      </w:pPr>
      <w:r>
        <w:rPr>
          <w:rFonts w:hint="default" w:ascii="Times New Roman" w:hAnsi="Times New Roman" w:cs="Times New Roman"/>
          <w:spacing w:val="-7"/>
          <w:sz w:val="28"/>
          <w:szCs w:val="28"/>
        </w:rPr>
        <w:t>①油罐车内部的油品表面以上空间应划分为0区。</w:t>
      </w:r>
    </w:p>
    <w:p>
      <w:pPr>
        <w:spacing w:line="500" w:lineRule="exact"/>
        <w:ind w:firstLine="532" w:firstLineChars="200"/>
        <w:jc w:val="both"/>
        <w:rPr>
          <w:rFonts w:hint="default" w:ascii="Times New Roman" w:hAnsi="Times New Roman" w:cs="Times New Roman"/>
          <w:spacing w:val="-7"/>
          <w:sz w:val="28"/>
          <w:szCs w:val="28"/>
        </w:rPr>
      </w:pPr>
      <w:r>
        <w:rPr>
          <w:rFonts w:hint="default" w:ascii="Times New Roman" w:hAnsi="Times New Roman" w:cs="Times New Roman"/>
          <w:spacing w:val="-7"/>
          <w:sz w:val="28"/>
          <w:szCs w:val="28"/>
        </w:rPr>
        <w:t>②以通气口为中心，半径为1.5m的球形空间和以密闭卸油口为中心，半径为0.5m的球形空间，应划分为1区。</w:t>
      </w:r>
    </w:p>
    <w:p>
      <w:pPr>
        <w:spacing w:line="500" w:lineRule="exact"/>
        <w:ind w:firstLine="532" w:firstLineChars="200"/>
        <w:jc w:val="both"/>
        <w:rPr>
          <w:rFonts w:hint="default" w:ascii="Times New Roman" w:hAnsi="Times New Roman" w:cs="Times New Roman"/>
          <w:spacing w:val="-7"/>
          <w:sz w:val="28"/>
          <w:szCs w:val="28"/>
        </w:rPr>
      </w:pPr>
      <w:r>
        <w:rPr>
          <w:rFonts w:hint="default" w:ascii="Times New Roman" w:hAnsi="Times New Roman" w:cs="Times New Roman"/>
          <w:spacing w:val="-7"/>
          <w:sz w:val="28"/>
          <w:szCs w:val="28"/>
        </w:rPr>
        <w:t>③以通气口为中心，半径为3m的球形并延至地面的空间和以密闭卸油口中心，半径为1.5m的球形并延至地面的空间，应划分为2区。</w:t>
      </w:r>
    </w:p>
    <w:p>
      <w:pPr>
        <w:spacing w:line="500" w:lineRule="exact"/>
        <w:ind w:firstLine="532" w:firstLineChars="200"/>
        <w:jc w:val="both"/>
        <w:rPr>
          <w:rFonts w:hint="default" w:ascii="Times New Roman" w:hAnsi="Times New Roman" w:cs="Times New Roman"/>
          <w:spacing w:val="-7"/>
          <w:sz w:val="28"/>
          <w:szCs w:val="28"/>
        </w:rPr>
      </w:pPr>
      <w:bookmarkStart w:id="743" w:name="_Toc25048_WPSOffice_Level3"/>
      <w:bookmarkStart w:id="744" w:name="_Toc8673_WPSOffice_Level3"/>
      <w:bookmarkStart w:id="745" w:name="_Toc23568_WPSOffice_Level3"/>
      <w:bookmarkStart w:id="746" w:name="_Toc7064_WPSOffice_Level3"/>
      <w:r>
        <w:rPr>
          <w:rFonts w:hint="default" w:ascii="Times New Roman" w:hAnsi="Times New Roman" w:cs="Times New Roman"/>
          <w:spacing w:val="-7"/>
          <w:sz w:val="28"/>
          <w:szCs w:val="28"/>
        </w:rPr>
        <w:t>4）加油机爆炸危险区域划分如下：</w:t>
      </w:r>
      <w:bookmarkEnd w:id="743"/>
      <w:bookmarkEnd w:id="744"/>
      <w:bookmarkEnd w:id="745"/>
      <w:bookmarkEnd w:id="746"/>
    </w:p>
    <w:p>
      <w:pPr>
        <w:spacing w:line="500" w:lineRule="exact"/>
        <w:ind w:firstLine="532" w:firstLineChars="200"/>
        <w:jc w:val="both"/>
        <w:rPr>
          <w:rFonts w:hint="default" w:ascii="Times New Roman" w:hAnsi="Times New Roman" w:cs="Times New Roman"/>
          <w:spacing w:val="-7"/>
          <w:sz w:val="28"/>
          <w:szCs w:val="28"/>
        </w:rPr>
      </w:pPr>
      <w:r>
        <w:rPr>
          <w:rFonts w:hint="default" w:ascii="Times New Roman" w:hAnsi="Times New Roman" w:cs="Times New Roman"/>
          <w:spacing w:val="-7"/>
          <w:sz w:val="28"/>
          <w:szCs w:val="28"/>
        </w:rPr>
        <w:t>①加油机壳体内部空间，应划分为1区。</w:t>
      </w:r>
    </w:p>
    <w:p>
      <w:pPr>
        <w:spacing w:line="500" w:lineRule="exact"/>
        <w:ind w:firstLine="532" w:firstLineChars="200"/>
        <w:jc w:val="both"/>
        <w:rPr>
          <w:rFonts w:hint="default" w:ascii="Times New Roman" w:hAnsi="Times New Roman" w:cs="Times New Roman"/>
          <w:spacing w:val="-7"/>
          <w:sz w:val="28"/>
          <w:szCs w:val="28"/>
        </w:rPr>
      </w:pPr>
      <w:r>
        <w:rPr>
          <w:rFonts w:hint="default" w:ascii="Times New Roman" w:hAnsi="Times New Roman" w:cs="Times New Roman"/>
          <w:spacing w:val="-7"/>
          <w:sz w:val="28"/>
          <w:szCs w:val="28"/>
        </w:rPr>
        <w:t>②以加油机中线为中心线，以半径为3m的地面区域为底面和以加油机顶以上0.15m，半径为1.5m的平面为顶面的圆台形空间，应划分为2区。</w:t>
      </w:r>
    </w:p>
    <w:p>
      <w:pPr>
        <w:spacing w:line="500" w:lineRule="exact"/>
        <w:ind w:firstLine="532" w:firstLineChars="200"/>
        <w:jc w:val="both"/>
        <w:rPr>
          <w:rFonts w:hint="default" w:ascii="Times New Roman" w:hAnsi="Times New Roman" w:cs="Times New Roman"/>
          <w:spacing w:val="-7"/>
          <w:sz w:val="28"/>
          <w:szCs w:val="28"/>
        </w:rPr>
      </w:pPr>
      <w:r>
        <w:rPr>
          <w:rFonts w:hint="default" w:ascii="Times New Roman" w:hAnsi="Times New Roman" w:cs="Times New Roman"/>
          <w:spacing w:val="-7"/>
          <w:sz w:val="28"/>
          <w:szCs w:val="28"/>
        </w:rPr>
        <w:t>具体分析过程见附件和附录：爆炸危险区域布置图。</w:t>
      </w:r>
    </w:p>
    <w:p>
      <w:pPr>
        <w:pStyle w:val="2"/>
        <w:rPr>
          <w:rFonts w:hint="default"/>
        </w:rPr>
      </w:pPr>
    </w:p>
    <w:bookmarkEnd w:id="730"/>
    <w:p>
      <w:pPr>
        <w:spacing w:beforeLines="100" w:afterLines="100"/>
        <w:jc w:val="center"/>
        <w:outlineLvl w:val="1"/>
        <w:rPr>
          <w:rFonts w:hint="default" w:ascii="Times New Roman" w:hAnsi="Times New Roman" w:cs="Times New Roman"/>
          <w:b/>
          <w:sz w:val="32"/>
          <w:szCs w:val="32"/>
        </w:rPr>
      </w:pPr>
      <w:bookmarkStart w:id="747" w:name="_Toc31656_WPSOffice_Level2"/>
      <w:bookmarkStart w:id="748" w:name="_Toc15828"/>
      <w:bookmarkStart w:id="749" w:name="_Toc17759"/>
      <w:bookmarkStart w:id="750" w:name="_Toc19183"/>
      <w:bookmarkStart w:id="751" w:name="_Toc6743"/>
      <w:bookmarkStart w:id="752" w:name="_Toc32218_WPSOffice_Level2"/>
      <w:bookmarkStart w:id="753" w:name="_Toc18721"/>
      <w:bookmarkStart w:id="754" w:name="_Toc12381"/>
      <w:bookmarkStart w:id="755" w:name="_Toc23734"/>
      <w:bookmarkStart w:id="756" w:name="_Toc528343545"/>
      <w:bookmarkStart w:id="757" w:name="_Toc29377"/>
      <w:bookmarkStart w:id="758" w:name="_Toc1666"/>
      <w:bookmarkStart w:id="759" w:name="_Toc19840"/>
      <w:bookmarkStart w:id="760" w:name="_Toc529176494"/>
      <w:bookmarkStart w:id="761" w:name="_Toc31637"/>
      <w:bookmarkStart w:id="762" w:name="_Toc14516"/>
      <w:bookmarkStart w:id="763" w:name="_Toc32219"/>
      <w:bookmarkStart w:id="764" w:name="_Toc24030"/>
      <w:bookmarkStart w:id="765" w:name="_Toc18388"/>
      <w:bookmarkStart w:id="766" w:name="_Toc23814"/>
      <w:bookmarkStart w:id="767" w:name="_Toc19358"/>
      <w:bookmarkStart w:id="768" w:name="_Toc332"/>
      <w:bookmarkStart w:id="769" w:name="_Toc5057"/>
      <w:bookmarkStart w:id="770" w:name="_Toc20891_WPSOffice_Level2"/>
      <w:bookmarkStart w:id="771" w:name="_Toc16336"/>
      <w:r>
        <w:rPr>
          <w:rFonts w:hint="default" w:ascii="Times New Roman" w:hAnsi="Times New Roman" w:cs="Times New Roman"/>
          <w:b/>
          <w:sz w:val="32"/>
          <w:szCs w:val="32"/>
        </w:rPr>
        <w:t>3.6</w:t>
      </w:r>
      <w:r>
        <w:rPr>
          <w:rFonts w:hint="default" w:ascii="Times New Roman" w:hAnsi="Times New Roman" w:cs="Times New Roman"/>
          <w:b/>
          <w:sz w:val="32"/>
          <w:szCs w:val="32"/>
          <w:lang w:val="en-US"/>
        </w:rPr>
        <w:t xml:space="preserve"> </w:t>
      </w:r>
      <w:r>
        <w:rPr>
          <w:rFonts w:hint="default" w:ascii="Times New Roman" w:hAnsi="Times New Roman" w:cs="Times New Roman"/>
          <w:b/>
          <w:sz w:val="32"/>
          <w:szCs w:val="32"/>
        </w:rPr>
        <w:t>危险化工工艺辨识结果</w:t>
      </w:r>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p>
    <w:p>
      <w:pPr>
        <w:spacing w:line="500" w:lineRule="exact"/>
        <w:ind w:firstLine="532" w:firstLineChars="200"/>
        <w:jc w:val="both"/>
        <w:rPr>
          <w:rFonts w:hint="default" w:ascii="Times New Roman" w:hAnsi="Times New Roman" w:cs="Times New Roman"/>
          <w:spacing w:val="-7"/>
          <w:sz w:val="28"/>
          <w:szCs w:val="28"/>
        </w:rPr>
      </w:pPr>
      <w:r>
        <w:rPr>
          <w:rFonts w:hint="default" w:ascii="Times New Roman" w:hAnsi="Times New Roman" w:cs="Times New Roman"/>
          <w:spacing w:val="-7"/>
          <w:sz w:val="28"/>
          <w:szCs w:val="28"/>
        </w:rPr>
        <w:t>根据《重点监管危险化工工艺目录（2013年完整版）》（安监总管〔2013〕3号）对建设项目涉及的工艺进行危险化工工艺辨识，建设项目工艺未列入重点监管的危险化工工艺目录内。</w:t>
      </w:r>
    </w:p>
    <w:p>
      <w:pPr>
        <w:pStyle w:val="2"/>
        <w:rPr>
          <w:rFonts w:hint="default"/>
        </w:rPr>
      </w:pPr>
    </w:p>
    <w:p>
      <w:pPr>
        <w:spacing w:beforeLines="100" w:afterLines="100"/>
        <w:jc w:val="center"/>
        <w:outlineLvl w:val="1"/>
        <w:rPr>
          <w:rFonts w:hint="default" w:ascii="Times New Roman" w:hAnsi="Times New Roman" w:cs="Times New Roman"/>
          <w:b/>
          <w:sz w:val="32"/>
          <w:szCs w:val="32"/>
        </w:rPr>
      </w:pPr>
      <w:bookmarkStart w:id="772" w:name="_Toc13575"/>
      <w:bookmarkStart w:id="773" w:name="_Toc20659"/>
      <w:bookmarkStart w:id="774" w:name="_Toc2153"/>
      <w:bookmarkStart w:id="775" w:name="_Toc24819"/>
      <w:bookmarkStart w:id="776" w:name="_Toc16129"/>
      <w:bookmarkStart w:id="777" w:name="_Toc5737_WPSOffice_Level2"/>
      <w:bookmarkStart w:id="778" w:name="_Toc17236"/>
      <w:bookmarkStart w:id="779" w:name="_Toc17678_WPSOffice_Level2"/>
      <w:bookmarkStart w:id="780" w:name="_Toc5934"/>
      <w:bookmarkStart w:id="781" w:name="_Toc10827"/>
      <w:bookmarkStart w:id="782" w:name="_Toc862"/>
      <w:bookmarkStart w:id="783" w:name="_Toc23415"/>
      <w:bookmarkStart w:id="784" w:name="_Toc528343546"/>
      <w:bookmarkStart w:id="785" w:name="_Toc26932"/>
      <w:bookmarkStart w:id="786" w:name="_Toc16567"/>
      <w:bookmarkStart w:id="787" w:name="_Toc529176495"/>
      <w:bookmarkStart w:id="788" w:name="_Toc29810"/>
      <w:bookmarkStart w:id="789" w:name="_Toc12872"/>
      <w:bookmarkStart w:id="790" w:name="_Toc26997"/>
      <w:bookmarkStart w:id="791" w:name="_Toc13058"/>
      <w:bookmarkStart w:id="792" w:name="_Toc29423"/>
      <w:bookmarkStart w:id="793" w:name="_Toc3006"/>
      <w:bookmarkStart w:id="794" w:name="_Toc13597"/>
      <w:bookmarkStart w:id="795" w:name="_Toc25957_WPSOffice_Level2"/>
      <w:bookmarkStart w:id="796" w:name="_Toc20495"/>
      <w:r>
        <w:rPr>
          <w:rFonts w:hint="default" w:ascii="Times New Roman" w:hAnsi="Times New Roman" w:cs="Times New Roman"/>
          <w:b/>
          <w:sz w:val="32"/>
          <w:szCs w:val="32"/>
        </w:rPr>
        <w:t>3.7</w:t>
      </w:r>
      <w:r>
        <w:rPr>
          <w:rFonts w:hint="default" w:ascii="Times New Roman" w:hAnsi="Times New Roman" w:cs="Times New Roman"/>
          <w:b/>
          <w:sz w:val="32"/>
          <w:szCs w:val="32"/>
          <w:lang w:val="en-US"/>
        </w:rPr>
        <w:t xml:space="preserve"> </w:t>
      </w:r>
      <w:r>
        <w:rPr>
          <w:rFonts w:hint="default" w:ascii="Times New Roman" w:hAnsi="Times New Roman" w:cs="Times New Roman"/>
          <w:b/>
          <w:sz w:val="32"/>
          <w:szCs w:val="32"/>
        </w:rPr>
        <w:t>特种设备辩识结果</w:t>
      </w:r>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p>
    <w:p>
      <w:pPr>
        <w:spacing w:line="500" w:lineRule="exact"/>
        <w:ind w:firstLine="532" w:firstLineChars="200"/>
        <w:jc w:val="both"/>
        <w:rPr>
          <w:rFonts w:hint="default" w:ascii="Times New Roman" w:hAnsi="Times New Roman" w:cs="Times New Roman"/>
          <w:spacing w:val="-7"/>
          <w:sz w:val="28"/>
          <w:szCs w:val="28"/>
        </w:rPr>
      </w:pPr>
      <w:r>
        <w:rPr>
          <w:rFonts w:hint="default" w:ascii="Times New Roman" w:hAnsi="Times New Roman" w:cs="Times New Roman"/>
          <w:spacing w:val="-7"/>
          <w:sz w:val="28"/>
          <w:szCs w:val="28"/>
        </w:rPr>
        <w:t>根据《特种设备安全监察条例》（国务院令</w:t>
      </w:r>
      <w:r>
        <w:rPr>
          <w:rFonts w:hint="default" w:ascii="Times New Roman" w:hAnsi="Times New Roman" w:cs="Times New Roman"/>
          <w:spacing w:val="-7"/>
          <w:sz w:val="28"/>
          <w:szCs w:val="28"/>
          <w:lang w:val="en-US"/>
        </w:rPr>
        <w:t>[2009]</w:t>
      </w:r>
      <w:r>
        <w:rPr>
          <w:rFonts w:hint="default" w:ascii="Times New Roman" w:hAnsi="Times New Roman" w:cs="Times New Roman"/>
          <w:spacing w:val="-7"/>
          <w:sz w:val="28"/>
          <w:szCs w:val="28"/>
        </w:rPr>
        <w:t>第549号）、《特种设备目录》</w:t>
      </w:r>
      <w:r>
        <w:rPr>
          <w:rFonts w:hint="default" w:ascii="Times New Roman" w:hAnsi="Times New Roman" w:cs="Times New Roman"/>
          <w:spacing w:val="-7"/>
          <w:sz w:val="28"/>
          <w:szCs w:val="28"/>
          <w:lang w:val="en-US"/>
        </w:rPr>
        <w:t>(2014版）</w:t>
      </w:r>
      <w:r>
        <w:rPr>
          <w:rFonts w:hint="default" w:ascii="Times New Roman" w:hAnsi="Times New Roman" w:cs="Times New Roman"/>
          <w:spacing w:val="-7"/>
          <w:sz w:val="28"/>
          <w:szCs w:val="28"/>
        </w:rPr>
        <w:t>，对建设项目工艺流程涉及的设施、设备进行识别，建设项目不涉及特种设备。</w:t>
      </w:r>
    </w:p>
    <w:p>
      <w:pPr>
        <w:jc w:val="center"/>
        <w:rPr>
          <w:rFonts w:hint="default" w:ascii="Times New Roman" w:hAnsi="Times New Roman" w:cs="Times New Roman"/>
          <w:b/>
          <w:sz w:val="32"/>
          <w:szCs w:val="32"/>
        </w:rPr>
      </w:pPr>
      <w:r>
        <w:rPr>
          <w:rFonts w:hint="default" w:ascii="Times New Roman" w:hAnsi="Times New Roman" w:cs="Times New Roman"/>
        </w:rPr>
        <w:br w:type="page"/>
      </w:r>
      <w:r>
        <w:rPr>
          <w:rFonts w:hint="default" w:ascii="Times New Roman" w:hAnsi="Times New Roman" w:cs="Times New Roman"/>
          <w:b/>
          <w:sz w:val="32"/>
          <w:szCs w:val="32"/>
        </w:rPr>
        <w:t>3.</w:t>
      </w:r>
      <w:r>
        <w:rPr>
          <w:rFonts w:hint="eastAsia" w:ascii="Times New Roman" w:hAnsi="Times New Roman" w:cs="Times New Roman"/>
          <w:b/>
          <w:sz w:val="32"/>
          <w:szCs w:val="32"/>
          <w:lang w:val="en-US" w:eastAsia="zh-CN"/>
        </w:rPr>
        <w:t>8</w:t>
      </w:r>
      <w:r>
        <w:rPr>
          <w:rFonts w:hint="default" w:ascii="Times New Roman" w:hAnsi="Times New Roman" w:cs="Times New Roman"/>
          <w:b/>
          <w:sz w:val="32"/>
          <w:szCs w:val="32"/>
        </w:rPr>
        <w:t xml:space="preserve"> 产业结构辨识结果</w:t>
      </w:r>
    </w:p>
    <w:p>
      <w:pPr>
        <w:spacing w:line="500" w:lineRule="exact"/>
        <w:ind w:firstLine="532" w:firstLineChars="200"/>
        <w:jc w:val="both"/>
        <w:rPr>
          <w:rFonts w:hint="default" w:ascii="Times New Roman" w:hAnsi="Times New Roman" w:cs="Times New Roman"/>
          <w:spacing w:val="-7"/>
          <w:sz w:val="28"/>
          <w:szCs w:val="28"/>
        </w:rPr>
      </w:pPr>
      <w:r>
        <w:rPr>
          <w:rFonts w:hint="default" w:ascii="Times New Roman" w:hAnsi="Times New Roman" w:cs="Times New Roman"/>
          <w:spacing w:val="-7"/>
          <w:sz w:val="28"/>
          <w:szCs w:val="28"/>
        </w:rPr>
        <w:t>依据《产业结构调整指导目录（2019年本）》（国家发展和改革委员会令第29号）可知，该项目产品和工艺设备不属国家明令淘汰的产品和工艺设备。</w:t>
      </w:r>
    </w:p>
    <w:p>
      <w:pPr>
        <w:pStyle w:val="11"/>
        <w:rPr>
          <w:rFonts w:hint="default" w:ascii="Times New Roman" w:hAnsi="Times New Roman" w:cs="Times New Roman"/>
        </w:rPr>
      </w:pPr>
    </w:p>
    <w:p>
      <w:pPr>
        <w:pStyle w:val="3"/>
        <w:spacing w:beforeLines="100" w:afterLines="100"/>
        <w:ind w:firstLine="0"/>
        <w:jc w:val="center"/>
        <w:rPr>
          <w:rFonts w:hint="default" w:ascii="Times New Roman" w:hAnsi="Times New Roman" w:cs="Times New Roman"/>
        </w:rPr>
        <w:sectPr>
          <w:pgSz w:w="11910" w:h="16840"/>
          <w:pgMar w:top="1417" w:right="1134" w:bottom="1134" w:left="1587" w:header="720" w:footer="720" w:gutter="0"/>
          <w:cols w:space="0" w:num="1"/>
        </w:sectPr>
      </w:pPr>
      <w:bookmarkStart w:id="797" w:name="_Toc23180"/>
      <w:bookmarkStart w:id="798" w:name="_Toc27268"/>
      <w:bookmarkStart w:id="799" w:name="_Toc10497"/>
      <w:bookmarkStart w:id="800" w:name="_Toc18244"/>
      <w:bookmarkStart w:id="801" w:name="_Toc29375"/>
      <w:bookmarkStart w:id="802" w:name="_Toc32311"/>
      <w:bookmarkStart w:id="803" w:name="_Toc5278"/>
      <w:bookmarkStart w:id="804" w:name="_Toc21640"/>
      <w:bookmarkStart w:id="805" w:name="_Toc4821"/>
      <w:bookmarkStart w:id="806" w:name="_Toc25190"/>
      <w:bookmarkStart w:id="807" w:name="_Toc15935"/>
    </w:p>
    <w:p>
      <w:pPr>
        <w:pStyle w:val="3"/>
        <w:spacing w:beforeLines="100" w:afterLines="100"/>
        <w:ind w:firstLine="0"/>
        <w:jc w:val="center"/>
        <w:rPr>
          <w:rFonts w:hint="default" w:ascii="Times New Roman" w:hAnsi="Times New Roman" w:cs="Times New Roman"/>
        </w:rPr>
      </w:pPr>
      <w:bookmarkStart w:id="808" w:name="_Toc2720"/>
      <w:bookmarkStart w:id="809" w:name="_Toc27818"/>
      <w:bookmarkStart w:id="810" w:name="_Toc8066"/>
      <w:bookmarkStart w:id="811" w:name="_Toc20186"/>
      <w:bookmarkStart w:id="812" w:name="_Toc8380"/>
      <w:bookmarkStart w:id="813" w:name="_Toc12646"/>
      <w:bookmarkStart w:id="814" w:name="_Toc16614"/>
      <w:bookmarkStart w:id="815" w:name="_Toc7110"/>
      <w:bookmarkStart w:id="816" w:name="_Toc26130"/>
      <w:r>
        <w:rPr>
          <w:rFonts w:hint="default" w:ascii="Times New Roman" w:hAnsi="Times New Roman" w:cs="Times New Roman"/>
        </w:rPr>
        <w:t xml:space="preserve">4 </w:t>
      </w:r>
      <w:bookmarkEnd w:id="594"/>
      <w:bookmarkEnd w:id="595"/>
      <w:bookmarkEnd w:id="596"/>
      <w:bookmarkEnd w:id="597"/>
      <w:bookmarkEnd w:id="598"/>
      <w:bookmarkEnd w:id="797"/>
      <w:bookmarkEnd w:id="798"/>
      <w:bookmarkEnd w:id="799"/>
      <w:bookmarkEnd w:id="800"/>
      <w:bookmarkEnd w:id="801"/>
      <w:bookmarkEnd w:id="802"/>
      <w:bookmarkEnd w:id="803"/>
      <w:bookmarkEnd w:id="804"/>
      <w:bookmarkEnd w:id="805"/>
      <w:bookmarkEnd w:id="806"/>
      <w:bookmarkEnd w:id="807"/>
      <w:bookmarkEnd w:id="808"/>
      <w:r>
        <w:rPr>
          <w:rFonts w:hint="default" w:ascii="Times New Roman" w:hAnsi="Times New Roman" w:cs="Times New Roman"/>
        </w:rPr>
        <w:t>安全评价单元的划分结果及理由说明</w:t>
      </w:r>
      <w:bookmarkEnd w:id="809"/>
      <w:bookmarkEnd w:id="810"/>
      <w:bookmarkEnd w:id="811"/>
      <w:bookmarkEnd w:id="812"/>
      <w:bookmarkEnd w:id="813"/>
      <w:bookmarkEnd w:id="814"/>
      <w:bookmarkEnd w:id="815"/>
      <w:bookmarkEnd w:id="816"/>
    </w:p>
    <w:p>
      <w:pPr>
        <w:pStyle w:val="4"/>
        <w:tabs>
          <w:tab w:val="left" w:pos="3756"/>
        </w:tabs>
        <w:spacing w:beforeLines="100" w:afterLines="100"/>
        <w:ind w:right="1280" w:firstLine="0"/>
        <w:jc w:val="center"/>
        <w:rPr>
          <w:rFonts w:hint="default" w:ascii="Times New Roman" w:hAnsi="Times New Roman" w:eastAsia="宋体" w:cs="Times New Roman"/>
          <w:b/>
          <w:bCs/>
        </w:rPr>
      </w:pPr>
      <w:bookmarkStart w:id="817" w:name="_Toc30723"/>
      <w:bookmarkStart w:id="818" w:name="_Toc2339"/>
      <w:bookmarkStart w:id="819" w:name="_Toc30333"/>
      <w:bookmarkStart w:id="820" w:name="_Toc7488"/>
      <w:bookmarkStart w:id="821" w:name="_Toc31270"/>
      <w:bookmarkStart w:id="822" w:name="_Toc1931"/>
      <w:bookmarkStart w:id="823" w:name="_Toc29841"/>
      <w:bookmarkStart w:id="824" w:name="_Toc20113"/>
      <w:r>
        <w:rPr>
          <w:rFonts w:hint="default" w:ascii="Times New Roman" w:hAnsi="Times New Roman" w:eastAsia="宋体" w:cs="Times New Roman"/>
          <w:b/>
          <w:bCs/>
          <w:lang w:val="en-US" w:eastAsia="zh-CN"/>
        </w:rPr>
        <w:t>4</w:t>
      </w:r>
      <w:r>
        <w:rPr>
          <w:rFonts w:hint="default" w:ascii="Times New Roman" w:hAnsi="Times New Roman" w:eastAsia="宋体" w:cs="Times New Roman"/>
          <w:b/>
          <w:bCs/>
        </w:rPr>
        <w:t>.1 评价单元的划分</w:t>
      </w:r>
      <w:bookmarkEnd w:id="817"/>
      <w:bookmarkEnd w:id="818"/>
      <w:bookmarkEnd w:id="819"/>
      <w:bookmarkEnd w:id="820"/>
      <w:bookmarkEnd w:id="821"/>
      <w:bookmarkEnd w:id="822"/>
      <w:bookmarkEnd w:id="823"/>
      <w:bookmarkEnd w:id="824"/>
    </w:p>
    <w:p>
      <w:pPr>
        <w:pStyle w:val="11"/>
        <w:spacing w:line="500" w:lineRule="exact"/>
        <w:ind w:firstLine="532" w:firstLineChars="200"/>
        <w:rPr>
          <w:rFonts w:hint="default" w:ascii="Times New Roman" w:hAnsi="Times New Roman" w:cs="Times New Roman"/>
          <w:spacing w:val="-7"/>
        </w:rPr>
      </w:pPr>
      <w:r>
        <w:rPr>
          <w:rFonts w:hint="default" w:ascii="Times New Roman" w:hAnsi="Times New Roman" w:cs="Times New Roman"/>
          <w:spacing w:val="-7"/>
        </w:rPr>
        <w:t>评价单元就是在危险有害因素分析的基础上，根据评价目标和评价方法的需要，将系统分成若干有限、确定范围的单元。评价单元一般以生产工艺、工艺装置、物料的特点和特征与危险、有害因素的类别、分布有机结合进行划分。还可以按评价需要将一个评价单元再划分为若干个子评价单元或更细致的单元。</w:t>
      </w:r>
    </w:p>
    <w:p>
      <w:pPr>
        <w:pStyle w:val="11"/>
        <w:spacing w:line="500" w:lineRule="exact"/>
        <w:ind w:firstLine="532" w:firstLineChars="200"/>
        <w:rPr>
          <w:rFonts w:hint="default" w:ascii="Times New Roman" w:hAnsi="Times New Roman" w:cs="Times New Roman"/>
          <w:spacing w:val="-7"/>
        </w:rPr>
      </w:pPr>
      <w:r>
        <w:rPr>
          <w:rFonts w:hint="default" w:ascii="Times New Roman" w:hAnsi="Times New Roman" w:cs="Times New Roman"/>
          <w:spacing w:val="-7"/>
        </w:rPr>
        <w:t>评价组根据评价单元划分的原则，结合项目的实际情况，本报告根据不同的评价目标和评价方法，划分不同的评价单元，具体见下表：</w:t>
      </w:r>
    </w:p>
    <w:p>
      <w:pPr>
        <w:tabs>
          <w:tab w:val="left" w:pos="0"/>
        </w:tabs>
        <w:spacing w:line="500" w:lineRule="exact"/>
        <w:jc w:val="center"/>
        <w:rPr>
          <w:rFonts w:hint="default" w:ascii="Times New Roman" w:hAnsi="Times New Roman" w:cs="Times New Roman"/>
          <w:b/>
          <w:sz w:val="24"/>
        </w:rPr>
      </w:pPr>
      <w:r>
        <w:rPr>
          <w:rFonts w:hint="default" w:ascii="Times New Roman" w:hAnsi="Times New Roman" w:cs="Times New Roman"/>
          <w:b/>
          <w:sz w:val="24"/>
        </w:rPr>
        <w:t>表</w:t>
      </w:r>
      <w:r>
        <w:rPr>
          <w:rFonts w:hint="default" w:ascii="Times New Roman" w:hAnsi="Times New Roman" w:cs="Times New Roman"/>
          <w:b/>
          <w:sz w:val="24"/>
          <w:lang w:val="en-US" w:eastAsia="zh-CN"/>
        </w:rPr>
        <w:t>4.</w:t>
      </w:r>
      <w:r>
        <w:rPr>
          <w:rFonts w:hint="eastAsia" w:ascii="Times New Roman" w:hAnsi="Times New Roman" w:cs="Times New Roman"/>
          <w:b/>
          <w:sz w:val="24"/>
          <w:lang w:val="en-US" w:eastAsia="zh-CN"/>
        </w:rPr>
        <w:t>1.</w:t>
      </w:r>
      <w:r>
        <w:rPr>
          <w:rFonts w:hint="default" w:ascii="Times New Roman" w:hAnsi="Times New Roman" w:cs="Times New Roman"/>
          <w:b/>
          <w:sz w:val="24"/>
          <w:lang w:val="en-US" w:eastAsia="zh-CN"/>
        </w:rPr>
        <w:t xml:space="preserve">-1 </w:t>
      </w:r>
      <w:r>
        <w:rPr>
          <w:rFonts w:hint="default" w:ascii="Times New Roman" w:hAnsi="Times New Roman" w:cs="Times New Roman"/>
          <w:b/>
          <w:sz w:val="24"/>
        </w:rPr>
        <w:t>评价单元划分表</w:t>
      </w:r>
    </w:p>
    <w:tbl>
      <w:tblPr>
        <w:tblStyle w:val="29"/>
        <w:tblW w:w="90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3"/>
        <w:gridCol w:w="3215"/>
        <w:gridCol w:w="3470"/>
        <w:gridCol w:w="16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43"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szCs w:val="21"/>
              </w:rPr>
            </w:pPr>
            <w:r>
              <w:rPr>
                <w:rFonts w:hint="default" w:ascii="Times New Roman" w:hAnsi="Times New Roman" w:cs="Times New Roman"/>
                <w:b/>
                <w:szCs w:val="21"/>
              </w:rPr>
              <w:t>序号</w:t>
            </w:r>
          </w:p>
        </w:tc>
        <w:tc>
          <w:tcPr>
            <w:tcW w:w="3215"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szCs w:val="21"/>
              </w:rPr>
            </w:pPr>
            <w:r>
              <w:rPr>
                <w:rFonts w:hint="default" w:ascii="Times New Roman" w:hAnsi="Times New Roman" w:cs="Times New Roman"/>
                <w:b/>
                <w:szCs w:val="21"/>
              </w:rPr>
              <w:t>评价目标</w:t>
            </w:r>
          </w:p>
        </w:tc>
        <w:tc>
          <w:tcPr>
            <w:tcW w:w="3470"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szCs w:val="21"/>
              </w:rPr>
            </w:pPr>
            <w:r>
              <w:rPr>
                <w:rFonts w:hint="default" w:ascii="Times New Roman" w:hAnsi="Times New Roman" w:cs="Times New Roman"/>
                <w:b/>
                <w:szCs w:val="21"/>
              </w:rPr>
              <w:t>评价单元</w:t>
            </w:r>
          </w:p>
        </w:tc>
        <w:tc>
          <w:tcPr>
            <w:tcW w:w="1611"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szCs w:val="21"/>
              </w:rPr>
            </w:pPr>
            <w:r>
              <w:rPr>
                <w:rFonts w:hint="default" w:ascii="Times New Roman" w:hAnsi="Times New Roman" w:cs="Times New Roman"/>
                <w:b/>
                <w:szCs w:val="21"/>
              </w:rPr>
              <w:t>评价子单元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43" w:type="dxa"/>
            <w:vMerge w:val="restart"/>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1</w:t>
            </w:r>
          </w:p>
        </w:tc>
        <w:tc>
          <w:tcPr>
            <w:tcW w:w="3215" w:type="dxa"/>
            <w:vMerge w:val="restart"/>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是否满足安全条件和安全生产条件</w:t>
            </w:r>
            <w:r>
              <w:rPr>
                <w:rFonts w:hint="eastAsia" w:ascii="Times New Roman" w:hAnsi="Times New Roman" w:cs="Times New Roman"/>
                <w:szCs w:val="21"/>
                <w:lang w:eastAsia="zh-CN"/>
              </w:rPr>
              <w:t>，</w:t>
            </w:r>
            <w:r>
              <w:rPr>
                <w:rFonts w:hint="default" w:ascii="Times New Roman" w:hAnsi="Times New Roman" w:cs="Times New Roman"/>
                <w:szCs w:val="21"/>
              </w:rPr>
              <w:t>审查、确认项目主体工程的建设是否满足安全生产法律法规、标准、行政规章、规范的要求</w:t>
            </w:r>
          </w:p>
        </w:tc>
        <w:tc>
          <w:tcPr>
            <w:tcW w:w="3470"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证照文书</w:t>
            </w:r>
          </w:p>
        </w:tc>
        <w:tc>
          <w:tcPr>
            <w:tcW w:w="1611"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43"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p>
        </w:tc>
        <w:tc>
          <w:tcPr>
            <w:tcW w:w="3215"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p>
        </w:tc>
        <w:tc>
          <w:tcPr>
            <w:tcW w:w="3470"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安全管理制度</w:t>
            </w:r>
          </w:p>
        </w:tc>
        <w:tc>
          <w:tcPr>
            <w:tcW w:w="1611"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43"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p>
        </w:tc>
        <w:tc>
          <w:tcPr>
            <w:tcW w:w="3215"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p>
        </w:tc>
        <w:tc>
          <w:tcPr>
            <w:tcW w:w="3470"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安全管理组织</w:t>
            </w:r>
          </w:p>
        </w:tc>
        <w:tc>
          <w:tcPr>
            <w:tcW w:w="1611"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43"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p>
        </w:tc>
        <w:tc>
          <w:tcPr>
            <w:tcW w:w="3215"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p>
        </w:tc>
        <w:tc>
          <w:tcPr>
            <w:tcW w:w="3470"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从业人员要求</w:t>
            </w:r>
          </w:p>
        </w:tc>
        <w:tc>
          <w:tcPr>
            <w:tcW w:w="1611"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43"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p>
        </w:tc>
        <w:tc>
          <w:tcPr>
            <w:tcW w:w="3215"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p>
        </w:tc>
        <w:tc>
          <w:tcPr>
            <w:tcW w:w="3470"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选址及总平面布置</w:t>
            </w:r>
          </w:p>
        </w:tc>
        <w:tc>
          <w:tcPr>
            <w:tcW w:w="1611"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43"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p>
        </w:tc>
        <w:tc>
          <w:tcPr>
            <w:tcW w:w="3215"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p>
        </w:tc>
        <w:tc>
          <w:tcPr>
            <w:tcW w:w="3470"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油罐</w:t>
            </w:r>
          </w:p>
        </w:tc>
        <w:tc>
          <w:tcPr>
            <w:tcW w:w="1611"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43"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p>
        </w:tc>
        <w:tc>
          <w:tcPr>
            <w:tcW w:w="3215"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p>
        </w:tc>
        <w:tc>
          <w:tcPr>
            <w:tcW w:w="3470"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加油机</w:t>
            </w:r>
          </w:p>
        </w:tc>
        <w:tc>
          <w:tcPr>
            <w:tcW w:w="1611"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43"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p>
        </w:tc>
        <w:tc>
          <w:tcPr>
            <w:tcW w:w="3215"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p>
        </w:tc>
        <w:tc>
          <w:tcPr>
            <w:tcW w:w="3470"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工艺管道系统</w:t>
            </w:r>
          </w:p>
        </w:tc>
        <w:tc>
          <w:tcPr>
            <w:tcW w:w="1611"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43"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p>
        </w:tc>
        <w:tc>
          <w:tcPr>
            <w:tcW w:w="3215"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p>
        </w:tc>
        <w:tc>
          <w:tcPr>
            <w:tcW w:w="3470"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消防设施及给排水</w:t>
            </w:r>
          </w:p>
        </w:tc>
        <w:tc>
          <w:tcPr>
            <w:tcW w:w="1611"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43"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p>
        </w:tc>
        <w:tc>
          <w:tcPr>
            <w:tcW w:w="3215"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p>
        </w:tc>
        <w:tc>
          <w:tcPr>
            <w:tcW w:w="3470"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供配电</w:t>
            </w:r>
          </w:p>
        </w:tc>
        <w:tc>
          <w:tcPr>
            <w:tcW w:w="1611"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43"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p>
        </w:tc>
        <w:tc>
          <w:tcPr>
            <w:tcW w:w="3215"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p>
        </w:tc>
        <w:tc>
          <w:tcPr>
            <w:tcW w:w="3470"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防雷、防静电</w:t>
            </w:r>
          </w:p>
        </w:tc>
        <w:tc>
          <w:tcPr>
            <w:tcW w:w="1611"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43"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p>
        </w:tc>
        <w:tc>
          <w:tcPr>
            <w:tcW w:w="3215"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p>
        </w:tc>
        <w:tc>
          <w:tcPr>
            <w:tcW w:w="3470"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采暖通风、建（构）筑物、绿化</w:t>
            </w:r>
          </w:p>
        </w:tc>
        <w:tc>
          <w:tcPr>
            <w:tcW w:w="1611"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43" w:type="dxa"/>
            <w:vMerge w:val="restart"/>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2</w:t>
            </w:r>
          </w:p>
        </w:tc>
        <w:tc>
          <w:tcPr>
            <w:tcW w:w="3215" w:type="dxa"/>
            <w:vMerge w:val="restart"/>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加油站经营储存存在的危险有害因素</w:t>
            </w:r>
          </w:p>
        </w:tc>
        <w:tc>
          <w:tcPr>
            <w:tcW w:w="3470" w:type="dxa"/>
            <w:vMerge w:val="restart"/>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加油站作业过程</w:t>
            </w:r>
          </w:p>
        </w:tc>
        <w:tc>
          <w:tcPr>
            <w:tcW w:w="1611"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加油区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43"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p>
        </w:tc>
        <w:tc>
          <w:tcPr>
            <w:tcW w:w="3215"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p>
        </w:tc>
        <w:tc>
          <w:tcPr>
            <w:tcW w:w="3470"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p>
        </w:tc>
        <w:tc>
          <w:tcPr>
            <w:tcW w:w="1611"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埋地油罐区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43"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3</w:t>
            </w:r>
          </w:p>
        </w:tc>
        <w:tc>
          <w:tcPr>
            <w:tcW w:w="3215"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确定储罐区汽油储罐的火灾爆炸危险性</w:t>
            </w:r>
          </w:p>
        </w:tc>
        <w:tc>
          <w:tcPr>
            <w:tcW w:w="3470"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加油站储存装置</w:t>
            </w:r>
          </w:p>
        </w:tc>
        <w:tc>
          <w:tcPr>
            <w:tcW w:w="1611"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埋地油罐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43"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4</w:t>
            </w:r>
          </w:p>
        </w:tc>
        <w:tc>
          <w:tcPr>
            <w:tcW w:w="3215"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确定加油站事故的原因</w:t>
            </w:r>
          </w:p>
        </w:tc>
        <w:tc>
          <w:tcPr>
            <w:tcW w:w="3470"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油品火灾事故</w:t>
            </w:r>
          </w:p>
        </w:tc>
        <w:tc>
          <w:tcPr>
            <w:tcW w:w="1611"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w:t>
            </w:r>
          </w:p>
        </w:tc>
      </w:tr>
    </w:tbl>
    <w:p>
      <w:pPr>
        <w:rPr>
          <w:rFonts w:hint="default"/>
        </w:rPr>
      </w:pPr>
    </w:p>
    <w:p>
      <w:pPr>
        <w:pStyle w:val="4"/>
        <w:tabs>
          <w:tab w:val="left" w:pos="3756"/>
        </w:tabs>
        <w:spacing w:beforeLines="100" w:afterLines="100"/>
        <w:ind w:right="1280" w:firstLine="0"/>
        <w:jc w:val="center"/>
        <w:rPr>
          <w:rFonts w:hint="default" w:ascii="Times New Roman" w:hAnsi="Times New Roman" w:eastAsia="宋体" w:cs="Times New Roman"/>
          <w:b/>
          <w:bCs/>
        </w:rPr>
      </w:pPr>
      <w:bookmarkStart w:id="825" w:name="_Toc22272"/>
      <w:bookmarkStart w:id="826" w:name="_Toc12850"/>
      <w:bookmarkStart w:id="827" w:name="_Toc22347"/>
      <w:bookmarkStart w:id="828" w:name="_Toc11824"/>
      <w:bookmarkStart w:id="829" w:name="_Toc30911"/>
      <w:bookmarkStart w:id="830" w:name="_Toc26970"/>
      <w:bookmarkStart w:id="831" w:name="_Toc24074"/>
      <w:bookmarkStart w:id="832" w:name="_Toc24453"/>
      <w:r>
        <w:rPr>
          <w:rFonts w:hint="default" w:ascii="Times New Roman" w:hAnsi="Times New Roman" w:eastAsia="宋体" w:cs="Times New Roman"/>
          <w:b/>
          <w:bCs/>
          <w:lang w:val="en-US" w:eastAsia="zh-CN"/>
        </w:rPr>
        <w:t>4</w:t>
      </w:r>
      <w:r>
        <w:rPr>
          <w:rFonts w:hint="default" w:ascii="Times New Roman" w:hAnsi="Times New Roman" w:eastAsia="宋体" w:cs="Times New Roman"/>
          <w:b/>
          <w:bCs/>
        </w:rPr>
        <w:t>.</w:t>
      </w:r>
      <w:r>
        <w:rPr>
          <w:rFonts w:hint="default" w:ascii="Times New Roman" w:hAnsi="Times New Roman" w:eastAsia="宋体" w:cs="Times New Roman"/>
          <w:b/>
          <w:bCs/>
          <w:lang w:val="en-US" w:eastAsia="zh-CN"/>
        </w:rPr>
        <w:t>2</w:t>
      </w:r>
      <w:r>
        <w:rPr>
          <w:rFonts w:hint="default" w:ascii="Times New Roman" w:hAnsi="Times New Roman" w:eastAsia="宋体" w:cs="Times New Roman"/>
          <w:b/>
          <w:bCs/>
        </w:rPr>
        <w:t xml:space="preserve"> </w:t>
      </w:r>
      <w:bookmarkEnd w:id="825"/>
      <w:bookmarkEnd w:id="826"/>
      <w:bookmarkEnd w:id="827"/>
      <w:bookmarkEnd w:id="828"/>
      <w:bookmarkEnd w:id="829"/>
      <w:r>
        <w:rPr>
          <w:rFonts w:hint="default" w:ascii="Times New Roman" w:hAnsi="Times New Roman" w:eastAsia="宋体" w:cs="Times New Roman"/>
          <w:b/>
          <w:bCs/>
        </w:rPr>
        <w:t>采用的安全评价方法及理由说明</w:t>
      </w:r>
      <w:bookmarkEnd w:id="830"/>
      <w:bookmarkEnd w:id="831"/>
      <w:bookmarkEnd w:id="832"/>
    </w:p>
    <w:p>
      <w:pPr>
        <w:pStyle w:val="11"/>
        <w:spacing w:line="500" w:lineRule="exact"/>
        <w:ind w:firstLine="532" w:firstLineChars="200"/>
        <w:jc w:val="both"/>
        <w:rPr>
          <w:rFonts w:hint="default" w:ascii="Times New Roman" w:hAnsi="Times New Roman" w:cs="Times New Roman"/>
          <w:spacing w:val="-7"/>
        </w:rPr>
      </w:pPr>
      <w:r>
        <w:rPr>
          <w:rFonts w:hint="default" w:ascii="Times New Roman" w:hAnsi="Times New Roman" w:cs="Times New Roman"/>
          <w:spacing w:val="-7"/>
        </w:rPr>
        <w:t>本报告安全评价方法采用了安全检查表法、采用道化学——火灾爆炸指数、事故树分析方法、作业条件危险性评价法。</w:t>
      </w:r>
    </w:p>
    <w:p>
      <w:pPr>
        <w:pStyle w:val="11"/>
        <w:spacing w:line="500" w:lineRule="exact"/>
        <w:ind w:firstLine="532" w:firstLineChars="200"/>
        <w:jc w:val="both"/>
        <w:rPr>
          <w:rFonts w:hint="default" w:ascii="Times New Roman" w:hAnsi="Times New Roman" w:cs="Times New Roman"/>
          <w:spacing w:val="-7"/>
        </w:rPr>
      </w:pPr>
      <w:r>
        <w:rPr>
          <w:rFonts w:hint="default" w:ascii="Times New Roman" w:hAnsi="Times New Roman" w:cs="Times New Roman"/>
          <w:spacing w:val="-7"/>
        </w:rPr>
        <w:t>安全检查表是评价人员通过确定标准的设计，然后用它产生一系列基于缺陷或差异的问题。所完成的安全检查表包括对提出实际情况问题回答，对检查结果的判定提出“合格”、“基本合格”、“不合格”。定性的分析结果随不同的分析对象而变化，但都将做出与标准或规范是否一致的结论。此外，安全检查表分析通常提出一系列的提高安全性的可能途径给管理者考虑。安全检查表使用范围广，安全检查表能发现潜在危险的一种有用而简单可行的方法。对安全评价、安全生产管理，对熟知的工艺设计、物料、设备或操作规程等进行分析。</w:t>
      </w:r>
    </w:p>
    <w:p>
      <w:pPr>
        <w:pStyle w:val="11"/>
        <w:spacing w:line="500" w:lineRule="exact"/>
        <w:ind w:firstLine="532" w:firstLineChars="200"/>
        <w:jc w:val="both"/>
        <w:rPr>
          <w:rFonts w:hint="default" w:ascii="Times New Roman" w:hAnsi="Times New Roman" w:cs="Times New Roman"/>
          <w:spacing w:val="-7"/>
        </w:rPr>
      </w:pPr>
      <w:r>
        <w:rPr>
          <w:rFonts w:hint="default" w:ascii="Times New Roman" w:hAnsi="Times New Roman" w:cs="Times New Roman"/>
          <w:spacing w:val="-7"/>
        </w:rPr>
        <w:t>道化学火灾、爆炸指数评价法：定量地对加油站储存装置及所含物料的实际潜在火灾、爆炸和反应危险性进行分析评价。</w:t>
      </w:r>
    </w:p>
    <w:p>
      <w:pPr>
        <w:pStyle w:val="11"/>
        <w:spacing w:line="500" w:lineRule="exact"/>
        <w:ind w:firstLine="532" w:firstLineChars="200"/>
        <w:jc w:val="both"/>
        <w:rPr>
          <w:rFonts w:hint="default" w:ascii="Times New Roman" w:hAnsi="Times New Roman" w:cs="Times New Roman"/>
          <w:spacing w:val="-7"/>
        </w:rPr>
      </w:pPr>
      <w:r>
        <w:rPr>
          <w:rFonts w:hint="default" w:ascii="Times New Roman" w:hAnsi="Times New Roman" w:cs="Times New Roman"/>
          <w:spacing w:val="-7"/>
        </w:rPr>
        <w:t>事故树评价法查明系统各种固有的、潜在的危险因素或事故原因，为制定安全技术对策、采取安全管理措施和事故的调查分析提供依据。</w:t>
      </w:r>
    </w:p>
    <w:p>
      <w:pPr>
        <w:pStyle w:val="11"/>
        <w:spacing w:line="500" w:lineRule="exact"/>
        <w:ind w:firstLine="532" w:firstLineChars="200"/>
        <w:jc w:val="both"/>
        <w:rPr>
          <w:rFonts w:hint="default" w:ascii="Times New Roman" w:hAnsi="Times New Roman" w:cs="Times New Roman"/>
          <w:spacing w:val="-7"/>
        </w:rPr>
      </w:pPr>
      <w:r>
        <w:rPr>
          <w:rFonts w:hint="default" w:ascii="Times New Roman" w:hAnsi="Times New Roman" w:cs="Times New Roman"/>
          <w:spacing w:val="-7"/>
          <w:highlight w:val="none"/>
        </w:rPr>
        <w:t>作业条件场所危险性评价法是美国的K•J•格雷厄姆和G•F•金尼研究了人们在具有潜在危险环境中作业的危险性，提出了以所评价的环境与某些作为参考环境对比为基础，将作业条件的危险性作因变量（D），事故或危险事件发生的可能性（L）、暴露于危险环境的频率（E）及危险严重（C）。从而根据“打分”办法计算出危险性来判定。这是一种简单易行的评价作业条件危险性的方法。</w:t>
      </w:r>
    </w:p>
    <w:p>
      <w:pPr>
        <w:rPr>
          <w:rFonts w:hint="default" w:ascii="Times New Roman" w:hAnsi="Times New Roman" w:cs="Times New Roman"/>
        </w:rPr>
      </w:pPr>
      <w:bookmarkStart w:id="833" w:name="_Toc25593_WPSOffice_Level1"/>
      <w:bookmarkStart w:id="834" w:name="_Toc12057"/>
      <w:bookmarkStart w:id="835" w:name="_Toc17456_WPSOffice_Level1"/>
      <w:bookmarkStart w:id="836" w:name="_Toc23218"/>
      <w:bookmarkStart w:id="837" w:name="_Toc27989_WPSOffice_Level1"/>
      <w:r>
        <w:rPr>
          <w:rFonts w:hint="default" w:ascii="Times New Roman" w:hAnsi="Times New Roman" w:cs="Times New Roman"/>
        </w:rPr>
        <w:br w:type="page"/>
      </w:r>
    </w:p>
    <w:p>
      <w:pPr>
        <w:pStyle w:val="3"/>
        <w:keepNext w:val="0"/>
        <w:keepLines w:val="0"/>
        <w:pageBreakBefore w:val="0"/>
        <w:widowControl w:val="0"/>
        <w:kinsoku/>
        <w:wordWrap/>
        <w:overflowPunct/>
        <w:topLinePunct w:val="0"/>
        <w:autoSpaceDE w:val="0"/>
        <w:autoSpaceDN w:val="0"/>
        <w:bidi w:val="0"/>
        <w:adjustRightInd/>
        <w:snapToGrid/>
        <w:spacing w:beforeLines="100" w:afterLines="100" w:line="500" w:lineRule="exact"/>
        <w:ind w:left="0" w:leftChars="0"/>
        <w:jc w:val="center"/>
        <w:textAlignment w:val="auto"/>
        <w:rPr>
          <w:rFonts w:hint="default" w:ascii="Times New Roman" w:hAnsi="Times New Roman" w:cs="Times New Roman"/>
        </w:rPr>
      </w:pPr>
      <w:bookmarkStart w:id="838" w:name="_Toc31181"/>
      <w:bookmarkStart w:id="839" w:name="_Toc31524"/>
      <w:bookmarkStart w:id="840" w:name="_Toc23826"/>
      <w:bookmarkStart w:id="841" w:name="_Toc26888"/>
      <w:bookmarkStart w:id="842" w:name="_Toc15783"/>
      <w:bookmarkStart w:id="843" w:name="_Toc16123"/>
      <w:bookmarkStart w:id="844" w:name="_Toc445"/>
      <w:bookmarkStart w:id="845" w:name="_Toc16648"/>
      <w:bookmarkStart w:id="846" w:name="_Toc31285"/>
      <w:bookmarkStart w:id="847" w:name="_Toc14861"/>
      <w:bookmarkStart w:id="848" w:name="_Toc27496"/>
      <w:bookmarkStart w:id="849" w:name="_Toc28576"/>
      <w:bookmarkStart w:id="850" w:name="_Toc30290"/>
      <w:bookmarkStart w:id="851" w:name="_Toc7040"/>
      <w:bookmarkStart w:id="852" w:name="_Toc23892"/>
      <w:bookmarkStart w:id="853" w:name="_Toc11748"/>
      <w:bookmarkStart w:id="854" w:name="_Toc15308"/>
      <w:bookmarkStart w:id="855" w:name="_Toc22704"/>
      <w:bookmarkStart w:id="856" w:name="_Toc13135"/>
      <w:bookmarkStart w:id="857" w:name="_Toc22496"/>
      <w:r>
        <w:rPr>
          <w:rFonts w:hint="default" w:ascii="Times New Roman" w:hAnsi="Times New Roman" w:cs="Times New Roman"/>
        </w:rPr>
        <w:t>5 定性、定量分析危险、有害程度的结果</w:t>
      </w:r>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p>
    <w:p>
      <w:pPr>
        <w:pStyle w:val="4"/>
        <w:keepNext w:val="0"/>
        <w:keepLines w:val="0"/>
        <w:pageBreakBefore w:val="0"/>
        <w:widowControl w:val="0"/>
        <w:tabs>
          <w:tab w:val="left" w:pos="3756"/>
        </w:tabs>
        <w:kinsoku/>
        <w:wordWrap/>
        <w:overflowPunct/>
        <w:topLinePunct w:val="0"/>
        <w:autoSpaceDE w:val="0"/>
        <w:autoSpaceDN w:val="0"/>
        <w:bidi w:val="0"/>
        <w:adjustRightInd/>
        <w:snapToGrid/>
        <w:spacing w:beforeLines="100" w:afterLines="100" w:line="500" w:lineRule="exact"/>
        <w:ind w:left="0" w:leftChars="0" w:right="1280" w:firstLine="0"/>
        <w:jc w:val="center"/>
        <w:textAlignment w:val="auto"/>
        <w:rPr>
          <w:rFonts w:hint="default" w:ascii="Times New Roman" w:hAnsi="Times New Roman" w:eastAsia="宋体" w:cs="Times New Roman"/>
          <w:b/>
          <w:bCs/>
        </w:rPr>
      </w:pPr>
      <w:bookmarkStart w:id="858" w:name="_Toc9216"/>
      <w:bookmarkStart w:id="859" w:name="_Toc27286"/>
      <w:bookmarkStart w:id="860" w:name="_Toc14518"/>
      <w:bookmarkStart w:id="861" w:name="_Toc23501"/>
      <w:bookmarkStart w:id="862" w:name="_Toc31444"/>
      <w:bookmarkStart w:id="863" w:name="_Toc4727_WPSOffice_Level2"/>
      <w:bookmarkStart w:id="864" w:name="_Toc17710"/>
      <w:bookmarkStart w:id="865" w:name="_Toc25776"/>
      <w:bookmarkStart w:id="866" w:name="_Toc23872"/>
      <w:bookmarkStart w:id="867" w:name="_Toc15067"/>
      <w:bookmarkStart w:id="868" w:name="_Toc28648"/>
      <w:bookmarkStart w:id="869" w:name="_Toc28200"/>
      <w:bookmarkStart w:id="870" w:name="_Toc20647"/>
      <w:bookmarkStart w:id="871" w:name="_Toc12237"/>
      <w:bookmarkStart w:id="872" w:name="_Toc20820_WPSOffice_Level2"/>
      <w:bookmarkStart w:id="873" w:name="_Toc4526"/>
      <w:bookmarkStart w:id="874" w:name="_Toc9032_WPSOffice_Level2"/>
      <w:bookmarkStart w:id="875" w:name="_Toc18382"/>
      <w:bookmarkStart w:id="876" w:name="_Toc7989"/>
      <w:bookmarkStart w:id="877" w:name="_Toc20931"/>
      <w:bookmarkStart w:id="878" w:name="_Toc17507"/>
      <w:bookmarkStart w:id="879" w:name="_Toc11939"/>
      <w:bookmarkStart w:id="880" w:name="_Toc15939"/>
      <w:bookmarkStart w:id="881" w:name="_Toc28378"/>
      <w:bookmarkStart w:id="882" w:name="_Toc22339"/>
      <w:r>
        <w:rPr>
          <w:rFonts w:hint="default" w:ascii="Times New Roman" w:hAnsi="Times New Roman" w:eastAsia="宋体" w:cs="Times New Roman"/>
          <w:b/>
          <w:bCs/>
          <w:lang w:val="en-US"/>
        </w:rPr>
        <w:t>5</w:t>
      </w:r>
      <w:r>
        <w:rPr>
          <w:rFonts w:hint="default" w:ascii="Times New Roman" w:hAnsi="Times New Roman" w:eastAsia="宋体" w:cs="Times New Roman"/>
          <w:b/>
          <w:bCs/>
        </w:rPr>
        <w:t>.1 物料固有危险程度分析结果</w:t>
      </w:r>
      <w:bookmarkEnd w:id="858"/>
      <w:bookmarkEnd w:id="859"/>
      <w:bookmarkEnd w:id="860"/>
    </w:p>
    <w:p>
      <w:pPr>
        <w:pStyle w:val="11"/>
        <w:keepNext w:val="0"/>
        <w:keepLines w:val="0"/>
        <w:pageBreakBefore w:val="0"/>
        <w:widowControl w:val="0"/>
        <w:kinsoku/>
        <w:wordWrap/>
        <w:overflowPunct/>
        <w:topLinePunct w:val="0"/>
        <w:autoSpaceDE w:val="0"/>
        <w:autoSpaceDN w:val="0"/>
        <w:bidi w:val="0"/>
        <w:adjustRightInd/>
        <w:snapToGrid/>
        <w:spacing w:line="500" w:lineRule="exact"/>
        <w:ind w:left="0" w:leftChars="0" w:firstLine="532" w:firstLineChars="200"/>
        <w:textAlignment w:val="auto"/>
        <w:rPr>
          <w:rFonts w:hint="eastAsia" w:ascii="Times New Roman" w:hAnsi="Times New Roman" w:cs="Times New Roman"/>
          <w:spacing w:val="-7"/>
        </w:rPr>
      </w:pPr>
      <w:r>
        <w:rPr>
          <w:rFonts w:hint="eastAsia" w:ascii="Times New Roman" w:hAnsi="Times New Roman" w:cs="Times New Roman"/>
          <w:spacing w:val="-7"/>
          <w:lang w:eastAsia="zh-CN"/>
        </w:rPr>
        <w:t>东城加油站</w:t>
      </w:r>
      <w:r>
        <w:rPr>
          <w:rFonts w:hint="eastAsia" w:ascii="Times New Roman" w:hAnsi="Times New Roman" w:cs="Times New Roman"/>
          <w:spacing w:val="-7"/>
        </w:rPr>
        <w:t>经营汽油、柴油，其固有的危险程度如下：</w:t>
      </w:r>
    </w:p>
    <w:p>
      <w:pPr>
        <w:pStyle w:val="11"/>
        <w:spacing w:after="0" w:line="500" w:lineRule="exact"/>
        <w:jc w:val="center"/>
        <w:rPr>
          <w:rFonts w:hint="eastAsia" w:ascii="Times New Roman" w:hAnsi="Times New Roman" w:cs="Times New Roman"/>
          <w:b/>
          <w:bCs/>
          <w:sz w:val="24"/>
        </w:rPr>
      </w:pPr>
      <w:r>
        <w:rPr>
          <w:rFonts w:hint="eastAsia" w:ascii="Times New Roman" w:hAnsi="Times New Roman" w:cs="Times New Roman"/>
          <w:b/>
          <w:bCs/>
          <w:sz w:val="24"/>
        </w:rPr>
        <w:t>表</w:t>
      </w:r>
      <w:r>
        <w:rPr>
          <w:rFonts w:hint="eastAsia" w:ascii="Times New Roman" w:hAnsi="Times New Roman" w:cs="Times New Roman"/>
          <w:b/>
          <w:bCs/>
          <w:sz w:val="24"/>
          <w:lang w:val="en-US" w:eastAsia="zh-CN"/>
        </w:rPr>
        <w:t>5</w:t>
      </w:r>
      <w:r>
        <w:rPr>
          <w:rFonts w:hint="eastAsia" w:ascii="Times New Roman" w:hAnsi="Times New Roman" w:cs="Times New Roman"/>
          <w:b/>
          <w:bCs/>
          <w:sz w:val="24"/>
        </w:rPr>
        <w:t>.1-1 固有危险度一览表</w:t>
      </w:r>
    </w:p>
    <w:tbl>
      <w:tblPr>
        <w:tblStyle w:val="29"/>
        <w:tblW w:w="84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2"/>
        <w:gridCol w:w="1158"/>
        <w:gridCol w:w="1112"/>
        <w:gridCol w:w="721"/>
        <w:gridCol w:w="1151"/>
        <w:gridCol w:w="1163"/>
        <w:gridCol w:w="682"/>
        <w:gridCol w:w="13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152"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bCs/>
                <w:szCs w:val="21"/>
              </w:rPr>
            </w:pPr>
            <w:r>
              <w:rPr>
                <w:rFonts w:hint="default" w:ascii="Times New Roman" w:hAnsi="Times New Roman" w:cs="Times New Roman"/>
                <w:b/>
                <w:bCs/>
                <w:szCs w:val="21"/>
              </w:rPr>
              <w:t>物质名称</w:t>
            </w:r>
          </w:p>
        </w:tc>
        <w:tc>
          <w:tcPr>
            <w:tcW w:w="1158"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bCs/>
                <w:szCs w:val="21"/>
              </w:rPr>
            </w:pPr>
            <w:r>
              <w:rPr>
                <w:rFonts w:hint="default" w:ascii="Times New Roman" w:hAnsi="Times New Roman" w:cs="Times New Roman"/>
                <w:b/>
                <w:bCs/>
                <w:szCs w:val="21"/>
              </w:rPr>
              <w:t>闪点℃</w:t>
            </w:r>
          </w:p>
        </w:tc>
        <w:tc>
          <w:tcPr>
            <w:tcW w:w="1112"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bCs/>
                <w:szCs w:val="21"/>
              </w:rPr>
            </w:pPr>
            <w:r>
              <w:rPr>
                <w:rFonts w:hint="default" w:ascii="Times New Roman" w:hAnsi="Times New Roman" w:cs="Times New Roman"/>
                <w:b/>
                <w:bCs/>
                <w:szCs w:val="21"/>
              </w:rPr>
              <w:t>火险类别</w:t>
            </w:r>
          </w:p>
        </w:tc>
        <w:tc>
          <w:tcPr>
            <w:tcW w:w="721"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bCs/>
                <w:szCs w:val="21"/>
              </w:rPr>
            </w:pPr>
            <w:r>
              <w:rPr>
                <w:rFonts w:hint="default" w:ascii="Times New Roman" w:hAnsi="Times New Roman" w:cs="Times New Roman"/>
                <w:b/>
                <w:bCs/>
                <w:szCs w:val="21"/>
              </w:rPr>
              <w:t>所在场所</w:t>
            </w:r>
          </w:p>
        </w:tc>
        <w:tc>
          <w:tcPr>
            <w:tcW w:w="1151"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bCs/>
                <w:szCs w:val="21"/>
              </w:rPr>
            </w:pPr>
            <w:r>
              <w:rPr>
                <w:rFonts w:hint="default" w:ascii="Times New Roman" w:hAnsi="Times New Roman" w:cs="Times New Roman"/>
                <w:b/>
                <w:bCs/>
                <w:szCs w:val="21"/>
              </w:rPr>
              <w:t>存在状况</w:t>
            </w:r>
          </w:p>
        </w:tc>
        <w:tc>
          <w:tcPr>
            <w:tcW w:w="1163"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bCs/>
                <w:szCs w:val="21"/>
              </w:rPr>
            </w:pPr>
            <w:r>
              <w:rPr>
                <w:rFonts w:hint="default" w:ascii="Times New Roman" w:hAnsi="Times New Roman" w:cs="Times New Roman"/>
                <w:b/>
                <w:bCs/>
                <w:szCs w:val="21"/>
              </w:rPr>
              <w:t>储存能力</w:t>
            </w:r>
            <w:r>
              <w:rPr>
                <w:rFonts w:hint="default" w:ascii="Times New Roman" w:hAnsi="Times New Roman" w:cs="Times New Roman"/>
                <w:b/>
                <w:bCs/>
                <w:szCs w:val="21"/>
                <w:lang w:eastAsia="zh-CN"/>
              </w:rPr>
              <w:t>（</w:t>
            </w:r>
            <w:r>
              <w:rPr>
                <w:rFonts w:hint="default" w:ascii="Times New Roman" w:hAnsi="Times New Roman" w:cs="Times New Roman"/>
                <w:b/>
                <w:bCs/>
                <w:szCs w:val="21"/>
                <w:lang w:val="en-US" w:eastAsia="zh-CN"/>
              </w:rPr>
              <w:t>kg</w:t>
            </w:r>
            <w:r>
              <w:rPr>
                <w:rFonts w:hint="default" w:ascii="Times New Roman" w:hAnsi="Times New Roman" w:cs="Times New Roman"/>
                <w:b/>
                <w:bCs/>
                <w:szCs w:val="21"/>
                <w:lang w:eastAsia="zh-CN"/>
              </w:rPr>
              <w:t>）</w:t>
            </w:r>
          </w:p>
        </w:tc>
        <w:tc>
          <w:tcPr>
            <w:tcW w:w="682" w:type="dxa"/>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bCs/>
                <w:szCs w:val="21"/>
              </w:rPr>
            </w:pPr>
            <w:r>
              <w:rPr>
                <w:rFonts w:hint="default" w:ascii="Times New Roman" w:hAnsi="Times New Roman" w:cs="Times New Roman"/>
                <w:b/>
                <w:bCs/>
                <w:szCs w:val="21"/>
              </w:rPr>
              <w:t>毒性</w:t>
            </w:r>
          </w:p>
        </w:tc>
        <w:tc>
          <w:tcPr>
            <w:tcW w:w="1306" w:type="dxa"/>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rPr>
            </w:pPr>
            <w:r>
              <w:rPr>
                <w:rFonts w:hint="default" w:ascii="Times New Roman" w:hAnsi="Times New Roman" w:cs="Times New Roman"/>
                <w:b/>
                <w:bCs/>
                <w:szCs w:val="21"/>
              </w:rPr>
              <w:t>燃烧后放出的热量</w:t>
            </w:r>
            <w:r>
              <w:rPr>
                <w:rFonts w:hint="default" w:ascii="Times New Roman" w:hAnsi="Times New Roman" w:cs="Times New Roman"/>
                <w:b/>
                <w:szCs w:val="21"/>
              </w:rPr>
              <w:t>（J）</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152"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汽油</w:t>
            </w:r>
          </w:p>
        </w:tc>
        <w:tc>
          <w:tcPr>
            <w:tcW w:w="1158" w:type="dxa"/>
            <w:vAlign w:val="center"/>
          </w:tcPr>
          <w:p>
            <w:pPr>
              <w:keepNext w:val="0"/>
              <w:keepLines w:val="0"/>
              <w:suppressLineNumbers w:val="0"/>
              <w:spacing w:before="0" w:beforeAutospacing="0" w:after="0" w:afterAutospacing="0"/>
              <w:ind w:left="-114" w:leftChars="-52" w:right="0"/>
              <w:jc w:val="center"/>
              <w:rPr>
                <w:rFonts w:hint="default" w:ascii="Times New Roman" w:hAnsi="Times New Roman" w:cs="Times New Roman"/>
                <w:color w:val="auto"/>
                <w:szCs w:val="21"/>
              </w:rPr>
            </w:pPr>
            <w:r>
              <w:rPr>
                <w:rFonts w:hint="eastAsia" w:ascii="Times New Roman" w:hAnsi="Times New Roman" w:cs="Times New Roman"/>
                <w:bCs/>
                <w:szCs w:val="21"/>
                <w:lang w:val="en-US" w:eastAsia="zh-CN"/>
              </w:rPr>
              <w:t>-46</w:t>
            </w:r>
          </w:p>
        </w:tc>
        <w:tc>
          <w:tcPr>
            <w:tcW w:w="1112"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甲类</w:t>
            </w:r>
          </w:p>
        </w:tc>
        <w:tc>
          <w:tcPr>
            <w:tcW w:w="721" w:type="dxa"/>
            <w:vMerge w:val="restart"/>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埋地油罐</w:t>
            </w:r>
          </w:p>
        </w:tc>
        <w:tc>
          <w:tcPr>
            <w:tcW w:w="1151" w:type="dxa"/>
            <w:vMerge w:val="restart"/>
            <w:vAlign w:val="center"/>
          </w:tcPr>
          <w:p>
            <w:pPr>
              <w:keepNext w:val="0"/>
              <w:keepLines w:val="0"/>
              <w:suppressLineNumbers w:val="0"/>
              <w:spacing w:before="0" w:beforeAutospacing="0" w:after="0" w:afterAutospacing="0"/>
              <w:ind w:left="0" w:right="0"/>
              <w:jc w:val="left"/>
              <w:rPr>
                <w:rFonts w:hint="default" w:ascii="Times New Roman" w:hAnsi="Times New Roman" w:cs="Times New Roman"/>
                <w:color w:val="auto"/>
                <w:szCs w:val="21"/>
              </w:rPr>
            </w:pPr>
            <w:r>
              <w:rPr>
                <w:rFonts w:hint="default" w:ascii="Times New Roman" w:hAnsi="Times New Roman" w:cs="Times New Roman"/>
                <w:color w:val="auto"/>
                <w:szCs w:val="21"/>
              </w:rPr>
              <w:t>常温、常压、液态</w:t>
            </w:r>
          </w:p>
        </w:tc>
        <w:tc>
          <w:tcPr>
            <w:tcW w:w="1163" w:type="dxa"/>
            <w:vAlign w:val="center"/>
          </w:tcPr>
          <w:p>
            <w:pPr>
              <w:keepNext w:val="0"/>
              <w:keepLines w:val="0"/>
              <w:suppressLineNumbers w:val="0"/>
              <w:spacing w:before="0" w:beforeAutospacing="0" w:after="0" w:afterAutospacing="0" w:line="300" w:lineRule="atLeast"/>
              <w:ind w:left="0" w:leftChars="0" w:right="0" w:rightChars="0"/>
              <w:jc w:val="center"/>
              <w:rPr>
                <w:rFonts w:hint="default"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67500</w:t>
            </w:r>
          </w:p>
        </w:tc>
        <w:tc>
          <w:tcPr>
            <w:tcW w:w="682" w:type="dxa"/>
            <w:vMerge w:val="restart"/>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具有一定毒性</w:t>
            </w:r>
          </w:p>
        </w:tc>
        <w:tc>
          <w:tcPr>
            <w:tcW w:w="1306" w:type="dxa"/>
            <w:tcMar>
              <w:left w:w="28" w:type="dxa"/>
              <w:right w:w="28" w:type="dxa"/>
            </w:tcMar>
            <w:vAlign w:val="top"/>
          </w:tcPr>
          <w:p>
            <w:pPr>
              <w:pStyle w:val="38"/>
              <w:keepNext w:val="0"/>
              <w:keepLines w:val="0"/>
              <w:suppressLineNumbers w:val="0"/>
              <w:spacing w:before="123" w:beforeAutospacing="0" w:after="0" w:afterAutospacing="0"/>
              <w:ind w:left="0" w:right="0"/>
              <w:rPr>
                <w:rFonts w:hint="default" w:ascii="Times New Roman" w:hAnsi="Times New Roman" w:cs="Times New Roman"/>
                <w:color w:val="auto"/>
              </w:rPr>
            </w:pPr>
            <w:r>
              <w:rPr>
                <w:rFonts w:hint="eastAsia"/>
                <w:color w:val="auto"/>
                <w:sz w:val="21"/>
                <w:szCs w:val="21"/>
                <w:lang w:val="en-US" w:eastAsia="zh-CN"/>
              </w:rPr>
              <w:t>2950</w:t>
            </w:r>
            <w:r>
              <w:rPr>
                <w:rFonts w:hint="eastAsia"/>
                <w:color w:val="auto"/>
                <w:sz w:val="21"/>
                <w:szCs w:val="21"/>
              </w:rPr>
              <w:t xml:space="preserve">×10 </w:t>
            </w:r>
            <w:r>
              <w:rPr>
                <w:rFonts w:hint="eastAsia"/>
                <w:color w:val="auto"/>
                <w:sz w:val="21"/>
                <w:szCs w:val="21"/>
                <w:vertAlign w:val="superscript"/>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152"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柴油</w:t>
            </w:r>
          </w:p>
        </w:tc>
        <w:tc>
          <w:tcPr>
            <w:tcW w:w="1158"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闭杯闪点≤60℃</w:t>
            </w:r>
          </w:p>
        </w:tc>
        <w:tc>
          <w:tcPr>
            <w:tcW w:w="1112"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乙B类</w:t>
            </w:r>
          </w:p>
        </w:tc>
        <w:tc>
          <w:tcPr>
            <w:tcW w:w="721" w:type="dxa"/>
            <w:vMerge w:val="continue"/>
            <w:vAlign w:val="center"/>
          </w:tcPr>
          <w:p>
            <w:pPr>
              <w:keepNext w:val="0"/>
              <w:keepLines w:val="0"/>
              <w:suppressLineNumbers w:val="0"/>
              <w:spacing w:before="0" w:beforeAutospacing="0" w:after="0" w:afterAutospacing="0"/>
              <w:ind w:left="0" w:right="0"/>
              <w:jc w:val="left"/>
              <w:rPr>
                <w:rFonts w:hint="default" w:ascii="Times New Roman" w:hAnsi="Times New Roman" w:cs="Times New Roman"/>
                <w:color w:val="auto"/>
                <w:szCs w:val="21"/>
              </w:rPr>
            </w:pPr>
          </w:p>
        </w:tc>
        <w:tc>
          <w:tcPr>
            <w:tcW w:w="1151" w:type="dxa"/>
            <w:vMerge w:val="continue"/>
            <w:vAlign w:val="center"/>
          </w:tcPr>
          <w:p>
            <w:pPr>
              <w:keepNext w:val="0"/>
              <w:keepLines w:val="0"/>
              <w:suppressLineNumbers w:val="0"/>
              <w:spacing w:before="0" w:beforeAutospacing="0" w:after="0" w:afterAutospacing="0"/>
              <w:ind w:left="0" w:right="0"/>
              <w:jc w:val="left"/>
              <w:rPr>
                <w:rFonts w:hint="default" w:ascii="Times New Roman" w:hAnsi="Times New Roman" w:cs="Times New Roman"/>
                <w:color w:val="auto"/>
                <w:szCs w:val="21"/>
              </w:rPr>
            </w:pPr>
          </w:p>
        </w:tc>
        <w:tc>
          <w:tcPr>
            <w:tcW w:w="1163" w:type="dxa"/>
            <w:vAlign w:val="center"/>
          </w:tcPr>
          <w:p>
            <w:pPr>
              <w:keepNext w:val="0"/>
              <w:keepLines w:val="0"/>
              <w:suppressLineNumbers w:val="0"/>
              <w:spacing w:before="0" w:beforeAutospacing="0" w:after="0" w:afterAutospacing="0" w:line="300" w:lineRule="atLeast"/>
              <w:ind w:left="0" w:leftChars="0" w:right="0" w:rightChars="0"/>
              <w:jc w:val="center"/>
              <w:rPr>
                <w:rFonts w:hint="default"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25500</w:t>
            </w:r>
          </w:p>
        </w:tc>
        <w:tc>
          <w:tcPr>
            <w:tcW w:w="682" w:type="dxa"/>
            <w:vMerge w:val="continue"/>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p>
        </w:tc>
        <w:tc>
          <w:tcPr>
            <w:tcW w:w="1306" w:type="dxa"/>
            <w:tcMar>
              <w:left w:w="28" w:type="dxa"/>
              <w:right w:w="28" w:type="dxa"/>
            </w:tcMar>
            <w:vAlign w:val="top"/>
          </w:tcPr>
          <w:p>
            <w:pPr>
              <w:pStyle w:val="38"/>
              <w:keepNext w:val="0"/>
              <w:keepLines w:val="0"/>
              <w:suppressLineNumbers w:val="0"/>
              <w:spacing w:before="123" w:beforeAutospacing="0" w:after="0" w:afterAutospacing="0"/>
              <w:ind w:left="0" w:right="0"/>
              <w:rPr>
                <w:rFonts w:hint="default" w:ascii="Times New Roman" w:hAnsi="Times New Roman" w:cs="Times New Roman"/>
                <w:color w:val="auto"/>
              </w:rPr>
            </w:pPr>
            <w:r>
              <w:rPr>
                <w:rFonts w:hint="eastAsia"/>
                <w:color w:val="auto"/>
                <w:sz w:val="21"/>
                <w:szCs w:val="21"/>
                <w:lang w:val="en-US" w:eastAsia="zh-CN"/>
              </w:rPr>
              <w:t>1110</w:t>
            </w:r>
            <w:r>
              <w:rPr>
                <w:rFonts w:hint="eastAsia"/>
                <w:color w:val="auto"/>
                <w:sz w:val="21"/>
                <w:szCs w:val="21"/>
              </w:rPr>
              <w:t xml:space="preserve">×10 </w:t>
            </w:r>
            <w:r>
              <w:rPr>
                <w:rFonts w:hint="eastAsia"/>
                <w:color w:val="auto"/>
                <w:sz w:val="21"/>
                <w:szCs w:val="21"/>
                <w:vertAlign w:val="superscript"/>
              </w:rPr>
              <w:t>6</w:t>
            </w:r>
          </w:p>
        </w:tc>
      </w:tr>
    </w:tbl>
    <w:p>
      <w:pPr>
        <w:pStyle w:val="4"/>
        <w:keepNext w:val="0"/>
        <w:keepLines w:val="0"/>
        <w:pageBreakBefore w:val="0"/>
        <w:widowControl w:val="0"/>
        <w:tabs>
          <w:tab w:val="left" w:pos="3756"/>
        </w:tabs>
        <w:kinsoku/>
        <w:wordWrap/>
        <w:overflowPunct/>
        <w:topLinePunct w:val="0"/>
        <w:autoSpaceDE w:val="0"/>
        <w:autoSpaceDN w:val="0"/>
        <w:bidi w:val="0"/>
        <w:adjustRightInd/>
        <w:snapToGrid/>
        <w:spacing w:beforeLines="100" w:afterLines="100" w:line="500" w:lineRule="exact"/>
        <w:ind w:left="0" w:leftChars="0" w:right="1280" w:firstLine="0"/>
        <w:jc w:val="center"/>
        <w:textAlignment w:val="auto"/>
        <w:rPr>
          <w:rFonts w:hint="default" w:ascii="Times New Roman" w:hAnsi="Times New Roman" w:eastAsia="宋体" w:cs="Times New Roman"/>
          <w:b/>
          <w:bCs/>
        </w:rPr>
      </w:pPr>
      <w:bookmarkStart w:id="883" w:name="_Toc28249"/>
      <w:bookmarkStart w:id="884" w:name="_Toc21710"/>
      <w:bookmarkStart w:id="885" w:name="_Toc32000"/>
      <w:r>
        <w:rPr>
          <w:rFonts w:hint="default" w:ascii="Times New Roman" w:hAnsi="Times New Roman" w:eastAsia="宋体" w:cs="Times New Roman"/>
          <w:b/>
          <w:bCs/>
          <w:lang w:val="en-US"/>
        </w:rPr>
        <w:t>5</w:t>
      </w:r>
      <w:r>
        <w:rPr>
          <w:rFonts w:hint="default" w:ascii="Times New Roman" w:hAnsi="Times New Roman" w:eastAsia="宋体" w:cs="Times New Roman"/>
          <w:b/>
          <w:bCs/>
        </w:rPr>
        <w:t>.</w:t>
      </w:r>
      <w:r>
        <w:rPr>
          <w:rFonts w:hint="eastAsia" w:ascii="Times New Roman" w:hAnsi="Times New Roman" w:eastAsia="宋体" w:cs="Times New Roman"/>
          <w:b/>
          <w:bCs/>
          <w:lang w:val="en-US" w:eastAsia="zh-CN"/>
        </w:rPr>
        <w:t>2</w:t>
      </w:r>
      <w:r>
        <w:rPr>
          <w:rFonts w:hint="default" w:ascii="Times New Roman" w:hAnsi="Times New Roman" w:eastAsia="宋体" w:cs="Times New Roman"/>
          <w:b/>
          <w:bCs/>
        </w:rPr>
        <w:t xml:space="preserve"> 风险程度分析结果</w:t>
      </w:r>
      <w:bookmarkEnd w:id="883"/>
      <w:bookmarkEnd w:id="884"/>
      <w:bookmarkEnd w:id="885"/>
    </w:p>
    <w:p>
      <w:pPr>
        <w:pStyle w:val="11"/>
        <w:spacing w:line="500" w:lineRule="exact"/>
        <w:ind w:firstLine="532" w:firstLineChars="200"/>
        <w:rPr>
          <w:rFonts w:hint="default" w:ascii="Times New Roman" w:hAnsi="Times New Roman" w:cs="Times New Roman"/>
          <w:spacing w:val="-7"/>
          <w:lang w:val="en-US" w:eastAsia="zh-CN"/>
        </w:rPr>
      </w:pPr>
      <w:r>
        <w:rPr>
          <w:rFonts w:hint="default" w:ascii="Times New Roman" w:hAnsi="Times New Roman" w:cs="Times New Roman"/>
          <w:spacing w:val="-7"/>
          <w:lang w:val="en-US" w:eastAsia="zh-CN"/>
        </w:rPr>
        <w:t>采用道化学公司火灾、爆炸危险指数评价法，作业条件危险性评价法、事故树评价法对</w:t>
      </w:r>
      <w:r>
        <w:rPr>
          <w:rFonts w:hint="eastAsia" w:ascii="Times New Roman" w:hAnsi="Times New Roman" w:cs="Times New Roman"/>
          <w:spacing w:val="-7"/>
          <w:lang w:val="en-US" w:eastAsia="zh-CN"/>
        </w:rPr>
        <w:t>东城加油站</w:t>
      </w:r>
      <w:r>
        <w:rPr>
          <w:rFonts w:hint="default" w:ascii="Times New Roman" w:hAnsi="Times New Roman" w:cs="Times New Roman"/>
          <w:spacing w:val="-7"/>
          <w:lang w:val="en-US" w:eastAsia="zh-CN"/>
        </w:rPr>
        <w:t>的风险程度分析结果如下：</w:t>
      </w:r>
    </w:p>
    <w:p>
      <w:pPr>
        <w:pStyle w:val="5"/>
        <w:spacing w:beforeLines="100" w:afterLines="100" w:line="240" w:lineRule="auto"/>
        <w:ind w:firstLine="562" w:firstLineChars="200"/>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5.2.1 道化学公司火灾、爆炸危险指数定量评价结果</w:t>
      </w:r>
    </w:p>
    <w:p>
      <w:pPr>
        <w:pStyle w:val="11"/>
        <w:spacing w:line="500" w:lineRule="exact"/>
        <w:ind w:firstLine="532" w:firstLineChars="200"/>
        <w:rPr>
          <w:rFonts w:hint="default" w:ascii="Times New Roman" w:hAnsi="Times New Roman" w:cs="Times New Roman"/>
          <w:spacing w:val="-7"/>
          <w:highlight w:val="none"/>
          <w:lang w:val="en-US" w:eastAsia="zh-CN"/>
        </w:rPr>
      </w:pPr>
      <w:r>
        <w:rPr>
          <w:rFonts w:hint="default" w:ascii="Times New Roman" w:hAnsi="Times New Roman" w:cs="Times New Roman"/>
          <w:spacing w:val="-7"/>
          <w:highlight w:val="none"/>
          <w:lang w:val="en-US" w:eastAsia="zh-CN"/>
        </w:rPr>
        <w:t>从上表可以看出：采用道化法（七版）对所选取单元进行火灾爆炸危险评价结果为：汽油储罐单元火灾爆炸危险评价结果为</w:t>
      </w:r>
      <w:r>
        <w:rPr>
          <w:rFonts w:hint="eastAsia" w:ascii="Times New Roman" w:hAnsi="Times New Roman" w:cs="Times New Roman"/>
          <w:spacing w:val="-7"/>
          <w:highlight w:val="none"/>
          <w:lang w:val="en-US" w:eastAsia="zh-CN"/>
        </w:rPr>
        <w:t>65.04</w:t>
      </w:r>
      <w:r>
        <w:rPr>
          <w:rFonts w:hint="default" w:ascii="Times New Roman" w:hAnsi="Times New Roman" w:cs="Times New Roman"/>
          <w:spacing w:val="-7"/>
          <w:highlight w:val="none"/>
          <w:lang w:val="en-US" w:eastAsia="zh-CN"/>
        </w:rPr>
        <w:t>，火灾爆炸危险属“较轻”，暴露半径为16.</w:t>
      </w:r>
      <w:r>
        <w:rPr>
          <w:rFonts w:hint="eastAsia" w:ascii="Times New Roman" w:hAnsi="Times New Roman" w:cs="Times New Roman"/>
          <w:spacing w:val="-7"/>
          <w:highlight w:val="none"/>
          <w:lang w:val="en-US" w:eastAsia="zh-CN"/>
        </w:rPr>
        <w:t>65</w:t>
      </w:r>
      <w:r>
        <w:rPr>
          <w:rFonts w:hint="default" w:ascii="Times New Roman" w:hAnsi="Times New Roman" w:cs="Times New Roman"/>
          <w:spacing w:val="-7"/>
          <w:highlight w:val="none"/>
          <w:lang w:val="en-US" w:eastAsia="zh-CN"/>
        </w:rPr>
        <w:t>m，暴露区域面积为</w:t>
      </w:r>
      <w:r>
        <w:rPr>
          <w:rFonts w:hint="eastAsia" w:ascii="Times New Roman" w:hAnsi="Times New Roman" w:cs="Times New Roman"/>
          <w:spacing w:val="-7"/>
          <w:highlight w:val="none"/>
          <w:lang w:val="en-US" w:eastAsia="zh-CN"/>
        </w:rPr>
        <w:t>870.5㎡</w:t>
      </w:r>
      <w:r>
        <w:rPr>
          <w:rFonts w:hint="default" w:ascii="Times New Roman" w:hAnsi="Times New Roman" w:cs="Times New Roman"/>
          <w:spacing w:val="-7"/>
          <w:highlight w:val="none"/>
          <w:lang w:val="en-US" w:eastAsia="zh-CN"/>
        </w:rPr>
        <w:t>，一旦发生事故，暴露半径内为46%的财产可能破坏，采用安全补偿措施后，可使该单元的损失降低到35.4%，损失降低10.6%。</w:t>
      </w:r>
    </w:p>
    <w:p>
      <w:pPr>
        <w:pStyle w:val="5"/>
        <w:spacing w:beforeLines="100" w:afterLines="100" w:line="240" w:lineRule="auto"/>
        <w:ind w:firstLine="562" w:firstLineChars="200"/>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5.2.</w:t>
      </w:r>
      <w:r>
        <w:rPr>
          <w:rFonts w:hint="eastAsia" w:ascii="Times New Roman" w:hAnsi="Times New Roman" w:cs="Times New Roman"/>
          <w:sz w:val="28"/>
          <w:szCs w:val="28"/>
          <w:lang w:val="en-US" w:eastAsia="zh-CN"/>
        </w:rPr>
        <w:t>2</w:t>
      </w:r>
      <w:r>
        <w:rPr>
          <w:rFonts w:hint="default" w:ascii="Times New Roman" w:hAnsi="Times New Roman" w:cs="Times New Roman"/>
          <w:sz w:val="28"/>
          <w:szCs w:val="28"/>
          <w:lang w:val="en-US" w:eastAsia="zh-CN"/>
        </w:rPr>
        <w:t xml:space="preserve"> 事故树分析评价结果</w:t>
      </w:r>
    </w:p>
    <w:p>
      <w:pPr>
        <w:pStyle w:val="11"/>
        <w:spacing w:line="500" w:lineRule="exact"/>
        <w:ind w:firstLine="532" w:firstLineChars="200"/>
        <w:rPr>
          <w:rFonts w:hint="default" w:ascii="Times New Roman" w:hAnsi="Times New Roman" w:cs="Times New Roman"/>
          <w:spacing w:val="-7"/>
          <w:lang w:val="en-US" w:eastAsia="zh-CN"/>
        </w:rPr>
      </w:pPr>
      <w:r>
        <w:rPr>
          <w:rFonts w:hint="default" w:ascii="Times New Roman" w:hAnsi="Times New Roman" w:cs="Times New Roman"/>
          <w:spacing w:val="-7"/>
          <w:lang w:val="en-US" w:eastAsia="zh-CN"/>
        </w:rPr>
        <w:t>通过事故树分析，火源与达到爆炸极限的混合油气构成了加油站燃爆事故发生的要素。条件事件a(达到爆炸极限浓度)结构重要系数最大，是燃爆事故发生的最重要条件，这就要求采取针对措施，如安装气体报警装置．对混合气浓度进行监测，一旦接近危险浓度即行报警，使管理人员立刻采取预防措施，可避免事故发生。构成油品泄漏的基本事件结构重要度次之，由此可知，加油机、管道、油罐的密封是否良好在防止燃爆事故发生中占据着十分重要的地位。另外，加强加油站安全管理，严禁吸烟和动用明火，防止铁器撞击，防止产生静电火花以及加油点电气设备要符合防火防爆要求等，也是防止燃爆事故发生的必要条件。</w:t>
      </w:r>
    </w:p>
    <w:p>
      <w:pPr>
        <w:pStyle w:val="5"/>
        <w:spacing w:beforeLines="100" w:afterLines="100" w:line="240" w:lineRule="auto"/>
        <w:ind w:firstLine="562" w:firstLineChars="200"/>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5.2.</w:t>
      </w:r>
      <w:r>
        <w:rPr>
          <w:rFonts w:hint="eastAsia" w:ascii="Times New Roman" w:hAnsi="Times New Roman" w:cs="Times New Roman"/>
          <w:sz w:val="28"/>
          <w:szCs w:val="28"/>
          <w:lang w:val="en-US" w:eastAsia="zh-CN"/>
        </w:rPr>
        <w:t>3</w:t>
      </w:r>
      <w:r>
        <w:rPr>
          <w:rFonts w:hint="default" w:ascii="Times New Roman" w:hAnsi="Times New Roman" w:cs="Times New Roman"/>
          <w:sz w:val="28"/>
          <w:szCs w:val="28"/>
          <w:lang w:val="en-US" w:eastAsia="zh-CN"/>
        </w:rPr>
        <w:t xml:space="preserve"> 作业条件危险性评价法</w:t>
      </w:r>
    </w:p>
    <w:p>
      <w:pPr>
        <w:pStyle w:val="11"/>
        <w:spacing w:line="500" w:lineRule="exact"/>
        <w:ind w:firstLine="532" w:firstLineChars="200"/>
        <w:rPr>
          <w:rFonts w:hint="default" w:ascii="Times New Roman" w:hAnsi="Times New Roman" w:cs="Times New Roman"/>
          <w:spacing w:val="-7"/>
          <w:lang w:val="en-US" w:eastAsia="zh-CN"/>
        </w:rPr>
      </w:pPr>
      <w:r>
        <w:rPr>
          <w:rFonts w:hint="default" w:ascii="Times New Roman" w:hAnsi="Times New Roman" w:cs="Times New Roman"/>
          <w:spacing w:val="-7"/>
          <w:lang w:val="en-US" w:eastAsia="zh-CN"/>
        </w:rPr>
        <w:t>采用作业条件危险性评价法（格雷厄姆—金尼法）对</w:t>
      </w:r>
      <w:r>
        <w:rPr>
          <w:rFonts w:hint="eastAsia" w:ascii="Times New Roman" w:hAnsi="Times New Roman" w:cs="Times New Roman"/>
          <w:spacing w:val="-7"/>
          <w:lang w:val="en-US" w:eastAsia="zh-CN"/>
        </w:rPr>
        <w:t>东城加油站</w:t>
      </w:r>
      <w:r>
        <w:rPr>
          <w:rFonts w:hint="default" w:ascii="Times New Roman" w:hAnsi="Times New Roman" w:cs="Times New Roman"/>
          <w:spacing w:val="-7"/>
          <w:lang w:val="en-US" w:eastAsia="zh-CN"/>
        </w:rPr>
        <w:t>主要作业场所危险性定量分析结果是：</w:t>
      </w:r>
    </w:p>
    <w:p>
      <w:pPr>
        <w:pStyle w:val="11"/>
        <w:spacing w:line="500" w:lineRule="exact"/>
        <w:ind w:firstLine="532" w:firstLineChars="200"/>
        <w:rPr>
          <w:rFonts w:hint="default" w:ascii="Times New Roman" w:hAnsi="Times New Roman" w:cs="Times New Roman"/>
          <w:spacing w:val="-7"/>
          <w:lang w:val="en-US" w:eastAsia="zh-CN"/>
        </w:rPr>
      </w:pPr>
      <w:r>
        <w:rPr>
          <w:rFonts w:hint="default" w:ascii="Times New Roman" w:hAnsi="Times New Roman" w:cs="Times New Roman"/>
          <w:spacing w:val="-7"/>
          <w:lang w:val="en-US" w:eastAsia="zh-CN"/>
        </w:rPr>
        <w:t>加油区、埋地储罐区的火灾、爆炸作业危险性计算值最高，均属于“一般危险，需要注意”，其它的作业危险性如：中毒窒息、触电、车辆伤害、高处坠落、</w:t>
      </w:r>
      <w:r>
        <w:rPr>
          <w:rFonts w:hint="eastAsia" w:ascii="Times New Roman" w:hAnsi="Times New Roman" w:cs="Times New Roman"/>
          <w:spacing w:val="-7"/>
          <w:lang w:val="en-US" w:eastAsia="zh-CN"/>
        </w:rPr>
        <w:t>机械伤害、</w:t>
      </w:r>
      <w:r>
        <w:rPr>
          <w:rFonts w:hint="default" w:ascii="Times New Roman" w:hAnsi="Times New Roman" w:cs="Times New Roman"/>
          <w:spacing w:val="-7"/>
          <w:lang w:val="en-US" w:eastAsia="zh-CN"/>
        </w:rPr>
        <w:t>其他伤害等属于“稍有危险”或“一般危险”。</w:t>
      </w:r>
    </w:p>
    <w:p>
      <w:pPr>
        <w:pStyle w:val="11"/>
        <w:spacing w:line="500" w:lineRule="exact"/>
        <w:ind w:firstLine="532" w:firstLineChars="200"/>
        <w:rPr>
          <w:rFonts w:hint="default" w:ascii="Times New Roman" w:hAnsi="Times New Roman" w:cs="Times New Roman"/>
          <w:spacing w:val="-7"/>
          <w:lang w:val="en-US" w:eastAsia="zh-CN"/>
        </w:rPr>
      </w:pPr>
      <w:r>
        <w:rPr>
          <w:rFonts w:hint="default" w:ascii="Times New Roman" w:hAnsi="Times New Roman" w:cs="Times New Roman"/>
          <w:spacing w:val="-7"/>
          <w:lang w:val="en-US" w:eastAsia="zh-CN"/>
        </w:rPr>
        <w:t>因此</w:t>
      </w:r>
      <w:r>
        <w:rPr>
          <w:rFonts w:hint="eastAsia" w:ascii="Times New Roman" w:hAnsi="Times New Roman" w:cs="Times New Roman"/>
          <w:spacing w:val="-7"/>
          <w:lang w:val="en-US" w:eastAsia="zh-CN"/>
        </w:rPr>
        <w:t>，东城加油站</w:t>
      </w:r>
      <w:r>
        <w:rPr>
          <w:rFonts w:hint="default" w:ascii="Times New Roman" w:hAnsi="Times New Roman" w:cs="Times New Roman"/>
          <w:spacing w:val="-7"/>
          <w:lang w:val="en-US" w:eastAsia="zh-CN"/>
        </w:rPr>
        <w:t>防火防爆是全站安全管理的重中之重，需要加强明火管理，加强消防器材的管理，定期对防雷设施的检测。加强对设备的检维修，杜绝跑、冒、漏、滴。提高作业人员的安全意识，全体职工认真学习安全知识，严禁违章导致火灾、爆炸事故的发生。</w:t>
      </w:r>
    </w:p>
    <w:p>
      <w:pPr>
        <w:pStyle w:val="11"/>
        <w:spacing w:line="500" w:lineRule="exact"/>
        <w:ind w:firstLine="532" w:firstLineChars="200"/>
        <w:rPr>
          <w:rFonts w:hint="default" w:ascii="Times New Roman" w:hAnsi="Times New Roman" w:cs="Times New Roman"/>
          <w:spacing w:val="-7"/>
          <w:lang w:val="en-US" w:eastAsia="zh-CN"/>
        </w:rPr>
      </w:pPr>
    </w:p>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p>
      <w:pPr>
        <w:rPr>
          <w:rFonts w:hint="default" w:ascii="Times New Roman" w:hAnsi="Times New Roman" w:cs="Times New Roman"/>
        </w:rPr>
      </w:pPr>
      <w:r>
        <w:rPr>
          <w:rFonts w:hint="default" w:ascii="Times New Roman" w:hAnsi="Times New Roman" w:cs="Times New Roman"/>
        </w:rPr>
        <w:br w:type="page"/>
      </w:r>
    </w:p>
    <w:p>
      <w:pPr>
        <w:pStyle w:val="3"/>
        <w:pageBreakBefore w:val="0"/>
        <w:widowControl w:val="0"/>
        <w:kinsoku/>
        <w:wordWrap/>
        <w:overflowPunct/>
        <w:topLinePunct w:val="0"/>
        <w:autoSpaceDE w:val="0"/>
        <w:autoSpaceDN w:val="0"/>
        <w:bidi w:val="0"/>
        <w:adjustRightInd/>
        <w:snapToGrid/>
        <w:spacing w:beforeLines="100" w:afterLines="100" w:line="500" w:lineRule="exact"/>
        <w:ind w:left="0" w:leftChars="0" w:right="0" w:rightChars="0" w:firstLine="0"/>
        <w:jc w:val="center"/>
        <w:textAlignment w:val="auto"/>
        <w:rPr>
          <w:rFonts w:hint="default" w:ascii="Times New Roman" w:hAnsi="Times New Roman" w:cs="Times New Roman"/>
        </w:rPr>
      </w:pPr>
      <w:bookmarkStart w:id="886" w:name="_Toc13762"/>
      <w:bookmarkStart w:id="887" w:name="_Toc10572_WPSOffice_Level1"/>
      <w:bookmarkStart w:id="888" w:name="_Toc12945"/>
      <w:bookmarkStart w:id="889" w:name="_Toc12478"/>
      <w:bookmarkStart w:id="890" w:name="_Toc14505"/>
      <w:bookmarkStart w:id="891" w:name="_Toc2391_WPSOffice_Level1"/>
      <w:bookmarkStart w:id="892" w:name="_Toc29227"/>
      <w:bookmarkStart w:id="893" w:name="_Toc31247"/>
      <w:bookmarkStart w:id="894" w:name="_Toc7938"/>
      <w:bookmarkStart w:id="895" w:name="_Toc21265"/>
      <w:bookmarkStart w:id="896" w:name="_Toc24675"/>
      <w:bookmarkStart w:id="897" w:name="_Toc15689"/>
      <w:bookmarkStart w:id="898" w:name="_Toc31420"/>
      <w:bookmarkStart w:id="899" w:name="_Toc28281"/>
      <w:bookmarkStart w:id="900" w:name="_Toc7798"/>
      <w:bookmarkStart w:id="901" w:name="_Toc25048_WPSOffice_Level1"/>
      <w:bookmarkStart w:id="902" w:name="_Toc7548"/>
      <w:bookmarkStart w:id="903" w:name="_Toc27755"/>
      <w:bookmarkStart w:id="904" w:name="_Toc24662"/>
      <w:bookmarkStart w:id="905" w:name="_Toc15224"/>
      <w:bookmarkStart w:id="906" w:name="_Toc25636"/>
      <w:bookmarkStart w:id="907" w:name="_Toc29789"/>
      <w:bookmarkStart w:id="908" w:name="_Toc6082"/>
      <w:bookmarkStart w:id="909" w:name="_Toc5430"/>
      <w:bookmarkStart w:id="910" w:name="_Toc9930"/>
      <w:r>
        <w:rPr>
          <w:rFonts w:hint="default" w:ascii="Times New Roman" w:hAnsi="Times New Roman" w:cs="Times New Roman"/>
        </w:rPr>
        <w:t xml:space="preserve">6 </w:t>
      </w:r>
      <w:bookmarkEnd w:id="886"/>
      <w:bookmarkEnd w:id="887"/>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bookmarkEnd w:id="902"/>
      <w:r>
        <w:rPr>
          <w:rFonts w:hint="default" w:ascii="Times New Roman" w:hAnsi="Times New Roman" w:cs="Times New Roman"/>
        </w:rPr>
        <w:t>建设项目安全条件和安全生产条件分析结果</w:t>
      </w:r>
      <w:bookmarkEnd w:id="903"/>
      <w:bookmarkEnd w:id="904"/>
      <w:bookmarkEnd w:id="905"/>
      <w:bookmarkEnd w:id="906"/>
      <w:bookmarkEnd w:id="907"/>
      <w:bookmarkEnd w:id="908"/>
      <w:bookmarkEnd w:id="909"/>
      <w:bookmarkEnd w:id="910"/>
    </w:p>
    <w:p>
      <w:pPr>
        <w:pStyle w:val="4"/>
        <w:pageBreakBefore w:val="0"/>
        <w:widowControl w:val="0"/>
        <w:kinsoku/>
        <w:wordWrap/>
        <w:overflowPunct/>
        <w:topLinePunct w:val="0"/>
        <w:autoSpaceDE w:val="0"/>
        <w:autoSpaceDN w:val="0"/>
        <w:bidi w:val="0"/>
        <w:adjustRightInd/>
        <w:snapToGrid/>
        <w:spacing w:beforeLines="100" w:afterLines="100" w:line="500" w:lineRule="exact"/>
        <w:ind w:left="0" w:leftChars="0" w:right="0" w:rightChars="0" w:firstLine="0"/>
        <w:jc w:val="center"/>
        <w:textAlignment w:val="auto"/>
        <w:rPr>
          <w:rFonts w:hint="default" w:ascii="Times New Roman" w:hAnsi="Times New Roman" w:eastAsia="宋体" w:cs="Times New Roman"/>
          <w:b/>
          <w:bCs/>
        </w:rPr>
      </w:pPr>
      <w:bookmarkStart w:id="911" w:name="_Toc28791"/>
      <w:bookmarkStart w:id="912" w:name="_Toc4843"/>
      <w:bookmarkStart w:id="913" w:name="_Toc27039"/>
      <w:bookmarkStart w:id="914" w:name="_Toc7846"/>
      <w:bookmarkStart w:id="915" w:name="_Toc11487"/>
      <w:bookmarkStart w:id="916" w:name="_Toc5213"/>
      <w:bookmarkStart w:id="917" w:name="_Toc22588"/>
      <w:bookmarkStart w:id="918" w:name="_Toc5128"/>
      <w:bookmarkStart w:id="919" w:name="_Toc18402"/>
      <w:bookmarkStart w:id="920" w:name="_Toc3603"/>
      <w:bookmarkStart w:id="921" w:name="_Toc4388"/>
      <w:bookmarkStart w:id="922" w:name="_Toc12794"/>
      <w:bookmarkStart w:id="923" w:name="_Toc8540"/>
      <w:bookmarkStart w:id="924" w:name="_Toc11663"/>
      <w:bookmarkStart w:id="925" w:name="_Toc4179"/>
      <w:bookmarkStart w:id="926" w:name="_Toc31906_WPSOffice_Level2"/>
      <w:bookmarkStart w:id="927" w:name="_Toc11539"/>
      <w:bookmarkStart w:id="928" w:name="_Toc21016"/>
      <w:bookmarkStart w:id="929" w:name="_Toc14945_WPSOffice_Level2"/>
      <w:bookmarkStart w:id="930" w:name="_Toc20723"/>
      <w:bookmarkStart w:id="931" w:name="_Toc17207"/>
      <w:bookmarkStart w:id="932" w:name="_Toc2929"/>
      <w:bookmarkStart w:id="933" w:name="_Toc26474"/>
      <w:bookmarkStart w:id="934" w:name="_Toc14458"/>
      <w:bookmarkStart w:id="935" w:name="_Toc30923_WPSOffice_Level2"/>
      <w:r>
        <w:rPr>
          <w:rFonts w:hint="default" w:ascii="Times New Roman" w:hAnsi="Times New Roman" w:eastAsia="宋体" w:cs="Times New Roman"/>
          <w:b/>
          <w:bCs/>
        </w:rPr>
        <w:t>6.1 安全条件分析</w:t>
      </w:r>
      <w:bookmarkEnd w:id="911"/>
      <w:bookmarkEnd w:id="912"/>
      <w:bookmarkEnd w:id="913"/>
    </w:p>
    <w:p>
      <w:pPr>
        <w:pStyle w:val="5"/>
        <w:pageBreakBefore w:val="0"/>
        <w:widowControl w:val="0"/>
        <w:kinsoku/>
        <w:wordWrap/>
        <w:overflowPunct/>
        <w:topLinePunct w:val="0"/>
        <w:autoSpaceDE w:val="0"/>
        <w:autoSpaceDN w:val="0"/>
        <w:bidi w:val="0"/>
        <w:adjustRightInd/>
        <w:snapToGrid/>
        <w:spacing w:beforeLines="100" w:afterLines="100" w:line="500" w:lineRule="exact"/>
        <w:ind w:left="0" w:leftChars="0" w:right="0" w:rightChars="0" w:firstLine="562" w:firstLineChars="200"/>
        <w:textAlignment w:val="auto"/>
        <w:rPr>
          <w:rFonts w:hint="default"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6</w:t>
      </w:r>
      <w:r>
        <w:rPr>
          <w:rFonts w:hint="default" w:ascii="Times New Roman" w:hAnsi="Times New Roman" w:cs="Times New Roman"/>
          <w:sz w:val="28"/>
          <w:szCs w:val="28"/>
          <w:lang w:val="en-US" w:eastAsia="zh-CN"/>
        </w:rPr>
        <w:t>.</w:t>
      </w:r>
      <w:r>
        <w:rPr>
          <w:rFonts w:hint="eastAsia" w:ascii="Times New Roman" w:hAnsi="Times New Roman" w:cs="Times New Roman"/>
          <w:sz w:val="28"/>
          <w:szCs w:val="28"/>
          <w:lang w:val="en-US" w:eastAsia="zh-CN"/>
        </w:rPr>
        <w:t>1</w:t>
      </w:r>
      <w:r>
        <w:rPr>
          <w:rFonts w:hint="default" w:ascii="Times New Roman" w:hAnsi="Times New Roman" w:cs="Times New Roman"/>
          <w:sz w:val="28"/>
          <w:szCs w:val="28"/>
          <w:lang w:val="en-US" w:eastAsia="zh-CN"/>
        </w:rPr>
        <w:t>.1 建设项目与周边单位生产经营活动及居民生活的相互影响分析结果</w:t>
      </w:r>
    </w:p>
    <w:p>
      <w:pPr>
        <w:pStyle w:val="11"/>
        <w:pageBreakBefore w:val="0"/>
        <w:widowControl w:val="0"/>
        <w:kinsoku/>
        <w:wordWrap/>
        <w:overflowPunct/>
        <w:topLinePunct w:val="0"/>
        <w:autoSpaceDE w:val="0"/>
        <w:autoSpaceDN w:val="0"/>
        <w:bidi w:val="0"/>
        <w:adjustRightInd/>
        <w:snapToGrid/>
        <w:spacing w:line="500" w:lineRule="exact"/>
        <w:ind w:left="0" w:leftChars="0" w:right="0" w:rightChars="0" w:firstLine="532" w:firstLineChars="200"/>
        <w:jc w:val="both"/>
        <w:textAlignment w:val="auto"/>
        <w:rPr>
          <w:rFonts w:hint="default" w:ascii="Times New Roman" w:hAnsi="Times New Roman" w:cs="Times New Roman"/>
          <w:spacing w:val="-7"/>
        </w:rPr>
      </w:pPr>
      <w:r>
        <w:rPr>
          <w:rFonts w:hint="default" w:ascii="Times New Roman" w:hAnsi="Times New Roman" w:cs="Times New Roman"/>
          <w:spacing w:val="-7"/>
        </w:rPr>
        <w:t>通过本报告附件4.1节对该加油站的安全条件分析得知：</w:t>
      </w:r>
    </w:p>
    <w:p>
      <w:pPr>
        <w:pStyle w:val="11"/>
        <w:pageBreakBefore w:val="0"/>
        <w:widowControl w:val="0"/>
        <w:kinsoku/>
        <w:wordWrap/>
        <w:overflowPunct/>
        <w:topLinePunct w:val="0"/>
        <w:autoSpaceDE w:val="0"/>
        <w:autoSpaceDN w:val="0"/>
        <w:bidi w:val="0"/>
        <w:adjustRightInd/>
        <w:snapToGrid/>
        <w:spacing w:line="500" w:lineRule="exact"/>
        <w:ind w:left="0" w:leftChars="0" w:right="0" w:rightChars="0" w:firstLine="532" w:firstLineChars="200"/>
        <w:jc w:val="both"/>
        <w:textAlignment w:val="auto"/>
        <w:rPr>
          <w:rFonts w:hint="default" w:ascii="Times New Roman" w:hAnsi="Times New Roman" w:cs="Times New Roman"/>
          <w:spacing w:val="-7"/>
        </w:rPr>
      </w:pPr>
      <w:r>
        <w:rPr>
          <w:rFonts w:hint="default" w:ascii="Times New Roman" w:hAnsi="Times New Roman" w:cs="Times New Roman"/>
          <w:spacing w:val="-7"/>
        </w:rPr>
        <w:t>1）该加油站的危险、有害因素及可能发生的事故对单位周边生产经营活动或居民生活影响较小；</w:t>
      </w:r>
    </w:p>
    <w:p>
      <w:pPr>
        <w:pStyle w:val="11"/>
        <w:pageBreakBefore w:val="0"/>
        <w:widowControl w:val="0"/>
        <w:kinsoku/>
        <w:wordWrap/>
        <w:overflowPunct/>
        <w:topLinePunct w:val="0"/>
        <w:autoSpaceDE w:val="0"/>
        <w:autoSpaceDN w:val="0"/>
        <w:bidi w:val="0"/>
        <w:adjustRightInd/>
        <w:snapToGrid/>
        <w:spacing w:line="500" w:lineRule="exact"/>
        <w:ind w:left="0" w:leftChars="0" w:right="0" w:rightChars="0" w:firstLine="532" w:firstLineChars="200"/>
        <w:jc w:val="both"/>
        <w:textAlignment w:val="auto"/>
        <w:rPr>
          <w:rFonts w:hint="default" w:ascii="Times New Roman" w:hAnsi="Times New Roman" w:cs="Times New Roman"/>
          <w:spacing w:val="-7"/>
        </w:rPr>
      </w:pPr>
      <w:r>
        <w:rPr>
          <w:rFonts w:hint="default" w:ascii="Times New Roman" w:hAnsi="Times New Roman" w:cs="Times New Roman"/>
          <w:spacing w:val="-7"/>
        </w:rPr>
        <w:t>2）该加油站周边的生产经营活动或居民生活对建设项目影响较小。</w:t>
      </w:r>
    </w:p>
    <w:p>
      <w:pPr>
        <w:pStyle w:val="5"/>
        <w:pageBreakBefore w:val="0"/>
        <w:widowControl w:val="0"/>
        <w:kinsoku/>
        <w:wordWrap/>
        <w:overflowPunct/>
        <w:topLinePunct w:val="0"/>
        <w:autoSpaceDE w:val="0"/>
        <w:autoSpaceDN w:val="0"/>
        <w:bidi w:val="0"/>
        <w:adjustRightInd/>
        <w:snapToGrid/>
        <w:spacing w:beforeLines="100" w:afterLines="100" w:line="500" w:lineRule="exact"/>
        <w:ind w:left="0" w:leftChars="0" w:right="0" w:rightChars="0" w:firstLine="562" w:firstLineChars="200"/>
        <w:textAlignment w:val="auto"/>
        <w:rPr>
          <w:rFonts w:hint="default"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6</w:t>
      </w:r>
      <w:r>
        <w:rPr>
          <w:rFonts w:hint="default" w:ascii="Times New Roman" w:hAnsi="Times New Roman" w:cs="Times New Roman"/>
          <w:sz w:val="28"/>
          <w:szCs w:val="28"/>
          <w:lang w:val="en-US" w:eastAsia="zh-CN"/>
        </w:rPr>
        <w:t>.</w:t>
      </w:r>
      <w:r>
        <w:rPr>
          <w:rFonts w:hint="eastAsia" w:ascii="Times New Roman" w:hAnsi="Times New Roman" w:cs="Times New Roman"/>
          <w:sz w:val="28"/>
          <w:szCs w:val="28"/>
          <w:lang w:val="en-US" w:eastAsia="zh-CN"/>
        </w:rPr>
        <w:t>1</w:t>
      </w:r>
      <w:r>
        <w:rPr>
          <w:rFonts w:hint="default" w:ascii="Times New Roman" w:hAnsi="Times New Roman" w:cs="Times New Roman"/>
          <w:sz w:val="28"/>
          <w:szCs w:val="28"/>
          <w:lang w:val="en-US" w:eastAsia="zh-CN"/>
        </w:rPr>
        <w:t>.</w:t>
      </w:r>
      <w:r>
        <w:rPr>
          <w:rFonts w:hint="eastAsia" w:ascii="Times New Roman" w:hAnsi="Times New Roman" w:cs="Times New Roman"/>
          <w:sz w:val="28"/>
          <w:szCs w:val="28"/>
          <w:lang w:val="en-US" w:eastAsia="zh-CN"/>
        </w:rPr>
        <w:t>2</w:t>
      </w:r>
      <w:r>
        <w:rPr>
          <w:rFonts w:hint="default" w:ascii="Times New Roman" w:hAnsi="Times New Roman" w:cs="Times New Roman"/>
          <w:sz w:val="28"/>
          <w:szCs w:val="28"/>
          <w:lang w:val="en-US" w:eastAsia="zh-CN"/>
        </w:rPr>
        <w:t xml:space="preserve"> 建设项目所在地的自然条件对建设项目投入使用后影响分析结果</w:t>
      </w:r>
    </w:p>
    <w:p>
      <w:pPr>
        <w:pStyle w:val="11"/>
        <w:pageBreakBefore w:val="0"/>
        <w:widowControl w:val="0"/>
        <w:kinsoku/>
        <w:wordWrap/>
        <w:overflowPunct/>
        <w:topLinePunct w:val="0"/>
        <w:autoSpaceDE w:val="0"/>
        <w:autoSpaceDN w:val="0"/>
        <w:bidi w:val="0"/>
        <w:adjustRightInd/>
        <w:snapToGrid/>
        <w:spacing w:line="500" w:lineRule="exact"/>
        <w:ind w:left="0" w:leftChars="0" w:right="0" w:rightChars="0" w:firstLine="532" w:firstLineChars="200"/>
        <w:jc w:val="both"/>
        <w:textAlignment w:val="auto"/>
        <w:rPr>
          <w:rFonts w:hint="default" w:ascii="Times New Roman" w:hAnsi="Times New Roman" w:cs="Times New Roman"/>
          <w:spacing w:val="-7"/>
        </w:rPr>
      </w:pPr>
      <w:r>
        <w:rPr>
          <w:rFonts w:hint="default" w:ascii="Times New Roman" w:hAnsi="Times New Roman" w:cs="Times New Roman"/>
          <w:spacing w:val="-7"/>
        </w:rPr>
        <w:t>当地自然条件对建设项目的影响不大，但仍应注意：可能受到台风、暴雨等影响，可能造成洪涝灾害；另外，因企业所在地区春、夏季多雷雨天气，故可能受到雷电威胁。因此，要注意预防洪涝灾害以及对防雷、防静电设施进行定期检测和维护、保养。</w:t>
      </w:r>
    </w:p>
    <w:p>
      <w:pPr>
        <w:pStyle w:val="5"/>
        <w:pageBreakBefore w:val="0"/>
        <w:widowControl w:val="0"/>
        <w:kinsoku/>
        <w:wordWrap/>
        <w:overflowPunct/>
        <w:topLinePunct w:val="0"/>
        <w:autoSpaceDE w:val="0"/>
        <w:autoSpaceDN w:val="0"/>
        <w:bidi w:val="0"/>
        <w:adjustRightInd/>
        <w:snapToGrid/>
        <w:spacing w:beforeLines="100" w:afterLines="100" w:line="500" w:lineRule="exact"/>
        <w:ind w:left="0" w:leftChars="0" w:right="0" w:rightChars="0" w:firstLine="562" w:firstLineChars="200"/>
        <w:textAlignment w:val="auto"/>
        <w:rPr>
          <w:rFonts w:hint="default"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6</w:t>
      </w:r>
      <w:r>
        <w:rPr>
          <w:rFonts w:hint="default" w:ascii="Times New Roman" w:hAnsi="Times New Roman" w:cs="Times New Roman"/>
          <w:sz w:val="28"/>
          <w:szCs w:val="28"/>
          <w:lang w:val="en-US" w:eastAsia="zh-CN"/>
        </w:rPr>
        <w:t>.</w:t>
      </w:r>
      <w:r>
        <w:rPr>
          <w:rFonts w:hint="eastAsia" w:ascii="Times New Roman" w:hAnsi="Times New Roman" w:cs="Times New Roman"/>
          <w:sz w:val="28"/>
          <w:szCs w:val="28"/>
          <w:lang w:val="en-US" w:eastAsia="zh-CN"/>
        </w:rPr>
        <w:t>1</w:t>
      </w:r>
      <w:r>
        <w:rPr>
          <w:rFonts w:hint="default" w:ascii="Times New Roman" w:hAnsi="Times New Roman" w:cs="Times New Roman"/>
          <w:sz w:val="28"/>
          <w:szCs w:val="28"/>
          <w:lang w:val="en-US" w:eastAsia="zh-CN"/>
        </w:rPr>
        <w:t>.</w:t>
      </w:r>
      <w:r>
        <w:rPr>
          <w:rFonts w:hint="eastAsia" w:ascii="Times New Roman" w:hAnsi="Times New Roman" w:cs="Times New Roman"/>
          <w:sz w:val="28"/>
          <w:szCs w:val="28"/>
          <w:lang w:val="en-US" w:eastAsia="zh-CN"/>
        </w:rPr>
        <w:t>3</w:t>
      </w:r>
      <w:r>
        <w:rPr>
          <w:rFonts w:hint="default" w:ascii="Times New Roman" w:hAnsi="Times New Roman" w:cs="Times New Roman"/>
          <w:sz w:val="28"/>
          <w:szCs w:val="28"/>
          <w:lang w:val="en-US" w:eastAsia="zh-CN"/>
        </w:rPr>
        <w:t xml:space="preserve"> 建设项目是否符合当地规划要求</w:t>
      </w:r>
    </w:p>
    <w:p>
      <w:pPr>
        <w:pStyle w:val="11"/>
        <w:spacing w:line="500" w:lineRule="exact"/>
        <w:ind w:firstLine="532" w:firstLineChars="200"/>
        <w:rPr>
          <w:rFonts w:hint="default" w:ascii="Times New Roman" w:hAnsi="Times New Roman" w:cs="Times New Roman"/>
          <w:spacing w:val="-7"/>
          <w:lang w:val="zh-CN" w:eastAsia="zh-CN"/>
        </w:rPr>
      </w:pPr>
      <w:r>
        <w:rPr>
          <w:rFonts w:hint="eastAsia" w:ascii="Times New Roman" w:hAnsi="Times New Roman" w:cs="Times New Roman"/>
          <w:spacing w:val="-7"/>
          <w:lang w:val="zh-CN" w:eastAsia="zh-CN"/>
        </w:rPr>
        <w:t>东城加油站</w:t>
      </w:r>
      <w:r>
        <w:rPr>
          <w:rFonts w:hint="default" w:ascii="Times New Roman" w:hAnsi="Times New Roman" w:cs="Times New Roman"/>
          <w:spacing w:val="-7"/>
          <w:lang w:val="zh-CN" w:eastAsia="zh-CN"/>
        </w:rPr>
        <w:t>建设项目规划符合当地建设规划要求。</w:t>
      </w:r>
    </w:p>
    <w:p>
      <w:pPr>
        <w:pStyle w:val="4"/>
        <w:spacing w:beforeLines="100" w:afterLines="100"/>
        <w:ind w:firstLine="0"/>
        <w:jc w:val="center"/>
        <w:rPr>
          <w:rFonts w:hint="default" w:ascii="Times New Roman" w:hAnsi="Times New Roman" w:eastAsia="宋体" w:cs="Times New Roman"/>
          <w:b/>
          <w:bCs/>
        </w:rPr>
      </w:pPr>
      <w:bookmarkStart w:id="936" w:name="_Toc2327"/>
      <w:bookmarkStart w:id="937" w:name="_Toc8531"/>
      <w:bookmarkStart w:id="938" w:name="_Toc4439"/>
      <w:r>
        <w:rPr>
          <w:rFonts w:hint="default" w:ascii="Times New Roman" w:hAnsi="Times New Roman" w:eastAsia="宋体" w:cs="Times New Roman"/>
          <w:b/>
          <w:bCs/>
        </w:rPr>
        <w:t>6.</w:t>
      </w:r>
      <w:r>
        <w:rPr>
          <w:rFonts w:hint="eastAsia" w:ascii="Times New Roman" w:hAnsi="Times New Roman" w:eastAsia="宋体" w:cs="Times New Roman"/>
          <w:b/>
          <w:bCs/>
          <w:lang w:val="en-US" w:eastAsia="zh-CN"/>
        </w:rPr>
        <w:t>2</w:t>
      </w:r>
      <w:r>
        <w:rPr>
          <w:rFonts w:hint="default" w:ascii="Times New Roman" w:hAnsi="Times New Roman" w:eastAsia="宋体" w:cs="Times New Roman"/>
          <w:b/>
          <w:bCs/>
        </w:rPr>
        <w:t xml:space="preserve"> </w:t>
      </w:r>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bookmarkEnd w:id="935"/>
      <w:r>
        <w:rPr>
          <w:rFonts w:hint="default" w:ascii="Times New Roman" w:hAnsi="Times New Roman" w:eastAsia="宋体" w:cs="Times New Roman"/>
          <w:b/>
          <w:bCs/>
        </w:rPr>
        <w:t>安全生产条件分析</w:t>
      </w:r>
      <w:bookmarkEnd w:id="936"/>
      <w:bookmarkEnd w:id="937"/>
      <w:bookmarkEnd w:id="938"/>
    </w:p>
    <w:p>
      <w:pPr>
        <w:pStyle w:val="5"/>
        <w:pageBreakBefore w:val="0"/>
        <w:widowControl w:val="0"/>
        <w:kinsoku/>
        <w:wordWrap/>
        <w:overflowPunct/>
        <w:topLinePunct w:val="0"/>
        <w:autoSpaceDE w:val="0"/>
        <w:autoSpaceDN w:val="0"/>
        <w:bidi w:val="0"/>
        <w:adjustRightInd/>
        <w:snapToGrid/>
        <w:spacing w:beforeLines="100" w:afterLines="100" w:line="500" w:lineRule="exact"/>
        <w:ind w:left="0" w:leftChars="0" w:right="0" w:rightChars="0" w:firstLine="562" w:firstLineChars="200"/>
        <w:textAlignment w:val="auto"/>
        <w:rPr>
          <w:rFonts w:hint="default"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6</w:t>
      </w:r>
      <w:r>
        <w:rPr>
          <w:rFonts w:hint="default" w:ascii="Times New Roman" w:hAnsi="Times New Roman" w:cs="Times New Roman"/>
          <w:sz w:val="28"/>
          <w:szCs w:val="28"/>
          <w:lang w:val="en-US" w:eastAsia="zh-CN"/>
        </w:rPr>
        <w:t>.</w:t>
      </w:r>
      <w:r>
        <w:rPr>
          <w:rFonts w:hint="eastAsia" w:ascii="Times New Roman" w:hAnsi="Times New Roman" w:cs="Times New Roman"/>
          <w:sz w:val="28"/>
          <w:szCs w:val="28"/>
          <w:lang w:val="en-US" w:eastAsia="zh-CN"/>
        </w:rPr>
        <w:t>2.1</w:t>
      </w:r>
      <w:r>
        <w:rPr>
          <w:rFonts w:hint="default" w:ascii="Times New Roman" w:hAnsi="Times New Roman" w:cs="Times New Roman"/>
          <w:sz w:val="28"/>
          <w:szCs w:val="28"/>
          <w:lang w:val="en-US" w:eastAsia="zh-CN"/>
        </w:rPr>
        <w:t xml:space="preserve"> 建设项目采用（取）的安全设施情况</w:t>
      </w:r>
    </w:p>
    <w:p>
      <w:pPr>
        <w:pStyle w:val="11"/>
        <w:spacing w:line="500" w:lineRule="exact"/>
        <w:ind w:firstLine="532" w:firstLineChars="200"/>
        <w:jc w:val="both"/>
        <w:rPr>
          <w:rFonts w:hint="default" w:ascii="Times New Roman" w:hAnsi="Times New Roman" w:cs="Times New Roman"/>
          <w:spacing w:val="-7"/>
        </w:rPr>
      </w:pPr>
      <w:r>
        <w:rPr>
          <w:rFonts w:hint="default" w:ascii="Times New Roman" w:hAnsi="Times New Roman" w:cs="Times New Roman"/>
          <w:spacing w:val="-7"/>
        </w:rPr>
        <w:t>由本报告附件4.2.1节分析可知，该油站目已安装了较完善的预防事故设施、控制事故设施和减少与消除事故影响设施。安全设施经过现场检查及相关部门的检测，符合安全要求。安全设施现场检查时均处于正常状态。</w:t>
      </w:r>
    </w:p>
    <w:p>
      <w:pPr>
        <w:pStyle w:val="5"/>
        <w:pageBreakBefore w:val="0"/>
        <w:widowControl w:val="0"/>
        <w:kinsoku/>
        <w:wordWrap/>
        <w:overflowPunct/>
        <w:topLinePunct w:val="0"/>
        <w:autoSpaceDE w:val="0"/>
        <w:autoSpaceDN w:val="0"/>
        <w:bidi w:val="0"/>
        <w:adjustRightInd/>
        <w:snapToGrid/>
        <w:spacing w:beforeLines="100" w:afterLines="100" w:line="500" w:lineRule="exact"/>
        <w:ind w:left="0" w:leftChars="0" w:right="0" w:rightChars="0" w:firstLine="562" w:firstLineChars="200"/>
        <w:textAlignment w:val="auto"/>
        <w:rPr>
          <w:rFonts w:hint="default"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6</w:t>
      </w:r>
      <w:r>
        <w:rPr>
          <w:rFonts w:hint="default" w:ascii="Times New Roman" w:hAnsi="Times New Roman" w:cs="Times New Roman"/>
          <w:sz w:val="28"/>
          <w:szCs w:val="28"/>
          <w:lang w:val="en-US" w:eastAsia="zh-CN"/>
        </w:rPr>
        <w:t>.</w:t>
      </w:r>
      <w:r>
        <w:rPr>
          <w:rFonts w:hint="eastAsia" w:ascii="Times New Roman" w:hAnsi="Times New Roman" w:cs="Times New Roman"/>
          <w:sz w:val="28"/>
          <w:szCs w:val="28"/>
          <w:lang w:val="en-US" w:eastAsia="zh-CN"/>
        </w:rPr>
        <w:t>2.2</w:t>
      </w:r>
      <w:r>
        <w:rPr>
          <w:rFonts w:hint="default" w:ascii="Times New Roman" w:hAnsi="Times New Roman" w:cs="Times New Roman"/>
          <w:sz w:val="28"/>
          <w:szCs w:val="28"/>
          <w:lang w:val="en-US" w:eastAsia="zh-CN"/>
        </w:rPr>
        <w:t xml:space="preserve"> 安全生产条件分析结果</w:t>
      </w:r>
    </w:p>
    <w:p>
      <w:pPr>
        <w:pStyle w:val="11"/>
        <w:spacing w:line="500" w:lineRule="exact"/>
        <w:ind w:firstLine="532" w:firstLineChars="200"/>
        <w:jc w:val="both"/>
        <w:rPr>
          <w:rFonts w:hint="default" w:ascii="Times New Roman" w:hAnsi="Times New Roman" w:cs="Times New Roman"/>
          <w:spacing w:val="-7"/>
        </w:rPr>
      </w:pPr>
      <w:r>
        <w:rPr>
          <w:rFonts w:hint="default" w:ascii="Times New Roman" w:hAnsi="Times New Roman" w:cs="Times New Roman"/>
          <w:spacing w:val="-7"/>
        </w:rPr>
        <w:t>本节根据加油站的实际情况，根据《危险化学品经营许可证管理办法》（国家安全生产监督管理总局令第55号，2015年5月27日国家安全监管总局令第79号修订）、《汽车加油加气站设计与施工规范》（GB50156-2012，2014年版）等法律法规的要求，采用安全检查和安全检查表法通过检查该油站各类安全生产相关证照是否齐全；审查、确认该加油站的建设工程是否满足安全生产法律法规、标准、行政规章、规范的要求；安全设施、设备、装置是否已与主体工程同时设计、同时施工、同时投入生产和使用；检查安全生产管理措施是否到位，安全生产规章制度是否健全，是否建立了事故应急救援预案，是否存在重大生产安全事故隐患等，得出以下结果：</w:t>
      </w:r>
    </w:p>
    <w:p>
      <w:pPr>
        <w:pStyle w:val="11"/>
        <w:spacing w:line="500" w:lineRule="exact"/>
        <w:ind w:firstLine="532" w:firstLineChars="200"/>
        <w:jc w:val="both"/>
        <w:rPr>
          <w:rFonts w:hint="default" w:ascii="Times New Roman" w:hAnsi="Times New Roman" w:cs="Times New Roman"/>
          <w:spacing w:val="-7"/>
        </w:rPr>
      </w:pPr>
      <w:r>
        <w:rPr>
          <w:rFonts w:hint="default" w:ascii="Times New Roman" w:hAnsi="Times New Roman" w:cs="Times New Roman"/>
          <w:spacing w:val="-7"/>
        </w:rPr>
        <w:t>1）</w:t>
      </w:r>
      <w:r>
        <w:rPr>
          <w:rFonts w:hint="eastAsia" w:ascii="Times New Roman" w:hAnsi="Times New Roman" w:cs="Times New Roman"/>
          <w:spacing w:val="-7"/>
          <w:lang w:eastAsia="zh-CN"/>
        </w:rPr>
        <w:t>东城加油站</w:t>
      </w:r>
      <w:r>
        <w:rPr>
          <w:rFonts w:hint="default" w:ascii="Times New Roman" w:hAnsi="Times New Roman" w:cs="Times New Roman"/>
          <w:spacing w:val="-7"/>
        </w:rPr>
        <w:t>在站址选择，总平面布置，加油工艺及设施，消防设施及给排水，电气、报警和紧急切断系统，采暖通风、建（构）筑物与绿化等方面符合《汽车加油加气站设计与施工规范》（GB50156-2012，2014年局部修订版）的要求。符合《危险化学品经营许可证管理办法》（国家安全生产监督管理总局令第55号，2015年5月27日国家安全监管总局令第79号修订）第六条第一小条的要求。</w:t>
      </w:r>
    </w:p>
    <w:p>
      <w:pPr>
        <w:pStyle w:val="11"/>
        <w:spacing w:line="500" w:lineRule="exact"/>
        <w:ind w:firstLine="532" w:firstLineChars="200"/>
        <w:jc w:val="both"/>
        <w:rPr>
          <w:rFonts w:hint="default" w:ascii="Times New Roman" w:hAnsi="Times New Roman" w:cs="Times New Roman"/>
          <w:spacing w:val="-7"/>
        </w:rPr>
      </w:pPr>
      <w:r>
        <w:rPr>
          <w:rFonts w:hint="default" w:ascii="Times New Roman" w:hAnsi="Times New Roman" w:cs="Times New Roman"/>
          <w:spacing w:val="-7"/>
        </w:rPr>
        <w:t>2）</w:t>
      </w:r>
      <w:r>
        <w:rPr>
          <w:rFonts w:hint="eastAsia" w:ascii="Times New Roman" w:hAnsi="Times New Roman" w:cs="Times New Roman"/>
          <w:spacing w:val="-7"/>
          <w:lang w:eastAsia="zh-CN"/>
        </w:rPr>
        <w:t>东城加油站</w:t>
      </w:r>
      <w:r>
        <w:rPr>
          <w:rFonts w:hint="default" w:ascii="Times New Roman" w:hAnsi="Times New Roman" w:cs="Times New Roman"/>
          <w:spacing w:val="-7"/>
        </w:rPr>
        <w:t>主要负责人、安全管理人员均经培训考核合格，取得相关部门核发的上岗资格证书。其它从业人员经企业内部培训合格后上岗，符合《危险化学品经营许可证管理办法》（国家安全生产监督管理总局令第55号，2015年5月27日国家安全监管总局令第79号修订）第六条第二小条的要求。</w:t>
      </w:r>
    </w:p>
    <w:p>
      <w:pPr>
        <w:pStyle w:val="11"/>
        <w:spacing w:line="500" w:lineRule="exact"/>
        <w:ind w:firstLine="532" w:firstLineChars="200"/>
        <w:jc w:val="both"/>
        <w:rPr>
          <w:rFonts w:hint="default" w:ascii="Times New Roman" w:hAnsi="Times New Roman" w:cs="Times New Roman"/>
          <w:spacing w:val="-7"/>
        </w:rPr>
      </w:pPr>
      <w:r>
        <w:rPr>
          <w:rFonts w:hint="default" w:ascii="Times New Roman" w:hAnsi="Times New Roman" w:cs="Times New Roman"/>
          <w:spacing w:val="-7"/>
        </w:rPr>
        <w:t>3）</w:t>
      </w:r>
      <w:r>
        <w:rPr>
          <w:rFonts w:hint="eastAsia" w:ascii="Times New Roman" w:hAnsi="Times New Roman" w:cs="Times New Roman"/>
          <w:spacing w:val="-7"/>
          <w:lang w:eastAsia="zh-CN"/>
        </w:rPr>
        <w:t>东城加油站</w:t>
      </w:r>
      <w:r>
        <w:rPr>
          <w:rFonts w:hint="default" w:ascii="Times New Roman" w:hAnsi="Times New Roman" w:cs="Times New Roman"/>
          <w:spacing w:val="-7"/>
        </w:rPr>
        <w:t>制定了较健全的安全管理制度和岗位操作规程。其中包括各类人员岗位职责，加油和卸油安全操作规程，各项安全管理制度。符合《危险化学品经营许可证管理办法》（国家安全生产监督管理总局令第55号，2015年5月27日国家安全监管总局令第79号修订）第六条第三小条的要求。</w:t>
      </w:r>
    </w:p>
    <w:p>
      <w:pPr>
        <w:pStyle w:val="11"/>
        <w:spacing w:line="500" w:lineRule="exact"/>
        <w:ind w:firstLine="532" w:firstLineChars="200"/>
        <w:jc w:val="both"/>
        <w:rPr>
          <w:rFonts w:hint="default" w:ascii="Times New Roman" w:hAnsi="Times New Roman" w:cs="Times New Roman"/>
          <w:spacing w:val="-7"/>
        </w:rPr>
      </w:pPr>
      <w:r>
        <w:rPr>
          <w:rFonts w:hint="default" w:ascii="Times New Roman" w:hAnsi="Times New Roman" w:cs="Times New Roman"/>
          <w:spacing w:val="-7"/>
        </w:rPr>
        <w:t>4）</w:t>
      </w:r>
      <w:r>
        <w:rPr>
          <w:rFonts w:hint="eastAsia" w:ascii="Times New Roman" w:hAnsi="Times New Roman" w:cs="Times New Roman"/>
          <w:spacing w:val="-7"/>
          <w:lang w:eastAsia="zh-CN"/>
        </w:rPr>
        <w:t>东城加油站</w:t>
      </w:r>
      <w:r>
        <w:rPr>
          <w:rFonts w:hint="default" w:ascii="Times New Roman" w:hAnsi="Times New Roman" w:cs="Times New Roman"/>
          <w:spacing w:val="-7"/>
        </w:rPr>
        <w:t>制定了事故应急救援预案，配备有必要的应急救援器材、设备。符合《危险化学品经营许可证管理办法》（国家安全生产监督管理总局令第55号，2015年5月27日国家安全监管总局令第79号修订）第六条第四小条的要求。</w:t>
      </w:r>
    </w:p>
    <w:p>
      <w:pPr>
        <w:pStyle w:val="11"/>
        <w:spacing w:line="500" w:lineRule="exact"/>
        <w:ind w:firstLine="532" w:firstLineChars="200"/>
        <w:jc w:val="both"/>
        <w:rPr>
          <w:rFonts w:hint="default" w:ascii="Times New Roman" w:hAnsi="Times New Roman" w:cs="Times New Roman"/>
          <w:spacing w:val="-7"/>
        </w:rPr>
      </w:pPr>
      <w:r>
        <w:rPr>
          <w:rFonts w:hint="default" w:ascii="Times New Roman" w:hAnsi="Times New Roman" w:cs="Times New Roman"/>
          <w:spacing w:val="-7"/>
        </w:rPr>
        <w:t>5）</w:t>
      </w:r>
      <w:r>
        <w:rPr>
          <w:rFonts w:hint="eastAsia" w:ascii="Times New Roman" w:hAnsi="Times New Roman" w:cs="Times New Roman"/>
          <w:spacing w:val="-7"/>
          <w:lang w:eastAsia="zh-CN"/>
        </w:rPr>
        <w:t>东城加油站</w:t>
      </w:r>
      <w:r>
        <w:rPr>
          <w:rFonts w:hint="default" w:ascii="Times New Roman" w:hAnsi="Times New Roman" w:cs="Times New Roman"/>
          <w:spacing w:val="-7"/>
        </w:rPr>
        <w:t>储存设施与周边场所、设施、区域的距离符合有关法律、法规、规章和标准的规定。符合《危险化学品经营许可证管理办法》（国家安全生产监督管理总局令第55号，2015年5月27日国家安全监管总局令第79号修订）第八条的要求。</w:t>
      </w:r>
    </w:p>
    <w:p>
      <w:pPr>
        <w:pStyle w:val="11"/>
        <w:spacing w:line="500" w:lineRule="exact"/>
        <w:ind w:firstLine="532" w:firstLineChars="200"/>
        <w:jc w:val="both"/>
        <w:rPr>
          <w:rFonts w:hint="default" w:ascii="Times New Roman" w:hAnsi="Times New Roman" w:cs="Times New Roman"/>
          <w:spacing w:val="-7"/>
        </w:rPr>
      </w:pPr>
      <w:r>
        <w:rPr>
          <w:rFonts w:hint="default" w:ascii="Times New Roman" w:hAnsi="Times New Roman" w:cs="Times New Roman"/>
          <w:spacing w:val="-7"/>
        </w:rPr>
        <w:t>6）由安全检查表分析可知，</w:t>
      </w:r>
      <w:r>
        <w:rPr>
          <w:rFonts w:hint="eastAsia" w:ascii="Times New Roman" w:hAnsi="Times New Roman" w:cs="Times New Roman"/>
          <w:spacing w:val="-7"/>
          <w:lang w:eastAsia="zh-CN"/>
        </w:rPr>
        <w:t>东城加油站</w:t>
      </w:r>
      <w:r>
        <w:rPr>
          <w:rFonts w:hint="default" w:ascii="Times New Roman" w:hAnsi="Times New Roman" w:cs="Times New Roman"/>
          <w:spacing w:val="-7"/>
        </w:rPr>
        <w:t>安全评价现场检查表结论汇总</w:t>
      </w:r>
      <w:r>
        <w:rPr>
          <w:rFonts w:hint="default" w:ascii="Times New Roman" w:hAnsi="Times New Roman" w:cs="Times New Roman"/>
          <w:spacing w:val="-7"/>
          <w:highlight w:val="none"/>
        </w:rPr>
        <w:t>：</w:t>
      </w:r>
      <w:r>
        <w:rPr>
          <w:rFonts w:hint="default" w:ascii="Times New Roman" w:hAnsi="Times New Roman" w:cs="Times New Roman"/>
          <w:color w:val="auto"/>
          <w:spacing w:val="-7"/>
          <w:highlight w:val="none"/>
        </w:rPr>
        <w:t>检查表共10</w:t>
      </w:r>
      <w:r>
        <w:rPr>
          <w:rFonts w:hint="eastAsia" w:ascii="Times New Roman" w:hAnsi="Times New Roman" w:cs="Times New Roman"/>
          <w:color w:val="auto"/>
          <w:spacing w:val="-7"/>
          <w:highlight w:val="none"/>
          <w:lang w:val="en-US" w:eastAsia="zh-CN"/>
        </w:rPr>
        <w:t>5</w:t>
      </w:r>
      <w:r>
        <w:rPr>
          <w:rFonts w:hint="default" w:ascii="Times New Roman" w:hAnsi="Times New Roman" w:cs="Times New Roman"/>
          <w:color w:val="auto"/>
          <w:spacing w:val="-7"/>
          <w:highlight w:val="none"/>
        </w:rPr>
        <w:t>项，其中10</w:t>
      </w:r>
      <w:r>
        <w:rPr>
          <w:rFonts w:hint="eastAsia" w:ascii="Times New Roman" w:hAnsi="Times New Roman" w:cs="Times New Roman"/>
          <w:color w:val="auto"/>
          <w:spacing w:val="-7"/>
          <w:highlight w:val="none"/>
          <w:lang w:val="en-US" w:eastAsia="zh-CN"/>
        </w:rPr>
        <w:t>2</w:t>
      </w:r>
      <w:r>
        <w:rPr>
          <w:rFonts w:hint="default" w:ascii="Times New Roman" w:hAnsi="Times New Roman" w:cs="Times New Roman"/>
          <w:color w:val="auto"/>
          <w:spacing w:val="-7"/>
          <w:highlight w:val="none"/>
        </w:rPr>
        <w:t>项实有项，实有项全部合格。</w:t>
      </w:r>
      <w:r>
        <w:rPr>
          <w:rFonts w:hint="default" w:ascii="Times New Roman" w:hAnsi="Times New Roman" w:cs="Times New Roman"/>
          <w:spacing w:val="-7"/>
          <w:highlight w:val="none"/>
        </w:rPr>
        <w:t>即</w:t>
      </w:r>
      <w:r>
        <w:rPr>
          <w:rFonts w:hint="eastAsia" w:ascii="Times New Roman" w:hAnsi="Times New Roman" w:cs="Times New Roman"/>
          <w:spacing w:val="-7"/>
          <w:highlight w:val="none"/>
          <w:lang w:eastAsia="zh-CN"/>
        </w:rPr>
        <w:t>东城加油站</w:t>
      </w:r>
      <w:r>
        <w:rPr>
          <w:rFonts w:hint="default" w:ascii="Times New Roman" w:hAnsi="Times New Roman" w:cs="Times New Roman"/>
          <w:spacing w:val="-7"/>
          <w:highlight w:val="none"/>
        </w:rPr>
        <w:t>证照文书、安全管理制度、安全管理组织、从业人员条件、选址及总平面布置、油罐、加油机、工艺管道、消防设施及给排水、供配电、防雷防静电、采暖通风、</w:t>
      </w:r>
      <w:r>
        <w:rPr>
          <w:rFonts w:hint="default" w:ascii="Times New Roman" w:hAnsi="Times New Roman" w:cs="Times New Roman"/>
          <w:spacing w:val="-7"/>
        </w:rPr>
        <w:t>建（构）筑物、绿化符合《危险化学品经营许可证管理办法》（国家安全生产监督管理总局令第55号，2015年5月27日国家安全监管总局令第79号修订）、《汽车加油加汽站设计与施工规范》（GB50156-2012，2014年版）及其他相关法规的要求。</w:t>
      </w:r>
    </w:p>
    <w:p>
      <w:pPr>
        <w:pStyle w:val="11"/>
        <w:spacing w:line="500" w:lineRule="exact"/>
        <w:ind w:firstLine="532" w:firstLineChars="200"/>
        <w:jc w:val="both"/>
        <w:rPr>
          <w:rFonts w:hint="default" w:ascii="Times New Roman" w:hAnsi="Times New Roman" w:cs="Times New Roman"/>
          <w:spacing w:val="-7"/>
        </w:rPr>
      </w:pPr>
      <w:r>
        <w:rPr>
          <w:rFonts w:hint="default" w:ascii="Times New Roman" w:hAnsi="Times New Roman" w:cs="Times New Roman"/>
          <w:spacing w:val="-7"/>
        </w:rPr>
        <w:t>7）重大生产安全事故隐患判定分析结果：</w:t>
      </w:r>
      <w:r>
        <w:rPr>
          <w:rFonts w:hint="eastAsia" w:ascii="Times New Roman" w:hAnsi="Times New Roman" w:cs="Times New Roman"/>
          <w:spacing w:val="-7"/>
          <w:lang w:eastAsia="zh-CN"/>
        </w:rPr>
        <w:t>东城加油站</w:t>
      </w:r>
      <w:r>
        <w:rPr>
          <w:rFonts w:hint="default" w:ascii="Times New Roman" w:hAnsi="Times New Roman" w:cs="Times New Roman"/>
          <w:spacing w:val="-7"/>
        </w:rPr>
        <w:t>不存在“广东省安全生产监督管理局转发国家安全监管总局《化工和危险化学品生产经营单位重大生产安全事故隐患判定标准（试行）》和《烟花爆竹生产经营单位重大生产安全事故隐患判定标准（试行）》的通知（粤安监〔2017〕219号）”所规定的重大生产安全事故隐患。</w:t>
      </w:r>
    </w:p>
    <w:p>
      <w:pPr>
        <w:pStyle w:val="11"/>
        <w:spacing w:line="500" w:lineRule="exact"/>
        <w:ind w:firstLine="532" w:firstLineChars="200"/>
        <w:jc w:val="both"/>
        <w:rPr>
          <w:rFonts w:hint="default" w:ascii="Times New Roman" w:hAnsi="Times New Roman" w:cs="Times New Roman"/>
          <w:spacing w:val="-7"/>
        </w:rPr>
      </w:pPr>
      <w:r>
        <w:rPr>
          <w:rFonts w:hint="default" w:ascii="Times New Roman" w:hAnsi="Times New Roman" w:cs="Times New Roman"/>
          <w:spacing w:val="-7"/>
        </w:rPr>
        <w:t>由上述分析可知，</w:t>
      </w:r>
      <w:r>
        <w:rPr>
          <w:rFonts w:hint="eastAsia" w:ascii="Times New Roman" w:hAnsi="Times New Roman" w:cs="Times New Roman"/>
          <w:spacing w:val="-7"/>
          <w:lang w:eastAsia="zh-CN"/>
        </w:rPr>
        <w:t>东城加油站</w:t>
      </w:r>
      <w:r>
        <w:rPr>
          <w:rFonts w:hint="default" w:ascii="Times New Roman" w:hAnsi="Times New Roman" w:cs="Times New Roman"/>
          <w:spacing w:val="-7"/>
        </w:rPr>
        <w:t>建设项目的安全生产条件符合《危险化学品经营许可证管理办法》（国家安全生产监督管理总局令第55号，2015年5月27日国家安全监管总局令第79号修订）、《汽车加油加气站设计与施工规范》（GB50156-2012，2014年版）等法律法规的要求，具备申请危险化学品经营许可证的条件。</w:t>
      </w:r>
    </w:p>
    <w:p>
      <w:pPr>
        <w:pStyle w:val="4"/>
        <w:tabs>
          <w:tab w:val="left" w:pos="3715"/>
        </w:tabs>
        <w:spacing w:before="120" w:afterLines="100"/>
        <w:jc w:val="center"/>
        <w:rPr>
          <w:rFonts w:hint="default" w:ascii="Times New Roman" w:hAnsi="Times New Roman" w:eastAsia="宋体" w:cs="Times New Roman"/>
          <w:b/>
          <w:bCs/>
        </w:rPr>
      </w:pPr>
      <w:bookmarkStart w:id="939" w:name="_Toc31208"/>
      <w:bookmarkStart w:id="940" w:name="_Toc27546_WPSOffice_Level2"/>
      <w:bookmarkStart w:id="941" w:name="_Toc19913"/>
      <w:bookmarkStart w:id="942" w:name="_Toc9111"/>
      <w:bookmarkStart w:id="943" w:name="_Toc694"/>
      <w:bookmarkStart w:id="944" w:name="_Toc23634"/>
      <w:bookmarkStart w:id="945" w:name="_Toc25337"/>
      <w:bookmarkStart w:id="946" w:name="_Toc25454"/>
      <w:bookmarkStart w:id="947" w:name="_Toc8860"/>
      <w:bookmarkStart w:id="948" w:name="_Toc23129"/>
      <w:bookmarkStart w:id="949" w:name="_Toc14911"/>
      <w:bookmarkStart w:id="950" w:name="_Toc606"/>
      <w:bookmarkStart w:id="951" w:name="_Toc21445"/>
      <w:bookmarkStart w:id="952" w:name="_Toc21746"/>
      <w:bookmarkStart w:id="953" w:name="_Toc3336"/>
      <w:bookmarkStart w:id="954" w:name="_Toc11212"/>
      <w:bookmarkStart w:id="955" w:name="_Toc14866_WPSOffice_Level2"/>
      <w:bookmarkStart w:id="956" w:name="_Toc12228"/>
      <w:bookmarkStart w:id="957" w:name="_Toc17953"/>
      <w:bookmarkStart w:id="958" w:name="_Toc4173_WPSOffice_Level2"/>
      <w:bookmarkStart w:id="959" w:name="_Toc19820"/>
      <w:bookmarkStart w:id="960" w:name="_Toc24808"/>
      <w:bookmarkStart w:id="961" w:name="_Toc30505"/>
      <w:bookmarkStart w:id="962" w:name="_Toc21142"/>
      <w:bookmarkStart w:id="963" w:name="_Toc12879"/>
      <w:r>
        <w:rPr>
          <w:rFonts w:hint="default" w:ascii="Times New Roman" w:hAnsi="Times New Roman" w:eastAsia="宋体" w:cs="Times New Roman"/>
          <w:b/>
          <w:bCs/>
          <w:lang w:val="en-US"/>
        </w:rPr>
        <w:t>6.</w:t>
      </w:r>
      <w:r>
        <w:rPr>
          <w:rFonts w:hint="eastAsia" w:ascii="Times New Roman" w:hAnsi="Times New Roman" w:eastAsia="宋体" w:cs="Times New Roman"/>
          <w:b/>
          <w:bCs/>
          <w:lang w:val="en-US" w:eastAsia="zh-CN"/>
        </w:rPr>
        <w:t>3</w:t>
      </w:r>
      <w:r>
        <w:rPr>
          <w:rFonts w:hint="default" w:ascii="Times New Roman" w:hAnsi="Times New Roman" w:eastAsia="宋体" w:cs="Times New Roman"/>
          <w:b/>
          <w:bCs/>
          <w:lang w:val="en-US"/>
        </w:rPr>
        <w:t xml:space="preserve"> </w:t>
      </w:r>
      <w:bookmarkEnd w:id="939"/>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bookmarkEnd w:id="960"/>
      <w:r>
        <w:rPr>
          <w:rFonts w:hint="default" w:ascii="Times New Roman" w:hAnsi="Times New Roman" w:eastAsia="宋体" w:cs="Times New Roman"/>
          <w:b/>
          <w:bCs/>
        </w:rPr>
        <w:t>可能发生的危险化学品事故及后果、对策</w:t>
      </w:r>
      <w:bookmarkEnd w:id="961"/>
      <w:bookmarkEnd w:id="962"/>
      <w:bookmarkEnd w:id="963"/>
    </w:p>
    <w:p>
      <w:pPr>
        <w:pStyle w:val="5"/>
        <w:pageBreakBefore w:val="0"/>
        <w:widowControl w:val="0"/>
        <w:kinsoku/>
        <w:wordWrap/>
        <w:overflowPunct/>
        <w:topLinePunct w:val="0"/>
        <w:autoSpaceDE w:val="0"/>
        <w:autoSpaceDN w:val="0"/>
        <w:bidi w:val="0"/>
        <w:adjustRightInd/>
        <w:snapToGrid/>
        <w:spacing w:beforeLines="100" w:afterLines="100" w:line="500" w:lineRule="exact"/>
        <w:ind w:left="0" w:leftChars="0" w:right="0" w:rightChars="0" w:firstLine="562" w:firstLineChars="200"/>
        <w:textAlignment w:val="auto"/>
        <w:rPr>
          <w:rFonts w:hint="default"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6.3</w:t>
      </w:r>
      <w:r>
        <w:rPr>
          <w:rFonts w:hint="default" w:ascii="Times New Roman" w:hAnsi="Times New Roman" w:cs="Times New Roman"/>
          <w:sz w:val="28"/>
          <w:szCs w:val="28"/>
          <w:lang w:val="en-US" w:eastAsia="zh-CN"/>
        </w:rPr>
        <w:t>.1 预测可能发生的各种危险化学品事故及后果、对策</w:t>
      </w:r>
    </w:p>
    <w:p>
      <w:pPr>
        <w:spacing w:line="500" w:lineRule="exact"/>
        <w:ind w:firstLine="532" w:firstLineChars="200"/>
        <w:jc w:val="both"/>
        <w:rPr>
          <w:rFonts w:hint="default" w:ascii="Times New Roman" w:hAnsi="Times New Roman" w:cs="Times New Roman"/>
          <w:spacing w:val="-7"/>
          <w:sz w:val="28"/>
          <w:szCs w:val="28"/>
        </w:rPr>
      </w:pPr>
      <w:r>
        <w:rPr>
          <w:rFonts w:hint="default" w:ascii="Times New Roman" w:hAnsi="Times New Roman" w:cs="Times New Roman"/>
          <w:spacing w:val="-7"/>
          <w:sz w:val="28"/>
          <w:szCs w:val="28"/>
        </w:rPr>
        <w:t>该油站预测经营过程中潜在的主要危险危害有：火灾爆炸、中毒和窒息、触电、高处坠落、车辆伤害</w:t>
      </w:r>
      <w:r>
        <w:rPr>
          <w:rFonts w:hint="eastAsia" w:ascii="Times New Roman" w:hAnsi="Times New Roman" w:cs="Times New Roman"/>
          <w:spacing w:val="-7"/>
          <w:sz w:val="28"/>
          <w:szCs w:val="28"/>
          <w:lang w:eastAsia="zh-CN"/>
        </w:rPr>
        <w:t>、机械伤害</w:t>
      </w:r>
      <w:r>
        <w:rPr>
          <w:rFonts w:hint="default" w:ascii="Times New Roman" w:hAnsi="Times New Roman" w:cs="Times New Roman"/>
          <w:spacing w:val="-7"/>
          <w:sz w:val="28"/>
          <w:szCs w:val="28"/>
        </w:rPr>
        <w:t>和其他伤害等。</w:t>
      </w:r>
    </w:p>
    <w:p>
      <w:pPr>
        <w:spacing w:line="500" w:lineRule="exact"/>
        <w:ind w:firstLine="532" w:firstLineChars="200"/>
        <w:jc w:val="both"/>
        <w:rPr>
          <w:rFonts w:hint="default" w:ascii="Times New Roman" w:hAnsi="Times New Roman" w:cs="Times New Roman"/>
          <w:spacing w:val="-7"/>
          <w:sz w:val="28"/>
          <w:szCs w:val="28"/>
        </w:rPr>
      </w:pPr>
      <w:r>
        <w:rPr>
          <w:rFonts w:hint="default" w:ascii="Times New Roman" w:hAnsi="Times New Roman" w:cs="Times New Roman"/>
          <w:spacing w:val="-7"/>
          <w:sz w:val="28"/>
          <w:szCs w:val="28"/>
        </w:rPr>
        <w:t>火灾、爆炸的作业危险性属于一般危险，需要注意，需要加强安全意识，全体职工认真学习安全知识，加强明火管理。</w:t>
      </w:r>
    </w:p>
    <w:p>
      <w:pPr>
        <w:spacing w:line="500" w:lineRule="exact"/>
        <w:ind w:firstLine="532" w:firstLineChars="200"/>
        <w:jc w:val="both"/>
        <w:rPr>
          <w:rFonts w:hint="default" w:ascii="Times New Roman" w:hAnsi="Times New Roman" w:cs="Times New Roman"/>
          <w:spacing w:val="-7"/>
          <w:sz w:val="28"/>
          <w:szCs w:val="28"/>
        </w:rPr>
      </w:pPr>
      <w:r>
        <w:rPr>
          <w:rFonts w:hint="default" w:ascii="Times New Roman" w:hAnsi="Times New Roman" w:cs="Times New Roman"/>
          <w:spacing w:val="-7"/>
          <w:sz w:val="28"/>
          <w:szCs w:val="28"/>
        </w:rPr>
        <w:t>触电、车辆伤害等的作业危险性属于一般危险或稍有危险，作业人员在操作中应保持警惕性，加强安全知识学习，提高安全意识。</w:t>
      </w:r>
    </w:p>
    <w:p>
      <w:pPr>
        <w:pStyle w:val="5"/>
        <w:pageBreakBefore w:val="0"/>
        <w:widowControl w:val="0"/>
        <w:kinsoku/>
        <w:wordWrap/>
        <w:overflowPunct/>
        <w:topLinePunct w:val="0"/>
        <w:autoSpaceDE w:val="0"/>
        <w:autoSpaceDN w:val="0"/>
        <w:bidi w:val="0"/>
        <w:adjustRightInd/>
        <w:snapToGrid/>
        <w:spacing w:beforeLines="100" w:afterLines="100" w:line="500" w:lineRule="exact"/>
        <w:ind w:left="0" w:leftChars="0" w:right="0" w:rightChars="0" w:firstLine="562" w:firstLineChars="200"/>
        <w:textAlignment w:val="auto"/>
        <w:rPr>
          <w:rFonts w:hint="default"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6.3</w:t>
      </w:r>
      <w:r>
        <w:rPr>
          <w:rFonts w:hint="default" w:ascii="Times New Roman" w:hAnsi="Times New Roman" w:cs="Times New Roman"/>
          <w:sz w:val="28"/>
          <w:szCs w:val="28"/>
          <w:lang w:val="en-US" w:eastAsia="zh-CN"/>
        </w:rPr>
        <w:t>.2 列举事故案例</w:t>
      </w:r>
    </w:p>
    <w:p>
      <w:pPr>
        <w:spacing w:line="500" w:lineRule="exact"/>
        <w:ind w:firstLine="532" w:firstLineChars="200"/>
        <w:jc w:val="both"/>
        <w:rPr>
          <w:rFonts w:hint="default" w:ascii="Times New Roman" w:hAnsi="Times New Roman" w:cs="Times New Roman"/>
          <w:spacing w:val="-7"/>
          <w:sz w:val="28"/>
          <w:szCs w:val="28"/>
        </w:rPr>
      </w:pPr>
      <w:r>
        <w:rPr>
          <w:rFonts w:hint="default" w:ascii="Times New Roman" w:hAnsi="Times New Roman" w:cs="Times New Roman"/>
          <w:spacing w:val="-7"/>
          <w:sz w:val="28"/>
          <w:szCs w:val="28"/>
        </w:rPr>
        <w:t>（1）加油站火灾爆炸事故</w:t>
      </w:r>
    </w:p>
    <w:p>
      <w:pPr>
        <w:spacing w:line="500" w:lineRule="exact"/>
        <w:ind w:firstLine="532" w:firstLineChars="200"/>
        <w:jc w:val="both"/>
        <w:rPr>
          <w:rFonts w:hint="default" w:ascii="Times New Roman" w:hAnsi="Times New Roman" w:cs="Times New Roman"/>
          <w:spacing w:val="-7"/>
          <w:sz w:val="28"/>
          <w:szCs w:val="28"/>
        </w:rPr>
      </w:pPr>
      <w:r>
        <w:rPr>
          <w:rFonts w:hint="default" w:ascii="Times New Roman" w:hAnsi="Times New Roman" w:cs="Times New Roman"/>
          <w:spacing w:val="-7"/>
          <w:sz w:val="28"/>
          <w:szCs w:val="28"/>
        </w:rPr>
        <w:t>1999年6月19日，山东省某县成品油经营点发生一起重大火灾爆炸事故，造成5人死亡，直接经济损失16.35万元，教训极为深刻。</w:t>
      </w:r>
    </w:p>
    <w:p>
      <w:pPr>
        <w:spacing w:line="500" w:lineRule="exact"/>
        <w:ind w:firstLine="532" w:firstLineChars="200"/>
        <w:jc w:val="both"/>
        <w:rPr>
          <w:rFonts w:hint="default" w:ascii="Times New Roman" w:hAnsi="Times New Roman" w:cs="Times New Roman"/>
          <w:spacing w:val="-7"/>
          <w:sz w:val="28"/>
          <w:szCs w:val="28"/>
        </w:rPr>
      </w:pPr>
      <w:r>
        <w:rPr>
          <w:rFonts w:hint="default" w:ascii="Times New Roman" w:hAnsi="Times New Roman" w:cs="Times New Roman"/>
          <w:spacing w:val="-7"/>
          <w:sz w:val="28"/>
          <w:szCs w:val="28"/>
        </w:rPr>
        <w:t>6月9日下午18时30分，承包经营者宋某提取1车（10000L）90号汽油，在保管监督员不在和未对卸油罐进行计量的情况下，宋某擅自将油罐卸油口铁锁撬开，进行卸油，卸油期间，也没有安排人员监视。卸油开始后，宋某就陪着司机到营业室吃西瓜。18时50分左右，宋某到院内油罐口查看，发现油从油罐中溢出，就连忙让司机张某关闭了油罐车阀门，同时让雇佣的王某赶紧回收溢油。王某在回收溢油时，用铁桶、塑料盆等器皿回收，造成器具碰撞产生火花，引起油蒸气爆炸，使汽油燃烧。19时10分消防队投入灭火和抢救烧伤人员的工作，半个小时后。大火被扑灭，受伤人员被送往医院。这次事故使王某当场烧死，宋某与其爱人1周后死亡，孙女和王某的外甥在1个月后的治疗中先后死亡。溢出油品1466L，直接经济损失16.35万元。</w:t>
      </w:r>
    </w:p>
    <w:p>
      <w:pPr>
        <w:spacing w:line="500" w:lineRule="exact"/>
        <w:ind w:firstLine="532" w:firstLineChars="200"/>
        <w:jc w:val="both"/>
        <w:rPr>
          <w:rFonts w:hint="default" w:ascii="Times New Roman" w:hAnsi="Times New Roman" w:cs="Times New Roman"/>
          <w:spacing w:val="-7"/>
          <w:sz w:val="28"/>
          <w:szCs w:val="28"/>
        </w:rPr>
      </w:pPr>
      <w:r>
        <w:rPr>
          <w:rFonts w:hint="eastAsia" w:ascii="宋体" w:hAnsi="宋体" w:eastAsia="宋体" w:cs="宋体"/>
          <w:spacing w:val="-7"/>
          <w:sz w:val="28"/>
          <w:szCs w:val="28"/>
        </w:rPr>
        <w:t>①</w:t>
      </w:r>
      <w:r>
        <w:rPr>
          <w:rFonts w:hint="default" w:ascii="Times New Roman" w:hAnsi="Times New Roman" w:cs="Times New Roman"/>
          <w:spacing w:val="-7"/>
          <w:sz w:val="28"/>
          <w:szCs w:val="28"/>
        </w:rPr>
        <w:t>事故原因分析</w:t>
      </w:r>
    </w:p>
    <w:p>
      <w:pPr>
        <w:spacing w:line="500" w:lineRule="exact"/>
        <w:ind w:firstLine="532" w:firstLineChars="200"/>
        <w:jc w:val="both"/>
        <w:rPr>
          <w:rFonts w:hint="default" w:ascii="Times New Roman" w:hAnsi="Times New Roman" w:cs="Times New Roman"/>
          <w:spacing w:val="-7"/>
          <w:sz w:val="28"/>
          <w:szCs w:val="28"/>
        </w:rPr>
      </w:pPr>
      <w:r>
        <w:rPr>
          <w:rFonts w:hint="default" w:ascii="Times New Roman" w:hAnsi="Times New Roman" w:cs="Times New Roman"/>
          <w:spacing w:val="-7"/>
          <w:sz w:val="28"/>
          <w:szCs w:val="28"/>
        </w:rPr>
        <w:t>当事人宋某违反公司规定，在保管监督人不在的情况下，自行撬开油罐卸油口铁锁进行卸油，致使卸油失去监督保障；</w:t>
      </w:r>
    </w:p>
    <w:p>
      <w:pPr>
        <w:spacing w:line="500" w:lineRule="exact"/>
        <w:ind w:firstLine="532" w:firstLineChars="200"/>
        <w:jc w:val="both"/>
        <w:rPr>
          <w:rFonts w:hint="default" w:ascii="Times New Roman" w:hAnsi="Times New Roman" w:cs="Times New Roman"/>
          <w:spacing w:val="-7"/>
          <w:sz w:val="28"/>
          <w:szCs w:val="28"/>
        </w:rPr>
      </w:pPr>
      <w:r>
        <w:rPr>
          <w:rFonts w:hint="default" w:ascii="Times New Roman" w:hAnsi="Times New Roman" w:cs="Times New Roman"/>
          <w:spacing w:val="-7"/>
          <w:sz w:val="28"/>
          <w:szCs w:val="28"/>
        </w:rPr>
        <w:t>宋某违反卸油操作规程，卸油前未经计量确定罐内空容量；</w:t>
      </w:r>
    </w:p>
    <w:p>
      <w:pPr>
        <w:spacing w:line="500" w:lineRule="exact"/>
        <w:ind w:firstLine="532" w:firstLineChars="200"/>
        <w:jc w:val="both"/>
        <w:rPr>
          <w:rFonts w:hint="default" w:ascii="Times New Roman" w:hAnsi="Times New Roman" w:cs="Times New Roman"/>
          <w:spacing w:val="-7"/>
          <w:sz w:val="28"/>
          <w:szCs w:val="28"/>
        </w:rPr>
      </w:pPr>
      <w:r>
        <w:rPr>
          <w:rFonts w:hint="default" w:ascii="Times New Roman" w:hAnsi="Times New Roman" w:cs="Times New Roman"/>
          <w:spacing w:val="-7"/>
          <w:sz w:val="28"/>
          <w:szCs w:val="28"/>
        </w:rPr>
        <w:t>卸油时没有监卸人员在场，以致造成油罐溢油；</w:t>
      </w:r>
    </w:p>
    <w:p>
      <w:pPr>
        <w:spacing w:line="500" w:lineRule="exact"/>
        <w:ind w:firstLine="532" w:firstLineChars="200"/>
        <w:jc w:val="both"/>
        <w:rPr>
          <w:rFonts w:hint="default" w:ascii="Times New Roman" w:hAnsi="Times New Roman" w:cs="Times New Roman"/>
          <w:spacing w:val="-7"/>
          <w:sz w:val="28"/>
          <w:szCs w:val="28"/>
        </w:rPr>
      </w:pPr>
      <w:r>
        <w:rPr>
          <w:rFonts w:hint="default" w:ascii="Times New Roman" w:hAnsi="Times New Roman" w:cs="Times New Roman"/>
          <w:spacing w:val="-7"/>
          <w:sz w:val="28"/>
          <w:szCs w:val="28"/>
        </w:rPr>
        <w:t>人员安全素质差，王某未经过岗前培训，缺乏安全意识；</w:t>
      </w:r>
    </w:p>
    <w:p>
      <w:pPr>
        <w:spacing w:line="500" w:lineRule="exact"/>
        <w:ind w:firstLine="532" w:firstLineChars="200"/>
        <w:jc w:val="both"/>
        <w:rPr>
          <w:rFonts w:hint="default" w:ascii="Times New Roman" w:hAnsi="Times New Roman" w:cs="Times New Roman"/>
          <w:spacing w:val="-7"/>
          <w:sz w:val="28"/>
          <w:szCs w:val="28"/>
        </w:rPr>
      </w:pPr>
      <w:r>
        <w:rPr>
          <w:rFonts w:hint="default" w:ascii="Times New Roman" w:hAnsi="Times New Roman" w:cs="Times New Roman"/>
          <w:spacing w:val="-7"/>
          <w:sz w:val="28"/>
          <w:szCs w:val="28"/>
        </w:rPr>
        <w:t>溢油后采用措施不当，在回收溢油时使用铁桶等易产生碰撞火花的器皿，严重违反了加油站管理制度；</w:t>
      </w:r>
    </w:p>
    <w:p>
      <w:pPr>
        <w:spacing w:line="500" w:lineRule="exact"/>
        <w:ind w:firstLine="532" w:firstLineChars="200"/>
        <w:jc w:val="both"/>
        <w:rPr>
          <w:rFonts w:hint="default" w:ascii="Times New Roman" w:hAnsi="Times New Roman" w:cs="Times New Roman"/>
          <w:spacing w:val="-7"/>
          <w:sz w:val="28"/>
          <w:szCs w:val="28"/>
        </w:rPr>
      </w:pPr>
      <w:r>
        <w:rPr>
          <w:rFonts w:hint="default" w:ascii="Times New Roman" w:hAnsi="Times New Roman" w:cs="Times New Roman"/>
          <w:spacing w:val="-7"/>
          <w:sz w:val="28"/>
          <w:szCs w:val="28"/>
        </w:rPr>
        <w:t>违反劳动纪律，随意容留年幼儿童在经营点火灾危险区域内逗留、玩耍，以致造成无辜儿童被烧后死亡。</w:t>
      </w:r>
    </w:p>
    <w:p>
      <w:pPr>
        <w:spacing w:line="500" w:lineRule="exact"/>
        <w:ind w:firstLine="532" w:firstLineChars="200"/>
        <w:jc w:val="both"/>
        <w:rPr>
          <w:rFonts w:hint="default" w:ascii="Times New Roman" w:hAnsi="Times New Roman" w:cs="Times New Roman"/>
          <w:spacing w:val="-7"/>
          <w:sz w:val="28"/>
          <w:szCs w:val="28"/>
        </w:rPr>
      </w:pPr>
      <w:r>
        <w:rPr>
          <w:rFonts w:hint="eastAsia" w:ascii="宋体" w:hAnsi="宋体" w:eastAsia="宋体" w:cs="宋体"/>
          <w:spacing w:val="-7"/>
          <w:sz w:val="28"/>
          <w:szCs w:val="28"/>
        </w:rPr>
        <w:t>②</w:t>
      </w:r>
      <w:r>
        <w:rPr>
          <w:rFonts w:hint="default" w:ascii="Times New Roman" w:hAnsi="Times New Roman" w:cs="Times New Roman"/>
          <w:spacing w:val="-7"/>
          <w:sz w:val="28"/>
          <w:szCs w:val="28"/>
        </w:rPr>
        <w:t>事故防范措施</w:t>
      </w:r>
    </w:p>
    <w:p>
      <w:pPr>
        <w:spacing w:line="500" w:lineRule="exact"/>
        <w:ind w:firstLine="532" w:firstLineChars="200"/>
        <w:jc w:val="both"/>
        <w:rPr>
          <w:rFonts w:hint="default" w:ascii="Times New Roman" w:hAnsi="Times New Roman" w:cs="Times New Roman"/>
          <w:spacing w:val="-7"/>
          <w:sz w:val="28"/>
          <w:szCs w:val="28"/>
        </w:rPr>
      </w:pPr>
      <w:r>
        <w:rPr>
          <w:rFonts w:hint="default" w:ascii="Times New Roman" w:hAnsi="Times New Roman" w:cs="Times New Roman"/>
          <w:spacing w:val="-7"/>
          <w:sz w:val="28"/>
          <w:szCs w:val="28"/>
        </w:rPr>
        <w:t>加强操作人员的岗位责任心教育，严格执行操作规程；</w:t>
      </w:r>
    </w:p>
    <w:p>
      <w:pPr>
        <w:spacing w:line="500" w:lineRule="exact"/>
        <w:ind w:firstLine="532" w:firstLineChars="200"/>
        <w:jc w:val="both"/>
        <w:rPr>
          <w:rFonts w:hint="default" w:ascii="Times New Roman" w:hAnsi="Times New Roman" w:cs="Times New Roman"/>
          <w:spacing w:val="-7"/>
          <w:sz w:val="28"/>
          <w:szCs w:val="28"/>
        </w:rPr>
      </w:pPr>
      <w:r>
        <w:rPr>
          <w:rFonts w:hint="default" w:ascii="Times New Roman" w:hAnsi="Times New Roman" w:cs="Times New Roman"/>
          <w:spacing w:val="-7"/>
          <w:sz w:val="28"/>
          <w:szCs w:val="28"/>
        </w:rPr>
        <w:t>加强安全管理，将安全落实到实处。</w:t>
      </w:r>
    </w:p>
    <w:p>
      <w:pPr>
        <w:spacing w:line="500" w:lineRule="exact"/>
        <w:ind w:firstLine="532" w:firstLineChars="200"/>
        <w:jc w:val="both"/>
        <w:rPr>
          <w:rFonts w:hint="default" w:ascii="Times New Roman" w:hAnsi="Times New Roman" w:cs="Times New Roman"/>
          <w:spacing w:val="-7"/>
          <w:sz w:val="28"/>
          <w:szCs w:val="28"/>
        </w:rPr>
      </w:pPr>
      <w:r>
        <w:rPr>
          <w:rFonts w:hint="default" w:ascii="Times New Roman" w:hAnsi="Times New Roman" w:cs="Times New Roman"/>
          <w:spacing w:val="-7"/>
          <w:sz w:val="28"/>
          <w:szCs w:val="28"/>
        </w:rPr>
        <w:t>（2）加油站静电事故</w:t>
      </w:r>
    </w:p>
    <w:p>
      <w:pPr>
        <w:spacing w:line="500" w:lineRule="exact"/>
        <w:ind w:firstLine="532" w:firstLineChars="200"/>
        <w:jc w:val="both"/>
        <w:rPr>
          <w:rFonts w:hint="default" w:ascii="Times New Roman" w:hAnsi="Times New Roman" w:cs="Times New Roman"/>
          <w:spacing w:val="-7"/>
          <w:sz w:val="28"/>
          <w:szCs w:val="28"/>
        </w:rPr>
      </w:pPr>
      <w:r>
        <w:rPr>
          <w:rFonts w:hint="default" w:ascii="Times New Roman" w:hAnsi="Times New Roman" w:cs="Times New Roman"/>
          <w:spacing w:val="-7"/>
          <w:sz w:val="28"/>
          <w:szCs w:val="28"/>
        </w:rPr>
        <w:t>2004年1月，一摩托车驾驶员到加油站加油，把车停在计量机旁边，关闭发动机，用发动机钥匙打开油箱盖等着加油。站在附近的加油站工作人员看到有加油的客人，就迎了上来，将合成树脂材料的油箱盖放在旁边的水泥防护台上，没戴手套，直接用手握住喷枪手柄，把喷枪口接近摩托油箱的加油口，开始加油的时候，突然从油箱加油口处冒出火苗。</w:t>
      </w:r>
    </w:p>
    <w:p>
      <w:pPr>
        <w:spacing w:line="500" w:lineRule="exact"/>
        <w:ind w:firstLine="532" w:firstLineChars="200"/>
        <w:jc w:val="both"/>
        <w:rPr>
          <w:rFonts w:hint="default" w:ascii="Times New Roman" w:hAnsi="Times New Roman" w:cs="Times New Roman"/>
          <w:spacing w:val="-7"/>
          <w:sz w:val="28"/>
          <w:szCs w:val="28"/>
        </w:rPr>
      </w:pPr>
      <w:r>
        <w:rPr>
          <w:rFonts w:hint="eastAsia" w:ascii="宋体" w:hAnsi="宋体" w:eastAsia="宋体" w:cs="宋体"/>
          <w:spacing w:val="-7"/>
          <w:sz w:val="28"/>
          <w:szCs w:val="28"/>
        </w:rPr>
        <w:t>①</w:t>
      </w:r>
      <w:r>
        <w:rPr>
          <w:rFonts w:hint="default" w:ascii="Times New Roman" w:hAnsi="Times New Roman" w:cs="Times New Roman"/>
          <w:spacing w:val="-7"/>
          <w:sz w:val="28"/>
          <w:szCs w:val="28"/>
        </w:rPr>
        <w:t>事故原因分析</w:t>
      </w:r>
    </w:p>
    <w:p>
      <w:pPr>
        <w:spacing w:line="500" w:lineRule="exact"/>
        <w:ind w:firstLine="532" w:firstLineChars="200"/>
        <w:jc w:val="both"/>
        <w:rPr>
          <w:rFonts w:hint="default" w:ascii="Times New Roman" w:hAnsi="Times New Roman" w:cs="Times New Roman"/>
          <w:spacing w:val="-7"/>
          <w:sz w:val="28"/>
          <w:szCs w:val="28"/>
        </w:rPr>
      </w:pPr>
      <w:r>
        <w:rPr>
          <w:rFonts w:hint="default" w:ascii="Times New Roman" w:hAnsi="Times New Roman" w:cs="Times New Roman"/>
          <w:spacing w:val="-7"/>
          <w:sz w:val="28"/>
          <w:szCs w:val="28"/>
        </w:rPr>
        <w:t>此次事故是由静电引起的，加油站工作人员给摩托车加油时，由于聚积在身体上的静电未能通过加油枪的手柄和加油管的接地线导走，当加油枪喷嘴靠近油箱口边上的螺栓时，静电顺螺栓和摩托车车体及车支撑流向大地，并在喷嘴和螺栓之间产生静电火花，引燃了加油过程中汽油的挥发气，从而起火。</w:t>
      </w:r>
    </w:p>
    <w:p>
      <w:pPr>
        <w:spacing w:line="500" w:lineRule="exact"/>
        <w:ind w:firstLine="532" w:firstLineChars="200"/>
        <w:jc w:val="both"/>
        <w:rPr>
          <w:rFonts w:hint="default" w:ascii="Times New Roman" w:hAnsi="Times New Roman" w:cs="Times New Roman"/>
          <w:spacing w:val="-7"/>
          <w:sz w:val="28"/>
          <w:szCs w:val="28"/>
        </w:rPr>
      </w:pPr>
      <w:r>
        <w:rPr>
          <w:rFonts w:hint="eastAsia" w:ascii="宋体" w:hAnsi="宋体" w:eastAsia="宋体" w:cs="宋体"/>
          <w:spacing w:val="-7"/>
          <w:sz w:val="28"/>
          <w:szCs w:val="28"/>
        </w:rPr>
        <w:t>②</w:t>
      </w:r>
      <w:r>
        <w:rPr>
          <w:rFonts w:hint="default" w:ascii="Times New Roman" w:hAnsi="Times New Roman" w:cs="Times New Roman"/>
          <w:spacing w:val="-7"/>
          <w:sz w:val="28"/>
          <w:szCs w:val="28"/>
        </w:rPr>
        <w:t>事故防范措施</w:t>
      </w:r>
    </w:p>
    <w:p>
      <w:pPr>
        <w:spacing w:line="500" w:lineRule="exact"/>
        <w:ind w:firstLine="532" w:firstLineChars="200"/>
        <w:jc w:val="both"/>
        <w:rPr>
          <w:rFonts w:hint="default" w:ascii="Times New Roman" w:hAnsi="Times New Roman" w:cs="Times New Roman"/>
          <w:spacing w:val="-7"/>
          <w:sz w:val="28"/>
          <w:szCs w:val="28"/>
        </w:rPr>
      </w:pPr>
      <w:r>
        <w:rPr>
          <w:rFonts w:hint="default" w:ascii="Times New Roman" w:hAnsi="Times New Roman" w:cs="Times New Roman"/>
          <w:spacing w:val="-7"/>
          <w:sz w:val="28"/>
          <w:szCs w:val="28"/>
        </w:rPr>
        <w:t>员工上班时必须穿防静电纯棉制服，不得穿跟带铁钉的鞋；装置设备要接有地线；采用能进行油气回收的加油设备，减少汽油挥发蒸汽；加油前，加油枪应先搭在汽车油箱口，把静电导走后再启动加油泵；加完油后由工作人员将油箱盖盖好，避免司机接触，防止有些司机身上带静电，在油箱口处放电，引燃油箱口汽油蒸气等等。但是也不能认为设备有了接地的装置和纯棉的工作服就完全可以避免静电放电现象，只有将防静电的各项规定和措施真正理解和落实才能作到防微杜渐。</w:t>
      </w:r>
    </w:p>
    <w:p>
      <w:pPr>
        <w:spacing w:line="500" w:lineRule="exact"/>
        <w:ind w:firstLine="532" w:firstLineChars="200"/>
        <w:jc w:val="both"/>
        <w:rPr>
          <w:rFonts w:hint="default" w:ascii="Times New Roman" w:hAnsi="Times New Roman" w:cs="Times New Roman"/>
          <w:spacing w:val="-7"/>
          <w:sz w:val="28"/>
          <w:szCs w:val="28"/>
        </w:rPr>
      </w:pPr>
    </w:p>
    <w:p>
      <w:pPr>
        <w:pStyle w:val="11"/>
        <w:spacing w:line="500" w:lineRule="exact"/>
        <w:ind w:firstLine="532" w:firstLineChars="200"/>
        <w:rPr>
          <w:rFonts w:hint="default" w:ascii="Times New Roman" w:hAnsi="Times New Roman" w:cs="Times New Roman"/>
          <w:spacing w:val="-7"/>
        </w:rPr>
      </w:pPr>
    </w:p>
    <w:p>
      <w:pPr>
        <w:rPr>
          <w:rFonts w:hint="default" w:ascii="Times New Roman" w:hAnsi="Times New Roman" w:cs="Times New Roman"/>
          <w:spacing w:val="-7"/>
        </w:rPr>
      </w:pPr>
      <w:r>
        <w:rPr>
          <w:rFonts w:hint="default" w:ascii="Times New Roman" w:hAnsi="Times New Roman" w:cs="Times New Roman"/>
          <w:spacing w:val="-7"/>
        </w:rPr>
        <w:br w:type="page"/>
      </w:r>
    </w:p>
    <w:p>
      <w:pPr>
        <w:pStyle w:val="3"/>
        <w:spacing w:beforeLines="100" w:afterLines="100"/>
        <w:jc w:val="center"/>
        <w:rPr>
          <w:rFonts w:hint="default" w:ascii="Times New Roman" w:hAnsi="Times New Roman" w:cs="Times New Roman"/>
        </w:rPr>
      </w:pPr>
      <w:bookmarkStart w:id="964" w:name="_Toc20891_WPSOffice_Level1"/>
      <w:bookmarkStart w:id="965" w:name="_Toc18870"/>
      <w:bookmarkStart w:id="966" w:name="_Toc996"/>
      <w:bookmarkStart w:id="967" w:name="_Toc15074"/>
      <w:bookmarkStart w:id="968" w:name="_Toc21876"/>
      <w:bookmarkStart w:id="969" w:name="_Toc19257"/>
      <w:bookmarkStart w:id="970" w:name="_Toc20470"/>
      <w:bookmarkStart w:id="971" w:name="_Toc717"/>
      <w:bookmarkStart w:id="972" w:name="_Toc12552"/>
      <w:bookmarkStart w:id="973" w:name="_Toc31656_WPSOffice_Level1"/>
      <w:bookmarkStart w:id="974" w:name="_Toc10904"/>
      <w:bookmarkStart w:id="975" w:name="_Toc28237"/>
      <w:bookmarkStart w:id="976" w:name="_Toc11005"/>
      <w:bookmarkStart w:id="977" w:name="_Toc13087"/>
      <w:bookmarkStart w:id="978" w:name="_Toc8585"/>
      <w:bookmarkStart w:id="979" w:name="_Toc26392"/>
      <w:bookmarkStart w:id="980" w:name="_Toc30547"/>
      <w:bookmarkStart w:id="981" w:name="_Toc10603_WPSOffice_Level1"/>
      <w:bookmarkStart w:id="982" w:name="_Toc30740"/>
      <w:bookmarkStart w:id="983" w:name="_Toc23548"/>
      <w:bookmarkStart w:id="984" w:name="_Toc11252"/>
      <w:bookmarkStart w:id="985" w:name="_Toc10858"/>
      <w:bookmarkStart w:id="986" w:name="_Toc15861"/>
      <w:bookmarkStart w:id="987" w:name="_Toc31883"/>
      <w:bookmarkStart w:id="988" w:name="_Toc20369"/>
      <w:r>
        <w:rPr>
          <w:rFonts w:hint="eastAsia" w:ascii="Times New Roman" w:hAnsi="Times New Roman" w:cs="Times New Roman"/>
          <w:lang w:val="en-US" w:eastAsia="zh-CN"/>
        </w:rPr>
        <w:t>7</w:t>
      </w:r>
      <w:r>
        <w:rPr>
          <w:rFonts w:hint="default" w:ascii="Times New Roman" w:hAnsi="Times New Roman" w:cs="Times New Roman"/>
          <w:spacing w:val="78"/>
        </w:rPr>
        <w:t xml:space="preserve"> </w:t>
      </w:r>
      <w:bookmarkEnd w:id="964"/>
      <w:bookmarkEnd w:id="965"/>
      <w:bookmarkEnd w:id="966"/>
      <w:bookmarkEnd w:id="967"/>
      <w:bookmarkEnd w:id="968"/>
      <w:bookmarkEnd w:id="969"/>
      <w:bookmarkEnd w:id="970"/>
      <w:bookmarkEnd w:id="971"/>
      <w:bookmarkEnd w:id="972"/>
      <w:bookmarkEnd w:id="973"/>
      <w:bookmarkEnd w:id="974"/>
      <w:bookmarkEnd w:id="975"/>
      <w:bookmarkEnd w:id="976"/>
      <w:bookmarkEnd w:id="977"/>
      <w:bookmarkEnd w:id="978"/>
      <w:bookmarkEnd w:id="979"/>
      <w:bookmarkEnd w:id="980"/>
      <w:bookmarkEnd w:id="981"/>
      <w:bookmarkEnd w:id="982"/>
      <w:bookmarkEnd w:id="983"/>
      <w:bookmarkEnd w:id="984"/>
      <w:bookmarkEnd w:id="985"/>
      <w:r>
        <w:rPr>
          <w:rFonts w:hint="default" w:ascii="Times New Roman" w:hAnsi="Times New Roman" w:cs="Times New Roman"/>
        </w:rPr>
        <w:t>建议与</w:t>
      </w:r>
      <w:r>
        <w:rPr>
          <w:rFonts w:hint="eastAsia" w:ascii="Times New Roman" w:hAnsi="Times New Roman" w:cs="Times New Roman"/>
          <w:lang w:eastAsia="zh-CN"/>
        </w:rPr>
        <w:t>对策措施</w:t>
      </w:r>
      <w:bookmarkEnd w:id="986"/>
      <w:bookmarkEnd w:id="987"/>
      <w:bookmarkEnd w:id="988"/>
    </w:p>
    <w:p>
      <w:pPr>
        <w:spacing w:beforeLines="100" w:afterLines="100"/>
        <w:jc w:val="center"/>
        <w:outlineLvl w:val="1"/>
        <w:rPr>
          <w:rFonts w:hint="default" w:ascii="Times New Roman" w:hAnsi="Times New Roman" w:cs="Times New Roman"/>
          <w:b/>
          <w:sz w:val="32"/>
          <w:szCs w:val="32"/>
        </w:rPr>
      </w:pPr>
      <w:bookmarkStart w:id="989" w:name="_Toc28647"/>
      <w:bookmarkStart w:id="990" w:name="_Toc27990"/>
      <w:bookmarkStart w:id="991" w:name="_Toc16112"/>
      <w:bookmarkStart w:id="992" w:name="_Toc31359"/>
      <w:bookmarkStart w:id="993" w:name="_Toc12557"/>
      <w:bookmarkStart w:id="994" w:name="_Toc27649"/>
      <w:bookmarkStart w:id="995" w:name="_Toc21389"/>
      <w:bookmarkStart w:id="996" w:name="_Toc28462"/>
      <w:bookmarkStart w:id="997" w:name="_Toc4866"/>
      <w:bookmarkStart w:id="998" w:name="_Toc19276_WPSOffice_Level2"/>
      <w:bookmarkStart w:id="999" w:name="_Toc529176509"/>
      <w:bookmarkStart w:id="1000" w:name="_Toc26383"/>
      <w:bookmarkStart w:id="1001" w:name="_Toc24014"/>
      <w:bookmarkStart w:id="1002" w:name="_Toc17452"/>
      <w:bookmarkStart w:id="1003" w:name="_Toc19423"/>
      <w:bookmarkStart w:id="1004" w:name="_Toc7682_WPSOffice_Level2"/>
      <w:bookmarkStart w:id="1005" w:name="_Toc24269"/>
      <w:bookmarkStart w:id="1006" w:name="_Toc15932"/>
      <w:bookmarkStart w:id="1007" w:name="_Toc32168_WPSOffice_Level2"/>
      <w:bookmarkStart w:id="1008" w:name="_Toc3793"/>
      <w:bookmarkStart w:id="1009" w:name="_Toc24791"/>
      <w:bookmarkStart w:id="1010" w:name="_Toc5065"/>
      <w:bookmarkStart w:id="1011" w:name="_Toc30619"/>
      <w:bookmarkStart w:id="1012" w:name="_Toc5753"/>
      <w:bookmarkStart w:id="1013" w:name="_Toc3039"/>
      <w:bookmarkStart w:id="1014" w:name="_Toc4924"/>
      <w:r>
        <w:rPr>
          <w:rFonts w:hint="eastAsia" w:ascii="Times New Roman" w:hAnsi="Times New Roman" w:cs="Times New Roman"/>
          <w:b/>
          <w:sz w:val="32"/>
          <w:szCs w:val="32"/>
          <w:lang w:val="en-US" w:eastAsia="zh-CN"/>
        </w:rPr>
        <w:t>7</w:t>
      </w:r>
      <w:r>
        <w:rPr>
          <w:rFonts w:hint="default" w:ascii="Times New Roman" w:hAnsi="Times New Roman" w:cs="Times New Roman"/>
          <w:b/>
          <w:sz w:val="32"/>
          <w:szCs w:val="32"/>
        </w:rPr>
        <w:t>.</w:t>
      </w:r>
      <w:r>
        <w:rPr>
          <w:rFonts w:hint="default" w:ascii="Times New Roman" w:hAnsi="Times New Roman" w:cs="Times New Roman"/>
          <w:b/>
          <w:sz w:val="32"/>
          <w:szCs w:val="32"/>
          <w:lang w:val="en-US"/>
        </w:rPr>
        <w:t xml:space="preserve">1 </w:t>
      </w:r>
      <w:bookmarkEnd w:id="989"/>
      <w:bookmarkEnd w:id="990"/>
      <w:bookmarkEnd w:id="991"/>
      <w:bookmarkEnd w:id="992"/>
      <w:bookmarkEnd w:id="993"/>
      <w:bookmarkEnd w:id="994"/>
      <w:bookmarkEnd w:id="995"/>
      <w:bookmarkEnd w:id="996"/>
      <w:bookmarkEnd w:id="997"/>
      <w:bookmarkEnd w:id="998"/>
      <w:bookmarkEnd w:id="999"/>
      <w:bookmarkEnd w:id="1000"/>
      <w:bookmarkEnd w:id="1001"/>
      <w:bookmarkEnd w:id="1002"/>
      <w:bookmarkEnd w:id="1003"/>
      <w:bookmarkEnd w:id="1004"/>
      <w:bookmarkEnd w:id="1005"/>
      <w:bookmarkEnd w:id="1006"/>
      <w:bookmarkEnd w:id="1007"/>
      <w:bookmarkEnd w:id="1008"/>
      <w:bookmarkEnd w:id="1009"/>
      <w:bookmarkEnd w:id="1010"/>
      <w:bookmarkEnd w:id="1011"/>
      <w:r>
        <w:rPr>
          <w:rFonts w:hint="default" w:ascii="Times New Roman" w:hAnsi="Times New Roman" w:cs="Times New Roman"/>
          <w:b/>
          <w:sz w:val="32"/>
          <w:szCs w:val="32"/>
        </w:rPr>
        <w:t>建设项目建议</w:t>
      </w:r>
      <w:bookmarkEnd w:id="1012"/>
      <w:bookmarkEnd w:id="1013"/>
      <w:bookmarkEnd w:id="1014"/>
    </w:p>
    <w:p>
      <w:pPr>
        <w:pStyle w:val="26"/>
        <w:widowControl w:val="0"/>
        <w:overflowPunct w:val="0"/>
        <w:spacing w:before="0" w:beforeLines="0" w:beforeAutospacing="0" w:after="0" w:afterLines="0" w:afterAutospacing="0" w:line="360" w:lineRule="auto"/>
        <w:ind w:firstLine="560" w:firstLineChars="200"/>
        <w:jc w:val="both"/>
        <w:rPr>
          <w:rFonts w:cs="宋体"/>
          <w:sz w:val="28"/>
        </w:rPr>
      </w:pPr>
      <w:r>
        <w:rPr>
          <w:rFonts w:cs="宋体"/>
          <w:sz w:val="28"/>
        </w:rPr>
        <w:t>根据国、内外同类危险化学品生产或者储存装置（设施）持续改进的情况和企业管理模式和趋势，以及国家有关安全生产法律、法规和部门规章及标准的发展趋势及要求，从以下几方面提出相关对策及建议：</w:t>
      </w:r>
    </w:p>
    <w:p>
      <w:pPr>
        <w:pStyle w:val="26"/>
        <w:widowControl w:val="0"/>
        <w:overflowPunct w:val="0"/>
        <w:spacing w:before="0" w:beforeLines="0" w:beforeAutospacing="0" w:after="0" w:afterLines="0" w:afterAutospacing="0" w:line="360" w:lineRule="auto"/>
        <w:ind w:firstLine="562" w:firstLineChars="200"/>
        <w:jc w:val="both"/>
        <w:rPr>
          <w:rFonts w:cs="宋体"/>
          <w:b/>
          <w:sz w:val="28"/>
        </w:rPr>
      </w:pPr>
      <w:r>
        <w:rPr>
          <w:rFonts w:cs="宋体"/>
          <w:b/>
          <w:bCs/>
          <w:sz w:val="28"/>
        </w:rPr>
        <w:t>（1）</w:t>
      </w:r>
      <w:r>
        <w:rPr>
          <w:rFonts w:cs="宋体"/>
          <w:b/>
          <w:sz w:val="28"/>
        </w:rPr>
        <w:t>安全条件和安全生产条件的完善与维护</w:t>
      </w:r>
    </w:p>
    <w:p>
      <w:pPr>
        <w:spacing w:line="360" w:lineRule="auto"/>
        <w:ind w:firstLine="560" w:firstLineChars="200"/>
        <w:rPr>
          <w:rFonts w:hint="eastAsia" w:ascii="宋体" w:hAnsi="宋体" w:cs="宋体"/>
          <w:sz w:val="28"/>
          <w:szCs w:val="28"/>
        </w:rPr>
      </w:pPr>
      <w:r>
        <w:rPr>
          <w:rFonts w:hint="eastAsia" w:ascii="宋体" w:hAnsi="宋体" w:cs="宋体"/>
          <w:sz w:val="28"/>
          <w:szCs w:val="28"/>
        </w:rPr>
        <w:t>为了完善与维护安全条件和安全生产条件，应加强主要负责人和操作人员安全培训；其他从业人员定期进行内部安全培训。具备危险化学品经营单位人员素质要求。强化全员的安全意识。</w:t>
      </w:r>
    </w:p>
    <w:p>
      <w:pPr>
        <w:pStyle w:val="26"/>
        <w:widowControl w:val="0"/>
        <w:overflowPunct w:val="0"/>
        <w:spacing w:before="0" w:beforeLines="0" w:beforeAutospacing="0" w:after="0" w:afterLines="0" w:afterAutospacing="0" w:line="360" w:lineRule="auto"/>
        <w:ind w:firstLine="562" w:firstLineChars="200"/>
        <w:jc w:val="both"/>
        <w:rPr>
          <w:rFonts w:cs="宋体"/>
          <w:b/>
          <w:sz w:val="28"/>
        </w:rPr>
      </w:pPr>
      <w:r>
        <w:rPr>
          <w:rFonts w:cs="宋体"/>
          <w:b/>
          <w:bCs/>
          <w:sz w:val="28"/>
        </w:rPr>
        <w:t>（2）主</w:t>
      </w:r>
      <w:r>
        <w:rPr>
          <w:rFonts w:cs="宋体"/>
          <w:b/>
          <w:sz w:val="28"/>
        </w:rPr>
        <w:t>要装置、设备（设施）和特种设备的维护与保养</w:t>
      </w:r>
    </w:p>
    <w:p>
      <w:pPr>
        <w:pStyle w:val="26"/>
        <w:widowControl w:val="0"/>
        <w:overflowPunct w:val="0"/>
        <w:spacing w:before="0" w:beforeLines="0" w:beforeAutospacing="0" w:after="0" w:afterLines="0" w:afterAutospacing="0" w:line="360" w:lineRule="auto"/>
        <w:ind w:firstLine="560" w:firstLineChars="200"/>
        <w:jc w:val="both"/>
        <w:rPr>
          <w:rFonts w:cs="宋体"/>
          <w:sz w:val="28"/>
        </w:rPr>
      </w:pPr>
      <w:r>
        <w:rPr>
          <w:rFonts w:cs="宋体"/>
          <w:sz w:val="28"/>
        </w:rPr>
        <w:fldChar w:fldCharType="begin"/>
      </w:r>
      <w:r>
        <w:rPr>
          <w:rFonts w:cs="宋体"/>
          <w:sz w:val="28"/>
        </w:rPr>
        <w:instrText xml:space="preserve"> eq \o\ac(○,</w:instrText>
      </w:r>
      <w:r>
        <w:rPr>
          <w:rFonts w:cs="宋体"/>
          <w:position w:val="3"/>
          <w:sz w:val="19"/>
        </w:rPr>
        <w:instrText xml:space="preserve">1</w:instrText>
      </w:r>
      <w:r>
        <w:rPr>
          <w:rFonts w:cs="宋体"/>
          <w:sz w:val="28"/>
        </w:rPr>
        <w:instrText xml:space="preserve">)</w:instrText>
      </w:r>
      <w:r>
        <w:rPr>
          <w:rFonts w:cs="宋体"/>
          <w:sz w:val="28"/>
        </w:rPr>
        <w:fldChar w:fldCharType="end"/>
      </w:r>
      <w:r>
        <w:rPr>
          <w:rFonts w:cs="宋体"/>
          <w:sz w:val="28"/>
        </w:rPr>
        <w:t>灭火器要求设置在明显和便于取用的地点，手提式灭火器托架安装，其顶部离地面应小于1.5m，底部离地面不小于0.15m。</w:t>
      </w:r>
    </w:p>
    <w:p>
      <w:pPr>
        <w:pStyle w:val="26"/>
        <w:widowControl w:val="0"/>
        <w:overflowPunct w:val="0"/>
        <w:spacing w:before="0" w:beforeLines="0" w:beforeAutospacing="0" w:after="0" w:afterLines="0" w:afterAutospacing="0" w:line="360" w:lineRule="auto"/>
        <w:ind w:firstLine="560" w:firstLineChars="200"/>
        <w:jc w:val="both"/>
        <w:rPr>
          <w:rFonts w:cs="宋体"/>
          <w:sz w:val="28"/>
        </w:rPr>
      </w:pPr>
      <w:r>
        <w:rPr>
          <w:rFonts w:cs="宋体"/>
          <w:sz w:val="28"/>
        </w:rPr>
        <w:fldChar w:fldCharType="begin"/>
      </w:r>
      <w:r>
        <w:rPr>
          <w:rFonts w:cs="宋体"/>
          <w:sz w:val="28"/>
        </w:rPr>
        <w:instrText xml:space="preserve"> eq \o\ac(○,</w:instrText>
      </w:r>
      <w:r>
        <w:rPr>
          <w:rFonts w:cs="宋体"/>
          <w:position w:val="3"/>
          <w:sz w:val="19"/>
        </w:rPr>
        <w:instrText xml:space="preserve">2</w:instrText>
      </w:r>
      <w:r>
        <w:rPr>
          <w:rFonts w:cs="宋体"/>
          <w:sz w:val="28"/>
        </w:rPr>
        <w:instrText xml:space="preserve">)</w:instrText>
      </w:r>
      <w:r>
        <w:rPr>
          <w:rFonts w:cs="宋体"/>
          <w:sz w:val="28"/>
        </w:rPr>
        <w:fldChar w:fldCharType="end"/>
      </w:r>
      <w:r>
        <w:rPr>
          <w:rFonts w:cs="宋体"/>
          <w:sz w:val="28"/>
        </w:rPr>
        <w:t>加强对消防器材的日常维护、保养，确保其处于正常使用状态。</w:t>
      </w:r>
    </w:p>
    <w:p>
      <w:pPr>
        <w:pStyle w:val="26"/>
        <w:widowControl w:val="0"/>
        <w:overflowPunct w:val="0"/>
        <w:spacing w:before="0" w:beforeLines="0" w:beforeAutospacing="0" w:after="0" w:afterLines="0" w:afterAutospacing="0" w:line="360" w:lineRule="auto"/>
        <w:ind w:firstLine="560" w:firstLineChars="200"/>
        <w:jc w:val="both"/>
        <w:rPr>
          <w:rFonts w:cs="宋体"/>
          <w:sz w:val="28"/>
        </w:rPr>
      </w:pPr>
      <w:r>
        <w:rPr>
          <w:rFonts w:cs="宋体"/>
          <w:sz w:val="28"/>
        </w:rPr>
        <w:fldChar w:fldCharType="begin"/>
      </w:r>
      <w:r>
        <w:rPr>
          <w:rFonts w:cs="宋体"/>
          <w:sz w:val="28"/>
        </w:rPr>
        <w:instrText xml:space="preserve"> eq \o\ac(○,</w:instrText>
      </w:r>
      <w:r>
        <w:rPr>
          <w:rFonts w:cs="宋体"/>
          <w:position w:val="3"/>
          <w:sz w:val="19"/>
        </w:rPr>
        <w:instrText xml:space="preserve">3</w:instrText>
      </w:r>
      <w:r>
        <w:rPr>
          <w:rFonts w:cs="宋体"/>
          <w:sz w:val="28"/>
        </w:rPr>
        <w:instrText xml:space="preserve">)</w:instrText>
      </w:r>
      <w:r>
        <w:rPr>
          <w:rFonts w:cs="宋体"/>
          <w:sz w:val="28"/>
        </w:rPr>
        <w:fldChar w:fldCharType="end"/>
      </w:r>
      <w:r>
        <w:rPr>
          <w:rFonts w:cs="宋体"/>
          <w:sz w:val="28"/>
        </w:rPr>
        <w:t>埋地罐区、加油</w:t>
      </w:r>
      <w:r>
        <w:rPr>
          <w:rFonts w:hint="eastAsia" w:cs="宋体"/>
          <w:sz w:val="28"/>
          <w:lang w:eastAsia="zh-CN"/>
        </w:rPr>
        <w:t>亭</w:t>
      </w:r>
      <w:r>
        <w:rPr>
          <w:rFonts w:cs="宋体"/>
          <w:sz w:val="28"/>
        </w:rPr>
        <w:t>为第二类防雷建筑物，需设置避雷设施，应定期聘请有资质单位进行防雷检测。</w:t>
      </w:r>
    </w:p>
    <w:p>
      <w:pPr>
        <w:pStyle w:val="26"/>
        <w:widowControl w:val="0"/>
        <w:overflowPunct w:val="0"/>
        <w:spacing w:before="0" w:beforeLines="0" w:beforeAutospacing="0" w:after="0" w:afterLines="0" w:afterAutospacing="0" w:line="360" w:lineRule="auto"/>
        <w:ind w:firstLine="562" w:firstLineChars="200"/>
        <w:jc w:val="both"/>
        <w:rPr>
          <w:rFonts w:cs="宋体"/>
          <w:b/>
          <w:sz w:val="28"/>
        </w:rPr>
      </w:pPr>
      <w:r>
        <w:rPr>
          <w:rFonts w:cs="宋体"/>
          <w:b/>
          <w:bCs/>
          <w:sz w:val="28"/>
        </w:rPr>
        <w:t>（3）安</w:t>
      </w:r>
      <w:r>
        <w:rPr>
          <w:rFonts w:cs="宋体"/>
          <w:b/>
          <w:sz w:val="28"/>
        </w:rPr>
        <w:t>全生产投入</w:t>
      </w:r>
    </w:p>
    <w:p>
      <w:pPr>
        <w:pStyle w:val="26"/>
        <w:widowControl w:val="0"/>
        <w:overflowPunct w:val="0"/>
        <w:spacing w:before="0" w:beforeLines="0" w:beforeAutospacing="0" w:after="0" w:afterLines="0" w:afterAutospacing="0" w:line="360" w:lineRule="auto"/>
        <w:ind w:firstLine="560" w:firstLineChars="200"/>
        <w:jc w:val="both"/>
        <w:rPr>
          <w:rFonts w:cs="宋体"/>
          <w:sz w:val="28"/>
        </w:rPr>
      </w:pPr>
      <w:r>
        <w:rPr>
          <w:rFonts w:cs="宋体"/>
          <w:sz w:val="28"/>
        </w:rPr>
        <w:fldChar w:fldCharType="begin"/>
      </w:r>
      <w:r>
        <w:rPr>
          <w:rFonts w:cs="宋体"/>
          <w:sz w:val="28"/>
        </w:rPr>
        <w:instrText xml:space="preserve"> eq \o\ac(○,</w:instrText>
      </w:r>
      <w:r>
        <w:rPr>
          <w:rFonts w:cs="宋体"/>
          <w:position w:val="3"/>
          <w:sz w:val="19"/>
        </w:rPr>
        <w:instrText xml:space="preserve">1</w:instrText>
      </w:r>
      <w:r>
        <w:rPr>
          <w:rFonts w:cs="宋体"/>
          <w:sz w:val="28"/>
        </w:rPr>
        <w:instrText xml:space="preserve">)</w:instrText>
      </w:r>
      <w:r>
        <w:rPr>
          <w:rFonts w:cs="宋体"/>
          <w:sz w:val="28"/>
        </w:rPr>
        <w:fldChar w:fldCharType="end"/>
      </w:r>
      <w:r>
        <w:rPr>
          <w:rFonts w:cs="宋体"/>
          <w:sz w:val="28"/>
        </w:rPr>
        <w:t>根据实际情况，向员工发放劳保用品，确保员工能在舒适、安全的环境下工作。</w:t>
      </w:r>
    </w:p>
    <w:p>
      <w:pPr>
        <w:pStyle w:val="26"/>
        <w:widowControl w:val="0"/>
        <w:overflowPunct w:val="0"/>
        <w:spacing w:before="0" w:beforeLines="0" w:beforeAutospacing="0" w:after="0" w:afterLines="0" w:afterAutospacing="0" w:line="360" w:lineRule="auto"/>
        <w:ind w:firstLine="560" w:firstLineChars="200"/>
        <w:jc w:val="both"/>
        <w:rPr>
          <w:rFonts w:cs="宋体"/>
          <w:b/>
          <w:sz w:val="28"/>
        </w:rPr>
      </w:pPr>
      <w:r>
        <w:rPr>
          <w:rFonts w:cs="宋体"/>
          <w:sz w:val="28"/>
        </w:rPr>
        <w:fldChar w:fldCharType="begin"/>
      </w:r>
      <w:r>
        <w:rPr>
          <w:rFonts w:cs="宋体"/>
          <w:sz w:val="28"/>
        </w:rPr>
        <w:instrText xml:space="preserve"> eq \o\ac(○,</w:instrText>
      </w:r>
      <w:r>
        <w:rPr>
          <w:rFonts w:cs="宋体"/>
          <w:position w:val="3"/>
          <w:sz w:val="19"/>
        </w:rPr>
        <w:instrText xml:space="preserve">2</w:instrText>
      </w:r>
      <w:r>
        <w:rPr>
          <w:rFonts w:cs="宋体"/>
          <w:sz w:val="28"/>
        </w:rPr>
        <w:instrText xml:space="preserve">)</w:instrText>
      </w:r>
      <w:r>
        <w:rPr>
          <w:rFonts w:cs="宋体"/>
          <w:sz w:val="28"/>
        </w:rPr>
        <w:fldChar w:fldCharType="end"/>
      </w:r>
      <w:r>
        <w:rPr>
          <w:rFonts w:cs="宋体"/>
          <w:sz w:val="28"/>
        </w:rPr>
        <w:t>现场操作人员穿戴防静电工作服、鞋和手套，配戴防护口罩。</w:t>
      </w:r>
    </w:p>
    <w:p>
      <w:pPr>
        <w:pStyle w:val="26"/>
        <w:widowControl w:val="0"/>
        <w:overflowPunct w:val="0"/>
        <w:spacing w:before="0" w:beforeLines="0" w:beforeAutospacing="0" w:after="0" w:afterLines="0" w:afterAutospacing="0" w:line="360" w:lineRule="auto"/>
        <w:ind w:firstLine="560" w:firstLineChars="200"/>
        <w:jc w:val="both"/>
        <w:rPr>
          <w:rFonts w:cs="宋体"/>
          <w:b/>
          <w:sz w:val="28"/>
        </w:rPr>
      </w:pPr>
      <w:r>
        <w:rPr>
          <w:rFonts w:cs="宋体"/>
          <w:sz w:val="28"/>
        </w:rPr>
        <w:fldChar w:fldCharType="begin"/>
      </w:r>
      <w:r>
        <w:rPr>
          <w:rFonts w:cs="宋体"/>
          <w:sz w:val="28"/>
        </w:rPr>
        <w:instrText xml:space="preserve"> eq \o\ac(○,</w:instrText>
      </w:r>
      <w:r>
        <w:rPr>
          <w:rFonts w:cs="宋体"/>
          <w:position w:val="3"/>
          <w:sz w:val="19"/>
        </w:rPr>
        <w:instrText xml:space="preserve">3</w:instrText>
      </w:r>
      <w:r>
        <w:rPr>
          <w:rFonts w:cs="宋体"/>
          <w:sz w:val="28"/>
        </w:rPr>
        <w:instrText xml:space="preserve">)</w:instrText>
      </w:r>
      <w:r>
        <w:rPr>
          <w:rFonts w:cs="宋体"/>
          <w:sz w:val="28"/>
        </w:rPr>
        <w:fldChar w:fldCharType="end"/>
      </w:r>
      <w:r>
        <w:rPr>
          <w:rFonts w:cs="宋体"/>
          <w:sz w:val="28"/>
        </w:rPr>
        <w:t>根据夏季高温的气候特点，应发放清凉饮料，设置局部送风装置或空调，改善作业环境。</w:t>
      </w:r>
    </w:p>
    <w:p>
      <w:pPr>
        <w:pStyle w:val="26"/>
        <w:widowControl w:val="0"/>
        <w:overflowPunct w:val="0"/>
        <w:spacing w:before="0" w:beforeLines="0" w:beforeAutospacing="0" w:after="0" w:afterLines="0" w:afterAutospacing="0" w:line="360" w:lineRule="auto"/>
        <w:ind w:firstLine="560" w:firstLineChars="200"/>
        <w:jc w:val="both"/>
        <w:rPr>
          <w:rFonts w:cs="宋体"/>
          <w:b/>
          <w:sz w:val="28"/>
        </w:rPr>
      </w:pPr>
      <w:r>
        <w:rPr>
          <w:rFonts w:cs="宋体"/>
          <w:sz w:val="28"/>
        </w:rPr>
        <w:fldChar w:fldCharType="begin"/>
      </w:r>
      <w:r>
        <w:rPr>
          <w:rFonts w:cs="宋体"/>
          <w:sz w:val="28"/>
        </w:rPr>
        <w:instrText xml:space="preserve"> eq \o\ac(○,</w:instrText>
      </w:r>
      <w:r>
        <w:rPr>
          <w:rFonts w:cs="宋体"/>
          <w:position w:val="3"/>
          <w:sz w:val="19"/>
        </w:rPr>
        <w:instrText xml:space="preserve">4</w:instrText>
      </w:r>
      <w:r>
        <w:rPr>
          <w:rFonts w:cs="宋体"/>
          <w:sz w:val="28"/>
        </w:rPr>
        <w:instrText xml:space="preserve">)</w:instrText>
      </w:r>
      <w:r>
        <w:rPr>
          <w:rFonts w:cs="宋体"/>
          <w:sz w:val="28"/>
        </w:rPr>
        <w:fldChar w:fldCharType="end"/>
      </w:r>
      <w:r>
        <w:rPr>
          <w:rFonts w:cs="宋体"/>
          <w:sz w:val="28"/>
        </w:rPr>
        <w:t>为了提高人员的安全思想，定期不定期对员工进行安全教育。</w:t>
      </w:r>
    </w:p>
    <w:p>
      <w:pPr>
        <w:pStyle w:val="26"/>
        <w:widowControl w:val="0"/>
        <w:overflowPunct w:val="0"/>
        <w:spacing w:before="0" w:beforeLines="0" w:beforeAutospacing="0" w:after="0" w:afterLines="0" w:afterAutospacing="0" w:line="360" w:lineRule="auto"/>
        <w:ind w:firstLine="560" w:firstLineChars="200"/>
        <w:jc w:val="both"/>
        <w:rPr>
          <w:rFonts w:cs="宋体"/>
          <w:sz w:val="28"/>
        </w:rPr>
      </w:pPr>
      <w:r>
        <w:rPr>
          <w:rFonts w:cs="宋体"/>
          <w:sz w:val="28"/>
        </w:rPr>
        <w:fldChar w:fldCharType="begin"/>
      </w:r>
      <w:r>
        <w:rPr>
          <w:rFonts w:cs="宋体"/>
          <w:sz w:val="28"/>
        </w:rPr>
        <w:instrText xml:space="preserve"> eq \o\ac(○,</w:instrText>
      </w:r>
      <w:r>
        <w:rPr>
          <w:rFonts w:cs="宋体"/>
          <w:position w:val="3"/>
          <w:sz w:val="19"/>
        </w:rPr>
        <w:instrText xml:space="preserve">5</w:instrText>
      </w:r>
      <w:r>
        <w:rPr>
          <w:rFonts w:cs="宋体"/>
          <w:sz w:val="28"/>
        </w:rPr>
        <w:instrText xml:space="preserve">)</w:instrText>
      </w:r>
      <w:r>
        <w:rPr>
          <w:rFonts w:cs="宋体"/>
          <w:sz w:val="28"/>
        </w:rPr>
        <w:fldChar w:fldCharType="end"/>
      </w:r>
      <w:r>
        <w:rPr>
          <w:rFonts w:cs="宋体"/>
          <w:sz w:val="28"/>
        </w:rPr>
        <w:t>根据有关规定，按销售收入比例提取安全投入经费。</w:t>
      </w:r>
    </w:p>
    <w:p>
      <w:pPr>
        <w:pStyle w:val="26"/>
        <w:widowControl w:val="0"/>
        <w:overflowPunct w:val="0"/>
        <w:spacing w:before="0" w:beforeLines="0" w:beforeAutospacing="0" w:after="0" w:afterLines="0" w:afterAutospacing="0" w:line="360" w:lineRule="auto"/>
        <w:ind w:firstLine="562" w:firstLineChars="200"/>
        <w:jc w:val="both"/>
        <w:rPr>
          <w:rFonts w:cs="宋体"/>
          <w:b/>
          <w:sz w:val="28"/>
          <w:lang w:val="zh-CN"/>
        </w:rPr>
      </w:pPr>
      <w:r>
        <w:rPr>
          <w:rFonts w:cs="宋体"/>
          <w:b/>
          <w:bCs/>
          <w:sz w:val="28"/>
        </w:rPr>
        <w:t>（4）</w:t>
      </w:r>
      <w:r>
        <w:rPr>
          <w:rFonts w:cs="宋体"/>
          <w:b/>
          <w:bCs/>
          <w:sz w:val="28"/>
          <w:lang w:val="zh-CN"/>
        </w:rPr>
        <w:t>常</w:t>
      </w:r>
      <w:r>
        <w:rPr>
          <w:rFonts w:cs="宋体"/>
          <w:b/>
          <w:sz w:val="28"/>
          <w:lang w:val="zh-CN"/>
        </w:rPr>
        <w:t>规防护设施与措施</w:t>
      </w:r>
    </w:p>
    <w:p>
      <w:pPr>
        <w:spacing w:line="360" w:lineRule="auto"/>
        <w:ind w:firstLine="539"/>
        <w:rPr>
          <w:rFonts w:hint="eastAsia" w:ascii="宋体" w:hAnsi="宋体" w:cs="宋体"/>
          <w:sz w:val="28"/>
        </w:rPr>
      </w:pPr>
      <w:r>
        <w:rPr>
          <w:rFonts w:hint="eastAsia" w:ascii="宋体" w:hAnsi="宋体" w:cs="宋体"/>
          <w:sz w:val="28"/>
        </w:rPr>
        <w:t>站内道路按规定设置“减速慢行”、“限速”等警示牌；</w:t>
      </w:r>
    </w:p>
    <w:p>
      <w:pPr>
        <w:spacing w:line="360" w:lineRule="auto"/>
        <w:ind w:firstLine="539"/>
        <w:rPr>
          <w:rFonts w:hint="eastAsia" w:ascii="宋体" w:hAnsi="宋体" w:cs="宋体"/>
          <w:sz w:val="28"/>
        </w:rPr>
      </w:pPr>
      <w:r>
        <w:rPr>
          <w:rFonts w:hint="eastAsia" w:ascii="宋体" w:hAnsi="宋体" w:cs="宋体"/>
          <w:sz w:val="28"/>
        </w:rPr>
        <w:t>在加油区、罐区等易燃易爆场所设有“严禁烟火”、“注意安全”、“进站熄火”等警示牌；</w:t>
      </w:r>
    </w:p>
    <w:p>
      <w:pPr>
        <w:spacing w:line="360" w:lineRule="auto"/>
        <w:ind w:firstLine="539"/>
        <w:rPr>
          <w:rFonts w:hint="eastAsia" w:ascii="宋体" w:hAnsi="宋体" w:cs="宋体"/>
          <w:sz w:val="28"/>
        </w:rPr>
      </w:pPr>
      <w:r>
        <w:rPr>
          <w:rFonts w:hint="eastAsia" w:ascii="宋体" w:hAnsi="宋体" w:cs="宋体"/>
          <w:sz w:val="28"/>
        </w:rPr>
        <w:t>在可能发生触电事故的配电室设置“小心触电”警示牌。</w:t>
      </w:r>
    </w:p>
    <w:p>
      <w:pPr>
        <w:pStyle w:val="26"/>
        <w:widowControl w:val="0"/>
        <w:overflowPunct w:val="0"/>
        <w:spacing w:before="0" w:beforeLines="0" w:beforeAutospacing="0" w:after="0" w:afterLines="0" w:afterAutospacing="0" w:line="360" w:lineRule="auto"/>
        <w:ind w:firstLine="562" w:firstLineChars="200"/>
        <w:jc w:val="both"/>
        <w:rPr>
          <w:rFonts w:cs="宋体"/>
          <w:b/>
          <w:sz w:val="28"/>
          <w:lang w:val="zh-CN"/>
        </w:rPr>
      </w:pPr>
      <w:r>
        <w:rPr>
          <w:rFonts w:cs="宋体"/>
          <w:b/>
          <w:bCs/>
          <w:sz w:val="28"/>
        </w:rPr>
        <w:t>（</w:t>
      </w:r>
      <w:r>
        <w:rPr>
          <w:rFonts w:hint="eastAsia" w:cs="宋体"/>
          <w:b/>
          <w:bCs/>
          <w:sz w:val="28"/>
          <w:lang w:val="en-US" w:eastAsia="zh-CN"/>
        </w:rPr>
        <w:t>5</w:t>
      </w:r>
      <w:r>
        <w:rPr>
          <w:rFonts w:cs="宋体"/>
          <w:b/>
          <w:bCs/>
          <w:sz w:val="28"/>
        </w:rPr>
        <w:t>）</w:t>
      </w:r>
      <w:r>
        <w:rPr>
          <w:rFonts w:hint="eastAsia" w:cs="宋体"/>
          <w:b/>
          <w:sz w:val="28"/>
          <w:lang w:val="zh-CN"/>
        </w:rPr>
        <w:t>卸油安全对策措施</w:t>
      </w:r>
    </w:p>
    <w:p>
      <w:pPr>
        <w:spacing w:line="360" w:lineRule="auto"/>
        <w:ind w:firstLine="539"/>
        <w:rPr>
          <w:rFonts w:hint="eastAsia" w:ascii="宋体" w:hAnsi="宋体" w:cs="宋体"/>
          <w:sz w:val="28"/>
        </w:rPr>
      </w:pPr>
      <w:r>
        <w:rPr>
          <w:rFonts w:hint="eastAsia" w:ascii="宋体" w:hAnsi="宋体" w:cs="宋体"/>
          <w:sz w:val="28"/>
          <w:lang w:eastAsia="zh-CN"/>
        </w:rPr>
        <w:t>①</w:t>
      </w:r>
      <w:r>
        <w:rPr>
          <w:rFonts w:hint="eastAsia" w:ascii="宋体" w:hAnsi="宋体" w:cs="宋体"/>
          <w:sz w:val="28"/>
        </w:rPr>
        <w:t>油罐车进站后，立即检查其安全设施，如灭火器 材、排气口防火帽等是否齐全有效。</w:t>
      </w:r>
    </w:p>
    <w:p>
      <w:pPr>
        <w:spacing w:line="360" w:lineRule="auto"/>
        <w:ind w:firstLine="539"/>
        <w:rPr>
          <w:rFonts w:hint="eastAsia" w:ascii="宋体" w:hAnsi="宋体" w:cs="宋体"/>
          <w:sz w:val="28"/>
        </w:rPr>
      </w:pPr>
      <w:r>
        <w:rPr>
          <w:rFonts w:hint="eastAsia" w:ascii="宋体" w:hAnsi="宋体" w:cs="宋体"/>
          <w:sz w:val="28"/>
          <w:lang w:eastAsia="zh-CN"/>
        </w:rPr>
        <w:t>②</w:t>
      </w:r>
      <w:r>
        <w:rPr>
          <w:rFonts w:hint="eastAsia" w:ascii="宋体" w:hAnsi="宋体" w:cs="宋体"/>
          <w:sz w:val="28"/>
        </w:rPr>
        <w:t xml:space="preserve"> 连接好静电接地线，接地夹连接罐车金属部位，其位置须离卸油口1.5m以上；在卸油地按规定备好消防器材；罐车须经静置15min后方可计量接卸。</w:t>
      </w:r>
    </w:p>
    <w:p>
      <w:pPr>
        <w:spacing w:line="360" w:lineRule="auto"/>
        <w:ind w:firstLine="539"/>
        <w:rPr>
          <w:rFonts w:hint="eastAsia" w:ascii="宋体" w:hAnsi="宋体" w:cs="宋体"/>
          <w:sz w:val="28"/>
        </w:rPr>
      </w:pPr>
      <w:r>
        <w:rPr>
          <w:rFonts w:hint="eastAsia" w:ascii="宋体" w:hAnsi="宋体" w:cs="宋体"/>
          <w:sz w:val="28"/>
          <w:lang w:eastAsia="zh-CN"/>
        </w:rPr>
        <w:t>③</w:t>
      </w:r>
      <w:r>
        <w:rPr>
          <w:rFonts w:hint="eastAsia" w:ascii="宋体" w:hAnsi="宋体" w:cs="宋体"/>
          <w:sz w:val="28"/>
        </w:rPr>
        <w:t>卸油时，应通知加油员，与卸油罐相连的加油机停止加油。</w:t>
      </w:r>
    </w:p>
    <w:p>
      <w:pPr>
        <w:spacing w:line="360" w:lineRule="auto"/>
        <w:ind w:firstLine="539"/>
        <w:rPr>
          <w:rFonts w:hint="eastAsia" w:ascii="宋体" w:hAnsi="宋体" w:cs="宋体"/>
          <w:sz w:val="28"/>
        </w:rPr>
      </w:pPr>
      <w:r>
        <w:rPr>
          <w:rFonts w:hint="eastAsia" w:ascii="宋体" w:hAnsi="宋体" w:cs="宋体"/>
          <w:sz w:val="28"/>
          <w:lang w:eastAsia="zh-CN"/>
        </w:rPr>
        <w:t>④</w:t>
      </w:r>
      <w:r>
        <w:rPr>
          <w:rFonts w:hint="eastAsia" w:ascii="宋体" w:hAnsi="宋体" w:cs="宋体"/>
          <w:sz w:val="28"/>
        </w:rPr>
        <w:t>应坚决杜绝喷溅式卸油。</w:t>
      </w:r>
    </w:p>
    <w:p>
      <w:pPr>
        <w:spacing w:line="360" w:lineRule="auto"/>
        <w:ind w:firstLine="539"/>
        <w:rPr>
          <w:rFonts w:hint="eastAsia" w:ascii="宋体" w:hAnsi="宋体" w:cs="宋体"/>
          <w:sz w:val="28"/>
        </w:rPr>
      </w:pPr>
      <w:r>
        <w:rPr>
          <w:rFonts w:hint="eastAsia" w:ascii="宋体" w:hAnsi="宋体" w:cs="宋体"/>
          <w:sz w:val="28"/>
          <w:lang w:eastAsia="zh-CN"/>
        </w:rPr>
        <w:t>⑤</w:t>
      </w:r>
      <w:r>
        <w:rPr>
          <w:rFonts w:hint="eastAsia" w:ascii="宋体" w:hAnsi="宋体" w:cs="宋体"/>
          <w:sz w:val="28"/>
        </w:rPr>
        <w:t>卸油员和司机应在现场监护，严防火种接近卸油现场，油罐车不得随意启动和移动车位。</w:t>
      </w:r>
    </w:p>
    <w:p>
      <w:pPr>
        <w:spacing w:line="360" w:lineRule="auto"/>
        <w:ind w:firstLine="539"/>
        <w:rPr>
          <w:rFonts w:hint="eastAsia" w:ascii="宋体" w:hAnsi="宋体" w:cs="宋体"/>
          <w:sz w:val="28"/>
        </w:rPr>
      </w:pPr>
      <w:r>
        <w:rPr>
          <w:rFonts w:hint="eastAsia" w:ascii="宋体" w:hAnsi="宋体" w:cs="宋体"/>
          <w:sz w:val="28"/>
          <w:lang w:eastAsia="zh-CN"/>
        </w:rPr>
        <w:t>⑥</w:t>
      </w:r>
      <w:r>
        <w:rPr>
          <w:rFonts w:hint="eastAsia" w:ascii="宋体" w:hAnsi="宋体" w:cs="宋体"/>
          <w:sz w:val="28"/>
        </w:rPr>
        <w:t>雷雨天禁止卸油作业。</w:t>
      </w:r>
    </w:p>
    <w:p>
      <w:pPr>
        <w:spacing w:line="360" w:lineRule="auto"/>
        <w:ind w:firstLine="539"/>
        <w:rPr>
          <w:rFonts w:hint="eastAsia" w:ascii="宋体" w:hAnsi="宋体" w:cs="宋体"/>
          <w:sz w:val="28"/>
        </w:rPr>
      </w:pPr>
      <w:r>
        <w:rPr>
          <w:rFonts w:hint="eastAsia" w:ascii="宋体" w:hAnsi="宋体" w:cs="宋体"/>
          <w:sz w:val="28"/>
          <w:lang w:eastAsia="zh-CN"/>
        </w:rPr>
        <w:t>⑦</w:t>
      </w:r>
      <w:r>
        <w:rPr>
          <w:rFonts w:hint="eastAsia" w:ascii="宋体" w:hAnsi="宋体" w:cs="宋体"/>
          <w:sz w:val="28"/>
        </w:rPr>
        <w:t>采用自流卸油，若储油罐中油品在卸油管出口以下，卸油速度要保持在0.7 -1m/s，油品淹没出油口后可提高到4m/s。</w:t>
      </w:r>
    </w:p>
    <w:p>
      <w:pPr>
        <w:spacing w:line="360" w:lineRule="auto"/>
        <w:ind w:firstLine="539"/>
        <w:rPr>
          <w:rFonts w:hint="eastAsia" w:ascii="宋体" w:hAnsi="宋体" w:cs="宋体"/>
          <w:sz w:val="28"/>
        </w:rPr>
      </w:pPr>
      <w:r>
        <w:rPr>
          <w:rFonts w:hint="eastAsia" w:ascii="宋体" w:hAnsi="宋体" w:cs="宋体"/>
          <w:sz w:val="28"/>
          <w:lang w:eastAsia="zh-CN"/>
        </w:rPr>
        <w:t>⑧</w:t>
      </w:r>
      <w:r>
        <w:rPr>
          <w:rFonts w:hint="eastAsia" w:ascii="宋体" w:hAnsi="宋体" w:cs="宋体"/>
          <w:sz w:val="28"/>
        </w:rPr>
        <w:t>卸油结束，油罐车不可立即启动，应待罐车周围油气消散后（约5min)再启动。</w:t>
      </w:r>
    </w:p>
    <w:p>
      <w:pPr>
        <w:pStyle w:val="26"/>
        <w:widowControl w:val="0"/>
        <w:overflowPunct w:val="0"/>
        <w:spacing w:before="0" w:beforeLines="0" w:beforeAutospacing="0" w:after="0" w:afterLines="0" w:afterAutospacing="0" w:line="360" w:lineRule="auto"/>
        <w:ind w:firstLine="562" w:firstLineChars="200"/>
        <w:jc w:val="both"/>
        <w:rPr>
          <w:rFonts w:cs="宋体"/>
          <w:b/>
          <w:sz w:val="28"/>
          <w:lang w:val="zh-CN"/>
        </w:rPr>
      </w:pPr>
      <w:r>
        <w:rPr>
          <w:rFonts w:cs="宋体"/>
          <w:b/>
          <w:bCs/>
          <w:sz w:val="28"/>
        </w:rPr>
        <w:t>（</w:t>
      </w:r>
      <w:r>
        <w:rPr>
          <w:rFonts w:hint="eastAsia" w:cs="宋体"/>
          <w:b/>
          <w:bCs/>
          <w:sz w:val="28"/>
          <w:lang w:val="en-US" w:eastAsia="zh-CN"/>
        </w:rPr>
        <w:t>6</w:t>
      </w:r>
      <w:r>
        <w:rPr>
          <w:rFonts w:cs="宋体"/>
          <w:b/>
          <w:bCs/>
          <w:sz w:val="28"/>
        </w:rPr>
        <w:t>）</w:t>
      </w:r>
      <w:r>
        <w:rPr>
          <w:rFonts w:cs="宋体"/>
          <w:b/>
          <w:bCs/>
          <w:sz w:val="28"/>
          <w:lang w:val="zh-CN"/>
        </w:rPr>
        <w:t>安全</w:t>
      </w:r>
      <w:r>
        <w:rPr>
          <w:rFonts w:cs="宋体"/>
          <w:b/>
          <w:sz w:val="28"/>
          <w:lang w:val="zh-CN"/>
        </w:rPr>
        <w:t>生产管理组织与人员培训</w:t>
      </w:r>
    </w:p>
    <w:p>
      <w:pPr>
        <w:tabs>
          <w:tab w:val="left" w:pos="2160"/>
        </w:tabs>
        <w:autoSpaceDE w:val="0"/>
        <w:autoSpaceDN w:val="0"/>
        <w:adjustRightInd w:val="0"/>
        <w:spacing w:line="360" w:lineRule="auto"/>
        <w:ind w:firstLine="560"/>
        <w:rPr>
          <w:rFonts w:hint="eastAsia" w:ascii="宋体" w:hAnsi="宋体" w:cs="宋体"/>
          <w:sz w:val="28"/>
          <w:lang w:val="zh-CN"/>
        </w:rPr>
      </w:pPr>
      <w:r>
        <w:rPr>
          <w:rFonts w:hint="eastAsia" w:ascii="宋体" w:hAnsi="宋体" w:cs="宋体"/>
          <w:sz w:val="28"/>
          <w:lang w:val="zh-CN"/>
        </w:rPr>
        <w:t>建立以</w:t>
      </w:r>
      <w:r>
        <w:rPr>
          <w:rFonts w:hint="eastAsia" w:ascii="宋体" w:hAnsi="宋体" w:cs="宋体"/>
          <w:sz w:val="28"/>
        </w:rPr>
        <w:t>站长为直接责任人</w:t>
      </w:r>
      <w:r>
        <w:rPr>
          <w:rFonts w:hint="eastAsia" w:ascii="宋体" w:hAnsi="宋体" w:cs="宋体"/>
          <w:sz w:val="28"/>
          <w:lang w:val="zh-CN"/>
        </w:rPr>
        <w:t>的安全管理小组。配备安全管理人员，每班作业现场应不少于1名专（兼）职安全管理人员。</w:t>
      </w:r>
    </w:p>
    <w:p>
      <w:pPr>
        <w:tabs>
          <w:tab w:val="left" w:pos="2160"/>
        </w:tabs>
        <w:autoSpaceDE w:val="0"/>
        <w:autoSpaceDN w:val="0"/>
        <w:adjustRightInd w:val="0"/>
        <w:spacing w:line="360" w:lineRule="auto"/>
        <w:ind w:firstLine="560"/>
        <w:rPr>
          <w:rFonts w:hint="eastAsia" w:ascii="宋体" w:hAnsi="宋体" w:cs="宋体"/>
          <w:sz w:val="28"/>
          <w:lang w:val="zh-CN"/>
        </w:rPr>
      </w:pPr>
      <w:r>
        <w:rPr>
          <w:rFonts w:hint="eastAsia" w:ascii="宋体" w:hAnsi="宋体" w:cs="宋体"/>
          <w:sz w:val="28"/>
          <w:lang w:val="zh-CN"/>
        </w:rPr>
        <w:t>成立全员参与的群众性义务消防安全组织，员工职责明确、操作熟练，熟悉站内灭火器材、设施的分布、种类和操作。</w:t>
      </w:r>
    </w:p>
    <w:p>
      <w:pPr>
        <w:tabs>
          <w:tab w:val="left" w:pos="2160"/>
        </w:tabs>
        <w:autoSpaceDE w:val="0"/>
        <w:autoSpaceDN w:val="0"/>
        <w:adjustRightInd w:val="0"/>
        <w:spacing w:line="360" w:lineRule="auto"/>
        <w:ind w:firstLine="560"/>
        <w:rPr>
          <w:rFonts w:hint="eastAsia" w:ascii="宋体" w:hAnsi="宋体" w:cs="宋体"/>
          <w:sz w:val="28"/>
          <w:lang w:val="zh-CN"/>
        </w:rPr>
      </w:pPr>
      <w:r>
        <w:rPr>
          <w:rFonts w:hint="eastAsia" w:ascii="宋体" w:hAnsi="宋体" w:cs="宋体"/>
          <w:sz w:val="28"/>
          <w:lang w:val="zh-CN"/>
        </w:rPr>
        <w:t>负责人与安全管理人员经当地安全管理部门考核合格，取得上岗资格，并应按照要求进行继续教育。</w:t>
      </w:r>
    </w:p>
    <w:p>
      <w:pPr>
        <w:pStyle w:val="26"/>
        <w:widowControl w:val="0"/>
        <w:overflowPunct w:val="0"/>
        <w:spacing w:before="0" w:beforeLines="0" w:beforeAutospacing="0" w:after="0" w:afterLines="0" w:afterAutospacing="0" w:line="360" w:lineRule="auto"/>
        <w:ind w:firstLine="562" w:firstLineChars="200"/>
        <w:jc w:val="both"/>
        <w:rPr>
          <w:rFonts w:cs="宋体"/>
          <w:b/>
          <w:sz w:val="28"/>
          <w:lang w:val="zh-CN"/>
        </w:rPr>
      </w:pPr>
      <w:r>
        <w:rPr>
          <w:rFonts w:cs="宋体"/>
          <w:b/>
          <w:bCs/>
          <w:sz w:val="28"/>
        </w:rPr>
        <w:t>（</w:t>
      </w:r>
      <w:r>
        <w:rPr>
          <w:rFonts w:hint="eastAsia" w:cs="宋体"/>
          <w:b/>
          <w:bCs/>
          <w:sz w:val="28"/>
          <w:lang w:val="en-US" w:eastAsia="zh-CN"/>
        </w:rPr>
        <w:t>7</w:t>
      </w:r>
      <w:r>
        <w:rPr>
          <w:rFonts w:cs="宋体"/>
          <w:b/>
          <w:bCs/>
          <w:sz w:val="28"/>
        </w:rPr>
        <w:t>）</w:t>
      </w:r>
      <w:r>
        <w:rPr>
          <w:rFonts w:cs="宋体"/>
          <w:b/>
          <w:sz w:val="28"/>
          <w:lang w:val="zh-CN"/>
        </w:rPr>
        <w:t>安全生产管理制度和操作规程</w:t>
      </w:r>
    </w:p>
    <w:p>
      <w:pPr>
        <w:tabs>
          <w:tab w:val="left" w:pos="2160"/>
        </w:tabs>
        <w:autoSpaceDE w:val="0"/>
        <w:autoSpaceDN w:val="0"/>
        <w:adjustRightInd w:val="0"/>
        <w:spacing w:line="360" w:lineRule="auto"/>
        <w:ind w:firstLine="560"/>
        <w:rPr>
          <w:rFonts w:hint="eastAsia" w:ascii="宋体" w:hAnsi="宋体" w:cs="宋体"/>
          <w:sz w:val="28"/>
          <w:lang w:val="zh-CN"/>
        </w:rPr>
      </w:pPr>
      <w:r>
        <w:rPr>
          <w:rFonts w:hint="eastAsia" w:ascii="宋体" w:hAnsi="宋体" w:cs="宋体"/>
          <w:sz w:val="28"/>
          <w:lang w:val="zh-CN"/>
        </w:rPr>
        <w:t>该油站建立了安全生产责任制，制订了各岗位的安全职责、安全生产管理、设备管理和消防管理等方面的安全管理制度，建议进一步认真修订和完善，以满足企业不断发展的需要。</w:t>
      </w:r>
    </w:p>
    <w:p>
      <w:pPr>
        <w:pStyle w:val="26"/>
        <w:widowControl w:val="0"/>
        <w:overflowPunct w:val="0"/>
        <w:spacing w:before="0" w:beforeLines="0" w:beforeAutospacing="0" w:after="0" w:afterLines="0" w:afterAutospacing="0" w:line="360" w:lineRule="auto"/>
        <w:ind w:firstLine="562" w:firstLineChars="200"/>
        <w:jc w:val="both"/>
        <w:rPr>
          <w:rFonts w:cs="宋体"/>
          <w:b/>
          <w:sz w:val="28"/>
          <w:lang w:val="zh-CN"/>
        </w:rPr>
      </w:pPr>
      <w:r>
        <w:rPr>
          <w:rFonts w:cs="宋体"/>
          <w:b/>
          <w:bCs/>
          <w:sz w:val="28"/>
        </w:rPr>
        <w:t>（</w:t>
      </w:r>
      <w:r>
        <w:rPr>
          <w:rFonts w:hint="eastAsia" w:cs="宋体"/>
          <w:b/>
          <w:bCs/>
          <w:sz w:val="28"/>
          <w:lang w:val="en-US" w:eastAsia="zh-CN"/>
        </w:rPr>
        <w:t>8</w:t>
      </w:r>
      <w:r>
        <w:rPr>
          <w:rFonts w:cs="宋体"/>
          <w:b/>
          <w:bCs/>
          <w:sz w:val="28"/>
        </w:rPr>
        <w:t>）</w:t>
      </w:r>
      <w:r>
        <w:rPr>
          <w:rFonts w:cs="宋体"/>
          <w:b/>
          <w:sz w:val="28"/>
          <w:lang w:val="zh-CN"/>
        </w:rPr>
        <w:t>应急救援预案</w:t>
      </w:r>
    </w:p>
    <w:p>
      <w:pPr>
        <w:spacing w:line="360" w:lineRule="auto"/>
        <w:ind w:firstLine="560" w:firstLineChars="200"/>
        <w:rPr>
          <w:rFonts w:hint="eastAsia" w:ascii="Times New Roman" w:hAnsi="Times New Roman" w:eastAsia="宋体" w:cs="Times New Roman"/>
          <w:sz w:val="28"/>
          <w:szCs w:val="28"/>
          <w:highlight w:val="yellow"/>
          <w:lang w:val="en-US" w:eastAsia="zh-CN"/>
        </w:rPr>
      </w:pPr>
      <w:r>
        <w:rPr>
          <w:rFonts w:hint="eastAsia" w:ascii="宋体" w:hAnsi="宋体" w:cs="宋体"/>
          <w:sz w:val="28"/>
          <w:lang w:val="zh-CN"/>
        </w:rPr>
        <w:t>该油站制定了有关的应急救援预案，内容包括了</w:t>
      </w:r>
      <w:r>
        <w:rPr>
          <w:rFonts w:hint="eastAsia" w:ascii="宋体" w:hAnsi="宋体" w:cs="宋体"/>
          <w:kern w:val="0"/>
          <w:sz w:val="28"/>
          <w:lang w:val="zh-CN"/>
        </w:rPr>
        <w:t>应急方案的任务和目标</w:t>
      </w:r>
      <w:r>
        <w:rPr>
          <w:rFonts w:hint="eastAsia" w:ascii="宋体" w:hAnsi="宋体" w:cs="宋体"/>
          <w:sz w:val="28"/>
          <w:lang w:val="zh-CN"/>
        </w:rPr>
        <w:t>、危险目标的确定及分布、</w:t>
      </w:r>
      <w:r>
        <w:rPr>
          <w:rFonts w:hint="eastAsia" w:ascii="宋体" w:hAnsi="宋体" w:cs="宋体"/>
          <w:kern w:val="0"/>
          <w:sz w:val="28"/>
          <w:lang w:val="zh-CN"/>
        </w:rPr>
        <w:t>应急反应组织机构人员的构成</w:t>
      </w:r>
      <w:r>
        <w:rPr>
          <w:rFonts w:hint="eastAsia" w:ascii="宋体" w:hAnsi="宋体" w:cs="宋体"/>
          <w:sz w:val="28"/>
          <w:lang w:val="zh-CN"/>
        </w:rPr>
        <w:t>、</w:t>
      </w:r>
      <w:r>
        <w:rPr>
          <w:rFonts w:hint="eastAsia" w:ascii="宋体" w:hAnsi="宋体" w:cs="宋体"/>
          <w:kern w:val="0"/>
          <w:sz w:val="28"/>
          <w:lang w:val="zh-CN"/>
        </w:rPr>
        <w:t>应急救援的培训与演练及应急救援预案的启动、终止和终止后工作恢复等内容，为防止事故的发生</w:t>
      </w:r>
      <w:r>
        <w:rPr>
          <w:rFonts w:hint="eastAsia" w:ascii="宋体" w:hAnsi="宋体" w:cs="宋体"/>
          <w:sz w:val="28"/>
          <w:lang w:val="zh-CN"/>
        </w:rPr>
        <w:t>、加强事故应急能力和减少事故损失作了准备。建议在以后的运行过程中，落实配备必要的应急物资，定期组织应急演练，并根据演练中发现的问题进一步修改完善预案内容。</w:t>
      </w:r>
    </w:p>
    <w:p>
      <w:pPr>
        <w:spacing w:line="360" w:lineRule="auto"/>
        <w:ind w:firstLine="560" w:firstLineChars="200"/>
        <w:rPr>
          <w:rFonts w:hint="default" w:ascii="Times New Roman" w:hAnsi="Times New Roman" w:cs="Times New Roman"/>
          <w:sz w:val="28"/>
          <w:szCs w:val="28"/>
        </w:rPr>
      </w:pPr>
    </w:p>
    <w:p>
      <w:pPr>
        <w:spacing w:line="360" w:lineRule="auto"/>
        <w:ind w:firstLine="560" w:firstLineChars="200"/>
        <w:rPr>
          <w:rFonts w:hint="default" w:ascii="Times New Roman" w:hAnsi="Times New Roman" w:cs="Times New Roman"/>
          <w:sz w:val="28"/>
          <w:szCs w:val="28"/>
        </w:rPr>
      </w:pPr>
      <w:bookmarkStart w:id="1015" w:name="_Toc4699"/>
      <w:bookmarkStart w:id="1016" w:name="_Toc2564"/>
      <w:bookmarkStart w:id="1017" w:name="_Toc23648"/>
      <w:bookmarkStart w:id="1018" w:name="_Toc27539"/>
      <w:bookmarkStart w:id="1019" w:name="_Toc17608"/>
      <w:bookmarkStart w:id="1020" w:name="_Toc32331"/>
      <w:bookmarkStart w:id="1021" w:name="_Toc27325_WPSOffice_Level2"/>
      <w:bookmarkStart w:id="1022" w:name="_Toc936_WPSOffice_Level2"/>
      <w:bookmarkStart w:id="1023" w:name="_Toc529176512"/>
      <w:bookmarkStart w:id="1024" w:name="_Toc29329"/>
      <w:bookmarkStart w:id="1025" w:name="_Toc21324"/>
      <w:bookmarkStart w:id="1026" w:name="_Toc25547"/>
      <w:bookmarkStart w:id="1027" w:name="_Toc20687"/>
      <w:bookmarkStart w:id="1028" w:name="_Toc27169"/>
      <w:bookmarkStart w:id="1029" w:name="_Toc7556"/>
      <w:bookmarkStart w:id="1030" w:name="_Toc26246_WPSOffice_Level2"/>
      <w:bookmarkStart w:id="1031" w:name="_Toc18587"/>
      <w:bookmarkStart w:id="1032" w:name="_Toc18655"/>
      <w:bookmarkStart w:id="1033" w:name="_Toc6202"/>
      <w:bookmarkStart w:id="1034" w:name="_Toc2043"/>
      <w:bookmarkStart w:id="1035" w:name="_Toc21441"/>
      <w:bookmarkStart w:id="1036" w:name="_Toc27760"/>
      <w:bookmarkStart w:id="1037" w:name="_Toc19367"/>
      <w:r>
        <w:rPr>
          <w:rFonts w:hint="default" w:ascii="Times New Roman" w:hAnsi="Times New Roman" w:cs="Times New Roman"/>
          <w:sz w:val="28"/>
          <w:szCs w:val="28"/>
        </w:rPr>
        <w:br w:type="page"/>
      </w:r>
    </w:p>
    <w:p>
      <w:pPr>
        <w:spacing w:beforeLines="100" w:afterLines="100" w:line="360" w:lineRule="auto"/>
        <w:jc w:val="center"/>
        <w:outlineLvl w:val="1"/>
        <w:rPr>
          <w:rFonts w:hint="default" w:ascii="Times New Roman" w:hAnsi="Times New Roman" w:cs="Times New Roman"/>
          <w:b/>
          <w:sz w:val="32"/>
          <w:szCs w:val="32"/>
        </w:rPr>
      </w:pPr>
      <w:bookmarkStart w:id="1038" w:name="_Toc26984"/>
      <w:bookmarkStart w:id="1039" w:name="_Toc8952"/>
      <w:bookmarkStart w:id="1040" w:name="_Toc7959"/>
      <w:r>
        <w:rPr>
          <w:rFonts w:hint="eastAsia" w:ascii="Times New Roman" w:hAnsi="Times New Roman" w:cs="Times New Roman"/>
          <w:b/>
          <w:sz w:val="32"/>
          <w:szCs w:val="32"/>
          <w:lang w:val="en-US" w:eastAsia="zh-CN"/>
        </w:rPr>
        <w:t>7.2</w:t>
      </w:r>
      <w:r>
        <w:rPr>
          <w:rFonts w:hint="default" w:ascii="Times New Roman" w:hAnsi="Times New Roman" w:cs="Times New Roman"/>
          <w:b/>
          <w:sz w:val="32"/>
          <w:szCs w:val="32"/>
          <w:lang w:val="en-US"/>
        </w:rPr>
        <w:t xml:space="preserve"> </w:t>
      </w:r>
      <w:r>
        <w:rPr>
          <w:rFonts w:hint="default" w:ascii="Times New Roman" w:hAnsi="Times New Roman" w:cs="Times New Roman"/>
          <w:b/>
          <w:sz w:val="32"/>
          <w:szCs w:val="32"/>
        </w:rPr>
        <w:t>重点监管的危险化学品安全对策措施</w:t>
      </w:r>
      <w:bookmarkEnd w:id="1015"/>
      <w:bookmarkEnd w:id="1016"/>
      <w:bookmarkEnd w:id="1017"/>
      <w:bookmarkEnd w:id="1018"/>
      <w:bookmarkEnd w:id="1019"/>
      <w:bookmarkEnd w:id="1020"/>
      <w:bookmarkEnd w:id="1021"/>
      <w:bookmarkEnd w:id="1022"/>
      <w:bookmarkEnd w:id="1023"/>
      <w:bookmarkEnd w:id="1024"/>
      <w:bookmarkEnd w:id="1025"/>
      <w:bookmarkEnd w:id="1026"/>
      <w:bookmarkEnd w:id="1027"/>
      <w:bookmarkEnd w:id="1028"/>
      <w:bookmarkEnd w:id="1029"/>
      <w:bookmarkEnd w:id="1030"/>
      <w:bookmarkEnd w:id="1031"/>
      <w:bookmarkEnd w:id="1032"/>
      <w:bookmarkEnd w:id="1033"/>
      <w:bookmarkEnd w:id="1034"/>
      <w:bookmarkEnd w:id="1035"/>
      <w:bookmarkEnd w:id="1036"/>
      <w:bookmarkEnd w:id="1037"/>
      <w:bookmarkEnd w:id="1038"/>
      <w:bookmarkEnd w:id="1039"/>
      <w:bookmarkEnd w:id="1040"/>
    </w:p>
    <w:p>
      <w:pPr>
        <w:spacing w:line="360" w:lineRule="auto"/>
        <w:ind w:firstLine="532" w:firstLineChars="200"/>
        <w:rPr>
          <w:rFonts w:hint="default" w:ascii="Times New Roman" w:hAnsi="Times New Roman" w:cs="Times New Roman"/>
          <w:sz w:val="28"/>
          <w:szCs w:val="28"/>
        </w:rPr>
      </w:pPr>
      <w:r>
        <w:rPr>
          <w:rFonts w:hint="default" w:ascii="Times New Roman" w:hAnsi="Times New Roman" w:cs="Times New Roman"/>
          <w:spacing w:val="-7"/>
          <w:sz w:val="28"/>
          <w:szCs w:val="28"/>
        </w:rPr>
        <w:t>加油站经营的汽油属于重点监管危险化学品，应按《国家安全监管总局办公厅关于印发首批重点监管的危险化学品安全措施和应急处置原则的通知》（安监总厅管三〔2011〕142号）的相关要求进行安全管理、应急处置。汽油的安全措施及事故应急处置原则见表</w:t>
      </w:r>
      <w:r>
        <w:rPr>
          <w:rFonts w:hint="eastAsia" w:ascii="Times New Roman" w:hAnsi="Times New Roman" w:cs="Times New Roman"/>
          <w:spacing w:val="-7"/>
          <w:sz w:val="28"/>
          <w:szCs w:val="28"/>
          <w:lang w:val="en-US" w:eastAsia="zh-CN"/>
        </w:rPr>
        <w:t>7.2-1</w:t>
      </w:r>
      <w:r>
        <w:rPr>
          <w:rFonts w:hint="default" w:ascii="Times New Roman" w:hAnsi="Times New Roman" w:cs="Times New Roman"/>
          <w:spacing w:val="-7"/>
          <w:sz w:val="28"/>
          <w:szCs w:val="28"/>
        </w:rPr>
        <w:t>所示。</w:t>
      </w:r>
    </w:p>
    <w:p>
      <w:pPr>
        <w:pStyle w:val="50"/>
        <w:widowControl w:val="0"/>
        <w:spacing w:before="0" w:beforeAutospacing="0" w:after="0" w:afterAutospacing="0" w:line="276" w:lineRule="auto"/>
        <w:jc w:val="center"/>
        <w:rPr>
          <w:rFonts w:hint="default" w:ascii="Times New Roman" w:hAnsi="Times New Roman" w:cs="Times New Roman"/>
          <w:b/>
          <w:sz w:val="21"/>
          <w:szCs w:val="21"/>
        </w:rPr>
      </w:pPr>
      <w:bookmarkStart w:id="1041" w:name="_Toc2808_WPSOffice_Level3"/>
      <w:bookmarkStart w:id="1042" w:name="_Toc867_WPSOffice_Level3"/>
      <w:r>
        <w:rPr>
          <w:rFonts w:hint="default" w:ascii="Times New Roman" w:hAnsi="Times New Roman" w:cs="Times New Roman"/>
          <w:sz w:val="24"/>
          <w:szCs w:val="24"/>
        </w:rPr>
        <w:t>表</w:t>
      </w:r>
      <w:r>
        <w:rPr>
          <w:rFonts w:hint="eastAsia" w:ascii="Times New Roman" w:hAnsi="Times New Roman" w:cs="Times New Roman"/>
          <w:sz w:val="24"/>
          <w:szCs w:val="24"/>
          <w:lang w:val="en-US" w:eastAsia="zh-CN"/>
        </w:rPr>
        <w:t>7.2-1</w:t>
      </w:r>
      <w:r>
        <w:rPr>
          <w:rFonts w:hint="default" w:ascii="Times New Roman" w:hAnsi="Times New Roman" w:cs="Times New Roman"/>
          <w:sz w:val="24"/>
          <w:szCs w:val="24"/>
          <w:lang w:val="en-US"/>
        </w:rPr>
        <w:t xml:space="preserve"> </w:t>
      </w:r>
      <w:r>
        <w:rPr>
          <w:rFonts w:hint="default" w:ascii="Times New Roman" w:hAnsi="Times New Roman" w:cs="Times New Roman"/>
          <w:sz w:val="24"/>
          <w:szCs w:val="24"/>
        </w:rPr>
        <w:t>重点监管危险化学品（汽油）安全措施和事故应急处置原则</w:t>
      </w:r>
      <w:bookmarkEnd w:id="1041"/>
      <w:bookmarkEnd w:id="1042"/>
    </w:p>
    <w:tbl>
      <w:tblPr>
        <w:tblStyle w:val="30"/>
        <w:tblW w:w="94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5"/>
        <w:gridCol w:w="83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1095" w:type="dxa"/>
            <w:vAlign w:val="center"/>
          </w:tcPr>
          <w:p>
            <w:pPr>
              <w:pStyle w:val="50"/>
              <w:keepNext w:val="0"/>
              <w:keepLines w:val="0"/>
              <w:widowControl w:val="0"/>
              <w:suppressLineNumbers w:val="0"/>
              <w:spacing w:before="0" w:beforeAutospacing="0" w:after="0" w:afterAutospacing="0" w:line="276" w:lineRule="auto"/>
              <w:ind w:left="0" w:right="0"/>
              <w:jc w:val="center"/>
              <w:rPr>
                <w:rFonts w:hint="default" w:ascii="Times New Roman" w:hAnsi="Times New Roman" w:cs="Times New Roman"/>
              </w:rPr>
            </w:pPr>
            <w:r>
              <w:rPr>
                <w:rFonts w:hint="default" w:ascii="Times New Roman" w:hAnsi="Times New Roman" w:cs="Times New Roman"/>
                <w:b/>
                <w:sz w:val="21"/>
                <w:szCs w:val="21"/>
              </w:rPr>
              <w:t>特别警示</w:t>
            </w:r>
          </w:p>
        </w:tc>
        <w:tc>
          <w:tcPr>
            <w:tcW w:w="8310" w:type="dxa"/>
            <w:vAlign w:val="center"/>
          </w:tcPr>
          <w:p>
            <w:pPr>
              <w:pStyle w:val="38"/>
              <w:keepNext w:val="0"/>
              <w:keepLines w:val="0"/>
              <w:suppressLineNumbers w:val="0"/>
              <w:spacing w:before="0" w:beforeAutospacing="0" w:after="0" w:afterAutospacing="0"/>
              <w:ind w:left="36" w:right="27"/>
              <w:jc w:val="both"/>
              <w:rPr>
                <w:rFonts w:hint="default" w:ascii="Times New Roman" w:hAnsi="Times New Roman" w:cs="Times New Roman"/>
              </w:rPr>
            </w:pPr>
            <w:r>
              <w:rPr>
                <w:rFonts w:hint="default" w:ascii="Times New Roman" w:hAnsi="Times New Roman" w:cs="Times New Roman"/>
                <w:sz w:val="21"/>
              </w:rPr>
              <w:t>高度易燃液体；不得使用直流水扑救（用水灭火无效）。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1" w:hRule="atLeast"/>
        </w:trPr>
        <w:tc>
          <w:tcPr>
            <w:tcW w:w="1095" w:type="dxa"/>
            <w:vAlign w:val="center"/>
          </w:tcPr>
          <w:p>
            <w:pPr>
              <w:pStyle w:val="50"/>
              <w:keepNext w:val="0"/>
              <w:keepLines w:val="0"/>
              <w:widowControl w:val="0"/>
              <w:suppressLineNumbers w:val="0"/>
              <w:spacing w:before="0" w:beforeAutospacing="0" w:after="0" w:afterAutospacing="0" w:line="276" w:lineRule="auto"/>
              <w:ind w:left="0" w:right="0"/>
              <w:jc w:val="center"/>
              <w:rPr>
                <w:rFonts w:hint="default" w:ascii="Times New Roman" w:hAnsi="Times New Roman" w:cs="Times New Roman"/>
                <w:b/>
                <w:sz w:val="21"/>
                <w:szCs w:val="21"/>
              </w:rPr>
            </w:pPr>
            <w:r>
              <w:rPr>
                <w:rFonts w:hint="default" w:ascii="Times New Roman" w:hAnsi="Times New Roman" w:cs="Times New Roman"/>
                <w:b/>
                <w:sz w:val="21"/>
                <w:szCs w:val="21"/>
              </w:rPr>
              <w:t>理</w:t>
            </w:r>
          </w:p>
          <w:p>
            <w:pPr>
              <w:pStyle w:val="50"/>
              <w:keepNext w:val="0"/>
              <w:keepLines w:val="0"/>
              <w:widowControl w:val="0"/>
              <w:suppressLineNumbers w:val="0"/>
              <w:spacing w:before="0" w:beforeAutospacing="0" w:after="0" w:afterAutospacing="0" w:line="276" w:lineRule="auto"/>
              <w:ind w:left="0" w:right="0"/>
              <w:jc w:val="center"/>
              <w:rPr>
                <w:rFonts w:hint="default" w:ascii="Times New Roman" w:hAnsi="Times New Roman" w:cs="Times New Roman"/>
                <w:b/>
                <w:sz w:val="21"/>
                <w:szCs w:val="21"/>
              </w:rPr>
            </w:pPr>
            <w:r>
              <w:rPr>
                <w:rFonts w:hint="default" w:ascii="Times New Roman" w:hAnsi="Times New Roman" w:cs="Times New Roman"/>
                <w:b/>
                <w:sz w:val="21"/>
                <w:szCs w:val="21"/>
              </w:rPr>
              <w:t>化</w:t>
            </w:r>
          </w:p>
          <w:p>
            <w:pPr>
              <w:pStyle w:val="50"/>
              <w:keepNext w:val="0"/>
              <w:keepLines w:val="0"/>
              <w:widowControl w:val="0"/>
              <w:suppressLineNumbers w:val="0"/>
              <w:spacing w:before="0" w:beforeAutospacing="0" w:after="0" w:afterAutospacing="0" w:line="276" w:lineRule="auto"/>
              <w:ind w:left="0" w:right="0"/>
              <w:jc w:val="center"/>
              <w:rPr>
                <w:rFonts w:hint="default" w:ascii="Times New Roman" w:hAnsi="Times New Roman" w:cs="Times New Roman"/>
                <w:b/>
                <w:sz w:val="21"/>
                <w:szCs w:val="21"/>
              </w:rPr>
            </w:pPr>
            <w:r>
              <w:rPr>
                <w:rFonts w:hint="default" w:ascii="Times New Roman" w:hAnsi="Times New Roman" w:cs="Times New Roman"/>
                <w:b/>
                <w:sz w:val="21"/>
                <w:szCs w:val="21"/>
              </w:rPr>
              <w:t>特</w:t>
            </w:r>
          </w:p>
          <w:p>
            <w:pPr>
              <w:pStyle w:val="50"/>
              <w:keepNext w:val="0"/>
              <w:keepLines w:val="0"/>
              <w:widowControl w:val="0"/>
              <w:suppressLineNumbers w:val="0"/>
              <w:spacing w:before="0" w:beforeAutospacing="0" w:after="0" w:afterAutospacing="0" w:line="276" w:lineRule="auto"/>
              <w:ind w:left="0" w:right="0"/>
              <w:jc w:val="center"/>
              <w:rPr>
                <w:rFonts w:hint="default" w:ascii="Times New Roman" w:hAnsi="Times New Roman" w:cs="Times New Roman"/>
              </w:rPr>
            </w:pPr>
            <w:r>
              <w:rPr>
                <w:rFonts w:hint="default" w:ascii="Times New Roman" w:hAnsi="Times New Roman" w:cs="Times New Roman"/>
                <w:b/>
                <w:sz w:val="21"/>
                <w:szCs w:val="21"/>
              </w:rPr>
              <w:t>性</w:t>
            </w:r>
          </w:p>
        </w:tc>
        <w:tc>
          <w:tcPr>
            <w:tcW w:w="8310" w:type="dxa"/>
            <w:vAlign w:val="center"/>
          </w:tcPr>
          <w:p>
            <w:pPr>
              <w:pStyle w:val="38"/>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无色到浅黄色的透明液体。</w:t>
            </w:r>
          </w:p>
          <w:p>
            <w:pPr>
              <w:pStyle w:val="38"/>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依据《车用无铅汽油》(GB17930)生产的车用无铅汽油，按研究法辛烷值(RON)分为92号、93号和95号三个牌号，相对密度（水=1）0.70～0.80，相对蒸气密度（空气=1）3～4，闪点-46℃，爆炸极限1.4～7.6%（体积比），自燃温度415～530℃，最大爆炸压力0.813MPa。</w:t>
            </w:r>
          </w:p>
          <w:p>
            <w:pPr>
              <w:pStyle w:val="38"/>
              <w:keepNext w:val="0"/>
              <w:keepLines w:val="0"/>
              <w:suppressLineNumbers w:val="0"/>
              <w:spacing w:before="0" w:beforeAutospacing="0" w:after="0" w:afterAutospacing="0"/>
              <w:ind w:left="36" w:right="27"/>
              <w:jc w:val="both"/>
              <w:rPr>
                <w:rFonts w:hint="default" w:ascii="Times New Roman" w:hAnsi="Times New Roman" w:cs="Times New Roman"/>
              </w:rPr>
            </w:pPr>
            <w:r>
              <w:rPr>
                <w:rFonts w:hint="default" w:ascii="Times New Roman" w:hAnsi="Times New Roman" w:cs="Times New Roman"/>
                <w:sz w:val="21"/>
              </w:rPr>
              <w:t>主要用途：汽油主要用作汽油机的燃料, 可用于橡胶、制鞋、印刷、制革、颜料等行业, 也可用作机械零件的去污剂。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50"/>
              <w:keepNext w:val="0"/>
              <w:keepLines w:val="0"/>
              <w:widowControl w:val="0"/>
              <w:suppressLineNumbers w:val="0"/>
              <w:spacing w:before="0" w:beforeAutospacing="0" w:after="0" w:afterAutospacing="0" w:line="276" w:lineRule="auto"/>
              <w:ind w:left="0" w:right="0"/>
              <w:jc w:val="center"/>
              <w:rPr>
                <w:rFonts w:hint="default" w:ascii="Times New Roman" w:hAnsi="Times New Roman" w:cs="Times New Roman"/>
                <w:b/>
                <w:sz w:val="21"/>
                <w:szCs w:val="21"/>
              </w:rPr>
            </w:pPr>
            <w:r>
              <w:rPr>
                <w:rFonts w:hint="default" w:ascii="Times New Roman" w:hAnsi="Times New Roman" w:cs="Times New Roman"/>
                <w:b/>
                <w:sz w:val="21"/>
                <w:szCs w:val="21"/>
              </w:rPr>
              <w:t>危</w:t>
            </w:r>
          </w:p>
          <w:p>
            <w:pPr>
              <w:pStyle w:val="50"/>
              <w:keepNext w:val="0"/>
              <w:keepLines w:val="0"/>
              <w:widowControl w:val="0"/>
              <w:suppressLineNumbers w:val="0"/>
              <w:spacing w:before="0" w:beforeAutospacing="0" w:after="0" w:afterAutospacing="0" w:line="276" w:lineRule="auto"/>
              <w:ind w:left="0" w:right="0"/>
              <w:jc w:val="center"/>
              <w:rPr>
                <w:rFonts w:hint="default" w:ascii="Times New Roman" w:hAnsi="Times New Roman" w:cs="Times New Roman"/>
                <w:b/>
                <w:sz w:val="21"/>
                <w:szCs w:val="21"/>
              </w:rPr>
            </w:pPr>
            <w:r>
              <w:rPr>
                <w:rFonts w:hint="default" w:ascii="Times New Roman" w:hAnsi="Times New Roman" w:cs="Times New Roman"/>
                <w:b/>
                <w:sz w:val="21"/>
                <w:szCs w:val="21"/>
              </w:rPr>
              <w:t>害</w:t>
            </w:r>
          </w:p>
          <w:p>
            <w:pPr>
              <w:pStyle w:val="50"/>
              <w:keepNext w:val="0"/>
              <w:keepLines w:val="0"/>
              <w:widowControl w:val="0"/>
              <w:suppressLineNumbers w:val="0"/>
              <w:spacing w:before="0" w:beforeAutospacing="0" w:after="0" w:afterAutospacing="0" w:line="276" w:lineRule="auto"/>
              <w:ind w:left="0" w:right="0"/>
              <w:jc w:val="center"/>
              <w:rPr>
                <w:rFonts w:hint="default" w:ascii="Times New Roman" w:hAnsi="Times New Roman" w:cs="Times New Roman"/>
                <w:b/>
                <w:sz w:val="21"/>
                <w:szCs w:val="21"/>
              </w:rPr>
            </w:pPr>
            <w:r>
              <w:rPr>
                <w:rFonts w:hint="default" w:ascii="Times New Roman" w:hAnsi="Times New Roman" w:cs="Times New Roman"/>
                <w:b/>
                <w:sz w:val="21"/>
                <w:szCs w:val="21"/>
              </w:rPr>
              <w:t>信</w:t>
            </w:r>
          </w:p>
          <w:p>
            <w:pPr>
              <w:pStyle w:val="50"/>
              <w:keepNext w:val="0"/>
              <w:keepLines w:val="0"/>
              <w:widowControl w:val="0"/>
              <w:suppressLineNumbers w:val="0"/>
              <w:spacing w:before="0" w:beforeAutospacing="0" w:after="0" w:afterAutospacing="0" w:line="276" w:lineRule="auto"/>
              <w:ind w:left="0" w:right="0"/>
              <w:jc w:val="center"/>
              <w:rPr>
                <w:rFonts w:hint="default" w:ascii="Times New Roman" w:hAnsi="Times New Roman" w:cs="Times New Roman"/>
              </w:rPr>
            </w:pPr>
            <w:r>
              <w:rPr>
                <w:rFonts w:hint="default" w:ascii="Times New Roman" w:hAnsi="Times New Roman" w:cs="Times New Roman"/>
                <w:b/>
                <w:sz w:val="21"/>
                <w:szCs w:val="21"/>
              </w:rPr>
              <w:t>息</w:t>
            </w:r>
          </w:p>
        </w:tc>
        <w:tc>
          <w:tcPr>
            <w:tcW w:w="8310" w:type="dxa"/>
            <w:vAlign w:val="center"/>
          </w:tcPr>
          <w:p>
            <w:pPr>
              <w:pStyle w:val="38"/>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【燃烧和爆炸危险性】</w:t>
            </w:r>
          </w:p>
          <w:p>
            <w:pPr>
              <w:pStyle w:val="38"/>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高度易燃，蒸气与空气能形成爆炸性混合物，遇明火、高热能引起燃烧爆炸。高速冲击、流动、激荡后可因产生静电火花放电引起燃烧爆炸。蒸气比空气重，能在较低处扩散到相当远的地方，遇火源会着火回燃和爆炸。</w:t>
            </w:r>
          </w:p>
          <w:p>
            <w:pPr>
              <w:pStyle w:val="38"/>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【健康危害】</w:t>
            </w:r>
          </w:p>
          <w:p>
            <w:pPr>
              <w:pStyle w:val="38"/>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汽油为麻醉性毒物，高浓度吸入出现中毒性脑病，极高浓度吸入引起意识突然丧失、反射性呼吸停止。误将汽油吸入呼吸道可引起吸入性肺炎。</w:t>
            </w:r>
          </w:p>
          <w:p>
            <w:pPr>
              <w:pStyle w:val="38"/>
              <w:keepNext w:val="0"/>
              <w:keepLines w:val="0"/>
              <w:suppressLineNumbers w:val="0"/>
              <w:spacing w:before="0" w:beforeAutospacing="0" w:after="0" w:afterAutospacing="0"/>
              <w:ind w:left="36" w:right="27"/>
              <w:jc w:val="both"/>
              <w:rPr>
                <w:rFonts w:hint="default" w:ascii="Times New Roman" w:hAnsi="Times New Roman" w:cs="Times New Roman"/>
              </w:rPr>
            </w:pPr>
            <w:r>
              <w:rPr>
                <w:rFonts w:hint="default" w:ascii="Times New Roman" w:hAnsi="Times New Roman" w:cs="Times New Roman"/>
                <w:sz w:val="21"/>
              </w:rPr>
              <w:t>职业接触限值：PC-TWA(时间加权平均容许浓度)(mg/</w:t>
            </w:r>
            <w:r>
              <w:rPr>
                <w:rFonts w:hint="default" w:ascii="Times New Roman" w:hAnsi="Times New Roman" w:cs="Times New Roman"/>
                <w:sz w:val="21"/>
                <w:lang w:eastAsia="zh-CN"/>
              </w:rPr>
              <w:t>m³</w:t>
            </w:r>
            <w:r>
              <w:rPr>
                <w:rFonts w:hint="default" w:ascii="Times New Roman" w:hAnsi="Times New Roman" w:cs="Times New Roman"/>
                <w:sz w:val="21"/>
              </w:rPr>
              <w:t>):300（汽油）。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sz w:val="21"/>
                <w:szCs w:val="21"/>
              </w:rPr>
            </w:pPr>
            <w:r>
              <w:rPr>
                <w:rFonts w:hint="default" w:ascii="Times New Roman" w:hAnsi="Times New Roman" w:cs="Times New Roman"/>
              </w:rPr>
              <w:br w:type="page"/>
            </w:r>
            <w:r>
              <w:rPr>
                <w:rFonts w:hint="default" w:ascii="Times New Roman" w:hAnsi="Times New Roman" w:cs="Times New Roman"/>
                <w:b/>
                <w:sz w:val="21"/>
                <w:szCs w:val="21"/>
              </w:rPr>
              <w:t>安</w:t>
            </w:r>
          </w:p>
          <w:p>
            <w:pPr>
              <w:pStyle w:val="50"/>
              <w:keepNext w:val="0"/>
              <w:keepLines w:val="0"/>
              <w:widowControl w:val="0"/>
              <w:suppressLineNumbers w:val="0"/>
              <w:spacing w:before="0" w:beforeAutospacing="0" w:after="0" w:afterAutospacing="0" w:line="276" w:lineRule="auto"/>
              <w:ind w:left="0" w:right="0"/>
              <w:jc w:val="center"/>
              <w:rPr>
                <w:rFonts w:hint="default" w:ascii="Times New Roman" w:hAnsi="Times New Roman" w:cs="Times New Roman"/>
                <w:b/>
                <w:sz w:val="21"/>
                <w:szCs w:val="21"/>
              </w:rPr>
            </w:pPr>
            <w:r>
              <w:rPr>
                <w:rFonts w:hint="default" w:ascii="Times New Roman" w:hAnsi="Times New Roman" w:cs="Times New Roman"/>
                <w:b/>
                <w:sz w:val="21"/>
                <w:szCs w:val="21"/>
              </w:rPr>
              <w:t>全</w:t>
            </w:r>
          </w:p>
          <w:p>
            <w:pPr>
              <w:pStyle w:val="50"/>
              <w:keepNext w:val="0"/>
              <w:keepLines w:val="0"/>
              <w:widowControl w:val="0"/>
              <w:suppressLineNumbers w:val="0"/>
              <w:spacing w:before="0" w:beforeAutospacing="0" w:after="0" w:afterAutospacing="0" w:line="276" w:lineRule="auto"/>
              <w:ind w:left="0" w:right="0"/>
              <w:jc w:val="center"/>
              <w:rPr>
                <w:rFonts w:hint="default" w:ascii="Times New Roman" w:hAnsi="Times New Roman" w:cs="Times New Roman"/>
                <w:b/>
                <w:sz w:val="21"/>
                <w:szCs w:val="21"/>
              </w:rPr>
            </w:pPr>
            <w:r>
              <w:rPr>
                <w:rFonts w:hint="default" w:ascii="Times New Roman" w:hAnsi="Times New Roman" w:cs="Times New Roman"/>
                <w:b/>
                <w:sz w:val="21"/>
                <w:szCs w:val="21"/>
              </w:rPr>
              <w:t>措</w:t>
            </w:r>
          </w:p>
          <w:p>
            <w:pPr>
              <w:pStyle w:val="50"/>
              <w:keepNext w:val="0"/>
              <w:keepLines w:val="0"/>
              <w:widowControl w:val="0"/>
              <w:suppressLineNumbers w:val="0"/>
              <w:spacing w:before="0" w:beforeAutospacing="0" w:after="0" w:afterAutospacing="0" w:line="276" w:lineRule="auto"/>
              <w:ind w:left="0" w:right="0"/>
              <w:jc w:val="center"/>
              <w:rPr>
                <w:rFonts w:hint="default" w:ascii="Times New Roman" w:hAnsi="Times New Roman" w:cs="Times New Roman"/>
                <w:b/>
                <w:sz w:val="21"/>
                <w:szCs w:val="21"/>
              </w:rPr>
            </w:pPr>
            <w:r>
              <w:rPr>
                <w:rFonts w:hint="default" w:ascii="Times New Roman" w:hAnsi="Times New Roman" w:cs="Times New Roman"/>
                <w:b/>
                <w:sz w:val="21"/>
                <w:szCs w:val="21"/>
              </w:rPr>
              <w:t>施</w:t>
            </w:r>
          </w:p>
        </w:tc>
        <w:tc>
          <w:tcPr>
            <w:tcW w:w="8310" w:type="dxa"/>
            <w:vAlign w:val="center"/>
          </w:tcPr>
          <w:p>
            <w:pPr>
              <w:pStyle w:val="38"/>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【一般要求】</w:t>
            </w:r>
          </w:p>
          <w:p>
            <w:pPr>
              <w:pStyle w:val="38"/>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操作人员必须经过专门培训，严格遵守操作规程，熟练掌握操作技能，具备应急处置知识。</w:t>
            </w:r>
          </w:p>
          <w:p>
            <w:pPr>
              <w:pStyle w:val="38"/>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密闭操作，防止泄漏，工作场所全面通风。远离火种、热源，工作场所严禁吸烟。配备易燃气体泄漏监测报警仪，使用防爆型通风系统和设备，配备两套以上重型防护服。操作人员穿防静电工作服，戴耐油橡胶手套。</w:t>
            </w:r>
          </w:p>
          <w:p>
            <w:pPr>
              <w:pStyle w:val="38"/>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储罐等容器和设备应设置液位计、温度计，并应装有带液位、温度远传记录和报警功能的安全装置。</w:t>
            </w:r>
          </w:p>
          <w:p>
            <w:pPr>
              <w:pStyle w:val="38"/>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避免与氧化剂接触。</w:t>
            </w:r>
          </w:p>
          <w:p>
            <w:pPr>
              <w:pStyle w:val="38"/>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生产、储存区域应设置安全警示标志。灌装时应控制流速，且有接地装置，防止静电积聚。搬运时要轻装轻卸，防止包装及容器损坏。配备相应品种和数量的消防器材及泄漏应急处理设备。</w:t>
            </w:r>
          </w:p>
          <w:p>
            <w:pPr>
              <w:pStyle w:val="38"/>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【特殊要求】</w:t>
            </w:r>
          </w:p>
          <w:p>
            <w:pPr>
              <w:pStyle w:val="38"/>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【操作安全】</w:t>
            </w:r>
          </w:p>
          <w:p>
            <w:pPr>
              <w:pStyle w:val="38"/>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（1）油罐及贮存桶装汽油附近要严禁烟火。禁止将汽油与其他易燃物放在一起。</w:t>
            </w:r>
          </w:p>
          <w:p>
            <w:pPr>
              <w:pStyle w:val="38"/>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2）往油罐或油罐汽车装油时，输油管要插入油面以下或接近罐的底部，以减少油料的冲击和与空气的摩擦。沾油料的布、油棉纱头、油手套等不要放在油库、车库内，以免自燃。不要用铁器工具敲击汽油桶，特别是空汽油桶更危险。因为桶内充满汽油与空气的混合气，而且经常处于爆炸极限之内，一遇明火，就能引起爆炸。</w:t>
            </w:r>
          </w:p>
          <w:p>
            <w:pPr>
              <w:pStyle w:val="38"/>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（3）当进行灌装汽油时，邻近的汽车、拖拉机的排气管要戴上防火帽后才能发动，存汽油地点附近严禁检修车辆。</w:t>
            </w:r>
          </w:p>
          <w:p>
            <w:pPr>
              <w:pStyle w:val="38"/>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（4）汽油油罐和贮存汽油区的上空，不应有电线通过。油罐、库房与电线的距离要为电杆长度的1.5倍以上。</w:t>
            </w:r>
          </w:p>
          <w:p>
            <w:pPr>
              <w:pStyle w:val="38"/>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（5）注意仓库及操作场所的通风，使油蒸气容易逸散。</w:t>
            </w:r>
          </w:p>
          <w:p>
            <w:pPr>
              <w:pStyle w:val="38"/>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【储存安全】</w:t>
            </w:r>
          </w:p>
          <w:p>
            <w:pPr>
              <w:pStyle w:val="38"/>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（1）远离火种、热源。</w:t>
            </w:r>
          </w:p>
          <w:p>
            <w:pPr>
              <w:pStyle w:val="38"/>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（2）应与氧化剂分开存放，切忌混储。用储罐、铁桶等容器盛装，不要用塑料桶来存放汽油。盛装时，切不可充满，要留出必要的安全空间。</w:t>
            </w:r>
          </w:p>
          <w:p>
            <w:pPr>
              <w:pStyle w:val="38"/>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（3）采用防爆型照明、通风设施。禁止使用易产生火花的机械设备和工具。储存区应备有泄漏应急处理设备和合适的收容材料。罐储时要有防火防爆技术措施。对于1000</w:t>
            </w:r>
            <w:r>
              <w:rPr>
                <w:rFonts w:hint="default" w:ascii="Times New Roman" w:hAnsi="Times New Roman" w:cs="Times New Roman"/>
                <w:sz w:val="21"/>
                <w:lang w:eastAsia="zh-CN"/>
              </w:rPr>
              <w:t>m³</w:t>
            </w:r>
            <w:r>
              <w:rPr>
                <w:rFonts w:hint="default" w:ascii="Times New Roman" w:hAnsi="Times New Roman" w:cs="Times New Roman"/>
                <w:sz w:val="21"/>
              </w:rPr>
              <w:t>及以上的储罐顶部应有泡沫灭火设施等。</w:t>
            </w:r>
          </w:p>
          <w:p>
            <w:pPr>
              <w:pStyle w:val="38"/>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【运输安全】</w:t>
            </w:r>
          </w:p>
          <w:p>
            <w:pPr>
              <w:pStyle w:val="38"/>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（1）运输车辆应有危险货物运输标志、安装具有行驶记录功能的卫星定位装置。未经公安机关批准，运输车辆不得进入危险化学品运输车辆限制通行的区域。</w:t>
            </w:r>
          </w:p>
          <w:p>
            <w:pPr>
              <w:pStyle w:val="38"/>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（2）汽油装于专用的槽车内运输，槽车应定期清理；用其他包装容器运输时，容器须用盖密封。运送汽油的油罐汽车，必须有导静电拖线。对有每分钟0.5</w:t>
            </w:r>
            <w:r>
              <w:rPr>
                <w:rFonts w:hint="default" w:ascii="Times New Roman" w:hAnsi="Times New Roman" w:cs="Times New Roman"/>
                <w:sz w:val="21"/>
                <w:lang w:eastAsia="zh-CN"/>
              </w:rPr>
              <w:t>m³</w:t>
            </w:r>
            <w:r>
              <w:rPr>
                <w:rFonts w:hint="default" w:ascii="Times New Roman" w:hAnsi="Times New Roman" w:cs="Times New Roman"/>
                <w:sz w:val="21"/>
              </w:rPr>
              <w:t>以上的快速装卸油设备的油罐汽车，在装卸油时，除了保证铁链接地外，更要将车上油罐的接地线插入地下并不得浅于100mm。运输时运输车辆应配备相应品种和数量的消防器材。装运该物品的车辆排气管必须配备阻火装置，禁止使用易产生火花的机械设备和工具装卸。汽车槽罐内可设孔隔板以减少震荡产生静电。</w:t>
            </w:r>
          </w:p>
          <w:p>
            <w:pPr>
              <w:pStyle w:val="38"/>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（3）严禁与氧化剂等混装混运。夏季最好早晚运输，运输途中应防曝晒、防雨淋、防高温。中途停留时应远离火种、热源、高温区及人口密集地段。</w:t>
            </w:r>
          </w:p>
          <w:p>
            <w:pPr>
              <w:pStyle w:val="38"/>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4）输送汽油的管道不应靠近热源敷设；管道采用地上敷设时，应在人员活动较多和易遭车辆、外来物撞击的地段，采取保护措施并设置明显的警示标志；汽油管道架空敷设时，管道应敷设在非燃烧体的支架或栈桥上。在已敷设的汽油管道下面，不得修建与汽油管道无关的建筑物和堆放易燃物品；汽油管道外壁颜色、标志应执行《工业管道的基本识别色、识别符号和安全标识》（GB 7231）的规定。</w:t>
            </w:r>
          </w:p>
          <w:p>
            <w:pPr>
              <w:pStyle w:val="38"/>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（5）输油管道地下铺设时，沿线应设置里程桩、转角桩、标志桩和测试桩，并设警示标志。运行应符合有关法律法规规定。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50"/>
              <w:keepNext w:val="0"/>
              <w:keepLines w:val="0"/>
              <w:widowControl w:val="0"/>
              <w:suppressLineNumbers w:val="0"/>
              <w:spacing w:before="0" w:beforeAutospacing="0" w:after="0" w:afterAutospacing="0" w:line="276" w:lineRule="auto"/>
              <w:ind w:left="0" w:right="0"/>
              <w:jc w:val="center"/>
              <w:rPr>
                <w:rFonts w:hint="default" w:ascii="Times New Roman" w:hAnsi="Times New Roman" w:cs="Times New Roman"/>
                <w:b/>
                <w:sz w:val="21"/>
                <w:szCs w:val="21"/>
              </w:rPr>
            </w:pPr>
            <w:r>
              <w:rPr>
                <w:rFonts w:hint="default" w:ascii="Times New Roman" w:hAnsi="Times New Roman" w:cs="Times New Roman"/>
                <w:b/>
                <w:sz w:val="21"/>
                <w:szCs w:val="21"/>
              </w:rPr>
              <w:t>应</w:t>
            </w:r>
          </w:p>
          <w:p>
            <w:pPr>
              <w:pStyle w:val="50"/>
              <w:keepNext w:val="0"/>
              <w:keepLines w:val="0"/>
              <w:widowControl w:val="0"/>
              <w:suppressLineNumbers w:val="0"/>
              <w:spacing w:before="0" w:beforeAutospacing="0" w:after="0" w:afterAutospacing="0" w:line="276" w:lineRule="auto"/>
              <w:ind w:left="0" w:right="0"/>
              <w:jc w:val="center"/>
              <w:rPr>
                <w:rFonts w:hint="default" w:ascii="Times New Roman" w:hAnsi="Times New Roman" w:cs="Times New Roman"/>
                <w:b/>
                <w:sz w:val="21"/>
                <w:szCs w:val="21"/>
              </w:rPr>
            </w:pPr>
            <w:r>
              <w:rPr>
                <w:rFonts w:hint="default" w:ascii="Times New Roman" w:hAnsi="Times New Roman" w:cs="Times New Roman"/>
                <w:b/>
                <w:sz w:val="21"/>
                <w:szCs w:val="21"/>
              </w:rPr>
              <w:t>急</w:t>
            </w:r>
          </w:p>
          <w:p>
            <w:pPr>
              <w:pStyle w:val="50"/>
              <w:keepNext w:val="0"/>
              <w:keepLines w:val="0"/>
              <w:widowControl w:val="0"/>
              <w:suppressLineNumbers w:val="0"/>
              <w:spacing w:before="0" w:beforeAutospacing="0" w:after="0" w:afterAutospacing="0" w:line="276" w:lineRule="auto"/>
              <w:ind w:left="0" w:right="0"/>
              <w:jc w:val="center"/>
              <w:rPr>
                <w:rFonts w:hint="default" w:ascii="Times New Roman" w:hAnsi="Times New Roman" w:cs="Times New Roman"/>
                <w:b/>
                <w:sz w:val="21"/>
                <w:szCs w:val="21"/>
              </w:rPr>
            </w:pPr>
            <w:r>
              <w:rPr>
                <w:rFonts w:hint="default" w:ascii="Times New Roman" w:hAnsi="Times New Roman" w:cs="Times New Roman"/>
                <w:b/>
                <w:sz w:val="21"/>
                <w:szCs w:val="21"/>
              </w:rPr>
              <w:t>处</w:t>
            </w:r>
          </w:p>
          <w:p>
            <w:pPr>
              <w:pStyle w:val="50"/>
              <w:keepNext w:val="0"/>
              <w:keepLines w:val="0"/>
              <w:widowControl w:val="0"/>
              <w:suppressLineNumbers w:val="0"/>
              <w:spacing w:before="0" w:beforeAutospacing="0" w:after="0" w:afterAutospacing="0" w:line="276" w:lineRule="auto"/>
              <w:ind w:left="0" w:right="0"/>
              <w:jc w:val="center"/>
              <w:rPr>
                <w:rFonts w:hint="default" w:ascii="Times New Roman" w:hAnsi="Times New Roman" w:cs="Times New Roman"/>
                <w:b/>
                <w:sz w:val="21"/>
                <w:szCs w:val="21"/>
              </w:rPr>
            </w:pPr>
            <w:r>
              <w:rPr>
                <w:rFonts w:hint="default" w:ascii="Times New Roman" w:hAnsi="Times New Roman" w:cs="Times New Roman"/>
                <w:b/>
                <w:sz w:val="21"/>
                <w:szCs w:val="21"/>
              </w:rPr>
              <w:t>置</w:t>
            </w:r>
          </w:p>
          <w:p>
            <w:pPr>
              <w:pStyle w:val="50"/>
              <w:keepNext w:val="0"/>
              <w:keepLines w:val="0"/>
              <w:widowControl w:val="0"/>
              <w:suppressLineNumbers w:val="0"/>
              <w:spacing w:before="0" w:beforeAutospacing="0" w:after="0" w:afterAutospacing="0" w:line="276" w:lineRule="auto"/>
              <w:ind w:left="0" w:right="0"/>
              <w:jc w:val="center"/>
              <w:rPr>
                <w:rFonts w:hint="default" w:ascii="Times New Roman" w:hAnsi="Times New Roman" w:cs="Times New Roman"/>
                <w:b/>
                <w:sz w:val="21"/>
                <w:szCs w:val="21"/>
              </w:rPr>
            </w:pPr>
            <w:r>
              <w:rPr>
                <w:rFonts w:hint="default" w:ascii="Times New Roman" w:hAnsi="Times New Roman" w:cs="Times New Roman"/>
                <w:b/>
                <w:sz w:val="21"/>
                <w:szCs w:val="21"/>
              </w:rPr>
              <w:t>原</w:t>
            </w:r>
          </w:p>
          <w:p>
            <w:pPr>
              <w:pStyle w:val="50"/>
              <w:keepNext w:val="0"/>
              <w:keepLines w:val="0"/>
              <w:widowControl w:val="0"/>
              <w:suppressLineNumbers w:val="0"/>
              <w:spacing w:before="0" w:beforeAutospacing="0" w:after="0" w:afterAutospacing="0" w:line="276" w:lineRule="auto"/>
              <w:ind w:left="0" w:right="0"/>
              <w:jc w:val="center"/>
              <w:rPr>
                <w:rFonts w:hint="default" w:ascii="Times New Roman" w:hAnsi="Times New Roman" w:cs="Times New Roman"/>
                <w:b/>
                <w:sz w:val="21"/>
                <w:szCs w:val="21"/>
              </w:rPr>
            </w:pPr>
            <w:r>
              <w:rPr>
                <w:rFonts w:hint="default" w:ascii="Times New Roman" w:hAnsi="Times New Roman" w:cs="Times New Roman"/>
                <w:b/>
                <w:sz w:val="21"/>
                <w:szCs w:val="21"/>
              </w:rPr>
              <w:t>则</w:t>
            </w:r>
          </w:p>
        </w:tc>
        <w:tc>
          <w:tcPr>
            <w:tcW w:w="8310" w:type="dxa"/>
          </w:tcPr>
          <w:p>
            <w:pPr>
              <w:pStyle w:val="38"/>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【急救措施】</w:t>
            </w:r>
          </w:p>
          <w:p>
            <w:pPr>
              <w:pStyle w:val="38"/>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吸入：迅速脱离现场至空气新鲜处。保持呼吸道通畅。如呼吸困难，给氧。如呼吸停止，立即进行人工呼吸。就医。</w:t>
            </w:r>
          </w:p>
          <w:p>
            <w:pPr>
              <w:pStyle w:val="38"/>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食入：给饮牛奶或用植物油洗胃和灌肠。就医。</w:t>
            </w:r>
          </w:p>
          <w:p>
            <w:pPr>
              <w:pStyle w:val="38"/>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皮肤接触：立即脱去污染的衣着，用肥皂水和清水彻底冲洗皮肤。就医。</w:t>
            </w:r>
          </w:p>
          <w:p>
            <w:pPr>
              <w:pStyle w:val="38"/>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眼睛接触：立即提起眼睑，用大量流动清水或生理盐水彻底冲洗至少15分钟。就医。</w:t>
            </w:r>
          </w:p>
          <w:p>
            <w:pPr>
              <w:pStyle w:val="38"/>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【灭火方法】</w:t>
            </w:r>
          </w:p>
          <w:p>
            <w:pPr>
              <w:pStyle w:val="38"/>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喷水冷却容器，尽可能将容器从火场移至空旷处。</w:t>
            </w:r>
          </w:p>
          <w:p>
            <w:pPr>
              <w:pStyle w:val="38"/>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灭火剂：泡沫、干粉、二氧化碳。用水灭火无效。</w:t>
            </w:r>
          </w:p>
          <w:p>
            <w:pPr>
              <w:pStyle w:val="38"/>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【泄漏应急处置】</w:t>
            </w:r>
          </w:p>
          <w:p>
            <w:pPr>
              <w:pStyle w:val="38"/>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消除所有点火源。根据液体流动和蒸气扩散的影响区域划定警戒区，无关人员从侧风、上风向撤离至安全区。建议应急处理人员戴正压自给式空气呼吸器，穿防毒、防静电服。作业时使用的所有设备应接地。禁止接触或跨越泄漏物。尽可能切断泄漏源。防止泄漏物进入水体、下水道、地下室或密闭性空间。小量泄漏：用砂土或其它不燃材料吸收。使用洁净的无火花工具收集吸收材料。大量泄漏：构筑围堤或挖坑收容。用泡沫覆盖，减少蒸发。喷水雾能减少蒸发，但不能降低泄漏物在受限制空间内的易燃性。用防爆泵转移至槽车或专用收集器内。</w:t>
            </w:r>
          </w:p>
          <w:p>
            <w:pPr>
              <w:pStyle w:val="38"/>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作为一项紧急预防措施，泄漏隔离距离至少为50m。如果为大量泄漏，下风向的初始疏散距离应至少为300m。</w:t>
            </w:r>
          </w:p>
        </w:tc>
      </w:tr>
    </w:tbl>
    <w:p>
      <w:pPr>
        <w:rPr>
          <w:rFonts w:hint="default" w:ascii="Times New Roman" w:hAnsi="Times New Roman" w:cs="Times New Roman"/>
        </w:rPr>
      </w:pPr>
    </w:p>
    <w:p>
      <w:pPr>
        <w:rPr>
          <w:rFonts w:hint="default" w:ascii="Times New Roman" w:hAnsi="Times New Roman" w:cs="Times New Roman"/>
        </w:rPr>
      </w:pPr>
      <w:bookmarkStart w:id="1043" w:name="_Toc25957_WPSOffice_Level1"/>
      <w:bookmarkStart w:id="1044" w:name="_Toc1622_WPSOffice_Level1"/>
      <w:r>
        <w:rPr>
          <w:rFonts w:hint="default" w:ascii="Times New Roman" w:hAnsi="Times New Roman" w:cs="Times New Roman"/>
        </w:rPr>
        <w:br w:type="page"/>
      </w:r>
    </w:p>
    <w:p>
      <w:pPr>
        <w:pStyle w:val="3"/>
        <w:spacing w:beforeLines="100" w:afterLines="100"/>
        <w:ind w:firstLine="0"/>
        <w:jc w:val="center"/>
        <w:rPr>
          <w:rFonts w:hint="default" w:ascii="Times New Roman" w:hAnsi="Times New Roman" w:cs="Times New Roman"/>
        </w:rPr>
      </w:pPr>
      <w:bookmarkStart w:id="1045" w:name="_Toc8659"/>
      <w:bookmarkStart w:id="1046" w:name="_Toc7849"/>
      <w:bookmarkStart w:id="1047" w:name="_Toc14023"/>
      <w:bookmarkStart w:id="1048" w:name="_Toc18026"/>
      <w:bookmarkStart w:id="1049" w:name="_Toc2141"/>
      <w:bookmarkStart w:id="1050" w:name="_Toc9867"/>
      <w:bookmarkStart w:id="1051" w:name="_Toc9485"/>
      <w:bookmarkStart w:id="1052" w:name="_Toc42"/>
      <w:bookmarkStart w:id="1053" w:name="_Toc30453"/>
      <w:bookmarkStart w:id="1054" w:name="_Toc3028"/>
      <w:bookmarkStart w:id="1055" w:name="_Toc131"/>
      <w:bookmarkStart w:id="1056" w:name="_Toc16797"/>
      <w:bookmarkStart w:id="1057" w:name="_Toc32356"/>
      <w:bookmarkStart w:id="1058" w:name="_Toc9769"/>
      <w:bookmarkStart w:id="1059" w:name="_Toc14350"/>
      <w:bookmarkStart w:id="1060" w:name="_Toc11922"/>
      <w:bookmarkStart w:id="1061" w:name="_Toc2695_WPSOffice_Level1"/>
      <w:bookmarkStart w:id="1062" w:name="_Toc31235"/>
      <w:bookmarkStart w:id="1063" w:name="_Toc9245"/>
      <w:bookmarkStart w:id="1064" w:name="_Toc24380"/>
      <w:bookmarkStart w:id="1065" w:name="_Toc19529"/>
      <w:bookmarkStart w:id="1066" w:name="_Toc3577"/>
      <w:bookmarkStart w:id="1067" w:name="_Toc26543"/>
      <w:r>
        <w:rPr>
          <w:rFonts w:hint="default" w:ascii="Times New Roman" w:hAnsi="Times New Roman" w:cs="Times New Roman"/>
        </w:rPr>
        <w:t>9 安全评价结论</w:t>
      </w:r>
      <w:bookmarkEnd w:id="1043"/>
      <w:bookmarkEnd w:id="1044"/>
      <w:bookmarkEnd w:id="1045"/>
      <w:bookmarkEnd w:id="1046"/>
      <w:bookmarkEnd w:id="1047"/>
      <w:bookmarkEnd w:id="1048"/>
      <w:bookmarkEnd w:id="1049"/>
      <w:bookmarkEnd w:id="1050"/>
      <w:bookmarkEnd w:id="1051"/>
      <w:bookmarkEnd w:id="1052"/>
      <w:bookmarkEnd w:id="1053"/>
      <w:bookmarkEnd w:id="1054"/>
      <w:bookmarkEnd w:id="1055"/>
      <w:bookmarkEnd w:id="1056"/>
      <w:bookmarkEnd w:id="1057"/>
      <w:bookmarkEnd w:id="1058"/>
      <w:bookmarkEnd w:id="1059"/>
      <w:bookmarkEnd w:id="1060"/>
      <w:bookmarkEnd w:id="1061"/>
      <w:bookmarkEnd w:id="1062"/>
      <w:bookmarkEnd w:id="1063"/>
      <w:bookmarkEnd w:id="1064"/>
      <w:bookmarkEnd w:id="1065"/>
      <w:bookmarkEnd w:id="1066"/>
      <w:bookmarkEnd w:id="1067"/>
    </w:p>
    <w:p>
      <w:pPr>
        <w:pStyle w:val="11"/>
        <w:spacing w:line="500" w:lineRule="exact"/>
        <w:ind w:firstLine="548" w:firstLineChars="200"/>
        <w:jc w:val="both"/>
        <w:rPr>
          <w:rFonts w:hint="default" w:ascii="Times New Roman" w:hAnsi="Times New Roman" w:cs="Times New Roman"/>
        </w:rPr>
      </w:pPr>
      <w:r>
        <w:rPr>
          <w:rFonts w:hint="default" w:ascii="Times New Roman" w:hAnsi="Times New Roman" w:cs="Times New Roman"/>
          <w:spacing w:val="-3"/>
          <w:lang w:val="en-US"/>
        </w:rPr>
        <w:t>1</w:t>
      </w:r>
      <w:r>
        <w:rPr>
          <w:rFonts w:hint="default" w:ascii="Times New Roman" w:hAnsi="Times New Roman" w:cs="Times New Roman"/>
          <w:spacing w:val="-3"/>
        </w:rPr>
        <w:t>）</w:t>
      </w:r>
      <w:r>
        <w:rPr>
          <w:rFonts w:hint="default" w:ascii="Times New Roman" w:hAnsi="Times New Roman" w:cs="Times New Roman"/>
          <w:lang w:eastAsia="zh-CN"/>
        </w:rPr>
        <w:t>评价组通过对该油站涉及的危险、有害因素进行辨识和分析评价，该油站存在的危险有害因素是：火灾爆炸、中毒和窒息、触电、车辆伤害</w:t>
      </w:r>
      <w:r>
        <w:rPr>
          <w:rFonts w:hint="eastAsia" w:ascii="Times New Roman" w:hAnsi="Times New Roman" w:cs="Times New Roman"/>
          <w:lang w:eastAsia="zh-CN"/>
        </w:rPr>
        <w:t>、机械伤害</w:t>
      </w:r>
      <w:r>
        <w:rPr>
          <w:rFonts w:hint="default" w:ascii="Times New Roman" w:hAnsi="Times New Roman" w:cs="Times New Roman"/>
          <w:lang w:eastAsia="zh-CN"/>
        </w:rPr>
        <w:t>等，其中火灾爆炸、中毒和窒息是主要危险有害因素；</w:t>
      </w:r>
    </w:p>
    <w:p>
      <w:pPr>
        <w:pStyle w:val="11"/>
        <w:spacing w:line="500" w:lineRule="exact"/>
        <w:ind w:firstLine="560" w:firstLineChars="200"/>
        <w:jc w:val="both"/>
        <w:rPr>
          <w:rFonts w:hint="default" w:ascii="Times New Roman" w:hAnsi="Times New Roman" w:cs="Times New Roman"/>
          <w:lang w:eastAsia="zh-CN"/>
        </w:rPr>
      </w:pPr>
      <w:r>
        <w:rPr>
          <w:rFonts w:hint="default" w:ascii="Times New Roman" w:hAnsi="Times New Roman" w:cs="Times New Roman"/>
          <w:lang w:val="en-US"/>
        </w:rPr>
        <w:t>2</w:t>
      </w:r>
      <w:r>
        <w:rPr>
          <w:rFonts w:hint="default" w:ascii="Times New Roman" w:hAnsi="Times New Roman" w:cs="Times New Roman"/>
        </w:rPr>
        <w:t>）</w:t>
      </w:r>
      <w:r>
        <w:rPr>
          <w:rFonts w:hint="default" w:ascii="Times New Roman" w:hAnsi="Times New Roman" w:cs="Times New Roman"/>
          <w:lang w:eastAsia="zh-CN"/>
        </w:rPr>
        <w:t>依据《危险化学品重大危险源辨识》（GB18218—2018），</w:t>
      </w:r>
      <w:r>
        <w:rPr>
          <w:rFonts w:hint="eastAsia" w:ascii="Times New Roman" w:hAnsi="Times New Roman" w:cs="Times New Roman"/>
          <w:lang w:eastAsia="zh-CN"/>
        </w:rPr>
        <w:t>东城加油站新增自动洗车机后</w:t>
      </w:r>
      <w:r>
        <w:rPr>
          <w:rFonts w:hint="default" w:ascii="Times New Roman" w:hAnsi="Times New Roman" w:cs="Times New Roman"/>
          <w:lang w:eastAsia="zh-CN"/>
        </w:rPr>
        <w:t>储存单元未构成危险化学品重大危险源。</w:t>
      </w:r>
    </w:p>
    <w:p>
      <w:pPr>
        <w:pStyle w:val="11"/>
        <w:spacing w:line="500" w:lineRule="exact"/>
        <w:ind w:firstLine="560" w:firstLineChars="200"/>
        <w:jc w:val="both"/>
        <w:rPr>
          <w:rFonts w:hint="default" w:ascii="Times New Roman" w:hAnsi="Times New Roman" w:cs="Times New Roman"/>
          <w:highlight w:val="none"/>
          <w:lang w:val="en-US"/>
        </w:rPr>
      </w:pPr>
      <w:r>
        <w:rPr>
          <w:rFonts w:hint="eastAsia" w:ascii="Times New Roman" w:hAnsi="Times New Roman" w:cs="Times New Roman"/>
          <w:lang w:val="en-US" w:eastAsia="zh-CN"/>
        </w:rPr>
        <w:t>3）</w:t>
      </w:r>
      <w:r>
        <w:rPr>
          <w:rFonts w:hint="eastAsia" w:ascii="Times New Roman" w:hAnsi="Times New Roman" w:cs="Times New Roman"/>
          <w:highlight w:val="none"/>
          <w:lang w:val="en-US" w:eastAsia="zh-CN"/>
        </w:rPr>
        <w:t>东城加油站新增自动洗车机后，</w:t>
      </w:r>
      <w:r>
        <w:rPr>
          <w:rFonts w:hint="default" w:ascii="Times New Roman" w:hAnsi="Times New Roman" w:cs="Times New Roman"/>
          <w:highlight w:val="none"/>
          <w:lang w:val="en-US"/>
        </w:rPr>
        <w:t>按照《加油站安全评价现场检查表》对油站进行检查评价，检查表</w:t>
      </w:r>
      <w:r>
        <w:rPr>
          <w:rFonts w:hint="default" w:ascii="Times New Roman" w:hAnsi="Times New Roman" w:cs="Times New Roman"/>
          <w:color w:val="auto"/>
          <w:highlight w:val="none"/>
          <w:lang w:val="en-US"/>
        </w:rPr>
        <w:t>共10</w:t>
      </w:r>
      <w:r>
        <w:rPr>
          <w:rFonts w:hint="eastAsia" w:ascii="Times New Roman" w:hAnsi="Times New Roman" w:cs="Times New Roman"/>
          <w:color w:val="auto"/>
          <w:highlight w:val="none"/>
          <w:lang w:val="en-US" w:eastAsia="zh-CN"/>
        </w:rPr>
        <w:t>5</w:t>
      </w:r>
      <w:r>
        <w:rPr>
          <w:rFonts w:hint="default" w:ascii="Times New Roman" w:hAnsi="Times New Roman" w:cs="Times New Roman"/>
          <w:color w:val="auto"/>
          <w:highlight w:val="none"/>
          <w:lang w:val="en-US"/>
        </w:rPr>
        <w:t>项，其中10</w:t>
      </w:r>
      <w:r>
        <w:rPr>
          <w:rFonts w:hint="eastAsia" w:ascii="Times New Roman" w:hAnsi="Times New Roman" w:cs="Times New Roman"/>
          <w:color w:val="auto"/>
          <w:highlight w:val="none"/>
          <w:lang w:val="en-US" w:eastAsia="zh-CN"/>
        </w:rPr>
        <w:t>2</w:t>
      </w:r>
      <w:r>
        <w:rPr>
          <w:rFonts w:hint="default" w:ascii="Times New Roman" w:hAnsi="Times New Roman" w:cs="Times New Roman"/>
          <w:color w:val="auto"/>
          <w:highlight w:val="none"/>
          <w:lang w:val="en-US"/>
        </w:rPr>
        <w:t>项实有项，实有项全部合格。</w:t>
      </w:r>
    </w:p>
    <w:p>
      <w:pPr>
        <w:pStyle w:val="11"/>
        <w:spacing w:line="500" w:lineRule="exact"/>
        <w:ind w:firstLine="528" w:firstLineChars="200"/>
        <w:jc w:val="both"/>
        <w:rPr>
          <w:rFonts w:hint="default" w:ascii="Times New Roman" w:hAnsi="Times New Roman" w:cs="Times New Roman"/>
          <w:spacing w:val="-3"/>
          <w:highlight w:val="yellow"/>
          <w:lang w:eastAsia="zh-CN"/>
        </w:rPr>
      </w:pPr>
      <w:r>
        <w:rPr>
          <w:rFonts w:hint="eastAsia" w:ascii="Times New Roman" w:hAnsi="Times New Roman" w:cs="Times New Roman"/>
          <w:spacing w:val="-8"/>
          <w:highlight w:val="none"/>
          <w:lang w:val="en-US" w:eastAsia="zh-CN"/>
        </w:rPr>
        <w:t>4</w:t>
      </w:r>
      <w:r>
        <w:rPr>
          <w:rFonts w:hint="default" w:ascii="Times New Roman" w:hAnsi="Times New Roman" w:cs="Times New Roman"/>
          <w:spacing w:val="-8"/>
          <w:highlight w:val="none"/>
        </w:rPr>
        <w:t>）</w:t>
      </w:r>
      <w:r>
        <w:rPr>
          <w:rFonts w:hint="default" w:ascii="Times New Roman" w:hAnsi="Times New Roman" w:cs="Times New Roman"/>
          <w:spacing w:val="-3"/>
          <w:highlight w:val="none"/>
          <w:lang w:eastAsia="zh-CN"/>
        </w:rPr>
        <w:t>从上表可以看出：采用道化法（七版）对所选取单元进行火灾爆炸危险评价结果为：汽油储罐单元火灾爆炸危险评价结果为6</w:t>
      </w:r>
      <w:r>
        <w:rPr>
          <w:rFonts w:hint="eastAsia" w:ascii="Times New Roman" w:hAnsi="Times New Roman" w:cs="Times New Roman"/>
          <w:spacing w:val="-3"/>
          <w:highlight w:val="none"/>
          <w:lang w:val="en-US" w:eastAsia="zh-CN"/>
        </w:rPr>
        <w:t>5</w:t>
      </w:r>
      <w:r>
        <w:rPr>
          <w:rFonts w:hint="default" w:ascii="Times New Roman" w:hAnsi="Times New Roman" w:cs="Times New Roman"/>
          <w:spacing w:val="-3"/>
          <w:highlight w:val="none"/>
          <w:lang w:eastAsia="zh-CN"/>
        </w:rPr>
        <w:t>.0</w:t>
      </w:r>
      <w:r>
        <w:rPr>
          <w:rFonts w:hint="eastAsia" w:ascii="Times New Roman" w:hAnsi="Times New Roman" w:cs="Times New Roman"/>
          <w:spacing w:val="-3"/>
          <w:highlight w:val="none"/>
          <w:lang w:val="en-US" w:eastAsia="zh-CN"/>
        </w:rPr>
        <w:t>4</w:t>
      </w:r>
      <w:r>
        <w:rPr>
          <w:rFonts w:hint="default" w:ascii="Times New Roman" w:hAnsi="Times New Roman" w:cs="Times New Roman"/>
          <w:spacing w:val="-3"/>
          <w:highlight w:val="none"/>
          <w:lang w:eastAsia="zh-CN"/>
        </w:rPr>
        <w:t>，火灾爆炸危险属“较轻”，暴露半径为16.</w:t>
      </w:r>
      <w:r>
        <w:rPr>
          <w:rFonts w:hint="eastAsia" w:ascii="Times New Roman" w:hAnsi="Times New Roman" w:cs="Times New Roman"/>
          <w:spacing w:val="-3"/>
          <w:highlight w:val="none"/>
          <w:lang w:val="en-US" w:eastAsia="zh-CN"/>
        </w:rPr>
        <w:t>65</w:t>
      </w:r>
      <w:r>
        <w:rPr>
          <w:rFonts w:hint="default" w:ascii="Times New Roman" w:hAnsi="Times New Roman" w:cs="Times New Roman"/>
          <w:spacing w:val="-3"/>
          <w:highlight w:val="none"/>
          <w:lang w:eastAsia="zh-CN"/>
        </w:rPr>
        <w:t>m，暴露区域面积为8</w:t>
      </w:r>
      <w:r>
        <w:rPr>
          <w:rFonts w:hint="eastAsia" w:ascii="Times New Roman" w:hAnsi="Times New Roman" w:cs="Times New Roman"/>
          <w:spacing w:val="-3"/>
          <w:highlight w:val="none"/>
          <w:lang w:val="en-US" w:eastAsia="zh-CN"/>
        </w:rPr>
        <w:t>70</w:t>
      </w:r>
      <w:r>
        <w:rPr>
          <w:rFonts w:hint="default" w:ascii="Times New Roman" w:hAnsi="Times New Roman" w:cs="Times New Roman"/>
          <w:spacing w:val="-3"/>
          <w:highlight w:val="none"/>
          <w:lang w:eastAsia="zh-CN"/>
        </w:rPr>
        <w:t>.5</w:t>
      </w:r>
      <w:r>
        <w:rPr>
          <w:rFonts w:hint="eastAsia" w:ascii="Times New Roman" w:hAnsi="Times New Roman" w:cs="Times New Roman"/>
          <w:spacing w:val="-3"/>
          <w:highlight w:val="none"/>
          <w:lang w:eastAsia="zh-CN"/>
        </w:rPr>
        <w:t>㎡</w:t>
      </w:r>
      <w:r>
        <w:rPr>
          <w:rFonts w:hint="default" w:ascii="Times New Roman" w:hAnsi="Times New Roman" w:cs="Times New Roman"/>
          <w:spacing w:val="-3"/>
          <w:highlight w:val="none"/>
          <w:lang w:eastAsia="zh-CN"/>
        </w:rPr>
        <w:t>，一旦发生事故，暴露半径内为46%的财产可能破坏，采用安全补偿措施后，可使该单元的损失降低到35.4%，损失降低10.6%。</w:t>
      </w:r>
    </w:p>
    <w:p>
      <w:pPr>
        <w:pStyle w:val="11"/>
        <w:spacing w:line="500" w:lineRule="exact"/>
        <w:ind w:firstLine="560" w:firstLineChars="200"/>
        <w:jc w:val="both"/>
        <w:rPr>
          <w:rFonts w:hint="default" w:ascii="Times New Roman" w:hAnsi="Times New Roman" w:cs="Times New Roman"/>
        </w:rPr>
      </w:pPr>
      <w:r>
        <w:rPr>
          <w:rFonts w:hint="eastAsia" w:ascii="Times New Roman" w:hAnsi="Times New Roman" w:cs="Times New Roman"/>
          <w:lang w:val="en-US" w:eastAsia="zh-CN"/>
        </w:rPr>
        <w:t>5</w:t>
      </w:r>
      <w:r>
        <w:rPr>
          <w:rFonts w:hint="default" w:ascii="Times New Roman" w:hAnsi="Times New Roman" w:cs="Times New Roman"/>
        </w:rPr>
        <w:t>）通过事故树分析，火源与达到爆炸极限的混合油气构成了加油站燃爆事故发生的要素。条件事件a(达到爆炸极限浓度)结构重要系数最大，是燃爆事故发生的最重要条件，这就要求采取针对措施，如安装气体报警装置．对混合气浓度进行监测，一旦接近危险浓度即行报警，使管理人员立刻采取预防措施，可避免事故发生。构成油品泄漏的基本事件结构重要度次之，由此可知，加油机、管道、油罐的密封是否良好在防止燃爆事故发生中占据着十分重要的地位。另外，加强加油站安全管理，严禁吸烟和动用明火，防止铁器撞击，防止产生静电火花以及加油点电气设备要符合防火防爆要求等，也是防止燃爆事故发生的必要条件。</w:t>
      </w:r>
    </w:p>
    <w:p>
      <w:pPr>
        <w:pStyle w:val="11"/>
        <w:spacing w:line="500" w:lineRule="exact"/>
        <w:ind w:firstLine="528" w:firstLineChars="200"/>
        <w:jc w:val="both"/>
        <w:rPr>
          <w:rFonts w:hint="default" w:ascii="Times New Roman" w:hAnsi="Times New Roman" w:cs="Times New Roman"/>
          <w:spacing w:val="-8"/>
          <w:lang w:val="en-US" w:eastAsia="zh-CN"/>
        </w:rPr>
      </w:pPr>
      <w:r>
        <w:rPr>
          <w:rFonts w:hint="default" w:ascii="Times New Roman" w:hAnsi="Times New Roman" w:cs="Times New Roman"/>
          <w:spacing w:val="-8"/>
          <w:lang w:val="en-US" w:eastAsia="zh-CN"/>
        </w:rPr>
        <w:t>6）</w:t>
      </w:r>
      <w:r>
        <w:rPr>
          <w:rFonts w:hint="eastAsia" w:ascii="Times New Roman" w:hAnsi="Times New Roman" w:cs="Times New Roman"/>
          <w:lang w:val="en-US" w:eastAsia="zh-CN"/>
        </w:rPr>
        <w:t>东城加油站新增自动洗车机后，</w:t>
      </w:r>
      <w:r>
        <w:rPr>
          <w:rFonts w:hint="default" w:ascii="Times New Roman" w:hAnsi="Times New Roman" w:cs="Times New Roman"/>
          <w:spacing w:val="-8"/>
          <w:lang w:val="en-US" w:eastAsia="zh-CN"/>
        </w:rPr>
        <w:t>采用作业条件危险性评价法对</w:t>
      </w:r>
      <w:r>
        <w:rPr>
          <w:rFonts w:hint="eastAsia" w:ascii="Times New Roman" w:hAnsi="Times New Roman" w:cs="Times New Roman"/>
          <w:spacing w:val="-8"/>
          <w:lang w:val="en-US" w:eastAsia="zh-CN"/>
        </w:rPr>
        <w:t>东城加油站</w:t>
      </w:r>
      <w:r>
        <w:rPr>
          <w:rFonts w:hint="default" w:ascii="Times New Roman" w:hAnsi="Times New Roman" w:cs="Times New Roman"/>
          <w:spacing w:val="-8"/>
          <w:lang w:val="en-US" w:eastAsia="zh-CN"/>
        </w:rPr>
        <w:t>主要作业场所危险性定量分析结果是：加油区、埋地储罐区的火灾、爆炸作业危险性计算值最高，均属于“一般危险，需要注意”，其它的作业危险性如：中毒窒息、触电、车辆伤害、高处坠落、</w:t>
      </w:r>
      <w:r>
        <w:rPr>
          <w:rFonts w:hint="eastAsia" w:ascii="Times New Roman" w:hAnsi="Times New Roman" w:cs="Times New Roman"/>
          <w:spacing w:val="-8"/>
          <w:lang w:val="en-US" w:eastAsia="zh-CN"/>
        </w:rPr>
        <w:t>机械伤害、</w:t>
      </w:r>
      <w:r>
        <w:rPr>
          <w:rFonts w:hint="default" w:ascii="Times New Roman" w:hAnsi="Times New Roman" w:cs="Times New Roman"/>
          <w:spacing w:val="-8"/>
          <w:lang w:val="en-US" w:eastAsia="zh-CN"/>
        </w:rPr>
        <w:t>其他伤害等属于“稍有危险”或“一般危险”。</w:t>
      </w:r>
    </w:p>
    <w:p>
      <w:pPr>
        <w:pStyle w:val="11"/>
        <w:spacing w:line="500" w:lineRule="exact"/>
        <w:ind w:firstLine="528" w:firstLineChars="200"/>
        <w:jc w:val="both"/>
        <w:rPr>
          <w:rFonts w:hint="default" w:ascii="Times New Roman" w:hAnsi="Times New Roman" w:cs="Times New Roman"/>
          <w:spacing w:val="-8"/>
          <w:lang w:val="en-US" w:eastAsia="zh-CN"/>
        </w:rPr>
      </w:pPr>
      <w:r>
        <w:rPr>
          <w:rFonts w:hint="default" w:ascii="Times New Roman" w:hAnsi="Times New Roman" w:cs="Times New Roman"/>
          <w:spacing w:val="-8"/>
          <w:lang w:val="en-US" w:eastAsia="zh-CN"/>
        </w:rPr>
        <w:t>7）</w:t>
      </w:r>
      <w:r>
        <w:rPr>
          <w:rFonts w:hint="eastAsia" w:ascii="Times New Roman" w:hAnsi="Times New Roman" w:cs="Times New Roman"/>
          <w:spacing w:val="-8"/>
          <w:lang w:val="en-US" w:eastAsia="zh-CN"/>
        </w:rPr>
        <w:t>东城加油站</w:t>
      </w:r>
      <w:r>
        <w:rPr>
          <w:rFonts w:hint="default" w:ascii="Times New Roman" w:hAnsi="Times New Roman" w:cs="Times New Roman"/>
          <w:spacing w:val="-8"/>
          <w:lang w:val="en-US" w:eastAsia="zh-CN"/>
        </w:rPr>
        <w:t>建立有完善的安全生产管理制度、制定有事故应急救援预案以及应急救援队伍；</w:t>
      </w:r>
    </w:p>
    <w:p>
      <w:pPr>
        <w:pStyle w:val="11"/>
        <w:spacing w:line="500" w:lineRule="exact"/>
        <w:ind w:firstLine="528" w:firstLineChars="200"/>
        <w:jc w:val="both"/>
        <w:rPr>
          <w:rFonts w:hint="default" w:ascii="Times New Roman" w:hAnsi="Times New Roman" w:cs="Times New Roman"/>
          <w:spacing w:val="-8"/>
          <w:lang w:val="en-US" w:eastAsia="zh-CN"/>
        </w:rPr>
      </w:pPr>
      <w:r>
        <w:rPr>
          <w:rFonts w:hint="default" w:ascii="Times New Roman" w:hAnsi="Times New Roman" w:cs="Times New Roman"/>
          <w:spacing w:val="-8"/>
          <w:lang w:val="en-US" w:eastAsia="zh-CN"/>
        </w:rPr>
        <w:t>8）</w:t>
      </w:r>
      <w:r>
        <w:rPr>
          <w:rFonts w:hint="eastAsia" w:ascii="Times New Roman" w:hAnsi="Times New Roman" w:cs="Times New Roman"/>
          <w:spacing w:val="-8"/>
          <w:lang w:val="en-US" w:eastAsia="zh-CN"/>
        </w:rPr>
        <w:t>东城加油站</w:t>
      </w:r>
      <w:r>
        <w:rPr>
          <w:rFonts w:hint="default" w:ascii="Times New Roman" w:hAnsi="Times New Roman" w:cs="Times New Roman"/>
          <w:spacing w:val="-8"/>
          <w:lang w:val="en-US" w:eastAsia="zh-CN"/>
        </w:rPr>
        <w:t>安全管理组织机构健全，加油站安全主要负责人和安全管理人员经考核合格，取得相关上岗资格证；</w:t>
      </w:r>
    </w:p>
    <w:p>
      <w:pPr>
        <w:pStyle w:val="11"/>
        <w:spacing w:line="500" w:lineRule="exact"/>
        <w:ind w:firstLine="528" w:firstLineChars="200"/>
        <w:jc w:val="both"/>
        <w:rPr>
          <w:rFonts w:hint="default" w:ascii="Times New Roman" w:hAnsi="Times New Roman" w:cs="Times New Roman"/>
          <w:lang w:val="en-US" w:eastAsia="zh-CN"/>
        </w:rPr>
      </w:pPr>
      <w:r>
        <w:rPr>
          <w:rFonts w:hint="default" w:ascii="Times New Roman" w:hAnsi="Times New Roman" w:cs="Times New Roman"/>
          <w:spacing w:val="-8"/>
          <w:lang w:val="en-US" w:eastAsia="zh-CN"/>
        </w:rPr>
        <w:t>9）</w:t>
      </w:r>
      <w:r>
        <w:rPr>
          <w:rFonts w:hint="eastAsia" w:ascii="Times New Roman" w:hAnsi="Times New Roman" w:cs="Times New Roman"/>
          <w:lang w:val="en-US" w:eastAsia="zh-CN"/>
        </w:rPr>
        <w:t>东城加油站新增自动洗车机后，</w:t>
      </w:r>
      <w:r>
        <w:rPr>
          <w:rFonts w:hint="default" w:ascii="Times New Roman" w:hAnsi="Times New Roman" w:cs="Times New Roman"/>
          <w:spacing w:val="-8"/>
          <w:lang w:val="en-US" w:eastAsia="zh-CN"/>
        </w:rPr>
        <w:t>加油站站内设施与周边建筑安全距离均能满足《汽车加油加气站设计与</w:t>
      </w:r>
      <w:r>
        <w:rPr>
          <w:rFonts w:hint="default" w:ascii="Times New Roman" w:hAnsi="Times New Roman" w:cs="Times New Roman"/>
          <w:lang w:val="en-US" w:eastAsia="zh-CN"/>
        </w:rPr>
        <w:t>施工规范》（GB50156-2012，2014年版）的要求，建设项目的实施对周围环境影响不大；</w:t>
      </w:r>
    </w:p>
    <w:p>
      <w:pPr>
        <w:pStyle w:val="11"/>
        <w:spacing w:line="500" w:lineRule="exact"/>
        <w:ind w:firstLine="560" w:firstLineChars="200"/>
        <w:jc w:val="both"/>
        <w:rPr>
          <w:rFonts w:hint="default" w:ascii="Times New Roman" w:hAnsi="Times New Roman" w:cs="Times New Roman"/>
          <w:lang w:val="en-US" w:eastAsia="zh-CN"/>
        </w:rPr>
      </w:pPr>
      <w:r>
        <w:rPr>
          <w:rFonts w:hint="default" w:ascii="Times New Roman" w:hAnsi="Times New Roman" w:cs="Times New Roman"/>
          <w:lang w:val="en-US" w:eastAsia="zh-CN"/>
        </w:rPr>
        <w:t>10）</w:t>
      </w:r>
      <w:r>
        <w:rPr>
          <w:rFonts w:hint="eastAsia" w:ascii="Times New Roman" w:hAnsi="Times New Roman" w:cs="Times New Roman"/>
          <w:lang w:val="en-US" w:eastAsia="zh-CN"/>
        </w:rPr>
        <w:t>东城加油站新增自动洗车机后，</w:t>
      </w:r>
      <w:r>
        <w:rPr>
          <w:rFonts w:hint="default" w:ascii="Times New Roman" w:hAnsi="Times New Roman" w:cs="Times New Roman"/>
          <w:lang w:val="en-US" w:eastAsia="zh-CN"/>
        </w:rPr>
        <w:t>加油站站内总平面布置与站内设施的防火距离满足《汽车加油加气站设计与施工规范》（GB50156-2012，2014年版）的要求，加油站采用了卸油、加油油气回收系统，并加强了企业安全管理，能够满足安全及环保方面的要求；</w:t>
      </w:r>
    </w:p>
    <w:p>
      <w:pPr>
        <w:pStyle w:val="11"/>
        <w:spacing w:line="500" w:lineRule="exact"/>
        <w:ind w:firstLine="560" w:firstLineChars="200"/>
        <w:jc w:val="both"/>
        <w:rPr>
          <w:rFonts w:hint="default" w:ascii="Times New Roman" w:hAnsi="Times New Roman" w:cs="Times New Roman"/>
        </w:rPr>
      </w:pPr>
      <w:r>
        <w:rPr>
          <w:rFonts w:hint="default" w:ascii="Times New Roman" w:hAnsi="Times New Roman" w:cs="Times New Roman"/>
          <w:lang w:val="en-US"/>
        </w:rPr>
        <w:t>综上所述，</w:t>
      </w:r>
      <w:r>
        <w:rPr>
          <w:rFonts w:hint="eastAsia" w:ascii="Times New Roman" w:hAnsi="Times New Roman" w:cs="Times New Roman"/>
          <w:lang w:val="en-US" w:eastAsia="zh-CN"/>
        </w:rPr>
        <w:t>东城加油站</w:t>
      </w:r>
      <w:r>
        <w:rPr>
          <w:rFonts w:hint="default" w:ascii="Times New Roman" w:hAnsi="Times New Roman" w:cs="Times New Roman"/>
          <w:lang w:val="en-US"/>
        </w:rPr>
        <w:t>新增自动洗车机项目安全设施已与主体工程同时设计、同时施工、同时投入生产和使用，该建设项目及与之配套的安全设施符合现行的国家有关安全生产的法律、法规和技术标准的要求。</w:t>
      </w:r>
    </w:p>
    <w:p>
      <w:pPr>
        <w:pStyle w:val="11"/>
        <w:ind w:firstLine="548"/>
        <w:rPr>
          <w:rFonts w:hint="default" w:ascii="Times New Roman" w:hAnsi="Times New Roman" w:cs="Times New Roman"/>
        </w:rPr>
      </w:pPr>
    </w:p>
    <w:p>
      <w:pPr>
        <w:pStyle w:val="11"/>
        <w:spacing w:line="500" w:lineRule="atLeast"/>
        <w:ind w:firstLine="562" w:firstLineChars="200"/>
        <w:rPr>
          <w:rFonts w:hint="default" w:ascii="Times New Roman" w:hAnsi="Times New Roman" w:cs="Times New Roman"/>
          <w:b/>
          <w:highlight w:val="yellow"/>
        </w:rPr>
      </w:pPr>
      <w:r>
        <w:rPr>
          <w:rFonts w:hint="default" w:ascii="Times New Roman" w:hAnsi="Times New Roman" w:cs="Times New Roman"/>
          <w:b/>
          <w:highlight w:val="none"/>
        </w:rPr>
        <w:t>本报告结论：</w:t>
      </w:r>
      <w:r>
        <w:rPr>
          <w:rFonts w:hint="eastAsia"/>
          <w:b/>
          <w:sz w:val="28"/>
          <w:szCs w:val="28"/>
          <w:lang w:eastAsia="zh-CN"/>
        </w:rPr>
        <w:t>中国石化销售股份有限公司广东东莞石碣唐洪东城加油站</w:t>
      </w:r>
      <w:r>
        <w:rPr>
          <w:rFonts w:hint="default" w:ascii="Times New Roman" w:hAnsi="Times New Roman" w:cs="Times New Roman"/>
          <w:b/>
          <w:sz w:val="28"/>
          <w:szCs w:val="28"/>
          <w:highlight w:val="none"/>
        </w:rPr>
        <w:t>新增自动洗车机项目</w:t>
      </w:r>
      <w:r>
        <w:rPr>
          <w:b/>
          <w:sz w:val="28"/>
          <w:szCs w:val="28"/>
        </w:rPr>
        <w:t>的安全</w:t>
      </w:r>
      <w:r>
        <w:rPr>
          <w:b/>
          <w:spacing w:val="-7"/>
          <w:sz w:val="28"/>
          <w:szCs w:val="28"/>
        </w:rPr>
        <w:t>设施与主体工程同时设计、同时施工、同时投入生产和使</w:t>
      </w:r>
      <w:r>
        <w:rPr>
          <w:rFonts w:hint="eastAsia"/>
          <w:b/>
          <w:sz w:val="28"/>
          <w:szCs w:val="28"/>
          <w:lang w:eastAsia="zh-CN"/>
        </w:rPr>
        <w:t>用，与之配套的安全设施符合国家有关安全生产的法律法规和标准规范，具备安全设施竣工验收的安全条件。同时，对该加油站的现状通过分析评价，其安全条件和安全生产条件符合国家有关安全生产法律、法规和技术标准的要求，具备申领危险化学品经营许可的安全条件</w:t>
      </w:r>
      <w:r>
        <w:rPr>
          <w:rFonts w:hint="default" w:ascii="Times New Roman" w:hAnsi="Times New Roman" w:cs="Times New Roman"/>
          <w:b/>
          <w:highlight w:val="none"/>
        </w:rPr>
        <w:t>。</w:t>
      </w:r>
    </w:p>
    <w:p>
      <w:pPr>
        <w:spacing w:line="400" w:lineRule="auto"/>
        <w:jc w:val="both"/>
        <w:rPr>
          <w:rFonts w:hint="default" w:ascii="Times New Roman" w:hAnsi="Times New Roman" w:cs="Times New Roman"/>
          <w:sz w:val="28"/>
        </w:rPr>
        <w:sectPr>
          <w:pgSz w:w="11910" w:h="16840"/>
          <w:pgMar w:top="1417" w:right="1134" w:bottom="1134" w:left="1587" w:header="720" w:footer="720" w:gutter="0"/>
          <w:cols w:space="0" w:num="1"/>
        </w:sectPr>
      </w:pPr>
    </w:p>
    <w:p>
      <w:pPr>
        <w:pStyle w:val="3"/>
        <w:jc w:val="center"/>
        <w:rPr>
          <w:rFonts w:hint="default" w:ascii="Times New Roman" w:hAnsi="Times New Roman" w:cs="Times New Roman"/>
        </w:rPr>
      </w:pPr>
      <w:bookmarkStart w:id="1068" w:name="_Toc20809"/>
      <w:bookmarkStart w:id="1069" w:name="_Toc30404"/>
      <w:bookmarkStart w:id="1070" w:name="_Toc26292"/>
      <w:bookmarkStart w:id="1071" w:name="_Toc4627"/>
      <w:bookmarkStart w:id="1072" w:name="_Toc28389"/>
      <w:bookmarkStart w:id="1073" w:name="_Toc27936"/>
      <w:bookmarkStart w:id="1074" w:name="_Toc32413"/>
      <w:bookmarkStart w:id="1075" w:name="_Toc15394"/>
      <w:bookmarkStart w:id="1076" w:name="_Toc8174_WPSOffice_Level1"/>
      <w:bookmarkStart w:id="1077" w:name="_Toc2868"/>
      <w:bookmarkStart w:id="1078" w:name="_Toc28404"/>
      <w:bookmarkStart w:id="1079" w:name="_Toc12664"/>
      <w:bookmarkStart w:id="1080" w:name="_Toc15885_WPSOffice_Level1"/>
      <w:bookmarkStart w:id="1081" w:name="_Toc10832"/>
      <w:bookmarkStart w:id="1082" w:name="_Toc13966"/>
      <w:bookmarkStart w:id="1083" w:name="_Toc14297"/>
      <w:bookmarkStart w:id="1084" w:name="_Toc4533"/>
      <w:bookmarkStart w:id="1085" w:name="_Toc10653"/>
      <w:bookmarkStart w:id="1086" w:name="_Toc28588"/>
      <w:bookmarkStart w:id="1087" w:name="_Toc9745"/>
      <w:bookmarkStart w:id="1088" w:name="_Toc19839"/>
      <w:bookmarkStart w:id="1089" w:name="_Toc18018"/>
      <w:bookmarkStart w:id="1090" w:name="_Toc32168_WPSOffice_Level1"/>
      <w:bookmarkStart w:id="1091" w:name="_Toc29600"/>
      <w:bookmarkStart w:id="1092" w:name="_Toc22723"/>
      <w:r>
        <w:rPr>
          <w:rFonts w:hint="default" w:ascii="Times New Roman" w:hAnsi="Times New Roman" w:cs="Times New Roman"/>
        </w:rPr>
        <w:t>10 与建设单位交换意见情况</w:t>
      </w:r>
      <w:bookmarkEnd w:id="1068"/>
      <w:bookmarkEnd w:id="1069"/>
      <w:bookmarkEnd w:id="1070"/>
      <w:bookmarkEnd w:id="1071"/>
      <w:bookmarkEnd w:id="1072"/>
      <w:bookmarkEnd w:id="1073"/>
      <w:bookmarkEnd w:id="1074"/>
      <w:bookmarkEnd w:id="1075"/>
      <w:bookmarkEnd w:id="1076"/>
      <w:bookmarkEnd w:id="1077"/>
      <w:bookmarkEnd w:id="1078"/>
      <w:bookmarkEnd w:id="1079"/>
      <w:bookmarkEnd w:id="1080"/>
      <w:bookmarkEnd w:id="1081"/>
      <w:bookmarkEnd w:id="1082"/>
      <w:bookmarkEnd w:id="1083"/>
      <w:bookmarkEnd w:id="1084"/>
      <w:bookmarkEnd w:id="1085"/>
      <w:bookmarkEnd w:id="1086"/>
      <w:bookmarkEnd w:id="1087"/>
      <w:bookmarkEnd w:id="1088"/>
      <w:bookmarkEnd w:id="1089"/>
      <w:bookmarkEnd w:id="1090"/>
      <w:bookmarkEnd w:id="1091"/>
      <w:bookmarkEnd w:id="1092"/>
    </w:p>
    <w:p>
      <w:pPr>
        <w:rPr>
          <w:rFonts w:hint="default" w:ascii="Times New Roman" w:hAnsi="Times New Roman" w:cs="Times New Roman"/>
        </w:rPr>
      </w:pPr>
    </w:p>
    <w:p>
      <w:pPr>
        <w:pStyle w:val="11"/>
        <w:spacing w:before="1" w:line="500" w:lineRule="atLeast"/>
        <w:ind w:right="-23" w:firstLine="524" w:firstLineChars="200"/>
        <w:jc w:val="both"/>
        <w:rPr>
          <w:rFonts w:hint="default" w:ascii="Times New Roman" w:hAnsi="Times New Roman" w:cs="Times New Roman"/>
        </w:rPr>
      </w:pPr>
      <w:r>
        <w:rPr>
          <w:rFonts w:hint="default" w:ascii="Times New Roman" w:hAnsi="Times New Roman" w:cs="Times New Roman"/>
          <w:spacing w:val="-9"/>
        </w:rPr>
        <w:t>在安全评价过程中，评价组就建设项目安全评价中各个方面的情况与建</w:t>
      </w:r>
      <w:r>
        <w:rPr>
          <w:rFonts w:hint="default" w:ascii="Times New Roman" w:hAnsi="Times New Roman" w:cs="Times New Roman"/>
          <w:spacing w:val="-10"/>
        </w:rPr>
        <w:t>设单位</w:t>
      </w:r>
      <w:r>
        <w:rPr>
          <w:rFonts w:hint="eastAsia" w:ascii="Times New Roman" w:hAnsi="Times New Roman" w:cs="Times New Roman"/>
          <w:spacing w:val="-10"/>
          <w:lang w:eastAsia="zh-CN"/>
        </w:rPr>
        <w:t>中国石化销售股份有限公司广东东莞石碣唐洪东城加油站</w:t>
      </w:r>
      <w:r>
        <w:rPr>
          <w:rFonts w:hint="default" w:ascii="Times New Roman" w:hAnsi="Times New Roman" w:cs="Times New Roman"/>
          <w:spacing w:val="-10"/>
        </w:rPr>
        <w:t>反复、充分地交换了意见。在评价过程中，建</w:t>
      </w:r>
      <w:r>
        <w:rPr>
          <w:rFonts w:hint="default" w:ascii="Times New Roman" w:hAnsi="Times New Roman" w:cs="Times New Roman"/>
          <w:spacing w:val="-6"/>
        </w:rPr>
        <w:t>设单位对评价组给予了充分的配合和支持，对评价组提出的安全对策和建议</w:t>
      </w:r>
      <w:r>
        <w:rPr>
          <w:rFonts w:hint="default" w:ascii="Times New Roman" w:hAnsi="Times New Roman" w:cs="Times New Roman"/>
          <w:spacing w:val="-5"/>
        </w:rPr>
        <w:t>高度重视，并表示在经营过程中积极采纳。</w:t>
      </w:r>
    </w:p>
    <w:p>
      <w:pPr>
        <w:pStyle w:val="11"/>
        <w:spacing w:line="500" w:lineRule="atLeast"/>
        <w:ind w:right="-23" w:firstLine="572" w:firstLineChars="200"/>
        <w:jc w:val="both"/>
        <w:rPr>
          <w:rFonts w:hint="default" w:ascii="Times New Roman" w:hAnsi="Times New Roman" w:cs="Times New Roman"/>
        </w:rPr>
      </w:pPr>
      <w:r>
        <w:rPr>
          <w:rFonts w:hint="default" w:ascii="Times New Roman" w:hAnsi="Times New Roman" w:cs="Times New Roman"/>
          <w:spacing w:val="3"/>
        </w:rPr>
        <w:t>建设单位</w:t>
      </w:r>
      <w:r>
        <w:rPr>
          <w:rFonts w:hint="eastAsia" w:ascii="Times New Roman" w:hAnsi="Times New Roman" w:cs="Times New Roman"/>
          <w:spacing w:val="3"/>
          <w:lang w:eastAsia="zh-CN"/>
        </w:rPr>
        <w:t>中国石化销售股份有限公司广东东莞石碣唐洪东城加油站</w:t>
      </w:r>
      <w:r>
        <w:rPr>
          <w:rFonts w:hint="default" w:ascii="Times New Roman" w:hAnsi="Times New Roman" w:cs="Times New Roman"/>
          <w:spacing w:val="3"/>
        </w:rPr>
        <w:t>同意广东安源鼎盛检测评价技术服务有限公司出具</w:t>
      </w:r>
      <w:r>
        <w:rPr>
          <w:rFonts w:hint="default" w:ascii="Times New Roman" w:hAnsi="Times New Roman" w:cs="Times New Roman"/>
          <w:spacing w:val="-8"/>
        </w:rPr>
        <w:t>的《</w:t>
      </w:r>
      <w:r>
        <w:rPr>
          <w:rFonts w:hint="eastAsia" w:ascii="Times New Roman" w:hAnsi="Times New Roman" w:cs="Times New Roman"/>
          <w:spacing w:val="-8"/>
          <w:highlight w:val="none"/>
          <w:lang w:eastAsia="zh-CN"/>
        </w:rPr>
        <w:t>中国石化销售股份有限公司广东东莞石碣唐洪东城加油站</w:t>
      </w:r>
      <w:r>
        <w:rPr>
          <w:rFonts w:hint="default" w:ascii="Times New Roman" w:hAnsi="Times New Roman" w:cs="Times New Roman"/>
          <w:spacing w:val="-8"/>
          <w:highlight w:val="none"/>
          <w:lang w:eastAsia="zh-CN"/>
        </w:rPr>
        <w:t>新增洗车机项目</w:t>
      </w:r>
      <w:r>
        <w:rPr>
          <w:rFonts w:hint="default" w:ascii="Times New Roman" w:hAnsi="Times New Roman" w:cs="Times New Roman"/>
          <w:spacing w:val="-8"/>
          <w:highlight w:val="none"/>
        </w:rPr>
        <w:t>安全验收评价报告</w:t>
      </w:r>
      <w:r>
        <w:rPr>
          <w:rFonts w:hint="default" w:ascii="Times New Roman" w:hAnsi="Times New Roman" w:cs="Times New Roman"/>
          <w:spacing w:val="-8"/>
        </w:rPr>
        <w:t>》的</w:t>
      </w:r>
      <w:r>
        <w:rPr>
          <w:rFonts w:hint="default" w:ascii="Times New Roman" w:hAnsi="Times New Roman" w:cs="Times New Roman"/>
          <w:spacing w:val="-3"/>
        </w:rPr>
        <w:t>内容和结论，并对其提供资料的真实性负责。</w:t>
      </w:r>
    </w:p>
    <w:p>
      <w:pPr>
        <w:spacing w:line="417" w:lineRule="auto"/>
        <w:jc w:val="both"/>
        <w:rPr>
          <w:rFonts w:hint="default" w:ascii="Times New Roman" w:hAnsi="Times New Roman" w:cs="Times New Roman"/>
        </w:rPr>
      </w:pPr>
    </w:p>
    <w:p>
      <w:pPr>
        <w:spacing w:line="400" w:lineRule="auto"/>
        <w:jc w:val="both"/>
        <w:rPr>
          <w:rFonts w:hint="default" w:ascii="Times New Roman" w:hAnsi="Times New Roman" w:cs="Times New Roman"/>
          <w:sz w:val="28"/>
        </w:rPr>
      </w:pPr>
    </w:p>
    <w:p>
      <w:pPr>
        <w:spacing w:line="400" w:lineRule="auto"/>
        <w:jc w:val="right"/>
        <w:rPr>
          <w:rFonts w:hint="default" w:ascii="Times New Roman" w:hAnsi="Times New Roman" w:cs="Times New Roman"/>
          <w:sz w:val="28"/>
        </w:rPr>
      </w:pPr>
      <w:r>
        <w:rPr>
          <w:rFonts w:hint="default" w:ascii="Times New Roman" w:hAnsi="Times New Roman" w:cs="Times New Roman"/>
          <w:sz w:val="28"/>
        </w:rPr>
        <w:t>建设单位：</w:t>
      </w:r>
      <w:r>
        <w:rPr>
          <w:rFonts w:hint="eastAsia" w:ascii="Times New Roman" w:hAnsi="Times New Roman" w:cs="Times New Roman"/>
          <w:sz w:val="28"/>
          <w:lang w:eastAsia="zh-CN"/>
        </w:rPr>
        <w:t>中国石化销售股份有限公司广东东莞石碣唐洪东城加油站</w:t>
      </w:r>
    </w:p>
    <w:p>
      <w:pPr>
        <w:spacing w:line="400" w:lineRule="auto"/>
        <w:jc w:val="both"/>
        <w:rPr>
          <w:rFonts w:hint="default" w:ascii="Times New Roman" w:hAnsi="Times New Roman" w:cs="Times New Roman"/>
          <w:sz w:val="28"/>
        </w:rPr>
      </w:pPr>
    </w:p>
    <w:p>
      <w:pPr>
        <w:spacing w:line="400" w:lineRule="auto"/>
        <w:jc w:val="both"/>
        <w:rPr>
          <w:rFonts w:hint="default" w:ascii="Times New Roman" w:hAnsi="Times New Roman" w:cs="Times New Roman"/>
          <w:sz w:val="28"/>
        </w:rPr>
      </w:pPr>
    </w:p>
    <w:p>
      <w:pPr>
        <w:spacing w:line="400" w:lineRule="auto"/>
        <w:jc w:val="both"/>
        <w:rPr>
          <w:rFonts w:hint="default" w:ascii="Times New Roman" w:hAnsi="Times New Roman" w:cs="Times New Roman"/>
          <w:sz w:val="28"/>
        </w:rPr>
      </w:pPr>
    </w:p>
    <w:p>
      <w:pPr>
        <w:spacing w:line="400" w:lineRule="auto"/>
        <w:jc w:val="right"/>
        <w:rPr>
          <w:rFonts w:hint="default" w:ascii="Times New Roman" w:hAnsi="Times New Roman" w:cs="Times New Roman"/>
          <w:sz w:val="28"/>
        </w:rPr>
      </w:pPr>
      <w:r>
        <w:rPr>
          <w:rFonts w:hint="default" w:ascii="Times New Roman" w:hAnsi="Times New Roman" w:cs="Times New Roman"/>
          <w:sz w:val="28"/>
        </w:rPr>
        <w:t>评价机构：广东安源鼎盛检测评价技术服务有限公司</w:t>
      </w:r>
    </w:p>
    <w:p>
      <w:pPr>
        <w:rPr>
          <w:rFonts w:hint="default" w:ascii="Times New Roman" w:hAnsi="Times New Roman" w:cs="Times New Roman"/>
          <w:sz w:val="28"/>
        </w:rPr>
        <w:sectPr>
          <w:pgSz w:w="11910" w:h="16840"/>
          <w:pgMar w:top="1417" w:right="1134" w:bottom="1134" w:left="1587" w:header="720" w:footer="720" w:gutter="0"/>
          <w:cols w:space="0" w:num="1"/>
        </w:sectPr>
      </w:pPr>
    </w:p>
    <w:p>
      <w:pPr>
        <w:pStyle w:val="4"/>
        <w:spacing w:before="27"/>
        <w:ind w:right="275" w:firstLine="0"/>
        <w:jc w:val="center"/>
        <w:rPr>
          <w:rFonts w:hint="default" w:ascii="Times New Roman" w:hAnsi="Times New Roman" w:eastAsia="宋体" w:cs="Times New Roman"/>
          <w:sz w:val="44"/>
          <w:szCs w:val="44"/>
        </w:rPr>
      </w:pPr>
      <w:bookmarkStart w:id="1093" w:name="_Toc5152"/>
      <w:bookmarkStart w:id="1094" w:name="_Toc13239"/>
      <w:bookmarkStart w:id="1095" w:name="_Toc18423"/>
      <w:bookmarkStart w:id="1096" w:name="_Toc2721"/>
      <w:bookmarkStart w:id="1097" w:name="_Toc8006"/>
      <w:bookmarkStart w:id="1098" w:name="_Toc9596"/>
      <w:bookmarkStart w:id="1099" w:name="_Toc13919"/>
      <w:bookmarkStart w:id="1100" w:name="_Toc32141_WPSOffice_Level1"/>
      <w:bookmarkStart w:id="1101" w:name="_Toc6013"/>
      <w:bookmarkStart w:id="1102" w:name="_Toc22271"/>
      <w:bookmarkStart w:id="1103" w:name="_Toc15213_WPSOffice_Level1"/>
      <w:bookmarkStart w:id="1104" w:name="_Toc30056"/>
      <w:bookmarkStart w:id="1105" w:name="_Toc2471"/>
      <w:bookmarkStart w:id="1106" w:name="_Toc27440"/>
      <w:bookmarkStart w:id="1107" w:name="_Toc699"/>
      <w:bookmarkStart w:id="1108" w:name="_Toc9090"/>
      <w:bookmarkStart w:id="1109" w:name="_Toc6726"/>
      <w:bookmarkStart w:id="1110" w:name="_Toc6278"/>
      <w:bookmarkStart w:id="1111" w:name="_Toc4810"/>
      <w:bookmarkStart w:id="1112" w:name="_Toc15501"/>
      <w:bookmarkStart w:id="1113" w:name="_Toc19907"/>
      <w:bookmarkStart w:id="1114" w:name="_Toc31586"/>
      <w:bookmarkStart w:id="1115" w:name="_Toc27242_WPSOffice_Level1"/>
      <w:bookmarkStart w:id="1116" w:name="_Toc20493"/>
      <w:bookmarkStart w:id="1117" w:name="_Toc12329"/>
      <w:r>
        <w:rPr>
          <w:rFonts w:hint="default" w:ascii="Times New Roman" w:hAnsi="Times New Roman" w:eastAsia="宋体" w:cs="Times New Roman"/>
          <w:sz w:val="44"/>
          <w:szCs w:val="44"/>
        </w:rPr>
        <w:t>安全评价报告附件</w:t>
      </w:r>
      <w:bookmarkEnd w:id="1093"/>
      <w:bookmarkEnd w:id="1094"/>
      <w:bookmarkEnd w:id="1095"/>
      <w:bookmarkEnd w:id="1096"/>
      <w:bookmarkEnd w:id="1097"/>
      <w:bookmarkEnd w:id="1098"/>
      <w:bookmarkEnd w:id="1099"/>
      <w:bookmarkEnd w:id="1100"/>
      <w:bookmarkEnd w:id="1101"/>
      <w:bookmarkEnd w:id="1102"/>
      <w:bookmarkEnd w:id="1103"/>
      <w:bookmarkEnd w:id="1104"/>
      <w:bookmarkEnd w:id="1105"/>
      <w:bookmarkEnd w:id="1106"/>
      <w:bookmarkEnd w:id="1107"/>
      <w:bookmarkEnd w:id="1108"/>
      <w:bookmarkEnd w:id="1109"/>
      <w:bookmarkEnd w:id="1110"/>
      <w:bookmarkEnd w:id="1111"/>
      <w:bookmarkEnd w:id="1112"/>
      <w:bookmarkEnd w:id="1113"/>
      <w:bookmarkEnd w:id="1114"/>
      <w:bookmarkEnd w:id="1115"/>
      <w:bookmarkEnd w:id="1116"/>
      <w:bookmarkEnd w:id="1117"/>
    </w:p>
    <w:p>
      <w:pPr>
        <w:ind w:firstLine="440" w:firstLineChars="200"/>
        <w:rPr>
          <w:rFonts w:hint="default" w:ascii="Times New Roman" w:hAnsi="Times New Roman" w:cs="Times New Roman"/>
        </w:rPr>
      </w:pPr>
    </w:p>
    <w:p>
      <w:pPr>
        <w:ind w:firstLine="440" w:firstLineChars="200"/>
        <w:rPr>
          <w:rFonts w:hint="default" w:ascii="Times New Roman" w:hAnsi="Times New Roman" w:cs="Times New Roman"/>
        </w:rPr>
      </w:pPr>
    </w:p>
    <w:p>
      <w:pPr>
        <w:pStyle w:val="3"/>
        <w:jc w:val="center"/>
        <w:rPr>
          <w:rFonts w:hint="default" w:ascii="Times New Roman" w:hAnsi="Times New Roman" w:cs="Times New Roman"/>
        </w:rPr>
      </w:pPr>
      <w:bookmarkStart w:id="1118" w:name="_Toc14999"/>
      <w:bookmarkStart w:id="1119" w:name="_Toc16190"/>
      <w:bookmarkStart w:id="1120" w:name="_Toc2318"/>
      <w:bookmarkStart w:id="1121" w:name="_Toc4727_WPSOffice_Level1"/>
      <w:bookmarkStart w:id="1122" w:name="_Toc32069"/>
      <w:bookmarkStart w:id="1123" w:name="_Toc2980_WPSOffice_Level1"/>
      <w:bookmarkStart w:id="1124" w:name="_Toc31354"/>
      <w:bookmarkStart w:id="1125" w:name="_Toc18196"/>
      <w:bookmarkStart w:id="1126" w:name="_Toc31759"/>
      <w:bookmarkStart w:id="1127" w:name="_Toc19959"/>
      <w:bookmarkStart w:id="1128" w:name="_Toc29481_WPSOffice_Level1"/>
      <w:bookmarkStart w:id="1129" w:name="_Toc15499"/>
      <w:bookmarkStart w:id="1130" w:name="_Toc3628"/>
      <w:bookmarkStart w:id="1131" w:name="_Toc16801"/>
      <w:bookmarkStart w:id="1132" w:name="_Toc22892"/>
      <w:bookmarkStart w:id="1133" w:name="_Toc16386"/>
      <w:bookmarkStart w:id="1134" w:name="_Toc10768"/>
      <w:bookmarkStart w:id="1135" w:name="_Toc87"/>
      <w:bookmarkStart w:id="1136" w:name="_Toc31403"/>
      <w:bookmarkStart w:id="1137" w:name="_Toc3615"/>
      <w:bookmarkStart w:id="1138" w:name="_Toc15763"/>
      <w:bookmarkStart w:id="1139" w:name="_Toc13236"/>
      <w:bookmarkStart w:id="1140" w:name="_Toc3507"/>
      <w:bookmarkStart w:id="1141" w:name="_Toc23918"/>
      <w:bookmarkStart w:id="1142" w:name="_Toc5432"/>
      <w:r>
        <w:rPr>
          <w:rFonts w:hint="default" w:ascii="Times New Roman" w:hAnsi="Times New Roman" w:cs="Times New Roman"/>
        </w:rPr>
        <w:t>附件1 安全评价相关图表</w:t>
      </w:r>
      <w:bookmarkEnd w:id="1118"/>
      <w:bookmarkEnd w:id="1119"/>
      <w:bookmarkEnd w:id="1120"/>
      <w:bookmarkEnd w:id="1121"/>
      <w:bookmarkEnd w:id="1122"/>
      <w:bookmarkEnd w:id="1123"/>
      <w:bookmarkEnd w:id="1124"/>
      <w:bookmarkEnd w:id="1125"/>
      <w:bookmarkEnd w:id="1126"/>
      <w:bookmarkEnd w:id="1127"/>
      <w:bookmarkEnd w:id="1128"/>
      <w:bookmarkEnd w:id="1129"/>
      <w:bookmarkEnd w:id="1130"/>
      <w:bookmarkEnd w:id="1131"/>
      <w:bookmarkEnd w:id="1132"/>
      <w:bookmarkEnd w:id="1133"/>
      <w:bookmarkEnd w:id="1134"/>
      <w:bookmarkEnd w:id="1135"/>
      <w:bookmarkEnd w:id="1136"/>
      <w:bookmarkEnd w:id="1137"/>
      <w:bookmarkEnd w:id="1138"/>
      <w:bookmarkEnd w:id="1139"/>
      <w:bookmarkEnd w:id="1140"/>
      <w:bookmarkEnd w:id="1141"/>
      <w:bookmarkEnd w:id="1142"/>
    </w:p>
    <w:p>
      <w:pPr>
        <w:ind w:firstLine="560" w:firstLineChars="200"/>
        <w:jc w:val="center"/>
        <w:rPr>
          <w:rFonts w:hint="default" w:ascii="Times New Roman" w:hAnsi="Times New Roman" w:cs="Times New Roman"/>
          <w:sz w:val="28"/>
          <w:szCs w:val="28"/>
        </w:rPr>
      </w:pPr>
    </w:p>
    <w:p>
      <w:pPr>
        <w:pStyle w:val="5"/>
        <w:jc w:val="center"/>
        <w:rPr>
          <w:rFonts w:hint="default" w:ascii="Times New Roman" w:hAnsi="Times New Roman" w:cs="Times New Roman"/>
        </w:rPr>
      </w:pPr>
      <w:bookmarkStart w:id="1143" w:name="_Toc4595_WPSOffice_Level2"/>
      <w:bookmarkStart w:id="1144" w:name="_Toc6690_WPSOffice_Level2"/>
      <w:bookmarkStart w:id="1145" w:name="_Toc30730_WPSOffice_Level2"/>
      <w:r>
        <w:rPr>
          <w:rFonts w:hint="default" w:ascii="Times New Roman" w:hAnsi="Times New Roman" w:cs="Times New Roman"/>
        </w:rPr>
        <w:t>1.1</w:t>
      </w:r>
      <w:r>
        <w:rPr>
          <w:rFonts w:hint="default" w:ascii="Times New Roman" w:hAnsi="Times New Roman" w:cs="Times New Roman"/>
          <w:lang w:val="en-US"/>
        </w:rPr>
        <w:t xml:space="preserve"> </w:t>
      </w:r>
      <w:r>
        <w:rPr>
          <w:rFonts w:hint="default" w:ascii="Times New Roman" w:hAnsi="Times New Roman" w:cs="Times New Roman"/>
        </w:rPr>
        <w:t>平面布置图</w:t>
      </w:r>
      <w:bookmarkEnd w:id="1143"/>
      <w:bookmarkEnd w:id="1144"/>
      <w:bookmarkEnd w:id="1145"/>
    </w:p>
    <w:p>
      <w:pPr>
        <w:spacing w:line="500" w:lineRule="exact"/>
        <w:ind w:firstLine="560" w:firstLineChars="200"/>
        <w:rPr>
          <w:rFonts w:hint="default" w:ascii="Times New Roman" w:hAnsi="Times New Roman" w:cs="Times New Roman"/>
          <w:sz w:val="28"/>
          <w:szCs w:val="28"/>
        </w:rPr>
      </w:pPr>
      <w:r>
        <w:rPr>
          <w:rFonts w:hint="eastAsia" w:ascii="Times New Roman" w:hAnsi="Times New Roman" w:cs="Times New Roman"/>
          <w:sz w:val="28"/>
          <w:szCs w:val="28"/>
          <w:lang w:eastAsia="zh-CN"/>
        </w:rPr>
        <w:t>东城加油站</w:t>
      </w:r>
      <w:r>
        <w:rPr>
          <w:rFonts w:hint="default" w:ascii="Times New Roman" w:hAnsi="Times New Roman" w:cs="Times New Roman"/>
          <w:sz w:val="28"/>
          <w:szCs w:val="28"/>
        </w:rPr>
        <w:t>的平面布置图见附件</w:t>
      </w:r>
      <w:r>
        <w:rPr>
          <w:rFonts w:hint="eastAsia" w:ascii="Times New Roman" w:hAnsi="Times New Roman" w:cs="Times New Roman"/>
          <w:spacing w:val="-7"/>
          <w:sz w:val="28"/>
          <w:szCs w:val="28"/>
          <w:lang w:eastAsia="zh-CN"/>
        </w:rPr>
        <w:t>中国石化销售股份有限公司广东东莞石碣唐洪东城加油站</w:t>
      </w:r>
      <w:r>
        <w:rPr>
          <w:rFonts w:hint="default" w:ascii="Times New Roman" w:hAnsi="Times New Roman" w:cs="Times New Roman"/>
          <w:sz w:val="28"/>
          <w:szCs w:val="28"/>
          <w:highlight w:val="none"/>
        </w:rPr>
        <w:t>总平面布置图</w:t>
      </w:r>
      <w:r>
        <w:rPr>
          <w:rFonts w:hint="default" w:ascii="Times New Roman" w:hAnsi="Times New Roman" w:cs="Times New Roman"/>
          <w:sz w:val="28"/>
          <w:szCs w:val="28"/>
        </w:rPr>
        <w:t>。</w:t>
      </w:r>
    </w:p>
    <w:p>
      <w:pPr>
        <w:pStyle w:val="5"/>
        <w:jc w:val="center"/>
        <w:rPr>
          <w:rFonts w:hint="default" w:ascii="Times New Roman" w:hAnsi="Times New Roman" w:cs="Times New Roman"/>
        </w:rPr>
      </w:pPr>
      <w:bookmarkStart w:id="1146" w:name="_Toc487_WPSOffice_Level2"/>
      <w:bookmarkStart w:id="1147" w:name="_Toc5783_WPSOffice_Level2"/>
      <w:bookmarkStart w:id="1148" w:name="_Toc10178_WPSOffice_Level2"/>
      <w:r>
        <w:rPr>
          <w:rFonts w:hint="default" w:ascii="Times New Roman" w:hAnsi="Times New Roman" w:cs="Times New Roman"/>
        </w:rPr>
        <w:t>1.</w:t>
      </w:r>
      <w:r>
        <w:rPr>
          <w:rFonts w:hint="default" w:ascii="Times New Roman" w:hAnsi="Times New Roman" w:cs="Times New Roman"/>
          <w:lang w:val="en-US"/>
        </w:rPr>
        <w:t>2</w:t>
      </w:r>
      <w:r>
        <w:rPr>
          <w:rFonts w:hint="default" w:ascii="Times New Roman" w:hAnsi="Times New Roman" w:cs="Times New Roman"/>
        </w:rPr>
        <w:t xml:space="preserve"> 装置爆炸危险区域划分图</w:t>
      </w:r>
      <w:bookmarkEnd w:id="1146"/>
      <w:bookmarkEnd w:id="1147"/>
      <w:bookmarkEnd w:id="1148"/>
    </w:p>
    <w:p>
      <w:pPr>
        <w:spacing w:line="500" w:lineRule="exact"/>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根据《爆炸和火灾危险环境电力装置设计规范》（GB50058-1992）的规定，爆炸危险区域的等级范围划分原则如下：</w:t>
      </w:r>
    </w:p>
    <w:p>
      <w:pPr>
        <w:numPr>
          <w:ilvl w:val="0"/>
          <w:numId w:val="3"/>
        </w:numPr>
        <w:autoSpaceDE/>
        <w:autoSpaceDN/>
        <w:spacing w:line="500" w:lineRule="exact"/>
        <w:ind w:firstLine="61" w:firstLineChars="22"/>
        <w:jc w:val="both"/>
        <w:rPr>
          <w:rFonts w:hint="default" w:ascii="Times New Roman" w:hAnsi="Times New Roman" w:cs="Times New Roman"/>
          <w:sz w:val="28"/>
          <w:szCs w:val="28"/>
        </w:rPr>
      </w:pPr>
      <w:r>
        <w:rPr>
          <w:rFonts w:hint="default" w:ascii="Times New Roman" w:hAnsi="Times New Roman" w:cs="Times New Roman"/>
          <w:sz w:val="28"/>
          <w:szCs w:val="28"/>
        </w:rPr>
        <w:t>区：连续出现或长期出现爆炸性气体混合物的环境；</w:t>
      </w:r>
    </w:p>
    <w:p>
      <w:pPr>
        <w:numPr>
          <w:ilvl w:val="0"/>
          <w:numId w:val="3"/>
        </w:numPr>
        <w:autoSpaceDE/>
        <w:autoSpaceDN/>
        <w:spacing w:line="500" w:lineRule="exact"/>
        <w:ind w:firstLine="61" w:firstLineChars="22"/>
        <w:jc w:val="both"/>
        <w:rPr>
          <w:rFonts w:hint="default" w:ascii="Times New Roman" w:hAnsi="Times New Roman" w:cs="Times New Roman"/>
          <w:sz w:val="28"/>
          <w:szCs w:val="28"/>
        </w:rPr>
      </w:pPr>
      <w:r>
        <w:rPr>
          <w:rFonts w:hint="default" w:ascii="Times New Roman" w:hAnsi="Times New Roman" w:cs="Times New Roman"/>
          <w:sz w:val="28"/>
          <w:szCs w:val="28"/>
        </w:rPr>
        <w:t>区：在正常运行时可能出现爆炸性气体混合物的环境；</w:t>
      </w:r>
    </w:p>
    <w:p>
      <w:pPr>
        <w:numPr>
          <w:ilvl w:val="0"/>
          <w:numId w:val="3"/>
        </w:numPr>
        <w:autoSpaceDE/>
        <w:autoSpaceDN/>
        <w:spacing w:line="500" w:lineRule="exact"/>
        <w:ind w:firstLine="61" w:firstLineChars="22"/>
        <w:rPr>
          <w:rFonts w:hint="default" w:ascii="Times New Roman" w:hAnsi="Times New Roman" w:cs="Times New Roman"/>
          <w:sz w:val="28"/>
          <w:szCs w:val="28"/>
        </w:rPr>
      </w:pPr>
      <w:r>
        <w:rPr>
          <w:rFonts w:hint="default" w:ascii="Times New Roman" w:hAnsi="Times New Roman" w:cs="Times New Roman"/>
          <w:sz w:val="28"/>
          <w:szCs w:val="28"/>
        </w:rPr>
        <w:t>区：在正常运行时不可能出现爆炸性气体混合物的环境，或即使出现也仅是短时存在的爆炸性气体混合物的环境。</w:t>
      </w:r>
    </w:p>
    <w:p>
      <w:pPr>
        <w:spacing w:line="500" w:lineRule="exact"/>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根据上述原则，汽油设施的爆炸危险区域内地坪以下的坑或沟应划为1区，埋地卧式汽油储罐爆炸危险区域划分如下图 C.0.3所示：</w:t>
      </w:r>
    </w:p>
    <w:p>
      <w:pPr>
        <w:spacing w:line="500" w:lineRule="exact"/>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埋地卧式汽油储罐爆炸危险区域划分，应符合下列规定：</w:t>
      </w:r>
    </w:p>
    <w:p>
      <w:pPr>
        <w:pStyle w:val="37"/>
        <w:numPr>
          <w:ilvl w:val="0"/>
          <w:numId w:val="4"/>
        </w:numPr>
        <w:spacing w:line="500" w:lineRule="exact"/>
        <w:rPr>
          <w:rFonts w:hint="default" w:ascii="Times New Roman" w:hAnsi="Times New Roman" w:cs="Times New Roman"/>
          <w:sz w:val="28"/>
          <w:szCs w:val="28"/>
        </w:rPr>
      </w:pPr>
      <w:r>
        <w:rPr>
          <w:rFonts w:hint="default" w:ascii="Times New Roman" w:hAnsi="Times New Roman" w:cs="Times New Roman"/>
          <w:sz w:val="28"/>
          <w:szCs w:val="28"/>
        </w:rPr>
        <w:t>罐内部油品表面以上的空间应划分为 0 区。</w:t>
      </w:r>
    </w:p>
    <w:p>
      <w:pPr>
        <w:pStyle w:val="37"/>
        <w:numPr>
          <w:ilvl w:val="0"/>
          <w:numId w:val="4"/>
        </w:numPr>
        <w:spacing w:line="500" w:lineRule="exact"/>
        <w:rPr>
          <w:rFonts w:hint="default" w:ascii="Times New Roman" w:hAnsi="Times New Roman" w:cs="Times New Roman"/>
          <w:sz w:val="28"/>
          <w:szCs w:val="28"/>
        </w:rPr>
      </w:pPr>
      <w:r>
        <w:rPr>
          <w:rFonts w:hint="default" w:ascii="Times New Roman" w:hAnsi="Times New Roman" w:cs="Times New Roman"/>
          <w:sz w:val="28"/>
          <w:szCs w:val="28"/>
        </w:rPr>
        <w:t>人孔（阀）井内部空间、以通气管管口为中心，半径为1.5m的球形空间和以密闭卸油口为中心，半径为0.5m的球形空间，应划分为 1区。</w:t>
      </w:r>
    </w:p>
    <w:p>
      <w:pPr>
        <w:pStyle w:val="37"/>
        <w:numPr>
          <w:ilvl w:val="0"/>
          <w:numId w:val="4"/>
        </w:numPr>
        <w:spacing w:line="500" w:lineRule="exact"/>
        <w:rPr>
          <w:rFonts w:hint="default" w:ascii="Times New Roman" w:hAnsi="Times New Roman" w:cs="Times New Roman"/>
          <w:sz w:val="28"/>
          <w:szCs w:val="28"/>
        </w:rPr>
      </w:pPr>
      <w:r>
        <w:rPr>
          <w:rFonts w:hint="default" w:ascii="Times New Roman" w:hAnsi="Times New Roman" w:cs="Times New Roman"/>
          <w:sz w:val="28"/>
          <w:szCs w:val="28"/>
        </w:rPr>
        <w:t>距人孔（阀）井外边缘 1.5m 以内，自地面算起 1m 高的圆柱形空间、以通气管管口为中心，半径为 3m(2m)的球形空间和以密闭卸油口为中心，半径为1.5m的球形并延至地面的空间，应划分为 2 区。</w:t>
      </w:r>
    </w:p>
    <w:p>
      <w:pPr>
        <w:pStyle w:val="11"/>
        <w:spacing w:before="3"/>
        <w:ind w:left="1213"/>
        <w:rPr>
          <w:rFonts w:hint="default" w:ascii="Times New Roman" w:hAnsi="Times New Roman" w:cs="Times New Roman"/>
          <w:sz w:val="14"/>
        </w:rPr>
      </w:pPr>
      <w:r>
        <w:rPr>
          <w:rFonts w:hint="default" w:ascii="Times New Roman" w:hAnsi="Times New Roman" w:cs="Times New Roman"/>
          <w:color w:val="auto"/>
          <w:lang w:val="en-US" w:bidi="ar-SA"/>
        </w:rPr>
        <w:pict>
          <v:group id="组合 1842" o:spid="_x0000_s1684" o:spt="203" style="position:absolute;left:0pt;margin-left:178.2pt;margin-top:11.1pt;height:238.95pt;width:262.7pt;mso-position-horizontal-relative:page;mso-wrap-distance-bottom:0pt;mso-wrap-distance-top:0pt;z-index:251680768;mso-width-relative:page;mso-height-relative:page;" coordorigin="3564,222" coordsize="5254,4779" o:gfxdata="UEsDBAoAAAAAAIdO4kAAAAAAAAAAAAAAAAAEAAAAZHJzL1BLAwQUAAAACACHTuJAPiArfdoAAAAK&#10;AQAADwAAAGRycy9kb3ducmV2LnhtbE2PQUvDQBCF74L/YRnBm93d1JQQMylS1FMRbAXxtk2mSWh2&#10;N2S3SfvvHU96HObjve8V64vtxURj6LxD0AsFglzl6841CJ/714cMRIjG1ab3jhCuFGBd3t4UJq/9&#10;7D5o2sVGcIgLuUFoYxxyKUPVkjVh4Qdy/Dv60ZrI59jIejQzh9teJkqtpDWd44bWDLRpqTrtzhbh&#10;bTbz81K/TNvTcXP93qfvX1tNiPd3Wj2BiHSJfzD86rM6lOx08GdXB9EjLNPVI6MISZKAYCDLNG85&#10;IKRKaZBlIf9PKH8AUEsDBBQAAAAIAIdO4kDHx0WPryYAAMdtAQAOAAAAZHJzL2Uyb0RvYy54bWzt&#10;Xd1uIkmavV9p3yHF5ayqTf4CVrtHPdXdo5Z6ZkvT3gfAmDJoMDAJLlfPaO72Yi/3ffZ5Vvsae774&#10;MpL4+QJwJqbKdrbUgIsg8mRE5Inz/UTEt7//fL+IPk3LzXy1vOrF3/R70XQ5Wd3Ol3dXvf+4/und&#10;sBdttuPl7XixWk6ver9NN73ff/ev//Lt4/pymqxmq8XttIxQyXJz+bi+6s222/XlxcVmMpvejzff&#10;rNbTJb78uCrvx1v8Wd5d3JbjR9R+v7hI+v3i4nFV3q7L1WS62eBff+Ave9+p+j9+nE62//7x42a6&#10;jRZXPWDbqtdSvd7Q68V3344v78rxejafVDDGDVDcj+dLXLSu6ofxdhw9lHOvqvv5pFxtVh+330xW&#10;9xerjx/nk6m6B9xN3Hfu5o/l6mGt7uXu8vFuXTcTmtZpp8bVTv786UMZzW/Rd8Ms6UXL8T166f/+&#10;5z//97//K1L/hBZ6XN9douAfy/Wv6w9l9Q93/Bfd9OeP5T2943aiz1e9JCnSOENr/4Za+1l/UOTc&#10;ztPP22iCAmmaFskIBSYokfbTrNAlJjN0F9WR5kWmKkiShH88mf1Y/TxPcnxHv80GgxF9e6ExXBDU&#10;GtnjGoNqs2u3Tbt2+3U2Xk9Vd2yoOXbtlup2+6mcTmmsRimhosujXN1mm8sNmi+6efzT6haNPH7Y&#10;rtSYcZqvSJMR33o8HNoNhw5STRarf6/venw5edhs/zhdqV4Yf/pls8XlMRhv8Yk/VB17jUb/eL/A&#10;EP+3d1E/okupF77M3a0uFutiv7uIrvvRYxS7JQDFqCgB1Ihe3GJoGi6GilShWZQyeoKnL4fuNCoL&#10;osp1MUKVSagKXULdXpL3CxHVQBcjVFRIRAXqslCl3GDuLaKz6lu8HkqoYrvVg7Bis9ltXOjrujfH&#10;M93Bk8/LqofxKRoT5/bVkFqvNvQUXaNCPCbXajiiCpSi4RAojOalwgO6wYOFeYheA7JRmn9VQSpB&#10;vi7tlr0ItHvDTbgeb+lOCBF9jB5BF71ohocfI4T+9X71aXq9Ut9v6XaYUhRp40q7bxdLv1Q1ylBO&#10;f6vf16oubhm3FIoTFHX/NTy6K+P5Wq5+mi8W6gFbLBVocB2B3KwW81v6Tv1R3t28X5TRpzHNPOq/&#10;qqWsYmD45S234AJ9A/5ilmD2uFnd/gbGKFc8b2GexYfZqvx7L3rEnHXV2/ztYVxOe9Hi5yXIbRRn&#10;RLtb9UeWDxL8UZrf3JjfjJcTVHXV2/Ywcujj+y1PjA/rcn43w5VidVvL1fdgqo9z4hSFj1FVf4Bf&#10;Ges5iBY8wRNUTbQZNWpTok0w7dCQT5JM1TO+1DMUfUFMq+Ye9L+maHMcPJln6XJq2OyIz3zgFc/6&#10;RWyiLVBJRC9uTSbRXidgIb+Iw7KhmnDrOz4jluWa0ArNGUg/s/sJCPeANj+uLPecVZae05oQm7AP&#10;blSinUqJ6Gvt5x1ditkGkBrwyYAfPIsoNh2fmIbBkwRvULhhEDl8op6rpnxSxDyCd0JI88nJhRsu&#10;FRV0vUOEclbhFkLlUYqH6jmFWxFnYlt1wq2Wea2psxNunXBb3gWJFo+3Q7RFG+FWE+2zC7cQoz1d&#10;uBWDochCTxduoZo8ln3rwu04exGtZMrOTri9AEMQDhyHT5TX4rGtx83jk2SI0XFyS5A8fIeEG13Z&#10;KeOYgoqbhKo8RhGqcmxBJZGEqjxKqap6A8Yg3alkDR5HKskQLWwYs9r5pN/ZCUXX8Et1RiPa+Ot1&#10;QsEt7HCP8no35Z5kBDJTTqh+wAnlxDhsb+RTvFC4FHxHuJ7DK08WM0kyTKMk6XsMZVKPKjSLGP0+&#10;b38Ri6g87mE5Y9bkWI0AJKKy3P1USELlevuLRETlGY0+KtfdH4Jlu/tNXK3o9eV4+0l5wd2PERIm&#10;2oEOdYXcbo53ThOsfmeiPaHGy1OFtnPO6aD9c0VV8aQ5PKtEU1OezYegufPwbJHBR0/Xa8+zAUaz&#10;eTbAaI7GAyARVQOeDbC/zbModATPhlA14dkALIdnDVwdzyKq6hBoiGdZ99Z0zPzaTKp2FAo79Qzx&#10;0hx9xhT6y3w5jaBLQEgVf75ffihp1kXE7Nf1L6vJXzfRcvV+hhyCqfLiXf+2Ro4KR/etn9AfT81j&#10;GVQ5PDocAiYmm1rHynR0dV1yFktEH656C4BWc63WuDTaqiIE3Q/EP3PgDK2nAuDnjHnnaCuzD1WP&#10;WB3yrH1Y6JCW5xnp+tDL1wu5v3M4bsw+VE/DF+jDuHsOD+ZcBvsQksuRoxx9rfrxyVl+MbEzSBBJ&#10;c1XWnGbHrHq0EiZssJ4myKbpJ3EO6YeXg4IUl3Y0q+1zjEfJEGmhGvEukcUUpKrQDIl3it9Ne91R&#10;pHEBf4QAy1OkPizb8o9HsQzLVKSqkAjLMf2BX4TlSVIflmP6U0uJzWVJUlVKBBbbrV+EkBFJ73J2&#10;Ykr/EbDZrZ/0RwFsZvOrUjI2uwvC2Mw+uI4LGZvdBWFsZh/Y2F6GlleTtZipiS4EG1zHyqeGm9mf&#10;KhWjVVVxnf+sivPPWuRfYtSQR4Ye3bBLBjmGpITCGZgxhgbApbqc9sXod/bJ0LVQ6qhCOypsY3fg&#10;inRXnevmmV03lJ7vzpXtEjW1j7w/qJzXeq6k50CF5/QwajtVpsgGh4/cS2THYN0xrMqI99zoNlkn&#10;fQT86cWdUU2uVoVArwr9npkSgERUJlVzRryHyqbppE+J+gIqk6VVIQmVzdJFqK1MkuaMeA+VM1Eq&#10;KpdgWROlJnyvtdx5EstPxOYS5kkMIEfxxO48GWgxMPVuSASbjLiQB0614iI0vswO4GlSgGZ3gBo9&#10;YquZPaBKSb2JUXcUtMQa+0lg8B85+pPg8O8m8MofI8kD6gOa79F8PPeeZr4n+qT5Xp7uMdqMCXq/&#10;Y5DFPvpQT/L6nSd7rop5Llio0g1HVaX5vo0eePN+yPV8con/q4WF+OQtkDu8ABO/2j5gDcp331Jt&#10;y08f5hPyLNIf5iK5HGzJmgAF6AcRK11djn8FB998Ynsjv9+ssZBILQ3SDsrvy3L1OJuObxF6Yg+l&#10;XcsF/WkhuVnM13plDn2u7hjrXZyFlML98iLNH1aTh/vpcsurTsvpYrzFktfNbL7eYJHN5fT+Znp7&#10;1St/vmWNCX1SyXBSKmol6D+S4ff9/ij5w7v3ef/9O6yL/PHd96Ns8G7Q/3GQ9bNh/D5+/09SqHF2&#10;+bCZohnGix/Wc70sNc48tGIWfLVAlheUqoWp1SKkijkASKl3DRGPIzWJUsbl5C9obDUhbrbldDvB&#10;Uqjx5Uesaar+HYXrL1Qz71qWGp0cw/QLrcKqFaFFCs8scQlM3Wq+pWahtaAxTaNKwdWPvf6x9vVW&#10;7mBa0UGtc3nIHaxwMRL1EcB4POLDWYY6pnxnqKtsV2ogeiRezVBPVHfoccSrp978UM9pGTUN9VHu&#10;DvUhBBcN9RiGKM/izzLUySN5jugStINr5ak7bugRzTOiAmqevuenHqV4phRLOA3X0COKaxURvVB1&#10;pt1lSV2ldOnSTiFb6g7SPBHrMpWuWpIXC3XZxkawLtPWYEOvqguE/NqX5almo27aKVAWlexA10pw&#10;960tPdXPTSHbRjI+c4Tx61/qS5PYueZRGA3OPKqcKa9uHuWMsm4eNTcRybOMbcYhvImKf2vF2AdJ&#10;q2kUOdavYBqFr8adRtskuuU5nJdEd6PUzbqgfUVOOYnmo1GEyx1eyxD76x3sORR7FQzEqvw51K/K&#10;nkJR1VCsyp9Cuaq3MIPiTltMoAkPKD3R6ulVv/NkTH3czbIva0ONAgrK4R520TWV8DX36MVLNWnT&#10;6Oi4p1fvXNRxj8UWQfHecQ/t7PMKN/MpoOJc7lFukabcM6h0jycYUzgqZL3Y1HswIOGDF9cx4HkP&#10;cOm9voPhcBTVeOVsKioyo6343Joc2TPEjiASJk/2+JjsEOVw2JcwmfFJKiJiglAwgp35MM1FTJgL&#10;dsF02jLNx+QEiNFIEigrPExlRFROeDgISwgPC8Dsdo/76VBEZra7KiRDs9s+DM1sfg4PC9Ds5g9C&#10;M5vfhtZKC59t4dlXnkSFjqGgKj2yYdGd6jyv4MyHcQYrLlHeR/SLVtv6nVU3+UVRar80rwpVHFLX&#10;hQ8NNqfqkqjO414vYCG786OZOP7UhON8lGBcKvc6a/zdbnc6BHeqbUXzEfE+Xc+Z/Lz5kWPApgPe&#10;9gvEfaSb0Itbk+kXUIWIXd1CNlMTIBGVydTsW/fWNdssjQuORFQmSatCEiqbpINtZZI0J1F5qJw5&#10;UlG51FjWLFkTvtta7iw5yhDWkDrRbPtrlWzsd6OTRBVsMRp6tRQINpmTRBVsM0pnqWurkqj8VrM7&#10;gBpM7MzY7AFVSupNDE1L8oSGvpRE5UHDXsdmZUFoVhKVBa2bwGnKRXLUOZOoMIbVfC9O9xhtxgQd&#10;mu05lKWTufUcr9/NHKqapPWX+r1ywwEMrndMTbZoaKYGuhSq88XDChAvKwKkkKgUKs4GfHXxMNbN&#10;XTzMioeNRlBPeLJrd0HtWj1TPIyGGf4/RwYVLUl3Rrpyf7y6kc5bTHUj3Rzp2IuMR/pIy8p6pOeY&#10;TJUnr06DfskJVLQpjWvhKUnY0ANa4NAMpghIVytkTovIVfAFGWh2xLyhB7TIaBkDXe+QhecvOrU1&#10;7jCGB1TjDXhAUQTrFxi7aSva9l2R0rpNAZNpYij7zsdk23fDdCBhMo0LKiJiso0LJL5i4Y6AybQt&#10;lHXnY3Ksu2GRSqAs247KiKgc265IUVCCJXhABWB2uw+xNknoQcuyozIyMLvlCZMMzGx8tuwEYHbj&#10;kwErATPbnsqIwBy7LghMsOt8YI5dNxoUEjDLqqMyMjC79YNdmVjDPqGN/AVgdvMrU1JoMvIc1XZ1&#10;ZW8KzyPF6rhYtdYpMPgpFlxXd410DQkaVo+alcX9PJcaLTV9SqqQ2GrIhTFrC3JFajk3UlpJ7bda&#10;andB3B+KAw0u3t1tqkIyNLsPgtRKbuVdq6W0kFqAZndB3EekSujQ1OwBVUiERqeJmB0aYn2asHfQ&#10;Msqb9aFRXrRRWQhaZvaADa1zbjzZuRH2hWBwwpq4ZictWnb/enN6ZKk4HjcWEPuL02Okiis9c7B2&#10;GtqquHZb7K+90ofXGCoGGL5Ki8XvGLJqMRyEhhS3qfbr0Aoq5Mmpgy0VNu2e0e/spqEZAXfM584A&#10;uf5Wv3MpbpZ6/0/9pX7nQuw6imtJrL/V71YpXpNw4II4iu4Y8Alnxgcrq1oCp8Htra1q12o+qWvD&#10;hy469fRdcM9ppWPicqx0ZQ+8Oiu9UHzQWemWlf5W8rMLkLBrpbdZ5lRQwjRxP+loIsbni8MWBVnp&#10;RyVo+6EoR6wFgmS2WEMhKUZmy2UCJKIy5fLZ47DBtjKV8peIw9IpT2JzCba6dpjt/CjPGocNttmX&#10;j8MGoQn2ut9qjr2uLN7d47prXctir+ziOj7XfFneK0mkCtseENok92vJquQ+BB/eW+h38jiF47Cs&#10;pQ+p92PisFxT3c9aZ+t31tv04OEetUGjv9Tvpr7XmPi7Zrr3zcdhyWd+hkXPBfwrrhpQeUdNffZF&#10;KKyHNdCnzVouBgWdgzeqVoXtWMxy3pDvRi+/3hWxXTeBZFxTCwRzcR0tADgiJk8L+Jhst1ko2RUP&#10;a+2ZqlOfvFxq22tGjSSi8rSAj8rx2odgWW57GxcI4AVMHa3Zmsb3nixZ+hr8qbkx5G2pnB/1StA2&#10;HApnDKnxbnvAZ94esMBj5HKomicbcyhlxmCwhFMjFOdhyOpwcdOwZ0FxM7yw3bbjR49CY3ahmdFK&#10;m0MrNvarMlmUd43wq3JIlIndr8oj0QpVK4bRT+R+Fy13yHFlAdN40k+kBdFokhOX+ULjCrEKtZOJ&#10;qQ2rdDtGnC9vaIDutT2SvAftq/NIDjqP5I7M9SZjwz4k4d5pYLcCRk8EL3WPMdpPzRnpKmbz6kb6&#10;sBvp/kgfVYlerz1DjowARynypiYNleIg1kpRZ5zp1EKK/Z40Qw6XyiJ6OSgV/UwJWykifUNM4TAM&#10;WyoiJ3DoQiohZxAjIUfC5AlFH5NtbZ8uQ25AZxpImDxb28fk2NqnzJAbYNdkEZbgdReA2QL9lBly&#10;gyQOjCvT0/EFMuSCwASPu99ijsf9lBlywa788hlywcH/5TPkglzx5TPkgtT65TPkgtC6DDkjUysY&#10;GCJyhYBvdwhKsHYiIqrdDjuFi7NfosuQ40Ss6PGqB97elyF3pHOFI2MH4mfVvj8HEuQoWRRdeiBD&#10;Tp+0VXe8jsLpd47G6WIHcuSqax5MkkNMAdAOJclVccJDSXLctF2O3FVv28PS3slsVb7fYvt2tMvT&#10;c+TOFCscYHC61ovyHDe0XvKUItwYUxlihnbiUEaZCMp+oS/aO7rpUpG6nrrOPkc3XdopZNsvxQBr&#10;ZaS6ALkOzbGnW6jLVtLBujwLJq7qegu+brrVFs7urEpG1l7xztvdglvOmH87wLPh+ABf5ypZ3ry0&#10;y78182/ztGBvd+IdM0DBK7VKto6KP4u3+1yzKKjdnUXbrJLN8+qYoZS34DLSb8nqPuUkiithJ+Jj&#10;DhnAlffOoXmRYT4WqvLnUL8qewoNVuVPoVzVW5hBcactJlD8mmRZN3++IG0O8nRZRS1eaarNa1bR&#10;ZyPryILaF7tjlW7nY6SWsZ/hSDdJxyrKzD+JxX9OVY44jKPK1XKhVxeZR/SN5sxOlluyvBhBbpHf&#10;77XLcj8RPm2TCJ8Ps8q5pf1J9QSKf2dz5kS+rSGd10WXcyQ3zKadP0qd/eUVsT1bGXbVwP9uPaYm&#10;pyKHl8QRGhGSr8k9SHZgPsOWFQIkMzZMRSRIdg58HmolLy7vL59y4vJZFkuYrBR4KiOBcjauASrs&#10;vC71ndnoR25KGmgrcrLW4yDUWO6OpKHWarISLjCsrP1IQ+MKS0or8CrjI9iLQlDe70cnKB/ARa7n&#10;XXsZ472V4ditgbukA0+jhYpx4PxbdCziHWUvurnq3TDl0P4I1Xo5+kgROhq8p1kDp8gcXahjZPrd&#10;XLmG0Q0ODRaqYlvH1HQK2/nNr4E7p8rFNOCoXOXCen0qtzvPGSJfO5CrVOt81GeX1xdTuWcc6nRq&#10;rz3UsS0WaO/1DfXuPGd/qBf9nId6ygkrRrjgde1GOoT543hEkbSGcd7QI1oklP9AljBkpLK0tEFH&#10;WUTKIXqy3UhTqE5cz7PEPItOSDzV4lXpZWCNary7rAdT4VKRI3KtizTui5hM6+Ko3UgT7KcnYDJN&#10;OioiYrJtuiIZ5SImz6bz28mx6ZKikEBZNh2VEVE5Rl2RDGMRVpNc67Qfi8DMZqcyMjDbmKYhJQMz&#10;G//IXOsUJr7QjZZVR2VEYI5ZFwQmmHV+VzpmXYrDvARglllHZWRgdnAx2JVNcq3J3pSAmY3PdvAR&#10;e5GGhj552Wvr9ci9SDM4IQRg1lakVEZsMW8n0gBPNMmzzobiGLM2IqUyMjBn8IdItUmWdd6XedVs&#10;fCojAnN3IQ0Ba5JjHQBGOZ71qLCAdU4NcvpjkfbxB6yEi4OUIRC6DOujM6xPuwcp5BGa/0CKNdgW&#10;hQ5kWHNI89g9SI9xCCV9vWeDdjzpd3ZAVcn8Cdhonwuq24M02v587hNkz2mcIyLjGOdq3Lw+45xT&#10;fLtoqxltxeb3EC1kY36paOs5hzo0iTPUVeb96xvq3flPgh+qTjB77X4oWJSuH0o5dpr6oQaI0CuO&#10;8PxQUC2n9UPhUlFB11P+rp3/yPdDKQ9yeHcoWJeihWlYJVRENpd0IT6EY4DzqSVMpkOE/VAeJtsg&#10;PKEfapBjGy2hnUxzkE/F8TA9px9qUAxEWJIfygdme0JO6ocakB9KaC8huwAWgjv4bCfgSf1QIWCS&#10;H8oD9px+qFBXSn4oH5g98E/qhwoNfckP5QFzzsQ5qR8qxBOSH8oHZg/+k/qhQqQq+aF8YPbgD7h7&#10;rONwLHePSdGuHyoETPJDecCc03ACwDo/1Cb6TBsCsBfimrftgQ9u/+6DlXPgmlMJDxfv/FBuHhE5&#10;mpBHRI71FgtjWHgdWumPWf+wG6padX/AD6WX8Ncdr51G+t1Z6b/fE1Vd86Arim/gkCuqW+l/fk/U&#10;mdYoDkEgbLP8BTl74+XdYhpxfrFhtNBztFn/spr8dRMtV+9nKDb9vixXj7Pp+HaD1D3lyLR+QH9s&#10;1h/K6ObxT6vb6VVv/LBdqQfSScjJcloMTI6QET8huzSFNKOgrLJz+Aq7bJ4nbn7YZGPkxZJue7n6&#10;ab5YaD8tMgb1jXF2wc3q9jfcZLniNMdP0xIfsMPD33vRYzleX/U2f3sYl9NetFCuzFGc0VT8ekcT&#10;5Kc3mtzFad1oqhJPu9E03Wzmy7tfZ+P1FNxQEQiep/ktSGU4hHTyRpN7gNGLH001w1DCskqEbrHv&#10;8v18Oy2jxfweW4r36b86xPRiB9s5/dQwuXjAfZhPtg8lpkIls16fn7o7vd33U6fDansFb5OivK83&#10;pshyePFYDWgd80QpUj/uFzSqSCLhyazGOFPgGc6CGUL380D/qZxOP67K+yhrc45BniLmrUyh1N2e&#10;NiF3gdJwTrs1PMiALoU9mTjGbvo4PE81XdlxKAIK58bwEqM8y8SqzBQatb2TUJXtNspDVXm+6qqq&#10;Vsk4egjudyXgLiCrjyvLbgSrLPseWhxqRXdKs/PuqIKnLCKnX5v42QwGqAZHq7aYUMvVw/K2k/+P&#10;q/J2Xa4m+wXbCLaNQyvs1DdMQ7SlNqEO2oZ5Xh0xlXm0Aro6Kavk2MsZl/MYw2MV5kmTeBxSwSno&#10;Yk0eqfg1OZwSqsnjFK7pDVAKbrQ5o0DLdYSywkrM7YvZh5Ief5dQ2qzsyAvscXMmnYJLRep6jgbx&#10;GEUQFw6ljBIsHSfoTlUepQhVOZwSqsrjlKqqN0AqdKfNWSWhmJmhszqd0mILSlIGZzB/MM17tKJm&#10;/qY6ZTTgKN/z65QRzsHI8eJSgccqvrqwSaXoJ9jiT6jJIxW/JptTgjV5nNLpFJMpdnaRHeLrdMrp&#10;ds86F6HgoXF1Spv9sot+FRTzCYVmq1NaPnSpSF3PERceowjiwqEU2npbqsqjFKEqh1NCVXmcUlXV&#10;6ZTKvRZilU6n8N77L8r8wUPh0kqrhOK0OkTMpxVMzSdllZRO7MZLe52SxTjRWqjJI5WDOiVUk8cp&#10;nU7pdApWF+Y4fwtbV5mZGzfmirQXSCgY6i6htNmRHHt7cwaZTygn1ylZgV0p8HKQUQRx4eiUAXZR&#10;kKryKEWoytEpoao8Tul0Cp4lw0/S6RRa21olhL10WqnTvupwMo55rSI9kz9/+hVR7uqvo3ICiwHJ&#10;EQwWn1ZOrVNwJaxP8aWDZ/34RVxSGdFqJb+YRyp+EZdTAjV5nMI1vQHTBzfa3EOLH5vE0zloX4CD&#10;ts782xGKm/j3JEKpt2j2Askn1ynDrIgKvLTXKYP+EKv6hKo8SjmoU4JVeZzS6ZROp5hGzqsyf+r8&#10;zh2tqEhK07hPUeD5gU5J0mF1lKDeKbBy0lZbL2KK1umCTdPecCnEgHG9Q25aFR8P56cQ1GiHd7fS&#10;2yQVVWgW1RtH7krZUoUAiag8WvFQ2QtVE7KjJFSYCOrdrFQhERX61czrK7B9n9RWEAJ1ZWqRtofK&#10;XaMdgmXvFkilalyt5Ni1GkaoYn9qH4+6a72B0P7CLH+uARlDR1fN7y2y+yCQscqORkhzZcZMu3tG&#10;dBxMv3O+IK6ER8wthRtokAmI1TcEt8l6oC4TEOcG9y+OzATEoHMdTa0SjEdVVHTHEc/GtCOYhDle&#10;vi6mDaH6skwbQtUx7Utg2o5DMQN9rYdwj7B4y+VQ9n43VqtUI6nVjM872q20JRl7yjUaLAuxaOaQ&#10;WPX1rO1VywtIK3pxazLVqlqi4dfkStVATR6Bck14Nu5uK300pj0G1K1AaVX/hk/SPqIsVqyFFMFN&#10;RHEP6I3jyrLis8q2lnC4UUm7IWhr4go56nksaUSdV+2r96qNaBGbI8oK9WA1JZRalD07oYR0Bu5o&#10;Z9HRwWc+DdiEAipJRXX3ZEJBTVg9JujEjlBWn6bXK6KWpyz4cmhH24D6natC95rc1LHOC2AdPIAu&#10;67RKts6G8B2RjOkPq+Va2hSsUyO9RbpNvW64VpTTBQ8JGVzaKWLzToIdpiMgrtyEO4eayTuqEHZG&#10;ZPimD8/RMnkfJCbA8qjHh+X43WLQoQTL8rtRIRGW43fLk4EIy7MGfViu4w0tJeKyHW9USgTmnNOR&#10;h5AJ+yMK2OzWTxKsFZTazDp+UZWSsdldAGxI6Rc6U9giUcBmd0EYm9kHNrZWSvdsDsugiqYuBBtc&#10;8yGQLIpp7gkJdF6p4ezH1lpLo2fUrmMYx5KmZrEM7yNIAtcKaepqszhslsjl9OSn33kSFFcc7Y47&#10;tAolOO5sb13ArbjULgaMTbyrfOJc5139fL9YYiXTGhk+s+12fXlxsZnMpvfjzTf380m52qw+br+Z&#10;rO4vcCjdfDJVPtWL472roz6GvDultllukBe0VSYNg2TgTKk0IpVnQA/J1nGsDAuti/RwYjCuvH9G&#10;BVbsNKwBB2ZUKgQWVuj3TKgAJKLyJlQflc3mSUITl4DKmlCpkITKJvO8CLSVyeUcx/Layp1P1Zwl&#10;wLLnUyol4XKn0yLHGnepE001U51l7ENzp9NAiznTaaDJ3OOMQ21GA3lnKsYFbEW/LxHNMgOJ1I9i&#10;Z1pHX6lSUqtR9rAVlgx0p7DlsA/N2XI4CM06/MqCBk5v7tF6JfN8UBbI+662lgU06mgzUlkVYLSB&#10;dDWzhkQBa4c6fKu1gH7n6Z6rYp4Dav2lfudC1f5GR1WlUXENzfRAd6wxtnjC3k4R6wF88vTAaj1d&#10;4lvagmm83XyzKu8ubsvxI3bFu19AEvQL2huKtiKDrKRdopafPswntGcU/YHUWr1Z3qgPVmVNgAJq&#10;7zJefKPL8a8g6+YTZyPPzRo7f9Imnnv29rRrUftVWUhuFvM1bZRJ2pc+V3eMzSYc/SPcL4ugH1aT&#10;h/vpcss3XU4X4+18tdzM5usN1mBcTu9vptgUsPz5FoOYrtIdJ2MeJ5MP+mAaJeRdp0hM8yhvoqoz&#10;QLSGO+nWZTRE8P9ZxjruyBnrKi/KHqWvYawPurG+S53TR3gPsf2BGutx7lordOI1jfUYNjKbvc8y&#10;1ilg8vz7VIz6sC1cO6/NugqVE6dazgvYJEPMH6cPAfvhGC9iQ1fea+hRjAXWhl+VZWwkEPRCVbat&#10;EazKs/OqqlppZi2h9qfnseV9XFnANASjqre1RKU7DbusNK6QOKVfm5jayMVum74z0Qqkgksrykpv&#10;Ggeu3UfpqMqa0xEZitcRq9SHH2g6bhqQwaXI8+CFUTxa8enCCchk2EknqQEH3EdUaBbpjel3hRxa&#10;KUYIfAioPFrxUTnuIwASUZneC0ItorK9F3mBdWQSKs995KNy3UchWLb7yMTVijnP5m1ozZ40wGHg&#10;Y4SEObQe/CESPXfo+83b5efSb3ggXaJttd5kVHlwdrz1bEQ7GiLxbuT7IZ9OtCHuMOVbkNIcogUg&#10;EdXTiTZE/xbRhujfIdoQqgZEG4JlE62JqyPaz1c9h0FDRMuu1JqP24jVjkPPJFbxEDGH/jJfTqNC&#10;CcxKqL5fkidU+fR/dY4nUmeKXP+2xslD7AmwfkJ/HLUTgcrvqyxmR9pWngZtIGlh6/jUFgCtpMH4&#10;E+cQ43HVRQh6fRzAKU7/OGaJEnlFqunvXMcNjEhNGn04UG1mdch5+jAtqmCknjW7Pjx2RdeIJiCz&#10;D83E4TM8h+T+Uc+h14fARRZm9xwe3J9/RGF8R49y+kT1LD51n5YUGQrcK/3C9cRm+EZ5YnnbatCe&#10;ZsiGpj9dLFJXdLyFniLFIWv7PYrIs8yRE4LN8JyqLElKhWYRjqFyS9maNEXoRcTlaVIBl2P9J8ir&#10;kHBZopQKibhsVRrE5alSAZdr/6OtRGC2LKVSIjInfyQITUjHlMDZHUANJoMze0CVqsG9DNEczFaQ&#10;cx5xU3AJV+uTSgR1owXxYoTgLl4Riy170c1V74bHM+X3VWXpozp5jB5aeDNozIfdGfyo42IhlR1n&#10;7NOOcYAbyY1gOkJVTlN3KznOe7h3qYfPnHpII8+dQtqkHu6mENAtD0wtzpI6cF2NorNNIHRlZ2aw&#10;ncfpYDASOd+cQNSyRKEqm72CVZnkdZ1RdItRtaIu/ah95SEp3GmYf/Q9hOhHjRtDEbahlTcfkjpj&#10;VgedMs3U8qHKYMIm6HgMX19WB8+u4Llq/iXGeyjnV71/JMPv+/1R8od37/P++3dZf/Dju+9H2eDd&#10;oP/jIOtnw/h9/P6f9GzE2eXDZopMrvHih/W8SrrBv3oJV2LCeZVixjnn9+P5shd9GiuxwPM1AKl5&#10;W0ME51BWFz2Tm3JCJ0Uretxsy+l2MqN//ojkr+rfUbj+QmWK7ZLDqCvJ70K/0GxeZXVga2q28OIB&#10;1KKqnpplAuceSUDOTRgoXsYF9I+1KyWiDxA4QKaY45C3ReFiJOojgJ3PG4L7dKdQdV8NrbDBaAQz&#10;AoSXxLzAZLeuP04g9k+Y1UGXQjQU11MdtIuH+jYYruyUsafQIZlXUlXeFEo34VRlT6HBqrwptKrq&#10;DUyhdKf0lO0mSU4BhiFgTI27b3mShG9yG9ETR+PGKNdNoV//OlsKDbq00iZZzKAVfSxiTcg0PDpa&#10;6f3uIlLKvKOVjlbOvmcmaSn8f458a1rF4ihz5dkhCLQG4fWsLeBJU8teFlJvXZkPY8hupS/7vF2M&#10;oS/1uegxJ/G+dGXu5+vwSXsNlfkwhU9LtRwW4jk2Db7g8Aj9u9FuDaMjwzRNInU9Ryr7yvyAbyvB&#10;ElYseky8sIcpzFUh8qYfUOZoABGVr8w9VG5oJC1EVHZoBIUkVHZkJNhWfmTEQ+UGRpIMkSShsezA&#10;CJWScDlxEQAbic0lxUV8aLZVlCSBFiO3ar0SVpUSodntH2wzmhvq2q55Xa0Pze6A4BBz1tViIErQ&#10;sMrRXFcbhCatq/WgeetqA6PfWVdrQGtlTZ4t0/WJsaRwcfQ3LENn/4xg8edaV4sxrAJVopHLEA/5&#10;iVmzKgZDF2oDWL+zIcw1cRZksBA5LtEkx9SkMbUxqN985tk5lS+mBEf5KmfUq1O+4FRyF3XK11xV&#10;O0yH7AdD8oDKdzq/8j3jWKdp1R7rWE0JNfn6xjpvU9SNdWus52k11mNIImVE1O6+HPJNGSsQQba1&#10;ctL4C/JS7y4f7xBmIklVjtez+eSH8XZs/o3Pj+vLabKarRa30/K7/wdQSwMECgAAAAAAh07iQAAA&#10;AAAAAAAAAAAAAAoAAABkcnMvbWVkaWEvUEsDBBQAAAAIAIdO4kB+FH6eWQIAAFQCAAAVAAAAZHJz&#10;L21lZGlhL2ltYWdlMTkucG5nAVQCq/2JUE5HDQoaCgAAAA1JSERSAAAADQAAABgIBgAAACHwd1QA&#10;AAAGYktHRAD/AP8A/6C9p5MAAAAJcEhZcwAADsQAAA7EAZUrDhsAAAH0SURBVDiNlZQ5j9pQFIUP&#10;zy48bkISa1gLTIclhgYwEsooRRxBm0hJm+U3TP4D/g0sLUhQTzAFMoqUSVIBEnQzRSabhiUUmCl4&#10;vmniiCKDzJFOd76nq3v1DogIRATTNM8URbkBQACoWCx+UFX1EgApinJjmuaZlwURwbbtUwBkGIbV&#10;7Xafcs4ZEYFzzizLMgzDsADQYDB4RESA67oBXdcvYrHY9Xq9lr3Xdr1er+VoNPqtUCh8dF03gHa7&#10;/RwA1Wq1N/8DPFer1bcAqNPpPAvoun6xWq3ujcfjtCiKW9yh7XYrptPpcTAY/M1Go9FJuVw+3wcA&#10;gCiK21Kp9H40Gp2wzWZzpGnaZB/gSdO0ieM4MgOAVCo19QPt5mg+nz/YtwTPs9nsIQBCKBT66Qfw&#10;fHx8/IupqnrlZzRPyWTykgmCwA+BBEHg7BDAE+OcC4cAnHMBkUjk+yGLCIfDPwCAlstl0A+wWCzu&#10;AyAGANPpNOVnNC/HAGAymWh+IC/HJEm6PQSSJOk2kMvlPjuOIw+Hw8y+m3HOhUwmM5Rl2UGz2XwJ&#10;gBqNxqt9S6jX668BUKvVegHOOctms1/i8fhXx3GO7vrusVjsOp/Pf3JdNwAiQr/ff4y/xWJZlrFb&#10;LL1e74lXLLZtn/5rIyJCpVJ551VYIpG42ldhfwBwssUmPtgUPwAAAABJRU5ErkJgglBLAwQUAAAA&#10;CACHTuJAUEo4SccCAADCAgAAFQAAAGRycy9tZWRpYS9pbWFnZTE2LnBuZwHCAj39iVBORw0KGgoA&#10;AAANSUhEUgAAAA8AAAAcCAYAAAC+lOV/AAAABmJLR0QA/wD/AP+gvaeTAAAACXBIWXMAAA7EAAAO&#10;xAGVKw4bAAACYklEQVQ4jZ2SMUgbYRiG37vc5QKxtAS8qBArCCUZAkkhUzCkbYbQZHBQaIqTiIMd&#10;qphSpG4NRbS0GdKhlE6Fc3Do0BI6JFZbJ0tsucFD6FADQe6koDYQc+nd16GciMWa3Afv9j/f8/78&#10;P0NEGB0dXSkWi7fD4fBXXDD9/f1VSZLuAgBDRIjFYp9YljXX1tbiF8GnhwUATdNEURS1TsATWFVV&#10;r9frVTuGm82mcHBwcMWWeX9/vxsAbJlVVfUCgC2zpmmiXTNnmS14d3f3aqlUShiG4QAAnudbyWTy&#10;Q29v794/9MLCwkMAtLy8fCeVSr1nGMYEQKfDcVxrZGRkpVwu3zRNkyEiEBEwPT393DrU09OzNz8/&#10;/1hRFH+tVuur1Wp9siwHZ2dnn3o8np8AaGJi4pW1AIODg98BUC6Xe6TrOm9tPZtGo+HKZrNLAKhQ&#10;KNwjIkCSpMzc3NyT03XOi2EYbDqdfsdxXGt9fT32V9/BHB4eXg6FQt8GBgZ+/Nd0XrLZ7JLT6Wyy&#10;nb4tACQSiZKu605b5nq97uZ5Xu/4ztZEIpEvtmoDgCAI9u4MAETE2KptmiYriqKGdj7H2WxtbYUB&#10;EDs0NPS5U3O5XL51Ul9RFH+7VtM0mXg8/jEQCGyD47jWzMzMs3bhfD5/HwAtLi4+QCaTkQRBOK5U&#10;KtcvAldXV284HI7fw8PDbw3DYKFpWrfP56t2dXX9mpqaeiHLcvBszc3Nzcj4+Phrl8vVCAQC20dH&#10;R5eICCAi7OzsXBsbG3sjCMIxAAoGg3I0Gt2IRqMbfr9fAUBut7s+OTn5slqt+qzFfwCysBI9LCK8&#10;KAAAAABJRU5ErkJgglBLAwQUAAAACACHTuJAWPkKjykCAAAkAgAAFAAAAGRycy9tZWRpYS9pbWFn&#10;ZTQucG5nASQC2/2JUE5HDQoaCgAAAA1JSERSAAAADQAAABgIBgAAACHwd1QAAAAGYktHRAD/AP8A&#10;/6C9p5MAAAAJcEhZcwAADsQAAA7EAZUrDhsAAAHESURBVDiNzZPBixJhGMaf72tVxKGDYpOjOHoz&#10;u3sZEIXdQqFg5hBzCPoLoq5dAi9eFf8CD0Ih7IBCoQ4UwZ46mx23YlsciQ5qhOn3vZ1WloXc8dYD&#10;7/HH837f87yMiBCNRn+Gw+Hf2Wz2FDvU7XYfaZp2jtVqFQRAtVrtJRHBz/DZbHYLAFRV9Xa5XBb3&#10;PE/9j6HpdHp7X+jA8zxVUZRlMBj84ziO1el0Hs/n85sAEIlEftm2/dqyLCcUCq22lG3brwCQpmnf&#10;AVAymTwzDOPEMIyTTCZzCoDi8fisXq+/kFIyIgIAEAAqlUrve73ew81mc+MiDyEEHwwG9yuVylsA&#10;1Gg0nhMRYJqmo+v6l/V6ffCvMIUQ3DRNh3MuXNc9ZEIIzhgjxhjtevxyuVQKhcJHKSX3VZuLaTab&#10;zwD4B4gIk8nkDgDa/oYfERFLp9PfuG8CAGOMdF3/uhe0hfddL5VKnWFXPldnPB7fBUA8EAispZS+&#10;1nRd92jr6rru4XUui8VCyefzn3K53GfEYrEfxWLxw3U1sizrmHMuRqPREdrt9hMAVC6X3/X7/QdX&#10;CzscDu9Vq9U3uFxYIkKr1XqaSCTO4fM0/gJTPaj7znJ3kAAAAABJRU5ErkJgglBLAwQUAAAACACH&#10;TuJACTMTT9MBAADOAQAAFAAAAGRycy9tZWRpYS9pbWFnZTgucG5nAc4BMf6JUE5HDQoaCgAAAA1J&#10;SERSAAAAFQAAABAIBgAAAPnaNCUAAAAGYktHRAD/AP8A/6C9p5MAAAAJcEhZcwAADsQAAA7EAZUr&#10;DhsAAAFuSURBVDiN7cy/SwJxHMbx5zzllqsuzKXFk1sKTx1DvnCTo7hcBE0OgkVLa/+Bq4t4Q0OT&#10;CN4QNDYJGo6VoIt0Li4JXaeL1Jf7NNkQ+SNo9IFne/GGYRhNIkKpVLqSJGkmy/KUMdZijLU0TRsA&#10;oEwmc+953jYRod/vH6RSqUcApOt6lzHWSqfTD8Fg8FNRFNe2bROMsValUrkAQKZp2qPRaJ+IQETg&#10;nIvlcvkSAFWr1fPxeLwXi8VeIpHIa6PROPZ9X5jbXq93mEgknqPR6BDxeLwriiLPZrN3nHNxjub3&#10;fV9QVdXJ5XK3hmE0JUmadTqdo5+OiGBZ1hkAgiiKXNf17mQy2foNEhGKxaIVCoU+AFCtVjtd5BzH&#10;UQEQZFmeOo6jLoJEhHq9fgKACoXC9TJHRNA0bRBIJpNPqqoOsWThcPgNAPL5/M0yBwCKorwHBEFY&#10;5b63rg2sXfzDNtFN9L+j7XabrYtd191dZTzP2/kCBjj47aBPQogAAAAASUVORK5CYIJQSwMEFAAA&#10;AAgAh07iQEesMT5FAgAAQAIAABQAAABkcnMvbWVkaWEvaW1hZ2U5LnBuZwFAAr/9iVBORw0KGgoA&#10;AAANSUhEUgAAAA4AAAAZCAYAAAABmx/yAAAABmJLR0QA/wD/AP+gvaeTAAAACXBIWXMAAA7EAAAO&#10;xAGVKw4bAAAB4ElEQVQ4jZXUT4gScRQH8DcTNssaM4qpCBoac4hFYQpRcsKjJCN47dAhL3Xo0DEh&#10;PCnk0YMHPSV48Bq4IXQLN7EIBrIBYbOUIipj3MU/jIP+XpfqEOsyvwfv9Hsf+P2+PH6MIAgn4XD4&#10;A+woQgirqup1wzD2YrHY22KxWEilUi8hkUi8RkQ4r3Vdd1YqlUeiKB5zHGf0+/24Jfi3p9Pp5WAw&#10;+FmSJJUKIiLU6/X7AIDUcLFY2AVBOGF3hbKr7Hb7UhTFj9QQAAARGWo4m82cw+HwGjVsNBr3VqvV&#10;PlU4k8nkisfj+SHL8pElOBqNrubz+adut/snz/OnmqYdMDabzQwEAl/OCAAMw9jjOM4cj8dBlmVJ&#10;JpM5LBQKxWg0+o5xuVy/0ul053+oadqBqqo3FEV5EY/H3+RyuWd+v//rv4FdV9V13elwOGaKohye&#10;dX7uG8vl8mMAwG63e4sKLpfLfZ/P902W5SNCCGMZIiLUarUHAIDtdjtDBU3TtImieByJRN5vNpsL&#10;liEiQqvVugMA2Gw271LB7XbLSpKkhkKhT+v1+qJliIjQ6XRuAwBWq9WHVJAQwiSTyVder/f7fD6/&#10;RLXkvV7vJgBgqVR6Qv11ZLPZ5zzPn/7ZZ+twMBiEAQB/A/Qy1y/pOFCqAAAAAElFTkSuQmCCUEsD&#10;BBQAAAAIAIdO4kAVjUSK0AEAAMsBAAAVAAAAZHJzL21lZGlhL2ltYWdlMjEucG5nAcsBNP6JUE5H&#10;DQoaCgAAAA1JSERSAAAAFQAAABAIBgAAAPnaNCUAAAAGYktHRAD/AP8A/6C9p5MAAAAJcEhZcwAA&#10;DsQAAA7EAZUrDhsAAAFrSURBVDiN7cy/SwJhAMbx5y5fkBusEychA/EHiMOBm2+4HDjeWg1CkEJb&#10;0P8huAkpSIu31hi4hLoFQhCkR2BCYx43RKByT5MNUWbQ6APP9uGLQqFwSxLVavU8GAy+a5r2JqXs&#10;SSl7iUTCAUDTNDue54VIwnGcRC6XuwPATCbzIKXs5fP5vhBiFgqFPNu2DyGl7DWbzRMAtCzrejKZ&#10;7JIESSwWi61arXYGgPV6/XQ6neqpVGoYDodf2+32ke/7ytIOh8OUYRiDaDT6gmw2ey+EmBWLxZv5&#10;fB5YouV931disdizZVlXpml2hBCzbre7/9WRRKPRKAMgAoHAPJ1OP7quu/MdJIlKpXIhhJgBYKvV&#10;Ov7JjcfjPQCEpmlvo9Eo+RMkCdu2DwCwVCpdrnIkEY/Hn1TDMAbJZNLBikUikVcAKJfLzVUOAHRd&#10;d1VFUX5zn1NVlWu5tYt/2Ca6if53tN/vy3Wx67r6b8bzvO0Pvpz51OXqrrgAAAAASUVORK5CYIJQ&#10;SwMEFAAAAAgAh07iQKWUFUdFNAEAE2QBABUAAABkcnMvbWVkaWEvaW1hZ2UxNS5wbmdc/Qc81+37&#10;PgC/KxWlUioSodKS7JEykiJCSYTQskllZ7WHQrKyy0gSysxuk71nSMjeez/Hpfv7e57/0+/X63vf&#10;3fl83uO6zvM4j+M4z+vxKWW5NatYVlEUteaEvKwqRS0NxG9N2hX4k78J8w34nxWXFOVkqQXyfy+z&#10;orzwJ3TX5DUtKWrtN/J7iQ/32q0UxUGdkD2iZhfUG2yoplaz+dZEVsXKB00xq7ZzcOhEGPWu6eVK&#10;qXX7IMd4+SmXydMTQvwsiiefSvzYkLFrfMW+fa5v9uzbLL3cu+miQb+91O+dol7+6/WEjl5xMXUy&#10;nXohaFucJTgQO1d80MHiAcNS2juzPu/e7T+0e3dUbox6LIuoQeELdnoJdpojDDRT8V9Ybi6lVWWq&#10;SzbVsEjW4nn06JGYYWcaB+0djjyXLSs0RNa3DSSZVHWfvHo1rr0oUNSJXoJp8Qd573IH0oYdMTB4&#10;7WRmZqbWnO1ky3LzAH6Mdlhv5V0lmrILNXE6WXSc9CsCF/+w5LO5FU3ZS/0CX8ORkZEii18fW0z/&#10;9z1s5+tkGbaphEpaP3ry5Mm3s0rkG+yFL7x/zHH42mo2/MsRXZ6Pbu4ch8PCwi6tXr1aKV4vp/9/&#10;lxlIxZltl1+jEnL4+mHb/vM0cSbbydXHLMNVRC9JLV2PT2urutvQSat69MqVK+dPn/aku/pqx7+/&#10;gxukmf8lM1AT37z2aMly8lVNO/lqZRmoybEavRmK+r1ZHPd0J1Pr2la2IxTH9u1/zp848fi6qqqq&#10;4P/9/Wv6jNETh51na7tmp0ZaPt53J48vfhu9iOfNdf99U8+y1DLPmyqyst/SystVw01r4qa2/ve4&#10;Xt/mDpTP2rVjx9ct/13s2O3Pu1TjP/NYLT6HrN8i4qrxdOvWSenp6h5QPHmSnm/0PK6ToU2JRgNf&#10;oXjzZnrB/dVMWv+7VElcfzfP/y6D/ddxuW4eHq2kj6c0Nfem3Rwzefmqg9wSh8W+jwmPKxXLy8vP&#10;t7a2fv3fk+ZlNts+tuGXjBy+45nLSvLjXBcvXhxSiFS1as/34fjfbV8ht20bERmZpptp9+Hg/24U&#10;Lz+i6bZ2J76AdnjgdkOnfFa4/chfpiqTZA5OTs7aUkvykJ+Jkpfevcljm4TJta7yyFP/933kqS1v&#10;lBmoiCqJfxCymlxp5Uo8/GiNew8e6G6/x+fHq7eW/98TiJC8RZ5dS8vXh2t49bJZ7zw+8t/X4gFa&#10;fNq/+ACnJrD0IpoYNmy44X+R+Qb5sv9uoXs1eQCrt0k61vLh0pg1hBfXSvNy3ILue8uO4mzqv6e4&#10;IILlV7n6zt27jDRLb0//+f6kaM2/jRCt8jt/1/CPkd+f7x7XiDtP9+Xf6sWXXmC0b32l3Xkub3EB&#10;zzvhHuxb6VatSt++4bH30NDQxf/dnSgepH14mstCdkNVjMay6/9WPP2yFYF5W9f8e6yPLuIe2tx2&#10;8fENvpXdHp15rUVm9f9uYgduIvNDxOvX6bt37Vrx3yJgXovnKLr531Nl+IrVn7dVUVpaOkxtX+yn&#10;fwuLn5X8oOevDNv4oWTTmtmZsZ7Ur/+9nWls27yt/20T+UYKi1d0g4vLgumNtMxessj/d+2G5Npb&#10;PzpMxMmRLfF/3/cZz+S/RaBq+4lc+9fm5oUAT8/TXWmWHdv/iyLRA+ThHb/eURy8678nbb2SXPiq&#10;/5ZD+vKr4TssNhYFCCuq7tn4/fr1657/fTMHufgjERERdro5zo3r/u2ciP5b5IulU0sdJvqzCv7d&#10;DEMEC9ZwE/Ps7GxcYEDA5h8/fhzf8m/v3VFDFMvb+rmvITXrKiLSk3/LVjX1E17ejto0S0O9Bxdp&#10;/70C+cal5Cks1dNr3vr3798pw5IQc+N/EYx2eDe5GnVazqdasZszi0s+Os2k1JBo+d+e6t4mc1SF&#10;sk88Fa32BZds8OHDh9Pkd4btQP9y6oKJiZaRufncr8+fW6JjY81T3NyKBLduDTScdTmjdPKkK/OD&#10;6LHnh/53FctxFS6y9vZpvcPtBZzkU8iV2Pf/SnuEyLKDonz1D7q3nqMo/5PqV69cUdPS0toX//bt&#10;cwaZW61isdwh2z3lo9X2HWtMt244dPHLvbPmDSkSnxP2R5mulZSUFOXh4bEsCTpY0T32i2sxSCyQ&#10;cMB77MiR23VTIx1fL1++HF6M/74P++VctJorRTE/aKHlTBYPWM/AcO3sAT8/ScfJ92UVUSpsY27W&#10;lpYZUtf/fBt4sJYtvayw8N2thfpY7dTMQBHzgMxL313pWnM99KYWmrcsflP8Mrx5Jhnai87zUx23&#10;R/4WBeJtda+l6L/yye7zUZff+Xz4z59LZ9LO63Z3dfmHqUbTcHFxueKPvPC7Ffd+uaiHjmbpJs57&#10;kTEhu3btuq+urp6GoDU4OXR5t0weO7n1Nwq7vHyYNm3yV4gsd3119OFVVtGrv/ZJSeX0UBT5xkMW&#10;TZlpJJMkpaaWzNZsW7V4ZclL7yrJ8tr2/zIWMC6PaJfz2NY3GPZh6W1pJa/bG1cdu66mpmZ27lzt&#10;ckHBxFlh0+qnSidODHUjo9h4ykfcHO/1V7KxSSG/dZSV3c+ePetzroCLjuKjqP7+/gkBQUG2/Pz8&#10;tnsMu5Bbfn17zJgTKGrRdJ68/yiVUOcenyaxf49nhQyt63wRuVcPyenO1a9Ovbmiqb6m6ja7Xtzx&#10;pdS3srKhoVtLlqXEnU+78Wusp8apykRYMV5YP987kpJ2nu6KWl8v+aRV7PX796VtXiqSU/SUPJJ2&#10;6jo2cSunrw/WDCyj1tPS7KM4NjyOyDz2ZPN16hM//UhuULpV143On1671z5wNtjjGrbHdV7nrgoV&#10;q32DNXd2uIDXoqG+3sB4xQuhT5eZHyR++PBzKVWe47JgbmxsfCA9LvVqY3oLJb1LJWQ2NrtE4uao&#10;kYOvfhX+t/bosrPJWkXz4w0WwYds+x0fXWR2x/87SxYk7Jv/dc73rG1PtfnAQM5CU1lpCcOx0xuP&#10;lUkJT9KUpreSOwsPCysuv7WWenT//ndLU9MeM4rjwIEDxk8280wbNaSYz2150DI9MZDj1ip2vGas&#10;OFSqWWb/Zo0U05r+F6rRG7tZbCf6G38YGBhMkQXv6uq6sf4HiZ5ubIdsNvH+VjPWNOeiPjlNNNoy&#10;jhatXvxuFxXcs3Dm1NSUgddulXlffU3hggQTT3m1LSwsNz9j2/LjXx/LqvJj+Rxsb28v1069ar93&#10;o2vYp0+fuCMjI2/o1BTm5V1LSE4uumFpqVhUVJRcKhyHN/GtoKDHNzJSv3huZmJrF4vG2bNcJlVv&#10;q4zJZ1n+LbyvGp30NC4l4MWLjUZmA178l3+8i373buPW6Tq8iDAjp5rfjNJrorRiDWpitUV/ffmy&#10;nYl65ONTlfjs2bMneI93Qrx6y8JzQx6uYxfhuCcNCHc/I2NGAkurd3TUylCnhoeb22v58uVce3Cp&#10;bW1XLHRa1fb5cIiLT9+S5jgVfNg+ITk7LXuiySGGumVWl6Bf6i9oqFX+W2D//l7WYO6z2EpLKOO6&#10;hHb/jpJQ7S3TB8MXL6qaXNTlS5cuJf7+/VuRkv526fr9tDT7A1IXLG1tc2wnB1ukiqX2+ShcnBnv&#10;83CVDXv78eNHWp2adjH3LXwXPqk/uPgRDyO3M/Dr0y2Cm5dQmh8ufbdzas1emJ+xXXLrZKjknKIM&#10;LYGkQsEdIx0lsSGH7f+UYqewzd7jMjTsEHpwUYyJyS8Jm0hEeHTkOFk6028/7741P4OYMG16aCAv&#10;4Z3WPh9fICKj48eO3b+3EMKk732GiUdLaBmV1xHqMv8h+zreHxtFXRntLJPqPKRn/7fQ31fm1ak6&#10;pK5mPKHfo10VsZ2Om1Yd42TDQuXhRUzKT3jnuktganJy54f9MQICAvsOXvstnfQq9BDZM9VyaySX&#10;jDaPFQcf2mbVcF6wINNlYb4BfytIqPlMw9PhZSvXygrSf82aG2/I6VzNwbhhw50IVWN7oNV32ZY+&#10;wEg3khMSbjZFnPDyvnNn6RkZWtljx4IjT8iY1ycdVM4LbZhJSUnRNCwOemzy6+MQm/guvKClX/lM&#10;8Ci/P2FyGUxnfDjKJfNq8e1U4u0sSFQA87GysoYYVReZlUf85NEx3GUaeFq34durwsKTpFKgJ8+w&#10;t9dsq06rgoLC0wBhU5uiysqk3+QO7jGIWXdXas/al7zgv7zexWHhV5plyz2GPXv28PVVRlcMWJ03&#10;MjI6PDdxaCAz8bRl1fjZqd46wR6sScWemnh2g84BFrKpelxXhFLTAy98fPQb3pwOnwm4bRClHOwc&#10;8/btBmMHFXPB/CnuJ9MbHu7bt28nXpUYr1+BIiMj45y125mYKrNQSSebhP0xrzuOH3S/vH3HjstT&#10;IwvtfnpN1clZ8UgMFa+VtFUtD0vrX77sdaK5JtN+ZBIVUIPGlCO58QAh4+fbfRQK1m07XFtV2iy6&#10;+IY2kTc0FujnZ9jf2mp5d4WJkEOGXo5zw2Sw86Svr2++qdfpOHP904GsufxfH67TW0ldyXVncxor&#10;sm3KtLekbu3XTLjCMtfwmHF3vVEIv877C593U9KvT/onqNUki5jV8qlxMOwx3fBqX1ed2sqVD3dP&#10;L23y4z94sK7h58+9X/FcOURERMr/dylci5eipap6qRJXbnfzgafvcpOK10V0Og1/eL0W35JFzpyN&#10;APWsLtGwpEb0KuKZxJJb9FsErjBK6P28zsq4fv36XL2qjavuKyBGxfQ5YX3uY6D1RsYyNjM7/23d&#10;OaRxa4Pqmh+Tk5N/N2/enGZjY+N/4sQJ5wfz2Xg1p5PijAfpXsaXuLquOoFk7b6M4hcROQAEdp+S&#10;dnRy8hoN1n5nftzenPGhO9uhamUOhjfptgPZGjUK+zir2J7il4LM0aO8vn5+il3NHuxSTeqWZ8/s&#10;2bivsbFxoMrAofnHj12HEHuTNBMNakzUbXxGxbF+/e3t7f8ulIxI3GiTX7ljR/gGUdFUNaflXYvX&#10;I2lKrkcuUnVvb1PWjC7F4e7uvkXA/533vLbeUrJYTAPFrAaaJGwtLUcOO8XuoeMcnJ2yjFmxhuUw&#10;MrnLdNtPxpXTtu6tLwYHBy0DDJWObT991jx1wlinFLjBXklC2XmXZE2qRXMfb2BkttPMuDOgwlty&#10;eUjPffRzTouRTacKe0cvyyQ5gE3gSt5xiuPq1asTRuzXGRm9vvz6dT44xi4+ZlPk/fvH+p9onU65&#10;2jgdAaj+0W7o0p6F5Mu57skV6oxWhS/4TUcllqVn5dj01XvO5liy5pZysFKPzh/gXU4lXPz64FWy&#10;Uzaq9JseF5kP7NvXbebsnO3/KscCL2VjbAGL49LOGJ9WMYMv9+ial1DXr12zk7m778O58/4BAW8F&#10;f8eYc+fX71obXWXimxJ2+Pof2a1OltuknGdXURx4iyxh9ryo45iENISX3AqSdEr3ieuJxRJnpp6d&#10;8NrFUzGerhC5Icmsbpg+lncfdlvbDXtjE5O3DU9C+oD4DZdRjx8/rtNTV98lODrhRvKPNUECTsnF&#10;CA5L1rycDL5dHCIRI6g4bZ0UNjvZ6iEVr8SdT+DQEmr480r2/dWOPLt356o2vN1FMeh07O8ad0au&#10;9uhpaJJymh5ln6sC9AxN3B+zas2arDc9EnjKwWLX/9ygOI4+XNv4MuY8UhS+02XxHQTnzA4ruri9&#10;fLqMSnCem3413TSRELuHhPDW5SN2GSKxe0pCJLZybXj8Vty6ezQD92W09eiyw9lYNR7JbpENM24s&#10;wumhXl6Xo3ssu8azZV5N7hBsrKgY8Y0zm3r7dl/Zp9vLXFZQAohy8WNcB0ng3DOtQXZl1Ru1ffeV&#10;AoROlNEXvlYJnY/MntiSsCkyOXlMcN06j0PTxRJ/29rO1dfXS7Y3nzl5stC56Lq+vn4CEmEByo7v&#10;AHZmb3tuIvmVouK6i5Ri310ZnUrg8RKCZo6tBf4BQprV8ge2PQ5oNO+2oi4+o5GL3Hy28eL797wq&#10;N9JXn9xzW8PzdEhQUG/sqT2ud+7c2WBS4VpeV3dw7ljsnrm5OUYlJaXVKMkCOlmicM0E5RcnvFPA&#10;VgUgYhdBteMj587a9Yk99zqroFHpSx5KeryvoUap2TIAMGM7xcGtEccqR3s7LGz7/ZiYnh24qlev&#10;XjEBmh06eFB/48aNL1AEIYWW/TlckNDN7jJ73ftVzmWyTOd4TbBZF36RnwQYsdT6yEY98vI6syJH&#10;PfI1Ly6yqIgnGa/o69evJT+vJCTEaMSv6GTBZVRgA7LtL3jrMtOXWjzdb1oecaKAulVbW3sl2aJ5&#10;/k3cdT3nqXYriiPUabxu93RcqnVP9RIhr2D2e3ofr3E+1ddMVtvHw0RLc5b+6zUJh/FfVUnGFYGX&#10;Pny8QYgo+jk2soc7Xc5izc51YKU6SOZc3QnY5uTfgYtK0MmwycUTvPHt0XqpJVRdtpODlJMlieP7&#10;KY4nTLzz0s0f8crcaSgBPKwiStoqdv82cas3q7/ync9xnhutzo9omDl9+rRhsvlAxf6R424sjVEl&#10;qts9vUMJinqVo/fvyZAwtlCY68F+SGHnc9eA32+WUnm7Qx0TpGsm/X7uwd8dTk0+waqVYla3k+JI&#10;NCgqn0rDRtDJujnGTHHcXbmu6R0v31NwZAyPZc+iaJUSx9bhBSOhoP2lBP8ugXJx1bKlS+OqEWW/&#10;f+dSqhnPBuR9cO/e+Tb2o89+XtFfxy5pdqFzgJlk4IXFeCJlCUTWgyoOOO2YknlRbrpABl20E3d+&#10;qPO08Tcp82P+/v7Gqddbf9iuoGd+78P+bWpmZvciKKwG6Jz94bZVcnbqNVgg8qJqksKEEIMV+0pf&#10;fV1fVFJUUCAIpm9IByDdcLEk+CuXOtGOwHLpUlhO3HVsBAaUjckG7iZaAm9RdXSMBhuSSzutlkPQ&#10;wYIDFrqBcIfQgliMPS7TPf1HjUj4LMEb5J0ZV7wWfQL8vmnTpufA5SnzneEe2YNDQ2mfG+o7mPQ7&#10;rgho+gPIDmkw7Ni+/dJupYCkd0furljn5ub2xMvLKwuV0oY3saufITxY9dYOvZff+faPobtpfnNT&#10;84fLcnpOJQka8boZ1K0X/v7tpuMqepl2Q0JHXWoWo4EeiUMLUkAf9SnmDk8vMguvEUM4czhZM1mf&#10;EnZSRcU2zpxbwcJi4MqZMxWzKlJzVspWVqPO0Wpax0vcuvf9UN6EhXr79m06YIsSa7frqJQLEnqb&#10;U0qjlAJTZJsPKu9rbKpRP+Q10FkWXlO5c7t+B+LKWlaxa6tdtiF4KXx/Lrd4HQskUS+E5izMO+xO&#10;r1LUoI/Xyag+2XCu3nX42JZ2lB7DpARJNj5W9+FybrNwieiq+zJc1LPS0tKRI0eO+JGlg8Ts9vSp&#10;6yhNiAvrktLXyFmPPDwslKUcWn+4DYBG4Lv4xXY6xCO7zyk7ySgTSF5XVzdkCyfNqlWrTn6/dJ3L&#10;ZRtw282C0uaDJEjNM5E6zU8jUpUuMzPz6lBKVBqps0tFfJsXLwnIZZwXa/zmQNaEerZR+/N9G1fF&#10;1CcZW87GxGdPo1ZvNbfprS2z7Sx91aPpe3bEIUSQPhzo6EACiss/OXo7N5zFLbS7buL+gW3/Kg2X&#10;a9SYPnbCqW/7mTNnGicbZtL7/Zoegmj6CXaBbTLeBaWvpZ3lGxZSXBx1Gfj3+ggM1msiYWsjxaCo&#10;WGBoNaZS46pvrn2asA/sFQcOTv9AmDEUtDZ7EiO0kHKt5YuHIoBwko4hCSedH0E5LgiB2yCkuEfU&#10;ljGWmNdcwhOaf7u7pwcRgbOysrx49u+/MdCcE58864VNuBbw7LIS37vMm2PdzRseEvBvxGd28aLn&#10;DqSpECmXq/qdA9sWt6UpCfMFmufPm5mBFXraXDODZDp/vqEWK+tXjovLSfMND333awr4sNMAA0dw&#10;uyA8YJsUBfDjjhfcs+d74nPGq61j12wVoY9szZ6f7okeHQDvEIZy6eGJyPIb5kdiSUjX0Z5FcHFD&#10;VudloFVDULKIMT+pqem/f9cuA/asJkB962J+cfGbUlJTrlIqJIAdM41CJZUdBGp0zjt1rFDz3Lm2&#10;zUgFJu4OVbF7jPlt9jX29wOghSD2X5ahNWvOzmLXiTYrC/tuDwj6to+1Czz1FwQa/Z7qWJXR7ipT&#10;JkRg59X5BX68K5eppTa0xQbt65JQjCwfRh1m//KvNYqaNAYqz7bZSfRIgwRJO4iNw/RrOEAZzkRn&#10;G86VybHzhIXybn5SsFX0qiMT4/1TuNDRdiEswnpt8OVVJ8+XbT6Xla/ujWCDpXxPSp07OCiovCsH&#10;N7zAFutpP9ZddStgw/HrJIqQ6kdOLjc3Li7OAynCQCl+AuyR3KFDGYUkpJf8/Plh/4EDIuMjI4pA&#10;hgU5lh3uKzlpJGcHv8ZjK5Uj5Bbl53enxcb2naF+Gy3dsGZzrtvW1ISwMBkZ2tvIwWMrKQGTyjfs&#10;ycvvaWpqpszPzz9GwjOpP91f7Sfm/eJFJylzAE43UQy2thMZlLRyqGRjfmnOsn/pg2z25Ik8zx1s&#10;k7dfE9BRJOufkCBQV5AUtvHJd5/0DQ8VFBXbGzNsmxWXHdbQqFkp3MF8EFXg/NyMRauY+8/8/ARr&#10;GxtlW/wuwT9HDuQ4Tt3gyzl2hbx1MbFJ7LHrQ1jQgeXXFxOFvv7YL8AiG4DQaKyYo6tXPzkPauL6&#10;0J/vpaTmt+4sbaFV2vnHwnzlihW6dRm2FvRSpVWZHivXbROyQhrwUYjUJ7gnOzu7BlnLzVoikNSU&#10;qC2FUGM+jT4TdSB6KqgAj2DlWtbJxFcuK//tznLsTtOBGfA/a3IetD9kd57ctDC2ELWpPd2654Gp&#10;g8ShQw279uzpFJC2Dj7hq38WdQ0X6rkJ4Je+At6coLXUlfnZqUQE/T9IAXU+3BpLheMTCVygpJtA&#10;7AyQbxP8yvcLUD/d2P2Q07QVN+i0pxC/IicWU11nD8GfgGuszi9/llyxBdAuXGcVXROvN5GMesLE&#10;wMC35v3FrysRvQ+ijDR605Ompq7uSogpMIvD9+7de5mUJMQELgLh3/Gm5KZ/6zJpHFvbqG9scPDj&#10;Ga8X4UupG6Rmme/hbXC9ke+9VzE5KyQgoD6vrIz/rr6mj+z2vfFTJ5Pd3JTG2wv87tJFrzVbvPA1&#10;kynmDdV6NR1FL/hbPRI9VjMdCIo2/dVdFZNbfp1x18lzceaFZeFyDVu3bmUyXRF0d8Wa+rCDImDI&#10;vhQW7m9uapr/qW2RZU3iPpjOOq2aDhQh4FoM1lDPwM6ufeky8CttxAIvxfjT48cy5I1oOQD8JtlI&#10;3hzN81mhDuCXhtji+Mll7mxK2OLudvM5WoyFMh4u53F+ajHkTJg+N9w31fAnoL8hlfeBbkfbTy+L&#10;LhZbMCl7pv1BzmyLMP0FWrH5T+onb/md7XiF1jPj5irif0tfHdXBW9Mk2ccde3o59Qwv0L1i4ink&#10;lYNrqTxCCw0tZNsONPVT0ocPH1ZlfnD6chgDST7VuoSbDDatfrfla7zxQefZyU2jyX7mx7r6+51V&#10;NP6cUlV9Hvr37cUCXx6Vjo6OwKFclBhhboAIgHb9b4KDdV4HBmq/TZn2s7pKJIfR0dHMWNOtM3iY&#10;cbhpe6EtciCO9NKt9spankcStCfXqKWtbVhwJUFVXA5LqJfgHpSZPNop9BtW3c8nyZdczRrqymLl&#10;t/wRyZWKePQZNn03n+2SOI0tUop6uAHknZ9zEyHYWKZFb+NewhaWLz708d46S1FESZTDDpT0WnAW&#10;Ps80ml0FEKRDDSxGPt9dafF3pUl0dPRVUsg3NTX9vH///q6kQlVSXY1oKI4MDxeSwrsO8CwqKupQ&#10;c5ZD6gd/f81sgzvKUDI9c3Jcws7tjwNZcBY8gqWltbVTW2fn5GRXRdS4VRASlw02+SNgI1fsYBA/&#10;atzicgiRwOFJJfYkjIcctNxFaPVjx4//AOXuat04AqTKAt3hr529fWO5+nFXhqXAslqfpHa4/ree&#10;DpFi6rv62bOPCVkAkA8WmVCBz59vCNdodB0uj1TkFHpJCAcsDMJhW/xHsXDSEMJWKVAky/jq1RA/&#10;CATHmzNQAl4Eywx89/RZTspPApBftrqzHiy/DaKWR+Lbf6UF6oLq6uo6IH0JedrbkGCFvQraI0lJ&#10;bPRgajHYUM8Ixo+o6WnMmFDWPbhzLSUPCnucrPvvhKlBfOdB7DleI8HExLR1ZnpaV5RkAYeJq5d1&#10;WpH4eorXfUL09slWPk62jas6wfu844X+gjzGnNa3pV+aNKT08cvoOnErQEbaqSV9nLst+H9egGB9&#10;zbGMgeyZLPC5kK/muFFXNTvPxJ7Ba5no7i79um7FWJE55Msz1C18ouE2ns1SyGftlDQhmLzdZyBY&#10;OyyjtuDfpsGSr2tfmVi5WyWkdvX9L/ucOT5e+HxH5QspudqHy799+5aTHBbxFkRBHPPIE5Bb1SyR&#10;39uX3CoMOmj56pXL1sVNX0OQHNPMUC67SzEfPRMDwzNpjS161tz55CG11QxsRBFipZ0dEfHtDaFK&#10;jJohSPmpVNqsSQ84MRPRE7A193ohgmT1SGoXVn26LKCbcciaSDYvkzu9OWYVURERQi1+Cn9Cm2mo&#10;BPAj2dMha7LGRZsdR7KzrycxOSnN5EtJRgGC57BMpy7uiH+EwwdnZ+cT4GdcV5zWTjHbMrlP+zTI&#10;/PryYlmSZlDICGkwaLw7xw99IDra+Aj2qX+cKZuk48dl1DWUg8PYMWus3DJutCtQ2Faoa6HFviL6&#10;QVlZ2Uqh3EjskbJhxSQPe339SLvPd5Yn2rHdx/qfVjTkglBkOh2y16VKTY9hG8LrXsIw2PTaiUlJ&#10;Nd+7WgXcIkAg/9EFEYJCkuLI658GIkhYTpWTdEFJ9/b2Cuid5VaQoYVoJJ+ZlWWxlPIsaOeiXvoq&#10;RLaj1LKxojc/VofSdSshnJEhm4UFU+imEpVeJyZaBmT3TgYFsRYQLJKaklKckpjoYGJo6Ec3WLO9&#10;/56a7dFVa9dmm0H0621puZ6LaO8Cjt1JQkLCYmSZInjHXFJxJNEzzs2AFz6a3Ci4cNgISqJaTeIJ&#10;RUVLaIk/wQsMNWZmHraUof2Yni759mCF1k7cZJLEykX8t0Bw81gGCi9OYW7XKfqvb2LfvQvJcVX3&#10;vqdmYejBzH+Jp+j96yMsOYKnoXe54ZLTUfkfV1f35eH5PEpYoL96MUlJasUWXvaDvz/Hzfr6Wp2H&#10;IvYGO3o3cGE7wYcHoOTv37jKB/u1rq6uejZtDYuQ0WrqGXg5a2Dw4XamF1GWPihmsVn6J5ADcH9l&#10;gvjrb46CdTQZl3KB5pZMEC6hWmdP2iopAhUtWbJEg5THU2OHwsPD1w2uzjTdXC1Has3ReGTlN86L&#10;uVWC+8Tq8IUKde9KspYjaqxv3FCIWmjKcrBdJ/M2NWYHqGZh7dPu7FLOyEu46DWcbfHmAutYxRiU&#10;cp2GvjOxL5lNNmVQSnr1WBpMMSLyQQrEVpdY/VrLli/3BSd66yruxjmbTJNH8dpaCHpRVxH0iFen&#10;NpbX+PFoj+dOlefnK1wHA6isuPP5KnPhw9H4HAgizT/46ElRdGC2ZhFuTvZxT008IXmisxn79FQj&#10;NnP1r1+HVfBRZb+NodGGdjuUgIhUJQQsFCsfCABtTHKpEBKuoupwAPJIRWJboAYn1L1JdYByPhSp&#10;eBO2Q5Fx4MkiM9v68ucr8oTKDMBR6VXwMx04T9u6u/mdVnJ3Fjg564vMDxD+G5qAk/urz9tHIuAO&#10;y6HALY4PP7HM3CT8uFt/WQnLIZve7gDBePEMxvUyvxNLJGdoqDw/PeeDOjUjwqjqllIJdkN/1tHP&#10;HTqCV1GW/g71Rbev3kTCLgbH8TB1b+zz7mOPj5L0RjLwbNXJm2uH8n24l5B/Gx8fVxnzmbCfn007&#10;CwmTvdKqqoWQFGcbfkFSvYIClw4c8VObqZaSvrmJ5oXjkAHxcwG2ffVjL0/tUctvH94ALCp3/Phx&#10;roDlf6cCAgM7TKrLCsFaMD2WdfGW2UBLgw9S4O/LkCREy5jECFmDUDq3ChmVbjafsATM3CxseLQA&#10;laobM/+f3UcXlBd3/gGy89Pnft9dl/1npYagYfHsyZra+qSwnfekL1589Tg11TYBbF+cn18Nz/wY&#10;0/5zfE8YloJlCjnu5emtEFlM8wIEllXU42PTApWw5hzFxz9BdqysrDw+OgBkilWZ34lnLynzVlu9&#10;eufkNeiE57Vv7UUZt3btWo+u/D++PNorTJx1CecAgDwqgWzHxok9RShFJT2ZEgLyWYAPV65cqXcA&#10;KqDxVq/QUIsfoSoQUYu3TtveISvLWhNwqqoPstN8AtcskPVojUhcSuweKMsNQIpOBLT9+fZYZNby&#10;GdAiYWImBpotrmB1KerNQGROWvFRqCE4RKfSzPhnaCC5acCIdwd7zg1Cq1F2Gfx95Gi6wkeYgz4n&#10;bYo8tecd8v2xVffDTlme9brIrIyX9ePbt95lb+JWdgOQvAg9qJIX2iERjYLi2CIFW+X6/JmUYFsf&#10;Qir2Y+8b0/MoY57q3fgJQUW62URwERHaAmmopQKXzt/eLL+Seu7t3RZ18AHhIn7uC3Uc/mlISSOK&#10;ZNDBKCAfz+P1U2HZsmXxg9qnmzJsS8wr35yWMjmU+LPERspl3nF1/fJHLs78PDxF+qS8KCwsHO6a&#10;NZ7a9RYIPQUgsjHbKYMuZ6bUc4ecOPWpudhoKdXVnLMgAiYPFg0VReZkwpaaG5+Qt1Y8Oe9AymBo&#10;a4w6Jcei1VYR8ijIIK+HEKGCdoO/i4Rr5sIlXmfbvFjMxf/2+HhPjYVDkQ3fSqqNWJ6EcitTNrWj&#10;GJhG2hc2qfRAqCBvQPYuP8rtaYjrFlVmx1Bo7nVHaVNReDxUyLhcgOIgMtxxeWuG4zOBC0SBr6io&#10;CDY3M0voGiOolAM3eP+ZlLbWeFeF4W6eb7qW/SMe6t6g74rh/lETLO2FyEfKA4fRzg8PfYXCvtdB&#10;YM52j+MLAZoWtviu3tXTExgxUFc605KaX/lXQ89pjHORcpoMuLzEh5Im/pHy0pxNJKPExszHsKuf&#10;OnWhPk4n4zLvvp931RvAVH2lPpWVSye9F/NJCav0CToaeayOVHNG1Sk/utnh37DeTOUl6BfsGmoO&#10;hH7Y09sb1I/fIfhnxcQPzS4LcxaTi7rlLIhwyLQXIQha5F9JEKB+ryCln8vVpEiuRtdtcCKwpLPp&#10;wCGTcb31+BmiOi1aCdZ1sYLAsQgA8QdF99eefftUB6UccN0jgKE66VarYsNPmF7ft9FVBtqPjE7J&#10;w5Suykx2pUXiGlkLQaLxAwTzx1bHmKm8CVxP3CsX7sX3qDGnIfUuIUH15N2HlZVqokebHXVSsQGG&#10;KOmg4OCKJbcGvbSvNmXWeZPbLpTJa757bHpisfw5f5CV/9I3lfo7Aizvpqend9Hd//IWhD17lW/f&#10;fGfZDiYtRjWwzV0B4DxCDjbqkjBvAPVzObUThQKvDg8rdCBbWBM2AHj24OWRr9sPs09/c06z/MhN&#10;BJW+usSOq4BDQFEnEE8OQ0Q+DBH5Zh/8Lmkm2byASDI7N3RlspuQVUtuHIawbwSxE3Er5uBqLSjr&#10;08f0Xy9GQMmZeBcOJemh8XHlA/v3C/GPLntTcNPO7tcS6k9n5wtOr5/5nc2mDa6qNSJinFUNdcJs&#10;j0OqdjZcGSmRMEmHBWICtCtcDyRam249murfdfAnuQyjrVHqMZpgk/cHvLCaGm5/iQq+/+VAMLbn&#10;fnERWCg9DV5XXBqpJyTN64YhRd/9/tNgiJw+89F3gJmjXqavXu9yWMpBz/L7CwsirT18mMtGyOnR&#10;PZ8IXWj8Zz1Qt3Kw+NzVzuZViwHk7JrhV7uVg4x2ILjy8/PPCDfQhbmYmJoGLj+lo1JeXS3y5Jmf&#10;6bFo7s8PGZaS/75Euoh3fYQ5K6dLylWQMpvqU+rpOBkAFn8mvKtHpfdEXxMELBAUT5lNFjhzWucH&#10;9vLyeccC7KHPEFvVI/fgfwoM0SCJX7aTn1Iy5tuPR0YY1bnRCpWvS94+SV9G+ROCYn6utHeO+E26&#10;bj4gwhLZPfjJfeBMny+YgdlV6LTJAQh78H9LULh2Zfy5D5cO3+oPa9mzJGAn7sx727Zte+/N+qNq&#10;VPdOV2BKy8hojnwsB7h8vmbVnhzrVjBI4cJej94w7lY+r1xyMQ66YS28Sn49Culwpnose9P/oJIw&#10;zMalabi1I8CuU6RuUKa9TSgF6s3VY2m4lduU9A93tgytkZv/VwYTexEhfe/LvBqOTW0SP4to44lg&#10;OkbK3qzQeoMBFWiXdNQzkEAXk/6akqSepHGIegbhNu2VC+/irmLCLYHE6DR5+Eg9/u0Sih9VWczP&#10;W9nncDdW7R/xdGaSYlljqkzUUYOwbNmyaRkFlJPmSWJHW5v3K/uURXS2ZN6s8ZyaWgSREC6ivMyV&#10;slUsYClLAzp6TCjqO3rKb7B3MyGGfBaWW7atQjxMOHZPGrGr0CCPwuw09hPUDwdA0DbEKN84A+fR&#10;Mjk9Si01KSJ0Bg7RB4QvCgkJSTVmU7q5zUdfc5NEYhfW5aNnUokTOZN/nniMSnx12yqavYy6QiRe&#10;YweJ7du3u7s0jRHI82C+6CVu10in8iW7LgnqqJ2rUsLUm4nMEk/3fBvY4LV0dGnkrgkXQKrkaP9k&#10;JcBfy1d1TbNnc6Dp0ZS/G4Os/ziu2i2g4yoIoKnNwdwuVwPul/sRSnmFIZBBjnTBAUS5vXB07Plc&#10;W/vR7ven21IF7cOqqPvpixaZVGltrRBoq7Gwo11GVbSTWN/gZhR5DZrx8o+nWxIfXI2pKJlFnp+u&#10;2eUgJSmZ/T+m/icEVs8UfsJZf18nYtGc3Wfc2Uy/uNWOrZG8TfhB2HisiAdl3lXLaYIkOuqWnZ1d&#10;xPv9MQSf8poc+8mbH8fbsDDY8pXN6MZaEHmLFKGTW3Vrb1VMTTzwnLi2aHlVBTR2NmFR0RJI6wiy&#10;RwJajVbn3bp1KwY0RdL464C4+vKdYU+f0u8Gv3syQGwnOMQNsJgIx2sgIcFkaN9QXi4QheiWA10a&#10;vsZrckXXfXx8Ljk/3Kn1tvNY3QxxCr4HH1hPiruDBw/6pv8Y6yy7LLpQDzN7suioxQpCmveEydit&#10;gZdHjNtH4bR5bjwMekQztLHpKm8vJUANSP9tDX/8woa9e/cqURQx3Ii5MwLQY5d+n4TjJxG/BYuG&#10;kN7BOGkHP3/+Jw1WgYv0X58RprWc6LSwgvC+sV+3etFNKp9LJL9tJGEAom8lpo8E5KMTqC/HA2qM&#10;S19+Dgfft1/r47WWdwEBvqUfr7c6BITuRYQByBe7PNz2k/ulON8y6gJBBchHXabm5sHLqN9tbaN2&#10;RP6A46YVjQ7rtmV+J67evx0B8NUik+QEhoY2j+2Qc7ciyvBTmEO2lbHu3vwkhhTJdrj2r53N4Mlv&#10;DjRlSYDjS0sx1D19mpMknhAspO8oRw6dA21kAuaA1QGOVnmKApDRUlc3uHLpkmqE+X7ihKx00LUe&#10;VfASP6UWSmDvSGqiVVf53lFrUnnr5PDXC8NMGAfAlWF9Voj5sN3grnnD4QZjk3yLY2mGJduCuXxp&#10;OQcXY1N81+/fg7JQxN9LiZP1Z+LHee9TTMTbtwpEo5koLCoa0fvrRGSDG2151hRFiNRyiFmX460u&#10;LfADr/zNwTdPdLn0kxsAmOitEhmHNfwV6bJoBjwR3HH86blcvqfVpk3ZTg2WYM0riPZ5/foHurkZ&#10;WHv+oorgWENdAB951wNGGmfUd1tRWzZlv3z5yQr3PwIBKHQo3pqUyrBJ9tZgi+mBmf8VnZRUOVmh&#10;IhXcgJUnZ1UI7rdZEaKj8/Ro9GUjo87vJFlKOowXXsWPBmKjWo1iizC3dncHpCA+2xLbTvaZKOWH&#10;GdY9KS7kdVAU8Yh6Ll7xwi9iUm5paelwcnKyGO1vnKkBG8gbgkvIhJQ5emb+I3aNIeJ+BkQT1Tdr&#10;6f1JAnIA21c9bgZpavgzvu3jInliWBQw5l+9kpYiANfh060lOSSvb4YFV1xM7DAWPD/gwWyDieCi&#10;yZVa4WETnZTxjNQKSAJwZL4LftVxRT7VrE6A1i7mhqLfgeAw8/NEPT65i3s1eiKi4vccKqofHx5O&#10;F7bqLF0za1qxQVpqfrJ1zy2pnsuvYev0R1EnbF4/uiuHWri9bGUYzKFNzjN9eohTRjwnCSmyyLqc&#10;l5WV3Q8xn7Cm2KcthE1fqsZ0FP5lWVNEuAjyftMI04dQ58jOHrqV+IHpTzmpn0VO+f79+7HSnjJ1&#10;b5RfKiGSTiYlQPFmte/HYL2dG6tpsmIFYtRWr6+rk9BnfsDNy+tn4iAyq+49rb7H+IEj8fklJ1uL&#10;LCqRrO8SH5PiKx1V/Ruh2iAUj1FJScVZDhO/1kjwHo2uUx4mrzLy4OuUn+R7fxDWy7g6xYAjAxSf&#10;JkgcTwIcELUeTpnzLxb/ese7UNzrorTagwaCVbE8JxpE4T8Y3syjFRT/5s0zEptOgG2AkegEoznc&#10;upkbqUdQUNdT10g5SYqCTzCqbjY/hgfQH0JJE261qbFxLgSVjw3aTyxBlX0kUAWuxalIRT+Zztn8&#10;goJFahUuoi7whQFDPXfKy5UBSjTJI0qSCPT29t6F97McpV+cISR2Yyjco3IPDsfe3rf5Cbejo+NV&#10;5umJf2UoPBu3FO4WgRsqhnHSeUf6Kg09bS3iO5KU4giCxcixqONsYMJpAmLhd90GEEu8LdK0t4mp&#10;dT4ZAOLm1/r66UW0Z454eHuS4K+WlbdGx4ifEgoZKGTzldRw8aEBM3q0aOwH2IPM7RKUlQme8DdY&#10;0b/mEDPX9THvRImIENYNPSOWjpOP0AIQwfWJkZS9dpECoThAS05p/5iBCb6PjY2NPQNEWgA+AaXm&#10;X4iqfk2hEK3temJTlY2zPZpdVbUHrEzw8zsPH54Ngg8MJNVolPAp45Wv8vLyzh1d0P3HJcJUc2rq&#10;8y5OGmUi2iBqhYHFqsz19YWYMn95zBP26Wa6Tv1Vf2B9cpCknkFotxGYCwSB7/r9jwI6lzzfbFj0&#10;mZWd5X4OC9k/owvxfM9XiyTjeYhie882kFutKgxcDSJxIzOz3bEG4Zp3moIBTaEeHiXWWoxJ5C0H&#10;QL5RyWU7bPeee81JWG/n78fNZBIlMSuKPMcM/CODtPWQHQhvloM32rTm7XwUuDqJNZQ4niBo7IHd&#10;t3kGQWh6gypbxFLqOgTJy5rqVVgodx/MZ/1DOT5OXCul9JYBP0omO04Nn0Cqe1rt937o9Z+BgVDZ&#10;BdTq+WdUVQ93ueim3WifJFL+KGhxKSjuCzY6NaR5o3n56s2F6O6ZnCYGtygXplX395H2DeEF9aVq&#10;fsvLz25AqlBNNKcHkcHjV1AglHsPjvLc3NyHVaMqKx9clMZTti5SenXKu9Rl9+7domsQb0IhOfg+&#10;e8bACoSloicICgs8WGVm1LmaMWS0gzyfSaYa/f15mShFkcLCJFnrd39/SD67FGAR71rEbmM0UbVC&#10;KbxkrWOLEsaL2Ggu4aGsnh7vy2CkXsIW7j3hT1OwjRO9TI+20bP1qQpriNBNme5+QbA03yjrghI3&#10;XLFCn7+D76shG5PTZfMZD+j48RbfRfn5y/TQhlEu6B0QD+fw9Mr0S7RVJw59h6CV8brv1x9oAw+X&#10;LNIF6+q1tDYMGx7cfqv7ziCJIkS6SE2dUCrqKZPdisR7CfrvSUS3LSCKyq5K5RCTiczb1Q3ampoS&#10;E4OD8l0NqQPuAfO9/AE1BbC0X4PimwyLOwt6KrDgSIfJ6iruwK5P2j477316rRT4gKK2EDuiU/Nn&#10;1Ar1aNY4iyscHwy1hjDH/k/yxquIjNVbdE2HVYGXVTP/vGvOQU2tUhOoOgTsjWGn/XygiFHp7yWV&#10;V+wJK4ZlK/Q39XHlWPb/j7ZM72wjphdwqw0ZHiV47YfLGrBl90PWiZ/91P3l/uqLKG2eG3iPaGuV&#10;h7TfY5BXVh7fADkDWsrVX2JtRCLAw4iEoayjxCfUqLWvL/gX4tpdOD4J//SdqporRPF1+AWIJGKJ&#10;Jia/ly9f0tyXOW2FPpLXozfBJ9USSoMoDrBP8hgpKkINxo6IWDJIurxoOa8RFZ0pGZzgJxLc0RQw&#10;QqKeUcrcUziUaKhL6LkLush8dXq0Sw8KyP83FL7lrt0ZIW53c2FuIqesxmBQSQglvhTqViILrKTK&#10;geYyePPLox4fJWU8Kkr5GljsP15LH96NsIYMP2n88zlXBVQkhI61qFOfEa2+PfVnBA+PnBvL2I7c&#10;6yfBIqAGnJHAEu4lzm0h42hiz1pyy4pwp3BMEfkCIO96yK760nI5IsTQUrLgno/Bmb6EgnXPayMq&#10;hfq/guiY0aekq+P1pJ66c8MiToj7WR/onTKMztz5xEXQdVOESJaz9PZFNcST7aOrUWOxmSDnMhOw&#10;d2+zLyRmLxrdkLqJd/t8YndUtYaLd6jYaNjllWiTmNr4VvDtkyW3hEyre8GfFT7jPCpyROnP6WvX&#10;BuEAb700r7B9bLHlxWSDR32qhYt39bc2v8smzdlz60nHAMUhaFB4TshxctB6lsec5Pq1bOKsKVBD&#10;UoDtV1HnF+bnXOhoaT+iy6amRvSEpfYCeaOEv0NqdJ8b/LounLp10l9AP/rvLDiV0IoLFdiZ8ZmZ&#10;51nQH1KWl/emDbsuOz3kCaS9RfFBsE14bqojdOXw3SKIGFfv/H9rcyR9ZrN5nZvqaMscPijx8I3F&#10;LPE6odhHYJZxah0faGb/ykdvCEhvZmzsv6xKs+ssqUlYvKt2rvUk9HSFzRq01hDqNGpJY32yqVx5&#10;TZxuFgsH4qUsNji6TZRhnllX9smMEFokT0Mk6jFAvbsbSs9JSCQWjentY7g8l5O591FHXGI+zgaX&#10;njDolRMNlhc11UF0zoRjgee5ZL17d1Ldkg06KVZ9qzEDFnJ/CHQ8IIUb7fnX03+U/hmtJDIJ/6jF&#10;8sVa6C18fZvuFuVsZWdvDlpBvJpg7rWjTM1gJifMlxrWEGlJIahTAy1sCnd33dzlG6dFuPmuhqu6&#10;ySZV5251S3YQRSDA0tbKqpABKUz3wg/iReGTCCUcOBHzkpQ7kU1mOw8WQO8dO2zVeYoJm/OKhcWC&#10;t14eFLFG/81n9bIdp5rVN4EunHCfvcBHsBH1DF1uJdUTmdB9xSkqDx0O1Z09OzeysWWFuszh9mxQ&#10;1f2/d6KNYnEV9Q2+ny3UNaImJ7llAKWE1+9cO5SYIgif1yT3Y+wAhHnYA47qQKHEW7H13ny0xlf+&#10;aGqiNnaRe0pS5cmIx+7ukr/b232IgmdmYhJQkvAuAKLwyyN3RdgP3oi4Gx9voUoCJsOwIbcCatYo&#10;ooQSVIdOghlixIRQZrcHVSyMtE0eKWFCyE6rCEauK3/OsBRQpa44h5f6jYCSmAgDLnGrDDOGCuGu&#10;rl5O71aUQMeKxtEF9f8v3uCvrYwDxPOFjipJMcDKsrToVvSbN/JlxFpLFJiAmCeOwokpdNH9dMXr&#10;AiDEef3PgQqmI9/48UtQJbFtetxYOj9BlcWcDj8+YXnjxn5jxQIE44H2+Lcw+w3ZIrQrM5pjlXbz&#10;Al59/fLlAAkvRndOEVx5NkY9ypg7n3QsaWs37A+gHSXtJKRR/c1eqgSqGNgJo4AX3waMrFp/rGFP&#10;Ty7he7qKegRmL9jP+Fi06Xn0LkZHRXWYN41Vybx6r9CcvMYYPeBfnllWnKVrORsQHGz+1SJ+kYCQ&#10;QLjZtyKw3px0W8yri+ZkR2LHoujK1gAUIJWZerM16WYzL+puvzadSuxibpukEak9A319/8rkOg5+&#10;XolA9A56OD1nVQfnXfiyhRgfIvjXd8nDEolW+QSQvIzmRhLFqOBjo7gDAdR11gzWqHv3fzit+T8v&#10;ADbo6qjH0thj51Agv2powZuuMdJfWqTbR6zN30tkmOD3IkxIybMaYXdftT/sq/nQdGRcE9dYVjM1&#10;R5b0gIlpmebWZuJ3Im86Oy5t0e0/p2MUAOf7XoDsMa6kqh+gPVMXfc7mPntQEy2Fe5i4o+elpuiJ&#10;NjpGcCfWQf89Osbs1ponh4lZaroed7i5Mkg76M0ACwrCClodzQZyiZOfX6N0E3AZ826uHgIaO43O&#10;pll0XSsLXn8EzNmW52m65BaxBTb/a+4iwK9mtpD4Yw9QDA4OM7uJ74aGCotVX/R6IewRT7RQdLTB&#10;YSbEUs+4oDJfX5SFh08O3N38DSzk3Cmdkvto9BM8quvH7jRaxkRJT/5UhqhDbI8LbTONKJBLSWo2&#10;X7FixS55mLMWUtleA8y64Q/v1Yw10IMxi4jtOMxJY7SFZ16zYSGXrFk1SFH1xZzEWU7/u0RVh/Bu&#10;jRC/X156H62j5Rg8DT0xR5H2NkzXE8soARAEydPF203iGEyynUlHWLrWbr+CJ8IazNgay/uJGo8s&#10;INtsq4bXSVr55Ry8Mz5+jFhOQzMbK5pOHB9j3clPQqJ6yyMLOHW0X515fVJTwesZ8fUTKdNhvLeL&#10;E9ZAOBcFOk3amPQch9Y7HYfiveQW6YqvnDCDrbbhJyWtmyTwQ4V1FT19ZiEfvZyiOEBYQU+oYw5A&#10;Um8FgdcBhHV6CXH8K5P+j54EmDceIcQQ1J/l3gwYE3kOupvzZMtDPeMZZ2KpFAUD2R/qrIwG1/sg&#10;q0LKxusRxUSZibksZBPpr+vxpeek6V4KlvQSzIFpsMqqGBQHTaW96jijIWY/fCUQClUIRV3Q9A2E&#10;/jRs22RveEYWgxBgjoohzDq3p/y+5KyJodZcZfRS0gFfcfkd0FmV/P59XgVpVIAaHq87t426hZI0&#10;Giq2spKStSgWe+TlapQmBr21H0yhxa0ijlogJ8VknR7ikCSkx7ntnmqwJYUUlZSkkkLu2d+PpCJE&#10;9X6FukVMevgVUx8HVV6wB71CET5+fgU2A02NRK9zWEIRioedkdGSg5e35A/S4bYrSJIz1doWwbH2&#10;yvtkHnFwcX2v+Pq1NS6lZxuYCieQ2mtt0bi6gB+8mbi/wHirH6kUwJFsxfABe1ALc3iBIQwyzOAQ&#10;lgKZPEdQY6rPyBJhRStBD8nVXTMnqVtoMywOhKQRhKrMKYvo43p/BSnqEnqv0RpgP353neS5DbDj&#10;nAucwE2cJ56NrPqnSvLytIT+PUx6lIH6/M75clEU2nvFAry9K9+RBoeV9MyDluhbQ9vldp+/M4es&#10;Oq9V5ufvk2s2RF/LK5g/r6NUVl7DKjZoOL2FvAsQpQeJyn4Xgw+Oe2ybCz+3X90kW4qDg6MMdYeN&#10;eX8HrBFupg4DKFXyFC91Gvm5cgfWI9NESwyq9y5dtoyR6EzJY7s7tCGyRfWxEd+9tRtp8iuLk0Dy&#10;t9J2wktc3cl88wDpCwElbk1GiRhpKxUVFiZZWlk5msHfQphJ0HGW6GuJN3EPj90DQfwxoD8sXxHE&#10;E4w/O6GEArecmLSIJLNraZkhI+LFekoMWZ+WivjryC166dujUKvGxGzA0v6Hu9aWXeonVAQ6WjxA&#10;hhYVOIcmzZQTMdU0exxWKhU2lDH5KHeVllICBBtOq8eOHSQNvpSLhMfMdhiTJFJSahZ6YWoos3GD&#10;CfPeWF+D7cPjP7ljW3VHt6AuvhrZl8Wt/o55oUi0OXMhbAY9gj+T6n8VoFeBlTLR47UmjXt4HRnT&#10;1vMT8H6PKsH4uhhh3FuZ0510duzGfRvFW+gM/D+dsRnzRHk5av2lOD3gQiwaX3zg38MVXlzm/MNW&#10;SyugABykFDXpUKRQJLuVRU1TS0uyY+VJQo6Q+gfa31YRs0kOAYHhd/BAmDQodOwWNsYD48fuF/jn&#10;OgZOXE4xvDr1ZvFTzSdm4MRI74fAdfQBfd036Fi5ubvpqDykiZuZvRPR6jF1qO6aFu2S9jmjQdzS&#10;1k9UzHO3mcwEYi2eUEDomEIAsqusnp11TKw/r4dMeP78+XLQyCXlNq8I+rbqKGZbtA0zwDUJlDA3&#10;CM+7OynJ0CgoumHDhqVToWcDqxOJEwZuL98cwMsJICnSnr4H23CHqGjNL2xF5VOnSttBbCYnJCUV&#10;8oP6xxo/ZThvOKj9rnsEIpbbv3aOg+Ae7T1JJYd6U79zwVwafUvxRv9SnfmFCxeWunw3mJ0cau7a&#10;mmNUFraFkpZcmB3xGHPTBuKXpzjwDXNauAsT9a1VpLBG9286caoNa58Go5FHv+2wnaBUbbmP0dG7&#10;0s6H5AJYR8kSUFFkL3M/PLuT0/yEktD6Ny7oATaiHIipx+qsr2QolA5TnSq1aLU7qAorraXwxpJx&#10;F+uR6fHSSKuGntIZp/KnjgFpKohoooK4vUQESR7QieU5KKxr+RGoMlNqVBAJllLDX9dJPXVmy8kl&#10;RQEa5WAB0R1dOCxdVFdOmDQa6vnz5+X3nA3ByWzBrxmBz5aY5hOMNQH9c8xUhtZxqt2v4tXfp8Ok&#10;WEdPFBjrCzJvNd4Sw0VfX1+oiU3gWzehWjM0rHeRVza5nfSdESHP+rA2ijfR0+DtXD+/vjqV9fG+&#10;zMWzdnYfi789Ib3Opiuu1P+vjYkEKJm7txByjx9R8hWT+tieGrYz4qYw/86dbRv6BLMJuU+hu2Cq&#10;NZ3wkMTbASymHCRWZkCkCOoWPT5hWe51+jUi6PpschiIvRPQttOJPGEjYrkiCtMJDSd9gTr2mBxl&#10;ZeUubOvBskzD9BuTYfe23pSa/faKyGJLqSG4fYkXS6NcwVwtpuodjLGXUJCPIJhvewRk/v7Kz+fG&#10;RFGuxtZmI3YyDIwQfTjPAw9y3PQ3xb44tKgPuJB2Dt1d0k5b5mZnn+OlCezd+9PvWffl9fDeaSBU&#10;t3jhsUegTnJotu8IdrOaJTRY9ptLd16j8AiFURjYz4k2el6KIpstiXhb4YITIV2QDOjr1QaA4IxI&#10;F6wmeGzGRf2u8fs0ABZbE0FneKtX89fKwlSRtVhkKTWSDlzji7bINucpjvrii931JtVCqH3qiOOY&#10;8LcG0uUYpWQOIAFh4kSRiJ17yskhmEbFahsapJITEwuuMB9vhHlGIqDdmPCNqLD3lzU0HKojrwGe&#10;XxFwICFx9UN3i6Dqnf6faw1tAqxapTojlmiPMpriIrAOC3gq8hXMFx+/w4BOsrg4Kcmms9HTcvjf&#10;XIgFG6nRp2FwJm+jnvFmT/4Jd5l22H1P2rzkDKn9qv+mQ4m5gPotiTw7vZoBfgCTONSWuUtulV5Q&#10;wWbstIyMqal3vxkEG4oSnE+3mTY5spMgTpp+AQtjuoVeHCYqnk5MKtHnPPBSrxH/UnIaO70IgIxe&#10;/L/nNqeMWn5vvOWaKE3BM9qibOblNh4os+S160IWPtj+vc4/NrCQU1wodKYim3ff3ljauvD9ms83&#10;cvUzRCYUZHtxtaXsPlF+KedE5LNY+fXbn0fef1aePVB0o3hgXfCMaGi24N78X8POktvic51si8ec&#10;c+ItDTqHdeO4d++W8/p8Qei58bMAv1bRwR7u/fvNWD6ltv1FXF4w3FwEAjvg8eMTCjduDHOsuv8l&#10;ssyo9x3Ml21OTRcS7c3WiAc33bvI7AyuwvNOyKv0dC0ZVdWEdH1pTD1Q14Oo7R0YGNOE0RxMcHo7&#10;oJduE3hi0zN786vXrkX3sOTzZ88mbQvhMMtmG0oDySD1Hdrna3zM80q02x0FxbDa3nktOhx/Wii6&#10;QGTY3Da8AN3ewiu0ZMLb3z+6Rj30Omvug3Xs86d0dbPVTrlQ0qei1ZQLeq5ovYMIMT7ZxAwpcmbr&#10;V764l/x7Nq5i+sqX2W59+nTZzSb98QG65YHy+BXMzcLhvPrXr1/KbAdvXFlO3QoKOg9zxKMnYCWP&#10;4+8eX/vwaCDMEZFBQUH9cDqxx7565VkQv+4Ox3uoacvRzZKwAJC7a0RxdXh09JQ+bD8OyOgpdzNT&#10;8N8lIKxyobPnSFtyd7fJXhWVkmAkFjCWyRugyesiEWvnG548hwjvvM8n//v1oATox8uw52x4KuYZ&#10;aG6T8on9yfcN6zdtMieKbzM8BOGYxLBVe5ywHV+FhYWf88Q72NlN7tm7d9MyR8U5aDdBgoguh+FH&#10;0YXfWc0R3K+xlXjw94FGNQ0NRXjyZS8zH8dn1OHaqp9N7OPm1sdACwFM7UnfQElraqbl1daKuelJ&#10;9S3/yveyzOh80xB0qlq1fWPNpvgYt4vnAqcPuczP7j9x4icLuLoeIRa38Hfvzstme1U/8/SMNosp&#10;weoZxgvYJoJuZnkentiSWTOYGSOqUPWzCuisp6QvX96xQ0io8piiYk/i69d//ap/fOJ7+hG33rZk&#10;2YqIp6wHBW6HKhkbRy8NVjbEjICzXjW0d269f/++C92Fq0Bqp9VUG8pwMNDK7t7ea+S3MaBuNvvB&#10;mq2+IAM/AgjaLx9c8Ir3elyi3R9rtnd48MeE7y1Y7HRuG/54dvJy658/G87r6fH+0E4fApIMRw51&#10;oib3G6OpQu/MqVN7djmZa5Y/tzWwxGLdisJ5fLwJQZB/E/UIBUvQ1bS2vq6utKw63sw6UZH7Mi1v&#10;3r79297RsVBSbubklGUEDmeYusUsdu1CwsuKn+cP+MlsY/2TOqqwrZOz+f6TJ4qDJc6+ZBUdY6CB&#10;KBlxDl/amtXx9+/mN69fj/vM1iFCQg3utjUU2crCIhsZEUFcU0fFRxzsQNfXUX3xa68YG9szUo+q&#10;8+88nx5subuWYoDwpNkUwo/89OElj8tmu/sGIp4gUMU1ZGxvbVwlkhMPVahkCRUGwVQP24CYtDl3&#10;7vy2haJdt25daHX98/Zt0Ix4k1IMh6C53t1Cfzzc07Nsa9OtM8rKcZDl8JRydNGWTPf7oNHXlmtv&#10;0O/zkWv79i8KJ0+yHhmvQmoS+n1QvykhgmuL2fOHAaiC459EWFwJkW86/xiBUye3lbEJAd3sloXP&#10;HbRSeNuF3p2QnUK/hVOX1c0zeMzNXlER9slIKRJU87DosMNuzIZoybTfwauTLjQnJ5lTX681hGAf&#10;jd972diCJ0xMTPRmJgZCBdCLENg2Rv4T6pcHb/EqRmZ/vda3Ys39gFa7deY88SZyRuCe/MDtrMqT&#10;iLW2tj6puzAVnZ2tawZ3zUWk1oPVvvx53crsko6lnI8sot9kix5XUnL7hjxr67ZFcFecxNSJ0+8f&#10;o+apTNuQvizi1Pspp6qqKv6fWa70K8KXULTYq77w1ZqZRl1DFWG6c+9eTSVfh41X5LZNd0EYzIVZ&#10;7T40lP6XqtGsCcV2uFvBn07h8CVkFM2sDt5vDG7rXJCXV/gWdnapDRCDFRTeuk7cWq9Zrnry5Dtd&#10;DQ1RS3TxfJhdKzz0tzUT/WT3UP4vBEb8Ki0dXGN/Ib+4+EBQ88U3vrvb2CVuXnmLD9u/Y8eZ60D5&#10;HyIa4bhfWEp9wZramUNFgjd1n6A2UAzmRc150IPjeTKdTu3ZeMD+lutEOgecNxtT9YMePFhRhva+&#10;tJR92Le25869cDI3j7XTDtX/7rrp4U8XaYxusxCamjNSwlwDpvqRbCiDXcrFk8j6BQry8pWOFvQ6&#10;Oo3v2Kcs799R2rlzZ0TxpvrEqa2frwj0AGM41JeUWDz29a3uAIu1bJeXpgtaS7YIsfQteNPQUHuA&#10;KTHO6bGBgP+Yp6fnme/fvrFM1sGx7QpwKJyAvNAN9yEjii8F6OBpRSCrU7KynOzgbSiHG3Q0L+Ex&#10;GrTYyJSLOfQkbT2GqIUC3QcJJAW4xl4crbOB0AoUTu5KjINZgT1abZ8f60PkP/I3SQU6haV803Fu&#10;+qwO8thfyPFnXpw0kDBGl9Ug2UJzgy1HVTDJyGjzk2MrqdKqqiI0XQ8sHzQf+AuVvzrp14I9nvt1&#10;DBeQFEP/UExbE9qDKyLa2to+o/zKNsDGLaipsa2DK8tL5/x5GZK5OqETKU753PuFHLL5gN/MQKgX&#10;WEqXzWrjicJYg0zoVOCKfftWC5OB+OiZH6yHz2jAbuKrbrZjHSdQ1aNRif37C1tAqEnUCyhLS3+6&#10;s4lbndU43gXu5Mp+rL+olFqokXZcUwtpaWksYu5nRDDARw7p8mnoHOjbifd1vTZzaCTq39aJ37SD&#10;5h4YCxd7Lzy89TvuSbLDcKCjI/XFhMMDIOBHC2v31M4WXbO1XXcYHGo5ejasb1msNLUzfTGCMJdf&#10;VFQ12fT5Fdjs0JPKyttY16+/WIMnWtMmQR4D4uyYtZVVph2sH/w0Ry7MTY85eAYEmNyAXaSKZAuo&#10;m39fvn7ta3HhwrP1rKy9ArjSa9heKdHRXV8DAli6fFv3cnMz3X/4sGHNFoGd/l9bHqGp6GRbx9Yj&#10;DC+QtfdugfvZMzg49slF5pbW1kRHjI/K5mmAfK9rS2IAfIlNwQctDdZacLyNjBw7CJBsBfzKtJlX&#10;1/G8jEyY+unTHyCI/wpp/vwK12MiOiA454e2sriWibU5DwMCtOZRzNU8lwqVcnHeTFH3ZTiTkpOl&#10;4tCbwGDPi3fBJyqq4ZXp6+l58ZmXV0UWTyvy2PBt0H7DKdM+QUGHX4y2G16ztl4DA+d83kATQIKN&#10;kYnJ8Fx/8kpu7pgXcFOFttryiovX/zWckSPJrePWnaJmenA2SRghIIGGkp41g30bra9caVODK+4J&#10;jzlkckuM8bExg+p0GM945xEnDIgwqsJHBeMFfTBHF4UnzwA3oEEztOnMu3e/tuflyWcAcs2Txw8Q&#10;Vr+AjsijEP8qsJMPNldXj3cjahhCf3lfZ+YJxUz4yO1B1G7za65BdOwgbBQE7M+XPnRCFWAhvKMi&#10;LLnHeFSCK7qsqqFXGsBfKpvam4jtmg9axFUh8gbkJ3M7FTsveeCN8+lWxulxcf0PUZYnk8Ty1/YP&#10;G7W4GNLOH9hEScvK3hO+8OkWE1LA+jtNrS63UY1EwoTOmxw7jsUU0rD+8y4U0BwMd6Q//7XIu7N8&#10;9VIC3viZnx4XCeQBRfX+pf77LRs2/PlDlgDEbklIM5x3ptNRkt5D/OxLTE1dR5xSB47YwF/+Awk7&#10;ALOjJvvhUO9GYSJSXVlZiB9TnBgevnEQdcQ1oNxvlz4wY3l+QD7fjDitoK19KENfD2wVkU99ITF6&#10;5//86RMsbp0fi/t+++rVEeggNuePHr3L/OAixqYueA3IAV5NY2u3gvQbfacfio8Sh464Glb5myRs&#10;7TY68YKDlow8yx0eGanavP/cte179uSZo1RXgfX1amx4+Eh8PNx/W262529aSVF790a/BabsIiv0&#10;b2rlvOA1MVYTkroaUi0cPGswxOqKGOtat0wsa05FBjZxs4dePj6RDaWlHD8Gtm15v7Afw48a7ZoZ&#10;eZEU/9yZv3gXz5SWc0evUnhE6ZJXKTGvXx+XOX8+Ux0YgD5gndzgrnZlBQWWXW9+7YhHH/oYhrBy&#10;Y9noJdtIR0CeOXH0aOuTBw9++GHJtKPSMR4baF4AoYOC/+wnS/m7x8M/vDzIs34v6rQMggnYmZhE&#10;/yKct3YCAoBS183DA3z0+HGVpw3zA7rDRmEIBBNdFbt5jkimJG+M9PDwWEkxQPId2k67FG9Wjjzv&#10;n/gN64THzkcWUeljY2PwsjNs2hQbdWoPK94bN9vUlud7PWgkLBT37tu32fqH7V4hIasDnya83q1+&#10;jp0QmTLZnLDW0cEbtXEOz2WYAJtmPefLlgAakbQFTLkGKOoN+l7EtzIzdyrramPkrJ6ZWe9HxL0x&#10;dMkdNzEyakuxuQYEqEBc1lpYumybNulzG6k/+n6pDHTFV+zZTQi/YjJA1bQUB4k4yKNyEDw2D9Zb&#10;irGuNzbuIi0Bjs5j3T78RxgqoZmDEb1+2b5P9cyZmWVUqZGQ+4MHx0nXrIBfQSR8xJFYn/Ia6ur5&#10;JOUupXYBb8whUUgmJCRsmnXEvJCwVmwr0cJQqYW2sGNPZpdnpX78KPYEihYbZgG61YNYEbll4cAa&#10;KukkfgWuyxpkAdsJsHurTU1MduLNrnk5lSQVWPTawcHBYmPlQMnL+PjQvaglMiAe5fw0BQmxGsN3&#10;y0DIXrg4UjLSnGlfkSH4Y0ETKrQFNHWlibExnbfv3hWK2h++L/PZZdfndG9vtTXUJ4L3YDhgXF63&#10;ZtthsSm5XLLe/g/Am4VicNDJl98LEWVsf6xl5vuddu+eLMgOi5t0JgUAnaCFRY2EWAKDilp3w5QK&#10;0tCLkp4dKZESnKyDlGAg4vVz1tYm4eCatQcTf+rzMY/xzG3c2bRRvLu7W4+6xSco6PCp5dqeO46O&#10;87P2gQqnnScHj8ipq6dkIi1ZaPmGYQ1FB+YNu0ewI8PGL7l1DjMfytznZ/P8i9xPds/vcH36NGhp&#10;6TxNX0Ter3iQI/WxdfqGhqYkrP7yeDqEzBBCNfNKgaSQXbdqVUBN03xZ4S6Ueqodq4rM5l8D62cS&#10;wGC3MJ+1BLbOz0bIHW5Xzcw2wpTc7a2bdTNrU6UNqR0xxPAdWkiY3Ejy4DgEawAXWJx+kOT1gqh8&#10;FGfNUIgWY4BED4+PQrskeoRKwWOtkIBGNoinNY0ooHXmjBczShORjhPf3sbELJR0WS2Gi27IHc0f&#10;kpIyq/ATE/DF1cAi4Hdz5C+8PT6uI6Znzp17I0CAi9QZ1+eyx4+/HgYESgGqXg6dRQAXNobU3cPF&#10;yXm6ByXQmdJD0438fHx51KTN0pBm3dqBIwzN489fR0TAa7n5LW1Chv3I63YwWSkGV64wd/b0GM4/&#10;iodTqkZJQUFgk9UC4m3jeR2du5hOKWxXELsdmrpMHu2hei6ULw28znTJM6NdI2+Tu/eCogqlo75h&#10;MbunVtueP/+LGaUyNLobQpp7H4TCszCNqt89Pn5AtalnzZo1YZiVp4JKd0EAlXAF+la2XJGxMwqR&#10;2MjIGCPIxyevgij2IyN1lOQ9wAIvX4DvvUa/MKH3Bwrs50B8Oqbt65CM9LE7yjB6kXHrVtOyekEv&#10;H087r4/IEE0ZgpIZC/mFu1CXvwIjAvN8/5QnJItxjZdugjWlD7accjbpCVFSxfdfN1FZMDJgpKOj&#10;i7bEfblchqLh1FxQYNpDCoxlFIl4iH71k711icpIB+hSmkf2vkseTLbfE7wwj3ooBhdxG/4A0IGN&#10;AsbiJ1AY34FEngQ/10/vvWfihpsYQQ94+/jEmhkZXYAV9OYBShqZoA3tfSfxeKvQMHvVHb6s7JSU&#10;8VxsY4m/5oeu5D2LgqFhjsZNkYEmxahs+wKpmOCjGx6tVp0za0yvIuKQF7J8NwwG63fnHUA28vnl&#10;ArpAW1dd/TXtYF9bJiYHWymyuywnhAVQNQxdIXWal6GTv4d6OMUJCR7TzKGMcW8+cN5O5pT4G19S&#10;8MJDm7puzZpgSDJae/L6kRQvo5v1vXrpXDXHhFkciiULDFy/7SCFqe1nCVB2uUJPs7RMBOmsjwQq&#10;jMTW0U7sQZhzz8hw+A1W8uqCxuoDoEvMcdmKJ05E14KWN5KbIIz9V9h7mKckMlCD3RxSPFTrQ2BD&#10;MRb+gvvjx/6TGLVSgZrn9cePdo0kXMo9ZR56JvrTBgI+wNOZHSChnnz58oWVUCCz0zHR0Z5k4yIJ&#10;ofUwwef587d/DXMNEo9hsOUXDCdSwxjNQpSHI9kdMRERV5RMC8YzaVcJLaEITHh4795Hu5s3+62u&#10;XaNlvGJLSh88pbq27m6WJDDOl+/0IhMIOZaFHZsH0EflsglshwJFkXTp0l25dwKE9/eVy5enrVLY&#10;My+I2R/5iPZf7k0EPHpEq62mljSE3gRu1LFiS6kLBNeK3zTbsGzZ3acQ/I7esnjopR533v6FkaeN&#10;AgPoOIoiIXHPnuhDn1J51kn1GIZ6vGcCqvh3RoCkU9NTdql595czCHXiUuUWI29XAU9eJl775wN1&#10;He3t0YzfXA5t2rS0TJOo86Qxzn0Nm/joY6xJOqmtIMcWVxOJbXi9HXbIJW1+q7VqWSVuVl5GkRSI&#10;+sspR/BOEcbU2YMT4CJ1jVbiDGN5yqsLI6IPgRpLQqWkMoAk4k1NTbnw0BNRXjc0YOTwH3AJDyqM&#10;hJTPnGH8ivo3DKNuRJBa1Ur1GFDg4NYtdwGOD8L94gvnwiyH0S9SFD328GC3xoZPyxneyJej6j0L&#10;kfM+naZrOalJX86+IPURAZ34ODfwc38god7A7m+AFaMGOobEb5A0QihJuEHoG6J9cU1WZmZKymba&#10;VD8MJunlKhB4jn43R/5PqScpbHz/EQxs5Xy4lk2r6vTlFFk9PakRJFovLGEl1JYGoIBFD5m+WxAo&#10;6vqWre2ahP70eY3Ju9Kzfhj4GtUBO13/qvQSoGxSvMIrpQ2nspU6UESnYYKqlRDI0MuEt3qfOG1h&#10;ZMQQExfnq4Uw0kyyRIVm66wIrQNb6EZU3pbp11ru7Bhsi4C3D1pwA/hSwidRtz7eaHd1MnXCPrfe&#10;TTFA8NoWWwdnQOFK6hLEpRntxB0TO1elW5iZzZpgSoynudMPTDPV2bLF3/UfaA8LUkNXcQIQH5O1&#10;9RjmAMvoH7EBkixEJswBCjO/tXlm3m7CVkRYuOznmSlC6MS27zR/gnT8AiF7E7jHY4SNuehiC8m2&#10;8aW9VDs8R8+hzTNXVKeYS7g1qR9CFDUeRetBJ1Wf+PheZfRNUMjXJn3nIpTquJCVIqysrROxkScS&#10;kkdoclRhqb8JENQOktG5kZDOWCbZNWWXHadHT6ymHkE+S1s1Y7+wOmy2PG9zmbGYuLiuFbDd6sGF&#10;iY+AwuY6aHxpKS091QHytg8dNuuYKiVRW38mwRoy1J2pKtbdJ06eFNKG/seP8V3a2JeNpUMqX0JT&#10;vMNoJpszX5J3dUW31BeBCMCFV0xYOJndr2AulKsVM1p/DPYPRFR0vUMv0HKyLKyRwvdCVnx8xXya&#10;/XNzs8tpzCQ4SbgMl5bKJFRIDkBpN+/3FQwsffj1SAzm7259hnADpDD2GfWbM3YG2/aTeiQmkn0P&#10;mf2ZDHiKzk6jrXR0j+uLmWOAyiEigvD4rTsuteqiXEZEaeHfEgRdBYUzZwQfyry6hvDjf0y97UNK&#10;ytUx2SkMxJrh9y9MR4LgAusiQFPX3tZmhDpiM9K9vrqaWp5jSah7QF3bNbFKmJt1opD78AzcNl95&#10;2CoGZ9Zm2ti25VzJ+CMlSrq0a/SB7+5p7YLTN1FpngASEsYrm5J6HphACguU2nZwWdj+LQlllwZr&#10;G+s2wa0GUtYAtf8BXl49UqB3yRmIAHjkPD/7evLxO5sxQcHA4eHhyFi3V2/fBqyT4kv0R+auw1v2&#10;QNuIjfkHF2Do6+gMuM0nJbhz58XoLMFAmiPS1tbJES9enMt6+PChB5+ThYlJGIjVbOIKsU4wQbet&#10;poxhoRmeatVm6hEsGGs2jhuO6zFM19gzyYCKI8cuuJO3hFA8THPkFJVtLrk5qeT9x4/niLlMAQgS&#10;ktAXd5BIQ4kxMTGMqcgOoCcvEX49Py9PzeZv4iCCo68ORKEXbeBSyIDnieV18BOZdaGI+KVVsHoV&#10;dQ0zB3+iuqn7foEvAG6YYA5aV2QkHR2d4ElCOiT5hltB1RbdJuV82IyAdjgTGDGnS2KR2GiY3o/M&#10;W4AttRHEWFd0eLgXGyqWfoA0S7STDzWbIhmp/aq3nNsDELcGT2scMrQxYelhIThc1iQJJipkp1HK&#10;Fuo3wJM4hq7+lWqNys52NjA9KI674sLczKjkVD0lpSJeQixdjcmCcUPLARB+/spOLi7Ttvb2AvSn&#10;ct3rWgnGnmvXrgBSm62uz20+/dK/aDNQXfsc00r849oy1HypSyhOHh6dJUWJ1uj9utY2UQzjxQai&#10;amAmnaT0KRd4wgB6/Pjpv2KS48UqdSnxSwZev56IQ3W4VT0+kyTM20kKg8dPntS4Amvk+ett2uSz&#10;1Mhwrh9D4CKhaUsh3AEuaTekM4HRVtHKdLgEqcWB6aX51I6Va1i8f/k3BxLYVlZTU2JUElJZW3vu&#10;CQlchII0L+qHKtqIlrlLemfO7CjTzSGz8kmsAbIS/yicASrqMQSWWlxNmoNh9u6dEVKaUgKJJxho&#10;iBZQgp0vXzufqmZYZAaW0pKbYog9mzLjtdNqpfyrC4mt3wwSjQkbKRNeltfWJhasbAH7K+uR+t9i&#10;7p4nCqeWh2VikdfD9gvDa3VKrkfoGpFQCQeR9zyRexITE5OxJfPRg9mEOUYn6BK4MUYB46WnZSNV&#10;DzI/uG4sxEKK61Dq1rl0q2gLB9F4UexjkhBZKFpQRqtRJF+SGtb0gVEy9RigTXnwXGMLtrNe2d8c&#10;sRUbNpRPjO34bEDodYoDhuQk1cUbWR4IIDkOGw331+usimD22rCEBBE8ElFHSKITnpWccNIlxfII&#10;HMm+eN2saaouFFoH38CArSreJU5PsbmGUHu0vh+QcqRk24259a/0Rw/Quh1vPf/x2sXXWEwsWDdV&#10;NTWCmvs3fwWxi2jjHQtaPSgnZyGMhEz4R2obtOYT37zZQ+ZA3ESS6plFN87a2beGRqZ78/FSThBq&#10;9s8h+yMHWdcWNTVJHkY/56EjDPBbnYKpMQ29kloEYWO4RWJmVsE+0PcgBCrrSkv5nEDHN2HF3oXp&#10;y+kUam0Lk72yNXIg4D/DqnS81pmDYYELmnkKZISk63irUYjL8WEIsGkwXJPG5GhCJZHNRaolqnlt&#10;5oMHD8TRMeH7MS0tGOM6G9Ye0a6lqF5wAoRshrGjRI9U0sAoqfGgi04ePbqDiXqJTzsAZQaDn7rM&#10;Llx4eQh1IszSZ2xtbNa6PXmSeEpd/QCmh8R/vR50A1dRRz6BRIHUZHNjtjWrRDL2YAwwOxwRTEPq&#10;G/7cSPMmBZ9mipl/PMFtiNmNtYRmPuKUSQ4LQclRQlhve3xTxssLT42UqabTDhfsRu5g+JTRx+fP&#10;VfmlDrHm7iV4B5Zi+mw/pkoEgt2Sks4YYHnz5k1NmJnLYC/diIX5hHbVqhtzZb/8AV3JuzJFIG+B&#10;0gaIemmBvWtlmTAZHlIT+lPtlrQVF+2dTwibvbAankcEQGWwrQHdfXcJRTzn/4GINQ1aQm0aDNu2&#10;XV032Gd7j6wCjJ/S5dh99OP5A2PgCFoh6DVmZWWJoq1vbyiIN6XSgVI0dHKJBxcD83wpBGcZwowg&#10;2wvCw/e5Q21Pd/c3W8KJQq02xYRE2xpAx0sklqJZp3SE0PDkUu68+4OZiEZ/sajTARBbr/B76C3B&#10;k+UjSx1DXIR7iAxJUaC+LgHH+AA5FehfubJPRkYmaLnPerIhU6FhoF3nDansN/Lzf1jhbIN9dxLM&#10;18fBwWsOQAWz7oOHBARumGgrnL4KVCZHFjvhiXGpP1YlHLIfbnMEqfqdorCKuvDrOEURwcgB3hJ/&#10;qK0jiZIq/gLtb8GLw2UbFhrnfXfSqevRwIalQ4cGMTY7Fm0io39tPYziONpwoMUefKMe7loP3bJ6&#10;F9Lq4bA8OV3nk0jHuOvXPO/yQORnRa4KieSg5AjV6F+AKk1wM/xRIlo1+tG0gT5n3ibvO46y5jlR&#10;spHp6TB0QD3zLIVWwJ5x4HuiJraTl4JqX+QgZnlMApZV8zyxQo8d1wHNhG8WADsrLVHo59WVKcvV&#10;znDJv5IIDN4hEqhEkt5po6YMOooGvSoUA3ItHeZQr5qtP3fu3LfyrlHwCREX70z/uM4KZ14mhUNH&#10;wuX8kjMXBB1EMB23LCe5Ix0S/DKKAd0Aq03M4/VlZL7QDtufVVPLfl6CdD8tzzyjDjX0mbOh5zGJ&#10;+jCE1dfTMzO8s03NySSpg9IQnN1CkM583ohVdQg8D1rXNz/hGpY4dMBP8UNychaCx0Fs8bOthmRI&#10;ym7EjdPAT1GAAKdP6REZDIShCebJAXOyHLEhx4StoWThCcvUG8taP83kBwn2kAa26sjPu/yUtFBH&#10;yzdhIaFs8KdjLckYyzi4hNqO55eWLEmWM0W19PVl3W6ec4/jkO3GQKg5aBzdOX5Mo8hjAfju9QEj&#10;xkupI0TpnhlXMlcMOYWv3xmxcPbSpT/XKA48zgRB4uKIx9i+jxAUHQl8J1L2pF40c2WAOHetmUfe&#10;MrU7zh3j4JCE3Y5fdrHYgEOeSjdRtAigb6qbJDBM8O1bk3n4rYvn3hpunF6ptGp5YHA8FFeP5z4+&#10;POBXz7O4/SAyBoFuqPsxNT7/AQctQkDASnQl+HCvS67WgBvmCtyWJO3cya4MXm9Gdiqmu/99ExPT&#10;gQmub2gTFOXlmT9f4JuPoucCXYXud/2Ucd6j5H52fp5uMh7Flg8xFPC3jp2bm9Urd+GsbbuRtlFf&#10;v12GfOhsP2Z/bS9D18u8w9wvsJBoNZyctBsZqMPZJYvC+szZkkf5Z+ePPGUR3jcPVWoZtqEgiJ3Y&#10;9+9PYURN2nsEXis8Hg2y8S9hc+0mXKgt6swemrGR/sZD4fDUB6O7zX79xo1t9XU/r5/IU/XGoldA&#10;oAr+wqt5lTAxaFk6gSMAvr1+vev0sDgoT1L///nzZz9mRJcZX4cdq5MmBY6wrOjox+Tdnq7Nnj0A&#10;3dWR4F8cipD7R6xY9EB4mZFjicbg3c8XBouatp+EzPzwVWzs3BBhqUDfXOru6flOCmH8MkX0JAwy&#10;H/PTHxiqnHZnrbg3uGBi7BD0L5yGucZaCPoa+pbR59bydT2RKTCi6tkXh9CCdlWSHbo6O6+QmBmr&#10;74D4jjJma3hcXMgE9+wxiHxS66HgThQXF79CMXZusr2ASenizEjGBTOzIHVV1bBzGhq7D5jpiS+z&#10;YplbJwuILI6Xv8hcEmSnjOJ2xVe+IA5aBciIEWjiUMWgkUzfgx9RqJhjSIMfofsIgT+X/6kPZp4n&#10;JI4DG3c2CvAaoSWvi9B8Udgb9y0U/zIDIPD5F9ZD5tgCGawSQOC+uLh4XU6+Hh7r5BnY536ht1Nz&#10;N8TsWMKSNicOuEZ71Bd4vG6e0QHRw74KHOk8fPM98LqPVRcV9Xm/eWN0+ejRZYwUB8xPptDWJ+Ac&#10;GSeEERnGSQMYEquZ+FcaPH8t4SbQKeQwG+OYBeNkJ3bjDOGvoAzVK+jyYkKPLoruJmzMQzhqIjNt&#10;H4MfB+3Try2lMFlMIsTcgFC60fsPHVGr2J4QnwuaQ2kISzBE+KerPCsFpGtOOlXqEq1m78ZVxYHl&#10;b7hv3ymSItb4oLKqKieLy5cZi1quydaapdAiG1ychLY8jSegixS5fwvSbCvqvUAM69lmc/063dTZ&#10;eafZydMOcDZowBibgKn7Uk/ApAAPLT5qpIXMjLg4ZcwRzVZTUeHtQVOgE6bEHLvOGgW9QOoaIWY2&#10;QV538YmnJQ/4Byy240FYKCiJzQ+Rj4sR1kb7WmlobCYXJIEJwb5DG8D1jIfo4xTFRGbMFhCEZepH&#10;8bDii5cXGJeQhxf0/LnAJ/jI6sH3usEvcedlJWAe6roR5Ep9GPzMqVt5eDGLSxXVh0tl3cq7pJbA&#10;HILwR39VIc88Fyb5BhxM4wI25Q5NzbobZ89WvcXhamSYiCeOVSQD8g3BOOkdvvb7U0dw11aiENIg&#10;Oap2og/CiuxouPo7MaV4QPSOGUYSFZCKxTnSJfgnERBJ6UGIzrLNMxi95k8Ee9QXTY112XSrraRp&#10;l1DNvhIovczEMVd1pC2HAe9K99Spl9VES0PBxkePQVHbX4OA4MIemKgiZR32q39wyzr3Vm+i6wKU&#10;B5fpucyNlSDCZBEMDxu51Q5ubkWAPtBXB0Dzb6VuvXtn1k5+mNixNi4PwDvgdKxGTtXDrvpRUWEZ&#10;9d5pygdkdxzI7gSwkiJnvTMIyMAmBlGcU0Gud6PZ9vlj0O1I7ZEIktIbj+hgc15eJ9un1Po4nNDw&#10;FDNj2jEBxmCJY0wgjgPbhqpF6z3mHx0lFjsS3SBNToe3igoJPZKwG7zQRij80d66ESfAFB731o2A&#10;JseIP4O8vyWUGKs77adUqdKNq5brJVx53Awnxs309PQV1mNK1biBoQx0MuilkI8nPwPtXPJU7bzV&#10;RrSLheC4Q2WVI7tzMWTXnpn6TajdnJoaIl/a29mxsvFdkM5H20eoVVL8wqZSAfE/CzhyS7eDWBX+&#10;/rXpBg74Ojc764vRJvpa6B3d9eAisRY0XzEw6G4RU44HJyYOL3k+1lQ8zaTI1n3wxbyCTw2/3qEx&#10;SB+2uIeE3cVQAFf7hQKUZVCv9mGVLsygF3cH+rxXQEvJbj7hnJaLsSNBjvBmf4+tUiHS/L3Bc7Df&#10;tYB7uEkUWxyFlbr/fl9JCTSsMCPYPFb/1n5pRwheHnOyEQnsh8abpYlNZ0qsCFORjI5j3Wf1iLws&#10;4PPypfddnSV4cTR3LmKc5bdHD9EwC0vfYIsPfLFBA8BwnSCUsrqsxAm5/QbIwz+KjnP3bo3j4WVi&#10;hLckfkKKAqc6xuD9ZjPFcfCg/XvIZ7Gurgq3k5KsNnn9fFdQUjIALKWmhpr2LCb5nEEcL8MCXkHh&#10;iMzTDkDGkQTol50k6vrszfp0V6Sas1kgg7LIyEVb4iKEPpVRXpedvBILLlTSqbtMfQawfdnwAmoq&#10;OTzzlgkwynvyxuCYT8f0XXFEx+kcDAJetoaeXoDK7isDVzyKQR87zxCKCvb8pxY8PhzQNZ3nZzVj&#10;YiU30Nx2KnmNPOnp5xfVVC3pwnLRz3X7feTwbZc+nNsOHaICxAe7tCWd/O+9dD+5oczvwZIgsCwK&#10;MET9GZvU6Wi1tVMLYJS/Ez0GwxESDsOqf+9ry6n7c9sIDJyXBUFYjLHMCdMEXdXXv46Lc49G+pvB&#10;eAXOL+M5kahowmApWNpQYVD19uxK1GvniCSrlXgZ1wCl4wwCjUtG+4AY8uQ7eKRj94M1mGuyw6Df&#10;GsJnDUpkwKiwFt2IcegRqpwJ6cNZU/2kLP4Uf7OE+cjsc4W7zfehEMNoVwH0LGqBgO3xfu6IYyh2&#10;xTjUf+0NwBv5YH/v9PLRf11CkdL7MlxRxO3ZNl9gQLvqvsyzxFCMOw6F92/qEwx9OOpw/2kNjYm5&#10;+H2PHyPfPKqOjo8HdiqcHk+CzOOJVf6ua3+oszfEDn4So8dn3TlplxLm+Dku1MQ0EFMpqjClCf2A&#10;AHddGC/zMCWuMDk3N8VZRGp4yzz9nlrZWSESP3DukBtcbd9RbUWS3+SfCbt6Vl1dYR2E22MghhVA&#10;ZKpiNKJjQbsfIYxb1hyoqqwcvj+2nyQWaQ7xzUmGjEMVgDCv0dHhbKTJ9Qe16lfifMBM40PumccZ&#10;aEB37z2DzQqqLsIUApgmYML7+TFdzA4jyWkTMsyQ4me+p88gfJHfDExMFi8runQShJgWDSKPLF4e&#10;Dvz3dQyPlJcVmRGJET/IBFwvgRprFj7MnlUNTN9cVmKsTDh5mi4RPKtEMJ+CbIECYtDB0U8OidhJ&#10;PPk0dziuowB5dEdp8QYYpI5ZWSUVkdeXgRIf3W9WTClSj+KWgKrG48dHwPgcj0lfVjYYQLOX8HP3&#10;+taF9dz67+fnr5Ec91o5mGUv+MO1UMQwYtB8Y4rKo7hlWsdJjKH5sw6YGuu9Tw2kZgvA1W5y3JRc&#10;rSRn+ma8jH9/5S9R1zA5S+hrQ4NDK6rYy/fJ19z2LVu8jcmjJ+Tl+fTgL54njgVQFfMWF2fudgbg&#10;4RFY8kjqGTHigCTTqy4r+7l2zRrr48buDMHL/+8a7mKhskHdIpdLUC3Ksbf3+xjDeu7870741GO1&#10;rGE//jkKiV8Q+WgsJfEHuLnER25ubA0BbvD7GQKwP9nzuy/9/772EeppcRxuyKNJCG3y/f3vrhNX&#10;GzlDJoIA9NINEkcYmAOLNi/+DYLEF2+DLJfO/aEMX5b01f33DDhR4DajPV7FHUDfGXF2q7glZkyx&#10;/CQrFaZXTYgQ/DR7ERQHIcrwgk6rxn86zCklpRcrOCcze/PU+8V39o0dbPn9d/AUwuLhWCcFloYJ&#10;CJS2YTf910fEgoUJJSF+cHJhTLGWCXGXfRlfXfbhf/d0YO1/2R6DKaqgr+QLoVTZfnGm8jnZAZqQ&#10;DT4Q9oq45sgrEPvft/K+RMQrbr8R/YXZAaRlCAE7hFaASjAtyyyZdJ8Y6r5dDwKH/me7mR4D20px&#10;nKyI1y+7G4TQLjKSbD0E5r8Ex3vB0eXx80q1G9TeeYSdbS8CA3ePwooTCZEwQ3AOwtKPCMI9ByL6&#10;kpMxQjoLPzhvNjfv8wDLeYzkki/jy8uu/++e1mI0yCko/p8x0+HzLCjScMxyN6QZNNfbjpdDSTs5&#10;SQgeOHC1EGTquyUUSlUWYmo0Iqwz4Qkwvurmrn376mtPS8It0VMYIjFzHklhsQiZW/u4wWUl+/q+&#10;Zcv/7dJZQqo8xQCaaNxJ4keCuDFdA2cirrp/p1VsfkBEWKDUbIWpmdkVVUAguOcNMONZl/gBBJi4&#10;gNuJ/vgTgIFd5QVfyzi66PsX3rgQ5gVt67R4g3gCh0DHPGB3rtWTJTEKRB/ok0uP3zsdsWL9b0eF&#10;BaNs24swxtFODApA8n7Hw6/fHO0cOg0DlwKA1WbqPeoR4kUGiDKJxjrb2zQXAMwUEBJydSdARhnx&#10;PAJ1bflikLhl/+YnIeCTwAddyEYROEa6pKdBwvVbDJixH2GoJfATVUQjzlH+8RYJPFR8lstqKbo6&#10;b7ReExMC1j51ceZOp1jpEs7FoMSHpOxK9MComJiZEKgOyRpE89vRa2jEy6ubyUeGvxaAgrBZRn26&#10;HoQUwow8XY7u1T7SOdECL/1XUBnmQcivwE8eKhgDdkicIA6KwmAkD3gIVi+hSEcAOoYeoKiRgdMt&#10;ECWEnaEMDqJYmCCcANiLR8m5csSZQiwJWQTFET2MbWo2+Du4XiEniN2YLSaijnyUhbxmxQoLBIk2&#10;fX9JyoUg/1EcytptRBZiCCLoqOHQMkO02NVqStqsYOLFDGGUMxcT67bP9kPoLYYyGEL8MJ8R7Nhf&#10;BATsIj0BGIV/4BCaoPNx8EEv4cwVGGh84f482j+UCbDVCQtnd1KvCuxrvRBxBAmDSYyIlYvq/GVS&#10;ahKiQhv13ALbnSni6Xr5kqMGwyb3X/lwzgoze/S/jNOVfWagGQo9BaUZB4qhfLDYkMIrz7YDbQ+m&#10;aHLZe6cf5VNOgIC+QsT7OVkZGZNQ0LX6/icNguF5qiKOp0VPuFmouDbr2odQ1lZYQGGnVlIyIJK3&#10;UbQAMJ1QaeYQIMJBUL7gaYAwo0XsLDjOBScbK64X+kH8UAJwN0J7XUX/9SNofupWaUVFAaZJn1++&#10;/P5zwo/FTmmiHgmDLhYPm+ArVBTHXwz0guBNpG7h4mfe4k9vaxByGNLhMFazJyYM4aNaiJV/bBH4&#10;zL/zFNf933vKpe/3pv7zAvxBT70lKWfabiS8n+syI8oraRcgh1Bup24BYh5BPZ0IWfH4sWORfKhp&#10;NACufPUayObFrDM+4kEg0f70no1BoTqgTL4gVi8jRRCpBt6/fCltTWhY0hmQmJAwSmai98KDuuw4&#10;oA26fi/chpQgXyCJGjiPhG8cWHsCT9XhztOnJ/Vzsx+Po+/4NGYQwsOpfOxYu8vzPNgTrB3gKt6D&#10;JrR7hDYOErXQfQ/vi1yLnWun1T22vucygoE6KsSYE91Dh+ktnz5xOOU941S5B1r/FDoSdUlTAmZu&#10;w7+nQc8qxuePIQ5LbsHWyw0vrSdTJUxRClD3OmNhO9bE1PkUjkOgDMkxOzOg6DxtDeIRNu1r31/0&#10;+N1gtq8MG7Kj9HBMOs6f/momEvijoQTHFnhQ1PWWL8vlLuaI3uGAJXzlX5xb+/27m7G9x9eWUzAy&#10;NeOk32xEAbWLM66VaTIr7xFUUWaABCiyB84aTF5bvuTLeGRimnWPbzuOYVaFGexdFbEroBx4TqLB&#10;EsoV0udXOESP74NHdcgUhzEvagu4RWd4+4+aJtqgWVhsAzytZLrYyEP6LcPemXGokjbij25i5PRu&#10;DNaBwLSMWkFdwyiFTUC1qVjj7UDzXGNDQ5oYZ3KDnWR3tqlt4stgzGpEcPOF5eQrGsqLNgMSKR+v&#10;LTuwVyixbuwe6UtJDwEIkaSjHqHKPoLLF7Ruy1u/DgubSMQgt5cXOQgjyMXAonBz7K25aR9hLVZT&#10;tNiQkf+PRWF5HSQzHt3M2nUU8PAXHzDuNBSOoD2PHS+E8BJC0iAYQs/vlx7TzjR6mpgbeDnGob/o&#10;cA1uCPtAliklRz54t9B/gG0dUdQTLn1fxX6HYw8pqFjXytFQGBjAEQ7FGvdsGgO7k/fLcQwKCPiA&#10;ir4Ik5miMHnwD7xRmIBlhgFHzuTxEEb8yDOd48cffCZGbCiHzSjbzsJvJwBFk+7OJ/L8MKPQ+ggp&#10;QrASKg5ljOrLofZb/FRsimoMEvAOJJFz2//SEs4rfw+6ht3MvhFnP9/AC7x99+7RWuIiW22y8Of7&#10;akZMlX9GpE9SP2zfs0kN1ZwtqS9JbichFeT+eWcbuFoScCVlRKsiLhJIOAc/QQJbFuBXsYSC9OyE&#10;28gFPbPa+bfn/XwkjQFC4t+EQSIWBcWqBnZiS/+HgQPSnOfSx5BGHoguYGxmLxiHAkSrXZjTEIUh&#10;Ph9pV3EQAiLqpP+Ns0eOvBIi3nrlqMTJOjCkj3GI9/EP5/bfBIp2e3mmFeFRhNgbodI1gk3pFRIW&#10;zkEl7YTzdIbeo3ksc3sf5gUcEhOrJZWTy/CQCwTP9cQ/pQbX4g1Svn4ZX1l28D/gYv6APgmz5o/d&#10;71OUQ8uSEYibg9Kvd3/hoyeVHaxFA7JRFZrEsAFMaz1bn3BufzrpJUF0Qmj2jk1IuLFe6tAdDj7C&#10;dpEjmNJgrA2HIv6aw4UwMiCiMlqJTXMNu+Ts+vhQM5GZ5k/PlaNEnSAKy5E+DHaXmy2LtTyMq/xY&#10;LY2n0MnBY+bCwLbuX4lRZkDmgmMG5D22LVsOnq3NthLCaZfFxA8OFxPpcoF1Y6uk8+wbL2Q1Rkhh&#10;gF4TrM59oH/JqpvAMX0t5Cdi27ctbjpo0idncKZMjUqQ2NBrjgzMgfDDXNR3kBjEYLthkdXl3b9f&#10;DUfC5VVgf+4Y1oI9nQb8vwXIvZkBlnfwIJgqAgD3Yt6oOl0Dk+xujl5GhYhS49G43VYsbHTRpiaE&#10;u8C+zceMKVnyaFE3u+N08PNk/ClswmupbwCjjEtu0dLSvmjWasDSOLCMugRlJkMr8cmjRy9WUffQ&#10;GrEF/t0jNgSLwPztBZV3v8WBIhRjE9iUhbf/ZgaiJLi5pshelEhPS6lHaLjt2zyesXMsq6KTp/33&#10;72ua6NaAY+8cqPQd1u/u9VN7N5rZSLy6gHBuug9wlJ5iQFIoRnQJTwJtWERJg+Ny3oR+FJw5okFR&#10;H9BWfTk2eYfi6fraWtlkdVcBNDt5wHDRhzgcmrI5Ag15b0FvMeEQAMc9kPR2xKOT8kVeQYHf889c&#10;FANu/yAR/yhpeWzspRQ0DBaoW1X35yTpwuY+G6BeWwJBg7SGvHzvJNd97pW+FYFvSU+IhS8QXuBF&#10;+uhf/Rkaii4/WXQ4O4QDoQYWGVTUmaXIw/nxDfj9D+xPmaqnMpBLg0mRJAK/rRhMHr3VCovXTgIL&#10;zpJQxrY2bzOsAZ8jQgy8xNJPFveNGzfaKYoUBpfRuFEa9IltGYV1WEQWgpu7e4jZpUvDYSkp6qro&#10;M3uCfYUhVbY2n0yn2pmZma8UBh+aSCJM4/9fxfLIBurTIFlt4Qgp0Iw6m61DOej8beTk5DqO4myX&#10;/SiaiMgDPu0gbb62JhinE3/rnxLDJFiIlv/HMInTTaIgZLaPJO6gXYqDoNbchCvvJwoTAyJP8VCf&#10;QG6/xjiJpreIPuCHQFpmo0vzpQ1h41BiPAZcOHe3Vew+aHdsDJwBHQyA2xh1uanY4yjYsT7zVgAs&#10;ryKDJyg8GtMFHWVo6S6qxD6XKegEANhCVnUPKWtgLW/AOK0fA1rN08QDg0wUGxb2fF1RQQVqhDWQ&#10;951oklsgP2EeVMz/TMFaC1faQ0lnmHFRMd4fREgSkOR1RyYm9LAl3C/W5ih2RPge0OkuaHCG5Y8f&#10;P7iMjAdpAdnQtHE8Qx+MEq9edm9Nkw3g6rZ9Zs2e4ur/ujYzQlAf3qscs8aNHqOk3xFX7MWZ4R03&#10;rl37+Is1Yv2VU0zbtkkmJ4tc2ZtP9plpURwsInR3bmHBawK6LGCeCBPsftdYc4n6FKt/68Q0IPb4&#10;S33NfNgNJQH+YFj9HuGkPaGwndM6xSjn2oZNBKTrPMXUvSkpNK0vWlCgkY6dVlXdZ6ziQLqUMLbk&#10;fPf+Ba0dYNV2Isu+OvhoGVITETZq6+qOrTKxRO9MF0BIU+//19dar+U6DPB8HL3JmRew5Ehjy6bc&#10;6/kwRjkSPSo5iYt2Kem9RYtWkmlaZjOpoIgChV+WP02BJNbMoSPH9siJzvWP9Jb/Fz+v5nWLEn7U&#10;Bev7Om6HKLkAZUYaFzCO+EWTpqSzB9ruildSGOC8lHoJis+WLJo7vch5dc04tjgpXOE06aL4n3JG&#10;Sk/QiJKCgmdC9V7SUbcuMuPEJVNOENg/BrIxzssd9kDD4Q7sBzewZWePzMge2gAqlLzBUPTWKGar&#10;0Nyh+VfNGjGRjEbUCCIIL3aGk9qeiNT9oFM1Ls5UbyN1VkvDc8EVFAP4vu2dsvZgzZ4DZGzUdH2+&#10;6CgztUDjPkgMIr1CbchbPmkzKP8sh7SOE/WX0Yp0YXCWOT561Eaeb/AmM+ILyv3xwx1HbH5wxe99&#10;2OlwFhbx7tlzqufpEEMO7z9EIZuxSAWQ1DaEhg1iAHc5Imi7YA1YX7E1YJnSirtlQughc5jttVM8&#10;DYvENVm4FUilmp6s6k3SKc4XOCQiJmYXApFvg70TJqKVEAHbDLImb3wWDIwzoKwsmCqbyWZGurS9&#10;i3NcYZO4c9CezMK7hpT94U598kqsHuJQFvgIH5QQKXpR6OQT44o/iL81R49+tUKTzFt35nVl1tL/&#10;Wr/qv8OksJlEDd7zHwe/DbAY3RBjZfHfoQY8hS7umR05mkphaRvbsY/lSIeIiz8iLkPlbk3XG8T8&#10;AVnTjjH3OhEoZTF86iR8l1bkf8lv9NZ5gyS2J6gYyGDDl4aVUMNJEPR1EtVg/1MAa9hKIm/4g1fB&#10;HXy1hJ1viKKImwVrfgudSc1mUishtLOzMTJetoZv4wTBNEuy+9aTM5U/ExcOM1Hu2E9Y3pu8yzBO&#10;x6XaKXSzhlHczR3bHRXObh76r4NEcWNK4ZUKR6esxORCtHs3QYzuocG4FtXJ26reYBQVkT4Zk8RO&#10;K7sCeGDmVH1Kby5iGJYTDkJKlwsvq6WkQVWFbBC66uycbUJa09NtB+bTkDk/kGZg1qOgM34UFvYe&#10;cWhWQhUzTqwyJ4PE+I+jOoVUhwZdQwiQ5Lyd5cTqwzDe8XDU4UTn2mcynw1qGFf9/6L5ZgmmS3h4&#10;GykOiPdv4YZAGfDXV4QQ58BthqSVwpznmKaODg+8Yy1HVzgiFIbHxAT+ROq0u6u0fr3nLorj9Un/&#10;DUdWWGDq7vnl1D10XJKF/gA1VheESBsyKWt4ayoR7dEU54EqW4c41YbT79yRoaMYkOv0ye9mByaw&#10;1KPopOInnbgYrPNMeboWBegEDK5SN4AphsAz0V90MZDPiYesRLji+qKBdEfl5yBwaKmXCHhTkFt+&#10;LLbaDrhAUW34/JnzJCzcibGRe0DsdEmik1ib9D8qN3XcSKskebysa3TXmjVuvwj3Yho3TgTBL6ho&#10;E7LgtIpEl8InYltBi6Tv7dtHjsOighkLtR+Azhw/WZzHDiBMnB0eUilJqz2Yccs9rEvELMySv7AT&#10;LrD92L7cPDxnTyFItpuHhobG2yCUPCZUIZYdmwZJsQC05APfw/3ESEAnlumAy1+2HQw7/235b+y5&#10;iMtP8Tr89if/3GpGGskI/mGkuX1MTq6BQJmRnrupG9ux+ZgwO6sJtg7VFVQYwCvxv/T9gBBNkRIh&#10;nNCzWCKe+yX2IjZqAYDXA3nYYCtsoijEXHfw2aF/IVvJn0IYXawbSetmBmJWH2SZlswJwhKLgFIM&#10;OswfiqduhMmT3iBWJ4lHHqXJO8IEs//WTt9NSktyM3AWXkeFmCw1ZbL+0cKT91HqJ2AhjNud9JTs&#10;GtkD4RiWvA7kjFQ4DD7ZO/0S4IUkWIr2Ty5MVhjy+QR+ZyT5AvTNx8IDIIEkTKzNOviiV6AgIjES&#10;gD73+jvsDU8UjvBBa1EcRBp8+d25GAmRzcL8F6hkJcK6gE+85lwwg+GDT5bcOqWhgdkKl0A3qBBK&#10;46W9pgvGXD8mDehwFes/bRXb1VuyNLpn9T/9IayRgWf44LzybzHln4WFQqeg4/8kyhyh8w4rZWHb&#10;sxHgRqQ8GM0eMVbmwgHSAdOt4xBxO8JBHAOhDYNCCNtIQ/GhjWc3NKlxHsvzxFypiHltRgoKrieu&#10;XIkIxlFf6k0zpAWe0MnL3XBuUaQoKbKIRd6StEJkFszAKULagEj3HUWBRkOzConyuVjyhTA/kolU&#10;tlf09bmd27I4GaSevg/XUTUySOyhw+1wWktkoceL6d8ECphCnNUI27h0cdKEPTZ4H7C6PwftR3S3&#10;WBlJzjXWP9VD/N+CmoMsLzQM+uxQMfMKkHJxpnKWCZOuOmyb/aS1j+bIJ0x0MBhKgQy7j4aSKX1q&#10;gvCchALsAXb7T6ymJEwEIYMfYKk7hGOHzxB3ObXQ0XaImPxs780Ve86b0TUuUd1T23tT5vOuDao1&#10;lZjRG8K8ZUvWnI7fBWIs/r71GQmzM8T4Ds9zVSBm0pj0tY2h4SwD3s3N/7O9T8JW9GwOjvZd6LGW&#10;u1M/T6AVphN0g8p+6+vjU+WlEJmAYQK5wBTMFC2OKerAzQuii7mDp5kHrZQYJpR7JlptHFxUELFl&#10;mcB2cv3KzZ1IbApgyArg0Ckm/sJlRdEeIOxOn97LMH5IbjqR659nuGdxVI3OGZxDM0LdkoddmBPP&#10;WpYg36KtZitoaD6aGhk5Qv0rwfHfapsr44DoM4H5okmNgjFb0/DgohHG0eP/qjTCKSaboXHJmHDJ&#10;y4qmxOG7VYItBNM+fv++0IGDbuwh0bIQq0V5FHnECU6YbvICJTIzxYBVwhWhBEGziaDSATwez/2b&#10;Fe9xzC84FxFzAU5trXmeQuzFX5wH5F3i/t8C7S2u7jyaCy8RxEBsTff6VByEQfJwNF2o+PZt5zHY&#10;biWBLmVPbcUYD2jO90EcXj15slD2zqTvQ0aK1slpzgqET1VZ2dQnhwsPQZaRVqEz0Na9WGOgGuyF&#10;a9Li5cElh42JGVopUxLru51ITSHE9C9w8LCPgj6hfQlKf0FaCMpz8ffcXmNAB+F14XG8Td3ymkse&#10;N8N0IJ5Xh6ThftNRQQyV6U5PByfFQzEQcXsigycKXI3zri335qTGiw+z5o8ttE4IXm6mi9zj82an&#10;qzzXK4m6B6c0tZI8FU4YnzEukzmRsYpn573uSk4FLdrItoj95qq+vRn+aS4uViHN/oLN9gYrvK5b&#10;5cT1OOnolYz4z2R3tDjclJoYnnrk6iqCni7wEhIZJSB1DVdS1DYMdWB0xjmf+3xlt5cNpsBKW504&#10;/RRaWw/afXtg2D7gCV33u1/KllBt9EA8ffbsFPdIiCIkKd4rAv6kv+ItQt4dI0eQbUdnxno0cJjb&#10;mxzwBBH4aKOnqZxoLM4dMHQfdXgysOzT/UKDZkYBDExy0sYB4g3oHgPwFMzJLdfkZxEHNefUe8lf&#10;8fSfGoxRbhgSkd+puvJyJLt4sDtao97V4qVuCu07qaAQsBajcR6UAeXjxMl87wO6mR/vybz6Jo+5&#10;AIL9cyDbKivVLnNxRcZjM7MDHbc//kFKWn6DwheHsRS7yTiCWXFMYZw3NyuYnMv0dLYYcqI+Pqvr&#10;dZAhXK7FE+Woy6s37//ofpF5Dn5UyymJkOJHLTSTolcVT6ckJT3ia/q67vcz+Z31UBQUtgzMBTvT&#10;ouXA+eA9BjjouGclLE/UVFc7/zSyQZOAWjdcJsW1tZOc+MK1uA84sFBXJ4Kj3Yp0GHtMSJLF7Tg6&#10;jtJxMqxR4cwxzzrZbh4Z+0X9uGwvgqhEyvv312iQMrW0fhjq6yu9T0zMuI5VHwtZbLrePwVSRLOp&#10;sXH7XIDnDQMCm9P2HsPMKCVToCH1HzMoz84CyWzAdjtrF6IchPdqKuB/Ehy5KxYA/HAP0WL+hZp1&#10;dKao95gYyI2cI4ezrmZYvvJ9hOFGECVliKq2NvcyigIEvQksJtIb4gHwoOfomFmFLF9T9IJ/R5qD&#10;yrLbk8IcizToI+XrU8P6UcARZpeys7GZW4PNTYE0HsJw6GgnmFC8Y88eeX3r4A8b9TH1kd/yhg1F&#10;fVI8VN5l9S46+gRrDs6FC4+GnfKccniZPFSCOxSFwa+BOqdO8WkR8wtKNWdCBwkib5U8FS5CFA1Y&#10;giPS0tPZKeod3MM4lXl6V1ktCc+pBNnAxZhFBkMx6jitoP0Wv8J/kXq0WgXHnzS4OVrdJC5AkO9P&#10;bOyK4KnzkEChooWhf08As3bFMGNGwk36rxfQC/sO618OfdGTcNyvg7/5Erwx+UwUtXnrVsWhwUHa&#10;NJiIe8B26pk3ZU6VQjDi9ZLfeVNZudgO3s4GsAGztmd3WOOF/2iwvXEj/aRQNuoyNiSe9wD0EhIY&#10;dMVC//U3rx09LY2K9D+1K1jmxImuQEwXEHX2aNX4fM71eXD0VXPzTbcZLgmxKAFmHruAVBWP42Uf&#10;xOpkjH/DvJUUxEMp0rX6B0LZQ/S2JIF4XQ5Zu5sXl3GIQebdy5cXIjIzZ9dteCyLSZ1J6enie3+M&#10;o0Wn/dwYxvS9AmXqD2OjBhtua/3mzVdbxwSlOezoBP5TWJXATHnCsPoTQaT5EGwzm8M+4ikbZzrP&#10;aT0Zwt3tQLm/RQWzGNfjdZxPG+5Nt+5xR9frJpIo9UBKjYIcFAGOLYcU1wwX79OElBR3KQByA/qv&#10;LxMShpl+jJ8rmsYQ+9Wn93jXwk13H8VdOFh3R0NhSfFg5bCKrog4ieU0d1JfSskuOikoCqCBRebV&#10;qUsP12xV37BlS5f8Li/jd39gONDfv3//hp9XhnPWbtbU1m6GE7E7nES2KmzSZDylRJzlY0BiBRmE&#10;YgKb0spdykGT+2HsnABXLo7q4TOZsAYXeADL+vUtOF5F8haiJWTqgB8e7Asy0CeXX55hkCn8+nVH&#10;G/bDGRKR0Dou+rAzYxIZYwnFp3uYiSasYXBG7PAB7+k3A3SRkihhu2OXukSxCYiKqtwbdFE8vcHJ&#10;XSHyOZrHnHCI13sCcjM+S+31zl5NR5cMQWCtOGgADIz5doarrMsK8+6EjiHTPj9YVI4aiZXsAEyX&#10;quejD4fEKcA+u/9y2r20AZC3tp+O6ZbCrF97J2fEfqn3NG00E+0/EPkndYXMo7T09AdwMhqj8BPH&#10;JIrMHa7QY+jI6+wFBE8fqEvMHRj49cLq4ME0duxEGUJN/Zzdss9n3zPwyYZYKJ+CDH6WlfELwMCb&#10;nZWlQysjD5WImQe2L0MLC5dg/gPCwlVWaBDNBSByMUU5cujRj4nuKm5zSA3XUJgbugQq0dwZ+C9y&#10;NLPAGNiHiiQFXndJdNqkKW5kwlN3RFnghrP+OCGXdPDT34WtYfgVVgEwxiZazs0sLOmZ5BW2dmxD&#10;cxuB4SaQnVJRxx9DQ9sDHKX2ZMngyDNPdLBc/WGH5DDwdIaH7BnAxUbYn+2IM+27rP0R8LWbACkZ&#10;AVZNMbZ4b6PDPlqagf/2Yg5Pc46LRj0w5TZ0BRXgqR5W2OiHE4DeQ5OzhJS7Dl2oWYM9sBmVmJuZ&#10;XQoMDPwO+lIblrsu6J8xzFIOM+Pmlpycr2wgKnrD/21MmFkx9Dp8RO+uPVzkXVDcmEuY9c6dE/sC&#10;0WgEjAcLVDy4q3yHGGT2QyEiDYUhVZODmS/x3ubgmYudvpFCfXNZd2UxZww1DEPHYQO86QBVpH3E&#10;O2YYFoS772JjLdaiPb4XtZEN0jzb04kJMCtst0J3f0foRBihpygMxWTFw+CwJ1cJlKp2mO4wRaFt&#10;9fgZObndE4gmCwIBZDA65jILJUIfvo6z/jTRbDGB+R3hYI/1QfgNXgob+EBiPmlmAvVWMAbvYsa8&#10;7M2QlBSRi84eLTkKDg4ZDJevVjet+hdRJs3XMzC8TNh37DG60LabmJs7JaI8F8C9hiFFSr24DA1X&#10;8zd6adZy7lxCUcHzlj4zsHmGwDXHg7GRWeloks9Cc884ZPd3yykKU7KPIuX9gZu1BKzVnPR2z06s&#10;An30ZgnCS6eKwSP8umB5OKEyN4O4yEYLzLKwgWtY2j6oCXSREJ3s0ECvYT984eYjb++Ngkil1SBy&#10;WjJNBPfuNTaA2mJpKOkFR8Z18qSutqKhSYe03SePhLfywA2R8R7agOLstpVyk04ydEzibk0T95TD&#10;d3ByjqnfzlHxRPU/tf40fbByLpkatQV9Oa2tPHXJ0KSrVHR0sn4P2KA3aM/OnZWuE3dXS3EWvwN+&#10;lXjz5s2pTw0ZMEMupShWnE6kR1FGly49h2s1Lu/XANjbpzQ0NOIGCCB+CCRbBjzld+7rbI8qwxSE&#10;KooaRFoKyTTxAlKCu1ItCbF1HidlCALsbxA7AbXTBP7BdR+NQwF+QIBI+fLqOYfokLNjzmeMSCCM&#10;RqLjdWftd+K+gbRrJpzj4hEELZYYxIYatmOeg6LVAMJ5YNz5tIRadCJn4LyOpafPKyo+MUKFs+Qj&#10;xfk/L4AzZKmnpL1KAM9VhKJAR7z5djnvyo1cvNXQtVsE2hhHOtAXvxSORcPfQyBGWXEGKosI3Ha7&#10;4S1q/YKnDf3aQAyyHhM0dsFvUrnmuqVNMijulo7A3pgcBp5kAVruhZ8xzhiC8RUocBNxBEZ9+HD6&#10;D8i3uwejY2OV7jWMkxBwVkOjQOkFH+cTnV/PuRQPwJPjTEiUNrDCJ3XRCbP8akEiCNGf64De7l13&#10;4VsPX+2eNpve2aVnGcj4SJo7j3Fu2+U4Dw+VTzDihKHGmWD8rm9gwCImJibb3tFhCgpVGFMIR//A&#10;1qwGqtqWTIfb4oFujTsoOkLzMnlHMSPlCRlvsWYBzYCZOXh2d+Ae26TrWo5y8BLJ8Hs3Krwj/bLo&#10;CVqB0MmHTrB74+M2r759k12N8kym4tfWN/HxfixQ5nIRNQbKa2oW/E5UlJXZ289NWz8Ei1ri5e1t&#10;dmUeztT9ZEbqZ5g97+uw8/DwhAGZHAYbK4UtzA1H+HlMt8TfMvsj5maB+RUeH2N5F0a7zhzFC/SU&#10;B+0v1Ir2JmMwrOKz2bA1ou3jqjuWxBg2jxp02mHmnNzMZj9ae/sp2KXDRz99ko5Hkgoh9sqWv5bB&#10;y2UezU0OhbOn7vp4iG1sFRiY7EUG5l6l9vIXz9MFuxGYdkDO6kasmggDInz6xg1F6BGyh0HrKIFF&#10;PP0jvvVEI+xFBk+3SYirkISJUFRiWPjCE85tG8BAPK5R7InXfCk19fX7cBZDWy4kmCISXnN/6aGW&#10;6UVcu4qjISHWSS2lfsN8/Xe9W7woT7he1k1rzgsfnG5pm9cltFNRkrBw/sVpc+fWctKglU2OVCdI&#10;E+1pW0Ix4HIHCnW1q5dI7fP96jsQtQ4wWQFs+xBZCeqkIDoPDDCUWG4V8vj1mUJ0riQvoa4BCM3L&#10;8qNcz46B5FlX1ayopVWvRlGOyPvyV/+g6aAXACo5PXHu5T+wyjEPa9Xx6i9ftp+WlY0QlpRswuDM&#10;d/5nWVs/vyJzEFGSqf5lJo8bHQ0uVSol4IVAxvGT1jgu/HHu04lfjY0qkjjWYHisp6YPzYsTz9Mk&#10;UBAFYAU9gSKzM/L164A1sN42YBvTMZYepXVQSstHvRAIacslB2Tb9g2Pv1XRb6eojUxM62wtLQ/F&#10;R0b65O5NQbROQDYA2oMt/gt6cbIwazHZAPnHYfAFmqmT0Wv8GL3Yp4H/K4udPaanb0ZXV6t7Qovc&#10;DQPWNoqikG0q4VDcfbX2fQszJWUogkD/le8Nei/EwTVdoZx3/R04qQfvUTxmmjFkgZcwhx21vqjv&#10;nZEhBq89Q4G06v4G7gMHmr7tzQazaI4KqZk04qYLzv2DFrQ0k5pdhJDqRl4A7R/9Go6W+cJ9a2Ue&#10;xZ778Oe8unr1PfRraGGm/t81vNPoeVbeir0UBVFKlvE7DqPWisDzwbC7121//7pjdEcBXCsJFXAh&#10;WfD/iIyK2vo5RyV3BIfLGHzA7iu+DhVSUFBQUT8TRpHtrheZd+avgF9cAGlWrM/j2+dUxqdsh8at&#10;MSP4Ien9+jGD4iodbgu/3KdbRo4j3aYmNrfD1gHXndIfKDfNDzxOIGcdUVKKRSl8j++ytMZBIEJ1&#10;AkR+sSgBdWPiwYAU/iiheBR66BkQvTq5e0kX+t1DFQfW/gfeb4VG7iHbBgVrk9v1UDbByc+vQOT1&#10;v0c92HF2gVxAXWNJQUGFFnpuNxEUAZ2YH4LHDHm+pjgv5iNAvBPusOkYAPbkZ05dt5gMMs/TxtIy&#10;kTmGH5YNO5oVK26SZ/qLCDZLBisKW2d241msoahbOu6nt79w27UDUcY82HydzCPz5uxGPcgtm1L/&#10;pmbQI8RegeGJi6Iw/aOdAbMciefgQfPCeF+gKlhJO9AXKERBYJqi/dKipKSkBsNgRvV+jVsiRo79&#10;ctwNJfkjWXLFzv8HiOB66N+AUQbtXV1bcNrf8Kmwj+QNYQgyHSmmP5AbkhDOBg9oDwciDSn3DvNC&#10;6+/GVDh2FVLX1cFSnwL82kOoGqSgqVhEXk5UT4b7HX7yYqyMXh/MdzUY9cPO3ywoJOQoArKBWI62&#10;LPtUsrOdwNge8ABNWH1vsYtt0FbjwuDT2XsCx89+g2UvYsqnoLKhYeYUnCP5oS7zB59MhYSHX97Z&#10;WmJ3sLJpafMC7aIP+/duBHpGjXfnrhcjdrejSt76+A++OKqls5P5IHS2GriKtL70dbX33/EL28/N&#10;vZWZnd3i+0dZcNT1N9CaqI97sIUdTRBgZbQBF2jEz5rXcggSF28TUG0IrKhpqDzM4VHygTO54DPi&#10;vP/eM68PY12EoBL8uwqnreIX2T2TCUMAhMHiXmZzGts5Octqscy7gZwmNcYTcTRQFj49ySA7G+3P&#10;3GTb4wm6f0GPs7ckuc7JEgK05rhzq8+WFi5OYnQGmaslS2AqkrUfIY9DOkvloa49hbUjDHW3A0hf&#10;LtGHe+2+/1+JDhyGaVHzlur8IF/XFRUXV4Og7N0HegNRtOFTCAt7qqycHG9ttlPGAiy9ioR+QJ+e&#10;OvxZrpbU7K+JF76+Bo4g3RcxG9pQL6HNRAUt+uNjcHWW2KTwYjr1iosXW0RwxkxsbOx2avak9U4O&#10;DmklPI4yf4lUUqfAOSv+xS6WIAsyqAFHQ7ANmWJQPZRNxaGJiWblSNXlzJZRl5hX8NHfBSWy/1M8&#10;bO2i8IbRtdakJ3xrZPwvPiEKkuYzW2y2Lom63fdlHuv/ultdccXQUAUDtJciBIQWv93IRUmt08HY&#10;meO+3t70ikpKwvo+L+Y0yDiBTfD7auHAP6cXjSHF9+7RFCC7xGFaXxY43d2tWH7ZUQa6aVwiIr7E&#10;YpiKpeeyZHAgYgKAKYHse7RWuJLxBNtuhUalkuRjgBVTg8EcW8UrasjzQGtKPt/udN4DB7aFPH9+&#10;CRMeAvL7XjEffwC/308kJs+hesBFX7KJv0Eg2eJsTugo2GWZrF6bBy1GGcw1ISexshI6RMc4PPX2&#10;v5dPUVIq3U2YzIQjr16pwn+pqDKqiUEuVYxzDOTqgwHlIqOj/VU2JmIKyl3wP4FOBK1DXOuSEE4h&#10;RiTC95N0Sg7VipW9TvZeIll78KbmgQK5tn7DBpNmoJB+sr6X/Y7S7I/mZzytqRk9SMimdxvaRFEj&#10;ap47txMVhdMn2DF2t0TfJVgIQu8L/PCfDxj7uSy4axHjvohvxMWyqtxFIOoQJU8zeG4bTj6yL3S0&#10;2y8gUH4dssiEf8yclU2hGDSnx8tW0E+SUw7O5i22j4SpkA8kQ2Y1dHWbFkhJNrm3NvvpgwfHl4yc&#10;3LSDjLoQhyn5NU6IDfri5+iwdFZ2Cp6oJ3U+YbNDrXJSwH6yWJoPIClwow0HtMAgVpozuXUMV1eD&#10;R4wcjQx6piS75kyr4S6gBai7Xi9ipqysrGgPnHvPMQ1ByAsog5V0lg1hb8n0AV/sBUAdt7G1ldqL&#10;8r05mJ/1sN01RcQkgQ75edgtaj8gepbi7yibWlgwQUgz6Zh4kb76v0YCrF/oP2PQQDaDDMF6WK8y&#10;+csPXe7c29MnZqcsnURFU0fIcMJHvH3jNCStoahlVTwtsI01HQKQ8JNfrgwUJb9zgxMJj71IHStz&#10;IEkLCcm7Y4rY8stXFUEF82gmtJVDePgbjAF1wpbOZSQ6bRMyOuX/6JG86ZEjn/P6R4lJfS9qLP9Z&#10;Pf+9oxj/hgOmRclcYRLKjXHlf3DVy/6rPV1gF3NFAykTKUowyin911bVjlkFvqfWnsGgZW9DNhwC&#10;8GzGARgX5bzVMkAtdAMyatsJbwMRdQMOc5It0+FhzEpPn3YIOwdO8RO05xdBh2yv3icE4ukgIPkq&#10;dCTH4b4sPRDOLoFK3B//o4AHcPI2GIibT2fkjx492ohz5NKNsP2zZR/emp4Y0JsHQOKUXRn+sZ18&#10;I5pNY6Bg/xj51pOz1HHXDKjpETI4uwmBN3+A3/qh5Bz7ekKGWYXg55oxQLIeJoQLjwdmZoIxjnkT&#10;jJqPATb9gBuTnvn5xV/aBHE/78lmnnTQc9XLQFTssCtLJXU0BtnkwwSaRY7A3n36PI7lHgaT5IH2&#10;jG3WNjbuF2rQJckHafogJg7sQEGM5rerylevxq3l/dGw5Vr4FKZHbAJic5gYH5fMJBu2V7KmUcAN&#10;87G0gCb8O5CHwcn96uPqIiHqm+IpVLT3GEhJClOpwu8vKlm2fgTTwk93eJaD8R4D3zhcWHlY2vcW&#10;fpWXf/Fytl/z3+tjxxkmMns2KvSS63V52G7FSsuZQkg99NGugKRZ3GtyA2CxEQCi4S8qOit2/kuy&#10;F21n3NFZVIdwcBWl1CD0BZr13yWcZ+3yIY8qk6kwJbduUewiSvMLSTwPLpZi9vkVMNXXQVw8e/Wq&#10;JRFall+/e5qgNO0H8CXtUKPLkBpk+3t6MnLQGp0OcerBaUyp1LDAautWmLthQObgaMIo8Vjn2Kti&#10;bOWHr8hEjskSmAie47JGn6E0+9Te0rK+vNGZ414tUNvYFsNYY6EA6rIU4S0SEhPHBkOZMM83PGNu&#10;ftX/OjnWMT/4DGMj22M3t8jzqFvK3p6NKR50OClxBGXiAzgBO0gpeEmy8Is8tNxW+MNT3xFghnJT&#10;ZSRsAJ1EK2GsL4Sl6t12Be1RIPDPG1dx2cAZwV7LxgqU7KmfvPwLgrmmsrJ7HLzC3jExpufgG178&#10;/Dhvi1561IyuJP1mYRE5ohiqBM3TgvnQcj9+eRfiaAyhGwHJ7d+Q2c4ClbLBtHMXCvfbjIrN6wkG&#10;JCMpESEX9EJ1FRW5eQnnc6gPf+D+hny3UODODY+LP5rjmAcre+DLN7BP0VHUZE98znEdzIA2tp2e&#10;2/Rf+vQlbkNYLdvI6MrF/D2ekumW+bdEaiGonWRFMB9XsRJC9xw4dEjbAn21TERCgs31g69GCRei&#10;9gfsbQUUVz5Vc0Dx/DCqTZIqBalUEWUSi/p1tX1nPwHCub4JBR72g1egZHBsrNEFB1gNBAWxNr54&#10;wdyg59MP/GJ6h8ASAIcUUvviwbBhwN4zVEFWV1J/EbvkS+6ux8x09PSj2z3lrWwEvzcek5d/owNt&#10;4+HBOgdbYM/n5EgQRkpqweWR3m78nR/OiK2FmMPaPmgKKCUi908dWNgCUAEJF4JH/b6lnN+mE+oc&#10;CSOWlTU3huNGMulWr7bkevt9Dr20S0gkg5lkEwEtmScVjwK+y67YIPOIB8zEJezeYpTdRVti8vgS&#10;IR8dJaUrP334UVrNq36MoOfISPBEhDN4DExricSBdveDMHVHDnbP/Ea3U/Rj6AwG0Kc+xYzJKyrW&#10;tCS2k4oGY2FmMGlt2tNvDt+/D2f+HcDAlSGfkPytBdwo6p+CDkl9An4ERphpXmePqIyXEosyA8cV&#10;JPgJnBPz53Ghhh58d8r14Cyw7N6DRvu8QWVf8Ult7cD3bm5K5xFNzQAOI9GFdUzF7ToJoHCkpUpB&#10;mfAFqp0/shEmx350wyZ9rqgQfBHotwylDGwMwpDCX91AWj5BuGYGmWq50YxHgN1XwFntOa2ZR3Y5&#10;hArnC9lrOb9hXgJNRv0APGPV47I8I3pL5g8x4/yvrWGxGxa4ni02EX6zWH2PQfvjtZZkUoBgNWiH&#10;1QkjHBEVjdBU9OvW2V4sZJqKwQDAJDRZ5jbBEqKjbxgEc8WuOGzLIAySywd1JXqjYR41+GoUaXEW&#10;pqZbF0EPQiNqSuvyzC1zUlAXChCv05ynR41pRyTUBdNRIU4EY4CxqsY02bVr6OiGSEk30K96WMoI&#10;QQj1MaJpzey21bz/R2aDyNixMNnqkUZGdKAjLuj4RuJttEaHdBwa+35dxldXnGlFz3fN+SSjsrPo&#10;VA5CYMpYX6QOFtL6WXLymBJoh3Lwyw224xtTQQVdRn12FJOgSC/7X3TQcfbAA3XZboTHGaUskw+X&#10;ou95WHO/2139U1BQMEPsoVoa06toaQdRUXiOIVX35HfY/4Q688MC3MsFwwTx3w8cUdndq2OYV/xv&#10;ZUyaY5C0ujbO091iE9VHillyjuAbXE0Rjgrs64/+0BK5h2vnTpYtwBaLjLK+/qbm2to9ZGV0kQVZ&#10;5jOPbYMBU7TlmKas+f7CkSSsbAPkuRtwCuX1O3nFHU166MNI8j7GxEoAq+sN3TzZi176r6WdnZ3L&#10;JSUll0wmw6W19ssZtQ+K2SV5j9bvcMVJkTC5lTgXybuoYrYtHjn4hLVgvfQ1o109yWiquFnl/y2V&#10;J0FBvzzARMTvSF8k+3G4VPrr1wbOhFtW6dOJVI1eirRSg2LNB/fwFFLyqM9Z1nsMcIgfCgVyxAGN&#10;xHLj39yYDdw/TcaKtPb29l7dDzOjFgL0Z5IQMwLPZ+3WhGVvKKQ3HhUKmcoZhQkcA8dJUVJxsQjz&#10;vcnwsL+Y42JSBNSgYftaB/HBl5c5MywtTRNkhYKi4lnwrJwle0GTn1j6j4waPUFYXhJRNxT1W2+S&#10;kMgyC2NsJ6uToF04A370/y6NvwA2TA7WG2DBfzD6yEZbEithqDswDLx6FWxCXsw87NzZGBHx6RsK&#10;4EGiJ5MmT3jJeC+cdpmTWgI5cWZykgaF+w1WSsry8nBYI+i1eZQvU6h2b3znoycZLQiORmdSuf8Q&#10;I7VF1ocDmLCnxQ9GKsPGvAXDfRPEvjfU1n5Dtoq2TmH/p5WU9ZD4iNns6YU9XuWyxxl5j2niwClf&#10;eMjuVhkbY0Q2K4YnNrLqunXh5PUCshREzWoZ2mDpVN44kcvuUthIimTCEIHG6gd/IkakFaIWSsHc&#10;95RMbGSWcp59QtYMmtudvvVkOwsDxniTF4jak0wymOl1Dv1FcdL8f+r6D3iu+7Z/HP+0tQlRKTQk&#10;ZRdlRDKSlqxkFaGyEpGtUomiFJIZqZQIyciorIwySrJSZCQjq2y/5+E8r/t7fe/v/38/HtfjPs+z&#10;4fN5v1/jOJ7rgC5MlhkDK2o/f+brwk/IoSY6a19T/unl4coxt+iu6ovEDtkWp/mE4U4TAvx0Jlgp&#10;46C6tjxqlgL5zYcPihBILltdA8zyTyNixQ3PnHnejqHHa5YVUMWcCikkPBPFIoaDlFRQTNpGWQBs&#10;P8ClWPH5oDULv4IT8IGf34Ee6uXGS7geE3AHmLoGHzhBfNu2/YtRWFas/phLhR1EMuVnGtNt8zB0&#10;XP1iX11TTTfkcQddfcAwI/nueje2/W4SO06ibaFIk53OaI3WM9yt9b69fIYabwJAyneqtSCaCUWh&#10;tvocwRRZW++9fPlSFLB0mYABpLSHpBNgOc4OEzmusHwyxdNT/tFLKQgwMulX0jzkaKMgkXS7UJr4&#10;pX8YiQvHvhGiTg0/+cqvGGwqobZlYHBwUQSKnUbe3VdcO61zCUm+f4g/CVGKI/k9ik7/gRuguNCD&#10;uiEQvjc7x7E2L9qYwAdng6kXofqe8EzSJ3wOfDYHqLLg9dIyxY0JgL7qgGIovhK3VqZinTba3Nfl&#10;yZFU6oFNdW9GE07B3FeIOSzZL407JQN34BChFYW+ssnhF9Ck0T3v3dOE/hIh8yNp3j3iNIzrlZWV&#10;1duGwvr6eqN2iSCWf9bvheFQXJDziXASgXZApWvJEjdssMcQf5fhQFpQW83fuwjTiTI+NTRs+fPt&#10;zSzW6N2ceKhd374xD1EN+n+hoCxaSzsFqINDo3AHkJALpqkPySMTRVtfP2zxq9PK5Kr+tGDhwjTC&#10;+DA1vlX00TCRAVjztxr8yjG8wK/+tDShqvroq59Dr+dLeBOuh6alhaw/upDs1d/MhxrMrZ6arvRr&#10;rXOprjpQOkWbmbCPml8CfLuYXC6jmvFiMGgUUg5urGU2GBjiboGraYfiX2wuxOuUdPLlFmGe0idp&#10;LcAE16ZswKeO0SMue/pyBgNtJFmC+ywQTrqX+EopCEX8sfUXKEZaoRCrqKpyFgRjNYEyjqXsL8WG&#10;gzakV3e3FxAVJ+LGuT3GRa+OfEXx/Aks1KOUVX/RpfvjF1BQNHwpwNX5rCi3xXPGrJLzE69QK4lC&#10;VPsY7dZJZLHfPzOWgYCM+e5TBqJou01oWZNmubQ36cyywL0bJLdtu9bnwmXAcg9lwyjuZcFoYrZx&#10;LqyH6OJ9bx+PcwQKTxYogWciP4+VLu3pcgF92V5l5ULFttvZuRfpd9CmweUkBtNh+AMkVBYL+GEF&#10;IZt5Hfx723oRK+ECGenlrJWXqDdFxPJfxb8QFYeh2MqshFwhH7kQMupcERxs41tDZWQPXTYBpkNp&#10;tX20/eh/uIpzsgguw1aaKq7yIbBofE2ex2IIAk7jAzrqzxmo726GE9YNTtiUdgQtGc+cjCiQH83G&#10;m2l6auaX+QR6LFZgciDhc5Ug6Mk9a3YbTwUDVY5jTv2pIGvwBK9mMH7jK/7yNs6USik+AJhzLi6N&#10;Z6DU48DGXlS0RTPFjSR4jRhIzu5hyuuM4W3ioeng9y+DRXfDU3l4pcljbI/sZjhrVjVMhhNrEm3z&#10;W81MmHlKdTS/6eK1a8WXIEo8SDgRuLC/U4FueIlWGF7m2IdTNQangKItlcakcMgg+paEH7ln912H&#10;nX3xi5cvcwhuTyYlBcsGnUT00RjUuu/1wEWUW32WnwOZqNrHGf+MIhrmWAdcXDe6BFW3cLvE8n/v&#10;zL1ER4xCUlJHBTv+2Ajgq4d+NUhE0uRHtjn3Q3wGaaCjamzBGHlIE+asYUfugpj/qYfpE17l360T&#10;WFbFsGqHKMbyQ5rsRAAdNqTKmZKFo5th527RjVBXbJpF331pNBx1JZ3ckA4F3AeNrqUNIAbehtED&#10;gyMQTbRCeLBoNfiNjdEfE0DBYsOChhU5i5iRJgCBC0SvDz04iuPQHgDVEbzrTpSl7awFeP3X4D/Y&#10;i7DJF07EShafECut8sThpEDMLMAbA9i3YuGBL2Ujn1JYaKg0ZC0LcAFmscE5p7vNC68eQIAJLO8b&#10;CDhnibW7wHyR0GG6InLRtPxIeroBPJJMFihFaLpGXRzEGcDdtUcwZgEaj855iOk9HJ2OlJkCUh0h&#10;M8TNROb7KEysorLZTYsUKG/qtRfHxuc7jpubc4TfuiXaB8LrKP7oBpIkQCRQ9k1rDmY9cTX+T4sk&#10;oAQb5//RPXFwmOc9zdkxY0pIaQTI1QTxQiklGd4pbmMOUyiNy6RJquXgtIuFKed1r9uO9IqI9+Aw&#10;zf9Z/ws4/1RhMNxPEbt9qOZYGYzMV6+uPrf4BTYkRXX9svcYjzQX3L93MwkRDtCTBN3sDyurl3cz&#10;VK9X0e9PcMo627tDKcWmjtldWrkIUGKHaTwQmbtL1vpA7sdCocOg4WxAJacuV+fCsVIeIt6+dMaM&#10;C35gaOMUbe2lVlOtOI/hCSn4n66I94RrM167567xYqY2bBZDHldZTFfzMlbWdsxyxMT471oO5aPA&#10;AFi9IFoBMsEt1lsTCgxStrBJtmV+j1EssuxSo1a5ZGc+BSnP7/hX+pvV/AULXtIYlED+BFDquCE6&#10;bgGJU4MRREjSauB0eRvuGckZjG+gKdJSfFGf31sXUd6o/x8tAIOBSrJ/UctQxBeks+ffIDagb9Xv&#10;/4YLOdG4XeDvwWbqpFJkeN/SysPHsYQ8iKwBx/wEx+IC9eJc7A1VAkaZeCknQ9X+SXpMzO4z8LdX&#10;YvmvvkPlFgLeEuObga/4sG/+IOsxqS8nJPRBGe2eqdhJBuMLcLALxAwhOK9MwKF1iFjMNhB81rDJ&#10;jNVu2JJj23KlEV/E8Uxd4lUdzxDqt+TlPZeq68MZ00YIHyGVStRHRJsbaGtLVEBZawj9nh5KIcFK&#10;9+yIfBy6ihhyZHDQzxSxUOaI95EzhrTJQ3Xv3v4u+0yUZ0vUWznQNJJakeoGjArWe1cacCeMNFmW&#10;kLYwYBxYBfq4XoUtGLrjV3TNEg4O+XeE7Lads6M1fv/3gZxvbTaAG3gWquwSAMNympj4wJqqDkEn&#10;RpCqU6xa8amH5Kzxh1E41O7s2ULWgsqTWxHRWb0fh3brHekKpBqil7ly9ap0im+euTPOx5RLBg2w&#10;VC7HeyUkydbZGjU/BWsrgodc6+My0h/rh9rpNrCyj7injkeno4B8yo8kY1IBJpfW/20pWpqBlcEx&#10;hFQZ6Ve6mUFBy1mARC1CtMpDnOg3TNnz/EP2u78jeQ7GA+ihkMcMciUH8TcNTB6G150kQtgBoUMJ&#10;jLK5sTxBUCBwr9l4xivxUBzqK1FTpaKEyMASbla0RRWxKio+ftwURA8la7CH9MaE7H/wdW3OUgaH&#10;GO6td5Z/wrzL+Ky103XPRmB3Y0TyBT+UiyvxJH7aW8KK2D5jaXAYvkIuF4OB/KjzXgZcaaVjXUFh&#10;Kwq6+91hVm0mFcHilVsfv4Al6hp/AlolS6pXUE6dQ2BfDX90up/fkgvosDaSng9zdj7dbEzBPIMl&#10;8xivsX5XRac3FVsCzR0RlYy7ms6yMaX4rvO12n1ineif782dO3fFddFG0VAcv2LDak0ola4yD+HA&#10;EJBBqtVG0kRgP346zn6pjO+wDUvTPM+FITiPTki4HIgv40szm6PARNIu0K/EuhUI9UBnA9IdTK6E&#10;h4MtBWK1ms0VkJV1o7J9DOksPUlj88LrQyIwwzEWkUWBZ58wNFBnjfydETktn47eXjjhTB7z6WMG&#10;s9D834pcd0cZ64RzhsSeWBgI3wh+7ivtPPgYAtnRkZFuY45HyCLtdxQLRQl6wspqtQoUzwQzZdat&#10;kU6prXUrhMhZU3MrV+5XrZTaELdCUu3iM1dWVjoo2oI5GVr+f3TaKe35JZZnLbQJMke5p4Mi/54G&#10;N1bhaTSVr62Ld2CMXmjohnZURou1YY/R0dHxKLIuzhAXl8UF4IrC4jPNFd7PVhPSOoGlHDGD8Zr6&#10;0hMcuIp2Qlq1iInpS5lQD2ohNVSiQA12dTXjAJf0hfQTePOiR61u2B4T4WV8XlN3fEFC27vr1K8T&#10;C0VUUADKWZvt2d7EtQAhawRTcpqqCsVCF4NtodBXXwVfg020+cuNCSp68PdTrvyXAii2VkIen73L&#10;lZshdEJiLAKa9B2iiDfWqz8JsjkFAL6puTZYiUEMkjmK2K97hWhaQACdIXkm/dQvISG4Fy9Te8MF&#10;UuQnvsxc5gKafumPoPrLyJNpRPGjsqwACXf9+Ai9Z8U/tnR2Os9nfGA/hvoCgIRLsi/dbqcZjMG+&#10;vh3vhPzqWVvxFLex4VuEooUERHKVoQ7Gv/cTZL4WVI/7GKw+5epkBOi01VE8lHmywVcf5urK6j9H&#10;QkiYgELpenub0glEA7xhMDACr+2ta+JTswEQb4bwGS82q7HBaGh7PM5U6OCLfyrNnvLD6+7T+1+P&#10;ARWWNoFYXWUl9L3OvPpxvXxQRIhd7Km42of/FuzXuiUSKN5m9nCjiMgZ6AVgair1N9BHSgSCoJBz&#10;NjhT2gRgzm4T2umo6L9+f2F0EHEAu6DafQXc4w5/DyDtElw5UzCt/o6Gc+odS8G5tpuYy1i5Dg+8&#10;DTjgzonV780cC0osqaMRlhReG3ZYb8LnbCCzwiF42fjQX8iS5cAh13xcafb/c+Dcff8QBjI79OKH&#10;oglmPg4p7KOuJRzyw70hEUDzQpNWzUpT+/CPT+I32OuvXc1CRjlZaE5Ipxxg0EA6gdtYjeDMW9J3&#10;qO+ko6Ar6C9AtSgBHOtxON4P4Zjfz3Y1kp9b5NhrSYeNJVCkKgGmSYFd4xeqXhVW+lKf6TaENQQM&#10;QV6vg7y3TjfWnLWRIuffFazvD00tSNEFBbsNeT+utMyQ7Znn3cxpNArX4/86bMrMPiIx34c/CDUe&#10;tZ3vfp6Z4TVVNjh73rxEU46i7gA7wLRzrhwfJNzz+N+lzsCpINY584sAiufS6pPUjwEM3RZmZtsX&#10;soZcJvhCpDskQwIV+W2gMzoVbcN3qOdAP/gUNhBWVC8pLhINa6qMDxRdKjOryT8p0TdzTpih4m+3&#10;QkrALLeOFE18zwcYCWiX3K19sF/BpVY7kf1d2A2Xq53iPK+bzr7DOxn6uAdkeVNq7ZofXmQWsl7K&#10;oZ/r7gYZkpDeyy13gtU+UFY9jvyM9wuP0vMgowuUCFB9LQ+uXyCCMw2Do41RAZMUJOWL7Cq0bi0M&#10;BgI8N+g42IIRHPzelmtx3vDQgasvjsS27DJLsXgbWXN9hXgPhve6Ahyf7Md6m1Tsa+gRv3Lzr9lH&#10;DHmFju0KIlBSfCnNfSWD0QC4aQZT5Sn7B1/X/fftlb4tdPj7TNRD5x3UPjR8GKSt8ch7Bb10wzvR&#10;DypPrgcopofTEWfEaQW2ovQfrgihV3Eor8DYIhzPkIN8gvwR/tEgSOEgkZhZW0DokdCV4/ZIf+G3&#10;7r94VuqBFuRLL6iVgDF41Fd09VKxUAPWySxIpT3OCByqwInN3P/ZEvlNtbMYUaGh9TscPFQQ03WX&#10;j4enQhSEfP2wLxMdb0r/va9tTSQQ73KltKRE205KHYRowrv3+5Zi5VPfR5R0/OF8EeqiIVFgwemB&#10;0vx9zxj0xefkGAxE3J5d/Gq79ebX8NPo4qempNhtf+VRgf0qgyyr527IilbtOnAnF3X7Azr8YFc3&#10;RCjMNZYC21COF9CtXeQX5qev0SLeohnlWe9WmH7eVIKqIHwoCdLp2uoYKgKz7RRsHmOcwer461Vm&#10;Vn7tdm1X2feL4J4f2GHKXf0Gc4dNxpzIILp1A9cqoWhdzch3aWNieJIHvPQD51m9GW3UhUBFfIM4&#10;r/iyGQlUE1GqnvSjw3cQZpNMq5V0hkT7vlG0BS6wtqFtjmlwPlfI+4T5HobwKffWFhQUFenhJZG5&#10;xE5v7W0OswGcFhNIqt+JWT2ubYNVj9AiH6W9guW0jrOXN+XaJ738vzO+KZil9M4PeR/BKp2iijYc&#10;SO38sAN34MKgdEguSXHZBqEddntZLvnWr28DKZ0JF6UgNA2qvSX7lqaQjwqNiBy6rUA3gP886lyG&#10;PqhukiMMNu1F8RVBbQLo9z/QE2zqikhF2hYnI2zg4lmBcm9sSi+5RJBKjWt9iktLV4HAqRTB0O32&#10;rj8rxJ++MktJTdUixe10BQp2SNSP369P6QcRd8Wu3P/Pyfkl5D0UWyN2dtFcwko/QbniZDcPDgNI&#10;NrJROOAuvHvZueQhQZtYDom8j6ItFWrVX78KbcfgrXmEK4AcHv2nQzpzxjsfpQvmDNg5lJsRYI27&#10;GSV/aS2tkDuhyZHvLB32X39UqdsIP1mnJDwqy2AfEHMYu44OtiBk4KxDkSWMSxTgex+7HYXCnK6c&#10;PLz8cdjb+PlPyj4d+39KF8UTEhmy6n7B0WGQk619FaJkHRyWsZ8lD+Yeg2UDuAy+kx3ou9lDMuLz&#10;SZ5LoRN/GYNB0M2Xgm6YEDZjz8qcr7hqoA+bkjiD4Xz+fNgxDqigD1mXuqNtGeIVCw3nQFWFb00i&#10;cQQ4NNzDTGH5T9R5gieInsG4aTv/lbSZOMIXBBmM6TvsVV9Rfv4hBg2lHlpWOZU27UX7v9Z9YC0U&#10;ILFLJDeW+P5Xo7ozMSisj000LCisvSxkYJ5kLH9G+M83sLQI7miRQuWzwOHRH1uQMjCQJCaJ//pv&#10;dCfr3cK6kORIgBRDeNCGXWUPr14tAsVLXJlZTeF01yi1/ZNWihNkOeLWyUrfhNdSAVfYE7t0wzmV&#10;/7Utay0TELu+XlK1LENQqTZkg/n04XU4n9CVmYzXRHOf4ADHZXvQ2swZ1f4V5ovwSK+gHhYE3ZjQ&#10;q0u7YdiJodtxR2B0/sBFou0fkLFEXR9gyCDZlRz4hPkfJUcOx6NUC+e4VSvj2BO2Crc/pJDacxZk&#10;npYg2etVjZdMhRy3UD9viE7HUEjbcem1Kdfy/8toiALWUgLu1twzt/PD6g/fwebrrU8rx2E8a+ZM&#10;CTRaauqobUfZcLqZO/8+fAcPV85tdOsRUJYKBgYTBiA9F9EeTMZ6b4IuCB8Wo9O3Ane+weuDSJ0f&#10;tN/aNH2WvfUocT9bstCn/Enc06ccPCm1TklioQ053nRko86GeOSttcdJcKk3k5L68j7keINP/38+&#10;aIbo5vOb9rblLS5rdiheIayUQbdvw3pRqGTd36GsRimTDkJrKS4KWJOHWSXVPgDcFt6h5flz36a9&#10;MsKUPP0MdyL610vYJRCVV3c1/06OPD+Hc63owxZ00nxSPJ/miIa+h91wyfc2Ja/QmXNyoyWkvJjj&#10;kX+0lcEwREA3y6vtKKXyRKSmi2TZr7y41JNG/bHW/2niUFPB2z331TDy7KXRMRISZ7hlh52eTzLa&#10;slOQRxnhtf5wcIrEAw+PY6TgGjHBxwEjuQEfJyuKqvQ3Qj3oaRfO+KbvE6A1h9OhfOXBoksHYhz3&#10;Xzdj9WAhO6wgP38Fz+g+1MGeISG1bgeE1+a+tSTVATsaneFhLiwxmobKYEBO5CM/XV44vxAflxuO&#10;l6hc958bpNYSprzVvD4FwWE7VnPhqWZgmTWRyCt9k9IpxE3wokUhWwBgyQahXhzT13HN4Kb7FssP&#10;dps7X2hJ+ULYMlwuheuWl5RUsbKwnMKzLvkQNKH4T2kBffuybux0QE43bs/AuSyDdpkoM5RiFikh&#10;QUESWvLyUSYQJTlKaUQx6JyNXtPLfHBpM8LR355f/Z8WsuGzctH0h+wsCxDHNUHA0v9pXB2aLte3&#10;TgB6T/iJX356ieu6M47y9fA4vaRu1w7XLKihMP4e9B2z0gWVVDVnXOnQFf/PpwwGwKfHYMhA7abs&#10;0Hf+wkXS4pw9HRpsNgAK4gkJ6ZGTNafLUJFuoL6sqPMvmU5I3ELBVkVxHksg4AehovOt5h/7LnbV&#10;jdoTW5SKTxXXYjLPvVA8MnNnTC3tnMPwhHD11ZeC7xjtJNjr6FAc8rF/p8mmkn9qe5gB9+KzfoLU&#10;5ZT5XvXkJ4y8Tl3x4Imup2a3R/5ObbaIkd6xQ+mMRtSx6ZLCUPFMX4mlBLRppOIORDp6NzVE15o5&#10;By6KmfmCYo9L8xYOR8TsdJcFhttexnnwHZMCurpo6upsxUKvxyKAcd3qL6lKd6Rv6qJq+6b2ASR/&#10;Ei5lu9scd+hM4Prh+bsplv+fSp1aNgjIes/c5oDnd2gZI0xNHY35pYVGX82H4seiazEY8C7mQ6xC&#10;GMCe8bpEsVDgINu6zmqJ5Xg/33zoNb/hXerGog/xi0JV4wCBoG4XCV53M4abLFn+uaSetSCJdgWI&#10;Akf4htnxaLgu/uPZlt14wAzz8PJXMz7gdDc42+bw8Or0qdXbovYBHWm1ge5Zs+W4W7hwxttq+JyF&#10;Pxc2hw8LVwK9WzP9h+IYs77LlY4plmcK39vPxHsXeadSLapTRqYSQCUiFNnyun2ZUs4flwDOlc3K&#10;YICj6CzAIl+OcSdu3iNr/qkcu7MQs7EbIbrayJRNAwk6F8t0AyEdXWUQpD6Zj8tHOuVHPMqoD6fw&#10;EfH+D94RR2EjoKT64kfZlgY2ru1nji3EQaK441FWFMEPUqjgNOZwWptVjz6pzbe7CwhWMgdW1qeP&#10;LGLEc7yh/P9gXrPcLja+5957ck9jX2P5t98RVMD2ucSvN3v6k8309IcPIcsXGp+tIDqySWfu7jfn&#10;QocauK53mGXsN9zf6rsAql6UURPTNSJ1UteagZ2bAHrTA4smAZBSIGUa3tXFRLMTcBqfx/2upqUV&#10;6Ir/ydhx4cB7hvMQEx77fj9/LhIMUOkNChqWMltmBQxC+CBLkCFmmMDedngovhkoK7IO8SpCPxOE&#10;SfjfsgJ4RQ8RlR28RfcsekbVg9eaUUsca0Yl5YHcpjRyLl5rhgL7WSphi2RmlJWROcBc4IaL0/s/&#10;3CL0IRmhHegMdUoP89/ZTmpU8nuP05d8un1cFzfDXhzAxYEd9I8+SaPjHqvJRkdQOkVi6EFq+wQF&#10;a0/xJC48V5JNQ+HcKw0QUU/RlhSwZyE1RLm5QgI119LGbklh4YOlGGmWDKlGG+15KKp1C0Cgn2LC&#10;Q12NJANbNLDrQvY9PJdmM7s5+I1N2sLvciOdjHu1XRrgp2Q3aqs23nI/OBQYsl+fCkAqBGnlgsM+&#10;eL5aaDLryHtLaJBd1vzb9ByIe0Y4OAxNAR/ufkh8Kg7JUGA/FQMUuRiosQnZT936B5x2YUb3YZtb&#10;niSOQjO76hsLaVvJaCQMFW1NSPl87H6k8b6BbLUH//yl7GnfePB2ED2jGJy4hQJ5RmCHEsgtuoTg&#10;tHhA6HexkobL3r3jz944qoHVMoyBJTcAefjdI+8yCYuUlAp8el7AuFwrH3u4GAS+U975cPAs52H0&#10;Jg0cmAXbTZVlaxkMS3Kig6fMKSooqAUD62BvLgN3BewQQ931krEof/ajrxtVZuOAh1YGz/gX6Uq3&#10;bt36lQUhr8XVJDVC49Hm6GjJpOjIjIyxLmbIwfqfvMl91E+hBo5tdmhq3gNVOIweeBFvvnvRhhnL&#10;rs3GtTPhON7j3QP87k2NoKh300JgWO1Duau7OLEFdWHWU4ANSx9ZkWulZ70TBHB2OD5hIRPTIXB9&#10;csBpyGBdm8oCGT3ygXoTQW/WNvYhKADWP4ejuroFv+ByN+cgMSmm3N3cAcHFIgdbvKIFOEDCpznz&#10;LE7umZVas9egG7zcdOn1JhgioCAMhuWxIYjkXzBQ+zSZdJ4i19KI7Fx4aA9M8a91X0o+yvMZh5W8&#10;oOIbII+dUePSdWRzhV5gRw4SHocJROsr+ZakAK36QklbLKNt9L+sTh3wASXFJ2fSnJ2btyvzdymz&#10;Vq7q0ErhBQ29xdffP41e4TqC8OnocUraekF+8BzkBGuCg4P/2lhb95y7qgRG72p52I6BSTTifkAd&#10;roig4p+atId+2g4Xohzs/bGIv7VGSvPtUq5gaEl+wf+Bb6enARrvPDYmO5Rpe8z8wBitQOJNINK0&#10;Pv0B4u6EtG0D8K44LogMRweYRkw7JkKZkjfMGpwVk10YOfuxFf33wORQG95ewUoiTiag1gMuXLkz&#10;F+V54sp+BWOILqno8MMlQa4fHF+DcQnfZrrbrDSNBXQmPJfxmsTrP/4euZkphOk38xWYEGQUO2dy&#10;5/U3YTlXRRursMXnfm/9c/f2c/GHeqOjQ0+roNKJwDCv6Rr2+HWTfWmaYAHtIYIgRdE9EMslnFdr&#10;TnGA9ELHutp3Y5Y/orHMr8NG+QDCVo+VUCiK5ka29ArJDLFEvNLCBRFskHHI3acmtfLWzclfaGS8&#10;f+AuYWJ8mH/nlnMiuvqLzBfpmzIY8gAfw6mFleHmebpAjghKJJCt5Nt39zdX+VDx3SOrys2H0b9f&#10;IA8i+Y7hEu2c9718gRyoopFLSW/h2w3/BEBzAOJWd7LHXbp5Ltyh8HAERJAtfUm9wHmXMhgQLkx+&#10;+2s33lhw15w1cW8rkNdrTS3GuL/wAQVzlnruiZ/8Lj9qMz9k/3qmKdFQKDsWzmG8JuE16daBXOw/&#10;rvX9apIPyw3lPEwLX6urNVz87p0IjFLWGG+kaoXftN55l6CAwEohLIdn4JhRERsuS/yYQ6DEdVvq&#10;h2EGiuwTUCZYncGA1HT0OIL2R8bd/XJf3b2deRWywudqY3kHgRt4DVLD0pVvNWfZg6+b8CF5xoss&#10;qRC/Nd2kuQcxIW0FKklz7UhyusxleJLjYCHD9nIk/VcGI0zURHnZq2eSeMiS624XaxLGCcyO8HM8&#10;ZToiN8KZBAAzHElJdSdw6n2qq5OiCLB3lv26WQk8g5svl/Etq8pV6rx1476BIu59CkmGXH93BQwG&#10;EKqoX2wygQnXAEBvhdru3THfACGKk5G2urZ2xGNJD/gDKMMmySWQQwQaAk+2EommbYtkSBYSv9+D&#10;2ms3OqpGCDI/p/iQZ68WFMYkkhhWIMlAk3SWyXvLMfkpPRgcmwXsobE3jnNev3Ejlfd2cfjelis4&#10;tb09Pj59z4fH+fRpLtzOmW4km0E5smn6UM88QIpp3NlnAB0HkTmA9JPMT9PpTCdjAobaWbmDZ5qO&#10;0XjuA3fpqrtY72Tb6gdLdpzE7PHNFKtDbhomSHDAafATE7nkaTodUFB6c2AJW1lbL/f383vZO5qG&#10;IWx4O1MzUtBMI2hoVHzdOpNoeA/W5hZdlOfJVCYwh7xyYJbdaErCINGnpCchOcp1W+BRZ0nLR0c7&#10;qYQABj2jfyf9x3Vb8kLBDSQJaPZBAOQxSzE04RKkuA3Q+8wTLwR/2A/BXCI4x0W5UD+PE5xxjqwS&#10;+K7Hr19iNgbsL3sL2WNsEOYaI0TiOeRdMbQ4c3vieKR2n4LlJLfIE5+TkVvTd2s0oSKCNkRtyg4S&#10;8hCpRpqa+d/l5l2YdtAnyjVWVvKKoBg4QRgUObextUGTHUS4iGUk+NxIYA8zmSdl1Ht+/GCbwfBE&#10;jM1nZoXfEF7dor+OmtUVGs24LHcwGAzQHdkLFJiQASchr6s7UkrkHnIDNzfbIhAYSyod32kCMD8o&#10;sR0E8eNnOsB1ruAuV9RkQCU8YWtw/0squPy7sRlxvQv+3dNY/70NGeLBfV8J3ED/AolxFq/XMYrI&#10;APaE56a2ogUJtMHg0AiJ5fX6hq4wFCQRIAppzhYc7+IceSKZmDO3FfU2CTGRKUQqGB9RUrbrQFBQ&#10;CxoeFG/oIaqIUREhOqzprYb4LiZahCJYhGYEjk1veVwmG1Z4SGbrogHgnSDK5XATOypa5kkTifDw&#10;8Ly7vRQ3gl4KeUA4pX/NQlVPH/VIKiJxncApwqjvBy3ePcwaWOyqfEedkjlw+ms91Q7HY7AG9+T+&#10;BSjUOy4OhLJgO4LDryHIGPMUOxMz15WlomvmYagq7tJECk3bdmREx6VQDtPPpk6tVgEWJsUmU0i0&#10;pzSOYgwlTcPaAKFJHVinesrqJ0Qm9IgbBQatQqQR3+y5c625EJg9huJYZ1Eej10DmkQ/WMJXYhqe&#10;WSApxImKf5qcRlICQjlRADWuxz4LQ5oDL+q1cq6rSGrAWJS/wwe5yN8/5cYzzm2ERxwF5+ZL/C9o&#10;H99H7MxRciYl+0A3jWmAjw+RM54uxbZZu7eTVo8UK7y39gwC/LmGgmbpMXaVRx9VUeiDWPsCiee0&#10;HjrBXZIMO8zgbSHejN2KQnkWwzMt7S8LE2/hebirlT5BQZADYQWl5A6RlxfreF2cZmeutgGElrUI&#10;XunHf90NTuvF7CmuAVWHf/XmIGdHgYjqkpHLBhvsN5g997IWyMIGcMU+J8k15nadNzc3d2xBo707&#10;pIWytJDqGCKJICd5Hvfdw9l+/p8cL/+xXLtruDxiP3p0VKxS4zA9FdH5yp4n4oxhoa5MvEiSDls1&#10;nCE8wA9RD4SNMxmegMDsLjFfhHNi4aK8DlS5WSXpNrcRpor7gY+M8GSjFumpz1dTn2bj8Hei6KnG&#10;sngK+/Ntiuu6UARP9UEMZhKCj7m0t917sIkFU5H+uZL2uOlgue4a9q9FJ/x+7e3iT8gT/8mscOb3&#10;t13gTBrSbCKFTWQMq5YJm14LfjCI6PI3nGk45J4B7KHfwsRLJ+2WZdcG5WL5Q+SmEAu8mpQHdE6d&#10;glWqsIVc+7SqU1PPUdM1we3Svpq9ujq1z+7R0uxL9ppPeNZqzY75sqrgSrajSc0R4+tJwZwWXfnL&#10;1NUvebayu+xSkp8zJz6K6eLgEo3ekcmKMafwRSWLShQbyo/mpuqLj5V1uXAdK88wj9y4eXNpVUXF&#10;c3ncXVVfv04mPWlnGXbwNGZl7FRunc/Yz8EvMeO6HFsoru/V7V1d43t0dNJO4CBomX+RB5Yx/2KH&#10;O2CkHSABTziTob/ryJEvR4SCN3d8ivvIXut3NmD9NfiTTGbvugl0IiLq2TODz7ja2EZL1s9JFcvE&#10;mVsLC54ukgpqUfHwJduiOYu49jUytRa7Zh78uK3Y6dJLGzs818onzWdwx/TP9ny4kC2UUcjt8x6r&#10;ZmkpgpITYmI0So6JPICM/ABS77RvS4LY3NMEs4bvm2N7UGsnw3Qy2FqAmI2nSBvaeUyE8/Dq1eEB&#10;qP+OlvoiH6sMKFzBstm7EL+LWQYBr7K242NDmTU+NPlSDoM5aw1hn9w+o4AviumQ5czXRfKXcLOd&#10;3oq5OUHww+jcWl8ssnXrlua+8zOdbNGpbAPHxb5eVQziss1ovU//KLDN0L8PYc181YBFQDZWOqlw&#10;8HoxX3rDA2lTkK8o37Brzmu8gUOGXJikg4+9kNcLU0LyoTy5kVyzANszyvGiMevsmdt8HhzeZAIR&#10;SRGwketAulP6sInD0UYnH5ZYYrIPmbe2B+ESG4AQSPvRw4dSsBbZLg36eUKF6T7EEIk5zkOnXwOU&#10;c0eKsshKZLKK1h5w8GKuQ93xCaJZv4eGGxEYQv7w/RJCuJA60prc9T6j8r8Nec8ceFUqFe7fHGg1&#10;m4EjI2d3nPMp9pOZr63sGS1L0yoBXDot5/VCpI+k33pVY9gQXrEoDONw3N3Rd2dWBdy7HoXDTUFB&#10;bMnad2DvMGFROP85Xje0wxb/fic2tsu9EufgDgRAYkqYMx8e22/wqrLnZQwxEHXXfSjCM/9Zl/Ud&#10;jN+iAgcZJzOxII6N91WqwCnbtFdWiG3BDlDVkvgTgqlXAwRmw6/Atov9or2aWomeLAw7GhHssfFp&#10;zvgmdrKy2R666iXLX+AwHMVtGQJTQun74mLRmGYku1xd6/X82jXVhP8/+wAsYFzyagpiVNZ0HEZh&#10;PA61W0ljQ0NPqcQS1DRxGo3fIWj5DY2tm4mV1UTy8+cVnms2LvfVhV8s4933M16YYtGlcC5XzmMy&#10;a4MsPSzkDVzFbppCGg7zkzFZeGX1JDzQKa3CVOYKntmfVmELfjN5vWo1LYE2aFXVP8c0vHv3mAfv&#10;6DHcxGnYUg6wuaasxa1w5CUvUvez8UtS76D1ioM8iYPpIg8CfupXcHKyVbYc2RK0HsXUp9LSzfdR&#10;Z5jnG4tulpB4qYJS36iiBeHzVKhjwpgGzY9U8S4w/kP/38nFpSnwfT0yEHMfPPhhtGR6ZtmTyKhd&#10;UP1v80nXT9jztQUFbRymGLkKMTOdh3b1Gm7f2v5mGC2TAfLdnj1zRjnOl5DbtzUys7bjHQSAozJk&#10;XnBZH9Eb+pDqIjdq2NW9+/WFWf4I8Yf218EJQFy5gMc5qiSfqB2yvCgflfgEEQHbvJil7Nr2cTuV&#10;Cx95fqwRB4HB2OBPu1GAk9lQY0ntNqRb1ww3YI45pBEmqBDrt+B3hmelg7pZ1ADb5R0c+/quA203&#10;RsDIvn0eduAPjp5RYd3kE4FpaY6uVlaCcoAgFAw3vtqz3vj2+pHEvukP8UjTjZsbqx7Xkcl1kL/G&#10;V79KMm3YuPFVVaQ01Ln8XswRODiWx2mWMC1ZslMp7cWDm6nRD7YIQuEt4rNmo4WSane4HvSra525&#10;TJVOmZv/fYGhCcEll76+9hJVBuuTCaw5EMOTbLRk/V+nzeqqne3pr+40U/7jHJ/92GeLFRAxWACq&#10;PhEnwCLRwg5AJTsx4OULJCRqxkl3L4sqo6++l7xfFm829fb0j97B5febfhunR4Oloq56wHrVRQg4&#10;YtrFfAJJ5UbX5awlnMeHk2YFtqNAkYj+qyJ+fDyh1vvsaizcd4eHZGY2LZk+9B7LzIj6ObOAz7Pv&#10;qjGF46thp1mh1EowP3Hiy927d39ss/kqs/uzj5i4+EdlI6Pcd6gMJtCwtqHO8cfgzAWmz/h/FrEj&#10;lejo2MhI44+BkW3Y+qjmXSGIXr9//3sfHACpAbLK1y4KCGF0BCZiJshquUK5uvGCwYb/nLySUjh5&#10;2fCjxk1x01DvcBnenAa0A61GmfZxvmBfRGU/FBa2tUIfMxcSxqFodIrZmO+YDVDAMenlS3clfwgb&#10;hP2uXZtviVG8q21ser0QyJmHqJ4lto6OuSr+LQMjqVCsvoEkXlVu/HceTYnMxjeZ+gR9lt3gdoxI&#10;2oFK5Bj+5Cu8SikdCHe3ofK3whX2vurjx/Ccunx0DodYObYy4exW/ojAXj+pHTtiOZYvX7mEe+f4&#10;mafaz6p+FEDj9PM0ZqwEIoQ/hpbj6Per3AmlvuA2DqwGlHAew93uQ0+AVLyTXlnkKgoD6jiFKQbR&#10;5mBUJZGXtL+/GXN51HCT5bxA/g31n/3ZLtNRHSt5+CV28RyKOQVCWA6VjHRtfb1cLfq9YbQ+5+5w&#10;0NgFmihmEB4WVoX53S6kIPPOSkdy92ygjjccz5w5Dx1Z5zhGsZTf5gjGP2bB1myEXtkIfcnLWlwk&#10;EiW+LthCtdBxSVI4/bOEhM93kU675npSVc1CXFz/fIZ1P3GCWC0XPPqCD3tqLc63R7DuCGOY9xnc&#10;X8ESg+kIACpHMXB54nfe0hrWZctkYMq0IblwIg6jjI8tWFSh2EK/vWAr/YjMgV6ETEZgQ7/JBOQ8&#10;FF3EzsHxa97cuYUI4NYuLCgYQX3i8hG+MnP6JjFF4Fb6L126FAPodCse9CdTCMEWgstWiJRxav49&#10;ZDaHLrRZcc4f+SvsL8zlnd5oMmsSH4Ll/8u/uQSNeC0wzTtVr8ogaA5F6Zhz3/FZ6S8xaCUqLKGi&#10;Fci2MDAM3lGdeiAtms23IJ4OtqiVF0QmjxldY34LnOPCJxNgNotVmI53KM9jm7HSi/HN5Jjp9JWO&#10;wcN3rZVOWViMyeBUBsBS7QQ0ZJ7F6dPD6PUeoSi2h7xyJiL4FrKMHjuli7cP9i33HUr9r7hel2IE&#10;aP532GEv8W/eW1IVUNq6YNasWSYwzZ3Dx87+Cf4uHBWM+K1kOoYwgj0ZLRRHSHi4VRI2zwhC7PPg&#10;TxqyQ778IoXeLYJ0gcPP37/tat6tX+7UG0Q576muFsKDCaQTaHMoFoj+lt4R6NveKzAdhyHphBfz&#10;ZHukx2ixrzR8eq//2i5lVjiP20T8R0EjpjD4Y2jJ0dTTgT7Mb/GyJgwM9ZHeiVlUZtBgCRryeL2j&#10;AnG96rJk2+kqS4V7hg9jcyhu+efJ82deWKmENl+3fw210MshaPJCGl4NFKFKg79qhA8bNuC2OLgI&#10;kVEngIutwo4cBudnc5sDqRgckqhJ9kNwjy8db4ji0PpC1na4K4tgu7xLwVkKKiqPcDlZbtnFXLGY&#10;vqnRkX+uGIESHZA8rw99HaCrGlGDP+4/eqRDPt0cAN4J/c10n4TJurwMRlGnamwcXQOnWuY7X0iI&#10;kutQLnGiugTfu+UXVajBHDpHjz55hdWdAfhEC4agTCpyn3VtAwrC/Nh6VxK+Zc4TEKkjTLxb0THt&#10;x5l4erAdK9gMiPjK783NAc5/ewyE4QOsioqK6gBr4L/gI50Z+LeTCEgKQJdzEClMg3iQ3vjELx4U&#10;Uak7b948lfmXFXqoRAHBkTBdHcJTtlT2wNpbzzEK2rULVpDPAEx6RUFwrMsd7y/FnLW78s5chXcx&#10;tfm4xa09+ZPJKTPxZJr8o77MxgPSwlfYxpRtkb4CNhEjThNgA9Azp166eDFaF2UF1SPY2Svo9ESB&#10;VEgvdNOya9uZeMH3bYcaaOoRqiER+m14+SEwu1xYNPfSokWLrkOBVqHQYXB8O9CMCXrI6K9XwYQY&#10;gLupbxeQbxsEhBxATHvh9ZJTUNT/EtJPr7BCl6dB49PhG7fJAmpMY54vQ32UGt2M0DGxARyXDskF&#10;wmRMZLv5RPLGzP0cJ5lnikxW8LCtXOnMxusF1W7qkbW3RFyGOs8FYcBaIgJsZ8nulJFx5VdggvjK&#10;aaNqQD5Q4T88Xr9RJSv8tMXi/5lvnJSP836HYCDClxvdfwMkaatsgYTtRzwkjz+/f791REMjj5Kw&#10;qB7A1C9tZ0xz81vRmDgBcMVgxaIrqG+3FlVWsqz08nSetVjh/ypp73+hI/fq4tVSW8N4mJIhd9uI&#10;Yhlf9XbrDTiF39T9ndMp6sUMgqVPwMnWAxmKml7MPRiYOd+LGZnXw039UiXIVbnIrEAcXzuuUoRc&#10;f0tGGVNaCEldEZLGmepTLRyRHf7qU0FB6/EzZ86st4+Z5cMo4GO4Xi9hZdwTwo3P6cEvAYuOTPzD&#10;h1dsTExuqz6z/7xNGc/KzdW1h8frDIwU1qqxh69MN0sIxuVSYfoOmi8XsQnfa4buyU0MfoR24vPH&#10;j5sxf6EqcTOZrG5XvNrdYQGA0+pbxzp5dawpT/8LsqHYBpV3cL/Aq1N/Pe+7N1pfGah7hloLsFt0&#10;6YCLwH/Fg+wkK/MG4QTUTMIY1HsJ/xVpdtN37o8COuRxD3K9Nk5aD10wRoR8HQri2Bi4NwSb6qca&#10;8+xNKEtxU/bEj1fT1mPixVq4IH+DElwR73NTA5LsEbSxC1DGvmSCswzd9xZnfbBEZnQ47mLuwDWX&#10;vSfgxOw5c5SQlHmqogWlsws0HRvBieyjRw4aZQGIzRiQeBYK/nmcrMj++eLS+1XWH8PL7qM33QSf&#10;5w6B8gFXTKfbjEuq3gVpv+L4qGtI8bwa/cjZhcYodmdWazwxPDrnntCZVatfD+dZDQYJ6u3EdIyn&#10;B1RVT90QVYbgjvsG81uQLF8UCvbGHlaGdYrtdvEd/azzSQsLOQsKCx1MRDir8K32jHYPIrzTCm+H&#10;Wrx8zhigvy/QLDy1RvVjdUH+dWwzLsq/rM5Nd1GCArUJAh05B9V3OU5U+7h0cKqLdjGRHqz7LWcM&#10;SiEDiMHN9YV0juHK2lc9wOQqTT3gMGfgRsZWA7xSkclDlmu9fiPeZ+xjZCjysAB2UIy/LafJC7ja&#10;2Pf4sW8wPTWCBA2hPM4Y/Po+eabv0ApZRRWpBwWBSRzxXa/aTM+a6eJwMP3eWiQ3DaC6hRu2401L&#10;32lp+44zBvxsZx+nA2CVxnT7+xjJ8/L/Z78mNdpxt8sOf7YaNf9CSwm9F6DFNzDxEpQk8g8+AV9Z&#10;L54O+2btLcdTaqOxjccPYpmbGtkB68vl9fpN3TQMT4HQZTcmEr5wox5gxvDfzSHS78vKztLtws7G&#10;xllSCOdH+MW5vPIs0wt75GQiG96kmyBozr8vukwwW2AZ8mBwgt7LAq3N3tPTo4pT9K7AL/UDzLO/&#10;4vP9wKCOz3QML0DyRzwVpMfFQg7X1oxjUIMH4SdjCIdZ/hOVCBbKHBhZqt8V3oBEoglvtgFfSDQQ&#10;GwKhSFmLUCyYtgBDeHC/ZslojqaeXqnGuSU8FR6qaCcPh8jIyrKiK9hT7eSpuTnpSNly3wJLDG85&#10;sqVtT+zhh1nbrym+XXZNMeyvrSUmG9YooGMoHJP7c0QgUGzTxrW6x69foxasjnOS4xV/heMzWk9K&#10;TLx8t+cbacrzzC7g23PZWITzBwCHVwHr50fm8cUj1+6cF/PRJOMC4eRyde07gNmlEFp2b6ijch1H&#10;ZuyGDeNffcTQEFbj/DAHZN9RKSj48yhVd6g17A1BHqxdcnVdtN7RqlTcLiH4gVyyYOmHAB0lmgoK&#10;bkLL81Mt9vDw9Yudz/DRhlDQxL55sp1p0PBJjv/SrQY708zF6Z5XYJLDWWJYnTHTaKnzJSjaryof&#10;8i9NiYZDv3um4i+uR0cQqCjsbaakir6tCB9U86p0Y1VATu5tFE9SDfhRcek/fpzQ4bu9CTXdJi1q&#10;juYuu+ZFQvcdUHZ290dclQ19/dd7+gyN3CyB3IQwZoVh1CgxmuGbfw9F+exHAWIPfMzb3/9vIWcM&#10;CswJ7xPx/KoB6/nVSnH55nCa2EObdmx9kU9A8osG3Dls1+WO7Ede30jAkS1m6rZ3Yltxh9QcGoGh&#10;8U5meroMlt+nqGb8adx9q/lUA5CtK/IiOdm5oH3AAjLLiCfOay7YXIKZKDPK8U98Xqvs0gK+37LR&#10;BKSVtvvsR6cKM7JAsEH4zHvLNZPQR35Q/Q8kcsPbm/PdCbENgBhu3EqNRjT+91dox04BpAGMMhdx&#10;7TpOAGveHVXfu36ZGfXqWEN91Hj9Vz+I1fMvGrQd7yCekBw0aergo25YJuD9jq/ANZxomP2uqWlq&#10;rn/R08VMTOmzGzvk3e77tWJyq5OaU/nupPmu/tP9Z3+GMavJ9UyHbuf7qD+X/vNQXWLgOKhQQi7l&#10;veITPhjyXoVoj9QfN4o/fJAgeWAprmu01E4QgIsGcuggGAMs5ZQXrnv4TJ8c1tDQK/ZlXXCZy8Nj&#10;atWiubtLTogV4AN18wsTNlMRtYvlk9UUnYIzbOzlWeADWPUwMdFovYsrxxw2vGwmS+d5cZrI4+jD&#10;bWmJtIZnCZ368kZGKFsTB4eGfAHZlQL2iEPBG5u1HeyfK5ziXNhiMKWUSYiJCdzkQMWiBafoX03U&#10;Zdi6vnilyQANt3OpY5esubm+uOLTp3h79GNrhf14mBrQXdQz8ea3nr2MKPKld7K1K/7G4XRwRiOc&#10;X7qmac5Mt3LAhQ8Oj+Dfb68vxliK/kPnhKISNwPVRHTweHhoqIUEzBSzSBcBvDxss7ADWoRQ1BC9&#10;O1HBZyNALQLroJFf2DrvyuIBQAmrt+P3T4CtWI4HIbO+1/4SnU618ABeB90ZyXZNsQGEotKCywoJ&#10;loSuSCF5YOqvp6dnKej9VsiBML92Tw+LGs/NeKoXkV0a7urq2izH4Wt6QJ9x4d4LzewXC7YaELZ1&#10;H1eFaKTPJhQNOJXxdwkdOpfzuuZC5o01XFyuC3i9COAJx5uBUXgjgC1Tm40lR9VLjh49jHX4X//P&#10;FpSlBKRDSgDRfuLEOQqUEfpSPUx3TL+xxDUIvnIH3Gv0/+I2861da8zjnPtMsXpkprzJ/enNQcd+&#10;ypEtSZYmV7fQdfj6ZfJPBbnRk4gUHHs8E1rsvY3V1dsQ6P/qutQkJQVPAs+wVyvFxK4/nCZ3IiJ6&#10;+AH34CSR+TKA+uCHrvrhoKBpfFtUGSKRlZBBLIVmRY0KfbUCXH2oPzKeRKh8yy2HHSaIefYuSERO&#10;1bAPUAOOT5r5h3eWvIYiYfLBdFIw8QK+2p97sADTgZtvAiU9bvB+7eu0xVqWeOY72Zlm64/aYV8l&#10;iwGbRsqoyyjsRhydTSiNpAbTcY83Uk0hKSZW4oE52ikgz0DQxoyjbVFzDpPn+QYdaQOVCQf27Pl9&#10;kkoF8IuddPo5h2kKmMJQE4lTvgrUjyP8hNdO4J/BstgHvm8qKmpfEm85M3I37ou6NBvuGiSCfTpY&#10;sBjtezoictS02hcyblybPiIJRPV2YHY0wDPNy00wOeNpw/3kCzm7hjMnp9BRoI5OUVBTexqfsHsy&#10;rnofUKIFy32Hpp6GJSMCVwKFZCk4pMcPEs+WHAYI8xP0hHdRS3WVzg7TC9b2UTsPPW2lwUh9GraA&#10;IhNxb7hqTr/gmYsVohL58HUv0o1TWFQ05irwAedPG/1r+E63zF7h3PHk6KT+WdsSAEk+yyqaGB9v&#10;Ro63BjSg22B4PQtZ+2TcP+1kuNS5zMOQvfxsawvq+vXLRc9QHzdW/1zgz8h+jz0O+Us1YJeP/c1o&#10;7jdDzJW8m4f5N8iB0q9NF+ddYPtMByaMVa4/74qa/DmIIbHlmc0oa/enpKQIdn6UB766KS6zbs49&#10;CYIQCFbWqAmxY0PHDEatyffk58vyH3kwaGgOrxdilNLVvg7cYY9NTLThCkh68WA3Vp1tMmB3KBUa&#10;OdF4ABKeUYxfgLbGQQuv1+Hs2b2B5qdUWSDm+Pnt282ETqfZk6ENuR5NN8rba4ZHR78GNPKtLaVq&#10;bp2XSGv0HEbTQoLf6w4FeQGGeDmsH3+I/8cLWBb98Pvx6hKfPbGbl7MIMsAlHW6XKrC/jlZExsTz&#10;q1zntN3Dz5aMkud8oPUp1V2ASq4pbimpEkM7eJOgUZJ0b/M2wy/pqt8LCWmFkjzkHfY10glOnkb9&#10;BcCr6wZVeb19mPZkAjzMEm7rGpwX2yb1xwmOAgH1pt3nMOPkabotTiEfv+MC81sUidxHIofxDlZC&#10;85clISlZnlAubPMtd2mquQaxXsXFm26cnu0y/Pu+LyYjgWevaQS6sqaQkx2A3aGgIM00a7RvIfHs&#10;G1ANnF2MNfDRAafxvrToB3pHDyfsuhPKjItr/759g6+HTdRK6a54M2yQp0JF+S7mB8jUmi5ObXiZ&#10;mdJzcnLSsKTeoxlu7BQvxMw0M+qknko5Mk5aakYwKl6w4Cpa468jja7lxtDqmHdWm/BJtSyFjr44&#10;yV7NFBQZacOvp3m4wrcCe3j10qX+is7qqkjytDrAfh/76Uqy0gYlXd0QidarEbBbiENfaTAYHXDR&#10;0Itvw4YMwrfhxX0FFsxzLq/nkom7z0bdby2/pmhJPxF4iZxmuBxjqwS94VH+AasI998vUXbEja5k&#10;tN53icGjxogTJj1d3ezmsxkX6dIpXsUKN8VF5rdUNDDd92gUepQOr5M0CjaqQjb0OuyQnQc8BNfs&#10;R8l+62ANBJauwiBcM/hmwIJR5kYekiZB8b2e2h2wPgnXCHAQKpCbOqUPVL6SYVTcOUQAuDmUoasA&#10;lv3WmLe6tCXYyF3Xj/kttSpA9BvckEORsPaW97POXzPYLhlaoujYDsAVbQgSkdM8Tuvj0jBmUUgH&#10;xNy+k13lmaaUtLTcuGYDsLD2+47zXrRDRiiV+3rbEOfX/2gBuKQdtgAhABizGVfWtu9oWHGgNbe0&#10;ZLe/D01DLvHoBgWmv79qermV/E7XPz+elzXaYzTP8+EVOtl2UvNpLBYSgOY/TPtHsLhqgOKJEyf2&#10;wJgvCgZQ4J/GeI20gyUh9864N/2eJC4elhk0Rqm5FcfaiOa6L0AvXHi99mCd1/RvEdwEfA+Vg+X6&#10;oqqAi/hNKGx8fxw5evjQ5lAwZqDppeIt3SNRwCtDTDimm2JmhcEu5cpMxyVCBTtrU9ozMIcvycey&#10;7/6Bnb8HBl6NZNzewYjapHDseu6w7V7cy5MYMXpKbnK45Q9RhYYINyv38UsEro4xrA6om394gmj7&#10;i5mDFVWfPwv97eu75gic2gpTKgpr3q16kIWfugbrrwCVecPnDx96ajHKQBuD1ayPo/EXpjG+JlnZ&#10;2awihYqgWK8mJdnu3NaDrC0/qpyADL/zvnGj+zOuezW6syAWS5CcWPQBkwjMiElC73S2/cPqSMyd&#10;Xo3q72gRkHiH0005E4ICCbiI82pq/jpgizoB3vpLPRI39J2DOLPmkbuNW+DA+mW2Uo49riMQvPR4&#10;jPcVdSEn5bJ++pn7r7A5/XCfARVm++A5sWQ9eDocXc8IcsWtfY+KMIT9mswDVi0mIiKCXPRH+27V&#10;bN6yZSv8DPvu7Fkf/+DB+qVInUwz2uzI3CG3WUvn1eu/b4JlVDR4mM+gdGo0Jzi3YmzdOc+pNRCF&#10;Nlzvuxq4Hy7is5nssVnKz6mj1t28F23QtiBrNVVd9Sq0GXqBh+Pu8FoobbLZ8n8AKDSq85469zCq&#10;IYnqF4E6UAw41cndlvamoR80J1w4GZpz4i0vrtwPkrYeq6oUmjcbwhf+UJmY89riLBQOiwEH/VD7&#10;wTR6FhvyaSXqygfaEiiDT6P4awrKkXIiuA0zU1hgRFtIf8sPWsFgOU5vrK0uJops3uzZ+miMS2Np&#10;OYTARbfT6entQa1KCNNJaSVIPVQVzDbl9wixFfDLEbiHY3j67x0MdES7gRmgIsie+T6GuwWcOTQa&#10;Xgeljl+454cH6rNqVHoOiOwQMdN2eN03rt5x9kQH0SfucePyUTYHniQ4XOhd2MmMgMTS+PFx13Va&#10;7bNc3R4HvocV2Sk2qz1u3RUp3C9z7mf+NcC4DZe1sgkJbsGE/+xnnq26Y/ENROsLO439eDwRQWqB&#10;4yKcAeAyCt/VayxarOApdkh5BjDpo8869Rny1bhCvo0hXLY4HCUFst6bPPkiHy7N3rXn6wBeTiVq&#10;XxcmXi602yNxNQsAYWKrgcl6cHBb6Hswaaw4Jo8cOeH25JYJEodTmBWOQDfxIKE+FtCaD3iUwAOa&#10;Gg9kFmoyhr8ee2wmyz4oW4qM169GHhPb/qAKmSRo50mnq7yRDmdu/RMNQMjrekcA9CYSTU6dl9Er&#10;h2cmaMMWOtnCxpmW7T7hPA9HSyeyjtpBpxx0sgUcoXzr1q0JXDdW2BxKmKfh6ET65Hsg4FvOy0RE&#10;YeSPJNbQ3YBgppkTuRhWekocoCUrUiHKiQgXDdkX98Ru5gVNoelFXYrZIp/XetHkiN5nOGC+Q0tj&#10;qRXO+rs1w2PKfZUXs5lYyLJaLeXMhRgzcFgPDb0xVvWcRh8xxOJZGfTsHrxyHavESFdNbcG/BGkB&#10;uksCoLWDx5gLOXdIST2sRe1KjfWUAfjiv4QCwe4yAJvBgThk/Baj3tR7IiXMGE6MQpHey4E+qgE3&#10;/z4EybzqcOM4ieWugcExk2qQQdx+MjArZ9EnK3uvrzv6D41tJEoFJTogwCVRWwTj6n/YewyAC5vw&#10;7JNWUwPetzczMVPGw85ZVG3kicn4G5FjxGGITH6pCujXKhrO26kOtb2YVvm6302YNR/EAR3UduN8&#10;b1hBjrYyZUvbHoef36OmZvNqRg5H1KrVg5EVSD0RhMFmLBwm4dfAqN1EC71iYlpagJaG2dvaOp20&#10;tNSP6uTaVbJp48YiV6gAvkPe+QhxbgoIy5CxwBfXQ9XU9/fWOpUrMDXPIYbrUB+w7imK965//OE3&#10;/NIJBrjbLq6WdtgXLmZackAAaKvA9vXrf3yCZm8pN2jEHyB/H+2jshKY+zNd7GVjgR78t27aKe+p&#10;6kXgjguGkgmcQLNbRHEKNbQpME+Xxdkx9Ct0AnB4rKWIuByYqc9AIJ8ejQ44H0gcZJdbM9U3LhmM&#10;1NTWDmqdmvybawgvTY8eCt/7T5/qwXvDJosBordJ+0Ad65MPLLNHy1VBKDHe9be9X/URj+Xgry9J&#10;LVpzL/HiMimwG+Te7rL0JCeY5ZUHGjOhnB9HXBBdR8a1Ux6wLdMVpQ1YHQNVDjhFBhJs9y88Oa65&#10;uxDdqMo6L0hkLvkDiNb6WP7nAeuqVfU3IARCtTIph4SXmdC+P0JLqg4jfnTnyKzJVTBnFq2CNuLA&#10;XZHjB7FLJJ9XzPEsn7U5NGrqBSltvjYdvmr20kYTSmozOM+l7PGmv1NTixbOH6r7eEwmOfcH87Xc&#10;4gKVMhXXshThmUHKV1ANX7M7Gl2qhgJuAA8m1sAO+klD6kc0NDQMoB0R+NEqius1HJ8vIh7PDBNx&#10;ezSDb5eiNvEgEEwKcNE+VVVbA8TPlGBn++dOjlro55nPGnwG9RN/05s33zf5FlxMcdsV5ewT2zlb&#10;PuogFNmPX797x2R93yMPGEqG4BDFAw+ABZcFduWG0YgDGGm336ngOCa1w5SWwwLsuK29PRT2n07c&#10;P5uIP8KoR10oek+hmLSGK17cKXEjSBxIcT+AsyHUCf6Qk7yJX/I5WQEYrGHi3cK2IIN+mYn3QUKC&#10;ISJ7z8S+uT2D2KP7x1KBhG7zgVqqGi6jaLpwiFvA9jZ3AEkmty/gh0ruVS8F3jTQHbeA59URMUkk&#10;JsbacGzCXzwITdYKAh8Gh/tMHsHLcJ3ujtevX9/FC/D3O/KWk3W6eEHBMdKNkz8areZTwiRgpKo7&#10;LFGEhBWhHXjMZArY0o/qhRsDrO7DHtudKL4OZMBg+J7qv30zqLFp7KDW/D8ShML+1dp7AtYr+6/J&#10;5ub1AidUy21yHUztXBSvkI78qQz3DBIyGF2lwAR8yYmvkBMW/7xIcJ5ATPrkRnPe0wrfzfSdqioA&#10;6JgUoEKXP6wUY5A4n9bUR3vDrMDkjyaeGVUi7mq0tSlc6LZPY6FuBCAAyaoNO9B1hvzHK+6DLI0+&#10;Ae6alVQMmFyvpJTAVfc99AhbwFcP9xNVRhPI6VmR+4wfp6f4DF4vlF9j0oXcYfonnvFvUsPg6Gm2&#10;Fea2s0Gye+e3OAZBTqphjNi9GLR+iLbWht6Ewdhq9dgY53uEuWkkYWNQI4WCEXfAKfARbeRWVB+H&#10;P/scRkVM7/PuvocnkGTBSnjaNLVkqDKCRI2X2InEjX0+t0emkBMXbs+jv5sjNv+SWr/G5Do4TbeV&#10;XQIzGIw7KsA00PiMhEk6Yy3ewjC0VRd59sBEOIhVutiJrCL3SEVCxNmXL9uFhYXLFQ3DQGg5dlR8&#10;l0KHBWzNyeCAEFpiIOE70YygXmTj5u4VFF6SVYmfsHIuKTF4An3AjgP4ZjbZB5l8zfNaS1sDWxLc&#10;QKwHGafFP2I9uvXQBrIX3j2WUmu8M9JoM6FuAC41rmD+3XK1J0B7h1oTFhBjfOdfWhS6r04m3hdE&#10;8iaXgxVrQz/wFiEOW4CxvOyiqhMFZ+MFUb4OsCDGdHgTx0XcnRYYF+1+qVoWhZM07wQH6NQQ7fqj&#10;IF+RobwDJpLS4GnCwQvZwvtDtts2WxO9TCsf+9mtNh301eo4zQW5m3fxMO/RJVUew/Ph4uxd3p0i&#10;j0gicdSL+es0jjzVrXuAtz4jB6AzN8uzvLBmqAZmsYx+e+NOiPO/5OGgcjRVeUm1llT3lqutX9YG&#10;15grGi9iEcUaWTAltPEWsNNz9vZ7NWXhXGE0CaBdpJ/5D/KEY+0pRHIOBZwxxHoxuVkqqdrMzjzf&#10;Z8xxXc7+zkfIgIKCcMssxG8g7uCWuZKq7lHYidx3FnIS4Yc3svxLba0sfADV95sxM1AEqB9ulRx2&#10;k+vESUHcHAlF5QWCrHAdw5CV5oOmixF1ajd7KIqTUNDFQSampkMCkLVtRmfeXXE/79z9Q+/uF0Ga&#10;fpJaP6QuC2acbd2rAvp8LUHyoILwG06hv+WKLE/MwIc1R4m5hTCG2kJeAKcQnKwB3AiGb5H1x4fv&#10;aTJAP7FP79ooX0AOigfaAK/O/VpeapaihOs4CyATHk4JJKsYk1dX8YqCYkjQKHg1jwU1Qw6sHSJ3&#10;JAmFyoCMQDS4lJ0g/U/V6pOEbhCyAZLtNS5ZLJUGqFchLUw79bFtRuh76Czfke7lDse0rPCVQ/Zr&#10;yF87JjKiKm4swU4SOfZRmgSqO6SlH0F43+6tuNYPoraL9+8fv5+1HRYLHcJE0Sb8+vbt9wtQbyH9&#10;zURdEi+EM7gGmQ+p0B09ydpOBSVKBaNlYIhgnYmGoKrxFkcRGFaqVMCF/h4ZryO1i+bkaSw/Ji9m&#10;+5hLkDwtK+Tcjxu6htCfuYAKpeCNe411dOAWxysKqkDJ0v8LlHUxtDyRRu4jppez0qmEQcZwFzdg&#10;3k6oOP6gbh5jLbVPXud1CEFWFUBY29FgdCvgQvpAPQF4z4eW+mj5aJi0pAsu8RTsaLDZdxTXjuhw&#10;4cYh1j9Ye/pQT6vEWNY/kgpMwtiQOigbIX6o0YWUKwffaeng+Scxrphm7oG9a4w5bi7Mz1i8FV7a&#10;7vk83WxTq0e8dinQKOi870LrNC13i4HOODL5Bey2Ht0dHUxpdNbcIYQWp9l9n/0Xed7hBpoABkdI&#10;LpJz5URFRPgpv2JbIbdUyU9Svm6g5ebYa6h3Xa7r5wPJJZXStRjU92mFyXUSLRNcfBxaL+TsmSi3&#10;Drb4y1njKsEhR0QujNI5V6+qRGNoSyvg+LC47SVVyajLCUT+7ztDQAI7KQWnPwbUnn6Ec6wOetE7&#10;iD7+lSlVAjn+DYhgDJHLZJ57vi96R/UzofrtmkBTa4HbakJ0EoBlXk9dX9uZ7W9hIB2uaEGJ8woH&#10;mg5kn9+wPL7iCp9axetFFHiHLU5hcGEZvf+Cif/XjTJAkSpre1FwljuaQ4aNckxBKFhPT0dlhAAx&#10;dCo3aC9cejM8Zbfd9L62LEZ3+vx8GpyMfP+fSM8+QTggbhUCyN/5XrK2x/e8MmMxTBKP1R9AXM7b&#10;2wctt8Hv/v5MPU3NExU4NcTBs/79UQDPhmwHXnkt+m1ZdAtetKyDOGrQPJRBsdkFPUGlBYEZVDaX&#10;+pJEEOH3k6MIMxOkh4Bm1lJzspN0A5rB/576My94+jIrzJ8/P6I/oolE1Bgh7wD1gD/NtZxBrdeP&#10;gnDMaP4mNzUu/hpkwY6dO3Ma0Tg+LIW8wXegHu9hESmSgKAJoojI1DdsQFfdjWDndNIwmsKF9PWB&#10;6u0/x3aEd32StCNhwKZNWsLPZmJ9qaqp2Sn2ZlfCdLLlZ3mldAnypz8BYWlBVfEU/dfRjy0d0/pK&#10;mVplHh+C9XHSuBJ3D9d3JkHCxASg1TtI0jJYI003WJxSJYgSYX+XUZ/q/q9lVJdSDEqxAUJnWK6f&#10;Hr8+TeHFs5tSxULgHggvYUz6XCziXsO1vn67os1sBO0rLbwu+gScOXRzrw7+g5eGd4EyrcWCnQK7&#10;3EfqJFHqsc5yrFUNQOjooLsXM2gx56f/uxqxQ3n161/TAcKGTuKkdCddFLkN0EBUg2XeRhSezJpe&#10;oxu7NdfdhNAYLt0QbQLdsBVRzfyJJokB1d446C1kULAtBtYIlcy1QeydwyAaxgEa/SGEyNKLmaDx&#10;S1ADMhit/5ZEHV870NNF+jO/xQF6ah9fyge/foDyN84bdRDWSH3aO99XyIlnoJ6GlF5Gmek7jqyJ&#10;9cJ+nSfSUlPdoIHDqVYvJAxz5LTr4nVDg0woD9MpOFxPYDjA/VWwHUfNAPTAYNyTABq4XvUtbIS8&#10;qA/B8/c+Kjz3s6p1LXDHjsoWj0ifUKoGvJitq59Ur8MdldkM5juVKVsuCuqI5F8+0si0wL3+GSgP&#10;PzDrizF0W6+c+88R/ZHgMVROmZhawoaz1/IMrFopWemErGXiatyI8/4tAhDPZWA0Um4WxgO/0EZR&#10;vhtSXh/EOoThA+3cY6iPsR0/0Rk+goU3GCzbtnpoNU44kc2zDoLbKS3g60+Skw/bFfiwqwXmHqUl&#10;DKuZKStckQtTkzMwmUJJU8VJWfnK4sarYWsO2nBB8Jgc5XhjevWCwvucfEOeDQnTMIYnviIBHSzh&#10;z351nggesni0RVAWNxb9ZQx5J2DnDMb+VU++fMLWjXa80/Sv1AnSNyEYVCQKObWQcPbUtoPeMBgy&#10;U8hxiqlu4zQh0A+XU45iWvQdq9lvhw1URhBevgQFPjbux6UtS8O7ALEWaG6ULuSErOngL9z2pGYS&#10;nTx2qhg3L1Z+yP/aLAIS6B/2vIwZRye6DkYIRPU38EEuRtfmj21L8NMSNl56c3MJlIuzgfAhYTkN&#10;CwhFhnJly2PlKDzRovmzZ/b05k7tBEruMdadFju4/cntbJja4ojMBJ+/5grzW6Rj1e7yh3W1qgZC&#10;qysw7eBJMF1/s2LWJ/tAqKm66LwtbOnzolJzKwbNayoVwnGlh1DIVhHO68oTu0h4h413H9fCw44j&#10;kANtFhauEZOQEDpkH6+49jiGx64KDQnJVrffguIMf5Iql4dyhtC35dq1+8Eg1mqBM6U9uQWnpfXY&#10;6JCFGkqqaFSms9C9mGOr1SbbkqgIVtvn23D7bREQEHuQa7hr14VbqNrnRJZzECEQi3XY8fMnezDE&#10;H6tWrGAHhyoT4JZNLCVKxHRSHKAltTiJRZaGuQI7dzFzTxjJIc8kFgEcjUVFGw3/bCMFJYFbwMQW&#10;lKcK4B9RTJoGxpZ9AVBogppZDCeFpr0ljoQlu5iPgLfVD/mrrY3DCMnpx06gAVLz0N+yPGUOfApA&#10;RR5CTygLQM+FHA1vjom8KyxbOvt0p3Gc1AzmDrVOqukJ6XDBrn2JStkOztJtkMFc5BEpvAtPc9VJ&#10;bPSzboZPISTtwH33kj4awaKaWzmui/LqpX9SQQGG2SFVaCQBcy9jW7EZ62NaQ6ChEZMQG3vOl2ey&#10;NWdYFcf0Dvzhn7j6tNCyJK01iRtpPrN9rfMt2MfSmXg1wT32/Shmddmxez6wfgEhIYlvfedTqbk8&#10;l8+7xn8jUm/FTqTUrgXm5tr/41r2nvXNeC8rz8KUBNYYZws9XpLdiIfsA5IQ8GnIGQ4m/MjAo5AZ&#10;4MyH8u70xlUaqAlUmWcvZ5otM9oCBDQEn53mTD0jB0qnrLqRPDFx0HQ6Pe36gnJyOVRXsANHxLz7&#10;0t9/thu4pDku0mUQqhb5XGdnmp2FSkoC/VTX9++2B5PiA6ecptvjQW28NSksM3b8moIsyTXCg4La&#10;wqDC3RWwftZ9x8j56J3n0a0O6Wczye2ihmdfWMlP9+LrYGhiX58hip5Z4S5AHxK3j09MJK7zIvNq&#10;Obg9CyohykESaLgZCkOKHoqeEIkI9pfrDj7mx43+tIMzc+EBkiivNYk9vCnGY2pyIxrPQUSyNbK7&#10;2XQ+H6A+7HCbM36xBZhPtim3MA5XkNGl38GJZaJpnHmR54GlxKsPnAJ+b46Ne3Ch4OfxEtnFvP5q&#10;3sjUdmBBcKAtw6uK/5WKvsqTh2kZrxc8sh0avdKWX57nJdeANm/iBFKTgatE3sT9c9yzeQAqDaI6&#10;vuD6cTyWdKQZ93V44J71+5QKD+st7fA7OBSLfKl6QEEYIfWPuEas5llZOWsh5/sQcfN1Cky9gA3D&#10;uuxI0Iz+mFSsd8LCulYuXy7hgLHb9W4QdaKWX4nLBCDcwtqH4pixuxuVrPxuyCDLqDYnyZMpfjQW&#10;cyJ944d/ekDX9EgMqTzJKTCD3VwVtPdZK0tLMVPp2Fw+lIF3FvplRXfbbaGKG00o0BIupaLDVx9j&#10;tONQeeH4FIblfo6558R2+ex4JTglF1qca01+XnYiDE6pyQWpWE9x1KKlkxOQ0sbWvBOeeMV1vjMK&#10;6FSs3PswA9wGgmOlVFhi0fBEGD+R8LX3kPuQfufL3chEwokUmL6TJjzwr4wW3NVOHw/+ySAHxDGA&#10;1XjEvEwXAX12RqIocr4RAu6TnS4S/lKgNvWoGRuhQSEZy6e9PNWBlljN+4VPdOpZ+iiu/UOEM0Uq&#10;ZYgmmsMD4Fu5Uf/MzoLpG4PXS+XGynPfNOaFll6yXhrXJZAgduhpOgx06j5+ge2mCUyaxydpeIu2&#10;fRfhODF/r1ZtlqrhzJX2UQ0ZKYER7emv9MflNBuyktySwJ2TcdbUbRLTBuACIfRaWpAkJQ4sloVy&#10;pQISEr6tn80Xmow8Wv3usE5SCM6+U5h0itFNYyTy1iY24S1uKirtyH1HC1s0cQ4j59z0t92LCJQ2&#10;YmKZFb5grutG/J3MQypGILAwStymWNpG/VZ9R0nUvu+7WFhZPwbzMJ3FfLbvPjkH0I5bEJ8J4f15&#10;pYUhmLh69/DTdAQWzL1x7v2gVgOahDmbpdzp8seLJDER22qc7yuiLY9HYEN/QHeLdcm9Eea9G0M7&#10;AB5+dzl/fj0ML5oCoxse36/f7I7oalPUaJCw6pboJyZv/dEel3M5I8s4JeHZFpQCCUAvJVkUMN5a&#10;eicgMy2TD/MYrqVUPx3yItkhFYSAt8Q8IBfEgbbykx1WiSbLShYW0T0OXTVbJKYZOjov7qwIvXev&#10;bi/pARobZSHXupL47gtU9ruhxdRBDKgNJBmhm8SC3L+MoN0xuFNsUOtmv1i34AY6BCwxhCRMPTu5&#10;q59ENqYL7a6L0h7ejnyDfaY2E5tn4Y4HJLQExxDgvpvRLdM3eol1YpR2GQid7FzegshoughJT8c/&#10;OuCZZHw5wzJJdWqZPdlP+yeFEWq3vQpwrxEUMTMXHGA85ibQpVMNRrVEVGkcWBGahqKo1dpCmHjH&#10;S4VztwRLTlqwh8L/cKDXvzFO3V7OEGCvIXkuOFetysWsWgmdE6TdgPb/uxTpFyD00TyxZeL5AAKA&#10;mE0TDUImruL7uZE6CC1mrNjlPTAkXSAJj+kCO6kSNvnFxykEFWUSuTu17bekTlecl0oS7pInS/3P&#10;51wxJCMtSb3I/6t/cAdA1CtLuScd3Rba1RrbgQGTQyNHBLzH6QZCCWG7BMvzk0ilVQMDgJXWTn/D&#10;S/iIKI/atwbY3ZQs5DQAabsZlROhCk8s5Kof+ew3tbkm8eAI+W6ohfqBLhVrKk1jMBspDFmsvF6E&#10;NO+rTELgQjeE9LQWVw5MJfE+Tbd3KQEsLo4z1FoeWMsZdBOJhVltVNEf2urbvXjkP1oAIx9qHtYy&#10;XaRIa6/kp+nAwx3ZBZevOnpX8oTvm/8yCLCvRvjG6IgPW9ugcUrO5jbN20GYGGhAfS4hOuTTsi4r&#10;Z2O4WtAaHebCHbkNlFuLt9mGPe1Aw19CDBNL8PPPtGrTEc2kuLLub1eW+9L+xbFNsu9nHV/oNAbn&#10;galP8VoOhhjTUSfZ9kz9iYikqGixxgsRkGJddGbZu+xVuithVQeL7068ZO/CTMProsjId3XsVLsZ&#10;bYKGoisKysMezATKRRm1/1aSZtIXZK830DYWkKrBj8kqaT07xyfhrga/nqV1/ctuFVh90NvqCEj9&#10;gddSFt0YJomcz8qJtHjyBX7ib96j8XdLe2zdYXFfhYqrivRU/GOXZzJy5tFB40q8X5T135J6O20I&#10;JdsAP315/Trqt93ThUajEs67fQpIpMDEG79vJ53g73CSo53YGdOhe20xZvjtNag0seFfefSuxp87&#10;JAKO6/iCNOaDiv/Ixw9JOJoWUq79AZR28Wi7NkWOLlvvT/w6db0oC0eoEPW5btUh0IOvKYGF2+Qx&#10;JZuVtFMPqltYGhm4D35i7VyPbvwKoD8Jc9MFbAD2XcJJMjTqF+Pz3uz9vexT8C33PFqgDOE0dP+Z&#10;TwEHqza1cAFupnkG0FD93i4n1/RYtH0RI2f6Mvk0B7sfbbyDW6eDMP4RmLCZfq57dl67Ya/a8lDN&#10;pO2EILKtBlcvaERqDbDrSjhNgdCsInwSQHiRT0TgF+b1y+an4LmYw+1oJCBO43xDAwXLyLGFXoXs&#10;4OqVSWQ9NoeMHex5pM5LER2z3LXnvJ3ccmYXr0WXg/3qa4pfJY2iT47jbh1bAiXxhVKeTz+FQRgC&#10;l1OvAwD3lM8aTiPwziZQpiKV8Pk3ukh8rss69ugvBdebUvuWjHjlBcQxemVlR8GV1vsa1eJR0BAz&#10;zW1nvs6lrvkQB9mtrjK/hTpQ/+PN+mxaw2CgWhnOSbU32d/QJ4Es/xNKiYU+y31JUiYCaUs9sPB2&#10;n0n1J+CZzoAqfWypobC77fejSPejj7p423AuxbZlgvBI8vlwDsxjLKBNwoNT6G3j6Kp0illg9x9w&#10;zyenCQDh1OPSvjY7YpwUdmvbBsbyyh2kRgoN895q9E7uhFUoNaXhNJ4ywROCLnZ48+hX4glx/ZBv&#10;YXH4JVI4ogRaS73ojQxZ3J9zaFm/WwfP6xXI38gZUjxWYNAkZz3tEwK7TTKD+z7vIRJxhMVZr4Sr&#10;bBxN0kJgMePTno4XnuC1tS2wt2TJA4tpVhuVCquWftYu7Jtr0rqUFdLm3yL/0p1KRV8zz5UGw7+D&#10;1x4YbnFdFFqYuqWEZ7CnTljyax4XsvHoa4/isoGLKkkJi8Hm6yB9GfI0JIqm6YCkPZ2emcmHM6pO&#10;oTIJRTwLuv/3+Jg+DhGgvI21Qma1xL3NEprH6zP6oZUgOZgIDtWyuzJOltCBdfPyetVoekQfIbuM&#10;f3rrwc7Lt+ODU4KCtEfoEKS2ksfrefQN1k/HyykFwWe5CO5bImX2Ms9egdpBp3IHjSeyWSx7RC8k&#10;+yphZzh5SYr/y0fCrULHlr5Zn/ejGMsYn2Svq1eXKjF9R3RS1yH7La3nP0KPolaS0Fz3LzlwKv5X&#10;bM7sTa+WjQFXTNR0KAhLPhJOBx6qzPrNMjIyy3bqWH5ud1zcinmEZkHdra3ndOBMfowW4bmonAvj&#10;txElXHhuITICPweNXtnjzW12TwOmPdSGH9CEtJJwnGAHeNKesRfH3c9pBUBi6MX8tqTrMnlf4zDk&#10;75wJdzxE1fVlnz4N3ggMrN6sNHVG4gR7sOHdzeI1i3lxpIsgM2p3SBJ9XbBof65yu6c/fNxtjhk1&#10;GZR/oJJFTxByztVs7/VqL42IWn8J5uls119Rf7DEWGuF/3kYKWj1EFqH4pl9MMN4wC7XAlj9IzRf&#10;tncsdBE7sRnrfQ1IzTfCEyOz/2UM7YkvwRCSJrJRF3/NCUAtPxp/Eyg3OYbuxAeLg3bgd/F22s1l&#10;cwBapaso7UCeqwQKLufe6dpRdTNaXh19tRNGRvThR1RTxeVzfQOAOgxuYjHVsY17ixz31IUrB1JU&#10;dNXhTefbLAV9ZRqAG10/scs7GvuU1VVWApoix+an1vMa3HcMJmDoOuFh2ngZR1RNEHYNv8lY7SFf&#10;retNq/MCYcvMErKxx58YZZvA0iGJ62YXIf5UY4x0afUUntgxx9OGhchQe779915QwIep23vYJ5T9&#10;uJxIE9Vvl5hEu7VfWzkVuQzA9tyUK8OQ1zUr8FzW/YbLdS+tXA5WpixbdRF1Ba6sqBtiJvTHUa8z&#10;/qF3jSr74KzWfdwlINQqtBVxT+tK2NpK1mjcCQ42x5TaCCuE2cR29G1Dr/irpcVOpfatK1XDJcvb&#10;cqcmxxpGt391PUXR2MowJGSiV0xjn1g2+N+CVZ86d/f5vlpS59hDyRCbTa8wcmwRgOtzmVl2u0im&#10;AkHc+eMo3uNFG4MZ33Kn6S0forY/n8tfPKRyjo5+uaGVpGz1Zn6LOY2Lb0/svl9WqXKn5QZRAtF+&#10;kp942+jKK9l6kH8hLh2iqnmxNdM4RQtPQtxlh3ocREyugNRLVEKaxxOuv2K+LObxBehHGn1oonLZ&#10;BSvo0aA+NcKXpPeMPzTUWe17J+MrAOVSmHEm6r7ktFKECzbYDopw8fmQirgzQdCmdsjLllRqH1U7&#10;El91S8fy8P6jZH7rj0tCAnBnGc4cnK2V/dapGPt0/9ejLrsZ31wUiDop7NVuJr8w5qj0Hf3DsCy5&#10;HEs9uFyqRyfUHdauO3MLIfcLyqperuT7/sqXdT4FxtpojoX5XbSjxcL72fReWoZA9QvqyTC248vo&#10;h1QZePJXBxoUWHl3b1yt5CuExUXhLpf/UQY/7hgDXXFquQLT1OivxFJcw3i4XxFYAxVc0cqUI5D4&#10;7TPN8To23tP+CbAQWVT27917Vsc+IU54F/xcl9gACixsh5HdQ93e0iDStNb49umq0QbDCrLiIshc&#10;8BS6w9PosMwMbHGiymFg2YYbbmtnMsZrIGxlIE/BzRm99YXBol+/3gZA3nsCX7wOuPCrBHxFn/dX&#10;6tYdFtpCXVtgyFLTv+YwfiYtBL5Ml82mo1skPvU9xIsoxxeEG+0FJvTu1y40eMxLvS4f6C7MGpFU&#10;gobzfxyB7wq3lK2aOZSxE+gws1IRpLLkDAYztlk8YnTZg7K93EMbTpK54s6msl9H+x5yhJLuBeYE&#10;J5L4RtYl6mJEAkIG7/zJsNuF5QLkkWQGhCBs/bFwPcP1F90U/IARESv0eNGCBT7RcoZGHMvBr/ZB&#10;eEokws7Uuug9Saq169ZAp3knumYA/rYb6n/iFReYflB1hemndDT+5bsYgjSgs7+W7CdJF/7JLrlC&#10;zePkAtlb+df9T1fIM1KF+fqW5hUKla16e2eThgNsuv/0Il2ESaPAIxPHZqmgzNaGCuFdPkfUq+J+&#10;tV8TkMBTYZPfdgpsw7uMhJpbe2Ovk+LJtUf/0KiAkFaU5J/iBbgdppdjaqai3NmHOUJbzp27VILA&#10;o5jknQVtQP+KNlv484MtoYdSEobqrOOpIDrb9+wrNt/acxe2RpmaQ0WrcEQGtsJfmVPSdTt/ePfx&#10;HkpQqnwLwE+/FAEZBriO+Ckw41aSUbSIzksXV6zk29hlyJz8xb5aLWQdtT4voo28VorVcJpsxcwC&#10;2RLX+U+WaibR7PgjXsxBYM/NCSjptBPir94+7bCEENrq9OnRh1QfGUl5QNKBhfb67w3oXDFFufky&#10;bdDRlqFzx8nA4z9UG8kP5BFd8jKYogc1bO8sVCPqf7Pelhz4rTXpsJS6+um0r5jKszJEqmTjdVAR&#10;11ihpW+K4yAwEMUXsdKbpIIEyhCi6ouFQ+fuFTJUG2bXqVf+te74s+B6U+MCHfsyBGlIwyZmS3Ac&#10;lm/JvXX84jX4TtFGiWLtVz/Pe/Ilvvx0L8EiNe36hzp/LBoV6KF3Cnnll1fzXROxuL6NteGxuJ3Q&#10;2bCJI6i8dt3htLbRP92rNCL17OjKpkCgozUDRiVqeupwX8XwtpPA+OQ2KHRA+9yLNsEx3fsdHlBY&#10;buXYV9czF626Hij3EKDt/zh6uogk8PmwTeuuUcbZ2NvRvdnkTUAhiKN2k48faOpFceXXFhjdQy2g&#10;S7E6dSB3kX/6UftEvIzdbNO2zKTyUIjYD7ePdnUjqLEbWD35RMbjzncu+jwasXBvwPpdTRuPAnh+&#10;hw6rZLvaDHkNeZx+TZKklDuJamX3s88Ifnb+fT6rDl8xB9TsZVCjSURqueno7Uw1T7kvtGXxBSkO&#10;zZAJFxU/LtLgs04mZkv7+56a4p43ufNj2QtVl9t7k19sOqf10tvy2pa/Z1uPpqis9drCknzba4tp&#10;RsK2BJfAZZUqCorF9jHvN6i/MD8V8jBkYCyvXSZn4GeNWHvZVvMnNQN952XPfAizM7Rb+dHiq92H&#10;sdST6pzVQlvAc/4t9gtikdQY7Kod2A9UfXlg+/5WPv77h7wncJLWQCbEIyHxObDrTwBbW34G5nLI&#10;7God0dbR2YyxoI7hW4QTb74QiURayOI5cy6PQv3mF+2cgA2WfWLI1XZcZfNe2/Y17NlmKXFFzHbP&#10;D4dwaG5FN+kIHWTs3iDuE7w8PzacPMiIbilEPeYMJAGUinV+H7dNZ7P9cYqnMQduswgldX9bz9yC&#10;vqnshalxxhr8bMaApLL3pi70XS/5knngotCR59/Yao1vcVqtQEWz+4nBEYTifL3V/XatatEqVRPI&#10;nULB3oCXcS22Vnuh8uDwXdb2OvhF1IMmPuPsu9TZ2BmwvG3/NhXmjd5vXbEPNxZHWKhOyrEE63hL&#10;+9R/etCjiE/vIy180m4g62Fs7AQqR+iyD46mLpxR+fnSn9k8UtbnnZ0jDmlqxguCguYVT/qDsciJ&#10;afaS/CzR6xz2s4fimpwMsD9+v47Xq+Nt1aesqPeX16+2Wd/9lixPohgC9Grxo7jT3Tw5VwAD/uHW&#10;rF93eFPZhh01AV6H+PMRg+QQe9xxpe3ugLdZGW1MgpcfXN5RfSr38fXml5qW6PQieMSFT6o1MaN0&#10;N0XlEaQeYjVzZrTgvO758vZldIhDChC31j3kVsgRaSEha3uk7qxNLrKM/5IFsdN6IAuolQY0N35+&#10;2O97CR+vIStq/+UHq20eVF5WCrp9s2XY/+tvGiuAAyNy38t0Div/PbHssRDBmgi0H63i2TlbPWNk&#10;b8BbGUHB7kdt99Zt5ajiL4sb94iW8qk/nIR5mx9naPoMFa5F+XztzbFPeM1UY5nr5gTx8HQsqWP1&#10;7LibhE2dysQbVtpax2xw5PG++MYjQGVPnjGpubZti8RlBV4JiHSHAcrIxtStubV3T91lpQA/STzQ&#10;W+sx6Cn+cVm3d8t2ATx6Yi7Mjx1DXXzomLyZnmr9OjIxbq22u9HySSX72tJdEO9nyb88cueBCIeV&#10;n3zraH5FxSFhqQV2xmyOIIEs3lnWHE6qPQxKte6axvVlRr3AE80AdrZKS0s3BbeOXPCMkp5esSC9&#10;zB3Q65eD2XXX1284Cekrs7mxla2yjLckjNJCB2wGYWM21fXYJqDKsVx1wcCXL0d0VDOfH1oc3b1R&#10;gWmj3qea6uokDNntBfP3mW/jxr8bXRI2nPLfUzYloGpjIfCRDTOEj+B0+xl66VKeXXL7UwQmPMKR&#10;bAPr2uE9L+nz38QcJpWhHbkeU1+PaCcKck3lvg0r4e/BgOw2SW1LnwHD3dfv4nG3uX/If381v2Ys&#10;mvuFqVMEnvoieurnd7kWUFz3nbIT5YI3qra6atikR1jaDD5UCDjAg8LJUPPV85ubylYpozdH5J5z&#10;LHpzNQG8nq+73rcPhEDHmVVkluKkeVQdMygug/mEIKR87atnHfl1J9KADsQKVvcoBMxWv4uIbY9R&#10;ZJPzhlj96uw8QkKTpdVv9RvamKr8oE4cinEO/gvI3aQRH9xGU9kW0+pTcQUtxKZF1xmmWJP6QthW&#10;pUzJZmcWEKEjXEUA1UOCkpPPDgE+z8M34v3PN+qrt8k1oLiKfoQ1qpklt7e5/2S16YQhWD4rTnLR&#10;KbZQQPARoP5DpZTtbFHbmvPdLn5UdfnySSzphWqo766Q0QsidVugg5IC5aGd+1dh9hITkDoYEEJU&#10;HPRUpb7uqVpz67zsajl31/mBfpKau6veuqIKV8HHRW/bdrMx6KSf/JDZ+ie7XkST6z/xVuNLiPRD&#10;O/mFKtdFFJ/4vE0iubbKZbGo8deqVvb9ja7b8VfbodNuTQ6bu3DmxQ9RsjO8/dhdd0aSJ51GXomD&#10;O/d5P8Rb2MdttNAnxcg2obazIWOAQ5XvE6y+Set8C56swiQxg+Tc9UitqAdU9urOXo7l0SoygX+8&#10;8SQXgCZP2sd3OxImDkXsikvYn2zDAfZZvG3HYqvWGQaA0V+kKqUiaJQzLgKDPaAs/eT6K5cvCwIU&#10;z8nJmffOWo2tDR6t6zg7NVaPIIxHUxLGpCqwSbxjvHvs2f6CnZn1bg3kUWNMWNxSgbKuw2f22H18&#10;du1K+rq29waOag3dB4eOqjN5v1z+YiOjMqkZaVK7YebaLvtst4KCNrywWRanRu9Mnwz4eqfjLh2y&#10;uxUZ2YQ0BNcegFZCtaplmL/1OQ5Y/0+IC9lRzz488ZKdzqKW/W5u2RdREF3AABGhoNbyEfIkWUqE&#10;qsSKeCAHb361n2Q+V3wAjv6V9DJtoQl5kNyN1bYctSbY+NXrX1khAYi10jjQDzvosSP+vrdotozv&#10;7uObog9abH2QzRcrMy8vj2PZ5R22lw4h8oumCCYHfdjl6jrOZKtcppfZ8xIiifDiE/0wmv551zk0&#10;f8Yu84oIhmLRAg6OYGkswoqqjjWidWLAcee9z47zdWnvRvO3GLkTndnZ2aocoVAyCAAeiEOXboSA&#10;6OrQspdoUPtABIwXHBOZjWEJtrwulpDxyuKCqGJHdy8CEjkyzp4DpZPeRoySSsA+NQUisaLWThZy&#10;vT227ccCzZhj0hGDlnu78Q8qsku6W7QbEXTb8m55m6KvFmTKXSA/FovV+yxvE9ymcvJn1u3GK5zq&#10;MrbNXhtrra4Z26JX3IX9DLk8c+XbMH5oIiQS6SW8Z//QvLyt2dBRGmfzebqodbOV/7MTj1DYEinI&#10;axtM8t00Nj7MP/XznmB0y2IFJkfksynwGRkbWy3K8wK4xXXwz8jc2bMtAd4AD9ZXctDDuq3+463Z&#10;goNCWXAo1qZHH+vq0SHBMvhu+6G4YG7AfIVFtSY2aPnmYbkCXTsrkKER/tCbsyD28BYfv7u3rUz4&#10;T/lWY1XZAjzZlixUdq1mW+DO79EF0evx+hKufe3AtRkZGhrYDDL2dLO94Dq7RqtDhypOAxvHmARW&#10;3QgPJiapi3S1H6AkH1kkQADfcr3nfD0d1cmBa+vYFiSBlDVE7Am8GlonErmBpbcrezHnmJevkUsu&#10;/wtS5DZOBPzX8oDwgFZAlhP5P1mEu1GhHk5KSzt4v1/tECoZ1Lm5XsfviggInJ6Jb9SYuQ0IxjzM&#10;hed7ZYWxz9LVLyOjEzcl1+8R89lc7J3xQFD7Gk/9IfkqHsMaMHFqPC45SPW3icfTJvHDumdvwzhr&#10;ZVz+xKto1Pv88baJE9lo7c3anlnf1WUp7sXsjkx00+TxFfLyFSy0DW0vpj/fCahHx+RXcVYcq0Yz&#10;RFPcKaEuDeiNalgmaoq/3ljDzr5tRp7Id4wYFAoQPAa14A2E1v9FNbWTV9pYG6WEUtiavv1zAqPn&#10;F20QXg7PZLbhixrZkGHAeY+YjXbflq2BZLEK+XpxlFa67onje435qsq2uNT/0Gn9UMpY6JSv1pNb&#10;oDu/Vu132395feIvYPWBaOZyOnDKBQOT1guQrdnP3ta8r/PAoLfNqfywssW2+VNwtn8Mg2Tva0Br&#10;OfPMi37T5yYriBdHJPun3DuaCyKtGy3C+vUnlOzGyDhgbPswHz6HFVeP3z2DxaMD8E354Zf1Qr/T&#10;6I2IJUlU9mH4xvOFIVYoo+7QgA5FlKqdyLd7qflBvPqiL/9yR0AoF7peotm3jm6/V/aS2CAt+nIY&#10;k6jxxMgUEmg3seqMlXFUuQHCtb11+ngOuGqI1FzRkf0qtt6s6sirevFkUh3KZZ0TaSACtB6MZi7P&#10;vnO5hCvtPXubIHtovkGL4I27t7N5/YbloOMqOaakVHBUwK5JQf5F7PS3ZEET9Csfty+K47P4REYs&#10;CtsrN2fHTdwMWWYOWdMqjGw6DDGh5hn9cScJJeHfU7+/X2IJad80OjQJGmz0Vq02Fh+dCr4uaTlb&#10;L3EWTHSnNQndFjyGiS1WIE7/pKIkE/a2E7TGGIJfVOn47z0upAoq8HpXw/XoJFrlT2LSp/fvkD7r&#10;7bsaP4W8Wj6N+qFabD4J+NH/8csjKOd7dJ8kWqgKmfIuGICqNdymS19Sx5Jq6AfR0Yc3HPAfpiOb&#10;dBd8LpsKwBMpo44AdXlN08iXmdmKl2otk9mispUAXcJXJaxTfglL/p1PDaHOdD8nazR7+925pmHp&#10;Y/htChX3hROR7VWxav7q3ecvtWyXwt0Y8Pq1vIfupCWkFtV6+/d3Pz15XMgaIKAFrts2EivdstJ4&#10;19L3BXShW9SDB5q7X4oEb4UcRYeiAg9t+rISZ0ltEK7LMAvVzIUsu0x/HHmBWxV1zYsjaCDDvLGQ&#10;4AQIRilOX2qrackdudDRHZJalsti0gHdcednJ6Rm2JWiXurr61u3Uqi977wlOO5EIFs7VVvb58+o&#10;1J4+ZZQRbfpNE28ud2tWxE3OWgQ+jH9pCIWrukkLWnmjwyHLrjLZ+uw3Nu4G39V4qWtyw8/zu3Xu&#10;QJM8hNZtMVQpYXRdlr1E3fCzufns1QLjavWQMGeEVBXhHILJzKykfwerlRzaTCf/rheygHeX4wVN&#10;KpiypQHJIFIqA4ei0onybZV9Vzqv8qx9vE9DEddenfveKmOtADXd/BuFPvvX+BeRpvKBmE+9JqSy&#10;XKgQbhg8laIvTgGhJ5xUZ8/2ir90jXHSFNooFpwe9+lvRibXUW9mBc4r36kegfLtzybYb49AbXIB&#10;uefX8qWM9RblnUHbCd2B08NHj+rp74b7pvImmIrFp4a3Nx/cGVlunHTEtRJSAgiadOnzg466W/3l&#10;JSD5PHgdOTCdWEhZXf2WI4jppntSynmmIAuXz5gxQw894Fg0EMjySXS1xc3Wm4uTUZ23ArV9Bivc&#10;l4SoKB6elGfYsZAj/WkDx4B4qooSj6mJtHZwiS7eoaXQhWaBpdWn3yDCueg71u3ca6+64Vnd0YpB&#10;2GoAHO0+APCTRvijYZjVtdyB8zIvwWT5dzmVlpdLOjg6+nfAwR1KPxIDiERZHevBkz2Bwn5EGEUo&#10;XWI+8ID+8n31TJ7nGAY2hSEA55fDUKeW46K836RhsPUwRHiLGQQWDiBsf3dXxhTBgbLMwDYt8IQu&#10;ihBvlEnzECU1+RALIQLCclPbNDekixyEAI4JRoiaKSsdHwgSLwe9VGK6DznXM+SBKaGx06aBpnCK&#10;ta5cP2u7nwkkn3IkgXgEScL75zgYrXr6ZNYcRB7grZoGkw9hO8TlMMKrCII9RbLDfh9FtaVCx14J&#10;/qRHJ57XvQflMxhOXt+3f+2PYdx8TY9qu5TUzljppQzGTVEuXq/p5GxmPEauPJGsXbdu4FltwKf0&#10;xv81dexb7vl55rrQqGp4X5/FSs8jMa3yuBI/mwDT5bd83MBaPAJUlRkVDJ/9FU8oiQbEQBHaHHxj&#10;dgzVPJp5Vl1HZ4rUIuJQaj59Z+3bsp1vdKNOte69/2gBttyeEHN6NyMoNdGUyEqiEHoh0vmDUyHn&#10;/uZgVLpbjmOpzZaXnlPAd1KL6pL3LX1sqItHrnxQ0Di830BvLuPkK5Afkp0Qh+YgIs57DbCHdZn9&#10;FN1Ec+j6R0ed8V7jH21eyji68FLPbPkxaFcfrsa8eWCi+o1o2trt22cxGP3vPn8OKsXfjqiQ9z8/&#10;zPH8jAy/k9vwio9galPsUQgJjS0sSmOlufHwVIBU/mTiRTCN9W5HIcaLuciHfYrxVpWy9CNJvzLv&#10;Pndkw88PwOB/3MKgDsSCNdtl6Otl2s2I2oa07aMFwN9roCbmX8opwrPi/tTYjyUMxjePpNquTFz6&#10;uZCfvtCBvTkOXWmz15UrQhjWPdoaHb3WjaQA0Ga4RksL44PoIE1HHz/cBQ/oZiYt6qe4x+rA+AIj&#10;sl+FXEKhhoLFEPNi3LjqFIKoOaKl2Rjd89lC5Z/s9JiM94BHPRa7P7MCIvI0YK6ff7NLwbHmn56w&#10;2nrZzG4W+o2QzaTkJCT4ITKyDSJr/Y9I9NiQvgNTFO6pZB18q/MzShYhSXv2Q9LyBgEsQVDytfvj&#10;qM/m3XkfeVMMxvuPgO7J6L6Rs3b29N95mibWweXCPzw21ivPdB8goAXW2YXYWFO+xgyM9Mia/sAU&#10;hVoRPo9RNRdfzwcy6ZU4lwQjcJ/1Am8+71vhv9ySa8mjPdgTKo7uWFa9YHFH71NMeI8M46YEv8QF&#10;za66VIt1fi1fCL5ZVop5cEPbuQ6whDvNYMjrvfl+xodoPVRB49ZzuxdkRV3Ix1SFGyAGU88gGvMR&#10;gkj6vVsREceF3HCGvAzx+TMvyN/HSe3bo8+4yYefkI9EsYz5eSKuoIJeKQZjVK0t2e9/lixkMOqW&#10;NedhpjvL1f/8ZkXKN6TN6wGDxHewQxPyW4psuS7dwkwGZm620KhsepQnQKNOwi5LAxS7lhtMAuj9&#10;gHwjy38+RL7kLpLY2bfP9NyaWgv5VoKf4PuJ6dPjVE/iuvNjf6z8cTu5JUAuowrp+czKc/kb7f75&#10;syLJ8+s28zXOP0Q+2dy7+8wmcFw1xqaWo2yetIY95i/Yl0jFYCRAn1I+duxbG1qjpZ8p1exzH7PC&#10;OyTqf8R5+AW/yX+PXW7yMk7O9JAC4z41PEQIOs7tsjeAMkpIgSkcc72+QvhnoCfNQZq7mzeZIws/&#10;d6P+doNA/RwGnvbTr177mgfGKyTasXwWo+4RNviihUuXGn06MwKAYDC0rg3vTgO2742p1mZTC4ts&#10;vY5zoljKIREwRracxP1yFVk7h0+EYInwBRe04ZqWHhkdnWsFIMAljwWldicdz/TDkUuNMN9LCqr+&#10;OpDL4PNzDIEM17dJT4BHXBwWAhhf+Pc4h12BB3YLuWUfZBvpvoMQWRYnWBes0Vx+/v7cujgKBDIn&#10;AcE9wfaHk2iUeLRn4QftEi9BY1KKj70ESYULUGt39gNyu8A0kZ7wInUALpPE9PQj/sMewk+gD8qI&#10;s0K6aEVqktXRVWikYBd2pPpToaOol0e3neH5otg0KQT0lSs2zQrIzty4Zc6L7NPVzVC2n0AWyAHw&#10;VSMRUudOfydPpJpzFtoKOy9mShkPsDdK5mNmYsNqX85bvBMDdbjampuXqZiFwuX4HkpaokbHoIBL&#10;z/w+CgTeCX/BlkF6nigI5NQCIh/AzNN+gVkBRL0RgcQSGCnMHg751gkLWBtrHh4Id372vR8A2I2V&#10;2IKNhS/JBf8Gi4jbcqJrUgcF8UcIlneCMbO7GO+/WN7iVqlxCtqRRNyqcmPImhlxob8HbMlyzK1L&#10;1x0UpT2F4qAeKRrdIl0e8x4jFlscEYzfhXv66GUwnw43Fkdj1oxGr00ydScUlSuDS1OtLBupyPRH&#10;DMUBuzHsoXX9NsQ7BGI51lo6GNiN8YwVw7ZXPw4hjjiKH7fncQrJjx97XzrOSWMu9po1wVt2y3Z7&#10;2Np0M9YXkmd1EbVZAZG/67qtW+1Dnj791Y3rPi8rS4a1coigAMACuYTxPfj+8sTCMJC2CwE2Iofq&#10;fSD/T2XXidFUu7wGJVwup7em0gIJP1onh4un/N2759bpXEW2ZbACapG0F3PyFoSE6SXjtBbE4QPu&#10;KaGx6ZMJnUyUZIU9mb3VH2d2dwhICluNWUyMF1pn9fDhbiJNSdTLXT+m9nfh6lNk7uj4mj0mTZft&#10;qV4X8OwcKxEb/1pk0V/wAxmwpjJOcf/F6zRB5LcgPX69e2PEa2bBNjdI9j8L67cOd01gdHi3TlnC&#10;lqtIZFHeT4g+T918FeePBqTRBYVwKMItjPPO4cs/iY5xI59TVQcvbAynapcn1lgeOHPm9xO6js4C&#10;ThB4PwFhm6C8llbqaYyBmHfPRR+HwRr7pfBAYx7IAYQ+PKuClPNTx4c5jFO3Xt16T35bD4+p1ciW&#10;i+TYcuTMUftGmMvd9WDPv4aLRgNZMFko7ZDElHz2PZgOFQ3ZCKTBv0PhZmdre00NVv4jLy11H3eM&#10;4mqU9WI+e+5ctuBooAhuWzgaTjJVt7x8SLQSjsuMLmAAGmo1FgEwkx13Q0H3lw5X65+HL2dmSjlQ&#10;yb/31xesCBbmpueqLkKnGB3rHQse3r79MQ8t8MNu9PfdkCl/EONcxJvUg12fBzSwlKqVHAj3f9IO&#10;0o4/Ynv3iBGkxm+Mk4ZR0Wk1r+kl4Q8eYTTdbPhYkmFqtzlVq8HmQtzuaryD/lODznQWGkJWpDOT&#10;sqCNdcEetQjrECMVE9QesiyOU/AmAEvfs4/1HAQSgXj325Dls7G4K2YDJN0LaUQMaaJ4TvVwwLrD&#10;6A5uYA9FkY8Ij3pJCLlL0SCGiSC/ao+Xe8Pvs4DYv4Nzmo/fgTb8AN0sXEWV9OR3M91HX/rBra/5&#10;soGq6rUvz3K8LXbR2BdLK6sM5J6ZKNVcRTWCOYo7nXH6/oRMZYNmxG0IdZ7igL1U+Nkgx9WpEI26&#10;ubcQPNvOgH62azZMAAJ4GBwXd6oHcMxf+96vE924bmToX7JiWZqgDxsHWNI1APubqODqdXBFt2Ef&#10;jp/DrNMLVRENa/7nKzHxDiLrdhLjjj/XYLbcpSNByF88euTISRHU7WNMvIpliSswolbZXg+goJhY&#10;ESZblMl4MYOcGP1yxgBhSS2IDjDn8aoAYn1QvZuvD6VjD4Q4s+CJdIouRTLRzaxjby5qoC1cwmGQ&#10;gP77RtnktfnVFJ5iuPUvlGdFbS/zRBb11qX+mmfr8x6KNOtugCM1QC/n3C7GpmUwVofqLw+Fn80d&#10;FY477gPDQ7hvqvAPHsgFkkPV7W0MIS2C79sQEjMiqaVVDbRrJcJ5ZEISI7EJEYg+b63XIRMjW6NX&#10;DladQPPH1n1y1UsJel7bJQXHx9Ubz8QRQ9gFy6/4k7Hl54AIkmU1JxjIzSQwygaeyf3xaQgpFKUX&#10;n39HCVCmcH6tDehc/JHJsWD60JCkxN9UTqDP28H5o8faXp06w5PIpvabdmF+AHU6QlCWHjLyQzEM&#10;XE5SsmYrSKvrKGaDKHAexd6MEGPxHTuc5DW61+JzU/mPc8F0nRdzcOnEtZPcfIlkhIYhNhmhzBEb&#10;R23W4nwhIZHSlOAHd9iWM8nRVoUG5oFWJH0SRt3qDK5aRab7qC9j4XFxAcSajdCwEiCuK8QBI5xE&#10;C4a+5hXkzby7r8hQPvxR6AdN6A0yj/ZVv0gvSge5vAXVdvvASPyVX2fPni3DTfQReUCyzSiitLHU&#10;u5B6f5X++DLHKVLXo6FiDXXZp6Dw9jk1HKdOTwDCmIq2W3AfH2GMumKwhqHbtm4V+FmCPoHBsLrd&#10;sDwUGrYlaPFbOzruskEA/wxFhB2EBubMCh2QKLTQaYejsQRcWSzyHRObB0a2UH2bbrR4YMRVW1Ex&#10;fyu84x4w/3WtTNg4WnVUT89cP9v5HBLhZN3Hz4vgyeKBI7kttgifDaO5nmOA6vH9zzBJYs/9lC+L&#10;0Cw/jIvT5XWukaOP5Jn+4+WX9dbWK7aerLg9n5WvATkJY3oISP2LW73sy5cvSTBZ+iPO9TB03ON0&#10;+c6EyGsFZZGj/Dks+GGSemqqevgORrhmJxmLS0k5Zz17JqgDHydMhs7ouHqhH5t322nJpbmLnfvB&#10;MwgtDgahb1oHazN58KyXh75P4Jaw/HLpykTjfJgCH1ifX7YN+8832u5SQPYimuw9YWJs3ACZZSpL&#10;Wxmc/AwG+1kDy3sQOrqOD1fyYyl54sbrgzndEc7yLYPoYzvxnCdQinyh3q+7t5e7A6KPY2jyOQoa&#10;pwhMQXEUCCOdmYS+DqQ0SEGO4QWU3LR7C1niUxCRxCEmmP/F0iEc01/NK03RV4PqCrexsgoHbBnT&#10;Cb+U2Lp1eXW4m9n7OCGrYQ43uvME0WiNv2BwXtXcBNhjiC/FDTyDBEUWwZwRE9CG+4zh6acqZMOM&#10;tBqtXiqRHezt9xHSdZj6d9g4hMEY0CgARb7bukbYQ2PkUfmJ49gFGGImul2H5X+d3wPci1NSVj5w&#10;T8Lq6OzbxWxb9blZWVuofvPesZNF4R2xmiDZ/lCNvsHJGgDLBySqSSDqV4b0Kye9mJdlJ4gD6sCY&#10;CTFxnJvKAS043eiegmzuzDaWE3zRHgDGXtOuScC+566Nu0sPnsGEcodKQYRxx/lhT7fRgUwV/IU3&#10;x5iccF9hZJAuVvBeKKbvoE2xwpCZeKpuFfeMh17C7Omn1k053XWfGqtp/xDk1N3drXHNlNipZBw+&#10;33/9WrW+LjI8HpDes08gqMKhE9tABTj+QrZKY3ERkTO4wpMiMB5qTbXJnt30hMkcfqVbGoZdlCQ3&#10;S40HcPiNos5GJayvo1P0B2NJUZkC6N9GdQiElPepbiSQnIYBpCCxvwNkx2QBfDcqYRPigIeghmV9&#10;DxR6VcJmAAJQj6yWxnMLjTYyxb8z+XPtSKbpFGeoznksk0ga30w0uV4b1ILCDmlrJ+zqUGHB6ScT&#10;hbKRlZtbDhfJ2SooaJZWOt34QfuhCIXF8MhI94aPoyijAJHwZmyRCEEFFxBw+BmCQw/hEk1AQJ97&#10;XlF6RkYBojiymRYtGszFuvkEXczUhp/n/IDPwQxsu6TI1hIkz7xVCY5YS8SccrCx/aCoqDUn/vYi&#10;DNUTb0ax91AkXPCfPBJbwn719LhXU1FpUhQUC5OCFTrhx7HSP6cf39G1wZJMNEfGA91gOUTLWRad&#10;orjvkYJctwMo4S9ErEDbyRqw5i+Qk6cYaaVy5epVYcDt9pBNrYLWqBOKpbbXuAk/sDk20dWPSAI+&#10;6HJqyOS8rBTmtCqkbd7LRVa2LLqcWfpVFusJrscJiDAUNSWXbEmJyJO7UWDspr8dJpPEZX8/TBbS&#10;NeYUOZsbyMjivpxis5Rf/5SDpbf22+4P2y4KKcatR4BmWqD+1w9wQzpJPU7u3pHWYKNJQ2Sw/KRN&#10;QyHxGN30ZN1gjIEpDLAYCGBdTC8G99YpZVx1RrZ/DKDpoBxUBL4dbV28cDsuD6zBBgTVvcUqPQ9U&#10;Y8BINWKewlTNZlkETEFb7CzDMvNCVEGkIy1G2AXKqcbaULzr4EE0b+lHDga4wROsoqGpmY/BQU8u&#10;rxLf5VL10Pc9Utf+AlD2oasK8HLM+tpgNApRKFSZ0Mz+27MCTe+Iyc2dOoA+LTV1P8KCR++if3yJ&#10;TeiGsUIuhuRQa9hJ8dvnqPsHsNNAo5boLLLosoVHswY0SQxqTd2AdvkK7CjUaqCthPkB4PIoYJ3V&#10;NDig/+WOuHnzGwlKDPK3xWqiu0EG2lq/9WN0YmGWn3ceII/8cOOlni+j9nOEYizOTtKUUPMHKVEN&#10;vmI3/p9/eXuKt+onHH5uklu2WPahkxXm9YKao6ITvEwBWd8o6we6s1+EmI697/6IMCEPqtdo/iDu&#10;9pWPEL9V9aWFrpnetrblwJjuzaLzK0Bm6ZMzXEUzZ858SWIvRLHy61dN4FRjRwFzqqamprQ1diWQ&#10;HH/qhzq6Vs6TtziZUsCHhg8R6nfboBI+Dw3oG4LxNQ4f5nrck4jmMiS60QHH3EA5NIpvcVWEeTEr&#10;oI7NeX6yMvoMqugFtn/RTFnfhlADTHQj+Ff/nPozbgYGq8lzbAHD129qEjHq3c4DLjm5Jhwp4Z0D&#10;UQI7d7r/AP9JSvgXGqqqcdpVE9QwchUlUety6gdQ0dUzRJNVHdcw9miECkpg1pIjRkxpJuimtHkC&#10;filG++URaG+vUUcf76BGdh1lTHCtXn0bVUJaLzZ3AjXaawFxIDdMTSx4o27+44dQbhfBkRQWVLjz&#10;mqTasMBqzE+fBzTS/0f/5gOYElT/vpH/Njx/GI4j607b9dotZaqD0JUPoY7WxXcak7tt8PIHUSzI&#10;dRXSw+OfgUrzCe7Gg5C1Zt9gVoAPLwOa24+Uwk5xtQMg+CIVzKQeAUxIoZMe7F33ZWYFUqzme/1F&#10;A4I6ljS1+7YgxYoT8d35Gzds2BGB4+gaRrGm1Jzz8R1eyYTZagxm/0P8JzCAoeNtTUdU4xvbrP1e&#10;mCrxGTFWCWCuynCr5eCiryRS5RpZCTvxGbmhZhCDPp69oLGXQH7Yy7CmD5j8QrpW5iJeL0wK/7V3&#10;lAtqTz+k/UC+dAYP4gsG+AjdkO3BMb8TxB62tAfCp5KO1tnY2w9u92I+IAHl3OuaGscpzxmzIlbC&#10;q0fEz6mJLFxR78Elo2szr5yo442GeNxIO0F/xT7HNczMzP0sWFOrIWrm3um63atH/wyXCi6cOpgB&#10;6QcBd5vB+/5m6a33hdDX6k6hjdGgIhMD2ov7MJ/AQvFVPTKxPOZj82/FoGk9qh8dCc/44C66KK9g&#10;hSwbhq0bnOVhW7CCKBOAFY2EBkO+s9qi0zqPsKZJGFvaAc1Yciy4fB1WmbLT1k3gseZwXplPSww2&#10;CL5tQ+kw7AqiKjnb3AQk5wbck/fuoh9aDoRsz72BzDc1HTiulvS5zzeKueRwtee0TgNGsQytnYwA&#10;MZEaV6l2ymMtcuee792zh5PvhtsGPj4pU0yU8x4bxtPACMdiUatnduB+1IVxZbej+/bY/IFJIART&#10;BjlD37c9Q1HA3Zi4eu2xE6wzZyps/WF1YgDfAol1Mtg0sxsz5OX3iNeVvXtIoEVzLyGdFZ9aEOCn&#10;8MBJn3ygVXVI4vm4W8w/EmIw7iopBxNcz3IPHjzYTtN9d6IxVrNrwo0lUoNR3N5LlQFyV5v1Ks8L&#10;eDPlMs8ZR88UMMY/I5+3z72at+miEAKieNYQEl5tpixxwZ6qKtSzv1x6GnYsrRxRir2W952NMqhf&#10;FObMYERlb4JfWuPQIeaTqB/Txk8y6vwcDCxJtaNVtcqlbh0YMNhHIwjdocIl9rOUHylG0yda8Idj&#10;CJTvwMTSmyH9S3CONi4PxZ3ULQrM6kjmwE3zaUDnaMw9Jl4MQT8COWL+d9wOVfdyUSLUPYWF0p7S&#10;Gx6AhnnwDH+WkOxQnE4I+4rZ5yjUv4cIUsAF2hZrYqDwmELMx2XCFiPdR3+aWqwhVBk5hhbSYLWl&#10;7dtneL5IrTdmvc9dsKRxh/2JaWJi4vysy5RfcU+bKs+RAXM3IgIaMxg8Vmdk153cRlufIAR9oZog&#10;ANMM+QiW3tv5V+0ZdaxEZKjjuSDTwZzGxDLer/u68fgJ1hcqmOelbQoGpPVsxkuU0dgFIE2QAle3&#10;Esf49Ei38IXTQP1JLbq7KA4Qn/7cfWkgEjd18KOWK2+b5ilOakVLzq/Eb2a8iyHoBeMrNvwLfL8Q&#10;IJQ6ygmkYhC6K2J9EhEQ9IysxMkoX3vvf5nN8Cx8E94RlX0JFIlUMx9v5gDqLicEYlrBauRE3gl8&#10;NHkLT/pleIYHCRvtaEO7MZVLlAjaruufLbkXMcLpL/4A0mcz9iEK8p79YHIYPAdxOX07YF/xFcPE&#10;jq7u4xttLlgoDdoGP+MwEJgjeKIL8bHK6U8nAFuyoQExNMb7yj9PkrnXF4oQF3mihZbT0wRc4Ghn&#10;53vN19cu7ulTk4/hS/HFfe/e5ZSEcc3/zEap6b9L7DsuyQHYD1NBykr983RmrfF/xMnB0d6MXwJo&#10;ecBx5/RfeWHfda4dYoYokzjQLChPf+qly1hZr2oj1swPUTL38ElO7gd7FHJIS+vZSiDNE4hD6/vn&#10;jfHw8RXux03mkO/NMkUv5ygrOB6zQthfaJgFMs4s9tJfKb8Rlxz9sXXK14f9fXz2bmscYVTcw9cW&#10;a6HPw6wgkjmf0dFBLfbkxN+miPyxtYzuFfR3Qfbbj1BLwzfnQlF0+A1XLC7g62CiP9mKP4kk+e0Y&#10;OJcYDpIN6AM+eIsZ2rFK3Id/p98cXuy7O6Gheoug7WzMdnHcioWLaxZgSfQk+NCNnNWzV2NciPxD&#10;ukYxBFHge+Z+lGWYW9h+2Mio3GuTv7wKBgzf3ITWq7ez03mMGnIEmM3EF2B4xiupqPjXAP7g3H7m&#10;mwZerPxy+mTtKKZTUeMJA2heSz/QcwsFXFDn0wk3RIJ4SJlz5sC/v1mSegjYQEbwrgx3Tb8AtWmk&#10;BzuYwNV1+B6e8dg+J/ygM0SaGjcM4WcOHDyYdn+aPrwMUrINRUg2ZrKzIqChilBX3QvGrBXGCF9/&#10;BDWBBZIJXKkuZpzgRc9x2N09J8nf/yAT7WEMb5159CSmM07zbFSgb6F0P/qbT1rRJ6KUs+mPSB9j&#10;C9bxyRTjAp88kMeiKOZE6dvJWyD5ofUgFefQvPnjRmXqoM8A8qniIaH1FLrQixgDQ2xDJSw8RsVR&#10;jNvMUoAOBymoI+b02XTxpipKCL9BD/UbuNw9HF/4nSuJUoMtZCt0ei1hFE2DJ89jQR8b/ZfES3Tg&#10;U2+37mF4/hGgz+NfpOH1009eBbs9CvM7Lx7DJ1NBUB8X1Xf0qRgPrqEexQjLtlZQGebwjKniE1XM&#10;8Nkv/4poq6+QEPZiFsLvR9NnzUNCMClV/AimJB3HG/akGWx12HwetShBPqASV614u4xRYUiammeg&#10;zMupTUTRvUqN/l6Mh+XhcHVzu0Q8BAiW5aPYltvw8hkMVVhcBdJBMgwBI4qAlHDP//yBI1uWy+Hb&#10;2KIZ+Q7eZBa9UsZ6FizKs0TiwLn7xer48Vv0LCvm4ydIQkEzeIIAHupCuayXzwTMj6AZAbWgLTuO&#10;wxtHA/gaiZpuxPo8a0pl3g6uA5WoU/M6f/0KmSatT1iBbymFgCkzUsapCqkyoEHx9y/G36+DQiiX&#10;C7CiEwF/YMC4p7+BGAxcVnjIrmhaPMyQk7yUnrATuO6b0hAITFogsU8yDbmCCHYr9+pxxVLhmnlB&#10;/jjk+MfJhQpiw4ie0ruFYD4b3ogsAs7+WPLK8XS65rmKRDPtYMMK4oIo99TZs/2e375906L2C5/W&#10;MwtH8rsNAKXGUUvYIKN+daXl/VEGY5awquIuTaiTV82esxF3UUF+fvozw+zRKKJgVoib6Udjaf+Y&#10;3+A540dQWtrfSurSFyxZYlhNrx3ARpOC4wGsugqPyYFIFqQ4ZVgD1nIn7ck0nzGf4YRRuzf1UEqQ&#10;DgHdjiaIQEn8gzYy9rtjiUfnWY9K9gCazxIME5ymTOjpVYSzMvrn4lmS/+I3vXF6PwQvYfrp0dbu&#10;brc7PVlg7YEpOxD3awrF+3lqLygSy759tqcMttM7WeB+bwhdQWKvFvK03RWJH0HBaP7zw0JGhS3o&#10;s5KSgoINBwwMJkpJeoVpDh4PpTcyfrA38Myumw0w0586Hyz9NOpmqWbvgLCgQhR8/MOax+oxPaQa&#10;gFDnFh1J0z+X7sYVCD3MmgZ8IZ2Vi0DonhLhqeAxehUdDXEwzyiy7UISTwr6pXHM0oigCdHq+DTO&#10;u/HL76Rxd4Widzy8Gge0BBDYJpjj0z4gvfoX5qD2iGxbxojaRs059Jh8H4jxB5aeq4ZzDv//r0Xm&#10;wMwoQbqDd4A6azoAPp2m2F0CLlqJPbiWPKK9aOuzf35YzKjIITM1voAX4SPvwGttB3R9EWi7ChWK&#10;9u1z5fVwoJ9MISXgIOGIsLYEZ5/ve0vXNzGabhj5ov5IWpIhX6+NK2Ac4Y5tKIXNubH+M6gNQxEw&#10;gGI/Es2/QubArCjBC68qd4U+hN4I+YZSEtD3W9B7TfGYmkxFtkwOfOC6hJt3AdQiYMtj9OejYPv2&#10;BYybB3EgFqDYMMo6fxyDfE9H4n/l+HeCPog/4Fq1SppmNsxpdJpZoX18+5IbS+THbuE3cUODdWs4&#10;to+gU6aJuzxrimzjIe25jM1QHrNjP8OTix/HOJXdrAafaWmDH9yfAt3POfAoJONs8ry1j7F+YIrx&#10;8c+aLx9zxUxwKzJUlQ4oJigcu/j/AVBLAwQUAAAACACHTuJA9/KAw3ECAABsAgAAFQAAAGRycy9t&#10;ZWRpYS9pbWFnZTEzLnBuZwFsApP9iVBORw0KGgoAAAANSUhEUgAAAA0AAAAZCAYAAADqrKTxAAAA&#10;BmJLR0QA/wD/AP+gvaeTAAAACXBIWXMAAA7EAAAOxAGVKw4bAAACDElEQVQ4jY2Ty4vaUBTGT5LJ&#10;DI1UCfhqBVdipC2zdGFkrIIgVChIoHRVmHURoRTmPwiIUIrrgCsRpCBUEAasBqebLn3ADF0V1FaR&#10;oYqKkSSnqwzO1EcufHC53/nBvfd8BxAREBFEUbygaXrNsuwtz/NXhliWvaVpei2K4oVRC4gIkiSd&#10;AwAKglAej8cOw0REGI1GTkEQygCAkiSdIyLAfD63WK3WaSwWq6uqSm0ChlRVpaLR6DebzfZ3uVw+&#10;gkKh8A4AUJbls22AoXq9HgMALBaLbyEej1/6fL6fuq4T+yBN00iv1/srmUx+JRVFOQkGgz8IgkDY&#10;s0iS1AOBwPVkMrEfybIc2Ve8uRCRAAAgzQKqqh612+1Tj8cz2PmGh6pWq68AACuVymvTUCKRqDkc&#10;jrGiKMemgFarFQYAzGazH+8SsU+6rhORSKTpdrt/LxYLxhRUq9USAID5fP79vezt0nA4fOJyuf74&#10;/f6b1Wp1chBar9d0OBxuMQyz6HQ6Lza9nVAmk/lkZO2htxUolUpvAADT6fTnbf5/B71e75nFYpmH&#10;QqHviqIcH4Rms9ljjuOunU7nqN/ve3Zd/V4/BEEokySpNRqNl/t+9W6Ty+U+bHb9INRsNiMURamp&#10;VOrLoWFERIDBYPDUaOB0OrWaySLwPH/FMMyi2+0+NwMgIhAAgHa7fcJx3I2ZYaQoSvsHKXzmduOM&#10;JgwAAAAASUVORK5CYIJQSwMEFAAAAAgAh07iQAJhpyvbAQAA1gEAABUAAABkcnMvbWVkaWEvaW1h&#10;Z2UxMi5wbmcB1gEp/olQTkcNChoKAAAADUlIRFIAAAAVAAAAEQgGAAAAMobngAAAAAZiS0dEAP8A&#10;/wD/oL2nkwAAAAlwSFlzAAAOxAAADsQBlSsOGwAAAXZJREFUOI3tzr9LAnEYx/HPnYR1nhzhj6Ul&#10;BAWn4rxFvnKDFBEE4SZuZf0DzW7O/gFiOgVtIQgiSoN0NpShU1AQLi79ABVT4bi7p0kIwbQx6APP&#10;9uLNA1VV60SEfD5/LIri0OFwfDLGNMaY5vP5XgBQLBa7Go1GAhGh2+1uqKpaB0DBYPCRMaaFw+Fb&#10;m81meL3e10qlsgfGmFYqlQ4AUDQave50OptEBCKCrusr6XQ6BYAKhcLRZDJZVRTlXhTFYS6XO7Es&#10;i5vaVqu17ff7nwOBwBNkWW5KktSXZflhPB6vTdH0TNPkPR7PWyKRuEgmk+cAqFgsHs46IkImkzkD&#10;QBAEYeRyuT6+fzh78Xj8UpKkPgBKpVLpea7dbm8BIHAcZ1Wr1d15kIiQzWZPAVAkErkxDMM2z5mm&#10;ybvd7ncoinL3U5CIUKvVdgBQuVzeX2RDoVCTt9vtOpac0+kcLuP4ZYO/2X/0P/onoo1Ggy2Le73e&#10;+iIzGAykLzgpK8HijehnAAAAAElFTkSuQmCCUEsDBBQAAAAIAIdO4kCTaiS+SQIAAEQCAAAUAAAA&#10;ZHJzL21lZGlhL2ltYWdlNy5wbmcBRAK7/YlQTkcNChoKAAAADUlIRFIAAAAOAAAAGAgGAAAAysfM&#10;VwAAAAZiS0dEAP8A/wD/oL2nkwAAAAlwSFlzAAAOxAAADsQBlSsOGwAAAeRJREFUOI3NlEFrGlEQ&#10;x+c9U8E1bKGnLOt6ECGwwi5ourB66F0CvTRXqdB49CMU/Ag9uh5qr+tFkPUutDm4CgaagCCFJKTP&#10;k7isyUHcNz2UDWkO6t76hzm995sZZv7vEUQEwzCGs9ksq6rqNWxRLBYLBoPBOwAAQERIpVJ3lUrl&#10;GyLCvkE553Q+nx9JksS2VXspulgs3mw2m4PIIGNMAgD4/8GD56Drum/b7fbH6XR6HF7IZrOzarX6&#10;1TCMISEEn8h6vf4FADCXy/0EAEwkEo+maV6USqXvxWLxhyAID+F5p9P5EK4DJEn6DQCo6/qk2WzW&#10;lsvl6+f78jxPtCzrXNO0S0pp4DhOGREBarVaUxRFz/f9w20L933/MJ/Pj5PJ5Go0GhUI55wgIqGU&#10;8l0DYYxJhmEMFUW529tiYTQajc+EEB4ZHI/HeQBAgoi7OvxHiEhkWb6nkSgAIIRgJpP5FRl8ShC1&#10;Vc45lWX5Htbr9asow3Fd9wQAkMbj8XUQBLF9K/b7/XLoWex2u+/3qcYYO1IU5dY0zQtIp9M3mqZd&#10;rlar5C7LFQqFkSAID67rnoDjOGVKaaDr+sSyrHPP88SXJm+1Wp90XZ9QSoNer3eKiH9/Odu2z1RV&#10;vYItz0pV1Svbts/ChH8AGKjOHJFZhscAAAAASUVORK5CYIJQSwMEFAAAAAgAh07iQMkLvIQyAgAA&#10;LQIAABUAAABkcnMvbWVkaWEvaW1hZ2UyMC5wbmcBLQLS/YlQTkcNChoKAAAADUlIRFIAAAANAAAA&#10;GAgGAAAAIfB3VAAAAAZiS0dEAP8A/wD/oL2nkwAAAAlwSFlzAAAOxAAADsQBlSsOGwAAAc1JREFU&#10;OI3dkz+oUnEcxc/v9lRMGxRMvPjvgkMQri53UaEX+mjQMBQaW4OClhoCB10EBVdXeYTgG+QWKpTL&#10;mxpDcGgwHvXgOrxFJUzvPU1KPOh239qBM34439/vfL+CJPx+/5Xb7f6pKMocFur1ek9kWb7EZrNx&#10;AmC1Wn1LEnYsLRaLuwAQDAZ1q5Q/Jem6HvzPoCNd14Ner3fldDp/9fv9x91u9+lyubwDAB6PZ10u&#10;l98Vi8Uzl8u1OVCVSuUUAGVZ/gGAkUjkQlXVc1VVz+Px+BwAA4HAol6vvzZNU5AEABAA0+n0ZDAY&#10;PNrtdrf2fRiGIQ2Hw4e5XO4DADabzZckgWKx2I/FYt+22+3R38o0DEMqFApnkiQZ4/H4gTAMQxJC&#10;UAhBq8evVitvKpX6TFLYWpu9W63WCwD2AZKYTqf3AfDwG3ZEUoTD4e+SbQKAEIKKosxvBB3gm44X&#10;jUYvYNXPdc9ms3sAKDkcji1JYSdpPB4fH1Ink0n6Xynr9fp2Mpn8kkgkvsLn811ls9mPVmOapilK&#10;pVJPCGFqmnaCTqfzDAAzmcwnTdNOri/saDQ6zufz7wGw0Wi8IgmQRLvdfh4KhS5hcRq1Wu3N/jR+&#10;A3WhqQWCeAsBAAAAAElFTkSuQmCCUEsDBBQAAAAIAIdO4kDeTNKwjQIAAIgCAAAVAAAAZHJzL21l&#10;ZGlhL2ltYWdlMTgucG5nAYgCd/2JUE5HDQoaCgAAAA1JSERSAAAAEwAAACUIBgAAAKBz0nwAAAAG&#10;YktHRAD/AP8A/6C9p5MAAAAJcEhZcwAADsQAAA7EAZUrDhsAAAIoSURBVEiJzdYxqFJhFAfw8/n5&#10;9GpceSI8hHLJSQ0KCXHI6yRNLg4RKAop2aAUuDgJTS0PFN4i8hyEK4JDS5NNvRwkRAUNp1zeQ+iC&#10;oYlPn96up82m6On9hg6c9cfH+R8OH0FE6Ha77mKx+KparYaXy6XR6XQOzWbzFPYoSqkCtVrtOQCg&#10;0Wi8jsfj5+12+zEiwiENHo/ni8PhGE6n0+NDkR0GAJjP59+ohRARQKfTrSeTiYUFpnG73V2LxfJj&#10;n2H/rTSUUoUFBACgYQWxxxCRMNNMJtPPxWJxh0ma8/ncVK/XnzF5mcPhGHq93haTpS0UCq8BAEVR&#10;DKvGNpvNkSAIFxzHrTqdjlsVhoggSdKJzWa7tNlsl5IknajCEBE6nY6b47iVIAgXm83m6BCMIOIu&#10;jGq1Go5EImIoFHqfTqfP9gmSEPJHHY1G97PZ7DuDwXANALhvU0p/acfj8d1EInHeaDSeEkIwGAx+&#10;iMVilX3PNiEEIZlMFvV6/U0ul3t7dXV1T1WaPM/Po9FohcnSAgA2m80nTDC73f5tu90SFpjGarV+&#10;J4TgP+Z7q/qPLy1TbDabHbMEsdfrPWKSJsdxN6VS6SWTZ0Wj0QrP83M1d2y3tIPB4AHHcSu/3//p&#10;0Du2wxARRFEMAwCmUqkz1RgiQiaTOQUALJfLL1RjsixrA4HAR51Ot261Wt5DMOLz+T4rikIBAGRZ&#10;1vb7/Yd6vX7tcrm+EnL7nwOlVPkNFtKQ9VdZTNQAAAAASUVORK5CYIJQSwMEFAAAAAgAh07iQNp/&#10;FYHbAQAA1gEAABUAAABkcnMvbWVkaWEvaW1hZ2UxNC5wbmcB1gEp/olQTkcNChoKAAAADUlIRFIA&#10;AAAVAAAAEQgGAAAAMobngAAAAAZiS0dEAP8A/wD/oL2nkwAAAAlwSFlzAAAOxAAADsQBlSsOGwAA&#10;AXZJREFUOI3tzr9LAnEYx/GPd4R1nhzhj6UlHA6civMW+coNUkQQhJu4lfUPNLvd7B8gplPQFoIg&#10;ojRIZ0MZOgUO4eLSD1CxUxDvniYhBNPGoA8824s3DzRNqxERcrncqSiKQ5fL9ckYMxhjRiAQeAFA&#10;sVjsxjRNgYjQ7Xa3NE2rAaBgMPjMGDPC4fA9z/NTv9//Wi6XD8AYM4rF4hEAikajt51OZ5uIQESY&#10;TCZruq6nAFA+nz8Zj8frqqo+iqI4zGazZ7ZtO2a22WzuyrLclmW5DUVRGpIk9RVFeRqNRhszNDvL&#10;sjifz/eWSCSuksnkJQAqFArH846IkE6nLwAQBEEwPR7Px/cP5y8ej19LktQHQKlUSl/kWq3WDgCC&#10;w+GwK5XK/iJIRMhkMucAKBKJ3E2nU36RsyyL83q971BV9eGnIBGhWq3uAaBSqXS4zIZCoQbndDon&#10;WHFut3u4iuNWDf5m/9H/6J+I1ut1tiru9Xqby8xgMJC+AEIvK8NbH6AaAAAAAElFTkSuQmCCUEsD&#10;BBQAAAAIAIdO4kCNwAA6EwIAAA4CAAAVAAAAZHJzL21lZGlhL2ltYWdlMTEucG5nAQ4C8f2JUE5H&#10;DQoaCgAAAA1JSERSAAAADQAAABkIBgAAAOqspPEAAAAGYktHRAD/AP8A/6C9p5MAAAAJcEhZcwAA&#10;DsQAAA7EAZUrDhsAAAGuSURBVDiNnZTPalpBFMY/phuv3BRGEa4KuW60us8iRQ0uhGlI30PpphDy&#10;FiK4keY9FBWyKLctuvAB1HThFfIHQupFJt5unJyuRrIoMnrggxk4v5mPGc4HIgIRod1uf0mn03cA&#10;CAAVi8VfmUxmDoAcx3lstVpfdS+ICOPx+AQAlUqln51O5/Nms3lHRFBKsV6vd16pVL4DoNFodLqF&#10;hBCDeDz+vFqt3uvT3kpKaScSiadqtXpDRIDneWcAqNFoXP0P0Go2m5cAyPO8MwghBslk8mG9Xkd3&#10;QWEYWo7jPAohBuCcL+v1+rddgFatVruOxWJ/WBAEvFAoTGBQ+Xx+ulwuY0xvTCG9psVicWxiz/d9&#10;FwAhGo2ulVLMBFJKMcuyQpbNZn8zxl5N7DHGXnO53C2zbfvFBNBl2/YL2wfY3ngQJKU82geQUh7B&#10;sqxwn9eLRCJ/AYB833dNoPl8ngFADACm02nexJruYwAwm80+7AVxzoPJZFIwhTjnwXaewjC0jOfp&#10;oMk9KCPeplG5XP7R7XYv9L8ppVi/3/+k02g4HH7cQjr3UqnUPQByXdfflXv/ALmWAvDtQ3lsAAAA&#10;AElFTkSuQmCCUEsDBBQAAAAIAIdO4kD3sw/EIQIAABwCAAAUAAAAZHJzL21lZGlhL2ltYWdlMy5w&#10;bmcBHALj/YlQTkcNChoKAAAADUlIRFIAAAAOAAAAGAgGAAAAysfMVwAAAAZiS0dEAP8A/wD/oL2n&#10;kwAAAAlwSFlzAAAOxAAADsQBlSsOGwAAAbxJREFUOI2V1E2IEmEYB/C/NjN6WmMVESS6aDDoRF8n&#10;QRpkL0sQXoRAvK9E0O5JPHQQotsIIjv3DIQuhogXiV2DTipDtuzBLiJERL3onBodeZ9Oe1mY8n3g&#10;f/zxfMD7+kKh0CqdTl/Aozjnfsuy7juOE9Q07WutVnuVz+c/IJPJfCYi/CvL5fKmaZpHqVTqQpIk&#10;dzAYHOwEr2Lb9p6qqpeJROKbECQitNvtZwBIGG42GzkWi/3wex3Fq2RZduPx+HdhCACu68rCcDab&#10;3ZlOp3eFoWEYJ4qibHY+juM4gWaz+RwAlcvlU4kxtt/tdp96deCc+4fD4eNWq1VijIV1XT+v1+vH&#10;AED/i6Io60Kh8L7f7x9ut9sbRARomvZlMpk8uB7DMF4CoEql8oYxtn99dM8dOec+XdfPIpHIr9Vq&#10;FdoZEhHG4/HDq65CkIhQKpXeBgIBZz6f3xaCi8XiVjAY/FMsFt8JQSJCtVp9DYBGo9EjIWjb9l40&#10;Gv2ZzWY/cc59O0MigmmaRwCo0+nkhaDrupKqqpfJZHK2Xq8VoYfc6/WeAKBGo/FCCHLOfblc7mM4&#10;HP4NACTydViWdQ8A/QU2a7YC7oK5hwAAAABJRU5ErkJgglBLAwQUAAAACACHTuJApcYNZusBAADm&#10;AQAAFAAAAGRycy9tZWRpYS9pbWFnZTYucG5nAeYBGf6JUE5HDQoaCgAAAA1JSERSAAAADQAAABgI&#10;BgAAACHwd1QAAAAGYktHRAD/AP8A/6C9p5MAAAAJcEhZcwAADsQAAA7EAZUrDhsAAAGGSURBVDiN&#10;nZS/asJgFMWPX7LEpdL6B8wS3QzoGkHaLUXX9g3aZ/Al8gz6Bjq3yaYU6pxA3OpioX8U6pBkyZfb&#10;6Su21RBz4Gz3d7lcOAdEBCKCZVnDcrn8CYAAUK/Xe9I0bQWAKpXKh2VZQzELIsJsNrsCQKZpOrZt&#10;X3POGRGBc85s2742TdMBQPP5/JKIgCRJCoZhLFRVXQdBUBTb9h0EQbFer792u93nJEkKmEwmtwBo&#10;PB7fHQKER6PRPQCaTqc3BcMwFrvd7szzvLYsyzGOKI5jud1ue6VS6Yu5rtsZDAYPaQAAyLIc9/v9&#10;R9d1OyyKIkXXdT8NENJ13Q/DsMgAoNVqLbNA+3O03W7P054gvNlsLgAQarXaWxZAuFqtvrNGo7HK&#10;cppQs9l8YZIk8VMgSZI4OwUQYpxz6RSAcy7legSQ4+UMAJbLZSvLaWIuH6QoSuT7vp4F8n1fVxQl&#10;yhWNXCH8FfcwDJVjcVdVdf0T97/F4jiOuV8sjuOY/4rlUIVpmrZKq7BvZWLFOgHrfZsAAAAASUVO&#10;RK5CYIJQSwMEFAAAAAgAh07iQKd1R7ABAgAA/AEAABUAAABkcnMvbWVkaWEvaW1hZ2UxNy5wbmcB&#10;/AED/olQTkcNChoKAAAADUlIRFIAAAAYAAAAEggGAAAAQewengAAAAZiS0dEAP8A/wD/oL2nkwAA&#10;AAlwSFlzAAAOxAAADsQBlSsOGwAAAZxJREFUOI3t1DFrGnEYBvCnd3oKRSzX5XAoirecWVTQwT8o&#10;CP0f9BOUduxYkAqObh0DkYKjo+InEKIQMKAQCk2Wq4tgcQkUDFeKYKKeTyehFJJcKXTygXf7ve+z&#10;vSgWi+ckMZ/PX9i2fQqA8Xj8mxBiJIQYpVKprwCYyWQuHcc5IgmSmM1miXK5fAaAiURitveWZU0A&#10;MJvNfnEc5whCiJHrus8sy5pEIpGfjUbjw3q9Du4P7Xa7J91u97Wu6zdSyj5JLBaL56ZpTqPR6I9m&#10;s/l+s9kEfvedTueNrus3tm2folAojKSU/UAgsBkOh6U9/HOq1epJKBS6dV03WiqVhpqm3Y3H48J9&#10;vlKpfAqHwysYhnENgK1W6919mCQGg8FLAJRS9gGw3W6/fcj3er1XAAgArNVqxw9hklitVmFN024B&#10;sF6vf3zML5fLp5qm3SGZTE6326362AJJ5PP5C8uyJp7nKX58Op2+UgzD+K6qqgcfCQaD21gsdq0o&#10;ys6PV1XVU/zAf8mh4FBwKPgPBQBAP3+FJHK53Oe/8aZpTn8BKqmW0OdJQvIAAAAASUVORK5CYIJQ&#10;SwMEFAAAAAgAh07iQGykPTpiAgAAXQIAABUAAABkcnMvbWVkaWEvaW1hZ2UxMC5wbmcBXQKi/YlQ&#10;TkcNChoKAAAADUlIRFIAAAAOAAAAGQgGAAAAAZsf8gAAAAZiS0dEAP8A/wD/oL2nkwAAAAlwSFlz&#10;AAAOxAAADsQBlSsOGwAAAf1JREFUOI2d1E+IElEYAPBvXMY/O4Y5RhEkQdgo4UH0pNMiHsJYjDl5&#10;0YhOXbJzEB5X8GxePIlYl06LNDB4GGyYOhUEIbWGB0NEsX2KbKMjjF8nI5aymT74Lu/xe9/H43uP&#10;QkQAAEgmk28Mw9iDHTEcDq8NBoPrxWLxCBDRVOq6bg+Hw5/8fv+3xWJxwTQslUrPAABbrdY9RART&#10;qNfr3XQ4HKtsNvtqu/ZPtNlsqFQqJXs8nvloNLpqGtbr9YcAgLVa7dHv6zvRZDK5zLLsKc/zqmEY&#10;NtMwn8+/oGl63e12b53f+yuSJCkNACgIwnGn00mOx+MrpmAul3sJALhNhmHOyuXyU13X7TvhbDa7&#10;KMtySpblVLvdviMIwjEAIM/z6nK5dJoeAESEZrN5HwCwUCg8twS3F8ay7Klt11D/KTKZzGtCCGu5&#10;4nQ6vURR1IZCRKtFIRKJfLTcKgCA2+0++y9oGMae5VZ1XXewLEtsmqbtW4Gqqt7WNG3fxjDMj9Vq&#10;5TQLJUm6a7fb1wAA2Gg0Hpj9CbxeL0mn0xKEQqHPgUDgKyHEuwsRQrwcx534fL7v/X7/BiiKckDT&#10;9DoYDH6pVquP5/O55zyoVCpPOI47oWl6rSjKwa/XIYriYTQa/QAA6HK5tEQi8ZbneTUej79zOp1L&#10;AMBYLPZeFMXD7YE/ATm9mgVXinHiAAAAAElFTkSuQmCCUEsDBBQAAAAIAIdO4kDIuKFCxQIAAMAC&#10;AAAUAAAAZHJzL21lZGlhL2ltYWdlMS5wbmcBwAI//YlQTkcNChoKAAAADUlIRFIAAAAQAAAAHAgG&#10;AAAAaDE/GgAAAAZiS0dEAP8A/wD/oL2nkwAAAAlwSFlzAAAOxAAADsQBlSsOGwAAAmBJREFUOI3N&#10;kzFIG3EYxd9d/miTcK3FJM1BwLlDkZREMNeM0vSsdMjiqEKkkCVEKHRprIODVFwCUqHNmMXFSkzt&#10;2nhDLVocnDuE3sU7iCYnofUuX5deEUvb5Lr0wdu+9/u/74M/R0QoFArPl5aWnkmStIcelEgklJWV&#10;lScAwABA07RwMBjUa7XavV4Al8UDgKqqoiiKar/h/wTQ7Xb5RqNxKxwOa64AhmEELMtirhtomhYG&#10;ALcApqqqeBnQbreFra2tR81m86YzFIlE6pOTk5WBgYFvvxBKpdIMACqXy9OZTGbD7/ebAOiqA4GA&#10;vrCw8OL4+Pg2EcExlpeXnzpDPp/vfHZ29rWiKOOGYQwbhjGs63qgWq2m0un0JmPsAgCtr68//gmQ&#10;ZbkCgDKZzMbp6emNy/SrbjQaIVmWKx6Px6pWqykiAnZ2dh7k8/lVy7I8fwo7brVawujo6CdBEFpH&#10;R0d3OCLq+/L1ej0SjUYPk8nk+7+++DvPz8+/FAShxff9/A+lUqm37XZbcN3g7OzsOmPswtUNHMXj&#10;8X3XKwDA4ODg138CEBHnegXLslgoFDqBbdu8myMqijIOgPixsbEPbhrs7u7e53m+ywGgg4ODu9Fo&#10;9LDXsG3bnlgs9tHr9Xbg8/nO5+bmXvVTP5fLrQGgUqk0g2w2W+R53t7e3n7YS7hYLGYBUC6XWyMi&#10;wDRNfywW22eMXaTT6c1KpSJf/ZmdTudauVyenpiYeMdxXHdqauqNMwMigq7rgXw+vxoMBk8AkCiK&#10;XyRJqkmSVEskEntDQ0NNADQyMvK5UCgsmqbpd+DfATTZFSV99FMuAAAAAElFTkSuQmCCUEsDBBQA&#10;AAAIAIdO4kCiNNqy8gEAAO0BAAAUAAAAZHJzL21lZGlhL2ltYWdlMi5wbmcB7QES/olQTkcNChoK&#10;AAAADUlIRFIAAAAYAAAAEggGAAAAQewengAAAAZiS0dEAP8A/wD/oL2nkwAAAAlwSFlzAAAOxAAA&#10;DsQBlSsOGwAAAY1JREFUOI3t1DFLQmEUBuC3+11veKMSJ83BQYmLKAgiF/zAwQjlgn+gpSVochEM&#10;/0EotDQJLi7+geBSiA6BUEQQFBbi0mLQEKJYaPl5moIIshtBky+c7Tnn3Q7i8fgpEaHb7a6l0+kj&#10;AOT1eu85503OeTMQCLQAUCQSuWy1WgEiwiyvadodANJ1/bzdbq+Dc94cDAbLoVDoWlXV50KhsDce&#10;j5WPQ9PpdKFarW45nc6nRCLRICL0+/2VYDB4o6rqc7FYzH32QgipUqlsOxyOnmEYJmKxWNMwDJMx&#10;NqnVapsf8OvkcrmizWZ77fV6q8lk8kSW5bd6vb7xnc9kMod2u/0Fbrf7AQCVSqXd7zARodFoJABQ&#10;KpU6BkDlcnlnljdN0wBAAEDZbPZgFiYijEajRUVRRgAon8/v/+SHw+GSoihj+Hy+zmQyYT8tEBF0&#10;XT/TNO1WCCFZ8eFw+EpyuVyPjDEBC5FlWXg8ngdJkqZWPGNMSFbgXzIvmBfMC/6hAADIyl8hIkSj&#10;0YvfeL/f33kHiteW1066PZgAAAAASUVORK5CYIJQSwMEFAAAAAgAh07iQH8tTpnMAQAAxwEAABQA&#10;AABkcnMvbWVkaWEvaW1hZ2U1LnBuZwHHATj+iVBORw0KGgoAAAANSUhEUgAAABUAAAAQCAYAAAD5&#10;2jQlAAAABmJLR0QA/wD/AP+gvaeTAAAACXBIWXMAAA7EAAAOxAGVKw4bAAABZ0lEQVQ4je3Mv0sC&#10;cRzG8UfvCwpKHeoYmNwRxKm4Hl8QHXWRiLbgpgjErX/D7RrESXAThYZoLAK9NcoQRPECx5TrKCi4&#10;w0+T0eCvoNEHnu3FG+l0+p6IUC6XL/x+/2cgEPjgnLc5521ZlgcAKJvN3lqWJRIR+v3+QSqVegBA&#10;8Xi8yzlvq6pqMMYcURStZrN5DM55u1qtngGgQqFwNR6P94gIRATXdQVd10sASNf10mQyCUuSNIxE&#10;Iq+NRuNkNpt55rbX6x0mEomnaDT6AkVRuowxJ5fL3TiOw+bo92VZHuTz+etMJnPn8/m+DMNQF7lK&#10;pXIOgCAIgqsoyrNt2zuLIBGhWCxeMsYcAFSv10+XOdM09wEQgsHg+2g0ii2DRIRWq3UEgDRNq61y&#10;RARJkobeZDL5GIvFTKxYKBSyAEDTtNoqBwCiKL55PR7POvezTa134+Ifto1uo/8d7XQ6fFM8nU7D&#10;64xt27vfA7j452vrvvYAAAAASUVORK5CYIJ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AoAAAAAAIdO4kAAAAAAAAAAAAAAAAAKAAAA&#10;ZHJzL19yZWxzL1BLAwQUAAAACACHTuJA+xif7DYBAACJCwAAGQAAAGRycy9fcmVscy9lMm9Eb2Mu&#10;eG1sLnJlbHO91t1qgzAUwPH7wd5Bcj/jSVvbjsbejEFvR/cAQaOGmg+SbKxvv8AYrFDO7s6liid/&#10;Evzh4fhll+pTx2S8kwzqhlXa9X4wbpLs/fz6tGNVysoNavFOS3bViR27x4fDm15ULi+l2YRUlSku&#10;STbnHJ45T/2srUq1D9qVJ6OPVuVyGSceVH9Rk+aiaVoe/85g3c3M6jRIFk/DnlXnaygr/z/bj6Pp&#10;9YvvP6x2+c4S3Niydhmo4qSzZFYPRv3c3NfBTYzfbyh7QNGwwxq2NA1brKGlaWixhg1NwwZrWNM0&#10;rLGGFU3DCmsQQBMhAK0oZlF8nqJBK4gisAYgwhJQLYGIS0C9BCIwARUTiMgE1EwgQhNQNYGITUDd&#10;BCI4AZUTBA0XIFAviPwG1G8g8htQv6m24vc8+M0PdPcNUEsDBBQAAAAIAIdO4kB557oEBAEAABMC&#10;AAATAAAAW0NvbnRlbnRfVHlwZXNdLnhtbJWRwU7DMAyG70i8Q5QralN2QAit3YGOIyA0HiBK3Dai&#10;caI4lO3tSbpNgokh7Rjb3+8vyXK1tSObIJBxWPPbsuIMUDltsK/5++apuOeMokQtR4dQ8x0QXzXX&#10;V8vNzgOxRCPVfIjRPwhBagArqXQeMHU6F6yM6Rh64aX6kD2IRVXdCeUwAsYi5gzeLFvo5OcY2Xqb&#10;ynsTjz1nj/u5vKrmxmY+18WfRICRThDp/WiUjOluYkJ94lUcnMpEzjM0GE83SfzMhtz57fRzwYF7&#10;SY8ZjAb2KkN8ljaZCx1IaPeFAaby/5BsaalwXWcUlG2gNmFvMB2tzqXDwrVOXRq+nqljtpi/tPkG&#10;UEsBAhQAFAAAAAgAh07iQHnnugQEAQAAEwIAABMAAAAAAAAAAQAgAAAAr44BAFtDb250ZW50X1R5&#10;cGVzXS54bWxQSwECFAAKAAAAAACHTuJAAAAAAAAAAAAAAAAABgAAAAAAAAAAABAAAAD8iwEAX3Jl&#10;bHMvUEsBAhQAFAAAAAgAh07iQIoUZjzRAAAAlAEAAAsAAAAAAAAAAQAgAAAAIIwBAF9yZWxzLy5y&#10;ZWxzUEsBAhQACgAAAAAAh07iQAAAAAAAAAAAAAAAAAQAAAAAAAAAAAAQAAAAAAAAAGRycy9QSwEC&#10;FAAKAAAAAACHTuJAAAAAAAAAAAAAAAAACgAAAAAAAAAAABAAAAAajQEAZHJzL19yZWxzL1BLAQIU&#10;ABQAAAAIAIdO4kD7GJ/sNgEAAIkLAAAZAAAAAAAAAAEAIAAAAEKNAQBkcnMvX3JlbHMvZTJvRG9j&#10;LnhtbC5yZWxzUEsBAhQAFAAAAAgAh07iQD4gK33aAAAACgEAAA8AAAAAAAAAAQAgAAAAIgAAAGRy&#10;cy9kb3ducmV2LnhtbFBLAQIUABQAAAAIAIdO4kDHx0WPryYAAMdtAQAOAAAAAAAAAAEAIAAAACkB&#10;AABkcnMvZTJvRG9jLnhtbFBLAQIUAAoAAAAAAIdO4kAAAAAAAAAAAAAAAAAKAAAAAAAAAAAAEAAA&#10;AAQoAABkcnMvbWVkaWEvUEsBAhQAFAAAAAgAh07iQMi4oULFAgAAwAIAABQAAAAAAAAAAQAgAAAA&#10;44QBAGRycy9tZWRpYS9pbWFnZTEucG5nUEsBAhQAFAAAAAgAh07iQGykPTpiAgAAXQIAABUAAAAA&#10;AAAAAQAgAAAAToIBAGRycy9tZWRpYS9pbWFnZTEwLnBuZ1BLAQIUABQAAAAIAIdO4kCNwAA6EwIA&#10;AA4CAAAVAAAAAAAAAAEAIAAAAGR5AQBkcnMvbWVkaWEvaW1hZ2UxMS5wbmdQSwECFAAUAAAACACH&#10;TuJAAmGnK9sBAADWAQAAFQAAAAAAAAABACAAAACobQEAZHJzL21lZGlhL2ltYWdlMTIucG5nUEsB&#10;AhQAFAAAAAgAh07iQPfygMNxAgAAbAIAABUAAAAAAAAAAQAgAAAABGsBAGRycy9tZWRpYS9pbWFn&#10;ZTEzLnBuZ1BLAQIUABQAAAAIAIdO4kDafxWB2wEAANYBAAAVAAAAAAAAAAEAIAAAAFZ3AQBkcnMv&#10;bWVkaWEvaW1hZ2UxNC5wbmdQSwECFAAUAAAACACHTuJApZQVR0U0AQATZAEAFQAAAAAAAAABACAA&#10;AACMNgAAZHJzL21lZGlhL2ltYWdlMTUucG5nUEsBAhQAFAAAAAgAh07iQFBKOEnHAgAAwgIAABUA&#10;AAAAAAAAAQAgAAAAuCoAAGRycy9tZWRpYS9pbWFnZTE2LnBuZ1BLAQIUABQAAAAIAIdO4kCndUew&#10;AQIAAPwBAAAVAAAAAAAAAAEAIAAAABqAAQBkcnMvbWVkaWEvaW1hZ2UxNy5wbmdQSwECFAAUAAAA&#10;CACHTuJA3kzSsI0CAACIAgAAFQAAAAAAAAABACAAAACWdAEAZHJzL21lZGlhL2ltYWdlMTgucG5n&#10;UEsBAhQAFAAAAAgAh07iQH4Ufp5ZAgAAVAIAABUAAAAAAAAAAQAgAAAALCgAAGRycy9tZWRpYS9p&#10;bWFnZTE5LnBuZ1BLAQIUABQAAAAIAIdO4kCiNNqy8gEAAO0BAAAUAAAAAAAAAAEAIAAAANqHAQBk&#10;cnMvbWVkaWEvaW1hZ2UyLnBuZ1BLAQIUABQAAAAIAIdO4kDJC7yEMgIAAC0CAAAVAAAAAAAAAAEA&#10;IAAAADFyAQBkcnMvbWVkaWEvaW1hZ2UyMC5wbmdQSwECFAAUAAAACACHTuJAFY1EitABAADLAQAA&#10;FQAAAAAAAAABACAAAACJNAAAZHJzL21lZGlhL2ltYWdlMjEucG5nUEsBAhQAFAAAAAgAh07iQPez&#10;D8QhAgAAHAIAABQAAAAAAAAAAQAgAAAAqnsBAGRycy9tZWRpYS9pbWFnZTMucG5nUEsBAhQAFAAA&#10;AAgAh07iQFj5Co8pAgAAJAIAABQAAAAAAAAAAQAgAAAAsi0AAGRycy9tZWRpYS9pbWFnZTQucG5n&#10;UEsBAhQAFAAAAAgAh07iQH8tTpnMAQAAxwEAABQAAAAAAAAAAQAgAAAA/okBAGRycy9tZWRpYS9p&#10;bWFnZTUucG5nUEsBAhQAFAAAAAgAh07iQKXGDWbrAQAA5gEAABQAAAAAAAAAAQAgAAAA/X0BAGRy&#10;cy9tZWRpYS9pbWFnZTYucG5nUEsBAhQAFAAAAAgAh07iQJNqJL5JAgAARAIAABQAAAAAAAAAAQAg&#10;AAAAtm8BAGRycy9tZWRpYS9pbWFnZTcucG5nUEsBAhQAFAAAAAgAh07iQAkzE0/TAQAAzgEAABQA&#10;AAAAAAAAAQAgAAAADTAAAGRycy9tZWRpYS9pbWFnZTgucG5nUEsBAhQAFAAAAAgAh07iQEesMT5F&#10;AgAAQAIAABQAAAAAAAAAAQAgAAAAEjIAAGRycy9tZWRpYS9pbWFnZTkucG5nUEsFBgAAAAAeAB4A&#10;hgcAAOSPAQAAAA==&#10;">
            <o:lock v:ext="edit" aspectratio="f"/>
            <v:shape id="Freeform 3" o:spid="_x0000_s1606" style="position:absolute;left:6329;top:2188;height:318;width:2;" filled="f" stroked="t" coordsize="1,318" o:gfxdata="UEsDBAoAAAAAAIdO4kAAAAAAAAAAAAAAAAAEAAAAZHJzL1BLAwQUAAAACACHTuJAt/6oxb0AAADd&#10;AAAADwAAAGRycy9kb3ducmV2LnhtbEVPS2vCQBC+C/0PyxR6092oSIiugaYIXmrx0Z6H7Jikzc6G&#10;7Nak/75bKHibj+85m3y0rbhR7xvHGpKZAkFcOtNwpeFy3k1TED4gG2wdk4Yf8pBvHyYbzIwb+Ei3&#10;U6hEDGGfoYY6hC6T0pc1WfQz1xFH7up6iyHCvpKmxyGG21bOlVpJiw3Hhho7Kmoqv07fVoP6fOuK&#10;av8+fChzeDkPi+dkfB21fnpM1BpEoDHcxf/uvYnz0+UC/r6JJ8jt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3/qjFvQAA&#10;AN0AAAAPAAAAAAAAAAEAIAAAACIAAABkcnMvZG93bnJldi54bWxQSwECFAAUAAAACACHTuJAMy8F&#10;njsAAAA5AAAAEAAAAAAAAAABACAAAAAMAQAAZHJzL3NoYXBleG1sLnhtbFBLBQYAAAAABgAGAFsB&#10;AAC2AwAAAAA=&#10;" path="m0,0l0,318,1,318e">
              <v:path o:connectlocs="0,2188;0,2506;2,2506" o:connectangles="0,0,0"/>
              <v:fill on="f" focussize="0,0"/>
              <v:stroke weight="0.0110236220472441pt" color="#000000" joinstyle="round"/>
              <v:imagedata o:title=""/>
              <o:lock v:ext="edit" aspectratio="f"/>
            </v:shape>
            <v:shape id="Freeform 4" o:spid="_x0000_s1607" style="position:absolute;left:6265;top:2244;height:2;width:65;" filled="f" stroked="t" coordsize="65,1" o:gfxdata="UEsDBAoAAAAAAIdO4kAAAAAAAAAAAAAAAAAEAAAAZHJzL1BLAwQUAAAACACHTuJA911TI7wAAADd&#10;AAAADwAAAGRycy9kb3ducmV2LnhtbEVPS4vCMBC+L/gfwgje1rSlK1KNHkRBcC/rC49DMn1gMylN&#10;tO6/3yws7G0+vucs1y/biif1vnGsIJ0mIIi1Mw1XCs6n3fschA/IBlvHpOCbPKxXo7clFsYN/EXP&#10;Y6hEDGFfoII6hK6Q0uuaLPqp64gjV7reYoiwr6TpcYjhtpVZksykxYZjQ40dbWrS9+PDKsgOWT6U&#10;11uZph+n7f7zome7Vis1GafJAkSgV/gX/7n3Js6f5zn8fhNPkKs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ddUyO8AAAA&#10;3QAAAA8AAAAAAAAAAQAgAAAAIgAAAGRycy9kb3ducmV2LnhtbFBLAQIUABQAAAAIAIdO4kAzLwWe&#10;OwAAADkAAAAQAAAAAAAAAAEAIAAAAAsBAABkcnMvc2hhcGV4bWwueG1sUEsFBgAAAAAGAAYAWwEA&#10;ALUDAAAAAA==&#10;" path="m64,0l0,0e">
              <v:path o:connectlocs="64,0;0,0;0,0" o:connectangles="0,0,0"/>
              <v:fill on="f" focussize="0,0"/>
              <v:stroke weight="0.0134645669291339pt" color="#000000" joinstyle="round"/>
              <v:imagedata o:title=""/>
              <o:lock v:ext="edit" aspectratio="f"/>
            </v:shape>
            <v:shape id="Freeform 5" o:spid="_x0000_s1608" style="position:absolute;left:6613;top:2188;height:318;width:2;" filled="f" stroked="t" coordsize="1,318" o:gfxdata="UEsDBAoAAAAAAIdO4kAAAAAAAAAAAAAAAAAEAAAAZHJzL1BLAwQUAAAACACHTuJAV1uVKrwAAADd&#10;AAAADwAAAGRycy9kb3ducmV2LnhtbEVPTWvCQBC9C/6HZQRvdTfVikRXQYvgxRa19Txkp0lqdjZk&#10;VxP/vVsoeJvH+5zFqrOVuFHjS8cakpECQZw5U3Ku4eu0fZmB8AHZYOWYNNzJw2rZ7y0wNa7lA92O&#10;IRcxhH2KGooQ6lRKnxVk0Y9cTRy5H9dYDBE2uTQNtjHcVvJVqam0WHJsKLCmTUHZ5Xi1GtTvZ73J&#10;d9/tWZmP91M7XifdvtN6OEjUHESgLjzF/+6difNnkzf4+yaeIJc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dblSq8AAAA&#10;3QAAAA8AAAAAAAAAAQAgAAAAIgAAAGRycy9kb3ducmV2LnhtbFBLAQIUABQAAAAIAIdO4kAzLwWe&#10;OwAAADkAAAAQAAAAAAAAAAEAIAAAAAsBAABkcnMvc2hhcGV4bWwueG1sUEsFBgAAAAAGAAYAWwEA&#10;ALUDAAAAAA==&#10;" path="m0,0l0,318,1,318e">
              <v:path o:connectlocs="0,2188;0,2506;2,2506" o:connectangles="0,0,0"/>
              <v:fill on="f" focussize="0,0"/>
              <v:stroke weight="0.0110236220472441pt" color="#000000" joinstyle="round"/>
              <v:imagedata o:title=""/>
              <o:lock v:ext="edit" aspectratio="f"/>
            </v:shape>
            <v:shape id="Freeform 6" o:spid="_x0000_s1609" style="position:absolute;left:6613;top:2244;height:2;width:65;" filled="f" stroked="t" coordsize="65,1" o:gfxdata="UEsDBAoAAAAAAIdO4kAAAAAAAAAAAAAAAAAEAAAAZHJzL1BLAwQUAAAACACHTuJAaMNoz70AAADd&#10;AAAADwAAAGRycy9kb3ducmV2LnhtbEVPS4vCMBC+L/gfwgh7W9MWt0jX6EEUhPXiY5c9Dsn0gc2k&#10;NNHqvzcLgrf5+J4zX95sK67U+8axgnSSgCDWzjRcKTgdNx8zED4gG2wdk4I7eVguRm9zLIwbeE/X&#10;Q6hEDGFfoII6hK6Q0uuaLPqJ64gjV7reYoiwr6TpcYjhtpVZkuTSYsOxocaOVjXp8+FiFWTf2XQo&#10;f//KNP08rre7H51vWq3U+zhNvkAEuoWX+Onemjh/Ns3h/5t4glw8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ow2jPvQAA&#10;AN0AAAAPAAAAAAAAAAEAIAAAACIAAABkcnMvZG93bnJldi54bWxQSwECFAAUAAAACACHTuJAMy8F&#10;njsAAAA5AAAAEAAAAAAAAAABACAAAAAMAQAAZHJzL3NoYXBleG1sLnhtbFBLBQYAAAAABgAGAFsB&#10;AAC2AwAAAAA=&#10;" path="m0,0l65,0e">
              <v:path o:connectlocs="0,0;65,0;65,0" o:connectangles="0,0,0"/>
              <v:fill on="f" focussize="0,0"/>
              <v:stroke weight="0.0134645669291339pt" color="#000000" joinstyle="round"/>
              <v:imagedata o:title=""/>
              <o:lock v:ext="edit" aspectratio="f"/>
            </v:shape>
            <v:shape id="Freeform 7" o:spid="_x0000_s1610" style="position:absolute;left:6329;top:2244;height:2;width:285;" filled="f" stroked="t" coordsize="285,1" o:gfxdata="UEsDBAoAAAAAAIdO4kAAAAAAAAAAAAAAAAAEAAAAZHJzL1BLAwQUAAAACACHTuJAj6bni7wAAADd&#10;AAAADwAAAGRycy9kb3ducmV2LnhtbEVPS2sCMRC+F/wPYYReiiZbxMdq9CAI7UncFvE4bMbdxc1k&#10;SeK6/fdNoeBtPr7nbHaDbUVPPjSONWRTBYK4dKbhSsP312GyBBEissHWMWn4oQC77ehlg7lxDz5R&#10;X8RKpBAOOWqoY+xyKUNZk8UwdR1x4q7OW4wJ+koaj48Ublv5rtRcWmw4NdTY0b6m8lbcrYbzkB0+&#10;35Qlh1VxOfnmWKzKXuvXcabWICIN8Sn+d3+YNH85W8DfN+kEuf0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m54u8AAAA&#10;3QAAAA8AAAAAAAAAAQAgAAAAIgAAAGRycy9kb3ducmV2LnhtbFBLAQIUABQAAAAIAIdO4kAzLwWe&#10;OwAAADkAAAAQAAAAAAAAAAEAIAAAAAsBAABkcnMvc2hhcGV4bWwueG1sUEsFBgAAAAAGAAYAWwEA&#10;ALUDAAAAAA==&#10;" path="m0,0l284,0,285,0e">
              <v:path o:connectlocs="0,0;284,0;285,0" o:connectangles="0,0,0"/>
              <v:fill on="f" focussize="0,0"/>
              <v:stroke weight="0.0134645669291339pt" color="#000000" joinstyle="round"/>
              <v:imagedata o:title=""/>
              <o:lock v:ext="edit" aspectratio="f"/>
            </v:shape>
            <v:shape id="Freeform 8" o:spid="_x0000_s1611" style="position:absolute;left:6297;top:2204;height:79;width:65;" filled="f" stroked="t" coordsize="65,79" o:gfxdata="UEsDBAoAAAAAAIdO4kAAAAAAAAAAAAAAAAAEAAAAZHJzL1BLAwQUAAAACACHTuJAyUsLJMEAAADd&#10;AAAADwAAAGRycy9kb3ducmV2LnhtbEWPT2vDMAzF74N9B6PBbqvdMUrJ6hYWNhgMBv1D6W5qrMWh&#10;sZzFXpt+++pQ6E3iPb3302wxhFYdqU9NZAvjkQFFXEXXcG1hs/54moJKGdlhG5ksnCnBYn5/N8PC&#10;xRMv6bjKtZIQTgVa8Dl3hdap8hQwjWJHLNpv7ANmWftaux5PEh5a/WzMRAdsWBo8dlR6qg6r/2Dh&#10;/a3+22/PX4dhv/GlM2XX7L5/rH18GJtXUJmGfDNfrz+d4E9fBFe+kRH0/AJ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yUsL&#10;JMEAAADdAAAADwAAAAAAAAABACAAAAAiAAAAZHJzL2Rvd25yZXYueG1sUEsBAhQAFAAAAAgAh07i&#10;QDMvBZ47AAAAOQAAABAAAAAAAAAAAQAgAAAAEAEAAGRycy9zaGFwZXhtbC54bWxQSwUGAAAAAAYA&#10;BgBbAQAAugMAAAAA&#10;" path="m0,78l64,0,65,0e">
              <v:path o:connectlocs="0,2283;64,2205;65,2205" o:connectangles="0,0,0"/>
              <v:fill on="f" focussize="0,0"/>
              <v:stroke weight="0.0120472440944882pt" color="#000000" joinstyle="round"/>
              <v:imagedata o:title=""/>
              <o:lock v:ext="edit" aspectratio="f"/>
            </v:shape>
            <v:shape id="Freeform 9" o:spid="_x0000_s1612" style="position:absolute;left:6581;top:2204;height:79;width:65;" filled="f" stroked="t" coordsize="65,79" o:gfxdata="UEsDBAoAAAAAAIdO4kAAAAAAAAAAAAAAAAAEAAAAZHJzL1BLAwQUAAAACACHTuJApgeuv74AAADd&#10;AAAADwAAAGRycy9kb3ducmV2LnhtbEVP32vCMBB+F/Y/hBv4NhPHGFqNwsoGA0FQy5hvZ3Nris2l&#10;a6LW/34RBr7dx/fz5sveNeJMXag9axiPFAji0puaKw3F7uNpAiJEZIONZ9JwpQDLxcNgjpnxF97Q&#10;eRsrkUI4ZKjBxthmUobSksMw8i1x4n585zAm2FXSdHhJ4a6Rz0q9Soc1pwaLLeWWyuP25DS8v1W/&#10;h6/r6tgfCpsblbf193qv9fBxrGYgIvXxLv53f5o0f/Iyhds36QS5+A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geuv74A&#10;AADdAAAADwAAAAAAAAABACAAAAAiAAAAZHJzL2Rvd25yZXYueG1sUEsBAhQAFAAAAAgAh07iQDMv&#10;BZ47AAAAOQAAABAAAAAAAAAAAQAgAAAADQEAAGRycy9zaGFwZXhtbC54bWxQSwUGAAAAAAYABgBb&#10;AQAAtwMAAAAA&#10;" path="m64,0l0,78e">
              <v:path o:connectlocs="64,2205;0,2283;0,2283" o:connectangles="0,0,0"/>
              <v:fill on="f" focussize="0,0"/>
              <v:stroke weight="0.0120472440944882pt" color="#000000" joinstyle="round"/>
              <v:imagedata o:title=""/>
              <o:lock v:ext="edit" aspectratio="f"/>
            </v:shape>
            <v:line id="Line 10" o:spid="_x0000_s1613" o:spt="20" style="position:absolute;left:6329;top:2172;height:0;width:1;" filled="f" stroked="t" coordsize="21600,21600" o:gfxdata="UEsDBAoAAAAAAIdO4kAAAAAAAAAAAAAAAAAEAAAAZHJzL1BLAwQUAAAACACHTuJALyHEicAAAADd&#10;AAAADwAAAGRycy9kb3ducmV2LnhtbEWPQU/DMAyF75P4D5GRuG1pQaCqLJugKogDElrhwNFqvLYj&#10;caokbOPf4wMSN1vv+b3P6+3ZO3WkmKbABspVAYq4D3biwcDH+9OyApUyskUXmAz8UILt5mKxxtqG&#10;E+/o2OVBSQinGg2MOc+11qkfyWNahZlYtH2IHrOscdA24knCvdPXRXGnPU4sDSPO1IzUf3Xf3oD7&#10;jM/2rbx5mJvpYH3bVu71sTfm6rIs7kFlOud/89/1ixX86lb45RsZQW9+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vIcSJ&#10;wAAAAN0AAAAPAAAAAAAAAAEAIAAAACIAAABkcnMvZG93bnJldi54bWxQSwECFAAUAAAACACHTuJA&#10;My8FnjsAAAA5AAAAEAAAAAAAAAABACAAAAAPAQAAZHJzL3NoYXBleG1sLnhtbFBLBQYAAAAABgAG&#10;AFsBAAC5AwAAAAA=&#10;">
              <v:path arrowok="t"/>
              <v:fill on="f" focussize="0,0"/>
              <v:stroke weight="0.0134645669291339pt" color="#000000" joinstyle="round"/>
              <v:imagedata o:title=""/>
              <o:lock v:ext="edit" aspectratio="f"/>
            </v:line>
            <v:line id="Line 11" o:spid="_x0000_s1614" o:spt="20" style="position:absolute;left:6613;top:2244;height:0;width:1;" filled="f" stroked="t" coordsize="21600,21600" o:gfxdata="UEsDBAoAAAAAAIdO4kAAAAAAAAAAAAAAAAAEAAAAZHJzL1BLAwQUAAAACACHTuJAQG1hEr0AAADd&#10;AAAADwAAAGRycy9kb3ducmV2LnhtbEVPS2sCMRC+F/ofwhR6q9ltsSyrcWkXFQ9CqXrwOGzG3bXJ&#10;ZEni69+bQqG3+fieM62u1ogz+dA7VpCPMhDEjdM9twp228VLASJEZI3GMSm4UYBq9vgwxVK7C3/T&#10;eRNbkUI4lKigi3EopQxNRxbDyA3EiTs4bzEm6FupPV5SuDXyNcvepcWeU0OHA9UdNT+bk1Vg9n6p&#10;v/K3j6Huj9rO54VZfzZKPT/l2QREpGv8F/+5VzrNL8Y5/H6TTpCzO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AbWESvQAA&#10;AN0AAAAPAAAAAAAAAAEAIAAAACIAAABkcnMvZG93bnJldi54bWxQSwECFAAUAAAACACHTuJAMy8F&#10;njsAAAA5AAAAEAAAAAAAAAABACAAAAAMAQAAZHJzL3NoYXBleG1sLnhtbFBLBQYAAAAABgAGAFsB&#10;AAC2AwAAAAA=&#10;">
              <v:path arrowok="t"/>
              <v:fill on="f" focussize="0,0"/>
              <v:stroke weight="0.0134645669291339pt" color="#000000" joinstyle="round"/>
              <v:imagedata o:title=""/>
              <o:lock v:ext="edit" aspectratio="f"/>
            </v:line>
            <v:line id="Line 12" o:spid="_x0000_s1615" o:spt="20" style="position:absolute;left:6613;top:2172;height:0;width:1;" filled="f" stroked="t" coordsize="21600,21600" o:gfxdata="UEsDBAoAAAAAAIdO4kAAAAAAAAAAAAAAAAAEAAAAZHJzL1BLAwQUAAAACACHTuJAsL//Zb4AAADd&#10;AAAADwAAAGRycy9kb3ducmV2LnhtbEVPS2sCMRC+F/wPYYTeana3tCxb46JipQehqD30OGymu6vJ&#10;ZElSH//eFAre5uN7zrS+WCNO5EPvWEE+yUAQN0733Cr42r8/lSBCRNZoHJOCKwWoZ6OHKVbanXlL&#10;p11sRQrhUKGCLsahkjI0HVkMEzcQJ+7HeYsxQd9K7fGcwq2RRZa9Sos9p4YOB1p21Bx3v1aB+fZr&#10;/Zk/z4dlf9B2tSrNZtEo9TjOszcQkS7xLv53f+g0v3wp4O+bdIKc3Q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L//Zb4A&#10;AADdAAAADwAAAAAAAAABACAAAAAiAAAAZHJzL2Rvd25yZXYueG1sUEsBAhQAFAAAAAgAh07iQDMv&#10;BZ47AAAAOQAAABAAAAAAAAAAAQAgAAAADQEAAGRycy9zaGFwZXhtbC54bWxQSwUGAAAAAAYABgBb&#10;AQAAtwMAAAAA&#10;">
              <v:path arrowok="t"/>
              <v:fill on="f" focussize="0,0"/>
              <v:stroke weight="0.0134645669291339pt" color="#000000" joinstyle="round"/>
              <v:imagedata o:title=""/>
              <o:lock v:ext="edit" aspectratio="f"/>
            </v:line>
            <v:shape id="Freeform 13" o:spid="_x0000_s1616" style="position:absolute;left:6150;top:1888;height:210;width:41;" filled="f" stroked="t" coordsize="41,210" o:gfxdata="UEsDBAoAAAAAAIdO4kAAAAAAAAAAAAAAAAAEAAAAZHJzL1BLAwQUAAAACACHTuJAaJ3Oa70AAADd&#10;AAAADwAAAGRycy9kb3ducmV2LnhtbEVPS2vCQBC+F/wPywje6saWSoyuHqSW0ks1Ps5DdkyC2dkk&#10;uyb233cFwdt8fM9ZrG6mEh21rrSsYDKOQBBnVpecKzjsN68xCOeRNVaWScEfOVgtBy8LTLTteUdd&#10;6nMRQtglqKDwvk6kdFlBBt3Y1sSBO9vWoA+wzaVusQ/hppJvUTSVBksODQXWtC4ou6RXo+CriWe/&#10;3U+zTzen47n/tNPttm6UGg0n0RyEp5t/ih/ubx3mxx/vcP8mnCC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onc5rvQAA&#10;AN0AAAAPAAAAAAAAAAEAIAAAACIAAABkcnMvZG93bnJldi54bWxQSwECFAAUAAAACACHTuJAMy8F&#10;njsAAAA5AAAAEAAAAAAAAAABACAAAAAMAQAAZHJzL3NoYXBleG1sLnhtbFBLBQYAAAAABgAGAFsB&#10;AAC2AwAAAAA=&#10;" path="m0,40l16,30,41,0,41,210e">
              <v:path o:connectlocs="0,1928;16,1918;41,1888;41,2098;41,2098" o:connectangles="0,0,0,0,0"/>
              <v:fill on="f" focussize="0,0"/>
              <v:stroke weight="0.0111023622047244pt" color="#000000" joinstyle="round"/>
              <v:imagedata o:title=""/>
              <o:lock v:ext="edit" aspectratio="f"/>
            </v:shape>
            <v:shape id="Freeform 14" o:spid="_x0000_s1617" style="position:absolute;left:6297;top:2077;height:20;width:17;" filled="f" stroked="t" coordsize="17,20" o:gfxdata="UEsDBAoAAAAAAIdO4kAAAAAAAAAAAAAAAAAEAAAAZHJzL1BLAwQUAAAACACHTuJAz7dUjb0AAADd&#10;AAAADwAAAGRycy9kb3ducmV2LnhtbEVPTWsCMRC9F/ofwhS81exWLctqFLEI3rRWKL1NN+Nm281k&#10;SaKu/94UhN7m8T5ntuhtK87kQ+NYQT7MQBBXTjdcKzh8rJ8LECEia2wdk4IrBVjMHx9mWGp34Xc6&#10;72MtUgiHEhWYGLtSylAZshiGriNO3NF5izFBX0vt8ZLCbStfsuxVWmw4NRjsaGWo+t2frILl23ex&#10;rYuvsTkdZOV3P6Nc9p9KDZ7ybAoiUh//xXf3Rqf5xWQMf9+kE+T8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Pt1SNvQAA&#10;AN0AAAAPAAAAAAAAAAEAIAAAACIAAABkcnMvZG93bnJldi54bWxQSwECFAAUAAAACACHTuJAMy8F&#10;njsAAAA5AAAAEAAAAAAAAAABACAAAAAMAQAAZHJzL3NoYXBleG1sLnhtbFBLBQYAAAAABgAGAFsB&#10;AAC2AwAAAAA=&#10;" path="m8,0l0,10,8,20,16,10,8,0e">
              <v:path o:connectlocs="8,2078;0,2088;8,2098;16,2088;8,2078;8,2078" o:connectangles="0,0,0,0,0,0"/>
              <v:fill on="f" focussize="0,0"/>
              <v:stroke weight="0.0120472440944882pt" color="#000000" joinstyle="round"/>
              <v:imagedata o:title=""/>
              <o:lock v:ext="edit" aspectratio="f"/>
            </v:shape>
            <v:shape id="Picture 15" o:spid="_x0000_s1618" o:spt="75" type="#_x0000_t75" style="position:absolute;left:6371;top:1887;height:210;width:115;" filled="f" o:preferrelative="t" stroked="f" coordsize="21600,21600" o:gfxdata="UEsDBAoAAAAAAIdO4kAAAAAAAAAAAAAAAAAEAAAAZHJzL1BLAwQUAAAACACHTuJAy+TB6LwAAADd&#10;AAAADwAAAGRycy9kb3ducmV2LnhtbEVPTWsCMRC9F/ofwgheSk0ULMvW6MFS6LWrIL0Nm3GT7Way&#10;bFLX7a9vBKG3ebzP2eyuvhMXGqILrGG5UCCI62AcNxqOh/fnAkRMyAa7wKRhogi77ePDBksTRv6k&#10;S5UakUM4lqjBptSXUsbakse4CD1x5s5h8JgyHBppBhxzuO/kSqkX6dFxbrDY095S/V39eA3jm3s6&#10;pbNt26r4PXxNamoVOq3ns6V6BZHomv7Fd/eHyfOL9Rpu3+QT5PY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vkwei8AAAA&#10;3QAAAA8AAAAAAAAAAQAgAAAAIgAAAGRycy9kb3ducmV2LnhtbFBLAQIUABQAAAAIAIdO4kAzLwWe&#10;OwAAADkAAAAQAAAAAAAAAAEAIAAAAAsBAABkcnMvc2hhcGV4bWwueG1sUEsFBgAAAAAGAAYAWwEA&#10;ALUDAAAAAA==&#10;">
              <v:path/>
              <v:fill on="f" focussize="0,0"/>
              <v:stroke on="f"/>
              <v:imagedata r:id="rId16" o:title=""/>
              <o:lock v:ext="edit" aspectratio="t"/>
            </v:shape>
            <v:shape id="Picture 16" o:spid="_x0000_s1619" o:spt="75" type="#_x0000_t75" style="position:absolute;left:6542;top:1957;height:141;width:180;" filled="f" o:preferrelative="t" stroked="f" coordsize="21600,21600" o:gfxdata="UEsDBAoAAAAAAIdO4kAAAAAAAAAAAAAAAAAEAAAAZHJzL1BLAwQUAAAACACHTuJAJe+eY78AAADd&#10;AAAADwAAAGRycy9kb3ducmV2LnhtbEVPTWvCQBC9F/oflhG81U2KFRtdPRQKEQ9N0x7qbcyOSUh2&#10;NmRXk/z7bqHgbR7vc7b70bTiRr2rLSuIFxEI4sLqmksF31/vT2sQziNrbC2Tgokc7HePD1tMtB34&#10;k265L0UIYZeggsr7LpHSFRUZdAvbEQfuYnuDPsC+lLrHIYSbVj5H0UoarDk0VNjRW0VFk1+NguPh&#10;lOfuPJzGj6zJXtPDTzPJpVLzWRxtQHga/V387051mL9+WcHfN+EEufs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XvnmO/&#10;AAAA3QAAAA8AAAAAAAAAAQAgAAAAIgAAAGRycy9kb3ducmV2LnhtbFBLAQIUABQAAAAIAIdO4kAz&#10;LwWeOwAAADkAAAAQAAAAAAAAAAEAIAAAAA4BAABkcnMvc2hhcGV4bWwueG1sUEsFBgAAAAAGAAYA&#10;WwEAALgDAAAAAA==&#10;">
              <v:path/>
              <v:fill on="f" focussize="0,0"/>
              <v:stroke on="f"/>
              <v:imagedata r:id="rId17" o:title=""/>
              <o:lock v:ext="edit" aspectratio="t"/>
            </v:shape>
            <v:shape id="Freeform 17" o:spid="_x0000_s1620" style="position:absolute;left:5415;top:1072;height:2;width:1936;" filled="f" stroked="t" coordsize="1936,1" o:gfxdata="UEsDBAoAAAAAAIdO4kAAAAAAAAAAAAAAAAAEAAAAZHJzL1BLAwQUAAAACACHTuJAi7vTvLwAAADd&#10;AAAADwAAAGRycy9kb3ducmV2LnhtbEVPTYvCMBC9C/sfwix4s4lCtVajB2FBEA9aEbwNzdhWm0lp&#10;sur++83Cgrd5vM9Zrl+2FQ/qfeNYwzhRIIhLZxquNJyKr1EGwgdkg61j0vBDHtarj8ESc+OefKDH&#10;MVQihrDPUUMdQpdL6cuaLPrEdcSRu7reYoiwr6Tp8RnDbSsnSk2lxYZjQ40dbWoq78dvq0H63X6r&#10;2vTSFc7Ps3RzvhX7idbDz7FagAj0Cm/xv3tr4vwsncHfN/EEufo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u707y8AAAA&#10;3QAAAA8AAAAAAAAAAQAgAAAAIgAAAGRycy9kb3ducmV2LnhtbFBLAQIUABQAAAAIAIdO4kAzLwWe&#10;OwAAADkAAAAQAAAAAAAAAAEAIAAAAAsBAABkcnMvc2hhcGV4bWwueG1sUEsFBgAAAAAGAAYAWwEA&#10;ALUDAAAAAA==&#10;" path="m0,0l1936,0e">
              <v:path o:connectlocs="0,0;1936,0;1936,0" o:connectangles="0,0,0"/>
              <v:fill on="f" focussize="0,0"/>
              <v:stroke weight="0.0134645669291339pt" color="#000000" joinstyle="round"/>
              <v:imagedata o:title=""/>
              <o:lock v:ext="edit" aspectratio="f"/>
            </v:shape>
            <v:shape id="Picture 18" o:spid="_x0000_s1621" o:spt="75" type="#_x0000_t75" style="position:absolute;left:5448;top:854;height:184;width:101;" filled="f" o:preferrelative="t" stroked="f" coordsize="21600,21600" o:gfxdata="UEsDBAoAAAAAAIdO4kAAAAAAAAAAAAAAAAAEAAAAZHJzL1BLAwQUAAAACACHTuJAWJ95ab4AAADd&#10;AAAADwAAAGRycy9kb3ducmV2LnhtbEWPT2sCQQzF74V+hyGFXkqdVVBkdZQqtIg3/xQ8hp24u3Qn&#10;s+ykrn57cxC8JbyX936ZL6+hMRfqUh3ZwXCQgSEuoq+5dHA8fH9OwSRB9thEJgc3SrBcvL7MMfex&#10;5x1d9lIaDeGUo4NKpM2tTUVFAdMgtsSqnWMXUHTtSus77DU8NHaUZRMbsGZtqLCldUXF3/4/OFj9&#10;7j56WW+2Kzz9UCujWE6+Ts69vw2zGRihqzzNj+uNV/zpWHH1Gx3BLu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J95ab4A&#10;AADdAAAADwAAAAAAAAABACAAAAAiAAAAZHJzL2Rvd25yZXYueG1sUEsBAhQAFAAAAAgAh07iQDMv&#10;BZ47AAAAOQAAABAAAAAAAAAAAQAgAAAADQEAAGRycy9zaGFwZXhtbC54bWxQSwUGAAAAAAYABgBb&#10;AQAAtwMAAAAA&#10;">
              <v:path/>
              <v:fill on="f" focussize="0,0"/>
              <v:stroke on="f"/>
              <v:imagedata r:id="rId18" o:title=""/>
              <o:lock v:ext="edit" aspectratio="t"/>
            </v:shape>
            <v:shape id="Freeform 19" o:spid="_x0000_s1622" style="position:absolute;left:5598;top:932;height:2;width:129;" filled="f" stroked="t" coordsize="129,1" o:gfxdata="UEsDBAoAAAAAAIdO4kAAAAAAAAAAAAAAAAAEAAAAZHJzL1BLAwQUAAAACACHTuJAn58qNbwAAADd&#10;AAAADwAAAGRycy9kb3ducmV2LnhtbEVPS2sCMRC+F/wPYQQvpWZVVtat0YMg2Ivg49LbsBk3WzeT&#10;JYmv/nojFHqbj+858+XdtuJKPjSOFYyGGQjiyumGawXHw/qjABEissbWMSl4UIDlovc2x1K7G+/o&#10;uo+1SCEcSlRgYuxKKUNlyGIYuo44cSfnLcYEfS21x1sKt60cZ9lUWmw4NRjsaGWoOu8vVsH6Pcfc&#10;bXkVzc9vXXxtJpdvP1Fq0B9lnyAi3eO/+M+90Wl+kc/g9U06QS6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fKjW8AAAA&#10;3QAAAA8AAAAAAAAAAQAgAAAAIgAAAGRycy9kb3ducmV2LnhtbFBLAQIUABQAAAAIAIdO4kAzLwWe&#10;OwAAADkAAAAQAAAAAAAAAAEAIAAAAAsBAABkcnMvc2hhcGV4bWwueG1sUEsFBgAAAAAGAAYAWwEA&#10;ALUDAAAAAA==&#10;" path="m0,0l128,0,129,0e">
              <v:path o:connectlocs="0,0;128,0;129,0" o:connectangles="0,0,0"/>
              <v:fill on="f" focussize="0,0"/>
              <v:stroke weight="0.0134645669291339pt" color="#000000" joinstyle="round"/>
              <v:imagedata o:title=""/>
              <o:lock v:ext="edit" aspectratio="f"/>
            </v:shape>
            <v:shape id="Freeform 20" o:spid="_x0000_s1623" style="position:absolute;left:5598;top:985;height:2;width:129;" filled="f" stroked="t" coordsize="129,1" o:gfxdata="UEsDBAoAAAAAAIdO4kAAAAAAAAAAAAAAAAAEAAAAZHJzL1BLAwQUAAAACACHTuJAwMlJFcAAAADd&#10;AAAADwAAAGRycy9kb3ducmV2LnhtbEWPzWsCMRDF74X+D2EKvZSataIsq9GDINiL4MfF27CZbtZu&#10;JksSP9q/3jkI3mZ4b977zWxx8526UExtYAPDQQGKuA625cbAYb/6LEGljGyxC0wG/ijBYv76MsPK&#10;hitv6bLLjZIQThUacDn3ldapduQxDUJPLNpPiB6zrLHRNuJVwn2nv4pioj22LA0Oe1o6qn93Z29g&#10;9THGcdjwMrvTf1N+r0fnYxwZ8/42LKagMt3y0/y4XlvBLyfCL9/ICHp+B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AyUkV&#10;wAAAAN0AAAAPAAAAAAAAAAEAIAAAACIAAABkcnMvZG93bnJldi54bWxQSwECFAAUAAAACACHTuJA&#10;My8FnjsAAAA5AAAAEAAAAAAAAAABACAAAAAPAQAAZHJzL3NoYXBleG1sLnhtbFBLBQYAAAAABgAG&#10;AFsBAAC5AwAAAAA=&#10;" path="m0,0l128,0,129,0e">
              <v:path o:connectlocs="0,0;128,0;129,0" o:connectangles="0,0,0"/>
              <v:fill on="f" focussize="0,0"/>
              <v:stroke weight="0.0134645669291339pt" color="#000000" joinstyle="round"/>
              <v:imagedata o:title=""/>
              <o:lock v:ext="edit" aspectratio="f"/>
            </v:shape>
            <v:shape id="Freeform 21" o:spid="_x0000_s1624" style="position:absolute;left:5798;top:854;height:184;width:37;" filled="f" stroked="t" coordsize="37,184" o:gfxdata="UEsDBAoAAAAAAIdO4kAAAAAAAAAAAAAAAAAEAAAAZHJzL1BLAwQUAAAACACHTuJAG9N6Xr8AAADd&#10;AAAADwAAAGRycy9kb3ducmV2LnhtbEVPTWvCQBC9C/6HZYRepG7SgoToKiJUpB6KSaEeh+yYjWZn&#10;Q3artr++Kwi9zeN9znx5s624UO8bxwrSSQKCuHK64VrBZ/n2nIHwAVlj65gU/JCH5WI4mGOu3ZX3&#10;dClCLWII+xwVmBC6XEpfGbLoJ64jjtzR9RZDhH0tdY/XGG5b+ZIkU2mx4dhgsKO1oepcfFsFq021&#10;3X1szu/laVdm7a95HReHL6WeRmkyAxHoFv7FD/dWx/nZNIX7N/EEufg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vTel6/&#10;AAAA3QAAAA8AAAAAAAAAAQAgAAAAIgAAAGRycy9kb3ducmV2LnhtbFBLAQIUABQAAAAIAIdO4kAz&#10;LwWeOwAAADkAAAAQAAAAAAAAAAEAIAAAAA4BAABkcnMvc2hhcGV4bWwueG1sUEsFBgAAAAAGAAYA&#10;WwEAALgDAAAAAA==&#10;" path="m0,35l14,26,36,0,36,184e">
              <v:path o:connectlocs="0,889;14,880;36,854;36,1038;36,1038" o:connectangles="0,0,0,0,0"/>
              <v:fill on="f" focussize="0,0"/>
              <v:stroke weight="0.0111023622047244pt" color="#000000" joinstyle="round"/>
              <v:imagedata o:title=""/>
              <o:lock v:ext="edit" aspectratio="f"/>
            </v:shape>
            <v:shape id="Freeform 22" o:spid="_x0000_s1625" style="position:absolute;left:5927;top:1020;height:18;width:15;" filled="f" stroked="t" coordsize="15,18" o:gfxdata="UEsDBAoAAAAAAIdO4kAAAAAAAAAAAAAAAAAEAAAAZHJzL1BLAwQUAAAACACHTuJAHPLiYroAAADd&#10;AAAADwAAAGRycy9kb3ducmV2LnhtbEVPzYrCMBC+C75DGMGbpnoQ6Zr2sLD+oB50+wBDM9t2bSah&#10;iVXf3giCt/n4fmeV300reup8Y1nBbJqAIC6tbrhSUPz+TJYgfEDW2FomBQ/ykGfDwQpTbW98ov4c&#10;KhFD2KeooA7BpVL6siaDfmodceT+bGcwRNhVUnd4i+GmlfMkWUiDDceGGh1911RezlejoN3vjgf3&#10;T4XRvTPX3b5Yb/Ci1Hg0S75ABLqHj/jt3uo4f7mYw+ubeILMn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c8uJiugAAAN0A&#10;AAAPAAAAAAAAAAEAIAAAACIAAABkcnMvZG93bnJldi54bWxQSwECFAAUAAAACACHTuJAMy8FnjsA&#10;AAA5AAAAEAAAAAAAAAABACAAAAAJAQAAZHJzL3NoYXBleG1sLnhtbFBLBQYAAAAABgAGAFsBAACz&#10;AwAAAAA=&#10;" path="m8,0l0,9,8,18,15,9,8,0e">
              <v:path o:connectlocs="8,1020;0,1029;8,1038;15,1029;8,1020;8,1020" o:connectangles="0,0,0,0,0,0"/>
              <v:fill on="f" focussize="0,0"/>
              <v:stroke weight="0.0120472440944882pt" color="#000000" joinstyle="round"/>
              <v:imagedata o:title=""/>
              <o:lock v:ext="edit" aspectratio="f"/>
            </v:shape>
            <v:shape id="Picture 23" o:spid="_x0000_s1626" o:spt="75" type="#_x0000_t75" style="position:absolute;left:5991;top:854;height:184;width:101;" filled="f" o:preferrelative="t" stroked="f" coordsize="21600,21600" o:gfxdata="UEsDBAoAAAAAAIdO4kAAAAAAAAAAAAAAAAAEAAAAZHJzL1BLAwQUAAAACACHTuJAcpyUKb0AAADd&#10;AAAADwAAAGRycy9kb3ducmV2LnhtbEVPS2sCMRC+F/wPYYRepCZaEFmNUlYES08+kHqbbqabpZvJ&#10;somr/nsjCL3Nx/ec+fLqatFRGyrPGkZDBYK48KbiUsNhv36bgggR2WDtmTTcKMBy0XuZY2b8hbfU&#10;7WIpUgiHDDXYGJtMylBYchiGviFO3K9vHcYE21KaFi8p3NVyrNREOqw4NVhsKLdU/O3OTsPH+Wuw&#10;+pGVKvPjLc+7T3v6dlutX/sjNQMR6Rr/xU/3xqT508k7PL5JJ8jFH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ynJQpvQAA&#10;AN0AAAAPAAAAAAAAAAEAIAAAACIAAABkcnMvZG93bnJldi54bWxQSwECFAAUAAAACACHTuJAMy8F&#10;njsAAAA5AAAAEAAAAAAAAAABACAAAAAMAQAAZHJzL3NoYXBleG1sLnhtbFBLBQYAAAAABgAGAFsB&#10;AAC2AwAAAAA=&#10;">
              <v:path/>
              <v:fill on="f" focussize="0,0"/>
              <v:stroke on="f"/>
              <v:imagedata r:id="rId19" o:title=""/>
              <o:lock v:ext="edit" aspectratio="t"/>
            </v:shape>
            <v:shape id="Picture 24" o:spid="_x0000_s1627" o:spt="75" type="#_x0000_t75" style="position:absolute;left:6141;top:915;height:123;width:158;" filled="f" o:preferrelative="t" stroked="f" coordsize="21600,21600" o:gfxdata="UEsDBAoAAAAAAIdO4kAAAAAAAAAAAAAAAAAEAAAAZHJzL1BLAwQUAAAACACHTuJApby8V74AAADd&#10;AAAADwAAAGRycy9kb3ducmV2LnhtbEVPPWvDMBDdC/kP4gLZGtmlGONYzpCS0qEQ4mZItqt1tU2t&#10;k5FUx/n3UaHQ7R7v88rtbAYxkfO9ZQXpOgFB3Fjdc6vg9LF/zEH4gKxxsEwKbuRhWy0eSiy0vfKR&#10;pjq0IoawL1BBF8JYSOmbjgz6tR2JI/dlncEQoWuldniN4WaQT0mSSYM9x4YOR9p11HzXP0ZBfthf&#10;smZ27y83/LzUeurPr+lOqdUyTTYgAs3hX/znftNxfp49w+838QRZ3Q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by8V74A&#10;AADdAAAADwAAAAAAAAABACAAAAAiAAAAZHJzL2Rvd25yZXYueG1sUEsBAhQAFAAAAAgAh07iQDMv&#10;BZ47AAAAOQAAABAAAAAAAAAAAQAgAAAADQEAAGRycy9zaGFwZXhtbC54bWxQSwUGAAAAAAYABgBb&#10;AQAAtwMAAAAA&#10;">
              <v:path/>
              <v:fill on="f" focussize="0,0"/>
              <v:stroke on="f"/>
              <v:imagedata r:id="rId20" o:title=""/>
              <o:lock v:ext="edit" aspectratio="t"/>
            </v:shape>
            <v:shape id="Freeform 25" o:spid="_x0000_s1628" style="position:absolute;left:6356;top:819;height:280;width:51;" filled="f" stroked="t" coordsize="51,280" o:gfxdata="UEsDBAoAAAAAAIdO4kAAAAAAAAAAAAAAAAAEAAAAZHJzL1BLAwQUAAAACACHTuJAX0m0BbsAAADd&#10;AAAADwAAAGRycy9kb3ducmV2LnhtbEVPTYvCMBC9C/6HMMLeNK2wUqtRUFnYiweriMehGdtiMylN&#10;tOqvN4LgbR7vc+bLu6nFjVpXWVYQjyIQxLnVFRcKDvu/YQLCeWSNtWVS8CAHy0W/N8dU2453dMt8&#10;IUIIuxQVlN43qZQuL8mgG9mGOHBn2xr0AbaF1C12IdzUchxFE2mw4tBQYkPrkvJLdjUKmnOyfcSn&#10;tV/h5jjuqv00e+qtUj+DOJqB8HT3X/HH/a/D/GTyC+9vwgly8QJ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X0m0BbsAAADd&#10;AAAADwAAAAAAAAABACAAAAAiAAAAZHJzL2Rvd25yZXYueG1sUEsBAhQAFAAAAAgAh07iQDMvBZ47&#10;AAAAOQAAABAAAAAAAAAAAQAgAAAACgEAAGRycy9zaGFwZXhtbC54bWxQSwUGAAAAAAYABgBbAQAA&#10;tAMAAAAA&#10;" path="m50,0l36,18,22,44,7,79,0,123,0,157,7,201,22,236,36,263,50,280e">
              <v:path o:connectlocs="50,819;36,837;22,863;7,898;0,942;0,976;7,1020;22,1055;36,1082;50,1099;50,1099" o:connectangles="0,0,0,0,0,0,0,0,0,0,0"/>
              <v:fill on="f" focussize="0,0"/>
              <v:stroke weight="0.0111023622047244pt" color="#000000" joinstyle="round"/>
              <v:imagedata o:title=""/>
              <o:lock v:ext="edit" aspectratio="f"/>
            </v:shape>
            <v:shape id="Picture 26" o:spid="_x0000_s1629" o:spt="75" type="#_x0000_t75" style="position:absolute;left:6448;top:854;height:184;width:101;" filled="f" o:preferrelative="t" stroked="f" coordsize="21600,21600" o:gfxdata="UEsDBAoAAAAAAIdO4kAAAAAAAAAAAAAAAAAEAAAAZHJzL1BLAwQUAAAACACHTuJAW3oHH7oAAADd&#10;AAAADwAAAGRycy9kb3ducmV2LnhtbEVPzYrCMBC+L/gOYQRva1LBItXoQRBcRHB1H2C2GdtiMylJ&#10;tN23N4Kwt/n4fme1GWwrHuRD41hDNlUgiEtnGq40/Fx2nwsQISIbbB2Thj8KsFmPPlZYGNfzNz3O&#10;sRIphEOBGuoYu0LKUNZkMUxdR5y4q/MWY4K+ksZjn8JtK2dK5dJiw6mhxo62NZW3891quKO/zIbj&#10;rzv0J38IX5man3ql9WScqSWISEP8F7/de5PmL/IcXt+kE+T6C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begcfugAAAN0A&#10;AAAPAAAAAAAAAAEAIAAAACIAAABkcnMvZG93bnJldi54bWxQSwECFAAUAAAACACHTuJAMy8FnjsA&#10;AAA5AAAAEAAAAAAAAAABACAAAAAJAQAAZHJzL3NoYXBleG1sLnhtbFBLBQYAAAAABgAGAFsBAACz&#10;AwAAAAA=&#10;">
              <v:path/>
              <v:fill on="f" focussize="0,0"/>
              <v:stroke on="f"/>
              <v:imagedata r:id="rId21" o:title=""/>
              <o:lock v:ext="edit" aspectratio="t"/>
            </v:shape>
            <v:shape id="Freeform 27" o:spid="_x0000_s1630" style="position:absolute;left:6599;top:1020;height:18;width:15;" filled="f" stroked="t" coordsize="15,18" o:gfxdata="UEsDBAoAAAAAAIdO4kAAAAAAAAAAAAAAAAAEAAAAZHJzL1BLAwQUAAAACACHTuJADIVB+r0AAADd&#10;AAAADwAAAGRycy9kb3ducmV2LnhtbEVPS2rDMBDdB3IHMYHuEjldpMaN4kWhSY3bRVIfYLCmtmtr&#10;JCzFcW9fFQrZzeN9Z5/PZhATjb6zrGC7SUAQ11Z33CioPl/XKQgfkDUOlknBD3nID8vFHjNtb3ym&#10;6RIaEUPYZ6igDcFlUvq6JYN+Yx1x5L7saDBEODZSj3iL4WaQj0mykwY7jg0tOnppqe4vV6NgKIuP&#10;d/dNldGTM9eirI4n7JV6WG2TZxCB5nAX/7vfdJyf7p7g75t4gjz8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MhUH6vQAA&#10;AN0AAAAPAAAAAAAAAAEAIAAAACIAAABkcnMvZG93bnJldi54bWxQSwECFAAUAAAACACHTuJAMy8F&#10;njsAAAA5AAAAEAAAAAAAAAABACAAAAAMAQAAZHJzL3NoYXBleG1sLnhtbFBLBQYAAAAABgAGAFsB&#10;AAC2AwAAAAA=&#10;" path="m7,0l0,9,7,18,14,9,7,0e">
              <v:path o:connectlocs="7,1020;0,1029;7,1038;14,1029;7,1020;7,1020" o:connectangles="0,0,0,0,0,0"/>
              <v:fill on="f" focussize="0,0"/>
              <v:stroke weight="0.0120472440944882pt" color="#000000" joinstyle="round"/>
              <v:imagedata o:title=""/>
              <o:lock v:ext="edit" aspectratio="f"/>
            </v:shape>
            <v:shape id="Freeform 28" o:spid="_x0000_s1631" style="position:absolute;left:6691;top:854;height:184;width:72;" filled="f" stroked="t" coordsize="72,184" o:gfxdata="UEsDBAoAAAAAAIdO4kAAAAAAAAAAAAAAAAAEAAAAZHJzL1BLAwQUAAAACACHTuJA4gyZLL4AAADd&#10;AAAADwAAAGRycy9kb3ducmV2LnhtbEWPQW/CMAyF70j7D5En7UbT7oBYR0DTJBDbjYK0q9eYplrj&#10;VEkG5d/PB6TdbL3n9z6vNpMf1IVi6gMbqIoSFHEbbM+dgdNxO1+CShnZ4hCYDNwowWb9MFthbcOV&#10;D3RpcqckhFONBlzOY611ah15TEUYiUU7h+gxyxo7bSNeJdwP+rksF9pjz9LgcKR3R+1P8+sNnG/2&#10;2330X83bNOzt7rPK1TG+GPP0WJWvoDJN+d98v95bwV8uBFe+kRH0+g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4gyZLL4A&#10;AADdAAAADwAAAAAAAAABACAAAAAiAAAAZHJzL2Rvd25yZXYueG1sUEsBAhQAFAAAAAgAh07iQDMv&#10;BZ47AAAAOQAAABAAAAAAAAAAAQAgAAAADQEAAGRycy9zaGFwZXhtbC54bWxQSwUGAAAAAAYABgBb&#10;AQAAtwMAAAAA&#10;" path="m72,0l0,184e">
              <v:path o:connectlocs="72,854;0,1038;0,1038" o:connectangles="0,0,0"/>
              <v:fill on="f" focussize="0,0"/>
              <v:stroke weight="0.0113385826771654pt" color="#000000" joinstyle="round"/>
              <v:imagedata o:title=""/>
              <o:lock v:ext="edit" aspectratio="f"/>
            </v:shape>
            <v:shape id="Freeform 29" o:spid="_x0000_s1632" style="position:absolute;left:6663;top:854;height:2;width:101;" filled="f" stroked="t" coordsize="101,1" o:gfxdata="UEsDBAoAAAAAAIdO4kAAAAAAAAAAAAAAAAAEAAAAZHJzL1BLAwQUAAAACACHTuJA9YngNsAAAADd&#10;AAAADwAAAGRycy9kb3ducmV2LnhtbEWPT2sCMRDF74V+hzAFL0WzFrrV1ShSEGvBQ1X0OmzGzepm&#10;siTx37c3hUJvM7z3e/NmPL3ZRlzIh9qxgn4vA0FcOl1zpWC7mXcHIEJE1tg4JgV3CjCdPD+NsdDu&#10;yj90WcdKpBAOBSowMbaFlKE0ZDH0XEuctIPzFmNafSW1x2sKt418y7JcWqw5XTDY0qeh8rQ+21Rj&#10;b1bz14XZ+Y/jbJm78+77/m6V6rz0sxGISLf4b/6jv3TiBvkQfr9JI8jJ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1ieA2&#10;wAAAAN0AAAAPAAAAAAAAAAEAIAAAACIAAABkcnMvZG93bnJldi54bWxQSwECFAAUAAAACACHTuJA&#10;My8FnjsAAAA5AAAAEAAAAAAAAAABACAAAAAPAQAAZHJzL3NoYXBleG1sLnhtbFBLBQYAAAAABgAG&#10;AFsBAAC5AwAAAAA=&#10;" path="m0,0l101,0e">
              <v:path o:connectlocs="0,0;101,0;101,0" o:connectangles="0,0,0"/>
              <v:fill on="f" focussize="0,0"/>
              <v:stroke weight="0.0134645669291339pt" color="#000000" joinstyle="round"/>
              <v:imagedata o:title=""/>
              <o:lock v:ext="edit" aspectratio="f"/>
            </v:shape>
            <v:shape id="Picture 30" o:spid="_x0000_s1633" o:spt="75" type="#_x0000_t75" style="position:absolute;left:6806;top:854;height:184;width:101;" filled="f" o:preferrelative="t" stroked="f" coordsize="21600,21600" o:gfxdata="UEsDBAoAAAAAAIdO4kAAAAAAAAAAAAAAAAAEAAAAZHJzL1BLAwQUAAAACACHTuJAEqUYeL8AAADd&#10;AAAADwAAAGRycy9kb3ducmV2LnhtbEWPS2sDMQyE74X8B6NAb429LU3CNk5IC4VeSsijd7FW1kvW&#10;8rJ2Hvvvq0MgN4kZzXxarG6hVRfqUxPZQjExoIir6BquLRz23y9zUCkjO2wjk4WBEqyWo6cFli5e&#10;eUuXXa6VhHAq0YLPuSu1TpWngGkSO2LRjrEPmGXta+16vEp4aPWrMVMdsGFp8NjRl6fqtDsHC9Pf&#10;t32xDkf/9/6pz2bYDIcQB2ufx4X5AJXplh/m+/WPE/z5TPjlGxlBL/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KlGHi/&#10;AAAA3QAAAA8AAAAAAAAAAQAgAAAAIgAAAGRycy9kb3ducmV2LnhtbFBLAQIUABQAAAAIAIdO4kAz&#10;LwWeOwAAADkAAAAQAAAAAAAAAAEAIAAAAA4BAABkcnMvc2hhcGV4bWwueG1sUEsFBgAAAAAGAAYA&#10;WwEAALgDAAAAAA==&#10;">
              <v:path/>
              <v:fill on="f" focussize="0,0"/>
              <v:stroke on="f"/>
              <v:imagedata r:id="rId22" o:title=""/>
              <o:lock v:ext="edit" aspectratio="t"/>
            </v:shape>
            <v:shape id="Picture 31" o:spid="_x0000_s1634" o:spt="75" type="#_x0000_t75" style="position:absolute;left:6956;top:915;height:123;width:158;" filled="f" o:preferrelative="t" stroked="f" coordsize="21600,21600" o:gfxdata="UEsDBAoAAAAAAIdO4kAAAAAAAAAAAAAAAAAEAAAAZHJzL1BLAwQUAAAACACHTuJAEPIGb7sAAADd&#10;AAAADwAAAGRycy9kb3ducmV2LnhtbEWPzQrCMBCE74LvEFbwpmlFVKrRgyAIevAPz0uztsVmU5to&#10;1ac3guBtl5lvdna2eJpSPKh2hWUFcT8CQZxaXXCm4HRc9SYgnEfWWFomBS9ysJi3WzNMtG14T4+D&#10;z0QIYZeggtz7KpHSpTkZdH1bEQftYmuDPqx1JnWNTQg3pRxE0UgaLDhcyLGiZU7p9XA3oYa9bG7n&#10;bPjaFHzbnpbvXbM+Nkp1O3E0BeHp6f/mH73WgZuMY/h+E0aQ8w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PIGb7sAAADd&#10;AAAADwAAAAAAAAABACAAAAAiAAAAZHJzL2Rvd25yZXYueG1sUEsBAhQAFAAAAAgAh07iQDMvBZ47&#10;AAAAOQAAABAAAAAAAAAAAQAgAAAACgEAAGRycy9zaGFwZXhtbC54bWxQSwUGAAAAAAYABgBbAQAA&#10;tAMAAAAA&#10;">
              <v:path/>
              <v:fill on="f" focussize="0,0"/>
              <v:stroke on="f"/>
              <v:imagedata r:id="rId23" o:title=""/>
              <o:lock v:ext="edit" aspectratio="t"/>
            </v:shape>
            <v:shape id="Freeform 32" o:spid="_x0000_s1635" style="position:absolute;left:7163;top:819;height:280;width:51;" filled="f" stroked="t" coordsize="51,280" o:gfxdata="UEsDBAoAAAAAAIdO4kAAAAAAAAAAAAAAAAAEAAAAZHJzL1BLAwQUAAAACACHTuJAVXm6rLwAAADd&#10;AAAADwAAAGRycy9kb3ducmV2LnhtbEVPTYvCMBC9C/sfwgjebNoedrvVKOgi7MWDVWSPQzO2xWZS&#10;mmjVX28WBG/zeJ8zX95MK67Uu8aygiSKQRCXVjdcKTjsN9MMhPPIGlvLpOBODpaLj9Ecc20H3tG1&#10;8JUIIexyVFB73+VSurImgy6yHXHgTrY36APsK6l7HEK4aWUax5/SYMOhocaO1jWV5+JiFHSnbHtP&#10;/tZ+hT/HdGj238VDb5WajJN4BsLTzb/FL/evDvOzrxT+vwknyMU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V5uqy8AAAA&#10;3QAAAA8AAAAAAAAAAQAgAAAAIgAAAGRycy9kb3ducmV2LnhtbFBLAQIUABQAAAAIAIdO4kAzLwWe&#10;OwAAADkAAAAQAAAAAAAAAAEAIAAAAAsBAABkcnMvc2hhcGV4bWwueG1sUEsFBgAAAAAGAAYAWwEA&#10;ALUDAAAAAA==&#10;" path="m0,0l14,18,28,44,43,79,50,123,50,157,43,201,28,236,14,263,0,280e">
              <v:path o:connectlocs="0,819;14,837;28,863;43,898;50,942;50,976;43,1020;28,1055;14,1082;0,1099;0,1099" o:connectangles="0,0,0,0,0,0,0,0,0,0,0"/>
              <v:fill on="f" focussize="0,0"/>
              <v:stroke weight="0.0111023622047244pt" color="#000000" joinstyle="round"/>
              <v:imagedata o:title=""/>
              <o:lock v:ext="edit" aspectratio="f"/>
            </v:shape>
            <v:shape id="Freeform 33" o:spid="_x0000_s1636" style="position:absolute;left:5315;top:491;height:2;width:1423;" filled="f" stroked="t" coordsize="1423,1" o:gfxdata="UEsDBAoAAAAAAIdO4kAAAAAAAAAAAAAAAAAEAAAAZHJzL1BLAwQUAAAACACHTuJAI1fy8b0AAADd&#10;AAAADwAAAGRycy9kb3ducmV2LnhtbEVPTWsCMRC9F/ofwhS8lJqo1C5bo8iCoLdWS/E4bKa7q5vJ&#10;kkRd/30jCN7m8T5ntuhtK87kQ+NYw2ioQBCXzjRcafjZrd4yECEiG2wdk4YrBVjMn59mmBt34W86&#10;b2MlUgiHHDXUMXa5lKGsyWIYuo44cX/OW4wJ+koaj5cUbls5VmoqLTacGmrsqKipPG5PVkPml6ti&#10;/Xr49TZsru9NsVf9117rwctIfYKI1MeH+O5emzQ/+5jA7Zt0gpz/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jV/LxvQAA&#10;AN0AAAAPAAAAAAAAAAEAIAAAACIAAABkcnMvZG93bnJldi54bWxQSwECFAAUAAAACACHTuJAMy8F&#10;njsAAAA5AAAAEAAAAAAAAAABACAAAAAMAQAAZHJzL3NoYXBleG1sLnhtbFBLBQYAAAAABgAGAFsB&#10;AAC2AwAAAAA=&#10;" path="m0,0l1422,0e">
              <v:path o:connectlocs="0,0;1422,0;1422,0" o:connectangles="0,0,0"/>
              <v:fill on="f" focussize="0,0"/>
              <v:stroke weight="0.0134645669291339pt" color="#000000" joinstyle="round"/>
              <v:imagedata o:title=""/>
              <o:lock v:ext="edit" aspectratio="f"/>
            </v:shape>
            <v:shape id="Picture 34" o:spid="_x0000_s1637" o:spt="75" type="#_x0000_t75" style="position:absolute;left:5366;top:257;height:184;width:101;" filled="f" o:preferrelative="t" stroked="f" coordsize="21600,21600" o:gfxdata="UEsDBAoAAAAAAIdO4kAAAAAAAAAAAAAAAAAEAAAAZHJzL1BLAwQUAAAACACHTuJA3RBVWLwAAADd&#10;AAAADwAAAGRycy9kb3ducmV2LnhtbEVPS2sCMRC+C/6HMEJvmt0idbs1ehCkpSL46KW3YTNuFjeT&#10;JUlX/femIHibj+858+XVtqInHxrHCvJJBoK4crrhWsHPcT0uQISIrLF1TApuFGC5GA7mWGp34T31&#10;h1iLFMKhRAUmxq6UMlSGLIaJ64gTd3LeYkzQ11J7vKRw28rXLHuTFhtODQY7Whmqzoc/q6Dw+Sa+&#10;//ZOyiKY7eZ79zm1O6VeRnn2ASLSNT7FD/eXTvOL2RT+v0knyMU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0QVVi8AAAA&#10;3QAAAA8AAAAAAAAAAQAgAAAAIgAAAGRycy9kb3ducmV2LnhtbFBLAQIUABQAAAAIAIdO4kAzLwWe&#10;OwAAADkAAAAQAAAAAAAAAAEAIAAAAAsBAABkcnMvc2hhcGV4bWwueG1sUEsFBgAAAAAGAAYAWwEA&#10;ALUDAAAAAA==&#10;">
              <v:path/>
              <v:fill on="f" focussize="0,0"/>
              <v:stroke on="f"/>
              <v:imagedata r:id="rId24" o:title=""/>
              <o:lock v:ext="edit" aspectratio="t"/>
            </v:shape>
            <v:shape id="Freeform 35" o:spid="_x0000_s1638" style="position:absolute;left:5516;top:335;height:2;width:129;" filled="f" stroked="t" coordsize="129,1" o:gfxdata="UEsDBAoAAAAAAIdO4kAAAAAAAAAAAAAAAAAEAAAAZHJzL1BLAwQUAAAACACHTuJAVWd8ULwAAADd&#10;AAAADwAAAGRycy9kb3ducmV2LnhtbEVPS2sCMRC+F/wPYQQvRbMqa5et0YMg2Ivg49LbsBk3WzeT&#10;JYmv/nojFHqbj+858+XdtuJKPjSOFYxHGQjiyumGawXHw3pYgAgRWWPrmBQ8KMBy0XubY6ndjXd0&#10;3cdapBAOJSowMXallKEyZDGMXEecuJPzFmOCvpba4y2F21ZOsmwmLTacGgx2tDJUnfcXq2D9nmPu&#10;tryK5ue3Lr4208u3nyo16I+zTxCR7vFf/Ofe6DS/+Mjh9U06QS6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VnfFC8AAAA&#10;3QAAAA8AAAAAAAAAAQAgAAAAIgAAAGRycy9kb3ducmV2LnhtbFBLAQIUABQAAAAIAIdO4kAzLwWe&#10;OwAAADkAAAAQAAAAAAAAAAEAIAAAAAsBAABkcnMvc2hhcGV4bWwueG1sUEsFBgAAAAAGAAYAWwEA&#10;ALUDAAAAAA==&#10;" path="m0,0l129,0e">
              <v:path o:connectlocs="0,0;129,0;129,0" o:connectangles="0,0,0"/>
              <v:fill on="f" focussize="0,0"/>
              <v:stroke weight="0.0134645669291339pt" color="#000000" joinstyle="round"/>
              <v:imagedata o:title=""/>
              <o:lock v:ext="edit" aspectratio="f"/>
            </v:shape>
            <v:shape id="Freeform 36" o:spid="_x0000_s1639" style="position:absolute;left:5516;top:388;height:2;width:129;" filled="f" stroked="t" coordsize="129,1" o:gfxdata="UEsDBAoAAAAAAIdO4kAAAAAAAAAAAAAAAAAEAAAAZHJzL1BLAwQUAAAACACHTuJApbXiJ74AAADd&#10;AAAADwAAAGRycy9kb3ducmV2LnhtbEVPTWvCQBC9F/wPywi9lLpRUUPq6kEIpJeCthdvQ3aaTc3O&#10;ht01sf31XaHQ2zze52z3N9uJgXxoHSuYzzIQxLXTLTcKPt7L5xxEiMgaO8ek4JsC7HeThy0W2o18&#10;pOEUG5FCOBSowMTYF1KG2pDFMHM9ceI+nbcYE/SN1B7HFG47uciytbTYcmow2NPBUH05Xa2C8mmF&#10;K/fGh2i+fpr8tVpez36p1ON0nr2AiHSL/+I/d6XT/Hyzhvs36QS5+w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bXiJ74A&#10;AADdAAAADwAAAAAAAAABACAAAAAiAAAAZHJzL2Rvd25yZXYueG1sUEsBAhQAFAAAAAgAh07iQDMv&#10;BZ47AAAAOQAAABAAAAAAAAAAAQAgAAAADQEAAGRycy9zaGFwZXhtbC54bWxQSwUGAAAAAAYABgBb&#10;AQAAtwMAAAAA&#10;" path="m0,0l129,0e">
              <v:path o:connectlocs="0,0;129,0;129,0" o:connectangles="0,0,0"/>
              <v:fill on="f" focussize="0,0"/>
              <v:stroke weight="0.0134645669291339pt" color="#000000" joinstyle="round"/>
              <v:imagedata o:title=""/>
              <o:lock v:ext="edit" aspectratio="f"/>
            </v:shape>
            <v:shape id="Picture 37" o:spid="_x0000_s1640" o:spt="75" type="#_x0000_t75" style="position:absolute;left:5694;top:257;height:184;width:101;" filled="f" o:preferrelative="t" stroked="f" coordsize="21600,21600" o:gfxdata="UEsDBAoAAAAAAIdO4kAAAAAAAAAAAAAAAAAEAAAAZHJzL1BLAwQUAAAACACHTuJAeTk+87wAAADd&#10;AAAADwAAAGRycy9kb3ducmV2LnhtbEVPS4vCMBC+L/gfwgh7W9N60FKNHhYFURB84XW2mW3LNpOa&#10;xFr//WZhwdt8fM+ZL3vTiI6cry0rSEcJCOLC6ppLBefT+iMD4QOyxsYyKXiSh+Vi8DbHXNsHH6g7&#10;hlLEEPY5KqhCaHMpfVGRQT+yLXHkvq0zGCJ0pdQOHzHcNHKcJBNpsObYUGFLnxUVP8e7UXCz9WG7&#10;u7rM79ueVt0+fY6/Lkq9D9NkBiJQH17if/dGx/nZdAp/38QT5OI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k5PvO8AAAA&#10;3QAAAA8AAAAAAAAAAQAgAAAAIgAAAGRycy9kb3ducmV2LnhtbFBLAQIUABQAAAAIAIdO4kAzLwWe&#10;OwAAADkAAAAQAAAAAAAAAAEAIAAAAAsBAABkcnMvc2hhcGV4bWwueG1sUEsFBgAAAAAGAAYAWwEA&#10;ALUDAAAAAA==&#10;">
              <v:path/>
              <v:fill on="f" focussize="0,0"/>
              <v:stroke on="f"/>
              <v:imagedata r:id="rId25" o:title=""/>
              <o:lock v:ext="edit" aspectratio="t"/>
            </v:shape>
            <v:shape id="Freeform 38" o:spid="_x0000_s1641" style="position:absolute;left:5845;top:423;height:18;width:15;" filled="f" stroked="t" coordsize="15,18" o:gfxdata="UEsDBAoAAAAAAIdO4kAAAAAAAAAAAAAAAAAEAAAAZHJzL1BLAwQUAAAACACHTuJA+MNDVb0AAADd&#10;AAAADwAAAGRycy9kb3ducmV2LnhtbEWPQW/CMAyF75P4D5GRuI2UHRjqCByQgCG2w1h/gNWYttA4&#10;URMK/Ht8QOJm6z2/93m+vLlW9dTFxrOByTgDRVx623BloPhfv89AxYRssfVMBu4UYbkYvM0xt/7K&#10;f9QfUqUkhGOOBuqUQq51LGtyGMc+EIt29J3DJGtXadvhVcJdqz+ybKodNiwNNQZa1VSeDxdnoN3v&#10;fn/CiQpn++Auu32x2eLZmNFwkn2BSnRLL/Pz+tsK/uxTcOUbGUEvH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4w0NVvQAA&#10;AN0AAAAPAAAAAAAAAAEAIAAAACIAAABkcnMvZG93bnJldi54bWxQSwECFAAUAAAACACHTuJAMy8F&#10;njsAAAA5AAAAEAAAAAAAAAABACAAAAAMAQAAZHJzL3NoYXBleG1sLnhtbFBLBQYAAAAABgAGAFsB&#10;AAC2AwAAAAA=&#10;" path="m7,0l0,8,7,17,14,8,7,0e">
              <v:path o:connectlocs="7,424;0,432;7,441;14,432;7,424;7,424" o:connectangles="0,0,0,0,0,0"/>
              <v:fill on="f" focussize="0,0"/>
              <v:stroke weight="0.0120472440944882pt" color="#000000" joinstyle="round"/>
              <v:imagedata o:title=""/>
              <o:lock v:ext="edit" aspectratio="f"/>
            </v:shape>
            <v:shape id="Picture 39" o:spid="_x0000_s1642" o:spt="75" type="#_x0000_t75" style="position:absolute;left:5909;top:257;height:184;width:101;" filled="f" o:preferrelative="t" stroked="f" coordsize="21600,21600" o:gfxdata="UEsDBAoAAAAAAIdO4kAAAAAAAAAAAAAAAAAEAAAAZHJzL1BLAwQUAAAACACHTuJAkRWY274AAADd&#10;AAAADwAAAGRycy9kb3ducmV2LnhtbEWPQWvCQBCF7wX/wzKF3pqNLWiaunoQxd7EGEqPQ3bcDc3O&#10;huxW03/vCoK3Gd773rxZrEbXiTMNofWsYJrlIIgbr1s2Curj9rUAESKyxs4zKfinAKvl5GmBpfYX&#10;PtC5ikakEA4lKrAx9qWUobHkMGS+J07ayQ8OY1oHI/WAlxTuOvmW5zPpsOV0wWJPa0vNb/XnUo06&#10;rpvN0Rb7Ptjvwpj3n5PdKfXyPM0/QUQa48N8p7904or5B9y+SSPI5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RWY274A&#10;AADdAAAADwAAAAAAAAABACAAAAAiAAAAZHJzL2Rvd25yZXYueG1sUEsBAhQAFAAAAAgAh07iQDMv&#10;BZ47AAAAOQAAABAAAAAAAAAAAQAgAAAADQEAAGRycy9zaGFwZXhtbC54bWxQSwUGAAAAAAYABgBb&#10;AQAAtwMAAAAA&#10;">
              <v:path/>
              <v:fill on="f" focussize="0,0"/>
              <v:stroke on="f"/>
              <v:imagedata r:id="rId26" o:title=""/>
              <o:lock v:ext="edit" aspectratio="t"/>
            </v:shape>
            <v:shape id="Picture 40" o:spid="_x0000_s1643" o:spt="75" type="#_x0000_t75" style="position:absolute;left:6059;top:318;height:123;width:158;" filled="f" o:preferrelative="t" stroked="f" coordsize="21600,21600" o:gfxdata="UEsDBAoAAAAAAIdO4kAAAAAAAAAAAAAAAAAEAAAAZHJzL1BLAwQUAAAACACHTuJAFDABPr8AAADd&#10;AAAADwAAAGRycy9kb3ducmV2LnhtbEWPT2sCQQzF7wW/w5CCtzpjD7LdOnooCCqIaAWv6U7cXdzJ&#10;rDtT/316cxC8JbyX934ZT6++UWfqYh3YwnBgQBEXwdVcWtj9zj4yUDEhO2wCk4UbRZhOem9jzF24&#10;8IbO21QqCeGYo4UqpTbXOhYVeYyD0BKLdgidxyRrV2rX4UXCfaM/jRlpjzVLQ4Ut/VRUHLf/3sLC&#10;m1P8wv1teT/es/WB02r2t7K2/z4036ASXdPL/LyeO8HPMuGXb2QEPXk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QwAT6/&#10;AAAA3QAAAA8AAAAAAAAAAQAgAAAAIgAAAGRycy9kb3ducmV2LnhtbFBLAQIUABQAAAAIAIdO4kAz&#10;LwWeOwAAADkAAAAQAAAAAAAAAAEAIAAAAA4BAABkcnMvc2hhcGV4bWwueG1sUEsFBgAAAAAGAAYA&#10;WwEAALgDAAAAAA==&#10;">
              <v:path/>
              <v:fill on="f" focussize="0,0"/>
              <v:stroke on="f"/>
              <v:imagedata r:id="rId27" o:title=""/>
              <o:lock v:ext="edit" aspectratio="t"/>
            </v:shape>
            <v:shape id="Freeform 41" o:spid="_x0000_s1644" style="position:absolute;left:6273;top:222;height:280;width:51;" filled="f" stroked="t" coordsize="51,280" o:gfxdata="UEsDBAoAAAAAAIdO4kAAAAAAAAAAAAAAAAAEAAAAZHJzL1BLAwQUAAAACACHTuJAkH5U/L0AAADd&#10;AAAADwAAAGRycy9kb3ducmV2LnhtbEVPO2vDMBDeC/kP4gLdGtkZiutENiSh0MVDnRIyHtbFNrFO&#10;xlL86K+vCoVu9/E9b5/PphMjDa61rCDeRCCIK6tbrhV8nd9fEhDOI2vsLJOChRzk2eppj6m2E3/S&#10;WPpahBB2KSpovO9TKV3VkEG3sT1x4G52MOgDHGqpB5xCuOnkNopepcGWQ0ODPR0bqu7lwyjob0mx&#10;xNejP+Dpsp3a81v5rQulntdxtAPhafb/4j/3hw7zkySG32/CCTL7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QflT8vQAA&#10;AN0AAAAPAAAAAAAAAAEAIAAAACIAAABkcnMvZG93bnJldi54bWxQSwECFAAUAAAACACHTuJAMy8F&#10;njsAAAA5AAAAEAAAAAAAAAABACAAAAAMAQAAZHJzL3NoYXBleG1sLnhtbFBLBQYAAAAABgAGAFsB&#10;AAC2AwAAAAA=&#10;" path="m50,0l36,18,21,44,7,79,0,123,0,158,7,202,21,237,36,263,50,280e">
              <v:path o:connectlocs="50,222;36,240;21,266;7,301;0,345;0,380;7,424;21,459;36,485;50,502;50,502" o:connectangles="0,0,0,0,0,0,0,0,0,0,0"/>
              <v:fill on="f" focussize="0,0"/>
              <v:stroke weight="0.0111023622047244pt" color="#000000" joinstyle="round"/>
              <v:imagedata o:title=""/>
              <o:lock v:ext="edit" aspectratio="f"/>
            </v:shape>
            <v:shape id="Picture 42" o:spid="_x0000_s1645" o:spt="75" type="#_x0000_t75" style="position:absolute;left:6366;top:257;height:184;width:101;" filled="f" o:preferrelative="t" stroked="f" coordsize="21600,21600" o:gfxdata="UEsDBAoAAAAAAIdO4kAAAAAAAAAAAAAAAAAEAAAAZHJzL1BLAwQUAAAACACHTuJAGPg4Yr0AAADd&#10;AAAADwAAAGRycy9kb3ducmV2LnhtbEVPS2vCQBC+C/0PyxR6kboxlBJSVw+WQmkPohZ6HbNjEpKd&#10;DbvjI//eLQi9zcf3nMXq6np1phBbzwbmswwUceVty7WBn/3HcwEqCrLF3jMZGCnCavkwWWBp/YW3&#10;dN5JrVIIxxINNCJDqXWsGnIYZ34gTtzRB4eSYKi1DXhJ4a7XeZa9aoctp4YGB1o3VHW7kzMwHF7k&#10;+/1XvjqajpsT5WE/dgdjnh7n2Rsooav8i+/uT5vmF0UOf9+kE/Ty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Y+DhivQAA&#10;AN0AAAAPAAAAAAAAAAEAIAAAACIAAABkcnMvZG93bnJldi54bWxQSwECFAAUAAAACACHTuJAMy8F&#10;njsAAAA5AAAAEAAAAAAAAAABACAAAAAMAQAAZHJzL3NoYXBleG1sLnhtbFBLBQYAAAAABgAGAFsB&#10;AAC2AwAAAAA=&#10;">
              <v:path/>
              <v:fill on="f" focussize="0,0"/>
              <v:stroke on="f"/>
              <v:imagedata r:id="rId28" o:title=""/>
              <o:lock v:ext="edit" aspectratio="t"/>
            </v:shape>
            <v:shape id="Picture 43" o:spid="_x0000_s1646" o:spt="75" type="#_x0000_t75" style="position:absolute;left:6516;top:318;height:123;width:158;" filled="f" o:preferrelative="t" stroked="f" coordsize="21600,21600" o:gfxdata="UEsDBAoAAAAAAIdO4kAAAAAAAAAAAAAAAAAEAAAAZHJzL1BLAwQUAAAACACHTuJAcEOSqL0AAADd&#10;AAAADwAAAGRycy9kb3ducmV2LnhtbEVPTWsCMRC9F/ofwgjeamKFsqxGD9qCHoS67aG9jZtxd3Ez&#10;WZK4q//eCIXe5vE+Z7G62lb05EPjWMN0okAQl840XGn4/vp4yUCEiGywdUwabhRgtXx+WmBu3MAH&#10;6otYiRTCIUcNdYxdLmUoa7IYJq4jTtzJeYsxQV9J43FI4baVr0q9SYsNp4YaO1rXVJ6Li9Xgbhv1&#10;ufXFe9j3u5/z5vdYDdlR6/FoquYgIl3jv/jPvTVpfpbN4PFNOkEu7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wQ5KovQAA&#10;AN0AAAAPAAAAAAAAAAEAIAAAACIAAABkcnMvZG93bnJldi54bWxQSwECFAAUAAAACACHTuJAMy8F&#10;njsAAAA5AAAAEAAAAAAAAAABACAAAAAMAQAAZHJzL3NoYXBleG1sLnhtbFBLBQYAAAAABgAGAFsB&#10;AAC2AwAAAAA=&#10;">
              <v:path/>
              <v:fill on="f" focussize="0,0"/>
              <v:stroke on="f"/>
              <v:imagedata r:id="rId29" o:title=""/>
              <o:lock v:ext="edit" aspectratio="t"/>
            </v:shape>
            <v:shape id="Freeform 44" o:spid="_x0000_s1647" style="position:absolute;left:6724;top:222;height:280;width:50;" filled="f" stroked="t" coordsize="50,280" o:gfxdata="UEsDBAoAAAAAAIdO4kAAAAAAAAAAAAAAAAAEAAAAZHJzL1BLAwQUAAAACACHTuJAgaGnSr4AAADd&#10;AAAADwAAAGRycy9kb3ducmV2LnhtbEVPS2vCQBC+F/wPywi91Y0SNKRucrAUrRZsbfE8Zsckmp0N&#10;2fX177uC0Nt8fM+Z5lfTiDN1rrasYDiIQBAXVtdcKvj9eX9JQDiPrLGxTApu5CDPek9TTLW98Ded&#10;N74UIYRdigoq79tUSldUZNANbEscuL3tDPoAu1LqDi8h3DRyFEVjabDm0FBhS7OKiuPmZBQsJqv4&#10;a/exXp5MvS3j+eehtes3pZ77w+gVhKer/xc/3Asd5idJDPdvwgky+w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aGnSr4A&#10;AADdAAAADwAAAAAAAAABACAAAAAiAAAAZHJzL2Rvd25yZXYueG1sUEsBAhQAFAAAAAgAh07iQDMv&#10;BZ47AAAAOQAAABAAAAAAAAAAAQAgAAAADQEAAGRycy9zaGFwZXhtbC54bWxQSwUGAAAAAAYABgBb&#10;AQAAtwMAAAAA&#10;" path="m0,0l14,18,29,44,43,79,50,123,50,158,43,202,29,237,14,263,0,280e">
              <v:path o:connectlocs="0,222;14,240;29,266;43,301;50,345;50,380;43,424;29,459;14,485;0,502;0,502" o:connectangles="0,0,0,0,0,0,0,0,0,0,0"/>
              <v:fill on="f" focussize="0,0"/>
              <v:stroke weight="0.0111023622047244pt" color="#000000" joinstyle="round"/>
              <v:imagedata o:title=""/>
              <o:lock v:ext="edit" aspectratio="f"/>
            </v:shape>
            <v:rect id="Rectangle 45" o:spid="_x0000_s1648" o:spt="1" style="position:absolute;left:4574;top:2979;height:21;width:3411;" fillcolor="#000000" filled="t" stroked="f" coordsize="21600,21600" o:gfxdata="UEsDBAoAAAAAAIdO4kAAAAAAAAAAAAAAAAAEAAAAZHJzL1BLAwQUAAAACACHTuJAekAOar0AAADd&#10;AAAADwAAAGRycy9kb3ducmV2LnhtbEVPS2sCMRC+F/wPYYTeaqLUsq5GQUHopaC2B72Nm3F3cTNZ&#10;k/j89aZQ6G0+vudMZjfbiAv5UDvW0O8pEMSFMzWXGn6+l28ZiBCRDTaOScOdAsymnZcJ5sZdeU2X&#10;TSxFCuGQo4YqxjaXMhQVWQw91xIn7uC8xZigL6XxeE3htpEDpT6kxZpTQ4UtLSoqjpuz1TAfZfPT&#10;6p2/Huv9jnbb/XE48Err125fjUFEusV/8Z/706T5WTaE32/SCXL6B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6QA5qvQAA&#10;AN0AAAAPAAAAAAAAAAEAIAAAACIAAABkcnMvZG93bnJldi54bWxQSwECFAAUAAAACACHTuJAMy8F&#10;njsAAAA5AAAAEAAAAAAAAAABACAAAAAMAQAAZHJzL3NoYXBleG1sLnhtbFBLBQYAAAAABgAGAFsB&#10;AAC2AwAAAAA=&#10;">
              <v:path/>
              <v:fill on="t" focussize="0,0"/>
              <v:stroke on="f"/>
              <v:imagedata o:title=""/>
              <o:lock v:ext="edit" aspectratio="f"/>
            </v:rect>
            <v:rect id="Rectangle 46" o:spid="_x0000_s1649" o:spt="1" style="position:absolute;left:4574;top:2979;height:21;width:3411;" fillcolor="#000000" filled="t" stroked="f" coordsize="21600,21600" o:gfxdata="UEsDBAoAAAAAAIdO4kAAAAAAAAAAAAAAAAAEAAAAZHJzL1BLAwQUAAAACACHTuJAipKQHb4AAADd&#10;AAAADwAAAGRycy9kb3ducmV2LnhtbEVPS2sCMRC+F/ofwhR6q4liZbuaFRQEL4X6ONTbuBl3l91M&#10;1iQ+2l/fFAq9zcf3nNn8bjtxJR8axxqGAwWCuHSm4UrDfrd6yUCEiGywc0wavijAvHh8mGFu3I03&#10;dN3GSqQQDjlqqGPscylDWZPFMHA9ceJOzluMCfpKGo+3FG47OVJqIi02nBpq7GlZU9luL1bD4i1b&#10;nD/G/P69OR7o8HlsX0deaf38NFRTEJHu8V/8516bND/LJvD7TTpBFj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pKQHb4A&#10;AADdAAAADwAAAAAAAAABACAAAAAiAAAAZHJzL2Rvd25yZXYueG1sUEsBAhQAFAAAAAgAh07iQDMv&#10;BZ47AAAAOQAAABAAAAAAAAAAAQAgAAAADQEAAGRycy9zaGFwZXhtbC54bWxQSwUGAAAAAAYABgBb&#10;AQAAtwMAAAAA&#10;">
              <v:path/>
              <v:fill on="t" focussize="0,0"/>
              <v:stroke on="f"/>
              <v:imagedata o:title=""/>
              <o:lock v:ext="edit" aspectratio="f"/>
            </v:rect>
            <v:rect id="Rectangle 47" o:spid="_x0000_s1650" o:spt="1" style="position:absolute;left:4574;top:2979;height:21;width:3411;" filled="f" stroked="t" coordsize="21600,21600" o:gfxdata="UEsDBAoAAAAAAIdO4kAAAAAAAAAAAAAAAAAEAAAAZHJzL1BLAwQUAAAACACHTuJAcWGxY7sAAADd&#10;AAAADwAAAGRycy9kb3ducmV2LnhtbEVPPW/CMBDdK/EfrENiKw4MJAoYBhAVK7QBxlN8xBHxOYrd&#10;EPj1daVK3e7pfd5qM9hG9NT52rGC2TQBQVw6XXOl4Otz/56B8AFZY+OYFDzJw2Y9elthrt2Dj9Sf&#10;QiViCPscFZgQ2lxKXxqy6KeuJY7czXUWQ4RdJXWHjxhuGzlPkoW0WHNsMNjS1lB5P31bBUV6+bjO&#10;7W7xCsOxalJT9MO5UGoyniVLEIGG8C/+cx90nJ9lKfx+E0+Q6x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cWGxY7sAAADd&#10;AAAADwAAAAAAAAABACAAAAAiAAAAZHJzL2Rvd25yZXYueG1sUEsBAhQAFAAAAAgAh07iQDMvBZ47&#10;AAAAOQAAABAAAAAAAAAAAQAgAAAACgEAAGRycy9zaGFwZXhtbC54bWxQSwUGAAAAAAYABgBbAQAA&#10;tAMAAAAA&#10;">
              <v:path/>
              <v:fill on="f" focussize="0,0"/>
              <v:stroke weight="0.0134645669291339pt" color="#000000" miterlimit="8" joinstyle="miter"/>
              <v:imagedata o:title=""/>
              <o:lock v:ext="edit" aspectratio="f"/>
            </v:rect>
            <v:shape id="Picture 48" o:spid="_x0000_s1651" o:spt="75" type="#_x0000_t75" style="position:absolute;left:3816;top:491;height:4510;width:5001;" filled="f" o:preferrelative="t" stroked="f" coordsize="21600,21600" o:gfxdata="UEsDBAoAAAAAAIdO4kAAAAAAAAAAAAAAAAAEAAAAZHJzL1BLAwQUAAAACACHTuJAUF+KDsAAAADd&#10;AAAADwAAAGRycy9kb3ducmV2LnhtbEWPT2vDMAzF74N9B6PBLmO1M8Yasro9FAphp/XPpTcRq3Fo&#10;LIfYbdp9+ukw2E3iPb3302J1C7260pi6yBaKmQFF3ETXcWvhsN+8lqBSRnbYRyYLd0qwWj4+LLBy&#10;ceItXXe5VRLCqUILPueh0jo1ngKmWRyIRTvFMWCWdWy1G3GS8NDrN2M+dMCOpcHjQGtPzXl3CRbe&#10;Tz9+W88355fS7Kev473lov629vmpMJ+gMt3yv/nvunaCX5aCK9/ICHr5C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QX4oO&#10;wAAAAN0AAAAPAAAAAAAAAAEAIAAAACIAAABkcnMvZG93bnJldi54bWxQSwECFAAUAAAACACHTuJA&#10;My8FnjsAAAA5AAAAEAAAAAAAAAABACAAAAAPAQAAZHJzL3NoYXBleG1sLnhtbFBLBQYAAAAABgAG&#10;AFsBAAC5AwAAAAA=&#10;">
              <v:path/>
              <v:fill on="f" focussize="0,0"/>
              <v:stroke on="f"/>
              <v:imagedata r:id="rId30" o:title=""/>
              <o:lock v:ext="edit" aspectratio="t"/>
            </v:shape>
            <v:shape id="Freeform 49" o:spid="_x0000_s1652" style="position:absolute;left:5302;top:4319;height:2;width:242;" filled="f" stroked="t" coordsize="242,1" o:gfxdata="UEsDBAoAAAAAAIdO4kAAAAAAAAAAAAAAAAAEAAAAZHJzL1BLAwQUAAAACACHTuJAjnXSzbwAAADd&#10;AAAADwAAAGRycy9kb3ducmV2LnhtbEVPTYvCMBC9L/gfwgje1lQF6VajrMsq6smtguxtaMa22ExK&#10;E63+eyMI3ubxPmc6v5lKXKlxpWUFg34EgjizuuRcwWG//IxBOI+ssbJMCu7kYD7rfEwx0bblP7qm&#10;PhchhF2CCgrv60RKlxVk0PVtTRy4k20M+gCbXOoG2xBuKjmMorE0WHJoKLCmn4Kyc3oxCk677e8I&#10;N4vV4j8dLuuj251t+61UrzuIJiA83fxb/HKvdZgfx1/w/CacIGc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510s28AAAA&#10;3QAAAA8AAAAAAAAAAQAgAAAAIgAAAGRycy9kb3ducmV2LnhtbFBLAQIUABQAAAAIAIdO4kAzLwWe&#10;OwAAADkAAAAQAAAAAAAAAAEAIAAAAAsBAABkcnMvc2hhcGV4bWwueG1sUEsFBgAAAAAGAAYAWwEA&#10;ALUDAAAAAA==&#10;" path="m0,0l242,0e">
              <v:path o:connectlocs="0,0;242,0;242,0" o:connectangles="0,0,0"/>
              <v:fill on="f" focussize="0,0"/>
              <v:stroke weight="0.0134645669291339pt" color="#000000" joinstyle="round"/>
              <v:imagedata o:title=""/>
              <o:lock v:ext="edit" aspectratio="f"/>
            </v:shape>
            <v:shape id="Freeform 50" o:spid="_x0000_s1653" style="position:absolute;left:5591;top:4319;height:2;width:49;" filled="f" stroked="t" coordsize="49,1" o:gfxdata="UEsDBAoAAAAAAIdO4kAAAAAAAAAAAAAAAAAEAAAAZHJzL1BLAwQUAAAACACHTuJAPbNCS8IAAADd&#10;AAAADwAAAGRycy9kb3ducmV2LnhtbEWPQWsCQQyF74L/YYjQm85sD2K3joLSqtBWqBXEW7qT7i7d&#10;ySw7U7X++uYg9JbwXt77Mp1ffKNO1MU6sIVsZEARF8HVXFrYfzwPJ6BiQnbYBCYLvxRhPuv3ppi7&#10;cOZ3Ou1SqSSEY44WqpTaXOtYVOQxjkJLLNpX6DwmWbtSuw7PEu4bfW/MWHusWRoqbGlZUfG9+/EW&#10;Ns02G7+86uP++nb9NIunw8ps19beDTLzCCrRJf2bb9cbJ/iTB+GXb2QEPfsD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D2z&#10;QkvCAAAA3QAAAA8AAAAAAAAAAQAgAAAAIgAAAGRycy9kb3ducmV2LnhtbFBLAQIUABQAAAAIAIdO&#10;4kAzLwWeOwAAADkAAAAQAAAAAAAAAAEAIAAAABEBAABkcnMvc2hhcGV4bWwueG1sUEsFBgAAAAAG&#10;AAYAWwEAALsDAAAAAA==&#10;" path="m0,0l48,0e">
              <v:path o:connectlocs="0,0;48,0;48,0" o:connectangles="0,0,0"/>
              <v:fill on="f" focussize="0,0"/>
              <v:stroke weight="0.0134645669291339pt" color="#000000" joinstyle="round"/>
              <v:imagedata o:title=""/>
              <o:lock v:ext="edit" aspectratio="f"/>
            </v:shape>
            <v:shape id="Freeform 51" o:spid="_x0000_s1654" style="position:absolute;left:5688;top:4319;height:2;width:242;" filled="f" stroked="t" coordsize="242,1" o:gfxdata="UEsDBAoAAAAAAIdO4kAAAAAAAAAAAAAAAAAEAAAAZHJzL1BLAwQUAAAACACHTuJA9dpIFr4AAADd&#10;AAAADwAAAGRycy9kb3ducmV2LnhtbEVPTWvCQBC9F/oflin0VjexUDS6ioopbU8xLYi3ITsmwexs&#10;yG6T+O/dQsHbPN7nLNejaURPnastK4gnEQjiwuqaSwU/3+nLDITzyBoby6TgSg7Wq8eHJSbaDnyg&#10;PvelCCHsElRQed8mUrqiIoNuYlviwJ1tZ9AH2JVSdziEcNPIaRS9SYM1h4YKW9pVVFzyX6PgnH3t&#10;X/Fz+7495dO0PbrsYoeNUs9PcbQA4Wn0d/G/+0OH+bN5DH/fhBPk6gZ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9dpIFr4A&#10;AADdAAAADwAAAAAAAAABACAAAAAiAAAAZHJzL2Rvd25yZXYueG1sUEsBAhQAFAAAAAgAh07iQDMv&#10;BZ47AAAAOQAAABAAAAAAAAAAAQAgAAAADQEAAGRycy9zaGFwZXhtbC54bWxQSwUGAAAAAAYABgBb&#10;AQAAtwMAAAAA&#10;" path="m0,0l241,0e">
              <v:path o:connectlocs="0,0;241,0;241,0" o:connectangles="0,0,0"/>
              <v:fill on="f" focussize="0,0"/>
              <v:stroke weight="0.0134645669291339pt" color="#000000" joinstyle="round"/>
              <v:imagedata o:title=""/>
              <o:lock v:ext="edit" aspectratio="f"/>
            </v:shape>
            <v:shape id="Freeform 52" o:spid="_x0000_s1655" style="position:absolute;left:5977;top:4319;height:2;width:49;" filled="f" stroked="t" coordsize="49,1" o:gfxdata="UEsDBAoAAAAAAIdO4kAAAAAAAAAAAAAAAAAEAAAAZHJzL1BLAwQUAAAACACHTuJAoi15p78AAADd&#10;AAAADwAAAGRycy9kb3ducmV2LnhtbEVPS2vCQBC+F/oflin0VnfjQWx0E1D6EFoFHyDexuyYhGZn&#10;Q3ar1l/vCgVv8/E9Z5yfbSOO1PnasYakp0AQF87UXGrYrN9fhiB8QDbYOCYNf+Qhzx4fxpgad+Il&#10;HVehFDGEfYoaqhDaVEpfVGTR91xLHLmD6yyGCLtSmg5PMdw2sq/UQFqsOTZU2NK0ouJn9Ws1zJpF&#10;Mvj6lrvNZX7Zq8nb9kMtPrV+fkrUCESgc7iL/90zE+cPX/tw+yaeILMr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Iteae/&#10;AAAA3QAAAA8AAAAAAAAAAQAgAAAAIgAAAGRycy9kb3ducmV2LnhtbFBLAQIUABQAAAAIAIdO4kAz&#10;LwWeOwAAADkAAAAQAAAAAAAAAAEAIAAAAA4BAABkcnMvc2hhcGV4bWwueG1sUEsFBgAAAAAGAAYA&#10;WwEAALgDAAAAAA==&#10;" path="m0,0l48,0e">
              <v:path o:connectlocs="0,0;48,0;48,0" o:connectangles="0,0,0"/>
              <v:fill on="f" focussize="0,0"/>
              <v:stroke weight="0.0134645669291339pt" color="#000000" joinstyle="round"/>
              <v:imagedata o:title=""/>
              <o:lock v:ext="edit" aspectratio="f"/>
            </v:shape>
            <v:shape id="Freeform 53" o:spid="_x0000_s1656" style="position:absolute;left:6074;top:4319;height:2;width:242;" filled="f" stroked="t" coordsize="242,1" o:gfxdata="UEsDBAoAAAAAAIdO4kAAAAAAAAAAAAAAAAAEAAAAZHJzL1BLAwQUAAAACACHTuJAakRz+rwAAADd&#10;AAAADwAAAGRycy9kb3ducmV2LnhtbEVPTYvCMBC9C/6HMAvebKqCaDXKKrq4nrQK4m1oxrbYTEqT&#10;te6/3ywI3ubxPme+fJpKPKhxpWUFgygGQZxZXXKu4Hza9icgnEfWWFkmBb/kYLnoduaYaNvykR6p&#10;z0UIYZeggsL7OpHSZQUZdJGtiQN3s41BH2CTS91gG8JNJYdxPJYGSw4NBda0Lii7pz9Gwe2w34zw&#10;e/W1uqbDbX1xh7ttP5XqfQziGQhPT/8Wv9w7HeZPpiP4/yacIB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pEc/q8AAAA&#10;3QAAAA8AAAAAAAAAAQAgAAAAIgAAAGRycy9kb3ducmV2LnhtbFBLAQIUABQAAAAIAIdO4kAzLwWe&#10;OwAAADkAAAAQAAAAAAAAAAEAIAAAAAsBAABkcnMvc2hhcGV4bWwueG1sUEsFBgAAAAAGAAYAWwEA&#10;ALUDAAAAAA==&#10;" path="m0,0l241,0e">
              <v:path o:connectlocs="0,0;241,0;241,0" o:connectangles="0,0,0"/>
              <v:fill on="f" focussize="0,0"/>
              <v:stroke weight="0.0134645669291339pt" color="#000000" joinstyle="round"/>
              <v:imagedata o:title=""/>
              <o:lock v:ext="edit" aspectratio="f"/>
            </v:shape>
            <v:shape id="Freeform 54" o:spid="_x0000_s1657" style="position:absolute;left:6363;top:4319;height:2;width:49;" filled="f" stroked="t" coordsize="49,1" o:gfxdata="UEsDBAoAAAAAAIdO4kAAAAAAAAAAAAAAAAAEAAAAZHJzL1BLAwQUAAAACACHTuJAQohESL8AAADd&#10;AAAADwAAAGRycy9kb3ducmV2LnhtbEVP32vCMBB+F/wfwgl7s0lliHZGQdFNcApzwtjbrbm1xeZS&#10;mkydf/0iCHu7j+/nTWYXW4sTtb5yrCFNFAji3JmKCw2H91V/BMIHZIO1Y9LwSx5m025ngplxZ36j&#10;0z4UIoawz1BDGUKTSenzkiz6xDXEkft2rcUQYVtI0+I5httaDpQaSosVx4YSG1qUlB/3P1bDut6l&#10;w82r/Dxct9cvNV9+PKvdi9YPvVQ9gQh0Cf/iu3tt4vzR+BFu38QT5PQ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KIREi/&#10;AAAA3QAAAA8AAAAAAAAAAQAgAAAAIgAAAGRycy9kb3ducmV2LnhtbFBLAQIUABQAAAAIAIdO4kAz&#10;LwWeOwAAADkAAAAQAAAAAAAAAAEAIAAAAA4BAABkcnMvc2hhcGV4bWwueG1sUEsFBgAAAAAGAAYA&#10;WwEAALgDAAAAAA==&#10;" path="m0,0l48,0e">
              <v:path o:connectlocs="0,0;48,0;48,0" o:connectangles="0,0,0"/>
              <v:fill on="f" focussize="0,0"/>
              <v:stroke weight="0.0134645669291339pt" color="#000000" joinstyle="round"/>
              <v:imagedata o:title=""/>
              <o:lock v:ext="edit" aspectratio="f"/>
            </v:shape>
            <v:shape id="Freeform 55" o:spid="_x0000_s1658" style="position:absolute;left:6459;top:4319;height:2;width:242;" filled="f" stroked="t" coordsize="242,1" o:gfxdata="UEsDBAoAAAAAAIdO4kAAAAAAAAAAAAAAAAAEAAAAZHJzL1BLAwQUAAAACACHTuJAiuFOFb4AAADd&#10;AAAADwAAAGRycy9kb3ducmV2LnhtbEVPTWvCQBC9F/wPywje6kalxUY3QUsjtiebFsTbkB2TYHY2&#10;ZNfE/nu3UOhtHu9z1unNNKKnztWWFcymEQjiwuqaSwXfX9njEoTzyBoby6TghxykyehhjbG2A39S&#10;n/tShBB2MSqovG9jKV1RkUE3tS1x4M62M+gD7EqpOxxCuGnkPIqepcGaQ0OFLb1WVFzyq1FwPny8&#10;LfB9u9ue8nnWHt3hYoeNUpPxLFqB8HTz/+I/916H+cuXJ/j9Jpwgkz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uFOFb4A&#10;AADdAAAADwAAAAAAAAABACAAAAAiAAAAZHJzL2Rvd25yZXYueG1sUEsBAhQAFAAAAAgAh07iQDMv&#10;BZ47AAAAOQAAABAAAAAAAAAAAQAgAAAADQEAAGRycy9zaGFwZXhtbC54bWxQSwUGAAAAAAYABgBb&#10;AQAAtwMAAAAA&#10;" path="m0,0l241,0e">
              <v:path o:connectlocs="0,0;241,0;241,0" o:connectangles="0,0,0"/>
              <v:fill on="f" focussize="0,0"/>
              <v:stroke weight="0.0134645669291339pt" color="#000000" joinstyle="round"/>
              <v:imagedata o:title=""/>
              <o:lock v:ext="edit" aspectratio="f"/>
            </v:shape>
            <v:shape id="Freeform 56" o:spid="_x0000_s1659" style="position:absolute;left:6749;top:4319;height:2;width:49;" filled="f" stroked="t" coordsize="49,1" o:gfxdata="UEsDBAoAAAAAAIdO4kAAAAAAAAAAAAAAAAAEAAAAZHJzL1BLAwQUAAAACACHTuJA3RZ/pL8AAADd&#10;AAAADwAAAGRycy9kb3ducmV2LnhtbEVPS2vCQBC+F/wPywi91d30EDR1FSp9CFbBKJTeptlpEszO&#10;huz6qL/eFQRv8/E9Zzw92UYcqPO1Yw3JQIEgLpypudSw3bw/DUH4gGywcUwa/snDdNJ7GGNm3JHX&#10;dMhDKWII+ww1VCG0mZS+qMiiH7iWOHJ/rrMYIuxKaTo8xnDbyGelUmmx5thQYUuziopdvrca5s0q&#10;SRdf8md7Xp5/1evb94dafWr92E/UC4hAp3AX39xzE+cPRylcv4knyMk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0Wf6S/&#10;AAAA3QAAAA8AAAAAAAAAAQAgAAAAIgAAAGRycy9kb3ducmV2LnhtbFBLAQIUABQAAAAIAIdO4kAz&#10;LwWeOwAAADkAAAAQAAAAAAAAAAEAIAAAAA4BAABkcnMvc2hhcGV4bWwueG1sUEsFBgAAAAAGAAYA&#10;WwEAALgDAAAAAA==&#10;" path="m0,0l49,0e">
              <v:path o:connectlocs="0,0;49,0;49,0" o:connectangles="0,0,0"/>
              <v:fill on="f" focussize="0,0"/>
              <v:stroke weight="0.0134645669291339pt" color="#000000" joinstyle="round"/>
              <v:imagedata o:title=""/>
              <o:lock v:ext="edit" aspectratio="f"/>
            </v:shape>
            <v:shape id="Freeform 57" o:spid="_x0000_s1660" style="position:absolute;left:6845;top:4319;height:2;width:242;" filled="f" stroked="t" coordsize="242,1" o:gfxdata="UEsDBAoAAAAAAIdO4kAAAAAAAAAAAAAAAAAEAAAAZHJzL1BLAwQUAAAACACHTuJAFX91+b4AAADd&#10;AAAADwAAAGRycy9kb3ducmV2LnhtbEVPTWvCQBC9F/wPywje6kaF1kY3QUsjtiebFsTbkB2TYHY2&#10;ZNfE/nu3UOhtHu9z1unNNKKnztWWFcymEQjiwuqaSwXfX9njEoTzyBoby6TghxykyehhjbG2A39S&#10;n/tShBB2MSqovG9jKV1RkUE3tS1x4M62M+gD7EqpOxxCuGnkPIqepMGaQ0OFLb1WVFzyq1FwPny8&#10;LfB9u9ue8nnWHt3hYoeNUpPxLFqB8HTz/+I/916H+cuXZ/j9Jpwgkz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X91+b4A&#10;AADdAAAADwAAAAAAAAABACAAAAAiAAAAZHJzL2Rvd25yZXYueG1sUEsBAhQAFAAAAAgAh07iQDMv&#10;BZ47AAAAOQAAABAAAAAAAAAAAQAgAAAADQEAAGRycy9zaGFwZXhtbC54bWxQSwUGAAAAAAYABgBb&#10;AQAAtwMAAAAA&#10;" path="m0,0l241,0e">
              <v:path o:connectlocs="0,0;241,0;241,0" o:connectangles="0,0,0"/>
              <v:fill on="f" focussize="0,0"/>
              <v:stroke weight="0.0134645669291339pt" color="#000000" joinstyle="round"/>
              <v:imagedata o:title=""/>
              <o:lock v:ext="edit" aspectratio="f"/>
            </v:shape>
            <v:shape id="Freeform 58" o:spid="_x0000_s1661" style="position:absolute;left:5665;top:2383;height:318;width:2;" filled="f" stroked="t" coordsize="1,318" o:gfxdata="UEsDBAoAAAAAAIdO4kAAAAAAAAAAAAAAAAAEAAAAZHJzL1BLAwQUAAAACACHTuJAxzoW878AAADd&#10;AAAADwAAAGRycy9kb3ducmV2LnhtbEWPQWvCQBCF7wX/wzJCb3U3FYqNroJKwUtbqtXzkB2TaHY2&#10;ZFeT/vvOodDbDO/Ne98sVoNv1J26WAe2kE0MKOIiuJpLC9+Ht6cZqJiQHTaBycIPRVgtRw8LzF3o&#10;+Yvu+1QqCeGYo4UqpTbXOhYVeYyT0BKLdg6dxyRrV2rXYS/hvtHPxrxojzVLQ4UtbSoqrvubt2Au&#10;n+2m3B37k3Ef20M/XWfD+2Dt4zgzc1CJhvRv/rveOcGfvQqufCMj6OU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c6FvO/&#10;AAAA3QAAAA8AAAAAAAAAAQAgAAAAIgAAAGRycy9kb3ducmV2LnhtbFBLAQIUABQAAAAIAIdO4kAz&#10;LwWeOwAAADkAAAAQAAAAAAAAAAEAIAAAAA4BAABkcnMvc2hhcGV4bWwueG1sUEsFBgAAAAAGAAYA&#10;WwEAALgDAAAAAA==&#10;" path="m0,0l0,318,1,318e">
              <v:path o:connectlocs="0,2383;0,2701;2,2701" o:connectangles="0,0,0"/>
              <v:fill on="f" focussize="0,0"/>
              <v:stroke weight="0.0110236220472441pt" color="#000000" joinstyle="round"/>
              <v:imagedata o:title=""/>
              <o:lock v:ext="edit" aspectratio="f"/>
            </v:shape>
            <v:shape id="Freeform 59" o:spid="_x0000_s1662" style="position:absolute;left:5948;top:2383;height:318;width:2;" filled="f" stroked="t" coordsize="1,318" o:gfxdata="UEsDBAoAAAAAAIdO4kAAAAAAAAAAAAAAAAAEAAAAZHJzL1BLAwQUAAAACACHTuJAqHazaL0AAADd&#10;AAAADwAAAGRycy9kb3ducmV2LnhtbEVPTWvCQBC9C/6HZYTedDctFI2uASMFL21Rq+chOybR7GzI&#10;bk3677sFobd5vM9ZZYNtxJ06XzvWkMwUCOLCmZpLDV/Ht+kchA/IBhvHpOGHPGTr8WiFqXE97+l+&#10;CKWIIexT1FCF0KZS+qIii37mWuLIXVxnMUTYldJ02Mdw28hnpV6lxZpjQ4Ut5RUVt8O31aCun21e&#10;7k79WZmP7bF/2STD+6D10yRRSxCBhvAvfrh3Js6fLxbw9008Qa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odrNovQAA&#10;AN0AAAAPAAAAAAAAAAEAIAAAACIAAABkcnMvZG93bnJldi54bWxQSwECFAAUAAAACACHTuJAMy8F&#10;njsAAAA5AAAAEAAAAAAAAAABACAAAAAMAQAAZHJzL3NoYXBleG1sLnhtbFBLBQYAAAAABgAGAFsB&#10;AAC2AwAAAAA=&#10;" path="m0,0l0,318e">
              <v:path o:connectlocs="0,2383;0,2701;0,2701" o:connectangles="0,0,0"/>
              <v:fill on="f" focussize="0,0"/>
              <v:stroke weight="0.0110236220472441pt" color="#000000" joinstyle="round"/>
              <v:imagedata o:title=""/>
              <o:lock v:ext="edit" aspectratio="f"/>
            </v:shape>
            <v:shape id="Freeform 60" o:spid="_x0000_s1663" style="position:absolute;left:5600;top:2438;height:2;width:65;" filled="f" stroked="t" coordsize="65,1" o:gfxdata="UEsDBAoAAAAAAIdO4kAAAAAAAAAAAAAAAAAEAAAAZHJzL1BLAwQUAAAACACHTuJAaO3jfcAAAADd&#10;AAAADwAAAGRycy9kb3ducmV2LnhtbEWPzUsDMRDF74L/QxihN5vsUktdm/YgFgp6sR/icUhmP3Az&#10;WTaxW/975yB4m+G9ee836+019OpCY+oiWyjmBhSxi77jxsLpuLtfgUoZ2WMfmSz8UILt5vZmjZWP&#10;E7/T5ZAbJSGcKrTQ5jxUWifXUsA0jwOxaHUcA2ZZx0b7EScJD70ujVnqgB1LQ4sDPbfkvg7fwUL5&#10;Wi6m+uOzLoqH48v+7eyWu95ZO7srzBOoTNf8b/673nvBfzTCL9/ICHrzC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o7eN9&#10;wAAAAN0AAAAPAAAAAAAAAAEAIAAAACIAAABkcnMvZG93bnJldi54bWxQSwECFAAUAAAACACHTuJA&#10;My8FnjsAAAA5AAAAEAAAAAAAAAABACAAAAAPAQAAZHJzL3NoYXBleG1sLnhtbFBLBQYAAAAABgAG&#10;AFsBAAC5AwAAAAA=&#10;" path="m64,0l0,0e">
              <v:path o:connectlocs="64,0;0,0;0,0" o:connectangles="0,0,0"/>
              <v:fill on="f" focussize="0,0"/>
              <v:stroke weight="0.0134645669291339pt" color="#000000" joinstyle="round"/>
              <v:imagedata o:title=""/>
              <o:lock v:ext="edit" aspectratio="f"/>
            </v:shape>
            <v:shape id="Freeform 61" o:spid="_x0000_s1664" style="position:absolute;left:5948;top:2438;height:2;width:65;" filled="f" stroked="t" coordsize="65,1" o:gfxdata="UEsDBAoAAAAAAIdO4kAAAAAAAAAAAAAAAAAEAAAAZHJzL1BLAwQUAAAACACHTuJAB6FG5r0AAADd&#10;AAAADwAAAGRycy9kb3ducmV2LnhtbEVPS0sDMRC+C/6HMII3m2TRYtdm9yAWCnqxtaXHIZl94Gay&#10;bGK3/nsjCN7m43vOur74QZxpin1gA3qhQBDb4HpuDXzsN3ePIGJCdjgEJgPfFKGurq/WWLow8zud&#10;d6kVOYRjiQa6lMZSymg78hgXYSTOXBMmjynDqZVuwjmH+0EWSi2lx55zQ4cjPXdkP3df3kDxWtzP&#10;zfHUaP2wf9m+HexyM1hjbm+0egKR6JL+xX/urcvzV0rD7zf5BFn9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HoUbmvQAA&#10;AN0AAAAPAAAAAAAAAAEAIAAAACIAAABkcnMvZG93bnJldi54bWxQSwECFAAUAAAACACHTuJAMy8F&#10;njsAAAA5AAAAEAAAAAAAAAABACAAAAAMAQAAZHJzL3NoYXBleG1sLnhtbFBLBQYAAAAABgAGAFsB&#10;AAC2AwAAAAA=&#10;" path="m0,0l64,0,65,0e">
              <v:path o:connectlocs="0,0;64,0;65,0" o:connectangles="0,0,0"/>
              <v:fill on="f" focussize="0,0"/>
              <v:stroke weight="0.0134645669291339pt" color="#000000" joinstyle="round"/>
              <v:imagedata o:title=""/>
              <o:lock v:ext="edit" aspectratio="f"/>
            </v:shape>
            <v:shape id="Freeform 62" o:spid="_x0000_s1665" style="position:absolute;left:5486;top:2082;height:210;width:42;" filled="f" stroked="t" coordsize="42,210" o:gfxdata="UEsDBAoAAAAAAIdO4kAAAAAAAAAAAAAAAAAEAAAAZHJzL1BLAwQUAAAACACHTuJAO/gwYb0AAADd&#10;AAAADwAAAGRycy9kb3ducmV2LnhtbEVPS2sCMRC+F/wPYQRvNdGD6NYoVFFU9FDbgt6mm3F3cTNZ&#10;kvj6901B6G0+vueMp3dbiyv5UDnW0OsqEMS5MxUXGr4+F69DECEiG6wdk4YHBZhOWi9jzIy78Qdd&#10;97EQKYRDhhrKGJtMypCXZDF0XUOcuJPzFmOCvpDG4y2F21r2lRpIixWnhhIbmpWUn/cXq+GA7/Pd&#10;z9Hj5vvB29P6sF7u6Kh1p91TbyAi3eO/+OlemTR/pPrw9006QU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7+DBhvQAA&#10;AN0AAAAPAAAAAAAAAAEAIAAAACIAAABkcnMvZG93bnJldi54bWxQSwECFAAUAAAACACHTuJAMy8F&#10;njsAAAA5AAAAEAAAAAAAAAABACAAAAAMAQAAZHJzL3NoYXBleG1sLnhtbFBLBQYAAAAABgAGAFsB&#10;AAC2AwAAAAA=&#10;" path="m0,40l17,30,41,0,41,209,42,209e">
              <v:path o:connectlocs="0,2123;17,2113;41,2083;41,2292;42,2292" o:connectangles="0,0,0,0,0"/>
              <v:fill on="f" focussize="0,0"/>
              <v:stroke weight="0.0111023622047244pt" color="#000000" joinstyle="round"/>
              <v:imagedata o:title=""/>
              <o:lock v:ext="edit" aspectratio="f"/>
            </v:shape>
            <v:shape id="Freeform 63" o:spid="_x0000_s1666" style="position:absolute;left:5633;top:2272;height:20;width:17;" filled="f" stroked="t" coordsize="17,20" o:gfxdata="UEsDBAoAAAAAAIdO4kAAAAAAAAAAAAAAAAAEAAAAZHJzL1BLAwQUAAAACACHTuJAJQzseb0AAADd&#10;AAAADwAAAGRycy9kb3ducmV2LnhtbEVPTUsDMRC9C/6HMEJvNlkrZbttWkQpeFNrofQ23Uw3q5vJ&#10;kqTt+u+NUPA2j/c5i9XgOnGmEFvPGoqxAkFce9Nyo2H7ub4vQcSEbLDzTBp+KMJqeXuzwMr4C3/Q&#10;eZMakUM4VqjBptRXUsbaksM49j1x5o4+OEwZhkaagJcc7jr5oNRUOmw5N1js6dlS/b05OQ1PL4fy&#10;rSn3j/a0lXV4/5oUcthpPbor1BxEoiH9i6/uV5Pnz9QE/r7JJ8jl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lDOx5vQAA&#10;AN0AAAAPAAAAAAAAAAEAIAAAACIAAABkcnMvZG93bnJldi54bWxQSwECFAAUAAAACACHTuJAMy8F&#10;njsAAAA5AAAAEAAAAAAAAAABACAAAAAMAQAAZHJzL3NoYXBleG1sLnhtbFBLBQYAAAAABgAGAFsB&#10;AAC2AwAAAAA=&#10;" path="m8,0l0,11,8,20,16,11,8,0e">
              <v:path o:connectlocs="8,2272;0,2283;8,2292;16,2283;8,2272;8,2272" o:connectangles="0,0,0,0,0,0"/>
              <v:fill on="f" focussize="0,0"/>
              <v:stroke weight="0.0120472440944882pt" color="#000000" joinstyle="round"/>
              <v:imagedata o:title=""/>
              <o:lock v:ext="edit" aspectratio="f"/>
            </v:shape>
            <v:shape id="Picture 64" o:spid="_x0000_s1667" o:spt="75" type="#_x0000_t75" style="position:absolute;left:5707;top:2082;height:211;width:115;" filled="f" o:preferrelative="t" stroked="f" coordsize="21600,21600" o:gfxdata="UEsDBAoAAAAAAIdO4kAAAAAAAAAAAAAAAAAEAAAAZHJzL1BLAwQUAAAACACHTuJAHbz4w7sAAADd&#10;AAAADwAAAGRycy9kb3ducmV2LnhtbEVPzWoCMRC+C32HMIVepCYWUbsaPQgLPdiDqw8wbMbdYDJZ&#10;NtHVt2+Egrf5+H5nvb17J27URxtYw3SiQBDXwVhuNJyO5ecSREzIBl1g0vCgCNvN22iNhQkDH+hW&#10;pUbkEI4FamhT6gopY92SxzgJHXHmzqH3mDLsG2l6HHK4d/JLqbn0aDk3tNjRrqX6Ul29htq5XTke&#10;flM5Xhz21cWSOVnS+uN9qlYgEt3TS/zv/jF5/reawfObfILc/A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Hbz4w7sAAADd&#10;AAAADwAAAAAAAAABACAAAAAiAAAAZHJzL2Rvd25yZXYueG1sUEsBAhQAFAAAAAgAh07iQDMvBZ47&#10;AAAAOQAAABAAAAAAAAAAAQAgAAAACgEAAGRycy9zaGFwZXhtbC54bWxQSwUGAAAAAAYABgBbAQAA&#10;tAMAAAAA&#10;">
              <v:path/>
              <v:fill on="f" focussize="0,0"/>
              <v:stroke on="f"/>
              <v:imagedata r:id="rId31" o:title=""/>
              <o:lock v:ext="edit" aspectratio="t"/>
            </v:shape>
            <v:shape id="Picture 65" o:spid="_x0000_s1668" o:spt="75" type="#_x0000_t75" style="position:absolute;left:5878;top:2152;height:141;width:180;" filled="f" o:preferrelative="t" stroked="f" coordsize="21600,21600" o:gfxdata="UEsDBAoAAAAAAIdO4kAAAAAAAAAAAAAAAAAEAAAAZHJzL1BLAwQUAAAACACHTuJAxhBHhr0AAADd&#10;AAAADwAAAGRycy9kb3ducmV2LnhtbEVPTWvCQBC9F/wPywjeml0FSxtdRQRLxV40Ih6H7JhEs7Mh&#10;u9H477uFQm/zeJ8zX/a2FndqfeVYwzhRIIhzZyouNByzzes7CB+QDdaOScOTPCwXg5c5psY9eE/3&#10;QyhEDGGfooYyhCaV0uclWfSJa4gjd3GtxRBhW0jT4iOG21pOlHqTFiuODSU2tC4pvx06q+Fz973f&#10;bnecdacuf8pVf87c9az1aDhWMxCB+vAv/nN/mTj/Q03h95t4glz8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GEEeGvQAA&#10;AN0AAAAPAAAAAAAAAAEAIAAAACIAAABkcnMvZG93bnJldi54bWxQSwECFAAUAAAACACHTuJAMy8F&#10;njsAAAA5AAAAEAAAAAAAAAABACAAAAAMAQAAZHJzL3NoYXBleG1sLnhtbFBLBQYAAAAABgAGAFsB&#10;AAC2AwAAAAA=&#10;">
              <v:path/>
              <v:fill on="f" focussize="0,0"/>
              <v:stroke on="f"/>
              <v:imagedata r:id="rId32" o:title=""/>
              <o:lock v:ext="edit" aspectratio="t"/>
            </v:shape>
            <v:shape id="Freeform 66" o:spid="_x0000_s1669" style="position:absolute;left:5665;top:2438;height:2;width:284;" filled="f" stroked="t" coordsize="284,1" o:gfxdata="UEsDBAoAAAAAAIdO4kAAAAAAAAAAAAAAAAAEAAAAZHJzL1BLAwQUAAAACACHTuJA7lhkF7wAAADd&#10;AAAADwAAAGRycy9kb3ducmV2LnhtbEWPQYsCMQyF74L/oUTwItrqguho9SAsepOd9eItTGM7OE2H&#10;aXfUf28XFvaW8F7e97LdP30jeupiHVjDfKZAEFfB1Gw1XL4/pysQMSEbbAKThhdF2O+Ggy0WJjz4&#10;i/oyWZFDOBaowaXUFlLGypHHOAstcdZuofOY8tpZaTp85HDfyIVSS+mx5kxw2NLBUXUvf3zmyo/j&#10;db24Tsiew/FVxp6clVqPR3O1AZHomf7Nf9cnk+uv1RJ+v8kjyN0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5YZBe8AAAA&#10;3QAAAA8AAAAAAAAAAQAgAAAAIgAAAGRycy9kb3ducmV2LnhtbFBLAQIUABQAAAAIAIdO4kAzLwWe&#10;OwAAADkAAAAQAAAAAAAAAAEAIAAAAAsBAABkcnMvc2hhcGV4bWwueG1sUEsFBgAAAAAGAAYAWwEA&#10;ALUDAAAAAA==&#10;" path="m0,0l284,0e">
              <v:path o:connectlocs="0,0;284,0;284,0" o:connectangles="0,0,0"/>
              <v:fill on="f" focussize="0,0"/>
              <v:stroke weight="0.0134645669291339pt" color="#000000" joinstyle="round"/>
              <v:imagedata o:title=""/>
              <o:lock v:ext="edit" aspectratio="f"/>
            </v:shape>
            <v:shape id="Freeform 67" o:spid="_x0000_s1670" style="position:absolute;left:5633;top:2399;height:79;width:65;" filled="f" stroked="t" coordsize="65,79" o:gfxdata="UEsDBAoAAAAAAIdO4kAAAAAAAAAAAAAAAAAEAAAAZHJzL1BLAwQUAAAACACHTuJAWF8pC70AAADd&#10;AAAADwAAAGRycy9kb3ducmV2LnhtbEVPTWsCMRC9F/wPYYTeamIPra5GwUVBKBSqInobN+NmcTPZ&#10;blJd/30jFHqbx/uc6bxztbhSGyrPGoYDBYK48KbiUsNuu3oZgQgR2WDtmTTcKcB81nuaYmb8jb/o&#10;uomlSCEcMtRgY2wyKUNhyWEY+IY4cWffOowJtqU0Ld5SuKvlq1Jv0mHFqcFiQ7ml4rL5cRqWi/L7&#10;tL9/XLrTzuZG5U11+Dxq/dwfqgmISF38F/+51ybNH6t3eHyTTpCz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YXykLvQAA&#10;AN0AAAAPAAAAAAAAAAEAIAAAACIAAABkcnMvZG93bnJldi54bWxQSwECFAAUAAAACACHTuJAMy8F&#10;njsAAAA5AAAAEAAAAAAAAAABACAAAAAMAQAAZHJzL3NoYXBleG1sLnhtbFBLBQYAAAAABgAGAFsB&#10;AAC2AwAAAAA=&#10;" path="m0,79l64,0,65,0e">
              <v:path o:connectlocs="0,2478;64,2399;65,2399" o:connectangles="0,0,0"/>
              <v:fill on="f" focussize="0,0"/>
              <v:stroke weight="0.0120472440944882pt" color="#000000" joinstyle="round"/>
              <v:imagedata o:title=""/>
              <o:lock v:ext="edit" aspectratio="f"/>
            </v:shape>
            <v:shape id="Freeform 68" o:spid="_x0000_s1671" style="position:absolute;left:5916;top:2399;height:79;width:65;" filled="f" stroked="t" coordsize="65,79" o:gfxdata="UEsDBAoAAAAAAIdO4kAAAAAAAAAAAAAAAAAEAAAAZHJzL1BLAwQUAAAACACHTuJAKcC9ecAAAADd&#10;AAAADwAAAGRycy9kb3ducmV2LnhtbEWPQWsCMRCF70L/Q5iCN03sQerWKHSpUCgUqiLtbdxMN4ub&#10;ybpJdf33nUOhtxnem/e+Wa6H0KoL9amJbGE2NaCIq+gari3sd5vJI6iUkR22kcnCjRKsV3ejJRYu&#10;XvmDLttcKwnhVKAFn3NXaJ0qTwHTNHbEon3HPmCWta+16/Eq4aHVD8bMdcCGpcFjR6Wn6rT9CRZe&#10;nuvz8XB7Ow3HvS+dKbvm8/3L2vH9zDyByjTkf/Pf9asT/IURXPlGRtCrX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pwL15&#10;wAAAAN0AAAAPAAAAAAAAAAEAIAAAACIAAABkcnMvZG93bnJldi54bWxQSwECFAAUAAAACACHTuJA&#10;My8FnjsAAAA5AAAAEAAAAAAAAAABACAAAAAPAQAAZHJzL3NoYXBleG1sLnhtbFBLBQYAAAAABgAG&#10;AFsBAAC5AwAAAAA=&#10;" path="m64,0l0,79e">
              <v:path o:connectlocs="64,2399;0,2478;0,2478" o:connectangles="0,0,0"/>
              <v:fill on="f" focussize="0,0"/>
              <v:stroke weight="0.0120472440944882pt" color="#000000" joinstyle="round"/>
              <v:imagedata o:title=""/>
              <o:lock v:ext="edit" aspectratio="f"/>
            </v:shape>
            <v:line id="Line 69" o:spid="_x0000_s1672" o:spt="20" style="position:absolute;left:5949;top:2439;height:0;width:0;" filled="f" stroked="t" coordsize="21600,21600" o:gfxdata="UEsDBAoAAAAAAIdO4kAAAAAAAAAAAAAAAAAEAAAAZHJzL1BLAwQUAAAACACHTuJA20lNlL0AAADd&#10;AAAADwAAAGRycy9kb3ducmV2LnhtbEVPS2sCMRC+F/wPYQRvNVmFoqtRVFR6KJRue+hx2Iy72yaT&#10;JYmP/vumUPA2H99zluubs+JCIXaeNRRjBYK49qbjRsPH++FxBiImZIPWM2n4oQjr1eBhiaXxV36j&#10;S5UakUM4lqihTakvpYx1Sw7j2PfEmTv54DBlGBppAl5zuLNyotSTdNhxbmixp11L9Xd1dhrsZzia&#10;12K66Xfdl3H7/cy+bGutR8NCLUAkuqW7+N/9bPL8uZrD3zf5BLn6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bSU2UvQAA&#10;AN0AAAAPAAAAAAAAAAEAIAAAACIAAABkcnMvZG93bnJldi54bWxQSwECFAAUAAAACACHTuJAMy8F&#10;njsAAAA5AAAAEAAAAAAAAAABACAAAAAMAQAAZHJzL3NoYXBleG1sLnhtbFBLBQYAAAAABgAGAFsB&#10;AAC2AwAAAAA=&#10;">
              <v:path arrowok="t"/>
              <v:fill on="f" focussize="0,0"/>
              <v:stroke weight="0.0134645669291339pt" color="#000000" joinstyle="round"/>
              <v:imagedata o:title=""/>
              <o:lock v:ext="edit" aspectratio="f"/>
            </v:line>
            <v:line id="Line 70" o:spid="_x0000_s1673" o:spt="20" style="position:absolute;left:5949;top:2367;height:0;width:0;" filled="f" stroked="t" coordsize="21600,21600" o:gfxdata="UEsDBAoAAAAAAIdO4kAAAAAAAAAAAAAAAAAEAAAAZHJzL1BLAwQUAAAACACHTuJAz6py1L8AAADd&#10;AAAADwAAAGRycy9kb3ducmV2LnhtbEWPQWsCMRCF70L/QxihN81uC8WuRrFiSw8F0XrwOGzG3dVk&#10;siSp2n/fORS8zfDevPfNbHHzTl0opi6wgXJcgCKug+24MbD/fh9NQKWMbNEFJgO/lGAxfxjMsLLh&#10;ylu67HKjJIRThQbanPtK61S35DGNQ08s2jFEj1nW2Ggb8Srh3umnonjRHjuWhhZ7WrVUn3c/3oA7&#10;xA+7KZ+X/ao7Wb9eT9zXW23M47AspqAy3fLd/H/9aQX/tRR++UZG0PM/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qctS/&#10;AAAA3QAAAA8AAAAAAAAAAQAgAAAAIgAAAGRycy9kb3ducmV2LnhtbFBLAQIUABQAAAAIAIdO4kAz&#10;LwWeOwAAADkAAAAQAAAAAAAAAAEAIAAAAA4BAABkcnMvc2hhcGV4bWwueG1sUEsFBgAAAAAGAAYA&#10;WwEAALgDAAAAAA==&#10;">
              <v:path arrowok="t"/>
              <v:fill on="f" focussize="0,0"/>
              <v:stroke weight="0.0134645669291339pt" color="#000000" joinstyle="round"/>
              <v:imagedata o:title=""/>
              <o:lock v:ext="edit" aspectratio="f"/>
            </v:line>
            <v:line id="Line 71" o:spid="_x0000_s1674" o:spt="20" style="position:absolute;left:5665;top:2367;height:0;width:1;" filled="f" stroked="t" coordsize="21600,21600" o:gfxdata="UEsDBAoAAAAAAIdO4kAAAAAAAAAAAAAAAAAEAAAAZHJzL1BLAwQUAAAACACHTuJAoObXT70AAADd&#10;AAAADwAAAGRycy9kb3ducmV2LnhtbEVPS2sCMRC+F/wPYYTeajYWxK5GqWLFg1C67cHjsBl31yaT&#10;JUl9/HtTKPQ2H99z5surs+JMIXaeNahRAYK49qbjRsPX59vTFERMyAatZ9JwowjLxeBhjqXxF/6g&#10;c5UakUM4lqihTakvpYx1Sw7jyPfEmTv64DBlGBppAl5yuLNyXBQT6bDj3NBiT+uW6u/qx2mwh7A1&#10;7+r5tV93J+M2m6ndr2qtH4eqmIFIdE3/4j/3zuT5L0rB7zf5BLm4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g5tdPvQAA&#10;AN0AAAAPAAAAAAAAAAEAIAAAACIAAABkcnMvZG93bnJldi54bWxQSwECFAAUAAAACACHTuJAMy8F&#10;njsAAAA5AAAAEAAAAAAAAAABACAAAAAMAQAAZHJzL3NoYXBleG1sLnhtbFBLBQYAAAAABgAGAFsB&#10;AAC2AwAAAAA=&#10;">
              <v:path arrowok="t"/>
              <v:fill on="f" focussize="0,0"/>
              <v:stroke weight="0.0134645669291339pt" color="#000000" joinstyle="round"/>
              <v:imagedata o:title=""/>
              <o:lock v:ext="edit" aspectratio="f"/>
            </v:line>
            <v:shape id="Freeform 72" o:spid="_x0000_s1675" style="position:absolute;left:3564;top:2062;height:188;width:144;" filled="f" stroked="t" coordsize="144,188" o:gfxdata="UEsDBAoAAAAAAIdO4kAAAAAAAAAAAAAAAAAEAAAAZHJzL1BLAwQUAAAACACHTuJAO4Mc5LsAAADd&#10;AAAADwAAAGRycy9kb3ducmV2LnhtbEVPzYrCMBC+C/sOYRb2pmldELcaBXdVvHiw7gMMzdhWm0lN&#10;YtW3N4LgbT6+35nOb6YRHTlfW1aQDhIQxIXVNZcK/ver/hiED8gaG8uk4E4e5rOP3hQzba+8oy4P&#10;pYgh7DNUUIXQZlL6oiKDfmBb4sgdrDMYInSl1A6vMdw0cpgkI2mw5thQYUu/FRWn/GIULJbfZ3KW&#10;x9vR7rxcd8ejXt//lPr6TJMJiEC38Ba/3Bsd5/+kQ3h+E0+Qsw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4Mc5LsAAADd&#10;AAAADwAAAAAAAAABACAAAAAiAAAAZHJzL2Rvd25yZXYueG1sUEsBAhQAFAAAAAgAh07iQDMvBZ47&#10;AAAAOQAAABAAAAAAAAAAAQAgAAAACgEAAGRycy9zaGFwZXhtbC54bWxQSwUGAAAAAAYABgBbAQAA&#10;tAMAAAAA&#10;" path="m0,62l143,187,143,0e">
              <v:path o:connectlocs="0,2125;143,2250;143,2063;143,2063" o:connectangles="0,0,0,0"/>
              <v:fill on="f" focussize="0,0"/>
              <v:stroke weight="0.0119685039370079pt" color="#000000" joinstyle="round"/>
              <v:imagedata o:title=""/>
              <o:lock v:ext="edit" aspectratio="f"/>
            </v:shape>
            <v:shape id="Freeform 73" o:spid="_x0000_s1676" style="position:absolute;left:3564;top:2125;height:2;width:215;" filled="f" stroked="t" coordsize="215,1" o:gfxdata="UEsDBAoAAAAAAIdO4kAAAAAAAAAAAAAAAAAEAAAAZHJzL1BLAwQUAAAACACHTuJAXQs5ir8AAADd&#10;AAAADwAAAGRycy9kb3ducmV2LnhtbEWPzW7CMBCE70h9B2srcQM7oJI2xeRQVIkTEpSW6yre/JR4&#10;HcUugbevkZC47Wrmm51d5hfbijP1vnGsIZkqEMSFMw1XGg5fn5NXED4gG2wdk4YrechXT6MlZsYN&#10;vKPzPlQihrDPUEMdQpdJ6YuaLPqp64ijVrreYohrX0nT4xDDbStnSi2kxYbjhRo7+qipOO3/bKyx&#10;LY/Hg7U/a/VCvP3+TdNTmWo9fk7UO4hAl/Aw3+mNidxbMofbN3EEufo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0LOYq/&#10;AAAA3QAAAA8AAAAAAAAAAQAgAAAAIgAAAGRycy9kb3ducmV2LnhtbFBLAQIUABQAAAAIAIdO4kAz&#10;LwWeOwAAADkAAAAQAAAAAAAAAAEAIAAAAA4BAABkcnMvc2hhcGV4bWwueG1sUEsFBgAAAAAGAAYA&#10;WwEAALgDAAAAAA==&#10;" path="m0,0l215,0e">
              <v:path o:connectlocs="0,0;215,0;215,0" o:connectangles="0,0,0"/>
              <v:fill on="f" focussize="0,0"/>
              <v:stroke weight="0.0134645669291339pt" color="#000000" joinstyle="round"/>
              <v:imagedata o:title=""/>
              <o:lock v:ext="edit" aspectratio="f"/>
            </v:shape>
            <v:shape id="Picture 74" o:spid="_x0000_s1677" o:spt="75" type="#_x0000_t75" style="position:absolute;left:3635;top:1712;height:275;width:144;" filled="f" o:preferrelative="t" stroked="f" coordsize="21600,21600" o:gfxdata="UEsDBAoAAAAAAIdO4kAAAAAAAAAAAAAAAAAEAAAAZHJzL1BLAwQUAAAACACHTuJAPyLisbkAAADd&#10;AAAADwAAAGRycy9kb3ducmV2LnhtbEVPTYvCMBC9C/6HMII3Tesuot1GD4LgVdeDx6GZbUKbSWmy&#10;teuv3wiCt3m8zyn3o2vFQH2wnhXkywwEceW15VrB9fu42IAIEVlj65kU/FGA/W46KbHQ/s5nGi6x&#10;FimEQ4EKTIxdIWWoDDkMS98RJ+7H9w5jgn0tdY/3FO5aucqytXRoOTUY7OhgqGouv07BKhg7DOd6&#10;/DgeNtI09ub5cVNqPsuzLxCRxvgWv9wnneZv8094fpNOkLt/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D8i4rG5AAAA3QAA&#10;AA8AAAAAAAAAAQAgAAAAIgAAAGRycy9kb3ducmV2LnhtbFBLAQIUABQAAAAIAIdO4kAzLwWeOwAA&#10;ADkAAAAQAAAAAAAAAAEAIAAAAAgBAABkcnMvc2hhcGV4bWwueG1sUEsFBgAAAAAGAAYAWwEAALID&#10;AAAAAA==&#10;">
              <v:path/>
              <v:fill on="f" focussize="0,0"/>
              <v:stroke on="f"/>
              <v:imagedata r:id="rId33" o:title=""/>
              <o:lock v:ext="edit" aspectratio="t"/>
            </v:shape>
            <v:shape id="Freeform 75" o:spid="_x0000_s1678" style="position:absolute;left:7996;top:2140;height:2;width:129;" filled="f" stroked="t" coordsize="129,1" o:gfxdata="UEsDBAoAAAAAAIdO4kAAAAAAAAAAAAAAAAAEAAAAZHJzL1BLAwQUAAAACACHTuJA/lmWbbwAAADd&#10;AAAADwAAAGRycy9kb3ducmV2LnhtbEVPS2sCMRC+F/ofwhS8FM1uZYuuRg+CoBeh2ou3YTNu1m4m&#10;SxKfv94UBG/z8T1nOr/aVpzJh8axgnyQgSCunG64VvC7W/ZHIEJE1tg6JgU3CjCfvb9NsdTuwj90&#10;3sZapBAOJSowMXallKEyZDEMXEecuIPzFmOCvpba4yWF21Z+Zdm3tNhwajDY0cJQ9bc9WQXLzwIL&#10;t+FFNMd7PVqvhqe9HyrV+8izCYhI1/gSP90rneaP8wL+v0knyNk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5Zlm28AAAA&#10;3QAAAA8AAAAAAAAAAQAgAAAAIgAAAGRycy9kb3ducmV2LnhtbFBLAQIUABQAAAAIAIdO4kAzLwWe&#10;OwAAADkAAAAQAAAAAAAAAAEAIAAAAAsBAABkcnMvc2hhcGV4bWwueG1sUEsFBgAAAAAGAAYAWwEA&#10;ALUDAAAAAA==&#10;" path="m0,0l129,0e">
              <v:path o:connectlocs="0,0;129,0;129,0" o:connectangles="0,0,0"/>
              <v:fill on="f" focussize="0,0"/>
              <v:stroke weight="0.0134645669291339pt" color="#000000" joinstyle="round"/>
              <v:imagedata o:title=""/>
              <o:lock v:ext="edit" aspectratio="f"/>
            </v:shape>
            <v:shape id="Freeform 76" o:spid="_x0000_s1679" style="position:absolute;left:7996;top:2192;height:2;width:129;" filled="f" stroked="t" coordsize="129,1" o:gfxdata="UEsDBAoAAAAAAIdO4kAAAAAAAAAAAAAAAAAEAAAAZHJzL1BLAwQUAAAACACHTuJADosIGr4AAADd&#10;AAAADwAAAGRycy9kb3ducmV2LnhtbEVPTWvCQBC9F/wPywi9FN3EoNjU1YMQsJeCthdvQ3aaTc3O&#10;ht01pv31XaHQ2zze52x2o+3EQD60jhXk8wwEce10y42Cj/dqtgYRIrLGzjEp+KYAu+3kYYOldjc+&#10;0nCKjUghHEpUYGLsSylDbchimLueOHGfzluMCfpGao+3FG47uciylbTYcmow2NPeUH05Xa2C6mmJ&#10;S/fG+2i+fpr166G4nn2h1OM0z15ARBrjv/jPfdBp/nO+gvs36QS5/Q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osIGr4A&#10;AADdAAAADwAAAAAAAAABACAAAAAiAAAAZHJzL2Rvd25yZXYueG1sUEsBAhQAFAAAAAgAh07iQDMv&#10;BZ47AAAAOQAAABAAAAAAAAAAAQAgAAAADQEAAGRycy9zaGFwZXhtbC54bWxQSwUGAAAAAAYABgBb&#10;AQAAtwMAAAAA&#10;" path="m0,0l129,0e">
              <v:path o:connectlocs="0,0;129,0;129,0" o:connectangles="0,0,0"/>
              <v:fill on="f" focussize="0,0"/>
              <v:stroke weight="0.0134645669291339pt" color="#000000" joinstyle="round"/>
              <v:imagedata o:title=""/>
              <o:lock v:ext="edit" aspectratio="f"/>
            </v:shape>
            <v:shape id="Picture 77" o:spid="_x0000_s1680" o:spt="75" type="#_x0000_t75" style="position:absolute;left:8175;top:2061;height:184;width:101;" filled="f" o:preferrelative="t" stroked="f" coordsize="21600,21600" o:gfxdata="UEsDBAoAAAAAAIdO4kAAAAAAAAAAAAAAAAAEAAAAZHJzL1BLAwQUAAAACACHTuJARJmKR70AAADd&#10;AAAADwAAAGRycy9kb3ducmV2LnhtbEVP22rCQBB9F/oPyxT6ppv40NSYTZCiUGwRjX7AkB2TkOxs&#10;mt16+ftuoeDbHM51suJmenGh0bWWFcSzCARxZXXLtYLTcTN9A+E8ssbeMim4k4Mif5pkmGp75QNd&#10;Sl+LEMIuRQWN90MqpasaMuhmdiAO3NmOBn2AYy31iNcQbno5j6JXabDl0NDgQO8NVV35YxTs1t9f&#10;e687/Zkkuz7e7lelXK+UenmOoyUITzf/EP+7P3SYv4gT+PsmnCDz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EmYpHvQAA&#10;AN0AAAAPAAAAAAAAAAEAIAAAACIAAABkcnMvZG93bnJldi54bWxQSwECFAAUAAAACACHTuJAMy8F&#10;njsAAAA5AAAAEAAAAAAAAAABACAAAAAMAQAAZHJzL3NoYXBleG1sLnhtbFBLBQYAAAAABgAGAFsB&#10;AAC2AwAAAAA=&#10;">
              <v:path/>
              <v:fill on="f" focussize="0,0"/>
              <v:stroke on="f"/>
              <v:imagedata r:id="rId34" o:title=""/>
              <o:lock v:ext="edit" aspectratio="t"/>
            </v:shape>
            <v:shape id="Freeform 78" o:spid="_x0000_s1681" style="position:absolute;left:8325;top:2227;height:18;width:15;" filled="f" stroked="t" coordsize="15,18" o:gfxdata="UEsDBAoAAAAAAIdO4kAAAAAAAAAAAAAAAAAEAAAAZHJzL1BLAwQUAAAACACHTuJAU/2paL4AAADd&#10;AAAADwAAAGRycy9kb3ducmV2LnhtbEWPQW/CMAyF70j8h8iTdoO0O0yjI/QwaWwIdhj0B1iN13Zt&#10;nKgJhf17fJjEzdZ7fu/zury6QU00xs6zgXyZgSKuve24MVCd3hcvoGJCtjh4JgN/FKHczGdrLKy/&#10;8DdNx9QoCeFYoIE2pVBoHeuWHMalD8Si/fjRYZJ1bLQd8SLhbtBPWfasHXYsDS0Gemup7o9nZ2DY&#10;774O4ZcqZ6fgzrt9tf3A3pjHhzx7BZXomu7m/+tPK/irXHDlGxlBb2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2paL4A&#10;AADdAAAADwAAAAAAAAABACAAAAAiAAAAZHJzL2Rvd25yZXYueG1sUEsBAhQAFAAAAAgAh07iQDMv&#10;BZ47AAAAOQAAABAAAAAAAAAAAQAgAAAADQEAAGRycy9zaGFwZXhtbC54bWxQSwUGAAAAAAYABgBb&#10;AQAAtwMAAAAA&#10;" path="m7,0l0,8,7,17,14,8,7,0e">
              <v:path o:connectlocs="7,2228;0,2236;7,2245;14,2236;7,2228;7,2228" o:connectangles="0,0,0,0,0,0"/>
              <v:fill on="f" focussize="0,0"/>
              <v:stroke weight="0.0120472440944882pt" color="#000000" joinstyle="round"/>
              <v:imagedata o:title=""/>
              <o:lock v:ext="edit" aspectratio="f"/>
            </v:shape>
            <v:shape id="Picture 79" o:spid="_x0000_s1682" o:spt="75" type="#_x0000_t75" style="position:absolute;left:8389;top:2061;height:184;width:101;" filled="f" o:preferrelative="t" stroked="f" coordsize="21600,21600" o:gfxdata="UEsDBAoAAAAAAIdO4kAAAAAAAAAAAAAAAAAEAAAAZHJzL1BLAwQUAAAACACHTuJAMDUZyr4AAADd&#10;AAAADwAAAGRycy9kb3ducmV2LnhtbEVPS2vCQBC+C/6HZYTedDc9FE3dhFKwiFSKj0OPQ3aapM3O&#10;xuw2UX99VxB6m4/vOcv8bBvRU+drxxqSmQJBXDhTc6nheFhN5yB8QDbYOCYNF/KQZ+PRElPjBt5R&#10;vw+liCHsU9RQhdCmUvqiIot+5lriyH25zmKIsCul6XCI4baRj0o9SYs1x4YKW3qtqPjZ/1oNn9eX&#10;j6Mst8P6HQ/FWz9s1Ol7o/XDJFHPIAKdw7/47l6bOH+RLOD2TTxBZn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DUZyr4A&#10;AADdAAAADwAAAAAAAAABACAAAAAiAAAAZHJzL2Rvd25yZXYueG1sUEsBAhQAFAAAAAgAh07iQDMv&#10;BZ47AAAAOQAAABAAAAAAAAAAAQAgAAAADQEAAGRycy9zaGFwZXhtbC54bWxQSwUGAAAAAAYABgBb&#10;AQAAtwMAAAAA&#10;">
              <v:path/>
              <v:fill on="f" focussize="0,0"/>
              <v:stroke on="f"/>
              <v:imagedata r:id="rId35" o:title=""/>
              <o:lock v:ext="edit" aspectratio="t"/>
            </v:shape>
            <v:shape id="Picture 80" o:spid="_x0000_s1683" o:spt="75" type="#_x0000_t75" style="position:absolute;left:8539;top:2122;height:123;width:158;" filled="f" o:preferrelative="t" stroked="f" coordsize="21600,21600" o:gfxdata="UEsDBAoAAAAAAIdO4kAAAAAAAAAAAAAAAAAEAAAAZHJzL1BLAwQUAAAACACHTuJAXfgMHb0AAADd&#10;AAAADwAAAGRycy9kb3ducmV2LnhtbEWPT2sCQQzF70K/wxChF6mzehBdHQULhdab/6DHsBN3FzeZ&#10;ZWe66rdvDoK3hPfy3i+rzZ0b01MX6yAOJuMMDEkRfC2lg9Px62MOJiYUj00QcvCgCJv122CFuQ83&#10;2VN/SKXREIk5OqhSanNrY1ERYxyHlkS1S+gYk65daX2HNw3nxk6zbGYZa9GGClv6rKi4Hv7YwfGy&#10;DcSjn91CiM/byNff/nFy7n04yZZgEt3Ty/y8/vaKv5gqv36jI9j1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d+AwdvQAA&#10;AN0AAAAPAAAAAAAAAAEAIAAAACIAAABkcnMvZG93bnJldi54bWxQSwECFAAUAAAACACHTuJAMy8F&#10;njsAAAA5AAAAEAAAAAAAAAABACAAAAAMAQAAZHJzL3NoYXBleG1sLnhtbFBLBQYAAAAABgAGAFsB&#10;AAC2AwAAAAA=&#10;">
              <v:path/>
              <v:fill on="f" focussize="0,0"/>
              <v:stroke on="f"/>
              <v:imagedata r:id="rId36" o:title=""/>
              <o:lock v:ext="edit" aspectratio="t"/>
            </v:shape>
            <w10:wrap type="topAndBottom"/>
          </v:group>
        </w:pict>
      </w:r>
    </w:p>
    <w:p>
      <w:pPr>
        <w:spacing w:line="500" w:lineRule="exact"/>
        <w:ind w:firstLine="480" w:firstLineChars="200"/>
        <w:rPr>
          <w:rFonts w:hint="default" w:ascii="Times New Roman" w:hAnsi="Times New Roman" w:cs="Times New Roman"/>
          <w:sz w:val="24"/>
          <w:szCs w:val="28"/>
          <w:u w:val="single"/>
        </w:rPr>
      </w:pPr>
      <w:r>
        <w:rPr>
          <w:rFonts w:hint="default" w:ascii="Times New Roman" w:hAnsi="Times New Roman" w:cs="Times New Roman"/>
          <w:sz w:val="24"/>
          <w:szCs w:val="28"/>
          <w:u w:val="single"/>
        </w:rPr>
        <w:t>注：采用卸油油气回收系统的汽油罐通气管管口爆炸危险区域用括号内数字。</w:t>
      </w:r>
    </w:p>
    <w:p>
      <w:pPr>
        <w:pStyle w:val="11"/>
        <w:spacing w:before="4"/>
        <w:ind w:left="1213"/>
        <w:rPr>
          <w:rFonts w:hint="default" w:ascii="Times New Roman" w:hAnsi="Times New Roman" w:cs="Times New Roman"/>
          <w:sz w:val="22"/>
        </w:rPr>
      </w:pPr>
    </w:p>
    <w:p>
      <w:pPr>
        <w:tabs>
          <w:tab w:val="left" w:pos="3541"/>
        </w:tabs>
        <w:ind w:left="1001" w:firstLine="720" w:firstLineChars="300"/>
        <w:rPr>
          <w:rFonts w:hint="default" w:ascii="Times New Roman" w:hAnsi="Times New Roman" w:cs="Times New Roman"/>
          <w:sz w:val="24"/>
        </w:rPr>
      </w:pPr>
      <w:r>
        <w:rPr>
          <w:rFonts w:hint="default" w:ascii="Times New Roman" w:hAnsi="Times New Roman" w:cs="Times New Roman"/>
          <w:sz w:val="24"/>
        </w:rPr>
        <w:t>图</w:t>
      </w:r>
      <w:r>
        <w:rPr>
          <w:rFonts w:hint="default" w:ascii="Times New Roman" w:hAnsi="Times New Roman" w:cs="Times New Roman"/>
          <w:spacing w:val="-36"/>
          <w:sz w:val="24"/>
        </w:rPr>
        <w:t xml:space="preserve"> </w:t>
      </w:r>
      <w:r>
        <w:rPr>
          <w:rFonts w:hint="default" w:ascii="Times New Roman" w:hAnsi="Times New Roman" w:cs="Times New Roman"/>
          <w:spacing w:val="7"/>
          <w:sz w:val="24"/>
        </w:rPr>
        <w:t xml:space="preserve">C.0.3  </w:t>
      </w:r>
      <w:r>
        <w:rPr>
          <w:rFonts w:hint="default" w:ascii="Times New Roman" w:hAnsi="Times New Roman" w:cs="Times New Roman"/>
          <w:spacing w:val="18"/>
          <w:sz w:val="24"/>
        </w:rPr>
        <w:t>埋</w:t>
      </w:r>
      <w:r>
        <w:rPr>
          <w:rFonts w:hint="default" w:ascii="Times New Roman" w:hAnsi="Times New Roman" w:cs="Times New Roman"/>
          <w:spacing w:val="21"/>
          <w:sz w:val="24"/>
        </w:rPr>
        <w:t>地</w:t>
      </w:r>
      <w:r>
        <w:rPr>
          <w:rFonts w:hint="default" w:ascii="Times New Roman" w:hAnsi="Times New Roman" w:cs="Times New Roman"/>
          <w:spacing w:val="18"/>
          <w:sz w:val="24"/>
        </w:rPr>
        <w:t>卧</w:t>
      </w:r>
      <w:r>
        <w:rPr>
          <w:rFonts w:hint="default" w:ascii="Times New Roman" w:hAnsi="Times New Roman" w:cs="Times New Roman"/>
          <w:spacing w:val="21"/>
          <w:sz w:val="24"/>
        </w:rPr>
        <w:t>式</w:t>
      </w:r>
      <w:r>
        <w:rPr>
          <w:rFonts w:hint="default" w:ascii="Times New Roman" w:hAnsi="Times New Roman" w:cs="Times New Roman"/>
          <w:spacing w:val="18"/>
          <w:sz w:val="24"/>
        </w:rPr>
        <w:t>汽油储</w:t>
      </w:r>
      <w:r>
        <w:rPr>
          <w:rFonts w:hint="default" w:ascii="Times New Roman" w:hAnsi="Times New Roman" w:cs="Times New Roman"/>
          <w:spacing w:val="21"/>
          <w:sz w:val="24"/>
        </w:rPr>
        <w:t>罐</w:t>
      </w:r>
      <w:r>
        <w:rPr>
          <w:rFonts w:hint="default" w:ascii="Times New Roman" w:hAnsi="Times New Roman" w:cs="Times New Roman"/>
          <w:spacing w:val="18"/>
          <w:sz w:val="24"/>
        </w:rPr>
        <w:t>爆炸</w:t>
      </w:r>
      <w:r>
        <w:rPr>
          <w:rFonts w:hint="default" w:ascii="Times New Roman" w:hAnsi="Times New Roman" w:cs="Times New Roman"/>
          <w:spacing w:val="21"/>
          <w:sz w:val="24"/>
        </w:rPr>
        <w:t>危</w:t>
      </w:r>
      <w:r>
        <w:rPr>
          <w:rFonts w:hint="default" w:ascii="Times New Roman" w:hAnsi="Times New Roman" w:cs="Times New Roman"/>
          <w:spacing w:val="18"/>
          <w:sz w:val="24"/>
        </w:rPr>
        <w:t>险</w:t>
      </w:r>
      <w:r>
        <w:rPr>
          <w:rFonts w:hint="default" w:ascii="Times New Roman" w:hAnsi="Times New Roman" w:cs="Times New Roman"/>
          <w:spacing w:val="21"/>
          <w:sz w:val="24"/>
        </w:rPr>
        <w:t>区</w:t>
      </w:r>
      <w:r>
        <w:rPr>
          <w:rFonts w:hint="default" w:ascii="Times New Roman" w:hAnsi="Times New Roman" w:cs="Times New Roman"/>
          <w:spacing w:val="18"/>
          <w:sz w:val="24"/>
        </w:rPr>
        <w:t>域划</w:t>
      </w:r>
      <w:r>
        <w:rPr>
          <w:rFonts w:hint="default" w:ascii="Times New Roman" w:hAnsi="Times New Roman" w:cs="Times New Roman"/>
          <w:sz w:val="24"/>
        </w:rPr>
        <w:t>分</w:t>
      </w:r>
    </w:p>
    <w:p>
      <w:pPr>
        <w:tabs>
          <w:tab w:val="left" w:pos="3541"/>
        </w:tabs>
        <w:ind w:left="2367"/>
        <w:rPr>
          <w:rFonts w:hint="default" w:ascii="Times New Roman" w:hAnsi="Times New Roman" w:cs="Times New Roman"/>
          <w:sz w:val="24"/>
        </w:rPr>
      </w:pPr>
    </w:p>
    <w:p>
      <w:pPr>
        <w:tabs>
          <w:tab w:val="left" w:pos="4480"/>
          <w:tab w:val="left" w:pos="6215"/>
        </w:tabs>
        <w:ind w:left="1843"/>
        <w:rPr>
          <w:rFonts w:hint="default" w:ascii="Times New Roman" w:hAnsi="Times New Roman" w:cs="Times New Roman"/>
          <w:sz w:val="24"/>
        </w:rPr>
      </w:pPr>
      <w:r>
        <w:rPr>
          <w:rFonts w:hint="default" w:ascii="Times New Roman" w:hAnsi="Times New Roman" w:cs="Times New Roman"/>
          <w:lang w:val="en-US" w:bidi="ar-SA"/>
        </w:rPr>
        <w:pict>
          <v:group id="Group 141" o:spid="_x0000_s1466" o:spt="203" style="position:absolute;left:0pt;margin-left:261.5pt;margin-top:1.65pt;height:21.5pt;width:26.9pt;mso-position-horizontal-relative:page;z-index:-251653120;mso-width-relative:page;mso-height-relative:page;" coordorigin="5143,121" coordsize="538,430203" o:gfxdata="UEsDBAoAAAAAAIdO4kAAAAAAAAAAAAAAAAAEAAAAZHJzL1BLAwQUAAAACACHTuJApgz3oNgAAAAI&#10;AQAADwAAAGRycy9kb3ducmV2LnhtbE2PQUvDQBCF74L/YRnBm92ka6LEbIoU9VQEW0G8bbPTJDQ7&#10;G7LbpP33jic9Dm947/vK1dn1YsIxdJ40pIsEBFLtbUeNhs/d690jiBANWdN7Qg0XDLCqrq9KU1g/&#10;0wdO29gILqFQGA1tjEMhZahbdCYs/IDE2cGPzkQ+x0ba0cxc7nq5TJJcOtMRL7RmwHWL9XF7chre&#10;ZjM/q/Rl2hwP68v3Lnv/2qSo9e1NmjyBiHiOf8/wi8/oUDHT3p/IBtFryJaKXaIGpUBwnj3krLLX&#10;cJ8rkFUp/wtUP1BLAwQUAAAACACHTuJAdn5VIccHAACsJAAADgAAAGRycy9lMm9Eb2MueG1s7Vpp&#10;j9s2EP1eoP+B0McWjnWuD6y32G4OBEjbReP+AFmWbaGypFLyetOi/71vSFGizjgJWiTpBshax2j4&#10;OAf5ZqTrHx6PMXsIeR6lycqwnpkGC5Mg3UbJfmX8tn45mRssL/xk68dpEq6Md2Fu/HDz7TfX52wZ&#10;2ukhjbchZ1CS5MtztjIORZEtp9M8OIRHP3+WZmGCm7uUH/0Cp3w/3XL/DO3HeGqb5tX0nPJtxtMg&#10;zHNcfS5vGjdC/24XBsUvu10eFixeGcBWiL9c/N3Q3+nNtb/ccz87REEJw/8IFEc/SjBopeq5X/js&#10;xKOOqmMU8DRPd8WzID1O090uCkIxB8zGMluzecXTUybmsl+e91llJpi2ZaePVhv8/HDPWbSF7xaO&#10;a7DEP8JLYmBmuRbZ55ztlxB7xbO32T0vL+zlGU35cceP9IvJsEdh2XeVZcPHggW46LjWlQP7B7hl&#10;zxzTKy0fHOAeesqzXMdguGvZYlB/GRxelA97DoKInnShAuNP1ZhTglYhOWcIoby2Uv5pVnp78LNQ&#10;GD+n6ddW8pSVbk9FKqRgKVtaSohWZsqXOSzGNuef0i2s6kNeBEnLYvD8AkoxwYnt2LOrOenyl8p2&#10;9tyyLLu0ne1Z1qJhBFjqlBevwlQ4wX94kxfi8f0WRyIkt6VX13DA7hgjvr+fMJN5V3OTybHLB5Sc&#10;peS+m7K1yc6shNASAyZNHRzHGvj31bjwrBSEPhI7MLuaB1KmkkP8aQopJPrxwViVvrU7iO9KiYnp&#10;juCbKcH34EMYXoRvoeTIfvNBfFbTHyMALd0jYxakOLkIoqX7ZG3ZwyBbTvEGvWzpbvEgN+Rmq+mY&#10;kTjUHbO2roZBtjwzAlL3zRhIu+kcgLT6gxHrlRaN9ki6tHwzDNLWnTMKsuWcwYyxdd+s7eGcsZu+&#10;GYlJW3fOWEzaLecMg9R9s7aHE4d2Ej3Khy3p6M4Zs6TTcs4gSEf3zdoZThzaTS8EqTtnFGTTOcOJ&#10;4+i+WTvDiUM764UgdeeMgXRbzhncZcAutMRxhxMHm6sOciQmiUPI6bxnJXdbzhnMblf3zdodThy3&#10;6ZsxkLpz2okDblNt3P5B7eXBY1Ju5jhiPnFrUzCJLM2JPa1hStCHtVMyA0jRzj8gjCmR8OwiYbid&#10;hLEDYfcHunHVtK0Ice8ycZhCiCtKM66dlloSx/p4CRha9IT4ZTO1y6lizbhEOy0EpN25bKqUkkL8&#10;sqlScpA4IvoSMBSmQrwxVemuMnI4aqF2FcQNhipoQ0P4y8wvKODUITuDqpfU84BDydjo7jF9CNep&#10;kCso+iaW69HmDwDgr/O5mmEtFydNec/0kNNteSVVP5eV+jV5x6n4by2nnlTyGh5NXkmpX00ay4FA&#10;0yNdj6LkNTQfOtuL9Pejr3H04O+xvpJSvwo9tKvZauilFAKGokAkehUOFEVahZGkL6M4FhETJxQk&#10;1lwsRXkaR1u6RYGR8/3mLubswae6W/wr47ghhvo22cr4jrFioZ6TJRMVnflyk27foXziqaza0WXA&#10;wSHlfxrsjIp9ZeR/nHweGix+naDYW1gu7T2FOHG9GTE4rt/Z6Hf8JICqlVEYWE/p8K6QbYFTxqP9&#10;ASNZYlpJSmXeLqKiSuCTqMoT1Js311kULPG/LM9x1Ck839/GwFPFCXOR2pKH+yi45/KkUXxil5El&#10;OgToAZSeYoXA86JKlY/BjVHwJg1+z1mS3h2wYYS3eYYFgGZVX+I8PR9CfwvjyTWvqWVKpw0omzjK&#10;lIvpuJwyDNfqR/RMWPY6nqfB6RgmhWze8DD2C3SO8kOU5fDWMjxuwu3K4K+30vqogcsliaph0VD5&#10;y57fmubC/nFy55l3E9ecvZjcLtzZZGa+mLmmO7furLu/yXeWuzzlIczgx8+zSHV3LLeDtrd7UvaZ&#10;ZF9G9HfKaC4DGYBEniiISBMyiYz+4FcYW+RIXvCwCJBS/nKH5CivQ7i6IcxcW5aMTm0DeqLVKEDm&#10;ymUTrEGu2WQV0V9ZYPOiFomDA5lQ6tmMy+4AowOYFsDIOEvVKaCcL0XocpXeApYEIg6BS6blf9Fj&#10;wWYpw/wlD0Pq/iHOXZoYrQtIiA9tsXi2J7dryxZq6u6KS3WMaC7hoGk5fdVT1tLoWd23aDFe23MZ&#10;BiwHqsWQehU5FW0VGlsESS3TpLrEsyvEtRCmUimSVLxHU4fhouPTAwo7R6VL9FJ6VLWprdsHCmas&#10;FAEzqv8eTa1yg2h3Hyi91hANlB5Vne5JL6pW50SDhbj/Apg2UIITfwKFI8sx8Df6pfyuaYQkBIhd&#10;LBulfTFafb9JHFzqDEBSdWDVXfUrtYnROlK0xDzRis+ZViAv27RClDVNQvAV0ApbJIHas+U28EQr&#10;Slpho4kh9iNFK6o3L3hj09ocFWf4omgF9pUOrRBT/lhaYXmyadAhZC51HvveWTWLqQ+hFd4CO7h1&#10;pd5ZVm9NurRCdjD0Nyt9tKKkkKO0Qr5w0zW1aAXw9ILq0oouqDatIK7TAdWkFfRSoXwLqINq0Yoh&#10;UF1a0QXVoRW9qFq0QoP1f6EVFN9EKxAhfbSCrgtiISNohFhIuSateCIMBvus+xDUaGkTBlHLfHWE&#10;wXkiDN0+hGMO9SFmWGNFH2ImvmJAIv8rfQjx5Qc+iREdmPLzHfrmRj8XLbr6I6ObfwBQSwMECgAA&#10;AAAAh07iQAAAAAAAAAAAAAAAAAoAAABkcnMvbWVkaWEvUEsDBBQAAAAIAIdO4kDDZiGeWwcAAFYH&#10;AAAUAAAAZHJzL21lZGlhL2ltYWdlMi5wbmcBVgep+IlQTkcNChoKAAAADUlIRFIAAABHAAAAKAgG&#10;AAAArBLnkAAAAAZiS0dEAP8A/wD/oL2nkwAAAAlwSFlzAAAOxAAADsQBlSsOGwAABvZJREFUaIHt&#10;2WdQVFcUB/CzUbayuwrswlJEXOkgKLZYsCSxRh11dMSx69gjsUQldoMYlSAajWaMqRMzySSOFUWl&#10;gxUB6eCKCGwFFBBhQbwnn54d2N27Yv1wvtx37v9efm/27X0LAAAGBwdHEkJYiAgf6klBcHBwJADg&#10;smXL9nwAelJNTU3tgBDCWr58eQQA4NKlS7//AISg0+kkfn5+GYCIQAhhrVix4jsAwCVLlux7n4G0&#10;Wq3Ux8cni8vl1j8eJISwVq5cGQ4AuHjx4v3vI5BWq5V6e3tn83i8upiYmKHPXCSEsFatWrULAHDR&#10;okU/PHr06KPXveG2Ko1GY+vl5ZXD4/HqYmNjhyAivNBECGGtXr16BwDgwoULD7wPQAwMn89/EBcX&#10;N5gZf2kzIYS1Zs2abwEAFyxYcPBdBlKr1Xaenp65z8M0i8MArV27djsA4Pz58398F4HUarWdh4dH&#10;nkAgqI2Pjx/0/PUWJxNCWCEhIWEAgPPmzTv0LgGpVCoZA5OQkBD4sp5WQwghrHXr1oUCAM6dO/en&#10;dwFIqVTau7u75wsEgtrExMSBzfUZFEYIYa1fv/4bAMA5c+YcfpuBlEqlvZubW4FAIKhNSkoa0FKv&#10;waGEENaGDRu2AgDOnj3757cRqKyszMHV1bXQ0tLyfnJycv/W+o0KJ4SwNm7cuAUAcNasWb80NTW1&#10;e91/sCkwKSkp/QyZY9JCmzZt2gwAOHPmzF/fBqDS0lLHrl273hQKhTWGwpiMg4iwefPmTQCAM2bM&#10;+O1NBiotLXWUy+UKoVBYc/HixY+NmUu18JYtWzYCAE6fPv33NxGopKTESS6XK0QiUfWlS5f6Gjsf&#10;aF8wt27dugEAcNq0aX+8SUAlJSVOXbp0uSUSiaovX77cx5QMEIvFVdXV1SKajYSGhq4DAJw6deqf&#10;Dx8+bP+6Ye7cudPJxcWlSCQSVV+5cqW3qTkAANi3b99LVVVVYpoNbdu27es3Aai4uNjZxcWlSCwW&#10;V9HAICLA0aNHx7dv3/5hnz59LtMChYWFhQAABgUFHXkdQMXFxc6dO3e+LRaLq65evdqLJkuhUMgB&#10;EeHYsWPjLCwsGnv37n2FFmj79u1rAQCnTJnyV1sC3b59u7Ozs3Nxhw4d7l27dq0nTVZKSko/gUBQ&#10;+3iAAerVq9fVe/fudaAJ37Fjx2oAwMmTJ//dFkBFRUUuDExqamoATVZycnJ/S0vL+66uroXPXDh+&#10;/PhYCwuLxp49e16jBdq5c+dXAICTJk36p7Gx0eJVwnTq1OlOx44d716/fr2HOWDc3NwKlEql/QsN&#10;J06cGMMA3b17tyPNYrt27Vr1KoFu3brVxVwwSUlJA56GQWzmEHjy5MnP2Wx2Q0BAQCotUHh4+EoA&#10;wIkTJ/5rTiCFQiF3cnIqsbKyqkxLS+tOk5WYmDhQIBDUuru756tUKhkz3uyEU6dOjWaz2Q09evS4&#10;XllZaUWzeERExHIAwAkTJvxnDiCFQiF3dHQstbKyqkxPT/enyUpISAh8GUyLOIgIp0+fHsVmsxu6&#10;d++eRgu0e/fuLwEAx48ff5QG6ObNm10dHR1Lra2tKzIyMvxo9hQfHz+Iz+c/8PDwyHseplUcRISo&#10;qKiRDFBFRYU1zWYiIyODGaCGhga2KTAODg5l5oCJi4sbzOfzH3h6euaq1Wq7l/UYFHTmzJkRHA5H&#10;7+/vn04LtGfPnmUAgOPGjTtmDFBhYaGrg4NDmY2NTfmNGze60ewhNjZ2CI/Hq/Py8srRaDS2zfUZ&#10;HHj27NnhHA5H7+fnl1FeXm5Ds7m9e/d+AQA4duzY44YAFRQUuNnb2yttbGzKMzMzfWnWjomJGWoI&#10;jFE4iAjR0dHDOByOvlu3bjdogfbt27cEAHDMmDEn9Ho9p7m+/Px8d5lMppJIJLqsrCwfc8B4e3tn&#10;a7VaaWv9Ri8QHR09jMvl1vv6+mbqdDrJqwQyJ8yFCxc+4fF4dT4+PlmGwJiEg4hw/vz5T80FtH//&#10;/sUAgKNHjz71NFBeXp6HnZ2dWiKR6LKzs71p1jB1v1R3gsvl1htzJ5qrAwcOLAQAHDVq1Gm9Xs/J&#10;zc31tLW11UilUm1OTo4XTfa5c+c+M/VGmrwoA2TMZ7ilOnjw4AIAwMDAwASpVKqxtbXV0MIwjwBT&#10;n5FA+/8nY57+rRXzoz2bzW5IT0+nOscw3640Xx4AANhW54aWKjs721sqlWpFIlEVAOCIESPO1NfX&#10;c03JYs5ltMcOEAqFNW114myusrKyfCQSiU4mk6ny8vI8Dh06NA8AcPjw4Wfr6up4xmRFRUWNNNeB&#10;9fG7iq+vbybtR4x5VwkKCjpi6BxCCCsgICBVJpOp8vPz3Znxw4cPz2GxWCQsLCzE0KyamhqhtbV1&#10;hTneBRER/gdK2jHPwNmpoAAAAABJRU5ErkJgglBLAwQUAAAACACHTuJA3csxjpQBAACYAQAAFAAA&#10;AGRycy9tZWRpYS9pbWFnZTEucG5n6wzwc+flkuJiYGDg9fRwCQLSpiDMwQYkHz5bXACk2JK83V0Y&#10;/oPggr3LJwNFOAs8IosZGPiOgDDjVG0+aQYGRgtPF8eQjMa71/f6tTkItD78/FI2KtmbcyFL9BaT&#10;qFtJZ2UPyUmrKP55qydSvWxGkVrlrkpHoYWXt72VZhBz/Si7+b/9uZ3ul03eM0Rc/3r8anRqZB1j&#10;B3tq5DdrnsOfZRfYnK8/Vlizizkk9OpyywnF7xL5XISeOcRpmF7Q9BIs6QhifbtoiuNsjdILXKmM&#10;WxwiGc9qeCtMMmBX4oxgnsiya131VhYl23p71QuqIasWZIScWqAR8mpBwhQmDY6lTJ/cNBv3BGQt&#10;CJ6i9EJgKdctV81ms8BXC0RPMWU0bmKaFTjNQQVk2wY2peVztrMocX6p/Z/E6XJvwueVjXoLg1hd&#10;FwexuS4MYmddLOLgqCE6wdyL80lrEPPcRSKO7RqhF/S8JLd0BrGvDRBz4J4ieqFnEwvUGKDDgs9F&#10;M008In/jmhxr9pRyAWDAMni6+rmsc0poAgBQSwMEFAAAAAgAh07iQMng3vm5BQAAtAUAABQAAABk&#10;cnMvbWVkaWEvaW1hZ2UzLnBuZwG0BUv6iVBORw0KGgoAAAANSUhEUgAAADIAAAAzCAYAAADVY1sU&#10;AAAABmJLR0QA/wD/AP+gvaeTAAAACXBIWXMAAA7EAAAOxAGVKw4bAAAFVElEQVRogdWXa0hbBxiG&#10;v1xNUu+3hiw2KNZgOlmYnaLMVkGZxZVapkxBwZVVcDAGs7AWZocWVmEWSqGCK6ugoEXLlCmzKOhm&#10;UZouJcUuEidKZhoyq1ZNjTGXk3c/ROhKXaInHsmB9+f38j7nQB5CRIRLly794PP5eABovzl9+vRv&#10;RIQ7d+58zqaHYRg+EYGIMDIyUhjoHdXV1bUSEa5cufI9G5itra2w4uLiIR6P52tvb69hA7O0tBSf&#10;kZExJZVKN8fGxvIDAmEYhn/x4sUfiQhXr15tZDPA6XRKioqKhnk8nq+zs7OKTdfi4mKiRqMxymQy&#10;x/j4eJ5fkJ3PWVNT005EuHbt2rdsBjgcDllBQcEon89n7t279ymbLpvNJler1abw8PBXk5OTOX5B&#10;AJDX6xVUVVV1EhGam5u/YTNgY2PjSF5e3rhAIPDev3//EzZdVqtVkZqaOhsZGbmu0+my/IIAII/H&#10;I6yoqOgmIty4ceNrNgPsdntEbm7uhFAo9PT3959j02WxWJQpKSlzUVFRa3q9PtMvyA5MWVlZLxHh&#10;1q1bX7IZsL6+Hpmdnf1IJBK5BwcHS9h0mc1mlUqlMsfExLw0GAxavyAAyO12i0pLS/uICK2trXVs&#10;BqyurkZnZmbqxWKx68GDBx+x6Zqfn09WKpWWuLi45WfPnr3rFwQAuVwucUlJyWAw3LCyshKr1WoN&#10;EonEuRc3vC2zs7OpCoXCmpCQ8MJoNGr8ggDbP6eH6YbdYjKZ1EePHv1HLpfbTCaT2i8IANrc3JQW&#10;FhaOBNsNDx8+/JBNl9Fo1CQkJLxQKBTW2dnZ1ICOHA6HLD8/f4xrN/jL1NRURlxc3LJSqbQEfHRQ&#10;bnj8+PEHbLoMBoP2xIkTf+7pyG63R+Tk5EwG0w3R0dGrT548eZ9NF8Mw/D0fra2tRWVlZemC6YbY&#10;2NiVp0+fvsema19HwXZDUlLSQnx8/NKbbjhwEOBg3JCYmLg4PT2dzikIEHw3yOVym1wut83MzKRx&#10;CgJsuyE9PX36INzAKQiw7Ya0tLSZYLohKSlpYX5+PplTEAD0/Pnzd4LphpiYmJcqlcpsNptVnIIA&#10;oIWFhaTk5OT5YLhBr9dnRkVFraWkpMxZLBYlpyDAthuOHTv2dzDcoNPpsiIiIuzHjx//y2q1KjgF&#10;AUBzc3MpSqXSwtYNAGhiYiI3PDz8lVqtNtlsNjmnIEBw3LCT8fHxPJlM5tBoNMbFxcVETkGA//5v&#10;2I8bXs/Y2Fi+VCrdzMjImFpeXo7jFARg54Y3MzIyUhgWFral1WoNKysrsZyCAPt3w9syNDRULBaL&#10;XSdPnvxjdXU1mlMQYH9u2C0DAwMfi0Qid3Z29qP19fVITkGAvbvh/9Lf339OKBR6cnNzJ+x2ewSn&#10;IMDe3OAvvb29ZQKBwHvq1KnfOQcBAndDIOnu7q6QSqWbhwICBOaGQGOz2eSHBgKARkdHCyQSiXM3&#10;N+wlhwoCgIaHh4t2c0NIgQC7uyHkQIC3uyEkQQBQX19f6etuCFkQANTT01O+44aNjY0jIQsCgLq6&#10;uir5fD5TUFAw6nA4ZCELAoA6OjqqeTyer6ioaNjpdEpCFgQA3b179zMiwpkzZ37d2toKC1kQANTW&#10;1lZLRDh79uwvLpdLHLIgAOj27dtfEBHOnz//s9vtFoUsCAC6efPmV0SE8vLyHo/HIwxZEADU0tJS&#10;T0SorKzs8nq9gpAFAUDXr1+/TESorq7ueB3m0IftJ01NTQ1EhAsXLvzEMAw/ZEEAUENDQxMRoba2&#10;to1hGL6QQvRpbGz8zuPxiJqbmy+LRCLPob9ZNvH5fLz6+voWIsK/9NutRLKCfBIAAAAASUVORK5C&#10;YIJ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AoAAAAAAIdO4kAAAAAAAAAAAAAAAAAKAAAAZHJzL19yZWxzL1BLAwQUAAAACACHTuJA&#10;NydHYcYAAAApAgAAGQAAAGRycy9fcmVscy9lMm9Eb2MueG1sLnJlbHO9kcFqAjEQhu9C3yHMvZvd&#10;FYqIWS8ieBX7AEMymw1uJiGJpb69gVKoIPXmcWb4v/+D2Wy//Sy+KGUXWEHXtCCIdTCOrYLP0/59&#10;BSIXZINzYFJwpQzb4W2xOdKMpYby5GIWlcJZwVRKXEuZ9UQecxMicb2MIXksdUxWRtRntCT7tv2Q&#10;6S8DhjumOBgF6WCWIE7XWJufs8M4Ok27oC+euDyokM7X7grEZKko8GQc/iyXTWQL8rFD/xqH/j+H&#10;7jUO3a+DvHvwcANQSwMEFAAAAAgAh07iQHnnugQEAQAAEwIAABMAAABbQ29udGVudF9UeXBlc10u&#10;eG1slZHBTsMwDIbvSLxDlCtqU3ZACK3dgY4jIDQeIErcNqJxojiU7e1Juk2CiSHtGNvf7y/JcrW1&#10;I5sgkHFY89uy4gxQOW2wr/n75qm454yiRC1Hh1DzHRBfNddXy83OA7FEI9V8iNE/CEFqACupdB4w&#10;dToXrIzpGHrhpfqQPYhFVd0J5TACxiLmDN4sW+jk5xjZepvKexOPPWeP+7m8qubGZj7XxZ9EgJFO&#10;EOn9aJSM6W5iQn3iVRycykTOMzQYTzdJ/MyG3Pnt9HPBgXtJjxmMBvYqQ3yWNpkLHUho94UBpvL/&#10;kGxpqXBdZxSUbaA2YW8wHa3OpcPCtU5dGr6eqWO2mL+0+QZQSwECFAAUAAAACACHTuJAeee6BAQB&#10;AAATAgAAEwAAAAAAAAABACAAAADDGgAAW0NvbnRlbnRfVHlwZXNdLnhtbFBLAQIUAAoAAAAAAIdO&#10;4kAAAAAAAAAAAAAAAAAGAAAAAAAAAAAAEAAAAIAYAABfcmVscy9QSwECFAAUAAAACACHTuJAihRm&#10;PNEAAACUAQAACwAAAAAAAAABACAAAACkGAAAX3JlbHMvLnJlbHNQSwECFAAKAAAAAACHTuJAAAAA&#10;AAAAAAAAAAAABAAAAAAAAAAAABAAAAAAAAAAZHJzL1BLAQIUAAoAAAAAAIdO4kAAAAAAAAAAAAAA&#10;AAAKAAAAAAAAAAAAEAAAAJ4ZAABkcnMvX3JlbHMvUEsBAhQAFAAAAAgAh07iQDcnR2HGAAAAKQIA&#10;ABkAAAAAAAAAAQAgAAAAxhkAAGRycy9fcmVscy9lMm9Eb2MueG1sLnJlbHNQSwECFAAUAAAACACH&#10;TuJApgz3oNgAAAAIAQAADwAAAAAAAAABACAAAAAiAAAAZHJzL2Rvd25yZXYueG1sUEsBAhQAFAAA&#10;AAgAh07iQHZ+VSHHBwAArCQAAA4AAAAAAAAAAQAgAAAAJwEAAGRycy9lMm9Eb2MueG1sUEsBAhQA&#10;CgAAAAAAh07iQAAAAAAAAAAAAAAAAAoAAAAAAAAAAAAQAAAAGgkAAGRycy9tZWRpYS9QSwECFAAU&#10;AAAACACHTuJA3csxjpQBAACYAQAAFAAAAAAAAAABACAAAADPEAAAZHJzL21lZGlhL2ltYWdlMS5w&#10;bmdQSwECFAAUAAAACACHTuJAw2YhnlsHAABWBwAAFAAAAAAAAAABACAAAABCCQAAZHJzL21lZGlh&#10;L2ltYWdlMi5wbmdQSwECFAAUAAAACACHTuJAyeDe+bkFAAC0BQAAFAAAAAAAAAABACAAAACVEgAA&#10;ZHJzL21lZGlhL2ltYWdlMy5wbmdQSwUGAAAAAAwADADWAgAA+BsAAAAA&#10;">
            <o:lock v:ext="edit"/>
            <v:shape id="AutoShape 142" o:spid="_x0000_s1472" o:spt="100" style="position:absolute;left:20195;top:-232768;height:225119;width:281112;" filled="f" coordsize="281112,225119" o:gfxdata="UEsDBAoAAAAAAIdO4kAAAAAAAAAAAAAAAAAEAAAAZHJzL1BLAwQUAAAACACHTuJAObpdr70AAADd&#10;AAAADwAAAGRycy9kb3ducmV2LnhtbEVPzWqDQBC+B/IOyxR6S1ZbmjbWNYdAoclFkvoAgztRqTur&#10;7sZYnz5bKPQ2H9/vpLvJtGKkwTWWFcTrCARxaXXDlYLi62P1BsJ5ZI2tZVLwQw522XKRYqLtjU80&#10;nn0lQgi7BBXU3neJlK6syaBb2444cBc7GPQBDpXUA95CuGnlUxRtpMGGQ0ONHe1rKr/PV6OgL/ri&#10;ML9e5mOZu201HvLr5KRSjw9x9A7C0+T/xX/uTx3mb59f4PebcILM7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5ul2vvQAA&#10;AN0AAAAPAAAAAAAAAAEAIAAAACIAAABkcnMvZG93bnJldi54bWxQSwECFAAUAAAACACHTuJAMy8F&#10;njsAAAA5AAAAEAAAAAAAAAABACAAAAAMAQAAZHJzL3NoYXBleG1sLnhtbFBLBQYAAAAABgAGAFsB&#10;AAC2AwAAAAA=&#10;" path="m-14515,232889l-15052,232889m-15052,233319l-14515,233319,-14514,233319m-15052,232889l-15052,233319m-14515,233319l-14515,232889,-14514,232889e">
              <v:path o:connecttype="segments" o:connectlocs="-14515,121;-15052,121;-15052,121;-15052,551;-14515,551;-14514,551;-15052,121;-15052,551;-15052,551;-14515,551;-14515,121;-14514,121" o:connectangles="0,0,0,0,0,0,0,0,0,0,0,0"/>
              <v:fill on="f" focussize="0,0"/>
              <v:stroke weight="0.00141732283464567pt" joinstyle="round"/>
              <v:imagedata o:title=""/>
              <o:lock v:ext="edit"/>
            </v:shape>
            <v:shape id="Picture 143" o:spid="_x0000_s1471" o:spt="75" type="#_x0000_t75" style="position:absolute;left:5142;top:121;height:399;width:399;" filled="f" o:preferrelative="t" stroked="f" coordsize="21600,21600" o:gfxdata="UEsDBAoAAAAAAIdO4kAAAAAAAAAAAAAAAAAEAAAAZHJzL1BLAwQUAAAACACHTuJAeFskn70AAADd&#10;AAAADwAAAGRycy9kb3ducmV2LnhtbEVP22oCMRB9F/oPYQp908QK0q5GoQsVUUHr7XnYjLtrN5Nl&#10;k+r690Yo+DaHc53xtLWVuFDjS8ca+j0FgjhzpuRcw3733f0A4QOywcoxabiRh+nkpTPGxLgr/9Bl&#10;G3IRQ9gnqKEIoU6k9FlBFn3P1cSRO7nGYoiwyaVp8BrDbSXflRpKiyXHhgJrSgvKfrd/VkM72CxC&#10;elP5Oputzruvw5HSpdX67bWvRiACteEp/nfPTZz/ORjC45t4gpzc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4WySfvQAA&#10;AN0AAAAPAAAAAAAAAAEAIAAAACIAAABkcnMvZG93bnJldi54bWxQSwECFAAUAAAACACHTuJAMy8F&#10;njsAAAA5AAAAEAAAAAAAAAABACAAAAAMAQAAZHJzL3NoYXBleG1sLnhtbFBLBQYAAAAABgAGAFsB&#10;AAC2AwAAAAA=&#10;">
              <v:path/>
              <v:fill on="f" focussize="0,0"/>
              <v:stroke on="f" joinstyle="miter"/>
              <v:imagedata r:id="rId37" o:title=""/>
              <o:lock v:ext="edit" aspectratio="t"/>
            </v:shape>
            <v:shape id="Freeform 144" o:spid="_x0000_s1470" o:spt="100" style="position:absolute;left:5253;top:124;height:427;width:427;" filled="f" coordsize="427,427" o:gfxdata="UEsDBAoAAAAAAIdO4kAAAAAAAAAAAAAAAAAEAAAAZHJzL1BLAwQUAAAACACHTuJA7BndLrsAAADd&#10;AAAADwAAAGRycy9kb3ducmV2LnhtbEVPTYvCMBC9L/gfwgje1rTKVq1GDwVhL7Js1PvQjG2xmZQm&#10;a+2/NwsLe5vH+5zd4Wlb8aDeN44VpPMEBHHpTMOVgsv5+L4G4QOywdYxKRjJw2E/edthbtzA3/TQ&#10;oRIxhH2OCuoQulxKX9Zk0c9dRxy5m+sthgj7SpoehxhuW7lIkkxabDg21NhRUVN51z9WgcsanWYn&#10;eSyGQn9dHY5n/TEqNZumyRZEoGf4F/+5P02cv1mu4PebeILcvw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7BndLrsAAADd&#10;AAAADwAAAAAAAAABACAAAAAiAAAAZHJzL2Rvd25yZXYueG1sUEsBAhQAFAAAAAgAh07iQDMvBZ47&#10;AAAAOQAAABAAAAAAAAAAAQAgAAAACgEAAGRycy9zaGFwZXhtbC54bWxQSwUGAAAAAAYABgBbAQAA&#10;tAMAAAAA&#10;" path="m0,427l426,0,427,0e">
              <v:path o:connecttype="segments" o:connectlocs="0,551;426,124;427,124" o:connectangles="0,0,0"/>
              <v:fill on="f" focussize="0,0"/>
              <v:stroke weight="0.00141732283464567pt" joinstyle="round"/>
              <v:imagedata o:title=""/>
              <o:lock v:ext="edit"/>
            </v:shape>
            <v:shape id="Picture 145" o:spid="_x0000_s1469" o:spt="75" type="#_x0000_t75" style="position:absolute;left:5142;top:246;height:305;width:538;" filled="f" o:preferrelative="t" stroked="f" coordsize="21600,21600" o:gfxdata="UEsDBAoAAAAAAIdO4kAAAAAAAAAAAAAAAAAEAAAAZHJzL1BLAwQUAAAACACHTuJAEfjWQsEAAADd&#10;AAAADwAAAGRycy9kb3ducmV2LnhtbEWPzW7CQAyE70h9h5UrcSubFAm1gYVDRaEFUYkAdyvrJmmz&#10;3pBdfvr29QGJm60Zz3yezK6uUWfqQu3ZQDpIQBEX3tZcGtjv3p9eQIWIbLHxTAb+KMBs+tCbYGb9&#10;hbd0zmOpJIRDhgaqGNtM61BU5DAMfEss2rfvHEZZu1LbDi8S7hr9nCQj7bBmaaiwpbeKit/85Aws&#10;VvPV/nBy6/wz/Zl/LdejzWJzNKb/mCZjUJGu8W6+XX9YwX8dCq58IyPo6T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EfjW&#10;QsEAAADdAAAADwAAAAAAAAABACAAAAAiAAAAZHJzL2Rvd25yZXYueG1sUEsBAhQAFAAAAAgAh07i&#10;QDMvBZ47AAAAOQAAABAAAAAAAAAAAQAgAAAAEAEAAGRycy9zaGFwZXhtbC54bWxQSwUGAAAAAAYA&#10;BgBbAQAAugMAAAAA&#10;">
              <v:path/>
              <v:fill on="f" focussize="0,0"/>
              <v:stroke on="f" joinstyle="miter"/>
              <v:imagedata r:id="rId38" o:title=""/>
              <o:lock v:ext="edit" aspectratio="t"/>
            </v:shape>
            <v:shape id="Freeform 146" o:spid="_x0000_s1468" o:spt="100" style="position:absolute;left:5159;top:121;height:430;width:431;" filled="f" coordsize="431,430" o:gfxdata="UEsDBAoAAAAAAIdO4kAAAAAAAAAAAAAAAAAEAAAAZHJzL1BLAwQUAAAACACHTuJAUO0ZbbcAAADd&#10;AAAADwAAAGRycy9kb3ducmV2LnhtbEVPyQrCMBC9C/5DGMGbpiqKVqOgKHh1AT0OzdgWm0nbpC5/&#10;bwTB2zzeOovVyxTiQbXLLSsY9CMQxInVOacKzqddbwrCeWSNhWVS8CYHq2W7tcBY2ycf6HH0qQgh&#10;7GJUkHlfxlK6JCODrm9L4sDdbG3QB1inUtf4DOGmkMMomkiDOYeGDEvaZJTcj41RcPPN9qovZ15X&#10;Vf6u5JjWo2mjVLcziOYgPL38X/xz73WYPxvN4PtNOEEuP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BQ7RlttwAAAN0AAAAP&#10;AAAAAAAAAAEAIAAAACIAAABkcnMvZG93bnJldi54bWxQSwECFAAUAAAACACHTuJAMy8FnjsAAAA5&#10;AAAAEAAAAAAAAAABACAAAAAGAQAAZHJzL3NoYXBleG1sLnhtbFBLBQYAAAAABgAGAFsBAACwAwAA&#10;AAA=&#10;" path="m430,430l0,0e">
              <v:path o:connecttype="segments" o:connectlocs="430,551;0,121;0,121" o:connectangles="0,0,0"/>
              <v:fill on="f" focussize="0,0"/>
              <v:stroke weight="0.00141732283464567pt" joinstyle="round"/>
              <v:imagedata o:title=""/>
              <o:lock v:ext="edit"/>
            </v:shape>
            <v:shape id="Picture 147" o:spid="_x0000_s1467" o:spt="75" type="#_x0000_t75" style="position:absolute;left:5302;top:121;height:378;width:379;" filled="f" o:preferrelative="t" stroked="f" coordsize="21600,21600" o:gfxdata="UEsDBAoAAAAAAIdO4kAAAAAAAAAAAAAAAAAEAAAAZHJzL1BLAwQUAAAACACHTuJAhvNUMb4AAADd&#10;AAAADwAAAGRycy9kb3ducmV2LnhtbEWPQWvCQBCF7wX/wzJCL0U3aUU0unoQhOKlmPYHDNkxG83O&#10;huya2H/vHAq9zfDevPfNdv/wrRqoj01gA/k8A0VcBdtwbeDn+zhbgYoJ2WIbmAz8UoT9bvKyxcKG&#10;kc80lKlWEsKxQAMupa7QOlaOPMZ56IhFu4TeY5K1r7XtcZRw3+r3LFtqjw1Lg8OODo6qW3n3BuJp&#10;8RbGNN6b4VB+XN1XfjljbszrNM82oBI90r/57/rTCv56IfzyjYygd0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vNUMb4A&#10;AADdAAAADwAAAAAAAAABACAAAAAiAAAAZHJzL2Rvd25yZXYueG1sUEsBAhQAFAAAAAgAh07iQDMv&#10;BZ47AAAAOQAAABAAAAAAAAAAAQAgAAAADQEAAGRycy9zaGFwZXhtbC54bWxQSwUGAAAAAAYABgBb&#10;AQAAtwMAAAAA&#10;">
              <v:path/>
              <v:fill on="f" focussize="0,0"/>
              <v:stroke on="f" joinstyle="miter"/>
              <v:imagedata r:id="rId39" o:title=""/>
              <o:lock v:ext="edit" aspectratio="t"/>
            </v:shape>
          </v:group>
        </w:pict>
      </w:r>
      <w:r>
        <w:rPr>
          <w:rFonts w:hint="default" w:ascii="Times New Roman" w:hAnsi="Times New Roman" w:cs="Times New Roman"/>
          <w:lang w:val="en-US" w:bidi="ar-SA"/>
        </w:rPr>
        <w:pict>
          <v:group id="Group 148" o:spid="_x0000_s1461" o:spt="203" style="position:absolute;left:0pt;margin-left:348.35pt;margin-top:0.95pt;height:21.6pt;width:30pt;mso-position-horizontal-relative:page;z-index:-251652096;mso-width-relative:page;mso-height-relative:page;" coordorigin="6755,132" coordsize="600,432203" o:gfxdata="UEsDBAoAAAAAAIdO4kAAAAAAAAAAAAAAAAAEAAAAZHJzL1BLAwQUAAAACACHTuJAPgknodcAAAAI&#10;AQAADwAAAGRycy9kb3ducmV2LnhtbE2PQUvDQBCF74L/YRnBm92smtTGbIoU9VQEW0G8bbPTJDQ7&#10;G7LbpP33Tk96fHyPN98Uy5PrxIhDaD1pULMEBFLlbUu1hq/t290TiBANWdN5Qg1nDLAsr68Kk1s/&#10;0SeOm1gLHqGQGw1NjH0uZagadCbMfI/EbO8HZyLHoZZ2MBOPu07eJ0kmnWmJLzSmx1WD1WFzdBre&#10;JzO9PKjXcX3Yr84/2/Tje61Q69sblTyDiHiKf2W46LM6lOy080eyQXQaskU25yqDBQjm8/SSdxoe&#10;UwWyLOT/B8pfUEsDBBQAAAAIAIdO4kAran68OgcAACkiAAAOAAAAZHJzL2Uyb0RvYy54bWztWmGP&#10;m0YQ/V6p/wHxsZVjFrCx0fmi610aRUrbU0N/AAZsUDFLF3y+tOp/78wuCwvn3bpXNWmbRModmMfw&#10;dt7ssm98Vy8fD6X1kLGmoNXGJi8c28qqhKZFtd/YP0Xfzla21bRxlcYlrbKN/T5r7JfXX35xdarD&#10;zKU5LdOMWRCkasJTvbHztq3D+bxJ8uwQNy9onVVwcUfZIW7hlO3nKYtPEP1Qzl3HWc5PlKU1o0nW&#10;NPDpnbhoX/P4u12WtD/sdk3WWuXGBm4t/8n4zy3+nF9fxeGexXVeJB2N+BksDnFRwUP7UHdxG1tH&#10;VjwJdSgSRhu6a18k9DCnu12RZHwMMBriTEbzmtFjzceyD0/7uk8TpHaSp2eHTb5/uGdWkYJ2a5/Y&#10;VhUfQCX+YIv4K8zPqd6HAHvN6nf1Pes+2IszHPLjjh3wNwzGeuSZfd9nNntsrQQ+9FbEcSD/CVxy&#10;A99zu8wnOciDdy2DxcK24CrxXCFKkr/qbl7KO+E+vDaXz5wjtZ7JqYYSaoYsNX8vS+/yuM548hsc&#10;/pAlV2bp5thSjoJMrUWmOLRPUxM2kDFre/qOppDVGPC8SCYZW3sBpAbGPiMLd73qUiNTR4L1IvBE&#10;6ojvBSt/lIM4TI5N+zqjXIP44W3TippO4YhXZNqJGsFDdocSyvvrmeVYmHELHk1Euvc9DKpAwL6a&#10;W5FjnayOQRdWRoM0KNEWS88a0R/iAfc+HsJySJccBkyY/rm+xHF6gaehB2XSh4t8Lb2lhPFoBnqB&#10;BMJwTfRgIVPGq6W3ljDM3kpLj4zFMPAjqh4mgmSsiJYhUQWJiKvnOFYEZqZOYqKKgjidxmQsi74G&#10;VVUistRzHMti4qgqY+IIa5OqNHBcnp0nripM5BpmylgYA0dXlcbIcSyNNo+uKkzk6qeLOxbGxFGV&#10;xshxLI2eoypM5OrnjDcWxjBnPFUa05yBF8pFWnuqMBEUuG5V9MbCmDiq0hg5jqXRzmtPFSby9HPG&#10;Gwtj4qhKY+Loj6XRcsQthrJ66+eMPxbGUI++Ko2pHv2xNHqOqjCRr58z/lgYE0dVmilH2M7s5cs6&#10;zuX7O3msuhc4HFkxbqcdvnmoaYMbpggyCVuGyOt2A4DCt70GDENCcHARGERHMLx4xGbLHBpfJxy+&#10;uAwOqeBwvmOCsZuj4yKLcFgZLyGD6x2HXzZStxsqrBeXRMdVAKN7lw0VJySHXzZUnBsIh4K+hIzf&#10;DdUfDVUktKscBvZnanyYbYHx2eIj4rCOWyw4eWidYP/dbTdzOBTbNLx6oA9ZRDmuxeqbuUt8lQNd&#10;svAWPeMBVlZjuHMOLkHDbXUXXYET2NeIfAwweaOEK2QGuATJ3wNYZA6YPwUPzxjg/UAH+AB7Gr2H&#10;D3mRIPl7iN1TeQoeniHhSlYG+ACbRlfgA3MBgjJB7bmX6osAa0fxEhX9tihLXidlhaUB71+sgIaW&#10;RYqX+Anbb29LZj3EaLD5v06tEQyMbJUKFUtYp8C4CW+E7rIJtzR9Dz6JUWHPoZ0ABzllv9rWCaz5&#10;xm5+OcYss63yTQWubk18fN+0/MRfBLhhY+qVrXolrhIItbFbG1ZRPLxthf8/1qzY5/AkwodVUfRz&#10;uwLtE+cnWHUnYCyvr+oiCeF/58Ph6InD/PN+BdzVHmEsIlr1cF8k90ycjFwmLDXCiwMAb7DIghtD&#10;uJ/bUXEbyFgkb2nyc2NV9DaH10R209Qw7XFUw0eM0VOexSkkT6x04yhzPB1R2ZZFLSXG427IkLhJ&#10;4+HMgEVT444mx0NWtaJLw7IybqFF1ORF3YBaYXbYZunGZm9SkX1wu91ChL6Xd05+c1c3jrN2v5nd&#10;Lpzbme8Er2Y3az+YBc6rwHf8Fbklt7+jdsQPj00GaYjLu7qQbRziP2F7tk3SNZREA4Y3crpq7goZ&#10;CPF5IinCNMGUiOpPfoRk8znStCxrE5hScbiDydF9DuD+Ak/zkFlMOvYH8I5JRwD3ymJ1ld0QzApv&#10;pKBF4F2UNS8HiC/vrZnoA1h4AKkFYpicUPYEACoh+HE/vTktQYQfAi8xLT9EMwX2ZKLMlWbKgtco&#10;LgwwIz7JZgoJdE4b1O/3zwuA6Yz2ZK9LVv5ZDwtV1oe7uJli2Oia9rlqr2fsQAIdPdV+XN5MMfAb&#10;NVOmG3GV4KSZsoT+5dkEPreZYjBdo2aKyXRNmimBu9ZwVFX5uM0ULUfc5w+V+HGbKWvoN51rjD63&#10;mWLQ2lWlMWntTmaMrjuKjkbJ48XNFLJca5ccVRrE6dacSTNFa7Cf20wxcVQXsilHePF9Nti6zgBO&#10;PHSd/2KDDfpBk+DDelp/LW213l+RlTD4FxrJxVKk+lLHvOrhU/d2zo/7csf4l/149+UVZPmzN/xv&#10;eENY7KbekPdIxq7uf+ANXW5gpPGKQ3RBn7o3DJxuyXaXvFEossK9IX75gN7Qgy/MRbPlH/GG/Gt3&#10;+HsE7oq7v53AP3hQz3nbZPgLj+s/AFBLAwQKAAAAAACHTuJAAAAAAAAAAAAAAAAACgAAAGRycy9t&#10;ZWRpYS9QSwMEFAAAAAgAh07iQIUT7rdeAwAAWQMAABQAAABkcnMvbWVkaWEvaW1hZ2UyLnBuZwFZ&#10;A6b8iVBORw0KGgoAAAANSUhEUgAAAC0AAAAoCAYAAABq13MpAAAABmJLR0QA/wD/AP+gvaeTAAAA&#10;CXBIWXMAAA7EAAAOxAGVKw4bAAAC+UlEQVRYhdWUPWgTYRjHn5wkaUJIrAQDCe2Q6NAUXVq0S1vt&#10;FlBwCPVjCQno2A91baCubf0YW7C4NK1kCCTQLam6mKBLi3VodUhQSClNLYdJPHr3OB2cx+XuvTeX&#10;XB3+y93zcD947v8DRIT/IY1GoycajaYBwHwYkhwdHV0YHR39AAC4tLT02HQgrZTL5f6BgYGvNpvt&#10;z8bGxl1EBNOh1LK9vX3V7/f/9Hg8v7a2tm6Iz00Ha5V8Pj/hdrtPAoHAj52dnSvSd6bDKWVtbe2B&#10;1WrlBgcHv1QqlT75e9MBpREEwbKwsPAUAHB8fPzd8fHxeaU500HFnJ6enpuamnoFADg5Ofm22Wza&#10;W82aDov4r4NnZ2ef8zzPqM2bDix3MMmOqcBKDj7T0K0crBVBECymAKs5WC3VatU3MjLysevAWg5u&#10;lb29vcvBYPC73W5vdg2W1MFKKRaL171e76HX6z0slUrXugKsx8HyZLPZ2w6Hox4Khb7t7+9fQuxC&#10;EfU6WJrl5eVHDMPww8PDnw4ODi6KzzsKTONg8Veam5t7BgAYiUQ2WZZ1Sd93DLhcLveHw+FdvQ7m&#10;OM4aj8dXAQATicRrjuOs8pmOANM6mGVZVyQS2QQATCaT84IgWJTmDAdux8FDQ0OfGYbhV1ZWHqrN&#10;GgqcSqXut+Ngp9P5O5fL3dKaNwRWEATL4uLiEwDAsbGx97VarZd0V+5gkp22gXmeZ6anp1+KDm40&#10;Gj2ku0oO7ji01MEzMzMvjHCwViqVSh81cK1W6+2Eg9WSz+cnXC4XSwUsdfD6+vo90j0SB7eKWPJw&#10;OLyrG1h0sNvtPikUCjdJ90gdrHQZecl1AXfDwdK0KjkxcLccLEat5FTnIf0wjYMRtUtOdR6S0DqY&#10;pORU59EKrYNJS051HrVfqR0Hk5ac6jxKMcLBpCWnOo88RjqYZI/qPNIY7WBi6LPkYK2k0+konDUH&#10;q/1KyWRyHgAQaM5Tr9cdPp+vqtfBiAixWOyN3pIjImQymTsAgPF4fPUvy26NpBSk5LwAAAAASUVO&#10;RK5CYIJQSwMEFAAAAAgAh07iQCuMQhD6BQAA9QUAABQAAABkcnMvbWVkaWEvaW1hZ2UxLnBuZwH1&#10;BQr6iVBORw0KGgoAAAANSUhEUgAAACsAAAAmCAYAAABdw2IeAAAABmJLR0QA/wD/AP+gvaeTAAAA&#10;CXBIWXMAAA7EAAAOxAGVKw4bAAAFlUlEQVRYhcWYfUwTdxjHn+t7C5QCdrxpAXntZAgowlDmHMKY&#10;ii7MLoQQQSYsuJBMM90MTpgj080ME+KIMBkshBA7iYMxEYZzdqjAEIbMAsIAGaUIhVKg7/R++wui&#10;U/TXDssfv6S9u8/zfJ7LXe/6BYFA8MBkMlEQQoCz+vr6fHx8fPoAAE1OTjrichMTE6siIiJuAwBq&#10;aWnZhMtpNBp2QkJCFQAgIEmSwAVbWlo28fn8cScnJ8WtW7dexeX6+/u9fX197zOZTN2lS5feweUU&#10;CoVTZGTkTYIgyPz8/ENYEEIIampq4tlstmbt2rV/9/b2+uFyra2tYXw+f9zR0XGyqalpMy43MDDg&#10;5e/v38NgMPRisViEEAIs8Pz58+9TKBTTxo0b/xgbG3PGbVhbW7uTw+GoPT09B7u7uwNwuba2tg3O&#10;zs5jPB5PKZFIoha2PxMiSZLIzs7OAwC0Y8eOn2dnZ21xGxYXF6dTqdT50NDQO3K53AWXq6uri7Ox&#10;sZkTCAQPpFKp8NF9S0J6vZ6xb9++7wEApaenFxuNRhpOM5IkiRMnTnwGACguLq7OnAFLSkrSqFTq&#10;fHBwcIdMJnP77/6nQiqVirt9+/ZfAACdPHnyU9yb0GAw0FNTU0sBAO3fv/87g8FAxx0wNzc3BwBQ&#10;TExMg0ql4j7tuCc2yGQyt/Xr1/9Jo9GMpaWlqbhnZWZmxi42NrYeAFBOTk6uOQOmpaWVAABKSUkp&#10;e9aAj325d+/eywKB4IGtre1sfX19LK7o6Oioa0hISDuVSp2/cOHCe7jc7OysbVxcXB0AoOPHj3/+&#10;vAEXP9y4ceM1Ho+ndHFxkbe3t4fgNpRKpUIPD48hGxubuStXrryFy8nlcpfQ0NA7FArFVFRUlIHD&#10;AEIILl68+C6DwdALhULp0NCQB25DiUQS5eDgMOXs7DzW1ta2AZfr6enx9/T0HORwOOra2tqduBzk&#10;5+cfAgC0ZcuW3815fIrFYhGTydT5+fn1DgwMeOFyTU1Nmx0dHSf5fP54a2trGC6HEAIAACQSicRa&#10;rZaFC509e/ZDgiDIyMjImwqFwgmXq6qqSmCxWFpfX9/7/f393uaIIoQAqqurd+O+yJhMJsrhw4e/&#10;BgCUkJBQpdFo2LiNCgoKsgiCICMiIm5PTEysMld08ZrFWVqtliUSicQAgLKysgrm5+epuAMeOXLk&#10;KwBAe/bs+VGtVnMsEcWWnZqacoiKipIAADpz5sxHuL+hOp2OmZiYWAkA6ODBg9/gDmix7NDQkIdQ&#10;KJQyGAx9ZWVlIm5hpVLJ27p1628AgE6fPv2xOa+iFsl2dHQEu7q6jtrb209fv379ddyiw8PDa9at&#10;W/cXnU43VFRUJP1fyefKNjQ0xNjZ2c2sXr36n66urkDcgp2dnUFubm4yLperunbt2hvLJbqkbFlZ&#10;WQqNRjMGBQV1joyMuOMWa2xsjOZyuSp3d/eRu3fvvrKcok/IkiRJ5OXlZQMAio6ObpyenrbHLVRe&#10;Xp5Mp9MNgYGBXcPDw2uWW/QxWaPRSMvIyCgCAJScnFyu1+sZOAVIkiROnTr1CQCgbdu2/apUKnkv&#10;QnRRdm5uzmbXrl0/AQA6duzYF7h3rtFopGVmZhYCAEpKSqrQ6XTMFyWKEAJ4+PDhS2FhYa0UCsVU&#10;WFiYiQuq1WpOfHx8DQCgo0ePfmnO33mLZb29vfvZbLamurp6Ny40Pj7ODw8PbyYIgjx37twHL1py&#10;UTYkJKS9ubk5HBdYCDlYLJb28uXLb1tLFCEEVgk5lk0W98CFkMPLy2vAnJDD6rKWhhxWlf0/IYdV&#10;ZR8NOQ4cOPAtbshhdVlLQw6ryy6EHFQqdd6ckMPqso+GHFevXn1zpeWWlLU05LC67ELIERAQ0D04&#10;OOi50lJLyloacqyILACgvXv3/mBOyLFS619t7LqIN9VeHAAAAABJRU5ErkJgg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CgAAAAAA&#10;h07iQAAAAAAAAAAAAAAAAAoAAABkcnMvX3JlbHMvUEsDBBQAAAAIAIdO4kAubPAAvwAAAKUBAAAZ&#10;AAAAZHJzL19yZWxzL2Uyb0RvYy54bWwucmVsc72QwYrCMBCG7wv7DmHu27Q9LLKY9iKCV3EfYEim&#10;abCZhCSKvr2BZUFB8OZxZvi//2PW48Uv4kwpu8AKuqYFQayDcWwV/B62XysQuSAbXAKTgitlGIfP&#10;j/WeFiw1lGcXs6gUzgrmUuKPlFnP5DE3IRLXyxSSx1LHZGVEfURLsm/bb5nuGTA8MMXOKEg704M4&#10;XGNtfs0O0+Q0bYI+eeLypEI6X7srEJOlosCTcfi37JvIFuRzh+49Dt2/g3x47nADUEsDBBQAAAAI&#10;AIdO4kB557oEBAEAABMCAAATAAAAW0NvbnRlbnRfVHlwZXNdLnhtbJWRwU7DMAyG70i8Q5QralN2&#10;QAit3YGOIyA0HiBK3DaicaI4lO3tSbpNgokh7Rjb3+8vyXK1tSObIJBxWPPbsuIMUDltsK/5++ap&#10;uOeMokQtR4dQ8x0QXzXXV8vNzgOxRCPVfIjRPwhBagArqXQeMHU6F6yM6Rh64aX6kD2IRVXdCeUw&#10;AsYi5gzeLFvo5OcY2XqbynsTjz1nj/u5vKrmxmY+18WfRICRThDp/WiUjOluYkJ94lUcnMpEzjM0&#10;GE83SfzMhtz57fRzwYF7SY8ZjAb2KkN8ljaZCx1IaPeFAaby/5BsaalwXWcUlG2gNmFvMB2tzqXD&#10;wrVOXRq+nqljtpi/tPkGUEsBAhQAFAAAAAgAh07iQHnnugQEAQAAEwIAABMAAAAAAAAAAQAgAAAA&#10;rBQAAFtDb250ZW50X1R5cGVzXS54bWxQSwECFAAKAAAAAACHTuJAAAAAAAAAAAAAAAAABgAAAAAA&#10;AAAAABAAAABwEgAAX3JlbHMvUEsBAhQAFAAAAAgAh07iQIoUZjzRAAAAlAEAAAsAAAAAAAAAAQAg&#10;AAAAlBIAAF9yZWxzLy5yZWxzUEsBAhQACgAAAAAAh07iQAAAAAAAAAAAAAAAAAQAAAAAAAAAAAAQ&#10;AAAAAAAAAGRycy9QSwECFAAKAAAAAACHTuJAAAAAAAAAAAAAAAAACgAAAAAAAAAAABAAAACOEwAA&#10;ZHJzL19yZWxzL1BLAQIUABQAAAAIAIdO4kAubPAAvwAAAKUBAAAZAAAAAAAAAAEAIAAAALYTAABk&#10;cnMvX3JlbHMvZTJvRG9jLnhtbC5yZWxzUEsBAhQAFAAAAAgAh07iQD4JJ6HXAAAACAEAAA8AAAAA&#10;AAAAAQAgAAAAIgAAAGRycy9kb3ducmV2LnhtbFBLAQIUABQAAAAIAIdO4kAran68OgcAACkiAAAO&#10;AAAAAAAAAAEAIAAAACYBAABkcnMvZTJvRG9jLnhtbFBLAQIUAAoAAAAAAIdO4kAAAAAAAAAAAAAA&#10;AAAKAAAAAAAAAAAAEAAAAIwIAABkcnMvbWVkaWEvUEsBAhQAFAAAAAgAh07iQCuMQhD6BQAA9QUA&#10;ABQAAAAAAAAAAQAgAAAARAwAAGRycy9tZWRpYS9pbWFnZTEucG5nUEsBAhQAFAAAAAgAh07iQIUT&#10;7rdeAwAAWQMAABQAAAAAAAAAAQAgAAAAtAgAAGRycy9tZWRpYS9pbWFnZTIucG5nUEsFBgAAAAAL&#10;AAsAlAIAAOEVAAAAAA==&#10;">
            <o:lock v:ext="edit"/>
            <v:shape id="AutoShape 149" o:spid="_x0000_s1465" o:spt="100" style="position:absolute;left:9370;top:-152980;height:143784;width:179573;" filled="f" coordsize="179573,143784" o:gfxdata="UEsDBAoAAAAAAIdO4kAAAAAAAAAAAAAAAAAEAAAAZHJzL1BLAwQUAAAACACHTuJAWCXU3b4AAADd&#10;AAAADwAAAGRycy9kb3ducmV2LnhtbEVPTWvCQBC9F/oflin0InVjsKFGN6FUxBZ6qYrnITsmwd3Z&#10;NLsa/fduQehtHu9zFuXFGnGm3reOFUzGCQjiyumWawW77erlDYQPyBqNY1JwJQ9l8fiwwFy7gX/o&#10;vAm1iCHsc1TQhNDlUvqqIYt+7DriyB1cbzFE2NdS9zjEcGtkmiSZtNhybGiwo4+GquPmZBWshy+z&#10;/c2ur2szWn53yxTT9z0q9fw0SeYgAl3Cv/ju/tRx/myawt838QRZ3A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CXU3b4A&#10;AADdAAAADwAAAAAAAAABACAAAAAiAAAAZHJzL2Rvd25yZXYueG1sUEsBAhQAFAAAAAgAh07iQDMv&#10;BZ47AAAAOQAAABAAAAAAAAAAAQAgAAAADQEAAGRycy9zaGFwZXhtbC54bWxQSwUGAAAAAAYABgBb&#10;AQAAtwMAAAAA&#10;" path="m-2616,153543l-2016,153543m-2016,153112l-2616,153112,-2615,153112m-2616,153112l-2616,153543,-2615,153543m-2016,153543l-2016,153112e">
              <v:path o:connecttype="segments" o:connectlocs="-2616,563;-2016,563;-2016,563;-2016,132;-2616,132;-2615,132;-2616,132;-2616,563;-2615,563;-2016,563;-2016,132;-2016,132" o:connectangles="0,0,0,0,0,0,0,0,0,0,0,0"/>
              <v:fill on="f" focussize="0,0"/>
              <v:stroke weight="0.00236220472440945pt" joinstyle="round"/>
              <v:imagedata o:title=""/>
              <o:lock v:ext="edit"/>
            </v:shape>
            <v:shape id="Picture 150" o:spid="_x0000_s1464" o:spt="75" type="#_x0000_t75" style="position:absolute;left:6755;top:132;height:290;width:323;" filled="f" o:preferrelative="t" stroked="f" coordsize="21600,21600" o:gfxdata="UEsDBAoAAAAAAIdO4kAAAAAAAAAAAAAAAAAEAAAAZHJzL1BLAwQUAAAACACHTuJApbQi8rwAAADd&#10;AAAADwAAAGRycy9kb3ducmV2LnhtbEVP22oCMRB9L/gPYYS+1UQtpbsahRaFglLQ+gHjZvaCm8mS&#10;ZL38fSMIvs3hXGe+vNpWnMmHxrGG8UiBIC6cabjScPhbv32CCBHZYOuYNNwowHIxeJljbtyFd3Te&#10;x0qkEA45aqhj7HIpQ1GTxTByHXHiSuctxgR9JY3HSwq3rZwo9SEtNpwaauzou6bitO+tBnXry+1h&#10;lWWTrLRf/fH3uJluvNavw7GagYh0jU/xw/1j0vzsfQr3b9IJcvE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W0IvK8AAAA&#10;3QAAAA8AAAAAAAAAAQAgAAAAIgAAAGRycy9kb3ducmV2LnhtbFBLAQIUABQAAAAIAIdO4kAzLwWe&#10;OwAAADkAAAAQAAAAAAAAAAEAIAAAAAsBAABkcnMvc2hhcGV4bWwueG1sUEsFBgAAAAAGAAYAWwEA&#10;ALUDAAAAAA==&#10;">
              <v:path/>
              <v:fill on="f" focussize="0,0"/>
              <v:stroke on="f" joinstyle="miter"/>
              <v:imagedata r:id="rId40" o:title=""/>
              <o:lock v:ext="edit" aspectratio="t"/>
            </v:shape>
            <v:shape id="AutoShape 151" o:spid="_x0000_s1463" o:spt="100" style="position:absolute;left:9370;top:-152980;height:143784;width:179573;" filled="f" coordsize="179573,143784" o:gfxdata="UEsDBAoAAAAAAIdO4kAAAAAAAAAAAAAAAAAEAAAAZHJzL1BLAwQUAAAACACHTuJAuIDpMr0AAADd&#10;AAAADwAAAGRycy9kb3ducmV2LnhtbEVPTWvCQBC9C/6HZQq9FN0YVGrMRqRSrOClKp6H7JiE7s6m&#10;2a3Rf98tFLzN431OvrpZI67U+caxgsk4AUFcOt1wpeB0fB+9gvABWaNxTAru5GFVDAc5Ztr1/EnX&#10;Q6hEDGGfoYI6hDaT0pc1WfRj1xJH7uI6iyHCrpK6wz6GWyPTJJlLiw3Hhhpbequp/Dr8WAXbfmeO&#10;3/P7bGteNvt2k2K6PqNSz0+TZAki0C08xP/uDx3nL6ZT+PsmniCL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4gOkyvQAA&#10;AN0AAAAPAAAAAAAAAAEAIAAAACIAAABkcnMvZG93bnJldi54bWxQSwECFAAUAAAACACHTuJAMy8F&#10;njsAAAA5AAAAEAAAAAAAAAABACAAAAAMAQAAZHJzL3NoYXBleG1sLnhtbFBLBQYAAAAABgAGAFsB&#10;AAC2AwAAAAA=&#10;" path="m-2616,153497l-2187,153112m-2561,153543l-2081,153112m-2455,153543l-2016,153149e">
              <v:path o:connecttype="segments" o:connectlocs="-2616,517;-2187,132;-2187,132;-2561,563;-2081,132;-2081,132;-2455,563;-2016,169;-2016,169" o:connectangles="0,0,0,0,0,0,0,0,0"/>
              <v:fill on="f" focussize="0,0"/>
              <v:stroke weight="0.00236220472440945pt" joinstyle="round"/>
              <v:imagedata o:title=""/>
              <o:lock v:ext="edit"/>
            </v:shape>
            <v:shape id="Picture 152" o:spid="_x0000_s1462" o:spt="75" type="#_x0000_t75" style="position:absolute;left:7021;top:263;height:300;width:334;" filled="f" o:preferrelative="t" stroked="f" coordsize="21600,21600" o:gfxdata="UEsDBAoAAAAAAIdO4kAAAAAAAAAAAAAAAAAEAAAAZHJzL1BLAwQUAAAACACHTuJASvJ3pMIAAADd&#10;AAAADwAAAGRycy9kb3ducmV2LnhtbEWPT2vCQBDF74LfYRmhF6mbSCs1ugptKVgPQo2IxyE7TdJm&#10;Z5Pd9d+3d4VCbzO8937zZr68mEacyPnasoJ0lIAgLqyuuVSwyz8eX0D4gKyxsUwKruRhuej35php&#10;e+YvOm1DKSKEfYYKqhDaTEpfVGTQj2xLHLVv6wyGuLpSaofnCDeNHCfJRBqsOV6osKW3iorf7dFE&#10;yqHbcPe5H6439XhyyPOf12v+rtTDIE1mIAJdwr/5L73Ssf706Rnu38QR5OIG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Ery&#10;d6TCAAAA3QAAAA8AAAAAAAAAAQAgAAAAIgAAAGRycy9kb3ducmV2LnhtbFBLAQIUABQAAAAIAIdO&#10;4kAzLwWeOwAAADkAAAAQAAAAAAAAAAEAIAAAABEBAABkcnMvc2hhcGV4bWwueG1sUEsFBgAAAAAG&#10;AAYAWwEAALsDAAAAAA==&#10;">
              <v:path/>
              <v:fill on="f" focussize="0,0"/>
              <v:stroke on="f" joinstyle="miter"/>
              <v:imagedata r:id="rId41" o:title=""/>
              <o:lock v:ext="edit" aspectratio="t"/>
            </v:shape>
          </v:group>
        </w:pict>
      </w:r>
      <w:r>
        <w:rPr>
          <w:rFonts w:hint="default" w:ascii="Times New Roman" w:hAnsi="Times New Roman" w:cs="Times New Roman"/>
          <w:position w:val="-16"/>
          <w:lang w:val="en-US" w:bidi="ar-SA"/>
        </w:rPr>
        <w:drawing>
          <wp:inline distT="0" distB="0" distL="0" distR="0">
            <wp:extent cx="341630" cy="269875"/>
            <wp:effectExtent l="0" t="0" r="1270" b="15875"/>
            <wp:docPr id="1946"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6" name="image29.png"/>
                    <pic:cNvPicPr>
                      <a:picLocks noChangeAspect="1" noChangeArrowheads="1"/>
                    </pic:cNvPicPr>
                  </pic:nvPicPr>
                  <pic:blipFill>
                    <a:blip r:embed="rId42"/>
                    <a:srcRect/>
                    <a:stretch>
                      <a:fillRect/>
                    </a:stretch>
                  </pic:blipFill>
                  <pic:spPr>
                    <a:xfrm>
                      <a:off x="0" y="0"/>
                      <a:ext cx="341630" cy="269875"/>
                    </a:xfrm>
                    <a:prstGeom prst="rect">
                      <a:avLst/>
                    </a:prstGeom>
                    <a:noFill/>
                    <a:ln>
                      <a:noFill/>
                    </a:ln>
                  </pic:spPr>
                </pic:pic>
              </a:graphicData>
            </a:graphic>
          </wp:inline>
        </w:drawing>
      </w:r>
      <w:r>
        <w:rPr>
          <w:rFonts w:hint="default" w:ascii="Times New Roman" w:hAnsi="Times New Roman" w:cs="Times New Roman"/>
          <w:sz w:val="24"/>
        </w:rPr>
        <w:t xml:space="preserve">  0</w:t>
      </w:r>
      <w:r>
        <w:rPr>
          <w:rFonts w:hint="default" w:ascii="Times New Roman" w:hAnsi="Times New Roman" w:cs="Times New Roman"/>
          <w:spacing w:val="28"/>
          <w:sz w:val="24"/>
        </w:rPr>
        <w:t xml:space="preserve"> </w:t>
      </w:r>
      <w:r>
        <w:rPr>
          <w:rFonts w:hint="default" w:ascii="Times New Roman" w:hAnsi="Times New Roman" w:cs="Times New Roman"/>
          <w:spacing w:val="40"/>
          <w:sz w:val="24"/>
        </w:rPr>
        <w:t>区</w:t>
      </w:r>
      <w:r>
        <w:rPr>
          <w:rFonts w:hint="default" w:ascii="Times New Roman" w:hAnsi="Times New Roman" w:cs="Times New Roman"/>
          <w:sz w:val="24"/>
        </w:rPr>
        <w:t>；</w:t>
      </w:r>
      <w:r>
        <w:rPr>
          <w:rFonts w:hint="default" w:ascii="Times New Roman" w:hAnsi="Times New Roman" w:cs="Times New Roman"/>
          <w:sz w:val="24"/>
        </w:rPr>
        <w:tab/>
      </w:r>
      <w:r>
        <w:rPr>
          <w:rFonts w:hint="default" w:ascii="Times New Roman" w:hAnsi="Times New Roman" w:cs="Times New Roman"/>
          <w:sz w:val="24"/>
        </w:rPr>
        <w:t>1</w:t>
      </w:r>
      <w:r>
        <w:rPr>
          <w:rFonts w:hint="default" w:ascii="Times New Roman" w:hAnsi="Times New Roman" w:cs="Times New Roman"/>
          <w:spacing w:val="31"/>
          <w:sz w:val="24"/>
        </w:rPr>
        <w:t xml:space="preserve"> </w:t>
      </w:r>
      <w:r>
        <w:rPr>
          <w:rFonts w:hint="default" w:ascii="Times New Roman" w:hAnsi="Times New Roman" w:cs="Times New Roman"/>
          <w:spacing w:val="38"/>
          <w:sz w:val="24"/>
        </w:rPr>
        <w:t>区</w:t>
      </w:r>
      <w:r>
        <w:rPr>
          <w:rFonts w:hint="default" w:ascii="Times New Roman" w:hAnsi="Times New Roman" w:cs="Times New Roman"/>
          <w:sz w:val="24"/>
        </w:rPr>
        <w:t>；</w:t>
      </w:r>
      <w:r>
        <w:rPr>
          <w:rFonts w:hint="default" w:ascii="Times New Roman" w:hAnsi="Times New Roman" w:cs="Times New Roman"/>
          <w:sz w:val="24"/>
        </w:rPr>
        <w:tab/>
      </w:r>
      <w:r>
        <w:rPr>
          <w:rFonts w:hint="default" w:ascii="Times New Roman" w:hAnsi="Times New Roman" w:cs="Times New Roman"/>
          <w:sz w:val="24"/>
        </w:rPr>
        <w:t>2</w:t>
      </w:r>
      <w:r>
        <w:rPr>
          <w:rFonts w:hint="default" w:ascii="Times New Roman" w:hAnsi="Times New Roman" w:cs="Times New Roman"/>
          <w:spacing w:val="31"/>
          <w:sz w:val="24"/>
        </w:rPr>
        <w:t xml:space="preserve"> </w:t>
      </w:r>
      <w:r>
        <w:rPr>
          <w:rFonts w:hint="default" w:ascii="Times New Roman" w:hAnsi="Times New Roman" w:cs="Times New Roman"/>
          <w:sz w:val="24"/>
        </w:rPr>
        <w:t>区</w:t>
      </w:r>
    </w:p>
    <w:p>
      <w:pPr>
        <w:rPr>
          <w:rFonts w:hint="default" w:ascii="Times New Roman" w:hAnsi="Times New Roman" w:cs="Times New Roman"/>
        </w:rPr>
      </w:pPr>
    </w:p>
    <w:p>
      <w:pPr>
        <w:pStyle w:val="11"/>
        <w:spacing w:line="500" w:lineRule="exact"/>
        <w:ind w:right="-25" w:firstLine="559"/>
        <w:rPr>
          <w:rFonts w:hint="default" w:ascii="Times New Roman" w:hAnsi="Times New Roman" w:cs="Times New Roman"/>
        </w:rPr>
      </w:pPr>
      <w:r>
        <w:rPr>
          <w:rFonts w:hint="default" w:ascii="Times New Roman" w:hAnsi="Times New Roman" w:cs="Times New Roman"/>
        </w:rPr>
        <w:t>汽油的地面油罐、油罐车和密闭卸油口的爆炸危险区域划分（图C.0.4），</w:t>
      </w:r>
      <w:bookmarkStart w:id="1149" w:name="_Hlk531246948"/>
      <w:r>
        <w:rPr>
          <w:rFonts w:hint="default" w:ascii="Times New Roman" w:hAnsi="Times New Roman" w:cs="Times New Roman"/>
        </w:rPr>
        <w:t>应符合下列规定：</w:t>
      </w:r>
      <w:bookmarkEnd w:id="1149"/>
    </w:p>
    <w:p>
      <w:pPr>
        <w:pStyle w:val="37"/>
        <w:numPr>
          <w:ilvl w:val="0"/>
          <w:numId w:val="5"/>
        </w:numPr>
        <w:spacing w:line="500" w:lineRule="exact"/>
        <w:ind w:left="567" w:hanging="567"/>
        <w:rPr>
          <w:rFonts w:hint="default" w:ascii="Times New Roman" w:hAnsi="Times New Roman" w:cs="Times New Roman"/>
          <w:sz w:val="28"/>
          <w:szCs w:val="28"/>
        </w:rPr>
      </w:pPr>
      <w:r>
        <w:rPr>
          <w:rFonts w:hint="default" w:ascii="Times New Roman" w:hAnsi="Times New Roman" w:cs="Times New Roman"/>
          <w:sz w:val="28"/>
          <w:szCs w:val="28"/>
        </w:rPr>
        <w:t>地面油罐和油罐车内部的油品表面以上空间应划分为 0 区。</w:t>
      </w:r>
    </w:p>
    <w:p>
      <w:pPr>
        <w:pStyle w:val="37"/>
        <w:numPr>
          <w:ilvl w:val="0"/>
          <w:numId w:val="5"/>
        </w:numPr>
        <w:autoSpaceDE/>
        <w:autoSpaceDN/>
        <w:spacing w:line="500" w:lineRule="exact"/>
        <w:ind w:left="567" w:hanging="567"/>
        <w:jc w:val="both"/>
        <w:rPr>
          <w:rFonts w:hint="default" w:ascii="Times New Roman" w:hAnsi="Times New Roman" w:cs="Times New Roman"/>
          <w:sz w:val="28"/>
          <w:szCs w:val="28"/>
        </w:rPr>
      </w:pPr>
      <w:r>
        <w:rPr>
          <w:rFonts w:hint="default" w:ascii="Times New Roman" w:hAnsi="Times New Roman" w:cs="Times New Roman"/>
          <w:sz w:val="28"/>
          <w:szCs w:val="28"/>
        </w:rPr>
        <w:t>以通气口为中心，半径为</w:t>
      </w:r>
      <w:r>
        <w:rPr>
          <w:rFonts w:hint="default" w:ascii="Times New Roman" w:hAnsi="Times New Roman" w:cs="Times New Roman"/>
          <w:sz w:val="28"/>
          <w:szCs w:val="28"/>
          <w:lang w:val="en-US"/>
        </w:rPr>
        <w:t>0.75</w:t>
      </w:r>
      <w:r>
        <w:rPr>
          <w:rFonts w:hint="default" w:ascii="Times New Roman" w:hAnsi="Times New Roman" w:cs="Times New Roman"/>
          <w:sz w:val="28"/>
          <w:szCs w:val="28"/>
        </w:rPr>
        <w:t>m 的球形空间和以密闭卸油口为中心，半径为 0.5m 的球形空间，应划分为 1 区。</w:t>
      </w:r>
    </w:p>
    <w:p>
      <w:pPr>
        <w:pStyle w:val="37"/>
        <w:numPr>
          <w:ilvl w:val="0"/>
          <w:numId w:val="5"/>
        </w:numPr>
        <w:autoSpaceDE/>
        <w:autoSpaceDN/>
        <w:spacing w:line="500" w:lineRule="exact"/>
        <w:ind w:left="567" w:hanging="567"/>
        <w:jc w:val="both"/>
        <w:rPr>
          <w:rFonts w:hint="default" w:ascii="Times New Roman" w:hAnsi="Times New Roman" w:cs="Times New Roman"/>
          <w:sz w:val="28"/>
          <w:szCs w:val="28"/>
        </w:rPr>
      </w:pPr>
      <w:r>
        <w:rPr>
          <w:rFonts w:hint="default" w:ascii="Times New Roman" w:hAnsi="Times New Roman" w:cs="Times New Roman"/>
          <w:sz w:val="28"/>
          <w:szCs w:val="28"/>
        </w:rPr>
        <w:t xml:space="preserve">以通气口为中心，半径为 </w:t>
      </w:r>
      <w:r>
        <w:rPr>
          <w:rFonts w:hint="default" w:ascii="Times New Roman" w:hAnsi="Times New Roman" w:cs="Times New Roman"/>
          <w:sz w:val="28"/>
          <w:szCs w:val="28"/>
          <w:lang w:val="en-US"/>
        </w:rPr>
        <w:t>2</w:t>
      </w:r>
      <w:r>
        <w:rPr>
          <w:rFonts w:hint="default" w:ascii="Times New Roman" w:hAnsi="Times New Roman" w:cs="Times New Roman"/>
          <w:sz w:val="28"/>
          <w:szCs w:val="28"/>
        </w:rPr>
        <w:t>m 的球形并延至地面的空间和以密闭卸油口为中心，半径为 1.5m 的球形并延至地面的空间，应划分为 2 区。</w:t>
      </w:r>
    </w:p>
    <w:p>
      <w:pPr>
        <w:pStyle w:val="11"/>
        <w:spacing w:line="398" w:lineRule="auto"/>
        <w:ind w:left="442" w:right="681" w:firstLine="559"/>
        <w:rPr>
          <w:rFonts w:hint="default" w:ascii="Times New Roman" w:hAnsi="Times New Roman" w:cs="Times New Roman"/>
        </w:rPr>
      </w:pPr>
    </w:p>
    <w:p>
      <w:pPr>
        <w:pStyle w:val="11"/>
        <w:spacing w:before="3"/>
        <w:rPr>
          <w:rFonts w:hint="default" w:ascii="Times New Roman" w:hAnsi="Times New Roman" w:cs="Times New Roman"/>
          <w:sz w:val="11"/>
        </w:rPr>
      </w:pPr>
      <w:r>
        <w:rPr>
          <w:rFonts w:hint="default" w:ascii="Times New Roman" w:hAnsi="Times New Roman" w:cs="Times New Roman"/>
          <w:color w:val="auto"/>
          <w:lang w:val="en-US" w:bidi="ar-SA"/>
        </w:rPr>
        <w:pict>
          <v:group id="组合 1961" o:spid="_x0000_s1749" o:spt="203" style="position:absolute;left:0pt;margin-left:137.8pt;margin-top:9.55pt;height:211.7pt;width:292.55pt;mso-position-horizontal-relative:page;mso-wrap-distance-bottom:0pt;mso-wrap-distance-top:0pt;z-index:251681792;mso-width-relative:page;mso-height-relative:page;" coordorigin="2756,191" coordsize="5851,4234" o:gfxdata="UEsDBAoAAAAAAIdO4kAAAAAAAAAAAAAAAAAEAAAAZHJzL1BLAwQUAAAACACHTuJAlXT+ANsAAAAK&#10;AQAADwAAAGRycy9kb3ducmV2LnhtbE2PwU7DMBBE70j8g7VI3Kjt0KQlxKlQBZyqSrRIiJsbb5Oo&#10;8TqK3aT9e8wJjqt5mnlbrC62YyMOvnWkQM4EMKTKmZZqBZ/7t4clMB80Gd05QgVX9LAqb28KnRs3&#10;0QeOu1CzWEI+1wqaEPqcc181aLWfuR4pZkc3WB3iOdTcDHqK5bbjiRAZt7qluNDoHtcNVqfd2Sp4&#10;n/T08ihfx83puL5+79Pt10aiUvd3UjwDC3gJfzD86kd1KKPTwZ3JeNYpSBZpFtEYPElgEVhmYgHs&#10;oGA+T1LgZcH/v1D+AFBLAwQUAAAACACHTuJAmbMBGIAlAABJSwEADgAAAGRycy9lMm9Eb2MueG1s&#10;7V3bbiM5kn1fYP8h4ccZVFt5U0pGVw96qi9oYGa2MeP9AFmWLWFkS5OSy90zmLd92Mf9n/2exf7G&#10;nggmlSQjKMtKl7dUzgLKki2KPBkkzwkGb1//7pe7ZfJxVm8Wq/v3Z+lXg7Nkdj9dXS/ub9+f/fvl&#10;D+9GZ8lmO7m/nixX97P3Z7/ONme/++Zf/+Xrx/XFLFvNV8vrWZ0gk/vNxeP6/dl8u11fnJ9vpvPZ&#10;3WTz1Wo9u8eHN6v6brLFr/Xt+XU9eUTud8vzbDAYnj+u6ut1vZrONhv89Tvz4dk3nP/NzWy6/beb&#10;m81smyzfnwHbln/W/POKfp5/8/Xk4raerOeLaQNjcgSKu8niHoXusvpusp0kD/VCZHW3mNarzepm&#10;+9V0dXe+urlZTGf8DHiadBA8zY/16mHNz3J78Xi73pkJpg3sdHS20z99/LlOFteou/EwPUvuJ3eo&#10;pf/97//4n//6z4T/BAs9rm8vkPDHev2X9c9184db8xs99C839R294nGSX5BTVaJmYO1f8X6QpYNR&#10;Y+fZL9tkigR5lZb5qDxLpkiRDUejctykmM5RXZRHVpVDk8E4NZU0nX/ffL0clUBK3y2yvKBPzy2G&#10;c4K6Q7ZeTC/wv7Eb3gm7Pd2+8K3tQz1DLVBu9x9/Xkx/rs0vnu0yazskoC8k6WBI0OhblNB8bUJ4&#10;/rCa/nWT3K8+zCf3t7NvN2u0UlgKGdg/1fXqcT6bXG/oz/R8fi78qwflarlY/7BYLqkW6H3zyGjo&#10;QUNRHtg0wu9W04e72f3W9Kp6tpxs0aU388V6c5bUF7O7qxkaSf3TdcrtHFX5h82WiqNK5Zb+j2z0&#10;7WAwzn7/7kM5+PCuGFTfv/t2XFTvqsH3VTEoRumH9MM/6dtpcfGwmcEMk+V364Xtdmkh0KrNuiEA&#10;02G44yUfJ9y9TUsAIG4RFiIaB5mEsG7q6Z9hbKTD+209207n9PYGlmv+jsS7D9jMrWWpDjZo//SN&#10;oMUXIzRxau5oj01zJbNQW8+y3LTVPDVV2X55XW+2P85Wdwm9gW2BjG07+QjTmmexSajM+xXVsG0N&#10;BglDBDDqoyDQja14/HaYMYk+Ner5y3yypkZP2XrtHE9jOOKHejYjXkZDr6iNNil3DLFhYyVXj39c&#10;XYNSJg/bFT/dHtNllI9pUUwTWdV085JL2PXyycX0wZiOkltzgXyvmzZ5e92AvES13NwtQem/fZcM&#10;EtRTyj9MQW0ydD6T7DfnyeUgeUxylM1g2jTo4U5WWTUeJ6juBnObDAbaZcWJ5klh8BNAi6uwqQyu&#10;8bBScYEjd5ldFjou8KSLa1jpuGDLXVYZJVJxQa6dzMpsMFJxjW0ystdIx5X6tidbqQZDv3CQUSoV&#10;WerbPwotdSvgMs0i4PwKiINza4BT7cChOe4a3GRuuixa5i/3TSPEuwQET14GNdP1akPCdomnBVFc&#10;5tS8kAVS0aeRxCidEtvmvz8xKoUS73hmf2qyEycvXSQGUfMExEih41SfJXCcrkznWE+29OD8eHib&#10;PELbqdPOIc1o8/T3u9XH2eWKU2zp+Q1PNj0CpbWfL+/ddCMj/3lun91+bF/XnB0Xh8dg/wHZmU/x&#10;hqCxgXcY6dEc2tjRKX2JkMPbYcSb1XJxbcV0U99efVjWjcIM6F9jLi8ZHLX7a1OhS9Qn3BBDf4YW&#10;r1bXv8LLqldgeTw/3GW8ma/qv58lj3A9359t/vYwgY+RLH+6B2+P06JAsi3/Aktl+KV2P7lyP5nc&#10;T5HV+7PtGVobvf2wxW/4ysO6XtzOUZJR7PvVt6DgmwUrC+EzqBqwkI7X0xD0PaEhIzLry2tIkYM2&#10;yFUcDmyPswLkNoZPoiFUNh7KpX2fw7JxURIlMjI3mUthnGieNPjdVD6FlYMqU7naZTDWEAWXriEC&#10;l6IhCq5AQ3JwMAlvaAuhIQouqSG5arBQQ3JoiIIs1JA8zVVoioZo4PwKoIrUwbk1wKl24MBJvYYI&#10;DSFbk4ZQDcY1ZDjg7gUTxjQkxdiRNC7PeSiGlFY87KsRkSI36Sy120/tq00FVL3UnJbUoOsJqRl/&#10;Gqkp4aqw1CD8QSWgub2a1FDZe6Umx8BcJSdXajjRPGnw75GatDpwuKLgOl5qFFyB1BSpjktIjYKr&#10;i9QoyEKpiUFTpEYD10Fq2ubYS42QGrI1SQ0ZKS41VcGcsUdqMgweDpGaElLUi8iJjVdQZaGIgC1e&#10;ZrzS+Ng2XDhEQIlFZIQG9coiQmXvF5Es59iSGBd4IkKJ5kmDf4+IZCN9XOB6yzxeUXAdLyIKrkBE&#10;ykzHJUREwdVFRBRkoYjEoCkiooHrICJtc+xFRIgI2ZpEhIwUF5HWhLHxSjE4bLwyxCRDLyInJiLw&#10;M4SIcEzkBYJegYhUBfiRgl7pwMSWXnMoQoXvVxFM/T49FKFEc8wtyeCYz2KYSB6qMRwhIwqw42VE&#10;AxboyDA7cDCiAOuiIxq0UEhi2BQh0dD5VfCswJdFhybZK4lQEjI2KQlbKS4l+Pip2Fc5QAc4IPbF&#10;JfZRrdOKaoFphJZwgzhSS8qiiZS2kxF2QJKRr0Fa0gZRO0a1qLCESwxkAgXtZqh5Ep7KDtLA0XLm&#10;p3keu8XcTq+7A5JmsrvBv2dAUuWZiksoiYIrUJLYVIA3gUKJ5omCKxCSGC4xIFFwdRGStsZPgKmh&#10;J5jv7jBxzQ0d1EtPHWfe1iYxJ57z6Qn1tAgVXUkQKjvVRxLqbkFYXg54Zrtd1ZSidxOfZv7KRX9x&#10;wieZj0bJe9k0L0GALWCdTTnRPDHo42RajMb6yiFBphKVz6UESEXlcikn0lD5VBpFJahUogqYNArL&#10;m4r2cJ2Gy9uZSKmBg0fRQuI0umv8MRZNUbsvRaJmIZK3Xqdf1uMts1fX2T53aWiFNUeCRJnkjibR&#10;sWkF8OACEi3HGIISi47yF5trZcIaC44UXimV/QSPgrHI6wyTuV5pwwwN/j1EOi5o3arEJYhUwRUw&#10;aVEOVFwek1IihO+NXV1cPpWyF6/hElSq4Aq41LjxisE8Lm38eAVZGN0oMNetQVOiGxq4ILrBC2o1&#10;cG4N+OBOg+mjq07JTuhbl+nLLg0lW3OYHG0rLg2j7Km5Voq2A15V2QX1dp2OfTXrdcqxeQxLEPZT&#10;+2pTAdRLKU2/gPRVNiGg4qXScFs9Wmma/RvwboNYOkJtTSy9sL2hY/zj8E0IVPZ+pYEwwjc2m6Bc&#10;rvaUhhIhlG7wu6l8oivGo+KwSLqCK1AaQFJxeUpDiVRcvtIAV6niEkqj4AqUhmylAvOUhlPtkJ0G&#10;mXd326mhU+gZ7STOzliaTk0SpUU9dyzalITaLr00tMvdqqfdk4qSVNBd4eDzZN+RtFuWzaqpNoT7&#10;CcPO5bhKUKJYKCkcfCWM+inDzqN8qOJy3UteB6Pg8mk3OhHn0i4nOiTsPMp1ewnaVXAFtBsF5tGu&#10;j+yN0C6Hi18i7JyjXgShhrSb0cYikQqm7rdLfbbbpSroqaBdZrEjaZccPW4FGLQGcZUhDf04roLt&#10;90bnu3q77FVSiYEnK2iXyg7S+LTLbhkNtMNknrdrvMqRwR/3dssB9l6xJYIyBe0quHzazZ8TV5G4&#10;fG+XFErFJWhXwRXSbjR04Rrfhi4ksjCuEoOmxFU0cP5wg4vVahNRh3Ye2Ad3Gprw2nEVsjXHVVCD&#10;cc99VNrxa8xzp/M/oA1PxVW4uF5DTst1R98TGsLc/2gOeDj62IYcp7EYPraue0rjBDPDaUNvXTXk&#10;4GMbqOyAzwMNGWUlAgDYXR4k8zSEEtFsIuPfpyGlvlTcZTB23RVcgYYAkorLdd0Jt44r0JBBqe9r&#10;FRqi4Ao0hMvUDOa57j6y06BpoOy2YoQbOs907otnYzsEtTWUFuPdlOKZglBD151LE6mQbe+6f76u&#10;O4hA0C43hyNpt6yaLQI0VvZplweSRLt5boW+I+1SYQmXGHCl6z0+b6GeGAW4tNv4eg3+PbQ7LnRc&#10;gnaVyIRPuzBjQWvRBS6XdjkRRUwaoWsXxgS0G8MlaFfBFdBuFJhHuz6yN0K7bcRkX6C67QUx2u1j&#10;Iad3dEyF7hsSKo7HAT8dS6iDEg4iWBPkE8ZCsCWY/dixOeAM3asroaKwBAvzhY8qCHVojhBwOTDw&#10;Y8kV1EbPLqE2XlmD383MH4qXKdZ8aLgEoSq4fEJ9TixEwRUQKguQYi9BqAqukFCfEwtRkIWxkGoQ&#10;qUq3AszxYxo4vwJY+bTa1GIhbXM8gWXZrx4LoU4Ln5yMFI+FtCaMiQPWWx0UC8HBAE+77tQAZKre&#10;dYdVPl/XHR6gUJoX2a+ZD+1xkDZikmUgUXbddyuuOirN4WtMqOzAvQ+UZoxzxVrMrfPrEl1OieAi&#10;G/z7lGZw4G5NBVegNDCjist13Qm3jitQGpzWe9gaEwVXoDRcpmYwz3X3kb0V150aOk12op3E2blp&#10;RbBJjJ2zDJ5JHws5rRA0epwg1E6bFkc4YZtaAUbBIhbSuO7tKLAjoZYoLKEfIVkK112JGvuEapw9&#10;JebgEionUmMOvuc4HBQ6LuG6K7h8Qo2GHFxC9SMOLtH7hBrFJVx3BVdAqFFgHqH6yN4KodJ6Dl49&#10;spdQdxHBKKH260JO7hhdrIOQhMpEeGwshK4sYEIVsRAOO5OHOjarL9C9uhIqeVxlc0mCyyOCUKns&#10;/R4qOXna6Nkl1MbfavC7BfqEWmZlqeIShKrg8gn1WbEQuarFJ1QjQIq9BKEquEJCfVYsRCILYyGj&#10;AVYKKtCUdSEaOL8CjDwqq3zUWMiuOfaxEHmYCM0VUSwERop722MT99zjbadNkOOphSEVzkaXXnk4&#10;j0ktQKZC8f085mcbDKHdMcJ35zmzI6Wm3R9fFc2C7F0wZAgW5WDIbn9XR6l5RjAEZe+VmiJNR0m+&#10;w6wHQzgRfHeDf4/UpPDdCVxYppCaTOIKpAaQVFyu7064KRgicQVSkyKdhktIjYIrkBouUzOY57v7&#10;yN6K704NnXx31Eecnpva2kPP2VALhoS0S1XV0+5pnRkIZpC0y4sQjqTdckzdjkImRdmsora0m5Yg&#10;AaLdzMynosF1pF0qLOESA0oFBP+cJyo7SKOFTArcKRckcz38JmTS4I/T7nAwHKm4BO0quHzazQAJ&#10;ywQlLpd2ORFWExq7urh82o3iErSr4ApoNwrMo10f2RuhXW7ooF2qjzjtZumTq/Ywi9MT6okRKmhF&#10;+LHs8h1LqHDhDKHKkAkJLhEqBsa2LXVlVHIYSyoyoEHBqJV0GH1GZY/ryZiJcRjtA7jU5Y/Zcao9&#10;FpAowASlKsB8Sn1O0EQD5nOq0SAFmOBUBVjIqc+JmmjQwrAJ66OCTQubyPpM/Sp4VtjEojsNyn/t&#10;NSTUFMgxZyvFJQIfs9uyzzWnSgIFPBk5UV14ZNzHRD7fmAh8T6ElnbZl2ktkcaJ1ExKwznk2Al+R&#10;lhSvf4sdlR3IjS8lBQagCTCLVY2uc86JcHWmwb9HSdLhWI09CCVRcAVKAkgqLtc5J9yIiSi4AiFJ&#10;K3N9bGgLISQKrkBIuEzNYJ5z7iM7DaYGym5barihg3qpPuLM2/aC6HzmCNWH/mI3oNkzn+yrOYSE&#10;SxOpetpFtPfzpV0oqqDdLjsZh4MUvIFWkGEAbnq3pd0SDEasix34YEC0i47+OxWFaylRXkCown9H&#10;yUESn3Mbb88C1uPQTUDEoI9TLscdNFSCciUqn3HJgpiIlahcxuVEuGROPKFPuFFUgnAlqoBvo7A8&#10;vvVwvRG6pQYOtkVdxMl21/hjXNtsoPCp9kgS7Y9qfZUD9LBlW5Iou3lHx0EQ4zAkGm6jGWGCz8RB&#10;UnMISHceLclJpB8hSQoepcL3Eil7WU/GQYyTiLk/sU/QH4SXxbBQgQkqVYD5XPqsOIgCLGRTKI9m&#10;McGmCjBBpxVugdMWaLjmb8RHs1kQB2FV1LApcRANnV8FXK6Kzq2DAN1p0P1rx0HI2BwHoeYVFwhU&#10;sfWPYhKRjWF8cqR2U/rWEbevxiHnEnuH/KTWdeMoDaEl5vDoI7VktzakyK0naR1y2v5pQuovtMX9&#10;8KUhKHqvkBQFXXOfm62irrPtRUEoEd1qJnaS+yRWjMsDV4ZIWL6MECIVluuScyIVlq8igHXgwhAJ&#10;KxCRKC7PJ/eBnQZLA2W3GAg1co4+71vS3TQhFBbj3MpQru+Wh6tCqKyX4tved38d3x09NwyA5F02&#10;Jpal9d0ruzPd8m0xhn9IhDs0x6aiuXUMgVBhOO30ANedyt7LuMZDruTw32VcTjRPGvwuL/uMy+EG&#10;DZfrNfJRTgoun3IzQEroRwjfpVxOpOLyKTeKSzjuCq6Ac6PAPM71kb0RzuWGDtKldhL3dNteECNd&#10;zuelCLW/TeB1CBU9ThBql42J5L2xrGKPX8NhllCHNCFMhDoye8C7E6pxFanEgCzdwTgf0kRlB2n8&#10;oDJ7W0SYYTKXUBuXrMEfJ1QM6OEPK7gEoSq4fELFtdjjRMPlEionwr01dm99GxL3CZUFSMMlCFXB&#10;FRAqi4sGzCNUTqUiCwIhJc7aUk2mBEI0cL6ixcG5NeCDOw22f+04CNmaPHJqW3FxaHt0TBwyDGfJ&#10;2268HxjbRj/sq4mCDKm+hYi0qW0qoBKpkGm/ZuTznbwEyQipYT/x2FjJ7ijvkXWXrdSkA4ryc7QE&#10;5zsRpb+E2NAVMYcc5s2l71ebIsXRe2PsGQuSeWpDiRCZaJ5gj9wMKx2ZS3bmKFayS1CkrzfMiRoy&#10;V28a4tSQ+YLDHrxmMyE4ms0CxSFUqtE8xeFUutUCyYmCUyRHhedrThyeWw0BvF50mLKbq4uJvZNH&#10;WnxI3ZfiQNT247KDj9mtgxVjujMcm32ZpfHskNLqjX01ioIie0mZzk9rSTvVrZCULlszcd0umAmO&#10;RY6jRQxRWkmhjcRGUfLd0teu8SCUhqMH5RpDMXxRdu4HwxfSihZ0OwDQBKV5gD2CUmGWUwPmMhkL&#10;igJM0RMNmKYnCjBFTzRgQk8UYIGcECjVZJ6ccCrIiQJNkxMNmyInGjpfTeLo3DoI0PVqoqkJGZvF&#10;hOpwj5g0VXyAmBTmbsKomHCJ/fDkpKZyxyBdoSXsLB85PClTuvKVtCQdN8vDrZaMKnzCo5Ms44/Q&#10;krpqCUrDIhd5PbPQEio8GAJoWrIDvV9LmgfYoyUjDJs0YC6PsZYowDQtUYBpWqIA07REsZjQEgVY&#10;qCUAhQMgbT23JvO1hFJBSxRoqpYo2BQt0dAFWhJF59YBwXfQ9VqiaQkZm7WE6nCPljRVfICWZGb/&#10;d1RLuMReS05LS0CoQkt4PHGslmQ0GU1akpsbVSYXVkuqCoMg1pIBVj2A2F9AS1BaUlKRgU4ILaHC&#10;gzSaluxAt8SojUuaB9ijJWMaMCnAXB5jLVGAaVqiANO0RAGmaYkCTGiJAizUEoDCfRu2nluT+VpC&#10;qaAlCjRVSxRsipZo6AItiaJz64DgO+h6LdG0hIzNWkJ1uEdLmio+QEtSNBHDADa4ZV9NkKtqFrv4&#10;66KQcT9t8tlOm4zBlEJLumy1LWn0ylqyO33LaklOh+6QlpS5XdXcdViCwhIuMZAJISVUdpBGk5LR&#10;aP9WWzNn0uDfoyTVCCddNuN4N5nLYqwkCq5ASQAJW20lLk9JKNE8UXD5QlLGcAkhUXCFQhID5guJ&#10;h+w0mBoouy0z5YaO+QWqjzjzlrkdnMdmFzif3jk/Lecc7CcItdsm2hJsRs55YWdXLaGm4ADi08xO&#10;U3Wk0+GgTLGJFuUFVCnoFCUHSXw2zcsBrSt64i5QSkR3gYZ5+T4hT6RqqASZSlQBlwKQisrjUkqk&#10;ofKpNIpKUKlEFTJpDJbPpC6uN0Kk1MDBo2ghcRrNrC8RY1HK5KVItF+I/yrrRmlPmyBRjhccG+Go&#10;mvl3EFNzIKIlUexXNCya77Zjd6RR42XB1Qp5TdAolb2fR9nJAk+GydwAB3mHYKwGv+tuhkQKeidw&#10;YWaCSBVcAZMyvyu4PCY1/K7gCqmU7u5TcAkqVXCFXBoD5nOph+yNkCk3dLAp1UecTtteEONT/bjb&#10;duWLCQZwaS9Fu/1y/dehXXTykHbNRe3H0i6xLfuuQzPYaQPLJU52Zee1MkNbdMKutEudGguxBFcK&#10;2qWy99IudpxivcsOcxskdWmXE+G0FTk092m3rMa5ikvQroLLp12sxIcDq+ByaZcTqbhC2qXDehV7&#10;CdpVcIW0C0wqMJ92KZWKTA0qK9CUoLIGzq8AMpgOzq0BTrUDdxqa8NrL9cnW5JBTm49LSNujoxJi&#10;vTG8oiPC2DaSbF+NiJQ4SvvFfPdeRF5HRMBFQkQ6baIdUq+nAAjWDRretr57UaIHUwRkuLuGq6uI&#10;YEdKUmpbgMKT1ansA0Rkh3mviDT44757Ocp0XC6FcURZwRWISJoNMFiwtmxxeSJCibCJ1tjVxaWJ&#10;iGIvISIKrlBEaF2oBswXEUqlIlNFRIGmiIgGLhCRKDi3Bgh9C64XEW1ikmxNIkJtKy4ibY+Oigg1&#10;H6KFYv+0ZFGiJvuRyGlF0cEyQkR4uuTYkUiVNiORMS64Zd62IoKQkBGRwiyVf4GRSIVdtSV+hAIh&#10;RiJU9gEiMpY3SSsjkQa/S9Y+h5Uj7ILVcLkUZqYlJa5ARLJBnuQKLk9EKBFOAJZbEDQRUewlRESx&#10;VygiwKQC80WEUqnIVBFRoCkiooHzK4AMpoNza4BT7cD1IqKJCHdaiAi1rbiI4Awq6l4wYUxEsMeL&#10;xSGrOBKLlHYEYl/NSCRvLurr17Zsz5IJX+j6YQtJAXU+f23LejG9wP/kl7vl/YbevT+bb7fri/Pz&#10;zXQ+u5tsvlqtZ/f49GZV3022+LW+Pb+uJ4+L+9u75Xk2GAzP8a3tQz1D5VNu9x9/Xkx/rs0v0z99&#10;/LlOFtfY4DemhY1GSJCAvpCk5kZr+hYlNF/DGqXF9A+r6V83yf3qw3xyfzv7drOeTbfIAxnYP9X1&#10;6nE+m1xv6M/UsPxc+FcPytVysf5hsVxSE6X3zSPDcE8/8OrmZjGdfbeaPtzN7rfmqevZcrJdrO43&#10;88V6c5bUF7O7qxketP7p2ozIIWrNbkeSt4d68f7sH9no28FgnP3+3Ydy8OFdMai+f/ftuKjeVYPv&#10;K6xRGaUf0g//pF6UFhcPmxnMMFl+t140WPFXgfZuMa1Xm9XN9qvp6u7cALUVBKDp4Pxusrg/Sz5O&#10;lu1B4QDEXdFCRF8jk5BpNvX0zzA2K+FmW8+20zn9+QaWa/6OxLsP2MytZakONmuq/DaECEjJL1iA&#10;McLsIPl+eOhmYQ+ZZYqPcE1XM+1T2GUYdui4rjfbH2eru4TewLZARta5mHyEaQ2d2CT05/sV1bBt&#10;DQYJQwSwb74mf+VxYysevx1mzMdVfW0sSe/W9Wo622zQ/P8yn6yp0TduUNPO0SPQEYXDxMGVIx2m&#10;fJiZ2AsC+cGMWU7HEvO6g4ZcreGmD8ZwrrHIG2laZDvSBFhzTdlv3yUYiw5z8yN0hRR3qanFNqtg&#10;3cF4lHJ+YVauu3SZJY8JPQS3tzarUKsjWblS3ThLtgXtHnUyN03FXUmENUVgzlvqEGSg9WpDTfTS&#10;6I/VFSSiDyNpTWM+LC1gOoMezhedCK9NbVCzTrh7JmjkqBGQUn2WXL0/uzKGoVWbTVq7c5qMRvBa&#10;NTXqiG87ZbWfBhraaK3Fbz4FqOevD83QaQnIZrVcXFuC3dS3Vx+WdcM66BLmAASiDjdZvXq4vzbd&#10;eAljn1MHMb2W3l2trn9Fr6pXxigfZzXeYOPy38+Sx3qyfn+2+dvDBLqTLH+6R18epwXd777lX4qy&#10;ysiQ7idX7idGON+fvYCGEtbX4BWSv8nd7P3ZD/VsRnoMAeUB1JG8AsHBEAGtRfIK9k++JK1QSbh9&#10;RB5TLWjF7Lh2x00+q+DWWZyAoeQkWEXm5JNKNCdBKiYntN0vnVPwoMdTCq3dcJinZ5T6eK/8tRgF&#10;fUswSpfdS0VK68pVRslzdL8X9FSoqITLC1wHQSlUcpAm4BScPaJmJThFySoglVhWglSarN4Aq9CT&#10;Hk8r9O2eV07ptBaMgNBxBK902clSlFFegWa9KK1gnJqgODEiEbQi/YuAVYbFSM1JsIrMKSCVYYHb&#10;4hRMglRMTm+AU/Cgx1MKXXwpPJU22mjGUb07w5HFkxogodsI2umy36OocChZzJ3BJy/pzqCohMsL&#10;XBXBO7lcB+ATTzkguiDoQVaCeJSsfOaJZiWYp8nqDVAPPenx3NO7MycYeEFrF7zCE8pHBl7KNMor&#10;dgeEDWN2jOeiJLoR64C7GJ/a/lCmcIy0nASryJwCUsFNSmpOglRMTm+AU/Cgx1NK784g+Pslxnvh&#10;poa0Y9aCHEs7WTNzLuO9JGov6c6UKArnt9iLAdqJnSPcmZLoQslKEM/T7kxJJ5QpWQnm6d2ZA+eR&#10;1OhMOJbi1iVGXOD1frbp+Ss2Xis2jHC+YJ9ua8ej7IPR/IuSz7DE2jr8CAdAgnxk5CUYSlVppeYk&#10;uEfmFDg9sZwE9Zic3oLT0ymG0882ndYZ3ogKo5cLRuFxzrH+TIUrWV8nPIMt0XBCqLwgpiIoRXFC&#10;fE4ZpsQpSlaCU5SsfFJBVtg2qGQlSKX3Z3p/5o2vntmtPm1Xz5jLC49knyHdF62zD4bzL+nPUEkJ&#10;F/cU+cjQS8A9GZ0qpNyjLrhH5hRQTywnQT0mp7fgz3QK4vT+zKn5M7TbRfgzXdb5DvPmfKRPH59B&#10;USPsKMVGrKcoRXFCAk4Z4sgYLSvBKUpWAanEshKk0vszXfyZPvIC6322kRfaHSd4pcs636HdcCl5&#10;5YUjL1RSwsU9RSsyXhKwCh2PquUkWEXmFJBKLCdBKn3kxV0WE9s6QM5tH8vFDo1t9913rxTLpY20&#10;glG6rPMdjuxezU++IwlFwb3Aj6c9FZnG5xTsCMnVrASnPLkjKZqVIJUmqzcw/ul3JL21HUm08V7w&#10;Sqd1vjl2BJO6yDvls2wIXX/JFXcoKymowKd8FS46SOQzyxBHEKt5CWbR8gr8lVheglpsXm+AW/hR&#10;j18ig6+bdtXvdzwhrwX9QrBLp+W8g9Ks/M7yPLjzNRvlzRz07p7hjivvikFJWx5LcaqwmDHisvfS&#10;C+FNWtDtahqXXjgR7gkSm518eonikvRCNglw+SfPZLgeXMWFIYLZVP6bc3yORBouGNzZeT4cjbEA&#10;WrGXOHhGs1dw8kyGM0lUYN7JM5xKQxYePBODphw8o4LzawAGSXVwbhVwKhWcXwfR+qRY4q4SLrEM&#10;9DFRwfnVEG1qOEGpzc5ra53k59IeGb9/tz0sA6/g0h4Msz+xOSzhEnWN1gt0+1NTJVLeZr3808nN&#10;8PfSnChlk5vXDtv5uWr4jqgum+VMUJCXJgOR3fJvX83GFlMSnnjHdPZz+xqk49BTNDs/DmmyQOJ+&#10;ZdfnG19EZzK6Sge64BiMJU7iwemu6CzOVCg5W5t1cA6POHTH+wL9Qqc3JFePf1xd45yCycN2xQub&#10;rZY2Z8HkOQ5+o06HAxsa99ueBVNUGQSS3Xzbfe2X7UEvB54F4x00ceB5FHQIhXuKDPWh/liK/cfd&#10;YG+BbE7mVG+vdfTNiTm0b05PNCfoq2CnYbjw9OTZaXdSFVFM8kiHYB1/jM7dYjurk+Xi7v3ZyD1r&#10;54TJi04Sw/9Pfy4djkjbrUv82Z5LN+RoM2H4os6lM5eN2EPfzAUQb/1cuqyiM5DJHR4368WtK1Ly&#10;JAe5IkWWd3RGdt2dT6MLD6Z7zca+WwbXNnZ2wb64xm7GUX1jvyOtbBzvKqcACFp0ViAgyrEd29rT&#10;HCM59rurT9rWySd8hcPS6PC3MHiICQR/jNP8dtCYpcJeeGM6XCITmI52YL7gzASKKhP6YYppw30i&#10;dJiiZK7FNo0/MVENccy0lpUbOeRDGJWs/LBVNCvQZxtnKhBmarKCu/ulH5hGT0rdq10rYWInflCk&#10;/dSPsKRDozz9pMT2ZJZSUHRC8EqXxVktrwwxO+FTcs8rd8vJ+zNMIvDhrj2v9LziHuH6JR3umilL&#10;tIy4O0G0Z/krFYImuqtHp74aT88qjw2xHnlqdFUNs4R+hM6IcFjkCbC+v4JdJZhRLIyn5p4C6/or&#10;nAjXQlfNgK11fgKPpRrB+VFgCY9FwvIn2bJykKmw3Dk2TqTC8qfYgGqkwnJn2C5HcKQkrHCeE5ZS&#10;cfnznJRKBRZMdEaRKROdCjbf+lmVR7C55udUOja/CuLY3Dow85wKNr8K4tjcOvCxdXJn+2nO7Zyi&#10;nKgZvkUcXTfuN5tL72HvqOOM2sQg1ixP4Kj65Yqy893rAg0IqSzH2Q/tq/HUm0QNl+zywpvnz2Cm&#10;lTkZ7JiZp/4kdL6r4rAbFugmCeGEd1l3WI0zNEyKi1SDZsHOLi4CRmCxZOcc7aKrVo7zKuHygoG7&#10;0Ep5Z1WglRV0BIDFIh1PKykR+FXECXyyJkAqKperjRPeBD9a0fV5OsPSaBWVS9OcSEPl0zRu69VR&#10;uSzNSiltFSolq5FiLF8pKZWGKxTKcTFUzaUIpQLNt33UYnRI3C6yEjUZzb8666iiNlPWAynQ/Aqg&#10;1qVWJr7pQou0MQrCHQKNBtW7B71E+0EMSTQz8pCdzKLQiBx2mXEqW6HovMcHpL4QBY/eZ0J1AAK8&#10;hPlATDAVr5oyrx3WNVFDwd1g4B9N76mTOhId03uTCn3QILMKbl+Nkjd5GaYDbvupfW1SAQ9KPCwv&#10;33VAnkf4BOO3ftfxK05uZSBW4xe0k1usjl/c5JZxNPvJLXdyC0sfTOf+/5vces22DucgbOusmV9c&#10;WzcE2rd1r61nA7hDNGApzSE2ZjEH36ZHty/QiIXuYjGCaYcsz1xBuX/RAi7rur14vMWlgRDGW9zH&#10;NV9Mv5tsJ+7vvNjtYpat5qvl9az+5v8AUEsDBAoAAAAAAIdO4kAAAAAAAAAAAAAAAAAKAAAAZHJz&#10;L21lZGlhL1BLAwQUAAAACACHTuJA497mZmYCAABhAgAAFAAAAGRycy9tZWRpYS9pbWFnZTYucG5n&#10;AWECnv2JUE5HDQoaCgAAAA1JSERSAAAAGwAAABgIBgAAAAtAhvsAAAAGYktHRAD/AP8A/6C9p5MA&#10;AAAJcEhZcwAADsQAAA7EAZUrDhsAAAIBSURBVEiJ7ZHBa5JxGMe/voWv6ItjOpGCIj1UqIMJQvCA&#10;IPiCSBDSrQ7KoDCI7Q/oYhf/gGJgKLzYwd1GjEEdPAjCK9KhYBRuB5MJjiiVZA0Ft9/TSXgJttRL&#10;Fx/4np7n83weeBAOh6vMDGbG0dHRzUgkUgHAq6ur+0SkE5Hu9/u/AGBVVcvtdvvGZJ6ZIYQwbW1t&#10;PbdYLMPl5eX+hCEiXVGUk6WlpV+lUumxEMIEItKZGa1W65bD4egpinKiadq6EMJkXJjL5Z7ZbLbf&#10;brf7+3A4tEx6GxsbrwFwPB5/f3x8fM14SLPZ9BKRDoA1TVsHEenj8fgqEel2u31weHh42wgYs7Oz&#10;8xAAV6vVMDNjd3f3AQDe3Nx8ZTzOmLOzsysej+dbIpF4ByLSM5nMSwC8vb396CIRM6Pb7ToBcDab&#10;fdHpdK47nc5uMBj8NBqN5Mu4VCpVXFlZ+YlAILAvSdJ5Mpl8exkwic/n+xqLxT6oqlq2Wq2njUbj&#10;7r+YQqHwBABDluWR1+ttDgYD+zSydDr9RpblIQDO5/NPp2EODg7uAGBIknRer9fvTQMxM4rFYhIA&#10;R6PR8kV/+jtCCJPL5fqBUCj0cVoRM6NSqUQA8N7e3v1ZuLW1tc+S2WweY45SFOV0VkaaRzRvLWQL&#10;2UK2kC1k/1tWq9VoHrDf7ztmme/1es4/dTMXUJvBuVkAAAAASUVORK5CYIJQSwMEFAAAAAgAh07i&#10;QNsh9Z42AwAAMQMAABQAAABkcnMvbWVkaWEvaW1hZ2U1LnBuZwExA878iVBORw0KGgoAAAANSUhE&#10;UgAAABEAAAAkCAYAAABv2tHkAAAABmJLR0QA/wD/AP+gvaeTAAAACXBIWXMAAA7EAAAOxAGVKw4b&#10;AAAC0UlEQVRIid3VT0iacRgH8O/7+r7+YaSSWsKamx22sWojyAY2vQ3KTsIWFiMIokPRDs3DDnqp&#10;QRd3EbqMMRhBjQndZtBRDTKDFS2wQ04csfXiC76MeNX3nb8dNsPcIfW97YEHXnh5Pr/n9/5+PC9F&#10;CEEkEnk6Njb2sb+//7NOpxPRQExMTKzNzc2tAAADAPl83gwA0WjUY7VafzSC1AZdi5hMJr5Z4BJi&#10;MBgElmUlRYjZbM63AvyvCM/zJkWIKIq68/Pza4oQnudNAKAEYeov2unp6fVwOPw8lUo5Llai6crI&#10;yMjmzMzMm7a2tp//dFJFeJ43TU9Pv7Xb7V9DoZBfFEWdLMuMLMtMPp83+/3+kM1mywUCgVccx3Vc&#10;UtbX130ACACi1WrF2dnZlZOTk25CCGpzZ2fnodfr3aAoqqLX64V0On2n+g7BYHARAOnq6vp2dnbW&#10;UV9cn0dHR/fa29t5h8OxWy6XWUIIEAqFXgAgBwcH968CqhmJRJ4AIMFgcJEQAsiyrOI4ztIoUM3J&#10;ycn3NE3/SiaTgxQhpKVjFQTBYLPZcj6f70PLCACMjo5+ymQy3XTLAgC32x1Lp9N3FSEulysOAIq2&#10;Uy6X1QaDQVDUiVqtLvf19R0qQgCAZVlJMQL8HUpKQpIkVtGHLZVKGqPRWFDUyd7e3kCxWNRezJNW&#10;Ih6PuwCAAkCKxaJWo9GUmkU8Hk80m83eooE/P/JmgUKhYEwkEo/cbncMnZ2dP7xe70YzY6BSqVDj&#10;4+NrKpVKTqVSA1hYWHjNMIy0v7//oFFkdXX1GQCytLQUIIQAHMdZrFbr956eni/ZbPbmVUAymRzU&#10;6/XC0NBQQpIkhhACEEKwtbX1WK1WlxiGkaampt4dHx/fri+OxWKu4eHhTQDEYrFwmUzGfjGoqw+5&#10;XO7G/Px8WKvVihRFVRwOx67T6dx2Op3bvb29h9Xi5eXll4Ig6GsX+A05pyiihXWcQAAAAABJRU5E&#10;rkJgglBLAwQUAAAACACHTuJA6LxGFPsCAAD2AgAAFAAAAGRycy9tZWRpYS9pbWFnZTQucG5nAfYC&#10;Cf2JUE5HDQoaCgAAAA1JSERSAAAAEQAAACQIBgAAAG/a0eQAAAAGYktHRAD/AP8A/6C9p5MAAAAJ&#10;cEhZcwAADsQAAA7EAZUrDhsAAAKWSURBVEiJxZZBSxtBFIDfbhLdjcRcNgETDDlIUvRQiHtRJIFC&#10;QUrWQ+xFQvGkQloQ3YD+hBbSlqIE7Kkg6cla2i0WPEgjxUuz4KW1C4WQQBbcVUhbsqZusq8Hm0ML&#10;aZrJoQ/eaR4f35t5zAw1ODhYHRsb+wQdwjRNhyzL4wzD1JeWlrbS6XTG7/dXAABgYmLiCBHhX/Lk&#10;5OTa/Pz8M5vN1ujr6/uxv79/ExG7g7SyWCwGR0dHPw4NDam6rnNEEESE4+Pj63a73RRFMUMMQUSY&#10;mZl55fP5KnSnDf1bJJPJnKqqvp4ggiBILpfre08QlmUvRkZGvvQEacX/hzQaDXulUvH3BDk4OLih&#10;aZq3J0gul0u63e6vxBBVVX27u7uJ2dnZF0QTa5qmfXp6+i3LsoaiKKGuILVazbmxsXEvGAwWAQA3&#10;NzfvIiJQHMdpiUTiZTtty7IoRKQsy7JJkiScnZ1xk5OTR+vr6/fj8fgbiqKQomm66fV6tXaA8/Nz&#10;zul0GgMDAzWe5wtra2sPpqam3v9W2KmdaDSaDwQCJdM07e1qOp6OKIoPy+VyYGdn53bbok4mzWaT&#10;DoVCCs/zH37tT/cmNE1bq6urjwqFAn94eBglMkFEMAyD5ThOFwThNZEJwNW9kUqlspIkCYqihIlM&#10;EBFOT0+9/f399cXFxa0/17qa2IWFhacMw1xomubpup1WrKysPK7X60w2m00RtdPKeDwueTwezTAM&#10;lsgE4Gr4dF33bG9v3yE2sSyLikQicjgc/txsNmkiE4qiMJ1OZxRFCe/t7d0iMkFEuLy8dAwPD5dj&#10;sdg7IhMAAIfDYS4vLz/J5/MxWZbHiR/0arXqdrlc3+bm5p739CsQRTFjs9kaAABICimVSgEAwJ9J&#10;WpBnCVK1hQAAAABJRU5ErkJgglBLAwQUAAAACACHTuJABoSCOyxKAQAefAEAFAAAAGRycy9tZWRp&#10;YS9pbWFnZTMucG5nXL0JINbr1zV8a1RUihBJSobKVIYyRyoJmVLGJJWZjJkrVEqUpEiizFOUzBSh&#10;KJR5VkIZM89869J53vf53p7n/M85Du7fcF17r73W2vu6c1rl+Ib1LOspFMoGxRNH1SmUlbQUygph&#10;6jX4ymuOlE3425oLSsePUpbI/73Ijw3CV9bZnDhnR6Fs/Ej+ogret5GVQtlJUTx6RNP52UCb01mG&#10;htm1fw++qfjuqkXHEM1T57eGqsTqY8q3OKFSgy0cfhfE/PaICqYdFVIz3uLvl+/0/v5JptU0Co+4&#10;8vkHKocDLno4CTDZX17tO7ogWTV17cuB4S+5We25l50qDzMUC66iUF5E9rVkDmccD9jh8Kc6srgm&#10;gI2VldXc8OzZuD9//lwz/lHko7tm43bnO1Fxa+Y87e16vjRt3bbtz/6qNAGDvCshwcEmzl2lG6ra&#10;8107kvrbKZSzDGtwz9WBE311/Ywc3q05DokNZfe/VlU1tOc6Dd8bbMmsUlVSOriBlnb8uYzn4mTO&#10;UFrKViamxEzLlsnojAwHuRMnbh+X37GKSrZGfqwNj0fW8lt9feXUxETbfF/dvgoOed9num+vfItp&#10;bDzrWjA3q0lFRSW9bdu2UpnF6a4LtIyUFwVG7/FjyvdPcG5Zmmyx7uDZty/Eui3Hgapjwc0vKWl/&#10;sXKYKB+L0IWPn3dIubR25bJTrngInqdQvLg+V1cLmn95IlR2n11GOufVq6P+wx4MGVZtOSYlJSV9&#10;/Q2phuVOApRqyX8fUP9KMWjj1q1bTZ+JO5gd6sjn+TnR32DpONgs0htmXTDztb5+clvHAkV2zJtq&#10;JYUifG5oaCiyubl5xsjIyMptKup28D7tlM3Uqx7WJWqn9uQyUa4U/LuKuzGm8X5+J7cVCzJ05Nvg&#10;A7rHeyM8Vf5OTm4UFhFRXr7g5W+lXPGan58X7fv9+xefQd708QJXKq8e5U9O+DSKQ3RS0qno169P&#10;a5w7l/1s2CAr69rYpWGlEP4NrXnX3qTev6+yY/nafP9dW29lOKu6unrU5ExvRERvLtM1IVr5mZkZ&#10;S+GDB10POg21hmfYVrpODU00Ztv16qWd3b/Lm84v6sm3l8fZ2Q9e+pLWd19g//5avUyrtnTtVINz&#10;6QFPw8Jik86mXUh+987Rw3J8FcV/rZXiCjzi/upI+SCdt1dGUlQjpBtmhhQMPnz48HKHtFujZc+X&#10;p64HDh70Hx0dtf+VnBwXd/rAgQPltNTUfzl+RVifJbc6OdA0NhmtFLKmtLS0uQx/dWTblTkMNKYd&#10;Lwtg9zzEzX1cdXI7BwfHjvv3738LE7Oe9L9zx/a2v39GAP5OjSXnaGNzO9tjwSWi2aOSUv1eiPbm&#10;TuobOzeI7tixI1NSUtLKNvkuvpt+vc9WGsb9jUVTdp0PqVau0dvlLWhxdJfaTH2ybmHICc7xMrOS&#10;C2lbOLxHpqYMuYJPxn+4uTaC21uwJla1Q/f06Refd2irqXHo5ToOXo08ffYHtlG4OxZvortp6OOz&#10;OjoFee5z7xIHstklnau/lpb2bFNQ+47VLFHgqUp9o9aQx/fDxjFsIZv/tYVC8kQUFRWTb21kc+Ha&#10;vbv4kLh487fGxkMvY4zp6emTPeYGM62l82uW/o6NtcT9TpYYGRkZHO4o7AhfGMY1bZJwnx1/Le0+&#10;qyfjMv77rJRU/rNQs3179z46uutBY0eHZ7av77EHmZlOnZODLb2eU21OMlpO8w/3KIlaNKWbGBkY&#10;PFcxNY1PePnS+C2WTfvNtZv0sA5pEndEPH58yezSpclLLe8sO+amp1fxjM5TXmz+6frxBnmq7OtD&#10;rJmjXr5k41J55nxiJ52m39Go0btMAhvnz37Fmp8j/9p8ysws4ZyllGe85snBtlynnIcPHzp/vL2Z&#10;+5U6r1ZN2oAY7VjP1zlFrGGLT4Ecl2Xs50vuMq3dIvcEe2Zym6hFI++DE5o7Nm/+MR/p0fzOcu7C&#10;9N8f3DMe+jup1T0/iJFA9OKbMN8e78BQ6bTLzL6aZ86sD370aO8YllhtXd3dy5XPssvKyrjff/ky&#10;oLzgqOskat0+kHvlW5QywiGbbs1Fk0nWNbt3vzwVGhP97du3+76+vudEwt+8eCGrpK0t5tT5/jqT&#10;gF7W32uysl4B5AHemn1ywKR88c3lKhcTE5Nt6gw+YpspXynLEfEFAslsxtn9jP7bDvY4O8gUOvQ/&#10;Pq6n92zhEa+Gx5v0dBchy+a37uw5lrFpD09G299l5GufGO5YKo+Uv8Wl5UQrcX6nd2BFiMCm3x2F&#10;S8EB4Q3t7dKi0tIF7oUeCykGWTZGghKyiZ8XF+Zi3ca+ihUiYDU5/K7+EX+hag2FhX5/IpLSBp3+&#10;+uSgdRwX5yYHxxLnrsnJ3chITh48aGzc9UXhLqNlQsdQ3yblGnUnp6nq168FMwPYJM6/96oYpWWk&#10;5vhYUtK9iI9v2XHIprM/YAO+9ArRJICagxNrcfPKNV49VBUJKyiyLy9ZWoYLuk3/1cDyD9XQ1Hz1&#10;wUnG4XNbm5Tw4cNNu/bsKZmXL8vOzvb57KqyYYP/ha1bgw/Q0wfZX7t/WexD0Mlo501U1ac62SUQ&#10;MV0KCgrC7OzsHMxdM176luJXPKKTk5OXb5sZWk0J3UTLjOT1rf/byzIpbe0GCZIHgoODlScddV1d&#10;587id0f9/fs3xW1qBeXr2uU3wDk9O2ulcvKkmfv89Mg3tyl17VUrrh/V18/PysvTezpsQHkxcyU9&#10;oggpZ+xnd7dDPbbmTM/XMPfC6Z93C7v1R99ERcnFZ2WdzRd1/fb9+97AyyuEKLLGXssRdJ2wshLT&#10;/rOvHUrvbXO1bs9raqmpGfOVdEBI7Nsz7Cc3elJZ2VKLyVVWkFb+TsmFzZMyFK/Zf4lhWxCXsvjb&#10;CyV+GSRiBTu9P48nSEdH16kR5l779nNr7EkVlXefvn6tc0Dwir87tpKiuXYlEMWVA5qamuUFC5Mt&#10;ESEChkPs9PRdO6tYzWlo7v4KGLRqPf06cbftOdGtlE4No+8H8Th5sSzbk2NizqSbVDz2we2Hk0S4&#10;fv360JQTlleuxOWmpFilhIfr61lOraacpl9+vIrfamoqnopaNhcULs72V4hZtz8ZaVPV4uXl7UHc&#10;bwyLiEj9miEqLFzb9vUrHy19AtUL6f+yb0CAKqVYsJaElLE2JS1yj0epOUiwz6rVz7E3PX/hQlRw&#10;nh0uzIxm+e38emvVJm5Ksi+i/EGNB6qj/ep4ejt0zp3bs0jyOJ7cZ42g8HBLQZPyRwuOjo62By9X&#10;tmo0SK2gfCryoqJQQjkNDTu++vj4hCJVhX9wEkjn8bvQUxVRuFAZLpEyNzUcMZrWtc03MkY1Ysej&#10;oKCXUyStnlZT400MkKainGUWxJsPqo3XiOV+/vy52DvrDmnD/Yx3p4eO1w80vXGaGmqbQ4o6OHUq&#10;VPjP6YsXX9nVGXNuubPz0CFnzYAdUkPhQAHTvhtYHx86fFhh5JsARdj67JmtFApLXmAg3SaFPjd3&#10;d7FNLMK/fyZoJXo0vjYqftg8pKSGZYNtJnoJ+KTixo0bMUsjZez0UlJS1mdx21tGqzLXA3UMj412&#10;V7yzbHnnPlMhUPglVNrdJTCv13Pkp4IE/8Kv7u4/Nu4bz50756tnTnlhuyXJID90eAcwgNn4z5K7&#10;jolnknWMTU1nQs3xCywNC9xm0i3Pn3+RKbvzyul9NPHx8cEbmQU7R58dtnPs7+vrwYUkamtqPqrB&#10;arGIkPG0MjcyepCHHx0GDDicat6Q8mN0YOhUjfDY7ES/KEKAfmpq6pLBc+mrV6+Ou070OVQgUkRK&#10;lt09umukJdNal+Qmibdv367vjqfyKvW/wDzAT2AwhVJXvJ3AYgolbjN5//hzejdZc/jz4hh5F/gj&#10;608gEf54sSwvK/yTyPKrxj+YLe8e/EMt9fJuCDyTapDf/P79zrAonjXxc6+io5+OLjhtpGwIChwm&#10;H5QwNtXh6fkAKzbjane5iNvU9+1XzMwYR9tWUoRPAQq7TeGb/hoSBHLP3/+gqFXr70znkZ/sM0Nr&#10;KS8OF/MpIpl0evv65tDL3b516zh1Rz72lNPyorlJz8LSl4Kd9R3wqIxEnOrW5evdoAI0W3Y5wt1R&#10;W1Ex/gZCDCVUYnljHfmMDU3QyfvBE4jMK/+lCG8fn2wgr+zc3FujbTQUyvn3uKYNp8jmTE+/eo1s&#10;h//9dfzyW3fvVqwkMRTgj0JZ/tVUvDw81S6jvxS5vxgiShxaRpVruobaciMUo9VZxpiwJjcuf+cH&#10;6nXrRujW+wRLuYxnlQHaUv5u8jNiLnDFp+70pvvZ1+dyfG/wd6z8fuwm8l/diskFySkq3tFxdnbW&#10;Xv6As/8+4AdyTxtBFeRfr5AvximQ7d6ed8241Imd4q+Gy12rXPO9SnpugJ88vfeeuL+vy78I+bW3&#10;KmIpT7QyEyvscLJOxslkfzsqYbHIyMghNgnHe9WoAYBLKZTpTRwdGyi1Pt7eq/ojPGb/5AawhTx4&#10;YPRRkFaLteEis6/f/fuOz0jAaj7ELmunbmCQ4ra0uDBEYt/X5XvoEDzvxcV78GDN708PdndJ29MW&#10;C76KizsRFMVT+v37aF2swUEpqTZOCYmW99++Cc1qVK2ubvW+dcuJb98+jQ/zqylevgi+Vx66TA5c&#10;k8A3dcqXTc/NCRimXShpJhu0o8B9blo1/5K9/dvdHN64v/f65LY5luZbupcv3/pJMcXf4OzZJ7rk&#10;bRZ4LhkYtoeO9VZ5FpBVSc91arqmpUXitejsbSwOvIS1a289Wb6VLVu2/PzR2Un3EtvtOVlJnYVY&#10;Y/7PEbWt8C4apFwnvyT9efLly6mXiIu0wDwfPx5NXEfPNf/n1y+GDKfh9m0MCnXlQz6bN29mAxAN&#10;ffLkFTapUEOSXvbVr7F6S/2phdI2fbXxP/xqpT3ms+wQoOti9dhl1VCCnMSPL3whGXj5kz2NYi9f&#10;2TI7Ney5R1S0XpqXNz4D1Zb2wsy9bQcnd4jbX1G3sEhqA9SvunTxIjNQZ5wSgR5mXbPI0HIk3R88&#10;+EYMSLLgxafDLggaiZ5Li9oMg8A6G1UPHjhwL9utpij97Vu3Ory3lsKlxTltPwNcyaYdkjZ/2vPn&#10;Fl4eD7jPhgwkVDBHRfFa8j1MW805DQRKu0NyughlSZnKs0MjAQkyhlk2Px67z00qswpfqS7BA+lH&#10;FTcVn/xhBUrTAvfcXmSFiSnkG7vaOLUPGQ4G/JpaWkp7sYqfPXsWlVVf4DqVoqA/vmpnQHX1aSc5&#10;als7O5qu5fdoyCwoGyRI8NG7d++qVqxcmc996snfy3Ut95KSk+mBAuwGkCzkcenDaSSdmI3Ncqs+&#10;3x4ZFaUuatP5XinjmkFKbW3tSYZzI3+Ahh87fNvkJSknJydpYWHxPAzvZowEgHkBWuYXii9MdfoG&#10;B9kOmdcnGfIb5B2Ky2m58Xj/ufQfv7+9NCbpwxEl0JJDSzFKylmsyuMs27aZXM0XRf5FNvOdAoz0&#10;y8lxGYmVDFA9UiNcQ6IUuZgPGe9EHwevPu19dNfm5afRmGYcsBxgNDdhkR/gUg6158HLnej8cFPA&#10;ovntZ6eF2Qklcku2yFtNxsfub98mefXXp05UsuMv45YGGt6hWI7Gnt3hZ/GTcfPmb0LAe26oYxLN&#10;e59ShNkJhkZZ2dzoSUV58QORPJRWRCTj4QZW0f0c3oEvXrzYhv8qXte2y/7nxztqdXUIBvxqD/qf&#10;S167ugrAVEAg9Y1f7UrhywPzq5MCV6FEwg5Q/v7xDv2mZIP82VtItE7XZXcGLzThvqfWrVrxGbTE&#10;kue2elJqKyopmcd/ylAJFxdpxUKuJZnCiHkvPj9YdmegzeFb8fGmobsa1lwZIG+h+a3pWI5W4pl4&#10;Es2Rq3CpnKEx27ACHBzydSe+5qIUKsBfzxMT+9kmhVauvDmQad1xdYdgnvNIlD5WvztyrBiHN0kx&#10;jKA37A7fwg4JCQnZZ5cvKmtcJki7lZGxR/Tip0C75U8QwSd00r+mv3drE7uHX6CnY3iBbZdv7OPH&#10;Z67n9QaGG1NVP5N0n30r7+j4jsrq+ArKlUYE2OlVsSrhLO1pxmXUQH0X5aj/4AUeLbvPtnt6iOaF&#10;EInuiCCnnNfg268UsFLilAdYA2cDnz+3ujrcnr9j97F7h84ZNqy6cpKAamVl5Rpy16Fkh7+4NO1L&#10;FXpvft5t0CDfpU2nwC27ENffMDFBS0ubnqqfW5+pn+so0DerQ1HeUCyoSTJRbGyvfwIrH2qA4htU&#10;K4V1qp5LvckHErtsZma2x5uuSEVUVFDwEz+S0y7vQOxp1/0SVKETiwuuC9+/qwfvPn7/njG7kqKi&#10;6Z7gk4cHP+xkWL/P3LXsilcPQAzT4PeaGmXB5VWDB8WSDFhZ5jnwhEQ3rZqqUhT/ZycL+fj4DOuP&#10;GeolIbQ+RVgcIpimbiqDatp7BnvJH1VA9ZVgvAJuTs6zND5FJ+WoP4OX6kNAWdlkfMHYeDBhqFjQ&#10;qjVrd2hoqM+RI0dqmsrc3Nze5Xss5Gxo2DG/sBAyjAf8PKqKA0yDdfWLI0xC5716uAj8/fSJpwb1&#10;wuHlvHaLBObHeF4tLS1l6UvhYWGJuhPMurotvVpTRgRwamhrC7zLyHAvlY6JjtY6ofZs6AQYlQuX&#10;LzOV8ccn3O7s7DRzCl9zpY+sRCxWeaH/ufNO+nvMQj9/xSY9HO/8sDKkeWDtC6ETKA9OKCoKEYrs&#10;y3KKs10Gnn1bJTyp6J9TUVjWLmd7Ax+AFwLxytvVqZHFmawUb3AN4uFaJqq48CO98fPyqrkSUDmZ&#10;VlQkt8H3Q3ItZYKDk/NjMcD9vRjTP2UBAFKEXlP+/qP4Vhn9aNWr3tD7aenpJx8tDIP42lNvv59S&#10;ex8b4Z0bfk9u05vLw4TZogRuwqPn3MAmPm6PBzqHwO+h5dD1jjBfZzQ09hmAz1tSzWrFQs5rbdUL&#10;nx1meHFt3YYNDtyrltEKapEXiup4ZiCC/FsS+BNzjMvuXxMXF79Gz60yf9N9APjcgMSViTZuDu8T&#10;0epf9ty4tBsXLq+h8aa6qenwQ7KmZaWdX654vxvZZ/ztW2GNgjlKnACBFykpKU6NG5hIRMLa8jp+&#10;5syZO/hzhrbYpkNk44sHn8vLD7jNjpuu3bQpgG4ZZs3gEbzfvW9f4seoqF3+9+7RGuPLcQDKRlbe&#10;5xexAYxvoigMaAwO3QJ2Znpo9YsU4BXnuISEx45/vndvJovEax445FIiSso7w7rXE1gFf/X09I02&#10;bJZtIze+NPCmasgP2fn/fmsFmJpr2FPWHVm2xQf5+StVtLQy3ha4vn79+gQjMNyAF4eQ0LeTqqoC&#10;vdgdUv25TF45j0JCYulBIHq3PADoYwcL8BXMmMpzwsqRYmDN6tXKYIiqHOSoDzv01f6dHVLgYTij&#10;A4rqwlrage8phw8fdtGrIhTkq6QkPSuyPjMmQdPwZdVTbGxBIzynLT6tbFI09mD38dI2cHFaz43r&#10;wKvEnnqa3lFaGlPqz8n68ufPCxPhEk6V4YftenZYWg7Oz+YM3aHnPgZg+EYshIXUbD09PbwOdfSy&#10;GrcQOBSLfTdIDKIAf9e3g9ab7uqf79HXByJAyLi7NaTo25EEfWsDq2OOR+78rejo7sRXr17VpweA&#10;5ul22eHgMLELaHh0I5u4ZLdOWGhos5/5BgoToQR3PTjRmqybecttajSeJNEr+HwZJc4tkZJLZ2ho&#10;aETEQL9cISjAw8ODVcJpaD5LejbJXFpamopEApQy7MPkmgpS+nt7M4XAZSBovjzRHooMu+hHtdLr&#10;J8GVN8MDToMA/PP7NzOfqn9oqM7nIh+azFrLy+yXUEbNI1/zR7g8x1bJFwa3KYm8zZyS8fjx41Tp&#10;iVkK+xaUEUM/f456Begumel6eBRMAp5s+NnV1dLS3Cw91zjy9OnTY7iSiEK73spsUJ7sC90hhovg&#10;eSIV/dwEq08/O2R74eLp09X2cotjhfkTewBQzxNCwnNxpte6fyyH8nVbD2DLBw+FhTJ2z1MWp3K5&#10;w8DUXrx8mfXRo0dxI200svo8YHLd5qdte3vEPT8grNmR0vRhUBAfI5/O2z+p4AEOCApWhw0XMEz0&#10;fGV9Y1oTM3gQcT1l2BxlI083WcW2ll49Sd/y4ldMP/HyorAjOSYBrocRCkGpYO5BiI+PwgEOb7y3&#10;J2N1JKMdQb6UMmy4FTO4XKRwbjmi8bTwBQ9ZK/6sYrMb2KXnawkfKVyaLa8e/2ixLzHVg+luSRQK&#10;gy+Jw/1vxnJJtbGMyOh27GifIOU+qUw7QBUfJ6/z7t27dTNDSjtUVFTUkInKlmbSCXg1+Roqsm8m&#10;R1rYksSBFddlvwNXurpNFYmB3CafDKZGzXj2/M0Mo2LfPSA/BhbGqmQ8K/hp9CPS37zZAFoMikFi&#10;QeqG6mckKsoRHhAp+8Nb0xoPonCoQOkgr+jSSFuI5MDgoHF+fv5KUkeHhAcmf8r/mu8ykRP9mzW9&#10;qywgYMeBi58OK5hRSXMhcL0k3FrWKXXLcgIHc7OyJA85/+28WDB144E2WRdEeuAzLGhduitQMD1H&#10;kPv74+wDXlQdgpRaAhm/KYFuchj//S2tJka5JTY+/txvFHOxBF6T5B0y3P6re3i4sBUgyLXEb6u5&#10;g739KClpwvoPL1OgbjNXl3J+b5JVi46OTtjELj1Qr9crUHtx9NfntcYXLmwnrC64+x1kp7qDch0B&#10;yTD7g1D7YFymf69EQe5xPpjzyviu3bvDRUAW934Ny7zp/gV5ZD8Pz5WctDTbNQ1jQBDJqTdvyp8a&#10;dJwx6uvrK2lvb78OjnGKyDae9aDY4qr6V9YGYxM4pUIOMBsaY0q4IMNw4sSJ15eslSw+kRr9uBpD&#10;F9kyVdJYA50kxf++dg18+9SQPg2piyeFrK2HZUHDgylepVcV+/JlkHYuW/nlxfmZlj1b7pwnf5/J&#10;kpbVp0bYjeXxU/ul+yYmKY0vvhnYZc5tSvaT5xra2dnZYZCOLw5/AA5c1USqh0bsyC67LWm7hIWF&#10;/c6k6GX7DktTzDQIEHrzxu6i+9AqWmXtM2ceRxIIh+KdIANhbhR/0GbkQCthpTeszNy9kIqCbbfc&#10;4lTxxunXAwMWK1vvrzq99HfDSvAadwh/CR5575O/84X3tx8+oKKsnPwKlZjYzFC0ULz4efIgFica&#10;DGMZGRnN0gP+9PcXRggZl7aD8Ymur3fYvWuX+FBHoedJE5PupULrvvrkluLPQdzsSaYrnK9dy74K&#10;hOp09Wr66rknKA7SQNjJVjzm66g/Y02ZuGHEvOoI3ar4iSTDQo91HN4kB3bmhjR/IXl/s9yT6Wln&#10;XYW+ivLyR1g5V7lB8N8e7h3lvYa4wS1HbTc7/idywuEr9qEMi6Tz3xmEKicWlGtqflGvTp48eUFe&#10;vviU6IrrL9Qhakgi8bivW7fujF4lKPH64fBnz3Y1LQE9jccoh7mBrf+YkJCwZ0DE3sHBjprjCxaZ&#10;qvbUrAcSsis3d+wJOWrj8+cDS+pBSd6ZGB9vX7t2bcCvueFNR7JWZXJSUWTDCQp+/ebN3WI+zqVB&#10;wDdjoi+Ryub2sAFLGNEDaZj4aYdas8e6CL1OJJRpEtjIexEFpZT+jDxSmaV5uxsgy99s3XcmKXhq&#10;nkRiAnABbO8c3cUMJeIPodDxu8WXs07+MRLXEA+qiFwlDkqQCALpvVkuE2aF5LmQ0ICSPYmsEQ5d&#10;JpC31bjfhpfH/Ne3I3xE5UyzUdWubn0IhTYjJT1d3bm3kq0htWC2z6nA1fREe4F7y3fCEwAIbYa6&#10;k72Y1hX08KFORfsaDd0vX760C5fO0BOW1ptudGGqw1o3+2p3aB9XDYn2qBWN2/227qv3WFqYaiGo&#10;1qm/fjAyJKThHH9Dc5btS4hqvb4WLe8GXcnWadINuBL62MXVdS25i2suLu1Z9n++v1cM4mID2BB7&#10;esj2JzvJYClg31LxDIYvVpkaG4/Nk1C+LGCAEYlB6rgSFFVIs8x5/7UCo/QGvGbhW5TmI6h/NhyH&#10;wmQGPBGxZtUqt9SUFIMvTjLvlY8ePVoGhLXhi+H0cSurlCGBwvkD5kS8UDp5shbJJFVg9Yrrv4wd&#10;sFMLnj56VJvzbm7dpk3DzSTsZ7i353zkD1JWY3hD6G72FslKCGZdmR0ec1yQTYjqMnlcQeHw09DQ&#10;mM92yWs37chK0snou2XbVcoWL342sPvHj80Ic0FMyMnSRkXeMiiY3V5D+ekv9Wd9rrWWZv+DE5yL&#10;82NVVQK4N41jx3zTds2tpqoVo2X2ciJyMaKQuIKCAsvy7dnapukgL99DDn219Ld4U+L00NosLHrU&#10;Z4Exh87z7N2rzu0dCFysIgpckPTnkK8RtYLagerEmv/xAvwi4vLkcIdMNMiql4Qu8Zj+cUuLkA+/&#10;sutBDhcI8POfSU1uPwccc02/pTfJHAltuc6bnJxMGx0STgaE8yDBGmDMQ9L0+yt5wKn+uTQpQWZf&#10;DkOPmW7DS5cuWTsOt0vNyTdEgXJAxuDev/8L386d73vLg/ctIPJItVRW8g/JN5xf0idcpf8Oqdks&#10;yarVXtpuqlGyiBe8hm4jJZu1tOoe/vp10a7A9UhWSUVF/73gYK0VHe61CpeqnucH0RV9Yr0ue/ow&#10;eagkP0wPgakoe3VZ4Q2ovyZvuh7A1xR2cauRnyWs4KmqhfnW0dD081Zli6E0e0JXBEbizvF7zLZy&#10;e4PV2RM33y05iQKzpMN9qs2xwFOMepeq4J9tFJYkds95WyEwICgfPX/lMgVGgOQg1yxSt8CEmqqY&#10;muMXgpk+kQITKghlRCf36bmU6yUGxNJFwsIjEEVND+bNXJApKXSfc6zaxBYSHp4sEHzyz3IMcHK6&#10;KiaWKShHTbSgRtQ8wtcKFk6rqyf8JgQVoYuupVC9x3KgvPiQDoxOipwYUuXm2vXe39exUMvkaxSH&#10;p3SXsHX6pMDGDnwqAo4Hhf74a4JqAa7dpqY50tLSJslqUh5x5DyH0lSBuAjqTJDdPxAVhOhsLczc&#10;TGIiRJ4kC6KoqKhV2v7Z9esfXPfs2TMC8WChW8oJ32eAe0w698aDqDo/1LELcxlHd2x6z/3FiOK1&#10;xvJblEKYx8JEQzzoyI7Fvz+Krdhzl7LSeFEa3rl7981dP7+rfviLUMtlnz59uq/VO/4MuP7uwhsi&#10;ICPrLVMP5LE9Cw/fPTgw8JOlnFXDcVFOY8H3yA4GBSEE2lboo48WYBIYbCj0XNrnNlXbSsRAIDmL&#10;e5p7o2XGC3cLKx+Ui3yt3j6W3sFTK/x5xtiB4k8Ffrz6RXxiIpM1OIpv3uvoF5FXOn/xasQM9OZy&#10;K5iAZiS7WeHYMXHydykQmBogMDPwO9fNXF6xZ66XRZBUGQTPAID9uQZ8oN2kQ2o4MEJSto6O9+2v&#10;XvWDiOF3QEhIMTWEm3s36vp8ZCRF8nMT7oO+FyEb3gKszPGAKF3ALPg39XLV88ybUG3KoLYePnTo&#10;49+2TbLGID8ows6AdDJ5pEwlQJTo7l2EVHCbGucABVoEsrvldQcLApy9Gx5nLCi6/jdlmmKHpj+d&#10;v04nF/foEQONHLUQriTz3TuPHUxMDT8W5qZ8AX49FuezlQk1SzLxm9UEmZis3VxZWflAVFS0Ktvt&#10;Rvlq8DFQDOZeHLnJX18yw0qP9D86M9ZrPYXUxgzvzsDAwPbPTqpfnxLtQG7x3CgT8JoV4JPXmoAo&#10;Hi6g+xZoOB9yIFBbtmZ9Cxh+nmCH/MhBXt84uLx3KAh3yS3atRypu7b2Ku1GaR7CmOMvbzhX8Dtv&#10;+vmt/xHErSquLTVM+FWCOKeaM8zdTVxfp6Xd2URNffZ0i/VABDZbGPxDjc+sjz8UgbFIanFxsSIT&#10;poO/ATKLTz45yXx9mpBgxsuxRPubgK+0DzIslCsMuKxJGwJEV65Y4UakvFoEvxC3qY8nT516Ozoy&#10;0uQISMeh5ckFAulRcHAJdoAZuBUzs9lj0GCAOOLlUOOuB/0DqjDSVEcdVo29fHxE01Qz1jhzJqb8&#10;uRLMCic5Hy7NdljClyDj/Pe9Dxi5YfD7gxVPnjDPgRteWhJ9maP4vSpCxhr/vZOGcNmviUpmCbze&#10;UDocxTtc+IKajS08709N7NqF8RrVjmRAKVO7QmUaCgs3iQrfzkK6/06gP+T7H4/xwO535kbcuLGC&#10;z9NzqZvI2SLuxmCLOC4UWiJN1NZqjiWUvaYXbLKjXrXiDrFKqak9OIZiXYmdPYICl8KXuDie3tu3&#10;b99HYqkfSMlMz4AQLeQ61uO/bcZpwdPcvN+blGGhs0x3jv4klG0mYNEYbEV6UC90SLWlOhOOb3F+&#10;a9E0ainPUj3yFRDjbyxkFiuSdSFY5HgpWRLdIiYm5l3C4HPsBeHX2Xxjs/EdfVTClyGGyb78Bnk5&#10;kyz6QrxJB8Tsv+Pj43kfjrNj8UqD+W6As6GZU0LgyA6yyycfU/PxJa+4fLn3RNOdchLOPOdHyj6S&#10;h2YJFd2J2M8uVqk5mER/+nSil/yFB5TsuSkSmASFUuNvmJ+wsWKiX716uxeV62OpAFgsNssxE5oH&#10;5T4/7ArvG4g37CcpXb0I1buQ/3qMpAD5tBVfPJ8AEd1jFRv6BKr48rJliRAkeRlAJvmlEyJcAaps&#10;zKLHSAj2prvxYb/Xiun2wxuP0HkrnVRS0tLJtFpo/vCBIwc0ztmOBqSJd4mIg6tmejXceOOv3TLk&#10;Va4JTg/IMK3pqYPadNMTKTs4Fms29NGji2ptKa8JhFQDAzYEEkbkzlG5ipoQRKwUw8J2Xc4twedA&#10;xGw/fPXiax+fEvOm/rtHo66Crv7ZNysiJqaKDC1HbYSluKu7rfuMKBirQcBjhPTLIwvi8RXbpd2c&#10;t3N43wkIyAzO5Nq1q+gpXZFFa5atUMdCwxmWGpUq2rEq/kqA8Z8PH26p28T2EuigtDsPuNbXm+4S&#10;OGS77Nqvzw6PMcEdYl/gKYC8+ndiO0UY2sheE913FufwhLvoGBiE8wtS5gheBjgbTUUCbQfD5Dg/&#10;9WMplPVFdHSwqhqDPEo0hBwj4PRkyB8uCKNqq1ev1iHgmnbjxh3LeixKUyljcCR6E0HOMJjNjlYI&#10;LKlrafEtAL4WPnTquIOgEk0gdn11Nc9G1Gqb8JOoDmpjCCYjjJfTQKOQNQkMyRBgULWtXxKA+lAE&#10;n8wxMGWcXFylH1B/kmdwS0NdfbGXMSH0dW79hcWipauI/gPEBEnciQICAto9uRGlx1CkXVxs4+UE&#10;BEom5Xjj5yrKTpnlnbvt8NVfQJoBgQQJfIWSm1xhHvz4ccIspMBM0KFEFDkktzhncAXLMLO+vr5K&#10;YdeDLLjx+kmp/hdX+5jcb8jTp6Z5gHLWx/xZHOTao88TH8fSr89BKoQqqX3Mp1sQnFlFPgOOFdte&#10;omMdhAPQmL2htnY/6qH8ZWseMTtA0/smxMf3dSAxtUD86CdP6x1b2dgGL1pYPDM1Mws9Sc0B+myh&#10;qLlZ3IhQHk2KLexETiRvpA3w3PnanJUK8ScUQu7yGUjP3BlBbHwE79uGrywi0XEDcHVfTw/jmZZ8&#10;KmEaN8+S6zupo07s2rXrGa/fQ1Ic1JbMRKvzEi/eN8DI+FflgxLITeesrKw4CCDloKPeu47jFDFK&#10;+EJNNXriaaWLFXzg2uivlXop1wabM6QZFBQvfw3N0H2Qs+3gpYEf6pnInocH7C5YH4f9DpDnGtib&#10;zelV2YDzpp4oXRr7rCIv1CAdNABV0fbMZag1qP16zDkp0g32zQRc5Vxkh7Gxonv7Q87gk7wQSF4R&#10;K5/6q0WCZbFVnh68nCdtv91KUS6wr9h1JRxrfpcIWeYtZ7S6QcyKXQkej6CwMF0eDu9InpMnqY3g&#10;YiAkybZ68NTcDAoLS2H9wPN5hBMqvNhB6enuNtU9e5aT7FqwHNWPpkJhyljDp/vu1JuMDH8Cz4My&#10;+SUkdCOSIZOr9+pcNjamL7TuKLA+depU++eNdPhgn8REc+a5jgE7R7zdBayE+1pVIc+eWahQG8GP&#10;ssjWkXo3537UyjW+Rp+GC5ek79AVPZPx9BDsqOrS0NBdueZa75/9uu++RMSYfobZ9lTWs0LYlZKx&#10;blRhmR2ZNF7iEjov+3/uljgJTygp7fMkSoZZlxvZ+28ufW1WVnv0KMb0zsOH6ucAEYftB5snrsOX&#10;d3ayxhlQIp2sxwfuQfzwPY50lS3twZuF13B417ADFoCIReNrjV0P4iRJxFFqu715twrB64mu9FXR&#10;KdgAxrAULuK/6022rIHPTPfopatiyjVbJlvugUbfPfkMDsfQE9RGy3WBh36tg7TJ+52Md4NR0qpj&#10;nbvfHO4diY/3p5KHd20rhzcpPiMD2ObG/9QgPF+aGe02z9Yzrk86l7uO4wvxGHoMnKVlpns1+7ed&#10;cmPnp9iLUKE76OWekIpffXz7hbSzvIKCNgWArxwKaurI1s+Iw5OEnQcLteH5C1dgRzqOunp/wvNe&#10;aKCGyCvIzSZ6KUvEh8PpLQilaeG5UhupG+jknuBV749LzkFlmwlr8bhQU28LStFbKE8U0gtpwH2w&#10;sLD4gHcf4xUQYCLmqxPHj3MjXqi/nzKPShnjXX6v2PWM+F3Ej90zl+12UtrhPQEBA/C56U+K7Kl6&#10;4VTkvc6T2qfID694MrCXhfDACtRGZP9+tpNcQ0ut7u5sTTlC90sD7gf+dIQjoK5rXHiKWfWG+S4Z&#10;AcHBdXZy1C9R3Oq2pb8cGDy0ceNGNWT10bghSWLqToyMVPuNvV7erWzn5paXDBCmuLS4IFDhau5r&#10;oQ+HQ2q9QtvXMDFXQN6jb27eJEXtA5bHD0RERVWs6xK0/FDIbCsw3DTxQJVN8Fdvr7mpqWm350gJ&#10;0/FpD/6Ih/ii5LXRV7BHjPz9m4Urh8duaqzM7CqcfmAIg1Dz3WOTmLR2bA+0gA3UAWDbYOXajXlY&#10;FuKg5eNg1uNUVWUW3Hli4kc+1aojgapfQVhIw38LzNSu14dHX5udI/Ze62Vs7JQHMuxBMxbq2yUX&#10;9jAxhcxBNMr+/Plzz6hBIQzSMx3d2m8Il3LDPLygwMMRYKoiJyExKYkBitJlX2iIG+dyr9TEfK0I&#10;9VBFham/syPVZ5Za4jzxFGuMby+AQRGRBPVS8oyHtJ8vm+D2Qzbn03dNAOuwiNv/NsVjBvf6d7Rb&#10;SekadEbXy+mwFPnjY2aW2kWZRr+KdcyXx6Ds3bSO496DB2qlBHOTOFLRUoO6VWzxzY5781U32QQ/&#10;zfGtCUPAWiya0KEu0v7v/e7GFiQx7fu3b5+/fvki/Ci2B8Bp0KSDWnsDNhWK7D+wDQRCfhyLtANd&#10;7MbH4X0YpQgzv7vA2dfn70ruy6zVLJsI0lfo76kMn3szMPyxtVUyPqfjKQjBD7F5d6z230EyP5t+&#10;8bMLf1BNIhegWnRERMeagoiKWFhkdD1h1cv9tSCmrY9lRispJZW6TL/pEF9gxrWxHh8kVE9YhB+X&#10;l8JMY0ZoH+m3R3SV1yF3f54IW5F2NkmY0H/A3slZtWx4dqOwUhf+nBvefOTXuuENsBHXHvv586c4&#10;9aobJ6895lQ+eTJdUEjoGrdEtvZku5sc9UEYMO6Otl4lysmxmrcXyx/xFtr+CdHvsa18dlhia3wY&#10;KLaU2aQw1NiVKNaaaGHAk+Twjh+q54Nx+BLy4yIKGlG3wh10WEjNNP8+8kzB3FDuICwOUVFR283F&#10;e6B4cZEkptWG4qyIOLgfOX2uePZsu76d3dgvInwSAvZTy+VLl2Ii79z5nAv56aPtDIPwvn0VL4BZ&#10;rKHZLD2qiG3xq6+r7fWhYVqDxLBHU+w8vFdbAVI9vjr8UQLf+uqH79QaXIjZPgTUhpqaGtcO7HHW&#10;Ost7wbArmiOl6Tq8lq2x38PhvU3abXrdNe7jJ6PVzZBzPSFn+8E64BiceXyywBL3thh5/eutviz+&#10;/ITfD5MNDAwuw79+zUEp2q/kQjS2y1Cc+GYstvpU7LbGpqaSnl+/fo8uhILDOSItlSfmBQN1WBPy&#10;nB7YXHgxNqcHMG3dGg8hovWy9eGH2cMFgXRFtNBzGUL6B2BINpejfuOxMLtHr4/0P4TRFa1as6ZS&#10;+5UVgp00vgbiSOlBDhEBH8SqOnrctCDxnMfvYQ5+X2/60+3wi38X/JeDM54C6EXChpoEba8CzoCt&#10;vjOXHV4Q93riaOmZCxcvPvrgsdcAEfHRFAsBveDf1xPfYVDFlgRbW1s2mGJPrkXDyoMK9TgLtoZo&#10;bcgD4jzpF/eFSBP1xVsuMqvvxYfaWuFguqLx/obhk+fOPT3QkUqD5390ZDlPnLDsJWZ9pBDYOeeB&#10;d72JU4Jj7tIZQ0OZCig+N/OHF0HHJXdLZZ7df4bw6iv19du28ydGPQIIhDn/2DYWlktXswtJjGn6&#10;/Jn3O3SWROm+RmmIxQdgZfCXcXQDxI4Yh6fUFxtqNsHuyKoVR1bjvYqY1ab1vI5kvbHzhIZ/ICyG&#10;QqQSEbX/XX0QyUuXEfW7PUDu5oEqoichLTczoAUFvA6xfhMLrWK7HYC1y0TxrU25bDIebvbQZtS7&#10;k3WxiX1//75SBulwAyEWetXxRrvtJwfOpc7GjRFqAIjRGbVzlT/sj9L2FtCZHAGBxohfFXSP4MOF&#10;Juj1+9tQOOFP282bN49XwWGhSvRGvyjma66mt2EmfsuvlyWYtdw7Y/Bi5ndDaocW/5LrytP90zvS&#10;yHZWQNePlZbD1Te5ua7UueYHOY6KgwiU16u81l/Ptwk5UiNWpa0seuh7tNJKhFbC1wbtcsBFt32I&#10;HiJMFlYhYqgsv3s6aw/2jhXUCbQ7NInb/vwon15oB02AerKKdG+ot10cL304Pm5vTHQCUsbILTr5&#10;8K2KT/yUe5X1Rq0WD0hWiqzGGyzZrSiH9eSpOfCySwAz04jRjMObDkSmOn5wHIX1ZVKmXqsMQTDt&#10;B75EUtSZJUgdKV1htNbk0iWWw3jvrHjvUm7Tr8MIcREi7u6+MAXI27fLWp9IQaSF4vlzg40hOURc&#10;gLOPmfQWXJvTg2kogBT8BOWitLZGZ0inXM1b+1+fHnxAa84YDDOkGOADqgRV/B3/iq3Lp5tj/8fl&#10;movZCaLOwo3rJIIKQBj6mguSnvVYG70wO2EERxd118TRuwWcJZFFQgZcROavDtUerLdo6FLbOJYs&#10;yi9dufJEsca+G0R6ToWrNEgPfzC7T07zJFED9xdFDwHiysSiQmTEGnkfbUV6MUBjVSC8lPP7lGdY&#10;/e380Eu+cOHChYHuZDtb2+xUwIuXqPZYwF1dd8/DgpjosLZ75U1XWlc3Ifpg5q092Oc3Mx7+Np+J&#10;05gEhIyMjDGrjoLBcicZgPEJtnZWQil/3Q6mb9+kvympHYAlg9/cXI2wC7cTeXHdepUzqKk85KmN&#10;PEAcKOj1eUDrvgYWmdAWj5XYcoUHUG4VdqmXkQu9z3Z+AZz92K9kXkDwy9YzzYiFzxJkqogPqDGt&#10;i37yCUgOqfNLBohORFrrmvFI/hRE9KsDwsJfiGjfmR6wmmzO9f/lCpXnkoefxZiuQ8JFG4Jgk2rG&#10;ajxZSP+RpHYI2eqKSiuJNJuQ9Gh3LlQYhagBaWghzyy7NZMd3XaxeFDiV6pf0EyoMeEJv8CTXu7E&#10;6lLPRNb6s7Rx1VCDZgi4svNQVuDEuQMDRwoAC6PEeTrqVcFYInPPhhu+3NrCyFivAUTfgTQ+A8qv&#10;3m0KDU7/4YVXoldJmUX0N8D4A6CDLqevXI0legooBZ9IOAmO4cMVFRUKMOivQ/5xXUJhr3Gtn1Ad&#10;27dvj0JgqCHuzKz6z7mv4i3YQqJPNxHfQDNsTjaDb/CO6xAdQfDnwWT+9dZ9WMpEDh48qGTi5Pl4&#10;5vGRXVvulAO4t854DGqGkEYgWDn40sBvVprM6CH9xjAvv/GZ2tZCzw4F1OxHoXeexe2klp/ncAXU&#10;kABKOsG5t3e0x5qIA+tmOvRfyjweLpizkuDwziZRQaEvK+X2Ac/FefwTgZUH8XWoVRSFPrgyIyrs&#10;3FA3BF+/fuRMnf47ZL44EMqEKqbvSOVo2i7lYn8PATULdadqFu0rbJdQs/+QFnw8xqlgM1Kx7dUn&#10;GDnRXVJk6LngsF655qHay2NsGjB1IdjOG44+m4I+lI+iWCVC2l0gxKMyQkYGosUX/C1QqY3kfsin&#10;y5ccIp6iFJl+GDdGJ0fd1dX1xh+r9VGC7M44PfCBl671w0zZV7xxC9zoHeUbWYj+CSuI5YwHHyzi&#10;pFdAjWHPIGDqWXRoiXYsILgKey/nr9tR1yYHnmbgNmNO8zBoL/zSUVCIHocR5eb+/fsfkjapKHAm&#10;dkT3R4RFVpaeq74GnTgVTr3Z0ubm2WsgFnPyFl7FxrKywkl6CDA/BIntky5xWl9EBjaytmYvziCC&#10;WhvolRi8eK32HMhDT5kR/wht8Dg4mNcu2Rzpfxcgp13PvRBJB7QaXMrJyTkMnnoEcTZ6uSzyNETZ&#10;L4IUjrJi39T9WocHpIja6S1IEP9ZPb2k0ssCpEOPdxmTRF0hm+hzwcjFYf8lJ7nBTqLWwfy0FfH6&#10;d6ngUtKAMW4hBmzNDxHl849PRtcS1o1oyHpWwQ/wr4QTj4uLe0T6B23jNS4qajTt0c2uVeTc4vLe&#10;iyqEeIsuhsgFZ6rgidkTg5AGw56vnz9/C45NIbo72cYkf7nDk0QF+lJOV1cita+jDXYMj94uB/AM&#10;8d0VIal7vAWNS+8d1kH59XMuwx/gJrDoH8HAKSmZpyRyczUvWv6QoAMkwE6SSEZss+kO/xW/UPmW&#10;HBx6N6Az5xi1EfwYeYFKMgRCpsTsOSbDoPBY2OTJ0v4mhF0Cr1D3ElydVbt61SrnNw5EDO4B28ah&#10;2oaFyIRiF+t0gnUyjVimwWNATNfRmxgOqFjcnLEZjGMV3v9aVNKiljp0IVvfkkWvtLzovc1RfHUP&#10;De0oShkRCIM+aNKDPdtsdgUUPPoTNN1X8jw4cYXUVFxcXMPI/MImpBw4yEooSgLXutK9zdBI8hJJ&#10;pimQQ75yb/orXsCxrfrpIiAHzoHf3AQAKRySA1aX+10KoNIrXNuuKr278D3w4+legMJVlmAQwPbk&#10;M6h7RUSFpYqJCfEtUPzg+5M8Sm3ECLDxtGKYQOfDPsvQOcs33FlXBFy6NKENFtuuHxKDVSsvZxZC&#10;RC6dHLOMTOGGAePu7u4oIvvUNzRUQYg357UGVbgnAfRzGrkZ9IBsyK7lTX+FwjXeb5cD5FwzUsk0&#10;RynczSScjl99W75rJh4bKWRmInOIXRJS0iq42muJlKPl9AUO5JsXlxYbt0LMzm/OTDGUh/S0lxhm&#10;UPES0d3oNQHZdv+eNbGcew9cOj/AqgzTyndkLBk0wNLxEzKHrohEpi+3Kg9Cs+1QQBsqfAp823w5&#10;/qs+Yem4ZffnVn54N4FH2bVpSkFX9V0mWqwLFxQf5Jx7c2nwzK+v06SF6XO9ZePrDwF0RW4WNst1&#10;F/Ye6VVLjDHeu2/fanL7Wkv8bGxsL7PciotFwNGGwrreACB8n02iZ3RE/BjdKtNTy0U3HX+8y767&#10;MTGXpHPXHoHpRQILGk3PPQ0B4fD6iMVAPFYgtFyB46AOO1AdCrB5HyWBAdwBuLsz/A4DYpyw+1Dp&#10;9THop0/gYUGPvZeaOszF70D48fL2lGJpUZIR2cTtb8+dbgPTdByBc4/S46SlRpFGE6OmJ0+e5GGj&#10;FcKO/irHeQEetn7iY4CoEycJtPxx1m1wF0Ji/b+QmEfyvRjS93kxykueBHWsPuyauVIsCwfdDLNg&#10;pMTg0+h556iaIS8HRA8S435Ydp35lUw9+r6/Aqutpvf4tEmIRbcOgmG9OmqBXGDVgOykxeJ68J4j&#10;6+aWawWoEasJi6avwZbrbQaQw05KrgB9dNKok6dpUmgCy0g3oQW70jWTJK/NTVrSSEjkniXcGn7h&#10;hq65iXsIGWf/hYzRS4SxvShj4/Eq+H+8AP5WYFngoLs2/lstFu6U7VtJCIRLa+/wjN/du1p1tbV+&#10;yEDSLuMnhvZomoRwISiYuqY4+O3PT/j0MHnLHe8hsN1aZKOSotjNjC33wLKeqKWtfe4c7++6xAZl&#10;OCmjoBbtu5bKBEvducnhOlTwD/9pCLaW+Y4GBW7YHaYz6nBB/gX4fO5W+HjzqiMsGssL+uhzkjwS&#10;4+MXlg48g/+A9LmRNuDfwPNhkC3gl+ks636G3PeUIzfnYZ5DRI7wnxT93Et28Rr2n+uxggTArhHj&#10;JUN8C2pg+6YyEFSzUijdTdUPSRT+IL+nqNuFlETl/IkgZ0lqo+ZQV1b+egM2qgVV98GPiPEZV779&#10;TCY0Ti73WhSZuzz/u7ovYOyY5ny/w9+oDyx2CsuhAzZHfTSDxoH6FstOimRnZ7dORED6Dml/H3r3&#10;OdasWXMOWrU4e2KQ/oVHFeXiampq90FltsLhQNsgrvDYgrD03AgkIyTrZNdKgeUyVnYgTH8b7u1j&#10;Xx/pc9eC+og2mR6ekH4p578vwgCy/8I1xAdw1ET1zN9fOW/XmEhCv5Kq6nA+uAQJftZWDmTApX90&#10;iNt+YPs3RsO2sTwnL1haLtyjK0LX6Xklss6w53pexcSEfnYtSE8/AAa8l5pYL4kdG6qgTQzPyT6g&#10;jEF5Bz9+ZR00+zej3eaQwmMDrYuf62GzcWBlDbtMqg8zne/jxg5aMk1odX+Lh6fiQF9uEnI6+PLU&#10;ZVESE0ifk5GV1fNnqIXeoFmavYlKnoBzhFf47IDM7r7zy7OyQmBRwuJ4DaIzlUGKPH4o4zd2+u8k&#10;QbBkIzMUOGtAGKyrzxOTk+1IdfcxdsGvYoYRd+QDZvuwXelddwt4yVx95IxKbg1NpOZ8jMsDC1ap&#10;Qq4a6wRs13A0z0mXrlL/9gwtUs+CJNyIHiCtugh30gatzrAHEv7jtSH97jA2zAHykQ4+4CdCNr7N&#10;yLBbx6EOsiQlPv7pcdBHoHs97dwhe9mVKmFZJOHV2RINtXtOhGzJJ/8oCvaTZ8+eVZ3UuIwnzO1N&#10;x4vsCb/wRkQ5mC1pfl4tINrqbm9BMiuDd84Z1qAHMAEugkCu0tbWbtvyctQ7uStnPCFK6d0auNWS&#10;cnjDJQ+jfL29qW65OAEoQ5eSboW0B1FTkN+BNvqz9IaxqgzBDP/j35+F9x6hNmptbZVrlLF76vqX&#10;+HlJLUCge++oMh0e93888KsYOOITgIk24fZ///ljAp/g5W/C+qZ4hRZQh8ywjPJgKtJvHyMeNdhU&#10;floCifxM0E23gyGQJqGFITlnz7Huz4AguszMzBcPo8OIJ318b8Me3aY9yrn2f7ZUmqxDzNFE51z+&#10;FHsCK+G+SYnWVIaZEjq25+SCleEzzEbRYkAEBa3kfbCUiELDjDHVuYAYcoOuCARfOfak7+eDYhdI&#10;YYjwNYkJIpeOHLnO1ZFqRKoDun/1IC+YcbaxYe4v3z0L9c8ja8Bx4E7WHczVlaPPlRBmyY4j+2k3&#10;3EUJEjEgjC8ivJ83N2etKngQfILTnvTMEzf+x7KylnJXKcAg0iOVHqWUejVZw15Rg3yBZIdbfcBA&#10;8JY8EiKp1yS198cPWyXECB4hoTS2EOk2PH3ibm3Uf5fouzAJbpBQaa89Fxvb1w3sVSasm5nrprW4&#10;+J7t/y6enyAPojGQzdjT43h34VU22R945fA8ZN2umPkf/gxgzvN3Fta6M9Le+/fvZ2jHIqzZEviF&#10;ZtNeKwVePZcSbLRop7QR72Cr/nd7bIC7MmeYELJ0Ha7Vg5sS4PAWRG5bCq2YqEfsmTeWOAyvew54&#10;FOLms0c3Hz9kLTx+kvdApiW55EF4blxXQ4xgEXoFg8tM4I7/rnqgfSXhP3lzaV4DzcWj08eBiNWu&#10;KVlZWRsJlkf/atZ4mjiIA3z2MHowVYbwD677/rNq3ej//gqR0g1tz7FZACjvNoKHnQdUnksGPlEg&#10;iwKW+V+QcXr7NsnMvx4lEh28lG9N+hv3KIMpmxML6feBbvjgMq+mY+H6SVZqhVSnpUV3JmIk85if&#10;LpQ+g+TPF+CprbgFQXtxaZFVa606GIkbREvEsyD9nyXdDlAtb3xi+ndXoXl5kpbQfPT27Im+CiLG&#10;fpIeswsG9cgi1juTT2xPjrADgV/84gaJ9Y6kCFwAjsS1SlQbokLqiW7aB1WPqHshTn+08EhgBHJo&#10;zDBvsCC/F9f2YUiMgzXyNM+lpVNqj2rr60U9YF86gmjxzJjsPjDjRSaKGvxKkXjqIZ5oyczDCARN&#10;I6PIY3BrbQEwKfnjQkIuDJYCfMhwv5qGYc2FUzzwDTIqau/yxl50cweWVCrzQFNyJyIL1hLM8vV2&#10;2/JwsztHby3j4oTSqirrlRzeabjWIPegU9RG6JAUulGRTRqcsMKwMNwro2Ej4p/saLGJuRofhqpN&#10;gF3HRQStTlMI6Su10ZSbAwuLNiFcEzduNPMDx5UG+/YjIK7za9UOyOz7Aya4G01zyQWoub0C8nlD&#10;nHg1sSbgsSyY+XlX4D5a+GNOPR0NG1CPG+0hUvWJmre/AHZTRusxYCIjdWjqNbpg2YFh6tZs2uFm&#10;8KClBgUJndU/yNkET9zbLcBOqN7+wIFJJhAUd+sR0Vz1n4p0MCQH0H8jpCCyKEkpxDXM3UCa5JBd&#10;iECmtXDOxubvCQSnhnRrt8Q5riPPSbwbJC3asX1dWlWXrawWc3KktjZ+/oXYN7bUaOcyMxoNwr0J&#10;RNH2d1bLEuO8NMCW5H26IjhGzURCctC4aDpgh06IrzRNLd/19PSGUDa2YcnRFhi+wTtQ/seo7woj&#10;/l0KiKLQmH0QaTItW0QfgLUmuispO+DLupCd9AR6F6sGWYSozDwY6OgEUQE8QwfkdFlfY7S2hEPf&#10;+FlH0+8kwzu+PCQKLYmo50q/YWDeDQKqBVAlExqPbSy40anBwcGXMEEpdW87BEzMkeI+t2Q8nFcc&#10;lZUj43HpkgTN/p35vPpHP97goWZRMBZbP8kywCLiaDzw7UoUL4t/6RZXi9ulLK5MuRdW0uy97fdd&#10;wuLp3Jy81YHhxccmlzrErKKcnveO5X0ecpt6zpuXfbnn+XC8e2roQiNaYviLhKJjY3MTNRPy0KCk&#10;5OZ3E1VogyoVBSxJXjAdGxGqROBIXR8qauny7fSHq1p4udP7GPweAu+GB1d0R4MI//Rd9T5k7/aa&#10;1ql9wPVu1E+kKDC1vidDpXYoqCWhj0TI6SrW0CRK3YmZxY0V6ZoIFlNK0d9HkawauhNr/tgT/vs+&#10;+cWw+E6bCrOonT/fKQVjc1npLIeNQ6vKN0QfGtr163OKL49ad1per6zupS2+MiFj/v2VYhSMqwWR&#10;C1p7tTZSXgDkdmQ5DRsMgkA4eDI6/Tdqkna3ys/gFOpbmppM4DsMZ4ySp75+7OVmhaNHn2W+fbuf&#10;mPv4CnIgaZCuptQfLsEgbKqoKJwPTpRn9fZCEbzeU3AZnao/5N8PUCF/r4jB/jk+Mus2tCVsNQ2j&#10;G8cvp8cChtIslGoQ4mXrv7ljnEIQFSVZP3eyKmd16zYXmDY1EmuM+rUem8RHeC5ee3V0V3xn/TZm&#10;xY1nhzwupGVFIRnOYTKJ4ALwx6BZXcLExw8ffkwQBIqixbYwOdlyI/fT70dMpsxRwa7wkVOLW5pD&#10;19OmK6H1cLZvoLxAdy5tp6sK+VFOQcG/Oygv0BozWo/udpgC31Aolk3p0al0bajhmKjmtVLVMfLl&#10;bVra527+7Ciekw0omTX+n1uUo0bZXl1bfTEHyW7K+6wJHkPm/VNc+yCEtnFwpBwGADDnYbxbB5li&#10;ZDYHhfrgGzxL4V/p9ug/XgPVvg3Ef9v+CnVgs7RhDC273vd4nS33PBqNc0UQG+tA4aduZ2M7+ObN&#10;G8ts4/OsNY2Njfr4fvw/du54W5ZtlxeExlRYuLtbO8TevooHAaM4HQEsk34rYEzDxSVH4n4aCoEW&#10;72dVYD1ETZhJ31UHn9zQTQQYj6NqDBXJ2oonT65/l56+V9Cef7gttyw3mw2LlO5U8b8XKUcNAlKs&#10;pno0DBKEWEGh2pkzXDQbN6pctbFxDn/69M8nbW09PYsfvb1T7+vqRHZzc5edWZqDhDeLctFBT69V&#10;3D28sNDTD4aQY2glaIPds6U+Tm13xWmhN0FBNfsgnZZ+lkMxkBkBNR1M+649ctS+tNvSfaN46k8/&#10;OCDnKXIJEUB/+5RdkoTz3/O5oEzewiyyGAIv/iEFNYbEwiTMoODbUPjNBlekHxxETyrNm/uMPT83&#10;rN/KsQpp50yGWZ2LOorZ2Fmp3fceBAUZo3009MfwcMSNfi300DVqRqt3Z+fkXHJ2cZEusVYULG2f&#10;J2v4h+fNppU78U/edMIWjX8TFo+6AsXfaHXGNp3aTXmBJZlBH1UcNIRyNyPOLAK9BHwxPH754Ark&#10;55vQ4aGtwVBCPNiWfxtbFXPAo7scPfrx8Ly9pLDw+ElASU8AbQEdXd1eGQw9oI/M3HiSYu26TlOk&#10;4EyiCdz4tuVFRVHMYqfvBgQEUFGEAV18ZudiEV/gzFhaM+XmV/LTDzG7pfUQOleyXiXM0oIWYqDI&#10;IlGY8f9ym+xvsD6oXJMDl4j3WN3r/UoQWyyJ0ofsl08lRw0yhDH5NM9JpM4dZOoCcmd4WmuXGg/D&#10;Hviwer+6D2+hXlU0d3/5GXhD6jm+wD164GmSZmzNiMEKO1jw31G8Su+z5Wp+anTj6qfOt+S6bG29&#10;FAMo1Hv2cfRrfn5+Kz6Drk2UT5WVQ8oXL/7a1lp23YiZD5cEk91VaUcmDBOawHiE/Rb1SU3ZKOGv&#10;YX3/gtZjEF/pTsy4baWlXJngpbU1NDTMf3j25BywjY+LC9ScfDt9cDNmTZXXqH65cfNmELqDltiV&#10;XEmMpacEgn6R5+i1Q03tTqF8RZ31jo7t3Wl9iFOcbvqcWxQVsFC2GKyPqfnDE3wyuEKR2c80tH6d&#10;adJx8qp//Beb68P1MBZg5qDhAmoYNqgGBmtXr24DmAoaqZPyXGz1H77IFlnIlQETEXO8evxVyIk1&#10;Hy+khUbxJMPSanXixKcNViMHENzDwlrGAH+P/lmqh/Y1u4ICHbKefkj3Zt97662Y1fZ9ug+Roe6G&#10;xDdg6VjNvUv776Oc4A4+WQEp7/ANk3N9CLXPAZxWy4XME8MJOGmtI87O06s19msCWTnoxdZ8YxW1&#10;YEb+SMEKvDPb9grbr+BkYaDeFTURspW9jSYpWM6R2Ee5E9zXj9/fblp8vCJ9fx08czfV49/Oo5Hn&#10;iFuZ8NuPtwJgRv0Vo7mXby2Fj7ITjyfWcJ/XUj7eTYt/8sKmdeuyz2WPJzSvMdND22gqxsDgisTc&#10;RMAniMIe2OgSTCK6fsrurTH4kUKSPoI+X4ymeMFhy1DaOyXC4s8jKTl/A7dwnZeREJVNcOrYzGCP&#10;lFFRgLelffslsqDEF+4WM7hzVP0blFrLnoJbJLO4l5KA5L0pDFnojlwkzwd62Wj1czwhFUr+E1Kd&#10;6XDpClG8SJLR+ZSVddsZIfam928o3+/Kn6zcoqAmjpSQjv7H66V6Pmhz21IueO9Y5GmGhgStfkVU&#10;Z1sjRtIqv39Pf52wy1Ie8UX6RhRPOJ5D2epvWcc+0CFQS5sZGal9yVRkHQp+jZ0kLVfZi+abAirK&#10;o8DAv+veGQG9mMtpNRRCReB4cGKvzTO0MDShCXu1XPsVEk2OMF/aBN+uW+N2Ccf9oRJqwSejuyPc&#10;Rj/vkG4GkF6liGSPHTnEdGHmjuVJ1/HfafK3h6Df+++NKF+SYeKEfKJcCfL7nqgYsd3BlCht7+Sk&#10;KnP11wlWX6O3uN0WvbZpdOqchI36ONDTH3T6WHBsuSPcWFn3hF9GpiMHgVE1Py9PHaM26jEfJxnu&#10;BFHKzuPHy04tGJ9nPoaG4JDvMFO8dKusgOi2G5lzYrjDMyjQ3BPWicfBjAmJ0kvzY+zouYc9SN4h&#10;yHPedzXltKzse3eKrO9jdwyB/D8hk10UpdzcZqYfLgipVNNVpaZaajo6ezcBn3T9/v1kZnbCfG1B&#10;ly13/2x/V2LNNVdXmYSkc9XWpTEvTXUa4LzuonjB/nbwY6M1SOvklzx+JUF6BRsqpaH6GmaLtwpW&#10;NjojCQIZN+E9iqKMXeeUh/qQq1o4mf5uydbWrg/10SSenWu79uHz7cBMTmoORKF3iW9PKw9By+fS&#10;e22gX+WPVthGO9cDmHzTgZbJcKzlzJ6CkOXFVvJvsTEBjoSKmEuXBMnA5idMkRUwLLBPUZlruhyx&#10;sIryG80llj734mX+9Cgh1eUktO+Fq4YR3SQpT1ViX8JefE0u8vQjAglZZ8PRJ1qygrLsCE7Srb4i&#10;HAU2awwb20creakjzfj4JoosSoHpGrMz2NGoUsStLPJQVE+spYzXaRt+rWavKi9POE+C9KzyNz19&#10;/Roqysi1/utBD0hm33q1jTTQ7Nxyp/bQ51CE82d97Y9IzO+rNWUX+0CCOoNCGjoTeHsKIv73HYb8&#10;+vWLIjmSqPaylKyjDSzCWWfCh95fX8lGobhDg5ah3maNz2yb4O53ex/kJo8nrKSiMlk8h5E4WRD6&#10;e0hqDC1oMwXYyD0ZXW7emjVistDsRcI5SW3oRx+PWnz4DLMKNiGeMDEyOioa3iozr37xwWFh5LW7&#10;ORLDueQzFTaFSK6mygNXMLJm4LKp6dOAjmenGaJL+FVLXTQs2vOy2SkvYMXSmuO6UYFtcWsFZXRs&#10;DBOeft9i95h+FmAFGfAlhbIw3RXQheE/dmsFNhRvPB3ALiOaw3APMZA6ZjkIFt2qQBHI/eOOE0m9&#10;FM3hjghgmCtIW1yQBxVv++x9nsQaaq8d++bdu0r6O0dZ3Cs056tIeP1Ux8nJab+aIozGHxn9e291&#10;+Gryro3VEACNritp31IIkroCFFnAjNCKOjTwPM9AZksyk7tX1sVf8Q2vG82anFdZP/4Zg6QxUao6&#10;ZWu4zmrX0Zq3lU1NM9GRRX3Yr7VF+ZzeOnHl3aNboGu7hcY4EAd1rJs9VLvk3UGfy/EhrmexPDAO&#10;09DLeMPGjQWrKVfAqxl/dVelJ9n69nK2Zud/8AAcg993QF+RIRoygvOY1mAVQj6aTIqRwwcIZHcr&#10;+6FS7yPpU2+WcUpTs9YUr//QEQzpuctNHEjmxUVF/ODICkFJv/1lhlkFkzQKagMYeaCzy/v8hxur&#10;sf7QV2PrlSYEn1LW9RhTTE7oDeXw7kRFHEpFgd9QecH/z19nuA6sfehuEMJzJYW0Sj4vtQfR0oiE&#10;NTQ/M7ZZ3pf23M0A5f2M2rdLfl71i2oEiC2xC6FBkfPAI9NMGk6oEzAnhX0UvHdmP2MiJGbj6d/l&#10;5eUXMZZLEZ7PVGjzbJvlbNBjYbPdHGWnao1wsv/9+z1ar5RJSjdaTul/jR6GhZnfjGi8detWxFrK&#10;r87Ov81nv+2b/L2EWbHH12+7O3wxfy/bMf4QJm2ujUmwfnYBi5rACELvtdTBC4dXY1FHh0wJMG4X&#10;Xvi3XQ9O1JDkVJdcg5mxb8dHR0+ibdfNEVrfFTxHOFAWk8X10S+pICsrmw5u7y6U4LexpjpiUIMm&#10;6tiMkXMww0XbDGA1AknX/scOa7IT5qtai8ye3UPbanJI4NgdPtNoddMZLDDdsTqUK0PHKbKo/ywC&#10;ZGrMMu5ht62koM/v8e27GRP0Yigpd85P/XezN0I6NFNMCDMphr6eDK3BCPRi7QeqQOH9VvX21j44&#10;eouYfb+NPk2yy0abvLGvkbDLhu5FtwobJDJf5w7Y4CyhPHfPrq4A3LSGDFkHd2AJEotpaWjWNr8m&#10;YNNPxcVd5+CvEmFvw8X13S25kKHHLzAyOuryxWn02ZMnjd7IMkjVZ/YGezLKuhJ0XZF68cC5cydP&#10;+i2RxfJNOJkVw6eOcTS4IoGtpGoX1cm1+SF3yHC5TlhBIc3WBxaGMeSg8E6MKdt9eko1OkNyn861&#10;cwEKTG14sxZbW/rU7ORgrk+MqT4sXJaSTS0oTbl9JzFGJ3jtmjXtdlevupARD64FxnhWOjD5y0z+&#10;/dspda4sB7RHNKaTiCjXiKOSvoV36t813xNmHWMzVfXpkw0kjj3LtVthHeYcJgZPrM7LPbDbeycg&#10;km/1CsvHJrxJYRjRJsch7sYGBvs75h1G/DAukSI1Z12y7tS7W7fKDmLYkyYHYwIQ+vRt3EKxoE5B&#10;+MvNctCazNci9X4BgJeApHp1YTjNjgEwJe2sngo2Ro2qzEJd65Qo3mme9b93+iOyzmwbCQsUWeVQ&#10;YcUkvYOp/EACLM2eGPexj0JhO3z1lX+g7Xg/1fQBssimLW8EBFTJA0ZV8q0pQMVv6b4hRaQzZ71l&#10;R0E+N+UF7l5K6JJ7wib+Y5NYulyvhi6guF9JRSHp+CGoCxiMqeTsD6mRtvBysAU1wsr9UALdA3JP&#10;3YniOfPp1RKaDx5kpRYjmEiM1aUh22BUqxdQE2k01Zefw0zHeKyxFZT11NQnUuxbyhNSQlb+X0Ra&#10;dKuM4IzXbFx4Ktg0KHAOX7jSgQ5Bp1UUYSgJe+RK3wc5pHTRsf/VMKfIoqAQyFJu3s/HN2ZpaWmH&#10;qUJWj0NClLJzYK/MxixDHdgFrUwzdODv/bqy5RVmEmUTQoM1XbrulrkTsbmFajW97hubHjG2BnSE&#10;4dCBC1XGV7CFLaefzUq6jH86Hq/JKGLdPk+a9md/fp5ClWxGspgGQ/TYxITyD64NWa9zxOGLrVXZ&#10;9UAT+BeypSRHww/i0kJrJ5BLKXPLJm5RUkDZugHBrxOZklJBFBqm/4f+nE9hycClbwEEf1jy80Fh&#10;ITcQc3b+LCLp06fcspn7Tc/fI6lSSalixYMTr9Jev+apH85+jWyqCoKxYR2lGk2jBTUNXdKbIM9s&#10;v598GrVRPp3c8neMJ6tO/BDVLJ6gy1r7ESw0k2a0RmLdT8Jc7Q3eK0AeC8cqKM2uvX1b+DJ0+NCI&#10;PGKCpBzy/PmQNGSea40bzDAbdAz+HGMKBRWxdG+BkS0p9AHYixuzMdno+KbWrRIHDozeC4xdRAPq&#10;Osz47YanQOasfttn0LVcKyhm+KV7tr+s5nxA0m6pkCsFsLD4JeFIUGc1o8L7qbjj+Vlje3G2Njzl&#10;3Vez88Zh+lyyXnda60qGznL5mBXkUJBzMkw72SMKQxhRaSb+LQD2NdhIOdHx55bJub24giQEFirK&#10;W2ACj9ZhUvGsp1TD6Ru1oUQQ85CbKF7wHTXfmpsBX9SgzlDyXNo9J5ujLcTQ4zA7pRoVT66dDDv6&#10;n6p8f37sNFgD8OSnQH0EafApupj0u/m7ycQHHYosbD6HW8e+gQvM1wqvQDPGpmgeP629wQrkP5Di&#10;5YcrG0lGEHmdshgTSjHCaqSXSwRgC9N6xL66ByynZe9/aZkR08KT11HigBHinW8w0dEFJhV2YJ6n&#10;zA5KNepCX5qZBdzPV2Hhc6kb9W6+2IT6EdXsTbS2rW5vOLt5EuXMmk4TqVljUOY8K1aseBgeHm7Y&#10;JxMJPsQNk+Vy8Bytvzegr5XX3R0zmHNzY3t7epptCiXsek4x4L9D53DwLU1EjeYub0ueyGEFtf31&#10;0Bc+v0KaISurSydXGuVtHcTgNMTy7udo7xaeTds5rn1QmoQyY58BLaFLX56YULw2sku3Pq5aBA5H&#10;t7dbQu8lHww61/vqnrp8xzf+u2OYPNg3UEim2PY80E5i127vThBKqEteRfUpTddT/jsjALqeq8/Z&#10;yAuu1ShKrTZvoX8nBJPHD5EFb1AGE2Cg5MfJ6PAP+Lkb5mN+riw8weVy2CDX/nZejyiorE7r7u3V&#10;bUg6N2YK5Pxcs1vanmCeXQ9O0LOy5tL0Qye1hFBbQx7LGS1BD5ADLuQSUCMUstZgpBMXVg9akdqf&#10;uqpgkGPGIDwokVlZT2jEnhqfe1xkLU7omPWURhSQC7t+icPL+VoKQ2q7Shd4jjYgleZTvF6p/4lQ&#10;/EqgaeicATdJT6v/paf90mjblLl4oMlTMhm77BTD4g6ZrWLjDO3MrWsuus0x2jjAT1GFH3SiT/1R&#10;dg99H9e0yOyH+6spZJyyGvVCHdP5pcUFNgQ+Ggn73zbvA4dyhwvCvLhb8ewJ0vA3YrYkSMU4zQNq&#10;sQaFgnKV/77JuQRojBKYjh6Ts6sDKPmHnVfmhmFQM/C4FWgYTpGq4gWPH4xhaSURtqztG3ZIOm+Y&#10;ysOTjcLGNJD9PTgqlHfKHI4yVn09vQMwlGhA0uCbNrhFyCD4fhtQB+fDEszVlQjrenAQmA+Dbt1E&#10;7mDF5+/Ikw37/z+I7Wi7fwTac/DXr/H1qpKENs/y+QxT+llTi3BPrc7POYEx5/XaoCu62nF/xLsj&#10;7BTtzJIxLhnFtdMJrqDg/4hjQuuIynnyfZ3pCpCRrm/4Yy9O2gCOd1+99gdUbQyFMtuXmHpJkynx&#10;f9Vh+2FI3Et5AfOiStfLxFO15RiqvBTNoW9vP56GWXWcQ5d1kh+jQVP8pebeu2RG8l1Xj9erzQlR&#10;B1tfZueNIZSYQ4x3l89QEOt03ZDVOwI44jDd99cW5fuBp6fOoP9gfEsZN5C6N+cOjOWWjWP5twi2&#10;Tw61tURflSv7yf2BvLINngHh7vcOr9t2gfBUJN51eqwltYMELHep4w2/Wfsl/T9/+WKfBP6LEVsX&#10;1cP8n3JNePEmRkauaSJezfnuV0MzzB8Lc/MwDdN1LiqJdQfcLlQS4BKveQ25Gm0fKmN1SIrln0Gk&#10;xao7+SYiHVwAEXIhLuyqjk7oLUIlRUt832dxUBfygiZFlhSIFC84FwTdsX/kUQISot5Hb+18DGlL&#10;e+nz2ya8okpmSfIAlB4DvA/b1B+wXzQ/nXu+vOSp/rtbwuCuERspOn/8BZOAQdbfQa33Pi2Zsqiv&#10;6kVQEF5QUPBpxPRKtrJXp3n8qCha3Sc/Krz8dhvzR4epKN+HD9yjf0F2QF1DfJ1ZGjoLVlJkwbZ2&#10;59cbJp+56w7CEuMAEbzXc4hj7tpadPxv2pHnO6dPNkGK7pYQQhEBwhtTZOEjaLpZ9eDs/sU3YxPA&#10;VMLiaKY1RFH+1qyuL4uOpo4ILISKweiGVoFXBqsbLnWyPITou+lnuzaeIZJBydwyGxxp9mUH5brs&#10;tGD1H/u3+fkL5og+PSp9GLVg4SAOsxmb+6kTYhe9F99Yf0B1Zr6+Dg2UjNIg7OpB4O0+LGRKRWlq&#10;ahrpY76XfJo0csuMR5i92a+UAT9QHLgdK7DjbNq3Oq6g+WGWWrauPnYWM0iYDLX77pPsdcg2KpoO&#10;DMLgxj8CwUUZmzF1xrG6AfSAJQflRYD07G+Ef3F317ryj3sTEKQaLACQvLPo0c1bjskOQ2jmuMTC&#10;kruXNlsGHn/xM/UR8+duYjDyrN6JLXJI06uK/6sbbOB74XJxjM4h5AT1Qka7YdybDc+TyCirfJ/f&#10;aK+SoKFUEyITNSDmtSXaptlduXJlF2Vntp6BTtuvKdhzf0B3gmZfGA8r5BnYnVpIjZYd1AH/U70R&#10;87EK92Z3GCxPoLglg49T5fzy0rb2wVlZz8DEpLtq1SpOtOfkVaseS/hOApIlvIt5YEidsoPGgYDY&#10;hS+udEWBz+ich/osGgB3N6Ccd2pkaqo1XMw5gYGBrBQveNVz1mdvjHCfbFLVqrvGvHIq5BAhyoZ6&#10;AbRy9jLe3Zc11QScufKL+zDJVoVs/9YtLS6sRmHp8/gTIePH7ZghVAC63AmtQEc+1XQSHl27LvOF&#10;OFuDSwbu7ZKp6TlqyqeSkj0rBZ4SvFz6uIE5XQ6724oNoYD4FeRbjbfBRXIV90rAUtHjGEhSAa+j&#10;ed/pdOtE9KEt17yrp2eytapqmMqR/afdEFlNsGM8t+PTHDnwAjhzO4giMneGKlOITbuMTXWJBUba&#10;eeHFXqRys36pLDBxL1ZSXkDD8xQ4eivk2ra+t/6sXbabQ+8RzvHHkjGhfotufSB5qU+1Bz/c2vBf&#10;HfsyJ/aX3vQ4n2BMl05qKc6P6HRmEbNyexpjagnyTiD13JvSK1TWsH+/O0D7Mt955ILGUC+hu6MN&#10;MwMxvh5tv0GsWPVJrlNDa5JPZ6/OmzVGCVBSWjq05c7RUIhgIr88bvHpeMISYORrTwopX/usamf0&#10;tt3NyuDU+jPUnq9bRrgP4IwPPv2tBVtBUHcvPO4FyFKB2c6apMREuF7KtafQedjLImJ2USu6Jd1E&#10;iX3B1YKUKpAo/n9v7++Bnfz4nFxMb1N9LjnzILAjwSzdgA2UQ1uR4L3H5vmkTSIfu7qvIXWp95cT&#10;4YxIOnTov1S9yx7AawGCAU4viFlkRmZdjgiomNE4e2OkFzI6603PjsCtCcgoLW9N7Y4i+qGjTiBw&#10;DpMF+38iVJLcS/vntQIyxqjn/sJz2K2dCfaN5QyFatcw7kRXKweQ3ZtwZodAq+Q59J8R5M8pnaDF&#10;BUnP/AqSckuhaviptXQosYZMWriNx5LvueRhKT+HydZ7NJd2dBlLYKQH9aqu//aqINrzI4Cpf8yu&#10;lowME3fo28VReBM03SyjDdqTlQwpsoQC9ZGpAPNJuKzQmAwcEGNK8QIkWFM4SAhROweHhQCui3ha&#10;8SZYzo2YqrM3+XQHZp0PI5MlkH1ny34Lu3ntaYYS0FLfAUVv5rOhMav71dKqBYiPHoQVgAtUUq1u&#10;lGf+lxSKYy7tWCTue3/gP2YDfZENKfe9FM24Awiu+RMosOD67FfEgSlMctQYEWHAbigDyVZyYewS&#10;rRX9YY6GgJaBlAR3+NOHSpUZcak6VxquLHMbnv8F4N8AAytUmDX3avFTXqzZwKJHfyHSj7ufUF4z&#10;k+ydfWjnr7RL1vYEe/ng0EavTHcOKLSh7+ueg+DdDX4JCSulHoQcATlvwfPB7/00Nk0oYPvh72s6&#10;LWNRhPBhMkN+lOZeGn8+tBh/AKyW+JmxAFy9pWBIHjNE+ldRroATV5ruQxXjb8wi4Tig7k5GEIgT&#10;Gh82J9flysAM47pt2CiBJFsMhW0zFuLas2e1XfLpGQMZvcRvBDaW2pNfalV0HtpCK3iLwZ4CMvD5&#10;R8c/1Y19DYaxhvw9mvL9s687kC67YX7g5xyOcI7+OlLUAcHKYRX+bKQ9vHAKBzdsprwAehyg/GPZ&#10;3EqfCxoVOVG8MBLYaQXFDyoiBit3eaC0LAKAK0uwJyWVweF2R44heQxs0+E46oT1spMii/nWx7Nt&#10;CSvVRtYRSnMMltSmzT/cWODuqjr0C31C+iREaIucQXSWJGp6w/rgTbCM+nl5eV2U5len5jgNDPIs&#10;k3019pOM5ZBrBIrBxcH/Fm4nYt4ziQ9Ev2CKioBDR5IjyOEL1l4PS7qB+/jvB5vuryx7pR4/Sru1&#10;5gzYP5vjXVAGw93K+AUEQgiBs4ZSC3s1H3W+/uhuEFOlOSfgZS4n/MsKCvY2uzUTT2QOfFkY9Evo&#10;ZEw8DV5PicOMgjDbH5PH2d3tMcmqOj0hDdSm31/d3V/Qw+C+YTAgaFvBApdg48xvjJb75jaJCT8n&#10;StOIJkk+U3QqXxW7b8lxeRU6Lxmde/zwBKfnbNdB2pdgVBaOFMxiu4lAwBBDN8QGuVLIhMtFGVqb&#10;LWqXrJBa7MYjArXrth0SEFDt/vnz4RE1hhbCIbtJbOv99atR/NChi0j1V/l0iJzrDYal8ImO6hQk&#10;xXeIYGtn+Ds2J5BjYjZiXlcvoIRnKRyQc3SU09B7J3/k+Cb8bsudOrOwq4swrTUdmwTehGKuwBaO&#10;BmtMydbHUWKhwqZChsrER/LjLOq9p+rx+w9MLfz/bgqDpDN7Tu09B2yDWVm6ZcfDMHp3FOxQz+Dg&#10;QlZCbJuWP45Tm/lSUbFPq8Ml2ORcOQq7p2B8ulQcBaDxxSxJkJrEZaK5VPCeI9TyscSrbAdeFfMr&#10;ncWBTB3K79OaWloK79y7J5koE9/bB1D79omqpRevOMg0woah4cKCTC3GWNQ+qOyGKyi1hHozy9Cx&#10;sJAMVzl+C+LwhwaGpVRwn107giJvWEhD1y0qAYWTC8ZSzPs3YvE7VkNVWIh6KV5oEmPoWWTFa/P2&#10;PLhMwOQtcXJzr+1UfJaZOSVPkSU8+unwjar1GGzSg5rPf+Z+GVhyQJUOEFfAuKLflhYBO464qJae&#10;I24b3+efrEF6Y7Q4bC2nyhbWQfTVKUy9Lp0VUEyUBWRA99HP3K7QmUtI1Uo3myhQAl3PRTOamHjQ&#10;6bJpLG1n96R/50tXsqEpL8jyoFC8g1arqlbFEjUWH+fg75958fPDO85NASc4DzTqPw3YmsCBUENQ&#10;5pdArSQhyA9dQ0PPfbvisGk0KLKNbXf+l8gxVwW6QqdTUQ/H1fCvoOi8s2h60mdPVIzb3P1ypcVB&#10;8wlJ2rA6N+t48n6FT8HzW8cwcQFBzEBfZh+to0k5akIHB4evnY6y9bCCLyNmmxAOmLFbsoHOqLEz&#10;yJhtwtcgF5Azx76/nkjgYLO6yrh9+zPNui0c8qQ5dLlI1PpjU7QLMi0u/qDtFgyL+dMJCfBzhndd&#10;L2ECGjOoubfrETKBkcPjTJzvWSLUU4q//r6XBkrftPUQ8SesoPycbCO574bNf9uvicgtkndgRSES&#10;CFGo/E1pletnvBxKk7RtdwvzA5YMfmk7jnqBCBnxcHARXm3IqdHMAX2f5uOeuZh29B2up34iQ8+e&#10;eUV0CvwqwjbRydlg7fZQrFnfb6tBPz8g1k55qdWvKwN9+pDzWrSj+8lewy7B3D6z+UsrPMtwOw3o&#10;0OIhBCl7LuNga/bBM0t6aJpx+U3WAfEdOJyJmz1PU0d0Supv+iSnc24xxZC7LbbbUXd9pnihwbzt&#10;a6vnShSOf63/yd1T7K1JNJ0CHYsktiSaeQ5dRJRrCx8+dFY7fKIPDu9L/apXC9HnP9LqXjA/WjFT&#10;uiUMDj4+YeFty3pm8LoTTPI5mC/ntpJyBTabiJ3eO0VFHUNAnm3D2YFVrVUTsJZ+OTBU47owkpB+&#10;GqAHqYytIp1hqJBCGViGjf0YTL8EuoMQs788pC98vB2s1xC17Ex7fhz5FJ/n/lV577RBIWZk02Cy&#10;CIB8CJNb6HsjUvATxEuoF/jTWraVbWFmdr5lvYGasMAJx1Zd3M3a9GlSzBqt3ldjeNbzBpcXYZTp&#10;WgoFvc5fEiYjoIwPgEG6BU0iMTc3d86uoOsLAFo9Ynsxpk5jAGDNweSEBQIWKgXvqcTWCAE4psIa&#10;sp2070jgTjNBDM+iAnuJJqtpBai0qQBtHVpa9/C6l4cVN5M4gwMxKg55zDuTo4a4A5iFLmjBXrcA&#10;J8tXPn7+d79Imh+EYkSaA1uIGtEEKfYFoOk72MkeEBaElDRxSOBoma9BMJLg4roEY++CGC+DXzqM&#10;U1P40DIQG1OVQKC70KzGFJ96hPo6FPhJ7gi39FikJl3Me6LBRKf5fV1yeLbDxHjJNpsDtsLDFp3y&#10;jyHJFbYXuEs0ohHfDnxEOJysIheAQjoUjh9nX0upLpQG7iZWDSu0Ef6VcRw4208gs7YD23gmdvfS&#10;378/5Asxp+04SPHuv3X+eNVN4LdJcTWx2UkyNOacV+YUe0fHLrySY6Lp2xq/hKcRGiuCRKiLzMd0&#10;YTfvPz0zngmTvemVDmJqUWMoGXVQK3om5Sr6EPofsRBqZ1qbvDzASAmE5kVDSjOJE5dNTJpwFlDs&#10;HDwLSXuPLWdbuID9ZGZ/vwxCIfvOydHR4445w1/W9cAmcu4kK0d+NzgDqEhFUVJ7VFld4Gu/68EJ&#10;QssA2puGppwhAPPF6B+ZHQH4WDLkZJsEzjgZWk0gKhzo0wGYTJjbDPK/P5cNIflHx9rpN7zsxK2S&#10;KZdiCOVAGx3zMadmjt22gtNSCrD/iVDXPu/2+iedZ4l8fAvCVWS0MWFwOgOWmcxhGSJPrKCQACms&#10;ydjM0iwgJtbgO3yxLfB+6kQCKUQl4zX3BvtAcc/OxZZYdH7IC/cF0QC6D4qm3MK5jXllDkdw6tXs&#10;CgSO+JOZoMQ/BHe1dfcldP3TD06jkghCQpnFkpyY+W0T9A60lC7Kaa/LQn/hJT9OIaK3Unz54KeG&#10;hikq6QiKF4krIFO8hycqQPyg9fyrKaFNOXL+l96+ruV9+n6lfy5IQOcOY7gAwZQv/L+ZEcMu2n0y&#10;68NDIr8PqXuyw/oAdmuY4QCUMgIrO83zy9P370EkB5PR3Hypi+sqcj0BqDiUAtj5/MrMBI/UIzfX&#10;NFBR/NllFl3nrzmsW4lI4tE1Co3VU+BiHpJz+xqKsFHRqnb/alRexLxFaXdM7AkThFehLl6jl3+K&#10;t0CaPGk5eBOVmacZ9/eD2oNLnZthvQKcin4yHV3f/unV2wiQxS52tSu0wwJa9yyqF/y4wcGpDtA0&#10;O+fDIpd8tVT+BRh2VgN5eKh61lFwAB2fvGcEMYPiUWhPQYCqwsjs/PKpTMz4O2SDRCJFDI+J4Ha1&#10;E1pkZGQMtUBwrqWQlEdFsUGcOAHXWoFdr0ogrJ5LoB+bcQSKzsg2GcDfTlQKGUSxvb5yrTjOS9k3&#10;8xsURmfEs2d6unuDz2wXt4+Tx6FTqw3bAL3dcOzaLBbrlVsBPqrPiKETPR19EJV9R79RKDAH7/tF&#10;6iuo9fDttwlBJFy/4I5IGlEj/PVnKBWqFAh0aV1jc0qP9z8lwzQeg0Rn6x0eXvKy1sN0wlBHEpPQ&#10;ZnMPMVGl26MXdA/OLjU5x0LpxHEZKW6eIRbLj+fS+YNOpWCB2q1rzTKeRPE8zl2URuRkciKnFcx0&#10;6lCgXwItjKpB9cCjkfmqHQIxmTZYtShtdS9JQTiRwwBNBZ+VT5yYxvBMfQQKUe0pXTSJfAeZ3pYA&#10;CrOe6LYIF+hqcuaTK+0QxJkOSuiityJm0H3S0gW6WozJpfaNCY4QM+sKNvwo/ZyRlTy0gTyuXTt3&#10;7gTenelG5rzQOdgSEjExFYbMsN9ZN1XNyzOsSj2esA0MwIywDgwyXoh0gSVC8D8Z/mtgCuGi4QnA&#10;jFwX2uCMXVkyq0n68f7Hjcx9hX9Gj7LYl1MheG/yDY71WueZeiaxxDkdQ0Ts4Hi96yCXrJ39Lsz5&#10;xvKuoXgReYxutsIRcT/Z/d7C44KJ30wYGCyyyGa8rpiIKLA5IKCrzIobdynjLIN1lBfoFs1/E+mZ&#10;yl8JG4C97O+qKGsicJaU2qP0MFy9naaOmEdFhdvJdEdem/12Mx81/x9b7ePhiX3/y2nwOCLC2vJK&#10;BBEkwG28I94uG0m5AX1Uj9f/RvwrtDzsiJb/fuTjWoowhgkIjExlRRxxCDJx/8vpCnNymhxmomVI&#10;gMPCw119//jSukJ4vtGfYoj2mL3OxPMtXziGjiw3Wkpcwq/LaCuroN1D6xsaNaIYauNkNsTqMzp6&#10;1RTKvTWz2aTvYbdpG10cGlJ675wv6fM2XEuRhf9thuT2A6/Q/mjNhIMJuZR19NqcEXTv1svEEnHI&#10;ckCcdtuBixvgLUELsMyWqwtraJlfP0BcJ+JwQvNlGMHsqCgkgfxwxlwN/YZWT5plhPTPozXF2hrd&#10;iPHV21TbkWCZbtHdIHbcztzttypgzg8LM8tfH+yYAHIg1lZy2QiM5/qhbep/jPtFxcUCV4RZNk/l&#10;wuYgQXjSeoQhK9S1z+bY3ulM/P3rHBMhiDKttP3z5z8EFki5sxk8riOG8NmKxHt/MLVkJYlNpK7q&#10;F8j9YIvTSNp+9Nl8R8YqXyaKDNF4QsOE3tgB4r3v1In7OfLr6jVTrJ6AC/okpC2b8EKCex+hhu+L&#10;SkiRB+SlpbwgOI7h6gI5erCd4oWh01JljR6NGMTzeV3ZzfuA783/75OwYC/X7/DARI5JHHnyDkML&#10;qxbm53f8Vq33f/A/VKNmvxZJsuCCMKllylZSSypZVPiIybnHZG6IR7ymjkGdhnne0VvwKmg3oIxw&#10;R0kiicFWjYFWeNE3KRQ+qCihBUT+1ozWBUCio8hiuM3gxRTsTsdbcHc0oeHjRtZcl7cRYlIHlBgc&#10;tLU0cDW5Br1Rv38bQ+/FEaqH31c7Y9JmBUatkvB1u7pFZ+0zL80dmRiFK627wRRHNg5dAsPYEqf2&#10;MlFuv6b/HptZ5Pleeoos4Pq5aRYMUI4vzF5iJCxnh9+/FC2GYL60RbVZkDjv6XCksADIAeJeeT+V&#10;iWxDeBBkQXJqL+u6b0b9dYQ7whBZs+13T3EdbKRf8bJw1Zqpg2dRLjEbdwGnz0lTdlpsziUiHKyl&#10;/Prij1WfzeaQidzPhPTBbDvC8TKBNikWkOHEhIWGBhwW/Whx8ZDRIRT/zpgeO3l1Tna/QZ7zFsoL&#10;tKSZPEkbWeaiBldyQCPKUsrDhMCqvn7iJiMLinBpJBF0uy4Iwyq7a9fPvLQ9F/QwtiNMkz+7vFjI&#10;NoiXUGHUy+Z876kwOIMEUCubWRW9Rr24LubUT5ugtxjVpbw1qlh1npjHBEhthtM3rtruh0StWPqW&#10;GOKzPk0C6CqDBDg81HL+1C2aMCKMGmRfjX7wX/9CZJ/9tPJtoJqXSEiiDz9fNEG7rJReeMUmD+Mu&#10;0A4YXyZ0am/wYyf4CyMiR2yKiP3qb1JSEguarwQQjt2XIAUo43zp2SBV6SYN/WeI4I7EwUFkawKA&#10;wX5U5FeSNTohAmr9Wan+w1KmAoXfT8Ds1Ce5dald7xi3cb2Imu9/rLN5HR/xx1hJa378HH8Iq56d&#10;9T3SDAOIvUUDNZ+ll04yI446yQgPbwsrv8OZyv8eTIIy6nji4CC8QyXR01QOwja6GqCK1+8Cphxf&#10;hbnb+Q+di675kZq3KnEbGxzjNBMk0RIbQroyxN6yixnJ/k6NMoHxRpKUNeQ23EolbH8eVfKLOgvi&#10;0g1cP07FUfNOPQgby5BDztXukzzvarciCxFHGrIQ6qaOj9oa8L/2csXhg12mhhbC/mfprjdtBdh+&#10;MGjdZgAtr2jBCVoBtogb+LWVti9T+0SR5xGrqqyxDy/AUrcS9zPyDd44WzDzHkFADBCBNgDWZNRc&#10;Ef4JTQROIL+o96fpDy8kI6eEEEo/GnNSREBKwRR3P3XmHmbZmtXGfatD42AYcQS4OSA6EnrdPll9&#10;ap+hPojwqlq0GFzy8CgwQzDpx4iuN9O/cYxAQEOitkA8+W04GVkLG/Gwmz3hfrcxMNhnglIDhXVI&#10;MfmM0oiTePj9awuzGbspsvDApZPyBgPVD6AVRepeFM/H3ima9euTQKTm1hUX73aHsnjf3CaH8p8X&#10;IGLkGyUv3zDL+PX+iotQq0bqgvyXkcq4qN3l/djvC6U4lRgHy+t0So6QMolbzsMYqP0uhTLYnp8b&#10;RhdeYNJPNrltF6hQWBX/1C1UkrJ9JeWqre3n04AxMIZOpqjc7BB8r5v5XBvW9RkMAdjh9rP0TBx5&#10;RqCWdxiy8U86AFea4hjjJQwEUZWf+4OjKhkT8A1PS/frTGCu3PFNbm7rfaKOLrUa5Njz0nKsQpHW&#10;T9SHCOk2vU8T/XhvZ7AAIIFa7D3aQDpvTmczrCv7Caf1hcrCldjK02LyHB/7j2wiJVe+Mh4dEMzW&#10;h7DOkUr0B8zPjIClV2Rr3ip6aoIFSzqTuAcszS+2P5ws/scsjIw4nCX9j+3+kVjjWSyLSqmp6WkD&#10;vR3FCwIo+qJT/KEhaMdrzqxw2At97roDEFk6TibTHfKAH0gVKqit/ZZwFW51Hobo6TdYDqz4XTjQ&#10;7SvOSbn6GvZV9b3B0HPIyFfGrVvPQQZ6A5T3ubLSkQCEX3btf52JCwajRDZSZEekrDjCUNC+w8Mj&#10;rhPUzMfQV0MoI91z57ai1/zR1ankt9rR3VdnInr3olHosck58h1apTNLHjii2ByyQ9cLFHbEGDBT&#10;ekZHJ4GHh+c1rmEPXNIKK+xHMTPbHFRZtWeegpOt7bVzwWTaiooaw76gz3un75d848BW5D96uQ8/&#10;uhdWS5tnvvaoUEg7VbTmXiX4uB05JCXnL6A5g+/O0ajFjuMqZOd15N35wkYBDWHdhPGPAyQ2PcUL&#10;EIar/A8J7lpgoKkoMFwbEqoRQ19+3iCKtK+RM1/GhzAgJkwvitVFs6sWwqxkxyt5UE6E7Khj0Eeh&#10;eQrr/wBB0wojYQF4Ji7ITW04yIlvpg8KoYT33DDQ+WFiofp4OY/AKfyMmDcdBrNMhcMrse90mY0D&#10;+tnTCesBm8MuWKVPRH/3Q+pqfR8Uh/bJc+RDMPxPEmzlDnZ2OeryigoTRBDQXZqVyoL3LOv+4Cuo&#10;HqLXYw5IXoI9mjUSMB79rHTXuiZkgGu4oKkVeeGHCNOe6IfxVx93cXBEslak25869cVq/rA2jnu8&#10;jN27Pa7mz1EKhSx/HEYVgISKHHUUjtyZ9gjUoI8xrr0NJU0MMZ3M8Bv97CN+FbSuDWZ3aDt0bGVg&#10;OEseVBjUoN8YNbhDGumSKL5oXndKrd3zt+5pDpZnPPFJ1MFb+gqcd17XR3G4FcqlCkiZB7fWq/A3&#10;b8YqCJeygkKeArFq0WzaVEjOoTYnpUnXr18fJT5wE1LpuVWPR8mRnfM13/7Yj4PaPV7RPapOkUUY&#10;zQOwYiLHnJJxFhcwCUwP82S7Iel0lwfvJpSxXNk0Jt17RpvqOKGEOsGRg6I2GQvKCaYQHg5xjRCX&#10;nd6d4E0H+XF21ZPhxVYTDooXptilhwTcN9+6t9ZFq+PCo1R0qU6u9Z/Qnjbs0IaiUrYsyfehcdru&#10;49kI7z579Oqn8h0l3Q70csmnhWb9exLk4YFY7iRtfLhXOofI3b/anbAKLE9oo7ndFEFbC+/wGWYM&#10;a3OkoaYnbee3T4fzojf2M6mlvRk+7B5/J+GEDqeHEJ1YF1LaoakOrqT8JpXktm3bUojPLZzIQsga&#10;+WhO3PciPbOUUAvUvJpwcAyzE5Z8mnsMpU8mQWsUL2I5P4S9cMejV9ebzoZ+TaTxABomJSgvQBy6&#10;7Tl6qyGApo40TwosG/S/ujH1BkbxBG1ZI//106IKBKSKUmDAP7ER0vRRBx12+cyxJYEUjaODHOAu&#10;RpXwJ+hvYe2PQ1iEEtP6rQLEAkNDuYLUIKX8DZAjGSLhNBdtVqXCFfd78U9cCsmQ++NxFi48R8XQ&#10;MA+3yCC6hV4uOrV6H1nKhRtzPyzR4BiZKNUoXObLck/cg/4tQ0/0/Xl6aDbNRNEiLlpM0v6JJtUN&#10;YpPsLhr0viDpnGCFXO5PwAae6fv+/bskpq2N+fTZZLYSN0SdQ8WCYWBoaF9J+NsRZWbMhJjHwJrz&#10;/Voay+L+zxbDI+wa7TzoyvxftgFn9JjQoj9zKzGi7Dt6q6yrxvBIBN5G6laW2PjlRiNUOmi3EKP+&#10;Btyc8rTgvmoROb6YEQ5C4owfc2JnlUOlt3YDy1uDuI1MHwLw2J/SsfFbsRNngXyHdrCgTRlMajo4&#10;/YAHuyUKutmy9THPEt5oSUKX/1Ulpzwew3xuScoLcitu221PKTL/Tw+Dm75TFqZXfXpDmlHk7Fut&#10;solNcQblP1FCaWhyOYWNYP8NXO70qN6Dkwm3PlyGzj9Hb1a37DlIrI+kTRV9hYPny23XN2Fc97Jb&#10;XuFE4Urvdi4uRNECtIXPH8BV+NLpE0d89ch41WCHeyHmKusSYzhq85PgBN/+SsTgPo1rzs6viAu5&#10;py9BiZl492xe5oJbvls4N23zUoIii4B4oCDnfwo2UnBtTs/rRwCYJC2zxEWkFX3wkaCmSDvhWUiJ&#10;B1Dk79+259cOTkh4Hv8eygViqiOqBFDqcgPyjDD1HOb0S8jAtRNT7W30v5ocApkL4SjbRvGC4bvW&#10;8LYV6RmWlc3UuxcfVEL2wepg/2ZvTlrCKa6hnEZI1uboUoYHQVfwQ/pWw1uo8jPdmaZInPKI5PGT&#10;IvCRI2fz7mNJqyj2GI9yhSMHnbGpB0wkNTbnPKKOzLQeJyiRFRjHoqRcu4FIw4QBNdQ23m90HsUa&#10;0QHBIma7TJjt5khj0Xn4ibuSCAtP1ANqoG+vlOs3Q4Amg6ZzEXBPoMU3xUxGfp38cptSKboHvhCb&#10;HHp0MzDNs4co1/l3Xf1kdz5hX94pGu/py4glznjpQTcZt+hLupUBzJPltviiaBdjhMMDu9iSftSF&#10;3Wk7uJ0pazl7AnPQjvUO6yDM5zkTh6q8UJbGyPLa5nUpDb+JaSw5Op+c8TXMUz8TetVNLohe44P7&#10;FjJLwZ+ujdgvt1GqMYSOsfDuyCkTaGX5QHR40Ll0xCk8u5ISShp/5ZaVLGqt8e+CjwXJwW50lBfL&#10;JY/LPbm7WbDWY6g5LSgYDFJUlLMng0Iv/6veztweAg25Y92/nqHWRg/fLb5AQ2F9D3vRotVJqCqX&#10;kIzTq1Z8yCP8yY8ICv9OcqLFmQJVOpKx51FLZ6FNGBPcZLysizBn6woGUy80AsLyQdItESsFQNlH&#10;XLKQ8i7jINd6Ofv/03osZx9zI+R2Z/QeN3pfTHaSgEBJ2nXXyj2+jakudTZAmtvgB7Y4KXX9NN7c&#10;qWvlzx48+GEGb18NSW5y7c2YRvk9GxnvHNxphRwX9TTK5H8nH3xY3VU8IbQczV9Jc4mI1GHYcLog&#10;/NH7I8RcyPj1GeLnBKUZIfoqca+R8/x0WiaEX7NvUSW8HF1P0YZ81QsoUSQjJYbU796S27OI6QRI&#10;ahJdmUtqbc6lfs8T0Zgt9x2D65SDfXpudOzdDD2ViWQKQTFAektOcMI4pa+S5mnghv9N5agXeyWf&#10;9tGJwyRAT3qYs1CeH6f+RgYqoAnH8L2++5IKbpX4bf1z33qrFv3t2N/0+3t0BWn9tEUVEuhk6wZe&#10;MddbeqTuf01AAPnoiSzMp/k/DXZPDmxjCHX+MctMGGHSRrUlannsQSB/I3V+Mqvp/7K5W12JSNji&#10;i55e0ofzYSLBfknpVHIi6etd7thAUyqxbZvXxj2Ito40u73EZSRLfQR1UDCGNKQd3cXLlPP2LjJJ&#10;riBs7TcOfwbn7gAk+gOa+KkTH8z/L29z9Lbnt4MeQULEVS/38+OSUQT0EguN+2P62aEWpGtq8fsW&#10;6XXFRF8LveCDmrF8M8WrAEPgRoZ/TuPgQ5HtlGpQH2eo/8+oBJLq6cLjz8R1uI19fbRUul4r7iZj&#10;SsCy04cj57/uKsz83CFnT1Rt+OaRU9O0BjX0NxTnZhniLrcRbQ9dwwT6sFF2FmSsXrIs8krWJs0U&#10;mPZhQK3oR7xwNCQCPLkLp48CXCEpe4PLd3Gs9sERQU4E/VsSEJJXe1O1KBCEeiSSDWwFD6/4bTVD&#10;R4OPk4kP0cj45Ryc428tfn/Yt2WNRvJpjBVgIo26y2zY7y0sGo8Z2go9C99h3aEklea6mEdeCN1/&#10;/K1oiZxW3FYzPHTIGQ4eFhYDKU5CQgXoC8rinRBqxH1//U2YPTTXEzY5OW1hetKoEzNR16cJASda&#10;YyiABClPseN04iBcvM2ovsjITYvqa+MWFzfSPrWJcgWvQIa4cXDSBQMxFQhFl97Eex0j7Qo3Dr/n&#10;50X6JZ0SlwvEgbjJcJVHHg0tuB3821FMyEhDdXQKQsBPief/cabOIWfiiE2GQln3lMGYRkteSene&#10;HlpcAulRQTnqdHf4O428S+TcLW/vVoact6t04zBG9NKTC5FmCVvNsA1lVVTu/09K/D9OdgbA5pE6&#10;Aowl4W75oxt55ji+je+dHB9p/WmZ8nwgeN5cHWqptpx9o5zWFX3/eMaErPtlT3wSOE4pMxMLFoan&#10;dNRCehQVVWgkJCxoi0hfWkKbXSe02ZcPaGOG0DZLGp+w3DDfBItnFv8r0+1hoF8kSJhj5TS5cDSV&#10;bqfIFi5M6lpj9909XDj9824qFaUEzkHqb0b/64Z/DmWgI/D3X/4hprxa+RNX71QbogGKmL9uV2rS&#10;aGkIZcjI/29bYQGLXu+FT+szxPUJQjHcV7skatRprmx24la/LVpU1AyXf0yvjLT0u8jd//ZojyLK&#10;OsJH7QeJRmyEt+bawDbFPv3pqACb0cxy9NYfG8zsUIGBJNvu8pG2q6no+d4LPQ6gqTEy9eBjQT1U&#10;7F8Y9mm2TjgSh7vPjpe8FSv+qm+K1LdO8zEDSZpwkvm1Tx/J2JtZ+sHcrlUGPfsNWwl4EAdFL+4/&#10;eotP2afUNMEnIR5FTBkxCq13qG7Ou2Yno2EhYht+l2OfpnESourrQE5DGSO0WO+7KGmhPAvN6D7m&#10;RjAmEOaTB79FM4RPV/TYbcjX38iUUyY5B+qnjwXnSS8rvPzLlKIT7pj4GC+Uy2N2zN+qZXfA8EMS&#10;UeHM+y6cDFIrnttQH2XosikW3crjyG2sC8OJ5DYSMOvqIGQc7Eo0HSYERu9gjrRmtmnQjXwco+XQ&#10;1H2BhzAbxP09HFWREm+T273+nM6FhOg/RBvBQJ90RPHQ9SllIxMT7jycKhY+zXBr2cn1mdmEK6Fn&#10;ZhvH1G8cHTZPeHAYJVX/6u+d6sgzImNmXhBCESeOGXEojeE6qsWZLCKbgTduDl89HFDtzQFq+Sy4&#10;ZHvwiIZathhu8BmOCGw/vy2R1pIEujORcJS3Dwq85eXLISYnjXktfFxIIbYMfTtLTSDZmSOEAP1N&#10;weUYCoqQy3Pq2oczkQBMywKInP1/tyhYIjdReLhg2Sxrv6sURh9CcMuFuNjwafpIZpMcQ0j59Rmn&#10;FT697XHRquvSXNuwfoIMYHBzQAkCsmJd2mmF34PqhyMd+GNQlkiXtrcv+gfOPiGjcYgQkrcPCxz3&#10;pHbeSYxjnfx/9rjnGHWSSLrNWVumYF0ARVopgOHzqYEua8BmLY/MGfaDrX7elSKLSaGHdh69lXwa&#10;esuIltYc80nmf4MtqolBLnRLKp3M3JIvtKeSp+pVRkkV/EwL3jjd/heX19+UzJh0QlbH7A//IB6p&#10;pI7nfVpJA4lys4vEua0JH/q/TvTbJqzUjcTE3eQQOrYUu82hSbvHRa/R64xbmxWdN3P/QtDXSsqW&#10;PkFfPk3Mta1V+X1NyIesdlrKb9KsC/wHNS+ZQiFD3UXdSj8sLe0cl8axSEunlkE1P1FHcSISN8I9&#10;/lyT8VdWwouHy3ITComLX9ZryRi9F8ceU94D+fzYCfZ1/8cO4LN/QvZE4/ctyy0/yadptLy9p9bI&#10;Un9Aud//6WL6gci2q2kqvx8yWESyEGr/Yh5K27qDJXJ1mjZSKiBcnNZv29SQSAtH9M3AkdfLHZQT&#10;w9Ki3u2LCxmWLZOvq72pGhLdJpsuy6zbNkwcfhSvY/eY09RvD5FSHho2DBHx1cbC3cNHCqV9rYu8&#10;HDBrRq/IaT9Cfi06i+LhOXNnqujHouy4SyJn+2oSTNDpTLzI02Yop+i3bbuGA5/T/xI3VelkNxet&#10;XjgdFsQHpaPNmdaep2+nEBy1LGmEuFDr60RFCOJElwzeDc+9Ga9iMPq/Ip5/Ak9ISR3dZHJ8yjjS&#10;ILns3rY3XzQzd3GgZfFfZ1d2tpSYZoDG1iwDHEy6T+v21r31M9PTkgmV6yc8qVIC0IJ7cutDwU6X&#10;YAhKrSIl32sZaLRIww4p1U6dU+caH/5w2p02wvsHWY1kRNV6jPbgvfgzguR02Cz2dnCt30sBIbD0&#10;r4B0CiKObzCh7HCgad4eIi3eH+D5DBM83wZsOZd/t6tY6ai3zjsVdCRE8lpxQezoduNQUhqn9yX+&#10;GtHuQz4FD5jBZQbE7P93e76oBpoZaOqclMmUINiIgFrEehM/TOwFRe4jLNRVn018z+N4hSnRpmTg&#10;ScG6lSnaM9b7lcHMb9t1tIFEEbmyrl2/ho8gchKK5X88Aot5Od4fanNYrDqekr5VkJ3D+uOrsUo9&#10;//EbuTOYnu+JVncYXtnav94hAgt1mlzJumKSC4VoXw4S2B9pC2jmh1Cov+vq/1Tktzbq8x1d5oEi&#10;kSH6x+edzvepb0qibzYRA2m2j7JT79SsU1BgYHVdYLKJw0Bzxj5GSjVpxaT+NpKsHX9yCnnVk0P4&#10;DIdqvxCUlR1+/cbeteRFkXaXrQfaSRfgSsosGrzgESODZr6iTaYNaUrjny9OlvxQ+QLuzwj9lvTK&#10;8Yk/JsOzSbstniAJbEv894MBZKSWc+AwJwoCJVB0QD15j1Nxxtx7cIH76gh9bmjt8kwQYvtupdv3&#10;76axrJPvtMqWQ4WC/+XTtPuvX86Hn+9awzp5HAjz8ubNYnMrJh0ObF5HJEgCDUPV3fY/+p9BD5hN&#10;toUjh9AoGMDaWl1dvU9uKIPUH0/wEPv1QsWsPZofHbshV2UCybOQDHCZEHKjX2MRufdt5WrdOFAW&#10;s3HVmYbU+QtLT53UUm/0mxErp66nJET1/+kur85hkXe/jJN06qHzTOSejVJEut+xHHicvpMaGbzn&#10;+FKja//ruPrhpbl2enux9bv2cOzqFDpNq5lkbGOxToKun7mxrVE/jprakW2M+fZOnjVPvHbuirQX&#10;O/hmauzWZRn2gvnb2WJfaD+56DfM5dhfSnVP3RZTX6Dd+esLMaC9Obv/A5Ku6zpz+bW0mIh5yPGU&#10;gmqFycNdB9AUmZjFp6z4kBN2Oc87imbrgryucyre+Dx24iGnEMbWuWYoR24tVdHRyVlxmfvkTrrX&#10;MJItrcoU4VX4sfY2w8S+umIcwUibKe1b1fsG/BfrLgEBw4eBgedvdBkDyRv+eCe3R/EhGWpsh9na&#10;8yiC3FvL7iSWl5/khbScWacbup5eUDNV+0O8HRmS9A5HlOKMwU+LM2OxKXHshjAJvRWsSTZPcNFX&#10;tpwQclhN+1Yfe9Wjs7au1iFtD44FAe1u0QT7Ar/fbDaUiagHH9ko14/iwMpPVhsy5JN5Z2nIfE5W&#10;m3oc3Obk5ORpKynqojMEzb2hE0a8q2iT6fYx7u3vlwg2Xb53Fb7459Z894DRs+g4jqI7/eIO+lwQ&#10;IVVlaTit0+A+XRQONzrINnXN6OHVN2h7dTjVp4VMV7Ce4+jM7KxKSRqmG9U5xiSfLi4udv1Zf10Q&#10;8xIa+L3pHLpKN1yeFTVa4UsAukzQ8t4ZOkJNzv5i4b1fdjzToITvvlVcSkyKlxH4W+51N3ZiuNh3&#10;9sv5s/zvqjPOHGI6JLvz9Ni/++N4yHkHlizJmtraL1tE9bl5eePzcWScEdT2YltdxnqRrGRpeCoY&#10;gx6tEq97idom8lRM9893wtEa6jYaSr/LfFkFBZUnnJcW8zHvw74EE2GsuyRT37ZFYIjd2rIhoBL9&#10;LD2rOuSbVMEZiZ/NnfV11VG6cZgRvLjlvv6JEycMcaIbypmID+4Wpz5yJt+K4hmfHukiB4Khdjys&#10;tjDpu8IX25f20ne5CXBEKtQcZiCfyo7OTMU4IOsZneqzBfEjmhOZE9q8Yk3OjstQ09oP9UPmVU4Y&#10;vqCEMxCiMLY3BhMumWntVl7Xec45RKHmXE+O+9tNJ/fotU+k5I6AGmweGwwQleNaWWOz0jchYW8K&#10;+YGhrfY50fGYlUql4nfCxCRaE4p2u6BpZDMaTE9wxe+xZ6OovH8vXIdzN069Q+0Z4f1UTjcsHBNy&#10;1wxtvwuiKACzOe7SH58K6YvfAUJkb1HzVriiMPOc83d/f2zn29PR/Xooo7pKvq0XAYWSAafOsM0O&#10;VoWFPq96UD7sGRnCyQLnP335Uvu9vr7yfLMcpIFda5xu3f58f0uNyzMM65XC4TZ5vn1mZmto7aVU&#10;yPV11gdawB+pBde7fH9u41VMsw4IlTiyky7O5MTPjV6yynwPOdeBAZ7CkOiRop471mDldsvdXk9L&#10;a2+UzmX1XjbWBYyc8Z5K8fG3rbBU+Zel6YJbVeHi0wTZkb+B4yi8uyb7h+zklmzer2N+vP9cOhPH&#10;UXR/uB6q1AFrIXEj8K/GFfNmjMU+LxhUmHvId1SNwYdL9flA2YW0VfDLbTzkCCFXQolu1QwsDdJF&#10;zdUO/Ns33irjtN6hzam4BZss9x5dFOoaCdqy+1aRLFu3muiOLeasWIOlihXQwahNo6WTJbLvVL/t&#10;tJt0Cwaan32SE9pHtVI/APP3tPd++dXbXFs9d72syxYH0RljEIZMMf9K6tp0Ttu1si9iGPVzd1rs&#10;ew+H5BRYvRVcE2vHtQ4987quMvHksF3Mpkod3DZw8ezPxtVr10psWXWk8rnUHOd9fQuLpGsar15R&#10;kwW/GSln0sabLgOug/xTAx/rhoRwGMLzz+/JtLlTR6nVUNB3eBs7YS3aYsFiyImu7cBv8RBCcb+f&#10;CFYMIV5ZFeP0dlh+Lu/2jkNtWSvOkJTi9QPToceeYF1ouEH+yDy7PTUEjqn9RU17ojOwwIKpOfrw&#10;zGpYxN+5vH+N1bIVD8HGHuXAH5x6hEsw2F61m3qVGYtiKxVdXHw3Bh3rHTsWo/ekPgYbohy/URUH&#10;4MyfwYh871zG8MqdFu8D0eFQ/iqaV4qvobFxep8VDZmRE4NhpiU/ko73g6AxZgl7uOsUlsXtTmz7&#10;2GrHodYZtkoGnRiE/tjb5Cg2w+0SOT4J+fnuqyqtjiG7Ffj5nfRANNplm2JR48APxezDKZ3In5Vb&#10;cIytGKKYwAf9gBS7bTjT92WOGbsZDTMCUO0DRRotv1mHbrjOxlJOmfPZfHy741aK9jZgJhOjgd9e&#10;P3ApLw9v3xhgKrXxPozVDBjoXI5Us4ktSPYFI+cdCcoKkWgyiQDt/DRQK6vE7PcrPvwIQH+j0UJ0&#10;CY4/KZY3KYJUK/FFEo1sDm1vh6iYQ+061FeDwcG7c380+uO4JBY8gdK4d5KDvivWxGhYr15BhVlN&#10;R5bwmx+XfPx4VjBtbn7mzZ7KLuNR4wckU030TzFkTpgZ68bt5eFh6Hp7Otmg92FoaAJ3X8NJhIxa&#10;qDAjOlpaIpsu55NcBf0qro9P01zDkupmRsaEKxLPqWeMCacUHnJ+eGUViUBSv6f0ROD/eAG+fx89&#10;aCWlAhH1Rny8qaRK/no2QQzv5kQXSvTP+i7BazJgSHj24ZORmamCeteuWqF4bIsTZZXZyW/h4jtk&#10;PCRfRBrPuEm7YsDoWhvdoHouoxVrXPa1t7S4Hq7MfqrShG7qp3eqU+MzfzoPwRUw9A2G5FiR1NOi&#10;DIKwa16hCnocA2Ox/g26KDJpeG0ZHGjud20ldL5dOODPyq3wKuc3YwKcVFaHHMFX6/ojqYVLiK0u&#10;S4FJgngW11iF02gkA8iulbtN5oRe2Z4LM+vgMWo1lIPbtTpsRVaumXW4rcH9jflrhMzSa9TpanoS&#10;4I9fIq4/qU2splopd5t23bo/d/v3BU3dTEzsvyYa9vXy9x3MuFGVfzcKN5WUsKDg9H277kTed52s&#10;65mfxBhU82naxg7UP3PZ19cbrjKBlqau2ND+OiZBQUtTElH27dmjdRg2kLBDjkDOoqcGrvyI+dMZ&#10;c5skJ8yJWPUziWnbtib/4h9/uU49sVHbnmzw1C8l8SlGPfBuzwWs24BNjm7CMlbxd5fee9FFoWfc&#10;5sT2gGHggd2b5WqRwgR+NH5ra7PptyXHaz9XzC8HRbNpp3cc+r2Ep93quVqniuHw0/9Tn3js2DEc&#10;0Hj/w89pVy/ZF6VK++/CHVoh+Gfvh6PXr1/nn9B/ior6gaqi4rfLB0yC4zFRW9NW59yNJ7x79ihE&#10;7KTeknlI8+yIs2QlTM099Y6G7lTyWlpbQxT7VrfJbXUq5w/X+X66/JhlERutQkttSJ+aNvayAfYy&#10;mRB0UEwswBITjwPAyW/YbogpV44Ybj/FncJG/413F6bXxR/iU+4PfdwSSLYcTo4qfGfewL8tU4qX&#10;Hoo2z9zMjHJphrGOtnymcHKyj5m+Zz8L1co7rgrPFN0rsJyacTRTb2Nz8zGh+EQw2XdK0zA8zQrn&#10;ZD3sgMAfcqjDHMn3JU5kukMXhSDgHRxadhQL7KCmuvreAQL1dgSURTpVP3mbtua67M+Qs4wwmKyr&#10;JVDlOE0RbtcAsMehTdXwx/vPe6ySMM/A86yyMp/2d8+BDn1yuvVduiib0XxbzY5X32cBDnwQQ7TL&#10;OpMyobImU/9QbdIvcMsWqzHoPbXCFxIKW5xA3csUr+umfSWw9apQhzme0SBh82eOsxD4pYOrjpyP&#10;dakV48uUBhVWF1JyYR2mQLre7RpBT9CqXd48z84HmOpvwI7Bot54q7jY/V7W8FoMOmZBpNt97lxT&#10;emPjWbvtElwTh9ykI4icdBnn7ZRAwREpdXeDOhRq6L7xZpyme6UyxFVXv9mtvzE22wrp+SVPA+5f&#10;+eWxiJ04diwq0nKAVczq0N19TmQWuRn60Kf6cthX+HZoIH2SxQQmxrW5Ou1UTqG3j8/h18DsqOsq&#10;6xw99alW1jAmANv1FyMXkyx813gKg4EWM5TztwZDxxJjiJyNra5nFKzmZUXub7v5ZsfCuZ/d3RlK&#10;2wM2XXbWc1jO/XK3yawhUYT9NWunjjOEP0zH1uZDLdBOw6AQ6eVFgYODHBzqcMgRzXmhJa9SfK0i&#10;CTG+p6hZWPjPOYZmvP0DgLIoK8/hx/ptUf7krOE4KtT0JzKumVuqgTtm+FZOTyvYjL9qKAaCPj4Q&#10;XbfiOkvssW2QTqYupp29gXK5Km44i8RUAoHg9Vp9Z/RDIKciDpfbWt9QxkaeB8QMdx++qGJlpU9V&#10;VdpCCBJWOAbgrLZSDbBiDJ8mZFfNiYkJDRCvW2x0QzGRPFT1ieCPqEM5AXBemcEUZaJz7px70vBJ&#10;i69eRvCCbXryyqJa48rgwED7gT9TAYmYHuiox5/ZB+O7vM0AXtu4lpbWGCLd7HpuBc7/wDSHFY1W&#10;DC8vQ0nSFREhoW8n1NTSPpFap0w1JyWm4Excxh2ryD70G9OVqbRSyeOwJb6QiuRZnIeX0lXfZZPd&#10;uhd2PNZDjpi9OFB56c0MaJm8928nV3Gfh3N/ECHXRtxarXappzUrO3t1bV7AxkAC9w0febLSUdc6&#10;257ejYFtZUpoL4wFOJGsRXPfa3KyaYPjs0ePNOtIxQNoqswLlxNGze23+pLjALdsogEGQJOTx3n8&#10;xsSOk9PxuMXFm9/xVh0GJb0P8+ucvz/qZRApKCioAStzFxHRPT/SGC6bfT5SAgpqH1uz7QJio6P/&#10;wE49tWUyQ0mNQQjHxGjAgyFO7oMDxd3epHBMCLuDkrkNovxz7IU9RbN+dHI9PT220FKf3TYuXuUX&#10;dRtY7Dmc35oesNNStm17ut7IEnLcALH5YLSDnveCbiDnZ7S2pHuixjt1+nTgXdzWVrth1mOoMTFM&#10;oJJ+1ZEMnLotcT8ch1XKamkFa+KbaEIqutcZl/WOHYYFs5fXbxdUc33AC/bLUtIRVesAhrc6SrE8&#10;m1oxGIvZzTvvluyCAjTMlRSB96sOH+cReKW64QPSOLuf8Y4xN27Hz5jbCkfsdXMrh9of0dA42FJW&#10;dpnxCN2j18T2eQTnCTVhxz/nTdJHSfLw7l2lQJwh2QzKone9edkjKKdb0dc6hoONt2EW/DkUCoyM&#10;e3Ozs8PFBAVP4Aig33mhUxISEh2aZ87wj09MhNdDjeyMmWCheMW8UqNaieuD1TnmrK6uJzNYuQkc&#10;dSmB2Imj++pSr1lAbXgefsi2yBg1wfIBPvEpdiSOK6iopNy7IwObaCk1B2elF4qE1/Rbtpzql+Ai&#10;jR/4N3ANX1jFMSSyienZpiXgf4dcwIGICTZ5NYbrdiqovOMeMwjCx7QP7lmT7QvFUZFdth72GGOR&#10;BbuY7U9SHpNzY9XPSmBSiSl+AVv/4GB+FGKLtU8GyL2wq8DII8Qu3wabRENRsxBcSPu6aGlpH+Y6&#10;9E+uLxtCSUmDCccy4wQao0iX/tF46fJl89np6S8HkL3o64kzvAL2nzncpguQKy51AgcHXLRZweJN&#10;14wskYBm8XaQ+0G28634kFFQNtj0E+GXLlwY1TqbC1ScuhEHZDoszl8Tk5cv5jQahC059/jRo+OS&#10;qEFpuSJcs2TeA6/kLYIulMLE7EPfcBLsubO5QAMWd/380nOvjcXYETbhZyOa0VracxzMH+HEHfH7&#10;qafIMRKjMFzN4Jy8S12NfPBCe0ImvQWlbpOmtnbV1norEFlz5DnbDpIE9gvTBgZBjs+BuWOgNj/+&#10;kPMuChlbgVBnZ+dngBXHW8hmgU1LoagZ+XmHEl4xuOV+/bBwEBgzwLv809jO5IBoyWd2aNy8FHoh&#10;7EblvsXFhdwjNjavdyd8K994/MePH1JPZ49Yp9aL3YuP13gI/a2WdczZPCGephhHilvi+RfExsb2&#10;n3CRUNKM6mUV7snQCPv9OAZxe6MlT0Ouy0mcn5hwiJcBrjcuksVQD20wCtW9vxssAUbVGNoM4Gjj&#10;6nWX11t+fcSJY3Uj8L14gn+Kuq8mlt7bZhcMeGIVyypeZ4wB/UdOxQz8xwgcPeotFfa1h+agxeuU&#10;Bv9DzZGYhz2Zkno/lv9b8mlIHa6ntju+tdF4uFwechxdRuyV4rDCLNFwHCVaETd9Lt6Sa1ejULJd&#10;ZJwhJlbWzHgrKqJxLAxVpU1vHapNvCodww5b2H7b6G7mbKKj5jTYzFAnLPEUI7bweb6KKH+aYQJy&#10;SBp8gvAEj0w47Y2dfZJVMHOwm1+58ktwxAg6D85dNizMJh7MM2fe5b0zJiGEBByIYU6CIji6MF3F&#10;ASeyRaNjekTbvQxzca2gEjsLYELxuQ3h1vPTIyFhV1vawEYS6rL3komJ6Q8DEXPe8aE2if379inh&#10;VJLKvB6V9RFVvW4Ls3WrevcKyVED6FlhGxeTFSPjNn2emPgezd7HwMbqb3V1yvjSXzcYK+LJpmaX&#10;dntdX1OjRO8oBfa7FwfssuGtnE9OTY3Ym5QKELLbwoxaGVWKPfqbDMAH9HlO//2g05hYQJyyUO7c&#10;w3Fi9ciP4rXmRt/pGy3eeXEqMi4soemmzfyKdtKsC+yvwyTmkQtJjol5zH2PjczI2gpjeTtYo0nk&#10;GgvvfBddHFNFzu3BIV28C0iVlTi+cKaokQxqa2pszMN8Y2cczeIPosWoa8eRBWLnQ3X3m3nbNvfi&#10;NBQ3p//gWAxX/pCKu/fvv9sqKiKA00yKccLlTRSaH1DELdI5Tj2JZ5MrbFfS4w+ZgsulPR9oQ3DW&#10;ET+Dg2QeJnzlOnhQIxedMexo664h1R5N7m5MB4ppQEPqFDBTB1xSruvC9k6hQ/QdDNHstBs2BGGS&#10;hst68xBUc9YmJhPxhOEhO7OzYNh8CwPDLwwQYpnurmB606zuB0nGn9w1OgOPyZBy9uslGu/D1urq&#10;D42wajt0EZipUcZoR0QwKGxGWxDmkT7yQzAw6nhStpLiRf3A/uP3R6EHTMqzSfld53TKfK8LP2wZ&#10;6L7jP+/Snb4HsCZeSu42iWflzUOG2Ve7N+L82tbEL2g2aEN5RqoMgyddf9h84a7rOE6rE0ear1lR&#10;dsFccZbL87JeGDj2/+EJ7xiTeLab+s1WM/mg5/30KIoJFYErfxtxyEAVfbGTxgBZr18LrgVg1XDk&#10;9ZNDnqTaz6hUXZtr7CAVQliapNjYED9zMRz8fBf8DamXNpRtzNxqZjxw5dvqpaIhQaAx9Db9Krh3&#10;79QMkp/4+tz7sjvP44TlNXC5hXS6RaC54QxcaBGfPn8OLi0pefpD8h24tyH0MYqK1g3cmHVk/n1Y&#10;EKX36kN2550ld5ThmNIoF5o636NOIUV8caQmCPrIduXk4UOHvCdw6tA597K3MV7XPZIK7dauxy57&#10;Ss2R8O55L3by4HG6VYcd+jQNn9l9j2c65Gj//v0rn71tLg7oc7/8RHJt1h8eNJ7Yy9GqS6HCldrO&#10;cZREavb7bEfo7q1cY9uH2o1+sxzDUGchYfXkqT3L+ReMyZwg1o8j0yCIJECLwQRqwnefTAGOQZlH&#10;zJulaRI4lhalbzOydcchRwy2eHKTLoowO08+d73q2FS0hhZWgbPedFHoZ+q786YS1bM2fhhmmVP/&#10;hyZm6ePn2YjKtdNAODIDUx6UQfXgeOiHr0WxoWOo66TL1qxaIbJJSBT+7J/evi6mOMDerO7ZIZwE&#10;XGugqfEYK95TtDazQGQ1LakyEd86PHp3NKAVbX0CH7e0mJi2sqqqAE7+Et4RK2IK38lJuGQfklqv&#10;vk4uQxQOeEw15sGZSrQgKhgUAN1S9bM8DmBlPo7BEVE5OOH98rP6xHGGZlx9ISaC6ywcD4tb6UvY&#10;Sa7DwziSVuw0VvF7S9PQhw+jUknxt8yf8mkCEW67r5v58eLxOymJH5IDjHS0x2bGLisB5Y1iFcu8&#10;n5nnUHzILG7/Ox8W5IWWxio+0N4wDusqKSpq3WcW+snONbEX2zL/hvEULAoyh/7xQynoJWnKL2i+&#10;CdKQi0mZp8+TTxMnFCzYDmDoYzPYyonf33bL1Vato151gavUd5zxgvvqUgT0Fr7duzUMFu7CwCaQ&#10;8c7ji78WBOztCWeeOMBEL4RO/oPmZkhe0ktsmTnv5mw11ns/4Fzh+/Hj0d1c2vS6DyF04DC6g2Yx&#10;eg84Fe+xSUyuv1X8Ix9vbNOzMSHlfGbEXhmwgQA4LU8lH6PfQMtW0hDHa+ahdVZrBtVXJeBPuJxS&#10;rMHtfec7x2YsgNnPe9Ptsdi7yrK3s5MuJi7urPfBPc/+E0hw/O/pe0EnP3SNHEI15pLy6pXmJ86M&#10;VU5rFP4374QjURUMz+ZiW1kRGQXayK+uRuLpx0SumXAc/ckYdIkGqQDTg1+0NjbIy1PJw02fRF4q&#10;0t44xhEoG1Xp4gjf82ZmLKlkx48VJFuRA9TrG8saApH7H23YsKGQwzsu50YTqiqXIdohhSDgWROc&#10;WjhMFtt6Gppg74yXvZXoHWc0vXLl4t3dgaT144LFk6dP40sACPrC/vbh/ur/P+7exB/r9e0avgyV&#10;ilJUMpPmRKFkToQiZIwkTQhJmTOlUgilESGUMaRQkaEklWQmJJXKlCQk87sOe+/n+b3vn/Den+d+&#10;7r3blev6fs/zGNZaxzqgVl0yONWVzZFoXjHUhUhsDLyTrh7CD9jpccOB80GSz6Pvrb0otkCSlCVz&#10;t3KKvVvivbMWaK643c7Zt/NXQDB5csa7EUBAt1AOzpwYXVB2fRRo66hkVyJW5WQ90d6tRheQR2R8&#10;dfagOi0BB/jbNe8rXEqMRc9OA7MlWWRMI3eWcxEn56eAg9jwlFuPT4K/2eD4D1AqD7njpty605Oz&#10;EVoFtLuPQrCWE61lUYGZlWE8CMzmjoOIMTF5c3gb0xmCtD548gfFEw9aiY4+4OzZwcMHzpuHlQxO&#10;fOru9oypODIA+eCPHrnEI8UqIMswGTvXflPUFFT7P59nABmkvXW3AxrSdJDAhr4dl4V3VoODKpu+&#10;kLJP9sKyHlz/zyn6L+lC78ZFSxafkZCaGrSWzrJiW8S703Bz6rWYeA+b4C0rWn7UuwCk18fXARZi&#10;sbrb5DihlSYGwB/MfsXOn5fTWjn4ppKwG+xY/OODmjgzknyojUCPPG/+eQq/IHErrSknEKcwzbLr&#10;C46pomJBnci2gA83BudqX42ful6fWWPsaBt0RXXrIz1ikqX489HzOV+6cmWty/HjbFwaxb/olhNE&#10;4vBZExgycoTSrlQNZ+fsEPRu3yAQOLYxYt8YqGKLsnSr/b/3FGdPS3E87zfZF6J1En7nSbUbbrvj&#10;87OzlzhlXvgOhZigvKt9xirLldnoBQT4DEykMIpbK+sKNwgeVH7T4BAAOhBTS09zxh+NemlhWXwc&#10;epfLuJKYXjx1vOGgWSZe6LUs/ALue8txoWVXhlmiPVHdf3cZEjCR2k8ETFtbm8XNoaO10NOxo/9c&#10;Uc2xjig+Pf5MAbhFAKCoTfhit/ajJzAYIZm5ifCOvn8ZSNHR70clTO9/ugQdpfZBr7jMZpnBM5aG&#10;MuzarlI2tmgNZI445ElsLgjxRToUeWwys+2pR+1hfDq7F5c12gxPuLoWWtnY/A2Z9B2qC6bAalW5&#10;zY0Fq0tfl3XN3I2yqh7JfTN6jCf4tU2yTCxXHIYxTUN+2cPoJyPQdzc/dn28WhQd+gmMWW6A9k4Z&#10;wykyx38QRwJl4gC4E42CDRbhZ/UJbQ4M1PLHavo5IL6gqQq/fFk//vTpZ263uG9ixk794MH2TMii&#10;d2bsSVi+ZoNHwdfv31MhMtmUPl36dx+92TA1jZ/Y2VmbAj95MXG5/Gt/tYsM6sXqnPr6ukWS0odM&#10;btxsSKtypSpzeepoQTdczKPi4uMPXAbzZrpN/nI9y3RkRflkaHLgQPzl+z0yYujOHCEe2qw2wY8x&#10;UC+ZozUPwcsP4Or6wGXxpzLeuFR936mR34fnn+V88OiR79a2XBSCdwHMGMloFPuO/am4//ixadaG&#10;wvGxvqIzKECDu3tqYwjuMDIqVe808e1KvFmicuXmTZtboJ7NWtjPISa9g8vOT1983w05TScwSHaw&#10;gYzHVdniENrPHSfnR7NIQTQtEnseHKqkDH7f9N6UVNSnIglr/4ojU1OFVNkvX7mS7+2tLQPZ/v6q&#10;WgfHF8xiPu0nsHBhjSPGyhs7WzaRGTXYUt+9BZ4u9+4PzOdUpQ0CfNSJwuXUw2vbwOJUWjAuDoq4&#10;9wROVzVe4VLZSUwnlX/ZJU0F4TuUMKYErOoiWWtb9VJYagfj3IBQvzQjIWFZdixhenx8fHZYs7ls&#10;5a2mVdjmPkqIBiEZxxMbNx7GzOZ5yEFC4E0wOlt+ihE3JS++xHryGYHXSFNLKXiVRDwoJ2QGSPYt&#10;frjo9ELI/+FlVpSM3XVdFAUNEM39OBfht6ulAsyZIRanvpv+lYl1cNu9CZi3CdnhGhCjLfUys5Lw&#10;KNGq22uGHwKoOrQXCdeLMJz7V4K18EsRG0vnN8JAfBrIGRjx2kXQzTtrV1VV/xSclQ3AqcEBlmEt&#10;waXSA5eRBdy4XHexxFZa6+JPhqEGf0eozY+nMxJ76s8lJLTXAjgdX87J9v75KIPhd9PG/sVl5CCj&#10;lnoRCNIH6vMbf414bULWJn4FINngPtp3/w0IdqHDRSE03eeKBHe1lo1jSmLs29evO6p9TW69WHQt&#10;MC/g9LFt71HkrRw8edTaephXRI0agXqvQg400ieffEjtflQtIyRrkrE8BYW389b638URiXoKp/7c&#10;mx9cuvBTQwasWe4ob+X8SsCzXt1U9OC6i4o/r233bEwujIwb/UH0AltZ6K5+IJbNpV/7DAokTa7K&#10;s4Pv5Q3jjCevzRlloV3ZexN7NiyK7p7OIChy8z/jdnmAhxiSxZbucqcfsJlSEIIYYZrZKQsc86HP&#10;3MZR0Ha0xeq2Wzx8ELfwWRegOssAsI4zcSVCQemDqktivHlkTY4XR+BHq1+Dgwr+nD5z6ykFvdyT&#10;KVK9lIETmcNVNjCD+fRZkyu31PC2jvrsR/O2HEXtKO+Er5x6F3KmQZoQwIy41NRIjalfB+IJCz/L&#10;eTcjI8aizQkNVx/xtKgz0ebscPK+ELx2/19IN9Z70zqDUWHDMfYAOI7x7zYyqkjz4bPgbNnNHEBf&#10;rjpsC4jza1pzZrRGl7x4IcZUForEBNyrvQJxravhzmMmltDUJM9pRiWrRGvBCCAUPqzF5ifViE6/&#10;oO2q/ZrYHV9+SNIcIIg8aUtQiRUdqqnhfnRuTe3QqqCm+dvzMl4SYAtIFy25NlAzZ2hmw5y6jTo9&#10;b6GfVX6WBZPJBkpwAgj4Fk7Oj+PM40L5t/w29u6pZ+ehsrT8mzG2ibQV9w8Anmhtst9EW4WWoHtQ&#10;8p20XwpGKtgOw1ffi4HLY4pmy8p7HAKSnKynW1Wv7XME8unzuLBhyIfwHz5g60Cw7sb7xACvi4n8&#10;KoZZ9MXI54SPrepunL/oLKeR9y6WCRbdbduW5Y+G3UAJzic8U8A01Q5QOsy9yD25sNFFG3d1heoF&#10;TEh/WD46V22vyQbh/TaemGD4Wjidpcz+UWngNlSf+y2L+SGZKVgorRydip/Dg1IXTZqrCal5kk6x&#10;GcgTzYFVFgdXGNj07PZmoisIdYY8t4ja53GehF7CiAt9Jo6uuyfQWmMIAJwt6e5q+j3o2iIQETe8&#10;88w+zqwIAri0ALrGyyiqILv9mAr6CDBJAkeogEXYFexrXzzcD678ni4UWcYGT/d1GwwZJ3MgobDz&#10;cKpyW5gs++GJUcwg5+hgWbyb0ZvUS39+vyFa6CSYBnSDO1DY46IcKzgKGuBCreo1Y+++WVJSDx8T&#10;pLFo6CQHtMV1Yitns7Ed39bp21vV+W4RCRYGN2AU7Ynj/v2/Cr67/oIa6xZ6wV1zH0ViL4v5nbw8&#10;z1DkxwMWZVUprIgve3V9PT4d2ym1iJVdZ1qf5OExEo4aQsAK5UNjo9sa9IPQ7qUm/kqJ82ManrVM&#10;PI+LW+BiezPAGXelUAGB92PANl9kpfUFOeNJRndjVV9f6MOPsB1u2JiFVF3rCeoEdZgJf/7LxDuf&#10;go7ZYrvpNydZV6wqzudUraMP6PTjOhaqghyAxejkDVlBodoMd9l0Pbu5PEQKM6wL0O6PZZmu2zrU&#10;t9HqhXPnByx+9N6z7vrtIyufjdbdHCEjsQVTBe/OHrukXzDUjQDuKT1kBylS+2PEXf2Dc5O3CuvV&#10;pmrteoCm0xvO998G+T4AyUoGCLl04q4e0ikx/bRSW59u2uA1q6BRyw6xWykP69V1w3NABqZK7L+J&#10;l6lFuhsYDbkhGqA3VLZruGcQ4vEBVBbScw2HLdQ+GuhXfp/dkgv1KK9bS37ODHYC44fawj57gAxd&#10;TnTXmtCunKGUQj+RTZsanqJet5U12YSuAQhYp5i4uMUGwGItspmBqGvNtHbuNAHTiwo/ESxAOi/w&#10;cpkPjfu9lRk9c3go32Y12Ssds9stp36IsElZV2yz+IN63PJkVawkXJNu3IASrkh29+5O4+THQ7KA&#10;zngvcMbDZyK0/b0iTNQYCOOId7pBo1kQvhCplk3A0/HavM7cD9C8N6192w+GcHHw8uI9fdTdRNQ9&#10;0eN+6NeJ9oELrw+6v02AL6OFtj3SaxqOlflPC6DeibSwNxY4CBY8bFmpJsN9tfDxyqD9rKzMGxB3&#10;7yAMi0As7KulX+TPggh3q1vdkz462wQvv1rf9irvh1h955G2QdyoSygPtvOPjSyL99vbj7u8uLBg&#10;qkrdCBWUFRVoePjO92vqnjs4NDczB0zNdLiMVW6OEdqZdw0UI08kW1gwbSM1HUy7pVXd073Kobkg&#10;WB6zWtaf7nhK5mBd9GVa53mDbt+GCPXdbfXF+Iu60/WcdivexOgGyBxSoTTgEoglGpwtXbAONFpy&#10;Lf670qwHqEmdAVgYZ6YtcC3AtOG4JED+UtuCN4ZUw1ItC/DQQ7YHY1Q9NiicXaiNvZ+ux8f7wTj2&#10;ZsOTquc5I4C6TwNM3Eqo5ifW3doSPlVDG0ArZSEZiOsXCHVe/Z7YPAEXJFCqOUYo+6LyiDDB0ADj&#10;rE/OZmQOI7eTJ+V1hbj4+T8IiZxFaTqmraWVYoNrlo9priJ3WCjOx9oXa1qCdDwRG2Wd2iUMDGpZ&#10;cZbj80K1du3apKmtLb3v/v5nVqObMPYZRtyPEdzrg1uYL22nv4pCcU+eJZLl04ICk+7OzjthGO0N&#10;gmm9nvicu3fupN78W2vGhsIzMz09eqmAgIMbepIs7L1Led6MWtGpHT85j9hY/lABVTaAMTvmtgRc&#10;PgJP54+Ahx+SQInt1qZCwFVtgMZWpvlOTbjdv37deHFGKww5zn95PzI2prtLU1MSW7R+Wlrafckr&#10;dkh6bFMdf8Z5reGthjva5nHvojb32cD+fyvMCxz587vRu8p4casCwCRJSB5WDirKdmBzHHRT37sA&#10;FKRjh/OfYltbObAmtRiz70YG4Fthn7+veb28vPkAKuOScw4FQVWZm5IRMBY9F9TNxHo06TZyMkdV&#10;NC7yw9N5bj0GXdVvGSeHWOFP72MTwTRz55s7RqtCOVofXBPTMt6//3ba/XQTDwXBRqr6INBgYWb+&#10;cM5hm1krTaWWLRY3c9Y0tUxb9mMMtcaO7heBXILgPbmPCkBqA1Q9TZeA/b3QVs5bge2Fwsy8fE4Y&#10;X4kSHSz67MC1QvtxMnDsgaEek2VyYQ/BzT8DLG5pE0VwHlQr0B8IcD53nNBYC4LsHH44Rdne798X&#10;6zXOK8GgRFLc1NF1nQIB6Bo8RRc4ntoHLzAJRGtgwMrYxFSHcuuYcJBLd4tVVX39BMCQv+l5QILn&#10;INTNTYtNuPtDksDvE7K31pzlPBf1YOujfdEomJeusGt0O/wwVyAAgPq8bWxFd1dHe+p778iTpFXw&#10;sdo/kPbrVVeUtj1P/j5vG2CeZQuex3qWZy9a0zr7CIGUav1/jwZlhG2BCYoov/yo98UWke+oJQTR&#10;6ZKeJ+LeIyLnH4dd1tJ5B++2xdWxULUdTzpYa1Jp+/mHpKGRkVOE85oD8VOu2ilE7/PnAzxw3Mbm&#10;qLJSXd+G5G3VvkMbZFYqBqsSjIa08xH9q7opLT/mR/O4umTpPTQ8amnbY/3e5V8Eir8aQYD+Qx8e&#10;mqzqhTWIGZmQ7R552ORFFWDe3G3YEPYbDZGGIlXGqhc8//6K47qS0zU//8IFtrFR5gBi/G0RcwAy&#10;VzFts7FJZjmgxx2UQJl8WtECxCsUSswACtarGlIk9h/HJqxOLPCytKBQgGJ+Rn1lNcpIEAihUPPg&#10;DescrFE1QleK3PN49QzEaLlzz0EzKL4LW7siZUlI1sFU6qmt8hNQb0DVuuhnnbmc+h0UY59lffkS&#10;XbmH0qQW/hwg0TKJl/2jRH8TzgHlx0ZMqJ2XnfGQKjUQx4fPzOQYXVK2Hrnq1mtP7aHJiVN2UIVo&#10;99JTOyfMFm5b7Jc2Pu61aEWfPEpPWOxzlmVsOGmdaim9YNN+Ya3w/b993Ol5qF6IRILdwC8vl/xM&#10;fBO0JvEGCbqfINcIjrFVWWJJkipJAcmqc+45E7JJ5zsxaWu7cc8poGAmzs7ONdC2pWVMk77SMjIP&#10;scKLGUjpGatCr5EDqQg6W9s+1oHcsStHSTpoVIfNd/uSlV5l5NXU1rrwPjS2S7X6hSIBMBTC7PNu&#10;190QFUoDYm8bzYhHp/YHY7pTNKcdTO3Esy2+FX5QYzx7AQj/CxTk12U7PEg0fO1afdnNmzxz+fMJ&#10;f8ezGb2QL2hwDrIVNvNbe6T2Y8oyozil4/aqOTCHtLuTkfFTF8GBG+Nol1F3zcsQUN+wdi+kpp9U&#10;P+TxBsVfgq/xCR2dinvdfVZW2RitdeDl5W16HCuCNs4Tl7IwAH87zmvPVSDXcj+tJxAeJCSzYKBY&#10;KAK8bD0k01TZA2Ke2hzKoRWu9o+ith1EBWaz6jVgawustBUj5hL1vceZZ34Yns6FoPJTp2HwPEDc&#10;Cz04OELsUaVjkPiehRzYRTmZN4/hGpqFcKI7hbG2RqhkcM2UEAV33PGtg0dMWhraTMqg45g6zgTg&#10;/evuaP06KAIYH3xqs0nrgGViOztPO0K4DoQnl20iU0BUQJIC166Ijd9uoeqKWOUjVuvA0xXT6zxW&#10;GanYT6Gm+PNxdxzP6JfO6Q3ckm/pewcEbC9gGb359DppOloI9BdRQ2Zd/iW355748kBbfeHatYVf&#10;Hu/ea/Hc1Tt1qeRFQtkTfVeucNUefWHA/VBgZtCozID6XldcEp09TyXW9I94UTs+O8MCVcEg0Txf&#10;msGsvSFCJuIxM017c6womQVr18GIO0rAEHIylWZtN/Ue/1udOuoZ/9GKeLExugJ787HHat5VdFER&#10;SAcL9CcqYFMYY/rcSK7uHequR9QuZ8JixxA/rgsU1UwIXqJXsjGLnNWDkLwIgHoOfvUdUJjXk3//&#10;/p1HyJ9qiwYYeazdenrwgSu0H3VQF7jhqzcVFbZjOPbrWU5VeCaEHf1ImjAHgkLQKa+9+VdviZjW&#10;AyJ2Wqur+1OyspwODA2hmJRNHs1CFRUBD6kNCKZlOl0l0AbZY4f9OXV7g1uUFVwos6PtD+94G3Fy&#10;N1I9Rrp3ctGl2r6kf/NMq2Bmu+cHsjSdmjeoW1go3ggUMFB2Cra37ba7oCf0fPHlBjVoR8z3urJu&#10;1XtcOhbuBwwD6qTCL81UtsLzt18qA2Y0eyPuq7frnMbL3IUMo3q8F5oQAwwyJzj1YtJqqoAKTqde&#10;+JEpbdgTJswW9HosDuVhJQw9lD81k2DyZ11KbRJ68Ll7zRkMtW0JzAFwVREIimcjSQeuriPMMDLA&#10;WP90Gp0E96IIy3MDPkxKpZPqrp6IZtw50bOca2BJHxIcLGX9+/O5qkwhJmIjm9GyXxgNPQUraWFK&#10;uACqumT6pMCI34RMZ4q4bqh8H3JwKR9tR/j3xrq8I9IE3Q06UH1z5MgRy07GTJGz5EWzK1ZJ8SRB&#10;ZGbPbxTegXfEhcBADB9nX7R96wHrQY7F2DRgaWmp7IJL3YKWMZ6EIHgkeT3IbxJSXUHMDAZDWgCQ&#10;ZxaC7/XwPyBbLaXX7AfjWK3CFgfW9Cl2e3x5gTJdA0XYoarhh032QBlkUPY93ru+ksh5QGizwIKZ&#10;PfUey8X0+34pDp6zp48lyGKE/ryLwENo39IRFB6ChzLSyfmJYQZrsP5LCPzwHGrByxKEQegfrIO5&#10;up0tDg3POmK092Cm+lmi2ZjbCpRG2JKoG9I1rwTSD3mkq1k8fHwrBTEwMgnlVibuceEAlWzQBikd&#10;zluG78OQFqcvhGsrB33imvA/MzDLN5N9kA++zN0GVLHRfRgNpaF7LVvbrjeAZcWfOnfVsJJ+Sv/u&#10;Fz1u9bfIDWzo7RuHz3x49aqzhciJGDmXo67YTOFzsJFqYDzGURvgYsWRAwK38DVoURp2Wg9evHCh&#10;8wnwn5yMjIzTHL3hjKLbj5KcmGcCEoRpxiR6ZY/9Bw8O/MRk3DuSnF0FnPqjr0854rXrFnx4YbPO&#10;Sg/Nncx+37cmMM/EtJQbvlkXVYQEKdt2uiN+/0B2t5D1nXzaAgPoFcT0baod/xKAsvelJaGZhein&#10;hzhGyPfTARe100ox5BlelQ1C0MWIiD17K8ZABy55fuThDOD0gj9B1L8nnQRekccm14oGZoxtQPqF&#10;4B75Cz45T5cCuriCEqiJJidccO7yUT6LL/g+NAefV3MmGw+8faqTtSpZtwpvigoxKu6EsP4L0UE7&#10;cUThHeDP+9DHglRQ6/c+/kUylba5V37W4idyU09Beg+6F0FSIo/koDbORZ0sGMapCvmO8tGPmeDt&#10;6pCaboBffEh/H6kOgtbsXwNBHk4ofWT4Xp9SGxrDZLDnFTGtCwcs9BcCw40D/xcPQs64cQMMYU6Q&#10;FA/uUfnSq1e/vo8X3k/Sy96fPwWLs20W42twSpCyBbY+1zjhOjlwG6oxLrSaf3bgsBeRpzV6mmH1&#10;rJd4cJuncD0roFx6yWZenHegdE4fykwdRQS8NlJqheSv0Aq/R4iGkYFBeSUiQ1qPLCocUhUVHHl3&#10;y6MZU8Ezfso9x36+9EBOVYrDux/mk1Gz9s7xfn4uroNwZxM0MU/fiq1P32Hi2EHjUT5wbMuDbVMw&#10;PfulWG+l/OWnICud9nmbosQlpaTGmM9VMqoUbAx3LOSilIjO8ysrM9MYmt5cHe/Jzk6bFgxLjPfi&#10;5cSjQwGxcxXgbm97u1Q5tHgNUIxiTy5F4/auFnTRjW/f/iinUQDkAWfBY5cXQbaIIkeBVBlFhGoM&#10;Cex8ZJKeyZm/GoYiO4D3Y6WK9SHQISdcsICtQ6z2+uXwO7nXU0lqQ4MvR/fvv0TmWhygY+fANuDJ&#10;NjU1NV2IN6M41+FrZGvD2fuA1XkmRuSsA21Wj/E1L0C+aov68Dc0ne7Yndt+2CBmCvigIqdq8uj6&#10;rVCPfCYkwUgZwL+LeZcvVkOxOj3ZC4FZTy5pY50qDnzLQz2Iy5iuT4mL4AtgaiudEXvdUmPzV+DP&#10;nbqbkhIBF4SCAxh3fASrl9RfQod7EvDKu6BCc+jy+0y8A1Yit0yPe0AE2Yahy/1QM5wCNzQV27wA&#10;H/72NwBhC8CsfOsnbdBzHwlIy3hfFJZwgiL9iFmlWNKMFCHGnEXhWp+oUARt52xIEI309VffdgTV&#10;FIxashYz0bXY4VfFfNbnW3/to2ohNZgKjMqSNJRO5vN7tHviPk6EZVKtFdwtJM+WHqhvibyCTgvQ&#10;jdIwiFuLadXVhrAcmQVLlliHcqri82xEfJz/szmnp4dGxTD+2zyBX/lDTffsZ8gAxX1nkKDX4QXj&#10;6r0V653LyHZ9wSv5ApIT4ksqYR8Sg624siitRNoRqZ6sbhRm80/d80gYzDwNxAihO5iIQ2eIa4sN&#10;RhGDDtq1xtOcDfZrBlNy/97V5aH9fq0w8tiTTdQAA2Q125WkyeRS0t7/mD7JaU5V0qQLCQm1Tfe2&#10;xL0gwe7d06KnRE/4MEt0OOP2iHCDnxWi0M5Dhw6tQQR1q3v58rsFeuFlurdkP2/VNwzueX+mKtPz&#10;LAKj4MLE+3IyMka+mMCO6pwSgs7ckVAIBB2/0aA75lIwUAxCUrG0P3RosAJ3YNNWzjp810Qiwmzo&#10;BavVW1GIu6QASuCCdZapGLcSi9/XBebFl+jm4El4ADjt6My9i1mHlSQ5I/3ThfL5Wr9wLgth6uVB&#10;7OiQ83FhNDxk+KkFN0QzuJj9tk3ZemWVpq5uowVug6u390Td8p3Xf0ht2rSLlm/fuXv38FukHO+4&#10;nywMxqdhDQDJNe/fyy5w5WGo/L4gvl8WgJ0/WrgUDO70JTnyKfuMHwY279/m4r4UrxEj+d/n80h+&#10;CoyMNNu3d++tJ/i/gt5FKA7rQO6boND2xt+eZL2jpvF7Mb1ziES9U3Hj2pA9ntTAylgfz3cY69J8&#10;CKiQ5YphAh90fb7zjum0lCcG+63M94BaAwJCgWfpy7r+uJkE870KUk7XPiqHXgkFRzlqa8Vy44y9&#10;T2ohxM/bMCm9kvR+8PD1+UPZQeMij5O8sHAxdG9P7n93IuxvGOdFBFjM8Gmad4iMiPC2yvuOayhP&#10;eJboWT0vr6erVdmWi4ndNJZgaHQ2vvUndITQqdFcmnlN7Nl0nQSguCZ/EAUaVlF6xzeNxbvo2sfF&#10;dSWTTcSQZHa9LZsTKIleuhqGF+z3F6t0L2Cf1qQe5M0LXDMWYiGOLtIvcMK9VqFY7hsNR+3MbrSO&#10;+d+9AS199IHOgewvPk4NdhmUNQecyBEDSvcGtCQdNmyYkyPvqQGSatUbmVagovX1nXpNyjl4NLms&#10;lZbOnv/zThfm4MJQ9UDMM2U+oDR/fhiXS5NLV8038XdyOrORRHD+2XEDHzWiJRTAYMdvorKAbY9o&#10;HFWaRMW69LLY66PakjPwFbIVEI3aEbeHSSHbFazJYFwQulxpBaHMLcoYXYAk3B2uhAArngML4wfv&#10;qHRDJasBx7jvkcneC5eD1MtDO7gF/9eB6NYb9EID7GFJODAAkMQX+/b+WlIem5Z+xuTVcWLKO28E&#10;AuStSK4GXev1hvRhramhz02pd0ebK7j6OGi6fnG66iRCmL0D+7bzIExtmRZu0mFD5ntsA8WQNXVv&#10;dg/hK1qjyiZCclL9sVn4TtJCJBhaMJojNY+JhaE57zIr+2CuCMTcmBvNIaWiXYvFbQwdXa9E2a2A&#10;Dvmpn21xFRTxYc/tTWrKLhyt6cd1PpKcmvqdBANNNTUbt5vm436dp265Dp+8j1/Zx+snvD9zMfOJ&#10;/LQRZbsv4cB8K6uSd4FG2aQ6dconMpIoWWqeCCJqo8KSpJ3+0NfjwbjdjZMBeCXNqaoJRkmDG7AZ&#10;NkZwjZ6MnRRkMFQ2XhDbf9zFhYOoYAdKZoiXkzijnXsslwhD5FGE4uHXS+0TexEm11uF8qG7nUAw&#10;d0XFN4rGdJTuljXJ8ivymKwIpOHm5W2e9eh6OxxBno6RmLPUIlOO4moDTr2kVe3bs5jX1umjyEtN&#10;bBIY/Wrc6MtFRVNfqa1evGkCrbOJgAjqNgbDjG+wQ2kCOy78DnFqFd/GsJGR1PyCOKHzM2fOfB3/&#10;6+4KlHvqpMhUc/HZsuXJxrzQ07NRUYTZ7/A9q45porCun2oOXqODr4/SZSeNL6YFaMa9qbzcbvOV&#10;566jb3YbzJLCT1IZCJj8cF5gJuPSOtFMK4bZfCClsETyRoOQM46XUkIXSEFRMWxaBY42sUhK0RF2&#10;RgFPn3qlQCOpzpU3lw7FSWLLnuxdP5+Z/ipUayE0ykAqYkB7+depu0mDcGuTxauP3PmLKX5dCkWd&#10;VDWKnFWDmffTV8X++XMXV6M7G4Ly+QEC1WEqU2CSakmJ1A1rCH1CUjRSAFWHzmRlx49N5wJswf/e&#10;isF4zczE4qeDakyutX4N2pOHYOQyCaXG3r42bvXhFJihciTDJYlhE00DXqrFDEb4DOaZKjaFvlMf&#10;fXArgnGDFB9CGf2T3mEPRRX8Slw8/+MbEBQzTTzCCTJbSXcRmv0H4dlYSR152o/J5hLVcHj4pzCY&#10;5aGAe4DFu/7gvXI1rrYmprLITH/OJcn0GUumK0QqGsJdWW18xk3e/rjIKUpPDrMjT31p3nFocLDm&#10;xTeWsLJ2dEtrtu1AzFPpUUPTvRmnIxpSZvyA5b3zGdnbZclvna13zelm+G2vQ55RpRSKsijTeuPF&#10;jKziqk04Pg0haLfnIWjRXUm8tYSV4ffrOGkllveyMupm/PMQo7prY0T24/MVh2ezMPSEnK3Z/zmF&#10;Kwc7lJFdGK+ZmFiq7sUVCd8OwEO47aLqO7mNnh8L88zbe1hWazHwJqK6V2tRU2e2Fi+/gpfeCcOm&#10;VQVfQFOQjcfviM6/h2a1828UNzbR8Am+Ch2KID6C8Bbh/YxIGcAsczCxV0r9LtI7rBr06JhTPfB/&#10;/2JBf+FVWmP474g8f3GT6b3Tv9H/uPz/4J+r7l0OD08lhOIaThje4NdV9M8ANq7SiTOjE9eA9a1f&#10;MUObDOFH6B1vvBLGC11qVCBEeYr3Tb/m1zCHlV3lYcCkP02RXcuWoL/r72t0yBqdvli/izxEb4Vj&#10;YsZlnG4RW7oZjP5t//tiE6BzCOb854gsGh2InUTFpzKuUsyQtutcu2PwujT+RFWeH11chel3rqlF&#10;b/Z/3jnHHTF8uOxjnZW+MjI5ClpjzIz0RfRjQwgNAv635Z+//QpdzsOHv6lC+n4FH/Wfr/mHvqYK&#10;B16vSo8YxcaaywyVB/TzT9XV15+kpgRnEYBKApNAOP5L8eDe200JcXGXWehI4M9AHLZNQ2Plthqf&#10;CwtpkodQxeuXL8ettbX0u15BBQzMAA2lhzxw+CMV6WZjT8PMf44fpzLFKAqxYr3nk/8Odl25Rs0B&#10;lXMUrq9nK6uUB0C+Ey8rQc951u5wPA0ziaKTOxbi7gLfLNVFAfUL/ZsxjVGF/5nNOErXZfoDXkHZ&#10;8ga9PBToEra+009eDzybORL1VP5iRdQQ3i4YqWulSmDbfYa09e3OpTZ/qiy5PTw8jtJdQGcsVDRw&#10;tQM1Vj5B1S5g/qYgPWy9lK2MC0xvQ3A0mNksDS8ke71Po1/cgwe7PSHJmKRBLZJNrsLPvS0ivHy2&#10;zZ/ibGuKFLMnnkzl10tC+2dF0lT5jzCeu5maerTwzgSTX4CfAD77Nss9b6AZufrvabqtPOyb5PcZ&#10;1S4NTfxBwr5eCV+mvp3NQgxOABB+R8Li4qwWqrJ5YxJEraaQvuiXM5Mf8P0m3Gbn14gRb0RyKV0C&#10;wyhTiSGysc3FqakQxJNmRtFxkfA+Ojg4sWH452AkprsUOzSbbyTux1pSeZR12mcAoKHkXaRFP3kx&#10;Yo8ZK4FNeA70/bFEAvztugPLezUMOCFfA9G7be4SqJPeE06Kr8fgRwAyY3UuVtHn/vcqVG8LF6OS&#10;aNyNjYemQ5J0or7bYfbKBWtQ0uhjfmJeraUSXIzqBRJnzdWKihaP4OipTLGZ4CLC+ajfh0LooFjv&#10;zoN7UN7FgDVzRUtagO5vJ/3GT8zy7CrBfoXPWW2nYyjL6EDh3T5JBbhQvELBdEQCvZcunssy+oGS&#10;TDg+6iq+VnBLM93RvAQ/RmVwfB7TNqjfuy8ulXoHU9r+AXS1mzTxFPbPwVMUpyfIThfrn3As8AKI&#10;IBHQj74uZce6ITkSM08g3V28evlyCp2dYm68tsVMWzm5Ke4zbBSzB+dpkfprHuQlbTDWSyT00SHo&#10;ZCLmJCnhPZUsg93EUF+b8mOUTH1RBxy0MFZy8Ak2KmdiS9kNLuWM/7QA3mpsccAECk4cP+6+PmOI&#10;lJw0DAk0xNw0iv5aNMp9Uvqjy9fT22CnFzhNxtoq46syqrFdagEQpA2wkC4P/3NuNkb1I8luBXwa&#10;XwFhajouH4nvYcdY3LmDUjjHp7DfpVnknVCjzmsgahepGrhFaGHFGD8/fwyWJR9pQT02tZzNf+Fd&#10;IUKeCggWld003fPks7LrlTCyeeCIfhCWjDT3Z7QcTTi+jVxn5ej19yKB8aueo143BekXBHd5bgQv&#10;u9STNOuLqvGJG2Eu2yDeaURZ29NMY4hYQOhmirsdC+jLVuaaRHxA/KoDMCw+D3SB0xc9Xgp1rNBW&#10;fUDjo7cF4audTuoVHCU4b3kWAY/LrK2pGVTrIi1RLtQCcZKViulE8y64q/uFFeejlIF+HIFolviT&#10;TyOkzYD7iZwrgJ6ersGIRH9hNhKWgKk3rLsENm0j9vQ8FN+ypekT1aWEw6DimbDfGWE9SA0UZP5v&#10;Y2lIlTAdQsARPF7SqHIKCqj1UAb/wgybDjkCtVOci1+/phIIdRVG3Rd/f5I0JF+fjmCdzYO3iZMk&#10;kF3nJ4Jb4ga+UOPUYGf/CerlcbBV2RB1r2FFza8qIIEF6EXGrIkwv+O9MABV1D07jPpXEqLYIOOL&#10;bWKpR2n8BWoSj+bKSkcUCDvk9UfwiBD44y4vSx3Y7DZ9eqhQJnh2OgSMf6SDT1J+yOL/nL/jvWAx&#10;cF/A+LGUaBXRXhsCrbuUrVsfAbfiBRBXSRCwiXu77SxeJ4zWujpQD5rfTBskbQLcSrNwviX0R1iR&#10;abI5MWRWDFxu7tsD+KJ/CwJDQnJIAMLlImJncIJe6zT6i+txjWgCsV5dHTb/22QuI4SmAe5Fr/Vq&#10;Juto1WAjDVxWokfXuNneAtEORqu4lQmJpeYm/tds1NY2W1XsjBCu22LBQJZfvxp6NTy85id8mJWq&#10;cMat5y5eJ7vO1rf7OXQGnCJnsbjlw/LenRbEApTD7TFgHVruTCrd77tisfWH14B5SBfRXKekz61+&#10;CCOqqsVYF8QKU96bX78eOoNdBVv+Cb7SiuQqQN0oaKMd4BqFImHCssI2tvuMmFYDhR/QjbmZmX3S&#10;i4PVdzQn5UliBjgX/bs3Tcnd8U6Zm+edRxmUX54afnyWSRPu3kaCQ0lMS2Ru1OgH8Rk3cedWybn+&#10;+BsRv+oL6YChdHJfPZ0k/V7qY6TjL7DeDFTL98MuXLg/H1MCwZyq8G05UejSc11KlS0iMnIFNpoo&#10;PIKQ2srRcQr4s2jukzo27PR63o4zzEJ60bKqKkmtmklpVnAJO5vPj+LvTAsEHxqJKyWSkU44DwGv&#10;EPPKHP50HWcLMFi6x/npALx1fgzmR7tmTdcY5f74lMALVtAH8u3/cm6CMIEDBw7AxuWQyFlOjHqo&#10;60+tHNuKBCeDRs3iwIEv3FSKYHQZ4NMBfEBqcxaAk5aA14BgCpSmEj/LSMv9AwcO62afTc2Jcpxf&#10;p0viYbipMHOZAyw7C+vKCBqkgDRP12FNrPB+P5SFVjYY/Yc9QddB7BKYurbW5OdVRHRkiRJ8+QPv&#10;EF3PYz5YlgpH4bNw7hXtUjmdeOS+H6cqoXoQpd1FfPJdKij4MVhMaxdqyefEVypAHSbsfSsw8HUj&#10;SdY/gto54LS3awkb6w+acm+HfRueVaX97BnNaB2Bl++o8LjxmZ4Jid4j3kfevOl1t5KJaVstqvOq&#10;L50YrfpFuc0E2AOQVZMdSFao41wpyaLs8H3f1uY7R5WNQszNyMiXa3FpIfl7QAtsli3blnTnjlpW&#10;4cBVcLXnz50bkkE7ThNGg6BioyJZXpFc8zd0MFfI7WQQNjG9X74sFHtT5vqp+HQR9UufAA/ugaBS&#10;56qdzCJME44sQ/TbT5MTuCYO3Gi5rHEJapTHneJ6qbDAGG3spmuWqAwaJXHA/8AMKYBGZW+HWT1s&#10;8idnpy6EaC+D9HLcJBifZFBWGnSgWVGoNpiGJiahGPDuII44fkqXk1Xm0KtLs6iq5JHHNDpbXTy5&#10;lwL07yZOERhvOo3uQnsDA6z5WmM1H7BZkpVNJAgb9xKO7WheWdWXSVqR9Mk8PHej8D8pT1ZLSlbN&#10;EFHDPp67Z1a9mx6/QehrS5sS6A7HpGkhWGAFCAaheIBSuHSqVaPBFXnQ+yxUJp4Ow6vxdGECAr7M&#10;j6af9BVySdcAeC4IjqGtYlrhnI1tF4XZTiCFRUU0Q8A4hRUzzuqoOILuWPrmdOFMueLDg+hOiHgP&#10;AQXgPsO7sHzLSBy0Q0vtC5soPPXuGAWPE7k4vV4OmYqwTsPKh73eQ91GJrcGCNQ9jorTjQzjah7R&#10;3B5M6YaMHHqcoZFrRY2efjQGGximzTYCgKhPKv95J78m6I5d+6NTopKHWMXYNA0XGPrPOVB8tkmm&#10;hFfFovHpkUP1RksWnWTsbZSxYj5pzL426EAxQ3SmWIof2yrNI/uP5BUqZ7e5fRzxi9h6W79nS4db&#10;6FvDxxaKmsoGRo8O9RyXvZUKFmkUe8KMLV4yrLWej36vwy+Yi2ntBtQeo13mjwh4bqgIm8TvYRmF&#10;OGrv/KiICNtUzWjoKIawxNPusuYLpr+3TNpQHXgiAWfstE7ETKAoGzMuWOZJFAbGoNv6ijtmiXbl&#10;Sr99+/ZjwPnzUx8AQb1AHZ1X3zEEq8Q/MLn4M5fVvwZHbnJUfJ0681+FnVwLFnxWxBF6iEx8TrvM&#10;IHq3gUE6Y1Le4PY903XXX6AYDTmWVKhWKYmleCvGYcchLyMjEwxWVw7+QKYJWC+jhx7j1Zs3GyEX&#10;ZsvzmfCkrduzIEYNNpROOIjFjaOYyRmttdbEINpoEmDpMhhi7CGySbpVAyHhEyD0bdA7htyKjhay&#10;gFsCo3W7h8cTeBVb14GkMgkB6/kCWGdUrQtJDVHJfjpJ4AYouLa1D3YyLVpYe2zhmZS5sJeYD/Xp&#10;sQ0CszhirJKXKpT4WTErlAjHBty0ch/4HhIRFdUikPzdXN8W3+vm5CNAR3FAPlkYKuBdRxBZ5t9t&#10;ubMqiFTwHvCSiYXx7gISKMt2jTL83BX2nRusFNPaAenAFc3wq5fEVu+BG9wJvJaMMDuS0S1kqKCO&#10;52t6P/zD7ghP4q7ovDPCbDtGzX9EXtIUu2O67kj95oWBZw0P2SNC1XfLbYf2Sc7a0THWNLZ9slZX&#10;OZqZgVw5vHHNmlQNh4c7gFB0w6U1mImB4rtXQr1ZV1PzuJ+E1FqM2m9qrKpahRVWHpeio1uf5v1G&#10;VzkqbpbtLg8i/mTN8BIGVhK8P9vdDXa7qj3q0qVPt3/wSHfPEjiTIjE+MdEIVV1q5ojuXaVnAXFH&#10;7lsVSzJtYv+d4ljCuWDBBgBsV19Nvqvd7jfphkp3nzauWWOM4qkVwCxrfoJLQiCYuQUbvyRQoNj0&#10;fynd+nt0jbi4ESzl37OhvdoIzloV+Jnq36diX5W94RHAjSVKT+/6ks6iAIEoOPPJS3iAy9KHwJ1V&#10;k3Sq7D7Ag1WaLWAazrMwdjunvEPlUWgW05U2F+VN617zIpCCHw5CIjhp99IGpU8UkO03PSc/QOZx&#10;hcEwesSevAJDbUULGFUIeLPK1+7kC0BpF3LczS2sGg8KE2g5T55mwThwPV6EWIHhKZTHfEfTBkaH&#10;7E4yVFDiSV0VYHnatbQn6iodOVTW430fnrR/BFeVpl0GwuzcUEIqjvpB2MuJgFfjR8xVtdy0rKW5&#10;eQUaBd8d2trO6B6riDw/B8PTPZDVOXbmsYkcgGFax9y5c3Mgjiw8gBJTHqBnwtchTOzs7h9u89Vd&#10;xsaMPlIeqhwxZF6vFyh5Jt9UVjaqWz5g6uru/p6WlrbkxtWrNjjyxfXPnn3ugnTUN708oBOE0E/o&#10;OuZ34jfBtv6dYa6PN5sIK2wbclHFLl2TaQ/o5s3kxNhKWI7dzVQRXmXx+PjngOLi4sNBg6TV9R3x&#10;KvzVs2zSEqOgG3Jzh8+pikCCe9VHR4j59G3DVdy/ixI59mDU1N4QnUjoxqgAsjz8ijJJEbYu2R0g&#10;WuYRWSqR+Q7/eB6z3mUTyFkH7/rqpl5BRdYLMnEX5I0/5TDDWYCIHmaJG1LT3I3msADTbz5uY38c&#10;aIONvcmgGYNRKbm/UAeZu16Wf9c1oNdmiQe3slVK1s2ModMZY3VJ1/ut5AfEuSuDL4+cOjV2FvDv&#10;doxvWT+7cVfDS6noAC6eQZr5ywULF27kYlQh6B2RMMu2EThfkgIeyuBaYx9eKrztkVMaD3U1wtV2&#10;COPm7vMK7VVmMABGD7IV2sckWqbhyYKcu8fMcAbzclq7VSr5c9RYpKS0tJcQN3f245RjJ67D5r7j&#10;/rVrRm8as7NArigX3ep49nfoKW5HaMlnQwgNfQ86fOtcCo/G5eChPwdlI4AfmGF55Ae0o+UYx7ZN&#10;0iygcw9pi/Xq/D2x/c9e7O8OwiMTb8rJ0D7Nsa1iP4Ute56vAzIBn8s9O9tmw0dyZHwOjCtWQkAk&#10;dEjIFIFPyKT2jDamARXDyrj+9DT2LVTXP4tYtk39TyKK21eB+CwgpH4ccpmviAoKt/Pmm/b+s2Ja&#10;QUwMkGW9ic57gYTiDVYWYk2ho3rGZkgwoSoORM+5b0XfUoYeLeV8B/GYa70TXpXbaRW9GoTbV3R1&#10;55xTFayNlTr89yM7i2psrBF0H4J1xt8xSDGP4Tc4OPibW8YNPxQQVSyDQf6iRat4KxH2k3C7XT0E&#10;34WfHap4g4XtEHZksHizcaIpX2zcvkpW1r2Bwv2ys2xxeq984WN/EDWBYHGHtgzrVtrsko4y0Wcl&#10;dFliTaOqcZf62tu5MlJS9mQ7tikVgRyswA7Deb9PdNy4di0FJthne3p6OuinG6SW66lxskbCArsN&#10;hbotJsgvsTE4BQRadTwDOVQvwLPVewAVUDRgqE2p6ZWog6/N5lrxY/PGjW8+Ym3VXvWyZBH8BTy8&#10;vN9hFvRTywXk/rd34ERdaXiygLLhrz3qb8sxE+KKZ3EeDU5O5BvOFx3L1LFs/rF+NbsxvgARpmTy&#10;QcvHj6m327bmDc1l+KHZNV9lNouBMDzq+q2rC5wuN0TurSFdpjDrue/DXeA18oCuxKiE8mTlZ1sI&#10;bzBO/gGl8PDeR8eilVGGpWZwgHF0AavhUPL8uRcUdyccW/Pqr8Wv2v1x8hwk6fY6WlpZSsiashYW&#10;rePNb7APfTmKIte98Ekw86tcUQoTH/M8baTcboopddePnMAccFp4ePgP6Gjk9Q0MHibnKkX5gzoW&#10;0OZkPdD8oc5I87tK4csMy7bfv349Fr+saQpTO4Fv14w2Ra8LLo2nM3BNq3dnuNhdbaGpFJMbO0xN&#10;dbYimlyECCKluGPDfgBWMqG4mh4gFuW2x95QCfZhWwraLBCNS1PjJgNOeGhI4EDQjPkZWEsumc04&#10;Dv22oJeS5XsU+mMy9fIev7/+Qumj+2d42DKpc3Uh3MfelJZ+wwY2RLvXoKQyUlPNthdlxsXp05Ro&#10;DNTNMSYWE7g7p3BvD/8ELT7VjYVFMuqjh8xAB+1Bd/4Z+osIuGLdLnFWeAPOvu8gyJ9njQqDHV+/&#10;8uyIbX2WjU1KXtAROuNOzE88OMJrVeI3VBFU1m7k2lWzfCbfTECC917qY7NVFbR/Pw4XXe448eQa&#10;GK4BefgQ2WAcVVemvrKiQubX0BDHQ7ST8HuT8x0dwrTUIHaK55vXLozEAMEV2KYfJlY2AR3XehPp&#10;j/RruF99rmAFb12/fmQLXKaXAfGb2sO7G/5kKQkJBtCfcEJ51bg1j5YWFzc2bn77/PmXHOd7bf4Y&#10;mryfBRKqF4k15o3zujco1tbAptjwErYB6zVuwlTwvR7PX+bbNPGqX0Gz1IQm2eJm6De7sxwsDZvF&#10;YUOZTC/Gt8J3PUYgTE1/u2A8vPBB+V53hRg9HZ10UjJEe3t7lxw15z3NKTo+Pv4H/r52UP24156a&#10;o+QznnwDVYhp7QmxQLXnNGf3DAnsmLv7Y12d8luHcOS3AIBjgazu6a9fx4WgkZgPBZUSEKaWdRbv&#10;qqp+KULpAAlgmGamlCX0gqN0a+DoN+LjkFr50hiGm1wFT5+unzVrVmVGH3cCx2pMe3P7TcX83bvk&#10;bmKiWXWv9CJMGHD77hyOk6MXppOGb9PIpDQlclBuMb2xPiOA4KMoGhQHl4uvZnj5sKHZ+hKt7Ouj&#10;B/XKwq85lFjWbtz4oA0s8BLNjodF2LclxPCLvL7UAY0G6Yby6acbf996HKqAuaAoq5eJiR26jtmg&#10;jROjwE+/h2GoRXhiAHVrMyZCDyfhc1WiCp/LKC6ammyxQwKr/f4uOr8UQSQ33nvTcnHT+/unTx8k&#10;1i83CgTHx1vP7D7KA/jXCDoB6w9Xj/AULvl8puV+oS3JWIGKuJOqYTbMIpSLnRXoLbVFcaqeBXqi&#10;NKoCWgXmgA8wUhICZD3T6JDyVgAKLRRUSSxzDkl8avnERyoY8HxFE/Im5pIMHQDznk9Y0rULTlq9&#10;BtLfaVZZAmiPkc4QHB+tIb9KswNquFpd/w7sxlpwSmsxizrxBcIzO7h52UGHGv5V4Gz9VYps9Sil&#10;/6KYrYiVdfqy7/CmfJRyA40oKXWT+26SFdYh3PZnMgWOR478uV5xJBhC6Xs9NT6YKV9e7Gu9JjIo&#10;snn7jzyUBfu9a0W1wn/jBsFz7LcXKvsttf0UUrwdqVy/CKfySTYR/9IDWqjz1VDLAAr9ZXp5ghXD&#10;JWvollOjQzddrMB+tZRU7SDKggIsQ7pv+ed0Lm7FJySWYzY2Nw0M5tR3i1k4oq8qMjbBEGnCX4yW&#10;HuyMhf65Mx6Zh8Gou6N15c/TU8PvkEQmuGAbuIa76+HqIGG2bOxB5kA55oo+hf+2tsX6G+aYtt7R&#10;w+dR/lqWP/TVhw/jOhbWPDYJ1VeRRC9gW0YOtoP6lDmvs1yGvmWowg6GDmMm92DkRX8zFZDhXe6U&#10;EgqXQDr7NmbfQCY+gSku/wzGVTTl36AEerqoSfc+JpeGAO8/DLt48UcSDK5WTnwEufTSN+IZ25X0&#10;zfjan9BNllPASXZYlnOPtoo7AKsxpj4UfdAMmWs9KNUnKPBY4vXvNzJapLtzZxobQxOtjgPWhZlD&#10;GVIW9KfJUObE11ft1IjlI3ueo3Ym00YRllveb9521iVBc727R65EpdFux85wijCY2B4sqr/rkP2L&#10;HUFFAoDoo5iYGH28t8KcbzUvAao9370XeV0ZbrQH0SnVI/dmSxxhYvh9wFtlVy8sLcBDLUaBHUF9&#10;Acw4XfaMKp7lXIBp4RYQVp3gxxN3FrlhTvYyRdy56EZpLjU7fgNO3IEXiFEr4Vnn7gACwPHNWiHE&#10;y69QhW7jZMWlqk2yhHOYZAvYCFX1MYfUAw+bvsDA6BjGx3LPi3YwpGfsMTdPuoNbW394qS6kwddg&#10;ChEDXtTJu/QKGvVRmaEu51RcjcCU2As3F/g8fj66HjsNH/UhNHz/y7mZoswouPjghiJK6CEhFWlo&#10;hsolJBLw3gQzj21XMcY1DqBOp6ez8yYnADXhMR8I3m/A5GJtk+MDrCc108aEgxD11muN75nG2TyF&#10;O1sibRosQ96Li08xwdiqGBoRPx/Za/sKs1GlGLV5rtFm+EH+1FtdU7Nm3JhdD9CQJSij5PLEJ9dW&#10;BsW/gqTBxaE+tb589GISTBE2QO5u65IOCMVhvqJiQRgmHjO7pTJeLt7Ebtp2zgf7O2vBaZbS8/03&#10;djpaQD3cLYQAWY5I7Y03vRYsvthyeIg2yfTOvbQYwSEz09EUOIAnRXyXjrU/Wh5V6qLbIDkz6wRv&#10;tKrRusUPEW/Gpc6XLFi9MNO52+hwNza0v8NQ6OYTTz7sYDDQWp6gl70Bie8CDFxOizrIGAHPu6EN&#10;D7sylAQB1VH+UQ8ojKjhoj6Wu7InClSRzDpAcUcgbJLvloqBilsdYHkkdhjbrjGH+9EHil/49Aeu&#10;bgl5snoO38x7faoI/N8gsdlyAlPpC9CE8/7bAaZ3I1IFIHqcf7L32GGMSpwcdTnLCWDzZ8IrH3/I&#10;vZtMMvZ2kQjQA2fRR2TMh5ANqGoTtsMS1FBHp1d5Jfyi8l378Z/zoEB+Z3hEYJTE2XBKdJs7e3bE&#10;3bcBjVj9MwBG8n2ogmAmaJ6+gyjKIlNSusz9KhNXKiq2nsDAY5vXzELQTOdg3K2vs9Js83K4sy4i&#10;wmQQo8sl5Pi047Icmk/o8opgt5akyVc1WgVB73AQniiKiPNrzTcjNzWghhSffqFDS7mWqbJZSbbN&#10;wM3owf5bqGuu8OX3AZDnY2aQ0ZphYllcytbwO6wMzopLItveSQpwfR9LQrpZclfZjX9eUlDXzUhe&#10;4JF/mBiD3fVr+boayeBSWNFVGkeKw/BO63TH/+TDG0xQRMPlLjnjLa60F5aGvXjxuDazFUvglsH+&#10;AfNTo5o6Q6ntkMmtt99kLo0Ac/BNHfwvr8/ayhmOican3/rdn1MW2mNqemdgZPxEV88KNtVxuAFY&#10;JPZhRSw4EESBP9YW3XDpdgpDXBzBxxq8WTjPA8ozGQNocIVQfjCpv4ErZ5Yy4zb61NHVzefR0O3A&#10;QTi2U2zhg9wTaF6g33sNVX/W7zc7rqB0KUbzBEm1gkTfyQj8K4PR+fX1lZKrS5NgLWeBdjI/QTsa&#10;a3IzGH4YM/+Zoq34UpmbR9sbu+2tgOnsbrKMGWXwBUQ+C2AqYX0v+SppRcmnzs6/an9ON4FTgdVb&#10;0LLMCrQN9XAqKbABmUUT7A8j37j0NstAZSsX4XOJVPBYTH3YDBTrR5/RQa2d1XagzRbAVuYuMO0j&#10;CBg2a836AJubERSUhsiP/bmomQcWjNorEeAlfGFqxJecD2ojCi3ZvKOt3DE6b8dQAWczfqarR+8s&#10;tQpWWaZfCKVpfgPu5nF+fhmtvEsXjdU/y4lq7mJcXy811+Vrdfn2jp4UDcMY4DXMJitIoUW2bOlj&#10;4tjEzqO9jOxZ1OsnmOxt7gOGs+eR1PbjOOOVKsWOHuXPA6m5QNGAMYovsj2Jm+nLxMhDNdUX+Yai&#10;KzMDolkdxkQzOpHhK2KrMV5x/fzGxk8IpTeE2dbIyeWlxbusChKlSwVJdCAr81YtenFAVhdPTFJ8&#10;1bIswkBcFtyR1tUOz8WKN3Y2ER7UOCOgc79hFD9N0lv8N6GV31GZ4x724bT3WGJmb/VEoZqoCFKn&#10;/PuKit55jNvINEuDcrFtbHg3qJZG1My4qistP7IzUI7SNWAweIHM7OmK2GALbz5DWMUcgZC1gInh&#10;jPJYKejFGQ6WmbWvgOptXqm1m/wBbr/8seR/j4FcifDYfe3wO4eQs6yCsmnL9DOGH4FZWbkn6OoA&#10;Hw6/du3wxSrfol6jP1v/Ip4sY2KIY7Lr2sYhJMwVDMaD3NxdxkZG4ldktiF5ruVkC+ragBmBnbMY&#10;CPOHygcVWRiUiB5lDIGaaOJgVMEC23Wjt3gQJxdX+0dAQXYMP2lp6SA8nkX8PDyPnSFtX2v26NjE&#10;ePmEB0xwNxpEfFNFiR2V/mN3PsDoZ3DjMgHu5AOtFzJkPmYBOh4AWLoLpmInyJaiyz5ocHp3HTp0&#10;50Z8f1XA5+LTLO1Xlwp52l9N2cYXgG81ZND9sGzwPNOZFMeZ7DzH4xAzm0QvX2g19T5Qoif1XnL/&#10;TQbfzJFXvDOzTN9iPt5LNywiNPTdLIYKho57v+VcA+i5F7FxG0rzL59Cfzz+TwsADCsz8cSBrJuH&#10;DxwI7/r2bVEgpz9kBjdhK7XYFRRWTHy5FqfqpcuXrTCjOKRVfXe3NAqf6wC8XuCOPcm9ux1jQuwi&#10;bP5AYg8fvrZ7ycEaTroCq8Yq7ksjJgBYueCJanNpbWM8O8SDPyVRqSTAClLbV4k4HewJ6OzIG09P&#10;so7A0l5vo4jK+aqx1guoUs62b9qoc6RLUAaq0gHgKD/j7RWQ72dC9J83/PvbTvnD3RU3NyxzhtPR&#10;wNWUK5GRR5uAmbcQ1muSKNguxMyeWLgFUNpxhgrqrR9t/99HFQAafyhcUIpgGqyOWvL7up0mQhkm&#10;eUwILP2m+ItwwPmM25ivCV0YXHoP0ogPxiYmErsAdqfYfMBDw97TR1F4FmLLl5fuqPbEBOAtcHMf&#10;4YIvgcu6trc+rTEnsvBaaEiIy92yrUZGOeyMVWBdtQ8Xlh5ju9pU13rJQfIcUG7kbajcRf7KHET0&#10;21omujDwfU15M+9aYsfzGgxy5+1KCxpqtSVoFLpEJfgovT3wTxfmqA5Qjkc3XGwG4xMwuWSU4thQ&#10;fnbi9+8yinw/Ad55AtlwCYW6fbfDYSjwrTEp6kt38AkciMcFubhqv2UWTUauP1Vz0gFHONoXeoTN&#10;hw0yIUw/4WFvb68BnnNduFgKKmjt+EwTY2IMIKapZfNXQTOdCtJ4EWT7KwZTCrRTlE6M+JZ3MME0&#10;fnZUxWIMwzl5Zw/jS3Gyxh8ET3cAthW2P0zxJ13Sk+wFXraKzqzlrIqKhSW3p/R2X3dA66hzA2b/&#10;Yj/jdceaB5ICVgCVzEoS6qOvOgbWIlFBAKJz1G4ZQDBF4JS8ODy2Hm1mNXZJWPrJdRyp+B2O1o/2&#10;9pOmETcPHjxo0WSfq9lUl4a5KYvZ/rdBZ7vP59YuWoore3VyPDkl5Vq42OoItFaCiX18M0tYL87y&#10;eybNiq+1BoP7S2m2k/fgnKX/E300miWxI28/v6Ix+tBQCvygZNTqjYuAFNS/e/fz7uXL1fIeHdw4&#10;SDUoME/DCe0I9JbkiZP35MmIXdPbzTlEngNuiEi1764H2eeA58uOwr6RMFnMDy/h3sBHl7Zzg5Ob&#10;W5E6H0FjRol9AjNr339armXadpc6JmNClsGi74IaeymAF2pddfagLeDSDL+DfeLtWBvbsR4YE1rb&#10;zKGz7QgXDrt27Hggj7vk/g+iRVzSIGEW5PTlDHg/6mOht50rZn9iCZ3jDnGiyIrblCuLmRtTGCCo&#10;qncLn72ALZsu1iAzTkL9D5eVa0HUvYo6as1UvcDGzj7eXh4+fw6DjeFHiB7wnHn60kcAFmzXll/M&#10;nhhHrA6ctLhOnhxozDncmzz/F/u2ik9LZ7Jz4f8bqZJix5sSBMoK0LVrvB9PJB4cQkFiHmgFwTkM&#10;tGnqPV+HlnHP8QBdkDkdP3CQrZGPUdxnaN+jp8HholkACn+fMkMFKvoQVgY3UTSXPVElVkpg1BFj&#10;FfwMPTgNGHw+GbknCyTp8n+erqQgY2btpb0FnjmbGcKHa0NXz93ELoN0FDD7vtWl+Q48lGKYGJfg&#10;6L6OIYyTDK3AvMyUfTBCysI8eCHWVCZgIivjqQ9Ge2QhEUVBVnYUEAqYplb9FeUVQNHM65YPHcWS&#10;m2uYOEkhGg0t7pYDLy60B61Tx2l/gAAi3tP0sKMIpvrNAOfCYfxUE7scnQF8QzYfGp20kgyZvQ9Y&#10;sEUawlQjrEVOHYb0bqey9+idin9PgQ49q5e4LsQPYS5AbGEDJh/nGZtcj191ghpkhHx4MZUok7NY&#10;c/N6kDB7iGdAcbmvCXWrNMMPp2Lqns11PgKeAIOLoOWhX3r7+bhaUB32hPJDCnN83nmD5dxzjDBO&#10;O2cKBGfX7+ui+PhOBQUFy+iEzuOXldynodFRC0VTJWjUXPR+8xRnEkYV9OL0uaGCCxXODFNTjnRA&#10;6yOI7ko+VHvTPimRf4AJmeWYankkvXGj5w3sT2Rn0ArP+Sg9C40tmggRgZLds5LO3gE7u7Ed+1rA&#10;vJmZ4WrhElyeJKJo7vz5wxs2b/ZNsLEHKciEn/EHJU2x++HdmevhiveNzj6Nm9DCqoRdsUoTBhg9&#10;UnqV9gh7merhjttbif6g7tWrVXyM/fg952mHjSo6MNhFMmmFG5qa3uyDDdCmtby622AfDnnGe3Iq&#10;24ZBJznkg6YNAlwNj5ZBY3IfS2tmNBgD6LzXtw8musDJtd8L8fMrnELn1XJt5OA0jV0QjEnrTXMB&#10;esNkcuS4ixSD7EJoQZYnnknSCjBIGvvyofsRpxgOH5mpGmp8eujdep46pbGK1wTBumwRbgKcFUJ5&#10;6L2p91CfZE45Hxabt7YQ/IshWAFKuks94Bwx3LaPPKckIVYpOs++9MR1nwLM5VwmrAci8EhGrDUP&#10;NOotoKDrnoFKS4l3qn9ECDQqhB804yMCmIcPlmfyBymyA50/CdeBfO3Sc0O9WEX7JeeDqnZm4PP9&#10;vGcwH26gFGvZD2pB6OiFP/2CqOtPUY07LPnq/Ec/dsbUgPwoytd5Dw4T04tvsm8pyJ5vHR09q2po&#10;kjksOTX1Ov2SGZqYJWhGV/Gaw2rSE/e4loj7VVGq9XBwgypvYynFYcgtjMHC5T71BPBUZUftAVGz&#10;hjc2kWtzC7p+U89bvN19gU97sPD6fiV0HaEwDFtScsMwE2ik/BM0av2/a1oOSLqc62dI3nwpKiy8&#10;X0fHl71osT3PUbxLdq79YMnhlvXumuAyxm184vDUFh7wFF8tEL+CBAOgN5kIZfj96O3lwk/7S2jv&#10;1UAHFK1jWuFXgc7kB/9TlCMe3QJyh6GQIiGGHlWAokMz5wt6Xcfdf1lW9igt4y1Ovdzri4vgITsQ&#10;/fKxLmrSDXCVjKlHePVFhmNjXDp9eus7CdBPlRjsm4nr9yticp1VoS/PfMYZ23Xw0JXBPJAyRJUy&#10;ZkANuh86/O93AHvH+kaJNQyOc8n2TyA1mgctHQpvYfXmRYFq9nij8qClzjH8ML5yYw2XiZraC8zZ&#10;YTNV2Q4Um0S9vq6svCG/8z4A4kCslNCJysV8xGsqmdfUtCFdyKCARof5vc4QOkv/yo4bte0vEJ/o&#10;tUm/8Kax/OBgO0A8v2mGOzhpLPvhw1NdfX1FNJAczdeuspt9O+9LluL9vFxyK4fpytVb57+XrGNH&#10;37SiOGCrEgrAsZ0NkvxIaHecI96+1eYCZ8CM0dnzQXf01Nme4VY+qp5fD03no6/eWyHd2OCJCRZ5&#10;GmR629o6sUkrfCHisJbEkzhyf0iNrMlasXKlOUw1rrmC9gvAIvUHyN09ze8u3/ag9g8HuRrRpPy3&#10;4HNo9rwXMVYxVDCO7YGmfsdl6fQgvT17XkPBapaJ8aoA6jMZDFE2/xOg1vcgaD1Hm98kOeHxbPz9&#10;dMZ5D2eNtTyMKhIMNJhE/e8XI6JnR9h8rfADDBUAC32aRRKXNV9RxYEa/Bp9yLU1AMDlkxiMozjh&#10;uRBnfAZl8/bo2iJE1bY7Py/rNRS/+vL9u2sH6GTxOy0wWPsqJy+vXFdd/Xp4YIDSw+W7BmiBOqiz&#10;Rn9wRrRjDRCzwysLwp69ePFVnHEbi7An8kJ9oZX5DtRt+ykIDmofbkDV9w3SQaV8eueWtZtmGrT9&#10;82UuoJLFWE4GqXeouR+qXvE/WZQ01JnV7QfRazAxOsFEbR8coyp8FiObMrZ6c75T+3Y3SEAfZGdr&#10;z5jek1wtc+2apthXoFqNO9uW+Qu/gDRzOXG6qVJzAbRJQFaC8QRubCg5INvaAKXtGczAoHRdyrgN&#10;ZYOjgdhHatHRXmK+lCno6nx29r07yn5/0555d/jFYQBbNLQvN7GZjaFHg6fEwsRsOXlE04UvY8PN&#10;REY7035J7V+YiRbH7jVaRREG4Ei8KFfxfy8Q7lWpFt9MfOz4G/NhJ1N8Dvd5O06X9uXDm+n30+Wj&#10;JleETfVLT09+ZuIDPPLNhMpFHlmALwArklZkKt0bHhbwzjZS4WSdwejEFMGEPOgTCYzdkgQJwGVB&#10;FvWtX+PwyzVzGVVvI6S2cQtkAmMLSzq4gI21lOFHkNadXDk0XhAQO/Chzq3DIjURizY0ax4k4YBB&#10;fevdwuE6K0kOpukvd/nWLfv09HSLKtxb6zd3xtLm/c9XE4JX77oUnaffqBxmE5nGTszNV0bdvHlo&#10;TXh4NvT2CTholaDFlGTgwRUNweZRnbFZFHAAQLkafKxZxgtxi+7Gh5xXByuBTsHY908zbAyFtMLD&#10;IbFyvb7EEWxhIcJXKMRwB4DcBcW3IxulxDkXAUoaZjDOode5Kr4SHREwqE4lKDXIvqLL+QO1gUug&#10;MPgLcia9264PsIHpJ3A7PqaEOpPSUo0OIuVGWJEckwwuDZcUgEvmYuODq+C0MotR/OGDAiZdHy0e&#10;jLteNPGnJReocRph/FUNDZOG5nyA07/19gr0A5wzx/CpOSxABCEgdqLu7rL4GLJeOxLjXij+Dq8d&#10;lcHbBxnx7g0AcQ22BQwG+hCiO1DtGtxOSxvbAGD4G8FqTAxOVTVo3H8SgCfF8EP3BwuTBoV16942&#10;QnFpQYK0+sUSqhduoi35+Py5ajpdEDANKXqH7uGP2th0ao9aC4aZaAGDByLDxFglLr6IOlVywzq/&#10;9/Fxq0+oALM9FPYdRpMwyQFEn1fapsoD9sf86qPPnx8NP9CchVNNliMpDMsbW2ZDNML+r2gkmaRz&#10;TIqb0ORl4XUNUr6WA8/I9jf8suZlVyJF8QW8fz7DjAlz6tph3DdjoPW+GuF3XuBxFuCzbialRdnn&#10;46lo12g69gcIsgzIUXkftBWaIDN16jzDs4EiLDozMdFY9KTvWkhL3X9/4QCcO5tBiobrG9tzULp3&#10;1Ux4v/4udsLFJaS3rWhKXTBsJSsDz/OKMuZvWYCO8hvv3i26f1TpoOTQDDrLOkxyJ2uQM1bW31X6&#10;v0EnORrdf3Z82Ut8vhBhNlKtxwEfnEFIJQpWfg8HgtaXMKqokmJj9Q8HENd6z1axEAXrem+hO31z&#10;Gbcp5GKn0tGGuvnehc/Bj1j7Ni3bCm1c0XWHDjyDCbvgzVjOFVPWPhuaO1/9iOVbgcdj18HOwYWr&#10;T6v8Eio5gKp0+vDSKd5n0GzC/t38PBUWiYzoLYH4WBDP8F1T3ML1f5vNunfgk0ZfKR0HIL0SAsRw&#10;jHCnNXcb4xliZub+aWE2CEIG8qiNQHOmC2l6Yv013V27cq/3Br9saZHfu4q7QVYKncoeAmYxo++u&#10;rc+tD/LrM071+pZ56NAJK81LdCWClOoUkkFc1YIvq1kq1pdFpEJytb1Pg8G4g3+YyXgFsTZfn0bx&#10;ONsly6zI2XN78hfgr4jFIMd7AAh5JwmHIcMaMCsu++XWE3sToAemM+WHHVYQNpBmDFaPu+1Sl4Bx&#10;f4awVE3EMPEzsdB5KPgMdl4uh0bJZ4OMTMW9jHfUPhkNj/rPmLtJEJbD68LK0u6lFFF5gmWGWVS7&#10;NsLillA4YkFo3ub7jhtYZf4auc+4EVctz7DxHYGbyqD+lHC9TABIZiZOMhi4NnUUKOswt2BJNT9m&#10;aPYA6M8A8/yAulOMNo6awTTgPbt30yn0KhbBtmX+z6RlMJhRgF3c8Nx/qE7tRvwrbqn/EU3qyU8X&#10;RZdGrhdisuqG3WjuXrGFWSyomh402cNzvjr/1SvNTCRo12Vs/pHStjU/I0cvQ13nfSJLGphihmvm&#10;GYLM0CLo2kOmd+eGHPBkdnw51q2cC+XswrHA0hutINw3Zde3vKNKj8GIBPx2PXL0TUVFfRvKwRdE&#10;FrQPjCwSzvnxqry8Z2G0liPq9BYkGRJP1TRiHOpg8eDEi/280yVVpCg6TTnnmF8EW/kOdV/TcfiW&#10;9X/w5229xGHf1XVL1NLV3ZyZ8QNDF72kXCq+sVyN/iBGEZohA4mgA5bj8DME4rU1recBJesD/Ixd&#10;s7AdsXmMhYF8ECU8MQqVtnchj1+Fc75zqjGecddyI2pr7TH8EgPfdv8fu2upNrqHFiQO29bYHRSg&#10;R+t3xX9+hkF5nozMzKmp3Zm005DJW8C5jcj2I6M+ByQ5OKZvfwTGZC7ik6zXA2OBgYRoERRL3W+s&#10;/g8+GtDchd5aBrFzV9j8G+WL3rxbj+74BD7qwxEvn3OwhysjDaRa58DmcXrI2Jen/lvwOon3oiaV&#10;/ZRWHaPf+q0UM/yfQYLW4nA9quG7T9KCO5RBCdkFKAj4aJFW+J07IFzdbEqotxJwHkc8K3iLojdG&#10;2fejmejlS2jfe2FrVNSAZmW5dy8VvuhJR4Kgx/qDM4D/hzV5j4lCIfy/xkkAxW3dDc+pLfO/QISz&#10;LaIwlkd7W4k7g0fboIPqKHAflxl+MD9VRuP9axz7GXzB5HRv9X0Y8H/lcUc7yrd/3O3pRe3VtatX&#10;2eAX6nlvX8HoMBPLzL1VuDqzGNIEttJbudNTsycYhgo9luZCBIih7LrL8GsGpq0SfodYBFDTka+D&#10;w2IisEgwemvRdn3uamjNgqkyHLzXh8Yoj8VLKcWseRz+/t2ERYIdgL+NAwaZfq+HHov/74OteSgf&#10;p2ZCBOIJ7nRuU2FXXVq9wBtXwvEelKdd1akOeuYVTIXlgDgmAp1gckPG4qfuFkWIau2uQbD4S6Kz&#10;koA4z38luTIQ8z/DYwZ3c2EyF5t8C0xH3XKgDpdYsevW4w4weiV3rQVBQB1OQPJpBrKbHLk7uYZo&#10;GibGHfghpSEvVR7IegEPJEUL82hUUbbIb45cURUZGBcfvXrpUtV1H0d8wCuHrFeBUyFrKyewrV1j&#10;rcCC+Vi3auJH/y1fGP8Fwn0BRWotKRsf7bbc111PrUmXD/IiSdxiuk4FPZOWJsjRK5iYKMs855Q2&#10;8PeTtLwUDdvQAdScd0hOqF3WUFf8Dw1WBwPx0MIfj75CUtx3A7RdB+nEsU4VXluZDx6E9wAE1gTj&#10;orx2bbnpPmVCwLDw8sDcucHSeeToxZ6SAYX6EVp0EhQT83GWv3AyQQP6qGlgnxmPpbKOsCtIKcAd&#10;dsK3dHy1nkORMPSmw6qWgt+XIymegqziwyP8qLUSHyH7K3xal4ZDv7ylktqsDd66G24GBHAAjtyx&#10;09x8zAANj+g/WjRhoJHoxW2OQCVS4mxPWpvrIP4+DtB53rNucT3PBKarU18XJqJsQgt7xwOFVSYi&#10;zikjkz40OcfI9oFswksxjSuRmh5G3B94OHfM6lwvgK3BcgYDws59+a7pKDOuJtmP4AJy+IB78ABb&#10;5egAEHwXiLx2MI8c07AKpFIDqqCfnNCq4DmNYO8O4i2EV//gOECEFAd3Sp3VjjozE7pXrWqnOINM&#10;LPv6k7Z6aA2KSVDJWZpiX6oyC1C+aVcrQWViZFXid85o/oEs04X2iyE76caWndt+pDusg5LA/uLk&#10;qqBR346ZaGFfjhPDY5e6bHFwE7ZqMKP/hM2rwDAsTR43Nmioq88A7/D06d7mW5zIZILmFgqg1SNJ&#10;I30MhFS0MBsrYz8MOWif4mvCjfHFpEDxemNr6GvULy6TBMxgNMABcyti1PiCgB9H7mze+agFByb/&#10;RMAXZXi+7J6Cic0eDG82wbzF5UnuA1Rmog480FCybVAsPf1sf6Hjr3Axdi6vnTvDFRQVM90g4nQ9&#10;OISDIb/s0p5ww5YHkXgr3bxILVhZsILe3+qaMijmCs1yw6i+T834gcySyMx4cP++5g3vPuQDV/55&#10;GgCpz6JHYjCoj8VegfEXJLchtEf47H7ggEzOytTiMRhajnUZmFHnZ4G+7UP37kzjWTCnn1TmGFh2&#10;2hofc/p/UhepXvj77YalK8JUVyxK/ftAVyNEh1Ci/pm6Pgj19GFDkz9oIFmwpuoNrFev/TgFyC0S&#10;p3as9NdlhCCBD7ijdtBJrrLYNWqNCfkH4+NeihDUmnwd9YJCDyNRMoiVCodbSp8/H10X3sX490dH&#10;JtJ+yhGcYOX0PQ+/D5NedbWZBMaVAych1NknyFCBpjzI/gnpYzEjrrtsWYJbfc5BGMgfxHpU9fA7&#10;amILnTBEvzPtVHKSJbamfZGwzdi6oIQT8OAYSMN9UGpEtqG26QjaJ7S4IWyF/X/fejKWopg8+qF0&#10;MDNPlQAKVQQ1YENyLm1vtBm1RsPh5dfNUYJI7InrlAwFXUFmhjhJiPD+Tkpt2OABCS2+vVb9tQSO&#10;M2DzU3GcmV5tZkfQc/kFhehmjEYMoKpriescEjk72SbICSDfAlwjhKg3ofl4/MB3L+YG634J7b0X&#10;sFi109cncVUQ5Df2a3HV2c8N6uBmBvWQ4hj1oxMmv/rFtNZcfRaYge5g8uHTC5Peme8kFaC8ns2A&#10;U2Ww3dFaIHg9pJdnYmCjnjf4tjrLXHYHHjyg4K7Go1LsJEaDQnwB6vdYlDVSgR9txHVJAglpZIbo&#10;4az7hSs/K7IjtAzBXfIySOATAOF2SVPkCJeZNTU55ihBAh1qHXXbv3z5fT9r44v93rGkZQoLCekl&#10;QdouUuXiYTbpjHoD/6YZ6TUQoVlYWAhVxRbgML9suKo6oDGtusaddJHF7dHDa7VX78GQ7LpfRMpA&#10;3zXPLN/VAd5hNILDMp5phe0l7Fh3ZYpNK3MQc+FrmtDcjNmrawIMFcIwaa54hajoc/K9XNk1bFui&#10;Byh7a5FxlBU0jc9eUgtDqvM2MM7eeoOjmCf1/7VE0FQ5Honv+fPUK1TCYxzih1rUGcQEl0Qh9r9e&#10;hVUwtuknlAB4rYLu6Hx7IMExIHNEYB6ci0N4SHm0AM1M0SWfCzTcexIgrlX36P1IqIBTH2O4MrTm&#10;uzSe1/LiDsdUAUxqY4Tw6ZV3YZWoixBwojRvoFKbEAUIiHFYJPi87NMuzs7aycdYfobFw6bqUSMM&#10;nhZDUTTURznGKBtrga92TP8aFf1oqj7sxVPyo8oYD+Sg3xRvAIUTnNifn2BkV4ABuWXE+AGDFji6&#10;U8cbozNMEPmcANYVhTH+jY5fX10umwBkQ5gWDFl+YJvaKYYf+ni7vF0uUryM2M17poYaLWs7KqIe&#10;PcGxNllUUIiUMdhKEnV822dSRqbKt27uqj2LUCeOby2LdfR2heu2qDD8zHLtI76DScQQq3sDuILo&#10;u7pG6eLpRwkJI1Z1xsyZ6wWQjmYQKvSrre6CEKQ4ckFdPaXSAmILZ0OE0dBG8wudlYEAoxvAuOiS&#10;pcMzIA758FtIERVTTj+KbWnd9AvT/4V+C1Xp1YcRqHbASsEa+Uj6pYvM3ezU/1DsXBD5Oz3XLfoM&#10;Yi8P2aiv8x92k4lBK5RO/2ynbAoP95Ym3KUrgJB/gt1YA+0Feq0OFgbhaukZDrBqxWSxIajo8O4M&#10;q/+0ANpNj+3aoYdSfp37n17gDLVDCIQGg6MnMABCDSLJHPiTjErHL1BhdmbEVRMxB3ygDxvDBjTJ&#10;LCh0N6+CS0hRrtybWyUo2+CjcsAFA7RZELM/nc94BfjHEtC9XG1jqNV10kt5enioMzO60eOX4luF&#10;vXr7FhoDL4t3VvRPpHJm6/LB0CQ772hzZBDdJJ6Nh14tRcpcCje8XdV/UIaRJssA+CuNRyiqsmFA&#10;yIKJgZRUeGeMh7RLBCkiA/mix+SyIJNEV0xdDA2dTLObgozXgYmB8H2kH02YPao8M0JWh380DfAy&#10;bqN0nChE2frkQWM2KAGnml7SCNBRQkwlQVT1jogePvBKHvg8JHPy42D5rnEWnT2Pdu152ArgXfhQ&#10;7UyQA6YoheJsWvMEP0B8Ukpg8xr0c1APwiM4K0M7jCVgKQpDydv4LB6Wu8ajM15tnrI8eZxPXV/t&#10;+PFf6wCA1DU2VhYgbxcFPC1MPMAzOTnWZ8nEcMCFyNjYS0XdHMZtXJ93SZY7MfrGYIhB2nJ3bCn4&#10;ni4qZV+HPoKLPxPjNuni43Ui9VZ9RdV6jNyws1JTj0bc2woF6ldKyKwMYcwMqfkLT3ZMRdLIQPj6&#10;IpDITxh+0z/z2pNCUvow/KDFH+VT/ftp09uw2dSF3UzUAe3yB5rfMCZGNywEQoj6Odzt26tVSSw8&#10;lutI0RQcJn2LSH9Ue9Dflp+CF6w/lzIzaLX5ZxSh6YvSzYVWKq5csaK5paVlJTNjtPdRW+6aE3OO&#10;W9w+CIFPDc8rJVPf06l2/PX1aXHz1TjVdBz0GH74mzVR87sTTwy/CAMmBgd1Q/ReU/nkocUVhDOo&#10;fpcSvXoMJz4ZfHsI+5Tl8eq2YJhT6s06mZ3a2tkd/e6qwG40A9VURSHm/17G6ugJqW2qPr5A68tQ&#10;gVOrVq4sk4RodD8wZT7eU8tOUIEJ2z3ZXSSsDF++09gSLHIlIRgYgz+y6Qi/aUga3EJyKXdheNcR&#10;hfitdCIlQ7znZBYUTDwkuGIdut0JKMV8SKENm9xfGX0shblgRttJD4u490CpJR0LT5b7w2ii4rKP&#10;jrr6XWbGJ8KJNUBLrqkJVRO16sW7OoDb9ZLoFxBaU0n7UEw6IovP7Yptsne9a7ruO3ZluSRhxXSh&#10;vTnpaZB+5nLPObeGRgeekt6TzAnzKdk0b1oBDUcWlhCG0MVkZgAZfVcJwmcADKMeWgYM195+Vla2&#10;cq+JyWZfaooW6cSt4Z4zQoJxcEbqpFMOSrxeCmFvafbBZ4DowpCpp2cVIwFfQR32jWSLLg49dtB1&#10;4x6TPAsY3EICtGgw9PWgrFW3EFQw9JW/472gcbyFnmA4faf80IYS4QoCGGho6ffIeBCdyJAckTyR&#10;5GNaCxm34QAw3zAxmloaVoYziRnqC5T3F/udHNRmwQgQ/M5GUTVO6t/phRpPDDrbD7vv2OOH9nGx&#10;iuiDiL+bCUXa2oKuYaC1eSyMKgr6q096A2X5OJNB+1Ym7lqWSbHfFFpA5JSkDlbHc69dsuTGLIYf&#10;NZs0If9Lprf+htVtLSjV0ZqHpGf+ldQ5j3L2DB6zhb9EuR6G/SPrc9JHN7E/6OeAJaX/U44pnWvd&#10;7Aj+2/w3OvwjRriNEOWYmfIWr1Z+5zDa23JU83efhnxFwq+DaYoZigqh318oDk+e8F0LNN+y2hvT&#10;XPwLA9V+kARjJoOk9UNv9rZN4zHjm09dlUYZ56NG/OAzaQF66nWHD550qHtkpZLsY60iqXOGNGdp&#10;lY6/+J5LChv6Sglr7462uomlmMnxQ9T5L+XlLYSuiP75xLXmNxC3lFZNzYIKF0ZTZsSiNXeTeSAr&#10;4za1NK+DD2M66jTDj6QpnwYEZ6ci6my2NUhKSBjIQqsdhu0w5dghWKZCokG4/Gflea/9n0/IgZD0&#10;g4WRTH/qWuv7vXwcVjw2nRzV/0qvoN57UReC/+iBCWOn48c1MQO1J2rU5mEcO0sF1J0tCCIrofQB&#10;lOJk7cl+LS73JM9XKK020OwvZBa/EQ5Df7+h3oGz9XxUlDms0EBbPG8+MpPe/TbcLmRyp6N25kBu&#10;CO9CMB8BlgatYD7I/S2/PJbl/sXfMS8olAOxGkXR+n53BSuMGnq7HEaB9m+qtIqBSnQuBn1FYRDH&#10;g2iUUZnLVyMpfFZ42bISw507e64EB5ezeMznuZmoQdw1BvUDSGTrHfOouiqASYSVUHQiP0j8ghFZ&#10;mQjBneojvCX30b12MaZ0NqyZj5BFg7ELWAmcTqqewLVxcNVxobkCkg1u3deCAiftbuZpMa0sErKo&#10;stGOSb8YJ6xme5rRWVNK92wmgxsSxoeJG//vG5AM1hQ7kA+a6r/hYA/vR234THFT661AMJiWDLof&#10;4KZ0RxUZonBy4Y1rMgFWKp0Dct7/SmWmjDepNtZLKsCHnyO2MvPSrg2pbCR/ZDCwMmnU2T0IxDB0&#10;LNnp9k0gV3MZyRPr2PB1MH0gm5wX0gJWIVYQwHEMpjQnBmt1k7A4868UBND0qS5bd8Mkgh+TVcdJ&#10;QXU0/8b/fPRyEl8yGHMgBzl24Q9fCR74fuxmyocgjJrpkK4Npategp6fYDCAZ4pn9OXyldNLkZQ8&#10;vppxGwrmi3bJSt1X8ngCCO7AxVQlphD+G47JNpYg8hoRs1kBZ6JvXNilRFfzx1avQet4OanTVR0l&#10;zUgw80ysFzMY2Ep+E8sAV5CKAQsM9JeIsBKs+Q5UCaFI1Zmvd+/bl1FDPBzNi//e9PBgid/IAisF&#10;BvvMEn6wTz+hASaZQFHcqM26Ej2QH/fBB27asOH1W8RkK0/7DTkwcLPHLnXjZkgG+DiceCwPTitC&#10;aeLwbkbGPozBNYR3ZV3TsGAvcSyayF3EqCIYeVVtI0qHzSyM3+CE17YkoRzovzHFtau26CFpTESm&#10;m+/CzxLr1tVham2Mo8m1sy4dSGtmonbEgyuQGK9Zk3reuRVtzx/KnSgcXnSzV2IwW5WJob59u+fr&#10;fPStksqihHXtvxkHTyVoNn7oUN8Dn0Fp3tTYlxuhOKatJFKgFDgIEHj0QOGrxh1CtH78GNczN8+/&#10;rbT5/c7am3QPSABRW1e3DuVm+0Ri4Y3te0ow/Ng1g2FDWPGbwZOQ4xYy/KikoMUiMNeZ7NjaAmlI&#10;hDDb7K2chsh0D6nFq8fwxcTNDQdFD7UAgEy3xZxHLBfr1stiq4H09pIF+0fIm7RFtHYfQLc+gkyr&#10;g9FnoLa5ee7TmnVMSx6BWf2O0ZNuNPwMGTLG0fZc7nkewDSw7DnQWfbEfugbIMiZB3/kL2gG3exf&#10;FfLW0hEESgMApBcHb2Ft+8UUQc+JEbhmBWw2FApxwEK647hJ1XAVxpLGV4M8jQEbA0RQVMfu2rBG&#10;4lyqvSLlQRKRJ/RAvdft1rWUiaECMVTByOGSB6wMMYYf+UIMooaNpAqeNKc4nrvzLiKebIytlLgR&#10;aXEbWO7YINyyBSD4/E3ETf11VZkVK15aYBaEZq1cwAOVYxrtO7QNQgjcsWznVGNE0dP9nwK3/SFK&#10;4n6GHykI78SNHbUvAciHEdDKHrRSh2mwXjtM5rtvIAHRsFwhbQxH03wueoUAEsdASqhBn3TY856d&#10;qj51CtMAcs5dnvR5yPiESX/CaWoqYEN19AcTtWvvTlnq4f9skJR8dbm1Ra9WcMYezz8/RvqA3kh3&#10;tY0QefAquA9faReZU1B39KG19eBfL59S1ALmaz292+KtwPJtn8a7QZsa2b3yQdEBu4Yvf2V2DgDm&#10;qRfCWg/Dxnu2KGZ6xPqOFyeqonzyRfdiXXSuyGj6APPSeNFOqIZpZC9NpCG0vOY9fSWoYF8GebVc&#10;sN2La+RyMSTkIeHsWNU71yAgDjLGVhxAWpSeAAudqK4NmfPUObZRWe/XbHDRWENT85U2QwUqq4ep&#10;p5RR/twFr7ctzxH1xNiD/sd5eR8fZWV5GEXtIWHXM+gM1yumPSbxRdDLmzAp0u2LM31wKHC3lCqx&#10;tulLZ3p6mG4TkjZFjMAzfN7mM+ZgZ9Hy2GPgyGYYNI7pcZ+OX6WKSvlxLterqIXwyqlAC4S5uS21&#10;Wa/OTDcv7SiBSrtwwbypFgOf5VDN473Rik4m6HkMqWNiwkagtj10ZPy8F/ralVv4d9UDT7/Fm6ec&#10;iPG86R4M4iQb+MZrRH3Zx6vOXkKpeE34AcPr1Kejm/lBLV9zN8kGyWPDp+mKsC1Kd0+XxGKsLcol&#10;2P6Q5TCQKABKmp5tNZiqDF3LZU0lO9SHpcD54YA8l1un5xSAm9AHWV5zA+IgxL2GtherW30PbhuW&#10;wQT3QxIvDE5MN41UngWRYPBBRsBn4Mjf/+1nFq327WkQDwM/J9FUuWtahrCz7hBOcNbu7PUOPNwh&#10;N7Q0gbOMWtHW7m8EEU2NdMSuxjN4tV8uJqBOV3nCmURFU9TI0198aqNAZVgGNU5KIIDuw15awglz&#10;yG+dFThW0zSaLyYAhKjCBa38vRyT0yBbVUvB2qpibvA4mkau2f4qEFvOOefl6NjHhmpE1GMIQ5A2&#10;xBRhJKrBnEB+1A3xeSeICJtWIWBcdeNoDkG64OEt9iKbdAN9o7HMh8DCLReFXMlISkoa3kCXHD+G&#10;wL9GaHHy6oyxR0KtFYU8vxLfOccduL3f4JrkhgDYkB83xovd86/BXdTSEBELwwb6caxxGktehQCh&#10;7tIrv2FDljjDD7uUDdTfYJldggahQgtUzw72ENCmTGPXb/6Qc/3Hly9XjNA46NX0lq//NAQh2xB9&#10;TJA9MQNZENIkYUCjJ3Q1H+bk6MA3znP4c8ksxcS+Z2E7YH6XjiZ1DzREU0bfizMzT79eOvOsUpJZ&#10;b0N6iw7CWw2c0uwS+05L/z7Cc1Vrw5oKKEb9e3Y7EipxqJ2JASz8BQUGNNyr6ZPBSs7FlgZVq4Y6&#10;H5pAVFBtETFJHjQo9vHCTi0b9JidkJ7uEI6f2kTVf72h47/6vVc/s2zWSLEj4vRGQ0F8L3GYBOgM&#10;RnJc43AHYGzsGq8mLVL37im762IIj0dnM4TVh5Xv7X3yez5DBSNGLeCX/07dBt2kDESu9s0fbAWq&#10;ptyPTYqzg966e++UYv8n3MzS0ChbSSABtX4vf9zQKvHj9CeekKa9kMZ0tNvOCF0jhK0a5CdN6Ry7&#10;pxSxCc8RQ72S9WCtpHEqr2i3sdgCQn2TyHP3iXv/AV+GCuH+8dqKnl23i4p89bS1L5rjZuXT9AcG&#10;0dMa/xS7YJ7vM+NN7E8fcnFh+JH8Y+voECRh3nDWYMUNVsCmCpUm2hR5ELYVWD+1Nqo70Zps0MFK&#10;KCgpFVq4QGz6ahYsmiEYObqGC6fgHbmBoMi++GBip/IdBNqxVBrtzFv3eoy3RJL6cCqxaxq3+Wbc&#10;Ae/8SKWzKOAZ8lGO9N71JqZL6NvTLAIrwzBq5I7tqhK9Ro72nGd/Z/GjlVGAWYUTJN+8vHIJWWNH&#10;minRwpYoiYArNdEFUV2n+hP66UQBEAr3VrGzifS3UmF7hsXJuccxapfofHO/TsBnmlqkJthgRekq&#10;VTaCnshSlTwwQC0/M8neB1VDIGm+KUYfDucCknoTUxVL8FIU9L6/DQa5u3TC8lTH0oYXuYUT1y5V&#10;qUrsFtv/LGBG6cxk4f2HW1zOsDKb3reSWLVp3Spm1xlrdzNv/bFo0YwXzMls76vSL6h2CqhyaH2f&#10;uF/59LzyLOcVzFzPRy0aJ56JDd87f+isx0a71p0I3c7YvJmSPuEFD8ujEAp6bovTi8TMxu/No7J5&#10;ZQHYY3PAwIBLnZ8vABoicQYDVFSxw0hTUDxog4liqUnU0zrJhmvm69TSxkXscfBfaTH3WjLHGb1V&#10;YlYTIyhkTrFsnWyRzH46sAXHxy1+E/vQ0NADXPlzCONhk6128qlWhAEs+tbnraPD0QucsQdU+OZ7&#10;305ebdM181cRthAAJntHb5UXCsJV8XYizCuuvIanTMMtaHe0I1G9bIvv6doFj04PkdjKJMkI7cXV&#10;OZxMV14fEkDnSMPUP6Dqd7re6dnMvJXzEwzkzAwMEoqPPFyKuBDC4y2GOMq5/kYaj5CQ4/K1a1v8&#10;Sldyz3kNSyqrkJCQjdi5KiIuXlHyhYsNSzxXXClt77+DxclndtzdZCVQifSSnZGxqzA9VhdWDAow&#10;cvlOGpYitMnl+Jon2Gee6f36lXs9/kIo1ncBHgk7/PQdzuURPCl+BfeqK7uSOiZfZ2GdiK8XmA3L&#10;X+4ogg2jIiOTwUIdZTAkMTROkvQ5hKiM43J62VfA2mp2Tx7XOqjDI5gYxZig1zXbs6eUhaECI7o+&#10;aNoFhn79+iWDObTtlmnQjVXta89VMzbOtQJYlgQ3thyK97jTqxISXh4NBv05BGwt4eXL7UsVCjHe&#10;OwTzGn55vMw3U3tmqaqtZJ8xo94D0GM8AvYSziHxm7IfrCCVvETYhrUkzwI1X8FWHYztehxGcfux&#10;qT2oXGBmnJ4mOetDpnddc9D6dGqOPDvU6tiWIAzEas/pDlNAmJDOqUAKbPKlH5oim7WMv/F6C74W&#10;DfwCZmHR/xeJHI3EJRRc+RM/czBJko1JasWZDGGpI28f46uCHucafSr70QreiPuHoezu1G1kg7vR&#10;DoNVV1c8NShAMXYAvw1q2E1M3vYY3ZXAlENUU3MP7KWkaBPzfPP82mXdAgE4HzPfvH5dLxMbitkv&#10;OWaMvGNtgatdTOjjEj/hqY97ZjCEoYo45TOUF5pXgl0spY4jvvxhZmOKjD5JFeGFu7B5TQdgvqvb&#10;RMASBgN3mBd7bhIweWbxeC8Yq3jRG52ReSw0NkKOM2FbsFTkCE7xHOgC4WV/Hp1yL8mboGuyWlEt&#10;k/MSsFQZokbPO/SblVZDT2G8cxMmtG0gYPq+PDkFa5iNR5FtPsIa9HEuRln23ytErL2IBmBYCQY9&#10;MDleH2fqDUZ0Be6msiykhlEAYQr+5jfW2mQ3g019dwuaoSugdyqkN2zQcjlxYk6Z3D7rZZxsd+BL&#10;kTgOomP49aEHv3RDh4B5bcVWMX+Zw50miG1Hlkfv6sj+8wHkiqey56DNUQcHcY6e1nuWz3ApMHz1&#10;g7bN7eT3KYL12NUVYmKmENkrLEtmPYT4r5ukHbHwTNmLbycWITvkPvrDb88jzDn7fOmBDZiSW0Oj&#10;H2NqjapiuGIuwNgW4VHF9mFllqqzYisT7r/YldfPp9T0Xc3RQSwDh+wNZi8av/Hh+U5Ps2043SKr&#10;VtnMjrHZjYyiiSR+QqEwMpJ3hvScofGRgfJfoygP5mCVXj5zWmZu7vWX+yXfA1hcvmT93uMl3e39&#10;7jUwIckDipZDzw3wqrzbj/dOtxWTqrKXQHSGgZw3db4yrb9xzvjATc2Byi3Bp96Q3g0P4/1BLd9S&#10;OHApj3dtuP8bcyqYf/x29EvdexnHxQjntrCghRTDJDNWmjf9j4kSnO41Ne/jj05a0g/K2tVoNy9Q&#10;jRlgDCxLY5TcvUAqN9+38lPJE0Gi6sf6nZPoqp5nvRO/bgitezjO8Vg0HptVSVX/7ZOFkBUN3lnW&#10;MddtBqx/TkAZ9wUiiFp48GTK7nOmMfzt6MO4e3pwRrxkcfFXIfgEQeE927gNFGmY9ZEjvBgPMAfH&#10;arx/KN0i/88hRBGhp4UUBbDAzG6KouxuBOiS7pNubvOxs27DhbCwWB5IZp1RHY7Z4RvCmM1+6ECQ&#10;Ji1LisYgr4N31DocpwxogtywCa4LdOc8Be9RZ9G8+brIJtdU435Vn1zowDM63DeVM+Djr9xBD5aJ&#10;wejb3B1dCqhxHYRrCTfW7TmRBbpBuarsyd4MUQYDM1r7Eeki5EbdUcR14cAfOdb0oFSociozlHUT&#10;O+cF1pOoiDwgk/5N4RvHSRoMmtXGiHv4rZ5Osvye5o/eiPSWAGB4CVtQPhrBm1Wdc4GFfjd0nCIA&#10;9r7jbzil5awo/mxg6jPkIg+h8Ht4Ari3Bgx+x3nS+hBu52InyXUIviewyOMws3EbpRis/FsC4qSW&#10;r5I7DOLft/nHP/u3gBT1Bozafn/0vf0mlgI+7O3q90LpJ4ED0gOSPzsdZzFgSDb6HOwRz8HJo8Ax&#10;TQQXfCHcoQ5g9cSB0bExR9vJPafc3f9CZM4Lfubk+nOqn8vLyxvF9z39G/54/c9jc1Gu0/Bc75LG&#10;vKmHLDJsc+aYNTfTpGvMSdCrW8SFlqRJLJGz2zqPm9uwoxybnLQgaC4MDj/Xum/hefXKZFCjY8ww&#10;oBeKdVDz3RSeAWHHvtvVNoi5MtKiL5fcwG8BA7Do29ev3fBC8bneWfndje/RxA5S7sGQYrmD+pXc&#10;5foJejAAH6K7DGoj6mIZyPlB4i0xHhHhv/KBDJYwPgoP330NIxDl3ze8BeCVjRmiZYzx/Lhbj8d3&#10;2cGYL16wM74NYPTg0RGvgaIZaBZlRK689scs0i3bHhnT+ub4DssuaK/smBiadk4l8es8j6V9f2c2&#10;uNfSUmIsTWcAk2qgeC6hkdVC6q5J9pkcT5k/GaJgWT/eD0VeOgtDOP6Y7A4UOKBDfBiZmeig+bKz&#10;OiM+2EbPZmXuMiRuEnNX9+i+lXabz2HugoM5tnAPqCECqXGeVXNWDN/h7V3wAdd5ChK8SZd1Ay75&#10;LACfgHt1fHx64luQwMfkbU5MISvw2u9+DtynnqBHydw9Xk9fCMUJBGKyXwL1Fi1/cK2yw6Bqyy/x&#10;ZYZa0A6Cra/AG2yWwK25zx/GBryBBR3EaHJc3NZclIHKofxbHqSMDHS2MZ9WEc7BjMtJCl/gR2LS&#10;CxLXbnWugC50HoakV72DgnOsvgclmSXcexq1dRiwWdRjrRBK0lvl/y6FX54iixj3pqgKFc6zddG1&#10;l81Kmpq2rKPAIC7uwFqdo7kGPy96j5HRXfak5xOWwH9KqCSBlm9qCe7Kc4z2bVKAh/BvKBQa2193&#10;Yf5jgAIa7vfgUYXV+ufnCTSTpiIYc+lGQJQnQus7AHXhs35E1jWw+/W2dPjPn49wprShduAaruZk&#10;9W8PZEPopx0fPd51yha1xssXL7SrQVJ+HhjhZkw6sJud6sUUjHHinTsXMX37fiYGRt8ARjVCi/AL&#10;s/b6vfrl+MuFIIN9UVwsnC8TFzyFI9CGCd1DU12iPbSEND1kIFY+pBjz8arlHc0nLePxBYrgvA09&#10;zdgfucTHTI2Uztn8he/cvy9pDX2LmFOIk9gcSqlogxWXosG2x8DJDpwBNlxN+o6OlNgCM9Rv3c/K&#10;CqxH18Q+d+7JGERajvieZ9vMzJrZdLHpm46GM3wq/OqHEXE3IAN/hPeo0Lmk016oyExBERagWbvs&#10;Ho4mzEPK7OqrBiwLC22BCnI9Kt1Ri9QluPIJS76ieuJke/GlvBH9aW1399Hl9NE6D6YvFyXFEwj6&#10;9mI4YwhJwHl9I2Mq4yTWHx3/euJJEEWCiaQcbQgoFlzb4XDU7tmx7dtf3qZiJBpD3lJQfH+M/Rh4&#10;9caNTDuH6B1ALZoxlXyEQ0BusKCwcHJqT5IU6C5foOKDsReDazDK6wiAxqcEFTR4SrkawTJuebmj&#10;ggIQHzqpdjh8UVlyOgmflaGlttWwVTtlmdguOx7yO+zzhLIhKLJSP+CoEFmU7UalNn/+fEvRHs5H&#10;MuzJGHd1P7vj7m/yogxMZerjDUACb/ZjYikkp83PKfl5eWZZiAkR2M/aRAoedy8cuZFj+/f/4goL&#10;K/+2ZhBejGkxMYJJOU/6HVKwIOMJ+mpl2AFEAxm6O5jf+OjDYx0kw7P4vZzexxwQwP3AtRXhd0bg&#10;l7CDA15+FRWWmAvWArSbv37ZstpfwGB8KmLBCbU6zTlXcxVxmqvvvXuDJOze7OJPDrbYcWwz734b&#10;0oIUlyvI8PPCYNf+8o4qGXZMfnJFKX9seOkA7seM4xPvTDbWmmqMtK+gdzCpw/W1CK2KMaYzwxCw&#10;Vqs1itr+18IUpxxPP/PuW98OgyX0UPC9MieQ1Ll0pbuo2J/825/gBjufK7BYWW7cBo2uLu3KXLKv&#10;DV3RLtTcvLAflidJ3MF+YTZVgAZGwudL4sgrHCvOjQ4KzL+L8X5vwEwboHla417Q+xq6lCQwPSsx&#10;lGmSMxSJ13vsKaLzU8qbeAJ95gMdyGVuqqu4w3Wj5XISl/U4u7rOkwck1RzKf4aNyiHoGRYCPFdx&#10;Fhdgmi7tziDCIe2hM1g6/GvcqW8XSIvtNA0Ho+8tXBbBd8g8SgFTy9nU1ojlLXZ68f7931aYeyi5&#10;XjvZR3UPOO6it3CSno9vTkkWMsu9VJjtx/xxZdYoxm+fSkKR70HlcOfT4+vAcw71odgV/4Na6BlX&#10;Ey8sgl7gmFL9XoHS6f5oJNqHm5uppMPkSDuOmozalpex5OOHWeqjv9MqWgSVfRSa8DPpMm5WUFAY&#10;N1Nqw5UVohPhBNu0b0iLcwT0rcn0G0CWDml3lAWcvETB6q++/+BBkEbj/IUWuqdY+GayqT0HmbpJ&#10;fM2amu6f+T2TczDEFQPhzTVwmW8Xdry4krEdU0v7dux4s8r9Zw4HWCoQOM/B+cvkIjOhsPVRxyev&#10;pHzMD8FBC6Jp78tu7P2rJo33Fgz8f6W8X9ZdDvdMoK6leyhqKSjNO78N9mEYjACE9uzhFVcq6GiX&#10;FAW895jP3nqv8PqSM4CwZqA5iJiu8oELzVbzysAFjURn6iDDDhTam17rxYsXN1IvY5Y4x/vvL6tk&#10;OBF0w3hN0MTYOJV11iyJ7gtyUOo8uqW9Yi40GepH372Ihn7eHtrBakPE9OzGUTYneBxzXjgLHV39&#10;LD/fotf0qo8ATRHq7un5BrD8FCcOA6NS0f52oCTQrE4dZ3EHkaPSq3nPQTF355daXPzlRJQL/PDK&#10;viATqFn3ylgpVtfJ2fmiMHoCmBZi48Jq7Q3X8ePrGtazYrHLH0k5ueZN8vItgFq/7IHQWel6e84S&#10;oJGLwLjlSaEBG7xeCQh9FVqqDjBq1PCF+vur6pQ3QiL4Gg7ZIVWNjR1AqT6ZabwQgT/rm715zrb9&#10;6DYc05KTs7c4pK6d/lswt3UIHTggC0uXuynni1imv+izz8c74YAPFfhOZ/Ev7Hktq0d9tk7yDxac&#10;zbeZisw4/nMEVV1gcPBDJTAZZgrVd2y4j6qo+Ml7fj57DsOQx7B3oPRvrqhOy3NInOywKOAw/dcY&#10;NVrW2gsziU204OIEmBv7e4VAsH7Y2uUFgo8Zh7ZiJTkWU9dFu8wt75VNGNAq3GEYwD40TxQVYWOG&#10;jxP3OHQAz5Bi9l1YHvOHFP5YdvB396lGd0ADM6Ai5sXst2zLx7LFm9HAHvD0HP31/r0pX7ydrcT+&#10;EsZpTR5sOcqAs+ealStNdPEFtU0e2/Qcha6cr3OstqlN9SDwxcNXV1Xfid8etwIQBXRpjo8SEg6e&#10;xf+yxvSrBdp7g+QiS6cfx52cZpdeKY29dGl/V3t7+0ha/gKYhGkhJjbQLQNHXankO6nA1tMv748Q&#10;XPEEJRIzRuHT4bwWKPLgOjqFDDgEv81G+u1N3gB8WVIapoL3E0LDrhF4xsIoBnb7k9Ni5ymm6etI&#10;G7fPL7EvmlXAMpAfvUXkPVaVVJsYGaX75ctP8WKxzhpw4xmym9LoxwO8QRVnAaumkcOmblXfkErp&#10;l/BeaSByTlomEtLr6uoN/ruSTtJijqyG1+hu4SaxDGxSBBkKLTLFsNE9QyD2c/ogxtdVsFXpfHmE&#10;iqLJfFtdwEApUEdex9m2x5iU3z4F1xWdX3og8HGivKo6+JGBYpj/NwDg/ulX0vyRs/cc5hu5Y4ZW&#10;CajjxRxnTEbHqzmL98748JiD+bKkLP88gcqM5NZFUP1vxBbEmU5PbXpSoTDPI9eEahfnGaRYetH/&#10;YVuCFp53OurztfdHq1bVAcHf8ylQ1eWfBq/aF5+/NPOLivkD6EQN6E5OQA8YaFq2jfNs9oHSoIfo&#10;lhURg7bs0te/HFz/CKauA9S1Uv9EL82nYyl6tST6WyHleAHHg/4u5JTEUGzBlLneP3kVzBeXc8Vz&#10;tOaZAkpe7gN9ChwcHA8E9tRSkYfZR2nItgOcv8qKY3mgyQzIeqM2C8En42PT+BZU4y9CdyzU3rmT&#10;D5CJPu15f/o9LNM064v9wEBoWbs+LiQ2Ogzgqe2sLit1chD4JxuVfK76PC+/6DzaU2e56GWhSxws&#10;FiFQnnd7dF8ktOMjcPnF05ecetVPgStQuMPX9E8oNKTLjS3V1M4eRMatBchSgA2gXP0Xl/Dydj9A&#10;XTjhLmoO699bBH/M55e9fxAsQeb9UWoHEZsdToeFhVFz27Z/iPIoX7M0PRBauiGxruJlLCcSFOZa&#10;XLfC/PUQ4X+QH6x4AG1V32IXmogLQcfkouG1bB8hlhCaQx9pIiffzTfxBJk7DUFW/8P4FoUQ8X0g&#10;UsBuKikUfIuWQG08BwdgqkgDqzLPYF3hqjVrTkQ1Ym5NolE/J1D71I/1bDNmLBdEQNzNzBAGhSqo&#10;1ui/g9/Nc/thBwcBu2PHJsM75cTUgfkdhsqVXSxvHuuCtugYfTiQRDeCL19x4EeDq+e+bBv9SyhB&#10;SsF874NOZU3DwYnxkVoVrEmreft23YLKd11IIgUYEEqFaHSYOWy+QCVoy9m60RhB9saoyWMcldlQ&#10;y89J66MKx0barALNXbu+ZXl0jO+wvDgcAzow3qCMhFcPszrtnxcqs1NSAh+gT07Ahryamt+2UKh9&#10;h+/VLKprcsbvmXMB/FXbvn09t8u4Ze+gF67gN4gXMVLJ7v2DGsets34MKkCtc7EIIu45o33vPnQt&#10;XRRWloBCYDNBCfO9tRe6ega4ETTFvF6u9DzE98ewDndRtYsmc05OTjZkSjLuP622QV9EwqyH6M+Q&#10;XXNPd3pChixNTd2v7XHIrNs/haiqLzNk+jvM56SwILUiwSSroamuTu2wJI/9nHPPy347yM8JK7ty&#10;BP+KomAfTECkjC13UtyAW+/+LYffXL0Jh/YP+Z5D3W29T3jIGrUE631HcRESgLqc+g2Rb1SK4dEr&#10;QHK0sMCc6XqXONrQvdgP5v8ndfaMrZw1GOM1gQy4SEpGRudYX3swH+LM+J9ecy7wLeJaPUsYfgbh&#10;wpyBzJvY/96u7bo1Pu5lgd5yeXcp46vlpyfn5w960zRgCdesZn2YmA2zc3C4PDMoh87uETwWTuzF&#10;deCKWWUIVjGarj1w8mrCuNxfnkL6cke//IKrieayFNEvCJ789maRvIKd/VNcKerh8hDI/ZUVM7E3&#10;Sp8fG7QVUcnPAtZbhBmTn2dXxnWZ/GjNb+yhbwubEhQf6inJyYauX+ui2jBHnZYF/5IS2Ko8XNjz&#10;fDBD28YmOTg/f8yWweDZcECNt3ooe6Xk8tnMl4Wrgjc9/sXNR/cdlQTGB3MCM+6msVQqel0wzz4K&#10;srdoIw5MQ2OCfjLy6md06RTUjuE/5FPfi61iov0XH8FSQGLmmWcvuZqCtsdBR/S3ps13yntRmgRa&#10;2jdI0T1wTpcAUTwlZ9yWScICX0A8h6gUw5+aN3u2k0NYO/aC2/lSZ9UXfxh2ohepylxqe1AoMPQT&#10;ipC1uA1Hf91aZhEBRv7a6KinB3YLeSqM3XCeMZ1yOZFyd624cg5RcUStsWaRSoJRqUO/rQnrR6vi&#10;8497WQ4cPrzo/OY5RjiVs3S5j2KPLeZPD7J+1DRwVpB+sCgtE6TwNWC6eIdS2OCdNS8NO6P2huBX&#10;0JAO98IwpSdr9P5trBGbwLmyxdrdLFgdznk5MJCtTj1blpiZou+k13OIQQ8AJPWc7Lppugrm/hgN&#10;fGC9MWLdvUDD8OcAPpW1mi3sZKcfPVKRhYZGEqPn1qefuwaCc39KFuUu+3xc1pmKwosLzmaHPpZJ&#10;A0egcC8ToRYsu9JWLa0U3mCYTdZALllJ034FhIIZC8ntowMe02mEqTiA48omMAmnjUoZWIB8pr4D&#10;4TMODgJr4TaavewP92W0sfmgqddRdzy9swc8TPQTXVXzJQ+osKDWtXbfkmEREREM6oZsbIVLJDfr&#10;yKMOTAd3zvLfaev2SQCVu79fVO7nbR8Kv/W+wZKCTjv4fGrt3Hmw8NePdygi6u2OHr3unHNyfohq&#10;K3okJXrZ9wpRiyaB+j9PRdmz2lubhebrHrLT1LzQQ3ARxfz1CvrJkOvuBEe8oQ+hTR7uDiOL0+ZL&#10;PHjwgIMQb0fgAjnQR5eg0mtpFTQ4R0i3WqvWCL2ifukTRfACCKS9jzko9nw3gFAb7nV6m0HTQehf&#10;2fk2/RCozsne/GseC6voVsr7d8SzuzUhMV9jK20m/qF3pPI0vtZ5FCwvDnOwLAZ1XH0Kxk+nCfQM&#10;tN7cSjgJPTOQNe4/ccnOuClQvoXinr+4G5/JvAhmb7fwaYMwYRisbNwGXZcUSZBWUju1CRAzT5qu&#10;YbLhUQNkzAQsBS0Aq/2xudmsGVbauROvv3yCU1k0sKThRaUwKnqN4QKjuqwoLjSOl7CWq03QIEMO&#10;suU59ejcQ6JBU3Dph53eNRz+Qp59GrdixRHAXfgY4+QdDtBclSDv/OZHT7+wocHFouu/XChylnc6&#10;y61EGXipU+6+3/Y47PVhxaUA7lxPxRoalX61yE1h+0q5mtYc5V6DKOyKXuLStWsObEBvgLioritU&#10;JhstGAFnq+3alfERUmXsTt01iQzSI2c3HgozscdllNSpo+Wy2GkHRdOJ8mFZAGgvUCcJad+U/DyC&#10;AntmqJDy5IyP7fFdFmpT69WGv2NR8ZWydmwWsTtZIvue4CZVwNmeyNLrboWfnY+2hhZ968X3dL65&#10;XdGNLQeCCy12mqju21f4E2TpmcAMlrnoFeDtwxKzqu6/biAEl3AzpEwv5QU/dtZ/10/ulFuw7gfi&#10;zRQKb42Pj50O7rPOLAGQ+tzPj+Hm4TGSRw0aEN0rADDHH2Q8taF9guc3OzQ7q32IN8Rqj8MEZnxG&#10;l8CFcRHZ9JGT0Og5EWMHQcZoO/WNII+Gnp/y4g0xnsVggNg++zNdlJNt1eTkpCD9b6+L9j/f7vDh&#10;u3MYAvmtBWI179+vWtYt7vWqCEtudxBxFHPqr429/VWm20OO8qWB+Nxzl6x/erF+GEXhbBAKH36C&#10;/Tlgbe02o88dpNC5lZ5D9InUA1Vxa3P6h4fbHlDZiZteEFjfGANHuBfwvZgbsj2tFYDXz7w8uRHC&#10;8e5F1QYu+9KwDgqxlgzzRz/VQLV9hgCohpX5tGF54z380gvibmAyww1W8+pCfetTKvhxaIh1qZVk&#10;m4aW3E+d6jvau2X6SzHz3o3Evlf0dhazoWjkV4hS2Tq5xNlkj/vPz9ugpYdj40O1W1EzgIivXbvW&#10;iFp6PK6JdmBzdv2hWIV4Ccmuq97Um1ii6bSToEfjb9HIOESIDBEXkjUqx0yQKLJg8PaEesxi1j8q&#10;LNy3fs2aN/u2b0+8/Cqv+Qoxt1RII5+3Lm1HdBrAwUfpa92CRKwNkeDUELJ1ra/L5jrYtmRIHe3R&#10;fHXoQRVqM8I35odlQkDJN92xLsPuOrjiG3+8tlg/iAUX7BgSiq6zgEV0Rq6fCf8nhG0FeTG3Tejo&#10;RAEoAWloQrnQSjBlCW/tyMp2VIYWq9av/3kZUuYAmTmLhlD12aBYdjuioZYc5A/6MvbpU69WyB92&#10;TVObSOwdmNZoXGBhcuo+HSoKfmQ88BRyvfEzh6fY9FMAoEPRux0dhjHCWyrM9BtQQgud1zoWP93M&#10;+aNHrzw91z2LcjtJ5T7nhSlrIAV24NxPXMhIWCvyc25p9T8lClL7/6nSBRUee7+9uSEza9R03WIk&#10;4xorSvi/Lp7fHjc6MuKBPghm5/4t9BmJf3l2ZV5ds+H1P0eIPifiBlpKT0hkNo3CI0RqudWAFHWk&#10;CD43Y2BGzrNw4ZfmBbXXOVmZ4Or+BzPfSreiotJgjMTzGYoekXl8kRgR+EvoXMLU9qTl4KlPVNCP&#10;ig/jmvhWTvH09reD08GOTS76HXQIm4TzQjNUaRWQivAlf46S2G1JtVsok6k1VsPj5+xVBE6JjLml&#10;URpxJDflNLakI06oIPYPr/gUMa8fOpTCeLXMeP1kyuzum5RpJLSYHibEgIGtkDLq3yskDUBi4oo1&#10;DY1Ts0GQFWLbsknloY17MO3rM06kpmnhZUfQ/rZPboPmrprxhwBOgCiTHbJo+CN7s5a8yKyqr6/A&#10;eobuNlSDmNJ4zxiXDzHGdfiq22iHkaNyNC0pZS9f7qLyrw2Yoy6M8p05l/dqGkJwe/Io5iSsmyO3&#10;408kVHnNEfUX3g8UKRP8iH/GNtZPjbbqAoFwfU+hkwD5R7TNyD8cMvXfIGOUTnfK5c3pnJx73+rv&#10;SdwEyI/NwGruWNpz7GlrBCUVxAQPpw/5sA4zQM9LyBH8WWzOrgG83h6op07+6cwKhYhEaCzXmzb6&#10;365OQ7Xj4i5qyMfLe6h/3fNj86kkJCKMKH5KecSYYwHv9fE3BnA72UJlrINiX2fnq2M9T969P1SB&#10;0ZTCEekqquVhSMfXj7R+mfr+zhv7EDaH3EPNd++O37N374dtuNUikIqT8/47N9cabnyoqTXMsvRL&#10;yDuxkz9lIU/dR4txDeIbaApWAJSW97lGjTi9vw4yo/+cGMSjW1RCEvU9Y8Y53vieBW5VXebuX5aI&#10;pJ/Z9/eELL+cPY/PfM+fgQcfNivMWaS7DXfu3xKdRqn6x/dSaMcrrDd9Wp2G+060ggqYjAuEvzyT&#10;0imtra3twIEquXP3rkd0jg3OAlickz1EldI/lEOd+hkzDFd8jB5B7zYC6aL1ZwFrZJhJ95NjLWdQ&#10;5EtAkxcSA+ZhANbt6uAHm8gtQsI98SEThMrXjQFbAioQkP9j5DYlcNYtS2oFDFr8/cM51dXUJMGe&#10;g7wQjrfbqr7iygwGg7WeULkFFlyplNUwboYbmooauX4I1r4nGYyFAgKK0Z1muI5w+RqOinUzXHNN&#10;w1mnAmPy0RHoDbds8bC3DoP4LqllvICJIUxUDyxxMPnRxIrK9riLC8fLk2/x6M1QR3wmLd6vv2jS&#10;16kt7cO33CS2UOsx2LiH7l4QRcSwQoIDqdHMsD54lBgwMS5QVwIcxlPUJwktTt1u3GIEp7a3qHd5&#10;s//wosMdmNrX/Fl5Ep5om6hHiF31EX/RvCMbI6zQiiwVDioCEnyKolXVMDxq6p5IfaxFTHkHUtuK&#10;+bTfh8vtt4uEqHoWLO+BBHOFVMTb+6CGSt+5C92/8IsZvgHNZJYWBRaQGtRznWZ6gSdLKOQehBph&#10;O/D8C+iI1q5ceX4eQwXv8NFFPCu1cb4APz8/IzweOFwlPSw7lmaVnJysR4TcT3z+FTFzr6ERNlJU&#10;VNyFkqDwxJO9MxSU5KJjaFEcR6U7MMRutCoegPjG95qbrw2rN8Epj4PlUlgj5h3rtkE0WvXqVaeB&#10;hUU0vz4Hi7+wMPwGDAEckNn3GH5CgHhsx3FZT8SLN9Heu3LOd3d3f8U4yDYM/lpoWBa75WIquY4a&#10;/4UWZbFsu7T8VcTYnEcZ1bPnWswAqJNU28Xv1LI/eW085E+Q7Cz36xDchPs2SB0zTtiC6pzbF3jP&#10;5f2HW0Gge8Q0SVV0KnCfOHxMtbS1pcukBHnPeUJAu9S0ffsCVhFxi7zBA1SsOTtniwu24SBIGAEC&#10;B1in/Uw+s7AAbkM6oWFhj2jF1EHYZFhDQRgBMdDV00pt15JMSGHk9of38jtVFJaSdNzVGvtXXgpc&#10;z2A+nS1EfR2UCqerU9+/Qs/d88Z3f+lswASNiKfn8dGpmcKSU5O9mxzGUB7dJsqSyr+XUm4KGCuu&#10;JvCKShR+maOGc4wtqeUgugTB5hE67GpHwvgMoZytXLBs+x2rIbB7x0bw36zH/v51x0iUgkCahLBw&#10;8QQctnxB6ns4v/Tfv+4izwZRcRGRZwvh/g+ZgypiAFu8nb8zy4XCUiZIwgpr8OHMYVG/PL5HZfk7&#10;g/AXvQXd3RthlGqL4kHDWYBNdNIgfIX2zV/YhSR6+kKWeVS42t3dHlRYYQEed0O7F5YDCqFey0I7&#10;UdKOrxMlgn97Jv+RXiw9MJ1I6a4NMavXgqA8gyasGwoM/jNlUPKeF0HnyEH6wWNKDpdfrdYSb9PA&#10;8QMGt5sqkB1qHHqtGtNNkFWxgFtWNYAXeq8Lyq5GZsxRGL5P66UldnUIBqot/BIiTZjMfyBMDJtR&#10;3XnrpySGk0Z4PLumO6HaJsfdi+BJAn/v3du7iJ//qSZ/kjikD0eATnv5Y8yliYjXlVA8LbTgUjtx&#10;2o7wI8KIyFPnpVqjyE8gKD0onRYmBedmhAKMfYd52e8g5xaWzV3ntFWYUxNha4g7SZEHBq3cwR1T&#10;z1FbDGOv90Xs9Bz1UqgdhUFEAS00SYBoO5dR6W7DTQPf1u2Bqq1gdJ6hEfpMZM5dHHi/+kewriJf&#10;I/YCX6iMvmS/u7Mco0BNCAQPb5L2CwMiStPU75przd+VGJwXkgHfAz9G1uxA1Sb1Sb0l8/QpyWxl&#10;ICe1KNyxDii+CVH5APKJCWCm7L9eSuq3Io3gBad9LzMExx711wAt0ZIEbcZn6g3VTnQnLApdsIlo&#10;K+E6ofXDaGFfU7An6bsUETFn6pdwcUl9o3LXJN1sETkg5Jt6g0bLheQIE/29zVcQs6tNvdXi0tKi&#10;iCR4Yl0pmEmj3m7fBRdc+snyD7KL9E9MEmm0ZKSldwRmaOw9na/wSLnzVATe83y+gNytSQ4upSf/&#10;X5gHOBu+X6MEiCDeFgqmZRLCBjmnM8zRY/Honi5NIzF7LX6JvHtZwjKBMdhhquDZtgD2Efpui9LC&#10;bLDmeiegf2Mui1l47Rzouq2kw4zPcWxruTCwK9/i2vcOwZgXt37ORMKtvSq2TngqUFqcymSMV+1I&#10;qD6aNVrVWQ8230BhOteu3/NALBnATC9OeO39f2ptgKzHgeecgMow5N49e5bFQqw1An7BMSKcs1lC&#10;2ElMdCjeboE11SGDkECfB2AsAxHHHNg+/dVA8yoYc6poWm+Kq1UqxaHJT/KgEySTguH7e8wWhgeV&#10;uWFH2wj96wYs/Xhk6m3DTdW2McAKUmt6QFodUVhYaE6CCgQPwNIVoKkShbacOFRLbO2Boa3Crczx&#10;ByMp26D4PBJI28BXzZPnCT7IFJSP8XE+OdIC3Dt67Ngx3YWBYh8Qr5Ti7S5Lb+C5yAb10u+AgJlL&#10;oQJoNK0H9rUHNMyOFVeWbjfkcOgdHF9bSZ00TMgaMZGo8IxLJ2gUhdfB/r9EvomtXWuuDBb6fPxf&#10;aN7/MMLgV+5WQhpM0LxOw25Fm0uXGy+akyo1Y1qryQZRMEo02+PEneCxaZAsC/HtyhUDWTw0XvSZ&#10;2JIXxysg4EDU3SsqXjBiv1pqWlO8f0aI3rUrV9LmAyZ4yYvPgU0FfL/+IrSi1Iq8dInTBE+MlByk&#10;B6LSxtT7Xw1wOgLTUqAJrAHqKsJTc6eP7QuMpwZBRYxl2Cugq+Fj87+EdgTjaNLkGWyJU1xDd5UL&#10;YzOiYIfnQXKCLPgdJn5lCyzmGrv+/NAVDcr6BNDWu+6iOlFjBB6fr+8AajPwE56S9AEwX3rO3Qtw&#10;i1BA46PD5YuncC85CJE8FzwkcmmT8OjiWdCEldFi181kwA2p0iq1BpFjBuGwLwiA/JaqADXf7eGp&#10;pAa8uzvlKfTBLvFHOctWa5GREPecu7aYvvNRazhtvaMGnYK9plj4cUzNWfdfPD0Kr17XeWE0R2XA&#10;+KcUUihEY68NGRYaVKVzZW44WUshmYVRskaW56erYsk/Vz2fi83V3TxoSg6uZzCgjo/ZdUjgS4Mk&#10;JLz9bNVLHoavz149F+arWoYcX95L3kL3xMFgkEeynmhPcbMktEA2JBehef2TDg7pCg3tN+AmlEBi&#10;UF5j8otIxKbsZ4RVNoDqtRqCkGSoCq5KL3rWIkM0gN1Aj7Sr7OF3jH0lbr3lk7R1q0sAPhqbmmoW&#10;ylachnQ/g22TcyHmwnBGAMY6shH/l1YPaa7B1qW+APalvxfEnJpaAgBcGkvFNmMoY75a42/5S1Nq&#10;kdfx4WDhNzNGs/a7Eq48tVmGdN4Af/mtnOOCV3kDCgyjX3/Pqoo0IfJchSwFfyDg4kXtZcaWQLAW&#10;lduJcGoBsgefDhfBWiyWfV4ObUokSql0qNO+qPyrRs59+PAkD470xn8FkHfuiD3E6A2U8gtmQTuw&#10;8Relkvw3T2je8DAJhLxByDvArU6zpB2Wqw2wZhfSVSgkDRdeUhS1rqeT4uawsR0HjDlpCZDH/Ndf&#10;8HpZ81pnN1N8TOujiIrP/dTV31n53xrBCet5pfG6sSXGTA0vTHq51l5R5fwzGECi3PsTuUZiQXtw&#10;y9U7yGVCoPP9ASsIxCtHtelojaLQUQEMnocyuwyE3KL6YegXngF7HKLE/5JrxsR/hQBV9v1/QYGF&#10;oPLks66IdOELk5CRcWG9tuNbYG2f9Krkdwt/hCNivqTbBQlR2+c6TgbI7S/UeGMlp8UzuQmGqBwG&#10;FJ9Qh0xSfVzHCxnnNfGFtigofLAF5BpGwt8LGR0meK9v4OaiVgM5dVWV3hLc+vi/qAYOLWWfaQ4Q&#10;Ww4l2YIGTQPaw7bXBQPrpabepEml0IArfBj9ZA/qWfrd6I1J8nTfXfjft8p6ZheHB+AhNVSxK/ME&#10;RZ+QCgdB8UnGVd+2epKyEkRLhAuJpaGPiZ3GTRe9o0W/Qtq6ukKCFGd0Ty5LdcTM9nkEJwog9wpR&#10;b4z6QMBhg+JwrWAb1DXzgf556BF3gqZ6tTGtVwzzgVfafiKjAuvSxyw13c51mvPr6ekJpEF4XAjO&#10;DeASH15Yee8pPr6olQilI+vn5Vu6LXFCBwBk0ezp5Vu9Ik6R4dnwvg+GT9FehcCtAim5iWLE30G8&#10;T5MMxScV9CnL1zL9nVhfK+4yNeltru9FZ3AGQwXTHM48YdPiHwaDjff83INGcXkJbBKMOXNS22WA&#10;my/Brrs3wl8O7OHnnemsRPCyYLxy8M8VGG46Tlsk3u3bLLqeYxs6i1ukNsUqIrbq2BmpDbwzqdki&#10;9xRc7NhfaleAhrh7g+2HaLJTXxrjQvNpLsXUGzy2Wfxf9P3O9fDT0rjIczmoYy84394UAGRHDhz4&#10;nZuVpc+7FbxMveKMJDGkPgap9KgsJzAOyn7/CxfYNABUE7aHTrR1P94aNeWkuBfOWyz6GJjlPdLv&#10;OcWGDn59zRVFpCIEmcVctnl4bsL6XkS+wDxpdyjgEQKmi9vTMjKMn7djjO8QplUuEZDxdEEqKf2p&#10;MP1nRoWjcb1KnoSa2zp6YZnUn9nadm1/mn879/yFwhJIB1/RN8c3sVw4scVZAwoHfRp7pET5SKps&#10;0Q15drpXDbW17UBoV8crzzVMbyVPH0wXmod1kKNRmlp/HN97KgBkBNtQQzZAbIs/k9/eTyQ+F4Ox&#10;BSXoRgUlzOBhUoi8tndGKc9D5nXRWLCPQerjV1i5dVM1TroASxecrUN3Opf47VsHTdzKeOUzP1PB&#10;m7hjMwb1t133NpTGWT0GEMGMNUsIOdFqvjMr6s1KbsO9k0uXuxsd+UXk3x7CaBlh4GEmejKLfn6O&#10;EB1BFxNH7QENiqzdwd2NwYVjX/rJXY+uGg6+W8Hd+ZvY9Vr1zy7BpH79ljXQGNyt7dqChVRtCAqq&#10;1iE7D5UId5cyG46l4l03w8A8HVZwe1C9VL7judIZIIJ2mTbcKuHoNCoIhu0YtK7amy7DTmMWfvWW&#10;4NnladQJCt1Scjadvv0nqGyEXtwIayPrEhK88fizgXV6VaOLWos5xbIeLOywPmanBIzZReOZDDun&#10;5uat2PQjiuizGtrpSoADutCVaRiYm+88efz4hTqkKgzgfdl9z6Pn0h8NiH3LoHSj40DHIrzQIANw&#10;4QFAGICHYTS71HBNTmBnpM954LACDY2bwlRJr/qiewCjQmMozTHtydkIiIDbLdsR1SHNXjYrQ1u3&#10;ByNi7GmOSNFlhfilWAwe9P8FbRzQGToDd/JkDg7zBIACANMZUi+Xdc8rIQALOlwrZCKZ6r4tdUV5&#10;SFK7GYwv2IR1N6FM9Pe8EsDSitBwHz9+f211n4fdaOuuyqIaqinx9olgeiH1nWTBECdAGKDcsFRJ&#10;ek49IOslYX3gKwcYjFcQI87PGeJ1P8+UKh80DXPImeBFkDT4EEUB2IBNhAqGXQj4jKh20ndYQyh1&#10;AFtGpmWdu9CEQjG2TP7Eunhe2q0eEqe3SgfKCv0vchy76gJAJiafB0jwmWrbT4F64rArqMHDFoTF&#10;hTxiPb1SerVI913uXujDMIkKPNFw3RcgFjTyWjSAXXP/53NZthX59iUkJ5s6wLq5qrpLPLpV8oJn&#10;FgPnDgzq9EtH9TLV9Srk7QUbHhLaUycMkDPWAqWB6uCp1utqtjzIQ68bGv4ApdUuAbJ//oDATmA3&#10;VPNi6Ct3Erdwu6k3ACGFf4phqpDRUdI2hI2MsEqgkKFgETCCpDzhO2Q2fcSmbyT3BpDiByH+B40v&#10;ILBll/Um9gqJxT54XkGyKPD24D2KxJzLdVdXK/kEOgb18QxCk1QGT42vDayRvK2fTK3aGet7oCMz&#10;kehhxLG2/y/RR/u4YzMzM8EO0RldqFAIdxYHTFKB/Qz2Hf5/fYKFc86JYYFvLqS4yoTGaYTURnCw&#10;xCiP6r0gY2ph/BVoBcdDZX2sN7OjF8idxRCm5lBj8NSY/GcHHjx6GJyOuSfuwZk5djM727kdlHqf&#10;c4AEdGhiKAEqQM3zCrYhrGzXX3U1ccbcxXtLv2Ahj6Eb9+cZKlu3LkhCdD4MPV0sJbR9qKTeLzjo&#10;bFziNxymxJ31pd+9joSUqPzECZPq9R5/Z8/zALMOQKfWQnR45YW4ao7MZ1ueSbE59UC10LS6bkWh&#10;eURjDAoaG2ClU6SEekIDlqbeGOmJA49mif1bsqbeQG27Q8M7beTZWH/bwc0tTVRUlB95ucmOyAb0&#10;AIb4K7h5UCnAueIXhgzKrc6m/t12d3cU/UYPhRhpdDQYXVgdb7dwBtQbgKanhw0xSBtqIaK6aH78&#10;9kiYk4wc3749QJ9SPclFNMZo3HCcWBJ0HAYYXORPgwePy0oMgnD0jwpfOjarWmAu1Nz9qm5fDj9s&#10;mtfr/ePd45L7tMsD3Rv5ui6v7lvOrTRj1qx8pABcXM/cDif5nnklgCJcmapyXBeWeZ7fWqdZS9Nm&#10;SCEkZ7tY5kaQa/zfDIv8Tdjf7O7pKfiifZvbl5c9CWgsQiejZ85Yfkz0KQOGWF/AK6jRzp0USBLg&#10;BrrpqWJYazUHS2QvPO7/sKgVhen9petMlxY9SBe1GM09j6OrJWlEKBInKfbZfjXOCaUvC64HbK1b&#10;VUdlJQxzwlExJgEjeOWcjYxRmp+QmyzvhEmgnkdefZTQBdTcmZA9v8TREEoNjIzROxxTQFDxPK2i&#10;ciys3dWwRA9S8q+YIWVmqKAS+5L3/INTcoMRRuTlICtip+YW1sa6p158dj1UUgXopBfF5E7Ry2ep&#10;Jca+yBTtwVMXNIrseFiZmZYiaSHy7r9XtoiN9etqg0QFNKJp5a9e8dRVKynFSsjAMNcdFOsAmBof&#10;dy8CzsDiV6BSYu//S8AaNpf8l8WWK8GyruEWgqcDg7GRggCFKV/Pt6E2PBgo0h4b7BqIBvVNMNIj&#10;aAgQV2YNWaempMQRsIkcu1TmaB2fwhK/9JQE3gBY87JLwthzLkOFJn5QXxvHdA7Py/RplLzAa+sJ&#10;S5EQ5HcA7+XyJR3t7Q85GH6knVsgGIvnmVBb+T+t3EKJ2edUd+/f/2kH4eD0DuhM/L3SnmNdUtwx&#10;cBcbiIoMsMrKETL+AdhKtV/wKbrdbEJ8YBJS7C6gJJi2Whwc6V7/cXqoGJvBP+qAETdGYhpEHngY&#10;6JOpVp/JO1N/mQ7W9gSAZtmMQb8xY+u/+4p8FM2uCuSotwbKA2DmjvaZaRB++99ycocC+OSVy7CZ&#10;whm56edPnzxQ/LuutmeblPwa6NBlcZbzO3OGJT9Nh+X08/XzzidYA9XExCpm148v0tVekfrHnocm&#10;FXCmT7Ew/LQBVTrt2xezvrqvOjY5PSAOj2zfVc1aSB9G4KV+mHpS4kQ/DXV1dn5t76eCGeiZo7Oc&#10;YhIQn0Vp81sD+TIzQVelQLi6Bzr2UX2cFna+mf/1xAst6eCirvi8isHYgOHaqzExxy4O8/RWS2Ju&#10;oGkfoef6+lly69ZdnD2855IXosJvEl3QlAUB9V5e42oKk3+O8sDUMB3tyABGhCrBmJ88ld4rshuK&#10;b5L6gT9xXxJLYkrIBqFODgxZVQjiX/d5+zTSi+OtjVGf4nYsbeNYXNrx9esLUTRtCMqRy9g+IBmf&#10;+icZv7AkIXk8xLPCb/w7lW2n01r1uQo4aGhROtw2eIqp/oknSKFkVGtT23A/MPo4K2v9sanagLiR&#10;59+pMoLbmcDWwVPV+46mW0Fi+FJAX1QHYUqGj+EH3L40U8oLW39H8G9QXJag4UMFMg//giCpLAjB&#10;JiveCk5o2Vzv/7km9TJi3f42+nwBgJOzOp9/J/n8mblR+ZlqezgnVnJsGzhXATxD3sTAYNuyUUUb&#10;3ZwGSRghNHwOka6At6sRpiBlcC2CVzbtMLSEKKmQ5I/oe6/0b48L+gISvzsdAWu6TanwnQKm+l8V&#10;kBcaKXEBayZSI7FFJhq8iH0YRAwYOTTGOHeOFdCt2gJ0entpHAbkAauz1QBQ0zKuiZPbAs9TwLRE&#10;KbgXmd4HUxthdIk3y6FdxZpjz/LGL7bTJzEhISEJ/+FUH1Ragq/xqWnWohUTg/OqlU9qJOcEbN2x&#10;I3W2I/e0fJ8mCKnZU9EYA5VyFXsFccuYN0PH5KgxFtmnM4CEvq8i9n+ypAtp9F5TAe8ObyzLKuVI&#10;cF+ygDeG6YnB0fmuOuH0iGtPcgLioFWAoVT1DwJ34f0TD93xwyjL9yEQAF+DGsARjP6cauW1V90D&#10;Sz53wtdiTfH797IFI0/qAS/4Qnu3jQWT4cgmDYfQDFejtkZ1h6JLThR8KCxtTtpQzbTVchsKEqrD&#10;oFlKgiH3qYUTD12vmtnxTCOE/CU43lIoH6j+1PcCq+BW0g7LwY/wOMJIQzRi17dvObDZA5Bz/nrl&#10;/xRtebnTPriYZsVrt6ukybJU6A9v+2pSzjffdxMloqF05QbIbv7aOjr6juAM9FxBmO3XDvTr/vjl&#10;xJM5xI57Y9C5AqEIkdvYaiB46nuHAIBE2AqLkYQsjnYALaJQdT0srDIXBu2BKA5Od8amSJ09nIRJ&#10;R3T0K8BWYpzsaY87Mxt0JRp6KYYfccAdP/UvX7ky7Fp4+BdMe0k+kPKChJ9HAw8Dk6xx6Yrzp8PG&#10;Qn9hsEsqzXMxjT9Jk7w0N0b/i5Jd3HHyKdp+vLWdEkS1XoNJHLbZuoro56iKYXucJrx8ZmLvC28+&#10;7GBjQTD+OTap4PkubiOERisua7b+DNvv41N4DMXgQKRyLkH18CAzHZZ3hLLHAfnBEQI5bhxG63uw&#10;Cws4rK1PhY8TrCZsMU8ejjHnvVDKLExzxOBjF37lNxDLg/cKYep4GAHZDUS8P/DIBeDK6sUtYehn&#10;0lZVJRw8CV1d0yOKAbPK+0UurZ87XaZcPZS2DJpd/9FouaNJ1lpVsR+swETI6yKoQCVh7P5yL2Zh&#10;tuh7oS0SgZ7Bz038Cg7Qqn2xcKjYIit7HyzLX4wBHGzxFHhKNYD6ijtwZUK/zFpzF05H3z9Al/TY&#10;A5oNqJnh/vD/VHWtIU1GYXhmpLaZqTOnSYXN3AqzMJ3RFJkzGnhZ5KW8TaOy2w8RbcOZywulgUli&#10;ycSxiuhiy5CIYjBB8wL1K+aMKWpslLrIXLIMUdfzfmmZP/2h2znf9573fW4H5091SOEksl+DMTAa&#10;UW/MarL0zv1C/GGH86+mBK9iIcPQW7xqytkNsyeBjvPzQEpx/WuVvNG7AiUPdlM1juA7TaGxDl9o&#10;aYdFwN+54h5ihyGvzGnXaiNsjZnbLG1arTUH3PEljBB0aFa7cpnRZ/MEzJzMJ90DcS/es7ARtBxk&#10;zAN+Kxb3AFc/JU5c1xeuhVAMDE3NC3FBiL8KmRtpmQBPvEE3IlssFZORB3EMuntbC1jQSOHPOz+T&#10;2Bg514Y6+J7JZbe9kBIg2+j2wH3Zk4wkeNWw/BNnKrv5O1bHPreIi9e+oo991o1C3W0GedzrqEsy&#10;BkknbcB4Wy73CmVyKcjbi3mqR3wTMqWgebiQi5jqLHhiaEJ7ilyRF9EoI6loECCq4N2aKpFc5Wza&#10;vaE5GsxkrTTcB4HWYfUWT+AwGJqFMmwaPvLKDdI/QHxLt3iIgUmUGfwBdbw6RL8C1tvHwCllUP2R&#10;8JlUcYaKuAUEMXf1OeDvkVMkggi2kv4AIbumvITQX2Yl3G8xfv5zzGPn7E70o88V+fkdsTv0uGsk&#10;CYdCLyp3JG1fxUM/iFkpxQHy3mlK6xAKBMNFLkYrPwrEz2Nt+35o3oDmW8ITEkERAKgXPqoqfLV8&#10;I9IhkgMj06tuWmi6p+1jvGxkQWAoQb/maD6/nxZZgyvV1ghg6vTlgta+xUpv6eldleno5VvPsLuK&#10;r4VLSsFNLY6HXkd6qJH0GSjQinkS79shDkk4XvWfZD+Du9cRgza8cWiBelAoBgYxSs4qIWh3fRsT&#10;JaM59dQ8pqU/wvmz9CyW+2g7iapJ3P7SygHBWP8xmJxbFnrkCBKD5VYkyeLuXJW/h4RoBxmhnn8n&#10;PYrYInz9L8XL1lVIFEs/s6UoVzU27lzvNGaox0SNxh1FXKMK1uJY1YMck8mkBNvVrk9QX0lB+aq2&#10;uXTIrTiLl1FT5KKQPAXcdk8AvO+3mM3vB+xq9CDT9IIXF/T71hwLKP0Qg/8nJ99fYvVS/Mbl1wSk&#10;33YlGb0oIAD1o2GFstVnpCPmoE9wBMECOH4eKkVMyxGZXD2knd7ZCsge3xE+dhj5HigxUptTB6Ii&#10;CrPaQR4nLlshkzWeQ0vcidBPnR5mwDQDBa800ZMIlJLNEKYTViRABLr9Dmha7p/IMMaz8CNLSZd2&#10;SYpqfwNQSwMEFAAAAAgAh07iQGj5t5JuBAAAaQQAABQAAABkcnMvbWVkaWEvaW1hZ2UyLnBuZwFp&#10;BJb7iVBORw0KGgoAAAANSUhEUgAAACEAAAAuCAYAAACmsnC6AAAABmJLR0QA/wD/AP+gvaeTAAAA&#10;CXBIWXMAAA7EAAAOxAGVKw4bAAAECUlEQVRYhcWUXUgjVxTHz0zScSJpFEkTpW7TphtqsxBFFltt&#10;UbCNHyWrBVvEghbcB20CuzVgH+xD9kEfLMQPyKoPFrSgFC1YDbYaLVh0qyUUTTFWqqvrB5oYRGMw&#10;GpPM7VOK27o6dxLHgfty7jl/ftwfZwAhBDd1BgcHPwEARCCE4Ca+ra2tWxqN5k+VSrVyIy8QCoUE&#10;eXl5U2Kx2LeysnL7RiCampoaAAD19PR8jhAC3gHm5ubeEQgEofLy8u8ZhiF4hzg6OnpZqVQ+VSgU&#10;zw4ODhIjdV4hqqqqekmSDE9PT79/vs4bQH9/fwUAIJPJ9Oi/d7wArK+vvy6RSLzZ2dm/BYNBIe8Q&#10;wWBQmJOT80QikXjX1tbeuKjn2iFMJtMjAEB9fX2fvajnWgFmZmbeI0kyXFlZ+d1lfdcGcHh4mKBQ&#10;KJ4plcqnXq9XwjsEwzBERUVFv0AgCM3Ozr57Vf+1QPT29lYBAGpsbPyaTX/MAVZXV98Ui8W+3Nzc&#10;X0OhkIB3iLOzs5eysrJ+T0xMPNjY2HiN7VxMIRoaGpoAAA0MDHyKMxczgKmpqTyCIJjq6upvcWdj&#10;ArC/v5+Umpq6pVKp/vb5fGIcfVqt1hY1AMMwRFlZ2Q9CoTBot9vvctEXNUR3d/d9AEDNzc1fcdUX&#10;FcDy8vJb8fHxx/n5+b+Ew2GSqz7OAIFAgMrMzPwjKSlpf3t7+9Vo9HGGqK+v/wYA0NDQ0MfR6uME&#10;MDEx8SEAoNra2s5Y6MMG8Hg80pSUlJ20tLS/jo+P42OhDwuAYRiitLT0R4qiAvPz8xmx0ocF0dXV&#10;VQMAyGw2G3HmJicnPyAIgqmpqem66J510NLS0tsikciv1WptOOvIRh+roNPT07iMjIx5qVTq2dnZ&#10;SYm1PlZhRqPRDABoeHi4BEdDZ2dnLQCglpaWusv6rgyy2WxaAEB6vf4xDkBEX0FBwfhV+i4N2tvb&#10;eyU5OXlXrVY7/X6/iC0Arr5LfZaUlAxTFBVYWFhIx3mFiL6RkZF7bPpfeNHR0fEFAKDW1tYvcQC4&#10;6Luw6HQ61TRNnxQWFo7hrCNXfRf6TE9PX5BKpZ7d3d1ktkHR6Ptfoa6urgUAkNVq1eEEcdXn8Xik&#10;zxXGxsYKAQAZDAYLTlBEH5t1PH/cbrcsISHh8LmCXC53cVnHiD7cv2lxcfFPJEmG/y3odDorRVEB&#10;h8OhwXkF3HWMnPb29gcAgCwWiwEQQmCxWAwAgNra2h7iBHH9mzocDk1cXNypTqezMgxDwOLi4h2a&#10;pk+Kiop+5mMd/X6/SK1WO+VyucvtdssQQgAajcYhk8ncLpdLjuOT6zrq9frHAIDGx8cLIjUAADQ6&#10;OvoRTpDdbr9LkmQYdx03Nzdv0TR9YjQazefr/wBcrEJCs80ErAAAAABJRU5ErkJgglBLAwQUAAAA&#10;CACHTuJAuwG73psEAACWBAAAFAAAAGRycy9tZWRpYS9pbWFnZTEucG5nAZYEafuJUE5HDQoaCgAA&#10;AA1JSERSAAAAHQAAACkIBgAAAMl4IrQAAAAGYktHRAD/AP8A/6C9p5MAAAAJcEhZcwAADsQAAA7E&#10;AZUrDhsAAAQ2SURBVFiFvdZrSCNXFAfwM3lommw2mhpSo/VRrYKkEqoYSGmwoqUKG1BQqKKCQhXq&#10;BwtaVkGtQg1W0A8KVVDQUgUFhQ2o2EWLYiClkaBLwEe1qZoq8ZmNj+hk5vRTl/V9x1U/XJg5c//8&#10;LneYORfy8/N/AQDc2NgIQUQgGTs7O++rVCqnQqFwkWYQEUZGRjIAAAEAsK6u7gfSIMuyVFZW1pBQ&#10;KDybnZ39lDTncrkUSqVyS61WvwKj0ficpmkBabi7u7sIALCpqel7Lgs1GAwv/P39vfPz858Qbw0i&#10;wvLycrREIjlMTk7+3efz8UlzHR0dJQCAra2t5YgIxCBN0wKtVmsJCAjYX1tb+5A0t7CwECsWi4/S&#10;0tJ+YxiGxwmtra2tBwAcGBjIIc2cnp76JSQkWOVy+a7T6VT9XycKm81mHY/HYwoKCnq5vI6qqqpG&#10;AMDh4eHMt+u3Bt1u99PIyMjViIiIv91u91NScGpqSk9RFFtcXNx18dmt4cLCwh4ej8fMzMx8Rgru&#10;7+8HhIWF/RMdHb3s8XiecEIHBwezAQBramoauGxrbm5uH5/P91ksFu1Vz68Nrq+vhwYGBu4lJSX9&#10;cXZ2JiQF+/r6cgEAGxoaaq6bc2WRYRheSkrKhEQiOVxaWvqYFHQ4HOEymexAp9OZb/rhXFlsbm6u&#10;AADs6uoqJgV9Ph9fr9dPSaXS16urq5E3zb1UsNlsGqFQeJaZmTnMsixFijY2NlYBAPb29hbcNvfc&#10;zfHx8XtxcXH24ODgf7e3t4NIQavVmiAQCOicnJwBkoWeuykrK2sDABwfH/+SFDw8PJTExMQshoaG&#10;ru/t7QWSZN5cjI6OpgMAlpeXt5KCiAglJSUdFEWxk5OTX5BmAPF8rzs5ORGRhk0m0zMAwMrKyp+4&#10;LPRSryMNbm5ufhAUFLSt0WhsXq/XnxN6sdeRDJZlqfT09FGRSHRit9vjuICICHCx15GMtra2MgDA&#10;9vb2b7mCiAgQHx8/93avu23Y7fY4kUh0kpGRMcLlO770Tkkne71ef41GY1MoFK6trS3lXUBEDicH&#10;RISKiopmAECTyfTsriAndGJiIoWiKLa0tPTndwGJ0d3dXXlISMhGbGzswtHRkfjBUZZlqezs7EGB&#10;QEBbrdaEdwWJ0J6enkIAQKPR+Pw+wFvRlZWVj6RS6Wu9Xj/F5XB9Z5SmaYFOpzPLZLIDh8MRfl/g&#10;jWh9fX0tAGB/f//X9wlei1osFi2fz/fl5eX9et/glajH43kSFRX1V3h4uOPg4ED2KGhRUVE3RVHs&#10;9PT05w8BXkKHhoayAACrq6t/fCjwHOp0OlVyuXw3MTHxTy6H6zujDMPwUlNTX4rF4qPFxcWYhwTf&#10;oC0tLd8BAHZ2dn7z0CAiAszNzcX7+fmdGgyGF3dtypxRtVr9SqlUbrlcLsVjgIgIAAA4Njb21WOB&#10;iAj/ARSI9rgsTok9AAAAAElFTkSuQmCC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KAAAAAACHTuJAAAAAAAAAAAAAAAAACgAAAGRy&#10;cy9fcmVscy9QSwMEFAAAAAgAh07iQNiItxnZAAAAtQMAABkAAABkcnMvX3JlbHMvZTJvRG9jLnht&#10;bC5yZWxzvdNNasMwEAXgfaF3ELOvZTuJKSVyNqWQbUkPMEhjWdT6QVJLc/sKSiCB4O601Azz3rfR&#10;/vBjF/ZNMRnvBHRNC4yc9Mo4LeDj9Pb0DCxldAoX70jAmRIcxseH/TstmMtRmk1IrKS4JGDOObxw&#10;nuRMFlPjA7mymXy0mMszah5QfqIm3rftwON1Bow3meyoBMSjGoCdzqE0/5/tp8lIevXyy5LLdyq4&#10;saW7BGLUlAVYUgb/hkMTnAZ+37CrY9itGbZ1DNs1w6aOYbNm6OsY+jVDV8fQXQz85rONv1BLAwQU&#10;AAAACACHTuJAeee6BAQBAAATAgAAEwAAAFtDb250ZW50X1R5cGVzXS54bWyVkcFOwzAMhu9IvEOU&#10;K2pTdkAIrd2BjiMgNB4gStw2onGiOJTt7Um6TYKJIe0Y29/vL8lytbUjmyCQcVjz27LiDFA5bbCv&#10;+fvmqbjnjKJELUeHUPMdEF8111fLzc4DsUQj1XyI0T8IQWoAK6l0HjB1OhesjOkYeuGl+pA9iEVV&#10;3QnlMALGIuYM3ixb6OTnGNl6m8p7E489Z4/7ubyq5sZmPtfFn0SAkU4Q6f1olIzpbmJCfeJVHJzK&#10;RM4zNBhPN0n8zIbc+e30c8GBe0mPGYwG9ipDfJY2mQsdSGj3hQGm8v+QbGmpcF1nFJRtoDZhbzAd&#10;rc6lw8K1Tl0avp6pY7aYv7T5BlBLAQIUABQAAAAIAIdO4kB557oEBAEAABMCAAATAAAAAAAAAAEA&#10;IAAAAEyGAQBbQ29udGVudF9UeXBlc10ueG1sUEsBAhQACgAAAAAAh07iQAAAAAAAAAAAAAAAAAYA&#10;AAAAAAAAAAAQAAAA9oMBAF9yZWxzL1BLAQIUABQAAAAIAIdO4kCKFGY80QAAAJQBAAALAAAAAAAA&#10;AAEAIAAAABqEAQBfcmVscy8ucmVsc1BLAQIUAAoAAAAAAIdO4kAAAAAAAAAAAAAAAAAEAAAAAAAA&#10;AAAAEAAAAAAAAABkcnMvUEsBAhQACgAAAAAAh07iQAAAAAAAAAAAAAAAAAoAAAAAAAAAAAAQAAAA&#10;FIUBAGRycy9fcmVscy9QSwECFAAUAAAACACHTuJA2Ii3GdkAAAC1AwAAGQAAAAAAAAABACAAAAA8&#10;hQEAZHJzL19yZWxzL2Uyb0RvYy54bWwucmVsc1BLAQIUABQAAAAIAIdO4kCVdP4A2wAAAAoBAAAP&#10;AAAAAAAAAAEAIAAAACIAAABkcnMvZG93bnJldi54bWxQSwECFAAUAAAACACHTuJAmbMBGIAlAABJ&#10;SwEADgAAAAAAAAABACAAAAAqAQAAZHJzL2Uyb0RvYy54bWxQSwECFAAKAAAAAACHTuJAAAAAAAAA&#10;AAAAAAAACgAAAAAAAAAAABAAAADWJgAAZHJzL21lZGlhL1BLAQIUABQAAAAIAIdO4kC7AbvemwQA&#10;AJYEAAAUAAAAAAAAAAEAIAAAACl/AQBkcnMvbWVkaWEvaW1hZ2UxLnBuZ1BLAQIUABQAAAAIAIdO&#10;4kBo+beSbgQAAGkEAAAUAAAAAAAAAAEAIAAAAIl6AQBkcnMvbWVkaWEvaW1hZ2UyLnBuZ1BLAQIU&#10;ABQAAAAIAIdO4kAGhII7LEoBAB58AQAUAAAAAAAAAAEAIAAAACswAABkcnMvbWVkaWEvaW1hZ2Uz&#10;LnBuZ1BLAQIUABQAAAAIAIdO4kDovEYU+wIAAPYCAAAUAAAAAAAAAAEAIAAAAP4sAABkcnMvbWVk&#10;aWEvaW1hZ2U0LnBuZ1BLAQIUABQAAAAIAIdO4kDbIfWeNgMAADEDAAAUAAAAAAAAAAEAIAAAAJYp&#10;AABkcnMvbWVkaWEvaW1hZ2U1LnBuZ1BLAQIUABQAAAAIAIdO4kDj3uZmZgIAAGECAAAUAAAAAAAA&#10;AAEAIAAAAP4mAABkcnMvbWVkaWEvaW1hZ2U2LnBuZ1BLBQYAAAAADwAPAJwDAACBhwEAAAA=&#10;">
            <o:lock v:ext="edit" aspectratio="f"/>
            <v:shape id="Picture 106" o:spid="_x0000_s1685" o:spt="75" type="#_x0000_t75" style="position:absolute;left:4880;top:2341;height:311;width:223;" filled="f" o:preferrelative="t" stroked="f" coordsize="21600,21600" o:gfxdata="UEsDBAoAAAAAAIdO4kAAAAAAAAAAAAAAAAAEAAAAZHJzL1BLAwQUAAAACACHTuJASeBL7rsAAADd&#10;AAAADwAAAGRycy9kb3ducmV2LnhtbEVPTYvCMBC9C/sfwgh7s6keZO0aZRGKIixi1fvQjG2xmXST&#10;WPXfbwTB2zze58yXd9OKnpxvLCsYJykI4tLqhisFx0M++gLhA7LG1jIpeJCH5eJjMMdM2xvvqS9C&#10;JWII+wwV1CF0mZS+rMmgT2xHHLmzdQZDhK6S2uEthptWTtJ0Kg02HBtq7GhVU3kprkbBdrPrf6rT&#10;o9v9rc3+Urj8vP7NlfocjtNvEIHu4S1+uTc6zp9NJ/D8Jp4gF/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SeBL7rsAAADd&#10;AAAADwAAAAAAAAABACAAAAAiAAAAZHJzL2Rvd25yZXYueG1sUEsBAhQAFAAAAAgAh07iQDMvBZ47&#10;AAAAOQAAABAAAAAAAAAAAQAgAAAACgEAAGRycy9zaGFwZXhtbC54bWxQSwUGAAAAAAYABgBbAQAA&#10;tAMAAAAA&#10;">
              <v:path/>
              <v:fill on="f" focussize="0,0"/>
              <v:stroke on="f" joinstyle="miter"/>
              <v:imagedata r:id="rId43" o:title=""/>
              <o:lock v:ext="edit" aspectratio="t"/>
            </v:shape>
            <v:shape id="Freeform 107" o:spid="_x0000_s1686" style="position:absolute;left:4880;top:2342;height:457;width:327;" filled="f" stroked="t" coordsize="327,457" o:gfxdata="UEsDBAoAAAAAAIdO4kAAAAAAAAAAAAAAAAAEAAAAZHJzL1BLAwQUAAAACACHTuJAIkVgyL0AAADd&#10;AAAADwAAAGRycy9kb3ducmV2LnhtbEVPTWsCMRC9F/ofwhS8SE1UkO1q9CAWRKTgWnoeNuNmcTNZ&#10;N6mr/94Ihd7m8T5nsbq5RlypC7VnDeORAkFcelNzpeH7+PmegQgR2WDjmTTcKcBq+fqywNz4ng90&#10;LWIlUgiHHDXYGNtcylBachhGviVO3Ml3DmOCXSVNh30Kd42cKDWTDmtODRZbWlsqz8Wv07Ce7A+F&#10;3e6U/+mHXz4bbi73/qz14G2s5iAi3eK/+M+9NWn+x2wKz2/SCXL5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iRWDIvQAA&#10;AN0AAAAPAAAAAAAAAAEAIAAAACIAAABkcnMvZG93bnJldi54bWxQSwECFAAUAAAACACHTuJAMy8F&#10;njsAAAA5AAAAEAAAAAAAAAABACAAAAAMAQAAZHJzL3NoYXBleG1sLnhtbFBLBQYAAAAABgAGAFsB&#10;AAC2AwAAAAA=&#10;" path="m0,457l86,337,327,0e">
              <v:path o:connectlocs="0,2799;86,2679;327,2342;327,2342" o:connectangles="0,0,0,0"/>
              <v:fill on="f" focussize="0,0"/>
              <v:stroke weight="0.0154330708661417pt" color="#000000" joinstyle="round"/>
              <v:imagedata o:title=""/>
              <o:lock v:ext="edit" aspectratio="f"/>
            </v:shape>
            <v:shape id="Freeform 108" o:spid="_x0000_s1687" style="position:absolute;left:4880;top:2342;height:603;width:432;" filled="f" stroked="t" coordsize="432,603" o:gfxdata="UEsDBAoAAAAAAIdO4kAAAAAAAAAAAAAAAAAEAAAAZHJzL1BLAwQUAAAACACHTuJAtv7jU70AAADd&#10;AAAADwAAAGRycy9kb3ducmV2LnhtbEVPTWsCMRC9F/wPYQRvml0rUlejB0XqQay1UjwOm+nu0s1k&#10;3USN/94UhN7m8T5ntgimFldqXWVZQTpIQBDnVldcKDh+rftvIJxH1lhbJgV3crCYd15mmGl740+6&#10;HnwhYgi7DBWU3jeZlC4vyaAb2IY4cj+2NegjbAupW7zFcFPLYZKMpcGKY0OJDS1Lyn8PF6NgixMX&#10;9qvqe30Ox0Afu9eQnt6V6nXTZArCU/D/4qd7o+P8yXgEf9/EE+T8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2/uNTvQAA&#10;AN0AAAAPAAAAAAAAAAEAIAAAACIAAABkcnMvZG93bnJldi54bWxQSwECFAAUAAAACACHTuJAMy8F&#10;njsAAAA5AAAAEAAAAAAAAAABACAAAAAMAQAAZHJzL3NoYXBleG1sLnhtbFBLBQYAAAAABgAGAFsB&#10;AAC2AwAAAAA=&#10;" path="m0,602l191,336,431,0,432,0e">
              <v:path o:connectlocs="0,2945;191,2679;431,2343;432,2343" o:connectangles="0,0,0,0"/>
              <v:fill on="f" focussize="0,0"/>
              <v:stroke weight="0.0154330708661417pt" color="#000000" joinstyle="round"/>
              <v:imagedata o:title=""/>
              <o:lock v:ext="edit" aspectratio="f"/>
            </v:shape>
            <v:shape id="Freeform 109" o:spid="_x0000_s1688" style="position:absolute;left:4880;top:2342;height:750;width:537;" filled="f" stroked="t" coordsize="537,750" o:gfxdata="UEsDBAoAAAAAAIdO4kAAAAAAAAAAAAAAAAAEAAAAZHJzL1BLAwQUAAAACACHTuJAu0GAVrwAAADd&#10;AAAADwAAAGRycy9kb3ducmV2LnhtbEVPzWrCQBC+C77DMoVeRDcpKDF1k0NqqSeh6gNMs2MSm52N&#10;2W3Ut3eFgrf5+H5nlV9NKwbqXWNZQTyLQBCXVjdcKTjsP6cJCOeRNbaWScGNHOTZeLTCVNsLf9Ow&#10;85UIIexSVFB736VSurImg25mO+LAHW1v0AfYV1L3eAnhppVvUbSQBhsODTV2VNRU/u7+jILtOins&#10;+YtdYtcHV0x+TpKWH0q9vsTROwhPV/8U/7s3OsxfLubw+CacILM7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tBgFa8AAAA&#10;3QAAAA8AAAAAAAAAAQAgAAAAIgAAAGRycy9kb3ducmV2LnhtbFBLAQIUABQAAAAIAIdO4kAzLwWe&#10;OwAAADkAAAAQAAAAAAAAAAEAIAAAAAsBAABkcnMvc2hhcGV4bWwueG1sUEsFBgAAAAAGAAYAWwEA&#10;ALUDAAAAAA==&#10;" path="m0,749l296,336,536,0e">
              <v:path o:connectlocs="0,3092;296,2679;536,2343;536,2343" o:connectangles="0,0,0,0"/>
              <v:fill on="f" focussize="0,0"/>
              <v:stroke weight="0.0154330708661417pt" color="#000000" joinstyle="round"/>
              <v:imagedata o:title=""/>
              <o:lock v:ext="edit" aspectratio="f"/>
            </v:shape>
            <v:shape id="Freeform 110" o:spid="_x0000_s1689" style="position:absolute;left:4880;top:2343;height:896;width:642;" filled="f" stroked="t" coordsize="642,896" o:gfxdata="UEsDBAoAAAAAAIdO4kAAAAAAAAAAAAAAAAAEAAAAZHJzL1BLAwQUAAAACACHTuJAJs/6vcAAAADd&#10;AAAADwAAAGRycy9kb3ducmV2LnhtbEWPQWvCQBCF70L/wzKF3szGHoKmrkGKpaVSoWkPHofsmA1m&#10;Z8PuavTfd4WCtxnem/e9WVYX24sz+dA5VjDLchDEjdMdtwp+f96mcxAhImvsHZOCKwWoVg+TJZba&#10;jfxN5zq2IoVwKFGBiXEopQyNIYshcwNx0g7OW4xp9a3UHscUbnv5nOeFtNhxIhgc6NVQc6xPNkH8&#10;dvO+266LehO+yFw/3Unv9ko9Pc7yFxCRLvFu/r/+0Kn+oijg9k0aQa7+AF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mz/q9&#10;wAAAAN0AAAAPAAAAAAAAAAEAIAAAACIAAABkcnMvZG93bnJldi54bWxQSwECFAAUAAAACACHTuJA&#10;My8FnjsAAAA5AAAAEAAAAAAAAAABACAAAAAPAQAAZHJzL3NoYXBleG1sLnhtbFBLBQYAAAAABgAG&#10;AFsBAAC5AwAAAAA=&#10;" path="m0,896l401,336,641,0e">
              <v:path o:connectlocs="0,3239;401,2679;641,2343;641,2343" o:connectangles="0,0,0,0"/>
              <v:fill on="f" focussize="0,0"/>
              <v:stroke weight="0.0154330708661417pt" color="#000000" joinstyle="round"/>
              <v:imagedata o:title=""/>
              <o:lock v:ext="edit" aspectratio="f"/>
            </v:shape>
            <v:shape id="Freeform 111" o:spid="_x0000_s1690" style="position:absolute;left:4880;top:2343;height:1043;width:746;" filled="f" stroked="t" coordsize="746,1043" o:gfxdata="UEsDBAoAAAAAAIdO4kAAAAAAAAAAAAAAAAAEAAAAZHJzL1BLAwQUAAAACACHTuJAtq9tubwAAADd&#10;AAAADwAAAGRycy9kb3ducmV2LnhtbEVPyW7CMBC9V+IfrEHiVhwqljbFcKiEWG4J9NDbKJ4mFvE4&#10;ik1C/h4jVeptnt466+3d1qKj1hvHCmbTBARx4bThUsHlvHt9B+EDssbaMSkYyMN2M3pZY6pdzxl1&#10;eShFDGGfooIqhCaV0hcVWfRT1xBH7te1FkOEbSl1i30Mt7V8S5KltGg4NlTY0FdFxTW/WQX7bsj6&#10;bzZ4nd8ykx1Pi36QP0pNxrPkE0Sge/gX/7kPOs7/WK7g+U08QW4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avbbm8AAAA&#10;3QAAAA8AAAAAAAAAAQAgAAAAIgAAAGRycy9kb3ducmV2LnhtbFBLAQIUABQAAAAIAIdO4kAzLwWe&#10;OwAAADkAAAAQAAAAAAAAAAEAIAAAAAsBAABkcnMvc2hhcGV4bWwueG1sUEsFBgAAAAAGAAYAWwEA&#10;ALUDAAAAAA==&#10;" path="m0,1042l505,336,746,0e">
              <v:path o:connectlocs="0,3385;505,2679;746,2343;746,2343" o:connectangles="0,0,0,0"/>
              <v:fill on="f" focussize="0,0"/>
              <v:stroke weight="0.0154330708661417pt" color="#000000" joinstyle="round"/>
              <v:imagedata o:title=""/>
              <o:lock v:ext="edit" aspectratio="f"/>
            </v:shape>
            <v:shape id="Freeform 112" o:spid="_x0000_s1691" style="position:absolute;left:5491;top:2343;height:336;width:241;" filled="f" stroked="t" coordsize="241,336" o:gfxdata="UEsDBAoAAAAAAIdO4kAAAAAAAAAAAAAAAAAEAAAAZHJzL1BLAwQUAAAACACHTuJA55G9psIAAADd&#10;AAAADwAAAGRycy9kb3ducmV2LnhtbEWPT2/CMAzF75P4DpGRuI0UmKpRCBw2bZomTWyMA0erMW1F&#10;45Qk/Ok+/XyYtJut9/zez8v1zbXqQiE2ng1Mxhko4tLbhisDu++X+0dQMSFbbD2TgZ4irFeDuyUW&#10;1l/5iy7bVCkJ4ViggTqlrtA6ljU5jGPfEYt28MFhkjVU2ga8Srhr9TTLcu2wYWmosaOnmsrj9uwM&#10;vM/OjP1hs2/78Ppx/Mx/HjanZ2NGw0m2AJXolv7Nf9dvVvDnueDKNzKCXv0C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OeR&#10;vabCAAAA3QAAAA8AAAAAAAAAAQAgAAAAIgAAAGRycy9kb3ducmV2LnhtbFBLAQIUABQAAAAIAIdO&#10;4kAzLwWeOwAAADkAAAAQAAAAAAAAAAEAIAAAABEBAABkcnMvc2hhcGV4bWwueG1sUEsFBgAAAAAG&#10;AAYAWwEAALsDAAAAAA==&#10;" path="m0,336l241,0e">
              <v:path o:connectlocs="0,2679;241,2343;241,2343" o:connectangles="0,0,0"/>
              <v:fill on="f" focussize="0,0"/>
              <v:stroke weight="0.0154330708661417pt" color="#000000" joinstyle="round"/>
              <v:imagedata o:title=""/>
              <o:lock v:ext="edit" aspectratio="f"/>
            </v:shape>
            <v:shape id="Freeform 113" o:spid="_x0000_s1692" style="position:absolute;left:4880;top:3508;height:24;width:18;" filled="f" stroked="t" coordsize="18,24" o:gfxdata="UEsDBAoAAAAAAIdO4kAAAAAAAAAAAAAAAAAEAAAAZHJzL1BLAwQUAAAACACHTuJAAThYcL4AAADd&#10;AAAADwAAAGRycy9kb3ducmV2LnhtbEVPTWvCQBC9C/6HZQQvRTeKiEldPaSVeili9OBxyE6TkOxs&#10;yK4x7a/vFgre5vE+Z7sfTCN66lxlWcFiHoEgzq2uuFBwvRxmGxDOI2tsLJOCb3Kw341HW0y0ffCZ&#10;+swXIoSwS1BB6X2bSOnykgy6uW2JA/dlO4M+wK6QusNHCDeNXEbRWhqsODSU2FJaUl5nd6NAv/zU&#10;b3XqPlbvK5/ejs2JTp9SqelkEb2C8DT4p/jffdRhfryO4e+bcILc/Q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ThYcL4A&#10;AADdAAAADwAAAAAAAAABACAAAAAiAAAAZHJzL2Rvd25yZXYueG1sUEsBAhQAFAAAAAgAh07iQDMv&#10;BZ47AAAAOQAAABAAAAAAAAAAAQAgAAAADQEAAGRycy9zaGFwZXhtbC54bWxQSwUGAAAAAAYABgBb&#10;AQAAtwMAAAAA&#10;" path="m0,24l17,0e">
              <v:path o:connectlocs="0,3532;17,3508;17,3508" o:connectangles="0,0,0"/>
              <v:fill on="f" focussize="0,0"/>
              <v:stroke weight="0.015511811023622pt" color="#000000" joinstyle="round"/>
              <v:imagedata o:title=""/>
              <o:lock v:ext="edit" aspectratio="f"/>
            </v:shape>
            <v:shape id="Freeform 114" o:spid="_x0000_s1693" style="position:absolute;left:4897;top:2678;height:830;width:594;" filled="f" stroked="t" coordsize="594,830" o:gfxdata="UEsDBAoAAAAAAIdO4kAAAAAAAAAAAAAAAAAEAAAAZHJzL1BLAwQUAAAACACHTuJAhm9xGsIAAADd&#10;AAAADwAAAGRycy9kb3ducmV2LnhtbEWPQU/CQBCF7yb8h82QcJMthohWFmIkRA4cBBsTb2N33Fa7&#10;s013bZFf7xxIvM3kvXnvm+X65BvVUxfrwAZm0wwUcRlszc5A8bq9vgMVE7LFJjAZ+KUI69Xoaom5&#10;DQMfqD8mpySEY44GqpTaXOtYVuQxTkNLLNpn6DwmWTunbYeDhPtG32TZrfZYszRU2NJTReX38ccb&#10;2D6/zz8ez0PxtXFvfdG63Uvaz42ZjGfZA6hEp/RvvlzvrODfL4RfvpER9OoP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IZv&#10;cRrCAAAA3QAAAA8AAAAAAAAAAQAgAAAAIgAAAGRycy9kb3ducmV2LnhtbFBLAQIUABQAAAAIAIdO&#10;4kAzLwWeOwAAADkAAAAQAAAAAAAAAAEAIAAAABEBAABkcnMvc2hhcGV4bWwueG1sUEsFBgAAAAAG&#10;AAYAWwEAALsDAAAAAA==&#10;" path="m0,829l42,771,593,0,594,0e">
              <v:path o:connectlocs="0,3508;42,3450;593,2679;594,2679" o:connectangles="0,0,0,0"/>
              <v:fill on="f" focussize="0,0"/>
              <v:stroke weight="0.0154330708661417pt" color="#000000" joinstyle="round"/>
              <v:imagedata o:title=""/>
              <o:lock v:ext="edit" aspectratio="f"/>
            </v:shape>
            <v:shape id="Freeform 115" o:spid="_x0000_s1694" style="position:absolute;left:4880;top:3533;height:145;width:104;" filled="f" stroked="t" coordsize="104,145" o:gfxdata="UEsDBAoAAAAAAIdO4kAAAAAAAAAAAAAAAAAEAAAAZHJzL1BLAwQUAAAACACHTuJAQv7aVb4AAADd&#10;AAAADwAAAGRycy9kb3ducmV2LnhtbEWP3YrCMBCF7xd8hzCCd2tahVWrqaDLLntV8OcBhmZsS5tJ&#10;baJWn34jCN7NcM535sxq3ZtGXKlzlWUF8TgCQZxbXXGh4Hj4+ZyDcB5ZY2OZFNzJwTodfKww0fbG&#10;O7rufSFCCLsEFZTet4mULi/JoBvbljhoJ9sZ9GHtCqk7vIVw08hJFH1JgxWHCyW2tC0pr/cXE2o8&#10;at1svre/x2nW9g+ts/vsnCk1GsbREoSn3r/NL/pPB24xi+H5TRhBpv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v7aVb4A&#10;AADdAAAADwAAAAAAAAABACAAAAAiAAAAZHJzL2Rvd25yZXYueG1sUEsBAhQAFAAAAAgAh07iQDMv&#10;BZ47AAAAOQAAABAAAAAAAAAAAQAgAAAADQEAAGRycy9zaGFwZXhtbC54bWxQSwUGAAAAAAYABgBb&#10;AQAAtwMAAAAA&#10;" path="m0,144l103,0,104,0e">
              <v:path o:connectlocs="0,3678;103,3534;104,3534" o:connectangles="0,0,0"/>
              <v:fill on="f" focussize="0,0"/>
              <v:stroke weight="0.0154330708661417pt" color="#000000" joinstyle="round"/>
              <v:imagedata o:title=""/>
              <o:lock v:ext="edit" aspectratio="f"/>
            </v:shape>
            <v:shape id="Freeform 116" o:spid="_x0000_s1695" style="position:absolute;left:5596;top:2343;height:336;width:241;" filled="f" stroked="t" coordsize="241,336" o:gfxdata="UEsDBAoAAAAAAIdO4kAAAAAAAAAAAAAAAAAEAAAAZHJzL1BLAwQUAAAACACHTuJAA6Ackb8AAADd&#10;AAAADwAAAGRycy9kb3ducmV2LnhtbEVPS2sCMRC+F/ofwgi9aVYt1q4bPbRYSkGsj0OPw2b2gZvJ&#10;NomP7a83gtDbfHzPyRYX04gTOV9bVjAcJCCIc6trLhXsd8v+FIQPyBoby6SgIw+L+eNDhqm2Z97Q&#10;aRtKEUPYp6igCqFNpfR5RQb9wLbEkSusMxgidKXUDs8x3DRylCQTabDm2FBhS28V5Yft0Sj4Gh8Z&#10;u2L903TuY3X4nvw9r3/flXrqDZMZiECX8C++uz91nP/6MoLbN/EEOb8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OgHJG/&#10;AAAA3QAAAA8AAAAAAAAAAQAgAAAAIgAAAGRycy9kb3ducmV2LnhtbFBLAQIUABQAAAAIAIdO4kAz&#10;LwWeOwAAADkAAAAQAAAAAAAAAAEAIAAAAA4BAABkcnMvc2hhcGV4bWwueG1sUEsFBgAAAAAGAAYA&#10;WwEAALgDAAAAAA==&#10;" path="m0,336l239,0,240,0e">
              <v:path o:connectlocs="0,2679;239,2343;240,2343" o:connectangles="0,0,0"/>
              <v:fill on="f" focussize="0,0"/>
              <v:stroke weight="0.0154330708661417pt" color="#000000" joinstyle="round"/>
              <v:imagedata o:title=""/>
              <o:lock v:ext="edit" aspectratio="f"/>
            </v:shape>
            <v:shape id="Freeform 117" o:spid="_x0000_s1696" style="position:absolute;left:4984;top:2678;height:856;width:613;" filled="f" stroked="t" coordsize="613,856" o:gfxdata="UEsDBAoAAAAAAIdO4kAAAAAAAAAAAAAAAAAEAAAAZHJzL1BLAwQUAAAACACHTuJA+l2uj7wAAADd&#10;AAAADwAAAGRycy9kb3ducmV2LnhtbEVPS4vCMBC+L/gfwgje1rQKPqrRgyB40IOuoMexGdtqMylN&#10;tNVfbxYW9jYf33Pmy9aU4km1KywriPsRCOLU6oIzBcef9fcEhPPIGkvLpOBFDpaLztccE20b3tPz&#10;4DMRQtglqCD3vkqkdGlOBl3fVsSBu9raoA+wzqSusQnhppSDKBpJgwWHhhwrWuWU3g8Po2D8xv3p&#10;srZpexvsmu05xutuNVKq142jGQhPrf8X/7k3Osyfjofw+004QS4+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pdro+8AAAA&#10;3QAAAA8AAAAAAAAAAQAgAAAAIgAAAGRycy9kb3ducmV2LnhtbFBLAQIUABQAAAAIAIdO4kAzLwWe&#10;OwAAADkAAAAQAAAAAAAAAAEAIAAAAAsBAABkcnMvc2hhcGV4bWwueG1sUEsFBgAAAAAGAAYAWwEA&#10;ALUDAAAAAA==&#10;" path="m0,855l61,771,613,0e">
              <v:path o:connectlocs="0,3534;61,3450;613,2679;613,2679" o:connectangles="0,0,0,0"/>
              <v:fill on="f" focussize="0,0"/>
              <v:stroke weight="0.0154330708661417pt" color="#000000" joinstyle="round"/>
              <v:imagedata o:title=""/>
              <o:lock v:ext="edit" aspectratio="f"/>
            </v:shape>
            <v:shape id="Freeform 118" o:spid="_x0000_s1697" style="position:absolute;left:4880;top:3585;height:240;width:172;" filled="f" stroked="t" coordsize="172,240" o:gfxdata="UEsDBAoAAAAAAIdO4kAAAAAAAAAAAAAAAAAEAAAAZHJzL1BLAwQUAAAACACHTuJAyyIw+bwAAADd&#10;AAAADwAAAGRycy9kb3ducmV2LnhtbEVPTWsCMRC9F/wPYQQvpWaVYu1qFBUKBS/t6qW3YTPdhN1M&#10;liS69t83BaG3ebzPWW9vrhNXCtF6VjCbFiCIa68tNwrOp7enJYiYkDV2nknBD0XYbkYPayy1H/iT&#10;rlVqRA7hWKICk1JfShlrQw7j1PfEmfv2wWHKMDRSBxxyuOvkvCgW0qHl3GCwp4Ohuq0uTsGXa+dn&#10;/EjWmnrh9kN1fNy1QanJeFasQCS6pX/x3f2u8/zXl2f4+yafID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siMPm8AAAA&#10;3QAAAA8AAAAAAAAAAQAgAAAAIgAAAGRycy9kb3ducmV2LnhtbFBLAQIUABQAAAAIAIdO4kAzLwWe&#10;OwAAADkAAAAQAAAAAAAAAAEAIAAAAAsBAABkcnMvc2hhcGV4bWwueG1sUEsFBgAAAAAGAAYAWwEA&#10;ALUDAAAAAA==&#10;" path="m0,239l171,0,172,0e">
              <v:path o:connectlocs="0,3825;171,3586;172,3586" o:connectangles="0,0,0"/>
              <v:fill on="f" focussize="0,0"/>
              <v:stroke weight="0.0154330708661417pt" color="#000000" joinstyle="round"/>
              <v:imagedata o:title=""/>
              <o:lock v:ext="edit" aspectratio="f"/>
            </v:shape>
            <v:shape id="Freeform 119" o:spid="_x0000_s1698" style="position:absolute;left:5701;top:2343;height:335;width:241;" filled="f" stroked="t" coordsize="241,335" o:gfxdata="UEsDBAoAAAAAAIdO4kAAAAAAAAAAAAAAAAAEAAAAZHJzL1BLAwQUAAAACACHTuJAkmX0mrwAAADd&#10;AAAADwAAAGRycy9kb3ducmV2LnhtbEVPzWoCMRC+F/oOYQq9FE1W0OrW6EEQhHrQtQ8wJOPu0s1k&#10;2cRd7dM3guBtPr7fWa6vrhE9daH2rCEbKxDExtuaSw0/p+1oDiJEZIuNZ9JwowDr1evLEnPrBz5S&#10;X8RSpBAOOWqoYmxzKYOpyGEY+5Y4cWffOYwJdqW0HQ4p3DVyotRMOqw5NVTY0qYi81tcnIZdj9mf&#10;KY5m+PhuJMX9Qd7UQev3t0x9gYh0jU/xw72zaf7icwr3b9IJcvU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Jl9Jq8AAAA&#10;3QAAAA8AAAAAAAAAAQAgAAAAIgAAAGRycy9kb3ducmV2LnhtbFBLAQIUABQAAAAIAIdO4kAzLwWe&#10;OwAAADkAAAAQAAAAAAAAAAEAIAAAAAsBAABkcnMvc2hhcGV4bWwueG1sUEsFBgAAAAAGAAYAWwEA&#10;ALUDAAAAAA==&#10;" path="m0,335l240,0e">
              <v:path o:connectlocs="0,2679;240,2344;240,2344" o:connectangles="0,0,0"/>
              <v:fill on="f" focussize="0,0"/>
              <v:stroke weight="0.0154330708661417pt" color="#000000" joinstyle="round"/>
              <v:imagedata o:title=""/>
              <o:lock v:ext="edit" aspectratio="f"/>
            </v:shape>
            <v:shape id="Freeform 120" o:spid="_x0000_s1699" style="position:absolute;left:5052;top:2678;height:907;width:650;" filled="f" stroked="t" coordsize="650,907" o:gfxdata="UEsDBAoAAAAAAIdO4kAAAAAAAAAAAAAAAAAEAAAAZHJzL1BLAwQUAAAACACHTuJASBVa878AAADd&#10;AAAADwAAAGRycy9kb3ducmV2LnhtbEVPTWvCQBC9F/oflil4q7tWiW3qKlgQbA6CaSn1NmbHJDU7&#10;G7Jbjf/eFQq9zeN9zmzR20acqPO1Yw2joQJBXDhTc6nh82P1+AzCB2SDjWPScCEPi/n93QxT4868&#10;pVMeShFD2KeooQqhTaX0RUUW/dC1xJE7uM5iiLArpenwHMNtI5+USqTFmmNDhS29VVQc81+rIXPJ&#10;JNtsv7MvtXv/6Q/jfb4sp1oPHkbqFUSgPvyL/9xrE+e/TBO4fRNPkPMr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gVWvO/&#10;AAAA3QAAAA8AAAAAAAAAAQAgAAAAIgAAAGRycy9kb3ducmV2LnhtbFBLAQIUABQAAAAIAIdO4kAz&#10;LwWeOwAAADkAAAAQAAAAAAAAAAEAIAAAAA4BAABkcnMvc2hhcGV4bWwueG1sUEsFBgAAAAAGAAYA&#10;WwEAALgDAAAAAA==&#10;" path="m0,907l98,771,649,0,650,0e">
              <v:path o:connectlocs="0,3586;98,3450;649,2679;650,2679" o:connectangles="0,0,0,0"/>
              <v:fill on="f" focussize="0,0"/>
              <v:stroke weight="0.0154330708661417pt" color="#000000" joinstyle="round"/>
              <v:imagedata o:title=""/>
              <o:lock v:ext="edit" aspectratio="f"/>
            </v:shape>
            <v:shape id="Freeform 121" o:spid="_x0000_s1700" style="position:absolute;left:4880;top:3657;height:315;width:226;" filled="f" stroked="t" coordsize="226,315" o:gfxdata="UEsDBAoAAAAAAIdO4kAAAAAAAAAAAAAAAAAEAAAAZHJzL1BLAwQUAAAACACHTuJAlH4rg70AAADd&#10;AAAADwAAAGRycy9kb3ducmV2LnhtbEVPTWvCQBC9F/wPyxS81Y0K1aauHiyBXoQaI16H7DQbkp0N&#10;2Y2J/75bKPQ2j/c5u8NkW3Gn3teOFSwXCQji0umaKwXFJXvZgvABWWPrmBQ8yMNhP3vaYardyGe6&#10;56ESMYR9igpMCF0qpS8NWfQL1xFH7tv1FkOEfSV1j2MMt61cJcmrtFhzbDDY0dFQ2eSDVXDLp2J9&#10;vX7kq5OXTdbIr+FcjErNn5fJO4hAU/gX/7k/dZz/ttnA7zfxBLn/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UfiuDvQAA&#10;AN0AAAAPAAAAAAAAAAEAIAAAACIAAABkcnMvZG93bnJldi54bWxQSwECFAAUAAAACACHTuJAMy8F&#10;njsAAAA5AAAAEAAAAAAAAAABACAAAAAMAQAAZHJzL3NoYXBleG1sLnhtbFBLBQYAAAAABgAGAFsB&#10;AAC2AwAAAAA=&#10;" path="m0,315l225,0e">
              <v:path o:connectlocs="0,3972;225,3657;225,3657" o:connectangles="0,0,0"/>
              <v:fill on="f" focussize="0,0"/>
              <v:stroke weight="0.0154330708661417pt" color="#000000" joinstyle="round"/>
              <v:imagedata o:title=""/>
              <o:lock v:ext="edit" aspectratio="f"/>
            </v:shape>
            <v:shape id="Freeform 122" o:spid="_x0000_s1701" style="position:absolute;left:5806;top:2343;height:335;width:240;" filled="f" stroked="t" coordsize="240,335" o:gfxdata="UEsDBAoAAAAAAIdO4kAAAAAAAAAAAAAAAAAEAAAAZHJzL1BLAwQUAAAACACHTuJAOgASWb8AAADd&#10;AAAADwAAAGRycy9kb3ducmV2LnhtbEWPwW7CQAxE75X4h5WRuJUNHEKbsnBAgKASqhr4ADfrJilZ&#10;b5RdSPr3+FCpN1sznnlergfXqDt1ofZsYDZNQBEX3tZcGricd88voEJEtth4JgO/FGC9Gj0tMbO+&#10;50+657FUEsIhQwNVjG2mdSgqchimviUW7dt3DqOsXalth72Eu0bPkyTVDmuWhgpb2lRUXPObM7BI&#10;bx/p6bgffN7073zZ/Gy/wtmYyXiWvIGKNMR/89/1wQr+60Jw5RsZQa8e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oAElm/&#10;AAAA3QAAAA8AAAAAAAAAAQAgAAAAIgAAAGRycy9kb3ducmV2LnhtbFBLAQIUABQAAAAIAIdO4kAz&#10;LwWeOwAAADkAAAAQAAAAAAAAAAEAIAAAAA4BAABkcnMvc2hhcGV4bWwueG1sUEsFBgAAAAAGAAYA&#10;WwEAALgDAAAAAA==&#10;" path="m0,335l240,0e">
              <v:path o:connectlocs="0,2679;240,2344;240,2344" o:connectangles="0,0,0"/>
              <v:fill on="f" focussize="0,0"/>
              <v:stroke weight="0.0154330708661417pt" color="#000000" joinstyle="round"/>
              <v:imagedata o:title=""/>
              <o:lock v:ext="edit" aspectratio="f"/>
            </v:shape>
            <v:shape id="Freeform 123" o:spid="_x0000_s1702" style="position:absolute;left:5106;top:2678;height:979;width:701;" filled="f" stroked="t" coordsize="701,979" o:gfxdata="UEsDBAoAAAAAAIdO4kAAAAAAAAAAAAAAAAAEAAAAZHJzL1BLAwQUAAAACACHTuJAnLEAzbwAAADd&#10;AAAADwAAAGRycy9kb3ducmV2LnhtbEVPTWvDMAy9D/ofjAa9rU4GXdusTqCDQa5LVuhRjdU4NJZD&#10;7DVdfv08GOymx/vUvrjbXtxo9J1jBekqAUHcON1xq+Czfn/agvABWWPvmBR8k4ciXzzsMdNu4g+6&#10;VaEVMYR9hgpMCEMmpW8MWfQrNxBH7uJGiyHCsZV6xCmG214+J8mLtNhxbDA40Juh5lp9WQWHTTOV&#10;But5PZ80Hau5P185VWr5mCavIALdw7/4z13qOH+32cHvN/EEmf8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yxAM28AAAA&#10;3QAAAA8AAAAAAAAAAQAgAAAAIgAAAGRycy9kb3ducmV2LnhtbFBLAQIUABQAAAAIAIdO4kAzLwWe&#10;OwAAADkAAAAQAAAAAAAAAAEAIAAAAAsBAABkcnMvc2hhcGV4bWwueG1sUEsFBgAAAAAGAAYAWwEA&#10;ALUDAAAAAA==&#10;" path="m0,978l149,771,700,0,701,0e">
              <v:path o:connectlocs="0,3657;149,3450;700,2679;701,2679" o:connectangles="0,0,0,0"/>
              <v:fill on="f" focussize="0,0"/>
              <v:stroke weight="0.0154330708661417pt" color="#000000" joinstyle="round"/>
              <v:imagedata o:title=""/>
              <o:lock v:ext="edit" aspectratio="f"/>
            </v:shape>
            <v:shape id="Freeform 124" o:spid="_x0000_s1703" style="position:absolute;left:4880;top:3747;height:371;width:266;" filled="f" stroked="t" coordsize="266,371" o:gfxdata="UEsDBAoAAAAAAIdO4kAAAAAAAAAAAAAAAAAEAAAAZHJzL1BLAwQUAAAACACHTuJAp0AcOMIAAADd&#10;AAAADwAAAGRycy9kb3ducmV2LnhtbEWPQWvCQBCF7wX/wzKFXkrdGFqx0VVKaUsLCmrrwduQnSbB&#10;7GzY3Ub9952D4G2G9+a9b2aLk2tVTyE2ng2Mhhko4tLbhisDP9/vDxNQMSFbbD2TgTNFWMwHNzMs&#10;rD/yhvptqpSEcCzQQJ1SV2gdy5ocxqHviEX79cFhkjVU2gY8SrhrdZ5lY+2wYWmosaPXmsrD9s8Z&#10;WK5X1vUfj8un/Ut4y+/Hu/NXvjPm7naUTUElOqWr+XL9aQX/eSL88o2MoOf/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KdA&#10;HDjCAAAA3QAAAA8AAAAAAAAAAQAgAAAAIgAAAGRycy9kb3ducmV2LnhtbFBLAQIUABQAAAAIAIdO&#10;4kAzLwWeOwAAADkAAAAQAAAAAAAAAAEAIAAAABEBAABkcnMvc2hhcGV4bWwueG1sUEsFBgAAAAAG&#10;AAYAWwEAALsDAAAAAA==&#10;" path="m0,371l265,0,266,0e">
              <v:path o:connectlocs="0,4118;265,3747;266,3747" o:connectangles="0,0,0"/>
              <v:fill on="f" focussize="0,0"/>
              <v:stroke weight="0.0154330708661417pt" color="#000000" joinstyle="round"/>
              <v:imagedata o:title=""/>
              <o:lock v:ext="edit" aspectratio="f"/>
            </v:shape>
            <v:shape id="Freeform 125" o:spid="_x0000_s1704" style="position:absolute;left:5911;top:2459;height:220;width:158;" filled="f" stroked="t" coordsize="158,220" o:gfxdata="UEsDBAoAAAAAAIdO4kAAAAAAAAAAAAAAAAAEAAAAZHJzL1BLAwQUAAAACACHTuJAivqnU7gAAADd&#10;AAAADwAAAGRycy9kb3ducmV2LnhtbEVPyQrCMBC9C/5DGMGLaFoPYqtRUFAEvbiA16EZ22IzqU3c&#10;/t4Igrd5vHWm85epxIMaV1pWEA8iEMSZ1SXnCk7HVX8MwnlkjZVlUvAmB/NZuzXFVNsn7+lx8LkI&#10;IexSVFB4X6dSuqwgg25ga+LAXWxj0AfY5FI3+AzhppLDKBpJgyWHhgJrWhaUXQ93o0But3Qu10n8&#10;dkN/7d3cYmeqvVLdThxNQHh6+b/4597oMD8Zx/D9JpwgZx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ivqnU7gAAADdAAAA&#10;DwAAAAAAAAABACAAAAAiAAAAZHJzL2Rvd25yZXYueG1sUEsBAhQAFAAAAAgAh07iQDMvBZ47AAAA&#10;OQAAABAAAAAAAAAAAQAgAAAABwEAAGRycy9zaGFwZXhtbC54bWxQSwUGAAAAAAYABgBbAQAAsQMA&#10;AAAA&#10;" path="m0,219l157,0e">
              <v:path o:connectlocs="0,2679;157,2460;157,2460" o:connectangles="0,0,0"/>
              <v:fill on="f" focussize="0,0"/>
              <v:stroke weight="0.0154330708661417pt" color="#000000" joinstyle="round"/>
              <v:imagedata o:title=""/>
              <o:lock v:ext="edit" aspectratio="f"/>
            </v:shape>
            <v:shape id="Freeform 126" o:spid="_x0000_s1705" style="position:absolute;left:5146;top:2678;height:1069;width:766;" filled="f" stroked="t" coordsize="766,1069" o:gfxdata="UEsDBAoAAAAAAIdO4kAAAAAAAAAAAAAAAAAEAAAAZHJzL1BLAwQUAAAACACHTuJAudbzHLwAAADd&#10;AAAADwAAAGRycy9kb3ducmV2LnhtbEVPzWrCQBC+F/oOywi9NRsjDTG6ehCkHiwl0QcYsmOymJ0N&#10;2VXTt3cLhd7m4/ud9XayvbjT6I1jBfMkBUHcOG24VXA+7d8LED4ga+wdk4If8rDdvL6ssdTuwRXd&#10;69CKGMK+RAVdCEMppW86sugTNxBH7uJGiyHCsZV6xEcMt73M0jSXFg3Hhg4H2nXUXOubVbDTxgxf&#10;1Ud+rez33pns82aOC6XeZvN0BSLQFP7Ff+6DjvOXRQa/38QT5OYJ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nW8xy8AAAA&#10;3QAAAA8AAAAAAAAAAQAgAAAAIgAAAGRycy9kb3ducmV2LnhtbFBLAQIUABQAAAAIAIdO4kAzLwWe&#10;OwAAADkAAAAQAAAAAAAAAAEAIAAAAAsBAABkcnMvc2hhcGV4bWwueG1sUEsFBgAAAAAGAAYAWwEA&#10;ALUDAAAAAA==&#10;" path="m0,1068l214,771,765,0e">
              <v:path o:connectlocs="0,3747;214,3450;765,2679;765,2679" o:connectangles="0,0,0,0"/>
              <v:fill on="f" focussize="0,0"/>
              <v:stroke weight="0.0154330708661417pt" color="#000000" joinstyle="round"/>
              <v:imagedata o:title=""/>
              <o:lock v:ext="edit" aspectratio="f"/>
            </v:shape>
            <v:shape id="Freeform 127" o:spid="_x0000_s1706" style="position:absolute;left:4880;top:3861;height:403;width:289;" filled="f" stroked="t" coordsize="289,403" o:gfxdata="UEsDBAoAAAAAAIdO4kAAAAAAAAAAAAAAAAAEAAAAZHJzL1BLAwQUAAAACACHTuJAeJJhbr8AAADd&#10;AAAADwAAAGRycy9kb3ducmV2LnhtbEVPTWvCQBC9C/0PyxS8SLNrxRLTrFJahSL2UJX2OmSnSTA7&#10;G7Krsf/eFQRv83ifky/OthEn6nztWMM4USCIC2dqLjXsd6unFIQPyAYbx6Thnzws5g+DHDPjev6m&#10;0zaUIoawz1BDFUKbSemLiiz6xLXEkftzncUQYVdK02Efw20jn5V6kRZrjg0VtvReUXHYHq2G6ejw&#10;JUu1fvtdrX+m/Wb50dZup/XwcaxeQQQ6h7v45v40cf4sncD1m3iCnF8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iSYW6/&#10;AAAA3QAAAA8AAAAAAAAAAQAgAAAAIgAAAGRycy9kb3ducmV2LnhtbFBLAQIUABQAAAAIAIdO4kAz&#10;LwWeOwAAADkAAAAQAAAAAAAAAAEAIAAAAA4BAABkcnMvc2hhcGV4bWwueG1sUEsFBgAAAAAGAAYA&#10;WwEAALgDAAAAAA==&#10;" path="m0,403l288,0,289,0e">
              <v:path o:connectlocs="0,4265;288,3862;289,3862" o:connectangles="0,0,0"/>
              <v:fill on="f" focussize="0,0"/>
              <v:stroke weight="0.0154330708661417pt" color="#000000" joinstyle="round"/>
              <v:imagedata o:title=""/>
              <o:lock v:ext="edit" aspectratio="f"/>
            </v:shape>
            <v:shape id="Freeform 128" o:spid="_x0000_s1707" style="position:absolute;left:6016;top:2606;height:73;width:53;" filled="f" stroked="t" coordsize="53,73" o:gfxdata="UEsDBAoAAAAAAIdO4kAAAAAAAAAAAAAAAAAEAAAAZHJzL1BLAwQUAAAACACHTuJA77P4V7oAAADd&#10;AAAADwAAAGRycy9kb3ducmV2LnhtbEVPzWrCQBC+F3yHZQRvdWMR0ejqwaJIb419gCE7TaLZmZhd&#10;Y/L23YLgbT6+39nselerjlpfCRuYTRNQxLnYigsDP+fD+xKUD8gWa2EyMJCH3Xb0tsHUyoO/qctC&#10;oWII+xQNlCE0qdY+L8mhn0pDHLlfaR2GCNtC2xYfMdzV+iNJFtphxbGhxIb2JeXX7O4MfA1H+bxd&#10;+qxbubsuDjLIZaiMmYxnyRpUoD68xE/3ycb5q+Uc/r+JJ+jtH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vs/hXugAAAN0A&#10;AAAPAAAAAAAAAAEAIAAAACIAAABkcnMvZG93bnJldi54bWxQSwECFAAUAAAACACHTuJAMy8FnjsA&#10;AAA5AAAAEAAAAAAAAAABACAAAAAJAQAAZHJzL3NoYXBleG1sLnhtbFBLBQYAAAAABgAGAFsBAACz&#10;AwAAAAA=&#10;" path="m0,73l52,0e">
              <v:path o:connectlocs="0,2679;52,2606;52,2606" o:connectangles="0,0,0"/>
              <v:fill on="f" focussize="0,0"/>
              <v:stroke weight="0.015511811023622pt" color="#000000" joinstyle="round"/>
              <v:imagedata o:title=""/>
              <o:lock v:ext="edit" aspectratio="f"/>
            </v:shape>
            <v:shape id="Freeform 129" o:spid="_x0000_s1708" style="position:absolute;left:5169;top:2678;height:1184;width:847;" filled="f" stroked="t" coordsize="847,1184" o:gfxdata="UEsDBAoAAAAAAIdO4kAAAAAAAAAAAAAAAAAEAAAAZHJzL1BLAwQUAAAACACHTuJAIQXsGL0AAADd&#10;AAAADwAAAGRycy9kb3ducmV2LnhtbEVPTWvCQBC9F/wPywje6kaxRaOrB1EQKUJTBb2N2TEJyc6G&#10;7GrMv3cLhd7m8T5nsXqaSjyocYVlBaNhBII4tbrgTMHxZ/s+BeE8ssbKMinoyMFq2XtbYKxty9/0&#10;SHwmQgi7GBXk3texlC7NyaAb2po4cDfbGPQBNpnUDbYh3FRyHEWf0mDBoSHHmtY5pWVyNwomnb6c&#10;vjbbJD2X3fhwbfdle0elBv1RNAfh6en/xX/unQ7zZ9MP+P0mnCCX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hBewYvQAA&#10;AN0AAAAPAAAAAAAAAAEAIAAAACIAAABkcnMvZG93bnJldi54bWxQSwECFAAUAAAACACHTuJAMy8F&#10;njsAAAA5AAAAEAAAAAAAAAABACAAAAAMAQAAZHJzL3NoYXBleG1sLnhtbFBLBQYAAAAABgAGAFsB&#10;AAC2AwAAAAA=&#10;" path="m0,1183l295,771,847,0e">
              <v:path o:connectlocs="0,3862;295,3450;847,2679;847,2679" o:connectangles="0,0,0,0"/>
              <v:fill on="f" focussize="0,0"/>
              <v:stroke weight="0.0154330708661417pt" color="#000000" joinstyle="round"/>
              <v:imagedata o:title=""/>
              <o:lock v:ext="edit" aspectratio="f"/>
            </v:shape>
            <v:shape id="Freeform 130" o:spid="_x0000_s1709" style="position:absolute;left:4880;top:4306;height:105;width:76;" filled="f" stroked="t" coordsize="76,105" o:gfxdata="UEsDBAoAAAAAAIdO4kAAAAAAAAAAAAAAAAAEAAAAZHJzL1BLAwQUAAAACACHTuJARL6hwr4AAADd&#10;AAAADwAAAGRycy9kb3ducmV2LnhtbEVPO2vDMBDeC/0P4grZGjkl5OFGyRAoJFMdp0O9HdbVMrZO&#10;xlJs599XhUK2+/ietztMthUD9b52rGAxT0AQl07XXCn4un68bkD4gKyxdUwK7uThsH9+2mGq3cgX&#10;GvJQiRjCPkUFJoQuldKXhiz6ueuII/fjeoshwr6SuscxhttWviXJSlqsOTYY7OhoqGzym1WwPTfl&#10;sv5uL97k62tRfGbHosmUmr0skncQgabwEP+7TzrO325W8PdNPEHuf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L6hwr4A&#10;AADdAAAADwAAAAAAAAABACAAAAAiAAAAZHJzL2Rvd25yZXYueG1sUEsBAhQAFAAAAAgAh07iQDMv&#10;BZ47AAAAOQAAABAAAAAAAAAAAQAgAAAADQEAAGRycy9zaGFwZXhtbC54bWxQSwUGAAAAAAYABgBb&#10;AQAAtwMAAAAA&#10;" path="m0,105l75,0,76,0e">
              <v:path o:connectlocs="0,4412;75,4307;76,4307" o:connectangles="0,0,0"/>
              <v:fill on="f" focussize="0,0"/>
              <v:stroke weight="0.015511811023622pt" color="#000000" joinstyle="round"/>
              <v:imagedata o:title=""/>
              <o:lock v:ext="edit" aspectratio="f"/>
            </v:shape>
            <v:shape id="Freeform 131" o:spid="_x0000_s1710" style="position:absolute;left:5569;top:2752;height:697;width:499;" filled="f" stroked="t" coordsize="499,697" o:gfxdata="UEsDBAoAAAAAAIdO4kAAAAAAAAAAAAAAAAAEAAAAZHJzL1BLAwQUAAAACACHTuJAsZ76nrkAAADd&#10;AAAADwAAAGRycy9kb3ducmV2LnhtbEVPS4vCMBC+C/6HMMLeNHEPW61GEWHZPQk+z2MztsFmUpr4&#10;+vdGELzNx/ec6fzuanGlNljPGoYDBYK48MZyqWG3/e2PQISIbLD2TBoeFGA+63ammBt/4zVdN7EU&#10;KYRDjhqqGJtcylBU5DAMfEOcuJNvHcYE21KaFm8p3NXyW6kf6dByaqiwoWVFxXlzcRrYBpUtjlmw&#10;x7/LXh2K1X59WGn91RuqCYhI9/gRv93/Js0fjzJ4fZNOkLMn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LGe+p65AAAA3QAA&#10;AA8AAAAAAAAAAQAgAAAAIgAAAGRycy9kb3ducmV2LnhtbFBLAQIUABQAAAAIAIdO4kAzLwWeOwAA&#10;ADkAAAAQAAAAAAAAAAEAIAAAAAgBAABkcnMvc2hhcGV4bWwueG1sUEsFBgAAAAAGAAYAWwEAALID&#10;AAAAAA==&#10;" path="m0,697l499,0e">
              <v:path o:connectlocs="0,3450;499,2753;499,2753" o:connectangles="0,0,0"/>
              <v:fill on="f" focussize="0,0"/>
              <v:stroke weight="0.0154330708661417pt" color="#000000" joinstyle="round"/>
              <v:imagedata o:title=""/>
              <o:lock v:ext="edit" aspectratio="f"/>
            </v:shape>
            <v:shape id="Freeform 132" o:spid="_x0000_s1711" style="position:absolute;left:4956;top:3449;height:857;width:614;" filled="f" stroked="t" coordsize="614,857" o:gfxdata="UEsDBAoAAAAAAIdO4kAAAAAAAAAAAAAAAAAEAAAAZHJzL1BLAwQUAAAACACHTuJAbe7KfcEAAADd&#10;AAAADwAAAGRycy9kb3ducmV2LnhtbEWPS2sCQRCE7wH/w9CCtzhrEoJZHUWUoCBB3IR4bXZ6H7jT&#10;s9kZH/HXpw8Bb91UddXX0/nVNepMXag9GxgNE1DEubc1lwa+Pt8fx6BCRLbYeCYDvxRgPus9TDG1&#10;/sJ7OmexVBLCIUUDVYxtqnXIK3IYhr4lFq3wncMoa1dq2+FFwl2jn5LkVTusWRoqbGlZUX7MTs7A&#10;z2JX6FVz2z6vjt9lawv+WL8cjBn0R8kEVKRrvJv/rzdW8N/GgivfyAh69gd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be7K&#10;fcEAAADdAAAADwAAAAAAAAABACAAAAAiAAAAZHJzL2Rvd25yZXYueG1sUEsBAhQAFAAAAAgAh07i&#10;QDMvBZ47AAAAOQAAABAAAAAAAAAAAQAgAAAAEAEAAGRycy9zaGFwZXhtbC54bWxQSwUGAAAAAAYA&#10;BgBbAQAAugMAAAAA&#10;" path="m0,857l206,569,613,0,614,0e">
              <v:path o:connectlocs="0,4307;206,4019;613,3450;614,3450" o:connectangles="0,0,0,0"/>
              <v:fill on="f" focussize="0,0"/>
              <v:stroke weight="0.0154330708661417pt" color="#000000" joinstyle="round"/>
              <v:imagedata o:title=""/>
              <o:lock v:ext="edit" aspectratio="f"/>
            </v:shape>
            <v:shape id="Freeform 133" o:spid="_x0000_s1712" style="position:absolute;left:4984;top:2899;height:1515;width:1085;" filled="f" stroked="t" coordsize="1085,1515" o:gfxdata="UEsDBAoAAAAAAIdO4kAAAAAAAAAAAAAAAAAEAAAAZHJzL1BLAwQUAAAACACHTuJAXvwwOLwAAADd&#10;AAAADwAAAGRycy9kb3ducmV2LnhtbEVPS4vCMBC+C/sfwgjeNFFQtBpFXBTB3YMP0OPQjG2xmdQm&#10;vv79ZkHwNh/fcyazpy3FnWpfONbQ7SgQxKkzBWcaDvtlewjCB2SDpWPS8CIPs+lXY4KJcQ/e0n0X&#10;MhFD2CeoIQ+hSqT0aU4WfcdVxJE7u9piiLDOpKnxEcNtKXtKDaTFgmNDjhUtckovu5vVQNfjz6Bc&#10;ntR3b7P9XeDqMrf9g9atZleNQQR6ho/47V6bOH80HMH/N/EEOf0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78MDi8AAAA&#10;3QAAAA8AAAAAAAAAAQAgAAAAIgAAAGRycy9kb3ducmV2LnhtbFBLAQIUABQAAAAIAIdO4kAzLwWe&#10;OwAAADkAAAAQAAAAAAAAAAEAIAAAAAsBAABkcnMvc2hhcGV4bWwueG1sUEsFBgAAAAAGAAYAWwEA&#10;ALUDAAAAAA==&#10;" path="m0,1514l690,550,1084,0e">
              <v:path o:connectlocs="0,4414;690,3450;1084,2900;1084,2900" o:connectangles="0,0,0,0"/>
              <v:fill on="f" focussize="0,0"/>
              <v:stroke weight="0.0154330708661417pt" color="#000000" joinstyle="round"/>
              <v:imagedata o:title=""/>
              <o:lock v:ext="edit" aspectratio="f"/>
            </v:shape>
            <v:shape id="Freeform 134" o:spid="_x0000_s1713" style="position:absolute;left:5089;top:3046;height:1368;width:979;" filled="f" stroked="t" coordsize="979,1368" o:gfxdata="UEsDBAoAAAAAAIdO4kAAAAAAAAAAAAAAAAAEAAAAZHJzL1BLAwQUAAAACACHTuJAdaLnT74AAADd&#10;AAAADwAAAGRycy9kb3ducmV2LnhtbEWPQUsDQQyF70L/w5CCNzvTCmLXTou0CKsXsfWgt7CT7i7u&#10;ZJaZ2NZ/bw6Ct4T38t6X1eYSB3OiXPrEHuYzB4a4SaHn1sP74enmHkwR5IBDYvLwQwU268nVCquQ&#10;zvxGp720RkO4VOihExkra0vTUcQySyOxaseUI4quubUh41nD42AXzt3ZiD1rQ4cjbTtqvvbf0cOi&#10;Hm9j7Sh/vjznx4/jThK9ivfX07l7ACN0kX/z33UdFH+5VH79Rkew61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aLnT74A&#10;AADdAAAADwAAAAAAAAABACAAAAAiAAAAZHJzL2Rvd25yZXYueG1sUEsBAhQAFAAAAAgAh07iQDMv&#10;BZ47AAAAOQAAABAAAAAAAAAAAQAgAAAADQEAAGRycy9zaGFwZXhtbC54bWxQSwUGAAAAAAYABgBb&#10;AQAAtwMAAAAA&#10;" path="m0,1368l690,404,979,0e">
              <v:path o:connectlocs="0,4414;690,3450;979,3046;979,3046" o:connectangles="0,0,0,0"/>
              <v:fill on="f" focussize="0,0"/>
              <v:stroke weight="0.0154330708661417pt" color="#000000" joinstyle="round"/>
              <v:imagedata o:title=""/>
              <o:lock v:ext="edit" aspectratio="f"/>
            </v:shape>
            <v:shape id="Freeform 135" o:spid="_x0000_s1714" style="position:absolute;left:5194;top:3192;height:1222;width:874;" filled="f" stroked="t" coordsize="874,1222" o:gfxdata="UEsDBAoAAAAAAIdO4kAAAAAAAAAAAAAAAAAEAAAAZHJzL1BLAwQUAAAACACHTuJAzrdsw74AAADd&#10;AAAADwAAAGRycy9kb3ducmV2LnhtbEVPTWvCQBC9C/6HZYReRDcREZO6CkoL4qFg1ENvQ3aahGZn&#10;w+7WpP++WxC8zeN9zmY3mFbcyfnGsoJ0noAgLq1uuFJwvbzP1iB8QNbYWiYFv+Rhtx2PNphr2/OZ&#10;7kWoRAxhn6OCOoQul9KXNRn0c9sRR+7LOoMhQldJ7bCP4aaViyRZSYMNx4YaOzrUVH4XP0aBdtfp&#10;RzPsF/3q7XibfnbZaVllSr1M0uQVRKAhPMUP91HH+VmWwv838QS5/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zrdsw74A&#10;AADdAAAADwAAAAAAAAABACAAAAAiAAAAZHJzL2Rvd25yZXYueG1sUEsBAhQAFAAAAAgAh07iQDMv&#10;BZ47AAAAOQAAABAAAAAAAAAAAQAgAAAADQEAAGRycy9zaGFwZXhtbC54bWxQSwUGAAAAAAYABgBb&#10;AQAAtwMAAAAA&#10;" path="m0,1222l690,258,874,0e">
              <v:path o:connectlocs="0,4414;690,3450;874,3192;874,3192" o:connectangles="0,0,0,0"/>
              <v:fill on="f" focussize="0,0"/>
              <v:stroke weight="0.0154330708661417pt" color="#000000" joinstyle="round"/>
              <v:imagedata o:title=""/>
              <o:lock v:ext="edit" aspectratio="f"/>
            </v:shape>
            <v:shape id="Freeform 136" o:spid="_x0000_s1715" style="position:absolute;left:5299;top:3339;height:1075;width:770;" filled="f" stroked="t" coordsize="770,1075" o:gfxdata="UEsDBAoAAAAAAIdO4kAAAAAAAAAAAAAAAAAEAAAAZHJzL1BLAwQUAAAACACHTuJA9k5Wn7wAAADd&#10;AAAADwAAAGRycy9kb3ducmV2LnhtbEVP3WrCMBS+F3yHcAa7kZmqIGttKm5DGLuz7gHOmmMb1pyE&#10;Jmvd25vBwLvz8f2ecn+1vRhpCMaxgtUyA0HcOG24VfB5Pj49gwgRWWPvmBT8UoB9NZ+VWGg38YnG&#10;OrYihXAoUEEXoy+kDE1HFsPSeeLEXdxgMSY4tFIPOKVw28t1lm2lRcOpoUNPrx013/WPVVBvxi37&#10;zZc5Lz7e/EQmP7yMuVKPD6tsByLSNd7F/+53nebn+Rr+vkknyOoG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ZOVp+8AAAA&#10;3QAAAA8AAAAAAAAAAQAgAAAAIgAAAGRycy9kb3ducmV2LnhtbFBLAQIUABQAAAAIAIdO4kAzLwWe&#10;OwAAADkAAAAQAAAAAAAAAAEAIAAAAAsBAABkcnMvc2hhcGV4bWwueG1sUEsFBgAAAAAGAAYAWwEA&#10;ALUDAAAAAA==&#10;" path="m0,1075l690,111,769,0e">
              <v:path o:connectlocs="0,4414;690,3450;769,3339;769,3339" o:connectangles="0,0,0,0"/>
              <v:fill on="f" focussize="0,0"/>
              <v:stroke weight="0.0154330708661417pt" color="#000000" joinstyle="round"/>
              <v:imagedata o:title=""/>
              <o:lock v:ext="edit" aspectratio="f"/>
            </v:shape>
            <v:shape id="Freeform 137" o:spid="_x0000_s1716" style="position:absolute;left:5404;top:3881;height:533;width:381;" filled="f" stroked="t" coordsize="381,533" o:gfxdata="UEsDBAoAAAAAAIdO4kAAAAAAAAAAAAAAAAAEAAAAZHJzL1BLAwQUAAAACACHTuJAb5wmOLwAAADd&#10;AAAADwAAAGRycy9kb3ducmV2LnhtbEVPS4vCMBC+L/gfwgje1kQFsdXowReyLCw+wOvQjG21mZQm&#10;Vv33m4UFb/PxPWe2eNpKtNT40rGGQV+BIM6cKTnXcDpuPicgfEA2WDkmDS/ysJh3PmaYGvfgPbWH&#10;kIsYwj5FDUUIdSqlzwqy6PuuJo7cxTUWQ4RNLk2DjxhuKzlUaiwtlhwbCqxpWVB2O9ythq/JPR+v&#10;ZNWqbcvf4fxzXY+Sq9a97kBNQQR6hrf4370zcX6SjODvm3iCnP8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cJji8AAAA&#10;3QAAAA8AAAAAAAAAAQAgAAAAIgAAAGRycy9kb3ducmV2LnhtbFBLAQIUABQAAAAIAIdO4kAzLwWe&#10;OwAAADkAAAAQAAAAAAAAAAEAIAAAAAsBAABkcnMvc2hhcGV4bWwueG1sUEsFBgAAAAAGAAYAWwEA&#10;ALUDAAAAAA==&#10;" path="m0,532l381,0e">
              <v:path o:connectlocs="0,4414;381,3882;381,3882" o:connectangles="0,0,0"/>
              <v:fill on="f" focussize="0,0"/>
              <v:stroke weight="0.0154330708661417pt" color="#000000" joinstyle="round"/>
              <v:imagedata o:title=""/>
              <o:lock v:ext="edit" aspectratio="f"/>
            </v:shape>
            <v:shape id="Freeform 138" o:spid="_x0000_s1717" style="position:absolute;left:6051;top:3485;height:24;width:17;" filled="f" stroked="t" coordsize="17,24" o:gfxdata="UEsDBAoAAAAAAIdO4kAAAAAAAAAAAAAAAAAEAAAAZHJzL1BLAwQUAAAACACHTuJAKT1N/rsAAADd&#10;AAAADwAAAGRycy9kb3ducmV2LnhtbEVPS4vCMBC+C/sfwix409RdEe0aPYgF8bRqCx5nm7EtNpOS&#10;xNe/3wiCt/n4njNf3k0rruR8Y1nBaJiAIC6tbrhSkB+ywRSED8gaW8uk4EEelouP3hxTbW+8o+s+&#10;VCKGsE9RQR1Cl0rpy5oM+qHtiCN3ss5giNBVUju8xXDTyq8kmUiDDceGGjta1VSe9xejwGa5P/65&#10;/BfX2+/y0mTFI98USvU/R8kPiED38Ba/3Bsd589mY3h+E0+Qi3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1N/rsAAADd&#10;AAAADwAAAAAAAAABACAAAAAiAAAAZHJzL2Rvd25yZXYueG1sUEsBAhQAFAAAAAgAh07iQDMvBZ47&#10;AAAAOQAAABAAAAAAAAAAAQAgAAAACgEAAGRycy9zaGFwZXhtbC54bWxQSwUGAAAAAAYABgBbAQAA&#10;tAMAAAAA&#10;" path="m0,23l17,0e">
              <v:path o:connectlocs="0,3509;17,3486;17,3486" o:connectangles="0,0,0"/>
              <v:fill on="f" focussize="0,0"/>
              <v:stroke weight="0.015511811023622pt" color="#000000" joinstyle="round"/>
              <v:imagedata o:title=""/>
              <o:lock v:ext="edit" aspectratio="f"/>
            </v:shape>
            <v:shape id="Freeform 139" o:spid="_x0000_s1718" style="position:absolute;left:5784;top:3508;height:373;width:267;" filled="f" stroked="t" coordsize="267,373" o:gfxdata="UEsDBAoAAAAAAIdO4kAAAAAAAAAAAAAAAAAEAAAAZHJzL1BLAwQUAAAACACHTuJAE3s6pb4AAADd&#10;AAAADwAAAGRycy9kb3ducmV2LnhtbEVPTWvCQBC9C/0PyxS81U0CiTV1DUVQeqqtreBxyE6TNNnZ&#10;kF2j/nu3UPA2j/c5y+JiOjHS4BrLCuJZBIK4tLrhSsH31+bpGYTzyBo7y6TgSg6K1cNkibm2Z/6k&#10;ce8rEULY5aig9r7PpXRlTQbdzPbEgfuxg0Ef4FBJPeA5hJtOJlGUSYMNh4Yae1rXVLb7k1HQVvNk&#10;/v6a7X6z6/Z4Sig9fGCq1PQxjl5AeLr4u/jf/abD/MUihb9vwglyd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3s6pb4A&#10;AADdAAAADwAAAAAAAAABACAAAAAiAAAAZHJzL2Rvd25yZXYueG1sUEsBAhQAFAAAAAgAh07iQDMv&#10;BZ47AAAAOQAAABAAAAAAAAAAAQAgAAAADQEAAGRycy9zaGFwZXhtbC54bWxQSwUGAAAAAAYABgBb&#10;AQAAtwMAAAAA&#10;" path="m0,373l266,0,267,0e">
              <v:path o:connectlocs="0,3882;266,3509;267,3509" o:connectangles="0,0,0"/>
              <v:fill on="f" focussize="0,0"/>
              <v:stroke weight="0.0154330708661417pt" color="#000000" joinstyle="round"/>
              <v:imagedata o:title=""/>
              <o:lock v:ext="edit" aspectratio="f"/>
            </v:shape>
            <v:shape id="Freeform 140" o:spid="_x0000_s1719" style="position:absolute;left:5508;top:3632;height:782;width:560;" filled="f" stroked="t" coordsize="560,782" o:gfxdata="UEsDBAoAAAAAAIdO4kAAAAAAAAAAAAAAAAAEAAAAZHJzL1BLAwQUAAAACACHTuJAKnJAO70AAADd&#10;AAAADwAAAGRycy9kb3ducmV2LnhtbEVPTYvCMBC9C/sfwgheRNN6KFqNHhRZLwrWXfQ4NLNt2WZS&#10;m1j135uFBW/zeJ+zWD1MLTpqXWVZQTyOQBDnVldcKPg6bUdTEM4ja6wtk4InOVgtP3oLTLW985G6&#10;zBcihLBLUUHpfZNK6fKSDLqxbYgD92Nbgz7AtpC6xXsIN7WcRFEiDVYcGkpsaF1S/pvdjAKbfF6/&#10;D+esvjy7jd5N9vFmeN0qNejH0RyEp4d/i//dOx3mz2YJ/H0TTpDL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qckA7vQAA&#10;AN0AAAAPAAAAAAAAAAEAIAAAACIAAABkcnMvZG93bnJldi54bWxQSwECFAAUAAAACACHTuJAMy8F&#10;njsAAAA5AAAAEAAAAAAAAAABACAAAAAMAQAAZHJzL3NoYXBleG1sLnhtbFBLBQYAAAAABgAGAFsB&#10;AAC2AwAAAAA=&#10;" path="m0,782l284,384,559,0e">
              <v:path o:connectlocs="0,4414;284,4016;559,3632;559,3632" o:connectangles="0,0,0,0"/>
              <v:fill on="f" focussize="0,0"/>
              <v:stroke weight="0.0154330708661417pt" color="#000000" joinstyle="round"/>
              <v:imagedata o:title=""/>
              <o:lock v:ext="edit" aspectratio="f"/>
            </v:shape>
            <v:shape id="Freeform 141" o:spid="_x0000_s1720" style="position:absolute;left:5613;top:3779;height:635;width:455;" filled="f" stroked="t" coordsize="455,635" o:gfxdata="UEsDBAoAAAAAAIdO4kAAAAAAAAAAAAAAAAAEAAAAZHJzL1BLAwQUAAAACACHTuJA1UK84rwAAADd&#10;AAAADwAAAGRycy9kb3ducmV2LnhtbEVPTYvCMBC9L/gfwgje1tQ9rFqNgsLK7m2tongbm7GtNpOS&#10;RK3/3iwseJvH+5zpvDW1uJHzlWUFg34Cgji3uuJCwXbz9T4C4QOyxtoyKXiQh/ms8zbFVNs7r+mW&#10;hULEEPYpKihDaFIpfV6SQd+3DXHkTtYZDBG6QmqH9xhuavmRJJ/SYMWxocSGliXll+xqFBwXl99z&#10;u1r9FLvDbhP2VI0cZ0r1uoNkAiJQG17if/e3jvPH4yH8fRNPkLMn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VCvOK8AAAA&#10;3QAAAA8AAAAAAAAAAQAgAAAAIgAAAGRycy9kb3ducmV2LnhtbFBLAQIUABQAAAAIAIdO4kAzLwWe&#10;OwAAADkAAAAQAAAAAAAAAAEAIAAAAAsBAABkcnMvc2hhcGV4bWwueG1sUEsFBgAAAAAGAAYAWwEA&#10;ALUDAAAAAA==&#10;" path="m0,635l210,341,454,0e">
              <v:path o:connectlocs="0,4414;210,4120;454,3779;454,3779" o:connectangles="0,0,0,0"/>
              <v:fill on="f" focussize="0,0"/>
              <v:stroke weight="0.0154330708661417pt" color="#000000" joinstyle="round"/>
              <v:imagedata o:title=""/>
              <o:lock v:ext="edit" aspectratio="f"/>
            </v:shape>
            <v:shape id="Freeform 142" o:spid="_x0000_s1721" style="position:absolute;left:5718;top:3925;height:489;width:350;" filled="f" stroked="t" coordsize="350,489" o:gfxdata="UEsDBAoAAAAAAIdO4kAAAAAAAAAAAAAAAAAEAAAAZHJzL1BLAwQUAAAACACHTuJAwnFelcEAAADd&#10;AAAADwAAAGRycy9kb3ducmV2LnhtbEWPT0sDMRDF70K/QxjBi7TJqojdNi3+xYIn24r0NmzGzdLN&#10;ZNnE7vrtnYPgbYb35r3fLNdjaNWJ+tREtlDMDCjiKrqGawv73cv0DlTKyA7byGThhxKsV5OzJZYu&#10;DvxOp22ulYRwKtGCz7krtU6Vp4BpFjti0b5iHzDL2tfa9ThIeGj1lTG3OmDD0uCxo0dP1XH7HSzo&#10;t8/X+93TUMfnbG6uH8aPw6UvrL04L8wCVKYx/5v/rjdO8OdzwZVvZAS9+gV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wnFe&#10;lcEAAADdAAAADwAAAAAAAAABACAAAAAiAAAAZHJzL2Rvd25yZXYueG1sUEsBAhQAFAAAAAgAh07i&#10;QDMvBZ47AAAAOQAAABAAAAAAAAAAAQAgAAAAEAEAAGRycy9zaGFwZXhtbC54bWxQSwUGAAAAAAYA&#10;BgBbAQAAugMAAAAA&#10;" path="m0,488l151,277,349,0e">
              <v:path o:connectlocs="0,4414;151,4203;349,3926;349,3926" o:connectangles="0,0,0,0"/>
              <v:fill on="f" focussize="0,0"/>
              <v:stroke weight="0.0154330708661417pt" color="#000000" joinstyle="round"/>
              <v:imagedata o:title=""/>
              <o:lock v:ext="edit" aspectratio="f"/>
            </v:shape>
            <v:shape id="Picture 143" o:spid="_x0000_s1722" o:spt="75" type="#_x0000_t75" style="position:absolute;left:5823;top:4072;height:342;width:245;" filled="f" o:preferrelative="t" stroked="f" coordsize="21600,21600" o:gfxdata="UEsDBAoAAAAAAIdO4kAAAAAAAAAAAAAAAAAEAAAAZHJzL1BLAwQUAAAACACHTuJA9xAhFL0AAADd&#10;AAAADwAAAGRycy9kb3ducmV2LnhtbEVPS2sCMRC+C/0PYQreNGuLj6xGoYWiBymtCl7HzXR36Way&#10;TeLr35uC4G0+vufMFhfbiBP5UDvWMOhnIIgLZ2ouNey2H70JiBCRDTaOScOVAizmT50Z5sad+ZtO&#10;m1iKFMIhRw1VjG0uZSgqshj6riVO3I/zFmOCvpTG4zmF20a+ZNlIWqw5NVTY0ntFxe/maDUc/15V&#10;tOvlaPi5Pmz9+IvfVLHXuvs8yKYgIl3iQ3x3r0yar5SC/2/SCXJ+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3ECEUvQAA&#10;AN0AAAAPAAAAAAAAAAEAIAAAACIAAABkcnMvZG93bnJldi54bWxQSwECFAAUAAAACACHTuJAMy8F&#10;njsAAAA5AAAAEAAAAAAAAAABACAAAAAMAQAAZHJzL3NoYXBleG1sLnhtbFBLBQYAAAAABgAGAFsB&#10;AAC2AwAAAAA=&#10;">
              <v:path/>
              <v:fill on="f" focussize="0,0"/>
              <v:stroke on="f" joinstyle="miter"/>
              <v:imagedata r:id="rId44" o:title=""/>
              <o:lock v:ext="edit" aspectratio="t"/>
            </v:shape>
            <v:shape id="Freeform 144" o:spid="_x0000_s1723" style="position:absolute;left:3629;top:2678;height:2;width:352;" filled="f" stroked="t" coordsize="352,1" o:gfxdata="UEsDBAoAAAAAAIdO4kAAAAAAAAAAAAAAAAAEAAAAZHJzL1BLAwQUAAAACACHTuJA4J6nhbwAAADd&#10;AAAADwAAAGRycy9kb3ducmV2LnhtbEWPTYvCQAyG74L/YYiwN52qINp1FBQU2Zsf6DXbybZdO5nS&#10;GVv99+awsMfw5n2SZ7l+ukq11ITSs4HxKAFFnHlbcm7gct4N56BCRLZYeSYDLwqwXvV7S0yt7/hI&#10;7SnmSiAcUjRQxFinWoesIIdh5GtiyX584zDK2OTaNtgJ3FV6kiQz7bBkuVBgTduCsvvp4QyUv122&#10;OQb7eIX99WvRfbNtpzdjPgbj5BNUpGf8X/5rH6wBIcr/YiMmoFd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Cep4W8AAAA&#10;3QAAAA8AAAAAAAAAAQAgAAAAIgAAAGRycy9kb3ducmV2LnhtbFBLAQIUABQAAAAIAIdO4kAzLwWe&#10;OwAAADkAAAAQAAAAAAAAAAEAIAAAAAsBAABkcnMvc2hhcGV4bWwueG1sUEsFBgAAAAAGAAYAWwEA&#10;ALUDAAAAAA==&#10;" path="m0,0l351,0e">
              <v:path o:connectlocs="0,0;351,0;351,0" o:connectangles="0,0,0"/>
              <v:fill on="f" focussize="0,0"/>
              <v:stroke weight="0.0190551181102362pt" color="#000000" joinstyle="round"/>
              <v:imagedata o:title=""/>
              <o:lock v:ext="edit" aspectratio="f"/>
            </v:shape>
            <v:shape id="Freeform 145" o:spid="_x0000_s1724" style="position:absolute;left:4047;top:2678;height:2;width:68;" filled="f" stroked="t" coordsize="68,1" o:gfxdata="UEsDBAoAAAAAAIdO4kAAAAAAAAAAAAAAAAAEAAAAZHJzL1BLAwQUAAAACACHTuJAtuK8y70AAADd&#10;AAAADwAAAGRycy9kb3ducmV2LnhtbEWPQWvCQBCF7wX/wzKCt7pJCiKpq6BYiCepldLjkJ1mg9nZ&#10;Jbua+O/dgtDj48373rzVZrSduFEfWscK8nkGgrh2uuVGwfnr43UJIkRkjZ1jUnCnAJv15GWFpXYD&#10;f9LtFBuRIBxKVGBi9KWUoTZkMcydJ07er+stxiT7RuoehwS3nSyybCEttpwaDHraGaovp6tNb7Te&#10;43K7/7kU+ffuenw7HCrjlZpN8+wdRKQx/h8/05VWkIg5/K1JCJDr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24rzLvQAA&#10;AN0AAAAPAAAAAAAAAAEAIAAAACIAAABkcnMvZG93bnJldi54bWxQSwECFAAUAAAACACHTuJAMy8F&#10;njsAAAA5AAAAEAAAAAAAAAABACAAAAAMAQAAZHJzL3NoYXBleG1sLnhtbFBLBQYAAAAABgAGAFsB&#10;AAC2AwAAAAA=&#10;" path="m0,0l67,0e">
              <v:path o:connectlocs="0,0;67,0;67,0" o:connectangles="0,0,0"/>
              <v:fill on="f" focussize="0,0"/>
              <v:stroke weight="0.0190551181102362pt" color="#000000" joinstyle="round"/>
              <v:imagedata o:title=""/>
              <o:lock v:ext="edit" aspectratio="f"/>
            </v:shape>
            <v:shape id="Freeform 146" o:spid="_x0000_s1725" style="position:absolute;left:4181;top:2678;height:2;width:334;" filled="f" stroked="t" coordsize="334,1" o:gfxdata="UEsDBAoAAAAAAIdO4kAAAAAAAAAAAAAAAAAEAAAAZHJzL1BLAwQUAAAACACHTuJAb7fSm7wAAADd&#10;AAAADwAAAGRycy9kb3ducmV2LnhtbEWPzYvCMBTE78L+D+EJe9O0Hhappj0IgiII69f5bfK2KTYv&#10;3SZ+/fcbQfA4zMxvmHl1d624Uh8azwrycQaCWHvTcK3gsF+OpiBCRDbYeiYFDwpQlR+DORbG3/ib&#10;rrtYiwThUKACG2NXSBm0JYdh7Dvi5P363mFMsq+l6fGW4K6Vkyz7kg4bTgsWO1pY0ufdxSnYX7br&#10;DT/y1c/x5Flv9cnbP6fU5zDPZiAi3eM7/GqvjIJEnMDzTXoCsvw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30pu8AAAA&#10;3QAAAA8AAAAAAAAAAQAgAAAAIgAAAGRycy9kb3ducmV2LnhtbFBLAQIUABQAAAAIAIdO4kAzLwWe&#10;OwAAADkAAAAQAAAAAAAAAAEAIAAAAAsBAABkcnMvc2hhcGV4bWwueG1sUEsFBgAAAAAGAAYAWwEA&#10;ALUDAAAAAA==&#10;" path="m0,0l334,0e">
              <v:path o:connectlocs="0,0;334,0;334,0" o:connectangles="0,0,0"/>
              <v:fill on="f" focussize="0,0"/>
              <v:stroke weight="0.0190551181102362pt" color="#000000" joinstyle="round"/>
              <v:imagedata o:title=""/>
              <o:lock v:ext="edit" aspectratio="f"/>
            </v:shape>
            <v:shape id="Freeform 147" o:spid="_x0000_s1726" style="position:absolute;left:4581;top:2678;height:2;width:68;" filled="f" stroked="t" coordsize="68,1" o:gfxdata="UEsDBAoAAAAAAIdO4kAAAAAAAAAAAAAAAAAEAAAAZHJzL1BLAwQUAAAACACHTuJAKXyHJ70AAADd&#10;AAAADwAAAGRycy9kb3ducmV2LnhtbEWPT2sCMRDF7wW/Qxiht5r9A0VWo6AouCepLcXjsBk3i5tJ&#10;2ETXfntTKPT4ePN+b95y/bC9uNMQOscK8lkGgrhxuuNWwdfn/m0OIkRkjb1jUvBDAdarycsSK+1G&#10;/qD7KbYiQThUqMDE6CspQ2PIYpg5T5y8ixssxiSHVuoBxwS3vSyy7F1a7Dg1GPS0NdRcTzeb3ui8&#10;x/lmd74W+ff2dizr+mC8Uq/TPFuAiPSI/8d/6YNWkIgl/K5JCJCrJ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pfIcnvQAA&#10;AN0AAAAPAAAAAAAAAAEAIAAAACIAAABkcnMvZG93bnJldi54bWxQSwECFAAUAAAACACHTuJAMy8F&#10;njsAAAA5AAAAEAAAAAAAAAABACAAAAAMAQAAZHJzL3NoYXBleG1sLnhtbFBLBQYAAAAABgAGAFsB&#10;AAC2AwAAAAA=&#10;" path="m0,0l66,0,67,0e">
              <v:path o:connectlocs="0,0;66,0;67,0" o:connectangles="0,0,0"/>
              <v:fill on="f" focussize="0,0"/>
              <v:stroke weight="0.0190551181102362pt" color="#000000" joinstyle="round"/>
              <v:imagedata o:title=""/>
              <o:lock v:ext="edit" aspectratio="f"/>
            </v:shape>
            <v:shape id="Freeform 148" o:spid="_x0000_s1727" style="position:absolute;left:4715;top:2678;height:2;width:335;" filled="f" stroked="t" coordsize="335,1" o:gfxdata="UEsDBAoAAAAAAIdO4kAAAAAAAAAAAAAAAAAEAAAAZHJzL1BLAwQUAAAACACHTuJA2Spvib4AAADd&#10;AAAADwAAAGRycy9kb3ducmV2LnhtbEWPQWsCMRSE7wX/Q3iCt5qsiNjV6KEoCBWkKsXjc/PMLt28&#10;LEmqtr/eFAo9DjPzDTNf3l0rrhRi41lDMVQgiCtvGrYajof18xRETMgGW8+k4ZsiLBe9pzmWxt/4&#10;na77ZEWGcCxRQ51SV0oZq5ocxqHviLN38cFhyjJYaQLeMty1cqTURDpsOC/U2NFrTdXn/stpaN+C&#10;Wp9fRjb+2O20WH3I8eS003rQL9QMRKJ7+g//tTdGQyaO4fdNfgJy8Q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2Spvib4A&#10;AADdAAAADwAAAAAAAAABACAAAAAiAAAAZHJzL2Rvd25yZXYueG1sUEsBAhQAFAAAAAgAh07iQDMv&#10;BZ47AAAAOQAAABAAAAAAAAAAAQAgAAAADQEAAGRycy9zaGFwZXhtbC54bWxQSwUGAAAAAAYABgBb&#10;AQAAtwMAAAAA&#10;" path="m0,0l334,0e">
              <v:path o:connectlocs="0,0;334,0;334,0" o:connectangles="0,0,0"/>
              <v:fill on="f" focussize="0,0"/>
              <v:stroke weight="0.0190551181102362pt" color="#000000" joinstyle="round"/>
              <v:imagedata o:title=""/>
              <o:lock v:ext="edit" aspectratio="f"/>
            </v:shape>
            <v:shape id="Freeform 149" o:spid="_x0000_s1728" style="position:absolute;left:5115;top:2678;height:2;width:67;" filled="f" stroked="t" coordsize="67,1" o:gfxdata="UEsDBAoAAAAAAIdO4kAAAAAAAAAAAAAAAAAEAAAAZHJzL1BLAwQUAAAACACHTuJAOLOWnbsAAADd&#10;AAAADwAAAGRycy9kb3ducmV2LnhtbEWP3YrCMBSE7xd8h3AWvClrWllFuqYFFUEvt/oAh+b0h01O&#10;ShP/3t4Iwl4OM/MNsy7v1ogrjb53rCCbpSCIa6d7bhWcT/uvFQgfkDUax6TgQR7KYvKxxly7G//S&#10;tQqtiBD2OSroQhhyKX3dkUU/cwNx9Bo3WgxRjq3UI94i3Bo5T9OltNhzXOhwoG1H9V91sQqO36vB&#10;77jK+OxM0ySbZGGqRKnpZ5b+gAh0D//hd/ugFUTiAl5v4hOQxR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LOWnbsAAADd&#10;AAAADwAAAAAAAAABACAAAAAiAAAAZHJzL2Rvd25yZXYueG1sUEsBAhQAFAAAAAgAh07iQDMvBZ47&#10;AAAAOQAAABAAAAAAAAAAAQAgAAAACgEAAGRycy9zaGFwZXhtbC54bWxQSwUGAAAAAAYABgBbAQAA&#10;tAMAAAAA&#10;" path="m0,0l66,0,67,0e">
              <v:path o:connectlocs="0,0;66,0;67,0" o:connectangles="0,0,0"/>
              <v:fill on="f" focussize="0,0"/>
              <v:stroke weight="0.0190551181102362pt" color="#000000" joinstyle="round"/>
              <v:imagedata o:title=""/>
              <o:lock v:ext="edit" aspectratio="f"/>
            </v:shape>
            <v:shape id="Freeform 150" o:spid="_x0000_s1729" style="position:absolute;left:5249;top:2678;height:2;width:335;" filled="f" stroked="t" coordsize="335,1" o:gfxdata="UEsDBAoAAAAAAIdO4kAAAAAAAAAAAAAAAAAEAAAAZHJzL1BLAwQUAAAACACHTuJARrRUZb0AAADd&#10;AAAADwAAAGRycy9kb3ducmV2LnhtbEWPQWsCMRSE74L/ITyht5qsFNHV6EEqFFqQ2iIen5tndnHz&#10;siSpWn99IxQ8DjPzDTNfXl0rzhRi41lDMVQgiCtvGrYavr/WzxMQMSEbbD2Thl+KsFz0e3Msjb/w&#10;J523yYoM4ViihjqlrpQyVjU5jEPfEWfv6IPDlGWw0gS8ZLhr5UipsXTYcF6osaNVTdVp++M0tO9B&#10;rQ/TkY03+zEpXnfyZbzfaP00KNQMRKJreoT/229Gw50I9zf5CcjF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GtFRlvQAA&#10;AN0AAAAPAAAAAAAAAAEAIAAAACIAAABkcnMvZG93bnJldi54bWxQSwECFAAUAAAACACHTuJAMy8F&#10;njsAAAA5AAAAEAAAAAAAAAABACAAAAAMAQAAZHJzL3NoYXBleG1sLnhtbFBLBQYAAAAABgAGAFsB&#10;AAC2AwAAAAA=&#10;" path="m0,0l334,0,335,0e">
              <v:path o:connectlocs="0,0;334,0;335,0" o:connectangles="0,0,0"/>
              <v:fill on="f" focussize="0,0"/>
              <v:stroke weight="0.0190551181102362pt" color="#000000" joinstyle="round"/>
              <v:imagedata o:title=""/>
              <o:lock v:ext="edit" aspectratio="f"/>
            </v:shape>
            <v:shape id="Freeform 151" o:spid="_x0000_s1730" style="position:absolute;left:5649;top:2678;height:2;width:68;" filled="f" stroked="t" coordsize="68,1" o:gfxdata="UEsDBAoAAAAAAIdO4kAAAAAAAAAAAAAAAAAEAAAAZHJzL1BLAwQUAAAACACHTuJAVkeBJL4AAADd&#10;AAAADwAAAGRycy9kb3ducmV2LnhtbEWPQWvCQBCF7wX/wzIFb3UTC1ZSV6FiwZykaRGPQ3aaDWZn&#10;l+ya6L93hUKPjzfve/NWm6vtxEB9aB0ryGcZCOLa6ZYbBT/fny9LECEia+wck4IbBdisJ08rLLQb&#10;+YuGKjYiQTgUqMDE6AspQ23IYpg5T5y8X9dbjEn2jdQ9jgluOznPsoW02HJqMOhpa6g+Vxeb3mi9&#10;x+XH7nSe58ft5fBalnvjlZo+59k7iEjX+H/8l95rBYn4Bo81CQFyfQ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keBJL4A&#10;AADdAAAADwAAAAAAAAABACAAAAAiAAAAZHJzL2Rvd25yZXYueG1sUEsBAhQAFAAAAAgAh07iQDMv&#10;BZ47AAAAOQAAABAAAAAAAAAAAQAgAAAADQEAAGRycy9zaGFwZXhtbC54bWxQSwUGAAAAAAYABgBb&#10;AQAAtwMAAAAA&#10;" path="m0,0l67,0e">
              <v:path o:connectlocs="0,0;67,0;67,0" o:connectangles="0,0,0"/>
              <v:fill on="f" focussize="0,0"/>
              <v:stroke weight="0.0190551181102362pt" color="#000000" joinstyle="round"/>
              <v:imagedata o:title=""/>
              <o:lock v:ext="edit" aspectratio="f"/>
            </v:shape>
            <v:shape id="Freeform 152" o:spid="_x0000_s1731" style="position:absolute;left:5783;top:2678;height:2;width:335;" filled="f" stroked="t" coordsize="335,1" o:gfxdata="UEsDBAoAAAAAAIdO4kAAAAAAAAAAAAAAAAAEAAAAZHJzL1BLAwQUAAAACACHTuJAWGdljL8AAADd&#10;AAAADwAAAGRycy9kb3ducmV2LnhtbEWPwUoDMRCG70LfIUzBm022SGnXpj2UFgoKYpXicdyM2aWb&#10;yZLEtvr0zkHwOPzzfzPfcn0NvTpTyl1kC9XEgCJuouvYW3h73d3NQeWC7LCPTBa+KcN6NbpZYu3i&#10;hV/ofCheCYRzjRbaUoZa69y0FDBP4kAs2WdMAYuMyWuX8CLw0OupMTMdsGO50OJAm5aa0+ErWOgf&#10;k9l9LKY+//inebU96vvZ+7O1t+PKPIAqdC3/y3/tvbMgRHlXbMQE9OoX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hnZYy/&#10;AAAA3QAAAA8AAAAAAAAAAQAgAAAAIgAAAGRycy9kb3ducmV2LnhtbFBLAQIUABQAAAAIAIdO4kAz&#10;LwWeOwAAADkAAAAQAAAAAAAAAAEAIAAAAA4BAABkcnMvc2hhcGV4bWwueG1sUEsFBgAAAAAGAAYA&#10;WwEAALgDAAAAAA==&#10;" path="m0,0l334,0,335,0e">
              <v:path o:connectlocs="0,0;334,0;335,0" o:connectangles="0,0,0"/>
              <v:fill on="f" focussize="0,0"/>
              <v:stroke weight="0.0190551181102362pt" color="#000000" joinstyle="round"/>
              <v:imagedata o:title=""/>
              <o:lock v:ext="edit" aspectratio="f"/>
            </v:shape>
            <v:shape id="Freeform 153" o:spid="_x0000_s1732" style="position:absolute;left:6184;top:2678;height:2;width:67;" filled="f" stroked="t" coordsize="67,1" o:gfxdata="UEsDBAoAAAAAAIdO4kAAAAAAAAAAAAAAAAAEAAAAZHJzL1BLAwQUAAAACACHTuJAuf6cmLsAAADd&#10;AAAADwAAAGRycy9kb3ducmV2LnhtbEWP3YrCMBSE7wXfIRzBm6JpZV20GgV3EXYvt9sHODSnP5ic&#10;lCb+vb0RBC+HmfmG2e5v1ogLDb5zrCCbpyCIK6c7bhSU/8fZCoQPyBqNY1JwJw/73Xi0xVy7K//R&#10;pQiNiBD2OSpoQ+hzKX3VkkU/dz1x9Go3WAxRDo3UA14j3Bq5SNNPabHjuNBiT18tVafibBX8fqx6&#10;/81FxqUzdZ0ckqUpEqWmkyzdgAh0C+/wq/2jFUTiGp5v4hOQuw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f6cmLsAAADd&#10;AAAADwAAAAAAAAABACAAAAAiAAAAZHJzL2Rvd25yZXYueG1sUEsBAhQAFAAAAAgAh07iQDMvBZ47&#10;AAAAOQAAABAAAAAAAAAAAQAgAAAACgEAAGRycy9zaGFwZXhtbC54bWxQSwUGAAAAAAYABgBbAQAA&#10;tAMAAAAA&#10;" path="m0,0l67,0e">
              <v:path o:connectlocs="0,0;67,0;67,0" o:connectangles="0,0,0"/>
              <v:fill on="f" focussize="0,0"/>
              <v:stroke weight="0.0190551181102362pt" color="#000000" joinstyle="round"/>
              <v:imagedata o:title=""/>
              <o:lock v:ext="edit" aspectratio="f"/>
            </v:shape>
            <v:shape id="Freeform 154" o:spid="_x0000_s1733" style="position:absolute;left:6317;top:2678;height:2;width:335;" filled="f" stroked="t" coordsize="335,1" o:gfxdata="UEsDBAoAAAAAAIdO4kAAAAAAAAAAAAAAAAAEAAAAZHJzL1BLAwQUAAAACACHTuJAI8j/V7wAAADd&#10;AAAADwAAAGRycy9kb3ducmV2LnhtbEVPy2oCMRTdF/yHcAV3NZlBREeji6IgVCjaIl3eTq6ZoZOb&#10;IUl99OvNotDl4byX65vrxIVCbD1rKMYKBHHtTctWw8f79nkGIiZkg51n0nCnCOvV4GmJlfFXPtDl&#10;mKzIIRwr1NCk1FdSxrohh3Hse+LMnX1wmDIMVpqA1xzuOlkqNZUOW84NDfb00lD9ffxxGrrXoLZf&#10;89LGX7ufFZuTnEw/37QeDQu1AJHolv7Ff+6d0VCqIu/Pb/ITkKs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PI/1e8AAAA&#10;3QAAAA8AAAAAAAAAAQAgAAAAIgAAAGRycy9kb3ducmV2LnhtbFBLAQIUABQAAAAIAIdO4kAzLwWe&#10;OwAAADkAAAAQAAAAAAAAAAEAIAAAAAsBAABkcnMvc2hhcGV4bWwueG1sUEsFBgAAAAAGAAYAWwEA&#10;ALUDAAAAAA==&#10;" path="m0,0l334,0e">
              <v:path o:connectlocs="0,0;334,0;334,0" o:connectangles="0,0,0"/>
              <v:fill on="f" focussize="0,0"/>
              <v:stroke weight="0.0190551181102362pt" color="#000000" joinstyle="round"/>
              <v:imagedata o:title=""/>
              <o:lock v:ext="edit" aspectratio="f"/>
            </v:shape>
            <v:shape id="Freeform 155" o:spid="_x0000_s1734" style="position:absolute;left:6718;top:2678;height:2;width:68;" filled="f" stroked="t" coordsize="68,1" o:gfxdata="UEsDBAoAAAAAAIdO4kAAAAAAAAAAAAAAAAAEAAAAZHJzL1BLAwQUAAAACACHTuJAMzsqFr4AAADd&#10;AAAADwAAAGRycy9kb3ducmV2LnhtbEWPT2sCMRDF74V+hzBCbzXJFkRWo6C0oKdSldLjsBk3i5tJ&#10;2MQ//fZNQfD4ePN+b958efO9uNCQusAG9FiBIG6C7bg1cNh/vE5BpIxssQ9MBn4pwXLx/DTH2oYr&#10;f9Fll1tRIJxqNOByjrWUqXHkMY1DJC7eMQwec5FDK+2A1wL3vayUmkiPHZcGh5HWjprT7uzLG12M&#10;OF29/5wq/b0+f75ttxsXjXkZaTUDkemWH8f39MYaqJTW8L+mIEAu/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zsqFr4A&#10;AADdAAAADwAAAAAAAAABACAAAAAiAAAAZHJzL2Rvd25yZXYueG1sUEsBAhQAFAAAAAgAh07iQDMv&#10;BZ47AAAAOQAAABAAAAAAAAAAAQAgAAAADQEAAGRycy9zaGFwZXhtbC54bWxQSwUGAAAAAAYABgBb&#10;AQAAtwMAAAAA&#10;" path="m0,0l67,0e">
              <v:path o:connectlocs="0,0;67,0;67,0" o:connectangles="0,0,0"/>
              <v:fill on="f" focussize="0,0"/>
              <v:stroke weight="0.0190551181102362pt" color="#000000" joinstyle="round"/>
              <v:imagedata o:title=""/>
              <o:lock v:ext="edit" aspectratio="f"/>
            </v:shape>
            <v:shape id="Freeform 156" o:spid="_x0000_s1735" style="position:absolute;left:6851;top:2678;height:2;width:352;" filled="f" stroked="t" coordsize="352,1" o:gfxdata="UEsDBAoAAAAAAIdO4kAAAAAAAAAAAAAAAAAEAAAAZHJzL1BLAwQUAAAACACHTuJA+tkKtL0AAADd&#10;AAAADwAAAGRycy9kb3ducmV2LnhtbEWPQWvCQBSE74L/YXlCb7qbFIpGV6GCpXhTS70+s88kNvs2&#10;ZNdE/71bEDwOM/MNs1jdbC06an3lWEMyUSCIc2cqLjT8HDbjKQgfkA3WjknDnTyslsPBAjPjet5R&#10;tw+FiBD2GWooQ2gyKX1ekkU/cQ1x9M6utRiibAtpWuwj3NYyVepDWqw4LpTY0Lqk/G9/tRqqS59/&#10;7ry53v3X73bWn9h070et30aJmoMIdAuv8LP9bTSkKknh/018AnL5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62Qq0vQAA&#10;AN0AAAAPAAAAAAAAAAEAIAAAACIAAABkcnMvZG93bnJldi54bWxQSwECFAAUAAAACACHTuJAMy8F&#10;njsAAAA5AAAAEAAAAAAAAAABACAAAAAMAQAAZHJzL3NoYXBleG1sLnhtbFBLBQYAAAAABgAGAFsB&#10;AAC2AwAAAAA=&#10;" path="m0,0l351,0e">
              <v:path o:connectlocs="0,0;351,0;351,0" o:connectangles="0,0,0"/>
              <v:fill on="f" focussize="0,0"/>
              <v:stroke weight="0.0190551181102362pt" color="#000000" joinstyle="round"/>
              <v:imagedata o:title=""/>
              <o:lock v:ext="edit" aspectratio="f"/>
            </v:shape>
            <v:shape id="Freeform 157" o:spid="_x0000_s1736" style="position:absolute;left:4343;top:3449;height:2;width:2264;" filled="f" stroked="t" coordsize="2264,1" o:gfxdata="UEsDBAoAAAAAAIdO4kAAAAAAAAAAAAAAAAAEAAAAZHJzL1BLAwQUAAAACACHTuJA3cM7b70AAADd&#10;AAAADwAAAGRycy9kb3ducmV2LnhtbEWPwWrDMBBE74X+g9hCLiWR7EAIjuVQShtCbo3b+8ba2KbW&#10;ykhq4vx9VCj0OMzMG6bcTnYQF/Khd6whWygQxI0zPbcaPuv3+RpEiMgGB8ek4UYBttXjQ4mFcVf+&#10;oMsxtiJBOBSooYtxLKQMTUcWw8KNxMk7O28xJulbaTxeE9wOMldqJS32nBY6HOm1o+b7+GM1sF+/&#10;rU77XW0lP798WZry8TBpPXvK1AZEpCn+h//ae6MhV9kSft+kJyCrO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dwztvvQAA&#10;AN0AAAAPAAAAAAAAAAEAIAAAACIAAABkcnMvZG93bnJldi54bWxQSwECFAAUAAAACACHTuJAMy8F&#10;njsAAAA5AAAAEAAAAAAAAAABACAAAAAMAQAAZHJzL3NoYXBleG1sLnhtbFBLBQYAAAAABgAGAFsB&#10;AAC2AwAAAAA=&#10;" path="m0,0l2263,0e">
              <v:path o:connectlocs="0,0;2263,0;2263,0" o:connectangles="0,0,0"/>
              <v:fill on="f" focussize="0,0"/>
              <v:stroke weight="0.0190551181102362pt" color="#000000" joinstyle="round"/>
              <v:imagedata o:title=""/>
              <o:lock v:ext="edit" aspectratio="f"/>
            </v:shape>
            <v:shape id="Freeform 158" o:spid="_x0000_s1737" style="position:absolute;left:4056;top:2336;height:14;width:2838;" filled="f" stroked="t" coordsize="2838,14" o:gfxdata="UEsDBAoAAAAAAIdO4kAAAAAAAAAAAAAAAAAEAAAAZHJzL1BLAwQUAAAACACHTuJASUCsRr4AAADd&#10;AAAADwAAAGRycy9kb3ducmV2LnhtbEWP3YrCMBSE74V9h3AW9k6TuiJuNQoKgiwo+MPi5aE5tsXm&#10;pDZRu29vBMHLYWa+YSaz1lbiRo0vHWtIegoEceZMybmGw37ZHYHwAdlg5Zg0/JOH2fSjM8HUuDtv&#10;6bYLuYgQ9ilqKEKoUyl9VpBF33M1cfROrrEYomxyaRq8R7itZF+pobRYclwosKZFQdl5d7Ua5n/2&#10;4LL18th+n84y3/z+2MXFaP31magxiEBteIdf7ZXR0FfJAJ5v4hOQ0w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UCsRr4A&#10;AADdAAAADwAAAAAAAAABACAAAAAiAAAAZHJzL2Rvd25yZXYueG1sUEsBAhQAFAAAAAgAh07iQDMv&#10;BZ47AAAAOQAAABAAAAAAAAAAAQAgAAAADQEAAGRycy9zaGFwZXhtbC54bWxQSwUGAAAAAAYABgBb&#10;AQAAtwMAAAAA&#10;" path="m0,0l0,9,2838,14,2838,5,0,0e">
              <v:path o:connectlocs="0,2336;0,2345;2838,2350;2838,2341;0,2336" o:connectangles="0,0,0,0,0"/>
              <v:fill on="f" focussize="0,0"/>
              <v:stroke weight="0.0190551181102362pt" color="#000000" joinstyle="round"/>
              <v:imagedata o:title=""/>
              <o:lock v:ext="edit" aspectratio="f"/>
            </v:shape>
            <v:rect id="Rectangle 159" o:spid="_x0000_s1738" o:spt="1" style="position:absolute;left:3325;top:4403;height:21;width:4721;" fillcolor="#000000" filled="t" stroked="f" coordsize="21600,21600" o:gfxdata="UEsDBAoAAAAAAIdO4kAAAAAAAAAAAAAAAAAEAAAAZHJzL1BLAwQUAAAACACHTuJA3T6/z8AAAADd&#10;AAAADwAAAGRycy9kb3ducmV2LnhtbEWPT2sCMRTE7wW/Q3hCbzXZpYpujYJCoZdC/XPQ23Pzuru4&#10;eVmTVK2f3giFHoeZ+Q0znV9tK87kQ+NYQzZQIIhLZxquNGw37y9jECEiG2wdk4ZfCjCf9Z6mWBh3&#10;4RWd17ESCcKhQA11jF0hZShrshgGriNO3rfzFmOSvpLG4yXBbStzpUbSYsNpocaOljWVx/WP1bCY&#10;jBenr1f+vK0Oe9rvDsdh7pXWz/1MvYGIdI3/4b/2h9GQq2wIjzfpCcjZH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dPr/P&#10;wAAAAN0AAAAPAAAAAAAAAAEAIAAAACIAAABkcnMvZG93bnJldi54bWxQSwECFAAUAAAACACHTuJA&#10;My8FnjsAAAA5AAAAEAAAAAAAAAABACAAAAAPAQAAZHJzL3NoYXBleG1sLnhtbFBLBQYAAAAABgAG&#10;AFsBAAC5AwAAAAA=&#10;">
              <v:path/>
              <v:fill on="t" focussize="0,0"/>
              <v:stroke on="f" joinstyle="miter"/>
              <v:imagedata o:title=""/>
              <o:lock v:ext="edit" aspectratio="f"/>
            </v:rect>
            <v:rect id="Rectangle 160" o:spid="_x0000_s1739" o:spt="1" style="position:absolute;left:3325;top:4403;height:21;width:4721;" fillcolor="#000000" filled="t" stroked="f" coordsize="21600,21600" o:gfxdata="UEsDBAoAAAAAAIdO4kAAAAAAAAAAAAAAAAAEAAAAZHJzL1BLAwQUAAAACACHTuJALewhuMAAAADd&#10;AAAADwAAAGRycy9kb3ducmV2LnhtbEWPT2sCMRTE74V+h/AKvWmyixXdGgWFgpeC2h709ty87i5u&#10;XtYk9U8/vRGEHoeZ+Q0zmV1sK07kQ+NYQ9ZXIIhLZxquNHx/ffRGIEJENtg6Jg1XCjCbPj9NsDDu&#10;zGs6bWIlEoRDgRrqGLtCylDWZDH0XUecvB/nLcYkfSWNx3OC21bmSg2lxYbTQo0dLWoqD5tfq2E+&#10;Hs2PqwF//q33O9pt94e33CutX18y9Q4i0iX+hx/tpdGQq2wI9zfpCcjpD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t7CG4&#10;wAAAAN0AAAAPAAAAAAAAAAEAIAAAACIAAABkcnMvZG93bnJldi54bWxQSwECFAAUAAAACACHTuJA&#10;My8FnjsAAAA5AAAAEAAAAAAAAAABACAAAAAPAQAAZHJzL3NoYXBleG1sLnhtbFBLBQYAAAAABgAG&#10;AFsBAAC5AwAAAAA=&#10;">
              <v:path/>
              <v:fill on="t" focussize="0,0"/>
              <v:stroke on="f" joinstyle="miter"/>
              <v:imagedata o:title=""/>
              <o:lock v:ext="edit" aspectratio="f"/>
            </v:rect>
            <v:rect id="Rectangle 161" o:spid="_x0000_s1740" o:spt="1" style="position:absolute;left:3325;top:4403;height:21;width:4721;" filled="f" stroked="t" coordsize="21600,21600" o:gfxdata="UEsDBAoAAAAAAIdO4kAAAAAAAAAAAAAAAAAEAAAAZHJzL1BLAwQUAAAACACHTuJAmaibF7wAAADd&#10;AAAADwAAAGRycy9kb3ducmV2LnhtbEWPQYvCMBSE74L/ITxhb5pUxF2qUdCy4MGL1h/waN621eal&#10;JKm6/34jCHscZuYbZr192k7cyYfWsYZspkAQV860XGu4lN/TLxAhIhvsHJOGXwqw3YxHa8yNe/CJ&#10;7udYiwThkKOGJsY+lzJUDVkMM9cTJ+/HeYsxSV9L4/GR4LaTc6WW0mLLaaHBnvYNVbfzYDWU5I6D&#10;vC2WXqldUcjLdShjofXHJFMrEJGe8T/8bh+MhrnKPuH1Jj0Bufk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momxe8AAAA&#10;3QAAAA8AAAAAAAAAAQAgAAAAIgAAAGRycy9kb3ducmV2LnhtbFBLAQIUABQAAAAIAIdO4kAzLwWe&#10;OwAAADkAAAAQAAAAAAAAAAEAIAAAAAsBAABkcnMvc2hhcGV4bWwueG1sUEsFBgAAAAAGAAYAWwEA&#10;ALUDAAAAAA==&#10;">
              <v:path/>
              <v:fill on="f" focussize="0,0"/>
              <v:stroke weight="0.0190551181102362pt" color="#000000" miterlimit="8" joinstyle="miter"/>
              <v:imagedata o:title=""/>
              <o:lock v:ext="edit" aspectratio="f"/>
            </v:rect>
            <v:shape id="Picture 162" o:spid="_x0000_s1741" o:spt="75" type="#_x0000_t75" style="position:absolute;left:2755;top:190;height:4231;width:5851;" filled="f" o:preferrelative="t" stroked="f" coordsize="21600,21600" o:gfxdata="UEsDBAoAAAAAAIdO4kAAAAAAAAAAAAAAAAAEAAAAZHJzL1BLAwQUAAAACACHTuJABq/mHLsAAADd&#10;AAAADwAAAGRycy9kb3ducmV2LnhtbEVPy2oCMRTdC/5DuII7TUZKsVOji6JlLLhw7MbdZXI7GTq5&#10;GZL4+nuzKHR5OO/V5u56caUQO88airkCQdx403Gr4fu0my1BxIRssPdMGh4UYbMej1ZYGn/jI13r&#10;1IocwrFEDTaloZQyNpYcxrkfiDP344PDlGFopQl4y+GulwulXqXDjnODxYE+LDW/9cVp2L9wd5Gf&#10;2+F8cuGttufqcPiqtJ5OCvUOItE9/Yv/3JXRsFBFnpvf5Ccg10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Bq/mHLsAAADd&#10;AAAADwAAAAAAAAABACAAAAAiAAAAZHJzL2Rvd25yZXYueG1sUEsBAhQAFAAAAAgAh07iQDMvBZ47&#10;AAAAOQAAABAAAAAAAAAAAQAgAAAACgEAAGRycy9zaGFwZXhtbC54bWxQSwUGAAAAAAYABgBbAQAA&#10;tAMAAAAA&#10;">
              <v:path/>
              <v:fill on="f" focussize="0,0"/>
              <v:stroke on="f" joinstyle="miter"/>
              <v:imagedata r:id="rId45" o:title=""/>
              <o:lock v:ext="edit" aspectratio="t"/>
            </v:shape>
            <v:shape id="Picture 163" o:spid="_x0000_s1742" o:spt="75" type="#_x0000_t75" style="position:absolute;left:7311;top:2463;height:271;width:130;" filled="f" o:preferrelative="t" stroked="f" coordsize="21600,21600" o:gfxdata="UEsDBAoAAAAAAIdO4kAAAAAAAAAAAAAAAAAEAAAAZHJzL1BLAwQUAAAACACHTuJA4i1DPcAAAADd&#10;AAAADwAAAGRycy9kb3ducmV2LnhtbEWPT2sCMRDF70K/Q5iCF6nJ7qHWrVGKVigISq14HjbTzdJk&#10;smxS/3x7Uyh4fLx5vzdvtrh4J07UxzawhmKsQBDXwbTcaDh8rZ9eQMSEbNAFJg1XirCYPwxmWJlw&#10;5k867VMjMoRjhRpsSl0lZawteYzj0BFn7zv0HlOWfSNNj+cM906WSj1Ljy3nBosdLS3VP/tfn984&#10;brdr27TlSI7cZLpym/e33UTr4WOhXkEkuqT78X/6w2goVTGFvzUZAXJ+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iLUM9&#10;wAAAAN0AAAAPAAAAAAAAAAEAIAAAACIAAABkcnMvZG93bnJldi54bWxQSwECFAAUAAAACACHTuJA&#10;My8FnjsAAAA5AAAAEAAAAAAAAAABACAAAAAPAQAAZHJzL3NoYXBleG1sLnhtbFBLBQYAAAAABgAG&#10;AFsBAAC5AwAAAAA=&#10;">
              <v:path/>
              <v:fill on="f" focussize="0,0"/>
              <v:stroke on="f" joinstyle="miter"/>
              <v:imagedata r:id="rId46" o:title=""/>
              <o:lock v:ext="edit" aspectratio="t"/>
            </v:shape>
            <v:shape id="Freeform 164" o:spid="_x0000_s1743" style="position:absolute;left:7504;top:2579;height:2;width:166;" filled="f" stroked="t" coordsize="166,1" o:gfxdata="UEsDBAoAAAAAAIdO4kAAAAAAAAAAAAAAAAAEAAAAZHJzL1BLAwQUAAAACACHTuJAerGcjbsAAADd&#10;AAAADwAAAGRycy9kb3ducmV2LnhtbEVPPWvDMBDdC/0P4grdGikeSupGCSQkkE5OndD5sC6WiHUy&#10;lmq7/74aCh0f73u9nX0nRhqiC6xhuVAgiJtgHLcarpfjywpETMgGu8Ck4YcibDePD2ssTZj4k8Y6&#10;tSKHcCxRg02pL6WMjSWPcRF64szdwuAxZTi00gw45XDfyUKpV+nRcW6w2NPeUnOvv72G1nh7dPNh&#10;Nx+at9PHl6rcuau0fn5aqncQieb0L/5zn4yGQhV5f36Tn4Dc/AJ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rGcjbsAAADd&#10;AAAADwAAAAAAAAABACAAAAAiAAAAZHJzL2Rvd25yZXYueG1sUEsBAhQAFAAAAAgAh07iQDMvBZ47&#10;AAAAOQAAABAAAAAAAAAAAQAgAAAACgEAAGRycy9zaGFwZXhtbC54bWxQSwUGAAAAAAYABgBbAQAA&#10;tAMAAAAA&#10;" path="m0,0l165,0e">
              <v:path o:connectlocs="0,0;165,0;165,0" o:connectangles="0,0,0"/>
              <v:fill on="f" focussize="0,0"/>
              <v:stroke weight="0.0190551181102362pt" color="#000000" joinstyle="round"/>
              <v:imagedata o:title=""/>
              <o:lock v:ext="edit" aspectratio="f"/>
            </v:shape>
            <v:shape id="Freeform 165" o:spid="_x0000_s1744" style="position:absolute;left:7504;top:2656;height:2;width:166;" filled="f" stroked="t" coordsize="166,1" o:gfxdata="UEsDBAoAAAAAAIdO4kAAAAAAAAAAAAAAAAAEAAAAZHJzL1BLAwQUAAAACACHTuJAFf05FrwAAADd&#10;AAAADwAAAGRycy9kb3ducmV2LnhtbEWPQWsCMRSE7wX/Q3iCt5rsHkq7NQoVBXuyVfH82LxuQjcv&#10;yybq+u+NIHgcZuYbZrYYfCvO1EcXWEMxVSCI62AcNxoO+/XrO4iYkA22gUnDlSIs5qOXGVYmXPiX&#10;zrvUiAzhWKEGm1JXSRlrSx7jNHTE2fsLvceUZd9I0+Mlw30rS6XepEfHecFiR0tL9f/u5DU0xtu1&#10;G1Zfw6r+2Hwf1db9tFutJ+NCfYJINKRn+NHeGA2lKgu4v8lPQM5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X9ORa8AAAA&#10;3QAAAA8AAAAAAAAAAQAgAAAAIgAAAGRycy9kb3ducmV2LnhtbFBLAQIUABQAAAAIAIdO4kAzLwWe&#10;OwAAADkAAAAQAAAAAAAAAAEAIAAAAAsBAABkcnMvc2hhcGV4bWwueG1sUEsFBgAAAAAGAAYAWwEA&#10;ALUDAAAAAA==&#10;" path="m0,0l165,0e">
              <v:path o:connectlocs="0,0;165,0;165,0" o:connectangles="0,0,0"/>
              <v:fill on="f" focussize="0,0"/>
              <v:stroke weight="0.0190551181102362pt" color="#000000" joinstyle="round"/>
              <v:imagedata o:title=""/>
              <o:lock v:ext="edit" aspectratio="f"/>
            </v:shape>
            <v:shape id="Freeform 166" o:spid="_x0000_s1745" style="position:absolute;left:7761;top:2463;height:270;width:47;" filled="f" stroked="t" coordsize="47,270" o:gfxdata="UEsDBAoAAAAAAIdO4kAAAAAAAAAAAAAAAAAEAAAAZHJzL1BLAwQUAAAACACHTuJAFCiM7sAAAADd&#10;AAAADwAAAGRycy9kb3ducmV2LnhtbEWPQWsCMRSE7wX/Q3gFL6KJKSuyNYoUlXrooerF22Pzurt0&#10;87LdxFX/vSkUehxm5htmsbq5RvTUhdqzgelEgSAuvK25NHA6bsdzECEiW2w8k4E7BVgtB08LzK2/&#10;8if1h1iKBOGQo4EqxjaXMhQVOQwT3xIn78t3DmOSXSlth9cEd43USs2kw5rTQoUtvVVUfB8uzsDG&#10;/mTZqAwv56OdrbN9v+s/RtqY4fNUvYKIdIv/4b/2uzWgldbw+yY9Abl8AF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UKIzu&#10;wAAAAN0AAAAPAAAAAAAAAAEAIAAAACIAAABkcnMvZG93bnJldi54bWxQSwECFAAUAAAACACHTuJA&#10;My8FnjsAAAA5AAAAEAAAAAAAAAABACAAAAAPAQAAZHJzL3NoYXBleG1sLnhtbFBLBQYAAAAABgAG&#10;AFsBAAC5AwAAAAA=&#10;" path="m0,51l18,38,46,0,46,270e">
              <v:path o:connectlocs="0,2515;18,2502;46,2464;46,2734;46,2734" o:connectangles="0,0,0,0,0"/>
              <v:fill on="f" focussize="0,0"/>
              <v:stroke weight="0.0137795275590551pt" color="#000000" joinstyle="round"/>
              <v:imagedata o:title=""/>
              <o:lock v:ext="edit" aspectratio="f"/>
            </v:shape>
            <v:shape id="Freeform 167" o:spid="_x0000_s1746" style="position:absolute;left:7927;top:2707;height:26;width:19;" filled="f" stroked="t" coordsize="19,26" o:gfxdata="UEsDBAoAAAAAAIdO4kAAAAAAAAAAAAAAAAAEAAAAZHJzL1BLAwQUAAAACACHTuJAf382FMEAAADd&#10;AAAADwAAAGRycy9kb3ducmV2LnhtbEWPzWrDMBCE74W8g9hALyGW7EIa3Cg5FAImh0J+aOltsTa2&#10;qbVyLcVJ/PRVodDjMDPfMKvNzbZioN43jjWkiQJBXDrTcKXhdNzOlyB8QDbYOiYNd/KwWU8eVpgb&#10;d+U9DYdQiQhhn6OGOoQul9KXNVn0ieuIo3d2vcUQZV9J0+M1wm0rM6UW0mLDcaHGjl5rKr8OF6th&#10;dhk/8b3lcjjvxmp8KxYfz/Zb68dpql5ABLqF//BfuzAaMpU9we+b+ATk+gd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f382&#10;FMEAAADdAAAADwAAAAAAAAABACAAAAAiAAAAZHJzL2Rvd25yZXYueG1sUEsBAhQAFAAAAAgAh07i&#10;QDMvBZ47AAAAOQAAABAAAAAAAAAAAQAgAAAAEAEAAGRycy9zaGFwZXhtbC54bWxQSwUGAAAAAAYA&#10;BgBbAQAAugMAAAAA&#10;" path="m10,0l0,12,10,26,19,12,10,0e">
              <v:path o:connectlocs="10,2708;0,2720;10,2734;19,2720;10,2708;10,2708" o:connectangles="0,0,0,0,0,0"/>
              <v:fill on="f" focussize="0,0"/>
              <v:stroke weight="0.0154330708661417pt" color="#000000" joinstyle="round"/>
              <v:imagedata o:title=""/>
              <o:lock v:ext="edit" aspectratio="f"/>
            </v:shape>
            <v:shape id="Picture 168" o:spid="_x0000_s1747" o:spt="75" type="#_x0000_t75" style="position:absolute;left:8009;top:2463;height:271;width:130;" filled="f" o:preferrelative="t" stroked="f" coordsize="21600,21600" o:gfxdata="UEsDBAoAAAAAAIdO4kAAAAAAAAAAAAAAAAAEAAAAZHJzL1BLAwQUAAAACACHTuJAfV388L4AAADd&#10;AAAADwAAAGRycy9kb3ducmV2LnhtbEWPT4vCMBTE74LfIbwFb5pYF5Vq9CCKXvbgHzw/m7dNsXkp&#10;Taz67TcLC3scZuY3zHL9crXoqA2VZw3jkQJBXHhTcanhct4N5yBCRDZYeyYNbwqwXvV7S8yNf/KR&#10;ulMsRYJwyFGDjbHJpQyFJYdh5Bvi5H371mFMsi2lafGZ4K6WmVJT6bDitGCxoY2l4n56OA37zd0e&#10;H9dtN51kJZ53fPt6z25aDz7GagEi0iv+h//aB6MhU9kn/L5JT0Cuf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V388L4A&#10;AADdAAAADwAAAAAAAAABACAAAAAiAAAAZHJzL2Rvd25yZXYueG1sUEsBAhQAFAAAAAgAh07iQDMv&#10;BZ47AAAAOQAAABAAAAAAAAAAAQAgAAAADQEAAGRycy9zaGFwZXhtbC54bWxQSwUGAAAAAAYABgBb&#10;AQAAtwMAAAAA&#10;">
              <v:path/>
              <v:fill on="f" focussize="0,0"/>
              <v:stroke on="f" joinstyle="miter"/>
              <v:imagedata r:id="rId47" o:title=""/>
              <o:lock v:ext="edit" aspectratio="t"/>
            </v:shape>
            <v:shape id="Picture 169" o:spid="_x0000_s1748" o:spt="75" type="#_x0000_t75" style="position:absolute;left:8202;top:2553;height:181;width:203;" filled="f" o:preferrelative="t" stroked="f" coordsize="21600,21600" o:gfxdata="UEsDBAoAAAAAAIdO4kAAAAAAAAAAAAAAAAAEAAAAZHJzL1BLAwQUAAAACACHTuJAvFE5p70AAADd&#10;AAAADwAAAGRycy9kb3ducmV2LnhtbEWPT2sCMRTE70K/Q3iF3jQxVK3bjR4KQnuSqr0/Nm//1M3L&#10;dhN1/fZGKHgcZuY3TL4eXCvO1IfGs4HpRIEgLrxtuDJw2G/GbyBCRLbYeiYDVwqwXj2Ncsysv/A3&#10;nXexEgnCIUMDdYxdJmUoanIYJr4jTl7pe4cxyb6StsdLgrtWaqXm0mHDaaHGjj5qKo67kzOgjop+&#10;fl+31fKgvxazUi/d8BeNeXmeqncQkYb4CP+3P60BrfQM7m/SE5CrG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8UTmnvQAA&#10;AN0AAAAPAAAAAAAAAAEAIAAAACIAAABkcnMvZG93bnJldi54bWxQSwECFAAUAAAACACHTuJAMy8F&#10;njsAAAA5AAAAEAAAAAAAAAABACAAAAAMAQAAZHJzL3NoYXBleG1sLnhtbFBLBQYAAAAABgAGAFsB&#10;AAC2AwAAAAA=&#10;">
              <v:path/>
              <v:fill on="f" focussize="0,0"/>
              <v:stroke on="f" joinstyle="miter"/>
              <v:imagedata r:id="rId48" o:title=""/>
              <o:lock v:ext="edit" aspectratio="t"/>
            </v:shape>
            <w10:wrap type="topAndBottom"/>
          </v:group>
        </w:pict>
      </w:r>
    </w:p>
    <w:p>
      <w:pPr>
        <w:pStyle w:val="11"/>
        <w:rPr>
          <w:rFonts w:hint="default" w:ascii="Times New Roman" w:hAnsi="Times New Roman" w:cs="Times New Roman"/>
        </w:rPr>
      </w:pPr>
    </w:p>
    <w:p>
      <w:pPr>
        <w:tabs>
          <w:tab w:val="left" w:pos="2369"/>
        </w:tabs>
        <w:ind w:left="1196"/>
        <w:rPr>
          <w:rFonts w:hint="default" w:ascii="Times New Roman" w:hAnsi="Times New Roman" w:cs="Times New Roman"/>
          <w:sz w:val="24"/>
        </w:rPr>
      </w:pPr>
      <w:r>
        <w:rPr>
          <w:rFonts w:hint="default" w:ascii="Times New Roman" w:hAnsi="Times New Roman" w:cs="Times New Roman"/>
          <w:sz w:val="24"/>
        </w:rPr>
        <w:t>图</w:t>
      </w:r>
      <w:r>
        <w:rPr>
          <w:rFonts w:hint="default" w:ascii="Times New Roman" w:hAnsi="Times New Roman" w:cs="Times New Roman"/>
          <w:spacing w:val="-36"/>
          <w:sz w:val="24"/>
        </w:rPr>
        <w:t xml:space="preserve"> </w:t>
      </w:r>
      <w:r>
        <w:rPr>
          <w:rFonts w:hint="default" w:ascii="Times New Roman" w:hAnsi="Times New Roman" w:cs="Times New Roman"/>
          <w:spacing w:val="7"/>
          <w:sz w:val="24"/>
        </w:rPr>
        <w:t>C.0.4</w:t>
      </w:r>
      <w:r>
        <w:rPr>
          <w:rFonts w:hint="default" w:ascii="Times New Roman" w:hAnsi="Times New Roman" w:cs="Times New Roman"/>
          <w:spacing w:val="7"/>
          <w:sz w:val="24"/>
        </w:rPr>
        <w:tab/>
      </w:r>
      <w:r>
        <w:rPr>
          <w:rFonts w:hint="default" w:ascii="Times New Roman" w:hAnsi="Times New Roman" w:cs="Times New Roman"/>
          <w:spacing w:val="18"/>
          <w:sz w:val="24"/>
        </w:rPr>
        <w:t>汽</w:t>
      </w:r>
      <w:r>
        <w:rPr>
          <w:rFonts w:hint="default" w:ascii="Times New Roman" w:hAnsi="Times New Roman" w:cs="Times New Roman"/>
          <w:spacing w:val="21"/>
          <w:sz w:val="24"/>
        </w:rPr>
        <w:t>油</w:t>
      </w:r>
      <w:r>
        <w:rPr>
          <w:rFonts w:hint="default" w:ascii="Times New Roman" w:hAnsi="Times New Roman" w:cs="Times New Roman"/>
          <w:spacing w:val="18"/>
          <w:sz w:val="24"/>
        </w:rPr>
        <w:t>的</w:t>
      </w:r>
      <w:r>
        <w:rPr>
          <w:rFonts w:hint="default" w:ascii="Times New Roman" w:hAnsi="Times New Roman" w:cs="Times New Roman"/>
          <w:spacing w:val="21"/>
          <w:sz w:val="24"/>
        </w:rPr>
        <w:t>地</w:t>
      </w:r>
      <w:r>
        <w:rPr>
          <w:rFonts w:hint="default" w:ascii="Times New Roman" w:hAnsi="Times New Roman" w:cs="Times New Roman"/>
          <w:spacing w:val="18"/>
          <w:sz w:val="24"/>
        </w:rPr>
        <w:t>面油罐</w:t>
      </w:r>
      <w:r>
        <w:rPr>
          <w:rFonts w:hint="default" w:ascii="Times New Roman" w:hAnsi="Times New Roman" w:cs="Times New Roman"/>
          <w:spacing w:val="21"/>
          <w:sz w:val="24"/>
        </w:rPr>
        <w:t>、</w:t>
      </w:r>
      <w:r>
        <w:rPr>
          <w:rFonts w:hint="default" w:ascii="Times New Roman" w:hAnsi="Times New Roman" w:cs="Times New Roman"/>
          <w:spacing w:val="18"/>
          <w:sz w:val="24"/>
        </w:rPr>
        <w:t>油罐</w:t>
      </w:r>
      <w:r>
        <w:rPr>
          <w:rFonts w:hint="default" w:ascii="Times New Roman" w:hAnsi="Times New Roman" w:cs="Times New Roman"/>
          <w:spacing w:val="21"/>
          <w:sz w:val="24"/>
        </w:rPr>
        <w:t>车</w:t>
      </w:r>
      <w:r>
        <w:rPr>
          <w:rFonts w:hint="default" w:ascii="Times New Roman" w:hAnsi="Times New Roman" w:cs="Times New Roman"/>
          <w:spacing w:val="18"/>
          <w:sz w:val="24"/>
        </w:rPr>
        <w:t>和</w:t>
      </w:r>
      <w:r>
        <w:rPr>
          <w:rFonts w:hint="default" w:ascii="Times New Roman" w:hAnsi="Times New Roman" w:cs="Times New Roman"/>
          <w:spacing w:val="21"/>
          <w:sz w:val="24"/>
        </w:rPr>
        <w:t>密</w:t>
      </w:r>
      <w:r>
        <w:rPr>
          <w:rFonts w:hint="default" w:ascii="Times New Roman" w:hAnsi="Times New Roman" w:cs="Times New Roman"/>
          <w:spacing w:val="18"/>
          <w:sz w:val="24"/>
        </w:rPr>
        <w:t>闭卸油</w:t>
      </w:r>
      <w:r>
        <w:rPr>
          <w:rFonts w:hint="default" w:ascii="Times New Roman" w:hAnsi="Times New Roman" w:cs="Times New Roman"/>
          <w:spacing w:val="21"/>
          <w:sz w:val="24"/>
        </w:rPr>
        <w:t>口</w:t>
      </w:r>
      <w:r>
        <w:rPr>
          <w:rFonts w:hint="default" w:ascii="Times New Roman" w:hAnsi="Times New Roman" w:cs="Times New Roman"/>
          <w:spacing w:val="18"/>
          <w:sz w:val="24"/>
        </w:rPr>
        <w:t>爆炸</w:t>
      </w:r>
      <w:r>
        <w:rPr>
          <w:rFonts w:hint="default" w:ascii="Times New Roman" w:hAnsi="Times New Roman" w:cs="Times New Roman"/>
          <w:spacing w:val="21"/>
          <w:sz w:val="24"/>
        </w:rPr>
        <w:t>危</w:t>
      </w:r>
      <w:r>
        <w:rPr>
          <w:rFonts w:hint="default" w:ascii="Times New Roman" w:hAnsi="Times New Roman" w:cs="Times New Roman"/>
          <w:spacing w:val="18"/>
          <w:sz w:val="24"/>
        </w:rPr>
        <w:t>险</w:t>
      </w:r>
      <w:r>
        <w:rPr>
          <w:rFonts w:hint="default" w:ascii="Times New Roman" w:hAnsi="Times New Roman" w:cs="Times New Roman"/>
          <w:spacing w:val="21"/>
          <w:sz w:val="24"/>
        </w:rPr>
        <w:t>区</w:t>
      </w:r>
      <w:r>
        <w:rPr>
          <w:rFonts w:hint="default" w:ascii="Times New Roman" w:hAnsi="Times New Roman" w:cs="Times New Roman"/>
          <w:spacing w:val="18"/>
          <w:sz w:val="24"/>
        </w:rPr>
        <w:t>域划</w:t>
      </w:r>
      <w:r>
        <w:rPr>
          <w:rFonts w:hint="default" w:ascii="Times New Roman" w:hAnsi="Times New Roman" w:cs="Times New Roman"/>
          <w:sz w:val="24"/>
        </w:rPr>
        <w:t>分</w:t>
      </w:r>
    </w:p>
    <w:p>
      <w:pPr>
        <w:tabs>
          <w:tab w:val="left" w:pos="2369"/>
        </w:tabs>
        <w:ind w:left="1196"/>
        <w:rPr>
          <w:rFonts w:hint="default" w:ascii="Times New Roman" w:hAnsi="Times New Roman" w:cs="Times New Roman"/>
          <w:sz w:val="24"/>
        </w:rPr>
      </w:pPr>
    </w:p>
    <w:p>
      <w:pPr>
        <w:tabs>
          <w:tab w:val="left" w:pos="4518"/>
          <w:tab w:val="left" w:pos="6475"/>
        </w:tabs>
        <w:ind w:left="1483"/>
        <w:rPr>
          <w:rFonts w:hint="default" w:ascii="Times New Roman" w:hAnsi="Times New Roman" w:cs="Times New Roman"/>
          <w:sz w:val="24"/>
        </w:rPr>
      </w:pPr>
      <w:r>
        <w:rPr>
          <w:rFonts w:hint="default" w:ascii="Times New Roman" w:hAnsi="Times New Roman" w:cs="Times New Roman"/>
          <w:lang w:val="en-US" w:bidi="ar-SA"/>
        </w:rPr>
        <w:pict>
          <v:group id="_x0000_s1391" o:spid="_x0000_s1391" o:spt="203" style="position:absolute;left:0pt;margin-left:355.2pt;margin-top:1.75pt;height:21.6pt;width:30pt;mso-position-horizontal-relative:page;z-index:-251650048;mso-width-relative:page;mso-height-relative:page;" coordorigin="6478,123" coordsize="600,432203" o:gfxdata="UEsDBAoAAAAAAIdO4kAAAAAAAAAAAAAAAAAEAAAAZHJzL1BLAwQUAAAACACHTuJAkV//J9gAAAAI&#10;AQAADwAAAGRycy9kb3ducmV2LnhtbE2PzWrDMBCE74W+g9hCb43k5sfB9TqU0PYUCk0KJbeNtbFN&#10;LMlYip28fZVTexxmmPkmX11MKwbufeMsQjJRINiWTje2QvjevT8tQfhAVlPrLCNc2cOquL/LKdNu&#10;tF88bEMlYon1GSHUIXSZlL6s2ZCfuI5t9I6uNxSi7CupexpjuWnls1ILaaixcaGmjtc1l6ft2SB8&#10;jDS+TpO3YXM6rq/73fzzZ5Mw4uNDol5ABL6EvzDc8CM6FJHp4M5We9EipImaxSjCdA4i+ml60weE&#10;2SIFWeTy/4HiF1BLAwQUAAAACACHTuJAMBJeLUsHAAArIgAADgAAAGRycy9lMm9Eb2MueG1s7VrR&#10;jptGFH2v1H9APLZyzAA2NlpvtN1Nokhpu2roB2DABhUzdMDrTaq+9aGP/Z9+T9Xf6L0zDMx4d1hn&#10;qyZtk0jZBXMYzr1n7jDnes+e3u5K6yZjTUGrlU2eOLaVVQlNi2q7sr+Pnk8WttW0cZXGJa2ylf0m&#10;a+yn559/dnaow8ylOS3TjFkwSNWEh3pl521bh9Npk+TZLm6e0Dqr4OKGsl3cwinbTlMWH2D0XTl1&#10;HWc+PVCW1owmWdPAp1fion3Ox99ssqT9drNpstYqVzZwa/lPxn+u8ef0/CwOtyyu8yLpaMSPYLGL&#10;iwoe2g91FbextWfFnaF2RcJoQzftk4TupnSzKZKMxwDREOcomheM7mseyzY8bOs+TZDaozw9etjk&#10;m5trZhUpaLf0l7ZVxTtQ6c/ff/njt18t/hFk6FBvQwC+YPXr+pp1H2zFGQZ9u2E7/A3hWLc8t2/6&#10;3Ga3rZXAh96COA4okMAlN/A9t8t9koNAeNfcD2CuwFXiekKWJH/W3TyXd8J9eG0qnzlFaj2TQw2T&#10;qBny1Py9PL3O4zrj6W8w/D5PMwhD5Oli31KOsgiQ54nh0D5NTdhAxqz14WuaQl5jwPNpcpSxpRfA&#10;mBD7hMzI0puJ+GXqSLCcBZ5IHfG9YOFrOYjDZN+0LzLKNYhvXjUtMIGpmMKROOjoRvCQza6ECf7l&#10;xHIszLgFjybicdtUwoiEfTG1Isc6QHScQTeshLkSxkebzXxLoz+MB9zFY2E8hOXWEAbylAP6EscH&#10;DBwDvZmEIT3fSG8uYQ/RCyTwAXowPZXsGelBFfXRRgsjPaKLMZI+ouoxlj+iK2JkSFRBIuKaOeqK&#10;QGWaJCaqKIgzaUx0WcxzUFUlInMzR12WMY6qMmMcYW1SlQaOy3vrxFWFidyRStGFGeEIa98we0Y5&#10;6tIY8+iqwkSuuVxcXZgxjqo0oxx1acwcVWEi11wzni7MSM14qjRjNQMvlJO09lRhIs9cM54uzBhH&#10;VZpRjro0xrr2VGEiz1wzni7MGEdVmjGOvi6NkaOvChP55prxdWFG5qOvSjM2H31dGjNHVZjIN9eM&#10;rwszxlGV5pgjbGf6l3Wcy/d3clt1L3A4smLcUDt881DTBjdMEWQStgwR3y3BEIDCt70BDCEhOOi2&#10;DuNgEB3B8OIRm61xNL5OOJzvWx5kQiAVHL48aXRcZBEudoUPjo7rHYefFqnbhQrrxSmh4iqAo4st&#10;2oNksCA5/LRQsTYQDhP6FDJ+F6qvhSpIdTOHgQE6tj7MtsD6rPERcVjHLU44eWgdYP/dbTdzOBS7&#10;Tby6ozdZRDmuxdk3cRdLkQwyc/2FDHCAlZUOd++DS9BwW92NrsCdGd9bQ2ADTN4o4QqZAS5B8vcA&#10;hrUFEg3M74KHZwzwPtABPsDujt7Dh7xIkPw9jN1TuQseniHhSlYG+AA7Hl2BD8wFCLKJ2nMv1U8C&#10;nDuKl6jo86Is+TwpK5wa8P7FGdDQskjxEj9h2/VlyaybGC02/9fNXg0GVrZKxawuYZ0C4ya8EbrL&#10;JlzT9A34JEaFQYeGAhzklL21rQOY85Xd/LiPWWZb5csKXN2S+Pi+afmJPwtww8bUK2v1SlwlMNTK&#10;bm1YRfHwshUdgH3Nim0OTyI8rIqin9sUaJ84P8GqOwFjeX5WF0kI/zsnDkd3HObDHQu4q91DLGK0&#10;6ua6SK6ZONFcJiwGwmUCAG9AF4aZhfu5HRW3gYxF8oomPzRWRS9zeE1kF00NZY9RDR8xRg95FqeQ&#10;PLHS6aNM8VSjsi6LWkqMx13IkLij1sM9AYu2xhVN9rusakWfhmVl3EKTqMmLugG1wmy3ztKVzV6m&#10;IvvgdruFCH0v75385C4uHGfpfjW5nDmXE98Jnk0uln4wCZxnge/4C3JJLn9G7Ygf7psM0hCXV3Uh&#10;GznEv8P23kZJ11ISLRjeyulmczeRgRCvE0kRygRTImZ/8h0km9dI07KsTaCk4nADxdF9DuD+Ak/z&#10;kFlMOvYH8I6jjgDulcUaJbshmBXeSEGLwLsoS95CgfHlvTUTfQALDyC1QAyTE8qeAEAlBD/uy5vT&#10;EkT4IfASZfk+mimw/t1ppix4ZLgwQEV8lM0UZ2Fy2qB+316YAcxktPW97nzpBPd6WNhD9MOd3EwZ&#10;2eiO7XPVXo/uQIz0VPtxejNlhJ/WTDneiKsEj5op85nn3ZvAxzZTRkyX1kwZM11HzZTAIQaOqiof&#10;tpli5Ij7/GEmfthmytwzNHy0ajm9mTKitatKM6a1q1eM0byio1HyeHIzhcwd45KjSoM405pz1Ewx&#10;cnxsM2WMoyrNMUd48X0y2KbOABYeus5/scEG/aAF8Z49be/Czf7Kn8Nb9h2MJPbdBPwU9+aB732H&#10;0QOsvtNHV73hUnZuPnnD/4Y3hE3gkTdccFunu7r/gTd0uYGRxisO0QV99N4wwEY2VLo7498Ei6xw&#10;b4hfPqA39OALc9Fs+Ue8If/aHf4igbvi7q8n8E8e1HPeNhn+xuP8L1BLAwQKAAAAAACHTuJAAAAA&#10;AAAAAAAAAAAACgAAAGRycy9tZWRpYS9QSwMEFAAAAAgAh07iQIUT7rdeAwAAWQMAABQAAABkcnMv&#10;bWVkaWEvaW1hZ2UyLnBuZwFZA6b8iVBORw0KGgoAAAANSUhEUgAAAC0AAAAoCAYAAABq13MpAAAA&#10;BmJLR0QA/wD/AP+gvaeTAAAACXBIWXMAAA7EAAAOxAGVKw4bAAAC+UlEQVRYhdWUPWgTYRjHn5wk&#10;aUJIrAQDCe2Q6NAUXVq0S1vtFlBwCPVjCQno2A91baCubf0YW7C4NK1kCCTQLam6mKBLi3VodUhQ&#10;SClNLYdJPHr3OB2cx+XuvTeXXB3+y93zcD947v8DRIT/IY1GoycajaYBwHwYkhwdHV0YHR39AAC4&#10;tLT02HQgrZTL5f6BgYGvNpvtz8bGxl1EBNOh1LK9vX3V7/f/9Hg8v7a2tm6Iz00Ha5V8Pj/hdrtP&#10;AoHAj52dnSvSd6bDKWVtbe2B1WrlBgcHv1QqlT75e9MBpREEwbKwsPAUAHB8fPzd8fHxeaU500HF&#10;nJ6enpuamnoFADg5Ofm22WzaW82aDov4r4NnZ2ef8zzPqM2bDix3MMmOqcBKDj7T0K0crBVBECym&#10;AKs5WC3VatU3MjLysevAWg5ulb29vcvBYPC73W5vdg2W1MFKKRaL171e76HX6z0slUrXugKsx8Hy&#10;ZLPZ2w6Hox4Khb7t7+9fQuxCEfU6WJrl5eVHDMPww8PDnw4ODi6KzzsKTONg8Veam5t7BgAYiUQ2&#10;WZZ1Sd93DLhcLveHw+FdvQ7mOM4aj8dXAQATicRrjuOs8pmOANM6mGVZVyQS2QQATCaT84IgWJTm&#10;DAdux8FDQ0OfGYbhV1ZWHqrNGgqcSqXut+Ngp9P5O5fL3dKaNwRWEATL4uLiEwDAsbGx97VarZd0&#10;V+5gkp22gXmeZ6anp1+KDm40Gj2ku0oO7ji01MEzMzMvjHCwViqVSh81cK1W6+2Eg9WSz+cnXC4X&#10;SwUsdfD6+vo90j0SB7eKWPJwOLyrG1h0sNvtPikUCjdJ90gdrHQZecl1AXfDwdK0KjkxcLccLEat&#10;5FTnIf0wjYMRtUtOdR6S0DqYpORU59EKrYNJS051HrVfqR0Hk5ac6jxKMcLBpCWnOo88RjqYZI/q&#10;PNIY7WBi6LPkYK2k0+konDUHq/1KyWRyHgAQaM5Tr9cdPp+vqtfBiAixWOyN3pIjImQymTsAgPF4&#10;fPUvy26NpBSk5LwAAAAASUVORK5CYIJQSwMEFAAAAAgAh07iQH0rm/mDBgAAfgYAABQAAABkcnMv&#10;bWVkaWEvaW1hZ2UxLnBuZwF+BoH5iVBORw0KGgoAAAANSUhEUgAAACsAAAAnCAYAAACWn7G7AAAA&#10;BmJLR0QA/wD/AP+gvaeTAAAACXBIWXMAAA7EAAAOxAGVKw4bAAAGHklEQVRYhcWYe0xTVxjAv94+&#10;odDyrIWCCKsgG8gY8lrAEURcgBAydCgQxqJuIwQzZpCZsM1HUoVMzAjxsRGRABtuGEKAOMYIArE8&#10;hlhAGazyfnTlWVoefd6zvzTbFD1FoX+c5N57zu87v5ucfN/9LggEgkmDwUAghABnjI6Ounh4eAwA&#10;AJqdnbXD5RYXF61CQ0NbAAC1tbUF4XIajYZx5MiRHwEAAUmSFFywr6/Py9HRcYrL5SpaWlpCcbmp&#10;qSlHb2/vXjqdrq2oqEjA5ZRKpeX+/ft/AwCUm5t7CgtCCEFra2uIlZXVoqOj41Rvb683Ljc4OOju&#10;4uIyamFhoWpoaIjA5eRyOW/Pnj1/UKlU/c2bNz9CCAEWWF1dHctisdY8PDwGRkdHXXA37OjoCLCz&#10;s5u1t7ef6erq8sPlhoeHXYVCodTMzGy1trY2+snzl4JFRUVHCYIwBAQEdBhzRuvr6yPZbPayq6vr&#10;sFQqFeJyEonEh8/ny2xsbObFYnHwv+fWhUiSpIhEotMAgA4cOPCrSqWywN2wrKwsiUaj6Xx8fCTT&#10;09MOuNzdu3ff43A4S05OThP9/f2e/59/LmQwGIiMjIwCAEDJycmlWq2Wjrthfn5+JgCgsLCwJoVC&#10;wcXlbt++/QGTyVR7enr2j4+POz9vzTMP1Go1MyEhoQIA0MmTJ7/FTWskSVKys7MvAgCKj4+vXFtb&#10;Y+GKXrt27VOCIAzBwcHi+fl5m/XW/edGqVRa7tu373cAQHl5eVm4m2m1WnpqamoxAKC0tLQrer2e&#10;ivuCZ8+e/RoAUExMTM3Kyor5i9Y/vZDL5Tw/P78uKpWqLykpScEVXVlZMY+Ojq4FAHTmzJlvcPO2&#10;Xq+npqWlXQEAlJqaWqzT6WgvYwAhBENDQ25PUkVdXV0Uruj8/LxNcHCwmEKhkFevXv0Ml1tbW2Md&#10;PHjwFwBA2dnZF3FfEB48ePD2tm3b/raxsZk3pgyOj487e3p69jMYDE1lZWU8LqdQKLhhYWFNAIAu&#10;X778OS6HEALgcDhLzs7O489LFeuNR48evenk5DTB4XCWmpqawnA5mUzG9/HxkdBoNF15eXmiMaII&#10;IYCkpKSyiYkJJ1xALBYHW1tbL/D5fJlEIvHB5aRSqdDNzW2IzWYv19fXRxor+vTM4o6ampoYMzOz&#10;VaFQKB0eHnbF5e7fv/8Oj8eT29nZzXZ2dvpvRNQo2eLi4lQqlar38/PrksvlPFyuoaEhwsLCQuXi&#10;4jI6ODjovlFRLFmSJCm5ubmnAABFREQ0KJVKS9zgFRUVCXQ6Xevt7d07NTXl+CqiL5U1GAxEZmZm&#10;PgCgw4cP/6TRaBi4gQsKCjIoFAoZGhrasri4aPWqoi+U1Wg0jMTExHIAQCdOnPjOmLKbk5NzHgBQ&#10;XFxclTFld0OyKpXKIjIysh4AkEgkOo2btHU6He3YsWM/AAA6fvz49zhV6ZVkZ2Zm7P39/TsJgjAU&#10;FRUdxQ20urpqFhsbWw0AKCcn57wx7dKGZEdGRna4u7sPslisterq6ljcIAsLC9YhISGtFAqFLCws&#10;TH/dks/I9vT07HZwcJi2srJabG1tDcENMDk5KfDy8upjMBiaW7dufbhZok9lm5ub93K5XIVAIJjs&#10;6+vzwoUHBgY8tm/fPmZpaalsbGwM30xRhBBAVVVVHJPJVBvbDLa3twfa2trO8Xg8eXd3t+9miyKE&#10;AAiCMAQGBrYb0wzeuXPnfXNz8xU3N7ehx48fv7EVogghAJFIdHp5eZmNC5SWlibTaDSdr69vt0wm&#10;42+VKEJGfshcunTpCwBA4eHhjUtLS5ytFMWWJUmSkpWVlQcA6NChQz+r1WrmVotiyWq1WnpKSkoJ&#10;AKD09PRC3GZwy2WXl5fZUVFRdQCAzp0799VmVKXXIjs3N2cbFBTURhCE4fr165+YUvKFsmNjY9t3&#10;7dr1J5PJVFdVVcWZWnJd2YcPH74lEAgmuVyuorm5ea+pBdeVvXfv3rvW1tYLDg4O0z09PbtNLbeu&#10;7JNmcOfOnX+NjIzsMLXYurI3btz4mEql6v39/TtnZmbsTS21ruyFCxe+BAAUGRlZb8w/WJPIAgBK&#10;TEwsN6YZNNX4B1ziN2iIJKmzAAAAAElFTkSuQmCC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KAAAAAACHTuJAAAAAAAAAAAAAAAAA&#10;CgAAAGRycy9fcmVscy9QSwMEFAAAAAgAh07iQC5s8AC/AAAApQEAABkAAABkcnMvX3JlbHMvZTJv&#10;RG9jLnhtbC5yZWxzvZDBisIwEIbvC/sOYe7btD0sspj2IoJXcR9gSKZpsJmEJIq+vYFlQUHw5nFm&#10;+L//Y9bjxS/iTCm7wAq6pgVBrINxbBX8HrZfKxC5IBtcApOCK2UYh8+P9Z4WLDWUZxezqBTOCuZS&#10;4o+UWc/kMTchEtfLFJLHUsdkZUR9REuyb9tvme4ZMDwwxc4oSDvTgzhcY21+zQ7T5DRtgj554vKk&#10;QjpfuysQk6WiwJNx+Lfsm8gW5HOH7j0O3b+DfHjucANQSwMEFAAAAAgAh07iQHnnugQEAQAAEwIA&#10;ABMAAABbQ29udGVudF9UeXBlc10ueG1slZHBTsMwDIbvSLxDlCtqU3ZACK3dgY4jIDQeIErcNqJx&#10;ojiU7e1Juk2CiSHtGNvf7y/JcrW1I5sgkHFY89uy4gxQOW2wr/n75qm454yiRC1Hh1DzHRBfNddX&#10;y83OA7FEI9V8iNE/CEFqACupdB4wdToXrIzpGHrhpfqQPYhFVd0J5TACxiLmDN4sW+jk5xjZepvK&#10;exOPPWeP+7m8qubGZj7XxZ9EgJFOEOn9aJSM6W5iQn3iVRycykTOMzQYTzdJ/MyG3Pnt9HPBgXtJ&#10;jxmMBvYqQ3yWNpkLHUho94UBpvL/kGxpqXBdZxSUbaA2YW8wHa3OpcPCtU5dGr6eqWO2mL+0+QZQ&#10;SwECFAAUAAAACACHTuJAeee6BAQBAAATAgAAEwAAAAAAAAABACAAAABHFQAAW0NvbnRlbnRfVHlw&#10;ZXNdLnhtbFBLAQIUAAoAAAAAAIdO4kAAAAAAAAAAAAAAAAAGAAAAAAAAAAAAEAAAAAsTAABfcmVs&#10;cy9QSwECFAAUAAAACACHTuJAihRmPNEAAACUAQAACwAAAAAAAAABACAAAAAvEwAAX3JlbHMvLnJl&#10;bHNQSwECFAAKAAAAAACHTuJAAAAAAAAAAAAAAAAABAAAAAAAAAAAABAAAAAAAAAAZHJzL1BLAQIU&#10;AAoAAAAAAIdO4kAAAAAAAAAAAAAAAAAKAAAAAAAAAAAAEAAAACkUAABkcnMvX3JlbHMvUEsBAhQA&#10;FAAAAAgAh07iQC5s8AC/AAAApQEAABkAAAAAAAAAAQAgAAAAURQAAGRycy9fcmVscy9lMm9Eb2Mu&#10;eG1sLnJlbHNQSwECFAAUAAAACACHTuJAkV//J9gAAAAIAQAADwAAAAAAAAABACAAAAAiAAAAZHJz&#10;L2Rvd25yZXYueG1sUEsBAhQAFAAAAAgAh07iQDASXi1LBwAAKyIAAA4AAAAAAAAAAQAgAAAAJwEA&#10;AGRycy9lMm9Eb2MueG1sUEsBAhQACgAAAAAAh07iQAAAAAAAAAAAAAAAAAoAAAAAAAAAAAAQAAAA&#10;nggAAGRycy9tZWRpYS9QSwECFAAUAAAACACHTuJAfSub+YMGAAB+BgAAFAAAAAAAAAABACAAAABW&#10;DAAAZHJzL21lZGlhL2ltYWdlMS5wbmdQSwECFAAUAAAACACHTuJAhRPut14DAABZAwAAFAAAAAAA&#10;AAABACAAAADGCAAAZHJzL21lZGlhL2ltYWdlMi5wbmdQSwUGAAAAAAsACwCUAgAAfBYAAAAA&#10;">
            <o:lock v:ext="edit"/>
            <v:shape id="AutoShape 178" o:spid="_x0000_s1395" o:spt="100" style="position:absolute;left:9370;top:-151935;height:143784;width:179573;" filled="f" coordsize="179573,143784" o:gfxdata="UEsDBAoAAAAAAIdO4kAAAAAAAAAAAAAAAAAEAAAAZHJzL1BLAwQUAAAACACHTuJAQmJ57L8AAADd&#10;AAAADwAAAGRycy9kb3ducmV2LnhtbEWPQWvCQBCF7wX/wzJCL6VuDChtdBVRihZ6UYvnITtNQndn&#10;Y3Y1+u+dQ6G3Gd6b976ZL2/eqSt1sQlsYDzKQBGXwTZcGfg+fry+gYoJ2aILTAbuFGG5GDzNsbCh&#10;5z1dD6lSEsKxQAN1Sm2hdSxr8hhHoSUW7Sd0HpOsXaVth72Ee6fzLJtqjw1LQ40trWsqfw8Xb2Db&#10;f7rjeXqfbN3L5qvd5JivTmjM83CczUAluqV/89/1zgr++0T45RsZQS8e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Jieey/&#10;AAAA3QAAAA8AAAAAAAAAAQAgAAAAIgAAAGRycy9kb3ducmV2LnhtbFBLAQIUABQAAAAIAIdO4kAz&#10;LwWeOwAAADkAAAAQAAAAAAAAAAEAIAAAAA4BAABkcnMvc2hhcGV4bWwueG1sUEsFBgAAAAAGAAYA&#10;WwEAALgDAAAAAA==&#10;" path="m-2893,152489l-2293,152489m-2293,152058l-2893,152058,-2892,152058m-2893,152058l-2893,152489,-2892,152489m-2293,152489l-2293,152058e">
              <v:path o:connecttype="segments" o:connectlocs="-2893,554;-2293,554;-2293,554;-2293,123;-2893,123;-2892,123;-2893,123;-2893,554;-2892,554;-2293,554;-2293,123;-2293,123" o:connectangles="0,0,0,0,0,0,0,0,0,0,0,0"/>
              <v:fill on="f" focussize="0,0"/>
              <v:stroke weight="0.00236220472440945pt" joinstyle="round"/>
              <v:imagedata o:title=""/>
              <o:lock v:ext="edit"/>
            </v:shape>
            <v:shape id="Picture 179" o:spid="_x0000_s1394" o:spt="75" type="#_x0000_t75" style="position:absolute;left:6478;top:123;height:290;width:323;" filled="f" o:preferrelative="t" stroked="f" coordsize="21600,21600" o:gfxdata="UEsDBAoAAAAAAIdO4kAAAAAAAAAAAAAAAAAEAAAAZHJzL1BLAwQUAAAACACHTuJAdVBcJbwAAADd&#10;AAAADwAAAGRycy9kb3ducmV2LnhtbEVPTWsCMRC9F/ofwhS8FM1GUOxqFBEFTwVtL70Nybi7djNZ&#10;Numu+utNQfA2j/c5i9XF1aKjNlSeNahRBoLYeFtxoeH7azecgQgR2WLtmTRcKcBq+fqywNz6ng/U&#10;HWMhUgiHHDWUMTa5lMGU5DCMfEOcuJNvHcYE20LaFvsU7mo5zrKpdFhxaiixoU1J5vf45zQYhbw5&#10;910ziT+f7ze1NuttNdN68KayOYhIl/gUP9x7m+Z/TBT8f5NOkMs7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VQXCW8AAAA&#10;3QAAAA8AAAAAAAAAAQAgAAAAIgAAAGRycy9kb3ducmV2LnhtbFBLAQIUABQAAAAIAIdO4kAzLwWe&#10;OwAAADkAAAAQAAAAAAAAAAEAIAAAAAsBAABkcnMvc2hhcGV4bWwueG1sUEsFBgAAAAAGAAYAWwEA&#10;ALUDAAAAAA==&#10;">
              <v:path/>
              <v:fill on="f" focussize="0,0"/>
              <v:stroke on="f" joinstyle="miter"/>
              <v:imagedata r:id="rId49" o:title=""/>
              <o:lock v:ext="edit" aspectratio="t"/>
            </v:shape>
            <v:shape id="AutoShape 180" o:spid="_x0000_s1393" o:spt="100" style="position:absolute;left:9370;top:-151935;height:143784;width:179573;" filled="f" coordsize="179573,143784" o:gfxdata="UEsDBAoAAAAAAIdO4kAAAAAAAAAAAAAAAAAEAAAAZHJzL1BLAwQUAAAACACHTuJA3fxCALwAAADd&#10;AAAADwAAAGRycy9kb3ducmV2LnhtbEVPTYvCMBC9L/gfwgheFk0tKGs1iiiiC3tZFc9DM7bFZFKb&#10;aPXfbwRhb/N4nzNbPKwRd2p85VjBcJCAIM6drrhQcDxs+l8gfEDWaByTgid5WMw7HzPMtGv5l+77&#10;UIgYwj5DBWUIdSalz0uy6AeuJo7c2TUWQ4RNIXWDbQy3RqZJMpYWK44NJda0Kim/7G9Wwbb9Nofr&#10;+Dnams/1T71OMV2eUKled5hMQQR6hH/x273Tcf5klMLrm3iCnP8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38QgC8AAAA&#10;3QAAAA8AAAAAAAAAAQAgAAAAIgAAAGRycy9kb3ducmV2LnhtbFBLAQIUABQAAAAIAIdO4kAzLwWe&#10;OwAAADkAAAAQAAAAAAAAAAEAIAAAAAsBAABkcnMvc2hhcGV4bWwueG1sUEsFBgAAAAAGAAYAWwEA&#10;ALUDAAAAAA==&#10;" path="m-2893,152443l-2464,152058m-2838,152489l-2358,152058m-2732,152489l-2293,152095e">
              <v:path o:connecttype="segments" o:connectlocs="-2893,508;-2464,123;-2464,123;-2838,554;-2358,123;-2358,123;-2732,554;-2293,160;-2293,160" o:connectangles="0,0,0,0,0,0,0,0,0"/>
              <v:fill on="f" focussize="0,0"/>
              <v:stroke weight="0.00236220472440945pt" joinstyle="round"/>
              <v:imagedata o:title=""/>
              <o:lock v:ext="edit"/>
            </v:shape>
            <v:shape id="Picture 181" o:spid="_x0000_s1392" o:spt="75" type="#_x0000_t75" style="position:absolute;left:6744;top:254;height:300;width:334;" filled="f" o:preferrelative="t" stroked="f" coordsize="21600,21600" o:gfxdata="UEsDBAoAAAAAAIdO4kAAAAAAAAAAAAAAAAAEAAAAZHJzL1BLAwQUAAAACACHTuJAL47clsIAAADd&#10;AAAADwAAAGRycy9kb3ducmV2LnhtbEWPT2vCQBDF74LfYRmhF6mbWCo1ugptKVgPQo2IxyE7TdJm&#10;Z5Pd9d+3d4VCbzO8937zZr68mEacyPnasoJ0lIAgLqyuuVSwyz8eX0D4gKyxsUwKruRhuej35php&#10;e+YvOm1DKSKEfYYKqhDaTEpfVGTQj2xLHLVv6wyGuLpSaofnCDeNHCfJRBqsOV6osKW3iorf7dFE&#10;yqHbcPe5H6439XhyyPOf12v+rtTDIE1mIAJdwr/5L73Ssf70+Qnu38QR5OIG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C+O&#10;3JbCAAAA3QAAAA8AAAAAAAAAAQAgAAAAIgAAAGRycy9kb3ducmV2LnhtbFBLAQIUABQAAAAIAIdO&#10;4kAzLwWeOwAAADkAAAAQAAAAAAAAAAEAIAAAABEBAABkcnMvc2hhcGV4bWwueG1sUEsFBgAAAAAG&#10;AAYAWwEAALsDAAAAAA==&#10;">
              <v:path/>
              <v:fill on="f" focussize="0,0"/>
              <v:stroke on="f" joinstyle="miter"/>
              <v:imagedata r:id="rId41" o:title=""/>
              <o:lock v:ext="edit" aspectratio="t"/>
            </v:shape>
          </v:group>
        </w:pict>
      </w:r>
      <w:r>
        <w:rPr>
          <w:rFonts w:hint="default" w:ascii="Times New Roman" w:hAnsi="Times New Roman" w:cs="Times New Roman"/>
          <w:lang w:val="en-US" w:bidi="ar-SA"/>
        </w:rPr>
        <w:pict>
          <v:group id="_x0000_s1384" o:spid="_x0000_s1384" o:spt="203" style="position:absolute;left:0pt;margin-left:263.25pt;margin-top:1.05pt;height:21.5pt;width:26.9pt;mso-position-horizontal-relative:page;z-index:-251651072;mso-width-relative:page;mso-height-relative:page;" coordorigin="4756,134" coordsize="538,430203" o:gfxdata="UEsDBAoAAAAAAIdO4kAAAAAAAAAAAAAAAAAEAAAAZHJzL1BLAwQUAAAACACHTuJATTQ/INgAAAAI&#10;AQAADwAAAGRycy9kb3ducmV2LnhtbE2PwWrDMBBE74X+g9hAb40kpwrBsRxKaHsKhSaF0ptibWwT&#10;a2UsxU7+vuqpPQ4zzLwpNlfXsRGH0HrSIOcCGFLlbUu1hs/D6+MKWIiGrOk8oYYbBtiU93eFya2f&#10;6APHfaxZKqGQGw1NjH3OeagadCbMfY+UvJMfnIlJDjW3g5lSuet4JsSSO9NSWmhMj9sGq/P+4jS8&#10;TWZ6XsiXcXc+bW/fB/X+tZOo9cNMijWwiNf4F4Zf/IQOZWI6+gvZwDoNKluqFNWQSWDJVyuxAHbU&#10;8KQk8LLg/w+UP1BLAwQUAAAACACHTuJAGqWMI8oHAACuJAAADgAAAGRycy9lMm9Eb2MueG1s7Vrd&#10;jttEFL5H4h1GvgSl8V/iJNpstey2VaUCKxoewHGcxMKxzdjZbEHcccEl78PzIF6D78x44rFje9Ot&#10;QC3sSpuM7ePjb87PzHeOc/H8fhezu5DnUZrMDeuZabAwCdJVlGzmxveLl4OJwfLCT1Z+nCbh3HgX&#10;5sbzy88/uzhks9BOt2m8CjmDkiSfHbK5sS2KbDYc5sE23Pn5szQLE1xcp3znFzjkm+GK+wdo38VD&#10;2zTHw0PKVxlPgzDPcfZGXjQuhf71OgyKb9frPCxYPDeArRCfXHwu6XN4eeHPNtzPtlFQwvAfgWLn&#10;RwkeelR14xc+2/PoRNUuCniap+viWZDuhul6HQWhmANmY5mN2bzi6T4Tc9nMDpvsaCaYtmGnR6sN&#10;vrm75SxawXfTkWuwxN/BS3/98eufv//GxClY6JBtZhB8xbO32S0vT2zkEU36fs139I3psHth23dH&#10;24b3BQtw0nGtsQMPBLhke445Km0fbOEgusv1RmOD4arluNItwfZFefPIQRjRnS5U4PlD9cwhQTsi&#10;OWQIoryyU/5hdnq79bNQmD+n6Vd2Gik7Xe2LVEgxy7MIGCGA6NFM+SyHxdjy8HW6gl19yIswaVgM&#10;vp9CKSY4sB3Lsx1pAGU7e2JZll3azh5Z1rRmBH8W7PPiVZgKJ/h3b/ICUBCLK4zkoPTrAg5Y72JE&#10;+JcDZrKRPXWYfHZ5g5KzlNwXQ7Yw2YGVEBpiwKSpg+NYDf9mpfQ5ShD6SGzL7OM8CKiSQwRqCikk&#10;2vHBWFKO8Lmd+BBQmroefJ4SfAAfwlBT2I1vquQI36QTn1X3Rw9AS/dInwUpTs6CaOk+WVh2N8i6&#10;U0bjTi9bultIrsvNVt0xPXGoO2ZhjbtB1j3TB1L3TR9Iu+4cgHTbg9HWfbOwe9Kl7psekFgBqgDv&#10;BVl3TndE2rpvFnZ3zth13/TEpK07py8m7bpzekDqvlnY3YlDO4kW5T2WdHTn9FnSqTunG6Sj+2bh&#10;dCcO9rFzQerO6QVZd0534ji6bxZOd+LQznqmJXXn9IF0G87p3GVc3TcLtztx3LpvemLS1Z3TF5Nu&#10;wzmd2e3qvlm43Ynj1n3TB1J3ThMkuM1x4/a3ai8P7pNyM8eI+cSuTcEksjQn9rSAKUEfFoI5QAWk&#10;aOfvEMaUSNgraUS/MNxOwtiBsPs/qJq2FSE+Ok8cphDiitL0Y6GllsQlQ3oQDC16Qvy8mdrlVLFm&#10;nDNVWghIu3PeVCklhfh5U6XkIHFE9DlgKEyFeG2q0kJl5HBUQ806iBsMddCSHuHPMr+ggFNDdgBV&#10;L6nnFkPJ2OjqLr0LF6mQKyj6BpY7NZGjAAD+OhkpDJVcnNTlR64jjV2TV1LVfVmpX5O37cnD+jU8&#10;mrzSr76VdkhLa9tOi3Qvmved7Vn629FXOFrwt1hfSanvltlq6KUUAoaiQCT6MRwoirQKI0lfRnEs&#10;IiZOKEisiViK8jSOVnSJAiPnm+V1zNmdT5W3+CvjuCaGCjdZyfiOsWKhnpMlkyyllunqHconnsq6&#10;HX0GDLYp/8lgB9TscyP/ce/z0GDx6wTF3tRyae8pxIE78ojBcf3KUr/iJwFUzY3CwHpKw+tCNgb2&#10;GY82WzzJEtNKUirz1hEVVQKfRFUeoN68vMiiYIb/skDH6KTwfLiRgbuKPeYitSV3t1Fwy+VBrfjE&#10;LiOLdAjQDSg9bbIs7hdVqrwNboyCN2nwQ86S9HqLDSO8yjMsADSr6hTn6WEb+isYT655dS1DOqxB&#10;WcZRplxM43LKMFyjI9EyYdntuEmD/S5MCtm+4WHsF+gd5dsoy+GtWbhbhqu5wV+vpPVRA5dLElXD&#10;oqXysz25Ms2p/dXgemReD1zTezG4mrrewDNfeK7pTqxr6/oX8p3lzvZ5CDP48U0Wqf6O5Z6gbe2f&#10;lJ0m2ZkRHZ4ymstABiCRJwoi0oRMIqM/+A7GFjmSFzwsAqSUP1sjOcrzED5eEGauLEtGp7YB3dFo&#10;FICVynUerEGu2WQV0V+ZYj2lFomDgUwodW/GZXeA0QCmBTAyzkx1CijnSxE6fUxvAUsCEUPgkmn5&#10;b/RYsFnKMH/Jw5D6f4hzsRM+ssXiTsbIHNjHwj4s/KIs51IdI5pLGNQtp696yloaPav6FnXGi2d5&#10;jD7kgyoxpJ7k2tQWILpLzxZgKpk61SWefURcCeksV1LxFk0nDNdpBYWAqkARvW1R1aS2XhsomPGo&#10;CJhR/bdoapQbRLvbLIVgPuoSDZQWVSfdk1ZUjc6JBgtx/wkwbaAEJ/4ACkeWY+Bv9E35XdEISQgQ&#10;u0iL0r54WnW9Thxc6gxAUnVg1VX1LbWJp51I0RLzRCs+ZlqBvGzSCrHD1AnBf4BW2CIJ1J7tz2gb&#10;eKIVJa2wR4I8SKsQrTi+ecEbm8bmqDjDJ0UrsK+c0AoxscfSCg/sW9KKBiFzqfPY9s6qXky9B60Y&#10;2SZ2cE/SIP2tySmtkB0MXaaNVpSIe2mFfOGma6rTCsLTCuqUVpyCatIK4jonoOq0gl4qlG8BdVB1&#10;WtEJ6pRWnII6oRWtqBq0QoP1f6EVFN9EKxAhbbSCzgtiISOoh1hIuTqteCIMBvuo+xBjeK1JGMa0&#10;Q/znCIPzRBhO+xBTetcrqunGtud4qg/hTf5JwiB++YEfxYgOTPkDHvrVjX4sWnTVz4wu/wZQSwME&#10;CgAAAAAAh07iQAAAAAAAAAAAAAAAAAoAAABkcnMvbWVkaWEvUEsDBBQAAAAIAIdO4kDdyzGOlAEA&#10;AJgBAAAUAAAAZHJzL21lZGlhL2ltYWdlMS5wbmfrDPBz5+WS4mJgYOD19HAJAtKmIMzBBiQfPltc&#10;AKTYkrzdXRj+g+CCvcsnA0U4CzwiixkY+I6AMONUbT5pBgZGC08Xx5CMxrvX9/q1OQi0Pvz8UjYq&#10;2ZtzIUv0FpOoW0lnZQ/JSaso/nmrJ1K9bEaRWuWuSkehhZe3vZVmEHP9KLv5v/25ne6XTd4zRFz/&#10;evxqdGpkHWMHe2rkN2uew59lF9icrz9WWLOLOST06nLLCcXvEvlchJ45xGmYXtD0EizpCGJ9u2iK&#10;42yN0gtcqYxbHCIZz2p4K0wyYFfijGCeyLJrXfVWFiXbenvVC6ohqxZkhJxaoBHyakHCFCYNjqVM&#10;n9w0G/cEZC0InqL0QmAp1y1XzWazwFcLRE8xZTRuYpoVOM1BBWTbBjal5XO2syhxfqn9n8Tpcm/C&#10;55WNeguDWF0XB7G5LgxiZ10s4uCoITrB3IvzSWsQ89xFIo7tGqEX9Lwkt3QGsa8NEHPgniJ6oWcT&#10;C9QYoMOCz0UzTTwif+OaHGv2lHIBYMAyeLr6uaxzSmgCAFBLAwQUAAAACACHTuJAKZSWNdAFAADL&#10;BQAAFAAAAGRycy9tZWRpYS9pbWFnZTMucG5nAcsFNPqJUE5HDQoaCgAAAA1JSERSAAAAMwAAADII&#10;BgAAAPH9448AAAAGYktHRAD/AP8A/6C9p5MAAAAJcEhZcwAADsQAAA7EAZUrDhsAAAVrSURBVGiB&#10;1ZpbSJt3GMbfnDWe4jnNYjNt1rDQoCgoigFlyiyzzOJKLbOs67Z2WDbYvFgn67quzPXCFlom3Vrs&#10;yixTVpllllm0KEQUBUWJpGTNtJlpFg+18RTN8Xt2IWLtuhn9NJIPnsv34fl9V7+LPxERTp069R3D&#10;MBwAtNm0tbUVEhG0Wq1ubm4ugk2XxWKRExEkEondZDIp/b2jysrKGiLCyZMnv/f5fFw2IxobGw/z&#10;eDxvTk5O9+zsbCSbrqGhodTY2NgnMpnMajQaVX7BMAzDOX369LdEhOPHj9d5vV4emxG3b99+i8/n&#10;e7KysnrtdruETdfw8PC++Pj4ycTExHGDwaBeFwYAMQzDOXPmzNdEhKNHj/7EFqi5ublEIBC4MzIy&#10;+qenp2PYdBkMBrVUKrXFx8dP6vV6zbowKzl37tyXRIQjR4787PF4+GxGtLS0FAuFQldaWtrg1NRU&#10;HJsuo9Gokslk1tjY2CdDQ0OpfsEAoOrq6s+JCIcOHfrF7XYL2IxobW0tEolETo1Go5+YmEhg02Uy&#10;mZRyudwSHR39dGBgIN0vGABUU1NTSUQ4ePDgry6XS8hmRHt7e0FoaOiiWq022Gw2KZuukZGRFIVC&#10;YZZIJPa+vr5Mv2AA0OXLlz8mIhw4cOA3p9MpYjOis7MzTywWO1QqldFqtcrYdJnNZkVycvJoZGTk&#10;bE9PT7ZfMACotra2goiwf//+35eWlkLYjNDpdNrw8PB5pVJpslgscjZdY2NjSUql0hQeHj6v0+m0&#10;fsEAoGvXrn1ARCgsLGxzOBxiNiN6enqyIyMjZ1NSUkbMZrOCTZfVapWpVCqjWCx2dHZ25vkFA4Bu&#10;3LjxLofDYfLz8zsWFhbC2Izo6+vLjIqKmlEoFObR0dFkNl02m02qVqsNoaGhi+3t7QV+H9bX15dz&#10;uVzfVuhKf39/RnR09NOkpKSxjejKizIxMZGg0Wj0IpHIuaHDhoaGsq3SlcHBwbSN6sp/ZWpqKu7E&#10;iRM/bPhwK3VFr9drNqIr62VTR1utK4mJieP+6Mq2wABbryu7du36ez1d2TYYYK2uTE5OxrPp8kdX&#10;thUGWKsr4+PjiWy61tOVbYcBQB0dHfmB0JWAwADbpytdXV25AYcBQN3d3TkRERFzW6krYWFhCyu6&#10;ElAYANTb25u1XboScBhg+3SltbW1KOAwwNbrSmpq6pBQKHS1tLQUBxwGWNUVqVRqe/Dgwatsuqan&#10;p2PS09MHBAKB+86dO28GHAZY1ZWEhISJ4eHhfWy67Ha7JDMzs4/P53uamppKAw4DrOpKXFzcFBtd&#10;AUAzMzNR2dnZPTwez9vY2Hg44DAA6OHDh6/I5XJLTEzM9GZ1ZSVzc3MRWq1Wx+Vyfbdu3Xo74DDA&#10;sq7s3r37r83qyrNZWFgIy8/P7+BwOMzNmzffCTgMAHr06NHLm9WV5+NwOMQFBQXtHA6HuX79+vsB&#10;hwGWdWXPnj1/blRXXpTFxcXQoqKiViIKPMhKHj9+/NLevXv/2Iiu/FecTqfo0qVLn+wYDLBWV+7f&#10;v/8a274dhQFWdSUkJGTp3r17rwc1DLBWV+7evftGUMMA/ulK0MAA6+tKUMEA/68rQQcDLOtKbm5u&#10;1/O6EpQwAGh+fj48Ly+v81ldCVoY4N+6EtQwwFpduXr16odBDQMs60pxcXELEeHKlSsfBTUMAHK5&#10;XMKSkpJmIsLFixc/DWoYAOR2uwWlpaVNRIQLFy58FtQwAMjj8fDLysoaiAjnz5//IqhhVoDKy8vr&#10;iQhnz579auVF1o4P22y8Xi/v2LFjPxIRqqqqvmEYhsOnIP14PJ6vrq7uPYFA4Kmurq7yeDyCHf/D&#10;bOPz+bgVFRW1RIR/ALiIq+EGmSv9AAAAAElFTkSuQmCCUEsDBBQAAAAIAIdO4kDl0yBAvQYAALgG&#10;AAAUAAAAZHJzL21lZGlhL2ltYWdlMi5wbmcBuAZH+YlQTkcNChoKAAAADUlIRFIAAABIAAAAKQgG&#10;AAAAlkVvuAAAAAZiS0dEAP8A/wD/oL2nkwAAAAlwSFlzAAAOxAAADsQBlSsOGwAABlhJREFUaIHt&#10;mllQFFcUhv/unhkMKpqkirLKSpU++OouuIC4guJCRAyyiYCyLzLsiwthRyC4AGKUKCggCBINqFkN&#10;ZoGs5DUPSZWVShVVKgwDskzfe/OQGjPiwCzdOinx4bx03/ufPt9Mdd/7nwsALDExsZxSyjHG8Dqe&#10;DcTFxZ0GwNRqddlrSM8GpZQDpZSLiYk5C4AlJyeffA3p39BoNA5ubm73npKKjo6uBMBSUlJKpjsk&#10;jUbjsGbNmu8EQRCfXqSUclFRUVUAWFpaWtF0hTQ4ODh77dq13yoUCl1ra6v3MzcJIXxERMQ5ACw9&#10;Pb1wukEaHBycvW7dum8EQRCvX7++lzGG5wYRQvjw8PAaACwzMzN/ukDSarWzXFxc7guCIDY3N+/T&#10;Xzc6mBDCHzp06EMALCsrK+9Vh6TVame5urp2TYQzKSA9pLCwsAsA2NGjR99/VSENDQ3NXL9+/dc8&#10;z5OmpibfifennEwI4UNDQy8CYMeOHcuxdTEvAo6bm9s9nudJY2PjfmNjTIoQQviQkJBaAOzEiRPH&#10;bV2UnHA2bNjwFc/zpKGhwW+ycWaJiaIoBAcHXwLAcnJyjtm6OKkxPDxsv3Hjxi95nidXr171n2qs&#10;2aKiKAoHDhy4DIDl5uZm27pIKXA2bdr0BcdxtL6+PtDUeIvERVEUgoKC6gCwvLy8LFsXaw2czZs3&#10;f85xHK2rqwsyZ47FSURRFAICAq4AYAUFBRm2LtrcePLkyRtbtmz5jOM4evny5QPmzrMqmSiKgr+/&#10;/1UArLCwMN3WxZsDZ+vWrZ9yHEcvXboUbMlcq5PqdDqFn59fAwBWXFycamsIk8XIyMgMd3f3uxzH&#10;0dra2hBL50tKrtPpFPv3728EwEpKSlJsDcMYnG3btt3mOI5evHgx1BoN9Pb2LpEKydfXtwkAKy0t&#10;TbI1FEM427dv7wTALly4EGatDgAwc9/oU0Hat29fMwBWVlamtjWc0dFRO09Pzw4A7Pz584elaEH/&#10;2TNnTTBVjI+PK318fFoAsPLy8kRbwtmxY8cnAFhNTU24VL2nCyee58mVK1cCpELau3fvdQCsoqIi&#10;wRZwdu7ceQsAO3fuXIQULVEUBbVaXQbGLFt6mwPJ29u7FQA7depU/MuCMzY2ptq1a9dNAKy6ujpS&#10;ihYhhD948OBHAP67aLh5m2xnawmkPXv2tAFgZ86ciX0ZcHbv3v0xAFZZWRktFY7h5vyZm6a8EUsf&#10;2svLqx0AO3v2bMyLhCNXHkMPTG/vPDfI0F27du3ae/+XX9ZYyPlPNXRRs7Ozc/UGodHBk/mz1kLS&#10;vxuqqqqi5IQj17uOEMIfPnz4vDGLedJJxhx+a0POr4sejlxfS8NOTkZGRsFEa3nKyfoekSAIYmtr&#10;q7dUSHKsT+RcbxFC+MjIyOqp2lwmRfRdRoVCoWtra9sjFZKUFa6cK3bDRmlqamrxZE0Js8Q0Go3D&#10;6tWrv1coFLobN268K+XB9BtIS/dIcu75DM8jmGq1my06MDAwx9nZuVupVI63t7d7SYXk4eFxBwAz&#10;Z5ctp2tAKeX0J1qSkpJKTbWzLBIfGBiY4+Tk1KNUKsdv3ry5Syokc3waOX0nSikXHx9/ypIzURYn&#10;6e/vn7tq1aoflErl+K1bt3ZKeWBTTp+hc1lUVJQmFU5CQkIFAHbkyJEPzG2EWpWsv79/7sqVK3+U&#10;C5Ixr1gURSEwMLBeDu+bUsolJiaWA2AJCQkVlnSJrU76+PHjN1esWPGTSqUa6+jo8JRSwMRug2H3&#10;JD8/P1MqHLVaXQaAxcXFnba0hW51Yj2k5cuX/6xSqcY6Ozu3S4Wkt11cXFzuy9F/o5RyycnJJwGw&#10;2NjYM9acL8DIyMgMKQ/x6NGjt5YtW/aLSqUau3379jYpWlqtdua8efP+BsB8fHxapMJJTU0tBsCi&#10;o6MrrT18AQCsu7vbWSqkpUuX/mpnZzd6584dD2s0DG2GBQsW/GmqZ24KTlpaWhEAFhUVVSXlZArm&#10;z5//l4ODg6anp8dJCqSHDx++vWTJkl47O7vRu3fvulsKR3+K5Pjx4ycMbRdLvSlKKZeRkVEAgEVG&#10;RlYTQngpdeHBgwfvLFy48I9Fixb9rtPpFFIhLV68+DdHR8e+oaGhmebOa2lp8Zl4xEZvu9jb2w/3&#10;9fU5mqvV1dXlCoCFh4fXSIXDGMM/yMp3gTyXnRkAAAAASUVORK5CYIJ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AoAAAAAAIdO4kAA&#10;AAAAAAAAAAAAAAAKAAAAZHJzL19yZWxzL1BLAwQUAAAACACHTuJANydHYcYAAAApAgAAGQAAAGRy&#10;cy9fcmVscy9lMm9Eb2MueG1sLnJlbHO9kcFqAjEQhu9C3yHMvZvdFYqIWS8ieBX7AEMymw1uJiGJ&#10;pb69gVKoIPXmcWb4v/+D2Wy//Sy+KGUXWEHXtCCIdTCOrYLP0/59BSIXZINzYFJwpQzb4W2xOdKM&#10;pYby5GIWlcJZwVRKXEuZ9UQecxMicb2MIXksdUxWRtRntCT7tv2Q6S8DhjumOBgF6WCWIE7XWJuf&#10;s8M4Ok27oC+euDyokM7X7grEZKko8GQc/iyXTWQL8rFD/xqH/j+H7jUO3a+DvHvwcANQSwMEFAAA&#10;AAgAh07iQHnnugQEAQAAEwIAABMAAABbQ29udGVudF9UeXBlc10ueG1slZHBTsMwDIbvSLxDlCtq&#10;U3ZACK3dgY4jIDQeIErcNqJxojiU7e1Juk2CiSHtGNvf7y/JcrW1I5sgkHFY89uy4gxQOW2wr/n7&#10;5qm454yiRC1Hh1DzHRBfNddXy83OA7FEI9V8iNE/CEFqACupdB4wdToXrIzpGHrhpfqQPYhFVd0J&#10;5TACxiLmDN4sW+jk5xjZepvKexOPPWeP+7m8qubGZj7XxZ9EgJFOEOn9aJSM6W5iQn3iVRycykTO&#10;MzQYTzdJ/MyG3Pnt9HPBgXtJjxmMBvYqQ3yWNpkLHUho94UBpvL/kGxpqXBdZxSUbaA2YW8wHa3O&#10;pcPCtU5dGr6eqWO2mL+0+QZQSwECFAAUAAAACACHTuJAeee6BAQBAAATAgAAEwAAAAAAAAABACAA&#10;AAA/GgAAW0NvbnRlbnRfVHlwZXNdLnhtbFBLAQIUAAoAAAAAAIdO4kAAAAAAAAAAAAAAAAAGAAAA&#10;AAAAAAAAEAAAAPwXAABfcmVscy9QSwECFAAUAAAACACHTuJAihRmPNEAAACUAQAACwAAAAAAAAAB&#10;ACAAAAAgGAAAX3JlbHMvLnJlbHNQSwECFAAKAAAAAACHTuJAAAAAAAAAAAAAAAAABAAAAAAAAAAA&#10;ABAAAAAAAAAAZHJzL1BLAQIUAAoAAAAAAIdO4kAAAAAAAAAAAAAAAAAKAAAAAAAAAAAAEAAAABoZ&#10;AABkcnMvX3JlbHMvUEsBAhQAFAAAAAgAh07iQDcnR2HGAAAAKQIAABkAAAAAAAAAAQAgAAAAQhkA&#10;AGRycy9fcmVscy9lMm9Eb2MueG1sLnJlbHNQSwECFAAUAAAACACHTuJATTQ/INgAAAAIAQAADwAA&#10;AAAAAAABACAAAAAiAAAAZHJzL2Rvd25yZXYueG1sUEsBAhQAFAAAAAgAh07iQBqljCPKBwAAriQA&#10;AA4AAAAAAAAAAQAgAAAAJwEAAGRycy9lMm9Eb2MueG1sUEsBAhQACgAAAAAAh07iQAAAAAAAAAAA&#10;AAAAAAoAAAAAAAAAAAAQAAAAHQkAAGRycy9tZWRpYS9QSwECFAAUAAAACACHTuJA3csxjpQBAACY&#10;AQAAFAAAAAAAAAABACAAAABFCQAAZHJzL21lZGlhL2ltYWdlMS5wbmdQSwECFAAUAAAACACHTuJA&#10;5dMgQL0GAAC4BgAAFAAAAAAAAAABACAAAAANEQAAZHJzL21lZGlhL2ltYWdlMi5wbmdQSwECFAAU&#10;AAAACACHTuJAKZSWNdAFAADLBQAAFAAAAAAAAAABACAAAAALCwAAZHJzL21lZGlhL2ltYWdlMy5w&#10;bmdQSwUGAAAAAAwADADWAgAAdBsAAAAA&#10;">
            <o:lock v:ext="edit"/>
            <v:shape id="AutoShape 171" o:spid="_x0000_s1390" o:spt="100" style="position:absolute;left:20195;top:-231723;height:225119;width:281112;" filled="f" coordsize="281112,225119" o:gfxdata="UEsDBAoAAAAAAIdO4kAAAAAAAAAAAAAAAAAEAAAAZHJzL1BLAwQUAAAACACHTuJA5GW4D7oAAADd&#10;AAAADwAAAGRycy9kb3ducmV2LnhtbEVPy6rCMBDdC/5DGMGdpgp6tRpdCIK6EbUfMDRjW2wmtYm1&#10;+vVGEO5uDuc5y3VrStFQ7QrLCkbDCARxanXBmYLksh3MQDiPrLG0TApe5GC96naWGGv75BM1Z5+J&#10;EMIuRgW591UspUtzMuiGtiIO3NXWBn2AdSZ1jc8Qbko5jqKpNFhwaMixok1O6e38MAruyT3Zv/+u&#10;70N6dPOs2R8frZNK9XujaAHCU+v/xT/3Tof588kEvt+EE+Tq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kZbgPugAAAN0A&#10;AAAPAAAAAAAAAAEAIAAAACIAAABkcnMvZG93bnJldi54bWxQSwECFAAUAAAACACHTuJAMy8FnjsA&#10;AAA5AAAAEAAAAAAAAAABACAAAAAJAQAAZHJzL3NoYXBleG1sLnhtbFBLBQYAAAAABgAGAFsBAACz&#10;AwAAAAA=&#10;" path="m-14902,231857l-15439,231857m-15439,232287l-14902,232287,-14901,232287m-15439,231857l-15439,232287m-14902,232287l-14902,231857,-14901,231857e">
              <v:path o:connecttype="segments" o:connectlocs="-14902,134;-15439,134;-15439,134;-15439,564;-14902,564;-14901,564;-15439,134;-15439,564;-15439,564;-14902,564;-14902,134;-14901,134" o:connectangles="0,0,0,0,0,0,0,0,0,0,0,0"/>
              <v:fill on="f" focussize="0,0"/>
              <v:stroke weight="0.00141732283464567pt" joinstyle="round"/>
              <v:imagedata o:title=""/>
              <o:lock v:ext="edit"/>
            </v:shape>
            <v:shape id="Picture 172" o:spid="_x0000_s1389" o:spt="75" type="#_x0000_t75" style="position:absolute;left:4755;top:134;height:399;width:399;" filled="f" o:preferrelative="t" stroked="f" coordsize="21600,21600" o:gfxdata="UEsDBAoAAAAAAIdO4kAAAAAAAAAAAAAAAAAEAAAAZHJzL1BLAwQUAAAACACHTuJApYTBP70AAADd&#10;AAAADwAAAGRycy9kb3ducmV2LnhtbEVP22rCQBB9F/oPyxT61uxqqWjqKhhoKbXg3echO02i2dmQ&#10;3Wr8e7dQ8G0O5zqTWWdrcabWV4419BMFgjh3puJCw277/jwC4QOywdoxabiSh9n0oTfB1LgLr+m8&#10;CYWIIexT1FCG0KRS+rwkiz5xDXHkflxrMUTYFtK0eInhtpYDpYbSYsWxocSGspLy0+bXauheVl8h&#10;u6pimX98H7fz/YGyhdX66bGv3kAE6sJd/O/+NHH++HUIf9/EE+T0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lhME/vQAA&#10;AN0AAAAPAAAAAAAAAAEAIAAAACIAAABkcnMvZG93bnJldi54bWxQSwECFAAUAAAACACHTuJAMy8F&#10;njsAAAA5AAAAEAAAAAAAAAABACAAAAAMAQAAZHJzL3NoYXBleG1sLnhtbFBLBQYAAAAABgAGAFsB&#10;AAC2AwAAAAA=&#10;">
              <v:path/>
              <v:fill on="f" focussize="0,0"/>
              <v:stroke on="f" joinstyle="miter"/>
              <v:imagedata r:id="rId37" o:title=""/>
              <o:lock v:ext="edit" aspectratio="t"/>
            </v:shape>
            <v:shape id="Freeform 173" o:spid="_x0000_s1388" o:spt="100" style="position:absolute;left:4866;top:137;height:427;width:427;" filled="f" coordsize="427,427" o:gfxdata="UEsDBAoAAAAAAIdO4kAAAAAAAAAAAAAAAAAEAAAAZHJzL1BLAwQUAAAACACHTuJAMcY4jroAAADd&#10;AAAADwAAAGRycy9kb3ducmV2LnhtbEVPTYvCMBC9L/gfwgje1rSCXa1GDwVhL4ts1PvQjG2xmZQm&#10;WvvvjbCwt3m8z9nun7YVD+p941hBOk9AEJfONFwpOJ8OnysQPiAbbB2TgpE87HeTjy3mxg38Sw8d&#10;KhFD2OeooA6hy6X0ZU0W/dx1xJG7ut5iiLCvpOlxiOG2lYskyaTFhmNDjR0VNZU3fbcKXNboNPuR&#10;h2Io9PHicDzp5ajUbJomGxCBnuFf/Of+NnH+evkF72/iCXL3A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xxjiOugAAAN0A&#10;AAAPAAAAAAAAAAEAIAAAACIAAABkcnMvZG93bnJldi54bWxQSwECFAAUAAAACACHTuJAMy8FnjsA&#10;AAA5AAAAEAAAAAAAAAABACAAAAAJAQAAZHJzL3NoYXBleG1sLnhtbFBLBQYAAAAABgAGAFsBAACz&#10;AwAAAAA=&#10;" path="m0,427l426,0,427,0e">
              <v:path o:connecttype="segments" o:connectlocs="0,564;426,137;427,137" o:connectangles="0,0,0"/>
              <v:fill on="f" focussize="0,0"/>
              <v:stroke weight="0.00141732283464567pt" joinstyle="round"/>
              <v:imagedata o:title=""/>
              <o:lock v:ext="edit"/>
            </v:shape>
            <v:shape id="Picture 174" o:spid="_x0000_s1387" o:spt="75" type="#_x0000_t75" style="position:absolute;left:4755;top:259;height:305;width:538;" filled="f" o:preferrelative="t" stroked="f" coordsize="21600,21600" o:gfxdata="UEsDBAoAAAAAAIdO4kAAAAAAAAAAAAAAAAAEAAAAZHJzL1BLAwQUAAAACACHTuJAIiJFC8AAAADd&#10;AAAADwAAAGRycy9kb3ducmV2LnhtbEWPQWsCMRCF70L/Q5iCN00UFLs1epBKhdJDVajHYTPdbN1M&#10;tpu46r/vHAq9zfDevPfNcn0LjeqpS3VkC5OxAUVcRldzZeF42I4WoFJGdthEJgt3SrBePQyWWLh4&#10;5Q/q97lSEsKpQAs+57bQOpWeAqZxbIlF+4pdwCxrV2nX4VXCQ6Onxsx1wJqlwWNLG0/leX8JFqYv&#10;5u20+N7g53178ubc/7zy+9za4ePEPIPKdMv/5r/rnRP8p5ngyjcygl79A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iIkUL&#10;wAAAAN0AAAAPAAAAAAAAAAEAIAAAACIAAABkcnMvZG93bnJldi54bWxQSwECFAAUAAAACACHTuJA&#10;My8FnjsAAAA5AAAAEAAAAAAAAAABACAAAAAPAQAAZHJzL3NoYXBleG1sLnhtbFBLBQYAAAAABgAG&#10;AFsBAAC5AwAAAAA=&#10;">
              <v:path/>
              <v:fill on="f" focussize="0,0"/>
              <v:stroke on="f" joinstyle="miter"/>
              <v:imagedata r:id="rId50" o:title=""/>
              <o:lock v:ext="edit" aspectratio="t"/>
            </v:shape>
            <v:shape id="Freeform 175" o:spid="_x0000_s1386" o:spt="100" style="position:absolute;left:4772;top:134;height:430;width:431;" filled="f" coordsize="431,430" o:gfxdata="UEsDBAoAAAAAAIdO4kAAAAAAAAAAAAAAAAAEAAAAZHJzL1BLAwQUAAAACACHTuJAjTL8zbcAAADd&#10;AAAADwAAAGRycy9kb3ducmV2LnhtbEVPyQrCMBC9C/5DGMGbpiqKVqOgKHh1AT0OzdgWm0nbpC5/&#10;bwTB2zzeOovVyxTiQbXLLSsY9CMQxInVOacKzqddbwrCeWSNhWVS8CYHq2W7tcBY2ycf6HH0qQgh&#10;7GJUkHlfxlK6JCODrm9L4sDdbG3QB1inUtf4DOGmkMMomkiDOYeGDEvaZJTcj41RcPPN9qovZ15X&#10;Vf6u5JjWo2mjVLcziOYgPL38X/xz73WYPxvP4PtNOEEuP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CNMvzNtwAAAN0AAAAP&#10;AAAAAAAAAAEAIAAAACIAAABkcnMvZG93bnJldi54bWxQSwECFAAUAAAACACHTuJAMy8FnjsAAAA5&#10;AAAAEAAAAAAAAAABACAAAAAGAQAAZHJzL3NoYXBleG1sLnhtbFBLBQYAAAAABgAGAFsBAACwAwAA&#10;AAA=&#10;" path="m430,430l0,0e">
              <v:path o:connecttype="segments" o:connectlocs="430,564;0,134;0,134" o:connectangles="0,0,0"/>
              <v:fill on="f" focussize="0,0"/>
              <v:stroke weight="0.00141732283464567pt" joinstyle="round"/>
              <v:imagedata o:title=""/>
              <o:lock v:ext="edit"/>
            </v:shape>
            <v:shape id="Picture 176" o:spid="_x0000_s1385" o:spt="75" type="#_x0000_t75" style="position:absolute;left:4915;top:134;height:378;width:379;" filled="f" o:preferrelative="t" stroked="f" coordsize="21600,21600" o:gfxdata="UEsDBAoAAAAAAIdO4kAAAAAAAAAAAAAAAAAEAAAAZHJzL1BLAwQUAAAACACHTuJAlfdAPL0AAADd&#10;AAAADwAAAGRycy9kb3ducmV2LnhtbEWPQWvCQBCF74X+h2UKXqRuLFRsdBUMLdSjiT9gyE6ywexs&#10;yG6N/nvnUPA2w3vz3jfb/c336kpj7AIbWC4yUMR1sB23Bs7Vz/saVEzIFvvAZOBOEfa715ct5jZM&#10;fKJrmVolIRxzNOBSGnKtY+3IY1yEgVi0Jowek6xjq+2Ik4T7Xn9k2Up77FgaHA5UOKov5Z83MC8P&#10;3/w5Oc+H9t4cm6qY06kwZva2zDagEt3S0/x//WsF/2sl/PKNjKB3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V90A8vQAA&#10;AN0AAAAPAAAAAAAAAAEAIAAAACIAAABkcnMvZG93bnJldi54bWxQSwECFAAUAAAACACHTuJAMy8F&#10;njsAAAA5AAAAEAAAAAAAAAABACAAAAAMAQAAZHJzL3NoYXBleG1sLnhtbFBLBQYAAAAABgAGAFsB&#10;AAC2AwAAAAA=&#10;">
              <v:path/>
              <v:fill on="f" focussize="0,0"/>
              <v:stroke on="f" joinstyle="miter"/>
              <v:imagedata r:id="rId51" o:title=""/>
              <o:lock v:ext="edit" aspectratio="t"/>
            </v:shape>
          </v:group>
        </w:pict>
      </w:r>
      <w:r>
        <w:rPr>
          <w:rFonts w:hint="default" w:ascii="Times New Roman" w:hAnsi="Times New Roman" w:cs="Times New Roman"/>
          <w:sz w:val="20"/>
        </w:rPr>
        <w:t xml:space="preserve"> </w:t>
      </w:r>
      <w:r>
        <w:rPr>
          <w:rFonts w:hint="default" w:ascii="Times New Roman" w:hAnsi="Times New Roman" w:cs="Times New Roman"/>
          <w:position w:val="-17"/>
          <w:lang w:val="en-US" w:bidi="ar-SA"/>
        </w:rPr>
        <w:drawing>
          <wp:inline distT="0" distB="0" distL="0" distR="0">
            <wp:extent cx="341630" cy="269875"/>
            <wp:effectExtent l="0" t="0" r="1270" b="15875"/>
            <wp:docPr id="1948" name="图片 19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8" name="图片 1948"/>
                    <pic:cNvPicPr>
                      <a:picLocks noChangeAspect="1" noChangeArrowheads="1"/>
                    </pic:cNvPicPr>
                  </pic:nvPicPr>
                  <pic:blipFill>
                    <a:blip r:embed="rId52"/>
                    <a:srcRect/>
                    <a:stretch>
                      <a:fillRect/>
                    </a:stretch>
                  </pic:blipFill>
                  <pic:spPr>
                    <a:xfrm>
                      <a:off x="0" y="0"/>
                      <a:ext cx="341630" cy="269875"/>
                    </a:xfrm>
                    <a:prstGeom prst="rect">
                      <a:avLst/>
                    </a:prstGeom>
                    <a:noFill/>
                    <a:ln>
                      <a:noFill/>
                    </a:ln>
                  </pic:spPr>
                </pic:pic>
              </a:graphicData>
            </a:graphic>
          </wp:inline>
        </w:drawing>
      </w:r>
      <w:r>
        <w:rPr>
          <w:rFonts w:hint="default" w:ascii="Times New Roman" w:hAnsi="Times New Roman" w:cs="Times New Roman"/>
          <w:sz w:val="20"/>
        </w:rPr>
        <w:t xml:space="preserve">    </w:t>
      </w:r>
      <w:r>
        <w:rPr>
          <w:rFonts w:hint="default" w:ascii="Times New Roman" w:hAnsi="Times New Roman" w:cs="Times New Roman"/>
          <w:spacing w:val="-18"/>
          <w:sz w:val="20"/>
        </w:rPr>
        <w:t xml:space="preserve"> </w:t>
      </w:r>
      <w:r>
        <w:rPr>
          <w:rFonts w:hint="default" w:ascii="Times New Roman" w:hAnsi="Times New Roman" w:cs="Times New Roman"/>
          <w:sz w:val="24"/>
        </w:rPr>
        <w:t>0</w:t>
      </w:r>
      <w:r>
        <w:rPr>
          <w:rFonts w:hint="default" w:ascii="Times New Roman" w:hAnsi="Times New Roman" w:cs="Times New Roman"/>
          <w:spacing w:val="31"/>
          <w:sz w:val="24"/>
        </w:rPr>
        <w:t xml:space="preserve"> </w:t>
      </w:r>
      <w:r>
        <w:rPr>
          <w:rFonts w:hint="default" w:ascii="Times New Roman" w:hAnsi="Times New Roman" w:cs="Times New Roman"/>
          <w:spacing w:val="38"/>
          <w:sz w:val="24"/>
        </w:rPr>
        <w:t>区</w:t>
      </w:r>
      <w:r>
        <w:rPr>
          <w:rFonts w:hint="default" w:ascii="Times New Roman" w:hAnsi="Times New Roman" w:cs="Times New Roman"/>
          <w:sz w:val="24"/>
        </w:rPr>
        <w:t>；</w:t>
      </w:r>
      <w:r>
        <w:rPr>
          <w:rFonts w:hint="default" w:ascii="Times New Roman" w:hAnsi="Times New Roman" w:cs="Times New Roman"/>
          <w:sz w:val="24"/>
        </w:rPr>
        <w:tab/>
      </w:r>
      <w:r>
        <w:rPr>
          <w:rFonts w:hint="default" w:ascii="Times New Roman" w:hAnsi="Times New Roman" w:cs="Times New Roman"/>
          <w:sz w:val="24"/>
        </w:rPr>
        <w:t>1</w:t>
      </w:r>
      <w:r>
        <w:rPr>
          <w:rFonts w:hint="default" w:ascii="Times New Roman" w:hAnsi="Times New Roman" w:cs="Times New Roman"/>
          <w:spacing w:val="31"/>
          <w:sz w:val="24"/>
        </w:rPr>
        <w:t xml:space="preserve"> </w:t>
      </w:r>
      <w:r>
        <w:rPr>
          <w:rFonts w:hint="default" w:ascii="Times New Roman" w:hAnsi="Times New Roman" w:cs="Times New Roman"/>
          <w:spacing w:val="40"/>
          <w:sz w:val="24"/>
        </w:rPr>
        <w:t>区</w:t>
      </w:r>
      <w:r>
        <w:rPr>
          <w:rFonts w:hint="default" w:ascii="Times New Roman" w:hAnsi="Times New Roman" w:cs="Times New Roman"/>
          <w:sz w:val="24"/>
        </w:rPr>
        <w:t>；</w:t>
      </w:r>
      <w:r>
        <w:rPr>
          <w:rFonts w:hint="default" w:ascii="Times New Roman" w:hAnsi="Times New Roman" w:cs="Times New Roman"/>
          <w:sz w:val="24"/>
        </w:rPr>
        <w:tab/>
      </w:r>
      <w:r>
        <w:rPr>
          <w:rFonts w:hint="default" w:ascii="Times New Roman" w:hAnsi="Times New Roman" w:cs="Times New Roman"/>
          <w:sz w:val="24"/>
        </w:rPr>
        <w:t>2</w:t>
      </w:r>
      <w:r>
        <w:rPr>
          <w:rFonts w:hint="default" w:ascii="Times New Roman" w:hAnsi="Times New Roman" w:cs="Times New Roman"/>
          <w:spacing w:val="28"/>
          <w:sz w:val="24"/>
        </w:rPr>
        <w:t xml:space="preserve"> </w:t>
      </w:r>
      <w:r>
        <w:rPr>
          <w:rFonts w:hint="default" w:ascii="Times New Roman" w:hAnsi="Times New Roman" w:cs="Times New Roman"/>
          <w:sz w:val="24"/>
        </w:rPr>
        <w:t>区；</w:t>
      </w:r>
    </w:p>
    <w:p>
      <w:pPr>
        <w:ind w:firstLine="440" w:firstLineChars="200"/>
        <w:rPr>
          <w:rFonts w:hint="default" w:ascii="Times New Roman" w:hAnsi="Times New Roman" w:cs="Times New Roman"/>
        </w:rPr>
      </w:pPr>
    </w:p>
    <w:p>
      <w:pPr>
        <w:spacing w:line="500" w:lineRule="exact"/>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汽油加油机爆炸危险区域划分（图 C.0.5），应符合下列规定：</w:t>
      </w:r>
    </w:p>
    <w:p>
      <w:pPr>
        <w:pStyle w:val="37"/>
        <w:numPr>
          <w:ilvl w:val="0"/>
          <w:numId w:val="6"/>
        </w:numPr>
        <w:autoSpaceDE/>
        <w:autoSpaceDN/>
        <w:spacing w:line="500" w:lineRule="exact"/>
        <w:ind w:left="567" w:hanging="567"/>
        <w:jc w:val="both"/>
        <w:rPr>
          <w:rFonts w:hint="default" w:ascii="Times New Roman" w:hAnsi="Times New Roman" w:cs="Times New Roman"/>
          <w:sz w:val="28"/>
          <w:szCs w:val="28"/>
        </w:rPr>
      </w:pPr>
      <w:r>
        <w:rPr>
          <w:rFonts w:hint="default" w:ascii="Times New Roman" w:hAnsi="Times New Roman" w:cs="Times New Roman"/>
          <w:sz w:val="28"/>
          <w:szCs w:val="28"/>
        </w:rPr>
        <w:t>加油机壳体内部空间应划分为 1 区。</w:t>
      </w:r>
    </w:p>
    <w:p>
      <w:pPr>
        <w:pStyle w:val="37"/>
        <w:numPr>
          <w:ilvl w:val="0"/>
          <w:numId w:val="6"/>
        </w:numPr>
        <w:autoSpaceDE/>
        <w:autoSpaceDN/>
        <w:spacing w:line="500" w:lineRule="exact"/>
        <w:ind w:left="567" w:hanging="567"/>
        <w:jc w:val="both"/>
        <w:rPr>
          <w:rFonts w:hint="default" w:ascii="Times New Roman" w:hAnsi="Times New Roman" w:cs="Times New Roman"/>
          <w:sz w:val="28"/>
          <w:szCs w:val="28"/>
        </w:rPr>
      </w:pPr>
      <w:r>
        <w:rPr>
          <w:rFonts w:hint="default" w:ascii="Times New Roman" w:hAnsi="Times New Roman" w:cs="Times New Roman"/>
          <w:sz w:val="28"/>
          <w:szCs w:val="28"/>
        </w:rPr>
        <w:t>以加油机中心线为中心线，以半径为 3m的地面区域为底面和以加油机顶部以上 0.15m 半径为 1.5m的平面为顶面的圆台形空间，应划分为 2 区。</w:t>
      </w:r>
    </w:p>
    <w:p>
      <w:pPr>
        <w:ind w:firstLine="440" w:firstLineChars="200"/>
        <w:rPr>
          <w:rFonts w:hint="default" w:ascii="Times New Roman" w:hAnsi="Times New Roman" w:cs="Times New Roman"/>
        </w:rPr>
      </w:pPr>
    </w:p>
    <w:p>
      <w:pPr>
        <w:ind w:firstLine="440" w:firstLineChars="200"/>
        <w:jc w:val="center"/>
        <w:rPr>
          <w:rFonts w:hint="default" w:ascii="Times New Roman" w:hAnsi="Times New Roman" w:cs="Times New Roman"/>
        </w:rPr>
      </w:pPr>
      <w:r>
        <w:drawing>
          <wp:inline distT="0" distB="0" distL="114300" distR="114300">
            <wp:extent cx="2756535" cy="2748915"/>
            <wp:effectExtent l="0" t="0" r="5715" b="13335"/>
            <wp:docPr id="2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
                    <pic:cNvPicPr>
                      <a:picLocks noChangeAspect="1"/>
                    </pic:cNvPicPr>
                  </pic:nvPicPr>
                  <pic:blipFill>
                    <a:blip r:embed="rId53"/>
                    <a:stretch>
                      <a:fillRect/>
                    </a:stretch>
                  </pic:blipFill>
                  <pic:spPr>
                    <a:xfrm>
                      <a:off x="0" y="0"/>
                      <a:ext cx="2756535" cy="2748915"/>
                    </a:xfrm>
                    <a:prstGeom prst="rect">
                      <a:avLst/>
                    </a:prstGeom>
                    <a:noFill/>
                    <a:ln w="9525">
                      <a:noFill/>
                      <a:miter/>
                    </a:ln>
                  </pic:spPr>
                </pic:pic>
              </a:graphicData>
            </a:graphic>
          </wp:inline>
        </w:drawing>
      </w:r>
    </w:p>
    <w:p>
      <w:pPr>
        <w:ind w:firstLine="440" w:firstLineChars="200"/>
        <w:rPr>
          <w:rFonts w:hint="default" w:ascii="Times New Roman" w:hAnsi="Times New Roman" w:cs="Times New Roman"/>
        </w:rPr>
      </w:pPr>
    </w:p>
    <w:p>
      <w:pPr>
        <w:jc w:val="center"/>
        <w:rPr>
          <w:rFonts w:hint="default" w:ascii="Times New Roman" w:hAnsi="Times New Roman" w:cs="Times New Roman"/>
          <w:sz w:val="28"/>
          <w:szCs w:val="28"/>
        </w:rPr>
      </w:pPr>
      <w:r>
        <w:rPr>
          <w:rFonts w:hint="default" w:ascii="Times New Roman" w:hAnsi="Times New Roman" w:cs="Times New Roman"/>
          <w:sz w:val="28"/>
          <w:szCs w:val="28"/>
        </w:rPr>
        <w:t>图 C.0.5</w:t>
      </w:r>
      <w:r>
        <w:rPr>
          <w:rFonts w:hint="default" w:ascii="Times New Roman" w:hAnsi="Times New Roman" w:cs="Times New Roman"/>
          <w:sz w:val="28"/>
          <w:szCs w:val="28"/>
        </w:rPr>
        <w:tab/>
      </w:r>
      <w:r>
        <w:rPr>
          <w:rFonts w:hint="default" w:ascii="Times New Roman" w:hAnsi="Times New Roman" w:cs="Times New Roman"/>
          <w:sz w:val="28"/>
          <w:szCs w:val="28"/>
        </w:rPr>
        <w:t>汽油加油机爆炸危险区域划分</w:t>
      </w:r>
    </w:p>
    <w:p>
      <w:pPr>
        <w:ind w:firstLine="440" w:firstLineChars="200"/>
        <w:rPr>
          <w:rFonts w:hint="default" w:ascii="Times New Roman" w:hAnsi="Times New Roman" w:cs="Times New Roman"/>
        </w:rPr>
      </w:pPr>
    </w:p>
    <w:p>
      <w:pPr>
        <w:ind w:firstLine="440" w:firstLineChars="200"/>
        <w:rPr>
          <w:rFonts w:hint="default" w:ascii="Times New Roman" w:hAnsi="Times New Roman" w:cs="Times New Roman"/>
        </w:rPr>
      </w:pPr>
      <w:r>
        <w:rPr>
          <w:rFonts w:hint="default" w:ascii="Times New Roman" w:hAnsi="Times New Roman" w:cs="Times New Roman"/>
          <w:lang w:val="en-US" w:bidi="ar-SA"/>
        </w:rPr>
        <w:pict>
          <v:group id="Group 37" o:spid="_x0000_s1034" o:spt="203" style="position:absolute;left:0pt;margin-left:214.8pt;margin-top:1.7pt;height:21.6pt;width:30pt;mso-position-horizontal-relative:margin;z-index:-251654144;mso-width-relative:page;mso-height-relative:page;" coordorigin="7164,-32" coordsize="600,432203" o:gfxdata="UEsDBAoAAAAAAIdO4kAAAAAAAAAAAAAAAAAEAAAAZHJzL1BLAwQUAAAACACHTuJAGzXxi9QAAAAE&#10;AQAADwAAAGRycy9kb3ducmV2LnhtbE2PQUvDQBSE74L/YXmCN7ubakOJeSlS1FMRbAXxtk1ek9Ds&#10;25DdJu2/93myx2GGmW/y1dl1aqQhtJ4RkpkBRVz6quUa4Wv39rAEFaLlynaeCeFCAVbF7U1us8pP&#10;/EnjNtZKSjhkFqGJsc+0DmVDzoaZ74nFO/jB2ShyqHU12EnKXafnxqTa2ZZlobE9rRsqj9uTQ3if&#10;7PTymLyOm+NhffnZLT6+Nwkh3t8l5hlUpHP8D8MfvqBDIUx7f+IqqA5BjkSEeQpKzNSI3CM8LZag&#10;i1xfwxe/UEsDBBQAAAAIAIdO4kAQWzhmNwcAAEEiAAAOAAAAZHJzL2Uyb0RvYy54bWztWuuOm0YY&#10;/V+p74D42coxN5s1Wm+03U2iSGm7atwHwIBtVAx0wOtNqr57zzfDZYb1EGerJm2TSFmDOQznu83M&#10;+fDl84d9ZtwnrEqLfGnazyzTSPKoiNN8uzR/Xb2cXJhGVYd5HGZFnizNd0llPr/69pvLYxkkTrEr&#10;sjhhBgbJq+BYLs1dXZfBdFpFu2QfVs+KMslxcVOwfVjjlG2nMQuPGH2fTR3Lmk+PBYtLVkRJVeHb&#10;W3HRvOLjbzZJVP+82VRJbWRLE9xq/pfxv2v6O726DIMtC8tdGjU0wiew2Idpjod2Q92GdWgcWPpo&#10;qH0asaIqNvWzqNhPi80mjRJuA6yxrYE1r1hxKLkt2+C4LTs3wbUDPz152Oin+ztmpPHS9OCePNwj&#10;RvyxhuuTc47lNgDmFSvflnes+WIrzsjehw3b0ycsMR64W991bk0eaiPCl+6FbVkYPcIlx/dcp3F7&#10;tENs6C7fnnumgasT1xERiXYvmpvn7Z24j65N22dOiVrH5Fgif6reRdXfc9HbXVgm3PMVmd+6yG5d&#10;dH2oC44xPFu4ieM6H1VBBXcZ6+OPRQyPhoDz9Bi4a+H68AsZbs88118I41u/2f5i5rvCbzYuX3iK&#10;A8IgOlT1q6TgAQjv31S1yOYYRzwX4yagKzxks8+Q2N9PDMsgdxt4NGeOlO1gME/AvpsaK8s4Gg2D&#10;Zth2NKeF8dHcxcJQ6PfjgXs3HsF2Rm+G/FwEX6bna+jNWhjR87T05i3sQ/T8FojxxuhhCjuH3qKF&#10;Eb0LLT1bDcaI+2w5HmMEbTUivs6BthyQle3oOaoRQVnqQmzLQSGcLsa2GhZ9DspRWdlzPUc1LGMc&#10;5ciMccTEpETans9O1okjB2bljFSKGpgRjo4cmlGOami0fnTkwKwcfbk4amDGOMqhGeWohkbPUQ7M&#10;ytHXjKsGZqRmXDk0YzWD1eSsWLtyYFZIcN2s6KqBGeMoh2aUoxoabV1jqW5soanH1deMqwZmjKMc&#10;mjGOtG04Z3bEOilx9PQ146mBGclHTw7NWD56ami0fvTkwKw8fc14amDGOMqhGXLEXmbbLtbhrl2/&#10;o4e8WcBxZIS0kbb45qEsKtotreBJbBlWbrMbAIpWew0YJhGYb+bwvHEwgk5gLDxipzWOpuWEw2fn&#10;weEKDufbnA9yoUmW4JgZzyFD8x2Hn2ep05iK+eKc0WkWoNHd80ylguTw80yl2iA4EvocMpSmHK6Y&#10;KhzaZA6D8BlKHmYakDxrekQYlGFNCdceGkeIt2a7ucOh2G3S1X1xn6wKjqsp+yaOYwnrsGX1/YuG&#10;cQ/LcgVuz0/BW1B/WylGl+Gu1xrYw9obG7hMpoe3oPazB6Nu4TnabHdjt6D+GT28M7SH97D2xhPw&#10;3i8tqP3swR2Vx+D+GQ1c9koP72GD0WV4z1yAkCYUey6kuiSg3JG0RF68TLOM50mWU2pg/aUMqIos&#10;jekSP2Hb9U3GjPuQpDX/1+SCAoOEzWOR1RnmKag2oY1IWlbBuojfQSexQghzNBJwsCvYe9M4QpQv&#10;zer3Q8gS08he55B0C9uj9abmJ97Mpw0bk6+s5SthHmGopVmbmEXp8KYWyv9QsnS7w5NsblZekJzb&#10;pCSfOD/BqjmBqry6LNMowP9GgePokbz8cKcCd9UH2CJGy+/v0uiOiRNJYmL1EyoclwluwGDwws1c&#10;iIp7EMM0elNEv1VGXtzssEYk11WJmieT+q8YK467JIzhOTHNqaNM6VThsc7Sso0vHTf2wmuDfsMJ&#10;a0Uv47aIDvskr0VzhiVZWKMzVO3SskKogmS/TuKlyV7HwvWQus0sRKKXN0z+cC6uLWvh/DC5mVk3&#10;E8/yX0yuF54/8a0Xvmd5F/aNffMnBc72gkOVwA1hdlumbffG9h6xPdkdafpIou/C+zdNKjdZDEK8&#10;SFqKqBFyiUj96Bc4mxdIVbOkjlBPYbBBZTTfA9xd4G7uPUtOp+YA3TFoB9BGmU9Q2CgQizAgr/AW&#10;CukD3j9Z8HTA+O29JRNNAIMO4FoQI+cEbUMA0BZCXyu1rXwBIK/QniBnjlNRq/98ewU2itzv2ysu&#10;X0FpqkCNfJHtlZmr095wV99eAUwnvQe739nCPalqsavohju7vTKy9cXi2Y033PnK3R9Vk/g6erIg&#10;Ob+9MsJPaa+MERy2Vxx7cdKBT22vjMgwpb0yJsOG7ZU52m0nW3xyVD5ze0XHkXb+XeZ85vaK62ha&#10;QEq1nN9eGYm1I4dmLNbOoGJ07T7SOJIfz26vzLQTjhyYmXa+GbZWdPye2lrR85ODovLD4vZVaut6&#10;BFRwJCj/xVIb8UMz4hOr2+6Nk15pkRr7CElpz7C/Fwr0LB3nd/ChjjulzC3qS33E6L0yd7t3S19V&#10;4n9BJWJLp6pEdHb/jyrR4VKmlWBCD33xKtGj1yEo88XgfbFLryBIJLp4Z45swJz5SUUifyOP3ynw&#10;Jze/qaAfQsjnOJZ/+XH1F1BLAwQKAAAAAACHTuJAAAAAAAAAAAAAAAAACgAAAGRycy9tZWRpYS9Q&#10;SwMEFAAAAAgAh07iQIgTeJ7wAwAA6wMAABQAAABkcnMvbWVkaWEvaW1hZ2UyLnBuZwHrAxT8iVBO&#10;Rw0KGgoAAAANSUhEUgAAACwAAAAoCAYAAACFFRgXAAAABmJLR0QA/wD/AP+gvaeTAAAACXBIWXMA&#10;AA7EAAAOxAGVKw4bAAADi0lEQVRYhc2YSUwTYRiGP6axHSJNSxQDhYgeoCSKF7ag4sXSQlwTD+xx&#10;P7JHxeXGUiDuR/a4H0hYo9RyoYBxu1BIRA+0pKKhECEdIh3CzO9pzFCn7Uxn6Hh4k87/f2/yHKZ5&#10;8g0ghOB/D0mSysLCwpcAID9MsHg8HnVubu5bAEDNzc03ZAcKFLfbHZOenv5JoVBsdnV1XUQIgexQ&#10;/uJwOPYlJyd/xXF8fXBw8BRzLjsYV+x2e2pcXNwPrVa7MjExcYR9Jzucb2w2W45Go1mNj4//Pj09&#10;fdD3XnZAdvr7+8/gOL6u1+tnnU5nIteM7JBMOjo6LmMYRmVmZn5YWlra7W9OdlCapiOamppuAgAy&#10;mUwjBEFEBZqXFZaiKKyiouIRAKDi4uLnJEkqg3VkgyVJUllUVPQCAFB1dfV9iqIwPj1ZYAmCiGLb&#10;i6bpCL6vT9hhuezFJ4uLi3uys7PfhRXWn72CZW5ubn9SUtI3lUrlDRss217j4+NH+fampqYOxcbG&#10;/oyOjv41OTl5OCywjL10Ot0Cl738ZWxs7BhjvZmZmQMIheFPNzAwcDqYvbjS19d3VqVSeVNSUr7M&#10;z8/vZc63FZavvXzT3t5+BcMwKisr6/3y8vIu9t22gAq1F7vX2Nh4CwBQXl7em7W1tZ2+M5LDhmIv&#10;pldeXv4YAFBpaenTjY2NHVxzksKy7VVVVfWAr71IklQWFBS8AgBUU1NzL1BPMliCIKKMRqMFAJDZ&#10;bK7jay+Px6M2GAxWAEAtLS3Xg/UkgXW73TEZGRkfQ7FXWlraZ4VCsdnd3X2BT0c0rFh74Ti+PjQ0&#10;dJJvTxSs3W5P1el0C6HYy9/OFigulyshZFibzZaj1WpXpLAX355arfaEBCvWXnq9fpZtLyE9wbBi&#10;7SW019bWdpVtPd6gNE1HmM3mOjH2MplMI1z28tdraGi47Ws9XrAURWGVlZUPxdirpKTkmRTWC1oW&#10;Yy/mi6OQnc3r9aoY69XW1t717QUsS2EvITsbu9fa2nqNa8ZvOVR7sXc2vvZCaKv1enp6zvub4zx0&#10;Op2JodjL4XDsC8VejPUiIyN/Dw8Pnwg0+89BuO3lu7MFm9/yIIe9NBrNakJCgotv7+8PKewlxc7G&#10;C7izs/OSnPbi2+vt7T0HUthLSI+xV35+/msh1quvr78DAAiE2gshBKOjo8eF2gshBFar1RBsZ+OK&#10;xWIxAgAqKyt78geTyhqe685xAgAAAABJRU5ErkJgglBLAwQUAAAACACHTuJAjTt/s4gGAACDBgAA&#10;FAAAAGRycy9tZWRpYS9pbWFnZTEucG5nAYMGfPmJUE5HDQoaCgAAAA1JSERSAAAAKwAAACcIBgAA&#10;AJafsbsAAAAGYktHRAD/AP8A/6C9p5MAAAAJcEhZcwAADsQAAA7EAZUrDhsAAAYjSURBVFiFxdh5&#10;TJNnHMDxX9+eXC3lqEDBCkMQB8KGHF1gw4mwwELYIEOBIIu6jRBMmAFmwjaPpAKZJCPEYyMyAm4Y&#10;UUKECGMOgVjAoVzCYAiUo3TlLKXQ+332l2abok+V4483ad/3/T7P503evG+fAp/PnzIajQRCCHA2&#10;iUQi8PT0HAQANDs7a4fbLS4uWoeGhrYAAGprawvG7bRaLePQoUM/AwACkiQpuGFfX5+3k5OTlMPh&#10;KFpaWkJxO6lU6uTj49NLp9N1lZWVCbidUqm0OnDgwK8AgPLy8nKwIoQQtLa2hlhbWy86OTlJe3t7&#10;fXC7oaEhD4FAILG0tFxubGwMx+3kcjlv7969f1CpVENpaWkqQgiwwpqamhgWi6X29PQclEgkAtwJ&#10;Ozo6Au3s7Gbt7e1nOjs7/XG70dFRV3d392EzM7PV2tra6Cf7XxqWlJQcIQjCGBgY2GHKPdrQ0BBh&#10;YWGhcnV1HR0eHnbH7bq7u30dHBxkXC53QSwWC/99bM2IJEmKSCQ6CQAoMjKyfnl52RJ3woqKiiQa&#10;jab39fXtnp6edsTt7t69+x6bzV5ydnae7O/v3/3/48+NjEYjkZGRUQQAKDk5uVyn09FxJywsLMwE&#10;ABQWFtakUCg4uN2NGzc+ZjKZGi8vr4GJiQmX553zzA6NRsNMSEioBAB04sSJ73AfayRJUnJycvIA&#10;AMXFxVWp1WoWLvTSpUufEwRhFAqF4rm5Odu1zvvPF6VSabV///7fAAAVFBRk4U6m0+noqamppQCA&#10;0tLSLhgMBiruBZ4+ffobAEDR0dG1Kysr5i86/+kHuVzO8/f376RSqYaysrIUXOjKyop5dHR0LQCg&#10;U6dOfYv73DYYDNS0tLQLAIAOHz78E86tBgghGBkZcXvyqKirq4vChc7Pz9sIhUIxhUIhL168+AVu&#10;p1arWfHx8dcBAGVnZ+fjXiB0dXX5bdu27W8bG5t5U16DExMTLl5eXgMMBkNbVVUVh9spFApOWFhY&#10;EwCgwsLCTNwOIQTAZrOXXFxcJgYGBrxwo/7+/t3Ozs6TbDZ7qampKQy3k8lkDr6+vt00Gk1fUVGR&#10;ZAoUIQSQlJRUMTk56YwbiMViIZfLXXBwcJB1d3f74nbDw8Pubm5uIxYWFqr6+vpIU6FP71nc7dat&#10;Wx+amZmturu7D4+Ojrridg8ePHibx+PJbW1t5zo6OgJfBWoStrS0NJVKpRr8/f075XI5D7drbGwM&#10;t7S0XBYIBJLBwUHPV4ViYUmSpOTn52cDAAoPD29UKpVWuINXVlYm0Ol0nY+PT69UKnV6HehLsUaj&#10;kcjMzCwEAHTw4MFftFotA3fgoqKiDAqFQoaGhrYsLi5avy70hVitVstITEy8CgDo+PHj35vy2s3N&#10;zT0LACg2NrZ6dXXVbD2ga2KXl5ctIyIiGgAAiUSik7gPbb1eTzt69OiPAICOHTv2g16vp60X9LnY&#10;mZkZ+4CAgPsEQRhLSkqO4A60urpqFhMTUwMAKDc396wpy6VXwo6Nje3w8PAYYrFY6pqamhjcQRYW&#10;FrghISGtFAqFLC4uTl9v5DPYnp6ePY6OjtPW1taLra2tIbgDTE1N8b29vfsYDIb22rVrn2wU9Cm2&#10;ubn5XQ6Ho+Dz+VN9fX3euPHg4KDn9u3bx62srJR37tx5fyOhCCGA6urqWCaTqTF1Mdje3h5ka2s7&#10;x+Px5A8fPnxro6EIIQCCIIxBQUHtpiwGb9++/YG5ufmKm5vbyOPHj9/YDChCCEAkEp1UqVQWuEF5&#10;eXkyjUbT+/n5dclkMofNgiJk4g+Z8+fPfwkAaN++fb8vLS2xNxOKjSVJkpKVlVUAACg+Pv66RqNh&#10;bjYUC6vT6egpKSllAIDS09OLcReDm45VqVQWUVFRdQCAzpw58/VGvJXWBTs3N2cbHBzcRhCE8fLl&#10;y59tJfKF2PHx8e27du36k8lkam7evPnRViPXxD569OhNPp8/xeFwFM3Nze9uNXBN7L17997hcrkL&#10;jo6O0z09PXu2Grcm9slicOfOnX+NjY3t2GrYmtgrV658SqVSDQEBAfdnZmbstxq1JvbcuXNfAQCK&#10;iIhoMOU/2C3BAgBKTEy8aspicKu2fwC2pzdAjjvFvgAAAABJRU5ErkJgg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CgAAAAAAh07i&#10;QAAAAAAAAAAAAAAAAAoAAABkcnMvX3JlbHMvUEsDBBQAAAAIAIdO4kAubPAAvwAAAKUBAAAZAAAA&#10;ZHJzL19yZWxzL2Uyb0RvYy54bWwucmVsc72QwYrCMBCG7wv7DmHu27Q9LLKY9iKCV3EfYEimabCZ&#10;hCSKvr2BZUFB8OZxZvi//2PW48Uv4kwpu8AKuqYFQayDcWwV/B62XysQuSAbXAKTgitlGIfPj/We&#10;Fiw1lGcXs6gUzgrmUuKPlFnP5DE3IRLXyxSSx1LHZGVEfURLsm/bb5nuGTA8MMXOKEg704M4XGNt&#10;fs0O0+Q0bYI+eeLypEI6X7srEJOlosCTcfi37JvIFuRzh+49Dt2/g3x47nADUEsDBBQAAAAIAIdO&#10;4kB557oEBAEAABMCAAATAAAAW0NvbnRlbnRfVHlwZXNdLnhtbJWRwU7DMAyG70i8Q5QralN2QAit&#10;3YGOIyA0HiBK3DaicaI4lO3tSbpNgokh7Rjb3+8vyXK1tSObIJBxWPPbsuIMUDltsK/5++apuOeM&#10;okQtR4dQ8x0QXzXXV8vNzgOxRCPVfIjRPwhBagArqXQeMHU6F6yM6Rh64aX6kD2IRVXdCeUwAsYi&#10;5gzeLFvo5OcY2XqbynsTjz1nj/u5vKrmxmY+18WfRICRThDp/WiUjOluYkJ94lUcnMpEzjM0GE83&#10;SfzMhtz57fRzwYF7SY8ZjAb2KkN8ljaZCx1IaPeFAaby/5BsaalwXWcUlG2gNmFvMB2tzqXDwrVO&#10;XRq+nqljtpi/tPkGUEsBAhQAFAAAAAgAh07iQHnnugQEAQAAEwIAABMAAAAAAAAAAQAgAAAAxhUA&#10;AFtDb250ZW50X1R5cGVzXS54bWxQSwECFAAKAAAAAACHTuJAAAAAAAAAAAAAAAAABgAAAAAAAAAA&#10;ABAAAACKEwAAX3JlbHMvUEsBAhQAFAAAAAgAh07iQIoUZjzRAAAAlAEAAAsAAAAAAAAAAQAgAAAA&#10;rhMAAF9yZWxzLy5yZWxzUEsBAhQACgAAAAAAh07iQAAAAAAAAAAAAAAAAAQAAAAAAAAAAAAQAAAA&#10;AAAAAGRycy9QSwECFAAKAAAAAACHTuJAAAAAAAAAAAAAAAAACgAAAAAAAAAAABAAAACoFAAAZHJz&#10;L19yZWxzL1BLAQIUABQAAAAIAIdO4kAubPAAvwAAAKUBAAAZAAAAAAAAAAEAIAAAANAUAABkcnMv&#10;X3JlbHMvZTJvRG9jLnhtbC5yZWxzUEsBAhQAFAAAAAgAh07iQBs18YvUAAAABAEAAA8AAAAAAAAA&#10;AQAgAAAAIgAAAGRycy9kb3ducmV2LnhtbFBLAQIUABQAAAAIAIdO4kAQWzhmNwcAAEEiAAAOAAAA&#10;AAAAAAEAIAAAACMBAABkcnMvZTJvRG9jLnhtbFBLAQIUAAoAAAAAAIdO4kAAAAAAAAAAAAAAAAAK&#10;AAAAAAAAAAAAEAAAAIYIAABkcnMvbWVkaWEvUEsBAhQAFAAAAAgAh07iQI07f7OIBgAAgwYAABQA&#10;AAAAAAAAAQAgAAAA0AwAAGRycy9tZWRpYS9pbWFnZTEucG5nUEsBAhQAFAAAAAgAh07iQIgTeJ7w&#10;AwAA6wMAABQAAAAAAAAAAQAgAAAArggAAGRycy9tZWRpYS9pbWFnZTIucG5nUEsFBgAAAAALAAsA&#10;lAIAAPsWAAAAAA==&#10;">
            <o:lock v:ext="edit"/>
            <v:shape id="AutoShape 41" o:spid="_x0000_s1038" o:spt="100" style="position:absolute;left:9370;top:-154379;height:143784;width:179573;" filled="f" coordsize="179573,143784" o:gfxdata="UEsDBAoAAAAAAIdO4kAAAAAAAAAAAAAAAAAEAAAAZHJzL1BLAwQUAAAACACHTuJAgBTHfL4AAADb&#10;AAAADwAAAGRycy9kb3ducmV2LnhtbEWPQWvCQBSE7wX/w/KEXopuElqRNKtIpVihF6P0/Mi+JqG7&#10;b2N2m+i/dwsFj8PMfMMU64s1YqDet44VpPMEBHHldMu1gtPxfbYE4QOyRuOYFFzJw3o1eSgw127k&#10;Aw1lqEWEsM9RQRNCl0vpq4Ys+rnriKP37XqLIcq+lrrHMcKtkVmSLKTFluNCgx29NVT9lL9WwW7c&#10;m+N5cX3ZmaftZ7fNMNt8oVKP0zR5BRHoEu7h//aHVvCcwt+X+APk6gZ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BTHfL4A&#10;AADbAAAADwAAAAAAAAABACAAAAAiAAAAZHJzL2Rvd25yZXYueG1sUEsBAhQAFAAAAAgAh07iQDMv&#10;BZ47AAAAOQAAABAAAAAAAAAAAQAgAAAADQEAAGRycy9zaGFwZXhtbC54bWxQSwUGAAAAAAYABgBb&#10;AQAAtwMAAAAA&#10;" path="m-2207,154778l-1607,154778m-1607,154347l-2207,154347,-2206,154347m-2207,154347l-2207,154778,-2206,154778m-1607,154778l-1607,154347e">
              <v:path o:connecttype="segments" o:connectlocs="-2207,399;-1607,399;-1607,399;-1607,-32;-2207,-32;-2206,-32;-2207,-32;-2207,399;-2206,399;-1607,399;-1607,-32;-1607,-32" o:connectangles="0,0,0,0,0,0,0,0,0,0,0,0"/>
              <v:fill on="f" focussize="0,0"/>
              <v:stroke weight="0.00236220472440945pt" joinstyle="round"/>
              <v:imagedata o:title=""/>
              <o:lock v:ext="edit"/>
            </v:shape>
            <v:shape id="Picture 40" o:spid="_x0000_s1037" o:spt="75" type="#_x0000_t75" style="position:absolute;left:7164;top:-32;height:290;width:323;" filled="f" o:preferrelative="t" stroked="f" coordsize="21600,21600" o:gfxdata="UEsDBAoAAAAAAIdO4kAAAAAAAAAAAAAAAAAEAAAAZHJzL1BLAwQUAAAACACHTuJATmHQrr0AAADb&#10;AAAADwAAAGRycy9kb3ducmV2LnhtbEWPQWsCMRSE7wX/Q3iCF9GsthRdjR4EQWQpuPXg8bF5bhY3&#10;L0sSXf33TaHQ4zAz3zDr7dO24kE+NI4VzKYZCOLK6YZrBefv/WQBIkRkja1jUvCiANvN4G2NuXY9&#10;n+hRxlokCIccFZgYu1zKUBmyGKauI07e1XmLMUlfS+2xT3DbynmWfUqLDacFgx3tDFW38m4VjO2p&#10;/FqOLwUfbef2ZV/4d1MoNRrOshWISM/4H/5rH7SCjzn8fkk/QG5+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OYdCuvQAA&#10;ANsAAAAPAAAAAAAAAAEAIAAAACIAAABkcnMvZG93bnJldi54bWxQSwECFAAUAAAACACHTuJAMy8F&#10;njsAAAA5AAAAEAAAAAAAAAABACAAAAAMAQAAZHJzL3NoYXBleG1sLnhtbFBLBQYAAAAABgAGAFsB&#10;AAC2AwAAAAA=&#10;">
              <v:path/>
              <v:fill on="f" focussize="0,0"/>
              <v:stroke on="f" joinstyle="miter"/>
              <v:imagedata r:id="rId54" o:title=""/>
              <o:lock v:ext="edit" aspectratio="t"/>
            </v:shape>
            <v:shape id="AutoShape 39" o:spid="_x0000_s1036" o:spt="100" style="position:absolute;left:9370;top:-154379;height:143784;width:179573;" filled="f" coordsize="179573,143784" o:gfxdata="UEsDBAoAAAAAAIdO4kAAAAAAAAAAAAAAAAAEAAAAZHJzL1BLAwQUAAAACACHTuJAH4r8kL4AAADb&#10;AAAADwAAAGRycy9kb3ducmV2LnhtbEWPQWvCQBSE7wX/w/KEXorZGKtIzCpSKVropbH0/Mi+JqG7&#10;b2N2a/Tfu0Khx2FmvmGKzcUacabet44VTJMUBHHldMu1gs/j62QJwgdkjcYxKbiSh8169FBgrt3A&#10;H3QuQy0ihH2OCpoQulxKXzVk0SeuI47et+sthij7Wuoehwi3RmZpupAWW44LDXb00lD1U/5aBfvh&#10;zRxPi+t8b552790uw2z7hUo9jqfpCkSgS/gP/7UPWsHzDO5f4g+Q6x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4r8kL4A&#10;AADbAAAADwAAAAAAAAABACAAAAAiAAAAZHJzL2Rvd25yZXYueG1sUEsBAhQAFAAAAAgAh07iQDMv&#10;BZ47AAAAOQAAABAAAAAAAAAAAQAgAAAADQEAAGRycy9zaGFwZXhtbC54bWxQSwUGAAAAAAYABgBb&#10;AQAAtwMAAAAA&#10;" path="m-2207,154732l-1778,154347m-2152,154778l-1672,154347m-2046,154778l-1607,154384e">
              <v:path o:connecttype="segments" o:connectlocs="-2207,353;-1778,-32;-1778,-32;-2152,399;-1672,-32;-1672,-32;-2046,399;-1607,5;-1607,5" o:connectangles="0,0,0,0,0,0,0,0,0"/>
              <v:fill on="f" focussize="0,0"/>
              <v:stroke weight="0.00236220472440945pt" joinstyle="round"/>
              <v:imagedata o:title=""/>
              <o:lock v:ext="edit"/>
            </v:shape>
            <v:shape id="Picture 38" o:spid="_x0000_s1035" o:spt="75" type="#_x0000_t75" style="position:absolute;left:7430;top:99;height:300;width:334;" filled="f" o:preferrelative="t" stroked="f" coordsize="21600,21600" o:gfxdata="UEsDBAoAAAAAAIdO4kAAAAAAAAAAAAAAAAAEAAAAZHJzL1BLAwQUAAAACACHTuJAzWO7M70AAADb&#10;AAAADwAAAGRycy9kb3ducmV2LnhtbEWPQYvCMBSE74L/ITzBi2iqiEo1CiruqjerHrw9mmdbbF5K&#10;k7XuvzfCwh6HmfmGWaxephRPql1hWcFwEIEgTq0uOFNwOe/6MxDOI2ssLZOCX3KwWrZbC4y1bfhE&#10;z8RnIkDYxagg976KpXRpTgbdwFbEwbvb2qAPss6krrEJcFPKURRNpMGCw0KOFW1ySh/Jj1EwNY2c&#10;yuP2djr0tl+T6zFZl9+JUt3OMJqD8PTy/+G/9l4rGI/h8yX8ALl8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NY7szvQAA&#10;ANsAAAAPAAAAAAAAAAEAIAAAACIAAABkcnMvZG93bnJldi54bWxQSwECFAAUAAAACACHTuJAMy8F&#10;njsAAAA5AAAAEAAAAAAAAAABACAAAAAMAQAAZHJzL3NoYXBleG1sLnhtbFBLBQYAAAAABgAGAFsB&#10;AAC2AwAAAAA=&#10;">
              <v:path/>
              <v:fill on="f" focussize="0,0"/>
              <v:stroke on="f" joinstyle="miter"/>
              <v:imagedata r:id="rId55" o:title=""/>
              <o:lock v:ext="edit" aspectratio="t"/>
            </v:shape>
          </v:group>
        </w:pict>
      </w:r>
      <w:r>
        <w:rPr>
          <w:rFonts w:hint="default" w:ascii="Times New Roman" w:hAnsi="Times New Roman" w:cs="Times New Roman"/>
          <w:lang w:val="en-US" w:bidi="ar-SA"/>
        </w:rPr>
        <w:pict>
          <v:group id="Group 42" o:spid="_x0000_s1027" o:spt="203" style="position:absolute;left:0pt;margin-left:192.4pt;margin-top:1.9pt;height:21.5pt;width:26.9pt;mso-position-horizontal-relative:page;z-index:-251655168;mso-width-relative:page;mso-height-relative:page;" coordorigin="5442,-21" coordsize="538,430203" o:gfxdata="UEsDBAoAAAAAAIdO4kAAAAAAAAAAAAAAAAAEAAAAZHJzL1BLAwQUAAAACACHTuJACP0t29cAAAAI&#10;AQAADwAAAGRycy9kb3ducmV2LnhtbE2PQUvDQBCF74L/YRnBm93E1BBiNkWKeiqCrSDepsk0Cc3O&#10;huw2af+905Pe3vCG975XrM62VxONvnNsIF5EoIgrV3fcGPjavT1koHxArrF3TAYu5GFV3t4UmNdu&#10;5k+atqFREsI+RwNtCEOuta9asugXbiAW7+BGi0HOsdH1iLOE214/RlGqLXYsDS0OtG6pOm5P1sD7&#10;jPNLEr9Om+NhffnZPX18b2Iy5v4ujp5BBTqHv2e44gs6lMK0dyeuveoNJNlS0MNVgBJ/mWQpqL2I&#10;NANdFvr/gPIXUEsDBBQAAAAIAIdO4kDgPaQI2wcAABElAAAOAAAAZHJzL2Uyb0RvYy54bWztWtuO&#10;2zYQfS/QfyD02MKxrusL1huku0kQIG0XjfsBsizbQmVJpeT1pkX/vWdI0SJlSXESNEDSXWBtXUbD&#10;w7mQZ0a+fv64T9lDzMskzxaW88y2WJxF+TrJtgvr9+Wr0dRiZRVm6zDNs3hhvY9L6/nN999dH4t5&#10;7Oa7PF3HnEFJVs6PxcLaVVUxH4/LaBfvw/JZXsQZbm5yvg8rnPLteM3DI7Tv07Fr21fjY87XBc+j&#10;uCxx9U7etG6E/s0mjqpfN5syrli6sICtEp9cfK7oc3xzHc63PCx2SVTDCD8BxT5MMgx6UnUXViE7&#10;8ORM1T6JeF7mm+pZlO/H+WaTRLGYA2bj2K3ZvOb5oRBz2c6P2+JkJpi2ZadPVhv98nDPWbJeWH5g&#10;sSzcw0diWOa7ZJxjsZ1D5jUv3hX3vL6wlWc038cN39M3ZsIehVnfn8waP1YswkXPd648GD/CLXfi&#10;2UFt9mgH39BTgY/BGO6OXEd6JNq9rB8OPEQQPelDBcYfqzHHBO2E5FggfsrGROXnmejdLixiYfmS&#10;pq9MdKVM9OJQ5UKG+VNpJiF3slE5L2Eutjr+nK9h0RDiIjxa5oLPZzC7mDlZaSJnrwznTh3HgWWE&#10;4dzAcWaGBcJ5dCir13EuPBA+vC0rGc5rHIlgXNceXcL6m32KyP5xxGwWzCYzJseuH1ByjpL7YcyW&#10;NjuyGkJLDJg0dfAaG7ka/u1pXE8JQh+J7Zh7mgeS5STnKzmJD/HQjQ/GkgMTPr8XH/x0Gb6JEvwA&#10;PsSgppDitRvfTMkRvmkvPsf0x4ABHd0jQxakOLkIoqP7ZOm4/SBNp/j2rM/Lju4Wkutzs2M6ZiAO&#10;dccsnat+kKZnhkDqvhkC6ZrOCWZTu9vZWKy0aHQH0sX0zQBIV3fOIEjTOf0R6eq+Wbr9OeOavhmI&#10;SVd3zlBMuqZzBkDqvlm6/YlD24gW5QOW9HTnDFnSM53TD9LTfbP0+hPHM30zBFJ3ziBI0zn9iePp&#10;vll6/YlD2+qFltSdMwTSN53TD9LXfbP0+xOHaIEGciAmfd05QzHpm87pz27iQ3Jssdf0J45v+mYI&#10;pO6cNkgQm63auMOd2sujx6zezHHEQmLVtmASRV4SdVrClKAPS69mBpCinb9HGFMiYUEzMN6wMNxO&#10;wtiBJO0alqZtRYgHl4nDFEJcUZph7bTUkjjWx0vA0KInxC+bqVtPFWvGJdppISDt3mVTpZQU4pdN&#10;lZKDxBHRl4ChMBXixlSlc+vI4aiC2vUPtxjqnxUNEc6LsKKAU4fsCJ5eU88dDiVjo7v7/CFe5kKu&#10;ougbOb5LezoAEP9DJkjIjVyateQngbSeIa+kmucKpV+TDyYX6NfwNPJKv/o+aXeJukj059LDaD52&#10;thfp70Tf4OjA32F9JaW+u2bboJdSCBiKAlFfncKBokirMLL8VZKmImLSjILEmYqlqMzTZE23KDBK&#10;vl3dppw9hFRxi786KAwxVLbZWgZLihULxZwsmajiLOerfP0e5RPPZb2O/gIOdjn/y2JH1OoLq/zz&#10;EPLYYumbDJXezPFp76nEiR9MiMFx/c5KvxNmEVQtrMrCekqHt5VsCBwKnmx3GMkR08pyqvI2CRVV&#10;Ap9EVZ+g2Ly5LpJojv+6MMfRWdX54QYGnqoOmIvUlj3cJ9E9lyda5Yk1RBbnuE3izBf5jodFfSqf&#10;gQ+T6G0e/VGyLL/dYbeIX5QFsp+m1FziPD/u4nANy8kFz9QyplMDxypNCuVfOq7nC6u12hAds5Ut&#10;jrs8OuzjrJI9Gx6nYYWGUblLihKumsf7VbxeWPzNWpoeBXC9HlEpLPoof7vTF7Y9c38a3Qb27ci3&#10;Jy9HL2b+ZDSxX0582586t87tP+Q4x58fyhhmCNO7IlFNHcc/Q9vZNKnbS7IdI9o6dSjXUQxAIkkU&#10;ROQImUSGfvQbjC0SpKx4XEXIp3C+QWbU1yF8uiHM3FiWjE49A3qi1SUAJZV7AiiDXLDJKqKzMsPO&#10;Rd0BDwcym9SzBZetAUYHMC2AkXHmqk1ACV+L0GUjt40LEBQZ2gAUyHEqc/W/77qAqcrYf8XjmFqB&#10;TG40tFIgRT626RIEAWgljDbC+iWcpczpU2Ujek04MM2pr4PKhBphazoZLQ4cBB7DgGIv1xsecGhD&#10;LokA09gCTKPKJL+ijFCIGyHspidFkpx3aGpzXrR/ukBhLzzpEt2VDlUtsutM2cmMDSiY8aQIt9EP&#10;6NBkFiCCiHeB0qsP0VLpUNXup3SjMnspOizE+FfAvYESLPkzSB1ZjoHR0TfleEMsJEVA7CItavti&#10;tOa+SSV86hVAUjVk1V31LbWJ0c6koPaLEg1a5O7CcidXccFBZJ49MRD1CgVL+QUMBHnYYiCi/KFt&#10;gXjKN8NAXJEaansP57Q5PDGQmoE4tm9umafXM3it09oyFb34+hkIXlidMRBhh09lIH6AzY8YSJvQ&#10;+dS27HrbZVZiH8NAplNs9n4g+OEwA5HtD12mg4EoxM1m38FA5Ks6XVOLgQBPJ6hzBnIOqsVAxMun&#10;mhc3oAwGIl481e8PdVAtBtIH6pyBnINqM5BuVCYD0WH9XxgIxTcxEERIFwOh64KDyAga4CBSzmQg&#10;T9xCtTS+ru5GgKBocQtRMH1z3MJ74hbn3Y0rG+7v2gy9iepuTEShjvT+ot0N8QsT/O5G9Hvq3wjR&#10;D3v0c9ENbH7JdPMvUEsDBAoAAAAAAIdO4kAAAAAAAAAAAAAAAAAKAAAAZHJzL21lZGlhL1BLAwQU&#10;AAAACACHTuJA3csxjpQBAACYAQAAFAAAAGRycy9tZWRpYS9pbWFnZTEucG5n6wzwc+flkuJiYGDg&#10;9fRwCQLSpiDMwQYkHz5bXACk2JK83V0Y/oPggr3LJwNFOAs8IosZGPiOgDDjVG0+aQYGRgtPF8eQ&#10;jMa71/f6tTkItD78/FI2KtmbcyFL9BaTqFtJZ2UPyUmrKP55qydSvWxGkVrlrkpHoYWXt72VZhBz&#10;/Si7+b/9uZ3ul03eM0Rc/3r8anRqZB1jB3tq5DdrnsOfZRfYnK8/Vlizizkk9OpyywnF7xL5XISe&#10;OcRpmF7Q9BIs6QhifbtoiuNsjdILXKmMWxwiGc9qeCtMMmBX4oxgnsiya131VhYl23p71QuqIasW&#10;ZIScWqAR8mpBwhQmDY6lTJ/cNBv3BGQtCJ6i9EJgKdctV81ms8BXC0RPMWU0bmKaFTjNQQVk2wY2&#10;peVztrMocX6p/Z/E6XJvwueVjXoLg1hdFwexuS4MYmddLOLgqCE6wdyL80lrEPPcRSKO7RqhF/S8&#10;JLd0BrGvDRBz4J4ieqFnEwvUGKDDgs9FM008In/jmhxr9pRyAWDAMni6+rmsc0poAgBQSwMEFAAA&#10;AAgAh07iQN4ltEWuAQAAqwEAABQAAABkcnMvbWVkaWEvaW1hZ2UzLnBuZ+sM8HPn5ZLiYmBg4PX0&#10;cAkC0kYgzMEGJOXsOzYCKbYkb3cXhv8guGDv8slAEc4Cj8hiBga+IyDMOFWbT5qBgdHb08UxJKPx&#10;7mVDvyMGAqwX8ls8zvsWNU8x2em+YoOFx7XQHey+XnkHfC9NVpr3doIA94wntx9Hek9842H/S1+Z&#10;uaHivb+hm7rSjd8lsd/ZHJZlVtl8mpt7O4+Bg2Hm85+Kpuzv/3Y2Rl7/uu7973C2tMhpv7fl3p+9&#10;7KfHUYVjL9YxMgvu5Drz/JjVs9MHjZ7d5l49o1uxe4a88zWD/W06if94Ig+qtOokTHI2TW5LrPgZ&#10;viKsx+OQ7Mamm6KrBDf/5r/SdpN3JW8xR5DwM4MlYjysQcxtbBePBSjOkrBy4Z7MuqjxJJtm70ku&#10;zc6TfJqtmkyajZpsJ3s1uU52avKdbORUtFnpcENi4qFyFXU30UNHVjhHSJSycC/mS0i8cnqzwauj&#10;kRJfL+n0VCWKue3V4V4cN6U1UP/koRXiKUDpjUDpiBnREjHnLCWPf5RkcOKQazjbGTPrjCTrZKm+&#10;0/mPrgDDmsHT1c9lnVNCEwBQSwMEFAAAAAgAh07iQAQbyh28BwAAtwcAABQAAABkcnMvbWVkaWEv&#10;aW1hZ2UyLnBuZwG3B0j4iVBORw0KGgoAAAANSUhEUgAAAEcAAAApCAYAAABnTjQ1AAAABmJLR0QA&#10;/wD/AP+gvaeTAAAACXBIWXMAAA7EAAAOxAGVKw4bAAAHV0lEQVRoge2Ye0xUdxbHz713Zphhhocj&#10;8locKkEs6iyIj5WiPEaDBFq0Yh1b2Eoa0pU0pPWxml3NVuMjrtQSCXElhLAIKFK0ghAkSqEKrKgI&#10;4oogQVCEkcURGIYZ5nHn9C+6SkVm5l69//Qm55/7O+d7zvlmJvncHwAA7tq1K91isRCICL/H/4NK&#10;TU31yMzM/NpoNAoUCsVPBEHA7w8AIhJUU1NTlUql8j5x4sTXiEhERUXVcT0Y149Go3GOiYmpBkQE&#10;mqbJ5OTkPADAgwcP7uP658xljI2NScLCwupJkqR/fWk2m6mkpKQCAMCjR4/u4XpILkKr1YrDw8N/&#10;JkmSLikp+eSVQ5PJxNuyZctZAMDjx4/v4HrYdxk6nU6kUChqSJKki4qKPkNE+E2SyWTibdq06QcA&#10;wMzMzDSuh34XodfrhdHR0dUEQVjy8/M/n3z/2mSj0cjfsGHDjwCAJ0+eTOV6+LcZExMTDrGxsZUA&#10;gLm5uV+8fDZtkcFgEMTFxVUAAObk5KRwvcTbCIPBIIiPjy8DAMzOzv5y6vkbi/V6vTAmJqaKIAhL&#10;Xl5eMtfLsBlGo5GfkJBQCgCYlZX11etyZhTR6XSitWvXXiEIwlJQUJDE9VJshMlk4imVymIAwIyM&#10;jG+my7NKbHx83DEyMrKWJEm6uLhYyfVyTMJsNlOJiYmFAIDp6em73pRrtahWqxWvXr36GkVR5tLS&#10;0gSul7QnaJomt27d+m8AwCNHjvxtpnybxDUajVNoaGgjj8czXbx4cT3Xy9pqTEpKSg4A4IEDB/5h&#10;TY3NTUZGRlxWrFjRxOfzjRUVFXFcL21NWCwWYtu2bf8CANy3b99Ba+vsajY8POy6dOnS2wKBwHD5&#10;8uV1XC8/kzFpaWmZAIB79uw5asvVjN1N1Wq1NDg4uEUoFOqvXr26hmsTpjNm+/bt3wMA7tix47it&#10;d1aMmg8NDbnJ5fI2kUikq6uri+DajKnG7N69+58AgGlpaZn2XObB3bt3/8hkiMHBQffAwMB2sVis&#10;vX79+iquTZk0Zu/evYcAAFNTU0/ae8sJAICFhYWJTIZRqVSeAQEBnRKJZKyxsTGUa3P279//LQBg&#10;SkpKDk3TpL06wBbcPX369A/+/v5dzs7Oozdv3lzOlTGHDx/+OwBgcnJyHhNjEBFYhbsnT57MnTdv&#10;3iNXV9fh5ubmkHdtzLFjx/4KAJiYmFhoNpspe3VomiZ37tz5HSC+CndlZWXxTAbs7e31lclkj6VS&#10;qbq1tTXoXRmTkZHxDQCgUqksNplMPCbGTMLiry9fhrvKyspYJoN2d3f7+fj49Lm5uQ3du3dv8ds2&#10;Jisr6ysAwISEhFKj0ci3V2cqLL5yyCbcdXV1+Xt7e/e7u7sPtre3B74tY06dOvUXAMD169dfZGrM&#10;VFj8TRKbcNfR0bHAw8Pjmaenp6qzszOAbWNyc3O/AACMi4urmJiYcGBizOtg8bXJbMLd/fv3F86Z&#10;M+d/3t7e/V1dXf5sGZOfn/85QRCWdevWXdbr9UImxkwHi9MWsQl3bW1t8tmzZz+fO3fuk0ePHs1j&#10;akxRUdFnJEnSa9asuarT6URMjHkTLL6xmE24a2lpCZ41a9YLX1/f3t7eXl97dc6dO7eZJEk6MjKy&#10;dnx83JHJTDPB4owCbMLd7du3l7q4uIz4+fl19/X1+dhaf/78+Y0URZlXrVp1fWxsTMJkFmtg0Soh&#10;NuGuqalphZOTk2b+/PkP+/v7va2tKy8v/4jH45lCQ0MbNRqNE5MZrIVFqwXZhLuGhoYPJBLJ2IIF&#10;CzpUKpXnTPmVlZWxAoHAsHz58psjIyMuTHpPwuLmzZvPzQSLNgmzCXfXrl1b7ejoOL5w4cL7g4OD&#10;7tPlVVdXRzs4OEyEhIQ0v3jxYhaTnpOwuHHjxvPWMJHNDR4+fDjfy8trgA24q62tjRSJRDq5XN72&#10;/Pnz2VPPa2pqFEKhUB8UFNSqVqulTHplZ2d/CQAYHx9fZjAYBNbU2NXowYMH77MFd1euXFnr4OAw&#10;ERwc3PKyAXV1dREikUi3ePHie0NDQ25MekzCYmxsbKUtsGh3QzbhrqqqKkYgEBiWLVt2a3h42LW+&#10;vj5MLBZrAwMD2589e+bBRPv06dN/JgjCEh0dXW0rLNrdFJFduLt06dKHfD7fuGjRov9KJBJNQEBA&#10;58DAgBcTzTNnznxKkiStUChq7IFFYPJNgohw586dJWzAHSJCenr6TgBAoVCo7+joYPR3LSkp+YSi&#10;KHNERESdVqsV26MBAIBM4e7WrVvLmMAdIkJzc3OIq6vrsLu7+yBFUebw8PCf7V3qwoULH1MUZQ4L&#10;C6tnAovg5eU1wAbc3bhx40/2wB0iQmtra5BUKlXLZLLHPT097509e3YLSZJ0VFTUT7Z+IpSXl3/E&#10;5/ONK1eu/M/o6Kgzk52gp6fnPZlM9lgul7cxvXNtaGj4QCwWa5VKZbG1NRaLhViyZMkdHx+fvu7u&#10;br/J9wUFBUkEQVgOHTq011qt0dFRZ6lUqmYDFhERfgEtpn3sFGYnXwAAAABJRU5ErkJgg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CgAAAAAAh07iQAAAAAAAAAAAAAAAAAoAAABkcnMvX3JlbHMvUEsDBBQAAAAIAIdO4kA3J0dhxgAA&#10;ACkCAAAZAAAAZHJzL19yZWxzL2Uyb0RvYy54bWwucmVsc72RwWoCMRCG70LfIcy9m90ViohZLyJ4&#10;FfsAQzKbDW4mIYmlvr2BUqgg9eZxZvi//4PZbL/9LL4oZRdYQde0IIh1MI6tgs/T/n0FIhdkg3Ng&#10;UnClDNvhbbE50oylhvLkYhaVwlnBVEpcS5n1RB5zEyJxvYwheSx1TFZG1Ge0JPu2/ZDpLwOGO6Y4&#10;GAXpYJYgTtdYm5+zwzg6TbugL564PKiQztfuCsRkqSjwZBz+LJdNZAvysUP/Gof+P4fuNQ7dr4O8&#10;e/BwA1BLAwQUAAAACACHTuJAeee6BAQBAAATAgAAEwAAAFtDb250ZW50X1R5cGVzXS54bWyVkcFO&#10;wzAMhu9IvEOUK2pTdkAIrd2BjiMgNB4gStw2onGiOJTt7Um6TYKJIe0Y29/vL8lytbUjmyCQcVjz&#10;27LiDFA5bbCv+fvmqbjnjKJELUeHUPMdEF8111fLzc4DsUQj1XyI0T8IQWoAK6l0HjB1OhesjOkY&#10;euGl+pA9iEVV3QnlMALGIuYM3ixb6OTnGNl6m8p7E489Z4/7ubyq5sZmPtfFn0SAkU4Q6f1olIzp&#10;bmJCfeJVHJzKRM4zNBhPN0n8zIbc+e30c8GBe0mPGYwG9ipDfJY2mQsdSGj3hQGm8v+QbGmpcF1n&#10;FJRtoDZhbzAdrc6lw8K1Tl0avp6pY7aYv7T5BlBLAQIUABQAAAAIAIdO4kB557oEBAEAABMCAAAT&#10;AAAAAAAAAAEAIAAAACwXAABbQ29udGVudF9UeXBlc10ueG1sUEsBAhQACgAAAAAAh07iQAAAAAAA&#10;AAAAAAAAAAYAAAAAAAAAAAAQAAAA6RQAAF9yZWxzL1BLAQIUABQAAAAIAIdO4kCKFGY80QAAAJQB&#10;AAALAAAAAAAAAAEAIAAAAA0VAABfcmVscy8ucmVsc1BLAQIUAAoAAAAAAIdO4kAAAAAAAAAAAAAA&#10;AAAEAAAAAAAAAAAAEAAAAAAAAABkcnMvUEsBAhQACgAAAAAAh07iQAAAAAAAAAAAAAAAAAoAAAAA&#10;AAAAAAAQAAAABxYAAGRycy9fcmVscy9QSwECFAAUAAAACACHTuJANydHYcYAAAApAgAAGQAAAAAA&#10;AAABACAAAAAvFgAAZHJzL19yZWxzL2Uyb0RvYy54bWwucmVsc1BLAQIUABQAAAAIAIdO4kAI/S3b&#10;1wAAAAgBAAAPAAAAAAAAAAEAIAAAACIAAABkcnMvZG93bnJldi54bWxQSwECFAAUAAAACACHTuJA&#10;4D2kCNsHAAARJQAADgAAAAAAAAABACAAAAAmAQAAZHJzL2Uyb0RvYy54bWxQSwECFAAKAAAAAACH&#10;TuJAAAAAAAAAAAAAAAAACgAAAAAAAAAAABAAAAAtCQAAZHJzL21lZGlhL1BLAQIUABQAAAAIAIdO&#10;4kDdyzGOlAEAAJgBAAAUAAAAAAAAAAEAIAAAAFUJAABkcnMvbWVkaWEvaW1hZ2UxLnBuZ1BLAQIU&#10;ABQAAAAIAIdO4kAEG8odvAcAALcHAAAUAAAAAAAAAAEAIAAAAPsMAABkcnMvbWVkaWEvaW1hZ2Uy&#10;LnBuZ1BLAQIUABQAAAAIAIdO4kDeJbRFrgEAAKsBAAAUAAAAAAAAAAEAIAAAABsLAABkcnMvbWVk&#10;aWEvaW1hZ2UzLnBuZ1BLBQYAAAAADAAMANYCAABhGAAAAAA=&#10;">
            <o:lock v:ext="edit"/>
            <v:shape id="AutoShape 48" o:spid="_x0000_s1033" o:spt="100" style="position:absolute;left:20195;top:-234167;height:225119;width:281112;" filled="f" coordsize="281112,225119" o:gfxdata="UEsDBAoAAAAAAIdO4kAAAAAAAAAAAAAAAAAEAAAAZHJzL1BLAwQUAAAACACHTuJAaMyzhbwAAADb&#10;AAAADwAAAGRycy9kb3ducmV2LnhtbEWPzarCMBSE98J9h3AuuLOpIv70Gl0IgroRtQ9waI5tuc1J&#10;bWKtPr0RBJfDzHzDLFadqURLjSstKxhGMQjizOqScwXpeTOYgXAeWWNlmRQ8yMFq+dNbYKLtnY/U&#10;nnwuAoRdggoK7+tESpcVZNBFtiYO3sU2Bn2QTS51g/cAN5UcxfFEGiw5LBRY07qg7P90Mwqu6TXd&#10;PaeX5z47uHne7g63zkml+r/D+A+Ep85/w5/2VisYT+D9JfwAuXw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jMs4W8AAAA&#10;2wAAAA8AAAAAAAAAAQAgAAAAIgAAAGRycy9kb3ducmV2LnhtbFBLAQIUABQAAAAIAIdO4kAzLwWe&#10;OwAAADkAAAAQAAAAAAAAAAEAIAAAAAsBAABkcnMvc2hhcGV4bWwueG1sUEsFBgAAAAAGAAYAWwEA&#10;ALUDAAAAAA==&#10;" path="m-14216,234146l-14753,234146m-14753,234576l-14216,234576,-14215,234576m-14753,234146l-14753,234576m-14216,234576l-14216,234146,-14215,234146e">
              <v:path o:connecttype="segments" o:connectlocs="-14216,-21;-14753,-21;-14753,-21;-14753,409;-14216,409;-14215,409;-14753,-21;-14753,409;-14753,409;-14216,409;-14216,-21;-14215,-21" o:connectangles="0,0,0,0,0,0,0,0,0,0,0,0"/>
              <v:fill on="f" focussize="0,0"/>
              <v:stroke weight="0.00141732283464567pt" joinstyle="round"/>
              <v:imagedata o:title=""/>
              <o:lock v:ext="edit"/>
            </v:shape>
            <v:shape id="Picture 47" o:spid="_x0000_s1032" o:spt="75" type="#_x0000_t75" style="position:absolute;left:5441;top:-21;height:399;width:399;" filled="f" o:preferrelative="t" stroked="f" coordsize="21600,21600" o:gfxdata="UEsDBAoAAAAAAIdO4kAAAAAAAAAAAAAAAAAEAAAAZHJzL1BLAwQUAAAACACHTuJAsEH+574AAADb&#10;AAAADwAAAGRycy9kb3ducmV2LnhtbEWP3WrCQBSE74W+w3KE3jW71mIlugoGKqUtWH+vD9ljkpo9&#10;G7JbjW/fFQpeDjPzDTOdd7YWZ2p95VjDIFEgiHNnKi407LZvT2MQPiAbrB2Thit5mM8eelNMjbvw&#10;ms6bUIgIYZ+ihjKEJpXS5yVZ9IlriKN3dK3FEGVbSNPiJcJtLZ+VGkmLFceFEhvKSspPm1+roRt+&#10;f4TsqopVvvz62S72B8o+rdaP/YGagAjUhXv4v/1uNLy8wu1L/AFy9g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EH+574A&#10;AADbAAAADwAAAAAAAAABACAAAAAiAAAAZHJzL2Rvd25yZXYueG1sUEsBAhQAFAAAAAgAh07iQDMv&#10;BZ47AAAAOQAAABAAAAAAAAAAAQAgAAAADQEAAGRycy9zaGFwZXhtbC54bWxQSwUGAAAAAAYABgBb&#10;AQAAtwMAAAAA&#10;">
              <v:path/>
              <v:fill on="f" focussize="0,0"/>
              <v:stroke on="f" joinstyle="miter"/>
              <v:imagedata r:id="rId37" o:title=""/>
              <o:lock v:ext="edit" aspectratio="t"/>
            </v:shape>
            <v:shape id="Freeform 46" o:spid="_x0000_s1031" o:spt="100" style="position:absolute;left:5552;top:-18;height:427;width:427;" filled="f" coordsize="427,427" o:gfxdata="UEsDBAoAAAAAAIdO4kAAAAAAAAAAAAAAAAAEAAAAZHJzL1BLAwQUAAAACACHTuJArMAYs7gAAADb&#10;AAAADwAAAGRycy9kb3ducmV2LnhtbEVPz2uDMBS+D/o/hFfYbUZHJ8Wa9iAUdhllcb0/zKtKzYuY&#10;tOp/vxwGO358v8vTYgfxpMn3jhVkSQqCuHGm51bBT31+24PwAdng4JgUrOThdNy8lFgYN/M3PXVo&#10;RQxhX6CCLoSxkNI3HVn0iRuJI3dzk8UQ4dRKM+Ecw+0g39M0lxZ7jg0djlR11Nz1wypwea+z/Eue&#10;q7nSl6vDtdYfq1Kv2yw9gAi0hH/xn/vTKNjFsfFL/AHy+At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rMAYs7gAAADbAAAA&#10;DwAAAAAAAAABACAAAAAiAAAAZHJzL2Rvd25yZXYueG1sUEsBAhQAFAAAAAgAh07iQDMvBZ47AAAA&#10;OQAAABAAAAAAAAAAAQAgAAAABwEAAGRycy9zaGFwZXhtbC54bWxQSwUGAAAAAAYABgBbAQAAsQMA&#10;AAAA&#10;" path="m0,427l426,0,427,0e">
              <v:path o:connecttype="segments" o:connectlocs="0,409;426,-18;427,-18" o:connectangles="0,0,0"/>
              <v:fill on="f" focussize="0,0"/>
              <v:stroke weight="0.00141732283464567pt" joinstyle="round"/>
              <v:imagedata o:title=""/>
              <o:lock v:ext="edit"/>
            </v:shape>
            <v:shape id="Picture 45" o:spid="_x0000_s1030" o:spt="75" type="#_x0000_t75" style="position:absolute;left:5441;top:104;height:305;width:538;" filled="f" o:preferrelative="t" stroked="f" coordsize="21600,21600" o:gfxdata="UEsDBAoAAAAAAIdO4kAAAAAAAAAAAAAAAAAEAAAAZHJzL1BLAwQUAAAACACHTuJAB+9rgbkAAADb&#10;AAAADwAAAGRycy9kb3ducmV2LnhtbEWPzarCMBSE9xd8h3AEd9fUoqLVKCoooiv/9ofm2Babk9JE&#10;rW9vBMHlMDPfMNN5Y0rxoNoVlhX0uhEI4tTqgjMF59P6fwTCeWSNpWVS8CIH81nrb4qJtk8+0OPo&#10;MxEg7BJUkHtfJVK6NCeDrmsr4uBdbW3QB1lnUtf4DHBTyjiKhtJgwWEhx4pWOaW3490ECm+aeLHe&#10;7pfL62W3kYMxx5lWqtPuRRMQnhr/C3/bW62gP4bPl/AD5OwN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Afva4G5AAAA2wAA&#10;AA8AAAAAAAAAAQAgAAAAIgAAAGRycy9kb3ducmV2LnhtbFBLAQIUABQAAAAIAIdO4kAzLwWeOwAA&#10;ADkAAAAQAAAAAAAAAAEAIAAAAAgBAABkcnMvc2hhcGV4bWwueG1sUEsFBgAAAAAGAAYAWwEAALID&#10;AAAAAA==&#10;">
              <v:path/>
              <v:fill on="f" focussize="0,0"/>
              <v:stroke on="f" joinstyle="miter"/>
              <v:imagedata r:id="rId56" o:title=""/>
              <o:lock v:ext="edit" aspectratio="t"/>
            </v:shape>
            <v:shape id="Freeform 44" o:spid="_x0000_s1029" o:spt="100" style="position:absolute;left:5458;top:-21;height:430;width:431;" filled="f" coordsize="431,430" o:gfxdata="UEsDBAoAAAAAAIdO4kAAAAAAAAAAAAAAAAAEAAAAZHJzL1BLAwQUAAAACACHTuJADnEVDLUAAADb&#10;AAAADwAAAGRycy9kb3ducmV2LnhtbEVPyQrCMBC9C/5DGMGbpiqKVNOCouDVBfQ4NGNbbCZtk7r8&#10;vTkIHh9vX6dvU4knta60rGAyjkAQZ1aXnCu4nPejJQjnkTVWlknBhxykSb+3xljbFx/pefK5CCHs&#10;YlRQeF/HUrqsIINubGviwN1ta9AH2OZSt/gK4aaS0yhaSIMlh4YCa9oWlD1OnVFw993upq8X3jRN&#10;+WnknDazZafUcDCJViA8vf1f/HMftIJ5WB++hB8gky9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DnEVDLUAAADbAAAADwAA&#10;AAAAAAABACAAAAAiAAAAZHJzL2Rvd25yZXYueG1sUEsBAhQAFAAAAAgAh07iQDMvBZ47AAAAOQAA&#10;ABAAAAAAAAAAAQAgAAAABAEAAGRycy9zaGFwZXhtbC54bWxQSwUGAAAAAAYABgBbAQAArgMAAAAA&#10;" path="m430,430l0,0e">
              <v:path o:connecttype="segments" o:connectlocs="430,409;0,-21;0,-21" o:connectangles="0,0,0"/>
              <v:fill on="f" focussize="0,0"/>
              <v:stroke weight="0.00141732283464567pt" joinstyle="round"/>
              <v:imagedata o:title=""/>
              <o:lock v:ext="edit"/>
            </v:shape>
            <v:shape id="Picture 43" o:spid="_x0000_s1028" o:spt="75" type="#_x0000_t75" style="position:absolute;left:5601;top:-21;height:378;width:379;" filled="f" o:preferrelative="t" stroked="f" coordsize="21600,21600" o:gfxdata="UEsDBAoAAAAAAIdO4kAAAAAAAAAAAAAAAAAEAAAAZHJzL1BLAwQUAAAACACHTuJAPyIN8r8AAADb&#10;AAAADwAAAGRycy9kb3ducmV2LnhtbEWPS2/CMBCE75X4D9YicanACS2vgEGCqhXH8jpwW+IliYjX&#10;UWxI2l9fV6rU42hmvtEsVq0pxYNqV1hWEA8iEMSp1QVnCo6H9/4UhPPIGkvLpOCLHKyWnacFJto2&#10;vKPH3mciQNglqCD3vkqkdGlOBt3AVsTBu9raoA+yzqSusQlwU8phFI2lwYLDQo4VbXJKb/u7UfDc&#10;nGZXbMuP7exlfbZvk8/vy2umVK8bR3MQnlr/H/5rb7WCUQy/X8IPkMs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8iDfK/&#10;AAAA2wAAAA8AAAAAAAAAAQAgAAAAIgAAAGRycy9kb3ducmV2LnhtbFBLAQIUABQAAAAIAIdO4kAz&#10;LwWeOwAAADkAAAAQAAAAAAAAAAEAIAAAAA4BAABkcnMvc2hhcGV4bWwueG1sUEsFBgAAAAAGAAYA&#10;WwEAALgDAAAAAA==&#10;">
              <v:path/>
              <v:fill on="f" focussize="0,0"/>
              <v:stroke on="f" joinstyle="miter"/>
              <v:imagedata r:id="rId57" o:title=""/>
              <o:lock v:ext="edit" aspectratio="t"/>
            </v:shape>
          </v:group>
        </w:pict>
      </w:r>
      <w:r>
        <w:rPr>
          <w:rFonts w:hint="default" w:ascii="Times New Roman" w:hAnsi="Times New Roman" w:cs="Times New Roman"/>
          <w:lang w:val="en-US" w:bidi="ar-SA"/>
        </w:rPr>
        <w:drawing>
          <wp:inline distT="0" distB="0" distL="0" distR="0">
            <wp:extent cx="343535" cy="266700"/>
            <wp:effectExtent l="0" t="0" r="18415" b="0"/>
            <wp:docPr id="7" name="image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51.png"/>
                    <pic:cNvPicPr>
                      <a:picLocks noChangeAspect="1"/>
                    </pic:cNvPicPr>
                  </pic:nvPicPr>
                  <pic:blipFill>
                    <a:blip r:embed="rId58"/>
                    <a:stretch>
                      <a:fillRect/>
                    </a:stretch>
                  </pic:blipFill>
                  <pic:spPr>
                    <a:xfrm>
                      <a:off x="0" y="0"/>
                      <a:ext cx="343838" cy="266700"/>
                    </a:xfrm>
                    <a:prstGeom prst="rect">
                      <a:avLst/>
                    </a:prstGeom>
                  </pic:spPr>
                </pic:pic>
              </a:graphicData>
            </a:graphic>
          </wp:inline>
        </w:drawing>
      </w:r>
      <w:r>
        <w:rPr>
          <w:rFonts w:hint="default" w:ascii="Times New Roman" w:hAnsi="Times New Roman" w:cs="Times New Roman"/>
        </w:rPr>
        <w:t xml:space="preserve">  0 区；</w:t>
      </w:r>
      <w:r>
        <w:rPr>
          <w:rFonts w:hint="default" w:ascii="Times New Roman" w:hAnsi="Times New Roman" w:cs="Times New Roman"/>
        </w:rPr>
        <w:tab/>
      </w:r>
      <w:r>
        <w:rPr>
          <w:rFonts w:hint="default" w:ascii="Times New Roman" w:hAnsi="Times New Roman" w:cs="Times New Roman"/>
        </w:rPr>
        <w:t xml:space="preserve">       1 区；        </w:t>
      </w:r>
      <w:r>
        <w:rPr>
          <w:rFonts w:hint="default" w:ascii="Times New Roman" w:hAnsi="Times New Roman" w:cs="Times New Roman"/>
        </w:rPr>
        <w:tab/>
      </w:r>
      <w:r>
        <w:rPr>
          <w:rFonts w:hint="default" w:ascii="Times New Roman" w:hAnsi="Times New Roman" w:cs="Times New Roman"/>
        </w:rPr>
        <w:t>2 区</w:t>
      </w:r>
    </w:p>
    <w:p>
      <w:pPr>
        <w:ind w:firstLine="440" w:firstLineChars="200"/>
        <w:rPr>
          <w:rFonts w:hint="default" w:ascii="Times New Roman" w:hAnsi="Times New Roman" w:cs="Times New Roman"/>
        </w:rPr>
      </w:pPr>
    </w:p>
    <w:p>
      <w:pPr>
        <w:ind w:firstLine="562" w:firstLineChars="200"/>
        <w:rPr>
          <w:rFonts w:hint="default" w:ascii="Times New Roman" w:hAnsi="Times New Roman" w:cs="Times New Roman"/>
          <w:b/>
          <w:bCs/>
          <w:sz w:val="28"/>
          <w:szCs w:val="28"/>
        </w:rPr>
      </w:pPr>
      <w:r>
        <w:rPr>
          <w:rFonts w:hint="default" w:ascii="Times New Roman" w:hAnsi="Times New Roman" w:cs="Times New Roman"/>
          <w:b/>
          <w:bCs/>
          <w:sz w:val="28"/>
          <w:szCs w:val="28"/>
        </w:rPr>
        <w:t>该加油站的爆炸危险区域划分示意图见附录：爆炸危险区域划分图。</w:t>
      </w:r>
    </w:p>
    <w:p>
      <w:pPr>
        <w:ind w:firstLine="440" w:firstLineChars="200"/>
        <w:rPr>
          <w:rFonts w:hint="default" w:ascii="Times New Roman" w:hAnsi="Times New Roman" w:cs="Times New Roman"/>
        </w:rPr>
      </w:pPr>
    </w:p>
    <w:p>
      <w:pPr>
        <w:ind w:firstLine="440" w:firstLineChars="200"/>
        <w:rPr>
          <w:rFonts w:hint="default" w:ascii="Times New Roman" w:hAnsi="Times New Roman" w:cs="Times New Roman"/>
        </w:rPr>
      </w:pPr>
    </w:p>
    <w:p>
      <w:pPr>
        <w:ind w:firstLine="440" w:firstLineChars="200"/>
        <w:rPr>
          <w:rFonts w:hint="default" w:ascii="Times New Roman" w:hAnsi="Times New Roman" w:cs="Times New Roman"/>
        </w:rPr>
        <w:sectPr>
          <w:pgSz w:w="11910" w:h="16840"/>
          <w:pgMar w:top="1417" w:right="1134" w:bottom="1134" w:left="1587" w:header="720" w:footer="720" w:gutter="0"/>
          <w:cols w:space="0" w:num="1"/>
        </w:sectPr>
      </w:pPr>
    </w:p>
    <w:p>
      <w:pPr>
        <w:pStyle w:val="3"/>
        <w:jc w:val="center"/>
        <w:rPr>
          <w:rFonts w:hint="default" w:ascii="Times New Roman" w:hAnsi="Times New Roman" w:cs="Times New Roman"/>
        </w:rPr>
      </w:pPr>
      <w:bookmarkStart w:id="1150" w:name="_Toc12364_WPSOffice_Level1"/>
      <w:bookmarkStart w:id="1151" w:name="_Toc9816"/>
      <w:bookmarkStart w:id="1152" w:name="_Toc3707"/>
      <w:bookmarkStart w:id="1153" w:name="_Toc11010"/>
      <w:bookmarkStart w:id="1154" w:name="_Toc1150"/>
      <w:bookmarkStart w:id="1155" w:name="_Toc12807"/>
      <w:bookmarkStart w:id="1156" w:name="_Toc19684"/>
      <w:bookmarkStart w:id="1157" w:name="_Toc31499"/>
      <w:bookmarkStart w:id="1158" w:name="_Toc936_WPSOffice_Level1"/>
      <w:bookmarkStart w:id="1159" w:name="_Toc8975"/>
      <w:bookmarkStart w:id="1160" w:name="_Toc4712"/>
      <w:bookmarkStart w:id="1161" w:name="_Toc24974"/>
      <w:bookmarkStart w:id="1162" w:name="_Toc15574"/>
      <w:bookmarkStart w:id="1163" w:name="_Toc21047"/>
      <w:bookmarkStart w:id="1164" w:name="_Toc10180"/>
      <w:bookmarkStart w:id="1165" w:name="_Toc32434"/>
      <w:bookmarkStart w:id="1166" w:name="_Toc32218_WPSOffice_Level1"/>
      <w:bookmarkStart w:id="1167" w:name="_Toc8610"/>
      <w:bookmarkStart w:id="1168" w:name="_Toc21980"/>
      <w:bookmarkStart w:id="1169" w:name="_Toc26782"/>
      <w:bookmarkStart w:id="1170" w:name="_Toc7914"/>
      <w:bookmarkStart w:id="1171" w:name="_Toc27783"/>
      <w:bookmarkStart w:id="1172" w:name="_Toc7024"/>
      <w:bookmarkStart w:id="1173" w:name="_Toc25304"/>
      <w:bookmarkStart w:id="1174" w:name="_Toc3257"/>
      <w:r>
        <w:rPr>
          <w:rFonts w:hint="default" w:ascii="Times New Roman" w:hAnsi="Times New Roman" w:cs="Times New Roman"/>
        </w:rPr>
        <w:t>附件2 安全评价方法简介</w:t>
      </w:r>
      <w:bookmarkEnd w:id="1150"/>
      <w:bookmarkEnd w:id="1151"/>
      <w:bookmarkEnd w:id="1152"/>
      <w:bookmarkEnd w:id="1153"/>
      <w:bookmarkEnd w:id="1154"/>
      <w:bookmarkEnd w:id="1155"/>
      <w:bookmarkEnd w:id="1156"/>
      <w:bookmarkEnd w:id="1157"/>
      <w:bookmarkEnd w:id="1158"/>
      <w:bookmarkEnd w:id="1159"/>
      <w:bookmarkEnd w:id="1160"/>
      <w:bookmarkEnd w:id="1161"/>
      <w:bookmarkEnd w:id="1162"/>
      <w:bookmarkEnd w:id="1163"/>
      <w:bookmarkEnd w:id="1164"/>
      <w:bookmarkEnd w:id="1165"/>
      <w:bookmarkEnd w:id="1166"/>
      <w:bookmarkEnd w:id="1167"/>
      <w:bookmarkEnd w:id="1168"/>
      <w:bookmarkEnd w:id="1169"/>
      <w:bookmarkEnd w:id="1170"/>
      <w:bookmarkEnd w:id="1171"/>
      <w:bookmarkEnd w:id="1172"/>
      <w:bookmarkEnd w:id="1173"/>
      <w:bookmarkEnd w:id="1174"/>
    </w:p>
    <w:p>
      <w:pPr>
        <w:pStyle w:val="5"/>
        <w:jc w:val="center"/>
        <w:rPr>
          <w:rFonts w:hint="default" w:ascii="Times New Roman" w:hAnsi="Times New Roman" w:cs="Times New Roman"/>
        </w:rPr>
      </w:pPr>
      <w:bookmarkStart w:id="1175" w:name="_Toc4521_WPSOffice_Level2"/>
      <w:bookmarkStart w:id="1176" w:name="_Toc31027_WPSOffice_Level2"/>
      <w:bookmarkStart w:id="1177" w:name="_Toc8658_WPSOffice_Level2"/>
      <w:r>
        <w:rPr>
          <w:rFonts w:hint="default" w:ascii="Times New Roman" w:hAnsi="Times New Roman" w:cs="Times New Roman"/>
        </w:rPr>
        <w:t>2.</w:t>
      </w:r>
      <w:r>
        <w:rPr>
          <w:rFonts w:hint="default" w:ascii="Times New Roman" w:hAnsi="Times New Roman" w:cs="Times New Roman"/>
          <w:lang w:val="en-US"/>
        </w:rPr>
        <w:t>1</w:t>
      </w:r>
      <w:r>
        <w:rPr>
          <w:rFonts w:hint="default" w:ascii="Times New Roman" w:hAnsi="Times New Roman" w:cs="Times New Roman"/>
        </w:rPr>
        <w:t xml:space="preserve"> 安全检查表</w:t>
      </w:r>
      <w:bookmarkEnd w:id="1175"/>
      <w:bookmarkEnd w:id="1176"/>
      <w:bookmarkEnd w:id="1177"/>
    </w:p>
    <w:p>
      <w:pPr>
        <w:spacing w:line="500" w:lineRule="exact"/>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为了查找系统中各种设备设施、物料、操作、管理和组织措施中的危险、有害因素，事先把检查对象加以分解将大系统分割成若干小的子系统，以提问或打分的形式，将一系列分析项目列出检查表进行分析逐项检查，避免遗漏，这种表称为安全检查表。</w:t>
      </w:r>
    </w:p>
    <w:p>
      <w:pPr>
        <w:spacing w:line="500" w:lineRule="exact"/>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安全检查表法（即SCL法）是一种最基础、最简便、最广泛使用的安全评价方法。安全检查表的分类方法可以有许多种，如可按基本类型、检查内容分类，也可按使用场所分类。目前常用安全检查表有定性检查表、半定量检查表和否决型检查表等三种类型。</w:t>
      </w:r>
    </w:p>
    <w:p>
      <w:pPr>
        <w:spacing w:line="500" w:lineRule="exact"/>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定性安全检查表是列出检查要点逐项检查，检查结果以“是”、“否”或“有”、“无”表示，检查结果不能量化。</w:t>
      </w:r>
    </w:p>
    <w:p>
      <w:pPr>
        <w:spacing w:line="500" w:lineRule="exact"/>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半定量检查表是给每个检查要点赋以分值，检查结果以总分表示，不同的检查对象可以相互比较，但缺点是检查要点的准确赋值比较困难。</w:t>
      </w:r>
    </w:p>
    <w:p>
      <w:pPr>
        <w:spacing w:line="500" w:lineRule="exact"/>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否决型检查表是给一些特别重要的检查要点作出标记，这些检查要点如不满足，检查结果视为不合格，这样可以做到要点突出。</w:t>
      </w:r>
    </w:p>
    <w:p>
      <w:pPr>
        <w:ind w:firstLine="440" w:firstLineChars="200"/>
        <w:rPr>
          <w:rFonts w:hint="default" w:ascii="Times New Roman" w:hAnsi="Times New Roman" w:cs="Times New Roman"/>
        </w:rPr>
        <w:sectPr>
          <w:pgSz w:w="11910" w:h="16840"/>
          <w:pgMar w:top="1417" w:right="1134" w:bottom="1134" w:left="1587" w:header="720" w:footer="720" w:gutter="0"/>
          <w:cols w:space="0" w:num="1"/>
        </w:sectPr>
      </w:pPr>
    </w:p>
    <w:p>
      <w:pPr>
        <w:pStyle w:val="5"/>
        <w:jc w:val="center"/>
        <w:rPr>
          <w:rFonts w:hint="default" w:ascii="Times New Roman" w:hAnsi="Times New Roman" w:cs="Times New Roman"/>
        </w:rPr>
      </w:pPr>
      <w:bookmarkStart w:id="1178" w:name="_Toc27373_WPSOffice_Level2"/>
      <w:bookmarkStart w:id="1179" w:name="_Toc21092_WPSOffice_Level2"/>
      <w:bookmarkStart w:id="1180" w:name="_Toc3444_WPSOffice_Level2"/>
      <w:r>
        <w:rPr>
          <w:rFonts w:hint="default" w:ascii="Times New Roman" w:hAnsi="Times New Roman" w:cs="Times New Roman"/>
        </w:rPr>
        <w:t>2.</w:t>
      </w:r>
      <w:r>
        <w:rPr>
          <w:rFonts w:hint="default" w:ascii="Times New Roman" w:hAnsi="Times New Roman" w:cs="Times New Roman"/>
          <w:lang w:val="en-US"/>
        </w:rPr>
        <w:t>2</w:t>
      </w:r>
      <w:r>
        <w:rPr>
          <w:rFonts w:hint="default" w:ascii="Times New Roman" w:hAnsi="Times New Roman" w:cs="Times New Roman"/>
        </w:rPr>
        <w:t xml:space="preserve"> 道化学火灾、爆炸危险指数评价</w:t>
      </w:r>
      <w:bookmarkEnd w:id="1178"/>
      <w:bookmarkEnd w:id="1179"/>
      <w:bookmarkEnd w:id="1180"/>
    </w:p>
    <w:p>
      <w:pPr>
        <w:spacing w:line="500" w:lineRule="exact"/>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道化学火灾爆炸指数评价法是由美国道化学公司开发的一种危险指数评价方法，火灾、爆炸危险指数法是用于评估特定工艺过程中的最大潜在危险性的一种工具，可使人们预测事故可能导致的实际危害及停产损失。并通过火灾、爆炸危险分析，提出相关措施，为项目投产后的安全生产管理提供依据。</w:t>
      </w:r>
    </w:p>
    <w:p>
      <w:pPr>
        <w:spacing w:line="500" w:lineRule="exact"/>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火灾、爆炸危险指数法评价程序如下：</w:t>
      </w:r>
    </w:p>
    <w:p>
      <w:pPr>
        <w:numPr>
          <w:ilvl w:val="0"/>
          <w:numId w:val="7"/>
        </w:numPr>
        <w:autoSpaceDE/>
        <w:autoSpaceDN/>
        <w:spacing w:line="500" w:lineRule="exact"/>
        <w:jc w:val="both"/>
        <w:rPr>
          <w:rFonts w:hint="default" w:ascii="Times New Roman" w:hAnsi="Times New Roman" w:cs="Times New Roman"/>
          <w:sz w:val="28"/>
          <w:szCs w:val="28"/>
        </w:rPr>
      </w:pPr>
      <w:bookmarkStart w:id="1181" w:name="_Toc10478_WPSOffice_Level3"/>
      <w:bookmarkStart w:id="1182" w:name="_Toc2980_WPSOffice_Level3"/>
      <w:bookmarkStart w:id="1183" w:name="_Toc27333_WPSOffice_Level3"/>
      <w:r>
        <w:rPr>
          <w:rFonts w:hint="default" w:ascii="Times New Roman" w:hAnsi="Times New Roman" w:cs="Times New Roman"/>
          <w:sz w:val="28"/>
          <w:szCs w:val="28"/>
        </w:rPr>
        <w:t>选取工艺单元</w:t>
      </w:r>
      <w:bookmarkEnd w:id="1181"/>
      <w:bookmarkEnd w:id="1182"/>
      <w:bookmarkEnd w:id="1183"/>
    </w:p>
    <w:p>
      <w:pPr>
        <w:numPr>
          <w:ilvl w:val="0"/>
          <w:numId w:val="7"/>
        </w:numPr>
        <w:autoSpaceDE/>
        <w:autoSpaceDN/>
        <w:spacing w:line="500" w:lineRule="exact"/>
        <w:jc w:val="both"/>
        <w:rPr>
          <w:rFonts w:hint="default" w:ascii="Times New Roman" w:hAnsi="Times New Roman" w:cs="Times New Roman"/>
          <w:sz w:val="28"/>
          <w:szCs w:val="28"/>
        </w:rPr>
      </w:pPr>
      <w:bookmarkStart w:id="1184" w:name="_Toc23912_WPSOffice_Level3"/>
      <w:bookmarkStart w:id="1185" w:name="_Toc16687_WPSOffice_Level3"/>
      <w:bookmarkStart w:id="1186" w:name="_Toc936_WPSOffice_Level3"/>
      <w:r>
        <w:rPr>
          <w:rFonts w:hint="default" w:ascii="Times New Roman" w:hAnsi="Times New Roman" w:cs="Times New Roman"/>
          <w:sz w:val="28"/>
          <w:szCs w:val="28"/>
        </w:rPr>
        <w:t>确定单元物质系数（MF）</w:t>
      </w:r>
      <w:bookmarkEnd w:id="1184"/>
      <w:bookmarkEnd w:id="1185"/>
      <w:bookmarkEnd w:id="1186"/>
    </w:p>
    <w:p>
      <w:pPr>
        <w:numPr>
          <w:ilvl w:val="0"/>
          <w:numId w:val="7"/>
        </w:numPr>
        <w:autoSpaceDE/>
        <w:autoSpaceDN/>
        <w:spacing w:line="500" w:lineRule="exact"/>
        <w:jc w:val="both"/>
        <w:rPr>
          <w:rFonts w:hint="default" w:ascii="Times New Roman" w:hAnsi="Times New Roman" w:cs="Times New Roman"/>
          <w:sz w:val="28"/>
          <w:szCs w:val="28"/>
        </w:rPr>
      </w:pPr>
      <w:bookmarkStart w:id="1187" w:name="_Toc4595_WPSOffice_Level3"/>
      <w:bookmarkStart w:id="1188" w:name="_Toc12586_WPSOffice_Level3"/>
      <w:bookmarkStart w:id="1189" w:name="_Toc15392_WPSOffice_Level3"/>
      <w:r>
        <w:rPr>
          <w:rFonts w:hint="default" w:ascii="Times New Roman" w:hAnsi="Times New Roman" w:cs="Times New Roman"/>
          <w:sz w:val="28"/>
          <w:szCs w:val="28"/>
        </w:rPr>
        <w:t>计算一般工艺危险系数（F</w:t>
      </w:r>
      <w:r>
        <w:rPr>
          <w:rFonts w:hint="default" w:ascii="Times New Roman" w:hAnsi="Times New Roman" w:cs="Times New Roman"/>
          <w:sz w:val="28"/>
          <w:szCs w:val="28"/>
          <w:vertAlign w:val="subscript"/>
        </w:rPr>
        <w:t>1</w:t>
      </w:r>
      <w:r>
        <w:rPr>
          <w:rFonts w:hint="default" w:ascii="Times New Roman" w:hAnsi="Times New Roman" w:cs="Times New Roman"/>
          <w:sz w:val="28"/>
          <w:szCs w:val="28"/>
        </w:rPr>
        <w:t>）</w:t>
      </w:r>
      <w:bookmarkEnd w:id="1187"/>
      <w:bookmarkEnd w:id="1188"/>
      <w:bookmarkEnd w:id="1189"/>
    </w:p>
    <w:p>
      <w:pPr>
        <w:numPr>
          <w:ilvl w:val="0"/>
          <w:numId w:val="7"/>
        </w:numPr>
        <w:autoSpaceDE/>
        <w:autoSpaceDN/>
        <w:spacing w:line="500" w:lineRule="exact"/>
        <w:jc w:val="both"/>
        <w:rPr>
          <w:rFonts w:hint="default" w:ascii="Times New Roman" w:hAnsi="Times New Roman" w:cs="Times New Roman"/>
          <w:sz w:val="28"/>
          <w:szCs w:val="28"/>
        </w:rPr>
      </w:pPr>
      <w:bookmarkStart w:id="1190" w:name="_Toc31410_WPSOffice_Level3"/>
      <w:bookmarkStart w:id="1191" w:name="_Toc10178_WPSOffice_Level3"/>
      <w:bookmarkStart w:id="1192" w:name="_Toc27780_WPSOffice_Level3"/>
      <w:r>
        <w:rPr>
          <w:rFonts w:hint="default" w:ascii="Times New Roman" w:hAnsi="Times New Roman" w:cs="Times New Roman"/>
          <w:sz w:val="28"/>
          <w:szCs w:val="28"/>
        </w:rPr>
        <w:t>计算特殊工艺危险系数（F</w:t>
      </w:r>
      <w:r>
        <w:rPr>
          <w:rFonts w:hint="default" w:ascii="Times New Roman" w:hAnsi="Times New Roman" w:cs="Times New Roman"/>
          <w:sz w:val="28"/>
          <w:szCs w:val="28"/>
          <w:vertAlign w:val="subscript"/>
        </w:rPr>
        <w:t>2</w:t>
      </w:r>
      <w:r>
        <w:rPr>
          <w:rFonts w:hint="default" w:ascii="Times New Roman" w:hAnsi="Times New Roman" w:cs="Times New Roman"/>
          <w:sz w:val="28"/>
          <w:szCs w:val="28"/>
        </w:rPr>
        <w:t>）</w:t>
      </w:r>
      <w:bookmarkEnd w:id="1190"/>
      <w:bookmarkEnd w:id="1191"/>
      <w:bookmarkEnd w:id="1192"/>
    </w:p>
    <w:p>
      <w:pPr>
        <w:numPr>
          <w:ilvl w:val="0"/>
          <w:numId w:val="7"/>
        </w:numPr>
        <w:autoSpaceDE/>
        <w:autoSpaceDN/>
        <w:spacing w:line="500" w:lineRule="exact"/>
        <w:jc w:val="both"/>
        <w:rPr>
          <w:rFonts w:hint="default" w:ascii="Times New Roman" w:hAnsi="Times New Roman" w:cs="Times New Roman"/>
          <w:sz w:val="28"/>
          <w:szCs w:val="28"/>
        </w:rPr>
      </w:pPr>
      <w:bookmarkStart w:id="1193" w:name="_Toc31027_WPSOffice_Level3"/>
      <w:bookmarkStart w:id="1194" w:name="_Toc18080_WPSOffice_Level3"/>
      <w:bookmarkStart w:id="1195" w:name="_Toc25700_WPSOffice_Level3"/>
      <w:r>
        <w:rPr>
          <w:rFonts w:hint="default" w:ascii="Times New Roman" w:hAnsi="Times New Roman" w:cs="Times New Roman"/>
          <w:sz w:val="28"/>
          <w:szCs w:val="28"/>
        </w:rPr>
        <w:t>求取工艺单元危险系数（F</w:t>
      </w:r>
      <w:r>
        <w:rPr>
          <w:rFonts w:hint="default" w:ascii="Times New Roman" w:hAnsi="Times New Roman" w:cs="Times New Roman"/>
          <w:sz w:val="28"/>
          <w:szCs w:val="28"/>
          <w:vertAlign w:val="subscript"/>
        </w:rPr>
        <w:t>3</w:t>
      </w:r>
      <w:r>
        <w:rPr>
          <w:rFonts w:hint="default" w:ascii="Times New Roman" w:hAnsi="Times New Roman" w:cs="Times New Roman"/>
          <w:sz w:val="28"/>
          <w:szCs w:val="28"/>
        </w:rPr>
        <w:t>）</w:t>
      </w:r>
      <w:bookmarkEnd w:id="1193"/>
      <w:bookmarkEnd w:id="1194"/>
      <w:bookmarkEnd w:id="1195"/>
    </w:p>
    <w:p>
      <w:pPr>
        <w:numPr>
          <w:ilvl w:val="0"/>
          <w:numId w:val="7"/>
        </w:numPr>
        <w:autoSpaceDE/>
        <w:autoSpaceDN/>
        <w:spacing w:line="500" w:lineRule="exact"/>
        <w:jc w:val="both"/>
        <w:rPr>
          <w:rFonts w:hint="default" w:ascii="Times New Roman" w:hAnsi="Times New Roman" w:cs="Times New Roman"/>
          <w:sz w:val="28"/>
          <w:szCs w:val="28"/>
        </w:rPr>
      </w:pPr>
      <w:bookmarkStart w:id="1196" w:name="_Toc3444_WPSOffice_Level3"/>
      <w:bookmarkStart w:id="1197" w:name="_Toc19060_WPSOffice_Level3"/>
      <w:bookmarkStart w:id="1198" w:name="_Toc21902_WPSOffice_Level3"/>
      <w:r>
        <w:rPr>
          <w:rFonts w:hint="default" w:ascii="Times New Roman" w:hAnsi="Times New Roman" w:cs="Times New Roman"/>
          <w:sz w:val="28"/>
          <w:szCs w:val="28"/>
        </w:rPr>
        <w:t>确定火灾、爆炸指数（F&amp;EI）</w:t>
      </w:r>
      <w:bookmarkEnd w:id="1196"/>
      <w:bookmarkEnd w:id="1197"/>
      <w:bookmarkEnd w:id="1198"/>
    </w:p>
    <w:p>
      <w:pPr>
        <w:numPr>
          <w:ilvl w:val="0"/>
          <w:numId w:val="7"/>
        </w:numPr>
        <w:autoSpaceDE/>
        <w:autoSpaceDN/>
        <w:spacing w:line="500" w:lineRule="exact"/>
        <w:jc w:val="both"/>
        <w:rPr>
          <w:rFonts w:hint="default" w:ascii="Times New Roman" w:hAnsi="Times New Roman" w:cs="Times New Roman"/>
          <w:sz w:val="28"/>
          <w:szCs w:val="28"/>
        </w:rPr>
      </w:pPr>
      <w:bookmarkStart w:id="1199" w:name="_Toc23517_WPSOffice_Level3"/>
      <w:bookmarkStart w:id="1200" w:name="_Toc9361_WPSOffice_Level3"/>
      <w:bookmarkStart w:id="1201" w:name="_Toc13155_WPSOffice_Level3"/>
      <w:r>
        <w:rPr>
          <w:rFonts w:hint="default" w:ascii="Times New Roman" w:hAnsi="Times New Roman" w:cs="Times New Roman"/>
          <w:sz w:val="28"/>
          <w:szCs w:val="28"/>
        </w:rPr>
        <w:t>计算安全措施补偿系数 C</w:t>
      </w:r>
      <w:bookmarkEnd w:id="1199"/>
      <w:bookmarkEnd w:id="1200"/>
      <w:bookmarkEnd w:id="1201"/>
    </w:p>
    <w:p>
      <w:pPr>
        <w:numPr>
          <w:ilvl w:val="0"/>
          <w:numId w:val="7"/>
        </w:numPr>
        <w:autoSpaceDE/>
        <w:autoSpaceDN/>
        <w:spacing w:line="500" w:lineRule="exact"/>
        <w:jc w:val="both"/>
        <w:rPr>
          <w:rFonts w:hint="default" w:ascii="Times New Roman" w:hAnsi="Times New Roman" w:cs="Times New Roman"/>
          <w:sz w:val="28"/>
          <w:szCs w:val="28"/>
        </w:rPr>
      </w:pPr>
      <w:bookmarkStart w:id="1202" w:name="_Toc20508_WPSOffice_Level3"/>
      <w:bookmarkStart w:id="1203" w:name="_Toc20215_WPSOffice_Level3"/>
      <w:bookmarkStart w:id="1204" w:name="_Toc25646_WPSOffice_Level3"/>
      <w:r>
        <w:rPr>
          <w:rFonts w:hint="default" w:ascii="Times New Roman" w:hAnsi="Times New Roman" w:cs="Times New Roman"/>
          <w:sz w:val="28"/>
          <w:szCs w:val="28"/>
        </w:rPr>
        <w:t>确定暴露面积（A）</w:t>
      </w:r>
      <w:bookmarkEnd w:id="1202"/>
      <w:bookmarkEnd w:id="1203"/>
      <w:bookmarkEnd w:id="1204"/>
    </w:p>
    <w:p>
      <w:pPr>
        <w:numPr>
          <w:ilvl w:val="0"/>
          <w:numId w:val="7"/>
        </w:numPr>
        <w:autoSpaceDE/>
        <w:autoSpaceDN/>
        <w:spacing w:line="500" w:lineRule="exact"/>
        <w:jc w:val="both"/>
        <w:rPr>
          <w:rFonts w:hint="default" w:ascii="Times New Roman" w:hAnsi="Times New Roman" w:cs="Times New Roman"/>
          <w:sz w:val="28"/>
          <w:szCs w:val="28"/>
        </w:rPr>
      </w:pPr>
      <w:bookmarkStart w:id="1205" w:name="_Toc8141_WPSOffice_Level3"/>
      <w:bookmarkStart w:id="1206" w:name="_Toc26952_WPSOffice_Level3"/>
      <w:bookmarkStart w:id="1207" w:name="_Toc18936_WPSOffice_Level3"/>
      <w:r>
        <w:rPr>
          <w:rFonts w:hint="default" w:ascii="Times New Roman" w:hAnsi="Times New Roman" w:cs="Times New Roman"/>
          <w:sz w:val="28"/>
          <w:szCs w:val="28"/>
        </w:rPr>
        <w:t>确定危害系数（Y）</w:t>
      </w:r>
      <w:bookmarkEnd w:id="1205"/>
      <w:bookmarkEnd w:id="1206"/>
      <w:bookmarkEnd w:id="1207"/>
    </w:p>
    <w:p>
      <w:pPr>
        <w:numPr>
          <w:ilvl w:val="0"/>
          <w:numId w:val="7"/>
        </w:numPr>
        <w:autoSpaceDE/>
        <w:autoSpaceDN/>
        <w:spacing w:line="500" w:lineRule="exact"/>
        <w:jc w:val="both"/>
        <w:rPr>
          <w:rFonts w:hint="default" w:ascii="Times New Roman" w:hAnsi="Times New Roman" w:cs="Times New Roman"/>
          <w:sz w:val="28"/>
          <w:szCs w:val="28"/>
        </w:rPr>
      </w:pPr>
      <w:bookmarkStart w:id="1208" w:name="_Toc31218_WPSOffice_Level3"/>
      <w:bookmarkStart w:id="1209" w:name="_Toc20554_WPSOffice_Level3"/>
      <w:bookmarkStart w:id="1210" w:name="_Toc28264_WPSOffice_Level3"/>
      <w:r>
        <w:rPr>
          <w:rFonts w:hint="default" w:ascii="Times New Roman" w:hAnsi="Times New Roman" w:cs="Times New Roman"/>
          <w:sz w:val="28"/>
          <w:szCs w:val="28"/>
        </w:rPr>
        <w:t>确定基本最大可能财产损失（基本 MPPD）</w:t>
      </w:r>
      <w:bookmarkEnd w:id="1208"/>
      <w:bookmarkEnd w:id="1209"/>
      <w:bookmarkEnd w:id="1210"/>
    </w:p>
    <w:p>
      <w:pPr>
        <w:numPr>
          <w:ilvl w:val="0"/>
          <w:numId w:val="7"/>
        </w:numPr>
        <w:autoSpaceDE/>
        <w:autoSpaceDN/>
        <w:spacing w:line="500" w:lineRule="exact"/>
        <w:jc w:val="both"/>
        <w:rPr>
          <w:rFonts w:hint="default" w:ascii="Times New Roman" w:hAnsi="Times New Roman" w:cs="Times New Roman"/>
          <w:sz w:val="28"/>
          <w:szCs w:val="28"/>
        </w:rPr>
      </w:pPr>
      <w:bookmarkStart w:id="1211" w:name="_Toc30131_WPSOffice_Level3"/>
      <w:bookmarkStart w:id="1212" w:name="_Toc5630_WPSOffice_Level3"/>
      <w:bookmarkStart w:id="1213" w:name="_Toc3912_WPSOffice_Level3"/>
      <w:r>
        <w:rPr>
          <w:rFonts w:hint="default" w:ascii="Times New Roman" w:hAnsi="Times New Roman" w:cs="Times New Roman"/>
          <w:sz w:val="28"/>
          <w:szCs w:val="28"/>
        </w:rPr>
        <w:t>确定实际最大可能财产损失（实际 MPPD）</w:t>
      </w:r>
      <w:bookmarkEnd w:id="1211"/>
      <w:bookmarkEnd w:id="1212"/>
      <w:bookmarkEnd w:id="1213"/>
    </w:p>
    <w:p>
      <w:pPr>
        <w:ind w:firstLine="440" w:firstLineChars="200"/>
        <w:rPr>
          <w:rFonts w:hint="default" w:ascii="Times New Roman" w:hAnsi="Times New Roman" w:cs="Times New Roman"/>
        </w:rPr>
        <w:sectPr>
          <w:pgSz w:w="11910" w:h="16840"/>
          <w:pgMar w:top="1417" w:right="1134" w:bottom="1134" w:left="1587" w:header="720" w:footer="720" w:gutter="0"/>
          <w:cols w:space="0" w:num="1"/>
        </w:sectPr>
      </w:pPr>
    </w:p>
    <w:p>
      <w:pPr>
        <w:ind w:firstLine="440" w:firstLineChars="200"/>
        <w:rPr>
          <w:rFonts w:hint="default" w:ascii="Times New Roman" w:hAnsi="Times New Roman" w:cs="Times New Roman"/>
        </w:rPr>
      </w:pPr>
    </w:p>
    <w:p>
      <w:pPr>
        <w:ind w:firstLine="440" w:firstLineChars="200"/>
        <w:rPr>
          <w:rFonts w:hint="default" w:ascii="Times New Roman" w:hAnsi="Times New Roman" w:cs="Times New Roman"/>
        </w:rPr>
      </w:pPr>
      <w:r>
        <w:rPr>
          <w:rFonts w:hint="default" w:ascii="Times New Roman" w:hAnsi="Times New Roman" w:cs="Times New Roman"/>
          <w:lang w:val="en-US" w:bidi="ar-SA"/>
        </w:rPr>
        <w:drawing>
          <wp:inline distT="0" distB="0" distL="0" distR="0">
            <wp:extent cx="5619750" cy="6590030"/>
            <wp:effectExtent l="0" t="0" r="0" b="1270"/>
            <wp:docPr id="2027" name="图片 2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7" name="图片 2027"/>
                    <pic:cNvPicPr>
                      <a:picLocks noChangeAspect="1"/>
                    </pic:cNvPicPr>
                  </pic:nvPicPr>
                  <pic:blipFill>
                    <a:blip r:embed="rId59"/>
                    <a:stretch>
                      <a:fillRect/>
                    </a:stretch>
                  </pic:blipFill>
                  <pic:spPr>
                    <a:xfrm>
                      <a:off x="0" y="0"/>
                      <a:ext cx="5619750" cy="6590476"/>
                    </a:xfrm>
                    <a:prstGeom prst="rect">
                      <a:avLst/>
                    </a:prstGeom>
                  </pic:spPr>
                </pic:pic>
              </a:graphicData>
            </a:graphic>
          </wp:inline>
        </w:drawing>
      </w:r>
    </w:p>
    <w:p>
      <w:pPr>
        <w:ind w:firstLine="560" w:firstLineChars="200"/>
        <w:jc w:val="center"/>
        <w:rPr>
          <w:rFonts w:hint="default" w:ascii="Times New Roman" w:hAnsi="Times New Roman" w:cs="Times New Roman"/>
          <w:sz w:val="28"/>
          <w:szCs w:val="28"/>
        </w:rPr>
      </w:pPr>
      <w:bookmarkStart w:id="1214" w:name="_Toc9640_WPSOffice_Level3"/>
      <w:r>
        <w:rPr>
          <w:rFonts w:hint="default" w:ascii="Times New Roman" w:hAnsi="Times New Roman" w:cs="Times New Roman"/>
          <w:sz w:val="28"/>
          <w:szCs w:val="28"/>
        </w:rPr>
        <w:t>图2.3-1 道化法（第七版）评价程序图</w:t>
      </w:r>
      <w:bookmarkEnd w:id="1214"/>
    </w:p>
    <w:p>
      <w:pPr>
        <w:pStyle w:val="11"/>
        <w:rPr>
          <w:rFonts w:hint="default" w:ascii="Times New Roman" w:hAnsi="Times New Roman" w:cs="Times New Roman"/>
        </w:rPr>
      </w:pPr>
    </w:p>
    <w:p>
      <w:pPr>
        <w:pStyle w:val="5"/>
        <w:pageBreakBefore w:val="0"/>
        <w:widowControl w:val="0"/>
        <w:kinsoku/>
        <w:wordWrap/>
        <w:overflowPunct/>
        <w:topLinePunct w:val="0"/>
        <w:autoSpaceDE w:val="0"/>
        <w:autoSpaceDN w:val="0"/>
        <w:bidi w:val="0"/>
        <w:adjustRightInd/>
        <w:snapToGrid/>
        <w:spacing w:before="0" w:after="0" w:line="500" w:lineRule="exact"/>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2.</w:t>
      </w:r>
      <w:r>
        <w:rPr>
          <w:rFonts w:hint="default" w:ascii="Times New Roman" w:hAnsi="Times New Roman" w:cs="Times New Roman"/>
          <w:lang w:val="en-US" w:eastAsia="zh-CN"/>
        </w:rPr>
        <w:t>3</w:t>
      </w:r>
      <w:r>
        <w:rPr>
          <w:rFonts w:hint="default" w:ascii="Times New Roman" w:hAnsi="Times New Roman" w:cs="Times New Roman"/>
        </w:rPr>
        <w:t xml:space="preserve"> 事故树评价法</w:t>
      </w:r>
    </w:p>
    <w:p>
      <w:pPr>
        <w:pStyle w:val="11"/>
        <w:pageBreakBefore w:val="0"/>
        <w:widowControl w:val="0"/>
        <w:kinsoku/>
        <w:wordWrap/>
        <w:overflowPunct/>
        <w:topLinePunct w:val="0"/>
        <w:autoSpaceDE w:val="0"/>
        <w:autoSpaceDN w:val="0"/>
        <w:bidi w:val="0"/>
        <w:adjustRightInd/>
        <w:snapToGrid/>
        <w:spacing w:line="500" w:lineRule="exact"/>
        <w:ind w:left="0" w:leftChars="0" w:right="0" w:rightChars="0" w:firstLine="516" w:firstLineChars="200"/>
        <w:textAlignment w:val="auto"/>
        <w:rPr>
          <w:rFonts w:hint="default" w:ascii="Times New Roman" w:hAnsi="Times New Roman" w:cs="Times New Roman"/>
          <w:spacing w:val="-11"/>
          <w:lang w:eastAsia="zh-CN"/>
        </w:rPr>
      </w:pPr>
      <w:r>
        <w:rPr>
          <w:rFonts w:hint="default" w:ascii="Times New Roman" w:hAnsi="Times New Roman" w:cs="Times New Roman"/>
          <w:spacing w:val="-11"/>
          <w:lang w:eastAsia="zh-CN"/>
        </w:rPr>
        <w:t>事故树评价法是查明系统各种固有的、潜在的危险因素或事故原因，为制定安全技术对策、采取安全管理措施和事故的调查分析提供依据。评价步骤如下：</w:t>
      </w:r>
    </w:p>
    <w:p>
      <w:pPr>
        <w:pStyle w:val="11"/>
        <w:pageBreakBefore w:val="0"/>
        <w:widowControl w:val="0"/>
        <w:kinsoku/>
        <w:wordWrap/>
        <w:overflowPunct/>
        <w:topLinePunct w:val="0"/>
        <w:autoSpaceDE w:val="0"/>
        <w:autoSpaceDN w:val="0"/>
        <w:bidi w:val="0"/>
        <w:adjustRightInd/>
        <w:snapToGrid/>
        <w:spacing w:line="500" w:lineRule="exact"/>
        <w:ind w:left="0" w:leftChars="0" w:right="0" w:rightChars="0" w:firstLine="516" w:firstLineChars="200"/>
        <w:textAlignment w:val="auto"/>
        <w:rPr>
          <w:rFonts w:hint="default" w:ascii="Times New Roman" w:hAnsi="Times New Roman" w:cs="Times New Roman"/>
          <w:spacing w:val="-11"/>
          <w:lang w:eastAsia="zh-CN"/>
        </w:rPr>
      </w:pPr>
      <w:r>
        <w:rPr>
          <w:rFonts w:hint="default" w:ascii="Times New Roman" w:hAnsi="Times New Roman" w:cs="Times New Roman"/>
          <w:spacing w:val="-11"/>
          <w:lang w:eastAsia="zh-CN"/>
        </w:rPr>
        <w:t>（1）确定分析对象系统和需要分析的对象事件（顶上事件的确定）。</w:t>
      </w:r>
    </w:p>
    <w:p>
      <w:pPr>
        <w:pStyle w:val="11"/>
        <w:pageBreakBefore w:val="0"/>
        <w:widowControl w:val="0"/>
        <w:kinsoku/>
        <w:wordWrap/>
        <w:overflowPunct/>
        <w:topLinePunct w:val="0"/>
        <w:autoSpaceDE w:val="0"/>
        <w:autoSpaceDN w:val="0"/>
        <w:bidi w:val="0"/>
        <w:adjustRightInd/>
        <w:snapToGrid/>
        <w:spacing w:line="500" w:lineRule="exact"/>
        <w:ind w:left="0" w:leftChars="0" w:right="0" w:rightChars="0" w:firstLine="516" w:firstLineChars="200"/>
        <w:textAlignment w:val="auto"/>
        <w:rPr>
          <w:rFonts w:hint="default" w:ascii="Times New Roman" w:hAnsi="Times New Roman" w:cs="Times New Roman"/>
          <w:spacing w:val="-11"/>
          <w:lang w:eastAsia="zh-CN"/>
        </w:rPr>
      </w:pPr>
      <w:r>
        <w:rPr>
          <w:rFonts w:hint="default" w:ascii="Times New Roman" w:hAnsi="Times New Roman" w:cs="Times New Roman"/>
          <w:spacing w:val="-11"/>
          <w:lang w:eastAsia="zh-CN"/>
        </w:rPr>
        <w:t>通过事故影响分析确定顶上事件（何时、何地、何类）；明确对象系统的边界、分析深度、初始条件、前提条件和不考虑条件，熟悉系统、收集相关资料（工艺、设备、操作、环境、事故等方面的情况和资料）。</w:t>
      </w:r>
    </w:p>
    <w:p>
      <w:pPr>
        <w:pStyle w:val="11"/>
        <w:pageBreakBefore w:val="0"/>
        <w:widowControl w:val="0"/>
        <w:kinsoku/>
        <w:wordWrap/>
        <w:overflowPunct/>
        <w:topLinePunct w:val="0"/>
        <w:autoSpaceDE w:val="0"/>
        <w:autoSpaceDN w:val="0"/>
        <w:bidi w:val="0"/>
        <w:adjustRightInd/>
        <w:snapToGrid/>
        <w:spacing w:line="500" w:lineRule="exact"/>
        <w:ind w:left="0" w:leftChars="0" w:right="0" w:rightChars="0" w:firstLine="516" w:firstLineChars="200"/>
        <w:textAlignment w:val="auto"/>
        <w:rPr>
          <w:rFonts w:hint="default" w:ascii="Times New Roman" w:hAnsi="Times New Roman" w:cs="Times New Roman"/>
          <w:spacing w:val="-11"/>
          <w:lang w:eastAsia="zh-CN"/>
        </w:rPr>
      </w:pPr>
      <w:r>
        <w:rPr>
          <w:rFonts w:hint="default" w:ascii="Times New Roman" w:hAnsi="Times New Roman" w:cs="Times New Roman"/>
          <w:spacing w:val="-11"/>
          <w:lang w:eastAsia="zh-CN"/>
        </w:rPr>
        <w:t>（2）调查原因事件</w:t>
      </w:r>
    </w:p>
    <w:p>
      <w:pPr>
        <w:pStyle w:val="11"/>
        <w:pageBreakBefore w:val="0"/>
        <w:widowControl w:val="0"/>
        <w:kinsoku/>
        <w:wordWrap/>
        <w:overflowPunct/>
        <w:topLinePunct w:val="0"/>
        <w:autoSpaceDE w:val="0"/>
        <w:autoSpaceDN w:val="0"/>
        <w:bidi w:val="0"/>
        <w:adjustRightInd/>
        <w:snapToGrid/>
        <w:spacing w:line="500" w:lineRule="exact"/>
        <w:ind w:left="0" w:leftChars="0" w:right="0" w:rightChars="0" w:firstLine="516" w:firstLineChars="200"/>
        <w:textAlignment w:val="auto"/>
        <w:rPr>
          <w:rFonts w:hint="default" w:ascii="Times New Roman" w:hAnsi="Times New Roman" w:cs="Times New Roman"/>
          <w:spacing w:val="-11"/>
          <w:lang w:eastAsia="zh-CN"/>
        </w:rPr>
      </w:pPr>
      <w:r>
        <w:rPr>
          <w:rFonts w:hint="default" w:ascii="Times New Roman" w:hAnsi="Times New Roman" w:cs="Times New Roman"/>
          <w:spacing w:val="-11"/>
          <w:lang w:eastAsia="zh-CN"/>
        </w:rPr>
        <w:t>调查与事故有关的所有直接原因和各种因素（设备故障、人员失误和环境不良因素等）。</w:t>
      </w:r>
    </w:p>
    <w:p>
      <w:pPr>
        <w:pStyle w:val="11"/>
        <w:pageBreakBefore w:val="0"/>
        <w:widowControl w:val="0"/>
        <w:kinsoku/>
        <w:wordWrap/>
        <w:overflowPunct/>
        <w:topLinePunct w:val="0"/>
        <w:autoSpaceDE w:val="0"/>
        <w:autoSpaceDN w:val="0"/>
        <w:bidi w:val="0"/>
        <w:adjustRightInd/>
        <w:snapToGrid/>
        <w:spacing w:line="500" w:lineRule="exact"/>
        <w:ind w:left="0" w:leftChars="0" w:right="0" w:rightChars="0" w:firstLine="516" w:firstLineChars="200"/>
        <w:textAlignment w:val="auto"/>
        <w:rPr>
          <w:rFonts w:hint="default" w:ascii="Times New Roman" w:hAnsi="Times New Roman" w:cs="Times New Roman"/>
          <w:spacing w:val="-11"/>
          <w:lang w:eastAsia="zh-CN"/>
        </w:rPr>
      </w:pPr>
      <w:r>
        <w:rPr>
          <w:rFonts w:hint="default" w:ascii="Times New Roman" w:hAnsi="Times New Roman" w:cs="Times New Roman"/>
          <w:spacing w:val="-11"/>
          <w:lang w:eastAsia="zh-CN"/>
        </w:rPr>
        <w:t>（3）编制事故树</w:t>
      </w:r>
    </w:p>
    <w:p>
      <w:pPr>
        <w:pStyle w:val="11"/>
        <w:pageBreakBefore w:val="0"/>
        <w:widowControl w:val="0"/>
        <w:kinsoku/>
        <w:wordWrap/>
        <w:overflowPunct/>
        <w:topLinePunct w:val="0"/>
        <w:autoSpaceDE w:val="0"/>
        <w:autoSpaceDN w:val="0"/>
        <w:bidi w:val="0"/>
        <w:adjustRightInd/>
        <w:snapToGrid/>
        <w:spacing w:line="500" w:lineRule="exact"/>
        <w:ind w:left="0" w:leftChars="0" w:right="0" w:rightChars="0" w:firstLine="516" w:firstLineChars="200"/>
        <w:textAlignment w:val="auto"/>
        <w:rPr>
          <w:rFonts w:hint="default" w:ascii="Times New Roman" w:hAnsi="Times New Roman" w:cs="Times New Roman"/>
          <w:spacing w:val="-11"/>
          <w:lang w:eastAsia="zh-CN"/>
        </w:rPr>
      </w:pPr>
      <w:r>
        <w:rPr>
          <w:rFonts w:hint="default" w:ascii="Times New Roman" w:hAnsi="Times New Roman" w:cs="Times New Roman"/>
          <w:spacing w:val="-11"/>
          <w:lang w:eastAsia="zh-CN"/>
        </w:rPr>
        <w:t>从顶上事件起，逐级分析找出所有原因事件直到最基本的原因事件为止，按其逻辑关系画出事故树。</w:t>
      </w:r>
    </w:p>
    <w:p>
      <w:pPr>
        <w:pStyle w:val="11"/>
        <w:pageBreakBefore w:val="0"/>
        <w:widowControl w:val="0"/>
        <w:kinsoku/>
        <w:wordWrap/>
        <w:overflowPunct/>
        <w:topLinePunct w:val="0"/>
        <w:autoSpaceDE w:val="0"/>
        <w:autoSpaceDN w:val="0"/>
        <w:bidi w:val="0"/>
        <w:adjustRightInd/>
        <w:snapToGrid/>
        <w:spacing w:line="500" w:lineRule="exact"/>
        <w:ind w:left="0" w:leftChars="0" w:right="0" w:rightChars="0" w:firstLine="516" w:firstLineChars="200"/>
        <w:textAlignment w:val="auto"/>
        <w:rPr>
          <w:rFonts w:hint="default" w:ascii="Times New Roman" w:hAnsi="Times New Roman" w:cs="Times New Roman"/>
          <w:spacing w:val="-11"/>
          <w:lang w:eastAsia="zh-CN"/>
        </w:rPr>
      </w:pPr>
      <w:r>
        <w:rPr>
          <w:rFonts w:hint="default" w:ascii="Times New Roman" w:hAnsi="Times New Roman" w:cs="Times New Roman"/>
          <w:spacing w:val="-11"/>
          <w:lang w:eastAsia="zh-CN"/>
        </w:rPr>
        <w:t>（4）事故树定性分析</w:t>
      </w:r>
    </w:p>
    <w:p>
      <w:pPr>
        <w:pStyle w:val="11"/>
        <w:pageBreakBefore w:val="0"/>
        <w:widowControl w:val="0"/>
        <w:kinsoku/>
        <w:wordWrap/>
        <w:overflowPunct/>
        <w:topLinePunct w:val="0"/>
        <w:autoSpaceDE w:val="0"/>
        <w:autoSpaceDN w:val="0"/>
        <w:bidi w:val="0"/>
        <w:adjustRightInd/>
        <w:snapToGrid/>
        <w:spacing w:line="500" w:lineRule="exact"/>
        <w:ind w:left="0" w:leftChars="0" w:right="0" w:rightChars="0" w:firstLine="516" w:firstLineChars="200"/>
        <w:textAlignment w:val="auto"/>
        <w:rPr>
          <w:rFonts w:hint="default" w:ascii="Times New Roman" w:hAnsi="Times New Roman" w:cs="Times New Roman"/>
          <w:spacing w:val="-11"/>
          <w:lang w:eastAsia="zh-CN"/>
        </w:rPr>
      </w:pPr>
      <w:r>
        <w:rPr>
          <w:rFonts w:hint="default" w:ascii="Times New Roman" w:hAnsi="Times New Roman" w:cs="Times New Roman"/>
          <w:spacing w:val="-11"/>
          <w:lang w:eastAsia="zh-CN"/>
        </w:rPr>
        <w:t>事故树定性分析是在事故树编制完成后，应于数学方法（主要运用布尔代数法）对事故树中的不同位置重复的基本事件进行简化处理，求出最小径集（不能导致顶上事件发生的最低限度的基本事件的集合），根据导致事故的最低限度的基本事件，分析确定将采取对策措施的重点和先后顺序，从而得出评价结论。</w:t>
      </w:r>
    </w:p>
    <w:p>
      <w:pPr>
        <w:pStyle w:val="11"/>
        <w:rPr>
          <w:rFonts w:hint="default" w:ascii="Times New Roman" w:hAnsi="Times New Roman" w:cs="Times New Roman"/>
        </w:rPr>
      </w:pPr>
    </w:p>
    <w:p>
      <w:pPr>
        <w:pStyle w:val="5"/>
        <w:pageBreakBefore w:val="0"/>
        <w:widowControl w:val="0"/>
        <w:kinsoku/>
        <w:wordWrap/>
        <w:overflowPunct/>
        <w:topLinePunct w:val="0"/>
        <w:autoSpaceDE w:val="0"/>
        <w:autoSpaceDN w:val="0"/>
        <w:bidi w:val="0"/>
        <w:adjustRightInd/>
        <w:snapToGrid/>
        <w:spacing w:before="0" w:after="0" w:line="500" w:lineRule="exact"/>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2.</w:t>
      </w:r>
      <w:r>
        <w:rPr>
          <w:rFonts w:hint="eastAsia" w:ascii="Times New Roman" w:hAnsi="Times New Roman" w:cs="Times New Roman"/>
          <w:lang w:val="en-US" w:eastAsia="zh-CN"/>
        </w:rPr>
        <w:t>4</w:t>
      </w:r>
      <w:r>
        <w:rPr>
          <w:rFonts w:hint="default" w:ascii="Times New Roman" w:hAnsi="Times New Roman" w:cs="Times New Roman"/>
        </w:rPr>
        <w:t xml:space="preserve"> 作业条件场所危险性评价法</w:t>
      </w:r>
    </w:p>
    <w:p>
      <w:pPr>
        <w:snapToGrid w:val="0"/>
        <w:spacing w:line="500" w:lineRule="exact"/>
        <w:ind w:firstLine="560" w:firstLineChars="200"/>
        <w:rPr>
          <w:rFonts w:hint="eastAsia" w:ascii="宋体" w:hAnsi="宋体" w:cs="宋体"/>
          <w:sz w:val="28"/>
        </w:rPr>
      </w:pPr>
      <w:r>
        <w:rPr>
          <w:rFonts w:hint="eastAsia" w:ascii="宋体" w:hAnsi="宋体" w:cs="宋体"/>
          <w:sz w:val="28"/>
        </w:rPr>
        <w:t>作业条件场所危险性评价法是美国的K•J•格雷厄姆和G•F•金尼研究了人们在具有潜在危险环境中作业的危险性，提出了以所评价的环境与某些作为参考环境对比为基础，将作业条件的危险性作因变量（D），事故或危险事件发生的可能性（L）、暴露于危险环境的频率（E）及危险严重（C）。从而根据“打分”办法计算出危险性来判定。这是一种简单易行的评价作业条件危险性的方法，</w:t>
      </w:r>
    </w:p>
    <w:p>
      <w:pPr>
        <w:snapToGrid w:val="0"/>
        <w:spacing w:line="500" w:lineRule="exact"/>
        <w:ind w:firstLine="560" w:firstLineChars="200"/>
        <w:rPr>
          <w:rFonts w:hint="eastAsia" w:ascii="宋体" w:hAnsi="宋体" w:cs="宋体"/>
          <w:sz w:val="28"/>
        </w:rPr>
      </w:pPr>
      <w:r>
        <w:rPr>
          <w:rFonts w:hint="eastAsia" w:ascii="宋体" w:hAnsi="宋体" w:cs="宋体"/>
          <w:sz w:val="28"/>
        </w:rPr>
        <w:t xml:space="preserve">        D=L×E×C</w:t>
      </w:r>
    </w:p>
    <w:p>
      <w:pPr>
        <w:snapToGrid w:val="0"/>
        <w:spacing w:line="500" w:lineRule="exact"/>
        <w:ind w:firstLine="560" w:firstLineChars="200"/>
        <w:rPr>
          <w:rFonts w:hint="eastAsia" w:ascii="宋体" w:hAnsi="宋体" w:cs="宋体"/>
          <w:sz w:val="28"/>
        </w:rPr>
      </w:pPr>
      <w:r>
        <w:rPr>
          <w:rFonts w:hint="eastAsia" w:ascii="宋体" w:hAnsi="宋体" w:cs="宋体"/>
          <w:sz w:val="28"/>
        </w:rPr>
        <w:t>式中： D—作业条件的危险性；</w:t>
      </w:r>
    </w:p>
    <w:p>
      <w:pPr>
        <w:snapToGrid w:val="0"/>
        <w:spacing w:line="500" w:lineRule="exact"/>
        <w:ind w:firstLine="560" w:firstLineChars="200"/>
        <w:rPr>
          <w:rFonts w:hint="eastAsia" w:ascii="宋体" w:hAnsi="宋体" w:cs="宋体"/>
          <w:kern w:val="0"/>
          <w:sz w:val="28"/>
        </w:rPr>
      </w:pPr>
      <w:r>
        <w:rPr>
          <w:rFonts w:hint="eastAsia" w:ascii="宋体" w:hAnsi="宋体" w:cs="宋体"/>
          <w:sz w:val="28"/>
        </w:rPr>
        <w:t xml:space="preserve">       </w:t>
      </w:r>
      <w:r>
        <w:rPr>
          <w:rFonts w:hint="eastAsia" w:ascii="宋体" w:hAnsi="宋体" w:cs="宋体"/>
          <w:kern w:val="0"/>
          <w:sz w:val="28"/>
        </w:rPr>
        <w:t>L—事故或危险事件的可能性；</w:t>
      </w:r>
    </w:p>
    <w:p>
      <w:pPr>
        <w:snapToGrid w:val="0"/>
        <w:spacing w:line="500" w:lineRule="exact"/>
        <w:ind w:firstLine="560" w:firstLineChars="200"/>
        <w:rPr>
          <w:rFonts w:hint="eastAsia" w:ascii="宋体" w:hAnsi="宋体" w:cs="宋体"/>
          <w:kern w:val="0"/>
          <w:sz w:val="28"/>
        </w:rPr>
      </w:pPr>
      <w:r>
        <w:rPr>
          <w:rFonts w:hint="eastAsia" w:ascii="宋体" w:hAnsi="宋体" w:cs="宋体"/>
          <w:kern w:val="0"/>
          <w:sz w:val="28"/>
        </w:rPr>
        <w:t xml:space="preserve">       E—暴露于危险环境的频率；</w:t>
      </w:r>
    </w:p>
    <w:p>
      <w:pPr>
        <w:snapToGrid w:val="0"/>
        <w:spacing w:line="500" w:lineRule="exact"/>
        <w:ind w:firstLine="560" w:firstLineChars="200"/>
        <w:rPr>
          <w:rFonts w:hint="eastAsia" w:ascii="宋体" w:hAnsi="宋体" w:cs="宋体"/>
          <w:kern w:val="0"/>
          <w:sz w:val="28"/>
        </w:rPr>
      </w:pPr>
      <w:r>
        <w:rPr>
          <w:rFonts w:hint="eastAsia" w:ascii="宋体" w:hAnsi="宋体" w:cs="宋体"/>
          <w:kern w:val="0"/>
          <w:sz w:val="28"/>
        </w:rPr>
        <w:t xml:space="preserve">       C—发生事故或危险事件的可能结果。</w:t>
      </w:r>
    </w:p>
    <w:p>
      <w:pPr>
        <w:ind w:firstLine="482" w:firstLineChars="200"/>
        <w:jc w:val="center"/>
        <w:rPr>
          <w:rFonts w:hint="eastAsia" w:ascii="宋体" w:hAnsi="宋体" w:cs="宋体"/>
          <w:b/>
          <w:sz w:val="24"/>
        </w:rPr>
      </w:pPr>
      <w:r>
        <w:rPr>
          <w:rFonts w:hint="eastAsia" w:ascii="宋体" w:hAnsi="宋体" w:cs="宋体"/>
          <w:b/>
          <w:sz w:val="24"/>
        </w:rPr>
        <w:t>（1）事故或事件发生的可能性（L）</w:t>
      </w:r>
    </w:p>
    <w:tbl>
      <w:tblPr>
        <w:tblStyle w:val="29"/>
        <w:tblW w:w="852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28"/>
        <w:gridCol w:w="3380"/>
        <w:gridCol w:w="760"/>
        <w:gridCol w:w="355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2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bCs/>
                <w:szCs w:val="21"/>
              </w:rPr>
            </w:pPr>
            <w:r>
              <w:rPr>
                <w:rFonts w:hint="default" w:ascii="Times New Roman" w:hAnsi="Times New Roman" w:cs="Times New Roman"/>
                <w:b/>
                <w:bCs/>
                <w:szCs w:val="21"/>
              </w:rPr>
              <w:t>分值</w:t>
            </w:r>
          </w:p>
        </w:tc>
        <w:tc>
          <w:tcPr>
            <w:tcW w:w="338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bCs/>
                <w:szCs w:val="21"/>
              </w:rPr>
            </w:pPr>
            <w:r>
              <w:rPr>
                <w:rFonts w:hint="default" w:ascii="Times New Roman" w:hAnsi="Times New Roman" w:cs="Times New Roman"/>
                <w:b/>
                <w:bCs/>
                <w:szCs w:val="21"/>
              </w:rPr>
              <w:t>事故或危险情况发生的可能性</w:t>
            </w:r>
          </w:p>
        </w:tc>
        <w:tc>
          <w:tcPr>
            <w:tcW w:w="76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bCs/>
                <w:szCs w:val="21"/>
              </w:rPr>
            </w:pPr>
            <w:r>
              <w:rPr>
                <w:rFonts w:hint="default" w:ascii="Times New Roman" w:hAnsi="Times New Roman" w:cs="Times New Roman"/>
                <w:b/>
                <w:bCs/>
                <w:szCs w:val="21"/>
              </w:rPr>
              <w:t>分值</w:t>
            </w:r>
          </w:p>
        </w:tc>
        <w:tc>
          <w:tcPr>
            <w:tcW w:w="355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bCs/>
                <w:szCs w:val="21"/>
              </w:rPr>
            </w:pPr>
            <w:r>
              <w:rPr>
                <w:rFonts w:hint="default" w:ascii="Times New Roman" w:hAnsi="Times New Roman" w:cs="Times New Roman"/>
                <w:b/>
                <w:bCs/>
                <w:szCs w:val="21"/>
              </w:rPr>
              <w:t>事故或危险情况发生的可能性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2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10</w:t>
            </w:r>
          </w:p>
        </w:tc>
        <w:tc>
          <w:tcPr>
            <w:tcW w:w="338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left"/>
              <w:rPr>
                <w:rFonts w:hint="default" w:ascii="Times New Roman" w:hAnsi="Times New Roman" w:cs="Times New Roman"/>
                <w:szCs w:val="21"/>
              </w:rPr>
            </w:pPr>
            <w:r>
              <w:rPr>
                <w:rFonts w:hint="default" w:ascii="Times New Roman" w:hAnsi="Times New Roman" w:cs="Times New Roman"/>
                <w:szCs w:val="21"/>
              </w:rPr>
              <w:t>完全可以预料到。</w:t>
            </w:r>
          </w:p>
        </w:tc>
        <w:tc>
          <w:tcPr>
            <w:tcW w:w="76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0.5</w:t>
            </w:r>
          </w:p>
        </w:tc>
        <w:tc>
          <w:tcPr>
            <w:tcW w:w="355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left"/>
              <w:rPr>
                <w:rFonts w:hint="default" w:ascii="Times New Roman" w:hAnsi="Times New Roman" w:cs="Times New Roman"/>
                <w:szCs w:val="21"/>
              </w:rPr>
            </w:pPr>
            <w:r>
              <w:rPr>
                <w:rFonts w:hint="default" w:ascii="Times New Roman" w:hAnsi="Times New Roman" w:cs="Times New Roman"/>
                <w:szCs w:val="21"/>
              </w:rPr>
              <w:t>很不可能，可以设想。</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2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6</w:t>
            </w:r>
          </w:p>
        </w:tc>
        <w:tc>
          <w:tcPr>
            <w:tcW w:w="338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left"/>
              <w:rPr>
                <w:rFonts w:hint="default" w:ascii="Times New Roman" w:hAnsi="Times New Roman" w:cs="Times New Roman"/>
                <w:szCs w:val="21"/>
              </w:rPr>
            </w:pPr>
            <w:r>
              <w:rPr>
                <w:rFonts w:hint="default" w:ascii="Times New Roman" w:hAnsi="Times New Roman" w:cs="Times New Roman"/>
                <w:szCs w:val="21"/>
              </w:rPr>
              <w:t>相当可能。</w:t>
            </w:r>
          </w:p>
        </w:tc>
        <w:tc>
          <w:tcPr>
            <w:tcW w:w="76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0.2</w:t>
            </w:r>
          </w:p>
        </w:tc>
        <w:tc>
          <w:tcPr>
            <w:tcW w:w="355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left"/>
              <w:rPr>
                <w:rFonts w:hint="default" w:ascii="Times New Roman" w:hAnsi="Times New Roman" w:cs="Times New Roman"/>
                <w:szCs w:val="21"/>
              </w:rPr>
            </w:pPr>
            <w:r>
              <w:rPr>
                <w:rFonts w:hint="default" w:ascii="Times New Roman" w:hAnsi="Times New Roman" w:cs="Times New Roman"/>
                <w:szCs w:val="21"/>
              </w:rPr>
              <w:t>极不可能。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2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3</w:t>
            </w:r>
          </w:p>
        </w:tc>
        <w:tc>
          <w:tcPr>
            <w:tcW w:w="338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left"/>
              <w:rPr>
                <w:rFonts w:hint="default" w:ascii="Times New Roman" w:hAnsi="Times New Roman" w:cs="Times New Roman"/>
                <w:szCs w:val="21"/>
              </w:rPr>
            </w:pPr>
            <w:r>
              <w:rPr>
                <w:rFonts w:hint="default" w:ascii="Times New Roman" w:hAnsi="Times New Roman" w:cs="Times New Roman"/>
                <w:szCs w:val="21"/>
              </w:rPr>
              <w:t>可能，但不经常。</w:t>
            </w:r>
          </w:p>
        </w:tc>
        <w:tc>
          <w:tcPr>
            <w:tcW w:w="76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0.1</w:t>
            </w:r>
          </w:p>
        </w:tc>
        <w:tc>
          <w:tcPr>
            <w:tcW w:w="355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left"/>
              <w:rPr>
                <w:rFonts w:hint="default" w:ascii="Times New Roman" w:hAnsi="Times New Roman" w:cs="Times New Roman"/>
                <w:szCs w:val="21"/>
              </w:rPr>
            </w:pPr>
            <w:r>
              <w:rPr>
                <w:rFonts w:hint="default" w:ascii="Times New Roman" w:hAnsi="Times New Roman" w:cs="Times New Roman"/>
                <w:szCs w:val="21"/>
              </w:rPr>
              <w:t>实际上不可能。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2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1</w:t>
            </w:r>
          </w:p>
        </w:tc>
        <w:tc>
          <w:tcPr>
            <w:tcW w:w="338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left"/>
              <w:rPr>
                <w:rFonts w:hint="default" w:ascii="Times New Roman" w:hAnsi="Times New Roman" w:cs="Times New Roman"/>
                <w:szCs w:val="21"/>
              </w:rPr>
            </w:pPr>
            <w:r>
              <w:rPr>
                <w:rFonts w:hint="default" w:ascii="Times New Roman" w:hAnsi="Times New Roman" w:cs="Times New Roman"/>
                <w:szCs w:val="21"/>
              </w:rPr>
              <w:t>可能性较小，完全意外。</w:t>
            </w:r>
          </w:p>
        </w:tc>
        <w:tc>
          <w:tcPr>
            <w:tcW w:w="76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left"/>
              <w:rPr>
                <w:rFonts w:hint="default" w:ascii="Times New Roman" w:hAnsi="Times New Roman" w:cs="Times New Roman"/>
                <w:szCs w:val="21"/>
              </w:rPr>
            </w:pPr>
          </w:p>
        </w:tc>
        <w:tc>
          <w:tcPr>
            <w:tcW w:w="355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left"/>
              <w:rPr>
                <w:rFonts w:hint="default" w:ascii="Times New Roman" w:hAnsi="Times New Roman" w:cs="Times New Roman"/>
                <w:szCs w:val="21"/>
              </w:rPr>
            </w:pPr>
          </w:p>
        </w:tc>
      </w:tr>
    </w:tbl>
    <w:p>
      <w:pPr>
        <w:ind w:firstLine="482" w:firstLineChars="200"/>
        <w:jc w:val="center"/>
        <w:rPr>
          <w:rFonts w:hint="default" w:ascii="Times New Roman" w:hAnsi="Times New Roman" w:cs="Times New Roman"/>
          <w:b/>
          <w:sz w:val="24"/>
        </w:rPr>
      </w:pPr>
    </w:p>
    <w:p>
      <w:pPr>
        <w:ind w:firstLine="482" w:firstLineChars="200"/>
        <w:jc w:val="center"/>
        <w:rPr>
          <w:rFonts w:hint="default" w:ascii="Times New Roman" w:hAnsi="Times New Roman" w:cs="Times New Roman"/>
          <w:b/>
          <w:sz w:val="24"/>
        </w:rPr>
      </w:pPr>
      <w:r>
        <w:rPr>
          <w:rFonts w:hint="default" w:ascii="Times New Roman" w:hAnsi="Times New Roman" w:cs="Times New Roman"/>
          <w:b/>
          <w:sz w:val="24"/>
        </w:rPr>
        <w:t>（2）暴露于危险环境的频繁程度（E）</w:t>
      </w:r>
    </w:p>
    <w:tbl>
      <w:tblPr>
        <w:tblStyle w:val="29"/>
        <w:tblW w:w="8395"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80"/>
        <w:gridCol w:w="3248"/>
        <w:gridCol w:w="742"/>
        <w:gridCol w:w="362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78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bCs/>
                <w:szCs w:val="21"/>
              </w:rPr>
            </w:pPr>
            <w:r>
              <w:rPr>
                <w:rFonts w:hint="default" w:ascii="Times New Roman" w:hAnsi="Times New Roman" w:cs="Times New Roman"/>
                <w:b/>
                <w:bCs/>
                <w:szCs w:val="21"/>
              </w:rPr>
              <w:t>分值</w:t>
            </w:r>
          </w:p>
        </w:tc>
        <w:tc>
          <w:tcPr>
            <w:tcW w:w="324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bCs/>
                <w:szCs w:val="21"/>
              </w:rPr>
            </w:pPr>
            <w:r>
              <w:rPr>
                <w:rFonts w:hint="default" w:ascii="Times New Roman" w:hAnsi="Times New Roman" w:cs="Times New Roman"/>
                <w:b/>
                <w:bCs/>
                <w:szCs w:val="21"/>
              </w:rPr>
              <w:t>出现于危险环境的情况</w:t>
            </w:r>
          </w:p>
        </w:tc>
        <w:tc>
          <w:tcPr>
            <w:tcW w:w="74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bCs/>
                <w:szCs w:val="21"/>
              </w:rPr>
            </w:pPr>
            <w:r>
              <w:rPr>
                <w:rFonts w:hint="default" w:ascii="Times New Roman" w:hAnsi="Times New Roman" w:cs="Times New Roman"/>
                <w:b/>
                <w:bCs/>
                <w:szCs w:val="21"/>
              </w:rPr>
              <w:t>分值</w:t>
            </w:r>
          </w:p>
        </w:tc>
        <w:tc>
          <w:tcPr>
            <w:tcW w:w="36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bCs/>
                <w:szCs w:val="21"/>
              </w:rPr>
            </w:pPr>
            <w:r>
              <w:rPr>
                <w:rFonts w:hint="default" w:ascii="Times New Roman" w:hAnsi="Times New Roman" w:cs="Times New Roman"/>
                <w:b/>
                <w:bCs/>
                <w:szCs w:val="21"/>
              </w:rPr>
              <w:t>出现于危险环境的情况</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78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10</w:t>
            </w:r>
          </w:p>
        </w:tc>
        <w:tc>
          <w:tcPr>
            <w:tcW w:w="324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left"/>
              <w:rPr>
                <w:rFonts w:hint="default" w:ascii="Times New Roman" w:hAnsi="Times New Roman" w:cs="Times New Roman"/>
                <w:szCs w:val="21"/>
              </w:rPr>
            </w:pPr>
            <w:r>
              <w:rPr>
                <w:rFonts w:hint="default" w:ascii="Times New Roman" w:hAnsi="Times New Roman" w:cs="Times New Roman"/>
                <w:szCs w:val="21"/>
              </w:rPr>
              <w:t>连续暴露于潜在环境中</w:t>
            </w:r>
          </w:p>
        </w:tc>
        <w:tc>
          <w:tcPr>
            <w:tcW w:w="74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2</w:t>
            </w:r>
          </w:p>
        </w:tc>
        <w:tc>
          <w:tcPr>
            <w:tcW w:w="36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left"/>
              <w:rPr>
                <w:rFonts w:hint="default" w:ascii="Times New Roman" w:hAnsi="Times New Roman" w:cs="Times New Roman"/>
                <w:szCs w:val="21"/>
              </w:rPr>
            </w:pPr>
            <w:r>
              <w:rPr>
                <w:rFonts w:hint="default" w:ascii="Times New Roman" w:hAnsi="Times New Roman" w:cs="Times New Roman"/>
                <w:szCs w:val="21"/>
              </w:rPr>
              <w:t>每月一次暴露</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78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6</w:t>
            </w:r>
          </w:p>
        </w:tc>
        <w:tc>
          <w:tcPr>
            <w:tcW w:w="324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left"/>
              <w:rPr>
                <w:rFonts w:hint="default" w:ascii="Times New Roman" w:hAnsi="Times New Roman" w:cs="Times New Roman"/>
                <w:szCs w:val="21"/>
              </w:rPr>
            </w:pPr>
            <w:r>
              <w:rPr>
                <w:rFonts w:hint="default" w:ascii="Times New Roman" w:hAnsi="Times New Roman" w:cs="Times New Roman"/>
                <w:szCs w:val="21"/>
              </w:rPr>
              <w:t>每天工作时间内暴露</w:t>
            </w:r>
          </w:p>
        </w:tc>
        <w:tc>
          <w:tcPr>
            <w:tcW w:w="74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1</w:t>
            </w:r>
          </w:p>
        </w:tc>
        <w:tc>
          <w:tcPr>
            <w:tcW w:w="36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left"/>
              <w:rPr>
                <w:rFonts w:hint="default" w:ascii="Times New Roman" w:hAnsi="Times New Roman" w:cs="Times New Roman"/>
                <w:szCs w:val="21"/>
              </w:rPr>
            </w:pPr>
            <w:r>
              <w:rPr>
                <w:rFonts w:hint="default" w:ascii="Times New Roman" w:hAnsi="Times New Roman" w:cs="Times New Roman"/>
                <w:szCs w:val="21"/>
              </w:rPr>
              <w:t>每年几次暴露</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78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3</w:t>
            </w:r>
          </w:p>
        </w:tc>
        <w:tc>
          <w:tcPr>
            <w:tcW w:w="324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left"/>
              <w:rPr>
                <w:rFonts w:hint="default" w:ascii="Times New Roman" w:hAnsi="Times New Roman" w:cs="Times New Roman"/>
                <w:szCs w:val="21"/>
              </w:rPr>
            </w:pPr>
            <w:r>
              <w:rPr>
                <w:rFonts w:hint="default" w:ascii="Times New Roman" w:hAnsi="Times New Roman" w:cs="Times New Roman"/>
                <w:szCs w:val="21"/>
              </w:rPr>
              <w:t>每周一次，或偶然暴露</w:t>
            </w:r>
          </w:p>
        </w:tc>
        <w:tc>
          <w:tcPr>
            <w:tcW w:w="74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0.5</w:t>
            </w:r>
          </w:p>
        </w:tc>
        <w:tc>
          <w:tcPr>
            <w:tcW w:w="36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left"/>
              <w:rPr>
                <w:rFonts w:hint="default" w:ascii="Times New Roman" w:hAnsi="Times New Roman" w:cs="Times New Roman"/>
                <w:szCs w:val="21"/>
              </w:rPr>
            </w:pPr>
            <w:r>
              <w:rPr>
                <w:rFonts w:hint="default" w:ascii="Times New Roman" w:hAnsi="Times New Roman" w:cs="Times New Roman"/>
                <w:szCs w:val="21"/>
              </w:rPr>
              <w:t>非常罕见的暴露</w:t>
            </w:r>
          </w:p>
        </w:tc>
      </w:tr>
    </w:tbl>
    <w:p>
      <w:pPr>
        <w:jc w:val="center"/>
        <w:rPr>
          <w:rFonts w:hint="default" w:ascii="Times New Roman" w:hAnsi="Times New Roman" w:cs="Times New Roman"/>
          <w:b/>
          <w:sz w:val="24"/>
        </w:rPr>
      </w:pPr>
    </w:p>
    <w:p>
      <w:pPr>
        <w:jc w:val="center"/>
        <w:rPr>
          <w:rFonts w:hint="default" w:ascii="Times New Roman" w:hAnsi="Times New Roman" w:cs="Times New Roman"/>
          <w:b/>
          <w:bCs/>
          <w:sz w:val="24"/>
        </w:rPr>
      </w:pPr>
      <w:r>
        <w:rPr>
          <w:rFonts w:hint="default" w:ascii="Times New Roman" w:hAnsi="Times New Roman" w:cs="Times New Roman"/>
          <w:b/>
          <w:sz w:val="24"/>
        </w:rPr>
        <w:t>（3）事故或事件发生可能结果（C）</w:t>
      </w:r>
    </w:p>
    <w:tbl>
      <w:tblPr>
        <w:tblStyle w:val="29"/>
        <w:tblW w:w="8395"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28"/>
        <w:gridCol w:w="3410"/>
        <w:gridCol w:w="798"/>
        <w:gridCol w:w="335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2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bCs/>
                <w:szCs w:val="21"/>
              </w:rPr>
            </w:pPr>
            <w:r>
              <w:rPr>
                <w:rFonts w:hint="default" w:ascii="Times New Roman" w:hAnsi="Times New Roman" w:cs="Times New Roman"/>
                <w:b/>
                <w:bCs/>
                <w:szCs w:val="21"/>
              </w:rPr>
              <w:t>分值</w:t>
            </w:r>
          </w:p>
        </w:tc>
        <w:tc>
          <w:tcPr>
            <w:tcW w:w="341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bCs/>
                <w:szCs w:val="21"/>
              </w:rPr>
            </w:pPr>
            <w:r>
              <w:rPr>
                <w:rFonts w:hint="default" w:ascii="Times New Roman" w:hAnsi="Times New Roman" w:cs="Times New Roman"/>
                <w:b/>
                <w:bCs/>
                <w:szCs w:val="21"/>
              </w:rPr>
              <w:t>可能结果</w:t>
            </w:r>
          </w:p>
        </w:tc>
        <w:tc>
          <w:tcPr>
            <w:tcW w:w="79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bCs/>
                <w:szCs w:val="21"/>
              </w:rPr>
            </w:pPr>
            <w:r>
              <w:rPr>
                <w:rFonts w:hint="default" w:ascii="Times New Roman" w:hAnsi="Times New Roman" w:cs="Times New Roman"/>
                <w:b/>
                <w:bCs/>
                <w:szCs w:val="21"/>
              </w:rPr>
              <w:t>分值</w:t>
            </w:r>
          </w:p>
        </w:tc>
        <w:tc>
          <w:tcPr>
            <w:tcW w:w="33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bCs/>
                <w:szCs w:val="21"/>
              </w:rPr>
            </w:pPr>
            <w:r>
              <w:rPr>
                <w:rFonts w:hint="default" w:ascii="Times New Roman" w:hAnsi="Times New Roman" w:cs="Times New Roman"/>
                <w:b/>
                <w:bCs/>
                <w:szCs w:val="21"/>
              </w:rPr>
              <w:t>可能结果</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2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100</w:t>
            </w:r>
          </w:p>
        </w:tc>
        <w:tc>
          <w:tcPr>
            <w:tcW w:w="341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left"/>
              <w:rPr>
                <w:rFonts w:hint="default" w:ascii="Times New Roman" w:hAnsi="Times New Roman" w:cs="Times New Roman"/>
                <w:szCs w:val="21"/>
              </w:rPr>
            </w:pPr>
            <w:r>
              <w:rPr>
                <w:rFonts w:hint="default" w:ascii="Times New Roman" w:hAnsi="Times New Roman" w:cs="Times New Roman"/>
                <w:szCs w:val="21"/>
              </w:rPr>
              <w:t>大灾难，许多人死亡，或造成重大财产损失。</w:t>
            </w:r>
          </w:p>
        </w:tc>
        <w:tc>
          <w:tcPr>
            <w:tcW w:w="79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7</w:t>
            </w:r>
          </w:p>
        </w:tc>
        <w:tc>
          <w:tcPr>
            <w:tcW w:w="33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left"/>
              <w:rPr>
                <w:rFonts w:hint="default" w:ascii="Times New Roman" w:hAnsi="Times New Roman" w:cs="Times New Roman"/>
                <w:szCs w:val="21"/>
              </w:rPr>
            </w:pPr>
            <w:r>
              <w:rPr>
                <w:rFonts w:hint="default" w:ascii="Times New Roman" w:hAnsi="Times New Roman" w:cs="Times New Roman"/>
                <w:szCs w:val="21"/>
              </w:rPr>
              <w:t>严重，重伤，或较小的财产损失。</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2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40</w:t>
            </w:r>
          </w:p>
        </w:tc>
        <w:tc>
          <w:tcPr>
            <w:tcW w:w="341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left"/>
              <w:rPr>
                <w:rFonts w:hint="default" w:ascii="Times New Roman" w:hAnsi="Times New Roman" w:cs="Times New Roman"/>
                <w:szCs w:val="21"/>
              </w:rPr>
            </w:pPr>
            <w:r>
              <w:rPr>
                <w:rFonts w:hint="default" w:ascii="Times New Roman" w:hAnsi="Times New Roman" w:cs="Times New Roman"/>
                <w:szCs w:val="21"/>
              </w:rPr>
              <w:t>灾难，数人死亡，或造成很大财产损失。</w:t>
            </w:r>
          </w:p>
        </w:tc>
        <w:tc>
          <w:tcPr>
            <w:tcW w:w="79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3</w:t>
            </w:r>
          </w:p>
        </w:tc>
        <w:tc>
          <w:tcPr>
            <w:tcW w:w="33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left"/>
              <w:rPr>
                <w:rFonts w:hint="default" w:ascii="Times New Roman" w:hAnsi="Times New Roman" w:cs="Times New Roman"/>
                <w:szCs w:val="21"/>
              </w:rPr>
            </w:pPr>
            <w:r>
              <w:rPr>
                <w:rFonts w:hint="default" w:ascii="Times New Roman" w:hAnsi="Times New Roman" w:cs="Times New Roman"/>
                <w:szCs w:val="21"/>
              </w:rPr>
              <w:t>重大，致残，或很小的财产损失。</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2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15</w:t>
            </w:r>
          </w:p>
        </w:tc>
        <w:tc>
          <w:tcPr>
            <w:tcW w:w="341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left"/>
              <w:rPr>
                <w:rFonts w:hint="default" w:ascii="Times New Roman" w:hAnsi="Times New Roman" w:cs="Times New Roman"/>
                <w:szCs w:val="21"/>
              </w:rPr>
            </w:pPr>
            <w:r>
              <w:rPr>
                <w:rFonts w:hint="default" w:ascii="Times New Roman" w:hAnsi="Times New Roman" w:cs="Times New Roman"/>
                <w:szCs w:val="21"/>
              </w:rPr>
              <w:t>非常严重，一人死亡，或造成一定的财产损失。</w:t>
            </w:r>
          </w:p>
        </w:tc>
        <w:tc>
          <w:tcPr>
            <w:tcW w:w="79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1</w:t>
            </w:r>
          </w:p>
        </w:tc>
        <w:tc>
          <w:tcPr>
            <w:tcW w:w="33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left"/>
              <w:rPr>
                <w:rFonts w:hint="default" w:ascii="Times New Roman" w:hAnsi="Times New Roman" w:cs="Times New Roman"/>
                <w:szCs w:val="21"/>
              </w:rPr>
            </w:pPr>
            <w:r>
              <w:rPr>
                <w:rFonts w:hint="default" w:ascii="Times New Roman" w:hAnsi="Times New Roman" w:cs="Times New Roman"/>
                <w:szCs w:val="21"/>
              </w:rPr>
              <w:t>引人注目，不利于基本的安全卫生要求。</w:t>
            </w:r>
          </w:p>
        </w:tc>
      </w:tr>
    </w:tbl>
    <w:p>
      <w:pPr>
        <w:spacing w:line="360" w:lineRule="auto"/>
        <w:jc w:val="center"/>
        <w:rPr>
          <w:rFonts w:hint="default" w:ascii="Times New Roman" w:hAnsi="Times New Roman" w:cs="Times New Roman"/>
          <w:b/>
          <w:sz w:val="24"/>
        </w:rPr>
      </w:pPr>
    </w:p>
    <w:p>
      <w:pPr>
        <w:jc w:val="center"/>
        <w:rPr>
          <w:rFonts w:hint="default" w:ascii="Times New Roman" w:hAnsi="Times New Roman" w:cs="Times New Roman"/>
          <w:b/>
          <w:sz w:val="24"/>
        </w:rPr>
      </w:pPr>
      <w:r>
        <w:rPr>
          <w:rFonts w:hint="default" w:ascii="Times New Roman" w:hAnsi="Times New Roman" w:cs="Times New Roman"/>
          <w:b/>
          <w:sz w:val="24"/>
        </w:rPr>
        <w:t>（4）危险性分值</w:t>
      </w:r>
    </w:p>
    <w:tbl>
      <w:tblPr>
        <w:tblStyle w:val="29"/>
        <w:tblW w:w="852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56"/>
        <w:gridCol w:w="3332"/>
        <w:gridCol w:w="816"/>
        <w:gridCol w:w="331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05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bCs/>
                <w:szCs w:val="21"/>
              </w:rPr>
            </w:pPr>
            <w:r>
              <w:rPr>
                <w:rFonts w:hint="default" w:ascii="Times New Roman" w:hAnsi="Times New Roman" w:cs="Times New Roman"/>
                <w:b/>
                <w:bCs/>
                <w:szCs w:val="21"/>
              </w:rPr>
              <w:t>分值</w:t>
            </w:r>
          </w:p>
        </w:tc>
        <w:tc>
          <w:tcPr>
            <w:tcW w:w="333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bCs/>
                <w:szCs w:val="21"/>
              </w:rPr>
            </w:pPr>
            <w:r>
              <w:rPr>
                <w:rFonts w:hint="default" w:ascii="Times New Roman" w:hAnsi="Times New Roman" w:cs="Times New Roman"/>
                <w:b/>
                <w:bCs/>
                <w:szCs w:val="21"/>
              </w:rPr>
              <w:t>危险程度</w:t>
            </w:r>
          </w:p>
        </w:tc>
        <w:tc>
          <w:tcPr>
            <w:tcW w:w="81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bCs/>
                <w:szCs w:val="21"/>
              </w:rPr>
            </w:pPr>
            <w:r>
              <w:rPr>
                <w:rFonts w:hint="default" w:ascii="Times New Roman" w:hAnsi="Times New Roman" w:cs="Times New Roman"/>
                <w:b/>
                <w:bCs/>
                <w:szCs w:val="21"/>
              </w:rPr>
              <w:t>分值</w:t>
            </w:r>
          </w:p>
        </w:tc>
        <w:tc>
          <w:tcPr>
            <w:tcW w:w="33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bCs/>
                <w:szCs w:val="21"/>
              </w:rPr>
            </w:pPr>
            <w:r>
              <w:rPr>
                <w:rFonts w:hint="default" w:ascii="Times New Roman" w:hAnsi="Times New Roman" w:cs="Times New Roman"/>
                <w:b/>
                <w:bCs/>
                <w:szCs w:val="21"/>
              </w:rPr>
              <w:t>危险程度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05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&gt;320</w:t>
            </w:r>
          </w:p>
        </w:tc>
        <w:tc>
          <w:tcPr>
            <w:tcW w:w="333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left"/>
              <w:rPr>
                <w:rFonts w:hint="default" w:ascii="Times New Roman" w:hAnsi="Times New Roman" w:cs="Times New Roman"/>
                <w:szCs w:val="21"/>
              </w:rPr>
            </w:pPr>
            <w:r>
              <w:rPr>
                <w:rFonts w:hint="default" w:ascii="Times New Roman" w:hAnsi="Times New Roman" w:cs="Times New Roman"/>
                <w:szCs w:val="21"/>
              </w:rPr>
              <w:t>极其危险，不能继续作业。</w:t>
            </w:r>
          </w:p>
        </w:tc>
        <w:tc>
          <w:tcPr>
            <w:tcW w:w="81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20~70</w:t>
            </w:r>
          </w:p>
        </w:tc>
        <w:tc>
          <w:tcPr>
            <w:tcW w:w="33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left"/>
              <w:rPr>
                <w:rFonts w:hint="default" w:ascii="Times New Roman" w:hAnsi="Times New Roman" w:cs="Times New Roman"/>
                <w:szCs w:val="21"/>
              </w:rPr>
            </w:pPr>
            <w:r>
              <w:rPr>
                <w:rFonts w:hint="default" w:ascii="Times New Roman" w:hAnsi="Times New Roman" w:cs="Times New Roman"/>
                <w:szCs w:val="21"/>
              </w:rPr>
              <w:t>一般危险，需要注意。</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05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160~320</w:t>
            </w:r>
          </w:p>
        </w:tc>
        <w:tc>
          <w:tcPr>
            <w:tcW w:w="333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left"/>
              <w:rPr>
                <w:rFonts w:hint="default" w:ascii="Times New Roman" w:hAnsi="Times New Roman" w:cs="Times New Roman"/>
                <w:szCs w:val="21"/>
              </w:rPr>
            </w:pPr>
            <w:r>
              <w:rPr>
                <w:rFonts w:hint="default" w:ascii="Times New Roman" w:hAnsi="Times New Roman" w:cs="Times New Roman"/>
                <w:szCs w:val="21"/>
              </w:rPr>
              <w:t>高度危险，需要立即整改。</w:t>
            </w:r>
          </w:p>
        </w:tc>
        <w:tc>
          <w:tcPr>
            <w:tcW w:w="81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&lt;20</w:t>
            </w:r>
          </w:p>
        </w:tc>
        <w:tc>
          <w:tcPr>
            <w:tcW w:w="33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left"/>
              <w:rPr>
                <w:rFonts w:hint="default" w:ascii="Times New Roman" w:hAnsi="Times New Roman" w:cs="Times New Roman"/>
                <w:szCs w:val="21"/>
              </w:rPr>
            </w:pPr>
            <w:r>
              <w:rPr>
                <w:rFonts w:hint="default" w:ascii="Times New Roman" w:hAnsi="Times New Roman" w:cs="Times New Roman"/>
                <w:szCs w:val="21"/>
              </w:rPr>
              <w:t>稍有危险，可以接受。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340" w:hRule="atLeast"/>
          <w:jc w:val="center"/>
        </w:trPr>
        <w:tc>
          <w:tcPr>
            <w:tcW w:w="105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70~160</w:t>
            </w:r>
          </w:p>
        </w:tc>
        <w:tc>
          <w:tcPr>
            <w:tcW w:w="333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left"/>
              <w:rPr>
                <w:rFonts w:hint="default" w:ascii="Times New Roman" w:hAnsi="Times New Roman" w:cs="Times New Roman"/>
                <w:szCs w:val="21"/>
              </w:rPr>
            </w:pPr>
            <w:r>
              <w:rPr>
                <w:rFonts w:hint="default" w:ascii="Times New Roman" w:hAnsi="Times New Roman" w:cs="Times New Roman"/>
                <w:szCs w:val="21"/>
                <w:lang w:eastAsia="zh-CN"/>
              </w:rPr>
              <w:t>显著</w:t>
            </w:r>
            <w:r>
              <w:rPr>
                <w:rFonts w:hint="default" w:ascii="Times New Roman" w:hAnsi="Times New Roman" w:cs="Times New Roman"/>
                <w:szCs w:val="21"/>
              </w:rPr>
              <w:t>危险，需要整改。</w:t>
            </w:r>
          </w:p>
        </w:tc>
        <w:tc>
          <w:tcPr>
            <w:tcW w:w="81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p>
        </w:tc>
        <w:tc>
          <w:tcPr>
            <w:tcW w:w="33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left"/>
              <w:rPr>
                <w:rFonts w:hint="default" w:ascii="Times New Roman" w:hAnsi="Times New Roman" w:cs="Times New Roman"/>
                <w:szCs w:val="21"/>
              </w:rPr>
            </w:pPr>
          </w:p>
        </w:tc>
      </w:tr>
    </w:tbl>
    <w:p>
      <w:pPr>
        <w:pStyle w:val="11"/>
        <w:pageBreakBefore w:val="0"/>
        <w:widowControl w:val="0"/>
        <w:kinsoku/>
        <w:wordWrap/>
        <w:overflowPunct/>
        <w:topLinePunct w:val="0"/>
        <w:autoSpaceDE w:val="0"/>
        <w:autoSpaceDN w:val="0"/>
        <w:bidi w:val="0"/>
        <w:adjustRightInd/>
        <w:snapToGrid/>
        <w:spacing w:line="500" w:lineRule="exact"/>
        <w:ind w:left="0" w:leftChars="0" w:right="0" w:rightChars="0" w:firstLine="516" w:firstLineChars="200"/>
        <w:textAlignment w:val="auto"/>
        <w:rPr>
          <w:rFonts w:hint="default" w:ascii="Times New Roman" w:hAnsi="Times New Roman" w:cs="Times New Roman"/>
          <w:spacing w:val="-11"/>
          <w:lang w:val="zh-CN" w:eastAsia="zh-CN"/>
        </w:rPr>
      </w:pPr>
    </w:p>
    <w:p>
      <w:pPr>
        <w:pStyle w:val="11"/>
        <w:pageBreakBefore w:val="0"/>
        <w:widowControl w:val="0"/>
        <w:kinsoku/>
        <w:wordWrap/>
        <w:overflowPunct/>
        <w:topLinePunct w:val="0"/>
        <w:autoSpaceDE w:val="0"/>
        <w:autoSpaceDN w:val="0"/>
        <w:bidi w:val="0"/>
        <w:adjustRightInd/>
        <w:snapToGrid/>
        <w:spacing w:line="500" w:lineRule="exact"/>
        <w:ind w:left="0" w:leftChars="0" w:right="0" w:rightChars="0" w:firstLine="516" w:firstLineChars="200"/>
        <w:textAlignment w:val="auto"/>
        <w:rPr>
          <w:rFonts w:hint="default" w:ascii="Times New Roman" w:hAnsi="Times New Roman" w:cs="Times New Roman"/>
          <w:spacing w:val="-11"/>
          <w:lang w:val="zh-CN" w:eastAsia="zh-CN"/>
        </w:rPr>
        <w:sectPr>
          <w:pgSz w:w="11910" w:h="16840"/>
          <w:pgMar w:top="1417" w:right="1134" w:bottom="1134" w:left="1587" w:header="720" w:footer="720" w:gutter="0"/>
          <w:cols w:space="0" w:num="1"/>
        </w:sectPr>
      </w:pPr>
    </w:p>
    <w:p>
      <w:pPr>
        <w:pStyle w:val="3"/>
        <w:spacing w:beforeLines="50" w:afterLines="100"/>
        <w:ind w:firstLine="0"/>
        <w:jc w:val="center"/>
        <w:rPr>
          <w:rFonts w:hint="default" w:ascii="Times New Roman" w:hAnsi="Times New Roman" w:cs="Times New Roman"/>
        </w:rPr>
      </w:pPr>
      <w:bookmarkStart w:id="1215" w:name="_Toc19304"/>
      <w:bookmarkStart w:id="1216" w:name="_Toc4988"/>
      <w:bookmarkStart w:id="1217" w:name="_Toc23456"/>
      <w:bookmarkStart w:id="1218" w:name="_Toc6062"/>
      <w:bookmarkStart w:id="1219" w:name="_Toc12534"/>
      <w:bookmarkStart w:id="1220" w:name="_Toc17687"/>
      <w:bookmarkStart w:id="1221" w:name="_Toc25882"/>
      <w:bookmarkStart w:id="1222" w:name="_Toc18786"/>
      <w:bookmarkStart w:id="1223" w:name="_Toc14271"/>
      <w:bookmarkStart w:id="1224" w:name="_Toc4595_WPSOffice_Level1"/>
      <w:bookmarkStart w:id="1225" w:name="_Toc12924"/>
      <w:bookmarkStart w:id="1226" w:name="_Toc19355"/>
      <w:bookmarkStart w:id="1227" w:name="_Toc29697"/>
      <w:bookmarkStart w:id="1228" w:name="_Toc17469"/>
      <w:bookmarkStart w:id="1229" w:name="_Toc27312"/>
      <w:bookmarkStart w:id="1230" w:name="_Toc21553"/>
      <w:bookmarkStart w:id="1231" w:name="_Toc5737_WPSOffice_Level1"/>
      <w:bookmarkStart w:id="1232" w:name="_Toc24754"/>
      <w:bookmarkStart w:id="1233" w:name="_Toc2542"/>
      <w:bookmarkStart w:id="1234" w:name="_Toc15523"/>
      <w:bookmarkStart w:id="1235" w:name="_Toc31906_WPSOffice_Level1"/>
      <w:bookmarkStart w:id="1236" w:name="_Toc8078"/>
      <w:bookmarkStart w:id="1237" w:name="_Toc8686"/>
      <w:bookmarkStart w:id="1238" w:name="_Toc20094"/>
      <w:bookmarkStart w:id="1239" w:name="_Toc20661"/>
      <w:r>
        <w:rPr>
          <w:rFonts w:hint="default" w:ascii="Times New Roman" w:hAnsi="Times New Roman" w:cs="Times New Roman"/>
        </w:rPr>
        <w:t>附件3</w:t>
      </w:r>
      <w:r>
        <w:rPr>
          <w:rFonts w:hint="default" w:ascii="Times New Roman" w:hAnsi="Times New Roman" w:cs="Times New Roman"/>
          <w:spacing w:val="78"/>
        </w:rPr>
        <w:t xml:space="preserve"> </w:t>
      </w:r>
      <w:r>
        <w:rPr>
          <w:rFonts w:hint="default" w:ascii="Times New Roman" w:hAnsi="Times New Roman" w:cs="Times New Roman"/>
        </w:rPr>
        <w:t>危险、有害因素辨识与分析过程</w:t>
      </w:r>
      <w:bookmarkEnd w:id="1215"/>
      <w:bookmarkEnd w:id="1216"/>
      <w:bookmarkEnd w:id="1217"/>
      <w:bookmarkEnd w:id="1218"/>
      <w:bookmarkEnd w:id="1219"/>
      <w:bookmarkEnd w:id="1220"/>
      <w:bookmarkEnd w:id="1221"/>
      <w:bookmarkEnd w:id="1222"/>
      <w:bookmarkEnd w:id="1223"/>
      <w:bookmarkEnd w:id="1224"/>
      <w:bookmarkEnd w:id="1225"/>
      <w:bookmarkEnd w:id="1226"/>
      <w:bookmarkEnd w:id="1227"/>
      <w:bookmarkEnd w:id="1228"/>
      <w:bookmarkEnd w:id="1229"/>
      <w:bookmarkEnd w:id="1230"/>
      <w:bookmarkEnd w:id="1231"/>
      <w:bookmarkEnd w:id="1232"/>
      <w:bookmarkEnd w:id="1233"/>
      <w:bookmarkEnd w:id="1234"/>
      <w:bookmarkEnd w:id="1235"/>
      <w:bookmarkEnd w:id="1236"/>
      <w:bookmarkEnd w:id="1237"/>
      <w:bookmarkEnd w:id="1238"/>
      <w:bookmarkEnd w:id="1239"/>
    </w:p>
    <w:p>
      <w:pPr>
        <w:pStyle w:val="4"/>
        <w:spacing w:beforeLines="50" w:afterLines="100"/>
        <w:ind w:left="2795" w:firstLine="0"/>
        <w:rPr>
          <w:rFonts w:hint="default" w:ascii="Times New Roman" w:hAnsi="Times New Roman" w:eastAsia="宋体" w:cs="Times New Roman"/>
          <w:b/>
          <w:bCs/>
        </w:rPr>
      </w:pPr>
      <w:bookmarkStart w:id="1240" w:name="_Toc29366"/>
      <w:bookmarkStart w:id="1241" w:name="_Toc22945"/>
      <w:bookmarkStart w:id="1242" w:name="_Toc27214"/>
      <w:bookmarkStart w:id="1243" w:name="_Toc1331"/>
      <w:bookmarkStart w:id="1244" w:name="_Toc24374"/>
      <w:bookmarkStart w:id="1245" w:name="_Toc31532"/>
      <w:bookmarkStart w:id="1246" w:name="_Toc29214"/>
      <w:bookmarkStart w:id="1247" w:name="_Toc13155_WPSOffice_Level2"/>
      <w:bookmarkStart w:id="1248" w:name="_Toc17099"/>
      <w:bookmarkStart w:id="1249" w:name="_Toc2811"/>
      <w:bookmarkStart w:id="1250" w:name="_Toc857"/>
      <w:bookmarkStart w:id="1251" w:name="_Toc12353"/>
      <w:bookmarkStart w:id="1252" w:name="_Toc8361"/>
      <w:bookmarkStart w:id="1253" w:name="_Toc16803"/>
      <w:bookmarkStart w:id="1254" w:name="_Toc24890"/>
      <w:bookmarkStart w:id="1255" w:name="_Toc29996"/>
      <w:bookmarkStart w:id="1256" w:name="_Toc11648"/>
      <w:bookmarkStart w:id="1257" w:name="_Toc12446_WPSOffice_Level2"/>
      <w:bookmarkStart w:id="1258" w:name="_Toc12533"/>
      <w:bookmarkStart w:id="1259" w:name="_Toc25979"/>
      <w:bookmarkStart w:id="1260" w:name="_Toc31411"/>
      <w:bookmarkStart w:id="1261" w:name="_Toc10594"/>
      <w:bookmarkStart w:id="1262" w:name="_Toc12517_WPSOffice_Level2"/>
      <w:bookmarkStart w:id="1263" w:name="_Toc13498"/>
      <w:bookmarkStart w:id="1264" w:name="_Toc1709"/>
      <w:r>
        <w:rPr>
          <w:rFonts w:hint="default" w:ascii="Times New Roman" w:hAnsi="Times New Roman" w:eastAsia="宋体" w:cs="Times New Roman"/>
          <w:b/>
          <w:bCs/>
        </w:rPr>
        <w:t xml:space="preserve">3.1 </w:t>
      </w:r>
      <w:bookmarkStart w:id="1265" w:name="_Hlk531013309"/>
      <w:r>
        <w:rPr>
          <w:rFonts w:hint="default" w:ascii="Times New Roman" w:hAnsi="Times New Roman" w:eastAsia="宋体" w:cs="Times New Roman"/>
          <w:b/>
          <w:bCs/>
        </w:rPr>
        <w:t>危险、有害因素辨识与分析</w:t>
      </w:r>
      <w:bookmarkEnd w:id="1240"/>
      <w:bookmarkEnd w:id="1241"/>
      <w:bookmarkEnd w:id="1242"/>
      <w:bookmarkEnd w:id="1243"/>
      <w:bookmarkEnd w:id="1244"/>
      <w:bookmarkEnd w:id="1245"/>
      <w:bookmarkEnd w:id="1246"/>
      <w:bookmarkEnd w:id="1247"/>
      <w:bookmarkEnd w:id="1248"/>
      <w:bookmarkEnd w:id="1249"/>
      <w:bookmarkEnd w:id="1250"/>
      <w:bookmarkEnd w:id="1251"/>
      <w:bookmarkEnd w:id="1252"/>
      <w:bookmarkEnd w:id="1253"/>
      <w:bookmarkEnd w:id="1254"/>
      <w:bookmarkEnd w:id="1255"/>
      <w:bookmarkEnd w:id="1256"/>
      <w:bookmarkEnd w:id="1257"/>
      <w:bookmarkEnd w:id="1258"/>
      <w:bookmarkEnd w:id="1259"/>
      <w:bookmarkEnd w:id="1260"/>
      <w:bookmarkEnd w:id="1261"/>
      <w:bookmarkEnd w:id="1262"/>
      <w:bookmarkEnd w:id="1263"/>
      <w:bookmarkEnd w:id="1264"/>
      <w:bookmarkEnd w:id="1265"/>
    </w:p>
    <w:p>
      <w:pPr>
        <w:pStyle w:val="5"/>
        <w:spacing w:beforeLines="100" w:afterLines="100" w:line="240" w:lineRule="auto"/>
        <w:ind w:firstLine="562" w:firstLineChars="200"/>
        <w:rPr>
          <w:rFonts w:hint="default" w:ascii="Times New Roman" w:hAnsi="Times New Roman" w:cs="Times New Roman"/>
          <w:sz w:val="28"/>
          <w:szCs w:val="28"/>
          <w:lang w:val="en-US"/>
        </w:rPr>
      </w:pPr>
      <w:bookmarkStart w:id="1266" w:name="_Toc32274_WPSOffice_Level3"/>
      <w:bookmarkStart w:id="1267" w:name="_Hlk531013287"/>
      <w:bookmarkStart w:id="1268" w:name="_Toc23121_WPSOffice_Level3"/>
      <w:r>
        <w:rPr>
          <w:rFonts w:hint="default" w:ascii="Times New Roman" w:hAnsi="Times New Roman" w:cs="Times New Roman"/>
          <w:sz w:val="28"/>
          <w:szCs w:val="28"/>
          <w:lang w:val="en-US"/>
        </w:rPr>
        <w:t>3.1.1 物质危险特性分析</w:t>
      </w:r>
      <w:bookmarkEnd w:id="1266"/>
      <w:bookmarkEnd w:id="1267"/>
      <w:bookmarkEnd w:id="1268"/>
    </w:p>
    <w:p>
      <w:pPr>
        <w:pStyle w:val="11"/>
        <w:spacing w:line="500" w:lineRule="exact"/>
        <w:ind w:firstLine="516" w:firstLineChars="200"/>
        <w:rPr>
          <w:rFonts w:hint="default" w:ascii="Times New Roman" w:hAnsi="Times New Roman" w:cs="Times New Roman"/>
        </w:rPr>
      </w:pPr>
      <w:bookmarkStart w:id="1269" w:name="_Hlk531013445"/>
      <w:r>
        <w:rPr>
          <w:rFonts w:hint="eastAsia" w:ascii="Times New Roman" w:hAnsi="Times New Roman" w:cs="Times New Roman"/>
          <w:spacing w:val="-11"/>
          <w:lang w:eastAsia="zh-CN"/>
        </w:rPr>
        <w:t>东城加油站</w:t>
      </w:r>
      <w:r>
        <w:rPr>
          <w:rFonts w:hint="default" w:ascii="Times New Roman" w:hAnsi="Times New Roman" w:cs="Times New Roman"/>
          <w:spacing w:val="-11"/>
        </w:rPr>
        <w:t>主要经营汽油和柴油，该油站新增自动洗车机后危险化学品的储存和经营情况不改变，根据《危险化学品目录》</w:t>
      </w:r>
      <w:r>
        <w:rPr>
          <w:rFonts w:hint="default" w:ascii="Times New Roman" w:hAnsi="Times New Roman" w:cs="Times New Roman"/>
        </w:rPr>
        <w:t>（2015版</w:t>
      </w:r>
      <w:r>
        <w:rPr>
          <w:rFonts w:hint="default" w:ascii="Times New Roman" w:hAnsi="Times New Roman" w:cs="Times New Roman"/>
          <w:spacing w:val="-21"/>
        </w:rPr>
        <w:t>），</w:t>
      </w:r>
      <w:r>
        <w:rPr>
          <w:rFonts w:hint="default" w:ascii="Times New Roman" w:hAnsi="Times New Roman" w:cs="Times New Roman"/>
          <w:spacing w:val="-2"/>
        </w:rPr>
        <w:t>汽油和柴油[闭杯闪点≤</w:t>
      </w:r>
      <w:r>
        <w:rPr>
          <w:rFonts w:hint="default" w:ascii="Times New Roman" w:hAnsi="Times New Roman" w:cs="Times New Roman"/>
        </w:rPr>
        <w:t>60</w:t>
      </w:r>
      <w:r>
        <w:rPr>
          <w:rFonts w:hint="default" w:ascii="Times New Roman" w:hAnsi="Times New Roman" w:cs="Times New Roman"/>
          <w:spacing w:val="-7"/>
        </w:rPr>
        <w:t>℃]确定为危险化学品。根据《全球化学品统一分类和标签制度》</w:t>
      </w:r>
      <w:r>
        <w:rPr>
          <w:rFonts w:hint="default" w:ascii="Times New Roman" w:hAnsi="Times New Roman" w:cs="Times New Roman"/>
          <w:spacing w:val="-4"/>
        </w:rPr>
        <w:t>（GHS），汽油属易燃液体</w:t>
      </w:r>
      <w:r>
        <w:rPr>
          <w:rFonts w:hint="default" w:ascii="Times New Roman" w:hAnsi="Times New Roman" w:cs="Times New Roman"/>
        </w:rPr>
        <w:t>（</w:t>
      </w:r>
      <w:r>
        <w:rPr>
          <w:rFonts w:hint="default" w:ascii="Times New Roman" w:hAnsi="Times New Roman" w:cs="Times New Roman"/>
          <w:spacing w:val="-2"/>
        </w:rPr>
        <w:t>类别</w:t>
      </w:r>
      <w:r>
        <w:rPr>
          <w:rFonts w:hint="default" w:ascii="Times New Roman" w:hAnsi="Times New Roman" w:cs="Times New Roman"/>
          <w:spacing w:val="-6"/>
        </w:rPr>
        <w:t>2）</w:t>
      </w:r>
      <w:r>
        <w:rPr>
          <w:rFonts w:hint="default" w:ascii="Times New Roman" w:hAnsi="Times New Roman" w:cs="Times New Roman"/>
          <w:spacing w:val="-4"/>
        </w:rPr>
        <w:t>，即高度易燃液体；柴</w:t>
      </w:r>
      <w:r>
        <w:rPr>
          <w:rFonts w:hint="default" w:ascii="Times New Roman" w:hAnsi="Times New Roman" w:cs="Times New Roman"/>
          <w:spacing w:val="-1"/>
        </w:rPr>
        <w:t>油[闭杯闪点≤</w:t>
      </w:r>
      <w:r>
        <w:rPr>
          <w:rFonts w:hint="default" w:ascii="Times New Roman" w:hAnsi="Times New Roman" w:cs="Times New Roman"/>
        </w:rPr>
        <w:t>60℃]属易燃液体（类别</w:t>
      </w:r>
      <w:r>
        <w:rPr>
          <w:rFonts w:hint="default" w:ascii="Times New Roman" w:hAnsi="Times New Roman" w:cs="Times New Roman"/>
          <w:spacing w:val="3"/>
        </w:rPr>
        <w:t>3）</w:t>
      </w:r>
      <w:r>
        <w:rPr>
          <w:rFonts w:hint="default" w:ascii="Times New Roman" w:hAnsi="Times New Roman" w:cs="Times New Roman"/>
        </w:rPr>
        <w:t>。根据《重点监管的危险化学品</w:t>
      </w:r>
      <w:r>
        <w:rPr>
          <w:rFonts w:hint="default" w:ascii="Times New Roman" w:hAnsi="Times New Roman" w:cs="Times New Roman"/>
          <w:spacing w:val="-8"/>
        </w:rPr>
        <w:t>名录》</w:t>
      </w:r>
      <w:r>
        <w:rPr>
          <w:rFonts w:hint="default" w:ascii="Times New Roman" w:hAnsi="Times New Roman" w:cs="Times New Roman"/>
        </w:rPr>
        <w:t>（2013</w:t>
      </w:r>
      <w:r>
        <w:rPr>
          <w:rFonts w:hint="default" w:ascii="Times New Roman" w:hAnsi="Times New Roman" w:cs="Times New Roman"/>
          <w:spacing w:val="-2"/>
        </w:rPr>
        <w:t>年完整版</w:t>
      </w:r>
      <w:r>
        <w:rPr>
          <w:rFonts w:hint="default" w:ascii="Times New Roman" w:hAnsi="Times New Roman" w:cs="Times New Roman"/>
          <w:spacing w:val="-13"/>
        </w:rPr>
        <w:t>），</w:t>
      </w:r>
      <w:r>
        <w:rPr>
          <w:rFonts w:hint="default" w:ascii="Times New Roman" w:hAnsi="Times New Roman" w:cs="Times New Roman"/>
          <w:spacing w:val="-4"/>
        </w:rPr>
        <w:t>汽油为国家重点监管危险化学品，火灾爆炸危险</w:t>
      </w:r>
      <w:r>
        <w:rPr>
          <w:rFonts w:hint="default" w:ascii="Times New Roman" w:hAnsi="Times New Roman" w:cs="Times New Roman"/>
          <w:spacing w:val="-6"/>
        </w:rPr>
        <w:t>性较大。汽油和柴油的理化性质详见下表3.1-1、表3.1-2</w:t>
      </w:r>
      <w:r>
        <w:rPr>
          <w:rFonts w:hint="default" w:ascii="Times New Roman" w:hAnsi="Times New Roman" w:cs="Times New Roman"/>
          <w:spacing w:val="-5"/>
        </w:rPr>
        <w:t>，其危险特性分析如下：</w:t>
      </w:r>
      <w:bookmarkEnd w:id="1269"/>
    </w:p>
    <w:p>
      <w:pPr>
        <w:pStyle w:val="11"/>
        <w:spacing w:line="500" w:lineRule="exact"/>
        <w:ind w:firstLine="556" w:firstLineChars="200"/>
        <w:rPr>
          <w:rFonts w:hint="default" w:ascii="Times New Roman" w:hAnsi="Times New Roman" w:cs="Times New Roman"/>
        </w:rPr>
      </w:pPr>
      <w:r>
        <w:rPr>
          <w:rFonts w:hint="default" w:ascii="Times New Roman" w:hAnsi="Times New Roman" w:cs="Times New Roman"/>
          <w:spacing w:val="-1"/>
        </w:rPr>
        <w:t>1）易燃性</w:t>
      </w:r>
    </w:p>
    <w:p>
      <w:pPr>
        <w:pStyle w:val="11"/>
        <w:spacing w:line="500" w:lineRule="exact"/>
        <w:ind w:firstLine="532" w:firstLineChars="200"/>
        <w:rPr>
          <w:rFonts w:hint="default" w:ascii="Times New Roman" w:hAnsi="Times New Roman" w:cs="Times New Roman"/>
        </w:rPr>
      </w:pPr>
      <w:r>
        <w:rPr>
          <w:rFonts w:hint="default" w:ascii="Times New Roman" w:hAnsi="Times New Roman" w:cs="Times New Roman"/>
          <w:spacing w:val="-7"/>
        </w:rPr>
        <w:t>油品闪点越低，其火灾危险性就越大。汽油闪点较低，着火所需的能量</w:t>
      </w:r>
      <w:r>
        <w:rPr>
          <w:rFonts w:hint="default" w:ascii="Times New Roman" w:hAnsi="Times New Roman" w:cs="Times New Roman"/>
        </w:rPr>
        <w:t>极小（最小点火能量约为0.2</w:t>
      </w:r>
      <w:r>
        <w:rPr>
          <w:rFonts w:hint="default" w:ascii="Times New Roman" w:hAnsi="Times New Roman" w:cs="Times New Roman"/>
          <w:lang w:val="en-US"/>
        </w:rPr>
        <w:t>mJ</w:t>
      </w:r>
      <w:r>
        <w:rPr>
          <w:rFonts w:hint="default" w:ascii="Times New Roman" w:hAnsi="Times New Roman" w:cs="Times New Roman"/>
        </w:rPr>
        <w:t>），具有高度的易燃性。汽油一旦发生燃烧，速度很快，如有充足的空气，很容易造成更大的危险性。</w:t>
      </w:r>
    </w:p>
    <w:p>
      <w:pPr>
        <w:pStyle w:val="11"/>
        <w:spacing w:line="500" w:lineRule="exact"/>
        <w:ind w:firstLine="536" w:firstLineChars="200"/>
        <w:rPr>
          <w:rFonts w:hint="default" w:ascii="Times New Roman" w:hAnsi="Times New Roman" w:cs="Times New Roman"/>
        </w:rPr>
      </w:pPr>
      <w:r>
        <w:rPr>
          <w:rFonts w:hint="default" w:ascii="Times New Roman" w:hAnsi="Times New Roman" w:cs="Times New Roman"/>
          <w:spacing w:val="-6"/>
        </w:rPr>
        <w:t>根据闪点不同，油品的火灾危险性等级分为甲、乙、丙三类。汽油闪点在-46℃，属甲类油品。柴油闪点小于</w:t>
      </w:r>
      <w:r>
        <w:rPr>
          <w:rFonts w:hint="default" w:ascii="Times New Roman" w:hAnsi="Times New Roman" w:cs="Times New Roman"/>
          <w:spacing w:val="-6"/>
          <w:lang w:val="en-US"/>
        </w:rPr>
        <w:t>60</w:t>
      </w:r>
      <w:r>
        <w:rPr>
          <w:rFonts w:hint="default" w:ascii="Times New Roman" w:hAnsi="Times New Roman" w:cs="Times New Roman"/>
          <w:spacing w:val="-6"/>
        </w:rPr>
        <w:t>℃</w:t>
      </w:r>
      <w:r>
        <w:rPr>
          <w:rFonts w:hint="default" w:ascii="Times New Roman" w:hAnsi="Times New Roman" w:cs="Times New Roman"/>
        </w:rPr>
        <w:t>，属乙类油品。</w:t>
      </w:r>
      <w:r>
        <w:rPr>
          <w:rFonts w:hint="default" w:ascii="Times New Roman" w:hAnsi="Times New Roman" w:cs="Times New Roman"/>
          <w:spacing w:val="-7"/>
        </w:rPr>
        <w:t>根据《建筑设计防火规范》分级，汽油的火灾危险性类别为甲类，柴油的火灾危险性类别为乙类。</w:t>
      </w:r>
    </w:p>
    <w:p>
      <w:pPr>
        <w:pStyle w:val="11"/>
        <w:spacing w:line="500" w:lineRule="exact"/>
        <w:ind w:firstLine="546"/>
        <w:rPr>
          <w:rFonts w:hint="default" w:ascii="Times New Roman" w:hAnsi="Times New Roman" w:cs="Times New Roman"/>
        </w:rPr>
      </w:pPr>
      <w:r>
        <w:rPr>
          <w:rFonts w:hint="default" w:ascii="Times New Roman" w:hAnsi="Times New Roman" w:cs="Times New Roman"/>
          <w:spacing w:val="-1"/>
        </w:rPr>
        <w:t>2）易爆性</w:t>
      </w:r>
    </w:p>
    <w:p>
      <w:pPr>
        <w:pStyle w:val="11"/>
        <w:spacing w:line="500" w:lineRule="exact"/>
        <w:ind w:firstLine="532" w:firstLineChars="200"/>
        <w:rPr>
          <w:rFonts w:hint="default" w:ascii="Times New Roman" w:hAnsi="Times New Roman" w:cs="Times New Roman"/>
        </w:rPr>
      </w:pPr>
      <w:r>
        <w:rPr>
          <w:rFonts w:hint="default" w:ascii="Times New Roman" w:hAnsi="Times New Roman" w:cs="Times New Roman"/>
          <w:spacing w:val="-7"/>
        </w:rPr>
        <w:t>油蒸气与空气可形成爆炸性混合气体，当达到一定混合比例范围时遇点</w:t>
      </w:r>
      <w:r>
        <w:rPr>
          <w:rFonts w:hint="default" w:ascii="Times New Roman" w:hAnsi="Times New Roman" w:cs="Times New Roman"/>
          <w:spacing w:val="-9"/>
        </w:rPr>
        <w:t>火源即能发生爆炸。爆炸的危险性取决于爆炸下限和爆炸范围，爆炸下限越</w:t>
      </w:r>
      <w:r>
        <w:rPr>
          <w:rFonts w:hint="default" w:ascii="Times New Roman" w:hAnsi="Times New Roman" w:cs="Times New Roman"/>
          <w:spacing w:val="-11"/>
        </w:rPr>
        <w:t>低或爆炸范围越宽，爆炸的危险性就越大。汽油的爆炸下限极低，混合气体</w:t>
      </w:r>
      <w:r>
        <w:rPr>
          <w:rFonts w:hint="default" w:ascii="Times New Roman" w:hAnsi="Times New Roman" w:cs="Times New Roman"/>
        </w:rPr>
        <w:t>中汽油蒸汽浓度达到</w:t>
      </w:r>
      <w:r>
        <w:rPr>
          <w:rFonts w:hint="default" w:ascii="Times New Roman" w:hAnsi="Times New Roman" w:cs="Times New Roman"/>
          <w:spacing w:val="-7"/>
        </w:rPr>
        <w:t>1.4</w:t>
      </w:r>
      <w:r>
        <w:rPr>
          <w:rFonts w:hint="default" w:ascii="Times New Roman" w:hAnsi="Times New Roman" w:cs="Times New Roman"/>
          <w:spacing w:val="-6"/>
        </w:rPr>
        <w:t>%，在极小的点火能量下即可引起混合气体爆炸。汽</w:t>
      </w:r>
      <w:r>
        <w:rPr>
          <w:rFonts w:hint="default" w:ascii="Times New Roman" w:hAnsi="Times New Roman" w:cs="Times New Roman"/>
          <w:spacing w:val="-5"/>
        </w:rPr>
        <w:t>油的爆炸极限范围为</w:t>
      </w:r>
      <w:r>
        <w:rPr>
          <w:rFonts w:hint="default" w:ascii="Times New Roman" w:hAnsi="Times New Roman" w:cs="Times New Roman"/>
        </w:rPr>
        <w:t>1.4%至7.6%（</w:t>
      </w:r>
      <w:r>
        <w:rPr>
          <w:rFonts w:hint="default" w:ascii="Times New Roman" w:hAnsi="Times New Roman" w:cs="Times New Roman"/>
          <w:spacing w:val="-2"/>
        </w:rPr>
        <w:t>体积比</w:t>
      </w:r>
      <w:r>
        <w:rPr>
          <w:rFonts w:hint="default" w:ascii="Times New Roman" w:hAnsi="Times New Roman" w:cs="Times New Roman"/>
        </w:rPr>
        <w:t>），爆炸危险性很大。</w:t>
      </w:r>
    </w:p>
    <w:p>
      <w:pPr>
        <w:pStyle w:val="11"/>
        <w:spacing w:line="500" w:lineRule="exact"/>
        <w:ind w:firstLine="546"/>
        <w:rPr>
          <w:rFonts w:hint="default" w:ascii="Times New Roman" w:hAnsi="Times New Roman" w:cs="Times New Roman"/>
        </w:rPr>
      </w:pPr>
      <w:r>
        <w:rPr>
          <w:rFonts w:hint="default" w:ascii="Times New Roman" w:hAnsi="Times New Roman" w:cs="Times New Roman"/>
          <w:spacing w:val="-2"/>
        </w:rPr>
        <w:t>3）易积聚静电荷性</w:t>
      </w:r>
    </w:p>
    <w:p>
      <w:pPr>
        <w:pStyle w:val="11"/>
        <w:spacing w:line="500" w:lineRule="exact"/>
        <w:ind w:firstLine="524" w:firstLineChars="200"/>
        <w:rPr>
          <w:rFonts w:hint="default" w:ascii="Times New Roman" w:hAnsi="Times New Roman" w:cs="Times New Roman"/>
        </w:rPr>
      </w:pPr>
      <w:r>
        <w:rPr>
          <w:rFonts w:hint="default" w:ascii="Times New Roman" w:hAnsi="Times New Roman" w:cs="Times New Roman"/>
          <w:spacing w:val="-9"/>
        </w:rPr>
        <w:t>油品为非极性物质，电阻率高，导电性能差，积累电荷的能力较强。油品在输送、灌装等过程中，由于摩擦容易产生静电。当静电荷积聚到一定程度时，就会产生电火花，如果静电火花能量达到或大于油品蒸气的最小点火</w:t>
      </w:r>
      <w:r>
        <w:rPr>
          <w:rFonts w:hint="default" w:ascii="Times New Roman" w:hAnsi="Times New Roman" w:cs="Times New Roman"/>
          <w:spacing w:val="-6"/>
        </w:rPr>
        <w:t>能量时，就会立即引起燃烧和爆炸。</w:t>
      </w:r>
    </w:p>
    <w:p>
      <w:pPr>
        <w:pStyle w:val="11"/>
        <w:spacing w:line="500" w:lineRule="exact"/>
        <w:ind w:firstLine="560" w:firstLineChars="200"/>
        <w:rPr>
          <w:rFonts w:hint="default" w:ascii="Times New Roman" w:hAnsi="Times New Roman" w:cs="Times New Roman"/>
        </w:rPr>
      </w:pPr>
      <w:r>
        <w:rPr>
          <w:rFonts w:hint="default" w:ascii="Times New Roman" w:hAnsi="Times New Roman" w:cs="Times New Roman"/>
        </w:rPr>
        <w:t>油品在储运、经营过程中，其静电的产生和积聚量大小与流速、摩擦、阻力、冲击、晃动、气候等有关。如不采取有效的措施去防止静电的产生和积聚，就容易引起放电闪火，成为引火源，引发火灾事故。</w:t>
      </w:r>
    </w:p>
    <w:p>
      <w:pPr>
        <w:pStyle w:val="11"/>
        <w:spacing w:line="500" w:lineRule="exact"/>
        <w:ind w:firstLine="544"/>
        <w:rPr>
          <w:rFonts w:hint="default" w:ascii="Times New Roman" w:hAnsi="Times New Roman" w:cs="Times New Roman"/>
        </w:rPr>
      </w:pPr>
      <w:r>
        <w:rPr>
          <w:rFonts w:hint="default" w:ascii="Times New Roman" w:hAnsi="Times New Roman" w:cs="Times New Roman"/>
        </w:rPr>
        <w:t>4）易受热膨胀、不可压缩性</w:t>
      </w:r>
    </w:p>
    <w:p>
      <w:pPr>
        <w:pStyle w:val="11"/>
        <w:spacing w:line="500" w:lineRule="exact"/>
        <w:ind w:firstLine="528" w:firstLineChars="200"/>
        <w:rPr>
          <w:rFonts w:hint="default" w:ascii="Times New Roman" w:hAnsi="Times New Roman" w:cs="Times New Roman"/>
        </w:rPr>
      </w:pPr>
      <w:r>
        <w:rPr>
          <w:rFonts w:hint="default" w:ascii="Times New Roman" w:hAnsi="Times New Roman" w:cs="Times New Roman"/>
          <w:spacing w:val="-8"/>
        </w:rPr>
        <w:t>油品受热后温度升高，体积膨胀。储存油品的密闭容器如靠近高温或受</w:t>
      </w:r>
      <w:r>
        <w:rPr>
          <w:rFonts w:hint="default" w:ascii="Times New Roman" w:hAnsi="Times New Roman" w:cs="Times New Roman"/>
          <w:spacing w:val="-11"/>
        </w:rPr>
        <w:t>日光曝晒，会因内部压力升高而胀坏容器，故油罐容积必须留有裕量。另一</w:t>
      </w:r>
      <w:r>
        <w:rPr>
          <w:rFonts w:hint="default" w:ascii="Times New Roman" w:hAnsi="Times New Roman" w:cs="Times New Roman"/>
          <w:spacing w:val="-8"/>
        </w:rPr>
        <w:t>方面如果温度降低，体积缩小，容器内出现负压，则密闭容器在大气压的作</w:t>
      </w:r>
      <w:r>
        <w:rPr>
          <w:rFonts w:hint="default" w:ascii="Times New Roman" w:hAnsi="Times New Roman" w:cs="Times New Roman"/>
          <w:spacing w:val="-10"/>
        </w:rPr>
        <w:t>用下可能会发生变形。因此油罐必须设置通气管，以便释放和吸入气体，维</w:t>
      </w:r>
      <w:r>
        <w:rPr>
          <w:rFonts w:hint="default" w:ascii="Times New Roman" w:hAnsi="Times New Roman" w:cs="Times New Roman"/>
          <w:spacing w:val="-8"/>
        </w:rPr>
        <w:t>持油罐内部和外部气压相对平衡。油罐应埋地敷设，以减轻气温对储存油品</w:t>
      </w:r>
      <w:r>
        <w:rPr>
          <w:rFonts w:hint="default" w:ascii="Times New Roman" w:hAnsi="Times New Roman" w:cs="Times New Roman"/>
        </w:rPr>
        <w:t>的影响。</w:t>
      </w:r>
    </w:p>
    <w:p>
      <w:pPr>
        <w:pStyle w:val="11"/>
        <w:spacing w:line="500" w:lineRule="exact"/>
        <w:ind w:firstLine="544"/>
        <w:rPr>
          <w:rFonts w:hint="default" w:ascii="Times New Roman" w:hAnsi="Times New Roman" w:cs="Times New Roman"/>
        </w:rPr>
      </w:pPr>
      <w:r>
        <w:rPr>
          <w:rFonts w:hint="default" w:ascii="Times New Roman" w:hAnsi="Times New Roman" w:cs="Times New Roman"/>
          <w:spacing w:val="-2"/>
        </w:rPr>
        <w:t xml:space="preserve">5）易蒸发和易扩散 </w:t>
      </w:r>
    </w:p>
    <w:p>
      <w:pPr>
        <w:pStyle w:val="11"/>
        <w:spacing w:line="500" w:lineRule="exact"/>
        <w:ind w:firstLine="560" w:firstLineChars="200"/>
        <w:rPr>
          <w:rFonts w:hint="default" w:ascii="Times New Roman" w:hAnsi="Times New Roman" w:cs="Times New Roman"/>
        </w:rPr>
      </w:pPr>
      <w:r>
        <w:rPr>
          <w:rFonts w:hint="default" w:ascii="Times New Roman" w:hAnsi="Times New Roman" w:cs="Times New Roman"/>
        </w:rPr>
        <w:t>油品中的轻质组分很容易离开液体挥发到大气中去，沸点越低，蒸发性</w:t>
      </w:r>
      <w:r>
        <w:rPr>
          <w:rFonts w:hint="default" w:ascii="Times New Roman" w:hAnsi="Times New Roman" w:cs="Times New Roman"/>
          <w:spacing w:val="-7"/>
        </w:rPr>
        <w:t>越强。汽油在较低的气温下就能蒸发，柴油在常温下蒸发相对较慢。随着温</w:t>
      </w:r>
      <w:r>
        <w:rPr>
          <w:rFonts w:hint="default" w:ascii="Times New Roman" w:hAnsi="Times New Roman" w:cs="Times New Roman"/>
          <w:spacing w:val="-14"/>
        </w:rPr>
        <w:t>度升高，蒸发速度加快。蒸发形成的油蒸气相对密度较大</w:t>
      </w:r>
      <w:r>
        <w:rPr>
          <w:rFonts w:hint="default" w:ascii="Times New Roman" w:hAnsi="Times New Roman" w:cs="Times New Roman"/>
        </w:rPr>
        <w:t>（比重大于空气</w:t>
      </w:r>
      <w:r>
        <w:rPr>
          <w:rFonts w:hint="default" w:ascii="Times New Roman" w:hAnsi="Times New Roman" w:cs="Times New Roman"/>
          <w:spacing w:val="-26"/>
        </w:rPr>
        <w:t>），</w:t>
      </w:r>
      <w:r>
        <w:rPr>
          <w:rFonts w:hint="default" w:ascii="Times New Roman" w:hAnsi="Times New Roman" w:cs="Times New Roman"/>
          <w:spacing w:val="-8"/>
        </w:rPr>
        <w:t>容易扩散，可能贴地面、水面流动飘散，还能存积在坑洼处与空气混合形成</w:t>
      </w:r>
      <w:r>
        <w:rPr>
          <w:rFonts w:hint="default" w:ascii="Times New Roman" w:hAnsi="Times New Roman" w:cs="Times New Roman"/>
          <w:spacing w:val="-5"/>
        </w:rPr>
        <w:t>爆炸气体，油品这种易蒸发、易扩散的特性，往往是引起火灾爆炸的根源。</w:t>
      </w:r>
    </w:p>
    <w:p>
      <w:pPr>
        <w:pStyle w:val="11"/>
        <w:spacing w:line="500" w:lineRule="exact"/>
        <w:ind w:firstLine="560"/>
        <w:rPr>
          <w:rFonts w:hint="default" w:ascii="Times New Roman" w:hAnsi="Times New Roman" w:cs="Times New Roman"/>
        </w:rPr>
      </w:pPr>
      <w:r>
        <w:rPr>
          <w:rFonts w:hint="default" w:ascii="Times New Roman" w:hAnsi="Times New Roman" w:cs="Times New Roman"/>
          <w:spacing w:val="-1"/>
        </w:rPr>
        <w:t>6）有毒性</w:t>
      </w:r>
    </w:p>
    <w:p>
      <w:pPr>
        <w:pStyle w:val="11"/>
        <w:spacing w:line="500" w:lineRule="exact"/>
        <w:ind w:firstLine="528" w:firstLineChars="200"/>
        <w:rPr>
          <w:rFonts w:hint="default" w:ascii="Times New Roman" w:hAnsi="Times New Roman" w:cs="Times New Roman"/>
        </w:rPr>
      </w:pPr>
      <w:r>
        <w:rPr>
          <w:rFonts w:hint="default" w:ascii="Times New Roman" w:hAnsi="Times New Roman" w:cs="Times New Roman"/>
          <w:spacing w:val="-8"/>
        </w:rPr>
        <w:t>油品大多含有烯烃、芳香烃、硫化物等烃类有机物和无机物，具有一定</w:t>
      </w:r>
      <w:r>
        <w:rPr>
          <w:rFonts w:hint="default" w:ascii="Times New Roman" w:hAnsi="Times New Roman" w:cs="Times New Roman"/>
          <w:spacing w:val="-10"/>
        </w:rPr>
        <w:t>的毒性。油蒸气经口、鼻进入呼吸系统，能使人体器官受损。少则刺激人体</w:t>
      </w:r>
      <w:r>
        <w:rPr>
          <w:rFonts w:hint="default" w:ascii="Times New Roman" w:hAnsi="Times New Roman" w:cs="Times New Roman"/>
          <w:spacing w:val="-7"/>
        </w:rPr>
        <w:t>肌肤，重则破坏生理机能，引起功能障碍、疾病等。</w:t>
      </w:r>
      <w:r>
        <w:rPr>
          <w:rFonts w:hint="default" w:ascii="Times New Roman" w:hAnsi="Times New Roman" w:cs="Times New Roman"/>
          <w:spacing w:val="-8"/>
        </w:rPr>
        <w:t>按照《职业性接触毒物危害程度分级》进行毒性危害程度分级，汽油和</w:t>
      </w:r>
      <w:r>
        <w:rPr>
          <w:rFonts w:hint="default" w:ascii="Times New Roman" w:hAnsi="Times New Roman" w:cs="Times New Roman"/>
          <w:spacing w:val="-1"/>
        </w:rPr>
        <w:t>柴油毒性属</w:t>
      </w:r>
      <w:r>
        <w:rPr>
          <w:rFonts w:hint="default" w:ascii="Times New Roman" w:hAnsi="Times New Roman" w:cs="Times New Roman"/>
          <w:spacing w:val="-5"/>
        </w:rPr>
        <w:t>“</w:t>
      </w:r>
      <w:r>
        <w:rPr>
          <w:rFonts w:hint="default" w:ascii="Times New Roman" w:hAnsi="Times New Roman" w:cs="Times New Roman"/>
        </w:rPr>
        <w:t>轻度危害”。</w:t>
      </w:r>
    </w:p>
    <w:p>
      <w:pPr>
        <w:pStyle w:val="11"/>
        <w:spacing w:line="500" w:lineRule="exact"/>
        <w:ind w:firstLine="562" w:firstLineChars="200"/>
        <w:rPr>
          <w:rFonts w:hint="default" w:ascii="Times New Roman" w:hAnsi="Times New Roman" w:cs="Times New Roman"/>
          <w:b/>
          <w:bCs/>
        </w:rPr>
      </w:pPr>
      <w:r>
        <w:rPr>
          <w:rFonts w:hint="default" w:ascii="Times New Roman" w:hAnsi="Times New Roman" w:cs="Times New Roman"/>
          <w:b/>
          <w:bCs/>
        </w:rPr>
        <w:t>从该加油站涉及的油品的理化常数和危险特性可知，该加油站主要的危险因素为火灾、爆炸，主要有害因素为毒性危害。</w:t>
      </w:r>
    </w:p>
    <w:p>
      <w:pPr>
        <w:pStyle w:val="11"/>
        <w:spacing w:line="500" w:lineRule="exact"/>
        <w:ind w:firstLine="560" w:firstLineChars="200"/>
        <w:rPr>
          <w:rFonts w:hint="default" w:ascii="Times New Roman" w:hAnsi="Times New Roman" w:cs="Times New Roman"/>
        </w:rPr>
      </w:pPr>
    </w:p>
    <w:p>
      <w:pPr>
        <w:pStyle w:val="11"/>
        <w:spacing w:line="500" w:lineRule="exact"/>
        <w:ind w:firstLine="560" w:firstLineChars="200"/>
        <w:rPr>
          <w:rFonts w:hint="default" w:ascii="Times New Roman" w:hAnsi="Times New Roman" w:cs="Times New Roman"/>
        </w:rPr>
      </w:pPr>
    </w:p>
    <w:p>
      <w:pPr>
        <w:pStyle w:val="11"/>
        <w:spacing w:line="500" w:lineRule="exact"/>
        <w:ind w:firstLine="560" w:firstLineChars="200"/>
        <w:rPr>
          <w:rFonts w:hint="default" w:ascii="Times New Roman" w:hAnsi="Times New Roman" w:cs="Times New Roman"/>
        </w:rPr>
      </w:pPr>
    </w:p>
    <w:p>
      <w:pPr>
        <w:pStyle w:val="11"/>
        <w:spacing w:line="500" w:lineRule="exact"/>
        <w:ind w:firstLine="560" w:firstLineChars="200"/>
        <w:rPr>
          <w:rFonts w:hint="default" w:ascii="Times New Roman" w:hAnsi="Times New Roman" w:cs="Times New Roman"/>
        </w:rPr>
      </w:pPr>
    </w:p>
    <w:p>
      <w:pPr>
        <w:pStyle w:val="11"/>
        <w:tabs>
          <w:tab w:val="left" w:pos="6844"/>
        </w:tabs>
        <w:spacing w:before="70"/>
        <w:jc w:val="center"/>
        <w:rPr>
          <w:rFonts w:hint="default" w:ascii="Times New Roman" w:hAnsi="Times New Roman" w:cs="Times New Roman"/>
          <w:sz w:val="24"/>
          <w:szCs w:val="24"/>
        </w:rPr>
      </w:pPr>
      <w:bookmarkStart w:id="1270" w:name="_Toc9257_WPSOffice_Level3"/>
      <w:bookmarkStart w:id="1271" w:name="_Toc22039_WPSOffice_Level3"/>
      <w:bookmarkStart w:id="1272" w:name="_Toc18555_WPSOffice_Level3"/>
      <w:r>
        <w:rPr>
          <w:rFonts w:hint="default" w:ascii="Times New Roman" w:hAnsi="Times New Roman" w:cs="Times New Roman"/>
          <w:sz w:val="24"/>
          <w:szCs w:val="24"/>
        </w:rPr>
        <w:t>附表</w:t>
      </w:r>
      <w:r>
        <w:rPr>
          <w:rFonts w:hint="default" w:ascii="Times New Roman" w:hAnsi="Times New Roman" w:cs="Times New Roman"/>
          <w:spacing w:val="6"/>
          <w:sz w:val="24"/>
          <w:szCs w:val="24"/>
        </w:rPr>
        <w:t xml:space="preserve">3.1-1 </w:t>
      </w:r>
      <w:r>
        <w:rPr>
          <w:rFonts w:hint="default" w:ascii="Times New Roman" w:hAnsi="Times New Roman" w:cs="Times New Roman"/>
          <w:spacing w:val="19"/>
          <w:sz w:val="24"/>
          <w:szCs w:val="24"/>
        </w:rPr>
        <w:t>汽油的理化性质及危险特</w:t>
      </w:r>
      <w:r>
        <w:rPr>
          <w:rFonts w:hint="default" w:ascii="Times New Roman" w:hAnsi="Times New Roman" w:cs="Times New Roman"/>
          <w:sz w:val="24"/>
          <w:szCs w:val="24"/>
        </w:rPr>
        <w:t>性</w:t>
      </w:r>
      <w:bookmarkEnd w:id="1270"/>
      <w:bookmarkEnd w:id="1271"/>
      <w:bookmarkEnd w:id="1272"/>
    </w:p>
    <w:tbl>
      <w:tblPr>
        <w:tblStyle w:val="36"/>
        <w:tblW w:w="9173" w:type="dxa"/>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92"/>
        <w:gridCol w:w="1846"/>
        <w:gridCol w:w="1420"/>
        <w:gridCol w:w="398"/>
        <w:gridCol w:w="215"/>
        <w:gridCol w:w="484"/>
        <w:gridCol w:w="877"/>
        <w:gridCol w:w="761"/>
        <w:gridCol w:w="1126"/>
        <w:gridCol w:w="155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0" w:hRule="atLeast"/>
        </w:trPr>
        <w:tc>
          <w:tcPr>
            <w:tcW w:w="492" w:type="dxa"/>
            <w:vMerge w:val="restart"/>
          </w:tcPr>
          <w:p>
            <w:pPr>
              <w:pStyle w:val="38"/>
              <w:keepNext w:val="0"/>
              <w:keepLines w:val="0"/>
              <w:suppressLineNumbers w:val="0"/>
              <w:spacing w:before="98" w:beforeAutospacing="0" w:after="0" w:afterAutospacing="0" w:line="400" w:lineRule="atLeast"/>
              <w:ind w:left="126" w:right="131"/>
              <w:rPr>
                <w:rFonts w:hint="default" w:ascii="Times New Roman" w:hAnsi="Times New Roman" w:cs="Times New Roman"/>
                <w:sz w:val="21"/>
                <w:szCs w:val="21"/>
              </w:rPr>
            </w:pPr>
            <w:r>
              <w:rPr>
                <w:rFonts w:hint="default" w:ascii="Times New Roman" w:hAnsi="Times New Roman" w:cs="Times New Roman"/>
                <w:sz w:val="21"/>
                <w:szCs w:val="21"/>
              </w:rPr>
              <w:t>标识</w:t>
            </w:r>
          </w:p>
        </w:tc>
        <w:tc>
          <w:tcPr>
            <w:tcW w:w="1846" w:type="dxa"/>
          </w:tcPr>
          <w:p>
            <w:pPr>
              <w:pStyle w:val="38"/>
              <w:keepNext w:val="0"/>
              <w:keepLines w:val="0"/>
              <w:suppressLineNumbers w:val="0"/>
              <w:spacing w:before="166" w:beforeAutospacing="0" w:after="0" w:afterAutospacing="0"/>
              <w:ind w:left="566" w:right="0"/>
              <w:rPr>
                <w:rFonts w:hint="default" w:ascii="Times New Roman" w:hAnsi="Times New Roman" w:cs="Times New Roman"/>
                <w:sz w:val="21"/>
                <w:szCs w:val="21"/>
              </w:rPr>
            </w:pPr>
            <w:r>
              <w:rPr>
                <w:rFonts w:hint="default" w:ascii="Times New Roman" w:hAnsi="Times New Roman" w:cs="Times New Roman"/>
                <w:sz w:val="21"/>
                <w:szCs w:val="21"/>
              </w:rPr>
              <w:t>中文名</w:t>
            </w:r>
          </w:p>
        </w:tc>
        <w:tc>
          <w:tcPr>
            <w:tcW w:w="3394" w:type="dxa"/>
            <w:gridSpan w:val="5"/>
          </w:tcPr>
          <w:p>
            <w:pPr>
              <w:pStyle w:val="38"/>
              <w:keepNext w:val="0"/>
              <w:keepLines w:val="0"/>
              <w:suppressLineNumbers w:val="0"/>
              <w:spacing w:before="166" w:beforeAutospacing="0" w:after="0" w:afterAutospacing="0"/>
              <w:ind w:left="1271" w:right="1255"/>
              <w:jc w:val="center"/>
              <w:rPr>
                <w:rFonts w:hint="default" w:ascii="Times New Roman" w:hAnsi="Times New Roman" w:cs="Times New Roman"/>
                <w:sz w:val="21"/>
                <w:szCs w:val="21"/>
              </w:rPr>
            </w:pPr>
            <w:r>
              <w:rPr>
                <w:rFonts w:hint="default" w:ascii="Times New Roman" w:hAnsi="Times New Roman" w:cs="Times New Roman"/>
                <w:sz w:val="21"/>
                <w:szCs w:val="21"/>
              </w:rPr>
              <w:t>汽油</w:t>
            </w:r>
          </w:p>
        </w:tc>
        <w:tc>
          <w:tcPr>
            <w:tcW w:w="1887" w:type="dxa"/>
            <w:gridSpan w:val="2"/>
          </w:tcPr>
          <w:p>
            <w:pPr>
              <w:pStyle w:val="38"/>
              <w:keepNext w:val="0"/>
              <w:keepLines w:val="0"/>
              <w:suppressLineNumbers w:val="0"/>
              <w:spacing w:before="166" w:beforeAutospacing="0" w:after="0" w:afterAutospacing="0"/>
              <w:ind w:left="112" w:right="0"/>
              <w:rPr>
                <w:rFonts w:hint="default" w:ascii="Times New Roman" w:hAnsi="Times New Roman" w:cs="Times New Roman"/>
                <w:sz w:val="21"/>
                <w:szCs w:val="21"/>
              </w:rPr>
            </w:pPr>
            <w:r>
              <w:rPr>
                <w:rFonts w:hint="default" w:ascii="Times New Roman" w:hAnsi="Times New Roman" w:cs="Times New Roman"/>
                <w:sz w:val="21"/>
                <w:szCs w:val="21"/>
              </w:rPr>
              <w:t>危险化学品序号</w:t>
            </w:r>
          </w:p>
        </w:tc>
        <w:tc>
          <w:tcPr>
            <w:tcW w:w="1554" w:type="dxa"/>
          </w:tcPr>
          <w:p>
            <w:pPr>
              <w:pStyle w:val="38"/>
              <w:keepNext w:val="0"/>
              <w:keepLines w:val="0"/>
              <w:suppressLineNumbers w:val="0"/>
              <w:spacing w:before="166" w:beforeAutospacing="0" w:after="0" w:afterAutospacing="0"/>
              <w:ind w:left="237" w:right="146"/>
              <w:jc w:val="center"/>
              <w:rPr>
                <w:rFonts w:hint="default" w:ascii="Times New Roman" w:hAnsi="Times New Roman" w:cs="Times New Roman"/>
                <w:sz w:val="21"/>
                <w:szCs w:val="21"/>
              </w:rPr>
            </w:pPr>
            <w:r>
              <w:rPr>
                <w:rFonts w:hint="default" w:ascii="Times New Roman" w:hAnsi="Times New Roman" w:cs="Times New Roman"/>
                <w:sz w:val="21"/>
                <w:szCs w:val="21"/>
              </w:rPr>
              <w:t>1630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0" w:hRule="atLeast"/>
        </w:trPr>
        <w:tc>
          <w:tcPr>
            <w:tcW w:w="492" w:type="dxa"/>
            <w:vMerge w:val="continue"/>
            <w:tcBorders>
              <w:top w:val="nil"/>
            </w:tcBorders>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p>
        </w:tc>
        <w:tc>
          <w:tcPr>
            <w:tcW w:w="1846" w:type="dxa"/>
          </w:tcPr>
          <w:p>
            <w:pPr>
              <w:pStyle w:val="38"/>
              <w:keepNext w:val="0"/>
              <w:keepLines w:val="0"/>
              <w:suppressLineNumbers w:val="0"/>
              <w:spacing w:before="164" w:beforeAutospacing="0" w:after="0" w:afterAutospacing="0"/>
              <w:ind w:left="566" w:right="0"/>
              <w:rPr>
                <w:rFonts w:hint="default" w:ascii="Times New Roman" w:hAnsi="Times New Roman" w:cs="Times New Roman"/>
                <w:sz w:val="21"/>
                <w:szCs w:val="21"/>
              </w:rPr>
            </w:pPr>
            <w:r>
              <w:rPr>
                <w:rFonts w:hint="default" w:ascii="Times New Roman" w:hAnsi="Times New Roman" w:cs="Times New Roman"/>
                <w:sz w:val="21"/>
                <w:szCs w:val="21"/>
              </w:rPr>
              <w:t>英文名</w:t>
            </w:r>
          </w:p>
        </w:tc>
        <w:tc>
          <w:tcPr>
            <w:tcW w:w="3394" w:type="dxa"/>
            <w:gridSpan w:val="5"/>
          </w:tcPr>
          <w:p>
            <w:pPr>
              <w:pStyle w:val="38"/>
              <w:keepNext w:val="0"/>
              <w:keepLines w:val="0"/>
              <w:suppressLineNumbers w:val="0"/>
              <w:spacing w:before="164" w:beforeAutospacing="0" w:after="0" w:afterAutospacing="0"/>
              <w:ind w:left="871" w:right="0"/>
              <w:rPr>
                <w:rFonts w:hint="default" w:ascii="Times New Roman" w:hAnsi="Times New Roman" w:cs="Times New Roman"/>
                <w:sz w:val="21"/>
                <w:szCs w:val="21"/>
              </w:rPr>
            </w:pPr>
            <w:r>
              <w:rPr>
                <w:rFonts w:hint="default" w:ascii="Times New Roman" w:hAnsi="Times New Roman" w:cs="Times New Roman"/>
                <w:spacing w:val="8"/>
                <w:sz w:val="21"/>
                <w:szCs w:val="21"/>
              </w:rPr>
              <w:t>Gasoline；</w:t>
            </w:r>
            <w:r>
              <w:rPr>
                <w:rFonts w:hint="default" w:ascii="Times New Roman" w:hAnsi="Times New Roman" w:cs="Times New Roman"/>
                <w:spacing w:val="7"/>
                <w:sz w:val="21"/>
                <w:szCs w:val="21"/>
              </w:rPr>
              <w:t>Petrol</w:t>
            </w:r>
          </w:p>
        </w:tc>
        <w:tc>
          <w:tcPr>
            <w:tcW w:w="1887" w:type="dxa"/>
            <w:gridSpan w:val="2"/>
          </w:tcPr>
          <w:p>
            <w:pPr>
              <w:pStyle w:val="38"/>
              <w:keepNext w:val="0"/>
              <w:keepLines w:val="0"/>
              <w:suppressLineNumbers w:val="0"/>
              <w:spacing w:before="164" w:beforeAutospacing="0" w:after="0" w:afterAutospacing="0"/>
              <w:ind w:left="520" w:right="0"/>
              <w:rPr>
                <w:rFonts w:hint="default" w:ascii="Times New Roman" w:hAnsi="Times New Roman" w:cs="Times New Roman"/>
                <w:sz w:val="21"/>
                <w:szCs w:val="21"/>
              </w:rPr>
            </w:pPr>
            <w:r>
              <w:rPr>
                <w:rFonts w:hint="default" w:ascii="Times New Roman" w:hAnsi="Times New Roman" w:cs="Times New Roman"/>
                <w:sz w:val="21"/>
                <w:szCs w:val="21"/>
              </w:rPr>
              <w:t>CAS 号</w:t>
            </w:r>
          </w:p>
        </w:tc>
        <w:tc>
          <w:tcPr>
            <w:tcW w:w="1554" w:type="dxa"/>
          </w:tcPr>
          <w:p>
            <w:pPr>
              <w:pStyle w:val="38"/>
              <w:keepNext w:val="0"/>
              <w:keepLines w:val="0"/>
              <w:suppressLineNumbers w:val="0"/>
              <w:spacing w:before="174" w:beforeAutospacing="0" w:after="0" w:afterAutospacing="0"/>
              <w:ind w:left="237" w:right="245"/>
              <w:jc w:val="center"/>
              <w:rPr>
                <w:rFonts w:hint="default" w:ascii="Times New Roman" w:hAnsi="Times New Roman" w:cs="Times New Roman"/>
                <w:sz w:val="21"/>
                <w:szCs w:val="21"/>
              </w:rPr>
            </w:pPr>
            <w:r>
              <w:rPr>
                <w:rFonts w:hint="default" w:ascii="Times New Roman" w:hAnsi="Times New Roman" w:cs="Times New Roman"/>
                <w:sz w:val="21"/>
                <w:szCs w:val="21"/>
              </w:rPr>
              <w:t>86290-81-5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25" w:hRule="atLeast"/>
        </w:trPr>
        <w:tc>
          <w:tcPr>
            <w:tcW w:w="492" w:type="dxa"/>
            <w:vMerge w:val="restart"/>
          </w:tcPr>
          <w:p>
            <w:pPr>
              <w:pStyle w:val="38"/>
              <w:keepNext w:val="0"/>
              <w:keepLines w:val="0"/>
              <w:suppressLineNumbers w:val="0"/>
              <w:spacing w:before="111" w:beforeAutospacing="0" w:after="0" w:afterAutospacing="0" w:line="357" w:lineRule="auto"/>
              <w:ind w:left="126" w:right="131"/>
              <w:jc w:val="both"/>
              <w:rPr>
                <w:rFonts w:hint="default" w:ascii="Times New Roman" w:hAnsi="Times New Roman" w:cs="Times New Roman"/>
                <w:sz w:val="21"/>
                <w:szCs w:val="21"/>
              </w:rPr>
            </w:pPr>
            <w:r>
              <w:rPr>
                <w:rFonts w:hint="default" w:ascii="Times New Roman" w:hAnsi="Times New Roman" w:cs="Times New Roman"/>
                <w:sz w:val="21"/>
                <w:szCs w:val="21"/>
              </w:rPr>
              <w:t>理化性</w:t>
            </w:r>
          </w:p>
          <w:p>
            <w:pPr>
              <w:pStyle w:val="38"/>
              <w:keepNext w:val="0"/>
              <w:keepLines w:val="0"/>
              <w:suppressLineNumbers w:val="0"/>
              <w:spacing w:before="0" w:beforeAutospacing="0" w:after="0" w:afterAutospacing="0" w:line="267" w:lineRule="exact"/>
              <w:ind w:left="126" w:right="0"/>
              <w:jc w:val="both"/>
              <w:rPr>
                <w:rFonts w:hint="default" w:ascii="Times New Roman" w:hAnsi="Times New Roman" w:cs="Times New Roman"/>
                <w:sz w:val="21"/>
                <w:szCs w:val="21"/>
              </w:rPr>
            </w:pPr>
            <w:r>
              <w:rPr>
                <w:rFonts w:hint="default" w:ascii="Times New Roman" w:hAnsi="Times New Roman" w:cs="Times New Roman"/>
                <w:sz w:val="21"/>
                <w:szCs w:val="21"/>
              </w:rPr>
              <w:t>质</w:t>
            </w:r>
          </w:p>
        </w:tc>
        <w:tc>
          <w:tcPr>
            <w:tcW w:w="1846" w:type="dxa"/>
          </w:tcPr>
          <w:p>
            <w:pPr>
              <w:pStyle w:val="38"/>
              <w:keepNext w:val="0"/>
              <w:keepLines w:val="0"/>
              <w:suppressLineNumbers w:val="0"/>
              <w:spacing w:before="171" w:beforeAutospacing="0" w:after="0" w:afterAutospacing="0"/>
              <w:ind w:left="338" w:right="0"/>
              <w:rPr>
                <w:rFonts w:hint="default" w:ascii="Times New Roman" w:hAnsi="Times New Roman" w:cs="Times New Roman"/>
                <w:sz w:val="21"/>
                <w:szCs w:val="21"/>
              </w:rPr>
            </w:pPr>
            <w:r>
              <w:rPr>
                <w:rFonts w:hint="default" w:ascii="Times New Roman" w:hAnsi="Times New Roman" w:cs="Times New Roman"/>
                <w:sz w:val="21"/>
                <w:szCs w:val="21"/>
              </w:rPr>
              <w:t>外观与性状</w:t>
            </w:r>
          </w:p>
        </w:tc>
        <w:tc>
          <w:tcPr>
            <w:tcW w:w="6835" w:type="dxa"/>
            <w:gridSpan w:val="8"/>
          </w:tcPr>
          <w:p>
            <w:pPr>
              <w:pStyle w:val="38"/>
              <w:keepNext w:val="0"/>
              <w:keepLines w:val="0"/>
              <w:suppressLineNumbers w:val="0"/>
              <w:spacing w:before="171" w:beforeAutospacing="0" w:after="0" w:afterAutospacing="0"/>
              <w:ind w:left="107" w:right="0"/>
              <w:rPr>
                <w:rFonts w:hint="default" w:ascii="Times New Roman" w:hAnsi="Times New Roman" w:cs="Times New Roman"/>
                <w:sz w:val="21"/>
                <w:szCs w:val="21"/>
              </w:rPr>
            </w:pPr>
            <w:r>
              <w:rPr>
                <w:rFonts w:hint="default" w:ascii="Times New Roman" w:hAnsi="Times New Roman" w:cs="Times New Roman"/>
                <w:sz w:val="21"/>
                <w:szCs w:val="21"/>
              </w:rPr>
              <w:t>无色或淡黄色易挥发液体，具有特殊臭味。</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24" w:hRule="atLeast"/>
        </w:trPr>
        <w:tc>
          <w:tcPr>
            <w:tcW w:w="492" w:type="dxa"/>
            <w:vMerge w:val="continue"/>
            <w:tcBorders>
              <w:top w:val="nil"/>
            </w:tcBorders>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p>
        </w:tc>
        <w:tc>
          <w:tcPr>
            <w:tcW w:w="1846" w:type="dxa"/>
          </w:tcPr>
          <w:p>
            <w:pPr>
              <w:pStyle w:val="38"/>
              <w:keepNext w:val="0"/>
              <w:keepLines w:val="0"/>
              <w:suppressLineNumbers w:val="0"/>
              <w:spacing w:before="171" w:beforeAutospacing="0" w:after="0" w:afterAutospacing="0"/>
              <w:ind w:left="340" w:right="0"/>
              <w:rPr>
                <w:rFonts w:hint="default" w:ascii="Times New Roman" w:hAnsi="Times New Roman" w:cs="Times New Roman"/>
                <w:sz w:val="21"/>
                <w:szCs w:val="21"/>
              </w:rPr>
            </w:pPr>
            <w:r>
              <w:rPr>
                <w:rFonts w:hint="default" w:ascii="Times New Roman" w:hAnsi="Times New Roman" w:cs="Times New Roman"/>
                <w:spacing w:val="19"/>
                <w:w w:val="110"/>
                <w:sz w:val="21"/>
                <w:szCs w:val="21"/>
              </w:rPr>
              <w:t>熔点</w:t>
            </w:r>
            <w:r>
              <w:rPr>
                <w:rFonts w:hint="default" w:ascii="Times New Roman" w:hAnsi="Times New Roman" w:cs="Times New Roman"/>
                <w:w w:val="110"/>
                <w:sz w:val="21"/>
                <w:szCs w:val="21"/>
              </w:rPr>
              <w:t>（</w:t>
            </w:r>
            <w:r>
              <w:rPr>
                <w:rFonts w:hint="default" w:ascii="Times New Roman" w:hAnsi="Times New Roman" w:cs="Times New Roman"/>
                <w:spacing w:val="4"/>
                <w:w w:val="110"/>
                <w:sz w:val="21"/>
                <w:szCs w:val="21"/>
              </w:rPr>
              <w:t>℃）</w:t>
            </w:r>
          </w:p>
        </w:tc>
        <w:tc>
          <w:tcPr>
            <w:tcW w:w="2033" w:type="dxa"/>
            <w:gridSpan w:val="3"/>
          </w:tcPr>
          <w:p>
            <w:pPr>
              <w:pStyle w:val="38"/>
              <w:keepNext w:val="0"/>
              <w:keepLines w:val="0"/>
              <w:suppressLineNumbers w:val="0"/>
              <w:spacing w:before="171" w:beforeAutospacing="0" w:after="0" w:afterAutospacing="0"/>
              <w:ind w:left="740" w:right="727"/>
              <w:jc w:val="center"/>
              <w:rPr>
                <w:rFonts w:hint="default" w:ascii="Times New Roman" w:hAnsi="Times New Roman" w:cs="Times New Roman"/>
                <w:sz w:val="21"/>
                <w:szCs w:val="21"/>
              </w:rPr>
            </w:pPr>
            <w:r>
              <w:rPr>
                <w:rFonts w:hint="default" w:ascii="Times New Roman" w:hAnsi="Times New Roman" w:cs="Times New Roman"/>
                <w:sz w:val="21"/>
                <w:szCs w:val="21"/>
              </w:rPr>
              <w:t>＜-60</w:t>
            </w:r>
          </w:p>
        </w:tc>
        <w:tc>
          <w:tcPr>
            <w:tcW w:w="2122" w:type="dxa"/>
            <w:gridSpan w:val="3"/>
          </w:tcPr>
          <w:p>
            <w:pPr>
              <w:pStyle w:val="38"/>
              <w:keepNext w:val="0"/>
              <w:keepLines w:val="0"/>
              <w:suppressLineNumbers w:val="0"/>
              <w:spacing w:before="171" w:beforeAutospacing="0" w:after="0" w:afterAutospacing="0"/>
              <w:ind w:left="277" w:right="0"/>
              <w:rPr>
                <w:rFonts w:hint="default" w:ascii="Times New Roman" w:hAnsi="Times New Roman" w:cs="Times New Roman"/>
                <w:sz w:val="21"/>
                <w:szCs w:val="21"/>
              </w:rPr>
            </w:pPr>
            <w:r>
              <w:rPr>
                <w:rFonts w:hint="default" w:ascii="Times New Roman" w:hAnsi="Times New Roman" w:cs="Times New Roman"/>
                <w:sz w:val="21"/>
                <w:szCs w:val="21"/>
              </w:rPr>
              <w:t>相对密度(水=1)</w:t>
            </w:r>
          </w:p>
        </w:tc>
        <w:tc>
          <w:tcPr>
            <w:tcW w:w="2680" w:type="dxa"/>
            <w:gridSpan w:val="2"/>
          </w:tcPr>
          <w:p>
            <w:pPr>
              <w:pStyle w:val="38"/>
              <w:keepNext w:val="0"/>
              <w:keepLines w:val="0"/>
              <w:suppressLineNumbers w:val="0"/>
              <w:spacing w:before="171" w:beforeAutospacing="0" w:after="0" w:afterAutospacing="0"/>
              <w:ind w:left="854" w:right="0"/>
              <w:rPr>
                <w:rFonts w:hint="default" w:ascii="Times New Roman" w:hAnsi="Times New Roman" w:cs="Times New Roman"/>
                <w:sz w:val="21"/>
                <w:szCs w:val="21"/>
              </w:rPr>
            </w:pPr>
            <w:r>
              <w:rPr>
                <w:rFonts w:hint="default" w:ascii="Times New Roman" w:hAnsi="Times New Roman" w:cs="Times New Roman"/>
                <w:sz w:val="21"/>
                <w:szCs w:val="21"/>
              </w:rPr>
              <w:t>0.70～0.80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25" w:hRule="atLeast"/>
        </w:trPr>
        <w:tc>
          <w:tcPr>
            <w:tcW w:w="492" w:type="dxa"/>
            <w:vMerge w:val="continue"/>
            <w:tcBorders>
              <w:top w:val="nil"/>
            </w:tcBorders>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p>
        </w:tc>
        <w:tc>
          <w:tcPr>
            <w:tcW w:w="1846" w:type="dxa"/>
          </w:tcPr>
          <w:p>
            <w:pPr>
              <w:pStyle w:val="38"/>
              <w:keepNext w:val="0"/>
              <w:keepLines w:val="0"/>
              <w:suppressLineNumbers w:val="0"/>
              <w:spacing w:before="172" w:beforeAutospacing="0" w:after="0" w:afterAutospacing="0"/>
              <w:ind w:left="340" w:right="0"/>
              <w:rPr>
                <w:rFonts w:hint="default" w:ascii="Times New Roman" w:hAnsi="Times New Roman" w:cs="Times New Roman"/>
                <w:sz w:val="21"/>
                <w:szCs w:val="21"/>
              </w:rPr>
            </w:pPr>
            <w:r>
              <w:rPr>
                <w:rFonts w:hint="default" w:ascii="Times New Roman" w:hAnsi="Times New Roman" w:cs="Times New Roman"/>
                <w:spacing w:val="19"/>
                <w:w w:val="110"/>
                <w:sz w:val="21"/>
                <w:szCs w:val="21"/>
              </w:rPr>
              <w:t>沸点</w:t>
            </w:r>
            <w:r>
              <w:rPr>
                <w:rFonts w:hint="default" w:ascii="Times New Roman" w:hAnsi="Times New Roman" w:cs="Times New Roman"/>
                <w:w w:val="110"/>
                <w:sz w:val="21"/>
                <w:szCs w:val="21"/>
              </w:rPr>
              <w:t>（</w:t>
            </w:r>
            <w:r>
              <w:rPr>
                <w:rFonts w:hint="default" w:ascii="Times New Roman" w:hAnsi="Times New Roman" w:cs="Times New Roman"/>
                <w:spacing w:val="4"/>
                <w:w w:val="110"/>
                <w:sz w:val="21"/>
                <w:szCs w:val="21"/>
              </w:rPr>
              <w:t>℃）</w:t>
            </w:r>
          </w:p>
        </w:tc>
        <w:tc>
          <w:tcPr>
            <w:tcW w:w="2033" w:type="dxa"/>
            <w:gridSpan w:val="3"/>
          </w:tcPr>
          <w:p>
            <w:pPr>
              <w:pStyle w:val="38"/>
              <w:keepNext w:val="0"/>
              <w:keepLines w:val="0"/>
              <w:suppressLineNumbers w:val="0"/>
              <w:spacing w:before="172" w:beforeAutospacing="0" w:after="0" w:afterAutospacing="0"/>
              <w:ind w:left="604" w:right="0"/>
              <w:rPr>
                <w:rFonts w:hint="default" w:ascii="Times New Roman" w:hAnsi="Times New Roman" w:cs="Times New Roman"/>
                <w:sz w:val="21"/>
                <w:szCs w:val="21"/>
              </w:rPr>
            </w:pPr>
            <w:r>
              <w:rPr>
                <w:rFonts w:hint="default" w:ascii="Times New Roman" w:hAnsi="Times New Roman" w:cs="Times New Roman"/>
                <w:spacing w:val="6"/>
                <w:sz w:val="21"/>
                <w:szCs w:val="21"/>
              </w:rPr>
              <w:t>40～</w:t>
            </w:r>
            <w:r>
              <w:rPr>
                <w:rFonts w:hint="default" w:ascii="Times New Roman" w:hAnsi="Times New Roman" w:cs="Times New Roman"/>
                <w:spacing w:val="9"/>
                <w:sz w:val="21"/>
                <w:szCs w:val="21"/>
              </w:rPr>
              <w:t>200</w:t>
            </w:r>
          </w:p>
        </w:tc>
        <w:tc>
          <w:tcPr>
            <w:tcW w:w="2122" w:type="dxa"/>
            <w:gridSpan w:val="3"/>
          </w:tcPr>
          <w:p>
            <w:pPr>
              <w:pStyle w:val="38"/>
              <w:keepNext w:val="0"/>
              <w:keepLines w:val="0"/>
              <w:suppressLineNumbers w:val="0"/>
              <w:spacing w:before="172" w:beforeAutospacing="0" w:after="0" w:afterAutospacing="0"/>
              <w:ind w:left="111" w:right="0"/>
              <w:rPr>
                <w:rFonts w:hint="default" w:ascii="Times New Roman" w:hAnsi="Times New Roman" w:cs="Times New Roman"/>
                <w:sz w:val="21"/>
                <w:szCs w:val="21"/>
              </w:rPr>
            </w:pPr>
            <w:r>
              <w:rPr>
                <w:rFonts w:hint="default" w:ascii="Times New Roman" w:hAnsi="Times New Roman" w:cs="Times New Roman"/>
                <w:spacing w:val="19"/>
                <w:sz w:val="21"/>
                <w:szCs w:val="21"/>
              </w:rPr>
              <w:t>饱和蒸汽压</w:t>
            </w:r>
            <w:r>
              <w:rPr>
                <w:rFonts w:hint="default" w:ascii="Times New Roman" w:hAnsi="Times New Roman" w:cs="Times New Roman"/>
                <w:sz w:val="21"/>
                <w:szCs w:val="21"/>
              </w:rPr>
              <w:t>（</w:t>
            </w:r>
            <w:r>
              <w:rPr>
                <w:rFonts w:hint="default" w:ascii="Times New Roman" w:hAnsi="Times New Roman" w:cs="Times New Roman"/>
                <w:spacing w:val="7"/>
                <w:sz w:val="21"/>
                <w:szCs w:val="21"/>
              </w:rPr>
              <w:t>kPa）</w:t>
            </w:r>
          </w:p>
        </w:tc>
        <w:tc>
          <w:tcPr>
            <w:tcW w:w="2680" w:type="dxa"/>
            <w:gridSpan w:val="2"/>
          </w:tcPr>
          <w:p>
            <w:pPr>
              <w:pStyle w:val="38"/>
              <w:keepNext w:val="0"/>
              <w:keepLines w:val="0"/>
              <w:suppressLineNumbers w:val="0"/>
              <w:spacing w:before="186" w:beforeAutospacing="0" w:after="0" w:afterAutospacing="0"/>
              <w:ind w:left="10" w:right="0"/>
              <w:jc w:val="center"/>
              <w:rPr>
                <w:rFonts w:hint="default" w:ascii="Times New Roman" w:hAnsi="Times New Roman" w:cs="Times New Roman"/>
                <w:sz w:val="21"/>
                <w:szCs w:val="21"/>
              </w:rPr>
            </w:pPr>
            <w:r>
              <w:rPr>
                <w:rFonts w:hint="default" w:ascii="Times New Roman" w:hAnsi="Times New Roman" w:cs="Times New Roman"/>
                <w:sz w:val="21"/>
                <w:szCs w:val="21"/>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0" w:hRule="atLeast"/>
        </w:trPr>
        <w:tc>
          <w:tcPr>
            <w:tcW w:w="492" w:type="dxa"/>
            <w:vMerge w:val="restart"/>
          </w:tcPr>
          <w:p>
            <w:pPr>
              <w:pStyle w:val="38"/>
              <w:keepNext w:val="0"/>
              <w:keepLines w:val="0"/>
              <w:suppressLineNumbers w:val="0"/>
              <w:spacing w:before="0" w:beforeAutospacing="0" w:after="0" w:afterAutospacing="0"/>
              <w:ind w:left="0" w:right="0"/>
              <w:rPr>
                <w:rFonts w:hint="default" w:ascii="Times New Roman" w:hAnsi="Times New Roman" w:cs="Times New Roman"/>
                <w:sz w:val="21"/>
                <w:szCs w:val="21"/>
              </w:rPr>
            </w:pPr>
          </w:p>
          <w:p>
            <w:pPr>
              <w:pStyle w:val="38"/>
              <w:keepNext w:val="0"/>
              <w:keepLines w:val="0"/>
              <w:suppressLineNumbers w:val="0"/>
              <w:spacing w:before="0" w:beforeAutospacing="0" w:after="0" w:afterAutospacing="0"/>
              <w:ind w:left="0" w:right="0"/>
              <w:rPr>
                <w:rFonts w:hint="default" w:ascii="Times New Roman" w:hAnsi="Times New Roman" w:cs="Times New Roman"/>
                <w:sz w:val="21"/>
                <w:szCs w:val="21"/>
              </w:rPr>
            </w:pPr>
          </w:p>
          <w:p>
            <w:pPr>
              <w:pStyle w:val="38"/>
              <w:keepNext w:val="0"/>
              <w:keepLines w:val="0"/>
              <w:suppressLineNumbers w:val="0"/>
              <w:spacing w:before="0" w:beforeAutospacing="0" w:after="0" w:afterAutospacing="0"/>
              <w:ind w:left="0" w:right="0"/>
              <w:rPr>
                <w:rFonts w:hint="default" w:ascii="Times New Roman" w:hAnsi="Times New Roman" w:cs="Times New Roman"/>
                <w:sz w:val="21"/>
                <w:szCs w:val="21"/>
              </w:rPr>
            </w:pPr>
          </w:p>
          <w:p>
            <w:pPr>
              <w:pStyle w:val="38"/>
              <w:keepNext w:val="0"/>
              <w:keepLines w:val="0"/>
              <w:suppressLineNumbers w:val="0"/>
              <w:spacing w:before="0" w:beforeAutospacing="0" w:after="0" w:afterAutospacing="0"/>
              <w:ind w:left="0" w:right="0"/>
              <w:rPr>
                <w:rFonts w:hint="default" w:ascii="Times New Roman" w:hAnsi="Times New Roman" w:cs="Times New Roman"/>
                <w:sz w:val="21"/>
                <w:szCs w:val="21"/>
              </w:rPr>
            </w:pPr>
          </w:p>
          <w:p>
            <w:pPr>
              <w:pStyle w:val="38"/>
              <w:keepNext w:val="0"/>
              <w:keepLines w:val="0"/>
              <w:suppressLineNumbers w:val="0"/>
              <w:spacing w:before="1" w:beforeAutospacing="0" w:after="0" w:afterAutospacing="0"/>
              <w:ind w:left="0" w:right="0"/>
              <w:rPr>
                <w:rFonts w:hint="default" w:ascii="Times New Roman" w:hAnsi="Times New Roman" w:cs="Times New Roman"/>
                <w:sz w:val="21"/>
                <w:szCs w:val="21"/>
              </w:rPr>
            </w:pPr>
          </w:p>
          <w:p>
            <w:pPr>
              <w:pStyle w:val="38"/>
              <w:keepNext w:val="0"/>
              <w:keepLines w:val="0"/>
              <w:suppressLineNumbers w:val="0"/>
              <w:spacing w:before="0" w:beforeAutospacing="0" w:after="0" w:afterAutospacing="0" w:line="357" w:lineRule="auto"/>
              <w:ind w:left="126" w:right="131"/>
              <w:jc w:val="both"/>
              <w:rPr>
                <w:rFonts w:hint="default" w:ascii="Times New Roman" w:hAnsi="Times New Roman" w:cs="Times New Roman"/>
                <w:sz w:val="21"/>
                <w:szCs w:val="21"/>
              </w:rPr>
            </w:pPr>
            <w:r>
              <w:rPr>
                <w:rFonts w:hint="default" w:ascii="Times New Roman" w:hAnsi="Times New Roman" w:cs="Times New Roman"/>
                <w:sz w:val="21"/>
                <w:szCs w:val="21"/>
              </w:rPr>
              <w:t>健康危害</w:t>
            </w:r>
          </w:p>
        </w:tc>
        <w:tc>
          <w:tcPr>
            <w:tcW w:w="1846" w:type="dxa"/>
          </w:tcPr>
          <w:p>
            <w:pPr>
              <w:pStyle w:val="38"/>
              <w:keepNext w:val="0"/>
              <w:keepLines w:val="0"/>
              <w:suppressLineNumbers w:val="0"/>
              <w:spacing w:before="109" w:beforeAutospacing="0" w:after="0" w:afterAutospacing="0"/>
              <w:ind w:left="453" w:right="0"/>
              <w:rPr>
                <w:rFonts w:hint="default" w:ascii="Times New Roman" w:hAnsi="Times New Roman" w:cs="Times New Roman"/>
                <w:sz w:val="21"/>
                <w:szCs w:val="21"/>
              </w:rPr>
            </w:pPr>
            <w:r>
              <w:rPr>
                <w:rFonts w:hint="default" w:ascii="Times New Roman" w:hAnsi="Times New Roman" w:cs="Times New Roman"/>
                <w:sz w:val="21"/>
                <w:szCs w:val="21"/>
              </w:rPr>
              <w:t>侵入途径</w:t>
            </w:r>
          </w:p>
        </w:tc>
        <w:tc>
          <w:tcPr>
            <w:tcW w:w="6835" w:type="dxa"/>
            <w:gridSpan w:val="8"/>
          </w:tcPr>
          <w:p>
            <w:pPr>
              <w:pStyle w:val="38"/>
              <w:keepNext w:val="0"/>
              <w:keepLines w:val="0"/>
              <w:suppressLineNumbers w:val="0"/>
              <w:spacing w:before="109" w:beforeAutospacing="0" w:after="0" w:afterAutospacing="0"/>
              <w:ind w:left="107" w:right="0"/>
              <w:rPr>
                <w:rFonts w:hint="default" w:ascii="Times New Roman" w:hAnsi="Times New Roman" w:cs="Times New Roman"/>
                <w:sz w:val="21"/>
                <w:szCs w:val="21"/>
              </w:rPr>
            </w:pPr>
            <w:r>
              <w:rPr>
                <w:rFonts w:hint="default" w:ascii="Times New Roman" w:hAnsi="Times New Roman" w:cs="Times New Roman"/>
                <w:sz w:val="21"/>
                <w:szCs w:val="21"/>
              </w:rPr>
              <w:t>吸入、食入、经皮吸收。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99" w:hRule="atLeast"/>
        </w:trPr>
        <w:tc>
          <w:tcPr>
            <w:tcW w:w="492" w:type="dxa"/>
            <w:vMerge w:val="continue"/>
            <w:tcBorders>
              <w:top w:val="nil"/>
            </w:tcBorders>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p>
        </w:tc>
        <w:tc>
          <w:tcPr>
            <w:tcW w:w="1846" w:type="dxa"/>
          </w:tcPr>
          <w:p>
            <w:pPr>
              <w:pStyle w:val="38"/>
              <w:keepNext w:val="0"/>
              <w:keepLines w:val="0"/>
              <w:suppressLineNumbers w:val="0"/>
              <w:spacing w:before="0" w:beforeAutospacing="0" w:after="0" w:afterAutospacing="0"/>
              <w:ind w:left="0" w:right="0"/>
              <w:rPr>
                <w:rFonts w:hint="default" w:ascii="Times New Roman" w:hAnsi="Times New Roman" w:cs="Times New Roman"/>
                <w:sz w:val="21"/>
                <w:szCs w:val="21"/>
              </w:rPr>
            </w:pPr>
          </w:p>
          <w:p>
            <w:pPr>
              <w:pStyle w:val="38"/>
              <w:keepNext w:val="0"/>
              <w:keepLines w:val="0"/>
              <w:suppressLineNumbers w:val="0"/>
              <w:spacing w:before="0" w:beforeAutospacing="0" w:after="0" w:afterAutospacing="0"/>
              <w:ind w:left="0" w:right="0"/>
              <w:rPr>
                <w:rFonts w:hint="default" w:ascii="Times New Roman" w:hAnsi="Times New Roman" w:cs="Times New Roman"/>
                <w:sz w:val="21"/>
                <w:szCs w:val="21"/>
              </w:rPr>
            </w:pPr>
          </w:p>
          <w:p>
            <w:pPr>
              <w:pStyle w:val="38"/>
              <w:keepNext w:val="0"/>
              <w:keepLines w:val="0"/>
              <w:suppressLineNumbers w:val="0"/>
              <w:spacing w:before="0" w:beforeAutospacing="0" w:after="0" w:afterAutospacing="0"/>
              <w:ind w:left="0" w:right="0"/>
              <w:rPr>
                <w:rFonts w:hint="default" w:ascii="Times New Roman" w:hAnsi="Times New Roman" w:cs="Times New Roman"/>
                <w:sz w:val="21"/>
                <w:szCs w:val="21"/>
              </w:rPr>
            </w:pPr>
          </w:p>
          <w:p>
            <w:pPr>
              <w:pStyle w:val="38"/>
              <w:keepNext w:val="0"/>
              <w:keepLines w:val="0"/>
              <w:suppressLineNumbers w:val="0"/>
              <w:spacing w:before="0" w:beforeAutospacing="0" w:after="0" w:afterAutospacing="0"/>
              <w:ind w:left="0" w:right="0"/>
              <w:rPr>
                <w:rFonts w:hint="default" w:ascii="Times New Roman" w:hAnsi="Times New Roman" w:cs="Times New Roman"/>
                <w:sz w:val="21"/>
                <w:szCs w:val="21"/>
              </w:rPr>
            </w:pPr>
          </w:p>
          <w:p>
            <w:pPr>
              <w:pStyle w:val="38"/>
              <w:keepNext w:val="0"/>
              <w:keepLines w:val="0"/>
              <w:suppressLineNumbers w:val="0"/>
              <w:spacing w:before="0" w:beforeAutospacing="0" w:after="0" w:afterAutospacing="0"/>
              <w:ind w:left="0" w:right="0"/>
              <w:rPr>
                <w:rFonts w:hint="default" w:ascii="Times New Roman" w:hAnsi="Times New Roman" w:cs="Times New Roman"/>
                <w:sz w:val="21"/>
                <w:szCs w:val="21"/>
              </w:rPr>
            </w:pPr>
          </w:p>
          <w:p>
            <w:pPr>
              <w:pStyle w:val="38"/>
              <w:keepNext w:val="0"/>
              <w:keepLines w:val="0"/>
              <w:suppressLineNumbers w:val="0"/>
              <w:spacing w:before="0" w:beforeAutospacing="0" w:after="0" w:afterAutospacing="0"/>
              <w:ind w:left="0" w:right="0"/>
              <w:rPr>
                <w:rFonts w:hint="default" w:ascii="Times New Roman" w:hAnsi="Times New Roman" w:cs="Times New Roman"/>
                <w:sz w:val="21"/>
                <w:szCs w:val="21"/>
              </w:rPr>
            </w:pPr>
          </w:p>
          <w:p>
            <w:pPr>
              <w:pStyle w:val="38"/>
              <w:keepNext w:val="0"/>
              <w:keepLines w:val="0"/>
              <w:suppressLineNumbers w:val="0"/>
              <w:spacing w:before="128" w:beforeAutospacing="0" w:after="0" w:afterAutospacing="0"/>
              <w:ind w:left="453" w:right="0"/>
              <w:rPr>
                <w:rFonts w:hint="default" w:ascii="Times New Roman" w:hAnsi="Times New Roman" w:cs="Times New Roman"/>
                <w:sz w:val="21"/>
                <w:szCs w:val="21"/>
              </w:rPr>
            </w:pPr>
            <w:r>
              <w:rPr>
                <w:rFonts w:hint="default" w:ascii="Times New Roman" w:hAnsi="Times New Roman" w:cs="Times New Roman"/>
                <w:sz w:val="21"/>
                <w:szCs w:val="21"/>
              </w:rPr>
              <w:t>健康危害</w:t>
            </w:r>
          </w:p>
        </w:tc>
        <w:tc>
          <w:tcPr>
            <w:tcW w:w="6835" w:type="dxa"/>
            <w:gridSpan w:val="8"/>
          </w:tcPr>
          <w:p>
            <w:pPr>
              <w:pStyle w:val="38"/>
              <w:keepNext w:val="0"/>
              <w:keepLines w:val="0"/>
              <w:suppressLineNumbers w:val="0"/>
              <w:spacing w:before="109" w:beforeAutospacing="0" w:after="0" w:afterAutospacing="0" w:line="357" w:lineRule="auto"/>
              <w:ind w:left="107" w:right="107"/>
              <w:jc w:val="both"/>
              <w:rPr>
                <w:rFonts w:hint="default" w:ascii="Times New Roman" w:hAnsi="Times New Roman" w:cs="Times New Roman"/>
                <w:sz w:val="21"/>
                <w:szCs w:val="21"/>
              </w:rPr>
            </w:pPr>
            <w:r>
              <w:rPr>
                <w:rFonts w:hint="default" w:ascii="Times New Roman" w:hAnsi="Times New Roman" w:cs="Times New Roman"/>
                <w:sz w:val="21"/>
                <w:szCs w:val="21"/>
              </w:rPr>
              <w:t>主要作用于中枢神经系统。急性中毒症状有头晕、头痛、恶心、呕吐、步态不稳、共济失调。高浓度吸入出现中毒性脑病。极高浓度吸入引起意识突然丧失、反射性呼吸停止及化学性肺炎。可伴有中毒性周围神经病。液体吸入呼吸道致吸入性肺炎。溅入眼内，可致角膜溃疡、穿孔，甚至失明。皮肤接触致急性接触性皮炎或过敏性皮炎。急性经口中毒引起急性胃肠炎；重者出现类似急性吸入中毒症状。慢性中毒：神经衰弱综合征，周围神经病，皮肤损害。</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0" w:hRule="atLeast"/>
        </w:trPr>
        <w:tc>
          <w:tcPr>
            <w:tcW w:w="492" w:type="dxa"/>
            <w:vMerge w:val="restart"/>
          </w:tcPr>
          <w:p>
            <w:pPr>
              <w:pStyle w:val="38"/>
              <w:keepNext w:val="0"/>
              <w:keepLines w:val="0"/>
              <w:suppressLineNumbers w:val="0"/>
              <w:spacing w:before="0" w:beforeAutospacing="0" w:after="0" w:afterAutospacing="0"/>
              <w:ind w:left="0" w:right="0"/>
              <w:rPr>
                <w:rFonts w:hint="default" w:ascii="Times New Roman" w:hAnsi="Times New Roman" w:cs="Times New Roman"/>
                <w:sz w:val="21"/>
                <w:szCs w:val="21"/>
              </w:rPr>
            </w:pPr>
          </w:p>
          <w:p>
            <w:pPr>
              <w:pStyle w:val="38"/>
              <w:keepNext w:val="0"/>
              <w:keepLines w:val="0"/>
              <w:suppressLineNumbers w:val="0"/>
              <w:spacing w:before="0" w:beforeAutospacing="0" w:after="0" w:afterAutospacing="0"/>
              <w:ind w:left="0" w:right="0"/>
              <w:rPr>
                <w:rFonts w:hint="default" w:ascii="Times New Roman" w:hAnsi="Times New Roman" w:cs="Times New Roman"/>
                <w:sz w:val="21"/>
                <w:szCs w:val="21"/>
              </w:rPr>
            </w:pPr>
          </w:p>
          <w:p>
            <w:pPr>
              <w:pStyle w:val="38"/>
              <w:keepNext w:val="0"/>
              <w:keepLines w:val="0"/>
              <w:suppressLineNumbers w:val="0"/>
              <w:spacing w:before="2" w:beforeAutospacing="0" w:after="0" w:afterAutospacing="0"/>
              <w:ind w:left="0" w:right="0"/>
              <w:rPr>
                <w:rFonts w:hint="default" w:ascii="Times New Roman" w:hAnsi="Times New Roman" w:cs="Times New Roman"/>
                <w:sz w:val="21"/>
                <w:szCs w:val="21"/>
              </w:rPr>
            </w:pPr>
          </w:p>
          <w:p>
            <w:pPr>
              <w:pStyle w:val="38"/>
              <w:keepNext w:val="0"/>
              <w:keepLines w:val="0"/>
              <w:suppressLineNumbers w:val="0"/>
              <w:spacing w:before="0" w:beforeAutospacing="0" w:after="0" w:afterAutospacing="0" w:line="357" w:lineRule="auto"/>
              <w:ind w:left="126" w:right="131"/>
              <w:jc w:val="both"/>
              <w:rPr>
                <w:rFonts w:hint="default" w:ascii="Times New Roman" w:hAnsi="Times New Roman" w:cs="Times New Roman"/>
                <w:sz w:val="21"/>
                <w:szCs w:val="21"/>
              </w:rPr>
            </w:pPr>
            <w:r>
              <w:rPr>
                <w:rFonts w:hint="default" w:ascii="Times New Roman" w:hAnsi="Times New Roman" w:cs="Times New Roman"/>
                <w:sz w:val="21"/>
                <w:szCs w:val="21"/>
              </w:rPr>
              <w:t>燃烧爆炸危险性</w:t>
            </w:r>
          </w:p>
        </w:tc>
        <w:tc>
          <w:tcPr>
            <w:tcW w:w="1846" w:type="dxa"/>
          </w:tcPr>
          <w:p>
            <w:pPr>
              <w:pStyle w:val="38"/>
              <w:keepNext w:val="0"/>
              <w:keepLines w:val="0"/>
              <w:suppressLineNumbers w:val="0"/>
              <w:spacing w:before="111" w:beforeAutospacing="0" w:after="0" w:afterAutospacing="0"/>
              <w:ind w:left="566" w:right="0"/>
              <w:rPr>
                <w:rFonts w:hint="default" w:ascii="Times New Roman" w:hAnsi="Times New Roman" w:cs="Times New Roman"/>
                <w:sz w:val="21"/>
                <w:szCs w:val="21"/>
              </w:rPr>
            </w:pPr>
            <w:r>
              <w:rPr>
                <w:rFonts w:hint="default" w:ascii="Times New Roman" w:hAnsi="Times New Roman" w:cs="Times New Roman"/>
                <w:sz w:val="21"/>
                <w:szCs w:val="21"/>
              </w:rPr>
              <w:t>燃烧性</w:t>
            </w:r>
          </w:p>
        </w:tc>
        <w:tc>
          <w:tcPr>
            <w:tcW w:w="1818" w:type="dxa"/>
            <w:gridSpan w:val="2"/>
          </w:tcPr>
          <w:p>
            <w:pPr>
              <w:pStyle w:val="38"/>
              <w:keepNext w:val="0"/>
              <w:keepLines w:val="0"/>
              <w:suppressLineNumbers w:val="0"/>
              <w:spacing w:before="111" w:beforeAutospacing="0" w:after="0" w:afterAutospacing="0"/>
              <w:ind w:left="661" w:right="646"/>
              <w:jc w:val="center"/>
              <w:rPr>
                <w:rFonts w:hint="default" w:ascii="Times New Roman" w:hAnsi="Times New Roman" w:cs="Times New Roman"/>
                <w:sz w:val="21"/>
                <w:szCs w:val="21"/>
              </w:rPr>
            </w:pPr>
            <w:r>
              <w:rPr>
                <w:rFonts w:hint="default" w:ascii="Times New Roman" w:hAnsi="Times New Roman" w:cs="Times New Roman"/>
                <w:sz w:val="21"/>
                <w:szCs w:val="21"/>
              </w:rPr>
              <w:t>易燃</w:t>
            </w:r>
          </w:p>
        </w:tc>
        <w:tc>
          <w:tcPr>
            <w:tcW w:w="2337" w:type="dxa"/>
            <w:gridSpan w:val="4"/>
          </w:tcPr>
          <w:p>
            <w:pPr>
              <w:pStyle w:val="38"/>
              <w:keepNext w:val="0"/>
              <w:keepLines w:val="0"/>
              <w:suppressLineNumbers w:val="0"/>
              <w:spacing w:before="111" w:beforeAutospacing="0" w:after="0" w:afterAutospacing="0"/>
              <w:ind w:left="584" w:right="0"/>
              <w:rPr>
                <w:rFonts w:hint="default" w:ascii="Times New Roman" w:hAnsi="Times New Roman" w:cs="Times New Roman"/>
                <w:sz w:val="21"/>
                <w:szCs w:val="21"/>
              </w:rPr>
            </w:pPr>
            <w:r>
              <w:rPr>
                <w:rFonts w:hint="default" w:ascii="Times New Roman" w:hAnsi="Times New Roman" w:cs="Times New Roman"/>
                <w:sz w:val="21"/>
                <w:szCs w:val="21"/>
              </w:rPr>
              <w:t>燃烧分解物</w:t>
            </w:r>
          </w:p>
        </w:tc>
        <w:tc>
          <w:tcPr>
            <w:tcW w:w="2680" w:type="dxa"/>
            <w:gridSpan w:val="2"/>
          </w:tcPr>
          <w:p>
            <w:pPr>
              <w:pStyle w:val="38"/>
              <w:keepNext w:val="0"/>
              <w:keepLines w:val="0"/>
              <w:suppressLineNumbers w:val="0"/>
              <w:spacing w:before="111" w:beforeAutospacing="0" w:after="0" w:afterAutospacing="0"/>
              <w:ind w:left="278" w:right="0"/>
              <w:rPr>
                <w:rFonts w:hint="default" w:ascii="Times New Roman" w:hAnsi="Times New Roman" w:cs="Times New Roman"/>
                <w:sz w:val="21"/>
                <w:szCs w:val="21"/>
              </w:rPr>
            </w:pPr>
            <w:r>
              <w:rPr>
                <w:rFonts w:hint="default" w:ascii="Times New Roman" w:hAnsi="Times New Roman" w:cs="Times New Roman"/>
                <w:sz w:val="21"/>
                <w:szCs w:val="21"/>
              </w:rPr>
              <w:t>一氧化碳、二氧化碳。</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26" w:hRule="atLeast"/>
        </w:trPr>
        <w:tc>
          <w:tcPr>
            <w:tcW w:w="492" w:type="dxa"/>
            <w:vMerge w:val="continue"/>
            <w:tcBorders>
              <w:top w:val="nil"/>
            </w:tcBorders>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p>
        </w:tc>
        <w:tc>
          <w:tcPr>
            <w:tcW w:w="1846" w:type="dxa"/>
          </w:tcPr>
          <w:p>
            <w:pPr>
              <w:pStyle w:val="38"/>
              <w:keepNext w:val="0"/>
              <w:keepLines w:val="0"/>
              <w:suppressLineNumbers w:val="0"/>
              <w:spacing w:before="123" w:beforeAutospacing="0" w:after="0" w:afterAutospacing="0"/>
              <w:ind w:left="491" w:right="0"/>
              <w:rPr>
                <w:rFonts w:hint="default" w:ascii="Times New Roman" w:hAnsi="Times New Roman" w:cs="Times New Roman"/>
                <w:sz w:val="21"/>
                <w:szCs w:val="21"/>
              </w:rPr>
            </w:pPr>
            <w:r>
              <w:rPr>
                <w:rFonts w:hint="default" w:ascii="Times New Roman" w:hAnsi="Times New Roman" w:cs="Times New Roman"/>
                <w:sz w:val="21"/>
                <w:szCs w:val="21"/>
              </w:rPr>
              <w:t xml:space="preserve">闪点(℃) </w:t>
            </w:r>
          </w:p>
        </w:tc>
        <w:tc>
          <w:tcPr>
            <w:tcW w:w="1818" w:type="dxa"/>
            <w:gridSpan w:val="2"/>
          </w:tcPr>
          <w:p>
            <w:pPr>
              <w:pStyle w:val="38"/>
              <w:keepNext w:val="0"/>
              <w:keepLines w:val="0"/>
              <w:suppressLineNumbers w:val="0"/>
              <w:spacing w:before="137" w:beforeAutospacing="0" w:after="0" w:afterAutospacing="0"/>
              <w:ind w:left="661" w:right="651"/>
              <w:jc w:val="center"/>
              <w:rPr>
                <w:rFonts w:hint="default" w:ascii="Times New Roman" w:hAnsi="Times New Roman" w:cs="Times New Roman"/>
                <w:sz w:val="21"/>
                <w:szCs w:val="21"/>
              </w:rPr>
            </w:pPr>
            <w:r>
              <w:rPr>
                <w:rFonts w:hint="default" w:ascii="Times New Roman" w:hAnsi="Times New Roman" w:cs="Times New Roman"/>
                <w:sz w:val="21"/>
                <w:szCs w:val="21"/>
              </w:rPr>
              <w:t>-46</w:t>
            </w:r>
          </w:p>
        </w:tc>
        <w:tc>
          <w:tcPr>
            <w:tcW w:w="2337" w:type="dxa"/>
            <w:gridSpan w:val="4"/>
          </w:tcPr>
          <w:p>
            <w:pPr>
              <w:pStyle w:val="38"/>
              <w:keepNext w:val="0"/>
              <w:keepLines w:val="0"/>
              <w:suppressLineNumbers w:val="0"/>
              <w:spacing w:before="123" w:beforeAutospacing="0" w:after="0" w:afterAutospacing="0"/>
              <w:ind w:left="320" w:right="0"/>
              <w:rPr>
                <w:rFonts w:hint="default" w:ascii="Times New Roman" w:hAnsi="Times New Roman" w:cs="Times New Roman"/>
                <w:sz w:val="21"/>
                <w:szCs w:val="21"/>
              </w:rPr>
            </w:pPr>
            <w:r>
              <w:rPr>
                <w:rFonts w:hint="default" w:ascii="Times New Roman" w:hAnsi="Times New Roman" w:cs="Times New Roman"/>
                <w:spacing w:val="19"/>
                <w:sz w:val="21"/>
                <w:szCs w:val="21"/>
              </w:rPr>
              <w:t>爆炸上限</w:t>
            </w:r>
            <w:r>
              <w:rPr>
                <w:rFonts w:hint="default" w:ascii="Times New Roman" w:hAnsi="Times New Roman" w:cs="Times New Roman"/>
                <w:sz w:val="21"/>
                <w:szCs w:val="21"/>
              </w:rPr>
              <w:t>（</w:t>
            </w:r>
            <w:r>
              <w:rPr>
                <w:rFonts w:hint="default" w:ascii="Times New Roman" w:hAnsi="Times New Roman" w:cs="Times New Roman"/>
                <w:spacing w:val="-86"/>
                <w:sz w:val="21"/>
                <w:szCs w:val="21"/>
              </w:rPr>
              <w:t xml:space="preserve"> </w:t>
            </w:r>
            <w:r>
              <w:rPr>
                <w:rFonts w:hint="default" w:ascii="Times New Roman" w:hAnsi="Times New Roman" w:cs="Times New Roman"/>
                <w:spacing w:val="5"/>
                <w:sz w:val="21"/>
                <w:szCs w:val="21"/>
              </w:rPr>
              <w:t>v%）</w:t>
            </w:r>
          </w:p>
        </w:tc>
        <w:tc>
          <w:tcPr>
            <w:tcW w:w="2680" w:type="dxa"/>
            <w:gridSpan w:val="2"/>
          </w:tcPr>
          <w:p>
            <w:pPr>
              <w:pStyle w:val="38"/>
              <w:keepNext w:val="0"/>
              <w:keepLines w:val="0"/>
              <w:suppressLineNumbers w:val="0"/>
              <w:spacing w:before="137" w:beforeAutospacing="0" w:after="0" w:afterAutospacing="0"/>
              <w:ind w:left="1171" w:right="1152"/>
              <w:jc w:val="center"/>
              <w:rPr>
                <w:rFonts w:hint="default" w:ascii="Times New Roman" w:hAnsi="Times New Roman" w:cs="Times New Roman"/>
                <w:sz w:val="21"/>
                <w:szCs w:val="21"/>
              </w:rPr>
            </w:pPr>
            <w:r>
              <w:rPr>
                <w:rFonts w:hint="default" w:ascii="Times New Roman" w:hAnsi="Times New Roman" w:cs="Times New Roman"/>
                <w:sz w:val="21"/>
                <w:szCs w:val="21"/>
              </w:rPr>
              <w:t>7.6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5" w:hRule="atLeast"/>
        </w:trPr>
        <w:tc>
          <w:tcPr>
            <w:tcW w:w="492" w:type="dxa"/>
            <w:vMerge w:val="continue"/>
            <w:tcBorders>
              <w:top w:val="nil"/>
            </w:tcBorders>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p>
        </w:tc>
        <w:tc>
          <w:tcPr>
            <w:tcW w:w="1846" w:type="dxa"/>
          </w:tcPr>
          <w:p>
            <w:pPr>
              <w:pStyle w:val="38"/>
              <w:keepNext w:val="0"/>
              <w:keepLines w:val="0"/>
              <w:suppressLineNumbers w:val="0"/>
              <w:spacing w:before="137" w:beforeAutospacing="0" w:after="0" w:afterAutospacing="0"/>
              <w:ind w:left="261" w:right="0"/>
              <w:rPr>
                <w:rFonts w:hint="default" w:ascii="Times New Roman" w:hAnsi="Times New Roman" w:cs="Times New Roman"/>
                <w:sz w:val="21"/>
                <w:szCs w:val="21"/>
              </w:rPr>
            </w:pPr>
            <w:r>
              <w:rPr>
                <w:rFonts w:hint="default" w:ascii="Times New Roman" w:hAnsi="Times New Roman" w:cs="Times New Roman"/>
                <w:sz w:val="21"/>
                <w:szCs w:val="21"/>
              </w:rPr>
              <w:t>自燃温度(℃)</w:t>
            </w:r>
          </w:p>
        </w:tc>
        <w:tc>
          <w:tcPr>
            <w:tcW w:w="1818" w:type="dxa"/>
            <w:gridSpan w:val="2"/>
          </w:tcPr>
          <w:p>
            <w:pPr>
              <w:pStyle w:val="38"/>
              <w:keepNext w:val="0"/>
              <w:keepLines w:val="0"/>
              <w:suppressLineNumbers w:val="0"/>
              <w:spacing w:before="137" w:beforeAutospacing="0" w:after="0" w:afterAutospacing="0"/>
              <w:ind w:left="439" w:right="0"/>
              <w:rPr>
                <w:rFonts w:hint="default" w:ascii="Times New Roman" w:hAnsi="Times New Roman" w:cs="Times New Roman"/>
                <w:sz w:val="21"/>
                <w:szCs w:val="21"/>
              </w:rPr>
            </w:pPr>
            <w:r>
              <w:rPr>
                <w:rFonts w:hint="default" w:ascii="Times New Roman" w:hAnsi="Times New Roman" w:cs="Times New Roman"/>
                <w:spacing w:val="6"/>
                <w:sz w:val="21"/>
                <w:szCs w:val="21"/>
              </w:rPr>
              <w:t>415～</w:t>
            </w:r>
            <w:r>
              <w:rPr>
                <w:rFonts w:hint="default" w:ascii="Times New Roman" w:hAnsi="Times New Roman" w:cs="Times New Roman"/>
                <w:spacing w:val="-86"/>
                <w:sz w:val="21"/>
                <w:szCs w:val="21"/>
              </w:rPr>
              <w:t xml:space="preserve"> </w:t>
            </w:r>
            <w:r>
              <w:rPr>
                <w:rFonts w:hint="default" w:ascii="Times New Roman" w:hAnsi="Times New Roman" w:cs="Times New Roman"/>
                <w:spacing w:val="9"/>
                <w:sz w:val="21"/>
                <w:szCs w:val="21"/>
              </w:rPr>
              <w:t>530</w:t>
            </w:r>
          </w:p>
        </w:tc>
        <w:tc>
          <w:tcPr>
            <w:tcW w:w="2337" w:type="dxa"/>
            <w:gridSpan w:val="4"/>
          </w:tcPr>
          <w:p>
            <w:pPr>
              <w:pStyle w:val="38"/>
              <w:keepNext w:val="0"/>
              <w:keepLines w:val="0"/>
              <w:suppressLineNumbers w:val="0"/>
              <w:spacing w:before="137" w:beforeAutospacing="0" w:after="0" w:afterAutospacing="0"/>
              <w:ind w:left="320" w:right="0"/>
              <w:rPr>
                <w:rFonts w:hint="default" w:ascii="Times New Roman" w:hAnsi="Times New Roman" w:cs="Times New Roman"/>
                <w:sz w:val="21"/>
                <w:szCs w:val="21"/>
              </w:rPr>
            </w:pPr>
            <w:r>
              <w:rPr>
                <w:rFonts w:hint="default" w:ascii="Times New Roman" w:hAnsi="Times New Roman" w:cs="Times New Roman"/>
                <w:spacing w:val="19"/>
                <w:sz w:val="21"/>
                <w:szCs w:val="21"/>
              </w:rPr>
              <w:t>爆炸下限</w:t>
            </w:r>
            <w:r>
              <w:rPr>
                <w:rFonts w:hint="default" w:ascii="Times New Roman" w:hAnsi="Times New Roman" w:cs="Times New Roman"/>
                <w:sz w:val="21"/>
                <w:szCs w:val="21"/>
              </w:rPr>
              <w:t>（</w:t>
            </w:r>
            <w:r>
              <w:rPr>
                <w:rFonts w:hint="default" w:ascii="Times New Roman" w:hAnsi="Times New Roman" w:cs="Times New Roman"/>
                <w:spacing w:val="-86"/>
                <w:sz w:val="21"/>
                <w:szCs w:val="21"/>
              </w:rPr>
              <w:t xml:space="preserve"> </w:t>
            </w:r>
            <w:r>
              <w:rPr>
                <w:rFonts w:hint="default" w:ascii="Times New Roman" w:hAnsi="Times New Roman" w:cs="Times New Roman"/>
                <w:spacing w:val="5"/>
                <w:sz w:val="21"/>
                <w:szCs w:val="21"/>
              </w:rPr>
              <w:t>v%）</w:t>
            </w:r>
          </w:p>
        </w:tc>
        <w:tc>
          <w:tcPr>
            <w:tcW w:w="2680" w:type="dxa"/>
            <w:gridSpan w:val="2"/>
          </w:tcPr>
          <w:p>
            <w:pPr>
              <w:pStyle w:val="38"/>
              <w:keepNext w:val="0"/>
              <w:keepLines w:val="0"/>
              <w:suppressLineNumbers w:val="0"/>
              <w:spacing w:before="151" w:beforeAutospacing="0" w:after="0" w:afterAutospacing="0"/>
              <w:ind w:left="1166" w:right="1157"/>
              <w:jc w:val="center"/>
              <w:rPr>
                <w:rFonts w:hint="default" w:ascii="Times New Roman" w:hAnsi="Times New Roman" w:cs="Times New Roman"/>
                <w:sz w:val="21"/>
                <w:szCs w:val="21"/>
              </w:rPr>
            </w:pPr>
            <w:r>
              <w:rPr>
                <w:rFonts w:hint="default" w:ascii="Times New Roman" w:hAnsi="Times New Roman" w:cs="Times New Roman"/>
                <w:sz w:val="21"/>
                <w:szCs w:val="21"/>
              </w:rPr>
              <w:t>1.4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01" w:hRule="atLeast"/>
        </w:trPr>
        <w:tc>
          <w:tcPr>
            <w:tcW w:w="492" w:type="dxa"/>
            <w:vMerge w:val="continue"/>
            <w:tcBorders>
              <w:top w:val="nil"/>
            </w:tcBorders>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p>
        </w:tc>
        <w:tc>
          <w:tcPr>
            <w:tcW w:w="1846" w:type="dxa"/>
          </w:tcPr>
          <w:p>
            <w:pPr>
              <w:pStyle w:val="38"/>
              <w:keepNext w:val="0"/>
              <w:keepLines w:val="0"/>
              <w:suppressLineNumbers w:val="0"/>
              <w:spacing w:before="0" w:beforeAutospacing="0" w:after="0" w:afterAutospacing="0"/>
              <w:ind w:left="0" w:right="0"/>
              <w:rPr>
                <w:rFonts w:hint="default" w:ascii="Times New Roman" w:hAnsi="Times New Roman" w:cs="Times New Roman"/>
                <w:sz w:val="21"/>
                <w:szCs w:val="21"/>
              </w:rPr>
            </w:pPr>
          </w:p>
          <w:p>
            <w:pPr>
              <w:pStyle w:val="38"/>
              <w:keepNext w:val="0"/>
              <w:keepLines w:val="0"/>
              <w:suppressLineNumbers w:val="0"/>
              <w:spacing w:before="3" w:beforeAutospacing="0" w:after="0" w:afterAutospacing="0"/>
              <w:ind w:left="0" w:right="0"/>
              <w:rPr>
                <w:rFonts w:hint="default" w:ascii="Times New Roman" w:hAnsi="Times New Roman" w:cs="Times New Roman"/>
                <w:sz w:val="21"/>
                <w:szCs w:val="21"/>
              </w:rPr>
            </w:pPr>
          </w:p>
          <w:p>
            <w:pPr>
              <w:pStyle w:val="38"/>
              <w:keepNext w:val="0"/>
              <w:keepLines w:val="0"/>
              <w:suppressLineNumbers w:val="0"/>
              <w:spacing w:before="0" w:beforeAutospacing="0" w:after="0" w:afterAutospacing="0"/>
              <w:ind w:left="453" w:right="0"/>
              <w:rPr>
                <w:rFonts w:hint="default" w:ascii="Times New Roman" w:hAnsi="Times New Roman" w:cs="Times New Roman"/>
                <w:sz w:val="21"/>
                <w:szCs w:val="21"/>
              </w:rPr>
            </w:pPr>
            <w:r>
              <w:rPr>
                <w:rFonts w:hint="default" w:ascii="Times New Roman" w:hAnsi="Times New Roman" w:cs="Times New Roman"/>
                <w:sz w:val="21"/>
                <w:szCs w:val="21"/>
              </w:rPr>
              <w:t>危险特性</w:t>
            </w:r>
          </w:p>
        </w:tc>
        <w:tc>
          <w:tcPr>
            <w:tcW w:w="6835" w:type="dxa"/>
            <w:gridSpan w:val="8"/>
          </w:tcPr>
          <w:p>
            <w:pPr>
              <w:pStyle w:val="38"/>
              <w:keepNext w:val="0"/>
              <w:keepLines w:val="0"/>
              <w:suppressLineNumbers w:val="0"/>
              <w:spacing w:before="111" w:beforeAutospacing="0" w:after="0" w:afterAutospacing="0" w:line="355" w:lineRule="auto"/>
              <w:ind w:left="107" w:right="-29"/>
              <w:rPr>
                <w:rFonts w:hint="default" w:ascii="Times New Roman" w:hAnsi="Times New Roman" w:cs="Times New Roman"/>
                <w:sz w:val="21"/>
                <w:szCs w:val="21"/>
              </w:rPr>
            </w:pPr>
            <w:r>
              <w:rPr>
                <w:rFonts w:hint="default" w:ascii="Times New Roman" w:hAnsi="Times New Roman" w:cs="Times New Roman"/>
                <w:spacing w:val="15"/>
                <w:sz w:val="21"/>
                <w:szCs w:val="21"/>
              </w:rPr>
              <w:t>其蒸汽能与空气形成爆炸性混合物，遇明火、高热极易燃烧爆炸。</w:t>
            </w:r>
            <w:r>
              <w:rPr>
                <w:rFonts w:hint="default" w:ascii="Times New Roman" w:hAnsi="Times New Roman" w:cs="Times New Roman"/>
                <w:spacing w:val="13"/>
                <w:sz w:val="21"/>
                <w:szCs w:val="21"/>
              </w:rPr>
              <w:t>与氧化剂能发生强烈反应。其蒸汽比空气重，能在较低处扩散到</w:t>
            </w:r>
          </w:p>
          <w:p>
            <w:pPr>
              <w:pStyle w:val="38"/>
              <w:keepNext w:val="0"/>
              <w:keepLines w:val="0"/>
              <w:suppressLineNumbers w:val="0"/>
              <w:spacing w:before="3" w:beforeAutospacing="0" w:after="0" w:afterAutospacing="0"/>
              <w:ind w:left="107" w:right="0"/>
              <w:rPr>
                <w:rFonts w:hint="default" w:ascii="Times New Roman" w:hAnsi="Times New Roman" w:cs="Times New Roman"/>
                <w:sz w:val="21"/>
                <w:szCs w:val="21"/>
              </w:rPr>
            </w:pPr>
            <w:r>
              <w:rPr>
                <w:rFonts w:hint="default" w:ascii="Times New Roman" w:hAnsi="Times New Roman" w:cs="Times New Roman"/>
                <w:sz w:val="21"/>
                <w:szCs w:val="21"/>
              </w:rPr>
              <w:t>相当远的地方，遇明火会引着回燃。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5" w:hRule="atLeast"/>
        </w:trPr>
        <w:tc>
          <w:tcPr>
            <w:tcW w:w="492" w:type="dxa"/>
            <w:vMerge w:val="continue"/>
            <w:tcBorders>
              <w:top w:val="nil"/>
            </w:tcBorders>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p>
        </w:tc>
        <w:tc>
          <w:tcPr>
            <w:tcW w:w="1846" w:type="dxa"/>
          </w:tcPr>
          <w:p>
            <w:pPr>
              <w:pStyle w:val="38"/>
              <w:keepNext w:val="0"/>
              <w:keepLines w:val="0"/>
              <w:suppressLineNumbers w:val="0"/>
              <w:spacing w:before="138" w:beforeAutospacing="0" w:after="0" w:afterAutospacing="0"/>
              <w:ind w:left="107" w:right="0"/>
              <w:rPr>
                <w:rFonts w:hint="default" w:ascii="Times New Roman" w:hAnsi="Times New Roman" w:cs="Times New Roman"/>
                <w:sz w:val="21"/>
                <w:szCs w:val="21"/>
              </w:rPr>
            </w:pPr>
            <w:r>
              <w:rPr>
                <w:rFonts w:hint="default" w:ascii="Times New Roman" w:hAnsi="Times New Roman" w:cs="Times New Roman"/>
                <w:sz w:val="21"/>
                <w:szCs w:val="21"/>
              </w:rPr>
              <w:t>火灾危险性分类</w:t>
            </w:r>
          </w:p>
        </w:tc>
        <w:tc>
          <w:tcPr>
            <w:tcW w:w="1420" w:type="dxa"/>
          </w:tcPr>
          <w:p>
            <w:pPr>
              <w:pStyle w:val="38"/>
              <w:keepNext w:val="0"/>
              <w:keepLines w:val="0"/>
              <w:suppressLineNumbers w:val="0"/>
              <w:spacing w:before="138" w:beforeAutospacing="0" w:after="0" w:afterAutospacing="0"/>
              <w:ind w:left="0" w:right="2"/>
              <w:jc w:val="center"/>
              <w:rPr>
                <w:rFonts w:hint="default" w:ascii="Times New Roman" w:hAnsi="Times New Roman" w:cs="Times New Roman"/>
                <w:sz w:val="21"/>
                <w:szCs w:val="21"/>
              </w:rPr>
            </w:pPr>
            <w:r>
              <w:rPr>
                <w:rFonts w:hint="default" w:ascii="Times New Roman" w:hAnsi="Times New Roman" w:cs="Times New Roman"/>
                <w:sz w:val="21"/>
                <w:szCs w:val="21"/>
              </w:rPr>
              <w:t>甲</w:t>
            </w:r>
          </w:p>
        </w:tc>
        <w:tc>
          <w:tcPr>
            <w:tcW w:w="1097" w:type="dxa"/>
            <w:gridSpan w:val="3"/>
          </w:tcPr>
          <w:p>
            <w:pPr>
              <w:pStyle w:val="38"/>
              <w:keepNext w:val="0"/>
              <w:keepLines w:val="0"/>
              <w:suppressLineNumbers w:val="0"/>
              <w:spacing w:before="138" w:beforeAutospacing="0" w:after="0" w:afterAutospacing="0"/>
              <w:ind w:left="197" w:right="0"/>
              <w:rPr>
                <w:rFonts w:hint="default" w:ascii="Times New Roman" w:hAnsi="Times New Roman" w:cs="Times New Roman"/>
                <w:sz w:val="21"/>
                <w:szCs w:val="21"/>
              </w:rPr>
            </w:pPr>
            <w:r>
              <w:rPr>
                <w:rFonts w:hint="default" w:ascii="Times New Roman" w:hAnsi="Times New Roman" w:cs="Times New Roman"/>
                <w:sz w:val="21"/>
                <w:szCs w:val="21"/>
              </w:rPr>
              <w:t>稳定性</w:t>
            </w:r>
          </w:p>
        </w:tc>
        <w:tc>
          <w:tcPr>
            <w:tcW w:w="1638" w:type="dxa"/>
            <w:gridSpan w:val="2"/>
          </w:tcPr>
          <w:p>
            <w:pPr>
              <w:pStyle w:val="38"/>
              <w:keepNext w:val="0"/>
              <w:keepLines w:val="0"/>
              <w:suppressLineNumbers w:val="0"/>
              <w:spacing w:before="138" w:beforeAutospacing="0" w:after="0" w:afterAutospacing="0"/>
              <w:ind w:left="580" w:right="563"/>
              <w:jc w:val="center"/>
              <w:rPr>
                <w:rFonts w:hint="default" w:ascii="Times New Roman" w:hAnsi="Times New Roman" w:cs="Times New Roman"/>
                <w:sz w:val="21"/>
                <w:szCs w:val="21"/>
              </w:rPr>
            </w:pPr>
            <w:r>
              <w:rPr>
                <w:rFonts w:hint="default" w:ascii="Times New Roman" w:hAnsi="Times New Roman" w:cs="Times New Roman"/>
                <w:sz w:val="21"/>
                <w:szCs w:val="21"/>
              </w:rPr>
              <w:t>稳定</w:t>
            </w:r>
          </w:p>
        </w:tc>
        <w:tc>
          <w:tcPr>
            <w:tcW w:w="1126" w:type="dxa"/>
          </w:tcPr>
          <w:p>
            <w:pPr>
              <w:pStyle w:val="38"/>
              <w:keepNext w:val="0"/>
              <w:keepLines w:val="0"/>
              <w:suppressLineNumbers w:val="0"/>
              <w:spacing w:before="138" w:beforeAutospacing="0" w:after="0" w:afterAutospacing="0"/>
              <w:ind w:left="115" w:right="0"/>
              <w:rPr>
                <w:rFonts w:hint="default" w:ascii="Times New Roman" w:hAnsi="Times New Roman" w:cs="Times New Roman"/>
                <w:sz w:val="21"/>
                <w:szCs w:val="21"/>
              </w:rPr>
            </w:pPr>
            <w:r>
              <w:rPr>
                <w:rFonts w:hint="default" w:ascii="Times New Roman" w:hAnsi="Times New Roman" w:cs="Times New Roman"/>
                <w:sz w:val="21"/>
                <w:szCs w:val="21"/>
              </w:rPr>
              <w:t>聚合危害</w:t>
            </w:r>
          </w:p>
        </w:tc>
        <w:tc>
          <w:tcPr>
            <w:tcW w:w="1554" w:type="dxa"/>
          </w:tcPr>
          <w:p>
            <w:pPr>
              <w:pStyle w:val="38"/>
              <w:keepNext w:val="0"/>
              <w:keepLines w:val="0"/>
              <w:suppressLineNumbers w:val="0"/>
              <w:spacing w:before="138" w:beforeAutospacing="0" w:after="0" w:afterAutospacing="0"/>
              <w:ind w:left="237" w:right="185"/>
              <w:jc w:val="center"/>
              <w:rPr>
                <w:rFonts w:hint="default" w:ascii="Times New Roman" w:hAnsi="Times New Roman" w:cs="Times New Roman"/>
                <w:sz w:val="21"/>
                <w:szCs w:val="21"/>
              </w:rPr>
            </w:pPr>
            <w:r>
              <w:rPr>
                <w:rFonts w:hint="default" w:ascii="Times New Roman" w:hAnsi="Times New Roman" w:cs="Times New Roman"/>
                <w:sz w:val="21"/>
                <w:szCs w:val="21"/>
              </w:rPr>
              <w:t>不出现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21" w:hRule="atLeast"/>
        </w:trPr>
        <w:tc>
          <w:tcPr>
            <w:tcW w:w="492" w:type="dxa"/>
            <w:vMerge w:val="continue"/>
            <w:tcBorders>
              <w:top w:val="nil"/>
            </w:tcBorders>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p>
        </w:tc>
        <w:tc>
          <w:tcPr>
            <w:tcW w:w="1846" w:type="dxa"/>
          </w:tcPr>
          <w:p>
            <w:pPr>
              <w:pStyle w:val="38"/>
              <w:keepNext w:val="0"/>
              <w:keepLines w:val="0"/>
              <w:suppressLineNumbers w:val="0"/>
              <w:spacing w:before="121" w:beforeAutospacing="0" w:after="0" w:afterAutospacing="0"/>
              <w:ind w:left="566" w:right="0"/>
              <w:rPr>
                <w:rFonts w:hint="default" w:ascii="Times New Roman" w:hAnsi="Times New Roman" w:cs="Times New Roman"/>
                <w:sz w:val="21"/>
                <w:szCs w:val="21"/>
              </w:rPr>
            </w:pPr>
            <w:r>
              <w:rPr>
                <w:rFonts w:hint="default" w:ascii="Times New Roman" w:hAnsi="Times New Roman" w:cs="Times New Roman"/>
                <w:sz w:val="21"/>
                <w:szCs w:val="21"/>
              </w:rPr>
              <w:t>禁忌物</w:t>
            </w:r>
          </w:p>
        </w:tc>
        <w:tc>
          <w:tcPr>
            <w:tcW w:w="6835" w:type="dxa"/>
            <w:gridSpan w:val="8"/>
          </w:tcPr>
          <w:p>
            <w:pPr>
              <w:pStyle w:val="38"/>
              <w:keepNext w:val="0"/>
              <w:keepLines w:val="0"/>
              <w:suppressLineNumbers w:val="0"/>
              <w:spacing w:before="121" w:beforeAutospacing="0" w:after="0" w:afterAutospacing="0"/>
              <w:ind w:left="107" w:right="0"/>
              <w:rPr>
                <w:rFonts w:hint="default" w:ascii="Times New Roman" w:hAnsi="Times New Roman" w:cs="Times New Roman"/>
                <w:sz w:val="21"/>
                <w:szCs w:val="21"/>
              </w:rPr>
            </w:pPr>
            <w:r>
              <w:rPr>
                <w:rFonts w:hint="default" w:ascii="Times New Roman" w:hAnsi="Times New Roman" w:cs="Times New Roman"/>
                <w:sz w:val="21"/>
                <w:szCs w:val="21"/>
              </w:rPr>
              <w:t>强氧化剂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21" w:hRule="atLeast"/>
        </w:trPr>
        <w:tc>
          <w:tcPr>
            <w:tcW w:w="492" w:type="dxa"/>
            <w:vMerge w:val="continue"/>
            <w:tcBorders>
              <w:top w:val="nil"/>
            </w:tcBorders>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p>
        </w:tc>
        <w:tc>
          <w:tcPr>
            <w:tcW w:w="1846" w:type="dxa"/>
          </w:tcPr>
          <w:p>
            <w:pPr>
              <w:pStyle w:val="38"/>
              <w:keepNext w:val="0"/>
              <w:keepLines w:val="0"/>
              <w:suppressLineNumbers w:val="0"/>
              <w:spacing w:before="121" w:beforeAutospacing="0" w:after="0" w:afterAutospacing="0"/>
              <w:ind w:left="453" w:right="0"/>
              <w:rPr>
                <w:rFonts w:hint="default" w:ascii="Times New Roman" w:hAnsi="Times New Roman" w:cs="Times New Roman"/>
                <w:sz w:val="21"/>
                <w:szCs w:val="21"/>
              </w:rPr>
            </w:pPr>
            <w:r>
              <w:rPr>
                <w:rFonts w:hint="default" w:ascii="Times New Roman" w:hAnsi="Times New Roman" w:cs="Times New Roman"/>
                <w:sz w:val="21"/>
                <w:szCs w:val="21"/>
              </w:rPr>
              <w:t>灭火方法</w:t>
            </w:r>
          </w:p>
        </w:tc>
        <w:tc>
          <w:tcPr>
            <w:tcW w:w="6835" w:type="dxa"/>
            <w:gridSpan w:val="8"/>
          </w:tcPr>
          <w:p>
            <w:pPr>
              <w:pStyle w:val="38"/>
              <w:keepNext w:val="0"/>
              <w:keepLines w:val="0"/>
              <w:suppressLineNumbers w:val="0"/>
              <w:spacing w:before="121" w:beforeAutospacing="0" w:after="0" w:afterAutospacing="0"/>
              <w:ind w:left="107" w:right="0"/>
              <w:rPr>
                <w:rFonts w:hint="default" w:ascii="Times New Roman" w:hAnsi="Times New Roman" w:cs="Times New Roman"/>
                <w:sz w:val="21"/>
                <w:szCs w:val="21"/>
              </w:rPr>
            </w:pPr>
            <w:r>
              <w:rPr>
                <w:rFonts w:hint="default" w:ascii="Times New Roman" w:hAnsi="Times New Roman" w:cs="Times New Roman"/>
                <w:sz w:val="21"/>
                <w:szCs w:val="21"/>
              </w:rPr>
              <w:t>用泡沫、二氧化碳、干粉灭火，用水灭火无效。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919" w:hRule="atLeast"/>
        </w:trPr>
        <w:tc>
          <w:tcPr>
            <w:tcW w:w="492" w:type="dxa"/>
            <w:vMerge w:val="restart"/>
          </w:tcPr>
          <w:p>
            <w:pPr>
              <w:pStyle w:val="38"/>
              <w:keepNext w:val="0"/>
              <w:keepLines w:val="0"/>
              <w:suppressLineNumbers w:val="0"/>
              <w:spacing w:before="0" w:beforeAutospacing="0" w:after="0" w:afterAutospacing="0"/>
              <w:ind w:left="0" w:right="0"/>
              <w:rPr>
                <w:rFonts w:hint="default" w:ascii="Times New Roman" w:hAnsi="Times New Roman" w:cs="Times New Roman"/>
                <w:sz w:val="21"/>
                <w:szCs w:val="21"/>
              </w:rPr>
            </w:pPr>
          </w:p>
          <w:p>
            <w:pPr>
              <w:pStyle w:val="38"/>
              <w:keepNext w:val="0"/>
              <w:keepLines w:val="0"/>
              <w:suppressLineNumbers w:val="0"/>
              <w:spacing w:before="0" w:beforeAutospacing="0" w:after="0" w:afterAutospacing="0"/>
              <w:ind w:left="0" w:right="0"/>
              <w:rPr>
                <w:rFonts w:hint="default" w:ascii="Times New Roman" w:hAnsi="Times New Roman" w:cs="Times New Roman"/>
                <w:sz w:val="21"/>
                <w:szCs w:val="21"/>
              </w:rPr>
            </w:pPr>
          </w:p>
          <w:p>
            <w:pPr>
              <w:pStyle w:val="38"/>
              <w:keepNext w:val="0"/>
              <w:keepLines w:val="0"/>
              <w:suppressLineNumbers w:val="0"/>
              <w:spacing w:before="136" w:beforeAutospacing="0" w:after="0" w:afterAutospacing="0" w:line="357" w:lineRule="auto"/>
              <w:ind w:left="136" w:right="122"/>
              <w:jc w:val="both"/>
              <w:rPr>
                <w:rFonts w:hint="default" w:ascii="Times New Roman" w:hAnsi="Times New Roman" w:cs="Times New Roman"/>
                <w:sz w:val="21"/>
                <w:szCs w:val="21"/>
              </w:rPr>
            </w:pPr>
            <w:r>
              <w:rPr>
                <w:rFonts w:hint="default" w:ascii="Times New Roman" w:hAnsi="Times New Roman" w:cs="Times New Roman"/>
                <w:sz w:val="21"/>
                <w:szCs w:val="21"/>
              </w:rPr>
              <w:t>防护措施</w:t>
            </w:r>
          </w:p>
        </w:tc>
        <w:tc>
          <w:tcPr>
            <w:tcW w:w="1846" w:type="dxa"/>
          </w:tcPr>
          <w:p>
            <w:pPr>
              <w:pStyle w:val="38"/>
              <w:keepNext w:val="0"/>
              <w:keepLines w:val="0"/>
              <w:suppressLineNumbers w:val="0"/>
              <w:spacing w:before="0" w:beforeAutospacing="0" w:after="0" w:afterAutospacing="0"/>
              <w:ind w:left="0" w:right="0"/>
              <w:rPr>
                <w:rFonts w:hint="default" w:ascii="Times New Roman" w:hAnsi="Times New Roman" w:cs="Times New Roman"/>
                <w:sz w:val="21"/>
                <w:szCs w:val="21"/>
              </w:rPr>
            </w:pPr>
          </w:p>
          <w:p>
            <w:pPr>
              <w:pStyle w:val="38"/>
              <w:keepNext w:val="0"/>
              <w:keepLines w:val="0"/>
              <w:suppressLineNumbers w:val="0"/>
              <w:spacing w:before="0" w:beforeAutospacing="0" w:after="0" w:afterAutospacing="0"/>
              <w:ind w:left="0" w:right="0"/>
              <w:rPr>
                <w:rFonts w:hint="default" w:ascii="Times New Roman" w:hAnsi="Times New Roman" w:cs="Times New Roman"/>
                <w:sz w:val="21"/>
                <w:szCs w:val="21"/>
              </w:rPr>
            </w:pPr>
          </w:p>
          <w:p>
            <w:pPr>
              <w:pStyle w:val="38"/>
              <w:keepNext w:val="0"/>
              <w:keepLines w:val="0"/>
              <w:suppressLineNumbers w:val="0"/>
              <w:spacing w:before="0" w:beforeAutospacing="0" w:after="0" w:afterAutospacing="0"/>
              <w:ind w:left="0" w:right="0"/>
              <w:rPr>
                <w:rFonts w:hint="default" w:ascii="Times New Roman" w:hAnsi="Times New Roman" w:cs="Times New Roman"/>
                <w:sz w:val="21"/>
                <w:szCs w:val="21"/>
              </w:rPr>
            </w:pPr>
          </w:p>
          <w:p>
            <w:pPr>
              <w:pStyle w:val="38"/>
              <w:keepNext w:val="0"/>
              <w:keepLines w:val="0"/>
              <w:suppressLineNumbers w:val="0"/>
              <w:spacing w:before="158" w:beforeAutospacing="0" w:after="0" w:afterAutospacing="0"/>
              <w:ind w:left="283" w:right="0"/>
              <w:rPr>
                <w:rFonts w:hint="default" w:ascii="Times New Roman" w:hAnsi="Times New Roman" w:cs="Times New Roman"/>
                <w:sz w:val="21"/>
                <w:szCs w:val="21"/>
              </w:rPr>
            </w:pPr>
            <w:r>
              <w:rPr>
                <w:rFonts w:hint="default" w:ascii="Times New Roman" w:hAnsi="Times New Roman" w:cs="Times New Roman"/>
                <w:sz w:val="21"/>
                <w:szCs w:val="21"/>
              </w:rPr>
              <w:t>泄漏应急处理</w:t>
            </w:r>
          </w:p>
        </w:tc>
        <w:tc>
          <w:tcPr>
            <w:tcW w:w="6835" w:type="dxa"/>
            <w:gridSpan w:val="8"/>
          </w:tcPr>
          <w:p>
            <w:pPr>
              <w:pStyle w:val="38"/>
              <w:keepNext w:val="0"/>
              <w:keepLines w:val="0"/>
              <w:suppressLineNumbers w:val="0"/>
              <w:spacing w:before="46" w:beforeAutospacing="0" w:after="0" w:afterAutospacing="0" w:line="285" w:lineRule="auto"/>
              <w:ind w:left="107" w:right="84"/>
              <w:jc w:val="both"/>
              <w:rPr>
                <w:rFonts w:hint="default" w:ascii="Times New Roman" w:hAnsi="Times New Roman" w:cs="Times New Roman"/>
                <w:sz w:val="21"/>
                <w:szCs w:val="21"/>
              </w:rPr>
            </w:pPr>
            <w:r>
              <w:rPr>
                <w:rFonts w:hint="default" w:ascii="Times New Roman" w:hAnsi="Times New Roman" w:cs="Times New Roman"/>
                <w:sz w:val="21"/>
                <w:szCs w:val="21"/>
              </w:rPr>
              <w:t>迅速撤离泄漏污染区人员至安全区，并进行隔离，严格限制出入。切断火源。建议应急处理人员戴自给正压式呼吸器，穿防静电工作服。尽可能切断泄漏源。防止流入下水道、排洪沟等限制性区域。小量泄漏：用砂土、蛭石或其它惰性材料吸收。或在保证安全的情况下，就地焚烧。大量泄漏：构筑围堤或挖坑收容。用泡沫覆盖，降低蒸汽灾害。用防爆</w:t>
            </w:r>
          </w:p>
          <w:p>
            <w:pPr>
              <w:pStyle w:val="38"/>
              <w:keepNext w:val="0"/>
              <w:keepLines w:val="0"/>
              <w:suppressLineNumbers w:val="0"/>
              <w:spacing w:before="0" w:beforeAutospacing="0" w:after="0" w:afterAutospacing="0" w:line="252" w:lineRule="exact"/>
              <w:ind w:left="107" w:right="0"/>
              <w:jc w:val="both"/>
              <w:rPr>
                <w:rFonts w:hint="default" w:ascii="Times New Roman" w:hAnsi="Times New Roman" w:cs="Times New Roman"/>
                <w:sz w:val="21"/>
                <w:szCs w:val="21"/>
              </w:rPr>
            </w:pPr>
            <w:r>
              <w:rPr>
                <w:rFonts w:hint="default" w:ascii="Times New Roman" w:hAnsi="Times New Roman" w:cs="Times New Roman"/>
                <w:sz w:val="21"/>
                <w:szCs w:val="21"/>
              </w:rPr>
              <w:t>泵转移至槽车或专用收集器，回收或运至废物处理场所处理。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40" w:hRule="atLeast"/>
        </w:trPr>
        <w:tc>
          <w:tcPr>
            <w:tcW w:w="492" w:type="dxa"/>
            <w:vMerge w:val="continue"/>
            <w:tcBorders>
              <w:top w:val="nil"/>
            </w:tcBorders>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p>
        </w:tc>
        <w:tc>
          <w:tcPr>
            <w:tcW w:w="1846" w:type="dxa"/>
          </w:tcPr>
          <w:p>
            <w:pPr>
              <w:pStyle w:val="38"/>
              <w:keepNext w:val="0"/>
              <w:keepLines w:val="0"/>
              <w:suppressLineNumbers w:val="0"/>
              <w:spacing w:before="0" w:beforeAutospacing="0" w:after="0" w:afterAutospacing="0"/>
              <w:ind w:left="0" w:right="0"/>
              <w:rPr>
                <w:rFonts w:hint="default" w:ascii="Times New Roman" w:hAnsi="Times New Roman" w:cs="Times New Roman"/>
                <w:sz w:val="21"/>
                <w:szCs w:val="21"/>
              </w:rPr>
            </w:pPr>
          </w:p>
          <w:p>
            <w:pPr>
              <w:pStyle w:val="38"/>
              <w:keepNext w:val="0"/>
              <w:keepLines w:val="0"/>
              <w:suppressLineNumbers w:val="0"/>
              <w:spacing w:before="0" w:beforeAutospacing="0" w:after="0" w:afterAutospacing="0"/>
              <w:ind w:left="283" w:right="0"/>
              <w:rPr>
                <w:rFonts w:hint="default" w:ascii="Times New Roman" w:hAnsi="Times New Roman" w:cs="Times New Roman"/>
                <w:sz w:val="21"/>
                <w:szCs w:val="21"/>
              </w:rPr>
            </w:pPr>
            <w:r>
              <w:rPr>
                <w:rFonts w:hint="default" w:ascii="Times New Roman" w:hAnsi="Times New Roman" w:cs="Times New Roman"/>
                <w:sz w:val="21"/>
                <w:szCs w:val="21"/>
              </w:rPr>
              <w:t>储运注意事项</w:t>
            </w:r>
          </w:p>
        </w:tc>
        <w:tc>
          <w:tcPr>
            <w:tcW w:w="6835" w:type="dxa"/>
            <w:gridSpan w:val="8"/>
          </w:tcPr>
          <w:p>
            <w:pPr>
              <w:pStyle w:val="38"/>
              <w:keepNext w:val="0"/>
              <w:keepLines w:val="0"/>
              <w:suppressLineNumbers w:val="0"/>
              <w:spacing w:before="3" w:beforeAutospacing="0" w:after="0" w:afterAutospacing="0" w:line="320" w:lineRule="exact"/>
              <w:ind w:left="107" w:right="-29"/>
              <w:rPr>
                <w:rFonts w:hint="default" w:ascii="Times New Roman" w:hAnsi="Times New Roman" w:cs="Times New Roman"/>
                <w:sz w:val="21"/>
                <w:szCs w:val="21"/>
              </w:rPr>
            </w:pPr>
            <w:r>
              <w:rPr>
                <w:rFonts w:hint="default" w:ascii="Times New Roman" w:hAnsi="Times New Roman" w:cs="Times New Roman"/>
                <w:spacing w:val="-8"/>
                <w:sz w:val="21"/>
                <w:szCs w:val="21"/>
              </w:rPr>
              <w:t>储存于阴凉、通风的仓库或储罐。远离热源和火种。与可燃物、有机物、</w:t>
            </w:r>
            <w:r>
              <w:rPr>
                <w:rFonts w:hint="default" w:ascii="Times New Roman" w:hAnsi="Times New Roman" w:cs="Times New Roman"/>
                <w:spacing w:val="-5"/>
                <w:sz w:val="21"/>
                <w:szCs w:val="21"/>
              </w:rPr>
              <w:t>氧化剂隔离储运。夏令炎热季节，早晚运输。</w:t>
            </w:r>
          </w:p>
        </w:tc>
      </w:tr>
    </w:tbl>
    <w:p>
      <w:pPr>
        <w:spacing w:line="320" w:lineRule="exact"/>
        <w:rPr>
          <w:rFonts w:hint="default" w:ascii="Times New Roman" w:hAnsi="Times New Roman" w:cs="Times New Roman"/>
          <w:sz w:val="21"/>
        </w:rPr>
        <w:sectPr>
          <w:pgSz w:w="11910" w:h="16840"/>
          <w:pgMar w:top="1417" w:right="1134" w:bottom="1134" w:left="1587" w:header="720" w:footer="720" w:gutter="0"/>
          <w:cols w:space="0" w:num="1"/>
        </w:sectPr>
      </w:pPr>
    </w:p>
    <w:p>
      <w:pPr>
        <w:pStyle w:val="11"/>
        <w:tabs>
          <w:tab w:val="left" w:pos="6844"/>
        </w:tabs>
        <w:spacing w:before="70" w:after="20"/>
        <w:jc w:val="center"/>
        <w:rPr>
          <w:rFonts w:hint="default" w:ascii="Times New Roman" w:hAnsi="Times New Roman" w:cs="Times New Roman"/>
          <w:sz w:val="24"/>
          <w:szCs w:val="24"/>
        </w:rPr>
      </w:pPr>
      <w:bookmarkStart w:id="1273" w:name="_Toc21287_WPSOffice_Level3"/>
      <w:bookmarkStart w:id="1274" w:name="_Toc10705_WPSOffice_Level3"/>
      <w:bookmarkStart w:id="1275" w:name="_Toc24988_WPSOffice_Level3"/>
      <w:r>
        <w:rPr>
          <w:rFonts w:hint="default" w:ascii="Times New Roman" w:hAnsi="Times New Roman" w:cs="Times New Roman"/>
          <w:sz w:val="24"/>
          <w:szCs w:val="24"/>
        </w:rPr>
        <w:t>附表</w:t>
      </w:r>
      <w:r>
        <w:rPr>
          <w:rFonts w:hint="default" w:ascii="Times New Roman" w:hAnsi="Times New Roman" w:cs="Times New Roman"/>
          <w:spacing w:val="6"/>
          <w:sz w:val="24"/>
          <w:szCs w:val="24"/>
        </w:rPr>
        <w:t xml:space="preserve">3.1-2 </w:t>
      </w:r>
      <w:r>
        <w:rPr>
          <w:rFonts w:hint="default" w:ascii="Times New Roman" w:hAnsi="Times New Roman" w:cs="Times New Roman"/>
          <w:spacing w:val="19"/>
          <w:sz w:val="24"/>
          <w:szCs w:val="24"/>
        </w:rPr>
        <w:t>柴油的理化性质及危险特</w:t>
      </w:r>
      <w:r>
        <w:rPr>
          <w:rFonts w:hint="default" w:ascii="Times New Roman" w:hAnsi="Times New Roman" w:cs="Times New Roman"/>
          <w:sz w:val="24"/>
          <w:szCs w:val="24"/>
        </w:rPr>
        <w:t>性</w:t>
      </w:r>
      <w:bookmarkEnd w:id="1273"/>
      <w:bookmarkEnd w:id="1274"/>
      <w:bookmarkEnd w:id="1275"/>
    </w:p>
    <w:tbl>
      <w:tblPr>
        <w:tblStyle w:val="36"/>
        <w:tblW w:w="9173" w:type="dxa"/>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92"/>
        <w:gridCol w:w="1847"/>
        <w:gridCol w:w="1422"/>
        <w:gridCol w:w="396"/>
        <w:gridCol w:w="216"/>
        <w:gridCol w:w="703"/>
        <w:gridCol w:w="657"/>
        <w:gridCol w:w="343"/>
        <w:gridCol w:w="505"/>
        <w:gridCol w:w="1038"/>
        <w:gridCol w:w="155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9" w:hRule="atLeast"/>
        </w:trPr>
        <w:tc>
          <w:tcPr>
            <w:tcW w:w="492" w:type="dxa"/>
            <w:vMerge w:val="restart"/>
          </w:tcPr>
          <w:p>
            <w:pPr>
              <w:pStyle w:val="38"/>
              <w:keepNext w:val="0"/>
              <w:keepLines w:val="0"/>
              <w:suppressLineNumbers w:val="0"/>
              <w:spacing w:before="83" w:beforeAutospacing="0" w:after="0" w:afterAutospacing="0" w:line="460" w:lineRule="atLeast"/>
              <w:ind w:left="126" w:right="131"/>
              <w:rPr>
                <w:rFonts w:hint="default" w:ascii="Times New Roman" w:hAnsi="Times New Roman" w:cs="Times New Roman"/>
                <w:sz w:val="21"/>
                <w:szCs w:val="21"/>
              </w:rPr>
            </w:pPr>
            <w:r>
              <w:rPr>
                <w:rFonts w:hint="default" w:ascii="Times New Roman" w:hAnsi="Times New Roman" w:cs="Times New Roman"/>
                <w:sz w:val="21"/>
                <w:szCs w:val="21"/>
              </w:rPr>
              <w:t>标识</w:t>
            </w:r>
          </w:p>
        </w:tc>
        <w:tc>
          <w:tcPr>
            <w:tcW w:w="1847" w:type="dxa"/>
            <w:vAlign w:val="center"/>
          </w:tcPr>
          <w:p>
            <w:pPr>
              <w:pStyle w:val="38"/>
              <w:keepNext w:val="0"/>
              <w:keepLines w:val="0"/>
              <w:suppressLineNumbers w:val="0"/>
              <w:spacing w:before="0" w:beforeAutospacing="0" w:after="0" w:afterAutospacing="0"/>
              <w:ind w:left="154" w:right="143"/>
              <w:jc w:val="center"/>
              <w:rPr>
                <w:rFonts w:hint="default" w:ascii="Times New Roman" w:hAnsi="Times New Roman" w:cs="Times New Roman"/>
                <w:sz w:val="21"/>
                <w:szCs w:val="21"/>
              </w:rPr>
            </w:pPr>
            <w:r>
              <w:rPr>
                <w:rFonts w:hint="default" w:ascii="Times New Roman" w:hAnsi="Times New Roman" w:cs="Times New Roman"/>
                <w:sz w:val="21"/>
                <w:szCs w:val="21"/>
              </w:rPr>
              <w:t>中文名</w:t>
            </w:r>
          </w:p>
        </w:tc>
        <w:tc>
          <w:tcPr>
            <w:tcW w:w="3394" w:type="dxa"/>
            <w:gridSpan w:val="5"/>
            <w:vAlign w:val="center"/>
          </w:tcPr>
          <w:p>
            <w:pPr>
              <w:pStyle w:val="38"/>
              <w:keepNext w:val="0"/>
              <w:keepLines w:val="0"/>
              <w:suppressLineNumbers w:val="0"/>
              <w:spacing w:before="0" w:beforeAutospacing="0" w:after="0" w:afterAutospacing="0"/>
              <w:ind w:left="1271" w:right="1255"/>
              <w:jc w:val="center"/>
              <w:rPr>
                <w:rFonts w:hint="default" w:ascii="Times New Roman" w:hAnsi="Times New Roman" w:cs="Times New Roman"/>
                <w:sz w:val="21"/>
                <w:szCs w:val="21"/>
              </w:rPr>
            </w:pPr>
            <w:r>
              <w:rPr>
                <w:rFonts w:hint="default" w:ascii="Times New Roman" w:hAnsi="Times New Roman" w:cs="Times New Roman"/>
                <w:sz w:val="21"/>
                <w:szCs w:val="21"/>
              </w:rPr>
              <w:t>柴油</w:t>
            </w:r>
          </w:p>
        </w:tc>
        <w:tc>
          <w:tcPr>
            <w:tcW w:w="1886" w:type="dxa"/>
            <w:gridSpan w:val="3"/>
            <w:vAlign w:val="center"/>
          </w:tcPr>
          <w:p>
            <w:pPr>
              <w:pStyle w:val="38"/>
              <w:keepNext w:val="0"/>
              <w:keepLines w:val="0"/>
              <w:suppressLineNumbers w:val="0"/>
              <w:spacing w:before="0" w:beforeAutospacing="0" w:after="0" w:afterAutospacing="0"/>
              <w:ind w:left="112" w:right="0"/>
              <w:jc w:val="center"/>
              <w:rPr>
                <w:rFonts w:hint="default" w:ascii="Times New Roman" w:hAnsi="Times New Roman" w:cs="Times New Roman"/>
                <w:sz w:val="21"/>
                <w:szCs w:val="21"/>
              </w:rPr>
            </w:pPr>
            <w:r>
              <w:rPr>
                <w:rFonts w:hint="default" w:ascii="Times New Roman" w:hAnsi="Times New Roman" w:cs="Times New Roman"/>
                <w:sz w:val="21"/>
                <w:szCs w:val="21"/>
              </w:rPr>
              <w:t>危险化学品序号</w:t>
            </w:r>
          </w:p>
        </w:tc>
        <w:tc>
          <w:tcPr>
            <w:tcW w:w="1554" w:type="dxa"/>
            <w:vAlign w:val="center"/>
          </w:tcPr>
          <w:p>
            <w:pPr>
              <w:pStyle w:val="38"/>
              <w:keepNext w:val="0"/>
              <w:keepLines w:val="0"/>
              <w:suppressLineNumbers w:val="0"/>
              <w:spacing w:before="0" w:beforeAutospacing="0" w:after="0" w:afterAutospacing="0"/>
              <w:ind w:left="0" w:right="428"/>
              <w:jc w:val="center"/>
              <w:rPr>
                <w:rFonts w:hint="default" w:ascii="Times New Roman" w:hAnsi="Times New Roman" w:cs="Times New Roman"/>
                <w:sz w:val="21"/>
                <w:szCs w:val="21"/>
              </w:rPr>
            </w:pPr>
            <w:r>
              <w:rPr>
                <w:rFonts w:hint="default" w:ascii="Times New Roman" w:hAnsi="Times New Roman" w:cs="Times New Roman"/>
                <w:sz w:val="21"/>
                <w:szCs w:val="21"/>
              </w:rPr>
              <w:t>1674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1" w:hRule="atLeast"/>
        </w:trPr>
        <w:tc>
          <w:tcPr>
            <w:tcW w:w="492" w:type="dxa"/>
            <w:vMerge w:val="continue"/>
            <w:tcBorders>
              <w:top w:val="nil"/>
            </w:tcBorders>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p>
        </w:tc>
        <w:tc>
          <w:tcPr>
            <w:tcW w:w="1847" w:type="dxa"/>
            <w:vAlign w:val="center"/>
          </w:tcPr>
          <w:p>
            <w:pPr>
              <w:pStyle w:val="38"/>
              <w:keepNext w:val="0"/>
              <w:keepLines w:val="0"/>
              <w:suppressLineNumbers w:val="0"/>
              <w:spacing w:before="0" w:beforeAutospacing="0" w:after="0" w:afterAutospacing="0"/>
              <w:ind w:left="154" w:right="143"/>
              <w:jc w:val="center"/>
              <w:rPr>
                <w:rFonts w:hint="default" w:ascii="Times New Roman" w:hAnsi="Times New Roman" w:cs="Times New Roman"/>
                <w:sz w:val="21"/>
                <w:szCs w:val="21"/>
              </w:rPr>
            </w:pPr>
            <w:r>
              <w:rPr>
                <w:rFonts w:hint="default" w:ascii="Times New Roman" w:hAnsi="Times New Roman" w:cs="Times New Roman"/>
                <w:sz w:val="21"/>
                <w:szCs w:val="21"/>
              </w:rPr>
              <w:t>英文名</w:t>
            </w:r>
          </w:p>
        </w:tc>
        <w:tc>
          <w:tcPr>
            <w:tcW w:w="3394" w:type="dxa"/>
            <w:gridSpan w:val="5"/>
            <w:vAlign w:val="center"/>
          </w:tcPr>
          <w:p>
            <w:pPr>
              <w:pStyle w:val="38"/>
              <w:keepNext w:val="0"/>
              <w:keepLines w:val="0"/>
              <w:suppressLineNumbers w:val="0"/>
              <w:spacing w:before="0" w:beforeAutospacing="0" w:after="0" w:afterAutospacing="0"/>
              <w:ind w:left="0" w:right="1268"/>
              <w:jc w:val="center"/>
              <w:rPr>
                <w:rFonts w:hint="default" w:ascii="Times New Roman" w:hAnsi="Times New Roman" w:cs="Times New Roman"/>
                <w:sz w:val="21"/>
                <w:szCs w:val="21"/>
                <w:lang w:val="en-US"/>
              </w:rPr>
            </w:pPr>
            <w:r>
              <w:rPr>
                <w:rFonts w:hint="default" w:ascii="Times New Roman" w:hAnsi="Times New Roman" w:cs="Times New Roman"/>
                <w:sz w:val="21"/>
                <w:szCs w:val="21"/>
                <w:lang w:val="en-US"/>
              </w:rPr>
              <w:t xml:space="preserve">      </w:t>
            </w:r>
            <w:r>
              <w:rPr>
                <w:rFonts w:hint="default" w:ascii="Times New Roman" w:hAnsi="Times New Roman" w:cs="Times New Roman"/>
                <w:sz w:val="21"/>
                <w:szCs w:val="21"/>
              </w:rPr>
              <w:t>Diesel</w:t>
            </w:r>
            <w:r>
              <w:rPr>
                <w:rFonts w:hint="default" w:ascii="Times New Roman" w:hAnsi="Times New Roman" w:cs="Times New Roman"/>
                <w:sz w:val="21"/>
                <w:szCs w:val="21"/>
                <w:lang w:val="en-US"/>
              </w:rPr>
              <w:t xml:space="preserve">  </w:t>
            </w:r>
            <w:r>
              <w:rPr>
                <w:rFonts w:hint="default" w:ascii="Times New Roman" w:hAnsi="Times New Roman" w:cs="Times New Roman"/>
                <w:sz w:val="21"/>
                <w:szCs w:val="21"/>
              </w:rPr>
              <w:t>oil</w:t>
            </w:r>
            <w:r>
              <w:rPr>
                <w:rFonts w:hint="default" w:ascii="Times New Roman" w:hAnsi="Times New Roman" w:cs="Times New Roman"/>
                <w:sz w:val="21"/>
                <w:szCs w:val="21"/>
                <w:lang w:val="en-US"/>
              </w:rPr>
              <w:t xml:space="preserve">     </w:t>
            </w:r>
          </w:p>
        </w:tc>
        <w:tc>
          <w:tcPr>
            <w:tcW w:w="1886" w:type="dxa"/>
            <w:gridSpan w:val="3"/>
            <w:vAlign w:val="center"/>
          </w:tcPr>
          <w:p>
            <w:pPr>
              <w:pStyle w:val="38"/>
              <w:keepNext w:val="0"/>
              <w:keepLines w:val="0"/>
              <w:suppressLineNumbers w:val="0"/>
              <w:spacing w:before="197" w:beforeAutospacing="0" w:after="0" w:afterAutospacing="0"/>
              <w:ind w:left="554" w:right="0"/>
              <w:jc w:val="center"/>
              <w:rPr>
                <w:rFonts w:hint="default" w:ascii="Times New Roman" w:hAnsi="Times New Roman" w:cs="Times New Roman"/>
                <w:sz w:val="21"/>
                <w:szCs w:val="21"/>
              </w:rPr>
            </w:pPr>
            <w:r>
              <w:rPr>
                <w:rFonts w:hint="default" w:ascii="Times New Roman" w:hAnsi="Times New Roman" w:cs="Times New Roman"/>
                <w:sz w:val="21"/>
                <w:szCs w:val="21"/>
              </w:rPr>
              <w:t>CAS 号</w:t>
            </w:r>
          </w:p>
        </w:tc>
        <w:tc>
          <w:tcPr>
            <w:tcW w:w="1554" w:type="dxa"/>
            <w:vAlign w:val="center"/>
          </w:tcPr>
          <w:p>
            <w:pPr>
              <w:pStyle w:val="38"/>
              <w:keepNext w:val="0"/>
              <w:keepLines w:val="0"/>
              <w:suppressLineNumbers w:val="0"/>
              <w:spacing w:before="0" w:beforeAutospacing="0" w:after="0" w:afterAutospacing="0"/>
              <w:ind w:left="0" w:right="17"/>
              <w:jc w:val="center"/>
              <w:rPr>
                <w:rFonts w:hint="default" w:ascii="Times New Roman" w:hAnsi="Times New Roman" w:cs="Times New Roman"/>
                <w:sz w:val="21"/>
                <w:szCs w:val="21"/>
              </w:rPr>
            </w:pPr>
            <w:r>
              <w:rPr>
                <w:rFonts w:hint="default" w:ascii="Times New Roman" w:hAnsi="Times New Roman" w:cs="Times New Roman"/>
                <w:sz w:val="21"/>
                <w:szCs w:val="21"/>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04" w:hRule="atLeast"/>
        </w:trPr>
        <w:tc>
          <w:tcPr>
            <w:tcW w:w="492" w:type="dxa"/>
            <w:vMerge w:val="restart"/>
          </w:tcPr>
          <w:p>
            <w:pPr>
              <w:pStyle w:val="38"/>
              <w:keepNext w:val="0"/>
              <w:keepLines w:val="0"/>
              <w:suppressLineNumbers w:val="0"/>
              <w:spacing w:before="159" w:beforeAutospacing="0" w:after="0" w:afterAutospacing="0" w:line="410" w:lineRule="auto"/>
              <w:ind w:left="126" w:right="131"/>
              <w:jc w:val="both"/>
              <w:rPr>
                <w:rFonts w:hint="default" w:ascii="Times New Roman" w:hAnsi="Times New Roman" w:cs="Times New Roman"/>
                <w:sz w:val="21"/>
                <w:szCs w:val="21"/>
              </w:rPr>
            </w:pPr>
            <w:r>
              <w:rPr>
                <w:rFonts w:hint="default" w:ascii="Times New Roman" w:hAnsi="Times New Roman" w:cs="Times New Roman"/>
                <w:sz w:val="21"/>
                <w:szCs w:val="21"/>
              </w:rPr>
              <w:t>理化性</w:t>
            </w:r>
          </w:p>
          <w:p>
            <w:pPr>
              <w:pStyle w:val="38"/>
              <w:keepNext w:val="0"/>
              <w:keepLines w:val="0"/>
              <w:suppressLineNumbers w:val="0"/>
              <w:spacing w:before="0" w:beforeAutospacing="0" w:after="0" w:afterAutospacing="0"/>
              <w:ind w:left="126" w:right="0"/>
              <w:jc w:val="both"/>
              <w:rPr>
                <w:rFonts w:hint="default" w:ascii="Times New Roman" w:hAnsi="Times New Roman" w:cs="Times New Roman"/>
                <w:sz w:val="21"/>
                <w:szCs w:val="21"/>
              </w:rPr>
            </w:pPr>
            <w:r>
              <w:rPr>
                <w:rFonts w:hint="default" w:ascii="Times New Roman" w:hAnsi="Times New Roman" w:cs="Times New Roman"/>
                <w:sz w:val="21"/>
                <w:szCs w:val="21"/>
              </w:rPr>
              <w:t>质</w:t>
            </w:r>
          </w:p>
        </w:tc>
        <w:tc>
          <w:tcPr>
            <w:tcW w:w="1847" w:type="dxa"/>
            <w:vAlign w:val="center"/>
          </w:tcPr>
          <w:p>
            <w:pPr>
              <w:pStyle w:val="38"/>
              <w:keepNext w:val="0"/>
              <w:keepLines w:val="0"/>
              <w:suppressLineNumbers w:val="0"/>
              <w:spacing w:before="0" w:beforeAutospacing="0" w:after="0" w:afterAutospacing="0"/>
              <w:ind w:left="159" w:right="143"/>
              <w:jc w:val="center"/>
              <w:rPr>
                <w:rFonts w:hint="default" w:ascii="Times New Roman" w:hAnsi="Times New Roman" w:cs="Times New Roman"/>
                <w:sz w:val="21"/>
                <w:szCs w:val="21"/>
              </w:rPr>
            </w:pPr>
            <w:r>
              <w:rPr>
                <w:rFonts w:hint="default" w:ascii="Times New Roman" w:hAnsi="Times New Roman" w:cs="Times New Roman"/>
                <w:sz w:val="21"/>
                <w:szCs w:val="21"/>
              </w:rPr>
              <w:t>外观与性状</w:t>
            </w:r>
          </w:p>
        </w:tc>
        <w:tc>
          <w:tcPr>
            <w:tcW w:w="6834" w:type="dxa"/>
            <w:gridSpan w:val="9"/>
            <w:vAlign w:val="center"/>
          </w:tcPr>
          <w:p>
            <w:pPr>
              <w:pStyle w:val="38"/>
              <w:keepNext w:val="0"/>
              <w:keepLines w:val="0"/>
              <w:suppressLineNumbers w:val="0"/>
              <w:spacing w:before="0" w:beforeAutospacing="0" w:after="0" w:afterAutospacing="0"/>
              <w:ind w:left="107" w:right="0"/>
              <w:jc w:val="center"/>
              <w:rPr>
                <w:rFonts w:hint="default" w:ascii="Times New Roman" w:hAnsi="Times New Roman" w:cs="Times New Roman"/>
                <w:sz w:val="21"/>
                <w:szCs w:val="21"/>
              </w:rPr>
            </w:pPr>
            <w:r>
              <w:rPr>
                <w:rFonts w:hint="default" w:ascii="Times New Roman" w:hAnsi="Times New Roman" w:cs="Times New Roman"/>
                <w:sz w:val="21"/>
                <w:szCs w:val="21"/>
              </w:rPr>
              <w:t>稍有粘性的棕色液体</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04" w:hRule="atLeast"/>
        </w:trPr>
        <w:tc>
          <w:tcPr>
            <w:tcW w:w="492" w:type="dxa"/>
            <w:vMerge w:val="continue"/>
            <w:tcBorders>
              <w:top w:val="nil"/>
            </w:tcBorders>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p>
        </w:tc>
        <w:tc>
          <w:tcPr>
            <w:tcW w:w="1847" w:type="dxa"/>
            <w:vAlign w:val="center"/>
          </w:tcPr>
          <w:p>
            <w:pPr>
              <w:pStyle w:val="38"/>
              <w:keepNext w:val="0"/>
              <w:keepLines w:val="0"/>
              <w:suppressLineNumbers w:val="0"/>
              <w:spacing w:before="0" w:beforeAutospacing="0" w:after="0" w:afterAutospacing="0"/>
              <w:ind w:left="143" w:right="143"/>
              <w:jc w:val="center"/>
              <w:rPr>
                <w:rFonts w:hint="default" w:ascii="Times New Roman" w:hAnsi="Times New Roman" w:cs="Times New Roman"/>
                <w:sz w:val="21"/>
                <w:szCs w:val="21"/>
              </w:rPr>
            </w:pPr>
            <w:r>
              <w:rPr>
                <w:rFonts w:hint="default" w:ascii="Times New Roman" w:hAnsi="Times New Roman" w:cs="Times New Roman"/>
                <w:spacing w:val="19"/>
                <w:w w:val="110"/>
                <w:sz w:val="21"/>
                <w:szCs w:val="21"/>
              </w:rPr>
              <w:t>熔点</w:t>
            </w:r>
            <w:r>
              <w:rPr>
                <w:rFonts w:hint="default" w:ascii="Times New Roman" w:hAnsi="Times New Roman" w:cs="Times New Roman"/>
                <w:w w:val="110"/>
                <w:sz w:val="21"/>
                <w:szCs w:val="21"/>
              </w:rPr>
              <w:t>（</w:t>
            </w:r>
            <w:r>
              <w:rPr>
                <w:rFonts w:hint="default" w:ascii="Times New Roman" w:hAnsi="Times New Roman" w:cs="Times New Roman"/>
                <w:spacing w:val="4"/>
                <w:w w:val="110"/>
                <w:sz w:val="21"/>
                <w:szCs w:val="21"/>
              </w:rPr>
              <w:t>℃）</w:t>
            </w:r>
          </w:p>
        </w:tc>
        <w:tc>
          <w:tcPr>
            <w:tcW w:w="2034" w:type="dxa"/>
            <w:gridSpan w:val="3"/>
            <w:vAlign w:val="center"/>
          </w:tcPr>
          <w:p>
            <w:pPr>
              <w:pStyle w:val="38"/>
              <w:keepNext w:val="0"/>
              <w:keepLines w:val="0"/>
              <w:suppressLineNumbers w:val="0"/>
              <w:spacing w:before="0" w:beforeAutospacing="0" w:after="0" w:afterAutospacing="0"/>
              <w:ind w:left="631" w:right="0"/>
              <w:jc w:val="center"/>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-18</w:t>
            </w:r>
          </w:p>
        </w:tc>
        <w:tc>
          <w:tcPr>
            <w:tcW w:w="2208" w:type="dxa"/>
            <w:gridSpan w:val="4"/>
            <w:vAlign w:val="center"/>
          </w:tcPr>
          <w:p>
            <w:pPr>
              <w:pStyle w:val="38"/>
              <w:keepNext w:val="0"/>
              <w:keepLines w:val="0"/>
              <w:suppressLineNumbers w:val="0"/>
              <w:spacing w:before="0" w:beforeAutospacing="0" w:after="0" w:afterAutospacing="0"/>
              <w:ind w:left="318" w:right="0"/>
              <w:jc w:val="center"/>
              <w:rPr>
                <w:rFonts w:hint="default" w:ascii="Times New Roman" w:hAnsi="Times New Roman" w:cs="Times New Roman"/>
                <w:sz w:val="21"/>
                <w:szCs w:val="21"/>
              </w:rPr>
            </w:pPr>
            <w:r>
              <w:rPr>
                <w:rFonts w:hint="default" w:ascii="Times New Roman" w:hAnsi="Times New Roman" w:cs="Times New Roman"/>
                <w:sz w:val="21"/>
                <w:szCs w:val="21"/>
              </w:rPr>
              <w:t>相对密度(水=1)</w:t>
            </w:r>
          </w:p>
        </w:tc>
        <w:tc>
          <w:tcPr>
            <w:tcW w:w="2592" w:type="dxa"/>
            <w:gridSpan w:val="2"/>
            <w:vAlign w:val="center"/>
          </w:tcPr>
          <w:p>
            <w:pPr>
              <w:pStyle w:val="38"/>
              <w:keepNext w:val="0"/>
              <w:keepLines w:val="0"/>
              <w:suppressLineNumbers w:val="0"/>
              <w:spacing w:before="0" w:beforeAutospacing="0" w:after="0" w:afterAutospacing="0"/>
              <w:ind w:left="1084" w:right="1057"/>
              <w:jc w:val="center"/>
              <w:rPr>
                <w:rFonts w:hint="default" w:ascii="Times New Roman" w:hAnsi="Times New Roman" w:cs="Times New Roman"/>
                <w:sz w:val="21"/>
                <w:szCs w:val="21"/>
              </w:rPr>
            </w:pPr>
            <w:r>
              <w:rPr>
                <w:rFonts w:hint="default" w:ascii="Times New Roman" w:hAnsi="Times New Roman" w:cs="Times New Roman"/>
                <w:sz w:val="21"/>
                <w:szCs w:val="21"/>
              </w:rPr>
              <w:t>0.85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06" w:hRule="atLeast"/>
        </w:trPr>
        <w:tc>
          <w:tcPr>
            <w:tcW w:w="492" w:type="dxa"/>
            <w:vMerge w:val="continue"/>
            <w:tcBorders>
              <w:top w:val="nil"/>
            </w:tcBorders>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p>
        </w:tc>
        <w:tc>
          <w:tcPr>
            <w:tcW w:w="1847" w:type="dxa"/>
            <w:vAlign w:val="center"/>
          </w:tcPr>
          <w:p>
            <w:pPr>
              <w:pStyle w:val="38"/>
              <w:keepNext w:val="0"/>
              <w:keepLines w:val="0"/>
              <w:suppressLineNumbers w:val="0"/>
              <w:spacing w:before="0" w:beforeAutospacing="0" w:after="0" w:afterAutospacing="0"/>
              <w:ind w:left="143" w:right="143"/>
              <w:jc w:val="center"/>
              <w:rPr>
                <w:rFonts w:hint="default" w:ascii="Times New Roman" w:hAnsi="Times New Roman" w:cs="Times New Roman"/>
                <w:sz w:val="21"/>
                <w:szCs w:val="21"/>
              </w:rPr>
            </w:pPr>
            <w:r>
              <w:rPr>
                <w:rFonts w:hint="default" w:ascii="Times New Roman" w:hAnsi="Times New Roman" w:cs="Times New Roman"/>
                <w:spacing w:val="19"/>
                <w:w w:val="110"/>
                <w:sz w:val="21"/>
                <w:szCs w:val="21"/>
              </w:rPr>
              <w:t>沸点</w:t>
            </w:r>
            <w:r>
              <w:rPr>
                <w:rFonts w:hint="default" w:ascii="Times New Roman" w:hAnsi="Times New Roman" w:cs="Times New Roman"/>
                <w:w w:val="110"/>
                <w:sz w:val="21"/>
                <w:szCs w:val="21"/>
              </w:rPr>
              <w:t>（</w:t>
            </w:r>
            <w:r>
              <w:rPr>
                <w:rFonts w:hint="default" w:ascii="Times New Roman" w:hAnsi="Times New Roman" w:cs="Times New Roman"/>
                <w:spacing w:val="4"/>
                <w:w w:val="110"/>
                <w:sz w:val="21"/>
                <w:szCs w:val="21"/>
              </w:rPr>
              <w:t>℃）</w:t>
            </w:r>
          </w:p>
        </w:tc>
        <w:tc>
          <w:tcPr>
            <w:tcW w:w="2034" w:type="dxa"/>
            <w:gridSpan w:val="3"/>
            <w:vAlign w:val="center"/>
          </w:tcPr>
          <w:p>
            <w:pPr>
              <w:pStyle w:val="38"/>
              <w:keepNext w:val="0"/>
              <w:keepLines w:val="0"/>
              <w:suppressLineNumbers w:val="0"/>
              <w:spacing w:before="0" w:beforeAutospacing="0" w:after="0" w:afterAutospacing="0"/>
              <w:ind w:left="547" w:right="0"/>
              <w:jc w:val="center"/>
              <w:rPr>
                <w:rFonts w:hint="default" w:ascii="Times New Roman" w:hAnsi="Times New Roman" w:cs="Times New Roman"/>
                <w:sz w:val="21"/>
                <w:szCs w:val="21"/>
              </w:rPr>
            </w:pPr>
            <w:r>
              <w:rPr>
                <w:rFonts w:hint="default" w:ascii="Times New Roman" w:hAnsi="Times New Roman" w:cs="Times New Roman"/>
                <w:spacing w:val="6"/>
                <w:sz w:val="21"/>
                <w:szCs w:val="21"/>
              </w:rPr>
              <w:t>180～</w:t>
            </w:r>
            <w:r>
              <w:rPr>
                <w:rFonts w:hint="default" w:ascii="Times New Roman" w:hAnsi="Times New Roman" w:cs="Times New Roman"/>
                <w:spacing w:val="9"/>
                <w:sz w:val="21"/>
                <w:szCs w:val="21"/>
              </w:rPr>
              <w:t>370</w:t>
            </w:r>
          </w:p>
        </w:tc>
        <w:tc>
          <w:tcPr>
            <w:tcW w:w="2208" w:type="dxa"/>
            <w:gridSpan w:val="4"/>
            <w:vAlign w:val="center"/>
          </w:tcPr>
          <w:p>
            <w:pPr>
              <w:pStyle w:val="38"/>
              <w:keepNext w:val="0"/>
              <w:keepLines w:val="0"/>
              <w:suppressLineNumbers w:val="0"/>
              <w:spacing w:before="0" w:beforeAutospacing="0" w:after="0" w:afterAutospacing="0"/>
              <w:ind w:left="116" w:right="0"/>
              <w:jc w:val="center"/>
              <w:rPr>
                <w:rFonts w:hint="default" w:ascii="Times New Roman" w:hAnsi="Times New Roman" w:cs="Times New Roman"/>
                <w:sz w:val="21"/>
                <w:szCs w:val="21"/>
              </w:rPr>
            </w:pPr>
            <w:r>
              <w:rPr>
                <w:rFonts w:hint="default" w:ascii="Times New Roman" w:hAnsi="Times New Roman" w:cs="Times New Roman"/>
                <w:spacing w:val="19"/>
                <w:sz w:val="21"/>
                <w:szCs w:val="21"/>
              </w:rPr>
              <w:t>饱和蒸汽压</w:t>
            </w:r>
            <w:r>
              <w:rPr>
                <w:rFonts w:hint="default" w:ascii="Times New Roman" w:hAnsi="Times New Roman" w:cs="Times New Roman"/>
                <w:sz w:val="21"/>
                <w:szCs w:val="21"/>
              </w:rPr>
              <w:t>（</w:t>
            </w:r>
            <w:r>
              <w:rPr>
                <w:rFonts w:hint="default" w:ascii="Times New Roman" w:hAnsi="Times New Roman" w:cs="Times New Roman"/>
                <w:spacing w:val="7"/>
                <w:sz w:val="21"/>
                <w:szCs w:val="21"/>
              </w:rPr>
              <w:t>kPa）</w:t>
            </w:r>
          </w:p>
        </w:tc>
        <w:tc>
          <w:tcPr>
            <w:tcW w:w="2592" w:type="dxa"/>
            <w:gridSpan w:val="2"/>
            <w:vAlign w:val="center"/>
          </w:tcPr>
          <w:p>
            <w:pPr>
              <w:pStyle w:val="38"/>
              <w:keepNext w:val="0"/>
              <w:keepLines w:val="0"/>
              <w:suppressLineNumbers w:val="0"/>
              <w:spacing w:before="0" w:beforeAutospacing="0" w:after="0" w:afterAutospacing="0"/>
              <w:ind w:left="14" w:right="0"/>
              <w:jc w:val="center"/>
              <w:rPr>
                <w:rFonts w:hint="default" w:ascii="Times New Roman" w:hAnsi="Times New Roman" w:cs="Times New Roman"/>
                <w:sz w:val="21"/>
                <w:szCs w:val="21"/>
              </w:rPr>
            </w:pPr>
            <w:r>
              <w:rPr>
                <w:rFonts w:hint="default" w:ascii="Times New Roman" w:hAnsi="Times New Roman" w:cs="Times New Roman"/>
                <w:sz w:val="21"/>
                <w:szCs w:val="21"/>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56" w:hRule="atLeast"/>
        </w:trPr>
        <w:tc>
          <w:tcPr>
            <w:tcW w:w="492" w:type="dxa"/>
            <w:vMerge w:val="restart"/>
          </w:tcPr>
          <w:p>
            <w:pPr>
              <w:pStyle w:val="38"/>
              <w:keepNext w:val="0"/>
              <w:keepLines w:val="0"/>
              <w:suppressLineNumbers w:val="0"/>
              <w:spacing w:before="5" w:beforeAutospacing="0" w:after="0" w:afterAutospacing="0"/>
              <w:ind w:left="0" w:right="0"/>
              <w:rPr>
                <w:rFonts w:hint="default" w:ascii="Times New Roman" w:hAnsi="Times New Roman" w:cs="Times New Roman"/>
                <w:sz w:val="21"/>
                <w:szCs w:val="21"/>
              </w:rPr>
            </w:pPr>
          </w:p>
          <w:p>
            <w:pPr>
              <w:pStyle w:val="38"/>
              <w:keepNext w:val="0"/>
              <w:keepLines w:val="0"/>
              <w:suppressLineNumbers w:val="0"/>
              <w:spacing w:before="0" w:beforeAutospacing="0" w:after="0" w:afterAutospacing="0" w:line="410" w:lineRule="auto"/>
              <w:ind w:left="126" w:right="131"/>
              <w:jc w:val="both"/>
              <w:rPr>
                <w:rFonts w:hint="default" w:ascii="Times New Roman" w:hAnsi="Times New Roman" w:cs="Times New Roman"/>
                <w:sz w:val="21"/>
                <w:szCs w:val="21"/>
              </w:rPr>
            </w:pPr>
            <w:r>
              <w:rPr>
                <w:rFonts w:hint="default" w:ascii="Times New Roman" w:hAnsi="Times New Roman" w:cs="Times New Roman"/>
                <w:sz w:val="21"/>
                <w:szCs w:val="21"/>
              </w:rPr>
              <w:t>健康危</w:t>
            </w:r>
          </w:p>
          <w:p>
            <w:pPr>
              <w:pStyle w:val="38"/>
              <w:keepNext w:val="0"/>
              <w:keepLines w:val="0"/>
              <w:suppressLineNumbers w:val="0"/>
              <w:spacing w:before="0" w:beforeAutospacing="0" w:after="0" w:afterAutospacing="0" w:line="269" w:lineRule="exact"/>
              <w:ind w:left="126" w:right="0"/>
              <w:jc w:val="both"/>
              <w:rPr>
                <w:rFonts w:hint="default" w:ascii="Times New Roman" w:hAnsi="Times New Roman" w:cs="Times New Roman"/>
                <w:sz w:val="21"/>
                <w:szCs w:val="21"/>
              </w:rPr>
            </w:pPr>
            <w:r>
              <w:rPr>
                <w:rFonts w:hint="default" w:ascii="Times New Roman" w:hAnsi="Times New Roman" w:cs="Times New Roman"/>
                <w:sz w:val="21"/>
                <w:szCs w:val="21"/>
              </w:rPr>
              <w:t>害</w:t>
            </w:r>
          </w:p>
        </w:tc>
        <w:tc>
          <w:tcPr>
            <w:tcW w:w="1847" w:type="dxa"/>
            <w:vAlign w:val="center"/>
          </w:tcPr>
          <w:p>
            <w:pPr>
              <w:pStyle w:val="38"/>
              <w:keepNext w:val="0"/>
              <w:keepLines w:val="0"/>
              <w:suppressLineNumbers w:val="0"/>
              <w:spacing w:before="0" w:beforeAutospacing="0" w:after="0" w:afterAutospacing="0"/>
              <w:ind w:left="159" w:right="143"/>
              <w:jc w:val="center"/>
              <w:rPr>
                <w:rFonts w:hint="default" w:ascii="Times New Roman" w:hAnsi="Times New Roman" w:cs="Times New Roman"/>
                <w:sz w:val="21"/>
                <w:szCs w:val="21"/>
              </w:rPr>
            </w:pPr>
            <w:r>
              <w:rPr>
                <w:rFonts w:hint="default" w:ascii="Times New Roman" w:hAnsi="Times New Roman" w:cs="Times New Roman"/>
                <w:sz w:val="21"/>
                <w:szCs w:val="21"/>
              </w:rPr>
              <w:t>侵入途径</w:t>
            </w:r>
          </w:p>
        </w:tc>
        <w:tc>
          <w:tcPr>
            <w:tcW w:w="6834" w:type="dxa"/>
            <w:gridSpan w:val="9"/>
            <w:vAlign w:val="center"/>
          </w:tcPr>
          <w:p>
            <w:pPr>
              <w:pStyle w:val="38"/>
              <w:keepNext w:val="0"/>
              <w:keepLines w:val="0"/>
              <w:suppressLineNumbers w:val="0"/>
              <w:spacing w:before="0" w:beforeAutospacing="0" w:after="0" w:afterAutospacing="0"/>
              <w:ind w:left="107" w:right="0"/>
              <w:jc w:val="center"/>
              <w:rPr>
                <w:rFonts w:hint="default" w:ascii="Times New Roman" w:hAnsi="Times New Roman" w:cs="Times New Roman"/>
                <w:sz w:val="21"/>
                <w:szCs w:val="21"/>
              </w:rPr>
            </w:pPr>
            <w:r>
              <w:rPr>
                <w:rFonts w:hint="default" w:ascii="Times New Roman" w:hAnsi="Times New Roman" w:cs="Times New Roman"/>
                <w:sz w:val="21"/>
                <w:szCs w:val="21"/>
              </w:rPr>
              <w:t>吸入、食入、经皮吸收。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381" w:hRule="atLeast"/>
        </w:trPr>
        <w:tc>
          <w:tcPr>
            <w:tcW w:w="492" w:type="dxa"/>
            <w:vMerge w:val="continue"/>
            <w:tcBorders>
              <w:top w:val="nil"/>
            </w:tcBorders>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p>
        </w:tc>
        <w:tc>
          <w:tcPr>
            <w:tcW w:w="1847" w:type="dxa"/>
          </w:tcPr>
          <w:p>
            <w:pPr>
              <w:pStyle w:val="38"/>
              <w:keepNext w:val="0"/>
              <w:keepLines w:val="0"/>
              <w:suppressLineNumbers w:val="0"/>
              <w:spacing w:before="0" w:beforeAutospacing="0" w:after="0" w:afterAutospacing="0"/>
              <w:ind w:left="0" w:right="0"/>
              <w:rPr>
                <w:rFonts w:hint="default" w:ascii="Times New Roman" w:hAnsi="Times New Roman" w:cs="Times New Roman"/>
                <w:sz w:val="21"/>
                <w:szCs w:val="21"/>
              </w:rPr>
            </w:pPr>
          </w:p>
          <w:p>
            <w:pPr>
              <w:pStyle w:val="38"/>
              <w:keepNext w:val="0"/>
              <w:keepLines w:val="0"/>
              <w:suppressLineNumbers w:val="0"/>
              <w:spacing w:before="0" w:beforeAutospacing="0" w:after="0" w:afterAutospacing="0"/>
              <w:ind w:left="0" w:right="0"/>
              <w:rPr>
                <w:rFonts w:hint="default" w:ascii="Times New Roman" w:hAnsi="Times New Roman" w:cs="Times New Roman"/>
                <w:sz w:val="21"/>
                <w:szCs w:val="21"/>
              </w:rPr>
            </w:pPr>
          </w:p>
          <w:p>
            <w:pPr>
              <w:pStyle w:val="38"/>
              <w:keepNext w:val="0"/>
              <w:keepLines w:val="0"/>
              <w:suppressLineNumbers w:val="0"/>
              <w:spacing w:before="157" w:beforeAutospacing="0" w:after="0" w:afterAutospacing="0"/>
              <w:ind w:left="159" w:right="143"/>
              <w:jc w:val="center"/>
              <w:rPr>
                <w:rFonts w:hint="default" w:ascii="Times New Roman" w:hAnsi="Times New Roman" w:cs="Times New Roman"/>
                <w:sz w:val="21"/>
                <w:szCs w:val="21"/>
              </w:rPr>
            </w:pPr>
            <w:r>
              <w:rPr>
                <w:rFonts w:hint="default" w:ascii="Times New Roman" w:hAnsi="Times New Roman" w:cs="Times New Roman"/>
                <w:sz w:val="21"/>
                <w:szCs w:val="21"/>
              </w:rPr>
              <w:t>健康危害</w:t>
            </w:r>
          </w:p>
        </w:tc>
        <w:tc>
          <w:tcPr>
            <w:tcW w:w="6834" w:type="dxa"/>
            <w:gridSpan w:val="9"/>
          </w:tcPr>
          <w:p>
            <w:pPr>
              <w:pStyle w:val="38"/>
              <w:keepNext w:val="0"/>
              <w:keepLines w:val="0"/>
              <w:suppressLineNumbers w:val="0"/>
              <w:spacing w:before="159" w:beforeAutospacing="0" w:after="0" w:afterAutospacing="0" w:line="408" w:lineRule="auto"/>
              <w:ind w:left="107" w:right="-15"/>
              <w:rPr>
                <w:rFonts w:hint="default" w:ascii="Times New Roman" w:hAnsi="Times New Roman" w:cs="Times New Roman"/>
                <w:sz w:val="21"/>
                <w:szCs w:val="21"/>
              </w:rPr>
            </w:pPr>
            <w:r>
              <w:rPr>
                <w:rFonts w:hint="default" w:ascii="Times New Roman" w:hAnsi="Times New Roman" w:cs="Times New Roman"/>
                <w:spacing w:val="20"/>
                <w:sz w:val="21"/>
                <w:szCs w:val="21"/>
              </w:rPr>
              <w:t>皮肤接触柴油可引起接触性皮炎、油性座疮。吸入可引起吸入性</w:t>
            </w:r>
            <w:r>
              <w:rPr>
                <w:rFonts w:hint="default" w:ascii="Times New Roman" w:hAnsi="Times New Roman" w:cs="Times New Roman"/>
                <w:spacing w:val="15"/>
                <w:sz w:val="21"/>
                <w:szCs w:val="21"/>
              </w:rPr>
              <w:t>肺炎。能经胎盘进入胎儿血中。柴油废气可引起眼、鼻刺激症状、</w:t>
            </w:r>
            <w:r>
              <w:rPr>
                <w:rFonts w:hint="default" w:ascii="Times New Roman" w:hAnsi="Times New Roman" w:cs="Times New Roman"/>
                <w:sz w:val="21"/>
                <w:szCs w:val="21"/>
              </w:rPr>
              <w:t>头昏及头痛。</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60" w:hRule="atLeast"/>
        </w:trPr>
        <w:tc>
          <w:tcPr>
            <w:tcW w:w="492" w:type="dxa"/>
            <w:vMerge w:val="restart"/>
          </w:tcPr>
          <w:p>
            <w:pPr>
              <w:pStyle w:val="38"/>
              <w:keepNext w:val="0"/>
              <w:keepLines w:val="0"/>
              <w:suppressLineNumbers w:val="0"/>
              <w:spacing w:before="0" w:beforeAutospacing="0" w:after="0" w:afterAutospacing="0"/>
              <w:ind w:left="0" w:right="0"/>
              <w:rPr>
                <w:rFonts w:hint="default" w:ascii="Times New Roman" w:hAnsi="Times New Roman" w:cs="Times New Roman"/>
                <w:sz w:val="21"/>
                <w:szCs w:val="21"/>
              </w:rPr>
            </w:pPr>
          </w:p>
          <w:p>
            <w:pPr>
              <w:pStyle w:val="38"/>
              <w:keepNext w:val="0"/>
              <w:keepLines w:val="0"/>
              <w:suppressLineNumbers w:val="0"/>
              <w:spacing w:before="11" w:beforeAutospacing="0" w:after="0" w:afterAutospacing="0"/>
              <w:ind w:left="0" w:right="0"/>
              <w:rPr>
                <w:rFonts w:hint="default" w:ascii="Times New Roman" w:hAnsi="Times New Roman" w:cs="Times New Roman"/>
                <w:sz w:val="21"/>
                <w:szCs w:val="21"/>
              </w:rPr>
            </w:pPr>
          </w:p>
          <w:p>
            <w:pPr>
              <w:pStyle w:val="38"/>
              <w:keepNext w:val="0"/>
              <w:keepLines w:val="0"/>
              <w:suppressLineNumbers w:val="0"/>
              <w:spacing w:before="0" w:beforeAutospacing="0" w:after="0" w:afterAutospacing="0" w:line="410" w:lineRule="auto"/>
              <w:ind w:left="126" w:right="131"/>
              <w:jc w:val="both"/>
              <w:rPr>
                <w:rFonts w:hint="default" w:ascii="Times New Roman" w:hAnsi="Times New Roman" w:cs="Times New Roman"/>
                <w:sz w:val="21"/>
                <w:szCs w:val="21"/>
              </w:rPr>
            </w:pPr>
            <w:r>
              <w:rPr>
                <w:rFonts w:hint="default" w:ascii="Times New Roman" w:hAnsi="Times New Roman" w:cs="Times New Roman"/>
                <w:sz w:val="21"/>
                <w:szCs w:val="21"/>
              </w:rPr>
              <w:t>燃烧爆炸危险性</w:t>
            </w:r>
          </w:p>
        </w:tc>
        <w:tc>
          <w:tcPr>
            <w:tcW w:w="1847" w:type="dxa"/>
          </w:tcPr>
          <w:p>
            <w:pPr>
              <w:pStyle w:val="38"/>
              <w:keepNext w:val="0"/>
              <w:keepLines w:val="0"/>
              <w:suppressLineNumbers w:val="0"/>
              <w:spacing w:before="157" w:beforeAutospacing="0" w:after="0" w:afterAutospacing="0"/>
              <w:ind w:left="154" w:right="143"/>
              <w:jc w:val="center"/>
              <w:rPr>
                <w:rFonts w:hint="default" w:ascii="Times New Roman" w:hAnsi="Times New Roman" w:cs="Times New Roman"/>
                <w:sz w:val="21"/>
                <w:szCs w:val="21"/>
              </w:rPr>
            </w:pPr>
            <w:r>
              <w:rPr>
                <w:rFonts w:hint="default" w:ascii="Times New Roman" w:hAnsi="Times New Roman" w:cs="Times New Roman"/>
                <w:sz w:val="21"/>
                <w:szCs w:val="21"/>
              </w:rPr>
              <w:t>燃烧性</w:t>
            </w:r>
          </w:p>
        </w:tc>
        <w:tc>
          <w:tcPr>
            <w:tcW w:w="1818" w:type="dxa"/>
            <w:gridSpan w:val="2"/>
          </w:tcPr>
          <w:p>
            <w:pPr>
              <w:pStyle w:val="38"/>
              <w:keepNext w:val="0"/>
              <w:keepLines w:val="0"/>
              <w:suppressLineNumbers w:val="0"/>
              <w:spacing w:before="157" w:beforeAutospacing="0" w:after="0" w:afterAutospacing="0"/>
              <w:ind w:left="653" w:right="654"/>
              <w:jc w:val="center"/>
              <w:rPr>
                <w:rFonts w:hint="default" w:ascii="Times New Roman" w:hAnsi="Times New Roman" w:cs="Times New Roman"/>
                <w:sz w:val="21"/>
                <w:szCs w:val="21"/>
              </w:rPr>
            </w:pPr>
            <w:r>
              <w:rPr>
                <w:rFonts w:hint="default" w:ascii="Times New Roman" w:hAnsi="Times New Roman" w:cs="Times New Roman"/>
                <w:sz w:val="21"/>
                <w:szCs w:val="21"/>
              </w:rPr>
              <w:t>易燃</w:t>
            </w:r>
          </w:p>
        </w:tc>
        <w:tc>
          <w:tcPr>
            <w:tcW w:w="2424" w:type="dxa"/>
            <w:gridSpan w:val="5"/>
          </w:tcPr>
          <w:p>
            <w:pPr>
              <w:pStyle w:val="38"/>
              <w:keepNext w:val="0"/>
              <w:keepLines w:val="0"/>
              <w:suppressLineNumbers w:val="0"/>
              <w:spacing w:before="157" w:beforeAutospacing="0" w:after="0" w:afterAutospacing="0"/>
              <w:ind w:left="627" w:right="0"/>
              <w:rPr>
                <w:rFonts w:hint="default" w:ascii="Times New Roman" w:hAnsi="Times New Roman" w:cs="Times New Roman"/>
                <w:sz w:val="21"/>
                <w:szCs w:val="21"/>
              </w:rPr>
            </w:pPr>
            <w:r>
              <w:rPr>
                <w:rFonts w:hint="default" w:ascii="Times New Roman" w:hAnsi="Times New Roman" w:cs="Times New Roman"/>
                <w:sz w:val="21"/>
                <w:szCs w:val="21"/>
              </w:rPr>
              <w:t>燃烧分解物</w:t>
            </w:r>
          </w:p>
        </w:tc>
        <w:tc>
          <w:tcPr>
            <w:tcW w:w="2592" w:type="dxa"/>
            <w:gridSpan w:val="2"/>
          </w:tcPr>
          <w:p>
            <w:pPr>
              <w:pStyle w:val="38"/>
              <w:keepNext w:val="0"/>
              <w:keepLines w:val="0"/>
              <w:suppressLineNumbers w:val="0"/>
              <w:spacing w:before="157" w:beforeAutospacing="0" w:after="0" w:afterAutospacing="0"/>
              <w:ind w:left="237" w:right="0"/>
              <w:rPr>
                <w:rFonts w:hint="default" w:ascii="Times New Roman" w:hAnsi="Times New Roman" w:cs="Times New Roman"/>
                <w:sz w:val="21"/>
                <w:szCs w:val="21"/>
              </w:rPr>
            </w:pPr>
            <w:r>
              <w:rPr>
                <w:rFonts w:hint="default" w:ascii="Times New Roman" w:hAnsi="Times New Roman" w:cs="Times New Roman"/>
                <w:sz w:val="21"/>
                <w:szCs w:val="21"/>
              </w:rPr>
              <w:t>一氧化碳、二氧化碳。</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8" w:hRule="atLeast"/>
        </w:trPr>
        <w:tc>
          <w:tcPr>
            <w:tcW w:w="492" w:type="dxa"/>
            <w:vMerge w:val="continue"/>
            <w:tcBorders>
              <w:top w:val="nil"/>
            </w:tcBorders>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p>
        </w:tc>
        <w:tc>
          <w:tcPr>
            <w:tcW w:w="1847" w:type="dxa"/>
          </w:tcPr>
          <w:p>
            <w:pPr>
              <w:pStyle w:val="38"/>
              <w:keepNext w:val="0"/>
              <w:keepLines w:val="0"/>
              <w:suppressLineNumbers w:val="0"/>
              <w:spacing w:before="157" w:beforeAutospacing="0" w:after="0" w:afterAutospacing="0"/>
              <w:ind w:left="145" w:right="143"/>
              <w:jc w:val="center"/>
              <w:rPr>
                <w:rFonts w:hint="default" w:ascii="Times New Roman" w:hAnsi="Times New Roman" w:cs="Times New Roman"/>
                <w:sz w:val="21"/>
                <w:szCs w:val="21"/>
              </w:rPr>
            </w:pPr>
            <w:r>
              <w:rPr>
                <w:rFonts w:hint="default" w:ascii="Times New Roman" w:hAnsi="Times New Roman" w:cs="Times New Roman"/>
                <w:sz w:val="21"/>
                <w:szCs w:val="21"/>
              </w:rPr>
              <w:t>闪点(℃)</w:t>
            </w:r>
          </w:p>
        </w:tc>
        <w:tc>
          <w:tcPr>
            <w:tcW w:w="1818" w:type="dxa"/>
            <w:gridSpan w:val="2"/>
          </w:tcPr>
          <w:p>
            <w:pPr>
              <w:pStyle w:val="38"/>
              <w:keepNext w:val="0"/>
              <w:keepLines w:val="0"/>
              <w:suppressLineNumbers w:val="0"/>
              <w:spacing w:before="157" w:beforeAutospacing="0" w:after="0" w:afterAutospacing="0"/>
              <w:ind w:left="139" w:right="0"/>
              <w:rPr>
                <w:rFonts w:hint="default" w:ascii="Times New Roman" w:hAnsi="Times New Roman" w:cs="Times New Roman"/>
                <w:sz w:val="21"/>
                <w:szCs w:val="21"/>
              </w:rPr>
            </w:pPr>
            <w:r>
              <w:rPr>
                <w:rFonts w:hint="default" w:ascii="Times New Roman" w:hAnsi="Times New Roman" w:cs="Times New Roman"/>
                <w:w w:val="105"/>
                <w:sz w:val="21"/>
                <w:szCs w:val="21"/>
              </w:rPr>
              <w:t>[闭杯闪点≤60℃]</w:t>
            </w:r>
          </w:p>
        </w:tc>
        <w:tc>
          <w:tcPr>
            <w:tcW w:w="2424" w:type="dxa"/>
            <w:gridSpan w:val="5"/>
          </w:tcPr>
          <w:p>
            <w:pPr>
              <w:pStyle w:val="38"/>
              <w:keepNext w:val="0"/>
              <w:keepLines w:val="0"/>
              <w:suppressLineNumbers w:val="0"/>
              <w:spacing w:before="157" w:beforeAutospacing="0" w:after="0" w:afterAutospacing="0"/>
              <w:ind w:left="363" w:right="0"/>
              <w:rPr>
                <w:rFonts w:hint="default" w:ascii="Times New Roman" w:hAnsi="Times New Roman" w:cs="Times New Roman"/>
                <w:sz w:val="21"/>
                <w:szCs w:val="21"/>
              </w:rPr>
            </w:pPr>
            <w:r>
              <w:rPr>
                <w:rFonts w:hint="default" w:ascii="Times New Roman" w:hAnsi="Times New Roman" w:cs="Times New Roman"/>
                <w:spacing w:val="19"/>
                <w:sz w:val="21"/>
                <w:szCs w:val="21"/>
              </w:rPr>
              <w:t>爆炸上限</w:t>
            </w:r>
            <w:r>
              <w:rPr>
                <w:rFonts w:hint="default" w:ascii="Times New Roman" w:hAnsi="Times New Roman" w:cs="Times New Roman"/>
                <w:sz w:val="21"/>
                <w:szCs w:val="21"/>
              </w:rPr>
              <w:t>（</w:t>
            </w:r>
            <w:r>
              <w:rPr>
                <w:rFonts w:hint="default" w:ascii="Times New Roman" w:hAnsi="Times New Roman" w:cs="Times New Roman"/>
                <w:spacing w:val="5"/>
                <w:sz w:val="21"/>
                <w:szCs w:val="21"/>
              </w:rPr>
              <w:t>v%）</w:t>
            </w:r>
          </w:p>
        </w:tc>
        <w:tc>
          <w:tcPr>
            <w:tcW w:w="2592" w:type="dxa"/>
            <w:gridSpan w:val="2"/>
          </w:tcPr>
          <w:p>
            <w:pPr>
              <w:pStyle w:val="38"/>
              <w:keepNext w:val="0"/>
              <w:keepLines w:val="0"/>
              <w:suppressLineNumbers w:val="0"/>
              <w:spacing w:before="171" w:beforeAutospacing="0" w:after="0" w:afterAutospacing="0"/>
              <w:ind w:left="1079" w:right="1057"/>
              <w:jc w:val="center"/>
              <w:rPr>
                <w:rFonts w:hint="default" w:ascii="Times New Roman" w:hAnsi="Times New Roman" w:cs="Times New Roman"/>
                <w:sz w:val="21"/>
                <w:szCs w:val="21"/>
              </w:rPr>
            </w:pPr>
            <w:r>
              <w:rPr>
                <w:rFonts w:hint="default" w:ascii="Times New Roman" w:hAnsi="Times New Roman" w:cs="Times New Roman"/>
                <w:sz w:val="21"/>
                <w:szCs w:val="21"/>
              </w:rPr>
              <w:t>6.5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60" w:hRule="atLeast"/>
        </w:trPr>
        <w:tc>
          <w:tcPr>
            <w:tcW w:w="492" w:type="dxa"/>
            <w:vMerge w:val="continue"/>
            <w:tcBorders>
              <w:top w:val="nil"/>
            </w:tcBorders>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p>
        </w:tc>
        <w:tc>
          <w:tcPr>
            <w:tcW w:w="1847" w:type="dxa"/>
          </w:tcPr>
          <w:p>
            <w:pPr>
              <w:pStyle w:val="38"/>
              <w:keepNext w:val="0"/>
              <w:keepLines w:val="0"/>
              <w:suppressLineNumbers w:val="0"/>
              <w:spacing w:before="159" w:beforeAutospacing="0" w:after="0" w:afterAutospacing="0"/>
              <w:ind w:left="145" w:right="143"/>
              <w:jc w:val="center"/>
              <w:rPr>
                <w:rFonts w:hint="default" w:ascii="Times New Roman" w:hAnsi="Times New Roman" w:cs="Times New Roman"/>
                <w:sz w:val="21"/>
                <w:szCs w:val="21"/>
              </w:rPr>
            </w:pPr>
            <w:r>
              <w:rPr>
                <w:rFonts w:hint="default" w:ascii="Times New Roman" w:hAnsi="Times New Roman" w:cs="Times New Roman"/>
                <w:sz w:val="21"/>
                <w:szCs w:val="21"/>
              </w:rPr>
              <w:t>引燃温度(℃)</w:t>
            </w:r>
          </w:p>
        </w:tc>
        <w:tc>
          <w:tcPr>
            <w:tcW w:w="1818" w:type="dxa"/>
            <w:gridSpan w:val="2"/>
          </w:tcPr>
          <w:p>
            <w:pPr>
              <w:pStyle w:val="38"/>
              <w:keepNext w:val="0"/>
              <w:keepLines w:val="0"/>
              <w:suppressLineNumbers w:val="0"/>
              <w:spacing w:before="159" w:beforeAutospacing="0" w:after="0" w:afterAutospacing="0"/>
              <w:ind w:left="439" w:right="0"/>
              <w:rPr>
                <w:rFonts w:hint="default" w:ascii="Times New Roman" w:hAnsi="Times New Roman" w:cs="Times New Roman"/>
                <w:sz w:val="21"/>
                <w:szCs w:val="21"/>
              </w:rPr>
            </w:pPr>
            <w:r>
              <w:rPr>
                <w:rFonts w:hint="default" w:ascii="Times New Roman" w:hAnsi="Times New Roman" w:cs="Times New Roman"/>
                <w:spacing w:val="6"/>
                <w:sz w:val="21"/>
                <w:szCs w:val="21"/>
              </w:rPr>
              <w:t>350～</w:t>
            </w:r>
            <w:r>
              <w:rPr>
                <w:rFonts w:hint="default" w:ascii="Times New Roman" w:hAnsi="Times New Roman" w:cs="Times New Roman"/>
                <w:spacing w:val="9"/>
                <w:sz w:val="21"/>
                <w:szCs w:val="21"/>
              </w:rPr>
              <w:t>380</w:t>
            </w:r>
          </w:p>
        </w:tc>
        <w:tc>
          <w:tcPr>
            <w:tcW w:w="2424" w:type="dxa"/>
            <w:gridSpan w:val="5"/>
          </w:tcPr>
          <w:p>
            <w:pPr>
              <w:pStyle w:val="38"/>
              <w:keepNext w:val="0"/>
              <w:keepLines w:val="0"/>
              <w:suppressLineNumbers w:val="0"/>
              <w:spacing w:before="159" w:beforeAutospacing="0" w:after="0" w:afterAutospacing="0"/>
              <w:ind w:left="363" w:right="0"/>
              <w:rPr>
                <w:rFonts w:hint="default" w:ascii="Times New Roman" w:hAnsi="Times New Roman" w:cs="Times New Roman"/>
                <w:sz w:val="21"/>
                <w:szCs w:val="21"/>
              </w:rPr>
            </w:pPr>
            <w:r>
              <w:rPr>
                <w:rFonts w:hint="default" w:ascii="Times New Roman" w:hAnsi="Times New Roman" w:cs="Times New Roman"/>
                <w:spacing w:val="19"/>
                <w:sz w:val="21"/>
                <w:szCs w:val="21"/>
              </w:rPr>
              <w:t>爆炸下限</w:t>
            </w:r>
            <w:r>
              <w:rPr>
                <w:rFonts w:hint="default" w:ascii="Times New Roman" w:hAnsi="Times New Roman" w:cs="Times New Roman"/>
                <w:sz w:val="21"/>
                <w:szCs w:val="21"/>
              </w:rPr>
              <w:t>（</w:t>
            </w:r>
            <w:r>
              <w:rPr>
                <w:rFonts w:hint="default" w:ascii="Times New Roman" w:hAnsi="Times New Roman" w:cs="Times New Roman"/>
                <w:spacing w:val="5"/>
                <w:sz w:val="21"/>
                <w:szCs w:val="21"/>
              </w:rPr>
              <w:t>v%）</w:t>
            </w:r>
          </w:p>
        </w:tc>
        <w:tc>
          <w:tcPr>
            <w:tcW w:w="2592" w:type="dxa"/>
            <w:gridSpan w:val="2"/>
          </w:tcPr>
          <w:p>
            <w:pPr>
              <w:pStyle w:val="38"/>
              <w:keepNext w:val="0"/>
              <w:keepLines w:val="0"/>
              <w:suppressLineNumbers w:val="0"/>
              <w:spacing w:before="173" w:beforeAutospacing="0" w:after="0" w:afterAutospacing="0"/>
              <w:ind w:left="1079" w:right="1057"/>
              <w:jc w:val="center"/>
              <w:rPr>
                <w:rFonts w:hint="default" w:ascii="Times New Roman" w:hAnsi="Times New Roman" w:cs="Times New Roman"/>
                <w:sz w:val="21"/>
                <w:szCs w:val="21"/>
              </w:rPr>
            </w:pPr>
            <w:r>
              <w:rPr>
                <w:rFonts w:hint="default" w:ascii="Times New Roman" w:hAnsi="Times New Roman" w:cs="Times New Roman"/>
                <w:sz w:val="21"/>
                <w:szCs w:val="21"/>
              </w:rPr>
              <w:t>1.5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78" w:hRule="atLeast"/>
        </w:trPr>
        <w:tc>
          <w:tcPr>
            <w:tcW w:w="492" w:type="dxa"/>
            <w:vMerge w:val="continue"/>
            <w:tcBorders>
              <w:top w:val="nil"/>
            </w:tcBorders>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p>
        </w:tc>
        <w:tc>
          <w:tcPr>
            <w:tcW w:w="1847" w:type="dxa"/>
          </w:tcPr>
          <w:p>
            <w:pPr>
              <w:pStyle w:val="38"/>
              <w:keepNext w:val="0"/>
              <w:keepLines w:val="0"/>
              <w:suppressLineNumbers w:val="0"/>
              <w:spacing w:before="0" w:beforeAutospacing="0" w:after="0" w:afterAutospacing="0"/>
              <w:ind w:left="0" w:right="0"/>
              <w:rPr>
                <w:rFonts w:hint="default" w:ascii="Times New Roman" w:hAnsi="Times New Roman" w:cs="Times New Roman"/>
                <w:sz w:val="21"/>
                <w:szCs w:val="21"/>
              </w:rPr>
            </w:pPr>
          </w:p>
          <w:p>
            <w:pPr>
              <w:pStyle w:val="38"/>
              <w:keepNext w:val="0"/>
              <w:keepLines w:val="0"/>
              <w:suppressLineNumbers w:val="0"/>
              <w:spacing w:before="2" w:beforeAutospacing="0" w:after="0" w:afterAutospacing="0"/>
              <w:ind w:left="0" w:right="0"/>
              <w:rPr>
                <w:rFonts w:hint="default" w:ascii="Times New Roman" w:hAnsi="Times New Roman" w:cs="Times New Roman"/>
                <w:sz w:val="21"/>
                <w:szCs w:val="21"/>
              </w:rPr>
            </w:pPr>
          </w:p>
          <w:p>
            <w:pPr>
              <w:pStyle w:val="38"/>
              <w:keepNext w:val="0"/>
              <w:keepLines w:val="0"/>
              <w:suppressLineNumbers w:val="0"/>
              <w:spacing w:before="0" w:beforeAutospacing="0" w:after="0" w:afterAutospacing="0"/>
              <w:ind w:left="159" w:right="143"/>
              <w:jc w:val="center"/>
              <w:rPr>
                <w:rFonts w:hint="default" w:ascii="Times New Roman" w:hAnsi="Times New Roman" w:cs="Times New Roman"/>
                <w:sz w:val="21"/>
                <w:szCs w:val="21"/>
              </w:rPr>
            </w:pPr>
            <w:r>
              <w:rPr>
                <w:rFonts w:hint="default" w:ascii="Times New Roman" w:hAnsi="Times New Roman" w:cs="Times New Roman"/>
                <w:sz w:val="21"/>
                <w:szCs w:val="21"/>
              </w:rPr>
              <w:t>危险特性</w:t>
            </w:r>
          </w:p>
        </w:tc>
        <w:tc>
          <w:tcPr>
            <w:tcW w:w="6834" w:type="dxa"/>
            <w:gridSpan w:val="9"/>
          </w:tcPr>
          <w:p>
            <w:pPr>
              <w:pStyle w:val="38"/>
              <w:keepNext w:val="0"/>
              <w:keepLines w:val="0"/>
              <w:suppressLineNumbers w:val="0"/>
              <w:spacing w:before="31" w:beforeAutospacing="0" w:after="0" w:afterAutospacing="0" w:line="458" w:lineRule="exact"/>
              <w:ind w:left="107" w:right="111"/>
              <w:rPr>
                <w:rFonts w:hint="default" w:ascii="Times New Roman" w:hAnsi="Times New Roman" w:cs="Times New Roman"/>
                <w:sz w:val="21"/>
                <w:szCs w:val="21"/>
              </w:rPr>
            </w:pPr>
            <w:r>
              <w:rPr>
                <w:rFonts w:hint="default" w:ascii="Times New Roman" w:hAnsi="Times New Roman" w:cs="Times New Roman"/>
                <w:sz w:val="21"/>
                <w:szCs w:val="21"/>
              </w:rPr>
              <w:t>遇明火、高热或与氧化剂接触有可能引起燃烧爆炸的危险。若遇高热，容器内压增大，有开裂和爆炸的危险。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60" w:hRule="atLeast"/>
        </w:trPr>
        <w:tc>
          <w:tcPr>
            <w:tcW w:w="492" w:type="dxa"/>
            <w:vMerge w:val="continue"/>
            <w:tcBorders>
              <w:top w:val="nil"/>
            </w:tcBorders>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p>
        </w:tc>
        <w:tc>
          <w:tcPr>
            <w:tcW w:w="1847" w:type="dxa"/>
          </w:tcPr>
          <w:p>
            <w:pPr>
              <w:pStyle w:val="38"/>
              <w:keepNext w:val="0"/>
              <w:keepLines w:val="0"/>
              <w:suppressLineNumbers w:val="0"/>
              <w:spacing w:before="157" w:beforeAutospacing="0" w:after="0" w:afterAutospacing="0"/>
              <w:ind w:left="159" w:right="143"/>
              <w:jc w:val="center"/>
              <w:rPr>
                <w:rFonts w:hint="default" w:ascii="Times New Roman" w:hAnsi="Times New Roman" w:cs="Times New Roman"/>
                <w:sz w:val="21"/>
                <w:szCs w:val="21"/>
              </w:rPr>
            </w:pPr>
            <w:r>
              <w:rPr>
                <w:rFonts w:hint="default" w:ascii="Times New Roman" w:hAnsi="Times New Roman" w:cs="Times New Roman"/>
                <w:sz w:val="21"/>
                <w:szCs w:val="21"/>
              </w:rPr>
              <w:t>火灾危险性分类</w:t>
            </w:r>
          </w:p>
        </w:tc>
        <w:tc>
          <w:tcPr>
            <w:tcW w:w="1422" w:type="dxa"/>
          </w:tcPr>
          <w:p>
            <w:pPr>
              <w:pStyle w:val="38"/>
              <w:keepNext w:val="0"/>
              <w:keepLines w:val="0"/>
              <w:suppressLineNumbers w:val="0"/>
              <w:spacing w:before="157" w:beforeAutospacing="0" w:after="0" w:afterAutospacing="0"/>
              <w:ind w:left="0" w:right="2"/>
              <w:jc w:val="center"/>
              <w:rPr>
                <w:rFonts w:hint="default" w:ascii="Times New Roman" w:hAnsi="Times New Roman" w:cs="Times New Roman"/>
                <w:sz w:val="21"/>
                <w:szCs w:val="21"/>
              </w:rPr>
            </w:pPr>
            <w:r>
              <w:rPr>
                <w:rFonts w:hint="default" w:ascii="Times New Roman" w:hAnsi="Times New Roman" w:cs="Times New Roman"/>
                <w:sz w:val="21"/>
                <w:szCs w:val="21"/>
              </w:rPr>
              <w:t>乙</w:t>
            </w:r>
          </w:p>
        </w:tc>
        <w:tc>
          <w:tcPr>
            <w:tcW w:w="1315" w:type="dxa"/>
            <w:gridSpan w:val="3"/>
          </w:tcPr>
          <w:p>
            <w:pPr>
              <w:pStyle w:val="38"/>
              <w:keepNext w:val="0"/>
              <w:keepLines w:val="0"/>
              <w:suppressLineNumbers w:val="0"/>
              <w:spacing w:before="157" w:beforeAutospacing="0" w:after="0" w:afterAutospacing="0"/>
              <w:ind w:left="305" w:right="0"/>
              <w:rPr>
                <w:rFonts w:hint="default" w:ascii="Times New Roman" w:hAnsi="Times New Roman" w:cs="Times New Roman"/>
                <w:sz w:val="21"/>
                <w:szCs w:val="21"/>
              </w:rPr>
            </w:pPr>
            <w:r>
              <w:rPr>
                <w:rFonts w:hint="default" w:ascii="Times New Roman" w:hAnsi="Times New Roman" w:cs="Times New Roman"/>
                <w:sz w:val="21"/>
                <w:szCs w:val="21"/>
              </w:rPr>
              <w:t>稳定性</w:t>
            </w:r>
          </w:p>
        </w:tc>
        <w:tc>
          <w:tcPr>
            <w:tcW w:w="1000" w:type="dxa"/>
            <w:gridSpan w:val="2"/>
          </w:tcPr>
          <w:p>
            <w:pPr>
              <w:pStyle w:val="38"/>
              <w:keepNext w:val="0"/>
              <w:keepLines w:val="0"/>
              <w:suppressLineNumbers w:val="0"/>
              <w:spacing w:before="157" w:beforeAutospacing="0" w:after="0" w:afterAutospacing="0"/>
              <w:ind w:left="265" w:right="0"/>
              <w:rPr>
                <w:rFonts w:hint="default" w:ascii="Times New Roman" w:hAnsi="Times New Roman" w:cs="Times New Roman"/>
                <w:sz w:val="21"/>
                <w:szCs w:val="21"/>
              </w:rPr>
            </w:pPr>
            <w:r>
              <w:rPr>
                <w:rFonts w:hint="default" w:ascii="Times New Roman" w:hAnsi="Times New Roman" w:cs="Times New Roman"/>
                <w:sz w:val="21"/>
                <w:szCs w:val="21"/>
              </w:rPr>
              <w:t>稳定</w:t>
            </w:r>
          </w:p>
        </w:tc>
        <w:tc>
          <w:tcPr>
            <w:tcW w:w="1543" w:type="dxa"/>
            <w:gridSpan w:val="2"/>
          </w:tcPr>
          <w:p>
            <w:pPr>
              <w:pStyle w:val="38"/>
              <w:keepNext w:val="0"/>
              <w:keepLines w:val="0"/>
              <w:suppressLineNumbers w:val="0"/>
              <w:spacing w:before="157" w:beforeAutospacing="0" w:after="0" w:afterAutospacing="0"/>
              <w:ind w:left="322" w:right="0"/>
              <w:rPr>
                <w:rFonts w:hint="default" w:ascii="Times New Roman" w:hAnsi="Times New Roman" w:cs="Times New Roman"/>
                <w:sz w:val="21"/>
                <w:szCs w:val="21"/>
              </w:rPr>
            </w:pPr>
            <w:r>
              <w:rPr>
                <w:rFonts w:hint="default" w:ascii="Times New Roman" w:hAnsi="Times New Roman" w:cs="Times New Roman"/>
                <w:sz w:val="21"/>
                <w:szCs w:val="21"/>
              </w:rPr>
              <w:t>聚合危害</w:t>
            </w:r>
          </w:p>
        </w:tc>
        <w:tc>
          <w:tcPr>
            <w:tcW w:w="1554" w:type="dxa"/>
          </w:tcPr>
          <w:p>
            <w:pPr>
              <w:pStyle w:val="38"/>
              <w:keepNext w:val="0"/>
              <w:keepLines w:val="0"/>
              <w:suppressLineNumbers w:val="0"/>
              <w:spacing w:before="157" w:beforeAutospacing="0" w:after="0" w:afterAutospacing="0"/>
              <w:ind w:left="0" w:right="385"/>
              <w:jc w:val="right"/>
              <w:rPr>
                <w:rFonts w:hint="default" w:ascii="Times New Roman" w:hAnsi="Times New Roman" w:cs="Times New Roman"/>
                <w:sz w:val="21"/>
                <w:szCs w:val="21"/>
              </w:rPr>
            </w:pPr>
            <w:r>
              <w:rPr>
                <w:rFonts w:hint="default" w:ascii="Times New Roman" w:hAnsi="Times New Roman" w:cs="Times New Roman"/>
                <w:sz w:val="21"/>
                <w:szCs w:val="21"/>
              </w:rPr>
              <w:t>不出现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60" w:hRule="atLeast"/>
        </w:trPr>
        <w:tc>
          <w:tcPr>
            <w:tcW w:w="492" w:type="dxa"/>
            <w:vMerge w:val="continue"/>
            <w:tcBorders>
              <w:top w:val="nil"/>
            </w:tcBorders>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p>
        </w:tc>
        <w:tc>
          <w:tcPr>
            <w:tcW w:w="1847" w:type="dxa"/>
          </w:tcPr>
          <w:p>
            <w:pPr>
              <w:pStyle w:val="38"/>
              <w:keepNext w:val="0"/>
              <w:keepLines w:val="0"/>
              <w:suppressLineNumbers w:val="0"/>
              <w:spacing w:before="157" w:beforeAutospacing="0" w:after="0" w:afterAutospacing="0"/>
              <w:ind w:left="154" w:right="143"/>
              <w:jc w:val="center"/>
              <w:rPr>
                <w:rFonts w:hint="default" w:ascii="Times New Roman" w:hAnsi="Times New Roman" w:cs="Times New Roman"/>
                <w:sz w:val="21"/>
                <w:szCs w:val="21"/>
              </w:rPr>
            </w:pPr>
            <w:r>
              <w:rPr>
                <w:rFonts w:hint="default" w:ascii="Times New Roman" w:hAnsi="Times New Roman" w:cs="Times New Roman"/>
                <w:sz w:val="21"/>
                <w:szCs w:val="21"/>
              </w:rPr>
              <w:t>禁忌物</w:t>
            </w:r>
          </w:p>
        </w:tc>
        <w:tc>
          <w:tcPr>
            <w:tcW w:w="6834" w:type="dxa"/>
            <w:gridSpan w:val="9"/>
          </w:tcPr>
          <w:p>
            <w:pPr>
              <w:pStyle w:val="38"/>
              <w:keepNext w:val="0"/>
              <w:keepLines w:val="0"/>
              <w:suppressLineNumbers w:val="0"/>
              <w:spacing w:before="157" w:beforeAutospacing="0" w:after="0" w:afterAutospacing="0"/>
              <w:ind w:left="107" w:right="0"/>
              <w:rPr>
                <w:rFonts w:hint="default" w:ascii="Times New Roman" w:hAnsi="Times New Roman" w:cs="Times New Roman"/>
                <w:sz w:val="21"/>
                <w:szCs w:val="21"/>
              </w:rPr>
            </w:pPr>
            <w:r>
              <w:rPr>
                <w:rFonts w:hint="default" w:ascii="Times New Roman" w:hAnsi="Times New Roman" w:cs="Times New Roman"/>
                <w:sz w:val="21"/>
                <w:szCs w:val="21"/>
              </w:rPr>
              <w:t>强氧化剂、卤素。</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7" w:hRule="atLeast"/>
        </w:trPr>
        <w:tc>
          <w:tcPr>
            <w:tcW w:w="492" w:type="dxa"/>
            <w:vMerge w:val="continue"/>
            <w:tcBorders>
              <w:top w:val="nil"/>
            </w:tcBorders>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p>
        </w:tc>
        <w:tc>
          <w:tcPr>
            <w:tcW w:w="1847" w:type="dxa"/>
          </w:tcPr>
          <w:p>
            <w:pPr>
              <w:pStyle w:val="38"/>
              <w:keepNext w:val="0"/>
              <w:keepLines w:val="0"/>
              <w:suppressLineNumbers w:val="0"/>
              <w:spacing w:before="157" w:beforeAutospacing="0" w:after="0" w:afterAutospacing="0"/>
              <w:ind w:left="159" w:right="143"/>
              <w:jc w:val="center"/>
              <w:rPr>
                <w:rFonts w:hint="default" w:ascii="Times New Roman" w:hAnsi="Times New Roman" w:cs="Times New Roman"/>
                <w:sz w:val="21"/>
                <w:szCs w:val="21"/>
              </w:rPr>
            </w:pPr>
            <w:r>
              <w:rPr>
                <w:rFonts w:hint="default" w:ascii="Times New Roman" w:hAnsi="Times New Roman" w:cs="Times New Roman"/>
                <w:sz w:val="21"/>
                <w:szCs w:val="21"/>
              </w:rPr>
              <w:t>灭火方法</w:t>
            </w:r>
          </w:p>
        </w:tc>
        <w:tc>
          <w:tcPr>
            <w:tcW w:w="6834" w:type="dxa"/>
            <w:gridSpan w:val="9"/>
          </w:tcPr>
          <w:p>
            <w:pPr>
              <w:pStyle w:val="38"/>
              <w:keepNext w:val="0"/>
              <w:keepLines w:val="0"/>
              <w:suppressLineNumbers w:val="0"/>
              <w:spacing w:before="157" w:beforeAutospacing="0" w:after="0" w:afterAutospacing="0"/>
              <w:ind w:left="107" w:right="0"/>
              <w:rPr>
                <w:rFonts w:hint="default" w:ascii="Times New Roman" w:hAnsi="Times New Roman" w:cs="Times New Roman"/>
                <w:sz w:val="21"/>
                <w:szCs w:val="21"/>
              </w:rPr>
            </w:pPr>
            <w:r>
              <w:rPr>
                <w:rFonts w:hint="default" w:ascii="Times New Roman" w:hAnsi="Times New Roman" w:cs="Times New Roman"/>
                <w:sz w:val="21"/>
                <w:szCs w:val="21"/>
              </w:rPr>
              <w:t>用泡沫、二氧化碳、干粉灭火，用水灭火无效。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62" w:hRule="atLeast"/>
        </w:trPr>
        <w:tc>
          <w:tcPr>
            <w:tcW w:w="492" w:type="dxa"/>
            <w:vMerge w:val="restart"/>
          </w:tcPr>
          <w:p>
            <w:pPr>
              <w:pStyle w:val="38"/>
              <w:keepNext w:val="0"/>
              <w:keepLines w:val="0"/>
              <w:suppressLineNumbers w:val="0"/>
              <w:spacing w:before="0" w:beforeAutospacing="0" w:after="0" w:afterAutospacing="0"/>
              <w:ind w:left="0" w:right="0"/>
              <w:rPr>
                <w:rFonts w:hint="default" w:ascii="Times New Roman" w:hAnsi="Times New Roman" w:cs="Times New Roman"/>
                <w:sz w:val="21"/>
                <w:szCs w:val="21"/>
              </w:rPr>
            </w:pPr>
          </w:p>
          <w:p>
            <w:pPr>
              <w:pStyle w:val="38"/>
              <w:keepNext w:val="0"/>
              <w:keepLines w:val="0"/>
              <w:suppressLineNumbers w:val="0"/>
              <w:spacing w:before="0" w:beforeAutospacing="0" w:after="0" w:afterAutospacing="0"/>
              <w:ind w:left="0" w:right="0"/>
              <w:rPr>
                <w:rFonts w:hint="default" w:ascii="Times New Roman" w:hAnsi="Times New Roman" w:cs="Times New Roman"/>
                <w:sz w:val="21"/>
                <w:szCs w:val="21"/>
              </w:rPr>
            </w:pPr>
          </w:p>
          <w:p>
            <w:pPr>
              <w:pStyle w:val="38"/>
              <w:keepNext w:val="0"/>
              <w:keepLines w:val="0"/>
              <w:suppressLineNumbers w:val="0"/>
              <w:spacing w:before="0" w:beforeAutospacing="0" w:after="0" w:afterAutospacing="0"/>
              <w:ind w:left="0" w:right="0"/>
              <w:rPr>
                <w:rFonts w:hint="default" w:ascii="Times New Roman" w:hAnsi="Times New Roman" w:cs="Times New Roman"/>
                <w:sz w:val="21"/>
                <w:szCs w:val="21"/>
              </w:rPr>
            </w:pPr>
          </w:p>
          <w:p>
            <w:pPr>
              <w:pStyle w:val="38"/>
              <w:keepNext w:val="0"/>
              <w:keepLines w:val="0"/>
              <w:suppressLineNumbers w:val="0"/>
              <w:spacing w:before="0" w:beforeAutospacing="0" w:after="0" w:afterAutospacing="0"/>
              <w:ind w:left="0" w:right="0"/>
              <w:rPr>
                <w:rFonts w:hint="default" w:ascii="Times New Roman" w:hAnsi="Times New Roman" w:cs="Times New Roman"/>
                <w:sz w:val="21"/>
                <w:szCs w:val="21"/>
              </w:rPr>
            </w:pPr>
          </w:p>
          <w:p>
            <w:pPr>
              <w:pStyle w:val="38"/>
              <w:keepNext w:val="0"/>
              <w:keepLines w:val="0"/>
              <w:suppressLineNumbers w:val="0"/>
              <w:spacing w:before="0" w:beforeAutospacing="0" w:after="0" w:afterAutospacing="0"/>
              <w:ind w:left="0" w:right="0"/>
              <w:rPr>
                <w:rFonts w:hint="default" w:ascii="Times New Roman" w:hAnsi="Times New Roman" w:cs="Times New Roman"/>
                <w:sz w:val="21"/>
                <w:szCs w:val="21"/>
              </w:rPr>
            </w:pPr>
          </w:p>
          <w:p>
            <w:pPr>
              <w:pStyle w:val="38"/>
              <w:keepNext w:val="0"/>
              <w:keepLines w:val="0"/>
              <w:suppressLineNumbers w:val="0"/>
              <w:spacing w:before="166" w:beforeAutospacing="0" w:after="0" w:afterAutospacing="0" w:line="410" w:lineRule="auto"/>
              <w:ind w:left="136" w:right="122"/>
              <w:jc w:val="both"/>
              <w:rPr>
                <w:rFonts w:hint="default" w:ascii="Times New Roman" w:hAnsi="Times New Roman" w:cs="Times New Roman"/>
                <w:sz w:val="21"/>
                <w:szCs w:val="21"/>
              </w:rPr>
            </w:pPr>
            <w:r>
              <w:rPr>
                <w:rFonts w:hint="default" w:ascii="Times New Roman" w:hAnsi="Times New Roman" w:cs="Times New Roman"/>
                <w:sz w:val="21"/>
                <w:szCs w:val="21"/>
              </w:rPr>
              <w:t>防护措施</w:t>
            </w:r>
          </w:p>
        </w:tc>
        <w:tc>
          <w:tcPr>
            <w:tcW w:w="1847" w:type="dxa"/>
          </w:tcPr>
          <w:p>
            <w:pPr>
              <w:pStyle w:val="38"/>
              <w:keepNext w:val="0"/>
              <w:keepLines w:val="0"/>
              <w:suppressLineNumbers w:val="0"/>
              <w:spacing w:before="0" w:beforeAutospacing="0" w:after="0" w:afterAutospacing="0"/>
              <w:ind w:left="0" w:right="0"/>
              <w:rPr>
                <w:rFonts w:hint="default" w:ascii="Times New Roman" w:hAnsi="Times New Roman" w:cs="Times New Roman"/>
                <w:sz w:val="21"/>
                <w:szCs w:val="21"/>
              </w:rPr>
            </w:pPr>
          </w:p>
          <w:p>
            <w:pPr>
              <w:pStyle w:val="38"/>
              <w:keepNext w:val="0"/>
              <w:keepLines w:val="0"/>
              <w:suppressLineNumbers w:val="0"/>
              <w:spacing w:before="0" w:beforeAutospacing="0" w:after="0" w:afterAutospacing="0"/>
              <w:ind w:left="0" w:right="0"/>
              <w:rPr>
                <w:rFonts w:hint="default" w:ascii="Times New Roman" w:hAnsi="Times New Roman" w:cs="Times New Roman"/>
                <w:sz w:val="21"/>
                <w:szCs w:val="21"/>
              </w:rPr>
            </w:pPr>
          </w:p>
          <w:p>
            <w:pPr>
              <w:pStyle w:val="38"/>
              <w:keepNext w:val="0"/>
              <w:keepLines w:val="0"/>
              <w:suppressLineNumbers w:val="0"/>
              <w:spacing w:before="0" w:beforeAutospacing="0" w:after="0" w:afterAutospacing="0"/>
              <w:ind w:left="0" w:right="0"/>
              <w:rPr>
                <w:rFonts w:hint="default" w:ascii="Times New Roman" w:hAnsi="Times New Roman" w:cs="Times New Roman"/>
                <w:sz w:val="21"/>
                <w:szCs w:val="21"/>
              </w:rPr>
            </w:pPr>
          </w:p>
          <w:p>
            <w:pPr>
              <w:pStyle w:val="38"/>
              <w:keepNext w:val="0"/>
              <w:keepLines w:val="0"/>
              <w:suppressLineNumbers w:val="0"/>
              <w:spacing w:before="0" w:beforeAutospacing="0" w:after="0" w:afterAutospacing="0"/>
              <w:ind w:left="0" w:right="0"/>
              <w:rPr>
                <w:rFonts w:hint="default" w:ascii="Times New Roman" w:hAnsi="Times New Roman" w:cs="Times New Roman"/>
                <w:sz w:val="21"/>
                <w:szCs w:val="21"/>
              </w:rPr>
            </w:pPr>
          </w:p>
          <w:p>
            <w:pPr>
              <w:pStyle w:val="38"/>
              <w:keepNext w:val="0"/>
              <w:keepLines w:val="0"/>
              <w:suppressLineNumbers w:val="0"/>
              <w:spacing w:before="0" w:beforeAutospacing="0" w:after="0" w:afterAutospacing="0"/>
              <w:ind w:left="0" w:right="0"/>
              <w:rPr>
                <w:rFonts w:hint="default" w:ascii="Times New Roman" w:hAnsi="Times New Roman" w:cs="Times New Roman"/>
                <w:sz w:val="21"/>
                <w:szCs w:val="21"/>
              </w:rPr>
            </w:pPr>
          </w:p>
          <w:p>
            <w:pPr>
              <w:pStyle w:val="38"/>
              <w:keepNext w:val="0"/>
              <w:keepLines w:val="0"/>
              <w:suppressLineNumbers w:val="0"/>
              <w:spacing w:before="159" w:beforeAutospacing="0" w:after="0" w:afterAutospacing="0"/>
              <w:ind w:left="159" w:right="143"/>
              <w:jc w:val="center"/>
              <w:rPr>
                <w:rFonts w:hint="default" w:ascii="Times New Roman" w:hAnsi="Times New Roman" w:cs="Times New Roman"/>
                <w:sz w:val="21"/>
                <w:szCs w:val="21"/>
              </w:rPr>
            </w:pPr>
            <w:r>
              <w:rPr>
                <w:rFonts w:hint="default" w:ascii="Times New Roman" w:hAnsi="Times New Roman" w:cs="Times New Roman"/>
                <w:sz w:val="21"/>
                <w:szCs w:val="21"/>
              </w:rPr>
              <w:t>泄漏应急处理</w:t>
            </w:r>
          </w:p>
        </w:tc>
        <w:tc>
          <w:tcPr>
            <w:tcW w:w="6834" w:type="dxa"/>
            <w:gridSpan w:val="9"/>
          </w:tcPr>
          <w:p>
            <w:pPr>
              <w:pStyle w:val="38"/>
              <w:keepNext w:val="0"/>
              <w:keepLines w:val="0"/>
              <w:suppressLineNumbers w:val="0"/>
              <w:spacing w:before="160" w:beforeAutospacing="0" w:after="0" w:afterAutospacing="0" w:line="410" w:lineRule="auto"/>
              <w:ind w:left="107" w:right="82"/>
              <w:jc w:val="both"/>
              <w:rPr>
                <w:rFonts w:hint="default" w:ascii="Times New Roman" w:hAnsi="Times New Roman" w:cs="Times New Roman"/>
                <w:sz w:val="21"/>
                <w:szCs w:val="21"/>
              </w:rPr>
            </w:pPr>
            <w:r>
              <w:rPr>
                <w:rFonts w:hint="default" w:ascii="Times New Roman" w:hAnsi="Times New Roman" w:cs="Times New Roman"/>
                <w:sz w:val="21"/>
                <w:szCs w:val="21"/>
              </w:rPr>
              <w:t>迅速撤离泄漏污染区人员至安全区，并进行隔离，严格限制出入。切断火源。建议应急处理人员戴自给正压式呼吸器，穿一般作业工作服。尽可能切断泄漏源。防止流入下水道、排洪沟等限制性区域。小量泄漏：用活性碳或其它惰性材料吸收。或在保证安全的情况下，就地焚烧。大量泄漏：构筑围堤或挖坑收容。用转移至槽车或专用收集器，回收或运</w:t>
            </w:r>
          </w:p>
          <w:p>
            <w:pPr>
              <w:pStyle w:val="38"/>
              <w:keepNext w:val="0"/>
              <w:keepLines w:val="0"/>
              <w:suppressLineNumbers w:val="0"/>
              <w:spacing w:before="0" w:beforeAutospacing="0" w:after="0" w:afterAutospacing="0" w:line="268" w:lineRule="exact"/>
              <w:ind w:left="107" w:right="0"/>
              <w:jc w:val="both"/>
              <w:rPr>
                <w:rFonts w:hint="default" w:ascii="Times New Roman" w:hAnsi="Times New Roman" w:cs="Times New Roman"/>
                <w:sz w:val="21"/>
                <w:szCs w:val="21"/>
              </w:rPr>
            </w:pPr>
            <w:r>
              <w:rPr>
                <w:rFonts w:hint="default" w:ascii="Times New Roman" w:hAnsi="Times New Roman" w:cs="Times New Roman"/>
                <w:sz w:val="21"/>
                <w:szCs w:val="21"/>
              </w:rPr>
              <w:t>至废物处理场所处理。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379" w:hRule="atLeast"/>
        </w:trPr>
        <w:tc>
          <w:tcPr>
            <w:tcW w:w="492" w:type="dxa"/>
            <w:vMerge w:val="continue"/>
            <w:tcBorders>
              <w:top w:val="nil"/>
            </w:tcBorders>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p>
        </w:tc>
        <w:tc>
          <w:tcPr>
            <w:tcW w:w="1847" w:type="dxa"/>
          </w:tcPr>
          <w:p>
            <w:pPr>
              <w:pStyle w:val="38"/>
              <w:keepNext w:val="0"/>
              <w:keepLines w:val="0"/>
              <w:suppressLineNumbers w:val="0"/>
              <w:spacing w:before="0" w:beforeAutospacing="0" w:after="0" w:afterAutospacing="0"/>
              <w:ind w:left="0" w:right="0"/>
              <w:rPr>
                <w:rFonts w:hint="default" w:ascii="Times New Roman" w:hAnsi="Times New Roman" w:cs="Times New Roman"/>
                <w:sz w:val="21"/>
                <w:szCs w:val="21"/>
              </w:rPr>
            </w:pPr>
          </w:p>
          <w:p>
            <w:pPr>
              <w:pStyle w:val="38"/>
              <w:keepNext w:val="0"/>
              <w:keepLines w:val="0"/>
              <w:suppressLineNumbers w:val="0"/>
              <w:spacing w:before="0" w:beforeAutospacing="0" w:after="0" w:afterAutospacing="0"/>
              <w:ind w:left="0" w:right="0"/>
              <w:rPr>
                <w:rFonts w:hint="default" w:ascii="Times New Roman" w:hAnsi="Times New Roman" w:cs="Times New Roman"/>
                <w:sz w:val="21"/>
                <w:szCs w:val="21"/>
              </w:rPr>
            </w:pPr>
          </w:p>
          <w:p>
            <w:pPr>
              <w:pStyle w:val="38"/>
              <w:keepNext w:val="0"/>
              <w:keepLines w:val="0"/>
              <w:suppressLineNumbers w:val="0"/>
              <w:spacing w:before="158" w:beforeAutospacing="0" w:after="0" w:afterAutospacing="0"/>
              <w:ind w:left="159" w:right="143"/>
              <w:jc w:val="center"/>
              <w:rPr>
                <w:rFonts w:hint="default" w:ascii="Times New Roman" w:hAnsi="Times New Roman" w:cs="Times New Roman"/>
                <w:sz w:val="21"/>
                <w:szCs w:val="21"/>
              </w:rPr>
            </w:pPr>
            <w:r>
              <w:rPr>
                <w:rFonts w:hint="default" w:ascii="Times New Roman" w:hAnsi="Times New Roman" w:cs="Times New Roman"/>
                <w:sz w:val="21"/>
                <w:szCs w:val="21"/>
              </w:rPr>
              <w:t>储运注意事项</w:t>
            </w:r>
          </w:p>
        </w:tc>
        <w:tc>
          <w:tcPr>
            <w:tcW w:w="6834" w:type="dxa"/>
            <w:gridSpan w:val="9"/>
          </w:tcPr>
          <w:p>
            <w:pPr>
              <w:pStyle w:val="38"/>
              <w:keepNext w:val="0"/>
              <w:keepLines w:val="0"/>
              <w:suppressLineNumbers w:val="0"/>
              <w:spacing w:before="157" w:beforeAutospacing="0" w:after="0" w:afterAutospacing="0"/>
              <w:ind w:left="107" w:right="0"/>
              <w:rPr>
                <w:rFonts w:hint="default" w:ascii="Times New Roman" w:hAnsi="Times New Roman" w:cs="Times New Roman"/>
                <w:sz w:val="21"/>
                <w:szCs w:val="21"/>
              </w:rPr>
            </w:pPr>
            <w:r>
              <w:rPr>
                <w:rFonts w:hint="default" w:ascii="Times New Roman" w:hAnsi="Times New Roman" w:cs="Times New Roman"/>
                <w:sz w:val="21"/>
                <w:szCs w:val="21"/>
              </w:rPr>
              <w:t>储存于阴凉、通风的库房。远离火种、热源。应与氧化剂、卤素分开存</w:t>
            </w:r>
          </w:p>
          <w:p>
            <w:pPr>
              <w:pStyle w:val="38"/>
              <w:keepNext w:val="0"/>
              <w:keepLines w:val="0"/>
              <w:suppressLineNumbers w:val="0"/>
              <w:spacing w:before="1" w:beforeAutospacing="0" w:after="0" w:afterAutospacing="0" w:line="460" w:lineRule="atLeast"/>
              <w:ind w:left="107" w:right="81"/>
              <w:rPr>
                <w:rFonts w:hint="default" w:ascii="Times New Roman" w:hAnsi="Times New Roman" w:cs="Times New Roman"/>
                <w:sz w:val="21"/>
                <w:szCs w:val="21"/>
              </w:rPr>
            </w:pPr>
            <w:r>
              <w:rPr>
                <w:rFonts w:hint="default" w:ascii="Times New Roman" w:hAnsi="Times New Roman" w:cs="Times New Roman"/>
                <w:sz w:val="21"/>
                <w:szCs w:val="21"/>
              </w:rPr>
              <w:t>放，切忌混储。采用防爆型照明、通风设施。禁止使用易产生火花的机械设备和工具。</w:t>
            </w:r>
          </w:p>
        </w:tc>
      </w:tr>
    </w:tbl>
    <w:p>
      <w:pPr>
        <w:spacing w:line="460" w:lineRule="atLeast"/>
        <w:rPr>
          <w:rFonts w:hint="default" w:ascii="Times New Roman" w:hAnsi="Times New Roman" w:cs="Times New Roman"/>
          <w:sz w:val="21"/>
        </w:rPr>
        <w:sectPr>
          <w:pgSz w:w="11910" w:h="16840"/>
          <w:pgMar w:top="1417" w:right="1134" w:bottom="1134" w:left="1587" w:header="720" w:footer="720" w:gutter="0"/>
          <w:cols w:space="0" w:num="1"/>
        </w:sectPr>
      </w:pPr>
    </w:p>
    <w:p>
      <w:pPr>
        <w:jc w:val="center"/>
        <w:rPr>
          <w:rFonts w:hint="default" w:ascii="Times New Roman" w:hAnsi="Times New Roman" w:cs="Times New Roman"/>
          <w:bCs/>
          <w:sz w:val="28"/>
          <w:szCs w:val="28"/>
        </w:rPr>
      </w:pPr>
      <w:bookmarkStart w:id="1276" w:name="_Toc19893_WPSOffice_Level3"/>
      <w:bookmarkStart w:id="1277" w:name="_Toc24572_WPSOffice_Level3"/>
      <w:bookmarkStart w:id="1278" w:name="_Toc8451_WPSOffice_Level3"/>
      <w:r>
        <w:rPr>
          <w:rFonts w:hint="default" w:ascii="Times New Roman" w:hAnsi="Times New Roman" w:cs="Times New Roman"/>
          <w:bCs/>
          <w:sz w:val="24"/>
          <w:szCs w:val="24"/>
        </w:rPr>
        <w:t>附表3</w:t>
      </w:r>
      <w:r>
        <w:rPr>
          <w:rFonts w:hint="default" w:ascii="Times New Roman" w:hAnsi="Times New Roman" w:cs="Times New Roman"/>
          <w:bCs/>
          <w:sz w:val="24"/>
          <w:szCs w:val="24"/>
          <w:lang w:val="en-US"/>
        </w:rPr>
        <w:t>.1</w:t>
      </w:r>
      <w:r>
        <w:rPr>
          <w:rFonts w:hint="default" w:ascii="Times New Roman" w:hAnsi="Times New Roman" w:cs="Times New Roman"/>
          <w:bCs/>
          <w:sz w:val="24"/>
          <w:szCs w:val="24"/>
        </w:rPr>
        <w:t>-</w:t>
      </w:r>
      <w:r>
        <w:rPr>
          <w:rFonts w:hint="default" w:ascii="Times New Roman" w:hAnsi="Times New Roman" w:cs="Times New Roman"/>
          <w:bCs/>
          <w:sz w:val="24"/>
          <w:szCs w:val="24"/>
          <w:lang w:val="en-US"/>
        </w:rPr>
        <w:t>3</w:t>
      </w:r>
      <w:r>
        <w:rPr>
          <w:rFonts w:hint="default" w:ascii="Times New Roman" w:hAnsi="Times New Roman" w:cs="Times New Roman"/>
          <w:bCs/>
          <w:sz w:val="24"/>
          <w:szCs w:val="24"/>
        </w:rPr>
        <w:t xml:space="preserve"> 化学品辨识一览表</w:t>
      </w:r>
      <w:bookmarkEnd w:id="1276"/>
      <w:bookmarkEnd w:id="1277"/>
      <w:bookmarkEnd w:id="1278"/>
    </w:p>
    <w:tbl>
      <w:tblPr>
        <w:tblStyle w:val="29"/>
        <w:tblW w:w="954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30"/>
        <w:gridCol w:w="1066"/>
        <w:gridCol w:w="994"/>
        <w:gridCol w:w="1209"/>
        <w:gridCol w:w="855"/>
        <w:gridCol w:w="920"/>
        <w:gridCol w:w="855"/>
        <w:gridCol w:w="1250"/>
        <w:gridCol w:w="947"/>
        <w:gridCol w:w="92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530"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序号</w:t>
            </w:r>
          </w:p>
        </w:tc>
        <w:tc>
          <w:tcPr>
            <w:tcW w:w="1066"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名称</w:t>
            </w:r>
          </w:p>
        </w:tc>
        <w:tc>
          <w:tcPr>
            <w:tcW w:w="994"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危险化学品目录序号</w:t>
            </w:r>
          </w:p>
        </w:tc>
        <w:tc>
          <w:tcPr>
            <w:tcW w:w="1209" w:type="dxa"/>
            <w:tcBorders>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危险性类别</w:t>
            </w:r>
          </w:p>
        </w:tc>
        <w:tc>
          <w:tcPr>
            <w:tcW w:w="855" w:type="dxa"/>
            <w:tcBorders>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是否</w:t>
            </w:r>
          </w:p>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剧毒</w:t>
            </w:r>
            <w:r>
              <w:rPr>
                <w:rFonts w:hint="default" w:ascii="Times New Roman" w:hAnsi="Times New Roman" w:cs="Times New Roman"/>
                <w:szCs w:val="21"/>
              </w:rPr>
              <w:t>危险</w:t>
            </w:r>
          </w:p>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化学品</w:t>
            </w:r>
          </w:p>
        </w:tc>
        <w:tc>
          <w:tcPr>
            <w:tcW w:w="920" w:type="dxa"/>
            <w:tcBorders>
              <w:left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是否</w:t>
            </w:r>
          </w:p>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易制毒</w:t>
            </w:r>
            <w:r>
              <w:rPr>
                <w:rFonts w:hint="default" w:ascii="Times New Roman" w:hAnsi="Times New Roman" w:cs="Times New Roman"/>
                <w:szCs w:val="21"/>
              </w:rPr>
              <w:t>危险</w:t>
            </w:r>
          </w:p>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化学品</w:t>
            </w:r>
          </w:p>
        </w:tc>
        <w:tc>
          <w:tcPr>
            <w:tcW w:w="855" w:type="dxa"/>
            <w:tcBorders>
              <w:lef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是否</w:t>
            </w:r>
          </w:p>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监控</w:t>
            </w:r>
          </w:p>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化学品</w:t>
            </w:r>
          </w:p>
        </w:tc>
        <w:tc>
          <w:tcPr>
            <w:tcW w:w="1250" w:type="dxa"/>
            <w:tcBorders>
              <w:lef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是否</w:t>
            </w:r>
          </w:p>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重点监管</w:t>
            </w:r>
          </w:p>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危险化学品</w:t>
            </w:r>
          </w:p>
        </w:tc>
        <w:tc>
          <w:tcPr>
            <w:tcW w:w="947" w:type="dxa"/>
            <w:tcBorders>
              <w:lef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是否</w:t>
            </w:r>
          </w:p>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易制爆</w:t>
            </w:r>
            <w:r>
              <w:rPr>
                <w:rFonts w:hint="default" w:ascii="Times New Roman" w:hAnsi="Times New Roman" w:cs="Times New Roman"/>
                <w:szCs w:val="21"/>
              </w:rPr>
              <w:t>危险</w:t>
            </w:r>
          </w:p>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化学品</w:t>
            </w:r>
          </w:p>
        </w:tc>
        <w:tc>
          <w:tcPr>
            <w:tcW w:w="921" w:type="dxa"/>
            <w:tcBorders>
              <w:lef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是否</w:t>
            </w:r>
          </w:p>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rPr>
            </w:pPr>
            <w:r>
              <w:rPr>
                <w:rFonts w:hint="default" w:ascii="Times New Roman" w:hAnsi="Times New Roman" w:cs="Times New Roman"/>
                <w:szCs w:val="21"/>
              </w:rPr>
              <w:t>特别管控危险化学品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530" w:type="dxa"/>
            <w:vAlign w:val="center"/>
          </w:tcPr>
          <w:p>
            <w:pPr>
              <w:pStyle w:val="37"/>
              <w:keepNext w:val="0"/>
              <w:keepLines w:val="0"/>
              <w:numPr>
                <w:ilvl w:val="0"/>
                <w:numId w:val="2"/>
              </w:numPr>
              <w:suppressLineNumbers w:val="0"/>
              <w:spacing w:before="0" w:beforeAutospacing="0" w:after="0" w:afterAutospacing="0"/>
              <w:ind w:right="0"/>
              <w:jc w:val="center"/>
              <w:rPr>
                <w:rFonts w:hint="default" w:ascii="Times New Roman" w:hAnsi="Times New Roman" w:cs="Times New Roman"/>
                <w:sz w:val="21"/>
                <w:szCs w:val="21"/>
              </w:rPr>
            </w:pPr>
          </w:p>
        </w:tc>
        <w:tc>
          <w:tcPr>
            <w:tcW w:w="1066"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汽油</w:t>
            </w:r>
          </w:p>
        </w:tc>
        <w:tc>
          <w:tcPr>
            <w:tcW w:w="994"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1630</w:t>
            </w:r>
          </w:p>
        </w:tc>
        <w:tc>
          <w:tcPr>
            <w:tcW w:w="1209" w:type="dxa"/>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sz w:val="21"/>
                <w:szCs w:val="21"/>
              </w:rPr>
              <w:t>易燃液体，类别2</w:t>
            </w:r>
          </w:p>
        </w:tc>
        <w:tc>
          <w:tcPr>
            <w:tcW w:w="855"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否</w:t>
            </w:r>
          </w:p>
        </w:tc>
        <w:tc>
          <w:tcPr>
            <w:tcW w:w="920"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否</w:t>
            </w:r>
          </w:p>
        </w:tc>
        <w:tc>
          <w:tcPr>
            <w:tcW w:w="855"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否</w:t>
            </w:r>
          </w:p>
        </w:tc>
        <w:tc>
          <w:tcPr>
            <w:tcW w:w="1250"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是</w:t>
            </w:r>
          </w:p>
        </w:tc>
        <w:tc>
          <w:tcPr>
            <w:tcW w:w="947"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否</w:t>
            </w:r>
          </w:p>
        </w:tc>
        <w:tc>
          <w:tcPr>
            <w:tcW w:w="921"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rPr>
            </w:pPr>
            <w:r>
              <w:rPr>
                <w:rFonts w:hint="default" w:ascii="Times New Roman" w:hAnsi="Times New Roman" w:cs="Times New Roman"/>
                <w:szCs w:val="21"/>
              </w:rPr>
              <w:t>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jc w:val="center"/>
        </w:trPr>
        <w:tc>
          <w:tcPr>
            <w:tcW w:w="530" w:type="dxa"/>
            <w:vAlign w:val="center"/>
          </w:tcPr>
          <w:p>
            <w:pPr>
              <w:pStyle w:val="37"/>
              <w:keepNext w:val="0"/>
              <w:keepLines w:val="0"/>
              <w:numPr>
                <w:ilvl w:val="0"/>
                <w:numId w:val="2"/>
              </w:numPr>
              <w:suppressLineNumbers w:val="0"/>
              <w:spacing w:before="0" w:beforeAutospacing="0" w:after="0" w:afterAutospacing="0"/>
              <w:ind w:right="0"/>
              <w:jc w:val="center"/>
              <w:rPr>
                <w:rFonts w:hint="default" w:ascii="Times New Roman" w:hAnsi="Times New Roman" w:cs="Times New Roman"/>
                <w:sz w:val="21"/>
                <w:szCs w:val="21"/>
              </w:rPr>
            </w:pPr>
          </w:p>
        </w:tc>
        <w:tc>
          <w:tcPr>
            <w:tcW w:w="1066"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柴油[闭杯闪点≤60℃]</w:t>
            </w:r>
          </w:p>
        </w:tc>
        <w:tc>
          <w:tcPr>
            <w:tcW w:w="994"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1674</w:t>
            </w:r>
          </w:p>
        </w:tc>
        <w:tc>
          <w:tcPr>
            <w:tcW w:w="1209" w:type="dxa"/>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sz w:val="21"/>
                <w:szCs w:val="21"/>
              </w:rPr>
              <w:t>易燃液体，类别3</w:t>
            </w:r>
          </w:p>
        </w:tc>
        <w:tc>
          <w:tcPr>
            <w:tcW w:w="855"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否</w:t>
            </w:r>
          </w:p>
        </w:tc>
        <w:tc>
          <w:tcPr>
            <w:tcW w:w="920"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否</w:t>
            </w:r>
          </w:p>
        </w:tc>
        <w:tc>
          <w:tcPr>
            <w:tcW w:w="855"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否</w:t>
            </w:r>
          </w:p>
        </w:tc>
        <w:tc>
          <w:tcPr>
            <w:tcW w:w="1250"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否</w:t>
            </w:r>
          </w:p>
        </w:tc>
        <w:tc>
          <w:tcPr>
            <w:tcW w:w="947"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否</w:t>
            </w:r>
          </w:p>
        </w:tc>
        <w:tc>
          <w:tcPr>
            <w:tcW w:w="921"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rPr>
            </w:pPr>
            <w:r>
              <w:rPr>
                <w:rFonts w:hint="default" w:ascii="Times New Roman" w:hAnsi="Times New Roman" w:cs="Times New Roman"/>
                <w:szCs w:val="21"/>
              </w:rPr>
              <w:t>否</w:t>
            </w:r>
          </w:p>
        </w:tc>
      </w:tr>
    </w:tbl>
    <w:p>
      <w:pPr>
        <w:rPr>
          <w:rFonts w:hint="default" w:ascii="Times New Roman" w:hAnsi="Times New Roman" w:cs="Times New Roman"/>
          <w:lang w:val="en-US"/>
        </w:rPr>
      </w:pPr>
    </w:p>
    <w:p>
      <w:pPr>
        <w:jc w:val="center"/>
        <w:rPr>
          <w:rFonts w:hint="default" w:ascii="Times New Roman" w:hAnsi="Times New Roman" w:cs="Times New Roman"/>
          <w:bCs/>
          <w:sz w:val="24"/>
          <w:szCs w:val="24"/>
        </w:rPr>
      </w:pPr>
      <w:bookmarkStart w:id="1279" w:name="_Toc11648_WPSOffice_Level3"/>
      <w:bookmarkStart w:id="1280" w:name="_Toc23643_WPSOffice_Level3"/>
      <w:bookmarkStart w:id="1281" w:name="_Toc24955_WPSOffice_Level3"/>
      <w:r>
        <w:rPr>
          <w:rFonts w:hint="default" w:ascii="Times New Roman" w:hAnsi="Times New Roman" w:cs="Times New Roman"/>
          <w:bCs/>
          <w:sz w:val="24"/>
          <w:szCs w:val="24"/>
        </w:rPr>
        <w:t>附表3</w:t>
      </w:r>
      <w:r>
        <w:rPr>
          <w:rFonts w:hint="default" w:ascii="Times New Roman" w:hAnsi="Times New Roman" w:cs="Times New Roman"/>
          <w:bCs/>
          <w:sz w:val="24"/>
          <w:szCs w:val="24"/>
          <w:lang w:val="en-US"/>
        </w:rPr>
        <w:t>.1</w:t>
      </w:r>
      <w:r>
        <w:rPr>
          <w:rFonts w:hint="default" w:ascii="Times New Roman" w:hAnsi="Times New Roman" w:cs="Times New Roman"/>
          <w:bCs/>
          <w:sz w:val="24"/>
          <w:szCs w:val="24"/>
        </w:rPr>
        <w:t>-</w:t>
      </w:r>
      <w:r>
        <w:rPr>
          <w:rFonts w:hint="default" w:ascii="Times New Roman" w:hAnsi="Times New Roman" w:cs="Times New Roman"/>
          <w:bCs/>
          <w:sz w:val="24"/>
          <w:szCs w:val="24"/>
          <w:lang w:val="en-US"/>
        </w:rPr>
        <w:t xml:space="preserve">4 </w:t>
      </w:r>
      <w:r>
        <w:rPr>
          <w:rFonts w:hint="default" w:ascii="Times New Roman" w:hAnsi="Times New Roman" w:cs="Times New Roman"/>
          <w:bCs/>
          <w:sz w:val="24"/>
          <w:szCs w:val="24"/>
        </w:rPr>
        <w:t>危险物料理化性质及危险特性汇总表</w:t>
      </w:r>
      <w:bookmarkEnd w:id="1279"/>
      <w:bookmarkEnd w:id="1280"/>
      <w:bookmarkEnd w:id="1281"/>
    </w:p>
    <w:tbl>
      <w:tblPr>
        <w:tblStyle w:val="29"/>
        <w:tblW w:w="96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4"/>
        <w:gridCol w:w="1270"/>
        <w:gridCol w:w="1269"/>
        <w:gridCol w:w="1586"/>
        <w:gridCol w:w="1712"/>
        <w:gridCol w:w="20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44" w:type="dxa"/>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化学品名称</w:t>
            </w:r>
          </w:p>
        </w:tc>
        <w:tc>
          <w:tcPr>
            <w:tcW w:w="1270" w:type="dxa"/>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闪点</w:t>
            </w:r>
          </w:p>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w:t>
            </w:r>
          </w:p>
        </w:tc>
        <w:tc>
          <w:tcPr>
            <w:tcW w:w="1269" w:type="dxa"/>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爆炸极限</w:t>
            </w:r>
          </w:p>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%（V）</w:t>
            </w:r>
          </w:p>
        </w:tc>
        <w:tc>
          <w:tcPr>
            <w:tcW w:w="1586" w:type="dxa"/>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火灾危险性</w:t>
            </w:r>
          </w:p>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类别</w:t>
            </w:r>
          </w:p>
        </w:tc>
        <w:tc>
          <w:tcPr>
            <w:tcW w:w="1712" w:type="dxa"/>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短时间接触容许浓度mg/</w:t>
            </w:r>
            <w:r>
              <w:rPr>
                <w:rFonts w:hint="default" w:ascii="Times New Roman" w:hAnsi="Times New Roman" w:cs="Times New Roman"/>
                <w:sz w:val="21"/>
                <w:szCs w:val="21"/>
                <w:lang w:eastAsia="zh-CN"/>
              </w:rPr>
              <w:t>m³</w:t>
            </w:r>
          </w:p>
        </w:tc>
        <w:tc>
          <w:tcPr>
            <w:tcW w:w="2044" w:type="dxa"/>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毒物危害</w:t>
            </w:r>
          </w:p>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程度分级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44"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汽油</w:t>
            </w:r>
          </w:p>
        </w:tc>
        <w:tc>
          <w:tcPr>
            <w:tcW w:w="1270"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-46</w:t>
            </w:r>
          </w:p>
        </w:tc>
        <w:tc>
          <w:tcPr>
            <w:tcW w:w="1269"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1.3～6</w:t>
            </w:r>
          </w:p>
        </w:tc>
        <w:tc>
          <w:tcPr>
            <w:tcW w:w="1586"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甲类</w:t>
            </w:r>
          </w:p>
        </w:tc>
        <w:tc>
          <w:tcPr>
            <w:tcW w:w="1712"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300</w:t>
            </w:r>
          </w:p>
        </w:tc>
        <w:tc>
          <w:tcPr>
            <w:tcW w:w="2044"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Ⅳ级（轻度危害）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44"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柴油[闭杯闪点≤60℃]</w:t>
            </w:r>
          </w:p>
        </w:tc>
        <w:tc>
          <w:tcPr>
            <w:tcW w:w="1270"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≤60</w:t>
            </w:r>
          </w:p>
        </w:tc>
        <w:tc>
          <w:tcPr>
            <w:tcW w:w="1269"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w:t>
            </w:r>
          </w:p>
        </w:tc>
        <w:tc>
          <w:tcPr>
            <w:tcW w:w="1586"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乙类</w:t>
            </w:r>
          </w:p>
        </w:tc>
        <w:tc>
          <w:tcPr>
            <w:tcW w:w="1712"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w:t>
            </w:r>
          </w:p>
        </w:tc>
        <w:tc>
          <w:tcPr>
            <w:tcW w:w="2044"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w:t>
            </w:r>
          </w:p>
        </w:tc>
      </w:tr>
    </w:tbl>
    <w:p>
      <w:pPr>
        <w:rPr>
          <w:rFonts w:hint="default" w:ascii="Times New Roman" w:hAnsi="Times New Roman" w:cs="Times New Roman"/>
          <w:lang w:val="en-US"/>
        </w:rPr>
      </w:pPr>
    </w:p>
    <w:p>
      <w:pPr>
        <w:pStyle w:val="4"/>
        <w:tabs>
          <w:tab w:val="left" w:pos="3756"/>
        </w:tabs>
        <w:spacing w:beforeLines="100" w:afterLines="100"/>
        <w:ind w:left="3112" w:firstLine="0"/>
        <w:rPr>
          <w:rFonts w:hint="default" w:ascii="Times New Roman" w:hAnsi="Times New Roman" w:eastAsia="宋体" w:cs="Times New Roman"/>
          <w:b/>
          <w:bCs/>
        </w:rPr>
      </w:pPr>
      <w:bookmarkStart w:id="1282" w:name="_Toc3500"/>
      <w:bookmarkStart w:id="1283" w:name="_Toc1732"/>
      <w:bookmarkStart w:id="1284" w:name="_Toc18598"/>
      <w:bookmarkStart w:id="1285" w:name="_Toc5156"/>
      <w:bookmarkStart w:id="1286" w:name="_Toc32590"/>
      <w:bookmarkStart w:id="1287" w:name="_Toc6007"/>
      <w:bookmarkStart w:id="1288" w:name="_Toc28371"/>
      <w:bookmarkStart w:id="1289" w:name="_Toc5648_WPSOffice_Level2"/>
      <w:bookmarkStart w:id="1290" w:name="_Toc22635"/>
      <w:bookmarkStart w:id="1291" w:name="_Toc7752"/>
      <w:bookmarkStart w:id="1292" w:name="_Toc10397"/>
      <w:bookmarkStart w:id="1293" w:name="_Toc27632"/>
      <w:bookmarkStart w:id="1294" w:name="_Toc17457"/>
      <w:bookmarkStart w:id="1295" w:name="_Toc21321"/>
      <w:bookmarkStart w:id="1296" w:name="_Toc9053_WPSOffice_Level2"/>
      <w:bookmarkStart w:id="1297" w:name="_Toc11540"/>
      <w:bookmarkStart w:id="1298" w:name="_Toc17968"/>
      <w:bookmarkStart w:id="1299" w:name="_Toc30314"/>
      <w:bookmarkStart w:id="1300" w:name="_Toc1681"/>
      <w:bookmarkStart w:id="1301" w:name="_Toc18858"/>
      <w:bookmarkStart w:id="1302" w:name="_Toc31693"/>
      <w:bookmarkStart w:id="1303" w:name="_Toc25646_WPSOffice_Level2"/>
      <w:bookmarkStart w:id="1304" w:name="_Toc7682"/>
      <w:bookmarkStart w:id="1305" w:name="_Toc2642"/>
      <w:bookmarkStart w:id="1306" w:name="_Toc16299"/>
      <w:r>
        <w:rPr>
          <w:rFonts w:hint="default" w:ascii="Times New Roman" w:hAnsi="Times New Roman" w:eastAsia="宋体" w:cs="Times New Roman"/>
          <w:b/>
          <w:bCs/>
          <w:lang w:val="en-US"/>
        </w:rPr>
        <w:t xml:space="preserve">3.2 </w:t>
      </w:r>
      <w:r>
        <w:rPr>
          <w:rFonts w:hint="default" w:ascii="Times New Roman" w:hAnsi="Times New Roman" w:eastAsia="宋体" w:cs="Times New Roman"/>
          <w:b/>
          <w:bCs/>
        </w:rPr>
        <w:t>危险化学品辨识</w:t>
      </w:r>
      <w:bookmarkEnd w:id="1282"/>
      <w:bookmarkEnd w:id="1283"/>
      <w:bookmarkEnd w:id="1284"/>
      <w:bookmarkEnd w:id="1285"/>
      <w:bookmarkEnd w:id="1286"/>
      <w:bookmarkEnd w:id="1287"/>
      <w:bookmarkEnd w:id="1288"/>
      <w:bookmarkEnd w:id="1289"/>
      <w:bookmarkEnd w:id="1290"/>
      <w:bookmarkEnd w:id="1291"/>
      <w:bookmarkEnd w:id="1292"/>
      <w:bookmarkEnd w:id="1293"/>
      <w:bookmarkEnd w:id="1294"/>
      <w:bookmarkEnd w:id="1295"/>
      <w:bookmarkEnd w:id="1296"/>
      <w:bookmarkEnd w:id="1297"/>
      <w:bookmarkEnd w:id="1298"/>
      <w:bookmarkEnd w:id="1299"/>
      <w:bookmarkEnd w:id="1300"/>
      <w:bookmarkEnd w:id="1301"/>
      <w:bookmarkEnd w:id="1302"/>
      <w:bookmarkEnd w:id="1303"/>
      <w:bookmarkEnd w:id="1304"/>
      <w:bookmarkEnd w:id="1305"/>
      <w:bookmarkEnd w:id="1306"/>
    </w:p>
    <w:p>
      <w:pPr>
        <w:pStyle w:val="11"/>
        <w:spacing w:line="500" w:lineRule="exact"/>
        <w:ind w:firstLine="560" w:firstLineChars="200"/>
        <w:rPr>
          <w:rFonts w:hint="default" w:ascii="Times New Roman" w:hAnsi="Times New Roman" w:cs="Times New Roman"/>
          <w:lang w:eastAsia="zh-CN"/>
        </w:rPr>
      </w:pPr>
      <w:r>
        <w:rPr>
          <w:rFonts w:hint="eastAsia" w:ascii="Times New Roman" w:hAnsi="Times New Roman" w:cs="Times New Roman"/>
          <w:lang w:val="en-US" w:eastAsia="zh-CN"/>
        </w:rPr>
        <w:t>该油站新增洗车机后，危险化学品的储存情况没有发生改变。</w:t>
      </w:r>
    </w:p>
    <w:p>
      <w:pPr>
        <w:pStyle w:val="11"/>
        <w:spacing w:line="500" w:lineRule="exact"/>
        <w:ind w:firstLine="560" w:firstLineChars="200"/>
        <w:rPr>
          <w:rFonts w:hint="default" w:ascii="Times New Roman" w:hAnsi="Times New Roman" w:cs="Times New Roman"/>
        </w:rPr>
      </w:pPr>
      <w:r>
        <w:rPr>
          <w:rFonts w:hint="default" w:ascii="Times New Roman" w:hAnsi="Times New Roman" w:cs="Times New Roman"/>
        </w:rPr>
        <w:t>依据《危险化学品目录〔2015版〕》（国家安全生产监督管理总局等10部门公告2015年第5号）辨识，该项目不涉及剧毒化学品。</w:t>
      </w:r>
    </w:p>
    <w:p>
      <w:pPr>
        <w:pStyle w:val="11"/>
        <w:spacing w:line="500" w:lineRule="exact"/>
        <w:ind w:firstLine="560" w:firstLineChars="200"/>
        <w:rPr>
          <w:rFonts w:hint="default" w:ascii="Times New Roman" w:hAnsi="Times New Roman" w:cs="Times New Roman"/>
        </w:rPr>
      </w:pPr>
      <w:r>
        <w:rPr>
          <w:rFonts w:hint="default" w:ascii="Times New Roman" w:hAnsi="Times New Roman" w:cs="Times New Roman"/>
        </w:rPr>
        <w:t>依据《易制毒化学品管理条例》（国务院令[2018]第</w:t>
      </w:r>
      <w:r>
        <w:rPr>
          <w:rFonts w:hint="default" w:ascii="Times New Roman" w:hAnsi="Times New Roman" w:cs="Times New Roman"/>
          <w:lang w:val="en-US"/>
        </w:rPr>
        <w:t>703</w:t>
      </w:r>
      <w:r>
        <w:rPr>
          <w:rFonts w:hint="default" w:ascii="Times New Roman" w:hAnsi="Times New Roman" w:cs="Times New Roman"/>
        </w:rPr>
        <w:t>号第三次修订，2018.09.18）辨识，该项目不涉及易制毒化学品。</w:t>
      </w:r>
    </w:p>
    <w:p>
      <w:pPr>
        <w:pStyle w:val="11"/>
        <w:spacing w:line="500" w:lineRule="exact"/>
        <w:ind w:firstLine="560" w:firstLineChars="200"/>
        <w:rPr>
          <w:rFonts w:hint="default" w:ascii="Times New Roman" w:hAnsi="Times New Roman" w:cs="Times New Roman"/>
        </w:rPr>
      </w:pPr>
      <w:r>
        <w:rPr>
          <w:rFonts w:hint="default" w:ascii="Times New Roman" w:hAnsi="Times New Roman" w:cs="Times New Roman"/>
        </w:rPr>
        <w:t>依据《易制爆危险化学品名录》（201</w:t>
      </w:r>
      <w:r>
        <w:rPr>
          <w:rFonts w:hint="default" w:ascii="Times New Roman" w:hAnsi="Times New Roman" w:cs="Times New Roman"/>
          <w:lang w:val="en-US"/>
        </w:rPr>
        <w:t>7</w:t>
      </w:r>
      <w:r>
        <w:rPr>
          <w:rFonts w:hint="default" w:ascii="Times New Roman" w:hAnsi="Times New Roman" w:cs="Times New Roman"/>
        </w:rPr>
        <w:t>年版）辨识，该项目不涉及易制爆危险化学品。</w:t>
      </w:r>
    </w:p>
    <w:p>
      <w:pPr>
        <w:pStyle w:val="11"/>
        <w:spacing w:line="500" w:lineRule="exact"/>
        <w:ind w:firstLine="560" w:firstLineChars="200"/>
        <w:rPr>
          <w:rFonts w:hint="default" w:ascii="Times New Roman" w:hAnsi="Times New Roman" w:cs="Times New Roman"/>
        </w:rPr>
      </w:pPr>
      <w:r>
        <w:rPr>
          <w:rFonts w:hint="default" w:ascii="Times New Roman" w:hAnsi="Times New Roman" w:cs="Times New Roman"/>
        </w:rPr>
        <w:t>依据《特别管控危险化学品名录（第一版）》（应急管理部、工业和信息化部、公安部、交通运输部公告[2020]第3号）辨识，该企业涉及的危险化学品汽油属于特别管控危险化学品。</w:t>
      </w:r>
    </w:p>
    <w:p>
      <w:pPr>
        <w:pStyle w:val="11"/>
        <w:spacing w:line="500" w:lineRule="exact"/>
        <w:ind w:firstLine="560" w:firstLineChars="200"/>
        <w:rPr>
          <w:rFonts w:hint="default" w:ascii="Times New Roman" w:hAnsi="Times New Roman" w:cs="Times New Roman"/>
        </w:rPr>
      </w:pPr>
      <w:r>
        <w:rPr>
          <w:rFonts w:hint="default" w:ascii="Times New Roman" w:hAnsi="Times New Roman" w:cs="Times New Roman"/>
        </w:rPr>
        <w:t>依据《中华人民共和国监控化学品管理条例》（国务令[1995]第190号，2011年修订版）、《中华人民共和国监控化学品管理条例（实施细则）》（工信部</w:t>
      </w:r>
      <w:r>
        <w:rPr>
          <w:rFonts w:hint="default" w:ascii="Times New Roman" w:hAnsi="Times New Roman" w:cs="Times New Roman"/>
          <w:lang w:val="en-US"/>
        </w:rPr>
        <w:t>[2018]</w:t>
      </w:r>
      <w:r>
        <w:rPr>
          <w:rFonts w:hint="default" w:ascii="Times New Roman" w:hAnsi="Times New Roman" w:cs="Times New Roman"/>
        </w:rPr>
        <w:t>第48号令）、《各类监控化学品名录》（中华人民共和国化学工业部第11号）、《列入第三类监控化学品的新增品种清单》（1998年6月14日以国家和石油化学工业局令第1号发布）辨识，该项目不涉及国家监控的化学品。</w:t>
      </w:r>
    </w:p>
    <w:p>
      <w:pPr>
        <w:pStyle w:val="11"/>
        <w:spacing w:line="500" w:lineRule="exact"/>
        <w:ind w:firstLine="560" w:firstLineChars="200"/>
        <w:rPr>
          <w:rFonts w:hint="default" w:ascii="Times New Roman" w:hAnsi="Times New Roman" w:cs="Times New Roman"/>
          <w:highlight w:val="yellow"/>
        </w:rPr>
      </w:pPr>
      <w:bookmarkStart w:id="1307" w:name="_Toc12425_WPSOffice_Level2"/>
      <w:bookmarkStart w:id="1308" w:name="_Toc5834_WPSOffice_Level2"/>
      <w:r>
        <w:rPr>
          <w:rFonts w:hint="default" w:ascii="Times New Roman" w:hAnsi="Times New Roman" w:cs="Times New Roman"/>
          <w:highlight w:val="none"/>
        </w:rPr>
        <w:t>根据《重点监管的危险化学品名录》（2013年完整版）对照辨识，汽油属于重点监管危险化学品。</w:t>
      </w:r>
      <w:r>
        <w:rPr>
          <w:rFonts w:hint="eastAsia" w:ascii="Times New Roman" w:hAnsi="Times New Roman" w:cs="Times New Roman"/>
          <w:highlight w:val="none"/>
          <w:lang w:eastAsia="zh-CN"/>
        </w:rPr>
        <w:t>东城加油站</w:t>
      </w:r>
      <w:r>
        <w:rPr>
          <w:rFonts w:hint="default" w:ascii="Times New Roman" w:hAnsi="Times New Roman" w:cs="Times New Roman"/>
          <w:highlight w:val="none"/>
        </w:rPr>
        <w:t>已委托具有相关资质的设计单位进行设计，根据工艺特点，对生产储存装置，装备带有高液位报警功能的液位计，实现对液位、温度等重要参数的实时监测；严格工艺、设备管理，汽油罐车卸油设计装设卸油油气回收系统，汽油加油机（枪）装设加油油气回收系统，并依照《重点监管的危险化学品名录》（2013年）的规定，结合汽油的危险特性，贯彻落实各项安全监控措施，严格执行各项安全生产规章制度和各项操作规程。</w:t>
      </w:r>
    </w:p>
    <w:p>
      <w:pPr>
        <w:tabs>
          <w:tab w:val="left" w:pos="3756"/>
        </w:tabs>
        <w:spacing w:beforeLines="100" w:afterLines="100"/>
        <w:ind w:left="3112"/>
        <w:rPr>
          <w:rFonts w:hint="default" w:ascii="Times New Roman" w:hAnsi="Times New Roman" w:cs="Times New Roman"/>
          <w:b/>
          <w:bCs/>
          <w:lang w:val="en-US"/>
        </w:rPr>
      </w:pPr>
    </w:p>
    <w:p>
      <w:pPr>
        <w:pStyle w:val="4"/>
        <w:tabs>
          <w:tab w:val="left" w:pos="3756"/>
        </w:tabs>
        <w:spacing w:beforeLines="100" w:afterLines="100"/>
        <w:ind w:left="3112" w:firstLine="0"/>
        <w:rPr>
          <w:rFonts w:hint="default" w:ascii="Times New Roman" w:hAnsi="Times New Roman" w:eastAsia="宋体" w:cs="Times New Roman"/>
          <w:b/>
          <w:bCs/>
          <w:lang w:val="en-US"/>
        </w:rPr>
      </w:pPr>
      <w:bookmarkStart w:id="1309" w:name="_Toc27374"/>
      <w:bookmarkStart w:id="1310" w:name="_Toc7591"/>
      <w:bookmarkStart w:id="1311" w:name="_Toc21044"/>
      <w:bookmarkStart w:id="1312" w:name="_Toc5559"/>
      <w:bookmarkStart w:id="1313" w:name="_Toc28293"/>
      <w:bookmarkStart w:id="1314" w:name="_Toc3318"/>
      <w:bookmarkStart w:id="1315" w:name="_Toc12993"/>
      <w:bookmarkStart w:id="1316" w:name="_Toc7831"/>
      <w:bookmarkStart w:id="1317" w:name="_Toc17265"/>
      <w:bookmarkStart w:id="1318" w:name="_Toc16080"/>
      <w:bookmarkStart w:id="1319" w:name="_Toc11752"/>
      <w:bookmarkStart w:id="1320" w:name="_Toc9390"/>
      <w:bookmarkStart w:id="1321" w:name="_Toc8565"/>
      <w:bookmarkStart w:id="1322" w:name="_Toc23433"/>
      <w:bookmarkStart w:id="1323" w:name="_Toc30907"/>
      <w:bookmarkStart w:id="1324" w:name="_Toc32201"/>
      <w:bookmarkStart w:id="1325" w:name="_Toc2090"/>
      <w:bookmarkStart w:id="1326" w:name="_Toc18936_WPSOffice_Level2"/>
      <w:bookmarkStart w:id="1327" w:name="_Toc9625"/>
      <w:bookmarkStart w:id="1328" w:name="_Toc23274"/>
      <w:bookmarkStart w:id="1329" w:name="_Toc22054"/>
      <w:bookmarkStart w:id="1330" w:name="_Toc19301"/>
      <w:bookmarkStart w:id="1331" w:name="_Toc6600"/>
      <w:r>
        <w:rPr>
          <w:rFonts w:hint="default" w:ascii="Times New Roman" w:hAnsi="Times New Roman" w:eastAsia="宋体" w:cs="Times New Roman"/>
          <w:b/>
          <w:bCs/>
          <w:lang w:val="en-US"/>
        </w:rPr>
        <w:t>3.3 特种设备辨识</w:t>
      </w:r>
      <w:bookmarkEnd w:id="1307"/>
      <w:bookmarkEnd w:id="1308"/>
      <w:bookmarkEnd w:id="1309"/>
      <w:bookmarkEnd w:id="1310"/>
      <w:bookmarkEnd w:id="1311"/>
      <w:bookmarkEnd w:id="1312"/>
      <w:bookmarkEnd w:id="1313"/>
      <w:bookmarkEnd w:id="1314"/>
      <w:bookmarkEnd w:id="1315"/>
      <w:bookmarkEnd w:id="1316"/>
      <w:bookmarkEnd w:id="1317"/>
      <w:bookmarkEnd w:id="1318"/>
      <w:bookmarkEnd w:id="1319"/>
      <w:bookmarkEnd w:id="1320"/>
      <w:bookmarkEnd w:id="1321"/>
      <w:bookmarkEnd w:id="1322"/>
      <w:bookmarkEnd w:id="1323"/>
      <w:bookmarkEnd w:id="1324"/>
      <w:bookmarkEnd w:id="1325"/>
      <w:bookmarkEnd w:id="1326"/>
      <w:bookmarkEnd w:id="1327"/>
      <w:bookmarkEnd w:id="1328"/>
      <w:bookmarkEnd w:id="1329"/>
      <w:bookmarkEnd w:id="1330"/>
      <w:bookmarkEnd w:id="1331"/>
    </w:p>
    <w:p>
      <w:pPr>
        <w:pStyle w:val="11"/>
        <w:spacing w:line="500" w:lineRule="exact"/>
        <w:ind w:firstLine="560" w:firstLineChars="200"/>
        <w:rPr>
          <w:rFonts w:hint="default" w:ascii="Times New Roman" w:hAnsi="Times New Roman" w:cs="Times New Roman"/>
        </w:rPr>
      </w:pPr>
      <w:r>
        <w:rPr>
          <w:rFonts w:hint="default" w:ascii="Times New Roman" w:hAnsi="Times New Roman" w:cs="Times New Roman"/>
        </w:rPr>
        <w:t>根据国家质量监督检验检疫总局公布的《特种设备目录》进行辨识，</w:t>
      </w:r>
      <w:r>
        <w:rPr>
          <w:rFonts w:hint="eastAsia" w:ascii="Times New Roman" w:hAnsi="Times New Roman" w:cs="Times New Roman"/>
          <w:lang w:eastAsia="zh-CN"/>
        </w:rPr>
        <w:t>东城加油站</w:t>
      </w:r>
      <w:r>
        <w:rPr>
          <w:rFonts w:hint="default" w:ascii="Times New Roman" w:hAnsi="Times New Roman" w:cs="Times New Roman"/>
        </w:rPr>
        <w:t>的</w:t>
      </w:r>
      <w:r>
        <w:rPr>
          <w:rFonts w:hint="eastAsia" w:ascii="Times New Roman" w:hAnsi="Times New Roman" w:cs="Times New Roman"/>
          <w:lang w:eastAsia="zh-CN"/>
        </w:rPr>
        <w:t>自动洗车机</w:t>
      </w:r>
      <w:r>
        <w:rPr>
          <w:rFonts w:hint="default" w:ascii="Times New Roman" w:hAnsi="Times New Roman" w:cs="Times New Roman"/>
        </w:rPr>
        <w:t>等设备均不属于特种设备。</w:t>
      </w:r>
    </w:p>
    <w:p>
      <w:pPr>
        <w:tabs>
          <w:tab w:val="left" w:pos="2694"/>
        </w:tabs>
        <w:spacing w:before="233" w:afterLines="100"/>
        <w:ind w:left="1984"/>
        <w:rPr>
          <w:rFonts w:hint="default" w:ascii="Times New Roman" w:hAnsi="Times New Roman" w:cs="Times New Roman"/>
          <w:b/>
          <w:bCs/>
          <w:lang w:val="en-US"/>
        </w:rPr>
      </w:pPr>
      <w:bookmarkStart w:id="1332" w:name="_bookmark20"/>
      <w:bookmarkEnd w:id="1332"/>
      <w:bookmarkStart w:id="1333" w:name="_Hlk531264084"/>
      <w:bookmarkStart w:id="1334" w:name="_Toc20864_WPSOffice_Level2"/>
      <w:bookmarkStart w:id="1335" w:name="_Toc22753_WPSOffice_Level2"/>
    </w:p>
    <w:p>
      <w:pPr>
        <w:pStyle w:val="4"/>
        <w:tabs>
          <w:tab w:val="left" w:pos="2694"/>
        </w:tabs>
        <w:spacing w:before="233" w:afterLines="100"/>
        <w:ind w:left="1984" w:firstLine="0"/>
        <w:rPr>
          <w:rFonts w:hint="default" w:ascii="Times New Roman" w:hAnsi="Times New Roman" w:eastAsia="宋体" w:cs="Times New Roman"/>
          <w:b/>
          <w:bCs/>
        </w:rPr>
      </w:pPr>
      <w:bookmarkStart w:id="1336" w:name="_Toc32087"/>
      <w:bookmarkStart w:id="1337" w:name="_Toc17523"/>
      <w:bookmarkStart w:id="1338" w:name="_Toc31073"/>
      <w:bookmarkStart w:id="1339" w:name="_Toc17858"/>
      <w:bookmarkStart w:id="1340" w:name="_Toc3278"/>
      <w:bookmarkStart w:id="1341" w:name="_Toc13309"/>
      <w:bookmarkStart w:id="1342" w:name="_Toc22416"/>
      <w:bookmarkStart w:id="1343" w:name="_Toc25019"/>
      <w:bookmarkStart w:id="1344" w:name="_Toc14696"/>
      <w:bookmarkStart w:id="1345" w:name="_Toc2072"/>
      <w:bookmarkStart w:id="1346" w:name="_Toc6925"/>
      <w:bookmarkStart w:id="1347" w:name="_Toc21513"/>
      <w:bookmarkStart w:id="1348" w:name="_Toc2562"/>
      <w:bookmarkStart w:id="1349" w:name="_Toc3126"/>
      <w:bookmarkStart w:id="1350" w:name="_Toc32447"/>
      <w:bookmarkStart w:id="1351" w:name="_Toc278"/>
      <w:bookmarkStart w:id="1352" w:name="_Toc20554_WPSOffice_Level2"/>
      <w:bookmarkStart w:id="1353" w:name="_Toc9447"/>
      <w:bookmarkStart w:id="1354" w:name="_Toc20468"/>
      <w:bookmarkStart w:id="1355" w:name="_Toc20636"/>
      <w:bookmarkStart w:id="1356" w:name="_Toc27034"/>
      <w:bookmarkStart w:id="1357" w:name="_Toc27356"/>
      <w:bookmarkStart w:id="1358" w:name="_Toc29356"/>
      <w:r>
        <w:rPr>
          <w:rFonts w:hint="default" w:ascii="Times New Roman" w:hAnsi="Times New Roman" w:eastAsia="宋体" w:cs="Times New Roman"/>
          <w:b/>
          <w:bCs/>
          <w:lang w:val="en-US"/>
        </w:rPr>
        <w:t xml:space="preserve">3.4 </w:t>
      </w:r>
      <w:r>
        <w:rPr>
          <w:rFonts w:hint="default" w:ascii="Times New Roman" w:hAnsi="Times New Roman" w:eastAsia="宋体" w:cs="Times New Roman"/>
          <w:b/>
          <w:bCs/>
        </w:rPr>
        <w:t>国家明令淘汰的产品和危险工艺辨识</w:t>
      </w:r>
      <w:bookmarkEnd w:id="1333"/>
      <w:bookmarkEnd w:id="1334"/>
      <w:bookmarkEnd w:id="1335"/>
      <w:bookmarkEnd w:id="1336"/>
      <w:bookmarkEnd w:id="1337"/>
      <w:bookmarkEnd w:id="1338"/>
      <w:bookmarkEnd w:id="1339"/>
      <w:bookmarkEnd w:id="1340"/>
      <w:bookmarkEnd w:id="1341"/>
      <w:bookmarkEnd w:id="1342"/>
      <w:bookmarkEnd w:id="1343"/>
      <w:bookmarkEnd w:id="1344"/>
      <w:bookmarkEnd w:id="1345"/>
      <w:bookmarkEnd w:id="1346"/>
      <w:bookmarkEnd w:id="1347"/>
      <w:bookmarkEnd w:id="1348"/>
      <w:bookmarkEnd w:id="1349"/>
      <w:bookmarkEnd w:id="1350"/>
      <w:bookmarkEnd w:id="1351"/>
      <w:bookmarkEnd w:id="1352"/>
      <w:bookmarkEnd w:id="1353"/>
      <w:bookmarkEnd w:id="1354"/>
      <w:bookmarkEnd w:id="1355"/>
      <w:bookmarkEnd w:id="1356"/>
      <w:bookmarkEnd w:id="1357"/>
      <w:bookmarkEnd w:id="1358"/>
    </w:p>
    <w:p>
      <w:pPr>
        <w:pStyle w:val="11"/>
        <w:spacing w:line="500" w:lineRule="exact"/>
        <w:ind w:firstLine="560" w:firstLineChars="200"/>
        <w:rPr>
          <w:rFonts w:hint="default" w:ascii="Times New Roman" w:hAnsi="Times New Roman" w:cs="Times New Roman"/>
        </w:rPr>
      </w:pPr>
      <w:r>
        <w:rPr>
          <w:rFonts w:hint="default" w:ascii="Times New Roman" w:hAnsi="Times New Roman" w:cs="Times New Roman"/>
        </w:rPr>
        <w:t>依据《产业结构调整指导目录（2019年本）》（国家发改委发布【第29号】令）、《广东省产业结构调整指导目录》（2007年本）及《重点监管危险化工工艺目录（2013年完整版）》（安监总管〔2013〕3号）辨识，新增洗车机不属于淘汰产品，工艺过程是简单的物理过程，不存在危险工艺。</w:t>
      </w:r>
    </w:p>
    <w:p>
      <w:pPr>
        <w:tabs>
          <w:tab w:val="left" w:pos="2694"/>
        </w:tabs>
        <w:spacing w:before="233" w:afterLines="100"/>
        <w:ind w:left="1984"/>
        <w:rPr>
          <w:rFonts w:hint="default" w:ascii="Times New Roman" w:hAnsi="Times New Roman" w:cs="Times New Roman"/>
          <w:b/>
          <w:bCs/>
          <w:lang w:val="en-US"/>
        </w:rPr>
      </w:pPr>
      <w:bookmarkStart w:id="1359" w:name="_Toc16987_WPSOffice_Level2"/>
      <w:bookmarkStart w:id="1360" w:name="_Toc23891_WPSOffice_Level2"/>
    </w:p>
    <w:p>
      <w:pPr>
        <w:pStyle w:val="4"/>
        <w:tabs>
          <w:tab w:val="left" w:pos="2694"/>
        </w:tabs>
        <w:spacing w:before="233" w:afterLines="100"/>
        <w:ind w:left="1984" w:firstLine="0"/>
        <w:rPr>
          <w:rFonts w:hint="default" w:ascii="Times New Roman" w:hAnsi="Times New Roman" w:eastAsia="宋体" w:cs="Times New Roman"/>
          <w:b/>
          <w:bCs/>
          <w:lang w:val="en-US"/>
        </w:rPr>
      </w:pPr>
      <w:bookmarkStart w:id="1361" w:name="_Toc25314"/>
      <w:bookmarkStart w:id="1362" w:name="_Toc32646"/>
      <w:bookmarkStart w:id="1363" w:name="_Toc17836"/>
      <w:bookmarkStart w:id="1364" w:name="_Toc6446"/>
      <w:bookmarkStart w:id="1365" w:name="_Toc20425"/>
      <w:bookmarkStart w:id="1366" w:name="_Toc607"/>
      <w:bookmarkStart w:id="1367" w:name="_Toc30959"/>
      <w:bookmarkStart w:id="1368" w:name="_Toc8163"/>
      <w:bookmarkStart w:id="1369" w:name="_Toc30242"/>
      <w:bookmarkStart w:id="1370" w:name="_Toc8324"/>
      <w:bookmarkStart w:id="1371" w:name="_Toc5036"/>
      <w:bookmarkStart w:id="1372" w:name="_Toc7720"/>
      <w:bookmarkStart w:id="1373" w:name="_Toc27113"/>
      <w:bookmarkStart w:id="1374" w:name="_Toc30131_WPSOffice_Level2"/>
      <w:bookmarkStart w:id="1375" w:name="_Toc32333"/>
      <w:bookmarkStart w:id="1376" w:name="_Toc23337"/>
      <w:bookmarkStart w:id="1377" w:name="_Toc25895"/>
      <w:bookmarkStart w:id="1378" w:name="_Toc14517"/>
      <w:bookmarkStart w:id="1379" w:name="_Toc26070"/>
      <w:bookmarkStart w:id="1380" w:name="_Toc26077"/>
      <w:bookmarkStart w:id="1381" w:name="_Toc4951"/>
      <w:bookmarkStart w:id="1382" w:name="_Toc6407"/>
      <w:bookmarkStart w:id="1383" w:name="_Toc10570"/>
      <w:r>
        <w:rPr>
          <w:rFonts w:hint="default" w:ascii="Times New Roman" w:hAnsi="Times New Roman" w:eastAsia="宋体" w:cs="Times New Roman"/>
          <w:b/>
          <w:bCs/>
          <w:lang w:val="en-US"/>
        </w:rPr>
        <w:t>3.5 危险化学品重大危险源辨识</w:t>
      </w:r>
      <w:bookmarkEnd w:id="1359"/>
      <w:bookmarkEnd w:id="1360"/>
      <w:bookmarkEnd w:id="1361"/>
      <w:bookmarkEnd w:id="1362"/>
      <w:bookmarkEnd w:id="1363"/>
      <w:bookmarkEnd w:id="1364"/>
      <w:bookmarkEnd w:id="1365"/>
      <w:bookmarkEnd w:id="1366"/>
      <w:bookmarkEnd w:id="1367"/>
      <w:bookmarkEnd w:id="1368"/>
      <w:bookmarkEnd w:id="1369"/>
      <w:bookmarkEnd w:id="1370"/>
      <w:bookmarkEnd w:id="1371"/>
      <w:bookmarkEnd w:id="1372"/>
      <w:bookmarkEnd w:id="1373"/>
      <w:bookmarkEnd w:id="1374"/>
      <w:bookmarkEnd w:id="1375"/>
      <w:bookmarkEnd w:id="1376"/>
      <w:bookmarkEnd w:id="1377"/>
      <w:bookmarkEnd w:id="1378"/>
      <w:bookmarkEnd w:id="1379"/>
      <w:bookmarkEnd w:id="1380"/>
      <w:bookmarkEnd w:id="1381"/>
      <w:bookmarkEnd w:id="1382"/>
      <w:bookmarkEnd w:id="1383"/>
    </w:p>
    <w:p>
      <w:pPr>
        <w:pStyle w:val="60"/>
        <w:spacing w:beforeLines="0" w:line="500" w:lineRule="exact"/>
        <w:ind w:firstLine="560"/>
        <w:rPr>
          <w:rFonts w:hint="default" w:ascii="Times New Roman" w:hAnsi="Times New Roman" w:eastAsia="宋体" w:cs="Times New Roman"/>
          <w:snapToGrid/>
          <w:color w:val="auto"/>
          <w:szCs w:val="24"/>
        </w:rPr>
      </w:pPr>
      <w:r>
        <w:rPr>
          <w:rFonts w:hint="default" w:ascii="Times New Roman" w:hAnsi="Times New Roman" w:eastAsia="宋体" w:cs="Times New Roman"/>
          <w:snapToGrid/>
          <w:color w:val="auto"/>
          <w:szCs w:val="24"/>
        </w:rPr>
        <w:t>根据《危险化学品重大危险源辨识》（GB18218-20</w:t>
      </w:r>
      <w:r>
        <w:rPr>
          <w:rFonts w:hint="default" w:ascii="Times New Roman" w:hAnsi="Times New Roman" w:eastAsia="宋体" w:cs="Times New Roman"/>
          <w:snapToGrid/>
          <w:color w:val="auto"/>
          <w:szCs w:val="24"/>
          <w:lang w:val="en-US"/>
        </w:rPr>
        <w:t>18</w:t>
      </w:r>
      <w:r>
        <w:rPr>
          <w:rFonts w:hint="default" w:ascii="Times New Roman" w:hAnsi="Times New Roman" w:eastAsia="宋体" w:cs="Times New Roman"/>
          <w:snapToGrid/>
          <w:color w:val="auto"/>
          <w:szCs w:val="24"/>
        </w:rPr>
        <w:t>）规定：“危险化学品重大危险源”指长期地或临时地生产、储存、使用和经营危险化学品，且危险化学品的数量等于或超过临界量的单元。其中单元是指涉及危险化学品的生产、储存装置、设施或场所，分为生产单元和储存单元。临界量是指某种或某类危险化学品构成重大危险源所规定的最小数量。</w:t>
      </w:r>
    </w:p>
    <w:p>
      <w:pPr>
        <w:rPr>
          <w:rFonts w:hint="default" w:ascii="Times New Roman" w:hAnsi="Times New Roman" w:cs="Times New Roman"/>
        </w:rPr>
      </w:pPr>
    </w:p>
    <w:p>
      <w:pPr>
        <w:tabs>
          <w:tab w:val="left" w:pos="9600"/>
        </w:tabs>
        <w:spacing w:line="360" w:lineRule="auto"/>
        <w:ind w:right="38" w:firstLine="480"/>
        <w:rPr>
          <w:rFonts w:hint="default" w:ascii="Times New Roman" w:hAnsi="Times New Roman" w:cs="Times New Roman"/>
          <w:b/>
          <w:sz w:val="28"/>
          <w:szCs w:val="28"/>
        </w:rPr>
      </w:pPr>
      <w:bookmarkStart w:id="1384" w:name="_Toc26178_WPSOffice_Level3"/>
      <w:bookmarkStart w:id="1385" w:name="_Toc3414_WPSOffice_Level3"/>
      <w:r>
        <w:rPr>
          <w:rFonts w:hint="default" w:ascii="Times New Roman" w:hAnsi="Times New Roman" w:cs="Times New Roman"/>
          <w:b/>
          <w:sz w:val="28"/>
          <w:szCs w:val="28"/>
        </w:rPr>
        <w:t>1）危险化学品重大危险源的辨识指标</w:t>
      </w:r>
      <w:bookmarkEnd w:id="1384"/>
      <w:bookmarkEnd w:id="1385"/>
    </w:p>
    <w:p>
      <w:pPr>
        <w:pStyle w:val="60"/>
        <w:spacing w:beforeLines="0" w:line="500" w:lineRule="exact"/>
        <w:ind w:firstLine="560"/>
        <w:rPr>
          <w:rFonts w:hint="default" w:ascii="Times New Roman" w:hAnsi="Times New Roman" w:eastAsia="宋体" w:cs="Times New Roman"/>
          <w:snapToGrid/>
          <w:color w:val="auto"/>
          <w:szCs w:val="24"/>
        </w:rPr>
      </w:pPr>
      <w:r>
        <w:rPr>
          <w:rFonts w:hint="default" w:ascii="Times New Roman" w:hAnsi="Times New Roman" w:eastAsia="宋体" w:cs="Times New Roman"/>
          <w:snapToGrid/>
          <w:color w:val="auto"/>
          <w:szCs w:val="24"/>
        </w:rPr>
        <w:t>a．生产单元、储存单元内存在的危险化学品为单一品种，该危险化学品的数量即为单元内危险化学品的总量，若等于或超过相应的临界量，则定为重大危险源。</w:t>
      </w:r>
    </w:p>
    <w:p>
      <w:pPr>
        <w:pStyle w:val="60"/>
        <w:spacing w:beforeLines="0" w:line="500" w:lineRule="exact"/>
        <w:ind w:firstLine="560"/>
        <w:rPr>
          <w:rFonts w:hint="default" w:ascii="Times New Roman" w:hAnsi="Times New Roman" w:eastAsia="宋体" w:cs="Times New Roman"/>
          <w:snapToGrid/>
          <w:color w:val="auto"/>
          <w:szCs w:val="24"/>
        </w:rPr>
      </w:pPr>
      <w:r>
        <w:rPr>
          <w:rFonts w:hint="default" w:ascii="Times New Roman" w:hAnsi="Times New Roman" w:eastAsia="宋体" w:cs="Times New Roman"/>
          <w:snapToGrid/>
          <w:color w:val="auto"/>
          <w:szCs w:val="24"/>
        </w:rPr>
        <w:t>b.生产单元、储存单元内存在的危险化学品为多品种时，则按下式计算，若满足下式的规定，则定为重大危险源。</w:t>
      </w:r>
    </w:p>
    <w:p>
      <w:pPr>
        <w:pStyle w:val="60"/>
        <w:spacing w:beforeLines="0" w:line="500" w:lineRule="exact"/>
        <w:ind w:firstLine="3640" w:firstLineChars="1300"/>
        <w:rPr>
          <w:rFonts w:hint="default" w:ascii="Times New Roman" w:hAnsi="Times New Roman" w:eastAsia="宋体" w:cs="Times New Roman"/>
          <w:snapToGrid/>
          <w:color w:val="auto"/>
          <w:szCs w:val="24"/>
        </w:rPr>
      </w:pPr>
      <w:r>
        <w:rPr>
          <w:rFonts w:hint="default" w:ascii="Times New Roman" w:hAnsi="Times New Roman" w:eastAsia="宋体" w:cs="Times New Roman"/>
          <w:snapToGrid/>
          <w:color w:val="auto"/>
          <w:szCs w:val="24"/>
          <w:lang w:val="en-US" w:bidi="ar-SA"/>
        </w:rPr>
        <w:drawing>
          <wp:anchor distT="0" distB="0" distL="114300" distR="114300" simplePos="0" relativeHeight="251667456" behindDoc="0" locked="0" layoutInCell="1" allowOverlap="1">
            <wp:simplePos x="0" y="0"/>
            <wp:positionH relativeFrom="column">
              <wp:posOffset>1295400</wp:posOffset>
            </wp:positionH>
            <wp:positionV relativeFrom="paragraph">
              <wp:posOffset>19050</wp:posOffset>
            </wp:positionV>
            <wp:extent cx="3055620" cy="601980"/>
            <wp:effectExtent l="0" t="0" r="7620" b="7620"/>
            <wp:wrapSquare wrapText="bothSides"/>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1"/>
                    </pic:cNvPicPr>
                  </pic:nvPicPr>
                  <pic:blipFill>
                    <a:blip r:embed="rId60"/>
                    <a:stretch>
                      <a:fillRect/>
                    </a:stretch>
                  </pic:blipFill>
                  <pic:spPr>
                    <a:xfrm>
                      <a:off x="0" y="0"/>
                      <a:ext cx="3055620" cy="601980"/>
                    </a:xfrm>
                    <a:prstGeom prst="rect">
                      <a:avLst/>
                    </a:prstGeom>
                    <a:noFill/>
                    <a:ln>
                      <a:noFill/>
                    </a:ln>
                  </pic:spPr>
                </pic:pic>
              </a:graphicData>
            </a:graphic>
          </wp:anchor>
        </w:drawing>
      </w:r>
    </w:p>
    <w:p>
      <w:pPr>
        <w:pStyle w:val="60"/>
        <w:spacing w:beforeLines="0" w:line="500" w:lineRule="exact"/>
        <w:ind w:firstLine="3640" w:firstLineChars="1300"/>
        <w:rPr>
          <w:rFonts w:hint="default" w:ascii="Times New Roman" w:hAnsi="Times New Roman" w:eastAsia="宋体" w:cs="Times New Roman"/>
          <w:snapToGrid/>
          <w:color w:val="auto"/>
          <w:szCs w:val="24"/>
        </w:rPr>
      </w:pPr>
    </w:p>
    <w:p>
      <w:pPr>
        <w:pStyle w:val="60"/>
        <w:spacing w:beforeLines="0" w:line="500" w:lineRule="exact"/>
        <w:ind w:firstLine="560"/>
        <w:rPr>
          <w:rFonts w:hint="default" w:ascii="Times New Roman" w:hAnsi="Times New Roman" w:eastAsia="宋体" w:cs="Times New Roman"/>
          <w:snapToGrid/>
          <w:color w:val="auto"/>
          <w:szCs w:val="24"/>
        </w:rPr>
      </w:pPr>
      <w:r>
        <w:rPr>
          <w:rFonts w:hint="default" w:ascii="Times New Roman" w:hAnsi="Times New Roman" w:eastAsia="宋体" w:cs="Times New Roman"/>
          <w:snapToGrid/>
          <w:color w:val="auto"/>
          <w:szCs w:val="24"/>
        </w:rPr>
        <w:t>式中：q</w:t>
      </w:r>
      <w:r>
        <w:rPr>
          <w:rFonts w:hint="default" w:ascii="Times New Roman" w:hAnsi="Times New Roman" w:eastAsia="宋体" w:cs="Times New Roman"/>
          <w:snapToGrid/>
          <w:color w:val="auto"/>
          <w:szCs w:val="24"/>
          <w:vertAlign w:val="subscript"/>
        </w:rPr>
        <w:t>1</w:t>
      </w:r>
      <w:r>
        <w:rPr>
          <w:rFonts w:hint="default" w:ascii="Times New Roman" w:hAnsi="Times New Roman" w:eastAsia="宋体" w:cs="Times New Roman"/>
          <w:snapToGrid/>
          <w:color w:val="auto"/>
          <w:szCs w:val="24"/>
        </w:rPr>
        <w:t>、q</w:t>
      </w:r>
      <w:r>
        <w:rPr>
          <w:rFonts w:hint="default" w:ascii="Times New Roman" w:hAnsi="Times New Roman" w:eastAsia="宋体" w:cs="Times New Roman"/>
          <w:snapToGrid/>
          <w:color w:val="auto"/>
          <w:szCs w:val="24"/>
          <w:vertAlign w:val="subscript"/>
        </w:rPr>
        <w:t>2</w:t>
      </w:r>
      <w:r>
        <w:rPr>
          <w:rFonts w:hint="default" w:ascii="Times New Roman" w:hAnsi="Times New Roman" w:eastAsia="宋体" w:cs="Times New Roman"/>
          <w:snapToGrid/>
          <w:color w:val="auto"/>
          <w:szCs w:val="24"/>
        </w:rPr>
        <w:t>……q</w:t>
      </w:r>
      <w:r>
        <w:rPr>
          <w:rFonts w:hint="default" w:ascii="Times New Roman" w:hAnsi="Times New Roman" w:eastAsia="宋体" w:cs="Times New Roman"/>
          <w:snapToGrid/>
          <w:color w:val="auto"/>
          <w:szCs w:val="24"/>
          <w:vertAlign w:val="subscript"/>
        </w:rPr>
        <w:t>n</w:t>
      </w:r>
      <w:r>
        <w:rPr>
          <w:rFonts w:hint="default" w:ascii="Times New Roman" w:hAnsi="Times New Roman" w:eastAsia="宋体" w:cs="Times New Roman"/>
          <w:snapToGrid/>
          <w:color w:val="auto"/>
          <w:szCs w:val="24"/>
        </w:rPr>
        <w:t>——每种危险物质实际存在量，t；</w:t>
      </w:r>
    </w:p>
    <w:p>
      <w:pPr>
        <w:pStyle w:val="60"/>
        <w:spacing w:beforeLines="0" w:line="500" w:lineRule="exact"/>
        <w:ind w:firstLine="560"/>
        <w:rPr>
          <w:rFonts w:hint="default" w:ascii="Times New Roman" w:hAnsi="Times New Roman" w:eastAsia="宋体" w:cs="Times New Roman"/>
          <w:snapToGrid/>
          <w:color w:val="auto"/>
          <w:szCs w:val="24"/>
        </w:rPr>
      </w:pPr>
      <w:r>
        <w:rPr>
          <w:rFonts w:hint="default" w:ascii="Times New Roman" w:hAnsi="Times New Roman" w:eastAsia="宋体" w:cs="Times New Roman"/>
          <w:snapToGrid/>
          <w:color w:val="auto"/>
          <w:szCs w:val="24"/>
        </w:rPr>
        <w:t>Q1、Q2……Qn——与各危险物质相对应的临界量，t。</w:t>
      </w:r>
    </w:p>
    <w:p>
      <w:pPr>
        <w:pStyle w:val="60"/>
        <w:spacing w:beforeLines="0" w:line="500" w:lineRule="exact"/>
        <w:ind w:firstLine="562"/>
        <w:rPr>
          <w:rFonts w:hint="default" w:ascii="Times New Roman" w:hAnsi="Times New Roman" w:eastAsia="宋体" w:cs="Times New Roman"/>
          <w:b/>
          <w:bCs/>
          <w:snapToGrid/>
          <w:color w:val="auto"/>
          <w:szCs w:val="24"/>
        </w:rPr>
      </w:pPr>
      <w:bookmarkStart w:id="1386" w:name="_Toc31567_WPSOffice_Level3"/>
      <w:bookmarkStart w:id="1387" w:name="_Toc15667_WPSOffice_Level3"/>
      <w:r>
        <w:rPr>
          <w:rFonts w:hint="default" w:ascii="Times New Roman" w:hAnsi="Times New Roman" w:eastAsia="宋体" w:cs="Times New Roman"/>
          <w:b/>
          <w:bCs/>
          <w:snapToGrid/>
          <w:color w:val="auto"/>
          <w:szCs w:val="24"/>
        </w:rPr>
        <w:t>2）重大危险源的辨识</w:t>
      </w:r>
      <w:bookmarkEnd w:id="1386"/>
      <w:bookmarkEnd w:id="1387"/>
    </w:p>
    <w:p>
      <w:pPr>
        <w:pStyle w:val="61"/>
        <w:spacing w:line="500" w:lineRule="atLeast"/>
        <w:rPr>
          <w:rFonts w:hint="default" w:ascii="Times New Roman" w:hAnsi="Times New Roman" w:cs="Times New Roman"/>
          <w:color w:val="auto"/>
        </w:rPr>
      </w:pPr>
      <w:r>
        <w:rPr>
          <w:rFonts w:hint="default" w:ascii="Times New Roman" w:hAnsi="Times New Roman" w:cs="Times New Roman"/>
          <w:color w:val="auto"/>
        </w:rPr>
        <w:t>根据《危险化学品重大危险源辨识》（GB18218-2018），汽油的临界量为200t，柴油[闭杯闪点≤60℃]的临界量为5000t。</w:t>
      </w:r>
    </w:p>
    <w:p>
      <w:pPr>
        <w:spacing w:line="500" w:lineRule="atLeast"/>
        <w:ind w:firstLine="570"/>
        <w:rPr>
          <w:rFonts w:hint="default" w:ascii="Times New Roman" w:hAnsi="Times New Roman" w:cs="Times New Roman"/>
          <w:sz w:val="28"/>
          <w:szCs w:val="28"/>
        </w:rPr>
      </w:pPr>
      <w:r>
        <w:rPr>
          <w:rFonts w:hint="default" w:ascii="Times New Roman" w:hAnsi="Times New Roman" w:cs="Times New Roman"/>
          <w:sz w:val="28"/>
          <w:szCs w:val="28"/>
        </w:rPr>
        <w:t>根据</w:t>
      </w:r>
      <w:r>
        <w:rPr>
          <w:rFonts w:hint="eastAsia" w:ascii="Times New Roman" w:hAnsi="Times New Roman" w:cs="Times New Roman"/>
          <w:sz w:val="28"/>
          <w:szCs w:val="28"/>
          <w:lang w:eastAsia="zh-CN"/>
        </w:rPr>
        <w:t>东城加油站</w:t>
      </w:r>
      <w:r>
        <w:rPr>
          <w:rFonts w:hint="default" w:ascii="Times New Roman" w:hAnsi="Times New Roman" w:cs="Times New Roman"/>
          <w:sz w:val="28"/>
          <w:szCs w:val="28"/>
        </w:rPr>
        <w:t>的实际情况，</w:t>
      </w:r>
      <w:r>
        <w:rPr>
          <w:rFonts w:hint="eastAsia" w:ascii="Times New Roman" w:hAnsi="Times New Roman" w:cs="Times New Roman"/>
          <w:sz w:val="28"/>
          <w:szCs w:val="28"/>
          <w:lang w:eastAsia="zh-CN"/>
        </w:rPr>
        <w:t>东城加油站</w:t>
      </w:r>
      <w:r>
        <w:rPr>
          <w:rFonts w:hint="default" w:ascii="Times New Roman" w:hAnsi="Times New Roman" w:cs="Times New Roman"/>
          <w:sz w:val="28"/>
          <w:szCs w:val="28"/>
        </w:rPr>
        <w:t>设有</w:t>
      </w:r>
      <w:r>
        <w:rPr>
          <w:rFonts w:hint="eastAsia" w:ascii="Times New Roman" w:hAnsi="Times New Roman" w:cs="Times New Roman"/>
          <w:sz w:val="28"/>
          <w:szCs w:val="28"/>
          <w:lang w:val="en-US" w:eastAsia="zh-CN"/>
        </w:rPr>
        <w:t>3</w:t>
      </w:r>
      <w:r>
        <w:rPr>
          <w:rFonts w:hint="default" w:ascii="Times New Roman" w:hAnsi="Times New Roman" w:cs="Times New Roman"/>
          <w:sz w:val="28"/>
          <w:szCs w:val="28"/>
        </w:rPr>
        <w:t>个</w:t>
      </w:r>
      <w:r>
        <w:rPr>
          <w:rFonts w:hint="eastAsia" w:ascii="Times New Roman" w:hAnsi="Times New Roman" w:cs="Times New Roman"/>
          <w:sz w:val="28"/>
          <w:szCs w:val="28"/>
          <w:lang w:val="en-US" w:eastAsia="zh-CN"/>
        </w:rPr>
        <w:t>3</w:t>
      </w:r>
      <w:r>
        <w:rPr>
          <w:rFonts w:hint="default" w:ascii="Times New Roman" w:hAnsi="Times New Roman" w:cs="Times New Roman"/>
          <w:sz w:val="28"/>
          <w:szCs w:val="28"/>
        </w:rPr>
        <w:t>0</w:t>
      </w:r>
      <w:r>
        <w:rPr>
          <w:rFonts w:hint="default" w:ascii="Times New Roman" w:hAnsi="Times New Roman" w:cs="Times New Roman"/>
          <w:sz w:val="28"/>
          <w:szCs w:val="28"/>
          <w:lang w:eastAsia="zh-CN"/>
        </w:rPr>
        <w:t>m³</w:t>
      </w:r>
      <w:r>
        <w:rPr>
          <w:rFonts w:hint="default" w:ascii="Times New Roman" w:hAnsi="Times New Roman" w:cs="Times New Roman"/>
          <w:sz w:val="28"/>
          <w:szCs w:val="28"/>
        </w:rPr>
        <w:t>汽油罐和1个</w:t>
      </w:r>
      <w:r>
        <w:rPr>
          <w:rFonts w:hint="eastAsia" w:ascii="Times New Roman" w:hAnsi="Times New Roman" w:cs="Times New Roman"/>
          <w:sz w:val="28"/>
          <w:szCs w:val="28"/>
          <w:lang w:val="en-US" w:eastAsia="zh-CN"/>
        </w:rPr>
        <w:t>3</w:t>
      </w:r>
      <w:r>
        <w:rPr>
          <w:rFonts w:hint="default" w:ascii="Times New Roman" w:hAnsi="Times New Roman" w:cs="Times New Roman"/>
          <w:sz w:val="28"/>
          <w:szCs w:val="28"/>
        </w:rPr>
        <w:t>0</w:t>
      </w:r>
      <w:r>
        <w:rPr>
          <w:rFonts w:hint="default" w:ascii="Times New Roman" w:hAnsi="Times New Roman" w:cs="Times New Roman"/>
          <w:sz w:val="28"/>
          <w:szCs w:val="28"/>
          <w:lang w:eastAsia="zh-CN"/>
        </w:rPr>
        <w:t>m³</w:t>
      </w:r>
      <w:r>
        <w:rPr>
          <w:rFonts w:hint="default" w:ascii="Times New Roman" w:hAnsi="Times New Roman" w:cs="Times New Roman"/>
          <w:sz w:val="28"/>
          <w:szCs w:val="28"/>
        </w:rPr>
        <w:t>柴油罐。</w:t>
      </w:r>
    </w:p>
    <w:p>
      <w:pPr>
        <w:spacing w:line="500" w:lineRule="atLeast"/>
        <w:ind w:firstLine="570"/>
        <w:rPr>
          <w:rFonts w:hint="default" w:ascii="Times New Roman" w:hAnsi="Times New Roman" w:cs="Times New Roman"/>
          <w:sz w:val="28"/>
          <w:szCs w:val="28"/>
        </w:rPr>
      </w:pPr>
      <w:r>
        <w:rPr>
          <w:rFonts w:hint="default" w:ascii="Times New Roman" w:hAnsi="Times New Roman" w:cs="Times New Roman"/>
          <w:sz w:val="28"/>
          <w:szCs w:val="28"/>
        </w:rPr>
        <w:t>汽油贮罐的总储量为：</w:t>
      </w:r>
      <w:r>
        <w:rPr>
          <w:rFonts w:hint="eastAsia" w:ascii="Times New Roman" w:hAnsi="Times New Roman" w:cs="Times New Roman"/>
          <w:sz w:val="28"/>
          <w:szCs w:val="28"/>
          <w:lang w:val="en-US" w:eastAsia="zh-CN"/>
        </w:rPr>
        <w:t>90</w:t>
      </w:r>
      <w:r>
        <w:rPr>
          <w:rFonts w:hint="default" w:ascii="Times New Roman" w:hAnsi="Times New Roman" w:cs="Times New Roman"/>
          <w:sz w:val="28"/>
          <w:szCs w:val="28"/>
          <w:lang w:eastAsia="zh-CN"/>
        </w:rPr>
        <w:t>m³</w:t>
      </w:r>
      <w:r>
        <w:rPr>
          <w:rFonts w:hint="default" w:ascii="Times New Roman" w:hAnsi="Times New Roman" w:cs="Times New Roman"/>
          <w:sz w:val="28"/>
          <w:szCs w:val="28"/>
        </w:rPr>
        <w:t>×</w:t>
      </w:r>
      <w:r>
        <w:rPr>
          <w:rFonts w:hint="default" w:ascii="Times New Roman" w:hAnsi="Times New Roman" w:cs="Times New Roman"/>
          <w:sz w:val="28"/>
          <w:szCs w:val="28"/>
          <w:lang w:eastAsia="zh-CN"/>
        </w:rPr>
        <w:t>0.7</w:t>
      </w:r>
      <w:r>
        <w:rPr>
          <w:rFonts w:hint="eastAsia" w:ascii="Times New Roman" w:hAnsi="Times New Roman" w:cs="Times New Roman"/>
          <w:sz w:val="28"/>
          <w:szCs w:val="28"/>
          <w:lang w:val="en-US" w:eastAsia="zh-CN"/>
        </w:rPr>
        <w:t>5</w:t>
      </w:r>
      <w:r>
        <w:rPr>
          <w:rFonts w:hint="default" w:ascii="Times New Roman" w:hAnsi="Times New Roman" w:cs="Times New Roman"/>
          <w:sz w:val="28"/>
          <w:szCs w:val="28"/>
          <w:lang w:eastAsia="zh-CN"/>
        </w:rPr>
        <w:t>t/m³</w:t>
      </w:r>
      <w:r>
        <w:rPr>
          <w:rFonts w:hint="default" w:ascii="Times New Roman" w:hAnsi="Times New Roman" w:cs="Times New Roman"/>
          <w:sz w:val="28"/>
          <w:szCs w:val="28"/>
        </w:rPr>
        <w:t>＝</w:t>
      </w:r>
      <w:r>
        <w:rPr>
          <w:rFonts w:hint="eastAsia" w:ascii="Times New Roman" w:hAnsi="Times New Roman" w:cs="Times New Roman"/>
          <w:sz w:val="28"/>
          <w:szCs w:val="28"/>
          <w:lang w:val="en-US" w:eastAsia="zh-CN"/>
        </w:rPr>
        <w:t>67.5</w:t>
      </w:r>
      <w:r>
        <w:rPr>
          <w:rFonts w:hint="default" w:ascii="Times New Roman" w:hAnsi="Times New Roman" w:cs="Times New Roman"/>
          <w:sz w:val="28"/>
          <w:szCs w:val="28"/>
        </w:rPr>
        <w:t>t。（汽油密度选取为</w:t>
      </w:r>
      <w:r>
        <w:rPr>
          <w:rFonts w:hint="default" w:ascii="Times New Roman" w:hAnsi="Times New Roman" w:cs="Times New Roman"/>
          <w:sz w:val="28"/>
          <w:szCs w:val="28"/>
          <w:lang w:eastAsia="zh-CN"/>
        </w:rPr>
        <w:t>0.73g</w:t>
      </w:r>
      <w:r>
        <w:rPr>
          <w:rFonts w:hint="default" w:ascii="Times New Roman" w:hAnsi="Times New Roman" w:cs="Times New Roman"/>
          <w:sz w:val="28"/>
          <w:szCs w:val="28"/>
        </w:rPr>
        <w:t>/c</w:t>
      </w:r>
      <w:r>
        <w:rPr>
          <w:rFonts w:hint="default" w:ascii="Times New Roman" w:hAnsi="Times New Roman" w:cs="Times New Roman"/>
          <w:lang w:eastAsia="zh-CN"/>
        </w:rPr>
        <w:t>m³</w:t>
      </w:r>
      <w:r>
        <w:rPr>
          <w:rFonts w:hint="default" w:ascii="Times New Roman" w:hAnsi="Times New Roman" w:cs="Times New Roman"/>
          <w:sz w:val="28"/>
          <w:szCs w:val="28"/>
        </w:rPr>
        <w:t>=</w:t>
      </w:r>
      <w:r>
        <w:rPr>
          <w:rFonts w:hint="default" w:ascii="Times New Roman" w:hAnsi="Times New Roman" w:cs="Times New Roman"/>
          <w:sz w:val="28"/>
          <w:szCs w:val="28"/>
          <w:lang w:eastAsia="zh-CN"/>
        </w:rPr>
        <w:t>0.73t/m³</w:t>
      </w:r>
      <w:r>
        <w:rPr>
          <w:rFonts w:hint="default" w:ascii="Times New Roman" w:hAnsi="Times New Roman" w:cs="Times New Roman"/>
          <w:sz w:val="28"/>
          <w:szCs w:val="28"/>
        </w:rPr>
        <w:t>）</w:t>
      </w:r>
    </w:p>
    <w:p>
      <w:pPr>
        <w:pStyle w:val="61"/>
        <w:spacing w:line="500" w:lineRule="atLeast"/>
        <w:rPr>
          <w:rFonts w:hint="default" w:ascii="Times New Roman" w:hAnsi="Times New Roman" w:cs="Times New Roman"/>
          <w:color w:val="auto"/>
        </w:rPr>
      </w:pPr>
      <w:r>
        <w:rPr>
          <w:rFonts w:hint="default" w:ascii="Times New Roman" w:hAnsi="Times New Roman" w:cs="Times New Roman"/>
          <w:color w:val="auto"/>
        </w:rPr>
        <w:t>柴油贮罐的总储量为：</w:t>
      </w:r>
      <w:r>
        <w:rPr>
          <w:rFonts w:hint="eastAsia" w:ascii="Times New Roman" w:hAnsi="Times New Roman" w:cs="Times New Roman"/>
          <w:color w:val="auto"/>
          <w:lang w:val="en-US" w:eastAsia="zh-CN"/>
        </w:rPr>
        <w:t>30</w:t>
      </w:r>
      <w:r>
        <w:rPr>
          <w:rFonts w:hint="default" w:ascii="Times New Roman" w:hAnsi="Times New Roman" w:cs="Times New Roman"/>
          <w:color w:val="auto"/>
          <w:lang w:eastAsia="zh-CN"/>
        </w:rPr>
        <w:t>m³</w:t>
      </w:r>
      <w:r>
        <w:rPr>
          <w:rFonts w:hint="default" w:ascii="Times New Roman" w:hAnsi="Times New Roman" w:cs="Times New Roman"/>
          <w:color w:val="auto"/>
        </w:rPr>
        <w:t>×0.8</w:t>
      </w:r>
      <w:r>
        <w:rPr>
          <w:rFonts w:hint="eastAsia" w:ascii="Times New Roman" w:hAnsi="Times New Roman" w:cs="Times New Roman"/>
          <w:color w:val="auto"/>
          <w:lang w:val="en-US" w:eastAsia="zh-CN"/>
        </w:rPr>
        <w:t>5</w:t>
      </w:r>
      <w:r>
        <w:rPr>
          <w:rFonts w:hint="default" w:ascii="Times New Roman" w:hAnsi="Times New Roman" w:cs="Times New Roman"/>
          <w:color w:val="auto"/>
        </w:rPr>
        <w:t>t/</w:t>
      </w:r>
      <w:r>
        <w:rPr>
          <w:rFonts w:hint="default" w:ascii="Times New Roman" w:hAnsi="Times New Roman" w:cs="Times New Roman"/>
          <w:color w:val="auto"/>
          <w:lang w:eastAsia="zh-CN"/>
        </w:rPr>
        <w:t>m³</w:t>
      </w:r>
      <w:r>
        <w:rPr>
          <w:rFonts w:hint="default" w:ascii="Times New Roman" w:hAnsi="Times New Roman" w:cs="Times New Roman"/>
          <w:color w:val="auto"/>
        </w:rPr>
        <w:t>＝</w:t>
      </w:r>
      <w:r>
        <w:rPr>
          <w:rFonts w:hint="eastAsia" w:ascii="Times New Roman" w:hAnsi="Times New Roman" w:cs="Times New Roman"/>
          <w:color w:val="auto"/>
          <w:lang w:val="en-US" w:eastAsia="zh-CN"/>
        </w:rPr>
        <w:t>25.5</w:t>
      </w:r>
      <w:r>
        <w:rPr>
          <w:rFonts w:hint="default" w:ascii="Times New Roman" w:hAnsi="Times New Roman" w:cs="Times New Roman"/>
          <w:color w:val="auto"/>
        </w:rPr>
        <w:t>t。（柴油密度选取为0.85g/c</w:t>
      </w:r>
      <w:r>
        <w:rPr>
          <w:rFonts w:hint="default" w:ascii="Times New Roman" w:hAnsi="Times New Roman" w:cs="Times New Roman"/>
          <w:color w:val="auto"/>
          <w:lang w:eastAsia="zh-CN"/>
        </w:rPr>
        <w:t>m³</w:t>
      </w:r>
      <w:r>
        <w:rPr>
          <w:rFonts w:hint="default" w:ascii="Times New Roman" w:hAnsi="Times New Roman" w:cs="Times New Roman"/>
          <w:color w:val="auto"/>
        </w:rPr>
        <w:t>=0.85t/</w:t>
      </w:r>
      <w:r>
        <w:rPr>
          <w:rFonts w:hint="default" w:ascii="Times New Roman" w:hAnsi="Times New Roman" w:cs="Times New Roman"/>
          <w:color w:val="auto"/>
          <w:lang w:eastAsia="zh-CN"/>
        </w:rPr>
        <w:t>m³</w:t>
      </w:r>
      <w:r>
        <w:rPr>
          <w:rFonts w:hint="default" w:ascii="Times New Roman" w:hAnsi="Times New Roman" w:cs="Times New Roman"/>
          <w:color w:val="auto"/>
        </w:rPr>
        <w:t>）</w:t>
      </w:r>
    </w:p>
    <w:p>
      <w:pPr>
        <w:spacing w:line="500" w:lineRule="atLeast"/>
        <w:ind w:firstLine="570"/>
        <w:rPr>
          <w:rFonts w:hint="default" w:ascii="Times New Roman" w:hAnsi="Times New Roman" w:cs="Times New Roman"/>
          <w:sz w:val="28"/>
          <w:szCs w:val="28"/>
          <w:lang w:val="en-US"/>
        </w:rPr>
      </w:pPr>
      <w:r>
        <w:rPr>
          <w:rFonts w:hint="default" w:ascii="Times New Roman" w:hAnsi="Times New Roman" w:cs="Times New Roman"/>
          <w:sz w:val="28"/>
          <w:szCs w:val="28"/>
        </w:rPr>
        <w:t>该加油站无生产工艺流程，无生产单元。只存在存储单元。存储单元具体计算结果如下：</w:t>
      </w:r>
    </w:p>
    <w:p>
      <w:pPr>
        <w:tabs>
          <w:tab w:val="left" w:pos="3889"/>
        </w:tabs>
        <w:spacing w:before="211" w:line="500" w:lineRule="atLeast"/>
        <w:ind w:left="2268"/>
        <w:rPr>
          <w:rFonts w:hint="default" w:ascii="Times New Roman" w:hAnsi="Times New Roman" w:cs="Times New Roman"/>
          <w:sz w:val="24"/>
          <w:szCs w:val="24"/>
        </w:rPr>
      </w:pPr>
      <w:r>
        <w:rPr>
          <w:rFonts w:hint="default" w:ascii="Times New Roman" w:hAnsi="Times New Roman" w:cs="Times New Roman"/>
          <w:sz w:val="24"/>
          <w:szCs w:val="24"/>
        </w:rPr>
        <w:t>表3.</w:t>
      </w:r>
      <w:r>
        <w:rPr>
          <w:rFonts w:hint="default" w:ascii="Times New Roman" w:hAnsi="Times New Roman" w:cs="Times New Roman"/>
          <w:sz w:val="24"/>
          <w:szCs w:val="24"/>
          <w:lang w:val="en-US"/>
        </w:rPr>
        <w:t>5</w:t>
      </w:r>
      <w:r>
        <w:rPr>
          <w:rFonts w:hint="default" w:ascii="Times New Roman" w:hAnsi="Times New Roman" w:cs="Times New Roman"/>
          <w:sz w:val="24"/>
          <w:szCs w:val="24"/>
        </w:rPr>
        <w:t>-1</w:t>
      </w:r>
      <w:r>
        <w:rPr>
          <w:rFonts w:hint="default" w:ascii="Times New Roman" w:hAnsi="Times New Roman" w:cs="Times New Roman"/>
          <w:sz w:val="24"/>
          <w:szCs w:val="24"/>
          <w:lang w:val="en-US"/>
        </w:rPr>
        <w:t xml:space="preserve"> </w:t>
      </w:r>
      <w:r>
        <w:rPr>
          <w:rFonts w:hint="default" w:ascii="Times New Roman" w:hAnsi="Times New Roman" w:cs="Times New Roman"/>
          <w:sz w:val="24"/>
          <w:szCs w:val="24"/>
        </w:rPr>
        <w:t>危险化学品重大危险源辨识表</w:t>
      </w:r>
    </w:p>
    <w:p>
      <w:pPr>
        <w:pStyle w:val="11"/>
        <w:spacing w:before="5"/>
        <w:rPr>
          <w:rFonts w:hint="default" w:ascii="Times New Roman" w:hAnsi="Times New Roman" w:cs="Times New Roman"/>
          <w:b/>
          <w:sz w:val="6"/>
        </w:rPr>
      </w:pPr>
    </w:p>
    <w:tbl>
      <w:tblPr>
        <w:tblStyle w:val="36"/>
        <w:tblW w:w="9439" w:type="dxa"/>
        <w:tblInd w:w="-15"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1451"/>
        <w:gridCol w:w="1304"/>
        <w:gridCol w:w="1196"/>
        <w:gridCol w:w="1745"/>
        <w:gridCol w:w="1217"/>
        <w:gridCol w:w="1391"/>
        <w:gridCol w:w="1135"/>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23" w:hRule="atLeast"/>
        </w:trPr>
        <w:tc>
          <w:tcPr>
            <w:tcW w:w="1451" w:type="dxa"/>
            <w:tcBorders>
              <w:bottom w:val="single" w:color="000000" w:sz="4" w:space="0"/>
              <w:right w:val="single" w:color="000000" w:sz="4" w:space="0"/>
            </w:tcBorders>
            <w:vAlign w:val="center"/>
          </w:tcPr>
          <w:p>
            <w:pPr>
              <w:pStyle w:val="38"/>
              <w:keepNext w:val="0"/>
              <w:keepLines w:val="0"/>
              <w:suppressLineNumbers w:val="0"/>
              <w:spacing w:before="22" w:beforeAutospacing="0" w:after="0" w:afterAutospacing="0"/>
              <w:ind w:left="124" w:right="103"/>
              <w:jc w:val="center"/>
              <w:rPr>
                <w:rFonts w:hint="default" w:ascii="Times New Roman" w:hAnsi="Times New Roman" w:cs="Times New Roman"/>
                <w:sz w:val="21"/>
                <w:szCs w:val="21"/>
              </w:rPr>
            </w:pPr>
            <w:r>
              <w:rPr>
                <w:rFonts w:hint="default" w:ascii="Times New Roman" w:hAnsi="Times New Roman" w:cs="Times New Roman"/>
                <w:sz w:val="21"/>
                <w:szCs w:val="21"/>
              </w:rPr>
              <w:t>危险化学品</w:t>
            </w:r>
          </w:p>
          <w:p>
            <w:pPr>
              <w:pStyle w:val="38"/>
              <w:keepNext w:val="0"/>
              <w:keepLines w:val="0"/>
              <w:suppressLineNumbers w:val="0"/>
              <w:spacing w:before="43" w:beforeAutospacing="0" w:after="0" w:afterAutospacing="0"/>
              <w:ind w:left="124" w:right="105"/>
              <w:jc w:val="center"/>
              <w:rPr>
                <w:rFonts w:hint="default" w:ascii="Times New Roman" w:hAnsi="Times New Roman" w:cs="Times New Roman"/>
                <w:sz w:val="21"/>
                <w:szCs w:val="21"/>
              </w:rPr>
            </w:pPr>
            <w:r>
              <w:rPr>
                <w:rFonts w:hint="default" w:ascii="Times New Roman" w:hAnsi="Times New Roman" w:cs="Times New Roman"/>
                <w:sz w:val="21"/>
                <w:szCs w:val="21"/>
              </w:rPr>
              <w:t>名称</w:t>
            </w:r>
          </w:p>
        </w:tc>
        <w:tc>
          <w:tcPr>
            <w:tcW w:w="1304" w:type="dxa"/>
            <w:tcBorders>
              <w:left w:val="single" w:color="000000" w:sz="4" w:space="0"/>
              <w:bottom w:val="single" w:color="000000" w:sz="4" w:space="0"/>
              <w:right w:val="single" w:color="000000" w:sz="4" w:space="0"/>
            </w:tcBorders>
            <w:vAlign w:val="center"/>
          </w:tcPr>
          <w:p>
            <w:pPr>
              <w:pStyle w:val="38"/>
              <w:keepNext w:val="0"/>
              <w:keepLines w:val="0"/>
              <w:suppressLineNumbers w:val="0"/>
              <w:spacing w:before="178" w:beforeAutospacing="0" w:after="0" w:afterAutospacing="0"/>
              <w:ind w:left="137" w:right="106"/>
              <w:jc w:val="center"/>
              <w:rPr>
                <w:rFonts w:hint="default" w:ascii="Times New Roman" w:hAnsi="Times New Roman" w:cs="Times New Roman"/>
                <w:sz w:val="21"/>
                <w:szCs w:val="21"/>
              </w:rPr>
            </w:pPr>
            <w:r>
              <w:rPr>
                <w:rFonts w:hint="default" w:ascii="Times New Roman" w:hAnsi="Times New Roman" w:cs="Times New Roman"/>
                <w:sz w:val="21"/>
                <w:szCs w:val="21"/>
              </w:rPr>
              <w:t>危险性类别</w:t>
            </w:r>
          </w:p>
        </w:tc>
        <w:tc>
          <w:tcPr>
            <w:tcW w:w="1196" w:type="dxa"/>
            <w:tcBorders>
              <w:left w:val="single" w:color="000000" w:sz="4" w:space="0"/>
              <w:bottom w:val="single" w:color="000000" w:sz="4" w:space="0"/>
              <w:right w:val="single" w:color="000000" w:sz="4" w:space="0"/>
            </w:tcBorders>
            <w:vAlign w:val="center"/>
          </w:tcPr>
          <w:p>
            <w:pPr>
              <w:pStyle w:val="38"/>
              <w:keepNext w:val="0"/>
              <w:keepLines w:val="0"/>
              <w:suppressLineNumbers w:val="0"/>
              <w:spacing w:before="178" w:beforeAutospacing="0" w:after="0" w:afterAutospacing="0"/>
              <w:ind w:left="73" w:right="23"/>
              <w:jc w:val="center"/>
              <w:rPr>
                <w:rFonts w:hint="default" w:ascii="Times New Roman" w:hAnsi="Times New Roman" w:cs="Times New Roman"/>
                <w:sz w:val="21"/>
                <w:szCs w:val="21"/>
              </w:rPr>
            </w:pPr>
            <w:r>
              <w:rPr>
                <w:rFonts w:hint="default" w:ascii="Times New Roman" w:hAnsi="Times New Roman" w:cs="Times New Roman"/>
                <w:sz w:val="21"/>
                <w:szCs w:val="21"/>
              </w:rPr>
              <w:t>临界量 Q（t）</w:t>
            </w:r>
          </w:p>
        </w:tc>
        <w:tc>
          <w:tcPr>
            <w:tcW w:w="1745" w:type="dxa"/>
            <w:tcBorders>
              <w:left w:val="single" w:color="000000" w:sz="4" w:space="0"/>
              <w:bottom w:val="single" w:color="000000" w:sz="4" w:space="0"/>
              <w:right w:val="single" w:color="000000" w:sz="4" w:space="0"/>
            </w:tcBorders>
            <w:vAlign w:val="center"/>
          </w:tcPr>
          <w:p>
            <w:pPr>
              <w:pStyle w:val="38"/>
              <w:keepNext w:val="0"/>
              <w:keepLines w:val="0"/>
              <w:suppressLineNumbers w:val="0"/>
              <w:spacing w:before="178" w:beforeAutospacing="0" w:after="0" w:afterAutospacing="0"/>
              <w:ind w:left="268" w:right="233"/>
              <w:jc w:val="center"/>
              <w:rPr>
                <w:rFonts w:hint="default" w:ascii="Times New Roman" w:hAnsi="Times New Roman" w:cs="Times New Roman"/>
                <w:sz w:val="21"/>
                <w:szCs w:val="21"/>
              </w:rPr>
            </w:pPr>
            <w:r>
              <w:rPr>
                <w:rFonts w:hint="default" w:ascii="Times New Roman" w:hAnsi="Times New Roman" w:cs="Times New Roman"/>
                <w:sz w:val="21"/>
                <w:szCs w:val="21"/>
              </w:rPr>
              <w:t>罐容</w:t>
            </w:r>
          </w:p>
        </w:tc>
        <w:tc>
          <w:tcPr>
            <w:tcW w:w="1217" w:type="dxa"/>
            <w:tcBorders>
              <w:left w:val="single" w:color="000000" w:sz="4" w:space="0"/>
              <w:bottom w:val="single" w:color="000000" w:sz="4" w:space="0"/>
              <w:right w:val="single" w:color="000000" w:sz="4" w:space="0"/>
            </w:tcBorders>
            <w:vAlign w:val="center"/>
          </w:tcPr>
          <w:p>
            <w:pPr>
              <w:pStyle w:val="38"/>
              <w:keepNext w:val="0"/>
              <w:keepLines w:val="0"/>
              <w:suppressLineNumbers w:val="0"/>
              <w:spacing w:before="178" w:beforeAutospacing="0" w:after="0" w:afterAutospacing="0"/>
              <w:ind w:left="122" w:right="-29"/>
              <w:jc w:val="center"/>
              <w:rPr>
                <w:rFonts w:hint="default" w:ascii="Times New Roman" w:hAnsi="Times New Roman" w:cs="Times New Roman"/>
                <w:sz w:val="21"/>
                <w:szCs w:val="21"/>
              </w:rPr>
            </w:pPr>
            <w:r>
              <w:rPr>
                <w:rFonts w:hint="default" w:ascii="Times New Roman" w:hAnsi="Times New Roman" w:cs="Times New Roman"/>
                <w:spacing w:val="-38"/>
                <w:sz w:val="21"/>
                <w:szCs w:val="21"/>
              </w:rPr>
              <w:t>密度</w:t>
            </w:r>
            <w:r>
              <w:rPr>
                <w:rFonts w:hint="default" w:ascii="Times New Roman" w:hAnsi="Times New Roman" w:cs="Times New Roman"/>
                <w:spacing w:val="-1"/>
                <w:sz w:val="21"/>
                <w:szCs w:val="21"/>
              </w:rPr>
              <w:t>（t/</w:t>
            </w:r>
            <w:r>
              <w:rPr>
                <w:rFonts w:hint="default" w:ascii="Times New Roman" w:hAnsi="Times New Roman" w:cs="Times New Roman"/>
                <w:spacing w:val="-1"/>
                <w:sz w:val="21"/>
                <w:szCs w:val="21"/>
                <w:lang w:eastAsia="zh-CN"/>
              </w:rPr>
              <w:t>m³</w:t>
            </w:r>
            <w:r>
              <w:rPr>
                <w:rFonts w:hint="default" w:ascii="Times New Roman" w:hAnsi="Times New Roman" w:cs="Times New Roman"/>
                <w:spacing w:val="-1"/>
                <w:sz w:val="21"/>
                <w:szCs w:val="21"/>
              </w:rPr>
              <w:t>）</w:t>
            </w:r>
          </w:p>
        </w:tc>
        <w:tc>
          <w:tcPr>
            <w:tcW w:w="1391" w:type="dxa"/>
            <w:tcBorders>
              <w:left w:val="single" w:color="000000" w:sz="4" w:space="0"/>
              <w:bottom w:val="single" w:color="000000" w:sz="4" w:space="0"/>
              <w:right w:val="single" w:color="000000" w:sz="4" w:space="0"/>
            </w:tcBorders>
            <w:vAlign w:val="center"/>
          </w:tcPr>
          <w:p>
            <w:pPr>
              <w:pStyle w:val="38"/>
              <w:keepNext w:val="0"/>
              <w:keepLines w:val="0"/>
              <w:suppressLineNumbers w:val="0"/>
              <w:spacing w:before="22" w:beforeAutospacing="0" w:after="0" w:afterAutospacing="0"/>
              <w:ind w:left="327" w:right="0"/>
              <w:jc w:val="both"/>
              <w:rPr>
                <w:rFonts w:hint="default" w:ascii="Times New Roman" w:hAnsi="Times New Roman" w:cs="Times New Roman"/>
                <w:sz w:val="21"/>
                <w:szCs w:val="21"/>
              </w:rPr>
            </w:pPr>
            <w:r>
              <w:rPr>
                <w:rFonts w:hint="default" w:ascii="Times New Roman" w:hAnsi="Times New Roman" w:cs="Times New Roman"/>
                <w:sz w:val="21"/>
                <w:szCs w:val="21"/>
              </w:rPr>
              <w:t>储存量</w:t>
            </w:r>
          </w:p>
          <w:p>
            <w:pPr>
              <w:pStyle w:val="38"/>
              <w:keepNext w:val="0"/>
              <w:keepLines w:val="0"/>
              <w:suppressLineNumbers w:val="0"/>
              <w:spacing w:before="43" w:beforeAutospacing="0" w:after="0" w:afterAutospacing="0"/>
              <w:ind w:left="351" w:right="0"/>
              <w:jc w:val="both"/>
              <w:rPr>
                <w:rFonts w:hint="default" w:ascii="Times New Roman" w:hAnsi="Times New Roman" w:cs="Times New Roman"/>
                <w:sz w:val="21"/>
                <w:szCs w:val="21"/>
              </w:rPr>
            </w:pPr>
            <w:r>
              <w:rPr>
                <w:rFonts w:hint="default" w:ascii="Times New Roman" w:hAnsi="Times New Roman" w:cs="Times New Roman"/>
                <w:sz w:val="21"/>
                <w:szCs w:val="21"/>
              </w:rPr>
              <w:t>q（t）</w:t>
            </w:r>
          </w:p>
        </w:tc>
        <w:tc>
          <w:tcPr>
            <w:tcW w:w="1135" w:type="dxa"/>
            <w:tcBorders>
              <w:left w:val="single" w:color="000000" w:sz="4" w:space="0"/>
              <w:bottom w:val="single" w:color="000000" w:sz="4" w:space="0"/>
            </w:tcBorders>
            <w:vAlign w:val="center"/>
          </w:tcPr>
          <w:p>
            <w:pPr>
              <w:pStyle w:val="38"/>
              <w:keepNext w:val="0"/>
              <w:keepLines w:val="0"/>
              <w:suppressLineNumbers w:val="0"/>
              <w:spacing w:before="189" w:beforeAutospacing="0" w:after="0" w:afterAutospacing="0"/>
              <w:ind w:left="0" w:right="381"/>
              <w:jc w:val="center"/>
              <w:rPr>
                <w:rFonts w:hint="default" w:ascii="Times New Roman" w:hAnsi="Times New Roman" w:cs="Times New Roman"/>
                <w:sz w:val="21"/>
                <w:szCs w:val="21"/>
              </w:rPr>
            </w:pPr>
            <w:r>
              <w:rPr>
                <w:rFonts w:hint="default" w:ascii="Times New Roman" w:hAnsi="Times New Roman" w:cs="Times New Roman"/>
                <w:sz w:val="21"/>
                <w:szCs w:val="21"/>
              </w:rPr>
              <w:t>q / Q</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53" w:hRule="atLeast"/>
        </w:trPr>
        <w:tc>
          <w:tcPr>
            <w:tcW w:w="1451" w:type="dxa"/>
            <w:tcBorders>
              <w:top w:val="single" w:color="000000" w:sz="4" w:space="0"/>
              <w:bottom w:val="single" w:color="000000" w:sz="4" w:space="0"/>
              <w:right w:val="single" w:color="000000" w:sz="4" w:space="0"/>
            </w:tcBorders>
            <w:vAlign w:val="center"/>
          </w:tcPr>
          <w:p>
            <w:pPr>
              <w:pStyle w:val="38"/>
              <w:keepNext w:val="0"/>
              <w:keepLines w:val="0"/>
              <w:suppressLineNumbers w:val="0"/>
              <w:spacing w:before="94" w:beforeAutospacing="0" w:after="0" w:afterAutospacing="0"/>
              <w:ind w:left="124" w:right="105"/>
              <w:jc w:val="center"/>
              <w:rPr>
                <w:rFonts w:hint="default" w:ascii="Times New Roman" w:hAnsi="Times New Roman" w:cs="Times New Roman"/>
                <w:sz w:val="21"/>
                <w:szCs w:val="21"/>
              </w:rPr>
            </w:pPr>
            <w:r>
              <w:rPr>
                <w:rFonts w:hint="default" w:ascii="Times New Roman" w:hAnsi="Times New Roman" w:cs="Times New Roman"/>
                <w:sz w:val="21"/>
                <w:szCs w:val="21"/>
              </w:rPr>
              <w:t>汽油</w:t>
            </w:r>
          </w:p>
        </w:tc>
        <w:tc>
          <w:tcPr>
            <w:tcW w:w="1304" w:type="dxa"/>
            <w:tcBorders>
              <w:top w:val="single" w:color="000000" w:sz="4" w:space="0"/>
              <w:left w:val="single" w:color="000000" w:sz="4" w:space="0"/>
              <w:bottom w:val="single" w:color="000000" w:sz="4" w:space="0"/>
              <w:right w:val="single" w:color="000000" w:sz="4" w:space="0"/>
            </w:tcBorders>
            <w:vAlign w:val="center"/>
          </w:tcPr>
          <w:p>
            <w:pPr>
              <w:pStyle w:val="38"/>
              <w:keepNext w:val="0"/>
              <w:keepLines w:val="0"/>
              <w:suppressLineNumbers w:val="0"/>
              <w:spacing w:before="94" w:beforeAutospacing="0" w:after="0" w:afterAutospacing="0"/>
              <w:ind w:left="137" w:right="106"/>
              <w:jc w:val="center"/>
              <w:rPr>
                <w:rFonts w:hint="default" w:ascii="Times New Roman" w:hAnsi="Times New Roman" w:cs="Times New Roman"/>
                <w:sz w:val="21"/>
                <w:szCs w:val="21"/>
              </w:rPr>
            </w:pPr>
            <w:r>
              <w:rPr>
                <w:rFonts w:hint="default" w:ascii="Times New Roman" w:hAnsi="Times New Roman" w:cs="Times New Roman"/>
                <w:sz w:val="21"/>
                <w:szCs w:val="21"/>
              </w:rPr>
              <w:t>易燃液体</w:t>
            </w:r>
          </w:p>
        </w:tc>
        <w:tc>
          <w:tcPr>
            <w:tcW w:w="1196" w:type="dxa"/>
            <w:tcBorders>
              <w:top w:val="single" w:color="000000" w:sz="4" w:space="0"/>
              <w:left w:val="single" w:color="000000" w:sz="4" w:space="0"/>
              <w:bottom w:val="single" w:color="000000" w:sz="4" w:space="0"/>
              <w:right w:val="single" w:color="000000" w:sz="4" w:space="0"/>
            </w:tcBorders>
            <w:vAlign w:val="center"/>
          </w:tcPr>
          <w:p>
            <w:pPr>
              <w:pStyle w:val="38"/>
              <w:keepNext w:val="0"/>
              <w:keepLines w:val="0"/>
              <w:suppressLineNumbers w:val="0"/>
              <w:spacing w:before="106" w:beforeAutospacing="0" w:after="0" w:afterAutospacing="0"/>
              <w:ind w:left="54" w:right="23"/>
              <w:jc w:val="center"/>
              <w:rPr>
                <w:rFonts w:hint="default" w:ascii="Times New Roman" w:hAnsi="Times New Roman" w:cs="Times New Roman"/>
                <w:sz w:val="21"/>
                <w:szCs w:val="21"/>
              </w:rPr>
            </w:pPr>
            <w:r>
              <w:rPr>
                <w:rFonts w:hint="default" w:ascii="Times New Roman" w:hAnsi="Times New Roman" w:cs="Times New Roman"/>
                <w:sz w:val="21"/>
                <w:szCs w:val="21"/>
              </w:rPr>
              <w:t>200</w:t>
            </w:r>
          </w:p>
        </w:tc>
        <w:tc>
          <w:tcPr>
            <w:tcW w:w="1745" w:type="dxa"/>
            <w:tcBorders>
              <w:top w:val="single" w:color="000000" w:sz="4" w:space="0"/>
              <w:left w:val="single" w:color="000000" w:sz="4" w:space="0"/>
              <w:bottom w:val="single" w:color="000000" w:sz="4" w:space="0"/>
              <w:right w:val="single" w:color="000000" w:sz="4" w:space="0"/>
            </w:tcBorders>
            <w:vAlign w:val="center"/>
          </w:tcPr>
          <w:p>
            <w:pPr>
              <w:pStyle w:val="38"/>
              <w:keepNext w:val="0"/>
              <w:keepLines w:val="0"/>
              <w:suppressLineNumbers w:val="0"/>
              <w:spacing w:before="106" w:beforeAutospacing="0" w:after="0" w:afterAutospacing="0"/>
              <w:ind w:left="268" w:right="233"/>
              <w:jc w:val="center"/>
              <w:rPr>
                <w:rFonts w:hint="default" w:ascii="Times New Roman" w:hAnsi="Times New Roman" w:cs="Times New Roman"/>
                <w:sz w:val="21"/>
                <w:szCs w:val="21"/>
              </w:rPr>
            </w:pPr>
            <w:r>
              <w:rPr>
                <w:rFonts w:hint="eastAsia" w:ascii="Times New Roman" w:hAnsi="Times New Roman" w:cs="Times New Roman"/>
                <w:sz w:val="21"/>
                <w:szCs w:val="21"/>
                <w:lang w:val="en-US" w:eastAsia="zh-CN"/>
              </w:rPr>
              <w:t>3</w:t>
            </w:r>
            <w:r>
              <w:rPr>
                <w:rFonts w:hint="default" w:ascii="Times New Roman" w:hAnsi="Times New Roman" w:cs="Times New Roman"/>
                <w:sz w:val="21"/>
                <w:szCs w:val="21"/>
              </w:rPr>
              <w:t>×</w:t>
            </w:r>
            <w:r>
              <w:rPr>
                <w:rFonts w:hint="eastAsia" w:ascii="Times New Roman" w:hAnsi="Times New Roman" w:cs="Times New Roman"/>
                <w:sz w:val="21"/>
                <w:szCs w:val="21"/>
                <w:lang w:val="en-US" w:eastAsia="zh-CN"/>
              </w:rPr>
              <w:t>3</w:t>
            </w:r>
            <w:r>
              <w:rPr>
                <w:rFonts w:hint="default" w:ascii="Times New Roman" w:hAnsi="Times New Roman" w:cs="Times New Roman"/>
                <w:sz w:val="21"/>
                <w:szCs w:val="21"/>
                <w:lang w:val="en-US"/>
              </w:rPr>
              <w:t>0</w:t>
            </w:r>
            <w:r>
              <w:rPr>
                <w:rFonts w:hint="default" w:ascii="Times New Roman" w:hAnsi="Times New Roman" w:cs="Times New Roman"/>
                <w:sz w:val="21"/>
                <w:szCs w:val="21"/>
                <w:lang w:eastAsia="zh-CN"/>
              </w:rPr>
              <w:t>m³</w:t>
            </w:r>
          </w:p>
        </w:tc>
        <w:tc>
          <w:tcPr>
            <w:tcW w:w="1217" w:type="dxa"/>
            <w:tcBorders>
              <w:top w:val="single" w:color="000000" w:sz="4" w:space="0"/>
              <w:left w:val="single" w:color="000000" w:sz="4" w:space="0"/>
              <w:bottom w:val="single" w:color="000000" w:sz="4" w:space="0"/>
              <w:right w:val="single" w:color="000000" w:sz="4" w:space="0"/>
            </w:tcBorders>
            <w:vAlign w:val="center"/>
          </w:tcPr>
          <w:p>
            <w:pPr>
              <w:pStyle w:val="38"/>
              <w:keepNext w:val="0"/>
              <w:keepLines w:val="0"/>
              <w:suppressLineNumbers w:val="0"/>
              <w:spacing w:before="106" w:beforeAutospacing="0" w:after="0" w:afterAutospacing="0"/>
              <w:ind w:left="122" w:right="82"/>
              <w:jc w:val="center"/>
              <w:rPr>
                <w:rFonts w:hint="eastAsia" w:ascii="Times New Roman" w:hAnsi="Times New Roman" w:eastAsia="宋体" w:cs="Times New Roman"/>
                <w:sz w:val="21"/>
                <w:szCs w:val="21"/>
                <w:lang w:val="en-US" w:eastAsia="zh-CN"/>
              </w:rPr>
            </w:pPr>
            <w:r>
              <w:rPr>
                <w:rFonts w:hint="default" w:ascii="Times New Roman" w:hAnsi="Times New Roman" w:cs="Times New Roman"/>
                <w:sz w:val="21"/>
                <w:szCs w:val="21"/>
              </w:rPr>
              <w:t>0.7</w:t>
            </w:r>
            <w:r>
              <w:rPr>
                <w:rFonts w:hint="eastAsia" w:ascii="Times New Roman" w:hAnsi="Times New Roman" w:cs="Times New Roman"/>
                <w:sz w:val="21"/>
                <w:szCs w:val="21"/>
                <w:lang w:val="en-US" w:eastAsia="zh-CN"/>
              </w:rPr>
              <w:t>5</w:t>
            </w:r>
          </w:p>
        </w:tc>
        <w:tc>
          <w:tcPr>
            <w:tcW w:w="1391" w:type="dxa"/>
            <w:tcBorders>
              <w:top w:val="single" w:color="000000" w:sz="4" w:space="0"/>
              <w:left w:val="single" w:color="000000" w:sz="4" w:space="0"/>
              <w:bottom w:val="single" w:color="000000" w:sz="4" w:space="0"/>
              <w:right w:val="single" w:color="000000" w:sz="4" w:space="0"/>
            </w:tcBorders>
            <w:vAlign w:val="center"/>
          </w:tcPr>
          <w:p>
            <w:pPr>
              <w:pStyle w:val="38"/>
              <w:keepNext w:val="0"/>
              <w:keepLines w:val="0"/>
              <w:suppressLineNumbers w:val="0"/>
              <w:spacing w:before="106" w:beforeAutospacing="0" w:after="0" w:afterAutospacing="0"/>
              <w:ind w:left="406" w:right="372"/>
              <w:jc w:val="center"/>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67.5</w:t>
            </w:r>
          </w:p>
        </w:tc>
        <w:tc>
          <w:tcPr>
            <w:tcW w:w="1135" w:type="dxa"/>
            <w:tcBorders>
              <w:top w:val="single" w:color="000000" w:sz="4" w:space="0"/>
              <w:left w:val="single" w:color="000000" w:sz="4" w:space="0"/>
              <w:bottom w:val="single" w:color="000000" w:sz="4" w:space="0"/>
            </w:tcBorders>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s="宋体"/>
                <w:sz w:val="21"/>
                <w:szCs w:val="21"/>
                <w:lang w:val="en-US" w:eastAsia="zh-CN" w:bidi="zh-CN"/>
              </w:rPr>
            </w:pPr>
            <w:r>
              <w:rPr>
                <w:rFonts w:hint="eastAsia" w:cs="宋体"/>
                <w:sz w:val="21"/>
                <w:szCs w:val="21"/>
                <w:lang w:val="en-US" w:eastAsia="zh-CN" w:bidi="zh-CN"/>
              </w:rPr>
              <w:t>0.3375</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23" w:hRule="atLeast"/>
        </w:trPr>
        <w:tc>
          <w:tcPr>
            <w:tcW w:w="1451" w:type="dxa"/>
            <w:tcBorders>
              <w:top w:val="single" w:color="000000" w:sz="4" w:space="0"/>
              <w:bottom w:val="single" w:color="000000" w:sz="4" w:space="0"/>
              <w:right w:val="single" w:color="000000" w:sz="4" w:space="0"/>
            </w:tcBorders>
            <w:vAlign w:val="center"/>
          </w:tcPr>
          <w:p>
            <w:pPr>
              <w:pStyle w:val="38"/>
              <w:keepNext w:val="0"/>
              <w:keepLines w:val="0"/>
              <w:suppressLineNumbers w:val="0"/>
              <w:spacing w:before="22" w:beforeAutospacing="0" w:after="0" w:afterAutospacing="0"/>
              <w:ind w:left="124" w:right="106"/>
              <w:jc w:val="center"/>
              <w:rPr>
                <w:rFonts w:hint="default" w:ascii="Times New Roman" w:hAnsi="Times New Roman" w:cs="Times New Roman"/>
                <w:sz w:val="21"/>
                <w:szCs w:val="21"/>
              </w:rPr>
            </w:pPr>
            <w:r>
              <w:rPr>
                <w:rFonts w:hint="default" w:ascii="Times New Roman" w:hAnsi="Times New Roman" w:cs="Times New Roman"/>
                <w:sz w:val="21"/>
                <w:szCs w:val="21"/>
              </w:rPr>
              <w:t>柴油[闭杯闪</w:t>
            </w:r>
          </w:p>
          <w:p>
            <w:pPr>
              <w:pStyle w:val="38"/>
              <w:keepNext w:val="0"/>
              <w:keepLines w:val="0"/>
              <w:suppressLineNumbers w:val="0"/>
              <w:spacing w:before="44" w:beforeAutospacing="0" w:after="0" w:afterAutospacing="0"/>
              <w:ind w:left="124" w:right="102"/>
              <w:jc w:val="center"/>
              <w:rPr>
                <w:rFonts w:hint="default" w:ascii="Times New Roman" w:hAnsi="Times New Roman" w:cs="Times New Roman"/>
                <w:sz w:val="21"/>
                <w:szCs w:val="21"/>
              </w:rPr>
            </w:pPr>
            <w:r>
              <w:rPr>
                <w:rFonts w:hint="default" w:ascii="Times New Roman" w:hAnsi="Times New Roman" w:cs="Times New Roman"/>
                <w:w w:val="105"/>
                <w:sz w:val="21"/>
                <w:szCs w:val="21"/>
              </w:rPr>
              <w:t>点≤60℃]</w:t>
            </w:r>
          </w:p>
        </w:tc>
        <w:tc>
          <w:tcPr>
            <w:tcW w:w="1304" w:type="dxa"/>
            <w:tcBorders>
              <w:top w:val="single" w:color="000000" w:sz="4" w:space="0"/>
              <w:left w:val="single" w:color="000000" w:sz="4" w:space="0"/>
              <w:bottom w:val="single" w:color="000000" w:sz="4" w:space="0"/>
              <w:right w:val="single" w:color="000000" w:sz="4" w:space="0"/>
            </w:tcBorders>
            <w:vAlign w:val="center"/>
          </w:tcPr>
          <w:p>
            <w:pPr>
              <w:pStyle w:val="38"/>
              <w:keepNext w:val="0"/>
              <w:keepLines w:val="0"/>
              <w:suppressLineNumbers w:val="0"/>
              <w:spacing w:before="178" w:beforeAutospacing="0" w:after="0" w:afterAutospacing="0"/>
              <w:ind w:left="137" w:right="106"/>
              <w:jc w:val="center"/>
              <w:rPr>
                <w:rFonts w:hint="default" w:ascii="Times New Roman" w:hAnsi="Times New Roman" w:cs="Times New Roman"/>
                <w:sz w:val="21"/>
                <w:szCs w:val="21"/>
              </w:rPr>
            </w:pPr>
            <w:r>
              <w:rPr>
                <w:rFonts w:hint="default" w:ascii="Times New Roman" w:hAnsi="Times New Roman" w:cs="Times New Roman"/>
                <w:sz w:val="21"/>
                <w:szCs w:val="21"/>
              </w:rPr>
              <w:t>易燃液体</w:t>
            </w:r>
          </w:p>
        </w:tc>
        <w:tc>
          <w:tcPr>
            <w:tcW w:w="1196" w:type="dxa"/>
            <w:tcBorders>
              <w:top w:val="single" w:color="000000" w:sz="4" w:space="0"/>
              <w:left w:val="single" w:color="000000" w:sz="4" w:space="0"/>
              <w:bottom w:val="single" w:color="000000" w:sz="4" w:space="0"/>
              <w:right w:val="single" w:color="000000" w:sz="4" w:space="0"/>
            </w:tcBorders>
            <w:vAlign w:val="center"/>
          </w:tcPr>
          <w:p>
            <w:pPr>
              <w:pStyle w:val="38"/>
              <w:keepNext w:val="0"/>
              <w:keepLines w:val="0"/>
              <w:suppressLineNumbers w:val="0"/>
              <w:spacing w:before="190" w:beforeAutospacing="0" w:after="0" w:afterAutospacing="0"/>
              <w:ind w:left="54" w:right="23"/>
              <w:jc w:val="center"/>
              <w:rPr>
                <w:rFonts w:hint="default" w:ascii="Times New Roman" w:hAnsi="Times New Roman" w:cs="Times New Roman"/>
                <w:sz w:val="21"/>
                <w:szCs w:val="21"/>
              </w:rPr>
            </w:pPr>
            <w:r>
              <w:rPr>
                <w:rFonts w:hint="default" w:ascii="Times New Roman" w:hAnsi="Times New Roman" w:cs="Times New Roman"/>
                <w:sz w:val="21"/>
                <w:szCs w:val="21"/>
              </w:rPr>
              <w:t>5000</w:t>
            </w:r>
          </w:p>
        </w:tc>
        <w:tc>
          <w:tcPr>
            <w:tcW w:w="1745" w:type="dxa"/>
            <w:tcBorders>
              <w:top w:val="single" w:color="000000" w:sz="4" w:space="0"/>
              <w:left w:val="single" w:color="000000" w:sz="4" w:space="0"/>
              <w:bottom w:val="single" w:color="000000" w:sz="4" w:space="0"/>
              <w:right w:val="single" w:color="000000" w:sz="4" w:space="0"/>
            </w:tcBorders>
            <w:vAlign w:val="center"/>
          </w:tcPr>
          <w:p>
            <w:pPr>
              <w:pStyle w:val="38"/>
              <w:keepNext w:val="0"/>
              <w:keepLines w:val="0"/>
              <w:suppressLineNumbers w:val="0"/>
              <w:spacing w:before="190" w:beforeAutospacing="0" w:after="0" w:afterAutospacing="0"/>
              <w:ind w:left="268" w:right="233"/>
              <w:jc w:val="center"/>
              <w:rPr>
                <w:rFonts w:hint="default" w:ascii="Times New Roman" w:hAnsi="Times New Roman" w:cs="Times New Roman"/>
                <w:sz w:val="21"/>
                <w:szCs w:val="21"/>
              </w:rPr>
            </w:pPr>
            <w:r>
              <w:rPr>
                <w:rFonts w:hint="default" w:ascii="Times New Roman" w:hAnsi="Times New Roman" w:cs="Times New Roman"/>
                <w:sz w:val="21"/>
                <w:szCs w:val="21"/>
              </w:rPr>
              <w:t>1×</w:t>
            </w:r>
            <w:r>
              <w:rPr>
                <w:rFonts w:hint="eastAsia" w:ascii="Times New Roman" w:hAnsi="Times New Roman" w:cs="Times New Roman"/>
                <w:sz w:val="21"/>
                <w:szCs w:val="21"/>
                <w:lang w:val="en-US" w:eastAsia="zh-CN"/>
              </w:rPr>
              <w:t>30</w:t>
            </w:r>
            <w:r>
              <w:rPr>
                <w:rFonts w:hint="default" w:ascii="Times New Roman" w:hAnsi="Times New Roman" w:cs="Times New Roman"/>
                <w:sz w:val="21"/>
                <w:szCs w:val="21"/>
                <w:lang w:eastAsia="zh-CN"/>
              </w:rPr>
              <w:t>m³</w:t>
            </w:r>
          </w:p>
        </w:tc>
        <w:tc>
          <w:tcPr>
            <w:tcW w:w="1217" w:type="dxa"/>
            <w:tcBorders>
              <w:top w:val="single" w:color="000000" w:sz="4" w:space="0"/>
              <w:left w:val="single" w:color="000000" w:sz="4" w:space="0"/>
              <w:bottom w:val="single" w:color="000000" w:sz="4" w:space="0"/>
              <w:right w:val="single" w:color="000000" w:sz="4" w:space="0"/>
            </w:tcBorders>
            <w:vAlign w:val="center"/>
          </w:tcPr>
          <w:p>
            <w:pPr>
              <w:pStyle w:val="38"/>
              <w:keepNext w:val="0"/>
              <w:keepLines w:val="0"/>
              <w:suppressLineNumbers w:val="0"/>
              <w:spacing w:before="190" w:beforeAutospacing="0" w:after="0" w:afterAutospacing="0"/>
              <w:ind w:left="122" w:right="82"/>
              <w:jc w:val="center"/>
              <w:rPr>
                <w:rFonts w:hint="eastAsia" w:ascii="Times New Roman" w:hAnsi="Times New Roman" w:eastAsia="宋体" w:cs="Times New Roman"/>
                <w:sz w:val="21"/>
                <w:szCs w:val="21"/>
                <w:lang w:val="en-US" w:eastAsia="zh-CN"/>
              </w:rPr>
            </w:pPr>
            <w:r>
              <w:rPr>
                <w:rFonts w:hint="default" w:ascii="Times New Roman" w:hAnsi="Times New Roman" w:cs="Times New Roman"/>
                <w:sz w:val="21"/>
                <w:szCs w:val="21"/>
              </w:rPr>
              <w:t>0.8</w:t>
            </w:r>
            <w:r>
              <w:rPr>
                <w:rFonts w:hint="eastAsia" w:ascii="Times New Roman" w:hAnsi="Times New Roman" w:cs="Times New Roman"/>
                <w:sz w:val="21"/>
                <w:szCs w:val="21"/>
                <w:lang w:val="en-US" w:eastAsia="zh-CN"/>
              </w:rPr>
              <w:t>5</w:t>
            </w:r>
          </w:p>
        </w:tc>
        <w:tc>
          <w:tcPr>
            <w:tcW w:w="1391" w:type="dxa"/>
            <w:tcBorders>
              <w:top w:val="single" w:color="000000" w:sz="4" w:space="0"/>
              <w:left w:val="single" w:color="000000" w:sz="4" w:space="0"/>
              <w:bottom w:val="single" w:color="000000" w:sz="4" w:space="0"/>
              <w:right w:val="single" w:color="000000" w:sz="4" w:space="0"/>
            </w:tcBorders>
            <w:vAlign w:val="center"/>
          </w:tcPr>
          <w:p>
            <w:pPr>
              <w:pStyle w:val="38"/>
              <w:keepNext w:val="0"/>
              <w:keepLines w:val="0"/>
              <w:suppressLineNumbers w:val="0"/>
              <w:spacing w:before="190" w:beforeAutospacing="0" w:after="0" w:afterAutospacing="0"/>
              <w:ind w:left="412" w:right="372"/>
              <w:jc w:val="center"/>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25.5</w:t>
            </w:r>
          </w:p>
        </w:tc>
        <w:tc>
          <w:tcPr>
            <w:tcW w:w="1135" w:type="dxa"/>
            <w:tcBorders>
              <w:top w:val="single" w:color="000000" w:sz="4" w:space="0"/>
              <w:left w:val="single" w:color="000000" w:sz="4" w:space="0"/>
              <w:bottom w:val="single" w:color="000000" w:sz="4" w:space="0"/>
            </w:tcBorders>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sz w:val="21"/>
                <w:szCs w:val="21"/>
                <w:lang w:val="en-US" w:eastAsia="zh-CN" w:bidi="zh-CN"/>
              </w:rPr>
            </w:pPr>
            <w:r>
              <w:rPr>
                <w:rFonts w:hint="eastAsia" w:cs="宋体"/>
                <w:sz w:val="21"/>
                <w:szCs w:val="21"/>
                <w:lang w:val="en-US" w:eastAsia="zh-CN" w:bidi="zh-CN"/>
              </w:rPr>
              <w:t>0.0051</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52" w:hRule="atLeast"/>
        </w:trPr>
        <w:tc>
          <w:tcPr>
            <w:tcW w:w="1451" w:type="dxa"/>
            <w:tcBorders>
              <w:top w:val="single" w:color="000000" w:sz="4" w:space="0"/>
              <w:right w:val="single" w:color="000000" w:sz="4" w:space="0"/>
            </w:tcBorders>
            <w:vAlign w:val="center"/>
          </w:tcPr>
          <w:p>
            <w:pPr>
              <w:pStyle w:val="38"/>
              <w:keepNext w:val="0"/>
              <w:keepLines w:val="0"/>
              <w:suppressLineNumbers w:val="0"/>
              <w:spacing w:before="103" w:beforeAutospacing="0" w:after="0" w:afterAutospacing="0"/>
              <w:ind w:left="123" w:right="106"/>
              <w:jc w:val="center"/>
              <w:rPr>
                <w:rFonts w:hint="default" w:ascii="Times New Roman" w:hAnsi="Times New Roman" w:cs="Times New Roman"/>
                <w:sz w:val="21"/>
                <w:szCs w:val="21"/>
              </w:rPr>
            </w:pPr>
            <w:r>
              <w:rPr>
                <w:rFonts w:hint="default" w:ascii="Times New Roman" w:hAnsi="Times New Roman" w:cs="Times New Roman"/>
                <w:sz w:val="21"/>
                <w:szCs w:val="21"/>
              </w:rPr>
              <w:t>∑q / Q</w:t>
            </w:r>
          </w:p>
        </w:tc>
        <w:tc>
          <w:tcPr>
            <w:tcW w:w="7988" w:type="dxa"/>
            <w:gridSpan w:val="6"/>
            <w:tcBorders>
              <w:top w:val="single" w:color="000000" w:sz="4" w:space="0"/>
              <w:left w:val="single" w:color="000000" w:sz="4" w:space="0"/>
            </w:tcBorders>
            <w:vAlign w:val="center"/>
          </w:tcPr>
          <w:p>
            <w:pPr>
              <w:pStyle w:val="38"/>
              <w:keepNext w:val="0"/>
              <w:keepLines w:val="0"/>
              <w:suppressLineNumbers w:val="0"/>
              <w:spacing w:before="103" w:beforeAutospacing="0" w:after="0" w:afterAutospacing="0"/>
              <w:ind w:left="3613" w:right="3566"/>
              <w:jc w:val="center"/>
              <w:rPr>
                <w:rFonts w:hint="default" w:ascii="Times New Roman" w:hAnsi="Times New Roman" w:eastAsia="宋体" w:cs="Times New Roman"/>
                <w:sz w:val="21"/>
                <w:szCs w:val="21"/>
                <w:lang w:val="en-US" w:eastAsia="zh-CN"/>
              </w:rPr>
            </w:pPr>
            <w:r>
              <w:rPr>
                <w:rFonts w:hint="eastAsia"/>
                <w:sz w:val="21"/>
                <w:szCs w:val="21"/>
                <w:lang w:val="en-US" w:eastAsia="zh-CN"/>
              </w:rPr>
              <w:t>0.3426</w:t>
            </w:r>
          </w:p>
        </w:tc>
      </w:tr>
    </w:tbl>
    <w:p>
      <w:pPr>
        <w:pStyle w:val="11"/>
        <w:spacing w:line="500" w:lineRule="exact"/>
        <w:ind w:firstLine="439" w:firstLineChars="157"/>
        <w:rPr>
          <w:rFonts w:hint="default" w:ascii="Times New Roman" w:hAnsi="Times New Roman" w:cs="Times New Roman"/>
        </w:rPr>
      </w:pPr>
      <w:r>
        <w:rPr>
          <w:rFonts w:hint="default" w:ascii="Times New Roman" w:hAnsi="Times New Roman" w:cs="Times New Roman"/>
        </w:rPr>
        <w:t>根据</w:t>
      </w:r>
      <w:r>
        <w:rPr>
          <w:rFonts w:hint="eastAsia" w:ascii="Times New Roman" w:hAnsi="Times New Roman" w:cs="Times New Roman"/>
          <w:lang w:eastAsia="zh-CN"/>
        </w:rPr>
        <w:t>东城加油站</w:t>
      </w:r>
      <w:r>
        <w:rPr>
          <w:rFonts w:hint="default" w:ascii="Times New Roman" w:hAnsi="Times New Roman" w:cs="Times New Roman"/>
        </w:rPr>
        <w:t>储存的危险化学品最大数量计算可知，∑q/Q=</w:t>
      </w:r>
      <w:r>
        <w:rPr>
          <w:rFonts w:hint="eastAsia" w:ascii="Times New Roman" w:hAnsi="Times New Roman" w:eastAsia="宋体" w:cs="Times New Roman"/>
          <w:lang w:val="en-US" w:eastAsia="zh-CN"/>
        </w:rPr>
        <w:t>0.</w:t>
      </w:r>
      <w:r>
        <w:rPr>
          <w:rFonts w:hint="eastAsia" w:ascii="Times New Roman" w:hAnsi="Times New Roman" w:cs="Times New Roman"/>
          <w:lang w:val="en-US" w:eastAsia="zh-CN"/>
        </w:rPr>
        <w:t>3426</w:t>
      </w:r>
      <w:r>
        <w:rPr>
          <w:rFonts w:hint="default" w:ascii="Times New Roman" w:hAnsi="Times New Roman" w:cs="Times New Roman"/>
        </w:rPr>
        <w:t>＜1， 因此，按照《危险化学品重大危险源辨识》（GB18218-2018）辨识，该加油站危险化学品储存量未构成危险化学品重大危险源。</w:t>
      </w:r>
    </w:p>
    <w:p>
      <w:pPr>
        <w:pStyle w:val="4"/>
        <w:pageBreakBefore w:val="0"/>
        <w:widowControl w:val="0"/>
        <w:tabs>
          <w:tab w:val="left" w:pos="2694"/>
        </w:tabs>
        <w:kinsoku/>
        <w:wordWrap/>
        <w:overflowPunct/>
        <w:topLinePunct w:val="0"/>
        <w:autoSpaceDE w:val="0"/>
        <w:autoSpaceDN w:val="0"/>
        <w:bidi w:val="0"/>
        <w:adjustRightInd/>
        <w:snapToGrid/>
        <w:spacing w:before="233" w:afterLines="100" w:line="500" w:lineRule="exact"/>
        <w:ind w:left="0" w:leftChars="0" w:right="0" w:rightChars="0"/>
        <w:jc w:val="center"/>
        <w:textAlignment w:val="auto"/>
        <w:rPr>
          <w:rFonts w:hint="default" w:ascii="Times New Roman" w:hAnsi="Times New Roman" w:eastAsia="宋体" w:cs="Times New Roman"/>
          <w:b/>
          <w:bCs/>
          <w:lang w:val="en-US"/>
        </w:rPr>
      </w:pPr>
      <w:bookmarkStart w:id="1388" w:name="_Toc7580"/>
      <w:bookmarkStart w:id="1389" w:name="_Toc29354"/>
      <w:bookmarkStart w:id="1390" w:name="_Toc27782"/>
      <w:bookmarkStart w:id="1391" w:name="_Toc24132"/>
      <w:bookmarkStart w:id="1392" w:name="_Toc15168"/>
      <w:bookmarkStart w:id="1393" w:name="_Toc16486"/>
      <w:bookmarkStart w:id="1394" w:name="_Toc2662"/>
      <w:bookmarkStart w:id="1395" w:name="_Toc13116"/>
      <w:bookmarkStart w:id="1396" w:name="_Toc15637"/>
      <w:bookmarkStart w:id="1397" w:name="_Toc3915"/>
      <w:bookmarkStart w:id="1398" w:name="_Toc4248_WPSOffice_Level2"/>
      <w:bookmarkStart w:id="1399" w:name="_Toc7943"/>
      <w:bookmarkStart w:id="1400" w:name="_Toc4346"/>
      <w:bookmarkStart w:id="1401" w:name="_Toc2820"/>
      <w:bookmarkStart w:id="1402" w:name="_Toc32274_WPSOffice_Level2"/>
      <w:bookmarkStart w:id="1403" w:name="_Toc31985_WPSOffice_Level2"/>
      <w:bookmarkStart w:id="1404" w:name="_Toc30408"/>
      <w:bookmarkStart w:id="1405" w:name="_Toc18390"/>
      <w:bookmarkStart w:id="1406" w:name="_Toc3712"/>
      <w:bookmarkStart w:id="1407" w:name="_Toc28716"/>
      <w:bookmarkStart w:id="1408" w:name="_Toc19708"/>
      <w:bookmarkStart w:id="1409" w:name="_Toc30218"/>
      <w:r>
        <w:rPr>
          <w:rFonts w:hint="default" w:ascii="Times New Roman" w:hAnsi="Times New Roman" w:eastAsia="宋体" w:cs="Times New Roman"/>
          <w:b/>
          <w:bCs/>
          <w:lang w:val="en-US"/>
        </w:rPr>
        <w:t>3.6 固有危险程度分析过程</w:t>
      </w:r>
      <w:bookmarkEnd w:id="1388"/>
      <w:bookmarkEnd w:id="1389"/>
      <w:bookmarkEnd w:id="1390"/>
      <w:bookmarkEnd w:id="1391"/>
      <w:bookmarkEnd w:id="1392"/>
      <w:bookmarkEnd w:id="1393"/>
      <w:bookmarkEnd w:id="1394"/>
      <w:bookmarkEnd w:id="1395"/>
      <w:bookmarkEnd w:id="1396"/>
      <w:bookmarkEnd w:id="1397"/>
      <w:bookmarkEnd w:id="1398"/>
      <w:bookmarkEnd w:id="1399"/>
      <w:bookmarkEnd w:id="1400"/>
      <w:bookmarkEnd w:id="1401"/>
      <w:bookmarkEnd w:id="1402"/>
      <w:bookmarkEnd w:id="1403"/>
      <w:bookmarkEnd w:id="1404"/>
      <w:bookmarkEnd w:id="1405"/>
      <w:bookmarkEnd w:id="1406"/>
      <w:bookmarkEnd w:id="1407"/>
      <w:bookmarkEnd w:id="1408"/>
      <w:bookmarkEnd w:id="1409"/>
    </w:p>
    <w:p>
      <w:pPr>
        <w:pStyle w:val="11"/>
        <w:pageBreakBefore w:val="0"/>
        <w:widowControl w:val="0"/>
        <w:kinsoku/>
        <w:wordWrap/>
        <w:overflowPunct/>
        <w:topLinePunct w:val="0"/>
        <w:autoSpaceDE w:val="0"/>
        <w:autoSpaceDN w:val="0"/>
        <w:bidi w:val="0"/>
        <w:adjustRightInd/>
        <w:snapToGrid/>
        <w:spacing w:after="0" w:line="500" w:lineRule="exact"/>
        <w:ind w:left="0" w:leftChars="0" w:right="0" w:rightChars="0" w:firstLine="561"/>
        <w:textAlignment w:val="auto"/>
        <w:rPr>
          <w:rFonts w:hint="default" w:ascii="Times New Roman" w:hAnsi="Times New Roman" w:cs="Times New Roman"/>
          <w:sz w:val="28"/>
          <w:szCs w:val="28"/>
        </w:rPr>
      </w:pPr>
      <w:r>
        <w:rPr>
          <w:rFonts w:hint="eastAsia" w:ascii="Times New Roman" w:hAnsi="Times New Roman" w:cs="Times New Roman"/>
          <w:sz w:val="28"/>
          <w:szCs w:val="28"/>
          <w:lang w:val="en-US" w:eastAsia="zh-CN"/>
        </w:rPr>
        <w:t>中国石化销售股份有限公司广东东莞石碣唐洪东城加油站</w:t>
      </w:r>
      <w:r>
        <w:rPr>
          <w:rFonts w:hint="default" w:ascii="Times New Roman" w:hAnsi="Times New Roman" w:cs="Times New Roman"/>
          <w:sz w:val="28"/>
          <w:szCs w:val="28"/>
          <w:lang w:val="en-US" w:eastAsia="zh-CN"/>
        </w:rPr>
        <w:t>新增自动洗车机后经营的油品种类没有改变，仍为包括汽油和柴油，其经营流程：油品通过槽车运输到加油站，经密闭卸油口、输油管道卸入相应的埋地油罐储存，埋地油罐通过相应的通气管管口调节罐内压力以保持常压。加油工艺采用潜油泵方式进行加油，油品通过潜油泵、埋地发油管道至加油机，再通过自封式加油枪零售给过往的车辆。</w:t>
      </w:r>
    </w:p>
    <w:p>
      <w:pPr>
        <w:pStyle w:val="5"/>
        <w:pageBreakBefore w:val="0"/>
        <w:widowControl w:val="0"/>
        <w:kinsoku/>
        <w:wordWrap/>
        <w:overflowPunct/>
        <w:topLinePunct w:val="0"/>
        <w:autoSpaceDE w:val="0"/>
        <w:autoSpaceDN w:val="0"/>
        <w:bidi w:val="0"/>
        <w:adjustRightInd/>
        <w:snapToGrid/>
        <w:spacing w:beforeLines="100" w:afterLines="100" w:line="500" w:lineRule="exact"/>
        <w:ind w:left="0" w:leftChars="0" w:right="0" w:rightChars="0" w:firstLine="562" w:firstLineChars="200"/>
        <w:textAlignment w:val="auto"/>
        <w:rPr>
          <w:rFonts w:hint="default" w:ascii="Times New Roman" w:hAnsi="Times New Roman" w:cs="Times New Roman"/>
          <w:sz w:val="28"/>
          <w:szCs w:val="28"/>
          <w:lang w:val="en-US"/>
        </w:rPr>
      </w:pPr>
      <w:r>
        <w:rPr>
          <w:rFonts w:hint="default" w:ascii="Times New Roman" w:hAnsi="Times New Roman" w:cs="Times New Roman"/>
          <w:sz w:val="28"/>
          <w:szCs w:val="28"/>
          <w:lang w:val="en-US"/>
        </w:rPr>
        <w:t>3.</w:t>
      </w:r>
      <w:r>
        <w:rPr>
          <w:rFonts w:hint="default" w:ascii="Times New Roman" w:hAnsi="Times New Roman" w:cs="Times New Roman"/>
          <w:sz w:val="28"/>
          <w:szCs w:val="28"/>
          <w:lang w:val="en-US" w:eastAsia="zh-CN"/>
        </w:rPr>
        <w:t>6</w:t>
      </w:r>
      <w:r>
        <w:rPr>
          <w:rFonts w:hint="default" w:ascii="Times New Roman" w:hAnsi="Times New Roman" w:cs="Times New Roman"/>
          <w:sz w:val="28"/>
          <w:szCs w:val="28"/>
          <w:lang w:val="en-US"/>
        </w:rPr>
        <w:t>.1 危险化学品质量及梯恩梯的摩尔量</w:t>
      </w:r>
    </w:p>
    <w:p>
      <w:pPr>
        <w:pStyle w:val="11"/>
        <w:pageBreakBefore w:val="0"/>
        <w:widowControl w:val="0"/>
        <w:kinsoku/>
        <w:wordWrap/>
        <w:overflowPunct/>
        <w:topLinePunct w:val="0"/>
        <w:autoSpaceDE w:val="0"/>
        <w:autoSpaceDN w:val="0"/>
        <w:bidi w:val="0"/>
        <w:adjustRightInd/>
        <w:snapToGrid/>
        <w:spacing w:after="0" w:line="500" w:lineRule="exact"/>
        <w:ind w:left="0" w:leftChars="0" w:right="0" w:rightChars="0" w:firstLine="561"/>
        <w:textAlignment w:val="auto"/>
        <w:rPr>
          <w:rFonts w:hint="default" w:ascii="Times New Roman" w:hAnsi="Times New Roman" w:cs="Times New Roman"/>
          <w:sz w:val="28"/>
          <w:szCs w:val="28"/>
        </w:rPr>
      </w:pPr>
      <w:r>
        <w:rPr>
          <w:rFonts w:hint="default" w:ascii="Times New Roman" w:hAnsi="Times New Roman" w:cs="Times New Roman"/>
          <w:sz w:val="28"/>
          <w:szCs w:val="28"/>
        </w:rPr>
        <w:t>该油站增加自动洗车机后主要具有爆炸性的化学品有：汽油、柴油，其储量及相对于梯恩梯（TNT）的量计算如下：</w:t>
      </w:r>
    </w:p>
    <w:p>
      <w:pPr>
        <w:pageBreakBefore w:val="0"/>
        <w:widowControl w:val="0"/>
        <w:kinsoku/>
        <w:wordWrap/>
        <w:overflowPunct/>
        <w:topLinePunct w:val="0"/>
        <w:autoSpaceDE w:val="0"/>
        <w:autoSpaceDN w:val="0"/>
        <w:bidi w:val="0"/>
        <w:adjustRightInd/>
        <w:snapToGrid/>
        <w:spacing w:line="500" w:lineRule="exact"/>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TNT当量计算公式：WTNT=1.8aWfQf/Qtnt</w:t>
      </w:r>
    </w:p>
    <w:p>
      <w:pPr>
        <w:pageBreakBefore w:val="0"/>
        <w:widowControl w:val="0"/>
        <w:kinsoku/>
        <w:wordWrap/>
        <w:overflowPunct/>
        <w:topLinePunct w:val="0"/>
        <w:autoSpaceDE w:val="0"/>
        <w:autoSpaceDN w:val="0"/>
        <w:bidi w:val="0"/>
        <w:adjustRightInd/>
        <w:snapToGrid/>
        <w:spacing w:line="500" w:lineRule="exact"/>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燃烧放出的热量Q计算公式：Q=QfWf</w:t>
      </w:r>
    </w:p>
    <w:p>
      <w:pPr>
        <w:pageBreakBefore w:val="0"/>
        <w:widowControl w:val="0"/>
        <w:kinsoku/>
        <w:wordWrap/>
        <w:overflowPunct/>
        <w:topLinePunct w:val="0"/>
        <w:autoSpaceDE w:val="0"/>
        <w:autoSpaceDN w:val="0"/>
        <w:bidi w:val="0"/>
        <w:adjustRightInd/>
        <w:snapToGrid/>
        <w:spacing w:line="500" w:lineRule="exact"/>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式中：1.8是地面爆炸系数；</w:t>
      </w:r>
    </w:p>
    <w:p>
      <w:pPr>
        <w:pageBreakBefore w:val="0"/>
        <w:widowControl w:val="0"/>
        <w:kinsoku/>
        <w:wordWrap/>
        <w:overflowPunct/>
        <w:topLinePunct w:val="0"/>
        <w:autoSpaceDE w:val="0"/>
        <w:autoSpaceDN w:val="0"/>
        <w:bidi w:val="0"/>
        <w:adjustRightInd/>
        <w:snapToGrid/>
        <w:spacing w:line="500" w:lineRule="exact"/>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a：蒸气云TNT当量系数，通常取值4%；</w:t>
      </w:r>
    </w:p>
    <w:p>
      <w:pPr>
        <w:pageBreakBefore w:val="0"/>
        <w:widowControl w:val="0"/>
        <w:kinsoku/>
        <w:wordWrap/>
        <w:overflowPunct/>
        <w:topLinePunct w:val="0"/>
        <w:autoSpaceDE w:val="0"/>
        <w:autoSpaceDN w:val="0"/>
        <w:bidi w:val="0"/>
        <w:adjustRightInd/>
        <w:snapToGrid/>
        <w:spacing w:line="500" w:lineRule="exact"/>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Wf：蒸气云爆炸中可燃物质质量；</w:t>
      </w:r>
    </w:p>
    <w:p>
      <w:pPr>
        <w:pageBreakBefore w:val="0"/>
        <w:widowControl w:val="0"/>
        <w:kinsoku/>
        <w:wordWrap/>
        <w:overflowPunct/>
        <w:topLinePunct w:val="0"/>
        <w:autoSpaceDE w:val="0"/>
        <w:autoSpaceDN w:val="0"/>
        <w:bidi w:val="0"/>
        <w:adjustRightInd/>
        <w:snapToGrid/>
        <w:spacing w:line="500" w:lineRule="exact"/>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Qf：可燃物质燃烧热kJ/㎏；</w:t>
      </w:r>
    </w:p>
    <w:p>
      <w:pPr>
        <w:pStyle w:val="11"/>
        <w:pageBreakBefore w:val="0"/>
        <w:widowControl w:val="0"/>
        <w:kinsoku/>
        <w:wordWrap/>
        <w:overflowPunct/>
        <w:topLinePunct w:val="0"/>
        <w:autoSpaceDE w:val="0"/>
        <w:autoSpaceDN w:val="0"/>
        <w:bidi w:val="0"/>
        <w:adjustRightInd/>
        <w:snapToGrid/>
        <w:spacing w:after="0" w:line="500" w:lineRule="exact"/>
        <w:ind w:left="0" w:leftChars="0" w:right="0" w:rightChars="0" w:firstLine="561"/>
        <w:textAlignment w:val="auto"/>
        <w:rPr>
          <w:rFonts w:hint="default" w:ascii="Times New Roman" w:hAnsi="Times New Roman" w:cs="Times New Roman"/>
          <w:sz w:val="28"/>
          <w:szCs w:val="28"/>
        </w:rPr>
      </w:pPr>
      <w:r>
        <w:rPr>
          <w:rFonts w:hint="default" w:ascii="Times New Roman" w:hAnsi="Times New Roman" w:cs="Times New Roman"/>
          <w:sz w:val="28"/>
          <w:szCs w:val="28"/>
        </w:rPr>
        <w:t>Qtnt：TNT爆炸热，4500kJ/㎏。</w:t>
      </w:r>
    </w:p>
    <w:p>
      <w:pPr>
        <w:pStyle w:val="11"/>
        <w:pageBreakBefore w:val="0"/>
        <w:widowControl w:val="0"/>
        <w:kinsoku/>
        <w:wordWrap/>
        <w:overflowPunct/>
        <w:topLinePunct w:val="0"/>
        <w:autoSpaceDE w:val="0"/>
        <w:autoSpaceDN w:val="0"/>
        <w:bidi w:val="0"/>
        <w:adjustRightInd/>
        <w:snapToGrid/>
        <w:spacing w:after="0" w:line="500" w:lineRule="exact"/>
        <w:ind w:left="0" w:leftChars="0" w:right="0" w:rightChars="0" w:firstLine="561"/>
        <w:textAlignment w:val="auto"/>
        <w:rPr>
          <w:rFonts w:hint="default" w:ascii="Times New Roman" w:hAnsi="Times New Roman" w:cs="Times New Roman"/>
          <w:sz w:val="28"/>
          <w:szCs w:val="28"/>
        </w:rPr>
      </w:pPr>
      <w:r>
        <w:rPr>
          <w:rFonts w:hint="default" w:ascii="Times New Roman" w:hAnsi="Times New Roman" w:cs="Times New Roman"/>
          <w:sz w:val="28"/>
          <w:szCs w:val="28"/>
        </w:rPr>
        <w:t>计算结果见下表：</w:t>
      </w:r>
    </w:p>
    <w:p>
      <w:pPr>
        <w:pStyle w:val="11"/>
        <w:spacing w:after="0" w:line="500" w:lineRule="exact"/>
        <w:jc w:val="center"/>
        <w:rPr>
          <w:rFonts w:hint="default" w:ascii="Times New Roman" w:hAnsi="Times New Roman" w:cs="Times New Roman"/>
          <w:b/>
          <w:bCs/>
          <w:sz w:val="24"/>
        </w:rPr>
      </w:pPr>
      <w:r>
        <w:rPr>
          <w:rFonts w:hint="default" w:ascii="Times New Roman" w:hAnsi="Times New Roman" w:cs="Times New Roman"/>
          <w:b/>
          <w:bCs/>
          <w:sz w:val="24"/>
        </w:rPr>
        <w:t>附表3.2.1 具有爆炸性的化学品的质量及梯恩梯（TNT）的摩尔量一览表</w:t>
      </w:r>
    </w:p>
    <w:tbl>
      <w:tblPr>
        <w:tblStyle w:val="29"/>
        <w:tblW w:w="90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4"/>
        <w:gridCol w:w="1620"/>
        <w:gridCol w:w="1253"/>
        <w:gridCol w:w="1110"/>
        <w:gridCol w:w="1155"/>
        <w:gridCol w:w="795"/>
        <w:gridCol w:w="1005"/>
        <w:gridCol w:w="14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664"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序号</w:t>
            </w:r>
          </w:p>
        </w:tc>
        <w:tc>
          <w:tcPr>
            <w:tcW w:w="1620"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储存物质</w:t>
            </w:r>
          </w:p>
        </w:tc>
        <w:tc>
          <w:tcPr>
            <w:tcW w:w="1253"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火灾危险性分类</w:t>
            </w:r>
          </w:p>
        </w:tc>
        <w:tc>
          <w:tcPr>
            <w:tcW w:w="1110"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Wf(kg)</w:t>
            </w:r>
          </w:p>
        </w:tc>
        <w:tc>
          <w:tcPr>
            <w:tcW w:w="1155"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Qf(kJ/㎏)</w:t>
            </w:r>
          </w:p>
        </w:tc>
        <w:tc>
          <w:tcPr>
            <w:tcW w:w="795"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a</w:t>
            </w:r>
          </w:p>
        </w:tc>
        <w:tc>
          <w:tcPr>
            <w:tcW w:w="1005"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Qtnt(kJ/㎏)</w:t>
            </w:r>
          </w:p>
        </w:tc>
        <w:tc>
          <w:tcPr>
            <w:tcW w:w="1470"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WTNT=1.8aWfQf/Qtnt（</w:t>
            </w:r>
            <w:r>
              <w:rPr>
                <w:rFonts w:hint="eastAsia" w:ascii="Times New Roman" w:hAnsi="Times New Roman" w:cs="Times New Roman"/>
                <w:sz w:val="21"/>
                <w:szCs w:val="21"/>
                <w:lang w:val="en-US" w:eastAsia="zh-CN"/>
              </w:rPr>
              <w:t>t</w:t>
            </w:r>
            <w:r>
              <w:rPr>
                <w:rFonts w:hint="default" w:ascii="Times New Roman" w:hAnsi="Times New Roman" w:cs="Times New Roman"/>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664"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1</w:t>
            </w:r>
          </w:p>
        </w:tc>
        <w:tc>
          <w:tcPr>
            <w:tcW w:w="1620"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汽油</w:t>
            </w:r>
          </w:p>
        </w:tc>
        <w:tc>
          <w:tcPr>
            <w:tcW w:w="1253"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甲类</w:t>
            </w:r>
          </w:p>
        </w:tc>
        <w:tc>
          <w:tcPr>
            <w:tcW w:w="1110"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67500</w:t>
            </w:r>
          </w:p>
        </w:tc>
        <w:tc>
          <w:tcPr>
            <w:tcW w:w="1155"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43690</w:t>
            </w:r>
          </w:p>
        </w:tc>
        <w:tc>
          <w:tcPr>
            <w:tcW w:w="795"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0.04</w:t>
            </w:r>
          </w:p>
        </w:tc>
        <w:tc>
          <w:tcPr>
            <w:tcW w:w="1005"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4500</w:t>
            </w:r>
          </w:p>
        </w:tc>
        <w:tc>
          <w:tcPr>
            <w:tcW w:w="1470"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highlight w:val="none"/>
                <w:lang w:val="en-US" w:eastAsia="zh-CN"/>
              </w:rPr>
            </w:pPr>
            <w:r>
              <w:rPr>
                <w:rFonts w:hint="eastAsia" w:ascii="Times New Roman" w:hAnsi="Times New Roman" w:cs="Times New Roman"/>
                <w:sz w:val="21"/>
                <w:szCs w:val="21"/>
                <w:highlight w:val="none"/>
                <w:lang w:val="en-US" w:eastAsia="zh-CN"/>
              </w:rPr>
              <w:t>47.2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664"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2</w:t>
            </w:r>
          </w:p>
        </w:tc>
        <w:tc>
          <w:tcPr>
            <w:tcW w:w="1620"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柴油</w:t>
            </w:r>
          </w:p>
        </w:tc>
        <w:tc>
          <w:tcPr>
            <w:tcW w:w="1253"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乙B类</w:t>
            </w:r>
          </w:p>
        </w:tc>
        <w:tc>
          <w:tcPr>
            <w:tcW w:w="1110"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25500</w:t>
            </w:r>
          </w:p>
        </w:tc>
        <w:tc>
          <w:tcPr>
            <w:tcW w:w="1155"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43460</w:t>
            </w:r>
          </w:p>
        </w:tc>
        <w:tc>
          <w:tcPr>
            <w:tcW w:w="795"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0.04</w:t>
            </w:r>
          </w:p>
        </w:tc>
        <w:tc>
          <w:tcPr>
            <w:tcW w:w="1005"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4500</w:t>
            </w:r>
          </w:p>
        </w:tc>
        <w:tc>
          <w:tcPr>
            <w:tcW w:w="1470"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highlight w:val="none"/>
                <w:lang w:val="en-US" w:eastAsia="zh-CN"/>
              </w:rPr>
            </w:pPr>
            <w:r>
              <w:rPr>
                <w:rFonts w:hint="eastAsia" w:ascii="Times New Roman" w:hAnsi="Times New Roman" w:cs="Times New Roman"/>
                <w:sz w:val="21"/>
                <w:szCs w:val="21"/>
                <w:highlight w:val="none"/>
                <w:lang w:val="en-US" w:eastAsia="zh-CN"/>
              </w:rPr>
              <w:t>17.76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7602" w:type="dxa"/>
            <w:gridSpan w:val="7"/>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合计</w:t>
            </w:r>
          </w:p>
        </w:tc>
        <w:tc>
          <w:tcPr>
            <w:tcW w:w="1470"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highlight w:val="none"/>
                <w:lang w:val="en-US" w:eastAsia="zh-CN"/>
              </w:rPr>
            </w:pPr>
            <w:r>
              <w:rPr>
                <w:rFonts w:hint="eastAsia" w:ascii="Times New Roman" w:hAnsi="Times New Roman" w:cs="Times New Roman"/>
                <w:sz w:val="21"/>
                <w:szCs w:val="21"/>
                <w:highlight w:val="none"/>
                <w:lang w:val="en-US" w:eastAsia="zh-CN"/>
              </w:rPr>
              <w:t>64.96</w:t>
            </w:r>
          </w:p>
        </w:tc>
      </w:tr>
    </w:tbl>
    <w:p>
      <w:pPr>
        <w:pStyle w:val="5"/>
        <w:pageBreakBefore w:val="0"/>
        <w:widowControl w:val="0"/>
        <w:kinsoku/>
        <w:wordWrap/>
        <w:overflowPunct/>
        <w:topLinePunct w:val="0"/>
        <w:autoSpaceDE w:val="0"/>
        <w:autoSpaceDN w:val="0"/>
        <w:bidi w:val="0"/>
        <w:adjustRightInd/>
        <w:snapToGrid/>
        <w:spacing w:beforeLines="100" w:afterLines="100" w:line="500" w:lineRule="exact"/>
        <w:ind w:left="0" w:leftChars="0" w:right="0" w:rightChars="0" w:firstLine="562" w:firstLineChars="200"/>
        <w:jc w:val="left"/>
        <w:textAlignment w:val="auto"/>
        <w:rPr>
          <w:rFonts w:hint="default" w:ascii="Times New Roman" w:hAnsi="Times New Roman" w:cs="Times New Roman"/>
          <w:sz w:val="28"/>
          <w:szCs w:val="28"/>
          <w:lang w:val="en-US"/>
        </w:rPr>
      </w:pPr>
      <w:r>
        <w:rPr>
          <w:rFonts w:hint="default" w:ascii="Times New Roman" w:hAnsi="Times New Roman" w:cs="Times New Roman"/>
          <w:sz w:val="28"/>
          <w:szCs w:val="28"/>
          <w:lang w:val="en-US"/>
        </w:rPr>
        <w:t>3.</w:t>
      </w:r>
      <w:r>
        <w:rPr>
          <w:rFonts w:hint="default" w:ascii="Times New Roman" w:hAnsi="Times New Roman" w:cs="Times New Roman"/>
          <w:sz w:val="28"/>
          <w:szCs w:val="28"/>
          <w:lang w:val="en-US" w:eastAsia="zh-CN"/>
        </w:rPr>
        <w:t>6</w:t>
      </w:r>
      <w:r>
        <w:rPr>
          <w:rFonts w:hint="default" w:ascii="Times New Roman" w:hAnsi="Times New Roman" w:cs="Times New Roman"/>
          <w:sz w:val="28"/>
          <w:szCs w:val="28"/>
          <w:lang w:val="en-US"/>
        </w:rPr>
        <w:t>.</w:t>
      </w:r>
      <w:r>
        <w:rPr>
          <w:rFonts w:hint="default" w:ascii="Times New Roman" w:hAnsi="Times New Roman" w:cs="Times New Roman"/>
          <w:sz w:val="28"/>
          <w:szCs w:val="28"/>
          <w:lang w:val="en-US" w:eastAsia="zh-CN"/>
        </w:rPr>
        <w:t>2</w:t>
      </w:r>
      <w:r>
        <w:rPr>
          <w:rFonts w:hint="default" w:ascii="Times New Roman" w:hAnsi="Times New Roman" w:cs="Times New Roman"/>
          <w:sz w:val="28"/>
          <w:szCs w:val="28"/>
          <w:lang w:val="en-US"/>
        </w:rPr>
        <w:t xml:space="preserve"> 危险化学品质量及燃烧后放出的热量</w:t>
      </w:r>
    </w:p>
    <w:p>
      <w:pPr>
        <w:pStyle w:val="11"/>
        <w:keepNext w:val="0"/>
        <w:keepLines w:val="0"/>
        <w:pageBreakBefore w:val="0"/>
        <w:widowControl w:val="0"/>
        <w:kinsoku/>
        <w:wordWrap/>
        <w:overflowPunct/>
        <w:topLinePunct w:val="0"/>
        <w:autoSpaceDE w:val="0"/>
        <w:autoSpaceDN w:val="0"/>
        <w:bidi w:val="0"/>
        <w:adjustRightInd/>
        <w:snapToGrid/>
        <w:spacing w:line="500" w:lineRule="exact"/>
        <w:ind w:left="0" w:leftChars="0" w:right="0" w:rightChars="0" w:firstLine="561" w:firstLineChars="0"/>
        <w:jc w:val="left"/>
        <w:textAlignment w:val="auto"/>
        <w:outlineLvl w:val="9"/>
        <w:rPr>
          <w:rFonts w:hint="default" w:ascii="Times New Roman" w:hAnsi="Times New Roman" w:cs="Times New Roman"/>
          <w:sz w:val="28"/>
          <w:szCs w:val="28"/>
        </w:rPr>
      </w:pPr>
      <w:r>
        <w:rPr>
          <w:rFonts w:hint="default" w:ascii="Times New Roman" w:hAnsi="Times New Roman" w:cs="Times New Roman"/>
          <w:sz w:val="28"/>
          <w:szCs w:val="28"/>
        </w:rPr>
        <w:t>该油站的固有危险来源于油品的危险特性。汽油、柴油属于易燃液体，具有易燃、易爆等危险特性。该油站设4个埋地油罐，其中1</w:t>
      </w:r>
      <w:r>
        <w:rPr>
          <w:rFonts w:hint="eastAsia" w:ascii="Times New Roman" w:hAnsi="Times New Roman" w:cs="Times New Roman"/>
          <w:sz w:val="28"/>
          <w:szCs w:val="28"/>
          <w:lang w:eastAsia="zh-CN"/>
        </w:rPr>
        <w:t>个</w:t>
      </w:r>
      <w:r>
        <w:rPr>
          <w:rFonts w:hint="eastAsia" w:ascii="Times New Roman" w:hAnsi="Times New Roman" w:cs="Times New Roman"/>
          <w:sz w:val="28"/>
          <w:szCs w:val="28"/>
          <w:lang w:val="en-US" w:eastAsia="zh-CN"/>
        </w:rPr>
        <w:t>3</w:t>
      </w:r>
      <w:r>
        <w:rPr>
          <w:rFonts w:hint="default" w:ascii="Times New Roman" w:hAnsi="Times New Roman" w:cs="Times New Roman"/>
          <w:sz w:val="28"/>
          <w:szCs w:val="28"/>
        </w:rPr>
        <w:t>0m³92#汽油油罐，1</w:t>
      </w:r>
      <w:r>
        <w:rPr>
          <w:rFonts w:hint="eastAsia" w:ascii="Times New Roman" w:hAnsi="Times New Roman" w:cs="Times New Roman"/>
          <w:sz w:val="28"/>
          <w:szCs w:val="28"/>
          <w:lang w:eastAsia="zh-CN"/>
        </w:rPr>
        <w:t>个</w:t>
      </w:r>
      <w:r>
        <w:rPr>
          <w:rFonts w:hint="eastAsia" w:ascii="Times New Roman" w:hAnsi="Times New Roman" w:cs="Times New Roman"/>
          <w:sz w:val="28"/>
          <w:szCs w:val="28"/>
          <w:lang w:val="en-US" w:eastAsia="zh-CN"/>
        </w:rPr>
        <w:t>3</w:t>
      </w:r>
      <w:r>
        <w:rPr>
          <w:rFonts w:hint="default" w:ascii="Times New Roman" w:hAnsi="Times New Roman" w:cs="Times New Roman"/>
          <w:sz w:val="28"/>
          <w:szCs w:val="28"/>
        </w:rPr>
        <w:t>0m³95#汽油油罐，1</w:t>
      </w:r>
      <w:r>
        <w:rPr>
          <w:rFonts w:hint="eastAsia" w:ascii="Times New Roman" w:hAnsi="Times New Roman" w:cs="Times New Roman"/>
          <w:sz w:val="28"/>
          <w:szCs w:val="28"/>
          <w:lang w:eastAsia="zh-CN"/>
        </w:rPr>
        <w:t>个</w:t>
      </w:r>
      <w:r>
        <w:rPr>
          <w:rFonts w:hint="eastAsia" w:ascii="Times New Roman" w:hAnsi="Times New Roman" w:cs="Times New Roman"/>
          <w:sz w:val="28"/>
          <w:szCs w:val="28"/>
          <w:lang w:val="en-US" w:eastAsia="zh-CN"/>
        </w:rPr>
        <w:t>3</w:t>
      </w:r>
      <w:r>
        <w:rPr>
          <w:rFonts w:hint="default" w:ascii="Times New Roman" w:hAnsi="Times New Roman" w:cs="Times New Roman"/>
          <w:sz w:val="28"/>
          <w:szCs w:val="28"/>
        </w:rPr>
        <w:t>0m³98#汽油油罐，1</w:t>
      </w:r>
      <w:r>
        <w:rPr>
          <w:rFonts w:hint="eastAsia" w:ascii="Times New Roman" w:hAnsi="Times New Roman" w:cs="Times New Roman"/>
          <w:sz w:val="28"/>
          <w:szCs w:val="28"/>
          <w:lang w:eastAsia="zh-CN"/>
        </w:rPr>
        <w:t>个</w:t>
      </w:r>
      <w:r>
        <w:rPr>
          <w:rFonts w:hint="eastAsia" w:ascii="Times New Roman" w:hAnsi="Times New Roman" w:cs="Times New Roman"/>
          <w:sz w:val="28"/>
          <w:szCs w:val="28"/>
          <w:lang w:val="en-US" w:eastAsia="zh-CN"/>
        </w:rPr>
        <w:t>3</w:t>
      </w:r>
      <w:r>
        <w:rPr>
          <w:rFonts w:hint="default" w:ascii="Times New Roman" w:hAnsi="Times New Roman" w:cs="Times New Roman"/>
          <w:sz w:val="28"/>
          <w:szCs w:val="28"/>
        </w:rPr>
        <w:t>0m³0#柴油油罐。</w:t>
      </w:r>
    </w:p>
    <w:p>
      <w:pPr>
        <w:pStyle w:val="11"/>
        <w:keepNext w:val="0"/>
        <w:keepLines w:val="0"/>
        <w:pageBreakBefore w:val="0"/>
        <w:widowControl w:val="0"/>
        <w:kinsoku/>
        <w:wordWrap/>
        <w:overflowPunct/>
        <w:topLinePunct w:val="0"/>
        <w:autoSpaceDE w:val="0"/>
        <w:autoSpaceDN w:val="0"/>
        <w:bidi w:val="0"/>
        <w:adjustRightInd/>
        <w:snapToGrid/>
        <w:spacing w:line="500" w:lineRule="exact"/>
        <w:ind w:left="0" w:leftChars="0" w:right="0" w:rightChars="0" w:firstLine="561" w:firstLineChars="0"/>
        <w:jc w:val="left"/>
        <w:textAlignment w:val="auto"/>
        <w:outlineLvl w:val="9"/>
        <w:rPr>
          <w:rFonts w:hint="default" w:ascii="Times New Roman" w:hAnsi="Times New Roman" w:cs="Times New Roman"/>
          <w:sz w:val="28"/>
          <w:szCs w:val="28"/>
        </w:rPr>
      </w:pPr>
      <w:r>
        <w:rPr>
          <w:rFonts w:hint="default" w:ascii="Times New Roman" w:hAnsi="Times New Roman" w:cs="Times New Roman"/>
          <w:sz w:val="28"/>
          <w:szCs w:val="28"/>
        </w:rPr>
        <w:t>汽油总容积为</w:t>
      </w:r>
      <w:r>
        <w:rPr>
          <w:rFonts w:hint="eastAsia" w:ascii="Times New Roman" w:hAnsi="Times New Roman" w:cs="Times New Roman"/>
          <w:sz w:val="28"/>
          <w:szCs w:val="28"/>
          <w:lang w:val="en-US" w:eastAsia="zh-CN"/>
        </w:rPr>
        <w:t>90</w:t>
      </w:r>
      <w:r>
        <w:rPr>
          <w:rFonts w:hint="default" w:ascii="Times New Roman" w:hAnsi="Times New Roman" w:cs="Times New Roman"/>
          <w:sz w:val="28"/>
          <w:szCs w:val="28"/>
        </w:rPr>
        <w:t>m³，按满罐计算（密度取0.7</w:t>
      </w:r>
      <w:r>
        <w:rPr>
          <w:rFonts w:hint="eastAsia" w:ascii="Times New Roman" w:hAnsi="Times New Roman" w:cs="Times New Roman"/>
          <w:sz w:val="28"/>
          <w:szCs w:val="28"/>
          <w:lang w:val="en-US" w:eastAsia="zh-CN"/>
        </w:rPr>
        <w:t>5</w:t>
      </w:r>
      <w:r>
        <w:rPr>
          <w:rFonts w:hint="default" w:ascii="Times New Roman" w:hAnsi="Times New Roman" w:cs="Times New Roman"/>
          <w:sz w:val="28"/>
          <w:szCs w:val="28"/>
        </w:rPr>
        <w:t>），其最大储存量为</w:t>
      </w:r>
      <w:r>
        <w:rPr>
          <w:rFonts w:hint="eastAsia" w:ascii="Times New Roman" w:hAnsi="Times New Roman" w:cs="Times New Roman"/>
          <w:sz w:val="28"/>
          <w:szCs w:val="28"/>
          <w:lang w:val="en-US" w:eastAsia="zh-CN"/>
        </w:rPr>
        <w:t>67500</w:t>
      </w:r>
      <w:r>
        <w:rPr>
          <w:rFonts w:hint="default" w:ascii="Times New Roman" w:hAnsi="Times New Roman" w:cs="Times New Roman"/>
          <w:sz w:val="28"/>
          <w:szCs w:val="28"/>
        </w:rPr>
        <w:t>kg；柴油罐总容积为</w:t>
      </w:r>
      <w:r>
        <w:rPr>
          <w:rFonts w:hint="eastAsia" w:ascii="Times New Roman" w:hAnsi="Times New Roman" w:cs="Times New Roman"/>
          <w:sz w:val="28"/>
          <w:szCs w:val="28"/>
          <w:lang w:val="en-US" w:eastAsia="zh-CN"/>
        </w:rPr>
        <w:t>3</w:t>
      </w:r>
      <w:r>
        <w:rPr>
          <w:rFonts w:hint="default" w:ascii="Times New Roman" w:hAnsi="Times New Roman" w:cs="Times New Roman"/>
          <w:sz w:val="28"/>
          <w:szCs w:val="28"/>
        </w:rPr>
        <w:t>0m³，按满罐计算（密度取0.8</w:t>
      </w:r>
      <w:r>
        <w:rPr>
          <w:rFonts w:hint="eastAsia" w:ascii="Times New Roman" w:hAnsi="Times New Roman" w:cs="Times New Roman"/>
          <w:sz w:val="28"/>
          <w:szCs w:val="28"/>
          <w:lang w:val="en-US" w:eastAsia="zh-CN"/>
        </w:rPr>
        <w:t>5</w:t>
      </w:r>
      <w:r>
        <w:rPr>
          <w:rFonts w:hint="default" w:ascii="Times New Roman" w:hAnsi="Times New Roman" w:cs="Times New Roman"/>
          <w:sz w:val="28"/>
          <w:szCs w:val="28"/>
        </w:rPr>
        <w:t>），其最大储存量为</w:t>
      </w:r>
      <w:r>
        <w:rPr>
          <w:rFonts w:hint="eastAsia" w:ascii="Times New Roman" w:hAnsi="Times New Roman" w:cs="Times New Roman"/>
          <w:sz w:val="28"/>
          <w:szCs w:val="28"/>
          <w:lang w:val="en-US" w:eastAsia="zh-CN"/>
        </w:rPr>
        <w:t>16800</w:t>
      </w:r>
      <w:r>
        <w:rPr>
          <w:rFonts w:hint="default" w:ascii="Times New Roman" w:hAnsi="Times New Roman" w:cs="Times New Roman"/>
          <w:sz w:val="28"/>
          <w:szCs w:val="28"/>
        </w:rPr>
        <w:t>kg。</w:t>
      </w:r>
    </w:p>
    <w:p>
      <w:pPr>
        <w:pStyle w:val="11"/>
        <w:keepNext w:val="0"/>
        <w:keepLines w:val="0"/>
        <w:pageBreakBefore w:val="0"/>
        <w:widowControl w:val="0"/>
        <w:kinsoku/>
        <w:wordWrap/>
        <w:overflowPunct/>
        <w:topLinePunct w:val="0"/>
        <w:autoSpaceDE w:val="0"/>
        <w:autoSpaceDN w:val="0"/>
        <w:bidi w:val="0"/>
        <w:adjustRightInd/>
        <w:snapToGrid/>
        <w:spacing w:line="500" w:lineRule="exact"/>
        <w:ind w:left="0" w:leftChars="0" w:right="0" w:rightChars="0" w:firstLine="561" w:firstLineChars="0"/>
        <w:jc w:val="left"/>
        <w:textAlignment w:val="auto"/>
        <w:outlineLvl w:val="9"/>
        <w:rPr>
          <w:rFonts w:hint="default" w:ascii="Times New Roman" w:hAnsi="Times New Roman" w:cs="Times New Roman"/>
          <w:sz w:val="28"/>
          <w:szCs w:val="28"/>
        </w:rPr>
      </w:pPr>
      <w:r>
        <w:rPr>
          <w:rFonts w:hint="default" w:ascii="Times New Roman" w:hAnsi="Times New Roman" w:cs="Times New Roman"/>
          <w:sz w:val="28"/>
          <w:szCs w:val="28"/>
        </w:rPr>
        <w:t>查物质系数和特性表可知，</w:t>
      </w:r>
    </w:p>
    <w:p>
      <w:pPr>
        <w:pStyle w:val="11"/>
        <w:keepNext w:val="0"/>
        <w:keepLines w:val="0"/>
        <w:pageBreakBefore w:val="0"/>
        <w:widowControl w:val="0"/>
        <w:kinsoku/>
        <w:wordWrap/>
        <w:overflowPunct/>
        <w:topLinePunct w:val="0"/>
        <w:autoSpaceDE w:val="0"/>
        <w:autoSpaceDN w:val="0"/>
        <w:bidi w:val="0"/>
        <w:adjustRightInd/>
        <w:snapToGrid/>
        <w:spacing w:line="500" w:lineRule="exact"/>
        <w:ind w:left="0" w:leftChars="0" w:right="0" w:rightChars="0" w:firstLine="561" w:firstLineChars="0"/>
        <w:jc w:val="left"/>
        <w:textAlignment w:val="auto"/>
        <w:outlineLvl w:val="9"/>
        <w:rPr>
          <w:rFonts w:hint="default" w:ascii="Times New Roman" w:hAnsi="Times New Roman" w:cs="Times New Roman"/>
          <w:sz w:val="28"/>
          <w:szCs w:val="28"/>
        </w:rPr>
      </w:pPr>
      <w:r>
        <w:rPr>
          <w:rFonts w:hint="default" w:ascii="Times New Roman" w:hAnsi="Times New Roman" w:cs="Times New Roman"/>
          <w:sz w:val="28"/>
          <w:szCs w:val="28"/>
        </w:rPr>
        <w:t>汽油的燃烧热HC=18.8×10</w:t>
      </w:r>
      <w:r>
        <w:rPr>
          <w:rFonts w:hint="default" w:ascii="Times New Roman" w:hAnsi="Times New Roman" w:cs="Times New Roman"/>
          <w:sz w:val="28"/>
          <w:szCs w:val="28"/>
          <w:vertAlign w:val="superscript"/>
        </w:rPr>
        <w:t>3</w:t>
      </w:r>
      <w:r>
        <w:rPr>
          <w:rFonts w:hint="default" w:ascii="Times New Roman" w:hAnsi="Times New Roman" w:cs="Times New Roman"/>
          <w:sz w:val="28"/>
          <w:szCs w:val="28"/>
        </w:rPr>
        <w:t>Btu/lb≈43.69×10</w:t>
      </w:r>
      <w:r>
        <w:rPr>
          <w:rFonts w:hint="default" w:ascii="Times New Roman" w:hAnsi="Times New Roman" w:cs="Times New Roman"/>
          <w:sz w:val="28"/>
          <w:szCs w:val="28"/>
          <w:vertAlign w:val="superscript"/>
        </w:rPr>
        <w:t>6</w:t>
      </w:r>
      <w:r>
        <w:rPr>
          <w:rFonts w:hint="default" w:ascii="Times New Roman" w:hAnsi="Times New Roman" w:cs="Times New Roman"/>
          <w:sz w:val="28"/>
          <w:szCs w:val="28"/>
        </w:rPr>
        <w:t>J/kg，</w:t>
      </w:r>
    </w:p>
    <w:p>
      <w:pPr>
        <w:pStyle w:val="11"/>
        <w:keepNext w:val="0"/>
        <w:keepLines w:val="0"/>
        <w:pageBreakBefore w:val="0"/>
        <w:widowControl w:val="0"/>
        <w:kinsoku/>
        <w:wordWrap/>
        <w:overflowPunct/>
        <w:topLinePunct w:val="0"/>
        <w:autoSpaceDE w:val="0"/>
        <w:autoSpaceDN w:val="0"/>
        <w:bidi w:val="0"/>
        <w:adjustRightInd/>
        <w:snapToGrid/>
        <w:spacing w:line="500" w:lineRule="exact"/>
        <w:ind w:left="0" w:leftChars="0" w:right="0" w:rightChars="0" w:firstLine="561" w:firstLineChars="0"/>
        <w:jc w:val="left"/>
        <w:textAlignment w:val="auto"/>
        <w:outlineLvl w:val="9"/>
        <w:rPr>
          <w:rFonts w:hint="default" w:ascii="Times New Roman" w:hAnsi="Times New Roman" w:cs="Times New Roman"/>
          <w:sz w:val="28"/>
          <w:szCs w:val="28"/>
        </w:rPr>
      </w:pPr>
      <w:r>
        <w:rPr>
          <w:rFonts w:hint="default" w:ascii="Times New Roman" w:hAnsi="Times New Roman" w:cs="Times New Roman"/>
          <w:sz w:val="28"/>
          <w:szCs w:val="28"/>
        </w:rPr>
        <w:t>柴油的燃烧热HC=18.7×10</w:t>
      </w:r>
      <w:r>
        <w:rPr>
          <w:rFonts w:hint="default" w:ascii="Times New Roman" w:hAnsi="Times New Roman" w:cs="Times New Roman"/>
          <w:sz w:val="28"/>
          <w:szCs w:val="28"/>
          <w:vertAlign w:val="superscript"/>
        </w:rPr>
        <w:t>3</w:t>
      </w:r>
      <w:r>
        <w:rPr>
          <w:rFonts w:hint="default" w:ascii="Times New Roman" w:hAnsi="Times New Roman" w:cs="Times New Roman"/>
          <w:sz w:val="28"/>
          <w:szCs w:val="28"/>
        </w:rPr>
        <w:t>Btu/lb≈43.46×10</w:t>
      </w:r>
      <w:r>
        <w:rPr>
          <w:rFonts w:hint="default" w:ascii="Times New Roman" w:hAnsi="Times New Roman" w:cs="Times New Roman"/>
          <w:sz w:val="28"/>
          <w:szCs w:val="28"/>
          <w:vertAlign w:val="superscript"/>
        </w:rPr>
        <w:t>6</w:t>
      </w:r>
      <w:r>
        <w:rPr>
          <w:rFonts w:hint="default" w:ascii="Times New Roman" w:hAnsi="Times New Roman" w:cs="Times New Roman"/>
          <w:sz w:val="28"/>
          <w:szCs w:val="28"/>
        </w:rPr>
        <w:t>J/kg，</w:t>
      </w:r>
    </w:p>
    <w:p>
      <w:pPr>
        <w:pStyle w:val="11"/>
        <w:keepNext w:val="0"/>
        <w:keepLines w:val="0"/>
        <w:pageBreakBefore w:val="0"/>
        <w:widowControl w:val="0"/>
        <w:kinsoku/>
        <w:wordWrap/>
        <w:overflowPunct/>
        <w:topLinePunct w:val="0"/>
        <w:autoSpaceDE w:val="0"/>
        <w:autoSpaceDN w:val="0"/>
        <w:bidi w:val="0"/>
        <w:adjustRightInd/>
        <w:snapToGrid/>
        <w:spacing w:line="500" w:lineRule="exact"/>
        <w:ind w:left="0" w:leftChars="0" w:right="0" w:rightChars="0" w:firstLine="561" w:firstLineChars="0"/>
        <w:jc w:val="left"/>
        <w:textAlignment w:val="auto"/>
        <w:outlineLvl w:val="9"/>
        <w:rPr>
          <w:rFonts w:hint="default" w:ascii="Times New Roman" w:hAnsi="Times New Roman" w:cs="Times New Roman"/>
          <w:sz w:val="28"/>
          <w:szCs w:val="28"/>
        </w:rPr>
      </w:pPr>
      <w:r>
        <w:rPr>
          <w:rFonts w:hint="default" w:ascii="Times New Roman" w:hAnsi="Times New Roman" w:cs="Times New Roman"/>
          <w:sz w:val="28"/>
          <w:szCs w:val="28"/>
        </w:rPr>
        <w:t>则汽油燃烧后放出的热量为：</w:t>
      </w:r>
    </w:p>
    <w:p>
      <w:pPr>
        <w:pStyle w:val="11"/>
        <w:keepNext w:val="0"/>
        <w:keepLines w:val="0"/>
        <w:pageBreakBefore w:val="0"/>
        <w:widowControl w:val="0"/>
        <w:kinsoku/>
        <w:wordWrap/>
        <w:overflowPunct/>
        <w:topLinePunct w:val="0"/>
        <w:autoSpaceDE w:val="0"/>
        <w:autoSpaceDN w:val="0"/>
        <w:bidi w:val="0"/>
        <w:adjustRightInd/>
        <w:snapToGrid/>
        <w:spacing w:line="500" w:lineRule="exact"/>
        <w:ind w:left="0" w:leftChars="0" w:right="0" w:rightChars="0" w:firstLine="561" w:firstLineChars="0"/>
        <w:jc w:val="left"/>
        <w:textAlignment w:val="auto"/>
        <w:outlineLvl w:val="9"/>
        <w:rPr>
          <w:rFonts w:hint="default" w:ascii="Times New Roman" w:hAnsi="Times New Roman" w:cs="Times New Roman"/>
          <w:sz w:val="28"/>
          <w:szCs w:val="28"/>
        </w:rPr>
      </w:pPr>
      <w:r>
        <w:rPr>
          <w:rFonts w:hint="eastAsia" w:ascii="Times New Roman" w:hAnsi="Times New Roman" w:cs="Times New Roman"/>
          <w:sz w:val="28"/>
          <w:szCs w:val="28"/>
          <w:lang w:val="en-US" w:eastAsia="zh-CN"/>
        </w:rPr>
        <w:t>67500</w:t>
      </w:r>
      <w:r>
        <w:rPr>
          <w:rFonts w:hint="default" w:ascii="Times New Roman" w:hAnsi="Times New Roman" w:cs="Times New Roman"/>
          <w:sz w:val="28"/>
          <w:szCs w:val="28"/>
        </w:rPr>
        <w:t>×43.69×10</w:t>
      </w:r>
      <w:r>
        <w:rPr>
          <w:rFonts w:hint="default" w:ascii="Times New Roman" w:hAnsi="Times New Roman" w:cs="Times New Roman"/>
          <w:sz w:val="28"/>
          <w:szCs w:val="28"/>
          <w:vertAlign w:val="superscript"/>
        </w:rPr>
        <w:t>6</w:t>
      </w:r>
      <w:r>
        <w:rPr>
          <w:rFonts w:hint="default" w:ascii="Times New Roman" w:hAnsi="Times New Roman" w:cs="Times New Roman"/>
          <w:sz w:val="28"/>
          <w:szCs w:val="28"/>
        </w:rPr>
        <w:t>≈</w:t>
      </w:r>
      <w:r>
        <w:rPr>
          <w:rFonts w:hint="eastAsia" w:ascii="Times New Roman" w:hAnsi="Times New Roman" w:cs="Times New Roman"/>
          <w:sz w:val="28"/>
          <w:szCs w:val="28"/>
          <w:lang w:val="en-US" w:eastAsia="zh-CN"/>
        </w:rPr>
        <w:t>2.95</w:t>
      </w:r>
      <w:r>
        <w:rPr>
          <w:rFonts w:hint="default" w:ascii="Times New Roman" w:hAnsi="Times New Roman" w:cs="Times New Roman"/>
          <w:sz w:val="28"/>
          <w:szCs w:val="28"/>
        </w:rPr>
        <w:t>×10</w:t>
      </w:r>
      <w:r>
        <w:rPr>
          <w:rFonts w:hint="default" w:ascii="Times New Roman" w:hAnsi="Times New Roman" w:cs="Times New Roman"/>
          <w:sz w:val="28"/>
          <w:szCs w:val="28"/>
          <w:vertAlign w:val="superscript"/>
        </w:rPr>
        <w:t>12</w:t>
      </w:r>
      <w:r>
        <w:rPr>
          <w:rFonts w:hint="default" w:ascii="Times New Roman" w:hAnsi="Times New Roman" w:cs="Times New Roman"/>
          <w:sz w:val="28"/>
          <w:szCs w:val="28"/>
        </w:rPr>
        <w:t>J</w:t>
      </w:r>
    </w:p>
    <w:p>
      <w:pPr>
        <w:pStyle w:val="11"/>
        <w:keepNext w:val="0"/>
        <w:keepLines w:val="0"/>
        <w:pageBreakBefore w:val="0"/>
        <w:widowControl w:val="0"/>
        <w:kinsoku/>
        <w:wordWrap/>
        <w:overflowPunct/>
        <w:topLinePunct w:val="0"/>
        <w:autoSpaceDE w:val="0"/>
        <w:autoSpaceDN w:val="0"/>
        <w:bidi w:val="0"/>
        <w:adjustRightInd/>
        <w:snapToGrid/>
        <w:spacing w:line="500" w:lineRule="exact"/>
        <w:ind w:left="0" w:leftChars="0" w:right="0" w:rightChars="0" w:firstLine="561" w:firstLineChars="0"/>
        <w:jc w:val="left"/>
        <w:textAlignment w:val="auto"/>
        <w:outlineLvl w:val="9"/>
        <w:rPr>
          <w:rFonts w:hint="default" w:ascii="Times New Roman" w:hAnsi="Times New Roman" w:cs="Times New Roman"/>
          <w:sz w:val="28"/>
          <w:szCs w:val="28"/>
        </w:rPr>
      </w:pPr>
      <w:r>
        <w:rPr>
          <w:rFonts w:hint="default" w:ascii="Times New Roman" w:hAnsi="Times New Roman" w:cs="Times New Roman"/>
          <w:sz w:val="28"/>
          <w:szCs w:val="28"/>
        </w:rPr>
        <w:t>柴油燃烧后放出的热量为：</w:t>
      </w:r>
    </w:p>
    <w:p>
      <w:pPr>
        <w:pStyle w:val="11"/>
        <w:keepNext w:val="0"/>
        <w:keepLines w:val="0"/>
        <w:pageBreakBefore w:val="0"/>
        <w:widowControl w:val="0"/>
        <w:kinsoku/>
        <w:wordWrap/>
        <w:overflowPunct/>
        <w:topLinePunct w:val="0"/>
        <w:autoSpaceDE w:val="0"/>
        <w:autoSpaceDN w:val="0"/>
        <w:bidi w:val="0"/>
        <w:adjustRightInd/>
        <w:snapToGrid/>
        <w:spacing w:line="500" w:lineRule="exact"/>
        <w:ind w:left="0" w:leftChars="0" w:right="0" w:rightChars="0" w:firstLine="561" w:firstLineChars="0"/>
        <w:jc w:val="left"/>
        <w:textAlignment w:val="auto"/>
        <w:outlineLvl w:val="9"/>
        <w:rPr>
          <w:rFonts w:hint="default" w:ascii="Times New Roman" w:hAnsi="Times New Roman" w:cs="Times New Roman"/>
          <w:sz w:val="28"/>
          <w:szCs w:val="28"/>
        </w:rPr>
      </w:pPr>
      <w:r>
        <w:rPr>
          <w:rFonts w:hint="eastAsia" w:ascii="Times New Roman" w:hAnsi="Times New Roman" w:cs="Times New Roman"/>
          <w:sz w:val="28"/>
          <w:szCs w:val="28"/>
          <w:lang w:val="en-US" w:eastAsia="zh-CN"/>
        </w:rPr>
        <w:t>25500</w:t>
      </w:r>
      <w:r>
        <w:rPr>
          <w:rFonts w:hint="default" w:ascii="Times New Roman" w:hAnsi="Times New Roman" w:cs="Times New Roman"/>
          <w:sz w:val="28"/>
          <w:szCs w:val="28"/>
        </w:rPr>
        <w:t>×43.46×10</w:t>
      </w:r>
      <w:r>
        <w:rPr>
          <w:rFonts w:hint="default" w:ascii="Times New Roman" w:hAnsi="Times New Roman" w:cs="Times New Roman"/>
          <w:sz w:val="28"/>
          <w:szCs w:val="28"/>
          <w:vertAlign w:val="superscript"/>
        </w:rPr>
        <w:t>6</w:t>
      </w:r>
      <w:r>
        <w:rPr>
          <w:rFonts w:hint="default" w:ascii="Times New Roman" w:hAnsi="Times New Roman" w:cs="Times New Roman"/>
          <w:sz w:val="28"/>
          <w:szCs w:val="28"/>
        </w:rPr>
        <w:t>≈</w:t>
      </w:r>
      <w:r>
        <w:rPr>
          <w:rFonts w:hint="eastAsia" w:ascii="Times New Roman" w:hAnsi="Times New Roman" w:cs="Times New Roman"/>
          <w:sz w:val="28"/>
          <w:szCs w:val="28"/>
          <w:lang w:val="en-US" w:eastAsia="zh-CN"/>
        </w:rPr>
        <w:t>1.11</w:t>
      </w:r>
      <w:r>
        <w:rPr>
          <w:rFonts w:hint="default" w:ascii="Times New Roman" w:hAnsi="Times New Roman" w:cs="Times New Roman"/>
          <w:sz w:val="28"/>
          <w:szCs w:val="28"/>
        </w:rPr>
        <w:t>×10</w:t>
      </w:r>
      <w:r>
        <w:rPr>
          <w:rFonts w:hint="default" w:ascii="Times New Roman" w:hAnsi="Times New Roman" w:cs="Times New Roman"/>
          <w:sz w:val="28"/>
          <w:szCs w:val="28"/>
          <w:vertAlign w:val="superscript"/>
        </w:rPr>
        <w:t>12</w:t>
      </w:r>
      <w:r>
        <w:rPr>
          <w:rFonts w:hint="default" w:ascii="Times New Roman" w:hAnsi="Times New Roman" w:cs="Times New Roman"/>
          <w:sz w:val="28"/>
          <w:szCs w:val="28"/>
        </w:rPr>
        <w:t>J</w:t>
      </w:r>
    </w:p>
    <w:p>
      <w:pPr>
        <w:pStyle w:val="11"/>
        <w:keepNext w:val="0"/>
        <w:keepLines w:val="0"/>
        <w:pageBreakBefore w:val="0"/>
        <w:widowControl w:val="0"/>
        <w:kinsoku/>
        <w:wordWrap/>
        <w:overflowPunct/>
        <w:topLinePunct w:val="0"/>
        <w:autoSpaceDE w:val="0"/>
        <w:autoSpaceDN w:val="0"/>
        <w:bidi w:val="0"/>
        <w:adjustRightInd/>
        <w:snapToGrid/>
        <w:spacing w:line="500" w:lineRule="exact"/>
        <w:ind w:left="0" w:leftChars="0" w:right="0" w:rightChars="0" w:firstLine="561" w:firstLineChars="0"/>
        <w:jc w:val="left"/>
        <w:textAlignment w:val="auto"/>
        <w:outlineLvl w:val="9"/>
        <w:rPr>
          <w:rFonts w:hint="default" w:ascii="Times New Roman" w:hAnsi="Times New Roman" w:cs="Times New Roman"/>
          <w:sz w:val="28"/>
          <w:szCs w:val="28"/>
        </w:rPr>
      </w:pPr>
      <w:r>
        <w:rPr>
          <w:rFonts w:hint="default" w:ascii="Times New Roman" w:hAnsi="Times New Roman" w:cs="Times New Roman"/>
          <w:sz w:val="28"/>
          <w:szCs w:val="28"/>
        </w:rPr>
        <w:t>从以上分析计算可知，</w:t>
      </w:r>
      <w:r>
        <w:rPr>
          <w:rFonts w:hint="eastAsia" w:ascii="Times New Roman" w:hAnsi="Times New Roman" w:cs="Times New Roman"/>
          <w:sz w:val="28"/>
          <w:szCs w:val="28"/>
          <w:lang w:eastAsia="zh-CN"/>
        </w:rPr>
        <w:t>中国石化销售股份有限公司广东东莞石碣唐洪东城加油站</w:t>
      </w:r>
      <w:r>
        <w:rPr>
          <w:rFonts w:hint="default" w:ascii="Times New Roman" w:hAnsi="Times New Roman" w:cs="Times New Roman"/>
          <w:sz w:val="28"/>
          <w:szCs w:val="28"/>
        </w:rPr>
        <w:t>的固有危险程度如下表所示：</w:t>
      </w:r>
    </w:p>
    <w:p>
      <w:pPr>
        <w:pStyle w:val="62"/>
        <w:spacing w:line="500" w:lineRule="exact"/>
        <w:ind w:firstLine="0" w:firstLineChars="0"/>
        <w:jc w:val="center"/>
        <w:rPr>
          <w:rFonts w:hint="default" w:ascii="Times New Roman" w:hAnsi="Times New Roman" w:eastAsia="宋体" w:cs="Times New Roman"/>
        </w:rPr>
      </w:pPr>
      <w:r>
        <w:rPr>
          <w:rFonts w:hint="default" w:ascii="Times New Roman" w:hAnsi="Times New Roman" w:eastAsia="宋体" w:cs="Times New Roman"/>
          <w:b/>
          <w:sz w:val="24"/>
          <w:szCs w:val="24"/>
        </w:rPr>
        <w:t>附表3.2.2 该油站固有危险程度表</w:t>
      </w:r>
    </w:p>
    <w:tbl>
      <w:tblPr>
        <w:tblStyle w:val="29"/>
        <w:tblW w:w="94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2"/>
        <w:gridCol w:w="1087"/>
        <w:gridCol w:w="1085"/>
        <w:gridCol w:w="1083"/>
        <w:gridCol w:w="1083"/>
        <w:gridCol w:w="1128"/>
        <w:gridCol w:w="1047"/>
        <w:gridCol w:w="17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6" w:hRule="atLeast"/>
          <w:jc w:val="center"/>
        </w:trPr>
        <w:tc>
          <w:tcPr>
            <w:tcW w:w="1122"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物质名称</w:t>
            </w:r>
          </w:p>
        </w:tc>
        <w:tc>
          <w:tcPr>
            <w:tcW w:w="1087"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危化品目录序号</w:t>
            </w:r>
          </w:p>
        </w:tc>
        <w:tc>
          <w:tcPr>
            <w:tcW w:w="1085"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闪点</w:t>
            </w:r>
          </w:p>
        </w:tc>
        <w:tc>
          <w:tcPr>
            <w:tcW w:w="1083"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火险类别</w:t>
            </w:r>
          </w:p>
        </w:tc>
        <w:tc>
          <w:tcPr>
            <w:tcW w:w="1083"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所在场所</w:t>
            </w:r>
          </w:p>
        </w:tc>
        <w:tc>
          <w:tcPr>
            <w:tcW w:w="1128"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存在状况</w:t>
            </w:r>
          </w:p>
        </w:tc>
        <w:tc>
          <w:tcPr>
            <w:tcW w:w="1047"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储存能力（kg）</w:t>
            </w:r>
          </w:p>
        </w:tc>
        <w:tc>
          <w:tcPr>
            <w:tcW w:w="1765"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燃烧后放出的热量（J）</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122"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汽油</w:t>
            </w:r>
          </w:p>
        </w:tc>
        <w:tc>
          <w:tcPr>
            <w:tcW w:w="1087"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1630</w:t>
            </w:r>
          </w:p>
        </w:tc>
        <w:tc>
          <w:tcPr>
            <w:tcW w:w="1085"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rPr>
              <w:t>-</w:t>
            </w:r>
            <w:r>
              <w:rPr>
                <w:rFonts w:hint="eastAsia" w:ascii="Times New Roman" w:hAnsi="Times New Roman" w:cs="Times New Roman"/>
                <w:sz w:val="21"/>
                <w:szCs w:val="21"/>
                <w:lang w:val="en-US" w:eastAsia="zh-CN"/>
              </w:rPr>
              <w:t>46</w:t>
            </w:r>
          </w:p>
        </w:tc>
        <w:tc>
          <w:tcPr>
            <w:tcW w:w="1083"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甲类</w:t>
            </w:r>
          </w:p>
        </w:tc>
        <w:tc>
          <w:tcPr>
            <w:tcW w:w="1083"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埋地油罐</w:t>
            </w:r>
          </w:p>
        </w:tc>
        <w:tc>
          <w:tcPr>
            <w:tcW w:w="1128"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常温、常压、液态</w:t>
            </w:r>
          </w:p>
        </w:tc>
        <w:tc>
          <w:tcPr>
            <w:tcW w:w="1047" w:type="dxa"/>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67500</w:t>
            </w:r>
          </w:p>
        </w:tc>
        <w:tc>
          <w:tcPr>
            <w:tcW w:w="1765"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Times New Roman" w:hAnsi="Times New Roman" w:cs="Times New Roman"/>
                <w:sz w:val="21"/>
                <w:szCs w:val="21"/>
                <w:lang w:val="en-US" w:eastAsia="zh-CN"/>
              </w:rPr>
              <w:t>2.95</w:t>
            </w:r>
            <w:r>
              <w:rPr>
                <w:rFonts w:hint="default" w:ascii="Times New Roman" w:hAnsi="Times New Roman" w:cs="Times New Roman"/>
                <w:sz w:val="21"/>
                <w:szCs w:val="21"/>
              </w:rPr>
              <w:t>×10</w:t>
            </w:r>
            <w:r>
              <w:rPr>
                <w:rFonts w:hint="default" w:ascii="Times New Roman" w:hAnsi="Times New Roman" w:cs="Times New Roman"/>
                <w:sz w:val="21"/>
                <w:szCs w:val="21"/>
                <w:vertAlign w:val="superscript"/>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122"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柴油[闭杯闪点≤60℃]</w:t>
            </w:r>
          </w:p>
        </w:tc>
        <w:tc>
          <w:tcPr>
            <w:tcW w:w="1087"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1674</w:t>
            </w:r>
          </w:p>
        </w:tc>
        <w:tc>
          <w:tcPr>
            <w:tcW w:w="1085"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Cs w:val="21"/>
              </w:rPr>
              <w:t>≤60</w:t>
            </w:r>
          </w:p>
        </w:tc>
        <w:tc>
          <w:tcPr>
            <w:tcW w:w="1083"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乙B类</w:t>
            </w:r>
          </w:p>
        </w:tc>
        <w:tc>
          <w:tcPr>
            <w:tcW w:w="1083"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埋地油罐</w:t>
            </w:r>
          </w:p>
        </w:tc>
        <w:tc>
          <w:tcPr>
            <w:tcW w:w="1128"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常温、常压</w:t>
            </w:r>
          </w:p>
        </w:tc>
        <w:tc>
          <w:tcPr>
            <w:tcW w:w="1047" w:type="dxa"/>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25500</w:t>
            </w:r>
          </w:p>
        </w:tc>
        <w:tc>
          <w:tcPr>
            <w:tcW w:w="1765"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Times New Roman" w:hAnsi="Times New Roman" w:cs="Times New Roman"/>
                <w:sz w:val="21"/>
                <w:szCs w:val="21"/>
                <w:lang w:val="en-US" w:eastAsia="zh-CN"/>
              </w:rPr>
              <w:t>1.11</w:t>
            </w:r>
            <w:r>
              <w:rPr>
                <w:rFonts w:hint="default" w:ascii="Times New Roman" w:hAnsi="Times New Roman" w:cs="Times New Roman"/>
                <w:sz w:val="21"/>
                <w:szCs w:val="21"/>
              </w:rPr>
              <w:t>×10</w:t>
            </w:r>
            <w:r>
              <w:rPr>
                <w:rFonts w:hint="default" w:ascii="Times New Roman" w:hAnsi="Times New Roman" w:cs="Times New Roman"/>
                <w:sz w:val="21"/>
                <w:szCs w:val="21"/>
                <w:vertAlign w:val="superscript"/>
              </w:rPr>
              <w:t>12</w:t>
            </w:r>
          </w:p>
        </w:tc>
      </w:tr>
    </w:tbl>
    <w:p>
      <w:pPr>
        <w:spacing w:line="500" w:lineRule="exact"/>
        <w:ind w:firstLine="560" w:firstLineChars="200"/>
        <w:jc w:val="both"/>
        <w:rPr>
          <w:rFonts w:hint="default" w:ascii="Times New Roman" w:hAnsi="Times New Roman" w:cs="Times New Roman"/>
          <w:sz w:val="28"/>
          <w:szCs w:val="28"/>
        </w:rPr>
      </w:pPr>
    </w:p>
    <w:p>
      <w:pPr>
        <w:pStyle w:val="2"/>
        <w:rPr>
          <w:rFonts w:hint="default"/>
        </w:rPr>
      </w:pPr>
    </w:p>
    <w:p>
      <w:pPr>
        <w:pStyle w:val="4"/>
        <w:pageBreakBefore w:val="0"/>
        <w:widowControl w:val="0"/>
        <w:tabs>
          <w:tab w:val="left" w:pos="2694"/>
        </w:tabs>
        <w:kinsoku/>
        <w:wordWrap/>
        <w:overflowPunct/>
        <w:topLinePunct w:val="0"/>
        <w:autoSpaceDE w:val="0"/>
        <w:autoSpaceDN w:val="0"/>
        <w:bidi w:val="0"/>
        <w:adjustRightInd/>
        <w:snapToGrid/>
        <w:spacing w:before="233" w:afterLines="100" w:line="500" w:lineRule="exact"/>
        <w:ind w:left="0" w:leftChars="0" w:right="0" w:rightChars="0"/>
        <w:jc w:val="center"/>
        <w:textAlignment w:val="auto"/>
        <w:rPr>
          <w:rFonts w:hint="default" w:ascii="Times New Roman" w:hAnsi="Times New Roman" w:eastAsia="宋体" w:cs="Times New Roman"/>
          <w:b/>
          <w:bCs/>
          <w:lang w:val="en-US"/>
        </w:rPr>
      </w:pPr>
      <w:bookmarkStart w:id="1410" w:name="_Toc11007"/>
      <w:bookmarkStart w:id="1411" w:name="_Toc29195"/>
      <w:bookmarkStart w:id="1412" w:name="_Toc20206"/>
      <w:bookmarkStart w:id="1413" w:name="_Toc7125"/>
      <w:bookmarkStart w:id="1414" w:name="_Toc14524"/>
      <w:bookmarkStart w:id="1415" w:name="_Toc19514"/>
      <w:bookmarkStart w:id="1416" w:name="_Toc20439"/>
      <w:bookmarkStart w:id="1417" w:name="_Toc17240"/>
      <w:bookmarkStart w:id="1418" w:name="_Toc32436_WPSOffice_Level3"/>
      <w:r>
        <w:rPr>
          <w:rFonts w:hint="default" w:ascii="Times New Roman" w:hAnsi="Times New Roman" w:eastAsia="宋体" w:cs="Times New Roman"/>
          <w:b/>
          <w:bCs/>
          <w:lang w:val="en-US"/>
        </w:rPr>
        <w:t>3.</w:t>
      </w:r>
      <w:r>
        <w:rPr>
          <w:rFonts w:hint="default" w:ascii="Times New Roman" w:hAnsi="Times New Roman" w:eastAsia="宋体" w:cs="Times New Roman"/>
          <w:b/>
          <w:bCs/>
          <w:lang w:val="en-US" w:eastAsia="zh-CN"/>
        </w:rPr>
        <w:t>7</w:t>
      </w:r>
      <w:r>
        <w:rPr>
          <w:rFonts w:hint="default" w:ascii="Times New Roman" w:hAnsi="Times New Roman" w:eastAsia="宋体" w:cs="Times New Roman"/>
          <w:b/>
          <w:bCs/>
          <w:lang w:val="en-US"/>
        </w:rPr>
        <w:t xml:space="preserve"> 经营、储存过程主要危险、有害因素辨识与分析</w:t>
      </w:r>
      <w:bookmarkEnd w:id="1410"/>
      <w:bookmarkEnd w:id="1411"/>
      <w:bookmarkEnd w:id="1412"/>
      <w:bookmarkEnd w:id="1413"/>
      <w:bookmarkEnd w:id="1414"/>
      <w:bookmarkEnd w:id="1415"/>
      <w:bookmarkEnd w:id="1416"/>
      <w:bookmarkEnd w:id="1417"/>
    </w:p>
    <w:p>
      <w:pPr>
        <w:pStyle w:val="11"/>
        <w:keepNext w:val="0"/>
        <w:keepLines w:val="0"/>
        <w:pageBreakBefore w:val="0"/>
        <w:widowControl w:val="0"/>
        <w:kinsoku/>
        <w:wordWrap/>
        <w:overflowPunct/>
        <w:topLinePunct w:val="0"/>
        <w:autoSpaceDE w:val="0"/>
        <w:autoSpaceDN w:val="0"/>
        <w:bidi w:val="0"/>
        <w:adjustRightInd/>
        <w:snapToGrid/>
        <w:spacing w:line="500" w:lineRule="exact"/>
        <w:ind w:left="0" w:leftChars="0" w:right="0" w:rightChars="0" w:firstLine="561" w:firstLineChars="0"/>
        <w:jc w:val="left"/>
        <w:textAlignment w:val="auto"/>
        <w:outlineLvl w:val="9"/>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根据该油站工艺流程介绍，参照《企业职工伤亡事故分类》（GB6441-86），结合类比该油站的经营实际情况，</w:t>
      </w:r>
      <w:r>
        <w:rPr>
          <w:rFonts w:hint="eastAsia" w:ascii="Times New Roman" w:hAnsi="Times New Roman" w:cs="Times New Roman"/>
          <w:sz w:val="28"/>
          <w:szCs w:val="28"/>
          <w:lang w:val="en-US" w:eastAsia="zh-CN"/>
        </w:rPr>
        <w:t>中国石化销售股份有限公司广东东莞石碣唐洪东城加油站</w:t>
      </w:r>
      <w:r>
        <w:rPr>
          <w:rFonts w:hint="default" w:ascii="Times New Roman" w:hAnsi="Times New Roman" w:cs="Times New Roman"/>
          <w:sz w:val="28"/>
          <w:szCs w:val="28"/>
          <w:lang w:val="en-US" w:eastAsia="zh-CN"/>
        </w:rPr>
        <w:t>建成后经营过程中的主要危险有害因素有：火灾、爆炸、中毒和窒息、车辆伤害、触电、高处坠落</w:t>
      </w:r>
      <w:r>
        <w:rPr>
          <w:rFonts w:hint="eastAsia" w:ascii="Times New Roman" w:hAnsi="Times New Roman" w:cs="Times New Roman"/>
          <w:sz w:val="28"/>
          <w:szCs w:val="28"/>
          <w:lang w:val="en-US" w:eastAsia="zh-CN"/>
        </w:rPr>
        <w:t>和机械伤害</w:t>
      </w:r>
      <w:r>
        <w:rPr>
          <w:rFonts w:hint="default" w:ascii="Times New Roman" w:hAnsi="Times New Roman" w:cs="Times New Roman"/>
          <w:sz w:val="28"/>
          <w:szCs w:val="28"/>
          <w:lang w:val="en-US" w:eastAsia="zh-CN"/>
        </w:rPr>
        <w:t>等，其中主要危险有害因素是火灾爆炸，发生危险的场所为该油站的储罐区和加油区。下面对加油站存在的主要危险、有害因素进行具体的分析。</w:t>
      </w:r>
    </w:p>
    <w:p>
      <w:pPr>
        <w:keepNext w:val="0"/>
        <w:keepLines w:val="0"/>
        <w:widowControl w:val="0"/>
        <w:suppressLineNumbers w:val="0"/>
        <w:spacing w:before="0" w:beforeAutospacing="0" w:after="0" w:afterAutospacing="0" w:line="500" w:lineRule="exact"/>
        <w:ind w:left="0" w:right="0" w:firstLine="562" w:firstLineChars="200"/>
        <w:jc w:val="both"/>
        <w:rPr>
          <w:rFonts w:hint="default" w:ascii="Times New Roman" w:hAnsi="Times New Roman" w:eastAsia="宋体" w:cs="Times New Roman"/>
          <w:b/>
          <w:bCs w:val="0"/>
          <w:kern w:val="2"/>
          <w:sz w:val="28"/>
          <w:szCs w:val="24"/>
          <w:lang w:val="en-US" w:eastAsia="zh-CN" w:bidi="ar"/>
        </w:rPr>
      </w:pPr>
      <w:r>
        <w:rPr>
          <w:rFonts w:hint="default" w:ascii="Times New Roman" w:hAnsi="Times New Roman" w:eastAsia="宋体" w:cs="Times New Roman"/>
          <w:b/>
          <w:bCs w:val="0"/>
          <w:kern w:val="2"/>
          <w:sz w:val="28"/>
          <w:szCs w:val="24"/>
          <w:lang w:val="en-US" w:eastAsia="zh-CN" w:bidi="ar"/>
        </w:rPr>
        <w:t>1）火灾</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发生场所：加油棚、储罐区、站房</w:t>
      </w:r>
      <w:r>
        <w:rPr>
          <w:rFonts w:hint="eastAsia" w:ascii="Times New Roman" w:hAnsi="Times New Roman" w:cs="Times New Roman"/>
          <w:kern w:val="2"/>
          <w:sz w:val="28"/>
          <w:szCs w:val="24"/>
          <w:lang w:val="en-US" w:eastAsia="zh-CN" w:bidi="ar"/>
        </w:rPr>
        <w:t>和自动洗车机</w:t>
      </w:r>
      <w:r>
        <w:rPr>
          <w:rFonts w:hint="default" w:ascii="Times New Roman" w:hAnsi="Times New Roman" w:eastAsia="宋体" w:cs="Times New Roman"/>
          <w:kern w:val="2"/>
          <w:sz w:val="28"/>
          <w:szCs w:val="24"/>
          <w:lang w:val="en-US" w:eastAsia="zh-CN" w:bidi="ar"/>
        </w:rPr>
        <w:t>等。</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发生条件：发生火灾---燃烧的基本条件有三个：一是可燃物，二是助燃剂，三是点火源（又称点火能）。三个条件缺一不可，而且需要互相作用，三者达到一定的数量。</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对加油站而言，助燃剂—空气是客观存在的，难于控制，无需分析；可燃物则是失去控制—泄漏油品；如果遇到火源则有可能发生火灾。本节对加油站的火源和泄漏油品作重点分析。</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（1）火源</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8"/>
          <w:lang w:val="en-US" w:eastAsia="zh-CN" w:bidi="ar"/>
        </w:rPr>
        <w:t>该油站</w:t>
      </w:r>
      <w:r>
        <w:rPr>
          <w:rFonts w:hint="default" w:ascii="Times New Roman" w:hAnsi="Times New Roman" w:eastAsia="宋体" w:cs="Times New Roman"/>
          <w:kern w:val="2"/>
          <w:sz w:val="28"/>
          <w:szCs w:val="24"/>
          <w:lang w:val="en-US" w:eastAsia="zh-CN" w:bidi="ar"/>
        </w:rPr>
        <w:t>作业过程中可能出现的火源主要有：</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①明火</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机动车辆排烟带火，在各危险场所现场吸烟及违章动火等不安全因素，都可产生明火或散发火花。</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②电气火花</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该油站有一定数量的电气设备、设施，若电气设备设计选型不当，防爆性能不符合要求，或电气设备、设施未采取可靠的保护措施时，在开关断开、接触不良、短路、漏电时易产生电弧、电火花等。</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③静电火花</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该油站在装卸过程中汽、柴油会因流动、搅拌、过滤、冲击、震荡、摩擦而产生静电，若防静电措施未落实或不可靠，油罐、容器、管道及各种金属设备、设施上集聚的静电荷与周围物体形成一定的电位差而放电，静电放电产生的火花易引发火灾、爆炸事故。此外，人体穿化纤衣服和胶鞋、塑料鞋之类的绝缘鞋时，由于行走、工作、运动中摩擦或穿脱衣服而产生的静电也可能引发火灾、爆炸事故。</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④雷电能</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该油站若防雷设施不齐全或油罐、建（构）筑物防雷接地措施不符合要求，在雷雨天气里有可能引发火灾爆炸事故。</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⑤杂散电流能</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由于电化学腐蚀，阴极保护等引起的杂散电流窜入危险场所也是加油站火灾爆炸事故发生的原因之一。</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⑥碰撞摩擦火花</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金属设备、设施与物体之间的碰撞摩擦或机械撞击等产生的火花也可能引发火灾爆炸事故。带钉的鞋和地面摩擦也能产生火花。</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⑦棉布自燃</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设备检修和擦洗使用过的棉布等，若不及时清理而任其自然堆积，将导致棉布自发发热，达到堆放物的燃点即可自燃。</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危险危害程度：严重。</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预防措施：</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①各岗位(加油、卸油等)作业时必须严格遵守相关岗位安全操作规程，切实避免明火和静电火花产生；</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②设备维修时应避免与油品接触（如对油罐动火作业应严格按照检修规程对油罐进行处理）；</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③动火作业必须由有资质的单位进行，严格执行动火程序，并派专人监护；</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④发生火灾事故时，油品和电气火灾可使用干粉灭火剂扑救，其它办公和生活区域火灾可使用干粉灭火剂和消防水扑救。</w:t>
      </w:r>
    </w:p>
    <w:p>
      <w:pPr>
        <w:keepNext w:val="0"/>
        <w:keepLines w:val="0"/>
        <w:widowControl w:val="0"/>
        <w:suppressLineNumbers w:val="0"/>
        <w:spacing w:before="0" w:beforeAutospacing="0" w:after="0" w:afterAutospacing="0" w:line="500" w:lineRule="exact"/>
        <w:ind w:left="0" w:right="0" w:firstLine="616" w:firstLineChars="220"/>
        <w:jc w:val="both"/>
        <w:rPr>
          <w:rFonts w:hint="default" w:ascii="Times New Roman" w:hAnsi="Times New Roman" w:cs="Times New Roman"/>
          <w:sz w:val="28"/>
          <w:szCs w:val="24"/>
          <w:lang w:val="en-US"/>
        </w:rPr>
      </w:pPr>
      <w:bookmarkStart w:id="1419" w:name="_Toc58661723"/>
      <w:bookmarkStart w:id="1420" w:name="_Toc58403990"/>
      <w:bookmarkStart w:id="1421" w:name="_Toc58639008"/>
      <w:r>
        <w:rPr>
          <w:rFonts w:hint="default" w:ascii="Times New Roman" w:hAnsi="Times New Roman" w:eastAsia="宋体" w:cs="Times New Roman"/>
          <w:kern w:val="2"/>
          <w:sz w:val="28"/>
          <w:szCs w:val="24"/>
          <w:lang w:val="en-US" w:eastAsia="zh-CN" w:bidi="ar"/>
        </w:rPr>
        <w:t>（2）泄漏</w:t>
      </w:r>
      <w:bookmarkEnd w:id="1419"/>
      <w:bookmarkEnd w:id="1420"/>
      <w:bookmarkEnd w:id="1421"/>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发生场所：加油棚、储罐区（包括卸油场所）。</w:t>
      </w:r>
    </w:p>
    <w:p>
      <w:pPr>
        <w:pStyle w:val="12"/>
        <w:widowControl/>
        <w:spacing w:line="500" w:lineRule="exact"/>
        <w:rPr>
          <w:rFonts w:hint="default" w:ascii="Times New Roman" w:hAnsi="Times New Roman" w:cs="Times New Roman"/>
          <w:szCs w:val="28"/>
          <w:lang w:val="en-US"/>
        </w:rPr>
      </w:pPr>
      <w:r>
        <w:rPr>
          <w:rFonts w:hint="default" w:ascii="Times New Roman" w:hAnsi="Times New Roman" w:eastAsia="宋体" w:cs="Times New Roman"/>
          <w:szCs w:val="28"/>
          <w:lang w:val="en-US" w:eastAsia="zh-CN"/>
        </w:rPr>
        <w:t>发生部位：加油枪出油口及软管、卸油软管极其连接处、埋地油罐、潜油泵接合处、埋地输油管道、加油机进油口等处。</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发生条件：一是设备及管路的质量缺陷或故障，二是作业人员的不安全行为。</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（一）设备及管路的质量缺陷或故障导致油品泄漏的原因有：</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①设备选型或选材不当。</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②焊接质量差。</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③法兰密封不良。</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④阀门劣化出现泄漏。</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⑤软管接口渗漏。</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⑥管道老化出现渗漏。</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⑦腐蚀磨损造成管壁减薄穿孔。</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⑧保护装置失灵及未定期进行安全检测。</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⑨未试压查漏就进行作业。</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⑩污水处理设施内的油气挥发。</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（二）人的不安全行为导致油品泄漏的原因有：</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①卸油时违章操作或操作不当。</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②违章操作引起的管道破损或油枪溢油。</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③油罐超装导致溢油。</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b/>
          <w:sz w:val="28"/>
          <w:szCs w:val="24"/>
          <w:lang w:val="en-US"/>
        </w:rPr>
      </w:pPr>
      <w:r>
        <w:rPr>
          <w:rFonts w:hint="default" w:ascii="Times New Roman" w:hAnsi="Times New Roman" w:eastAsia="宋体" w:cs="Times New Roman"/>
          <w:kern w:val="2"/>
          <w:sz w:val="28"/>
          <w:szCs w:val="24"/>
          <w:lang w:val="en-US" w:eastAsia="zh-CN" w:bidi="ar"/>
        </w:rPr>
        <w:t>④油罐车或加油车辆发生交通事故导致泄漏。</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危险危害程度：油品泄漏后极易扩散并与空气形成爆炸性混合物，遇火源可发生火灾爆炸事故，造成人员伤亡和重大财产损失，从近年来中国石化总公司属下的加油站发生的事故来看，主要是漏油、跑油和冒油事故。危险危害程度严重。</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预防措施：</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①设备应选用合格产品并定期检测检修；</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②严格遵守操作规程和交通规则。</w:t>
      </w:r>
    </w:p>
    <w:p>
      <w:pPr>
        <w:keepNext w:val="0"/>
        <w:keepLines w:val="0"/>
        <w:widowControl w:val="0"/>
        <w:suppressLineNumbers w:val="0"/>
        <w:spacing w:before="0" w:beforeAutospacing="0" w:after="0" w:afterAutospacing="0" w:line="500" w:lineRule="exact"/>
        <w:ind w:left="0" w:right="0" w:firstLine="562" w:firstLineChars="200"/>
        <w:jc w:val="both"/>
        <w:rPr>
          <w:rFonts w:hint="default" w:ascii="Times New Roman" w:hAnsi="Times New Roman" w:eastAsia="宋体" w:cs="Times New Roman"/>
          <w:b/>
          <w:bCs w:val="0"/>
          <w:kern w:val="2"/>
          <w:sz w:val="28"/>
          <w:szCs w:val="24"/>
          <w:lang w:val="en-US" w:eastAsia="zh-CN" w:bidi="ar"/>
        </w:rPr>
      </w:pPr>
      <w:r>
        <w:rPr>
          <w:rFonts w:hint="default" w:ascii="Times New Roman" w:hAnsi="Times New Roman" w:eastAsia="宋体" w:cs="Times New Roman"/>
          <w:b/>
          <w:bCs w:val="0"/>
          <w:kern w:val="2"/>
          <w:sz w:val="28"/>
          <w:szCs w:val="24"/>
          <w:lang w:val="en-US" w:eastAsia="zh-CN" w:bidi="ar"/>
        </w:rPr>
        <w:t>2）爆炸</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发生场所：油罐储存区、加油区、各输送油管段。</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发生条件：油品形成的可燃性气体或蒸气与空气形成爆炸性气体（混合气体浓度在爆炸极限内）并遇明火。</w:t>
      </w:r>
      <w:r>
        <w:rPr>
          <w:rFonts w:hint="default" w:ascii="Times New Roman" w:hAnsi="Times New Roman" w:eastAsia="宋体" w:cs="Times New Roman"/>
          <w:kern w:val="2"/>
          <w:sz w:val="28"/>
          <w:szCs w:val="28"/>
          <w:lang w:val="en-US" w:eastAsia="zh-CN" w:bidi="ar"/>
        </w:rPr>
        <w:t>火灾也能直接引起爆炸。</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危险危害程度：严重。</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预防措施：</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①在卸油作业时采用密闭作业，条件许可时宜采用卸油、加油油气回收系统，避免产生爆炸极限内的混合气体；</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②加强日常安全检查，及时发现油管破裂，避免产生漏油；</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③作业过程中可采用金属设备外壳可靠接地、使用防爆电器、作业场所禁止明火和使用易产生火花电器、工具等措施，避免产生明火和静电；</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④防雷防静电设施可靠接地并定期检测，防止雷击。</w:t>
      </w:r>
    </w:p>
    <w:p>
      <w:pPr>
        <w:keepNext w:val="0"/>
        <w:keepLines w:val="0"/>
        <w:widowControl w:val="0"/>
        <w:suppressLineNumbers w:val="0"/>
        <w:spacing w:before="0" w:beforeAutospacing="0" w:after="0" w:afterAutospacing="0" w:line="500" w:lineRule="exact"/>
        <w:ind w:left="0" w:right="0" w:firstLine="562" w:firstLineChars="200"/>
        <w:jc w:val="both"/>
        <w:rPr>
          <w:rFonts w:hint="default" w:ascii="Times New Roman" w:hAnsi="Times New Roman" w:cs="Times New Roman"/>
          <w:b/>
          <w:bCs w:val="0"/>
          <w:sz w:val="28"/>
          <w:szCs w:val="24"/>
          <w:lang w:val="en-US"/>
        </w:rPr>
      </w:pPr>
      <w:r>
        <w:rPr>
          <w:rFonts w:hint="default" w:ascii="Times New Roman" w:hAnsi="Times New Roman" w:eastAsia="宋体" w:cs="Times New Roman"/>
          <w:b/>
          <w:bCs w:val="0"/>
          <w:kern w:val="2"/>
          <w:sz w:val="28"/>
          <w:szCs w:val="24"/>
          <w:lang w:val="en-US" w:eastAsia="zh-CN" w:bidi="ar"/>
        </w:rPr>
        <w:t>3）中毒和窒息</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发生场所：储罐，入罐维修维护操作。</w:t>
      </w:r>
    </w:p>
    <w:p>
      <w:pPr>
        <w:pStyle w:val="12"/>
        <w:widowControl/>
        <w:spacing w:line="500" w:lineRule="exact"/>
        <w:rPr>
          <w:rFonts w:hint="default" w:ascii="Times New Roman" w:hAnsi="Times New Roman" w:cs="Times New Roman"/>
          <w:szCs w:val="28"/>
          <w:lang w:val="en-US"/>
        </w:rPr>
      </w:pPr>
      <w:r>
        <w:rPr>
          <w:rFonts w:hint="default" w:ascii="Times New Roman" w:hAnsi="Times New Roman" w:eastAsia="宋体" w:cs="Times New Roman"/>
          <w:szCs w:val="28"/>
          <w:lang w:val="en-US" w:eastAsia="zh-CN"/>
        </w:rPr>
        <w:t>发生条件：在发生漏油、火灾时参加抢险救灾时因保护措施不当，吸入有毒有害油气；检修设备时未采取保护措施；在经营场所误食油品等。</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危险危害程度：严重。</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预防措施：</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①在检修设备和处理突发事件时应采取保护措施，抢险人员应佩戴个人防护用品，如呼吸罩等，防止吸入有毒有害气体；</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②在经营场所和作业场所禁止进食、喝水，避免误食。</w:t>
      </w:r>
    </w:p>
    <w:p>
      <w:pPr>
        <w:keepNext w:val="0"/>
        <w:keepLines w:val="0"/>
        <w:widowControl w:val="0"/>
        <w:suppressLineNumbers w:val="0"/>
        <w:spacing w:before="0" w:beforeAutospacing="0" w:after="0" w:afterAutospacing="0" w:line="500" w:lineRule="exact"/>
        <w:ind w:left="0" w:right="0" w:firstLine="562" w:firstLineChars="200"/>
        <w:jc w:val="both"/>
        <w:rPr>
          <w:rFonts w:hint="default" w:ascii="Times New Roman" w:hAnsi="Times New Roman" w:cs="Times New Roman"/>
          <w:b/>
          <w:bCs w:val="0"/>
          <w:sz w:val="28"/>
          <w:szCs w:val="24"/>
          <w:lang w:val="en-US"/>
        </w:rPr>
      </w:pPr>
      <w:r>
        <w:rPr>
          <w:rFonts w:hint="default" w:ascii="Times New Roman" w:hAnsi="Times New Roman" w:eastAsia="宋体" w:cs="Times New Roman"/>
          <w:b/>
          <w:bCs w:val="0"/>
          <w:kern w:val="2"/>
          <w:sz w:val="28"/>
          <w:szCs w:val="24"/>
          <w:lang w:val="en-US" w:eastAsia="zh-CN" w:bidi="ar"/>
        </w:rPr>
        <w:t>4）车辆伤害</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发生场所：经营场所、油罐区域等。</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发生条件：对进站加油车辆没有进行引导和管理，进入站内车辆失控或驾驶员操作失误。</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危险危害程度：一般。</w:t>
      </w:r>
    </w:p>
    <w:p>
      <w:pPr>
        <w:pStyle w:val="12"/>
        <w:widowControl/>
        <w:spacing w:line="500" w:lineRule="exact"/>
        <w:rPr>
          <w:rFonts w:hint="default" w:ascii="Times New Roman" w:hAnsi="Times New Roman" w:cs="Times New Roman"/>
          <w:szCs w:val="28"/>
          <w:lang w:val="en-US"/>
        </w:rPr>
      </w:pPr>
      <w:r>
        <w:rPr>
          <w:rFonts w:hint="default" w:ascii="Times New Roman" w:hAnsi="Times New Roman" w:eastAsia="宋体" w:cs="Times New Roman"/>
          <w:szCs w:val="28"/>
          <w:lang w:val="en-US" w:eastAsia="zh-CN"/>
        </w:rPr>
        <w:t>预防措施：</w:t>
      </w:r>
    </w:p>
    <w:p>
      <w:pPr>
        <w:pStyle w:val="12"/>
        <w:widowControl/>
        <w:spacing w:line="500" w:lineRule="exact"/>
        <w:rPr>
          <w:rFonts w:hint="default" w:ascii="Times New Roman" w:hAnsi="Times New Roman" w:cs="Times New Roman"/>
          <w:szCs w:val="28"/>
          <w:lang w:val="en-US"/>
        </w:rPr>
      </w:pPr>
      <w:r>
        <w:rPr>
          <w:rFonts w:hint="default" w:ascii="Times New Roman" w:hAnsi="Times New Roman" w:eastAsia="宋体" w:cs="Times New Roman"/>
          <w:szCs w:val="28"/>
          <w:lang w:val="en-US" w:eastAsia="zh-CN"/>
        </w:rPr>
        <w:t>①进入站内车辆应有专人引导停放或设置明显的交通标志，在车辆停稳并拉下手刹后方可进行作业；</w:t>
      </w:r>
    </w:p>
    <w:p>
      <w:pPr>
        <w:pStyle w:val="12"/>
        <w:widowControl/>
        <w:spacing w:line="500" w:lineRule="exact"/>
        <w:rPr>
          <w:rFonts w:hint="default" w:ascii="Times New Roman" w:hAnsi="Times New Roman" w:cs="Times New Roman"/>
          <w:szCs w:val="28"/>
          <w:lang w:val="en-US"/>
        </w:rPr>
      </w:pPr>
      <w:r>
        <w:rPr>
          <w:rFonts w:hint="default" w:ascii="Times New Roman" w:hAnsi="Times New Roman" w:eastAsia="宋体" w:cs="Times New Roman"/>
          <w:szCs w:val="28"/>
          <w:lang w:val="en-US" w:eastAsia="zh-CN"/>
        </w:rPr>
        <w:t>②站内道路不得放置妨碍交通和视线的物品；</w:t>
      </w:r>
    </w:p>
    <w:p>
      <w:pPr>
        <w:pStyle w:val="12"/>
        <w:widowControl/>
        <w:spacing w:line="500" w:lineRule="exact"/>
        <w:rPr>
          <w:rFonts w:hint="default" w:ascii="Times New Roman" w:hAnsi="Times New Roman" w:cs="Times New Roman"/>
          <w:szCs w:val="28"/>
          <w:lang w:val="en-US"/>
        </w:rPr>
      </w:pPr>
      <w:r>
        <w:rPr>
          <w:rFonts w:hint="default" w:ascii="Times New Roman" w:hAnsi="Times New Roman" w:eastAsia="宋体" w:cs="Times New Roman"/>
          <w:szCs w:val="28"/>
          <w:lang w:val="en-US" w:eastAsia="zh-CN"/>
        </w:rPr>
        <w:t>③避免带</w:t>
      </w:r>
      <w:r>
        <w:rPr>
          <w:rFonts w:hint="default" w:ascii="Times New Roman" w:hAnsi="Times New Roman" w:cs="Times New Roman"/>
          <w:szCs w:val="28"/>
          <w:lang w:val="en-US"/>
        </w:rPr>
        <w:t>“</w:t>
      </w:r>
      <w:r>
        <w:rPr>
          <w:rFonts w:hint="default" w:ascii="Times New Roman" w:hAnsi="Times New Roman" w:eastAsia="宋体" w:cs="Times New Roman"/>
          <w:szCs w:val="28"/>
          <w:lang w:val="en-US" w:eastAsia="zh-CN"/>
        </w:rPr>
        <w:t>病</w:t>
      </w:r>
      <w:r>
        <w:rPr>
          <w:rFonts w:hint="default" w:ascii="Times New Roman" w:hAnsi="Times New Roman" w:cs="Times New Roman"/>
          <w:szCs w:val="28"/>
          <w:lang w:val="en-US"/>
        </w:rPr>
        <w:t>”</w:t>
      </w:r>
      <w:r>
        <w:rPr>
          <w:rFonts w:hint="default" w:ascii="Times New Roman" w:hAnsi="Times New Roman" w:eastAsia="宋体" w:cs="Times New Roman"/>
          <w:szCs w:val="28"/>
          <w:lang w:val="en-US" w:eastAsia="zh-CN"/>
        </w:rPr>
        <w:t>车辆进入作业场所。</w:t>
      </w:r>
    </w:p>
    <w:p>
      <w:pPr>
        <w:keepNext w:val="0"/>
        <w:keepLines w:val="0"/>
        <w:widowControl w:val="0"/>
        <w:suppressLineNumbers w:val="0"/>
        <w:spacing w:before="0" w:beforeAutospacing="0" w:after="0" w:afterAutospacing="0" w:line="500" w:lineRule="exact"/>
        <w:ind w:left="0" w:right="0" w:firstLine="562" w:firstLineChars="200"/>
        <w:jc w:val="both"/>
        <w:rPr>
          <w:rFonts w:hint="default" w:ascii="Times New Roman" w:hAnsi="Times New Roman" w:eastAsia="宋体" w:cs="Times New Roman"/>
          <w:b/>
          <w:bCs w:val="0"/>
          <w:kern w:val="2"/>
          <w:sz w:val="28"/>
          <w:szCs w:val="24"/>
          <w:lang w:val="en-US" w:eastAsia="zh-CN" w:bidi="ar"/>
        </w:rPr>
      </w:pPr>
      <w:r>
        <w:rPr>
          <w:rFonts w:hint="default" w:ascii="Times New Roman" w:hAnsi="Times New Roman" w:eastAsia="宋体" w:cs="Times New Roman"/>
          <w:b/>
          <w:bCs w:val="0"/>
          <w:kern w:val="2"/>
          <w:sz w:val="28"/>
          <w:szCs w:val="24"/>
          <w:lang w:val="en-US" w:eastAsia="zh-CN" w:bidi="ar"/>
        </w:rPr>
        <w:t>5）触电</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发生场所：各用电设备；临时用电场所。</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 xml:space="preserve">发生条件：违章作业或设备外壳漏电等。 </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危险危害程度：严重。</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预防措施：</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①带电作业或设备维修时应严格落实“挂牌”作业制度；</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②非电工人员不得从事电工作业；</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③责任人员应经常检查各类电气设备；</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④将电气设备的外壳良好接地，避免因漏电而产生触电事故。</w:t>
      </w:r>
    </w:p>
    <w:p>
      <w:pPr>
        <w:keepNext w:val="0"/>
        <w:keepLines w:val="0"/>
        <w:widowControl w:val="0"/>
        <w:suppressLineNumbers w:val="0"/>
        <w:spacing w:before="0" w:beforeAutospacing="0" w:after="0" w:afterAutospacing="0" w:line="500" w:lineRule="exact"/>
        <w:ind w:left="0" w:right="0" w:firstLine="562" w:firstLineChars="200"/>
        <w:jc w:val="both"/>
        <w:rPr>
          <w:rFonts w:hint="default" w:ascii="Times New Roman" w:hAnsi="Times New Roman" w:eastAsia="宋体" w:cs="Times New Roman"/>
          <w:b/>
          <w:bCs w:val="0"/>
          <w:kern w:val="2"/>
          <w:sz w:val="28"/>
          <w:szCs w:val="24"/>
          <w:lang w:val="en-US" w:eastAsia="zh-CN" w:bidi="ar"/>
        </w:rPr>
      </w:pPr>
      <w:r>
        <w:rPr>
          <w:rFonts w:hint="default" w:ascii="Times New Roman" w:hAnsi="Times New Roman" w:eastAsia="宋体" w:cs="Times New Roman"/>
          <w:b/>
          <w:bCs w:val="0"/>
          <w:kern w:val="2"/>
          <w:sz w:val="28"/>
          <w:szCs w:val="24"/>
          <w:lang w:val="en-US" w:eastAsia="zh-CN" w:bidi="ar"/>
        </w:rPr>
        <w:t>6）高处坠落</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发生场所：进行罩棚维修或更换照明灯具等登高作业场所。</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 xml:space="preserve">发生条件：违章作业、缺乏保护和监督措施等。 </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危险危害程度：严重</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预防措施：</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①严格执行登高作业规程；</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②作业现场必须有专人监督；</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eastAsia="宋体" w:cs="Times New Roman"/>
          <w:kern w:val="2"/>
          <w:sz w:val="28"/>
          <w:szCs w:val="24"/>
          <w:lang w:val="en-US" w:eastAsia="zh-CN" w:bidi="ar"/>
        </w:rPr>
      </w:pPr>
      <w:r>
        <w:rPr>
          <w:rFonts w:hint="default" w:ascii="Times New Roman" w:hAnsi="Times New Roman" w:eastAsia="宋体" w:cs="Times New Roman"/>
          <w:kern w:val="2"/>
          <w:sz w:val="28"/>
          <w:szCs w:val="24"/>
          <w:lang w:val="en-US" w:eastAsia="zh-CN" w:bidi="ar"/>
        </w:rPr>
        <w:t>③使用符合规定和合格的保护用品。</w:t>
      </w:r>
    </w:p>
    <w:p>
      <w:pPr>
        <w:keepNext w:val="0"/>
        <w:keepLines w:val="0"/>
        <w:widowControl w:val="0"/>
        <w:suppressLineNumbers w:val="0"/>
        <w:spacing w:before="0" w:beforeAutospacing="0" w:after="0" w:afterAutospacing="0" w:line="500" w:lineRule="exact"/>
        <w:ind w:left="0" w:right="0" w:firstLine="562" w:firstLineChars="200"/>
        <w:jc w:val="both"/>
        <w:rPr>
          <w:rFonts w:hint="default" w:ascii="Times New Roman" w:hAnsi="Times New Roman" w:eastAsia="宋体" w:cs="Times New Roman"/>
          <w:b/>
          <w:bCs w:val="0"/>
          <w:kern w:val="2"/>
          <w:sz w:val="28"/>
          <w:szCs w:val="24"/>
          <w:lang w:val="en-US" w:eastAsia="zh-CN" w:bidi="ar"/>
        </w:rPr>
      </w:pPr>
      <w:r>
        <w:rPr>
          <w:rFonts w:hint="eastAsia" w:ascii="Times New Roman" w:hAnsi="Times New Roman" w:eastAsia="宋体" w:cs="Times New Roman"/>
          <w:b/>
          <w:bCs w:val="0"/>
          <w:kern w:val="2"/>
          <w:sz w:val="28"/>
          <w:szCs w:val="24"/>
          <w:lang w:val="en-US" w:eastAsia="zh-CN" w:bidi="ar"/>
        </w:rPr>
        <w:t>7）机械伤害</w:t>
      </w:r>
      <w:r>
        <w:rPr>
          <w:rFonts w:hint="default" w:ascii="Times New Roman" w:hAnsi="Times New Roman" w:eastAsia="宋体" w:cs="Times New Roman"/>
          <w:b/>
          <w:bCs w:val="0"/>
          <w:kern w:val="2"/>
          <w:sz w:val="28"/>
          <w:szCs w:val="24"/>
          <w:lang w:val="en-US" w:eastAsia="zh-CN" w:bidi="ar"/>
        </w:rPr>
        <w:t>：</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eastAsia="宋体" w:cs="Times New Roman"/>
          <w:kern w:val="2"/>
          <w:sz w:val="28"/>
          <w:szCs w:val="24"/>
          <w:lang w:val="en-US" w:eastAsia="zh-CN" w:bidi="ar"/>
        </w:rPr>
      </w:pPr>
      <w:r>
        <w:rPr>
          <w:rFonts w:hint="default" w:ascii="Times New Roman" w:hAnsi="Times New Roman" w:eastAsia="宋体" w:cs="Times New Roman"/>
          <w:kern w:val="2"/>
          <w:sz w:val="28"/>
          <w:szCs w:val="24"/>
          <w:lang w:val="en-US" w:eastAsia="zh-CN" w:bidi="ar"/>
        </w:rPr>
        <w:t>发生场所：</w:t>
      </w:r>
      <w:r>
        <w:rPr>
          <w:rFonts w:hint="eastAsia" w:ascii="Times New Roman" w:hAnsi="Times New Roman" w:cs="Times New Roman"/>
          <w:kern w:val="2"/>
          <w:sz w:val="28"/>
          <w:szCs w:val="24"/>
          <w:lang w:val="en-US" w:eastAsia="zh-CN" w:bidi="ar"/>
        </w:rPr>
        <w:t>自助洗车区</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eastAsia="宋体" w:cs="Times New Roman"/>
          <w:kern w:val="2"/>
          <w:sz w:val="28"/>
          <w:szCs w:val="24"/>
          <w:lang w:val="en-US" w:eastAsia="zh-CN" w:bidi="ar"/>
        </w:rPr>
      </w:pPr>
      <w:r>
        <w:rPr>
          <w:rFonts w:hint="default" w:ascii="Times New Roman" w:hAnsi="Times New Roman" w:eastAsia="宋体" w:cs="Times New Roman"/>
          <w:kern w:val="2"/>
          <w:sz w:val="28"/>
          <w:szCs w:val="24"/>
          <w:lang w:val="en-US" w:eastAsia="zh-CN" w:bidi="ar"/>
        </w:rPr>
        <w:t xml:space="preserve">发生条件：违章作业、缺乏保护和监督措施等。 </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eastAsia="宋体" w:cs="Times New Roman"/>
          <w:kern w:val="2"/>
          <w:sz w:val="28"/>
          <w:szCs w:val="24"/>
          <w:lang w:val="en-US" w:eastAsia="zh-CN" w:bidi="ar"/>
        </w:rPr>
      </w:pPr>
      <w:r>
        <w:rPr>
          <w:rFonts w:hint="default" w:ascii="Times New Roman" w:hAnsi="Times New Roman" w:eastAsia="宋体" w:cs="Times New Roman"/>
          <w:kern w:val="2"/>
          <w:sz w:val="28"/>
          <w:szCs w:val="24"/>
          <w:lang w:val="en-US" w:eastAsia="zh-CN" w:bidi="ar"/>
        </w:rPr>
        <w:t>危险危害程度：严重</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eastAsia="宋体" w:cs="Times New Roman"/>
          <w:kern w:val="2"/>
          <w:sz w:val="28"/>
          <w:szCs w:val="24"/>
          <w:lang w:val="en-US" w:eastAsia="zh-CN" w:bidi="ar"/>
        </w:rPr>
      </w:pPr>
      <w:r>
        <w:rPr>
          <w:rFonts w:hint="default" w:ascii="Times New Roman" w:hAnsi="Times New Roman" w:eastAsia="宋体" w:cs="Times New Roman"/>
          <w:kern w:val="2"/>
          <w:sz w:val="28"/>
          <w:szCs w:val="24"/>
          <w:lang w:val="en-US" w:eastAsia="zh-CN" w:bidi="ar"/>
        </w:rPr>
        <w:t>预防措施：</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eastAsia="宋体" w:cs="Times New Roman"/>
          <w:kern w:val="2"/>
          <w:sz w:val="28"/>
          <w:szCs w:val="24"/>
          <w:lang w:val="en-US" w:eastAsia="zh-CN" w:bidi="ar"/>
        </w:rPr>
      </w:pPr>
      <w:r>
        <w:rPr>
          <w:rFonts w:hint="default" w:ascii="Times New Roman" w:hAnsi="Times New Roman" w:eastAsia="宋体" w:cs="Times New Roman"/>
          <w:kern w:val="2"/>
          <w:sz w:val="28"/>
          <w:szCs w:val="24"/>
          <w:lang w:val="en-US" w:eastAsia="zh-CN" w:bidi="ar"/>
        </w:rPr>
        <w:t>①严格执行</w:t>
      </w:r>
      <w:r>
        <w:rPr>
          <w:rFonts w:hint="eastAsia" w:ascii="Times New Roman" w:hAnsi="Times New Roman" w:cs="Times New Roman"/>
          <w:kern w:val="2"/>
          <w:sz w:val="28"/>
          <w:szCs w:val="24"/>
          <w:lang w:val="en-US" w:eastAsia="zh-CN" w:bidi="ar"/>
        </w:rPr>
        <w:t>自助洗车</w:t>
      </w:r>
      <w:r>
        <w:rPr>
          <w:rFonts w:hint="default" w:ascii="Times New Roman" w:hAnsi="Times New Roman" w:eastAsia="宋体" w:cs="Times New Roman"/>
          <w:kern w:val="2"/>
          <w:sz w:val="28"/>
          <w:szCs w:val="24"/>
          <w:lang w:val="en-US" w:eastAsia="zh-CN" w:bidi="ar"/>
        </w:rPr>
        <w:t>作业规程；</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eastAsia="宋体" w:cs="Times New Roman"/>
          <w:kern w:val="2"/>
          <w:sz w:val="28"/>
          <w:szCs w:val="24"/>
          <w:lang w:val="en-US" w:eastAsia="zh-CN" w:bidi="ar"/>
        </w:rPr>
      </w:pPr>
      <w:r>
        <w:rPr>
          <w:rFonts w:hint="default" w:ascii="Times New Roman" w:hAnsi="Times New Roman" w:eastAsia="宋体" w:cs="Times New Roman"/>
          <w:kern w:val="2"/>
          <w:sz w:val="28"/>
          <w:szCs w:val="24"/>
          <w:lang w:val="en-US" w:eastAsia="zh-CN" w:bidi="ar"/>
        </w:rPr>
        <w:t>②作业现场必须有专人监督；</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eastAsia="宋体" w:cs="Times New Roman"/>
          <w:kern w:val="2"/>
          <w:sz w:val="28"/>
          <w:szCs w:val="24"/>
          <w:lang w:val="en-US" w:eastAsia="zh-CN" w:bidi="ar"/>
        </w:rPr>
      </w:pPr>
      <w:r>
        <w:rPr>
          <w:rFonts w:hint="default" w:ascii="Times New Roman" w:hAnsi="Times New Roman" w:eastAsia="宋体" w:cs="Times New Roman"/>
          <w:kern w:val="2"/>
          <w:sz w:val="28"/>
          <w:szCs w:val="24"/>
          <w:lang w:val="en-US" w:eastAsia="zh-CN" w:bidi="ar"/>
        </w:rPr>
        <w:t>③使用符合规定和合格的保护用品。</w:t>
      </w:r>
    </w:p>
    <w:bookmarkEnd w:id="1418"/>
    <w:p>
      <w:pPr>
        <w:keepNext w:val="0"/>
        <w:keepLines w:val="0"/>
        <w:widowControl w:val="0"/>
        <w:suppressLineNumbers w:val="0"/>
        <w:spacing w:before="0" w:beforeAutospacing="0" w:after="0" w:afterAutospacing="0" w:line="500" w:lineRule="exact"/>
        <w:ind w:left="0" w:right="0" w:firstLine="562" w:firstLineChars="200"/>
        <w:jc w:val="both"/>
        <w:rPr>
          <w:rFonts w:hint="default" w:ascii="Times New Roman" w:hAnsi="Times New Roman" w:eastAsia="宋体" w:cs="Times New Roman"/>
          <w:b/>
          <w:bCs w:val="0"/>
          <w:kern w:val="2"/>
          <w:sz w:val="28"/>
          <w:szCs w:val="24"/>
          <w:lang w:val="en-US" w:eastAsia="zh-CN" w:bidi="ar"/>
        </w:rPr>
      </w:pPr>
      <w:bookmarkStart w:id="1422" w:name="_Toc529176537"/>
      <w:bookmarkStart w:id="1423" w:name="_Toc867_WPSOffice_Level2"/>
      <w:bookmarkStart w:id="1424" w:name="_Toc26271_WPSOffice_Level2"/>
      <w:r>
        <w:rPr>
          <w:rFonts w:hint="eastAsia" w:ascii="Times New Roman" w:hAnsi="Times New Roman" w:eastAsia="宋体" w:cs="Times New Roman"/>
          <w:b/>
          <w:bCs w:val="0"/>
          <w:kern w:val="2"/>
          <w:sz w:val="28"/>
          <w:szCs w:val="24"/>
          <w:lang w:val="en-US" w:eastAsia="zh-CN" w:bidi="ar"/>
        </w:rPr>
        <w:t>8）其他危害</w:t>
      </w:r>
      <w:r>
        <w:rPr>
          <w:rFonts w:hint="default" w:ascii="Times New Roman" w:hAnsi="Times New Roman" w:eastAsia="宋体" w:cs="Times New Roman"/>
          <w:b/>
          <w:bCs w:val="0"/>
          <w:kern w:val="2"/>
          <w:sz w:val="28"/>
          <w:szCs w:val="24"/>
          <w:lang w:val="en-US" w:eastAsia="zh-CN" w:bidi="ar"/>
        </w:rPr>
        <w:t>：</w:t>
      </w:r>
    </w:p>
    <w:p>
      <w:pPr>
        <w:keepNext w:val="0"/>
        <w:keepLines w:val="0"/>
        <w:widowControl w:val="0"/>
        <w:suppressLineNumbers w:val="0"/>
        <w:spacing w:before="0" w:beforeAutospacing="0" w:after="0" w:afterAutospacing="0" w:line="360" w:lineRule="auto"/>
        <w:ind w:left="0" w:right="0" w:firstLine="411" w:firstLineChars="147"/>
        <w:jc w:val="both"/>
        <w:rPr>
          <w:rFonts w:hint="eastAsia" w:ascii="宋体" w:hAnsi="宋体" w:eastAsia="宋体" w:cs="宋体"/>
          <w:b w:val="0"/>
          <w:bCs/>
          <w:sz w:val="28"/>
          <w:szCs w:val="20"/>
          <w:lang w:val="en-US"/>
        </w:rPr>
      </w:pPr>
      <w:r>
        <w:rPr>
          <w:rFonts w:hint="eastAsia" w:ascii="宋体" w:hAnsi="宋体" w:eastAsia="宋体" w:cs="宋体"/>
          <w:b w:val="0"/>
          <w:bCs/>
          <w:kern w:val="2"/>
          <w:sz w:val="28"/>
          <w:szCs w:val="20"/>
          <w:lang w:val="en-US" w:eastAsia="zh-CN" w:bidi="ar"/>
        </w:rPr>
        <w:t>（1）自然灾害</w:t>
      </w:r>
    </w:p>
    <w:p>
      <w:pPr>
        <w:keepNext w:val="0"/>
        <w:keepLines w:val="0"/>
        <w:widowControl w:val="0"/>
        <w:suppressLineNumbers w:val="0"/>
        <w:spacing w:before="0" w:beforeAutospacing="0" w:after="0" w:afterAutospacing="0" w:line="360" w:lineRule="auto"/>
        <w:ind w:left="0" w:right="0" w:firstLine="560" w:firstLineChars="200"/>
        <w:jc w:val="both"/>
        <w:rPr>
          <w:rFonts w:hint="eastAsia" w:ascii="宋体" w:hAnsi="宋体" w:eastAsia="宋体" w:cs="宋体"/>
          <w:sz w:val="28"/>
          <w:szCs w:val="20"/>
          <w:lang w:val="en-US"/>
        </w:rPr>
      </w:pPr>
      <w:r>
        <w:rPr>
          <w:rFonts w:hint="eastAsia" w:ascii="宋体" w:hAnsi="宋体" w:eastAsia="宋体" w:cs="宋体"/>
          <w:kern w:val="2"/>
          <w:sz w:val="28"/>
          <w:szCs w:val="20"/>
          <w:lang w:val="en-US" w:eastAsia="zh-CN" w:bidi="ar"/>
        </w:rPr>
        <w:t>发生部位：加油站内各场所。</w:t>
      </w:r>
    </w:p>
    <w:p>
      <w:pPr>
        <w:keepNext w:val="0"/>
        <w:keepLines w:val="0"/>
        <w:widowControl w:val="0"/>
        <w:suppressLineNumbers w:val="0"/>
        <w:spacing w:before="0" w:beforeAutospacing="0" w:after="0" w:afterAutospacing="0" w:line="360" w:lineRule="auto"/>
        <w:ind w:left="0" w:right="0" w:firstLine="560" w:firstLineChars="200"/>
        <w:jc w:val="both"/>
        <w:rPr>
          <w:rFonts w:hint="eastAsia" w:ascii="宋体" w:hAnsi="宋体" w:eastAsia="宋体" w:cs="宋体"/>
          <w:sz w:val="28"/>
          <w:szCs w:val="20"/>
          <w:lang w:val="en-US"/>
        </w:rPr>
      </w:pPr>
      <w:r>
        <w:rPr>
          <w:rFonts w:hint="eastAsia" w:ascii="宋体" w:hAnsi="宋体" w:eastAsia="宋体" w:cs="宋体"/>
          <w:kern w:val="2"/>
          <w:sz w:val="28"/>
          <w:szCs w:val="20"/>
          <w:lang w:val="en-US" w:eastAsia="zh-CN" w:bidi="ar"/>
        </w:rPr>
        <w:t xml:space="preserve">发生条件：发生台风、暴雨、地震、泥石流等自然灾害。 </w:t>
      </w:r>
    </w:p>
    <w:p>
      <w:pPr>
        <w:keepNext w:val="0"/>
        <w:keepLines w:val="0"/>
        <w:widowControl w:val="0"/>
        <w:suppressLineNumbers w:val="0"/>
        <w:spacing w:before="0" w:beforeAutospacing="0" w:after="0" w:afterAutospacing="0" w:line="360" w:lineRule="auto"/>
        <w:ind w:left="0" w:right="0" w:firstLine="560" w:firstLineChars="200"/>
        <w:jc w:val="both"/>
        <w:rPr>
          <w:rFonts w:hint="eastAsia" w:ascii="宋体" w:hAnsi="宋体" w:eastAsia="宋体" w:cs="宋体"/>
          <w:sz w:val="28"/>
          <w:szCs w:val="20"/>
          <w:lang w:val="en-US"/>
        </w:rPr>
      </w:pPr>
      <w:r>
        <w:rPr>
          <w:rFonts w:hint="eastAsia" w:ascii="宋体" w:hAnsi="宋体" w:eastAsia="宋体" w:cs="宋体"/>
          <w:b w:val="0"/>
          <w:bCs/>
          <w:kern w:val="2"/>
          <w:sz w:val="28"/>
          <w:szCs w:val="20"/>
          <w:lang w:val="en-US" w:eastAsia="zh-CN" w:bidi="ar"/>
        </w:rPr>
        <w:t>危险危害程度：可导致加油亭、房屋倒塌；油罐、输油管道破裂，油品</w:t>
      </w:r>
      <w:r>
        <w:rPr>
          <w:rFonts w:hint="eastAsia" w:ascii="宋体" w:hAnsi="宋体" w:eastAsia="宋体" w:cs="宋体"/>
          <w:kern w:val="2"/>
          <w:sz w:val="28"/>
          <w:szCs w:val="20"/>
          <w:lang w:val="en-US" w:eastAsia="zh-CN" w:bidi="ar"/>
        </w:rPr>
        <w:t>大量泄漏；房屋和人员被掩埋等重大伤亡事故。危害程度严重。</w:t>
      </w:r>
    </w:p>
    <w:p>
      <w:pPr>
        <w:keepNext w:val="0"/>
        <w:keepLines w:val="0"/>
        <w:widowControl w:val="0"/>
        <w:suppressLineNumbers w:val="0"/>
        <w:spacing w:before="0" w:beforeAutospacing="0" w:after="0" w:afterAutospacing="0" w:line="360" w:lineRule="auto"/>
        <w:ind w:left="0" w:right="0" w:firstLine="560" w:firstLineChars="200"/>
        <w:jc w:val="both"/>
        <w:rPr>
          <w:rFonts w:hint="eastAsia" w:ascii="宋体" w:hAnsi="宋体" w:eastAsia="宋体" w:cs="宋体"/>
          <w:sz w:val="28"/>
          <w:szCs w:val="20"/>
          <w:lang w:val="en-US"/>
        </w:rPr>
      </w:pPr>
      <w:r>
        <w:rPr>
          <w:rFonts w:hint="eastAsia" w:ascii="宋体" w:hAnsi="宋体" w:eastAsia="宋体" w:cs="宋体"/>
          <w:kern w:val="2"/>
          <w:sz w:val="28"/>
          <w:szCs w:val="20"/>
          <w:lang w:val="en-US" w:eastAsia="zh-CN" w:bidi="ar"/>
        </w:rPr>
        <w:t>预防措施：</w:t>
      </w:r>
    </w:p>
    <w:p>
      <w:pPr>
        <w:keepNext w:val="0"/>
        <w:keepLines w:val="0"/>
        <w:widowControl w:val="0"/>
        <w:suppressLineNumbers w:val="0"/>
        <w:spacing w:before="0" w:beforeAutospacing="0" w:after="0" w:afterAutospacing="0" w:line="360" w:lineRule="auto"/>
        <w:ind w:left="0" w:right="0" w:firstLine="560" w:firstLineChars="200"/>
        <w:jc w:val="both"/>
        <w:rPr>
          <w:rFonts w:hint="eastAsia" w:ascii="宋体" w:hAnsi="宋体" w:eastAsia="宋体" w:cs="宋体"/>
          <w:sz w:val="28"/>
          <w:szCs w:val="20"/>
          <w:lang w:val="en-US"/>
        </w:rPr>
      </w:pPr>
      <w:r>
        <w:rPr>
          <w:rFonts w:hint="eastAsia" w:ascii="宋体" w:hAnsi="宋体" w:eastAsia="宋体" w:cs="宋体"/>
          <w:kern w:val="2"/>
          <w:sz w:val="28"/>
          <w:szCs w:val="20"/>
          <w:lang w:val="en-US" w:eastAsia="zh-CN" w:bidi="ar"/>
        </w:rPr>
        <w:t>① 在台风等灾害多发季节提高警惕，作好预防工作；</w:t>
      </w:r>
    </w:p>
    <w:p>
      <w:pPr>
        <w:keepNext w:val="0"/>
        <w:keepLines w:val="0"/>
        <w:widowControl w:val="0"/>
        <w:suppressLineNumbers w:val="0"/>
        <w:spacing w:before="0" w:beforeAutospacing="0" w:after="0" w:afterAutospacing="0" w:line="360" w:lineRule="auto"/>
        <w:ind w:left="0" w:right="0" w:firstLine="560" w:firstLineChars="200"/>
        <w:jc w:val="both"/>
        <w:rPr>
          <w:rFonts w:hint="eastAsia" w:ascii="宋体" w:hAnsi="宋体" w:eastAsia="宋体" w:cs="宋体"/>
          <w:sz w:val="28"/>
          <w:szCs w:val="20"/>
          <w:lang w:val="en-US"/>
        </w:rPr>
      </w:pPr>
      <w:r>
        <w:rPr>
          <w:rFonts w:hint="eastAsia" w:ascii="宋体" w:hAnsi="宋体" w:eastAsia="宋体" w:cs="宋体"/>
          <w:kern w:val="2"/>
          <w:sz w:val="28"/>
          <w:szCs w:val="20"/>
          <w:lang w:val="en-US" w:eastAsia="zh-CN" w:bidi="ar"/>
        </w:rPr>
        <w:t>② 完善事故应急救援预案并加强演练，提高应急处置能力；</w:t>
      </w:r>
    </w:p>
    <w:p>
      <w:pPr>
        <w:keepNext w:val="0"/>
        <w:keepLines w:val="0"/>
        <w:widowControl w:val="0"/>
        <w:suppressLineNumbers w:val="0"/>
        <w:spacing w:before="0" w:beforeAutospacing="0" w:after="0" w:afterAutospacing="0" w:line="360" w:lineRule="auto"/>
        <w:ind w:left="0" w:right="0" w:firstLine="560" w:firstLineChars="200"/>
        <w:jc w:val="both"/>
        <w:rPr>
          <w:rFonts w:hint="eastAsia" w:ascii="宋体" w:hAnsi="宋体" w:eastAsia="宋体" w:cs="宋体"/>
          <w:sz w:val="28"/>
          <w:szCs w:val="20"/>
          <w:lang w:val="en-US"/>
        </w:rPr>
      </w:pPr>
      <w:r>
        <w:rPr>
          <w:rFonts w:hint="eastAsia" w:ascii="宋体" w:hAnsi="宋体" w:eastAsia="宋体" w:cs="宋体"/>
          <w:kern w:val="2"/>
          <w:sz w:val="28"/>
          <w:szCs w:val="20"/>
          <w:lang w:val="en-US" w:eastAsia="zh-CN" w:bidi="ar"/>
        </w:rPr>
        <w:t>③ 在加油站设计、施工时采取措施增强建筑物和设备设施抗自然灾害的能力；</w:t>
      </w:r>
    </w:p>
    <w:p>
      <w:pPr>
        <w:keepNext w:val="0"/>
        <w:keepLines w:val="0"/>
        <w:widowControl w:val="0"/>
        <w:suppressLineNumbers w:val="0"/>
        <w:spacing w:before="0" w:beforeAutospacing="0" w:after="0" w:afterAutospacing="0" w:line="360" w:lineRule="auto"/>
        <w:ind w:left="0" w:right="0" w:firstLine="560" w:firstLineChars="200"/>
        <w:jc w:val="both"/>
        <w:rPr>
          <w:rFonts w:hint="eastAsia" w:ascii="宋体" w:hAnsi="宋体" w:eastAsia="宋体" w:cs="宋体"/>
          <w:sz w:val="28"/>
          <w:szCs w:val="20"/>
          <w:lang w:val="en-US"/>
        </w:rPr>
      </w:pPr>
      <w:r>
        <w:rPr>
          <w:rFonts w:hint="eastAsia" w:ascii="宋体" w:hAnsi="宋体" w:eastAsia="宋体" w:cs="宋体"/>
          <w:kern w:val="2"/>
          <w:sz w:val="28"/>
          <w:szCs w:val="20"/>
          <w:lang w:val="en-US" w:eastAsia="zh-CN" w:bidi="ar"/>
        </w:rPr>
        <w:t>④ 必要时停止营业，避免人员伤亡事故。</w:t>
      </w:r>
    </w:p>
    <w:p>
      <w:pPr>
        <w:keepNext w:val="0"/>
        <w:keepLines w:val="0"/>
        <w:widowControl w:val="0"/>
        <w:suppressLineNumbers w:val="0"/>
        <w:spacing w:before="0" w:beforeAutospacing="0" w:after="0" w:afterAutospacing="0" w:line="360" w:lineRule="auto"/>
        <w:ind w:left="0" w:right="0" w:firstLine="411" w:firstLineChars="147"/>
        <w:jc w:val="both"/>
        <w:rPr>
          <w:rFonts w:hint="eastAsia" w:ascii="宋体" w:hAnsi="宋体" w:eastAsia="宋体" w:cs="宋体"/>
          <w:b w:val="0"/>
          <w:bCs/>
          <w:sz w:val="28"/>
          <w:szCs w:val="20"/>
          <w:lang w:val="en-US"/>
        </w:rPr>
      </w:pPr>
      <w:r>
        <w:rPr>
          <w:rFonts w:hint="eastAsia" w:ascii="宋体" w:hAnsi="宋体" w:eastAsia="宋体" w:cs="宋体"/>
          <w:b w:val="0"/>
          <w:bCs/>
          <w:kern w:val="2"/>
          <w:sz w:val="28"/>
          <w:szCs w:val="20"/>
          <w:lang w:val="en-US" w:eastAsia="zh-CN" w:bidi="ar"/>
        </w:rPr>
        <w:t>（2）高温</w:t>
      </w:r>
    </w:p>
    <w:p>
      <w:pPr>
        <w:keepNext w:val="0"/>
        <w:keepLines w:val="0"/>
        <w:widowControl w:val="0"/>
        <w:suppressLineNumbers w:val="0"/>
        <w:spacing w:before="0" w:beforeAutospacing="0" w:after="0" w:afterAutospacing="0" w:line="360" w:lineRule="auto"/>
        <w:ind w:left="0" w:right="0" w:firstLine="560" w:firstLineChars="200"/>
        <w:jc w:val="both"/>
        <w:rPr>
          <w:rFonts w:hint="eastAsia" w:ascii="宋体" w:hAnsi="宋体" w:eastAsia="宋体" w:cs="宋体"/>
          <w:sz w:val="28"/>
          <w:szCs w:val="20"/>
          <w:lang w:val="en-US"/>
        </w:rPr>
      </w:pPr>
      <w:r>
        <w:rPr>
          <w:rFonts w:hint="eastAsia" w:ascii="宋体" w:hAnsi="宋体" w:eastAsia="宋体" w:cs="宋体"/>
          <w:kern w:val="2"/>
          <w:sz w:val="28"/>
          <w:szCs w:val="20"/>
          <w:lang w:val="en-US" w:eastAsia="zh-CN" w:bidi="ar"/>
        </w:rPr>
        <w:t>本地区夏季最高气温较高，而且年平均相对湿度也较高，油站在夏季露天作业或入罐检修时，作业环境温度较高，有中暑危险。</w:t>
      </w:r>
    </w:p>
    <w:p>
      <w:pPr>
        <w:keepNext w:val="0"/>
        <w:keepLines w:val="0"/>
        <w:widowControl w:val="0"/>
        <w:suppressLineNumbers w:val="0"/>
        <w:spacing w:before="0" w:beforeAutospacing="0" w:after="0" w:afterAutospacing="0" w:line="360" w:lineRule="auto"/>
        <w:ind w:left="555" w:right="0"/>
        <w:jc w:val="both"/>
        <w:rPr>
          <w:rFonts w:hint="eastAsia" w:ascii="宋体" w:hAnsi="宋体" w:eastAsia="宋体" w:cs="宋体"/>
          <w:b w:val="0"/>
          <w:bCs/>
          <w:sz w:val="28"/>
          <w:szCs w:val="20"/>
          <w:lang w:val="en-US"/>
        </w:rPr>
      </w:pPr>
      <w:r>
        <w:rPr>
          <w:rFonts w:hint="eastAsia" w:ascii="宋体" w:hAnsi="宋体" w:eastAsia="宋体" w:cs="宋体"/>
          <w:b w:val="0"/>
          <w:bCs/>
          <w:kern w:val="2"/>
          <w:sz w:val="28"/>
          <w:szCs w:val="20"/>
          <w:lang w:val="en-US" w:eastAsia="zh-CN" w:bidi="ar"/>
        </w:rPr>
        <w:t>危险危害程度：一般。</w:t>
      </w:r>
    </w:p>
    <w:p>
      <w:pPr>
        <w:keepNext w:val="0"/>
        <w:keepLines w:val="0"/>
        <w:widowControl w:val="0"/>
        <w:suppressLineNumbers w:val="0"/>
        <w:spacing w:before="0" w:beforeAutospacing="0" w:after="0" w:afterAutospacing="0" w:line="360" w:lineRule="auto"/>
        <w:ind w:left="0" w:right="0" w:firstLine="560" w:firstLineChars="200"/>
        <w:jc w:val="both"/>
        <w:rPr>
          <w:rFonts w:hint="eastAsia" w:ascii="宋体" w:hAnsi="宋体" w:eastAsia="宋体" w:cs="宋体"/>
          <w:sz w:val="28"/>
          <w:szCs w:val="20"/>
          <w:lang w:val="en-US"/>
        </w:rPr>
      </w:pPr>
      <w:r>
        <w:rPr>
          <w:rFonts w:hint="eastAsia" w:ascii="宋体" w:hAnsi="宋体" w:eastAsia="宋体" w:cs="宋体"/>
          <w:kern w:val="2"/>
          <w:sz w:val="28"/>
          <w:szCs w:val="20"/>
          <w:lang w:val="en-US" w:eastAsia="zh-CN" w:bidi="ar"/>
        </w:rPr>
        <w:t>预防措施：在高温季节作业或进行检修作业时应采取防暑降温措施或缩短作业时间。</w:t>
      </w:r>
    </w:p>
    <w:p>
      <w:pPr>
        <w:spacing w:line="360" w:lineRule="auto"/>
        <w:jc w:val="center"/>
        <w:rPr>
          <w:rFonts w:hint="default" w:ascii="Times New Roman" w:hAnsi="Times New Roman" w:cs="Times New Roman"/>
          <w:b/>
          <w:sz w:val="32"/>
          <w:szCs w:val="32"/>
        </w:rPr>
      </w:pPr>
    </w:p>
    <w:bookmarkEnd w:id="1422"/>
    <w:bookmarkEnd w:id="1423"/>
    <w:bookmarkEnd w:id="1424"/>
    <w:p>
      <w:pPr>
        <w:pStyle w:val="11"/>
        <w:spacing w:line="500" w:lineRule="exact"/>
        <w:ind w:firstLine="560" w:firstLineChars="200"/>
        <w:rPr>
          <w:rFonts w:hint="default" w:ascii="Times New Roman" w:hAnsi="Times New Roman" w:cs="Times New Roman"/>
        </w:rPr>
      </w:pPr>
    </w:p>
    <w:p>
      <w:pPr>
        <w:pStyle w:val="11"/>
        <w:spacing w:line="500" w:lineRule="exact"/>
        <w:ind w:firstLine="560" w:firstLineChars="200"/>
        <w:rPr>
          <w:rFonts w:hint="default" w:ascii="Times New Roman" w:hAnsi="Times New Roman" w:cs="Times New Roman"/>
        </w:rPr>
      </w:pPr>
    </w:p>
    <w:p>
      <w:pPr>
        <w:pStyle w:val="11"/>
        <w:spacing w:line="500" w:lineRule="exact"/>
        <w:ind w:firstLine="560" w:firstLineChars="200"/>
        <w:rPr>
          <w:rFonts w:hint="default" w:ascii="Times New Roman" w:hAnsi="Times New Roman" w:cs="Times New Roman"/>
        </w:rPr>
      </w:pPr>
    </w:p>
    <w:p>
      <w:pPr>
        <w:pStyle w:val="11"/>
        <w:spacing w:line="500" w:lineRule="exact"/>
        <w:ind w:firstLine="560" w:firstLineChars="200"/>
        <w:rPr>
          <w:rFonts w:hint="default" w:ascii="Times New Roman" w:hAnsi="Times New Roman" w:cs="Times New Roman"/>
        </w:rPr>
      </w:pPr>
    </w:p>
    <w:p>
      <w:pPr>
        <w:pStyle w:val="11"/>
        <w:spacing w:line="500" w:lineRule="exact"/>
        <w:ind w:firstLine="560" w:firstLineChars="200"/>
        <w:rPr>
          <w:rFonts w:hint="default" w:ascii="Times New Roman" w:hAnsi="Times New Roman" w:cs="Times New Roman"/>
        </w:rPr>
      </w:pPr>
    </w:p>
    <w:p>
      <w:pPr>
        <w:pStyle w:val="11"/>
        <w:spacing w:line="500" w:lineRule="exact"/>
        <w:ind w:firstLine="560" w:firstLineChars="200"/>
        <w:rPr>
          <w:rFonts w:hint="default" w:ascii="Times New Roman" w:hAnsi="Times New Roman" w:cs="Times New Roman"/>
        </w:rPr>
      </w:pPr>
    </w:p>
    <w:p>
      <w:pPr>
        <w:pStyle w:val="11"/>
        <w:spacing w:line="500" w:lineRule="exact"/>
        <w:ind w:firstLine="560" w:firstLineChars="200"/>
        <w:rPr>
          <w:rFonts w:hint="default" w:ascii="Times New Roman" w:hAnsi="Times New Roman" w:cs="Times New Roman"/>
        </w:rPr>
      </w:pPr>
    </w:p>
    <w:p>
      <w:pPr>
        <w:spacing w:beforeLines="100" w:afterLines="100"/>
        <w:jc w:val="center"/>
        <w:rPr>
          <w:rFonts w:hint="default" w:ascii="Times New Roman" w:hAnsi="Times New Roman" w:cs="Times New Roman"/>
          <w:b/>
          <w:sz w:val="32"/>
          <w:szCs w:val="32"/>
        </w:rPr>
      </w:pPr>
      <w:bookmarkStart w:id="1425" w:name="_Toc529176538"/>
      <w:bookmarkStart w:id="1426" w:name="_Toc14866_WPSOffice_Level1"/>
      <w:bookmarkStart w:id="1427" w:name="_Toc29001_WPSOffice_Level1"/>
    </w:p>
    <w:p>
      <w:pPr>
        <w:rPr>
          <w:rFonts w:hint="default" w:ascii="Times New Roman" w:hAnsi="Times New Roman" w:cs="Times New Roman"/>
          <w:b/>
          <w:sz w:val="32"/>
          <w:szCs w:val="32"/>
        </w:rPr>
      </w:pPr>
      <w:r>
        <w:rPr>
          <w:rFonts w:hint="default" w:ascii="Times New Roman" w:hAnsi="Times New Roman" w:cs="Times New Roman"/>
          <w:b/>
          <w:sz w:val="32"/>
          <w:szCs w:val="32"/>
        </w:rPr>
        <w:br w:type="page"/>
      </w:r>
    </w:p>
    <w:p>
      <w:pPr>
        <w:pageBreakBefore w:val="0"/>
        <w:widowControl w:val="0"/>
        <w:kinsoku/>
        <w:wordWrap/>
        <w:overflowPunct/>
        <w:topLinePunct w:val="0"/>
        <w:autoSpaceDE w:val="0"/>
        <w:autoSpaceDN w:val="0"/>
        <w:bidi w:val="0"/>
        <w:adjustRightInd/>
        <w:snapToGrid/>
        <w:spacing w:beforeLines="100" w:afterLines="100" w:line="500" w:lineRule="exact"/>
        <w:ind w:left="0" w:leftChars="0" w:right="0" w:rightChars="0"/>
        <w:jc w:val="center"/>
        <w:textAlignment w:val="auto"/>
        <w:outlineLvl w:val="0"/>
        <w:rPr>
          <w:rFonts w:hint="default" w:ascii="Times New Roman" w:hAnsi="Times New Roman" w:cs="Times New Roman"/>
          <w:b/>
          <w:sz w:val="32"/>
          <w:szCs w:val="32"/>
        </w:rPr>
      </w:pPr>
      <w:bookmarkStart w:id="1428" w:name="_Toc20034"/>
      <w:bookmarkStart w:id="1429" w:name="_Toc18436"/>
      <w:bookmarkStart w:id="1430" w:name="_Toc5082"/>
      <w:bookmarkStart w:id="1431" w:name="_Toc20891"/>
      <w:bookmarkStart w:id="1432" w:name="_Toc23660"/>
      <w:bookmarkStart w:id="1433" w:name="_Toc10178_WPSOffice_Level1"/>
      <w:bookmarkStart w:id="1434" w:name="_Toc31787"/>
      <w:bookmarkStart w:id="1435" w:name="_Toc23216"/>
      <w:bookmarkStart w:id="1436" w:name="_Toc700"/>
      <w:bookmarkStart w:id="1437" w:name="_Toc21516"/>
      <w:bookmarkStart w:id="1438" w:name="_Toc17015"/>
      <w:bookmarkStart w:id="1439" w:name="_Toc18892"/>
      <w:bookmarkStart w:id="1440" w:name="_Toc14009"/>
      <w:bookmarkStart w:id="1441" w:name="_Toc28033"/>
      <w:bookmarkStart w:id="1442" w:name="_Toc17938"/>
      <w:bookmarkStart w:id="1443" w:name="_Toc13830"/>
      <w:bookmarkStart w:id="1444" w:name="_Toc27386"/>
      <w:bookmarkStart w:id="1445" w:name="_Toc28794"/>
      <w:bookmarkStart w:id="1446" w:name="_Toc5694"/>
      <w:bookmarkStart w:id="1447" w:name="_Toc1676"/>
      <w:bookmarkStart w:id="1448" w:name="_Toc3754"/>
      <w:bookmarkStart w:id="1449" w:name="_Toc28762"/>
      <w:bookmarkStart w:id="1450" w:name="_Toc12855"/>
      <w:r>
        <w:rPr>
          <w:rFonts w:hint="default" w:ascii="Times New Roman" w:hAnsi="Times New Roman" w:cs="Times New Roman"/>
          <w:b/>
          <w:sz w:val="32"/>
          <w:szCs w:val="32"/>
        </w:rPr>
        <w:t>附件</w:t>
      </w:r>
      <w:r>
        <w:rPr>
          <w:rFonts w:hint="default" w:ascii="Times New Roman" w:hAnsi="Times New Roman" w:cs="Times New Roman"/>
          <w:b/>
          <w:sz w:val="32"/>
          <w:szCs w:val="32"/>
          <w:lang w:val="en-US"/>
        </w:rPr>
        <w:t>4</w:t>
      </w:r>
      <w:r>
        <w:rPr>
          <w:rFonts w:hint="default" w:ascii="Times New Roman" w:hAnsi="Times New Roman" w:cs="Times New Roman"/>
          <w:b/>
          <w:sz w:val="32"/>
          <w:szCs w:val="32"/>
        </w:rPr>
        <w:t xml:space="preserve"> </w:t>
      </w:r>
      <w:bookmarkEnd w:id="1425"/>
      <w:bookmarkEnd w:id="1426"/>
      <w:bookmarkEnd w:id="1427"/>
      <w:bookmarkEnd w:id="1428"/>
      <w:bookmarkEnd w:id="1429"/>
      <w:bookmarkEnd w:id="1430"/>
      <w:bookmarkEnd w:id="1431"/>
      <w:bookmarkEnd w:id="1432"/>
      <w:bookmarkEnd w:id="1433"/>
      <w:bookmarkEnd w:id="1434"/>
      <w:bookmarkEnd w:id="1435"/>
      <w:bookmarkEnd w:id="1436"/>
      <w:bookmarkEnd w:id="1437"/>
      <w:bookmarkEnd w:id="1438"/>
      <w:bookmarkEnd w:id="1439"/>
      <w:bookmarkEnd w:id="1440"/>
      <w:bookmarkEnd w:id="1441"/>
      <w:bookmarkEnd w:id="1442"/>
      <w:bookmarkEnd w:id="1443"/>
      <w:bookmarkEnd w:id="1444"/>
      <w:bookmarkEnd w:id="1445"/>
      <w:bookmarkEnd w:id="1446"/>
      <w:bookmarkEnd w:id="1447"/>
      <w:r>
        <w:rPr>
          <w:rFonts w:hint="default" w:ascii="Times New Roman" w:hAnsi="Times New Roman" w:cs="Times New Roman"/>
          <w:b/>
          <w:sz w:val="32"/>
          <w:szCs w:val="32"/>
        </w:rPr>
        <w:t>定性、定量分析危险、有害程度的过程</w:t>
      </w:r>
      <w:bookmarkEnd w:id="1448"/>
      <w:bookmarkEnd w:id="1449"/>
      <w:bookmarkEnd w:id="1450"/>
    </w:p>
    <w:p>
      <w:pPr>
        <w:pageBreakBefore w:val="0"/>
        <w:widowControl w:val="0"/>
        <w:kinsoku/>
        <w:wordWrap/>
        <w:overflowPunct/>
        <w:topLinePunct w:val="0"/>
        <w:autoSpaceDE w:val="0"/>
        <w:autoSpaceDN w:val="0"/>
        <w:bidi w:val="0"/>
        <w:adjustRightInd/>
        <w:snapToGrid/>
        <w:spacing w:beforeLines="100" w:afterLines="100" w:line="500" w:lineRule="exact"/>
        <w:ind w:left="0" w:leftChars="0" w:right="0" w:rightChars="0"/>
        <w:jc w:val="center"/>
        <w:textAlignment w:val="auto"/>
        <w:outlineLvl w:val="1"/>
        <w:rPr>
          <w:rFonts w:hint="default" w:ascii="Times New Roman" w:hAnsi="Times New Roman" w:cs="Times New Roman"/>
          <w:b/>
          <w:sz w:val="32"/>
          <w:szCs w:val="32"/>
        </w:rPr>
      </w:pPr>
      <w:bookmarkStart w:id="1451" w:name="_Toc5302"/>
      <w:bookmarkStart w:id="1452" w:name="_Toc20644"/>
      <w:bookmarkStart w:id="1453" w:name="_Toc1929"/>
      <w:bookmarkStart w:id="1454" w:name="_Toc25511"/>
      <w:bookmarkStart w:id="1455" w:name="_Toc288"/>
      <w:bookmarkStart w:id="1456" w:name="_Toc529176539"/>
      <w:bookmarkStart w:id="1457" w:name="_Toc8148"/>
      <w:bookmarkStart w:id="1458" w:name="_Toc2680_WPSOffice_Level2"/>
      <w:bookmarkStart w:id="1459" w:name="_Toc15662"/>
      <w:bookmarkStart w:id="1460" w:name="_Toc17726"/>
      <w:bookmarkStart w:id="1461" w:name="_Toc19536"/>
      <w:bookmarkStart w:id="1462" w:name="_Toc8848"/>
      <w:bookmarkStart w:id="1463" w:name="_Toc890"/>
      <w:bookmarkStart w:id="1464" w:name="_Toc31750"/>
      <w:bookmarkStart w:id="1465" w:name="_Toc16624_WPSOffice_Level2"/>
      <w:bookmarkStart w:id="1466" w:name="_Toc23990"/>
      <w:bookmarkStart w:id="1467" w:name="_Toc29825"/>
      <w:bookmarkStart w:id="1468" w:name="_Toc2128"/>
      <w:bookmarkStart w:id="1469" w:name="_Toc810"/>
      <w:bookmarkStart w:id="1470" w:name="_Toc19893_WPSOffice_Level2"/>
      <w:bookmarkStart w:id="1471" w:name="_Toc11666"/>
      <w:bookmarkStart w:id="1472" w:name="_Toc32198"/>
      <w:bookmarkStart w:id="1473" w:name="_Toc11575"/>
      <w:bookmarkStart w:id="1474" w:name="_Toc12976"/>
      <w:bookmarkStart w:id="1475" w:name="_Toc21103"/>
      <w:bookmarkStart w:id="1476" w:name="_Toc23600"/>
      <w:r>
        <w:rPr>
          <w:rFonts w:hint="default" w:ascii="Times New Roman" w:hAnsi="Times New Roman" w:cs="Times New Roman"/>
          <w:b/>
          <w:sz w:val="32"/>
          <w:szCs w:val="32"/>
        </w:rPr>
        <w:t xml:space="preserve">4.1 </w:t>
      </w:r>
      <w:bookmarkEnd w:id="1451"/>
      <w:bookmarkEnd w:id="1452"/>
      <w:bookmarkEnd w:id="1453"/>
      <w:bookmarkEnd w:id="1454"/>
      <w:bookmarkEnd w:id="1455"/>
      <w:bookmarkEnd w:id="1456"/>
      <w:bookmarkEnd w:id="1457"/>
      <w:bookmarkEnd w:id="1458"/>
      <w:bookmarkEnd w:id="1459"/>
      <w:bookmarkEnd w:id="1460"/>
      <w:bookmarkEnd w:id="1461"/>
      <w:bookmarkEnd w:id="1462"/>
      <w:bookmarkEnd w:id="1463"/>
      <w:bookmarkEnd w:id="1464"/>
      <w:bookmarkEnd w:id="1465"/>
      <w:bookmarkEnd w:id="1466"/>
      <w:bookmarkEnd w:id="1467"/>
      <w:bookmarkEnd w:id="1468"/>
      <w:bookmarkEnd w:id="1469"/>
      <w:bookmarkEnd w:id="1470"/>
      <w:bookmarkEnd w:id="1471"/>
      <w:bookmarkEnd w:id="1472"/>
      <w:bookmarkEnd w:id="1473"/>
      <w:r>
        <w:rPr>
          <w:rFonts w:hint="default" w:ascii="Times New Roman" w:hAnsi="Times New Roman" w:cs="Times New Roman"/>
          <w:b/>
          <w:sz w:val="32"/>
          <w:szCs w:val="32"/>
        </w:rPr>
        <w:t>建设项目的安全条件分析</w:t>
      </w:r>
      <w:bookmarkEnd w:id="1474"/>
      <w:bookmarkEnd w:id="1475"/>
      <w:bookmarkEnd w:id="1476"/>
    </w:p>
    <w:p>
      <w:pPr>
        <w:pStyle w:val="5"/>
        <w:pageBreakBefore w:val="0"/>
        <w:widowControl w:val="0"/>
        <w:kinsoku/>
        <w:wordWrap/>
        <w:overflowPunct/>
        <w:topLinePunct w:val="0"/>
        <w:autoSpaceDE w:val="0"/>
        <w:autoSpaceDN w:val="0"/>
        <w:bidi w:val="0"/>
        <w:adjustRightInd/>
        <w:snapToGrid/>
        <w:spacing w:before="120" w:after="120" w:line="500" w:lineRule="exact"/>
        <w:ind w:left="0" w:leftChars="0" w:right="0" w:rightChars="0" w:firstLine="562" w:firstLineChars="200"/>
        <w:jc w:val="left"/>
        <w:textAlignment w:val="auto"/>
        <w:rPr>
          <w:rFonts w:hint="default" w:ascii="Times New Roman" w:hAnsi="Times New Roman" w:cs="Times New Roman"/>
          <w:sz w:val="28"/>
          <w:szCs w:val="28"/>
        </w:rPr>
      </w:pPr>
      <w:r>
        <w:rPr>
          <w:rFonts w:hint="default" w:ascii="Times New Roman" w:hAnsi="Times New Roman" w:cs="Times New Roman"/>
          <w:sz w:val="28"/>
          <w:szCs w:val="28"/>
          <w:lang w:val="en-US" w:eastAsia="zh-CN"/>
        </w:rPr>
        <w:t>4.1</w:t>
      </w:r>
      <w:r>
        <w:rPr>
          <w:rFonts w:hint="default" w:ascii="Times New Roman" w:hAnsi="Times New Roman" w:cs="Times New Roman"/>
          <w:sz w:val="28"/>
          <w:szCs w:val="28"/>
        </w:rPr>
        <w:t>.1</w:t>
      </w:r>
      <w:r>
        <w:rPr>
          <w:rFonts w:hint="default" w:ascii="Times New Roman" w:hAnsi="Times New Roman" w:cs="Times New Roman"/>
          <w:sz w:val="28"/>
          <w:szCs w:val="28"/>
          <w:lang w:val="en-US"/>
        </w:rPr>
        <w:t xml:space="preserve"> </w:t>
      </w:r>
      <w:r>
        <w:rPr>
          <w:rFonts w:hint="default" w:ascii="Times New Roman" w:hAnsi="Times New Roman" w:cs="Times New Roman"/>
          <w:sz w:val="28"/>
          <w:szCs w:val="28"/>
        </w:rPr>
        <w:t>建设项目内在危险、有害因素和建设项目可能发生的各类事故，对建设项目周边单位生产、经营活动或者居民生活的影响</w:t>
      </w:r>
    </w:p>
    <w:p>
      <w:pPr>
        <w:pageBreakBefore w:val="0"/>
        <w:widowControl w:val="0"/>
        <w:kinsoku/>
        <w:wordWrap/>
        <w:overflowPunct/>
        <w:topLinePunct w:val="0"/>
        <w:autoSpaceDE w:val="0"/>
        <w:autoSpaceDN w:val="0"/>
        <w:bidi w:val="0"/>
        <w:adjustRightInd/>
        <w:snapToGrid/>
        <w:spacing w:line="500" w:lineRule="exact"/>
        <w:ind w:left="0" w:leftChars="0" w:right="0" w:rightChars="0" w:firstLine="560" w:firstLineChars="200"/>
        <w:jc w:val="left"/>
        <w:textAlignment w:val="auto"/>
        <w:rPr>
          <w:rFonts w:hint="default" w:ascii="Times New Roman" w:hAnsi="Times New Roman" w:cs="Times New Roman"/>
          <w:sz w:val="28"/>
          <w:szCs w:val="28"/>
        </w:rPr>
      </w:pPr>
      <w:r>
        <w:rPr>
          <w:rFonts w:hint="default" w:ascii="Times New Roman" w:hAnsi="Times New Roman" w:cs="Times New Roman"/>
          <w:sz w:val="28"/>
          <w:szCs w:val="28"/>
        </w:rPr>
        <w:t>该油站的危险、有害因素对周边的影响主要为火灾爆炸及中毒的危险。通过采用道化学火灾爆炸指数评价法对其火灾、爆炸危险性进行的评价可知，油罐区的火灾、爆炸危险等级为“较轻”，若油罐区发生火灾、爆炸事故，对站外区域影响不大。</w:t>
      </w:r>
    </w:p>
    <w:p>
      <w:pPr>
        <w:pageBreakBefore w:val="0"/>
        <w:widowControl w:val="0"/>
        <w:kinsoku/>
        <w:wordWrap/>
        <w:overflowPunct/>
        <w:topLinePunct w:val="0"/>
        <w:autoSpaceDE w:val="0"/>
        <w:autoSpaceDN w:val="0"/>
        <w:bidi w:val="0"/>
        <w:adjustRightInd/>
        <w:snapToGrid/>
        <w:spacing w:line="500" w:lineRule="exact"/>
        <w:ind w:left="0" w:leftChars="0" w:right="0" w:rightChars="0" w:firstLine="560" w:firstLineChars="200"/>
        <w:jc w:val="left"/>
        <w:textAlignment w:val="auto"/>
        <w:rPr>
          <w:rFonts w:hint="default" w:ascii="Times New Roman" w:hAnsi="Times New Roman" w:cs="Times New Roman"/>
          <w:sz w:val="28"/>
          <w:szCs w:val="28"/>
        </w:rPr>
      </w:pPr>
      <w:r>
        <w:rPr>
          <w:rFonts w:hint="default" w:ascii="Times New Roman" w:hAnsi="Times New Roman" w:cs="Times New Roman"/>
          <w:sz w:val="28"/>
          <w:szCs w:val="28"/>
        </w:rPr>
        <w:t>从周边环境及站内建构筑之间的分析(见表2.3-1、表2.3-</w:t>
      </w:r>
      <w:r>
        <w:rPr>
          <w:rFonts w:hint="eastAsia" w:ascii="Times New Roman" w:hAnsi="Times New Roman" w:cs="Times New Roman"/>
          <w:sz w:val="28"/>
          <w:szCs w:val="28"/>
          <w:lang w:val="en-US" w:eastAsia="zh-CN"/>
        </w:rPr>
        <w:t>2、</w:t>
      </w:r>
      <w:r>
        <w:rPr>
          <w:rFonts w:hint="default" w:ascii="Times New Roman" w:hAnsi="Times New Roman" w:cs="Times New Roman"/>
          <w:sz w:val="28"/>
          <w:szCs w:val="28"/>
        </w:rPr>
        <w:t>2.4-1)，该改建项目站内主要设备设施与周边建（构）筑物的间距符合要求。该加油站周围50m内没有重要的政治、文化中心，也没有自然保护区、水源保护区和文物保护建筑及人口密集区域。所以该油站对周边环境的危害影响较小。</w:t>
      </w:r>
    </w:p>
    <w:p>
      <w:pPr>
        <w:pStyle w:val="5"/>
        <w:pageBreakBefore w:val="0"/>
        <w:widowControl w:val="0"/>
        <w:kinsoku/>
        <w:wordWrap/>
        <w:overflowPunct/>
        <w:topLinePunct w:val="0"/>
        <w:autoSpaceDE w:val="0"/>
        <w:autoSpaceDN w:val="0"/>
        <w:bidi w:val="0"/>
        <w:adjustRightInd/>
        <w:snapToGrid/>
        <w:spacing w:beforeLines="100" w:afterLines="100" w:line="500" w:lineRule="exact"/>
        <w:ind w:left="0" w:leftChars="0" w:right="0" w:rightChars="0" w:firstLine="562" w:firstLineChars="200"/>
        <w:jc w:val="left"/>
        <w:textAlignment w:val="auto"/>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4.1.</w:t>
      </w:r>
      <w:r>
        <w:rPr>
          <w:rFonts w:hint="eastAsia" w:ascii="Times New Roman" w:hAnsi="Times New Roman" w:cs="Times New Roman"/>
          <w:sz w:val="28"/>
          <w:szCs w:val="28"/>
          <w:lang w:val="en-US" w:eastAsia="zh-CN"/>
        </w:rPr>
        <w:t>2</w:t>
      </w:r>
      <w:r>
        <w:rPr>
          <w:rFonts w:hint="default" w:ascii="Times New Roman" w:hAnsi="Times New Roman" w:cs="Times New Roman"/>
          <w:sz w:val="28"/>
          <w:szCs w:val="28"/>
          <w:lang w:val="en-US" w:eastAsia="zh-CN"/>
        </w:rPr>
        <w:t xml:space="preserve"> 建设项目周边单位生产、经营活动或者居民生活对建设项目投入生产或者使用后的影响</w:t>
      </w:r>
    </w:p>
    <w:p>
      <w:pPr>
        <w:pageBreakBefore w:val="0"/>
        <w:widowControl w:val="0"/>
        <w:kinsoku/>
        <w:wordWrap/>
        <w:overflowPunct/>
        <w:topLinePunct w:val="0"/>
        <w:autoSpaceDE w:val="0"/>
        <w:autoSpaceDN w:val="0"/>
        <w:bidi w:val="0"/>
        <w:adjustRightInd/>
        <w:snapToGrid/>
        <w:spacing w:line="500" w:lineRule="exact"/>
        <w:ind w:left="0" w:leftChars="0" w:right="0" w:rightChars="0" w:firstLine="560" w:firstLineChars="200"/>
        <w:jc w:val="left"/>
        <w:textAlignment w:val="auto"/>
        <w:rPr>
          <w:rFonts w:hint="default" w:ascii="Times New Roman" w:hAnsi="Times New Roman" w:cs="Times New Roman"/>
          <w:sz w:val="28"/>
          <w:szCs w:val="28"/>
          <w:highlight w:val="none"/>
        </w:rPr>
      </w:pPr>
      <w:r>
        <w:rPr>
          <w:rFonts w:hint="default" w:ascii="Times New Roman" w:hAnsi="Times New Roman" w:cs="Times New Roman"/>
          <w:sz w:val="28"/>
          <w:szCs w:val="28"/>
          <w:highlight w:val="none"/>
        </w:rPr>
        <w:t>由上面分析可知，该油站与周边建筑设施的距离均符合国家标准要求，而且周边也没有生产、储存危险品等危险的装置、设施，周边环境对油站影响较小。</w:t>
      </w:r>
    </w:p>
    <w:p>
      <w:pPr>
        <w:pStyle w:val="5"/>
        <w:pageBreakBefore w:val="0"/>
        <w:widowControl w:val="0"/>
        <w:kinsoku/>
        <w:wordWrap/>
        <w:overflowPunct/>
        <w:topLinePunct w:val="0"/>
        <w:autoSpaceDE w:val="0"/>
        <w:autoSpaceDN w:val="0"/>
        <w:bidi w:val="0"/>
        <w:adjustRightInd/>
        <w:snapToGrid/>
        <w:spacing w:beforeLines="100" w:afterLines="100" w:line="500" w:lineRule="exact"/>
        <w:ind w:left="0" w:leftChars="0" w:right="0" w:rightChars="0" w:firstLine="562" w:firstLineChars="200"/>
        <w:jc w:val="left"/>
        <w:textAlignment w:val="auto"/>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4.1.</w:t>
      </w:r>
      <w:r>
        <w:rPr>
          <w:rFonts w:hint="eastAsia" w:ascii="Times New Roman" w:hAnsi="Times New Roman" w:cs="Times New Roman"/>
          <w:sz w:val="28"/>
          <w:szCs w:val="28"/>
          <w:lang w:val="en-US" w:eastAsia="zh-CN"/>
        </w:rPr>
        <w:t>3</w:t>
      </w:r>
      <w:r>
        <w:rPr>
          <w:rFonts w:hint="default" w:ascii="Times New Roman" w:hAnsi="Times New Roman" w:cs="Times New Roman"/>
          <w:sz w:val="28"/>
          <w:szCs w:val="28"/>
          <w:lang w:val="en-US" w:eastAsia="zh-CN"/>
        </w:rPr>
        <w:t xml:space="preserve"> 建设项目所在地的自然条件对建设项目投入生产或者使用后影响分析</w:t>
      </w:r>
    </w:p>
    <w:p>
      <w:pPr>
        <w:pageBreakBefore w:val="0"/>
        <w:widowControl w:val="0"/>
        <w:kinsoku/>
        <w:wordWrap/>
        <w:overflowPunct/>
        <w:topLinePunct w:val="0"/>
        <w:autoSpaceDE w:val="0"/>
        <w:autoSpaceDN w:val="0"/>
        <w:bidi w:val="0"/>
        <w:adjustRightInd/>
        <w:snapToGrid/>
        <w:spacing w:line="500" w:lineRule="exact"/>
        <w:ind w:left="0" w:leftChars="0" w:right="0" w:rightChars="0" w:firstLine="560" w:firstLineChars="200"/>
        <w:jc w:val="left"/>
        <w:textAlignment w:val="auto"/>
        <w:rPr>
          <w:rFonts w:hint="default" w:ascii="Times New Roman" w:hAnsi="Times New Roman" w:cs="Times New Roman"/>
          <w:sz w:val="28"/>
          <w:szCs w:val="28"/>
          <w:highlight w:val="none"/>
        </w:rPr>
      </w:pPr>
      <w:r>
        <w:rPr>
          <w:rFonts w:hint="default" w:ascii="Times New Roman" w:hAnsi="Times New Roman" w:cs="Times New Roman"/>
          <w:sz w:val="28"/>
          <w:szCs w:val="28"/>
          <w:highlight w:val="none"/>
        </w:rPr>
        <w:t>1）</w:t>
      </w:r>
      <w:r>
        <w:rPr>
          <w:rFonts w:hint="eastAsia" w:ascii="Times New Roman" w:hAnsi="Times New Roman" w:cs="Times New Roman"/>
          <w:sz w:val="28"/>
          <w:szCs w:val="28"/>
          <w:highlight w:val="none"/>
          <w:lang w:eastAsia="zh-CN"/>
        </w:rPr>
        <w:t>东城加油站</w:t>
      </w:r>
      <w:r>
        <w:rPr>
          <w:rFonts w:hint="default" w:ascii="Times New Roman" w:hAnsi="Times New Roman" w:cs="Times New Roman"/>
          <w:sz w:val="28"/>
          <w:szCs w:val="28"/>
          <w:highlight w:val="none"/>
        </w:rPr>
        <w:t>位于</w:t>
      </w:r>
      <w:r>
        <w:rPr>
          <w:rFonts w:hint="eastAsia" w:ascii="Times New Roman" w:hAnsi="Times New Roman" w:cs="Times New Roman"/>
          <w:sz w:val="28"/>
          <w:szCs w:val="28"/>
          <w:highlight w:val="none"/>
          <w:lang w:eastAsia="zh-CN"/>
        </w:rPr>
        <w:t>广东省东莞市石碣镇唐洪金星南路1号</w:t>
      </w:r>
      <w:r>
        <w:rPr>
          <w:rFonts w:hint="default" w:ascii="Times New Roman" w:hAnsi="Times New Roman" w:cs="Times New Roman"/>
          <w:sz w:val="28"/>
          <w:szCs w:val="28"/>
          <w:highlight w:val="none"/>
        </w:rPr>
        <w:t>。项目所在地属亚热带季风气候区，长夏无冬，日照充足，雨量充沛，温差振幅小，季风明显。2005-2009年，年平均气温为23.1℃。最暖为2006年，年平均气温为23.6℃；最冷为2008年，年平均气温为22.7℃。一年中最冷为1月份，最热为7月份。年极端最高气温37.8℃（出现在2006年8月20日），年极端最低气温3.1℃（出现在2008年12月23日）。日照时数充足，2005-2009年平均日照时数为1873.7小时，占全年可照时数的42%。其中，2009年，日照时数最多，达2059.5小时，占全年可照时数的46%；最少是2006年，仅有1558.1小时，占全年可照时数的35%。一年中2-3月份日照最少，7月份日照最多。雨量集中在4-9月份，其中4-6月为前汛期，以锋面低槽降水为多。7-9月为后汛期，台风降水活跃。2005-2009年年平均雨量为1819.9毫米。最多为2008年，年雨量2074.0毫米；最少为2009年，只有1547.4毫米。常受台风、暴雨、春秋干旱、寒露风的侵袭。</w:t>
      </w:r>
    </w:p>
    <w:p>
      <w:pPr>
        <w:pageBreakBefore w:val="0"/>
        <w:widowControl w:val="0"/>
        <w:kinsoku/>
        <w:wordWrap/>
        <w:overflowPunct/>
        <w:topLinePunct w:val="0"/>
        <w:autoSpaceDE w:val="0"/>
        <w:autoSpaceDN w:val="0"/>
        <w:bidi w:val="0"/>
        <w:adjustRightInd/>
        <w:snapToGrid/>
        <w:spacing w:line="500" w:lineRule="exact"/>
        <w:ind w:left="0" w:leftChars="0" w:right="0" w:rightChars="0" w:firstLine="560" w:firstLineChars="200"/>
        <w:jc w:val="left"/>
        <w:textAlignment w:val="auto"/>
        <w:rPr>
          <w:rFonts w:hint="default" w:ascii="Times New Roman" w:hAnsi="Times New Roman" w:cs="Times New Roman"/>
          <w:sz w:val="28"/>
          <w:szCs w:val="28"/>
          <w:highlight w:val="none"/>
        </w:rPr>
      </w:pPr>
      <w:r>
        <w:rPr>
          <w:rFonts w:hint="default" w:ascii="Times New Roman" w:hAnsi="Times New Roman" w:cs="Times New Roman"/>
          <w:sz w:val="28"/>
          <w:szCs w:val="28"/>
          <w:highlight w:val="none"/>
        </w:rPr>
        <w:t>2）地震：根据《建筑抗震设计规范》（GB50011-2010，2016版）的划分，油站所在地地震烈度为6度。</w:t>
      </w:r>
    </w:p>
    <w:p>
      <w:pPr>
        <w:pageBreakBefore w:val="0"/>
        <w:widowControl w:val="0"/>
        <w:kinsoku/>
        <w:wordWrap/>
        <w:overflowPunct/>
        <w:topLinePunct w:val="0"/>
        <w:autoSpaceDE w:val="0"/>
        <w:autoSpaceDN w:val="0"/>
        <w:bidi w:val="0"/>
        <w:adjustRightInd/>
        <w:snapToGrid/>
        <w:spacing w:line="500" w:lineRule="exact"/>
        <w:ind w:left="0" w:leftChars="0" w:right="0" w:rightChars="0" w:firstLine="560" w:firstLineChars="200"/>
        <w:jc w:val="left"/>
        <w:textAlignment w:val="auto"/>
        <w:rPr>
          <w:rFonts w:hint="default" w:ascii="Times New Roman" w:hAnsi="Times New Roman" w:cs="Times New Roman"/>
          <w:sz w:val="28"/>
          <w:szCs w:val="28"/>
          <w:highlight w:val="none"/>
        </w:rPr>
      </w:pPr>
      <w:r>
        <w:rPr>
          <w:rFonts w:hint="default" w:ascii="Times New Roman" w:hAnsi="Times New Roman" w:cs="Times New Roman"/>
          <w:sz w:val="28"/>
          <w:szCs w:val="28"/>
          <w:highlight w:val="none"/>
        </w:rPr>
        <w:t>油站可能受到台风、暴雨等影响，可能造成洪涝灾害；另外，因该地区春、夏季多雷雨天气，故可能受到雷电威胁。因此，要注意预防洪涝灾害以及对防雷、防静电设施进行定期检测和维护、保养。</w:t>
      </w:r>
    </w:p>
    <w:p>
      <w:pPr>
        <w:pStyle w:val="5"/>
        <w:spacing w:before="120" w:after="120" w:line="240" w:lineRule="auto"/>
        <w:ind w:firstLine="562" w:firstLineChars="200"/>
        <w:rPr>
          <w:rFonts w:hint="default" w:ascii="Times New Roman" w:hAnsi="Times New Roman" w:cs="Times New Roman"/>
          <w:sz w:val="28"/>
          <w:szCs w:val="28"/>
        </w:rPr>
      </w:pPr>
      <w:r>
        <w:rPr>
          <w:rFonts w:hint="default" w:ascii="Times New Roman" w:hAnsi="Times New Roman" w:cs="Times New Roman"/>
          <w:sz w:val="28"/>
          <w:szCs w:val="28"/>
          <w:lang w:val="en-US" w:eastAsia="zh-CN"/>
        </w:rPr>
        <w:t>4.1</w:t>
      </w:r>
      <w:r>
        <w:rPr>
          <w:rFonts w:hint="default" w:ascii="Times New Roman" w:hAnsi="Times New Roman" w:cs="Times New Roman"/>
          <w:sz w:val="28"/>
          <w:szCs w:val="28"/>
        </w:rPr>
        <w:t>.</w:t>
      </w:r>
      <w:r>
        <w:rPr>
          <w:rFonts w:hint="eastAsia" w:ascii="Times New Roman" w:hAnsi="Times New Roman" w:cs="Times New Roman"/>
          <w:sz w:val="28"/>
          <w:szCs w:val="28"/>
          <w:lang w:val="en-US" w:eastAsia="zh-CN"/>
        </w:rPr>
        <w:t>4</w:t>
      </w:r>
      <w:r>
        <w:rPr>
          <w:rFonts w:hint="default" w:ascii="Times New Roman" w:hAnsi="Times New Roman" w:cs="Times New Roman"/>
          <w:sz w:val="28"/>
          <w:szCs w:val="28"/>
          <w:lang w:val="en-US"/>
        </w:rPr>
        <w:t xml:space="preserve"> </w:t>
      </w:r>
      <w:r>
        <w:rPr>
          <w:rFonts w:hint="default" w:ascii="Times New Roman" w:hAnsi="Times New Roman" w:cs="Times New Roman"/>
          <w:sz w:val="28"/>
          <w:szCs w:val="28"/>
        </w:rPr>
        <w:t>建设项目是否符合当地规划要求</w:t>
      </w:r>
    </w:p>
    <w:p>
      <w:pPr>
        <w:pageBreakBefore w:val="0"/>
        <w:widowControl w:val="0"/>
        <w:kinsoku/>
        <w:wordWrap/>
        <w:overflowPunct/>
        <w:topLinePunct w:val="0"/>
        <w:autoSpaceDE w:val="0"/>
        <w:autoSpaceDN w:val="0"/>
        <w:bidi w:val="0"/>
        <w:adjustRightInd/>
        <w:snapToGrid/>
        <w:spacing w:line="500" w:lineRule="exact"/>
        <w:ind w:left="0" w:leftChars="0" w:right="0" w:rightChars="0" w:firstLine="560" w:firstLineChars="200"/>
        <w:jc w:val="left"/>
        <w:textAlignment w:val="auto"/>
        <w:rPr>
          <w:rFonts w:hint="default" w:ascii="Times New Roman" w:hAnsi="Times New Roman" w:cs="Times New Roman"/>
          <w:sz w:val="28"/>
          <w:szCs w:val="28"/>
          <w:highlight w:val="none"/>
        </w:rPr>
      </w:pPr>
      <w:r>
        <w:rPr>
          <w:rFonts w:hint="default" w:ascii="Times New Roman" w:hAnsi="Times New Roman" w:cs="Times New Roman"/>
          <w:sz w:val="28"/>
          <w:szCs w:val="28"/>
          <w:highlight w:val="none"/>
        </w:rPr>
        <w:t>该项目属于改建项目，位于原有站区内，项目设置符合当地规划要求。</w:t>
      </w:r>
    </w:p>
    <w:p>
      <w:pPr>
        <w:spacing w:beforeLines="100" w:afterLines="100"/>
        <w:jc w:val="center"/>
        <w:outlineLvl w:val="1"/>
        <w:rPr>
          <w:rFonts w:hint="default" w:ascii="Times New Roman" w:hAnsi="Times New Roman" w:cs="Times New Roman"/>
          <w:b/>
          <w:spacing w:val="6"/>
          <w:sz w:val="32"/>
          <w:szCs w:val="32"/>
        </w:rPr>
      </w:pPr>
      <w:bookmarkStart w:id="1477" w:name="_Toc7717"/>
      <w:bookmarkStart w:id="1478" w:name="_Toc8443"/>
      <w:bookmarkStart w:id="1479" w:name="_Toc14193"/>
      <w:r>
        <w:rPr>
          <w:rFonts w:hint="default" w:ascii="Times New Roman" w:hAnsi="Times New Roman" w:cs="Times New Roman"/>
          <w:b/>
          <w:spacing w:val="6"/>
          <w:sz w:val="32"/>
          <w:szCs w:val="32"/>
        </w:rPr>
        <w:t>4.</w:t>
      </w:r>
      <w:r>
        <w:rPr>
          <w:rFonts w:hint="default" w:ascii="Times New Roman" w:hAnsi="Times New Roman" w:cs="Times New Roman"/>
          <w:b/>
          <w:spacing w:val="6"/>
          <w:sz w:val="32"/>
          <w:szCs w:val="32"/>
          <w:lang w:val="en-US" w:eastAsia="zh-CN"/>
        </w:rPr>
        <w:t>2</w:t>
      </w:r>
      <w:r>
        <w:rPr>
          <w:rFonts w:hint="default" w:ascii="Times New Roman" w:hAnsi="Times New Roman" w:cs="Times New Roman"/>
          <w:b/>
          <w:spacing w:val="6"/>
          <w:sz w:val="32"/>
          <w:szCs w:val="32"/>
          <w:lang w:val="en-US"/>
        </w:rPr>
        <w:t xml:space="preserve"> </w:t>
      </w:r>
      <w:r>
        <w:rPr>
          <w:rFonts w:hint="default" w:ascii="Times New Roman" w:hAnsi="Times New Roman" w:cs="Times New Roman"/>
          <w:b/>
          <w:spacing w:val="6"/>
          <w:sz w:val="32"/>
          <w:szCs w:val="32"/>
        </w:rPr>
        <w:t>建设项目的安全生产条件分析</w:t>
      </w:r>
      <w:bookmarkEnd w:id="1477"/>
      <w:bookmarkEnd w:id="1478"/>
      <w:bookmarkEnd w:id="1479"/>
    </w:p>
    <w:p>
      <w:pPr>
        <w:pageBreakBefore w:val="0"/>
        <w:widowControl w:val="0"/>
        <w:kinsoku/>
        <w:wordWrap/>
        <w:overflowPunct/>
        <w:topLinePunct w:val="0"/>
        <w:autoSpaceDE w:val="0"/>
        <w:autoSpaceDN w:val="0"/>
        <w:bidi w:val="0"/>
        <w:adjustRightInd/>
        <w:snapToGrid/>
        <w:spacing w:line="500" w:lineRule="exact"/>
        <w:ind w:left="0" w:leftChars="0" w:right="0" w:rightChars="0" w:firstLine="560" w:firstLineChars="200"/>
        <w:jc w:val="left"/>
        <w:textAlignment w:val="auto"/>
        <w:rPr>
          <w:rFonts w:hint="default" w:ascii="Times New Roman" w:hAnsi="Times New Roman" w:cs="Times New Roman"/>
          <w:sz w:val="28"/>
          <w:szCs w:val="28"/>
          <w:highlight w:val="none"/>
        </w:rPr>
      </w:pPr>
      <w:r>
        <w:rPr>
          <w:rFonts w:hint="default" w:ascii="Times New Roman" w:hAnsi="Times New Roman" w:cs="Times New Roman"/>
          <w:sz w:val="28"/>
          <w:szCs w:val="28"/>
          <w:highlight w:val="none"/>
        </w:rPr>
        <w:t>根据该油站的实际情况，本报告采用安全检查表法通过检查建设项目采取的安全设施、相关证照、安全生产管理、安全生产规章制度、人员配备、项目选址、总平面布置，加油工艺及设施，消防设施及给排水，电气、报警和紧急切断系统，采暖通风、建（构）筑物与绿化等方面等是否满足《危险化学品经营许可证管理办法》（国家安全生产监督管理总局令第55号，2015年5月27日国家安全监管总局令第79号修订）、《汽车加油加汽站设计与施工规范》（GB50156-2012，2014年版）及其他相关法规的要求。</w:t>
      </w:r>
    </w:p>
    <w:p>
      <w:pPr>
        <w:pStyle w:val="5"/>
        <w:spacing w:before="120" w:after="120" w:line="240" w:lineRule="auto"/>
        <w:ind w:firstLine="562" w:firstLineChars="200"/>
        <w:rPr>
          <w:rFonts w:hint="default" w:ascii="Times New Roman" w:hAnsi="Times New Roman" w:cs="Times New Roman"/>
          <w:sz w:val="28"/>
          <w:szCs w:val="28"/>
        </w:rPr>
      </w:pPr>
      <w:r>
        <w:rPr>
          <w:rFonts w:hint="default" w:ascii="Times New Roman" w:hAnsi="Times New Roman" w:cs="Times New Roman"/>
          <w:sz w:val="28"/>
          <w:szCs w:val="28"/>
          <w:lang w:val="en-US" w:eastAsia="zh-CN"/>
        </w:rPr>
        <w:t>4.</w:t>
      </w:r>
      <w:r>
        <w:rPr>
          <w:rFonts w:hint="eastAsia" w:ascii="Times New Roman" w:hAnsi="Times New Roman" w:cs="Times New Roman"/>
          <w:sz w:val="28"/>
          <w:szCs w:val="28"/>
          <w:lang w:val="en-US" w:eastAsia="zh-CN"/>
        </w:rPr>
        <w:t>2.1</w:t>
      </w:r>
      <w:r>
        <w:rPr>
          <w:rFonts w:hint="default" w:ascii="Times New Roman" w:hAnsi="Times New Roman" w:cs="Times New Roman"/>
          <w:sz w:val="28"/>
          <w:szCs w:val="28"/>
          <w:lang w:val="en-US"/>
        </w:rPr>
        <w:t xml:space="preserve"> </w:t>
      </w:r>
      <w:r>
        <w:rPr>
          <w:rFonts w:hint="default" w:ascii="Times New Roman" w:hAnsi="Times New Roman" w:cs="Times New Roman"/>
          <w:sz w:val="28"/>
          <w:szCs w:val="28"/>
        </w:rPr>
        <w:t>建设项目采取的安全设施评价</w:t>
      </w:r>
    </w:p>
    <w:p>
      <w:pPr>
        <w:spacing w:line="600" w:lineRule="exact"/>
        <w:ind w:firstLine="560" w:firstLineChars="200"/>
        <w:rPr>
          <w:rFonts w:hint="default" w:ascii="Times New Roman" w:hAnsi="Times New Roman" w:cs="Times New Roman"/>
          <w:sz w:val="28"/>
          <w:szCs w:val="28"/>
          <w:highlight w:val="none"/>
          <w:lang w:val="zh-CN" w:eastAsia="zh-CN"/>
        </w:rPr>
      </w:pPr>
      <w:r>
        <w:rPr>
          <w:rFonts w:hint="default" w:ascii="Times New Roman" w:hAnsi="Times New Roman" w:cs="Times New Roman"/>
          <w:sz w:val="28"/>
          <w:szCs w:val="28"/>
          <w:highlight w:val="none"/>
          <w:lang w:val="zh-CN" w:eastAsia="zh-CN"/>
        </w:rPr>
        <w:t>该油站的安全设施分为预防事故设施、控制事故设施、减少与消除事故影响设施3类，其中预防事故设施包括：检测报警设施、设备安全防护设施、防爆设施、作业场所防护设施和安全警示标志等。控制事故设施包括：泄压、止逆设施和紧急处理设施等。减少与消除事故影响设施包括：防止火灾蔓延设施、灭火设施、紧急个体处置设施、应急救援设施、逃生避难设施、劳动防护用品和装备等。该油站已配备的安全设施如下：</w:t>
      </w:r>
    </w:p>
    <w:p>
      <w:pPr>
        <w:pStyle w:val="11"/>
        <w:spacing w:after="0" w:line="500" w:lineRule="exact"/>
        <w:jc w:val="center"/>
        <w:rPr>
          <w:rFonts w:hint="eastAsia" w:ascii="Times New Roman" w:hAnsi="Times New Roman" w:cs="Times New Roman"/>
          <w:b/>
          <w:bCs/>
          <w:sz w:val="24"/>
        </w:rPr>
      </w:pPr>
      <w:r>
        <w:rPr>
          <w:rFonts w:hint="eastAsia" w:ascii="Times New Roman" w:hAnsi="Times New Roman" w:cs="Times New Roman"/>
          <w:b/>
          <w:bCs/>
          <w:sz w:val="24"/>
        </w:rPr>
        <w:t xml:space="preserve">附表：4.2.1-1 </w:t>
      </w:r>
      <w:r>
        <w:rPr>
          <w:rFonts w:hint="eastAsia" w:ascii="Times New Roman" w:hAnsi="Times New Roman" w:cs="Times New Roman"/>
          <w:b/>
          <w:bCs/>
          <w:sz w:val="24"/>
          <w:lang w:eastAsia="zh-CN"/>
        </w:rPr>
        <w:t>该油站</w:t>
      </w:r>
      <w:r>
        <w:rPr>
          <w:rFonts w:hint="eastAsia" w:ascii="Times New Roman" w:hAnsi="Times New Roman" w:cs="Times New Roman"/>
          <w:b/>
          <w:bCs/>
          <w:sz w:val="24"/>
        </w:rPr>
        <w:t>安全设施一览表</w:t>
      </w:r>
    </w:p>
    <w:tbl>
      <w:tblPr>
        <w:tblStyle w:val="29"/>
        <w:tblW w:w="96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3"/>
        <w:gridCol w:w="863"/>
        <w:gridCol w:w="1217"/>
        <w:gridCol w:w="2068"/>
        <w:gridCol w:w="2191"/>
        <w:gridCol w:w="27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3"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b/>
                <w:szCs w:val="21"/>
              </w:rPr>
              <w:t>序号</w:t>
            </w:r>
          </w:p>
        </w:tc>
        <w:tc>
          <w:tcPr>
            <w:tcW w:w="2080" w:type="dxa"/>
            <w:gridSpan w:val="2"/>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b/>
                <w:szCs w:val="21"/>
              </w:rPr>
            </w:pPr>
            <w:r>
              <w:rPr>
                <w:rFonts w:hint="default" w:ascii="Times New Roman" w:hAnsi="Times New Roman" w:cs="Times New Roman"/>
                <w:b/>
                <w:szCs w:val="21"/>
              </w:rPr>
              <w:t>安全设施类别</w:t>
            </w:r>
          </w:p>
        </w:tc>
        <w:tc>
          <w:tcPr>
            <w:tcW w:w="2068"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b/>
                <w:szCs w:val="21"/>
              </w:rPr>
            </w:pPr>
            <w:r>
              <w:rPr>
                <w:rFonts w:hint="default" w:ascii="Times New Roman" w:hAnsi="Times New Roman" w:cs="Times New Roman"/>
                <w:b/>
                <w:szCs w:val="21"/>
              </w:rPr>
              <w:t>安全设施名称</w:t>
            </w:r>
          </w:p>
        </w:tc>
        <w:tc>
          <w:tcPr>
            <w:tcW w:w="2191"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b/>
                <w:szCs w:val="21"/>
              </w:rPr>
            </w:pPr>
            <w:r>
              <w:rPr>
                <w:rFonts w:hint="default" w:ascii="Times New Roman" w:hAnsi="Times New Roman" w:cs="Times New Roman"/>
                <w:b/>
                <w:szCs w:val="21"/>
              </w:rPr>
              <w:t>安装/存放位置</w:t>
            </w:r>
          </w:p>
        </w:tc>
        <w:tc>
          <w:tcPr>
            <w:tcW w:w="2743"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b/>
                <w:szCs w:val="21"/>
              </w:rPr>
            </w:pPr>
            <w:r>
              <w:rPr>
                <w:rFonts w:hint="default" w:ascii="Times New Roman" w:hAnsi="Times New Roman" w:cs="Times New Roman"/>
                <w:b/>
                <w:szCs w:val="21"/>
              </w:rPr>
              <w:t>现场检查情况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3" w:type="dxa"/>
            <w:vMerge w:val="restart"/>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1</w:t>
            </w:r>
          </w:p>
        </w:tc>
        <w:tc>
          <w:tcPr>
            <w:tcW w:w="863" w:type="dxa"/>
            <w:vMerge w:val="restart"/>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预防事故设施</w:t>
            </w:r>
          </w:p>
        </w:tc>
        <w:tc>
          <w:tcPr>
            <w:tcW w:w="1217" w:type="dxa"/>
            <w:vMerge w:val="restart"/>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设备安全防护设施</w:t>
            </w:r>
          </w:p>
        </w:tc>
        <w:tc>
          <w:tcPr>
            <w:tcW w:w="2068"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防雷设施</w:t>
            </w:r>
          </w:p>
        </w:tc>
        <w:tc>
          <w:tcPr>
            <w:tcW w:w="2191"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埋地罐区、站房及加油罩棚</w:t>
            </w:r>
          </w:p>
        </w:tc>
        <w:tc>
          <w:tcPr>
            <w:tcW w:w="2743"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良好，经检测合格。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86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1217"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2068"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电器过载保护设施</w:t>
            </w:r>
          </w:p>
        </w:tc>
        <w:tc>
          <w:tcPr>
            <w:tcW w:w="2191"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埋地罐区、加油区</w:t>
            </w:r>
          </w:p>
        </w:tc>
        <w:tc>
          <w:tcPr>
            <w:tcW w:w="2743"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eastAsia="宋体" w:cs="Times New Roman"/>
                <w:szCs w:val="21"/>
                <w:lang w:eastAsia="zh-CN"/>
              </w:rPr>
            </w:pPr>
            <w:r>
              <w:rPr>
                <w:rFonts w:hint="default" w:ascii="Times New Roman" w:hAnsi="Times New Roman" w:cs="Times New Roman"/>
                <w:szCs w:val="21"/>
              </w:rPr>
              <w:t>良好</w:t>
            </w:r>
            <w:r>
              <w:rPr>
                <w:rFonts w:hint="default" w:ascii="Times New Roman" w:hAnsi="Times New Roman" w:cs="Times New Roman"/>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86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1217"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2068"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静电接地设施</w:t>
            </w:r>
          </w:p>
        </w:tc>
        <w:tc>
          <w:tcPr>
            <w:tcW w:w="2191"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埋地罐区、加油区</w:t>
            </w:r>
          </w:p>
        </w:tc>
        <w:tc>
          <w:tcPr>
            <w:tcW w:w="2743"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油罐、输油管道、加油机等设备均做防静电接地。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86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1217"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2068"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lang w:val="en-GB"/>
              </w:rPr>
              <w:t>液位报警</w:t>
            </w:r>
          </w:p>
        </w:tc>
        <w:tc>
          <w:tcPr>
            <w:tcW w:w="2191"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埋地罐区、站房</w:t>
            </w:r>
          </w:p>
        </w:tc>
        <w:tc>
          <w:tcPr>
            <w:tcW w:w="2743"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eastAsia="宋体" w:cs="Times New Roman"/>
                <w:szCs w:val="21"/>
                <w:lang w:eastAsia="zh-CN"/>
              </w:rPr>
            </w:pPr>
            <w:r>
              <w:rPr>
                <w:rFonts w:hint="default" w:ascii="Times New Roman" w:hAnsi="Times New Roman" w:cs="Times New Roman"/>
                <w:szCs w:val="21"/>
              </w:rPr>
              <w:t>油料达到油罐容积</w:t>
            </w:r>
            <w:r>
              <w:rPr>
                <w:rFonts w:hint="default" w:ascii="Times New Roman" w:hAnsi="Times New Roman" w:cs="Times New Roman"/>
                <w:szCs w:val="21"/>
                <w:lang w:eastAsia="zh-CN"/>
              </w:rPr>
              <w:t>设定上下限值</w:t>
            </w:r>
            <w:r>
              <w:rPr>
                <w:rFonts w:hint="default" w:ascii="Times New Roman" w:hAnsi="Times New Roman" w:cs="Times New Roman"/>
                <w:szCs w:val="21"/>
              </w:rPr>
              <w:t>时，触动液位报警装置</w:t>
            </w:r>
            <w:r>
              <w:rPr>
                <w:rFonts w:hint="default" w:ascii="Times New Roman" w:hAnsi="Times New Roman" w:cs="Times New Roman"/>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86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1217"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2068"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lang w:val="en-GB"/>
              </w:rPr>
            </w:pPr>
            <w:r>
              <w:rPr>
                <w:rFonts w:hint="default" w:ascii="Times New Roman" w:hAnsi="Times New Roman" w:cs="Times New Roman"/>
                <w:szCs w:val="21"/>
                <w:lang w:val="en-GB"/>
              </w:rPr>
              <w:t>拉断自动切断阀</w:t>
            </w:r>
          </w:p>
        </w:tc>
        <w:tc>
          <w:tcPr>
            <w:tcW w:w="2191"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lang w:val="en-GB"/>
              </w:rPr>
            </w:pPr>
            <w:r>
              <w:rPr>
                <w:rFonts w:hint="default" w:ascii="Times New Roman" w:hAnsi="Times New Roman" w:cs="Times New Roman"/>
                <w:szCs w:val="21"/>
                <w:lang w:val="en-GB"/>
              </w:rPr>
              <w:t>加油机</w:t>
            </w:r>
            <w:r>
              <w:rPr>
                <w:rFonts w:hint="default" w:ascii="Times New Roman" w:hAnsi="Times New Roman" w:cs="Times New Roman"/>
                <w:szCs w:val="21"/>
              </w:rPr>
              <w:t>、站房</w:t>
            </w:r>
          </w:p>
        </w:tc>
        <w:tc>
          <w:tcPr>
            <w:tcW w:w="2743"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eastAsia="宋体" w:cs="Times New Roman"/>
                <w:szCs w:val="21"/>
                <w:lang w:eastAsia="zh-CN"/>
              </w:rPr>
            </w:pPr>
            <w:r>
              <w:rPr>
                <w:rFonts w:hint="default" w:ascii="Times New Roman" w:hAnsi="Times New Roman" w:cs="Times New Roman"/>
                <w:szCs w:val="21"/>
                <w:lang w:val="en-GB"/>
              </w:rPr>
              <w:t>加油机的加油枪管道安装了拉断自动切断阀，将自动切断油系统</w:t>
            </w:r>
            <w:r>
              <w:rPr>
                <w:rFonts w:hint="default" w:ascii="Times New Roman" w:hAnsi="Times New Roman" w:cs="Times New Roman"/>
                <w:szCs w:val="21"/>
                <w:lang w:val="en-GB"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86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1217"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2068"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紧急切断系统</w:t>
            </w:r>
          </w:p>
        </w:tc>
        <w:tc>
          <w:tcPr>
            <w:tcW w:w="2191"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埋地罐区、加油机、站房</w:t>
            </w:r>
          </w:p>
        </w:tc>
        <w:tc>
          <w:tcPr>
            <w:tcW w:w="2743"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lang w:val="en-GB"/>
              </w:rPr>
              <w:t>能在事故状态下迅速切断加油泵的电源，具有失效保护功能。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86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1217" w:type="dxa"/>
            <w:vMerge w:val="restart"/>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防爆设施</w:t>
            </w:r>
          </w:p>
        </w:tc>
        <w:tc>
          <w:tcPr>
            <w:tcW w:w="2068"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电气、仪表的防爆设施</w:t>
            </w:r>
          </w:p>
        </w:tc>
        <w:tc>
          <w:tcPr>
            <w:tcW w:w="2191"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埋地罐区、加油区</w:t>
            </w:r>
          </w:p>
        </w:tc>
        <w:tc>
          <w:tcPr>
            <w:tcW w:w="2743"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易燃易爆场所所有设备均选用防爆型。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86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1217"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2068"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防爆工器具</w:t>
            </w:r>
          </w:p>
        </w:tc>
        <w:tc>
          <w:tcPr>
            <w:tcW w:w="2191"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eastAsia="宋体" w:cs="Times New Roman"/>
                <w:szCs w:val="21"/>
                <w:lang w:eastAsia="zh-CN"/>
              </w:rPr>
            </w:pPr>
            <w:r>
              <w:rPr>
                <w:rFonts w:hint="default" w:ascii="Times New Roman" w:hAnsi="Times New Roman" w:cs="Times New Roman"/>
                <w:szCs w:val="21"/>
              </w:rPr>
              <w:t>工具</w:t>
            </w:r>
            <w:r>
              <w:rPr>
                <w:rFonts w:hint="default" w:ascii="Times New Roman" w:hAnsi="Times New Roman" w:cs="Times New Roman"/>
                <w:szCs w:val="21"/>
                <w:lang w:eastAsia="zh-CN"/>
              </w:rPr>
              <w:t>箱</w:t>
            </w:r>
          </w:p>
        </w:tc>
        <w:tc>
          <w:tcPr>
            <w:tcW w:w="2743"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已配置。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86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1217" w:type="dxa"/>
            <w:vMerge w:val="restart"/>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作业场所防护设施</w:t>
            </w:r>
          </w:p>
        </w:tc>
        <w:tc>
          <w:tcPr>
            <w:tcW w:w="2068"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防静电设施</w:t>
            </w:r>
          </w:p>
        </w:tc>
        <w:tc>
          <w:tcPr>
            <w:tcW w:w="2191"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埋地罐区、加油区</w:t>
            </w:r>
          </w:p>
        </w:tc>
        <w:tc>
          <w:tcPr>
            <w:tcW w:w="2743"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油罐、输油管道、加油机等设备均做防静电接地。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86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1217"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2068"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通风设施</w:t>
            </w:r>
          </w:p>
        </w:tc>
        <w:tc>
          <w:tcPr>
            <w:tcW w:w="2191"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埋地罐区、加油区</w:t>
            </w:r>
          </w:p>
        </w:tc>
        <w:tc>
          <w:tcPr>
            <w:tcW w:w="2743"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露天设置，通风良好。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86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1217" w:type="dxa"/>
            <w:vMerge w:val="restart"/>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安全警示标志</w:t>
            </w:r>
          </w:p>
        </w:tc>
        <w:tc>
          <w:tcPr>
            <w:tcW w:w="2068"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危害告知牌</w:t>
            </w:r>
          </w:p>
        </w:tc>
        <w:tc>
          <w:tcPr>
            <w:tcW w:w="2191"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进站须知</w:t>
            </w:r>
          </w:p>
        </w:tc>
        <w:tc>
          <w:tcPr>
            <w:tcW w:w="2743"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良好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86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1217"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2068"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安全警示标志</w:t>
            </w:r>
          </w:p>
        </w:tc>
        <w:tc>
          <w:tcPr>
            <w:tcW w:w="2191"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埋地罐区、加油区、发配电房等。</w:t>
            </w:r>
          </w:p>
        </w:tc>
        <w:tc>
          <w:tcPr>
            <w:tcW w:w="2743"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设置有防火防爆、禁烟、禁手机、当心触电等警示标识。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3"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2</w:t>
            </w:r>
          </w:p>
        </w:tc>
        <w:tc>
          <w:tcPr>
            <w:tcW w:w="863"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控制事故设施</w:t>
            </w:r>
          </w:p>
        </w:tc>
        <w:tc>
          <w:tcPr>
            <w:tcW w:w="1217"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紧急处理设施</w:t>
            </w:r>
          </w:p>
        </w:tc>
        <w:tc>
          <w:tcPr>
            <w:tcW w:w="2068"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紧急备用电源</w:t>
            </w:r>
          </w:p>
        </w:tc>
        <w:tc>
          <w:tcPr>
            <w:tcW w:w="2191"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站房内</w:t>
            </w:r>
          </w:p>
        </w:tc>
        <w:tc>
          <w:tcPr>
            <w:tcW w:w="2743"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设置应急</w:t>
            </w:r>
            <w:r>
              <w:rPr>
                <w:rFonts w:hint="eastAsia" w:ascii="Times New Roman" w:hAnsi="Times New Roman" w:cs="Times New Roman"/>
                <w:szCs w:val="21"/>
                <w:lang w:eastAsia="zh-CN"/>
              </w:rPr>
              <w:t>电源</w:t>
            </w:r>
            <w:r>
              <w:rPr>
                <w:rFonts w:hint="default" w:ascii="Times New Roman" w:hAnsi="Times New Roman"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3" w:type="dxa"/>
            <w:vMerge w:val="restart"/>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3</w:t>
            </w:r>
          </w:p>
        </w:tc>
        <w:tc>
          <w:tcPr>
            <w:tcW w:w="863" w:type="dxa"/>
            <w:vMerge w:val="restart"/>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减少与消除事故影响设施</w:t>
            </w:r>
          </w:p>
        </w:tc>
        <w:tc>
          <w:tcPr>
            <w:tcW w:w="1217" w:type="dxa"/>
            <w:vMerge w:val="restart"/>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防止火灾蔓延设施</w:t>
            </w:r>
          </w:p>
        </w:tc>
        <w:tc>
          <w:tcPr>
            <w:tcW w:w="2068"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阻火器、呼吸阀</w:t>
            </w:r>
          </w:p>
        </w:tc>
        <w:tc>
          <w:tcPr>
            <w:tcW w:w="2191"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汽油、柴油通气管管口</w:t>
            </w:r>
          </w:p>
        </w:tc>
        <w:tc>
          <w:tcPr>
            <w:tcW w:w="2743"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良好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86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1217"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2068"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安全水封</w:t>
            </w:r>
          </w:p>
        </w:tc>
        <w:tc>
          <w:tcPr>
            <w:tcW w:w="2191"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隔油池、水封井</w:t>
            </w:r>
          </w:p>
        </w:tc>
        <w:tc>
          <w:tcPr>
            <w:tcW w:w="2743"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污水排出站前设置有隔油池、水封井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86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1217" w:type="dxa"/>
            <w:vMerge w:val="restart"/>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灭火设施</w:t>
            </w:r>
          </w:p>
        </w:tc>
        <w:tc>
          <w:tcPr>
            <w:tcW w:w="2068"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消火栓</w:t>
            </w:r>
          </w:p>
        </w:tc>
        <w:tc>
          <w:tcPr>
            <w:tcW w:w="2191"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eastAsia="宋体" w:cs="Times New Roman"/>
                <w:szCs w:val="21"/>
              </w:rPr>
            </w:pPr>
            <w:r>
              <w:rPr>
                <w:rFonts w:hint="default" w:ascii="Times New Roman" w:hAnsi="Times New Roman" w:cs="Times New Roman"/>
                <w:szCs w:val="21"/>
              </w:rPr>
              <w:t>/</w:t>
            </w:r>
          </w:p>
        </w:tc>
        <w:tc>
          <w:tcPr>
            <w:tcW w:w="2743"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eastAsia="宋体" w:cs="Times New Roman"/>
                <w:szCs w:val="21"/>
              </w:rPr>
            </w:pPr>
            <w:r>
              <w:rPr>
                <w:rFonts w:hint="default" w:ascii="Times New Roman" w:hAnsi="Times New Roman"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86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1217"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2068"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移动灭火器、灭火毯、消防沙</w:t>
            </w:r>
          </w:p>
        </w:tc>
        <w:tc>
          <w:tcPr>
            <w:tcW w:w="2191"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埋地罐区、加油区、站房等</w:t>
            </w:r>
          </w:p>
        </w:tc>
        <w:tc>
          <w:tcPr>
            <w:tcW w:w="2743"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设置有手提式、推车式移动灭火器材，设置有灭火毯、消防沙。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86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1217" w:type="dxa"/>
            <w:vMerge w:val="restart"/>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紧急个体处置设施</w:t>
            </w:r>
          </w:p>
        </w:tc>
        <w:tc>
          <w:tcPr>
            <w:tcW w:w="2068"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洗眼器</w:t>
            </w:r>
          </w:p>
        </w:tc>
        <w:tc>
          <w:tcPr>
            <w:tcW w:w="2191"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w:t>
            </w:r>
          </w:p>
        </w:tc>
        <w:tc>
          <w:tcPr>
            <w:tcW w:w="2743"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86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1217"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2068"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清洗水龙头</w:t>
            </w:r>
          </w:p>
        </w:tc>
        <w:tc>
          <w:tcPr>
            <w:tcW w:w="2191"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eastAsia="宋体" w:cs="Times New Roman"/>
                <w:szCs w:val="21"/>
              </w:rPr>
            </w:pPr>
            <w:r>
              <w:rPr>
                <w:rFonts w:hint="default" w:ascii="Times New Roman" w:hAnsi="Times New Roman" w:cs="Times New Roman"/>
                <w:szCs w:val="21"/>
              </w:rPr>
              <w:t>站房</w:t>
            </w:r>
          </w:p>
        </w:tc>
        <w:tc>
          <w:tcPr>
            <w:tcW w:w="2743"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eastAsia="宋体" w:cs="Times New Roman"/>
                <w:szCs w:val="21"/>
              </w:rPr>
            </w:pPr>
            <w:r>
              <w:rPr>
                <w:rFonts w:hint="default" w:ascii="Times New Roman" w:hAnsi="Times New Roman" w:cs="Times New Roman"/>
                <w:szCs w:val="21"/>
              </w:rPr>
              <w:t>良好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86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1217"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2068"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应急照明</w:t>
            </w:r>
          </w:p>
        </w:tc>
        <w:tc>
          <w:tcPr>
            <w:tcW w:w="2191"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站房、配电房</w:t>
            </w:r>
          </w:p>
        </w:tc>
        <w:tc>
          <w:tcPr>
            <w:tcW w:w="2743"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站房、配电房设应急灯，配有应急防爆电筒。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86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1217" w:type="dxa"/>
            <w:vMerge w:val="restart"/>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应急救援设施</w:t>
            </w:r>
          </w:p>
        </w:tc>
        <w:tc>
          <w:tcPr>
            <w:tcW w:w="2068"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堵漏</w:t>
            </w:r>
          </w:p>
        </w:tc>
        <w:tc>
          <w:tcPr>
            <w:tcW w:w="2191" w:type="dxa"/>
            <w:vAlign w:val="center"/>
          </w:tcPr>
          <w:p>
            <w:pPr>
              <w:keepNext w:val="0"/>
              <w:keepLines w:val="0"/>
              <w:suppressLineNumbers w:val="0"/>
              <w:snapToGrid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站房内</w:t>
            </w:r>
          </w:p>
        </w:tc>
        <w:tc>
          <w:tcPr>
            <w:tcW w:w="2743"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配有密封胶。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86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1217"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2068"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医疗抢救装备</w:t>
            </w:r>
          </w:p>
        </w:tc>
        <w:tc>
          <w:tcPr>
            <w:tcW w:w="2191" w:type="dxa"/>
            <w:vAlign w:val="center"/>
          </w:tcPr>
          <w:p>
            <w:pPr>
              <w:keepNext w:val="0"/>
              <w:keepLines w:val="0"/>
              <w:suppressLineNumbers w:val="0"/>
              <w:snapToGrid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站房内</w:t>
            </w:r>
          </w:p>
        </w:tc>
        <w:tc>
          <w:tcPr>
            <w:tcW w:w="2743"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配有急救药品。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86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1217" w:type="dxa"/>
            <w:vMerge w:val="restart"/>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劳动防护用品和装备</w:t>
            </w:r>
          </w:p>
        </w:tc>
        <w:tc>
          <w:tcPr>
            <w:tcW w:w="2068"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头部</w:t>
            </w:r>
          </w:p>
        </w:tc>
        <w:tc>
          <w:tcPr>
            <w:tcW w:w="2191" w:type="dxa"/>
            <w:vAlign w:val="center"/>
          </w:tcPr>
          <w:p>
            <w:pPr>
              <w:keepNext w:val="0"/>
              <w:keepLines w:val="0"/>
              <w:suppressLineNumbers w:val="0"/>
              <w:snapToGrid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站房内</w:t>
            </w:r>
          </w:p>
        </w:tc>
        <w:tc>
          <w:tcPr>
            <w:tcW w:w="2743"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配有安全帽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86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1217"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2068"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面部</w:t>
            </w:r>
          </w:p>
        </w:tc>
        <w:tc>
          <w:tcPr>
            <w:tcW w:w="2191" w:type="dxa"/>
            <w:vAlign w:val="center"/>
          </w:tcPr>
          <w:p>
            <w:pPr>
              <w:keepNext w:val="0"/>
              <w:keepLines w:val="0"/>
              <w:suppressLineNumbers w:val="0"/>
              <w:snapToGrid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站房内</w:t>
            </w:r>
          </w:p>
        </w:tc>
        <w:tc>
          <w:tcPr>
            <w:tcW w:w="2743"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配有口罩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86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1217"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2068"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视觉</w:t>
            </w:r>
          </w:p>
        </w:tc>
        <w:tc>
          <w:tcPr>
            <w:tcW w:w="2191" w:type="dxa"/>
            <w:vAlign w:val="center"/>
          </w:tcPr>
          <w:p>
            <w:pPr>
              <w:keepNext w:val="0"/>
              <w:keepLines w:val="0"/>
              <w:suppressLineNumbers w:val="0"/>
              <w:snapToGrid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站房内</w:t>
            </w:r>
          </w:p>
        </w:tc>
        <w:tc>
          <w:tcPr>
            <w:tcW w:w="2743"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配有口罩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86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1217"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2068"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四肢</w:t>
            </w:r>
          </w:p>
        </w:tc>
        <w:tc>
          <w:tcPr>
            <w:tcW w:w="2191" w:type="dxa"/>
            <w:vAlign w:val="center"/>
          </w:tcPr>
          <w:p>
            <w:pPr>
              <w:keepNext w:val="0"/>
              <w:keepLines w:val="0"/>
              <w:suppressLineNumbers w:val="0"/>
              <w:snapToGrid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站房内</w:t>
            </w:r>
          </w:p>
        </w:tc>
        <w:tc>
          <w:tcPr>
            <w:tcW w:w="2743"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配有工作服、工作鞋、工作手套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86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1217"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2068"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躯干防火</w:t>
            </w:r>
          </w:p>
        </w:tc>
        <w:tc>
          <w:tcPr>
            <w:tcW w:w="2191" w:type="dxa"/>
            <w:vAlign w:val="center"/>
          </w:tcPr>
          <w:p>
            <w:pPr>
              <w:keepNext w:val="0"/>
              <w:keepLines w:val="0"/>
              <w:suppressLineNumbers w:val="0"/>
              <w:snapToGrid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站房内</w:t>
            </w:r>
          </w:p>
        </w:tc>
        <w:tc>
          <w:tcPr>
            <w:tcW w:w="2743"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配有工作服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86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1217"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2068"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防毒</w:t>
            </w:r>
          </w:p>
        </w:tc>
        <w:tc>
          <w:tcPr>
            <w:tcW w:w="2191" w:type="dxa"/>
            <w:vAlign w:val="center"/>
          </w:tcPr>
          <w:p>
            <w:pPr>
              <w:keepNext w:val="0"/>
              <w:keepLines w:val="0"/>
              <w:suppressLineNumbers w:val="0"/>
              <w:snapToGrid w:val="0"/>
              <w:spacing w:before="0" w:beforeAutospacing="0" w:after="0" w:afterAutospacing="0" w:line="320" w:lineRule="exact"/>
              <w:ind w:left="0" w:right="0"/>
              <w:jc w:val="center"/>
              <w:rPr>
                <w:rFonts w:hint="default" w:ascii="Times New Roman" w:hAnsi="Times New Roman" w:eastAsia="宋体" w:cs="Times New Roman"/>
                <w:szCs w:val="21"/>
              </w:rPr>
            </w:pPr>
            <w:r>
              <w:rPr>
                <w:rFonts w:hint="default" w:ascii="Times New Roman" w:hAnsi="Times New Roman" w:cs="Times New Roman"/>
                <w:szCs w:val="21"/>
              </w:rPr>
              <w:t>/</w:t>
            </w:r>
          </w:p>
        </w:tc>
        <w:tc>
          <w:tcPr>
            <w:tcW w:w="2743"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eastAsia="宋体" w:cs="Times New Roman"/>
                <w:szCs w:val="21"/>
              </w:rPr>
            </w:pPr>
            <w:r>
              <w:rPr>
                <w:rFonts w:hint="default" w:ascii="Times New Roman" w:hAnsi="Times New Roman"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86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1217"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2068"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防冻伤</w:t>
            </w:r>
          </w:p>
        </w:tc>
        <w:tc>
          <w:tcPr>
            <w:tcW w:w="2191" w:type="dxa"/>
            <w:vAlign w:val="center"/>
          </w:tcPr>
          <w:p>
            <w:pPr>
              <w:keepNext w:val="0"/>
              <w:keepLines w:val="0"/>
              <w:suppressLineNumbers w:val="0"/>
              <w:snapToGrid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w:t>
            </w:r>
          </w:p>
        </w:tc>
        <w:tc>
          <w:tcPr>
            <w:tcW w:w="2743"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86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1217"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2068"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防噪音</w:t>
            </w:r>
          </w:p>
        </w:tc>
        <w:tc>
          <w:tcPr>
            <w:tcW w:w="2191" w:type="dxa"/>
            <w:vAlign w:val="center"/>
          </w:tcPr>
          <w:p>
            <w:pPr>
              <w:keepNext w:val="0"/>
              <w:keepLines w:val="0"/>
              <w:suppressLineNumbers w:val="0"/>
              <w:snapToGrid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w:t>
            </w:r>
          </w:p>
        </w:tc>
        <w:tc>
          <w:tcPr>
            <w:tcW w:w="2743"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w:t>
            </w:r>
          </w:p>
        </w:tc>
      </w:tr>
    </w:tbl>
    <w:p>
      <w:pPr>
        <w:spacing w:line="600" w:lineRule="exact"/>
        <w:ind w:firstLine="560" w:firstLineChars="200"/>
        <w:rPr>
          <w:rFonts w:hint="default" w:ascii="Times New Roman" w:hAnsi="Times New Roman" w:cs="Times New Roman"/>
          <w:sz w:val="28"/>
          <w:szCs w:val="28"/>
          <w:highlight w:val="none"/>
          <w:lang w:val="zh-CN" w:eastAsia="zh-CN"/>
        </w:rPr>
      </w:pPr>
      <w:r>
        <w:rPr>
          <w:rFonts w:hint="eastAsia" w:ascii="宋体" w:hAnsi="宋体" w:cs="宋体"/>
          <w:sz w:val="28"/>
        </w:rPr>
        <w:t>由以上检查可知，</w:t>
      </w:r>
      <w:r>
        <w:rPr>
          <w:rFonts w:hint="eastAsia" w:ascii="宋体" w:hAnsi="宋体" w:cs="宋体"/>
          <w:sz w:val="28"/>
          <w:lang w:eastAsia="zh-CN"/>
        </w:rPr>
        <w:t>该油站</w:t>
      </w:r>
      <w:r>
        <w:rPr>
          <w:rFonts w:hint="eastAsia" w:ascii="宋体" w:hAnsi="宋体" w:cs="宋体"/>
          <w:sz w:val="28"/>
        </w:rPr>
        <w:t>配备较完善的预防事故设施、控制事故设施和减少与消除事故影响设施，各安全设施现场检查时均处于正常状态。</w:t>
      </w:r>
    </w:p>
    <w:p>
      <w:pPr>
        <w:pStyle w:val="5"/>
        <w:keepNext/>
        <w:keepLines/>
        <w:pageBreakBefore w:val="0"/>
        <w:widowControl w:val="0"/>
        <w:kinsoku/>
        <w:wordWrap/>
        <w:overflowPunct/>
        <w:topLinePunct w:val="0"/>
        <w:autoSpaceDE w:val="0"/>
        <w:autoSpaceDN w:val="0"/>
        <w:bidi w:val="0"/>
        <w:adjustRightInd/>
        <w:snapToGrid/>
        <w:spacing w:before="0" w:after="0" w:line="500" w:lineRule="exact"/>
        <w:ind w:left="0" w:leftChars="0" w:right="0" w:rightChars="0" w:firstLine="562" w:firstLineChars="200"/>
        <w:jc w:val="left"/>
        <w:textAlignment w:val="auto"/>
        <w:outlineLvl w:val="2"/>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4.</w:t>
      </w:r>
      <w:r>
        <w:rPr>
          <w:rFonts w:hint="eastAsia" w:ascii="Times New Roman" w:hAnsi="Times New Roman" w:cs="Times New Roman"/>
          <w:sz w:val="28"/>
          <w:szCs w:val="28"/>
          <w:lang w:val="en-US" w:eastAsia="zh-CN"/>
        </w:rPr>
        <w:t>2.2</w:t>
      </w:r>
      <w:r>
        <w:rPr>
          <w:rFonts w:hint="default" w:ascii="Times New Roman" w:hAnsi="Times New Roman" w:cs="Times New Roman"/>
          <w:sz w:val="28"/>
          <w:szCs w:val="28"/>
          <w:lang w:val="en-US" w:eastAsia="zh-CN"/>
        </w:rPr>
        <w:t xml:space="preserve"> 与《危险化学品经营许可证管理办法》（国家安全生产监督管理总局令第55号，2015年5月27日国家安全监管总局令第79号修订）的对比评价</w:t>
      </w:r>
    </w:p>
    <w:p>
      <w:pPr>
        <w:pageBreakBefore w:val="0"/>
        <w:widowControl w:val="0"/>
        <w:kinsoku/>
        <w:wordWrap/>
        <w:overflowPunct/>
        <w:topLinePunct w:val="0"/>
        <w:autoSpaceDE w:val="0"/>
        <w:autoSpaceDN w:val="0"/>
        <w:bidi w:val="0"/>
        <w:adjustRightInd/>
        <w:snapToGrid/>
        <w:spacing w:line="500" w:lineRule="exact"/>
        <w:ind w:left="0" w:leftChars="0" w:right="0" w:rightChars="0" w:firstLine="560" w:firstLineChars="200"/>
        <w:jc w:val="left"/>
        <w:textAlignment w:val="auto"/>
        <w:rPr>
          <w:rFonts w:hint="default" w:ascii="Times New Roman" w:hAnsi="Times New Roman" w:cs="Times New Roman"/>
          <w:sz w:val="28"/>
          <w:szCs w:val="28"/>
          <w:highlight w:val="none"/>
          <w:lang w:val="zh-CN" w:eastAsia="zh-CN"/>
        </w:rPr>
      </w:pPr>
      <w:r>
        <w:rPr>
          <w:rFonts w:hint="default" w:ascii="Times New Roman" w:hAnsi="Times New Roman" w:cs="Times New Roman"/>
          <w:sz w:val="28"/>
          <w:szCs w:val="28"/>
          <w:highlight w:val="none"/>
          <w:lang w:val="zh-CN" w:eastAsia="zh-CN"/>
        </w:rPr>
        <w:t>该油站与《危险化学品经营许可证管理办法》（国家安全生产监督管理总局令第55号，2015年5月27日国家安全监管总局令第79号修订）的对比评价见下表：</w:t>
      </w:r>
    </w:p>
    <w:p>
      <w:pPr>
        <w:pStyle w:val="11"/>
        <w:spacing w:after="0" w:line="500" w:lineRule="exact"/>
        <w:jc w:val="center"/>
        <w:rPr>
          <w:rFonts w:hint="eastAsia" w:ascii="Times New Roman" w:hAnsi="Times New Roman" w:cs="Times New Roman"/>
          <w:b/>
          <w:bCs/>
          <w:sz w:val="24"/>
        </w:rPr>
      </w:pPr>
      <w:r>
        <w:rPr>
          <w:rFonts w:hint="eastAsia" w:ascii="Times New Roman" w:hAnsi="Times New Roman" w:cs="Times New Roman"/>
          <w:b/>
          <w:bCs/>
          <w:sz w:val="24"/>
        </w:rPr>
        <w:t>附表4.2.2-1与《危险化学品经营许可证管理办法》对比评价检查表</w:t>
      </w:r>
    </w:p>
    <w:tbl>
      <w:tblPr>
        <w:tblStyle w:val="29"/>
        <w:tblW w:w="96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3"/>
        <w:gridCol w:w="4969"/>
        <w:gridCol w:w="3160"/>
        <w:gridCol w:w="7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753" w:type="dxa"/>
            <w:vAlign w:val="center"/>
          </w:tcPr>
          <w:p>
            <w:pPr>
              <w:keepNext w:val="0"/>
              <w:keepLines w:val="0"/>
              <w:suppressLineNumbers w:val="0"/>
              <w:snapToGrid w:val="0"/>
              <w:spacing w:before="0" w:beforeAutospacing="0" w:after="0" w:afterAutospacing="0" w:line="360" w:lineRule="exact"/>
              <w:ind w:left="0" w:right="0"/>
              <w:jc w:val="center"/>
              <w:rPr>
                <w:rFonts w:hint="default" w:ascii="Times New Roman" w:hAnsi="Times New Roman" w:cs="Times New Roman"/>
                <w:b/>
                <w:szCs w:val="21"/>
              </w:rPr>
            </w:pPr>
            <w:r>
              <w:rPr>
                <w:rFonts w:hint="default" w:ascii="Times New Roman" w:hAnsi="Times New Roman" w:cs="Times New Roman"/>
                <w:b/>
                <w:szCs w:val="21"/>
              </w:rPr>
              <w:t>序号</w:t>
            </w:r>
          </w:p>
        </w:tc>
        <w:tc>
          <w:tcPr>
            <w:tcW w:w="4969" w:type="dxa"/>
            <w:vAlign w:val="center"/>
          </w:tcPr>
          <w:p>
            <w:pPr>
              <w:keepNext w:val="0"/>
              <w:keepLines w:val="0"/>
              <w:suppressLineNumbers w:val="0"/>
              <w:snapToGrid w:val="0"/>
              <w:spacing w:before="0" w:beforeAutospacing="0" w:after="0" w:afterAutospacing="0" w:line="360" w:lineRule="exact"/>
              <w:ind w:left="0" w:right="0"/>
              <w:jc w:val="center"/>
              <w:rPr>
                <w:rFonts w:hint="default" w:ascii="Times New Roman" w:hAnsi="Times New Roman" w:cs="Times New Roman"/>
                <w:b/>
                <w:szCs w:val="21"/>
              </w:rPr>
            </w:pPr>
            <w:r>
              <w:rPr>
                <w:rFonts w:hint="default" w:ascii="Times New Roman" w:hAnsi="Times New Roman" w:cs="Times New Roman"/>
                <w:b/>
                <w:szCs w:val="21"/>
              </w:rPr>
              <w:t>检 查 内 容</w:t>
            </w:r>
          </w:p>
        </w:tc>
        <w:tc>
          <w:tcPr>
            <w:tcW w:w="3160" w:type="dxa"/>
            <w:vAlign w:val="center"/>
          </w:tcPr>
          <w:p>
            <w:pPr>
              <w:keepNext w:val="0"/>
              <w:keepLines w:val="0"/>
              <w:suppressLineNumbers w:val="0"/>
              <w:snapToGrid w:val="0"/>
              <w:spacing w:before="0" w:beforeAutospacing="0" w:after="0" w:afterAutospacing="0" w:line="360" w:lineRule="exact"/>
              <w:ind w:left="0" w:right="0"/>
              <w:jc w:val="center"/>
              <w:rPr>
                <w:rFonts w:hint="default" w:ascii="Times New Roman" w:hAnsi="Times New Roman" w:cs="Times New Roman"/>
                <w:b/>
                <w:szCs w:val="21"/>
              </w:rPr>
            </w:pPr>
            <w:r>
              <w:rPr>
                <w:rFonts w:hint="default" w:ascii="Times New Roman" w:hAnsi="Times New Roman" w:cs="Times New Roman"/>
                <w:b/>
                <w:szCs w:val="21"/>
              </w:rPr>
              <w:t>检 查 记 录</w:t>
            </w:r>
          </w:p>
        </w:tc>
        <w:tc>
          <w:tcPr>
            <w:tcW w:w="743" w:type="dxa"/>
            <w:vAlign w:val="center"/>
          </w:tcPr>
          <w:p>
            <w:pPr>
              <w:keepNext w:val="0"/>
              <w:keepLines w:val="0"/>
              <w:suppressLineNumbers w:val="0"/>
              <w:snapToGrid w:val="0"/>
              <w:spacing w:before="0" w:beforeAutospacing="0" w:after="0" w:afterAutospacing="0" w:line="360" w:lineRule="exact"/>
              <w:ind w:left="0" w:right="0"/>
              <w:jc w:val="center"/>
              <w:rPr>
                <w:rFonts w:hint="default" w:ascii="Times New Roman" w:hAnsi="Times New Roman" w:cs="Times New Roman"/>
                <w:b/>
                <w:szCs w:val="21"/>
              </w:rPr>
            </w:pPr>
            <w:r>
              <w:rPr>
                <w:rFonts w:hint="default" w:ascii="Times New Roman" w:hAnsi="Times New Roman" w:cs="Times New Roman"/>
                <w:b/>
                <w:szCs w:val="21"/>
              </w:rPr>
              <w:t>结论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3" w:type="dxa"/>
            <w:vAlign w:val="center"/>
          </w:tcPr>
          <w:p>
            <w:pPr>
              <w:keepNext w:val="0"/>
              <w:keepLines w:val="0"/>
              <w:suppressLineNumbers w:val="0"/>
              <w:snapToGrid w:val="0"/>
              <w:spacing w:before="0" w:beforeAutospacing="0" w:after="0" w:afterAutospacing="0" w:line="360" w:lineRule="exact"/>
              <w:ind w:left="0" w:right="0"/>
              <w:jc w:val="center"/>
              <w:rPr>
                <w:rFonts w:hint="default" w:ascii="Times New Roman" w:hAnsi="Times New Roman" w:cs="Times New Roman"/>
                <w:szCs w:val="21"/>
              </w:rPr>
            </w:pPr>
            <w:r>
              <w:rPr>
                <w:rFonts w:hint="default" w:ascii="Times New Roman" w:hAnsi="Times New Roman" w:cs="Times New Roman"/>
                <w:szCs w:val="21"/>
              </w:rPr>
              <w:t>1</w:t>
            </w:r>
          </w:p>
        </w:tc>
        <w:tc>
          <w:tcPr>
            <w:tcW w:w="4969" w:type="dxa"/>
            <w:vAlign w:val="center"/>
          </w:tcPr>
          <w:p>
            <w:pPr>
              <w:keepNext w:val="0"/>
              <w:keepLines w:val="0"/>
              <w:suppressLineNumbers w:val="0"/>
              <w:snapToGrid w:val="0"/>
              <w:spacing w:before="0" w:beforeAutospacing="0" w:after="0" w:afterAutospacing="0" w:line="360" w:lineRule="exact"/>
              <w:ind w:left="0" w:right="0"/>
              <w:rPr>
                <w:rFonts w:hint="default" w:ascii="Times New Roman" w:hAnsi="Times New Roman" w:cs="Times New Roman"/>
              </w:rPr>
            </w:pPr>
            <w:r>
              <w:rPr>
                <w:rFonts w:hint="default" w:ascii="Times New Roman" w:hAnsi="Times New Roman" w:cs="Times New Roman"/>
              </w:rPr>
              <w:t>经营和储存场所、设施、建筑物是否符合《建筑设计防火规范》（GB50016）、《石油化工企业设计防火规范》（GB50160）、《汽车加油加气站设计与施工规范》（GB50156）、《石油库设计规范》（GB50074）等相关国家标准、行业标准的规定</w:t>
            </w:r>
          </w:p>
        </w:tc>
        <w:tc>
          <w:tcPr>
            <w:tcW w:w="3160" w:type="dxa"/>
            <w:vAlign w:val="center"/>
          </w:tcPr>
          <w:p>
            <w:pPr>
              <w:keepNext w:val="0"/>
              <w:keepLines w:val="0"/>
              <w:suppressLineNumbers w:val="0"/>
              <w:snapToGrid w:val="0"/>
              <w:spacing w:before="0" w:beforeAutospacing="0" w:after="0" w:afterAutospacing="0" w:line="360" w:lineRule="exact"/>
              <w:ind w:left="0" w:right="0"/>
              <w:rPr>
                <w:rFonts w:hint="default" w:ascii="Times New Roman" w:hAnsi="Times New Roman" w:cs="Times New Roman"/>
                <w:szCs w:val="21"/>
              </w:rPr>
            </w:pPr>
            <w:r>
              <w:rPr>
                <w:rFonts w:hint="default" w:ascii="Times New Roman" w:hAnsi="Times New Roman" w:cs="Times New Roman"/>
                <w:szCs w:val="21"/>
              </w:rPr>
              <w:t>由前面各章节分析可知，该加油站的</w:t>
            </w:r>
            <w:r>
              <w:rPr>
                <w:rFonts w:hint="default" w:ascii="Times New Roman" w:hAnsi="Times New Roman" w:cs="Times New Roman"/>
                <w:spacing w:val="8"/>
                <w:kern w:val="0"/>
                <w:szCs w:val="21"/>
              </w:rPr>
              <w:t>经营和储存场所、设施、建筑物符合《汽车加油加气站设计与施工规范》（GB50156）的规定。</w:t>
            </w:r>
          </w:p>
        </w:tc>
        <w:tc>
          <w:tcPr>
            <w:tcW w:w="743" w:type="dxa"/>
            <w:vAlign w:val="center"/>
          </w:tcPr>
          <w:p>
            <w:pPr>
              <w:keepNext w:val="0"/>
              <w:keepLines w:val="0"/>
              <w:suppressLineNumbers w:val="0"/>
              <w:snapToGrid w:val="0"/>
              <w:spacing w:before="0" w:beforeAutospacing="0" w:after="0" w:afterAutospacing="0" w:line="360" w:lineRule="exact"/>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753" w:type="dxa"/>
            <w:vAlign w:val="center"/>
          </w:tcPr>
          <w:p>
            <w:pPr>
              <w:keepNext w:val="0"/>
              <w:keepLines w:val="0"/>
              <w:suppressLineNumbers w:val="0"/>
              <w:snapToGrid w:val="0"/>
              <w:spacing w:before="0" w:beforeAutospacing="0" w:after="0" w:afterAutospacing="0" w:line="360" w:lineRule="exact"/>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2</w:t>
            </w:r>
          </w:p>
        </w:tc>
        <w:tc>
          <w:tcPr>
            <w:tcW w:w="4969" w:type="dxa"/>
            <w:vAlign w:val="center"/>
          </w:tcPr>
          <w:p>
            <w:pPr>
              <w:keepNext w:val="0"/>
              <w:keepLines w:val="0"/>
              <w:suppressLineNumbers w:val="0"/>
              <w:snapToGrid w:val="0"/>
              <w:spacing w:before="0" w:beforeAutospacing="0" w:after="0" w:afterAutospacing="0" w:line="360" w:lineRule="exact"/>
              <w:ind w:left="0" w:right="0"/>
              <w:rPr>
                <w:rFonts w:hint="default" w:ascii="Times New Roman" w:hAnsi="Times New Roman" w:cs="Times New Roman"/>
                <w:color w:val="auto"/>
              </w:rPr>
            </w:pPr>
            <w:r>
              <w:rPr>
                <w:rFonts w:hint="default" w:ascii="Times New Roman" w:hAnsi="Times New Roman" w:cs="Times New Roman"/>
                <w:color w:val="auto"/>
              </w:rPr>
              <w:t>企业主要负责人和安全生产管理人员是否具备与本企业危险化学品经营活动相适应的安全生产知识和管理能力，经专门的安全生产培训和安全生产监督管理部门考核合格，取得相应安全资格证书；特种作业人员经专门的安全作业培训，取得特种作业操作证书；其他从业人员依照有关规定经安全生产教育和专业技术培训合格。</w:t>
            </w:r>
          </w:p>
        </w:tc>
        <w:tc>
          <w:tcPr>
            <w:tcW w:w="3160" w:type="dxa"/>
            <w:vAlign w:val="center"/>
          </w:tcPr>
          <w:p>
            <w:pPr>
              <w:keepNext w:val="0"/>
              <w:keepLines w:val="0"/>
              <w:suppressLineNumbers w:val="0"/>
              <w:snapToGrid w:val="0"/>
              <w:spacing w:before="0" w:beforeAutospacing="0" w:after="0" w:afterAutospacing="0" w:line="360" w:lineRule="exact"/>
              <w:ind w:left="0" w:right="0"/>
              <w:rPr>
                <w:rFonts w:hint="default" w:ascii="Times New Roman" w:hAnsi="Times New Roman" w:cs="Times New Roman"/>
                <w:color w:val="auto"/>
              </w:rPr>
            </w:pPr>
            <w:r>
              <w:rPr>
                <w:rFonts w:hint="default" w:ascii="Times New Roman" w:hAnsi="Times New Roman" w:cs="Times New Roman"/>
                <w:color w:val="auto"/>
              </w:rPr>
              <w:t>1）站长、安全管理人员均经安全生产教育培训并考核合格，取得上岗资格。</w:t>
            </w:r>
          </w:p>
          <w:p>
            <w:pPr>
              <w:keepNext w:val="0"/>
              <w:keepLines w:val="0"/>
              <w:suppressLineNumbers w:val="0"/>
              <w:snapToGrid w:val="0"/>
              <w:spacing w:before="0" w:beforeAutospacing="0" w:after="0" w:afterAutospacing="0" w:line="360" w:lineRule="exact"/>
              <w:ind w:left="0" w:right="0"/>
              <w:rPr>
                <w:rFonts w:hint="default" w:ascii="Times New Roman" w:hAnsi="Times New Roman" w:cs="Times New Roman"/>
                <w:color w:val="auto"/>
                <w:szCs w:val="21"/>
              </w:rPr>
            </w:pPr>
            <w:r>
              <w:rPr>
                <w:rFonts w:hint="default" w:ascii="Times New Roman" w:hAnsi="Times New Roman" w:cs="Times New Roman"/>
                <w:color w:val="auto"/>
              </w:rPr>
              <w:t>2）</w:t>
            </w:r>
            <w:r>
              <w:rPr>
                <w:rFonts w:hint="default" w:ascii="Times New Roman" w:hAnsi="Times New Roman" w:cs="Times New Roman"/>
                <w:color w:val="auto"/>
                <w:lang w:eastAsia="zh-CN"/>
              </w:rPr>
              <w:t>油站暂无</w:t>
            </w:r>
            <w:r>
              <w:rPr>
                <w:rFonts w:hint="default" w:ascii="Times New Roman" w:hAnsi="Times New Roman" w:cs="Times New Roman"/>
                <w:color w:val="auto"/>
              </w:rPr>
              <w:t>特种作业人员。</w:t>
            </w:r>
          </w:p>
        </w:tc>
        <w:tc>
          <w:tcPr>
            <w:tcW w:w="743" w:type="dxa"/>
            <w:vAlign w:val="center"/>
          </w:tcPr>
          <w:p>
            <w:pPr>
              <w:keepNext w:val="0"/>
              <w:keepLines w:val="0"/>
              <w:suppressLineNumbers w:val="0"/>
              <w:snapToGrid w:val="0"/>
              <w:spacing w:before="0" w:beforeAutospacing="0" w:after="0" w:afterAutospacing="0" w:line="360" w:lineRule="exact"/>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3" w:type="dxa"/>
            <w:vAlign w:val="center"/>
          </w:tcPr>
          <w:p>
            <w:pPr>
              <w:keepNext w:val="0"/>
              <w:keepLines w:val="0"/>
              <w:suppressLineNumbers w:val="0"/>
              <w:snapToGrid w:val="0"/>
              <w:spacing w:before="0" w:beforeAutospacing="0" w:after="0" w:afterAutospacing="0" w:line="360" w:lineRule="exact"/>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3</w:t>
            </w:r>
          </w:p>
        </w:tc>
        <w:tc>
          <w:tcPr>
            <w:tcW w:w="4969" w:type="dxa"/>
            <w:vAlign w:val="center"/>
          </w:tcPr>
          <w:p>
            <w:pPr>
              <w:keepNext w:val="0"/>
              <w:keepLines w:val="0"/>
              <w:suppressLineNumbers w:val="0"/>
              <w:snapToGrid w:val="0"/>
              <w:spacing w:before="0" w:beforeAutospacing="0" w:after="0" w:afterAutospacing="0" w:line="360" w:lineRule="exact"/>
              <w:ind w:left="0" w:right="0"/>
              <w:rPr>
                <w:rFonts w:hint="default" w:ascii="Times New Roman" w:hAnsi="Times New Roman" w:cs="Times New Roman"/>
                <w:color w:val="auto"/>
              </w:rPr>
            </w:pPr>
            <w:r>
              <w:rPr>
                <w:rFonts w:hint="default" w:ascii="Times New Roman" w:hAnsi="Times New Roman" w:cs="Times New Roman"/>
                <w:color w:val="auto"/>
              </w:rPr>
              <w:t>是否有健全的安全生产规章制度和岗位操作规程，包括全员安全生产责任制度、危险化学品购销管理制度、危险化学品安全管理制度（包括防火、防爆、防中毒、防泄漏管理等内容）、安全投入保障制度、安全生产奖惩制度、安全生产教育培训制度、隐患排查治理制度、安全风险管理制度、应急管理制度、事故管理制度、职业卫生管理制度等。</w:t>
            </w:r>
          </w:p>
        </w:tc>
        <w:tc>
          <w:tcPr>
            <w:tcW w:w="3160" w:type="dxa"/>
            <w:vAlign w:val="center"/>
          </w:tcPr>
          <w:p>
            <w:pPr>
              <w:keepNext w:val="0"/>
              <w:keepLines w:val="0"/>
              <w:suppressLineNumbers w:val="0"/>
              <w:snapToGrid w:val="0"/>
              <w:spacing w:before="0" w:beforeAutospacing="0" w:after="0" w:afterAutospacing="0" w:line="360" w:lineRule="exact"/>
              <w:ind w:left="0" w:right="0"/>
              <w:rPr>
                <w:rFonts w:hint="default" w:ascii="Times New Roman" w:hAnsi="Times New Roman" w:cs="Times New Roman"/>
                <w:color w:val="auto"/>
                <w:szCs w:val="21"/>
              </w:rPr>
            </w:pPr>
            <w:r>
              <w:rPr>
                <w:rFonts w:hint="default" w:ascii="Times New Roman" w:hAnsi="Times New Roman" w:cs="Times New Roman"/>
                <w:color w:val="auto"/>
              </w:rPr>
              <w:t>制定有较健全安全责任制和岗位职责、安全管理制度和岗位安全操作规程。</w:t>
            </w:r>
          </w:p>
        </w:tc>
        <w:tc>
          <w:tcPr>
            <w:tcW w:w="743" w:type="dxa"/>
            <w:vAlign w:val="center"/>
          </w:tcPr>
          <w:p>
            <w:pPr>
              <w:keepNext w:val="0"/>
              <w:keepLines w:val="0"/>
              <w:suppressLineNumbers w:val="0"/>
              <w:snapToGrid w:val="0"/>
              <w:spacing w:before="0" w:beforeAutospacing="0" w:after="0" w:afterAutospacing="0" w:line="360" w:lineRule="exact"/>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jc w:val="center"/>
        </w:trPr>
        <w:tc>
          <w:tcPr>
            <w:tcW w:w="753" w:type="dxa"/>
            <w:vAlign w:val="center"/>
          </w:tcPr>
          <w:p>
            <w:pPr>
              <w:keepNext w:val="0"/>
              <w:keepLines w:val="0"/>
              <w:suppressLineNumbers w:val="0"/>
              <w:snapToGrid w:val="0"/>
              <w:spacing w:before="0" w:beforeAutospacing="0" w:after="0" w:afterAutospacing="0" w:line="360" w:lineRule="exact"/>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4</w:t>
            </w:r>
          </w:p>
        </w:tc>
        <w:tc>
          <w:tcPr>
            <w:tcW w:w="4969" w:type="dxa"/>
            <w:vAlign w:val="center"/>
          </w:tcPr>
          <w:p>
            <w:pPr>
              <w:keepNext w:val="0"/>
              <w:keepLines w:val="0"/>
              <w:suppressLineNumbers w:val="0"/>
              <w:snapToGrid w:val="0"/>
              <w:spacing w:before="0" w:beforeAutospacing="0" w:after="0" w:afterAutospacing="0" w:line="360" w:lineRule="exact"/>
              <w:ind w:left="0" w:right="0"/>
              <w:rPr>
                <w:rFonts w:hint="default" w:ascii="Times New Roman" w:hAnsi="Times New Roman" w:cs="Times New Roman"/>
                <w:color w:val="auto"/>
              </w:rPr>
            </w:pPr>
            <w:r>
              <w:rPr>
                <w:rFonts w:hint="default" w:ascii="Times New Roman" w:hAnsi="Times New Roman" w:cs="Times New Roman"/>
                <w:color w:val="auto"/>
              </w:rPr>
              <w:t>是否有符合国家规定的危险化学品事故应急预案，并配备必要的应急救援器材、设备；</w:t>
            </w:r>
          </w:p>
        </w:tc>
        <w:tc>
          <w:tcPr>
            <w:tcW w:w="3160" w:type="dxa"/>
            <w:vAlign w:val="center"/>
          </w:tcPr>
          <w:p>
            <w:pPr>
              <w:keepNext w:val="0"/>
              <w:keepLines w:val="0"/>
              <w:suppressLineNumbers w:val="0"/>
              <w:snapToGrid w:val="0"/>
              <w:spacing w:before="0" w:beforeAutospacing="0" w:after="0" w:afterAutospacing="0" w:line="360" w:lineRule="exact"/>
              <w:ind w:left="0" w:right="0"/>
              <w:rPr>
                <w:rFonts w:hint="default" w:ascii="Times New Roman" w:hAnsi="Times New Roman" w:cs="Times New Roman"/>
                <w:color w:val="auto"/>
                <w:szCs w:val="21"/>
              </w:rPr>
            </w:pPr>
            <w:r>
              <w:rPr>
                <w:rFonts w:hint="default" w:ascii="Times New Roman" w:hAnsi="Times New Roman" w:cs="Times New Roman"/>
                <w:color w:val="auto"/>
              </w:rPr>
              <w:t>制定了加油站事故应急救援预案，配备有相应的应急救援器材和设备。</w:t>
            </w:r>
          </w:p>
        </w:tc>
        <w:tc>
          <w:tcPr>
            <w:tcW w:w="743" w:type="dxa"/>
            <w:vAlign w:val="center"/>
          </w:tcPr>
          <w:p>
            <w:pPr>
              <w:keepNext w:val="0"/>
              <w:keepLines w:val="0"/>
              <w:suppressLineNumbers w:val="0"/>
              <w:snapToGrid w:val="0"/>
              <w:spacing w:before="0" w:beforeAutospacing="0" w:after="0" w:afterAutospacing="0" w:line="360" w:lineRule="exact"/>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jc w:val="center"/>
        </w:trPr>
        <w:tc>
          <w:tcPr>
            <w:tcW w:w="753" w:type="dxa"/>
            <w:vAlign w:val="center"/>
          </w:tcPr>
          <w:p>
            <w:pPr>
              <w:keepNext w:val="0"/>
              <w:keepLines w:val="0"/>
              <w:suppressLineNumbers w:val="0"/>
              <w:snapToGrid w:val="0"/>
              <w:spacing w:before="0" w:beforeAutospacing="0" w:after="0" w:afterAutospacing="0" w:line="360" w:lineRule="exact"/>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5</w:t>
            </w:r>
          </w:p>
        </w:tc>
        <w:tc>
          <w:tcPr>
            <w:tcW w:w="4969" w:type="dxa"/>
            <w:vAlign w:val="center"/>
          </w:tcPr>
          <w:p>
            <w:pPr>
              <w:keepNext w:val="0"/>
              <w:keepLines w:val="0"/>
              <w:suppressLineNumbers w:val="0"/>
              <w:snapToGrid w:val="0"/>
              <w:spacing w:before="0" w:beforeAutospacing="0" w:after="0" w:afterAutospacing="0" w:line="360" w:lineRule="exact"/>
              <w:ind w:left="0" w:right="0"/>
              <w:rPr>
                <w:rFonts w:hint="default" w:ascii="Times New Roman" w:hAnsi="Times New Roman" w:cs="Times New Roman"/>
                <w:color w:val="auto"/>
                <w:szCs w:val="21"/>
              </w:rPr>
            </w:pPr>
            <w:r>
              <w:rPr>
                <w:rFonts w:hint="default" w:ascii="Times New Roman" w:hAnsi="Times New Roman" w:cs="Times New Roman"/>
                <w:color w:val="auto"/>
                <w:spacing w:val="8"/>
                <w:kern w:val="0"/>
                <w:szCs w:val="21"/>
              </w:rPr>
              <w:t>法律、法规和国家标准或者行业标准规定的其他安全生产条件</w:t>
            </w:r>
          </w:p>
        </w:tc>
        <w:tc>
          <w:tcPr>
            <w:tcW w:w="3160" w:type="dxa"/>
            <w:vAlign w:val="center"/>
          </w:tcPr>
          <w:p>
            <w:pPr>
              <w:keepNext w:val="0"/>
              <w:keepLines w:val="0"/>
              <w:suppressLineNumbers w:val="0"/>
              <w:snapToGrid w:val="0"/>
              <w:spacing w:before="0" w:beforeAutospacing="0" w:after="0" w:afterAutospacing="0" w:line="360" w:lineRule="exact"/>
              <w:ind w:left="0" w:right="0"/>
              <w:rPr>
                <w:rFonts w:hint="default" w:ascii="Times New Roman" w:hAnsi="Times New Roman" w:cs="Times New Roman"/>
                <w:color w:val="auto"/>
                <w:szCs w:val="21"/>
              </w:rPr>
            </w:pPr>
            <w:r>
              <w:rPr>
                <w:rFonts w:hint="default" w:ascii="Times New Roman" w:hAnsi="Times New Roman" w:cs="Times New Roman"/>
                <w:color w:val="auto"/>
                <w:szCs w:val="21"/>
              </w:rPr>
              <w:t>符合要求。</w:t>
            </w:r>
          </w:p>
        </w:tc>
        <w:tc>
          <w:tcPr>
            <w:tcW w:w="743" w:type="dxa"/>
            <w:vAlign w:val="center"/>
          </w:tcPr>
          <w:p>
            <w:pPr>
              <w:keepNext w:val="0"/>
              <w:keepLines w:val="0"/>
              <w:suppressLineNumbers w:val="0"/>
              <w:snapToGrid w:val="0"/>
              <w:spacing w:before="0" w:beforeAutospacing="0" w:after="0" w:afterAutospacing="0" w:line="360" w:lineRule="exact"/>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合格</w:t>
            </w:r>
          </w:p>
        </w:tc>
      </w:tr>
    </w:tbl>
    <w:p>
      <w:pPr>
        <w:pageBreakBefore w:val="0"/>
        <w:widowControl w:val="0"/>
        <w:kinsoku/>
        <w:wordWrap/>
        <w:overflowPunct/>
        <w:topLinePunct w:val="0"/>
        <w:autoSpaceDE w:val="0"/>
        <w:autoSpaceDN w:val="0"/>
        <w:bidi w:val="0"/>
        <w:adjustRightInd/>
        <w:snapToGrid/>
        <w:spacing w:line="500" w:lineRule="exact"/>
        <w:ind w:left="0" w:leftChars="0" w:right="0" w:rightChars="0" w:firstLine="560" w:firstLineChars="200"/>
        <w:jc w:val="left"/>
        <w:textAlignment w:val="auto"/>
        <w:rPr>
          <w:rFonts w:hint="default" w:ascii="Times New Roman" w:hAnsi="Times New Roman" w:cs="Times New Roman"/>
          <w:sz w:val="28"/>
          <w:szCs w:val="28"/>
          <w:highlight w:val="none"/>
          <w:lang w:val="zh-CN" w:eastAsia="zh-CN"/>
        </w:rPr>
      </w:pPr>
      <w:r>
        <w:rPr>
          <w:rFonts w:hint="default" w:ascii="Times New Roman" w:hAnsi="Times New Roman" w:cs="Times New Roman"/>
          <w:color w:val="auto"/>
          <w:sz w:val="28"/>
          <w:szCs w:val="28"/>
        </w:rPr>
        <w:t>由上述分析可知，该</w:t>
      </w:r>
      <w:r>
        <w:rPr>
          <w:rFonts w:hint="default" w:ascii="Times New Roman" w:hAnsi="Times New Roman" w:cs="Times New Roman"/>
          <w:color w:val="auto"/>
          <w:sz w:val="28"/>
          <w:szCs w:val="28"/>
          <w:lang w:eastAsia="zh-CN"/>
        </w:rPr>
        <w:t>油站</w:t>
      </w:r>
      <w:r>
        <w:rPr>
          <w:rFonts w:hint="default" w:ascii="Times New Roman" w:hAnsi="Times New Roman" w:cs="Times New Roman"/>
          <w:color w:val="auto"/>
          <w:sz w:val="28"/>
          <w:szCs w:val="28"/>
        </w:rPr>
        <w:t>的安全生产条件符合</w:t>
      </w:r>
      <w:r>
        <w:rPr>
          <w:rFonts w:hint="default" w:ascii="Times New Roman" w:hAnsi="Times New Roman" w:cs="Times New Roman"/>
          <w:color w:val="auto"/>
          <w:sz w:val="28"/>
          <w:szCs w:val="28"/>
          <w:lang w:eastAsia="zh-CN"/>
        </w:rPr>
        <w:t>《危险化学品经营许可证管理办法》（国家安全生产监督管理总局令第55号，2015年5月27日国家安全监管总局令第79号修订）</w:t>
      </w:r>
      <w:r>
        <w:rPr>
          <w:rFonts w:hint="default" w:ascii="Times New Roman" w:hAnsi="Times New Roman" w:cs="Times New Roman"/>
          <w:color w:val="auto"/>
          <w:sz w:val="28"/>
          <w:szCs w:val="28"/>
        </w:rPr>
        <w:t>规定，具备申请经营许可证的条件。</w:t>
      </w:r>
    </w:p>
    <w:p>
      <w:pPr>
        <w:pStyle w:val="5"/>
        <w:pageBreakBefore w:val="0"/>
        <w:widowControl w:val="0"/>
        <w:kinsoku/>
        <w:wordWrap/>
        <w:overflowPunct/>
        <w:topLinePunct w:val="0"/>
        <w:autoSpaceDE w:val="0"/>
        <w:autoSpaceDN w:val="0"/>
        <w:bidi w:val="0"/>
        <w:adjustRightInd/>
        <w:snapToGrid/>
        <w:spacing w:before="0" w:after="0" w:line="500" w:lineRule="exact"/>
        <w:ind w:left="0" w:leftChars="0" w:right="0" w:rightChars="0" w:firstLine="562" w:firstLineChars="200"/>
        <w:jc w:val="left"/>
        <w:textAlignment w:val="auto"/>
        <w:rPr>
          <w:rFonts w:hint="default" w:ascii="Times New Roman" w:hAnsi="Times New Roman" w:cs="Times New Roman"/>
          <w:sz w:val="28"/>
          <w:szCs w:val="28"/>
          <w:lang w:val="zh-CN" w:eastAsia="zh-CN"/>
        </w:rPr>
      </w:pPr>
      <w:r>
        <w:rPr>
          <w:rFonts w:hint="default" w:ascii="Times New Roman" w:hAnsi="Times New Roman" w:cs="Times New Roman"/>
          <w:sz w:val="28"/>
          <w:szCs w:val="28"/>
          <w:lang w:val="en-US" w:eastAsia="zh-CN"/>
        </w:rPr>
        <w:t>4.</w:t>
      </w:r>
      <w:r>
        <w:rPr>
          <w:rFonts w:hint="eastAsia" w:ascii="Times New Roman" w:hAnsi="Times New Roman" w:cs="Times New Roman"/>
          <w:sz w:val="28"/>
          <w:szCs w:val="28"/>
          <w:lang w:val="en-US" w:eastAsia="zh-CN"/>
        </w:rPr>
        <w:t>2.3</w:t>
      </w:r>
      <w:r>
        <w:rPr>
          <w:rFonts w:hint="default" w:ascii="Times New Roman" w:hAnsi="Times New Roman" w:cs="Times New Roman"/>
          <w:sz w:val="28"/>
          <w:szCs w:val="28"/>
          <w:lang w:val="en-US" w:eastAsia="zh-CN"/>
        </w:rPr>
        <w:t xml:space="preserve"> 加油站安全检查表评价</w:t>
      </w:r>
    </w:p>
    <w:p>
      <w:pPr>
        <w:pStyle w:val="11"/>
        <w:spacing w:after="0" w:line="500" w:lineRule="exact"/>
        <w:jc w:val="center"/>
        <w:rPr>
          <w:rFonts w:hint="eastAsia" w:ascii="Times New Roman" w:hAnsi="Times New Roman" w:cs="Times New Roman"/>
          <w:b/>
          <w:bCs/>
          <w:sz w:val="24"/>
        </w:rPr>
      </w:pPr>
      <w:r>
        <w:rPr>
          <w:rFonts w:hint="eastAsia" w:ascii="Times New Roman" w:hAnsi="Times New Roman" w:cs="Times New Roman"/>
          <w:b/>
          <w:bCs/>
          <w:sz w:val="24"/>
        </w:rPr>
        <w:t>附表4.2.3-1 加油站安全检查表</w:t>
      </w:r>
    </w:p>
    <w:tbl>
      <w:tblPr>
        <w:tblStyle w:val="29"/>
        <w:tblW w:w="9625"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67"/>
        <w:gridCol w:w="4840"/>
        <w:gridCol w:w="3191"/>
        <w:gridCol w:w="92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tblHeader/>
          <w:jc w:val="center"/>
        </w:trPr>
        <w:tc>
          <w:tcPr>
            <w:tcW w:w="66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b/>
                <w:bCs/>
                <w:color w:val="auto"/>
                <w:sz w:val="24"/>
              </w:rPr>
            </w:pPr>
            <w:bookmarkStart w:id="1480" w:name="_Toc208390242"/>
            <w:bookmarkStart w:id="1481" w:name="_Toc208387498"/>
            <w:bookmarkStart w:id="1482" w:name="_Toc206576058"/>
            <w:bookmarkStart w:id="1483" w:name="_Toc206558882"/>
            <w:bookmarkStart w:id="1484" w:name="_Toc212347530"/>
            <w:r>
              <w:rPr>
                <w:rFonts w:hint="default" w:ascii="Times New Roman" w:hAnsi="Times New Roman" w:cs="Times New Roman"/>
                <w:b/>
                <w:bCs/>
                <w:color w:val="auto"/>
                <w:sz w:val="24"/>
              </w:rPr>
              <w:t>项目</w:t>
            </w:r>
            <w:bookmarkEnd w:id="1480"/>
            <w:bookmarkEnd w:id="1481"/>
            <w:bookmarkEnd w:id="1482"/>
            <w:bookmarkEnd w:id="1483"/>
            <w:bookmarkEnd w:id="1484"/>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b/>
                <w:bCs/>
                <w:color w:val="auto"/>
                <w:sz w:val="24"/>
              </w:rPr>
            </w:pPr>
            <w:bookmarkStart w:id="1485" w:name="_Toc206576059"/>
            <w:bookmarkStart w:id="1486" w:name="_Toc206558883"/>
            <w:bookmarkStart w:id="1487" w:name="_Toc208387499"/>
            <w:bookmarkStart w:id="1488" w:name="_Toc212347531"/>
            <w:bookmarkStart w:id="1489" w:name="_Toc208390243"/>
            <w:r>
              <w:rPr>
                <w:rFonts w:hint="default" w:ascii="Times New Roman" w:hAnsi="Times New Roman" w:cs="Times New Roman"/>
                <w:b/>
                <w:bCs/>
                <w:color w:val="auto"/>
                <w:sz w:val="24"/>
              </w:rPr>
              <w:t>检 查 内 容</w:t>
            </w:r>
            <w:bookmarkEnd w:id="1485"/>
            <w:bookmarkEnd w:id="1486"/>
            <w:bookmarkEnd w:id="1487"/>
            <w:bookmarkEnd w:id="1488"/>
            <w:bookmarkEnd w:id="1489"/>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b/>
                <w:bCs/>
                <w:color w:val="auto"/>
                <w:sz w:val="24"/>
              </w:rPr>
            </w:pPr>
            <w:bookmarkStart w:id="1490" w:name="_Toc208387501"/>
            <w:bookmarkStart w:id="1491" w:name="_Toc206576061"/>
            <w:bookmarkStart w:id="1492" w:name="_Toc206558885"/>
            <w:bookmarkStart w:id="1493" w:name="_Toc212347533"/>
            <w:bookmarkStart w:id="1494" w:name="_Toc208390245"/>
            <w:r>
              <w:rPr>
                <w:rFonts w:hint="default" w:ascii="Times New Roman" w:hAnsi="Times New Roman" w:cs="Times New Roman"/>
                <w:b/>
                <w:bCs/>
                <w:color w:val="auto"/>
                <w:sz w:val="24"/>
              </w:rPr>
              <w:t>检 查 记 录</w:t>
            </w:r>
            <w:bookmarkEnd w:id="1490"/>
            <w:bookmarkEnd w:id="1491"/>
            <w:bookmarkEnd w:id="1492"/>
            <w:bookmarkEnd w:id="1493"/>
            <w:bookmarkEnd w:id="1494"/>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b/>
                <w:bCs/>
                <w:color w:val="auto"/>
                <w:sz w:val="24"/>
              </w:rPr>
            </w:pPr>
            <w:bookmarkStart w:id="1495" w:name="_Toc206576062"/>
            <w:bookmarkStart w:id="1496" w:name="_Toc212347534"/>
            <w:bookmarkStart w:id="1497" w:name="_Toc208390246"/>
            <w:bookmarkStart w:id="1498" w:name="_Toc206558886"/>
            <w:bookmarkStart w:id="1499" w:name="_Toc208387502"/>
            <w:r>
              <w:rPr>
                <w:rFonts w:hint="default" w:ascii="Times New Roman" w:hAnsi="Times New Roman" w:cs="Times New Roman"/>
                <w:b/>
                <w:bCs/>
                <w:color w:val="auto"/>
                <w:sz w:val="24"/>
              </w:rPr>
              <w:t>结论</w:t>
            </w:r>
            <w:bookmarkEnd w:id="1495"/>
            <w:bookmarkEnd w:id="1496"/>
            <w:bookmarkEnd w:id="1497"/>
            <w:bookmarkEnd w:id="1498"/>
            <w:bookmarkEnd w:id="1499"/>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restart"/>
            <w:tcBorders>
              <w:top w:val="single" w:color="auto" w:sz="4" w:space="0"/>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一、证照文书</w:t>
            </w: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color w:val="auto"/>
                <w:szCs w:val="21"/>
              </w:rPr>
            </w:pPr>
            <w:r>
              <w:rPr>
                <w:rFonts w:hint="default" w:ascii="Times New Roman" w:hAnsi="Times New Roman" w:cs="Times New Roman"/>
                <w:color w:val="auto"/>
                <w:szCs w:val="21"/>
              </w:rPr>
              <w:t>1、企业营业执照或企业名称核准通知书。</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left"/>
              <w:rPr>
                <w:rFonts w:hint="default" w:ascii="Times New Roman" w:hAnsi="Times New Roman" w:cs="Times New Roman"/>
                <w:color w:val="auto"/>
                <w:szCs w:val="21"/>
              </w:rPr>
            </w:pPr>
            <w:r>
              <w:rPr>
                <w:rFonts w:hint="default" w:ascii="Times New Roman" w:hAnsi="Times New Roman" w:cs="Times New Roman"/>
                <w:color w:val="auto"/>
                <w:szCs w:val="21"/>
              </w:rPr>
              <w:t>营业执照统一社会信用代码：</w:t>
            </w:r>
            <w:r>
              <w:rPr>
                <w:rFonts w:hint="eastAsia" w:ascii="Times New Roman" w:hAnsi="Times New Roman" w:cs="Times New Roman"/>
                <w:color w:val="auto"/>
                <w:szCs w:val="21"/>
                <w:lang w:eastAsia="zh-CN"/>
              </w:rPr>
              <w:t>914419007429668678</w:t>
            </w:r>
            <w:r>
              <w:rPr>
                <w:rFonts w:hint="default" w:ascii="Times New Roman" w:hAnsi="Times New Roman" w:cs="Times New Roman"/>
                <w:color w:val="auto"/>
                <w:szCs w:val="21"/>
              </w:rPr>
              <w:t>。</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color w:val="auto"/>
                <w:szCs w:val="21"/>
              </w:rPr>
            </w:pPr>
            <w:r>
              <w:rPr>
                <w:rFonts w:hint="default" w:ascii="Times New Roman" w:hAnsi="Times New Roman" w:cs="Times New Roman"/>
                <w:color w:val="auto"/>
                <w:szCs w:val="21"/>
                <w:lang w:val="en-US" w:eastAsia="zh-CN"/>
              </w:rPr>
              <w:t>2</w:t>
            </w:r>
            <w:r>
              <w:rPr>
                <w:rFonts w:hint="default" w:ascii="Times New Roman" w:hAnsi="Times New Roman" w:cs="Times New Roman"/>
                <w:color w:val="auto"/>
                <w:szCs w:val="21"/>
              </w:rPr>
              <w:t>、消防验收意见证书。</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color w:val="auto"/>
                <w:szCs w:val="21"/>
              </w:rPr>
            </w:pPr>
            <w:r>
              <w:rPr>
                <w:rFonts w:hint="default" w:ascii="Times New Roman" w:hAnsi="Times New Roman" w:cs="Times New Roman"/>
                <w:color w:val="auto"/>
                <w:szCs w:val="21"/>
              </w:rPr>
              <w:t>有建筑工程消防验收意见书</w:t>
            </w:r>
            <w:r>
              <w:rPr>
                <w:rFonts w:hint="default" w:ascii="Times New Roman" w:hAnsi="Times New Roman" w:cs="Times New Roman"/>
                <w:color w:val="auto"/>
                <w:szCs w:val="21"/>
                <w:lang w:eastAsia="zh-CN"/>
              </w:rPr>
              <w:t>。</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color w:val="auto"/>
                <w:szCs w:val="21"/>
              </w:rPr>
            </w:pPr>
            <w:r>
              <w:rPr>
                <w:rFonts w:hint="default" w:ascii="Times New Roman" w:hAnsi="Times New Roman" w:cs="Times New Roman"/>
                <w:color w:val="auto"/>
                <w:szCs w:val="21"/>
                <w:lang w:val="en-US" w:eastAsia="zh-CN"/>
              </w:rPr>
              <w:t>3</w:t>
            </w:r>
            <w:r>
              <w:rPr>
                <w:rFonts w:hint="default" w:ascii="Times New Roman" w:hAnsi="Times New Roman" w:cs="Times New Roman"/>
                <w:color w:val="auto"/>
                <w:szCs w:val="21"/>
              </w:rPr>
              <w:t>、广东省防雷设施有效合格证。</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color w:val="auto"/>
                <w:szCs w:val="21"/>
              </w:rPr>
            </w:pPr>
            <w:r>
              <w:rPr>
                <w:rFonts w:hint="default" w:ascii="Times New Roman" w:hAnsi="Times New Roman" w:cs="Times New Roman"/>
                <w:color w:val="auto"/>
                <w:szCs w:val="21"/>
              </w:rPr>
              <w:t>防雷设施</w:t>
            </w:r>
            <w:r>
              <w:rPr>
                <w:rFonts w:hint="default" w:ascii="Times New Roman" w:hAnsi="Times New Roman" w:cs="Times New Roman"/>
                <w:color w:val="auto"/>
                <w:szCs w:val="21"/>
                <w:lang w:eastAsia="zh-CN"/>
              </w:rPr>
              <w:t>经检测合格。</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color w:val="auto"/>
                <w:szCs w:val="21"/>
              </w:rPr>
            </w:pPr>
            <w:r>
              <w:rPr>
                <w:rFonts w:hint="default" w:ascii="Times New Roman" w:hAnsi="Times New Roman" w:cs="Times New Roman"/>
                <w:color w:val="auto"/>
                <w:szCs w:val="21"/>
                <w:lang w:val="en-US" w:eastAsia="zh-CN"/>
              </w:rPr>
              <w:t>4</w:t>
            </w:r>
            <w:r>
              <w:rPr>
                <w:rFonts w:hint="default" w:ascii="Times New Roman" w:hAnsi="Times New Roman" w:cs="Times New Roman"/>
                <w:color w:val="auto"/>
                <w:szCs w:val="21"/>
              </w:rPr>
              <w:t>、加油机防爆合格证。</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left"/>
              <w:rPr>
                <w:rFonts w:hint="default" w:ascii="Times New Roman" w:hAnsi="Times New Roman" w:cs="Times New Roman"/>
                <w:color w:val="auto"/>
                <w:szCs w:val="21"/>
              </w:rPr>
            </w:pPr>
            <w:r>
              <w:rPr>
                <w:rFonts w:hint="default" w:ascii="Times New Roman" w:hAnsi="Times New Roman" w:cs="Times New Roman"/>
                <w:color w:val="auto"/>
                <w:szCs w:val="21"/>
              </w:rPr>
              <w:t>加油机有防爆合格证。</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bottom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5、应急预案备案登记表</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left"/>
              <w:rPr>
                <w:rFonts w:hint="default" w:ascii="Times New Roman" w:hAnsi="Times New Roman" w:eastAsia="宋体" w:cs="Times New Roman"/>
                <w:color w:val="auto"/>
                <w:szCs w:val="21"/>
                <w:lang w:eastAsia="zh-CN"/>
              </w:rPr>
            </w:pPr>
            <w:r>
              <w:rPr>
                <w:rFonts w:hint="default" w:ascii="Times New Roman" w:hAnsi="Times New Roman" w:cs="Times New Roman"/>
                <w:color w:val="auto"/>
                <w:szCs w:val="21"/>
                <w:lang w:eastAsia="zh-CN"/>
              </w:rPr>
              <w:t>取得应急预案备案登记表。</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restart"/>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二 、安全管理制度</w:t>
            </w: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color w:val="auto"/>
              </w:rPr>
            </w:pPr>
            <w:r>
              <w:rPr>
                <w:rFonts w:hint="default" w:ascii="Times New Roman" w:hAnsi="Times New Roman" w:cs="Times New Roman"/>
                <w:color w:val="auto"/>
              </w:rPr>
              <w:t>1、有健全的安全生产规章制度和岗位操作规程；</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color w:val="auto"/>
              </w:rPr>
            </w:pPr>
            <w:r>
              <w:rPr>
                <w:rFonts w:hint="default" w:ascii="Times New Roman" w:hAnsi="Times New Roman" w:cs="Times New Roman"/>
                <w:color w:val="auto"/>
              </w:rPr>
              <w:t>制定有较健全安全责任制和岗位职责、安全管理制度和岗位安全操作规程。</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color w:val="auto"/>
              </w:rPr>
            </w:pPr>
            <w:r>
              <w:rPr>
                <w:rFonts w:hint="default" w:ascii="Times New Roman" w:hAnsi="Times New Roman" w:cs="Times New Roman"/>
                <w:color w:val="auto"/>
              </w:rPr>
              <w:t>2、有符合国家规定的危险化学品事故应急预案，并配备必要的应急救援器材、设备。</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color w:val="auto"/>
              </w:rPr>
            </w:pPr>
            <w:r>
              <w:rPr>
                <w:rFonts w:hint="default" w:ascii="Times New Roman" w:hAnsi="Times New Roman" w:cs="Times New Roman"/>
                <w:color w:val="auto"/>
              </w:rPr>
              <w:t>制定了加油站事故应急救援预案，配备有相应的应急救援器材和设备。</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restart"/>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三 、安全管理组织</w:t>
            </w: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color w:val="auto"/>
                <w:szCs w:val="21"/>
              </w:rPr>
            </w:pPr>
            <w:r>
              <w:rPr>
                <w:rFonts w:hint="default" w:ascii="Times New Roman" w:hAnsi="Times New Roman" w:cs="Times New Roman"/>
                <w:color w:val="auto"/>
                <w:szCs w:val="21"/>
              </w:rPr>
              <w:t>1、建立以站长为第一责任人的安全管理小组。</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color w:val="auto"/>
                <w:szCs w:val="21"/>
              </w:rPr>
            </w:pPr>
            <w:r>
              <w:rPr>
                <w:rFonts w:hint="default" w:ascii="Times New Roman" w:hAnsi="Times New Roman" w:cs="Times New Roman"/>
                <w:color w:val="auto"/>
                <w:szCs w:val="21"/>
              </w:rPr>
              <w:t>已建立以站长为第一责任人的安全管理小组。</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color w:val="auto"/>
                <w:szCs w:val="21"/>
              </w:rPr>
            </w:pPr>
            <w:r>
              <w:rPr>
                <w:rFonts w:hint="default" w:ascii="Times New Roman" w:hAnsi="Times New Roman" w:cs="Times New Roman"/>
                <w:color w:val="auto"/>
                <w:szCs w:val="21"/>
              </w:rPr>
              <w:t>2、任命消防安全责任人并悬挂任命书，签定安全责任书。</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color w:val="auto"/>
                <w:szCs w:val="21"/>
              </w:rPr>
            </w:pPr>
            <w:r>
              <w:rPr>
                <w:rFonts w:hint="default" w:ascii="Times New Roman" w:hAnsi="Times New Roman" w:cs="Times New Roman"/>
                <w:color w:val="auto"/>
                <w:szCs w:val="21"/>
              </w:rPr>
              <w:t>有任命消防安全责任人并悬挂任命书，签定了安全责任书。</w:t>
            </w:r>
          </w:p>
        </w:tc>
        <w:tc>
          <w:tcPr>
            <w:tcW w:w="927" w:type="dxa"/>
            <w:tcBorders>
              <w:top w:val="single" w:color="auto" w:sz="4" w:space="0"/>
              <w:left w:val="single" w:color="auto" w:sz="4" w:space="0"/>
              <w:bottom w:val="single" w:color="auto" w:sz="4" w:space="0"/>
              <w:right w:val="single" w:color="auto" w:sz="4" w:space="0"/>
            </w:tcBorders>
            <w:vAlign w:val="center"/>
          </w:tcPr>
          <w:p>
            <w:pPr>
              <w:pStyle w:val="19"/>
              <w:keepNext w:val="0"/>
              <w:keepLines w:val="0"/>
              <w:suppressLineNumbers w:val="0"/>
              <w:pBdr>
                <w:bottom w:val="none" w:color="auto" w:sz="0" w:space="0"/>
              </w:pBdr>
              <w:tabs>
                <w:tab w:val="clear" w:pos="4153"/>
                <w:tab w:val="clear" w:pos="8306"/>
              </w:tabs>
              <w:snapToGrid/>
              <w:spacing w:before="0" w:beforeAutospacing="0" w:after="0" w:afterAutospacing="0" w:line="240" w:lineRule="auto"/>
              <w:ind w:left="0" w:right="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color w:val="auto"/>
                <w:szCs w:val="21"/>
              </w:rPr>
            </w:pPr>
            <w:r>
              <w:rPr>
                <w:rFonts w:hint="default" w:ascii="Times New Roman" w:hAnsi="Times New Roman" w:cs="Times New Roman"/>
                <w:color w:val="auto"/>
                <w:szCs w:val="21"/>
              </w:rPr>
              <w:t>3、配备安全管理人员，每班作业现场应不少于1名专（兼）职安全管理人员。</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color w:val="auto"/>
                <w:szCs w:val="21"/>
              </w:rPr>
            </w:pPr>
            <w:r>
              <w:rPr>
                <w:rFonts w:hint="default" w:ascii="Times New Roman" w:hAnsi="Times New Roman" w:cs="Times New Roman"/>
                <w:color w:val="auto"/>
                <w:szCs w:val="21"/>
              </w:rPr>
              <w:t>油站配备2名安全管理人员，每班作业现场有1名安全管理人员。</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color w:val="auto"/>
                <w:szCs w:val="21"/>
              </w:rPr>
            </w:pPr>
            <w:r>
              <w:rPr>
                <w:rFonts w:hint="default" w:ascii="Times New Roman" w:hAnsi="Times New Roman" w:cs="Times New Roman"/>
                <w:color w:val="auto"/>
                <w:szCs w:val="21"/>
              </w:rPr>
              <w:t>4、成立全员参与的群众性义务消防安全组织，员工职责明确、操作熟练，熟悉站内灭火器材、设施的分布、种类和操作。</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color w:val="auto"/>
                <w:szCs w:val="21"/>
              </w:rPr>
            </w:pPr>
            <w:r>
              <w:rPr>
                <w:rFonts w:hint="default" w:ascii="Times New Roman" w:hAnsi="Times New Roman" w:cs="Times New Roman"/>
                <w:color w:val="auto"/>
                <w:szCs w:val="21"/>
              </w:rPr>
              <w:t>加油站成立并全员参与义务消防组织，员工职责明确，熟悉灭火器材、设施的分布、种类和操作；定期进行应急演练。</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restart"/>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四、 从业人员要求</w:t>
            </w: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color w:val="auto"/>
              </w:rPr>
            </w:pPr>
            <w:r>
              <w:rPr>
                <w:rFonts w:hint="default" w:ascii="Times New Roman" w:hAnsi="Times New Roman" w:cs="Times New Roman"/>
                <w:color w:val="auto"/>
              </w:rPr>
              <w:t>1、主要负责人和安全管理人员具备与本企业危险化学品经营活动相适应的安全生产知识和管理能力，经专门的安全生产培训和安全生产监督管理部门考核合格，取得相应安全资格证书。</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color w:val="auto"/>
              </w:rPr>
            </w:pPr>
            <w:r>
              <w:rPr>
                <w:rFonts w:hint="default" w:ascii="Times New Roman" w:hAnsi="Times New Roman" w:cs="Times New Roman"/>
                <w:color w:val="auto"/>
              </w:rPr>
              <w:t>站长、安全管理人员均有多年的油站工作经验，经安全生产教育培训并考核合格，取得上岗资格。</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color w:val="auto"/>
              </w:rPr>
            </w:pPr>
            <w:r>
              <w:rPr>
                <w:rFonts w:hint="default" w:ascii="Times New Roman" w:hAnsi="Times New Roman" w:cs="Times New Roman"/>
                <w:color w:val="auto"/>
              </w:rPr>
              <w:t>2、特种作业人员经专门的安全作业培训，取得特种作业操作证书。</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color w:val="auto"/>
              </w:rPr>
            </w:pPr>
            <w:r>
              <w:rPr>
                <w:rFonts w:hint="default" w:ascii="Times New Roman" w:hAnsi="Times New Roman" w:cs="Times New Roman"/>
                <w:color w:val="auto"/>
                <w:lang w:eastAsia="zh-CN"/>
              </w:rPr>
              <w:t>油站暂无</w:t>
            </w:r>
            <w:r>
              <w:rPr>
                <w:rFonts w:hint="default" w:ascii="Times New Roman" w:hAnsi="Times New Roman" w:cs="Times New Roman"/>
                <w:color w:val="auto"/>
              </w:rPr>
              <w:t>特种作业人员</w:t>
            </w:r>
            <w:r>
              <w:rPr>
                <w:rFonts w:hint="default" w:ascii="Times New Roman" w:hAnsi="Times New Roman" w:cs="Times New Roman"/>
                <w:color w:val="auto"/>
                <w:lang w:eastAsia="zh-CN"/>
              </w:rPr>
              <w:t>。</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Cs w:val="21"/>
              </w:rPr>
            </w:pPr>
            <w:r>
              <w:rPr>
                <w:rFonts w:hint="default" w:ascii="Times New Roman" w:hAnsi="Times New Roman" w:cs="Times New Roman"/>
                <w:color w:val="auto"/>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 xml:space="preserve">3、其他从业人员依照有关规定经安全生产教育和专业技术培训合格。 </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其他从业人员经三级培训合格后持证上岗。</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restart"/>
            <w:tcBorders>
              <w:top w:val="single" w:color="auto" w:sz="4" w:space="0"/>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五 、选址及总平面布置</w:t>
            </w: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1、加油站的站址选择，应符合城镇规划、环境保护和防火安全的要求，并应选在交通便利的地方。</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 xml:space="preserve">符合城镇规划，交通便利。 </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0" w:right="0"/>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2、在城市建成区内不宜建一级加油站。在城市中心区不应建一级加油站。</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lang w:eastAsia="zh-CN"/>
              </w:rPr>
              <w:t>原有加油站站内改建，本次非新建加油站项目</w:t>
            </w:r>
            <w:r>
              <w:rPr>
                <w:rFonts w:hint="default" w:ascii="Times New Roman" w:hAnsi="Times New Roman" w:cs="Times New Roman"/>
                <w:szCs w:val="21"/>
              </w:rPr>
              <w:t>。</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3、城市建成区内的加油加气站，宜靠近城市道路，但不宜选在城市干道的交叉路口附近。</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不在城市干道的交叉路口附近</w:t>
            </w:r>
            <w:r>
              <w:rPr>
                <w:rFonts w:hint="default" w:ascii="Times New Roman" w:hAnsi="Times New Roman" w:cs="Times New Roman"/>
                <w:szCs w:val="21"/>
                <w:lang w:eastAsia="zh-CN"/>
              </w:rPr>
              <w:t>。</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4、加油站的汽油设备与站外建（构）物的安全间距，不应小于</w:t>
            </w:r>
            <w:r>
              <w:rPr>
                <w:rFonts w:hint="default" w:ascii="Times New Roman" w:hAnsi="Times New Roman" w:cs="Times New Roman"/>
              </w:rPr>
              <w:t>《汽加油加气站设计与施工规范》（GB50156-2012，2014版）表4.0.4的规定。</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新增自动洗车机后，汽油设备与站外建、构筑物的防火距离表，符合要求，具体见本报告表2.3-1。</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5、加油站、加油加气合建站的柴油设备与站外建（构）物的安全间距，不应小于</w:t>
            </w:r>
            <w:r>
              <w:rPr>
                <w:rFonts w:hint="default" w:ascii="Times New Roman" w:hAnsi="Times New Roman" w:cs="Times New Roman"/>
              </w:rPr>
              <w:t>《汽加油加气站设计与施工规范》（GB50156-2012，2014版）表4.0.5的规定。</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新增自动洗车机后，柴油设备与站外建、构筑物的防火距离表，符合要求，具体见本报告表2.3-2。</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6、车辆的入口和出口应分开设置。</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 xml:space="preserve">出、入口分开设置。 </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7、停车位和道路应符合下列规定：</w:t>
            </w:r>
          </w:p>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1）加油加气站单车道宽度不应小于4m，双车道宽度不应小于6m。</w:t>
            </w:r>
          </w:p>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2）站内的道路转弯半径应按行驶车型确定，且不宜小于9m；</w:t>
            </w:r>
          </w:p>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3）站内停车位应为平坡，坡度不应大于8%，且宜坡向站外；</w:t>
            </w:r>
          </w:p>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4）站内停车场和道路路面不应采用沥青路面。</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车道宽度符合要求</w:t>
            </w:r>
            <w:r>
              <w:rPr>
                <w:rFonts w:hint="default" w:ascii="Times New Roman" w:hAnsi="Times New Roman" w:cs="Times New Roman"/>
                <w:szCs w:val="21"/>
                <w:lang w:eastAsia="zh-CN"/>
              </w:rPr>
              <w:t>。</w:t>
            </w:r>
          </w:p>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站内转弯半径不小于9m，坡度不大于8%。</w:t>
            </w:r>
          </w:p>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停车场和道路路面为水泥路面。</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8、变配电间或室外变压器应布置在爆炸危险区域之外且与爆炸危险区域的边界线距离不应小于3m。</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由本报告表</w:t>
            </w:r>
            <w:r>
              <w:rPr>
                <w:rFonts w:hint="default" w:ascii="Times New Roman" w:hAnsi="Times New Roman" w:cs="Times New Roman"/>
                <w:szCs w:val="21"/>
                <w:lang w:val="en-US" w:eastAsia="zh-CN"/>
              </w:rPr>
              <w:t>2</w:t>
            </w:r>
            <w:r>
              <w:rPr>
                <w:rFonts w:hint="default" w:ascii="Times New Roman" w:hAnsi="Times New Roman" w:cs="Times New Roman"/>
                <w:szCs w:val="21"/>
              </w:rPr>
              <w:t>.4-1可知，该加油站配电房与站内设施的间距符合规范要求。</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9、加油站内的爆炸危险区域，不应超出站区围墙和可用地界限。</w:t>
            </w:r>
          </w:p>
        </w:tc>
        <w:tc>
          <w:tcPr>
            <w:tcW w:w="3191" w:type="dxa"/>
            <w:tcBorders>
              <w:top w:val="single" w:color="auto" w:sz="4" w:space="0"/>
              <w:left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未超出站区围墙和可用地界限。</w:t>
            </w:r>
          </w:p>
        </w:tc>
        <w:tc>
          <w:tcPr>
            <w:tcW w:w="927" w:type="dxa"/>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10、加油站的工艺设备与站外建构筑物之间，宜设置高度不低于2.2m的不燃烧体实体围墙。当间距大于25m且大于安全间距的1.5倍时，可设非实体围墙。</w:t>
            </w:r>
          </w:p>
        </w:tc>
        <w:tc>
          <w:tcPr>
            <w:tcW w:w="3191" w:type="dxa"/>
            <w:tcBorders>
              <w:top w:val="single" w:color="auto" w:sz="4" w:space="0"/>
              <w:left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left"/>
              <w:rPr>
                <w:rFonts w:hint="default" w:ascii="Times New Roman" w:hAnsi="Times New Roman" w:cs="Times New Roman"/>
                <w:szCs w:val="21"/>
              </w:rPr>
            </w:pPr>
            <w:r>
              <w:rPr>
                <w:rFonts w:hint="default" w:ascii="Times New Roman" w:hAnsi="Times New Roman" w:cs="Times New Roman"/>
                <w:szCs w:val="21"/>
              </w:rPr>
              <w:t>面向道路面敞开设置，其余面设置符合要求。</w:t>
            </w:r>
          </w:p>
        </w:tc>
        <w:tc>
          <w:tcPr>
            <w:tcW w:w="927" w:type="dxa"/>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bottom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11、加油站内设施之间的防火距离，不应小于</w:t>
            </w:r>
            <w:r>
              <w:rPr>
                <w:rFonts w:hint="default" w:ascii="Times New Roman" w:hAnsi="Times New Roman" w:cs="Times New Roman"/>
              </w:rPr>
              <w:t>《汽加油加气站设计与施工规范》（GB50156-2012，2014版）表5.0.13-1的规定。</w:t>
            </w:r>
          </w:p>
        </w:tc>
        <w:tc>
          <w:tcPr>
            <w:tcW w:w="3191" w:type="dxa"/>
            <w:tcBorders>
              <w:top w:val="single" w:color="auto" w:sz="4" w:space="0"/>
              <w:left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由本报告表2.4-1可知，新增自动洗车机该油站站内设施之间的间距符合规范要求。</w:t>
            </w:r>
          </w:p>
        </w:tc>
        <w:tc>
          <w:tcPr>
            <w:tcW w:w="927" w:type="dxa"/>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restart"/>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六 、油罐</w:t>
            </w: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1、</w:t>
            </w:r>
            <w:r>
              <w:rPr>
                <w:rFonts w:hint="default" w:ascii="Times New Roman" w:hAnsi="Times New Roman" w:cs="Times New Roman"/>
                <w:color w:val="auto"/>
                <w:szCs w:val="21"/>
              </w:rPr>
              <w:t>加油站的汽油罐和柴油罐（橇装式加油装置所配置的防火防爆油罐除外）应埋地设置，严禁设在室内或地下室内。</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油罐</w:t>
            </w:r>
            <w:r>
              <w:rPr>
                <w:rFonts w:hint="eastAsia" w:ascii="Times New Roman" w:hAnsi="Times New Roman" w:cs="Times New Roman"/>
                <w:szCs w:val="21"/>
                <w:lang w:eastAsia="zh-CN"/>
              </w:rPr>
              <w:t>采用室外</w:t>
            </w:r>
            <w:r>
              <w:rPr>
                <w:rFonts w:hint="default" w:ascii="Times New Roman" w:hAnsi="Times New Roman" w:cs="Times New Roman"/>
                <w:szCs w:val="21"/>
              </w:rPr>
              <w:t>埋地设置。</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2、汽车加油站的储油罐，应采用卧式油罐。</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为卧式油罐。</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color w:val="auto"/>
              </w:rPr>
            </w:pPr>
            <w:r>
              <w:rPr>
                <w:rFonts w:hint="default" w:ascii="Times New Roman" w:hAnsi="Times New Roman" w:cs="Times New Roman"/>
                <w:color w:val="auto"/>
              </w:rPr>
              <w:t>3、</w:t>
            </w:r>
            <w:r>
              <w:rPr>
                <w:rFonts w:hint="default" w:ascii="Times New Roman" w:hAnsi="Times New Roman" w:eastAsia="新宋体" w:cs="Times New Roman"/>
                <w:color w:val="auto"/>
                <w:szCs w:val="21"/>
              </w:rPr>
              <w:t>埋地油罐需要采用双层油罐时，可采用双层钢制油罐、双层玻璃纤维增强塑料油罐、内钢外玻璃纤维增强塑料双层油罐。既有加油站的埋地单层钢制油罐改造为双层油罐时，可采用玻璃纤维增强塑料等满足强度和防渗要求的材料进行衬里改造。</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color w:val="auto"/>
              </w:rPr>
            </w:pPr>
            <w:r>
              <w:rPr>
                <w:rFonts w:hint="default" w:ascii="Times New Roman" w:hAnsi="Times New Roman" w:cs="Times New Roman"/>
                <w:color w:val="auto"/>
              </w:rPr>
              <w:t>油罐采用</w:t>
            </w:r>
            <w:r>
              <w:rPr>
                <w:rFonts w:hint="default" w:ascii="Times New Roman" w:hAnsi="Times New Roman" w:eastAsia="新宋体" w:cs="Times New Roman"/>
                <w:color w:val="auto"/>
                <w:szCs w:val="21"/>
              </w:rPr>
              <w:t>双层油罐</w:t>
            </w:r>
            <w:r>
              <w:rPr>
                <w:rFonts w:hint="default" w:ascii="Times New Roman" w:hAnsi="Times New Roman" w:eastAsia="新宋体" w:cs="Times New Roman"/>
                <w:color w:val="auto"/>
                <w:szCs w:val="21"/>
                <w:lang w:eastAsia="zh-CN"/>
              </w:rPr>
              <w:t>。</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color w:val="auto"/>
                <w:szCs w:val="21"/>
              </w:rPr>
            </w:pPr>
            <w:r>
              <w:rPr>
                <w:rFonts w:hint="default" w:ascii="Times New Roman" w:hAnsi="Times New Roman" w:cs="Times New Roman"/>
                <w:color w:val="auto"/>
                <w:szCs w:val="21"/>
              </w:rPr>
              <w:t>4、</w:t>
            </w:r>
            <w:r>
              <w:rPr>
                <w:rFonts w:hint="default" w:ascii="Times New Roman" w:hAnsi="Times New Roman" w:eastAsia="新宋体" w:cs="Times New Roman"/>
                <w:color w:val="auto"/>
                <w:szCs w:val="21"/>
              </w:rPr>
              <w:t>双层玻璃纤维增强塑料油罐的内、外层壁厚，以及内钢外玻璃纤维增强塑料双层油罐的外层壁厚，均不应小于4mm。</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color w:val="auto"/>
                <w:szCs w:val="21"/>
              </w:rPr>
            </w:pPr>
            <w:r>
              <w:rPr>
                <w:rFonts w:hint="default" w:ascii="Times New Roman" w:hAnsi="Times New Roman" w:eastAsia="新宋体" w:cs="Times New Roman"/>
                <w:color w:val="auto"/>
                <w:szCs w:val="21"/>
              </w:rPr>
              <w:t>内钢外玻璃纤维增强塑料双层油罐的外层壁厚</w:t>
            </w:r>
            <w:r>
              <w:rPr>
                <w:rFonts w:hint="default" w:ascii="Times New Roman" w:hAnsi="Times New Roman" w:eastAsia="新宋体" w:cs="Times New Roman"/>
                <w:color w:val="auto"/>
                <w:szCs w:val="21"/>
                <w:lang w:eastAsia="zh-CN"/>
              </w:rPr>
              <w:t>满足要求。</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szCs w:val="21"/>
              </w:rPr>
            </w:pPr>
          </w:p>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color w:val="auto"/>
                <w:szCs w:val="21"/>
              </w:rPr>
            </w:pPr>
            <w:r>
              <w:rPr>
                <w:rFonts w:hint="default" w:ascii="Times New Roman" w:hAnsi="Times New Roman" w:cs="Times New Roman"/>
                <w:color w:val="auto"/>
                <w:szCs w:val="21"/>
                <w:lang w:val="en-US" w:eastAsia="zh-CN"/>
              </w:rPr>
              <w:t>5、</w:t>
            </w:r>
            <w:r>
              <w:rPr>
                <w:rFonts w:hint="default" w:ascii="Times New Roman" w:hAnsi="Times New Roman" w:cs="Times New Roman"/>
                <w:color w:val="auto"/>
                <w:szCs w:val="21"/>
              </w:rPr>
              <w:t>油罐应采用钢制人孔盖。</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color w:val="auto"/>
                <w:szCs w:val="21"/>
              </w:rPr>
            </w:pPr>
            <w:r>
              <w:rPr>
                <w:rFonts w:hint="default" w:ascii="Times New Roman" w:hAnsi="Times New Roman" w:cs="Times New Roman"/>
                <w:color w:val="auto"/>
                <w:szCs w:val="21"/>
              </w:rPr>
              <w:t>采用钢制人孔盖</w:t>
            </w:r>
            <w:r>
              <w:rPr>
                <w:rFonts w:hint="default" w:ascii="Times New Roman" w:hAnsi="Times New Roman" w:cs="Times New Roman"/>
                <w:color w:val="auto"/>
                <w:szCs w:val="21"/>
                <w:lang w:eastAsia="zh-CN"/>
              </w:rPr>
              <w:t>。</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color w:val="auto"/>
                <w:szCs w:val="21"/>
              </w:rPr>
            </w:pPr>
            <w:r>
              <w:rPr>
                <w:rFonts w:hint="default" w:ascii="Times New Roman" w:hAnsi="Times New Roman" w:eastAsia="新宋体" w:cs="Times New Roman"/>
                <w:color w:val="auto"/>
                <w:szCs w:val="21"/>
                <w:lang w:val="en-US" w:eastAsia="zh-CN"/>
              </w:rPr>
              <w:t>6、</w:t>
            </w:r>
            <w:r>
              <w:rPr>
                <w:rFonts w:hint="default" w:ascii="Times New Roman" w:hAnsi="Times New Roman" w:eastAsia="新宋体" w:cs="Times New Roman"/>
                <w:color w:val="auto"/>
                <w:szCs w:val="21"/>
              </w:rPr>
              <w:t>双层油罐内壁与外壁之间应有满足渗漏检测要求的贯通间隙。</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color w:val="auto"/>
                <w:szCs w:val="21"/>
              </w:rPr>
            </w:pPr>
            <w:r>
              <w:rPr>
                <w:rFonts w:hint="default" w:ascii="Times New Roman" w:hAnsi="Times New Roman" w:eastAsia="新宋体" w:cs="Times New Roman"/>
                <w:color w:val="auto"/>
                <w:szCs w:val="21"/>
              </w:rPr>
              <w:t>内壁与外壁之间有满足渗漏检测要求的贯通间隙。</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line="240" w:lineRule="auto"/>
              <w:ind w:left="0" w:right="0"/>
              <w:rPr>
                <w:rFonts w:hint="default" w:ascii="Times New Roman" w:hAnsi="Times New Roman" w:eastAsia="新宋体" w:cs="Times New Roman"/>
                <w:color w:val="auto"/>
                <w:szCs w:val="21"/>
              </w:rPr>
            </w:pPr>
            <w:r>
              <w:rPr>
                <w:rFonts w:hint="default" w:ascii="Times New Roman" w:hAnsi="Times New Roman" w:eastAsia="新宋体" w:cs="Times New Roman"/>
                <w:color w:val="auto"/>
                <w:szCs w:val="21"/>
                <w:lang w:val="en-US" w:eastAsia="zh-CN"/>
              </w:rPr>
              <w:t>7、</w:t>
            </w:r>
            <w:r>
              <w:rPr>
                <w:rFonts w:hint="default" w:ascii="Times New Roman" w:hAnsi="Times New Roman" w:eastAsia="新宋体" w:cs="Times New Roman"/>
                <w:color w:val="auto"/>
                <w:szCs w:val="21"/>
              </w:rPr>
              <w:t>双层钢制油罐、内钢外玻璃纤维增强塑料双层油罐和玻璃纤维增强塑料等非金属防渗衬里的双层油罐，应设渗漏检测立管，并应符合下列规定：</w:t>
            </w:r>
          </w:p>
          <w:p>
            <w:pPr>
              <w:keepNext w:val="0"/>
              <w:keepLines w:val="0"/>
              <w:suppressLineNumbers w:val="0"/>
              <w:adjustRightInd w:val="0"/>
              <w:snapToGrid w:val="0"/>
              <w:spacing w:before="0" w:beforeAutospacing="0" w:after="0" w:afterAutospacing="0" w:line="240" w:lineRule="auto"/>
              <w:ind w:left="0" w:right="0"/>
              <w:rPr>
                <w:rFonts w:hint="default" w:ascii="Times New Roman" w:hAnsi="Times New Roman" w:eastAsia="新宋体" w:cs="Times New Roman"/>
                <w:color w:val="auto"/>
                <w:szCs w:val="21"/>
              </w:rPr>
            </w:pPr>
            <w:r>
              <w:rPr>
                <w:rFonts w:hint="default" w:ascii="Times New Roman" w:hAnsi="Times New Roman" w:eastAsia="新宋体" w:cs="Times New Roman"/>
                <w:color w:val="auto"/>
                <w:szCs w:val="21"/>
              </w:rPr>
              <w:t>1检测立管应采用钢管，直径宜为80mm，壁厚不宜小于4mm。</w:t>
            </w:r>
          </w:p>
          <w:p>
            <w:pPr>
              <w:keepNext w:val="0"/>
              <w:keepLines w:val="0"/>
              <w:suppressLineNumbers w:val="0"/>
              <w:adjustRightInd w:val="0"/>
              <w:snapToGrid w:val="0"/>
              <w:spacing w:before="0" w:beforeAutospacing="0" w:after="0" w:afterAutospacing="0" w:line="240" w:lineRule="auto"/>
              <w:ind w:left="0" w:right="0"/>
              <w:rPr>
                <w:rFonts w:hint="default" w:ascii="Times New Roman" w:hAnsi="Times New Roman" w:eastAsia="新宋体" w:cs="Times New Roman"/>
                <w:color w:val="auto"/>
                <w:szCs w:val="21"/>
              </w:rPr>
            </w:pPr>
            <w:r>
              <w:rPr>
                <w:rFonts w:hint="default" w:ascii="Times New Roman" w:hAnsi="Times New Roman" w:eastAsia="新宋体" w:cs="Times New Roman"/>
                <w:color w:val="auto"/>
                <w:szCs w:val="21"/>
              </w:rPr>
              <w:t>2检测立管应位于油罐顶部的纵向中心线上。</w:t>
            </w:r>
          </w:p>
          <w:p>
            <w:pPr>
              <w:keepNext w:val="0"/>
              <w:keepLines w:val="0"/>
              <w:suppressLineNumbers w:val="0"/>
              <w:adjustRightInd w:val="0"/>
              <w:snapToGrid w:val="0"/>
              <w:spacing w:before="0" w:beforeAutospacing="0" w:after="0" w:afterAutospacing="0" w:line="240" w:lineRule="auto"/>
              <w:ind w:left="0" w:right="0"/>
              <w:rPr>
                <w:rFonts w:hint="default" w:ascii="Times New Roman" w:hAnsi="Times New Roman" w:eastAsia="新宋体" w:cs="Times New Roman"/>
                <w:color w:val="auto"/>
                <w:szCs w:val="21"/>
              </w:rPr>
            </w:pPr>
            <w:r>
              <w:rPr>
                <w:rFonts w:hint="default" w:ascii="Times New Roman" w:hAnsi="Times New Roman" w:eastAsia="新宋体" w:cs="Times New Roman"/>
                <w:color w:val="auto"/>
                <w:szCs w:val="21"/>
              </w:rPr>
              <w:t>3检测立管的底部管口应与油罐内、外壁间隙相连通，顶部管口应装防尘盖。</w:t>
            </w:r>
          </w:p>
          <w:p>
            <w:pPr>
              <w:keepNext w:val="0"/>
              <w:keepLines w:val="0"/>
              <w:suppressLineNumbers w:val="0"/>
              <w:adjustRightInd w:val="0"/>
              <w:snapToGrid w:val="0"/>
              <w:spacing w:before="0" w:beforeAutospacing="0" w:after="0" w:afterAutospacing="0" w:line="240" w:lineRule="auto"/>
              <w:ind w:left="0" w:right="0"/>
              <w:rPr>
                <w:rFonts w:hint="default" w:ascii="Times New Roman" w:hAnsi="Times New Roman" w:eastAsia="新宋体" w:cs="Times New Roman"/>
                <w:color w:val="auto"/>
                <w:szCs w:val="21"/>
                <w:lang w:val="en-US" w:eastAsia="zh-CN"/>
              </w:rPr>
            </w:pPr>
            <w:r>
              <w:rPr>
                <w:rFonts w:hint="default" w:ascii="Times New Roman" w:hAnsi="Times New Roman" w:eastAsia="新宋体" w:cs="Times New Roman"/>
                <w:color w:val="auto"/>
                <w:szCs w:val="21"/>
              </w:rPr>
              <w:t>4检测立管应满足人工检测和在线监测的要求，并应保证油罐内、外壁任何部位出现渗漏均能被发现。</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color w:val="auto"/>
                <w:szCs w:val="21"/>
              </w:rPr>
            </w:pPr>
            <w:r>
              <w:rPr>
                <w:rFonts w:hint="default" w:ascii="Times New Roman" w:hAnsi="Times New Roman" w:eastAsia="新宋体" w:cs="Times New Roman"/>
                <w:color w:val="auto"/>
                <w:szCs w:val="21"/>
              </w:rPr>
              <w:t>设渗漏检测立管</w:t>
            </w:r>
            <w:r>
              <w:rPr>
                <w:rFonts w:hint="default" w:ascii="Times New Roman" w:hAnsi="Times New Roman" w:eastAsia="新宋体" w:cs="Times New Roman"/>
                <w:color w:val="auto"/>
                <w:szCs w:val="21"/>
                <w:lang w:eastAsia="zh-CN"/>
              </w:rPr>
              <w:t>，</w:t>
            </w:r>
            <w:r>
              <w:rPr>
                <w:rFonts w:hint="default" w:ascii="Times New Roman" w:hAnsi="Times New Roman" w:eastAsia="新宋体" w:cs="Times New Roman"/>
                <w:color w:val="auto"/>
                <w:szCs w:val="21"/>
              </w:rPr>
              <w:t>检测立管满足</w:t>
            </w:r>
            <w:r>
              <w:rPr>
                <w:rFonts w:hint="default" w:ascii="Times New Roman" w:hAnsi="Times New Roman" w:eastAsia="新宋体" w:cs="Times New Roman"/>
                <w:color w:val="auto"/>
                <w:szCs w:val="21"/>
                <w:lang w:eastAsia="zh-CN"/>
              </w:rPr>
              <w:t>渗漏</w:t>
            </w:r>
            <w:r>
              <w:rPr>
                <w:rFonts w:hint="default" w:ascii="Times New Roman" w:hAnsi="Times New Roman" w:eastAsia="新宋体" w:cs="Times New Roman"/>
                <w:color w:val="auto"/>
                <w:szCs w:val="21"/>
              </w:rPr>
              <w:t>检测的要求</w:t>
            </w:r>
            <w:r>
              <w:rPr>
                <w:rFonts w:hint="default" w:ascii="Times New Roman" w:hAnsi="Times New Roman" w:eastAsia="新宋体" w:cs="Times New Roman"/>
                <w:color w:val="auto"/>
                <w:szCs w:val="21"/>
                <w:lang w:eastAsia="zh-CN"/>
              </w:rPr>
              <w:t>。</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color w:val="auto"/>
                <w:szCs w:val="21"/>
              </w:rPr>
            </w:pPr>
            <w:r>
              <w:rPr>
                <w:rFonts w:hint="default" w:ascii="Times New Roman" w:hAnsi="Times New Roman" w:cs="Times New Roman"/>
                <w:color w:val="auto"/>
                <w:lang w:val="en-US" w:eastAsia="zh-CN"/>
              </w:rPr>
              <w:t>8</w:t>
            </w:r>
            <w:r>
              <w:rPr>
                <w:rFonts w:hint="default" w:ascii="Times New Roman" w:hAnsi="Times New Roman" w:cs="Times New Roman"/>
                <w:color w:val="auto"/>
              </w:rPr>
              <w:t>、</w:t>
            </w:r>
            <w:r>
              <w:rPr>
                <w:rFonts w:hint="default" w:ascii="Times New Roman" w:hAnsi="Times New Roman" w:eastAsia="新宋体" w:cs="Times New Roman"/>
                <w:color w:val="auto"/>
                <w:szCs w:val="21"/>
              </w:rPr>
              <w:t>油罐设在非车行道下面时，罐顶的覆土厚度不应小于0.5m；设在车行道下面时，罐顶低于混凝土路面不宜小于0.9m。钢制油罐的周围应回填中性沙或细土，其厚度不应小于0.3m；外层为玻璃纤维增强塑料材料的油罐，其回填料应符合产品说明书的要求。</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color w:val="auto"/>
                <w:szCs w:val="21"/>
              </w:rPr>
            </w:pPr>
            <w:r>
              <w:rPr>
                <w:rFonts w:hint="default" w:ascii="Times New Roman" w:hAnsi="Times New Roman" w:cs="Times New Roman"/>
                <w:color w:val="auto"/>
              </w:rPr>
              <w:t>在</w:t>
            </w:r>
            <w:r>
              <w:rPr>
                <w:rFonts w:hint="eastAsia" w:ascii="Times New Roman" w:hAnsi="Times New Roman" w:cs="Times New Roman"/>
                <w:color w:val="auto"/>
                <w:lang w:eastAsia="zh-CN"/>
              </w:rPr>
              <w:t>非</w:t>
            </w:r>
            <w:r>
              <w:rPr>
                <w:rFonts w:hint="default" w:ascii="Times New Roman" w:hAnsi="Times New Roman" w:cs="Times New Roman"/>
                <w:color w:val="auto"/>
              </w:rPr>
              <w:t>车行道下面，罐顶的覆土厚度不小于0.</w:t>
            </w:r>
            <w:r>
              <w:rPr>
                <w:rFonts w:hint="eastAsia" w:ascii="Times New Roman" w:hAnsi="Times New Roman" w:cs="Times New Roman"/>
                <w:color w:val="auto"/>
                <w:lang w:val="en-US" w:eastAsia="zh-CN"/>
              </w:rPr>
              <w:t>5</w:t>
            </w:r>
            <w:r>
              <w:rPr>
                <w:rFonts w:hint="default" w:ascii="Times New Roman" w:hAnsi="Times New Roman" w:cs="Times New Roman"/>
                <w:color w:val="auto"/>
              </w:rPr>
              <w:t>m，油罐的周围均回填干净的砂子或细土，其厚度不小于0.3m。</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lang w:val="en-US" w:eastAsia="zh-CN"/>
              </w:rPr>
              <w:t>9</w:t>
            </w:r>
            <w:r>
              <w:rPr>
                <w:rFonts w:hint="default" w:ascii="Times New Roman" w:hAnsi="Times New Roman" w:cs="Times New Roman"/>
              </w:rPr>
              <w:t>、当油罐受地下水或雨水作用有上浮的可能时，应采取防止油罐上浮的措施。</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color w:val="auto"/>
              </w:rPr>
              <w:t>油罐采用扁钢捆缚</w:t>
            </w:r>
            <w:r>
              <w:rPr>
                <w:rFonts w:hint="default" w:ascii="Times New Roman" w:hAnsi="Times New Roman" w:cs="Times New Roman"/>
                <w:color w:val="auto"/>
                <w:lang w:eastAsia="zh-CN"/>
              </w:rPr>
              <w:t>与基础固定的</w:t>
            </w:r>
            <w:r>
              <w:rPr>
                <w:rFonts w:hint="default" w:ascii="Times New Roman" w:hAnsi="Times New Roman" w:cs="Times New Roman"/>
                <w:color w:val="auto"/>
              </w:rPr>
              <w:t>防止油罐上浮的措施</w:t>
            </w:r>
            <w:r>
              <w:rPr>
                <w:rFonts w:hint="default" w:ascii="Times New Roman" w:hAnsi="Times New Roman" w:cs="Times New Roman"/>
              </w:rPr>
              <w:t>。</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lang w:val="en-US" w:eastAsia="zh-CN"/>
              </w:rPr>
              <w:t>10</w:t>
            </w:r>
            <w:r>
              <w:rPr>
                <w:rFonts w:hint="default" w:ascii="Times New Roman" w:hAnsi="Times New Roman" w:cs="Times New Roman"/>
              </w:rPr>
              <w:t>、油罐的人孔，应设操作井。设在行车道下面的人孔井应采用加油站车行道下专用的密闭井盖和井座。</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rPr>
              <w:t>设操作井</w:t>
            </w:r>
            <w:r>
              <w:rPr>
                <w:rFonts w:hint="default" w:ascii="Times New Roman" w:hAnsi="Times New Roman" w:eastAsia="宋体" w:cs="Times New Roman"/>
              </w:rPr>
              <w:t>，设置符合要求</w:t>
            </w:r>
            <w:r>
              <w:rPr>
                <w:rFonts w:hint="default" w:ascii="Times New Roman" w:hAnsi="Times New Roman" w:cs="Times New Roman"/>
              </w:rPr>
              <w:t>。</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color w:val="auto"/>
                <w:szCs w:val="21"/>
              </w:rPr>
            </w:pPr>
            <w:r>
              <w:rPr>
                <w:rFonts w:hint="default" w:ascii="Times New Roman" w:hAnsi="Times New Roman" w:cs="Times New Roman"/>
                <w:color w:val="auto"/>
                <w:szCs w:val="21"/>
                <w:lang w:val="en-US" w:eastAsia="zh-CN"/>
              </w:rPr>
              <w:t>11</w:t>
            </w:r>
            <w:r>
              <w:rPr>
                <w:rFonts w:hint="default" w:ascii="Times New Roman" w:hAnsi="Times New Roman" w:cs="Times New Roman"/>
                <w:color w:val="auto"/>
                <w:szCs w:val="21"/>
              </w:rPr>
              <w:t>、油罐应采取卸油时的防满溢措施。</w:t>
            </w:r>
            <w:r>
              <w:rPr>
                <w:rFonts w:hint="default" w:ascii="Times New Roman" w:hAnsi="Times New Roman" w:eastAsia="新宋体" w:cs="Times New Roman"/>
                <w:color w:val="auto"/>
                <w:szCs w:val="21"/>
              </w:rPr>
              <w:t>油料达到油罐容量90%时，应能触动高液位报警装置；油料达到油罐容量95%时，应能自动停止油料继续进罐。</w:t>
            </w:r>
            <w:r>
              <w:rPr>
                <w:rFonts w:hint="default" w:ascii="Times New Roman" w:hAnsi="Times New Roman" w:cs="Times New Roman"/>
                <w:color w:val="auto"/>
                <w:szCs w:val="21"/>
              </w:rPr>
              <w:t>设有油气回收系统的加油站，其站内油罐应设带有高液位报警功能的液位监测系统。</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color w:val="auto"/>
                <w:szCs w:val="21"/>
              </w:rPr>
            </w:pPr>
            <w:r>
              <w:rPr>
                <w:rFonts w:hint="default" w:ascii="Times New Roman" w:hAnsi="Times New Roman" w:cs="Times New Roman"/>
                <w:color w:val="auto"/>
                <w:szCs w:val="21"/>
              </w:rPr>
              <w:t>采取卸油时的防满溢措施</w:t>
            </w:r>
            <w:r>
              <w:rPr>
                <w:rFonts w:hint="default" w:ascii="Times New Roman" w:hAnsi="Times New Roman" w:cs="Times New Roman"/>
                <w:color w:val="auto"/>
                <w:szCs w:val="21"/>
                <w:lang w:eastAsia="zh-CN"/>
              </w:rPr>
              <w:t>。</w:t>
            </w:r>
            <w:r>
              <w:rPr>
                <w:rFonts w:hint="default" w:ascii="Times New Roman" w:hAnsi="Times New Roman" w:cs="Times New Roman"/>
                <w:color w:val="auto"/>
                <w:szCs w:val="21"/>
              </w:rPr>
              <w:t>设有油气回收系统，油罐设带有高液位报警功能的液位仪。</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color w:val="auto"/>
                <w:szCs w:val="21"/>
                <w:lang w:val="en-US" w:eastAsia="zh-CN"/>
              </w:rPr>
            </w:pPr>
            <w:r>
              <w:rPr>
                <w:rFonts w:hint="default" w:ascii="Times New Roman" w:hAnsi="Times New Roman" w:cs="Times New Roman"/>
                <w:color w:val="auto"/>
                <w:lang w:val="en-US" w:eastAsia="zh-CN"/>
              </w:rPr>
              <w:t>12</w:t>
            </w:r>
            <w:r>
              <w:rPr>
                <w:rFonts w:hint="default" w:ascii="Times New Roman" w:hAnsi="Times New Roman" w:cs="Times New Roman"/>
                <w:color w:val="auto"/>
              </w:rPr>
              <w:t>、</w:t>
            </w:r>
            <w:r>
              <w:rPr>
                <w:rFonts w:hint="default" w:ascii="Times New Roman" w:hAnsi="Times New Roman" w:eastAsia="新宋体" w:cs="Times New Roman"/>
                <w:color w:val="auto"/>
                <w:szCs w:val="21"/>
              </w:rPr>
              <w:t>与土壤接触的钢制油罐外表面，其防腐设计应符合现行行业标准《石油化工设备和管道涂料防腐蚀技术规范》SH3022的有关规定，且防腐等级不应低于加强级</w:t>
            </w:r>
            <w:r>
              <w:rPr>
                <w:rFonts w:hint="default" w:ascii="Times New Roman" w:hAnsi="Times New Roman" w:cs="Times New Roman"/>
                <w:color w:val="auto"/>
              </w:rPr>
              <w:t>。</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color w:val="auto"/>
                <w:szCs w:val="21"/>
              </w:rPr>
            </w:pPr>
            <w:r>
              <w:rPr>
                <w:rFonts w:hint="default" w:ascii="Times New Roman" w:hAnsi="Times New Roman" w:cs="Times New Roman"/>
                <w:color w:val="auto"/>
                <w:lang w:eastAsia="zh-CN"/>
              </w:rPr>
              <w:t>符合规范要求。</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color w:val="auto"/>
              </w:rPr>
            </w:pPr>
            <w:r>
              <w:rPr>
                <w:rFonts w:hint="default" w:ascii="Times New Roman" w:hAnsi="Times New Roman" w:eastAsia="新宋体" w:cs="Times New Roman"/>
                <w:color w:val="auto"/>
                <w:szCs w:val="21"/>
                <w:lang w:val="en-US" w:eastAsia="zh-CN"/>
              </w:rPr>
              <w:t>13、</w:t>
            </w:r>
            <w:r>
              <w:rPr>
                <w:rFonts w:hint="default" w:ascii="Times New Roman" w:hAnsi="Times New Roman" w:eastAsia="新宋体" w:cs="Times New Roman"/>
                <w:color w:val="auto"/>
                <w:szCs w:val="21"/>
              </w:rPr>
              <w:t>双层油罐、防渗罐池的渗漏检测宜采用在线监测系统。采用液体传感器监测时，传感器的检测精度不应大于3.5mm。</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center" w:pos="1204"/>
              </w:tabs>
              <w:spacing w:before="0" w:beforeAutospacing="0" w:after="0" w:afterAutospacing="0" w:line="240" w:lineRule="auto"/>
              <w:ind w:left="0" w:right="0"/>
              <w:rPr>
                <w:rFonts w:hint="default" w:ascii="Times New Roman" w:hAnsi="Times New Roman" w:cs="Times New Roman"/>
                <w:color w:val="auto"/>
              </w:rPr>
            </w:pPr>
            <w:r>
              <w:rPr>
                <w:rFonts w:hint="default" w:ascii="Times New Roman" w:hAnsi="Times New Roman" w:eastAsia="新宋体" w:cs="Times New Roman"/>
                <w:color w:val="auto"/>
                <w:szCs w:val="21"/>
              </w:rPr>
              <w:t>渗漏检测采用在线监测系统。</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restart"/>
            <w:tcBorders>
              <w:top w:val="single" w:color="auto" w:sz="4" w:space="0"/>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七、加油机</w:t>
            </w: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1、加油机不得设在室内。</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center" w:pos="1204"/>
              </w:tabs>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加油机设在室外。</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2、加油枪宜采用自封式加油枪，流量不应大于50L/min。</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center" w:pos="1204"/>
              </w:tabs>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流量不大于50L/min。</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3、加油机软管上宜设安全拉断阀。</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center" w:pos="1204"/>
              </w:tabs>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设有安全拉断阀。</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4、以正压（潜油泵）供油的加油机，其底部的供油管道上应设剪切阀，当加油机被撞或起火时，剪切阀能自动关闭。</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center" w:pos="1204"/>
              </w:tabs>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设有剪切阀。</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leftChars="0" w:right="0" w:rightChars="0"/>
              <w:rPr>
                <w:rFonts w:hint="default" w:ascii="Times New Roman" w:hAnsi="Times New Roman" w:cs="Times New Roman"/>
              </w:rPr>
            </w:pPr>
            <w:r>
              <w:rPr>
                <w:rFonts w:hint="default" w:ascii="Times New Roman" w:hAnsi="Times New Roman" w:cs="Times New Roman"/>
              </w:rPr>
              <w:t>5、采用一机多油品的加油机时，加油机上的放枪位应有各油品的文字标识，加油枪应有颜色标识。</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center" w:pos="1204"/>
              </w:tabs>
              <w:spacing w:before="0" w:beforeAutospacing="0" w:after="0" w:afterAutospacing="0" w:line="240" w:lineRule="auto"/>
              <w:ind w:left="0" w:leftChars="0" w:right="0" w:rightChars="0"/>
              <w:rPr>
                <w:rFonts w:hint="default" w:ascii="Times New Roman" w:hAnsi="Times New Roman" w:cs="Times New Roman"/>
              </w:rPr>
            </w:pPr>
            <w:r>
              <w:rPr>
                <w:rFonts w:hint="default" w:ascii="Times New Roman" w:hAnsi="Times New Roman" w:cs="Times New Roman"/>
              </w:rPr>
              <w:t>采用一机多油品的加油机，各油品均设文字标识。</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eastAsia" w:ascii="Times New Roman" w:hAnsi="Times New Roman" w:cs="Times New Roman"/>
                <w:color w:val="auto"/>
                <w:sz w:val="21"/>
                <w:szCs w:val="21"/>
                <w:highlight w:val="none"/>
                <w:lang w:val="en-US" w:eastAsia="zh-CN"/>
              </w:rPr>
              <w:t>6、</w:t>
            </w:r>
            <w:r>
              <w:rPr>
                <w:rFonts w:hint="default" w:ascii="Times New Roman" w:hAnsi="Times New Roman" w:cs="Times New Roman"/>
                <w:color w:val="auto"/>
                <w:sz w:val="21"/>
                <w:szCs w:val="21"/>
                <w:highlight w:val="none"/>
              </w:rPr>
              <w:t>位于加油岛端部的加油机附近应设防撞柱(栏)，其高度不应小于0.5m。</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center" w:pos="1204"/>
              </w:tabs>
              <w:spacing w:before="0" w:beforeAutospacing="0" w:after="0" w:afterAutospacing="0" w:line="240" w:lineRule="auto"/>
              <w:ind w:left="0" w:leftChars="0" w:right="0" w:rightChars="0"/>
              <w:rPr>
                <w:rFonts w:hint="default" w:ascii="Times New Roman" w:hAnsi="Times New Roman" w:cs="Times New Roman"/>
              </w:rPr>
            </w:pPr>
            <w:r>
              <w:rPr>
                <w:rFonts w:hint="default" w:ascii="Times New Roman" w:hAnsi="Times New Roman" w:cs="Times New Roman"/>
                <w:color w:val="auto"/>
                <w:sz w:val="21"/>
                <w:szCs w:val="21"/>
                <w:highlight w:val="none"/>
              </w:rPr>
              <w:t>位于加油岛端部的加油机附近应设防撞柱(栏)，其高度不小于0.5m。</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eastAsia" w:ascii="Times New Roman" w:hAnsi="Times New Roman" w:cs="Times New Roman"/>
                <w:color w:val="auto"/>
                <w:sz w:val="21"/>
                <w:szCs w:val="21"/>
                <w:highlight w:val="none"/>
                <w:lang w:val="en-US" w:eastAsia="zh-CN"/>
              </w:rPr>
              <w:t>7、</w:t>
            </w:r>
            <w:r>
              <w:rPr>
                <w:rFonts w:hint="default" w:ascii="Times New Roman" w:hAnsi="Times New Roman" w:cs="Times New Roman"/>
                <w:color w:val="auto"/>
                <w:sz w:val="21"/>
                <w:szCs w:val="21"/>
                <w:highlight w:val="none"/>
              </w:rPr>
              <w:t>加油岛的设计应符合下列规定：1）加油岛应高出停车位的地坪0.15m ~0.2m；2）加油岛、加气岛两端的宽度不应小于1.2m；3）加油岛上的罩棚立柱边缘距岛端部，不应小于0.6m。</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center" w:pos="1204"/>
              </w:tabs>
              <w:spacing w:before="0" w:beforeAutospacing="0" w:after="0" w:afterAutospacing="0" w:line="240" w:lineRule="auto"/>
              <w:ind w:left="0" w:leftChars="0" w:right="0" w:rightChars="0"/>
              <w:rPr>
                <w:rFonts w:hint="default" w:ascii="Times New Roman" w:hAnsi="Times New Roman" w:cs="Times New Roman"/>
              </w:rPr>
            </w:pPr>
            <w:r>
              <w:rPr>
                <w:rFonts w:hint="default" w:ascii="Times New Roman" w:hAnsi="Times New Roman" w:cs="Times New Roman"/>
                <w:color w:val="auto"/>
                <w:sz w:val="21"/>
                <w:szCs w:val="21"/>
                <w:highlight w:val="none"/>
              </w:rPr>
              <w:t>加油岛的设计符合下列规定：1）加油岛应高出停车位的地坪</w:t>
            </w:r>
            <w:r>
              <w:rPr>
                <w:rFonts w:hint="eastAsia" w:ascii="Times New Roman" w:hAnsi="Times New Roman" w:cs="Times New Roman"/>
                <w:color w:val="auto"/>
                <w:sz w:val="21"/>
                <w:szCs w:val="21"/>
                <w:highlight w:val="none"/>
                <w:lang w:eastAsia="zh-CN"/>
              </w:rPr>
              <w:t>不小于</w:t>
            </w:r>
            <w:r>
              <w:rPr>
                <w:rFonts w:hint="default" w:ascii="Times New Roman" w:hAnsi="Times New Roman" w:cs="Times New Roman"/>
                <w:color w:val="auto"/>
                <w:sz w:val="21"/>
                <w:szCs w:val="21"/>
                <w:highlight w:val="none"/>
              </w:rPr>
              <w:t>0.15m；2）加油岛、加气岛两端的宽度不小于1.2m；3）加油岛上的罩棚立柱边缘距岛端部，不小于0.6m。</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bottom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eastAsia" w:ascii="Times New Roman" w:hAnsi="Times New Roman" w:cs="Times New Roman"/>
                <w:color w:val="auto"/>
                <w:sz w:val="21"/>
                <w:szCs w:val="21"/>
                <w:highlight w:val="none"/>
                <w:lang w:val="en-US" w:eastAsia="zh-CN"/>
              </w:rPr>
              <w:t>8、</w:t>
            </w:r>
            <w:r>
              <w:rPr>
                <w:rFonts w:hint="eastAsia" w:ascii="Times New Roman" w:hAnsi="Times New Roman" w:cs="Times New Roman"/>
                <w:color w:val="auto"/>
                <w:sz w:val="21"/>
                <w:szCs w:val="21"/>
                <w:highlight w:val="none"/>
              </w:rPr>
              <w:t>在静电危险场所，所有属于静电导体的物体必须接地。对金属物体应采用金属导体与大地做导通性连接，对金属以外的静电导体及亚导体则应作间接接地。</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line="300" w:lineRule="exact"/>
              <w:ind w:left="0" w:right="0"/>
              <w:rPr>
                <w:rFonts w:hint="default" w:ascii="Times New Roman" w:hAnsi="Times New Roman" w:cs="Times New Roman"/>
              </w:rPr>
            </w:pPr>
            <w:r>
              <w:rPr>
                <w:rFonts w:hint="eastAsia" w:ascii="Times New Roman" w:hAnsi="Times New Roman" w:cs="Times New Roman"/>
                <w:color w:val="auto"/>
                <w:sz w:val="21"/>
                <w:szCs w:val="21"/>
                <w:highlight w:val="none"/>
                <w:lang w:eastAsia="zh-CN"/>
              </w:rPr>
              <w:t>加油机基础等金属构件均已接地。</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restart"/>
            <w:tcBorders>
              <w:top w:val="single" w:color="auto" w:sz="4" w:space="0"/>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八、工艺管道</w:t>
            </w: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1、油罐车卸油必须采用密闭卸油方式。</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center" w:pos="1204"/>
              </w:tabs>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采用密闭卸油方式。</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2、每个油罐应各自设置卸油管道和卸油接口。各卸油接口及油气回收接口，应有明显的标识。</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center" w:pos="1204"/>
              </w:tabs>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油罐各自设置卸油管道和卸油接口，各卸油接口及油气回收接口有明显的标识。</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3、卸油接口应装设快速接头及密封盖。</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center" w:pos="1204"/>
              </w:tabs>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装设有快速接头及密封盖。</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4、采用卸油油气回收系统时，应符合下列规定：</w:t>
            </w:r>
          </w:p>
          <w:p>
            <w:pPr>
              <w:keepNext w:val="0"/>
              <w:keepLines w:val="0"/>
              <w:suppressLineNumbers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1）汽油罐车向站内油罐卸油应采用平衡式密闭卸油回收系统。</w:t>
            </w:r>
          </w:p>
          <w:p>
            <w:pPr>
              <w:keepNext w:val="0"/>
              <w:keepLines w:val="0"/>
              <w:suppressLineNumbers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2）各汽油罐可公用一根卸油油气回收主管，回收主管的公称直径不宜小于80mm。</w:t>
            </w:r>
          </w:p>
          <w:p>
            <w:pPr>
              <w:keepNext w:val="0"/>
              <w:keepLines w:val="0"/>
              <w:suppressLineNumbers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3）密闭卸油管道的各操作口处，应设快速接头及闷盖。宜在站内油气回收管道上装设阀门。</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center" w:pos="1204"/>
              </w:tabs>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采用卸油油气回收系统，符合相关规定。</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5、加油加气站宜采用油罐装设潜油泵的一泵供多机（枪）的配套加油工艺。当采有自封式加油机时，每台加油机应按加油品种单独设置进油管和罐底底阀。</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center" w:pos="1204"/>
              </w:tabs>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采用潜油泵加油工艺。</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6、加油油气回收系统设计应符合下列规定：</w:t>
            </w:r>
          </w:p>
          <w:p>
            <w:pPr>
              <w:keepNext w:val="0"/>
              <w:keepLines w:val="0"/>
              <w:suppressLineNumbers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1）应采用真空辅助式油气回收系统。</w:t>
            </w:r>
          </w:p>
          <w:p>
            <w:pPr>
              <w:keepNext w:val="0"/>
              <w:keepLines w:val="0"/>
              <w:suppressLineNumbers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2）汽油加油机与油罐之间应设油气回收管道，多台汽油加油机可共用1根油气回收总管，油气回收总管直径不应小于50mm。</w:t>
            </w:r>
          </w:p>
          <w:p>
            <w:pPr>
              <w:keepNext w:val="0"/>
              <w:keepLines w:val="0"/>
              <w:suppressLineNumbers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3）加油油气回收系统应采取防止油气反向流至加油枪的措施。</w:t>
            </w:r>
          </w:p>
          <w:p>
            <w:pPr>
              <w:keepNext w:val="0"/>
              <w:keepLines w:val="0"/>
              <w:suppressLineNumbers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4）加油机应具备回收油气功能，气液比宜设定在1.0～1.1范围内。</w:t>
            </w:r>
          </w:p>
          <w:p>
            <w:pPr>
              <w:keepNext w:val="0"/>
              <w:keepLines w:val="0"/>
              <w:suppressLineNumbers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5）在加油机的底槽油气回收立管上，应安装1个用于连接液阻检测装置或密闭性检测装置的三通接头及阀门，其旁通管道上应设公称直径为25mm的球阀及丝堵。</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center" w:pos="1204"/>
              </w:tabs>
              <w:spacing w:before="0" w:beforeAutospacing="0" w:after="0" w:afterAutospacing="0" w:line="240" w:lineRule="auto"/>
              <w:ind w:left="0" w:right="0"/>
              <w:rPr>
                <w:rFonts w:hint="default" w:ascii="Times New Roman" w:hAnsi="Times New Roman" w:eastAsia="宋体" w:cs="Times New Roman"/>
              </w:rPr>
            </w:pPr>
            <w:r>
              <w:rPr>
                <w:rFonts w:hint="default" w:ascii="Times New Roman" w:hAnsi="Times New Roman" w:cs="Times New Roman"/>
              </w:rPr>
              <w:t>采用加油油气回收系统，符合相关规定。</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7、油罐的</w:t>
            </w:r>
            <w:r>
              <w:rPr>
                <w:rFonts w:hint="default" w:ascii="Times New Roman" w:hAnsi="Times New Roman" w:cs="Times New Roman"/>
                <w:lang w:eastAsia="zh-CN"/>
              </w:rPr>
              <w:t>接</w:t>
            </w:r>
            <w:r>
              <w:rPr>
                <w:rFonts w:hint="default" w:ascii="Times New Roman" w:hAnsi="Times New Roman" w:cs="Times New Roman"/>
              </w:rPr>
              <w:t>合管设置应符合以下规定：</w:t>
            </w:r>
          </w:p>
          <w:p>
            <w:pPr>
              <w:keepNext w:val="0"/>
              <w:keepLines w:val="0"/>
              <w:numPr>
                <w:ilvl w:val="0"/>
                <w:numId w:val="8"/>
              </w:numPr>
              <w:suppressLineNumbers w:val="0"/>
              <w:spacing w:before="0" w:beforeAutospacing="0" w:after="0" w:afterAutospacing="0" w:line="240" w:lineRule="auto"/>
              <w:ind w:right="0"/>
              <w:rPr>
                <w:rFonts w:hint="default" w:ascii="Times New Roman" w:hAnsi="Times New Roman" w:cs="Times New Roman"/>
              </w:rPr>
            </w:pPr>
            <w:r>
              <w:rPr>
                <w:rFonts w:hint="default" w:ascii="Times New Roman" w:hAnsi="Times New Roman" w:cs="Times New Roman"/>
                <w:lang w:eastAsia="zh-CN"/>
              </w:rPr>
              <w:t>接</w:t>
            </w:r>
            <w:r>
              <w:rPr>
                <w:rFonts w:hint="default" w:ascii="Times New Roman" w:hAnsi="Times New Roman" w:cs="Times New Roman"/>
              </w:rPr>
              <w:t>合管应为金属材质。</w:t>
            </w:r>
          </w:p>
          <w:p>
            <w:pPr>
              <w:keepNext w:val="0"/>
              <w:keepLines w:val="0"/>
              <w:numPr>
                <w:ilvl w:val="0"/>
                <w:numId w:val="8"/>
              </w:numPr>
              <w:suppressLineNumbers w:val="0"/>
              <w:spacing w:before="0" w:beforeAutospacing="0" w:after="0" w:afterAutospacing="0" w:line="240" w:lineRule="auto"/>
              <w:ind w:right="0"/>
              <w:rPr>
                <w:rFonts w:hint="default" w:ascii="Times New Roman" w:hAnsi="Times New Roman" w:cs="Times New Roman"/>
              </w:rPr>
            </w:pPr>
            <w:r>
              <w:rPr>
                <w:rFonts w:hint="default" w:ascii="Times New Roman" w:hAnsi="Times New Roman" w:cs="Times New Roman"/>
                <w:lang w:eastAsia="zh-CN"/>
              </w:rPr>
              <w:t>接</w:t>
            </w:r>
            <w:r>
              <w:rPr>
                <w:rFonts w:hint="default" w:ascii="Times New Roman" w:hAnsi="Times New Roman" w:cs="Times New Roman"/>
              </w:rPr>
              <w:t>合管应设在油罐的顶部，其中进油结合管、出油结合管或潜油泵安装口，应设在人孔盖上。</w:t>
            </w:r>
          </w:p>
          <w:p>
            <w:pPr>
              <w:keepNext w:val="0"/>
              <w:keepLines w:val="0"/>
              <w:numPr>
                <w:ilvl w:val="0"/>
                <w:numId w:val="8"/>
              </w:numPr>
              <w:suppressLineNumbers w:val="0"/>
              <w:spacing w:before="0" w:beforeAutospacing="0" w:after="0" w:afterAutospacing="0" w:line="240" w:lineRule="auto"/>
              <w:ind w:right="0"/>
              <w:rPr>
                <w:rFonts w:hint="default" w:ascii="Times New Roman" w:hAnsi="Times New Roman" w:cs="Times New Roman"/>
              </w:rPr>
            </w:pPr>
            <w:r>
              <w:rPr>
                <w:rFonts w:hint="default" w:ascii="Times New Roman" w:hAnsi="Times New Roman" w:cs="Times New Roman"/>
              </w:rPr>
              <w:t>进油管应伸至罐底50mm~100mm处。进油管管壁上不得有与油罐气相空间相通的开口。</w:t>
            </w:r>
          </w:p>
          <w:p>
            <w:pPr>
              <w:keepNext w:val="0"/>
              <w:keepLines w:val="0"/>
              <w:numPr>
                <w:ilvl w:val="0"/>
                <w:numId w:val="8"/>
              </w:numPr>
              <w:suppressLineNumbers w:val="0"/>
              <w:spacing w:before="0" w:beforeAutospacing="0" w:after="0" w:afterAutospacing="0" w:line="240" w:lineRule="auto"/>
              <w:ind w:right="0"/>
              <w:rPr>
                <w:rFonts w:hint="default" w:ascii="Times New Roman" w:hAnsi="Times New Roman" w:cs="Times New Roman"/>
              </w:rPr>
            </w:pPr>
            <w:r>
              <w:rPr>
                <w:rFonts w:hint="default" w:ascii="Times New Roman" w:hAnsi="Times New Roman" w:cs="Times New Roman"/>
              </w:rPr>
              <w:t>油罐的量油孔应设带锁的量油帽。</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center" w:pos="1204"/>
              </w:tabs>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油罐的接合管的设置符合规范要求。</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8、汽油罐与柴油罐的通气管应分开设置。管口应高出地面4m及以上。沿建筑物的墙（柱）向上敷设的通气管管口，应高出建筑物的顶面1.5m及以上。通气管管口应设置阻火器。通气管的公称直径不应小于50mm。</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center" w:pos="1204"/>
              </w:tabs>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汽油罐与柴油罐的通气管分开设置。通气管管口高于</w:t>
            </w:r>
            <w:r>
              <w:rPr>
                <w:rFonts w:hint="eastAsia" w:ascii="Times New Roman" w:hAnsi="Times New Roman" w:cs="Times New Roman"/>
                <w:lang w:eastAsia="zh-CN"/>
              </w:rPr>
              <w:t>地面</w:t>
            </w:r>
            <w:r>
              <w:rPr>
                <w:rFonts w:hint="eastAsia" w:ascii="Times New Roman" w:hAnsi="Times New Roman" w:cs="Times New Roman"/>
                <w:lang w:val="en-US" w:eastAsia="zh-CN"/>
              </w:rPr>
              <w:t>4.0</w:t>
            </w:r>
            <w:r>
              <w:rPr>
                <w:rFonts w:hint="default" w:ascii="Times New Roman" w:hAnsi="Times New Roman" w:cs="Times New Roman"/>
              </w:rPr>
              <w:t>m。通气管管口已设置阻火器。</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9、当采用卸油油气回收系统和加油油气回收系统时，汽油通气管管口尚应安装机械呼吸阀。</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center" w:pos="1204"/>
              </w:tabs>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汽油通气管管口安装机械呼吸阀。</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line="240" w:lineRule="auto"/>
              <w:ind w:left="0" w:right="0"/>
              <w:rPr>
                <w:rFonts w:hint="default" w:ascii="Times New Roman" w:hAnsi="Times New Roman" w:eastAsia="新宋体" w:cs="Times New Roman"/>
                <w:color w:val="auto"/>
                <w:szCs w:val="21"/>
              </w:rPr>
            </w:pPr>
            <w:r>
              <w:rPr>
                <w:rFonts w:hint="default" w:ascii="Times New Roman" w:hAnsi="Times New Roman" w:eastAsia="新宋体" w:cs="Times New Roman"/>
                <w:color w:val="auto"/>
                <w:szCs w:val="21"/>
                <w:lang w:val="en-US" w:eastAsia="zh-CN"/>
              </w:rPr>
              <w:t>10、</w:t>
            </w:r>
            <w:r>
              <w:rPr>
                <w:rFonts w:hint="default" w:ascii="Times New Roman" w:hAnsi="Times New Roman" w:eastAsia="新宋体" w:cs="Times New Roman"/>
                <w:color w:val="auto"/>
                <w:szCs w:val="21"/>
              </w:rPr>
              <w:t>加油站工艺管道的选用，应符合下列规定：</w:t>
            </w:r>
          </w:p>
          <w:p>
            <w:pPr>
              <w:keepNext w:val="0"/>
              <w:keepLines w:val="0"/>
              <w:suppressLineNumbers w:val="0"/>
              <w:adjustRightInd w:val="0"/>
              <w:snapToGrid w:val="0"/>
              <w:spacing w:before="0" w:beforeAutospacing="0" w:after="0" w:afterAutospacing="0" w:line="240" w:lineRule="auto"/>
              <w:ind w:left="0" w:right="0" w:firstLine="440" w:firstLineChars="200"/>
              <w:rPr>
                <w:rFonts w:hint="default" w:ascii="Times New Roman" w:hAnsi="Times New Roman" w:eastAsia="新宋体" w:cs="Times New Roman"/>
                <w:color w:val="auto"/>
                <w:szCs w:val="21"/>
              </w:rPr>
            </w:pPr>
            <w:r>
              <w:rPr>
                <w:rFonts w:hint="default" w:ascii="Times New Roman" w:hAnsi="Times New Roman" w:eastAsia="新宋体" w:cs="Times New Roman"/>
                <w:color w:val="auto"/>
                <w:szCs w:val="21"/>
              </w:rPr>
              <w:t>1油罐通气管道和露出地面的管道，应采用符合现行国家标准《输送流体用无缝钢管》GB/T8163的无缝钢管。</w:t>
            </w:r>
          </w:p>
          <w:p>
            <w:pPr>
              <w:keepNext w:val="0"/>
              <w:keepLines w:val="0"/>
              <w:suppressLineNumbers w:val="0"/>
              <w:adjustRightInd w:val="0"/>
              <w:snapToGrid w:val="0"/>
              <w:spacing w:before="0" w:beforeAutospacing="0" w:after="0" w:afterAutospacing="0" w:line="240" w:lineRule="auto"/>
              <w:ind w:left="0" w:right="0" w:firstLine="440" w:firstLineChars="200"/>
              <w:rPr>
                <w:rFonts w:hint="default" w:ascii="Times New Roman" w:hAnsi="Times New Roman" w:eastAsia="新宋体" w:cs="Times New Roman"/>
                <w:color w:val="auto"/>
                <w:szCs w:val="21"/>
              </w:rPr>
            </w:pPr>
            <w:r>
              <w:rPr>
                <w:rFonts w:hint="default" w:ascii="Times New Roman" w:hAnsi="Times New Roman" w:eastAsia="新宋体" w:cs="Times New Roman"/>
                <w:color w:val="auto"/>
                <w:szCs w:val="21"/>
              </w:rPr>
              <w:t>2其他管道应采用输送流体用无缝钢管或适于输送油品的热塑性塑料管道。所采用的热塑性塑料管道应有质量证明文件。非烃类车用燃料不得采用不导静电的热塑性塑料管道。</w:t>
            </w:r>
          </w:p>
          <w:p>
            <w:pPr>
              <w:keepNext w:val="0"/>
              <w:keepLines w:val="0"/>
              <w:suppressLineNumbers w:val="0"/>
              <w:adjustRightInd w:val="0"/>
              <w:snapToGrid w:val="0"/>
              <w:spacing w:before="0" w:beforeAutospacing="0" w:after="0" w:afterAutospacing="0" w:line="240" w:lineRule="auto"/>
              <w:ind w:left="0" w:right="0" w:firstLine="440" w:firstLineChars="200"/>
              <w:rPr>
                <w:rFonts w:hint="default" w:ascii="Times New Roman" w:hAnsi="Times New Roman" w:eastAsia="新宋体" w:cs="Times New Roman"/>
                <w:color w:val="auto"/>
                <w:szCs w:val="21"/>
              </w:rPr>
            </w:pPr>
            <w:r>
              <w:rPr>
                <w:rFonts w:hint="default" w:ascii="Times New Roman" w:hAnsi="Times New Roman" w:eastAsia="新宋体" w:cs="Times New Roman"/>
                <w:color w:val="auto"/>
                <w:szCs w:val="21"/>
              </w:rPr>
              <w:t>3无缝钢管的公称壁厚不应小于4mm，埋地钢管的连接应采用焊接。</w:t>
            </w:r>
          </w:p>
          <w:p>
            <w:pPr>
              <w:keepNext w:val="0"/>
              <w:keepLines w:val="0"/>
              <w:suppressLineNumbers w:val="0"/>
              <w:adjustRightInd w:val="0"/>
              <w:snapToGrid w:val="0"/>
              <w:spacing w:before="0" w:beforeAutospacing="0" w:after="0" w:afterAutospacing="0" w:line="240" w:lineRule="auto"/>
              <w:ind w:left="0" w:right="0" w:firstLine="440" w:firstLineChars="200"/>
              <w:rPr>
                <w:rFonts w:hint="default" w:ascii="Times New Roman" w:hAnsi="Times New Roman" w:eastAsia="新宋体" w:cs="Times New Roman"/>
                <w:color w:val="auto"/>
                <w:szCs w:val="21"/>
              </w:rPr>
            </w:pPr>
            <w:r>
              <w:rPr>
                <w:rFonts w:hint="default" w:ascii="Times New Roman" w:hAnsi="Times New Roman" w:eastAsia="新宋体" w:cs="Times New Roman"/>
                <w:color w:val="auto"/>
                <w:szCs w:val="21"/>
              </w:rPr>
              <w:t>4热塑性塑料管道的主体结构层应为无孔隙聚乙烯材料，壁厚不应小于4mm。埋地部分的热塑性塑料管道应采用配套的专用连接管件电熔连接。</w:t>
            </w:r>
          </w:p>
          <w:p>
            <w:pPr>
              <w:keepNext w:val="0"/>
              <w:keepLines w:val="0"/>
              <w:suppressLineNumbers w:val="0"/>
              <w:adjustRightInd w:val="0"/>
              <w:snapToGrid w:val="0"/>
              <w:spacing w:before="0" w:beforeAutospacing="0" w:after="0" w:afterAutospacing="0" w:line="240" w:lineRule="auto"/>
              <w:ind w:left="0" w:right="0" w:firstLine="440" w:firstLineChars="200"/>
              <w:rPr>
                <w:rFonts w:hint="default" w:ascii="Times New Roman" w:hAnsi="Times New Roman" w:eastAsia="新宋体" w:cs="Times New Roman"/>
                <w:color w:val="auto"/>
                <w:szCs w:val="21"/>
              </w:rPr>
            </w:pPr>
            <w:r>
              <w:rPr>
                <w:rFonts w:hint="default" w:ascii="Times New Roman" w:hAnsi="Times New Roman" w:eastAsia="新宋体" w:cs="Times New Roman"/>
                <w:color w:val="auto"/>
                <w:szCs w:val="21"/>
              </w:rPr>
              <w:t>5导静电热塑性塑料管道导静电衬层的体电阻率应小于10</w:t>
            </w:r>
            <w:r>
              <w:rPr>
                <w:rFonts w:hint="default" w:ascii="Times New Roman" w:hAnsi="Times New Roman" w:eastAsia="新宋体" w:cs="Times New Roman"/>
                <w:color w:val="auto"/>
                <w:szCs w:val="21"/>
                <w:vertAlign w:val="superscript"/>
              </w:rPr>
              <w:t>8</w:t>
            </w:r>
            <w:r>
              <w:rPr>
                <w:rFonts w:hint="default" w:ascii="Times New Roman" w:hAnsi="Times New Roman" w:eastAsia="新宋体" w:cs="Times New Roman"/>
                <w:color w:val="auto"/>
                <w:szCs w:val="21"/>
              </w:rPr>
              <w:t>Ω.m.表面电阻率应小于10</w:t>
            </w:r>
            <w:r>
              <w:rPr>
                <w:rFonts w:hint="default" w:ascii="Times New Roman" w:hAnsi="Times New Roman" w:eastAsia="新宋体" w:cs="Times New Roman"/>
                <w:color w:val="auto"/>
                <w:szCs w:val="21"/>
                <w:vertAlign w:val="superscript"/>
              </w:rPr>
              <w:t>10</w:t>
            </w:r>
            <w:r>
              <w:rPr>
                <w:rFonts w:hint="default" w:ascii="Times New Roman" w:hAnsi="Times New Roman" w:eastAsia="新宋体" w:cs="Times New Roman"/>
                <w:color w:val="auto"/>
                <w:szCs w:val="21"/>
              </w:rPr>
              <w:t>Ω。</w:t>
            </w:r>
          </w:p>
          <w:p>
            <w:pPr>
              <w:keepNext w:val="0"/>
              <w:keepLines w:val="0"/>
              <w:suppressLineNumbers w:val="0"/>
              <w:adjustRightInd w:val="0"/>
              <w:snapToGrid w:val="0"/>
              <w:spacing w:before="0" w:beforeAutospacing="0" w:after="0" w:afterAutospacing="0" w:line="240" w:lineRule="auto"/>
              <w:ind w:left="0" w:right="0" w:firstLine="440" w:firstLineChars="200"/>
              <w:rPr>
                <w:rFonts w:hint="default" w:ascii="Times New Roman" w:hAnsi="Times New Roman" w:eastAsia="新宋体" w:cs="Times New Roman"/>
                <w:color w:val="auto"/>
                <w:szCs w:val="21"/>
              </w:rPr>
            </w:pPr>
            <w:r>
              <w:rPr>
                <w:rFonts w:hint="default" w:ascii="Times New Roman" w:hAnsi="Times New Roman" w:eastAsia="新宋体" w:cs="Times New Roman"/>
                <w:color w:val="auto"/>
                <w:szCs w:val="21"/>
              </w:rPr>
              <w:t>6不导静电热塑性塑料管道主体结构层的介电击穿强度应大于100kV。</w:t>
            </w:r>
          </w:p>
          <w:p>
            <w:pPr>
              <w:keepNext w:val="0"/>
              <w:keepLines w:val="0"/>
              <w:suppressLineNumbers w:val="0"/>
              <w:adjustRightInd w:val="0"/>
              <w:snapToGrid w:val="0"/>
              <w:spacing w:before="0" w:beforeAutospacing="0" w:after="0" w:afterAutospacing="0" w:line="240" w:lineRule="auto"/>
              <w:ind w:left="0" w:right="0" w:firstLine="440" w:firstLineChars="200"/>
              <w:rPr>
                <w:rFonts w:hint="default" w:ascii="Times New Roman" w:hAnsi="Times New Roman" w:cs="Times New Roman"/>
                <w:color w:val="auto"/>
              </w:rPr>
            </w:pPr>
            <w:r>
              <w:rPr>
                <w:rFonts w:hint="default" w:ascii="Times New Roman" w:hAnsi="Times New Roman" w:eastAsia="新宋体" w:cs="Times New Roman"/>
                <w:color w:val="auto"/>
                <w:szCs w:val="21"/>
              </w:rPr>
              <w:t>7柴油尾气处理液加注设备的管道，应采用奥氏体不锈钢管道或能满足输送柴油尾气处理液的其他管道。</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240" w:lineRule="auto"/>
              <w:ind w:left="0" w:right="0"/>
              <w:rPr>
                <w:rFonts w:hint="default" w:ascii="Times New Roman" w:hAnsi="Times New Roman" w:cs="Times New Roman"/>
                <w:color w:val="auto"/>
                <w:szCs w:val="21"/>
              </w:rPr>
            </w:pPr>
            <w:r>
              <w:rPr>
                <w:rFonts w:hint="default" w:ascii="Times New Roman" w:hAnsi="Times New Roman" w:cs="Times New Roman"/>
                <w:color w:val="auto"/>
                <w:szCs w:val="21"/>
              </w:rPr>
              <w:t>（1）埋地加油管采用双层复合管，其余埋地管线均采用单层复合管，地上管线采用无缝钢管。</w:t>
            </w:r>
          </w:p>
          <w:p>
            <w:pPr>
              <w:keepNext w:val="0"/>
              <w:keepLines w:val="0"/>
              <w:widowControl/>
              <w:suppressLineNumbers w:val="0"/>
              <w:spacing w:before="0" w:beforeAutospacing="0" w:after="0" w:afterAutospacing="0" w:line="240" w:lineRule="auto"/>
              <w:ind w:left="0" w:right="0"/>
              <w:rPr>
                <w:rFonts w:hint="default" w:ascii="Times New Roman" w:hAnsi="Times New Roman" w:cs="Times New Roman"/>
                <w:color w:val="auto"/>
                <w:szCs w:val="21"/>
              </w:rPr>
            </w:pPr>
            <w:r>
              <w:rPr>
                <w:rFonts w:hint="default" w:ascii="Times New Roman" w:hAnsi="Times New Roman" w:cs="Times New Roman"/>
                <w:color w:val="auto"/>
                <w:szCs w:val="21"/>
              </w:rPr>
              <w:t>（</w:t>
            </w:r>
            <w:r>
              <w:rPr>
                <w:rFonts w:hint="default" w:ascii="Times New Roman" w:hAnsi="Times New Roman" w:cs="Times New Roman"/>
                <w:color w:val="auto"/>
                <w:szCs w:val="21"/>
                <w:lang w:val="en-US" w:eastAsia="zh-CN"/>
              </w:rPr>
              <w:t>2</w:t>
            </w:r>
            <w:r>
              <w:rPr>
                <w:rFonts w:hint="default" w:ascii="Times New Roman" w:hAnsi="Times New Roman" w:cs="Times New Roman"/>
                <w:color w:val="auto"/>
                <w:szCs w:val="21"/>
              </w:rPr>
              <w:t>）无缝钢管的公称壁厚</w:t>
            </w:r>
            <w:r>
              <w:rPr>
                <w:rFonts w:hint="eastAsia" w:ascii="Times New Roman" w:hAnsi="Times New Roman" w:cs="Times New Roman"/>
                <w:color w:val="auto"/>
                <w:szCs w:val="21"/>
                <w:lang w:eastAsia="zh-CN"/>
              </w:rPr>
              <w:t>不小于</w:t>
            </w:r>
            <w:r>
              <w:rPr>
                <w:rFonts w:hint="eastAsia" w:ascii="Times New Roman" w:hAnsi="Times New Roman" w:cs="Times New Roman"/>
                <w:color w:val="auto"/>
                <w:szCs w:val="21"/>
                <w:lang w:val="en-US" w:eastAsia="zh-CN"/>
              </w:rPr>
              <w:t>4</w:t>
            </w:r>
            <w:r>
              <w:rPr>
                <w:rFonts w:hint="default" w:ascii="Times New Roman" w:hAnsi="Times New Roman" w:cs="Times New Roman"/>
                <w:color w:val="auto"/>
                <w:szCs w:val="21"/>
              </w:rPr>
              <w:t>mm，埋地钢管的连接采用焊接。</w:t>
            </w:r>
          </w:p>
          <w:p>
            <w:pPr>
              <w:keepNext w:val="0"/>
              <w:keepLines w:val="0"/>
              <w:suppressLineNumbers w:val="0"/>
              <w:tabs>
                <w:tab w:val="center" w:pos="1204"/>
              </w:tabs>
              <w:spacing w:before="0" w:beforeAutospacing="0" w:after="0" w:afterAutospacing="0" w:line="240" w:lineRule="auto"/>
              <w:ind w:left="0" w:right="0"/>
              <w:rPr>
                <w:rFonts w:hint="default" w:ascii="Times New Roman" w:hAnsi="Times New Roman" w:cs="Times New Roman"/>
                <w:color w:val="auto"/>
              </w:rPr>
            </w:pPr>
            <w:r>
              <w:rPr>
                <w:rFonts w:hint="default" w:ascii="Times New Roman" w:hAnsi="Times New Roman" w:cs="Times New Roman"/>
                <w:color w:val="auto"/>
                <w:szCs w:val="21"/>
              </w:rPr>
              <w:t>（</w:t>
            </w:r>
            <w:r>
              <w:rPr>
                <w:rFonts w:hint="default" w:ascii="Times New Roman" w:hAnsi="Times New Roman" w:cs="Times New Roman"/>
                <w:color w:val="auto"/>
                <w:szCs w:val="21"/>
                <w:lang w:val="en-US" w:eastAsia="zh-CN"/>
              </w:rPr>
              <w:t>3</w:t>
            </w:r>
            <w:r>
              <w:rPr>
                <w:rFonts w:hint="default" w:ascii="Times New Roman" w:hAnsi="Times New Roman" w:cs="Times New Roman"/>
                <w:color w:val="auto"/>
                <w:szCs w:val="21"/>
              </w:rPr>
              <w:t>）没有设置柴油尾气处理液加注设备。</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1</w:t>
            </w:r>
            <w:r>
              <w:rPr>
                <w:rFonts w:hint="default" w:ascii="Times New Roman" w:hAnsi="Times New Roman" w:cs="Times New Roman"/>
                <w:lang w:val="en-US" w:eastAsia="zh-CN"/>
              </w:rPr>
              <w:t>1</w:t>
            </w:r>
            <w:r>
              <w:rPr>
                <w:rFonts w:hint="default" w:ascii="Times New Roman" w:hAnsi="Times New Roman" w:cs="Times New Roman"/>
              </w:rPr>
              <w:t>、油罐车卸油时用的卸油连通软管、油气回收连通软管，应采用导静电耐油软管。</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center" w:pos="1204"/>
              </w:tabs>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采用导静电耐油软管。</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1</w:t>
            </w:r>
            <w:r>
              <w:rPr>
                <w:rFonts w:hint="default" w:ascii="Times New Roman" w:hAnsi="Times New Roman" w:cs="Times New Roman"/>
                <w:lang w:val="en-US" w:eastAsia="zh-CN"/>
              </w:rPr>
              <w:t>2</w:t>
            </w:r>
            <w:r>
              <w:rPr>
                <w:rFonts w:hint="default" w:ascii="Times New Roman" w:hAnsi="Times New Roman" w:cs="Times New Roman"/>
              </w:rPr>
              <w:t>、加油站内的工艺管道除必须露出地面的以外，均应埋地敷设。当采用管沟敷设时，管沟必须用中性沙子或细土填满、填实。</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center" w:pos="1204"/>
              </w:tabs>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埋地敷设。</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1</w:t>
            </w:r>
            <w:r>
              <w:rPr>
                <w:rFonts w:hint="default" w:ascii="Times New Roman" w:hAnsi="Times New Roman" w:cs="Times New Roman"/>
                <w:lang w:val="en-US" w:eastAsia="zh-CN"/>
              </w:rPr>
              <w:t>3</w:t>
            </w:r>
            <w:r>
              <w:rPr>
                <w:rFonts w:hint="default" w:ascii="Times New Roman" w:hAnsi="Times New Roman" w:cs="Times New Roman"/>
              </w:rPr>
              <w:t>、与油罐相连通的进油管、通气管横管，以及油气回收管，均应坡向油罐，其坡度不应小于2‰。</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center" w:pos="1204"/>
              </w:tabs>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坡度不小于2‰。</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1</w:t>
            </w:r>
            <w:r>
              <w:rPr>
                <w:rFonts w:hint="default" w:ascii="Times New Roman" w:hAnsi="Times New Roman" w:cs="Times New Roman"/>
                <w:lang w:val="en-US" w:eastAsia="zh-CN"/>
              </w:rPr>
              <w:t>4</w:t>
            </w:r>
            <w:r>
              <w:rPr>
                <w:rFonts w:hint="default" w:ascii="Times New Roman" w:hAnsi="Times New Roman" w:cs="Times New Roman"/>
              </w:rPr>
              <w:t>、埋地工艺管道的埋地深度不得小于0.4m。敷设在混凝土场地或道路下面的管道，管顶低于混凝土层下表面不得小于0.2m。管道周围应回填不小于100mm厚的中性沙子或细土。</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center" w:pos="1204"/>
              </w:tabs>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管道敷设符合要求。</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1</w:t>
            </w:r>
            <w:r>
              <w:rPr>
                <w:rFonts w:hint="default" w:ascii="Times New Roman" w:hAnsi="Times New Roman" w:cs="Times New Roman"/>
                <w:lang w:val="en-US" w:eastAsia="zh-CN"/>
              </w:rPr>
              <w:t>5</w:t>
            </w:r>
            <w:r>
              <w:rPr>
                <w:rFonts w:hint="default" w:ascii="Times New Roman" w:hAnsi="Times New Roman" w:cs="Times New Roman"/>
              </w:rPr>
              <w:t>、工艺管道不应穿过或跨越站房等与其无直接关系的建构筑物；与管沟、电缆沟或排水沟相交叉时，应采取相应的防护措施。</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center" w:pos="1204"/>
              </w:tabs>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工艺管道不穿过、跨越站房。</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line="240" w:lineRule="auto"/>
              <w:ind w:left="0" w:right="0"/>
              <w:rPr>
                <w:rFonts w:hint="default" w:ascii="Times New Roman" w:hAnsi="Times New Roman" w:cs="Times New Roman"/>
                <w:color w:val="auto"/>
              </w:rPr>
            </w:pPr>
            <w:r>
              <w:rPr>
                <w:rFonts w:hint="default" w:ascii="Times New Roman" w:hAnsi="Times New Roman" w:cs="Times New Roman"/>
                <w:color w:val="auto"/>
              </w:rPr>
              <w:t>1</w:t>
            </w:r>
            <w:r>
              <w:rPr>
                <w:rFonts w:hint="default" w:ascii="Times New Roman" w:hAnsi="Times New Roman" w:cs="Times New Roman"/>
                <w:color w:val="auto"/>
                <w:lang w:val="en-US" w:eastAsia="zh-CN"/>
              </w:rPr>
              <w:t>6</w:t>
            </w:r>
            <w:r>
              <w:rPr>
                <w:rFonts w:hint="default" w:ascii="Times New Roman" w:hAnsi="Times New Roman" w:cs="Times New Roman"/>
                <w:color w:val="auto"/>
              </w:rPr>
              <w:t>、</w:t>
            </w:r>
            <w:r>
              <w:rPr>
                <w:rFonts w:hint="default" w:ascii="Times New Roman" w:hAnsi="Times New Roman" w:eastAsia="新宋体" w:cs="Times New Roman"/>
                <w:color w:val="auto"/>
                <w:szCs w:val="21"/>
              </w:rPr>
              <w:t>采取防渗漏措施的加油站，其埋地加油管道应采用双层管道。</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line="240" w:lineRule="auto"/>
              <w:ind w:left="0" w:right="0"/>
              <w:rPr>
                <w:rFonts w:hint="default" w:ascii="Times New Roman" w:hAnsi="Times New Roman" w:cs="Times New Roman"/>
                <w:color w:val="auto"/>
              </w:rPr>
            </w:pPr>
            <w:r>
              <w:rPr>
                <w:rFonts w:hint="default" w:ascii="Times New Roman" w:hAnsi="Times New Roman" w:eastAsia="新宋体" w:cs="Times New Roman"/>
                <w:color w:val="auto"/>
                <w:szCs w:val="21"/>
              </w:rPr>
              <w:t>埋地加油管道采用双层非金属管道</w:t>
            </w:r>
            <w:r>
              <w:rPr>
                <w:rFonts w:hint="default" w:ascii="Times New Roman" w:hAnsi="Times New Roman" w:eastAsia="新宋体" w:cs="Times New Roman"/>
                <w:color w:val="auto"/>
                <w:szCs w:val="21"/>
                <w:lang w:eastAsia="zh-CN"/>
              </w:rPr>
              <w:t>。</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b/>
                <w:color w:val="auto"/>
                <w:szCs w:val="21"/>
              </w:rPr>
            </w:pPr>
            <w:r>
              <w:rPr>
                <w:rFonts w:hint="default" w:ascii="Times New Roman" w:hAnsi="Times New Roman" w:cs="Times New Roman"/>
                <w:color w:val="auto"/>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restart"/>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九、消防设施和给水排水</w:t>
            </w: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1、加油站工艺设备应配置灭火器材，并应符合下列规定：</w:t>
            </w:r>
          </w:p>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1）每2台加油机应配置不少于2具4kg手提式干粉灭火器，或1具4kg手提式干粉灭火器和1具6L泡沫灭火器。加油机不足2台应按2台配置。</w:t>
            </w:r>
          </w:p>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2）地下储罐应配置1台不小于35kg推车式干粉灭火器。当两种介质储罐之间的距离超过15m时，应分别配置。</w:t>
            </w:r>
          </w:p>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3）一、二级加油站应配置灭火毯5块、沙子2</w:t>
            </w:r>
            <w:r>
              <w:rPr>
                <w:rFonts w:hint="default" w:ascii="Times New Roman" w:hAnsi="Times New Roman" w:cs="Times New Roman"/>
                <w:szCs w:val="21"/>
                <w:lang w:eastAsia="zh-CN"/>
              </w:rPr>
              <w:t>m³</w:t>
            </w:r>
            <w:r>
              <w:rPr>
                <w:rFonts w:hint="default" w:ascii="Times New Roman" w:hAnsi="Times New Roman" w:cs="Times New Roman"/>
                <w:szCs w:val="21"/>
              </w:rPr>
              <w:t>；三级加油站应配置灭火毯不少于2块、沙子2</w:t>
            </w:r>
            <w:r>
              <w:rPr>
                <w:rFonts w:hint="default" w:ascii="Times New Roman" w:hAnsi="Times New Roman" w:cs="Times New Roman"/>
                <w:szCs w:val="21"/>
                <w:lang w:eastAsia="zh-CN"/>
              </w:rPr>
              <w:t>m³</w:t>
            </w:r>
            <w:r>
              <w:rPr>
                <w:rFonts w:hint="default" w:ascii="Times New Roman" w:hAnsi="Times New Roman" w:cs="Times New Roman"/>
                <w:szCs w:val="21"/>
              </w:rPr>
              <w:t>。</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numPr>
                <w:ilvl w:val="0"/>
                <w:numId w:val="9"/>
              </w:numPr>
              <w:suppressLineNumbers w:val="0"/>
              <w:snapToGrid w:val="0"/>
              <w:spacing w:before="0" w:beforeAutospacing="0" w:after="0" w:afterAutospacing="0" w:line="240" w:lineRule="auto"/>
              <w:ind w:right="0"/>
              <w:rPr>
                <w:rFonts w:hint="default" w:ascii="Times New Roman" w:hAnsi="Times New Roman" w:cs="Times New Roman"/>
                <w:szCs w:val="21"/>
              </w:rPr>
            </w:pPr>
            <w:r>
              <w:rPr>
                <w:rFonts w:hint="default" w:ascii="Times New Roman" w:hAnsi="Times New Roman" w:cs="Times New Roman"/>
                <w:szCs w:val="21"/>
              </w:rPr>
              <w:t>每2台加油机设置2具</w:t>
            </w:r>
            <w:r>
              <w:rPr>
                <w:rFonts w:hint="default" w:ascii="Times New Roman" w:hAnsi="Times New Roman" w:cs="Times New Roman"/>
                <w:szCs w:val="21"/>
                <w:lang w:val="en-US" w:eastAsia="zh-CN"/>
              </w:rPr>
              <w:t>4</w:t>
            </w:r>
            <w:r>
              <w:rPr>
                <w:rFonts w:hint="default" w:ascii="Times New Roman" w:hAnsi="Times New Roman" w:cs="Times New Roman"/>
                <w:szCs w:val="21"/>
              </w:rPr>
              <w:t>kg手提式干粉灭火器；</w:t>
            </w:r>
          </w:p>
          <w:p>
            <w:pPr>
              <w:keepNext w:val="0"/>
              <w:keepLines w:val="0"/>
              <w:numPr>
                <w:ilvl w:val="0"/>
                <w:numId w:val="9"/>
              </w:numPr>
              <w:suppressLineNumbers w:val="0"/>
              <w:snapToGrid w:val="0"/>
              <w:spacing w:before="0" w:beforeAutospacing="0" w:after="0" w:afterAutospacing="0" w:line="240" w:lineRule="auto"/>
              <w:ind w:right="0"/>
              <w:rPr>
                <w:rFonts w:hint="default" w:ascii="Times New Roman" w:hAnsi="Times New Roman" w:cs="Times New Roman"/>
                <w:szCs w:val="21"/>
              </w:rPr>
            </w:pPr>
            <w:r>
              <w:rPr>
                <w:rFonts w:hint="default" w:ascii="Times New Roman" w:hAnsi="Times New Roman" w:cs="Times New Roman"/>
                <w:szCs w:val="21"/>
              </w:rPr>
              <w:t>地下储罐区设置1台35kg推车式干粉灭火器。</w:t>
            </w:r>
          </w:p>
          <w:p>
            <w:pPr>
              <w:keepNext w:val="0"/>
              <w:keepLines w:val="0"/>
              <w:numPr>
                <w:ilvl w:val="0"/>
                <w:numId w:val="9"/>
              </w:numPr>
              <w:suppressLineNumbers w:val="0"/>
              <w:snapToGrid w:val="0"/>
              <w:spacing w:before="0" w:beforeAutospacing="0" w:after="0" w:afterAutospacing="0" w:line="240" w:lineRule="auto"/>
              <w:ind w:right="0"/>
              <w:rPr>
                <w:rFonts w:hint="default" w:ascii="Times New Roman" w:hAnsi="Times New Roman" w:cs="Times New Roman"/>
                <w:szCs w:val="21"/>
              </w:rPr>
            </w:pPr>
            <w:r>
              <w:rPr>
                <w:rFonts w:hint="default" w:ascii="Times New Roman" w:hAnsi="Times New Roman" w:cs="Times New Roman"/>
                <w:szCs w:val="21"/>
              </w:rPr>
              <w:t>配置灭火毯</w:t>
            </w:r>
            <w:r>
              <w:rPr>
                <w:rFonts w:hint="default" w:ascii="Times New Roman" w:hAnsi="Times New Roman" w:cs="Times New Roman"/>
                <w:szCs w:val="21"/>
                <w:lang w:val="en-US" w:eastAsia="zh-CN"/>
              </w:rPr>
              <w:t>5</w:t>
            </w:r>
            <w:r>
              <w:rPr>
                <w:rFonts w:hint="default" w:ascii="Times New Roman" w:hAnsi="Times New Roman" w:cs="Times New Roman"/>
                <w:szCs w:val="21"/>
              </w:rPr>
              <w:t>块、沙子2</w:t>
            </w:r>
            <w:r>
              <w:rPr>
                <w:rFonts w:hint="default" w:ascii="Times New Roman" w:hAnsi="Times New Roman" w:cs="Times New Roman"/>
                <w:szCs w:val="21"/>
                <w:lang w:eastAsia="zh-CN"/>
              </w:rPr>
              <w:t>m³</w:t>
            </w:r>
            <w:r>
              <w:rPr>
                <w:rFonts w:hint="default" w:ascii="Times New Roman" w:hAnsi="Times New Roman" w:cs="Times New Roman"/>
                <w:szCs w:val="21"/>
              </w:rPr>
              <w:t>。</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2、其余建筑的灭火器配置，应符合现行国家标准《建筑灭火器配置设计规范》GB50140的有关规定。</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站房、配电房等灭火器材符合国家规定。</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3、加油站采用埋地储罐，可不设消防给水系统。</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采用埋地储罐。</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4、消防给水应利用城市或企业已建的消防给水系统，当无消防给水系统可依托时，应自建消防给水系统。</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Cs w:val="21"/>
              </w:rPr>
            </w:pPr>
            <w:r>
              <w:rPr>
                <w:rFonts w:hint="default" w:ascii="Times New Roman" w:hAnsi="Times New Roman" w:cs="Times New Roman"/>
                <w:szCs w:val="21"/>
              </w:rPr>
              <w:t>符合要求。</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5、加油加气站的排水应符合下列规定：</w:t>
            </w:r>
          </w:p>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1）站内地面雨水可散流排出站外。当雨水由明沟排到站外时，应在围墙内设置水封装置。</w:t>
            </w:r>
          </w:p>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2）加油站排出建筑物或围墙的污水，在建筑物墙外或围墙内应分别设水封井（独立的生活污水除外）。水封井的水封高度不应小于0.25m；水封井应设沉泥段，沉泥段高度不应小于0.25m。</w:t>
            </w:r>
          </w:p>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3）清洗油罐的污水应集中收集处理，不应直接进入排水管道。LPG储罐的排污（排水）应采用活动式回收桶集中收集处理，不应直接接入排水管道。</w:t>
            </w:r>
          </w:p>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4）排出站外的污水应符合国家现行有关污水排放标准的规定。</w:t>
            </w:r>
          </w:p>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5）加油站不应采用暗沟排水。</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1、雨水散流排出站外。</w:t>
            </w:r>
          </w:p>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2、设置有水封井，符合规定要求。</w:t>
            </w:r>
          </w:p>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3、清洗油罐的污水集中收集处理，不直接进入排水管道。</w:t>
            </w:r>
          </w:p>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4、排出站外的污水符合国家现行有关污水排放标准的规定。</w:t>
            </w:r>
          </w:p>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5、</w:t>
            </w:r>
            <w:r>
              <w:rPr>
                <w:rFonts w:hint="default" w:ascii="Times New Roman" w:hAnsi="Times New Roman" w:cs="Times New Roman"/>
                <w:szCs w:val="21"/>
                <w:lang w:eastAsia="zh-CN"/>
              </w:rPr>
              <w:t>采用埋地敷设的排水管道，</w:t>
            </w:r>
            <w:r>
              <w:rPr>
                <w:rFonts w:hint="default" w:ascii="Times New Roman" w:hAnsi="Times New Roman" w:cs="Times New Roman"/>
                <w:szCs w:val="21"/>
              </w:rPr>
              <w:t>未采用暗沟排水。</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restart"/>
            <w:tcBorders>
              <w:top w:val="single" w:color="auto" w:sz="4" w:space="0"/>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十、供配电</w:t>
            </w: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rPr>
              <w:t>1、加油站供电负荷等级可为三级</w:t>
            </w:r>
            <w:r>
              <w:rPr>
                <w:rFonts w:hint="default" w:ascii="Times New Roman" w:hAnsi="Times New Roman" w:cs="Times New Roman"/>
                <w:szCs w:val="21"/>
              </w:rPr>
              <w:t>，信息系统应设不间断供电电源。</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rPr>
              <w:t>供电负荷等级为三级</w:t>
            </w:r>
            <w:r>
              <w:rPr>
                <w:rFonts w:hint="default" w:ascii="Times New Roman" w:hAnsi="Times New Roman" w:cs="Times New Roman"/>
                <w:szCs w:val="21"/>
              </w:rPr>
              <w:t>，信息系统设不间断供电电源。</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2、加油站宜采用电应为380/220V的外接电源。加油站的供电系统应设独立的计量装置。</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采用380/220V外接电源。供电系统设有独立的计量装置。</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3、加油站、加气站及加油加气站合建站的消防泵房、罩棚、营业室等处应设置事故照明。</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lang w:eastAsia="zh-CN"/>
              </w:rPr>
              <w:t>均</w:t>
            </w:r>
            <w:r>
              <w:rPr>
                <w:rFonts w:hint="default" w:ascii="Times New Roman" w:hAnsi="Times New Roman" w:cs="Times New Roman"/>
              </w:rPr>
              <w:t>设事故照明。</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color w:val="auto"/>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4、当引用外电源有困难时加油加气站可设置小型内燃发电机组。内燃机的排烟管口应安装阻火器，排烟管口至各爆炸危险区域边界的水平距离应符合下列规定：</w:t>
            </w:r>
          </w:p>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1）排烟口高出地面4.5m以下时不应小于5m。</w:t>
            </w:r>
          </w:p>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rPr>
              <w:t>2）排烟口高出地面4.5m及以上时不应小于3m。</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left"/>
              <w:rPr>
                <w:rFonts w:hint="default" w:ascii="Times New Roman" w:hAnsi="Times New Roman" w:eastAsia="宋体" w:cs="Times New Roman"/>
                <w:color w:val="FF0000"/>
                <w:szCs w:val="21"/>
              </w:rPr>
            </w:pPr>
            <w:r>
              <w:rPr>
                <w:rFonts w:hint="eastAsia" w:ascii="Times New Roman" w:hAnsi="Times New Roman" w:cs="Times New Roman"/>
                <w:lang w:eastAsia="zh-CN"/>
              </w:rPr>
              <w:t>设置的小型柴油发电机已停用</w:t>
            </w:r>
            <w:r>
              <w:rPr>
                <w:rFonts w:hint="default" w:ascii="Times New Roman" w:hAnsi="Times New Roman" w:cs="Times New Roman"/>
                <w:szCs w:val="21"/>
              </w:rPr>
              <w:t>。</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FF0000"/>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rPr>
              <w:t>5、加油加气站的电力线路宜采用电缆并直埋敷设。电缆穿越行车道部分应穿钢管保护。</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rPr>
              <w:t>电力线路穿钢管敷设。</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6、当采用电缆沟敷设电缆时，加油加气作业区内的电缆沟内必须充沙填实。电缆不得与油品、LNG管道以及热力管道敷设在同一沟内。</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rPr>
              <w:t>线路采用电缆直埋敷设。</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rPr>
              <w:t>7、爆炸危险区域内的电气设备选型安装、电力线路敷设等，应符合《爆炸和火灾危险环境电力装置设计规范》（GB50058）的规定。</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rPr>
              <w:t>电气设备选型安装、电力线路敷设符合要求。</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8、加油加气站内爆炸危险区域以外的站房、罩棚等建筑物内的照明灯具，可选用非防爆型,但罩棚下的灯具应选用防护等级不低于IP44级的节能型照明灯具。</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rPr>
              <w:t>加油加气站内爆炸危险区域以外的站房、加油亭罩棚等建筑物内的照明灯具，选IP44级的节能型照明灯具。</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color w:val="auto"/>
              </w:rPr>
            </w:pPr>
            <w:r>
              <w:rPr>
                <w:rFonts w:hint="default" w:ascii="Times New Roman" w:hAnsi="Times New Roman" w:cs="Times New Roman"/>
                <w:color w:val="auto"/>
                <w:lang w:val="en-US" w:eastAsia="zh-CN"/>
              </w:rPr>
              <w:t>9、</w:t>
            </w:r>
            <w:r>
              <w:rPr>
                <w:rFonts w:hint="default" w:ascii="Times New Roman" w:hAnsi="Times New Roman" w:cs="Times New Roman"/>
                <w:color w:val="auto"/>
              </w:rPr>
              <w:t>加油加气站应设置紧急切断系统，该系统应能在事故状态下迅速切断加油泵、LPG泵、LNG泵、LPG压缩机、CNG压缩机的电源和关闭重要的LPG、CNG、LNG管道阀门。紧急切断系统应具有失效保护功能。</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color w:val="auto"/>
              </w:rPr>
            </w:pPr>
            <w:r>
              <w:rPr>
                <w:rFonts w:hint="default" w:ascii="Times New Roman" w:hAnsi="Times New Roman" w:cs="Times New Roman"/>
                <w:color w:val="auto"/>
                <w:szCs w:val="21"/>
              </w:rPr>
              <w:t>加油站设置紧急切断系统，能在事故状态下迅速切断加油泵的电源。紧急切断系统具有失效保护功能。</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color w:val="auto"/>
              </w:rPr>
            </w:pPr>
            <w:r>
              <w:rPr>
                <w:rFonts w:hint="default" w:ascii="Times New Roman" w:hAnsi="Times New Roman" w:cs="Times New Roman"/>
                <w:color w:val="auto"/>
              </w:rPr>
              <w:t>1</w:t>
            </w:r>
            <w:r>
              <w:rPr>
                <w:rFonts w:hint="default" w:ascii="Times New Roman" w:hAnsi="Times New Roman" w:cs="Times New Roman"/>
                <w:color w:val="auto"/>
                <w:lang w:val="en-US" w:eastAsia="zh-CN"/>
              </w:rPr>
              <w:t>0、</w:t>
            </w:r>
            <w:r>
              <w:rPr>
                <w:rFonts w:hint="default" w:ascii="Times New Roman" w:hAnsi="Times New Roman" w:cs="Times New Roman"/>
                <w:color w:val="auto"/>
              </w:rPr>
              <w:t>紧急切断系统应至少在下列位置设置启动开关：</w:t>
            </w:r>
          </w:p>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color w:val="auto"/>
              </w:rPr>
            </w:pPr>
            <w:r>
              <w:rPr>
                <w:rFonts w:hint="default" w:ascii="Times New Roman" w:hAnsi="Times New Roman" w:cs="Times New Roman"/>
                <w:color w:val="auto"/>
              </w:rPr>
              <w:t>1距加气站卸车点5m以内。</w:t>
            </w:r>
          </w:p>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color w:val="auto"/>
              </w:rPr>
            </w:pPr>
            <w:r>
              <w:rPr>
                <w:rFonts w:hint="default" w:ascii="Times New Roman" w:hAnsi="Times New Roman" w:cs="Times New Roman"/>
                <w:color w:val="auto"/>
              </w:rPr>
              <w:t>2在加油加气现场工作人员容易接近的位置。</w:t>
            </w:r>
          </w:p>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color w:val="auto"/>
              </w:rPr>
            </w:pPr>
            <w:r>
              <w:rPr>
                <w:rFonts w:hint="default" w:ascii="Times New Roman" w:hAnsi="Times New Roman" w:cs="Times New Roman"/>
                <w:color w:val="auto"/>
              </w:rPr>
              <w:t>3在控制室或值班室内。</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color w:val="auto"/>
              </w:rPr>
            </w:pPr>
            <w:r>
              <w:rPr>
                <w:rFonts w:hint="default" w:ascii="Times New Roman" w:hAnsi="Times New Roman" w:cs="Times New Roman"/>
                <w:color w:val="auto"/>
              </w:rPr>
              <w:t>启动开关</w:t>
            </w:r>
            <w:r>
              <w:rPr>
                <w:rFonts w:hint="default" w:ascii="Times New Roman" w:hAnsi="Times New Roman" w:cs="Times New Roman"/>
                <w:color w:val="auto"/>
                <w:lang w:eastAsia="zh-CN"/>
              </w:rPr>
              <w:t>设置合理</w:t>
            </w:r>
            <w:r>
              <w:rPr>
                <w:rFonts w:hint="default" w:ascii="Times New Roman" w:hAnsi="Times New Roman" w:cs="Times New Roman"/>
                <w:color w:val="auto"/>
                <w:szCs w:val="21"/>
              </w:rPr>
              <w:t>。</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bottom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color w:val="auto"/>
              </w:rPr>
            </w:pPr>
            <w:r>
              <w:rPr>
                <w:rFonts w:hint="default" w:ascii="Times New Roman" w:hAnsi="Times New Roman" w:cs="Times New Roman"/>
                <w:color w:val="auto"/>
              </w:rPr>
              <w:t>11</w:t>
            </w:r>
            <w:r>
              <w:rPr>
                <w:rFonts w:hint="default" w:ascii="Times New Roman" w:hAnsi="Times New Roman" w:cs="Times New Roman"/>
                <w:color w:val="auto"/>
                <w:lang w:eastAsia="zh-CN"/>
              </w:rPr>
              <w:t>、</w:t>
            </w:r>
            <w:r>
              <w:rPr>
                <w:rFonts w:hint="default" w:ascii="Times New Roman" w:hAnsi="Times New Roman" w:cs="Times New Roman"/>
                <w:color w:val="auto"/>
              </w:rPr>
              <w:t>紧急切断系统应只能手动复位。</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color w:val="auto"/>
              </w:rPr>
            </w:pPr>
            <w:r>
              <w:rPr>
                <w:rFonts w:hint="default" w:ascii="Times New Roman" w:hAnsi="Times New Roman" w:cs="Times New Roman"/>
                <w:color w:val="auto"/>
                <w:szCs w:val="21"/>
              </w:rPr>
              <w:t>紧急切断系统只能手动复位。</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restart"/>
            <w:tcBorders>
              <w:top w:val="single" w:color="auto" w:sz="4" w:space="0"/>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十一、防雷、防静电</w:t>
            </w: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color w:val="auto"/>
              </w:rPr>
            </w:pPr>
            <w:r>
              <w:rPr>
                <w:rFonts w:hint="default" w:ascii="Times New Roman" w:hAnsi="Times New Roman" w:cs="Times New Roman"/>
                <w:color w:val="auto"/>
              </w:rPr>
              <w:t>1、钢制油罐必须进行防雷接地，接地点不应少于两处。</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center" w:pos="1204"/>
              </w:tabs>
              <w:snapToGrid w:val="0"/>
              <w:spacing w:before="0" w:beforeAutospacing="0" w:after="0" w:afterAutospacing="0" w:line="240" w:lineRule="auto"/>
              <w:ind w:left="0" w:right="0"/>
              <w:rPr>
                <w:rFonts w:hint="default" w:ascii="Times New Roman" w:hAnsi="Times New Roman" w:cs="Times New Roman"/>
                <w:color w:val="auto"/>
              </w:rPr>
            </w:pPr>
            <w:r>
              <w:rPr>
                <w:rFonts w:hint="default" w:ascii="Times New Roman" w:hAnsi="Times New Roman" w:cs="Times New Roman"/>
                <w:color w:val="auto"/>
              </w:rPr>
              <w:t>油罐进行防雷接地，接地点不少于两处。</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2、加油加气站的电气接地应符合下列规定：</w:t>
            </w:r>
          </w:p>
          <w:p>
            <w:pPr>
              <w:keepNext w:val="0"/>
              <w:keepLines w:val="0"/>
              <w:numPr>
                <w:ilvl w:val="0"/>
                <w:numId w:val="0"/>
              </w:numPr>
              <w:suppressLineNumbers w:val="0"/>
              <w:snapToGrid w:val="0"/>
              <w:spacing w:before="0" w:beforeAutospacing="0" w:after="0" w:afterAutospacing="0" w:line="240" w:lineRule="auto"/>
              <w:ind w:left="0" w:leftChars="0" w:right="0"/>
              <w:rPr>
                <w:rFonts w:hint="default" w:ascii="Times New Roman" w:hAnsi="Times New Roman" w:cs="Times New Roman"/>
              </w:rPr>
            </w:pPr>
            <w:r>
              <w:rPr>
                <w:rFonts w:hint="default" w:ascii="Times New Roman" w:hAnsi="Times New Roman" w:cs="Times New Roman"/>
                <w:lang w:val="en-US" w:eastAsia="zh-CN"/>
              </w:rPr>
              <w:t>1）</w:t>
            </w:r>
            <w:r>
              <w:rPr>
                <w:rFonts w:hint="default" w:ascii="Times New Roman" w:hAnsi="Times New Roman" w:cs="Times New Roman"/>
              </w:rPr>
              <w:t>防雷接地、防静电接地、电气设备的工作接地、保护接地及信息系统的接地等，宜共用接地装置，其接地电阻应按其中接地电阻值要求最小的接地电阻值确定。</w:t>
            </w:r>
          </w:p>
          <w:p>
            <w:pPr>
              <w:keepNext w:val="0"/>
              <w:keepLines w:val="0"/>
              <w:numPr>
                <w:ilvl w:val="0"/>
                <w:numId w:val="0"/>
              </w:numPr>
              <w:suppressLineNumbers w:val="0"/>
              <w:snapToGrid w:val="0"/>
              <w:spacing w:before="0" w:beforeAutospacing="0" w:after="0" w:afterAutospacing="0" w:line="240" w:lineRule="auto"/>
              <w:ind w:left="0" w:leftChars="0" w:right="0"/>
              <w:rPr>
                <w:rFonts w:hint="default" w:ascii="Times New Roman" w:hAnsi="Times New Roman" w:cs="Times New Roman"/>
              </w:rPr>
            </w:pPr>
            <w:r>
              <w:rPr>
                <w:rFonts w:hint="default" w:ascii="Times New Roman" w:hAnsi="Times New Roman" w:cs="Times New Roman"/>
                <w:lang w:val="en-US" w:eastAsia="zh-CN"/>
              </w:rPr>
              <w:t>2）</w:t>
            </w:r>
            <w:r>
              <w:rPr>
                <w:rFonts w:hint="default" w:ascii="Times New Roman" w:hAnsi="Times New Roman" w:cs="Times New Roman"/>
              </w:rPr>
              <w:t>当各自单独设置接地装置时，油罐、LNG储罐的防雷接地装置的接地电阻值、配线电缆金属外皮两端和保护钢管两端的接地装置的接地电阻，不应大于10Ω，电气系统的工作和保护接地电阻不应大于4Ω，地上油品、LNG管道始末端和分支处的接地装置的接地电阻值不应大于30Ω。</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center" w:pos="1204"/>
              </w:tabs>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防雷接地、防静电接地、电气设备的工作接地、保护接地及信息系统的接地等，共用接地装置。</w:t>
            </w:r>
          </w:p>
          <w:p>
            <w:pPr>
              <w:keepNext w:val="0"/>
              <w:keepLines w:val="0"/>
              <w:suppressLineNumbers w:val="0"/>
              <w:tabs>
                <w:tab w:val="center" w:pos="1204"/>
              </w:tabs>
              <w:snapToGrid w:val="0"/>
              <w:spacing w:before="0" w:beforeAutospacing="0" w:after="0" w:afterAutospacing="0" w:line="240" w:lineRule="auto"/>
              <w:ind w:left="0" w:right="0"/>
              <w:rPr>
                <w:rFonts w:hint="default" w:ascii="Times New Roman" w:hAnsi="Times New Roman" w:cs="Times New Roman"/>
              </w:rPr>
            </w:pP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color w:val="auto"/>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color w:val="auto"/>
              </w:rPr>
            </w:pPr>
            <w:r>
              <w:rPr>
                <w:rFonts w:hint="default" w:ascii="Times New Roman" w:hAnsi="Times New Roman" w:cs="Times New Roman"/>
                <w:color w:val="auto"/>
              </w:rPr>
              <w:t>3、埋地钢制油罐的金属部件，应与非埋地部分的工艺金属管道相互做电气连接并接地。</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center" w:pos="1204"/>
              </w:tabs>
              <w:snapToGrid w:val="0"/>
              <w:spacing w:before="0" w:beforeAutospacing="0" w:after="0" w:afterAutospacing="0" w:line="240" w:lineRule="auto"/>
              <w:ind w:left="0" w:right="0"/>
              <w:rPr>
                <w:rFonts w:hint="default" w:ascii="Times New Roman" w:hAnsi="Times New Roman" w:cs="Times New Roman"/>
                <w:color w:val="auto"/>
              </w:rPr>
            </w:pPr>
            <w:r>
              <w:rPr>
                <w:rFonts w:hint="default" w:ascii="Times New Roman" w:hAnsi="Times New Roman" w:cs="Times New Roman"/>
                <w:color w:val="auto"/>
              </w:rPr>
              <w:t>埋地油罐与露出地面的工艺管道已按要求做电气连接并接地。</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4、当加油站内的站房和罩棚等建筑物需要防直击雷时，应采用避雷带（网）保护。当罩棚采用金属屋面时，其顶面单层金属板厚度大于0.5mm、搭接长度大于100mm，且下面无易燃的吊顶材料时，可不采用避雷带（网）保护。</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center" w:pos="1204"/>
              </w:tabs>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站房和罩棚采用避雷带（网）保护。</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5、加油站的信息系统应采用铠装电缆或导线穿钢管配线。配线电缆金属外皮两端、保护钢管两端均应接地。</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采用导线穿钢管配线，保护钢管两端均接地。</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6、加油站信息系统的配电线路首、末端与电子器件连接时，应装设与电子器件耐压水平相适应的过电压（电涌）保护器。</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采用过电压保护器。</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7、380/220V供配电系统宜采用TN-S系统，当外供电源为380V时，可采用TB-C-S系统。供电系统的电缆金属外皮或电缆金属保护管两端均应接地，在供配电系统的电源端应安装与设备耐压水平相适应的过电压（电涌）保护器。</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供电系统现为TN-S系统，已采用与设备耐压水平相适应的过电压保护器。</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0" w:right="0"/>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8、地上或管沟敷设的油品管道、LNG管道，应设置防静电和防感应雷的共用接地装置，其接地电阻不应大于30Ω。</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接地电阻值小于30Ω。</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9、加油站的汽油罐车卸车场地，应设罐车卸车和卸气时用的防静电接地装置，并应设置能检测跨接及监视接地状态的静电接地仪。</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有卸车专用静电报警接地装置。有安装静电接地仪。</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10、在爆炸危险区域内的油品管道上的法兰、胶管两端等连接处应用金属线跨接。当法兰的连接螺栓不少于5根时，在非腐蚀环境下，可不跨接。</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有设金属线跨接。</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11、油罐车卸油用的卸油软管、油气回收软管与两端快速接头，应保证可靠的电气连接。</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center" w:pos="1204"/>
              </w:tabs>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卸油软管、油气回收软管与两端快速接头电气连接可靠。</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bottom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12、防静电接地装置的接地电阻不应大于100Ω。</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center" w:pos="1204"/>
              </w:tabs>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防静电接地装置的接地电阻不大于100Ω</w:t>
            </w:r>
            <w:r>
              <w:rPr>
                <w:rFonts w:hint="default" w:ascii="Times New Roman" w:hAnsi="Times New Roman" w:cs="Times New Roman"/>
                <w:lang w:eastAsia="zh-CN"/>
              </w:rPr>
              <w:t>。</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restart"/>
            <w:tcBorders>
              <w:top w:val="single" w:color="auto" w:sz="4" w:space="0"/>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十二、采暖通风、建（构）筑物、绿化</w:t>
            </w:r>
          </w:p>
        </w:tc>
        <w:tc>
          <w:tcPr>
            <w:tcW w:w="4840" w:type="dxa"/>
            <w:tcBorders>
              <w:top w:val="single" w:color="auto" w:sz="4" w:space="0"/>
              <w:left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1、加油站内的各类房间应根据站场环境、生产工艺特点和运行管理需求进行采暖设计。采暖房间的室内计算温度不宜低于《汽车加油加气站设计与施工规范》（GB50156-2012，2014版）第12.1.1条的规定。</w:t>
            </w:r>
          </w:p>
        </w:tc>
        <w:tc>
          <w:tcPr>
            <w:tcW w:w="3191" w:type="dxa"/>
            <w:tcBorders>
              <w:top w:val="single" w:color="auto" w:sz="4" w:space="0"/>
              <w:left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当地条件适宜，不需要设置专门的采暖设施。</w:t>
            </w:r>
          </w:p>
        </w:tc>
        <w:tc>
          <w:tcPr>
            <w:tcW w:w="927" w:type="dxa"/>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2、加油站内，爆炸危险区域内的房间或箱体应采取通风措施。</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站房利用门窗做自然通风，通风情况良好。</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3、加油作业区内的站房及其他附属建筑物的耐火等级不应低于二级。当罩棚顶棚的承重构件为钢结构时，其耐火极限可为0.25h，顶棚其它部分不得采用燃烧体建造。</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站房耐火等级为二级，罩棚为</w:t>
            </w:r>
            <w:r>
              <w:rPr>
                <w:rFonts w:hint="eastAsia" w:ascii="Times New Roman" w:hAnsi="Times New Roman" w:cs="Times New Roman"/>
                <w:lang w:eastAsia="zh-CN"/>
              </w:rPr>
              <w:t>钢筋混凝土</w:t>
            </w:r>
            <w:r>
              <w:rPr>
                <w:rFonts w:hint="default" w:ascii="Times New Roman" w:hAnsi="Times New Roman" w:cs="Times New Roman"/>
              </w:rPr>
              <w:t>结构。</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4、汽车加油、加气场地宜设罩棚，罩棚的设计应符合下列规定：</w:t>
            </w:r>
          </w:p>
          <w:p>
            <w:pPr>
              <w:keepNext w:val="0"/>
              <w:keepLines w:val="0"/>
              <w:numPr>
                <w:ilvl w:val="0"/>
                <w:numId w:val="10"/>
              </w:numPr>
              <w:suppressLineNumbers w:val="0"/>
              <w:snapToGrid w:val="0"/>
              <w:spacing w:before="0" w:beforeAutospacing="0" w:after="0" w:afterAutospacing="0" w:line="240" w:lineRule="auto"/>
              <w:ind w:right="0"/>
              <w:rPr>
                <w:rFonts w:hint="default" w:ascii="Times New Roman" w:hAnsi="Times New Roman" w:cs="Times New Roman"/>
                <w:szCs w:val="21"/>
              </w:rPr>
            </w:pPr>
            <w:r>
              <w:rPr>
                <w:rFonts w:hint="default" w:ascii="Times New Roman" w:hAnsi="Times New Roman" w:cs="Times New Roman"/>
                <w:szCs w:val="21"/>
              </w:rPr>
              <w:t>罩棚应采用不燃烧材料建造。</w:t>
            </w:r>
          </w:p>
          <w:p>
            <w:pPr>
              <w:keepNext w:val="0"/>
              <w:keepLines w:val="0"/>
              <w:numPr>
                <w:ilvl w:val="0"/>
                <w:numId w:val="10"/>
              </w:numPr>
              <w:suppressLineNumbers w:val="0"/>
              <w:snapToGrid w:val="0"/>
              <w:spacing w:before="0" w:beforeAutospacing="0" w:after="0" w:afterAutospacing="0" w:line="240" w:lineRule="auto"/>
              <w:ind w:right="0"/>
              <w:rPr>
                <w:rFonts w:hint="default" w:ascii="Times New Roman" w:hAnsi="Times New Roman" w:cs="Times New Roman"/>
                <w:szCs w:val="21"/>
              </w:rPr>
            </w:pPr>
            <w:r>
              <w:rPr>
                <w:rFonts w:hint="default" w:ascii="Times New Roman" w:hAnsi="Times New Roman" w:cs="Times New Roman"/>
                <w:szCs w:val="21"/>
              </w:rPr>
              <w:t>进站口无限高措施时，罩棚的净空高度不应小于4.5m；进站口有限高措施时，罩棚的净空高度不应小于限高高度。</w:t>
            </w:r>
          </w:p>
          <w:p>
            <w:pPr>
              <w:keepNext w:val="0"/>
              <w:keepLines w:val="0"/>
              <w:numPr>
                <w:ilvl w:val="0"/>
                <w:numId w:val="10"/>
              </w:numPr>
              <w:suppressLineNumbers w:val="0"/>
              <w:snapToGrid w:val="0"/>
              <w:spacing w:before="0" w:beforeAutospacing="0" w:after="0" w:afterAutospacing="0" w:line="240" w:lineRule="auto"/>
              <w:ind w:right="0"/>
              <w:rPr>
                <w:rFonts w:hint="default" w:ascii="Times New Roman" w:hAnsi="Times New Roman" w:cs="Times New Roman"/>
                <w:szCs w:val="21"/>
              </w:rPr>
            </w:pPr>
            <w:r>
              <w:rPr>
                <w:rFonts w:hint="default" w:ascii="Times New Roman" w:hAnsi="Times New Roman" w:cs="Times New Roman"/>
                <w:szCs w:val="21"/>
              </w:rPr>
              <w:t>罩棚遮盖加油机、加气机的平面投影距离不宜小于2m。</w:t>
            </w:r>
          </w:p>
          <w:p>
            <w:pPr>
              <w:keepNext w:val="0"/>
              <w:keepLines w:val="0"/>
              <w:numPr>
                <w:ilvl w:val="0"/>
                <w:numId w:val="10"/>
              </w:numPr>
              <w:suppressLineNumbers w:val="0"/>
              <w:snapToGrid w:val="0"/>
              <w:spacing w:before="0" w:beforeAutospacing="0" w:after="0" w:afterAutospacing="0" w:line="240" w:lineRule="auto"/>
              <w:ind w:right="0"/>
              <w:rPr>
                <w:rFonts w:hint="default" w:ascii="Times New Roman" w:hAnsi="Times New Roman" w:cs="Times New Roman"/>
                <w:szCs w:val="21"/>
              </w:rPr>
            </w:pPr>
            <w:r>
              <w:rPr>
                <w:rFonts w:hint="default" w:ascii="Times New Roman" w:hAnsi="Times New Roman" w:cs="Times New Roman"/>
                <w:szCs w:val="21"/>
              </w:rPr>
              <w:t>罩棚的设计应计算活荷载、雪荷载、风荷载，其设计标准值应符合现行国家标准《建筑结构荷载规范》GB50009的有关规定。</w:t>
            </w:r>
          </w:p>
          <w:p>
            <w:pPr>
              <w:keepNext w:val="0"/>
              <w:keepLines w:val="0"/>
              <w:numPr>
                <w:ilvl w:val="0"/>
                <w:numId w:val="10"/>
              </w:numPr>
              <w:suppressLineNumbers w:val="0"/>
              <w:snapToGrid w:val="0"/>
              <w:spacing w:before="0" w:beforeAutospacing="0" w:after="0" w:afterAutospacing="0" w:line="240" w:lineRule="auto"/>
              <w:ind w:right="0"/>
              <w:rPr>
                <w:rFonts w:hint="default" w:ascii="Times New Roman" w:hAnsi="Times New Roman" w:cs="Times New Roman"/>
                <w:szCs w:val="21"/>
              </w:rPr>
            </w:pPr>
            <w:r>
              <w:rPr>
                <w:rFonts w:hint="default" w:ascii="Times New Roman" w:hAnsi="Times New Roman" w:cs="Times New Roman"/>
                <w:szCs w:val="21"/>
              </w:rPr>
              <w:t>罩棚的抗震设计应按现行国家标准《建筑物抗震设计规范》GB50011的有关规定执行。</w:t>
            </w:r>
          </w:p>
          <w:p>
            <w:pPr>
              <w:keepNext w:val="0"/>
              <w:keepLines w:val="0"/>
              <w:numPr>
                <w:ilvl w:val="0"/>
                <w:numId w:val="10"/>
              </w:numPr>
              <w:suppressLineNumbers w:val="0"/>
              <w:snapToGrid w:val="0"/>
              <w:spacing w:before="0" w:beforeAutospacing="0" w:after="0" w:afterAutospacing="0" w:line="240" w:lineRule="auto"/>
              <w:ind w:right="0"/>
              <w:rPr>
                <w:rFonts w:hint="default" w:ascii="Times New Roman" w:hAnsi="Times New Roman" w:cs="Times New Roman"/>
                <w:szCs w:val="21"/>
              </w:rPr>
            </w:pPr>
            <w:r>
              <w:rPr>
                <w:rFonts w:hint="default" w:ascii="Times New Roman" w:hAnsi="Times New Roman" w:cs="Times New Roman"/>
                <w:szCs w:val="21"/>
              </w:rPr>
              <w:t>设置于LNG设备上方的罩棚，应采用避免天然气积聚的结构形式。</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1）罩棚高度</w:t>
            </w:r>
            <w:r>
              <w:rPr>
                <w:rFonts w:hint="eastAsia" w:ascii="Times New Roman" w:hAnsi="Times New Roman" w:cs="Times New Roman"/>
                <w:szCs w:val="21"/>
                <w:lang w:eastAsia="zh-CN"/>
              </w:rPr>
              <w:t>不小于</w:t>
            </w:r>
            <w:r>
              <w:rPr>
                <w:rFonts w:hint="eastAsia" w:ascii="Times New Roman" w:hAnsi="Times New Roman" w:cs="Times New Roman"/>
                <w:szCs w:val="21"/>
                <w:lang w:val="en-US" w:eastAsia="zh-CN"/>
              </w:rPr>
              <w:t>4.5m</w:t>
            </w:r>
            <w:r>
              <w:rPr>
                <w:rFonts w:hint="default" w:ascii="Times New Roman" w:hAnsi="Times New Roman" w:cs="Times New Roman"/>
                <w:szCs w:val="21"/>
              </w:rPr>
              <w:t>；</w:t>
            </w:r>
          </w:p>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2）罩棚遮盖加油机的平面投影距离不小于2m；</w:t>
            </w:r>
          </w:p>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3）罩棚的设计符合现行国家标准《建筑结构荷载规范》GB50009的有关规定。</w:t>
            </w:r>
          </w:p>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4）罩棚的抗震设计符合《建筑物抗震设计规范》GB50011的有关规定执行。</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5、加油岛的设计应符合下列规定：</w:t>
            </w:r>
          </w:p>
          <w:p>
            <w:pPr>
              <w:keepNext w:val="0"/>
              <w:keepLines w:val="0"/>
              <w:suppressLineNumbers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1）加油岛应高出停车场地坪0.15－0.2m。</w:t>
            </w:r>
          </w:p>
          <w:p>
            <w:pPr>
              <w:keepNext w:val="0"/>
              <w:keepLines w:val="0"/>
              <w:suppressLineNumbers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2）加油岛两端的宽度不应小于1.2m。</w:t>
            </w:r>
          </w:p>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rPr>
              <w:t>3）加油岛上的罩棚支柱距岛端部，不应小于0.6m。</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1）加油岛高出停车场地坪</w:t>
            </w:r>
            <w:r>
              <w:rPr>
                <w:rFonts w:hint="eastAsia" w:ascii="Times New Roman" w:hAnsi="Times New Roman" w:cs="Times New Roman"/>
                <w:lang w:val="en-US" w:eastAsia="zh-CN"/>
              </w:rPr>
              <w:t>不小于0.15</w:t>
            </w:r>
            <w:r>
              <w:rPr>
                <w:rFonts w:hint="default" w:ascii="Times New Roman" w:hAnsi="Times New Roman" w:cs="Times New Roman"/>
              </w:rPr>
              <w:t>m。</w:t>
            </w:r>
          </w:p>
          <w:p>
            <w:pPr>
              <w:keepNext w:val="0"/>
              <w:keepLines w:val="0"/>
              <w:suppressLineNumbers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2）加油岛两端的宽度不小于</w:t>
            </w:r>
            <w:r>
              <w:rPr>
                <w:rFonts w:hint="eastAsia" w:ascii="Times New Roman" w:hAnsi="Times New Roman" w:cs="Times New Roman"/>
                <w:lang w:val="en-US" w:eastAsia="zh-CN"/>
              </w:rPr>
              <w:t>1.3</w:t>
            </w:r>
            <w:r>
              <w:rPr>
                <w:rFonts w:hint="default" w:ascii="Times New Roman" w:hAnsi="Times New Roman" w:cs="Times New Roman"/>
              </w:rPr>
              <w:t>m。</w:t>
            </w:r>
          </w:p>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rPr>
              <w:t>3）加油岛上的罩棚支柱距岛端部不小于0.6m。</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6、加油站内的工艺设备，不宜布置在封闭的房间或箱体内。当需要布置在封闭的房间或箱体内时，应设置可燃气体检测报警器或强制通风设备。</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工艺设备</w:t>
            </w:r>
            <w:r>
              <w:rPr>
                <w:rFonts w:hint="eastAsia" w:ascii="Times New Roman" w:hAnsi="Times New Roman" w:cs="Times New Roman"/>
                <w:szCs w:val="21"/>
                <w:lang w:eastAsia="zh-CN"/>
              </w:rPr>
              <w:t>未</w:t>
            </w:r>
            <w:r>
              <w:rPr>
                <w:rFonts w:hint="default" w:ascii="Times New Roman" w:hAnsi="Times New Roman" w:cs="Times New Roman"/>
                <w:szCs w:val="21"/>
              </w:rPr>
              <w:t>布置在封闭的房间或箱体内。</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7、站房可由办公室、值班室、营业室、控制室、变配电间、卫生间和便利店等组成。</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站房内设有办公室、营业室等。</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8、站房的一部分位于加油加气作业区内时，该站房的建筑面积不宜超过300㎡，且该站房内不得有明火设备。</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站房内无明火设备。</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9、辅助服务区内建筑物的面积不应超过</w:t>
            </w:r>
            <w:r>
              <w:rPr>
                <w:rFonts w:hint="default" w:ascii="Times New Roman" w:hAnsi="Times New Roman" w:cs="Times New Roman"/>
                <w:szCs w:val="21"/>
              </w:rPr>
              <w:t>《汽车加油加气站设计与施工规范》（GB50156-2012，2014版）附录B中三类保护物标准，其消防设计应符合现行国家标准</w:t>
            </w:r>
            <w:r>
              <w:rPr>
                <w:rFonts w:hint="default" w:ascii="Times New Roman" w:hAnsi="Times New Roman" w:cs="Times New Roman"/>
                <w:szCs w:val="21"/>
                <w:lang w:eastAsia="zh-CN"/>
              </w:rPr>
              <w:t>《建筑设计防火规范》（GB50016-2014，2018年版）</w:t>
            </w:r>
            <w:r>
              <w:rPr>
                <w:rFonts w:hint="default" w:ascii="Times New Roman" w:hAnsi="Times New Roman" w:cs="Times New Roman"/>
                <w:szCs w:val="21"/>
              </w:rPr>
              <w:t>的有关规定。</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center" w:pos="1204"/>
              </w:tabs>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辅助建筑符合要求。</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10、站房可与设置在辅助服务区内的餐厅、汽车服务、锅炉房、厨房、员工宿舍、司机休息室等设施合建，但站房与其之间应设置无门窗洞口且耐火等级不低于3h的实体墙。</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center" w:pos="1204"/>
              </w:tabs>
              <w:snapToGrid w:val="0"/>
              <w:spacing w:before="0" w:beforeAutospacing="0" w:after="0" w:afterAutospacing="0" w:line="240" w:lineRule="auto"/>
              <w:ind w:left="0" w:right="0"/>
              <w:rPr>
                <w:rFonts w:hint="default" w:ascii="Times New Roman" w:hAnsi="Times New Roman" w:eastAsia="宋体" w:cs="Times New Roman"/>
              </w:rPr>
            </w:pPr>
            <w:r>
              <w:rPr>
                <w:rFonts w:hint="default" w:ascii="Times New Roman" w:hAnsi="Times New Roman" w:cs="Times New Roman"/>
              </w:rPr>
              <w:t>不适用。</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11、站房可设在站外民用建筑内或与站外民用建筑物合建，并应符合下列规定：</w:t>
            </w:r>
          </w:p>
          <w:p>
            <w:pPr>
              <w:keepNext w:val="0"/>
              <w:keepLines w:val="0"/>
              <w:numPr>
                <w:ilvl w:val="0"/>
                <w:numId w:val="11"/>
              </w:numPr>
              <w:suppressLineNumbers w:val="0"/>
              <w:snapToGrid w:val="0"/>
              <w:spacing w:before="0" w:beforeAutospacing="0" w:after="0" w:afterAutospacing="0" w:line="240" w:lineRule="auto"/>
              <w:ind w:right="0"/>
              <w:rPr>
                <w:rFonts w:hint="default" w:ascii="Times New Roman" w:hAnsi="Times New Roman" w:cs="Times New Roman"/>
              </w:rPr>
            </w:pPr>
            <w:r>
              <w:rPr>
                <w:rFonts w:hint="default" w:ascii="Times New Roman" w:hAnsi="Times New Roman" w:cs="Times New Roman"/>
              </w:rPr>
              <w:t>站房与民用建筑物之间不得有连接通道。</w:t>
            </w:r>
          </w:p>
          <w:p>
            <w:pPr>
              <w:keepNext w:val="0"/>
              <w:keepLines w:val="0"/>
              <w:numPr>
                <w:ilvl w:val="0"/>
                <w:numId w:val="11"/>
              </w:numPr>
              <w:suppressLineNumbers w:val="0"/>
              <w:snapToGrid w:val="0"/>
              <w:spacing w:before="0" w:beforeAutospacing="0" w:after="0" w:afterAutospacing="0" w:line="240" w:lineRule="auto"/>
              <w:ind w:right="0"/>
              <w:rPr>
                <w:rFonts w:hint="default" w:ascii="Times New Roman" w:hAnsi="Times New Roman" w:cs="Times New Roman"/>
              </w:rPr>
            </w:pPr>
            <w:r>
              <w:rPr>
                <w:rFonts w:hint="default" w:ascii="Times New Roman" w:hAnsi="Times New Roman" w:cs="Times New Roman"/>
              </w:rPr>
              <w:t>站房应单独开设通向加油加气站的出入口。</w:t>
            </w:r>
          </w:p>
          <w:p>
            <w:pPr>
              <w:keepNext w:val="0"/>
              <w:keepLines w:val="0"/>
              <w:numPr>
                <w:ilvl w:val="0"/>
                <w:numId w:val="11"/>
              </w:numPr>
              <w:suppressLineNumbers w:val="0"/>
              <w:snapToGrid w:val="0"/>
              <w:spacing w:before="0" w:beforeAutospacing="0" w:after="0" w:afterAutospacing="0" w:line="240" w:lineRule="auto"/>
              <w:ind w:right="0"/>
              <w:rPr>
                <w:rFonts w:hint="default" w:ascii="Times New Roman" w:hAnsi="Times New Roman" w:cs="Times New Roman"/>
              </w:rPr>
            </w:pPr>
            <w:r>
              <w:rPr>
                <w:rFonts w:hint="default" w:ascii="Times New Roman" w:hAnsi="Times New Roman" w:cs="Times New Roman"/>
              </w:rPr>
              <w:t>民用建筑不得有直通向加油加气站的出入口。</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center" w:pos="1204"/>
              </w:tabs>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不适用。</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12、当加油加气站内的锅炉房、厨房等有明火设备的房间与工艺设备之间的距离符合</w:t>
            </w:r>
            <w:r>
              <w:rPr>
                <w:rFonts w:hint="default" w:ascii="Times New Roman" w:hAnsi="Times New Roman" w:cs="Times New Roman"/>
                <w:szCs w:val="21"/>
              </w:rPr>
              <w:t>《汽车加油加气站设计与施工规范》（GB50156-2012，2014版）表5.0.13的规定但小于或等于25m时，其朝向加油加气作业区的外墙应为无门窗洞且耐火极限不低于3h的实体墙。</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center" w:pos="1204"/>
              </w:tabs>
              <w:snapToGrid w:val="0"/>
              <w:spacing w:before="0" w:beforeAutospacing="0" w:after="0" w:afterAutospacing="0" w:line="240" w:lineRule="auto"/>
              <w:ind w:left="0" w:leftChars="0" w:right="0" w:rightChars="0"/>
              <w:rPr>
                <w:rFonts w:hint="default" w:ascii="Times New Roman" w:hAnsi="Times New Roman" w:cs="Times New Roman"/>
              </w:rPr>
            </w:pPr>
            <w:r>
              <w:rPr>
                <w:rFonts w:hint="default" w:ascii="Times New Roman" w:hAnsi="Times New Roman" w:cs="Times New Roman"/>
              </w:rPr>
              <w:t>不适用。</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cs="Times New Roman"/>
                <w:szCs w:val="21"/>
              </w:rPr>
            </w:pPr>
            <w:r>
              <w:rPr>
                <w:rFonts w:hint="default" w:ascii="Times New Roman" w:hAnsi="Times New Roman" w:cs="Times New Roman"/>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13、加油站内不应建地下或半地下室。</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未建地下或半地下室。</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14、位于爆炸危险区云的操作井、排水井，应采取防渗漏和防火花的措施。</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操作井、排水井，采取防渗漏和防火花的措施。</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15、加油站作业区内不得种植油性植物。</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未种植油性植物。</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bl>
    <w:p>
      <w:pPr>
        <w:spacing w:line="600" w:lineRule="exact"/>
        <w:ind w:firstLine="560" w:firstLineChars="200"/>
        <w:rPr>
          <w:rFonts w:hint="default" w:ascii="Times New Roman" w:hAnsi="Times New Roman" w:cs="Times New Roman"/>
          <w:sz w:val="28"/>
          <w:szCs w:val="28"/>
          <w:highlight w:val="none"/>
          <w:lang w:val="zh-CN" w:eastAsia="zh-CN"/>
        </w:rPr>
      </w:pPr>
      <w:r>
        <w:rPr>
          <w:rFonts w:hint="default" w:ascii="Times New Roman" w:hAnsi="Times New Roman" w:cs="Times New Roman"/>
          <w:sz w:val="28"/>
          <w:szCs w:val="28"/>
        </w:rPr>
        <w:t>由上表检查可知：</w:t>
      </w:r>
      <w:r>
        <w:rPr>
          <w:rFonts w:hint="eastAsia" w:ascii="Times New Roman" w:hAnsi="Times New Roman" w:cs="Times New Roman"/>
          <w:sz w:val="28"/>
          <w:szCs w:val="28"/>
          <w:lang w:eastAsia="zh-CN"/>
        </w:rPr>
        <w:t>东城加油站</w:t>
      </w:r>
      <w:r>
        <w:rPr>
          <w:rFonts w:hint="default" w:ascii="Times New Roman" w:hAnsi="Times New Roman" w:cs="Times New Roman"/>
          <w:sz w:val="28"/>
          <w:szCs w:val="28"/>
        </w:rPr>
        <w:t>安全评价现场检查表结论汇总：检查表共</w:t>
      </w:r>
      <w:r>
        <w:rPr>
          <w:rFonts w:hint="default" w:ascii="Times New Roman" w:hAnsi="Times New Roman" w:cs="Times New Roman"/>
          <w:sz w:val="28"/>
          <w:szCs w:val="28"/>
          <w:lang w:val="en-US" w:eastAsia="zh-CN"/>
        </w:rPr>
        <w:t>10</w:t>
      </w:r>
      <w:r>
        <w:rPr>
          <w:rFonts w:hint="eastAsia" w:ascii="Times New Roman" w:hAnsi="Times New Roman" w:cs="Times New Roman"/>
          <w:sz w:val="28"/>
          <w:szCs w:val="28"/>
          <w:lang w:val="en-US" w:eastAsia="zh-CN"/>
        </w:rPr>
        <w:t>5</w:t>
      </w:r>
      <w:r>
        <w:rPr>
          <w:rFonts w:hint="default" w:ascii="Times New Roman" w:hAnsi="Times New Roman" w:cs="Times New Roman"/>
          <w:sz w:val="28"/>
          <w:szCs w:val="28"/>
        </w:rPr>
        <w:t>项，其中</w:t>
      </w:r>
      <w:r>
        <w:rPr>
          <w:rFonts w:hint="default" w:ascii="Times New Roman" w:hAnsi="Times New Roman" w:cs="Times New Roman"/>
          <w:sz w:val="28"/>
          <w:szCs w:val="28"/>
          <w:lang w:val="en-US" w:eastAsia="zh-CN"/>
        </w:rPr>
        <w:t>10</w:t>
      </w:r>
      <w:r>
        <w:rPr>
          <w:rFonts w:hint="eastAsia" w:ascii="Times New Roman" w:hAnsi="Times New Roman" w:cs="Times New Roman"/>
          <w:sz w:val="28"/>
          <w:szCs w:val="28"/>
          <w:lang w:val="en-US" w:eastAsia="zh-CN"/>
        </w:rPr>
        <w:t>2</w:t>
      </w:r>
      <w:r>
        <w:rPr>
          <w:rFonts w:hint="default" w:ascii="Times New Roman" w:hAnsi="Times New Roman" w:cs="Times New Roman"/>
          <w:sz w:val="28"/>
          <w:szCs w:val="28"/>
          <w:lang w:val="en-US" w:eastAsia="zh-CN"/>
        </w:rPr>
        <w:t>项</w:t>
      </w:r>
      <w:r>
        <w:rPr>
          <w:rFonts w:hint="default" w:ascii="Times New Roman" w:hAnsi="Times New Roman" w:cs="Times New Roman"/>
          <w:sz w:val="28"/>
          <w:szCs w:val="28"/>
        </w:rPr>
        <w:t>实有项，实有项全部合格。</w:t>
      </w:r>
    </w:p>
    <w:p>
      <w:pPr>
        <w:pStyle w:val="5"/>
        <w:pageBreakBefore w:val="0"/>
        <w:widowControl w:val="0"/>
        <w:kinsoku/>
        <w:wordWrap/>
        <w:overflowPunct/>
        <w:topLinePunct w:val="0"/>
        <w:autoSpaceDE w:val="0"/>
        <w:autoSpaceDN w:val="0"/>
        <w:bidi w:val="0"/>
        <w:adjustRightInd/>
        <w:snapToGrid/>
        <w:spacing w:before="0" w:after="0" w:line="500" w:lineRule="exact"/>
        <w:ind w:left="0" w:leftChars="0" w:right="0" w:rightChars="0" w:firstLine="562" w:firstLineChars="200"/>
        <w:jc w:val="left"/>
        <w:textAlignment w:val="auto"/>
        <w:rPr>
          <w:rFonts w:hint="default" w:ascii="Times New Roman" w:hAnsi="Times New Roman" w:cs="Times New Roman"/>
          <w:sz w:val="28"/>
          <w:szCs w:val="28"/>
          <w:lang w:val="zh-CN" w:eastAsia="zh-CN"/>
        </w:rPr>
      </w:pPr>
      <w:r>
        <w:rPr>
          <w:rFonts w:hint="default" w:ascii="Times New Roman" w:hAnsi="Times New Roman" w:cs="Times New Roman"/>
          <w:sz w:val="28"/>
          <w:szCs w:val="28"/>
          <w:lang w:val="en-US" w:eastAsia="zh-CN"/>
        </w:rPr>
        <w:t>4.</w:t>
      </w:r>
      <w:r>
        <w:rPr>
          <w:rFonts w:hint="eastAsia" w:ascii="Times New Roman" w:hAnsi="Times New Roman" w:cs="Times New Roman"/>
          <w:sz w:val="28"/>
          <w:szCs w:val="28"/>
          <w:lang w:val="en-US" w:eastAsia="zh-CN"/>
        </w:rPr>
        <w:t>2.4</w:t>
      </w:r>
      <w:r>
        <w:rPr>
          <w:rFonts w:hint="default" w:ascii="Times New Roman" w:hAnsi="Times New Roman" w:cs="Times New Roman"/>
          <w:sz w:val="28"/>
          <w:szCs w:val="28"/>
          <w:lang w:val="en-US" w:eastAsia="zh-CN"/>
        </w:rPr>
        <w:t xml:space="preserve"> 重大生产安全事故隐患判定标准检查表</w:t>
      </w:r>
    </w:p>
    <w:p>
      <w:pPr>
        <w:spacing w:line="600" w:lineRule="exact"/>
        <w:ind w:firstLine="560" w:firstLineChars="200"/>
        <w:rPr>
          <w:rFonts w:hint="default" w:ascii="Times New Roman" w:hAnsi="Times New Roman" w:cs="Times New Roman"/>
          <w:sz w:val="28"/>
          <w:szCs w:val="28"/>
          <w:highlight w:val="none"/>
          <w:lang w:val="zh-CN" w:eastAsia="zh-CN"/>
        </w:rPr>
      </w:pPr>
      <w:r>
        <w:rPr>
          <w:rFonts w:hint="default" w:ascii="Times New Roman" w:hAnsi="Times New Roman" w:cs="Times New Roman"/>
          <w:sz w:val="28"/>
          <w:szCs w:val="28"/>
          <w:highlight w:val="none"/>
          <w:lang w:val="zh-CN" w:eastAsia="zh-CN"/>
        </w:rPr>
        <w:t>根据“广东省安全生产监督管理局转发国家安全监管总局《化工和危险化学品生产经营单位重大生产安全事故隐患判定标准（试行）》和《烟花爆竹生产经营单位重大生产安全事故隐患判定标准（试行）》的通知（粤安监〔2017〕219号）”，对该加油站是否存在重大隐患进行判断，情况如下：</w:t>
      </w:r>
    </w:p>
    <w:p>
      <w:pPr>
        <w:pStyle w:val="11"/>
        <w:spacing w:after="0" w:line="500" w:lineRule="exact"/>
        <w:jc w:val="center"/>
        <w:rPr>
          <w:rFonts w:hint="eastAsia" w:ascii="Times New Roman" w:hAnsi="Times New Roman" w:cs="Times New Roman"/>
          <w:b/>
          <w:bCs/>
          <w:sz w:val="24"/>
        </w:rPr>
      </w:pPr>
      <w:r>
        <w:rPr>
          <w:rFonts w:hint="eastAsia" w:ascii="Times New Roman" w:hAnsi="Times New Roman" w:cs="Times New Roman"/>
          <w:b/>
          <w:bCs/>
          <w:sz w:val="24"/>
        </w:rPr>
        <w:t>附表4.2.2-1与《危险化学品经营许可证管理办法》对比评价检查表</w:t>
      </w:r>
    </w:p>
    <w:tbl>
      <w:tblPr>
        <w:tblStyle w:val="29"/>
        <w:tblW w:w="9625"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92"/>
        <w:gridCol w:w="4693"/>
        <w:gridCol w:w="3502"/>
        <w:gridCol w:w="83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5" w:hRule="atLeast"/>
          <w:tblHeader/>
          <w:jc w:val="center"/>
        </w:trPr>
        <w:tc>
          <w:tcPr>
            <w:tcW w:w="59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bCs w:val="0"/>
                <w:szCs w:val="21"/>
              </w:rPr>
            </w:pPr>
            <w:r>
              <w:rPr>
                <w:rFonts w:hint="eastAsia" w:ascii="Times New Roman" w:hAnsi="Times New Roman" w:cs="Times New Roman"/>
                <w:b/>
                <w:bCs w:val="0"/>
                <w:szCs w:val="21"/>
              </w:rPr>
              <w:t>序号</w:t>
            </w:r>
          </w:p>
        </w:tc>
        <w:tc>
          <w:tcPr>
            <w:tcW w:w="46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bCs w:val="0"/>
              </w:rPr>
            </w:pPr>
            <w:r>
              <w:rPr>
                <w:rFonts w:hint="eastAsia" w:ascii="Times New Roman" w:hAnsi="Times New Roman" w:cs="Times New Roman"/>
                <w:b/>
                <w:bCs w:val="0"/>
              </w:rPr>
              <w:t>检 查 内 容</w:t>
            </w:r>
          </w:p>
        </w:tc>
        <w:tc>
          <w:tcPr>
            <w:tcW w:w="350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bCs w:val="0"/>
              </w:rPr>
            </w:pPr>
            <w:r>
              <w:rPr>
                <w:rFonts w:hint="eastAsia" w:ascii="Times New Roman" w:hAnsi="Times New Roman" w:cs="Times New Roman"/>
                <w:b/>
                <w:bCs w:val="0"/>
              </w:rPr>
              <w:t>检 查 记 录</w:t>
            </w:r>
          </w:p>
        </w:tc>
        <w:tc>
          <w:tcPr>
            <w:tcW w:w="8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bCs w:val="0"/>
                <w:szCs w:val="21"/>
              </w:rPr>
            </w:pPr>
            <w:r>
              <w:rPr>
                <w:rFonts w:hint="eastAsia" w:ascii="Times New Roman" w:hAnsi="Times New Roman" w:cs="Times New Roman"/>
                <w:b/>
                <w:bCs w:val="0"/>
                <w:szCs w:val="21"/>
              </w:rPr>
              <w:t>结论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1019" w:hRule="atLeast"/>
          <w:jc w:val="center"/>
        </w:trPr>
        <w:tc>
          <w:tcPr>
            <w:tcW w:w="59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1</w:t>
            </w:r>
          </w:p>
        </w:tc>
        <w:tc>
          <w:tcPr>
            <w:tcW w:w="46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rPr>
              <w:t>危险化学品生产、经营单位主要负责人和安全生产管理人员未依法经考核合格。</w:t>
            </w:r>
          </w:p>
        </w:tc>
        <w:tc>
          <w:tcPr>
            <w:tcW w:w="350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rPr>
              <w:t>经营单位主要负责人和安全生产管理人员经安全生产教育培训并考核合格，取得上岗资格；</w:t>
            </w:r>
          </w:p>
        </w:tc>
        <w:tc>
          <w:tcPr>
            <w:tcW w:w="8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19" w:hRule="atLeast"/>
          <w:jc w:val="center"/>
        </w:trPr>
        <w:tc>
          <w:tcPr>
            <w:tcW w:w="59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2</w:t>
            </w:r>
          </w:p>
        </w:tc>
        <w:tc>
          <w:tcPr>
            <w:tcW w:w="46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rPr>
              <w:t>特种作业人员未持证上岗。</w:t>
            </w:r>
          </w:p>
        </w:tc>
        <w:tc>
          <w:tcPr>
            <w:tcW w:w="350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lang w:eastAsia="zh-CN"/>
              </w:rPr>
              <w:t>油站暂无</w:t>
            </w:r>
            <w:r>
              <w:rPr>
                <w:rFonts w:hint="eastAsia" w:ascii="Times New Roman" w:hAnsi="Times New Roman" w:cs="Times New Roman"/>
              </w:rPr>
              <w:t>特种作业人员。</w:t>
            </w:r>
          </w:p>
        </w:tc>
        <w:tc>
          <w:tcPr>
            <w:tcW w:w="8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55" w:hRule="atLeast"/>
          <w:jc w:val="center"/>
        </w:trPr>
        <w:tc>
          <w:tcPr>
            <w:tcW w:w="59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3</w:t>
            </w:r>
          </w:p>
        </w:tc>
        <w:tc>
          <w:tcPr>
            <w:tcW w:w="46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rPr>
              <w:t>涉及“两重点一重大”的生产装置、储存设施外部安全防护距离不符合国家标准要求。</w:t>
            </w:r>
          </w:p>
        </w:tc>
        <w:tc>
          <w:tcPr>
            <w:tcW w:w="350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rPr>
              <w:t>汽油储罐、加油机安全距离符合要求。</w:t>
            </w:r>
          </w:p>
        </w:tc>
        <w:tc>
          <w:tcPr>
            <w:tcW w:w="8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1108" w:hRule="atLeast"/>
          <w:jc w:val="center"/>
        </w:trPr>
        <w:tc>
          <w:tcPr>
            <w:tcW w:w="59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4</w:t>
            </w:r>
          </w:p>
        </w:tc>
        <w:tc>
          <w:tcPr>
            <w:tcW w:w="46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rPr>
              <w:t>涉及重点监管危险化工工艺的装置未实现自动化控制，系统未实现紧急停车功能，装备的自动化控制系统、紧急停车系统未投入使用。</w:t>
            </w:r>
          </w:p>
        </w:tc>
        <w:tc>
          <w:tcPr>
            <w:tcW w:w="350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eastAsia="宋体" w:cs="Times New Roman"/>
                <w:sz w:val="21"/>
                <w:szCs w:val="21"/>
                <w:lang w:val="zh-CN" w:eastAsia="zh-CN" w:bidi="zh-CN"/>
              </w:rPr>
              <w:t>该加油站不涉及重点监管危险化工工艺。</w:t>
            </w:r>
          </w:p>
        </w:tc>
        <w:tc>
          <w:tcPr>
            <w:tcW w:w="8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leftChars="0" w:right="0" w:rightChars="0"/>
              <w:jc w:val="center"/>
              <w:rPr>
                <w:rFonts w:hint="eastAsia" w:ascii="Times New Roman" w:hAnsi="Times New Roman" w:cs="Times New Roman"/>
                <w:b w:val="0"/>
                <w:bCs/>
                <w:szCs w:val="21"/>
              </w:rPr>
            </w:pPr>
            <w:r>
              <w:rPr>
                <w:rFonts w:hint="eastAsia" w:ascii="Times New Roman" w:hAnsi="Times New Roman" w:cs="Times New Roman"/>
                <w:b w:val="0"/>
                <w:bCs/>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1313" w:hRule="atLeast"/>
          <w:jc w:val="center"/>
        </w:trPr>
        <w:tc>
          <w:tcPr>
            <w:tcW w:w="59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5</w:t>
            </w:r>
          </w:p>
        </w:tc>
        <w:tc>
          <w:tcPr>
            <w:tcW w:w="46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rPr>
              <w:t>构成一级、二级重大危险源的危险化学品罐区未实现紧急切断功能；涉及毒性气体、液化气体、剧毒液体的一级、二级重大危险源的危险化学品罐区未配备独立的安全仪表系统。</w:t>
            </w:r>
          </w:p>
        </w:tc>
        <w:tc>
          <w:tcPr>
            <w:tcW w:w="350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rPr>
              <w:t>未构成重大危险源，不适用。</w:t>
            </w:r>
          </w:p>
        </w:tc>
        <w:tc>
          <w:tcPr>
            <w:tcW w:w="8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55" w:hRule="atLeast"/>
          <w:jc w:val="center"/>
        </w:trPr>
        <w:tc>
          <w:tcPr>
            <w:tcW w:w="59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6</w:t>
            </w:r>
          </w:p>
        </w:tc>
        <w:tc>
          <w:tcPr>
            <w:tcW w:w="46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rPr>
              <w:t>全压力式液化烃储罐未按国家标准设置注水措施。</w:t>
            </w:r>
          </w:p>
        </w:tc>
        <w:tc>
          <w:tcPr>
            <w:tcW w:w="350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rPr>
              <w:t>不适用</w:t>
            </w:r>
          </w:p>
        </w:tc>
        <w:tc>
          <w:tcPr>
            <w:tcW w:w="8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55" w:hRule="atLeast"/>
          <w:jc w:val="center"/>
        </w:trPr>
        <w:tc>
          <w:tcPr>
            <w:tcW w:w="59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7</w:t>
            </w:r>
          </w:p>
        </w:tc>
        <w:tc>
          <w:tcPr>
            <w:tcW w:w="46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rPr>
              <w:t>液化烃、液氨、液氯等易燃易爆、有毒有害液化气体的充装未使用万向管道充装系统。</w:t>
            </w:r>
          </w:p>
        </w:tc>
        <w:tc>
          <w:tcPr>
            <w:tcW w:w="350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rPr>
              <w:t>不适用</w:t>
            </w:r>
          </w:p>
        </w:tc>
        <w:tc>
          <w:tcPr>
            <w:tcW w:w="8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952" w:hRule="atLeast"/>
          <w:jc w:val="center"/>
        </w:trPr>
        <w:tc>
          <w:tcPr>
            <w:tcW w:w="59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8</w:t>
            </w:r>
          </w:p>
        </w:tc>
        <w:tc>
          <w:tcPr>
            <w:tcW w:w="46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rPr>
              <w:t xml:space="preserve">光气、氯气等剧毒气体及硫化氢气体管道穿越除厂区（包括化工园区、工业园区）外的公共区域。 </w:t>
            </w:r>
          </w:p>
        </w:tc>
        <w:tc>
          <w:tcPr>
            <w:tcW w:w="350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rPr>
              <w:t>不适用</w:t>
            </w:r>
          </w:p>
        </w:tc>
        <w:tc>
          <w:tcPr>
            <w:tcW w:w="8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55" w:hRule="atLeast"/>
          <w:jc w:val="center"/>
        </w:trPr>
        <w:tc>
          <w:tcPr>
            <w:tcW w:w="59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9</w:t>
            </w:r>
          </w:p>
        </w:tc>
        <w:tc>
          <w:tcPr>
            <w:tcW w:w="46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rPr>
              <w:t>地区架空电力线路穿越生产区且不符合国家标准要求。</w:t>
            </w:r>
          </w:p>
        </w:tc>
        <w:tc>
          <w:tcPr>
            <w:tcW w:w="350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rPr>
              <w:t>架空电力线未穿越站区</w:t>
            </w:r>
            <w:r>
              <w:rPr>
                <w:rFonts w:hint="eastAsia" w:ascii="Times New Roman" w:hAnsi="Times New Roman" w:cs="Times New Roman"/>
                <w:lang w:eastAsia="zh-CN"/>
              </w:rPr>
              <w:t>。</w:t>
            </w:r>
          </w:p>
        </w:tc>
        <w:tc>
          <w:tcPr>
            <w:tcW w:w="8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55" w:hRule="atLeast"/>
          <w:jc w:val="center"/>
        </w:trPr>
        <w:tc>
          <w:tcPr>
            <w:tcW w:w="59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10</w:t>
            </w:r>
          </w:p>
        </w:tc>
        <w:tc>
          <w:tcPr>
            <w:tcW w:w="46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rPr>
              <w:t>在役化工装置未经正规设计且未进行安全设计诊断。</w:t>
            </w:r>
          </w:p>
        </w:tc>
        <w:tc>
          <w:tcPr>
            <w:tcW w:w="350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rPr>
              <w:t>经正规设计</w:t>
            </w:r>
            <w:r>
              <w:rPr>
                <w:rFonts w:hint="eastAsia" w:ascii="Times New Roman" w:hAnsi="Times New Roman" w:cs="Times New Roman"/>
                <w:lang w:eastAsia="zh-CN"/>
              </w:rPr>
              <w:t>，</w:t>
            </w:r>
            <w:r>
              <w:rPr>
                <w:rFonts w:hint="eastAsia" w:ascii="Times New Roman" w:hAnsi="Times New Roman" w:cs="Times New Roman"/>
              </w:rPr>
              <w:t>符合要求</w:t>
            </w:r>
            <w:r>
              <w:rPr>
                <w:rFonts w:hint="eastAsia" w:ascii="Times New Roman" w:hAnsi="Times New Roman" w:cs="Times New Roman"/>
                <w:lang w:eastAsia="zh-CN"/>
              </w:rPr>
              <w:t>。</w:t>
            </w:r>
          </w:p>
        </w:tc>
        <w:tc>
          <w:tcPr>
            <w:tcW w:w="8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55" w:hRule="atLeast"/>
          <w:jc w:val="center"/>
        </w:trPr>
        <w:tc>
          <w:tcPr>
            <w:tcW w:w="59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11</w:t>
            </w:r>
          </w:p>
        </w:tc>
        <w:tc>
          <w:tcPr>
            <w:tcW w:w="46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rPr>
              <w:t>使用淘汰落后安全技术工艺、设备目录列出的工艺、设备。</w:t>
            </w:r>
          </w:p>
        </w:tc>
        <w:tc>
          <w:tcPr>
            <w:tcW w:w="350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rPr>
              <w:t>无淘汰落后安全技术工艺、设备目录列出的工艺、设备。</w:t>
            </w:r>
          </w:p>
        </w:tc>
        <w:tc>
          <w:tcPr>
            <w:tcW w:w="8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952" w:hRule="atLeast"/>
          <w:jc w:val="center"/>
        </w:trPr>
        <w:tc>
          <w:tcPr>
            <w:tcW w:w="59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12</w:t>
            </w:r>
          </w:p>
        </w:tc>
        <w:tc>
          <w:tcPr>
            <w:tcW w:w="46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rPr>
              <w:t>涉及可燃和有毒有害气体泄漏的场所未按国家标准设置检测报警装置，爆炸危险场所未按国家标准安装使用防爆电气设备。</w:t>
            </w:r>
          </w:p>
        </w:tc>
        <w:tc>
          <w:tcPr>
            <w:tcW w:w="350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rPr>
              <w:t>爆炸危险场所使用的电气防爆。</w:t>
            </w:r>
          </w:p>
        </w:tc>
        <w:tc>
          <w:tcPr>
            <w:tcW w:w="8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75" w:hRule="atLeast"/>
          <w:jc w:val="center"/>
        </w:trPr>
        <w:tc>
          <w:tcPr>
            <w:tcW w:w="59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13</w:t>
            </w:r>
          </w:p>
        </w:tc>
        <w:tc>
          <w:tcPr>
            <w:tcW w:w="46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rPr>
              <w:t>控制室或机柜间面向具有火灾、爆炸危险性装置一侧不满足国家标准关于防火防爆的要求。</w:t>
            </w:r>
          </w:p>
        </w:tc>
        <w:tc>
          <w:tcPr>
            <w:tcW w:w="350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rPr>
              <w:t>符合要求</w:t>
            </w:r>
          </w:p>
        </w:tc>
        <w:tc>
          <w:tcPr>
            <w:tcW w:w="8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55" w:hRule="atLeast"/>
          <w:jc w:val="center"/>
        </w:trPr>
        <w:tc>
          <w:tcPr>
            <w:tcW w:w="59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14</w:t>
            </w:r>
          </w:p>
        </w:tc>
        <w:tc>
          <w:tcPr>
            <w:tcW w:w="46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rPr>
              <w:t>化工生产装置未按国家标准要求设置双重电源供电，自动化控制系统未设置不间断电源。</w:t>
            </w:r>
          </w:p>
        </w:tc>
        <w:tc>
          <w:tcPr>
            <w:tcW w:w="350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rPr>
              <w:t>不适用</w:t>
            </w:r>
          </w:p>
        </w:tc>
        <w:tc>
          <w:tcPr>
            <w:tcW w:w="8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19" w:hRule="atLeast"/>
          <w:jc w:val="center"/>
        </w:trPr>
        <w:tc>
          <w:tcPr>
            <w:tcW w:w="59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15</w:t>
            </w:r>
          </w:p>
        </w:tc>
        <w:tc>
          <w:tcPr>
            <w:tcW w:w="46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rPr>
              <w:t>安全阀、爆破片等安全附件未正常投用。</w:t>
            </w:r>
          </w:p>
        </w:tc>
        <w:tc>
          <w:tcPr>
            <w:tcW w:w="350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rPr>
              <w:t>不适用</w:t>
            </w:r>
          </w:p>
        </w:tc>
        <w:tc>
          <w:tcPr>
            <w:tcW w:w="8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935" w:hRule="atLeast"/>
          <w:jc w:val="center"/>
        </w:trPr>
        <w:tc>
          <w:tcPr>
            <w:tcW w:w="59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16</w:t>
            </w:r>
          </w:p>
        </w:tc>
        <w:tc>
          <w:tcPr>
            <w:tcW w:w="46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rPr>
              <w:t>未建立与岗位相匹配的全员安全生产责任制或者未制定实施生产安全事故隐患排查治理制度。</w:t>
            </w:r>
          </w:p>
        </w:tc>
        <w:tc>
          <w:tcPr>
            <w:tcW w:w="350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rPr>
              <w:t>符合要求</w:t>
            </w:r>
          </w:p>
        </w:tc>
        <w:tc>
          <w:tcPr>
            <w:tcW w:w="8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19" w:hRule="atLeast"/>
          <w:jc w:val="center"/>
        </w:trPr>
        <w:tc>
          <w:tcPr>
            <w:tcW w:w="59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17</w:t>
            </w:r>
          </w:p>
        </w:tc>
        <w:tc>
          <w:tcPr>
            <w:tcW w:w="46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rPr>
              <w:t>未制定操作规程和工艺控制指标。</w:t>
            </w:r>
          </w:p>
        </w:tc>
        <w:tc>
          <w:tcPr>
            <w:tcW w:w="350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rPr>
              <w:t>有制定操作规程</w:t>
            </w:r>
            <w:r>
              <w:rPr>
                <w:rFonts w:hint="eastAsia" w:ascii="Times New Roman" w:hAnsi="Times New Roman" w:cs="Times New Roman"/>
                <w:lang w:eastAsia="zh-CN"/>
              </w:rPr>
              <w:t>。</w:t>
            </w:r>
          </w:p>
        </w:tc>
        <w:tc>
          <w:tcPr>
            <w:tcW w:w="8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55" w:hRule="atLeast"/>
          <w:jc w:val="center"/>
        </w:trPr>
        <w:tc>
          <w:tcPr>
            <w:tcW w:w="59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18</w:t>
            </w:r>
          </w:p>
        </w:tc>
        <w:tc>
          <w:tcPr>
            <w:tcW w:w="46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rPr>
              <w:t>未按照国家标准制定动火、进入受限空间等特殊作业管理制度，或者制度未有效执行。</w:t>
            </w:r>
          </w:p>
        </w:tc>
        <w:tc>
          <w:tcPr>
            <w:tcW w:w="350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rPr>
              <w:t>有制定动火、进入受限空间等特殊作业管理制度并有效执行。</w:t>
            </w:r>
          </w:p>
        </w:tc>
        <w:tc>
          <w:tcPr>
            <w:tcW w:w="8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1741" w:hRule="atLeast"/>
          <w:jc w:val="center"/>
        </w:trPr>
        <w:tc>
          <w:tcPr>
            <w:tcW w:w="59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19</w:t>
            </w:r>
          </w:p>
        </w:tc>
        <w:tc>
          <w:tcPr>
            <w:tcW w:w="46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rPr>
              <w:t>新开发的危险化学品生产工艺未经小试、中试、工业化试验直接进行工业化生产；国内首次使用的化工工艺未经过省级人民政府有关部门组织的安全可靠性论证；新建装置未制定试生产方案投料开车；精细化工企业未按规范性文件要求开展反应安全风险评估。</w:t>
            </w:r>
          </w:p>
        </w:tc>
        <w:tc>
          <w:tcPr>
            <w:tcW w:w="350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rPr>
              <w:t>不适用</w:t>
            </w:r>
          </w:p>
        </w:tc>
        <w:tc>
          <w:tcPr>
            <w:tcW w:w="8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1077" w:hRule="atLeast"/>
          <w:jc w:val="center"/>
        </w:trPr>
        <w:tc>
          <w:tcPr>
            <w:tcW w:w="59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20</w:t>
            </w:r>
          </w:p>
        </w:tc>
        <w:tc>
          <w:tcPr>
            <w:tcW w:w="46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rPr>
              <w:t>未按国家标准分区分类储存危险化学品，超量、超品种储存危险化学品，相互禁配物质混放混存。</w:t>
            </w:r>
          </w:p>
        </w:tc>
        <w:tc>
          <w:tcPr>
            <w:tcW w:w="350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rPr>
              <w:t>符合要求</w:t>
            </w:r>
          </w:p>
        </w:tc>
        <w:tc>
          <w:tcPr>
            <w:tcW w:w="8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合格</w:t>
            </w:r>
          </w:p>
        </w:tc>
      </w:tr>
    </w:tbl>
    <w:p>
      <w:pPr>
        <w:spacing w:line="600" w:lineRule="exact"/>
        <w:ind w:firstLine="560" w:firstLineChars="200"/>
        <w:rPr>
          <w:rFonts w:hint="default" w:ascii="Times New Roman" w:hAnsi="Times New Roman" w:cs="Times New Roman"/>
          <w:sz w:val="28"/>
          <w:szCs w:val="28"/>
          <w:highlight w:val="none"/>
          <w:lang w:val="zh-CN" w:eastAsia="zh-CN"/>
        </w:rPr>
      </w:pPr>
      <w:r>
        <w:rPr>
          <w:rFonts w:hint="eastAsia" w:ascii="Times New Roman" w:hAnsi="Times New Roman" w:cs="Times New Roman"/>
          <w:sz w:val="28"/>
          <w:szCs w:val="28"/>
          <w:highlight w:val="none"/>
          <w:lang w:val="en-US" w:eastAsia="zh-CN"/>
        </w:rPr>
        <w:t>检查表结论汇总：检查表共</w:t>
      </w:r>
      <w:r>
        <w:rPr>
          <w:rFonts w:hint="default" w:ascii="Times New Roman" w:hAnsi="Times New Roman" w:cs="Times New Roman"/>
          <w:sz w:val="28"/>
          <w:szCs w:val="28"/>
          <w:highlight w:val="none"/>
          <w:lang w:val="en-US" w:eastAsia="zh-CN"/>
        </w:rPr>
        <w:t>20</w:t>
      </w:r>
      <w:r>
        <w:rPr>
          <w:rFonts w:hint="eastAsia" w:ascii="Times New Roman" w:hAnsi="Times New Roman" w:cs="Times New Roman"/>
          <w:sz w:val="28"/>
          <w:szCs w:val="28"/>
          <w:highlight w:val="none"/>
          <w:lang w:val="en-US" w:eastAsia="zh-CN"/>
        </w:rPr>
        <w:t>项，其中</w:t>
      </w:r>
      <w:r>
        <w:rPr>
          <w:rFonts w:hint="default" w:ascii="Times New Roman" w:hAnsi="Times New Roman" w:cs="Times New Roman"/>
          <w:sz w:val="28"/>
          <w:szCs w:val="28"/>
          <w:highlight w:val="none"/>
          <w:lang w:val="en-US" w:eastAsia="zh-CN"/>
        </w:rPr>
        <w:t>1</w:t>
      </w:r>
      <w:r>
        <w:rPr>
          <w:rFonts w:hint="eastAsia" w:ascii="Times New Roman" w:hAnsi="Times New Roman" w:cs="Times New Roman"/>
          <w:sz w:val="28"/>
          <w:szCs w:val="28"/>
          <w:highlight w:val="none"/>
          <w:lang w:val="en-US" w:eastAsia="zh-CN"/>
        </w:rPr>
        <w:t>2项实有项，实有项全部合格，因此该加油站不存在重大生产安全事故隐患。</w:t>
      </w:r>
    </w:p>
    <w:p>
      <w:pPr>
        <w:spacing w:beforeLines="100" w:afterLines="100"/>
        <w:jc w:val="center"/>
        <w:outlineLvl w:val="1"/>
        <w:rPr>
          <w:rFonts w:hint="default" w:ascii="Times New Roman" w:hAnsi="Times New Roman" w:cs="Times New Roman"/>
          <w:b/>
          <w:spacing w:val="6"/>
          <w:sz w:val="32"/>
          <w:szCs w:val="32"/>
        </w:rPr>
      </w:pPr>
      <w:bookmarkStart w:id="1500" w:name="_Toc9041"/>
      <w:bookmarkStart w:id="1501" w:name="_Toc19197"/>
      <w:bookmarkStart w:id="1502" w:name="_Toc7009_WPSOffice_Level2"/>
      <w:bookmarkStart w:id="1503" w:name="_Toc22629"/>
      <w:bookmarkStart w:id="1504" w:name="_Toc10341"/>
      <w:bookmarkStart w:id="1505" w:name="_Toc12978"/>
      <w:bookmarkStart w:id="1506" w:name="_Toc1543"/>
      <w:bookmarkStart w:id="1507" w:name="_Toc7895"/>
      <w:bookmarkStart w:id="1508" w:name="_Toc529176541"/>
      <w:bookmarkStart w:id="1509" w:name="_Toc21352"/>
      <w:bookmarkStart w:id="1510" w:name="_Toc19052"/>
      <w:bookmarkStart w:id="1511" w:name="_Toc27446"/>
      <w:bookmarkStart w:id="1512" w:name="_Toc29094_WPSOffice_Level2"/>
      <w:bookmarkStart w:id="1513" w:name="_Toc24020"/>
      <w:bookmarkStart w:id="1514" w:name="_Toc21941"/>
      <w:bookmarkStart w:id="1515" w:name="_Toc4266"/>
      <w:bookmarkStart w:id="1516" w:name="_Toc13829"/>
      <w:bookmarkStart w:id="1517" w:name="_Toc16184"/>
      <w:bookmarkStart w:id="1518" w:name="_Toc13469"/>
      <w:bookmarkStart w:id="1519" w:name="_Toc16687_WPSOffice_Level2"/>
      <w:bookmarkStart w:id="1520" w:name="_Toc23606"/>
      <w:bookmarkStart w:id="1521" w:name="_Toc12932"/>
      <w:bookmarkStart w:id="1522" w:name="_Toc17870"/>
      <w:bookmarkStart w:id="1523" w:name="_Toc25851"/>
      <w:bookmarkStart w:id="1524" w:name="_Toc14503"/>
      <w:bookmarkStart w:id="1525" w:name="_Toc10263"/>
      <w:r>
        <w:rPr>
          <w:rFonts w:hint="default" w:ascii="Times New Roman" w:hAnsi="Times New Roman" w:cs="Times New Roman"/>
          <w:b/>
          <w:spacing w:val="6"/>
          <w:sz w:val="32"/>
          <w:szCs w:val="32"/>
        </w:rPr>
        <w:t>4.</w:t>
      </w:r>
      <w:r>
        <w:rPr>
          <w:rFonts w:hint="default" w:ascii="Times New Roman" w:hAnsi="Times New Roman" w:cs="Times New Roman"/>
          <w:b/>
          <w:spacing w:val="6"/>
          <w:sz w:val="32"/>
          <w:szCs w:val="32"/>
          <w:lang w:val="en-US" w:eastAsia="zh-CN"/>
        </w:rPr>
        <w:t>2</w:t>
      </w:r>
      <w:r>
        <w:rPr>
          <w:rFonts w:hint="default" w:ascii="Times New Roman" w:hAnsi="Times New Roman" w:cs="Times New Roman"/>
          <w:b/>
          <w:spacing w:val="6"/>
          <w:sz w:val="32"/>
          <w:szCs w:val="32"/>
          <w:lang w:val="en-US"/>
        </w:rPr>
        <w:t xml:space="preserve"> </w:t>
      </w:r>
      <w:bookmarkEnd w:id="1500"/>
      <w:bookmarkEnd w:id="1501"/>
      <w:bookmarkEnd w:id="1502"/>
      <w:bookmarkEnd w:id="1503"/>
      <w:bookmarkEnd w:id="1504"/>
      <w:bookmarkEnd w:id="1505"/>
      <w:bookmarkEnd w:id="1506"/>
      <w:bookmarkEnd w:id="1507"/>
      <w:bookmarkEnd w:id="1508"/>
      <w:bookmarkEnd w:id="1509"/>
      <w:bookmarkEnd w:id="1510"/>
      <w:bookmarkEnd w:id="1511"/>
      <w:bookmarkEnd w:id="1512"/>
      <w:bookmarkEnd w:id="1513"/>
      <w:bookmarkEnd w:id="1514"/>
      <w:bookmarkEnd w:id="1515"/>
      <w:bookmarkEnd w:id="1516"/>
      <w:bookmarkEnd w:id="1517"/>
      <w:bookmarkEnd w:id="1518"/>
      <w:bookmarkEnd w:id="1519"/>
      <w:bookmarkEnd w:id="1520"/>
      <w:bookmarkEnd w:id="1521"/>
      <w:bookmarkEnd w:id="1522"/>
      <w:bookmarkEnd w:id="1523"/>
      <w:r>
        <w:rPr>
          <w:rFonts w:hint="default" w:ascii="Times New Roman" w:hAnsi="Times New Roman" w:cs="Times New Roman"/>
          <w:b/>
          <w:spacing w:val="6"/>
          <w:sz w:val="32"/>
          <w:szCs w:val="32"/>
        </w:rPr>
        <w:t>道化学公司火灾，爆炸危险指数法定量分析过程</w:t>
      </w:r>
      <w:bookmarkEnd w:id="1524"/>
      <w:bookmarkEnd w:id="1525"/>
    </w:p>
    <w:p>
      <w:pPr>
        <w:pStyle w:val="11"/>
        <w:spacing w:line="500" w:lineRule="exact"/>
        <w:ind w:firstLine="584" w:firstLineChars="200"/>
        <w:jc w:val="both"/>
        <w:rPr>
          <w:rFonts w:hint="default" w:ascii="Times New Roman" w:hAnsi="Times New Roman" w:cs="Times New Roman"/>
          <w:spacing w:val="6"/>
        </w:rPr>
      </w:pPr>
      <w:r>
        <w:rPr>
          <w:rFonts w:hint="default" w:ascii="Times New Roman" w:hAnsi="Times New Roman" w:cs="Times New Roman"/>
          <w:spacing w:val="6"/>
        </w:rPr>
        <w:t>该油站最主要的危险因素是火灾、爆炸危险，依据加油站的工艺设备设施分析，在加油站经营、储存过程中，汽油埋地储罐存放危险物质的量较多，若发生泄漏并遭遇引火源时就将引起大面积的火灾爆炸事故，因此,本次评价采用道化学火灾、爆炸危险指数法（第七版）对这个危险区域进行分析评价。</w:t>
      </w:r>
    </w:p>
    <w:p>
      <w:pPr>
        <w:pStyle w:val="5"/>
        <w:spacing w:beforeLines="100" w:afterLines="100" w:line="240" w:lineRule="auto"/>
        <w:rPr>
          <w:rFonts w:hint="default" w:ascii="Times New Roman" w:hAnsi="Times New Roman" w:cs="Times New Roman"/>
          <w:sz w:val="28"/>
          <w:szCs w:val="28"/>
          <w:lang w:val="en-US"/>
        </w:rPr>
      </w:pPr>
      <w:bookmarkStart w:id="1526" w:name="_Toc1396_WPSOffice_Level3"/>
      <w:bookmarkStart w:id="1527" w:name="_Toc13712_WPSOffice_Level3"/>
      <w:r>
        <w:rPr>
          <w:rFonts w:hint="default" w:ascii="Times New Roman" w:hAnsi="Times New Roman" w:cs="Times New Roman"/>
          <w:sz w:val="28"/>
          <w:szCs w:val="28"/>
        </w:rPr>
        <w:t>4.</w:t>
      </w:r>
      <w:r>
        <w:rPr>
          <w:rFonts w:hint="default" w:ascii="Times New Roman" w:hAnsi="Times New Roman" w:cs="Times New Roman"/>
          <w:sz w:val="28"/>
          <w:szCs w:val="28"/>
          <w:lang w:val="en-US" w:eastAsia="zh-CN"/>
        </w:rPr>
        <w:t>2</w:t>
      </w:r>
      <w:r>
        <w:rPr>
          <w:rFonts w:hint="default" w:ascii="Times New Roman" w:hAnsi="Times New Roman" w:cs="Times New Roman"/>
          <w:sz w:val="28"/>
          <w:szCs w:val="28"/>
        </w:rPr>
        <w:t>.1</w:t>
      </w:r>
      <w:r>
        <w:rPr>
          <w:rFonts w:hint="default" w:ascii="Times New Roman" w:hAnsi="Times New Roman" w:cs="Times New Roman"/>
          <w:sz w:val="28"/>
          <w:szCs w:val="28"/>
          <w:lang w:val="en-US"/>
        </w:rPr>
        <w:t xml:space="preserve"> </w:t>
      </w:r>
      <w:bookmarkEnd w:id="1526"/>
      <w:bookmarkEnd w:id="1527"/>
      <w:r>
        <w:rPr>
          <w:rFonts w:hint="default" w:ascii="Times New Roman" w:hAnsi="Times New Roman" w:cs="Times New Roman"/>
          <w:sz w:val="28"/>
          <w:szCs w:val="28"/>
          <w:lang w:val="en-US"/>
        </w:rPr>
        <w:t>评价单元确定和物质系数</w:t>
      </w:r>
    </w:p>
    <w:p>
      <w:pPr>
        <w:pStyle w:val="12"/>
        <w:spacing w:line="500" w:lineRule="exact"/>
        <w:ind w:firstLine="520"/>
        <w:rPr>
          <w:rFonts w:hint="default" w:ascii="Times New Roman" w:hAnsi="Times New Roman" w:cs="Times New Roman"/>
          <w:kern w:val="0"/>
          <w:szCs w:val="28"/>
        </w:rPr>
      </w:pPr>
      <w:bookmarkStart w:id="1528" w:name="_Toc164532850"/>
      <w:bookmarkStart w:id="1529" w:name="_Toc13835_WPSOffice_Level3"/>
      <w:r>
        <w:rPr>
          <w:rFonts w:hint="default" w:ascii="Times New Roman" w:hAnsi="Times New Roman" w:cs="Times New Roman"/>
          <w:spacing w:val="-10"/>
          <w:szCs w:val="28"/>
        </w:rPr>
        <w:t>为了计算火灾、爆炸危险指数，首先必须确定评价单元，道化法（第七版）定义：评价单元是工艺装置的任一主要单元，依据加油站的工艺设备设施分析，汽油储罐作为危险源 ，是评价区域内主要的火灾、爆炸危险场所。因此，埋地油罐区选取汽油储罐为代表性评价单元，选取物质为汽油，汽油的物质系数MF=16，汽油日常允许充装系数0.85，则日常最大储量为</w:t>
      </w:r>
      <w:r>
        <w:rPr>
          <w:rFonts w:hint="eastAsia" w:ascii="Times New Roman" w:hAnsi="Times New Roman" w:cs="Times New Roman"/>
          <w:spacing w:val="-10"/>
          <w:szCs w:val="28"/>
          <w:lang w:val="en-US" w:eastAsia="zh-CN"/>
        </w:rPr>
        <w:t>90</w:t>
      </w:r>
      <w:r>
        <w:rPr>
          <w:rFonts w:hint="default" w:ascii="Times New Roman" w:hAnsi="Times New Roman" w:cs="Times New Roman"/>
          <w:spacing w:val="-10"/>
          <w:szCs w:val="28"/>
        </w:rPr>
        <w:t>×0.85×0.73</w:t>
      </w:r>
      <w:r>
        <w:rPr>
          <w:rFonts w:hint="eastAsia" w:ascii="Times New Roman" w:hAnsi="Times New Roman" w:cs="Times New Roman"/>
          <w:spacing w:val="-10"/>
          <w:szCs w:val="28"/>
          <w:lang w:val="en-US" w:eastAsia="zh-CN"/>
        </w:rPr>
        <w:t>=55.845</w:t>
      </w:r>
      <w:r>
        <w:rPr>
          <w:rFonts w:hint="default" w:ascii="Times New Roman" w:hAnsi="Times New Roman" w:cs="Times New Roman"/>
          <w:spacing w:val="-10"/>
          <w:szCs w:val="28"/>
        </w:rPr>
        <w:t>t。</w:t>
      </w:r>
      <w:r>
        <w:rPr>
          <w:rFonts w:hint="default" w:ascii="Times New Roman" w:hAnsi="Times New Roman" w:cs="Times New Roman"/>
          <w:kern w:val="0"/>
          <w:szCs w:val="28"/>
        </w:rPr>
        <w:t>选取代表物质的特性和参数见下表：</w:t>
      </w:r>
    </w:p>
    <w:p>
      <w:pPr>
        <w:pStyle w:val="12"/>
        <w:snapToGrid w:val="0"/>
        <w:spacing w:line="500" w:lineRule="exact"/>
        <w:ind w:firstLine="0" w:firstLineChars="0"/>
        <w:jc w:val="center"/>
        <w:rPr>
          <w:rFonts w:hint="default" w:ascii="Times New Roman" w:hAnsi="Times New Roman" w:cs="Times New Roman"/>
          <w:b/>
          <w:kern w:val="0"/>
          <w:sz w:val="24"/>
        </w:rPr>
      </w:pPr>
      <w:r>
        <w:rPr>
          <w:rFonts w:hint="default" w:ascii="Times New Roman" w:hAnsi="Times New Roman" w:cs="Times New Roman"/>
          <w:b/>
          <w:kern w:val="0"/>
          <w:sz w:val="24"/>
        </w:rPr>
        <w:t>附表4.2.1 汽油参数表</w:t>
      </w:r>
    </w:p>
    <w:tbl>
      <w:tblPr>
        <w:tblStyle w:val="29"/>
        <w:tblW w:w="91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0"/>
        <w:gridCol w:w="1192"/>
        <w:gridCol w:w="1686"/>
        <w:gridCol w:w="1442"/>
        <w:gridCol w:w="1440"/>
        <w:gridCol w:w="1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800" w:type="dxa"/>
            <w:vMerge w:val="restart"/>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szCs w:val="21"/>
              </w:rPr>
            </w:pPr>
            <w:r>
              <w:rPr>
                <w:rFonts w:hint="default" w:ascii="Times New Roman" w:hAnsi="Times New Roman" w:cs="Times New Roman"/>
                <w:szCs w:val="21"/>
              </w:rPr>
              <w:t>化合物</w:t>
            </w:r>
          </w:p>
        </w:tc>
        <w:tc>
          <w:tcPr>
            <w:tcW w:w="1192" w:type="dxa"/>
            <w:vMerge w:val="restart"/>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szCs w:val="21"/>
              </w:rPr>
            </w:pPr>
            <w:r>
              <w:rPr>
                <w:rFonts w:hint="default" w:ascii="Times New Roman" w:hAnsi="Times New Roman" w:cs="Times New Roman"/>
                <w:szCs w:val="21"/>
              </w:rPr>
              <w:t>物质系数</w:t>
            </w:r>
          </w:p>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szCs w:val="21"/>
              </w:rPr>
            </w:pPr>
            <w:r>
              <w:rPr>
                <w:rFonts w:hint="default" w:ascii="Times New Roman" w:hAnsi="Times New Roman" w:cs="Times New Roman"/>
                <w:szCs w:val="21"/>
              </w:rPr>
              <w:t>MF</w:t>
            </w:r>
          </w:p>
        </w:tc>
        <w:tc>
          <w:tcPr>
            <w:tcW w:w="1686" w:type="dxa"/>
            <w:vMerge w:val="restart"/>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szCs w:val="21"/>
              </w:rPr>
            </w:pPr>
            <w:r>
              <w:rPr>
                <w:rFonts w:hint="default" w:ascii="Times New Roman" w:hAnsi="Times New Roman" w:cs="Times New Roman"/>
                <w:spacing w:val="10"/>
                <w:szCs w:val="21"/>
              </w:rPr>
              <w:t>燃烧热Hc/(10</w:t>
            </w:r>
            <w:r>
              <w:rPr>
                <w:rFonts w:hint="default" w:ascii="Times New Roman" w:hAnsi="Times New Roman" w:cs="Times New Roman"/>
                <w:spacing w:val="10"/>
                <w:szCs w:val="21"/>
                <w:vertAlign w:val="superscript"/>
              </w:rPr>
              <w:t>3</w:t>
            </w:r>
            <w:r>
              <w:rPr>
                <w:rFonts w:hint="default" w:ascii="Times New Roman" w:hAnsi="Times New Roman" w:cs="Times New Roman"/>
                <w:spacing w:val="10"/>
                <w:szCs w:val="21"/>
              </w:rPr>
              <w:t>Btu/lb)</w:t>
            </w:r>
          </w:p>
        </w:tc>
        <w:tc>
          <w:tcPr>
            <w:tcW w:w="4502" w:type="dxa"/>
            <w:gridSpan w:val="3"/>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szCs w:val="21"/>
              </w:rPr>
            </w:pPr>
            <w:r>
              <w:rPr>
                <w:rFonts w:hint="default" w:ascii="Times New Roman" w:hAnsi="Times New Roman" w:cs="Times New Roman"/>
                <w:szCs w:val="21"/>
              </w:rPr>
              <w:t>NFPA分级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800" w:type="dxa"/>
            <w:vMerge w:val="continue"/>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Cs w:val="21"/>
              </w:rPr>
            </w:pPr>
          </w:p>
        </w:tc>
        <w:tc>
          <w:tcPr>
            <w:tcW w:w="1192" w:type="dxa"/>
            <w:vMerge w:val="continue"/>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Cs w:val="21"/>
              </w:rPr>
            </w:pPr>
          </w:p>
        </w:tc>
        <w:tc>
          <w:tcPr>
            <w:tcW w:w="1686" w:type="dxa"/>
            <w:vMerge w:val="continue"/>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Cs w:val="21"/>
              </w:rPr>
            </w:pPr>
          </w:p>
        </w:tc>
        <w:tc>
          <w:tcPr>
            <w:tcW w:w="1442" w:type="dxa"/>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szCs w:val="21"/>
              </w:rPr>
            </w:pPr>
            <w:r>
              <w:rPr>
                <w:rFonts w:hint="default" w:ascii="Times New Roman" w:hAnsi="Times New Roman" w:cs="Times New Roman"/>
                <w:szCs w:val="21"/>
              </w:rPr>
              <w:t>健康危害NH</w:t>
            </w:r>
          </w:p>
        </w:tc>
        <w:tc>
          <w:tcPr>
            <w:tcW w:w="1440" w:type="dxa"/>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szCs w:val="21"/>
              </w:rPr>
            </w:pPr>
            <w:r>
              <w:rPr>
                <w:rFonts w:hint="default" w:ascii="Times New Roman" w:hAnsi="Times New Roman" w:cs="Times New Roman"/>
                <w:szCs w:val="21"/>
              </w:rPr>
              <w:t>易燃性NF</w:t>
            </w:r>
          </w:p>
        </w:tc>
        <w:tc>
          <w:tcPr>
            <w:tcW w:w="1620" w:type="dxa"/>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szCs w:val="21"/>
              </w:rPr>
            </w:pPr>
            <w:r>
              <w:rPr>
                <w:rFonts w:hint="default" w:ascii="Times New Roman" w:hAnsi="Times New Roman" w:cs="Times New Roman"/>
                <w:szCs w:val="21"/>
              </w:rPr>
              <w:t>化学活性NR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800" w:type="dxa"/>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szCs w:val="21"/>
              </w:rPr>
            </w:pPr>
            <w:r>
              <w:rPr>
                <w:rFonts w:hint="default" w:ascii="Times New Roman" w:hAnsi="Times New Roman" w:cs="Times New Roman"/>
                <w:szCs w:val="21"/>
              </w:rPr>
              <w:t>汽油</w:t>
            </w:r>
          </w:p>
        </w:tc>
        <w:tc>
          <w:tcPr>
            <w:tcW w:w="1192" w:type="dxa"/>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szCs w:val="21"/>
              </w:rPr>
            </w:pPr>
            <w:r>
              <w:rPr>
                <w:rFonts w:hint="default" w:ascii="Times New Roman" w:hAnsi="Times New Roman" w:cs="Times New Roman"/>
                <w:szCs w:val="21"/>
              </w:rPr>
              <w:t>16</w:t>
            </w:r>
          </w:p>
        </w:tc>
        <w:tc>
          <w:tcPr>
            <w:tcW w:w="1686" w:type="dxa"/>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szCs w:val="21"/>
              </w:rPr>
            </w:pPr>
            <w:r>
              <w:rPr>
                <w:rFonts w:hint="default" w:ascii="Times New Roman" w:hAnsi="Times New Roman" w:cs="Times New Roman"/>
                <w:szCs w:val="21"/>
              </w:rPr>
              <w:t>18.8</w:t>
            </w:r>
          </w:p>
        </w:tc>
        <w:tc>
          <w:tcPr>
            <w:tcW w:w="1442" w:type="dxa"/>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szCs w:val="21"/>
              </w:rPr>
            </w:pPr>
            <w:r>
              <w:rPr>
                <w:rFonts w:hint="default" w:ascii="Times New Roman" w:hAnsi="Times New Roman" w:cs="Times New Roman"/>
                <w:szCs w:val="21"/>
              </w:rPr>
              <w:t>1</w:t>
            </w:r>
          </w:p>
        </w:tc>
        <w:tc>
          <w:tcPr>
            <w:tcW w:w="1440" w:type="dxa"/>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szCs w:val="21"/>
              </w:rPr>
            </w:pPr>
            <w:r>
              <w:rPr>
                <w:rFonts w:hint="default" w:ascii="Times New Roman" w:hAnsi="Times New Roman" w:cs="Times New Roman"/>
                <w:szCs w:val="21"/>
              </w:rPr>
              <w:t>3</w:t>
            </w:r>
          </w:p>
        </w:tc>
        <w:tc>
          <w:tcPr>
            <w:tcW w:w="1620" w:type="dxa"/>
            <w:vAlign w:val="center"/>
          </w:tcPr>
          <w:p>
            <w:pPr>
              <w:pStyle w:val="24"/>
              <w:keepNext w:val="0"/>
              <w:keepLines w:val="0"/>
              <w:suppressLineNumbers w:val="0"/>
              <w:spacing w:before="0" w:beforeAutospacing="0" w:after="0" w:afterAutospacing="0" w:line="300" w:lineRule="exact"/>
              <w:ind w:left="0" w:right="0"/>
              <w:jc w:val="center"/>
              <w:rPr>
                <w:rFonts w:hint="default" w:ascii="Times New Roman" w:hAnsi="Times New Roman" w:cs="Times New Roman"/>
                <w:szCs w:val="21"/>
              </w:rPr>
            </w:pPr>
            <w:r>
              <w:rPr>
                <w:rFonts w:hint="default" w:ascii="Times New Roman" w:hAnsi="Times New Roman" w:cs="Times New Roman"/>
                <w:szCs w:val="21"/>
              </w:rPr>
              <w:t>0</w:t>
            </w:r>
          </w:p>
        </w:tc>
      </w:tr>
      <w:bookmarkEnd w:id="1528"/>
    </w:tbl>
    <w:p>
      <w:pPr>
        <w:pStyle w:val="5"/>
        <w:spacing w:beforeLines="100" w:afterLines="100" w:line="240" w:lineRule="auto"/>
        <w:rPr>
          <w:rFonts w:hint="default" w:ascii="Times New Roman" w:hAnsi="Times New Roman" w:cs="Times New Roman"/>
          <w:sz w:val="28"/>
          <w:szCs w:val="28"/>
        </w:rPr>
      </w:pPr>
      <w:r>
        <w:rPr>
          <w:rFonts w:hint="default" w:ascii="Times New Roman" w:hAnsi="Times New Roman" w:cs="Times New Roman"/>
          <w:sz w:val="28"/>
          <w:szCs w:val="28"/>
        </w:rPr>
        <w:t>4.2.2</w:t>
      </w:r>
      <w:r>
        <w:rPr>
          <w:rFonts w:hint="eastAsia" w:ascii="Times New Roman" w:hAnsi="Times New Roman" w:cs="Times New Roman"/>
          <w:sz w:val="28"/>
          <w:szCs w:val="28"/>
          <w:lang w:val="en-US" w:eastAsia="zh-CN"/>
        </w:rPr>
        <w:t xml:space="preserve"> </w:t>
      </w:r>
      <w:r>
        <w:rPr>
          <w:rFonts w:hint="default" w:ascii="Times New Roman" w:hAnsi="Times New Roman" w:cs="Times New Roman"/>
          <w:sz w:val="28"/>
          <w:szCs w:val="28"/>
        </w:rPr>
        <w:t>确定工艺危险系数F1、F2、F3和火灾爆炸指数F&amp;EI</w:t>
      </w:r>
    </w:p>
    <w:p>
      <w:pPr>
        <w:spacing w:line="500" w:lineRule="exact"/>
        <w:ind w:firstLine="560" w:firstLineChars="200"/>
        <w:rPr>
          <w:rFonts w:hint="default" w:ascii="Times New Roman" w:hAnsi="Times New Roman" w:cs="Times New Roman"/>
          <w:sz w:val="28"/>
        </w:rPr>
      </w:pPr>
      <w:r>
        <w:rPr>
          <w:rFonts w:hint="default" w:ascii="Times New Roman" w:hAnsi="Times New Roman" w:cs="Times New Roman"/>
          <w:sz w:val="28"/>
        </w:rPr>
        <w:t>一般工艺危险系数F</w:t>
      </w:r>
      <w:r>
        <w:rPr>
          <w:rFonts w:hint="default" w:ascii="Times New Roman" w:hAnsi="Times New Roman" w:cs="Times New Roman"/>
          <w:sz w:val="28"/>
          <w:vertAlign w:val="subscript"/>
        </w:rPr>
        <w:t>1</w:t>
      </w:r>
      <w:r>
        <w:rPr>
          <w:rFonts w:hint="default" w:ascii="Times New Roman" w:hAnsi="Times New Roman" w:cs="Times New Roman"/>
          <w:sz w:val="28"/>
        </w:rPr>
        <w:t>是确定事故损害大小的主要因素，F</w:t>
      </w:r>
      <w:r>
        <w:rPr>
          <w:rFonts w:hint="default" w:ascii="Times New Roman" w:hAnsi="Times New Roman" w:cs="Times New Roman"/>
          <w:sz w:val="28"/>
          <w:vertAlign w:val="subscript"/>
        </w:rPr>
        <w:t>1</w:t>
      </w:r>
      <w:r>
        <w:rPr>
          <w:rFonts w:hint="default" w:ascii="Times New Roman" w:hAnsi="Times New Roman" w:cs="Times New Roman"/>
          <w:sz w:val="28"/>
        </w:rPr>
        <w:t>等于基本系数与所有选取系数之和。</w:t>
      </w:r>
    </w:p>
    <w:p>
      <w:pPr>
        <w:spacing w:line="500" w:lineRule="exact"/>
        <w:ind w:firstLine="560" w:firstLineChars="200"/>
        <w:rPr>
          <w:rFonts w:hint="default" w:ascii="Times New Roman" w:hAnsi="Times New Roman" w:cs="Times New Roman"/>
          <w:sz w:val="28"/>
        </w:rPr>
      </w:pPr>
      <w:r>
        <w:rPr>
          <w:rFonts w:hint="default" w:ascii="Times New Roman" w:hAnsi="Times New Roman" w:cs="Times New Roman"/>
          <w:sz w:val="28"/>
        </w:rPr>
        <w:t>特殊工艺危险系数F</w:t>
      </w:r>
      <w:r>
        <w:rPr>
          <w:rFonts w:hint="default" w:ascii="Times New Roman" w:hAnsi="Times New Roman" w:cs="Times New Roman"/>
          <w:sz w:val="28"/>
          <w:vertAlign w:val="subscript"/>
        </w:rPr>
        <w:t>2</w:t>
      </w:r>
      <w:r>
        <w:rPr>
          <w:rFonts w:hint="default" w:ascii="Times New Roman" w:hAnsi="Times New Roman" w:cs="Times New Roman"/>
          <w:sz w:val="28"/>
        </w:rPr>
        <w:t>是影响事故发生概率的主要因素，F</w:t>
      </w:r>
      <w:r>
        <w:rPr>
          <w:rFonts w:hint="default" w:ascii="Times New Roman" w:hAnsi="Times New Roman" w:cs="Times New Roman"/>
          <w:sz w:val="28"/>
          <w:vertAlign w:val="subscript"/>
        </w:rPr>
        <w:t>2</w:t>
      </w:r>
      <w:r>
        <w:rPr>
          <w:rFonts w:hint="default" w:ascii="Times New Roman" w:hAnsi="Times New Roman" w:cs="Times New Roman"/>
          <w:sz w:val="28"/>
        </w:rPr>
        <w:t>等于基本系数与所有选取系数之和。</w:t>
      </w:r>
    </w:p>
    <w:p>
      <w:pPr>
        <w:pStyle w:val="12"/>
        <w:spacing w:line="500" w:lineRule="exact"/>
        <w:rPr>
          <w:rFonts w:hint="default" w:ascii="Times New Roman" w:hAnsi="Times New Roman" w:cs="Times New Roman"/>
          <w:szCs w:val="28"/>
        </w:rPr>
      </w:pPr>
      <w:r>
        <w:rPr>
          <w:rFonts w:hint="default" w:ascii="Times New Roman" w:hAnsi="Times New Roman" w:cs="Times New Roman"/>
          <w:szCs w:val="28"/>
        </w:rPr>
        <w:t>单元工艺危险系数F</w:t>
      </w:r>
      <w:r>
        <w:rPr>
          <w:rFonts w:hint="default" w:ascii="Times New Roman" w:hAnsi="Times New Roman" w:cs="Times New Roman"/>
          <w:szCs w:val="28"/>
          <w:vertAlign w:val="subscript"/>
        </w:rPr>
        <w:t>3</w:t>
      </w:r>
      <w:r>
        <w:rPr>
          <w:rFonts w:hint="default" w:ascii="Times New Roman" w:hAnsi="Times New Roman" w:cs="Times New Roman"/>
          <w:szCs w:val="28"/>
        </w:rPr>
        <w:t>是一般工艺危险系数F</w:t>
      </w:r>
      <w:r>
        <w:rPr>
          <w:rFonts w:hint="default" w:ascii="Times New Roman" w:hAnsi="Times New Roman" w:cs="Times New Roman"/>
          <w:szCs w:val="28"/>
          <w:vertAlign w:val="subscript"/>
        </w:rPr>
        <w:t>1</w:t>
      </w:r>
      <w:r>
        <w:rPr>
          <w:rFonts w:hint="default" w:ascii="Times New Roman" w:hAnsi="Times New Roman" w:cs="Times New Roman"/>
          <w:szCs w:val="28"/>
        </w:rPr>
        <w:t>与特殊工艺危险系数F</w:t>
      </w:r>
      <w:r>
        <w:rPr>
          <w:rFonts w:hint="default" w:ascii="Times New Roman" w:hAnsi="Times New Roman" w:cs="Times New Roman"/>
          <w:szCs w:val="28"/>
          <w:vertAlign w:val="subscript"/>
        </w:rPr>
        <w:t>2</w:t>
      </w:r>
      <w:r>
        <w:rPr>
          <w:rFonts w:hint="default" w:ascii="Times New Roman" w:hAnsi="Times New Roman" w:cs="Times New Roman"/>
          <w:szCs w:val="28"/>
        </w:rPr>
        <w:t>的乘积，F</w:t>
      </w:r>
      <w:r>
        <w:rPr>
          <w:rFonts w:hint="default" w:ascii="Times New Roman" w:hAnsi="Times New Roman" w:cs="Times New Roman"/>
          <w:szCs w:val="28"/>
          <w:vertAlign w:val="subscript"/>
        </w:rPr>
        <w:t>3</w:t>
      </w:r>
      <w:r>
        <w:rPr>
          <w:rFonts w:hint="default" w:ascii="Times New Roman" w:hAnsi="Times New Roman" w:cs="Times New Roman"/>
          <w:szCs w:val="28"/>
        </w:rPr>
        <w:t>=F</w:t>
      </w:r>
      <w:r>
        <w:rPr>
          <w:rFonts w:hint="default" w:ascii="Times New Roman" w:hAnsi="Times New Roman" w:cs="Times New Roman"/>
          <w:szCs w:val="28"/>
          <w:vertAlign w:val="subscript"/>
        </w:rPr>
        <w:t>1</w:t>
      </w:r>
      <w:r>
        <w:rPr>
          <w:rFonts w:hint="default" w:ascii="Times New Roman" w:hAnsi="Times New Roman" w:cs="Times New Roman"/>
          <w:szCs w:val="28"/>
        </w:rPr>
        <w:t>×F</w:t>
      </w:r>
      <w:r>
        <w:rPr>
          <w:rFonts w:hint="default" w:ascii="Times New Roman" w:hAnsi="Times New Roman" w:cs="Times New Roman"/>
          <w:szCs w:val="28"/>
          <w:vertAlign w:val="subscript"/>
        </w:rPr>
        <w:t>2</w:t>
      </w:r>
      <w:r>
        <w:rPr>
          <w:rFonts w:hint="default" w:ascii="Times New Roman" w:hAnsi="Times New Roman" w:cs="Times New Roman"/>
          <w:szCs w:val="28"/>
        </w:rPr>
        <w:t>。</w:t>
      </w:r>
    </w:p>
    <w:p>
      <w:pPr>
        <w:pStyle w:val="12"/>
        <w:spacing w:line="500" w:lineRule="exact"/>
        <w:rPr>
          <w:rFonts w:hint="default" w:ascii="Times New Roman" w:hAnsi="Times New Roman" w:cs="Times New Roman"/>
          <w:szCs w:val="28"/>
        </w:rPr>
      </w:pPr>
      <w:r>
        <w:rPr>
          <w:rFonts w:hint="default" w:ascii="Times New Roman" w:hAnsi="Times New Roman" w:cs="Times New Roman"/>
          <w:szCs w:val="28"/>
        </w:rPr>
        <w:t>火灾、爆炸指数</w:t>
      </w:r>
      <w:r>
        <w:rPr>
          <w:rFonts w:hint="default" w:ascii="Times New Roman" w:hAnsi="Times New Roman" w:eastAsia="黑体" w:cs="Times New Roman"/>
        </w:rPr>
        <w:t>F&amp;EI</w:t>
      </w:r>
      <w:r>
        <w:rPr>
          <w:rFonts w:hint="default" w:ascii="Times New Roman" w:hAnsi="Times New Roman" w:cs="Times New Roman"/>
          <w:szCs w:val="28"/>
        </w:rPr>
        <w:t>是用来估计生产过程中的事故可能造成的危险性大小。火灾、爆炸指数等于单元工艺危险系数F</w:t>
      </w:r>
      <w:r>
        <w:rPr>
          <w:rFonts w:hint="default" w:ascii="Times New Roman" w:hAnsi="Times New Roman" w:cs="Times New Roman"/>
          <w:szCs w:val="28"/>
          <w:vertAlign w:val="subscript"/>
        </w:rPr>
        <w:t>3</w:t>
      </w:r>
      <w:r>
        <w:rPr>
          <w:rFonts w:hint="default" w:ascii="Times New Roman" w:hAnsi="Times New Roman" w:cs="Times New Roman"/>
          <w:szCs w:val="28"/>
        </w:rPr>
        <w:t>和对应物质系数MF之积，F&amp;EI=F</w:t>
      </w:r>
      <w:r>
        <w:rPr>
          <w:rFonts w:hint="default" w:ascii="Times New Roman" w:hAnsi="Times New Roman" w:cs="Times New Roman"/>
          <w:szCs w:val="28"/>
          <w:vertAlign w:val="subscript"/>
        </w:rPr>
        <w:t>3</w:t>
      </w:r>
      <w:r>
        <w:rPr>
          <w:rFonts w:hint="default" w:ascii="Times New Roman" w:hAnsi="Times New Roman" w:cs="Times New Roman"/>
          <w:szCs w:val="28"/>
        </w:rPr>
        <w:t>×MF，其结果列附表4.2.2。</w:t>
      </w:r>
    </w:p>
    <w:p>
      <w:pPr>
        <w:pStyle w:val="12"/>
        <w:spacing w:line="500" w:lineRule="exact"/>
        <w:rPr>
          <w:rFonts w:hint="default" w:ascii="Times New Roman" w:hAnsi="Times New Roman" w:cs="Times New Roman"/>
          <w:szCs w:val="28"/>
        </w:rPr>
      </w:pPr>
      <w:r>
        <w:rPr>
          <w:rFonts w:hint="default" w:ascii="Times New Roman" w:hAnsi="Times New Roman" w:cs="Times New Roman"/>
          <w:szCs w:val="28"/>
        </w:rPr>
        <w:t>F</w:t>
      </w:r>
      <w:r>
        <w:rPr>
          <w:rFonts w:hint="default" w:ascii="Times New Roman" w:hAnsi="Times New Roman" w:cs="Times New Roman"/>
          <w:szCs w:val="28"/>
          <w:vertAlign w:val="subscript"/>
        </w:rPr>
        <w:t>1</w:t>
      </w:r>
      <w:r>
        <w:rPr>
          <w:rFonts w:hint="default" w:ascii="Times New Roman" w:hAnsi="Times New Roman" w:cs="Times New Roman"/>
          <w:szCs w:val="28"/>
        </w:rPr>
        <w:t>、F</w:t>
      </w:r>
      <w:r>
        <w:rPr>
          <w:rFonts w:hint="default" w:ascii="Times New Roman" w:hAnsi="Times New Roman" w:cs="Times New Roman"/>
          <w:szCs w:val="28"/>
          <w:vertAlign w:val="subscript"/>
        </w:rPr>
        <w:t>2</w:t>
      </w:r>
      <w:r>
        <w:rPr>
          <w:rFonts w:hint="default" w:ascii="Times New Roman" w:hAnsi="Times New Roman" w:cs="Times New Roman"/>
          <w:szCs w:val="28"/>
        </w:rPr>
        <w:t>、F</w:t>
      </w:r>
      <w:r>
        <w:rPr>
          <w:rFonts w:hint="default" w:ascii="Times New Roman" w:hAnsi="Times New Roman" w:cs="Times New Roman"/>
          <w:szCs w:val="28"/>
          <w:vertAlign w:val="subscript"/>
        </w:rPr>
        <w:t>3</w:t>
      </w:r>
      <w:r>
        <w:rPr>
          <w:rFonts w:hint="default" w:ascii="Times New Roman" w:hAnsi="Times New Roman" w:cs="Times New Roman"/>
          <w:szCs w:val="28"/>
        </w:rPr>
        <w:t>、F&amp;EI的取值及计算结果列于下表中。</w:t>
      </w:r>
    </w:p>
    <w:p>
      <w:pPr>
        <w:spacing w:line="500" w:lineRule="exact"/>
        <w:jc w:val="center"/>
        <w:rPr>
          <w:rFonts w:hint="default" w:ascii="Times New Roman" w:hAnsi="Times New Roman" w:cs="Times New Roman"/>
          <w:b/>
          <w:sz w:val="24"/>
        </w:rPr>
      </w:pPr>
      <w:r>
        <w:rPr>
          <w:rFonts w:hint="default" w:ascii="Times New Roman" w:hAnsi="Times New Roman" w:cs="Times New Roman"/>
          <w:b/>
          <w:sz w:val="24"/>
        </w:rPr>
        <w:t>附表4.2.2  各单元指数及火灾爆炸危险指数</w:t>
      </w:r>
    </w:p>
    <w:tbl>
      <w:tblPr>
        <w:tblStyle w:val="29"/>
        <w:tblW w:w="9180"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3955"/>
        <w:gridCol w:w="1293"/>
        <w:gridCol w:w="393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7" w:hRule="atLeast"/>
          <w:jc w:val="center"/>
        </w:trPr>
        <w:tc>
          <w:tcPr>
            <w:tcW w:w="3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b/>
              </w:rPr>
            </w:pPr>
            <w:r>
              <w:rPr>
                <w:rFonts w:hint="default" w:ascii="Times New Roman" w:hAnsi="Times New Roman" w:cs="Times New Roman"/>
                <w:b/>
              </w:rPr>
              <w:t>项   目</w:t>
            </w:r>
          </w:p>
        </w:tc>
        <w:tc>
          <w:tcPr>
            <w:tcW w:w="12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b/>
              </w:rPr>
            </w:pPr>
            <w:r>
              <w:rPr>
                <w:rFonts w:hint="default" w:ascii="Times New Roman" w:hAnsi="Times New Roman" w:cs="Times New Roman"/>
                <w:b/>
              </w:rPr>
              <w:t>系数值</w:t>
            </w:r>
          </w:p>
        </w:tc>
        <w:tc>
          <w:tcPr>
            <w:tcW w:w="393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b/>
              </w:rPr>
            </w:pPr>
            <w:r>
              <w:rPr>
                <w:rFonts w:hint="default" w:ascii="Times New Roman" w:hAnsi="Times New Roman" w:cs="Times New Roman"/>
                <w:b/>
              </w:rPr>
              <w:t>取值说明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3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选取代表性物质（汽油）</w:t>
            </w:r>
          </w:p>
        </w:tc>
        <w:tc>
          <w:tcPr>
            <w:tcW w:w="12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C</w:t>
            </w:r>
            <w:r>
              <w:rPr>
                <w:rFonts w:hint="default" w:ascii="Times New Roman" w:hAnsi="Times New Roman" w:cs="Times New Roman"/>
                <w:vertAlign w:val="subscript"/>
              </w:rPr>
              <w:t>5</w:t>
            </w:r>
            <w:r>
              <w:rPr>
                <w:rFonts w:hint="default" w:ascii="Times New Roman" w:hAnsi="Times New Roman" w:cs="Times New Roman"/>
              </w:rPr>
              <w:t>H</w:t>
            </w:r>
            <w:r>
              <w:rPr>
                <w:rFonts w:hint="default" w:ascii="Times New Roman" w:hAnsi="Times New Roman" w:cs="Times New Roman"/>
                <w:vertAlign w:val="subscript"/>
              </w:rPr>
              <w:t>12</w:t>
            </w:r>
            <w:r>
              <w:rPr>
                <w:rFonts w:hint="default" w:ascii="Times New Roman" w:hAnsi="Times New Roman" w:cs="Times New Roman"/>
              </w:rPr>
              <w:t>-C</w:t>
            </w:r>
            <w:r>
              <w:rPr>
                <w:rFonts w:hint="default" w:ascii="Times New Roman" w:hAnsi="Times New Roman" w:cs="Times New Roman"/>
                <w:vertAlign w:val="subscript"/>
              </w:rPr>
              <w:t>9</w:t>
            </w:r>
            <w:r>
              <w:rPr>
                <w:rFonts w:hint="default" w:ascii="Times New Roman" w:hAnsi="Times New Roman" w:cs="Times New Roman"/>
              </w:rPr>
              <w:t>H</w:t>
            </w:r>
            <w:r>
              <w:rPr>
                <w:rFonts w:hint="default" w:ascii="Times New Roman" w:hAnsi="Times New Roman" w:cs="Times New Roman"/>
                <w:vertAlign w:val="subscript"/>
              </w:rPr>
              <w:t>20</w:t>
            </w:r>
          </w:p>
        </w:tc>
        <w:tc>
          <w:tcPr>
            <w:tcW w:w="393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日常最大储量</w:t>
            </w:r>
            <w:r>
              <w:rPr>
                <w:rFonts w:hint="eastAsia" w:ascii="Times New Roman" w:hAnsi="Times New Roman" w:cs="Times New Roman"/>
                <w:lang w:val="en-US" w:eastAsia="zh-CN"/>
              </w:rPr>
              <w:t>55.845</w:t>
            </w:r>
            <w:r>
              <w:rPr>
                <w:rFonts w:hint="default" w:ascii="Times New Roman" w:hAnsi="Times New Roman" w:cs="Times New Roman"/>
              </w:rPr>
              <w:t>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24" w:hRule="atLeast"/>
          <w:jc w:val="center"/>
        </w:trPr>
        <w:tc>
          <w:tcPr>
            <w:tcW w:w="3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1、物质系数MF</w:t>
            </w:r>
          </w:p>
        </w:tc>
        <w:tc>
          <w:tcPr>
            <w:tcW w:w="12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16</w:t>
            </w:r>
          </w:p>
        </w:tc>
        <w:tc>
          <w:tcPr>
            <w:tcW w:w="393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查美国消防协会推荐的物质系数和特性表NF=3、NR=0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3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2、一般工艺危险系数F</w:t>
            </w:r>
            <w:r>
              <w:rPr>
                <w:rFonts w:hint="default" w:ascii="Times New Roman" w:hAnsi="Times New Roman" w:cs="Times New Roman"/>
                <w:color w:val="000000"/>
                <w:sz w:val="21"/>
                <w:szCs w:val="21"/>
                <w:vertAlign w:val="subscript"/>
              </w:rPr>
              <w:t>1</w:t>
            </w:r>
          </w:p>
        </w:tc>
        <w:tc>
          <w:tcPr>
            <w:tcW w:w="12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p>
        </w:tc>
        <w:tc>
          <w:tcPr>
            <w:tcW w:w="393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3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基本系数 （1.00）</w:t>
            </w:r>
          </w:p>
        </w:tc>
        <w:tc>
          <w:tcPr>
            <w:tcW w:w="12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1.00</w:t>
            </w:r>
          </w:p>
        </w:tc>
        <w:tc>
          <w:tcPr>
            <w:tcW w:w="393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3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（1）放热化学反应（0.30～1.25）</w:t>
            </w:r>
          </w:p>
        </w:tc>
        <w:tc>
          <w:tcPr>
            <w:tcW w:w="12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0</w:t>
            </w:r>
          </w:p>
        </w:tc>
        <w:tc>
          <w:tcPr>
            <w:tcW w:w="393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无放热化学反应</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3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（2）吸热反应（0.20～0.40）</w:t>
            </w:r>
          </w:p>
        </w:tc>
        <w:tc>
          <w:tcPr>
            <w:tcW w:w="12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0</w:t>
            </w:r>
          </w:p>
        </w:tc>
        <w:tc>
          <w:tcPr>
            <w:tcW w:w="393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无吸热化学反应</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3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（3）物料处理与输送（0.25～1.05）</w:t>
            </w:r>
          </w:p>
        </w:tc>
        <w:tc>
          <w:tcPr>
            <w:tcW w:w="12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0.5</w:t>
            </w:r>
          </w:p>
        </w:tc>
        <w:tc>
          <w:tcPr>
            <w:tcW w:w="393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闪点22.8℃沸点＞37.8℃时,NF=3的易燃液体</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3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（4）密闭或室内工艺单元（0.25～0.90）</w:t>
            </w:r>
          </w:p>
        </w:tc>
        <w:tc>
          <w:tcPr>
            <w:tcW w:w="12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0</w:t>
            </w:r>
          </w:p>
        </w:tc>
        <w:tc>
          <w:tcPr>
            <w:tcW w:w="393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露天地下储罐，非室内单元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3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（5）通道（0.20～0.35）</w:t>
            </w:r>
          </w:p>
        </w:tc>
        <w:tc>
          <w:tcPr>
            <w:tcW w:w="12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0</w:t>
            </w:r>
          </w:p>
        </w:tc>
        <w:tc>
          <w:tcPr>
            <w:tcW w:w="393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通道不影响消防活动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3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（6）排放和泄漏控制（0.25～0.50）</w:t>
            </w:r>
          </w:p>
        </w:tc>
        <w:tc>
          <w:tcPr>
            <w:tcW w:w="12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0</w:t>
            </w:r>
          </w:p>
        </w:tc>
        <w:tc>
          <w:tcPr>
            <w:tcW w:w="393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地下储罐不会向地面流淌液体</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3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确定一般工艺危险系数（F</w:t>
            </w:r>
            <w:r>
              <w:rPr>
                <w:rFonts w:hint="default" w:ascii="Times New Roman" w:hAnsi="Times New Roman" w:cs="Times New Roman"/>
                <w:color w:val="000000"/>
                <w:sz w:val="21"/>
                <w:szCs w:val="21"/>
                <w:vertAlign w:val="subscript"/>
              </w:rPr>
              <w:t>1</w:t>
            </w:r>
            <w:r>
              <w:rPr>
                <w:rFonts w:hint="default" w:ascii="Times New Roman" w:hAnsi="Times New Roman" w:cs="Times New Roman"/>
                <w:color w:val="000000"/>
                <w:sz w:val="21"/>
                <w:szCs w:val="21"/>
              </w:rPr>
              <w:t>）</w:t>
            </w:r>
          </w:p>
        </w:tc>
        <w:tc>
          <w:tcPr>
            <w:tcW w:w="12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1.5</w:t>
            </w:r>
          </w:p>
        </w:tc>
        <w:tc>
          <w:tcPr>
            <w:tcW w:w="393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5" w:hRule="atLeast"/>
          <w:jc w:val="center"/>
        </w:trPr>
        <w:tc>
          <w:tcPr>
            <w:tcW w:w="3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3、特殊工艺危险系数F</w:t>
            </w:r>
            <w:r>
              <w:rPr>
                <w:rFonts w:hint="default" w:ascii="Times New Roman" w:hAnsi="Times New Roman" w:cs="Times New Roman"/>
                <w:color w:val="000000"/>
                <w:sz w:val="21"/>
                <w:szCs w:val="21"/>
                <w:vertAlign w:val="subscript"/>
              </w:rPr>
              <w:t>2</w:t>
            </w:r>
          </w:p>
        </w:tc>
        <w:tc>
          <w:tcPr>
            <w:tcW w:w="12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p>
        </w:tc>
        <w:tc>
          <w:tcPr>
            <w:tcW w:w="393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5" w:hRule="atLeast"/>
          <w:jc w:val="center"/>
        </w:trPr>
        <w:tc>
          <w:tcPr>
            <w:tcW w:w="3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基本系数（1.00）</w:t>
            </w:r>
          </w:p>
        </w:tc>
        <w:tc>
          <w:tcPr>
            <w:tcW w:w="12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1.00</w:t>
            </w:r>
          </w:p>
        </w:tc>
        <w:tc>
          <w:tcPr>
            <w:tcW w:w="393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3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（1）毒性物质（0.20～0.80）</w:t>
            </w:r>
          </w:p>
        </w:tc>
        <w:tc>
          <w:tcPr>
            <w:tcW w:w="12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0.20</w:t>
            </w:r>
          </w:p>
        </w:tc>
        <w:tc>
          <w:tcPr>
            <w:tcW w:w="393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NH=1，短期接触引起刺激，轻微伤害</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3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（2）负压操作（0.5）</w:t>
            </w:r>
          </w:p>
        </w:tc>
        <w:tc>
          <w:tcPr>
            <w:tcW w:w="12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0</w:t>
            </w:r>
          </w:p>
        </w:tc>
        <w:tc>
          <w:tcPr>
            <w:tcW w:w="393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常压操作</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3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（3）易燃范围或及接近易燃范围的操作（0.30～0.80）</w:t>
            </w:r>
          </w:p>
        </w:tc>
        <w:tc>
          <w:tcPr>
            <w:tcW w:w="12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0.50</w:t>
            </w:r>
          </w:p>
        </w:tc>
        <w:tc>
          <w:tcPr>
            <w:tcW w:w="393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NF=3,易燃液体储罐、泵出汽油时会吸入空气</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3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（4）粉尘爆炸（0.25～2.00）</w:t>
            </w:r>
          </w:p>
        </w:tc>
        <w:tc>
          <w:tcPr>
            <w:tcW w:w="12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0</w:t>
            </w:r>
          </w:p>
        </w:tc>
        <w:tc>
          <w:tcPr>
            <w:tcW w:w="393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无粉尘</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3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（5）压力释放（0～1.5）</w:t>
            </w:r>
          </w:p>
        </w:tc>
        <w:tc>
          <w:tcPr>
            <w:tcW w:w="12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0.16</w:t>
            </w:r>
          </w:p>
        </w:tc>
        <w:tc>
          <w:tcPr>
            <w:tcW w:w="393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常压操作查易燃、可燃液体的压力危险系数图</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3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（6）低温（0.2～0.3）</w:t>
            </w:r>
          </w:p>
        </w:tc>
        <w:tc>
          <w:tcPr>
            <w:tcW w:w="12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0</w:t>
            </w:r>
          </w:p>
        </w:tc>
        <w:tc>
          <w:tcPr>
            <w:tcW w:w="393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常温操作</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3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（7）易燃及不稳定物质的质量</w:t>
            </w:r>
          </w:p>
        </w:tc>
        <w:tc>
          <w:tcPr>
            <w:tcW w:w="12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eastAsia" w:ascii="Times New Roman" w:hAnsi="Times New Roman" w:eastAsia="宋体" w:cs="Times New Roman"/>
                <w:sz w:val="21"/>
                <w:szCs w:val="21"/>
                <w:lang w:eastAsia="zh-CN"/>
              </w:rPr>
            </w:pPr>
            <w:r>
              <w:rPr>
                <w:rFonts w:hint="default" w:ascii="Times New Roman" w:hAnsi="Times New Roman" w:cs="Times New Roman"/>
                <w:color w:val="000000"/>
                <w:sz w:val="21"/>
                <w:szCs w:val="21"/>
              </w:rPr>
              <w:t>0.5</w:t>
            </w:r>
            <w:r>
              <w:rPr>
                <w:rFonts w:hint="eastAsia" w:ascii="Times New Roman" w:hAnsi="Times New Roman" w:cs="Times New Roman"/>
                <w:color w:val="000000"/>
                <w:sz w:val="21"/>
                <w:szCs w:val="21"/>
                <w:lang w:val="en-US" w:eastAsia="zh-CN"/>
              </w:rPr>
              <w:t>5</w:t>
            </w:r>
          </w:p>
        </w:tc>
        <w:tc>
          <w:tcPr>
            <w:tcW w:w="393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汽油总储蓄量为</w:t>
            </w:r>
            <w:r>
              <w:rPr>
                <w:rFonts w:hint="eastAsia" w:ascii="Times New Roman" w:hAnsi="Times New Roman" w:cs="Times New Roman"/>
                <w:color w:val="000000"/>
                <w:sz w:val="21"/>
                <w:szCs w:val="21"/>
                <w:lang w:val="en-US" w:eastAsia="zh-CN"/>
              </w:rPr>
              <w:t>67500</w:t>
            </w:r>
            <w:r>
              <w:rPr>
                <w:rFonts w:hint="default" w:ascii="Times New Roman" w:hAnsi="Times New Roman" w:cs="Times New Roman"/>
                <w:color w:val="000000"/>
                <w:sz w:val="21"/>
                <w:szCs w:val="21"/>
              </w:rPr>
              <w:t>kg，其热量计算如下：（</w:t>
            </w:r>
            <w:r>
              <w:rPr>
                <w:rFonts w:hint="eastAsia" w:ascii="Times New Roman" w:hAnsi="Times New Roman" w:cs="Times New Roman"/>
                <w:color w:val="000000"/>
                <w:sz w:val="21"/>
                <w:szCs w:val="21"/>
                <w:lang w:val="en-US" w:eastAsia="zh-CN"/>
              </w:rPr>
              <w:t>67500</w:t>
            </w:r>
            <w:r>
              <w:rPr>
                <w:rFonts w:hint="default" w:ascii="Times New Roman" w:hAnsi="Times New Roman" w:cs="Times New Roman"/>
                <w:color w:val="000000"/>
                <w:sz w:val="21"/>
                <w:szCs w:val="21"/>
              </w:rPr>
              <w:t>/0.454）×18.8×10</w:t>
            </w:r>
            <w:r>
              <w:rPr>
                <w:rFonts w:hint="default" w:ascii="Times New Roman" w:hAnsi="Times New Roman" w:cs="Times New Roman"/>
                <w:color w:val="000000"/>
                <w:sz w:val="21"/>
                <w:szCs w:val="21"/>
                <w:vertAlign w:val="superscript"/>
              </w:rPr>
              <w:t>3</w:t>
            </w:r>
            <w:r>
              <w:rPr>
                <w:rFonts w:hint="default" w:ascii="Times New Roman" w:hAnsi="Times New Roman" w:cs="Times New Roman"/>
                <w:color w:val="000000"/>
                <w:sz w:val="21"/>
                <w:szCs w:val="21"/>
              </w:rPr>
              <w:t>=</w:t>
            </w:r>
            <w:r>
              <w:rPr>
                <w:rFonts w:hint="eastAsia" w:ascii="Times New Roman" w:hAnsi="Times New Roman" w:cs="Times New Roman"/>
                <w:color w:val="000000"/>
                <w:sz w:val="21"/>
                <w:szCs w:val="21"/>
                <w:lang w:val="en-US" w:eastAsia="zh-CN"/>
              </w:rPr>
              <w:t>2.80</w:t>
            </w:r>
            <w:r>
              <w:rPr>
                <w:rFonts w:hint="default" w:ascii="Times New Roman" w:hAnsi="Times New Roman" w:cs="Times New Roman"/>
                <w:color w:val="000000"/>
                <w:sz w:val="21"/>
                <w:szCs w:val="21"/>
              </w:rPr>
              <w:t>×10</w:t>
            </w:r>
            <w:r>
              <w:rPr>
                <w:rFonts w:hint="default" w:ascii="Times New Roman" w:hAnsi="Times New Roman" w:cs="Times New Roman"/>
                <w:color w:val="000000"/>
                <w:sz w:val="21"/>
                <w:szCs w:val="21"/>
                <w:vertAlign w:val="superscript"/>
              </w:rPr>
              <w:t>9</w:t>
            </w:r>
            <w:r>
              <w:rPr>
                <w:rFonts w:hint="default" w:ascii="Times New Roman" w:hAnsi="Times New Roman" w:cs="Times New Roman"/>
                <w:color w:val="000000"/>
                <w:sz w:val="21"/>
                <w:szCs w:val="21"/>
              </w:rPr>
              <w:t>Btu</w:t>
            </w:r>
          </w:p>
          <w:p>
            <w:pPr>
              <w:keepNext w:val="0"/>
              <w:keepLines w:val="0"/>
              <w:suppressLineNumbers w:val="0"/>
              <w:spacing w:before="0" w:beforeAutospacing="0" w:after="0" w:afterAutospacing="0"/>
              <w:ind w:left="0" w:right="0"/>
              <w:rPr>
                <w:rFonts w:hint="eastAsia" w:ascii="Times New Roman" w:hAnsi="Times New Roman" w:eastAsia="宋体" w:cs="Times New Roman"/>
                <w:sz w:val="21"/>
                <w:szCs w:val="21"/>
                <w:lang w:eastAsia="zh-CN"/>
              </w:rPr>
            </w:pPr>
            <w:r>
              <w:rPr>
                <w:rFonts w:hint="default" w:ascii="Times New Roman" w:hAnsi="Times New Roman" w:cs="Times New Roman"/>
                <w:color w:val="000000"/>
                <w:sz w:val="21"/>
                <w:szCs w:val="21"/>
              </w:rPr>
              <w:t>查图，取系数0.5</w:t>
            </w:r>
            <w:r>
              <w:rPr>
                <w:rFonts w:hint="eastAsia" w:ascii="Times New Roman" w:hAnsi="Times New Roman" w:cs="Times New Roman"/>
                <w:color w:val="000000"/>
                <w:sz w:val="21"/>
                <w:szCs w:val="21"/>
                <w:lang w:val="en-US" w:eastAsia="zh-CN"/>
              </w:rPr>
              <w:t>5</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3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（8）腐蚀与磨损（0.10～0.75）</w:t>
            </w:r>
          </w:p>
        </w:tc>
        <w:tc>
          <w:tcPr>
            <w:tcW w:w="12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0.2</w:t>
            </w:r>
          </w:p>
        </w:tc>
        <w:tc>
          <w:tcPr>
            <w:tcW w:w="393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埋地汽油罐采用加强防腐0.254mm/a﹥腐蚀速率﹥0.127mm/a</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3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（9）泄漏（0.10～1.50）</w:t>
            </w:r>
          </w:p>
        </w:tc>
        <w:tc>
          <w:tcPr>
            <w:tcW w:w="12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0.1</w:t>
            </w:r>
          </w:p>
        </w:tc>
        <w:tc>
          <w:tcPr>
            <w:tcW w:w="393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法兰连接处产生一般正常泄漏</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3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（10）使用明火设备（0.10～1.00）</w:t>
            </w:r>
          </w:p>
        </w:tc>
        <w:tc>
          <w:tcPr>
            <w:tcW w:w="12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0</w:t>
            </w:r>
          </w:p>
        </w:tc>
        <w:tc>
          <w:tcPr>
            <w:tcW w:w="393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无明火设备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9" w:hRule="atLeast"/>
          <w:jc w:val="center"/>
        </w:trPr>
        <w:tc>
          <w:tcPr>
            <w:tcW w:w="3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（11）热油交换系统（0.15～1.15）</w:t>
            </w:r>
          </w:p>
        </w:tc>
        <w:tc>
          <w:tcPr>
            <w:tcW w:w="12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0</w:t>
            </w:r>
          </w:p>
        </w:tc>
        <w:tc>
          <w:tcPr>
            <w:tcW w:w="393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无热油交换系统</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3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（12）转动设备（0.5）</w:t>
            </w:r>
          </w:p>
        </w:tc>
        <w:tc>
          <w:tcPr>
            <w:tcW w:w="12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0</w:t>
            </w:r>
          </w:p>
        </w:tc>
        <w:tc>
          <w:tcPr>
            <w:tcW w:w="393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无﹥600马力压缩机和﹥75马力的泵</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7" w:hRule="atLeast"/>
          <w:jc w:val="center"/>
        </w:trPr>
        <w:tc>
          <w:tcPr>
            <w:tcW w:w="3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特殊操作危险系数（F</w:t>
            </w:r>
            <w:r>
              <w:rPr>
                <w:rFonts w:hint="default" w:ascii="Times New Roman" w:hAnsi="Times New Roman" w:cs="Times New Roman"/>
                <w:color w:val="000000"/>
                <w:sz w:val="21"/>
                <w:szCs w:val="21"/>
                <w:vertAlign w:val="subscript"/>
              </w:rPr>
              <w:t>2</w:t>
            </w:r>
            <w:r>
              <w:rPr>
                <w:rFonts w:hint="default" w:ascii="Times New Roman" w:hAnsi="Times New Roman" w:cs="Times New Roman"/>
                <w:color w:val="000000"/>
                <w:sz w:val="21"/>
                <w:szCs w:val="21"/>
              </w:rPr>
              <w:t>）</w:t>
            </w:r>
          </w:p>
        </w:tc>
        <w:tc>
          <w:tcPr>
            <w:tcW w:w="12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rPr>
                <w:rFonts w:hint="default" w:ascii="Times New Roman" w:hAnsi="Times New Roman" w:eastAsia="宋体" w:cs="Times New Roman"/>
                <w:sz w:val="21"/>
                <w:szCs w:val="21"/>
                <w:lang w:val="en-US" w:eastAsia="zh-CN"/>
              </w:rPr>
            </w:pPr>
            <w:r>
              <w:rPr>
                <w:rFonts w:hint="default" w:ascii="Times New Roman" w:hAnsi="Times New Roman" w:cs="Times New Roman"/>
                <w:color w:val="000000"/>
                <w:sz w:val="21"/>
                <w:szCs w:val="21"/>
                <w:lang w:val="en-GB"/>
              </w:rPr>
              <w:t>2.</w:t>
            </w:r>
            <w:r>
              <w:rPr>
                <w:rFonts w:hint="eastAsia" w:ascii="Times New Roman" w:hAnsi="Times New Roman" w:cs="Times New Roman"/>
                <w:color w:val="000000"/>
                <w:sz w:val="21"/>
                <w:szCs w:val="21"/>
                <w:lang w:val="en-US" w:eastAsia="zh-CN"/>
              </w:rPr>
              <w:t>71</w:t>
            </w:r>
          </w:p>
        </w:tc>
        <w:tc>
          <w:tcPr>
            <w:tcW w:w="393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3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单元工艺危险系数F</w:t>
            </w:r>
            <w:r>
              <w:rPr>
                <w:rFonts w:hint="default" w:ascii="Times New Roman" w:hAnsi="Times New Roman" w:cs="Times New Roman"/>
                <w:color w:val="000000"/>
                <w:sz w:val="21"/>
                <w:szCs w:val="21"/>
                <w:vertAlign w:val="subscript"/>
              </w:rPr>
              <w:t>3</w:t>
            </w:r>
            <w:r>
              <w:rPr>
                <w:rFonts w:hint="default" w:ascii="Times New Roman" w:hAnsi="Times New Roman" w:cs="Times New Roman"/>
                <w:color w:val="000000"/>
                <w:sz w:val="21"/>
                <w:szCs w:val="21"/>
              </w:rPr>
              <w:t>=F</w:t>
            </w:r>
            <w:r>
              <w:rPr>
                <w:rFonts w:hint="default" w:ascii="Times New Roman" w:hAnsi="Times New Roman" w:cs="Times New Roman"/>
                <w:color w:val="000000"/>
                <w:sz w:val="21"/>
                <w:szCs w:val="21"/>
                <w:vertAlign w:val="subscript"/>
              </w:rPr>
              <w:t>1</w:t>
            </w:r>
            <w:r>
              <w:rPr>
                <w:rFonts w:hint="default" w:ascii="Times New Roman" w:hAnsi="Times New Roman" w:cs="Times New Roman"/>
                <w:color w:val="000000"/>
                <w:sz w:val="21"/>
                <w:szCs w:val="21"/>
              </w:rPr>
              <w:t>×F</w:t>
            </w:r>
            <w:r>
              <w:rPr>
                <w:rFonts w:hint="default" w:ascii="Times New Roman" w:hAnsi="Times New Roman" w:cs="Times New Roman"/>
                <w:color w:val="000000"/>
                <w:sz w:val="21"/>
                <w:szCs w:val="21"/>
                <w:vertAlign w:val="subscript"/>
              </w:rPr>
              <w:t>2</w:t>
            </w:r>
          </w:p>
        </w:tc>
        <w:tc>
          <w:tcPr>
            <w:tcW w:w="12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rPr>
                <w:rFonts w:hint="default" w:ascii="Times New Roman" w:hAnsi="Times New Roman" w:eastAsia="宋体" w:cs="Times New Roman"/>
                <w:sz w:val="21"/>
                <w:szCs w:val="21"/>
                <w:lang w:eastAsia="zh-CN"/>
              </w:rPr>
            </w:pPr>
            <w:r>
              <w:rPr>
                <w:rFonts w:hint="default" w:ascii="Times New Roman" w:hAnsi="Times New Roman" w:cs="Times New Roman"/>
                <w:color w:val="000000"/>
                <w:sz w:val="21"/>
                <w:szCs w:val="21"/>
              </w:rPr>
              <w:t>4.0</w:t>
            </w:r>
            <w:r>
              <w:rPr>
                <w:rFonts w:hint="eastAsia" w:ascii="Times New Roman" w:hAnsi="Times New Roman" w:cs="Times New Roman"/>
                <w:color w:val="000000"/>
                <w:sz w:val="21"/>
                <w:szCs w:val="21"/>
                <w:lang w:val="en-US" w:eastAsia="zh-CN"/>
              </w:rPr>
              <w:t>6</w:t>
            </w:r>
            <w:r>
              <w:rPr>
                <w:rFonts w:hint="default" w:ascii="Times New Roman" w:hAnsi="Times New Roman" w:cs="Times New Roman"/>
                <w:color w:val="000000"/>
                <w:sz w:val="21"/>
                <w:szCs w:val="21"/>
              </w:rPr>
              <w:t>5</w:t>
            </w:r>
          </w:p>
        </w:tc>
        <w:tc>
          <w:tcPr>
            <w:tcW w:w="393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rPr>
                <w:rFonts w:hint="default" w:ascii="Times New Roman" w:hAnsi="Times New Roman" w:eastAsia="宋体" w:cs="Times New Roman"/>
                <w:sz w:val="21"/>
                <w:szCs w:val="21"/>
                <w:lang w:val="en-US" w:eastAsia="zh-CN"/>
              </w:rPr>
            </w:pPr>
            <w:r>
              <w:rPr>
                <w:rFonts w:hint="default" w:ascii="Times New Roman" w:hAnsi="Times New Roman" w:cs="Times New Roman"/>
                <w:color w:val="000000"/>
                <w:sz w:val="21"/>
                <w:szCs w:val="21"/>
                <w:lang w:val="en-GB"/>
              </w:rPr>
              <w:t>F</w:t>
            </w:r>
            <w:r>
              <w:rPr>
                <w:rFonts w:hint="default" w:ascii="Times New Roman" w:hAnsi="Times New Roman" w:cs="Times New Roman"/>
                <w:color w:val="000000"/>
                <w:sz w:val="21"/>
                <w:szCs w:val="21"/>
                <w:vertAlign w:val="subscript"/>
                <w:lang w:val="en-GB"/>
              </w:rPr>
              <w:t>3</w:t>
            </w:r>
            <w:r>
              <w:rPr>
                <w:rFonts w:hint="default" w:ascii="Times New Roman" w:hAnsi="Times New Roman" w:cs="Times New Roman"/>
                <w:color w:val="000000"/>
                <w:sz w:val="21"/>
                <w:szCs w:val="21"/>
                <w:lang w:val="en-GB"/>
              </w:rPr>
              <w:t>=1.5×2.</w:t>
            </w:r>
            <w:r>
              <w:rPr>
                <w:rFonts w:hint="eastAsia" w:ascii="Times New Roman" w:hAnsi="Times New Roman" w:cs="Times New Roman"/>
                <w:color w:val="000000"/>
                <w:sz w:val="21"/>
                <w:szCs w:val="21"/>
                <w:lang w:val="en-US" w:eastAsia="zh-CN"/>
              </w:rPr>
              <w:t>71</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3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火灾爆炸危险指数F&amp;EI=F</w:t>
            </w:r>
            <w:r>
              <w:rPr>
                <w:rFonts w:hint="default" w:ascii="Times New Roman" w:hAnsi="Times New Roman" w:cs="Times New Roman"/>
                <w:color w:val="000000"/>
                <w:sz w:val="21"/>
                <w:szCs w:val="21"/>
                <w:vertAlign w:val="subscript"/>
              </w:rPr>
              <w:t>3</w:t>
            </w:r>
            <w:r>
              <w:rPr>
                <w:rFonts w:hint="default" w:ascii="Times New Roman" w:hAnsi="Times New Roman" w:cs="Times New Roman"/>
                <w:color w:val="000000"/>
                <w:sz w:val="21"/>
                <w:szCs w:val="21"/>
              </w:rPr>
              <w:t>×MF</w:t>
            </w:r>
          </w:p>
        </w:tc>
        <w:tc>
          <w:tcPr>
            <w:tcW w:w="12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lang w:val="en-GB"/>
              </w:rPr>
              <w:t>6</w:t>
            </w:r>
            <w:r>
              <w:rPr>
                <w:rFonts w:hint="default" w:ascii="Times New Roman" w:hAnsi="Times New Roman" w:cs="Times New Roman"/>
                <w:color w:val="000000"/>
                <w:sz w:val="21"/>
                <w:szCs w:val="21"/>
              </w:rPr>
              <w:t>5.04</w:t>
            </w:r>
          </w:p>
        </w:tc>
        <w:tc>
          <w:tcPr>
            <w:tcW w:w="393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rPr>
                <w:rFonts w:hint="eastAsia" w:ascii="Times New Roman" w:hAnsi="Times New Roman" w:eastAsia="宋体" w:cs="Times New Roman"/>
                <w:sz w:val="21"/>
                <w:szCs w:val="21"/>
                <w:lang w:eastAsia="zh-CN"/>
              </w:rPr>
            </w:pPr>
            <w:r>
              <w:rPr>
                <w:rFonts w:hint="default" w:ascii="Times New Roman" w:hAnsi="Times New Roman" w:cs="Times New Roman"/>
                <w:color w:val="000000"/>
                <w:sz w:val="21"/>
                <w:szCs w:val="21"/>
                <w:lang w:val="en-GB"/>
              </w:rPr>
              <w:t>F&amp;EI= F</w:t>
            </w:r>
            <w:r>
              <w:rPr>
                <w:rFonts w:hint="default" w:ascii="Times New Roman" w:hAnsi="Times New Roman" w:cs="Times New Roman"/>
                <w:color w:val="000000"/>
                <w:sz w:val="21"/>
                <w:szCs w:val="21"/>
                <w:vertAlign w:val="subscript"/>
                <w:lang w:val="en-GB"/>
              </w:rPr>
              <w:t>3</w:t>
            </w:r>
            <w:r>
              <w:rPr>
                <w:rFonts w:hint="default" w:ascii="Times New Roman" w:hAnsi="Times New Roman" w:cs="Times New Roman"/>
                <w:color w:val="000000"/>
                <w:sz w:val="21"/>
                <w:szCs w:val="21"/>
                <w:lang w:val="en-GB"/>
              </w:rPr>
              <w:t>×MF=</w:t>
            </w:r>
            <w:r>
              <w:rPr>
                <w:rFonts w:hint="default" w:ascii="Times New Roman" w:hAnsi="Times New Roman" w:cs="Times New Roman"/>
                <w:color w:val="000000"/>
                <w:sz w:val="21"/>
                <w:szCs w:val="21"/>
              </w:rPr>
              <w:t>4.0</w:t>
            </w:r>
            <w:r>
              <w:rPr>
                <w:rFonts w:hint="eastAsia" w:ascii="Times New Roman" w:hAnsi="Times New Roman" w:cs="Times New Roman"/>
                <w:color w:val="000000"/>
                <w:sz w:val="21"/>
                <w:szCs w:val="21"/>
                <w:lang w:val="en-US" w:eastAsia="zh-CN"/>
              </w:rPr>
              <w:t>6</w:t>
            </w:r>
            <w:r>
              <w:rPr>
                <w:rFonts w:hint="default" w:ascii="Times New Roman" w:hAnsi="Times New Roman" w:cs="Times New Roman"/>
                <w:color w:val="000000"/>
                <w:sz w:val="21"/>
                <w:szCs w:val="21"/>
              </w:rPr>
              <w:t>5</w:t>
            </w:r>
            <w:r>
              <w:rPr>
                <w:rFonts w:hint="default" w:ascii="Times New Roman" w:hAnsi="Times New Roman" w:cs="Times New Roman"/>
                <w:color w:val="000000"/>
                <w:sz w:val="21"/>
                <w:szCs w:val="21"/>
                <w:lang w:val="en-GB"/>
              </w:rPr>
              <w:t>×16 = 6</w:t>
            </w:r>
            <w:r>
              <w:rPr>
                <w:rFonts w:hint="eastAsia" w:ascii="Times New Roman" w:hAnsi="Times New Roman" w:cs="Times New Roman"/>
                <w:color w:val="000000"/>
                <w:sz w:val="21"/>
                <w:szCs w:val="21"/>
                <w:lang w:val="en-US" w:eastAsia="zh-CN"/>
              </w:rPr>
              <w:t>5</w:t>
            </w:r>
            <w:r>
              <w:rPr>
                <w:rFonts w:hint="default" w:ascii="Times New Roman" w:hAnsi="Times New Roman" w:cs="Times New Roman"/>
                <w:color w:val="000000"/>
                <w:sz w:val="21"/>
                <w:szCs w:val="21"/>
              </w:rPr>
              <w:t>.0</w:t>
            </w:r>
            <w:r>
              <w:rPr>
                <w:rFonts w:hint="eastAsia" w:ascii="Times New Roman" w:hAnsi="Times New Roman" w:cs="Times New Roman"/>
                <w:color w:val="000000"/>
                <w:sz w:val="21"/>
                <w:szCs w:val="21"/>
                <w:lang w:val="en-US" w:eastAsia="zh-CN"/>
              </w:rPr>
              <w:t>4</w:t>
            </w:r>
          </w:p>
        </w:tc>
      </w:tr>
    </w:tbl>
    <w:p>
      <w:pPr>
        <w:pStyle w:val="5"/>
        <w:spacing w:beforeLines="100" w:afterLines="100" w:line="240" w:lineRule="auto"/>
        <w:rPr>
          <w:rFonts w:hint="default" w:ascii="Times New Roman" w:hAnsi="Times New Roman" w:cs="Times New Roman"/>
          <w:sz w:val="28"/>
          <w:szCs w:val="28"/>
        </w:rPr>
      </w:pPr>
      <w:r>
        <w:rPr>
          <w:rFonts w:hint="default" w:ascii="Times New Roman" w:hAnsi="Times New Roman" w:cs="Times New Roman"/>
          <w:sz w:val="28"/>
          <w:szCs w:val="28"/>
        </w:rPr>
        <w:t>4.2.3</w:t>
      </w:r>
      <w:r>
        <w:rPr>
          <w:rFonts w:hint="eastAsia" w:ascii="Times New Roman" w:hAnsi="Times New Roman" w:cs="Times New Roman"/>
          <w:sz w:val="28"/>
          <w:szCs w:val="28"/>
          <w:lang w:val="en-US" w:eastAsia="zh-CN"/>
        </w:rPr>
        <w:t xml:space="preserve"> </w:t>
      </w:r>
      <w:r>
        <w:rPr>
          <w:rFonts w:hint="default" w:ascii="Times New Roman" w:hAnsi="Times New Roman" w:cs="Times New Roman"/>
          <w:sz w:val="28"/>
          <w:szCs w:val="28"/>
        </w:rPr>
        <w:t>确定确定火灾爆炸危险等级</w:t>
      </w:r>
    </w:p>
    <w:p>
      <w:pPr>
        <w:pStyle w:val="12"/>
        <w:spacing w:line="500" w:lineRule="exact"/>
        <w:rPr>
          <w:rFonts w:hint="default" w:ascii="Times New Roman" w:hAnsi="Times New Roman" w:cs="Times New Roman"/>
          <w:szCs w:val="28"/>
        </w:rPr>
      </w:pPr>
      <w:r>
        <w:rPr>
          <w:rFonts w:hint="default" w:ascii="Times New Roman" w:hAnsi="Times New Roman" w:cs="Times New Roman"/>
          <w:szCs w:val="28"/>
        </w:rPr>
        <w:t>火灾爆炸危险指数值与危险等级的对应关系见下表。</w:t>
      </w:r>
    </w:p>
    <w:p>
      <w:pPr>
        <w:spacing w:line="500" w:lineRule="exact"/>
        <w:jc w:val="center"/>
        <w:rPr>
          <w:rFonts w:hint="default" w:ascii="Times New Roman" w:hAnsi="Times New Roman" w:cs="Times New Roman"/>
          <w:b/>
          <w:sz w:val="24"/>
        </w:rPr>
      </w:pPr>
      <w:r>
        <w:rPr>
          <w:rFonts w:hint="default" w:ascii="Times New Roman" w:hAnsi="Times New Roman" w:cs="Times New Roman"/>
          <w:b/>
          <w:sz w:val="24"/>
        </w:rPr>
        <w:t>附表4.2.3 火灾爆炸危险指数F&amp;EI与危险等级的对应关系</w:t>
      </w:r>
    </w:p>
    <w:tbl>
      <w:tblPr>
        <w:tblStyle w:val="29"/>
        <w:tblW w:w="903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528"/>
        <w:gridCol w:w="650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528" w:type="dxa"/>
            <w:tcBorders>
              <w:top w:val="single" w:color="auto" w:sz="4" w:space="0"/>
              <w:left w:val="single" w:color="auto" w:sz="4" w:space="0"/>
              <w:bottom w:val="single" w:color="auto" w:sz="4" w:space="0"/>
              <w:right w:val="single" w:color="auto" w:sz="4" w:space="0"/>
            </w:tcBorders>
            <w:vAlign w:val="center"/>
          </w:tcPr>
          <w:p>
            <w:pPr>
              <w:pStyle w:val="12"/>
              <w:spacing w:line="300" w:lineRule="exact"/>
              <w:ind w:firstLine="422"/>
              <w:jc w:val="center"/>
              <w:rPr>
                <w:rFonts w:hint="default" w:ascii="Times New Roman" w:hAnsi="Times New Roman" w:cs="Times New Roman"/>
                <w:b/>
                <w:sz w:val="21"/>
                <w:szCs w:val="21"/>
              </w:rPr>
            </w:pPr>
            <w:r>
              <w:rPr>
                <w:rFonts w:hint="default" w:ascii="Times New Roman" w:hAnsi="Times New Roman" w:cs="Times New Roman"/>
                <w:b/>
                <w:sz w:val="21"/>
                <w:szCs w:val="21"/>
              </w:rPr>
              <w:t>F&amp;EI值</w:t>
            </w:r>
          </w:p>
        </w:tc>
        <w:tc>
          <w:tcPr>
            <w:tcW w:w="6508" w:type="dxa"/>
            <w:tcBorders>
              <w:top w:val="single" w:color="auto" w:sz="4" w:space="0"/>
              <w:left w:val="single" w:color="auto" w:sz="4" w:space="0"/>
              <w:bottom w:val="single" w:color="auto" w:sz="4" w:space="0"/>
              <w:right w:val="single" w:color="auto" w:sz="4" w:space="0"/>
            </w:tcBorders>
            <w:vAlign w:val="center"/>
          </w:tcPr>
          <w:p>
            <w:pPr>
              <w:pStyle w:val="12"/>
              <w:spacing w:line="300" w:lineRule="exact"/>
              <w:ind w:firstLine="422"/>
              <w:jc w:val="center"/>
              <w:rPr>
                <w:rFonts w:hint="default" w:ascii="Times New Roman" w:hAnsi="Times New Roman" w:cs="Times New Roman"/>
                <w:b/>
                <w:sz w:val="21"/>
                <w:szCs w:val="21"/>
              </w:rPr>
            </w:pPr>
            <w:r>
              <w:rPr>
                <w:rFonts w:hint="default" w:ascii="Times New Roman" w:hAnsi="Times New Roman" w:cs="Times New Roman"/>
                <w:b/>
                <w:sz w:val="21"/>
                <w:szCs w:val="21"/>
              </w:rPr>
              <w:t>危险等级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2528" w:type="dxa"/>
            <w:tcBorders>
              <w:top w:val="single" w:color="auto" w:sz="4" w:space="0"/>
              <w:left w:val="single" w:color="auto" w:sz="4" w:space="0"/>
              <w:bottom w:val="single" w:color="auto" w:sz="4" w:space="0"/>
              <w:right w:val="single" w:color="auto" w:sz="4" w:space="0"/>
            </w:tcBorders>
            <w:vAlign w:val="center"/>
          </w:tcPr>
          <w:p>
            <w:pPr>
              <w:pStyle w:val="12"/>
              <w:spacing w:line="300" w:lineRule="exact"/>
              <w:ind w:firstLine="420"/>
              <w:jc w:val="center"/>
              <w:rPr>
                <w:rFonts w:hint="default" w:ascii="Times New Roman" w:hAnsi="Times New Roman" w:cs="Times New Roman"/>
                <w:sz w:val="21"/>
                <w:szCs w:val="21"/>
              </w:rPr>
            </w:pPr>
            <w:r>
              <w:rPr>
                <w:rFonts w:hint="default" w:ascii="Times New Roman" w:hAnsi="Times New Roman" w:cs="Times New Roman"/>
                <w:sz w:val="21"/>
                <w:szCs w:val="21"/>
              </w:rPr>
              <w:t>1～60</w:t>
            </w:r>
          </w:p>
        </w:tc>
        <w:tc>
          <w:tcPr>
            <w:tcW w:w="6508" w:type="dxa"/>
            <w:tcBorders>
              <w:top w:val="single" w:color="auto" w:sz="4" w:space="0"/>
              <w:left w:val="single" w:color="auto" w:sz="4" w:space="0"/>
              <w:bottom w:val="single" w:color="auto" w:sz="4" w:space="0"/>
              <w:right w:val="single" w:color="auto" w:sz="4" w:space="0"/>
            </w:tcBorders>
            <w:vAlign w:val="center"/>
          </w:tcPr>
          <w:p>
            <w:pPr>
              <w:pStyle w:val="12"/>
              <w:spacing w:line="300" w:lineRule="exact"/>
              <w:ind w:firstLine="420"/>
              <w:jc w:val="center"/>
              <w:rPr>
                <w:rFonts w:hint="default" w:ascii="Times New Roman" w:hAnsi="Times New Roman" w:cs="Times New Roman"/>
                <w:sz w:val="21"/>
                <w:szCs w:val="21"/>
              </w:rPr>
            </w:pPr>
            <w:r>
              <w:rPr>
                <w:rFonts w:hint="default" w:ascii="Times New Roman" w:hAnsi="Times New Roman" w:cs="Times New Roman"/>
                <w:sz w:val="21"/>
                <w:szCs w:val="21"/>
              </w:rPr>
              <w:t>最轻</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2528" w:type="dxa"/>
            <w:tcBorders>
              <w:top w:val="single" w:color="auto" w:sz="4" w:space="0"/>
              <w:left w:val="single" w:color="auto" w:sz="4" w:space="0"/>
              <w:bottom w:val="single" w:color="auto" w:sz="4" w:space="0"/>
              <w:right w:val="single" w:color="auto" w:sz="4" w:space="0"/>
            </w:tcBorders>
            <w:vAlign w:val="center"/>
          </w:tcPr>
          <w:p>
            <w:pPr>
              <w:pStyle w:val="12"/>
              <w:spacing w:line="300" w:lineRule="exact"/>
              <w:ind w:firstLine="420"/>
              <w:jc w:val="center"/>
              <w:rPr>
                <w:rFonts w:hint="default" w:ascii="Times New Roman" w:hAnsi="Times New Roman" w:cs="Times New Roman"/>
                <w:sz w:val="21"/>
                <w:szCs w:val="21"/>
              </w:rPr>
            </w:pPr>
            <w:r>
              <w:rPr>
                <w:rFonts w:hint="default" w:ascii="Times New Roman" w:hAnsi="Times New Roman" w:cs="Times New Roman"/>
                <w:sz w:val="21"/>
                <w:szCs w:val="21"/>
              </w:rPr>
              <w:t>61～96</w:t>
            </w:r>
          </w:p>
        </w:tc>
        <w:tc>
          <w:tcPr>
            <w:tcW w:w="6508" w:type="dxa"/>
            <w:tcBorders>
              <w:top w:val="single" w:color="auto" w:sz="4" w:space="0"/>
              <w:left w:val="single" w:color="auto" w:sz="4" w:space="0"/>
              <w:bottom w:val="single" w:color="auto" w:sz="4" w:space="0"/>
              <w:right w:val="single" w:color="auto" w:sz="4" w:space="0"/>
            </w:tcBorders>
            <w:vAlign w:val="center"/>
          </w:tcPr>
          <w:p>
            <w:pPr>
              <w:pStyle w:val="12"/>
              <w:spacing w:line="300" w:lineRule="exact"/>
              <w:ind w:firstLine="420"/>
              <w:jc w:val="center"/>
              <w:rPr>
                <w:rFonts w:hint="default" w:ascii="Times New Roman" w:hAnsi="Times New Roman" w:cs="Times New Roman"/>
                <w:sz w:val="21"/>
                <w:szCs w:val="21"/>
              </w:rPr>
            </w:pPr>
            <w:r>
              <w:rPr>
                <w:rFonts w:hint="default" w:ascii="Times New Roman" w:hAnsi="Times New Roman" w:cs="Times New Roman"/>
                <w:sz w:val="21"/>
                <w:szCs w:val="21"/>
              </w:rPr>
              <w:t>较轻</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2528" w:type="dxa"/>
            <w:tcBorders>
              <w:top w:val="single" w:color="auto" w:sz="4" w:space="0"/>
              <w:left w:val="single" w:color="auto" w:sz="4" w:space="0"/>
              <w:bottom w:val="single" w:color="auto" w:sz="4" w:space="0"/>
              <w:right w:val="single" w:color="auto" w:sz="4" w:space="0"/>
            </w:tcBorders>
            <w:vAlign w:val="center"/>
          </w:tcPr>
          <w:p>
            <w:pPr>
              <w:pStyle w:val="12"/>
              <w:spacing w:line="300" w:lineRule="exact"/>
              <w:ind w:firstLine="420"/>
              <w:jc w:val="center"/>
              <w:rPr>
                <w:rFonts w:hint="default" w:ascii="Times New Roman" w:hAnsi="Times New Roman" w:cs="Times New Roman"/>
                <w:sz w:val="21"/>
                <w:szCs w:val="21"/>
              </w:rPr>
            </w:pPr>
            <w:r>
              <w:rPr>
                <w:rFonts w:hint="default" w:ascii="Times New Roman" w:hAnsi="Times New Roman" w:cs="Times New Roman"/>
                <w:sz w:val="21"/>
                <w:szCs w:val="21"/>
              </w:rPr>
              <w:t>97～127</w:t>
            </w:r>
          </w:p>
        </w:tc>
        <w:tc>
          <w:tcPr>
            <w:tcW w:w="6508" w:type="dxa"/>
            <w:tcBorders>
              <w:top w:val="single" w:color="auto" w:sz="4" w:space="0"/>
              <w:left w:val="single" w:color="auto" w:sz="4" w:space="0"/>
              <w:bottom w:val="single" w:color="auto" w:sz="4" w:space="0"/>
              <w:right w:val="single" w:color="auto" w:sz="4" w:space="0"/>
            </w:tcBorders>
            <w:vAlign w:val="center"/>
          </w:tcPr>
          <w:p>
            <w:pPr>
              <w:pStyle w:val="12"/>
              <w:spacing w:line="300" w:lineRule="exact"/>
              <w:ind w:firstLine="420"/>
              <w:jc w:val="center"/>
              <w:rPr>
                <w:rFonts w:hint="default" w:ascii="Times New Roman" w:hAnsi="Times New Roman" w:cs="Times New Roman"/>
                <w:sz w:val="21"/>
                <w:szCs w:val="21"/>
              </w:rPr>
            </w:pPr>
            <w:r>
              <w:rPr>
                <w:rFonts w:hint="default" w:ascii="Times New Roman" w:hAnsi="Times New Roman" w:cs="Times New Roman"/>
                <w:sz w:val="21"/>
                <w:szCs w:val="21"/>
              </w:rPr>
              <w:t>中等</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2528" w:type="dxa"/>
            <w:tcBorders>
              <w:top w:val="single" w:color="auto" w:sz="4" w:space="0"/>
              <w:left w:val="single" w:color="auto" w:sz="4" w:space="0"/>
              <w:bottom w:val="single" w:color="auto" w:sz="4" w:space="0"/>
              <w:right w:val="single" w:color="auto" w:sz="4" w:space="0"/>
            </w:tcBorders>
            <w:vAlign w:val="center"/>
          </w:tcPr>
          <w:p>
            <w:pPr>
              <w:pStyle w:val="12"/>
              <w:spacing w:line="300" w:lineRule="exact"/>
              <w:ind w:firstLine="420"/>
              <w:jc w:val="center"/>
              <w:rPr>
                <w:rFonts w:hint="default" w:ascii="Times New Roman" w:hAnsi="Times New Roman" w:cs="Times New Roman"/>
                <w:sz w:val="21"/>
                <w:szCs w:val="21"/>
              </w:rPr>
            </w:pPr>
            <w:r>
              <w:rPr>
                <w:rFonts w:hint="default" w:ascii="Times New Roman" w:hAnsi="Times New Roman" w:cs="Times New Roman"/>
                <w:sz w:val="21"/>
                <w:szCs w:val="21"/>
              </w:rPr>
              <w:t>128～158</w:t>
            </w:r>
          </w:p>
        </w:tc>
        <w:tc>
          <w:tcPr>
            <w:tcW w:w="6508" w:type="dxa"/>
            <w:tcBorders>
              <w:top w:val="single" w:color="auto" w:sz="4" w:space="0"/>
              <w:left w:val="single" w:color="auto" w:sz="4" w:space="0"/>
              <w:bottom w:val="single" w:color="auto" w:sz="4" w:space="0"/>
              <w:right w:val="single" w:color="auto" w:sz="4" w:space="0"/>
            </w:tcBorders>
            <w:vAlign w:val="center"/>
          </w:tcPr>
          <w:p>
            <w:pPr>
              <w:pStyle w:val="12"/>
              <w:spacing w:line="300" w:lineRule="exact"/>
              <w:ind w:firstLine="420"/>
              <w:jc w:val="center"/>
              <w:rPr>
                <w:rFonts w:hint="default" w:ascii="Times New Roman" w:hAnsi="Times New Roman" w:cs="Times New Roman"/>
                <w:sz w:val="21"/>
                <w:szCs w:val="21"/>
              </w:rPr>
            </w:pPr>
            <w:r>
              <w:rPr>
                <w:rFonts w:hint="default" w:ascii="Times New Roman" w:hAnsi="Times New Roman" w:cs="Times New Roman"/>
                <w:sz w:val="21"/>
                <w:szCs w:val="21"/>
              </w:rPr>
              <w:t>很大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2528" w:type="dxa"/>
            <w:tcBorders>
              <w:top w:val="single" w:color="auto" w:sz="4" w:space="0"/>
              <w:left w:val="single" w:color="auto" w:sz="4" w:space="0"/>
              <w:bottom w:val="single" w:color="auto" w:sz="4" w:space="0"/>
              <w:right w:val="single" w:color="auto" w:sz="4" w:space="0"/>
            </w:tcBorders>
            <w:vAlign w:val="center"/>
          </w:tcPr>
          <w:p>
            <w:pPr>
              <w:pStyle w:val="12"/>
              <w:spacing w:line="300" w:lineRule="exact"/>
              <w:ind w:firstLine="420"/>
              <w:jc w:val="center"/>
              <w:rPr>
                <w:rFonts w:hint="default" w:ascii="Times New Roman" w:hAnsi="Times New Roman" w:cs="Times New Roman"/>
                <w:sz w:val="21"/>
                <w:szCs w:val="21"/>
              </w:rPr>
            </w:pPr>
            <w:r>
              <w:rPr>
                <w:rFonts w:hint="default" w:ascii="Times New Roman" w:hAnsi="Times New Roman" w:cs="Times New Roman"/>
                <w:sz w:val="21"/>
                <w:szCs w:val="21"/>
              </w:rPr>
              <w:t>＞159</w:t>
            </w:r>
          </w:p>
        </w:tc>
        <w:tc>
          <w:tcPr>
            <w:tcW w:w="6508" w:type="dxa"/>
            <w:tcBorders>
              <w:top w:val="single" w:color="auto" w:sz="4" w:space="0"/>
              <w:left w:val="single" w:color="auto" w:sz="4" w:space="0"/>
              <w:bottom w:val="single" w:color="auto" w:sz="4" w:space="0"/>
              <w:right w:val="single" w:color="auto" w:sz="4" w:space="0"/>
            </w:tcBorders>
            <w:vAlign w:val="center"/>
          </w:tcPr>
          <w:p>
            <w:pPr>
              <w:pStyle w:val="12"/>
              <w:spacing w:line="300" w:lineRule="exact"/>
              <w:ind w:firstLine="420"/>
              <w:jc w:val="center"/>
              <w:rPr>
                <w:rFonts w:hint="default" w:ascii="Times New Roman" w:hAnsi="Times New Roman" w:cs="Times New Roman"/>
                <w:sz w:val="21"/>
                <w:szCs w:val="21"/>
              </w:rPr>
            </w:pPr>
            <w:r>
              <w:rPr>
                <w:rFonts w:hint="default" w:ascii="Times New Roman" w:hAnsi="Times New Roman" w:cs="Times New Roman"/>
                <w:sz w:val="21"/>
                <w:szCs w:val="21"/>
              </w:rPr>
              <w:t>非常大</w:t>
            </w:r>
          </w:p>
        </w:tc>
      </w:tr>
    </w:tbl>
    <w:p>
      <w:pPr>
        <w:snapToGrid w:val="0"/>
        <w:spacing w:line="500" w:lineRule="exact"/>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根据上表火灾爆炸指数F&amp;EI与危险等级的对应关系可知，该油站埋地油罐的F&amp;EI =</w:t>
      </w:r>
      <w:r>
        <w:rPr>
          <w:rFonts w:hint="eastAsia" w:ascii="Times New Roman" w:hAnsi="Times New Roman" w:cs="Times New Roman"/>
          <w:sz w:val="28"/>
          <w:szCs w:val="28"/>
          <w:lang w:val="en-US" w:eastAsia="zh-CN"/>
        </w:rPr>
        <w:t>65.04</w:t>
      </w:r>
      <w:r>
        <w:rPr>
          <w:rFonts w:hint="default" w:ascii="Times New Roman" w:hAnsi="Times New Roman" w:cs="Times New Roman"/>
          <w:sz w:val="28"/>
          <w:szCs w:val="28"/>
        </w:rPr>
        <w:t>，危险等级为“较轻”。</w:t>
      </w:r>
    </w:p>
    <w:p>
      <w:pPr>
        <w:pStyle w:val="5"/>
        <w:spacing w:beforeLines="100" w:afterLines="100" w:line="240" w:lineRule="auto"/>
        <w:rPr>
          <w:rFonts w:hint="default" w:ascii="Times New Roman" w:hAnsi="Times New Roman" w:cs="Times New Roman"/>
          <w:sz w:val="28"/>
          <w:szCs w:val="28"/>
        </w:rPr>
      </w:pPr>
      <w:r>
        <w:rPr>
          <w:rFonts w:hint="default" w:ascii="Times New Roman" w:hAnsi="Times New Roman" w:cs="Times New Roman"/>
          <w:sz w:val="28"/>
          <w:szCs w:val="28"/>
        </w:rPr>
        <w:t>4.2.4</w:t>
      </w:r>
      <w:r>
        <w:rPr>
          <w:rFonts w:hint="eastAsia" w:ascii="Times New Roman" w:hAnsi="Times New Roman" w:cs="Times New Roman"/>
          <w:sz w:val="28"/>
          <w:szCs w:val="28"/>
          <w:lang w:val="en-US" w:eastAsia="zh-CN"/>
        </w:rPr>
        <w:t xml:space="preserve"> </w:t>
      </w:r>
      <w:r>
        <w:rPr>
          <w:rFonts w:hint="default" w:ascii="Times New Roman" w:hAnsi="Times New Roman" w:cs="Times New Roman"/>
          <w:sz w:val="28"/>
          <w:szCs w:val="28"/>
        </w:rPr>
        <w:t>确定安全措施补偿系数CF</w:t>
      </w:r>
    </w:p>
    <w:p>
      <w:pPr>
        <w:pStyle w:val="12"/>
        <w:spacing w:line="500" w:lineRule="exact"/>
        <w:rPr>
          <w:rFonts w:hint="default" w:ascii="Times New Roman" w:hAnsi="Times New Roman" w:cs="Times New Roman"/>
          <w:szCs w:val="28"/>
        </w:rPr>
      </w:pPr>
      <w:r>
        <w:rPr>
          <w:rFonts w:hint="default" w:ascii="Times New Roman" w:hAnsi="Times New Roman" w:cs="Times New Roman"/>
          <w:szCs w:val="28"/>
        </w:rPr>
        <w:t>通过采取一系列的安全措施，不仅能预防严重事故的发生，也能降低事故的发生概率和危害，安全措施可分为工艺控制（C</w:t>
      </w:r>
      <w:r>
        <w:rPr>
          <w:rFonts w:hint="default" w:ascii="Times New Roman" w:hAnsi="Times New Roman" w:cs="Times New Roman"/>
          <w:szCs w:val="28"/>
          <w:vertAlign w:val="subscript"/>
        </w:rPr>
        <w:t>1</w:t>
      </w:r>
      <w:r>
        <w:rPr>
          <w:rFonts w:hint="default" w:ascii="Times New Roman" w:hAnsi="Times New Roman" w:cs="Times New Roman"/>
          <w:szCs w:val="28"/>
        </w:rPr>
        <w:t>），物质隔离（C</w:t>
      </w:r>
      <w:r>
        <w:rPr>
          <w:rFonts w:hint="default" w:ascii="Times New Roman" w:hAnsi="Times New Roman" w:cs="Times New Roman"/>
          <w:szCs w:val="28"/>
          <w:vertAlign w:val="subscript"/>
        </w:rPr>
        <w:t>2</w:t>
      </w:r>
      <w:r>
        <w:rPr>
          <w:rFonts w:hint="default" w:ascii="Times New Roman" w:hAnsi="Times New Roman" w:cs="Times New Roman"/>
          <w:szCs w:val="28"/>
        </w:rPr>
        <w:t>）和防火措施（C</w:t>
      </w:r>
      <w:r>
        <w:rPr>
          <w:rFonts w:hint="default" w:ascii="Times New Roman" w:hAnsi="Times New Roman" w:cs="Times New Roman"/>
          <w:szCs w:val="28"/>
          <w:vertAlign w:val="subscript"/>
        </w:rPr>
        <w:t>3</w:t>
      </w:r>
      <w:r>
        <w:rPr>
          <w:rFonts w:hint="default" w:ascii="Times New Roman" w:hAnsi="Times New Roman" w:cs="Times New Roman"/>
          <w:szCs w:val="28"/>
        </w:rPr>
        <w:t>）等三大类。安全措施补偿系数CF= C</w:t>
      </w:r>
      <w:r>
        <w:rPr>
          <w:rFonts w:hint="default" w:ascii="Times New Roman" w:hAnsi="Times New Roman" w:cs="Times New Roman"/>
          <w:szCs w:val="28"/>
          <w:vertAlign w:val="subscript"/>
        </w:rPr>
        <w:t>1</w:t>
      </w:r>
      <w:r>
        <w:rPr>
          <w:rFonts w:hint="default" w:ascii="Times New Roman" w:hAnsi="Times New Roman" w:cs="Times New Roman"/>
          <w:szCs w:val="28"/>
        </w:rPr>
        <w:t>×C</w:t>
      </w:r>
      <w:r>
        <w:rPr>
          <w:rFonts w:hint="default" w:ascii="Times New Roman" w:hAnsi="Times New Roman" w:cs="Times New Roman"/>
          <w:szCs w:val="28"/>
          <w:vertAlign w:val="subscript"/>
        </w:rPr>
        <w:t>2</w:t>
      </w:r>
      <w:r>
        <w:rPr>
          <w:rFonts w:hint="default" w:ascii="Times New Roman" w:hAnsi="Times New Roman" w:cs="Times New Roman"/>
          <w:szCs w:val="28"/>
        </w:rPr>
        <w:t>×C</w:t>
      </w:r>
      <w:r>
        <w:rPr>
          <w:rFonts w:hint="default" w:ascii="Times New Roman" w:hAnsi="Times New Roman" w:cs="Times New Roman"/>
          <w:szCs w:val="28"/>
          <w:vertAlign w:val="subscript"/>
        </w:rPr>
        <w:t>3</w:t>
      </w:r>
      <w:r>
        <w:rPr>
          <w:rFonts w:hint="default" w:ascii="Times New Roman" w:hAnsi="Times New Roman" w:cs="Times New Roman"/>
          <w:szCs w:val="28"/>
        </w:rPr>
        <w:t>。见下表：</w:t>
      </w:r>
    </w:p>
    <w:p>
      <w:pPr>
        <w:spacing w:line="500" w:lineRule="exact"/>
        <w:jc w:val="center"/>
        <w:rPr>
          <w:rFonts w:hint="default" w:ascii="Times New Roman" w:hAnsi="Times New Roman" w:cs="Times New Roman"/>
          <w:b/>
          <w:sz w:val="24"/>
        </w:rPr>
      </w:pPr>
      <w:r>
        <w:rPr>
          <w:rFonts w:hint="default" w:ascii="Times New Roman" w:hAnsi="Times New Roman" w:cs="Times New Roman"/>
          <w:b/>
          <w:sz w:val="24"/>
        </w:rPr>
        <w:t>附表4.2.4  安全措施补偿系数表</w:t>
      </w:r>
    </w:p>
    <w:tbl>
      <w:tblPr>
        <w:tblStyle w:val="29"/>
        <w:tblW w:w="93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59"/>
        <w:gridCol w:w="1500"/>
        <w:gridCol w:w="3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59"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项    目</w:t>
            </w:r>
          </w:p>
        </w:tc>
        <w:tc>
          <w:tcPr>
            <w:tcW w:w="1500"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汽油</w:t>
            </w:r>
          </w:p>
        </w:tc>
        <w:tc>
          <w:tcPr>
            <w:tcW w:w="3701"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选取理由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59"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代表性物质</w:t>
            </w:r>
          </w:p>
        </w:tc>
        <w:tc>
          <w:tcPr>
            <w:tcW w:w="1500"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C</w:t>
            </w:r>
            <w:r>
              <w:rPr>
                <w:rFonts w:hint="default" w:ascii="Times New Roman" w:hAnsi="Times New Roman" w:cs="Times New Roman"/>
                <w:vertAlign w:val="subscript"/>
              </w:rPr>
              <w:t>5</w:t>
            </w:r>
            <w:r>
              <w:rPr>
                <w:rFonts w:hint="default" w:ascii="Times New Roman" w:hAnsi="Times New Roman" w:cs="Times New Roman"/>
              </w:rPr>
              <w:t>H</w:t>
            </w:r>
            <w:r>
              <w:rPr>
                <w:rFonts w:hint="default" w:ascii="Times New Roman" w:hAnsi="Times New Roman" w:cs="Times New Roman"/>
                <w:vertAlign w:val="subscript"/>
              </w:rPr>
              <w:t>12</w:t>
            </w:r>
            <w:r>
              <w:rPr>
                <w:rFonts w:hint="default" w:ascii="Times New Roman" w:hAnsi="Times New Roman" w:cs="Times New Roman"/>
              </w:rPr>
              <w:t>-C</w:t>
            </w:r>
            <w:r>
              <w:rPr>
                <w:rFonts w:hint="default" w:ascii="Times New Roman" w:hAnsi="Times New Roman" w:cs="Times New Roman"/>
                <w:vertAlign w:val="subscript"/>
              </w:rPr>
              <w:t>9</w:t>
            </w:r>
            <w:r>
              <w:rPr>
                <w:rFonts w:hint="default" w:ascii="Times New Roman" w:hAnsi="Times New Roman" w:cs="Times New Roman"/>
              </w:rPr>
              <w:t>H</w:t>
            </w:r>
            <w:r>
              <w:rPr>
                <w:rFonts w:hint="default" w:ascii="Times New Roman" w:hAnsi="Times New Roman" w:cs="Times New Roman"/>
                <w:vertAlign w:val="subscript"/>
              </w:rPr>
              <w:t>20</w:t>
            </w:r>
          </w:p>
        </w:tc>
        <w:tc>
          <w:tcPr>
            <w:tcW w:w="3701"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59"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1工艺控制安全补偿系数C1</w:t>
            </w:r>
          </w:p>
        </w:tc>
        <w:tc>
          <w:tcPr>
            <w:tcW w:w="1500"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p>
        </w:tc>
        <w:tc>
          <w:tcPr>
            <w:tcW w:w="3701"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59"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（1）应急电源(0.98)</w:t>
            </w:r>
          </w:p>
        </w:tc>
        <w:tc>
          <w:tcPr>
            <w:tcW w:w="1500"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1.00</w:t>
            </w:r>
          </w:p>
        </w:tc>
        <w:tc>
          <w:tcPr>
            <w:tcW w:w="3701"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无自动应急电源。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59"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（2）冷却装置(0.97～0.99)</w:t>
            </w:r>
          </w:p>
        </w:tc>
        <w:tc>
          <w:tcPr>
            <w:tcW w:w="1500"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1.00</w:t>
            </w:r>
          </w:p>
        </w:tc>
        <w:tc>
          <w:tcPr>
            <w:tcW w:w="3701"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无冷却系统。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59"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（3）抑爆装置(0.84～0.98)</w:t>
            </w:r>
          </w:p>
        </w:tc>
        <w:tc>
          <w:tcPr>
            <w:tcW w:w="1500"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1.00</w:t>
            </w:r>
          </w:p>
        </w:tc>
        <w:tc>
          <w:tcPr>
            <w:tcW w:w="3701"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无防爆膜或泄爆口。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59"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（4）紧急切断装置(0.96～0.99)</w:t>
            </w:r>
          </w:p>
        </w:tc>
        <w:tc>
          <w:tcPr>
            <w:tcW w:w="1500"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0.96</w:t>
            </w:r>
          </w:p>
        </w:tc>
        <w:tc>
          <w:tcPr>
            <w:tcW w:w="3701"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加油机停电时自动停用。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59"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（5）计算机控制(0.93～0.99)</w:t>
            </w:r>
          </w:p>
        </w:tc>
        <w:tc>
          <w:tcPr>
            <w:tcW w:w="1500"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1.00</w:t>
            </w:r>
          </w:p>
        </w:tc>
        <w:tc>
          <w:tcPr>
            <w:tcW w:w="3701"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无信息系统。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59"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（6）惰性气体保护(0.94～0.96)</w:t>
            </w:r>
          </w:p>
        </w:tc>
        <w:tc>
          <w:tcPr>
            <w:tcW w:w="1500"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1.00</w:t>
            </w:r>
          </w:p>
        </w:tc>
        <w:tc>
          <w:tcPr>
            <w:tcW w:w="3701"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无惰性气体保护。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59"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（7）操作规程/程序(0.91～0.99)</w:t>
            </w:r>
          </w:p>
        </w:tc>
        <w:tc>
          <w:tcPr>
            <w:tcW w:w="1500"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0.95</w:t>
            </w:r>
          </w:p>
        </w:tc>
        <w:tc>
          <w:tcPr>
            <w:tcW w:w="3701"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有操作规程,鉴于管理水平不同,取中间值。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59"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（8）化学活泼性物质检查(0.91～0.98)</w:t>
            </w:r>
          </w:p>
        </w:tc>
        <w:tc>
          <w:tcPr>
            <w:tcW w:w="1500"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1.00</w:t>
            </w:r>
          </w:p>
        </w:tc>
        <w:tc>
          <w:tcPr>
            <w:tcW w:w="3701"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无此检查。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59"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（9）其他工艺危险分析(0.91～0.98)</w:t>
            </w:r>
          </w:p>
        </w:tc>
        <w:tc>
          <w:tcPr>
            <w:tcW w:w="1500"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0.98</w:t>
            </w:r>
          </w:p>
        </w:tc>
        <w:tc>
          <w:tcPr>
            <w:tcW w:w="3701"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采用检查表评估。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59"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C1=（1）～（9）各系数的乘积</w:t>
            </w:r>
          </w:p>
        </w:tc>
        <w:tc>
          <w:tcPr>
            <w:tcW w:w="1500"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0.89</w:t>
            </w:r>
          </w:p>
        </w:tc>
        <w:tc>
          <w:tcPr>
            <w:tcW w:w="3701"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0.96×0.95×0.98。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59"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2、物质隔离安全补偿系数C2</w:t>
            </w:r>
          </w:p>
        </w:tc>
        <w:tc>
          <w:tcPr>
            <w:tcW w:w="1500"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p>
        </w:tc>
        <w:tc>
          <w:tcPr>
            <w:tcW w:w="3701"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59"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（1）遥控阀(0.96～0.98)</w:t>
            </w:r>
          </w:p>
        </w:tc>
        <w:tc>
          <w:tcPr>
            <w:tcW w:w="1500"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1.00</w:t>
            </w:r>
          </w:p>
        </w:tc>
        <w:tc>
          <w:tcPr>
            <w:tcW w:w="3701"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没有可遥控操作的紧急切断阀。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59"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（2）备用泄料装置(0.96～0.98)</w:t>
            </w:r>
          </w:p>
        </w:tc>
        <w:tc>
          <w:tcPr>
            <w:tcW w:w="1500"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1.00</w:t>
            </w:r>
          </w:p>
        </w:tc>
        <w:tc>
          <w:tcPr>
            <w:tcW w:w="3701"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无备用泄漏装置。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（3）排放系统(0.91～0.97)</w:t>
            </w:r>
          </w:p>
        </w:tc>
        <w:tc>
          <w:tcPr>
            <w:tcW w:w="150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1.00</w:t>
            </w:r>
          </w:p>
        </w:tc>
        <w:tc>
          <w:tcPr>
            <w:tcW w:w="37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无油品的排放系统。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（4）连锁装置(0.98)</w:t>
            </w:r>
          </w:p>
        </w:tc>
        <w:tc>
          <w:tcPr>
            <w:tcW w:w="150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0.98</w:t>
            </w:r>
          </w:p>
        </w:tc>
        <w:tc>
          <w:tcPr>
            <w:tcW w:w="37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有联锁装置控制物流,如拉断阀、撞击自动锁住加油系统。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C2=（1）～（4）各系数的乘积</w:t>
            </w:r>
          </w:p>
        </w:tc>
        <w:tc>
          <w:tcPr>
            <w:tcW w:w="150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0.98</w:t>
            </w:r>
          </w:p>
        </w:tc>
        <w:tc>
          <w:tcPr>
            <w:tcW w:w="37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1.00×1.00×1.00×0.98。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3、防火设施安全补偿系数C3</w:t>
            </w:r>
          </w:p>
        </w:tc>
        <w:tc>
          <w:tcPr>
            <w:tcW w:w="150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p>
        </w:tc>
        <w:tc>
          <w:tcPr>
            <w:tcW w:w="37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（1）泄漏检测装置(0.94～0.98)</w:t>
            </w:r>
          </w:p>
        </w:tc>
        <w:tc>
          <w:tcPr>
            <w:tcW w:w="150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0.98</w:t>
            </w:r>
          </w:p>
        </w:tc>
        <w:tc>
          <w:tcPr>
            <w:tcW w:w="37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有泄漏检测装置。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（2）钢结构(0.95～0.98)</w:t>
            </w:r>
          </w:p>
        </w:tc>
        <w:tc>
          <w:tcPr>
            <w:tcW w:w="150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0.98</w:t>
            </w:r>
          </w:p>
        </w:tc>
        <w:tc>
          <w:tcPr>
            <w:tcW w:w="37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钢筋混凝土结构。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（3）消防水供应系统(0.94～0.97)</w:t>
            </w:r>
          </w:p>
        </w:tc>
        <w:tc>
          <w:tcPr>
            <w:tcW w:w="150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1.00</w:t>
            </w:r>
          </w:p>
        </w:tc>
        <w:tc>
          <w:tcPr>
            <w:tcW w:w="37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无独立电源供消防水。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（4）特殊灭火系统(0.91)</w:t>
            </w:r>
          </w:p>
        </w:tc>
        <w:tc>
          <w:tcPr>
            <w:tcW w:w="150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1.00</w:t>
            </w:r>
          </w:p>
        </w:tc>
        <w:tc>
          <w:tcPr>
            <w:tcW w:w="37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无特殊系统的安全措施。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（5）喷洒灭火系统(0.74～0.97)</w:t>
            </w:r>
          </w:p>
        </w:tc>
        <w:tc>
          <w:tcPr>
            <w:tcW w:w="150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1.00</w:t>
            </w:r>
          </w:p>
        </w:tc>
        <w:tc>
          <w:tcPr>
            <w:tcW w:w="37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无洒水灭火系统。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（6）水幕(0.97～0.98)</w:t>
            </w:r>
          </w:p>
        </w:tc>
        <w:tc>
          <w:tcPr>
            <w:tcW w:w="150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1.00</w:t>
            </w:r>
          </w:p>
        </w:tc>
        <w:tc>
          <w:tcPr>
            <w:tcW w:w="37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无自动喷水幕。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（7）泡沫灭火装置(0.92～0.97)</w:t>
            </w:r>
          </w:p>
        </w:tc>
        <w:tc>
          <w:tcPr>
            <w:tcW w:w="150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1.00</w:t>
            </w:r>
          </w:p>
        </w:tc>
        <w:tc>
          <w:tcPr>
            <w:tcW w:w="37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无泡沫灭火系统。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（8）手提式灭火器材/喷水枪(0.93～0.98)</w:t>
            </w:r>
          </w:p>
        </w:tc>
        <w:tc>
          <w:tcPr>
            <w:tcW w:w="150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0.98</w:t>
            </w:r>
          </w:p>
        </w:tc>
        <w:tc>
          <w:tcPr>
            <w:tcW w:w="37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配备符合需量的手提灭火器材。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（9）电缆防护(0.94～0.98)</w:t>
            </w:r>
          </w:p>
        </w:tc>
        <w:tc>
          <w:tcPr>
            <w:tcW w:w="150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0.94</w:t>
            </w:r>
          </w:p>
        </w:tc>
        <w:tc>
          <w:tcPr>
            <w:tcW w:w="37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电缆埋地。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C3=（1）～（9）各系数的乘积</w:t>
            </w:r>
          </w:p>
        </w:tc>
        <w:tc>
          <w:tcPr>
            <w:tcW w:w="150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left"/>
              <w:rPr>
                <w:rFonts w:hint="default" w:ascii="Times New Roman" w:hAnsi="Times New Roman" w:cs="Times New Roman"/>
                <w:sz w:val="21"/>
                <w:szCs w:val="21"/>
              </w:rPr>
            </w:pPr>
            <w:r>
              <w:rPr>
                <w:rFonts w:hint="default" w:ascii="Times New Roman" w:hAnsi="Times New Roman" w:cs="Times New Roman"/>
                <w:color w:val="000000"/>
                <w:sz w:val="21"/>
                <w:szCs w:val="21"/>
              </w:rPr>
              <w:t>0.882</w:t>
            </w:r>
          </w:p>
        </w:tc>
        <w:tc>
          <w:tcPr>
            <w:tcW w:w="37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left"/>
              <w:rPr>
                <w:rFonts w:hint="default" w:ascii="Times New Roman" w:hAnsi="Times New Roman" w:cs="Times New Roman"/>
                <w:sz w:val="21"/>
                <w:szCs w:val="21"/>
              </w:rPr>
            </w:pPr>
            <w:r>
              <w:rPr>
                <w:rFonts w:hint="default" w:ascii="Times New Roman" w:hAnsi="Times New Roman" w:cs="Times New Roman"/>
                <w:color w:val="000000"/>
                <w:sz w:val="21"/>
                <w:szCs w:val="21"/>
              </w:rPr>
              <w:t>0.98×0.98×0.98×0.94=0.882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安全措施补偿系数CF= C</w:t>
            </w:r>
            <w:r>
              <w:rPr>
                <w:rFonts w:hint="default" w:ascii="Times New Roman" w:hAnsi="Times New Roman" w:cs="Times New Roman"/>
                <w:color w:val="000000"/>
                <w:sz w:val="21"/>
                <w:szCs w:val="21"/>
                <w:vertAlign w:val="subscript"/>
              </w:rPr>
              <w:t>1</w:t>
            </w:r>
            <w:r>
              <w:rPr>
                <w:rFonts w:hint="default" w:ascii="Times New Roman" w:hAnsi="Times New Roman" w:cs="Times New Roman"/>
                <w:color w:val="000000"/>
                <w:sz w:val="21"/>
                <w:szCs w:val="21"/>
              </w:rPr>
              <w:t>×C</w:t>
            </w:r>
            <w:r>
              <w:rPr>
                <w:rFonts w:hint="default" w:ascii="Times New Roman" w:hAnsi="Times New Roman" w:cs="Times New Roman"/>
                <w:color w:val="000000"/>
                <w:sz w:val="21"/>
                <w:szCs w:val="21"/>
                <w:vertAlign w:val="subscript"/>
              </w:rPr>
              <w:t>2</w:t>
            </w:r>
            <w:r>
              <w:rPr>
                <w:rFonts w:hint="default" w:ascii="Times New Roman" w:hAnsi="Times New Roman" w:cs="Times New Roman"/>
                <w:color w:val="000000"/>
                <w:sz w:val="21"/>
                <w:szCs w:val="21"/>
              </w:rPr>
              <w:t>×C</w:t>
            </w:r>
            <w:r>
              <w:rPr>
                <w:rFonts w:hint="default" w:ascii="Times New Roman" w:hAnsi="Times New Roman" w:cs="Times New Roman"/>
                <w:color w:val="000000"/>
                <w:sz w:val="21"/>
                <w:szCs w:val="21"/>
                <w:vertAlign w:val="subscript"/>
              </w:rPr>
              <w:t>3</w:t>
            </w:r>
          </w:p>
        </w:tc>
        <w:tc>
          <w:tcPr>
            <w:tcW w:w="150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left"/>
              <w:rPr>
                <w:rFonts w:hint="default" w:ascii="Times New Roman" w:hAnsi="Times New Roman" w:cs="Times New Roman"/>
                <w:sz w:val="21"/>
                <w:szCs w:val="21"/>
              </w:rPr>
            </w:pPr>
            <w:r>
              <w:rPr>
                <w:rFonts w:hint="default" w:ascii="Times New Roman" w:hAnsi="Times New Roman" w:cs="Times New Roman"/>
                <w:color w:val="000000"/>
                <w:sz w:val="21"/>
                <w:szCs w:val="21"/>
              </w:rPr>
              <w:t>0.769</w:t>
            </w:r>
          </w:p>
        </w:tc>
        <w:tc>
          <w:tcPr>
            <w:tcW w:w="37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0.89×0.98×0.882</w:t>
            </w:r>
          </w:p>
        </w:tc>
      </w:tr>
    </w:tbl>
    <w:p>
      <w:pPr>
        <w:pStyle w:val="5"/>
        <w:spacing w:beforeLines="100" w:afterLines="100" w:line="240" w:lineRule="auto"/>
        <w:rPr>
          <w:rFonts w:hint="default" w:ascii="Times New Roman" w:hAnsi="Times New Roman" w:cs="Times New Roman"/>
          <w:sz w:val="28"/>
          <w:szCs w:val="28"/>
        </w:rPr>
      </w:pPr>
      <w:r>
        <w:rPr>
          <w:rFonts w:hint="default" w:ascii="Times New Roman" w:hAnsi="Times New Roman" w:cs="Times New Roman"/>
          <w:sz w:val="28"/>
          <w:szCs w:val="28"/>
        </w:rPr>
        <w:t>4.2.5</w:t>
      </w:r>
      <w:r>
        <w:rPr>
          <w:rFonts w:hint="eastAsia" w:ascii="Times New Roman" w:hAnsi="Times New Roman" w:cs="Times New Roman"/>
          <w:sz w:val="28"/>
          <w:szCs w:val="28"/>
          <w:lang w:val="en-US" w:eastAsia="zh-CN"/>
        </w:rPr>
        <w:t xml:space="preserve"> </w:t>
      </w:r>
      <w:r>
        <w:rPr>
          <w:rFonts w:hint="default" w:ascii="Times New Roman" w:hAnsi="Times New Roman" w:cs="Times New Roman"/>
          <w:sz w:val="28"/>
          <w:szCs w:val="28"/>
        </w:rPr>
        <w:t>确定暴露半径R及暴露区域面积A</w:t>
      </w:r>
    </w:p>
    <w:p>
      <w:pPr>
        <w:pStyle w:val="12"/>
        <w:spacing w:line="500" w:lineRule="exact"/>
        <w:rPr>
          <w:rFonts w:hint="default" w:ascii="Times New Roman" w:hAnsi="Times New Roman" w:cs="Times New Roman"/>
          <w:szCs w:val="28"/>
        </w:rPr>
      </w:pPr>
      <w:r>
        <w:rPr>
          <w:rFonts w:hint="default" w:ascii="Times New Roman" w:hAnsi="Times New Roman" w:cs="Times New Roman"/>
          <w:szCs w:val="28"/>
        </w:rPr>
        <w:t>在火灾、爆炸事故中暴露区域内的设备、设施将会暴露在火灾或爆炸的环境之中，并可能遭受破坏。为了评价这些设备、设施在火灾、爆炸中遭受的破坏，将考虑实际影响的体积是一个围绕着工艺单元的园柱体的体积，其面积是暴露区域，高度相当于暴露半径。暴露半径（R：米）可以用F&amp;EI值乘以0.256，R=F&amp;EI×0.256，其中0.256为公英制转换：0.84×0.304=0.256，暴露半径也可查暴露半径计算图获得。暴露区域面积：A=πR2(</w:t>
      </w:r>
      <w:r>
        <w:rPr>
          <w:rFonts w:hint="eastAsia" w:ascii="Times New Roman" w:hAnsi="Times New Roman" w:cs="Times New Roman"/>
          <w:szCs w:val="28"/>
          <w:lang w:eastAsia="zh-CN"/>
        </w:rPr>
        <w:t>㎡</w:t>
      </w:r>
      <w:r>
        <w:rPr>
          <w:rFonts w:hint="default" w:ascii="Times New Roman" w:hAnsi="Times New Roman" w:cs="Times New Roman"/>
          <w:szCs w:val="28"/>
        </w:rPr>
        <w:t>)。</w:t>
      </w:r>
    </w:p>
    <w:p>
      <w:pPr>
        <w:pStyle w:val="12"/>
        <w:spacing w:line="500" w:lineRule="exact"/>
        <w:rPr>
          <w:rFonts w:hint="default" w:ascii="Times New Roman" w:hAnsi="Times New Roman" w:cs="Times New Roman"/>
          <w:szCs w:val="28"/>
        </w:rPr>
      </w:pPr>
      <w:r>
        <w:rPr>
          <w:rFonts w:hint="default" w:ascii="Times New Roman" w:hAnsi="Times New Roman" w:cs="Times New Roman"/>
          <w:szCs w:val="28"/>
        </w:rPr>
        <w:t>该油站埋地油罐单元：</w:t>
      </w:r>
    </w:p>
    <w:p>
      <w:pPr>
        <w:pStyle w:val="12"/>
        <w:spacing w:line="500" w:lineRule="exact"/>
        <w:rPr>
          <w:rFonts w:hint="default" w:ascii="Times New Roman" w:hAnsi="Times New Roman" w:cs="Times New Roman"/>
          <w:szCs w:val="28"/>
        </w:rPr>
      </w:pPr>
      <w:r>
        <w:rPr>
          <w:rFonts w:hint="default" w:ascii="Times New Roman" w:hAnsi="Times New Roman" w:cs="Times New Roman"/>
          <w:szCs w:val="28"/>
        </w:rPr>
        <w:t>暴露半径R=F&amp;EI×0.256=6</w:t>
      </w:r>
      <w:r>
        <w:rPr>
          <w:rFonts w:hint="eastAsia" w:ascii="Times New Roman" w:hAnsi="Times New Roman" w:cs="Times New Roman"/>
          <w:szCs w:val="28"/>
          <w:lang w:val="en-US" w:eastAsia="zh-CN"/>
        </w:rPr>
        <w:t>5</w:t>
      </w:r>
      <w:r>
        <w:rPr>
          <w:rFonts w:hint="default" w:ascii="Times New Roman" w:hAnsi="Times New Roman" w:cs="Times New Roman"/>
          <w:szCs w:val="28"/>
        </w:rPr>
        <w:t>.0</w:t>
      </w:r>
      <w:r>
        <w:rPr>
          <w:rFonts w:hint="eastAsia" w:ascii="Times New Roman" w:hAnsi="Times New Roman" w:cs="Times New Roman"/>
          <w:szCs w:val="28"/>
          <w:lang w:val="en-US" w:eastAsia="zh-CN"/>
        </w:rPr>
        <w:t>4</w:t>
      </w:r>
      <w:r>
        <w:rPr>
          <w:rFonts w:hint="default" w:ascii="Times New Roman" w:hAnsi="Times New Roman" w:cs="Times New Roman"/>
          <w:szCs w:val="28"/>
        </w:rPr>
        <w:t>×0.256≈16.</w:t>
      </w:r>
      <w:r>
        <w:rPr>
          <w:rFonts w:hint="eastAsia" w:ascii="Times New Roman" w:hAnsi="Times New Roman" w:cs="Times New Roman"/>
          <w:szCs w:val="28"/>
          <w:lang w:val="en-US" w:eastAsia="zh-CN"/>
        </w:rPr>
        <w:t>65</w:t>
      </w:r>
      <w:r>
        <w:rPr>
          <w:rFonts w:hint="default" w:ascii="Times New Roman" w:hAnsi="Times New Roman" w:cs="Times New Roman"/>
          <w:szCs w:val="28"/>
        </w:rPr>
        <w:t>m，</w:t>
      </w:r>
    </w:p>
    <w:p>
      <w:pPr>
        <w:pStyle w:val="12"/>
        <w:spacing w:line="500" w:lineRule="exact"/>
        <w:rPr>
          <w:rFonts w:hint="default" w:ascii="Times New Roman" w:hAnsi="Times New Roman" w:cs="Times New Roman"/>
          <w:szCs w:val="28"/>
        </w:rPr>
      </w:pPr>
      <w:r>
        <w:rPr>
          <w:rFonts w:hint="default" w:ascii="Times New Roman" w:hAnsi="Times New Roman" w:cs="Times New Roman"/>
          <w:szCs w:val="28"/>
        </w:rPr>
        <w:t>暴露区域面积A= πR</w:t>
      </w:r>
      <w:r>
        <w:rPr>
          <w:rFonts w:hint="default" w:ascii="Times New Roman" w:hAnsi="Times New Roman" w:cs="Times New Roman"/>
          <w:szCs w:val="28"/>
          <w:vertAlign w:val="superscript"/>
        </w:rPr>
        <w:t xml:space="preserve">2 </w:t>
      </w:r>
      <w:r>
        <w:rPr>
          <w:rFonts w:hint="default" w:ascii="Times New Roman" w:hAnsi="Times New Roman" w:cs="Times New Roman"/>
          <w:szCs w:val="28"/>
        </w:rPr>
        <w:t>= 3.14×16.</w:t>
      </w:r>
      <w:r>
        <w:rPr>
          <w:rFonts w:hint="eastAsia" w:ascii="Times New Roman" w:hAnsi="Times New Roman" w:cs="Times New Roman"/>
          <w:szCs w:val="28"/>
          <w:lang w:val="en-US" w:eastAsia="zh-CN"/>
        </w:rPr>
        <w:t>65</w:t>
      </w:r>
      <w:r>
        <w:rPr>
          <w:rFonts w:hint="eastAsia" w:ascii="Times New Roman" w:hAnsi="Times New Roman" w:cs="Times New Roman"/>
          <w:szCs w:val="28"/>
          <w:vertAlign w:val="superscript"/>
          <w:lang w:val="en-US" w:eastAsia="zh-CN"/>
        </w:rPr>
        <w:t>2</w:t>
      </w:r>
      <w:r>
        <w:rPr>
          <w:rFonts w:hint="default" w:ascii="Times New Roman" w:hAnsi="Times New Roman" w:cs="Times New Roman"/>
          <w:szCs w:val="28"/>
        </w:rPr>
        <w:t xml:space="preserve"> ≈</w:t>
      </w:r>
      <w:r>
        <w:rPr>
          <w:rFonts w:hint="eastAsia" w:ascii="Times New Roman" w:hAnsi="Times New Roman" w:cs="Times New Roman"/>
          <w:szCs w:val="28"/>
          <w:lang w:val="en-US" w:eastAsia="zh-CN"/>
        </w:rPr>
        <w:t>870.5</w:t>
      </w:r>
      <w:r>
        <w:rPr>
          <w:rFonts w:hint="eastAsia" w:ascii="宋体" w:hAnsi="宋体" w:eastAsia="宋体" w:cs="宋体"/>
          <w:szCs w:val="28"/>
        </w:rPr>
        <w:t>㎡</w:t>
      </w:r>
      <w:r>
        <w:rPr>
          <w:rFonts w:hint="default" w:ascii="Times New Roman" w:hAnsi="Times New Roman" w:cs="Times New Roman"/>
          <w:szCs w:val="28"/>
        </w:rPr>
        <w:t>；</w:t>
      </w:r>
    </w:p>
    <w:p>
      <w:pPr>
        <w:pStyle w:val="5"/>
        <w:spacing w:beforeLines="100" w:afterLines="100" w:line="240" w:lineRule="auto"/>
        <w:rPr>
          <w:rFonts w:hint="default" w:ascii="Times New Roman" w:hAnsi="Times New Roman" w:cs="Times New Roman"/>
          <w:sz w:val="28"/>
          <w:szCs w:val="28"/>
        </w:rPr>
      </w:pPr>
      <w:r>
        <w:rPr>
          <w:rFonts w:hint="default" w:ascii="Times New Roman" w:hAnsi="Times New Roman" w:cs="Times New Roman"/>
          <w:sz w:val="28"/>
          <w:szCs w:val="28"/>
        </w:rPr>
        <w:t>4.2.6</w:t>
      </w:r>
      <w:r>
        <w:rPr>
          <w:rFonts w:hint="eastAsia" w:ascii="Times New Roman" w:hAnsi="Times New Roman" w:cs="Times New Roman"/>
          <w:sz w:val="28"/>
          <w:szCs w:val="28"/>
          <w:lang w:val="en-US" w:eastAsia="zh-CN"/>
        </w:rPr>
        <w:t xml:space="preserve"> </w:t>
      </w:r>
      <w:r>
        <w:rPr>
          <w:rFonts w:hint="default" w:ascii="Times New Roman" w:hAnsi="Times New Roman" w:cs="Times New Roman"/>
          <w:sz w:val="28"/>
          <w:szCs w:val="28"/>
        </w:rPr>
        <w:t>危害系数HF</w:t>
      </w:r>
    </w:p>
    <w:p>
      <w:pPr>
        <w:pStyle w:val="12"/>
        <w:spacing w:line="500" w:lineRule="exact"/>
        <w:rPr>
          <w:rFonts w:hint="default" w:ascii="Times New Roman" w:hAnsi="Times New Roman" w:cs="Times New Roman"/>
          <w:szCs w:val="28"/>
        </w:rPr>
      </w:pPr>
      <w:r>
        <w:rPr>
          <w:rFonts w:hint="default" w:ascii="Times New Roman" w:hAnsi="Times New Roman" w:cs="Times New Roman"/>
          <w:szCs w:val="28"/>
        </w:rPr>
        <w:t>按道化评价法（七版）查图得危害系数HF值，埋地油罐单元MF=16，F3=4.005，查图得HF＝0.46。</w:t>
      </w:r>
    </w:p>
    <w:p>
      <w:pPr>
        <w:pStyle w:val="5"/>
        <w:spacing w:beforeLines="100" w:afterLines="100" w:line="240" w:lineRule="auto"/>
        <w:rPr>
          <w:rFonts w:hint="default" w:ascii="Times New Roman" w:hAnsi="Times New Roman" w:cs="Times New Roman"/>
          <w:sz w:val="28"/>
          <w:szCs w:val="28"/>
        </w:rPr>
      </w:pPr>
      <w:r>
        <w:rPr>
          <w:rFonts w:hint="default" w:ascii="Times New Roman" w:hAnsi="Times New Roman" w:cs="Times New Roman"/>
          <w:sz w:val="28"/>
          <w:szCs w:val="28"/>
        </w:rPr>
        <w:t>4.2.7</w:t>
      </w:r>
      <w:r>
        <w:rPr>
          <w:rFonts w:hint="eastAsia" w:ascii="Times New Roman" w:hAnsi="Times New Roman" w:cs="Times New Roman"/>
          <w:sz w:val="28"/>
          <w:szCs w:val="28"/>
          <w:lang w:val="en-US" w:eastAsia="zh-CN"/>
        </w:rPr>
        <w:t xml:space="preserve"> </w:t>
      </w:r>
      <w:r>
        <w:rPr>
          <w:rFonts w:hint="default" w:ascii="Times New Roman" w:hAnsi="Times New Roman" w:cs="Times New Roman"/>
          <w:sz w:val="28"/>
          <w:szCs w:val="28"/>
        </w:rPr>
        <w:t>基本最大可能财产损失(Base MPPD)</w:t>
      </w:r>
    </w:p>
    <w:p>
      <w:pPr>
        <w:pStyle w:val="12"/>
        <w:spacing w:line="500" w:lineRule="exact"/>
        <w:rPr>
          <w:rFonts w:hint="default" w:ascii="Times New Roman" w:hAnsi="Times New Roman" w:cs="Times New Roman"/>
          <w:szCs w:val="28"/>
        </w:rPr>
      </w:pPr>
      <w:r>
        <w:rPr>
          <w:rFonts w:hint="default" w:ascii="Times New Roman" w:hAnsi="Times New Roman" w:cs="Times New Roman"/>
          <w:szCs w:val="28"/>
        </w:rPr>
        <w:t>基本MPPD=MC×HF，式中MC为暴露区域内财产价值</w:t>
      </w:r>
    </w:p>
    <w:p>
      <w:pPr>
        <w:pStyle w:val="12"/>
        <w:spacing w:line="500" w:lineRule="exact"/>
        <w:rPr>
          <w:rFonts w:hint="default" w:ascii="Times New Roman" w:hAnsi="Times New Roman" w:cs="Times New Roman"/>
          <w:szCs w:val="28"/>
        </w:rPr>
      </w:pPr>
      <w:r>
        <w:rPr>
          <w:rFonts w:hint="default" w:ascii="Times New Roman" w:hAnsi="Times New Roman" w:cs="Times New Roman"/>
          <w:szCs w:val="28"/>
        </w:rPr>
        <w:t>该油站埋地油罐单元基本MPPD=MC×0.46。</w:t>
      </w:r>
    </w:p>
    <w:p>
      <w:pPr>
        <w:pStyle w:val="5"/>
        <w:spacing w:beforeLines="100" w:afterLines="100" w:line="240" w:lineRule="auto"/>
        <w:rPr>
          <w:rFonts w:hint="default" w:ascii="Times New Roman" w:hAnsi="Times New Roman" w:cs="Times New Roman"/>
          <w:sz w:val="28"/>
          <w:szCs w:val="28"/>
        </w:rPr>
      </w:pPr>
      <w:r>
        <w:rPr>
          <w:rFonts w:hint="default" w:ascii="Times New Roman" w:hAnsi="Times New Roman" w:cs="Times New Roman"/>
          <w:sz w:val="28"/>
          <w:szCs w:val="28"/>
        </w:rPr>
        <w:t>4.2.8</w:t>
      </w:r>
      <w:r>
        <w:rPr>
          <w:rFonts w:hint="eastAsia" w:ascii="Times New Roman" w:hAnsi="Times New Roman" w:cs="Times New Roman"/>
          <w:sz w:val="28"/>
          <w:szCs w:val="28"/>
          <w:lang w:val="en-US" w:eastAsia="zh-CN"/>
        </w:rPr>
        <w:t xml:space="preserve"> </w:t>
      </w:r>
      <w:r>
        <w:rPr>
          <w:rFonts w:hint="default" w:ascii="Times New Roman" w:hAnsi="Times New Roman" w:cs="Times New Roman"/>
          <w:sz w:val="28"/>
          <w:szCs w:val="28"/>
        </w:rPr>
        <w:t>实际最大可能财产损失(Actual MPPD)</w:t>
      </w:r>
    </w:p>
    <w:p>
      <w:pPr>
        <w:pStyle w:val="12"/>
        <w:spacing w:line="500" w:lineRule="exact"/>
        <w:rPr>
          <w:rFonts w:hint="default" w:ascii="Times New Roman" w:hAnsi="Times New Roman" w:cs="Times New Roman"/>
          <w:szCs w:val="28"/>
        </w:rPr>
      </w:pPr>
      <w:r>
        <w:rPr>
          <w:rFonts w:hint="default" w:ascii="Times New Roman" w:hAnsi="Times New Roman" w:cs="Times New Roman"/>
          <w:szCs w:val="28"/>
        </w:rPr>
        <w:t>实际MPPD=基本MPPD×CF，式中CF为安全措施补偿系数</w:t>
      </w:r>
    </w:p>
    <w:p>
      <w:pPr>
        <w:pStyle w:val="12"/>
        <w:spacing w:line="500" w:lineRule="exact"/>
        <w:rPr>
          <w:rFonts w:hint="default" w:ascii="Times New Roman" w:hAnsi="Times New Roman" w:cs="Times New Roman"/>
          <w:szCs w:val="28"/>
        </w:rPr>
      </w:pPr>
      <w:r>
        <w:rPr>
          <w:rFonts w:hint="default" w:ascii="Times New Roman" w:hAnsi="Times New Roman" w:cs="Times New Roman"/>
          <w:szCs w:val="28"/>
        </w:rPr>
        <w:t>该油站埋地油罐单元实际MPPD=MC×0.46×0.769=MC×0.354。</w:t>
      </w:r>
    </w:p>
    <w:p>
      <w:pPr>
        <w:pStyle w:val="5"/>
        <w:spacing w:beforeLines="100" w:afterLines="100" w:line="240" w:lineRule="auto"/>
        <w:rPr>
          <w:rFonts w:hint="default" w:ascii="Times New Roman" w:hAnsi="Times New Roman" w:cs="Times New Roman"/>
          <w:sz w:val="28"/>
          <w:szCs w:val="28"/>
        </w:rPr>
      </w:pPr>
      <w:r>
        <w:rPr>
          <w:rFonts w:hint="default" w:ascii="Times New Roman" w:hAnsi="Times New Roman" w:cs="Times New Roman"/>
          <w:sz w:val="28"/>
          <w:szCs w:val="28"/>
        </w:rPr>
        <w:t>4.2.9</w:t>
      </w:r>
      <w:r>
        <w:rPr>
          <w:rFonts w:hint="eastAsia" w:ascii="Times New Roman" w:hAnsi="Times New Roman" w:cs="Times New Roman"/>
          <w:sz w:val="28"/>
          <w:szCs w:val="28"/>
          <w:lang w:val="en-US" w:eastAsia="zh-CN"/>
        </w:rPr>
        <w:t xml:space="preserve"> </w:t>
      </w:r>
      <w:r>
        <w:rPr>
          <w:rFonts w:hint="default" w:ascii="Times New Roman" w:hAnsi="Times New Roman" w:cs="Times New Roman"/>
          <w:sz w:val="28"/>
          <w:szCs w:val="28"/>
        </w:rPr>
        <w:t>火灾、爆炸危险性分析汇总</w:t>
      </w:r>
    </w:p>
    <w:p>
      <w:pPr>
        <w:pStyle w:val="12"/>
        <w:spacing w:line="500" w:lineRule="exact"/>
        <w:rPr>
          <w:rFonts w:hint="default" w:ascii="Times New Roman" w:hAnsi="Times New Roman" w:cs="Times New Roman"/>
          <w:szCs w:val="28"/>
        </w:rPr>
      </w:pPr>
      <w:r>
        <w:rPr>
          <w:rFonts w:hint="default" w:ascii="Times New Roman" w:hAnsi="Times New Roman" w:cs="Times New Roman"/>
          <w:szCs w:val="28"/>
        </w:rPr>
        <w:t>该油站单元火灾、爆炸危险分析结果见下表。</w:t>
      </w:r>
    </w:p>
    <w:p>
      <w:pPr>
        <w:spacing w:line="500" w:lineRule="exact"/>
        <w:jc w:val="center"/>
        <w:rPr>
          <w:rFonts w:hint="default" w:ascii="Times New Roman" w:hAnsi="Times New Roman" w:cs="Times New Roman"/>
          <w:b/>
          <w:sz w:val="24"/>
        </w:rPr>
      </w:pPr>
      <w:r>
        <w:rPr>
          <w:rFonts w:hint="default" w:ascii="Times New Roman" w:hAnsi="Times New Roman" w:cs="Times New Roman"/>
          <w:b/>
          <w:sz w:val="24"/>
        </w:rPr>
        <w:t>附表4.2.9  火灾爆炸危险分析汇总表</w:t>
      </w:r>
    </w:p>
    <w:tbl>
      <w:tblPr>
        <w:tblStyle w:val="29"/>
        <w:tblW w:w="808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4031"/>
        <w:gridCol w:w="405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8" w:hRule="atLeast"/>
          <w:jc w:val="center"/>
        </w:trPr>
        <w:tc>
          <w:tcPr>
            <w:tcW w:w="4031" w:type="dxa"/>
            <w:tcBorders>
              <w:top w:val="single" w:color="auto" w:sz="4" w:space="0"/>
              <w:left w:val="single" w:color="auto" w:sz="4" w:space="0"/>
              <w:bottom w:val="single" w:color="auto" w:sz="4" w:space="0"/>
              <w:right w:val="single" w:color="auto" w:sz="4" w:space="0"/>
            </w:tcBorders>
            <w:vAlign w:val="center"/>
          </w:tcPr>
          <w:p>
            <w:pPr>
              <w:pStyle w:val="12"/>
              <w:spacing w:line="300" w:lineRule="exact"/>
              <w:ind w:firstLine="422"/>
              <w:jc w:val="center"/>
              <w:rPr>
                <w:rFonts w:hint="default" w:ascii="Times New Roman" w:hAnsi="Times New Roman" w:cs="Times New Roman"/>
                <w:b/>
                <w:sz w:val="21"/>
                <w:szCs w:val="21"/>
              </w:rPr>
            </w:pPr>
            <w:r>
              <w:rPr>
                <w:rFonts w:hint="default" w:ascii="Times New Roman" w:hAnsi="Times New Roman" w:cs="Times New Roman"/>
                <w:b/>
                <w:sz w:val="21"/>
                <w:szCs w:val="21"/>
              </w:rPr>
              <w:t>评价工艺单元</w:t>
            </w:r>
          </w:p>
        </w:tc>
        <w:tc>
          <w:tcPr>
            <w:tcW w:w="4051" w:type="dxa"/>
            <w:tcBorders>
              <w:top w:val="single" w:color="auto" w:sz="4" w:space="0"/>
              <w:left w:val="single" w:color="auto" w:sz="4" w:space="0"/>
              <w:bottom w:val="single" w:color="auto" w:sz="4" w:space="0"/>
              <w:right w:val="single" w:color="auto" w:sz="4" w:space="0"/>
            </w:tcBorders>
            <w:vAlign w:val="center"/>
          </w:tcPr>
          <w:p>
            <w:pPr>
              <w:pStyle w:val="12"/>
              <w:spacing w:line="300" w:lineRule="exact"/>
              <w:ind w:firstLine="422"/>
              <w:jc w:val="center"/>
              <w:rPr>
                <w:rFonts w:hint="default" w:ascii="Times New Roman" w:hAnsi="Times New Roman" w:cs="Times New Roman"/>
                <w:b/>
                <w:sz w:val="21"/>
                <w:szCs w:val="21"/>
              </w:rPr>
            </w:pPr>
            <w:r>
              <w:rPr>
                <w:rFonts w:hint="default" w:ascii="Times New Roman" w:hAnsi="Times New Roman" w:cs="Times New Roman"/>
                <w:b/>
                <w:sz w:val="21"/>
                <w:szCs w:val="21"/>
              </w:rPr>
              <w:t>汽油储罐</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8" w:hRule="atLeast"/>
          <w:jc w:val="center"/>
        </w:trPr>
        <w:tc>
          <w:tcPr>
            <w:tcW w:w="4031" w:type="dxa"/>
            <w:tcBorders>
              <w:top w:val="single" w:color="auto" w:sz="4" w:space="0"/>
              <w:left w:val="single" w:color="auto" w:sz="4" w:space="0"/>
              <w:bottom w:val="single" w:color="auto" w:sz="4" w:space="0"/>
              <w:right w:val="single" w:color="auto" w:sz="4" w:space="0"/>
            </w:tcBorders>
            <w:vAlign w:val="center"/>
          </w:tcPr>
          <w:p>
            <w:pPr>
              <w:pStyle w:val="12"/>
              <w:spacing w:line="300" w:lineRule="exact"/>
              <w:ind w:firstLine="210" w:firstLineChars="100"/>
              <w:rPr>
                <w:rFonts w:hint="default" w:ascii="Times New Roman" w:hAnsi="Times New Roman" w:cs="Times New Roman"/>
                <w:sz w:val="21"/>
                <w:szCs w:val="21"/>
              </w:rPr>
            </w:pPr>
            <w:r>
              <w:rPr>
                <w:rFonts w:hint="default" w:ascii="Times New Roman" w:hAnsi="Times New Roman" w:cs="Times New Roman"/>
                <w:sz w:val="21"/>
                <w:szCs w:val="21"/>
              </w:rPr>
              <w:t>代表性评价物质</w:t>
            </w:r>
          </w:p>
        </w:tc>
        <w:tc>
          <w:tcPr>
            <w:tcW w:w="4051" w:type="dxa"/>
            <w:tcBorders>
              <w:top w:val="single" w:color="auto" w:sz="4" w:space="0"/>
              <w:left w:val="single" w:color="auto" w:sz="4" w:space="0"/>
              <w:bottom w:val="single" w:color="auto" w:sz="4" w:space="0"/>
              <w:right w:val="single" w:color="auto" w:sz="4" w:space="0"/>
            </w:tcBorders>
            <w:vAlign w:val="center"/>
          </w:tcPr>
          <w:p>
            <w:pPr>
              <w:pStyle w:val="12"/>
              <w:spacing w:line="300" w:lineRule="exact"/>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汽油C</w:t>
            </w:r>
            <w:r>
              <w:rPr>
                <w:rFonts w:hint="default" w:ascii="Times New Roman" w:hAnsi="Times New Roman" w:cs="Times New Roman"/>
                <w:sz w:val="21"/>
                <w:szCs w:val="21"/>
                <w:vertAlign w:val="subscript"/>
              </w:rPr>
              <w:t>5</w:t>
            </w:r>
            <w:r>
              <w:rPr>
                <w:rFonts w:hint="default" w:ascii="Times New Roman" w:hAnsi="Times New Roman" w:cs="Times New Roman"/>
                <w:sz w:val="21"/>
                <w:szCs w:val="21"/>
              </w:rPr>
              <w:t>H</w:t>
            </w:r>
            <w:r>
              <w:rPr>
                <w:rFonts w:hint="default" w:ascii="Times New Roman" w:hAnsi="Times New Roman" w:cs="Times New Roman"/>
                <w:sz w:val="21"/>
                <w:szCs w:val="21"/>
                <w:vertAlign w:val="subscript"/>
              </w:rPr>
              <w:t>12</w:t>
            </w:r>
            <w:r>
              <w:rPr>
                <w:rFonts w:hint="default" w:ascii="Times New Roman" w:hAnsi="Times New Roman" w:cs="Times New Roman"/>
                <w:sz w:val="21"/>
                <w:szCs w:val="21"/>
              </w:rPr>
              <w:t>～C</w:t>
            </w:r>
            <w:r>
              <w:rPr>
                <w:rFonts w:hint="default" w:ascii="Times New Roman" w:hAnsi="Times New Roman" w:cs="Times New Roman"/>
                <w:sz w:val="21"/>
                <w:szCs w:val="21"/>
                <w:vertAlign w:val="subscript"/>
              </w:rPr>
              <w:t>9</w:t>
            </w:r>
            <w:r>
              <w:rPr>
                <w:rFonts w:hint="default" w:ascii="Times New Roman" w:hAnsi="Times New Roman" w:cs="Times New Roman"/>
                <w:sz w:val="21"/>
                <w:szCs w:val="21"/>
              </w:rPr>
              <w:t>H</w:t>
            </w:r>
            <w:r>
              <w:rPr>
                <w:rFonts w:hint="default" w:ascii="Times New Roman" w:hAnsi="Times New Roman" w:cs="Times New Roman"/>
                <w:sz w:val="21"/>
                <w:szCs w:val="21"/>
                <w:vertAlign w:val="subscript"/>
              </w:rPr>
              <w:t>20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8" w:hRule="atLeast"/>
          <w:jc w:val="center"/>
        </w:trPr>
        <w:tc>
          <w:tcPr>
            <w:tcW w:w="4031" w:type="dxa"/>
            <w:tcBorders>
              <w:top w:val="single" w:color="auto" w:sz="4" w:space="0"/>
              <w:left w:val="single" w:color="auto" w:sz="4" w:space="0"/>
              <w:bottom w:val="single" w:color="auto" w:sz="4" w:space="0"/>
              <w:right w:val="single" w:color="auto" w:sz="4" w:space="0"/>
            </w:tcBorders>
            <w:vAlign w:val="center"/>
          </w:tcPr>
          <w:p>
            <w:pPr>
              <w:pStyle w:val="12"/>
              <w:spacing w:line="300" w:lineRule="exact"/>
              <w:ind w:left="0" w:leftChars="0" w:right="0" w:rightChars="0" w:firstLine="210" w:firstLineChars="100"/>
              <w:rPr>
                <w:rFonts w:hint="default" w:ascii="Times New Roman" w:hAnsi="Times New Roman" w:cs="Times New Roman"/>
                <w:sz w:val="21"/>
                <w:szCs w:val="21"/>
              </w:rPr>
            </w:pPr>
            <w:r>
              <w:rPr>
                <w:rFonts w:hint="default" w:ascii="Times New Roman" w:hAnsi="Times New Roman" w:cs="Times New Roman"/>
                <w:color w:val="000000"/>
                <w:sz w:val="21"/>
                <w:szCs w:val="21"/>
              </w:rPr>
              <w:t>物质系数（MF）</w:t>
            </w:r>
          </w:p>
        </w:tc>
        <w:tc>
          <w:tcPr>
            <w:tcW w:w="4051" w:type="dxa"/>
            <w:tcBorders>
              <w:top w:val="single" w:color="auto" w:sz="4" w:space="0"/>
              <w:left w:val="single" w:color="auto" w:sz="4" w:space="0"/>
              <w:bottom w:val="single" w:color="auto" w:sz="4" w:space="0"/>
              <w:right w:val="single" w:color="auto" w:sz="4" w:space="0"/>
            </w:tcBorders>
            <w:vAlign w:val="center"/>
          </w:tcPr>
          <w:p>
            <w:pPr>
              <w:pStyle w:val="12"/>
              <w:spacing w:line="300" w:lineRule="exact"/>
              <w:ind w:left="0" w:leftChars="0" w:right="0" w:rightChars="0" w:firstLine="0" w:firstLineChars="0"/>
              <w:jc w:val="center"/>
              <w:rPr>
                <w:rFonts w:hint="default" w:ascii="Times New Roman" w:hAnsi="Times New Roman" w:cs="Times New Roman"/>
                <w:sz w:val="21"/>
                <w:szCs w:val="21"/>
              </w:rPr>
            </w:pPr>
            <w:r>
              <w:rPr>
                <w:rFonts w:hint="default" w:ascii="Times New Roman" w:hAnsi="Times New Roman" w:cs="Times New Roman"/>
                <w:color w:val="000000"/>
                <w:sz w:val="21"/>
                <w:szCs w:val="21"/>
              </w:rPr>
              <w:t>16</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8" w:hRule="atLeast"/>
          <w:jc w:val="center"/>
        </w:trPr>
        <w:tc>
          <w:tcPr>
            <w:tcW w:w="4031" w:type="dxa"/>
            <w:tcBorders>
              <w:top w:val="single" w:color="auto" w:sz="4" w:space="0"/>
              <w:left w:val="single" w:color="auto" w:sz="4" w:space="0"/>
              <w:bottom w:val="single" w:color="auto" w:sz="4" w:space="0"/>
              <w:right w:val="single" w:color="auto" w:sz="4" w:space="0"/>
            </w:tcBorders>
            <w:vAlign w:val="center"/>
          </w:tcPr>
          <w:p>
            <w:pPr>
              <w:pStyle w:val="12"/>
              <w:spacing w:line="300" w:lineRule="exact"/>
              <w:ind w:left="0" w:leftChars="0" w:right="0" w:rightChars="0" w:firstLine="210" w:firstLineChars="100"/>
              <w:rPr>
                <w:rFonts w:hint="default" w:ascii="Times New Roman" w:hAnsi="Times New Roman" w:cs="Times New Roman"/>
                <w:sz w:val="21"/>
                <w:szCs w:val="21"/>
              </w:rPr>
            </w:pPr>
            <w:r>
              <w:rPr>
                <w:rFonts w:hint="default" w:ascii="Times New Roman" w:hAnsi="Times New Roman" w:cs="Times New Roman"/>
                <w:color w:val="000000"/>
                <w:sz w:val="21"/>
                <w:szCs w:val="21"/>
              </w:rPr>
              <w:t>危险指数F&amp;EI=F</w:t>
            </w:r>
            <w:r>
              <w:rPr>
                <w:rFonts w:hint="default" w:ascii="Times New Roman" w:hAnsi="Times New Roman" w:cs="Times New Roman"/>
                <w:color w:val="000000"/>
                <w:sz w:val="21"/>
                <w:szCs w:val="21"/>
                <w:vertAlign w:val="subscript"/>
              </w:rPr>
              <w:t>3</w:t>
            </w:r>
            <w:r>
              <w:rPr>
                <w:rFonts w:hint="default" w:ascii="Times New Roman" w:hAnsi="Times New Roman" w:cs="Times New Roman"/>
                <w:color w:val="000000"/>
                <w:sz w:val="21"/>
                <w:szCs w:val="21"/>
              </w:rPr>
              <w:t>×MF</w:t>
            </w:r>
          </w:p>
        </w:tc>
        <w:tc>
          <w:tcPr>
            <w:tcW w:w="4051" w:type="dxa"/>
            <w:tcBorders>
              <w:top w:val="single" w:color="auto" w:sz="4" w:space="0"/>
              <w:left w:val="single" w:color="auto" w:sz="4" w:space="0"/>
              <w:bottom w:val="single" w:color="auto" w:sz="4" w:space="0"/>
              <w:right w:val="single" w:color="auto" w:sz="4" w:space="0"/>
            </w:tcBorders>
            <w:vAlign w:val="center"/>
          </w:tcPr>
          <w:p>
            <w:pPr>
              <w:pStyle w:val="12"/>
              <w:spacing w:line="300" w:lineRule="exact"/>
              <w:ind w:left="0" w:leftChars="0" w:right="0" w:rightChars="0"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cs="Times New Roman"/>
                <w:color w:val="000000"/>
                <w:sz w:val="21"/>
                <w:szCs w:val="21"/>
                <w:lang w:val="en-US" w:eastAsia="zh-CN"/>
              </w:rPr>
              <w:t>65.04</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8" w:hRule="atLeast"/>
          <w:jc w:val="center"/>
        </w:trPr>
        <w:tc>
          <w:tcPr>
            <w:tcW w:w="4031" w:type="dxa"/>
            <w:tcBorders>
              <w:top w:val="single" w:color="auto" w:sz="4" w:space="0"/>
              <w:left w:val="single" w:color="auto" w:sz="4" w:space="0"/>
              <w:bottom w:val="single" w:color="auto" w:sz="4" w:space="0"/>
              <w:right w:val="single" w:color="auto" w:sz="4" w:space="0"/>
            </w:tcBorders>
            <w:vAlign w:val="center"/>
          </w:tcPr>
          <w:p>
            <w:pPr>
              <w:pStyle w:val="12"/>
              <w:spacing w:line="300" w:lineRule="exact"/>
              <w:ind w:left="0" w:leftChars="0" w:right="0" w:rightChars="0" w:firstLine="210" w:firstLineChars="100"/>
              <w:rPr>
                <w:rFonts w:hint="default" w:ascii="Times New Roman" w:hAnsi="Times New Roman" w:cs="Times New Roman"/>
                <w:sz w:val="21"/>
                <w:szCs w:val="21"/>
              </w:rPr>
            </w:pPr>
            <w:r>
              <w:rPr>
                <w:rFonts w:hint="default" w:ascii="Times New Roman" w:hAnsi="Times New Roman" w:cs="Times New Roman"/>
                <w:color w:val="000000"/>
                <w:sz w:val="21"/>
                <w:szCs w:val="21"/>
              </w:rPr>
              <w:t>潜在火灾爆炸危险等级</w:t>
            </w:r>
          </w:p>
        </w:tc>
        <w:tc>
          <w:tcPr>
            <w:tcW w:w="4051" w:type="dxa"/>
            <w:tcBorders>
              <w:top w:val="single" w:color="auto" w:sz="4" w:space="0"/>
              <w:left w:val="single" w:color="auto" w:sz="4" w:space="0"/>
              <w:bottom w:val="single" w:color="auto" w:sz="4" w:space="0"/>
              <w:right w:val="single" w:color="auto" w:sz="4" w:space="0"/>
            </w:tcBorders>
            <w:vAlign w:val="center"/>
          </w:tcPr>
          <w:p>
            <w:pPr>
              <w:pStyle w:val="12"/>
              <w:spacing w:line="300" w:lineRule="exact"/>
              <w:ind w:left="0" w:leftChars="0" w:right="0" w:rightChars="0" w:firstLine="0" w:firstLineChars="0"/>
              <w:jc w:val="center"/>
              <w:rPr>
                <w:rFonts w:hint="default" w:ascii="Times New Roman" w:hAnsi="Times New Roman" w:cs="Times New Roman"/>
                <w:sz w:val="21"/>
                <w:szCs w:val="21"/>
              </w:rPr>
            </w:pPr>
            <w:r>
              <w:rPr>
                <w:rFonts w:hint="default" w:ascii="Times New Roman" w:hAnsi="Times New Roman" w:cs="Times New Roman"/>
                <w:color w:val="000000"/>
                <w:sz w:val="21"/>
                <w:szCs w:val="21"/>
              </w:rPr>
              <w:t>较轻</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8" w:hRule="atLeast"/>
          <w:jc w:val="center"/>
        </w:trPr>
        <w:tc>
          <w:tcPr>
            <w:tcW w:w="4031" w:type="dxa"/>
            <w:tcBorders>
              <w:top w:val="single" w:color="auto" w:sz="4" w:space="0"/>
              <w:left w:val="single" w:color="auto" w:sz="4" w:space="0"/>
              <w:bottom w:val="single" w:color="auto" w:sz="4" w:space="0"/>
              <w:right w:val="single" w:color="auto" w:sz="4" w:space="0"/>
            </w:tcBorders>
            <w:vAlign w:val="center"/>
          </w:tcPr>
          <w:p>
            <w:pPr>
              <w:pStyle w:val="12"/>
              <w:spacing w:line="300" w:lineRule="exact"/>
              <w:ind w:left="0" w:leftChars="0" w:right="0" w:rightChars="0" w:firstLine="210" w:firstLineChars="100"/>
              <w:rPr>
                <w:rFonts w:hint="default" w:ascii="Times New Roman" w:hAnsi="Times New Roman" w:cs="Times New Roman"/>
                <w:sz w:val="21"/>
                <w:szCs w:val="21"/>
              </w:rPr>
            </w:pPr>
            <w:r>
              <w:rPr>
                <w:rFonts w:hint="default" w:ascii="Times New Roman" w:hAnsi="Times New Roman" w:cs="Times New Roman"/>
                <w:color w:val="000000"/>
                <w:sz w:val="21"/>
                <w:szCs w:val="21"/>
              </w:rPr>
              <w:t>安全补偿系数CF=C</w:t>
            </w:r>
            <w:r>
              <w:rPr>
                <w:rFonts w:hint="default" w:ascii="Times New Roman" w:hAnsi="Times New Roman" w:cs="Times New Roman"/>
                <w:color w:val="000000"/>
                <w:sz w:val="21"/>
                <w:szCs w:val="21"/>
                <w:vertAlign w:val="subscript"/>
              </w:rPr>
              <w:t>1</w:t>
            </w:r>
            <w:r>
              <w:rPr>
                <w:rFonts w:hint="default" w:ascii="Times New Roman" w:hAnsi="Times New Roman" w:cs="Times New Roman"/>
                <w:color w:val="000000"/>
                <w:sz w:val="21"/>
                <w:szCs w:val="21"/>
              </w:rPr>
              <w:t>×C</w:t>
            </w:r>
            <w:r>
              <w:rPr>
                <w:rFonts w:hint="default" w:ascii="Times New Roman" w:hAnsi="Times New Roman" w:cs="Times New Roman"/>
                <w:color w:val="000000"/>
                <w:sz w:val="21"/>
                <w:szCs w:val="21"/>
                <w:vertAlign w:val="subscript"/>
              </w:rPr>
              <w:t>2</w:t>
            </w:r>
            <w:r>
              <w:rPr>
                <w:rFonts w:hint="default" w:ascii="Times New Roman" w:hAnsi="Times New Roman" w:cs="Times New Roman"/>
                <w:color w:val="000000"/>
                <w:sz w:val="21"/>
                <w:szCs w:val="21"/>
              </w:rPr>
              <w:t>×C</w:t>
            </w:r>
            <w:r>
              <w:rPr>
                <w:rFonts w:hint="default" w:ascii="Times New Roman" w:hAnsi="Times New Roman" w:cs="Times New Roman"/>
                <w:color w:val="000000"/>
                <w:sz w:val="21"/>
                <w:szCs w:val="21"/>
                <w:vertAlign w:val="subscript"/>
              </w:rPr>
              <w:t>3</w:t>
            </w:r>
          </w:p>
        </w:tc>
        <w:tc>
          <w:tcPr>
            <w:tcW w:w="4051" w:type="dxa"/>
            <w:tcBorders>
              <w:top w:val="single" w:color="auto" w:sz="4" w:space="0"/>
              <w:left w:val="single" w:color="auto" w:sz="4" w:space="0"/>
              <w:bottom w:val="single" w:color="auto" w:sz="4" w:space="0"/>
              <w:right w:val="single" w:color="auto" w:sz="4" w:space="0"/>
            </w:tcBorders>
            <w:vAlign w:val="center"/>
          </w:tcPr>
          <w:p>
            <w:pPr>
              <w:pStyle w:val="12"/>
              <w:spacing w:line="300" w:lineRule="exact"/>
              <w:ind w:left="0" w:leftChars="0" w:right="0" w:rightChars="0" w:firstLine="0" w:firstLineChars="0"/>
              <w:jc w:val="center"/>
              <w:rPr>
                <w:rFonts w:hint="default" w:ascii="Times New Roman" w:hAnsi="Times New Roman" w:cs="Times New Roman"/>
                <w:sz w:val="21"/>
                <w:szCs w:val="21"/>
              </w:rPr>
            </w:pPr>
            <w:r>
              <w:rPr>
                <w:rFonts w:hint="default" w:ascii="Times New Roman" w:hAnsi="Times New Roman" w:cs="Times New Roman"/>
                <w:color w:val="000000"/>
                <w:sz w:val="21"/>
                <w:szCs w:val="21"/>
              </w:rPr>
              <w:t>0.769</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8" w:hRule="atLeast"/>
          <w:jc w:val="center"/>
        </w:trPr>
        <w:tc>
          <w:tcPr>
            <w:tcW w:w="4031" w:type="dxa"/>
            <w:tcBorders>
              <w:top w:val="single" w:color="auto" w:sz="4" w:space="0"/>
              <w:left w:val="single" w:color="auto" w:sz="4" w:space="0"/>
              <w:bottom w:val="single" w:color="auto" w:sz="4" w:space="0"/>
              <w:right w:val="single" w:color="auto" w:sz="4" w:space="0"/>
            </w:tcBorders>
            <w:vAlign w:val="center"/>
          </w:tcPr>
          <w:p>
            <w:pPr>
              <w:pStyle w:val="12"/>
              <w:spacing w:line="300" w:lineRule="exact"/>
              <w:ind w:left="0" w:leftChars="0" w:right="0" w:rightChars="0" w:firstLine="210" w:firstLineChars="100"/>
              <w:rPr>
                <w:rFonts w:hint="default" w:ascii="Times New Roman" w:hAnsi="Times New Roman" w:cs="Times New Roman"/>
                <w:sz w:val="21"/>
                <w:szCs w:val="21"/>
              </w:rPr>
            </w:pPr>
            <w:r>
              <w:rPr>
                <w:rFonts w:hint="default" w:ascii="Times New Roman" w:hAnsi="Times New Roman" w:cs="Times New Roman"/>
                <w:color w:val="000000"/>
                <w:sz w:val="21"/>
                <w:szCs w:val="21"/>
              </w:rPr>
              <w:t>危害系数HF</w:t>
            </w:r>
          </w:p>
        </w:tc>
        <w:tc>
          <w:tcPr>
            <w:tcW w:w="4051" w:type="dxa"/>
            <w:tcBorders>
              <w:top w:val="single" w:color="auto" w:sz="4" w:space="0"/>
              <w:left w:val="single" w:color="auto" w:sz="4" w:space="0"/>
              <w:bottom w:val="single" w:color="auto" w:sz="4" w:space="0"/>
              <w:right w:val="single" w:color="auto" w:sz="4" w:space="0"/>
            </w:tcBorders>
            <w:vAlign w:val="center"/>
          </w:tcPr>
          <w:p>
            <w:pPr>
              <w:pStyle w:val="12"/>
              <w:spacing w:line="300" w:lineRule="exact"/>
              <w:ind w:left="0" w:leftChars="0" w:right="0" w:rightChars="0" w:firstLine="0" w:firstLineChars="0"/>
              <w:jc w:val="center"/>
              <w:rPr>
                <w:rFonts w:hint="default" w:ascii="Times New Roman" w:hAnsi="Times New Roman" w:eastAsia="宋体" w:cs="Times New Roman"/>
                <w:sz w:val="21"/>
                <w:szCs w:val="21"/>
                <w:lang w:eastAsia="zh-CN"/>
              </w:rPr>
            </w:pPr>
            <w:r>
              <w:rPr>
                <w:rFonts w:hint="default" w:ascii="Times New Roman" w:hAnsi="Times New Roman" w:cs="Times New Roman"/>
                <w:color w:val="000000"/>
                <w:sz w:val="21"/>
                <w:szCs w:val="21"/>
              </w:rPr>
              <w:t>0.46</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8" w:hRule="atLeast"/>
          <w:jc w:val="center"/>
        </w:trPr>
        <w:tc>
          <w:tcPr>
            <w:tcW w:w="4031" w:type="dxa"/>
            <w:tcBorders>
              <w:top w:val="single" w:color="auto" w:sz="4" w:space="0"/>
              <w:left w:val="single" w:color="auto" w:sz="4" w:space="0"/>
              <w:bottom w:val="single" w:color="auto" w:sz="4" w:space="0"/>
              <w:right w:val="single" w:color="auto" w:sz="4" w:space="0"/>
            </w:tcBorders>
            <w:vAlign w:val="center"/>
          </w:tcPr>
          <w:p>
            <w:pPr>
              <w:pStyle w:val="12"/>
              <w:spacing w:line="300" w:lineRule="exact"/>
              <w:ind w:left="0" w:leftChars="0" w:right="0" w:rightChars="0" w:firstLine="210" w:firstLineChars="100"/>
              <w:rPr>
                <w:rFonts w:hint="default" w:ascii="Times New Roman" w:hAnsi="Times New Roman" w:cs="Times New Roman"/>
                <w:sz w:val="21"/>
                <w:szCs w:val="21"/>
              </w:rPr>
            </w:pPr>
            <w:r>
              <w:rPr>
                <w:rFonts w:hint="default" w:ascii="Times New Roman" w:hAnsi="Times New Roman" w:cs="Times New Roman"/>
                <w:color w:val="000000"/>
                <w:sz w:val="21"/>
                <w:szCs w:val="21"/>
              </w:rPr>
              <w:t>暴露半径R，m</w:t>
            </w:r>
          </w:p>
        </w:tc>
        <w:tc>
          <w:tcPr>
            <w:tcW w:w="4051" w:type="dxa"/>
            <w:tcBorders>
              <w:top w:val="single" w:color="auto" w:sz="4" w:space="0"/>
              <w:left w:val="single" w:color="auto" w:sz="4" w:space="0"/>
              <w:bottom w:val="single" w:color="auto" w:sz="4" w:space="0"/>
              <w:right w:val="single" w:color="auto" w:sz="4" w:space="0"/>
            </w:tcBorders>
            <w:vAlign w:val="center"/>
          </w:tcPr>
          <w:p>
            <w:pPr>
              <w:pStyle w:val="12"/>
              <w:spacing w:line="300" w:lineRule="exact"/>
              <w:ind w:left="0" w:leftChars="0" w:right="0" w:rightChars="0"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cs="Times New Roman"/>
                <w:color w:val="000000"/>
                <w:sz w:val="21"/>
                <w:szCs w:val="21"/>
                <w:lang w:val="en-US" w:eastAsia="zh-CN"/>
              </w:rPr>
              <w:t>16.65</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8" w:hRule="atLeast"/>
          <w:jc w:val="center"/>
        </w:trPr>
        <w:tc>
          <w:tcPr>
            <w:tcW w:w="4031" w:type="dxa"/>
            <w:tcBorders>
              <w:top w:val="single" w:color="auto" w:sz="4" w:space="0"/>
              <w:left w:val="single" w:color="auto" w:sz="4" w:space="0"/>
              <w:bottom w:val="single" w:color="auto" w:sz="4" w:space="0"/>
              <w:right w:val="single" w:color="auto" w:sz="4" w:space="0"/>
            </w:tcBorders>
            <w:vAlign w:val="center"/>
          </w:tcPr>
          <w:p>
            <w:pPr>
              <w:pStyle w:val="12"/>
              <w:spacing w:line="300" w:lineRule="exact"/>
              <w:ind w:left="0" w:leftChars="0" w:right="0" w:rightChars="0" w:firstLine="210" w:firstLineChars="100"/>
              <w:rPr>
                <w:rFonts w:hint="default" w:ascii="Times New Roman" w:hAnsi="Times New Roman" w:cs="Times New Roman"/>
                <w:sz w:val="21"/>
                <w:szCs w:val="21"/>
              </w:rPr>
            </w:pPr>
            <w:r>
              <w:rPr>
                <w:rFonts w:hint="default" w:ascii="Times New Roman" w:hAnsi="Times New Roman" w:cs="Times New Roman"/>
                <w:color w:val="000000"/>
                <w:sz w:val="21"/>
                <w:szCs w:val="21"/>
              </w:rPr>
              <w:t>暴露区域面积A，</w:t>
            </w:r>
            <w:r>
              <w:rPr>
                <w:rFonts w:hint="eastAsia" w:ascii="Times New Roman" w:hAnsi="Times New Roman" w:cs="Times New Roman"/>
                <w:color w:val="000000"/>
                <w:sz w:val="21"/>
                <w:szCs w:val="21"/>
                <w:lang w:eastAsia="zh-CN"/>
              </w:rPr>
              <w:t>㎡</w:t>
            </w:r>
          </w:p>
        </w:tc>
        <w:tc>
          <w:tcPr>
            <w:tcW w:w="4051" w:type="dxa"/>
            <w:tcBorders>
              <w:top w:val="single" w:color="auto" w:sz="4" w:space="0"/>
              <w:left w:val="single" w:color="auto" w:sz="4" w:space="0"/>
              <w:bottom w:val="single" w:color="auto" w:sz="4" w:space="0"/>
              <w:right w:val="single" w:color="auto" w:sz="4" w:space="0"/>
            </w:tcBorders>
            <w:vAlign w:val="center"/>
          </w:tcPr>
          <w:p>
            <w:pPr>
              <w:pStyle w:val="12"/>
              <w:spacing w:line="300" w:lineRule="exact"/>
              <w:ind w:left="0" w:leftChars="0" w:right="0" w:rightChars="0"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cs="Times New Roman"/>
                <w:color w:val="000000"/>
                <w:sz w:val="21"/>
                <w:szCs w:val="21"/>
                <w:lang w:val="en-US" w:eastAsia="zh-CN"/>
              </w:rPr>
              <w:t>870.5</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8" w:hRule="atLeast"/>
          <w:jc w:val="center"/>
        </w:trPr>
        <w:tc>
          <w:tcPr>
            <w:tcW w:w="4031" w:type="dxa"/>
            <w:tcBorders>
              <w:top w:val="single" w:color="auto" w:sz="4" w:space="0"/>
              <w:left w:val="single" w:color="auto" w:sz="4" w:space="0"/>
              <w:bottom w:val="single" w:color="auto" w:sz="4" w:space="0"/>
              <w:right w:val="single" w:color="auto" w:sz="4" w:space="0"/>
            </w:tcBorders>
            <w:vAlign w:val="center"/>
          </w:tcPr>
          <w:p>
            <w:pPr>
              <w:pStyle w:val="12"/>
              <w:spacing w:line="300" w:lineRule="exact"/>
              <w:ind w:left="0" w:leftChars="0" w:right="0" w:rightChars="0" w:firstLine="210" w:firstLineChars="100"/>
              <w:rPr>
                <w:rFonts w:hint="default" w:ascii="Times New Roman" w:hAnsi="Times New Roman" w:cs="Times New Roman"/>
                <w:sz w:val="21"/>
                <w:szCs w:val="21"/>
              </w:rPr>
            </w:pPr>
            <w:r>
              <w:rPr>
                <w:rFonts w:hint="default" w:ascii="Times New Roman" w:hAnsi="Times New Roman" w:cs="Times New Roman"/>
                <w:color w:val="000000"/>
                <w:sz w:val="21"/>
                <w:szCs w:val="21"/>
              </w:rPr>
              <w:t>基本最大可能财产损失</w:t>
            </w:r>
          </w:p>
        </w:tc>
        <w:tc>
          <w:tcPr>
            <w:tcW w:w="4051" w:type="dxa"/>
            <w:tcBorders>
              <w:top w:val="single" w:color="auto" w:sz="4" w:space="0"/>
              <w:left w:val="single" w:color="auto" w:sz="4" w:space="0"/>
              <w:bottom w:val="single" w:color="auto" w:sz="4" w:space="0"/>
              <w:right w:val="single" w:color="auto" w:sz="4" w:space="0"/>
            </w:tcBorders>
            <w:vAlign w:val="center"/>
          </w:tcPr>
          <w:p>
            <w:pPr>
              <w:pStyle w:val="12"/>
              <w:spacing w:line="300" w:lineRule="exact"/>
              <w:ind w:left="0" w:leftChars="0" w:right="0" w:rightChars="0" w:firstLine="0" w:firstLineChars="0"/>
              <w:jc w:val="center"/>
              <w:rPr>
                <w:rFonts w:hint="default" w:ascii="Times New Roman" w:hAnsi="Times New Roman" w:cs="Times New Roman"/>
                <w:sz w:val="21"/>
                <w:szCs w:val="21"/>
              </w:rPr>
            </w:pPr>
            <w:r>
              <w:rPr>
                <w:rFonts w:hint="default" w:ascii="Times New Roman" w:hAnsi="Times New Roman" w:cs="Times New Roman"/>
                <w:color w:val="000000"/>
                <w:sz w:val="21"/>
                <w:szCs w:val="21"/>
              </w:rPr>
              <w:t>暴露区域内财产价值×0.46</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8" w:hRule="atLeast"/>
          <w:jc w:val="center"/>
        </w:trPr>
        <w:tc>
          <w:tcPr>
            <w:tcW w:w="4031" w:type="dxa"/>
            <w:tcBorders>
              <w:top w:val="single" w:color="auto" w:sz="4" w:space="0"/>
              <w:left w:val="single" w:color="auto" w:sz="4" w:space="0"/>
              <w:bottom w:val="single" w:color="auto" w:sz="4" w:space="0"/>
              <w:right w:val="single" w:color="auto" w:sz="4" w:space="0"/>
            </w:tcBorders>
            <w:vAlign w:val="center"/>
          </w:tcPr>
          <w:p>
            <w:pPr>
              <w:pStyle w:val="12"/>
              <w:spacing w:line="300" w:lineRule="exact"/>
              <w:ind w:left="0" w:leftChars="0" w:right="0" w:rightChars="0" w:firstLine="210" w:firstLineChars="100"/>
              <w:rPr>
                <w:rFonts w:hint="default" w:ascii="Times New Roman" w:hAnsi="Times New Roman" w:cs="Times New Roman"/>
                <w:sz w:val="21"/>
                <w:szCs w:val="21"/>
              </w:rPr>
            </w:pPr>
            <w:r>
              <w:rPr>
                <w:rFonts w:hint="default" w:ascii="Times New Roman" w:hAnsi="Times New Roman" w:cs="Times New Roman"/>
                <w:color w:val="000000"/>
                <w:sz w:val="21"/>
                <w:szCs w:val="21"/>
              </w:rPr>
              <w:t>实际最大可能财产损失</w:t>
            </w:r>
          </w:p>
        </w:tc>
        <w:tc>
          <w:tcPr>
            <w:tcW w:w="4051" w:type="dxa"/>
            <w:tcBorders>
              <w:top w:val="single" w:color="auto" w:sz="4" w:space="0"/>
              <w:left w:val="single" w:color="auto" w:sz="4" w:space="0"/>
              <w:bottom w:val="single" w:color="auto" w:sz="4" w:space="0"/>
              <w:right w:val="single" w:color="auto" w:sz="4" w:space="0"/>
            </w:tcBorders>
            <w:vAlign w:val="center"/>
          </w:tcPr>
          <w:p>
            <w:pPr>
              <w:pStyle w:val="12"/>
              <w:spacing w:line="300" w:lineRule="exact"/>
              <w:ind w:left="0" w:leftChars="0" w:right="0" w:rightChars="0" w:firstLine="0" w:firstLineChars="0"/>
              <w:jc w:val="center"/>
              <w:rPr>
                <w:rFonts w:hint="default" w:ascii="Times New Roman" w:hAnsi="Times New Roman" w:cs="Times New Roman"/>
                <w:sz w:val="21"/>
                <w:szCs w:val="21"/>
              </w:rPr>
            </w:pPr>
            <w:r>
              <w:rPr>
                <w:rFonts w:hint="default" w:ascii="Times New Roman" w:hAnsi="Times New Roman" w:cs="Times New Roman"/>
                <w:color w:val="000000"/>
                <w:sz w:val="21"/>
                <w:szCs w:val="21"/>
              </w:rPr>
              <w:t>暴露区域内财产价值×0.354</w:t>
            </w:r>
          </w:p>
        </w:tc>
      </w:tr>
    </w:tbl>
    <w:p>
      <w:pPr>
        <w:pStyle w:val="11"/>
        <w:spacing w:line="500" w:lineRule="exact"/>
        <w:ind w:right="-165" w:rightChars="-75" w:firstLine="560" w:firstLineChars="200"/>
        <w:rPr>
          <w:rFonts w:hint="default" w:ascii="Times New Roman" w:hAnsi="Times New Roman" w:cs="Times New Roman"/>
          <w:sz w:val="28"/>
        </w:rPr>
      </w:pPr>
      <w:r>
        <w:rPr>
          <w:rFonts w:hint="default" w:ascii="Times New Roman" w:hAnsi="Times New Roman" w:cs="Times New Roman"/>
          <w:sz w:val="28"/>
        </w:rPr>
        <w:t>从上表可以看出：采用道化法（七版）对所选取单元进行火灾爆炸危险评价结果为：汽油储罐单元火灾爆炸危险评价结果为</w:t>
      </w:r>
      <w:r>
        <w:rPr>
          <w:rFonts w:hint="eastAsia" w:ascii="Times New Roman" w:hAnsi="Times New Roman" w:cs="Times New Roman"/>
          <w:sz w:val="28"/>
          <w:lang w:val="en-US" w:eastAsia="zh-CN"/>
        </w:rPr>
        <w:t>65.04</w:t>
      </w:r>
      <w:r>
        <w:rPr>
          <w:rFonts w:hint="default" w:ascii="Times New Roman" w:hAnsi="Times New Roman" w:cs="Times New Roman"/>
          <w:sz w:val="28"/>
        </w:rPr>
        <w:t>，火灾爆炸危险属“较轻”，暴露半径为</w:t>
      </w:r>
      <w:r>
        <w:rPr>
          <w:rFonts w:hint="eastAsia" w:ascii="Times New Roman" w:hAnsi="Times New Roman" w:cs="Times New Roman"/>
          <w:sz w:val="28"/>
          <w:lang w:val="en-US" w:eastAsia="zh-CN"/>
        </w:rPr>
        <w:t>16.65</w:t>
      </w:r>
      <w:r>
        <w:rPr>
          <w:rFonts w:hint="default" w:ascii="Times New Roman" w:hAnsi="Times New Roman" w:cs="Times New Roman"/>
          <w:sz w:val="28"/>
        </w:rPr>
        <w:t>m，暴露区域面积为</w:t>
      </w:r>
      <w:r>
        <w:rPr>
          <w:rFonts w:hint="eastAsia" w:ascii="Times New Roman" w:hAnsi="Times New Roman" w:cs="Times New Roman"/>
          <w:sz w:val="28"/>
          <w:lang w:val="en-US" w:eastAsia="zh-CN"/>
        </w:rPr>
        <w:t>870.5</w:t>
      </w:r>
      <w:r>
        <w:rPr>
          <w:rFonts w:hint="eastAsia" w:ascii="宋体" w:hAnsi="宋体" w:eastAsia="宋体" w:cs="宋体"/>
          <w:sz w:val="28"/>
        </w:rPr>
        <w:t>㎡</w:t>
      </w:r>
      <w:r>
        <w:rPr>
          <w:rFonts w:hint="default" w:ascii="Times New Roman" w:hAnsi="Times New Roman" w:cs="Times New Roman"/>
          <w:sz w:val="28"/>
        </w:rPr>
        <w:t>，一旦发生事故，暴露半径内为46%的财产可能破坏，采用安全补偿措施后，可使该单元的损失降低到35.4%，损失降低10.6%。</w:t>
      </w:r>
    </w:p>
    <w:p>
      <w:pPr>
        <w:pStyle w:val="11"/>
        <w:spacing w:line="500" w:lineRule="exact"/>
        <w:ind w:right="-165" w:rightChars="-75" w:firstLine="560" w:firstLineChars="200"/>
        <w:rPr>
          <w:rFonts w:hint="default" w:ascii="Times New Roman" w:hAnsi="Times New Roman" w:cs="Times New Roman"/>
          <w:spacing w:val="-7"/>
        </w:rPr>
      </w:pPr>
      <w:r>
        <w:rPr>
          <w:rFonts w:hint="default" w:ascii="Times New Roman" w:hAnsi="Times New Roman" w:cs="Times New Roman"/>
          <w:sz w:val="28"/>
        </w:rPr>
        <w:t>由上述分析结果可知，该油站所采取的各项安全措施，在降低火灾爆炸危险程度，起到了比较重要作用。所以对于该油站来说，应加强安全管理和监护管理，确保安全设施正常运转，管理措施落实到位，以预防事故发生，减少事故损失。</w:t>
      </w:r>
    </w:p>
    <w:bookmarkEnd w:id="1529"/>
    <w:p>
      <w:pPr>
        <w:tabs>
          <w:tab w:val="left" w:pos="5415"/>
        </w:tabs>
        <w:spacing w:line="360" w:lineRule="auto"/>
        <w:jc w:val="center"/>
        <w:rPr>
          <w:rFonts w:hint="default" w:ascii="Times New Roman" w:hAnsi="Times New Roman" w:cs="Times New Roman"/>
          <w:bCs/>
          <w:sz w:val="24"/>
          <w:szCs w:val="24"/>
        </w:rPr>
      </w:pPr>
    </w:p>
    <w:p>
      <w:pPr>
        <w:spacing w:beforeLines="100" w:afterLines="100"/>
        <w:jc w:val="center"/>
        <w:outlineLvl w:val="1"/>
        <w:rPr>
          <w:rFonts w:hint="default" w:ascii="Times New Roman" w:hAnsi="Times New Roman" w:cs="Times New Roman"/>
          <w:b/>
          <w:spacing w:val="6"/>
          <w:sz w:val="32"/>
          <w:szCs w:val="32"/>
        </w:rPr>
      </w:pPr>
      <w:bookmarkStart w:id="1530" w:name="_Toc3802"/>
      <w:bookmarkStart w:id="1531" w:name="_Toc9064"/>
      <w:bookmarkStart w:id="1532" w:name="_Toc2538"/>
      <w:bookmarkStart w:id="1533" w:name="_Toc19544"/>
      <w:bookmarkStart w:id="1534" w:name="_Toc31501"/>
      <w:bookmarkStart w:id="1535" w:name="_Toc25917"/>
      <w:bookmarkStart w:id="1536" w:name="_Toc19267"/>
      <w:bookmarkStart w:id="1537" w:name="_Toc31410_WPSOffice_Level2"/>
      <w:bookmarkStart w:id="1538" w:name="_Toc1766_WPSOffice_Level2"/>
      <w:bookmarkStart w:id="1539" w:name="_Toc528343598"/>
      <w:bookmarkStart w:id="1540" w:name="_Toc3791"/>
      <w:bookmarkStart w:id="1541" w:name="_Toc748"/>
      <w:bookmarkStart w:id="1542" w:name="_Toc3345"/>
      <w:bookmarkStart w:id="1543" w:name="_Toc11743_WPSOffice_Level2"/>
      <w:bookmarkStart w:id="1544" w:name="_Toc20002"/>
      <w:bookmarkStart w:id="1545" w:name="_Toc11742"/>
      <w:bookmarkStart w:id="1546" w:name="_Toc704"/>
      <w:bookmarkStart w:id="1547" w:name="_Toc10818"/>
      <w:bookmarkStart w:id="1548" w:name="_Toc529176543"/>
      <w:bookmarkStart w:id="1549" w:name="_Toc19189"/>
      <w:bookmarkStart w:id="1550" w:name="_Toc17515"/>
      <w:bookmarkStart w:id="1551" w:name="_Toc11110"/>
      <w:bookmarkStart w:id="1552" w:name="_Toc3492"/>
      <w:bookmarkStart w:id="1553" w:name="_Toc29396"/>
      <w:bookmarkStart w:id="1554" w:name="_Toc29928"/>
      <w:bookmarkStart w:id="1555" w:name="_Toc5848"/>
      <w:bookmarkStart w:id="1556" w:name="_Toc529"/>
      <w:r>
        <w:rPr>
          <w:rFonts w:hint="default" w:ascii="Times New Roman" w:hAnsi="Times New Roman" w:cs="Times New Roman"/>
          <w:b/>
          <w:spacing w:val="6"/>
          <w:sz w:val="32"/>
          <w:szCs w:val="32"/>
        </w:rPr>
        <w:t>4.</w:t>
      </w:r>
      <w:r>
        <w:rPr>
          <w:rFonts w:hint="eastAsia" w:ascii="Times New Roman" w:hAnsi="Times New Roman" w:cs="Times New Roman"/>
          <w:b/>
          <w:spacing w:val="6"/>
          <w:sz w:val="32"/>
          <w:szCs w:val="32"/>
          <w:lang w:val="en-US" w:eastAsia="zh-CN"/>
        </w:rPr>
        <w:t>3</w:t>
      </w:r>
      <w:r>
        <w:rPr>
          <w:rFonts w:hint="default" w:ascii="Times New Roman" w:hAnsi="Times New Roman" w:cs="Times New Roman"/>
          <w:b/>
          <w:spacing w:val="6"/>
          <w:sz w:val="32"/>
          <w:szCs w:val="32"/>
          <w:lang w:val="en-US"/>
        </w:rPr>
        <w:t xml:space="preserve"> </w:t>
      </w:r>
      <w:bookmarkEnd w:id="1530"/>
      <w:bookmarkEnd w:id="1531"/>
      <w:bookmarkEnd w:id="1532"/>
      <w:bookmarkEnd w:id="1533"/>
      <w:bookmarkEnd w:id="1534"/>
      <w:bookmarkEnd w:id="1535"/>
      <w:bookmarkEnd w:id="1536"/>
      <w:bookmarkEnd w:id="1537"/>
      <w:bookmarkEnd w:id="1538"/>
      <w:bookmarkEnd w:id="1539"/>
      <w:bookmarkEnd w:id="1540"/>
      <w:bookmarkEnd w:id="1541"/>
      <w:bookmarkEnd w:id="1542"/>
      <w:bookmarkEnd w:id="1543"/>
      <w:bookmarkEnd w:id="1544"/>
      <w:bookmarkEnd w:id="1545"/>
      <w:bookmarkEnd w:id="1546"/>
      <w:bookmarkEnd w:id="1547"/>
      <w:bookmarkEnd w:id="1548"/>
      <w:r>
        <w:rPr>
          <w:rFonts w:hint="default" w:ascii="Times New Roman" w:hAnsi="Times New Roman" w:cs="Times New Roman"/>
          <w:b/>
          <w:spacing w:val="6"/>
          <w:sz w:val="32"/>
          <w:szCs w:val="32"/>
        </w:rPr>
        <w:t>事故树分析评价</w:t>
      </w:r>
      <w:bookmarkEnd w:id="1549"/>
      <w:bookmarkEnd w:id="1550"/>
      <w:bookmarkEnd w:id="1551"/>
      <w:bookmarkEnd w:id="1552"/>
      <w:bookmarkEnd w:id="1553"/>
      <w:bookmarkEnd w:id="1554"/>
      <w:bookmarkEnd w:id="1555"/>
      <w:bookmarkEnd w:id="1556"/>
    </w:p>
    <w:p>
      <w:pPr>
        <w:pStyle w:val="5"/>
        <w:spacing w:beforeLines="100" w:afterLines="100" w:line="240" w:lineRule="auto"/>
        <w:rPr>
          <w:rFonts w:hint="default" w:ascii="Times New Roman" w:hAnsi="Times New Roman" w:cs="Times New Roman"/>
          <w:sz w:val="28"/>
          <w:szCs w:val="28"/>
          <w:lang w:val="en-US"/>
        </w:rPr>
      </w:pPr>
      <w:bookmarkStart w:id="1557" w:name="_Toc12542_WPSOffice_Level3"/>
      <w:bookmarkStart w:id="1558" w:name="_Toc1997_WPSOffice_Level3"/>
      <w:bookmarkStart w:id="1559" w:name="_Toc22786_WPSOffice_Level3"/>
      <w:r>
        <w:rPr>
          <w:rFonts w:hint="default" w:ascii="Times New Roman" w:hAnsi="Times New Roman" w:cs="Times New Roman"/>
          <w:sz w:val="28"/>
          <w:szCs w:val="28"/>
        </w:rPr>
        <w:t>4.</w:t>
      </w:r>
      <w:r>
        <w:rPr>
          <w:rFonts w:hint="eastAsia" w:ascii="Times New Roman" w:hAnsi="Times New Roman" w:cs="Times New Roman"/>
          <w:sz w:val="28"/>
          <w:szCs w:val="28"/>
          <w:lang w:val="en-US" w:eastAsia="zh-CN"/>
        </w:rPr>
        <w:t>3</w:t>
      </w:r>
      <w:r>
        <w:rPr>
          <w:rFonts w:hint="default" w:ascii="Times New Roman" w:hAnsi="Times New Roman" w:cs="Times New Roman"/>
          <w:sz w:val="28"/>
          <w:szCs w:val="28"/>
        </w:rPr>
        <w:t>.1</w:t>
      </w:r>
      <w:r>
        <w:rPr>
          <w:rFonts w:hint="default" w:ascii="Times New Roman" w:hAnsi="Times New Roman" w:cs="Times New Roman"/>
          <w:sz w:val="28"/>
          <w:szCs w:val="28"/>
          <w:lang w:val="en-US"/>
        </w:rPr>
        <w:t xml:space="preserve"> 事故树分析法简介</w:t>
      </w:r>
    </w:p>
    <w:p>
      <w:pPr>
        <w:pStyle w:val="11"/>
        <w:spacing w:line="500" w:lineRule="exact"/>
        <w:ind w:right="-165" w:rightChars="-75" w:firstLine="560" w:firstLineChars="200"/>
        <w:rPr>
          <w:rFonts w:hint="default" w:ascii="Times New Roman" w:hAnsi="Times New Roman" w:cs="Times New Roman"/>
          <w:sz w:val="28"/>
        </w:rPr>
      </w:pPr>
      <w:r>
        <w:rPr>
          <w:rFonts w:hint="default" w:ascii="Times New Roman" w:hAnsi="Times New Roman" w:cs="Times New Roman"/>
          <w:sz w:val="28"/>
        </w:rPr>
        <w:t>事故树分析（FTA）是从要分析特定事故或故障开始，层层分析其发生的原因，一直分析到不能再分析为止；再将特定的事故和各层原因（危险因素）之间用逻辑门符号连接起来，即得到形象、简洁地表达其逻辑关系（因果关系）的逻辑树图形，即为事故树，通过对事故树的化简、计算达到分析和评价的目的。事故树分析法具有以下特点：</w:t>
      </w:r>
    </w:p>
    <w:p>
      <w:pPr>
        <w:pStyle w:val="11"/>
        <w:spacing w:line="500" w:lineRule="exact"/>
        <w:ind w:right="-165" w:rightChars="-75" w:firstLine="560" w:firstLineChars="200"/>
        <w:rPr>
          <w:rFonts w:hint="default" w:ascii="Times New Roman" w:hAnsi="Times New Roman" w:cs="Times New Roman"/>
          <w:sz w:val="28"/>
        </w:rPr>
      </w:pPr>
      <w:r>
        <w:rPr>
          <w:rFonts w:hint="default" w:ascii="Times New Roman" w:hAnsi="Times New Roman" w:cs="Times New Roman"/>
          <w:sz w:val="28"/>
        </w:rPr>
        <w:t>（1）事故树评价方法可用于复杂系统和广阔范围的各类系统的可靠性及安全性分析、各种生产实践的安全管理可靠性分析和伤亡事故分析。</w:t>
      </w:r>
    </w:p>
    <w:p>
      <w:pPr>
        <w:pStyle w:val="11"/>
        <w:spacing w:line="500" w:lineRule="exact"/>
        <w:ind w:right="-165" w:rightChars="-75" w:firstLine="560" w:firstLineChars="200"/>
        <w:rPr>
          <w:rFonts w:hint="default" w:ascii="Times New Roman" w:hAnsi="Times New Roman" w:cs="Times New Roman"/>
          <w:sz w:val="28"/>
        </w:rPr>
      </w:pPr>
      <w:r>
        <w:rPr>
          <w:rFonts w:hint="default" w:ascii="Times New Roman" w:hAnsi="Times New Roman" w:cs="Times New Roman"/>
          <w:sz w:val="28"/>
        </w:rPr>
        <w:t>（2）事故树分析能够详细查明系统各种固有的、潜在的危险因素或事故原因，为制定安全技术对策、采取安全管理措施和事故的调查分析提供依据。</w:t>
      </w:r>
    </w:p>
    <w:p>
      <w:pPr>
        <w:pStyle w:val="11"/>
        <w:spacing w:line="500" w:lineRule="exact"/>
        <w:ind w:right="-165" w:rightChars="-75" w:firstLine="560" w:firstLineChars="200"/>
        <w:rPr>
          <w:rFonts w:hint="default" w:ascii="Times New Roman" w:hAnsi="Times New Roman" w:cs="Times New Roman"/>
          <w:sz w:val="28"/>
        </w:rPr>
      </w:pPr>
      <w:r>
        <w:rPr>
          <w:rFonts w:hint="default" w:ascii="Times New Roman" w:hAnsi="Times New Roman" w:cs="Times New Roman"/>
          <w:sz w:val="28"/>
        </w:rPr>
        <w:t>（3）事故树分析可以定性地评价出各危险因素对事故影响的大小，从而明确采取对策措施的重点和顺序。</w:t>
      </w:r>
    </w:p>
    <w:p>
      <w:pPr>
        <w:pStyle w:val="5"/>
        <w:spacing w:beforeLines="100" w:afterLines="100" w:line="240" w:lineRule="auto"/>
        <w:rPr>
          <w:rFonts w:hint="default" w:ascii="Times New Roman" w:hAnsi="Times New Roman" w:cs="Times New Roman"/>
          <w:sz w:val="28"/>
          <w:szCs w:val="28"/>
          <w:lang w:val="en-US"/>
        </w:rPr>
      </w:pPr>
      <w:r>
        <w:rPr>
          <w:rFonts w:hint="default" w:ascii="Times New Roman" w:hAnsi="Times New Roman" w:cs="Times New Roman"/>
          <w:sz w:val="28"/>
          <w:szCs w:val="28"/>
        </w:rPr>
        <w:t>4.</w:t>
      </w:r>
      <w:r>
        <w:rPr>
          <w:rFonts w:hint="eastAsia" w:ascii="Times New Roman" w:hAnsi="Times New Roman" w:cs="Times New Roman"/>
          <w:sz w:val="28"/>
          <w:szCs w:val="28"/>
          <w:lang w:val="en-US" w:eastAsia="zh-CN"/>
        </w:rPr>
        <w:t>3</w:t>
      </w:r>
      <w:r>
        <w:rPr>
          <w:rFonts w:hint="default" w:ascii="Times New Roman" w:hAnsi="Times New Roman" w:cs="Times New Roman"/>
          <w:sz w:val="28"/>
          <w:szCs w:val="28"/>
        </w:rPr>
        <w:t>.</w:t>
      </w:r>
      <w:r>
        <w:rPr>
          <w:rFonts w:hint="eastAsia" w:ascii="Times New Roman" w:hAnsi="Times New Roman" w:cs="Times New Roman"/>
          <w:sz w:val="28"/>
          <w:szCs w:val="28"/>
          <w:lang w:val="en-US" w:eastAsia="zh-CN"/>
        </w:rPr>
        <w:t>2</w:t>
      </w:r>
      <w:r>
        <w:rPr>
          <w:rFonts w:hint="default" w:ascii="Times New Roman" w:hAnsi="Times New Roman" w:cs="Times New Roman"/>
          <w:sz w:val="28"/>
          <w:szCs w:val="28"/>
          <w:lang w:val="en-US"/>
        </w:rPr>
        <w:t xml:space="preserve"> 确定顶上事件</w:t>
      </w:r>
    </w:p>
    <w:p>
      <w:pPr>
        <w:spacing w:line="600" w:lineRule="exact"/>
        <w:ind w:firstLine="560" w:firstLineChars="200"/>
        <w:rPr>
          <w:rFonts w:hint="default" w:ascii="Times New Roman" w:hAnsi="Times New Roman" w:cs="Times New Roman"/>
          <w:sz w:val="28"/>
          <w:szCs w:val="28"/>
          <w:lang w:val="zh-CN" w:eastAsia="zh-CN"/>
        </w:rPr>
      </w:pPr>
      <w:r>
        <w:rPr>
          <w:rFonts w:hint="default" w:ascii="Times New Roman" w:hAnsi="Times New Roman" w:cs="Times New Roman"/>
          <w:sz w:val="28"/>
          <w:szCs w:val="28"/>
          <w:lang w:val="zh-CN" w:eastAsia="zh-CN"/>
        </w:rPr>
        <w:t>加油站储存区储存大量油品，易发生油罐、管道渗漏。加油区是对用户发放油料的操作区域，有关设备多、油气浓度大、外来人员杂、电气防爆要求高。存在的主要危险因素是由于设备及相关连接渗漏、油管破裂。最大的事故隐患是造成大量油气泄漏而至火灾爆炸。以“加油站火灾爆炸事故”为顶上事件，对其发生原因进行事故树分析。</w:t>
      </w:r>
    </w:p>
    <w:p>
      <w:pPr>
        <w:pStyle w:val="5"/>
        <w:spacing w:beforeLines="100" w:afterLines="100" w:line="240" w:lineRule="auto"/>
        <w:rPr>
          <w:rFonts w:hint="default" w:ascii="Times New Roman" w:hAnsi="Times New Roman" w:cs="Times New Roman"/>
          <w:sz w:val="28"/>
          <w:szCs w:val="28"/>
          <w:lang w:val="en-US"/>
        </w:rPr>
      </w:pPr>
      <w:r>
        <w:rPr>
          <w:rFonts w:hint="default" w:ascii="Times New Roman" w:hAnsi="Times New Roman" w:cs="Times New Roman"/>
          <w:sz w:val="28"/>
          <w:szCs w:val="28"/>
        </w:rPr>
        <w:t>4.</w:t>
      </w:r>
      <w:r>
        <w:rPr>
          <w:rFonts w:hint="eastAsia" w:ascii="Times New Roman" w:hAnsi="Times New Roman" w:cs="Times New Roman"/>
          <w:sz w:val="28"/>
          <w:szCs w:val="28"/>
          <w:lang w:val="en-US" w:eastAsia="zh-CN"/>
        </w:rPr>
        <w:t>3</w:t>
      </w:r>
      <w:r>
        <w:rPr>
          <w:rFonts w:hint="default" w:ascii="Times New Roman" w:hAnsi="Times New Roman" w:cs="Times New Roman"/>
          <w:sz w:val="28"/>
          <w:szCs w:val="28"/>
        </w:rPr>
        <w:t>.</w:t>
      </w:r>
      <w:r>
        <w:rPr>
          <w:rFonts w:hint="eastAsia" w:ascii="Times New Roman" w:hAnsi="Times New Roman" w:cs="Times New Roman"/>
          <w:sz w:val="28"/>
          <w:szCs w:val="28"/>
          <w:lang w:val="en-US" w:eastAsia="zh-CN"/>
        </w:rPr>
        <w:t>3</w:t>
      </w:r>
      <w:r>
        <w:rPr>
          <w:rFonts w:hint="default" w:ascii="Times New Roman" w:hAnsi="Times New Roman" w:cs="Times New Roman"/>
          <w:sz w:val="28"/>
          <w:szCs w:val="28"/>
          <w:lang w:val="en-US"/>
        </w:rPr>
        <w:t xml:space="preserve"> 绘制事故树</w:t>
      </w:r>
    </w:p>
    <w:p>
      <w:pPr>
        <w:spacing w:line="600" w:lineRule="exact"/>
        <w:ind w:firstLine="560" w:firstLineChars="200"/>
        <w:rPr>
          <w:rFonts w:hint="default" w:ascii="Times New Roman" w:hAnsi="Times New Roman" w:cs="Times New Roman"/>
          <w:sz w:val="28"/>
          <w:szCs w:val="28"/>
          <w:lang w:val="zh-CN" w:eastAsia="zh-CN"/>
        </w:rPr>
      </w:pPr>
      <w:r>
        <w:rPr>
          <w:rFonts w:hint="default" w:ascii="Times New Roman" w:hAnsi="Times New Roman" w:cs="Times New Roman"/>
          <w:sz w:val="28"/>
          <w:szCs w:val="28"/>
          <w:lang w:val="zh-CN" w:eastAsia="zh-CN"/>
        </w:rPr>
        <w:t>以“加油站火灾爆炸事故”为顶上事件，“加油站火灾爆炸事故树”见附图</w:t>
      </w:r>
      <w:r>
        <w:rPr>
          <w:rFonts w:hint="eastAsia" w:ascii="Times New Roman" w:hAnsi="Times New Roman" w:cs="Times New Roman"/>
          <w:sz w:val="28"/>
          <w:szCs w:val="28"/>
          <w:lang w:val="en-US" w:eastAsia="zh-CN"/>
        </w:rPr>
        <w:t>4.3.3-1</w:t>
      </w:r>
      <w:r>
        <w:rPr>
          <w:rFonts w:hint="default" w:ascii="Times New Roman" w:hAnsi="Times New Roman" w:cs="Times New Roman"/>
          <w:sz w:val="28"/>
          <w:szCs w:val="28"/>
          <w:lang w:val="zh-CN" w:eastAsia="zh-CN"/>
        </w:rPr>
        <w:t>。事故的各种原因见附表</w:t>
      </w:r>
      <w:r>
        <w:rPr>
          <w:rFonts w:hint="eastAsia" w:ascii="Times New Roman" w:hAnsi="Times New Roman" w:cs="Times New Roman"/>
          <w:sz w:val="28"/>
          <w:szCs w:val="28"/>
          <w:lang w:val="en-US" w:eastAsia="zh-CN"/>
        </w:rPr>
        <w:t>4.3.</w:t>
      </w:r>
      <w:r>
        <w:rPr>
          <w:rFonts w:hint="default" w:ascii="Times New Roman" w:hAnsi="Times New Roman" w:cs="Times New Roman"/>
          <w:sz w:val="28"/>
          <w:szCs w:val="28"/>
          <w:lang w:val="zh-CN" w:eastAsia="zh-CN"/>
        </w:rPr>
        <w:t>3-1：“加油站火灾爆炸事故原因事件分析汇总表”。</w:t>
      </w:r>
    </w:p>
    <w:p>
      <w:pPr>
        <w:pStyle w:val="11"/>
      </w:pPr>
      <w:r>
        <w:drawing>
          <wp:inline distT="0" distB="0" distL="114300" distR="114300">
            <wp:extent cx="5667375" cy="5447665"/>
            <wp:effectExtent l="0" t="0" r="9525" b="635"/>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61"/>
                    <a:stretch>
                      <a:fillRect/>
                    </a:stretch>
                  </pic:blipFill>
                  <pic:spPr>
                    <a:xfrm>
                      <a:off x="0" y="0"/>
                      <a:ext cx="5667375" cy="5447665"/>
                    </a:xfrm>
                    <a:prstGeom prst="rect">
                      <a:avLst/>
                    </a:prstGeom>
                    <a:noFill/>
                    <a:ln w="9525">
                      <a:noFill/>
                      <a:miter/>
                    </a:ln>
                  </pic:spPr>
                </pic:pic>
              </a:graphicData>
            </a:graphic>
          </wp:inline>
        </w:drawing>
      </w:r>
    </w:p>
    <w:p>
      <w:pPr>
        <w:keepNext w:val="0"/>
        <w:keepLines w:val="0"/>
        <w:pageBreakBefore w:val="0"/>
        <w:widowControl w:val="0"/>
        <w:kinsoku/>
        <w:wordWrap/>
        <w:overflowPunct/>
        <w:topLinePunct w:val="0"/>
        <w:autoSpaceDE w:val="0"/>
        <w:autoSpaceDN w:val="0"/>
        <w:bidi w:val="0"/>
        <w:adjustRightInd/>
        <w:snapToGrid/>
        <w:spacing w:line="500" w:lineRule="exact"/>
        <w:ind w:left="0" w:leftChars="0" w:right="0" w:rightChars="0" w:firstLine="0" w:firstLineChars="0"/>
        <w:jc w:val="center"/>
        <w:textAlignment w:val="auto"/>
        <w:outlineLvl w:val="9"/>
        <w:rPr>
          <w:sz w:val="28"/>
        </w:rPr>
      </w:pPr>
      <w:r>
        <w:rPr>
          <w:sz w:val="28"/>
        </w:rPr>
        <w:t>附图</w:t>
      </w:r>
      <w:r>
        <w:rPr>
          <w:rFonts w:hint="eastAsia"/>
          <w:sz w:val="28"/>
          <w:lang w:val="en-US" w:eastAsia="zh-CN"/>
        </w:rPr>
        <w:t>4.3.</w:t>
      </w:r>
      <w:r>
        <w:rPr>
          <w:sz w:val="28"/>
        </w:rPr>
        <w:t>3</w:t>
      </w:r>
      <w:r>
        <w:rPr>
          <w:rFonts w:hint="eastAsia"/>
          <w:sz w:val="28"/>
          <w:lang w:val="en-US" w:eastAsia="zh-CN"/>
        </w:rPr>
        <w:t>-</w:t>
      </w:r>
      <w:r>
        <w:rPr>
          <w:sz w:val="28"/>
        </w:rPr>
        <w:t>1加油站火灾爆炸事故树</w:t>
      </w:r>
    </w:p>
    <w:p>
      <w:pPr>
        <w:keepNext w:val="0"/>
        <w:keepLines w:val="0"/>
        <w:pageBreakBefore w:val="0"/>
        <w:widowControl w:val="0"/>
        <w:kinsoku/>
        <w:wordWrap/>
        <w:overflowPunct/>
        <w:topLinePunct w:val="0"/>
        <w:autoSpaceDE w:val="0"/>
        <w:autoSpaceDN w:val="0"/>
        <w:bidi w:val="0"/>
        <w:adjustRightInd/>
        <w:snapToGrid/>
        <w:spacing w:line="500" w:lineRule="exact"/>
        <w:ind w:left="0" w:leftChars="0" w:right="0" w:rightChars="0" w:firstLine="0" w:firstLineChars="0"/>
        <w:jc w:val="center"/>
        <w:textAlignment w:val="auto"/>
        <w:outlineLvl w:val="9"/>
        <w:rPr>
          <w:b/>
          <w:bCs/>
          <w:sz w:val="28"/>
        </w:rPr>
      </w:pPr>
      <w:r>
        <w:rPr>
          <w:sz w:val="28"/>
        </w:rPr>
        <w:t>原因事件分析汇总表</w:t>
      </w:r>
      <w:r>
        <w:rPr>
          <w:rFonts w:hint="eastAsia"/>
          <w:sz w:val="28"/>
          <w:lang w:val="en-US" w:eastAsia="zh-CN"/>
        </w:rPr>
        <w:t>4.3.3-1</w:t>
      </w:r>
    </w:p>
    <w:tbl>
      <w:tblPr>
        <w:tblStyle w:val="29"/>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3499"/>
        <w:gridCol w:w="822"/>
        <w:gridCol w:w="35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522" w:type="dxa"/>
            <w:gridSpan w:val="4"/>
            <w:tcBorders>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顶 上 事 件 T: 加油站火灾、爆炸事故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46" w:type="dxa"/>
            <w:gridSpan w:val="2"/>
            <w:tcBorders>
              <w:top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中 间 事 件</w:t>
            </w:r>
          </w:p>
        </w:tc>
        <w:tc>
          <w:tcPr>
            <w:tcW w:w="4376" w:type="dxa"/>
            <w:gridSpan w:val="2"/>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基 本 事 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47"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符号</w:t>
            </w:r>
          </w:p>
        </w:tc>
        <w:tc>
          <w:tcPr>
            <w:tcW w:w="3499"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事  件  内  容</w:t>
            </w:r>
          </w:p>
        </w:tc>
        <w:tc>
          <w:tcPr>
            <w:tcW w:w="822"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符号</w:t>
            </w:r>
          </w:p>
        </w:tc>
        <w:tc>
          <w:tcPr>
            <w:tcW w:w="3554"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事  件  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47"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A</w:t>
            </w:r>
          </w:p>
        </w:tc>
        <w:tc>
          <w:tcPr>
            <w:tcW w:w="3499"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火源</w:t>
            </w:r>
          </w:p>
        </w:tc>
        <w:tc>
          <w:tcPr>
            <w:tcW w:w="822"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X1</w:t>
            </w:r>
          </w:p>
        </w:tc>
        <w:tc>
          <w:tcPr>
            <w:tcW w:w="3554"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金属撞击火花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47"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A1</w:t>
            </w:r>
          </w:p>
        </w:tc>
        <w:tc>
          <w:tcPr>
            <w:tcW w:w="3499"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静电火花</w:t>
            </w:r>
          </w:p>
        </w:tc>
        <w:tc>
          <w:tcPr>
            <w:tcW w:w="822"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X2</w:t>
            </w:r>
          </w:p>
        </w:tc>
        <w:tc>
          <w:tcPr>
            <w:tcW w:w="3554"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明火（吸烟、纵火、飞火等）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47"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A2</w:t>
            </w:r>
          </w:p>
        </w:tc>
        <w:tc>
          <w:tcPr>
            <w:tcW w:w="3499"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工艺单元（储存、加油）静电</w:t>
            </w:r>
          </w:p>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放电</w:t>
            </w:r>
          </w:p>
        </w:tc>
        <w:tc>
          <w:tcPr>
            <w:tcW w:w="822"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X3</w:t>
            </w:r>
          </w:p>
        </w:tc>
        <w:tc>
          <w:tcPr>
            <w:tcW w:w="3554"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雷电火花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47"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a</w:t>
            </w:r>
          </w:p>
        </w:tc>
        <w:tc>
          <w:tcPr>
            <w:tcW w:w="3499"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油气达可燃爆浓度</w:t>
            </w:r>
          </w:p>
        </w:tc>
        <w:tc>
          <w:tcPr>
            <w:tcW w:w="822"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X4</w:t>
            </w:r>
          </w:p>
        </w:tc>
        <w:tc>
          <w:tcPr>
            <w:tcW w:w="3554"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电火花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47"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B</w:t>
            </w:r>
          </w:p>
        </w:tc>
        <w:tc>
          <w:tcPr>
            <w:tcW w:w="3499"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油气泄漏逸散</w:t>
            </w:r>
          </w:p>
        </w:tc>
        <w:tc>
          <w:tcPr>
            <w:tcW w:w="822"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X5</w:t>
            </w:r>
          </w:p>
        </w:tc>
        <w:tc>
          <w:tcPr>
            <w:tcW w:w="3554"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化纤服装与人体摩擦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47"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B1</w:t>
            </w:r>
          </w:p>
        </w:tc>
        <w:tc>
          <w:tcPr>
            <w:tcW w:w="3499"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装置设施及连接部位泄漏</w:t>
            </w:r>
          </w:p>
        </w:tc>
        <w:tc>
          <w:tcPr>
            <w:tcW w:w="822"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X6</w:t>
            </w:r>
          </w:p>
        </w:tc>
        <w:tc>
          <w:tcPr>
            <w:tcW w:w="3554"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静电积聚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47"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B2</w:t>
            </w:r>
          </w:p>
        </w:tc>
        <w:tc>
          <w:tcPr>
            <w:tcW w:w="3499"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操作性泄漏</w:t>
            </w:r>
          </w:p>
        </w:tc>
        <w:tc>
          <w:tcPr>
            <w:tcW w:w="822"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X7</w:t>
            </w:r>
          </w:p>
        </w:tc>
        <w:tc>
          <w:tcPr>
            <w:tcW w:w="3554"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接地不良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47"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p>
        </w:tc>
        <w:tc>
          <w:tcPr>
            <w:tcW w:w="3499"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p>
        </w:tc>
        <w:tc>
          <w:tcPr>
            <w:tcW w:w="822"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X8</w:t>
            </w:r>
          </w:p>
        </w:tc>
        <w:tc>
          <w:tcPr>
            <w:tcW w:w="3554"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管道焊缝、法兰连接等处缝隙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47"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p>
        </w:tc>
        <w:tc>
          <w:tcPr>
            <w:tcW w:w="3499"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p>
        </w:tc>
        <w:tc>
          <w:tcPr>
            <w:tcW w:w="822"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X9</w:t>
            </w:r>
          </w:p>
        </w:tc>
        <w:tc>
          <w:tcPr>
            <w:tcW w:w="3554"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管道破裂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47"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p>
        </w:tc>
        <w:tc>
          <w:tcPr>
            <w:tcW w:w="3499"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p>
        </w:tc>
        <w:tc>
          <w:tcPr>
            <w:tcW w:w="822"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X10</w:t>
            </w:r>
          </w:p>
        </w:tc>
        <w:tc>
          <w:tcPr>
            <w:tcW w:w="3554"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阻火器连接处缝隙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47"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p>
        </w:tc>
        <w:tc>
          <w:tcPr>
            <w:tcW w:w="3499"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p>
        </w:tc>
        <w:tc>
          <w:tcPr>
            <w:tcW w:w="822"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X11</w:t>
            </w:r>
          </w:p>
        </w:tc>
        <w:tc>
          <w:tcPr>
            <w:tcW w:w="3554"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加油操作性油气漫溢挥发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47"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p>
        </w:tc>
        <w:tc>
          <w:tcPr>
            <w:tcW w:w="3499"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p>
        </w:tc>
        <w:tc>
          <w:tcPr>
            <w:tcW w:w="822"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X12</w:t>
            </w:r>
          </w:p>
        </w:tc>
        <w:tc>
          <w:tcPr>
            <w:tcW w:w="3554"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卸油外溢漫流</w:t>
            </w:r>
          </w:p>
        </w:tc>
      </w:tr>
    </w:tbl>
    <w:p>
      <w:pPr>
        <w:pStyle w:val="5"/>
        <w:pageBreakBefore w:val="0"/>
        <w:widowControl w:val="0"/>
        <w:kinsoku/>
        <w:wordWrap/>
        <w:overflowPunct/>
        <w:topLinePunct w:val="0"/>
        <w:autoSpaceDE w:val="0"/>
        <w:autoSpaceDN w:val="0"/>
        <w:bidi w:val="0"/>
        <w:adjustRightInd/>
        <w:snapToGrid/>
        <w:spacing w:beforeLines="100" w:afterLines="100" w:line="500" w:lineRule="exact"/>
        <w:ind w:left="0" w:leftChars="0" w:right="0" w:rightChars="0"/>
        <w:jc w:val="left"/>
        <w:textAlignment w:val="auto"/>
        <w:rPr>
          <w:rFonts w:hint="default" w:ascii="Times New Roman" w:hAnsi="Times New Roman" w:cs="Times New Roman"/>
          <w:sz w:val="28"/>
          <w:szCs w:val="28"/>
          <w:lang w:val="en-US"/>
        </w:rPr>
      </w:pPr>
      <w:r>
        <w:rPr>
          <w:rFonts w:hint="default" w:ascii="Times New Roman" w:hAnsi="Times New Roman" w:cs="Times New Roman"/>
          <w:sz w:val="28"/>
          <w:szCs w:val="28"/>
        </w:rPr>
        <w:t>4.</w:t>
      </w:r>
      <w:r>
        <w:rPr>
          <w:rFonts w:hint="eastAsia" w:ascii="Times New Roman" w:hAnsi="Times New Roman" w:cs="Times New Roman"/>
          <w:sz w:val="28"/>
          <w:szCs w:val="28"/>
          <w:lang w:val="en-US" w:eastAsia="zh-CN"/>
        </w:rPr>
        <w:t>3</w:t>
      </w:r>
      <w:r>
        <w:rPr>
          <w:rFonts w:hint="default" w:ascii="Times New Roman" w:hAnsi="Times New Roman" w:cs="Times New Roman"/>
          <w:sz w:val="28"/>
          <w:szCs w:val="28"/>
        </w:rPr>
        <w:t>.</w:t>
      </w:r>
      <w:r>
        <w:rPr>
          <w:rFonts w:hint="eastAsia" w:ascii="Times New Roman" w:hAnsi="Times New Roman" w:cs="Times New Roman"/>
          <w:sz w:val="28"/>
          <w:szCs w:val="28"/>
          <w:lang w:val="en-US" w:eastAsia="zh-CN"/>
        </w:rPr>
        <w:t>3</w:t>
      </w:r>
      <w:r>
        <w:rPr>
          <w:rFonts w:hint="default" w:ascii="Times New Roman" w:hAnsi="Times New Roman" w:cs="Times New Roman"/>
          <w:sz w:val="28"/>
          <w:szCs w:val="28"/>
          <w:lang w:val="en-US"/>
        </w:rPr>
        <w:t xml:space="preserve"> 事故树分析</w:t>
      </w:r>
    </w:p>
    <w:p>
      <w:pPr>
        <w:pageBreakBefore w:val="0"/>
        <w:widowControl w:val="0"/>
        <w:kinsoku/>
        <w:wordWrap/>
        <w:overflowPunct/>
        <w:topLinePunct w:val="0"/>
        <w:autoSpaceDE w:val="0"/>
        <w:autoSpaceDN w:val="0"/>
        <w:bidi w:val="0"/>
        <w:adjustRightInd/>
        <w:snapToGrid/>
        <w:spacing w:line="500" w:lineRule="exact"/>
        <w:ind w:left="0" w:leftChars="0" w:right="0" w:rightChars="0" w:firstLine="560" w:firstLineChars="200"/>
        <w:jc w:val="left"/>
        <w:textAlignment w:val="auto"/>
        <w:rPr>
          <w:rFonts w:hint="default" w:ascii="Times New Roman" w:hAnsi="Times New Roman" w:cs="Times New Roman"/>
          <w:sz w:val="28"/>
          <w:szCs w:val="28"/>
          <w:lang w:val="zh-CN" w:eastAsia="zh-CN"/>
        </w:rPr>
      </w:pPr>
      <w:r>
        <w:rPr>
          <w:rFonts w:hint="default" w:ascii="Times New Roman" w:hAnsi="Times New Roman" w:cs="Times New Roman"/>
          <w:sz w:val="28"/>
          <w:szCs w:val="28"/>
          <w:lang w:val="zh-CN" w:eastAsia="zh-CN"/>
        </w:rPr>
        <w:t>1）列出结构函数式，应用布尔代数进行运算：</w:t>
      </w:r>
    </w:p>
    <w:p>
      <w:pPr>
        <w:pageBreakBefore w:val="0"/>
        <w:widowControl w:val="0"/>
        <w:kinsoku/>
        <w:wordWrap/>
        <w:overflowPunct/>
        <w:topLinePunct w:val="0"/>
        <w:autoSpaceDE w:val="0"/>
        <w:autoSpaceDN w:val="0"/>
        <w:bidi w:val="0"/>
        <w:adjustRightInd/>
        <w:snapToGrid/>
        <w:spacing w:line="500" w:lineRule="exact"/>
        <w:ind w:left="0" w:leftChars="0" w:right="0" w:rightChars="0" w:firstLine="560" w:firstLineChars="200"/>
        <w:jc w:val="left"/>
        <w:textAlignment w:val="auto"/>
        <w:rPr>
          <w:rFonts w:hint="default" w:ascii="Times New Roman" w:hAnsi="Times New Roman" w:cs="Times New Roman"/>
          <w:sz w:val="28"/>
          <w:szCs w:val="28"/>
          <w:lang w:val="zh-CN" w:eastAsia="zh-CN"/>
        </w:rPr>
      </w:pPr>
      <w:r>
        <w:rPr>
          <w:rFonts w:hint="default" w:ascii="Times New Roman" w:hAnsi="Times New Roman" w:cs="Times New Roman"/>
          <w:sz w:val="28"/>
          <w:szCs w:val="28"/>
          <w:lang w:val="zh-CN" w:eastAsia="zh-CN"/>
        </w:rPr>
        <w:t xml:space="preserve"> T=ABa=a X8 X1+ a X8 X2+ a X8 X3+ a X8 X4+ a X8 X5+ a X8 X6 X7+ </w:t>
      </w:r>
    </w:p>
    <w:p>
      <w:pPr>
        <w:pageBreakBefore w:val="0"/>
        <w:widowControl w:val="0"/>
        <w:kinsoku/>
        <w:wordWrap/>
        <w:overflowPunct/>
        <w:topLinePunct w:val="0"/>
        <w:autoSpaceDE w:val="0"/>
        <w:autoSpaceDN w:val="0"/>
        <w:bidi w:val="0"/>
        <w:adjustRightInd/>
        <w:snapToGrid/>
        <w:spacing w:line="500" w:lineRule="exact"/>
        <w:ind w:left="0" w:leftChars="0" w:right="0" w:rightChars="0" w:firstLine="560" w:firstLineChars="200"/>
        <w:jc w:val="left"/>
        <w:textAlignment w:val="auto"/>
        <w:rPr>
          <w:rFonts w:hint="default" w:ascii="Times New Roman" w:hAnsi="Times New Roman" w:cs="Times New Roman"/>
          <w:sz w:val="28"/>
          <w:szCs w:val="28"/>
          <w:lang w:val="zh-CN" w:eastAsia="zh-CN"/>
        </w:rPr>
      </w:pPr>
      <w:r>
        <w:rPr>
          <w:rFonts w:hint="default" w:ascii="Times New Roman" w:hAnsi="Times New Roman" w:cs="Times New Roman"/>
          <w:sz w:val="28"/>
          <w:szCs w:val="28"/>
          <w:lang w:val="zh-CN" w:eastAsia="zh-CN"/>
        </w:rPr>
        <w:t>a X9 X1+ a X9 X2+ a X9 X3+ a X9 X4+ a X9 X5 + a X9X6 X7+ a X10 X1+  a X10 X2+ a X10 X3+ a X10 X4+ a X10 X5+ a X10X6 X7+ a X11X1 + a X11X2+ a X11X3+ a X11X4+ a X11X5+ a X11X6 X7+ a X12X1 + a X12X2+ a X12X3+  a X12X4+ a X12X5+ a X12X6 X7</w:t>
      </w:r>
    </w:p>
    <w:p>
      <w:pPr>
        <w:pageBreakBefore w:val="0"/>
        <w:widowControl w:val="0"/>
        <w:kinsoku/>
        <w:wordWrap/>
        <w:overflowPunct/>
        <w:topLinePunct w:val="0"/>
        <w:autoSpaceDE w:val="0"/>
        <w:autoSpaceDN w:val="0"/>
        <w:bidi w:val="0"/>
        <w:adjustRightInd/>
        <w:snapToGrid/>
        <w:spacing w:line="500" w:lineRule="exact"/>
        <w:ind w:left="0" w:leftChars="0" w:right="0" w:rightChars="0" w:firstLine="560" w:firstLineChars="200"/>
        <w:jc w:val="left"/>
        <w:textAlignment w:val="auto"/>
        <w:rPr>
          <w:rFonts w:hint="default" w:ascii="Times New Roman" w:hAnsi="Times New Roman" w:cs="Times New Roman"/>
          <w:sz w:val="28"/>
          <w:szCs w:val="28"/>
          <w:lang w:val="zh-CN" w:eastAsia="zh-CN"/>
        </w:rPr>
      </w:pPr>
      <w:r>
        <w:rPr>
          <w:rFonts w:hint="default" w:ascii="Times New Roman" w:hAnsi="Times New Roman" w:cs="Times New Roman"/>
          <w:sz w:val="28"/>
          <w:szCs w:val="28"/>
          <w:lang w:val="zh-CN" w:eastAsia="zh-CN"/>
        </w:rPr>
        <w:t>2）求最小割集</w:t>
      </w:r>
    </w:p>
    <w:p>
      <w:pPr>
        <w:pageBreakBefore w:val="0"/>
        <w:widowControl w:val="0"/>
        <w:kinsoku/>
        <w:wordWrap/>
        <w:overflowPunct/>
        <w:topLinePunct w:val="0"/>
        <w:autoSpaceDE w:val="0"/>
        <w:autoSpaceDN w:val="0"/>
        <w:bidi w:val="0"/>
        <w:adjustRightInd/>
        <w:snapToGrid/>
        <w:spacing w:line="500" w:lineRule="exact"/>
        <w:ind w:left="0" w:leftChars="0" w:right="0" w:rightChars="0" w:firstLine="560" w:firstLineChars="200"/>
        <w:jc w:val="left"/>
        <w:textAlignment w:val="auto"/>
        <w:rPr>
          <w:rFonts w:hint="default" w:ascii="Times New Roman" w:hAnsi="Times New Roman" w:cs="Times New Roman"/>
          <w:sz w:val="28"/>
          <w:szCs w:val="28"/>
          <w:lang w:val="zh-CN" w:eastAsia="zh-CN"/>
        </w:rPr>
      </w:pPr>
      <w:r>
        <w:rPr>
          <w:rFonts w:hint="default" w:ascii="Times New Roman" w:hAnsi="Times New Roman" w:cs="Times New Roman"/>
          <w:sz w:val="28"/>
          <w:szCs w:val="28"/>
          <w:lang w:val="zh-CN" w:eastAsia="zh-CN"/>
        </w:rPr>
        <w:t>通过分析该事故树12个基本事件，可以得出下列30个最小的割集：</w:t>
      </w:r>
    </w:p>
    <w:p>
      <w:pPr>
        <w:pageBreakBefore w:val="0"/>
        <w:widowControl w:val="0"/>
        <w:kinsoku/>
        <w:wordWrap/>
        <w:overflowPunct/>
        <w:topLinePunct w:val="0"/>
        <w:autoSpaceDE w:val="0"/>
        <w:autoSpaceDN w:val="0"/>
        <w:bidi w:val="0"/>
        <w:adjustRightInd/>
        <w:snapToGrid/>
        <w:spacing w:line="500" w:lineRule="exact"/>
        <w:ind w:left="0" w:leftChars="0" w:right="0" w:rightChars="0" w:firstLine="560" w:firstLineChars="200"/>
        <w:jc w:val="left"/>
        <w:textAlignment w:val="auto"/>
        <w:rPr>
          <w:rFonts w:hint="default" w:ascii="Times New Roman" w:hAnsi="Times New Roman" w:cs="Times New Roman"/>
          <w:sz w:val="28"/>
          <w:szCs w:val="28"/>
          <w:lang w:val="zh-CN" w:eastAsia="zh-CN"/>
        </w:rPr>
      </w:pPr>
      <w:r>
        <w:rPr>
          <w:rFonts w:hint="default" w:ascii="Times New Roman" w:hAnsi="Times New Roman" w:cs="Times New Roman"/>
          <w:sz w:val="28"/>
          <w:szCs w:val="28"/>
          <w:lang w:val="zh-CN" w:eastAsia="zh-CN"/>
        </w:rPr>
        <w:t>K1 = { a，X8 ，X1 }；K2= { a， X8 ， X2}；K3 = { a， X8 ， X3 }；K4 = { a，X8 ，X4 }；K5 = { a， X8 ， X5}； K6 = { a，X8 ， X6 X7}； K7 = { a，X9 ，X1 }；K8= { a， X9 ， X2}；K9  = { a， X9 ， X3 }；K10= { a，X9 ，X4 }；K11 = { a， X9 ，X5}；K12 = { a，X9 ，X6 X7}；</w:t>
      </w:r>
    </w:p>
    <w:p>
      <w:pPr>
        <w:pageBreakBefore w:val="0"/>
        <w:widowControl w:val="0"/>
        <w:kinsoku/>
        <w:wordWrap/>
        <w:overflowPunct/>
        <w:topLinePunct w:val="0"/>
        <w:autoSpaceDE w:val="0"/>
        <w:autoSpaceDN w:val="0"/>
        <w:bidi w:val="0"/>
        <w:adjustRightInd/>
        <w:snapToGrid/>
        <w:spacing w:line="500" w:lineRule="exact"/>
        <w:ind w:left="0" w:leftChars="0" w:right="0" w:rightChars="0" w:firstLine="560" w:firstLineChars="200"/>
        <w:jc w:val="left"/>
        <w:textAlignment w:val="auto"/>
        <w:rPr>
          <w:rFonts w:hint="default" w:ascii="Times New Roman" w:hAnsi="Times New Roman" w:cs="Times New Roman"/>
          <w:sz w:val="28"/>
          <w:szCs w:val="28"/>
          <w:lang w:val="zh-CN" w:eastAsia="zh-CN"/>
        </w:rPr>
      </w:pPr>
      <w:r>
        <w:rPr>
          <w:rFonts w:hint="default" w:ascii="Times New Roman" w:hAnsi="Times New Roman" w:cs="Times New Roman"/>
          <w:sz w:val="28"/>
          <w:szCs w:val="28"/>
          <w:lang w:val="zh-CN" w:eastAsia="zh-CN"/>
        </w:rPr>
        <w:t>K13 = { a，X10 ，X1 }；K14 = { a， X10 ，X2 }；K15 = { a， X10 ， X3}；K16 = { a，X10 ，X4 }；K17= { a，X10 ，X5 }； K18= { a，X10 ，X6 X7}；K19 = { a，X11 ，X1 }；K20 = { a，X11 ，X2 }；K21 = { a， X11， X3}；K22 = { a，X11 ，X4 }； K23 = { a，X11，X5 }；K24 = { a， X11 ，X6 X7}；K25 = { a，X12 ，X1 }；K26 = { a，X12 ，X2 }；K27 = { a， X12 ， X3}；K28 = { a，X12 ，X4 }； K29= { a，X12 ，X5 }； K30= { a，X12 ， X6 X7}；</w:t>
      </w:r>
    </w:p>
    <w:p>
      <w:pPr>
        <w:pageBreakBefore w:val="0"/>
        <w:widowControl w:val="0"/>
        <w:kinsoku/>
        <w:wordWrap/>
        <w:overflowPunct/>
        <w:topLinePunct w:val="0"/>
        <w:autoSpaceDE w:val="0"/>
        <w:autoSpaceDN w:val="0"/>
        <w:bidi w:val="0"/>
        <w:adjustRightInd/>
        <w:snapToGrid/>
        <w:spacing w:line="500" w:lineRule="exact"/>
        <w:ind w:left="0" w:leftChars="0" w:right="0" w:rightChars="0" w:firstLine="560" w:firstLineChars="200"/>
        <w:jc w:val="left"/>
        <w:textAlignment w:val="auto"/>
        <w:rPr>
          <w:rFonts w:hint="default" w:ascii="Times New Roman" w:hAnsi="Times New Roman" w:cs="Times New Roman"/>
          <w:sz w:val="28"/>
          <w:szCs w:val="28"/>
          <w:lang w:val="zh-CN" w:eastAsia="zh-CN"/>
        </w:rPr>
      </w:pPr>
      <w:r>
        <w:rPr>
          <w:rFonts w:hint="default" w:ascii="Times New Roman" w:hAnsi="Times New Roman" w:cs="Times New Roman"/>
          <w:sz w:val="28"/>
          <w:szCs w:val="28"/>
          <w:lang w:val="zh-CN" w:eastAsia="zh-CN"/>
        </w:rPr>
        <w:t>通过计算可知，加油站火灾爆炸事件的发生有 30 种途径，并且它的发生必然是30个最小割集中的某个最小割集的基本事件同时存在的结果。加油站管理人员、操作人员可以根据30个最小割集中各基本事件的特性及其可能发生的条件采取预防措施，从而保证加油站运行过程中的安全。</w:t>
      </w:r>
      <w:r>
        <w:rPr>
          <w:rFonts w:hint="default" w:ascii="Times New Roman" w:hAnsi="Times New Roman" w:cs="Times New Roman"/>
          <w:sz w:val="28"/>
          <w:szCs w:val="28"/>
          <w:lang w:val="zh-CN" w:eastAsia="zh-CN"/>
        </w:rPr>
        <w:br w:type="textWrapping"/>
      </w:r>
      <w:r>
        <w:rPr>
          <w:rFonts w:hint="default" w:ascii="Times New Roman" w:hAnsi="Times New Roman" w:cs="Times New Roman"/>
          <w:sz w:val="28"/>
          <w:szCs w:val="28"/>
          <w:lang w:val="zh-CN" w:eastAsia="zh-CN"/>
        </w:rPr>
        <w:t xml:space="preserve">   3）结构重要度分析</w:t>
      </w:r>
    </w:p>
    <w:p>
      <w:pPr>
        <w:pageBreakBefore w:val="0"/>
        <w:widowControl w:val="0"/>
        <w:kinsoku/>
        <w:wordWrap/>
        <w:overflowPunct/>
        <w:topLinePunct w:val="0"/>
        <w:autoSpaceDE w:val="0"/>
        <w:autoSpaceDN w:val="0"/>
        <w:bidi w:val="0"/>
        <w:adjustRightInd/>
        <w:snapToGrid/>
        <w:spacing w:line="500" w:lineRule="exact"/>
        <w:ind w:left="0" w:leftChars="0" w:right="0" w:rightChars="0" w:firstLine="560" w:firstLineChars="200"/>
        <w:jc w:val="left"/>
        <w:textAlignment w:val="auto"/>
        <w:rPr>
          <w:rFonts w:hint="default" w:ascii="Times New Roman" w:hAnsi="Times New Roman" w:cs="Times New Roman"/>
          <w:sz w:val="28"/>
          <w:szCs w:val="28"/>
          <w:lang w:val="zh-CN" w:eastAsia="zh-CN"/>
        </w:rPr>
      </w:pPr>
      <w:r>
        <w:rPr>
          <w:rFonts w:hint="default" w:ascii="Times New Roman" w:hAnsi="Times New Roman" w:cs="Times New Roman"/>
          <w:sz w:val="28"/>
          <w:szCs w:val="28"/>
          <w:lang w:val="zh-CN" w:eastAsia="zh-CN"/>
        </w:rPr>
        <w:t> 根据以上结果，运用结构重要度近似判别式，可以计算出12个基本事件和1个条件事件的结构重要度系数。计算结果如下：</w:t>
      </w:r>
    </w:p>
    <w:p>
      <w:pPr>
        <w:pageBreakBefore w:val="0"/>
        <w:widowControl w:val="0"/>
        <w:kinsoku/>
        <w:wordWrap/>
        <w:overflowPunct/>
        <w:topLinePunct w:val="0"/>
        <w:autoSpaceDE w:val="0"/>
        <w:autoSpaceDN w:val="0"/>
        <w:bidi w:val="0"/>
        <w:adjustRightInd/>
        <w:snapToGrid/>
        <w:spacing w:line="500" w:lineRule="exact"/>
        <w:ind w:left="0" w:leftChars="0" w:right="0" w:rightChars="0" w:firstLine="560" w:firstLineChars="200"/>
        <w:jc w:val="left"/>
        <w:textAlignment w:val="auto"/>
        <w:rPr>
          <w:rFonts w:hint="default" w:ascii="Times New Roman" w:hAnsi="Times New Roman" w:cs="Times New Roman"/>
          <w:sz w:val="28"/>
          <w:szCs w:val="28"/>
          <w:lang w:val="zh-CN" w:eastAsia="zh-CN"/>
        </w:rPr>
      </w:pPr>
      <w:r>
        <w:rPr>
          <w:rFonts w:hint="default" w:ascii="Times New Roman" w:hAnsi="Times New Roman" w:cs="Times New Roman"/>
          <w:sz w:val="28"/>
          <w:szCs w:val="28"/>
          <w:lang w:val="zh-CN" w:eastAsia="zh-CN"/>
        </w:rPr>
        <w:t>由于条件事件a存在于每一个割集中，因此其结构重要度系数Ia最大；</w:t>
      </w:r>
    </w:p>
    <w:p>
      <w:pPr>
        <w:pageBreakBefore w:val="0"/>
        <w:widowControl w:val="0"/>
        <w:kinsoku/>
        <w:wordWrap/>
        <w:overflowPunct/>
        <w:topLinePunct w:val="0"/>
        <w:autoSpaceDE w:val="0"/>
        <w:autoSpaceDN w:val="0"/>
        <w:bidi w:val="0"/>
        <w:adjustRightInd/>
        <w:snapToGrid/>
        <w:spacing w:line="500" w:lineRule="exact"/>
        <w:ind w:left="0" w:leftChars="0" w:right="0" w:rightChars="0" w:firstLine="560" w:firstLineChars="200"/>
        <w:jc w:val="left"/>
        <w:textAlignment w:val="auto"/>
        <w:rPr>
          <w:rFonts w:hint="default" w:ascii="Times New Roman" w:hAnsi="Times New Roman" w:cs="Times New Roman"/>
          <w:sz w:val="28"/>
          <w:szCs w:val="28"/>
          <w:lang w:val="zh-CN" w:eastAsia="zh-CN"/>
        </w:rPr>
      </w:pPr>
      <w:r>
        <w:rPr>
          <w:rFonts w:hint="default" w:ascii="Times New Roman" w:hAnsi="Times New Roman" w:cs="Times New Roman"/>
          <w:sz w:val="28"/>
          <w:szCs w:val="28"/>
          <w:lang w:val="zh-CN" w:eastAsia="zh-CN"/>
        </w:rPr>
        <w:t>事件X8 、X9、X10、 X11 、X12 是5个3阶割集和1个4阶割集中的事件，其结构重要度系数I8、I9、I10、I11、I12相等；</w:t>
      </w:r>
    </w:p>
    <w:p>
      <w:pPr>
        <w:pageBreakBefore w:val="0"/>
        <w:widowControl w:val="0"/>
        <w:kinsoku/>
        <w:wordWrap/>
        <w:overflowPunct/>
        <w:topLinePunct w:val="0"/>
        <w:autoSpaceDE w:val="0"/>
        <w:autoSpaceDN w:val="0"/>
        <w:bidi w:val="0"/>
        <w:adjustRightInd/>
        <w:snapToGrid/>
        <w:spacing w:line="500" w:lineRule="exact"/>
        <w:ind w:left="0" w:leftChars="0" w:right="0" w:rightChars="0" w:firstLine="560" w:firstLineChars="200"/>
        <w:jc w:val="left"/>
        <w:textAlignment w:val="auto"/>
        <w:rPr>
          <w:rFonts w:hint="default" w:ascii="Times New Roman" w:hAnsi="Times New Roman" w:cs="Times New Roman"/>
          <w:sz w:val="28"/>
          <w:szCs w:val="28"/>
          <w:lang w:val="zh-CN" w:eastAsia="zh-CN"/>
        </w:rPr>
      </w:pPr>
      <w:r>
        <w:rPr>
          <w:rFonts w:hint="default" w:ascii="Times New Roman" w:hAnsi="Times New Roman" w:cs="Times New Roman"/>
          <w:sz w:val="28"/>
          <w:szCs w:val="28"/>
          <w:lang w:val="zh-CN" w:eastAsia="zh-CN"/>
        </w:rPr>
        <w:t>事件X1 、X2、X3、 X4 、X5 是5个3阶割集中的事件，其结构重要度系数I1、I2、I3、I4、I5相等；</w:t>
      </w:r>
    </w:p>
    <w:p>
      <w:pPr>
        <w:pageBreakBefore w:val="0"/>
        <w:widowControl w:val="0"/>
        <w:kinsoku/>
        <w:wordWrap/>
        <w:overflowPunct/>
        <w:topLinePunct w:val="0"/>
        <w:autoSpaceDE w:val="0"/>
        <w:autoSpaceDN w:val="0"/>
        <w:bidi w:val="0"/>
        <w:adjustRightInd/>
        <w:snapToGrid/>
        <w:spacing w:line="500" w:lineRule="exact"/>
        <w:ind w:left="0" w:leftChars="0" w:right="0" w:rightChars="0" w:firstLine="560" w:firstLineChars="200"/>
        <w:jc w:val="left"/>
        <w:textAlignment w:val="auto"/>
        <w:rPr>
          <w:rFonts w:hint="default" w:ascii="Times New Roman" w:hAnsi="Times New Roman" w:cs="Times New Roman"/>
          <w:sz w:val="28"/>
          <w:szCs w:val="28"/>
          <w:lang w:val="zh-CN" w:eastAsia="zh-CN"/>
        </w:rPr>
      </w:pPr>
      <w:r>
        <w:rPr>
          <w:rFonts w:hint="default" w:ascii="Times New Roman" w:hAnsi="Times New Roman" w:cs="Times New Roman"/>
          <w:sz w:val="28"/>
          <w:szCs w:val="28"/>
          <w:lang w:val="zh-CN" w:eastAsia="zh-CN"/>
        </w:rPr>
        <w:t>事件X6 、X7 是5个4阶割集中的事件，其结构重要度系数I6、I7相等。</w:t>
      </w:r>
    </w:p>
    <w:p>
      <w:pPr>
        <w:pageBreakBefore w:val="0"/>
        <w:widowControl w:val="0"/>
        <w:kinsoku/>
        <w:wordWrap/>
        <w:overflowPunct/>
        <w:topLinePunct w:val="0"/>
        <w:autoSpaceDE w:val="0"/>
        <w:autoSpaceDN w:val="0"/>
        <w:bidi w:val="0"/>
        <w:adjustRightInd/>
        <w:snapToGrid/>
        <w:spacing w:line="500" w:lineRule="exact"/>
        <w:ind w:left="0" w:leftChars="0" w:right="0" w:rightChars="0" w:firstLine="560" w:firstLineChars="200"/>
        <w:jc w:val="left"/>
        <w:textAlignment w:val="auto"/>
        <w:rPr>
          <w:rFonts w:hint="default" w:ascii="Times New Roman" w:hAnsi="Times New Roman" w:cs="Times New Roman"/>
          <w:sz w:val="28"/>
          <w:szCs w:val="28"/>
          <w:lang w:val="zh-CN" w:eastAsia="zh-CN"/>
        </w:rPr>
      </w:pPr>
      <w:r>
        <w:rPr>
          <w:rFonts w:hint="default" w:ascii="Times New Roman" w:hAnsi="Times New Roman" w:cs="Times New Roman"/>
          <w:sz w:val="28"/>
          <w:szCs w:val="28"/>
          <w:lang w:val="zh-CN" w:eastAsia="zh-CN"/>
        </w:rPr>
        <w:t>由此得出结构重要度顺序：</w:t>
      </w:r>
    </w:p>
    <w:p>
      <w:pPr>
        <w:pageBreakBefore w:val="0"/>
        <w:widowControl w:val="0"/>
        <w:kinsoku/>
        <w:wordWrap/>
        <w:overflowPunct/>
        <w:topLinePunct w:val="0"/>
        <w:autoSpaceDE w:val="0"/>
        <w:autoSpaceDN w:val="0"/>
        <w:bidi w:val="0"/>
        <w:adjustRightInd/>
        <w:snapToGrid/>
        <w:spacing w:line="500" w:lineRule="exact"/>
        <w:ind w:left="0" w:leftChars="0" w:right="0" w:rightChars="0" w:firstLine="560" w:firstLineChars="200"/>
        <w:jc w:val="left"/>
        <w:textAlignment w:val="auto"/>
        <w:rPr>
          <w:rFonts w:hint="default" w:ascii="Times New Roman" w:hAnsi="Times New Roman" w:cs="Times New Roman"/>
          <w:sz w:val="28"/>
          <w:szCs w:val="28"/>
          <w:lang w:val="zh-CN" w:eastAsia="zh-CN"/>
        </w:rPr>
      </w:pPr>
      <w:bookmarkStart w:id="1560" w:name="_Toc143756477"/>
      <w:bookmarkStart w:id="1561" w:name="_Toc135643133"/>
      <w:bookmarkStart w:id="1562" w:name="_Toc135798849"/>
      <w:bookmarkStart w:id="1563" w:name="_Toc135708948"/>
      <w:bookmarkStart w:id="1564" w:name="_Toc135643304"/>
      <w:bookmarkStart w:id="1565" w:name="_Toc135643373"/>
      <w:bookmarkStart w:id="1566" w:name="_Toc135643556"/>
      <w:r>
        <w:rPr>
          <w:rFonts w:hint="default" w:ascii="Times New Roman" w:hAnsi="Times New Roman" w:cs="Times New Roman"/>
          <w:sz w:val="28"/>
          <w:szCs w:val="28"/>
          <w:lang w:val="zh-CN" w:eastAsia="zh-CN"/>
        </w:rPr>
        <w:t>Ia &gt; I8=I9=I10=I11=I12 &gt; I1=I2=I3=I4=I5 &gt; I6=I7</w:t>
      </w:r>
      <w:bookmarkEnd w:id="1560"/>
      <w:bookmarkEnd w:id="1561"/>
      <w:bookmarkEnd w:id="1562"/>
      <w:bookmarkEnd w:id="1563"/>
      <w:bookmarkEnd w:id="1564"/>
      <w:bookmarkEnd w:id="1565"/>
      <w:bookmarkEnd w:id="1566"/>
    </w:p>
    <w:p>
      <w:pPr>
        <w:pageBreakBefore w:val="0"/>
        <w:widowControl w:val="0"/>
        <w:kinsoku/>
        <w:wordWrap/>
        <w:overflowPunct/>
        <w:topLinePunct w:val="0"/>
        <w:autoSpaceDE w:val="0"/>
        <w:autoSpaceDN w:val="0"/>
        <w:bidi w:val="0"/>
        <w:adjustRightInd/>
        <w:snapToGrid/>
        <w:spacing w:line="500" w:lineRule="exact"/>
        <w:ind w:left="0" w:leftChars="0" w:right="0" w:rightChars="0" w:firstLine="560" w:firstLineChars="200"/>
        <w:jc w:val="left"/>
        <w:textAlignment w:val="auto"/>
        <w:rPr>
          <w:rFonts w:hint="eastAsia" w:ascii="Times New Roman" w:hAnsi="Times New Roman" w:cs="Times New Roman"/>
          <w:sz w:val="28"/>
          <w:szCs w:val="28"/>
          <w:lang w:val="zh-CN" w:eastAsia="zh-CN"/>
        </w:rPr>
      </w:pPr>
      <w:r>
        <w:rPr>
          <w:rFonts w:hint="default" w:ascii="Times New Roman" w:hAnsi="Times New Roman" w:cs="Times New Roman"/>
          <w:sz w:val="28"/>
          <w:szCs w:val="28"/>
          <w:lang w:val="zh-CN" w:eastAsia="zh-CN"/>
        </w:rPr>
        <w:t>由图</w:t>
      </w:r>
      <w:r>
        <w:rPr>
          <w:rFonts w:hint="eastAsia" w:ascii="Times New Roman" w:hAnsi="Times New Roman" w:cs="Times New Roman"/>
          <w:sz w:val="28"/>
          <w:szCs w:val="28"/>
          <w:lang w:val="zh-CN" w:eastAsia="zh-CN"/>
        </w:rPr>
        <w:t>3.1</w:t>
      </w:r>
      <w:r>
        <w:rPr>
          <w:rFonts w:hint="default" w:ascii="Times New Roman" w:hAnsi="Times New Roman" w:cs="Times New Roman"/>
          <w:sz w:val="28"/>
          <w:szCs w:val="28"/>
          <w:lang w:val="zh-CN" w:eastAsia="zh-CN"/>
        </w:rPr>
        <w:t>-1事故树分析得知，火源与达到爆炸极限的混合油气构成了加油站燃爆事故发生的要素。条件事件a(达到爆炸极限浓度)结构重要系数最大，是燃爆事故发生的最重要条件，这就要求采取针对措施，如安装气体报警装置．对混合气浓度进行监测，一旦接近危险浓度即行报警，使管理人员立刻采取预防措施，可避免事故发生。构成油品泄漏的基本事件结构重要度次之，由此可知，加油机、管道、油罐的密封是否良好在防上燃爆事故发生中占据着十分重要的地位。另外，加强加油站安全管理，严禁吸烟和动用明火，防止铁器撞击，防止产生静电火花以及加油点电气设备要符合防火防爆要求等，也是防止燃爆事故发生的必要条件。</w:t>
      </w:r>
    </w:p>
    <w:p>
      <w:pPr>
        <w:pStyle w:val="5"/>
        <w:pageBreakBefore w:val="0"/>
        <w:widowControl w:val="0"/>
        <w:kinsoku/>
        <w:wordWrap/>
        <w:overflowPunct/>
        <w:topLinePunct w:val="0"/>
        <w:autoSpaceDE w:val="0"/>
        <w:autoSpaceDN w:val="0"/>
        <w:bidi w:val="0"/>
        <w:adjustRightInd/>
        <w:snapToGrid/>
        <w:spacing w:beforeLines="100" w:afterLines="100" w:line="500" w:lineRule="exact"/>
        <w:ind w:left="0" w:leftChars="0" w:right="0" w:rightChars="0"/>
        <w:jc w:val="left"/>
        <w:textAlignment w:val="auto"/>
        <w:rPr>
          <w:rFonts w:hint="default" w:ascii="Times New Roman" w:hAnsi="Times New Roman" w:cs="Times New Roman"/>
          <w:sz w:val="28"/>
          <w:szCs w:val="28"/>
          <w:lang w:val="en-US"/>
        </w:rPr>
      </w:pPr>
      <w:r>
        <w:rPr>
          <w:rFonts w:hint="default" w:ascii="Times New Roman" w:hAnsi="Times New Roman" w:cs="Times New Roman"/>
          <w:sz w:val="28"/>
          <w:szCs w:val="28"/>
        </w:rPr>
        <w:t>4.</w:t>
      </w:r>
      <w:r>
        <w:rPr>
          <w:rFonts w:hint="eastAsia" w:ascii="Times New Roman" w:hAnsi="Times New Roman" w:cs="Times New Roman"/>
          <w:sz w:val="28"/>
          <w:szCs w:val="28"/>
          <w:lang w:val="en-US" w:eastAsia="zh-CN"/>
        </w:rPr>
        <w:t>3</w:t>
      </w:r>
      <w:r>
        <w:rPr>
          <w:rFonts w:hint="default" w:ascii="Times New Roman" w:hAnsi="Times New Roman" w:cs="Times New Roman"/>
          <w:sz w:val="28"/>
          <w:szCs w:val="28"/>
        </w:rPr>
        <w:t>.</w:t>
      </w:r>
      <w:r>
        <w:rPr>
          <w:rFonts w:hint="eastAsia" w:ascii="Times New Roman" w:hAnsi="Times New Roman" w:cs="Times New Roman"/>
          <w:sz w:val="28"/>
          <w:szCs w:val="28"/>
          <w:lang w:val="en-US" w:eastAsia="zh-CN"/>
        </w:rPr>
        <w:t>4</w:t>
      </w:r>
      <w:r>
        <w:rPr>
          <w:rFonts w:hint="default" w:ascii="Times New Roman" w:hAnsi="Times New Roman" w:cs="Times New Roman"/>
          <w:sz w:val="28"/>
          <w:szCs w:val="28"/>
          <w:lang w:val="en-US"/>
        </w:rPr>
        <w:t xml:space="preserve"> </w:t>
      </w:r>
      <w:r>
        <w:rPr>
          <w:rFonts w:hint="eastAsia" w:ascii="Times New Roman" w:hAnsi="Times New Roman" w:cs="Times New Roman"/>
          <w:sz w:val="28"/>
          <w:szCs w:val="28"/>
          <w:lang w:val="en-US" w:eastAsia="zh-CN"/>
        </w:rPr>
        <w:t>小结</w:t>
      </w:r>
    </w:p>
    <w:p>
      <w:pPr>
        <w:pageBreakBefore w:val="0"/>
        <w:widowControl w:val="0"/>
        <w:kinsoku/>
        <w:wordWrap/>
        <w:overflowPunct/>
        <w:topLinePunct w:val="0"/>
        <w:autoSpaceDE w:val="0"/>
        <w:autoSpaceDN w:val="0"/>
        <w:bidi w:val="0"/>
        <w:adjustRightInd/>
        <w:snapToGrid/>
        <w:spacing w:line="500" w:lineRule="exact"/>
        <w:ind w:left="0" w:leftChars="0" w:right="0" w:rightChars="0" w:firstLine="560" w:firstLineChars="200"/>
        <w:jc w:val="left"/>
        <w:textAlignment w:val="auto"/>
        <w:rPr>
          <w:rFonts w:hint="eastAsia" w:ascii="Times New Roman" w:hAnsi="Times New Roman" w:cs="Times New Roman"/>
          <w:sz w:val="28"/>
          <w:szCs w:val="28"/>
          <w:lang w:val="zh-CN" w:eastAsia="zh-CN"/>
        </w:rPr>
      </w:pPr>
      <w:r>
        <w:rPr>
          <w:rFonts w:hint="default" w:ascii="Times New Roman" w:hAnsi="Times New Roman" w:cs="Times New Roman"/>
          <w:sz w:val="28"/>
          <w:szCs w:val="28"/>
          <w:lang w:val="zh-CN" w:eastAsia="zh-CN"/>
        </w:rPr>
        <w:t>从以上分析可以得知，共有六种引起燃、爆事故的途径。对接地装置、电器设施应列入日常管理经常进行检查、检测；应坚决杜绝外来火种，灭火器材应配置齐全并布置到位；对各种事故应急方案应落实到人。由于加油站中经营的汽油危险程度较高，所以对各种因素的结构重要程度不做排序，任何因素均作为防范重点来考虑。</w:t>
      </w:r>
    </w:p>
    <w:p>
      <w:pPr>
        <w:spacing w:beforeLines="100" w:afterLines="100"/>
        <w:jc w:val="center"/>
        <w:outlineLvl w:val="1"/>
        <w:rPr>
          <w:rFonts w:hint="default" w:ascii="Times New Roman" w:hAnsi="Times New Roman" w:cs="Times New Roman"/>
          <w:b/>
          <w:spacing w:val="6"/>
          <w:sz w:val="32"/>
          <w:szCs w:val="32"/>
        </w:rPr>
      </w:pPr>
      <w:bookmarkStart w:id="1567" w:name="_Toc22025"/>
      <w:bookmarkStart w:id="1568" w:name="_Toc2435"/>
      <w:bookmarkStart w:id="1569" w:name="_Toc19557"/>
      <w:r>
        <w:rPr>
          <w:rFonts w:hint="default" w:ascii="Times New Roman" w:hAnsi="Times New Roman" w:cs="Times New Roman"/>
          <w:b/>
          <w:spacing w:val="6"/>
          <w:sz w:val="32"/>
          <w:szCs w:val="32"/>
        </w:rPr>
        <w:t>4.</w:t>
      </w:r>
      <w:r>
        <w:rPr>
          <w:rFonts w:hint="eastAsia" w:ascii="Times New Roman" w:hAnsi="Times New Roman" w:cs="Times New Roman"/>
          <w:b/>
          <w:spacing w:val="6"/>
          <w:sz w:val="32"/>
          <w:szCs w:val="32"/>
          <w:lang w:val="en-US" w:eastAsia="zh-CN"/>
        </w:rPr>
        <w:t>4</w:t>
      </w:r>
      <w:r>
        <w:rPr>
          <w:rFonts w:hint="default" w:ascii="Times New Roman" w:hAnsi="Times New Roman" w:cs="Times New Roman"/>
          <w:b/>
          <w:spacing w:val="6"/>
          <w:sz w:val="32"/>
          <w:szCs w:val="32"/>
          <w:lang w:val="en-US"/>
        </w:rPr>
        <w:t xml:space="preserve"> </w:t>
      </w:r>
      <w:r>
        <w:rPr>
          <w:rFonts w:hint="default" w:ascii="Times New Roman" w:hAnsi="Times New Roman" w:cs="Times New Roman"/>
          <w:b/>
          <w:spacing w:val="6"/>
          <w:sz w:val="32"/>
          <w:szCs w:val="32"/>
        </w:rPr>
        <w:t>作业条件危险性评价法</w:t>
      </w:r>
      <w:bookmarkEnd w:id="1567"/>
      <w:bookmarkEnd w:id="1568"/>
      <w:bookmarkEnd w:id="1569"/>
    </w:p>
    <w:p>
      <w:pPr>
        <w:pStyle w:val="11"/>
        <w:spacing w:line="500" w:lineRule="exact"/>
        <w:ind w:right="-165" w:rightChars="-75" w:firstLine="560" w:firstLineChars="200"/>
        <w:rPr>
          <w:rFonts w:hint="default" w:ascii="Times New Roman" w:hAnsi="Times New Roman" w:cs="Times New Roman"/>
          <w:sz w:val="28"/>
          <w:lang w:val="zh-CN" w:eastAsia="zh-CN"/>
        </w:rPr>
      </w:pPr>
      <w:r>
        <w:rPr>
          <w:rFonts w:hint="default" w:ascii="Times New Roman" w:hAnsi="Times New Roman" w:cs="Times New Roman"/>
          <w:sz w:val="28"/>
          <w:lang w:val="zh-CN" w:eastAsia="zh-CN"/>
        </w:rPr>
        <w:t>本节采用作业条件危险性评价（格雷厄姆—金尼法）对该油站主要作业场所的危险性进行定量分析，通过危险、有害的分析，有利于该加油站今后在作业中有针对性的加强安全工作，减少事故的发生。分析结果见下表：</w:t>
      </w:r>
    </w:p>
    <w:bookmarkEnd w:id="1557"/>
    <w:bookmarkEnd w:id="1558"/>
    <w:bookmarkEnd w:id="1559"/>
    <w:p>
      <w:pPr>
        <w:keepNext w:val="0"/>
        <w:keepLines w:val="0"/>
        <w:widowControl w:val="0"/>
        <w:suppressLineNumbers w:val="0"/>
        <w:spacing w:before="0" w:beforeAutospacing="0" w:after="0" w:afterAutospacing="0" w:line="560" w:lineRule="exact"/>
        <w:ind w:left="0" w:right="0"/>
        <w:jc w:val="center"/>
        <w:rPr>
          <w:rFonts w:hint="eastAsia" w:ascii="宋体" w:hAnsi="宋体" w:eastAsia="宋体" w:cs="宋体"/>
          <w:b/>
          <w:bCs w:val="0"/>
          <w:sz w:val="24"/>
          <w:szCs w:val="24"/>
          <w:lang w:val="en-US"/>
        </w:rPr>
      </w:pPr>
      <w:bookmarkStart w:id="1570" w:name="_Toc10222"/>
      <w:bookmarkStart w:id="1571" w:name="_Toc13884"/>
      <w:bookmarkStart w:id="1572" w:name="_Toc30875"/>
      <w:bookmarkStart w:id="1573" w:name="_Toc20463"/>
      <w:bookmarkStart w:id="1574" w:name="_Toc13138"/>
      <w:r>
        <w:rPr>
          <w:rFonts w:hint="eastAsia" w:ascii="宋体" w:hAnsi="宋体" w:eastAsia="宋体" w:cs="宋体"/>
          <w:b/>
          <w:bCs w:val="0"/>
          <w:kern w:val="2"/>
          <w:sz w:val="24"/>
          <w:szCs w:val="24"/>
          <w:lang w:val="en-US" w:eastAsia="zh-CN" w:bidi="ar"/>
        </w:rPr>
        <w:t>附表4.4-1 危险场所作业条件危险性分析表</w:t>
      </w:r>
    </w:p>
    <w:tbl>
      <w:tblPr>
        <w:tblStyle w:val="29"/>
        <w:tblW w:w="9399" w:type="dxa"/>
        <w:jc w:val="center"/>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Layout w:type="fixed"/>
        <w:tblCellMar>
          <w:top w:w="0" w:type="dxa"/>
          <w:left w:w="108" w:type="dxa"/>
          <w:bottom w:w="0" w:type="dxa"/>
          <w:right w:w="108" w:type="dxa"/>
        </w:tblCellMar>
      </w:tblPr>
      <w:tblGrid>
        <w:gridCol w:w="716"/>
        <w:gridCol w:w="1564"/>
        <w:gridCol w:w="1416"/>
        <w:gridCol w:w="1076"/>
        <w:gridCol w:w="1249"/>
        <w:gridCol w:w="1256"/>
        <w:gridCol w:w="2122"/>
      </w:tblGrid>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340" w:hRule="atLeast"/>
          <w:tblHeader/>
          <w:jc w:val="center"/>
        </w:trPr>
        <w:tc>
          <w:tcPr>
            <w:tcW w:w="7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bCs/>
                <w:sz w:val="21"/>
                <w:szCs w:val="21"/>
                <w:lang w:val="en-US" w:eastAsia="zh-CN"/>
              </w:rPr>
            </w:pPr>
            <w:r>
              <w:rPr>
                <w:rFonts w:hint="eastAsia" w:ascii="Times New Roman" w:hAnsi="Times New Roman" w:cs="Times New Roman"/>
                <w:b/>
                <w:bCs/>
                <w:sz w:val="21"/>
                <w:szCs w:val="21"/>
                <w:lang w:val="en-US" w:eastAsia="zh-CN"/>
              </w:rPr>
              <w:t>作业场所</w:t>
            </w:r>
          </w:p>
        </w:tc>
        <w:tc>
          <w:tcPr>
            <w:tcW w:w="156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bCs/>
                <w:sz w:val="21"/>
                <w:szCs w:val="21"/>
                <w:lang w:val="en-US" w:eastAsia="zh-CN"/>
              </w:rPr>
            </w:pPr>
            <w:r>
              <w:rPr>
                <w:rFonts w:hint="eastAsia" w:ascii="Times New Roman" w:hAnsi="Times New Roman" w:cs="Times New Roman"/>
                <w:b/>
                <w:bCs/>
                <w:sz w:val="21"/>
                <w:szCs w:val="21"/>
                <w:lang w:val="en-US" w:eastAsia="zh-CN"/>
              </w:rPr>
              <w:t>危险、</w:t>
            </w:r>
          </w:p>
          <w:p>
            <w:pPr>
              <w:keepNext w:val="0"/>
              <w:keepLines w:val="0"/>
              <w:suppressLineNumbers w:val="0"/>
              <w:spacing w:before="0" w:beforeAutospacing="0" w:after="0" w:afterAutospacing="0"/>
              <w:ind w:left="0" w:right="0"/>
              <w:jc w:val="center"/>
              <w:rPr>
                <w:rFonts w:hint="eastAsia" w:ascii="Times New Roman" w:hAnsi="Times New Roman" w:cs="Times New Roman"/>
                <w:b/>
                <w:bCs/>
                <w:sz w:val="21"/>
                <w:szCs w:val="21"/>
                <w:lang w:val="en-US" w:eastAsia="zh-CN"/>
              </w:rPr>
            </w:pPr>
            <w:r>
              <w:rPr>
                <w:rFonts w:hint="eastAsia" w:ascii="Times New Roman" w:hAnsi="Times New Roman" w:cs="Times New Roman"/>
                <w:b/>
                <w:bCs/>
                <w:sz w:val="21"/>
                <w:szCs w:val="21"/>
                <w:lang w:val="en-US" w:eastAsia="zh-CN"/>
              </w:rPr>
              <w:t>有害因素</w:t>
            </w:r>
          </w:p>
        </w:tc>
        <w:tc>
          <w:tcPr>
            <w:tcW w:w="14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bCs/>
                <w:sz w:val="21"/>
                <w:szCs w:val="21"/>
                <w:lang w:val="en-US" w:eastAsia="zh-CN"/>
              </w:rPr>
            </w:pPr>
            <w:r>
              <w:rPr>
                <w:rFonts w:hint="eastAsia" w:ascii="Times New Roman" w:hAnsi="Times New Roman" w:cs="Times New Roman"/>
                <w:b/>
                <w:bCs/>
                <w:sz w:val="21"/>
                <w:szCs w:val="21"/>
                <w:lang w:val="en-US" w:eastAsia="zh-CN"/>
              </w:rPr>
              <w:t>事故发生的可能性（L）分值</w:t>
            </w:r>
          </w:p>
        </w:tc>
        <w:tc>
          <w:tcPr>
            <w:tcW w:w="10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bCs/>
                <w:sz w:val="21"/>
                <w:szCs w:val="21"/>
                <w:lang w:val="en-US" w:eastAsia="zh-CN"/>
              </w:rPr>
            </w:pPr>
            <w:r>
              <w:rPr>
                <w:rFonts w:hint="eastAsia" w:ascii="Times New Roman" w:hAnsi="Times New Roman" w:cs="Times New Roman"/>
                <w:b/>
                <w:bCs/>
                <w:sz w:val="21"/>
                <w:szCs w:val="21"/>
                <w:lang w:val="en-US" w:eastAsia="zh-CN"/>
              </w:rPr>
              <w:t>暴露频率（E）分值</w:t>
            </w:r>
          </w:p>
        </w:tc>
        <w:tc>
          <w:tcPr>
            <w:tcW w:w="124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bCs/>
                <w:sz w:val="21"/>
                <w:szCs w:val="21"/>
                <w:lang w:val="en-US" w:eastAsia="zh-CN"/>
              </w:rPr>
            </w:pPr>
            <w:r>
              <w:rPr>
                <w:rFonts w:hint="eastAsia" w:ascii="Times New Roman" w:hAnsi="Times New Roman" w:cs="Times New Roman"/>
                <w:b/>
                <w:bCs/>
                <w:sz w:val="21"/>
                <w:szCs w:val="21"/>
                <w:lang w:val="en-US" w:eastAsia="zh-CN"/>
              </w:rPr>
              <w:t>事故可能结果（C）分值</w:t>
            </w:r>
          </w:p>
        </w:tc>
        <w:tc>
          <w:tcPr>
            <w:tcW w:w="125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bCs/>
                <w:sz w:val="21"/>
                <w:szCs w:val="21"/>
                <w:lang w:val="en-US" w:eastAsia="zh-CN"/>
              </w:rPr>
            </w:pPr>
            <w:r>
              <w:rPr>
                <w:rFonts w:hint="eastAsia" w:ascii="Times New Roman" w:hAnsi="Times New Roman" w:cs="Times New Roman"/>
                <w:b/>
                <w:bCs/>
                <w:sz w:val="21"/>
                <w:szCs w:val="21"/>
                <w:lang w:val="en-US" w:eastAsia="zh-CN"/>
              </w:rPr>
              <w:t>该作业危险性（D）分值</w:t>
            </w:r>
          </w:p>
        </w:tc>
        <w:tc>
          <w:tcPr>
            <w:tcW w:w="212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bCs/>
                <w:sz w:val="21"/>
                <w:szCs w:val="21"/>
                <w:lang w:val="en-US" w:eastAsia="zh-CN"/>
              </w:rPr>
            </w:pPr>
            <w:r>
              <w:rPr>
                <w:rFonts w:hint="eastAsia" w:ascii="Times New Roman" w:hAnsi="Times New Roman" w:cs="Times New Roman"/>
                <w:b/>
                <w:bCs/>
                <w:sz w:val="21"/>
                <w:szCs w:val="21"/>
                <w:lang w:val="en-US" w:eastAsia="zh-CN"/>
              </w:rPr>
              <w:t>危险程度</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cantSplit/>
          <w:trHeight w:val="340" w:hRule="atLeast"/>
          <w:jc w:val="center"/>
        </w:trPr>
        <w:tc>
          <w:tcPr>
            <w:tcW w:w="716" w:type="dxa"/>
            <w:vMerge w:val="restart"/>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加油区</w:t>
            </w:r>
          </w:p>
        </w:tc>
        <w:tc>
          <w:tcPr>
            <w:tcW w:w="156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火灾、爆炸</w:t>
            </w:r>
          </w:p>
        </w:tc>
        <w:tc>
          <w:tcPr>
            <w:tcW w:w="14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0.5</w:t>
            </w:r>
          </w:p>
        </w:tc>
        <w:tc>
          <w:tcPr>
            <w:tcW w:w="10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6</w:t>
            </w:r>
          </w:p>
        </w:tc>
        <w:tc>
          <w:tcPr>
            <w:tcW w:w="124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15</w:t>
            </w:r>
          </w:p>
        </w:tc>
        <w:tc>
          <w:tcPr>
            <w:tcW w:w="125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45</w:t>
            </w:r>
          </w:p>
        </w:tc>
        <w:tc>
          <w:tcPr>
            <w:tcW w:w="212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一般危险，需要注意</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cantSplit/>
          <w:trHeight w:val="340" w:hRule="atLeast"/>
          <w:jc w:val="center"/>
        </w:trPr>
        <w:tc>
          <w:tcPr>
            <w:tcW w:w="716"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val="0"/>
                <w:bCs w:val="0"/>
                <w:sz w:val="21"/>
                <w:szCs w:val="21"/>
                <w:lang w:val="en-US" w:eastAsia="zh-CN"/>
              </w:rPr>
            </w:pPr>
          </w:p>
        </w:tc>
        <w:tc>
          <w:tcPr>
            <w:tcW w:w="156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中毒和窒息</w:t>
            </w:r>
          </w:p>
        </w:tc>
        <w:tc>
          <w:tcPr>
            <w:tcW w:w="14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1</w:t>
            </w:r>
          </w:p>
        </w:tc>
        <w:tc>
          <w:tcPr>
            <w:tcW w:w="10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6</w:t>
            </w:r>
          </w:p>
        </w:tc>
        <w:tc>
          <w:tcPr>
            <w:tcW w:w="124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3</w:t>
            </w:r>
          </w:p>
        </w:tc>
        <w:tc>
          <w:tcPr>
            <w:tcW w:w="125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18</w:t>
            </w:r>
          </w:p>
        </w:tc>
        <w:tc>
          <w:tcPr>
            <w:tcW w:w="212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稍有危险，可以接受</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cantSplit/>
          <w:trHeight w:val="340" w:hRule="atLeast"/>
          <w:jc w:val="center"/>
        </w:trPr>
        <w:tc>
          <w:tcPr>
            <w:tcW w:w="716"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val="0"/>
                <w:bCs w:val="0"/>
                <w:sz w:val="21"/>
                <w:szCs w:val="21"/>
                <w:lang w:val="en-US" w:eastAsia="zh-CN"/>
              </w:rPr>
            </w:pPr>
          </w:p>
        </w:tc>
        <w:tc>
          <w:tcPr>
            <w:tcW w:w="156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触电</w:t>
            </w:r>
          </w:p>
        </w:tc>
        <w:tc>
          <w:tcPr>
            <w:tcW w:w="14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1</w:t>
            </w:r>
          </w:p>
        </w:tc>
        <w:tc>
          <w:tcPr>
            <w:tcW w:w="10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6</w:t>
            </w:r>
          </w:p>
        </w:tc>
        <w:tc>
          <w:tcPr>
            <w:tcW w:w="124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3</w:t>
            </w:r>
          </w:p>
        </w:tc>
        <w:tc>
          <w:tcPr>
            <w:tcW w:w="125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18</w:t>
            </w:r>
          </w:p>
        </w:tc>
        <w:tc>
          <w:tcPr>
            <w:tcW w:w="212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稍有危险，可以接受</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cantSplit/>
          <w:trHeight w:val="340" w:hRule="atLeast"/>
          <w:jc w:val="center"/>
        </w:trPr>
        <w:tc>
          <w:tcPr>
            <w:tcW w:w="716"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val="0"/>
                <w:bCs w:val="0"/>
                <w:sz w:val="21"/>
                <w:szCs w:val="21"/>
                <w:lang w:val="en-US" w:eastAsia="zh-CN"/>
              </w:rPr>
            </w:pPr>
          </w:p>
        </w:tc>
        <w:tc>
          <w:tcPr>
            <w:tcW w:w="156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车辆伤害</w:t>
            </w:r>
          </w:p>
        </w:tc>
        <w:tc>
          <w:tcPr>
            <w:tcW w:w="14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1</w:t>
            </w:r>
          </w:p>
        </w:tc>
        <w:tc>
          <w:tcPr>
            <w:tcW w:w="10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6</w:t>
            </w:r>
          </w:p>
        </w:tc>
        <w:tc>
          <w:tcPr>
            <w:tcW w:w="124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7</w:t>
            </w:r>
          </w:p>
        </w:tc>
        <w:tc>
          <w:tcPr>
            <w:tcW w:w="125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42</w:t>
            </w:r>
          </w:p>
        </w:tc>
        <w:tc>
          <w:tcPr>
            <w:tcW w:w="212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一般危险，需要注意</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cantSplit/>
          <w:trHeight w:val="340" w:hRule="atLeast"/>
          <w:jc w:val="center"/>
        </w:trPr>
        <w:tc>
          <w:tcPr>
            <w:tcW w:w="716"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val="0"/>
                <w:bCs w:val="0"/>
                <w:sz w:val="21"/>
                <w:szCs w:val="21"/>
                <w:lang w:val="en-US" w:eastAsia="zh-CN"/>
              </w:rPr>
            </w:pPr>
          </w:p>
        </w:tc>
        <w:tc>
          <w:tcPr>
            <w:tcW w:w="156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高处坠落</w:t>
            </w:r>
          </w:p>
        </w:tc>
        <w:tc>
          <w:tcPr>
            <w:tcW w:w="14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1</w:t>
            </w:r>
          </w:p>
        </w:tc>
        <w:tc>
          <w:tcPr>
            <w:tcW w:w="10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3</w:t>
            </w:r>
          </w:p>
        </w:tc>
        <w:tc>
          <w:tcPr>
            <w:tcW w:w="124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3</w:t>
            </w:r>
          </w:p>
        </w:tc>
        <w:tc>
          <w:tcPr>
            <w:tcW w:w="125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9</w:t>
            </w:r>
          </w:p>
        </w:tc>
        <w:tc>
          <w:tcPr>
            <w:tcW w:w="212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稍有危险，可以接受</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cantSplit/>
          <w:trHeight w:val="340" w:hRule="atLeast"/>
          <w:jc w:val="center"/>
        </w:trPr>
        <w:tc>
          <w:tcPr>
            <w:tcW w:w="71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埋地油罐区</w:t>
            </w:r>
          </w:p>
        </w:tc>
        <w:tc>
          <w:tcPr>
            <w:tcW w:w="156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火灾、爆炸</w:t>
            </w:r>
          </w:p>
        </w:tc>
        <w:tc>
          <w:tcPr>
            <w:tcW w:w="14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0.5</w:t>
            </w:r>
          </w:p>
        </w:tc>
        <w:tc>
          <w:tcPr>
            <w:tcW w:w="10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6</w:t>
            </w:r>
          </w:p>
        </w:tc>
        <w:tc>
          <w:tcPr>
            <w:tcW w:w="124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15</w:t>
            </w:r>
          </w:p>
        </w:tc>
        <w:tc>
          <w:tcPr>
            <w:tcW w:w="125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45</w:t>
            </w:r>
          </w:p>
        </w:tc>
        <w:tc>
          <w:tcPr>
            <w:tcW w:w="212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一般危险，需要注意</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cantSplit/>
          <w:trHeight w:val="340" w:hRule="atLeast"/>
          <w:jc w:val="center"/>
        </w:trPr>
        <w:tc>
          <w:tcPr>
            <w:tcW w:w="71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val="0"/>
                <w:bCs w:val="0"/>
                <w:sz w:val="21"/>
                <w:szCs w:val="21"/>
                <w:lang w:val="en-US" w:eastAsia="zh-CN"/>
              </w:rPr>
            </w:pPr>
          </w:p>
        </w:tc>
        <w:tc>
          <w:tcPr>
            <w:tcW w:w="156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中毒和窒息</w:t>
            </w:r>
          </w:p>
        </w:tc>
        <w:tc>
          <w:tcPr>
            <w:tcW w:w="14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1</w:t>
            </w:r>
          </w:p>
        </w:tc>
        <w:tc>
          <w:tcPr>
            <w:tcW w:w="10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6</w:t>
            </w:r>
          </w:p>
        </w:tc>
        <w:tc>
          <w:tcPr>
            <w:tcW w:w="124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3</w:t>
            </w:r>
          </w:p>
        </w:tc>
        <w:tc>
          <w:tcPr>
            <w:tcW w:w="125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18</w:t>
            </w:r>
          </w:p>
        </w:tc>
        <w:tc>
          <w:tcPr>
            <w:tcW w:w="212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稍有危险，可以接受</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cantSplit/>
          <w:trHeight w:val="340" w:hRule="atLeast"/>
          <w:jc w:val="center"/>
        </w:trPr>
        <w:tc>
          <w:tcPr>
            <w:tcW w:w="71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val="0"/>
                <w:bCs w:val="0"/>
                <w:sz w:val="21"/>
                <w:szCs w:val="21"/>
                <w:lang w:val="en-US" w:eastAsia="zh-CN"/>
              </w:rPr>
            </w:pPr>
          </w:p>
        </w:tc>
        <w:tc>
          <w:tcPr>
            <w:tcW w:w="156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车辆伤害</w:t>
            </w:r>
          </w:p>
        </w:tc>
        <w:tc>
          <w:tcPr>
            <w:tcW w:w="14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1</w:t>
            </w:r>
          </w:p>
        </w:tc>
        <w:tc>
          <w:tcPr>
            <w:tcW w:w="10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6</w:t>
            </w:r>
          </w:p>
        </w:tc>
        <w:tc>
          <w:tcPr>
            <w:tcW w:w="124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7</w:t>
            </w:r>
          </w:p>
        </w:tc>
        <w:tc>
          <w:tcPr>
            <w:tcW w:w="125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42</w:t>
            </w:r>
          </w:p>
        </w:tc>
        <w:tc>
          <w:tcPr>
            <w:tcW w:w="212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一般危险，需要注意</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cantSplit/>
          <w:trHeight w:val="340" w:hRule="atLeast"/>
          <w:jc w:val="center"/>
        </w:trPr>
        <w:tc>
          <w:tcPr>
            <w:tcW w:w="71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洗车区</w:t>
            </w:r>
          </w:p>
        </w:tc>
        <w:tc>
          <w:tcPr>
            <w:tcW w:w="156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触电</w:t>
            </w:r>
          </w:p>
        </w:tc>
        <w:tc>
          <w:tcPr>
            <w:tcW w:w="14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1</w:t>
            </w:r>
          </w:p>
        </w:tc>
        <w:tc>
          <w:tcPr>
            <w:tcW w:w="10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6</w:t>
            </w:r>
          </w:p>
        </w:tc>
        <w:tc>
          <w:tcPr>
            <w:tcW w:w="124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3</w:t>
            </w:r>
          </w:p>
        </w:tc>
        <w:tc>
          <w:tcPr>
            <w:tcW w:w="125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18</w:t>
            </w:r>
          </w:p>
        </w:tc>
        <w:tc>
          <w:tcPr>
            <w:tcW w:w="212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稍有危险，可以接受</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cantSplit/>
          <w:trHeight w:val="340" w:hRule="atLeast"/>
          <w:jc w:val="center"/>
        </w:trPr>
        <w:tc>
          <w:tcPr>
            <w:tcW w:w="71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val="0"/>
                <w:bCs w:val="0"/>
                <w:sz w:val="21"/>
                <w:szCs w:val="21"/>
                <w:lang w:val="en-US" w:eastAsia="zh-CN"/>
              </w:rPr>
            </w:pPr>
          </w:p>
        </w:tc>
        <w:tc>
          <w:tcPr>
            <w:tcW w:w="156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机械伤害</w:t>
            </w:r>
          </w:p>
        </w:tc>
        <w:tc>
          <w:tcPr>
            <w:tcW w:w="14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1</w:t>
            </w:r>
          </w:p>
        </w:tc>
        <w:tc>
          <w:tcPr>
            <w:tcW w:w="10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6</w:t>
            </w:r>
          </w:p>
        </w:tc>
        <w:tc>
          <w:tcPr>
            <w:tcW w:w="124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3</w:t>
            </w:r>
          </w:p>
        </w:tc>
        <w:tc>
          <w:tcPr>
            <w:tcW w:w="125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18</w:t>
            </w:r>
          </w:p>
        </w:tc>
        <w:tc>
          <w:tcPr>
            <w:tcW w:w="212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稍有危险，可以接受</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cantSplit/>
          <w:trHeight w:val="340" w:hRule="atLeast"/>
          <w:jc w:val="center"/>
        </w:trPr>
        <w:tc>
          <w:tcPr>
            <w:tcW w:w="71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val="0"/>
                <w:bCs w:val="0"/>
                <w:sz w:val="21"/>
                <w:szCs w:val="21"/>
                <w:lang w:val="en-US" w:eastAsia="zh-CN"/>
              </w:rPr>
            </w:pPr>
          </w:p>
        </w:tc>
        <w:tc>
          <w:tcPr>
            <w:tcW w:w="156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车辆伤害</w:t>
            </w:r>
          </w:p>
        </w:tc>
        <w:tc>
          <w:tcPr>
            <w:tcW w:w="14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1</w:t>
            </w:r>
          </w:p>
        </w:tc>
        <w:tc>
          <w:tcPr>
            <w:tcW w:w="10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6</w:t>
            </w:r>
          </w:p>
        </w:tc>
        <w:tc>
          <w:tcPr>
            <w:tcW w:w="124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7</w:t>
            </w:r>
          </w:p>
        </w:tc>
        <w:tc>
          <w:tcPr>
            <w:tcW w:w="125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42</w:t>
            </w:r>
          </w:p>
        </w:tc>
        <w:tc>
          <w:tcPr>
            <w:tcW w:w="212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一般危险，需要注意</w:t>
            </w:r>
          </w:p>
        </w:tc>
      </w:tr>
    </w:tbl>
    <w:p>
      <w:pPr>
        <w:pStyle w:val="11"/>
        <w:spacing w:line="500" w:lineRule="exact"/>
        <w:ind w:right="-165" w:rightChars="-75" w:firstLine="560" w:firstLineChars="200"/>
        <w:rPr>
          <w:rFonts w:hint="default" w:ascii="Times New Roman" w:hAnsi="Times New Roman" w:cs="Times New Roman"/>
          <w:sz w:val="28"/>
          <w:lang w:val="zh-CN" w:eastAsia="zh-CN"/>
        </w:rPr>
      </w:pPr>
      <w:r>
        <w:rPr>
          <w:rFonts w:hint="eastAsia" w:ascii="Times New Roman" w:hAnsi="Times New Roman" w:cs="Times New Roman"/>
          <w:sz w:val="28"/>
          <w:lang w:val="en-US" w:eastAsia="zh-CN"/>
        </w:rPr>
        <w:t>加油区、埋地储罐区的火灾、爆炸的作业危险性计算值最高，均属于“一般危险，需要注意”，需要加强对点火源的安全管理，加强对设备的检维修，杜绝跑、冒、漏、滴。提高作业人员的安全意识，全体职工认真学习安全知识，严禁违章导致火灾、爆炸事故的发生。其它的作业危险性如：中毒窒息、触电、车辆伤害、高处坠落、机械伤害等属于“稍有危险”或“一般危险”，需要加强注意，作业人员在操作中应保持警惕性，加强安全知识学习，提高安全意识。</w:t>
      </w:r>
    </w:p>
    <w:bookmarkEnd w:id="1570"/>
    <w:bookmarkEnd w:id="1571"/>
    <w:bookmarkEnd w:id="1572"/>
    <w:bookmarkEnd w:id="1573"/>
    <w:bookmarkEnd w:id="1574"/>
    <w:p>
      <w:pPr>
        <w:keepNext w:val="0"/>
        <w:keepLines w:val="0"/>
        <w:pageBreakBefore w:val="0"/>
        <w:widowControl w:val="0"/>
        <w:kinsoku/>
        <w:wordWrap/>
        <w:overflowPunct/>
        <w:topLinePunct w:val="0"/>
        <w:autoSpaceDE w:val="0"/>
        <w:autoSpaceDN w:val="0"/>
        <w:bidi w:val="0"/>
        <w:adjustRightInd/>
        <w:snapToGrid/>
        <w:spacing w:before="0" w:beforeLines="100" w:after="0" w:afterLines="100" w:line="240" w:lineRule="auto"/>
        <w:ind w:left="0" w:leftChars="0" w:right="0" w:rightChars="0" w:firstLine="0" w:firstLineChars="0"/>
        <w:jc w:val="center"/>
        <w:textAlignment w:val="auto"/>
        <w:outlineLvl w:val="9"/>
        <w:rPr>
          <w:rFonts w:hint="default" w:ascii="Times New Roman" w:hAnsi="Times New Roman" w:cs="Times New Roman"/>
          <w:b/>
          <w:sz w:val="32"/>
          <w:szCs w:val="32"/>
        </w:rPr>
      </w:pPr>
      <w:bookmarkStart w:id="1575" w:name="_Toc26875"/>
      <w:bookmarkStart w:id="1576" w:name="_Toc27607"/>
      <w:bookmarkStart w:id="1577" w:name="_Toc23840"/>
      <w:bookmarkStart w:id="1578" w:name="_Toc7676"/>
      <w:bookmarkStart w:id="1579" w:name="_Toc5251"/>
      <w:bookmarkStart w:id="1580" w:name="_Toc4267"/>
      <w:bookmarkStart w:id="1581" w:name="_Toc23247"/>
      <w:bookmarkStart w:id="1582" w:name="_Toc730"/>
      <w:bookmarkStart w:id="1583" w:name="_Toc1764"/>
      <w:bookmarkStart w:id="1584" w:name="_Toc17745"/>
      <w:bookmarkStart w:id="1585" w:name="_Toc18352_WPSOffice_Level1"/>
      <w:bookmarkStart w:id="1586" w:name="_Toc940"/>
      <w:bookmarkStart w:id="1587" w:name="_Toc22141"/>
      <w:bookmarkStart w:id="1588" w:name="_Toc23716"/>
      <w:bookmarkStart w:id="1589" w:name="_Toc5250"/>
      <w:bookmarkStart w:id="1590" w:name="_Toc31027_WPSOffice_Level1"/>
      <w:bookmarkStart w:id="1591" w:name="_Toc30791"/>
      <w:bookmarkStart w:id="1592" w:name="_Toc16601"/>
      <w:bookmarkStart w:id="1593" w:name="_Toc7833_WPSOffice_Level1"/>
      <w:bookmarkStart w:id="1594" w:name="_Toc26001"/>
      <w:bookmarkStart w:id="1595" w:name="_Toc11912"/>
      <w:bookmarkStart w:id="1596" w:name="_Toc17623"/>
      <w:bookmarkStart w:id="1597" w:name="_Toc1460"/>
      <w:r>
        <w:rPr>
          <w:rFonts w:hint="default" w:ascii="Times New Roman" w:hAnsi="Times New Roman" w:cs="Times New Roman"/>
          <w:b/>
          <w:sz w:val="32"/>
          <w:szCs w:val="32"/>
        </w:rPr>
        <w:br w:type="page"/>
      </w:r>
    </w:p>
    <w:p>
      <w:pPr>
        <w:spacing w:beforeLines="100" w:afterLines="100"/>
        <w:jc w:val="center"/>
        <w:outlineLvl w:val="0"/>
        <w:rPr>
          <w:rFonts w:hint="default" w:ascii="Times New Roman" w:hAnsi="Times New Roman" w:cs="Times New Roman"/>
          <w:b/>
          <w:sz w:val="32"/>
          <w:szCs w:val="32"/>
        </w:rPr>
      </w:pPr>
      <w:bookmarkStart w:id="1598" w:name="_Toc14840"/>
      <w:bookmarkStart w:id="1599" w:name="_Toc20971"/>
      <w:r>
        <w:rPr>
          <w:rFonts w:hint="default" w:ascii="Times New Roman" w:hAnsi="Times New Roman" w:cs="Times New Roman"/>
          <w:b/>
          <w:sz w:val="32"/>
          <w:szCs w:val="32"/>
        </w:rPr>
        <w:t>附件</w:t>
      </w:r>
      <w:r>
        <w:rPr>
          <w:rFonts w:hint="eastAsia" w:ascii="Times New Roman" w:hAnsi="Times New Roman" w:cs="Times New Roman"/>
          <w:b/>
          <w:sz w:val="32"/>
          <w:szCs w:val="32"/>
          <w:lang w:val="en-US" w:eastAsia="zh-CN"/>
        </w:rPr>
        <w:t>5</w:t>
      </w:r>
      <w:r>
        <w:rPr>
          <w:rFonts w:hint="default" w:ascii="Times New Roman" w:hAnsi="Times New Roman" w:cs="Times New Roman"/>
          <w:b/>
          <w:sz w:val="32"/>
          <w:szCs w:val="32"/>
        </w:rPr>
        <w:t xml:space="preserve"> 安全评价依据目录</w:t>
      </w:r>
      <w:bookmarkEnd w:id="1575"/>
      <w:bookmarkEnd w:id="1576"/>
      <w:bookmarkEnd w:id="1577"/>
      <w:bookmarkEnd w:id="1578"/>
      <w:bookmarkEnd w:id="1579"/>
      <w:bookmarkEnd w:id="1580"/>
      <w:bookmarkEnd w:id="1581"/>
      <w:bookmarkEnd w:id="1582"/>
      <w:bookmarkEnd w:id="1583"/>
      <w:bookmarkEnd w:id="1584"/>
      <w:bookmarkEnd w:id="1585"/>
      <w:bookmarkEnd w:id="1586"/>
      <w:bookmarkEnd w:id="1587"/>
      <w:bookmarkEnd w:id="1588"/>
      <w:bookmarkEnd w:id="1589"/>
      <w:bookmarkEnd w:id="1590"/>
      <w:bookmarkEnd w:id="1591"/>
      <w:bookmarkEnd w:id="1592"/>
      <w:bookmarkEnd w:id="1593"/>
      <w:bookmarkEnd w:id="1594"/>
      <w:bookmarkEnd w:id="1595"/>
      <w:bookmarkEnd w:id="1596"/>
      <w:bookmarkEnd w:id="1597"/>
      <w:bookmarkEnd w:id="1598"/>
      <w:bookmarkEnd w:id="1599"/>
    </w:p>
    <w:p>
      <w:pPr>
        <w:pStyle w:val="5"/>
        <w:spacing w:beforeLines="100" w:afterLines="100" w:line="240" w:lineRule="auto"/>
        <w:jc w:val="center"/>
        <w:rPr>
          <w:rFonts w:hint="default" w:ascii="Times New Roman" w:hAnsi="Times New Roman" w:cs="Times New Roman"/>
        </w:rPr>
      </w:pPr>
      <w:bookmarkStart w:id="1600" w:name="_Toc31218_WPSOffice_Level2"/>
      <w:bookmarkStart w:id="1601" w:name="_Toc25056_WPSOffice_Level2"/>
      <w:bookmarkStart w:id="1602" w:name="_Toc17097_WPSOffice_Level2"/>
      <w:r>
        <w:rPr>
          <w:rFonts w:hint="eastAsia" w:ascii="Times New Roman" w:hAnsi="Times New Roman" w:cs="Times New Roman"/>
          <w:lang w:val="en-US" w:eastAsia="zh-CN"/>
        </w:rPr>
        <w:t>5</w:t>
      </w:r>
      <w:r>
        <w:rPr>
          <w:rFonts w:hint="default" w:ascii="Times New Roman" w:hAnsi="Times New Roman" w:cs="Times New Roman"/>
        </w:rPr>
        <w:t>.1 相关法律法规、文件</w:t>
      </w:r>
      <w:bookmarkEnd w:id="1600"/>
      <w:bookmarkEnd w:id="1601"/>
      <w:bookmarkEnd w:id="1602"/>
    </w:p>
    <w:p>
      <w:pPr>
        <w:spacing w:line="500" w:lineRule="exact"/>
        <w:ind w:firstLine="420" w:firstLineChars="150"/>
        <w:jc w:val="both"/>
        <w:rPr>
          <w:rFonts w:hint="default" w:ascii="Times New Roman" w:hAnsi="Times New Roman" w:cs="Times New Roman"/>
          <w:sz w:val="28"/>
          <w:szCs w:val="28"/>
        </w:rPr>
      </w:pPr>
      <w:r>
        <w:rPr>
          <w:rFonts w:hint="default" w:ascii="Times New Roman" w:hAnsi="Times New Roman" w:cs="Times New Roman"/>
          <w:sz w:val="28"/>
          <w:szCs w:val="28"/>
        </w:rPr>
        <w:t>1）《中华人民共和国安全生产法》（中华人民共和国主席令[2014]第13号；</w:t>
      </w:r>
    </w:p>
    <w:p>
      <w:pPr>
        <w:spacing w:line="500" w:lineRule="exact"/>
        <w:ind w:firstLine="420" w:firstLineChars="150"/>
        <w:jc w:val="both"/>
        <w:rPr>
          <w:rFonts w:hint="default" w:ascii="Times New Roman" w:hAnsi="Times New Roman" w:cs="Times New Roman"/>
          <w:sz w:val="28"/>
          <w:szCs w:val="28"/>
        </w:rPr>
      </w:pPr>
      <w:r>
        <w:rPr>
          <w:rFonts w:hint="default" w:ascii="Times New Roman" w:hAnsi="Times New Roman" w:cs="Times New Roman"/>
          <w:sz w:val="28"/>
          <w:szCs w:val="28"/>
        </w:rPr>
        <w:t>2）《中华人民共和国消防法》（根据2019年4月23日第十三届全国人民代表大会常务委员会第十次会议《关于修改《中华人民共和国建筑法》等八部法律的决定》修正；</w:t>
      </w:r>
    </w:p>
    <w:p>
      <w:pPr>
        <w:spacing w:line="500" w:lineRule="exact"/>
        <w:ind w:firstLine="420" w:firstLineChars="150"/>
        <w:jc w:val="both"/>
        <w:rPr>
          <w:rFonts w:hint="default" w:ascii="Times New Roman" w:hAnsi="Times New Roman" w:cs="Times New Roman"/>
          <w:sz w:val="28"/>
          <w:szCs w:val="28"/>
        </w:rPr>
      </w:pPr>
      <w:r>
        <w:rPr>
          <w:rFonts w:hint="default" w:ascii="Times New Roman" w:hAnsi="Times New Roman" w:cs="Times New Roman"/>
          <w:sz w:val="28"/>
          <w:szCs w:val="28"/>
        </w:rPr>
        <w:t>3）《中华人民共和国职业病防治法》（根据2018年12月29日第十三届全国人民代表大会常务委员会第七次会议《关于修改等七部法律的决定》第四次修正）；</w:t>
      </w:r>
    </w:p>
    <w:p>
      <w:pPr>
        <w:spacing w:line="500" w:lineRule="exact"/>
        <w:ind w:firstLine="420" w:firstLineChars="150"/>
        <w:jc w:val="both"/>
        <w:rPr>
          <w:rFonts w:hint="default" w:ascii="Times New Roman" w:hAnsi="Times New Roman" w:cs="Times New Roman"/>
          <w:sz w:val="28"/>
          <w:szCs w:val="28"/>
        </w:rPr>
      </w:pPr>
      <w:r>
        <w:rPr>
          <w:rFonts w:hint="default" w:ascii="Times New Roman" w:hAnsi="Times New Roman" w:cs="Times New Roman"/>
          <w:sz w:val="28"/>
          <w:szCs w:val="28"/>
        </w:rPr>
        <w:t>4）《危险化学品安全管理条例》（国务院令[2011]第591号，根据2013年12月4日国务院令第645号修订）；</w:t>
      </w:r>
    </w:p>
    <w:p>
      <w:pPr>
        <w:spacing w:line="500" w:lineRule="exact"/>
        <w:ind w:firstLine="420" w:firstLineChars="150"/>
        <w:jc w:val="both"/>
        <w:rPr>
          <w:rFonts w:hint="default" w:ascii="Times New Roman" w:hAnsi="Times New Roman" w:cs="Times New Roman"/>
          <w:sz w:val="28"/>
          <w:szCs w:val="28"/>
        </w:rPr>
      </w:pPr>
      <w:r>
        <w:rPr>
          <w:rFonts w:hint="default" w:ascii="Times New Roman" w:hAnsi="Times New Roman" w:cs="Times New Roman"/>
          <w:sz w:val="28"/>
          <w:szCs w:val="28"/>
        </w:rPr>
        <w:t>5）</w:t>
      </w:r>
      <w:bookmarkStart w:id="1603" w:name="_Hlk528419313"/>
      <w:r>
        <w:rPr>
          <w:rFonts w:hint="default" w:ascii="Times New Roman" w:hAnsi="Times New Roman" w:cs="Times New Roman"/>
          <w:sz w:val="28"/>
          <w:szCs w:val="28"/>
        </w:rPr>
        <w:t>《易制毒化学品管理条例》（国务院令第445号，2018年9月18日国务院令第703号《国务院关于修改部分行政法规的决定》修正）</w:t>
      </w:r>
      <w:bookmarkEnd w:id="1603"/>
      <w:r>
        <w:rPr>
          <w:rFonts w:hint="default" w:ascii="Times New Roman" w:hAnsi="Times New Roman" w:cs="Times New Roman"/>
          <w:sz w:val="28"/>
          <w:szCs w:val="28"/>
        </w:rPr>
        <w:t>；</w:t>
      </w:r>
    </w:p>
    <w:p>
      <w:pPr>
        <w:spacing w:line="500" w:lineRule="exact"/>
        <w:ind w:firstLine="420" w:firstLineChars="150"/>
        <w:jc w:val="both"/>
        <w:rPr>
          <w:rFonts w:hint="default" w:ascii="Times New Roman" w:hAnsi="Times New Roman" w:cs="Times New Roman"/>
          <w:sz w:val="28"/>
          <w:szCs w:val="28"/>
        </w:rPr>
      </w:pPr>
      <w:r>
        <w:rPr>
          <w:rFonts w:hint="default" w:ascii="Times New Roman" w:hAnsi="Times New Roman" w:cs="Times New Roman"/>
          <w:sz w:val="28"/>
          <w:szCs w:val="28"/>
        </w:rPr>
        <w:t>6）《危险化学品目录》（国家安全生产监督管理局等十部门公告，2015年第5号）；</w:t>
      </w:r>
    </w:p>
    <w:p>
      <w:pPr>
        <w:spacing w:line="500" w:lineRule="exact"/>
        <w:ind w:firstLine="420" w:firstLineChars="150"/>
        <w:jc w:val="both"/>
        <w:rPr>
          <w:rFonts w:hint="default" w:ascii="Times New Roman" w:hAnsi="Times New Roman" w:cs="Times New Roman"/>
          <w:sz w:val="28"/>
          <w:szCs w:val="28"/>
        </w:rPr>
      </w:pPr>
      <w:r>
        <w:rPr>
          <w:rFonts w:hint="default" w:ascii="Times New Roman" w:hAnsi="Times New Roman" w:cs="Times New Roman"/>
          <w:sz w:val="28"/>
          <w:szCs w:val="28"/>
        </w:rPr>
        <w:t>7）《危险化学品经营许可证管理办法》（国家安全监督总局令[2012]第55号，根据2015年5月27日国家安全监管总局令第79号修正）；</w:t>
      </w:r>
    </w:p>
    <w:p>
      <w:pPr>
        <w:spacing w:line="500" w:lineRule="exact"/>
        <w:ind w:firstLine="420" w:firstLineChars="150"/>
        <w:jc w:val="both"/>
        <w:rPr>
          <w:rFonts w:hint="default" w:ascii="Times New Roman" w:hAnsi="Times New Roman" w:cs="Times New Roman"/>
          <w:sz w:val="28"/>
          <w:szCs w:val="28"/>
        </w:rPr>
      </w:pPr>
      <w:r>
        <w:rPr>
          <w:rFonts w:hint="default" w:ascii="Times New Roman" w:hAnsi="Times New Roman" w:cs="Times New Roman"/>
          <w:sz w:val="28"/>
          <w:szCs w:val="28"/>
        </w:rPr>
        <w:t>8）《危险化学品建设项目安全监督管理办法》（2012年1月30日国家安全监管总局令第45号公布，根据2015年5月27日国家安全监管总局令第79号修正）；</w:t>
      </w:r>
    </w:p>
    <w:p>
      <w:pPr>
        <w:spacing w:line="500" w:lineRule="exact"/>
        <w:ind w:firstLine="420" w:firstLineChars="150"/>
        <w:jc w:val="both"/>
        <w:rPr>
          <w:rFonts w:hint="default" w:ascii="Times New Roman" w:hAnsi="Times New Roman" w:cs="Times New Roman"/>
          <w:sz w:val="28"/>
          <w:szCs w:val="28"/>
        </w:rPr>
      </w:pPr>
      <w:r>
        <w:rPr>
          <w:rFonts w:hint="default" w:ascii="Times New Roman" w:hAnsi="Times New Roman" w:cs="Times New Roman"/>
          <w:sz w:val="28"/>
          <w:szCs w:val="28"/>
        </w:rPr>
        <w:t>9）《生产安全事故应急预案管理办法》（国家安全生产监督管理总局令第88号，应急管理部令第 2 号修改）；</w:t>
      </w:r>
    </w:p>
    <w:p>
      <w:pPr>
        <w:spacing w:line="500" w:lineRule="exact"/>
        <w:ind w:firstLine="560" w:firstLineChars="200"/>
        <w:jc w:val="both"/>
        <w:rPr>
          <w:rFonts w:hint="default" w:ascii="Times New Roman" w:hAnsi="Times New Roman" w:cs="Times New Roman"/>
          <w:sz w:val="28"/>
          <w:szCs w:val="28"/>
        </w:rPr>
      </w:pPr>
      <w:r>
        <w:rPr>
          <w:rFonts w:hint="default" w:ascii="Times New Roman" w:hAnsi="Times New Roman" w:cs="Times New Roman"/>
          <w:sz w:val="28"/>
          <w:szCs w:val="28"/>
        </w:rPr>
        <w:t>10）《关于印发&lt;危险化学品建设项目安全评价细则&gt;试行）的通知》（安监总危化[2007]255号）；</w:t>
      </w:r>
    </w:p>
    <w:p>
      <w:pPr>
        <w:spacing w:line="500" w:lineRule="exact"/>
        <w:ind w:firstLine="560" w:firstLineChars="200"/>
        <w:jc w:val="both"/>
        <w:rPr>
          <w:rFonts w:hint="default" w:ascii="Times New Roman" w:hAnsi="Times New Roman" w:cs="Times New Roman"/>
          <w:sz w:val="28"/>
          <w:szCs w:val="28"/>
        </w:rPr>
      </w:pPr>
      <w:r>
        <w:rPr>
          <w:rFonts w:hint="default" w:ascii="Times New Roman" w:hAnsi="Times New Roman" w:cs="Times New Roman"/>
          <w:sz w:val="28"/>
          <w:szCs w:val="28"/>
        </w:rPr>
        <w:t>11）《关于危险化学品经营许可有关事项的通知》（安监总厅管三函[2012]179号）；</w:t>
      </w:r>
    </w:p>
    <w:p>
      <w:pPr>
        <w:spacing w:line="500" w:lineRule="exact"/>
        <w:ind w:firstLine="560" w:firstLineChars="200"/>
        <w:jc w:val="both"/>
        <w:rPr>
          <w:rFonts w:hint="default" w:ascii="Times New Roman" w:hAnsi="Times New Roman" w:cs="Times New Roman"/>
          <w:sz w:val="28"/>
          <w:szCs w:val="28"/>
        </w:rPr>
      </w:pPr>
      <w:r>
        <w:rPr>
          <w:rFonts w:hint="default" w:ascii="Times New Roman" w:hAnsi="Times New Roman" w:cs="Times New Roman"/>
          <w:sz w:val="28"/>
          <w:szCs w:val="28"/>
        </w:rPr>
        <w:t>12）《重点监管的危险化学品名录》（2013年完整版）；</w:t>
      </w:r>
    </w:p>
    <w:p>
      <w:pPr>
        <w:spacing w:line="500" w:lineRule="exact"/>
        <w:ind w:firstLine="560" w:firstLineChars="200"/>
        <w:jc w:val="both"/>
        <w:rPr>
          <w:rFonts w:hint="default" w:ascii="Times New Roman" w:hAnsi="Times New Roman" w:cs="Times New Roman"/>
          <w:sz w:val="28"/>
          <w:szCs w:val="28"/>
        </w:rPr>
      </w:pPr>
      <w:r>
        <w:rPr>
          <w:rFonts w:hint="default" w:ascii="Times New Roman" w:hAnsi="Times New Roman" w:cs="Times New Roman"/>
          <w:sz w:val="28"/>
          <w:szCs w:val="28"/>
        </w:rPr>
        <w:t>13）《列入第三类监控化学品的新增品种清单》（1998年6月14日以国家和石油化学工业局令第1号发布）；</w:t>
      </w:r>
    </w:p>
    <w:p>
      <w:pPr>
        <w:spacing w:line="500" w:lineRule="exact"/>
        <w:ind w:firstLine="560" w:firstLineChars="200"/>
        <w:jc w:val="both"/>
        <w:rPr>
          <w:rFonts w:hint="default" w:ascii="Times New Roman" w:hAnsi="Times New Roman" w:cs="Times New Roman"/>
          <w:sz w:val="28"/>
          <w:szCs w:val="28"/>
        </w:rPr>
      </w:pPr>
      <w:r>
        <w:rPr>
          <w:rFonts w:hint="default" w:ascii="Times New Roman" w:hAnsi="Times New Roman" w:cs="Times New Roman"/>
          <w:sz w:val="28"/>
          <w:szCs w:val="28"/>
        </w:rPr>
        <w:t>14）《关于加快推进加油站地下油罐防渗改造工作的通知》（环办水体函〔</w:t>
      </w:r>
      <w:r>
        <w:rPr>
          <w:rFonts w:hint="default" w:ascii="Times New Roman" w:hAnsi="Times New Roman" w:cs="Times New Roman"/>
          <w:sz w:val="28"/>
          <w:szCs w:val="28"/>
          <w:lang w:val="en-US"/>
        </w:rPr>
        <w:t>2017</w:t>
      </w:r>
      <w:r>
        <w:rPr>
          <w:rFonts w:hint="default" w:ascii="Times New Roman" w:hAnsi="Times New Roman" w:cs="Times New Roman"/>
          <w:sz w:val="28"/>
          <w:szCs w:val="28"/>
        </w:rPr>
        <w:t>〕</w:t>
      </w:r>
      <w:r>
        <w:rPr>
          <w:rFonts w:hint="default" w:ascii="Times New Roman" w:hAnsi="Times New Roman" w:cs="Times New Roman"/>
          <w:sz w:val="28"/>
          <w:szCs w:val="28"/>
          <w:lang w:val="en-US"/>
        </w:rPr>
        <w:t>1860</w:t>
      </w:r>
      <w:r>
        <w:rPr>
          <w:rFonts w:hint="default" w:ascii="Times New Roman" w:hAnsi="Times New Roman" w:cs="Times New Roman"/>
          <w:sz w:val="28"/>
          <w:szCs w:val="28"/>
        </w:rPr>
        <w:t>号）；</w:t>
      </w:r>
    </w:p>
    <w:p>
      <w:pPr>
        <w:spacing w:line="500" w:lineRule="exact"/>
        <w:ind w:firstLine="560" w:firstLineChars="200"/>
        <w:jc w:val="both"/>
        <w:rPr>
          <w:rFonts w:hint="default" w:ascii="Times New Roman" w:hAnsi="Times New Roman" w:cs="Times New Roman"/>
          <w:sz w:val="28"/>
          <w:szCs w:val="28"/>
        </w:rPr>
      </w:pPr>
      <w:r>
        <w:rPr>
          <w:rFonts w:hint="default" w:ascii="Times New Roman" w:hAnsi="Times New Roman" w:cs="Times New Roman"/>
          <w:sz w:val="28"/>
          <w:szCs w:val="28"/>
        </w:rPr>
        <w:t>15）《易制爆危险化学品名录》（2017年版）；</w:t>
      </w:r>
    </w:p>
    <w:p>
      <w:pPr>
        <w:spacing w:line="500" w:lineRule="exact"/>
        <w:ind w:firstLine="560" w:firstLineChars="200"/>
        <w:jc w:val="both"/>
        <w:rPr>
          <w:rFonts w:hint="default" w:ascii="Times New Roman" w:hAnsi="Times New Roman" w:cs="Times New Roman"/>
          <w:sz w:val="28"/>
          <w:szCs w:val="28"/>
        </w:rPr>
      </w:pPr>
      <w:r>
        <w:rPr>
          <w:rFonts w:hint="default" w:ascii="Times New Roman" w:hAnsi="Times New Roman" w:cs="Times New Roman"/>
          <w:sz w:val="28"/>
          <w:szCs w:val="28"/>
        </w:rPr>
        <w:t>16）《广东省安全生产条例》（广东省第十二届人大常委会公告[2013]第3号，省第十二届人民代表大会常务委员会第94号公告[2017]）；</w:t>
      </w:r>
    </w:p>
    <w:p>
      <w:pPr>
        <w:spacing w:line="500" w:lineRule="exact"/>
        <w:ind w:firstLine="560" w:firstLineChars="200"/>
        <w:jc w:val="both"/>
        <w:rPr>
          <w:rFonts w:hint="default" w:ascii="Times New Roman" w:hAnsi="Times New Roman" w:cs="Times New Roman"/>
          <w:sz w:val="28"/>
          <w:szCs w:val="28"/>
        </w:rPr>
      </w:pPr>
      <w:r>
        <w:rPr>
          <w:rFonts w:hint="default" w:ascii="Times New Roman" w:hAnsi="Times New Roman" w:cs="Times New Roman"/>
          <w:sz w:val="28"/>
          <w:szCs w:val="28"/>
        </w:rPr>
        <w:t>17）《广东省安全生产监督管理局关于&lt;危险化学品建设项目安全监督管理办法&gt;的实施意见》（粤安监管三[2017]19号）；</w:t>
      </w:r>
    </w:p>
    <w:p>
      <w:pPr>
        <w:spacing w:line="500" w:lineRule="exact"/>
        <w:ind w:firstLine="560" w:firstLineChars="200"/>
        <w:jc w:val="both"/>
        <w:rPr>
          <w:rFonts w:hint="default" w:ascii="Times New Roman" w:hAnsi="Times New Roman" w:cs="Times New Roman"/>
          <w:sz w:val="28"/>
          <w:szCs w:val="28"/>
        </w:rPr>
      </w:pPr>
      <w:r>
        <w:rPr>
          <w:rFonts w:hint="default" w:ascii="Times New Roman" w:hAnsi="Times New Roman" w:cs="Times New Roman"/>
          <w:sz w:val="28"/>
          <w:szCs w:val="28"/>
        </w:rPr>
        <w:t>18）《关于认真贯彻危险化学品经营许可证管理办法的通知》（粤安监[2012]129号）；</w:t>
      </w:r>
    </w:p>
    <w:p>
      <w:pPr>
        <w:spacing w:line="500" w:lineRule="exact"/>
        <w:ind w:firstLine="560" w:firstLineChars="200"/>
        <w:jc w:val="both"/>
        <w:rPr>
          <w:rFonts w:hint="default" w:ascii="Times New Roman" w:hAnsi="Times New Roman" w:cs="Times New Roman"/>
          <w:sz w:val="28"/>
          <w:szCs w:val="28"/>
        </w:rPr>
      </w:pPr>
      <w:r>
        <w:rPr>
          <w:rFonts w:hint="default" w:ascii="Times New Roman" w:hAnsi="Times New Roman" w:cs="Times New Roman"/>
          <w:sz w:val="28"/>
          <w:szCs w:val="28"/>
        </w:rPr>
        <w:t>19）《广东省安全生产监督管理局监管局关于印发&lt;广东省安全生产监督管理局监管局关于〈生产安全事故应急预案管理办法的实施细则〉的通知》（粤安监应急[2017]9号）；</w:t>
      </w:r>
    </w:p>
    <w:p>
      <w:pPr>
        <w:spacing w:line="500" w:lineRule="exact"/>
        <w:ind w:firstLine="560" w:firstLineChars="200"/>
        <w:jc w:val="both"/>
        <w:rPr>
          <w:rFonts w:hint="default" w:ascii="Times New Roman" w:hAnsi="Times New Roman" w:cs="Times New Roman"/>
          <w:sz w:val="28"/>
          <w:szCs w:val="28"/>
        </w:rPr>
      </w:pPr>
      <w:r>
        <w:rPr>
          <w:rFonts w:hint="default" w:ascii="Times New Roman" w:hAnsi="Times New Roman" w:cs="Times New Roman"/>
          <w:sz w:val="28"/>
          <w:szCs w:val="28"/>
        </w:rPr>
        <w:t>20）《关于印发&lt;广东省安全生产监督管理局关于进一步加强汽车加油站安全管理工作的通知&gt;的通知》（粤安监[2014]53号）；</w:t>
      </w:r>
    </w:p>
    <w:p>
      <w:pPr>
        <w:snapToGrid w:val="0"/>
        <w:spacing w:line="500" w:lineRule="exact"/>
        <w:ind w:firstLine="560" w:firstLineChars="200"/>
        <w:jc w:val="both"/>
        <w:rPr>
          <w:rFonts w:hint="default" w:ascii="Times New Roman" w:hAnsi="Times New Roman" w:cs="Times New Roman"/>
          <w:sz w:val="28"/>
          <w:szCs w:val="28"/>
        </w:rPr>
      </w:pPr>
      <w:r>
        <w:rPr>
          <w:rFonts w:hint="default" w:ascii="Times New Roman" w:hAnsi="Times New Roman" w:cs="Times New Roman"/>
          <w:sz w:val="28"/>
          <w:szCs w:val="28"/>
        </w:rPr>
        <w:t>21）广东省安全生产监督管理局关于做好《危险化学品目录 2015版）》实施工作的通知（粤安监管三[2015]40号）；</w:t>
      </w:r>
    </w:p>
    <w:p>
      <w:pPr>
        <w:snapToGrid w:val="0"/>
        <w:spacing w:line="500" w:lineRule="exact"/>
        <w:ind w:firstLine="560" w:firstLineChars="200"/>
        <w:jc w:val="both"/>
        <w:rPr>
          <w:rFonts w:hint="default" w:ascii="Times New Roman" w:hAnsi="Times New Roman" w:cs="Times New Roman"/>
          <w:bCs/>
          <w:sz w:val="28"/>
          <w:szCs w:val="28"/>
        </w:rPr>
      </w:pPr>
      <w:r>
        <w:rPr>
          <w:rFonts w:hint="default" w:ascii="Times New Roman" w:hAnsi="Times New Roman" w:cs="Times New Roman"/>
          <w:sz w:val="28"/>
          <w:szCs w:val="28"/>
        </w:rPr>
        <w:t>22）《</w:t>
      </w:r>
      <w:r>
        <w:rPr>
          <w:rFonts w:hint="default" w:ascii="Times New Roman" w:hAnsi="Times New Roman" w:cs="Times New Roman"/>
          <w:bCs/>
          <w:sz w:val="28"/>
          <w:szCs w:val="28"/>
        </w:rPr>
        <w:t>广东省安全生产监督管理局关于进一步加强汽车加油站安全管理工作的紧急通知</w:t>
      </w:r>
      <w:r>
        <w:rPr>
          <w:rFonts w:hint="default" w:ascii="Times New Roman" w:hAnsi="Times New Roman" w:cs="Times New Roman"/>
          <w:sz w:val="28"/>
          <w:szCs w:val="28"/>
        </w:rPr>
        <w:t>》</w:t>
      </w:r>
      <w:r>
        <w:rPr>
          <w:rFonts w:hint="default" w:ascii="Times New Roman" w:hAnsi="Times New Roman" w:cs="Times New Roman"/>
          <w:bCs/>
          <w:sz w:val="28"/>
          <w:szCs w:val="28"/>
        </w:rPr>
        <w:t>(粤安监管三</w:t>
      </w:r>
      <w:r>
        <w:rPr>
          <w:rFonts w:hint="default" w:ascii="Times New Roman" w:hAnsi="Times New Roman" w:cs="Times New Roman"/>
          <w:sz w:val="28"/>
          <w:szCs w:val="28"/>
        </w:rPr>
        <w:t>[2017]</w:t>
      </w:r>
      <w:r>
        <w:rPr>
          <w:rFonts w:hint="default" w:ascii="Times New Roman" w:hAnsi="Times New Roman" w:cs="Times New Roman"/>
          <w:bCs/>
          <w:sz w:val="28"/>
          <w:szCs w:val="28"/>
        </w:rPr>
        <w:t>9号)；</w:t>
      </w:r>
    </w:p>
    <w:p>
      <w:pPr>
        <w:snapToGrid w:val="0"/>
        <w:spacing w:line="500" w:lineRule="exact"/>
        <w:ind w:firstLine="560" w:firstLineChars="200"/>
        <w:jc w:val="both"/>
        <w:rPr>
          <w:rFonts w:hint="default" w:ascii="Times New Roman" w:hAnsi="Times New Roman" w:cs="Times New Roman"/>
          <w:sz w:val="28"/>
        </w:rPr>
      </w:pPr>
      <w:r>
        <w:rPr>
          <w:rFonts w:hint="default" w:ascii="Times New Roman" w:hAnsi="Times New Roman" w:cs="Times New Roman"/>
          <w:sz w:val="28"/>
        </w:rPr>
        <w:t>2</w:t>
      </w:r>
      <w:r>
        <w:rPr>
          <w:rFonts w:hint="default" w:ascii="Times New Roman" w:hAnsi="Times New Roman" w:cs="Times New Roman"/>
          <w:sz w:val="28"/>
          <w:lang w:val="en-US"/>
        </w:rPr>
        <w:t>3</w:t>
      </w:r>
      <w:r>
        <w:rPr>
          <w:rFonts w:hint="default" w:ascii="Times New Roman" w:hAnsi="Times New Roman" w:cs="Times New Roman"/>
          <w:sz w:val="28"/>
        </w:rPr>
        <w:t>）《化工和危险化学品生产经营单位重大生产安全事故隐患判定标准（试行）》（安监总管三</w:t>
      </w:r>
      <w:r>
        <w:rPr>
          <w:rFonts w:hint="default" w:ascii="Times New Roman" w:hAnsi="Times New Roman" w:cs="Times New Roman"/>
          <w:sz w:val="28"/>
          <w:szCs w:val="28"/>
        </w:rPr>
        <w:t>[2017]</w:t>
      </w:r>
      <w:r>
        <w:rPr>
          <w:rFonts w:hint="default" w:ascii="Times New Roman" w:hAnsi="Times New Roman" w:cs="Times New Roman"/>
          <w:sz w:val="28"/>
        </w:rPr>
        <w:t>121号）；</w:t>
      </w:r>
    </w:p>
    <w:p>
      <w:pPr>
        <w:snapToGrid w:val="0"/>
        <w:spacing w:line="500" w:lineRule="exact"/>
        <w:ind w:firstLine="560" w:firstLineChars="200"/>
        <w:jc w:val="both"/>
        <w:rPr>
          <w:rFonts w:hint="default" w:ascii="Times New Roman" w:hAnsi="Times New Roman" w:cs="Times New Roman"/>
          <w:sz w:val="28"/>
          <w:szCs w:val="28"/>
        </w:rPr>
      </w:pPr>
      <w:r>
        <w:rPr>
          <w:rFonts w:hint="default" w:ascii="Times New Roman" w:hAnsi="Times New Roman" w:cs="Times New Roman"/>
          <w:sz w:val="28"/>
          <w:lang w:val="en-US"/>
        </w:rPr>
        <w:t>24</w:t>
      </w:r>
      <w:r>
        <w:rPr>
          <w:rFonts w:hint="default" w:ascii="Times New Roman" w:hAnsi="Times New Roman" w:cs="Times New Roman"/>
          <w:sz w:val="28"/>
        </w:rPr>
        <w:t>）</w:t>
      </w:r>
      <w:r>
        <w:rPr>
          <w:rFonts w:hint="default" w:ascii="Times New Roman" w:hAnsi="Times New Roman" w:cs="Times New Roman"/>
          <w:sz w:val="28"/>
          <w:szCs w:val="28"/>
        </w:rPr>
        <w:t>《关于加油站地下油罐防渗改造油罐意见的函》（粤环函</w:t>
      </w:r>
      <w:r>
        <w:rPr>
          <w:rFonts w:hint="default" w:ascii="Times New Roman" w:hAnsi="Times New Roman" w:cs="Times New Roman"/>
          <w:sz w:val="28"/>
          <w:szCs w:val="28"/>
          <w:lang w:val="en-US"/>
        </w:rPr>
        <w:t>[2018]1795号</w:t>
      </w:r>
      <w:r>
        <w:rPr>
          <w:rFonts w:hint="default" w:ascii="Times New Roman" w:hAnsi="Times New Roman" w:cs="Times New Roman"/>
          <w:sz w:val="28"/>
          <w:szCs w:val="28"/>
        </w:rPr>
        <w:t>）；</w:t>
      </w:r>
    </w:p>
    <w:p>
      <w:pPr>
        <w:snapToGrid w:val="0"/>
        <w:spacing w:line="500" w:lineRule="exact"/>
        <w:ind w:firstLine="560" w:firstLineChars="200"/>
        <w:jc w:val="both"/>
        <w:rPr>
          <w:rFonts w:hint="default" w:ascii="Times New Roman" w:hAnsi="Times New Roman" w:cs="Times New Roman"/>
          <w:sz w:val="28"/>
          <w:szCs w:val="28"/>
        </w:rPr>
      </w:pPr>
      <w:r>
        <w:rPr>
          <w:rFonts w:hint="default" w:ascii="Times New Roman" w:hAnsi="Times New Roman" w:cs="Times New Roman"/>
          <w:sz w:val="28"/>
          <w:szCs w:val="28"/>
          <w:lang w:val="en-US"/>
        </w:rPr>
        <w:t>25）</w:t>
      </w:r>
      <w:r>
        <w:rPr>
          <w:rFonts w:hint="default" w:ascii="Times New Roman" w:hAnsi="Times New Roman" w:cs="Times New Roman"/>
          <w:sz w:val="28"/>
          <w:szCs w:val="28"/>
        </w:rPr>
        <w:t>《中华人民共和国监控化学品管理条例》（国务令[1995]第190号，2011年修订版）；</w:t>
      </w:r>
    </w:p>
    <w:p>
      <w:pPr>
        <w:snapToGrid w:val="0"/>
        <w:spacing w:line="500" w:lineRule="exact"/>
        <w:ind w:firstLine="560" w:firstLineChars="200"/>
        <w:jc w:val="both"/>
        <w:rPr>
          <w:rFonts w:hint="default" w:ascii="Times New Roman" w:hAnsi="Times New Roman" w:cs="Times New Roman"/>
          <w:sz w:val="28"/>
          <w:szCs w:val="28"/>
        </w:rPr>
      </w:pPr>
      <w:r>
        <w:rPr>
          <w:rFonts w:hint="default" w:ascii="Times New Roman" w:hAnsi="Times New Roman" w:cs="Times New Roman"/>
          <w:sz w:val="28"/>
          <w:szCs w:val="28"/>
          <w:lang w:val="en-US"/>
        </w:rPr>
        <w:t>26）</w:t>
      </w:r>
      <w:r>
        <w:rPr>
          <w:rFonts w:hint="default" w:ascii="Times New Roman" w:hAnsi="Times New Roman" w:cs="Times New Roman"/>
          <w:sz w:val="28"/>
          <w:szCs w:val="28"/>
        </w:rPr>
        <w:t>《中华人民共和国监控化学品管理条例（实施细则）》（工信部</w:t>
      </w:r>
      <w:r>
        <w:rPr>
          <w:rFonts w:hint="default" w:ascii="Times New Roman" w:hAnsi="Times New Roman" w:cs="Times New Roman"/>
          <w:sz w:val="28"/>
          <w:szCs w:val="28"/>
          <w:lang w:val="en-US"/>
        </w:rPr>
        <w:t>[2018]</w:t>
      </w:r>
      <w:r>
        <w:rPr>
          <w:rFonts w:hint="default" w:ascii="Times New Roman" w:hAnsi="Times New Roman" w:cs="Times New Roman"/>
          <w:sz w:val="28"/>
          <w:szCs w:val="28"/>
        </w:rPr>
        <w:t>第48号令）；</w:t>
      </w:r>
    </w:p>
    <w:p>
      <w:pPr>
        <w:snapToGrid w:val="0"/>
        <w:spacing w:line="500" w:lineRule="exact"/>
        <w:ind w:firstLine="560" w:firstLineChars="200"/>
        <w:jc w:val="both"/>
        <w:rPr>
          <w:rFonts w:hint="default" w:ascii="Times New Roman" w:hAnsi="Times New Roman" w:cs="Times New Roman"/>
          <w:sz w:val="28"/>
          <w:szCs w:val="28"/>
        </w:rPr>
      </w:pPr>
      <w:r>
        <w:rPr>
          <w:rFonts w:hint="default" w:ascii="Times New Roman" w:hAnsi="Times New Roman" w:cs="Times New Roman"/>
          <w:sz w:val="28"/>
          <w:szCs w:val="28"/>
          <w:lang w:val="en-US"/>
        </w:rPr>
        <w:t>27）</w:t>
      </w:r>
      <w:r>
        <w:rPr>
          <w:rFonts w:hint="default" w:ascii="Times New Roman" w:hAnsi="Times New Roman" w:cs="Times New Roman"/>
          <w:sz w:val="28"/>
          <w:szCs w:val="28"/>
        </w:rPr>
        <w:t>《各类监控化学品名录》（中华人民共和国化学工业部第11号）。</w:t>
      </w:r>
    </w:p>
    <w:p>
      <w:pPr>
        <w:snapToGrid w:val="0"/>
        <w:spacing w:line="500" w:lineRule="exact"/>
        <w:ind w:firstLine="560" w:firstLineChars="200"/>
        <w:jc w:val="both"/>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28）《特别管控危险化学品名录（第一版）》（应急管理部、工业和信息化部、公安部、交通运输部公告[2020]第3号）</w:t>
      </w:r>
    </w:p>
    <w:p>
      <w:pPr>
        <w:snapToGrid w:val="0"/>
        <w:spacing w:line="500" w:lineRule="exact"/>
        <w:ind w:firstLine="560" w:firstLineChars="200"/>
        <w:jc w:val="both"/>
        <w:rPr>
          <w:rFonts w:hint="default" w:ascii="Times New Roman" w:hAnsi="Times New Roman" w:cs="Times New Roman"/>
          <w:sz w:val="28"/>
          <w:szCs w:val="28"/>
        </w:rPr>
      </w:pPr>
    </w:p>
    <w:p>
      <w:pPr>
        <w:pStyle w:val="5"/>
        <w:spacing w:beforeLines="100" w:afterLines="100" w:line="240" w:lineRule="auto"/>
        <w:jc w:val="center"/>
        <w:rPr>
          <w:rFonts w:hint="default" w:ascii="Times New Roman" w:hAnsi="Times New Roman" w:cs="Times New Roman"/>
        </w:rPr>
      </w:pPr>
      <w:bookmarkStart w:id="1604" w:name="_Toc29803_WPSOffice_Level2"/>
      <w:bookmarkStart w:id="1605" w:name="_Toc13396_WPSOffice_Level2"/>
      <w:bookmarkStart w:id="1606" w:name="_Toc3912_WPSOffice_Level2"/>
      <w:r>
        <w:rPr>
          <w:rFonts w:hint="eastAsia" w:ascii="Times New Roman" w:hAnsi="Times New Roman" w:cs="Times New Roman"/>
          <w:lang w:val="en-US" w:eastAsia="zh-CN"/>
        </w:rPr>
        <w:t>5</w:t>
      </w:r>
      <w:r>
        <w:rPr>
          <w:rFonts w:hint="default" w:ascii="Times New Roman" w:hAnsi="Times New Roman" w:cs="Times New Roman"/>
        </w:rPr>
        <w:t>.2</w:t>
      </w:r>
      <w:r>
        <w:rPr>
          <w:rFonts w:hint="default" w:ascii="Times New Roman" w:hAnsi="Times New Roman" w:cs="Times New Roman"/>
          <w:lang w:val="en-US"/>
        </w:rPr>
        <w:t xml:space="preserve"> </w:t>
      </w:r>
      <w:r>
        <w:rPr>
          <w:rFonts w:hint="default" w:ascii="Times New Roman" w:hAnsi="Times New Roman" w:cs="Times New Roman"/>
        </w:rPr>
        <w:t>技术标准及规范</w:t>
      </w:r>
      <w:bookmarkEnd w:id="1604"/>
      <w:bookmarkEnd w:id="1605"/>
      <w:bookmarkEnd w:id="1606"/>
    </w:p>
    <w:p>
      <w:pPr>
        <w:spacing w:line="500" w:lineRule="exact"/>
        <w:ind w:firstLine="560" w:firstLineChars="200"/>
        <w:rPr>
          <w:rFonts w:hint="default" w:ascii="Times New Roman" w:hAnsi="Times New Roman" w:cs="Times New Roman"/>
          <w:sz w:val="28"/>
          <w:szCs w:val="28"/>
        </w:rPr>
      </w:pPr>
      <w:bookmarkStart w:id="1607" w:name="_Toc2411_WPSOffice_Level3"/>
      <w:bookmarkStart w:id="1608" w:name="_Toc2221_WPSOffice_Level3"/>
      <w:bookmarkStart w:id="1609" w:name="_Toc22920_WPSOffice_Level3"/>
      <w:r>
        <w:rPr>
          <w:rFonts w:hint="default" w:ascii="Times New Roman" w:hAnsi="Times New Roman" w:cs="Times New Roman"/>
          <w:sz w:val="28"/>
          <w:szCs w:val="28"/>
        </w:rPr>
        <w:t>1）《汽车加油加气站设计与施工规范》（GB50156-2012，2014年版）；</w:t>
      </w:r>
      <w:bookmarkEnd w:id="1607"/>
      <w:bookmarkEnd w:id="1608"/>
      <w:bookmarkEnd w:id="1609"/>
    </w:p>
    <w:p>
      <w:pPr>
        <w:spacing w:line="500" w:lineRule="exact"/>
        <w:ind w:firstLine="560" w:firstLineChars="200"/>
        <w:rPr>
          <w:rFonts w:hint="default" w:ascii="Times New Roman" w:hAnsi="Times New Roman" w:cs="Times New Roman"/>
          <w:sz w:val="28"/>
          <w:szCs w:val="28"/>
        </w:rPr>
      </w:pPr>
      <w:bookmarkStart w:id="1610" w:name="_Toc18198_WPSOffice_Level3"/>
      <w:bookmarkStart w:id="1611" w:name="_Toc24878_WPSOffice_Level3"/>
      <w:bookmarkStart w:id="1612" w:name="_Toc12967_WPSOffice_Level3"/>
      <w:r>
        <w:rPr>
          <w:rFonts w:hint="default" w:ascii="Times New Roman" w:hAnsi="Times New Roman" w:cs="Times New Roman"/>
          <w:sz w:val="28"/>
          <w:szCs w:val="28"/>
        </w:rPr>
        <w:t>2）《建筑设计防火规范》（GB50016-2014,2018年版）；</w:t>
      </w:r>
      <w:bookmarkEnd w:id="1610"/>
      <w:bookmarkEnd w:id="1611"/>
      <w:bookmarkEnd w:id="1612"/>
    </w:p>
    <w:p>
      <w:pPr>
        <w:spacing w:line="500" w:lineRule="exact"/>
        <w:ind w:firstLine="560" w:firstLineChars="200"/>
        <w:rPr>
          <w:rFonts w:hint="default" w:ascii="Times New Roman" w:hAnsi="Times New Roman" w:cs="Times New Roman"/>
          <w:sz w:val="28"/>
          <w:szCs w:val="28"/>
        </w:rPr>
      </w:pPr>
      <w:bookmarkStart w:id="1613" w:name="_Toc25036_WPSOffice_Level3"/>
      <w:bookmarkStart w:id="1614" w:name="_Toc18858_WPSOffice_Level3"/>
      <w:bookmarkStart w:id="1615" w:name="_Toc32302_WPSOffice_Level3"/>
      <w:r>
        <w:rPr>
          <w:rFonts w:hint="default" w:ascii="Times New Roman" w:hAnsi="Times New Roman" w:cs="Times New Roman"/>
          <w:sz w:val="28"/>
          <w:szCs w:val="28"/>
        </w:rPr>
        <w:t>3）《危险化学品经营企业安全技术基本要求》（GB18265-20</w:t>
      </w:r>
      <w:r>
        <w:rPr>
          <w:rFonts w:hint="default" w:ascii="Times New Roman" w:hAnsi="Times New Roman" w:cs="Times New Roman"/>
          <w:sz w:val="28"/>
          <w:szCs w:val="28"/>
          <w:lang w:val="en-US"/>
        </w:rPr>
        <w:t>19</w:t>
      </w:r>
      <w:r>
        <w:rPr>
          <w:rFonts w:hint="default" w:ascii="Times New Roman" w:hAnsi="Times New Roman" w:cs="Times New Roman"/>
          <w:sz w:val="28"/>
          <w:szCs w:val="28"/>
        </w:rPr>
        <w:t>）；</w:t>
      </w:r>
      <w:bookmarkEnd w:id="1613"/>
      <w:bookmarkEnd w:id="1614"/>
      <w:bookmarkEnd w:id="1615"/>
    </w:p>
    <w:p>
      <w:pPr>
        <w:spacing w:line="500" w:lineRule="exact"/>
        <w:ind w:firstLine="560" w:firstLineChars="200"/>
        <w:rPr>
          <w:rFonts w:hint="default" w:ascii="Times New Roman" w:hAnsi="Times New Roman" w:cs="Times New Roman"/>
          <w:sz w:val="28"/>
          <w:szCs w:val="28"/>
        </w:rPr>
      </w:pPr>
      <w:bookmarkStart w:id="1616" w:name="_Toc14702_WPSOffice_Level3"/>
      <w:bookmarkStart w:id="1617" w:name="_Toc3224_WPSOffice_Level3"/>
      <w:bookmarkStart w:id="1618" w:name="_Toc17789_WPSOffice_Level3"/>
      <w:r>
        <w:rPr>
          <w:rFonts w:hint="default" w:ascii="Times New Roman" w:hAnsi="Times New Roman" w:cs="Times New Roman"/>
          <w:sz w:val="28"/>
          <w:szCs w:val="28"/>
        </w:rPr>
        <w:t>4）《危险化学品重大危险源辨识》（GB18218-2018）；</w:t>
      </w:r>
      <w:bookmarkEnd w:id="1616"/>
      <w:bookmarkEnd w:id="1617"/>
      <w:bookmarkEnd w:id="1618"/>
    </w:p>
    <w:p>
      <w:pPr>
        <w:spacing w:line="500" w:lineRule="exact"/>
        <w:ind w:firstLine="560" w:firstLineChars="200"/>
        <w:rPr>
          <w:rFonts w:hint="default" w:ascii="Times New Roman" w:hAnsi="Times New Roman" w:cs="Times New Roman"/>
          <w:sz w:val="28"/>
          <w:szCs w:val="28"/>
        </w:rPr>
      </w:pPr>
      <w:bookmarkStart w:id="1619" w:name="_Toc9504_WPSOffice_Level3"/>
      <w:bookmarkStart w:id="1620" w:name="_Toc26183_WPSOffice_Level3"/>
      <w:bookmarkStart w:id="1621" w:name="_Toc17644_WPSOffice_Level3"/>
      <w:r>
        <w:rPr>
          <w:rFonts w:hint="default" w:ascii="Times New Roman" w:hAnsi="Times New Roman" w:cs="Times New Roman"/>
          <w:sz w:val="28"/>
          <w:szCs w:val="28"/>
        </w:rPr>
        <w:t>5）《建筑灭火器配置设计规范》（GB50140-2005）；</w:t>
      </w:r>
      <w:bookmarkEnd w:id="1619"/>
      <w:bookmarkEnd w:id="1620"/>
      <w:bookmarkEnd w:id="1621"/>
    </w:p>
    <w:p>
      <w:pPr>
        <w:spacing w:line="500" w:lineRule="exact"/>
        <w:ind w:firstLine="560" w:firstLineChars="200"/>
        <w:rPr>
          <w:rFonts w:hint="default" w:ascii="Times New Roman" w:hAnsi="Times New Roman" w:cs="Times New Roman"/>
          <w:sz w:val="28"/>
          <w:szCs w:val="28"/>
        </w:rPr>
      </w:pPr>
      <w:bookmarkStart w:id="1622" w:name="_Toc13193_WPSOffice_Level3"/>
      <w:bookmarkStart w:id="1623" w:name="_Toc26243_WPSOffice_Level3"/>
      <w:bookmarkStart w:id="1624" w:name="_Toc27363_WPSOffice_Level3"/>
      <w:r>
        <w:rPr>
          <w:rFonts w:hint="default" w:ascii="Times New Roman" w:hAnsi="Times New Roman" w:cs="Times New Roman"/>
          <w:sz w:val="28"/>
          <w:szCs w:val="28"/>
        </w:rPr>
        <w:t>6）《安全验收评价导则》（AQ8003-2007）；</w:t>
      </w:r>
      <w:bookmarkEnd w:id="1622"/>
      <w:bookmarkEnd w:id="1623"/>
      <w:bookmarkEnd w:id="1624"/>
    </w:p>
    <w:p>
      <w:pPr>
        <w:spacing w:line="500" w:lineRule="exact"/>
        <w:ind w:firstLine="560" w:firstLineChars="200"/>
        <w:rPr>
          <w:rFonts w:hint="default" w:ascii="Times New Roman" w:hAnsi="Times New Roman" w:cs="Times New Roman"/>
          <w:sz w:val="28"/>
          <w:szCs w:val="28"/>
        </w:rPr>
      </w:pPr>
      <w:bookmarkStart w:id="1625" w:name="_Toc30780_WPSOffice_Level3"/>
      <w:bookmarkStart w:id="1626" w:name="_Toc22534_WPSOffice_Level3"/>
      <w:bookmarkStart w:id="1627" w:name="_Toc1735_WPSOffice_Level3"/>
      <w:r>
        <w:rPr>
          <w:rFonts w:hint="default" w:ascii="Times New Roman" w:hAnsi="Times New Roman" w:cs="Times New Roman"/>
          <w:sz w:val="28"/>
          <w:szCs w:val="28"/>
        </w:rPr>
        <w:t>7）《工作场所有害因素职业接触限值 第1部分：化学有害因素》</w:t>
      </w:r>
      <w:bookmarkEnd w:id="1625"/>
      <w:bookmarkEnd w:id="1626"/>
      <w:bookmarkEnd w:id="1627"/>
    </w:p>
    <w:p>
      <w:pPr>
        <w:spacing w:line="500" w:lineRule="exact"/>
        <w:rPr>
          <w:rFonts w:hint="default" w:ascii="Times New Roman" w:hAnsi="Times New Roman" w:cs="Times New Roman"/>
          <w:sz w:val="28"/>
          <w:szCs w:val="28"/>
        </w:rPr>
      </w:pPr>
      <w:r>
        <w:rPr>
          <w:rFonts w:hint="default" w:ascii="Times New Roman" w:hAnsi="Times New Roman" w:cs="Times New Roman"/>
          <w:sz w:val="28"/>
          <w:szCs w:val="28"/>
        </w:rPr>
        <w:t>（GBZ2.1-2007）；</w:t>
      </w:r>
    </w:p>
    <w:p>
      <w:pPr>
        <w:spacing w:line="500" w:lineRule="exact"/>
        <w:ind w:firstLine="560" w:firstLineChars="200"/>
        <w:rPr>
          <w:rFonts w:hint="default" w:ascii="Times New Roman" w:hAnsi="Times New Roman" w:cs="Times New Roman"/>
          <w:sz w:val="28"/>
          <w:szCs w:val="28"/>
        </w:rPr>
      </w:pPr>
      <w:bookmarkStart w:id="1628" w:name="_Toc23011_WPSOffice_Level3"/>
      <w:bookmarkStart w:id="1629" w:name="_Toc13393_WPSOffice_Level3"/>
      <w:bookmarkStart w:id="1630" w:name="_Toc22408_WPSOffice_Level3"/>
      <w:r>
        <w:rPr>
          <w:rFonts w:hint="default" w:ascii="Times New Roman" w:hAnsi="Times New Roman" w:cs="Times New Roman"/>
          <w:sz w:val="28"/>
          <w:szCs w:val="28"/>
        </w:rPr>
        <w:t>8）《工作场所有害因素职业接触限值 第2部分：物理因素》</w:t>
      </w:r>
      <w:bookmarkEnd w:id="1628"/>
      <w:bookmarkEnd w:id="1629"/>
      <w:bookmarkEnd w:id="1630"/>
    </w:p>
    <w:p>
      <w:pPr>
        <w:spacing w:line="500" w:lineRule="exact"/>
        <w:rPr>
          <w:rFonts w:hint="default" w:ascii="Times New Roman" w:hAnsi="Times New Roman" w:cs="Times New Roman"/>
          <w:sz w:val="28"/>
          <w:szCs w:val="28"/>
        </w:rPr>
      </w:pPr>
      <w:r>
        <w:rPr>
          <w:rFonts w:hint="default" w:ascii="Times New Roman" w:hAnsi="Times New Roman" w:cs="Times New Roman"/>
          <w:sz w:val="28"/>
          <w:szCs w:val="28"/>
        </w:rPr>
        <w:t>（GBZ2.2-2007）；</w:t>
      </w:r>
    </w:p>
    <w:p>
      <w:pPr>
        <w:spacing w:line="500" w:lineRule="exact"/>
        <w:ind w:firstLine="560" w:firstLineChars="200"/>
        <w:rPr>
          <w:rFonts w:hint="default" w:ascii="Times New Roman" w:hAnsi="Times New Roman" w:cs="Times New Roman"/>
          <w:sz w:val="28"/>
          <w:szCs w:val="28"/>
        </w:rPr>
      </w:pPr>
      <w:bookmarkStart w:id="1631" w:name="_Toc21610_WPSOffice_Level3"/>
      <w:bookmarkStart w:id="1632" w:name="_Toc22359_WPSOffice_Level3"/>
      <w:bookmarkStart w:id="1633" w:name="_Toc16488_WPSOffice_Level3"/>
      <w:r>
        <w:rPr>
          <w:rFonts w:hint="default" w:ascii="Times New Roman" w:hAnsi="Times New Roman" w:cs="Times New Roman"/>
          <w:sz w:val="28"/>
          <w:szCs w:val="28"/>
        </w:rPr>
        <w:t>9）《企业职工伤亡事故分类》（GB6441-1986）；</w:t>
      </w:r>
      <w:bookmarkEnd w:id="1631"/>
      <w:bookmarkEnd w:id="1632"/>
      <w:bookmarkEnd w:id="1633"/>
    </w:p>
    <w:p>
      <w:pPr>
        <w:spacing w:line="500" w:lineRule="exact"/>
        <w:ind w:firstLine="560" w:firstLineChars="200"/>
        <w:rPr>
          <w:rFonts w:hint="default" w:ascii="Times New Roman" w:hAnsi="Times New Roman" w:cs="Times New Roman"/>
          <w:sz w:val="28"/>
          <w:szCs w:val="28"/>
        </w:rPr>
      </w:pPr>
      <w:bookmarkStart w:id="1634" w:name="_Toc17631_WPSOffice_Level3"/>
      <w:bookmarkStart w:id="1635" w:name="_Toc12476_WPSOffice_Level3"/>
      <w:bookmarkStart w:id="1636" w:name="_Toc18182_WPSOffice_Level3"/>
      <w:r>
        <w:rPr>
          <w:rFonts w:hint="default" w:ascii="Times New Roman" w:hAnsi="Times New Roman" w:cs="Times New Roman"/>
          <w:sz w:val="28"/>
          <w:szCs w:val="28"/>
        </w:rPr>
        <w:t>10）《防止静电事故通用导则》（GB12158-2006）；</w:t>
      </w:r>
      <w:bookmarkEnd w:id="1634"/>
      <w:bookmarkEnd w:id="1635"/>
      <w:bookmarkEnd w:id="1636"/>
    </w:p>
    <w:p>
      <w:pPr>
        <w:spacing w:line="500" w:lineRule="exact"/>
        <w:ind w:firstLine="560" w:firstLineChars="200"/>
        <w:rPr>
          <w:rFonts w:hint="default" w:ascii="Times New Roman" w:hAnsi="Times New Roman" w:cs="Times New Roman"/>
          <w:sz w:val="28"/>
          <w:szCs w:val="28"/>
        </w:rPr>
      </w:pPr>
      <w:bookmarkStart w:id="1637" w:name="_Toc27081_WPSOffice_Level3"/>
      <w:bookmarkStart w:id="1638" w:name="_Toc22496_WPSOffice_Level3"/>
      <w:bookmarkStart w:id="1639" w:name="_Toc11368_WPSOffice_Level3"/>
      <w:r>
        <w:rPr>
          <w:rFonts w:hint="default" w:ascii="Times New Roman" w:hAnsi="Times New Roman" w:cs="Times New Roman"/>
          <w:sz w:val="28"/>
          <w:szCs w:val="28"/>
        </w:rPr>
        <w:t>11）《化学品分类和标签规范</w:t>
      </w:r>
      <w:r>
        <w:rPr>
          <w:rFonts w:hint="default" w:ascii="Times New Roman" w:hAnsi="Times New Roman" w:cs="Times New Roman"/>
          <w:sz w:val="28"/>
          <w:szCs w:val="28"/>
          <w:lang w:val="en-US"/>
        </w:rPr>
        <w:t xml:space="preserve"> </w:t>
      </w:r>
      <w:r>
        <w:rPr>
          <w:rFonts w:hint="default" w:ascii="Times New Roman" w:hAnsi="Times New Roman" w:cs="Times New Roman"/>
          <w:sz w:val="28"/>
          <w:szCs w:val="28"/>
        </w:rPr>
        <w:t>第7部分：易燃液体 》（GB30000.7-2013）</w:t>
      </w:r>
      <w:bookmarkEnd w:id="1637"/>
      <w:r>
        <w:rPr>
          <w:rFonts w:hint="default" w:ascii="Times New Roman" w:hAnsi="Times New Roman" w:cs="Times New Roman"/>
          <w:sz w:val="28"/>
          <w:szCs w:val="28"/>
        </w:rPr>
        <w:t>；</w:t>
      </w:r>
      <w:bookmarkEnd w:id="1638"/>
      <w:bookmarkEnd w:id="1639"/>
    </w:p>
    <w:p>
      <w:pPr>
        <w:spacing w:line="500" w:lineRule="exact"/>
        <w:ind w:firstLine="560" w:firstLineChars="200"/>
        <w:rPr>
          <w:rFonts w:hint="default" w:ascii="Times New Roman" w:hAnsi="Times New Roman" w:cs="Times New Roman"/>
          <w:sz w:val="28"/>
          <w:szCs w:val="28"/>
        </w:rPr>
      </w:pPr>
      <w:bookmarkStart w:id="1640" w:name="_Toc25775_WPSOffice_Level3"/>
      <w:bookmarkStart w:id="1641" w:name="_Toc32625_WPSOffice_Level3"/>
      <w:bookmarkStart w:id="1642" w:name="_Toc25314_WPSOffice_Level3"/>
      <w:r>
        <w:rPr>
          <w:rFonts w:hint="default" w:ascii="Times New Roman" w:hAnsi="Times New Roman" w:cs="Times New Roman"/>
          <w:sz w:val="28"/>
          <w:szCs w:val="28"/>
        </w:rPr>
        <w:t>12）《石油与石油设施雷电安全规范》（GB15599-2009）；</w:t>
      </w:r>
      <w:bookmarkEnd w:id="1640"/>
      <w:bookmarkEnd w:id="1641"/>
      <w:bookmarkEnd w:id="1642"/>
    </w:p>
    <w:p>
      <w:pPr>
        <w:spacing w:line="500" w:lineRule="exact"/>
        <w:ind w:firstLine="560" w:firstLineChars="200"/>
        <w:rPr>
          <w:rFonts w:hint="default" w:ascii="Times New Roman" w:hAnsi="Times New Roman" w:cs="Times New Roman"/>
          <w:sz w:val="28"/>
          <w:szCs w:val="28"/>
        </w:rPr>
      </w:pPr>
      <w:bookmarkStart w:id="1643" w:name="_Toc16325_WPSOffice_Level3"/>
      <w:bookmarkStart w:id="1644" w:name="_Toc7996_WPSOffice_Level3"/>
      <w:bookmarkStart w:id="1645" w:name="_Toc21505_WPSOffice_Level3"/>
      <w:r>
        <w:rPr>
          <w:rFonts w:hint="default" w:ascii="Times New Roman" w:hAnsi="Times New Roman" w:cs="Times New Roman"/>
          <w:sz w:val="28"/>
          <w:szCs w:val="28"/>
        </w:rPr>
        <w:t>13）《易燃易爆性商品储存养护技术条件》（GB17914-2013）；</w:t>
      </w:r>
      <w:bookmarkEnd w:id="1643"/>
      <w:bookmarkEnd w:id="1644"/>
      <w:bookmarkEnd w:id="1645"/>
    </w:p>
    <w:p>
      <w:pPr>
        <w:spacing w:line="500" w:lineRule="exact"/>
        <w:ind w:firstLine="560" w:firstLineChars="200"/>
        <w:rPr>
          <w:rFonts w:hint="default" w:ascii="Times New Roman" w:hAnsi="Times New Roman" w:cs="Times New Roman"/>
          <w:sz w:val="28"/>
          <w:szCs w:val="28"/>
        </w:rPr>
      </w:pPr>
      <w:bookmarkStart w:id="1646" w:name="_Toc20284_WPSOffice_Level3"/>
      <w:bookmarkStart w:id="1647" w:name="_Toc29701_WPSOffice_Level3"/>
      <w:bookmarkStart w:id="1648" w:name="_Toc19350_WPSOffice_Level3"/>
      <w:r>
        <w:rPr>
          <w:rFonts w:hint="default" w:ascii="Times New Roman" w:hAnsi="Times New Roman" w:cs="Times New Roman"/>
          <w:sz w:val="28"/>
          <w:szCs w:val="28"/>
        </w:rPr>
        <w:t>14）《低压配电设计规范》（GB50054-2011）；</w:t>
      </w:r>
      <w:bookmarkEnd w:id="1646"/>
      <w:bookmarkEnd w:id="1647"/>
      <w:bookmarkEnd w:id="1648"/>
    </w:p>
    <w:p>
      <w:pPr>
        <w:spacing w:line="500" w:lineRule="exact"/>
        <w:ind w:firstLine="560" w:firstLineChars="200"/>
        <w:rPr>
          <w:rFonts w:hint="default" w:ascii="Times New Roman" w:hAnsi="Times New Roman" w:cs="Times New Roman"/>
          <w:sz w:val="28"/>
          <w:szCs w:val="28"/>
        </w:rPr>
      </w:pPr>
      <w:bookmarkStart w:id="1649" w:name="_Toc8874_WPSOffice_Level3"/>
      <w:bookmarkStart w:id="1650" w:name="_Toc5604_WPSOffice_Level3"/>
      <w:bookmarkStart w:id="1651" w:name="_Toc5735_WPSOffice_Level3"/>
      <w:r>
        <w:rPr>
          <w:rFonts w:hint="default" w:ascii="Times New Roman" w:hAnsi="Times New Roman" w:cs="Times New Roman"/>
          <w:sz w:val="28"/>
          <w:szCs w:val="28"/>
        </w:rPr>
        <w:t>15）《建筑物防雷设计规范》（GB50057-2010）；</w:t>
      </w:r>
      <w:bookmarkEnd w:id="1649"/>
      <w:bookmarkEnd w:id="1650"/>
      <w:bookmarkEnd w:id="1651"/>
    </w:p>
    <w:p>
      <w:pPr>
        <w:spacing w:line="500" w:lineRule="exact"/>
        <w:ind w:firstLine="560" w:firstLineChars="200"/>
        <w:rPr>
          <w:rFonts w:hint="default" w:ascii="Times New Roman" w:hAnsi="Times New Roman" w:cs="Times New Roman"/>
          <w:sz w:val="28"/>
          <w:szCs w:val="28"/>
        </w:rPr>
      </w:pPr>
      <w:bookmarkStart w:id="1652" w:name="_Toc22921_WPSOffice_Level3"/>
      <w:bookmarkStart w:id="1653" w:name="_Toc10777_WPSOffice_Level3"/>
      <w:bookmarkStart w:id="1654" w:name="_Toc14067_WPSOffice_Level3"/>
      <w:r>
        <w:rPr>
          <w:rFonts w:hint="default" w:ascii="Times New Roman" w:hAnsi="Times New Roman" w:cs="Times New Roman"/>
          <w:sz w:val="28"/>
          <w:szCs w:val="28"/>
        </w:rPr>
        <w:t>16）《爆炸危险环境电力装置设计规范》（GB50058-2014）；</w:t>
      </w:r>
      <w:bookmarkEnd w:id="1652"/>
      <w:bookmarkEnd w:id="1653"/>
      <w:bookmarkEnd w:id="1654"/>
    </w:p>
    <w:p>
      <w:pPr>
        <w:spacing w:line="500" w:lineRule="exact"/>
        <w:ind w:firstLine="560" w:firstLineChars="200"/>
        <w:rPr>
          <w:rFonts w:hint="default" w:ascii="Times New Roman" w:hAnsi="Times New Roman" w:cs="Times New Roman"/>
          <w:sz w:val="28"/>
          <w:szCs w:val="28"/>
        </w:rPr>
      </w:pPr>
      <w:bookmarkStart w:id="1655" w:name="_Toc6613_WPSOffice_Level3"/>
      <w:bookmarkStart w:id="1656" w:name="_Toc2263_WPSOffice_Level3"/>
      <w:bookmarkStart w:id="1657" w:name="_Toc5387_WPSOffice_Level3"/>
      <w:r>
        <w:rPr>
          <w:rFonts w:hint="default" w:ascii="Times New Roman" w:hAnsi="Times New Roman" w:cs="Times New Roman"/>
          <w:sz w:val="28"/>
          <w:szCs w:val="28"/>
        </w:rPr>
        <w:t>1</w:t>
      </w:r>
      <w:r>
        <w:rPr>
          <w:rFonts w:hint="default" w:ascii="Times New Roman" w:hAnsi="Times New Roman" w:cs="Times New Roman"/>
          <w:sz w:val="28"/>
          <w:szCs w:val="28"/>
          <w:lang w:val="en-US"/>
        </w:rPr>
        <w:t>7</w:t>
      </w:r>
      <w:r>
        <w:rPr>
          <w:rFonts w:hint="default" w:ascii="Times New Roman" w:hAnsi="Times New Roman" w:cs="Times New Roman"/>
          <w:sz w:val="28"/>
          <w:szCs w:val="28"/>
        </w:rPr>
        <w:t>）《石油化工设备和管道涂料防腐蚀设计规范》（SH3022-2011）；</w:t>
      </w:r>
      <w:bookmarkEnd w:id="1655"/>
      <w:bookmarkEnd w:id="1656"/>
      <w:bookmarkEnd w:id="1657"/>
    </w:p>
    <w:p>
      <w:pPr>
        <w:spacing w:line="500" w:lineRule="exact"/>
        <w:ind w:firstLine="560" w:firstLineChars="200"/>
        <w:rPr>
          <w:rFonts w:hint="default" w:ascii="Times New Roman" w:hAnsi="Times New Roman" w:cs="Times New Roman"/>
          <w:sz w:val="28"/>
          <w:szCs w:val="28"/>
        </w:rPr>
      </w:pPr>
      <w:bookmarkStart w:id="1658" w:name="_Toc3670_WPSOffice_Level3"/>
      <w:bookmarkStart w:id="1659" w:name="_Toc26481_WPSOffice_Level3"/>
      <w:bookmarkStart w:id="1660" w:name="_Toc27931_WPSOffice_Level3"/>
      <w:r>
        <w:rPr>
          <w:rFonts w:hint="default" w:ascii="Times New Roman" w:hAnsi="Times New Roman" w:cs="Times New Roman"/>
          <w:sz w:val="28"/>
          <w:szCs w:val="28"/>
        </w:rPr>
        <w:t>1</w:t>
      </w:r>
      <w:r>
        <w:rPr>
          <w:rFonts w:hint="default" w:ascii="Times New Roman" w:hAnsi="Times New Roman" w:cs="Times New Roman"/>
          <w:sz w:val="28"/>
          <w:szCs w:val="28"/>
          <w:lang w:val="en-US"/>
        </w:rPr>
        <w:t>8</w:t>
      </w:r>
      <w:r>
        <w:rPr>
          <w:rFonts w:hint="default" w:ascii="Times New Roman" w:hAnsi="Times New Roman" w:cs="Times New Roman"/>
          <w:sz w:val="28"/>
          <w:szCs w:val="28"/>
        </w:rPr>
        <w:t>）《钢质管道外腐蚀控制规范》（GB/T21447-20</w:t>
      </w:r>
      <w:r>
        <w:rPr>
          <w:rFonts w:hint="default" w:ascii="Times New Roman" w:hAnsi="Times New Roman" w:cs="Times New Roman"/>
          <w:sz w:val="28"/>
          <w:szCs w:val="28"/>
          <w:lang w:val="en-US"/>
        </w:rPr>
        <w:t>18</w:t>
      </w:r>
      <w:r>
        <w:rPr>
          <w:rFonts w:hint="default" w:ascii="Times New Roman" w:hAnsi="Times New Roman" w:cs="Times New Roman"/>
          <w:sz w:val="28"/>
          <w:szCs w:val="28"/>
        </w:rPr>
        <w:t>）；</w:t>
      </w:r>
      <w:bookmarkEnd w:id="1658"/>
      <w:bookmarkEnd w:id="1659"/>
      <w:bookmarkEnd w:id="1660"/>
    </w:p>
    <w:p>
      <w:pPr>
        <w:spacing w:line="500" w:lineRule="exact"/>
        <w:ind w:firstLine="560" w:firstLineChars="200"/>
        <w:rPr>
          <w:rFonts w:hint="default" w:ascii="Times New Roman" w:hAnsi="Times New Roman" w:cs="Times New Roman"/>
          <w:sz w:val="28"/>
          <w:szCs w:val="28"/>
        </w:rPr>
      </w:pPr>
      <w:bookmarkStart w:id="1661" w:name="_Toc32544_WPSOffice_Level3"/>
      <w:bookmarkStart w:id="1662" w:name="_Toc8123_WPSOffice_Level3"/>
      <w:bookmarkStart w:id="1663" w:name="_Toc19716_WPSOffice_Level3"/>
      <w:r>
        <w:rPr>
          <w:rFonts w:hint="default" w:ascii="Times New Roman" w:hAnsi="Times New Roman" w:cs="Times New Roman"/>
          <w:sz w:val="28"/>
          <w:szCs w:val="28"/>
          <w:lang w:val="en-US"/>
        </w:rPr>
        <w:t>19</w:t>
      </w:r>
      <w:r>
        <w:rPr>
          <w:rFonts w:hint="default" w:ascii="Times New Roman" w:hAnsi="Times New Roman" w:cs="Times New Roman"/>
          <w:sz w:val="28"/>
          <w:szCs w:val="28"/>
        </w:rPr>
        <w:t>）《安全标志及其使用导则》（GB2894-2008）；</w:t>
      </w:r>
      <w:bookmarkEnd w:id="1661"/>
      <w:bookmarkEnd w:id="1662"/>
      <w:bookmarkEnd w:id="1663"/>
    </w:p>
    <w:p>
      <w:pPr>
        <w:pStyle w:val="55"/>
        <w:spacing w:line="500" w:lineRule="exact"/>
        <w:rPr>
          <w:rFonts w:hint="default" w:ascii="Times New Roman" w:hAnsi="Times New Roman" w:cs="Times New Roman"/>
          <w:szCs w:val="28"/>
        </w:rPr>
      </w:pPr>
      <w:bookmarkStart w:id="1664" w:name="_Toc30506_WPSOffice_Level3"/>
      <w:bookmarkStart w:id="1665" w:name="_Toc19386_WPSOffice_Level3"/>
      <w:bookmarkStart w:id="1666" w:name="_Toc22292_WPSOffice_Level3"/>
      <w:r>
        <w:rPr>
          <w:rFonts w:hint="default" w:ascii="Times New Roman" w:hAnsi="Times New Roman" w:cs="Times New Roman"/>
          <w:szCs w:val="28"/>
        </w:rPr>
        <w:t>2</w:t>
      </w:r>
      <w:r>
        <w:rPr>
          <w:rFonts w:hint="default" w:ascii="Times New Roman" w:hAnsi="Times New Roman" w:cs="Times New Roman"/>
          <w:szCs w:val="28"/>
          <w:lang w:val="en-US"/>
        </w:rPr>
        <w:t>9</w:t>
      </w:r>
      <w:r>
        <w:rPr>
          <w:rFonts w:hint="default" w:ascii="Times New Roman" w:hAnsi="Times New Roman" w:cs="Times New Roman"/>
          <w:szCs w:val="28"/>
        </w:rPr>
        <w:t>）《生产经营单位生产安全事故应急预案编制导则》（GB/T29639-2013）；</w:t>
      </w:r>
      <w:bookmarkEnd w:id="1664"/>
      <w:bookmarkEnd w:id="1665"/>
      <w:bookmarkEnd w:id="1666"/>
    </w:p>
    <w:p>
      <w:pPr>
        <w:pStyle w:val="55"/>
        <w:spacing w:line="500" w:lineRule="exact"/>
        <w:rPr>
          <w:rFonts w:hint="default" w:ascii="Times New Roman" w:hAnsi="Times New Roman" w:cs="Times New Roman"/>
          <w:szCs w:val="28"/>
        </w:rPr>
      </w:pPr>
      <w:bookmarkStart w:id="1667" w:name="_Toc21640_WPSOffice_Level3"/>
      <w:bookmarkStart w:id="1668" w:name="_Toc15072_WPSOffice_Level3"/>
      <w:bookmarkStart w:id="1669" w:name="_Toc11117_WPSOffice_Level3"/>
      <w:r>
        <w:rPr>
          <w:rFonts w:hint="default" w:ascii="Times New Roman" w:hAnsi="Times New Roman" w:cs="Times New Roman"/>
          <w:szCs w:val="28"/>
        </w:rPr>
        <w:t>2</w:t>
      </w:r>
      <w:r>
        <w:rPr>
          <w:rFonts w:hint="default" w:ascii="Times New Roman" w:hAnsi="Times New Roman" w:cs="Times New Roman"/>
          <w:szCs w:val="28"/>
          <w:lang w:val="en-US"/>
        </w:rPr>
        <w:t>1</w:t>
      </w:r>
      <w:r>
        <w:rPr>
          <w:rFonts w:hint="default" w:ascii="Times New Roman" w:hAnsi="Times New Roman" w:cs="Times New Roman"/>
          <w:szCs w:val="28"/>
        </w:rPr>
        <w:t>）《职业性接触毒物危害程度分级》（GBZ230-2010）；</w:t>
      </w:r>
      <w:bookmarkEnd w:id="1667"/>
      <w:bookmarkEnd w:id="1668"/>
      <w:bookmarkEnd w:id="1669"/>
    </w:p>
    <w:p>
      <w:pPr>
        <w:pStyle w:val="55"/>
        <w:spacing w:line="500" w:lineRule="exact"/>
        <w:rPr>
          <w:rFonts w:hint="default" w:ascii="Times New Roman" w:hAnsi="Times New Roman" w:cs="Times New Roman"/>
          <w:szCs w:val="28"/>
        </w:rPr>
      </w:pPr>
      <w:bookmarkStart w:id="1670" w:name="_Toc19622_WPSOffice_Level3"/>
      <w:bookmarkStart w:id="1671" w:name="_Toc31364_WPSOffice_Level3"/>
      <w:bookmarkStart w:id="1672" w:name="_Toc15532_WPSOffice_Level3"/>
      <w:r>
        <w:rPr>
          <w:rFonts w:hint="default" w:ascii="Times New Roman" w:hAnsi="Times New Roman" w:cs="Times New Roman"/>
          <w:szCs w:val="28"/>
        </w:rPr>
        <w:t>2</w:t>
      </w:r>
      <w:r>
        <w:rPr>
          <w:rFonts w:hint="default" w:ascii="Times New Roman" w:hAnsi="Times New Roman" w:cs="Times New Roman"/>
          <w:szCs w:val="28"/>
          <w:lang w:val="en-US"/>
        </w:rPr>
        <w:t>2</w:t>
      </w:r>
      <w:r>
        <w:rPr>
          <w:rFonts w:hint="default" w:ascii="Times New Roman" w:hAnsi="Times New Roman" w:cs="Times New Roman"/>
          <w:szCs w:val="28"/>
        </w:rPr>
        <w:t>）《加油站作业安全规范》（AQ3010-2007）；</w:t>
      </w:r>
      <w:bookmarkEnd w:id="1670"/>
      <w:bookmarkEnd w:id="1671"/>
      <w:bookmarkEnd w:id="1672"/>
    </w:p>
    <w:p>
      <w:pPr>
        <w:pStyle w:val="55"/>
        <w:spacing w:line="500" w:lineRule="exact"/>
        <w:rPr>
          <w:rFonts w:hint="default" w:ascii="Times New Roman" w:hAnsi="Times New Roman" w:cs="Times New Roman"/>
          <w:szCs w:val="28"/>
        </w:rPr>
      </w:pPr>
      <w:bookmarkStart w:id="1673" w:name="_Toc2171_WPSOffice_Level3"/>
      <w:bookmarkStart w:id="1674" w:name="_Toc18077_WPSOffice_Level3"/>
      <w:bookmarkStart w:id="1675" w:name="_Toc4035_WPSOffice_Level3"/>
      <w:r>
        <w:rPr>
          <w:rFonts w:hint="default" w:ascii="Times New Roman" w:hAnsi="Times New Roman" w:cs="Times New Roman"/>
          <w:szCs w:val="28"/>
        </w:rPr>
        <w:t>2</w:t>
      </w:r>
      <w:r>
        <w:rPr>
          <w:rFonts w:hint="default" w:ascii="Times New Roman" w:hAnsi="Times New Roman" w:cs="Times New Roman"/>
          <w:szCs w:val="28"/>
          <w:lang w:val="en-US"/>
        </w:rPr>
        <w:t>3</w:t>
      </w:r>
      <w:r>
        <w:rPr>
          <w:rFonts w:hint="default" w:ascii="Times New Roman" w:hAnsi="Times New Roman" w:cs="Times New Roman"/>
          <w:szCs w:val="28"/>
        </w:rPr>
        <w:t>）《化学品生产单位特殊作业安全规范》（GB30871-2014）；</w:t>
      </w:r>
      <w:bookmarkEnd w:id="1673"/>
      <w:bookmarkEnd w:id="1674"/>
      <w:bookmarkEnd w:id="1675"/>
    </w:p>
    <w:p>
      <w:pPr>
        <w:pStyle w:val="55"/>
        <w:spacing w:line="500" w:lineRule="exact"/>
        <w:rPr>
          <w:rFonts w:hint="default" w:ascii="Times New Roman" w:hAnsi="Times New Roman" w:cs="Times New Roman"/>
          <w:szCs w:val="28"/>
          <w:lang w:val="en-US"/>
        </w:rPr>
      </w:pPr>
      <w:bookmarkStart w:id="1676" w:name="_Toc18830_WPSOffice_Level3"/>
      <w:bookmarkStart w:id="1677" w:name="_Toc27236_WPSOffice_Level3"/>
      <w:r>
        <w:rPr>
          <w:rFonts w:hint="default" w:ascii="Times New Roman" w:hAnsi="Times New Roman" w:cs="Times New Roman"/>
          <w:szCs w:val="28"/>
          <w:lang w:val="en-US"/>
        </w:rPr>
        <w:t>24）《加油加气站视频安防监控系统技术要求》（AQ/T30350-2013）</w:t>
      </w:r>
      <w:bookmarkEnd w:id="1676"/>
      <w:bookmarkEnd w:id="1677"/>
    </w:p>
    <w:p>
      <w:pPr>
        <w:pStyle w:val="55"/>
        <w:spacing w:line="500" w:lineRule="exact"/>
        <w:rPr>
          <w:rFonts w:hint="default" w:ascii="Times New Roman" w:hAnsi="Times New Roman" w:cs="Times New Roman"/>
          <w:szCs w:val="28"/>
        </w:rPr>
      </w:pPr>
      <w:bookmarkStart w:id="1678" w:name="_Toc2634_WPSOffice_Level3"/>
      <w:bookmarkStart w:id="1679" w:name="_Toc17731_WPSOffice_Level3"/>
      <w:bookmarkStart w:id="1680" w:name="_Toc3409_WPSOffice_Level3"/>
      <w:r>
        <w:rPr>
          <w:rFonts w:hint="default" w:ascii="Times New Roman" w:hAnsi="Times New Roman" w:cs="Times New Roman"/>
          <w:szCs w:val="28"/>
        </w:rPr>
        <w:t>2</w:t>
      </w:r>
      <w:r>
        <w:rPr>
          <w:rFonts w:hint="default" w:ascii="Times New Roman" w:hAnsi="Times New Roman" w:cs="Times New Roman"/>
          <w:szCs w:val="28"/>
          <w:lang w:val="en-US"/>
        </w:rPr>
        <w:t>5</w:t>
      </w:r>
      <w:r>
        <w:rPr>
          <w:rFonts w:hint="default" w:ascii="Times New Roman" w:hAnsi="Times New Roman" w:cs="Times New Roman"/>
          <w:szCs w:val="28"/>
        </w:rPr>
        <w:t>）国家其他相关标准和规范。</w:t>
      </w:r>
      <w:bookmarkEnd w:id="1678"/>
      <w:bookmarkEnd w:id="1679"/>
      <w:bookmarkEnd w:id="1680"/>
    </w:p>
    <w:p>
      <w:pPr>
        <w:spacing w:line="500" w:lineRule="exact"/>
        <w:ind w:firstLine="440" w:firstLineChars="200"/>
        <w:rPr>
          <w:rFonts w:hint="default" w:ascii="Times New Roman" w:hAnsi="Times New Roman" w:cs="Times New Roman"/>
        </w:rPr>
      </w:pPr>
    </w:p>
    <w:p>
      <w:pPr>
        <w:spacing w:line="500" w:lineRule="exact"/>
        <w:ind w:firstLine="440" w:firstLineChars="200"/>
        <w:rPr>
          <w:rFonts w:hint="default" w:ascii="Times New Roman" w:hAnsi="Times New Roman" w:cs="Times New Roman"/>
          <w:lang w:val="en-US"/>
        </w:rPr>
      </w:pPr>
    </w:p>
    <w:p>
      <w:pPr>
        <w:spacing w:line="500" w:lineRule="exact"/>
        <w:ind w:firstLine="440" w:firstLineChars="200"/>
        <w:rPr>
          <w:rFonts w:hint="default" w:ascii="Times New Roman" w:hAnsi="Times New Roman" w:cs="Times New Roman"/>
          <w:lang w:val="en-US"/>
        </w:rPr>
      </w:pPr>
    </w:p>
    <w:p>
      <w:pPr>
        <w:spacing w:line="500" w:lineRule="exact"/>
        <w:ind w:firstLine="440" w:firstLineChars="200"/>
        <w:rPr>
          <w:rFonts w:hint="default" w:ascii="Times New Roman" w:hAnsi="Times New Roman" w:cs="Times New Roman"/>
          <w:lang w:val="en-US"/>
        </w:rPr>
        <w:sectPr>
          <w:pgSz w:w="11910" w:h="16840"/>
          <w:pgMar w:top="1417" w:right="1134" w:bottom="1134" w:left="1587" w:header="720" w:footer="720" w:gutter="0"/>
          <w:cols w:space="0" w:num="1"/>
        </w:sectPr>
      </w:pPr>
    </w:p>
    <w:p>
      <w:pPr>
        <w:pStyle w:val="3"/>
        <w:jc w:val="center"/>
        <w:rPr>
          <w:rFonts w:hint="default" w:ascii="Times New Roman" w:hAnsi="Times New Roman" w:cs="Times New Roman"/>
        </w:rPr>
      </w:pPr>
      <w:bookmarkStart w:id="1681" w:name="_Toc16314"/>
      <w:bookmarkStart w:id="1682" w:name="_Toc20176_WPSOffice_Level1"/>
      <w:bookmarkStart w:id="1683" w:name="_Toc13011"/>
      <w:bookmarkStart w:id="1684" w:name="_Toc18901"/>
      <w:bookmarkStart w:id="1685" w:name="_Toc10649"/>
      <w:bookmarkStart w:id="1686" w:name="_Toc7588"/>
      <w:bookmarkStart w:id="1687" w:name="_Toc2062_WPSOffice_Level1"/>
      <w:bookmarkStart w:id="1688" w:name="_Toc8720"/>
      <w:bookmarkStart w:id="1689" w:name="_Toc3750"/>
      <w:bookmarkStart w:id="1690" w:name="_Toc3522"/>
      <w:bookmarkStart w:id="1691" w:name="_Toc26282"/>
      <w:bookmarkStart w:id="1692" w:name="_Toc432"/>
      <w:bookmarkStart w:id="1693" w:name="_Toc30412"/>
      <w:bookmarkStart w:id="1694" w:name="_Toc1259"/>
      <w:bookmarkStart w:id="1695" w:name="_Toc7957"/>
      <w:bookmarkStart w:id="1696" w:name="_Toc29633"/>
      <w:bookmarkStart w:id="1697" w:name="_Toc14468"/>
      <w:bookmarkStart w:id="1698" w:name="_Toc13775"/>
      <w:bookmarkStart w:id="1699" w:name="_Toc16180"/>
      <w:bookmarkStart w:id="1700" w:name="_Toc3444_WPSOffice_Level1"/>
      <w:bookmarkStart w:id="1701" w:name="_Toc20621"/>
      <w:bookmarkStart w:id="1702" w:name="_Toc32642"/>
      <w:bookmarkStart w:id="1703" w:name="_Toc24893"/>
      <w:bookmarkStart w:id="1704" w:name="_Toc28623"/>
      <w:r>
        <w:rPr>
          <w:rFonts w:hint="default" w:ascii="Times New Roman" w:hAnsi="Times New Roman" w:cs="Times New Roman"/>
        </w:rPr>
        <w:t>附</w:t>
      </w:r>
      <w:r>
        <w:rPr>
          <w:rFonts w:hint="default" w:ascii="Times New Roman" w:hAnsi="Times New Roman" w:cs="Times New Roman"/>
          <w:lang w:val="en-US"/>
        </w:rPr>
        <w:t xml:space="preserve">  </w:t>
      </w:r>
      <w:r>
        <w:rPr>
          <w:rFonts w:hint="default" w:ascii="Times New Roman" w:hAnsi="Times New Roman" w:cs="Times New Roman"/>
        </w:rPr>
        <w:t>录</w:t>
      </w:r>
      <w:bookmarkEnd w:id="1681"/>
      <w:bookmarkEnd w:id="1682"/>
      <w:bookmarkEnd w:id="1683"/>
      <w:bookmarkEnd w:id="1684"/>
      <w:bookmarkEnd w:id="1685"/>
      <w:bookmarkEnd w:id="1686"/>
      <w:bookmarkEnd w:id="1687"/>
      <w:bookmarkEnd w:id="1688"/>
      <w:bookmarkEnd w:id="1689"/>
      <w:bookmarkEnd w:id="1690"/>
      <w:bookmarkEnd w:id="1691"/>
      <w:bookmarkEnd w:id="1692"/>
      <w:bookmarkEnd w:id="1693"/>
      <w:bookmarkEnd w:id="1694"/>
      <w:bookmarkEnd w:id="1695"/>
      <w:bookmarkEnd w:id="1696"/>
      <w:bookmarkEnd w:id="1697"/>
      <w:bookmarkEnd w:id="1698"/>
      <w:bookmarkEnd w:id="1699"/>
      <w:bookmarkEnd w:id="1700"/>
      <w:bookmarkEnd w:id="1701"/>
      <w:bookmarkEnd w:id="1702"/>
      <w:bookmarkEnd w:id="1703"/>
      <w:bookmarkEnd w:id="1704"/>
    </w:p>
    <w:p>
      <w:pPr>
        <w:tabs>
          <w:tab w:val="left" w:pos="1276"/>
        </w:tabs>
        <w:autoSpaceDE/>
        <w:autoSpaceDN/>
        <w:spacing w:line="500" w:lineRule="exact"/>
        <w:ind w:left="820" w:hanging="820" w:hangingChars="293"/>
        <w:jc w:val="both"/>
        <w:rPr>
          <w:rFonts w:hint="default" w:ascii="Times New Roman" w:hAnsi="Times New Roman" w:cs="Times New Roman"/>
          <w:sz w:val="28"/>
          <w:szCs w:val="28"/>
          <w:lang w:val="en-US"/>
        </w:rPr>
      </w:pPr>
      <w:r>
        <w:rPr>
          <w:rFonts w:hint="default" w:ascii="Times New Roman" w:hAnsi="Times New Roman" w:cs="Times New Roman"/>
          <w:sz w:val="28"/>
          <w:szCs w:val="28"/>
          <w:lang w:val="en-US"/>
        </w:rPr>
        <w:t>1</w:t>
      </w:r>
      <w:r>
        <w:rPr>
          <w:rFonts w:hint="default" w:ascii="Times New Roman" w:hAnsi="Times New Roman" w:cs="Times New Roman"/>
          <w:sz w:val="28"/>
          <w:szCs w:val="28"/>
        </w:rPr>
        <w:t>）委托书</w:t>
      </w:r>
    </w:p>
    <w:p>
      <w:pPr>
        <w:tabs>
          <w:tab w:val="left" w:pos="1276"/>
        </w:tabs>
        <w:autoSpaceDE/>
        <w:autoSpaceDN/>
        <w:spacing w:line="500" w:lineRule="exact"/>
        <w:ind w:left="820" w:hanging="820" w:hangingChars="293"/>
        <w:jc w:val="both"/>
        <w:rPr>
          <w:rFonts w:hint="default" w:ascii="Times New Roman" w:hAnsi="Times New Roman" w:cs="Times New Roman"/>
          <w:sz w:val="28"/>
          <w:szCs w:val="28"/>
        </w:rPr>
      </w:pPr>
      <w:r>
        <w:rPr>
          <w:rFonts w:hint="default" w:ascii="Times New Roman" w:hAnsi="Times New Roman" w:cs="Times New Roman"/>
          <w:sz w:val="28"/>
          <w:szCs w:val="28"/>
          <w:lang w:val="en-US"/>
        </w:rPr>
        <w:t>2</w:t>
      </w:r>
      <w:r>
        <w:rPr>
          <w:rFonts w:hint="default" w:ascii="Times New Roman" w:hAnsi="Times New Roman" w:cs="Times New Roman"/>
          <w:sz w:val="28"/>
          <w:szCs w:val="28"/>
        </w:rPr>
        <w:t>）营业执照</w:t>
      </w:r>
    </w:p>
    <w:p>
      <w:pPr>
        <w:spacing w:line="500" w:lineRule="exact"/>
        <w:rPr>
          <w:rFonts w:hint="eastAsia" w:ascii="Times New Roman" w:hAnsi="Times New Roman" w:eastAsia="宋体" w:cs="Times New Roman"/>
          <w:sz w:val="28"/>
          <w:szCs w:val="28"/>
          <w:lang w:eastAsia="zh-CN"/>
        </w:rPr>
      </w:pPr>
      <w:r>
        <w:rPr>
          <w:rFonts w:hint="default" w:ascii="Times New Roman" w:hAnsi="Times New Roman" w:cs="Times New Roman"/>
          <w:sz w:val="28"/>
          <w:szCs w:val="28"/>
          <w:lang w:val="en-US"/>
        </w:rPr>
        <w:t>3</w:t>
      </w:r>
      <w:r>
        <w:rPr>
          <w:rFonts w:hint="default" w:ascii="Times New Roman" w:hAnsi="Times New Roman" w:cs="Times New Roman"/>
          <w:sz w:val="28"/>
          <w:szCs w:val="28"/>
        </w:rPr>
        <w:t>）成品油零售经营批准书</w:t>
      </w:r>
      <w:r>
        <w:rPr>
          <w:rFonts w:hint="eastAsia" w:ascii="Times New Roman" w:hAnsi="Times New Roman" w:cs="Times New Roman"/>
          <w:sz w:val="28"/>
          <w:szCs w:val="28"/>
          <w:lang w:eastAsia="zh-CN"/>
        </w:rPr>
        <w:t>、</w:t>
      </w:r>
      <w:r>
        <w:rPr>
          <w:rFonts w:hint="default" w:ascii="Times New Roman" w:hAnsi="Times New Roman" w:cs="Times New Roman"/>
          <w:sz w:val="28"/>
          <w:szCs w:val="28"/>
        </w:rPr>
        <w:t>危险化学品经营许可证</w:t>
      </w:r>
    </w:p>
    <w:p>
      <w:pPr>
        <w:spacing w:line="500" w:lineRule="exact"/>
        <w:rPr>
          <w:rFonts w:hint="eastAsia" w:ascii="Times New Roman" w:hAnsi="Times New Roman" w:eastAsia="宋体" w:cs="Times New Roman"/>
          <w:sz w:val="28"/>
          <w:szCs w:val="28"/>
          <w:lang w:eastAsia="zh-CN"/>
        </w:rPr>
      </w:pPr>
      <w:r>
        <w:rPr>
          <w:rFonts w:hint="default" w:ascii="Times New Roman" w:hAnsi="Times New Roman" w:cs="Times New Roman"/>
          <w:sz w:val="28"/>
          <w:szCs w:val="28"/>
          <w:lang w:val="en-US"/>
        </w:rPr>
        <w:t>4</w:t>
      </w:r>
      <w:r>
        <w:rPr>
          <w:rFonts w:hint="default" w:ascii="Times New Roman" w:hAnsi="Times New Roman" w:cs="Times New Roman"/>
          <w:sz w:val="28"/>
          <w:szCs w:val="28"/>
        </w:rPr>
        <w:t>）</w:t>
      </w:r>
      <w:r>
        <w:rPr>
          <w:rFonts w:hint="eastAsia" w:ascii="Times New Roman" w:hAnsi="Times New Roman" w:cs="Times New Roman"/>
          <w:sz w:val="28"/>
          <w:szCs w:val="28"/>
          <w:lang w:eastAsia="zh-CN"/>
        </w:rPr>
        <w:t>防雷检测合格证、消防验收意见书、应急预案备案表、加油机合格证</w:t>
      </w:r>
    </w:p>
    <w:p>
      <w:pPr>
        <w:spacing w:line="500" w:lineRule="exact"/>
        <w:rPr>
          <w:rFonts w:hint="default" w:ascii="Times New Roman" w:hAnsi="Times New Roman" w:cs="Times New Roman"/>
          <w:sz w:val="28"/>
          <w:szCs w:val="28"/>
        </w:rPr>
      </w:pPr>
      <w:r>
        <w:rPr>
          <w:rFonts w:hint="default" w:ascii="Times New Roman" w:hAnsi="Times New Roman" w:cs="Times New Roman"/>
          <w:sz w:val="28"/>
          <w:szCs w:val="28"/>
          <w:lang w:val="en-US"/>
        </w:rPr>
        <w:t>5</w:t>
      </w:r>
      <w:r>
        <w:rPr>
          <w:rFonts w:hint="default" w:ascii="Times New Roman" w:hAnsi="Times New Roman" w:cs="Times New Roman"/>
          <w:sz w:val="28"/>
          <w:szCs w:val="28"/>
        </w:rPr>
        <w:t>）</w:t>
      </w:r>
      <w:r>
        <w:rPr>
          <w:rFonts w:hint="eastAsia" w:ascii="Times New Roman" w:hAnsi="Times New Roman" w:cs="Times New Roman"/>
          <w:sz w:val="28"/>
          <w:szCs w:val="28"/>
          <w:lang w:val="en-US" w:eastAsia="zh-CN"/>
        </w:rPr>
        <w:t>租赁</w:t>
      </w:r>
      <w:r>
        <w:rPr>
          <w:rFonts w:hint="default" w:ascii="Times New Roman" w:hAnsi="Times New Roman" w:eastAsia="宋体" w:cs="Times New Roman"/>
          <w:sz w:val="28"/>
          <w:szCs w:val="28"/>
          <w:lang w:val="en-US" w:eastAsia="zh-CN"/>
        </w:rPr>
        <w:t>合同</w:t>
      </w:r>
    </w:p>
    <w:p>
      <w:pPr>
        <w:spacing w:line="500" w:lineRule="exact"/>
        <w:rPr>
          <w:rFonts w:hint="default" w:ascii="Times New Roman" w:hAnsi="Times New Roman" w:cs="Times New Roman"/>
          <w:spacing w:val="-6"/>
          <w:sz w:val="28"/>
          <w:szCs w:val="28"/>
          <w:highlight w:val="none"/>
        </w:rPr>
      </w:pPr>
      <w:r>
        <w:rPr>
          <w:rFonts w:hint="default" w:ascii="Times New Roman" w:hAnsi="Times New Roman" w:cs="Times New Roman"/>
          <w:spacing w:val="-6"/>
          <w:sz w:val="28"/>
          <w:szCs w:val="28"/>
          <w:highlight w:val="none"/>
          <w:lang w:val="en-US"/>
        </w:rPr>
        <w:t>6</w:t>
      </w:r>
      <w:r>
        <w:rPr>
          <w:rFonts w:hint="default" w:ascii="Times New Roman" w:hAnsi="Times New Roman" w:cs="Times New Roman"/>
          <w:spacing w:val="-6"/>
          <w:sz w:val="28"/>
          <w:szCs w:val="28"/>
          <w:highlight w:val="none"/>
        </w:rPr>
        <w:t>）加油站人员安全资格证及其继续教育</w:t>
      </w:r>
    </w:p>
    <w:p>
      <w:pPr>
        <w:spacing w:line="500" w:lineRule="exact"/>
        <w:rPr>
          <w:rFonts w:hint="default" w:ascii="Times New Roman" w:hAnsi="Times New Roman" w:cs="Times New Roman"/>
          <w:sz w:val="28"/>
          <w:szCs w:val="28"/>
          <w:highlight w:val="none"/>
        </w:rPr>
      </w:pPr>
      <w:r>
        <w:rPr>
          <w:rFonts w:hint="default" w:ascii="Times New Roman" w:hAnsi="Times New Roman" w:cs="Times New Roman"/>
          <w:sz w:val="28"/>
          <w:szCs w:val="28"/>
          <w:highlight w:val="none"/>
          <w:lang w:val="en-US"/>
        </w:rPr>
        <w:t>7</w:t>
      </w:r>
      <w:r>
        <w:rPr>
          <w:rFonts w:hint="default" w:ascii="Times New Roman" w:hAnsi="Times New Roman" w:cs="Times New Roman"/>
          <w:sz w:val="28"/>
          <w:szCs w:val="28"/>
          <w:highlight w:val="none"/>
        </w:rPr>
        <w:t>）设计单位资质证明文件</w:t>
      </w:r>
    </w:p>
    <w:p>
      <w:pPr>
        <w:spacing w:line="500" w:lineRule="exact"/>
        <w:rPr>
          <w:rFonts w:hint="default" w:ascii="Times New Roman" w:hAnsi="Times New Roman" w:cs="Times New Roman"/>
          <w:sz w:val="24"/>
          <w:szCs w:val="24"/>
          <w:highlight w:val="yellow"/>
        </w:rPr>
      </w:pPr>
      <w:r>
        <w:rPr>
          <w:rFonts w:hint="default" w:ascii="Times New Roman" w:hAnsi="Times New Roman" w:cs="Times New Roman"/>
          <w:sz w:val="28"/>
          <w:szCs w:val="28"/>
          <w:highlight w:val="none"/>
          <w:lang w:val="en-US"/>
        </w:rPr>
        <w:t>8</w:t>
      </w:r>
      <w:r>
        <w:rPr>
          <w:rFonts w:hint="default" w:ascii="Times New Roman" w:hAnsi="Times New Roman" w:cs="Times New Roman"/>
          <w:sz w:val="28"/>
          <w:szCs w:val="28"/>
          <w:highlight w:val="none"/>
        </w:rPr>
        <w:t>）总平面图</w:t>
      </w:r>
    </w:p>
    <w:p>
      <w:pPr>
        <w:jc w:val="center"/>
        <w:rPr>
          <w:rFonts w:hint="default" w:ascii="Times New Roman" w:hAnsi="Times New Roman" w:cs="Times New Roman"/>
        </w:rPr>
        <w:sectPr>
          <w:headerReference r:id="rId6" w:type="default"/>
          <w:footerReference r:id="rId7" w:type="default"/>
          <w:pgSz w:w="11910" w:h="16840"/>
          <w:pgMar w:top="1417" w:right="1134" w:bottom="1134" w:left="1417" w:header="0" w:footer="737" w:gutter="0"/>
          <w:cols w:space="720" w:num="1"/>
        </w:sectPr>
      </w:pPr>
    </w:p>
    <w:p>
      <w:pPr>
        <w:pStyle w:val="37"/>
        <w:keepNext w:val="0"/>
        <w:keepLines w:val="0"/>
        <w:pageBreakBefore w:val="0"/>
        <w:widowControl w:val="0"/>
        <w:tabs>
          <w:tab w:val="left" w:pos="1276"/>
        </w:tabs>
        <w:kinsoku/>
        <w:wordWrap/>
        <w:overflowPunct/>
        <w:topLinePunct w:val="0"/>
        <w:autoSpaceDE/>
        <w:autoSpaceDN/>
        <w:bidi w:val="0"/>
        <w:adjustRightInd/>
        <w:snapToGrid/>
        <w:spacing w:line="500" w:lineRule="exact"/>
        <w:ind w:left="0" w:leftChars="0" w:right="0" w:rightChars="0" w:firstLine="0" w:firstLineChars="0"/>
        <w:jc w:val="both"/>
        <w:textAlignment w:val="auto"/>
        <w:outlineLvl w:val="0"/>
        <w:rPr>
          <w:rFonts w:hint="default" w:ascii="Times New Roman" w:hAnsi="Times New Roman" w:eastAsia="宋体" w:cs="Times New Roman"/>
          <w:sz w:val="28"/>
          <w:szCs w:val="28"/>
          <w:lang w:val="en-US" w:eastAsia="zh-CN"/>
        </w:rPr>
      </w:pPr>
      <w:bookmarkStart w:id="1705" w:name="_Toc19673"/>
      <w:bookmarkStart w:id="1706" w:name="_Toc9269"/>
      <w:bookmarkStart w:id="1707" w:name="_Toc4815"/>
      <w:bookmarkStart w:id="1708" w:name="_Toc25804"/>
      <w:bookmarkStart w:id="1709" w:name="_Toc13155_WPSOffice_Level1"/>
      <w:bookmarkStart w:id="1710" w:name="_Toc4634_WPSOffice_Level1"/>
      <w:bookmarkStart w:id="1711" w:name="_Toc25387_WPSOffice_Level1"/>
      <w:bookmarkStart w:id="1712" w:name="_Toc31081"/>
      <w:bookmarkStart w:id="1713" w:name="_Toc31576"/>
      <w:r>
        <w:rPr>
          <w:rFonts w:hint="default" w:ascii="Times New Roman" w:hAnsi="Times New Roman" w:eastAsia="宋体" w:cs="Times New Roman"/>
          <w:sz w:val="28"/>
          <w:szCs w:val="28"/>
          <w:lang w:val="en-US" w:eastAsia="zh-CN"/>
        </w:rPr>
        <w:t>1）</w:t>
      </w:r>
      <w:r>
        <w:rPr>
          <w:rFonts w:hint="eastAsia" w:ascii="Times New Roman" w:hAnsi="Times New Roman" w:cs="Times New Roman"/>
          <w:sz w:val="28"/>
          <w:szCs w:val="28"/>
          <w:lang w:eastAsia="zh-CN"/>
        </w:rPr>
        <w:t>委托书</w:t>
      </w:r>
      <w:bookmarkEnd w:id="1705"/>
      <w:bookmarkEnd w:id="1706"/>
      <w:bookmarkEnd w:id="1707"/>
      <w:bookmarkEnd w:id="1708"/>
    </w:p>
    <w:p>
      <w:pPr>
        <w:jc w:val="center"/>
        <w:rPr>
          <w:rFonts w:hint="eastAsia"/>
          <w:b/>
          <w:bCs/>
          <w:sz w:val="44"/>
          <w:szCs w:val="44"/>
        </w:rPr>
      </w:pPr>
      <w:r>
        <w:rPr>
          <w:rFonts w:hint="eastAsia"/>
          <w:b/>
          <w:bCs/>
          <w:sz w:val="44"/>
          <w:szCs w:val="44"/>
          <w:lang w:eastAsia="zh-CN"/>
        </w:rPr>
        <w:t>安全评价项目</w:t>
      </w:r>
      <w:r>
        <w:rPr>
          <w:b/>
          <w:bCs/>
          <w:sz w:val="44"/>
          <w:szCs w:val="44"/>
        </w:rPr>
        <w:t>委托书</w:t>
      </w:r>
    </w:p>
    <w:p>
      <w:pPr>
        <w:rPr>
          <w:rFonts w:hint="eastAsia"/>
        </w:rPr>
      </w:pPr>
    </w:p>
    <w:p>
      <w:pPr>
        <w:rPr>
          <w:rFonts w:hint="eastAsia"/>
          <w:sz w:val="32"/>
          <w:szCs w:val="32"/>
        </w:rPr>
      </w:pPr>
    </w:p>
    <w:p>
      <w:pPr>
        <w:rPr>
          <w:rFonts w:hint="eastAsia" w:ascii="楷体" w:hAnsi="楷体" w:eastAsia="楷体"/>
          <w:b/>
          <w:sz w:val="32"/>
          <w:szCs w:val="32"/>
        </w:rPr>
      </w:pPr>
      <w:r>
        <w:rPr>
          <w:rFonts w:hint="eastAsia" w:ascii="楷体" w:hAnsi="楷体" w:eastAsia="楷体"/>
          <w:b/>
          <w:sz w:val="32"/>
          <w:szCs w:val="32"/>
        </w:rPr>
        <w:t>广东安源鼎盛检测评价技术服务有限公司：</w:t>
      </w:r>
    </w:p>
    <w:p>
      <w:pPr>
        <w:spacing w:line="480" w:lineRule="auto"/>
        <w:rPr>
          <w:rFonts w:hint="eastAsia"/>
          <w:sz w:val="32"/>
          <w:szCs w:val="32"/>
        </w:rPr>
      </w:pPr>
    </w:p>
    <w:p>
      <w:pPr>
        <w:keepNext w:val="0"/>
        <w:keepLines w:val="0"/>
        <w:pageBreakBefore w:val="0"/>
        <w:widowControl w:val="0"/>
        <w:kinsoku/>
        <w:wordWrap/>
        <w:overflowPunct/>
        <w:topLinePunct w:val="0"/>
        <w:autoSpaceDE w:val="0"/>
        <w:autoSpaceDN w:val="0"/>
        <w:bidi w:val="0"/>
        <w:adjustRightInd/>
        <w:snapToGrid/>
        <w:spacing w:line="480" w:lineRule="auto"/>
        <w:ind w:firstLine="640" w:firstLineChars="200"/>
        <w:textAlignment w:val="auto"/>
        <w:outlineLvl w:val="9"/>
        <w:rPr>
          <w:rFonts w:hint="eastAsia"/>
          <w:sz w:val="32"/>
          <w:szCs w:val="32"/>
          <w:u w:val="single"/>
        </w:rPr>
      </w:pPr>
      <w:r>
        <w:rPr>
          <w:rFonts w:hint="eastAsia"/>
          <w:sz w:val="32"/>
          <w:szCs w:val="32"/>
        </w:rPr>
        <w:t>根据</w:t>
      </w:r>
      <w:r>
        <w:rPr>
          <w:sz w:val="32"/>
          <w:szCs w:val="32"/>
        </w:rPr>
        <w:t>《</w:t>
      </w:r>
      <w:r>
        <w:rPr>
          <w:rFonts w:hint="eastAsia"/>
          <w:sz w:val="32"/>
          <w:szCs w:val="32"/>
        </w:rPr>
        <w:t>中华</w:t>
      </w:r>
      <w:r>
        <w:rPr>
          <w:sz w:val="32"/>
          <w:szCs w:val="32"/>
        </w:rPr>
        <w:t>人民共和国</w:t>
      </w:r>
      <w:r>
        <w:rPr>
          <w:rFonts w:hint="eastAsia"/>
          <w:sz w:val="32"/>
          <w:szCs w:val="32"/>
          <w:lang w:eastAsia="zh-CN"/>
        </w:rPr>
        <w:t>安全生产法</w:t>
      </w:r>
      <w:r>
        <w:rPr>
          <w:sz w:val="32"/>
          <w:szCs w:val="32"/>
        </w:rPr>
        <w:t>》</w:t>
      </w:r>
      <w:r>
        <w:rPr>
          <w:rFonts w:hint="eastAsia"/>
          <w:sz w:val="32"/>
          <w:szCs w:val="32"/>
        </w:rPr>
        <w:t>的</w:t>
      </w:r>
      <w:r>
        <w:rPr>
          <w:sz w:val="32"/>
          <w:szCs w:val="32"/>
        </w:rPr>
        <w:t>规定，我</w:t>
      </w:r>
      <w:r>
        <w:rPr>
          <w:rFonts w:hint="eastAsia"/>
          <w:sz w:val="32"/>
          <w:szCs w:val="32"/>
        </w:rPr>
        <w:t>公司现委托贵司对我司建设项目“</w:t>
      </w:r>
      <w:r>
        <w:rPr>
          <w:rFonts w:hint="eastAsia"/>
          <w:sz w:val="32"/>
          <w:szCs w:val="32"/>
          <w:u w:val="single"/>
          <w:lang w:eastAsia="zh-CN"/>
        </w:rPr>
        <w:t>中国石化销售股份有限公司广东东莞石碣唐洪东城加油站</w:t>
      </w:r>
      <w:r>
        <w:rPr>
          <w:rFonts w:hint="eastAsia"/>
          <w:sz w:val="32"/>
          <w:szCs w:val="32"/>
          <w:u w:val="single"/>
        </w:rPr>
        <w:t>新增洗车机项目</w:t>
      </w:r>
      <w:r>
        <w:rPr>
          <w:rFonts w:hint="eastAsia"/>
          <w:sz w:val="32"/>
          <w:szCs w:val="32"/>
        </w:rPr>
        <w:t>”进行</w:t>
      </w:r>
      <w:r>
        <w:rPr>
          <w:rFonts w:hint="eastAsia"/>
          <w:sz w:val="32"/>
          <w:szCs w:val="32"/>
          <w:highlight w:val="none"/>
          <w:u w:val="single"/>
        </w:rPr>
        <w:t>安全验收评价</w:t>
      </w:r>
      <w:r>
        <w:rPr>
          <w:rFonts w:hint="eastAsia"/>
          <w:sz w:val="32"/>
          <w:szCs w:val="32"/>
          <w:u w:val="none"/>
          <w:lang w:eastAsia="zh-CN"/>
        </w:rPr>
        <w:t>技术服务</w:t>
      </w:r>
      <w:r>
        <w:rPr>
          <w:rFonts w:hint="eastAsia"/>
          <w:sz w:val="32"/>
          <w:szCs w:val="32"/>
        </w:rPr>
        <w:t>，评价技术服务过程我司提供的资料是全面、真实、可靠的，并全面配合贵司完成工作。</w:t>
      </w:r>
    </w:p>
    <w:p>
      <w:pPr>
        <w:ind w:left="560" w:firstLine="570"/>
        <w:rPr>
          <w:rFonts w:hint="eastAsia"/>
          <w:sz w:val="28"/>
        </w:rPr>
      </w:pPr>
    </w:p>
    <w:p>
      <w:pPr>
        <w:ind w:left="560" w:firstLine="570"/>
        <w:rPr>
          <w:rFonts w:hint="eastAsia"/>
          <w:sz w:val="28"/>
        </w:rPr>
      </w:pPr>
    </w:p>
    <w:p>
      <w:pPr>
        <w:ind w:left="560" w:firstLine="570"/>
        <w:rPr>
          <w:rFonts w:hint="eastAsia"/>
          <w:sz w:val="28"/>
        </w:rPr>
      </w:pPr>
    </w:p>
    <w:p>
      <w:pPr>
        <w:ind w:left="560" w:firstLine="570"/>
        <w:rPr>
          <w:rFonts w:hint="eastAsia"/>
          <w:sz w:val="28"/>
        </w:rPr>
      </w:pPr>
    </w:p>
    <w:p>
      <w:pPr>
        <w:ind w:left="4306" w:leftChars="635" w:hanging="2909" w:hangingChars="1039"/>
        <w:rPr>
          <w:rFonts w:hint="eastAsia" w:eastAsia="宋体"/>
          <w:sz w:val="32"/>
          <w:szCs w:val="32"/>
          <w:u w:val="single"/>
          <w:lang w:eastAsia="zh-CN"/>
        </w:rPr>
      </w:pPr>
      <w:r>
        <w:rPr>
          <w:rFonts w:hint="eastAsia"/>
          <w:sz w:val="28"/>
        </w:rPr>
        <w:t xml:space="preserve">           </w:t>
      </w:r>
      <w:r>
        <w:rPr>
          <w:rFonts w:hint="eastAsia"/>
          <w:sz w:val="28"/>
          <w:lang w:val="en-US" w:eastAsia="zh-CN"/>
        </w:rPr>
        <w:t xml:space="preserve"> </w:t>
      </w:r>
      <w:r>
        <w:rPr>
          <w:rFonts w:hint="eastAsia"/>
          <w:sz w:val="28"/>
        </w:rPr>
        <w:t xml:space="preserve"> </w:t>
      </w:r>
      <w:r>
        <w:rPr>
          <w:rFonts w:hint="eastAsia"/>
          <w:sz w:val="32"/>
          <w:szCs w:val="32"/>
        </w:rPr>
        <w:t>委托方：</w:t>
      </w:r>
      <w:r>
        <w:rPr>
          <w:rFonts w:hint="eastAsia"/>
          <w:sz w:val="32"/>
          <w:szCs w:val="32"/>
          <w:u w:val="single"/>
          <w:lang w:eastAsia="zh-CN"/>
        </w:rPr>
        <w:t>中国石化销售股份有限公司广东东莞石碣唐洪东城加油站</w:t>
      </w:r>
    </w:p>
    <w:p>
      <w:pPr>
        <w:pStyle w:val="37"/>
        <w:tabs>
          <w:tab w:val="left" w:pos="1276"/>
        </w:tabs>
        <w:autoSpaceDE/>
        <w:autoSpaceDN/>
        <w:spacing w:line="500" w:lineRule="exact"/>
        <w:ind w:left="1745" w:leftChars="793" w:firstLine="1206" w:firstLineChars="377"/>
        <w:jc w:val="both"/>
        <w:rPr>
          <w:rFonts w:hint="default" w:ascii="Times New Roman" w:hAnsi="Times New Roman" w:eastAsia="宋体" w:cs="Times New Roman"/>
          <w:sz w:val="28"/>
          <w:szCs w:val="28"/>
          <w:lang w:val="en-US" w:eastAsia="zh-CN"/>
        </w:rPr>
      </w:pPr>
      <w:r>
        <w:rPr>
          <w:rFonts w:hint="eastAsia"/>
          <w:sz w:val="32"/>
          <w:szCs w:val="32"/>
        </w:rPr>
        <w:t>（盖章）</w:t>
      </w:r>
    </w:p>
    <w:p>
      <w:pPr>
        <w:pStyle w:val="37"/>
        <w:tabs>
          <w:tab w:val="left" w:pos="1276"/>
        </w:tabs>
        <w:autoSpaceDE/>
        <w:autoSpaceDN/>
        <w:spacing w:line="500" w:lineRule="exact"/>
        <w:ind w:left="0" w:leftChars="0" w:firstLine="0" w:firstLineChars="0"/>
        <w:jc w:val="both"/>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br w:type="page"/>
      </w:r>
    </w:p>
    <w:bookmarkEnd w:id="1709"/>
    <w:bookmarkEnd w:id="1710"/>
    <w:bookmarkEnd w:id="1711"/>
    <w:p>
      <w:pPr>
        <w:pStyle w:val="37"/>
        <w:keepNext w:val="0"/>
        <w:keepLines w:val="0"/>
        <w:pageBreakBefore w:val="0"/>
        <w:widowControl w:val="0"/>
        <w:numPr>
          <w:ilvl w:val="0"/>
          <w:numId w:val="12"/>
        </w:numPr>
        <w:tabs>
          <w:tab w:val="left" w:pos="1276"/>
        </w:tabs>
        <w:kinsoku/>
        <w:wordWrap/>
        <w:overflowPunct/>
        <w:topLinePunct w:val="0"/>
        <w:autoSpaceDE/>
        <w:autoSpaceDN/>
        <w:bidi w:val="0"/>
        <w:adjustRightInd/>
        <w:snapToGrid/>
        <w:spacing w:line="500" w:lineRule="exact"/>
        <w:ind w:left="0" w:leftChars="0" w:right="0" w:rightChars="0" w:firstLine="0" w:firstLineChars="0"/>
        <w:jc w:val="both"/>
        <w:textAlignment w:val="auto"/>
        <w:outlineLvl w:val="0"/>
        <w:rPr>
          <w:rFonts w:hint="default" w:ascii="Times New Roman" w:hAnsi="Times New Roman" w:eastAsia="宋体" w:cs="Times New Roman"/>
          <w:sz w:val="28"/>
          <w:szCs w:val="28"/>
        </w:rPr>
      </w:pPr>
      <w:bookmarkStart w:id="1714" w:name="_Toc25316"/>
      <w:bookmarkStart w:id="1715" w:name="_Toc29879"/>
      <w:bookmarkStart w:id="1716" w:name="_Toc18112"/>
      <w:bookmarkStart w:id="1717" w:name="_Toc5902"/>
      <w:r>
        <w:rPr>
          <w:rFonts w:hint="default" w:ascii="Times New Roman" w:hAnsi="Times New Roman" w:eastAsia="宋体" w:cs="Times New Roman"/>
          <w:sz w:val="28"/>
          <w:szCs w:val="28"/>
        </w:rPr>
        <w:t>营业执照</w:t>
      </w:r>
      <w:bookmarkEnd w:id="1714"/>
      <w:bookmarkEnd w:id="1715"/>
      <w:bookmarkEnd w:id="1716"/>
      <w:bookmarkEnd w:id="1717"/>
    </w:p>
    <w:p>
      <w:pPr>
        <w:widowControl/>
        <w:autoSpaceDE/>
        <w:autoSpaceDN/>
        <w:rPr>
          <w:rFonts w:hint="default" w:ascii="Times New Roman" w:hAnsi="Times New Roman" w:eastAsia="宋体" w:cs="Times New Roman"/>
          <w:b/>
          <w:lang w:val="en-US" w:eastAsia="zh-CN" w:bidi="ar-SA"/>
        </w:rPr>
      </w:pPr>
    </w:p>
    <w:p>
      <w:pPr>
        <w:widowControl/>
        <w:autoSpaceDE/>
        <w:autoSpaceDN/>
        <w:rPr>
          <w:rFonts w:hint="default" w:ascii="Times New Roman" w:hAnsi="Times New Roman" w:eastAsia="宋体" w:cs="Times New Roman"/>
          <w:b/>
          <w:lang w:val="en-US" w:eastAsia="zh-CN" w:bidi="ar-SA"/>
        </w:rPr>
        <w:sectPr>
          <w:footerReference r:id="rId8" w:type="default"/>
          <w:pgSz w:w="11910" w:h="16840"/>
          <w:pgMar w:top="1417" w:right="1134" w:bottom="1134" w:left="1587" w:header="720" w:footer="720" w:gutter="0"/>
          <w:cols w:space="0" w:num="1"/>
        </w:sectPr>
      </w:pPr>
      <w:r>
        <w:drawing>
          <wp:inline distT="0" distB="0" distL="114300" distR="114300">
            <wp:extent cx="5505450" cy="7867650"/>
            <wp:effectExtent l="0" t="0" r="0"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62"/>
                    <a:stretch>
                      <a:fillRect/>
                    </a:stretch>
                  </pic:blipFill>
                  <pic:spPr>
                    <a:xfrm>
                      <a:off x="0" y="0"/>
                      <a:ext cx="5505450" cy="7867650"/>
                    </a:xfrm>
                    <a:prstGeom prst="rect">
                      <a:avLst/>
                    </a:prstGeom>
                    <a:noFill/>
                    <a:ln>
                      <a:noFill/>
                    </a:ln>
                  </pic:spPr>
                </pic:pic>
              </a:graphicData>
            </a:graphic>
          </wp:inline>
        </w:drawing>
      </w:r>
    </w:p>
    <w:p>
      <w:pPr>
        <w:pStyle w:val="37"/>
        <w:keepNext w:val="0"/>
        <w:keepLines w:val="0"/>
        <w:pageBreakBefore w:val="0"/>
        <w:widowControl w:val="0"/>
        <w:tabs>
          <w:tab w:val="left" w:pos="1276"/>
        </w:tabs>
        <w:kinsoku/>
        <w:wordWrap/>
        <w:overflowPunct/>
        <w:topLinePunct w:val="0"/>
        <w:autoSpaceDE/>
        <w:autoSpaceDN/>
        <w:bidi w:val="0"/>
        <w:adjustRightInd/>
        <w:snapToGrid/>
        <w:spacing w:line="500" w:lineRule="exact"/>
        <w:ind w:left="0" w:leftChars="0" w:right="0" w:rightChars="0" w:firstLine="0" w:firstLineChars="0"/>
        <w:jc w:val="both"/>
        <w:textAlignment w:val="auto"/>
        <w:outlineLvl w:val="0"/>
        <w:rPr>
          <w:rFonts w:hint="default" w:ascii="Times New Roman" w:hAnsi="Times New Roman" w:eastAsia="宋体" w:cs="Times New Roman"/>
          <w:sz w:val="28"/>
          <w:szCs w:val="28"/>
          <w:lang w:val="en-US" w:eastAsia="zh-CN"/>
        </w:rPr>
      </w:pPr>
      <w:bookmarkStart w:id="1718" w:name="_Toc4301"/>
      <w:bookmarkStart w:id="1719" w:name="_Toc6678"/>
      <w:bookmarkStart w:id="1720" w:name="_Toc5383"/>
      <w:bookmarkStart w:id="1721" w:name="_Toc24256"/>
      <w:r>
        <w:rPr>
          <w:rFonts w:hint="eastAsia" w:ascii="Times New Roman" w:hAnsi="Times New Roman" w:cs="Times New Roman"/>
          <w:sz w:val="28"/>
          <w:szCs w:val="28"/>
          <w:lang w:val="en-US" w:eastAsia="zh-CN"/>
        </w:rPr>
        <w:t>3</w:t>
      </w:r>
      <w:r>
        <w:rPr>
          <w:rFonts w:hint="default" w:ascii="Times New Roman" w:hAnsi="Times New Roman" w:eastAsia="宋体" w:cs="Times New Roman"/>
          <w:sz w:val="28"/>
          <w:szCs w:val="28"/>
          <w:lang w:val="en-US" w:eastAsia="zh-CN"/>
        </w:rPr>
        <w:t>）成品油零售经营批准书</w:t>
      </w:r>
      <w:bookmarkEnd w:id="1718"/>
      <w:bookmarkEnd w:id="1719"/>
      <w:bookmarkEnd w:id="1720"/>
      <w:bookmarkEnd w:id="1721"/>
      <w:r>
        <w:rPr>
          <w:rFonts w:hint="eastAsia" w:ascii="Times New Roman" w:hAnsi="Times New Roman" w:cs="Times New Roman"/>
          <w:sz w:val="28"/>
          <w:szCs w:val="28"/>
          <w:lang w:val="en-US" w:eastAsia="zh-CN"/>
        </w:rPr>
        <w:t>、危险化学品经营许可证</w:t>
      </w:r>
    </w:p>
    <w:p>
      <w:pPr>
        <w:widowControl/>
        <w:autoSpaceDE/>
        <w:autoSpaceDN/>
        <w:rPr>
          <w:rFonts w:hint="default" w:ascii="Times New Roman" w:hAnsi="Times New Roman" w:eastAsia="宋体" w:cs="Times New Roman"/>
          <w:b/>
          <w:lang w:val="en-US" w:eastAsia="zh-CN" w:bidi="ar-SA"/>
        </w:rPr>
      </w:pPr>
      <w:r>
        <w:drawing>
          <wp:inline distT="0" distB="0" distL="114300" distR="114300">
            <wp:extent cx="5819775" cy="7943850"/>
            <wp:effectExtent l="0" t="0" r="9525" b="0"/>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63"/>
                    <a:stretch>
                      <a:fillRect/>
                    </a:stretch>
                  </pic:blipFill>
                  <pic:spPr>
                    <a:xfrm>
                      <a:off x="0" y="0"/>
                      <a:ext cx="5819775" cy="7943850"/>
                    </a:xfrm>
                    <a:prstGeom prst="rect">
                      <a:avLst/>
                    </a:prstGeom>
                    <a:noFill/>
                    <a:ln>
                      <a:noFill/>
                    </a:ln>
                  </pic:spPr>
                </pic:pic>
              </a:graphicData>
            </a:graphic>
          </wp:inline>
        </w:drawing>
      </w:r>
    </w:p>
    <w:p>
      <w:pPr>
        <w:widowControl/>
        <w:autoSpaceDE/>
        <w:autoSpaceDN/>
        <w:rPr>
          <w:rFonts w:hint="default" w:ascii="Times New Roman" w:hAnsi="Times New Roman" w:eastAsia="宋体" w:cs="Times New Roman"/>
          <w:b/>
          <w:lang w:val="en-US" w:eastAsia="zh-CN" w:bidi="ar-SA"/>
        </w:rPr>
      </w:pPr>
    </w:p>
    <w:p>
      <w:pPr>
        <w:pStyle w:val="2"/>
        <w:rPr>
          <w:rFonts w:hint="default" w:ascii="Times New Roman" w:hAnsi="Times New Roman" w:eastAsia="宋体" w:cs="Times New Roman"/>
          <w:b/>
          <w:lang w:val="en-US" w:eastAsia="zh-CN" w:bidi="ar-SA"/>
        </w:rPr>
      </w:pPr>
    </w:p>
    <w:p>
      <w:pPr>
        <w:rPr>
          <w:rFonts w:hint="default" w:ascii="Times New Roman" w:hAnsi="Times New Roman" w:eastAsia="宋体" w:cs="Times New Roman"/>
          <w:b/>
          <w:lang w:val="en-US" w:eastAsia="zh-CN" w:bidi="ar-SA"/>
        </w:rPr>
      </w:pPr>
    </w:p>
    <w:p>
      <w:pPr>
        <w:pStyle w:val="2"/>
        <w:rPr>
          <w:rFonts w:hint="default" w:ascii="Times New Roman" w:hAnsi="Times New Roman" w:eastAsia="宋体" w:cs="Times New Roman"/>
          <w:b/>
          <w:lang w:val="en-US" w:eastAsia="zh-CN" w:bidi="ar-SA"/>
        </w:rPr>
      </w:pPr>
    </w:p>
    <w:p>
      <w:pPr>
        <w:rPr>
          <w:rFonts w:hint="default" w:ascii="Times New Roman" w:hAnsi="Times New Roman" w:eastAsia="宋体" w:cs="Times New Roman"/>
          <w:b/>
          <w:lang w:val="en-US" w:eastAsia="zh-CN" w:bidi="ar-SA"/>
        </w:rPr>
      </w:pPr>
      <w:r>
        <w:drawing>
          <wp:inline distT="0" distB="0" distL="114300" distR="114300">
            <wp:extent cx="5419725" cy="7762875"/>
            <wp:effectExtent l="0" t="0" r="9525" b="9525"/>
            <wp:docPr id="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
                    <pic:cNvPicPr>
                      <a:picLocks noChangeAspect="1"/>
                    </pic:cNvPicPr>
                  </pic:nvPicPr>
                  <pic:blipFill>
                    <a:blip r:embed="rId64"/>
                    <a:stretch>
                      <a:fillRect/>
                    </a:stretch>
                  </pic:blipFill>
                  <pic:spPr>
                    <a:xfrm>
                      <a:off x="0" y="0"/>
                      <a:ext cx="5419725" cy="7762875"/>
                    </a:xfrm>
                    <a:prstGeom prst="rect">
                      <a:avLst/>
                    </a:prstGeom>
                    <a:noFill/>
                    <a:ln>
                      <a:noFill/>
                    </a:ln>
                  </pic:spPr>
                </pic:pic>
              </a:graphicData>
            </a:graphic>
          </wp:inline>
        </w:drawing>
      </w:r>
    </w:p>
    <w:p>
      <w:pPr>
        <w:pStyle w:val="2"/>
        <w:rPr>
          <w:rFonts w:hint="default" w:ascii="Times New Roman" w:hAnsi="Times New Roman" w:eastAsia="宋体" w:cs="Times New Roman"/>
          <w:b/>
          <w:lang w:val="en-US" w:eastAsia="zh-CN" w:bidi="ar-SA"/>
        </w:rPr>
      </w:pPr>
    </w:p>
    <w:p>
      <w:pPr>
        <w:rPr>
          <w:rFonts w:hint="default" w:ascii="Times New Roman" w:hAnsi="Times New Roman" w:eastAsia="宋体" w:cs="Times New Roman"/>
          <w:b/>
          <w:lang w:val="en-US" w:eastAsia="zh-CN" w:bidi="ar-SA"/>
        </w:rPr>
      </w:pPr>
    </w:p>
    <w:p>
      <w:pPr>
        <w:pStyle w:val="2"/>
        <w:rPr>
          <w:rFonts w:hint="default" w:ascii="Times New Roman" w:hAnsi="Times New Roman" w:eastAsia="宋体" w:cs="Times New Roman"/>
          <w:b/>
          <w:lang w:val="en-US" w:eastAsia="zh-CN" w:bidi="ar-SA"/>
        </w:rPr>
      </w:pPr>
    </w:p>
    <w:p>
      <w:pPr>
        <w:rPr>
          <w:rFonts w:hint="default" w:ascii="Times New Roman" w:hAnsi="Times New Roman" w:eastAsia="宋体" w:cs="Times New Roman"/>
          <w:b/>
          <w:lang w:val="en-US" w:eastAsia="zh-CN" w:bidi="ar-SA"/>
        </w:rPr>
      </w:pPr>
    </w:p>
    <w:p>
      <w:pPr>
        <w:pStyle w:val="2"/>
        <w:rPr>
          <w:rFonts w:hint="default"/>
          <w:lang w:val="en-US" w:eastAsia="zh-CN"/>
        </w:rPr>
        <w:sectPr>
          <w:pgSz w:w="11910" w:h="16840"/>
          <w:pgMar w:top="1417" w:right="1134" w:bottom="1134" w:left="1587" w:header="720" w:footer="720" w:gutter="0"/>
          <w:cols w:space="0" w:num="1"/>
        </w:sectPr>
      </w:pPr>
    </w:p>
    <w:p>
      <w:pPr>
        <w:pStyle w:val="37"/>
        <w:keepNext w:val="0"/>
        <w:keepLines w:val="0"/>
        <w:pageBreakBefore w:val="0"/>
        <w:widowControl w:val="0"/>
        <w:tabs>
          <w:tab w:val="left" w:pos="1276"/>
        </w:tabs>
        <w:kinsoku/>
        <w:wordWrap/>
        <w:overflowPunct/>
        <w:topLinePunct w:val="0"/>
        <w:autoSpaceDE/>
        <w:autoSpaceDN/>
        <w:bidi w:val="0"/>
        <w:adjustRightInd/>
        <w:snapToGrid/>
        <w:spacing w:line="500" w:lineRule="exact"/>
        <w:ind w:left="0" w:leftChars="0" w:right="0" w:rightChars="0" w:firstLine="0" w:firstLineChars="0"/>
        <w:jc w:val="both"/>
        <w:textAlignment w:val="auto"/>
        <w:outlineLvl w:val="0"/>
        <w:rPr>
          <w:rFonts w:hint="eastAsia" w:ascii="Times New Roman" w:hAnsi="Times New Roman" w:eastAsia="宋体" w:cs="Times New Roman"/>
          <w:sz w:val="28"/>
          <w:szCs w:val="28"/>
          <w:lang w:eastAsia="zh-CN"/>
        </w:rPr>
      </w:pPr>
      <w:bookmarkStart w:id="1722" w:name="_Toc12389"/>
      <w:bookmarkStart w:id="1723" w:name="_Toc1867"/>
      <w:bookmarkStart w:id="1724" w:name="_Toc7857"/>
      <w:bookmarkStart w:id="1725" w:name="_Toc18592"/>
      <w:r>
        <w:rPr>
          <w:rFonts w:hint="eastAsia" w:ascii="Times New Roman" w:hAnsi="Times New Roman" w:cs="Times New Roman"/>
          <w:sz w:val="28"/>
          <w:szCs w:val="28"/>
          <w:lang w:val="en-US" w:eastAsia="zh-CN"/>
        </w:rPr>
        <w:t>4</w:t>
      </w:r>
      <w:r>
        <w:rPr>
          <w:rFonts w:hint="default" w:ascii="Times New Roman" w:hAnsi="Times New Roman" w:eastAsia="宋体" w:cs="Times New Roman"/>
          <w:sz w:val="28"/>
          <w:szCs w:val="28"/>
          <w:lang w:val="en-US" w:eastAsia="zh-CN"/>
        </w:rPr>
        <w:t>）</w:t>
      </w:r>
      <w:bookmarkEnd w:id="1722"/>
      <w:bookmarkEnd w:id="1723"/>
      <w:bookmarkEnd w:id="1724"/>
      <w:bookmarkEnd w:id="1725"/>
      <w:r>
        <w:rPr>
          <w:rFonts w:hint="eastAsia" w:ascii="Times New Roman" w:hAnsi="Times New Roman" w:cs="Times New Roman"/>
          <w:sz w:val="28"/>
          <w:szCs w:val="28"/>
          <w:lang w:eastAsia="zh-CN"/>
        </w:rPr>
        <w:t>防雷检测合格证、消防验收意见书、应急预案备案表、加油机合格证</w:t>
      </w:r>
    </w:p>
    <w:p>
      <w:pPr>
        <w:widowControl/>
        <w:autoSpaceDE/>
        <w:autoSpaceDN/>
        <w:spacing w:line="240" w:lineRule="auto"/>
      </w:pPr>
      <w:r>
        <w:drawing>
          <wp:inline distT="0" distB="0" distL="114300" distR="114300">
            <wp:extent cx="5832475" cy="8424545"/>
            <wp:effectExtent l="0" t="0" r="15875" b="14605"/>
            <wp:docPr id="2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1"/>
                    <pic:cNvPicPr>
                      <a:picLocks noChangeAspect="1"/>
                    </pic:cNvPicPr>
                  </pic:nvPicPr>
                  <pic:blipFill>
                    <a:blip r:embed="rId65"/>
                    <a:stretch>
                      <a:fillRect/>
                    </a:stretch>
                  </pic:blipFill>
                  <pic:spPr>
                    <a:xfrm>
                      <a:off x="0" y="0"/>
                      <a:ext cx="5832475" cy="8424545"/>
                    </a:xfrm>
                    <a:prstGeom prst="rect">
                      <a:avLst/>
                    </a:prstGeom>
                    <a:noFill/>
                    <a:ln>
                      <a:noFill/>
                    </a:ln>
                  </pic:spPr>
                </pic:pic>
              </a:graphicData>
            </a:graphic>
          </wp:inline>
        </w:drawing>
      </w:r>
    </w:p>
    <w:p>
      <w:pPr>
        <w:pStyle w:val="2"/>
      </w:pPr>
    </w:p>
    <w:p>
      <w:r>
        <w:drawing>
          <wp:inline distT="0" distB="0" distL="114300" distR="114300">
            <wp:extent cx="5562600" cy="7419975"/>
            <wp:effectExtent l="0" t="0" r="0" b="9525"/>
            <wp:docPr id="2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
                    <pic:cNvPicPr>
                      <a:picLocks noChangeAspect="1"/>
                    </pic:cNvPicPr>
                  </pic:nvPicPr>
                  <pic:blipFill>
                    <a:blip r:embed="rId66"/>
                    <a:stretch>
                      <a:fillRect/>
                    </a:stretch>
                  </pic:blipFill>
                  <pic:spPr>
                    <a:xfrm>
                      <a:off x="0" y="0"/>
                      <a:ext cx="5562600" cy="7419975"/>
                    </a:xfrm>
                    <a:prstGeom prst="rect">
                      <a:avLst/>
                    </a:prstGeom>
                    <a:noFill/>
                    <a:ln>
                      <a:noFill/>
                    </a:ln>
                  </pic:spPr>
                </pic:pic>
              </a:graphicData>
            </a:graphic>
          </wp:inline>
        </w:drawing>
      </w:r>
    </w:p>
    <w:p>
      <w:pPr>
        <w:pStyle w:val="2"/>
      </w:pPr>
    </w:p>
    <w:p/>
    <w:p>
      <w:pPr>
        <w:pStyle w:val="2"/>
      </w:pPr>
    </w:p>
    <w:p/>
    <w:p>
      <w:pPr>
        <w:pStyle w:val="2"/>
      </w:pPr>
    </w:p>
    <w:p/>
    <w:p>
      <w:pPr>
        <w:pStyle w:val="2"/>
      </w:pPr>
    </w:p>
    <w:p/>
    <w:p>
      <w:pPr>
        <w:pStyle w:val="2"/>
      </w:pPr>
      <w:r>
        <w:drawing>
          <wp:inline distT="0" distB="0" distL="114300" distR="114300">
            <wp:extent cx="5114925" cy="7000875"/>
            <wp:effectExtent l="0" t="0" r="9525" b="9525"/>
            <wp:docPr id="2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3"/>
                    <pic:cNvPicPr>
                      <a:picLocks noChangeAspect="1"/>
                    </pic:cNvPicPr>
                  </pic:nvPicPr>
                  <pic:blipFill>
                    <a:blip r:embed="rId67"/>
                    <a:stretch>
                      <a:fillRect/>
                    </a:stretch>
                  </pic:blipFill>
                  <pic:spPr>
                    <a:xfrm>
                      <a:off x="0" y="0"/>
                      <a:ext cx="5114925" cy="7000875"/>
                    </a:xfrm>
                    <a:prstGeom prst="rect">
                      <a:avLst/>
                    </a:prstGeom>
                    <a:noFill/>
                    <a:ln>
                      <a:noFill/>
                    </a:ln>
                  </pic:spPr>
                </pic:pic>
              </a:graphicData>
            </a:graphic>
          </wp:inline>
        </w:drawing>
      </w:r>
    </w:p>
    <w:p>
      <w:pPr>
        <w:pStyle w:val="2"/>
      </w:pPr>
    </w:p>
    <w:p/>
    <w:p>
      <w:pPr>
        <w:pStyle w:val="2"/>
      </w:pPr>
    </w:p>
    <w:p/>
    <w:p>
      <w:pPr>
        <w:pStyle w:val="2"/>
      </w:pPr>
    </w:p>
    <w:p/>
    <w:p>
      <w:pPr>
        <w:pStyle w:val="2"/>
      </w:pPr>
    </w:p>
    <w:p/>
    <w:p>
      <w:pPr>
        <w:pStyle w:val="2"/>
      </w:pPr>
    </w:p>
    <w:p/>
    <w:p>
      <w:pPr>
        <w:pStyle w:val="2"/>
      </w:pPr>
      <w:r>
        <w:drawing>
          <wp:inline distT="0" distB="0" distL="114300" distR="114300">
            <wp:extent cx="4382770" cy="3048635"/>
            <wp:effectExtent l="0" t="0" r="17780" b="18415"/>
            <wp:docPr id="2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4"/>
                    <pic:cNvPicPr>
                      <a:picLocks noChangeAspect="1"/>
                    </pic:cNvPicPr>
                  </pic:nvPicPr>
                  <pic:blipFill>
                    <a:blip r:embed="rId68"/>
                    <a:stretch>
                      <a:fillRect/>
                    </a:stretch>
                  </pic:blipFill>
                  <pic:spPr>
                    <a:xfrm>
                      <a:off x="0" y="0"/>
                      <a:ext cx="4382770" cy="3048635"/>
                    </a:xfrm>
                    <a:prstGeom prst="rect">
                      <a:avLst/>
                    </a:prstGeom>
                    <a:noFill/>
                    <a:ln>
                      <a:noFill/>
                    </a:ln>
                  </pic:spPr>
                </pic:pic>
              </a:graphicData>
            </a:graphic>
          </wp:inline>
        </w:drawing>
      </w:r>
    </w:p>
    <w:p>
      <w:r>
        <w:drawing>
          <wp:inline distT="0" distB="0" distL="114300" distR="114300">
            <wp:extent cx="4648200" cy="3171825"/>
            <wp:effectExtent l="0" t="0" r="0" b="9525"/>
            <wp:docPr id="30"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5"/>
                    <pic:cNvPicPr>
                      <a:picLocks noChangeAspect="1"/>
                    </pic:cNvPicPr>
                  </pic:nvPicPr>
                  <pic:blipFill>
                    <a:blip r:embed="rId69"/>
                    <a:stretch>
                      <a:fillRect/>
                    </a:stretch>
                  </pic:blipFill>
                  <pic:spPr>
                    <a:xfrm>
                      <a:off x="0" y="0"/>
                      <a:ext cx="4648200" cy="3171825"/>
                    </a:xfrm>
                    <a:prstGeom prst="rect">
                      <a:avLst/>
                    </a:prstGeom>
                    <a:noFill/>
                    <a:ln>
                      <a:noFill/>
                    </a:ln>
                  </pic:spPr>
                </pic:pic>
              </a:graphicData>
            </a:graphic>
          </wp:inline>
        </w:drawing>
      </w:r>
    </w:p>
    <w:p>
      <w:pPr>
        <w:pStyle w:val="2"/>
        <w:rPr>
          <w:rFonts w:hint="default"/>
          <w:lang w:val="en-US" w:eastAsia="zh-CN"/>
        </w:rPr>
      </w:pPr>
      <w:r>
        <w:drawing>
          <wp:inline distT="0" distB="0" distL="114300" distR="114300">
            <wp:extent cx="4629150" cy="3162300"/>
            <wp:effectExtent l="0" t="0" r="0" b="0"/>
            <wp:docPr id="3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6"/>
                    <pic:cNvPicPr>
                      <a:picLocks noChangeAspect="1"/>
                    </pic:cNvPicPr>
                  </pic:nvPicPr>
                  <pic:blipFill>
                    <a:blip r:embed="rId70"/>
                    <a:stretch>
                      <a:fillRect/>
                    </a:stretch>
                  </pic:blipFill>
                  <pic:spPr>
                    <a:xfrm>
                      <a:off x="0" y="0"/>
                      <a:ext cx="4629150" cy="3162300"/>
                    </a:xfrm>
                    <a:prstGeom prst="rect">
                      <a:avLst/>
                    </a:prstGeom>
                    <a:noFill/>
                    <a:ln>
                      <a:noFill/>
                    </a:ln>
                  </pic:spPr>
                </pic:pic>
              </a:graphicData>
            </a:graphic>
          </wp:inline>
        </w:drawing>
      </w:r>
    </w:p>
    <w:p>
      <w:pPr>
        <w:rPr>
          <w:rFonts w:hint="default"/>
          <w:lang w:val="en-US" w:eastAsia="zh-CN"/>
        </w:rPr>
      </w:pPr>
    </w:p>
    <w:p>
      <w:pPr>
        <w:pStyle w:val="2"/>
        <w:rPr>
          <w:rFonts w:hint="default"/>
          <w:lang w:val="en-US" w:eastAsia="zh-CN"/>
        </w:rPr>
      </w:pPr>
      <w:r>
        <w:drawing>
          <wp:inline distT="0" distB="0" distL="114300" distR="114300">
            <wp:extent cx="4457700" cy="3124200"/>
            <wp:effectExtent l="0" t="0" r="0" b="0"/>
            <wp:docPr id="3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7"/>
                    <pic:cNvPicPr>
                      <a:picLocks noChangeAspect="1"/>
                    </pic:cNvPicPr>
                  </pic:nvPicPr>
                  <pic:blipFill>
                    <a:blip r:embed="rId71"/>
                    <a:stretch>
                      <a:fillRect/>
                    </a:stretch>
                  </pic:blipFill>
                  <pic:spPr>
                    <a:xfrm>
                      <a:off x="0" y="0"/>
                      <a:ext cx="4457700" cy="3124200"/>
                    </a:xfrm>
                    <a:prstGeom prst="rect">
                      <a:avLst/>
                    </a:prstGeom>
                    <a:noFill/>
                    <a:ln>
                      <a:noFill/>
                    </a:ln>
                  </pic:spPr>
                </pic:pic>
              </a:graphicData>
            </a:graphic>
          </wp:inline>
        </w:drawing>
      </w:r>
    </w:p>
    <w:p>
      <w:pPr>
        <w:rPr>
          <w:rFonts w:hint="default"/>
          <w:lang w:val="en-US" w:eastAsia="zh-CN"/>
        </w:rPr>
      </w:pPr>
      <w:r>
        <w:drawing>
          <wp:inline distT="0" distB="0" distL="114300" distR="114300">
            <wp:extent cx="4410075" cy="3114675"/>
            <wp:effectExtent l="0" t="0" r="9525" b="9525"/>
            <wp:docPr id="33"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8"/>
                    <pic:cNvPicPr>
                      <a:picLocks noChangeAspect="1"/>
                    </pic:cNvPicPr>
                  </pic:nvPicPr>
                  <pic:blipFill>
                    <a:blip r:embed="rId72"/>
                    <a:stretch>
                      <a:fillRect/>
                    </a:stretch>
                  </pic:blipFill>
                  <pic:spPr>
                    <a:xfrm>
                      <a:off x="0" y="0"/>
                      <a:ext cx="4410075" cy="3114675"/>
                    </a:xfrm>
                    <a:prstGeom prst="rect">
                      <a:avLst/>
                    </a:prstGeom>
                    <a:noFill/>
                    <a:ln>
                      <a:noFill/>
                    </a:ln>
                  </pic:spPr>
                </pic:pic>
              </a:graphicData>
            </a:graphic>
          </wp:inline>
        </w:drawing>
      </w:r>
    </w:p>
    <w:p>
      <w:pPr>
        <w:pStyle w:val="2"/>
        <w:rPr>
          <w:rFonts w:hint="default"/>
          <w:lang w:val="en-US" w:eastAsia="zh-CN"/>
        </w:rPr>
      </w:pPr>
      <w:r>
        <w:drawing>
          <wp:inline distT="0" distB="0" distL="114300" distR="114300">
            <wp:extent cx="4467225" cy="3114675"/>
            <wp:effectExtent l="0" t="0" r="9525" b="9525"/>
            <wp:docPr id="34"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9"/>
                    <pic:cNvPicPr>
                      <a:picLocks noChangeAspect="1"/>
                    </pic:cNvPicPr>
                  </pic:nvPicPr>
                  <pic:blipFill>
                    <a:blip r:embed="rId73"/>
                    <a:stretch>
                      <a:fillRect/>
                    </a:stretch>
                  </pic:blipFill>
                  <pic:spPr>
                    <a:xfrm>
                      <a:off x="0" y="0"/>
                      <a:ext cx="4467225" cy="3114675"/>
                    </a:xfrm>
                    <a:prstGeom prst="rect">
                      <a:avLst/>
                    </a:prstGeom>
                    <a:noFill/>
                    <a:ln>
                      <a:noFill/>
                    </a:ln>
                  </pic:spPr>
                </pic:pic>
              </a:graphicData>
            </a:graphic>
          </wp:inline>
        </w:drawing>
      </w:r>
    </w:p>
    <w:p>
      <w:pPr>
        <w:jc w:val="center"/>
        <w:rPr>
          <w:rFonts w:hint="default" w:eastAsia="宋体"/>
          <w:lang w:val="en-US" w:eastAsia="zh-CN"/>
        </w:rPr>
        <w:sectPr>
          <w:pgSz w:w="11910" w:h="16840"/>
          <w:pgMar w:top="1417" w:right="1134" w:bottom="1134" w:left="1587" w:header="720" w:footer="720" w:gutter="0"/>
          <w:cols w:space="0" w:num="1"/>
        </w:sectPr>
      </w:pPr>
    </w:p>
    <w:p>
      <w:pPr>
        <w:pStyle w:val="37"/>
        <w:keepNext w:val="0"/>
        <w:keepLines w:val="0"/>
        <w:pageBreakBefore w:val="0"/>
        <w:widowControl w:val="0"/>
        <w:tabs>
          <w:tab w:val="left" w:pos="1276"/>
        </w:tabs>
        <w:kinsoku/>
        <w:wordWrap/>
        <w:overflowPunct/>
        <w:topLinePunct w:val="0"/>
        <w:autoSpaceDE/>
        <w:autoSpaceDN/>
        <w:bidi w:val="0"/>
        <w:adjustRightInd/>
        <w:snapToGrid/>
        <w:spacing w:line="500" w:lineRule="exact"/>
        <w:ind w:left="0" w:leftChars="0" w:right="0" w:rightChars="0" w:firstLine="0" w:firstLineChars="0"/>
        <w:jc w:val="both"/>
        <w:textAlignment w:val="auto"/>
        <w:outlineLvl w:val="0"/>
        <w:rPr>
          <w:rFonts w:hint="default" w:ascii="Times New Roman" w:hAnsi="Times New Roman" w:eastAsia="宋体" w:cs="Times New Roman"/>
          <w:sz w:val="28"/>
          <w:szCs w:val="28"/>
          <w:lang w:val="en-US" w:eastAsia="zh-CN"/>
        </w:rPr>
      </w:pPr>
      <w:bookmarkStart w:id="1726" w:name="_Toc20554_WPSOffice_Level1"/>
      <w:bookmarkStart w:id="1727" w:name="_Toc13472_WPSOffice_Level1"/>
      <w:bookmarkStart w:id="1728" w:name="_Toc2971_WPSOffice_Level1"/>
      <w:bookmarkStart w:id="1729" w:name="_Toc25375"/>
      <w:bookmarkStart w:id="1730" w:name="_Toc10452"/>
      <w:bookmarkStart w:id="1731" w:name="_Toc27736"/>
      <w:bookmarkStart w:id="1732" w:name="_Toc30310"/>
      <w:r>
        <w:rPr>
          <w:rFonts w:hint="eastAsia" w:ascii="Times New Roman" w:hAnsi="Times New Roman" w:cs="Times New Roman"/>
          <w:sz w:val="28"/>
          <w:szCs w:val="28"/>
          <w:lang w:val="en-US" w:eastAsia="zh-CN"/>
        </w:rPr>
        <w:t>5</w:t>
      </w:r>
      <w:r>
        <w:rPr>
          <w:rFonts w:hint="default" w:ascii="Times New Roman" w:hAnsi="Times New Roman" w:eastAsia="宋体" w:cs="Times New Roman"/>
          <w:sz w:val="28"/>
          <w:szCs w:val="28"/>
          <w:lang w:val="en-US" w:eastAsia="zh-CN"/>
        </w:rPr>
        <w:t>）</w:t>
      </w:r>
      <w:bookmarkEnd w:id="1726"/>
      <w:bookmarkEnd w:id="1727"/>
      <w:bookmarkEnd w:id="1728"/>
      <w:r>
        <w:rPr>
          <w:rFonts w:hint="eastAsia" w:ascii="Times New Roman" w:hAnsi="Times New Roman" w:cs="Times New Roman"/>
          <w:sz w:val="28"/>
          <w:szCs w:val="28"/>
          <w:lang w:val="en-US" w:eastAsia="zh-CN"/>
        </w:rPr>
        <w:t>租赁</w:t>
      </w:r>
      <w:r>
        <w:rPr>
          <w:rFonts w:hint="default" w:ascii="Times New Roman" w:hAnsi="Times New Roman" w:eastAsia="宋体" w:cs="Times New Roman"/>
          <w:sz w:val="28"/>
          <w:szCs w:val="28"/>
          <w:lang w:val="en-US" w:eastAsia="zh-CN"/>
        </w:rPr>
        <w:t>合同</w:t>
      </w:r>
      <w:bookmarkEnd w:id="1729"/>
      <w:bookmarkEnd w:id="1730"/>
      <w:bookmarkEnd w:id="1731"/>
      <w:bookmarkEnd w:id="1732"/>
    </w:p>
    <w:p>
      <w:pPr>
        <w:rPr>
          <w:color w:val="000000"/>
          <w:sz w:val="28"/>
          <w:lang w:val="en-GB"/>
        </w:rPr>
      </w:pPr>
      <w:r>
        <w:drawing>
          <wp:inline distT="0" distB="0" distL="114300" distR="114300">
            <wp:extent cx="5229225" cy="7267575"/>
            <wp:effectExtent l="0" t="0" r="9525" b="9525"/>
            <wp:docPr id="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4"/>
                    <pic:cNvPicPr>
                      <a:picLocks noChangeAspect="1"/>
                    </pic:cNvPicPr>
                  </pic:nvPicPr>
                  <pic:blipFill>
                    <a:blip r:embed="rId74"/>
                    <a:stretch>
                      <a:fillRect/>
                    </a:stretch>
                  </pic:blipFill>
                  <pic:spPr>
                    <a:xfrm>
                      <a:off x="0" y="0"/>
                      <a:ext cx="5229225" cy="7267575"/>
                    </a:xfrm>
                    <a:prstGeom prst="rect">
                      <a:avLst/>
                    </a:prstGeom>
                    <a:noFill/>
                    <a:ln>
                      <a:noFill/>
                    </a:ln>
                  </pic:spPr>
                </pic:pic>
              </a:graphicData>
            </a:graphic>
          </wp:inline>
        </w:drawing>
      </w:r>
    </w:p>
    <w:p>
      <w:pPr>
        <w:spacing w:line="480" w:lineRule="auto"/>
        <w:ind w:right="980"/>
        <w:rPr>
          <w:rFonts w:hint="eastAsia"/>
        </w:rPr>
      </w:pPr>
    </w:p>
    <w:p>
      <w:pPr>
        <w:tabs>
          <w:tab w:val="left" w:pos="2255"/>
        </w:tabs>
        <w:jc w:val="center"/>
      </w:pPr>
    </w:p>
    <w:p>
      <w:pPr>
        <w:widowControl/>
        <w:autoSpaceDE/>
        <w:autoSpaceDN/>
      </w:pPr>
    </w:p>
    <w:p>
      <w:pPr>
        <w:pStyle w:val="2"/>
      </w:pPr>
    </w:p>
    <w:p/>
    <w:p>
      <w:pPr>
        <w:pStyle w:val="2"/>
      </w:pPr>
    </w:p>
    <w:p>
      <w:r>
        <w:drawing>
          <wp:inline distT="0" distB="0" distL="114300" distR="114300">
            <wp:extent cx="5124450" cy="7124700"/>
            <wp:effectExtent l="0" t="0" r="0" b="0"/>
            <wp:docPr id="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5"/>
                    <pic:cNvPicPr>
                      <a:picLocks noChangeAspect="1"/>
                    </pic:cNvPicPr>
                  </pic:nvPicPr>
                  <pic:blipFill>
                    <a:blip r:embed="rId75"/>
                    <a:stretch>
                      <a:fillRect/>
                    </a:stretch>
                  </pic:blipFill>
                  <pic:spPr>
                    <a:xfrm>
                      <a:off x="0" y="0"/>
                      <a:ext cx="5124450" cy="7124700"/>
                    </a:xfrm>
                    <a:prstGeom prst="rect">
                      <a:avLst/>
                    </a:prstGeom>
                    <a:noFill/>
                    <a:ln>
                      <a:noFill/>
                    </a:ln>
                  </pic:spPr>
                </pic:pic>
              </a:graphicData>
            </a:graphic>
          </wp:inline>
        </w:drawing>
      </w:r>
    </w:p>
    <w:p>
      <w:pPr>
        <w:pStyle w:val="2"/>
      </w:pPr>
    </w:p>
    <w:p/>
    <w:p>
      <w:pPr>
        <w:pStyle w:val="2"/>
      </w:pPr>
    </w:p>
    <w:p/>
    <w:p>
      <w:pPr>
        <w:pStyle w:val="2"/>
      </w:pPr>
    </w:p>
    <w:p/>
    <w:p>
      <w:pPr>
        <w:pStyle w:val="2"/>
      </w:pPr>
    </w:p>
    <w:p/>
    <w:p>
      <w:pPr>
        <w:pStyle w:val="2"/>
      </w:pPr>
    </w:p>
    <w:p/>
    <w:p>
      <w:pPr>
        <w:pStyle w:val="2"/>
      </w:pPr>
      <w:r>
        <w:drawing>
          <wp:inline distT="0" distB="0" distL="114300" distR="114300">
            <wp:extent cx="5219700" cy="7315200"/>
            <wp:effectExtent l="0" t="0" r="0" b="0"/>
            <wp:docPr id="10"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6"/>
                    <pic:cNvPicPr>
                      <a:picLocks noChangeAspect="1"/>
                    </pic:cNvPicPr>
                  </pic:nvPicPr>
                  <pic:blipFill>
                    <a:blip r:embed="rId76"/>
                    <a:stretch>
                      <a:fillRect/>
                    </a:stretch>
                  </pic:blipFill>
                  <pic:spPr>
                    <a:xfrm>
                      <a:off x="0" y="0"/>
                      <a:ext cx="5219700" cy="7315200"/>
                    </a:xfrm>
                    <a:prstGeom prst="rect">
                      <a:avLst/>
                    </a:prstGeom>
                    <a:noFill/>
                    <a:ln>
                      <a:noFill/>
                    </a:ln>
                  </pic:spPr>
                </pic:pic>
              </a:graphicData>
            </a:graphic>
          </wp:inline>
        </w:drawing>
      </w:r>
    </w:p>
    <w:p/>
    <w:p>
      <w:pPr>
        <w:pStyle w:val="2"/>
      </w:pPr>
    </w:p>
    <w:p/>
    <w:p>
      <w:pPr>
        <w:pStyle w:val="2"/>
      </w:pPr>
    </w:p>
    <w:p/>
    <w:p>
      <w:pPr>
        <w:pStyle w:val="2"/>
      </w:pPr>
    </w:p>
    <w:p/>
    <w:p>
      <w:pPr>
        <w:pStyle w:val="2"/>
      </w:pPr>
    </w:p>
    <w:p/>
    <w:p>
      <w:pPr>
        <w:pStyle w:val="2"/>
      </w:pPr>
      <w:r>
        <w:drawing>
          <wp:inline distT="0" distB="0" distL="114300" distR="114300">
            <wp:extent cx="5086350" cy="7115175"/>
            <wp:effectExtent l="0" t="0" r="0" b="9525"/>
            <wp:docPr id="11"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7"/>
                    <pic:cNvPicPr>
                      <a:picLocks noChangeAspect="1"/>
                    </pic:cNvPicPr>
                  </pic:nvPicPr>
                  <pic:blipFill>
                    <a:blip r:embed="rId77"/>
                    <a:stretch>
                      <a:fillRect/>
                    </a:stretch>
                  </pic:blipFill>
                  <pic:spPr>
                    <a:xfrm>
                      <a:off x="0" y="0"/>
                      <a:ext cx="5086350" cy="7115175"/>
                    </a:xfrm>
                    <a:prstGeom prst="rect">
                      <a:avLst/>
                    </a:prstGeom>
                    <a:noFill/>
                    <a:ln>
                      <a:noFill/>
                    </a:ln>
                  </pic:spPr>
                </pic:pic>
              </a:graphicData>
            </a:graphic>
          </wp:inline>
        </w:drawing>
      </w:r>
    </w:p>
    <w:p/>
    <w:p>
      <w:pPr>
        <w:pStyle w:val="2"/>
      </w:pPr>
    </w:p>
    <w:p/>
    <w:p>
      <w:pPr>
        <w:pStyle w:val="2"/>
      </w:pPr>
    </w:p>
    <w:p/>
    <w:p>
      <w:pPr>
        <w:pStyle w:val="2"/>
      </w:pPr>
    </w:p>
    <w:p/>
    <w:p>
      <w:pPr>
        <w:pStyle w:val="2"/>
      </w:pPr>
    </w:p>
    <w:p/>
    <w:p>
      <w:pPr>
        <w:pStyle w:val="2"/>
      </w:pPr>
    </w:p>
    <w:p>
      <w:r>
        <w:drawing>
          <wp:inline distT="0" distB="0" distL="114300" distR="114300">
            <wp:extent cx="5114925" cy="7067550"/>
            <wp:effectExtent l="0" t="0" r="9525" b="0"/>
            <wp:docPr id="12"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8"/>
                    <pic:cNvPicPr>
                      <a:picLocks noChangeAspect="1"/>
                    </pic:cNvPicPr>
                  </pic:nvPicPr>
                  <pic:blipFill>
                    <a:blip r:embed="rId78"/>
                    <a:stretch>
                      <a:fillRect/>
                    </a:stretch>
                  </pic:blipFill>
                  <pic:spPr>
                    <a:xfrm>
                      <a:off x="0" y="0"/>
                      <a:ext cx="5114925" cy="7067550"/>
                    </a:xfrm>
                    <a:prstGeom prst="rect">
                      <a:avLst/>
                    </a:prstGeom>
                    <a:noFill/>
                    <a:ln>
                      <a:noFill/>
                    </a:ln>
                  </pic:spPr>
                </pic:pic>
              </a:graphicData>
            </a:graphic>
          </wp:inline>
        </w:drawing>
      </w:r>
    </w:p>
    <w:p>
      <w:pPr>
        <w:pStyle w:val="2"/>
      </w:pPr>
    </w:p>
    <w:p/>
    <w:p>
      <w:pPr>
        <w:pStyle w:val="2"/>
      </w:pPr>
    </w:p>
    <w:p/>
    <w:p>
      <w:pPr>
        <w:pStyle w:val="2"/>
      </w:pPr>
    </w:p>
    <w:p/>
    <w:p>
      <w:pPr>
        <w:pStyle w:val="2"/>
      </w:pPr>
    </w:p>
    <w:p/>
    <w:p>
      <w:pPr>
        <w:pStyle w:val="2"/>
        <w:rPr>
          <w:rFonts w:hint="default"/>
          <w:lang w:val="en-US" w:eastAsia="zh-CN"/>
        </w:rPr>
      </w:pPr>
    </w:p>
    <w:p>
      <w:pPr>
        <w:rPr>
          <w:rFonts w:hint="default"/>
          <w:lang w:val="en-US" w:eastAsia="zh-CN"/>
        </w:rPr>
      </w:pPr>
    </w:p>
    <w:p>
      <w:pPr>
        <w:pStyle w:val="2"/>
        <w:rPr>
          <w:rFonts w:hint="default"/>
          <w:lang w:val="en-US" w:eastAsia="zh-CN"/>
        </w:rPr>
      </w:pPr>
      <w:r>
        <w:drawing>
          <wp:inline distT="0" distB="0" distL="114300" distR="114300">
            <wp:extent cx="5086350" cy="7067550"/>
            <wp:effectExtent l="0" t="0" r="0" b="0"/>
            <wp:docPr id="13"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9"/>
                    <pic:cNvPicPr>
                      <a:picLocks noChangeAspect="1"/>
                    </pic:cNvPicPr>
                  </pic:nvPicPr>
                  <pic:blipFill>
                    <a:blip r:embed="rId79"/>
                    <a:stretch>
                      <a:fillRect/>
                    </a:stretch>
                  </pic:blipFill>
                  <pic:spPr>
                    <a:xfrm>
                      <a:off x="0" y="0"/>
                      <a:ext cx="5086350" cy="7067550"/>
                    </a:xfrm>
                    <a:prstGeom prst="rect">
                      <a:avLst/>
                    </a:prstGeom>
                    <a:noFill/>
                    <a:ln>
                      <a:noFill/>
                    </a:ln>
                  </pic:spPr>
                </pic:pic>
              </a:graphicData>
            </a:graphic>
          </wp:inline>
        </w:drawing>
      </w:r>
    </w:p>
    <w:p>
      <w:pPr>
        <w:rPr>
          <w:rFonts w:hint="default"/>
          <w:lang w:val="en-US" w:eastAsia="zh-CN"/>
        </w:rPr>
      </w:pPr>
    </w:p>
    <w:p>
      <w:pPr>
        <w:pStyle w:val="2"/>
        <w:rPr>
          <w:rFonts w:hint="default"/>
          <w:lang w:val="en-US" w:eastAsia="zh-CN"/>
        </w:rPr>
      </w:pPr>
    </w:p>
    <w:p>
      <w:pPr>
        <w:rPr>
          <w:rFonts w:hint="default"/>
          <w:lang w:val="en-US" w:eastAsia="zh-CN"/>
        </w:rPr>
      </w:pPr>
    </w:p>
    <w:p>
      <w:pPr>
        <w:pStyle w:val="2"/>
        <w:rPr>
          <w:rFonts w:hint="default"/>
          <w:lang w:val="en-US" w:eastAsia="zh-CN"/>
        </w:rPr>
      </w:pPr>
    </w:p>
    <w:p/>
    <w:p>
      <w:pPr>
        <w:pStyle w:val="2"/>
      </w:pPr>
    </w:p>
    <w:p/>
    <w:p>
      <w:pPr>
        <w:pStyle w:val="2"/>
      </w:pPr>
    </w:p>
    <w:p/>
    <w:p>
      <w:pPr>
        <w:pStyle w:val="2"/>
      </w:pPr>
    </w:p>
    <w:p>
      <w:r>
        <w:drawing>
          <wp:inline distT="0" distB="0" distL="114300" distR="114300">
            <wp:extent cx="5048250" cy="7200900"/>
            <wp:effectExtent l="0" t="0" r="0" b="0"/>
            <wp:docPr id="14"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0"/>
                    <pic:cNvPicPr>
                      <a:picLocks noChangeAspect="1"/>
                    </pic:cNvPicPr>
                  </pic:nvPicPr>
                  <pic:blipFill>
                    <a:blip r:embed="rId80"/>
                    <a:stretch>
                      <a:fillRect/>
                    </a:stretch>
                  </pic:blipFill>
                  <pic:spPr>
                    <a:xfrm>
                      <a:off x="0" y="0"/>
                      <a:ext cx="5048250" cy="7200900"/>
                    </a:xfrm>
                    <a:prstGeom prst="rect">
                      <a:avLst/>
                    </a:prstGeom>
                    <a:noFill/>
                    <a:ln>
                      <a:noFill/>
                    </a:ln>
                  </pic:spPr>
                </pic:pic>
              </a:graphicData>
            </a:graphic>
          </wp:inline>
        </w:drawing>
      </w:r>
    </w:p>
    <w:p>
      <w:pPr>
        <w:pStyle w:val="2"/>
      </w:pPr>
    </w:p>
    <w:p/>
    <w:p>
      <w:pPr>
        <w:pStyle w:val="2"/>
      </w:pPr>
    </w:p>
    <w:p/>
    <w:p>
      <w:pPr>
        <w:pStyle w:val="2"/>
      </w:pPr>
    </w:p>
    <w:p/>
    <w:p>
      <w:pPr>
        <w:pStyle w:val="2"/>
      </w:pPr>
    </w:p>
    <w:p/>
    <w:p>
      <w:pPr>
        <w:pStyle w:val="2"/>
      </w:pPr>
    </w:p>
    <w:p>
      <w:r>
        <w:drawing>
          <wp:inline distT="0" distB="0" distL="114300" distR="114300">
            <wp:extent cx="5029200" cy="7096125"/>
            <wp:effectExtent l="0" t="0" r="0" b="9525"/>
            <wp:docPr id="15"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1"/>
                    <pic:cNvPicPr>
                      <a:picLocks noChangeAspect="1"/>
                    </pic:cNvPicPr>
                  </pic:nvPicPr>
                  <pic:blipFill>
                    <a:blip r:embed="rId81"/>
                    <a:stretch>
                      <a:fillRect/>
                    </a:stretch>
                  </pic:blipFill>
                  <pic:spPr>
                    <a:xfrm>
                      <a:off x="0" y="0"/>
                      <a:ext cx="5029200" cy="7096125"/>
                    </a:xfrm>
                    <a:prstGeom prst="rect">
                      <a:avLst/>
                    </a:prstGeom>
                    <a:noFill/>
                    <a:ln>
                      <a:noFill/>
                    </a:ln>
                  </pic:spPr>
                </pic:pic>
              </a:graphicData>
            </a:graphic>
          </wp:inline>
        </w:drawing>
      </w:r>
    </w:p>
    <w:p>
      <w:pPr>
        <w:pStyle w:val="2"/>
      </w:pPr>
    </w:p>
    <w:p/>
    <w:p>
      <w:pPr>
        <w:pStyle w:val="2"/>
      </w:pPr>
    </w:p>
    <w:p/>
    <w:p>
      <w:pPr>
        <w:pStyle w:val="2"/>
      </w:pPr>
    </w:p>
    <w:p/>
    <w:p>
      <w:pPr>
        <w:pStyle w:val="2"/>
      </w:pPr>
    </w:p>
    <w:p/>
    <w:p>
      <w:pPr>
        <w:pStyle w:val="2"/>
      </w:pPr>
    </w:p>
    <w:p/>
    <w:p>
      <w:pPr>
        <w:pStyle w:val="2"/>
      </w:pPr>
      <w:r>
        <w:drawing>
          <wp:inline distT="0" distB="0" distL="114300" distR="114300">
            <wp:extent cx="5038725" cy="7181850"/>
            <wp:effectExtent l="0" t="0" r="9525" b="0"/>
            <wp:docPr id="18"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2"/>
                    <pic:cNvPicPr>
                      <a:picLocks noChangeAspect="1"/>
                    </pic:cNvPicPr>
                  </pic:nvPicPr>
                  <pic:blipFill>
                    <a:blip r:embed="rId82"/>
                    <a:stretch>
                      <a:fillRect/>
                    </a:stretch>
                  </pic:blipFill>
                  <pic:spPr>
                    <a:xfrm>
                      <a:off x="0" y="0"/>
                      <a:ext cx="5038725" cy="7181850"/>
                    </a:xfrm>
                    <a:prstGeom prst="rect">
                      <a:avLst/>
                    </a:prstGeom>
                    <a:noFill/>
                    <a:ln>
                      <a:noFill/>
                    </a:ln>
                  </pic:spPr>
                </pic:pic>
              </a:graphicData>
            </a:graphic>
          </wp:inline>
        </w:drawing>
      </w:r>
    </w:p>
    <w:p/>
    <w:p>
      <w:pPr>
        <w:pStyle w:val="2"/>
      </w:pPr>
    </w:p>
    <w:p/>
    <w:p>
      <w:pPr>
        <w:pStyle w:val="2"/>
      </w:pPr>
    </w:p>
    <w:p/>
    <w:p>
      <w:pPr>
        <w:pStyle w:val="2"/>
      </w:pPr>
    </w:p>
    <w:p/>
    <w:p>
      <w:pPr>
        <w:pStyle w:val="2"/>
      </w:pPr>
    </w:p>
    <w:p/>
    <w:p>
      <w:pPr>
        <w:pStyle w:val="2"/>
      </w:pPr>
      <w:r>
        <w:drawing>
          <wp:inline distT="0" distB="0" distL="114300" distR="114300">
            <wp:extent cx="5019675" cy="7115175"/>
            <wp:effectExtent l="0" t="0" r="9525" b="9525"/>
            <wp:docPr id="19"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3"/>
                    <pic:cNvPicPr>
                      <a:picLocks noChangeAspect="1"/>
                    </pic:cNvPicPr>
                  </pic:nvPicPr>
                  <pic:blipFill>
                    <a:blip r:embed="rId83"/>
                    <a:stretch>
                      <a:fillRect/>
                    </a:stretch>
                  </pic:blipFill>
                  <pic:spPr>
                    <a:xfrm>
                      <a:off x="0" y="0"/>
                      <a:ext cx="5019675" cy="7115175"/>
                    </a:xfrm>
                    <a:prstGeom prst="rect">
                      <a:avLst/>
                    </a:prstGeom>
                    <a:noFill/>
                    <a:ln>
                      <a:noFill/>
                    </a:ln>
                  </pic:spPr>
                </pic:pic>
              </a:graphicData>
            </a:graphic>
          </wp:inline>
        </w:drawing>
      </w:r>
    </w:p>
    <w:p/>
    <w:p>
      <w:pPr>
        <w:pStyle w:val="2"/>
      </w:pPr>
    </w:p>
    <w:p>
      <w:pPr>
        <w:pStyle w:val="2"/>
      </w:pPr>
    </w:p>
    <w:p/>
    <w:p>
      <w:pPr>
        <w:pStyle w:val="2"/>
      </w:pPr>
    </w:p>
    <w:p/>
    <w:p>
      <w:pPr>
        <w:pStyle w:val="2"/>
      </w:pPr>
    </w:p>
    <w:p>
      <w:pPr>
        <w:pStyle w:val="2"/>
        <w:rPr>
          <w:rFonts w:hint="default"/>
          <w:lang w:val="en-US" w:eastAsia="zh-CN"/>
        </w:rPr>
      </w:pPr>
    </w:p>
    <w:p>
      <w:pPr>
        <w:widowControl/>
        <w:autoSpaceDE/>
        <w:autoSpaceDN/>
        <w:jc w:val="center"/>
        <w:rPr>
          <w:rFonts w:hint="default" w:ascii="Times New Roman" w:hAnsi="Times New Roman" w:eastAsia="宋体" w:cs="Times New Roman"/>
          <w:b/>
          <w:lang w:val="en-US" w:eastAsia="zh-CN" w:bidi="ar-SA"/>
        </w:rPr>
      </w:pPr>
    </w:p>
    <w:p>
      <w:pPr>
        <w:widowControl/>
        <w:autoSpaceDE/>
        <w:autoSpaceDN/>
        <w:rPr>
          <w:rFonts w:hint="default" w:ascii="Times New Roman" w:hAnsi="Times New Roman" w:eastAsia="宋体" w:cs="Times New Roman"/>
          <w:b/>
          <w:lang w:val="en-US" w:eastAsia="zh-CN" w:bidi="ar-SA"/>
        </w:rPr>
      </w:pPr>
      <w:r>
        <w:rPr>
          <w:rFonts w:hint="default" w:ascii="Times New Roman" w:hAnsi="Times New Roman" w:eastAsia="宋体" w:cs="Times New Roman"/>
          <w:b/>
          <w:lang w:val="en-US" w:eastAsia="zh-CN" w:bidi="ar-SA"/>
        </w:rPr>
        <w:br w:type="page"/>
      </w:r>
    </w:p>
    <w:p>
      <w:pPr>
        <w:pStyle w:val="37"/>
        <w:keepNext w:val="0"/>
        <w:keepLines w:val="0"/>
        <w:pageBreakBefore w:val="0"/>
        <w:widowControl w:val="0"/>
        <w:numPr>
          <w:ilvl w:val="0"/>
          <w:numId w:val="0"/>
        </w:numPr>
        <w:tabs>
          <w:tab w:val="left" w:pos="1276"/>
        </w:tabs>
        <w:kinsoku/>
        <w:wordWrap/>
        <w:overflowPunct/>
        <w:topLinePunct w:val="0"/>
        <w:autoSpaceDE/>
        <w:autoSpaceDN/>
        <w:bidi w:val="0"/>
        <w:adjustRightInd/>
        <w:snapToGrid/>
        <w:spacing w:line="500" w:lineRule="exact"/>
        <w:ind w:left="107" w:leftChars="0" w:right="0" w:rightChars="0" w:firstLine="0" w:firstLineChars="0"/>
        <w:jc w:val="both"/>
        <w:textAlignment w:val="auto"/>
        <w:outlineLvl w:val="0"/>
        <w:rPr>
          <w:rFonts w:hint="default" w:ascii="Times New Roman" w:hAnsi="Times New Roman" w:eastAsia="宋体" w:cs="Times New Roman"/>
          <w:color w:val="auto"/>
          <w:sz w:val="28"/>
          <w:szCs w:val="28"/>
          <w:highlight w:val="none"/>
          <w:u w:val="none"/>
          <w:lang w:val="en-US" w:eastAsia="zh-CN"/>
        </w:rPr>
      </w:pPr>
      <w:bookmarkStart w:id="1733" w:name="_Toc12313"/>
      <w:bookmarkStart w:id="1734" w:name="_Toc7215"/>
      <w:bookmarkStart w:id="1735" w:name="_Toc27742"/>
      <w:bookmarkStart w:id="1736" w:name="_Toc3884"/>
      <w:r>
        <w:rPr>
          <w:rFonts w:hint="eastAsia" w:ascii="Times New Roman" w:hAnsi="Times New Roman" w:cs="Times New Roman"/>
          <w:color w:val="auto"/>
          <w:sz w:val="28"/>
          <w:szCs w:val="28"/>
          <w:highlight w:val="none"/>
          <w:u w:val="none"/>
          <w:lang w:val="en-US" w:eastAsia="zh-CN"/>
        </w:rPr>
        <w:t>6</w:t>
      </w:r>
      <w:r>
        <w:rPr>
          <w:rFonts w:hint="default" w:ascii="Times New Roman" w:hAnsi="Times New Roman" w:eastAsia="宋体" w:cs="Times New Roman"/>
          <w:color w:val="auto"/>
          <w:sz w:val="28"/>
          <w:szCs w:val="28"/>
          <w:highlight w:val="none"/>
          <w:u w:val="none"/>
          <w:lang w:val="en-US" w:eastAsia="zh-CN"/>
        </w:rPr>
        <w:t>）加油站人员安全资格证及其继续教育</w:t>
      </w:r>
      <w:bookmarkEnd w:id="1733"/>
      <w:bookmarkEnd w:id="1734"/>
      <w:bookmarkEnd w:id="1735"/>
      <w:bookmarkEnd w:id="1736"/>
    </w:p>
    <w:p>
      <w:pPr>
        <w:widowControl/>
        <w:autoSpaceDE/>
        <w:autoSpaceDN/>
        <w:jc w:val="center"/>
        <w:rPr>
          <w:rFonts w:hint="default" w:ascii="Times New Roman" w:hAnsi="Times New Roman" w:eastAsia="宋体" w:cs="Times New Roman"/>
          <w:lang w:val="en-US" w:eastAsia="zh-CN"/>
        </w:rPr>
      </w:pPr>
      <w:r>
        <w:drawing>
          <wp:inline distT="0" distB="0" distL="114300" distR="114300">
            <wp:extent cx="4581525" cy="2924175"/>
            <wp:effectExtent l="0" t="0" r="9525" b="9525"/>
            <wp:docPr id="20"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4"/>
                    <pic:cNvPicPr>
                      <a:picLocks noChangeAspect="1"/>
                    </pic:cNvPicPr>
                  </pic:nvPicPr>
                  <pic:blipFill>
                    <a:blip r:embed="rId84"/>
                    <a:stretch>
                      <a:fillRect/>
                    </a:stretch>
                  </pic:blipFill>
                  <pic:spPr>
                    <a:xfrm>
                      <a:off x="0" y="0"/>
                      <a:ext cx="4581525" cy="2924175"/>
                    </a:xfrm>
                    <a:prstGeom prst="rect">
                      <a:avLst/>
                    </a:prstGeom>
                    <a:noFill/>
                    <a:ln>
                      <a:noFill/>
                    </a:ln>
                  </pic:spPr>
                </pic:pic>
              </a:graphicData>
            </a:graphic>
          </wp:inline>
        </w:drawing>
      </w:r>
    </w:p>
    <w:p>
      <w:pPr>
        <w:widowControl/>
        <w:autoSpaceDE/>
        <w:autoSpaceDN/>
        <w:jc w:val="center"/>
        <w:rPr>
          <w:rFonts w:hint="default" w:ascii="Times New Roman" w:hAnsi="Times New Roman" w:eastAsia="宋体" w:cs="Times New Roman"/>
          <w:lang w:val="en-US" w:eastAsia="zh-CN"/>
        </w:rPr>
      </w:pPr>
    </w:p>
    <w:p>
      <w:pPr>
        <w:widowControl/>
        <w:autoSpaceDE/>
        <w:autoSpaceDN/>
        <w:jc w:val="center"/>
        <w:rPr>
          <w:rFonts w:hint="default" w:ascii="Times New Roman" w:hAnsi="Times New Roman" w:eastAsia="宋体" w:cs="Times New Roman"/>
          <w:lang w:val="en-US" w:eastAsia="zh-CN"/>
        </w:rPr>
      </w:pPr>
      <w:r>
        <w:drawing>
          <wp:inline distT="0" distB="0" distL="114300" distR="114300">
            <wp:extent cx="5942330" cy="3074035"/>
            <wp:effectExtent l="0" t="0" r="1270" b="12065"/>
            <wp:docPr id="21"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5"/>
                    <pic:cNvPicPr>
                      <a:picLocks noChangeAspect="1"/>
                    </pic:cNvPicPr>
                  </pic:nvPicPr>
                  <pic:blipFill>
                    <a:blip r:embed="rId85"/>
                    <a:stretch>
                      <a:fillRect/>
                    </a:stretch>
                  </pic:blipFill>
                  <pic:spPr>
                    <a:xfrm>
                      <a:off x="0" y="0"/>
                      <a:ext cx="5942330" cy="3074035"/>
                    </a:xfrm>
                    <a:prstGeom prst="rect">
                      <a:avLst/>
                    </a:prstGeom>
                    <a:noFill/>
                    <a:ln>
                      <a:noFill/>
                    </a:ln>
                  </pic:spPr>
                </pic:pic>
              </a:graphicData>
            </a:graphic>
          </wp:inline>
        </w:drawing>
      </w:r>
    </w:p>
    <w:p>
      <w:pPr>
        <w:widowControl/>
        <w:autoSpaceDE/>
        <w:autoSpaceDN/>
        <w:jc w:val="center"/>
        <w:rPr>
          <w:rFonts w:hint="default" w:ascii="Times New Roman" w:hAnsi="Times New Roman" w:eastAsia="宋体" w:cs="Times New Roman"/>
          <w:lang w:val="en-US" w:eastAsia="zh-CN"/>
        </w:rPr>
      </w:pPr>
    </w:p>
    <w:p>
      <w:pPr>
        <w:jc w:val="center"/>
        <w:rPr>
          <w:rFonts w:hint="default"/>
          <w:lang w:val="en-US" w:eastAsia="zh-CN"/>
        </w:rPr>
      </w:pPr>
    </w:p>
    <w:p>
      <w:pPr>
        <w:jc w:val="center"/>
        <w:rPr>
          <w:rFonts w:hint="default"/>
          <w:lang w:val="en-US" w:eastAsia="zh-CN"/>
        </w:rPr>
      </w:pPr>
    </w:p>
    <w:p>
      <w:pPr>
        <w:widowControl/>
        <w:autoSpaceDE/>
        <w:autoSpaceDN/>
        <w:jc w:val="center"/>
        <w:rPr>
          <w:rFonts w:hint="default"/>
          <w:lang w:val="en-US" w:eastAsia="zh-CN"/>
        </w:rPr>
      </w:pPr>
    </w:p>
    <w:p>
      <w:pPr>
        <w:widowControl/>
        <w:autoSpaceDE/>
        <w:autoSpaceDN/>
        <w:jc w:val="center"/>
        <w:rPr>
          <w:rFonts w:hint="default"/>
          <w:lang w:val="en-US" w:eastAsia="zh-CN"/>
        </w:rPr>
      </w:pPr>
    </w:p>
    <w:p>
      <w:pPr>
        <w:pStyle w:val="2"/>
        <w:rPr>
          <w:rFonts w:hint="default"/>
          <w:lang w:val="en-US" w:eastAsia="zh-CN"/>
        </w:rPr>
      </w:pPr>
    </w:p>
    <w:p>
      <w:pPr>
        <w:rPr>
          <w:rFonts w:hint="default"/>
          <w:lang w:val="en-US" w:eastAsia="zh-CN"/>
        </w:rPr>
      </w:pPr>
    </w:p>
    <w:p>
      <w:pPr>
        <w:pStyle w:val="2"/>
        <w:rPr>
          <w:rFonts w:hint="default"/>
          <w:lang w:val="en-US" w:eastAsia="zh-CN"/>
        </w:rPr>
      </w:pPr>
    </w:p>
    <w:p>
      <w:pPr>
        <w:rPr>
          <w:rFonts w:hint="default"/>
          <w:lang w:val="en-US" w:eastAsia="zh-CN"/>
        </w:rPr>
      </w:pPr>
    </w:p>
    <w:p>
      <w:pPr>
        <w:pStyle w:val="2"/>
        <w:rPr>
          <w:rFonts w:hint="default"/>
          <w:lang w:val="en-US" w:eastAsia="zh-CN"/>
        </w:rPr>
      </w:pPr>
    </w:p>
    <w:p>
      <w:pPr>
        <w:rPr>
          <w:rFonts w:hint="default"/>
          <w:lang w:val="en-US" w:eastAsia="zh-CN"/>
        </w:rPr>
      </w:pPr>
    </w:p>
    <w:p>
      <w:pPr>
        <w:pStyle w:val="2"/>
        <w:rPr>
          <w:rFonts w:hint="default"/>
          <w:lang w:val="en-US" w:eastAsia="zh-CN"/>
        </w:rPr>
      </w:pPr>
    </w:p>
    <w:p>
      <w:pPr>
        <w:rPr>
          <w:rFonts w:hint="default"/>
          <w:lang w:val="en-US" w:eastAsia="zh-CN"/>
        </w:rPr>
      </w:pPr>
    </w:p>
    <w:p>
      <w:pPr>
        <w:pStyle w:val="2"/>
        <w:jc w:val="center"/>
        <w:rPr>
          <w:rFonts w:hint="default"/>
          <w:lang w:val="en-US" w:eastAsia="zh-CN"/>
        </w:rPr>
      </w:pPr>
      <w:r>
        <w:drawing>
          <wp:inline distT="0" distB="0" distL="114300" distR="114300">
            <wp:extent cx="3943350" cy="2428875"/>
            <wp:effectExtent l="0" t="0" r="0" b="9525"/>
            <wp:docPr id="22"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6"/>
                    <pic:cNvPicPr>
                      <a:picLocks noChangeAspect="1"/>
                    </pic:cNvPicPr>
                  </pic:nvPicPr>
                  <pic:blipFill>
                    <a:blip r:embed="rId86"/>
                    <a:stretch>
                      <a:fillRect/>
                    </a:stretch>
                  </pic:blipFill>
                  <pic:spPr>
                    <a:xfrm>
                      <a:off x="0" y="0"/>
                      <a:ext cx="3943350" cy="2428875"/>
                    </a:xfrm>
                    <a:prstGeom prst="rect">
                      <a:avLst/>
                    </a:prstGeom>
                    <a:noFill/>
                    <a:ln>
                      <a:noFill/>
                    </a:ln>
                  </pic:spPr>
                </pic:pic>
              </a:graphicData>
            </a:graphic>
          </wp:inline>
        </w:drawing>
      </w:r>
    </w:p>
    <w:p>
      <w:pPr>
        <w:rPr>
          <w:rFonts w:hint="default"/>
          <w:lang w:val="en-US" w:eastAsia="zh-CN"/>
        </w:rPr>
      </w:pPr>
    </w:p>
    <w:p>
      <w:pPr>
        <w:pStyle w:val="2"/>
        <w:rPr>
          <w:rFonts w:hint="default"/>
          <w:lang w:val="en-US" w:eastAsia="zh-CN"/>
        </w:rPr>
      </w:pPr>
      <w:r>
        <w:drawing>
          <wp:inline distT="0" distB="0" distL="114300" distR="114300">
            <wp:extent cx="5562600" cy="2990850"/>
            <wp:effectExtent l="0" t="0" r="0" b="0"/>
            <wp:docPr id="24"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7"/>
                    <pic:cNvPicPr>
                      <a:picLocks noChangeAspect="1"/>
                    </pic:cNvPicPr>
                  </pic:nvPicPr>
                  <pic:blipFill>
                    <a:blip r:embed="rId87"/>
                    <a:stretch>
                      <a:fillRect/>
                    </a:stretch>
                  </pic:blipFill>
                  <pic:spPr>
                    <a:xfrm>
                      <a:off x="0" y="0"/>
                      <a:ext cx="5562600" cy="2990850"/>
                    </a:xfrm>
                    <a:prstGeom prst="rect">
                      <a:avLst/>
                    </a:prstGeom>
                    <a:noFill/>
                    <a:ln>
                      <a:noFill/>
                    </a:ln>
                  </pic:spPr>
                </pic:pic>
              </a:graphicData>
            </a:graphic>
          </wp:inline>
        </w:drawing>
      </w:r>
    </w:p>
    <w:p>
      <w:pPr>
        <w:rPr>
          <w:rFonts w:hint="default"/>
          <w:lang w:val="en-US" w:eastAsia="zh-CN"/>
        </w:rPr>
      </w:pPr>
    </w:p>
    <w:p>
      <w:pPr>
        <w:pStyle w:val="2"/>
        <w:rPr>
          <w:rFonts w:hint="default"/>
          <w:lang w:val="en-US" w:eastAsia="zh-CN"/>
        </w:rPr>
      </w:pPr>
      <w:r>
        <w:drawing>
          <wp:anchor distT="0" distB="0" distL="114300" distR="114300" simplePos="0" relativeHeight="251668480" behindDoc="0" locked="0" layoutInCell="1" allowOverlap="1">
            <wp:simplePos x="0" y="0"/>
            <wp:positionH relativeFrom="column">
              <wp:posOffset>-85090</wp:posOffset>
            </wp:positionH>
            <wp:positionV relativeFrom="paragraph">
              <wp:posOffset>62230</wp:posOffset>
            </wp:positionV>
            <wp:extent cx="5935980" cy="1782445"/>
            <wp:effectExtent l="0" t="0" r="7620" b="8255"/>
            <wp:wrapSquare wrapText="bothSides"/>
            <wp:docPr id="25"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8"/>
                    <pic:cNvPicPr>
                      <a:picLocks noChangeAspect="1"/>
                    </pic:cNvPicPr>
                  </pic:nvPicPr>
                  <pic:blipFill>
                    <a:blip r:embed="rId88"/>
                    <a:stretch>
                      <a:fillRect/>
                    </a:stretch>
                  </pic:blipFill>
                  <pic:spPr>
                    <a:xfrm>
                      <a:off x="0" y="0"/>
                      <a:ext cx="5935980" cy="1782445"/>
                    </a:xfrm>
                    <a:prstGeom prst="rect">
                      <a:avLst/>
                    </a:prstGeom>
                    <a:noFill/>
                    <a:ln>
                      <a:noFill/>
                    </a:ln>
                  </pic:spPr>
                </pic:pic>
              </a:graphicData>
            </a:graphic>
          </wp:anchor>
        </w:drawing>
      </w:r>
    </w:p>
    <w:p>
      <w:pPr>
        <w:rPr>
          <w:rFonts w:hint="default"/>
          <w:lang w:val="en-US" w:eastAsia="zh-CN"/>
        </w:rPr>
      </w:pPr>
    </w:p>
    <w:p>
      <w:pPr>
        <w:pStyle w:val="2"/>
        <w:rPr>
          <w:rFonts w:hint="default"/>
          <w:lang w:val="en-US" w:eastAsia="zh-CN"/>
        </w:rPr>
      </w:pPr>
    </w:p>
    <w:p>
      <w:pPr>
        <w:rPr>
          <w:rFonts w:hint="default"/>
          <w:lang w:val="en-US" w:eastAsia="zh-CN"/>
        </w:rPr>
      </w:pPr>
    </w:p>
    <w:p>
      <w:pPr>
        <w:pStyle w:val="2"/>
        <w:jc w:val="center"/>
      </w:pPr>
    </w:p>
    <w:p/>
    <w:p>
      <w:pPr>
        <w:pStyle w:val="2"/>
        <w:rPr>
          <w:rFonts w:hint="default"/>
          <w:lang w:val="en-US" w:eastAsia="zh-CN"/>
        </w:rPr>
      </w:pPr>
    </w:p>
    <w:p>
      <w:pPr>
        <w:widowControl/>
        <w:autoSpaceDE/>
        <w:autoSpaceDN/>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br w:type="page"/>
      </w:r>
    </w:p>
    <w:p>
      <w:pPr>
        <w:pStyle w:val="37"/>
        <w:keepNext w:val="0"/>
        <w:keepLines w:val="0"/>
        <w:pageBreakBefore w:val="0"/>
        <w:widowControl w:val="0"/>
        <w:numPr>
          <w:ilvl w:val="0"/>
          <w:numId w:val="0"/>
        </w:numPr>
        <w:tabs>
          <w:tab w:val="left" w:pos="1276"/>
        </w:tabs>
        <w:kinsoku/>
        <w:wordWrap/>
        <w:overflowPunct/>
        <w:topLinePunct w:val="0"/>
        <w:autoSpaceDE/>
        <w:autoSpaceDN/>
        <w:bidi w:val="0"/>
        <w:adjustRightInd/>
        <w:snapToGrid/>
        <w:spacing w:line="500" w:lineRule="exact"/>
        <w:ind w:left="107" w:leftChars="0" w:right="0" w:rightChars="0" w:firstLine="0" w:firstLineChars="0"/>
        <w:jc w:val="both"/>
        <w:textAlignment w:val="auto"/>
        <w:outlineLvl w:val="0"/>
        <w:rPr>
          <w:rFonts w:hint="default" w:ascii="Times New Roman" w:hAnsi="Times New Roman" w:eastAsia="宋体" w:cs="Times New Roman"/>
          <w:sz w:val="28"/>
          <w:szCs w:val="28"/>
          <w:highlight w:val="none"/>
          <w:lang w:val="en-US" w:eastAsia="zh-CN"/>
        </w:rPr>
      </w:pPr>
      <w:bookmarkStart w:id="1737" w:name="_Toc12104"/>
      <w:bookmarkStart w:id="1738" w:name="_Toc8013"/>
      <w:bookmarkStart w:id="1739" w:name="_Toc17348"/>
      <w:bookmarkStart w:id="1740" w:name="_Toc21330"/>
      <w:r>
        <w:rPr>
          <w:rFonts w:hint="eastAsia" w:ascii="Times New Roman" w:hAnsi="Times New Roman" w:cs="Times New Roman"/>
          <w:sz w:val="28"/>
          <w:szCs w:val="28"/>
          <w:highlight w:val="none"/>
          <w:lang w:val="en-US" w:eastAsia="zh-CN"/>
        </w:rPr>
        <w:t>7</w:t>
      </w:r>
      <w:r>
        <w:rPr>
          <w:rFonts w:hint="default" w:ascii="Times New Roman" w:hAnsi="Times New Roman" w:eastAsia="宋体" w:cs="Times New Roman"/>
          <w:sz w:val="28"/>
          <w:szCs w:val="28"/>
          <w:highlight w:val="none"/>
          <w:lang w:val="en-US" w:eastAsia="zh-CN"/>
        </w:rPr>
        <w:t>）设计单位资质证明文件</w:t>
      </w:r>
      <w:bookmarkEnd w:id="1737"/>
      <w:bookmarkEnd w:id="1738"/>
      <w:bookmarkEnd w:id="1739"/>
      <w:bookmarkEnd w:id="1740"/>
    </w:p>
    <w:p>
      <w:pPr>
        <w:widowControl/>
        <w:autoSpaceDE/>
        <w:autoSpaceDN/>
        <w:jc w:val="center"/>
        <w:rPr>
          <w:rFonts w:hint="default" w:ascii="Times New Roman" w:hAnsi="Times New Roman" w:eastAsia="宋体" w:cs="Times New Roman"/>
          <w:lang w:val="en-US" w:eastAsia="zh-CN"/>
        </w:rPr>
      </w:pPr>
      <w:r>
        <w:rPr>
          <w:rFonts w:hint="eastAsia" w:eastAsiaTheme="minorEastAsia"/>
          <w:lang w:eastAsia="zh-CN"/>
        </w:rPr>
        <w:drawing>
          <wp:inline distT="0" distB="0" distL="114300" distR="114300">
            <wp:extent cx="5257800" cy="7437755"/>
            <wp:effectExtent l="0" t="0" r="0" b="10795"/>
            <wp:docPr id="40" name="图片 40" descr="设计营业执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descr="设计营业执照"/>
                    <pic:cNvPicPr>
                      <a:picLocks noChangeAspect="1"/>
                    </pic:cNvPicPr>
                  </pic:nvPicPr>
                  <pic:blipFill>
                    <a:blip r:embed="rId89"/>
                    <a:stretch>
                      <a:fillRect/>
                    </a:stretch>
                  </pic:blipFill>
                  <pic:spPr>
                    <a:xfrm>
                      <a:off x="0" y="0"/>
                      <a:ext cx="5257800" cy="7437755"/>
                    </a:xfrm>
                    <a:prstGeom prst="rect">
                      <a:avLst/>
                    </a:prstGeom>
                  </pic:spPr>
                </pic:pic>
              </a:graphicData>
            </a:graphic>
          </wp:inline>
        </w:drawing>
      </w:r>
    </w:p>
    <w:p>
      <w:pPr>
        <w:jc w:val="center"/>
        <w:rPr>
          <w:rFonts w:hint="default" w:ascii="Times New Roman" w:hAnsi="Times New Roman" w:eastAsia="宋体" w:cs="Times New Roman"/>
          <w:lang w:eastAsia="zh-CN"/>
        </w:rPr>
      </w:pPr>
      <w:r>
        <w:rPr>
          <w:rFonts w:hint="default" w:ascii="Times New Roman" w:hAnsi="Times New Roman" w:eastAsia="宋体" w:cs="Times New Roman"/>
          <w:lang w:eastAsia="zh-CN"/>
        </w:rPr>
        <w:drawing>
          <wp:inline distT="0" distB="0" distL="114300" distR="114300">
            <wp:extent cx="0" cy="0"/>
            <wp:effectExtent l="0" t="0" r="0" b="0"/>
            <wp:docPr id="481" name="图片 481" descr="乙级资质（正）3.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1" name="图片 481" descr="乙级资质（正）3.22"/>
                    <pic:cNvPicPr>
                      <a:picLocks noChangeAspect="1"/>
                    </pic:cNvPicPr>
                  </pic:nvPicPr>
                  <pic:blipFill>
                    <a:blip r:embed="rId90"/>
                    <a:stretch>
                      <a:fillRect/>
                    </a:stretch>
                  </pic:blipFill>
                  <pic:spPr>
                    <a:xfrm>
                      <a:off x="0" y="0"/>
                      <a:ext cx="0" cy="0"/>
                    </a:xfrm>
                    <a:prstGeom prst="rect">
                      <a:avLst/>
                    </a:prstGeom>
                  </pic:spPr>
                </pic:pic>
              </a:graphicData>
            </a:graphic>
          </wp:inline>
        </w:drawing>
      </w:r>
    </w:p>
    <w:p>
      <w:pPr>
        <w:widowControl/>
        <w:autoSpaceDE/>
        <w:autoSpaceDN/>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br w:type="page"/>
      </w:r>
    </w:p>
    <w:p>
      <w:pPr>
        <w:jc w:val="center"/>
        <w:rPr>
          <w:rFonts w:hint="default"/>
          <w:lang w:eastAsia="zh-CN"/>
        </w:rPr>
      </w:pPr>
      <w:r>
        <w:drawing>
          <wp:inline distT="0" distB="0" distL="114300" distR="114300">
            <wp:extent cx="5248275" cy="7686675"/>
            <wp:effectExtent l="0" t="0" r="9525" b="9525"/>
            <wp:docPr id="43"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18"/>
                    <pic:cNvPicPr>
                      <a:picLocks noChangeAspect="1"/>
                    </pic:cNvPicPr>
                  </pic:nvPicPr>
                  <pic:blipFill>
                    <a:blip r:embed="rId91"/>
                    <a:stretch>
                      <a:fillRect/>
                    </a:stretch>
                  </pic:blipFill>
                  <pic:spPr>
                    <a:xfrm>
                      <a:off x="0" y="0"/>
                      <a:ext cx="5248275" cy="7686675"/>
                    </a:xfrm>
                    <a:prstGeom prst="rect">
                      <a:avLst/>
                    </a:prstGeom>
                    <a:noFill/>
                    <a:ln>
                      <a:noFill/>
                    </a:ln>
                  </pic:spPr>
                </pic:pic>
              </a:graphicData>
            </a:graphic>
          </wp:inline>
        </w:drawing>
      </w:r>
    </w:p>
    <w:p>
      <w:pPr>
        <w:rPr>
          <w:rFonts w:hint="default"/>
          <w:lang w:eastAsia="zh-CN"/>
        </w:rPr>
      </w:pPr>
    </w:p>
    <w:p>
      <w:pPr>
        <w:jc w:val="center"/>
        <w:rPr>
          <w:rFonts w:hint="default" w:ascii="Times New Roman" w:hAnsi="Times New Roman" w:eastAsia="宋体" w:cs="Times New Roman"/>
          <w:lang w:eastAsia="zh-CN"/>
        </w:rPr>
        <w:sectPr>
          <w:headerReference r:id="rId9" w:type="default"/>
          <w:footerReference r:id="rId10" w:type="default"/>
          <w:pgSz w:w="11910" w:h="16840"/>
          <w:pgMar w:top="1417" w:right="1134" w:bottom="1134" w:left="1417" w:header="0" w:footer="737" w:gutter="0"/>
          <w:cols w:space="720" w:num="1"/>
        </w:sectPr>
      </w:pPr>
    </w:p>
    <w:p>
      <w:pPr>
        <w:pStyle w:val="37"/>
        <w:keepNext w:val="0"/>
        <w:keepLines w:val="0"/>
        <w:pageBreakBefore w:val="0"/>
        <w:widowControl w:val="0"/>
        <w:numPr>
          <w:ilvl w:val="0"/>
          <w:numId w:val="0"/>
        </w:numPr>
        <w:tabs>
          <w:tab w:val="left" w:pos="1276"/>
        </w:tabs>
        <w:kinsoku/>
        <w:wordWrap/>
        <w:overflowPunct/>
        <w:topLinePunct w:val="0"/>
        <w:autoSpaceDE/>
        <w:autoSpaceDN/>
        <w:bidi w:val="0"/>
        <w:adjustRightInd/>
        <w:snapToGrid/>
        <w:spacing w:line="500" w:lineRule="exact"/>
        <w:ind w:left="107" w:leftChars="0" w:right="0" w:rightChars="0" w:firstLine="0" w:firstLineChars="0"/>
        <w:jc w:val="both"/>
        <w:textAlignment w:val="auto"/>
        <w:outlineLvl w:val="0"/>
        <w:rPr>
          <w:rFonts w:hint="default" w:ascii="Times New Roman" w:hAnsi="Times New Roman" w:eastAsia="宋体" w:cs="Times New Roman"/>
          <w:sz w:val="28"/>
          <w:szCs w:val="28"/>
          <w:highlight w:val="none"/>
          <w:lang w:val="en-US" w:eastAsia="zh-CN"/>
        </w:rPr>
      </w:pPr>
      <w:bookmarkStart w:id="1741" w:name="_Toc3256"/>
      <w:bookmarkStart w:id="1742" w:name="_Toc1808"/>
      <w:r>
        <w:rPr>
          <w:rFonts w:hint="eastAsia" w:ascii="Times New Roman" w:hAnsi="Times New Roman" w:cs="Times New Roman"/>
          <w:sz w:val="28"/>
          <w:szCs w:val="28"/>
          <w:highlight w:val="none"/>
          <w:lang w:val="en-US" w:eastAsia="zh-CN"/>
        </w:rPr>
        <w:t>8</w:t>
      </w:r>
      <w:r>
        <w:rPr>
          <w:rFonts w:hint="default" w:ascii="Times New Roman" w:hAnsi="Times New Roman" w:eastAsia="宋体" w:cs="Times New Roman"/>
          <w:sz w:val="28"/>
          <w:szCs w:val="28"/>
          <w:highlight w:val="none"/>
          <w:lang w:val="en-US" w:eastAsia="zh-CN"/>
        </w:rPr>
        <w:t>）</w:t>
      </w:r>
      <w:r>
        <w:rPr>
          <w:rFonts w:hint="eastAsia" w:ascii="Times New Roman" w:hAnsi="Times New Roman" w:cs="Times New Roman"/>
          <w:sz w:val="28"/>
          <w:szCs w:val="28"/>
          <w:highlight w:val="none"/>
          <w:lang w:val="en-US" w:eastAsia="zh-CN"/>
        </w:rPr>
        <w:t>总平面图</w:t>
      </w:r>
      <w:bookmarkEnd w:id="1712"/>
      <w:bookmarkEnd w:id="1713"/>
      <w:bookmarkEnd w:id="1741"/>
      <w:bookmarkEnd w:id="1742"/>
    </w:p>
    <w:p>
      <w:pPr>
        <w:jc w:val="center"/>
        <w:rPr>
          <w:rFonts w:hint="eastAsia" w:eastAsia="宋体"/>
          <w:lang w:eastAsia="zh-CN"/>
        </w:rPr>
      </w:pPr>
    </w:p>
    <w:sectPr>
      <w:pgSz w:w="11850" w:h="16783"/>
      <w:pgMar w:top="1417" w:right="1134" w:bottom="1134" w:left="1417" w:header="0" w:footer="737"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decorative"/>
    <w:pitch w:val="default"/>
    <w:sig w:usb0="800002BF" w:usb1="38CF7CFA" w:usb2="00000016" w:usb3="00000000" w:csb0="00040001" w:csb1="00000000"/>
  </w:font>
  <w:font w:name="仿宋_GB2312">
    <w:altName w:val="仿宋"/>
    <w:panose1 w:val="02010609030101010101"/>
    <w:charset w:val="86"/>
    <w:family w:val="decorative"/>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Arial Narrow">
    <w:panose1 w:val="020B0606020202030204"/>
    <w:charset w:val="00"/>
    <w:family w:val="roman"/>
    <w:pitch w:val="default"/>
    <w:sig w:usb0="00000287" w:usb1="00000800" w:usb2="00000000" w:usb3="00000000" w:csb0="2000009F" w:csb1="DFD70000"/>
  </w:font>
  <w:font w:name="新宋体">
    <w:panose1 w:val="02010609030101010101"/>
    <w:charset w:val="86"/>
    <w:family w:val="auto"/>
    <w:pitch w:val="default"/>
    <w:sig w:usb0="0000028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p>
  <w:p>
    <w:pPr>
      <w:pStyle w:val="11"/>
      <w:spacing w:line="14" w:lineRule="auto"/>
      <w:rPr>
        <w:sz w:val="19"/>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p>
  <w:p>
    <w:pPr>
      <w:pStyle w:val="11"/>
      <w:spacing w:line="14" w:lineRule="auto"/>
      <w:rPr>
        <w:sz w:val="19"/>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r>
      <w:rPr>
        <w:lang w:val="en-US" w:bidi="ar-SA"/>
      </w:rPr>
      <w:pict>
        <v:shape id="_x0000_s2050" o:spid="_x0000_s2050" o:spt="202" type="#_x0000_t202" style="position:absolute;left:0pt;margin-left:220.65pt;margin-top:-7.95pt;height:17.65pt;width:18.35pt;mso-position-horizontal-relative:margin;z-index:251659264;mso-width-relative:page;mso-height-relative:page;" filled="f" stroked="f" coordsize="21600,21600" o:gfxdata="UEsDBAoAAAAAAIdO4kAAAAAAAAAAAAAAAAAEAAAAZHJzL1BLAwQUAAAACACHTuJA3/4jT9gAAAAK&#10;AQAADwAAAGRycy9kb3ducmV2LnhtbE2Py07DMBBF90j8gzVI7FrbEKANcbrgseNZQIKdE5skwh5H&#10;tpOWv2dYwXI0R/eeW2323rHZxjQEVCCXApjFNpgBOwWvL7eLFbCUNRrtAloF3zbBpj48qHRpwg6f&#10;7bzNHaMQTKVW0Oc8lpyntrdep2UYLdLvM0SvM52x4ybqHYV7x0+EOOdeD0gNvR7tVW/br+3kFbj3&#10;FO8akT/m6+4+Pz3y6e1GPih1fCTFJbBs9/kPhl99UoeanJowoUnMKSgKeUqogoU8WwMjorhY0bqG&#10;0HUBvK74/wn1D1BLAwQUAAAACACHTuJAftDsABcCAAALBAAADgAAAGRycy9lMm9Eb2MueG1srVPB&#10;jtMwEL0j8Q+W7zRpWpalaroquypCqtiVCuLsOnYTyfYY221SPgD+gBMX7nxXv4Ox03QRcEJcJpOZ&#10;8Yzfm+f5TacVOQjnGzAlHY9ySoThUDVmV9L371bPrinxgZmKKTCipEfh6c3i6ZN5a2eigBpUJRzB&#10;JsbPWlvSOgQ7yzLPa6GZH4EVBpMSnGYBf90uqxxrsbtWWZHnV1kLrrIOuPAeo3d9ki5SfykFD/dS&#10;ehGIKineLSTrkt1Gmy3mbLZzzNYNP1+D/cMtNGsMDr20umOBkb1r/milG+7AgwwjDjoDKRsuEgZE&#10;M85/Q7OpmRUJC5Lj7YUm///a8reHB0eaqqTTfEqJYRqXdPr65fTtx+n7ZxKDSFFr/QwrNxZrQ/cK&#10;Olz1EPcYjMg76XT8IiaCeST7eCFYdIFwDBaT4uV4QgnHVFFMi+sXsUv2eNg6H14L0CQ6JXW4v0Qr&#10;O6x96EuHkjjLwKpRKu1QGdKW9GryPE8HLhlsrgzOiBD6q0YvdNvujGsL1RFhOei14S1fNTh8zXx4&#10;YA7FgEhQ4OEejVSAQ+DsUVKD+/S3eKzHHWGWkhbFVVL/cc+coES9Mbi9qMTBcYOzHRyz17eAeh3j&#10;07E8uXjABTW40oH+gLpfximYYobjrJKGwb0NvcTx3XCxXKYi1JtlYW02lsfWPX3LfQDZJGYjLT0X&#10;Z7ZQcWk359cRJf3rf6p6fMOLn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N/+I0/YAAAACgEAAA8A&#10;AAAAAAAAAQAgAAAAIgAAAGRycy9kb3ducmV2LnhtbFBLAQIUABQAAAAIAIdO4kB+0OwAFwIAAAsE&#10;AAAOAAAAAAAAAAEAIAAAACcBAABkcnMvZTJvRG9jLnhtbFBLBQYAAAAABgAGAFkBAACwBQAAAAA=&#10;">
          <v:path/>
          <v:fill on="f" focussize="0,0"/>
          <v:stroke on="f" weight="0.5pt" joinstyle="miter"/>
          <v:imagedata o:title=""/>
          <o:lock v:ext="edit"/>
          <v:textbox inset="0mm,0mm,0mm,0mm">
            <w:txbxContent>
              <w:sdt>
                <w:sdtPr>
                  <w:id w:val="-40906605"/>
                </w:sdtPr>
                <w:sdtContent>
                  <w:p>
                    <w:pPr>
                      <w:pStyle w:val="18"/>
                    </w:pPr>
                    <w:r>
                      <w:fldChar w:fldCharType="begin"/>
                    </w:r>
                    <w:r>
                      <w:instrText xml:space="preserve">PAGE   \* MERGEFORMAT</w:instrText>
                    </w:r>
                    <w:r>
                      <w:fldChar w:fldCharType="separate"/>
                    </w:r>
                    <w:r>
                      <w:t>97</w:t>
                    </w:r>
                    <w:r>
                      <w:fldChar w:fldCharType="end"/>
                    </w:r>
                  </w:p>
                </w:sdtContent>
              </w:sdt>
            </w:txbxContent>
          </v:textbox>
        </v:shape>
      </w:pict>
    </w:r>
  </w:p>
  <w:p>
    <w:pPr>
      <w:pStyle w:val="11"/>
      <w:spacing w:line="14" w:lineRule="auto"/>
      <w:rPr>
        <w:sz w:val="19"/>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spacing w:line="14" w:lineRule="auto"/>
      <w:rPr>
        <w:sz w:val="2"/>
      </w:rPr>
    </w:pPr>
    <w:r>
      <w:rPr>
        <w:sz w:val="2"/>
        <w:lang w:val="en-US" w:bidi="ar-SA"/>
      </w:rPr>
      <w:pict>
        <v:shape id="_x0000_s2049" o:spid="_x0000_s2049" o:spt="202" type="#_x0000_t202" style="position:absolute;left:0pt;margin-left:226.95pt;margin-top:-17.25pt;height:144pt;width:144pt;mso-position-horizontal-relative:margin;mso-wrap-style:none;z-index:251660288;mso-width-relative:page;mso-height-relative:page;" filled="f" stroked="f" coordsize="21600,21600" o:gfxdata="UEsDBAoAAAAAAIdO4kAAAAAAAAAAAAAAAAAEAAAAZHJzL1BLAwQUAAAACACHTuJAEQ42CNkAAAAL&#10;AQAADwAAAGRycy9kb3ducmV2LnhtbE2PTU+DQBCG7yb+h82YeGsXCmhFhiY24tHE4qHHLTsCuh9k&#10;d0vx37ue9DgzT9553mq3aMVmcn60BiFdJ8DIdFaOpkd4b5vVFpgPwkihrCGEb/Kwq6+vKlFKezFv&#10;NB9Cz2KI8aVAGEKYSs59N5AWfm0nMvH2YZ0WIY6u59KJSwzXim+S5I5rMZr4YRAT7Qfqvg5njbBv&#10;2tbN5J060kuTfb4+5fS8IN7epMkjsEBL+IPhVz+qQx2dTvZspGcKIS+yh4girLK8ABaJ+zyNmxPC&#10;psgK4HXF/3eofwBQSwMEFAAAAAgAh07iQMuXNVEPAgAABwQAAA4AAABkcnMvZTJvRG9jLnhtbK1T&#10;zY7TMBC+I/EOlu80aStWVdV0VXZVhFSxKxXE2XWcJpL/ZLtNygPAG3Diwp3n6nPsZ6fpIuCEuNhj&#10;z/ibmW8+L247JclRON8YXdDxKKdEaG7KRu8L+vHD+tWMEh+YLpk0WhT0JDy9Xb58sWjtXExMbWQp&#10;HAGI9vPWFrQOwc6zzPNaKOZHxgoNZ2WcYgFHt89Kx1qgK5lN8vwma40rrTNceI/b+95Jlwm/qgQP&#10;D1XlRSCyoKgtpNWldRfXbLlg871jtm74pQz2D1Uo1mgkvULds8DIwTV/QKmGO+NNFUbcqMxUVcNF&#10;6gHdjPPfutnWzIrUC8jx9kqT/3+w/P3x0ZGmLOiUEs0URnT+9vX8/ef5xxcyjfS01s8RtbWIC90b&#10;02HMw73HZey6q5yKO/oh8IPo05Vc0QXC46PZZDbL4eLwDQfgZ8/PrfPhrTCKRKOgDtNLpLLjxoc+&#10;dAiJ2bRZN1KmCUpN2oLeTF/n6cHVA3CpkSM20RcbrdDtuktnO1Oe0JgzvTK85esGyTfMh0fmIAUU&#10;DHmHByyVNEhiLhYltXGf/3Yf4zEheClpIa2CamifEvlOY3JRhYPhBmM3GPqg7gy0Osa3sTyZeOCC&#10;HMzKGfUJml/FHHAxzZGpoGEw70Ivb/wZLlarFAStWRY2emt5hI7kebs6BBCYeI2k9ExcuILa0mQu&#10;PyPK+ddzinr+v8sn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EQ42CNkAAAALAQAADwAAAAAAAAAB&#10;ACAAAAAiAAAAZHJzL2Rvd25yZXYueG1sUEsBAhQAFAAAAAgAh07iQMuXNVEPAgAABwQAAA4AAAAA&#10;AAAAAQAgAAAAKAEAAGRycy9lMm9Eb2MueG1sUEsFBgAAAAAGAAYAWQEAAKkFAAAAAA==&#10;">
          <v:path/>
          <v:fill on="f" focussize="0,0"/>
          <v:stroke on="f" weight="0.5pt" joinstyle="miter"/>
          <v:imagedata o:title=""/>
          <o:lock v:ext="edit"/>
          <v:textbox inset="0mm,0mm,0mm,0mm" style="mso-fit-shape-to-text:t;">
            <w:txbxContent>
              <w:p>
                <w:pPr>
                  <w:pStyle w:val="18"/>
                </w:pPr>
                <w:r>
                  <w:rPr>
                    <w:rFonts w:hint="eastAsia"/>
                  </w:rPr>
                  <w:fldChar w:fldCharType="begin"/>
                </w:r>
                <w:r>
                  <w:rPr>
                    <w:rFonts w:hint="eastAsia"/>
                  </w:rPr>
                  <w:instrText xml:space="preserve"> PAGE  \* MERGEFORMAT </w:instrText>
                </w:r>
                <w:r>
                  <w:rPr>
                    <w:rFonts w:hint="eastAsia"/>
                  </w:rPr>
                  <w:fldChar w:fldCharType="separate"/>
                </w:r>
                <w:r>
                  <w:t>128</w:t>
                </w:r>
                <w:r>
                  <w:rPr>
                    <w:rFonts w:hint="eastAsia"/>
                  </w:rPr>
                  <w:fldChar w:fldCharType="end"/>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p>
  <w:p>
    <w:pPr>
      <w:pStyle w:val="11"/>
      <w:spacing w:line="14" w:lineRule="auto"/>
      <w:rPr>
        <w:sz w:val="19"/>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cente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spacing w:line="14" w:lineRule="auto"/>
      <w:rPr>
        <w:sz w:val="2"/>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3672CF6"/>
    <w:multiLevelType w:val="multilevel"/>
    <w:tmpl w:val="03672CF6"/>
    <w:lvl w:ilvl="0" w:tentative="0">
      <w:start w:val="1"/>
      <w:numFmt w:val="decimal"/>
      <w:lvlText w:val="%1）"/>
      <w:lvlJc w:val="left"/>
      <w:pPr>
        <w:tabs>
          <w:tab w:val="left" w:pos="360"/>
        </w:tabs>
        <w:ind w:left="360" w:hanging="36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0E2272DD"/>
    <w:multiLevelType w:val="multilevel"/>
    <w:tmpl w:val="0E2272DD"/>
    <w:lvl w:ilvl="0" w:tentative="0">
      <w:start w:val="1"/>
      <w:numFmt w:val="decimal"/>
      <w:lvlText w:val="%1）"/>
      <w:lvlJc w:val="left"/>
      <w:pPr>
        <w:tabs>
          <w:tab w:val="left" w:pos="360"/>
        </w:tabs>
        <w:ind w:left="360" w:hanging="36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39F51E07"/>
    <w:multiLevelType w:val="multilevel"/>
    <w:tmpl w:val="39F51E07"/>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41257682"/>
    <w:multiLevelType w:val="multilevel"/>
    <w:tmpl w:val="41257682"/>
    <w:lvl w:ilvl="0" w:tentative="0">
      <w:start w:val="1"/>
      <w:numFmt w:val="decimal"/>
      <w:suff w:val="nothing"/>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45CE38CE"/>
    <w:multiLevelType w:val="multilevel"/>
    <w:tmpl w:val="45CE38CE"/>
    <w:lvl w:ilvl="0" w:tentative="0">
      <w:start w:val="1"/>
      <w:numFmt w:val="decimal"/>
      <w:lvlText w:val="%1）"/>
      <w:lvlJc w:val="left"/>
      <w:pPr>
        <w:tabs>
          <w:tab w:val="left" w:pos="360"/>
        </w:tabs>
        <w:ind w:left="360" w:hanging="36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479A2475"/>
    <w:multiLevelType w:val="multilevel"/>
    <w:tmpl w:val="479A2475"/>
    <w:lvl w:ilvl="0" w:tentative="0">
      <w:start w:val="1"/>
      <w:numFmt w:val="decimal"/>
      <w:lvlText w:val="%1）"/>
      <w:lvlJc w:val="left"/>
      <w:pPr>
        <w:tabs>
          <w:tab w:val="left" w:pos="360"/>
        </w:tabs>
        <w:ind w:left="360" w:hanging="36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5F44617E"/>
    <w:multiLevelType w:val="singleLevel"/>
    <w:tmpl w:val="5F44617E"/>
    <w:lvl w:ilvl="0" w:tentative="0">
      <w:start w:val="4"/>
      <w:numFmt w:val="decimal"/>
      <w:suff w:val="nothing"/>
      <w:lvlText w:val="%1）"/>
      <w:lvlJc w:val="left"/>
    </w:lvl>
  </w:abstractNum>
  <w:abstractNum w:abstractNumId="7">
    <w:nsid w:val="5F44C7FE"/>
    <w:multiLevelType w:val="singleLevel"/>
    <w:tmpl w:val="5F44C7FE"/>
    <w:lvl w:ilvl="0" w:tentative="0">
      <w:start w:val="2"/>
      <w:numFmt w:val="decimal"/>
      <w:suff w:val="nothing"/>
      <w:lvlText w:val="%1）"/>
      <w:lvlJc w:val="left"/>
    </w:lvl>
  </w:abstractNum>
  <w:abstractNum w:abstractNumId="8">
    <w:nsid w:val="64624525"/>
    <w:multiLevelType w:val="multilevel"/>
    <w:tmpl w:val="64624525"/>
    <w:lvl w:ilvl="0" w:tentative="0">
      <w:start w:val="1"/>
      <w:numFmt w:val="decimal"/>
      <w:lvlText w:val="%1)"/>
      <w:lvlJc w:val="left"/>
      <w:pPr>
        <w:ind w:left="1706" w:hanging="705"/>
      </w:pPr>
      <w:rPr>
        <w:rFonts w:hint="default"/>
        <w:spacing w:val="-3"/>
        <w:w w:val="100"/>
        <w:sz w:val="26"/>
        <w:szCs w:val="26"/>
        <w:lang w:val="zh-CN" w:eastAsia="zh-CN" w:bidi="zh-CN"/>
      </w:rPr>
    </w:lvl>
    <w:lvl w:ilvl="1" w:tentative="0">
      <w:start w:val="0"/>
      <w:numFmt w:val="bullet"/>
      <w:lvlText w:val="•"/>
      <w:lvlJc w:val="left"/>
      <w:pPr>
        <w:ind w:left="2564" w:hanging="705"/>
      </w:pPr>
      <w:rPr>
        <w:rFonts w:hint="default"/>
        <w:lang w:val="zh-CN" w:eastAsia="zh-CN" w:bidi="zh-CN"/>
      </w:rPr>
    </w:lvl>
    <w:lvl w:ilvl="2" w:tentative="0">
      <w:start w:val="0"/>
      <w:numFmt w:val="bullet"/>
      <w:lvlText w:val="•"/>
      <w:lvlJc w:val="left"/>
      <w:pPr>
        <w:ind w:left="3429" w:hanging="705"/>
      </w:pPr>
      <w:rPr>
        <w:rFonts w:hint="default"/>
        <w:lang w:val="zh-CN" w:eastAsia="zh-CN" w:bidi="zh-CN"/>
      </w:rPr>
    </w:lvl>
    <w:lvl w:ilvl="3" w:tentative="0">
      <w:start w:val="0"/>
      <w:numFmt w:val="bullet"/>
      <w:lvlText w:val="•"/>
      <w:lvlJc w:val="left"/>
      <w:pPr>
        <w:ind w:left="4293" w:hanging="705"/>
      </w:pPr>
      <w:rPr>
        <w:rFonts w:hint="default"/>
        <w:lang w:val="zh-CN" w:eastAsia="zh-CN" w:bidi="zh-CN"/>
      </w:rPr>
    </w:lvl>
    <w:lvl w:ilvl="4" w:tentative="0">
      <w:start w:val="0"/>
      <w:numFmt w:val="bullet"/>
      <w:lvlText w:val="•"/>
      <w:lvlJc w:val="left"/>
      <w:pPr>
        <w:ind w:left="5158" w:hanging="705"/>
      </w:pPr>
      <w:rPr>
        <w:rFonts w:hint="default"/>
        <w:lang w:val="zh-CN" w:eastAsia="zh-CN" w:bidi="zh-CN"/>
      </w:rPr>
    </w:lvl>
    <w:lvl w:ilvl="5" w:tentative="0">
      <w:start w:val="0"/>
      <w:numFmt w:val="bullet"/>
      <w:lvlText w:val="•"/>
      <w:lvlJc w:val="left"/>
      <w:pPr>
        <w:ind w:left="6023" w:hanging="705"/>
      </w:pPr>
      <w:rPr>
        <w:rFonts w:hint="default"/>
        <w:lang w:val="zh-CN" w:eastAsia="zh-CN" w:bidi="zh-CN"/>
      </w:rPr>
    </w:lvl>
    <w:lvl w:ilvl="6" w:tentative="0">
      <w:start w:val="0"/>
      <w:numFmt w:val="bullet"/>
      <w:lvlText w:val="•"/>
      <w:lvlJc w:val="left"/>
      <w:pPr>
        <w:ind w:left="6887" w:hanging="705"/>
      </w:pPr>
      <w:rPr>
        <w:rFonts w:hint="default"/>
        <w:lang w:val="zh-CN" w:eastAsia="zh-CN" w:bidi="zh-CN"/>
      </w:rPr>
    </w:lvl>
    <w:lvl w:ilvl="7" w:tentative="0">
      <w:start w:val="0"/>
      <w:numFmt w:val="bullet"/>
      <w:lvlText w:val="•"/>
      <w:lvlJc w:val="left"/>
      <w:pPr>
        <w:ind w:left="7752" w:hanging="705"/>
      </w:pPr>
      <w:rPr>
        <w:rFonts w:hint="default"/>
        <w:lang w:val="zh-CN" w:eastAsia="zh-CN" w:bidi="zh-CN"/>
      </w:rPr>
    </w:lvl>
    <w:lvl w:ilvl="8" w:tentative="0">
      <w:start w:val="0"/>
      <w:numFmt w:val="bullet"/>
      <w:lvlText w:val="•"/>
      <w:lvlJc w:val="left"/>
      <w:pPr>
        <w:ind w:left="8617" w:hanging="705"/>
      </w:pPr>
      <w:rPr>
        <w:rFonts w:hint="default"/>
        <w:lang w:val="zh-CN" w:eastAsia="zh-CN" w:bidi="zh-CN"/>
      </w:rPr>
    </w:lvl>
  </w:abstractNum>
  <w:abstractNum w:abstractNumId="9">
    <w:nsid w:val="64E024B5"/>
    <w:multiLevelType w:val="multilevel"/>
    <w:tmpl w:val="64E024B5"/>
    <w:lvl w:ilvl="0" w:tentative="0">
      <w:start w:val="1"/>
      <w:numFmt w:val="chineseCountingThousand"/>
      <w:lvlText w:val="(%1)"/>
      <w:lvlJc w:val="left"/>
      <w:pPr>
        <w:ind w:left="846" w:hanging="420"/>
      </w:pPr>
    </w:lvl>
    <w:lvl w:ilvl="1" w:tentative="0">
      <w:start w:val="1"/>
      <w:numFmt w:val="lowerLetter"/>
      <w:lvlText w:val="%2)"/>
      <w:lvlJc w:val="left"/>
      <w:pPr>
        <w:ind w:left="1266" w:hanging="420"/>
      </w:p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abstractNum w:abstractNumId="10">
    <w:nsid w:val="6D082944"/>
    <w:multiLevelType w:val="multilevel"/>
    <w:tmpl w:val="6D082944"/>
    <w:lvl w:ilvl="0" w:tentative="0">
      <w:start w:val="1"/>
      <w:numFmt w:val="chineseCountingThousand"/>
      <w:lvlText w:val="(%1)"/>
      <w:lvlJc w:val="left"/>
      <w:pPr>
        <w:ind w:left="567" w:hanging="420"/>
      </w:pPr>
    </w:lvl>
    <w:lvl w:ilvl="1" w:tentative="0">
      <w:start w:val="1"/>
      <w:numFmt w:val="lowerLetter"/>
      <w:lvlText w:val="%2)"/>
      <w:lvlJc w:val="left"/>
      <w:pPr>
        <w:ind w:left="987" w:hanging="420"/>
      </w:pPr>
    </w:lvl>
    <w:lvl w:ilvl="2" w:tentative="0">
      <w:start w:val="1"/>
      <w:numFmt w:val="lowerRoman"/>
      <w:lvlText w:val="%3."/>
      <w:lvlJc w:val="right"/>
      <w:pPr>
        <w:ind w:left="1407" w:hanging="420"/>
      </w:pPr>
    </w:lvl>
    <w:lvl w:ilvl="3" w:tentative="0">
      <w:start w:val="1"/>
      <w:numFmt w:val="decimal"/>
      <w:lvlText w:val="%4."/>
      <w:lvlJc w:val="left"/>
      <w:pPr>
        <w:ind w:left="1827" w:hanging="420"/>
      </w:pPr>
    </w:lvl>
    <w:lvl w:ilvl="4" w:tentative="0">
      <w:start w:val="1"/>
      <w:numFmt w:val="lowerLetter"/>
      <w:lvlText w:val="%5)"/>
      <w:lvlJc w:val="left"/>
      <w:pPr>
        <w:ind w:left="2247" w:hanging="420"/>
      </w:pPr>
    </w:lvl>
    <w:lvl w:ilvl="5" w:tentative="0">
      <w:start w:val="1"/>
      <w:numFmt w:val="lowerRoman"/>
      <w:lvlText w:val="%6."/>
      <w:lvlJc w:val="right"/>
      <w:pPr>
        <w:ind w:left="2667" w:hanging="420"/>
      </w:pPr>
    </w:lvl>
    <w:lvl w:ilvl="6" w:tentative="0">
      <w:start w:val="1"/>
      <w:numFmt w:val="decimal"/>
      <w:lvlText w:val="%7."/>
      <w:lvlJc w:val="left"/>
      <w:pPr>
        <w:ind w:left="3087" w:hanging="420"/>
      </w:pPr>
    </w:lvl>
    <w:lvl w:ilvl="7" w:tentative="0">
      <w:start w:val="1"/>
      <w:numFmt w:val="lowerLetter"/>
      <w:lvlText w:val="%8)"/>
      <w:lvlJc w:val="left"/>
      <w:pPr>
        <w:ind w:left="3507" w:hanging="420"/>
      </w:pPr>
    </w:lvl>
    <w:lvl w:ilvl="8" w:tentative="0">
      <w:start w:val="1"/>
      <w:numFmt w:val="lowerRoman"/>
      <w:lvlText w:val="%9."/>
      <w:lvlJc w:val="right"/>
      <w:pPr>
        <w:ind w:left="3927" w:hanging="420"/>
      </w:pPr>
    </w:lvl>
  </w:abstractNum>
  <w:abstractNum w:abstractNumId="11">
    <w:nsid w:val="74A40DE3"/>
    <w:multiLevelType w:val="multilevel"/>
    <w:tmpl w:val="74A40DE3"/>
    <w:lvl w:ilvl="0" w:tentative="0">
      <w:start w:val="0"/>
      <w:numFmt w:val="decimal"/>
      <w:lvlText w:val="%1"/>
      <w:lvlJc w:val="left"/>
      <w:pPr>
        <w:ind w:left="1213" w:hanging="212"/>
      </w:pPr>
      <w:rPr>
        <w:rFonts w:hint="default" w:ascii="Times New Roman" w:hAnsi="Times New Roman" w:eastAsia="Times New Roman" w:cs="Times New Roman"/>
        <w:w w:val="100"/>
        <w:sz w:val="28"/>
        <w:szCs w:val="28"/>
        <w:lang w:val="zh-CN" w:eastAsia="zh-CN" w:bidi="zh-CN"/>
      </w:rPr>
    </w:lvl>
    <w:lvl w:ilvl="1" w:tentative="0">
      <w:start w:val="1"/>
      <w:numFmt w:val="decimal"/>
      <w:lvlText w:val="%2"/>
      <w:lvlJc w:val="left"/>
      <w:pPr>
        <w:ind w:left="1978" w:hanging="420"/>
      </w:pPr>
      <w:rPr>
        <w:rFonts w:hint="default" w:ascii="Times New Roman" w:hAnsi="Times New Roman" w:eastAsia="Times New Roman" w:cs="Times New Roman"/>
        <w:w w:val="100"/>
        <w:sz w:val="28"/>
        <w:szCs w:val="28"/>
        <w:lang w:val="zh-CN" w:eastAsia="zh-CN" w:bidi="zh-CN"/>
      </w:rPr>
    </w:lvl>
    <w:lvl w:ilvl="2" w:tentative="0">
      <w:start w:val="0"/>
      <w:numFmt w:val="bullet"/>
      <w:lvlText w:val="•"/>
      <w:lvlJc w:val="left"/>
      <w:pPr>
        <w:ind w:left="2909" w:hanging="420"/>
      </w:pPr>
      <w:rPr>
        <w:rFonts w:hint="default"/>
        <w:lang w:val="zh-CN" w:eastAsia="zh-CN" w:bidi="zh-CN"/>
      </w:rPr>
    </w:lvl>
    <w:lvl w:ilvl="3" w:tentative="0">
      <w:start w:val="0"/>
      <w:numFmt w:val="bullet"/>
      <w:lvlText w:val="•"/>
      <w:lvlJc w:val="left"/>
      <w:pPr>
        <w:ind w:left="3839" w:hanging="420"/>
      </w:pPr>
      <w:rPr>
        <w:rFonts w:hint="default"/>
        <w:lang w:val="zh-CN" w:eastAsia="zh-CN" w:bidi="zh-CN"/>
      </w:rPr>
    </w:lvl>
    <w:lvl w:ilvl="4" w:tentative="0">
      <w:start w:val="0"/>
      <w:numFmt w:val="bullet"/>
      <w:lvlText w:val="•"/>
      <w:lvlJc w:val="left"/>
      <w:pPr>
        <w:ind w:left="4768" w:hanging="420"/>
      </w:pPr>
      <w:rPr>
        <w:rFonts w:hint="default"/>
        <w:lang w:val="zh-CN" w:eastAsia="zh-CN" w:bidi="zh-CN"/>
      </w:rPr>
    </w:lvl>
    <w:lvl w:ilvl="5" w:tentative="0">
      <w:start w:val="0"/>
      <w:numFmt w:val="bullet"/>
      <w:lvlText w:val="•"/>
      <w:lvlJc w:val="left"/>
      <w:pPr>
        <w:ind w:left="5698" w:hanging="420"/>
      </w:pPr>
      <w:rPr>
        <w:rFonts w:hint="default"/>
        <w:lang w:val="zh-CN" w:eastAsia="zh-CN" w:bidi="zh-CN"/>
      </w:rPr>
    </w:lvl>
    <w:lvl w:ilvl="6" w:tentative="0">
      <w:start w:val="0"/>
      <w:numFmt w:val="bullet"/>
      <w:lvlText w:val="•"/>
      <w:lvlJc w:val="left"/>
      <w:pPr>
        <w:ind w:left="6628" w:hanging="420"/>
      </w:pPr>
      <w:rPr>
        <w:rFonts w:hint="default"/>
        <w:lang w:val="zh-CN" w:eastAsia="zh-CN" w:bidi="zh-CN"/>
      </w:rPr>
    </w:lvl>
    <w:lvl w:ilvl="7" w:tentative="0">
      <w:start w:val="0"/>
      <w:numFmt w:val="bullet"/>
      <w:lvlText w:val="•"/>
      <w:lvlJc w:val="left"/>
      <w:pPr>
        <w:ind w:left="7557" w:hanging="420"/>
      </w:pPr>
      <w:rPr>
        <w:rFonts w:hint="default"/>
        <w:lang w:val="zh-CN" w:eastAsia="zh-CN" w:bidi="zh-CN"/>
      </w:rPr>
    </w:lvl>
    <w:lvl w:ilvl="8" w:tentative="0">
      <w:start w:val="0"/>
      <w:numFmt w:val="bullet"/>
      <w:lvlText w:val="•"/>
      <w:lvlJc w:val="left"/>
      <w:pPr>
        <w:ind w:left="8487" w:hanging="420"/>
      </w:pPr>
      <w:rPr>
        <w:rFonts w:hint="default"/>
        <w:lang w:val="zh-CN" w:eastAsia="zh-CN" w:bidi="zh-CN"/>
      </w:rPr>
    </w:lvl>
  </w:abstractNum>
  <w:num w:numId="1">
    <w:abstractNumId w:val="6"/>
  </w:num>
  <w:num w:numId="2">
    <w:abstractNumId w:val="3"/>
  </w:num>
  <w:num w:numId="3">
    <w:abstractNumId w:val="11"/>
  </w:num>
  <w:num w:numId="4">
    <w:abstractNumId w:val="10"/>
  </w:num>
  <w:num w:numId="5">
    <w:abstractNumId w:val="2"/>
  </w:num>
  <w:num w:numId="6">
    <w:abstractNumId w:val="9"/>
  </w:num>
  <w:num w:numId="7">
    <w:abstractNumId w:val="8"/>
  </w:num>
  <w:num w:numId="8">
    <w:abstractNumId w:val="5"/>
  </w:num>
  <w:num w:numId="9">
    <w:abstractNumId w:val="1"/>
  </w:num>
  <w:num w:numId="10">
    <w:abstractNumId w:val="4"/>
  </w:num>
  <w:num w:numId="11">
    <w:abstractNumId w:val="0"/>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130"/>
  <w:bordersDoNotSurroundHeader w:val="1"/>
  <w:bordersDoNotSurroundFooter w:val="1"/>
  <w:hideSpellingErrors/>
  <w:documentProtection w:enforcement="0"/>
  <w:defaultTabStop w:val="720"/>
  <w:drawingGridHorizontalSpacing w:val="110"/>
  <w:displayHorizontalDrawingGridEvery w:val="0"/>
  <w:displayVerticalDrawingGridEvery w:val="2"/>
  <w:characterSpacingControl w:val="doNotCompress"/>
  <w:hdrShapeDefaults>
    <o:shapelayout v:ext="edit">
      <o:idmap v:ext="edit" data="2"/>
    </o:shapelayout>
  </w:hdrShapeDefaults>
  <w:compat>
    <w:balanceSingleByteDoubleByteWidth/>
    <w:ulTrailSpace/>
    <w:doNotExpandShiftReturn/>
    <w:adjustLineHeightInTable/>
    <w:useFELayout/>
    <w:doNotUseIndentAsNumberingTabStop/>
    <w:useAltKinsokuLineBreakRules/>
    <w:compatSetting w:name="compatibilityMode" w:uri="http://schemas.microsoft.com/office/word" w:val="12"/>
  </w:compat>
  <w:rsids>
    <w:rsidRoot w:val="00E71D82"/>
    <w:rsid w:val="00003F3F"/>
    <w:rsid w:val="000120B5"/>
    <w:rsid w:val="000202A1"/>
    <w:rsid w:val="000224C7"/>
    <w:rsid w:val="000277CA"/>
    <w:rsid w:val="00080C62"/>
    <w:rsid w:val="00092CA0"/>
    <w:rsid w:val="00094A2D"/>
    <w:rsid w:val="000A4E1C"/>
    <w:rsid w:val="000B72DC"/>
    <w:rsid w:val="000C17C0"/>
    <w:rsid w:val="000C2603"/>
    <w:rsid w:val="000C6FF6"/>
    <w:rsid w:val="000D01FA"/>
    <w:rsid w:val="000E3475"/>
    <w:rsid w:val="000E6CDD"/>
    <w:rsid w:val="00113861"/>
    <w:rsid w:val="00130010"/>
    <w:rsid w:val="00131DEF"/>
    <w:rsid w:val="001552C1"/>
    <w:rsid w:val="00165204"/>
    <w:rsid w:val="001675DC"/>
    <w:rsid w:val="001864AE"/>
    <w:rsid w:val="00191A5E"/>
    <w:rsid w:val="001D4301"/>
    <w:rsid w:val="001D54C0"/>
    <w:rsid w:val="001D5747"/>
    <w:rsid w:val="001E041E"/>
    <w:rsid w:val="001E3D2C"/>
    <w:rsid w:val="001F0B3F"/>
    <w:rsid w:val="0020133B"/>
    <w:rsid w:val="0020684D"/>
    <w:rsid w:val="00217264"/>
    <w:rsid w:val="0022100B"/>
    <w:rsid w:val="002277FC"/>
    <w:rsid w:val="002305CD"/>
    <w:rsid w:val="00236D6F"/>
    <w:rsid w:val="0024233C"/>
    <w:rsid w:val="00251698"/>
    <w:rsid w:val="0025258D"/>
    <w:rsid w:val="00283A36"/>
    <w:rsid w:val="00283ECB"/>
    <w:rsid w:val="002C4E51"/>
    <w:rsid w:val="002D2089"/>
    <w:rsid w:val="00305E65"/>
    <w:rsid w:val="00306084"/>
    <w:rsid w:val="00313AB6"/>
    <w:rsid w:val="00332D74"/>
    <w:rsid w:val="003357F9"/>
    <w:rsid w:val="00343085"/>
    <w:rsid w:val="00370E23"/>
    <w:rsid w:val="003712E2"/>
    <w:rsid w:val="003777FE"/>
    <w:rsid w:val="00394071"/>
    <w:rsid w:val="00397421"/>
    <w:rsid w:val="003B13B1"/>
    <w:rsid w:val="003B4147"/>
    <w:rsid w:val="003C4D1C"/>
    <w:rsid w:val="003C7D14"/>
    <w:rsid w:val="003D3845"/>
    <w:rsid w:val="003E042F"/>
    <w:rsid w:val="00403088"/>
    <w:rsid w:val="00426DE6"/>
    <w:rsid w:val="00433136"/>
    <w:rsid w:val="0044419D"/>
    <w:rsid w:val="0044459A"/>
    <w:rsid w:val="004549CC"/>
    <w:rsid w:val="00456C2C"/>
    <w:rsid w:val="00473EC3"/>
    <w:rsid w:val="00486E91"/>
    <w:rsid w:val="0049458E"/>
    <w:rsid w:val="00496720"/>
    <w:rsid w:val="004A506C"/>
    <w:rsid w:val="004A76B8"/>
    <w:rsid w:val="004C420C"/>
    <w:rsid w:val="004E123B"/>
    <w:rsid w:val="004E4C99"/>
    <w:rsid w:val="004F7417"/>
    <w:rsid w:val="00503FA5"/>
    <w:rsid w:val="00516134"/>
    <w:rsid w:val="005164EA"/>
    <w:rsid w:val="0052138F"/>
    <w:rsid w:val="00525C5E"/>
    <w:rsid w:val="005568D1"/>
    <w:rsid w:val="00564862"/>
    <w:rsid w:val="0056564D"/>
    <w:rsid w:val="00576422"/>
    <w:rsid w:val="005824A5"/>
    <w:rsid w:val="0059481B"/>
    <w:rsid w:val="0059785B"/>
    <w:rsid w:val="005A0D81"/>
    <w:rsid w:val="005A30C7"/>
    <w:rsid w:val="005B3630"/>
    <w:rsid w:val="005C1AC7"/>
    <w:rsid w:val="005C1E80"/>
    <w:rsid w:val="005C6F2A"/>
    <w:rsid w:val="005D3F4E"/>
    <w:rsid w:val="005E57EB"/>
    <w:rsid w:val="005E7016"/>
    <w:rsid w:val="006075FB"/>
    <w:rsid w:val="00607CEE"/>
    <w:rsid w:val="00614E13"/>
    <w:rsid w:val="00640FE1"/>
    <w:rsid w:val="006526BF"/>
    <w:rsid w:val="00662BE2"/>
    <w:rsid w:val="00665ED5"/>
    <w:rsid w:val="006A7FF2"/>
    <w:rsid w:val="006D7122"/>
    <w:rsid w:val="00705B75"/>
    <w:rsid w:val="00705F90"/>
    <w:rsid w:val="0074052F"/>
    <w:rsid w:val="007406A0"/>
    <w:rsid w:val="007668E2"/>
    <w:rsid w:val="00771709"/>
    <w:rsid w:val="00772161"/>
    <w:rsid w:val="007E600D"/>
    <w:rsid w:val="007F51FA"/>
    <w:rsid w:val="007F7A93"/>
    <w:rsid w:val="008129FF"/>
    <w:rsid w:val="00814DA8"/>
    <w:rsid w:val="00826412"/>
    <w:rsid w:val="008549F6"/>
    <w:rsid w:val="008B0E38"/>
    <w:rsid w:val="008C0222"/>
    <w:rsid w:val="008C6783"/>
    <w:rsid w:val="008E0837"/>
    <w:rsid w:val="008F750A"/>
    <w:rsid w:val="00905F19"/>
    <w:rsid w:val="0091577C"/>
    <w:rsid w:val="00917E7A"/>
    <w:rsid w:val="00920EAB"/>
    <w:rsid w:val="00925B1E"/>
    <w:rsid w:val="00931B99"/>
    <w:rsid w:val="00934D85"/>
    <w:rsid w:val="00945135"/>
    <w:rsid w:val="0095131B"/>
    <w:rsid w:val="00965C42"/>
    <w:rsid w:val="009739ED"/>
    <w:rsid w:val="0097493D"/>
    <w:rsid w:val="00987BF7"/>
    <w:rsid w:val="0099250F"/>
    <w:rsid w:val="009969B0"/>
    <w:rsid w:val="009C31AC"/>
    <w:rsid w:val="009C62D1"/>
    <w:rsid w:val="009F390F"/>
    <w:rsid w:val="00A0222A"/>
    <w:rsid w:val="00A05304"/>
    <w:rsid w:val="00A111B6"/>
    <w:rsid w:val="00A14203"/>
    <w:rsid w:val="00A2496B"/>
    <w:rsid w:val="00A46226"/>
    <w:rsid w:val="00A5193B"/>
    <w:rsid w:val="00A52E67"/>
    <w:rsid w:val="00A6149B"/>
    <w:rsid w:val="00A6318C"/>
    <w:rsid w:val="00A67236"/>
    <w:rsid w:val="00A807B1"/>
    <w:rsid w:val="00A81EF0"/>
    <w:rsid w:val="00A87E23"/>
    <w:rsid w:val="00A936C7"/>
    <w:rsid w:val="00AA4C69"/>
    <w:rsid w:val="00AB5D76"/>
    <w:rsid w:val="00AC0D6B"/>
    <w:rsid w:val="00AE70B2"/>
    <w:rsid w:val="00AF4ECE"/>
    <w:rsid w:val="00B06AD8"/>
    <w:rsid w:val="00B80C3C"/>
    <w:rsid w:val="00B90877"/>
    <w:rsid w:val="00B97079"/>
    <w:rsid w:val="00BC61C0"/>
    <w:rsid w:val="00BC6BC4"/>
    <w:rsid w:val="00BC6C19"/>
    <w:rsid w:val="00BD78F1"/>
    <w:rsid w:val="00BD7B5A"/>
    <w:rsid w:val="00BE5C49"/>
    <w:rsid w:val="00BF2CA5"/>
    <w:rsid w:val="00C05250"/>
    <w:rsid w:val="00C118CA"/>
    <w:rsid w:val="00C14177"/>
    <w:rsid w:val="00C258DC"/>
    <w:rsid w:val="00C262DF"/>
    <w:rsid w:val="00C31B54"/>
    <w:rsid w:val="00C35F2A"/>
    <w:rsid w:val="00C3658E"/>
    <w:rsid w:val="00C52C09"/>
    <w:rsid w:val="00C643BC"/>
    <w:rsid w:val="00C7205C"/>
    <w:rsid w:val="00C76C96"/>
    <w:rsid w:val="00C778DB"/>
    <w:rsid w:val="00C80689"/>
    <w:rsid w:val="00C90A35"/>
    <w:rsid w:val="00C93748"/>
    <w:rsid w:val="00C963B9"/>
    <w:rsid w:val="00CB54B3"/>
    <w:rsid w:val="00CB634F"/>
    <w:rsid w:val="00CB6AF2"/>
    <w:rsid w:val="00CD026F"/>
    <w:rsid w:val="00CD5192"/>
    <w:rsid w:val="00D04DBC"/>
    <w:rsid w:val="00D10CFA"/>
    <w:rsid w:val="00D1177A"/>
    <w:rsid w:val="00D12866"/>
    <w:rsid w:val="00D135B1"/>
    <w:rsid w:val="00D2248F"/>
    <w:rsid w:val="00D42043"/>
    <w:rsid w:val="00D8723D"/>
    <w:rsid w:val="00D9037E"/>
    <w:rsid w:val="00DE4D0E"/>
    <w:rsid w:val="00E05200"/>
    <w:rsid w:val="00E252DE"/>
    <w:rsid w:val="00E2539B"/>
    <w:rsid w:val="00E31850"/>
    <w:rsid w:val="00E436B0"/>
    <w:rsid w:val="00E61EFA"/>
    <w:rsid w:val="00E645C6"/>
    <w:rsid w:val="00E71D82"/>
    <w:rsid w:val="00E724F3"/>
    <w:rsid w:val="00E731C1"/>
    <w:rsid w:val="00E75A15"/>
    <w:rsid w:val="00E9312C"/>
    <w:rsid w:val="00E93B7E"/>
    <w:rsid w:val="00EB660D"/>
    <w:rsid w:val="00EB6AD0"/>
    <w:rsid w:val="00ED6A7E"/>
    <w:rsid w:val="00ED7138"/>
    <w:rsid w:val="00EE0908"/>
    <w:rsid w:val="00F00C98"/>
    <w:rsid w:val="00F03FE8"/>
    <w:rsid w:val="00F07D35"/>
    <w:rsid w:val="00F17F47"/>
    <w:rsid w:val="00F302B2"/>
    <w:rsid w:val="00F34007"/>
    <w:rsid w:val="00F40494"/>
    <w:rsid w:val="00F409BB"/>
    <w:rsid w:val="00F51E92"/>
    <w:rsid w:val="00F51ECF"/>
    <w:rsid w:val="00F54C49"/>
    <w:rsid w:val="00F6350E"/>
    <w:rsid w:val="00F6607F"/>
    <w:rsid w:val="00F70F8C"/>
    <w:rsid w:val="00F71FCE"/>
    <w:rsid w:val="00F92D68"/>
    <w:rsid w:val="00F932AE"/>
    <w:rsid w:val="00FB330A"/>
    <w:rsid w:val="00FC608F"/>
    <w:rsid w:val="00FD160B"/>
    <w:rsid w:val="00FD4643"/>
    <w:rsid w:val="00FD7137"/>
    <w:rsid w:val="00FF3BEF"/>
    <w:rsid w:val="00FF4065"/>
    <w:rsid w:val="00FF7D73"/>
    <w:rsid w:val="01007A9E"/>
    <w:rsid w:val="01014DA5"/>
    <w:rsid w:val="01085A03"/>
    <w:rsid w:val="010B5A4D"/>
    <w:rsid w:val="011047C6"/>
    <w:rsid w:val="01105001"/>
    <w:rsid w:val="01163506"/>
    <w:rsid w:val="01226DBE"/>
    <w:rsid w:val="01240C0C"/>
    <w:rsid w:val="01266051"/>
    <w:rsid w:val="012C6CBA"/>
    <w:rsid w:val="01300596"/>
    <w:rsid w:val="01341DF5"/>
    <w:rsid w:val="01347E3F"/>
    <w:rsid w:val="01382CEC"/>
    <w:rsid w:val="013A261E"/>
    <w:rsid w:val="013D24D3"/>
    <w:rsid w:val="013D4534"/>
    <w:rsid w:val="014060ED"/>
    <w:rsid w:val="014904CB"/>
    <w:rsid w:val="015465E9"/>
    <w:rsid w:val="01555980"/>
    <w:rsid w:val="015A1AA4"/>
    <w:rsid w:val="015E2FA9"/>
    <w:rsid w:val="01622E26"/>
    <w:rsid w:val="01631393"/>
    <w:rsid w:val="01645DC0"/>
    <w:rsid w:val="01693E7F"/>
    <w:rsid w:val="01753A2D"/>
    <w:rsid w:val="01760FD1"/>
    <w:rsid w:val="017A3637"/>
    <w:rsid w:val="017B1B36"/>
    <w:rsid w:val="017D775C"/>
    <w:rsid w:val="017F50C4"/>
    <w:rsid w:val="01815D6D"/>
    <w:rsid w:val="01850944"/>
    <w:rsid w:val="01884394"/>
    <w:rsid w:val="018930B1"/>
    <w:rsid w:val="018953A6"/>
    <w:rsid w:val="01946E9E"/>
    <w:rsid w:val="01965CCF"/>
    <w:rsid w:val="019B34DD"/>
    <w:rsid w:val="019C2501"/>
    <w:rsid w:val="019F406C"/>
    <w:rsid w:val="019F5C51"/>
    <w:rsid w:val="01A212E2"/>
    <w:rsid w:val="01AA7B19"/>
    <w:rsid w:val="01AF1F2E"/>
    <w:rsid w:val="01AF31AA"/>
    <w:rsid w:val="01AF65E0"/>
    <w:rsid w:val="01B22115"/>
    <w:rsid w:val="01B5633B"/>
    <w:rsid w:val="01BC4DEA"/>
    <w:rsid w:val="01C2689D"/>
    <w:rsid w:val="01C368FE"/>
    <w:rsid w:val="01D02E1D"/>
    <w:rsid w:val="01D06782"/>
    <w:rsid w:val="01D37F4D"/>
    <w:rsid w:val="01DE0B2F"/>
    <w:rsid w:val="01E1032F"/>
    <w:rsid w:val="01E66DE4"/>
    <w:rsid w:val="01E97066"/>
    <w:rsid w:val="01EB0B07"/>
    <w:rsid w:val="01EE089B"/>
    <w:rsid w:val="01EE5951"/>
    <w:rsid w:val="01F14887"/>
    <w:rsid w:val="01F318C3"/>
    <w:rsid w:val="01F55CFF"/>
    <w:rsid w:val="01FB7D80"/>
    <w:rsid w:val="02042EA2"/>
    <w:rsid w:val="02064C56"/>
    <w:rsid w:val="020B6721"/>
    <w:rsid w:val="02165C01"/>
    <w:rsid w:val="021D34F1"/>
    <w:rsid w:val="021E146C"/>
    <w:rsid w:val="021F31DE"/>
    <w:rsid w:val="02203C67"/>
    <w:rsid w:val="02243BA1"/>
    <w:rsid w:val="02291E03"/>
    <w:rsid w:val="022E4E8B"/>
    <w:rsid w:val="02320D15"/>
    <w:rsid w:val="023A4C10"/>
    <w:rsid w:val="02494CF4"/>
    <w:rsid w:val="0249585E"/>
    <w:rsid w:val="024D2527"/>
    <w:rsid w:val="025069F1"/>
    <w:rsid w:val="025975F3"/>
    <w:rsid w:val="025F110F"/>
    <w:rsid w:val="02633E78"/>
    <w:rsid w:val="02663B6E"/>
    <w:rsid w:val="02685F37"/>
    <w:rsid w:val="02696B24"/>
    <w:rsid w:val="026D1613"/>
    <w:rsid w:val="02760379"/>
    <w:rsid w:val="0281118F"/>
    <w:rsid w:val="0283213E"/>
    <w:rsid w:val="02875244"/>
    <w:rsid w:val="028C514B"/>
    <w:rsid w:val="02957785"/>
    <w:rsid w:val="029C72C8"/>
    <w:rsid w:val="02A15226"/>
    <w:rsid w:val="02A165D2"/>
    <w:rsid w:val="02A25D85"/>
    <w:rsid w:val="02A54716"/>
    <w:rsid w:val="02A621AE"/>
    <w:rsid w:val="02B82024"/>
    <w:rsid w:val="02B84AB0"/>
    <w:rsid w:val="02B91592"/>
    <w:rsid w:val="02BC56F2"/>
    <w:rsid w:val="02BD52E4"/>
    <w:rsid w:val="02C03F3B"/>
    <w:rsid w:val="02C1767A"/>
    <w:rsid w:val="02C2392F"/>
    <w:rsid w:val="02C7695E"/>
    <w:rsid w:val="02CB75B1"/>
    <w:rsid w:val="02CE2BCB"/>
    <w:rsid w:val="02CF5641"/>
    <w:rsid w:val="02D10DEA"/>
    <w:rsid w:val="02D16D1D"/>
    <w:rsid w:val="02D53100"/>
    <w:rsid w:val="02D85928"/>
    <w:rsid w:val="02DD3FA5"/>
    <w:rsid w:val="02E110C4"/>
    <w:rsid w:val="02E16331"/>
    <w:rsid w:val="02E32229"/>
    <w:rsid w:val="02E3554D"/>
    <w:rsid w:val="02E4045B"/>
    <w:rsid w:val="02E710B1"/>
    <w:rsid w:val="02E831BD"/>
    <w:rsid w:val="02EB3ED0"/>
    <w:rsid w:val="02EE0997"/>
    <w:rsid w:val="02F645CD"/>
    <w:rsid w:val="02F76E0D"/>
    <w:rsid w:val="02F866BA"/>
    <w:rsid w:val="02FC1623"/>
    <w:rsid w:val="03073EC4"/>
    <w:rsid w:val="030D0E56"/>
    <w:rsid w:val="03117CD8"/>
    <w:rsid w:val="03162034"/>
    <w:rsid w:val="032066F3"/>
    <w:rsid w:val="032C78BA"/>
    <w:rsid w:val="033305E5"/>
    <w:rsid w:val="03376279"/>
    <w:rsid w:val="03396CCE"/>
    <w:rsid w:val="033A60CE"/>
    <w:rsid w:val="033A7E69"/>
    <w:rsid w:val="033D565F"/>
    <w:rsid w:val="033E0878"/>
    <w:rsid w:val="03427C34"/>
    <w:rsid w:val="03431071"/>
    <w:rsid w:val="034F67A4"/>
    <w:rsid w:val="03556DD2"/>
    <w:rsid w:val="0359687B"/>
    <w:rsid w:val="035A645E"/>
    <w:rsid w:val="036264A9"/>
    <w:rsid w:val="03670A7B"/>
    <w:rsid w:val="036C3775"/>
    <w:rsid w:val="037B1BEA"/>
    <w:rsid w:val="037C7086"/>
    <w:rsid w:val="037D7312"/>
    <w:rsid w:val="03853643"/>
    <w:rsid w:val="039F39A7"/>
    <w:rsid w:val="03A07BE7"/>
    <w:rsid w:val="03A41A6A"/>
    <w:rsid w:val="03A95ABC"/>
    <w:rsid w:val="03AE2E92"/>
    <w:rsid w:val="03B06361"/>
    <w:rsid w:val="03B20474"/>
    <w:rsid w:val="03B332A9"/>
    <w:rsid w:val="03B64234"/>
    <w:rsid w:val="03B86462"/>
    <w:rsid w:val="03BA36BA"/>
    <w:rsid w:val="03BB0F61"/>
    <w:rsid w:val="03BC363F"/>
    <w:rsid w:val="03BD0B93"/>
    <w:rsid w:val="03C44D0D"/>
    <w:rsid w:val="03DD7909"/>
    <w:rsid w:val="03E12186"/>
    <w:rsid w:val="03E44379"/>
    <w:rsid w:val="03EC4294"/>
    <w:rsid w:val="03ED435D"/>
    <w:rsid w:val="03F14CB2"/>
    <w:rsid w:val="03F40E41"/>
    <w:rsid w:val="03F93B2A"/>
    <w:rsid w:val="03FF4788"/>
    <w:rsid w:val="04063345"/>
    <w:rsid w:val="040B59BE"/>
    <w:rsid w:val="041761CE"/>
    <w:rsid w:val="042249F6"/>
    <w:rsid w:val="04243CD9"/>
    <w:rsid w:val="042C2051"/>
    <w:rsid w:val="042F232E"/>
    <w:rsid w:val="04303DAA"/>
    <w:rsid w:val="04307AB7"/>
    <w:rsid w:val="04340A69"/>
    <w:rsid w:val="04385CF8"/>
    <w:rsid w:val="04502417"/>
    <w:rsid w:val="045306B7"/>
    <w:rsid w:val="0455084F"/>
    <w:rsid w:val="04551B2F"/>
    <w:rsid w:val="04582921"/>
    <w:rsid w:val="04593B42"/>
    <w:rsid w:val="04596E1F"/>
    <w:rsid w:val="045A3B95"/>
    <w:rsid w:val="045E685B"/>
    <w:rsid w:val="04646B0A"/>
    <w:rsid w:val="04732BA2"/>
    <w:rsid w:val="04762CE6"/>
    <w:rsid w:val="04776AD1"/>
    <w:rsid w:val="047C7232"/>
    <w:rsid w:val="048D3076"/>
    <w:rsid w:val="048E2A71"/>
    <w:rsid w:val="048E4316"/>
    <w:rsid w:val="049570FA"/>
    <w:rsid w:val="049751C1"/>
    <w:rsid w:val="04982641"/>
    <w:rsid w:val="04986C8F"/>
    <w:rsid w:val="04A47D6E"/>
    <w:rsid w:val="04AA4F30"/>
    <w:rsid w:val="04AC184F"/>
    <w:rsid w:val="04AF4F3F"/>
    <w:rsid w:val="04B00C78"/>
    <w:rsid w:val="04B15213"/>
    <w:rsid w:val="04B22DA8"/>
    <w:rsid w:val="04B4307C"/>
    <w:rsid w:val="04B738A8"/>
    <w:rsid w:val="04BB6DC4"/>
    <w:rsid w:val="04BC7AEC"/>
    <w:rsid w:val="04C5548E"/>
    <w:rsid w:val="04C7413C"/>
    <w:rsid w:val="04C83815"/>
    <w:rsid w:val="04C96B8E"/>
    <w:rsid w:val="04CA2602"/>
    <w:rsid w:val="04CA2B5D"/>
    <w:rsid w:val="04CF61E2"/>
    <w:rsid w:val="04D15CAF"/>
    <w:rsid w:val="04DB7963"/>
    <w:rsid w:val="04E11D27"/>
    <w:rsid w:val="04E52BBF"/>
    <w:rsid w:val="04E61998"/>
    <w:rsid w:val="04E8543C"/>
    <w:rsid w:val="04E91A68"/>
    <w:rsid w:val="04E96597"/>
    <w:rsid w:val="04E97FA5"/>
    <w:rsid w:val="04EB5B0C"/>
    <w:rsid w:val="04EE4283"/>
    <w:rsid w:val="04F36CD0"/>
    <w:rsid w:val="04F402B3"/>
    <w:rsid w:val="04FD1597"/>
    <w:rsid w:val="050172C1"/>
    <w:rsid w:val="05053424"/>
    <w:rsid w:val="05053A3A"/>
    <w:rsid w:val="050775AA"/>
    <w:rsid w:val="050D7102"/>
    <w:rsid w:val="0514254A"/>
    <w:rsid w:val="05163B0A"/>
    <w:rsid w:val="05165D6E"/>
    <w:rsid w:val="051E4EBE"/>
    <w:rsid w:val="05210F0D"/>
    <w:rsid w:val="052174B2"/>
    <w:rsid w:val="05246BD8"/>
    <w:rsid w:val="05275BFD"/>
    <w:rsid w:val="052C236B"/>
    <w:rsid w:val="05305F69"/>
    <w:rsid w:val="05345AFD"/>
    <w:rsid w:val="05361115"/>
    <w:rsid w:val="053B3D67"/>
    <w:rsid w:val="053C3C62"/>
    <w:rsid w:val="053C6E24"/>
    <w:rsid w:val="054243E5"/>
    <w:rsid w:val="05564434"/>
    <w:rsid w:val="05583BF5"/>
    <w:rsid w:val="055A5C4A"/>
    <w:rsid w:val="055C4856"/>
    <w:rsid w:val="055F5CD3"/>
    <w:rsid w:val="05682928"/>
    <w:rsid w:val="056B7397"/>
    <w:rsid w:val="056C6EDC"/>
    <w:rsid w:val="056E51A4"/>
    <w:rsid w:val="05715DA4"/>
    <w:rsid w:val="05736A4C"/>
    <w:rsid w:val="05785D14"/>
    <w:rsid w:val="058017EE"/>
    <w:rsid w:val="05821C03"/>
    <w:rsid w:val="058C7E89"/>
    <w:rsid w:val="05952213"/>
    <w:rsid w:val="05957BCE"/>
    <w:rsid w:val="059C4FD3"/>
    <w:rsid w:val="05AF4E5F"/>
    <w:rsid w:val="05B578E0"/>
    <w:rsid w:val="05B95847"/>
    <w:rsid w:val="05CC2EF3"/>
    <w:rsid w:val="05CD0F18"/>
    <w:rsid w:val="05CE3780"/>
    <w:rsid w:val="05CE635C"/>
    <w:rsid w:val="05D05581"/>
    <w:rsid w:val="05D62E6B"/>
    <w:rsid w:val="05DF03F1"/>
    <w:rsid w:val="05DF15EF"/>
    <w:rsid w:val="05E1180B"/>
    <w:rsid w:val="05ED4934"/>
    <w:rsid w:val="05F050BD"/>
    <w:rsid w:val="05F2137D"/>
    <w:rsid w:val="05F842A1"/>
    <w:rsid w:val="05FD7523"/>
    <w:rsid w:val="060156D0"/>
    <w:rsid w:val="06172A69"/>
    <w:rsid w:val="06184F44"/>
    <w:rsid w:val="0619638F"/>
    <w:rsid w:val="062C1ED2"/>
    <w:rsid w:val="062D45CD"/>
    <w:rsid w:val="062E4ABE"/>
    <w:rsid w:val="063751A8"/>
    <w:rsid w:val="0639613D"/>
    <w:rsid w:val="063D1935"/>
    <w:rsid w:val="063F672B"/>
    <w:rsid w:val="064119A4"/>
    <w:rsid w:val="064742C4"/>
    <w:rsid w:val="06497558"/>
    <w:rsid w:val="064C5B4F"/>
    <w:rsid w:val="064D44F0"/>
    <w:rsid w:val="064E4381"/>
    <w:rsid w:val="06514012"/>
    <w:rsid w:val="065141CE"/>
    <w:rsid w:val="065413F7"/>
    <w:rsid w:val="065532AC"/>
    <w:rsid w:val="065962F8"/>
    <w:rsid w:val="065B25AD"/>
    <w:rsid w:val="065F1723"/>
    <w:rsid w:val="06631AD1"/>
    <w:rsid w:val="06666555"/>
    <w:rsid w:val="066D3FE3"/>
    <w:rsid w:val="06745993"/>
    <w:rsid w:val="0675528D"/>
    <w:rsid w:val="067A1735"/>
    <w:rsid w:val="067B7009"/>
    <w:rsid w:val="067B7A48"/>
    <w:rsid w:val="06854E1A"/>
    <w:rsid w:val="06886459"/>
    <w:rsid w:val="068B2B55"/>
    <w:rsid w:val="068D611B"/>
    <w:rsid w:val="0694433C"/>
    <w:rsid w:val="06951CD5"/>
    <w:rsid w:val="06955DC4"/>
    <w:rsid w:val="069744F3"/>
    <w:rsid w:val="06993D35"/>
    <w:rsid w:val="069A3699"/>
    <w:rsid w:val="069A78C0"/>
    <w:rsid w:val="069F52D0"/>
    <w:rsid w:val="06A026CB"/>
    <w:rsid w:val="06A02C81"/>
    <w:rsid w:val="06A4338E"/>
    <w:rsid w:val="06A54492"/>
    <w:rsid w:val="06A939E2"/>
    <w:rsid w:val="06AA38AA"/>
    <w:rsid w:val="06AF7D47"/>
    <w:rsid w:val="06B0340C"/>
    <w:rsid w:val="06B354F4"/>
    <w:rsid w:val="06B51949"/>
    <w:rsid w:val="06B7320D"/>
    <w:rsid w:val="06BE5DFD"/>
    <w:rsid w:val="06C379A5"/>
    <w:rsid w:val="06CA44BD"/>
    <w:rsid w:val="06CB569A"/>
    <w:rsid w:val="06CD2065"/>
    <w:rsid w:val="06CE7D77"/>
    <w:rsid w:val="06D542C9"/>
    <w:rsid w:val="06D578CF"/>
    <w:rsid w:val="06D63509"/>
    <w:rsid w:val="06DA445D"/>
    <w:rsid w:val="06DE4881"/>
    <w:rsid w:val="06DE7F33"/>
    <w:rsid w:val="06E10E86"/>
    <w:rsid w:val="06EA4AE0"/>
    <w:rsid w:val="06EB443A"/>
    <w:rsid w:val="06F3451D"/>
    <w:rsid w:val="06F57914"/>
    <w:rsid w:val="06F87968"/>
    <w:rsid w:val="06FB1762"/>
    <w:rsid w:val="06FD3CDE"/>
    <w:rsid w:val="070146F8"/>
    <w:rsid w:val="07044F6D"/>
    <w:rsid w:val="070462EA"/>
    <w:rsid w:val="07080948"/>
    <w:rsid w:val="0709590F"/>
    <w:rsid w:val="070B60DD"/>
    <w:rsid w:val="07113FCF"/>
    <w:rsid w:val="07123BAD"/>
    <w:rsid w:val="072059D3"/>
    <w:rsid w:val="07246716"/>
    <w:rsid w:val="072504C9"/>
    <w:rsid w:val="07262FB5"/>
    <w:rsid w:val="07286EB0"/>
    <w:rsid w:val="072F6CD7"/>
    <w:rsid w:val="0731455F"/>
    <w:rsid w:val="073717D8"/>
    <w:rsid w:val="073725DC"/>
    <w:rsid w:val="073B5F63"/>
    <w:rsid w:val="073C2AC1"/>
    <w:rsid w:val="073F2278"/>
    <w:rsid w:val="073F754F"/>
    <w:rsid w:val="074013FD"/>
    <w:rsid w:val="074530BA"/>
    <w:rsid w:val="074704FE"/>
    <w:rsid w:val="074E1C5E"/>
    <w:rsid w:val="0755049C"/>
    <w:rsid w:val="0758350B"/>
    <w:rsid w:val="07586425"/>
    <w:rsid w:val="07660A13"/>
    <w:rsid w:val="07671D7F"/>
    <w:rsid w:val="07696FF8"/>
    <w:rsid w:val="076C156B"/>
    <w:rsid w:val="076F24E7"/>
    <w:rsid w:val="076F63CF"/>
    <w:rsid w:val="07731D43"/>
    <w:rsid w:val="07812BFB"/>
    <w:rsid w:val="07822B1E"/>
    <w:rsid w:val="078B203A"/>
    <w:rsid w:val="078C55F5"/>
    <w:rsid w:val="079203E5"/>
    <w:rsid w:val="07927993"/>
    <w:rsid w:val="07935C1C"/>
    <w:rsid w:val="079517C2"/>
    <w:rsid w:val="07960242"/>
    <w:rsid w:val="079D06FC"/>
    <w:rsid w:val="079D093F"/>
    <w:rsid w:val="079E65DB"/>
    <w:rsid w:val="079F2CE4"/>
    <w:rsid w:val="07A37A8F"/>
    <w:rsid w:val="07AB4725"/>
    <w:rsid w:val="07B201CE"/>
    <w:rsid w:val="07B96BC1"/>
    <w:rsid w:val="07C53B69"/>
    <w:rsid w:val="07D20D98"/>
    <w:rsid w:val="07D4293F"/>
    <w:rsid w:val="07E02440"/>
    <w:rsid w:val="07E51B9E"/>
    <w:rsid w:val="07EA0447"/>
    <w:rsid w:val="07EA5FC3"/>
    <w:rsid w:val="07EF38AC"/>
    <w:rsid w:val="07EF6208"/>
    <w:rsid w:val="07FC3748"/>
    <w:rsid w:val="07FF549E"/>
    <w:rsid w:val="08005ABC"/>
    <w:rsid w:val="080B791F"/>
    <w:rsid w:val="080E47F3"/>
    <w:rsid w:val="080E5D51"/>
    <w:rsid w:val="08103636"/>
    <w:rsid w:val="0811414A"/>
    <w:rsid w:val="081D61F5"/>
    <w:rsid w:val="08200D2C"/>
    <w:rsid w:val="08285A9D"/>
    <w:rsid w:val="08295529"/>
    <w:rsid w:val="082E3D02"/>
    <w:rsid w:val="08341309"/>
    <w:rsid w:val="08483A6E"/>
    <w:rsid w:val="08483F9D"/>
    <w:rsid w:val="08486082"/>
    <w:rsid w:val="084A4D55"/>
    <w:rsid w:val="08510B63"/>
    <w:rsid w:val="08526CCD"/>
    <w:rsid w:val="08551880"/>
    <w:rsid w:val="08566F9B"/>
    <w:rsid w:val="08595EC8"/>
    <w:rsid w:val="085B7559"/>
    <w:rsid w:val="0864052D"/>
    <w:rsid w:val="08697C75"/>
    <w:rsid w:val="086B1A4A"/>
    <w:rsid w:val="08700E48"/>
    <w:rsid w:val="0877510E"/>
    <w:rsid w:val="088002A7"/>
    <w:rsid w:val="088315FD"/>
    <w:rsid w:val="0883620D"/>
    <w:rsid w:val="088A7F11"/>
    <w:rsid w:val="08912C4C"/>
    <w:rsid w:val="0892075A"/>
    <w:rsid w:val="089939F9"/>
    <w:rsid w:val="089A0682"/>
    <w:rsid w:val="089F3E68"/>
    <w:rsid w:val="08A570D6"/>
    <w:rsid w:val="08AC22C7"/>
    <w:rsid w:val="08B071FA"/>
    <w:rsid w:val="08B415EB"/>
    <w:rsid w:val="08BB2196"/>
    <w:rsid w:val="08BD6FE5"/>
    <w:rsid w:val="08C02AAC"/>
    <w:rsid w:val="08C47096"/>
    <w:rsid w:val="08CA2C9D"/>
    <w:rsid w:val="08CA5932"/>
    <w:rsid w:val="08CE43A7"/>
    <w:rsid w:val="08D76864"/>
    <w:rsid w:val="08DF3C7E"/>
    <w:rsid w:val="08DF6062"/>
    <w:rsid w:val="08E030BA"/>
    <w:rsid w:val="08E30C28"/>
    <w:rsid w:val="08E769CB"/>
    <w:rsid w:val="08F41E27"/>
    <w:rsid w:val="08F94D13"/>
    <w:rsid w:val="090516FA"/>
    <w:rsid w:val="09072D15"/>
    <w:rsid w:val="0909748B"/>
    <w:rsid w:val="090C5F6B"/>
    <w:rsid w:val="09115107"/>
    <w:rsid w:val="09190971"/>
    <w:rsid w:val="09197005"/>
    <w:rsid w:val="091F0E19"/>
    <w:rsid w:val="09237D21"/>
    <w:rsid w:val="092B700A"/>
    <w:rsid w:val="09310A46"/>
    <w:rsid w:val="09356DB6"/>
    <w:rsid w:val="09363520"/>
    <w:rsid w:val="0939750F"/>
    <w:rsid w:val="093F038E"/>
    <w:rsid w:val="0942292A"/>
    <w:rsid w:val="09457FFF"/>
    <w:rsid w:val="09504A6D"/>
    <w:rsid w:val="09507FF4"/>
    <w:rsid w:val="09526D06"/>
    <w:rsid w:val="0954600E"/>
    <w:rsid w:val="095838B0"/>
    <w:rsid w:val="095912BE"/>
    <w:rsid w:val="09594226"/>
    <w:rsid w:val="096E385C"/>
    <w:rsid w:val="09700F14"/>
    <w:rsid w:val="097B3BDF"/>
    <w:rsid w:val="098E60EA"/>
    <w:rsid w:val="098F116B"/>
    <w:rsid w:val="0992651D"/>
    <w:rsid w:val="09995018"/>
    <w:rsid w:val="099D5FA7"/>
    <w:rsid w:val="099F290E"/>
    <w:rsid w:val="09A335CF"/>
    <w:rsid w:val="09A64668"/>
    <w:rsid w:val="09AD721B"/>
    <w:rsid w:val="09AE6485"/>
    <w:rsid w:val="09AF0398"/>
    <w:rsid w:val="09B132AF"/>
    <w:rsid w:val="09B235F6"/>
    <w:rsid w:val="09B72C55"/>
    <w:rsid w:val="09C07316"/>
    <w:rsid w:val="09C0788A"/>
    <w:rsid w:val="09C12F87"/>
    <w:rsid w:val="09C328F7"/>
    <w:rsid w:val="09C67173"/>
    <w:rsid w:val="09C73B67"/>
    <w:rsid w:val="09CA7239"/>
    <w:rsid w:val="09CE0214"/>
    <w:rsid w:val="09D04F3A"/>
    <w:rsid w:val="09D6325F"/>
    <w:rsid w:val="09D85EF0"/>
    <w:rsid w:val="09DF58DF"/>
    <w:rsid w:val="09DF7CEF"/>
    <w:rsid w:val="09E442A2"/>
    <w:rsid w:val="09E555BD"/>
    <w:rsid w:val="09EE58D3"/>
    <w:rsid w:val="09F1656A"/>
    <w:rsid w:val="09FD6B4F"/>
    <w:rsid w:val="09FE2730"/>
    <w:rsid w:val="0A054CD8"/>
    <w:rsid w:val="0A0E40DB"/>
    <w:rsid w:val="0A0E7229"/>
    <w:rsid w:val="0A1012FE"/>
    <w:rsid w:val="0A107067"/>
    <w:rsid w:val="0A107A26"/>
    <w:rsid w:val="0A13659E"/>
    <w:rsid w:val="0A1735B5"/>
    <w:rsid w:val="0A17721C"/>
    <w:rsid w:val="0A221FA4"/>
    <w:rsid w:val="0A2D5868"/>
    <w:rsid w:val="0A2F701A"/>
    <w:rsid w:val="0A347043"/>
    <w:rsid w:val="0A377AE3"/>
    <w:rsid w:val="0A383547"/>
    <w:rsid w:val="0A3E2B6F"/>
    <w:rsid w:val="0A4035EF"/>
    <w:rsid w:val="0A407458"/>
    <w:rsid w:val="0A483168"/>
    <w:rsid w:val="0A4B7800"/>
    <w:rsid w:val="0A4D01A7"/>
    <w:rsid w:val="0A4F59FA"/>
    <w:rsid w:val="0A555EEF"/>
    <w:rsid w:val="0A55645E"/>
    <w:rsid w:val="0A5E1204"/>
    <w:rsid w:val="0A5E248D"/>
    <w:rsid w:val="0A5E6256"/>
    <w:rsid w:val="0A5F0449"/>
    <w:rsid w:val="0A64608D"/>
    <w:rsid w:val="0A662110"/>
    <w:rsid w:val="0A6809E1"/>
    <w:rsid w:val="0A6B1F0C"/>
    <w:rsid w:val="0A6C3759"/>
    <w:rsid w:val="0A730839"/>
    <w:rsid w:val="0A7E2140"/>
    <w:rsid w:val="0A80731A"/>
    <w:rsid w:val="0A827E90"/>
    <w:rsid w:val="0A833F3F"/>
    <w:rsid w:val="0A8622B0"/>
    <w:rsid w:val="0A8C49B4"/>
    <w:rsid w:val="0A8F04A4"/>
    <w:rsid w:val="0A904115"/>
    <w:rsid w:val="0A93538E"/>
    <w:rsid w:val="0A9417F4"/>
    <w:rsid w:val="0A9722BE"/>
    <w:rsid w:val="0A9C752F"/>
    <w:rsid w:val="0A9D4E2C"/>
    <w:rsid w:val="0AAB7ACF"/>
    <w:rsid w:val="0AAE2508"/>
    <w:rsid w:val="0AB12525"/>
    <w:rsid w:val="0AB263DA"/>
    <w:rsid w:val="0AB52A78"/>
    <w:rsid w:val="0ABB58F4"/>
    <w:rsid w:val="0ABC65D5"/>
    <w:rsid w:val="0AC53480"/>
    <w:rsid w:val="0AC84C74"/>
    <w:rsid w:val="0ACA0702"/>
    <w:rsid w:val="0AD14217"/>
    <w:rsid w:val="0AD159E5"/>
    <w:rsid w:val="0AD610FE"/>
    <w:rsid w:val="0AD871BE"/>
    <w:rsid w:val="0AD908E3"/>
    <w:rsid w:val="0AE35289"/>
    <w:rsid w:val="0AE37BD9"/>
    <w:rsid w:val="0AEB3B60"/>
    <w:rsid w:val="0AF15E1E"/>
    <w:rsid w:val="0AF52130"/>
    <w:rsid w:val="0AF64080"/>
    <w:rsid w:val="0AFE10DC"/>
    <w:rsid w:val="0AFE7E1B"/>
    <w:rsid w:val="0B0632CF"/>
    <w:rsid w:val="0B084FB1"/>
    <w:rsid w:val="0B08754C"/>
    <w:rsid w:val="0B096421"/>
    <w:rsid w:val="0B0D0845"/>
    <w:rsid w:val="0B0D536B"/>
    <w:rsid w:val="0B105602"/>
    <w:rsid w:val="0B1E0FA8"/>
    <w:rsid w:val="0B1F46B7"/>
    <w:rsid w:val="0B202539"/>
    <w:rsid w:val="0B205056"/>
    <w:rsid w:val="0B23097D"/>
    <w:rsid w:val="0B287741"/>
    <w:rsid w:val="0B2A081B"/>
    <w:rsid w:val="0B2C6882"/>
    <w:rsid w:val="0B313087"/>
    <w:rsid w:val="0B3468BD"/>
    <w:rsid w:val="0B3A61C9"/>
    <w:rsid w:val="0B4C71BB"/>
    <w:rsid w:val="0B4F1BA2"/>
    <w:rsid w:val="0B515108"/>
    <w:rsid w:val="0B54030B"/>
    <w:rsid w:val="0B5409BE"/>
    <w:rsid w:val="0B591512"/>
    <w:rsid w:val="0B5A2195"/>
    <w:rsid w:val="0B5D6F1B"/>
    <w:rsid w:val="0B617E3E"/>
    <w:rsid w:val="0B6349E6"/>
    <w:rsid w:val="0B65015B"/>
    <w:rsid w:val="0B680139"/>
    <w:rsid w:val="0B6C3C23"/>
    <w:rsid w:val="0B755BDB"/>
    <w:rsid w:val="0B78635F"/>
    <w:rsid w:val="0B8311F5"/>
    <w:rsid w:val="0B8334F7"/>
    <w:rsid w:val="0B8440D6"/>
    <w:rsid w:val="0B8A64E1"/>
    <w:rsid w:val="0B937057"/>
    <w:rsid w:val="0B946A6A"/>
    <w:rsid w:val="0B952BC0"/>
    <w:rsid w:val="0BA4657E"/>
    <w:rsid w:val="0BAC6E52"/>
    <w:rsid w:val="0BAE4872"/>
    <w:rsid w:val="0BB13240"/>
    <w:rsid w:val="0BB75447"/>
    <w:rsid w:val="0BC04C30"/>
    <w:rsid w:val="0BC36EF8"/>
    <w:rsid w:val="0BCC6015"/>
    <w:rsid w:val="0BD631CB"/>
    <w:rsid w:val="0BDE27A7"/>
    <w:rsid w:val="0BE247F8"/>
    <w:rsid w:val="0BE441C4"/>
    <w:rsid w:val="0BE65D01"/>
    <w:rsid w:val="0BE66B90"/>
    <w:rsid w:val="0BED42CE"/>
    <w:rsid w:val="0BF91015"/>
    <w:rsid w:val="0BFB2687"/>
    <w:rsid w:val="0BFB431D"/>
    <w:rsid w:val="0C0921FF"/>
    <w:rsid w:val="0C0945E0"/>
    <w:rsid w:val="0C094CA9"/>
    <w:rsid w:val="0C0E7572"/>
    <w:rsid w:val="0C124FB8"/>
    <w:rsid w:val="0C13784D"/>
    <w:rsid w:val="0C140FB9"/>
    <w:rsid w:val="0C1F48C0"/>
    <w:rsid w:val="0C2126E1"/>
    <w:rsid w:val="0C243233"/>
    <w:rsid w:val="0C27669E"/>
    <w:rsid w:val="0C2C6D9A"/>
    <w:rsid w:val="0C336540"/>
    <w:rsid w:val="0C385F3B"/>
    <w:rsid w:val="0C3A18F4"/>
    <w:rsid w:val="0C426211"/>
    <w:rsid w:val="0C4508E9"/>
    <w:rsid w:val="0C473EE0"/>
    <w:rsid w:val="0C4B3CAA"/>
    <w:rsid w:val="0C55104F"/>
    <w:rsid w:val="0C556282"/>
    <w:rsid w:val="0C5C3EFE"/>
    <w:rsid w:val="0C6557AC"/>
    <w:rsid w:val="0C6B1664"/>
    <w:rsid w:val="0C6F1445"/>
    <w:rsid w:val="0C6F608A"/>
    <w:rsid w:val="0C713B6E"/>
    <w:rsid w:val="0C715FBC"/>
    <w:rsid w:val="0C772625"/>
    <w:rsid w:val="0C804989"/>
    <w:rsid w:val="0C8F7EBF"/>
    <w:rsid w:val="0C974711"/>
    <w:rsid w:val="0CA63727"/>
    <w:rsid w:val="0CAB4E60"/>
    <w:rsid w:val="0CAF5660"/>
    <w:rsid w:val="0CAF6EDD"/>
    <w:rsid w:val="0CBE74E4"/>
    <w:rsid w:val="0CC02BE8"/>
    <w:rsid w:val="0CC12797"/>
    <w:rsid w:val="0CC431C6"/>
    <w:rsid w:val="0CCD1656"/>
    <w:rsid w:val="0CD46CDF"/>
    <w:rsid w:val="0CD60A1E"/>
    <w:rsid w:val="0CD8373B"/>
    <w:rsid w:val="0CDA61B6"/>
    <w:rsid w:val="0CDC3C67"/>
    <w:rsid w:val="0CE122EE"/>
    <w:rsid w:val="0CE16AF2"/>
    <w:rsid w:val="0CE97FAB"/>
    <w:rsid w:val="0CEE4071"/>
    <w:rsid w:val="0CF373B6"/>
    <w:rsid w:val="0CFE7ABF"/>
    <w:rsid w:val="0D006505"/>
    <w:rsid w:val="0D0148A7"/>
    <w:rsid w:val="0D07649D"/>
    <w:rsid w:val="0D087B14"/>
    <w:rsid w:val="0D0A252D"/>
    <w:rsid w:val="0D0B029A"/>
    <w:rsid w:val="0D0D3F2C"/>
    <w:rsid w:val="0D104D1A"/>
    <w:rsid w:val="0D1348A4"/>
    <w:rsid w:val="0D1447AC"/>
    <w:rsid w:val="0D1B35F2"/>
    <w:rsid w:val="0D2F5DBD"/>
    <w:rsid w:val="0D3463A5"/>
    <w:rsid w:val="0D40309A"/>
    <w:rsid w:val="0D4B574B"/>
    <w:rsid w:val="0D570A1E"/>
    <w:rsid w:val="0D573E5E"/>
    <w:rsid w:val="0D592B25"/>
    <w:rsid w:val="0D5A05EE"/>
    <w:rsid w:val="0D5C6302"/>
    <w:rsid w:val="0D647F81"/>
    <w:rsid w:val="0D6702DD"/>
    <w:rsid w:val="0D683792"/>
    <w:rsid w:val="0D706D83"/>
    <w:rsid w:val="0D7322A5"/>
    <w:rsid w:val="0D762104"/>
    <w:rsid w:val="0D7641AC"/>
    <w:rsid w:val="0D794A30"/>
    <w:rsid w:val="0D7F573A"/>
    <w:rsid w:val="0D807B0E"/>
    <w:rsid w:val="0D8E53B3"/>
    <w:rsid w:val="0D976349"/>
    <w:rsid w:val="0D987D07"/>
    <w:rsid w:val="0DAA2014"/>
    <w:rsid w:val="0DB50A52"/>
    <w:rsid w:val="0DBB3031"/>
    <w:rsid w:val="0DBC7C42"/>
    <w:rsid w:val="0DBE637A"/>
    <w:rsid w:val="0DC24869"/>
    <w:rsid w:val="0DC47B55"/>
    <w:rsid w:val="0DC816EF"/>
    <w:rsid w:val="0DCE76DA"/>
    <w:rsid w:val="0DD00C89"/>
    <w:rsid w:val="0DD30917"/>
    <w:rsid w:val="0DD5674C"/>
    <w:rsid w:val="0DDB4FF6"/>
    <w:rsid w:val="0DEA1F79"/>
    <w:rsid w:val="0DEC69EC"/>
    <w:rsid w:val="0DEF0A4A"/>
    <w:rsid w:val="0DF05795"/>
    <w:rsid w:val="0DF35F79"/>
    <w:rsid w:val="0DF7207C"/>
    <w:rsid w:val="0DF869B2"/>
    <w:rsid w:val="0E016863"/>
    <w:rsid w:val="0E033CFD"/>
    <w:rsid w:val="0E0530A8"/>
    <w:rsid w:val="0E060ACA"/>
    <w:rsid w:val="0E0B0F46"/>
    <w:rsid w:val="0E0C59AC"/>
    <w:rsid w:val="0E0F0536"/>
    <w:rsid w:val="0E1009A3"/>
    <w:rsid w:val="0E172DCA"/>
    <w:rsid w:val="0E1A4F63"/>
    <w:rsid w:val="0E1E63C8"/>
    <w:rsid w:val="0E2F6B2C"/>
    <w:rsid w:val="0E334B19"/>
    <w:rsid w:val="0E34367B"/>
    <w:rsid w:val="0E381C19"/>
    <w:rsid w:val="0E3A09B9"/>
    <w:rsid w:val="0E462204"/>
    <w:rsid w:val="0E4D012B"/>
    <w:rsid w:val="0E4F2040"/>
    <w:rsid w:val="0E5721A8"/>
    <w:rsid w:val="0E5A1359"/>
    <w:rsid w:val="0E5C318B"/>
    <w:rsid w:val="0E5C5463"/>
    <w:rsid w:val="0E610ED1"/>
    <w:rsid w:val="0E6850C0"/>
    <w:rsid w:val="0E6B1EBD"/>
    <w:rsid w:val="0E6B2DD2"/>
    <w:rsid w:val="0E761318"/>
    <w:rsid w:val="0E7D7409"/>
    <w:rsid w:val="0E7E7FE3"/>
    <w:rsid w:val="0E833B9B"/>
    <w:rsid w:val="0E8B4F6E"/>
    <w:rsid w:val="0E9028B2"/>
    <w:rsid w:val="0E910FB9"/>
    <w:rsid w:val="0E962805"/>
    <w:rsid w:val="0E9E1040"/>
    <w:rsid w:val="0E9E41A6"/>
    <w:rsid w:val="0EB52D7F"/>
    <w:rsid w:val="0EC3009E"/>
    <w:rsid w:val="0EC37F9A"/>
    <w:rsid w:val="0EC6060B"/>
    <w:rsid w:val="0EC6484B"/>
    <w:rsid w:val="0EC83D05"/>
    <w:rsid w:val="0EC9048E"/>
    <w:rsid w:val="0EC94C62"/>
    <w:rsid w:val="0ED66C0B"/>
    <w:rsid w:val="0EE27853"/>
    <w:rsid w:val="0EE67384"/>
    <w:rsid w:val="0EE71A27"/>
    <w:rsid w:val="0EFA6342"/>
    <w:rsid w:val="0EFC2B7C"/>
    <w:rsid w:val="0F037D6A"/>
    <w:rsid w:val="0F0B7345"/>
    <w:rsid w:val="0F0F3D4D"/>
    <w:rsid w:val="0F11289A"/>
    <w:rsid w:val="0F1237C0"/>
    <w:rsid w:val="0F150700"/>
    <w:rsid w:val="0F182FCB"/>
    <w:rsid w:val="0F2D030F"/>
    <w:rsid w:val="0F300623"/>
    <w:rsid w:val="0F350521"/>
    <w:rsid w:val="0F350659"/>
    <w:rsid w:val="0F4270E1"/>
    <w:rsid w:val="0F451194"/>
    <w:rsid w:val="0F472505"/>
    <w:rsid w:val="0F491CCE"/>
    <w:rsid w:val="0F4B5DD4"/>
    <w:rsid w:val="0F4D7124"/>
    <w:rsid w:val="0F520EE0"/>
    <w:rsid w:val="0F557BB7"/>
    <w:rsid w:val="0F562CA8"/>
    <w:rsid w:val="0F5B05EB"/>
    <w:rsid w:val="0F685E47"/>
    <w:rsid w:val="0F6E718F"/>
    <w:rsid w:val="0F7069D0"/>
    <w:rsid w:val="0F7316E0"/>
    <w:rsid w:val="0F741D57"/>
    <w:rsid w:val="0F7C3567"/>
    <w:rsid w:val="0F8041F8"/>
    <w:rsid w:val="0F826F1D"/>
    <w:rsid w:val="0F844722"/>
    <w:rsid w:val="0F876D08"/>
    <w:rsid w:val="0F8F1F50"/>
    <w:rsid w:val="0F8F2730"/>
    <w:rsid w:val="0F9538A1"/>
    <w:rsid w:val="0F996BFD"/>
    <w:rsid w:val="0FA8555F"/>
    <w:rsid w:val="0FAA0F31"/>
    <w:rsid w:val="0FB05DCF"/>
    <w:rsid w:val="0FB25562"/>
    <w:rsid w:val="0FB947D8"/>
    <w:rsid w:val="0FBA6FC9"/>
    <w:rsid w:val="0FBF7A9A"/>
    <w:rsid w:val="0FC12D1F"/>
    <w:rsid w:val="0FC85404"/>
    <w:rsid w:val="0FC9572C"/>
    <w:rsid w:val="0FCB4013"/>
    <w:rsid w:val="0FD77373"/>
    <w:rsid w:val="0FD8178A"/>
    <w:rsid w:val="0FDC106D"/>
    <w:rsid w:val="0FE010B8"/>
    <w:rsid w:val="0FEA4F5B"/>
    <w:rsid w:val="0FEC75DB"/>
    <w:rsid w:val="0FF64BA0"/>
    <w:rsid w:val="0FF75B89"/>
    <w:rsid w:val="0FFB1FBD"/>
    <w:rsid w:val="0FFF6680"/>
    <w:rsid w:val="100069E2"/>
    <w:rsid w:val="100335D4"/>
    <w:rsid w:val="10034B75"/>
    <w:rsid w:val="10096ED8"/>
    <w:rsid w:val="100E2F9E"/>
    <w:rsid w:val="10185161"/>
    <w:rsid w:val="101B0068"/>
    <w:rsid w:val="101E130C"/>
    <w:rsid w:val="10224C16"/>
    <w:rsid w:val="10295505"/>
    <w:rsid w:val="102D5D02"/>
    <w:rsid w:val="10351F36"/>
    <w:rsid w:val="10446A7B"/>
    <w:rsid w:val="104F38D8"/>
    <w:rsid w:val="10534A2D"/>
    <w:rsid w:val="10555806"/>
    <w:rsid w:val="10585EFF"/>
    <w:rsid w:val="105A57FE"/>
    <w:rsid w:val="1061278D"/>
    <w:rsid w:val="10672E9E"/>
    <w:rsid w:val="106B63F5"/>
    <w:rsid w:val="106C6D3C"/>
    <w:rsid w:val="10783B52"/>
    <w:rsid w:val="10784D53"/>
    <w:rsid w:val="10793F64"/>
    <w:rsid w:val="107E02BB"/>
    <w:rsid w:val="107E5B7A"/>
    <w:rsid w:val="107F2A98"/>
    <w:rsid w:val="10812C55"/>
    <w:rsid w:val="10893502"/>
    <w:rsid w:val="10906E6C"/>
    <w:rsid w:val="109623BE"/>
    <w:rsid w:val="10993924"/>
    <w:rsid w:val="10A005DC"/>
    <w:rsid w:val="10A46D1D"/>
    <w:rsid w:val="10A7086E"/>
    <w:rsid w:val="10A71D10"/>
    <w:rsid w:val="10AC58C8"/>
    <w:rsid w:val="10B062BB"/>
    <w:rsid w:val="10B617F6"/>
    <w:rsid w:val="10BD74F7"/>
    <w:rsid w:val="10C44349"/>
    <w:rsid w:val="10C85139"/>
    <w:rsid w:val="10CB3AEC"/>
    <w:rsid w:val="10CE4116"/>
    <w:rsid w:val="10D01397"/>
    <w:rsid w:val="10D2357D"/>
    <w:rsid w:val="10DD1028"/>
    <w:rsid w:val="10E321D6"/>
    <w:rsid w:val="10EA06D0"/>
    <w:rsid w:val="10EA7BB9"/>
    <w:rsid w:val="10EF7E56"/>
    <w:rsid w:val="10F27E13"/>
    <w:rsid w:val="10F44084"/>
    <w:rsid w:val="10F819A3"/>
    <w:rsid w:val="10FD28C1"/>
    <w:rsid w:val="10FF24EE"/>
    <w:rsid w:val="11000936"/>
    <w:rsid w:val="11001C27"/>
    <w:rsid w:val="110105F7"/>
    <w:rsid w:val="110F7C36"/>
    <w:rsid w:val="111116FE"/>
    <w:rsid w:val="11122033"/>
    <w:rsid w:val="111848E4"/>
    <w:rsid w:val="111E03F6"/>
    <w:rsid w:val="112C1F4C"/>
    <w:rsid w:val="113834F2"/>
    <w:rsid w:val="1138351B"/>
    <w:rsid w:val="113C460D"/>
    <w:rsid w:val="11405E3E"/>
    <w:rsid w:val="114464FB"/>
    <w:rsid w:val="114C435F"/>
    <w:rsid w:val="11502203"/>
    <w:rsid w:val="11523887"/>
    <w:rsid w:val="11534480"/>
    <w:rsid w:val="11571EED"/>
    <w:rsid w:val="11605364"/>
    <w:rsid w:val="11634AA5"/>
    <w:rsid w:val="116A4F53"/>
    <w:rsid w:val="116D758F"/>
    <w:rsid w:val="116F2FB8"/>
    <w:rsid w:val="117E38E9"/>
    <w:rsid w:val="11812C1A"/>
    <w:rsid w:val="118617D3"/>
    <w:rsid w:val="11963BEC"/>
    <w:rsid w:val="1197766E"/>
    <w:rsid w:val="11A31339"/>
    <w:rsid w:val="11A34E67"/>
    <w:rsid w:val="11A521BD"/>
    <w:rsid w:val="11A54095"/>
    <w:rsid w:val="11A671C2"/>
    <w:rsid w:val="11AA2733"/>
    <w:rsid w:val="11AD6C8B"/>
    <w:rsid w:val="11AF4FAF"/>
    <w:rsid w:val="11B23D93"/>
    <w:rsid w:val="11B61234"/>
    <w:rsid w:val="11B641D5"/>
    <w:rsid w:val="11B71F82"/>
    <w:rsid w:val="11B86F09"/>
    <w:rsid w:val="11B95345"/>
    <w:rsid w:val="11BA23A5"/>
    <w:rsid w:val="11C069FF"/>
    <w:rsid w:val="11C41229"/>
    <w:rsid w:val="11C62620"/>
    <w:rsid w:val="11C826B1"/>
    <w:rsid w:val="11C85ABB"/>
    <w:rsid w:val="11CE330D"/>
    <w:rsid w:val="11D87902"/>
    <w:rsid w:val="11DE7327"/>
    <w:rsid w:val="11E361C7"/>
    <w:rsid w:val="11E906A1"/>
    <w:rsid w:val="11E96D75"/>
    <w:rsid w:val="11EC2760"/>
    <w:rsid w:val="11ED0D33"/>
    <w:rsid w:val="11FA7695"/>
    <w:rsid w:val="11FE378E"/>
    <w:rsid w:val="11FE7EBE"/>
    <w:rsid w:val="11FF3F13"/>
    <w:rsid w:val="12066679"/>
    <w:rsid w:val="120A02FF"/>
    <w:rsid w:val="120B167F"/>
    <w:rsid w:val="120D079E"/>
    <w:rsid w:val="12146F7B"/>
    <w:rsid w:val="12183F63"/>
    <w:rsid w:val="122221CB"/>
    <w:rsid w:val="12280DC7"/>
    <w:rsid w:val="122811B2"/>
    <w:rsid w:val="12281808"/>
    <w:rsid w:val="12291310"/>
    <w:rsid w:val="122C37F3"/>
    <w:rsid w:val="123143D8"/>
    <w:rsid w:val="123E0E5D"/>
    <w:rsid w:val="12400072"/>
    <w:rsid w:val="12435E92"/>
    <w:rsid w:val="12444926"/>
    <w:rsid w:val="12482814"/>
    <w:rsid w:val="12491E5D"/>
    <w:rsid w:val="125C3FB9"/>
    <w:rsid w:val="125E2B33"/>
    <w:rsid w:val="125E5744"/>
    <w:rsid w:val="125F1465"/>
    <w:rsid w:val="126507BE"/>
    <w:rsid w:val="12670022"/>
    <w:rsid w:val="126852B5"/>
    <w:rsid w:val="1276569B"/>
    <w:rsid w:val="1277679B"/>
    <w:rsid w:val="1278735C"/>
    <w:rsid w:val="127B2935"/>
    <w:rsid w:val="12833840"/>
    <w:rsid w:val="12841392"/>
    <w:rsid w:val="128B30BC"/>
    <w:rsid w:val="128D2038"/>
    <w:rsid w:val="1291119B"/>
    <w:rsid w:val="129E5025"/>
    <w:rsid w:val="12A961B9"/>
    <w:rsid w:val="12AD65E3"/>
    <w:rsid w:val="12B3178C"/>
    <w:rsid w:val="12B40F4D"/>
    <w:rsid w:val="12B44B4E"/>
    <w:rsid w:val="12B7703B"/>
    <w:rsid w:val="12BA33B1"/>
    <w:rsid w:val="12BD62B9"/>
    <w:rsid w:val="12C136A5"/>
    <w:rsid w:val="12C36C77"/>
    <w:rsid w:val="12C8168F"/>
    <w:rsid w:val="12C846F5"/>
    <w:rsid w:val="12D2634B"/>
    <w:rsid w:val="12EC5477"/>
    <w:rsid w:val="12ED0403"/>
    <w:rsid w:val="12ED70B6"/>
    <w:rsid w:val="12FD740E"/>
    <w:rsid w:val="130019B0"/>
    <w:rsid w:val="13012DB4"/>
    <w:rsid w:val="130B6EF7"/>
    <w:rsid w:val="13117E58"/>
    <w:rsid w:val="13175486"/>
    <w:rsid w:val="13192E94"/>
    <w:rsid w:val="131B2202"/>
    <w:rsid w:val="132A7232"/>
    <w:rsid w:val="13351DC7"/>
    <w:rsid w:val="13396D79"/>
    <w:rsid w:val="133B5B04"/>
    <w:rsid w:val="133E6F06"/>
    <w:rsid w:val="13411687"/>
    <w:rsid w:val="134D3D8C"/>
    <w:rsid w:val="134E74A9"/>
    <w:rsid w:val="1351207A"/>
    <w:rsid w:val="13520B11"/>
    <w:rsid w:val="13520C0A"/>
    <w:rsid w:val="135A01AB"/>
    <w:rsid w:val="13627079"/>
    <w:rsid w:val="13654B17"/>
    <w:rsid w:val="13660A10"/>
    <w:rsid w:val="13694069"/>
    <w:rsid w:val="136C3C23"/>
    <w:rsid w:val="137027F2"/>
    <w:rsid w:val="13732C79"/>
    <w:rsid w:val="137674BB"/>
    <w:rsid w:val="1378022E"/>
    <w:rsid w:val="137D641A"/>
    <w:rsid w:val="137E5440"/>
    <w:rsid w:val="13811875"/>
    <w:rsid w:val="138D7220"/>
    <w:rsid w:val="138E4163"/>
    <w:rsid w:val="13991A5B"/>
    <w:rsid w:val="13A62108"/>
    <w:rsid w:val="13A63329"/>
    <w:rsid w:val="13AB6255"/>
    <w:rsid w:val="13AC09B6"/>
    <w:rsid w:val="13AD349F"/>
    <w:rsid w:val="13AD3892"/>
    <w:rsid w:val="13B13625"/>
    <w:rsid w:val="13B419F9"/>
    <w:rsid w:val="13B75418"/>
    <w:rsid w:val="13B97C3D"/>
    <w:rsid w:val="13BA3290"/>
    <w:rsid w:val="13C235F2"/>
    <w:rsid w:val="13C94A30"/>
    <w:rsid w:val="13C95B4A"/>
    <w:rsid w:val="13CD4020"/>
    <w:rsid w:val="13D552A7"/>
    <w:rsid w:val="13D56504"/>
    <w:rsid w:val="13DD176D"/>
    <w:rsid w:val="13E16CF5"/>
    <w:rsid w:val="13E26A1C"/>
    <w:rsid w:val="13E732F7"/>
    <w:rsid w:val="13EA56CC"/>
    <w:rsid w:val="13EE13ED"/>
    <w:rsid w:val="13EF19CC"/>
    <w:rsid w:val="13F77F41"/>
    <w:rsid w:val="13F817E4"/>
    <w:rsid w:val="13F96B78"/>
    <w:rsid w:val="13FA1401"/>
    <w:rsid w:val="140044FA"/>
    <w:rsid w:val="140102AA"/>
    <w:rsid w:val="14035CA2"/>
    <w:rsid w:val="1404603D"/>
    <w:rsid w:val="140509BC"/>
    <w:rsid w:val="140F4044"/>
    <w:rsid w:val="140F7DDC"/>
    <w:rsid w:val="14142944"/>
    <w:rsid w:val="14176EF8"/>
    <w:rsid w:val="1418620A"/>
    <w:rsid w:val="141F2B4C"/>
    <w:rsid w:val="14215AFA"/>
    <w:rsid w:val="14266982"/>
    <w:rsid w:val="142A7B26"/>
    <w:rsid w:val="1431500E"/>
    <w:rsid w:val="1432387B"/>
    <w:rsid w:val="1438133A"/>
    <w:rsid w:val="143A15B7"/>
    <w:rsid w:val="143A72A9"/>
    <w:rsid w:val="143F0549"/>
    <w:rsid w:val="143F4BD6"/>
    <w:rsid w:val="14416CC3"/>
    <w:rsid w:val="144F047B"/>
    <w:rsid w:val="144F0AD7"/>
    <w:rsid w:val="145314F5"/>
    <w:rsid w:val="14542D99"/>
    <w:rsid w:val="145A11A1"/>
    <w:rsid w:val="145B530B"/>
    <w:rsid w:val="145F4680"/>
    <w:rsid w:val="14611927"/>
    <w:rsid w:val="146367F2"/>
    <w:rsid w:val="1464660D"/>
    <w:rsid w:val="146A5C08"/>
    <w:rsid w:val="146B51B5"/>
    <w:rsid w:val="146E38FA"/>
    <w:rsid w:val="146E76DD"/>
    <w:rsid w:val="14785B84"/>
    <w:rsid w:val="147927E3"/>
    <w:rsid w:val="14792D30"/>
    <w:rsid w:val="147B6EF0"/>
    <w:rsid w:val="14850AF5"/>
    <w:rsid w:val="14857B96"/>
    <w:rsid w:val="14875979"/>
    <w:rsid w:val="149A6904"/>
    <w:rsid w:val="149A7017"/>
    <w:rsid w:val="149E1F85"/>
    <w:rsid w:val="14A27218"/>
    <w:rsid w:val="14AD10C3"/>
    <w:rsid w:val="14B56272"/>
    <w:rsid w:val="14B76CAE"/>
    <w:rsid w:val="14B85AB4"/>
    <w:rsid w:val="14B93B80"/>
    <w:rsid w:val="14B962A9"/>
    <w:rsid w:val="14BE6595"/>
    <w:rsid w:val="14C341A9"/>
    <w:rsid w:val="14C4134B"/>
    <w:rsid w:val="14C54135"/>
    <w:rsid w:val="14D1022B"/>
    <w:rsid w:val="14D36869"/>
    <w:rsid w:val="14E35DC1"/>
    <w:rsid w:val="14E624F3"/>
    <w:rsid w:val="14E94192"/>
    <w:rsid w:val="14E9629D"/>
    <w:rsid w:val="14EE5BD5"/>
    <w:rsid w:val="14EE5E20"/>
    <w:rsid w:val="14F31D6E"/>
    <w:rsid w:val="14F42893"/>
    <w:rsid w:val="14F51C1E"/>
    <w:rsid w:val="14FC31F2"/>
    <w:rsid w:val="1503691C"/>
    <w:rsid w:val="150609B9"/>
    <w:rsid w:val="150B6E66"/>
    <w:rsid w:val="15167A63"/>
    <w:rsid w:val="151C66D0"/>
    <w:rsid w:val="151D41E7"/>
    <w:rsid w:val="151F0C4D"/>
    <w:rsid w:val="151F4234"/>
    <w:rsid w:val="15225998"/>
    <w:rsid w:val="152431AC"/>
    <w:rsid w:val="15247567"/>
    <w:rsid w:val="15247B6B"/>
    <w:rsid w:val="152624DF"/>
    <w:rsid w:val="152A536B"/>
    <w:rsid w:val="152B78AA"/>
    <w:rsid w:val="153E3AA3"/>
    <w:rsid w:val="15455BB7"/>
    <w:rsid w:val="154905D4"/>
    <w:rsid w:val="154B67A4"/>
    <w:rsid w:val="15500DA7"/>
    <w:rsid w:val="15565FFF"/>
    <w:rsid w:val="15577014"/>
    <w:rsid w:val="1557704F"/>
    <w:rsid w:val="155840F1"/>
    <w:rsid w:val="15592AF4"/>
    <w:rsid w:val="1559557A"/>
    <w:rsid w:val="155D7E7C"/>
    <w:rsid w:val="155E0C50"/>
    <w:rsid w:val="155E2478"/>
    <w:rsid w:val="155E3D89"/>
    <w:rsid w:val="155F692F"/>
    <w:rsid w:val="1565349D"/>
    <w:rsid w:val="156552EC"/>
    <w:rsid w:val="15685476"/>
    <w:rsid w:val="1569623F"/>
    <w:rsid w:val="157276E4"/>
    <w:rsid w:val="157352AA"/>
    <w:rsid w:val="15740877"/>
    <w:rsid w:val="15762A4B"/>
    <w:rsid w:val="15775CFE"/>
    <w:rsid w:val="157863F0"/>
    <w:rsid w:val="157E7D86"/>
    <w:rsid w:val="15814A0C"/>
    <w:rsid w:val="158879A5"/>
    <w:rsid w:val="158D4E35"/>
    <w:rsid w:val="158D72B8"/>
    <w:rsid w:val="158E45A8"/>
    <w:rsid w:val="15980247"/>
    <w:rsid w:val="15A011E8"/>
    <w:rsid w:val="15A04B68"/>
    <w:rsid w:val="15A54CD4"/>
    <w:rsid w:val="15A55873"/>
    <w:rsid w:val="15A63BC7"/>
    <w:rsid w:val="15A7554A"/>
    <w:rsid w:val="15A94549"/>
    <w:rsid w:val="15B12090"/>
    <w:rsid w:val="15BC269D"/>
    <w:rsid w:val="15C4305A"/>
    <w:rsid w:val="15C70682"/>
    <w:rsid w:val="15C725D2"/>
    <w:rsid w:val="15CB2958"/>
    <w:rsid w:val="15CC369C"/>
    <w:rsid w:val="15D331E5"/>
    <w:rsid w:val="15D6607B"/>
    <w:rsid w:val="15D72F61"/>
    <w:rsid w:val="15DA6597"/>
    <w:rsid w:val="15DA77C7"/>
    <w:rsid w:val="15DD096B"/>
    <w:rsid w:val="15E42018"/>
    <w:rsid w:val="15E84F5C"/>
    <w:rsid w:val="15E9060D"/>
    <w:rsid w:val="15EA5734"/>
    <w:rsid w:val="15F35AC7"/>
    <w:rsid w:val="15F71354"/>
    <w:rsid w:val="15F71D15"/>
    <w:rsid w:val="15F73EC3"/>
    <w:rsid w:val="15FE739D"/>
    <w:rsid w:val="15FF2288"/>
    <w:rsid w:val="1600001A"/>
    <w:rsid w:val="16007599"/>
    <w:rsid w:val="16156D84"/>
    <w:rsid w:val="16180B8D"/>
    <w:rsid w:val="1619638E"/>
    <w:rsid w:val="161D1ED9"/>
    <w:rsid w:val="16207663"/>
    <w:rsid w:val="16254E7E"/>
    <w:rsid w:val="162921A4"/>
    <w:rsid w:val="162B2C0F"/>
    <w:rsid w:val="16316646"/>
    <w:rsid w:val="1634103A"/>
    <w:rsid w:val="16365413"/>
    <w:rsid w:val="16420242"/>
    <w:rsid w:val="16463030"/>
    <w:rsid w:val="164B49F9"/>
    <w:rsid w:val="164D4617"/>
    <w:rsid w:val="164E6305"/>
    <w:rsid w:val="16500431"/>
    <w:rsid w:val="165012DC"/>
    <w:rsid w:val="165C1657"/>
    <w:rsid w:val="165E3000"/>
    <w:rsid w:val="165F79DB"/>
    <w:rsid w:val="16602816"/>
    <w:rsid w:val="16611A03"/>
    <w:rsid w:val="1663018A"/>
    <w:rsid w:val="166768CE"/>
    <w:rsid w:val="166F2F35"/>
    <w:rsid w:val="16704E38"/>
    <w:rsid w:val="167A2298"/>
    <w:rsid w:val="167C1BC3"/>
    <w:rsid w:val="167C2237"/>
    <w:rsid w:val="167D05AF"/>
    <w:rsid w:val="167F7894"/>
    <w:rsid w:val="16800B54"/>
    <w:rsid w:val="168A2CAB"/>
    <w:rsid w:val="168A5339"/>
    <w:rsid w:val="168B35FD"/>
    <w:rsid w:val="169034B5"/>
    <w:rsid w:val="16924FD3"/>
    <w:rsid w:val="16960FFD"/>
    <w:rsid w:val="16977B03"/>
    <w:rsid w:val="16A01769"/>
    <w:rsid w:val="16A056EC"/>
    <w:rsid w:val="16A879D3"/>
    <w:rsid w:val="16AA61E6"/>
    <w:rsid w:val="16AD69BD"/>
    <w:rsid w:val="16AE0FE5"/>
    <w:rsid w:val="16AF06AF"/>
    <w:rsid w:val="16B36B46"/>
    <w:rsid w:val="16B84D63"/>
    <w:rsid w:val="16B851B7"/>
    <w:rsid w:val="16B9117A"/>
    <w:rsid w:val="16BB232B"/>
    <w:rsid w:val="16C33090"/>
    <w:rsid w:val="16D44684"/>
    <w:rsid w:val="16D74BE9"/>
    <w:rsid w:val="16D8342C"/>
    <w:rsid w:val="16DB597B"/>
    <w:rsid w:val="16DC04AB"/>
    <w:rsid w:val="16DE4260"/>
    <w:rsid w:val="16E20BD8"/>
    <w:rsid w:val="16E302A3"/>
    <w:rsid w:val="16E32181"/>
    <w:rsid w:val="16E450CE"/>
    <w:rsid w:val="16F74378"/>
    <w:rsid w:val="16F95F16"/>
    <w:rsid w:val="16F96B97"/>
    <w:rsid w:val="16FD45B7"/>
    <w:rsid w:val="17022672"/>
    <w:rsid w:val="1704074E"/>
    <w:rsid w:val="170815B1"/>
    <w:rsid w:val="17081B12"/>
    <w:rsid w:val="170E514B"/>
    <w:rsid w:val="171145B2"/>
    <w:rsid w:val="17117C17"/>
    <w:rsid w:val="17151013"/>
    <w:rsid w:val="1718458C"/>
    <w:rsid w:val="171C73BE"/>
    <w:rsid w:val="1720066D"/>
    <w:rsid w:val="17261E4A"/>
    <w:rsid w:val="17262A31"/>
    <w:rsid w:val="17312364"/>
    <w:rsid w:val="17335182"/>
    <w:rsid w:val="17371BE5"/>
    <w:rsid w:val="17393DC8"/>
    <w:rsid w:val="173D0E07"/>
    <w:rsid w:val="173E7E3E"/>
    <w:rsid w:val="173F1B92"/>
    <w:rsid w:val="17412B3E"/>
    <w:rsid w:val="174234C3"/>
    <w:rsid w:val="174B0265"/>
    <w:rsid w:val="174E5EA4"/>
    <w:rsid w:val="17534C28"/>
    <w:rsid w:val="1759719D"/>
    <w:rsid w:val="175C1BF5"/>
    <w:rsid w:val="175C267D"/>
    <w:rsid w:val="17617C93"/>
    <w:rsid w:val="17635CD1"/>
    <w:rsid w:val="17645A2C"/>
    <w:rsid w:val="176561B2"/>
    <w:rsid w:val="176D507D"/>
    <w:rsid w:val="176F3BC2"/>
    <w:rsid w:val="176F7539"/>
    <w:rsid w:val="17744DE8"/>
    <w:rsid w:val="177A513E"/>
    <w:rsid w:val="177C5D46"/>
    <w:rsid w:val="177D67A6"/>
    <w:rsid w:val="1780499C"/>
    <w:rsid w:val="178339FE"/>
    <w:rsid w:val="17833D6A"/>
    <w:rsid w:val="178966D2"/>
    <w:rsid w:val="179055D6"/>
    <w:rsid w:val="179207E2"/>
    <w:rsid w:val="179269AD"/>
    <w:rsid w:val="179A0E2D"/>
    <w:rsid w:val="179D75F2"/>
    <w:rsid w:val="179D7DB8"/>
    <w:rsid w:val="179E2790"/>
    <w:rsid w:val="179F5C65"/>
    <w:rsid w:val="17A0685B"/>
    <w:rsid w:val="17A46746"/>
    <w:rsid w:val="17A57B5D"/>
    <w:rsid w:val="17AC51F1"/>
    <w:rsid w:val="17B52745"/>
    <w:rsid w:val="17BE0418"/>
    <w:rsid w:val="17C15C0A"/>
    <w:rsid w:val="17C52607"/>
    <w:rsid w:val="17C67B18"/>
    <w:rsid w:val="17CC6B24"/>
    <w:rsid w:val="17CE5936"/>
    <w:rsid w:val="17CF0693"/>
    <w:rsid w:val="17D44169"/>
    <w:rsid w:val="17DB6CB0"/>
    <w:rsid w:val="17DF408E"/>
    <w:rsid w:val="17DF6ACA"/>
    <w:rsid w:val="17E0738B"/>
    <w:rsid w:val="17E62DDD"/>
    <w:rsid w:val="17F53365"/>
    <w:rsid w:val="17F96E07"/>
    <w:rsid w:val="17FF1DA2"/>
    <w:rsid w:val="18014E9E"/>
    <w:rsid w:val="18025CA1"/>
    <w:rsid w:val="180638DC"/>
    <w:rsid w:val="180D00A8"/>
    <w:rsid w:val="18137BC8"/>
    <w:rsid w:val="181952CB"/>
    <w:rsid w:val="18210CB7"/>
    <w:rsid w:val="18223720"/>
    <w:rsid w:val="18230F9A"/>
    <w:rsid w:val="18271D80"/>
    <w:rsid w:val="1831787A"/>
    <w:rsid w:val="183527A3"/>
    <w:rsid w:val="18431BBC"/>
    <w:rsid w:val="184F59E2"/>
    <w:rsid w:val="18585659"/>
    <w:rsid w:val="185A17AD"/>
    <w:rsid w:val="185F2947"/>
    <w:rsid w:val="1860049C"/>
    <w:rsid w:val="1867737D"/>
    <w:rsid w:val="18682A6B"/>
    <w:rsid w:val="18722317"/>
    <w:rsid w:val="18727C26"/>
    <w:rsid w:val="18745C5F"/>
    <w:rsid w:val="187A55E3"/>
    <w:rsid w:val="187D59BF"/>
    <w:rsid w:val="187F7F18"/>
    <w:rsid w:val="18805122"/>
    <w:rsid w:val="18815B9D"/>
    <w:rsid w:val="188230F9"/>
    <w:rsid w:val="188504F6"/>
    <w:rsid w:val="1888215D"/>
    <w:rsid w:val="188A0FBD"/>
    <w:rsid w:val="188C7000"/>
    <w:rsid w:val="18914F70"/>
    <w:rsid w:val="18962DB5"/>
    <w:rsid w:val="18985E4E"/>
    <w:rsid w:val="189D4283"/>
    <w:rsid w:val="189E7E11"/>
    <w:rsid w:val="189F6E00"/>
    <w:rsid w:val="18A04CE2"/>
    <w:rsid w:val="18B00B93"/>
    <w:rsid w:val="18BA0044"/>
    <w:rsid w:val="18BF1442"/>
    <w:rsid w:val="18D00184"/>
    <w:rsid w:val="18D21580"/>
    <w:rsid w:val="18D4315A"/>
    <w:rsid w:val="18D465A5"/>
    <w:rsid w:val="18D9001E"/>
    <w:rsid w:val="18D910AB"/>
    <w:rsid w:val="18DE500F"/>
    <w:rsid w:val="18EA0BFF"/>
    <w:rsid w:val="18EB3741"/>
    <w:rsid w:val="18EF3A8A"/>
    <w:rsid w:val="18F53657"/>
    <w:rsid w:val="18FC068A"/>
    <w:rsid w:val="18FD7200"/>
    <w:rsid w:val="19022939"/>
    <w:rsid w:val="19086635"/>
    <w:rsid w:val="19113CDD"/>
    <w:rsid w:val="19134638"/>
    <w:rsid w:val="191F42BF"/>
    <w:rsid w:val="192123DA"/>
    <w:rsid w:val="19220D38"/>
    <w:rsid w:val="192351A8"/>
    <w:rsid w:val="192A3FCF"/>
    <w:rsid w:val="193457CF"/>
    <w:rsid w:val="193648E1"/>
    <w:rsid w:val="193B75C8"/>
    <w:rsid w:val="193C137F"/>
    <w:rsid w:val="193D783A"/>
    <w:rsid w:val="193E67AD"/>
    <w:rsid w:val="193F313A"/>
    <w:rsid w:val="194B316B"/>
    <w:rsid w:val="194C2713"/>
    <w:rsid w:val="19543481"/>
    <w:rsid w:val="1956055F"/>
    <w:rsid w:val="19574DDF"/>
    <w:rsid w:val="19592B75"/>
    <w:rsid w:val="196146DA"/>
    <w:rsid w:val="19652D50"/>
    <w:rsid w:val="196C68EE"/>
    <w:rsid w:val="196F5304"/>
    <w:rsid w:val="19757131"/>
    <w:rsid w:val="1981080B"/>
    <w:rsid w:val="19852D55"/>
    <w:rsid w:val="1987310D"/>
    <w:rsid w:val="198F1A9F"/>
    <w:rsid w:val="19940A14"/>
    <w:rsid w:val="19972114"/>
    <w:rsid w:val="19A37A3A"/>
    <w:rsid w:val="19A866FC"/>
    <w:rsid w:val="19AC6E5A"/>
    <w:rsid w:val="19B17DB2"/>
    <w:rsid w:val="19B20F4F"/>
    <w:rsid w:val="19B44685"/>
    <w:rsid w:val="19B710EA"/>
    <w:rsid w:val="19B91FAE"/>
    <w:rsid w:val="19BC0A78"/>
    <w:rsid w:val="19C0259F"/>
    <w:rsid w:val="19C140B5"/>
    <w:rsid w:val="19C43812"/>
    <w:rsid w:val="19C53242"/>
    <w:rsid w:val="19C74067"/>
    <w:rsid w:val="19CB7F8E"/>
    <w:rsid w:val="19DD0DC6"/>
    <w:rsid w:val="19DF0261"/>
    <w:rsid w:val="19E47322"/>
    <w:rsid w:val="19E93F70"/>
    <w:rsid w:val="19E97856"/>
    <w:rsid w:val="19F15931"/>
    <w:rsid w:val="19F56523"/>
    <w:rsid w:val="19F56A8B"/>
    <w:rsid w:val="19F71EAA"/>
    <w:rsid w:val="19F752FF"/>
    <w:rsid w:val="19FA5D80"/>
    <w:rsid w:val="19FB6798"/>
    <w:rsid w:val="1A086130"/>
    <w:rsid w:val="1A0A29AD"/>
    <w:rsid w:val="1A110BD1"/>
    <w:rsid w:val="1A112958"/>
    <w:rsid w:val="1A113363"/>
    <w:rsid w:val="1A222687"/>
    <w:rsid w:val="1A270287"/>
    <w:rsid w:val="1A277028"/>
    <w:rsid w:val="1A396741"/>
    <w:rsid w:val="1A3D12FD"/>
    <w:rsid w:val="1A3E103F"/>
    <w:rsid w:val="1A4306DC"/>
    <w:rsid w:val="1A453F6A"/>
    <w:rsid w:val="1A4A6E6C"/>
    <w:rsid w:val="1A5460F0"/>
    <w:rsid w:val="1A5A03C2"/>
    <w:rsid w:val="1A5A7059"/>
    <w:rsid w:val="1A5B0FA4"/>
    <w:rsid w:val="1A63743B"/>
    <w:rsid w:val="1A705840"/>
    <w:rsid w:val="1A792B5B"/>
    <w:rsid w:val="1A7D45EB"/>
    <w:rsid w:val="1A815443"/>
    <w:rsid w:val="1A922779"/>
    <w:rsid w:val="1A926325"/>
    <w:rsid w:val="1A96301C"/>
    <w:rsid w:val="1AA079C0"/>
    <w:rsid w:val="1AAA15C6"/>
    <w:rsid w:val="1AAD3A98"/>
    <w:rsid w:val="1AAE5C2A"/>
    <w:rsid w:val="1AB15BBF"/>
    <w:rsid w:val="1AB46269"/>
    <w:rsid w:val="1ABC795A"/>
    <w:rsid w:val="1ABF4713"/>
    <w:rsid w:val="1AC44725"/>
    <w:rsid w:val="1AC778BF"/>
    <w:rsid w:val="1AC80FB4"/>
    <w:rsid w:val="1ACE38A7"/>
    <w:rsid w:val="1ACE4302"/>
    <w:rsid w:val="1AD40990"/>
    <w:rsid w:val="1AD4756E"/>
    <w:rsid w:val="1AD91091"/>
    <w:rsid w:val="1ADE0412"/>
    <w:rsid w:val="1ADF6049"/>
    <w:rsid w:val="1AE20655"/>
    <w:rsid w:val="1AEB13A8"/>
    <w:rsid w:val="1AEB56AC"/>
    <w:rsid w:val="1AEE6D87"/>
    <w:rsid w:val="1AF36E25"/>
    <w:rsid w:val="1AF63F24"/>
    <w:rsid w:val="1AFC6AF8"/>
    <w:rsid w:val="1B0273B1"/>
    <w:rsid w:val="1B113192"/>
    <w:rsid w:val="1B1F29DA"/>
    <w:rsid w:val="1B233A2C"/>
    <w:rsid w:val="1B362305"/>
    <w:rsid w:val="1B3768CF"/>
    <w:rsid w:val="1B382FAA"/>
    <w:rsid w:val="1B3B0A3E"/>
    <w:rsid w:val="1B3D6528"/>
    <w:rsid w:val="1B4509ED"/>
    <w:rsid w:val="1B484018"/>
    <w:rsid w:val="1B5052FB"/>
    <w:rsid w:val="1B542EC0"/>
    <w:rsid w:val="1B582E9A"/>
    <w:rsid w:val="1B586E4C"/>
    <w:rsid w:val="1B5F5940"/>
    <w:rsid w:val="1B665480"/>
    <w:rsid w:val="1B6E5528"/>
    <w:rsid w:val="1B6E5FED"/>
    <w:rsid w:val="1B7865DF"/>
    <w:rsid w:val="1B7A00FA"/>
    <w:rsid w:val="1B8E66C1"/>
    <w:rsid w:val="1B9019AA"/>
    <w:rsid w:val="1B91563D"/>
    <w:rsid w:val="1B9C50B2"/>
    <w:rsid w:val="1BA162FF"/>
    <w:rsid w:val="1BA95EFE"/>
    <w:rsid w:val="1BAF36A7"/>
    <w:rsid w:val="1BB524B1"/>
    <w:rsid w:val="1BB54A57"/>
    <w:rsid w:val="1BB7630E"/>
    <w:rsid w:val="1BBB37C5"/>
    <w:rsid w:val="1BC15A7D"/>
    <w:rsid w:val="1BC467B8"/>
    <w:rsid w:val="1BC80230"/>
    <w:rsid w:val="1BD03983"/>
    <w:rsid w:val="1BD60324"/>
    <w:rsid w:val="1BDF00C0"/>
    <w:rsid w:val="1BE41273"/>
    <w:rsid w:val="1BE978EC"/>
    <w:rsid w:val="1BF50F2F"/>
    <w:rsid w:val="1BFF1B1A"/>
    <w:rsid w:val="1C0B3328"/>
    <w:rsid w:val="1C0C46F0"/>
    <w:rsid w:val="1C1053C3"/>
    <w:rsid w:val="1C107A10"/>
    <w:rsid w:val="1C1244FA"/>
    <w:rsid w:val="1C133964"/>
    <w:rsid w:val="1C173D4C"/>
    <w:rsid w:val="1C190814"/>
    <w:rsid w:val="1C250D29"/>
    <w:rsid w:val="1C271C95"/>
    <w:rsid w:val="1C2C3AA4"/>
    <w:rsid w:val="1C356E0A"/>
    <w:rsid w:val="1C386930"/>
    <w:rsid w:val="1C3D785F"/>
    <w:rsid w:val="1C4037A8"/>
    <w:rsid w:val="1C4124B9"/>
    <w:rsid w:val="1C444999"/>
    <w:rsid w:val="1C46090C"/>
    <w:rsid w:val="1C480BBE"/>
    <w:rsid w:val="1C495653"/>
    <w:rsid w:val="1C4A2E9F"/>
    <w:rsid w:val="1C4E0319"/>
    <w:rsid w:val="1C5557D1"/>
    <w:rsid w:val="1C591433"/>
    <w:rsid w:val="1C5C3E7C"/>
    <w:rsid w:val="1C601EEF"/>
    <w:rsid w:val="1C6566D7"/>
    <w:rsid w:val="1C723297"/>
    <w:rsid w:val="1C773EC8"/>
    <w:rsid w:val="1C7C07E4"/>
    <w:rsid w:val="1C7C26E8"/>
    <w:rsid w:val="1C7D2FB0"/>
    <w:rsid w:val="1C80401E"/>
    <w:rsid w:val="1C887BAC"/>
    <w:rsid w:val="1C91154E"/>
    <w:rsid w:val="1C91373D"/>
    <w:rsid w:val="1C9D243A"/>
    <w:rsid w:val="1CA377DB"/>
    <w:rsid w:val="1CA722CB"/>
    <w:rsid w:val="1CAE5561"/>
    <w:rsid w:val="1CB10368"/>
    <w:rsid w:val="1CB81337"/>
    <w:rsid w:val="1CBD0A48"/>
    <w:rsid w:val="1CBF0C9B"/>
    <w:rsid w:val="1CC114A1"/>
    <w:rsid w:val="1CC61E48"/>
    <w:rsid w:val="1CC937EF"/>
    <w:rsid w:val="1CCC7E5E"/>
    <w:rsid w:val="1CD03219"/>
    <w:rsid w:val="1CD95E18"/>
    <w:rsid w:val="1CDA1431"/>
    <w:rsid w:val="1CDE52D6"/>
    <w:rsid w:val="1CE162EB"/>
    <w:rsid w:val="1CE313ED"/>
    <w:rsid w:val="1CE37780"/>
    <w:rsid w:val="1CEB660D"/>
    <w:rsid w:val="1CED5098"/>
    <w:rsid w:val="1CEF496B"/>
    <w:rsid w:val="1CF1152A"/>
    <w:rsid w:val="1CFD1BF0"/>
    <w:rsid w:val="1CFE3432"/>
    <w:rsid w:val="1CFF338F"/>
    <w:rsid w:val="1CFF59D7"/>
    <w:rsid w:val="1D01344F"/>
    <w:rsid w:val="1D022574"/>
    <w:rsid w:val="1D0A78CF"/>
    <w:rsid w:val="1D0D01B9"/>
    <w:rsid w:val="1D107B68"/>
    <w:rsid w:val="1D112FA8"/>
    <w:rsid w:val="1D137FD6"/>
    <w:rsid w:val="1D357102"/>
    <w:rsid w:val="1D3D4D70"/>
    <w:rsid w:val="1D5A7699"/>
    <w:rsid w:val="1D6D2545"/>
    <w:rsid w:val="1D712F22"/>
    <w:rsid w:val="1D745C0C"/>
    <w:rsid w:val="1D7F7F7E"/>
    <w:rsid w:val="1D875A42"/>
    <w:rsid w:val="1D89709D"/>
    <w:rsid w:val="1D8B36BA"/>
    <w:rsid w:val="1D8E2239"/>
    <w:rsid w:val="1D900B58"/>
    <w:rsid w:val="1D997AF5"/>
    <w:rsid w:val="1D9C015F"/>
    <w:rsid w:val="1DA14A76"/>
    <w:rsid w:val="1DA24C9E"/>
    <w:rsid w:val="1DA5677D"/>
    <w:rsid w:val="1DA80269"/>
    <w:rsid w:val="1DA81BFD"/>
    <w:rsid w:val="1DAA5216"/>
    <w:rsid w:val="1DAA70C8"/>
    <w:rsid w:val="1DAC4B33"/>
    <w:rsid w:val="1DB47640"/>
    <w:rsid w:val="1DB5090B"/>
    <w:rsid w:val="1DB51FC8"/>
    <w:rsid w:val="1DB7271B"/>
    <w:rsid w:val="1DBF6499"/>
    <w:rsid w:val="1DC456BE"/>
    <w:rsid w:val="1DC5412E"/>
    <w:rsid w:val="1DC63BF5"/>
    <w:rsid w:val="1DC704DB"/>
    <w:rsid w:val="1DCC6A19"/>
    <w:rsid w:val="1DD24092"/>
    <w:rsid w:val="1DD66661"/>
    <w:rsid w:val="1DDC7725"/>
    <w:rsid w:val="1DE3473D"/>
    <w:rsid w:val="1DE6688C"/>
    <w:rsid w:val="1DE75F1E"/>
    <w:rsid w:val="1DE82DAA"/>
    <w:rsid w:val="1DF27DAF"/>
    <w:rsid w:val="1DF37FD3"/>
    <w:rsid w:val="1DF7200C"/>
    <w:rsid w:val="1DFD41AF"/>
    <w:rsid w:val="1E000ADE"/>
    <w:rsid w:val="1E046D85"/>
    <w:rsid w:val="1E0B0F20"/>
    <w:rsid w:val="1E0C421C"/>
    <w:rsid w:val="1E114FCB"/>
    <w:rsid w:val="1E1307FF"/>
    <w:rsid w:val="1E146CCB"/>
    <w:rsid w:val="1E1529F1"/>
    <w:rsid w:val="1E1C27FE"/>
    <w:rsid w:val="1E1C53B0"/>
    <w:rsid w:val="1E227779"/>
    <w:rsid w:val="1E2308AA"/>
    <w:rsid w:val="1E291373"/>
    <w:rsid w:val="1E2E5564"/>
    <w:rsid w:val="1E38748A"/>
    <w:rsid w:val="1E423373"/>
    <w:rsid w:val="1E454F35"/>
    <w:rsid w:val="1E4614AB"/>
    <w:rsid w:val="1E4F1780"/>
    <w:rsid w:val="1E551280"/>
    <w:rsid w:val="1E566A11"/>
    <w:rsid w:val="1E5B3809"/>
    <w:rsid w:val="1E5B5C31"/>
    <w:rsid w:val="1E6312A5"/>
    <w:rsid w:val="1E697425"/>
    <w:rsid w:val="1E6F18D2"/>
    <w:rsid w:val="1E6F1E62"/>
    <w:rsid w:val="1E7614BC"/>
    <w:rsid w:val="1E7920D5"/>
    <w:rsid w:val="1E7939C1"/>
    <w:rsid w:val="1E7C1B18"/>
    <w:rsid w:val="1E7D1FCA"/>
    <w:rsid w:val="1E7E37D7"/>
    <w:rsid w:val="1E807693"/>
    <w:rsid w:val="1E873C12"/>
    <w:rsid w:val="1E8D073B"/>
    <w:rsid w:val="1E910B3B"/>
    <w:rsid w:val="1E991B74"/>
    <w:rsid w:val="1E9C5A39"/>
    <w:rsid w:val="1E9F1051"/>
    <w:rsid w:val="1E9F25D1"/>
    <w:rsid w:val="1EA26B96"/>
    <w:rsid w:val="1EA85EBA"/>
    <w:rsid w:val="1EAF3F17"/>
    <w:rsid w:val="1EBC272D"/>
    <w:rsid w:val="1EBD4B7D"/>
    <w:rsid w:val="1EBD6E41"/>
    <w:rsid w:val="1EC17D68"/>
    <w:rsid w:val="1ED32C49"/>
    <w:rsid w:val="1EDA11EC"/>
    <w:rsid w:val="1EDE282D"/>
    <w:rsid w:val="1EE37BF7"/>
    <w:rsid w:val="1EEA50F0"/>
    <w:rsid w:val="1EEE3638"/>
    <w:rsid w:val="1EF37CE6"/>
    <w:rsid w:val="1EF60193"/>
    <w:rsid w:val="1EF700FD"/>
    <w:rsid w:val="1EF708AF"/>
    <w:rsid w:val="1EF930A7"/>
    <w:rsid w:val="1F0168FF"/>
    <w:rsid w:val="1F027083"/>
    <w:rsid w:val="1F064BD7"/>
    <w:rsid w:val="1F076EE4"/>
    <w:rsid w:val="1F092F16"/>
    <w:rsid w:val="1F0A6ED7"/>
    <w:rsid w:val="1F0D3F42"/>
    <w:rsid w:val="1F0E6EEE"/>
    <w:rsid w:val="1F17056A"/>
    <w:rsid w:val="1F1C5FD1"/>
    <w:rsid w:val="1F1D4F28"/>
    <w:rsid w:val="1F1E1182"/>
    <w:rsid w:val="1F1E7E71"/>
    <w:rsid w:val="1F217318"/>
    <w:rsid w:val="1F224C5B"/>
    <w:rsid w:val="1F227219"/>
    <w:rsid w:val="1F2D3C09"/>
    <w:rsid w:val="1F2E5B0D"/>
    <w:rsid w:val="1F2F22AB"/>
    <w:rsid w:val="1F2F3473"/>
    <w:rsid w:val="1F32540B"/>
    <w:rsid w:val="1F337DF3"/>
    <w:rsid w:val="1F3534AE"/>
    <w:rsid w:val="1F497D68"/>
    <w:rsid w:val="1F4D7EF7"/>
    <w:rsid w:val="1F4F04EC"/>
    <w:rsid w:val="1F5070C3"/>
    <w:rsid w:val="1F5B4702"/>
    <w:rsid w:val="1F5D69F3"/>
    <w:rsid w:val="1F5F0FE7"/>
    <w:rsid w:val="1F606128"/>
    <w:rsid w:val="1F625A21"/>
    <w:rsid w:val="1F6261FF"/>
    <w:rsid w:val="1F673CEF"/>
    <w:rsid w:val="1F67716B"/>
    <w:rsid w:val="1F6B6431"/>
    <w:rsid w:val="1F6D736E"/>
    <w:rsid w:val="1F6F53E4"/>
    <w:rsid w:val="1F76308C"/>
    <w:rsid w:val="1F7B3857"/>
    <w:rsid w:val="1F815367"/>
    <w:rsid w:val="1F8311AC"/>
    <w:rsid w:val="1F887100"/>
    <w:rsid w:val="1F890C01"/>
    <w:rsid w:val="1F8C43D8"/>
    <w:rsid w:val="1F8D35DE"/>
    <w:rsid w:val="1F904A4C"/>
    <w:rsid w:val="1F970908"/>
    <w:rsid w:val="1FAE084E"/>
    <w:rsid w:val="1FAE4E1A"/>
    <w:rsid w:val="1FB4367F"/>
    <w:rsid w:val="1FB7373D"/>
    <w:rsid w:val="1FBA107E"/>
    <w:rsid w:val="1FBA5FE7"/>
    <w:rsid w:val="1FBD2654"/>
    <w:rsid w:val="1FC01751"/>
    <w:rsid w:val="1FCF6C31"/>
    <w:rsid w:val="1FCF6FD4"/>
    <w:rsid w:val="1FD34B3A"/>
    <w:rsid w:val="1FD37D75"/>
    <w:rsid w:val="1FD60644"/>
    <w:rsid w:val="1FD72A51"/>
    <w:rsid w:val="1FDA1281"/>
    <w:rsid w:val="1FE6208E"/>
    <w:rsid w:val="1FED6EF5"/>
    <w:rsid w:val="1FF6358F"/>
    <w:rsid w:val="1FFC4D50"/>
    <w:rsid w:val="1FFC52C6"/>
    <w:rsid w:val="1FFD2BAA"/>
    <w:rsid w:val="1FFE28D3"/>
    <w:rsid w:val="20074684"/>
    <w:rsid w:val="200C00D2"/>
    <w:rsid w:val="20186AE0"/>
    <w:rsid w:val="201B35F4"/>
    <w:rsid w:val="201F402D"/>
    <w:rsid w:val="202751D5"/>
    <w:rsid w:val="20282881"/>
    <w:rsid w:val="20305083"/>
    <w:rsid w:val="20354A20"/>
    <w:rsid w:val="20384FB4"/>
    <w:rsid w:val="203E6169"/>
    <w:rsid w:val="20447815"/>
    <w:rsid w:val="204C23EB"/>
    <w:rsid w:val="204F5C88"/>
    <w:rsid w:val="20516D61"/>
    <w:rsid w:val="20546B99"/>
    <w:rsid w:val="20565FF0"/>
    <w:rsid w:val="205927F8"/>
    <w:rsid w:val="205E0136"/>
    <w:rsid w:val="205E60A8"/>
    <w:rsid w:val="20614E14"/>
    <w:rsid w:val="20710A1C"/>
    <w:rsid w:val="20793145"/>
    <w:rsid w:val="20817A5C"/>
    <w:rsid w:val="20847EC8"/>
    <w:rsid w:val="20875702"/>
    <w:rsid w:val="208D04FA"/>
    <w:rsid w:val="20930A7C"/>
    <w:rsid w:val="20931884"/>
    <w:rsid w:val="20961622"/>
    <w:rsid w:val="209D526D"/>
    <w:rsid w:val="209D6351"/>
    <w:rsid w:val="20AA5EDD"/>
    <w:rsid w:val="20B457CF"/>
    <w:rsid w:val="20BB491D"/>
    <w:rsid w:val="20C06FC6"/>
    <w:rsid w:val="20C53C31"/>
    <w:rsid w:val="20C7516D"/>
    <w:rsid w:val="20C76911"/>
    <w:rsid w:val="20CA717A"/>
    <w:rsid w:val="20CF65DF"/>
    <w:rsid w:val="20D2625E"/>
    <w:rsid w:val="20DE224F"/>
    <w:rsid w:val="20E27747"/>
    <w:rsid w:val="20E63DDB"/>
    <w:rsid w:val="20E91084"/>
    <w:rsid w:val="20EB07A5"/>
    <w:rsid w:val="20EF7A03"/>
    <w:rsid w:val="20F20573"/>
    <w:rsid w:val="20F62508"/>
    <w:rsid w:val="21006CD1"/>
    <w:rsid w:val="21034ACE"/>
    <w:rsid w:val="2106413E"/>
    <w:rsid w:val="21081746"/>
    <w:rsid w:val="21083255"/>
    <w:rsid w:val="21084888"/>
    <w:rsid w:val="2109623B"/>
    <w:rsid w:val="210C67F6"/>
    <w:rsid w:val="21154253"/>
    <w:rsid w:val="2117275F"/>
    <w:rsid w:val="211B2656"/>
    <w:rsid w:val="211F4CA0"/>
    <w:rsid w:val="212505D6"/>
    <w:rsid w:val="212A2C8F"/>
    <w:rsid w:val="212B25AE"/>
    <w:rsid w:val="21314F63"/>
    <w:rsid w:val="2132527F"/>
    <w:rsid w:val="2134135B"/>
    <w:rsid w:val="2139039E"/>
    <w:rsid w:val="213D0350"/>
    <w:rsid w:val="213E7CD1"/>
    <w:rsid w:val="21450065"/>
    <w:rsid w:val="21470E51"/>
    <w:rsid w:val="21476529"/>
    <w:rsid w:val="214D4A8B"/>
    <w:rsid w:val="215457A5"/>
    <w:rsid w:val="216D025C"/>
    <w:rsid w:val="216E0036"/>
    <w:rsid w:val="21771F72"/>
    <w:rsid w:val="21785C14"/>
    <w:rsid w:val="217E4A1D"/>
    <w:rsid w:val="21853C0C"/>
    <w:rsid w:val="218B1914"/>
    <w:rsid w:val="218C6CF5"/>
    <w:rsid w:val="218D42A3"/>
    <w:rsid w:val="218D564B"/>
    <w:rsid w:val="218E3C98"/>
    <w:rsid w:val="21951953"/>
    <w:rsid w:val="219C1A59"/>
    <w:rsid w:val="219D3087"/>
    <w:rsid w:val="219F12D3"/>
    <w:rsid w:val="21A33B3E"/>
    <w:rsid w:val="21A53641"/>
    <w:rsid w:val="21A73159"/>
    <w:rsid w:val="21AC2468"/>
    <w:rsid w:val="21AF0644"/>
    <w:rsid w:val="21B42061"/>
    <w:rsid w:val="21BD2731"/>
    <w:rsid w:val="21BD72D7"/>
    <w:rsid w:val="21C00CD6"/>
    <w:rsid w:val="21C31D9D"/>
    <w:rsid w:val="21C57215"/>
    <w:rsid w:val="21C8164F"/>
    <w:rsid w:val="21D408EE"/>
    <w:rsid w:val="21D7258B"/>
    <w:rsid w:val="21D73F21"/>
    <w:rsid w:val="21DA44A2"/>
    <w:rsid w:val="21DB123C"/>
    <w:rsid w:val="21E154B4"/>
    <w:rsid w:val="21E5487B"/>
    <w:rsid w:val="21E86926"/>
    <w:rsid w:val="21EC66B4"/>
    <w:rsid w:val="21F00DF2"/>
    <w:rsid w:val="21F22280"/>
    <w:rsid w:val="21F26AAC"/>
    <w:rsid w:val="21F65A5E"/>
    <w:rsid w:val="21FA7EBA"/>
    <w:rsid w:val="21FC7CFA"/>
    <w:rsid w:val="220233DC"/>
    <w:rsid w:val="22072146"/>
    <w:rsid w:val="2207406E"/>
    <w:rsid w:val="22123278"/>
    <w:rsid w:val="22124134"/>
    <w:rsid w:val="221F0E4D"/>
    <w:rsid w:val="22271BA4"/>
    <w:rsid w:val="222B20E9"/>
    <w:rsid w:val="22387DB3"/>
    <w:rsid w:val="224206DD"/>
    <w:rsid w:val="224237B5"/>
    <w:rsid w:val="22432E2A"/>
    <w:rsid w:val="22466B97"/>
    <w:rsid w:val="224B14D6"/>
    <w:rsid w:val="224D42A7"/>
    <w:rsid w:val="22531B36"/>
    <w:rsid w:val="22565BC8"/>
    <w:rsid w:val="2259114A"/>
    <w:rsid w:val="22614644"/>
    <w:rsid w:val="226D7050"/>
    <w:rsid w:val="2280112A"/>
    <w:rsid w:val="22825AE4"/>
    <w:rsid w:val="22921666"/>
    <w:rsid w:val="229A64F9"/>
    <w:rsid w:val="22A35271"/>
    <w:rsid w:val="22A52CA0"/>
    <w:rsid w:val="22B10F34"/>
    <w:rsid w:val="22B65473"/>
    <w:rsid w:val="22B7388E"/>
    <w:rsid w:val="22BC6E19"/>
    <w:rsid w:val="22BF232C"/>
    <w:rsid w:val="22C34857"/>
    <w:rsid w:val="22C706E3"/>
    <w:rsid w:val="22C764C3"/>
    <w:rsid w:val="22CE702F"/>
    <w:rsid w:val="22D336C2"/>
    <w:rsid w:val="22D3488D"/>
    <w:rsid w:val="22D54C27"/>
    <w:rsid w:val="22D70E88"/>
    <w:rsid w:val="22D87DD4"/>
    <w:rsid w:val="22DE264F"/>
    <w:rsid w:val="22E038CD"/>
    <w:rsid w:val="22F01B60"/>
    <w:rsid w:val="22F20070"/>
    <w:rsid w:val="22F268C6"/>
    <w:rsid w:val="22F47655"/>
    <w:rsid w:val="22FB15DD"/>
    <w:rsid w:val="23042452"/>
    <w:rsid w:val="23044B77"/>
    <w:rsid w:val="23054B44"/>
    <w:rsid w:val="230E479D"/>
    <w:rsid w:val="23116B9B"/>
    <w:rsid w:val="231834FD"/>
    <w:rsid w:val="231C1CEE"/>
    <w:rsid w:val="231F1E3B"/>
    <w:rsid w:val="23213064"/>
    <w:rsid w:val="23235BA2"/>
    <w:rsid w:val="23285204"/>
    <w:rsid w:val="23301FA0"/>
    <w:rsid w:val="23334B36"/>
    <w:rsid w:val="233F250A"/>
    <w:rsid w:val="23407539"/>
    <w:rsid w:val="23420DF0"/>
    <w:rsid w:val="234F7B2F"/>
    <w:rsid w:val="235E2DAF"/>
    <w:rsid w:val="23601E3C"/>
    <w:rsid w:val="23610246"/>
    <w:rsid w:val="23633F46"/>
    <w:rsid w:val="2364100A"/>
    <w:rsid w:val="23652945"/>
    <w:rsid w:val="236A0317"/>
    <w:rsid w:val="236E3EBE"/>
    <w:rsid w:val="2371759B"/>
    <w:rsid w:val="23795EB1"/>
    <w:rsid w:val="238202C1"/>
    <w:rsid w:val="238A3069"/>
    <w:rsid w:val="238C1558"/>
    <w:rsid w:val="238F552A"/>
    <w:rsid w:val="23940467"/>
    <w:rsid w:val="239F4366"/>
    <w:rsid w:val="23A347E4"/>
    <w:rsid w:val="23AF665B"/>
    <w:rsid w:val="23C714E7"/>
    <w:rsid w:val="23D24E62"/>
    <w:rsid w:val="23D3275B"/>
    <w:rsid w:val="23DB464F"/>
    <w:rsid w:val="23E05F4B"/>
    <w:rsid w:val="23E36028"/>
    <w:rsid w:val="23EB3814"/>
    <w:rsid w:val="23ED2A15"/>
    <w:rsid w:val="23F3292B"/>
    <w:rsid w:val="23FB4C09"/>
    <w:rsid w:val="240E6825"/>
    <w:rsid w:val="24143F01"/>
    <w:rsid w:val="24175823"/>
    <w:rsid w:val="24176017"/>
    <w:rsid w:val="24192EA8"/>
    <w:rsid w:val="24193733"/>
    <w:rsid w:val="241A74AF"/>
    <w:rsid w:val="2421571B"/>
    <w:rsid w:val="242633B3"/>
    <w:rsid w:val="2427710B"/>
    <w:rsid w:val="242B3F90"/>
    <w:rsid w:val="243E4A34"/>
    <w:rsid w:val="24452DCD"/>
    <w:rsid w:val="244914B0"/>
    <w:rsid w:val="244B10E0"/>
    <w:rsid w:val="244F5C3F"/>
    <w:rsid w:val="245C7482"/>
    <w:rsid w:val="245D1D6C"/>
    <w:rsid w:val="245E61A2"/>
    <w:rsid w:val="245F6588"/>
    <w:rsid w:val="2461246D"/>
    <w:rsid w:val="246137CD"/>
    <w:rsid w:val="246245CF"/>
    <w:rsid w:val="246B1778"/>
    <w:rsid w:val="246E0947"/>
    <w:rsid w:val="247E5680"/>
    <w:rsid w:val="247E7012"/>
    <w:rsid w:val="24802121"/>
    <w:rsid w:val="248818F0"/>
    <w:rsid w:val="248A3F4D"/>
    <w:rsid w:val="248E6D63"/>
    <w:rsid w:val="2492442F"/>
    <w:rsid w:val="24934705"/>
    <w:rsid w:val="24962A1E"/>
    <w:rsid w:val="249A5B5E"/>
    <w:rsid w:val="249F2604"/>
    <w:rsid w:val="24A22864"/>
    <w:rsid w:val="24A64AD6"/>
    <w:rsid w:val="24A8152F"/>
    <w:rsid w:val="24AB2B80"/>
    <w:rsid w:val="24AB77C3"/>
    <w:rsid w:val="24B32402"/>
    <w:rsid w:val="24B32D0F"/>
    <w:rsid w:val="24B82E44"/>
    <w:rsid w:val="24B97D38"/>
    <w:rsid w:val="24BF0AB4"/>
    <w:rsid w:val="24BF1D64"/>
    <w:rsid w:val="24C32A16"/>
    <w:rsid w:val="24C80E66"/>
    <w:rsid w:val="24CA1565"/>
    <w:rsid w:val="24CA6B2E"/>
    <w:rsid w:val="24D00CF3"/>
    <w:rsid w:val="24D4402F"/>
    <w:rsid w:val="24D64F3A"/>
    <w:rsid w:val="24D87EAB"/>
    <w:rsid w:val="24D95AC6"/>
    <w:rsid w:val="24DD2A36"/>
    <w:rsid w:val="24DE4B2C"/>
    <w:rsid w:val="24DF0B92"/>
    <w:rsid w:val="24DF3EAE"/>
    <w:rsid w:val="24E84C82"/>
    <w:rsid w:val="24EC624C"/>
    <w:rsid w:val="24F14265"/>
    <w:rsid w:val="24F6045A"/>
    <w:rsid w:val="24F955C6"/>
    <w:rsid w:val="24FA10C0"/>
    <w:rsid w:val="250D17AC"/>
    <w:rsid w:val="25145EC5"/>
    <w:rsid w:val="25171D4F"/>
    <w:rsid w:val="251832E1"/>
    <w:rsid w:val="25192E0B"/>
    <w:rsid w:val="251C1216"/>
    <w:rsid w:val="251C3DA5"/>
    <w:rsid w:val="25203AC2"/>
    <w:rsid w:val="252A4890"/>
    <w:rsid w:val="252D1C5C"/>
    <w:rsid w:val="252E64E9"/>
    <w:rsid w:val="25315F9C"/>
    <w:rsid w:val="25384F64"/>
    <w:rsid w:val="25397C42"/>
    <w:rsid w:val="253A69DD"/>
    <w:rsid w:val="25451F8E"/>
    <w:rsid w:val="2554247C"/>
    <w:rsid w:val="25550ABA"/>
    <w:rsid w:val="255A6008"/>
    <w:rsid w:val="255D6BAB"/>
    <w:rsid w:val="25644296"/>
    <w:rsid w:val="25645A5B"/>
    <w:rsid w:val="25652101"/>
    <w:rsid w:val="256751DD"/>
    <w:rsid w:val="256C2EA5"/>
    <w:rsid w:val="25701D5B"/>
    <w:rsid w:val="25742762"/>
    <w:rsid w:val="257F46A3"/>
    <w:rsid w:val="2580296A"/>
    <w:rsid w:val="25854BC3"/>
    <w:rsid w:val="258A2F5B"/>
    <w:rsid w:val="258C4F15"/>
    <w:rsid w:val="258F08E9"/>
    <w:rsid w:val="25904E56"/>
    <w:rsid w:val="25932422"/>
    <w:rsid w:val="25946B15"/>
    <w:rsid w:val="25A451F1"/>
    <w:rsid w:val="25A96AF1"/>
    <w:rsid w:val="25B42A42"/>
    <w:rsid w:val="25B518C0"/>
    <w:rsid w:val="25B60C18"/>
    <w:rsid w:val="25B9650C"/>
    <w:rsid w:val="25BD6DDE"/>
    <w:rsid w:val="25C1755E"/>
    <w:rsid w:val="25C275D8"/>
    <w:rsid w:val="25CE610F"/>
    <w:rsid w:val="25D42680"/>
    <w:rsid w:val="25D94CAF"/>
    <w:rsid w:val="25E00D17"/>
    <w:rsid w:val="25E32F60"/>
    <w:rsid w:val="25EB507A"/>
    <w:rsid w:val="25F371D6"/>
    <w:rsid w:val="25F55EA5"/>
    <w:rsid w:val="25F6231C"/>
    <w:rsid w:val="25FA2E8E"/>
    <w:rsid w:val="25FA3950"/>
    <w:rsid w:val="25FB74FF"/>
    <w:rsid w:val="260113D0"/>
    <w:rsid w:val="26032D95"/>
    <w:rsid w:val="26040C7A"/>
    <w:rsid w:val="26084DAB"/>
    <w:rsid w:val="260B2D6C"/>
    <w:rsid w:val="260E17F7"/>
    <w:rsid w:val="261013CE"/>
    <w:rsid w:val="261566A7"/>
    <w:rsid w:val="261C62A7"/>
    <w:rsid w:val="261D4955"/>
    <w:rsid w:val="2620007A"/>
    <w:rsid w:val="26236F21"/>
    <w:rsid w:val="26322E6A"/>
    <w:rsid w:val="26377C85"/>
    <w:rsid w:val="263F00B9"/>
    <w:rsid w:val="264320FD"/>
    <w:rsid w:val="26460793"/>
    <w:rsid w:val="26483B14"/>
    <w:rsid w:val="264C4C04"/>
    <w:rsid w:val="26530A9F"/>
    <w:rsid w:val="265C6606"/>
    <w:rsid w:val="265F20D1"/>
    <w:rsid w:val="266236D1"/>
    <w:rsid w:val="266730F1"/>
    <w:rsid w:val="266B5B11"/>
    <w:rsid w:val="266D6BD9"/>
    <w:rsid w:val="2671458E"/>
    <w:rsid w:val="26775D9D"/>
    <w:rsid w:val="267A5891"/>
    <w:rsid w:val="267F5792"/>
    <w:rsid w:val="26885B62"/>
    <w:rsid w:val="26893DE1"/>
    <w:rsid w:val="268A37C2"/>
    <w:rsid w:val="268B1FDC"/>
    <w:rsid w:val="2691355E"/>
    <w:rsid w:val="2698449A"/>
    <w:rsid w:val="269C2096"/>
    <w:rsid w:val="269C2C91"/>
    <w:rsid w:val="269D0C55"/>
    <w:rsid w:val="26A2124B"/>
    <w:rsid w:val="26A53411"/>
    <w:rsid w:val="26A7041D"/>
    <w:rsid w:val="26B45E51"/>
    <w:rsid w:val="26BF70E7"/>
    <w:rsid w:val="26C371D6"/>
    <w:rsid w:val="26C648CB"/>
    <w:rsid w:val="26C64937"/>
    <w:rsid w:val="26CA7787"/>
    <w:rsid w:val="26CE0D0A"/>
    <w:rsid w:val="26D76195"/>
    <w:rsid w:val="26DA19F5"/>
    <w:rsid w:val="26E24EDB"/>
    <w:rsid w:val="26E3443B"/>
    <w:rsid w:val="26E45AAE"/>
    <w:rsid w:val="26E50866"/>
    <w:rsid w:val="26E66FFF"/>
    <w:rsid w:val="26E67753"/>
    <w:rsid w:val="26E7435F"/>
    <w:rsid w:val="26E9650D"/>
    <w:rsid w:val="26EE4355"/>
    <w:rsid w:val="26F204D3"/>
    <w:rsid w:val="26FB4569"/>
    <w:rsid w:val="26FD6C53"/>
    <w:rsid w:val="27004DD6"/>
    <w:rsid w:val="27017E89"/>
    <w:rsid w:val="270722D9"/>
    <w:rsid w:val="270B1B66"/>
    <w:rsid w:val="271434AB"/>
    <w:rsid w:val="271869E8"/>
    <w:rsid w:val="27186EBE"/>
    <w:rsid w:val="271A751C"/>
    <w:rsid w:val="271D6B39"/>
    <w:rsid w:val="27265911"/>
    <w:rsid w:val="273068B7"/>
    <w:rsid w:val="273201E4"/>
    <w:rsid w:val="27320A06"/>
    <w:rsid w:val="273F6676"/>
    <w:rsid w:val="27400E09"/>
    <w:rsid w:val="274A39EE"/>
    <w:rsid w:val="274B22B8"/>
    <w:rsid w:val="27517341"/>
    <w:rsid w:val="27526B9D"/>
    <w:rsid w:val="275E521A"/>
    <w:rsid w:val="275F5AF1"/>
    <w:rsid w:val="27625731"/>
    <w:rsid w:val="276614B6"/>
    <w:rsid w:val="2766620E"/>
    <w:rsid w:val="276A7427"/>
    <w:rsid w:val="276F4D98"/>
    <w:rsid w:val="27701BC8"/>
    <w:rsid w:val="277975E9"/>
    <w:rsid w:val="277D08C9"/>
    <w:rsid w:val="277E7531"/>
    <w:rsid w:val="278943F6"/>
    <w:rsid w:val="278E57BA"/>
    <w:rsid w:val="278F70EF"/>
    <w:rsid w:val="27930564"/>
    <w:rsid w:val="27933FFF"/>
    <w:rsid w:val="2795008C"/>
    <w:rsid w:val="279626C4"/>
    <w:rsid w:val="2797083D"/>
    <w:rsid w:val="27986C5D"/>
    <w:rsid w:val="279D39D3"/>
    <w:rsid w:val="27A03246"/>
    <w:rsid w:val="27A56536"/>
    <w:rsid w:val="27A752EF"/>
    <w:rsid w:val="27A924CF"/>
    <w:rsid w:val="27AB5EB8"/>
    <w:rsid w:val="27AF2872"/>
    <w:rsid w:val="27B53D2D"/>
    <w:rsid w:val="27B6727F"/>
    <w:rsid w:val="27B82284"/>
    <w:rsid w:val="27B86EE6"/>
    <w:rsid w:val="27BA09AA"/>
    <w:rsid w:val="27BF0418"/>
    <w:rsid w:val="27C34492"/>
    <w:rsid w:val="27C97BA7"/>
    <w:rsid w:val="27CD76B7"/>
    <w:rsid w:val="27D75E6B"/>
    <w:rsid w:val="27D84123"/>
    <w:rsid w:val="27DA502D"/>
    <w:rsid w:val="27E14338"/>
    <w:rsid w:val="27EA03CD"/>
    <w:rsid w:val="27EE193E"/>
    <w:rsid w:val="27EE30C9"/>
    <w:rsid w:val="27F54241"/>
    <w:rsid w:val="27F746E2"/>
    <w:rsid w:val="27FD6CA9"/>
    <w:rsid w:val="27FF1889"/>
    <w:rsid w:val="2803561F"/>
    <w:rsid w:val="2808656C"/>
    <w:rsid w:val="280900DC"/>
    <w:rsid w:val="280E49B1"/>
    <w:rsid w:val="280F2145"/>
    <w:rsid w:val="281957ED"/>
    <w:rsid w:val="281D751C"/>
    <w:rsid w:val="28212C36"/>
    <w:rsid w:val="28213634"/>
    <w:rsid w:val="28251DB2"/>
    <w:rsid w:val="282B217B"/>
    <w:rsid w:val="28360FB6"/>
    <w:rsid w:val="283E4C2D"/>
    <w:rsid w:val="284E292E"/>
    <w:rsid w:val="28506670"/>
    <w:rsid w:val="285157A8"/>
    <w:rsid w:val="28541A1D"/>
    <w:rsid w:val="28593AB7"/>
    <w:rsid w:val="28603234"/>
    <w:rsid w:val="28614D26"/>
    <w:rsid w:val="2867585F"/>
    <w:rsid w:val="28675C15"/>
    <w:rsid w:val="286F6AF9"/>
    <w:rsid w:val="28742C06"/>
    <w:rsid w:val="28766707"/>
    <w:rsid w:val="28775CEA"/>
    <w:rsid w:val="287D65FF"/>
    <w:rsid w:val="287D67D7"/>
    <w:rsid w:val="288052DA"/>
    <w:rsid w:val="288208A7"/>
    <w:rsid w:val="28863181"/>
    <w:rsid w:val="2888784D"/>
    <w:rsid w:val="288B2C61"/>
    <w:rsid w:val="28952C08"/>
    <w:rsid w:val="28953F23"/>
    <w:rsid w:val="289760AB"/>
    <w:rsid w:val="289E2B86"/>
    <w:rsid w:val="289E3305"/>
    <w:rsid w:val="28A55EDB"/>
    <w:rsid w:val="28AA30AA"/>
    <w:rsid w:val="28AE78C7"/>
    <w:rsid w:val="28AF4B8C"/>
    <w:rsid w:val="28B15049"/>
    <w:rsid w:val="28B17395"/>
    <w:rsid w:val="28B20BF9"/>
    <w:rsid w:val="28B55694"/>
    <w:rsid w:val="28B81054"/>
    <w:rsid w:val="28BB6FC7"/>
    <w:rsid w:val="28BE4DC7"/>
    <w:rsid w:val="28BE71F2"/>
    <w:rsid w:val="28C303E2"/>
    <w:rsid w:val="28C61EF2"/>
    <w:rsid w:val="28C70458"/>
    <w:rsid w:val="28C94506"/>
    <w:rsid w:val="28CB568F"/>
    <w:rsid w:val="28CE61D6"/>
    <w:rsid w:val="28DA68BD"/>
    <w:rsid w:val="28DC6300"/>
    <w:rsid w:val="28DE2798"/>
    <w:rsid w:val="28E03B26"/>
    <w:rsid w:val="28E3072D"/>
    <w:rsid w:val="28E80935"/>
    <w:rsid w:val="28F97AD9"/>
    <w:rsid w:val="29000366"/>
    <w:rsid w:val="290173BB"/>
    <w:rsid w:val="29023BCC"/>
    <w:rsid w:val="290B54B3"/>
    <w:rsid w:val="29172FE4"/>
    <w:rsid w:val="291D2138"/>
    <w:rsid w:val="29201D35"/>
    <w:rsid w:val="292040A7"/>
    <w:rsid w:val="292340AA"/>
    <w:rsid w:val="292A39DD"/>
    <w:rsid w:val="292B7BC0"/>
    <w:rsid w:val="292C3348"/>
    <w:rsid w:val="293109A6"/>
    <w:rsid w:val="2933211A"/>
    <w:rsid w:val="293624B1"/>
    <w:rsid w:val="293A09C7"/>
    <w:rsid w:val="293A6AD8"/>
    <w:rsid w:val="29435296"/>
    <w:rsid w:val="294565F7"/>
    <w:rsid w:val="29486DD8"/>
    <w:rsid w:val="29535DDD"/>
    <w:rsid w:val="295E3D2F"/>
    <w:rsid w:val="29625944"/>
    <w:rsid w:val="29644CFB"/>
    <w:rsid w:val="296D04AD"/>
    <w:rsid w:val="296D5C11"/>
    <w:rsid w:val="29730784"/>
    <w:rsid w:val="29795ECC"/>
    <w:rsid w:val="297C3588"/>
    <w:rsid w:val="297F316B"/>
    <w:rsid w:val="29844F62"/>
    <w:rsid w:val="29890336"/>
    <w:rsid w:val="29984369"/>
    <w:rsid w:val="299A1A9E"/>
    <w:rsid w:val="299A2C16"/>
    <w:rsid w:val="299D6CA9"/>
    <w:rsid w:val="29A33449"/>
    <w:rsid w:val="29A96E31"/>
    <w:rsid w:val="29AE4919"/>
    <w:rsid w:val="29AE57E0"/>
    <w:rsid w:val="29B6131B"/>
    <w:rsid w:val="29BA1EDA"/>
    <w:rsid w:val="29C0396C"/>
    <w:rsid w:val="29C412E2"/>
    <w:rsid w:val="29C41F6B"/>
    <w:rsid w:val="29C87260"/>
    <w:rsid w:val="29D11FFC"/>
    <w:rsid w:val="29D93BCF"/>
    <w:rsid w:val="29DD4BFB"/>
    <w:rsid w:val="29E71D70"/>
    <w:rsid w:val="29EA77A9"/>
    <w:rsid w:val="29F1104C"/>
    <w:rsid w:val="29FC170E"/>
    <w:rsid w:val="29FF3D5C"/>
    <w:rsid w:val="2A0219AE"/>
    <w:rsid w:val="2A061D13"/>
    <w:rsid w:val="2A0D30FD"/>
    <w:rsid w:val="2A0E4A41"/>
    <w:rsid w:val="2A161032"/>
    <w:rsid w:val="2A175113"/>
    <w:rsid w:val="2A18269B"/>
    <w:rsid w:val="2A1C33CF"/>
    <w:rsid w:val="2A1C6D9A"/>
    <w:rsid w:val="2A1F4F7B"/>
    <w:rsid w:val="2A2143E1"/>
    <w:rsid w:val="2A220A38"/>
    <w:rsid w:val="2A2253CB"/>
    <w:rsid w:val="2A245526"/>
    <w:rsid w:val="2A255A4A"/>
    <w:rsid w:val="2A2563D3"/>
    <w:rsid w:val="2A270447"/>
    <w:rsid w:val="2A271F80"/>
    <w:rsid w:val="2A273B0F"/>
    <w:rsid w:val="2A2B292D"/>
    <w:rsid w:val="2A2D6C21"/>
    <w:rsid w:val="2A3013E2"/>
    <w:rsid w:val="2A3256C4"/>
    <w:rsid w:val="2A3527A6"/>
    <w:rsid w:val="2A3535C1"/>
    <w:rsid w:val="2A3D242B"/>
    <w:rsid w:val="2A410C87"/>
    <w:rsid w:val="2A462177"/>
    <w:rsid w:val="2A4A02B7"/>
    <w:rsid w:val="2A5421B3"/>
    <w:rsid w:val="2A5A1217"/>
    <w:rsid w:val="2A5B1215"/>
    <w:rsid w:val="2A5F7672"/>
    <w:rsid w:val="2A651D5E"/>
    <w:rsid w:val="2A72039E"/>
    <w:rsid w:val="2A776F90"/>
    <w:rsid w:val="2A7D68BF"/>
    <w:rsid w:val="2A7E06B5"/>
    <w:rsid w:val="2A7F3098"/>
    <w:rsid w:val="2A803476"/>
    <w:rsid w:val="2A871114"/>
    <w:rsid w:val="2A88135B"/>
    <w:rsid w:val="2A9A626B"/>
    <w:rsid w:val="2A9F60D8"/>
    <w:rsid w:val="2AA66A2D"/>
    <w:rsid w:val="2AA822C3"/>
    <w:rsid w:val="2AA859E4"/>
    <w:rsid w:val="2AAE6E95"/>
    <w:rsid w:val="2AB016D5"/>
    <w:rsid w:val="2AB514B5"/>
    <w:rsid w:val="2AB86118"/>
    <w:rsid w:val="2ABB2E6D"/>
    <w:rsid w:val="2ABB5F11"/>
    <w:rsid w:val="2ABD00AE"/>
    <w:rsid w:val="2AC02FBB"/>
    <w:rsid w:val="2AC57AD7"/>
    <w:rsid w:val="2ACA2F4C"/>
    <w:rsid w:val="2AD1724D"/>
    <w:rsid w:val="2AD5610E"/>
    <w:rsid w:val="2ADE55B7"/>
    <w:rsid w:val="2AED237F"/>
    <w:rsid w:val="2AEF05E1"/>
    <w:rsid w:val="2AF42E02"/>
    <w:rsid w:val="2AF51DE8"/>
    <w:rsid w:val="2AF55C2C"/>
    <w:rsid w:val="2AF914C1"/>
    <w:rsid w:val="2B064975"/>
    <w:rsid w:val="2B085C96"/>
    <w:rsid w:val="2B0A756E"/>
    <w:rsid w:val="2B16702E"/>
    <w:rsid w:val="2B182E76"/>
    <w:rsid w:val="2B18359B"/>
    <w:rsid w:val="2B1C7EAB"/>
    <w:rsid w:val="2B1D2A95"/>
    <w:rsid w:val="2B2221A0"/>
    <w:rsid w:val="2B27172C"/>
    <w:rsid w:val="2B2C66D7"/>
    <w:rsid w:val="2B2C74DD"/>
    <w:rsid w:val="2B343E0D"/>
    <w:rsid w:val="2B344156"/>
    <w:rsid w:val="2B3D6D77"/>
    <w:rsid w:val="2B47764B"/>
    <w:rsid w:val="2B496F72"/>
    <w:rsid w:val="2B4E0E2A"/>
    <w:rsid w:val="2B524B70"/>
    <w:rsid w:val="2B5503C6"/>
    <w:rsid w:val="2B5878D6"/>
    <w:rsid w:val="2B623A80"/>
    <w:rsid w:val="2B655028"/>
    <w:rsid w:val="2B6843B3"/>
    <w:rsid w:val="2B69256A"/>
    <w:rsid w:val="2B6A5BD0"/>
    <w:rsid w:val="2B6C7BFE"/>
    <w:rsid w:val="2B6F1EAB"/>
    <w:rsid w:val="2B6F2C30"/>
    <w:rsid w:val="2B73463D"/>
    <w:rsid w:val="2B744C28"/>
    <w:rsid w:val="2B755661"/>
    <w:rsid w:val="2B770B47"/>
    <w:rsid w:val="2B7729D0"/>
    <w:rsid w:val="2B7A09E4"/>
    <w:rsid w:val="2B7A5C46"/>
    <w:rsid w:val="2B7B0E1A"/>
    <w:rsid w:val="2B7D599B"/>
    <w:rsid w:val="2B8256AB"/>
    <w:rsid w:val="2B850884"/>
    <w:rsid w:val="2B8B2165"/>
    <w:rsid w:val="2B970882"/>
    <w:rsid w:val="2B987001"/>
    <w:rsid w:val="2BA47915"/>
    <w:rsid w:val="2BA52796"/>
    <w:rsid w:val="2BA9193F"/>
    <w:rsid w:val="2BB005D5"/>
    <w:rsid w:val="2BB10866"/>
    <w:rsid w:val="2BB32F02"/>
    <w:rsid w:val="2BB33A3B"/>
    <w:rsid w:val="2BB41E05"/>
    <w:rsid w:val="2BB708DC"/>
    <w:rsid w:val="2BB8699F"/>
    <w:rsid w:val="2BBF5237"/>
    <w:rsid w:val="2BC108B8"/>
    <w:rsid w:val="2BC751E3"/>
    <w:rsid w:val="2BCE0ED2"/>
    <w:rsid w:val="2BCF507E"/>
    <w:rsid w:val="2BD033C6"/>
    <w:rsid w:val="2BD3409E"/>
    <w:rsid w:val="2BD4010E"/>
    <w:rsid w:val="2BDD7F0B"/>
    <w:rsid w:val="2BE27F90"/>
    <w:rsid w:val="2BE329A7"/>
    <w:rsid w:val="2BE40331"/>
    <w:rsid w:val="2BE97399"/>
    <w:rsid w:val="2BEC5D7F"/>
    <w:rsid w:val="2BF8718F"/>
    <w:rsid w:val="2BF90AB0"/>
    <w:rsid w:val="2C017FD0"/>
    <w:rsid w:val="2C040577"/>
    <w:rsid w:val="2C114A56"/>
    <w:rsid w:val="2C152CFD"/>
    <w:rsid w:val="2C1925ED"/>
    <w:rsid w:val="2C19379F"/>
    <w:rsid w:val="2C2115BD"/>
    <w:rsid w:val="2C2516A8"/>
    <w:rsid w:val="2C29555C"/>
    <w:rsid w:val="2C2B5E76"/>
    <w:rsid w:val="2C2C5133"/>
    <w:rsid w:val="2C2C59C0"/>
    <w:rsid w:val="2C320572"/>
    <w:rsid w:val="2C337BE0"/>
    <w:rsid w:val="2C362681"/>
    <w:rsid w:val="2C362F20"/>
    <w:rsid w:val="2C370250"/>
    <w:rsid w:val="2C3963B8"/>
    <w:rsid w:val="2C3B7C44"/>
    <w:rsid w:val="2C4235B7"/>
    <w:rsid w:val="2C4A67C8"/>
    <w:rsid w:val="2C4C324B"/>
    <w:rsid w:val="2C5A2492"/>
    <w:rsid w:val="2C6041FF"/>
    <w:rsid w:val="2C631C93"/>
    <w:rsid w:val="2C6F13FA"/>
    <w:rsid w:val="2C726992"/>
    <w:rsid w:val="2C873058"/>
    <w:rsid w:val="2C885D48"/>
    <w:rsid w:val="2C88647E"/>
    <w:rsid w:val="2C8D0F08"/>
    <w:rsid w:val="2C8D118C"/>
    <w:rsid w:val="2C8E1ABB"/>
    <w:rsid w:val="2C99487E"/>
    <w:rsid w:val="2C9F2B6C"/>
    <w:rsid w:val="2C9F42F4"/>
    <w:rsid w:val="2CA36230"/>
    <w:rsid w:val="2CA46E16"/>
    <w:rsid w:val="2CA62D0E"/>
    <w:rsid w:val="2CAB2737"/>
    <w:rsid w:val="2CAB5A9F"/>
    <w:rsid w:val="2CB2000B"/>
    <w:rsid w:val="2CB42862"/>
    <w:rsid w:val="2CB65A0D"/>
    <w:rsid w:val="2CC03A54"/>
    <w:rsid w:val="2CC362F1"/>
    <w:rsid w:val="2CC82BB6"/>
    <w:rsid w:val="2CCB1B1F"/>
    <w:rsid w:val="2CCB70F0"/>
    <w:rsid w:val="2CCB7EB3"/>
    <w:rsid w:val="2CD46349"/>
    <w:rsid w:val="2CD8675F"/>
    <w:rsid w:val="2CDC33A9"/>
    <w:rsid w:val="2CE81AB7"/>
    <w:rsid w:val="2CE94561"/>
    <w:rsid w:val="2CEF414D"/>
    <w:rsid w:val="2CFE33BF"/>
    <w:rsid w:val="2D001F73"/>
    <w:rsid w:val="2D046837"/>
    <w:rsid w:val="2D06284E"/>
    <w:rsid w:val="2D0632B8"/>
    <w:rsid w:val="2D090511"/>
    <w:rsid w:val="2D0A661F"/>
    <w:rsid w:val="2D0F2A5E"/>
    <w:rsid w:val="2D110B22"/>
    <w:rsid w:val="2D1144A7"/>
    <w:rsid w:val="2D134CF8"/>
    <w:rsid w:val="2D1E207B"/>
    <w:rsid w:val="2D202AFF"/>
    <w:rsid w:val="2D257C50"/>
    <w:rsid w:val="2D3073E8"/>
    <w:rsid w:val="2D35469C"/>
    <w:rsid w:val="2D377127"/>
    <w:rsid w:val="2D383C61"/>
    <w:rsid w:val="2D3A109E"/>
    <w:rsid w:val="2D3D6A25"/>
    <w:rsid w:val="2D466B2F"/>
    <w:rsid w:val="2D4E0C7B"/>
    <w:rsid w:val="2D560FAF"/>
    <w:rsid w:val="2D563678"/>
    <w:rsid w:val="2D62147A"/>
    <w:rsid w:val="2D633C39"/>
    <w:rsid w:val="2D6F6303"/>
    <w:rsid w:val="2D700CE8"/>
    <w:rsid w:val="2D703E3B"/>
    <w:rsid w:val="2D745B5D"/>
    <w:rsid w:val="2D795958"/>
    <w:rsid w:val="2D7E5950"/>
    <w:rsid w:val="2D7F185E"/>
    <w:rsid w:val="2D817D1F"/>
    <w:rsid w:val="2D82506D"/>
    <w:rsid w:val="2D862414"/>
    <w:rsid w:val="2D8743C4"/>
    <w:rsid w:val="2D886ED4"/>
    <w:rsid w:val="2D8B0290"/>
    <w:rsid w:val="2D8B2E47"/>
    <w:rsid w:val="2D906B11"/>
    <w:rsid w:val="2D92602D"/>
    <w:rsid w:val="2D942855"/>
    <w:rsid w:val="2D9B0971"/>
    <w:rsid w:val="2DA62216"/>
    <w:rsid w:val="2DA937E5"/>
    <w:rsid w:val="2DAF16BC"/>
    <w:rsid w:val="2DB26F9F"/>
    <w:rsid w:val="2DBA1212"/>
    <w:rsid w:val="2DC21ABC"/>
    <w:rsid w:val="2DC76B06"/>
    <w:rsid w:val="2DC90E34"/>
    <w:rsid w:val="2DC97BCE"/>
    <w:rsid w:val="2DCD0505"/>
    <w:rsid w:val="2DCF2704"/>
    <w:rsid w:val="2DD311CE"/>
    <w:rsid w:val="2DD531D1"/>
    <w:rsid w:val="2DD56B22"/>
    <w:rsid w:val="2DD87E36"/>
    <w:rsid w:val="2DD912B6"/>
    <w:rsid w:val="2DD97F51"/>
    <w:rsid w:val="2DDC1266"/>
    <w:rsid w:val="2DE37637"/>
    <w:rsid w:val="2DE44344"/>
    <w:rsid w:val="2DE53693"/>
    <w:rsid w:val="2DE7388E"/>
    <w:rsid w:val="2DEB564B"/>
    <w:rsid w:val="2DEC0464"/>
    <w:rsid w:val="2DEC0677"/>
    <w:rsid w:val="2DED1672"/>
    <w:rsid w:val="2DEE4E99"/>
    <w:rsid w:val="2DF17D93"/>
    <w:rsid w:val="2DFB5C93"/>
    <w:rsid w:val="2E06713D"/>
    <w:rsid w:val="2E075EAC"/>
    <w:rsid w:val="2E085E65"/>
    <w:rsid w:val="2E112EB5"/>
    <w:rsid w:val="2E1410A2"/>
    <w:rsid w:val="2E175BC2"/>
    <w:rsid w:val="2E192674"/>
    <w:rsid w:val="2E1E4730"/>
    <w:rsid w:val="2E2C2993"/>
    <w:rsid w:val="2E2C7257"/>
    <w:rsid w:val="2E2D5514"/>
    <w:rsid w:val="2E2E120C"/>
    <w:rsid w:val="2E2F5948"/>
    <w:rsid w:val="2E326C51"/>
    <w:rsid w:val="2E335F32"/>
    <w:rsid w:val="2E37577E"/>
    <w:rsid w:val="2E3A305D"/>
    <w:rsid w:val="2E4306B2"/>
    <w:rsid w:val="2E436A8B"/>
    <w:rsid w:val="2E4F4068"/>
    <w:rsid w:val="2E5465FB"/>
    <w:rsid w:val="2E567B27"/>
    <w:rsid w:val="2E61427D"/>
    <w:rsid w:val="2E63661C"/>
    <w:rsid w:val="2E6762F6"/>
    <w:rsid w:val="2E6D2EBA"/>
    <w:rsid w:val="2E6D44F5"/>
    <w:rsid w:val="2E73711C"/>
    <w:rsid w:val="2E7371BA"/>
    <w:rsid w:val="2E7908F1"/>
    <w:rsid w:val="2E79213F"/>
    <w:rsid w:val="2E7A2DE5"/>
    <w:rsid w:val="2E7A3911"/>
    <w:rsid w:val="2E7A71A2"/>
    <w:rsid w:val="2E7B1A99"/>
    <w:rsid w:val="2E7F4BB6"/>
    <w:rsid w:val="2E8170FF"/>
    <w:rsid w:val="2E85679E"/>
    <w:rsid w:val="2E8A25DC"/>
    <w:rsid w:val="2E8D07E0"/>
    <w:rsid w:val="2E902729"/>
    <w:rsid w:val="2E952B3C"/>
    <w:rsid w:val="2E9E63A3"/>
    <w:rsid w:val="2EA20D91"/>
    <w:rsid w:val="2EA34203"/>
    <w:rsid w:val="2EA50C03"/>
    <w:rsid w:val="2EAA4783"/>
    <w:rsid w:val="2EAB3A07"/>
    <w:rsid w:val="2EAE0F09"/>
    <w:rsid w:val="2EB13B51"/>
    <w:rsid w:val="2EB51576"/>
    <w:rsid w:val="2EB7098A"/>
    <w:rsid w:val="2EB90F69"/>
    <w:rsid w:val="2EBA02A3"/>
    <w:rsid w:val="2EBE1844"/>
    <w:rsid w:val="2EC578D1"/>
    <w:rsid w:val="2EC87EBE"/>
    <w:rsid w:val="2ECD4010"/>
    <w:rsid w:val="2ED05F7D"/>
    <w:rsid w:val="2ED443CA"/>
    <w:rsid w:val="2EDF779A"/>
    <w:rsid w:val="2EE30BAE"/>
    <w:rsid w:val="2EE4664C"/>
    <w:rsid w:val="2EEF7A3B"/>
    <w:rsid w:val="2EF37A1C"/>
    <w:rsid w:val="2EF525C9"/>
    <w:rsid w:val="2EF5323A"/>
    <w:rsid w:val="2EF936A8"/>
    <w:rsid w:val="2F03339C"/>
    <w:rsid w:val="2F074733"/>
    <w:rsid w:val="2F1114DA"/>
    <w:rsid w:val="2F12724B"/>
    <w:rsid w:val="2F136993"/>
    <w:rsid w:val="2F141834"/>
    <w:rsid w:val="2F144A2E"/>
    <w:rsid w:val="2F18406D"/>
    <w:rsid w:val="2F1942EF"/>
    <w:rsid w:val="2F1A1069"/>
    <w:rsid w:val="2F223D67"/>
    <w:rsid w:val="2F251068"/>
    <w:rsid w:val="2F273B07"/>
    <w:rsid w:val="2F2A4F03"/>
    <w:rsid w:val="2F2A5CE9"/>
    <w:rsid w:val="2F375454"/>
    <w:rsid w:val="2F381795"/>
    <w:rsid w:val="2F387827"/>
    <w:rsid w:val="2F4578A4"/>
    <w:rsid w:val="2F465B8A"/>
    <w:rsid w:val="2F6077A9"/>
    <w:rsid w:val="2F647307"/>
    <w:rsid w:val="2F652A5D"/>
    <w:rsid w:val="2F6545D7"/>
    <w:rsid w:val="2F696015"/>
    <w:rsid w:val="2F6F7E12"/>
    <w:rsid w:val="2F704588"/>
    <w:rsid w:val="2F756059"/>
    <w:rsid w:val="2F7C2766"/>
    <w:rsid w:val="2F824C91"/>
    <w:rsid w:val="2F841ED2"/>
    <w:rsid w:val="2F8B1D83"/>
    <w:rsid w:val="2F8D13EF"/>
    <w:rsid w:val="2F8F05EE"/>
    <w:rsid w:val="2F9078CD"/>
    <w:rsid w:val="2F9528DB"/>
    <w:rsid w:val="2F9A6E7B"/>
    <w:rsid w:val="2F9E52C4"/>
    <w:rsid w:val="2FA16E0B"/>
    <w:rsid w:val="2FA47E8C"/>
    <w:rsid w:val="2FA8239A"/>
    <w:rsid w:val="2FAD2840"/>
    <w:rsid w:val="2FAD4C01"/>
    <w:rsid w:val="2FAF29CC"/>
    <w:rsid w:val="2FB57ACC"/>
    <w:rsid w:val="2FB7144F"/>
    <w:rsid w:val="2FB80F6A"/>
    <w:rsid w:val="2FBB3935"/>
    <w:rsid w:val="2FBE51C5"/>
    <w:rsid w:val="2FC8174D"/>
    <w:rsid w:val="2FD04CFE"/>
    <w:rsid w:val="2FDB7D3A"/>
    <w:rsid w:val="2FE17C36"/>
    <w:rsid w:val="2FE54686"/>
    <w:rsid w:val="2FEF430A"/>
    <w:rsid w:val="2FF07093"/>
    <w:rsid w:val="2FF22019"/>
    <w:rsid w:val="2FF55F22"/>
    <w:rsid w:val="2FFC7CD7"/>
    <w:rsid w:val="30065867"/>
    <w:rsid w:val="300B3D95"/>
    <w:rsid w:val="300D29CD"/>
    <w:rsid w:val="300E0C29"/>
    <w:rsid w:val="30181F76"/>
    <w:rsid w:val="30224498"/>
    <w:rsid w:val="302575C8"/>
    <w:rsid w:val="302F1C72"/>
    <w:rsid w:val="303E7825"/>
    <w:rsid w:val="30401DC7"/>
    <w:rsid w:val="3040616F"/>
    <w:rsid w:val="30431B5E"/>
    <w:rsid w:val="30484F7C"/>
    <w:rsid w:val="304A6C20"/>
    <w:rsid w:val="304C2724"/>
    <w:rsid w:val="30527E8D"/>
    <w:rsid w:val="30583D55"/>
    <w:rsid w:val="30597CF7"/>
    <w:rsid w:val="305A7E84"/>
    <w:rsid w:val="306D25CF"/>
    <w:rsid w:val="306F2641"/>
    <w:rsid w:val="30720E55"/>
    <w:rsid w:val="30725098"/>
    <w:rsid w:val="307B6532"/>
    <w:rsid w:val="307F6370"/>
    <w:rsid w:val="308969A9"/>
    <w:rsid w:val="308B5851"/>
    <w:rsid w:val="308C22AE"/>
    <w:rsid w:val="308D6B43"/>
    <w:rsid w:val="30AD71CB"/>
    <w:rsid w:val="30AF2097"/>
    <w:rsid w:val="30B76676"/>
    <w:rsid w:val="30BD1702"/>
    <w:rsid w:val="30BE4AF6"/>
    <w:rsid w:val="30C12854"/>
    <w:rsid w:val="30C2547D"/>
    <w:rsid w:val="30C67F0B"/>
    <w:rsid w:val="30C84413"/>
    <w:rsid w:val="30CE437A"/>
    <w:rsid w:val="30D15498"/>
    <w:rsid w:val="30D64DA3"/>
    <w:rsid w:val="30D67532"/>
    <w:rsid w:val="30D84534"/>
    <w:rsid w:val="30E056B3"/>
    <w:rsid w:val="30E316B8"/>
    <w:rsid w:val="30E41921"/>
    <w:rsid w:val="30EB2FFF"/>
    <w:rsid w:val="30F23066"/>
    <w:rsid w:val="30FA799A"/>
    <w:rsid w:val="30FF2927"/>
    <w:rsid w:val="3101450E"/>
    <w:rsid w:val="31147331"/>
    <w:rsid w:val="311B1FB9"/>
    <w:rsid w:val="3122551A"/>
    <w:rsid w:val="3123622F"/>
    <w:rsid w:val="31246468"/>
    <w:rsid w:val="312679D1"/>
    <w:rsid w:val="312D4A6A"/>
    <w:rsid w:val="312E374A"/>
    <w:rsid w:val="3130720B"/>
    <w:rsid w:val="31331710"/>
    <w:rsid w:val="31374B3F"/>
    <w:rsid w:val="31390C48"/>
    <w:rsid w:val="313C31C3"/>
    <w:rsid w:val="313F4CDB"/>
    <w:rsid w:val="31495B4E"/>
    <w:rsid w:val="316223CB"/>
    <w:rsid w:val="31672E8B"/>
    <w:rsid w:val="31677714"/>
    <w:rsid w:val="31682E99"/>
    <w:rsid w:val="316B7F07"/>
    <w:rsid w:val="316C2EA1"/>
    <w:rsid w:val="316C41DE"/>
    <w:rsid w:val="31715142"/>
    <w:rsid w:val="31723E69"/>
    <w:rsid w:val="3174184B"/>
    <w:rsid w:val="317959BE"/>
    <w:rsid w:val="31796493"/>
    <w:rsid w:val="317C2FF7"/>
    <w:rsid w:val="317D495A"/>
    <w:rsid w:val="318065E3"/>
    <w:rsid w:val="31806F06"/>
    <w:rsid w:val="31902772"/>
    <w:rsid w:val="31934C67"/>
    <w:rsid w:val="31A94588"/>
    <w:rsid w:val="31BA0CB5"/>
    <w:rsid w:val="31BB0039"/>
    <w:rsid w:val="31C066D8"/>
    <w:rsid w:val="31C144CD"/>
    <w:rsid w:val="31C96976"/>
    <w:rsid w:val="31CA31BD"/>
    <w:rsid w:val="31CA4E71"/>
    <w:rsid w:val="31CC6207"/>
    <w:rsid w:val="31DA2B3B"/>
    <w:rsid w:val="31DC26FE"/>
    <w:rsid w:val="31E220E2"/>
    <w:rsid w:val="31E4396A"/>
    <w:rsid w:val="31E507A8"/>
    <w:rsid w:val="31EA1C9D"/>
    <w:rsid w:val="31EF6811"/>
    <w:rsid w:val="31F63C41"/>
    <w:rsid w:val="31FB2C5C"/>
    <w:rsid w:val="31FE6F89"/>
    <w:rsid w:val="320076DD"/>
    <w:rsid w:val="320408F9"/>
    <w:rsid w:val="32053BD9"/>
    <w:rsid w:val="320E4490"/>
    <w:rsid w:val="3217235C"/>
    <w:rsid w:val="32174B99"/>
    <w:rsid w:val="32192B85"/>
    <w:rsid w:val="32235D5B"/>
    <w:rsid w:val="322A39A3"/>
    <w:rsid w:val="323143A3"/>
    <w:rsid w:val="32346408"/>
    <w:rsid w:val="32385A69"/>
    <w:rsid w:val="323A7893"/>
    <w:rsid w:val="323B62C2"/>
    <w:rsid w:val="32403156"/>
    <w:rsid w:val="324342B0"/>
    <w:rsid w:val="3244365F"/>
    <w:rsid w:val="32450B69"/>
    <w:rsid w:val="32522DED"/>
    <w:rsid w:val="325530F7"/>
    <w:rsid w:val="325C7E8B"/>
    <w:rsid w:val="325F6237"/>
    <w:rsid w:val="32613BB7"/>
    <w:rsid w:val="326674B6"/>
    <w:rsid w:val="32695488"/>
    <w:rsid w:val="32811241"/>
    <w:rsid w:val="32811507"/>
    <w:rsid w:val="32861200"/>
    <w:rsid w:val="32865F94"/>
    <w:rsid w:val="32876003"/>
    <w:rsid w:val="328C1E6A"/>
    <w:rsid w:val="32A130C1"/>
    <w:rsid w:val="32A61F18"/>
    <w:rsid w:val="32AA5EFE"/>
    <w:rsid w:val="32B175C4"/>
    <w:rsid w:val="32BD2EAD"/>
    <w:rsid w:val="32BF610E"/>
    <w:rsid w:val="32C00680"/>
    <w:rsid w:val="32C15108"/>
    <w:rsid w:val="32C20BE1"/>
    <w:rsid w:val="32C3670F"/>
    <w:rsid w:val="32C95B23"/>
    <w:rsid w:val="32D85B3E"/>
    <w:rsid w:val="32D96FB2"/>
    <w:rsid w:val="32E13D53"/>
    <w:rsid w:val="32F3514B"/>
    <w:rsid w:val="32F63940"/>
    <w:rsid w:val="32F71A97"/>
    <w:rsid w:val="32FD0B48"/>
    <w:rsid w:val="32FD3275"/>
    <w:rsid w:val="3300054C"/>
    <w:rsid w:val="33001DDB"/>
    <w:rsid w:val="33011221"/>
    <w:rsid w:val="3306251E"/>
    <w:rsid w:val="3308140A"/>
    <w:rsid w:val="33083B92"/>
    <w:rsid w:val="330D5D55"/>
    <w:rsid w:val="330E2071"/>
    <w:rsid w:val="330E40EA"/>
    <w:rsid w:val="33160550"/>
    <w:rsid w:val="331700FE"/>
    <w:rsid w:val="331B1D8B"/>
    <w:rsid w:val="331F48DF"/>
    <w:rsid w:val="332601CE"/>
    <w:rsid w:val="33305A49"/>
    <w:rsid w:val="333163DA"/>
    <w:rsid w:val="3339068A"/>
    <w:rsid w:val="33433B26"/>
    <w:rsid w:val="33480E4D"/>
    <w:rsid w:val="335516FC"/>
    <w:rsid w:val="335B711A"/>
    <w:rsid w:val="336000CD"/>
    <w:rsid w:val="33637022"/>
    <w:rsid w:val="33683F71"/>
    <w:rsid w:val="33697812"/>
    <w:rsid w:val="33806CB0"/>
    <w:rsid w:val="33807A85"/>
    <w:rsid w:val="3382101C"/>
    <w:rsid w:val="33866F16"/>
    <w:rsid w:val="33877EF2"/>
    <w:rsid w:val="339278FA"/>
    <w:rsid w:val="33946952"/>
    <w:rsid w:val="33975C13"/>
    <w:rsid w:val="33A23B0F"/>
    <w:rsid w:val="33A42BCD"/>
    <w:rsid w:val="33A53C0E"/>
    <w:rsid w:val="33AA0D81"/>
    <w:rsid w:val="33AE1B4A"/>
    <w:rsid w:val="33B252A8"/>
    <w:rsid w:val="33B2556D"/>
    <w:rsid w:val="33B46FB7"/>
    <w:rsid w:val="33B52C6D"/>
    <w:rsid w:val="33B56B04"/>
    <w:rsid w:val="33B818C8"/>
    <w:rsid w:val="33B85070"/>
    <w:rsid w:val="33BF7458"/>
    <w:rsid w:val="33C06E24"/>
    <w:rsid w:val="33C6629E"/>
    <w:rsid w:val="33CC2F57"/>
    <w:rsid w:val="33D41D7D"/>
    <w:rsid w:val="33D573E0"/>
    <w:rsid w:val="33DA1BD7"/>
    <w:rsid w:val="33E13574"/>
    <w:rsid w:val="33E66AC6"/>
    <w:rsid w:val="33E718E7"/>
    <w:rsid w:val="33ED352A"/>
    <w:rsid w:val="33F44BF2"/>
    <w:rsid w:val="33F82040"/>
    <w:rsid w:val="33FB1BB5"/>
    <w:rsid w:val="33FB617C"/>
    <w:rsid w:val="34022085"/>
    <w:rsid w:val="3402492E"/>
    <w:rsid w:val="34031D5B"/>
    <w:rsid w:val="340717F1"/>
    <w:rsid w:val="340968FE"/>
    <w:rsid w:val="340B7550"/>
    <w:rsid w:val="340E00CC"/>
    <w:rsid w:val="340E2162"/>
    <w:rsid w:val="340F065B"/>
    <w:rsid w:val="34111F0A"/>
    <w:rsid w:val="3417738F"/>
    <w:rsid w:val="34186DB6"/>
    <w:rsid w:val="341F69B6"/>
    <w:rsid w:val="34234F78"/>
    <w:rsid w:val="342372DF"/>
    <w:rsid w:val="3425097B"/>
    <w:rsid w:val="34251AED"/>
    <w:rsid w:val="342E33FA"/>
    <w:rsid w:val="342F6E5F"/>
    <w:rsid w:val="34334FAD"/>
    <w:rsid w:val="343C13C5"/>
    <w:rsid w:val="344A6DAA"/>
    <w:rsid w:val="34580826"/>
    <w:rsid w:val="345D5813"/>
    <w:rsid w:val="3470440B"/>
    <w:rsid w:val="3473091A"/>
    <w:rsid w:val="347470AF"/>
    <w:rsid w:val="34812A3A"/>
    <w:rsid w:val="34870A25"/>
    <w:rsid w:val="348823D4"/>
    <w:rsid w:val="3499454B"/>
    <w:rsid w:val="349C5ECB"/>
    <w:rsid w:val="349C6552"/>
    <w:rsid w:val="349F553D"/>
    <w:rsid w:val="34A85D2D"/>
    <w:rsid w:val="34A9735F"/>
    <w:rsid w:val="34AB704C"/>
    <w:rsid w:val="34B33D92"/>
    <w:rsid w:val="34B92BCB"/>
    <w:rsid w:val="34BA3F2A"/>
    <w:rsid w:val="34BC3EDB"/>
    <w:rsid w:val="34BE2A52"/>
    <w:rsid w:val="34C725C4"/>
    <w:rsid w:val="34CD455B"/>
    <w:rsid w:val="34D0220F"/>
    <w:rsid w:val="34D45958"/>
    <w:rsid w:val="34D538E7"/>
    <w:rsid w:val="34D61DF9"/>
    <w:rsid w:val="34D63A14"/>
    <w:rsid w:val="34D7005B"/>
    <w:rsid w:val="34D73608"/>
    <w:rsid w:val="34D8624F"/>
    <w:rsid w:val="34DB33F7"/>
    <w:rsid w:val="34DD3C28"/>
    <w:rsid w:val="34DE15E3"/>
    <w:rsid w:val="34E30C98"/>
    <w:rsid w:val="34E856A5"/>
    <w:rsid w:val="34EC5240"/>
    <w:rsid w:val="34EC560D"/>
    <w:rsid w:val="34F21BAE"/>
    <w:rsid w:val="34FF4522"/>
    <w:rsid w:val="350001B0"/>
    <w:rsid w:val="35012888"/>
    <w:rsid w:val="350413F0"/>
    <w:rsid w:val="35071776"/>
    <w:rsid w:val="350A31BA"/>
    <w:rsid w:val="350A74DF"/>
    <w:rsid w:val="350E46D6"/>
    <w:rsid w:val="351B2595"/>
    <w:rsid w:val="352A5E4E"/>
    <w:rsid w:val="352D7A8F"/>
    <w:rsid w:val="352D7F60"/>
    <w:rsid w:val="352E4401"/>
    <w:rsid w:val="35303CB3"/>
    <w:rsid w:val="35317F43"/>
    <w:rsid w:val="35384C96"/>
    <w:rsid w:val="353E7067"/>
    <w:rsid w:val="353F2D5F"/>
    <w:rsid w:val="35433732"/>
    <w:rsid w:val="3546322E"/>
    <w:rsid w:val="3546456E"/>
    <w:rsid w:val="354712C7"/>
    <w:rsid w:val="3547161E"/>
    <w:rsid w:val="354D5A7A"/>
    <w:rsid w:val="355C2455"/>
    <w:rsid w:val="3567433E"/>
    <w:rsid w:val="356C073E"/>
    <w:rsid w:val="356D1DCC"/>
    <w:rsid w:val="357111FD"/>
    <w:rsid w:val="357153E7"/>
    <w:rsid w:val="357979DA"/>
    <w:rsid w:val="357A2C9F"/>
    <w:rsid w:val="357C6EC2"/>
    <w:rsid w:val="35823BAA"/>
    <w:rsid w:val="3589151C"/>
    <w:rsid w:val="35891AC3"/>
    <w:rsid w:val="358A1AAB"/>
    <w:rsid w:val="35930928"/>
    <w:rsid w:val="3599228A"/>
    <w:rsid w:val="359C2578"/>
    <w:rsid w:val="359C7B31"/>
    <w:rsid w:val="35A23F7E"/>
    <w:rsid w:val="35A844A3"/>
    <w:rsid w:val="35AE1120"/>
    <w:rsid w:val="35B26F31"/>
    <w:rsid w:val="35B34DCF"/>
    <w:rsid w:val="35B75B9B"/>
    <w:rsid w:val="35BC0A59"/>
    <w:rsid w:val="35C27F1B"/>
    <w:rsid w:val="35C32412"/>
    <w:rsid w:val="35C9279A"/>
    <w:rsid w:val="35CE7CDD"/>
    <w:rsid w:val="35D04B82"/>
    <w:rsid w:val="35D8785B"/>
    <w:rsid w:val="35EA0F28"/>
    <w:rsid w:val="35EB08E2"/>
    <w:rsid w:val="35ED2FB1"/>
    <w:rsid w:val="35EE1DA7"/>
    <w:rsid w:val="35F37869"/>
    <w:rsid w:val="35F81BF7"/>
    <w:rsid w:val="35F85A4A"/>
    <w:rsid w:val="35FE12B4"/>
    <w:rsid w:val="360020D4"/>
    <w:rsid w:val="36012504"/>
    <w:rsid w:val="36032509"/>
    <w:rsid w:val="36046F22"/>
    <w:rsid w:val="36087D97"/>
    <w:rsid w:val="360F05E6"/>
    <w:rsid w:val="361011A4"/>
    <w:rsid w:val="36106D7C"/>
    <w:rsid w:val="36125DAE"/>
    <w:rsid w:val="36143236"/>
    <w:rsid w:val="361724FE"/>
    <w:rsid w:val="36172B3A"/>
    <w:rsid w:val="361E4CCD"/>
    <w:rsid w:val="362431B6"/>
    <w:rsid w:val="36261728"/>
    <w:rsid w:val="36265DF1"/>
    <w:rsid w:val="36320EF7"/>
    <w:rsid w:val="3635595A"/>
    <w:rsid w:val="36370984"/>
    <w:rsid w:val="36372638"/>
    <w:rsid w:val="3637455F"/>
    <w:rsid w:val="363F0210"/>
    <w:rsid w:val="36440F69"/>
    <w:rsid w:val="364C79B2"/>
    <w:rsid w:val="364F4468"/>
    <w:rsid w:val="36515F62"/>
    <w:rsid w:val="365751BD"/>
    <w:rsid w:val="36590E4E"/>
    <w:rsid w:val="36610CBC"/>
    <w:rsid w:val="36654592"/>
    <w:rsid w:val="3667110B"/>
    <w:rsid w:val="366D0F85"/>
    <w:rsid w:val="36747405"/>
    <w:rsid w:val="3675252A"/>
    <w:rsid w:val="367A0954"/>
    <w:rsid w:val="368074DA"/>
    <w:rsid w:val="3687170E"/>
    <w:rsid w:val="368D3415"/>
    <w:rsid w:val="368E16C5"/>
    <w:rsid w:val="368E4A8A"/>
    <w:rsid w:val="368F6FE5"/>
    <w:rsid w:val="369375BE"/>
    <w:rsid w:val="369E72DA"/>
    <w:rsid w:val="36A31805"/>
    <w:rsid w:val="36A4096B"/>
    <w:rsid w:val="36A52EDF"/>
    <w:rsid w:val="36A57D07"/>
    <w:rsid w:val="36AB3E7D"/>
    <w:rsid w:val="36AB6583"/>
    <w:rsid w:val="36AC4D24"/>
    <w:rsid w:val="36AD7860"/>
    <w:rsid w:val="36AE168C"/>
    <w:rsid w:val="36B141D7"/>
    <w:rsid w:val="36B86D09"/>
    <w:rsid w:val="36CA61F8"/>
    <w:rsid w:val="36CF1E2A"/>
    <w:rsid w:val="36CF56E8"/>
    <w:rsid w:val="36DE5BCC"/>
    <w:rsid w:val="36E31545"/>
    <w:rsid w:val="36E44551"/>
    <w:rsid w:val="36EC348F"/>
    <w:rsid w:val="36FA6C29"/>
    <w:rsid w:val="36FB47EE"/>
    <w:rsid w:val="36FE4E24"/>
    <w:rsid w:val="370261DB"/>
    <w:rsid w:val="37051D61"/>
    <w:rsid w:val="371441FD"/>
    <w:rsid w:val="37170E20"/>
    <w:rsid w:val="371F52A0"/>
    <w:rsid w:val="37212897"/>
    <w:rsid w:val="37255348"/>
    <w:rsid w:val="372E5819"/>
    <w:rsid w:val="3733318F"/>
    <w:rsid w:val="3736205C"/>
    <w:rsid w:val="3738724D"/>
    <w:rsid w:val="373B081A"/>
    <w:rsid w:val="373C71E0"/>
    <w:rsid w:val="373D0DFC"/>
    <w:rsid w:val="37466332"/>
    <w:rsid w:val="37470798"/>
    <w:rsid w:val="37524D96"/>
    <w:rsid w:val="375253FB"/>
    <w:rsid w:val="37550BD4"/>
    <w:rsid w:val="375736F9"/>
    <w:rsid w:val="375740BA"/>
    <w:rsid w:val="37596B0F"/>
    <w:rsid w:val="37600208"/>
    <w:rsid w:val="37632A02"/>
    <w:rsid w:val="3764197A"/>
    <w:rsid w:val="37680E3A"/>
    <w:rsid w:val="376A1F8D"/>
    <w:rsid w:val="37723F52"/>
    <w:rsid w:val="377568A1"/>
    <w:rsid w:val="377654ED"/>
    <w:rsid w:val="377939F1"/>
    <w:rsid w:val="37795BCB"/>
    <w:rsid w:val="377F7262"/>
    <w:rsid w:val="378632E7"/>
    <w:rsid w:val="378743AB"/>
    <w:rsid w:val="37882D39"/>
    <w:rsid w:val="378A2441"/>
    <w:rsid w:val="378D680B"/>
    <w:rsid w:val="37912815"/>
    <w:rsid w:val="379154A4"/>
    <w:rsid w:val="37944C12"/>
    <w:rsid w:val="379556B5"/>
    <w:rsid w:val="37967573"/>
    <w:rsid w:val="379B181A"/>
    <w:rsid w:val="379D2211"/>
    <w:rsid w:val="37A257AD"/>
    <w:rsid w:val="37A84963"/>
    <w:rsid w:val="37AD183F"/>
    <w:rsid w:val="37AD4458"/>
    <w:rsid w:val="37C02C9A"/>
    <w:rsid w:val="37C4351F"/>
    <w:rsid w:val="37D24B43"/>
    <w:rsid w:val="37D56FB0"/>
    <w:rsid w:val="37D604D9"/>
    <w:rsid w:val="37D60EA2"/>
    <w:rsid w:val="37D82811"/>
    <w:rsid w:val="37DE2C06"/>
    <w:rsid w:val="37DE3A1C"/>
    <w:rsid w:val="37E414F0"/>
    <w:rsid w:val="37E77980"/>
    <w:rsid w:val="37EA13C5"/>
    <w:rsid w:val="37EB613B"/>
    <w:rsid w:val="37EF59C5"/>
    <w:rsid w:val="37F03B2E"/>
    <w:rsid w:val="37F26672"/>
    <w:rsid w:val="3803549E"/>
    <w:rsid w:val="380A4274"/>
    <w:rsid w:val="380E7026"/>
    <w:rsid w:val="38122453"/>
    <w:rsid w:val="38126381"/>
    <w:rsid w:val="38134CCE"/>
    <w:rsid w:val="381C17A1"/>
    <w:rsid w:val="381F3D4F"/>
    <w:rsid w:val="382041ED"/>
    <w:rsid w:val="382E6226"/>
    <w:rsid w:val="382F7E6D"/>
    <w:rsid w:val="383763B4"/>
    <w:rsid w:val="38406372"/>
    <w:rsid w:val="38451AC2"/>
    <w:rsid w:val="38457007"/>
    <w:rsid w:val="38555AA9"/>
    <w:rsid w:val="38591EA4"/>
    <w:rsid w:val="385D2358"/>
    <w:rsid w:val="386850D2"/>
    <w:rsid w:val="38686EBF"/>
    <w:rsid w:val="387129F3"/>
    <w:rsid w:val="38742A6C"/>
    <w:rsid w:val="387472EA"/>
    <w:rsid w:val="38754646"/>
    <w:rsid w:val="387D03CB"/>
    <w:rsid w:val="38860752"/>
    <w:rsid w:val="388635DF"/>
    <w:rsid w:val="38880178"/>
    <w:rsid w:val="3889264D"/>
    <w:rsid w:val="388E5AD6"/>
    <w:rsid w:val="38913DAE"/>
    <w:rsid w:val="38943BE5"/>
    <w:rsid w:val="3894544B"/>
    <w:rsid w:val="38962D8D"/>
    <w:rsid w:val="389960D2"/>
    <w:rsid w:val="389C57FB"/>
    <w:rsid w:val="38A20EC3"/>
    <w:rsid w:val="38A85A34"/>
    <w:rsid w:val="38AB6B67"/>
    <w:rsid w:val="38AC12FA"/>
    <w:rsid w:val="38B07BEC"/>
    <w:rsid w:val="38B43ED8"/>
    <w:rsid w:val="38B562E5"/>
    <w:rsid w:val="38B84649"/>
    <w:rsid w:val="38C90697"/>
    <w:rsid w:val="38C92BC7"/>
    <w:rsid w:val="38CC73A4"/>
    <w:rsid w:val="38CD0623"/>
    <w:rsid w:val="38CF5FF6"/>
    <w:rsid w:val="38CF68E2"/>
    <w:rsid w:val="38D446EF"/>
    <w:rsid w:val="38DA48A9"/>
    <w:rsid w:val="38DB49DF"/>
    <w:rsid w:val="38E464E7"/>
    <w:rsid w:val="38E468FD"/>
    <w:rsid w:val="38E94E3E"/>
    <w:rsid w:val="38EB248C"/>
    <w:rsid w:val="38EC13EA"/>
    <w:rsid w:val="38EF21FD"/>
    <w:rsid w:val="38EF521C"/>
    <w:rsid w:val="38F174A6"/>
    <w:rsid w:val="38F44187"/>
    <w:rsid w:val="38F951E6"/>
    <w:rsid w:val="38FC6F4A"/>
    <w:rsid w:val="39017EC0"/>
    <w:rsid w:val="390527FD"/>
    <w:rsid w:val="3905462F"/>
    <w:rsid w:val="391239E7"/>
    <w:rsid w:val="39135E54"/>
    <w:rsid w:val="3914354E"/>
    <w:rsid w:val="391D7865"/>
    <w:rsid w:val="391F0D35"/>
    <w:rsid w:val="391F7E02"/>
    <w:rsid w:val="3925726C"/>
    <w:rsid w:val="39273423"/>
    <w:rsid w:val="392B47F5"/>
    <w:rsid w:val="392E4037"/>
    <w:rsid w:val="39320FDE"/>
    <w:rsid w:val="39384A36"/>
    <w:rsid w:val="39386A00"/>
    <w:rsid w:val="39413F71"/>
    <w:rsid w:val="39455E62"/>
    <w:rsid w:val="394C1EA0"/>
    <w:rsid w:val="39526932"/>
    <w:rsid w:val="395601DD"/>
    <w:rsid w:val="39566117"/>
    <w:rsid w:val="396238D8"/>
    <w:rsid w:val="39624ACD"/>
    <w:rsid w:val="39656B0E"/>
    <w:rsid w:val="39684341"/>
    <w:rsid w:val="396D7C86"/>
    <w:rsid w:val="397703E6"/>
    <w:rsid w:val="397B2A64"/>
    <w:rsid w:val="397C2BD9"/>
    <w:rsid w:val="397D6202"/>
    <w:rsid w:val="397F204A"/>
    <w:rsid w:val="39806265"/>
    <w:rsid w:val="398442E6"/>
    <w:rsid w:val="39895ED0"/>
    <w:rsid w:val="398A1880"/>
    <w:rsid w:val="3990097A"/>
    <w:rsid w:val="3994170A"/>
    <w:rsid w:val="39964084"/>
    <w:rsid w:val="39992BA5"/>
    <w:rsid w:val="399A653D"/>
    <w:rsid w:val="39A51A52"/>
    <w:rsid w:val="39A754E2"/>
    <w:rsid w:val="39AD2B44"/>
    <w:rsid w:val="39AE3AD1"/>
    <w:rsid w:val="39B052EA"/>
    <w:rsid w:val="39B4785E"/>
    <w:rsid w:val="39B9121A"/>
    <w:rsid w:val="39B92253"/>
    <w:rsid w:val="39BA4A17"/>
    <w:rsid w:val="39C2353D"/>
    <w:rsid w:val="39C465F1"/>
    <w:rsid w:val="39C85D38"/>
    <w:rsid w:val="39D40A02"/>
    <w:rsid w:val="39D76C2D"/>
    <w:rsid w:val="39D92166"/>
    <w:rsid w:val="39DA1643"/>
    <w:rsid w:val="39DA2EA3"/>
    <w:rsid w:val="39DA2EDB"/>
    <w:rsid w:val="39DB7B9F"/>
    <w:rsid w:val="39DC1DA3"/>
    <w:rsid w:val="39E01D25"/>
    <w:rsid w:val="39F02310"/>
    <w:rsid w:val="39F17390"/>
    <w:rsid w:val="39F41BC2"/>
    <w:rsid w:val="39F50FD0"/>
    <w:rsid w:val="39F939D9"/>
    <w:rsid w:val="39F954F9"/>
    <w:rsid w:val="39FB3DAC"/>
    <w:rsid w:val="3A0209EB"/>
    <w:rsid w:val="3A0E5FF9"/>
    <w:rsid w:val="3A1068B4"/>
    <w:rsid w:val="3A1A17C4"/>
    <w:rsid w:val="3A1D7F06"/>
    <w:rsid w:val="3A231C96"/>
    <w:rsid w:val="3A2B7665"/>
    <w:rsid w:val="3A342321"/>
    <w:rsid w:val="3A367288"/>
    <w:rsid w:val="3A38407B"/>
    <w:rsid w:val="3A3C6092"/>
    <w:rsid w:val="3A3D2A0C"/>
    <w:rsid w:val="3A3D66E4"/>
    <w:rsid w:val="3A442743"/>
    <w:rsid w:val="3A446193"/>
    <w:rsid w:val="3A474DCE"/>
    <w:rsid w:val="3A486F8A"/>
    <w:rsid w:val="3A4D18E3"/>
    <w:rsid w:val="3A520024"/>
    <w:rsid w:val="3A520CBD"/>
    <w:rsid w:val="3A594549"/>
    <w:rsid w:val="3A5A4DCF"/>
    <w:rsid w:val="3A5B3392"/>
    <w:rsid w:val="3A5C651A"/>
    <w:rsid w:val="3A5E5D71"/>
    <w:rsid w:val="3A5F2C65"/>
    <w:rsid w:val="3A5F62AB"/>
    <w:rsid w:val="3A601A43"/>
    <w:rsid w:val="3A66290A"/>
    <w:rsid w:val="3A6F0A1A"/>
    <w:rsid w:val="3A7343A4"/>
    <w:rsid w:val="3A78750D"/>
    <w:rsid w:val="3A792500"/>
    <w:rsid w:val="3A7F1440"/>
    <w:rsid w:val="3A801420"/>
    <w:rsid w:val="3A851EAC"/>
    <w:rsid w:val="3A85582F"/>
    <w:rsid w:val="3A86647A"/>
    <w:rsid w:val="3A8D2A56"/>
    <w:rsid w:val="3A903485"/>
    <w:rsid w:val="3A936C1D"/>
    <w:rsid w:val="3A9733A8"/>
    <w:rsid w:val="3A9E26D3"/>
    <w:rsid w:val="3AA449B0"/>
    <w:rsid w:val="3AA504C3"/>
    <w:rsid w:val="3AA50E0E"/>
    <w:rsid w:val="3AB17F05"/>
    <w:rsid w:val="3ABA1E28"/>
    <w:rsid w:val="3AC44787"/>
    <w:rsid w:val="3AC57AA7"/>
    <w:rsid w:val="3AD427EA"/>
    <w:rsid w:val="3AD97262"/>
    <w:rsid w:val="3ADD6D57"/>
    <w:rsid w:val="3ADE4A77"/>
    <w:rsid w:val="3AE04341"/>
    <w:rsid w:val="3AE60912"/>
    <w:rsid w:val="3B043A21"/>
    <w:rsid w:val="3B113CD6"/>
    <w:rsid w:val="3B142728"/>
    <w:rsid w:val="3B1C1EFE"/>
    <w:rsid w:val="3B1E5001"/>
    <w:rsid w:val="3B1F7A62"/>
    <w:rsid w:val="3B204453"/>
    <w:rsid w:val="3B2767DC"/>
    <w:rsid w:val="3B3D084F"/>
    <w:rsid w:val="3B3F0618"/>
    <w:rsid w:val="3B412EAA"/>
    <w:rsid w:val="3B496AC4"/>
    <w:rsid w:val="3B4B1736"/>
    <w:rsid w:val="3B4D239A"/>
    <w:rsid w:val="3B533556"/>
    <w:rsid w:val="3B5A5708"/>
    <w:rsid w:val="3B65258A"/>
    <w:rsid w:val="3B691D9C"/>
    <w:rsid w:val="3B6E4011"/>
    <w:rsid w:val="3B7338FD"/>
    <w:rsid w:val="3B745A10"/>
    <w:rsid w:val="3B762F1A"/>
    <w:rsid w:val="3B7B32B1"/>
    <w:rsid w:val="3B7C0C38"/>
    <w:rsid w:val="3B8C03DB"/>
    <w:rsid w:val="3B8C35EE"/>
    <w:rsid w:val="3B8D5742"/>
    <w:rsid w:val="3B9262EC"/>
    <w:rsid w:val="3B944090"/>
    <w:rsid w:val="3B9635AD"/>
    <w:rsid w:val="3B973A2E"/>
    <w:rsid w:val="3B992BCE"/>
    <w:rsid w:val="3B9E2A60"/>
    <w:rsid w:val="3BA210DF"/>
    <w:rsid w:val="3BA24622"/>
    <w:rsid w:val="3BA5275E"/>
    <w:rsid w:val="3BA65E3F"/>
    <w:rsid w:val="3BAC163B"/>
    <w:rsid w:val="3BB47EE3"/>
    <w:rsid w:val="3BB617D4"/>
    <w:rsid w:val="3BB81360"/>
    <w:rsid w:val="3BB85584"/>
    <w:rsid w:val="3BB9436B"/>
    <w:rsid w:val="3BBD4C7A"/>
    <w:rsid w:val="3BC30214"/>
    <w:rsid w:val="3BD30F09"/>
    <w:rsid w:val="3BD443CD"/>
    <w:rsid w:val="3BD467FC"/>
    <w:rsid w:val="3BD676CF"/>
    <w:rsid w:val="3BDB0AFD"/>
    <w:rsid w:val="3BDC670C"/>
    <w:rsid w:val="3BDF42B6"/>
    <w:rsid w:val="3BE57487"/>
    <w:rsid w:val="3BE90208"/>
    <w:rsid w:val="3BEB3DC2"/>
    <w:rsid w:val="3BEE00FC"/>
    <w:rsid w:val="3BF35B18"/>
    <w:rsid w:val="3BFE04AB"/>
    <w:rsid w:val="3BFE3BA6"/>
    <w:rsid w:val="3BFE7E69"/>
    <w:rsid w:val="3C0079C5"/>
    <w:rsid w:val="3C015846"/>
    <w:rsid w:val="3C076C42"/>
    <w:rsid w:val="3C0E6F29"/>
    <w:rsid w:val="3C0F266F"/>
    <w:rsid w:val="3C1227CE"/>
    <w:rsid w:val="3C123F53"/>
    <w:rsid w:val="3C1442D7"/>
    <w:rsid w:val="3C167FF5"/>
    <w:rsid w:val="3C1B71A2"/>
    <w:rsid w:val="3C1F6DDB"/>
    <w:rsid w:val="3C225ACF"/>
    <w:rsid w:val="3C30543C"/>
    <w:rsid w:val="3C3721FF"/>
    <w:rsid w:val="3C382206"/>
    <w:rsid w:val="3C407FA0"/>
    <w:rsid w:val="3C436E07"/>
    <w:rsid w:val="3C4842AF"/>
    <w:rsid w:val="3C4A5F58"/>
    <w:rsid w:val="3C4C6A50"/>
    <w:rsid w:val="3C505BF7"/>
    <w:rsid w:val="3C587F92"/>
    <w:rsid w:val="3C5B5095"/>
    <w:rsid w:val="3C5C3985"/>
    <w:rsid w:val="3C6114CD"/>
    <w:rsid w:val="3C627AE6"/>
    <w:rsid w:val="3C6B7E5B"/>
    <w:rsid w:val="3C7073F4"/>
    <w:rsid w:val="3C725535"/>
    <w:rsid w:val="3C753506"/>
    <w:rsid w:val="3C7D0D10"/>
    <w:rsid w:val="3C7D22A3"/>
    <w:rsid w:val="3C7E7FFD"/>
    <w:rsid w:val="3C80561B"/>
    <w:rsid w:val="3C806C0A"/>
    <w:rsid w:val="3C845AF0"/>
    <w:rsid w:val="3C8D667C"/>
    <w:rsid w:val="3C9115FC"/>
    <w:rsid w:val="3C936047"/>
    <w:rsid w:val="3C986135"/>
    <w:rsid w:val="3C990339"/>
    <w:rsid w:val="3C996F95"/>
    <w:rsid w:val="3C9D0ED6"/>
    <w:rsid w:val="3CA51F81"/>
    <w:rsid w:val="3CA76614"/>
    <w:rsid w:val="3CAA1B3B"/>
    <w:rsid w:val="3CAD1051"/>
    <w:rsid w:val="3CB27F0B"/>
    <w:rsid w:val="3CB74FAD"/>
    <w:rsid w:val="3CB872B2"/>
    <w:rsid w:val="3CBD1A3E"/>
    <w:rsid w:val="3CBE2D47"/>
    <w:rsid w:val="3CBF1A96"/>
    <w:rsid w:val="3CC462B7"/>
    <w:rsid w:val="3CC6466E"/>
    <w:rsid w:val="3CCA3672"/>
    <w:rsid w:val="3CD56A4E"/>
    <w:rsid w:val="3CD85B52"/>
    <w:rsid w:val="3CE5137F"/>
    <w:rsid w:val="3CE869A7"/>
    <w:rsid w:val="3CEC558F"/>
    <w:rsid w:val="3CFA07DC"/>
    <w:rsid w:val="3CFA7E4A"/>
    <w:rsid w:val="3D00169D"/>
    <w:rsid w:val="3D034056"/>
    <w:rsid w:val="3D05128E"/>
    <w:rsid w:val="3D06783F"/>
    <w:rsid w:val="3D0A0E01"/>
    <w:rsid w:val="3D177118"/>
    <w:rsid w:val="3D186FF6"/>
    <w:rsid w:val="3D1C12F7"/>
    <w:rsid w:val="3D1C7BD7"/>
    <w:rsid w:val="3D216914"/>
    <w:rsid w:val="3D340E4B"/>
    <w:rsid w:val="3D456B7E"/>
    <w:rsid w:val="3D4773A7"/>
    <w:rsid w:val="3D4C1465"/>
    <w:rsid w:val="3D4C7505"/>
    <w:rsid w:val="3D4F5772"/>
    <w:rsid w:val="3D4F7400"/>
    <w:rsid w:val="3D5409C8"/>
    <w:rsid w:val="3D5B14B3"/>
    <w:rsid w:val="3D5D1203"/>
    <w:rsid w:val="3D694647"/>
    <w:rsid w:val="3D6D516A"/>
    <w:rsid w:val="3D7A2B5B"/>
    <w:rsid w:val="3D7E1E6A"/>
    <w:rsid w:val="3D8C61BF"/>
    <w:rsid w:val="3DA163BD"/>
    <w:rsid w:val="3DA336D8"/>
    <w:rsid w:val="3DA41A33"/>
    <w:rsid w:val="3DA86D60"/>
    <w:rsid w:val="3DAD7CD6"/>
    <w:rsid w:val="3DB27256"/>
    <w:rsid w:val="3DB55FF2"/>
    <w:rsid w:val="3DB75821"/>
    <w:rsid w:val="3DBC5152"/>
    <w:rsid w:val="3DC047FB"/>
    <w:rsid w:val="3DC17AB4"/>
    <w:rsid w:val="3DC22B08"/>
    <w:rsid w:val="3DC610E1"/>
    <w:rsid w:val="3DC93242"/>
    <w:rsid w:val="3DCD4F9E"/>
    <w:rsid w:val="3DCE1A51"/>
    <w:rsid w:val="3DD36A51"/>
    <w:rsid w:val="3DDD307B"/>
    <w:rsid w:val="3DDE5CB3"/>
    <w:rsid w:val="3DE57F7A"/>
    <w:rsid w:val="3DE64880"/>
    <w:rsid w:val="3DE65EF9"/>
    <w:rsid w:val="3DEA06FE"/>
    <w:rsid w:val="3DEA55ED"/>
    <w:rsid w:val="3DED30D2"/>
    <w:rsid w:val="3DF177D8"/>
    <w:rsid w:val="3DF3130A"/>
    <w:rsid w:val="3DF31E74"/>
    <w:rsid w:val="3DF37ACC"/>
    <w:rsid w:val="3DF4059B"/>
    <w:rsid w:val="3DF46A23"/>
    <w:rsid w:val="3DFF0B05"/>
    <w:rsid w:val="3DFF18A9"/>
    <w:rsid w:val="3E020366"/>
    <w:rsid w:val="3E080FE3"/>
    <w:rsid w:val="3E0A612A"/>
    <w:rsid w:val="3E136ACC"/>
    <w:rsid w:val="3E18066E"/>
    <w:rsid w:val="3E2A5215"/>
    <w:rsid w:val="3E2E2719"/>
    <w:rsid w:val="3E2E5500"/>
    <w:rsid w:val="3E340B22"/>
    <w:rsid w:val="3E3821C5"/>
    <w:rsid w:val="3E3C7235"/>
    <w:rsid w:val="3E3F1F6D"/>
    <w:rsid w:val="3E401C7E"/>
    <w:rsid w:val="3E424C3B"/>
    <w:rsid w:val="3E4442D1"/>
    <w:rsid w:val="3E4B585F"/>
    <w:rsid w:val="3E4E51EC"/>
    <w:rsid w:val="3E563D79"/>
    <w:rsid w:val="3E636A2E"/>
    <w:rsid w:val="3E6B7F41"/>
    <w:rsid w:val="3E6D44C5"/>
    <w:rsid w:val="3E6F330C"/>
    <w:rsid w:val="3E712FE6"/>
    <w:rsid w:val="3E741E0D"/>
    <w:rsid w:val="3E7718F9"/>
    <w:rsid w:val="3E7B6EAE"/>
    <w:rsid w:val="3E81687E"/>
    <w:rsid w:val="3E8528B4"/>
    <w:rsid w:val="3E8868AA"/>
    <w:rsid w:val="3E9451A2"/>
    <w:rsid w:val="3E9A6098"/>
    <w:rsid w:val="3E9E6303"/>
    <w:rsid w:val="3EAC05D2"/>
    <w:rsid w:val="3EAF0ED0"/>
    <w:rsid w:val="3EAF666B"/>
    <w:rsid w:val="3EB2053B"/>
    <w:rsid w:val="3EB8684F"/>
    <w:rsid w:val="3EBE40FE"/>
    <w:rsid w:val="3ECB595F"/>
    <w:rsid w:val="3ED10767"/>
    <w:rsid w:val="3ED12553"/>
    <w:rsid w:val="3ED15EA6"/>
    <w:rsid w:val="3ED42EAE"/>
    <w:rsid w:val="3ED710F1"/>
    <w:rsid w:val="3EDB023F"/>
    <w:rsid w:val="3EDB41E3"/>
    <w:rsid w:val="3EE54AAE"/>
    <w:rsid w:val="3EE54B4A"/>
    <w:rsid w:val="3EE679BA"/>
    <w:rsid w:val="3EF1374D"/>
    <w:rsid w:val="3EF22E6E"/>
    <w:rsid w:val="3EF23356"/>
    <w:rsid w:val="3EFF0593"/>
    <w:rsid w:val="3EFF7CA5"/>
    <w:rsid w:val="3F0B302A"/>
    <w:rsid w:val="3F0E0064"/>
    <w:rsid w:val="3F0F6D83"/>
    <w:rsid w:val="3F157627"/>
    <w:rsid w:val="3F1647FB"/>
    <w:rsid w:val="3F166825"/>
    <w:rsid w:val="3F1C4736"/>
    <w:rsid w:val="3F1C781F"/>
    <w:rsid w:val="3F2439A5"/>
    <w:rsid w:val="3F260CDC"/>
    <w:rsid w:val="3F286433"/>
    <w:rsid w:val="3F2A661F"/>
    <w:rsid w:val="3F2E10A6"/>
    <w:rsid w:val="3F31276F"/>
    <w:rsid w:val="3F3674AA"/>
    <w:rsid w:val="3F370AD5"/>
    <w:rsid w:val="3F37692E"/>
    <w:rsid w:val="3F3C1BA9"/>
    <w:rsid w:val="3F3C42DC"/>
    <w:rsid w:val="3F406B70"/>
    <w:rsid w:val="3F461115"/>
    <w:rsid w:val="3F4B6F5E"/>
    <w:rsid w:val="3F59233B"/>
    <w:rsid w:val="3F5968B6"/>
    <w:rsid w:val="3F5D200B"/>
    <w:rsid w:val="3F5E2B53"/>
    <w:rsid w:val="3F661A60"/>
    <w:rsid w:val="3F7315CB"/>
    <w:rsid w:val="3F7378F4"/>
    <w:rsid w:val="3F763A76"/>
    <w:rsid w:val="3F7B4B88"/>
    <w:rsid w:val="3F81478D"/>
    <w:rsid w:val="3F826F41"/>
    <w:rsid w:val="3F895A35"/>
    <w:rsid w:val="3F8F348F"/>
    <w:rsid w:val="3F9010DC"/>
    <w:rsid w:val="3F924885"/>
    <w:rsid w:val="3F9258AD"/>
    <w:rsid w:val="3F965859"/>
    <w:rsid w:val="3F990318"/>
    <w:rsid w:val="3F9A0106"/>
    <w:rsid w:val="3F9F42A4"/>
    <w:rsid w:val="3FA45E9D"/>
    <w:rsid w:val="3FA81976"/>
    <w:rsid w:val="3FAC23D3"/>
    <w:rsid w:val="3FB62F90"/>
    <w:rsid w:val="3FBC6433"/>
    <w:rsid w:val="3FC06C6F"/>
    <w:rsid w:val="3FC17029"/>
    <w:rsid w:val="3FC21D93"/>
    <w:rsid w:val="3FC31749"/>
    <w:rsid w:val="3FC73D93"/>
    <w:rsid w:val="3FC91AC9"/>
    <w:rsid w:val="3FCA1B1F"/>
    <w:rsid w:val="3FCA665A"/>
    <w:rsid w:val="3FCE39F6"/>
    <w:rsid w:val="3FD13467"/>
    <w:rsid w:val="3FD91AAB"/>
    <w:rsid w:val="3FE12366"/>
    <w:rsid w:val="3FE6683A"/>
    <w:rsid w:val="3FEF5257"/>
    <w:rsid w:val="3FEF56EA"/>
    <w:rsid w:val="3FF0506C"/>
    <w:rsid w:val="3FF943F5"/>
    <w:rsid w:val="3FFD2694"/>
    <w:rsid w:val="3FFD7D1B"/>
    <w:rsid w:val="40043EE5"/>
    <w:rsid w:val="40082F31"/>
    <w:rsid w:val="40085272"/>
    <w:rsid w:val="400A38F9"/>
    <w:rsid w:val="400B0581"/>
    <w:rsid w:val="40103EF4"/>
    <w:rsid w:val="401229FA"/>
    <w:rsid w:val="40144840"/>
    <w:rsid w:val="40190688"/>
    <w:rsid w:val="40250D2E"/>
    <w:rsid w:val="40251502"/>
    <w:rsid w:val="4025711D"/>
    <w:rsid w:val="40266199"/>
    <w:rsid w:val="40276F93"/>
    <w:rsid w:val="402D64D2"/>
    <w:rsid w:val="4031738A"/>
    <w:rsid w:val="403321A4"/>
    <w:rsid w:val="40350D31"/>
    <w:rsid w:val="40366FB1"/>
    <w:rsid w:val="4039557C"/>
    <w:rsid w:val="403A7458"/>
    <w:rsid w:val="403E00F1"/>
    <w:rsid w:val="403F4550"/>
    <w:rsid w:val="40437E77"/>
    <w:rsid w:val="404557CB"/>
    <w:rsid w:val="40457E49"/>
    <w:rsid w:val="40464FD9"/>
    <w:rsid w:val="404F795B"/>
    <w:rsid w:val="40516429"/>
    <w:rsid w:val="40531BE0"/>
    <w:rsid w:val="40533938"/>
    <w:rsid w:val="405A5BBF"/>
    <w:rsid w:val="405B7399"/>
    <w:rsid w:val="405E239F"/>
    <w:rsid w:val="40621C1B"/>
    <w:rsid w:val="406500D8"/>
    <w:rsid w:val="406572CB"/>
    <w:rsid w:val="40677206"/>
    <w:rsid w:val="406974ED"/>
    <w:rsid w:val="406E7DB6"/>
    <w:rsid w:val="40721EEA"/>
    <w:rsid w:val="407A3668"/>
    <w:rsid w:val="40891931"/>
    <w:rsid w:val="40893BA8"/>
    <w:rsid w:val="408D0E1B"/>
    <w:rsid w:val="4090125F"/>
    <w:rsid w:val="409561F9"/>
    <w:rsid w:val="409815A4"/>
    <w:rsid w:val="409C2E13"/>
    <w:rsid w:val="40A03B38"/>
    <w:rsid w:val="40A46C6E"/>
    <w:rsid w:val="40A96CAA"/>
    <w:rsid w:val="40B235D6"/>
    <w:rsid w:val="40B32815"/>
    <w:rsid w:val="40B87AD0"/>
    <w:rsid w:val="40BD7B3D"/>
    <w:rsid w:val="40C80481"/>
    <w:rsid w:val="40C874B7"/>
    <w:rsid w:val="40D3547B"/>
    <w:rsid w:val="40D400AB"/>
    <w:rsid w:val="40D603E7"/>
    <w:rsid w:val="40D6097E"/>
    <w:rsid w:val="40DB51CC"/>
    <w:rsid w:val="40DC3A05"/>
    <w:rsid w:val="40E26FC5"/>
    <w:rsid w:val="40E342DD"/>
    <w:rsid w:val="40E465D6"/>
    <w:rsid w:val="40EB5505"/>
    <w:rsid w:val="40F30C40"/>
    <w:rsid w:val="40F3125D"/>
    <w:rsid w:val="40FC04EC"/>
    <w:rsid w:val="41000E4B"/>
    <w:rsid w:val="41004D84"/>
    <w:rsid w:val="41097226"/>
    <w:rsid w:val="410B65D2"/>
    <w:rsid w:val="410C191F"/>
    <w:rsid w:val="410C2657"/>
    <w:rsid w:val="410F5424"/>
    <w:rsid w:val="4110503C"/>
    <w:rsid w:val="4116586A"/>
    <w:rsid w:val="411E4143"/>
    <w:rsid w:val="413A4F4E"/>
    <w:rsid w:val="41437D29"/>
    <w:rsid w:val="414F6EDC"/>
    <w:rsid w:val="4156185C"/>
    <w:rsid w:val="415672BD"/>
    <w:rsid w:val="415802E9"/>
    <w:rsid w:val="415C325D"/>
    <w:rsid w:val="415D2E5F"/>
    <w:rsid w:val="415E335E"/>
    <w:rsid w:val="41635C03"/>
    <w:rsid w:val="41653F4F"/>
    <w:rsid w:val="41662C80"/>
    <w:rsid w:val="416C0682"/>
    <w:rsid w:val="41706A9D"/>
    <w:rsid w:val="41727B88"/>
    <w:rsid w:val="41741988"/>
    <w:rsid w:val="417471B9"/>
    <w:rsid w:val="41782863"/>
    <w:rsid w:val="417B0F91"/>
    <w:rsid w:val="418033B7"/>
    <w:rsid w:val="41810CE3"/>
    <w:rsid w:val="4189428F"/>
    <w:rsid w:val="418A7824"/>
    <w:rsid w:val="41992F1A"/>
    <w:rsid w:val="419A1593"/>
    <w:rsid w:val="41A12502"/>
    <w:rsid w:val="41A56958"/>
    <w:rsid w:val="41B308AE"/>
    <w:rsid w:val="41B740F7"/>
    <w:rsid w:val="41BF669D"/>
    <w:rsid w:val="41C25F4F"/>
    <w:rsid w:val="41C87451"/>
    <w:rsid w:val="41D037F6"/>
    <w:rsid w:val="41D06CB9"/>
    <w:rsid w:val="41D72E71"/>
    <w:rsid w:val="41D86A06"/>
    <w:rsid w:val="41DD53F5"/>
    <w:rsid w:val="41E04AB2"/>
    <w:rsid w:val="41E4230E"/>
    <w:rsid w:val="41E628A4"/>
    <w:rsid w:val="41EF31B5"/>
    <w:rsid w:val="41EF5406"/>
    <w:rsid w:val="41F6499F"/>
    <w:rsid w:val="41FB1986"/>
    <w:rsid w:val="41FC020D"/>
    <w:rsid w:val="41FC2AC0"/>
    <w:rsid w:val="41FC385A"/>
    <w:rsid w:val="420F5379"/>
    <w:rsid w:val="421A1F96"/>
    <w:rsid w:val="421A66F4"/>
    <w:rsid w:val="421C7404"/>
    <w:rsid w:val="421D58EB"/>
    <w:rsid w:val="42202BD5"/>
    <w:rsid w:val="422144CF"/>
    <w:rsid w:val="423046F8"/>
    <w:rsid w:val="42377E17"/>
    <w:rsid w:val="42383484"/>
    <w:rsid w:val="424254FB"/>
    <w:rsid w:val="42437015"/>
    <w:rsid w:val="4249025A"/>
    <w:rsid w:val="424B677C"/>
    <w:rsid w:val="424D503F"/>
    <w:rsid w:val="424E50F4"/>
    <w:rsid w:val="4250200B"/>
    <w:rsid w:val="42546723"/>
    <w:rsid w:val="42592284"/>
    <w:rsid w:val="425B10CD"/>
    <w:rsid w:val="426201E4"/>
    <w:rsid w:val="42625B4C"/>
    <w:rsid w:val="42632008"/>
    <w:rsid w:val="42646D65"/>
    <w:rsid w:val="42651DBD"/>
    <w:rsid w:val="42675A36"/>
    <w:rsid w:val="42691AD3"/>
    <w:rsid w:val="426A2DD0"/>
    <w:rsid w:val="426D0257"/>
    <w:rsid w:val="42731332"/>
    <w:rsid w:val="427608C6"/>
    <w:rsid w:val="42780728"/>
    <w:rsid w:val="427E5A40"/>
    <w:rsid w:val="42825173"/>
    <w:rsid w:val="42892DC4"/>
    <w:rsid w:val="428E53B1"/>
    <w:rsid w:val="42932494"/>
    <w:rsid w:val="429339E2"/>
    <w:rsid w:val="42954B2D"/>
    <w:rsid w:val="42A07ADC"/>
    <w:rsid w:val="42A113E3"/>
    <w:rsid w:val="42A27B15"/>
    <w:rsid w:val="42A654E6"/>
    <w:rsid w:val="42B02BF6"/>
    <w:rsid w:val="42B43669"/>
    <w:rsid w:val="42BC4886"/>
    <w:rsid w:val="42BE7FBB"/>
    <w:rsid w:val="42C05E33"/>
    <w:rsid w:val="42C63A0E"/>
    <w:rsid w:val="42CD5264"/>
    <w:rsid w:val="42CE099E"/>
    <w:rsid w:val="42CE4D8C"/>
    <w:rsid w:val="42D0484A"/>
    <w:rsid w:val="42D1721C"/>
    <w:rsid w:val="42D76E97"/>
    <w:rsid w:val="42D87B86"/>
    <w:rsid w:val="42DC701C"/>
    <w:rsid w:val="42DD56B6"/>
    <w:rsid w:val="42EA751F"/>
    <w:rsid w:val="42EF67DE"/>
    <w:rsid w:val="42F33B66"/>
    <w:rsid w:val="42F3455A"/>
    <w:rsid w:val="42F705C7"/>
    <w:rsid w:val="42FB72A7"/>
    <w:rsid w:val="43030113"/>
    <w:rsid w:val="43065B6D"/>
    <w:rsid w:val="43097C4F"/>
    <w:rsid w:val="430B5B1D"/>
    <w:rsid w:val="430C05E3"/>
    <w:rsid w:val="430E2912"/>
    <w:rsid w:val="43147324"/>
    <w:rsid w:val="43150EC7"/>
    <w:rsid w:val="43176794"/>
    <w:rsid w:val="431C7F2A"/>
    <w:rsid w:val="432408A8"/>
    <w:rsid w:val="432C3CC7"/>
    <w:rsid w:val="433A5A2D"/>
    <w:rsid w:val="433C78C1"/>
    <w:rsid w:val="433F410B"/>
    <w:rsid w:val="43410D62"/>
    <w:rsid w:val="43463F49"/>
    <w:rsid w:val="434761A0"/>
    <w:rsid w:val="43486781"/>
    <w:rsid w:val="43495ED2"/>
    <w:rsid w:val="434964B0"/>
    <w:rsid w:val="434C4909"/>
    <w:rsid w:val="434D4832"/>
    <w:rsid w:val="43534842"/>
    <w:rsid w:val="435C2F57"/>
    <w:rsid w:val="43612453"/>
    <w:rsid w:val="43706127"/>
    <w:rsid w:val="43727CEE"/>
    <w:rsid w:val="437B329E"/>
    <w:rsid w:val="437E2052"/>
    <w:rsid w:val="437F1DF5"/>
    <w:rsid w:val="43811CCB"/>
    <w:rsid w:val="438B381F"/>
    <w:rsid w:val="438F5AE5"/>
    <w:rsid w:val="439036C4"/>
    <w:rsid w:val="43913F68"/>
    <w:rsid w:val="43952906"/>
    <w:rsid w:val="43957AF8"/>
    <w:rsid w:val="43967B71"/>
    <w:rsid w:val="43A6618D"/>
    <w:rsid w:val="43A84522"/>
    <w:rsid w:val="43AE3903"/>
    <w:rsid w:val="43CD76D9"/>
    <w:rsid w:val="43CE4D9A"/>
    <w:rsid w:val="43D16AB4"/>
    <w:rsid w:val="43D619DF"/>
    <w:rsid w:val="43DD4542"/>
    <w:rsid w:val="43DE56E5"/>
    <w:rsid w:val="43E348C6"/>
    <w:rsid w:val="43E61673"/>
    <w:rsid w:val="43EC7AE3"/>
    <w:rsid w:val="43F31BE8"/>
    <w:rsid w:val="43F50FDA"/>
    <w:rsid w:val="43F820BF"/>
    <w:rsid w:val="43F82390"/>
    <w:rsid w:val="43FB62B5"/>
    <w:rsid w:val="440A6980"/>
    <w:rsid w:val="441B7F8F"/>
    <w:rsid w:val="44202A5A"/>
    <w:rsid w:val="4425424F"/>
    <w:rsid w:val="443026D1"/>
    <w:rsid w:val="44307B44"/>
    <w:rsid w:val="4436101D"/>
    <w:rsid w:val="44394494"/>
    <w:rsid w:val="443B51E5"/>
    <w:rsid w:val="44554DF6"/>
    <w:rsid w:val="446204BB"/>
    <w:rsid w:val="446268E7"/>
    <w:rsid w:val="44652572"/>
    <w:rsid w:val="446F54A4"/>
    <w:rsid w:val="447346BA"/>
    <w:rsid w:val="447F0581"/>
    <w:rsid w:val="44840578"/>
    <w:rsid w:val="448D7EA7"/>
    <w:rsid w:val="44907337"/>
    <w:rsid w:val="4493673B"/>
    <w:rsid w:val="449C750B"/>
    <w:rsid w:val="44A11E3E"/>
    <w:rsid w:val="44A37697"/>
    <w:rsid w:val="44A72F28"/>
    <w:rsid w:val="44AC1AB4"/>
    <w:rsid w:val="44AD6B58"/>
    <w:rsid w:val="44AF11E2"/>
    <w:rsid w:val="44B003E3"/>
    <w:rsid w:val="44B049A1"/>
    <w:rsid w:val="44B105FC"/>
    <w:rsid w:val="44B5588D"/>
    <w:rsid w:val="44B85516"/>
    <w:rsid w:val="44BA3C72"/>
    <w:rsid w:val="44BB35F8"/>
    <w:rsid w:val="44BB53B8"/>
    <w:rsid w:val="44BE7155"/>
    <w:rsid w:val="44C443ED"/>
    <w:rsid w:val="44CD5872"/>
    <w:rsid w:val="44CF2468"/>
    <w:rsid w:val="44D27FED"/>
    <w:rsid w:val="44DC31A8"/>
    <w:rsid w:val="44E525DC"/>
    <w:rsid w:val="44EA5149"/>
    <w:rsid w:val="44EB79A0"/>
    <w:rsid w:val="44EE3092"/>
    <w:rsid w:val="44F1298E"/>
    <w:rsid w:val="44F5249E"/>
    <w:rsid w:val="45012161"/>
    <w:rsid w:val="45072219"/>
    <w:rsid w:val="450A34DF"/>
    <w:rsid w:val="450B7B92"/>
    <w:rsid w:val="45105866"/>
    <w:rsid w:val="45192C65"/>
    <w:rsid w:val="45192E13"/>
    <w:rsid w:val="451B7AEF"/>
    <w:rsid w:val="451C7FB1"/>
    <w:rsid w:val="45202FAE"/>
    <w:rsid w:val="45257444"/>
    <w:rsid w:val="45271D0D"/>
    <w:rsid w:val="4529421A"/>
    <w:rsid w:val="452945D4"/>
    <w:rsid w:val="452B4EB9"/>
    <w:rsid w:val="452C568F"/>
    <w:rsid w:val="452D18F2"/>
    <w:rsid w:val="45383A12"/>
    <w:rsid w:val="45384767"/>
    <w:rsid w:val="453B7B88"/>
    <w:rsid w:val="453E7FC8"/>
    <w:rsid w:val="45435F22"/>
    <w:rsid w:val="45471671"/>
    <w:rsid w:val="4549475E"/>
    <w:rsid w:val="45505E0E"/>
    <w:rsid w:val="45540C2A"/>
    <w:rsid w:val="455C392E"/>
    <w:rsid w:val="455C6FEC"/>
    <w:rsid w:val="455E0268"/>
    <w:rsid w:val="456356E3"/>
    <w:rsid w:val="4566000A"/>
    <w:rsid w:val="456B287D"/>
    <w:rsid w:val="456C3E24"/>
    <w:rsid w:val="456F3EBA"/>
    <w:rsid w:val="45705468"/>
    <w:rsid w:val="457201ED"/>
    <w:rsid w:val="45735F67"/>
    <w:rsid w:val="45737775"/>
    <w:rsid w:val="457D2A9A"/>
    <w:rsid w:val="459566D9"/>
    <w:rsid w:val="459B787C"/>
    <w:rsid w:val="459C246D"/>
    <w:rsid w:val="45A014DE"/>
    <w:rsid w:val="45A24CD2"/>
    <w:rsid w:val="45A41085"/>
    <w:rsid w:val="45A87E37"/>
    <w:rsid w:val="45AA3E20"/>
    <w:rsid w:val="45AA5C65"/>
    <w:rsid w:val="45AC6A61"/>
    <w:rsid w:val="45AE4DE6"/>
    <w:rsid w:val="45AF308E"/>
    <w:rsid w:val="45B7354A"/>
    <w:rsid w:val="45B76791"/>
    <w:rsid w:val="45BB2153"/>
    <w:rsid w:val="45BD07D3"/>
    <w:rsid w:val="45C04525"/>
    <w:rsid w:val="45C21DE1"/>
    <w:rsid w:val="45C2208F"/>
    <w:rsid w:val="45C56CEB"/>
    <w:rsid w:val="45D31CCB"/>
    <w:rsid w:val="45D43761"/>
    <w:rsid w:val="45D45220"/>
    <w:rsid w:val="45D52976"/>
    <w:rsid w:val="45D93ABD"/>
    <w:rsid w:val="45DA53A1"/>
    <w:rsid w:val="45DA5CA2"/>
    <w:rsid w:val="45E10B96"/>
    <w:rsid w:val="45E543D1"/>
    <w:rsid w:val="45E55BBB"/>
    <w:rsid w:val="45E80DC6"/>
    <w:rsid w:val="45F545C6"/>
    <w:rsid w:val="45F54872"/>
    <w:rsid w:val="45F64BED"/>
    <w:rsid w:val="45F67011"/>
    <w:rsid w:val="45F8120E"/>
    <w:rsid w:val="460117A6"/>
    <w:rsid w:val="46022A18"/>
    <w:rsid w:val="4604711F"/>
    <w:rsid w:val="46047713"/>
    <w:rsid w:val="46072FF3"/>
    <w:rsid w:val="460A0A58"/>
    <w:rsid w:val="460B6DEF"/>
    <w:rsid w:val="460F6E51"/>
    <w:rsid w:val="46172A26"/>
    <w:rsid w:val="461869C6"/>
    <w:rsid w:val="462F2641"/>
    <w:rsid w:val="46357E18"/>
    <w:rsid w:val="463F5BA9"/>
    <w:rsid w:val="46462346"/>
    <w:rsid w:val="464A38B9"/>
    <w:rsid w:val="464B1537"/>
    <w:rsid w:val="464B5D3B"/>
    <w:rsid w:val="464E63DD"/>
    <w:rsid w:val="466B7289"/>
    <w:rsid w:val="466C6539"/>
    <w:rsid w:val="466F59EB"/>
    <w:rsid w:val="467016FF"/>
    <w:rsid w:val="46725B49"/>
    <w:rsid w:val="467315B1"/>
    <w:rsid w:val="46742EA9"/>
    <w:rsid w:val="46764FA8"/>
    <w:rsid w:val="467712F2"/>
    <w:rsid w:val="467727C9"/>
    <w:rsid w:val="46797421"/>
    <w:rsid w:val="467B31DE"/>
    <w:rsid w:val="4698767A"/>
    <w:rsid w:val="46990B82"/>
    <w:rsid w:val="46AD3BEC"/>
    <w:rsid w:val="46B30E09"/>
    <w:rsid w:val="46B33097"/>
    <w:rsid w:val="46BA1449"/>
    <w:rsid w:val="46BB3C8F"/>
    <w:rsid w:val="46C414A9"/>
    <w:rsid w:val="46C45675"/>
    <w:rsid w:val="46C469CB"/>
    <w:rsid w:val="46C602D3"/>
    <w:rsid w:val="46CD30A8"/>
    <w:rsid w:val="46CE5D49"/>
    <w:rsid w:val="46D33279"/>
    <w:rsid w:val="46D3386D"/>
    <w:rsid w:val="46D36C5D"/>
    <w:rsid w:val="46D9459A"/>
    <w:rsid w:val="46DB2203"/>
    <w:rsid w:val="46DB2948"/>
    <w:rsid w:val="46DE7C4D"/>
    <w:rsid w:val="46E40ACA"/>
    <w:rsid w:val="46E72C13"/>
    <w:rsid w:val="46E81083"/>
    <w:rsid w:val="46E87FBF"/>
    <w:rsid w:val="46ED5ECB"/>
    <w:rsid w:val="46EE2F45"/>
    <w:rsid w:val="46F106EA"/>
    <w:rsid w:val="46FB114F"/>
    <w:rsid w:val="47076361"/>
    <w:rsid w:val="47083457"/>
    <w:rsid w:val="470A00DF"/>
    <w:rsid w:val="47114CA0"/>
    <w:rsid w:val="4715238C"/>
    <w:rsid w:val="47155A32"/>
    <w:rsid w:val="47160687"/>
    <w:rsid w:val="472141AE"/>
    <w:rsid w:val="472452F0"/>
    <w:rsid w:val="472560BC"/>
    <w:rsid w:val="472908E7"/>
    <w:rsid w:val="47382413"/>
    <w:rsid w:val="47397EB3"/>
    <w:rsid w:val="474B631B"/>
    <w:rsid w:val="47500C72"/>
    <w:rsid w:val="47560346"/>
    <w:rsid w:val="475774C2"/>
    <w:rsid w:val="47592557"/>
    <w:rsid w:val="476C21A9"/>
    <w:rsid w:val="476F3BC9"/>
    <w:rsid w:val="47733691"/>
    <w:rsid w:val="47774BF1"/>
    <w:rsid w:val="47783928"/>
    <w:rsid w:val="477B0133"/>
    <w:rsid w:val="477E47C4"/>
    <w:rsid w:val="47835648"/>
    <w:rsid w:val="47883E0E"/>
    <w:rsid w:val="47887E7F"/>
    <w:rsid w:val="47896CA7"/>
    <w:rsid w:val="478D7CBC"/>
    <w:rsid w:val="478E78F7"/>
    <w:rsid w:val="4790594D"/>
    <w:rsid w:val="4794029B"/>
    <w:rsid w:val="47962379"/>
    <w:rsid w:val="479A2094"/>
    <w:rsid w:val="479E7262"/>
    <w:rsid w:val="47A330BB"/>
    <w:rsid w:val="47A771DD"/>
    <w:rsid w:val="47A82F2A"/>
    <w:rsid w:val="47A96C90"/>
    <w:rsid w:val="47B8056C"/>
    <w:rsid w:val="47B87C1B"/>
    <w:rsid w:val="47C72E60"/>
    <w:rsid w:val="47D07B35"/>
    <w:rsid w:val="47D83DAB"/>
    <w:rsid w:val="47DE7B9E"/>
    <w:rsid w:val="47E3746A"/>
    <w:rsid w:val="47E70F9C"/>
    <w:rsid w:val="47E932BB"/>
    <w:rsid w:val="47EB47A7"/>
    <w:rsid w:val="47F00582"/>
    <w:rsid w:val="47F03318"/>
    <w:rsid w:val="47F40A13"/>
    <w:rsid w:val="47F424EC"/>
    <w:rsid w:val="47F820E1"/>
    <w:rsid w:val="47FE78E2"/>
    <w:rsid w:val="48057619"/>
    <w:rsid w:val="48061C76"/>
    <w:rsid w:val="48077DDD"/>
    <w:rsid w:val="4808668E"/>
    <w:rsid w:val="480C77AC"/>
    <w:rsid w:val="480F5D2A"/>
    <w:rsid w:val="4810580E"/>
    <w:rsid w:val="4817546B"/>
    <w:rsid w:val="481D04B3"/>
    <w:rsid w:val="48262FEE"/>
    <w:rsid w:val="482E60C4"/>
    <w:rsid w:val="48355058"/>
    <w:rsid w:val="483D5658"/>
    <w:rsid w:val="484179EB"/>
    <w:rsid w:val="48442F22"/>
    <w:rsid w:val="484D3A40"/>
    <w:rsid w:val="48511344"/>
    <w:rsid w:val="485B774C"/>
    <w:rsid w:val="48613A99"/>
    <w:rsid w:val="48671FC5"/>
    <w:rsid w:val="48690B3F"/>
    <w:rsid w:val="486B1F35"/>
    <w:rsid w:val="486D7EB2"/>
    <w:rsid w:val="4873667F"/>
    <w:rsid w:val="48744431"/>
    <w:rsid w:val="487A4AE6"/>
    <w:rsid w:val="48866286"/>
    <w:rsid w:val="4888741E"/>
    <w:rsid w:val="488C79D0"/>
    <w:rsid w:val="48931631"/>
    <w:rsid w:val="48963F84"/>
    <w:rsid w:val="489B5C12"/>
    <w:rsid w:val="48A465F0"/>
    <w:rsid w:val="48AA4BBE"/>
    <w:rsid w:val="48AF22CC"/>
    <w:rsid w:val="48BB6B77"/>
    <w:rsid w:val="48BD1153"/>
    <w:rsid w:val="48BF7884"/>
    <w:rsid w:val="48C4021D"/>
    <w:rsid w:val="48C61BB1"/>
    <w:rsid w:val="48D206F1"/>
    <w:rsid w:val="48D37567"/>
    <w:rsid w:val="48D416DC"/>
    <w:rsid w:val="48D82086"/>
    <w:rsid w:val="48E17FD6"/>
    <w:rsid w:val="48E41591"/>
    <w:rsid w:val="48E9486C"/>
    <w:rsid w:val="48F409C6"/>
    <w:rsid w:val="48F40EB5"/>
    <w:rsid w:val="48F87075"/>
    <w:rsid w:val="48FD4436"/>
    <w:rsid w:val="48FF3A9D"/>
    <w:rsid w:val="490D2B5E"/>
    <w:rsid w:val="491336BE"/>
    <w:rsid w:val="491443AB"/>
    <w:rsid w:val="49186E0D"/>
    <w:rsid w:val="49195463"/>
    <w:rsid w:val="491966E1"/>
    <w:rsid w:val="4925760B"/>
    <w:rsid w:val="492803EF"/>
    <w:rsid w:val="492D1884"/>
    <w:rsid w:val="492F2E00"/>
    <w:rsid w:val="49331735"/>
    <w:rsid w:val="493966A4"/>
    <w:rsid w:val="49400434"/>
    <w:rsid w:val="494123D8"/>
    <w:rsid w:val="49433E27"/>
    <w:rsid w:val="494343E9"/>
    <w:rsid w:val="494912F9"/>
    <w:rsid w:val="4951433C"/>
    <w:rsid w:val="49550CB3"/>
    <w:rsid w:val="4955233B"/>
    <w:rsid w:val="495C2926"/>
    <w:rsid w:val="495D37F0"/>
    <w:rsid w:val="495E5DB5"/>
    <w:rsid w:val="49623DC4"/>
    <w:rsid w:val="4964737C"/>
    <w:rsid w:val="49680614"/>
    <w:rsid w:val="496D1078"/>
    <w:rsid w:val="496E0337"/>
    <w:rsid w:val="49710AB6"/>
    <w:rsid w:val="49746E71"/>
    <w:rsid w:val="49784B9E"/>
    <w:rsid w:val="49786444"/>
    <w:rsid w:val="49793A2A"/>
    <w:rsid w:val="497B6322"/>
    <w:rsid w:val="497F6390"/>
    <w:rsid w:val="49815F3F"/>
    <w:rsid w:val="49840ED1"/>
    <w:rsid w:val="49881A55"/>
    <w:rsid w:val="4989636B"/>
    <w:rsid w:val="498C3F6D"/>
    <w:rsid w:val="498D56C3"/>
    <w:rsid w:val="499D7419"/>
    <w:rsid w:val="49A40ECF"/>
    <w:rsid w:val="49A71C67"/>
    <w:rsid w:val="49A74286"/>
    <w:rsid w:val="49AE2BB5"/>
    <w:rsid w:val="49AF4388"/>
    <w:rsid w:val="49B516B6"/>
    <w:rsid w:val="49B65C05"/>
    <w:rsid w:val="49D410FD"/>
    <w:rsid w:val="49D60317"/>
    <w:rsid w:val="49D74AE5"/>
    <w:rsid w:val="49D90CE1"/>
    <w:rsid w:val="49DC3972"/>
    <w:rsid w:val="49DF23F9"/>
    <w:rsid w:val="49E01C42"/>
    <w:rsid w:val="49E44939"/>
    <w:rsid w:val="49F037D7"/>
    <w:rsid w:val="49F13B8B"/>
    <w:rsid w:val="49FE2295"/>
    <w:rsid w:val="49FF2146"/>
    <w:rsid w:val="4A045D19"/>
    <w:rsid w:val="4A05657A"/>
    <w:rsid w:val="4A161152"/>
    <w:rsid w:val="4A162745"/>
    <w:rsid w:val="4A16565C"/>
    <w:rsid w:val="4A181E2E"/>
    <w:rsid w:val="4A214615"/>
    <w:rsid w:val="4A243B31"/>
    <w:rsid w:val="4A2504B9"/>
    <w:rsid w:val="4A2873CD"/>
    <w:rsid w:val="4A355EEC"/>
    <w:rsid w:val="4A39329F"/>
    <w:rsid w:val="4A3E20C5"/>
    <w:rsid w:val="4A3F7965"/>
    <w:rsid w:val="4A452718"/>
    <w:rsid w:val="4A4A290E"/>
    <w:rsid w:val="4A4B2AC6"/>
    <w:rsid w:val="4A542653"/>
    <w:rsid w:val="4A597674"/>
    <w:rsid w:val="4A6444EE"/>
    <w:rsid w:val="4A676123"/>
    <w:rsid w:val="4A6F4B19"/>
    <w:rsid w:val="4A75594E"/>
    <w:rsid w:val="4A87487D"/>
    <w:rsid w:val="4A8820CF"/>
    <w:rsid w:val="4A901382"/>
    <w:rsid w:val="4A9739E8"/>
    <w:rsid w:val="4AA63178"/>
    <w:rsid w:val="4AAF3245"/>
    <w:rsid w:val="4AAF3A9B"/>
    <w:rsid w:val="4AB17326"/>
    <w:rsid w:val="4AB34FDC"/>
    <w:rsid w:val="4ABD2488"/>
    <w:rsid w:val="4AC203CC"/>
    <w:rsid w:val="4AC41857"/>
    <w:rsid w:val="4AC66BDE"/>
    <w:rsid w:val="4AC67DD1"/>
    <w:rsid w:val="4AC77304"/>
    <w:rsid w:val="4AC959C0"/>
    <w:rsid w:val="4ACA6332"/>
    <w:rsid w:val="4AD17233"/>
    <w:rsid w:val="4ADC5492"/>
    <w:rsid w:val="4ADC58DD"/>
    <w:rsid w:val="4AE05645"/>
    <w:rsid w:val="4AE42D8F"/>
    <w:rsid w:val="4AE445CE"/>
    <w:rsid w:val="4AEA7B55"/>
    <w:rsid w:val="4AEC1E0A"/>
    <w:rsid w:val="4AFC2608"/>
    <w:rsid w:val="4B035ACA"/>
    <w:rsid w:val="4B046E44"/>
    <w:rsid w:val="4B1007A1"/>
    <w:rsid w:val="4B183D71"/>
    <w:rsid w:val="4B1914A9"/>
    <w:rsid w:val="4B1C7D15"/>
    <w:rsid w:val="4B207663"/>
    <w:rsid w:val="4B326D8D"/>
    <w:rsid w:val="4B4E0401"/>
    <w:rsid w:val="4B503909"/>
    <w:rsid w:val="4B5050D3"/>
    <w:rsid w:val="4B54330A"/>
    <w:rsid w:val="4B5737BC"/>
    <w:rsid w:val="4B5B25E1"/>
    <w:rsid w:val="4B5B4EC4"/>
    <w:rsid w:val="4B5C3CA3"/>
    <w:rsid w:val="4B647804"/>
    <w:rsid w:val="4B65753A"/>
    <w:rsid w:val="4B661619"/>
    <w:rsid w:val="4B663C0A"/>
    <w:rsid w:val="4B6A229D"/>
    <w:rsid w:val="4B6F32AD"/>
    <w:rsid w:val="4B791A06"/>
    <w:rsid w:val="4B7F3D34"/>
    <w:rsid w:val="4B804A8F"/>
    <w:rsid w:val="4B825773"/>
    <w:rsid w:val="4B840AA0"/>
    <w:rsid w:val="4B85515C"/>
    <w:rsid w:val="4B87788B"/>
    <w:rsid w:val="4B893E70"/>
    <w:rsid w:val="4B913CE0"/>
    <w:rsid w:val="4B9E718A"/>
    <w:rsid w:val="4BA04F59"/>
    <w:rsid w:val="4BA14BDB"/>
    <w:rsid w:val="4BA215EA"/>
    <w:rsid w:val="4BA234F9"/>
    <w:rsid w:val="4BA70E61"/>
    <w:rsid w:val="4BAC5466"/>
    <w:rsid w:val="4BBB1ACF"/>
    <w:rsid w:val="4BC20354"/>
    <w:rsid w:val="4BC222A5"/>
    <w:rsid w:val="4BC4288D"/>
    <w:rsid w:val="4BC57B4E"/>
    <w:rsid w:val="4BC724B7"/>
    <w:rsid w:val="4BC7457A"/>
    <w:rsid w:val="4BCC1950"/>
    <w:rsid w:val="4BD129FB"/>
    <w:rsid w:val="4BD60A73"/>
    <w:rsid w:val="4BDF763B"/>
    <w:rsid w:val="4BE14614"/>
    <w:rsid w:val="4BE46576"/>
    <w:rsid w:val="4BE920EE"/>
    <w:rsid w:val="4BFA1F4D"/>
    <w:rsid w:val="4BFE37E9"/>
    <w:rsid w:val="4C0157C2"/>
    <w:rsid w:val="4C02047F"/>
    <w:rsid w:val="4C03799E"/>
    <w:rsid w:val="4C0B43ED"/>
    <w:rsid w:val="4C0D1684"/>
    <w:rsid w:val="4C135700"/>
    <w:rsid w:val="4C1657A1"/>
    <w:rsid w:val="4C1B2BA5"/>
    <w:rsid w:val="4C23332C"/>
    <w:rsid w:val="4C241011"/>
    <w:rsid w:val="4C253226"/>
    <w:rsid w:val="4C27632F"/>
    <w:rsid w:val="4C2F2527"/>
    <w:rsid w:val="4C326A9E"/>
    <w:rsid w:val="4C362668"/>
    <w:rsid w:val="4C370B16"/>
    <w:rsid w:val="4C3B3770"/>
    <w:rsid w:val="4C452FE8"/>
    <w:rsid w:val="4C4553A6"/>
    <w:rsid w:val="4C4644F0"/>
    <w:rsid w:val="4C473C44"/>
    <w:rsid w:val="4C485EA1"/>
    <w:rsid w:val="4C4863B6"/>
    <w:rsid w:val="4C4D596A"/>
    <w:rsid w:val="4C502034"/>
    <w:rsid w:val="4C51322F"/>
    <w:rsid w:val="4C516A41"/>
    <w:rsid w:val="4C5B3238"/>
    <w:rsid w:val="4C5B7AA2"/>
    <w:rsid w:val="4C5F2542"/>
    <w:rsid w:val="4C704FED"/>
    <w:rsid w:val="4C7474E3"/>
    <w:rsid w:val="4C776BE0"/>
    <w:rsid w:val="4C781175"/>
    <w:rsid w:val="4C783FE9"/>
    <w:rsid w:val="4C7A642B"/>
    <w:rsid w:val="4C84260E"/>
    <w:rsid w:val="4C845E71"/>
    <w:rsid w:val="4C883706"/>
    <w:rsid w:val="4C8841E7"/>
    <w:rsid w:val="4C8F0600"/>
    <w:rsid w:val="4C8F1D28"/>
    <w:rsid w:val="4C9054D8"/>
    <w:rsid w:val="4C91101E"/>
    <w:rsid w:val="4C946B7F"/>
    <w:rsid w:val="4C963EF7"/>
    <w:rsid w:val="4C981D33"/>
    <w:rsid w:val="4C9C4253"/>
    <w:rsid w:val="4C9E2907"/>
    <w:rsid w:val="4CA054F1"/>
    <w:rsid w:val="4CA42AA9"/>
    <w:rsid w:val="4CAD62E5"/>
    <w:rsid w:val="4CBA0391"/>
    <w:rsid w:val="4CBB4E8C"/>
    <w:rsid w:val="4CBC45E4"/>
    <w:rsid w:val="4CBE2E19"/>
    <w:rsid w:val="4CBE48F6"/>
    <w:rsid w:val="4CBE59FE"/>
    <w:rsid w:val="4CBF380E"/>
    <w:rsid w:val="4CC30498"/>
    <w:rsid w:val="4CC543FF"/>
    <w:rsid w:val="4CC703C0"/>
    <w:rsid w:val="4CCC3AF1"/>
    <w:rsid w:val="4CCE27F6"/>
    <w:rsid w:val="4CD07492"/>
    <w:rsid w:val="4CD43DA9"/>
    <w:rsid w:val="4CD47796"/>
    <w:rsid w:val="4CD542AD"/>
    <w:rsid w:val="4CD714EF"/>
    <w:rsid w:val="4CD7624F"/>
    <w:rsid w:val="4CDB2922"/>
    <w:rsid w:val="4CED17F6"/>
    <w:rsid w:val="4CF04C32"/>
    <w:rsid w:val="4CF24499"/>
    <w:rsid w:val="4CF652CE"/>
    <w:rsid w:val="4CFF2A8C"/>
    <w:rsid w:val="4D004A4B"/>
    <w:rsid w:val="4D02190F"/>
    <w:rsid w:val="4D0318ED"/>
    <w:rsid w:val="4D0B7A54"/>
    <w:rsid w:val="4D0C00C7"/>
    <w:rsid w:val="4D0F49FD"/>
    <w:rsid w:val="4D107C35"/>
    <w:rsid w:val="4D11101D"/>
    <w:rsid w:val="4D146187"/>
    <w:rsid w:val="4D1F46BC"/>
    <w:rsid w:val="4D2022B9"/>
    <w:rsid w:val="4D203209"/>
    <w:rsid w:val="4D304752"/>
    <w:rsid w:val="4D337A3B"/>
    <w:rsid w:val="4D3B76BF"/>
    <w:rsid w:val="4D3E279F"/>
    <w:rsid w:val="4D4A0E43"/>
    <w:rsid w:val="4D525C0D"/>
    <w:rsid w:val="4D5407BE"/>
    <w:rsid w:val="4D695211"/>
    <w:rsid w:val="4D74744E"/>
    <w:rsid w:val="4D762040"/>
    <w:rsid w:val="4D777EDA"/>
    <w:rsid w:val="4D8B2DEC"/>
    <w:rsid w:val="4D8E2727"/>
    <w:rsid w:val="4D967FC1"/>
    <w:rsid w:val="4D9B01EE"/>
    <w:rsid w:val="4D9D7CD2"/>
    <w:rsid w:val="4DA25F77"/>
    <w:rsid w:val="4DA71010"/>
    <w:rsid w:val="4DB333F4"/>
    <w:rsid w:val="4DB720E1"/>
    <w:rsid w:val="4DB91D36"/>
    <w:rsid w:val="4DBE6061"/>
    <w:rsid w:val="4DC852EA"/>
    <w:rsid w:val="4DCE5A4A"/>
    <w:rsid w:val="4DD97AC8"/>
    <w:rsid w:val="4DDA1220"/>
    <w:rsid w:val="4DDF1CDD"/>
    <w:rsid w:val="4DE3102C"/>
    <w:rsid w:val="4DE57D06"/>
    <w:rsid w:val="4DE94289"/>
    <w:rsid w:val="4DF74391"/>
    <w:rsid w:val="4DFA1E8B"/>
    <w:rsid w:val="4DFD7AC8"/>
    <w:rsid w:val="4E061C40"/>
    <w:rsid w:val="4E075D1E"/>
    <w:rsid w:val="4E08395F"/>
    <w:rsid w:val="4E0F3ED9"/>
    <w:rsid w:val="4E162083"/>
    <w:rsid w:val="4E17297C"/>
    <w:rsid w:val="4E19382D"/>
    <w:rsid w:val="4E1D0769"/>
    <w:rsid w:val="4E2806A1"/>
    <w:rsid w:val="4E316643"/>
    <w:rsid w:val="4E323C88"/>
    <w:rsid w:val="4E332610"/>
    <w:rsid w:val="4E37326B"/>
    <w:rsid w:val="4E3E1CCB"/>
    <w:rsid w:val="4E403D32"/>
    <w:rsid w:val="4E42774A"/>
    <w:rsid w:val="4E4C51CB"/>
    <w:rsid w:val="4E50159E"/>
    <w:rsid w:val="4E540C4F"/>
    <w:rsid w:val="4E552564"/>
    <w:rsid w:val="4E552A78"/>
    <w:rsid w:val="4E5677A5"/>
    <w:rsid w:val="4E5766B9"/>
    <w:rsid w:val="4E5813F9"/>
    <w:rsid w:val="4E5A12D6"/>
    <w:rsid w:val="4E600E46"/>
    <w:rsid w:val="4E685043"/>
    <w:rsid w:val="4E6D3140"/>
    <w:rsid w:val="4E6E6233"/>
    <w:rsid w:val="4E705923"/>
    <w:rsid w:val="4E7D0E6C"/>
    <w:rsid w:val="4E8367D8"/>
    <w:rsid w:val="4E8B3C84"/>
    <w:rsid w:val="4E991E09"/>
    <w:rsid w:val="4E9A4B73"/>
    <w:rsid w:val="4EA309BA"/>
    <w:rsid w:val="4EA56B64"/>
    <w:rsid w:val="4EA81D53"/>
    <w:rsid w:val="4EAA1BD0"/>
    <w:rsid w:val="4EB02C20"/>
    <w:rsid w:val="4EB036B8"/>
    <w:rsid w:val="4EB6723E"/>
    <w:rsid w:val="4EB97478"/>
    <w:rsid w:val="4EBF5759"/>
    <w:rsid w:val="4EC1038A"/>
    <w:rsid w:val="4EC112B0"/>
    <w:rsid w:val="4EC15267"/>
    <w:rsid w:val="4EC156A9"/>
    <w:rsid w:val="4EC256FF"/>
    <w:rsid w:val="4ECD4CCD"/>
    <w:rsid w:val="4ECD723A"/>
    <w:rsid w:val="4ED12952"/>
    <w:rsid w:val="4ED12ECF"/>
    <w:rsid w:val="4ED148E8"/>
    <w:rsid w:val="4EE42913"/>
    <w:rsid w:val="4EE84918"/>
    <w:rsid w:val="4EEF6673"/>
    <w:rsid w:val="4EF061C1"/>
    <w:rsid w:val="4EF5733C"/>
    <w:rsid w:val="4EFC5646"/>
    <w:rsid w:val="4EFE0528"/>
    <w:rsid w:val="4EFF1500"/>
    <w:rsid w:val="4F001668"/>
    <w:rsid w:val="4F043F64"/>
    <w:rsid w:val="4F0562D0"/>
    <w:rsid w:val="4F08294C"/>
    <w:rsid w:val="4F083028"/>
    <w:rsid w:val="4F0916C6"/>
    <w:rsid w:val="4F0A7B8E"/>
    <w:rsid w:val="4F1404C9"/>
    <w:rsid w:val="4F1653BA"/>
    <w:rsid w:val="4F19334A"/>
    <w:rsid w:val="4F1C1A0A"/>
    <w:rsid w:val="4F1E16A6"/>
    <w:rsid w:val="4F1E1741"/>
    <w:rsid w:val="4F1F1E2E"/>
    <w:rsid w:val="4F222C9C"/>
    <w:rsid w:val="4F253AA1"/>
    <w:rsid w:val="4F287494"/>
    <w:rsid w:val="4F2F62FC"/>
    <w:rsid w:val="4F3B39D2"/>
    <w:rsid w:val="4F3E42F6"/>
    <w:rsid w:val="4F3E62C7"/>
    <w:rsid w:val="4F5715E1"/>
    <w:rsid w:val="4F57688E"/>
    <w:rsid w:val="4F5B04E9"/>
    <w:rsid w:val="4F60559A"/>
    <w:rsid w:val="4F676A9D"/>
    <w:rsid w:val="4F6F6142"/>
    <w:rsid w:val="4F711E7B"/>
    <w:rsid w:val="4F721697"/>
    <w:rsid w:val="4F785F46"/>
    <w:rsid w:val="4F7B2CA3"/>
    <w:rsid w:val="4F7D38E3"/>
    <w:rsid w:val="4F7E13CE"/>
    <w:rsid w:val="4F8401BD"/>
    <w:rsid w:val="4F844F0E"/>
    <w:rsid w:val="4F8E5757"/>
    <w:rsid w:val="4F931C7D"/>
    <w:rsid w:val="4F9359CE"/>
    <w:rsid w:val="4F950608"/>
    <w:rsid w:val="4F9E649A"/>
    <w:rsid w:val="4FA1278D"/>
    <w:rsid w:val="4FA17AC5"/>
    <w:rsid w:val="4FA63C8E"/>
    <w:rsid w:val="4FB20F4D"/>
    <w:rsid w:val="4FB26602"/>
    <w:rsid w:val="4FB475DA"/>
    <w:rsid w:val="4FBB72C0"/>
    <w:rsid w:val="4FC14334"/>
    <w:rsid w:val="4FC56DCF"/>
    <w:rsid w:val="4FC65716"/>
    <w:rsid w:val="4FCD1D07"/>
    <w:rsid w:val="4FD5214F"/>
    <w:rsid w:val="4FD61D64"/>
    <w:rsid w:val="4FD85FBE"/>
    <w:rsid w:val="4FDB0650"/>
    <w:rsid w:val="4FDD4B0E"/>
    <w:rsid w:val="4FED50E6"/>
    <w:rsid w:val="4FEF2B63"/>
    <w:rsid w:val="4FFC7708"/>
    <w:rsid w:val="4FFD4A8B"/>
    <w:rsid w:val="4FFD77DB"/>
    <w:rsid w:val="500951D8"/>
    <w:rsid w:val="500A2D10"/>
    <w:rsid w:val="500F6BE5"/>
    <w:rsid w:val="501773AD"/>
    <w:rsid w:val="501828FA"/>
    <w:rsid w:val="501E1E8C"/>
    <w:rsid w:val="50253184"/>
    <w:rsid w:val="5027009E"/>
    <w:rsid w:val="502824EE"/>
    <w:rsid w:val="50285ABF"/>
    <w:rsid w:val="502B719F"/>
    <w:rsid w:val="502D34A4"/>
    <w:rsid w:val="5031796E"/>
    <w:rsid w:val="50342FAA"/>
    <w:rsid w:val="50355FA1"/>
    <w:rsid w:val="50375ABB"/>
    <w:rsid w:val="50393E65"/>
    <w:rsid w:val="503B2C65"/>
    <w:rsid w:val="503C3FBB"/>
    <w:rsid w:val="503E7B0B"/>
    <w:rsid w:val="50400524"/>
    <w:rsid w:val="504E019C"/>
    <w:rsid w:val="5050762B"/>
    <w:rsid w:val="50537809"/>
    <w:rsid w:val="505406B1"/>
    <w:rsid w:val="505B4F79"/>
    <w:rsid w:val="50601309"/>
    <w:rsid w:val="50621158"/>
    <w:rsid w:val="50676090"/>
    <w:rsid w:val="506808B1"/>
    <w:rsid w:val="506B201B"/>
    <w:rsid w:val="506D1D55"/>
    <w:rsid w:val="5071111C"/>
    <w:rsid w:val="50775E49"/>
    <w:rsid w:val="50782136"/>
    <w:rsid w:val="508126A3"/>
    <w:rsid w:val="508440AC"/>
    <w:rsid w:val="508656A3"/>
    <w:rsid w:val="50880E92"/>
    <w:rsid w:val="50897E5E"/>
    <w:rsid w:val="508E46EB"/>
    <w:rsid w:val="509C1919"/>
    <w:rsid w:val="50A01740"/>
    <w:rsid w:val="50AB5394"/>
    <w:rsid w:val="50AB7F2E"/>
    <w:rsid w:val="50AE1548"/>
    <w:rsid w:val="50B07AA5"/>
    <w:rsid w:val="50B1220E"/>
    <w:rsid w:val="50B30315"/>
    <w:rsid w:val="50B4492C"/>
    <w:rsid w:val="50B51855"/>
    <w:rsid w:val="50B93EDA"/>
    <w:rsid w:val="50B95926"/>
    <w:rsid w:val="50B9685B"/>
    <w:rsid w:val="50BA3998"/>
    <w:rsid w:val="50BC38E7"/>
    <w:rsid w:val="50BE7EC8"/>
    <w:rsid w:val="50C33B66"/>
    <w:rsid w:val="50C351F5"/>
    <w:rsid w:val="50D23475"/>
    <w:rsid w:val="50D8109D"/>
    <w:rsid w:val="50DD4AA5"/>
    <w:rsid w:val="50E07D0C"/>
    <w:rsid w:val="50E42FA3"/>
    <w:rsid w:val="50E91056"/>
    <w:rsid w:val="50EB421B"/>
    <w:rsid w:val="50F07D0E"/>
    <w:rsid w:val="50F155C9"/>
    <w:rsid w:val="50F17582"/>
    <w:rsid w:val="50FC164C"/>
    <w:rsid w:val="5100204D"/>
    <w:rsid w:val="51024851"/>
    <w:rsid w:val="51030DCB"/>
    <w:rsid w:val="51096F7F"/>
    <w:rsid w:val="51097240"/>
    <w:rsid w:val="510C710B"/>
    <w:rsid w:val="510F1201"/>
    <w:rsid w:val="510F1C79"/>
    <w:rsid w:val="5110647A"/>
    <w:rsid w:val="51137D61"/>
    <w:rsid w:val="511E4444"/>
    <w:rsid w:val="5120345D"/>
    <w:rsid w:val="51230023"/>
    <w:rsid w:val="512D7820"/>
    <w:rsid w:val="51314D44"/>
    <w:rsid w:val="51337200"/>
    <w:rsid w:val="51387DD2"/>
    <w:rsid w:val="514267D5"/>
    <w:rsid w:val="514B12E3"/>
    <w:rsid w:val="514C2FA9"/>
    <w:rsid w:val="514E286E"/>
    <w:rsid w:val="514E351B"/>
    <w:rsid w:val="514E44F9"/>
    <w:rsid w:val="51562504"/>
    <w:rsid w:val="515924A3"/>
    <w:rsid w:val="51656FB2"/>
    <w:rsid w:val="51675B79"/>
    <w:rsid w:val="516B64BE"/>
    <w:rsid w:val="51743CA9"/>
    <w:rsid w:val="51767CDC"/>
    <w:rsid w:val="51857227"/>
    <w:rsid w:val="51875FB8"/>
    <w:rsid w:val="518762C7"/>
    <w:rsid w:val="518973BF"/>
    <w:rsid w:val="518A0BF9"/>
    <w:rsid w:val="518B7A75"/>
    <w:rsid w:val="518E0ADE"/>
    <w:rsid w:val="519828A5"/>
    <w:rsid w:val="51996B3A"/>
    <w:rsid w:val="51A116FC"/>
    <w:rsid w:val="51A51838"/>
    <w:rsid w:val="51B97B08"/>
    <w:rsid w:val="51BE6FE8"/>
    <w:rsid w:val="51C33F41"/>
    <w:rsid w:val="51C45186"/>
    <w:rsid w:val="51C576B9"/>
    <w:rsid w:val="51C66D47"/>
    <w:rsid w:val="51C70543"/>
    <w:rsid w:val="51C943C3"/>
    <w:rsid w:val="51CC66C8"/>
    <w:rsid w:val="51D179CE"/>
    <w:rsid w:val="51D5390C"/>
    <w:rsid w:val="51D86B3B"/>
    <w:rsid w:val="51D91A7E"/>
    <w:rsid w:val="51DA0BB2"/>
    <w:rsid w:val="51DB7369"/>
    <w:rsid w:val="51DF269A"/>
    <w:rsid w:val="51E41B8C"/>
    <w:rsid w:val="51E76A36"/>
    <w:rsid w:val="51EA7FC6"/>
    <w:rsid w:val="51EC7D85"/>
    <w:rsid w:val="51EE0694"/>
    <w:rsid w:val="51F506C7"/>
    <w:rsid w:val="51F86FC9"/>
    <w:rsid w:val="51FA0A5A"/>
    <w:rsid w:val="51FB3FFB"/>
    <w:rsid w:val="51FF5C09"/>
    <w:rsid w:val="52021ACA"/>
    <w:rsid w:val="5203680A"/>
    <w:rsid w:val="52066BA8"/>
    <w:rsid w:val="520670EB"/>
    <w:rsid w:val="52097070"/>
    <w:rsid w:val="520F6CAC"/>
    <w:rsid w:val="521077B1"/>
    <w:rsid w:val="5215082A"/>
    <w:rsid w:val="5216791B"/>
    <w:rsid w:val="521A609E"/>
    <w:rsid w:val="522E58CD"/>
    <w:rsid w:val="522F1E63"/>
    <w:rsid w:val="52320DB3"/>
    <w:rsid w:val="52363F74"/>
    <w:rsid w:val="523C298C"/>
    <w:rsid w:val="523C72D9"/>
    <w:rsid w:val="523E32FE"/>
    <w:rsid w:val="523F3990"/>
    <w:rsid w:val="52407ECE"/>
    <w:rsid w:val="52416CE7"/>
    <w:rsid w:val="5244363F"/>
    <w:rsid w:val="5248063C"/>
    <w:rsid w:val="52483CCF"/>
    <w:rsid w:val="524E69ED"/>
    <w:rsid w:val="52511705"/>
    <w:rsid w:val="52562B82"/>
    <w:rsid w:val="525979A9"/>
    <w:rsid w:val="525C0FE2"/>
    <w:rsid w:val="525C3878"/>
    <w:rsid w:val="52622832"/>
    <w:rsid w:val="52644D28"/>
    <w:rsid w:val="52653007"/>
    <w:rsid w:val="5269407F"/>
    <w:rsid w:val="526C06E7"/>
    <w:rsid w:val="52731FA5"/>
    <w:rsid w:val="52733010"/>
    <w:rsid w:val="527542AB"/>
    <w:rsid w:val="5275512E"/>
    <w:rsid w:val="5275749B"/>
    <w:rsid w:val="52821BF9"/>
    <w:rsid w:val="528323CA"/>
    <w:rsid w:val="528622B3"/>
    <w:rsid w:val="52873567"/>
    <w:rsid w:val="528C2036"/>
    <w:rsid w:val="528E31F6"/>
    <w:rsid w:val="52940A84"/>
    <w:rsid w:val="52966057"/>
    <w:rsid w:val="52987054"/>
    <w:rsid w:val="529E13CD"/>
    <w:rsid w:val="52A71EEF"/>
    <w:rsid w:val="52AB7C57"/>
    <w:rsid w:val="52AD552F"/>
    <w:rsid w:val="52B23E94"/>
    <w:rsid w:val="52B349FA"/>
    <w:rsid w:val="52B52BE0"/>
    <w:rsid w:val="52B7352D"/>
    <w:rsid w:val="52BC1C73"/>
    <w:rsid w:val="52BF4B56"/>
    <w:rsid w:val="52BF7E38"/>
    <w:rsid w:val="52C401BA"/>
    <w:rsid w:val="52C767CE"/>
    <w:rsid w:val="52CE07F2"/>
    <w:rsid w:val="52D50A3D"/>
    <w:rsid w:val="52D56483"/>
    <w:rsid w:val="52D64E27"/>
    <w:rsid w:val="52D77AB4"/>
    <w:rsid w:val="52D83D24"/>
    <w:rsid w:val="52DA2F46"/>
    <w:rsid w:val="52DE18C0"/>
    <w:rsid w:val="52DE48C1"/>
    <w:rsid w:val="52DE7326"/>
    <w:rsid w:val="52DF1BBB"/>
    <w:rsid w:val="52E24E62"/>
    <w:rsid w:val="52E27589"/>
    <w:rsid w:val="52E664EB"/>
    <w:rsid w:val="52E95A81"/>
    <w:rsid w:val="52EA1453"/>
    <w:rsid w:val="52ED42C2"/>
    <w:rsid w:val="52EE125E"/>
    <w:rsid w:val="52EF227A"/>
    <w:rsid w:val="52F36CFA"/>
    <w:rsid w:val="52FF0FF4"/>
    <w:rsid w:val="53086C11"/>
    <w:rsid w:val="531214F0"/>
    <w:rsid w:val="53124ABC"/>
    <w:rsid w:val="53182021"/>
    <w:rsid w:val="53195C40"/>
    <w:rsid w:val="53197769"/>
    <w:rsid w:val="531A08C5"/>
    <w:rsid w:val="532705A7"/>
    <w:rsid w:val="532B6D4F"/>
    <w:rsid w:val="532D7965"/>
    <w:rsid w:val="5330772F"/>
    <w:rsid w:val="5331134E"/>
    <w:rsid w:val="53325447"/>
    <w:rsid w:val="533821C8"/>
    <w:rsid w:val="533A0774"/>
    <w:rsid w:val="533C7439"/>
    <w:rsid w:val="53454651"/>
    <w:rsid w:val="534A215D"/>
    <w:rsid w:val="535263CF"/>
    <w:rsid w:val="53542C09"/>
    <w:rsid w:val="535C0137"/>
    <w:rsid w:val="536806E4"/>
    <w:rsid w:val="536E6A78"/>
    <w:rsid w:val="53743E50"/>
    <w:rsid w:val="53772D77"/>
    <w:rsid w:val="5377541A"/>
    <w:rsid w:val="53793BC0"/>
    <w:rsid w:val="537D10C7"/>
    <w:rsid w:val="53822E4B"/>
    <w:rsid w:val="53825AF9"/>
    <w:rsid w:val="53836FA2"/>
    <w:rsid w:val="53853FFD"/>
    <w:rsid w:val="5386191D"/>
    <w:rsid w:val="5386283B"/>
    <w:rsid w:val="53865C31"/>
    <w:rsid w:val="538A415D"/>
    <w:rsid w:val="538B4E38"/>
    <w:rsid w:val="538C62C9"/>
    <w:rsid w:val="539526B9"/>
    <w:rsid w:val="5396185B"/>
    <w:rsid w:val="539D3DE1"/>
    <w:rsid w:val="539F3EA3"/>
    <w:rsid w:val="53A07739"/>
    <w:rsid w:val="53A24E6E"/>
    <w:rsid w:val="53A71345"/>
    <w:rsid w:val="53AF4D7A"/>
    <w:rsid w:val="53B62212"/>
    <w:rsid w:val="53BA28FB"/>
    <w:rsid w:val="53BA4EA5"/>
    <w:rsid w:val="53BA7620"/>
    <w:rsid w:val="53BD2E05"/>
    <w:rsid w:val="53C055A7"/>
    <w:rsid w:val="53C6064A"/>
    <w:rsid w:val="53CB4D75"/>
    <w:rsid w:val="53CF3154"/>
    <w:rsid w:val="53D0061A"/>
    <w:rsid w:val="53D26C38"/>
    <w:rsid w:val="53E21E89"/>
    <w:rsid w:val="53E374B9"/>
    <w:rsid w:val="53F43F55"/>
    <w:rsid w:val="53F56C6A"/>
    <w:rsid w:val="53F849FE"/>
    <w:rsid w:val="53F95170"/>
    <w:rsid w:val="53FD67ED"/>
    <w:rsid w:val="54007A1E"/>
    <w:rsid w:val="54112BB3"/>
    <w:rsid w:val="54141B6A"/>
    <w:rsid w:val="54155FBE"/>
    <w:rsid w:val="542057A9"/>
    <w:rsid w:val="54206614"/>
    <w:rsid w:val="54217F36"/>
    <w:rsid w:val="54235BFB"/>
    <w:rsid w:val="542450D5"/>
    <w:rsid w:val="54247A97"/>
    <w:rsid w:val="54272305"/>
    <w:rsid w:val="542D1FE0"/>
    <w:rsid w:val="543132F7"/>
    <w:rsid w:val="54351DE3"/>
    <w:rsid w:val="543B5A35"/>
    <w:rsid w:val="54536425"/>
    <w:rsid w:val="5463117E"/>
    <w:rsid w:val="54637154"/>
    <w:rsid w:val="54656840"/>
    <w:rsid w:val="546B0245"/>
    <w:rsid w:val="547556E8"/>
    <w:rsid w:val="54761CE8"/>
    <w:rsid w:val="54790EEA"/>
    <w:rsid w:val="547C6125"/>
    <w:rsid w:val="54836E4A"/>
    <w:rsid w:val="548E6103"/>
    <w:rsid w:val="549042A6"/>
    <w:rsid w:val="54910A86"/>
    <w:rsid w:val="5496637A"/>
    <w:rsid w:val="5498200D"/>
    <w:rsid w:val="549A071D"/>
    <w:rsid w:val="549B3654"/>
    <w:rsid w:val="549D14AC"/>
    <w:rsid w:val="54A67259"/>
    <w:rsid w:val="54A945D3"/>
    <w:rsid w:val="54B249E7"/>
    <w:rsid w:val="54B90FA3"/>
    <w:rsid w:val="54B91A7C"/>
    <w:rsid w:val="54BE3E7E"/>
    <w:rsid w:val="54BF0A98"/>
    <w:rsid w:val="54C13359"/>
    <w:rsid w:val="54D15E0E"/>
    <w:rsid w:val="54D66ACD"/>
    <w:rsid w:val="54DC3D0D"/>
    <w:rsid w:val="54E10E62"/>
    <w:rsid w:val="54E549D4"/>
    <w:rsid w:val="54E640F9"/>
    <w:rsid w:val="54EF410E"/>
    <w:rsid w:val="54F6545F"/>
    <w:rsid w:val="54FE5226"/>
    <w:rsid w:val="55034733"/>
    <w:rsid w:val="55094742"/>
    <w:rsid w:val="55144026"/>
    <w:rsid w:val="552A1104"/>
    <w:rsid w:val="553357F6"/>
    <w:rsid w:val="55347BA6"/>
    <w:rsid w:val="55384672"/>
    <w:rsid w:val="55420817"/>
    <w:rsid w:val="55506B19"/>
    <w:rsid w:val="55580DA0"/>
    <w:rsid w:val="55586FFE"/>
    <w:rsid w:val="555B760C"/>
    <w:rsid w:val="555D10A9"/>
    <w:rsid w:val="555F3884"/>
    <w:rsid w:val="5560296F"/>
    <w:rsid w:val="55622695"/>
    <w:rsid w:val="55654171"/>
    <w:rsid w:val="55756F5C"/>
    <w:rsid w:val="557665E9"/>
    <w:rsid w:val="55770E62"/>
    <w:rsid w:val="557B628E"/>
    <w:rsid w:val="55893FB7"/>
    <w:rsid w:val="55894D7E"/>
    <w:rsid w:val="558957B4"/>
    <w:rsid w:val="55901EB5"/>
    <w:rsid w:val="55927A30"/>
    <w:rsid w:val="55943CB6"/>
    <w:rsid w:val="559636E9"/>
    <w:rsid w:val="559A0FAA"/>
    <w:rsid w:val="559B7F89"/>
    <w:rsid w:val="559E13D6"/>
    <w:rsid w:val="55AB41B0"/>
    <w:rsid w:val="55AD6BE2"/>
    <w:rsid w:val="55B042FB"/>
    <w:rsid w:val="55B336A4"/>
    <w:rsid w:val="55B63986"/>
    <w:rsid w:val="55BC588B"/>
    <w:rsid w:val="55BD2A0C"/>
    <w:rsid w:val="55BD6A6F"/>
    <w:rsid w:val="55BF15E3"/>
    <w:rsid w:val="55C26875"/>
    <w:rsid w:val="55C27417"/>
    <w:rsid w:val="55C32F14"/>
    <w:rsid w:val="55CF1335"/>
    <w:rsid w:val="55DF0618"/>
    <w:rsid w:val="55E92118"/>
    <w:rsid w:val="55EC606A"/>
    <w:rsid w:val="55F419E6"/>
    <w:rsid w:val="55F423EF"/>
    <w:rsid w:val="55F528FE"/>
    <w:rsid w:val="55FC190E"/>
    <w:rsid w:val="55FD784E"/>
    <w:rsid w:val="56073700"/>
    <w:rsid w:val="56076374"/>
    <w:rsid w:val="5608081F"/>
    <w:rsid w:val="56084439"/>
    <w:rsid w:val="56087E40"/>
    <w:rsid w:val="560924B1"/>
    <w:rsid w:val="56092C5B"/>
    <w:rsid w:val="56131680"/>
    <w:rsid w:val="56142C4B"/>
    <w:rsid w:val="56171189"/>
    <w:rsid w:val="5619053F"/>
    <w:rsid w:val="561D0105"/>
    <w:rsid w:val="562474D2"/>
    <w:rsid w:val="56266823"/>
    <w:rsid w:val="56271537"/>
    <w:rsid w:val="56294027"/>
    <w:rsid w:val="562B4C64"/>
    <w:rsid w:val="562F6483"/>
    <w:rsid w:val="56351261"/>
    <w:rsid w:val="563B07CE"/>
    <w:rsid w:val="56405830"/>
    <w:rsid w:val="564436A5"/>
    <w:rsid w:val="56445960"/>
    <w:rsid w:val="5649212A"/>
    <w:rsid w:val="564C4FC9"/>
    <w:rsid w:val="565908FF"/>
    <w:rsid w:val="56590F95"/>
    <w:rsid w:val="565A568D"/>
    <w:rsid w:val="5660420B"/>
    <w:rsid w:val="56694CBB"/>
    <w:rsid w:val="566A2867"/>
    <w:rsid w:val="566A5903"/>
    <w:rsid w:val="567C504A"/>
    <w:rsid w:val="567D080E"/>
    <w:rsid w:val="56821295"/>
    <w:rsid w:val="5686573B"/>
    <w:rsid w:val="56891FD5"/>
    <w:rsid w:val="568A2F3B"/>
    <w:rsid w:val="568E798D"/>
    <w:rsid w:val="5691181E"/>
    <w:rsid w:val="569869FF"/>
    <w:rsid w:val="569C0343"/>
    <w:rsid w:val="569C10E0"/>
    <w:rsid w:val="56A61B1C"/>
    <w:rsid w:val="56A74A57"/>
    <w:rsid w:val="56AC668B"/>
    <w:rsid w:val="56B24F5D"/>
    <w:rsid w:val="56B71272"/>
    <w:rsid w:val="56BB39E9"/>
    <w:rsid w:val="56BD09F2"/>
    <w:rsid w:val="56BE3C9C"/>
    <w:rsid w:val="56C43919"/>
    <w:rsid w:val="56CA5EC1"/>
    <w:rsid w:val="56CC15CB"/>
    <w:rsid w:val="56CE4670"/>
    <w:rsid w:val="56D345FE"/>
    <w:rsid w:val="56D55492"/>
    <w:rsid w:val="56DF770E"/>
    <w:rsid w:val="56E1024E"/>
    <w:rsid w:val="56E266E1"/>
    <w:rsid w:val="56E308E7"/>
    <w:rsid w:val="56E612C6"/>
    <w:rsid w:val="56E97007"/>
    <w:rsid w:val="56EF318F"/>
    <w:rsid w:val="56FE3C38"/>
    <w:rsid w:val="570A1F00"/>
    <w:rsid w:val="570C6144"/>
    <w:rsid w:val="57223A65"/>
    <w:rsid w:val="572D2219"/>
    <w:rsid w:val="57305A43"/>
    <w:rsid w:val="57324804"/>
    <w:rsid w:val="57326FEE"/>
    <w:rsid w:val="57372438"/>
    <w:rsid w:val="57455EEB"/>
    <w:rsid w:val="574D63B7"/>
    <w:rsid w:val="574E3C16"/>
    <w:rsid w:val="57550C5A"/>
    <w:rsid w:val="57563974"/>
    <w:rsid w:val="575C4EB1"/>
    <w:rsid w:val="575E7D13"/>
    <w:rsid w:val="576035EF"/>
    <w:rsid w:val="576153E3"/>
    <w:rsid w:val="57617DD8"/>
    <w:rsid w:val="57650082"/>
    <w:rsid w:val="576A218E"/>
    <w:rsid w:val="576D1898"/>
    <w:rsid w:val="576E22EF"/>
    <w:rsid w:val="577109AD"/>
    <w:rsid w:val="577434EC"/>
    <w:rsid w:val="57747F13"/>
    <w:rsid w:val="577D2809"/>
    <w:rsid w:val="577F74CF"/>
    <w:rsid w:val="578955BE"/>
    <w:rsid w:val="578C52AD"/>
    <w:rsid w:val="579833C7"/>
    <w:rsid w:val="579B37F9"/>
    <w:rsid w:val="579D24EF"/>
    <w:rsid w:val="57A4679F"/>
    <w:rsid w:val="57AA0320"/>
    <w:rsid w:val="57AF4929"/>
    <w:rsid w:val="57B0542B"/>
    <w:rsid w:val="57B516AF"/>
    <w:rsid w:val="57B86415"/>
    <w:rsid w:val="57C00D10"/>
    <w:rsid w:val="57C21EEF"/>
    <w:rsid w:val="57C67CC2"/>
    <w:rsid w:val="57D03504"/>
    <w:rsid w:val="57D04BA2"/>
    <w:rsid w:val="57D61F79"/>
    <w:rsid w:val="57D85ACD"/>
    <w:rsid w:val="57D944D1"/>
    <w:rsid w:val="57DC547D"/>
    <w:rsid w:val="57DF2245"/>
    <w:rsid w:val="57DF6E66"/>
    <w:rsid w:val="57E62F00"/>
    <w:rsid w:val="57EF6920"/>
    <w:rsid w:val="57F367F4"/>
    <w:rsid w:val="57F620EB"/>
    <w:rsid w:val="57F80CD1"/>
    <w:rsid w:val="57FA6054"/>
    <w:rsid w:val="581377C5"/>
    <w:rsid w:val="581503AF"/>
    <w:rsid w:val="581C2960"/>
    <w:rsid w:val="58243A07"/>
    <w:rsid w:val="582E61C2"/>
    <w:rsid w:val="58432ACC"/>
    <w:rsid w:val="58476B9C"/>
    <w:rsid w:val="584E0C39"/>
    <w:rsid w:val="58503604"/>
    <w:rsid w:val="58555B49"/>
    <w:rsid w:val="5856732F"/>
    <w:rsid w:val="58567F5D"/>
    <w:rsid w:val="5859710A"/>
    <w:rsid w:val="58605DA4"/>
    <w:rsid w:val="5861113C"/>
    <w:rsid w:val="58617DD2"/>
    <w:rsid w:val="586318E1"/>
    <w:rsid w:val="5866292C"/>
    <w:rsid w:val="5876582D"/>
    <w:rsid w:val="58792587"/>
    <w:rsid w:val="587C0932"/>
    <w:rsid w:val="587E08F5"/>
    <w:rsid w:val="587F4218"/>
    <w:rsid w:val="5883443F"/>
    <w:rsid w:val="588A57AD"/>
    <w:rsid w:val="588C7280"/>
    <w:rsid w:val="589011FC"/>
    <w:rsid w:val="58943ACE"/>
    <w:rsid w:val="58983AB5"/>
    <w:rsid w:val="5898593C"/>
    <w:rsid w:val="58A01042"/>
    <w:rsid w:val="58A84AB3"/>
    <w:rsid w:val="58B650BD"/>
    <w:rsid w:val="58B665A5"/>
    <w:rsid w:val="58C01CFB"/>
    <w:rsid w:val="58C37175"/>
    <w:rsid w:val="58CC38E9"/>
    <w:rsid w:val="58D01A47"/>
    <w:rsid w:val="58D43377"/>
    <w:rsid w:val="58D714F7"/>
    <w:rsid w:val="58D75E5B"/>
    <w:rsid w:val="58DC663B"/>
    <w:rsid w:val="58DE6D12"/>
    <w:rsid w:val="58E12C73"/>
    <w:rsid w:val="58E21A2E"/>
    <w:rsid w:val="58E33812"/>
    <w:rsid w:val="58E5287D"/>
    <w:rsid w:val="58E97383"/>
    <w:rsid w:val="58EC0B9A"/>
    <w:rsid w:val="58F164F6"/>
    <w:rsid w:val="58F404BA"/>
    <w:rsid w:val="58F96B5A"/>
    <w:rsid w:val="590B762B"/>
    <w:rsid w:val="590C76DF"/>
    <w:rsid w:val="590E3A5D"/>
    <w:rsid w:val="590E7043"/>
    <w:rsid w:val="591050A4"/>
    <w:rsid w:val="591151D3"/>
    <w:rsid w:val="591330D2"/>
    <w:rsid w:val="59172E62"/>
    <w:rsid w:val="591945FA"/>
    <w:rsid w:val="591E653A"/>
    <w:rsid w:val="59212E3D"/>
    <w:rsid w:val="59213404"/>
    <w:rsid w:val="592224FC"/>
    <w:rsid w:val="59272E40"/>
    <w:rsid w:val="592D15CE"/>
    <w:rsid w:val="592F19D1"/>
    <w:rsid w:val="5932319A"/>
    <w:rsid w:val="593810F1"/>
    <w:rsid w:val="593B2502"/>
    <w:rsid w:val="593F118D"/>
    <w:rsid w:val="594301FD"/>
    <w:rsid w:val="59471374"/>
    <w:rsid w:val="594A5192"/>
    <w:rsid w:val="594D0C24"/>
    <w:rsid w:val="59552722"/>
    <w:rsid w:val="59552826"/>
    <w:rsid w:val="59564322"/>
    <w:rsid w:val="595746C8"/>
    <w:rsid w:val="5958307E"/>
    <w:rsid w:val="59606A0A"/>
    <w:rsid w:val="5961358F"/>
    <w:rsid w:val="596162ED"/>
    <w:rsid w:val="596C4B02"/>
    <w:rsid w:val="596D0D66"/>
    <w:rsid w:val="596D292F"/>
    <w:rsid w:val="597B3CBC"/>
    <w:rsid w:val="597E184B"/>
    <w:rsid w:val="597F057E"/>
    <w:rsid w:val="598605FC"/>
    <w:rsid w:val="598E3CE4"/>
    <w:rsid w:val="598E4392"/>
    <w:rsid w:val="598E6F63"/>
    <w:rsid w:val="598F3F99"/>
    <w:rsid w:val="59911FEB"/>
    <w:rsid w:val="599522A9"/>
    <w:rsid w:val="59A52B05"/>
    <w:rsid w:val="59A579AF"/>
    <w:rsid w:val="59AA2783"/>
    <w:rsid w:val="59AD3086"/>
    <w:rsid w:val="59AF2ED9"/>
    <w:rsid w:val="59B545FA"/>
    <w:rsid w:val="59BC70B4"/>
    <w:rsid w:val="59C140F3"/>
    <w:rsid w:val="59C17EDE"/>
    <w:rsid w:val="59C32A88"/>
    <w:rsid w:val="59CC5EBD"/>
    <w:rsid w:val="59CF677B"/>
    <w:rsid w:val="59D92325"/>
    <w:rsid w:val="59DE26ED"/>
    <w:rsid w:val="59E71208"/>
    <w:rsid w:val="59E96E1B"/>
    <w:rsid w:val="59EB1FFE"/>
    <w:rsid w:val="59EB45DC"/>
    <w:rsid w:val="59ED2009"/>
    <w:rsid w:val="59F209EE"/>
    <w:rsid w:val="59F4336F"/>
    <w:rsid w:val="59FA485A"/>
    <w:rsid w:val="59FB2F9A"/>
    <w:rsid w:val="59FC2932"/>
    <w:rsid w:val="59FC7BD2"/>
    <w:rsid w:val="5A0052DA"/>
    <w:rsid w:val="5A007777"/>
    <w:rsid w:val="5A0720E1"/>
    <w:rsid w:val="5A076F00"/>
    <w:rsid w:val="5A0C0718"/>
    <w:rsid w:val="5A0E1FC2"/>
    <w:rsid w:val="5A0E6DA9"/>
    <w:rsid w:val="5A1032C4"/>
    <w:rsid w:val="5A14165E"/>
    <w:rsid w:val="5A146118"/>
    <w:rsid w:val="5A183570"/>
    <w:rsid w:val="5A1F127B"/>
    <w:rsid w:val="5A2868D9"/>
    <w:rsid w:val="5A291504"/>
    <w:rsid w:val="5A297070"/>
    <w:rsid w:val="5A305799"/>
    <w:rsid w:val="5A311153"/>
    <w:rsid w:val="5A331376"/>
    <w:rsid w:val="5A3A508B"/>
    <w:rsid w:val="5A4232F3"/>
    <w:rsid w:val="5A46360A"/>
    <w:rsid w:val="5A4927B3"/>
    <w:rsid w:val="5A543445"/>
    <w:rsid w:val="5A59629E"/>
    <w:rsid w:val="5A5D0EAA"/>
    <w:rsid w:val="5A5E389B"/>
    <w:rsid w:val="5A622B58"/>
    <w:rsid w:val="5A641073"/>
    <w:rsid w:val="5A666E09"/>
    <w:rsid w:val="5A6714BE"/>
    <w:rsid w:val="5A6973B1"/>
    <w:rsid w:val="5A715FF2"/>
    <w:rsid w:val="5A890F1D"/>
    <w:rsid w:val="5A951D52"/>
    <w:rsid w:val="5A994DAB"/>
    <w:rsid w:val="5A9A0598"/>
    <w:rsid w:val="5AA3577F"/>
    <w:rsid w:val="5AA80DF1"/>
    <w:rsid w:val="5AAF4B43"/>
    <w:rsid w:val="5AB02825"/>
    <w:rsid w:val="5AB04F87"/>
    <w:rsid w:val="5AB04FC7"/>
    <w:rsid w:val="5AB734FA"/>
    <w:rsid w:val="5AB82B04"/>
    <w:rsid w:val="5AC05795"/>
    <w:rsid w:val="5AC50892"/>
    <w:rsid w:val="5AC9112E"/>
    <w:rsid w:val="5ACB5BF0"/>
    <w:rsid w:val="5AD46B49"/>
    <w:rsid w:val="5AD4780E"/>
    <w:rsid w:val="5AD51182"/>
    <w:rsid w:val="5ADD595C"/>
    <w:rsid w:val="5ADF1BC3"/>
    <w:rsid w:val="5AE07704"/>
    <w:rsid w:val="5AE26702"/>
    <w:rsid w:val="5AED314B"/>
    <w:rsid w:val="5AF17352"/>
    <w:rsid w:val="5AF6468A"/>
    <w:rsid w:val="5AF83123"/>
    <w:rsid w:val="5AF948B3"/>
    <w:rsid w:val="5AFA2923"/>
    <w:rsid w:val="5AFF2631"/>
    <w:rsid w:val="5AFF27CC"/>
    <w:rsid w:val="5B016925"/>
    <w:rsid w:val="5B021968"/>
    <w:rsid w:val="5B025BFA"/>
    <w:rsid w:val="5B061F81"/>
    <w:rsid w:val="5B0A2B69"/>
    <w:rsid w:val="5B0B3611"/>
    <w:rsid w:val="5B0F45F7"/>
    <w:rsid w:val="5B1133A8"/>
    <w:rsid w:val="5B1A7B00"/>
    <w:rsid w:val="5B222361"/>
    <w:rsid w:val="5B287923"/>
    <w:rsid w:val="5B2A2C01"/>
    <w:rsid w:val="5B354881"/>
    <w:rsid w:val="5B35519B"/>
    <w:rsid w:val="5B377920"/>
    <w:rsid w:val="5B3940F6"/>
    <w:rsid w:val="5B4A1E1E"/>
    <w:rsid w:val="5B4E3C24"/>
    <w:rsid w:val="5B4F04D4"/>
    <w:rsid w:val="5B500AE2"/>
    <w:rsid w:val="5B504802"/>
    <w:rsid w:val="5B51719A"/>
    <w:rsid w:val="5B54266A"/>
    <w:rsid w:val="5B5A6956"/>
    <w:rsid w:val="5B6858B4"/>
    <w:rsid w:val="5B6C780C"/>
    <w:rsid w:val="5B723574"/>
    <w:rsid w:val="5B731810"/>
    <w:rsid w:val="5B781295"/>
    <w:rsid w:val="5B7A0CE2"/>
    <w:rsid w:val="5B7C6695"/>
    <w:rsid w:val="5B7D1ED7"/>
    <w:rsid w:val="5B7F0A0C"/>
    <w:rsid w:val="5B847321"/>
    <w:rsid w:val="5B88474D"/>
    <w:rsid w:val="5B8A2ED2"/>
    <w:rsid w:val="5B8A6D0A"/>
    <w:rsid w:val="5B8C5E12"/>
    <w:rsid w:val="5B8E72C3"/>
    <w:rsid w:val="5B954DEE"/>
    <w:rsid w:val="5B9638A1"/>
    <w:rsid w:val="5BAC296F"/>
    <w:rsid w:val="5BAC3F3B"/>
    <w:rsid w:val="5BB15D98"/>
    <w:rsid w:val="5BB75C75"/>
    <w:rsid w:val="5BBC153C"/>
    <w:rsid w:val="5BC039EE"/>
    <w:rsid w:val="5BC665F8"/>
    <w:rsid w:val="5BC90C99"/>
    <w:rsid w:val="5BCC434E"/>
    <w:rsid w:val="5BCE0024"/>
    <w:rsid w:val="5BD1270D"/>
    <w:rsid w:val="5BD5774A"/>
    <w:rsid w:val="5BD84227"/>
    <w:rsid w:val="5BD9622B"/>
    <w:rsid w:val="5BDD6BE5"/>
    <w:rsid w:val="5BE17CE8"/>
    <w:rsid w:val="5BEB48ED"/>
    <w:rsid w:val="5BEC198A"/>
    <w:rsid w:val="5BEE70D2"/>
    <w:rsid w:val="5BEF0BDD"/>
    <w:rsid w:val="5BF127D5"/>
    <w:rsid w:val="5BF52001"/>
    <w:rsid w:val="5BF52057"/>
    <w:rsid w:val="5BF735A5"/>
    <w:rsid w:val="5BFD7063"/>
    <w:rsid w:val="5BFE2BFB"/>
    <w:rsid w:val="5C0468CB"/>
    <w:rsid w:val="5C111DA7"/>
    <w:rsid w:val="5C117954"/>
    <w:rsid w:val="5C1215AD"/>
    <w:rsid w:val="5C154D6A"/>
    <w:rsid w:val="5C190BC3"/>
    <w:rsid w:val="5C1A2280"/>
    <w:rsid w:val="5C1C20DD"/>
    <w:rsid w:val="5C244ABA"/>
    <w:rsid w:val="5C3032C9"/>
    <w:rsid w:val="5C320921"/>
    <w:rsid w:val="5C356C5C"/>
    <w:rsid w:val="5C3D77EA"/>
    <w:rsid w:val="5C3F6F12"/>
    <w:rsid w:val="5C444519"/>
    <w:rsid w:val="5C494E1F"/>
    <w:rsid w:val="5C544122"/>
    <w:rsid w:val="5C63075A"/>
    <w:rsid w:val="5C6D5F65"/>
    <w:rsid w:val="5C6F18B0"/>
    <w:rsid w:val="5C73613A"/>
    <w:rsid w:val="5C7941DF"/>
    <w:rsid w:val="5C800417"/>
    <w:rsid w:val="5C860B9D"/>
    <w:rsid w:val="5C880438"/>
    <w:rsid w:val="5C924FED"/>
    <w:rsid w:val="5C931A67"/>
    <w:rsid w:val="5C9F2946"/>
    <w:rsid w:val="5CA02337"/>
    <w:rsid w:val="5CA44D27"/>
    <w:rsid w:val="5CA61311"/>
    <w:rsid w:val="5CA80685"/>
    <w:rsid w:val="5CAB4DD7"/>
    <w:rsid w:val="5CB81815"/>
    <w:rsid w:val="5CC13251"/>
    <w:rsid w:val="5CCC6E31"/>
    <w:rsid w:val="5CD201A9"/>
    <w:rsid w:val="5CD710D2"/>
    <w:rsid w:val="5CD8375B"/>
    <w:rsid w:val="5CD9055B"/>
    <w:rsid w:val="5CDA4A38"/>
    <w:rsid w:val="5CDD15C1"/>
    <w:rsid w:val="5CE01B8B"/>
    <w:rsid w:val="5CE026F7"/>
    <w:rsid w:val="5CEC46C8"/>
    <w:rsid w:val="5CF63B52"/>
    <w:rsid w:val="5CF84D1C"/>
    <w:rsid w:val="5D107299"/>
    <w:rsid w:val="5D191626"/>
    <w:rsid w:val="5D1D6150"/>
    <w:rsid w:val="5D1F51A5"/>
    <w:rsid w:val="5D231718"/>
    <w:rsid w:val="5D23735D"/>
    <w:rsid w:val="5D2625B6"/>
    <w:rsid w:val="5D2775C9"/>
    <w:rsid w:val="5D291CDA"/>
    <w:rsid w:val="5D2C1EB2"/>
    <w:rsid w:val="5D2D034E"/>
    <w:rsid w:val="5D2D61D1"/>
    <w:rsid w:val="5D307D08"/>
    <w:rsid w:val="5D3663F6"/>
    <w:rsid w:val="5D3D2290"/>
    <w:rsid w:val="5D3F2E8F"/>
    <w:rsid w:val="5D3F3AE0"/>
    <w:rsid w:val="5D547543"/>
    <w:rsid w:val="5D5549F3"/>
    <w:rsid w:val="5D560165"/>
    <w:rsid w:val="5D560C32"/>
    <w:rsid w:val="5D60799D"/>
    <w:rsid w:val="5D633BB3"/>
    <w:rsid w:val="5D690A52"/>
    <w:rsid w:val="5D6E5695"/>
    <w:rsid w:val="5D724DD0"/>
    <w:rsid w:val="5D7C1294"/>
    <w:rsid w:val="5D7F2EB7"/>
    <w:rsid w:val="5D86068D"/>
    <w:rsid w:val="5D8A4D39"/>
    <w:rsid w:val="5D8E0A6B"/>
    <w:rsid w:val="5D925284"/>
    <w:rsid w:val="5D96299D"/>
    <w:rsid w:val="5D9A320B"/>
    <w:rsid w:val="5D9E750A"/>
    <w:rsid w:val="5DA03035"/>
    <w:rsid w:val="5DA403ED"/>
    <w:rsid w:val="5DA9370E"/>
    <w:rsid w:val="5DB36601"/>
    <w:rsid w:val="5DBA44CA"/>
    <w:rsid w:val="5DBC12D4"/>
    <w:rsid w:val="5DBC6E70"/>
    <w:rsid w:val="5DC35D6B"/>
    <w:rsid w:val="5DC46348"/>
    <w:rsid w:val="5DC764C7"/>
    <w:rsid w:val="5DC921F3"/>
    <w:rsid w:val="5DCB045B"/>
    <w:rsid w:val="5DCD0B4A"/>
    <w:rsid w:val="5DCD5AAD"/>
    <w:rsid w:val="5DCE2D16"/>
    <w:rsid w:val="5DD156D2"/>
    <w:rsid w:val="5DDD1AD2"/>
    <w:rsid w:val="5DDD5197"/>
    <w:rsid w:val="5DE03D64"/>
    <w:rsid w:val="5DE136C7"/>
    <w:rsid w:val="5DE84008"/>
    <w:rsid w:val="5DF1731B"/>
    <w:rsid w:val="5DF63C74"/>
    <w:rsid w:val="5DF64783"/>
    <w:rsid w:val="5DF8503A"/>
    <w:rsid w:val="5DFE7DF8"/>
    <w:rsid w:val="5E032255"/>
    <w:rsid w:val="5E070CBC"/>
    <w:rsid w:val="5E0C37B2"/>
    <w:rsid w:val="5E131315"/>
    <w:rsid w:val="5E134FE6"/>
    <w:rsid w:val="5E182B97"/>
    <w:rsid w:val="5E1C14B1"/>
    <w:rsid w:val="5E1C5E30"/>
    <w:rsid w:val="5E1E2D1E"/>
    <w:rsid w:val="5E1E7CE6"/>
    <w:rsid w:val="5E1F3D1C"/>
    <w:rsid w:val="5E1F53B3"/>
    <w:rsid w:val="5E203866"/>
    <w:rsid w:val="5E2156E1"/>
    <w:rsid w:val="5E2A041F"/>
    <w:rsid w:val="5E2B62C8"/>
    <w:rsid w:val="5E2E0381"/>
    <w:rsid w:val="5E2E679B"/>
    <w:rsid w:val="5E314D67"/>
    <w:rsid w:val="5E334E2D"/>
    <w:rsid w:val="5E3609FF"/>
    <w:rsid w:val="5E3E7B5B"/>
    <w:rsid w:val="5E407B1D"/>
    <w:rsid w:val="5E4442A0"/>
    <w:rsid w:val="5E4965CC"/>
    <w:rsid w:val="5E4E498C"/>
    <w:rsid w:val="5E582919"/>
    <w:rsid w:val="5E6F27B6"/>
    <w:rsid w:val="5E710E83"/>
    <w:rsid w:val="5E7B391E"/>
    <w:rsid w:val="5E7F061F"/>
    <w:rsid w:val="5E830A66"/>
    <w:rsid w:val="5E876B74"/>
    <w:rsid w:val="5E8B07CA"/>
    <w:rsid w:val="5E8C1E19"/>
    <w:rsid w:val="5E9145D6"/>
    <w:rsid w:val="5E9412B9"/>
    <w:rsid w:val="5E941694"/>
    <w:rsid w:val="5E9E1EF7"/>
    <w:rsid w:val="5E9E2463"/>
    <w:rsid w:val="5EC1050F"/>
    <w:rsid w:val="5EC5020C"/>
    <w:rsid w:val="5EC6577F"/>
    <w:rsid w:val="5ECA2AF7"/>
    <w:rsid w:val="5ECD6F72"/>
    <w:rsid w:val="5ED10516"/>
    <w:rsid w:val="5ED63BBC"/>
    <w:rsid w:val="5ED84E47"/>
    <w:rsid w:val="5EE54510"/>
    <w:rsid w:val="5EEB0753"/>
    <w:rsid w:val="5EED3727"/>
    <w:rsid w:val="5EEE225D"/>
    <w:rsid w:val="5EEF1FF8"/>
    <w:rsid w:val="5EFC26EF"/>
    <w:rsid w:val="5EFD597E"/>
    <w:rsid w:val="5EFD6194"/>
    <w:rsid w:val="5EFE209D"/>
    <w:rsid w:val="5F012388"/>
    <w:rsid w:val="5F063A50"/>
    <w:rsid w:val="5F0F469D"/>
    <w:rsid w:val="5F0F7E43"/>
    <w:rsid w:val="5F1021F8"/>
    <w:rsid w:val="5F114A4D"/>
    <w:rsid w:val="5F201CD2"/>
    <w:rsid w:val="5F2B78E0"/>
    <w:rsid w:val="5F2E4839"/>
    <w:rsid w:val="5F35187C"/>
    <w:rsid w:val="5F372AAE"/>
    <w:rsid w:val="5F3A2026"/>
    <w:rsid w:val="5F3E4348"/>
    <w:rsid w:val="5F402B16"/>
    <w:rsid w:val="5F476277"/>
    <w:rsid w:val="5F484DD5"/>
    <w:rsid w:val="5F4C34F8"/>
    <w:rsid w:val="5F510B3B"/>
    <w:rsid w:val="5F52405F"/>
    <w:rsid w:val="5F555AEB"/>
    <w:rsid w:val="5F573E75"/>
    <w:rsid w:val="5F590189"/>
    <w:rsid w:val="5F593F90"/>
    <w:rsid w:val="5F63455F"/>
    <w:rsid w:val="5F700FF4"/>
    <w:rsid w:val="5F737C30"/>
    <w:rsid w:val="5F737F6B"/>
    <w:rsid w:val="5F74340A"/>
    <w:rsid w:val="5F751F42"/>
    <w:rsid w:val="5F777727"/>
    <w:rsid w:val="5F787E6C"/>
    <w:rsid w:val="5F795464"/>
    <w:rsid w:val="5F7C783F"/>
    <w:rsid w:val="5F7D4CB1"/>
    <w:rsid w:val="5F7F6C1D"/>
    <w:rsid w:val="5F8254DB"/>
    <w:rsid w:val="5F84476E"/>
    <w:rsid w:val="5F8865D4"/>
    <w:rsid w:val="5F8B29F1"/>
    <w:rsid w:val="5F8C0111"/>
    <w:rsid w:val="5F8E0013"/>
    <w:rsid w:val="5F93680E"/>
    <w:rsid w:val="5F9A342B"/>
    <w:rsid w:val="5F9A57CB"/>
    <w:rsid w:val="5F9C4B41"/>
    <w:rsid w:val="5F9E74E9"/>
    <w:rsid w:val="5FAD4A93"/>
    <w:rsid w:val="5FB24B7E"/>
    <w:rsid w:val="5FB3214E"/>
    <w:rsid w:val="5FB51205"/>
    <w:rsid w:val="5FB86E2C"/>
    <w:rsid w:val="5FC14A73"/>
    <w:rsid w:val="5FC46129"/>
    <w:rsid w:val="5FCB7F52"/>
    <w:rsid w:val="5FCC4F13"/>
    <w:rsid w:val="5FD134B0"/>
    <w:rsid w:val="5FD27824"/>
    <w:rsid w:val="5FDB5B99"/>
    <w:rsid w:val="5FDC1CD8"/>
    <w:rsid w:val="5FDE2EEA"/>
    <w:rsid w:val="5FDF5ECB"/>
    <w:rsid w:val="5FE05C54"/>
    <w:rsid w:val="5FE2327F"/>
    <w:rsid w:val="5FE33801"/>
    <w:rsid w:val="5FE87794"/>
    <w:rsid w:val="5FE93663"/>
    <w:rsid w:val="5FF378DF"/>
    <w:rsid w:val="5FFB4DF1"/>
    <w:rsid w:val="6000778F"/>
    <w:rsid w:val="6004240F"/>
    <w:rsid w:val="601118DB"/>
    <w:rsid w:val="601662DB"/>
    <w:rsid w:val="601E46B0"/>
    <w:rsid w:val="60210EF9"/>
    <w:rsid w:val="6026764F"/>
    <w:rsid w:val="60283D44"/>
    <w:rsid w:val="602B0E81"/>
    <w:rsid w:val="602D2DEC"/>
    <w:rsid w:val="60324DA7"/>
    <w:rsid w:val="6038361F"/>
    <w:rsid w:val="603A66FD"/>
    <w:rsid w:val="603B03B7"/>
    <w:rsid w:val="603F7C4C"/>
    <w:rsid w:val="60455152"/>
    <w:rsid w:val="60484999"/>
    <w:rsid w:val="604F0F97"/>
    <w:rsid w:val="60524430"/>
    <w:rsid w:val="60553B04"/>
    <w:rsid w:val="60566BDA"/>
    <w:rsid w:val="605848B1"/>
    <w:rsid w:val="60591E6C"/>
    <w:rsid w:val="605B016B"/>
    <w:rsid w:val="605B6C7A"/>
    <w:rsid w:val="605B7309"/>
    <w:rsid w:val="605B7436"/>
    <w:rsid w:val="606A0F91"/>
    <w:rsid w:val="607E4063"/>
    <w:rsid w:val="607E428A"/>
    <w:rsid w:val="607F00B9"/>
    <w:rsid w:val="607F7E92"/>
    <w:rsid w:val="60847DA6"/>
    <w:rsid w:val="608728B7"/>
    <w:rsid w:val="608C09AF"/>
    <w:rsid w:val="608C1E8F"/>
    <w:rsid w:val="608E1409"/>
    <w:rsid w:val="609A5657"/>
    <w:rsid w:val="60A16CC4"/>
    <w:rsid w:val="60A33B34"/>
    <w:rsid w:val="60A53FC3"/>
    <w:rsid w:val="60A614B0"/>
    <w:rsid w:val="60AD1A9A"/>
    <w:rsid w:val="60B104FC"/>
    <w:rsid w:val="60B95D10"/>
    <w:rsid w:val="60BF15EB"/>
    <w:rsid w:val="60C02DC9"/>
    <w:rsid w:val="60C6008C"/>
    <w:rsid w:val="60C72E53"/>
    <w:rsid w:val="60C7307E"/>
    <w:rsid w:val="60CA5B7A"/>
    <w:rsid w:val="60D61CB4"/>
    <w:rsid w:val="60D93682"/>
    <w:rsid w:val="60D96599"/>
    <w:rsid w:val="60DB2CB5"/>
    <w:rsid w:val="60DC5CF0"/>
    <w:rsid w:val="60E3172C"/>
    <w:rsid w:val="60E443E6"/>
    <w:rsid w:val="60E6144D"/>
    <w:rsid w:val="60E751A7"/>
    <w:rsid w:val="60E86C33"/>
    <w:rsid w:val="60EB24E3"/>
    <w:rsid w:val="60EF6C4E"/>
    <w:rsid w:val="60F176C8"/>
    <w:rsid w:val="60F41E63"/>
    <w:rsid w:val="60FF51AC"/>
    <w:rsid w:val="610214B2"/>
    <w:rsid w:val="61070E96"/>
    <w:rsid w:val="61097E91"/>
    <w:rsid w:val="610B5BAC"/>
    <w:rsid w:val="610D2E57"/>
    <w:rsid w:val="610F3C05"/>
    <w:rsid w:val="611B0E19"/>
    <w:rsid w:val="611B2F5F"/>
    <w:rsid w:val="611B3B80"/>
    <w:rsid w:val="611B5F75"/>
    <w:rsid w:val="61212B64"/>
    <w:rsid w:val="61260436"/>
    <w:rsid w:val="61281457"/>
    <w:rsid w:val="6128688B"/>
    <w:rsid w:val="612917C6"/>
    <w:rsid w:val="612A0643"/>
    <w:rsid w:val="6134472B"/>
    <w:rsid w:val="61374D24"/>
    <w:rsid w:val="61393B0F"/>
    <w:rsid w:val="613E3FCC"/>
    <w:rsid w:val="614261CA"/>
    <w:rsid w:val="61450810"/>
    <w:rsid w:val="61535158"/>
    <w:rsid w:val="61567AE4"/>
    <w:rsid w:val="615C252A"/>
    <w:rsid w:val="6162057B"/>
    <w:rsid w:val="616441DC"/>
    <w:rsid w:val="6168400D"/>
    <w:rsid w:val="616D272B"/>
    <w:rsid w:val="617F405C"/>
    <w:rsid w:val="617F491F"/>
    <w:rsid w:val="61802377"/>
    <w:rsid w:val="61823690"/>
    <w:rsid w:val="618E607B"/>
    <w:rsid w:val="619122B6"/>
    <w:rsid w:val="619362EF"/>
    <w:rsid w:val="61947748"/>
    <w:rsid w:val="619546EA"/>
    <w:rsid w:val="619D0714"/>
    <w:rsid w:val="61A416F2"/>
    <w:rsid w:val="61A437FC"/>
    <w:rsid w:val="61A7391D"/>
    <w:rsid w:val="61A86967"/>
    <w:rsid w:val="61A96272"/>
    <w:rsid w:val="61AB0D50"/>
    <w:rsid w:val="61B2737C"/>
    <w:rsid w:val="61BD099B"/>
    <w:rsid w:val="61C13645"/>
    <w:rsid w:val="61C31E2C"/>
    <w:rsid w:val="61C81B7F"/>
    <w:rsid w:val="61D37956"/>
    <w:rsid w:val="61D4440B"/>
    <w:rsid w:val="61D95F5C"/>
    <w:rsid w:val="61E31383"/>
    <w:rsid w:val="61E545CD"/>
    <w:rsid w:val="61E56E03"/>
    <w:rsid w:val="61F177B6"/>
    <w:rsid w:val="61F552EC"/>
    <w:rsid w:val="61FF73C9"/>
    <w:rsid w:val="620773D9"/>
    <w:rsid w:val="62080979"/>
    <w:rsid w:val="620A0936"/>
    <w:rsid w:val="620B2A77"/>
    <w:rsid w:val="620C036D"/>
    <w:rsid w:val="620C2762"/>
    <w:rsid w:val="620D31F4"/>
    <w:rsid w:val="6218391A"/>
    <w:rsid w:val="621A4B27"/>
    <w:rsid w:val="621C7F40"/>
    <w:rsid w:val="621D54F7"/>
    <w:rsid w:val="621D61D0"/>
    <w:rsid w:val="621E5F61"/>
    <w:rsid w:val="622725DD"/>
    <w:rsid w:val="62281AAC"/>
    <w:rsid w:val="62294DB0"/>
    <w:rsid w:val="622B1B0B"/>
    <w:rsid w:val="622B2B0E"/>
    <w:rsid w:val="62307A9F"/>
    <w:rsid w:val="6231244B"/>
    <w:rsid w:val="6234420A"/>
    <w:rsid w:val="6237656E"/>
    <w:rsid w:val="623B3044"/>
    <w:rsid w:val="623C3EF8"/>
    <w:rsid w:val="623E202B"/>
    <w:rsid w:val="624413A3"/>
    <w:rsid w:val="624613DC"/>
    <w:rsid w:val="6248047F"/>
    <w:rsid w:val="62490F13"/>
    <w:rsid w:val="625771FE"/>
    <w:rsid w:val="625A3E17"/>
    <w:rsid w:val="625C7D72"/>
    <w:rsid w:val="625D0ED6"/>
    <w:rsid w:val="6264196C"/>
    <w:rsid w:val="6265793D"/>
    <w:rsid w:val="626672B1"/>
    <w:rsid w:val="62740C04"/>
    <w:rsid w:val="627A19A2"/>
    <w:rsid w:val="627E6109"/>
    <w:rsid w:val="627E6667"/>
    <w:rsid w:val="628D2E4B"/>
    <w:rsid w:val="628D7C10"/>
    <w:rsid w:val="628E181F"/>
    <w:rsid w:val="6290649F"/>
    <w:rsid w:val="6297373C"/>
    <w:rsid w:val="629D0C36"/>
    <w:rsid w:val="62A1087F"/>
    <w:rsid w:val="62A13CBB"/>
    <w:rsid w:val="62A73411"/>
    <w:rsid w:val="62AD31D3"/>
    <w:rsid w:val="62B17C85"/>
    <w:rsid w:val="62B22A1B"/>
    <w:rsid w:val="62B673F2"/>
    <w:rsid w:val="62B82D5A"/>
    <w:rsid w:val="62BA7E46"/>
    <w:rsid w:val="62C22C6E"/>
    <w:rsid w:val="62D648A6"/>
    <w:rsid w:val="62D64DA5"/>
    <w:rsid w:val="62E07BF2"/>
    <w:rsid w:val="62E1795E"/>
    <w:rsid w:val="62E60393"/>
    <w:rsid w:val="62F05442"/>
    <w:rsid w:val="62F1150A"/>
    <w:rsid w:val="62F64A9A"/>
    <w:rsid w:val="62FC129D"/>
    <w:rsid w:val="62FD4847"/>
    <w:rsid w:val="62FE5165"/>
    <w:rsid w:val="63032470"/>
    <w:rsid w:val="63036834"/>
    <w:rsid w:val="63051042"/>
    <w:rsid w:val="630B3869"/>
    <w:rsid w:val="630E4777"/>
    <w:rsid w:val="630E4BAD"/>
    <w:rsid w:val="6312315B"/>
    <w:rsid w:val="63131641"/>
    <w:rsid w:val="63183114"/>
    <w:rsid w:val="63192BDC"/>
    <w:rsid w:val="631C0878"/>
    <w:rsid w:val="632D4DAA"/>
    <w:rsid w:val="63310F27"/>
    <w:rsid w:val="63342E09"/>
    <w:rsid w:val="63377052"/>
    <w:rsid w:val="63382DD7"/>
    <w:rsid w:val="63385438"/>
    <w:rsid w:val="63391D27"/>
    <w:rsid w:val="63414CC0"/>
    <w:rsid w:val="6343655D"/>
    <w:rsid w:val="6346039E"/>
    <w:rsid w:val="634D5366"/>
    <w:rsid w:val="63500F74"/>
    <w:rsid w:val="63522A47"/>
    <w:rsid w:val="635875C5"/>
    <w:rsid w:val="635920BA"/>
    <w:rsid w:val="635C024C"/>
    <w:rsid w:val="635F5A3F"/>
    <w:rsid w:val="6362377A"/>
    <w:rsid w:val="63633BB8"/>
    <w:rsid w:val="63680088"/>
    <w:rsid w:val="63682241"/>
    <w:rsid w:val="6369540D"/>
    <w:rsid w:val="6378076B"/>
    <w:rsid w:val="637B07BF"/>
    <w:rsid w:val="637E2444"/>
    <w:rsid w:val="638355A0"/>
    <w:rsid w:val="6383736E"/>
    <w:rsid w:val="638869B1"/>
    <w:rsid w:val="63892429"/>
    <w:rsid w:val="638B4ED8"/>
    <w:rsid w:val="638F2BE8"/>
    <w:rsid w:val="63912DC1"/>
    <w:rsid w:val="63946E99"/>
    <w:rsid w:val="6399708A"/>
    <w:rsid w:val="639B3875"/>
    <w:rsid w:val="639D1F45"/>
    <w:rsid w:val="63A41707"/>
    <w:rsid w:val="63A46ED1"/>
    <w:rsid w:val="63A667DC"/>
    <w:rsid w:val="63A76D57"/>
    <w:rsid w:val="63A91B86"/>
    <w:rsid w:val="63AB2E3C"/>
    <w:rsid w:val="63BB3F89"/>
    <w:rsid w:val="63BC19E6"/>
    <w:rsid w:val="63BE5BEC"/>
    <w:rsid w:val="63C13FFC"/>
    <w:rsid w:val="63C53903"/>
    <w:rsid w:val="63CC455C"/>
    <w:rsid w:val="63CE7C96"/>
    <w:rsid w:val="63CF587B"/>
    <w:rsid w:val="63D264FE"/>
    <w:rsid w:val="63D4522D"/>
    <w:rsid w:val="63D93A51"/>
    <w:rsid w:val="63E02ACD"/>
    <w:rsid w:val="63E1429C"/>
    <w:rsid w:val="63E54C9C"/>
    <w:rsid w:val="63E96778"/>
    <w:rsid w:val="63ED1F05"/>
    <w:rsid w:val="63F11D87"/>
    <w:rsid w:val="63F70F69"/>
    <w:rsid w:val="64003768"/>
    <w:rsid w:val="64014284"/>
    <w:rsid w:val="64024999"/>
    <w:rsid w:val="6403215C"/>
    <w:rsid w:val="64092EB0"/>
    <w:rsid w:val="640B535A"/>
    <w:rsid w:val="640C7E03"/>
    <w:rsid w:val="640F1A4F"/>
    <w:rsid w:val="64127448"/>
    <w:rsid w:val="641B57F0"/>
    <w:rsid w:val="641E3243"/>
    <w:rsid w:val="6428541E"/>
    <w:rsid w:val="642A1ED9"/>
    <w:rsid w:val="642C5EA5"/>
    <w:rsid w:val="642D0C21"/>
    <w:rsid w:val="643328F7"/>
    <w:rsid w:val="64336818"/>
    <w:rsid w:val="64392FD8"/>
    <w:rsid w:val="643A1704"/>
    <w:rsid w:val="64436ED8"/>
    <w:rsid w:val="6444256E"/>
    <w:rsid w:val="6445317D"/>
    <w:rsid w:val="6448126E"/>
    <w:rsid w:val="64491DB4"/>
    <w:rsid w:val="644A13F1"/>
    <w:rsid w:val="644D3DC0"/>
    <w:rsid w:val="64507B02"/>
    <w:rsid w:val="64541F26"/>
    <w:rsid w:val="64543D01"/>
    <w:rsid w:val="64582EEE"/>
    <w:rsid w:val="645874D7"/>
    <w:rsid w:val="645F656D"/>
    <w:rsid w:val="646034CC"/>
    <w:rsid w:val="64694429"/>
    <w:rsid w:val="64696E45"/>
    <w:rsid w:val="646B62E7"/>
    <w:rsid w:val="646B77C3"/>
    <w:rsid w:val="646C7979"/>
    <w:rsid w:val="646F15B4"/>
    <w:rsid w:val="64711506"/>
    <w:rsid w:val="6476293C"/>
    <w:rsid w:val="64813016"/>
    <w:rsid w:val="64835D8C"/>
    <w:rsid w:val="64852FD7"/>
    <w:rsid w:val="64892F16"/>
    <w:rsid w:val="648F5E0E"/>
    <w:rsid w:val="6490694C"/>
    <w:rsid w:val="64911B07"/>
    <w:rsid w:val="649A7D09"/>
    <w:rsid w:val="64A31D43"/>
    <w:rsid w:val="64A67D99"/>
    <w:rsid w:val="64AB712D"/>
    <w:rsid w:val="64AC49FB"/>
    <w:rsid w:val="64B049D0"/>
    <w:rsid w:val="64B52010"/>
    <w:rsid w:val="64B640C3"/>
    <w:rsid w:val="64B735B8"/>
    <w:rsid w:val="64C55045"/>
    <w:rsid w:val="64D64AA1"/>
    <w:rsid w:val="64DB0112"/>
    <w:rsid w:val="64DB1CBE"/>
    <w:rsid w:val="64DD5B21"/>
    <w:rsid w:val="64DE01B9"/>
    <w:rsid w:val="64E704A1"/>
    <w:rsid w:val="64E74EF6"/>
    <w:rsid w:val="64F00F5B"/>
    <w:rsid w:val="64F13A54"/>
    <w:rsid w:val="64F31E29"/>
    <w:rsid w:val="64FC7E34"/>
    <w:rsid w:val="650064EE"/>
    <w:rsid w:val="650214CD"/>
    <w:rsid w:val="65041571"/>
    <w:rsid w:val="650947D9"/>
    <w:rsid w:val="650B0BD4"/>
    <w:rsid w:val="650F3394"/>
    <w:rsid w:val="651448F7"/>
    <w:rsid w:val="651501AC"/>
    <w:rsid w:val="6515081F"/>
    <w:rsid w:val="651A5667"/>
    <w:rsid w:val="65242826"/>
    <w:rsid w:val="6524332B"/>
    <w:rsid w:val="65254D85"/>
    <w:rsid w:val="652F4618"/>
    <w:rsid w:val="653244A7"/>
    <w:rsid w:val="6533612F"/>
    <w:rsid w:val="6536288D"/>
    <w:rsid w:val="653C650D"/>
    <w:rsid w:val="653F073B"/>
    <w:rsid w:val="653F250A"/>
    <w:rsid w:val="65403D9B"/>
    <w:rsid w:val="654432DF"/>
    <w:rsid w:val="654522CC"/>
    <w:rsid w:val="654F3288"/>
    <w:rsid w:val="655B322F"/>
    <w:rsid w:val="655D017A"/>
    <w:rsid w:val="655E2962"/>
    <w:rsid w:val="65670CE4"/>
    <w:rsid w:val="656E4DA6"/>
    <w:rsid w:val="65706875"/>
    <w:rsid w:val="657661CB"/>
    <w:rsid w:val="65766785"/>
    <w:rsid w:val="65843E6A"/>
    <w:rsid w:val="658502A5"/>
    <w:rsid w:val="65891A5E"/>
    <w:rsid w:val="658A26E2"/>
    <w:rsid w:val="658C48B0"/>
    <w:rsid w:val="658D3C45"/>
    <w:rsid w:val="659954B9"/>
    <w:rsid w:val="659C35A8"/>
    <w:rsid w:val="659D3A99"/>
    <w:rsid w:val="659E6313"/>
    <w:rsid w:val="65A140DB"/>
    <w:rsid w:val="65A249A8"/>
    <w:rsid w:val="65B03D83"/>
    <w:rsid w:val="65B221BF"/>
    <w:rsid w:val="65BB540B"/>
    <w:rsid w:val="65C0000D"/>
    <w:rsid w:val="65C51095"/>
    <w:rsid w:val="65C85391"/>
    <w:rsid w:val="65C90B88"/>
    <w:rsid w:val="65CD099D"/>
    <w:rsid w:val="65DB3785"/>
    <w:rsid w:val="65DC0A9B"/>
    <w:rsid w:val="65DC112A"/>
    <w:rsid w:val="65DD006C"/>
    <w:rsid w:val="65E21C46"/>
    <w:rsid w:val="65EA35EB"/>
    <w:rsid w:val="65EB220C"/>
    <w:rsid w:val="65F95D6D"/>
    <w:rsid w:val="65FF42B4"/>
    <w:rsid w:val="66031598"/>
    <w:rsid w:val="660343FA"/>
    <w:rsid w:val="66076649"/>
    <w:rsid w:val="660E3486"/>
    <w:rsid w:val="66107F45"/>
    <w:rsid w:val="66117290"/>
    <w:rsid w:val="66165F9D"/>
    <w:rsid w:val="66190F80"/>
    <w:rsid w:val="661E19B4"/>
    <w:rsid w:val="66315AC5"/>
    <w:rsid w:val="66340F93"/>
    <w:rsid w:val="66427838"/>
    <w:rsid w:val="66443405"/>
    <w:rsid w:val="6645661F"/>
    <w:rsid w:val="664C3AC1"/>
    <w:rsid w:val="66502667"/>
    <w:rsid w:val="66590531"/>
    <w:rsid w:val="665A4A5C"/>
    <w:rsid w:val="665E5616"/>
    <w:rsid w:val="666251AE"/>
    <w:rsid w:val="66646B13"/>
    <w:rsid w:val="667267CB"/>
    <w:rsid w:val="667B67BE"/>
    <w:rsid w:val="667C21C1"/>
    <w:rsid w:val="66835553"/>
    <w:rsid w:val="668A2833"/>
    <w:rsid w:val="668C6BD6"/>
    <w:rsid w:val="66906931"/>
    <w:rsid w:val="6691113A"/>
    <w:rsid w:val="66953041"/>
    <w:rsid w:val="669B4FC3"/>
    <w:rsid w:val="669C1CA4"/>
    <w:rsid w:val="66A333C2"/>
    <w:rsid w:val="66A47FAD"/>
    <w:rsid w:val="66AF146D"/>
    <w:rsid w:val="66B60C3E"/>
    <w:rsid w:val="66C5283B"/>
    <w:rsid w:val="66CB184D"/>
    <w:rsid w:val="66D167A6"/>
    <w:rsid w:val="66D55906"/>
    <w:rsid w:val="66D818C6"/>
    <w:rsid w:val="66E33D47"/>
    <w:rsid w:val="66E860E8"/>
    <w:rsid w:val="66EA0B7A"/>
    <w:rsid w:val="66EB60C4"/>
    <w:rsid w:val="66F53AFF"/>
    <w:rsid w:val="66FB042F"/>
    <w:rsid w:val="66FC0288"/>
    <w:rsid w:val="67072EA0"/>
    <w:rsid w:val="670A53BD"/>
    <w:rsid w:val="670B3088"/>
    <w:rsid w:val="670C0ACF"/>
    <w:rsid w:val="670C1FC3"/>
    <w:rsid w:val="670F6439"/>
    <w:rsid w:val="67112F53"/>
    <w:rsid w:val="67157175"/>
    <w:rsid w:val="671643A4"/>
    <w:rsid w:val="671F27DA"/>
    <w:rsid w:val="671F5DB9"/>
    <w:rsid w:val="67232F51"/>
    <w:rsid w:val="672E0632"/>
    <w:rsid w:val="674603E1"/>
    <w:rsid w:val="67491B85"/>
    <w:rsid w:val="674B671D"/>
    <w:rsid w:val="674D7559"/>
    <w:rsid w:val="674E1CE5"/>
    <w:rsid w:val="67661609"/>
    <w:rsid w:val="676655D7"/>
    <w:rsid w:val="6772036D"/>
    <w:rsid w:val="67775B1E"/>
    <w:rsid w:val="677A0BAE"/>
    <w:rsid w:val="677A6FF6"/>
    <w:rsid w:val="678B4954"/>
    <w:rsid w:val="678B50DF"/>
    <w:rsid w:val="678E16A0"/>
    <w:rsid w:val="6793211C"/>
    <w:rsid w:val="67997FFA"/>
    <w:rsid w:val="679D03F0"/>
    <w:rsid w:val="67AB2E3D"/>
    <w:rsid w:val="67B12E8B"/>
    <w:rsid w:val="67B3089E"/>
    <w:rsid w:val="67B6666B"/>
    <w:rsid w:val="67BA6968"/>
    <w:rsid w:val="67BB0983"/>
    <w:rsid w:val="67BC154E"/>
    <w:rsid w:val="67BD3FBA"/>
    <w:rsid w:val="67CC530A"/>
    <w:rsid w:val="67D66E95"/>
    <w:rsid w:val="67E56BD5"/>
    <w:rsid w:val="67F02AAD"/>
    <w:rsid w:val="67F3255D"/>
    <w:rsid w:val="67F60B0E"/>
    <w:rsid w:val="67F76657"/>
    <w:rsid w:val="67F8529A"/>
    <w:rsid w:val="67F94826"/>
    <w:rsid w:val="67FF02C3"/>
    <w:rsid w:val="67FF457C"/>
    <w:rsid w:val="68010937"/>
    <w:rsid w:val="68053D48"/>
    <w:rsid w:val="680A3445"/>
    <w:rsid w:val="680F16C3"/>
    <w:rsid w:val="68103046"/>
    <w:rsid w:val="68116064"/>
    <w:rsid w:val="68144569"/>
    <w:rsid w:val="681959E6"/>
    <w:rsid w:val="681A56CE"/>
    <w:rsid w:val="681B47B6"/>
    <w:rsid w:val="68201445"/>
    <w:rsid w:val="6823447E"/>
    <w:rsid w:val="682518E8"/>
    <w:rsid w:val="682673AB"/>
    <w:rsid w:val="68343B9C"/>
    <w:rsid w:val="683D1B16"/>
    <w:rsid w:val="68430204"/>
    <w:rsid w:val="684667AE"/>
    <w:rsid w:val="684B5836"/>
    <w:rsid w:val="684D579B"/>
    <w:rsid w:val="684E198D"/>
    <w:rsid w:val="6852706F"/>
    <w:rsid w:val="6853756D"/>
    <w:rsid w:val="68562C57"/>
    <w:rsid w:val="685B10D3"/>
    <w:rsid w:val="685D51CA"/>
    <w:rsid w:val="686024C8"/>
    <w:rsid w:val="68611DC8"/>
    <w:rsid w:val="686A7704"/>
    <w:rsid w:val="6880329D"/>
    <w:rsid w:val="68873682"/>
    <w:rsid w:val="6888563E"/>
    <w:rsid w:val="68916E54"/>
    <w:rsid w:val="68955A63"/>
    <w:rsid w:val="68962861"/>
    <w:rsid w:val="689669B2"/>
    <w:rsid w:val="68976CDD"/>
    <w:rsid w:val="689F4FDE"/>
    <w:rsid w:val="68A43AC3"/>
    <w:rsid w:val="68A91DB6"/>
    <w:rsid w:val="68AA4967"/>
    <w:rsid w:val="68AD411D"/>
    <w:rsid w:val="68B520DE"/>
    <w:rsid w:val="68B978CC"/>
    <w:rsid w:val="68B97AAB"/>
    <w:rsid w:val="68BE14AD"/>
    <w:rsid w:val="68C123C0"/>
    <w:rsid w:val="68C86D57"/>
    <w:rsid w:val="68CF11D5"/>
    <w:rsid w:val="68D449C7"/>
    <w:rsid w:val="68DA324F"/>
    <w:rsid w:val="68E1266A"/>
    <w:rsid w:val="68F16634"/>
    <w:rsid w:val="68F760D4"/>
    <w:rsid w:val="68F76A00"/>
    <w:rsid w:val="68FE0714"/>
    <w:rsid w:val="69007167"/>
    <w:rsid w:val="690334FD"/>
    <w:rsid w:val="69042342"/>
    <w:rsid w:val="690440FE"/>
    <w:rsid w:val="69055F6A"/>
    <w:rsid w:val="690C6C22"/>
    <w:rsid w:val="69106E71"/>
    <w:rsid w:val="6914124D"/>
    <w:rsid w:val="69175BDF"/>
    <w:rsid w:val="69186A57"/>
    <w:rsid w:val="691924AF"/>
    <w:rsid w:val="69304BD0"/>
    <w:rsid w:val="69365B3C"/>
    <w:rsid w:val="693B17E3"/>
    <w:rsid w:val="69406790"/>
    <w:rsid w:val="694E27D5"/>
    <w:rsid w:val="694F5F86"/>
    <w:rsid w:val="695370B8"/>
    <w:rsid w:val="69562C38"/>
    <w:rsid w:val="695F1F6B"/>
    <w:rsid w:val="69640F74"/>
    <w:rsid w:val="69657A26"/>
    <w:rsid w:val="6966772B"/>
    <w:rsid w:val="696D33F4"/>
    <w:rsid w:val="697018EE"/>
    <w:rsid w:val="697243C3"/>
    <w:rsid w:val="69741094"/>
    <w:rsid w:val="697C4D9E"/>
    <w:rsid w:val="69823E11"/>
    <w:rsid w:val="69893240"/>
    <w:rsid w:val="699C3A3F"/>
    <w:rsid w:val="699F3428"/>
    <w:rsid w:val="69A01E2E"/>
    <w:rsid w:val="69A472F9"/>
    <w:rsid w:val="69AB5CD9"/>
    <w:rsid w:val="69AF2873"/>
    <w:rsid w:val="69B11085"/>
    <w:rsid w:val="69B54744"/>
    <w:rsid w:val="69B95681"/>
    <w:rsid w:val="69BB54D8"/>
    <w:rsid w:val="69BD04E9"/>
    <w:rsid w:val="69BF016B"/>
    <w:rsid w:val="69BF5257"/>
    <w:rsid w:val="69C75649"/>
    <w:rsid w:val="69CA6564"/>
    <w:rsid w:val="69D76C89"/>
    <w:rsid w:val="69D9147C"/>
    <w:rsid w:val="69DF6CA8"/>
    <w:rsid w:val="69E22B49"/>
    <w:rsid w:val="69E97297"/>
    <w:rsid w:val="69F21F0F"/>
    <w:rsid w:val="69F61A03"/>
    <w:rsid w:val="69F73BD1"/>
    <w:rsid w:val="69FB1799"/>
    <w:rsid w:val="6A004588"/>
    <w:rsid w:val="6A010CD8"/>
    <w:rsid w:val="6A032BDD"/>
    <w:rsid w:val="6A035290"/>
    <w:rsid w:val="6A086A8B"/>
    <w:rsid w:val="6A0A279F"/>
    <w:rsid w:val="6A0C1249"/>
    <w:rsid w:val="6A11667D"/>
    <w:rsid w:val="6A124CF4"/>
    <w:rsid w:val="6A155819"/>
    <w:rsid w:val="6A1E3C9C"/>
    <w:rsid w:val="6A202CBD"/>
    <w:rsid w:val="6A211C7C"/>
    <w:rsid w:val="6A214906"/>
    <w:rsid w:val="6A254006"/>
    <w:rsid w:val="6A295267"/>
    <w:rsid w:val="6A2A20B5"/>
    <w:rsid w:val="6A3E1A01"/>
    <w:rsid w:val="6A41340D"/>
    <w:rsid w:val="6A4C3754"/>
    <w:rsid w:val="6A4C76A8"/>
    <w:rsid w:val="6A4E1597"/>
    <w:rsid w:val="6A535847"/>
    <w:rsid w:val="6A5A466F"/>
    <w:rsid w:val="6A741D03"/>
    <w:rsid w:val="6A7A0B50"/>
    <w:rsid w:val="6A7D286D"/>
    <w:rsid w:val="6A847D17"/>
    <w:rsid w:val="6A8B15CF"/>
    <w:rsid w:val="6A910A71"/>
    <w:rsid w:val="6A984294"/>
    <w:rsid w:val="6A9926B3"/>
    <w:rsid w:val="6A9D2FCB"/>
    <w:rsid w:val="6AAA5340"/>
    <w:rsid w:val="6AB17C88"/>
    <w:rsid w:val="6ABA19D0"/>
    <w:rsid w:val="6ABC4A17"/>
    <w:rsid w:val="6ABD65AA"/>
    <w:rsid w:val="6ABF5D7D"/>
    <w:rsid w:val="6AC261F0"/>
    <w:rsid w:val="6AC77DEF"/>
    <w:rsid w:val="6AC93E56"/>
    <w:rsid w:val="6ACC1939"/>
    <w:rsid w:val="6ACF673A"/>
    <w:rsid w:val="6ADB0C79"/>
    <w:rsid w:val="6ADB49A7"/>
    <w:rsid w:val="6AE21036"/>
    <w:rsid w:val="6AE312F3"/>
    <w:rsid w:val="6AE7153C"/>
    <w:rsid w:val="6AE904BD"/>
    <w:rsid w:val="6AEB0EC1"/>
    <w:rsid w:val="6AF25CFF"/>
    <w:rsid w:val="6AF37A94"/>
    <w:rsid w:val="6AF4779A"/>
    <w:rsid w:val="6AFB457F"/>
    <w:rsid w:val="6B0D1298"/>
    <w:rsid w:val="6B0D7A3E"/>
    <w:rsid w:val="6B0E4740"/>
    <w:rsid w:val="6B104EF7"/>
    <w:rsid w:val="6B114A9B"/>
    <w:rsid w:val="6B126A83"/>
    <w:rsid w:val="6B171F09"/>
    <w:rsid w:val="6B185AA3"/>
    <w:rsid w:val="6B190A88"/>
    <w:rsid w:val="6B1C02EE"/>
    <w:rsid w:val="6B1C0826"/>
    <w:rsid w:val="6B212DD2"/>
    <w:rsid w:val="6B240BB9"/>
    <w:rsid w:val="6B2D1FF2"/>
    <w:rsid w:val="6B2E37B0"/>
    <w:rsid w:val="6B2E436D"/>
    <w:rsid w:val="6B2F36D6"/>
    <w:rsid w:val="6B3A069C"/>
    <w:rsid w:val="6B3B16B8"/>
    <w:rsid w:val="6B3F0421"/>
    <w:rsid w:val="6B3F0D34"/>
    <w:rsid w:val="6B4B4206"/>
    <w:rsid w:val="6B4E2B58"/>
    <w:rsid w:val="6B537EA7"/>
    <w:rsid w:val="6B544BF2"/>
    <w:rsid w:val="6B581D52"/>
    <w:rsid w:val="6B5A1A60"/>
    <w:rsid w:val="6B5F4E10"/>
    <w:rsid w:val="6B635285"/>
    <w:rsid w:val="6B636045"/>
    <w:rsid w:val="6B6A2452"/>
    <w:rsid w:val="6B6D0E3A"/>
    <w:rsid w:val="6B7025C6"/>
    <w:rsid w:val="6B707844"/>
    <w:rsid w:val="6B732248"/>
    <w:rsid w:val="6B7447C2"/>
    <w:rsid w:val="6B753FED"/>
    <w:rsid w:val="6B7E16CF"/>
    <w:rsid w:val="6B7E6767"/>
    <w:rsid w:val="6B872A06"/>
    <w:rsid w:val="6B874509"/>
    <w:rsid w:val="6B886AAD"/>
    <w:rsid w:val="6B895820"/>
    <w:rsid w:val="6B896A05"/>
    <w:rsid w:val="6B9554E0"/>
    <w:rsid w:val="6B973DD5"/>
    <w:rsid w:val="6BA04051"/>
    <w:rsid w:val="6BA9566F"/>
    <w:rsid w:val="6BAA14BD"/>
    <w:rsid w:val="6BAD261A"/>
    <w:rsid w:val="6BB00056"/>
    <w:rsid w:val="6BB42357"/>
    <w:rsid w:val="6BBD1E53"/>
    <w:rsid w:val="6BC233D9"/>
    <w:rsid w:val="6BD23B69"/>
    <w:rsid w:val="6BDC05AA"/>
    <w:rsid w:val="6BDC5C75"/>
    <w:rsid w:val="6BE14BDF"/>
    <w:rsid w:val="6BE41F82"/>
    <w:rsid w:val="6BE654F1"/>
    <w:rsid w:val="6BE76207"/>
    <w:rsid w:val="6BE80BEA"/>
    <w:rsid w:val="6BE93396"/>
    <w:rsid w:val="6BEF53F1"/>
    <w:rsid w:val="6BF02383"/>
    <w:rsid w:val="6BF863AD"/>
    <w:rsid w:val="6BF86C20"/>
    <w:rsid w:val="6BFC2C5E"/>
    <w:rsid w:val="6C090734"/>
    <w:rsid w:val="6C126980"/>
    <w:rsid w:val="6C140D9A"/>
    <w:rsid w:val="6C152A08"/>
    <w:rsid w:val="6C1E569E"/>
    <w:rsid w:val="6C1F20CC"/>
    <w:rsid w:val="6C207FF8"/>
    <w:rsid w:val="6C2166B8"/>
    <w:rsid w:val="6C266EF6"/>
    <w:rsid w:val="6C2B6B1B"/>
    <w:rsid w:val="6C2E3F33"/>
    <w:rsid w:val="6C314EAD"/>
    <w:rsid w:val="6C346A76"/>
    <w:rsid w:val="6C4026D4"/>
    <w:rsid w:val="6C426597"/>
    <w:rsid w:val="6C4540D3"/>
    <w:rsid w:val="6C464C8F"/>
    <w:rsid w:val="6C466B03"/>
    <w:rsid w:val="6C4E389B"/>
    <w:rsid w:val="6C605FEE"/>
    <w:rsid w:val="6C6571C7"/>
    <w:rsid w:val="6C682B11"/>
    <w:rsid w:val="6C6A0E01"/>
    <w:rsid w:val="6C6E28C8"/>
    <w:rsid w:val="6C7343BD"/>
    <w:rsid w:val="6C896720"/>
    <w:rsid w:val="6C9220B7"/>
    <w:rsid w:val="6C934AA6"/>
    <w:rsid w:val="6C9445AF"/>
    <w:rsid w:val="6C95452D"/>
    <w:rsid w:val="6CA77B7B"/>
    <w:rsid w:val="6CA8542C"/>
    <w:rsid w:val="6CB63B9F"/>
    <w:rsid w:val="6CB9561B"/>
    <w:rsid w:val="6CBA34E0"/>
    <w:rsid w:val="6CBD5143"/>
    <w:rsid w:val="6CBF27D6"/>
    <w:rsid w:val="6CC03737"/>
    <w:rsid w:val="6CC23C14"/>
    <w:rsid w:val="6CC428D7"/>
    <w:rsid w:val="6CC638F7"/>
    <w:rsid w:val="6CD0797A"/>
    <w:rsid w:val="6CD47B4C"/>
    <w:rsid w:val="6CD9431D"/>
    <w:rsid w:val="6CD96AD7"/>
    <w:rsid w:val="6CDB7BE2"/>
    <w:rsid w:val="6CDC3341"/>
    <w:rsid w:val="6CE556E8"/>
    <w:rsid w:val="6CE718D1"/>
    <w:rsid w:val="6CF07614"/>
    <w:rsid w:val="6CF220AE"/>
    <w:rsid w:val="6CF45D17"/>
    <w:rsid w:val="6CFA31E2"/>
    <w:rsid w:val="6CFE2A9C"/>
    <w:rsid w:val="6D021EDB"/>
    <w:rsid w:val="6D043876"/>
    <w:rsid w:val="6D0532E1"/>
    <w:rsid w:val="6D0669E0"/>
    <w:rsid w:val="6D0755C3"/>
    <w:rsid w:val="6D173C14"/>
    <w:rsid w:val="6D1749D4"/>
    <w:rsid w:val="6D200EDE"/>
    <w:rsid w:val="6D270403"/>
    <w:rsid w:val="6D2A0CDA"/>
    <w:rsid w:val="6D2E74F9"/>
    <w:rsid w:val="6D3E19D8"/>
    <w:rsid w:val="6D4204A7"/>
    <w:rsid w:val="6D444D13"/>
    <w:rsid w:val="6D4938AD"/>
    <w:rsid w:val="6D4A3950"/>
    <w:rsid w:val="6D4C2B5B"/>
    <w:rsid w:val="6D552042"/>
    <w:rsid w:val="6D562EFA"/>
    <w:rsid w:val="6D5674DE"/>
    <w:rsid w:val="6D5C6D22"/>
    <w:rsid w:val="6D5F33A6"/>
    <w:rsid w:val="6D620675"/>
    <w:rsid w:val="6D634BF4"/>
    <w:rsid w:val="6D662299"/>
    <w:rsid w:val="6D6718C8"/>
    <w:rsid w:val="6D687A9D"/>
    <w:rsid w:val="6D6A5E88"/>
    <w:rsid w:val="6D6B79CB"/>
    <w:rsid w:val="6D701CCA"/>
    <w:rsid w:val="6D737667"/>
    <w:rsid w:val="6D7B169B"/>
    <w:rsid w:val="6D7B410B"/>
    <w:rsid w:val="6D8552C4"/>
    <w:rsid w:val="6D893E6C"/>
    <w:rsid w:val="6D8D3AF8"/>
    <w:rsid w:val="6DAB6F41"/>
    <w:rsid w:val="6DB31310"/>
    <w:rsid w:val="6DC0559A"/>
    <w:rsid w:val="6DC1118B"/>
    <w:rsid w:val="6DC33FCD"/>
    <w:rsid w:val="6DC6455F"/>
    <w:rsid w:val="6DCC32DD"/>
    <w:rsid w:val="6DD0057B"/>
    <w:rsid w:val="6DDB1E2F"/>
    <w:rsid w:val="6DDB30E6"/>
    <w:rsid w:val="6DE31044"/>
    <w:rsid w:val="6DE44360"/>
    <w:rsid w:val="6DE70ECC"/>
    <w:rsid w:val="6DEA67EE"/>
    <w:rsid w:val="6DEF26D8"/>
    <w:rsid w:val="6DF04976"/>
    <w:rsid w:val="6DF66D68"/>
    <w:rsid w:val="6DFB41ED"/>
    <w:rsid w:val="6E055758"/>
    <w:rsid w:val="6E097DC3"/>
    <w:rsid w:val="6E0E577D"/>
    <w:rsid w:val="6E0E6D8B"/>
    <w:rsid w:val="6E101F46"/>
    <w:rsid w:val="6E1045F8"/>
    <w:rsid w:val="6E11721B"/>
    <w:rsid w:val="6E1900B0"/>
    <w:rsid w:val="6E297592"/>
    <w:rsid w:val="6E2D356C"/>
    <w:rsid w:val="6E2F5367"/>
    <w:rsid w:val="6E3946AB"/>
    <w:rsid w:val="6E3D3EFC"/>
    <w:rsid w:val="6E4A0A76"/>
    <w:rsid w:val="6E545859"/>
    <w:rsid w:val="6E55314D"/>
    <w:rsid w:val="6E5A6147"/>
    <w:rsid w:val="6E5E0A4D"/>
    <w:rsid w:val="6E651EB2"/>
    <w:rsid w:val="6E6C68F8"/>
    <w:rsid w:val="6E6F7252"/>
    <w:rsid w:val="6E705E65"/>
    <w:rsid w:val="6E720F1C"/>
    <w:rsid w:val="6E7733E9"/>
    <w:rsid w:val="6E77789C"/>
    <w:rsid w:val="6E7E3DB5"/>
    <w:rsid w:val="6E873E15"/>
    <w:rsid w:val="6E8C03D4"/>
    <w:rsid w:val="6E8E2CE4"/>
    <w:rsid w:val="6E910990"/>
    <w:rsid w:val="6E9250CF"/>
    <w:rsid w:val="6E9B091E"/>
    <w:rsid w:val="6EA35ACF"/>
    <w:rsid w:val="6EAA796D"/>
    <w:rsid w:val="6EB340AD"/>
    <w:rsid w:val="6EC54E7C"/>
    <w:rsid w:val="6ECB613A"/>
    <w:rsid w:val="6ECC3A58"/>
    <w:rsid w:val="6ED1495C"/>
    <w:rsid w:val="6ED2661C"/>
    <w:rsid w:val="6ED57F07"/>
    <w:rsid w:val="6EDC48BC"/>
    <w:rsid w:val="6EDF4A0E"/>
    <w:rsid w:val="6EE10326"/>
    <w:rsid w:val="6EE25D97"/>
    <w:rsid w:val="6EE9211F"/>
    <w:rsid w:val="6EEA28A7"/>
    <w:rsid w:val="6EF15E5D"/>
    <w:rsid w:val="6EFA00B6"/>
    <w:rsid w:val="6F004307"/>
    <w:rsid w:val="6F0B04F9"/>
    <w:rsid w:val="6F0B17B5"/>
    <w:rsid w:val="6F0F71C3"/>
    <w:rsid w:val="6F130A65"/>
    <w:rsid w:val="6F143B03"/>
    <w:rsid w:val="6F1F218C"/>
    <w:rsid w:val="6F21529D"/>
    <w:rsid w:val="6F251D9F"/>
    <w:rsid w:val="6F2556FF"/>
    <w:rsid w:val="6F2704DF"/>
    <w:rsid w:val="6F2F603D"/>
    <w:rsid w:val="6F314CBF"/>
    <w:rsid w:val="6F32386C"/>
    <w:rsid w:val="6F3308EE"/>
    <w:rsid w:val="6F3762B0"/>
    <w:rsid w:val="6F3B736C"/>
    <w:rsid w:val="6F3D55C7"/>
    <w:rsid w:val="6F3D7CB6"/>
    <w:rsid w:val="6F4556F1"/>
    <w:rsid w:val="6F4D049F"/>
    <w:rsid w:val="6F512414"/>
    <w:rsid w:val="6F51642D"/>
    <w:rsid w:val="6F572146"/>
    <w:rsid w:val="6F607B6C"/>
    <w:rsid w:val="6F72658A"/>
    <w:rsid w:val="6F734E98"/>
    <w:rsid w:val="6F735A0D"/>
    <w:rsid w:val="6F822A90"/>
    <w:rsid w:val="6F862E5E"/>
    <w:rsid w:val="6F8721A2"/>
    <w:rsid w:val="6F884046"/>
    <w:rsid w:val="6F8944C6"/>
    <w:rsid w:val="6F93516A"/>
    <w:rsid w:val="6FA56412"/>
    <w:rsid w:val="6FA642BB"/>
    <w:rsid w:val="6FA71113"/>
    <w:rsid w:val="6FAA0164"/>
    <w:rsid w:val="6FAD3CF6"/>
    <w:rsid w:val="6FB74534"/>
    <w:rsid w:val="6FBC3078"/>
    <w:rsid w:val="6FBE276B"/>
    <w:rsid w:val="6FC170FF"/>
    <w:rsid w:val="6FC539AE"/>
    <w:rsid w:val="6FC92BEC"/>
    <w:rsid w:val="6FCA28B2"/>
    <w:rsid w:val="6FCF3315"/>
    <w:rsid w:val="6FD231D5"/>
    <w:rsid w:val="6FD23513"/>
    <w:rsid w:val="6FD54264"/>
    <w:rsid w:val="6FDC3B99"/>
    <w:rsid w:val="6FDD3B77"/>
    <w:rsid w:val="6FDE582F"/>
    <w:rsid w:val="6FDF70D9"/>
    <w:rsid w:val="6FE165CC"/>
    <w:rsid w:val="6FE56F06"/>
    <w:rsid w:val="6FE750FB"/>
    <w:rsid w:val="6FEF1DC3"/>
    <w:rsid w:val="6FF445BB"/>
    <w:rsid w:val="6FF66A8F"/>
    <w:rsid w:val="6FFD1251"/>
    <w:rsid w:val="7001053A"/>
    <w:rsid w:val="70062176"/>
    <w:rsid w:val="70130DA5"/>
    <w:rsid w:val="701E3441"/>
    <w:rsid w:val="7022365F"/>
    <w:rsid w:val="7029131F"/>
    <w:rsid w:val="703F51FF"/>
    <w:rsid w:val="704269D5"/>
    <w:rsid w:val="70466D67"/>
    <w:rsid w:val="704B210E"/>
    <w:rsid w:val="704B41D7"/>
    <w:rsid w:val="704D7F45"/>
    <w:rsid w:val="704F5F5C"/>
    <w:rsid w:val="70522A64"/>
    <w:rsid w:val="70532816"/>
    <w:rsid w:val="70565857"/>
    <w:rsid w:val="70566B9C"/>
    <w:rsid w:val="70601559"/>
    <w:rsid w:val="70602694"/>
    <w:rsid w:val="706B24E9"/>
    <w:rsid w:val="706D579D"/>
    <w:rsid w:val="706E73C2"/>
    <w:rsid w:val="707131E5"/>
    <w:rsid w:val="70721A0D"/>
    <w:rsid w:val="70744699"/>
    <w:rsid w:val="707B298D"/>
    <w:rsid w:val="707D0459"/>
    <w:rsid w:val="70812B27"/>
    <w:rsid w:val="70937EF4"/>
    <w:rsid w:val="709605E3"/>
    <w:rsid w:val="709968E9"/>
    <w:rsid w:val="70A15CF9"/>
    <w:rsid w:val="70A34234"/>
    <w:rsid w:val="70A7615F"/>
    <w:rsid w:val="70A860E1"/>
    <w:rsid w:val="70AB69AF"/>
    <w:rsid w:val="70B0342D"/>
    <w:rsid w:val="70B04A1D"/>
    <w:rsid w:val="70B301AA"/>
    <w:rsid w:val="70B34A1C"/>
    <w:rsid w:val="70B35F9E"/>
    <w:rsid w:val="70B40DE3"/>
    <w:rsid w:val="70B43241"/>
    <w:rsid w:val="70B62210"/>
    <w:rsid w:val="70B9739B"/>
    <w:rsid w:val="70BB04D0"/>
    <w:rsid w:val="70BC71DF"/>
    <w:rsid w:val="70BD7375"/>
    <w:rsid w:val="70C133E4"/>
    <w:rsid w:val="70C16F72"/>
    <w:rsid w:val="70C53577"/>
    <w:rsid w:val="70C955BA"/>
    <w:rsid w:val="70CA1426"/>
    <w:rsid w:val="70CF4CD3"/>
    <w:rsid w:val="70CF6CBA"/>
    <w:rsid w:val="70D42083"/>
    <w:rsid w:val="70D44A3A"/>
    <w:rsid w:val="70DB291F"/>
    <w:rsid w:val="70DC135D"/>
    <w:rsid w:val="70E42275"/>
    <w:rsid w:val="70E92266"/>
    <w:rsid w:val="70EF020B"/>
    <w:rsid w:val="70F107C0"/>
    <w:rsid w:val="70F30F3E"/>
    <w:rsid w:val="70FA1C88"/>
    <w:rsid w:val="7101335D"/>
    <w:rsid w:val="71024753"/>
    <w:rsid w:val="71036E8F"/>
    <w:rsid w:val="71037E03"/>
    <w:rsid w:val="7107211A"/>
    <w:rsid w:val="710E431A"/>
    <w:rsid w:val="7110554A"/>
    <w:rsid w:val="711529E8"/>
    <w:rsid w:val="7118219C"/>
    <w:rsid w:val="711921EF"/>
    <w:rsid w:val="71206DBC"/>
    <w:rsid w:val="71287CFF"/>
    <w:rsid w:val="712A480E"/>
    <w:rsid w:val="713141F1"/>
    <w:rsid w:val="7135018D"/>
    <w:rsid w:val="7135086F"/>
    <w:rsid w:val="713A3B9E"/>
    <w:rsid w:val="71437764"/>
    <w:rsid w:val="7144286B"/>
    <w:rsid w:val="71480759"/>
    <w:rsid w:val="714851A1"/>
    <w:rsid w:val="714935A1"/>
    <w:rsid w:val="714C12A6"/>
    <w:rsid w:val="714C7C1B"/>
    <w:rsid w:val="714E2FE6"/>
    <w:rsid w:val="71547817"/>
    <w:rsid w:val="7155440E"/>
    <w:rsid w:val="71591365"/>
    <w:rsid w:val="715D0C09"/>
    <w:rsid w:val="71656A44"/>
    <w:rsid w:val="71674584"/>
    <w:rsid w:val="71705844"/>
    <w:rsid w:val="71746F1E"/>
    <w:rsid w:val="717875BB"/>
    <w:rsid w:val="71836E4E"/>
    <w:rsid w:val="71975013"/>
    <w:rsid w:val="719809D1"/>
    <w:rsid w:val="719C2503"/>
    <w:rsid w:val="719D5651"/>
    <w:rsid w:val="71A15566"/>
    <w:rsid w:val="71A560D6"/>
    <w:rsid w:val="71A66B4D"/>
    <w:rsid w:val="71AD5711"/>
    <w:rsid w:val="71B16EFB"/>
    <w:rsid w:val="71B457CB"/>
    <w:rsid w:val="71B72422"/>
    <w:rsid w:val="71B854BE"/>
    <w:rsid w:val="71BA7AEB"/>
    <w:rsid w:val="71BE7780"/>
    <w:rsid w:val="71C168C0"/>
    <w:rsid w:val="71C409B2"/>
    <w:rsid w:val="71C42DED"/>
    <w:rsid w:val="71CA2A5C"/>
    <w:rsid w:val="71CE5577"/>
    <w:rsid w:val="71CE658E"/>
    <w:rsid w:val="71D35FD6"/>
    <w:rsid w:val="71D5022F"/>
    <w:rsid w:val="71D848F7"/>
    <w:rsid w:val="71D95E94"/>
    <w:rsid w:val="71DA5930"/>
    <w:rsid w:val="71DB2820"/>
    <w:rsid w:val="71DD3BBE"/>
    <w:rsid w:val="71E30247"/>
    <w:rsid w:val="71E75792"/>
    <w:rsid w:val="71EA7976"/>
    <w:rsid w:val="71EE2E64"/>
    <w:rsid w:val="71F2051E"/>
    <w:rsid w:val="71F40C5F"/>
    <w:rsid w:val="71F83C80"/>
    <w:rsid w:val="71FA2B59"/>
    <w:rsid w:val="720535A4"/>
    <w:rsid w:val="720B512C"/>
    <w:rsid w:val="72105066"/>
    <w:rsid w:val="72191F97"/>
    <w:rsid w:val="722B7EC1"/>
    <w:rsid w:val="72306220"/>
    <w:rsid w:val="72343AF6"/>
    <w:rsid w:val="72363DFB"/>
    <w:rsid w:val="724265D4"/>
    <w:rsid w:val="72460DB6"/>
    <w:rsid w:val="724B0580"/>
    <w:rsid w:val="724C6C1F"/>
    <w:rsid w:val="72562C08"/>
    <w:rsid w:val="725800B6"/>
    <w:rsid w:val="72582AC7"/>
    <w:rsid w:val="725C13FE"/>
    <w:rsid w:val="72625852"/>
    <w:rsid w:val="726A2321"/>
    <w:rsid w:val="727179FF"/>
    <w:rsid w:val="72746BA3"/>
    <w:rsid w:val="72786D7D"/>
    <w:rsid w:val="727F7D75"/>
    <w:rsid w:val="72805B8D"/>
    <w:rsid w:val="7283775D"/>
    <w:rsid w:val="7284642D"/>
    <w:rsid w:val="72851438"/>
    <w:rsid w:val="72862340"/>
    <w:rsid w:val="728A3DD7"/>
    <w:rsid w:val="729D0C10"/>
    <w:rsid w:val="729D39A5"/>
    <w:rsid w:val="729F1D5C"/>
    <w:rsid w:val="72A12F4E"/>
    <w:rsid w:val="72A36FF1"/>
    <w:rsid w:val="72A5798D"/>
    <w:rsid w:val="72A840B7"/>
    <w:rsid w:val="72AB0B0B"/>
    <w:rsid w:val="72B57992"/>
    <w:rsid w:val="72BB3C39"/>
    <w:rsid w:val="72BB7FE0"/>
    <w:rsid w:val="72BD152A"/>
    <w:rsid w:val="72BD5C12"/>
    <w:rsid w:val="72BE0EDD"/>
    <w:rsid w:val="72C05AFE"/>
    <w:rsid w:val="72C34FE3"/>
    <w:rsid w:val="72C35936"/>
    <w:rsid w:val="72C90F51"/>
    <w:rsid w:val="72CB46CF"/>
    <w:rsid w:val="72D54C57"/>
    <w:rsid w:val="72D6399A"/>
    <w:rsid w:val="72DC4F9F"/>
    <w:rsid w:val="72DF22F5"/>
    <w:rsid w:val="72E12A3D"/>
    <w:rsid w:val="72E131C9"/>
    <w:rsid w:val="72E871FD"/>
    <w:rsid w:val="72E92B54"/>
    <w:rsid w:val="72E9625D"/>
    <w:rsid w:val="72EC10C5"/>
    <w:rsid w:val="72EC4086"/>
    <w:rsid w:val="72EF17BD"/>
    <w:rsid w:val="72EF4381"/>
    <w:rsid w:val="72F2696F"/>
    <w:rsid w:val="72FE0DC3"/>
    <w:rsid w:val="73006EF9"/>
    <w:rsid w:val="730503B1"/>
    <w:rsid w:val="73096FA2"/>
    <w:rsid w:val="730B692F"/>
    <w:rsid w:val="730F6020"/>
    <w:rsid w:val="73167661"/>
    <w:rsid w:val="731E6947"/>
    <w:rsid w:val="73264733"/>
    <w:rsid w:val="732B19A0"/>
    <w:rsid w:val="732F2AF4"/>
    <w:rsid w:val="73307848"/>
    <w:rsid w:val="73363C05"/>
    <w:rsid w:val="7346403B"/>
    <w:rsid w:val="735039D1"/>
    <w:rsid w:val="735174A0"/>
    <w:rsid w:val="735239E3"/>
    <w:rsid w:val="73545772"/>
    <w:rsid w:val="73582D66"/>
    <w:rsid w:val="7358786A"/>
    <w:rsid w:val="735F252A"/>
    <w:rsid w:val="735F7D36"/>
    <w:rsid w:val="736B0472"/>
    <w:rsid w:val="736E1F72"/>
    <w:rsid w:val="736F1B3B"/>
    <w:rsid w:val="737037A7"/>
    <w:rsid w:val="73706470"/>
    <w:rsid w:val="737126CC"/>
    <w:rsid w:val="73732C58"/>
    <w:rsid w:val="737A0952"/>
    <w:rsid w:val="737F1CE5"/>
    <w:rsid w:val="73874832"/>
    <w:rsid w:val="73896277"/>
    <w:rsid w:val="73921334"/>
    <w:rsid w:val="73A430B9"/>
    <w:rsid w:val="73A71DE1"/>
    <w:rsid w:val="73A85658"/>
    <w:rsid w:val="73B11332"/>
    <w:rsid w:val="73B3780E"/>
    <w:rsid w:val="73B872D3"/>
    <w:rsid w:val="73BB6721"/>
    <w:rsid w:val="73BC0AB4"/>
    <w:rsid w:val="73BD6B40"/>
    <w:rsid w:val="73C1757B"/>
    <w:rsid w:val="73CA61EF"/>
    <w:rsid w:val="73CD0E6F"/>
    <w:rsid w:val="73CE7AB9"/>
    <w:rsid w:val="73E1177B"/>
    <w:rsid w:val="73E82669"/>
    <w:rsid w:val="73EA4FED"/>
    <w:rsid w:val="73EA5AF1"/>
    <w:rsid w:val="73EC2BBF"/>
    <w:rsid w:val="73ED29E1"/>
    <w:rsid w:val="73F003E7"/>
    <w:rsid w:val="73F15BBD"/>
    <w:rsid w:val="73FD74B5"/>
    <w:rsid w:val="73FE6BE8"/>
    <w:rsid w:val="7400361E"/>
    <w:rsid w:val="7400437A"/>
    <w:rsid w:val="74031F5C"/>
    <w:rsid w:val="740477FB"/>
    <w:rsid w:val="74047F79"/>
    <w:rsid w:val="740F5F28"/>
    <w:rsid w:val="74105650"/>
    <w:rsid w:val="74106CE0"/>
    <w:rsid w:val="74123D55"/>
    <w:rsid w:val="74183758"/>
    <w:rsid w:val="741E3A3E"/>
    <w:rsid w:val="74200274"/>
    <w:rsid w:val="74212B46"/>
    <w:rsid w:val="742304C1"/>
    <w:rsid w:val="74232FA5"/>
    <w:rsid w:val="74236B5A"/>
    <w:rsid w:val="74267A92"/>
    <w:rsid w:val="742D222D"/>
    <w:rsid w:val="74310EC8"/>
    <w:rsid w:val="74333AFF"/>
    <w:rsid w:val="74340F88"/>
    <w:rsid w:val="743432F9"/>
    <w:rsid w:val="743A11AA"/>
    <w:rsid w:val="743F75A9"/>
    <w:rsid w:val="74405778"/>
    <w:rsid w:val="744434FD"/>
    <w:rsid w:val="74447522"/>
    <w:rsid w:val="744F70DA"/>
    <w:rsid w:val="74501520"/>
    <w:rsid w:val="745C06A2"/>
    <w:rsid w:val="745F280B"/>
    <w:rsid w:val="746B28B6"/>
    <w:rsid w:val="7470210D"/>
    <w:rsid w:val="74712B5C"/>
    <w:rsid w:val="7479577A"/>
    <w:rsid w:val="747D3BF5"/>
    <w:rsid w:val="74801778"/>
    <w:rsid w:val="748019D2"/>
    <w:rsid w:val="748601A4"/>
    <w:rsid w:val="748601CA"/>
    <w:rsid w:val="74863387"/>
    <w:rsid w:val="7487331C"/>
    <w:rsid w:val="748A08CC"/>
    <w:rsid w:val="748E1EEF"/>
    <w:rsid w:val="749A0AEF"/>
    <w:rsid w:val="749D158A"/>
    <w:rsid w:val="74A16B3A"/>
    <w:rsid w:val="74A25CC4"/>
    <w:rsid w:val="74A413B3"/>
    <w:rsid w:val="74C0780B"/>
    <w:rsid w:val="74C27325"/>
    <w:rsid w:val="74C458EF"/>
    <w:rsid w:val="74C740C1"/>
    <w:rsid w:val="74D048DB"/>
    <w:rsid w:val="74D06DBB"/>
    <w:rsid w:val="74D40CF9"/>
    <w:rsid w:val="74D54BDB"/>
    <w:rsid w:val="74D5758C"/>
    <w:rsid w:val="74D638C0"/>
    <w:rsid w:val="74D858A8"/>
    <w:rsid w:val="74D95065"/>
    <w:rsid w:val="74DB73FD"/>
    <w:rsid w:val="74E233D3"/>
    <w:rsid w:val="74E864AA"/>
    <w:rsid w:val="74ED7634"/>
    <w:rsid w:val="74F76705"/>
    <w:rsid w:val="74FD66E4"/>
    <w:rsid w:val="75024442"/>
    <w:rsid w:val="750E79D9"/>
    <w:rsid w:val="750F4D79"/>
    <w:rsid w:val="75124C14"/>
    <w:rsid w:val="75132724"/>
    <w:rsid w:val="751504AC"/>
    <w:rsid w:val="751815FA"/>
    <w:rsid w:val="752148CA"/>
    <w:rsid w:val="752B6B66"/>
    <w:rsid w:val="75354C7A"/>
    <w:rsid w:val="753577C6"/>
    <w:rsid w:val="75363BA5"/>
    <w:rsid w:val="75375311"/>
    <w:rsid w:val="7539224D"/>
    <w:rsid w:val="75492BA2"/>
    <w:rsid w:val="754D46E6"/>
    <w:rsid w:val="754E196E"/>
    <w:rsid w:val="755234F7"/>
    <w:rsid w:val="75546937"/>
    <w:rsid w:val="755725B8"/>
    <w:rsid w:val="75632947"/>
    <w:rsid w:val="7565365F"/>
    <w:rsid w:val="75672CD1"/>
    <w:rsid w:val="756E2527"/>
    <w:rsid w:val="75701961"/>
    <w:rsid w:val="75785A45"/>
    <w:rsid w:val="7580086B"/>
    <w:rsid w:val="75817DD2"/>
    <w:rsid w:val="758914AE"/>
    <w:rsid w:val="758B501E"/>
    <w:rsid w:val="75922E14"/>
    <w:rsid w:val="75927133"/>
    <w:rsid w:val="75962278"/>
    <w:rsid w:val="759A769F"/>
    <w:rsid w:val="759B7E8C"/>
    <w:rsid w:val="75A07F88"/>
    <w:rsid w:val="75A540F2"/>
    <w:rsid w:val="75AD0964"/>
    <w:rsid w:val="75BF55C1"/>
    <w:rsid w:val="75BF57BC"/>
    <w:rsid w:val="75C35884"/>
    <w:rsid w:val="75C8579B"/>
    <w:rsid w:val="75CF7F5E"/>
    <w:rsid w:val="75E60A8C"/>
    <w:rsid w:val="75E73231"/>
    <w:rsid w:val="75EC6184"/>
    <w:rsid w:val="75ED7F4C"/>
    <w:rsid w:val="75EF5D68"/>
    <w:rsid w:val="75F06DAB"/>
    <w:rsid w:val="75F23480"/>
    <w:rsid w:val="75F45B4B"/>
    <w:rsid w:val="75F537DA"/>
    <w:rsid w:val="75F91F0F"/>
    <w:rsid w:val="76042078"/>
    <w:rsid w:val="76100236"/>
    <w:rsid w:val="761230B6"/>
    <w:rsid w:val="761235D5"/>
    <w:rsid w:val="7614076D"/>
    <w:rsid w:val="76143A13"/>
    <w:rsid w:val="761706BB"/>
    <w:rsid w:val="76177FBC"/>
    <w:rsid w:val="761C0D78"/>
    <w:rsid w:val="76222662"/>
    <w:rsid w:val="7626273B"/>
    <w:rsid w:val="762D1DAC"/>
    <w:rsid w:val="762D5077"/>
    <w:rsid w:val="762F2D2B"/>
    <w:rsid w:val="76354FC6"/>
    <w:rsid w:val="763C5BC0"/>
    <w:rsid w:val="76426829"/>
    <w:rsid w:val="76427067"/>
    <w:rsid w:val="764771BF"/>
    <w:rsid w:val="764F6694"/>
    <w:rsid w:val="765125F9"/>
    <w:rsid w:val="765176C9"/>
    <w:rsid w:val="765A1FF6"/>
    <w:rsid w:val="765F31D2"/>
    <w:rsid w:val="76631018"/>
    <w:rsid w:val="7667087A"/>
    <w:rsid w:val="76670A1A"/>
    <w:rsid w:val="766923CA"/>
    <w:rsid w:val="766B3B6C"/>
    <w:rsid w:val="766D4B92"/>
    <w:rsid w:val="7672680E"/>
    <w:rsid w:val="76731DAA"/>
    <w:rsid w:val="76733339"/>
    <w:rsid w:val="767425C6"/>
    <w:rsid w:val="76744045"/>
    <w:rsid w:val="76752A8A"/>
    <w:rsid w:val="767743CB"/>
    <w:rsid w:val="76776DE7"/>
    <w:rsid w:val="76800646"/>
    <w:rsid w:val="76842761"/>
    <w:rsid w:val="76872380"/>
    <w:rsid w:val="768A7FEE"/>
    <w:rsid w:val="7692384F"/>
    <w:rsid w:val="7693082B"/>
    <w:rsid w:val="769770A8"/>
    <w:rsid w:val="769955F3"/>
    <w:rsid w:val="769966A1"/>
    <w:rsid w:val="769E6F25"/>
    <w:rsid w:val="76A048F8"/>
    <w:rsid w:val="76A1701F"/>
    <w:rsid w:val="76A82D90"/>
    <w:rsid w:val="76AA3E26"/>
    <w:rsid w:val="76AE018B"/>
    <w:rsid w:val="76B13D1C"/>
    <w:rsid w:val="76B24292"/>
    <w:rsid w:val="76B53ABC"/>
    <w:rsid w:val="76D03068"/>
    <w:rsid w:val="76D05BD9"/>
    <w:rsid w:val="76D94915"/>
    <w:rsid w:val="76DD774F"/>
    <w:rsid w:val="76E741DF"/>
    <w:rsid w:val="76E96F36"/>
    <w:rsid w:val="76EB7587"/>
    <w:rsid w:val="76F06130"/>
    <w:rsid w:val="76F428CF"/>
    <w:rsid w:val="76F54010"/>
    <w:rsid w:val="76F54C40"/>
    <w:rsid w:val="76F80FD4"/>
    <w:rsid w:val="76FB0C50"/>
    <w:rsid w:val="76FB1919"/>
    <w:rsid w:val="76FD2626"/>
    <w:rsid w:val="770B5B79"/>
    <w:rsid w:val="77120330"/>
    <w:rsid w:val="77140058"/>
    <w:rsid w:val="7718628D"/>
    <w:rsid w:val="771965B7"/>
    <w:rsid w:val="771E2AD3"/>
    <w:rsid w:val="771F01B4"/>
    <w:rsid w:val="7721146F"/>
    <w:rsid w:val="772C7872"/>
    <w:rsid w:val="772E4811"/>
    <w:rsid w:val="77326F1E"/>
    <w:rsid w:val="77345618"/>
    <w:rsid w:val="77347FCF"/>
    <w:rsid w:val="77386AF7"/>
    <w:rsid w:val="77394C98"/>
    <w:rsid w:val="773A538A"/>
    <w:rsid w:val="77482022"/>
    <w:rsid w:val="77497F22"/>
    <w:rsid w:val="77541D03"/>
    <w:rsid w:val="77572E82"/>
    <w:rsid w:val="775A7F80"/>
    <w:rsid w:val="775F1738"/>
    <w:rsid w:val="77632518"/>
    <w:rsid w:val="77636B55"/>
    <w:rsid w:val="77643DF9"/>
    <w:rsid w:val="77656F7E"/>
    <w:rsid w:val="776805D1"/>
    <w:rsid w:val="776A45E7"/>
    <w:rsid w:val="776B0990"/>
    <w:rsid w:val="776F56DC"/>
    <w:rsid w:val="777069E3"/>
    <w:rsid w:val="777766F7"/>
    <w:rsid w:val="777C1CEF"/>
    <w:rsid w:val="77807458"/>
    <w:rsid w:val="77837742"/>
    <w:rsid w:val="77895CE1"/>
    <w:rsid w:val="779E44D2"/>
    <w:rsid w:val="77A05044"/>
    <w:rsid w:val="77B326E5"/>
    <w:rsid w:val="77B37046"/>
    <w:rsid w:val="77B60C75"/>
    <w:rsid w:val="77BA21F6"/>
    <w:rsid w:val="77C2201E"/>
    <w:rsid w:val="77C25F8C"/>
    <w:rsid w:val="77C3183B"/>
    <w:rsid w:val="77C8058F"/>
    <w:rsid w:val="77D42621"/>
    <w:rsid w:val="77D75858"/>
    <w:rsid w:val="77D81CC5"/>
    <w:rsid w:val="77DF3925"/>
    <w:rsid w:val="77E46158"/>
    <w:rsid w:val="77ED6E86"/>
    <w:rsid w:val="77F82A41"/>
    <w:rsid w:val="77FA314D"/>
    <w:rsid w:val="77FC6664"/>
    <w:rsid w:val="78014BC2"/>
    <w:rsid w:val="78085BD4"/>
    <w:rsid w:val="780A3B65"/>
    <w:rsid w:val="780B68BA"/>
    <w:rsid w:val="780F6E14"/>
    <w:rsid w:val="781566B4"/>
    <w:rsid w:val="781A3BE6"/>
    <w:rsid w:val="781F7E5C"/>
    <w:rsid w:val="78247B43"/>
    <w:rsid w:val="78296D29"/>
    <w:rsid w:val="782D5417"/>
    <w:rsid w:val="7834724E"/>
    <w:rsid w:val="7835133C"/>
    <w:rsid w:val="78393DF9"/>
    <w:rsid w:val="78405DF8"/>
    <w:rsid w:val="78431577"/>
    <w:rsid w:val="785505CD"/>
    <w:rsid w:val="785813F1"/>
    <w:rsid w:val="785A738D"/>
    <w:rsid w:val="78655D27"/>
    <w:rsid w:val="786A15E8"/>
    <w:rsid w:val="78704FD0"/>
    <w:rsid w:val="7872342D"/>
    <w:rsid w:val="78757E10"/>
    <w:rsid w:val="78772EBE"/>
    <w:rsid w:val="78780167"/>
    <w:rsid w:val="787B1F34"/>
    <w:rsid w:val="787B4487"/>
    <w:rsid w:val="787D4A6D"/>
    <w:rsid w:val="78817C3D"/>
    <w:rsid w:val="78826627"/>
    <w:rsid w:val="788837A4"/>
    <w:rsid w:val="788948D7"/>
    <w:rsid w:val="789536B6"/>
    <w:rsid w:val="78A05F3E"/>
    <w:rsid w:val="78A46E67"/>
    <w:rsid w:val="78A91133"/>
    <w:rsid w:val="78AB0BC0"/>
    <w:rsid w:val="78AB2BD8"/>
    <w:rsid w:val="78B37151"/>
    <w:rsid w:val="78B40315"/>
    <w:rsid w:val="78BA6EB1"/>
    <w:rsid w:val="78BD40BC"/>
    <w:rsid w:val="78BE1750"/>
    <w:rsid w:val="78C468BE"/>
    <w:rsid w:val="78C64343"/>
    <w:rsid w:val="78CB2EC3"/>
    <w:rsid w:val="78CD109E"/>
    <w:rsid w:val="78CE7C70"/>
    <w:rsid w:val="78D17A19"/>
    <w:rsid w:val="78D234CD"/>
    <w:rsid w:val="78D439C9"/>
    <w:rsid w:val="78D525A9"/>
    <w:rsid w:val="78D56280"/>
    <w:rsid w:val="78D63C40"/>
    <w:rsid w:val="78DC7E76"/>
    <w:rsid w:val="78DE3E32"/>
    <w:rsid w:val="78E26F5B"/>
    <w:rsid w:val="78E67874"/>
    <w:rsid w:val="78E80464"/>
    <w:rsid w:val="78F03731"/>
    <w:rsid w:val="78F16B69"/>
    <w:rsid w:val="78F30D1C"/>
    <w:rsid w:val="78F609A5"/>
    <w:rsid w:val="78F83AA5"/>
    <w:rsid w:val="79044378"/>
    <w:rsid w:val="79047B4E"/>
    <w:rsid w:val="790D4C9E"/>
    <w:rsid w:val="790D7B85"/>
    <w:rsid w:val="79100F11"/>
    <w:rsid w:val="79143FCD"/>
    <w:rsid w:val="79176F7C"/>
    <w:rsid w:val="79196FAF"/>
    <w:rsid w:val="791D7A1C"/>
    <w:rsid w:val="791F1C10"/>
    <w:rsid w:val="79224617"/>
    <w:rsid w:val="792A0740"/>
    <w:rsid w:val="79324DCC"/>
    <w:rsid w:val="79344A87"/>
    <w:rsid w:val="7935211D"/>
    <w:rsid w:val="794337D4"/>
    <w:rsid w:val="79441583"/>
    <w:rsid w:val="794719F6"/>
    <w:rsid w:val="79474F93"/>
    <w:rsid w:val="794A559A"/>
    <w:rsid w:val="794C6175"/>
    <w:rsid w:val="794E2458"/>
    <w:rsid w:val="794E5040"/>
    <w:rsid w:val="794F2F12"/>
    <w:rsid w:val="795B4276"/>
    <w:rsid w:val="795E4EC8"/>
    <w:rsid w:val="796176C6"/>
    <w:rsid w:val="796974E1"/>
    <w:rsid w:val="796A1D19"/>
    <w:rsid w:val="796C660F"/>
    <w:rsid w:val="796C794A"/>
    <w:rsid w:val="797074B0"/>
    <w:rsid w:val="797B40FF"/>
    <w:rsid w:val="797D79A3"/>
    <w:rsid w:val="797E3DD6"/>
    <w:rsid w:val="797E7223"/>
    <w:rsid w:val="7980287F"/>
    <w:rsid w:val="798044B7"/>
    <w:rsid w:val="79863C50"/>
    <w:rsid w:val="798837D1"/>
    <w:rsid w:val="79896CB1"/>
    <w:rsid w:val="798E698F"/>
    <w:rsid w:val="79904383"/>
    <w:rsid w:val="79933BD4"/>
    <w:rsid w:val="799D6573"/>
    <w:rsid w:val="79A34718"/>
    <w:rsid w:val="79A92CB5"/>
    <w:rsid w:val="79B31C85"/>
    <w:rsid w:val="79B73553"/>
    <w:rsid w:val="79C52896"/>
    <w:rsid w:val="79CF6750"/>
    <w:rsid w:val="79D668F1"/>
    <w:rsid w:val="79E27CA8"/>
    <w:rsid w:val="79E42D3E"/>
    <w:rsid w:val="79E44DA9"/>
    <w:rsid w:val="79E642AE"/>
    <w:rsid w:val="79EB6791"/>
    <w:rsid w:val="79F0473B"/>
    <w:rsid w:val="79F204C3"/>
    <w:rsid w:val="79F26CAB"/>
    <w:rsid w:val="79FB7B45"/>
    <w:rsid w:val="79FC71AC"/>
    <w:rsid w:val="7A016BCC"/>
    <w:rsid w:val="7A047252"/>
    <w:rsid w:val="7A081132"/>
    <w:rsid w:val="7A0B7196"/>
    <w:rsid w:val="7A1647F1"/>
    <w:rsid w:val="7A1719AB"/>
    <w:rsid w:val="7A18765A"/>
    <w:rsid w:val="7A1953EC"/>
    <w:rsid w:val="7A2071EE"/>
    <w:rsid w:val="7A211BD7"/>
    <w:rsid w:val="7A250606"/>
    <w:rsid w:val="7A261047"/>
    <w:rsid w:val="7A3E5A1E"/>
    <w:rsid w:val="7A48518D"/>
    <w:rsid w:val="7A491BFC"/>
    <w:rsid w:val="7A4A3A1F"/>
    <w:rsid w:val="7A523080"/>
    <w:rsid w:val="7A5310AD"/>
    <w:rsid w:val="7A543FCA"/>
    <w:rsid w:val="7A5B15A3"/>
    <w:rsid w:val="7A5C5153"/>
    <w:rsid w:val="7A617DBC"/>
    <w:rsid w:val="7A6520EC"/>
    <w:rsid w:val="7A655CC3"/>
    <w:rsid w:val="7A6B3027"/>
    <w:rsid w:val="7A7A1CDA"/>
    <w:rsid w:val="7A7C0920"/>
    <w:rsid w:val="7A805584"/>
    <w:rsid w:val="7A847D62"/>
    <w:rsid w:val="7A990318"/>
    <w:rsid w:val="7A9D619A"/>
    <w:rsid w:val="7AA16BA7"/>
    <w:rsid w:val="7AA4146E"/>
    <w:rsid w:val="7AA62DA7"/>
    <w:rsid w:val="7AA9126D"/>
    <w:rsid w:val="7AAC36FB"/>
    <w:rsid w:val="7AAF38CC"/>
    <w:rsid w:val="7AB177F9"/>
    <w:rsid w:val="7AB835F7"/>
    <w:rsid w:val="7AB8637B"/>
    <w:rsid w:val="7AB941BA"/>
    <w:rsid w:val="7ABA3EF0"/>
    <w:rsid w:val="7ABF0480"/>
    <w:rsid w:val="7ABF2968"/>
    <w:rsid w:val="7AC005DE"/>
    <w:rsid w:val="7AC14699"/>
    <w:rsid w:val="7AC44D08"/>
    <w:rsid w:val="7AC7789D"/>
    <w:rsid w:val="7AD17680"/>
    <w:rsid w:val="7AD225CB"/>
    <w:rsid w:val="7AD42648"/>
    <w:rsid w:val="7ADA7CFC"/>
    <w:rsid w:val="7ADF523B"/>
    <w:rsid w:val="7ADF5362"/>
    <w:rsid w:val="7AE21EE6"/>
    <w:rsid w:val="7AE35A9D"/>
    <w:rsid w:val="7AE70F31"/>
    <w:rsid w:val="7AF1013D"/>
    <w:rsid w:val="7AF94C7C"/>
    <w:rsid w:val="7B047F4B"/>
    <w:rsid w:val="7B0E0D43"/>
    <w:rsid w:val="7B12466B"/>
    <w:rsid w:val="7B163CE3"/>
    <w:rsid w:val="7B1F524B"/>
    <w:rsid w:val="7B2035CD"/>
    <w:rsid w:val="7B2B212F"/>
    <w:rsid w:val="7B2D2719"/>
    <w:rsid w:val="7B3601F7"/>
    <w:rsid w:val="7B372CF1"/>
    <w:rsid w:val="7B3A1916"/>
    <w:rsid w:val="7B41751A"/>
    <w:rsid w:val="7B426DF2"/>
    <w:rsid w:val="7B450BDA"/>
    <w:rsid w:val="7B460AFA"/>
    <w:rsid w:val="7B612DB2"/>
    <w:rsid w:val="7B616DC9"/>
    <w:rsid w:val="7B6D7E09"/>
    <w:rsid w:val="7B7320B4"/>
    <w:rsid w:val="7B7418B4"/>
    <w:rsid w:val="7B804587"/>
    <w:rsid w:val="7B813A74"/>
    <w:rsid w:val="7B8C2BA1"/>
    <w:rsid w:val="7B93521A"/>
    <w:rsid w:val="7B952D6B"/>
    <w:rsid w:val="7B956761"/>
    <w:rsid w:val="7B9830F6"/>
    <w:rsid w:val="7B987A06"/>
    <w:rsid w:val="7B99112E"/>
    <w:rsid w:val="7BA11C41"/>
    <w:rsid w:val="7BA20BBE"/>
    <w:rsid w:val="7BAC7CC1"/>
    <w:rsid w:val="7BB42760"/>
    <w:rsid w:val="7BB95A64"/>
    <w:rsid w:val="7BBE4016"/>
    <w:rsid w:val="7BBF2636"/>
    <w:rsid w:val="7BCB65AE"/>
    <w:rsid w:val="7BD06D21"/>
    <w:rsid w:val="7BDB5371"/>
    <w:rsid w:val="7BE154AB"/>
    <w:rsid w:val="7BE21ACC"/>
    <w:rsid w:val="7BE225C5"/>
    <w:rsid w:val="7BF60F1C"/>
    <w:rsid w:val="7BFF663B"/>
    <w:rsid w:val="7C187403"/>
    <w:rsid w:val="7C1F4421"/>
    <w:rsid w:val="7C213DAA"/>
    <w:rsid w:val="7C266FB0"/>
    <w:rsid w:val="7C2917FF"/>
    <w:rsid w:val="7C29386A"/>
    <w:rsid w:val="7C2A3057"/>
    <w:rsid w:val="7C2F2F7A"/>
    <w:rsid w:val="7C351A2E"/>
    <w:rsid w:val="7C3C2BA7"/>
    <w:rsid w:val="7C3C58E5"/>
    <w:rsid w:val="7C4765AB"/>
    <w:rsid w:val="7C480C93"/>
    <w:rsid w:val="7C4D7573"/>
    <w:rsid w:val="7C5467C8"/>
    <w:rsid w:val="7C547A9D"/>
    <w:rsid w:val="7C5864DF"/>
    <w:rsid w:val="7C5C21A3"/>
    <w:rsid w:val="7C6663E4"/>
    <w:rsid w:val="7C6B1DDB"/>
    <w:rsid w:val="7C703E4C"/>
    <w:rsid w:val="7C763694"/>
    <w:rsid w:val="7C763AC2"/>
    <w:rsid w:val="7C765BD0"/>
    <w:rsid w:val="7C7E3558"/>
    <w:rsid w:val="7C850C0D"/>
    <w:rsid w:val="7C853DD9"/>
    <w:rsid w:val="7C890C06"/>
    <w:rsid w:val="7C8C42C4"/>
    <w:rsid w:val="7C970B3B"/>
    <w:rsid w:val="7C971AF1"/>
    <w:rsid w:val="7C9A6051"/>
    <w:rsid w:val="7CA002F6"/>
    <w:rsid w:val="7CA06734"/>
    <w:rsid w:val="7CA133C5"/>
    <w:rsid w:val="7CAC1EC7"/>
    <w:rsid w:val="7CAD0988"/>
    <w:rsid w:val="7CAF52F6"/>
    <w:rsid w:val="7CB37A9D"/>
    <w:rsid w:val="7CB4579B"/>
    <w:rsid w:val="7CB61C5E"/>
    <w:rsid w:val="7CC2164B"/>
    <w:rsid w:val="7CC34846"/>
    <w:rsid w:val="7CC43CBF"/>
    <w:rsid w:val="7CC92C27"/>
    <w:rsid w:val="7CCB406F"/>
    <w:rsid w:val="7CCD7CE9"/>
    <w:rsid w:val="7CD343DE"/>
    <w:rsid w:val="7CD602FC"/>
    <w:rsid w:val="7CEB2E62"/>
    <w:rsid w:val="7CEB4184"/>
    <w:rsid w:val="7CF54DC1"/>
    <w:rsid w:val="7CF94D52"/>
    <w:rsid w:val="7D0237AD"/>
    <w:rsid w:val="7D196B09"/>
    <w:rsid w:val="7D233F26"/>
    <w:rsid w:val="7D252FA9"/>
    <w:rsid w:val="7D2A6766"/>
    <w:rsid w:val="7D2F79FA"/>
    <w:rsid w:val="7D30264B"/>
    <w:rsid w:val="7D336A5E"/>
    <w:rsid w:val="7D3D7317"/>
    <w:rsid w:val="7D4738A3"/>
    <w:rsid w:val="7D5859CE"/>
    <w:rsid w:val="7D590360"/>
    <w:rsid w:val="7D5D41FF"/>
    <w:rsid w:val="7D5D5878"/>
    <w:rsid w:val="7D5F3CB9"/>
    <w:rsid w:val="7D5F76E5"/>
    <w:rsid w:val="7D617143"/>
    <w:rsid w:val="7D622729"/>
    <w:rsid w:val="7D662D01"/>
    <w:rsid w:val="7D677152"/>
    <w:rsid w:val="7D6E78A1"/>
    <w:rsid w:val="7D6F7F07"/>
    <w:rsid w:val="7D772A62"/>
    <w:rsid w:val="7D776E64"/>
    <w:rsid w:val="7D7A1CD7"/>
    <w:rsid w:val="7D835492"/>
    <w:rsid w:val="7D8D4816"/>
    <w:rsid w:val="7D8E0D68"/>
    <w:rsid w:val="7D91243B"/>
    <w:rsid w:val="7D92488D"/>
    <w:rsid w:val="7D9A7C56"/>
    <w:rsid w:val="7DA05396"/>
    <w:rsid w:val="7DB64937"/>
    <w:rsid w:val="7DB8562D"/>
    <w:rsid w:val="7DBB2F1C"/>
    <w:rsid w:val="7DC15A63"/>
    <w:rsid w:val="7DC775CC"/>
    <w:rsid w:val="7DCC2DBF"/>
    <w:rsid w:val="7DD20414"/>
    <w:rsid w:val="7DD315B8"/>
    <w:rsid w:val="7DD4416F"/>
    <w:rsid w:val="7DDB25DB"/>
    <w:rsid w:val="7DDC6E19"/>
    <w:rsid w:val="7DE175EB"/>
    <w:rsid w:val="7DEB104A"/>
    <w:rsid w:val="7DED5942"/>
    <w:rsid w:val="7DED6191"/>
    <w:rsid w:val="7DFF4815"/>
    <w:rsid w:val="7E035CE4"/>
    <w:rsid w:val="7E0361E9"/>
    <w:rsid w:val="7E0658A7"/>
    <w:rsid w:val="7E076C48"/>
    <w:rsid w:val="7E0928BD"/>
    <w:rsid w:val="7E150DF5"/>
    <w:rsid w:val="7E183E99"/>
    <w:rsid w:val="7E212B56"/>
    <w:rsid w:val="7E26776A"/>
    <w:rsid w:val="7E310DEF"/>
    <w:rsid w:val="7E313157"/>
    <w:rsid w:val="7E322E49"/>
    <w:rsid w:val="7E351D38"/>
    <w:rsid w:val="7E3B425F"/>
    <w:rsid w:val="7E3C139E"/>
    <w:rsid w:val="7E4032F9"/>
    <w:rsid w:val="7E426F48"/>
    <w:rsid w:val="7E431AF9"/>
    <w:rsid w:val="7E4911E4"/>
    <w:rsid w:val="7E4E301E"/>
    <w:rsid w:val="7E502D52"/>
    <w:rsid w:val="7E507403"/>
    <w:rsid w:val="7E576F29"/>
    <w:rsid w:val="7E6075F8"/>
    <w:rsid w:val="7E6378C5"/>
    <w:rsid w:val="7E685633"/>
    <w:rsid w:val="7E694E9F"/>
    <w:rsid w:val="7E6D2D89"/>
    <w:rsid w:val="7E6D67BD"/>
    <w:rsid w:val="7E7346FD"/>
    <w:rsid w:val="7E7A6A7E"/>
    <w:rsid w:val="7E84745C"/>
    <w:rsid w:val="7E9401B7"/>
    <w:rsid w:val="7E9405AB"/>
    <w:rsid w:val="7E9A50C4"/>
    <w:rsid w:val="7EAB6534"/>
    <w:rsid w:val="7EAD3CC8"/>
    <w:rsid w:val="7EB01068"/>
    <w:rsid w:val="7EB31E06"/>
    <w:rsid w:val="7EB42462"/>
    <w:rsid w:val="7EB70E84"/>
    <w:rsid w:val="7EBA661A"/>
    <w:rsid w:val="7EBF7900"/>
    <w:rsid w:val="7EC0062C"/>
    <w:rsid w:val="7EC14483"/>
    <w:rsid w:val="7EC63A59"/>
    <w:rsid w:val="7EC7091A"/>
    <w:rsid w:val="7ECD26F4"/>
    <w:rsid w:val="7ECD54C6"/>
    <w:rsid w:val="7ECF45EF"/>
    <w:rsid w:val="7ED05469"/>
    <w:rsid w:val="7ED218FC"/>
    <w:rsid w:val="7EDC0FC4"/>
    <w:rsid w:val="7EDE7408"/>
    <w:rsid w:val="7EE14966"/>
    <w:rsid w:val="7EE4228E"/>
    <w:rsid w:val="7EE76BAB"/>
    <w:rsid w:val="7EF60AEA"/>
    <w:rsid w:val="7EF65ED3"/>
    <w:rsid w:val="7EF93823"/>
    <w:rsid w:val="7EF95AA8"/>
    <w:rsid w:val="7EFA693A"/>
    <w:rsid w:val="7F0457C7"/>
    <w:rsid w:val="7F0A7652"/>
    <w:rsid w:val="7F10367B"/>
    <w:rsid w:val="7F133F17"/>
    <w:rsid w:val="7F180A0C"/>
    <w:rsid w:val="7F1D6E6B"/>
    <w:rsid w:val="7F206627"/>
    <w:rsid w:val="7F215C7B"/>
    <w:rsid w:val="7F2577B9"/>
    <w:rsid w:val="7F2A2B43"/>
    <w:rsid w:val="7F2F6F1D"/>
    <w:rsid w:val="7F300A11"/>
    <w:rsid w:val="7F306BEE"/>
    <w:rsid w:val="7F3B5B2C"/>
    <w:rsid w:val="7F3C2878"/>
    <w:rsid w:val="7F4210FE"/>
    <w:rsid w:val="7F441D49"/>
    <w:rsid w:val="7F476D99"/>
    <w:rsid w:val="7F4A63CD"/>
    <w:rsid w:val="7F4C5789"/>
    <w:rsid w:val="7F54557D"/>
    <w:rsid w:val="7F5E7DD4"/>
    <w:rsid w:val="7F6129B6"/>
    <w:rsid w:val="7F6571F6"/>
    <w:rsid w:val="7F6C4A93"/>
    <w:rsid w:val="7F745A28"/>
    <w:rsid w:val="7F757A5F"/>
    <w:rsid w:val="7F77100A"/>
    <w:rsid w:val="7F7C398A"/>
    <w:rsid w:val="7F7F4407"/>
    <w:rsid w:val="7F834F8B"/>
    <w:rsid w:val="7F8576A3"/>
    <w:rsid w:val="7F870583"/>
    <w:rsid w:val="7F9D6595"/>
    <w:rsid w:val="7FA16921"/>
    <w:rsid w:val="7FA2162A"/>
    <w:rsid w:val="7FA47246"/>
    <w:rsid w:val="7FA9064A"/>
    <w:rsid w:val="7FAC0710"/>
    <w:rsid w:val="7FAD2C01"/>
    <w:rsid w:val="7FB65376"/>
    <w:rsid w:val="7FBA70CF"/>
    <w:rsid w:val="7FBE0BF3"/>
    <w:rsid w:val="7FBF4B2C"/>
    <w:rsid w:val="7FC118D4"/>
    <w:rsid w:val="7FC11DA2"/>
    <w:rsid w:val="7FCF55EE"/>
    <w:rsid w:val="7FDE69C3"/>
    <w:rsid w:val="7FE050BD"/>
    <w:rsid w:val="7FEB0D0C"/>
    <w:rsid w:val="7FEC5B40"/>
    <w:rsid w:val="7FED028D"/>
    <w:rsid w:val="7FF30F5D"/>
    <w:rsid w:val="7FF401CB"/>
    <w:rsid w:val="7FF7042A"/>
    <w:rsid w:val="7FF7668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3"/>
      <o:rules v:ext="edit">
        <o:r id="V:Rule1" type="connector" idref="#直接箭头连接符 695"/>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1" w:semiHidden="0" w:name="toc 1"/>
    <w:lsdException w:qFormat="1" w:unhideWhenUsed="0" w:uiPriority="1"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qFormat="1" w:unhideWhenUsed="0" w:uiPriority="0" w:semiHidden="0"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1"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semiHidden="0" w:name="Body Text First Indent"/>
    <w:lsdException w:uiPriority="99" w:name="Body Text First Indent 2"/>
    <w:lsdException w:qFormat="1" w:uiPriority="99" w:semiHidden="0" w:name="Note Heading"/>
    <w:lsdException w:uiPriority="99" w:name="Body Text 2"/>
    <w:lsdException w:uiPriority="99" w:name="Body Text 3"/>
    <w:lsdException w:uiPriority="99" w:name="Body Text Indent 2"/>
    <w:lsdException w:qFormat="1" w:unhideWhenUsed="0" w:uiPriority="0" w:semiHidden="0"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iPriority="99"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nhideWhenUsed="0" w:uiPriority="99" w:semiHidden="0" w:name="Table Web 3"/>
    <w:lsdException w:qFormat="1" w:uiPriority="99" w:semiHidden="0" w:name="Balloon Text"/>
    <w:lsdException w:qFormat="1" w:unhideWhenUsed="0" w:uiPriority="39" w:semiHidden="0" w:name="Table Grid"/>
    <w:lsdException w:unhideWhenUsed="0" w:uiPriority="99"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utoSpaceDE w:val="0"/>
      <w:autoSpaceDN w:val="0"/>
    </w:pPr>
    <w:rPr>
      <w:rFonts w:ascii="宋体" w:hAnsi="宋体" w:eastAsia="宋体" w:cs="宋体"/>
      <w:sz w:val="22"/>
      <w:szCs w:val="22"/>
      <w:lang w:val="zh-CN" w:eastAsia="zh-CN" w:bidi="zh-CN"/>
    </w:rPr>
  </w:style>
  <w:style w:type="paragraph" w:styleId="3">
    <w:name w:val="heading 1"/>
    <w:basedOn w:val="1"/>
    <w:next w:val="1"/>
    <w:link w:val="35"/>
    <w:qFormat/>
    <w:uiPriority w:val="9"/>
    <w:pPr>
      <w:ind w:hanging="802"/>
      <w:outlineLvl w:val="0"/>
    </w:pPr>
    <w:rPr>
      <w:b/>
      <w:bCs/>
      <w:sz w:val="32"/>
      <w:szCs w:val="32"/>
    </w:rPr>
  </w:style>
  <w:style w:type="paragraph" w:styleId="4">
    <w:name w:val="heading 2"/>
    <w:basedOn w:val="1"/>
    <w:next w:val="1"/>
    <w:link w:val="45"/>
    <w:unhideWhenUsed/>
    <w:qFormat/>
    <w:uiPriority w:val="9"/>
    <w:pPr>
      <w:ind w:hanging="559"/>
      <w:outlineLvl w:val="1"/>
    </w:pPr>
    <w:rPr>
      <w:rFonts w:ascii="楷体" w:hAnsi="楷体" w:eastAsia="楷体" w:cs="楷体"/>
      <w:sz w:val="32"/>
      <w:szCs w:val="32"/>
    </w:rPr>
  </w:style>
  <w:style w:type="paragraph" w:styleId="5">
    <w:name w:val="heading 3"/>
    <w:basedOn w:val="1"/>
    <w:next w:val="1"/>
    <w:link w:val="43"/>
    <w:unhideWhenUsed/>
    <w:qFormat/>
    <w:uiPriority w:val="9"/>
    <w:pPr>
      <w:keepNext/>
      <w:keepLines/>
      <w:spacing w:before="260" w:after="260" w:line="416" w:lineRule="auto"/>
      <w:outlineLvl w:val="2"/>
    </w:pPr>
    <w:rPr>
      <w:b/>
      <w:bCs/>
      <w:sz w:val="32"/>
      <w:szCs w:val="32"/>
    </w:rPr>
  </w:style>
  <w:style w:type="character" w:default="1" w:styleId="31">
    <w:name w:val="Default Paragraph Font"/>
    <w:unhideWhenUsed/>
    <w:qFormat/>
    <w:uiPriority w:val="1"/>
  </w:style>
  <w:style w:type="table" w:default="1" w:styleId="29">
    <w:name w:val="Normal Table"/>
    <w:unhideWhenUsed/>
    <w:qFormat/>
    <w:uiPriority w:val="99"/>
    <w:pPr>
      <w:keepNext w:val="0"/>
      <w:keepLines w:val="0"/>
      <w:widowControl/>
      <w:suppressLineNumbers w:val="0"/>
      <w:spacing w:before="0" w:beforeAutospacing="0" w:after="0" w:afterAutospacing="0"/>
      <w:ind w:left="0" w:right="0"/>
    </w:pPr>
    <w:rPr>
      <w:rFonts w:hint="default" w:ascii="Calibri" w:hAnsi="Calibri" w:cs="Calibri"/>
      <w:sz w:val="20"/>
      <w:szCs w:val="20"/>
    </w:rPr>
    <w:tblPr>
      <w:tblCellMar>
        <w:top w:w="0" w:type="dxa"/>
        <w:left w:w="108" w:type="dxa"/>
        <w:bottom w:w="0" w:type="dxa"/>
        <w:right w:w="108" w:type="dxa"/>
      </w:tblCellMar>
    </w:tblPr>
  </w:style>
  <w:style w:type="paragraph" w:customStyle="1" w:styleId="2">
    <w:name w:val="Default"/>
    <w:next w:val="1"/>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styleId="6">
    <w:name w:val="toc 7"/>
    <w:basedOn w:val="1"/>
    <w:next w:val="1"/>
    <w:unhideWhenUsed/>
    <w:qFormat/>
    <w:uiPriority w:val="39"/>
    <w:pPr>
      <w:ind w:left="2520" w:leftChars="1200"/>
    </w:pPr>
  </w:style>
  <w:style w:type="paragraph" w:styleId="7">
    <w:name w:val="Note Heading"/>
    <w:basedOn w:val="1"/>
    <w:next w:val="1"/>
    <w:unhideWhenUsed/>
    <w:qFormat/>
    <w:uiPriority w:val="99"/>
    <w:pPr>
      <w:jc w:val="center"/>
    </w:pPr>
    <w:rPr>
      <w:rFonts w:ascii="宋体"/>
      <w:szCs w:val="20"/>
    </w:rPr>
  </w:style>
  <w:style w:type="paragraph" w:styleId="8">
    <w:name w:val="Document Map"/>
    <w:basedOn w:val="1"/>
    <w:link w:val="65"/>
    <w:unhideWhenUsed/>
    <w:qFormat/>
    <w:uiPriority w:val="99"/>
    <w:rPr>
      <w:sz w:val="18"/>
      <w:szCs w:val="18"/>
    </w:rPr>
  </w:style>
  <w:style w:type="paragraph" w:styleId="9">
    <w:name w:val="toa heading"/>
    <w:basedOn w:val="1"/>
    <w:next w:val="1"/>
    <w:qFormat/>
    <w:uiPriority w:val="0"/>
    <w:pPr>
      <w:spacing w:before="120"/>
    </w:pPr>
    <w:rPr>
      <w:rFonts w:ascii="Arial" w:hAnsi="Arial" w:cs="Arial"/>
    </w:rPr>
  </w:style>
  <w:style w:type="paragraph" w:styleId="10">
    <w:name w:val="annotation text"/>
    <w:basedOn w:val="1"/>
    <w:link w:val="64"/>
    <w:unhideWhenUsed/>
    <w:qFormat/>
    <w:uiPriority w:val="99"/>
    <w:rPr>
      <w:rFonts w:ascii="Times New Roman" w:hAnsi="Times New Roman" w:cs="Times New Roman"/>
      <w:kern w:val="2"/>
      <w:sz w:val="24"/>
      <w:szCs w:val="24"/>
      <w:lang w:val="en-US" w:bidi="ar-SA"/>
    </w:rPr>
  </w:style>
  <w:style w:type="paragraph" w:styleId="11">
    <w:name w:val="Body Text"/>
    <w:basedOn w:val="1"/>
    <w:next w:val="1"/>
    <w:link w:val="41"/>
    <w:qFormat/>
    <w:uiPriority w:val="1"/>
    <w:rPr>
      <w:sz w:val="28"/>
      <w:szCs w:val="28"/>
    </w:rPr>
  </w:style>
  <w:style w:type="paragraph" w:styleId="12">
    <w:name w:val="Body Text Indent"/>
    <w:basedOn w:val="1"/>
    <w:link w:val="66"/>
    <w:unhideWhenUsed/>
    <w:qFormat/>
    <w:uiPriority w:val="99"/>
    <w:pPr>
      <w:keepNext w:val="0"/>
      <w:keepLines w:val="0"/>
      <w:widowControl w:val="0"/>
      <w:suppressLineNumbers w:val="0"/>
      <w:spacing w:before="0" w:beforeAutospacing="0" w:after="0" w:afterAutospacing="0" w:line="480" w:lineRule="auto"/>
      <w:ind w:left="0" w:right="0" w:firstLine="560" w:firstLineChars="200"/>
      <w:jc w:val="both"/>
    </w:pPr>
    <w:rPr>
      <w:rFonts w:hint="default" w:ascii="Calibri" w:hAnsi="Calibri" w:eastAsia="宋体" w:cs="Times New Roman"/>
      <w:kern w:val="2"/>
      <w:sz w:val="28"/>
      <w:szCs w:val="24"/>
      <w:lang w:val="en-US" w:eastAsia="zh-CN" w:bidi="ar"/>
    </w:rPr>
  </w:style>
  <w:style w:type="paragraph" w:styleId="13">
    <w:name w:val="toc 5"/>
    <w:basedOn w:val="1"/>
    <w:next w:val="1"/>
    <w:unhideWhenUsed/>
    <w:qFormat/>
    <w:uiPriority w:val="39"/>
    <w:pPr>
      <w:ind w:left="1680" w:leftChars="800"/>
    </w:pPr>
  </w:style>
  <w:style w:type="paragraph" w:styleId="14">
    <w:name w:val="toc 3"/>
    <w:basedOn w:val="1"/>
    <w:next w:val="1"/>
    <w:unhideWhenUsed/>
    <w:qFormat/>
    <w:uiPriority w:val="39"/>
    <w:pPr>
      <w:ind w:left="840" w:leftChars="400"/>
    </w:pPr>
  </w:style>
  <w:style w:type="paragraph" w:styleId="15">
    <w:name w:val="Plain Text"/>
    <w:basedOn w:val="1"/>
    <w:qFormat/>
    <w:uiPriority w:val="0"/>
    <w:rPr>
      <w:rFonts w:hint="eastAsia" w:hAnsi="Courier New" w:cs="Courier New"/>
      <w:szCs w:val="21"/>
    </w:rPr>
  </w:style>
  <w:style w:type="paragraph" w:styleId="16">
    <w:name w:val="toc 8"/>
    <w:basedOn w:val="1"/>
    <w:next w:val="1"/>
    <w:unhideWhenUsed/>
    <w:qFormat/>
    <w:uiPriority w:val="39"/>
    <w:pPr>
      <w:ind w:left="2940" w:leftChars="1400"/>
    </w:pPr>
  </w:style>
  <w:style w:type="paragraph" w:styleId="17">
    <w:name w:val="Balloon Text"/>
    <w:basedOn w:val="1"/>
    <w:link w:val="48"/>
    <w:unhideWhenUsed/>
    <w:qFormat/>
    <w:uiPriority w:val="99"/>
    <w:rPr>
      <w:sz w:val="18"/>
      <w:szCs w:val="18"/>
    </w:rPr>
  </w:style>
  <w:style w:type="paragraph" w:styleId="18">
    <w:name w:val="footer"/>
    <w:basedOn w:val="1"/>
    <w:link w:val="40"/>
    <w:unhideWhenUsed/>
    <w:qFormat/>
    <w:uiPriority w:val="99"/>
    <w:pPr>
      <w:tabs>
        <w:tab w:val="center" w:pos="4153"/>
        <w:tab w:val="right" w:pos="8306"/>
      </w:tabs>
      <w:snapToGrid w:val="0"/>
    </w:pPr>
    <w:rPr>
      <w:sz w:val="18"/>
      <w:szCs w:val="18"/>
    </w:rPr>
  </w:style>
  <w:style w:type="paragraph" w:styleId="19">
    <w:name w:val="header"/>
    <w:basedOn w:val="1"/>
    <w:link w:val="39"/>
    <w:unhideWhenUsed/>
    <w:qFormat/>
    <w:uiPriority w:val="99"/>
    <w:pPr>
      <w:pBdr>
        <w:bottom w:val="single" w:color="auto" w:sz="6" w:space="1"/>
      </w:pBdr>
      <w:tabs>
        <w:tab w:val="center" w:pos="4153"/>
        <w:tab w:val="right" w:pos="8306"/>
      </w:tabs>
      <w:snapToGrid w:val="0"/>
      <w:jc w:val="center"/>
    </w:pPr>
    <w:rPr>
      <w:sz w:val="18"/>
      <w:szCs w:val="18"/>
    </w:rPr>
  </w:style>
  <w:style w:type="paragraph" w:styleId="20">
    <w:name w:val="toc 1"/>
    <w:basedOn w:val="1"/>
    <w:next w:val="1"/>
    <w:qFormat/>
    <w:uiPriority w:val="1"/>
  </w:style>
  <w:style w:type="paragraph" w:styleId="21">
    <w:name w:val="toc 4"/>
    <w:basedOn w:val="1"/>
    <w:next w:val="1"/>
    <w:unhideWhenUsed/>
    <w:qFormat/>
    <w:uiPriority w:val="39"/>
    <w:pPr>
      <w:ind w:left="1260" w:leftChars="600"/>
    </w:pPr>
  </w:style>
  <w:style w:type="paragraph" w:styleId="22">
    <w:name w:val="toc 6"/>
    <w:basedOn w:val="1"/>
    <w:next w:val="1"/>
    <w:unhideWhenUsed/>
    <w:qFormat/>
    <w:uiPriority w:val="39"/>
    <w:pPr>
      <w:ind w:left="2100" w:leftChars="1000"/>
    </w:pPr>
  </w:style>
  <w:style w:type="paragraph" w:styleId="23">
    <w:name w:val="Body Text Indent 3"/>
    <w:basedOn w:val="1"/>
    <w:qFormat/>
    <w:uiPriority w:val="0"/>
    <w:pPr>
      <w:spacing w:after="120"/>
      <w:ind w:left="420" w:leftChars="200"/>
    </w:pPr>
    <w:rPr>
      <w:sz w:val="16"/>
      <w:szCs w:val="16"/>
    </w:rPr>
  </w:style>
  <w:style w:type="paragraph" w:styleId="24">
    <w:name w:val="toc 2"/>
    <w:basedOn w:val="1"/>
    <w:next w:val="1"/>
    <w:qFormat/>
    <w:uiPriority w:val="1"/>
    <w:pPr>
      <w:ind w:left="420" w:leftChars="200"/>
    </w:pPr>
  </w:style>
  <w:style w:type="paragraph" w:styleId="25">
    <w:name w:val="toc 9"/>
    <w:basedOn w:val="1"/>
    <w:next w:val="1"/>
    <w:unhideWhenUsed/>
    <w:qFormat/>
    <w:uiPriority w:val="39"/>
    <w:pPr>
      <w:ind w:left="3360" w:leftChars="1600"/>
    </w:pPr>
  </w:style>
  <w:style w:type="paragraph" w:styleId="26">
    <w:name w:val="Normal (Web)"/>
    <w:basedOn w:val="1"/>
    <w:unhideWhenUsed/>
    <w:qFormat/>
    <w:uiPriority w:val="99"/>
    <w:pPr>
      <w:widowControl/>
      <w:spacing w:beforeAutospacing="1" w:afterAutospacing="1"/>
    </w:pPr>
    <w:rPr>
      <w:rFonts w:cs="Times New Roman"/>
      <w:sz w:val="24"/>
      <w:lang w:val="en-US" w:bidi="ar-SA"/>
    </w:rPr>
  </w:style>
  <w:style w:type="paragraph" w:styleId="27">
    <w:name w:val="annotation subject"/>
    <w:basedOn w:val="10"/>
    <w:next w:val="10"/>
    <w:link w:val="47"/>
    <w:unhideWhenUsed/>
    <w:qFormat/>
    <w:uiPriority w:val="99"/>
    <w:rPr>
      <w:b/>
      <w:bCs/>
    </w:rPr>
  </w:style>
  <w:style w:type="paragraph" w:styleId="28">
    <w:name w:val="Body Text First Indent"/>
    <w:basedOn w:val="11"/>
    <w:unhideWhenUsed/>
    <w:qFormat/>
    <w:uiPriority w:val="99"/>
    <w:pPr>
      <w:ind w:firstLine="420" w:firstLineChars="100"/>
    </w:pPr>
  </w:style>
  <w:style w:type="table" w:styleId="30">
    <w:name w:val="Table Grid"/>
    <w:basedOn w:val="29"/>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2">
    <w:name w:val="Strong"/>
    <w:basedOn w:val="31"/>
    <w:qFormat/>
    <w:uiPriority w:val="22"/>
    <w:rPr>
      <w:b/>
    </w:rPr>
  </w:style>
  <w:style w:type="character" w:styleId="33">
    <w:name w:val="Emphasis"/>
    <w:basedOn w:val="31"/>
    <w:qFormat/>
    <w:uiPriority w:val="20"/>
    <w:rPr>
      <w:i/>
    </w:rPr>
  </w:style>
  <w:style w:type="character" w:styleId="34">
    <w:name w:val="annotation reference"/>
    <w:basedOn w:val="31"/>
    <w:unhideWhenUsed/>
    <w:qFormat/>
    <w:uiPriority w:val="99"/>
    <w:rPr>
      <w:sz w:val="21"/>
      <w:szCs w:val="21"/>
    </w:rPr>
  </w:style>
  <w:style w:type="character" w:customStyle="1" w:styleId="35">
    <w:name w:val="标题 1 Char"/>
    <w:basedOn w:val="31"/>
    <w:link w:val="3"/>
    <w:qFormat/>
    <w:uiPriority w:val="9"/>
    <w:rPr>
      <w:rFonts w:ascii="宋体" w:hAnsi="宋体" w:eastAsia="宋体" w:cs="宋体"/>
      <w:b/>
      <w:bCs/>
      <w:sz w:val="32"/>
      <w:szCs w:val="32"/>
      <w:lang w:val="zh-CN" w:bidi="zh-CN"/>
    </w:rPr>
  </w:style>
  <w:style w:type="table" w:customStyle="1" w:styleId="36">
    <w:name w:val="Table Normal"/>
    <w:basedOn w:val="29"/>
    <w:unhideWhenUsed/>
    <w:qFormat/>
    <w:uiPriority w:val="2"/>
    <w:tblPr>
      <w:tblCellMar>
        <w:top w:w="0" w:type="dxa"/>
        <w:left w:w="0" w:type="dxa"/>
        <w:bottom w:w="0" w:type="dxa"/>
        <w:right w:w="0" w:type="dxa"/>
      </w:tblCellMar>
    </w:tblPr>
  </w:style>
  <w:style w:type="paragraph" w:customStyle="1" w:styleId="37">
    <w:name w:val="List Paragraph"/>
    <w:basedOn w:val="1"/>
    <w:qFormat/>
    <w:uiPriority w:val="1"/>
    <w:pPr>
      <w:ind w:left="1706" w:hanging="704"/>
    </w:pPr>
  </w:style>
  <w:style w:type="paragraph" w:customStyle="1" w:styleId="38">
    <w:name w:val="Table Paragraph"/>
    <w:basedOn w:val="1"/>
    <w:qFormat/>
    <w:uiPriority w:val="1"/>
  </w:style>
  <w:style w:type="character" w:customStyle="1" w:styleId="39">
    <w:name w:val="页眉 Char"/>
    <w:basedOn w:val="31"/>
    <w:link w:val="19"/>
    <w:qFormat/>
    <w:uiPriority w:val="99"/>
    <w:rPr>
      <w:rFonts w:ascii="宋体" w:hAnsi="宋体" w:eastAsia="宋体" w:cs="宋体"/>
      <w:sz w:val="18"/>
      <w:szCs w:val="18"/>
      <w:lang w:val="zh-CN" w:eastAsia="zh-CN" w:bidi="zh-CN"/>
    </w:rPr>
  </w:style>
  <w:style w:type="character" w:customStyle="1" w:styleId="40">
    <w:name w:val="页脚 Char"/>
    <w:basedOn w:val="31"/>
    <w:link w:val="18"/>
    <w:qFormat/>
    <w:uiPriority w:val="99"/>
    <w:rPr>
      <w:rFonts w:ascii="宋体" w:hAnsi="宋体" w:eastAsia="宋体" w:cs="宋体"/>
      <w:sz w:val="18"/>
      <w:szCs w:val="18"/>
      <w:lang w:val="zh-CN" w:eastAsia="zh-CN" w:bidi="zh-CN"/>
    </w:rPr>
  </w:style>
  <w:style w:type="character" w:customStyle="1" w:styleId="41">
    <w:name w:val="正文文本 Char"/>
    <w:basedOn w:val="31"/>
    <w:link w:val="11"/>
    <w:qFormat/>
    <w:uiPriority w:val="1"/>
    <w:rPr>
      <w:rFonts w:ascii="宋体" w:hAnsi="宋体" w:eastAsia="宋体" w:cs="宋体"/>
      <w:sz w:val="28"/>
      <w:szCs w:val="28"/>
      <w:lang w:val="zh-CN" w:eastAsia="zh-CN" w:bidi="zh-CN"/>
    </w:rPr>
  </w:style>
  <w:style w:type="paragraph" w:customStyle="1" w:styleId="42">
    <w:name w:val="xl51"/>
    <w:basedOn w:val="1"/>
    <w:qFormat/>
    <w:uiPriority w:val="0"/>
    <w:pPr>
      <w:widowControl/>
      <w:autoSpaceDE/>
      <w:autoSpaceDN/>
      <w:spacing w:before="100" w:beforeAutospacing="1" w:after="100" w:afterAutospacing="1"/>
      <w:jc w:val="center"/>
    </w:pPr>
    <w:rPr>
      <w:rFonts w:hint="eastAsia" w:ascii="仿宋_GB2312" w:eastAsia="仿宋_GB2312" w:cs="Times New Roman"/>
      <w:b/>
      <w:bCs/>
      <w:sz w:val="32"/>
      <w:szCs w:val="32"/>
      <w:lang w:val="en-US" w:bidi="ar-SA"/>
    </w:rPr>
  </w:style>
  <w:style w:type="character" w:customStyle="1" w:styleId="43">
    <w:name w:val="标题 3 Char"/>
    <w:basedOn w:val="31"/>
    <w:link w:val="5"/>
    <w:qFormat/>
    <w:uiPriority w:val="9"/>
    <w:rPr>
      <w:rFonts w:ascii="宋体" w:hAnsi="宋体" w:eastAsia="宋体" w:cs="宋体"/>
      <w:b/>
      <w:bCs/>
      <w:sz w:val="32"/>
      <w:szCs w:val="32"/>
      <w:lang w:val="zh-CN" w:bidi="zh-CN"/>
    </w:rPr>
  </w:style>
  <w:style w:type="character" w:customStyle="1" w:styleId="44">
    <w:name w:val="style311"/>
    <w:qFormat/>
    <w:uiPriority w:val="0"/>
    <w:rPr>
      <w:b/>
      <w:bCs/>
      <w:color w:val="000000"/>
      <w:sz w:val="18"/>
      <w:szCs w:val="18"/>
    </w:rPr>
  </w:style>
  <w:style w:type="character" w:customStyle="1" w:styleId="45">
    <w:name w:val="标题 2 Char"/>
    <w:basedOn w:val="31"/>
    <w:link w:val="4"/>
    <w:qFormat/>
    <w:uiPriority w:val="9"/>
    <w:rPr>
      <w:rFonts w:ascii="楷体" w:hAnsi="楷体" w:eastAsia="楷体" w:cs="楷体"/>
      <w:sz w:val="32"/>
      <w:szCs w:val="32"/>
      <w:lang w:val="zh-CN" w:bidi="zh-CN"/>
    </w:rPr>
  </w:style>
  <w:style w:type="character" w:customStyle="1" w:styleId="46">
    <w:name w:val="批注文字 字符"/>
    <w:basedOn w:val="31"/>
    <w:semiHidden/>
    <w:qFormat/>
    <w:uiPriority w:val="99"/>
    <w:rPr>
      <w:rFonts w:ascii="宋体" w:hAnsi="宋体" w:eastAsia="宋体" w:cs="宋体"/>
      <w:sz w:val="22"/>
      <w:szCs w:val="22"/>
      <w:lang w:val="zh-CN" w:bidi="zh-CN"/>
    </w:rPr>
  </w:style>
  <w:style w:type="character" w:customStyle="1" w:styleId="47">
    <w:name w:val="批注主题 Char"/>
    <w:basedOn w:val="46"/>
    <w:link w:val="27"/>
    <w:semiHidden/>
    <w:qFormat/>
    <w:uiPriority w:val="99"/>
    <w:rPr>
      <w:rFonts w:ascii="宋体" w:hAnsi="宋体" w:eastAsia="宋体" w:cs="宋体"/>
      <w:b/>
      <w:bCs/>
      <w:sz w:val="22"/>
      <w:szCs w:val="22"/>
      <w:lang w:val="zh-CN" w:bidi="zh-CN"/>
    </w:rPr>
  </w:style>
  <w:style w:type="character" w:customStyle="1" w:styleId="48">
    <w:name w:val="批注框文本 Char"/>
    <w:basedOn w:val="31"/>
    <w:link w:val="17"/>
    <w:semiHidden/>
    <w:qFormat/>
    <w:uiPriority w:val="99"/>
    <w:rPr>
      <w:rFonts w:ascii="宋体" w:hAnsi="宋体" w:eastAsia="宋体" w:cs="宋体"/>
      <w:sz w:val="18"/>
      <w:szCs w:val="18"/>
      <w:lang w:val="zh-CN" w:bidi="zh-CN"/>
    </w:rPr>
  </w:style>
  <w:style w:type="paragraph" w:customStyle="1" w:styleId="49">
    <w:name w:val="xl33"/>
    <w:basedOn w:val="1"/>
    <w:qFormat/>
    <w:uiPriority w:val="0"/>
    <w:pPr>
      <w:widowControl/>
      <w:pBdr>
        <w:left w:val="single" w:color="auto" w:sz="4" w:space="0"/>
        <w:right w:val="single" w:color="auto" w:sz="4" w:space="0"/>
      </w:pBdr>
      <w:spacing w:before="100" w:beforeAutospacing="1" w:after="100" w:afterAutospacing="1"/>
      <w:jc w:val="center"/>
    </w:pPr>
    <w:rPr>
      <w:sz w:val="24"/>
    </w:rPr>
  </w:style>
  <w:style w:type="paragraph" w:customStyle="1" w:styleId="50">
    <w:name w:val="zw"/>
    <w:basedOn w:val="1"/>
    <w:qFormat/>
    <w:uiPriority w:val="0"/>
    <w:pPr>
      <w:widowControl/>
      <w:spacing w:before="100" w:beforeAutospacing="1" w:after="100" w:afterAutospacing="1" w:line="440" w:lineRule="atLeast"/>
    </w:pPr>
  </w:style>
  <w:style w:type="character" w:customStyle="1" w:styleId="51">
    <w:name w:val="zw1"/>
    <w:qFormat/>
    <w:uiPriority w:val="0"/>
    <w:rPr>
      <w:rFonts w:hint="eastAsia" w:ascii="宋体" w:hAnsi="宋体" w:eastAsia="宋体"/>
      <w:sz w:val="22"/>
      <w:szCs w:val="22"/>
    </w:rPr>
  </w:style>
  <w:style w:type="paragraph" w:customStyle="1" w:styleId="52">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53">
    <w:name w:val="BIG BOLD"/>
    <w:basedOn w:val="1"/>
    <w:qFormat/>
    <w:uiPriority w:val="0"/>
    <w:pPr>
      <w:tabs>
        <w:tab w:val="left" w:leader="underscore" w:pos="1134"/>
      </w:tabs>
    </w:pPr>
    <w:rPr>
      <w:szCs w:val="20"/>
    </w:rPr>
  </w:style>
  <w:style w:type="paragraph" w:customStyle="1" w:styleId="54">
    <w:name w:val="简单回函地址"/>
    <w:basedOn w:val="1"/>
    <w:qFormat/>
    <w:uiPriority w:val="0"/>
  </w:style>
  <w:style w:type="paragraph" w:customStyle="1" w:styleId="55">
    <w:name w:val="样式 (西文) Times New Roman 四号 首行缩进:  2 字符"/>
    <w:basedOn w:val="1"/>
    <w:qFormat/>
    <w:uiPriority w:val="0"/>
    <w:pPr>
      <w:ind w:firstLine="560" w:firstLineChars="200"/>
    </w:pPr>
    <w:rPr>
      <w:rFonts w:hAnsi="Calibri"/>
      <w:sz w:val="28"/>
      <w:szCs w:val="20"/>
    </w:rPr>
  </w:style>
  <w:style w:type="paragraph" w:customStyle="1" w:styleId="56">
    <w:name w:val="WPSOffice手动目录 1"/>
    <w:qFormat/>
    <w:uiPriority w:val="0"/>
    <w:rPr>
      <w:rFonts w:asciiTheme="minorHAnsi" w:hAnsiTheme="minorHAnsi" w:eastAsiaTheme="minorEastAsia" w:cstheme="minorBidi"/>
      <w:lang w:val="en-US" w:eastAsia="zh-CN" w:bidi="ar-SA"/>
    </w:rPr>
  </w:style>
  <w:style w:type="paragraph" w:customStyle="1" w:styleId="57">
    <w:name w:val="WPSOffice手动目录 2"/>
    <w:qFormat/>
    <w:uiPriority w:val="0"/>
    <w:pPr>
      <w:ind w:left="200" w:leftChars="200"/>
    </w:pPr>
    <w:rPr>
      <w:rFonts w:asciiTheme="minorHAnsi" w:hAnsiTheme="minorHAnsi" w:eastAsiaTheme="minorEastAsia" w:cstheme="minorBidi"/>
      <w:lang w:val="en-US" w:eastAsia="zh-CN" w:bidi="ar-SA"/>
    </w:rPr>
  </w:style>
  <w:style w:type="paragraph" w:customStyle="1" w:styleId="58">
    <w:name w:val="WPSOffice手动目录 3"/>
    <w:qFormat/>
    <w:uiPriority w:val="0"/>
    <w:pPr>
      <w:ind w:left="400" w:leftChars="400"/>
    </w:pPr>
    <w:rPr>
      <w:rFonts w:asciiTheme="minorHAnsi" w:hAnsiTheme="minorHAnsi" w:eastAsiaTheme="minorEastAsia" w:cstheme="minorBidi"/>
      <w:lang w:val="en-US" w:eastAsia="zh-CN" w:bidi="ar-SA"/>
    </w:rPr>
  </w:style>
  <w:style w:type="paragraph" w:customStyle="1" w:styleId="59">
    <w:name w:val="样式 正文文本缩进 3 + 行距: 1.5 倍行距"/>
    <w:basedOn w:val="23"/>
    <w:qFormat/>
    <w:uiPriority w:val="0"/>
    <w:pPr>
      <w:spacing w:after="0" w:line="360" w:lineRule="auto"/>
      <w:ind w:left="0" w:leftChars="0" w:firstLine="200" w:firstLineChars="200"/>
    </w:pPr>
    <w:rPr>
      <w:sz w:val="28"/>
      <w:szCs w:val="20"/>
    </w:rPr>
  </w:style>
  <w:style w:type="paragraph" w:customStyle="1" w:styleId="60">
    <w:name w:val="自定正文"/>
    <w:basedOn w:val="1"/>
    <w:qFormat/>
    <w:uiPriority w:val="0"/>
    <w:pPr>
      <w:snapToGrid w:val="0"/>
      <w:spacing w:beforeLines="50" w:line="360" w:lineRule="auto"/>
      <w:ind w:firstLine="200" w:firstLineChars="200"/>
      <w:textAlignment w:val="center"/>
    </w:pPr>
    <w:rPr>
      <w:rFonts w:ascii="Arial Narrow" w:hAnsi="Arial Narrow" w:eastAsia="仿宋_GB2312"/>
      <w:snapToGrid w:val="0"/>
      <w:color w:val="000000"/>
      <w:sz w:val="28"/>
      <w:szCs w:val="20"/>
    </w:rPr>
  </w:style>
  <w:style w:type="paragraph" w:customStyle="1" w:styleId="61">
    <w:name w:val="样式 样式 (符号) 宋体 四号 + (符号) Times New Roman 黑色 行距: 固定值 30 磅"/>
    <w:basedOn w:val="1"/>
    <w:qFormat/>
    <w:uiPriority w:val="0"/>
    <w:pPr>
      <w:spacing w:line="600" w:lineRule="exact"/>
      <w:ind w:firstLine="560" w:firstLineChars="200"/>
    </w:pPr>
    <w:rPr>
      <w:color w:val="000000"/>
      <w:sz w:val="28"/>
      <w:szCs w:val="28"/>
    </w:rPr>
  </w:style>
  <w:style w:type="paragraph" w:customStyle="1" w:styleId="62">
    <w:name w:val="首行缩进"/>
    <w:basedOn w:val="1"/>
    <w:qFormat/>
    <w:uiPriority w:val="0"/>
    <w:pPr>
      <w:snapToGrid w:val="0"/>
      <w:spacing w:line="360" w:lineRule="auto"/>
      <w:ind w:firstLine="560"/>
      <w:jc w:val="both"/>
    </w:pPr>
    <w:rPr>
      <w:rFonts w:ascii="Times New Roman" w:hAnsi="Times New Roman" w:cs="Times New Roman"/>
      <w:kern w:val="2"/>
      <w:sz w:val="24"/>
      <w:szCs w:val="20"/>
      <w:lang w:val="en-US" w:bidi="ar-SA"/>
    </w:rPr>
  </w:style>
  <w:style w:type="paragraph" w:customStyle="1" w:styleId="63">
    <w:name w:val="表内字体"/>
    <w:basedOn w:val="1"/>
    <w:next w:val="1"/>
    <w:qFormat/>
    <w:uiPriority w:val="0"/>
    <w:pPr>
      <w:jc w:val="center"/>
    </w:pPr>
    <w:rPr>
      <w:sz w:val="18"/>
    </w:rPr>
  </w:style>
  <w:style w:type="character" w:customStyle="1" w:styleId="64">
    <w:name w:val="批注文字 Char"/>
    <w:basedOn w:val="31"/>
    <w:link w:val="10"/>
    <w:qFormat/>
    <w:uiPriority w:val="0"/>
    <w:rPr>
      <w:rFonts w:hint="default" w:ascii="Times New Roman" w:hAnsi="Times New Roman" w:cs="Times New Roman"/>
      <w:color w:val="auto"/>
      <w:kern w:val="2"/>
      <w:sz w:val="24"/>
      <w:szCs w:val="24"/>
    </w:rPr>
  </w:style>
  <w:style w:type="character" w:customStyle="1" w:styleId="65">
    <w:name w:val="文档结构图 Char"/>
    <w:basedOn w:val="31"/>
    <w:link w:val="8"/>
    <w:semiHidden/>
    <w:qFormat/>
    <w:uiPriority w:val="99"/>
    <w:rPr>
      <w:rFonts w:ascii="宋体" w:hAnsi="宋体" w:cs="宋体"/>
      <w:sz w:val="18"/>
      <w:szCs w:val="18"/>
      <w:lang w:val="zh-CN" w:bidi="zh-CN"/>
    </w:rPr>
  </w:style>
  <w:style w:type="character" w:customStyle="1" w:styleId="66">
    <w:name w:val="正文文本缩进 Char"/>
    <w:basedOn w:val="31"/>
    <w:link w:val="12"/>
    <w:qFormat/>
    <w:uiPriority w:val="0"/>
    <w:rPr>
      <w:kern w:val="2"/>
      <w:sz w:val="28"/>
      <w:szCs w:val="24"/>
    </w:rPr>
  </w:style>
</w:styles>
</file>

<file path=word/_rels/document.xml.rels><?xml version="1.0" encoding="UTF-8" standalone="yes"?>
<Relationships xmlns="http://schemas.openxmlformats.org/package/2006/relationships"><Relationship Id="rId95" Type="http://schemas.openxmlformats.org/officeDocument/2006/relationships/fontTable" Target="fontTable.xml"/><Relationship Id="rId94" Type="http://schemas.openxmlformats.org/officeDocument/2006/relationships/customXml" Target="../customXml/item2.xml"/><Relationship Id="rId93" Type="http://schemas.openxmlformats.org/officeDocument/2006/relationships/numbering" Target="numbering.xml"/><Relationship Id="rId92" Type="http://schemas.openxmlformats.org/officeDocument/2006/relationships/customXml" Target="../customXml/item1.xml"/><Relationship Id="rId91" Type="http://schemas.openxmlformats.org/officeDocument/2006/relationships/image" Target="media/image80.jpeg"/><Relationship Id="rId90" Type="http://schemas.openxmlformats.org/officeDocument/2006/relationships/image" Target="media/image79.jpeg"/><Relationship Id="rId9" Type="http://schemas.openxmlformats.org/officeDocument/2006/relationships/header" Target="header2.xml"/><Relationship Id="rId89" Type="http://schemas.openxmlformats.org/officeDocument/2006/relationships/image" Target="media/image78.png"/><Relationship Id="rId88" Type="http://schemas.openxmlformats.org/officeDocument/2006/relationships/image" Target="media/image77.jpeg"/><Relationship Id="rId87" Type="http://schemas.openxmlformats.org/officeDocument/2006/relationships/image" Target="media/image76.jpeg"/><Relationship Id="rId86" Type="http://schemas.openxmlformats.org/officeDocument/2006/relationships/image" Target="media/image75.jpeg"/><Relationship Id="rId85" Type="http://schemas.openxmlformats.org/officeDocument/2006/relationships/image" Target="media/image74.jpeg"/><Relationship Id="rId84" Type="http://schemas.openxmlformats.org/officeDocument/2006/relationships/image" Target="media/image73.jpeg"/><Relationship Id="rId83" Type="http://schemas.openxmlformats.org/officeDocument/2006/relationships/image" Target="media/image72.jpeg"/><Relationship Id="rId82" Type="http://schemas.openxmlformats.org/officeDocument/2006/relationships/image" Target="media/image71.jpeg"/><Relationship Id="rId81" Type="http://schemas.openxmlformats.org/officeDocument/2006/relationships/image" Target="media/image70.jpeg"/><Relationship Id="rId80" Type="http://schemas.openxmlformats.org/officeDocument/2006/relationships/image" Target="media/image69.jpeg"/><Relationship Id="rId8" Type="http://schemas.openxmlformats.org/officeDocument/2006/relationships/footer" Target="footer5.xml"/><Relationship Id="rId79" Type="http://schemas.openxmlformats.org/officeDocument/2006/relationships/image" Target="media/image68.jpeg"/><Relationship Id="rId78" Type="http://schemas.openxmlformats.org/officeDocument/2006/relationships/image" Target="media/image67.jpeg"/><Relationship Id="rId77" Type="http://schemas.openxmlformats.org/officeDocument/2006/relationships/image" Target="media/image66.jpeg"/><Relationship Id="rId76" Type="http://schemas.openxmlformats.org/officeDocument/2006/relationships/image" Target="media/image65.jpeg"/><Relationship Id="rId75" Type="http://schemas.openxmlformats.org/officeDocument/2006/relationships/image" Target="media/image64.jpeg"/><Relationship Id="rId74" Type="http://schemas.openxmlformats.org/officeDocument/2006/relationships/image" Target="media/image63.jpeg"/><Relationship Id="rId73" Type="http://schemas.openxmlformats.org/officeDocument/2006/relationships/image" Target="media/image62.jpeg"/><Relationship Id="rId72" Type="http://schemas.openxmlformats.org/officeDocument/2006/relationships/image" Target="media/image61.jpeg"/><Relationship Id="rId71" Type="http://schemas.openxmlformats.org/officeDocument/2006/relationships/image" Target="media/image60.jpeg"/><Relationship Id="rId70" Type="http://schemas.openxmlformats.org/officeDocument/2006/relationships/image" Target="media/image59.jpeg"/><Relationship Id="rId7" Type="http://schemas.openxmlformats.org/officeDocument/2006/relationships/footer" Target="footer4.xml"/><Relationship Id="rId69" Type="http://schemas.openxmlformats.org/officeDocument/2006/relationships/image" Target="media/image58.jpeg"/><Relationship Id="rId68" Type="http://schemas.openxmlformats.org/officeDocument/2006/relationships/image" Target="media/image57.jpeg"/><Relationship Id="rId67" Type="http://schemas.openxmlformats.org/officeDocument/2006/relationships/image" Target="media/image56.jpeg"/><Relationship Id="rId66" Type="http://schemas.openxmlformats.org/officeDocument/2006/relationships/image" Target="media/image55.jpeg"/><Relationship Id="rId65" Type="http://schemas.openxmlformats.org/officeDocument/2006/relationships/image" Target="media/image54.jpeg"/><Relationship Id="rId64" Type="http://schemas.openxmlformats.org/officeDocument/2006/relationships/image" Target="media/image53.jpeg"/><Relationship Id="rId63" Type="http://schemas.openxmlformats.org/officeDocument/2006/relationships/image" Target="media/image52.jpeg"/><Relationship Id="rId62" Type="http://schemas.openxmlformats.org/officeDocument/2006/relationships/image" Target="media/image51.jpeg"/><Relationship Id="rId61" Type="http://schemas.openxmlformats.org/officeDocument/2006/relationships/image" Target="media/image50.jpeg"/><Relationship Id="rId60" Type="http://schemas.openxmlformats.org/officeDocument/2006/relationships/image" Target="media/image49.jpeg"/><Relationship Id="rId6" Type="http://schemas.openxmlformats.org/officeDocument/2006/relationships/header" Target="header1.xml"/><Relationship Id="rId59" Type="http://schemas.openxmlformats.org/officeDocument/2006/relationships/image" Target="media/image48.jpeg"/><Relationship Id="rId58" Type="http://schemas.openxmlformats.org/officeDocument/2006/relationships/image" Target="media/image47.png"/><Relationship Id="rId57" Type="http://schemas.openxmlformats.org/officeDocument/2006/relationships/image" Target="media/image46.png"/><Relationship Id="rId56" Type="http://schemas.openxmlformats.org/officeDocument/2006/relationships/image" Target="media/image45.png"/><Relationship Id="rId55" Type="http://schemas.openxmlformats.org/officeDocument/2006/relationships/image" Target="media/image44.png"/><Relationship Id="rId54" Type="http://schemas.openxmlformats.org/officeDocument/2006/relationships/image" Target="media/image43.png"/><Relationship Id="rId53" Type="http://schemas.openxmlformats.org/officeDocument/2006/relationships/image" Target="media/image42.jpeg"/><Relationship Id="rId52" Type="http://schemas.openxmlformats.org/officeDocument/2006/relationships/image" Target="media/image41.png"/><Relationship Id="rId51" Type="http://schemas.openxmlformats.org/officeDocument/2006/relationships/image" Target="media/image40.png"/><Relationship Id="rId50" Type="http://schemas.openxmlformats.org/officeDocument/2006/relationships/image" Target="media/image39.png"/><Relationship Id="rId5" Type="http://schemas.openxmlformats.org/officeDocument/2006/relationships/footer" Target="footer3.xml"/><Relationship Id="rId49" Type="http://schemas.openxmlformats.org/officeDocument/2006/relationships/image" Target="media/image38.png"/><Relationship Id="rId48" Type="http://schemas.openxmlformats.org/officeDocument/2006/relationships/image" Target="media/image37.png"/><Relationship Id="rId47" Type="http://schemas.openxmlformats.org/officeDocument/2006/relationships/image" Target="media/image36.png"/><Relationship Id="rId46" Type="http://schemas.openxmlformats.org/officeDocument/2006/relationships/image" Target="media/image35.png"/><Relationship Id="rId45" Type="http://schemas.openxmlformats.org/officeDocument/2006/relationships/image" Target="media/image34.png"/><Relationship Id="rId44" Type="http://schemas.openxmlformats.org/officeDocument/2006/relationships/image" Target="media/image33.png"/><Relationship Id="rId43" Type="http://schemas.openxmlformats.org/officeDocument/2006/relationships/image" Target="media/image32.png"/><Relationship Id="rId42" Type="http://schemas.openxmlformats.org/officeDocument/2006/relationships/image" Target="media/image31.png"/><Relationship Id="rId41" Type="http://schemas.openxmlformats.org/officeDocument/2006/relationships/image" Target="media/image30.png"/><Relationship Id="rId40" Type="http://schemas.openxmlformats.org/officeDocument/2006/relationships/image" Target="media/image29.png"/><Relationship Id="rId4" Type="http://schemas.openxmlformats.org/officeDocument/2006/relationships/footer" Target="footer2.xml"/><Relationship Id="rId39" Type="http://schemas.openxmlformats.org/officeDocument/2006/relationships/image" Target="media/image28.png"/><Relationship Id="rId38" Type="http://schemas.openxmlformats.org/officeDocument/2006/relationships/image" Target="media/image27.png"/><Relationship Id="rId37" Type="http://schemas.openxmlformats.org/officeDocument/2006/relationships/image" Target="media/image26.png"/><Relationship Id="rId36" Type="http://schemas.openxmlformats.org/officeDocument/2006/relationships/image" Target="media/image25.png"/><Relationship Id="rId35" Type="http://schemas.openxmlformats.org/officeDocument/2006/relationships/image" Target="media/image24.png"/><Relationship Id="rId34" Type="http://schemas.openxmlformats.org/officeDocument/2006/relationships/image" Target="media/image23.png"/><Relationship Id="rId33" Type="http://schemas.openxmlformats.org/officeDocument/2006/relationships/image" Target="media/image22.png"/><Relationship Id="rId32" Type="http://schemas.openxmlformats.org/officeDocument/2006/relationships/image" Target="media/image21.png"/><Relationship Id="rId31" Type="http://schemas.openxmlformats.org/officeDocument/2006/relationships/image" Target="media/image20.png"/><Relationship Id="rId30" Type="http://schemas.openxmlformats.org/officeDocument/2006/relationships/image" Target="media/image19.png"/><Relationship Id="rId3" Type="http://schemas.openxmlformats.org/officeDocument/2006/relationships/footer" Target="footer1.xml"/><Relationship Id="rId29" Type="http://schemas.openxmlformats.org/officeDocument/2006/relationships/image" Target="media/image18.png"/><Relationship Id="rId28" Type="http://schemas.openxmlformats.org/officeDocument/2006/relationships/image" Target="media/image17.png"/><Relationship Id="rId27" Type="http://schemas.openxmlformats.org/officeDocument/2006/relationships/image" Target="media/image16.png"/><Relationship Id="rId26" Type="http://schemas.openxmlformats.org/officeDocument/2006/relationships/image" Target="media/image15.png"/><Relationship Id="rId25" Type="http://schemas.openxmlformats.org/officeDocument/2006/relationships/image" Target="media/image14.png"/><Relationship Id="rId24" Type="http://schemas.openxmlformats.org/officeDocument/2006/relationships/image" Target="media/image13.png"/><Relationship Id="rId23" Type="http://schemas.openxmlformats.org/officeDocument/2006/relationships/image" Target="media/image12.png"/><Relationship Id="rId22" Type="http://schemas.openxmlformats.org/officeDocument/2006/relationships/image" Target="media/image11.png"/><Relationship Id="rId21" Type="http://schemas.openxmlformats.org/officeDocument/2006/relationships/image" Target="media/image10.png"/><Relationship Id="rId20" Type="http://schemas.openxmlformats.org/officeDocument/2006/relationships/image" Target="media/image9.png"/><Relationship Id="rId2" Type="http://schemas.openxmlformats.org/officeDocument/2006/relationships/settings" Target="settings.xml"/><Relationship Id="rId19" Type="http://schemas.openxmlformats.org/officeDocument/2006/relationships/image" Target="media/image8.png"/><Relationship Id="rId18" Type="http://schemas.openxmlformats.org/officeDocument/2006/relationships/image" Target="media/image7.png"/><Relationship Id="rId17" Type="http://schemas.openxmlformats.org/officeDocument/2006/relationships/image" Target="media/image6.png"/><Relationship Id="rId16" Type="http://schemas.openxmlformats.org/officeDocument/2006/relationships/image" Target="media/image5.png"/><Relationship Id="rId15" Type="http://schemas.openxmlformats.org/officeDocument/2006/relationships/image" Target="media/image4.jpeg"/><Relationship Id="rId14" Type="http://schemas.openxmlformats.org/officeDocument/2006/relationships/image" Target="media/image3.jpeg"/><Relationship Id="rId13" Type="http://schemas.openxmlformats.org/officeDocument/2006/relationships/image" Target="media/image2.jpeg"/><Relationship Id="rId12" Type="http://schemas.openxmlformats.org/officeDocument/2006/relationships/image" Target="media/image1.jpeg"/><Relationship Id="rId11" Type="http://schemas.openxmlformats.org/officeDocument/2006/relationships/theme" Target="theme/theme1.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49"/>
    <customShpInfo spid="_x0000_s1584"/>
    <customShpInfo spid="_x0000_s1585"/>
    <customShpInfo spid="_x0000_s1586"/>
    <customShpInfo spid="_x0000_s1587"/>
    <customShpInfo spid="_x0000_s1588"/>
    <customShpInfo spid="_x0000_s1589"/>
    <customShpInfo spid="_x0000_s1590"/>
    <customShpInfo spid="_x0000_s1591"/>
    <customShpInfo spid="_x0000_s1592"/>
    <customShpInfo spid="_x0000_s1593"/>
    <customShpInfo spid="_x0000_s1594"/>
    <customShpInfo spid="_x0000_s1595"/>
    <customShpInfo spid="_x0000_s1596"/>
    <customShpInfo spid="_x0000_s1597"/>
    <customShpInfo spid="_x0000_s1598"/>
    <customShpInfo spid="_x0000_s1599"/>
    <customShpInfo spid="_x0000_s1600"/>
    <customShpInfo spid="_x0000_s1601"/>
    <customShpInfo spid="_x0000_s1602"/>
    <customShpInfo spid="_x0000_s1603"/>
    <customShpInfo spid="_x0000_s1604"/>
    <customShpInfo spid="_x0000_s1605"/>
    <customShpInfo spid="_x0000_s1561"/>
    <customShpInfo spid="_x0000_s1556"/>
    <customShpInfo spid="_x0000_s1560"/>
    <customShpInfo spid="_x0000_s1558"/>
    <customShpInfo spid="_x0000_s1557"/>
    <customShpInfo spid="_x0000_s1559"/>
    <customShpInfo spid="_x0000_s1554"/>
    <customShpInfo spid="_x0000_s1555"/>
    <customShpInfo spid="_x0000_s1553"/>
    <customShpInfo spid="_x0000_s1552"/>
    <customShpInfo spid="_x0000_s1606"/>
    <customShpInfo spid="_x0000_s1607"/>
    <customShpInfo spid="_x0000_s1608"/>
    <customShpInfo spid="_x0000_s1609"/>
    <customShpInfo spid="_x0000_s1610"/>
    <customShpInfo spid="_x0000_s1611"/>
    <customShpInfo spid="_x0000_s1612"/>
    <customShpInfo spid="_x0000_s1613"/>
    <customShpInfo spid="_x0000_s1614"/>
    <customShpInfo spid="_x0000_s1615"/>
    <customShpInfo spid="_x0000_s1616"/>
    <customShpInfo spid="_x0000_s1617"/>
    <customShpInfo spid="_x0000_s1618"/>
    <customShpInfo spid="_x0000_s1619"/>
    <customShpInfo spid="_x0000_s1620"/>
    <customShpInfo spid="_x0000_s1621"/>
    <customShpInfo spid="_x0000_s1622"/>
    <customShpInfo spid="_x0000_s1623"/>
    <customShpInfo spid="_x0000_s1624"/>
    <customShpInfo spid="_x0000_s1625"/>
    <customShpInfo spid="_x0000_s1626"/>
    <customShpInfo spid="_x0000_s1627"/>
    <customShpInfo spid="_x0000_s1628"/>
    <customShpInfo spid="_x0000_s1629"/>
    <customShpInfo spid="_x0000_s1630"/>
    <customShpInfo spid="_x0000_s1631"/>
    <customShpInfo spid="_x0000_s1632"/>
    <customShpInfo spid="_x0000_s1633"/>
    <customShpInfo spid="_x0000_s1634"/>
    <customShpInfo spid="_x0000_s1635"/>
    <customShpInfo spid="_x0000_s1636"/>
    <customShpInfo spid="_x0000_s1637"/>
    <customShpInfo spid="_x0000_s1638"/>
    <customShpInfo spid="_x0000_s1639"/>
    <customShpInfo spid="_x0000_s1640"/>
    <customShpInfo spid="_x0000_s1641"/>
    <customShpInfo spid="_x0000_s1642"/>
    <customShpInfo spid="_x0000_s1643"/>
    <customShpInfo spid="_x0000_s1644"/>
    <customShpInfo spid="_x0000_s1645"/>
    <customShpInfo spid="_x0000_s1646"/>
    <customShpInfo spid="_x0000_s1647"/>
    <customShpInfo spid="_x0000_s1648"/>
    <customShpInfo spid="_x0000_s1649"/>
    <customShpInfo spid="_x0000_s1650"/>
    <customShpInfo spid="_x0000_s1651"/>
    <customShpInfo spid="_x0000_s1652"/>
    <customShpInfo spid="_x0000_s1653"/>
    <customShpInfo spid="_x0000_s1654"/>
    <customShpInfo spid="_x0000_s1655"/>
    <customShpInfo spid="_x0000_s1656"/>
    <customShpInfo spid="_x0000_s1657"/>
    <customShpInfo spid="_x0000_s1658"/>
    <customShpInfo spid="_x0000_s1659"/>
    <customShpInfo spid="_x0000_s1660"/>
    <customShpInfo spid="_x0000_s1661"/>
    <customShpInfo spid="_x0000_s1662"/>
    <customShpInfo spid="_x0000_s1663"/>
    <customShpInfo spid="_x0000_s1664"/>
    <customShpInfo spid="_x0000_s1665"/>
    <customShpInfo spid="_x0000_s1666"/>
    <customShpInfo spid="_x0000_s1667"/>
    <customShpInfo spid="_x0000_s1668"/>
    <customShpInfo spid="_x0000_s1669"/>
    <customShpInfo spid="_x0000_s1670"/>
    <customShpInfo spid="_x0000_s1671"/>
    <customShpInfo spid="_x0000_s1672"/>
    <customShpInfo spid="_x0000_s1673"/>
    <customShpInfo spid="_x0000_s1674"/>
    <customShpInfo spid="_x0000_s1675"/>
    <customShpInfo spid="_x0000_s1676"/>
    <customShpInfo spid="_x0000_s1677"/>
    <customShpInfo spid="_x0000_s1678"/>
    <customShpInfo spid="_x0000_s1679"/>
    <customShpInfo spid="_x0000_s1680"/>
    <customShpInfo spid="_x0000_s1681"/>
    <customShpInfo spid="_x0000_s1682"/>
    <customShpInfo spid="_x0000_s1683"/>
    <customShpInfo spid="_x0000_s1684"/>
    <customShpInfo spid="_x0000_s1472"/>
    <customShpInfo spid="_x0000_s1471"/>
    <customShpInfo spid="_x0000_s1470"/>
    <customShpInfo spid="_x0000_s1469"/>
    <customShpInfo spid="_x0000_s1468"/>
    <customShpInfo spid="_x0000_s1467"/>
    <customShpInfo spid="_x0000_s1466"/>
    <customShpInfo spid="_x0000_s1465"/>
    <customShpInfo spid="_x0000_s1464"/>
    <customShpInfo spid="_x0000_s1463"/>
    <customShpInfo spid="_x0000_s1462"/>
    <customShpInfo spid="_x0000_s1461"/>
    <customShpInfo spid="_x0000_s1685"/>
    <customShpInfo spid="_x0000_s1686"/>
    <customShpInfo spid="_x0000_s1687"/>
    <customShpInfo spid="_x0000_s1688"/>
    <customShpInfo spid="_x0000_s1689"/>
    <customShpInfo spid="_x0000_s1690"/>
    <customShpInfo spid="_x0000_s1691"/>
    <customShpInfo spid="_x0000_s1692"/>
    <customShpInfo spid="_x0000_s1693"/>
    <customShpInfo spid="_x0000_s1694"/>
    <customShpInfo spid="_x0000_s1695"/>
    <customShpInfo spid="_x0000_s1696"/>
    <customShpInfo spid="_x0000_s1697"/>
    <customShpInfo spid="_x0000_s1698"/>
    <customShpInfo spid="_x0000_s1699"/>
    <customShpInfo spid="_x0000_s1700"/>
    <customShpInfo spid="_x0000_s1701"/>
    <customShpInfo spid="_x0000_s1702"/>
    <customShpInfo spid="_x0000_s1703"/>
    <customShpInfo spid="_x0000_s1704"/>
    <customShpInfo spid="_x0000_s1705"/>
    <customShpInfo spid="_x0000_s1706"/>
    <customShpInfo spid="_x0000_s1707"/>
    <customShpInfo spid="_x0000_s1708"/>
    <customShpInfo spid="_x0000_s1709"/>
    <customShpInfo spid="_x0000_s1710"/>
    <customShpInfo spid="_x0000_s1711"/>
    <customShpInfo spid="_x0000_s1712"/>
    <customShpInfo spid="_x0000_s1713"/>
    <customShpInfo spid="_x0000_s1714"/>
    <customShpInfo spid="_x0000_s1715"/>
    <customShpInfo spid="_x0000_s1716"/>
    <customShpInfo spid="_x0000_s1717"/>
    <customShpInfo spid="_x0000_s1718"/>
    <customShpInfo spid="_x0000_s1719"/>
    <customShpInfo spid="_x0000_s1720"/>
    <customShpInfo spid="_x0000_s1721"/>
    <customShpInfo spid="_x0000_s1722"/>
    <customShpInfo spid="_x0000_s1723"/>
    <customShpInfo spid="_x0000_s1724"/>
    <customShpInfo spid="_x0000_s1725"/>
    <customShpInfo spid="_x0000_s1726"/>
    <customShpInfo spid="_x0000_s1727"/>
    <customShpInfo spid="_x0000_s1728"/>
    <customShpInfo spid="_x0000_s1729"/>
    <customShpInfo spid="_x0000_s1730"/>
    <customShpInfo spid="_x0000_s1731"/>
    <customShpInfo spid="_x0000_s1732"/>
    <customShpInfo spid="_x0000_s1733"/>
    <customShpInfo spid="_x0000_s1734"/>
    <customShpInfo spid="_x0000_s1735"/>
    <customShpInfo spid="_x0000_s1736"/>
    <customShpInfo spid="_x0000_s1737"/>
    <customShpInfo spid="_x0000_s1738"/>
    <customShpInfo spid="_x0000_s1739"/>
    <customShpInfo spid="_x0000_s1740"/>
    <customShpInfo spid="_x0000_s1741"/>
    <customShpInfo spid="_x0000_s1742"/>
    <customShpInfo spid="_x0000_s1743"/>
    <customShpInfo spid="_x0000_s1744"/>
    <customShpInfo spid="_x0000_s1745"/>
    <customShpInfo spid="_x0000_s1746"/>
    <customShpInfo spid="_x0000_s1747"/>
    <customShpInfo spid="_x0000_s1748"/>
    <customShpInfo spid="_x0000_s1749"/>
    <customShpInfo spid="_x0000_s1395"/>
    <customShpInfo spid="_x0000_s1394"/>
    <customShpInfo spid="_x0000_s1393"/>
    <customShpInfo spid="_x0000_s1392"/>
    <customShpInfo spid="_x0000_s1391"/>
    <customShpInfo spid="_x0000_s1390"/>
    <customShpInfo spid="_x0000_s1389"/>
    <customShpInfo spid="_x0000_s1388"/>
    <customShpInfo spid="_x0000_s1387"/>
    <customShpInfo spid="_x0000_s1386"/>
    <customShpInfo spid="_x0000_s1385"/>
    <customShpInfo spid="_x0000_s1384"/>
    <customShpInfo spid="_x0000_s1038"/>
    <customShpInfo spid="_x0000_s1037"/>
    <customShpInfo spid="_x0000_s1036"/>
    <customShpInfo spid="_x0000_s1035"/>
    <customShpInfo spid="_x0000_s1034"/>
    <customShpInfo spid="_x0000_s1033"/>
    <customShpInfo spid="_x0000_s1032"/>
    <customShpInfo spid="_x0000_s1031"/>
    <customShpInfo spid="_x0000_s1030"/>
    <customShpInfo spid="_x0000_s1029"/>
    <customShpInfo spid="_x0000_s1028"/>
    <customShpInfo spid="_x0000_s1027"/>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97B0025-5E11-4486-AE0D-1B89B5656F50}">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139</Pages>
  <Words>15686</Words>
  <Characters>89415</Characters>
  <Lines>745</Lines>
  <Paragraphs>209</Paragraphs>
  <TotalTime>4</TotalTime>
  <ScaleCrop>false</ScaleCrop>
  <LinksUpToDate>false</LinksUpToDate>
  <CharactersWithSpaces>104892</CharactersWithSpaces>
  <Application>WPS Office_11.1.0.11110_F1E327BC-269C-435d-A152-05C5408002CA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2018-11-23T06:18:00Z</dcterms:created>
  <dc:creator>Administrator</dc:creator>
  <cp:lastModifiedBy>逆</cp:lastModifiedBy>
  <cp:lastPrinted>2020-01-17T02:56:00Z</cp:lastPrinted>
  <dcterms:modified xsi:type="dcterms:W3CDTF">2021-11-17T07:31:18Z</dcterms:modified>
  <dc:title>报告</dc:title>
  <cp:revision>64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2018-11-13T00:00:00Z</vt:filetime>
  </property>
  <property fmtid="{D5CDD505-2E9C-101B-9397-08002B2CF9AE}" pid="3" name="Creator">
    <vt:lpwstr>Microsoft® Word 2010</vt:lpwstr>
  </property>
  <property fmtid="{D5CDD505-2E9C-101B-9397-08002B2CF9AE}" pid="4" name="LastSaved">
    <vt:filetime>2018-11-23T00:00:00Z</vt:filetime>
  </property>
  <property fmtid="{D5CDD505-2E9C-101B-9397-08002B2CF9AE}" pid="5" name="KSOProductBuildVer">
    <vt:lpwstr>2052-11.1.0.11110</vt:lpwstr>
  </property>
  <property fmtid="{D5CDD505-2E9C-101B-9397-08002B2CF9AE}" pid="6" name="ICV">
    <vt:lpwstr>FFDB02C36BF24C2BB197156B268572AC</vt:lpwstr>
  </property>
</Properties>
</file>